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4.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5.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6.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7.xml" ContentType="application/vnd.openxmlformats-officedocument.themeOverride+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22.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23.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24.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25.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26.xml" ContentType="application/vnd.openxmlformats-officedocument.drawingml.chart+xml"/>
  <Override PartName="/word/charts/chart27.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28.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29.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30.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31.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32.xml" ContentType="application/vnd.openxmlformats-officedocument.drawingml.chart+xml"/>
  <Override PartName="/word/charts/style20.xml" ContentType="application/vnd.ms-office.chartstyle+xml"/>
  <Override PartName="/word/charts/colors20.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2.xml" ContentType="application/vnd.openxmlformats-officedocument.wordprocessingml.header+xml"/>
  <Override PartName="/word/charts/chart33.xml" ContentType="application/vnd.openxmlformats-officedocument.drawingml.chart+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1DE14A8" w14:textId="77777777" w:rsidR="006923DF" w:rsidRPr="00164238" w:rsidRDefault="006923DF" w:rsidP="006923DF">
      <w:pPr>
        <w:pStyle w:val="Default"/>
        <w:jc w:val="both"/>
        <w:rPr>
          <w:b/>
          <w:bCs/>
          <w:i/>
          <w:color w:val="000000" w:themeColor="text1"/>
        </w:rPr>
      </w:pPr>
      <w:r w:rsidRPr="00164238">
        <w:rPr>
          <w:b/>
          <w:bCs/>
          <w:i/>
          <w:color w:val="000000" w:themeColor="text1"/>
        </w:rPr>
        <w:t>International Symposium on Business, Economics, and education ISBE 2021 is dedicated to the memory of Dear Prof. Dr. Remzi ÖRTEN.</w:t>
      </w:r>
    </w:p>
    <w:p w14:paraId="2FCB49AC" w14:textId="77777777" w:rsidR="006923DF" w:rsidRPr="00164238" w:rsidRDefault="006923DF" w:rsidP="006923DF">
      <w:pPr>
        <w:pStyle w:val="Default"/>
        <w:jc w:val="both"/>
        <w:rPr>
          <w:b/>
          <w:bCs/>
          <w:i/>
          <w:color w:val="000000" w:themeColor="text1"/>
        </w:rPr>
      </w:pPr>
    </w:p>
    <w:p w14:paraId="24D620C1" w14:textId="77777777" w:rsidR="006923DF" w:rsidRPr="00164238" w:rsidRDefault="006923DF" w:rsidP="006923DF">
      <w:pPr>
        <w:pStyle w:val="Default"/>
        <w:jc w:val="both"/>
        <w:rPr>
          <w:b/>
          <w:bCs/>
          <w:i/>
          <w:color w:val="000000" w:themeColor="text1"/>
        </w:rPr>
      </w:pPr>
    </w:p>
    <w:p w14:paraId="45B35AB7" w14:textId="77777777" w:rsidR="006923DF" w:rsidRPr="00164238" w:rsidRDefault="006923DF" w:rsidP="006923DF">
      <w:pPr>
        <w:pStyle w:val="Default"/>
        <w:jc w:val="both"/>
        <w:rPr>
          <w:bCs/>
          <w:color w:val="000000" w:themeColor="text1"/>
          <w:sz w:val="20"/>
          <w:szCs w:val="20"/>
        </w:rPr>
      </w:pPr>
    </w:p>
    <w:p w14:paraId="0CABE6B7" w14:textId="77777777" w:rsidR="006923DF" w:rsidRPr="00164238" w:rsidRDefault="006923DF" w:rsidP="006923DF">
      <w:pPr>
        <w:pStyle w:val="Default"/>
        <w:jc w:val="both"/>
        <w:rPr>
          <w:bCs/>
          <w:color w:val="000000" w:themeColor="text1"/>
          <w:sz w:val="20"/>
          <w:szCs w:val="20"/>
        </w:rPr>
      </w:pPr>
    </w:p>
    <w:p w14:paraId="39BEB1DA" w14:textId="77777777" w:rsidR="006923DF" w:rsidRPr="00164238" w:rsidRDefault="006923DF" w:rsidP="006923DF">
      <w:pPr>
        <w:pStyle w:val="Default"/>
        <w:jc w:val="both"/>
        <w:rPr>
          <w:bCs/>
          <w:color w:val="000000" w:themeColor="text1"/>
          <w:sz w:val="20"/>
          <w:szCs w:val="20"/>
        </w:rPr>
      </w:pPr>
    </w:p>
    <w:p w14:paraId="63B9DAF3" w14:textId="77777777" w:rsidR="006923DF" w:rsidRPr="00164238" w:rsidRDefault="006923DF" w:rsidP="006923DF">
      <w:pPr>
        <w:pStyle w:val="Default"/>
        <w:jc w:val="both"/>
        <w:rPr>
          <w:bCs/>
          <w:color w:val="000000" w:themeColor="text1"/>
          <w:sz w:val="20"/>
          <w:szCs w:val="20"/>
        </w:rPr>
      </w:pPr>
    </w:p>
    <w:p w14:paraId="6C11858D" w14:textId="77777777" w:rsidR="006923DF" w:rsidRPr="00164238" w:rsidRDefault="006923DF" w:rsidP="006923DF">
      <w:pPr>
        <w:pStyle w:val="Default"/>
        <w:jc w:val="both"/>
        <w:rPr>
          <w:bCs/>
          <w:color w:val="000000" w:themeColor="text1"/>
          <w:sz w:val="20"/>
          <w:szCs w:val="20"/>
        </w:rPr>
      </w:pPr>
    </w:p>
    <w:p w14:paraId="773D53ED" w14:textId="77777777" w:rsidR="006923DF" w:rsidRPr="00164238" w:rsidRDefault="006923DF" w:rsidP="006923DF">
      <w:pPr>
        <w:pStyle w:val="Default"/>
        <w:jc w:val="both"/>
        <w:rPr>
          <w:bCs/>
          <w:color w:val="000000" w:themeColor="text1"/>
          <w:sz w:val="20"/>
          <w:szCs w:val="20"/>
        </w:rPr>
      </w:pPr>
    </w:p>
    <w:p w14:paraId="06C9A5E9" w14:textId="77777777" w:rsidR="006923DF" w:rsidRPr="00164238" w:rsidRDefault="006923DF" w:rsidP="006923DF">
      <w:pPr>
        <w:pStyle w:val="Default"/>
        <w:jc w:val="both"/>
        <w:rPr>
          <w:bCs/>
          <w:color w:val="000000" w:themeColor="text1"/>
          <w:sz w:val="20"/>
          <w:szCs w:val="20"/>
        </w:rPr>
      </w:pPr>
    </w:p>
    <w:p w14:paraId="00EE8409" w14:textId="77777777" w:rsidR="006923DF" w:rsidRPr="00164238" w:rsidRDefault="006923DF" w:rsidP="006923DF">
      <w:pPr>
        <w:pStyle w:val="Default"/>
        <w:jc w:val="both"/>
        <w:rPr>
          <w:bCs/>
          <w:color w:val="000000" w:themeColor="text1"/>
          <w:sz w:val="20"/>
          <w:szCs w:val="20"/>
        </w:rPr>
      </w:pPr>
    </w:p>
    <w:p w14:paraId="594BFD13" w14:textId="77777777" w:rsidR="006923DF" w:rsidRPr="00164238" w:rsidRDefault="006923DF" w:rsidP="006923DF">
      <w:pPr>
        <w:pStyle w:val="Default"/>
        <w:jc w:val="both"/>
        <w:rPr>
          <w:bCs/>
          <w:color w:val="000000" w:themeColor="text1"/>
          <w:sz w:val="20"/>
          <w:szCs w:val="20"/>
        </w:rPr>
      </w:pPr>
    </w:p>
    <w:p w14:paraId="53389765" w14:textId="77777777" w:rsidR="006923DF" w:rsidRPr="00164238" w:rsidRDefault="006923DF" w:rsidP="006923DF">
      <w:pPr>
        <w:pStyle w:val="Default"/>
        <w:jc w:val="both"/>
        <w:rPr>
          <w:bCs/>
          <w:color w:val="000000" w:themeColor="text1"/>
          <w:sz w:val="20"/>
          <w:szCs w:val="20"/>
        </w:rPr>
      </w:pPr>
    </w:p>
    <w:p w14:paraId="3D14ECA9" w14:textId="77777777" w:rsidR="006923DF" w:rsidRPr="00164238" w:rsidRDefault="006923DF" w:rsidP="006923DF">
      <w:pPr>
        <w:pStyle w:val="Default"/>
        <w:jc w:val="both"/>
        <w:rPr>
          <w:bCs/>
          <w:color w:val="000000" w:themeColor="text1"/>
          <w:sz w:val="20"/>
          <w:szCs w:val="20"/>
        </w:rPr>
      </w:pPr>
    </w:p>
    <w:p w14:paraId="66C7E99B" w14:textId="77777777" w:rsidR="006923DF" w:rsidRPr="00164238" w:rsidRDefault="006923DF" w:rsidP="006923DF">
      <w:pPr>
        <w:pStyle w:val="Default"/>
        <w:jc w:val="both"/>
        <w:rPr>
          <w:bCs/>
          <w:color w:val="000000" w:themeColor="text1"/>
          <w:sz w:val="20"/>
          <w:szCs w:val="20"/>
        </w:rPr>
      </w:pPr>
    </w:p>
    <w:p w14:paraId="1E59D3D3" w14:textId="77777777" w:rsidR="006923DF" w:rsidRPr="00164238" w:rsidRDefault="006923DF" w:rsidP="006923DF">
      <w:pPr>
        <w:pStyle w:val="Default"/>
        <w:jc w:val="both"/>
        <w:rPr>
          <w:bCs/>
          <w:color w:val="000000" w:themeColor="text1"/>
          <w:sz w:val="20"/>
          <w:szCs w:val="20"/>
        </w:rPr>
      </w:pPr>
    </w:p>
    <w:p w14:paraId="77200A6F" w14:textId="77777777" w:rsidR="006923DF" w:rsidRPr="00164238" w:rsidRDefault="006923DF" w:rsidP="006923DF">
      <w:pPr>
        <w:pStyle w:val="Default"/>
        <w:jc w:val="both"/>
        <w:rPr>
          <w:bCs/>
          <w:color w:val="000000" w:themeColor="text1"/>
          <w:sz w:val="20"/>
          <w:szCs w:val="20"/>
        </w:rPr>
      </w:pPr>
    </w:p>
    <w:p w14:paraId="233D3ACA" w14:textId="77777777" w:rsidR="006923DF" w:rsidRPr="00164238" w:rsidRDefault="006923DF" w:rsidP="006923DF">
      <w:pPr>
        <w:pStyle w:val="Default"/>
        <w:jc w:val="both"/>
        <w:rPr>
          <w:bCs/>
          <w:color w:val="000000" w:themeColor="text1"/>
          <w:sz w:val="20"/>
          <w:szCs w:val="20"/>
        </w:rPr>
      </w:pPr>
    </w:p>
    <w:p w14:paraId="7F051199" w14:textId="77777777" w:rsidR="006923DF" w:rsidRPr="00164238" w:rsidRDefault="006923DF" w:rsidP="006923DF">
      <w:pPr>
        <w:pStyle w:val="Default"/>
        <w:jc w:val="both"/>
        <w:rPr>
          <w:bCs/>
          <w:color w:val="000000" w:themeColor="text1"/>
          <w:sz w:val="20"/>
          <w:szCs w:val="20"/>
        </w:rPr>
      </w:pPr>
    </w:p>
    <w:p w14:paraId="00811FF5" w14:textId="77777777" w:rsidR="006923DF" w:rsidRPr="00164238" w:rsidRDefault="006923DF" w:rsidP="006923DF">
      <w:pPr>
        <w:pStyle w:val="Default"/>
        <w:jc w:val="both"/>
        <w:rPr>
          <w:bCs/>
          <w:color w:val="000000" w:themeColor="text1"/>
          <w:sz w:val="20"/>
          <w:szCs w:val="20"/>
        </w:rPr>
      </w:pPr>
    </w:p>
    <w:p w14:paraId="74B3B9C4" w14:textId="77777777" w:rsidR="006923DF" w:rsidRPr="00164238" w:rsidRDefault="006923DF" w:rsidP="006923DF">
      <w:pPr>
        <w:pStyle w:val="Default"/>
        <w:jc w:val="both"/>
        <w:rPr>
          <w:bCs/>
          <w:color w:val="000000" w:themeColor="text1"/>
          <w:sz w:val="20"/>
          <w:szCs w:val="20"/>
        </w:rPr>
      </w:pPr>
    </w:p>
    <w:p w14:paraId="2DEA8426" w14:textId="77777777" w:rsidR="006923DF" w:rsidRPr="00164238" w:rsidRDefault="006923DF" w:rsidP="006923DF">
      <w:pPr>
        <w:pStyle w:val="Default"/>
        <w:jc w:val="both"/>
        <w:rPr>
          <w:bCs/>
          <w:color w:val="000000" w:themeColor="text1"/>
          <w:sz w:val="20"/>
          <w:szCs w:val="20"/>
        </w:rPr>
      </w:pPr>
    </w:p>
    <w:p w14:paraId="18DC730F" w14:textId="19851D6D" w:rsidR="006923DF" w:rsidRPr="00164238" w:rsidRDefault="006923DF" w:rsidP="006923DF">
      <w:pPr>
        <w:pStyle w:val="Default"/>
        <w:jc w:val="both"/>
        <w:rPr>
          <w:bCs/>
          <w:color w:val="000000" w:themeColor="text1"/>
          <w:sz w:val="20"/>
          <w:szCs w:val="20"/>
        </w:rPr>
      </w:pPr>
    </w:p>
    <w:p w14:paraId="22C6A0E9" w14:textId="02F77394" w:rsidR="006923DF" w:rsidRPr="00164238" w:rsidRDefault="006923DF" w:rsidP="006923DF">
      <w:pPr>
        <w:pStyle w:val="Default"/>
        <w:jc w:val="both"/>
        <w:rPr>
          <w:bCs/>
          <w:color w:val="000000" w:themeColor="text1"/>
          <w:sz w:val="20"/>
          <w:szCs w:val="20"/>
        </w:rPr>
      </w:pPr>
    </w:p>
    <w:p w14:paraId="6A19B234" w14:textId="405ADF68" w:rsidR="006923DF" w:rsidRPr="00164238" w:rsidRDefault="006923DF" w:rsidP="006923DF">
      <w:pPr>
        <w:pStyle w:val="Default"/>
        <w:jc w:val="both"/>
        <w:rPr>
          <w:bCs/>
          <w:color w:val="000000" w:themeColor="text1"/>
          <w:sz w:val="20"/>
          <w:szCs w:val="20"/>
        </w:rPr>
      </w:pPr>
    </w:p>
    <w:p w14:paraId="79397AB6" w14:textId="62BAA1E2" w:rsidR="006923DF" w:rsidRPr="00164238" w:rsidRDefault="006923DF" w:rsidP="006923DF">
      <w:pPr>
        <w:pStyle w:val="Default"/>
        <w:jc w:val="both"/>
        <w:rPr>
          <w:bCs/>
          <w:color w:val="000000" w:themeColor="text1"/>
          <w:sz w:val="20"/>
          <w:szCs w:val="20"/>
        </w:rPr>
      </w:pPr>
    </w:p>
    <w:p w14:paraId="2CE15131" w14:textId="21CB7518" w:rsidR="006923DF" w:rsidRPr="00164238" w:rsidRDefault="006923DF" w:rsidP="006923DF">
      <w:pPr>
        <w:pStyle w:val="Default"/>
        <w:jc w:val="both"/>
        <w:rPr>
          <w:bCs/>
          <w:color w:val="000000" w:themeColor="text1"/>
          <w:sz w:val="20"/>
          <w:szCs w:val="20"/>
        </w:rPr>
      </w:pPr>
    </w:p>
    <w:p w14:paraId="1557DB0F" w14:textId="46D4CCF7" w:rsidR="006923DF" w:rsidRPr="00164238" w:rsidRDefault="006923DF" w:rsidP="006923DF">
      <w:pPr>
        <w:pStyle w:val="Default"/>
        <w:jc w:val="both"/>
        <w:rPr>
          <w:bCs/>
          <w:color w:val="000000" w:themeColor="text1"/>
          <w:sz w:val="20"/>
          <w:szCs w:val="20"/>
        </w:rPr>
      </w:pPr>
    </w:p>
    <w:p w14:paraId="6CC7FDD7" w14:textId="43B22984" w:rsidR="006923DF" w:rsidRPr="00164238" w:rsidRDefault="006923DF" w:rsidP="006923DF">
      <w:pPr>
        <w:pStyle w:val="Default"/>
        <w:jc w:val="both"/>
        <w:rPr>
          <w:bCs/>
          <w:color w:val="000000" w:themeColor="text1"/>
          <w:sz w:val="20"/>
          <w:szCs w:val="20"/>
        </w:rPr>
      </w:pPr>
    </w:p>
    <w:p w14:paraId="24EF93AF" w14:textId="71C5CAA1" w:rsidR="006923DF" w:rsidRPr="00164238" w:rsidRDefault="006923DF" w:rsidP="006923DF">
      <w:pPr>
        <w:pStyle w:val="Default"/>
        <w:jc w:val="both"/>
        <w:rPr>
          <w:bCs/>
          <w:color w:val="000000" w:themeColor="text1"/>
          <w:sz w:val="20"/>
          <w:szCs w:val="20"/>
        </w:rPr>
      </w:pPr>
    </w:p>
    <w:p w14:paraId="4BFB6851" w14:textId="77777777" w:rsidR="006923DF" w:rsidRPr="00164238" w:rsidRDefault="006923DF" w:rsidP="006923DF">
      <w:pPr>
        <w:pStyle w:val="Default"/>
        <w:jc w:val="both"/>
        <w:rPr>
          <w:bCs/>
          <w:color w:val="000000" w:themeColor="text1"/>
          <w:sz w:val="20"/>
          <w:szCs w:val="20"/>
        </w:rPr>
      </w:pPr>
    </w:p>
    <w:p w14:paraId="5C36C457" w14:textId="77777777" w:rsidR="006923DF" w:rsidRPr="00164238" w:rsidRDefault="006923DF" w:rsidP="006923DF">
      <w:pPr>
        <w:pStyle w:val="Default"/>
        <w:jc w:val="both"/>
        <w:rPr>
          <w:bCs/>
          <w:color w:val="000000" w:themeColor="text1"/>
          <w:sz w:val="20"/>
          <w:szCs w:val="20"/>
        </w:rPr>
      </w:pPr>
    </w:p>
    <w:p w14:paraId="3C1718CB" w14:textId="77777777" w:rsidR="006923DF" w:rsidRPr="00164238" w:rsidRDefault="006923DF" w:rsidP="006923DF">
      <w:pPr>
        <w:pStyle w:val="Default"/>
        <w:jc w:val="both"/>
        <w:rPr>
          <w:bCs/>
          <w:color w:val="000000" w:themeColor="text1"/>
          <w:sz w:val="20"/>
          <w:szCs w:val="20"/>
        </w:rPr>
      </w:pPr>
    </w:p>
    <w:p w14:paraId="5D1EFFC2" w14:textId="77777777" w:rsidR="006923DF" w:rsidRPr="00164238" w:rsidRDefault="006923DF" w:rsidP="006923DF">
      <w:pPr>
        <w:pStyle w:val="Default"/>
        <w:jc w:val="both"/>
        <w:rPr>
          <w:bCs/>
          <w:color w:val="000000" w:themeColor="text1"/>
          <w:sz w:val="20"/>
          <w:szCs w:val="20"/>
        </w:rPr>
      </w:pPr>
    </w:p>
    <w:p w14:paraId="0946916B" w14:textId="77777777" w:rsidR="006923DF" w:rsidRPr="00164238" w:rsidRDefault="006923DF" w:rsidP="006923DF">
      <w:pPr>
        <w:pStyle w:val="Default"/>
        <w:jc w:val="both"/>
        <w:rPr>
          <w:bCs/>
          <w:color w:val="000000" w:themeColor="text1"/>
          <w:sz w:val="20"/>
          <w:szCs w:val="20"/>
        </w:rPr>
      </w:pPr>
    </w:p>
    <w:p w14:paraId="73456479" w14:textId="77777777" w:rsidR="006923DF" w:rsidRPr="00164238" w:rsidRDefault="006923DF" w:rsidP="006923DF">
      <w:pPr>
        <w:pStyle w:val="Default"/>
        <w:jc w:val="both"/>
        <w:rPr>
          <w:bCs/>
          <w:color w:val="000000" w:themeColor="text1"/>
          <w:sz w:val="20"/>
          <w:szCs w:val="20"/>
        </w:rPr>
      </w:pPr>
    </w:p>
    <w:p w14:paraId="482C7569" w14:textId="77777777" w:rsidR="006923DF" w:rsidRPr="00164238" w:rsidRDefault="006923DF" w:rsidP="006923DF">
      <w:pPr>
        <w:pStyle w:val="Default"/>
        <w:jc w:val="both"/>
        <w:rPr>
          <w:bCs/>
          <w:color w:val="000000" w:themeColor="text1"/>
          <w:sz w:val="20"/>
          <w:szCs w:val="20"/>
        </w:rPr>
      </w:pPr>
    </w:p>
    <w:p w14:paraId="6CA115EF" w14:textId="77777777" w:rsidR="006923DF" w:rsidRPr="00164238" w:rsidRDefault="006923DF" w:rsidP="006923DF">
      <w:pPr>
        <w:pStyle w:val="Default"/>
        <w:jc w:val="both"/>
        <w:rPr>
          <w:bCs/>
          <w:color w:val="000000" w:themeColor="text1"/>
          <w:sz w:val="20"/>
          <w:szCs w:val="20"/>
        </w:rPr>
      </w:pPr>
    </w:p>
    <w:p w14:paraId="7AD35507" w14:textId="77777777" w:rsidR="006923DF" w:rsidRPr="00164238" w:rsidRDefault="006923DF" w:rsidP="006923DF">
      <w:pPr>
        <w:pStyle w:val="Default"/>
        <w:jc w:val="both"/>
        <w:rPr>
          <w:bCs/>
          <w:color w:val="000000" w:themeColor="text1"/>
          <w:sz w:val="20"/>
          <w:szCs w:val="20"/>
        </w:rPr>
      </w:pPr>
    </w:p>
    <w:p w14:paraId="1871DA44" w14:textId="77777777" w:rsidR="006923DF" w:rsidRPr="00164238" w:rsidRDefault="006923DF" w:rsidP="006923DF">
      <w:pPr>
        <w:pStyle w:val="Default"/>
        <w:jc w:val="both"/>
        <w:rPr>
          <w:bCs/>
          <w:color w:val="000000" w:themeColor="text1"/>
          <w:sz w:val="20"/>
          <w:szCs w:val="20"/>
        </w:rPr>
      </w:pPr>
    </w:p>
    <w:p w14:paraId="62CF2BC2" w14:textId="77777777" w:rsidR="006923DF" w:rsidRPr="00164238" w:rsidRDefault="006923DF" w:rsidP="006923DF">
      <w:pPr>
        <w:pStyle w:val="Default"/>
        <w:jc w:val="both"/>
        <w:rPr>
          <w:bCs/>
          <w:color w:val="000000" w:themeColor="text1"/>
          <w:sz w:val="20"/>
          <w:szCs w:val="20"/>
        </w:rPr>
      </w:pPr>
    </w:p>
    <w:p w14:paraId="40CE8F23" w14:textId="77777777" w:rsidR="006923DF" w:rsidRPr="00164238" w:rsidRDefault="006923DF" w:rsidP="006923DF">
      <w:pPr>
        <w:pStyle w:val="Default"/>
        <w:jc w:val="both"/>
        <w:rPr>
          <w:bCs/>
          <w:color w:val="000000" w:themeColor="text1"/>
          <w:sz w:val="20"/>
          <w:szCs w:val="20"/>
        </w:rPr>
      </w:pPr>
    </w:p>
    <w:p w14:paraId="4F560D80" w14:textId="77777777" w:rsidR="006923DF" w:rsidRPr="00164238" w:rsidRDefault="006923DF" w:rsidP="006923DF">
      <w:pPr>
        <w:pStyle w:val="Default"/>
        <w:jc w:val="both"/>
        <w:rPr>
          <w:bCs/>
          <w:color w:val="000000" w:themeColor="text1"/>
          <w:sz w:val="20"/>
          <w:szCs w:val="20"/>
        </w:rPr>
      </w:pPr>
    </w:p>
    <w:p w14:paraId="3350D4E5" w14:textId="77777777" w:rsidR="006923DF" w:rsidRPr="00164238" w:rsidRDefault="006923DF" w:rsidP="006923DF">
      <w:pPr>
        <w:pStyle w:val="Default"/>
        <w:jc w:val="both"/>
        <w:rPr>
          <w:bCs/>
          <w:color w:val="000000" w:themeColor="text1"/>
          <w:sz w:val="20"/>
          <w:szCs w:val="20"/>
        </w:rPr>
      </w:pPr>
    </w:p>
    <w:p w14:paraId="3F043686" w14:textId="77777777" w:rsidR="006923DF" w:rsidRPr="00164238" w:rsidRDefault="006923DF" w:rsidP="006923DF">
      <w:pPr>
        <w:pStyle w:val="Default"/>
        <w:jc w:val="both"/>
        <w:rPr>
          <w:bCs/>
          <w:color w:val="000000" w:themeColor="text1"/>
          <w:sz w:val="20"/>
          <w:szCs w:val="20"/>
        </w:rPr>
      </w:pPr>
    </w:p>
    <w:p w14:paraId="1FAC8AA6" w14:textId="77777777" w:rsidR="006923DF" w:rsidRPr="00164238" w:rsidRDefault="006923DF" w:rsidP="006923DF">
      <w:pPr>
        <w:pStyle w:val="Default"/>
        <w:jc w:val="both"/>
        <w:rPr>
          <w:bCs/>
          <w:color w:val="000000" w:themeColor="text1"/>
          <w:sz w:val="20"/>
          <w:szCs w:val="20"/>
        </w:rPr>
      </w:pPr>
    </w:p>
    <w:p w14:paraId="394FBF39" w14:textId="77777777" w:rsidR="006923DF" w:rsidRPr="00164238" w:rsidRDefault="006923DF" w:rsidP="006923DF">
      <w:pPr>
        <w:pStyle w:val="Default"/>
        <w:jc w:val="both"/>
        <w:rPr>
          <w:bCs/>
          <w:color w:val="000000" w:themeColor="text1"/>
          <w:sz w:val="20"/>
          <w:szCs w:val="20"/>
        </w:rPr>
      </w:pPr>
    </w:p>
    <w:p w14:paraId="4367BB08" w14:textId="77777777" w:rsidR="006923DF" w:rsidRPr="00164238" w:rsidRDefault="006923DF" w:rsidP="006923DF">
      <w:pPr>
        <w:pStyle w:val="Default"/>
        <w:jc w:val="both"/>
        <w:rPr>
          <w:bCs/>
          <w:color w:val="000000" w:themeColor="text1"/>
          <w:sz w:val="20"/>
          <w:szCs w:val="20"/>
        </w:rPr>
      </w:pPr>
    </w:p>
    <w:p w14:paraId="7D7F0D20" w14:textId="77777777" w:rsidR="006923DF" w:rsidRPr="00164238" w:rsidRDefault="006923DF" w:rsidP="006923DF">
      <w:pPr>
        <w:pStyle w:val="Default"/>
        <w:jc w:val="both"/>
        <w:rPr>
          <w:bCs/>
          <w:color w:val="000000" w:themeColor="text1"/>
          <w:sz w:val="20"/>
          <w:szCs w:val="20"/>
        </w:rPr>
      </w:pPr>
    </w:p>
    <w:p w14:paraId="0E27820F" w14:textId="77777777" w:rsidR="006923DF" w:rsidRPr="00164238" w:rsidRDefault="006923DF" w:rsidP="006923DF">
      <w:pPr>
        <w:pStyle w:val="Default"/>
        <w:jc w:val="both"/>
        <w:rPr>
          <w:bCs/>
          <w:color w:val="000000" w:themeColor="text1"/>
          <w:sz w:val="20"/>
          <w:szCs w:val="20"/>
        </w:rPr>
      </w:pPr>
    </w:p>
    <w:p w14:paraId="1CB52FA0" w14:textId="77777777" w:rsidR="006923DF" w:rsidRPr="00164238" w:rsidRDefault="006923DF" w:rsidP="006923DF">
      <w:pPr>
        <w:pStyle w:val="Default"/>
        <w:jc w:val="both"/>
        <w:rPr>
          <w:bCs/>
          <w:color w:val="000000" w:themeColor="text1"/>
          <w:sz w:val="20"/>
          <w:szCs w:val="20"/>
        </w:rPr>
      </w:pPr>
    </w:p>
    <w:p w14:paraId="6DF0CD1C" w14:textId="77777777" w:rsidR="006923DF" w:rsidRPr="00164238" w:rsidRDefault="006923DF" w:rsidP="006923DF">
      <w:pPr>
        <w:pStyle w:val="Default"/>
        <w:jc w:val="both"/>
        <w:rPr>
          <w:bCs/>
          <w:color w:val="000000" w:themeColor="text1"/>
          <w:sz w:val="20"/>
          <w:szCs w:val="20"/>
        </w:rPr>
      </w:pPr>
    </w:p>
    <w:p w14:paraId="49F9B005" w14:textId="77777777" w:rsidR="006923DF" w:rsidRPr="00164238" w:rsidRDefault="006923DF" w:rsidP="006923DF">
      <w:pPr>
        <w:pStyle w:val="Default"/>
        <w:jc w:val="both"/>
        <w:rPr>
          <w:bCs/>
          <w:color w:val="000000" w:themeColor="text1"/>
          <w:sz w:val="20"/>
          <w:szCs w:val="20"/>
        </w:rPr>
      </w:pPr>
    </w:p>
    <w:p w14:paraId="0AE28B9B" w14:textId="77777777" w:rsidR="006923DF" w:rsidRPr="00164238" w:rsidRDefault="006923DF" w:rsidP="006923DF">
      <w:pPr>
        <w:pStyle w:val="Default"/>
        <w:jc w:val="both"/>
        <w:rPr>
          <w:bCs/>
          <w:color w:val="000000" w:themeColor="text1"/>
          <w:sz w:val="20"/>
          <w:szCs w:val="20"/>
        </w:rPr>
      </w:pPr>
    </w:p>
    <w:p w14:paraId="30128058" w14:textId="77777777" w:rsidR="006923DF" w:rsidRPr="00164238" w:rsidRDefault="006923DF" w:rsidP="006923DF">
      <w:pPr>
        <w:pStyle w:val="Default"/>
        <w:spacing w:after="160" w:line="259" w:lineRule="auto"/>
        <w:jc w:val="both"/>
        <w:rPr>
          <w:color w:val="000000" w:themeColor="text1"/>
          <w:sz w:val="20"/>
          <w:szCs w:val="20"/>
        </w:rPr>
      </w:pPr>
      <w:r w:rsidRPr="00164238">
        <w:rPr>
          <w:bCs/>
          <w:color w:val="000000" w:themeColor="text1"/>
          <w:sz w:val="20"/>
          <w:szCs w:val="20"/>
        </w:rPr>
        <w:lastRenderedPageBreak/>
        <w:t xml:space="preserve">The International Symposium on Business Administration and Economics is the first in a series of symposiums organized by Gazi Academic Publishing. The ISBE offers an international platform for researchers to address contemporary challenges in the field of social sciences. The 2021 ISBE held on 7-8 April, 2021. </w:t>
      </w:r>
    </w:p>
    <w:p w14:paraId="50D26AF0" w14:textId="77777777" w:rsidR="006923DF" w:rsidRPr="00164238" w:rsidRDefault="006923DF" w:rsidP="006923DF">
      <w:pPr>
        <w:pStyle w:val="Default"/>
        <w:spacing w:after="160" w:line="259" w:lineRule="auto"/>
        <w:jc w:val="both"/>
        <w:rPr>
          <w:b/>
          <w:color w:val="000000" w:themeColor="text1"/>
          <w:sz w:val="22"/>
          <w:szCs w:val="22"/>
        </w:rPr>
      </w:pPr>
      <w:r w:rsidRPr="00164238">
        <w:rPr>
          <w:bCs/>
          <w:color w:val="000000" w:themeColor="text1"/>
          <w:sz w:val="20"/>
          <w:szCs w:val="20"/>
        </w:rPr>
        <w:t xml:space="preserve">Every year a new theme will be determined by the symposia committee and this year’s event focused on </w:t>
      </w:r>
      <w:r w:rsidRPr="00164238">
        <w:rPr>
          <w:b/>
          <w:bCs/>
          <w:color w:val="000000" w:themeColor="text1"/>
          <w:sz w:val="22"/>
          <w:szCs w:val="22"/>
        </w:rPr>
        <w:t>“</w:t>
      </w:r>
      <w:r w:rsidRPr="00164238">
        <w:rPr>
          <w:b/>
          <w:bCs/>
          <w:iCs/>
          <w:color w:val="000000" w:themeColor="text1"/>
          <w:sz w:val="22"/>
          <w:szCs w:val="22"/>
        </w:rPr>
        <w:t>the challenges surrounding COVID-19 pandemic: economic, social and behavioral response to epidemic</w:t>
      </w:r>
      <w:r w:rsidRPr="00164238">
        <w:rPr>
          <w:b/>
          <w:bCs/>
          <w:color w:val="000000" w:themeColor="text1"/>
          <w:sz w:val="22"/>
          <w:szCs w:val="22"/>
        </w:rPr>
        <w:t xml:space="preserve">”. </w:t>
      </w:r>
    </w:p>
    <w:p w14:paraId="335D5128" w14:textId="77777777" w:rsidR="006923DF" w:rsidRPr="00164238" w:rsidRDefault="006923DF" w:rsidP="006923DF">
      <w:pPr>
        <w:pStyle w:val="Default"/>
        <w:spacing w:after="160" w:line="259" w:lineRule="auto"/>
        <w:jc w:val="both"/>
        <w:rPr>
          <w:bCs/>
          <w:color w:val="000000" w:themeColor="text1"/>
          <w:sz w:val="20"/>
          <w:szCs w:val="20"/>
        </w:rPr>
      </w:pPr>
      <w:r w:rsidRPr="00164238">
        <w:rPr>
          <w:bCs/>
          <w:color w:val="000000" w:themeColor="text1"/>
          <w:sz w:val="20"/>
          <w:szCs w:val="20"/>
        </w:rPr>
        <w:t xml:space="preserve">Possible topics (but not limited to) are: </w:t>
      </w:r>
    </w:p>
    <w:p w14:paraId="1DFF2873" w14:textId="77777777" w:rsidR="006923DF" w:rsidRPr="00164238" w:rsidRDefault="006923DF" w:rsidP="006923DF">
      <w:pPr>
        <w:pStyle w:val="Default"/>
        <w:numPr>
          <w:ilvl w:val="0"/>
          <w:numId w:val="56"/>
        </w:numPr>
        <w:rPr>
          <w:bCs/>
          <w:color w:val="000000" w:themeColor="text1"/>
          <w:sz w:val="20"/>
          <w:szCs w:val="20"/>
        </w:rPr>
      </w:pPr>
      <w:r w:rsidRPr="00164238">
        <w:rPr>
          <w:bCs/>
          <w:color w:val="000000" w:themeColor="text1"/>
          <w:sz w:val="20"/>
          <w:szCs w:val="20"/>
        </w:rPr>
        <w:t xml:space="preserve">Management Science </w:t>
      </w:r>
    </w:p>
    <w:p w14:paraId="60BF911A" w14:textId="77777777" w:rsidR="006923DF" w:rsidRPr="00164238" w:rsidRDefault="006923DF" w:rsidP="006923DF">
      <w:pPr>
        <w:pStyle w:val="Default"/>
        <w:numPr>
          <w:ilvl w:val="0"/>
          <w:numId w:val="56"/>
        </w:numPr>
        <w:rPr>
          <w:bCs/>
          <w:color w:val="000000" w:themeColor="text1"/>
          <w:sz w:val="20"/>
          <w:szCs w:val="20"/>
        </w:rPr>
      </w:pPr>
      <w:r w:rsidRPr="00164238">
        <w:rPr>
          <w:bCs/>
          <w:color w:val="000000" w:themeColor="text1"/>
          <w:sz w:val="20"/>
          <w:szCs w:val="20"/>
        </w:rPr>
        <w:t xml:space="preserve">MIS </w:t>
      </w:r>
    </w:p>
    <w:p w14:paraId="302E7DAB" w14:textId="77777777" w:rsidR="006923DF" w:rsidRPr="00164238" w:rsidRDefault="006923DF" w:rsidP="006923DF">
      <w:pPr>
        <w:pStyle w:val="Default"/>
        <w:numPr>
          <w:ilvl w:val="0"/>
          <w:numId w:val="56"/>
        </w:numPr>
        <w:rPr>
          <w:bCs/>
          <w:color w:val="000000" w:themeColor="text1"/>
          <w:sz w:val="20"/>
          <w:szCs w:val="20"/>
        </w:rPr>
      </w:pPr>
      <w:r w:rsidRPr="00164238">
        <w:rPr>
          <w:bCs/>
          <w:color w:val="000000" w:themeColor="text1"/>
          <w:sz w:val="20"/>
          <w:szCs w:val="20"/>
        </w:rPr>
        <w:t>Immigration</w:t>
      </w:r>
    </w:p>
    <w:p w14:paraId="0297E031" w14:textId="77777777" w:rsidR="006923DF" w:rsidRPr="00164238" w:rsidRDefault="006923DF" w:rsidP="006923DF">
      <w:pPr>
        <w:pStyle w:val="Default"/>
        <w:numPr>
          <w:ilvl w:val="0"/>
          <w:numId w:val="56"/>
        </w:numPr>
        <w:rPr>
          <w:bCs/>
          <w:color w:val="000000" w:themeColor="text1"/>
          <w:sz w:val="20"/>
          <w:szCs w:val="20"/>
        </w:rPr>
      </w:pPr>
      <w:r w:rsidRPr="00164238">
        <w:rPr>
          <w:bCs/>
          <w:color w:val="000000" w:themeColor="text1"/>
          <w:sz w:val="20"/>
          <w:szCs w:val="20"/>
        </w:rPr>
        <w:t xml:space="preserve">Energy </w:t>
      </w:r>
    </w:p>
    <w:p w14:paraId="17806DD4" w14:textId="77777777" w:rsidR="006923DF" w:rsidRPr="00164238" w:rsidRDefault="006923DF" w:rsidP="006923DF">
      <w:pPr>
        <w:pStyle w:val="Default"/>
        <w:numPr>
          <w:ilvl w:val="0"/>
          <w:numId w:val="56"/>
        </w:numPr>
        <w:rPr>
          <w:bCs/>
          <w:color w:val="000000" w:themeColor="text1"/>
          <w:sz w:val="20"/>
          <w:szCs w:val="20"/>
        </w:rPr>
      </w:pPr>
      <w:r w:rsidRPr="00164238">
        <w:rPr>
          <w:bCs/>
          <w:color w:val="000000" w:themeColor="text1"/>
          <w:sz w:val="20"/>
          <w:szCs w:val="20"/>
        </w:rPr>
        <w:t xml:space="preserve">Organization theories and studies </w:t>
      </w:r>
    </w:p>
    <w:p w14:paraId="35021012" w14:textId="77777777" w:rsidR="006923DF" w:rsidRPr="00164238" w:rsidRDefault="006923DF" w:rsidP="006923DF">
      <w:pPr>
        <w:pStyle w:val="Default"/>
        <w:numPr>
          <w:ilvl w:val="0"/>
          <w:numId w:val="56"/>
        </w:numPr>
        <w:rPr>
          <w:bCs/>
          <w:color w:val="000000" w:themeColor="text1"/>
          <w:sz w:val="20"/>
          <w:szCs w:val="20"/>
        </w:rPr>
      </w:pPr>
      <w:r w:rsidRPr="00164238">
        <w:rPr>
          <w:bCs/>
          <w:color w:val="000000" w:themeColor="text1"/>
          <w:sz w:val="20"/>
          <w:szCs w:val="20"/>
        </w:rPr>
        <w:t xml:space="preserve">Healthcare management </w:t>
      </w:r>
    </w:p>
    <w:p w14:paraId="2B2F59E8" w14:textId="77777777" w:rsidR="006923DF" w:rsidRPr="00164238" w:rsidRDefault="006923DF" w:rsidP="006923DF">
      <w:pPr>
        <w:pStyle w:val="Default"/>
        <w:numPr>
          <w:ilvl w:val="0"/>
          <w:numId w:val="56"/>
        </w:numPr>
        <w:rPr>
          <w:bCs/>
          <w:color w:val="000000" w:themeColor="text1"/>
          <w:sz w:val="20"/>
          <w:szCs w:val="20"/>
        </w:rPr>
      </w:pPr>
      <w:r w:rsidRPr="00164238">
        <w:rPr>
          <w:bCs/>
          <w:color w:val="000000" w:themeColor="text1"/>
          <w:sz w:val="20"/>
          <w:szCs w:val="20"/>
        </w:rPr>
        <w:t xml:space="preserve">Finance and accounting </w:t>
      </w:r>
    </w:p>
    <w:p w14:paraId="5298EB2D" w14:textId="77777777" w:rsidR="006923DF" w:rsidRPr="00164238" w:rsidRDefault="006923DF" w:rsidP="006923DF">
      <w:pPr>
        <w:pStyle w:val="Default"/>
        <w:numPr>
          <w:ilvl w:val="0"/>
          <w:numId w:val="56"/>
        </w:numPr>
        <w:rPr>
          <w:bCs/>
          <w:color w:val="000000" w:themeColor="text1"/>
          <w:sz w:val="20"/>
          <w:szCs w:val="20"/>
        </w:rPr>
      </w:pPr>
      <w:r w:rsidRPr="00164238">
        <w:rPr>
          <w:bCs/>
          <w:color w:val="000000" w:themeColor="text1"/>
          <w:sz w:val="20"/>
          <w:szCs w:val="20"/>
        </w:rPr>
        <w:t xml:space="preserve">Urban, rural, and regional economics </w:t>
      </w:r>
    </w:p>
    <w:p w14:paraId="4F830BA4" w14:textId="77777777" w:rsidR="006923DF" w:rsidRPr="00164238" w:rsidRDefault="006923DF" w:rsidP="006923DF">
      <w:pPr>
        <w:pStyle w:val="Default"/>
        <w:numPr>
          <w:ilvl w:val="0"/>
          <w:numId w:val="56"/>
        </w:numPr>
        <w:rPr>
          <w:bCs/>
          <w:color w:val="000000" w:themeColor="text1"/>
          <w:sz w:val="20"/>
          <w:szCs w:val="20"/>
        </w:rPr>
      </w:pPr>
      <w:r w:rsidRPr="00164238">
        <w:rPr>
          <w:bCs/>
          <w:color w:val="000000" w:themeColor="text1"/>
          <w:sz w:val="20"/>
          <w:szCs w:val="20"/>
        </w:rPr>
        <w:t xml:space="preserve">Auditing </w:t>
      </w:r>
    </w:p>
    <w:p w14:paraId="71627ACD" w14:textId="77777777" w:rsidR="006923DF" w:rsidRPr="00164238" w:rsidRDefault="006923DF" w:rsidP="006923DF">
      <w:pPr>
        <w:pStyle w:val="Default"/>
        <w:numPr>
          <w:ilvl w:val="0"/>
          <w:numId w:val="56"/>
        </w:numPr>
        <w:rPr>
          <w:bCs/>
          <w:color w:val="000000" w:themeColor="text1"/>
          <w:sz w:val="20"/>
          <w:szCs w:val="20"/>
        </w:rPr>
      </w:pPr>
      <w:r w:rsidRPr="00164238">
        <w:rPr>
          <w:bCs/>
          <w:color w:val="000000" w:themeColor="text1"/>
          <w:sz w:val="20"/>
          <w:szCs w:val="20"/>
        </w:rPr>
        <w:t xml:space="preserve">Experimental economics </w:t>
      </w:r>
    </w:p>
    <w:p w14:paraId="6A0DFDB6" w14:textId="77777777" w:rsidR="006923DF" w:rsidRPr="00164238" w:rsidRDefault="006923DF" w:rsidP="006923DF">
      <w:pPr>
        <w:pStyle w:val="Default"/>
        <w:numPr>
          <w:ilvl w:val="0"/>
          <w:numId w:val="56"/>
        </w:numPr>
        <w:rPr>
          <w:bCs/>
          <w:color w:val="000000" w:themeColor="text1"/>
          <w:sz w:val="20"/>
          <w:szCs w:val="20"/>
        </w:rPr>
      </w:pPr>
      <w:r w:rsidRPr="00164238">
        <w:rPr>
          <w:bCs/>
          <w:color w:val="000000" w:themeColor="text1"/>
          <w:sz w:val="20"/>
          <w:szCs w:val="20"/>
        </w:rPr>
        <w:t xml:space="preserve">Marketing </w:t>
      </w:r>
    </w:p>
    <w:p w14:paraId="35CB170B" w14:textId="77777777" w:rsidR="006923DF" w:rsidRPr="00164238" w:rsidRDefault="006923DF" w:rsidP="006923DF">
      <w:pPr>
        <w:pStyle w:val="Default"/>
        <w:numPr>
          <w:ilvl w:val="0"/>
          <w:numId w:val="56"/>
        </w:numPr>
        <w:rPr>
          <w:bCs/>
          <w:color w:val="000000" w:themeColor="text1"/>
          <w:sz w:val="20"/>
          <w:szCs w:val="20"/>
        </w:rPr>
      </w:pPr>
      <w:r w:rsidRPr="00164238">
        <w:rPr>
          <w:bCs/>
          <w:color w:val="000000" w:themeColor="text1"/>
          <w:sz w:val="20"/>
          <w:szCs w:val="20"/>
        </w:rPr>
        <w:t xml:space="preserve">Entrepreneurship </w:t>
      </w:r>
    </w:p>
    <w:p w14:paraId="4B3FD85D" w14:textId="77777777" w:rsidR="006923DF" w:rsidRPr="00164238" w:rsidRDefault="006923DF" w:rsidP="006923DF">
      <w:pPr>
        <w:pStyle w:val="Default"/>
        <w:numPr>
          <w:ilvl w:val="0"/>
          <w:numId w:val="56"/>
        </w:numPr>
        <w:rPr>
          <w:bCs/>
          <w:color w:val="000000" w:themeColor="text1"/>
          <w:sz w:val="20"/>
          <w:szCs w:val="20"/>
        </w:rPr>
      </w:pPr>
      <w:r w:rsidRPr="00164238">
        <w:rPr>
          <w:bCs/>
          <w:color w:val="000000" w:themeColor="text1"/>
          <w:sz w:val="20"/>
          <w:szCs w:val="20"/>
        </w:rPr>
        <w:t xml:space="preserve">Quantitative techniques </w:t>
      </w:r>
    </w:p>
    <w:p w14:paraId="6B5C39AE" w14:textId="77777777" w:rsidR="006923DF" w:rsidRPr="00164238" w:rsidRDefault="006923DF" w:rsidP="006923DF">
      <w:pPr>
        <w:pStyle w:val="Default"/>
        <w:numPr>
          <w:ilvl w:val="0"/>
          <w:numId w:val="56"/>
        </w:numPr>
        <w:rPr>
          <w:bCs/>
          <w:color w:val="000000" w:themeColor="text1"/>
          <w:sz w:val="20"/>
          <w:szCs w:val="20"/>
        </w:rPr>
      </w:pPr>
      <w:r w:rsidRPr="00164238">
        <w:rPr>
          <w:bCs/>
          <w:color w:val="000000" w:themeColor="text1"/>
          <w:sz w:val="20"/>
          <w:szCs w:val="20"/>
        </w:rPr>
        <w:t xml:space="preserve">Business Law </w:t>
      </w:r>
    </w:p>
    <w:p w14:paraId="4C1DB681" w14:textId="77777777" w:rsidR="006923DF" w:rsidRPr="00164238" w:rsidRDefault="006923DF" w:rsidP="006923DF">
      <w:pPr>
        <w:pStyle w:val="Default"/>
        <w:numPr>
          <w:ilvl w:val="0"/>
          <w:numId w:val="56"/>
        </w:numPr>
        <w:rPr>
          <w:bCs/>
          <w:color w:val="000000" w:themeColor="text1"/>
          <w:sz w:val="20"/>
          <w:szCs w:val="20"/>
        </w:rPr>
      </w:pPr>
      <w:r w:rsidRPr="00164238">
        <w:rPr>
          <w:bCs/>
          <w:color w:val="000000" w:themeColor="text1"/>
          <w:sz w:val="20"/>
          <w:szCs w:val="20"/>
        </w:rPr>
        <w:t xml:space="preserve">Psychology </w:t>
      </w:r>
    </w:p>
    <w:p w14:paraId="2AEF5B17" w14:textId="77777777" w:rsidR="006923DF" w:rsidRPr="00164238" w:rsidRDefault="006923DF" w:rsidP="006923DF">
      <w:pPr>
        <w:pStyle w:val="Default"/>
        <w:numPr>
          <w:ilvl w:val="0"/>
          <w:numId w:val="56"/>
        </w:numPr>
        <w:rPr>
          <w:bCs/>
          <w:color w:val="000000" w:themeColor="text1"/>
          <w:sz w:val="20"/>
          <w:szCs w:val="20"/>
        </w:rPr>
      </w:pPr>
      <w:r w:rsidRPr="00164238">
        <w:rPr>
          <w:bCs/>
          <w:color w:val="000000" w:themeColor="text1"/>
          <w:sz w:val="20"/>
          <w:szCs w:val="20"/>
        </w:rPr>
        <w:t xml:space="preserve">Innovation </w:t>
      </w:r>
    </w:p>
    <w:p w14:paraId="3B864E3C" w14:textId="77777777" w:rsidR="006923DF" w:rsidRPr="00164238" w:rsidRDefault="006923DF" w:rsidP="006923DF">
      <w:pPr>
        <w:pStyle w:val="Default"/>
        <w:numPr>
          <w:ilvl w:val="0"/>
          <w:numId w:val="56"/>
        </w:numPr>
        <w:rPr>
          <w:bCs/>
          <w:color w:val="000000" w:themeColor="text1"/>
          <w:sz w:val="20"/>
          <w:szCs w:val="20"/>
        </w:rPr>
      </w:pPr>
      <w:r w:rsidRPr="00164238">
        <w:rPr>
          <w:bCs/>
          <w:color w:val="000000" w:themeColor="text1"/>
          <w:sz w:val="20"/>
          <w:szCs w:val="20"/>
        </w:rPr>
        <w:t xml:space="preserve">Sociology </w:t>
      </w:r>
    </w:p>
    <w:p w14:paraId="2A741536" w14:textId="77777777" w:rsidR="006923DF" w:rsidRPr="00164238" w:rsidRDefault="006923DF" w:rsidP="006923DF">
      <w:pPr>
        <w:pStyle w:val="Default"/>
        <w:numPr>
          <w:ilvl w:val="0"/>
          <w:numId w:val="56"/>
        </w:numPr>
        <w:rPr>
          <w:bCs/>
          <w:color w:val="000000" w:themeColor="text1"/>
          <w:sz w:val="20"/>
          <w:szCs w:val="20"/>
        </w:rPr>
      </w:pPr>
      <w:r w:rsidRPr="00164238">
        <w:rPr>
          <w:bCs/>
          <w:color w:val="000000" w:themeColor="text1"/>
          <w:sz w:val="20"/>
          <w:szCs w:val="20"/>
        </w:rPr>
        <w:t xml:space="preserve">Law </w:t>
      </w:r>
    </w:p>
    <w:p w14:paraId="425E820C" w14:textId="77777777" w:rsidR="006923DF" w:rsidRPr="00164238" w:rsidRDefault="006923DF" w:rsidP="006923DF">
      <w:pPr>
        <w:pStyle w:val="Default"/>
        <w:numPr>
          <w:ilvl w:val="0"/>
          <w:numId w:val="56"/>
        </w:numPr>
        <w:rPr>
          <w:bCs/>
          <w:color w:val="000000" w:themeColor="text1"/>
          <w:sz w:val="20"/>
          <w:szCs w:val="20"/>
        </w:rPr>
      </w:pPr>
      <w:r w:rsidRPr="00164238">
        <w:rPr>
          <w:bCs/>
          <w:color w:val="000000" w:themeColor="text1"/>
          <w:sz w:val="20"/>
          <w:szCs w:val="20"/>
        </w:rPr>
        <w:t>Tourism</w:t>
      </w:r>
    </w:p>
    <w:p w14:paraId="3EAFE080" w14:textId="77777777" w:rsidR="006923DF" w:rsidRPr="00164238" w:rsidRDefault="006923DF" w:rsidP="006923DF">
      <w:pPr>
        <w:pStyle w:val="Default"/>
        <w:numPr>
          <w:ilvl w:val="0"/>
          <w:numId w:val="56"/>
        </w:numPr>
        <w:rPr>
          <w:bCs/>
          <w:color w:val="000000" w:themeColor="text1"/>
          <w:sz w:val="20"/>
          <w:szCs w:val="20"/>
        </w:rPr>
      </w:pPr>
      <w:r w:rsidRPr="00164238">
        <w:rPr>
          <w:bCs/>
          <w:color w:val="000000" w:themeColor="text1"/>
          <w:sz w:val="20"/>
          <w:szCs w:val="20"/>
        </w:rPr>
        <w:t>Education</w:t>
      </w:r>
    </w:p>
    <w:p w14:paraId="7C4455AE" w14:textId="77777777" w:rsidR="006923DF" w:rsidRPr="00164238" w:rsidRDefault="006923DF" w:rsidP="006923DF">
      <w:pPr>
        <w:pStyle w:val="Default"/>
        <w:rPr>
          <w:bCs/>
          <w:color w:val="000000" w:themeColor="text1"/>
          <w:sz w:val="20"/>
          <w:szCs w:val="20"/>
        </w:rPr>
      </w:pPr>
    </w:p>
    <w:p w14:paraId="6497E37A" w14:textId="77777777" w:rsidR="006923DF" w:rsidRPr="00164238" w:rsidRDefault="006923DF" w:rsidP="006923DF">
      <w:pPr>
        <w:pStyle w:val="Default"/>
        <w:rPr>
          <w:bCs/>
          <w:color w:val="000000" w:themeColor="text1"/>
          <w:sz w:val="20"/>
          <w:szCs w:val="20"/>
        </w:rPr>
      </w:pPr>
    </w:p>
    <w:p w14:paraId="31FEB57C" w14:textId="77777777" w:rsidR="006923DF" w:rsidRPr="00164238" w:rsidRDefault="006923DF" w:rsidP="006923DF">
      <w:pPr>
        <w:pStyle w:val="Default"/>
        <w:rPr>
          <w:bCs/>
          <w:color w:val="000000" w:themeColor="text1"/>
          <w:sz w:val="20"/>
          <w:szCs w:val="20"/>
        </w:rPr>
      </w:pPr>
    </w:p>
    <w:p w14:paraId="13851AAF" w14:textId="77777777" w:rsidR="006923DF" w:rsidRPr="00164238" w:rsidRDefault="006923DF" w:rsidP="006923DF">
      <w:pPr>
        <w:pStyle w:val="Default"/>
        <w:rPr>
          <w:bCs/>
          <w:color w:val="000000" w:themeColor="text1"/>
          <w:sz w:val="20"/>
          <w:szCs w:val="20"/>
        </w:rPr>
      </w:pPr>
    </w:p>
    <w:p w14:paraId="745D6DBC" w14:textId="77777777" w:rsidR="006923DF" w:rsidRPr="00164238" w:rsidRDefault="006923DF" w:rsidP="006923DF">
      <w:pPr>
        <w:pStyle w:val="Default"/>
        <w:jc w:val="right"/>
        <w:rPr>
          <w:color w:val="000000" w:themeColor="text1"/>
          <w:sz w:val="22"/>
          <w:szCs w:val="22"/>
        </w:rPr>
      </w:pPr>
      <w:r w:rsidRPr="00164238">
        <w:rPr>
          <w:bCs/>
          <w:color w:val="000000" w:themeColor="text1"/>
          <w:sz w:val="22"/>
          <w:szCs w:val="22"/>
        </w:rPr>
        <w:t xml:space="preserve">International Symposium on Business, Economics &amp; Education 2021 </w:t>
      </w:r>
    </w:p>
    <w:p w14:paraId="3F47AE0C" w14:textId="77777777" w:rsidR="006923DF" w:rsidRPr="00164238" w:rsidRDefault="006923DF" w:rsidP="006923DF">
      <w:pPr>
        <w:pStyle w:val="Default"/>
        <w:jc w:val="right"/>
        <w:rPr>
          <w:color w:val="000000" w:themeColor="text1"/>
          <w:sz w:val="22"/>
          <w:szCs w:val="22"/>
        </w:rPr>
      </w:pPr>
      <w:r w:rsidRPr="00164238">
        <w:rPr>
          <w:bCs/>
          <w:color w:val="000000" w:themeColor="text1"/>
          <w:sz w:val="22"/>
          <w:szCs w:val="22"/>
        </w:rPr>
        <w:t xml:space="preserve">April -2021 </w:t>
      </w:r>
    </w:p>
    <w:p w14:paraId="3BECD9CD" w14:textId="77777777" w:rsidR="006923DF" w:rsidRPr="00164238" w:rsidRDefault="006923DF" w:rsidP="006923DF">
      <w:pPr>
        <w:pStyle w:val="Default"/>
        <w:jc w:val="right"/>
        <w:rPr>
          <w:color w:val="000000" w:themeColor="text1"/>
          <w:sz w:val="22"/>
          <w:szCs w:val="22"/>
        </w:rPr>
      </w:pPr>
      <w:r w:rsidRPr="00164238">
        <w:rPr>
          <w:bCs/>
          <w:color w:val="000000" w:themeColor="text1"/>
          <w:sz w:val="22"/>
          <w:szCs w:val="22"/>
        </w:rPr>
        <w:t xml:space="preserve">ISBN: 978-625-409-480-4 </w:t>
      </w:r>
    </w:p>
    <w:p w14:paraId="086C6657" w14:textId="77777777" w:rsidR="006923DF" w:rsidRPr="00164238" w:rsidRDefault="006923DF" w:rsidP="006923DF">
      <w:pPr>
        <w:pStyle w:val="Default"/>
        <w:jc w:val="right"/>
        <w:rPr>
          <w:color w:val="000000" w:themeColor="text1"/>
        </w:rPr>
      </w:pPr>
      <w:r w:rsidRPr="00164238">
        <w:rPr>
          <w:bCs/>
          <w:color w:val="000000" w:themeColor="text1"/>
          <w:sz w:val="22"/>
          <w:szCs w:val="22"/>
        </w:rPr>
        <w:t>www.is-be.org</w:t>
      </w:r>
    </w:p>
    <w:p w14:paraId="419EDB6A" w14:textId="77777777" w:rsidR="006923DF" w:rsidRPr="00164238" w:rsidRDefault="006923DF" w:rsidP="006923DF">
      <w:pPr>
        <w:jc w:val="center"/>
        <w:rPr>
          <w:rFonts w:ascii="Times New Roman" w:hAnsi="Times New Roman" w:cs="Times New Roman"/>
          <w:b/>
          <w:color w:val="000000" w:themeColor="text1"/>
        </w:rPr>
      </w:pPr>
    </w:p>
    <w:p w14:paraId="06545A1D" w14:textId="77777777" w:rsidR="006923DF" w:rsidRPr="00164238" w:rsidRDefault="006923DF" w:rsidP="006923DF">
      <w:pPr>
        <w:jc w:val="center"/>
        <w:rPr>
          <w:rFonts w:ascii="Times New Roman" w:hAnsi="Times New Roman" w:cs="Times New Roman"/>
          <w:b/>
          <w:color w:val="000000" w:themeColor="text1"/>
        </w:rPr>
      </w:pPr>
    </w:p>
    <w:p w14:paraId="6D11AD86" w14:textId="77777777" w:rsidR="006923DF" w:rsidRPr="00164238" w:rsidRDefault="006923DF" w:rsidP="006923DF">
      <w:pPr>
        <w:jc w:val="center"/>
        <w:rPr>
          <w:rFonts w:ascii="Times New Roman" w:hAnsi="Times New Roman" w:cs="Times New Roman"/>
          <w:b/>
          <w:color w:val="000000" w:themeColor="text1"/>
        </w:rPr>
      </w:pPr>
    </w:p>
    <w:p w14:paraId="5A3AE736" w14:textId="3B7F3B0E" w:rsidR="006923DF" w:rsidRPr="00164238" w:rsidRDefault="006923DF" w:rsidP="006923DF">
      <w:pPr>
        <w:pStyle w:val="Default"/>
        <w:rPr>
          <w:b/>
          <w:bCs/>
          <w:color w:val="000000" w:themeColor="text1"/>
          <w:sz w:val="28"/>
          <w:szCs w:val="28"/>
        </w:rPr>
      </w:pPr>
    </w:p>
    <w:p w14:paraId="1B0951F8" w14:textId="6CD1C6F2" w:rsidR="006923DF" w:rsidRPr="00164238" w:rsidRDefault="006923DF" w:rsidP="006923DF">
      <w:pPr>
        <w:pStyle w:val="Default"/>
        <w:rPr>
          <w:b/>
          <w:bCs/>
          <w:color w:val="000000" w:themeColor="text1"/>
          <w:sz w:val="28"/>
          <w:szCs w:val="28"/>
        </w:rPr>
      </w:pPr>
    </w:p>
    <w:p w14:paraId="46CA1711" w14:textId="441FD181" w:rsidR="006923DF" w:rsidRPr="00164238" w:rsidRDefault="006923DF" w:rsidP="006923DF">
      <w:pPr>
        <w:pStyle w:val="Default"/>
        <w:rPr>
          <w:b/>
          <w:bCs/>
          <w:color w:val="000000" w:themeColor="text1"/>
          <w:sz w:val="28"/>
          <w:szCs w:val="28"/>
        </w:rPr>
      </w:pPr>
    </w:p>
    <w:p w14:paraId="13B51F60" w14:textId="22D67C43" w:rsidR="006923DF" w:rsidRPr="00164238" w:rsidRDefault="006923DF" w:rsidP="006923DF">
      <w:pPr>
        <w:pStyle w:val="Default"/>
        <w:rPr>
          <w:b/>
          <w:bCs/>
          <w:color w:val="000000" w:themeColor="text1"/>
          <w:sz w:val="28"/>
          <w:szCs w:val="28"/>
        </w:rPr>
      </w:pPr>
    </w:p>
    <w:p w14:paraId="1969EB89" w14:textId="77777777" w:rsidR="006923DF" w:rsidRPr="00164238" w:rsidRDefault="006923DF" w:rsidP="006923DF">
      <w:pPr>
        <w:pStyle w:val="Default"/>
        <w:rPr>
          <w:b/>
          <w:bCs/>
          <w:color w:val="000000" w:themeColor="text1"/>
          <w:sz w:val="28"/>
          <w:szCs w:val="28"/>
        </w:rPr>
      </w:pPr>
    </w:p>
    <w:p w14:paraId="20C4F46F" w14:textId="77777777" w:rsidR="006923DF" w:rsidRPr="00164238" w:rsidRDefault="006923DF" w:rsidP="006923DF">
      <w:pPr>
        <w:pStyle w:val="Default"/>
        <w:rPr>
          <w:b/>
          <w:bCs/>
          <w:color w:val="000000" w:themeColor="text1"/>
          <w:sz w:val="28"/>
          <w:szCs w:val="28"/>
        </w:rPr>
      </w:pPr>
    </w:p>
    <w:p w14:paraId="3EE21CCB" w14:textId="77777777" w:rsidR="006923DF" w:rsidRPr="00164238" w:rsidRDefault="006923DF" w:rsidP="006923DF">
      <w:pPr>
        <w:pStyle w:val="Default"/>
        <w:rPr>
          <w:b/>
          <w:bCs/>
          <w:color w:val="000000" w:themeColor="text1"/>
          <w:sz w:val="28"/>
          <w:szCs w:val="28"/>
        </w:rPr>
      </w:pPr>
    </w:p>
    <w:p w14:paraId="037762C1" w14:textId="77777777" w:rsidR="006923DF" w:rsidRPr="00164238" w:rsidRDefault="006923DF" w:rsidP="006923DF">
      <w:pPr>
        <w:pStyle w:val="Default"/>
        <w:rPr>
          <w:b/>
          <w:bCs/>
          <w:color w:val="000000" w:themeColor="text1"/>
          <w:sz w:val="28"/>
          <w:szCs w:val="28"/>
        </w:rPr>
      </w:pPr>
    </w:p>
    <w:p w14:paraId="161432C6" w14:textId="77777777" w:rsidR="006923DF" w:rsidRPr="00164238" w:rsidRDefault="006923DF" w:rsidP="006923DF">
      <w:pPr>
        <w:pStyle w:val="Default"/>
        <w:rPr>
          <w:color w:val="000000" w:themeColor="text1"/>
        </w:rPr>
      </w:pPr>
      <w:r w:rsidRPr="00164238">
        <w:rPr>
          <w:b/>
          <w:bCs/>
          <w:color w:val="000000" w:themeColor="text1"/>
        </w:rPr>
        <w:t xml:space="preserve">COMMITTEES </w:t>
      </w:r>
    </w:p>
    <w:p w14:paraId="1FEC934C" w14:textId="77777777" w:rsidR="006923DF" w:rsidRPr="00164238" w:rsidRDefault="006923DF" w:rsidP="006923DF">
      <w:pPr>
        <w:pStyle w:val="Default"/>
        <w:rPr>
          <w:color w:val="000000" w:themeColor="text1"/>
        </w:rPr>
      </w:pPr>
      <w:r w:rsidRPr="00164238">
        <w:rPr>
          <w:b/>
          <w:bCs/>
          <w:color w:val="000000" w:themeColor="text1"/>
        </w:rPr>
        <w:t xml:space="preserve">Symposium Organizing Committee </w:t>
      </w:r>
    </w:p>
    <w:p w14:paraId="51DB9B62"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Prof. Dr. Aydın KARAPINAR (Symposium Chair)</w:t>
      </w:r>
    </w:p>
    <w:p w14:paraId="70E4D118"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Prof. Dr. Figen ZAİF</w:t>
      </w:r>
    </w:p>
    <w:p w14:paraId="15368566"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Prof. Dr. Bülent AKBABA</w:t>
      </w:r>
    </w:p>
    <w:p w14:paraId="67A8614F"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Assoc. Prof. Dr. Şener ŞENTÜRK</w:t>
      </w:r>
    </w:p>
    <w:p w14:paraId="41AA09F0"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Assist. Prof. Dr. Abdülkadir KÖROĞLU</w:t>
      </w:r>
    </w:p>
    <w:p w14:paraId="334C07CB"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Assist. Prof. Dr. Oğuzhan Yavuz</w:t>
      </w:r>
    </w:p>
    <w:p w14:paraId="06D3B4CA"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Assist. Prof. Dr. Tuba YUMUŞAK</w:t>
      </w:r>
    </w:p>
    <w:p w14:paraId="02CB6C26"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Dr. Alper ALTUNÇEKİÇ</w:t>
      </w:r>
    </w:p>
    <w:p w14:paraId="51009B36"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Dr. Şahnaz KOÇOĞLU</w:t>
      </w:r>
    </w:p>
    <w:p w14:paraId="1F4F434F"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Dr. Cihat ERBİL</w:t>
      </w:r>
    </w:p>
    <w:p w14:paraId="3ED5EC44"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Dr. Ayşe EREN</w:t>
      </w:r>
    </w:p>
    <w:p w14:paraId="2FD5B9E1"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Dr. Bekir KESKİN</w:t>
      </w:r>
    </w:p>
    <w:p w14:paraId="3548CA06"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Dr. Cemre Eda ERKILIÇ</w:t>
      </w:r>
    </w:p>
    <w:p w14:paraId="447B277D"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Dr. Mehmet ÖZCAN</w:t>
      </w:r>
    </w:p>
    <w:p w14:paraId="43A6C20C"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Dr. Aybüke YALÇIN</w:t>
      </w:r>
    </w:p>
    <w:p w14:paraId="6F6F25D1"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Dr. Burak ÇETİN</w:t>
      </w:r>
    </w:p>
    <w:p w14:paraId="4745F54D" w14:textId="1500004F"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Res. Asst. Ayşegül Nurbanu KÖROĞLU</w:t>
      </w:r>
    </w:p>
    <w:p w14:paraId="61E06B7B" w14:textId="77777777" w:rsidR="006923DF" w:rsidRPr="00164238" w:rsidRDefault="006923DF" w:rsidP="006923DF">
      <w:pPr>
        <w:rPr>
          <w:rFonts w:ascii="Times New Roman" w:hAnsi="Times New Roman" w:cs="Times New Roman"/>
          <w:color w:val="000000" w:themeColor="text1"/>
        </w:rPr>
      </w:pPr>
    </w:p>
    <w:p w14:paraId="798825B9" w14:textId="77777777" w:rsidR="006923DF" w:rsidRPr="00164238" w:rsidRDefault="006923DF" w:rsidP="006923DF">
      <w:pPr>
        <w:rPr>
          <w:rFonts w:ascii="Times New Roman" w:hAnsi="Times New Roman" w:cs="Times New Roman"/>
          <w:color w:val="000000" w:themeColor="text1"/>
        </w:rPr>
      </w:pPr>
    </w:p>
    <w:p w14:paraId="771C1474" w14:textId="77777777" w:rsidR="006923DF" w:rsidRPr="00164238" w:rsidRDefault="006923DF" w:rsidP="006923DF">
      <w:pPr>
        <w:rPr>
          <w:rFonts w:ascii="Times New Roman" w:hAnsi="Times New Roman" w:cs="Times New Roman"/>
          <w:color w:val="000000" w:themeColor="text1"/>
        </w:rPr>
      </w:pPr>
    </w:p>
    <w:p w14:paraId="0B4995DD" w14:textId="77777777" w:rsidR="006923DF" w:rsidRPr="00164238" w:rsidRDefault="006923DF" w:rsidP="006923DF">
      <w:pPr>
        <w:rPr>
          <w:rFonts w:ascii="Times New Roman" w:hAnsi="Times New Roman" w:cs="Times New Roman"/>
          <w:color w:val="000000" w:themeColor="text1"/>
        </w:rPr>
      </w:pPr>
    </w:p>
    <w:p w14:paraId="2106EC2B" w14:textId="77777777" w:rsidR="006923DF" w:rsidRPr="00164238" w:rsidRDefault="006923DF" w:rsidP="006923DF">
      <w:pPr>
        <w:rPr>
          <w:rFonts w:ascii="Times New Roman" w:hAnsi="Times New Roman" w:cs="Times New Roman"/>
          <w:color w:val="000000" w:themeColor="text1"/>
        </w:rPr>
      </w:pPr>
    </w:p>
    <w:p w14:paraId="219EFFE5" w14:textId="77777777" w:rsidR="006923DF" w:rsidRPr="00164238" w:rsidRDefault="006923DF" w:rsidP="006923DF">
      <w:pPr>
        <w:rPr>
          <w:rFonts w:ascii="Times New Roman" w:hAnsi="Times New Roman" w:cs="Times New Roman"/>
          <w:color w:val="000000" w:themeColor="text1"/>
        </w:rPr>
      </w:pPr>
    </w:p>
    <w:p w14:paraId="6BCBB899" w14:textId="77777777" w:rsidR="006923DF" w:rsidRPr="00164238" w:rsidRDefault="006923DF" w:rsidP="006923DF">
      <w:pPr>
        <w:rPr>
          <w:rFonts w:ascii="Times New Roman" w:hAnsi="Times New Roman" w:cs="Times New Roman"/>
          <w:color w:val="000000" w:themeColor="text1"/>
        </w:rPr>
      </w:pPr>
    </w:p>
    <w:p w14:paraId="0175BF92" w14:textId="77777777" w:rsidR="006923DF" w:rsidRPr="00164238" w:rsidRDefault="006923DF" w:rsidP="006923DF">
      <w:pPr>
        <w:rPr>
          <w:rFonts w:ascii="Times New Roman" w:hAnsi="Times New Roman" w:cs="Times New Roman"/>
          <w:color w:val="000000" w:themeColor="text1"/>
        </w:rPr>
      </w:pPr>
    </w:p>
    <w:p w14:paraId="1D42EC6E" w14:textId="77777777" w:rsidR="006923DF" w:rsidRPr="00164238" w:rsidRDefault="006923DF" w:rsidP="006923DF">
      <w:pPr>
        <w:rPr>
          <w:rFonts w:ascii="Times New Roman" w:hAnsi="Times New Roman" w:cs="Times New Roman"/>
          <w:b/>
          <w:bCs/>
          <w:color w:val="000000" w:themeColor="text1"/>
          <w:sz w:val="24"/>
          <w:szCs w:val="24"/>
        </w:rPr>
      </w:pPr>
      <w:r w:rsidRPr="00164238">
        <w:rPr>
          <w:rFonts w:ascii="Times New Roman" w:hAnsi="Times New Roman" w:cs="Times New Roman"/>
          <w:b/>
          <w:bCs/>
          <w:color w:val="000000" w:themeColor="text1"/>
        </w:rPr>
        <w:br w:type="page"/>
      </w:r>
    </w:p>
    <w:p w14:paraId="2B74E7C5" w14:textId="77777777" w:rsidR="006923DF" w:rsidRPr="00164238" w:rsidRDefault="006923DF" w:rsidP="006923DF">
      <w:pPr>
        <w:pStyle w:val="Default"/>
        <w:rPr>
          <w:color w:val="000000" w:themeColor="text1"/>
        </w:rPr>
      </w:pPr>
      <w:r w:rsidRPr="00164238">
        <w:rPr>
          <w:b/>
          <w:bCs/>
          <w:color w:val="000000" w:themeColor="text1"/>
        </w:rPr>
        <w:lastRenderedPageBreak/>
        <w:t xml:space="preserve">Committee of Honour </w:t>
      </w:r>
    </w:p>
    <w:p w14:paraId="3EEC2B33"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Prof. Dr. Ahmet Aksoy (AHBV University, Turkey)</w:t>
      </w:r>
    </w:p>
    <w:p w14:paraId="05420F52"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Prof. Dr. Fernando Polo Garrido (Universitat Politècnica de València, Spain)</w:t>
      </w:r>
    </w:p>
    <w:p w14:paraId="52527908"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Prof. Dr. Francisca Blasco Lopez (Universidad Complutense de Madrid, Spain)</w:t>
      </w:r>
    </w:p>
    <w:p w14:paraId="40FA033E"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Prof. Dr. Hafez Abdo (University of Nottingham, Britain)</w:t>
      </w:r>
    </w:p>
    <w:p w14:paraId="525B4B79"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Prof. Dr. İrfan Yazıcıoglu (AHBV University, Turkey)</w:t>
      </w:r>
    </w:p>
    <w:p w14:paraId="136B34A8"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Prof. Dr. Marino Bonaiuto (Sapienza University of Rome, Italy)</w:t>
      </w:r>
    </w:p>
    <w:p w14:paraId="12CFC064"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Prof. Dr. John TRAXLER (Universtiy of Woelverhampton, Britain)</w:t>
      </w:r>
    </w:p>
    <w:p w14:paraId="47146803"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Assoc. Prof. Dr. Aiheng Zhang (Quangdong Institute of International Studies)</w:t>
      </w:r>
    </w:p>
    <w:p w14:paraId="74E710F4"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Assoc. Prof. Dr. Esin Cakan (University of New Haven, USA)</w:t>
      </w:r>
    </w:p>
    <w:p w14:paraId="5F8266FC"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Assoc. Prof. Dr. Julian Nowag (Lund University, Sweden)</w:t>
      </w:r>
    </w:p>
    <w:p w14:paraId="28B5C59D"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Assoc. Prof. Dr. Violeta Madjova (International Balkan University, Macedonia)</w:t>
      </w:r>
    </w:p>
    <w:p w14:paraId="606AD95F"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Assoc. Prof. Dr. Monika Bolek (University of Lodz, Poland)</w:t>
      </w:r>
    </w:p>
    <w:p w14:paraId="7E21FA55" w14:textId="77777777" w:rsidR="006923DF" w:rsidRPr="00164238" w:rsidRDefault="006923DF" w:rsidP="006923DF">
      <w:pPr>
        <w:jc w:val="center"/>
        <w:rPr>
          <w:rFonts w:ascii="Times New Roman" w:hAnsi="Times New Roman" w:cs="Times New Roman"/>
          <w:b/>
          <w:color w:val="000000" w:themeColor="text1"/>
          <w:sz w:val="20"/>
          <w:szCs w:val="20"/>
        </w:rPr>
      </w:pPr>
    </w:p>
    <w:p w14:paraId="788D9380" w14:textId="77777777" w:rsidR="006923DF" w:rsidRPr="00164238" w:rsidRDefault="006923DF" w:rsidP="006923DF">
      <w:pPr>
        <w:jc w:val="center"/>
        <w:rPr>
          <w:rFonts w:ascii="Times New Roman" w:hAnsi="Times New Roman" w:cs="Times New Roman"/>
          <w:b/>
          <w:color w:val="000000" w:themeColor="text1"/>
          <w:sz w:val="20"/>
          <w:szCs w:val="20"/>
        </w:rPr>
      </w:pPr>
    </w:p>
    <w:p w14:paraId="6A6082D1" w14:textId="77777777" w:rsidR="006923DF" w:rsidRPr="00164238" w:rsidRDefault="006923DF" w:rsidP="006923DF">
      <w:pPr>
        <w:jc w:val="center"/>
        <w:rPr>
          <w:rFonts w:ascii="Times New Roman" w:hAnsi="Times New Roman" w:cs="Times New Roman"/>
          <w:b/>
          <w:color w:val="000000" w:themeColor="text1"/>
          <w:sz w:val="20"/>
          <w:szCs w:val="20"/>
        </w:rPr>
      </w:pPr>
    </w:p>
    <w:p w14:paraId="13878CBB" w14:textId="77777777" w:rsidR="006923DF" w:rsidRPr="00164238" w:rsidRDefault="006923DF" w:rsidP="006923DF">
      <w:pPr>
        <w:jc w:val="center"/>
        <w:rPr>
          <w:rFonts w:ascii="Times New Roman" w:hAnsi="Times New Roman" w:cs="Times New Roman"/>
          <w:b/>
          <w:color w:val="000000" w:themeColor="text1"/>
          <w:sz w:val="20"/>
          <w:szCs w:val="20"/>
        </w:rPr>
      </w:pPr>
    </w:p>
    <w:p w14:paraId="522E9EA0" w14:textId="77777777" w:rsidR="006923DF" w:rsidRPr="00164238" w:rsidRDefault="006923DF" w:rsidP="006923DF">
      <w:pPr>
        <w:jc w:val="center"/>
        <w:rPr>
          <w:rFonts w:ascii="Times New Roman" w:hAnsi="Times New Roman" w:cs="Times New Roman"/>
          <w:b/>
          <w:color w:val="000000" w:themeColor="text1"/>
        </w:rPr>
      </w:pPr>
    </w:p>
    <w:p w14:paraId="61883EE8" w14:textId="77777777" w:rsidR="006923DF" w:rsidRPr="00164238" w:rsidRDefault="006923DF" w:rsidP="006923DF">
      <w:pPr>
        <w:jc w:val="center"/>
        <w:rPr>
          <w:rFonts w:ascii="Times New Roman" w:hAnsi="Times New Roman" w:cs="Times New Roman"/>
          <w:b/>
          <w:color w:val="000000" w:themeColor="text1"/>
        </w:rPr>
      </w:pPr>
    </w:p>
    <w:p w14:paraId="42E241DE" w14:textId="77777777" w:rsidR="006923DF" w:rsidRPr="00164238" w:rsidRDefault="006923DF" w:rsidP="006923DF">
      <w:pPr>
        <w:jc w:val="center"/>
        <w:rPr>
          <w:rFonts w:ascii="Times New Roman" w:hAnsi="Times New Roman" w:cs="Times New Roman"/>
          <w:b/>
          <w:color w:val="000000" w:themeColor="text1"/>
        </w:rPr>
      </w:pPr>
    </w:p>
    <w:p w14:paraId="7D05B796" w14:textId="77777777" w:rsidR="006923DF" w:rsidRPr="00164238" w:rsidRDefault="006923DF" w:rsidP="006923DF">
      <w:pPr>
        <w:jc w:val="center"/>
        <w:rPr>
          <w:rFonts w:ascii="Times New Roman" w:hAnsi="Times New Roman" w:cs="Times New Roman"/>
          <w:b/>
          <w:color w:val="000000" w:themeColor="text1"/>
        </w:rPr>
      </w:pPr>
    </w:p>
    <w:p w14:paraId="5F6102CE" w14:textId="77777777" w:rsidR="006923DF" w:rsidRPr="00164238" w:rsidRDefault="006923DF" w:rsidP="006923DF">
      <w:pPr>
        <w:jc w:val="center"/>
        <w:rPr>
          <w:rFonts w:ascii="Times New Roman" w:hAnsi="Times New Roman" w:cs="Times New Roman"/>
          <w:b/>
          <w:color w:val="000000" w:themeColor="text1"/>
        </w:rPr>
      </w:pPr>
    </w:p>
    <w:p w14:paraId="27B588DB" w14:textId="77777777" w:rsidR="006923DF" w:rsidRPr="00164238" w:rsidRDefault="006923DF" w:rsidP="006923DF">
      <w:pPr>
        <w:jc w:val="center"/>
        <w:rPr>
          <w:rFonts w:ascii="Times New Roman" w:hAnsi="Times New Roman" w:cs="Times New Roman"/>
          <w:b/>
          <w:color w:val="000000" w:themeColor="text1"/>
        </w:rPr>
      </w:pPr>
    </w:p>
    <w:p w14:paraId="7A50023C" w14:textId="77777777" w:rsidR="006923DF" w:rsidRPr="00164238" w:rsidRDefault="006923DF" w:rsidP="006923DF">
      <w:pPr>
        <w:jc w:val="center"/>
        <w:rPr>
          <w:rFonts w:ascii="Times New Roman" w:hAnsi="Times New Roman" w:cs="Times New Roman"/>
          <w:b/>
          <w:color w:val="000000" w:themeColor="text1"/>
        </w:rPr>
      </w:pPr>
    </w:p>
    <w:p w14:paraId="6A72BF57" w14:textId="77777777" w:rsidR="006923DF" w:rsidRPr="00164238" w:rsidRDefault="006923DF" w:rsidP="006923DF">
      <w:pPr>
        <w:jc w:val="center"/>
        <w:rPr>
          <w:rFonts w:ascii="Times New Roman" w:hAnsi="Times New Roman" w:cs="Times New Roman"/>
          <w:b/>
          <w:color w:val="000000" w:themeColor="text1"/>
        </w:rPr>
      </w:pPr>
    </w:p>
    <w:p w14:paraId="4F235D12" w14:textId="77777777" w:rsidR="006923DF" w:rsidRPr="00164238" w:rsidRDefault="006923DF" w:rsidP="006923DF">
      <w:pPr>
        <w:jc w:val="center"/>
        <w:rPr>
          <w:rFonts w:ascii="Times New Roman" w:hAnsi="Times New Roman" w:cs="Times New Roman"/>
          <w:b/>
          <w:color w:val="000000" w:themeColor="text1"/>
        </w:rPr>
      </w:pPr>
    </w:p>
    <w:p w14:paraId="1AB66E08" w14:textId="77777777" w:rsidR="006923DF" w:rsidRPr="00164238" w:rsidRDefault="006923DF" w:rsidP="006923DF">
      <w:pPr>
        <w:jc w:val="center"/>
        <w:rPr>
          <w:rFonts w:ascii="Times New Roman" w:hAnsi="Times New Roman" w:cs="Times New Roman"/>
          <w:b/>
          <w:color w:val="000000" w:themeColor="text1"/>
        </w:rPr>
      </w:pPr>
    </w:p>
    <w:p w14:paraId="63A7F15C" w14:textId="77777777" w:rsidR="006923DF" w:rsidRPr="00164238" w:rsidRDefault="006923DF" w:rsidP="006923DF">
      <w:pPr>
        <w:jc w:val="center"/>
        <w:rPr>
          <w:rFonts w:ascii="Times New Roman" w:hAnsi="Times New Roman" w:cs="Times New Roman"/>
          <w:b/>
          <w:color w:val="000000" w:themeColor="text1"/>
        </w:rPr>
      </w:pPr>
    </w:p>
    <w:p w14:paraId="3CE34910" w14:textId="77777777" w:rsidR="006923DF" w:rsidRPr="00164238" w:rsidRDefault="006923DF" w:rsidP="006923DF">
      <w:pPr>
        <w:jc w:val="center"/>
        <w:rPr>
          <w:rFonts w:ascii="Times New Roman" w:hAnsi="Times New Roman" w:cs="Times New Roman"/>
          <w:b/>
          <w:color w:val="000000" w:themeColor="text1"/>
        </w:rPr>
      </w:pPr>
    </w:p>
    <w:p w14:paraId="7676C134" w14:textId="77777777" w:rsidR="006923DF" w:rsidRPr="00164238" w:rsidRDefault="006923DF" w:rsidP="006923DF">
      <w:pPr>
        <w:jc w:val="center"/>
        <w:rPr>
          <w:rFonts w:ascii="Times New Roman" w:hAnsi="Times New Roman" w:cs="Times New Roman"/>
          <w:b/>
          <w:color w:val="000000" w:themeColor="text1"/>
        </w:rPr>
      </w:pPr>
    </w:p>
    <w:p w14:paraId="194117E5" w14:textId="525A182D" w:rsidR="006923DF" w:rsidRPr="00164238" w:rsidRDefault="006923DF" w:rsidP="006923DF">
      <w:pPr>
        <w:pStyle w:val="Default"/>
        <w:rPr>
          <w:color w:val="000000" w:themeColor="text1"/>
        </w:rPr>
      </w:pPr>
      <w:r w:rsidRPr="00164238">
        <w:rPr>
          <w:b/>
          <w:bCs/>
          <w:color w:val="000000" w:themeColor="text1"/>
        </w:rPr>
        <w:lastRenderedPageBreak/>
        <w:t xml:space="preserve">Science Committee </w:t>
      </w:r>
    </w:p>
    <w:p w14:paraId="713E777E" w14:textId="77777777" w:rsidR="006923DF" w:rsidRPr="00164238" w:rsidRDefault="006923DF" w:rsidP="006923DF">
      <w:pPr>
        <w:pStyle w:val="Default"/>
        <w:rPr>
          <w:color w:val="000000" w:themeColor="text1"/>
          <w:sz w:val="20"/>
          <w:szCs w:val="20"/>
        </w:rPr>
      </w:pPr>
      <w:r w:rsidRPr="00164238">
        <w:rPr>
          <w:color w:val="000000" w:themeColor="text1"/>
          <w:sz w:val="20"/>
          <w:szCs w:val="20"/>
        </w:rPr>
        <w:t xml:space="preserve">Prof. Dr. Ahmet Aksoy (AHBV University, Turkey) </w:t>
      </w:r>
    </w:p>
    <w:p w14:paraId="047B0BAC" w14:textId="77777777" w:rsidR="006923DF" w:rsidRPr="00164238" w:rsidRDefault="006923DF" w:rsidP="006923DF">
      <w:pPr>
        <w:pStyle w:val="Default"/>
        <w:rPr>
          <w:color w:val="000000" w:themeColor="text1"/>
          <w:sz w:val="20"/>
          <w:szCs w:val="20"/>
        </w:rPr>
      </w:pPr>
      <w:r w:rsidRPr="00164238">
        <w:rPr>
          <w:color w:val="000000" w:themeColor="text1"/>
          <w:sz w:val="20"/>
          <w:szCs w:val="20"/>
        </w:rPr>
        <w:t xml:space="preserve">Prof. Dr. Belgin Aydintan (AHBV University, Turkey) </w:t>
      </w:r>
    </w:p>
    <w:p w14:paraId="7F7B725D" w14:textId="77777777" w:rsidR="006923DF" w:rsidRPr="00164238" w:rsidRDefault="006923DF" w:rsidP="006923DF">
      <w:pPr>
        <w:pStyle w:val="Default"/>
        <w:rPr>
          <w:color w:val="000000" w:themeColor="text1"/>
          <w:sz w:val="20"/>
          <w:szCs w:val="20"/>
        </w:rPr>
      </w:pPr>
      <w:r w:rsidRPr="00164238">
        <w:rPr>
          <w:color w:val="000000" w:themeColor="text1"/>
          <w:sz w:val="20"/>
          <w:szCs w:val="20"/>
        </w:rPr>
        <w:t xml:space="preserve">Prof. Dr. Bige Askun (Marmara University, Turkey) </w:t>
      </w:r>
    </w:p>
    <w:p w14:paraId="3DDF526C" w14:textId="77777777" w:rsidR="006923DF" w:rsidRPr="00164238" w:rsidRDefault="006923DF" w:rsidP="006923DF">
      <w:pPr>
        <w:pStyle w:val="Default"/>
        <w:rPr>
          <w:color w:val="000000" w:themeColor="text1"/>
          <w:sz w:val="20"/>
          <w:szCs w:val="20"/>
        </w:rPr>
      </w:pPr>
      <w:r w:rsidRPr="00164238">
        <w:rPr>
          <w:color w:val="000000" w:themeColor="text1"/>
          <w:sz w:val="20"/>
          <w:szCs w:val="20"/>
        </w:rPr>
        <w:t>Prof. Dr. Bülent AKBABA(Gazi University, Turkey)</w:t>
      </w:r>
    </w:p>
    <w:p w14:paraId="3B69BDCB" w14:textId="77777777" w:rsidR="006923DF" w:rsidRPr="00164238" w:rsidRDefault="006923DF" w:rsidP="006923DF">
      <w:pPr>
        <w:pStyle w:val="Default"/>
        <w:rPr>
          <w:color w:val="000000" w:themeColor="text1"/>
          <w:sz w:val="20"/>
          <w:szCs w:val="20"/>
        </w:rPr>
      </w:pPr>
      <w:r w:rsidRPr="00164238">
        <w:rPr>
          <w:color w:val="000000" w:themeColor="text1"/>
          <w:sz w:val="20"/>
          <w:szCs w:val="20"/>
        </w:rPr>
        <w:t xml:space="preserve">Prof. Dr. Fernando Polo Garrido (Universitat Politècnica de València, Spain) </w:t>
      </w:r>
    </w:p>
    <w:p w14:paraId="62A2F64D" w14:textId="77777777" w:rsidR="006923DF" w:rsidRPr="00164238" w:rsidRDefault="006923DF" w:rsidP="006923DF">
      <w:pPr>
        <w:pStyle w:val="Default"/>
        <w:rPr>
          <w:color w:val="000000" w:themeColor="text1"/>
          <w:sz w:val="20"/>
          <w:szCs w:val="20"/>
        </w:rPr>
      </w:pPr>
      <w:r w:rsidRPr="00164238">
        <w:rPr>
          <w:color w:val="000000" w:themeColor="text1"/>
          <w:sz w:val="20"/>
          <w:szCs w:val="20"/>
        </w:rPr>
        <w:t xml:space="preserve">Prof. Dr. Francisca Blasco Lopez (Universidad Complutense de Madrid, Spain) </w:t>
      </w:r>
    </w:p>
    <w:p w14:paraId="20CFD4D8" w14:textId="77777777" w:rsidR="006923DF" w:rsidRPr="00164238" w:rsidRDefault="006923DF" w:rsidP="006923DF">
      <w:pPr>
        <w:pStyle w:val="Default"/>
        <w:rPr>
          <w:color w:val="000000" w:themeColor="text1"/>
          <w:sz w:val="20"/>
          <w:szCs w:val="20"/>
        </w:rPr>
      </w:pPr>
      <w:r w:rsidRPr="00164238">
        <w:rPr>
          <w:color w:val="000000" w:themeColor="text1"/>
          <w:sz w:val="20"/>
          <w:szCs w:val="20"/>
        </w:rPr>
        <w:t xml:space="preserve">Prof. Dr. Hakan Koc (AHBV University, Turkey) </w:t>
      </w:r>
    </w:p>
    <w:p w14:paraId="60253962" w14:textId="77777777" w:rsidR="006923DF" w:rsidRPr="00164238" w:rsidRDefault="006923DF" w:rsidP="006923DF">
      <w:pPr>
        <w:pStyle w:val="Default"/>
        <w:rPr>
          <w:color w:val="000000" w:themeColor="text1"/>
          <w:sz w:val="20"/>
          <w:szCs w:val="20"/>
        </w:rPr>
      </w:pPr>
      <w:r w:rsidRPr="00164238">
        <w:rPr>
          <w:color w:val="000000" w:themeColor="text1"/>
          <w:sz w:val="20"/>
          <w:szCs w:val="20"/>
        </w:rPr>
        <w:t xml:space="preserve">Prof. Dr. Hafez Abdo (University of Nottingham, Britain) </w:t>
      </w:r>
    </w:p>
    <w:p w14:paraId="0F17596B" w14:textId="77777777" w:rsidR="006923DF" w:rsidRPr="00164238" w:rsidRDefault="006923DF" w:rsidP="006923DF">
      <w:pPr>
        <w:pStyle w:val="Default"/>
        <w:rPr>
          <w:color w:val="000000" w:themeColor="text1"/>
          <w:sz w:val="20"/>
          <w:szCs w:val="20"/>
        </w:rPr>
      </w:pPr>
      <w:r w:rsidRPr="00164238">
        <w:rPr>
          <w:color w:val="000000" w:themeColor="text1"/>
          <w:sz w:val="20"/>
          <w:szCs w:val="20"/>
        </w:rPr>
        <w:t xml:space="preserve">Prof. Dr. İrfan Yazıcıoglu (AHBV University, Turkey) </w:t>
      </w:r>
    </w:p>
    <w:p w14:paraId="0DCE182B" w14:textId="77777777" w:rsidR="006923DF" w:rsidRPr="00164238" w:rsidRDefault="006923DF" w:rsidP="006923DF">
      <w:pPr>
        <w:pStyle w:val="Default"/>
        <w:rPr>
          <w:color w:val="000000" w:themeColor="text1"/>
          <w:sz w:val="20"/>
          <w:szCs w:val="20"/>
        </w:rPr>
      </w:pPr>
      <w:r w:rsidRPr="00164238">
        <w:rPr>
          <w:color w:val="000000" w:themeColor="text1"/>
          <w:sz w:val="20"/>
          <w:szCs w:val="20"/>
        </w:rPr>
        <w:t xml:space="preserve">Prof. Dr. Julide Ocal Yıldırım (TED University, Turkey) </w:t>
      </w:r>
    </w:p>
    <w:p w14:paraId="3681E93C" w14:textId="77777777" w:rsidR="006923DF" w:rsidRPr="00164238" w:rsidRDefault="006923DF" w:rsidP="006923DF">
      <w:pPr>
        <w:pStyle w:val="Default"/>
        <w:rPr>
          <w:color w:val="000000" w:themeColor="text1"/>
          <w:sz w:val="20"/>
          <w:szCs w:val="20"/>
        </w:rPr>
      </w:pPr>
      <w:r w:rsidRPr="00164238">
        <w:rPr>
          <w:color w:val="000000" w:themeColor="text1"/>
          <w:sz w:val="20"/>
          <w:szCs w:val="20"/>
        </w:rPr>
        <w:t xml:space="preserve">Prof. Dr. Li Qing (Quangdong Institute of International Studies) </w:t>
      </w:r>
    </w:p>
    <w:p w14:paraId="30DD84CE" w14:textId="77777777" w:rsidR="006923DF" w:rsidRPr="00164238" w:rsidRDefault="006923DF" w:rsidP="006923DF">
      <w:pPr>
        <w:pStyle w:val="Default"/>
        <w:rPr>
          <w:color w:val="000000" w:themeColor="text1"/>
          <w:sz w:val="20"/>
          <w:szCs w:val="20"/>
        </w:rPr>
      </w:pPr>
      <w:r w:rsidRPr="00164238">
        <w:rPr>
          <w:color w:val="000000" w:themeColor="text1"/>
          <w:sz w:val="20"/>
          <w:szCs w:val="20"/>
        </w:rPr>
        <w:t xml:space="preserve">Prof. Dr. Marino Bonaiuto (Sapienza University of Rome, Italy) </w:t>
      </w:r>
    </w:p>
    <w:p w14:paraId="3D3C9CCA" w14:textId="77777777" w:rsidR="006923DF" w:rsidRPr="00164238" w:rsidRDefault="006923DF" w:rsidP="006923DF">
      <w:pPr>
        <w:pStyle w:val="Default"/>
        <w:rPr>
          <w:color w:val="000000" w:themeColor="text1"/>
          <w:sz w:val="20"/>
          <w:szCs w:val="20"/>
        </w:rPr>
      </w:pPr>
      <w:r w:rsidRPr="00164238">
        <w:rPr>
          <w:color w:val="000000" w:themeColor="text1"/>
          <w:sz w:val="20"/>
          <w:szCs w:val="20"/>
        </w:rPr>
        <w:t xml:space="preserve">Prof. Dr. Mehmet Baha Karan (Hacettepe University, Turkey) </w:t>
      </w:r>
    </w:p>
    <w:p w14:paraId="5957D5EF" w14:textId="77777777" w:rsidR="006923DF" w:rsidRPr="00164238" w:rsidRDefault="006923DF" w:rsidP="006923DF">
      <w:pPr>
        <w:pStyle w:val="Default"/>
        <w:rPr>
          <w:color w:val="000000" w:themeColor="text1"/>
          <w:sz w:val="20"/>
          <w:szCs w:val="20"/>
        </w:rPr>
      </w:pPr>
      <w:r w:rsidRPr="00164238">
        <w:rPr>
          <w:color w:val="000000" w:themeColor="text1"/>
          <w:sz w:val="20"/>
          <w:szCs w:val="20"/>
        </w:rPr>
        <w:t xml:space="preserve">Prof. Dr. Metin Kamil Ercan (AHBV University, Turkey) </w:t>
      </w:r>
    </w:p>
    <w:p w14:paraId="19B728E3" w14:textId="77777777" w:rsidR="006923DF" w:rsidRPr="00164238" w:rsidRDefault="006923DF" w:rsidP="006923DF">
      <w:pPr>
        <w:pStyle w:val="Default"/>
        <w:rPr>
          <w:color w:val="000000" w:themeColor="text1"/>
          <w:sz w:val="20"/>
          <w:szCs w:val="20"/>
        </w:rPr>
      </w:pPr>
      <w:r w:rsidRPr="00164238">
        <w:rPr>
          <w:color w:val="000000" w:themeColor="text1"/>
          <w:sz w:val="20"/>
          <w:szCs w:val="20"/>
        </w:rPr>
        <w:t xml:space="preserve">Prof. Dr. Murat Atan (AHBV University, Turkey) </w:t>
      </w:r>
    </w:p>
    <w:p w14:paraId="22A857FF" w14:textId="77777777" w:rsidR="006923DF" w:rsidRPr="00164238" w:rsidRDefault="006923DF" w:rsidP="006923DF">
      <w:pPr>
        <w:pStyle w:val="Default"/>
        <w:rPr>
          <w:color w:val="000000" w:themeColor="text1"/>
          <w:sz w:val="20"/>
          <w:szCs w:val="20"/>
        </w:rPr>
      </w:pPr>
      <w:r w:rsidRPr="00164238">
        <w:rPr>
          <w:color w:val="000000" w:themeColor="text1"/>
          <w:sz w:val="20"/>
          <w:szCs w:val="20"/>
        </w:rPr>
        <w:t xml:space="preserve">Prof. Dr. Ramazan Pars Sahbaz (AHBV University, Turkey) </w:t>
      </w:r>
    </w:p>
    <w:p w14:paraId="2F4488B6" w14:textId="77777777" w:rsidR="006923DF" w:rsidRPr="00164238" w:rsidRDefault="006923DF" w:rsidP="006923DF">
      <w:pPr>
        <w:pStyle w:val="Default"/>
        <w:rPr>
          <w:color w:val="000000" w:themeColor="text1"/>
          <w:sz w:val="20"/>
          <w:szCs w:val="20"/>
        </w:rPr>
      </w:pPr>
      <w:r w:rsidRPr="00164238">
        <w:rPr>
          <w:color w:val="000000" w:themeColor="text1"/>
          <w:sz w:val="20"/>
          <w:szCs w:val="20"/>
        </w:rPr>
        <w:t xml:space="preserve">Prof. Dr. Ramazan Sarı (Middle East Technical University, Turkey) </w:t>
      </w:r>
    </w:p>
    <w:p w14:paraId="733D74FF" w14:textId="77777777" w:rsidR="006923DF" w:rsidRPr="00164238" w:rsidRDefault="006923DF" w:rsidP="006923DF">
      <w:pPr>
        <w:pStyle w:val="Default"/>
        <w:rPr>
          <w:color w:val="000000" w:themeColor="text1"/>
          <w:sz w:val="20"/>
          <w:szCs w:val="20"/>
        </w:rPr>
      </w:pPr>
      <w:r w:rsidRPr="00164238">
        <w:rPr>
          <w:color w:val="000000" w:themeColor="text1"/>
          <w:sz w:val="20"/>
          <w:szCs w:val="20"/>
        </w:rPr>
        <w:t xml:space="preserve">Prof. Dr. Senem Besler (Anadolu University, Turkey) </w:t>
      </w:r>
    </w:p>
    <w:p w14:paraId="17BE5466" w14:textId="77777777" w:rsidR="006923DF" w:rsidRPr="00164238" w:rsidRDefault="006923DF" w:rsidP="006923DF">
      <w:pPr>
        <w:pStyle w:val="Default"/>
        <w:rPr>
          <w:color w:val="000000" w:themeColor="text1"/>
          <w:sz w:val="20"/>
          <w:szCs w:val="20"/>
        </w:rPr>
      </w:pPr>
      <w:r w:rsidRPr="00164238">
        <w:rPr>
          <w:color w:val="000000" w:themeColor="text1"/>
          <w:sz w:val="20"/>
          <w:szCs w:val="20"/>
        </w:rPr>
        <w:t xml:space="preserve">Prof. Dr. Sezer Korkmaz (AHBV University, Turkey) </w:t>
      </w:r>
    </w:p>
    <w:p w14:paraId="7BB886F9" w14:textId="77777777" w:rsidR="006923DF" w:rsidRPr="00164238" w:rsidRDefault="006923DF" w:rsidP="006923DF">
      <w:pPr>
        <w:pStyle w:val="Default"/>
        <w:rPr>
          <w:color w:val="000000" w:themeColor="text1"/>
          <w:sz w:val="20"/>
          <w:szCs w:val="20"/>
        </w:rPr>
      </w:pPr>
      <w:r w:rsidRPr="00164238">
        <w:rPr>
          <w:color w:val="000000" w:themeColor="text1"/>
          <w:sz w:val="20"/>
          <w:szCs w:val="20"/>
        </w:rPr>
        <w:t xml:space="preserve">Prof. Dr. Ugur Soytas (Middle East Technical University, Turkey) </w:t>
      </w:r>
    </w:p>
    <w:p w14:paraId="711EE7F4" w14:textId="77777777" w:rsidR="006923DF" w:rsidRPr="00164238" w:rsidRDefault="006923DF" w:rsidP="006923DF">
      <w:pPr>
        <w:pStyle w:val="Default"/>
        <w:rPr>
          <w:color w:val="000000" w:themeColor="text1"/>
          <w:sz w:val="20"/>
          <w:szCs w:val="20"/>
        </w:rPr>
      </w:pPr>
      <w:r w:rsidRPr="00164238">
        <w:rPr>
          <w:color w:val="000000" w:themeColor="text1"/>
          <w:sz w:val="20"/>
          <w:szCs w:val="20"/>
        </w:rPr>
        <w:t xml:space="preserve">Prof. Dr. Turksel Kaya Bensghir (AHBV University, Turkey) </w:t>
      </w:r>
    </w:p>
    <w:p w14:paraId="49B57240" w14:textId="77777777" w:rsidR="006923DF" w:rsidRPr="00164238" w:rsidRDefault="006923DF" w:rsidP="006923DF">
      <w:pPr>
        <w:pStyle w:val="Default"/>
        <w:rPr>
          <w:color w:val="000000" w:themeColor="text1"/>
          <w:sz w:val="20"/>
          <w:szCs w:val="20"/>
        </w:rPr>
      </w:pPr>
      <w:r w:rsidRPr="00164238">
        <w:rPr>
          <w:color w:val="000000" w:themeColor="text1"/>
          <w:sz w:val="20"/>
          <w:szCs w:val="20"/>
        </w:rPr>
        <w:t>Assoc. Prof. Dr. Şener ŞENTÜRK( Ondokuz Mayis University, Turkey)</w:t>
      </w:r>
    </w:p>
    <w:p w14:paraId="50ECEFC5" w14:textId="77777777" w:rsidR="006923DF" w:rsidRPr="00164238" w:rsidRDefault="006923DF" w:rsidP="006923DF">
      <w:pPr>
        <w:pStyle w:val="Default"/>
        <w:rPr>
          <w:color w:val="000000" w:themeColor="text1"/>
          <w:sz w:val="20"/>
          <w:szCs w:val="20"/>
        </w:rPr>
      </w:pPr>
      <w:r w:rsidRPr="00164238">
        <w:rPr>
          <w:color w:val="000000" w:themeColor="text1"/>
          <w:sz w:val="20"/>
          <w:szCs w:val="20"/>
        </w:rPr>
        <w:t xml:space="preserve">Assoc. Prof. Dr. Adil Oran (Middle East Technical University, Turkey) </w:t>
      </w:r>
    </w:p>
    <w:p w14:paraId="2CB72F56" w14:textId="77777777" w:rsidR="006923DF" w:rsidRPr="00164238" w:rsidRDefault="006923DF" w:rsidP="006923DF">
      <w:pPr>
        <w:pStyle w:val="Default"/>
        <w:rPr>
          <w:color w:val="000000" w:themeColor="text1"/>
          <w:sz w:val="20"/>
          <w:szCs w:val="20"/>
        </w:rPr>
      </w:pPr>
      <w:r w:rsidRPr="00164238">
        <w:rPr>
          <w:color w:val="000000" w:themeColor="text1"/>
          <w:sz w:val="20"/>
          <w:szCs w:val="20"/>
        </w:rPr>
        <w:t xml:space="preserve">Assoc. Prof. Dr. Asuman Atilla (AHBV University, Turkey) </w:t>
      </w:r>
    </w:p>
    <w:p w14:paraId="0A9FB6C2" w14:textId="77777777" w:rsidR="006923DF" w:rsidRPr="00164238" w:rsidRDefault="006923DF" w:rsidP="006923DF">
      <w:pPr>
        <w:pStyle w:val="Default"/>
        <w:rPr>
          <w:color w:val="000000" w:themeColor="text1"/>
          <w:sz w:val="20"/>
          <w:szCs w:val="20"/>
        </w:rPr>
      </w:pPr>
      <w:r w:rsidRPr="00164238">
        <w:rPr>
          <w:color w:val="000000" w:themeColor="text1"/>
          <w:sz w:val="20"/>
          <w:szCs w:val="20"/>
        </w:rPr>
        <w:t>Assoc. Prof. Dr. Aykut Goksel (AHBV University, Turkey)</w:t>
      </w:r>
    </w:p>
    <w:p w14:paraId="2C32F304" w14:textId="77777777" w:rsidR="006923DF" w:rsidRPr="00164238" w:rsidRDefault="006923DF" w:rsidP="006923DF">
      <w:pPr>
        <w:pStyle w:val="Default"/>
        <w:rPr>
          <w:color w:val="000000" w:themeColor="text1"/>
          <w:sz w:val="20"/>
          <w:szCs w:val="20"/>
        </w:rPr>
      </w:pPr>
      <w:r w:rsidRPr="00164238">
        <w:rPr>
          <w:color w:val="000000" w:themeColor="text1"/>
          <w:sz w:val="20"/>
          <w:szCs w:val="20"/>
        </w:rPr>
        <w:t xml:space="preserve">Assoc. Prof. Dr. Ayse Yıldız (AHBV University, Turkey) </w:t>
      </w:r>
    </w:p>
    <w:p w14:paraId="39A19F52" w14:textId="77777777" w:rsidR="006923DF" w:rsidRPr="00164238" w:rsidRDefault="006923DF" w:rsidP="006923DF">
      <w:pPr>
        <w:pStyle w:val="Default"/>
        <w:rPr>
          <w:color w:val="000000" w:themeColor="text1"/>
          <w:sz w:val="20"/>
          <w:szCs w:val="20"/>
        </w:rPr>
      </w:pPr>
      <w:r w:rsidRPr="00164238">
        <w:rPr>
          <w:color w:val="000000" w:themeColor="text1"/>
          <w:sz w:val="20"/>
          <w:szCs w:val="20"/>
        </w:rPr>
        <w:t xml:space="preserve">Assoc. Prof. Dr. Burcu Fazlıoglu (TOBB ETU, Turkey) </w:t>
      </w:r>
    </w:p>
    <w:p w14:paraId="0869CF7B" w14:textId="77777777" w:rsidR="006923DF" w:rsidRPr="00164238" w:rsidRDefault="006923DF" w:rsidP="006923DF">
      <w:pPr>
        <w:pStyle w:val="Default"/>
        <w:rPr>
          <w:color w:val="000000" w:themeColor="text1"/>
          <w:sz w:val="20"/>
          <w:szCs w:val="20"/>
        </w:rPr>
      </w:pPr>
      <w:r w:rsidRPr="00164238">
        <w:rPr>
          <w:color w:val="000000" w:themeColor="text1"/>
          <w:sz w:val="20"/>
          <w:szCs w:val="20"/>
        </w:rPr>
        <w:t xml:space="preserve">Assoc. Prof. Dr. Ceyhun Caglar Kılınc (Akdeniz University, Turkey) </w:t>
      </w:r>
    </w:p>
    <w:p w14:paraId="5E49481F" w14:textId="77777777" w:rsidR="006923DF" w:rsidRPr="00164238" w:rsidRDefault="006923DF" w:rsidP="006923DF">
      <w:pPr>
        <w:pStyle w:val="Default"/>
        <w:rPr>
          <w:color w:val="000000" w:themeColor="text1"/>
          <w:sz w:val="20"/>
          <w:szCs w:val="20"/>
        </w:rPr>
      </w:pPr>
      <w:r w:rsidRPr="00164238">
        <w:rPr>
          <w:color w:val="000000" w:themeColor="text1"/>
          <w:sz w:val="20"/>
          <w:szCs w:val="20"/>
        </w:rPr>
        <w:t xml:space="preserve">Assoc. Prof. Dr. Deniz Kantur (Bilgi University, Turkey) </w:t>
      </w:r>
    </w:p>
    <w:p w14:paraId="3C60AE12" w14:textId="77777777" w:rsidR="006923DF" w:rsidRPr="00164238" w:rsidRDefault="006923DF" w:rsidP="006923DF">
      <w:pPr>
        <w:pStyle w:val="Default"/>
        <w:rPr>
          <w:color w:val="000000" w:themeColor="text1"/>
          <w:sz w:val="20"/>
          <w:szCs w:val="20"/>
        </w:rPr>
      </w:pPr>
      <w:r w:rsidRPr="00164238">
        <w:rPr>
          <w:color w:val="000000" w:themeColor="text1"/>
          <w:sz w:val="20"/>
          <w:szCs w:val="20"/>
        </w:rPr>
        <w:t xml:space="preserve">Assoc. Prof. Dr. Duygu Eren (Nevsehir Haci Bektas Veli University, Turkey) </w:t>
      </w:r>
    </w:p>
    <w:p w14:paraId="6402B617" w14:textId="77777777" w:rsidR="006923DF" w:rsidRPr="00164238" w:rsidRDefault="006923DF" w:rsidP="006923DF">
      <w:pPr>
        <w:pStyle w:val="Default"/>
        <w:rPr>
          <w:color w:val="000000" w:themeColor="text1"/>
          <w:sz w:val="20"/>
          <w:szCs w:val="20"/>
        </w:rPr>
      </w:pPr>
      <w:r w:rsidRPr="00164238">
        <w:rPr>
          <w:color w:val="000000" w:themeColor="text1"/>
          <w:sz w:val="20"/>
          <w:szCs w:val="20"/>
        </w:rPr>
        <w:t xml:space="preserve">Assoc. Prof. Dr. Esin Cakan (University of New Haven, USA) </w:t>
      </w:r>
    </w:p>
    <w:p w14:paraId="57106A1E" w14:textId="77777777" w:rsidR="006923DF" w:rsidRPr="00164238" w:rsidRDefault="006923DF" w:rsidP="006923DF">
      <w:pPr>
        <w:pStyle w:val="Default"/>
        <w:rPr>
          <w:color w:val="000000" w:themeColor="text1"/>
          <w:sz w:val="20"/>
          <w:szCs w:val="20"/>
        </w:rPr>
      </w:pPr>
      <w:r w:rsidRPr="00164238">
        <w:rPr>
          <w:color w:val="000000" w:themeColor="text1"/>
          <w:sz w:val="20"/>
          <w:szCs w:val="20"/>
        </w:rPr>
        <w:t xml:space="preserve">Assoc. Prof. Dr. Evren Gucer (Gazi University, Turkey) </w:t>
      </w:r>
    </w:p>
    <w:p w14:paraId="2BC3F1F7" w14:textId="77777777" w:rsidR="006923DF" w:rsidRPr="00164238" w:rsidRDefault="006923DF" w:rsidP="006923DF">
      <w:pPr>
        <w:pStyle w:val="Default"/>
        <w:rPr>
          <w:color w:val="000000" w:themeColor="text1"/>
          <w:sz w:val="20"/>
          <w:szCs w:val="20"/>
        </w:rPr>
      </w:pPr>
      <w:r w:rsidRPr="00164238">
        <w:rPr>
          <w:color w:val="000000" w:themeColor="text1"/>
          <w:sz w:val="20"/>
          <w:szCs w:val="20"/>
        </w:rPr>
        <w:t xml:space="preserve">Assoc. Prof. Dr. Hiqmet Kamberaj (International Balkan University, Macedonia) </w:t>
      </w:r>
    </w:p>
    <w:p w14:paraId="17266E3E" w14:textId="77777777" w:rsidR="006923DF" w:rsidRPr="00164238" w:rsidRDefault="006923DF" w:rsidP="006923DF">
      <w:pPr>
        <w:pStyle w:val="Default"/>
        <w:rPr>
          <w:color w:val="000000" w:themeColor="text1"/>
          <w:sz w:val="20"/>
          <w:szCs w:val="20"/>
        </w:rPr>
      </w:pPr>
      <w:r w:rsidRPr="00164238">
        <w:rPr>
          <w:color w:val="000000" w:themeColor="text1"/>
          <w:sz w:val="20"/>
          <w:szCs w:val="20"/>
        </w:rPr>
        <w:t xml:space="preserve">Assoc. Prof. Dr. İsmail Sahin (Gazi University, Turkey) </w:t>
      </w:r>
    </w:p>
    <w:p w14:paraId="38600E60" w14:textId="77777777" w:rsidR="006923DF" w:rsidRPr="00164238" w:rsidRDefault="006923DF" w:rsidP="006923DF">
      <w:pPr>
        <w:pStyle w:val="Default"/>
        <w:rPr>
          <w:color w:val="000000" w:themeColor="text1"/>
          <w:sz w:val="20"/>
          <w:szCs w:val="20"/>
        </w:rPr>
      </w:pPr>
      <w:r w:rsidRPr="00164238">
        <w:rPr>
          <w:color w:val="000000" w:themeColor="text1"/>
          <w:sz w:val="20"/>
          <w:szCs w:val="20"/>
        </w:rPr>
        <w:t xml:space="preserve">Assoc. Prof. Dr. Janset Ozen Aytemur (Akdeniz University, Turkey) </w:t>
      </w:r>
    </w:p>
    <w:p w14:paraId="58144826" w14:textId="77777777" w:rsidR="006923DF" w:rsidRPr="00164238" w:rsidRDefault="006923DF" w:rsidP="006923DF">
      <w:pPr>
        <w:pStyle w:val="Default"/>
        <w:rPr>
          <w:color w:val="000000" w:themeColor="text1"/>
          <w:sz w:val="20"/>
          <w:szCs w:val="20"/>
        </w:rPr>
      </w:pPr>
      <w:r w:rsidRPr="00164238">
        <w:rPr>
          <w:color w:val="000000" w:themeColor="text1"/>
          <w:sz w:val="20"/>
          <w:szCs w:val="20"/>
        </w:rPr>
        <w:t xml:space="preserve">Assoc. Prof. Dr. Julian Nowag (Lund University, Sweden) </w:t>
      </w:r>
    </w:p>
    <w:p w14:paraId="1D20BA64" w14:textId="77777777" w:rsidR="006923DF" w:rsidRPr="00164238" w:rsidRDefault="006923DF" w:rsidP="006923DF">
      <w:pPr>
        <w:pStyle w:val="Default"/>
        <w:rPr>
          <w:color w:val="000000" w:themeColor="text1"/>
          <w:sz w:val="20"/>
          <w:szCs w:val="20"/>
        </w:rPr>
      </w:pPr>
      <w:r w:rsidRPr="00164238">
        <w:rPr>
          <w:color w:val="000000" w:themeColor="text1"/>
          <w:sz w:val="20"/>
          <w:szCs w:val="20"/>
        </w:rPr>
        <w:t xml:space="preserve">Assoc. Prof. Dr. Korhan Karacaoglu (Nev.Haci Bektas Veli University, Turkey) </w:t>
      </w:r>
    </w:p>
    <w:p w14:paraId="0B9B46FA" w14:textId="77777777" w:rsidR="006923DF" w:rsidRPr="00164238" w:rsidRDefault="006923DF" w:rsidP="006923DF">
      <w:pPr>
        <w:pStyle w:val="Default"/>
        <w:rPr>
          <w:color w:val="000000" w:themeColor="text1"/>
          <w:sz w:val="20"/>
          <w:szCs w:val="20"/>
        </w:rPr>
      </w:pPr>
      <w:r w:rsidRPr="00164238">
        <w:rPr>
          <w:color w:val="000000" w:themeColor="text1"/>
          <w:sz w:val="20"/>
          <w:szCs w:val="20"/>
        </w:rPr>
        <w:t xml:space="preserve">Assist. Prof. Dr. Abdulkadir Koroglu (AHBV University, Turkey) </w:t>
      </w:r>
    </w:p>
    <w:p w14:paraId="5EFEA495" w14:textId="77777777" w:rsidR="006923DF" w:rsidRPr="00164238" w:rsidRDefault="006923DF" w:rsidP="006923DF">
      <w:pPr>
        <w:pStyle w:val="Default"/>
        <w:rPr>
          <w:color w:val="000000" w:themeColor="text1"/>
          <w:sz w:val="20"/>
          <w:szCs w:val="20"/>
        </w:rPr>
      </w:pPr>
      <w:r w:rsidRPr="00164238">
        <w:rPr>
          <w:color w:val="000000" w:themeColor="text1"/>
          <w:sz w:val="20"/>
          <w:szCs w:val="20"/>
        </w:rPr>
        <w:t xml:space="preserve">Assist. Prof. Dr. Burze Yasar (TED University, Turkey) </w:t>
      </w:r>
    </w:p>
    <w:p w14:paraId="69FCD812" w14:textId="77777777" w:rsidR="006923DF" w:rsidRPr="00164238" w:rsidRDefault="006923DF" w:rsidP="006923DF">
      <w:pPr>
        <w:pStyle w:val="Default"/>
        <w:rPr>
          <w:color w:val="000000" w:themeColor="text1"/>
          <w:sz w:val="20"/>
          <w:szCs w:val="20"/>
        </w:rPr>
      </w:pPr>
      <w:r w:rsidRPr="00164238">
        <w:rPr>
          <w:color w:val="000000" w:themeColor="text1"/>
          <w:sz w:val="20"/>
          <w:szCs w:val="20"/>
        </w:rPr>
        <w:t xml:space="preserve">Assist. Prof. Dr. Emir Ozeren (Dokuz Eylul University, Turkey) </w:t>
      </w:r>
    </w:p>
    <w:p w14:paraId="23FA129E" w14:textId="77777777" w:rsidR="006923DF" w:rsidRPr="00164238" w:rsidRDefault="006923DF" w:rsidP="006923DF">
      <w:pPr>
        <w:pStyle w:val="Default"/>
        <w:rPr>
          <w:color w:val="000000" w:themeColor="text1"/>
          <w:sz w:val="20"/>
          <w:szCs w:val="20"/>
        </w:rPr>
      </w:pPr>
      <w:r w:rsidRPr="00164238">
        <w:rPr>
          <w:color w:val="000000" w:themeColor="text1"/>
          <w:sz w:val="20"/>
          <w:szCs w:val="20"/>
        </w:rPr>
        <w:t xml:space="preserve">Assist. Prof. Dr. Huseyin Boz (Akdeniz University, Turkey) </w:t>
      </w:r>
    </w:p>
    <w:p w14:paraId="4BA8F656" w14:textId="77777777" w:rsidR="006923DF" w:rsidRPr="00164238" w:rsidRDefault="006923DF" w:rsidP="006923DF">
      <w:pPr>
        <w:pStyle w:val="Default"/>
        <w:rPr>
          <w:color w:val="000000" w:themeColor="text1"/>
          <w:sz w:val="20"/>
          <w:szCs w:val="20"/>
        </w:rPr>
      </w:pPr>
      <w:r w:rsidRPr="00164238">
        <w:rPr>
          <w:color w:val="000000" w:themeColor="text1"/>
          <w:sz w:val="20"/>
          <w:szCs w:val="20"/>
        </w:rPr>
        <w:t xml:space="preserve">Assist. Prof. Dr. Monika Bolek (University of Lodz, Poland) </w:t>
      </w:r>
    </w:p>
    <w:p w14:paraId="2BFF3143" w14:textId="77777777" w:rsidR="006923DF" w:rsidRPr="00164238" w:rsidRDefault="006923DF" w:rsidP="006923DF">
      <w:pPr>
        <w:pStyle w:val="Default"/>
        <w:rPr>
          <w:color w:val="000000" w:themeColor="text1"/>
          <w:sz w:val="20"/>
          <w:szCs w:val="20"/>
        </w:rPr>
      </w:pPr>
      <w:r w:rsidRPr="00164238">
        <w:rPr>
          <w:color w:val="000000" w:themeColor="text1"/>
          <w:sz w:val="20"/>
          <w:szCs w:val="20"/>
        </w:rPr>
        <w:t xml:space="preserve">Assist. Prof. Dr. Oguzhan Yavuz (AHBV University, Turkey) </w:t>
      </w:r>
    </w:p>
    <w:p w14:paraId="7811A004" w14:textId="77777777" w:rsidR="006923DF" w:rsidRPr="00164238" w:rsidRDefault="006923DF" w:rsidP="006923DF">
      <w:pPr>
        <w:pStyle w:val="Default"/>
        <w:rPr>
          <w:color w:val="000000" w:themeColor="text1"/>
          <w:sz w:val="20"/>
          <w:szCs w:val="20"/>
        </w:rPr>
      </w:pPr>
      <w:r w:rsidRPr="00164238">
        <w:rPr>
          <w:color w:val="000000" w:themeColor="text1"/>
          <w:sz w:val="20"/>
          <w:szCs w:val="20"/>
        </w:rPr>
        <w:t xml:space="preserve">Assist. Prof. Dr. T. Fahri Cakmak (Zonguldak Bulent Ecevit University, Turkey) </w:t>
      </w:r>
    </w:p>
    <w:p w14:paraId="5734C0FF" w14:textId="77777777" w:rsidR="006923DF" w:rsidRPr="00164238" w:rsidRDefault="006923DF" w:rsidP="00A40273">
      <w:pPr>
        <w:pStyle w:val="Default"/>
        <w:rPr>
          <w:color w:val="000000" w:themeColor="text1"/>
          <w:sz w:val="20"/>
          <w:szCs w:val="20"/>
        </w:rPr>
      </w:pPr>
      <w:r w:rsidRPr="00164238">
        <w:rPr>
          <w:color w:val="000000" w:themeColor="text1"/>
          <w:sz w:val="20"/>
          <w:szCs w:val="20"/>
        </w:rPr>
        <w:t>Assist. Prof. Dr. Ramazan Eren (Akdeniz University, Turkey)</w:t>
      </w:r>
    </w:p>
    <w:p w14:paraId="1DDCE71B" w14:textId="77777777" w:rsidR="006923DF" w:rsidRPr="00164238" w:rsidRDefault="006923DF" w:rsidP="00A40273">
      <w:pPr>
        <w:pStyle w:val="Default"/>
        <w:rPr>
          <w:color w:val="000000" w:themeColor="text1"/>
          <w:sz w:val="20"/>
          <w:szCs w:val="20"/>
        </w:rPr>
      </w:pPr>
      <w:r w:rsidRPr="00164238">
        <w:rPr>
          <w:color w:val="000000" w:themeColor="text1"/>
          <w:sz w:val="20"/>
          <w:szCs w:val="20"/>
        </w:rPr>
        <w:t>Dr. Alper Altuncekic(Gazi University, Turkey)</w:t>
      </w:r>
    </w:p>
    <w:p w14:paraId="3E9AC2F0" w14:textId="3143916F" w:rsidR="006923DF" w:rsidRDefault="006923DF" w:rsidP="006923DF">
      <w:pPr>
        <w:jc w:val="center"/>
        <w:rPr>
          <w:rFonts w:ascii="Times New Roman" w:hAnsi="Times New Roman" w:cs="Times New Roman"/>
          <w:b/>
          <w:color w:val="000000" w:themeColor="text1"/>
          <w:sz w:val="20"/>
          <w:szCs w:val="20"/>
        </w:rPr>
      </w:pPr>
    </w:p>
    <w:p w14:paraId="082F1E4D" w14:textId="77777777" w:rsidR="000973A3" w:rsidRPr="00164238" w:rsidRDefault="000973A3" w:rsidP="006923DF">
      <w:pPr>
        <w:jc w:val="center"/>
        <w:rPr>
          <w:rFonts w:ascii="Times New Roman" w:hAnsi="Times New Roman" w:cs="Times New Roman"/>
          <w:b/>
          <w:color w:val="000000" w:themeColor="text1"/>
          <w:sz w:val="20"/>
          <w:szCs w:val="20"/>
        </w:rPr>
      </w:pPr>
    </w:p>
    <w:p w14:paraId="05923CFA" w14:textId="77777777" w:rsidR="006923DF" w:rsidRPr="00164238" w:rsidRDefault="006923DF" w:rsidP="006923DF">
      <w:pPr>
        <w:rPr>
          <w:rFonts w:ascii="Times New Roman" w:hAnsi="Times New Roman" w:cs="Times New Roman"/>
          <w:b/>
          <w:color w:val="000000" w:themeColor="text1"/>
          <w:sz w:val="24"/>
          <w:szCs w:val="24"/>
        </w:rPr>
      </w:pPr>
    </w:p>
    <w:p w14:paraId="437F6AD8" w14:textId="77777777" w:rsidR="00A40273" w:rsidRDefault="00A40273" w:rsidP="006923DF">
      <w:pPr>
        <w:rPr>
          <w:rFonts w:ascii="Times New Roman" w:hAnsi="Times New Roman" w:cs="Times New Roman"/>
          <w:b/>
          <w:color w:val="000000" w:themeColor="text1"/>
          <w:sz w:val="24"/>
          <w:szCs w:val="24"/>
        </w:rPr>
      </w:pPr>
    </w:p>
    <w:p w14:paraId="523539A4" w14:textId="4F427495" w:rsidR="006923DF" w:rsidRPr="00164238" w:rsidRDefault="006923DF" w:rsidP="006923DF">
      <w:pPr>
        <w:rPr>
          <w:rFonts w:ascii="Times New Roman" w:hAnsi="Times New Roman" w:cs="Times New Roman"/>
          <w:b/>
          <w:color w:val="000000" w:themeColor="text1"/>
          <w:sz w:val="24"/>
          <w:szCs w:val="24"/>
        </w:rPr>
      </w:pPr>
      <w:r w:rsidRPr="00164238">
        <w:rPr>
          <w:rFonts w:ascii="Times New Roman" w:hAnsi="Times New Roman" w:cs="Times New Roman"/>
          <w:b/>
          <w:color w:val="000000" w:themeColor="text1"/>
          <w:sz w:val="24"/>
          <w:szCs w:val="24"/>
        </w:rPr>
        <w:lastRenderedPageBreak/>
        <w:t>Moderators</w:t>
      </w:r>
    </w:p>
    <w:p w14:paraId="5EF13B38"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Prof. Dr. Ahmet AKSOY (AHBV University, Turkey)</w:t>
      </w:r>
    </w:p>
    <w:p w14:paraId="6779A9BC"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Prof. Dr. Aydın KARAPINAR (AHBV University, Turkey)</w:t>
      </w:r>
    </w:p>
    <w:p w14:paraId="41717BB2"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Prof. Dr. Belgin AYDINTAN(AHBV University, Turkey)</w:t>
      </w:r>
    </w:p>
    <w:p w14:paraId="39A332CE"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Prof. Dr. Bülent AKBABA (Gazi University, Turkey)</w:t>
      </w:r>
    </w:p>
    <w:p w14:paraId="44E0EC31"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Prof. Dr. Erdoğan KOÇ (BAU, Turkey)</w:t>
      </w:r>
    </w:p>
    <w:p w14:paraId="03D1E819"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Prof. Dr. Figen ZAİF(AHBV University, Turkey)</w:t>
      </w:r>
    </w:p>
    <w:p w14:paraId="26C1C7D2"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Prof. Dr. Fulya BAYRAKTAR (AHBV University, Turkey)</w:t>
      </w:r>
    </w:p>
    <w:p w14:paraId="731B9ABA"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Prof. Dr. Hüseyin AĞIR (AHBV University, Turkey)</w:t>
      </w:r>
    </w:p>
    <w:p w14:paraId="050BD0CD"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Prof. Dr. İbrahim Tokatlıoğlu (Gazi University, Turkey)</w:t>
      </w:r>
    </w:p>
    <w:p w14:paraId="31560C6F"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Prof. Dr. İrfan Yazıcıoğlu (AHBV University, Turkey)</w:t>
      </w:r>
    </w:p>
    <w:p w14:paraId="4D27CE7F"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Prof. Dr. Murat ATAN (AHBV University, Turkey)</w:t>
      </w:r>
    </w:p>
    <w:p w14:paraId="0B29C59E"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Prof. Dr. Neşe Songür (AHBV University, Turkey)</w:t>
      </w:r>
    </w:p>
    <w:p w14:paraId="5C8EEBF4"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Prof. Dr. Pars ŞAHBAZ (AHBV University, Turkey)</w:t>
      </w:r>
    </w:p>
    <w:p w14:paraId="71FEDA43"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Prof. Dr. Soner Mehmet ÖZDEMİR (Mersin University, Turkey)</w:t>
      </w:r>
    </w:p>
    <w:p w14:paraId="59082863"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Prof. Dr. Süleyman YAMAN (Ondokuz Mayis University, Turkey)</w:t>
      </w:r>
    </w:p>
    <w:p w14:paraId="2902351C"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Prof. Dr. Turhan CETİN (Gazi University)</w:t>
      </w:r>
    </w:p>
    <w:p w14:paraId="54BC302A"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Prof. Dr. Zekai ÖZTURK (AHBV University, Turkey)</w:t>
      </w:r>
    </w:p>
    <w:p w14:paraId="52908F8D"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Assoc. Prof. Dr. Arıl CANSEL (AHBV University, Turkey)</w:t>
      </w:r>
    </w:p>
    <w:p w14:paraId="0EDFFB54"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Assoc. Prof. Dr. Gül Erkol BAYRAM (Sinop University, Turkey)</w:t>
      </w:r>
    </w:p>
    <w:p w14:paraId="41B97698"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Assoc. Prof. Dr. Şener ŞENTÜRK (Ondokuz Mayis University, Turkey)</w:t>
      </w:r>
    </w:p>
    <w:p w14:paraId="03077E16"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Assoc. Prof. Dr. Togay Seçkin BİRBUDAK (Gazi University, Turkey)</w:t>
      </w:r>
    </w:p>
    <w:p w14:paraId="517CD5CD"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Assoc. Prof. Dr. Yasin ŞEHİTOĞLU (Yıldiz Teknik University, Turkey)</w:t>
      </w:r>
    </w:p>
    <w:p w14:paraId="3D230213"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Assoc. Prof. Dr. Aslı TARAKÇIOĞLU (AHBV University, Turkey)</w:t>
      </w:r>
    </w:p>
    <w:p w14:paraId="03137344"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Assist. Prof. Dr. Oğuzhan YAVUZ (AHBV University, Turkey)</w:t>
      </w:r>
    </w:p>
    <w:p w14:paraId="1C399B72"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Assist. Prof. Dr. Tuğce ŞİMŞEK (Gumushane University, Turkey)</w:t>
      </w:r>
    </w:p>
    <w:p w14:paraId="690D308B"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Assist. Prof. Dr. Aynur TAS (Hakkari University, Turkey)</w:t>
      </w:r>
    </w:p>
    <w:p w14:paraId="3A0C23F5" w14:textId="77777777" w:rsidR="006923DF" w:rsidRPr="00164238" w:rsidRDefault="006923DF" w:rsidP="006923DF">
      <w:pPr>
        <w:rPr>
          <w:rFonts w:ascii="Times New Roman" w:hAnsi="Times New Roman" w:cs="Times New Roman"/>
          <w:color w:val="000000" w:themeColor="text1"/>
        </w:rPr>
      </w:pPr>
      <w:r w:rsidRPr="00164238">
        <w:rPr>
          <w:rFonts w:ascii="Times New Roman" w:hAnsi="Times New Roman" w:cs="Times New Roman"/>
          <w:color w:val="000000" w:themeColor="text1"/>
        </w:rPr>
        <w:t>Dr. Zulfi Umut OZKARA (AHBV University, Turkey)</w:t>
      </w:r>
    </w:p>
    <w:p w14:paraId="7ECC3136" w14:textId="77777777" w:rsidR="006923DF" w:rsidRPr="00164238" w:rsidRDefault="006923DF" w:rsidP="006923DF">
      <w:pPr>
        <w:rPr>
          <w:rFonts w:ascii="Times New Roman" w:eastAsiaTheme="majorEastAsia" w:hAnsi="Times New Roman" w:cs="Times New Roman"/>
          <w:b/>
          <w:bCs/>
          <w:color w:val="000000" w:themeColor="text1"/>
          <w:sz w:val="20"/>
          <w:szCs w:val="20"/>
        </w:rPr>
      </w:pPr>
      <w:r w:rsidRPr="00164238">
        <w:rPr>
          <w:rFonts w:ascii="Times New Roman" w:hAnsi="Times New Roman" w:cs="Times New Roman"/>
          <w:color w:val="000000" w:themeColor="text1"/>
        </w:rPr>
        <w:t>Dr. Alper ALTUNÇEKIÇ (Gazi University, Turkey)</w:t>
      </w:r>
      <w:r w:rsidRPr="00164238">
        <w:rPr>
          <w:rFonts w:ascii="Times New Roman" w:hAnsi="Times New Roman" w:cs="Times New Roman"/>
          <w:color w:val="000000" w:themeColor="text1"/>
          <w:sz w:val="20"/>
          <w:szCs w:val="20"/>
        </w:rPr>
        <w:br w:type="page"/>
      </w:r>
    </w:p>
    <w:p w14:paraId="7A88E232" w14:textId="77777777" w:rsidR="006923DF" w:rsidRPr="00A40273" w:rsidRDefault="006923DF" w:rsidP="006923DF">
      <w:pPr>
        <w:pStyle w:val="Balk1"/>
        <w:rPr>
          <w:rFonts w:ascii="Times New Roman" w:hAnsi="Times New Roman" w:cs="Times New Roman"/>
          <w:b/>
          <w:color w:val="000000" w:themeColor="text1"/>
          <w:sz w:val="24"/>
          <w:szCs w:val="24"/>
        </w:rPr>
      </w:pPr>
      <w:bookmarkStart w:id="0" w:name="_Toc72961651"/>
      <w:r w:rsidRPr="00A40273">
        <w:rPr>
          <w:rFonts w:ascii="Times New Roman" w:hAnsi="Times New Roman" w:cs="Times New Roman"/>
          <w:b/>
          <w:color w:val="000000" w:themeColor="text1"/>
          <w:sz w:val="24"/>
          <w:szCs w:val="24"/>
        </w:rPr>
        <w:lastRenderedPageBreak/>
        <w:t>ISBE2021 OPENING SPEECH</w:t>
      </w:r>
      <w:bookmarkEnd w:id="0"/>
    </w:p>
    <w:p w14:paraId="705A827C" w14:textId="77777777" w:rsidR="006923DF" w:rsidRPr="00164238" w:rsidRDefault="006923DF" w:rsidP="006923DF">
      <w:pPr>
        <w:spacing w:before="120" w:after="120"/>
        <w:jc w:val="both"/>
        <w:rPr>
          <w:rFonts w:ascii="Times New Roman" w:hAnsi="Times New Roman" w:cs="Times New Roman"/>
          <w:color w:val="000000" w:themeColor="text1"/>
          <w:spacing w:val="-5"/>
          <w:sz w:val="20"/>
          <w:szCs w:val="20"/>
          <w:shd w:val="clear" w:color="auto" w:fill="FFFFFF"/>
        </w:rPr>
      </w:pPr>
      <w:r w:rsidRPr="00164238">
        <w:rPr>
          <w:rFonts w:ascii="Times New Roman" w:hAnsi="Times New Roman" w:cs="Times New Roman"/>
          <w:color w:val="000000" w:themeColor="text1"/>
          <w:spacing w:val="-5"/>
          <w:sz w:val="20"/>
          <w:szCs w:val="20"/>
          <w:shd w:val="clear" w:color="auto" w:fill="FFFFFF"/>
        </w:rPr>
        <w:t>Dear colleagues, researchers, and participants,</w:t>
      </w:r>
    </w:p>
    <w:p w14:paraId="5B4CC5A8" w14:textId="77777777" w:rsidR="006923DF" w:rsidRPr="00164238" w:rsidRDefault="006923DF" w:rsidP="006923DF">
      <w:pPr>
        <w:spacing w:before="120" w:after="120"/>
        <w:jc w:val="both"/>
        <w:rPr>
          <w:rFonts w:ascii="Times New Roman" w:hAnsi="Times New Roman" w:cs="Times New Roman"/>
          <w:color w:val="000000" w:themeColor="text1"/>
          <w:spacing w:val="-5"/>
          <w:sz w:val="20"/>
          <w:szCs w:val="20"/>
          <w:shd w:val="clear" w:color="auto" w:fill="FFFFFF"/>
        </w:rPr>
      </w:pPr>
      <w:r w:rsidRPr="00164238">
        <w:rPr>
          <w:rFonts w:ascii="Times New Roman" w:hAnsi="Times New Roman" w:cs="Times New Roman"/>
          <w:color w:val="000000" w:themeColor="text1"/>
          <w:spacing w:val="-5"/>
          <w:sz w:val="20"/>
          <w:szCs w:val="20"/>
          <w:shd w:val="clear" w:color="auto" w:fill="FFFFFF"/>
        </w:rPr>
        <w:t xml:space="preserve">I welcome you to the International Symposium on Business, Economics, and Education 2021 Opening Ceremony, and greet you all respectfully.   </w:t>
      </w:r>
    </w:p>
    <w:p w14:paraId="2B47AC8D" w14:textId="77777777" w:rsidR="006923DF" w:rsidRPr="00164238" w:rsidRDefault="006923DF" w:rsidP="006923DF">
      <w:pPr>
        <w:spacing w:before="120" w:after="120"/>
        <w:jc w:val="both"/>
        <w:rPr>
          <w:rFonts w:ascii="Times New Roman" w:hAnsi="Times New Roman" w:cs="Times New Roman"/>
          <w:color w:val="000000" w:themeColor="text1"/>
          <w:spacing w:val="-5"/>
          <w:sz w:val="20"/>
          <w:szCs w:val="20"/>
          <w:shd w:val="clear" w:color="auto" w:fill="FFFFFF"/>
        </w:rPr>
      </w:pPr>
      <w:r w:rsidRPr="00164238">
        <w:rPr>
          <w:rFonts w:ascii="Times New Roman" w:hAnsi="Times New Roman" w:cs="Times New Roman"/>
          <w:color w:val="000000" w:themeColor="text1"/>
          <w:spacing w:val="-5"/>
          <w:sz w:val="20"/>
          <w:szCs w:val="20"/>
          <w:shd w:val="clear" w:color="auto" w:fill="FFFFFF"/>
        </w:rPr>
        <w:t>I am glad to open the second ISBE, International Symposium on Business, Economics, and Education, themed on the challenges surrounding the COVID-19 pandemic: economic, social, and behavioral response to the epidemic.</w:t>
      </w:r>
    </w:p>
    <w:p w14:paraId="77B373FD" w14:textId="77777777" w:rsidR="006923DF" w:rsidRPr="00164238" w:rsidRDefault="006923DF" w:rsidP="006923DF">
      <w:pPr>
        <w:spacing w:before="120" w:after="120"/>
        <w:jc w:val="both"/>
        <w:rPr>
          <w:rFonts w:ascii="Times New Roman" w:hAnsi="Times New Roman" w:cs="Times New Roman"/>
          <w:color w:val="000000" w:themeColor="text1"/>
          <w:spacing w:val="-5"/>
          <w:sz w:val="20"/>
          <w:szCs w:val="20"/>
          <w:shd w:val="clear" w:color="auto" w:fill="FFFFFF"/>
        </w:rPr>
      </w:pPr>
      <w:r w:rsidRPr="00164238">
        <w:rPr>
          <w:rFonts w:ascii="Times New Roman" w:hAnsi="Times New Roman" w:cs="Times New Roman"/>
          <w:color w:val="000000" w:themeColor="text1"/>
          <w:spacing w:val="-5"/>
          <w:sz w:val="20"/>
          <w:szCs w:val="20"/>
          <w:shd w:val="clear" w:color="auto" w:fill="FFFFFF"/>
        </w:rPr>
        <w:t>At the outset, with deep sorrow and profound grief, we have informed you that Prof. Dr. Remzi Örten passed away the last month. Both academic and professional communities keenly felt his passing. He had been a great mentor and a father figure for all of us and all young researchers. I would like to announce to you that ISBE2021 is dedicated to the memory of Dear Prof. Dr. Remzi Örten. With respect and mercy, I remember Dear Prof. Remzi Örten.</w:t>
      </w:r>
    </w:p>
    <w:p w14:paraId="3A7597CA" w14:textId="77777777" w:rsidR="006923DF" w:rsidRPr="00164238" w:rsidRDefault="006923DF" w:rsidP="006923DF">
      <w:pPr>
        <w:spacing w:before="120" w:after="120"/>
        <w:jc w:val="both"/>
        <w:rPr>
          <w:rFonts w:ascii="Times New Roman" w:hAnsi="Times New Roman" w:cs="Times New Roman"/>
          <w:color w:val="000000" w:themeColor="text1"/>
          <w:spacing w:val="-5"/>
          <w:sz w:val="20"/>
          <w:szCs w:val="20"/>
          <w:shd w:val="clear" w:color="auto" w:fill="FFFFFF"/>
        </w:rPr>
      </w:pPr>
      <w:r w:rsidRPr="00164238">
        <w:rPr>
          <w:rFonts w:ascii="Times New Roman" w:hAnsi="Times New Roman" w:cs="Times New Roman"/>
          <w:color w:val="000000" w:themeColor="text1"/>
          <w:spacing w:val="-5"/>
          <w:sz w:val="20"/>
          <w:szCs w:val="20"/>
          <w:shd w:val="clear" w:color="auto" w:fill="FFFFFF"/>
        </w:rPr>
        <w:t xml:space="preserve">Dear Guests, </w:t>
      </w:r>
    </w:p>
    <w:p w14:paraId="4C4CE2FE" w14:textId="77777777" w:rsidR="006923DF" w:rsidRPr="00164238" w:rsidRDefault="006923DF" w:rsidP="006923DF">
      <w:pPr>
        <w:spacing w:before="120" w:after="120"/>
        <w:jc w:val="both"/>
        <w:rPr>
          <w:rFonts w:ascii="Times New Roman" w:hAnsi="Times New Roman" w:cs="Times New Roman"/>
          <w:color w:val="000000" w:themeColor="text1"/>
          <w:spacing w:val="-5"/>
          <w:sz w:val="20"/>
          <w:szCs w:val="20"/>
          <w:shd w:val="clear" w:color="auto" w:fill="FFFFFF"/>
        </w:rPr>
      </w:pPr>
      <w:r w:rsidRPr="00164238">
        <w:rPr>
          <w:rFonts w:ascii="Times New Roman" w:hAnsi="Times New Roman" w:cs="Times New Roman"/>
          <w:color w:val="000000" w:themeColor="text1"/>
          <w:spacing w:val="-5"/>
          <w:sz w:val="20"/>
          <w:szCs w:val="20"/>
          <w:shd w:val="clear" w:color="auto" w:fill="FFFFFF"/>
        </w:rPr>
        <w:t xml:space="preserve">Yes, we all experience an unprecedented situation with the global COVID-19 pandemic. We know that coronavirus disease is an infectious disease caused by a newly discovered coronavirus. The World Health Organization defines coronavirus disease as a pandemic since an outbreak of a new pathogen that spreads quickly from person to person across the globe. </w:t>
      </w:r>
    </w:p>
    <w:p w14:paraId="3CAD1678" w14:textId="77777777" w:rsidR="006923DF" w:rsidRPr="00164238" w:rsidRDefault="006923DF" w:rsidP="006923DF">
      <w:pPr>
        <w:spacing w:before="120" w:after="120"/>
        <w:jc w:val="both"/>
        <w:rPr>
          <w:rFonts w:ascii="Times New Roman" w:hAnsi="Times New Roman" w:cs="Times New Roman"/>
          <w:color w:val="000000" w:themeColor="text1"/>
          <w:spacing w:val="-5"/>
          <w:sz w:val="20"/>
          <w:szCs w:val="20"/>
          <w:shd w:val="clear" w:color="auto" w:fill="FFFFFF"/>
        </w:rPr>
      </w:pPr>
      <w:r w:rsidRPr="00164238">
        <w:rPr>
          <w:rFonts w:ascii="Times New Roman" w:hAnsi="Times New Roman" w:cs="Times New Roman"/>
          <w:color w:val="000000" w:themeColor="text1"/>
          <w:spacing w:val="-5"/>
          <w:sz w:val="20"/>
          <w:szCs w:val="20"/>
          <w:shd w:val="clear" w:color="auto" w:fill="FFFFFF"/>
        </w:rPr>
        <w:t>Because of the rapid spread of the virus through droplet paths and physical contact, governments had to take restrictive and preventive measures to fight the COVID-19 pandemic. Countries have gone to lockdown.</w:t>
      </w:r>
      <w:r w:rsidRPr="00164238">
        <w:rPr>
          <w:rFonts w:ascii="Times New Roman" w:hAnsi="Times New Roman" w:cs="Times New Roman"/>
          <w:color w:val="000000" w:themeColor="text1"/>
          <w:sz w:val="20"/>
          <w:szCs w:val="20"/>
        </w:rPr>
        <w:t xml:space="preserve"> </w:t>
      </w:r>
      <w:r w:rsidRPr="00164238">
        <w:rPr>
          <w:rFonts w:ascii="Times New Roman" w:hAnsi="Times New Roman" w:cs="Times New Roman"/>
          <w:color w:val="000000" w:themeColor="text1"/>
          <w:spacing w:val="-5"/>
          <w:sz w:val="20"/>
          <w:szCs w:val="20"/>
          <w:shd w:val="clear" w:color="auto" w:fill="FFFFFF"/>
        </w:rPr>
        <w:t>Travel restrictions, closure of schools, suspension of education, cancellation of crowded sports, culture, arts, and scientific activities are some of the other precautionary actions of countries. In other words, a virus not visible to the naked eye has put the world on pause. These will also have social and psychological effects. Remote working systems and distance education have been carried out. Not only pandemic has been a virus in the economy, education, and social life, but also a digital world has settled in our lives.</w:t>
      </w:r>
    </w:p>
    <w:p w14:paraId="5743DE85" w14:textId="77777777" w:rsidR="006923DF" w:rsidRPr="00164238" w:rsidRDefault="006923DF" w:rsidP="006923DF">
      <w:pPr>
        <w:spacing w:before="120" w:after="120"/>
        <w:jc w:val="both"/>
        <w:rPr>
          <w:rFonts w:ascii="Times New Roman" w:hAnsi="Times New Roman" w:cs="Times New Roman"/>
          <w:color w:val="000000" w:themeColor="text1"/>
          <w:spacing w:val="-5"/>
          <w:sz w:val="20"/>
          <w:szCs w:val="20"/>
          <w:shd w:val="clear" w:color="auto" w:fill="FFFFFF"/>
        </w:rPr>
      </w:pPr>
      <w:r w:rsidRPr="00164238">
        <w:rPr>
          <w:rFonts w:ascii="Times New Roman" w:hAnsi="Times New Roman" w:cs="Times New Roman"/>
          <w:color w:val="000000" w:themeColor="text1"/>
          <w:spacing w:val="-5"/>
          <w:sz w:val="20"/>
          <w:szCs w:val="20"/>
          <w:shd w:val="clear" w:color="auto" w:fill="FFFFFF"/>
        </w:rPr>
        <w:t>We probably only just have seen the tip of the iceberg of the many shifts this pandemic will trigger in terms of socio-economic fallouts and so much more. Production has been reduced and halted by the lockdown. The IMF estimates global output to have fallen by 3.5 percent in 2020, and all countries – big and small, rich and poor – have been hit.</w:t>
      </w:r>
      <w:r w:rsidRPr="00164238">
        <w:rPr>
          <w:rFonts w:ascii="Times New Roman" w:hAnsi="Times New Roman" w:cs="Times New Roman"/>
          <w:color w:val="000000" w:themeColor="text1"/>
          <w:sz w:val="20"/>
          <w:szCs w:val="20"/>
        </w:rPr>
        <w:t xml:space="preserve"> </w:t>
      </w:r>
      <w:r w:rsidRPr="00164238">
        <w:rPr>
          <w:rFonts w:ascii="Times New Roman" w:hAnsi="Times New Roman" w:cs="Times New Roman"/>
          <w:color w:val="000000" w:themeColor="text1"/>
          <w:spacing w:val="-5"/>
          <w:sz w:val="20"/>
          <w:szCs w:val="20"/>
          <w:shd w:val="clear" w:color="auto" w:fill="FFFFFF"/>
        </w:rPr>
        <w:t>Uncertainty and anxiety have played an important role in consumption, and therefore demand shocks have occurred. Travel restrictions have strained supply chains and logistics processes. Massive problems in the production, demand, and supply chain have affected economies negatively, and growth expectations have reversed. Unlike e-commerce and food retailers, sectors such as tourism and transportation have become unable to breathe. Countries have to deal with macroeconomic issues such as inflation and unemployment.</w:t>
      </w:r>
    </w:p>
    <w:p w14:paraId="61BC87DB" w14:textId="77777777" w:rsidR="006923DF" w:rsidRPr="00164238" w:rsidRDefault="006923DF" w:rsidP="006923DF">
      <w:pPr>
        <w:spacing w:before="120" w:after="120"/>
        <w:jc w:val="both"/>
        <w:rPr>
          <w:rFonts w:ascii="Times New Roman" w:hAnsi="Times New Roman" w:cs="Times New Roman"/>
          <w:color w:val="000000" w:themeColor="text1"/>
          <w:spacing w:val="-5"/>
          <w:sz w:val="20"/>
          <w:szCs w:val="20"/>
          <w:shd w:val="clear" w:color="auto" w:fill="FFFFFF"/>
        </w:rPr>
      </w:pPr>
      <w:r w:rsidRPr="00164238">
        <w:rPr>
          <w:rFonts w:ascii="Times New Roman" w:hAnsi="Times New Roman" w:cs="Times New Roman"/>
          <w:color w:val="000000" w:themeColor="text1"/>
          <w:spacing w:val="-5"/>
          <w:sz w:val="20"/>
          <w:szCs w:val="20"/>
          <w:shd w:val="clear" w:color="auto" w:fill="FFFFFF"/>
        </w:rPr>
        <w:t xml:space="preserve">Another significiant impact is seen on education. Distance education has become that has to be taken in account for our safety. Not only learners but also lecturers had to adapt a new normal system.  The second day of the symposium, we are going to have a special session in which researchers from prominent universities argue emergencey remote education. </w:t>
      </w:r>
    </w:p>
    <w:p w14:paraId="18B4B9D9" w14:textId="77777777" w:rsidR="006923DF" w:rsidRPr="00164238" w:rsidRDefault="006923DF" w:rsidP="006923DF">
      <w:pPr>
        <w:spacing w:before="120" w:after="120"/>
        <w:jc w:val="both"/>
        <w:rPr>
          <w:rFonts w:ascii="Times New Roman" w:hAnsi="Times New Roman" w:cs="Times New Roman"/>
          <w:color w:val="000000" w:themeColor="text1"/>
          <w:spacing w:val="-5"/>
          <w:sz w:val="20"/>
          <w:szCs w:val="20"/>
          <w:shd w:val="clear" w:color="auto" w:fill="FFFFFF"/>
        </w:rPr>
      </w:pPr>
      <w:r w:rsidRPr="00164238">
        <w:rPr>
          <w:rFonts w:ascii="Times New Roman" w:hAnsi="Times New Roman" w:cs="Times New Roman"/>
          <w:color w:val="000000" w:themeColor="text1"/>
          <w:spacing w:val="-5"/>
          <w:sz w:val="20"/>
          <w:szCs w:val="20"/>
          <w:shd w:val="clear" w:color="auto" w:fill="FFFFFF"/>
        </w:rPr>
        <w:t>The COVID-19 virus knows no boundaries nor race, nor religion. It teaches us that only a global solution underpinned by solidarity and swift action can counter its force.</w:t>
      </w:r>
    </w:p>
    <w:p w14:paraId="684A72C7" w14:textId="77777777" w:rsidR="006923DF" w:rsidRPr="00164238" w:rsidRDefault="006923DF" w:rsidP="006923DF">
      <w:pPr>
        <w:spacing w:before="120" w:after="120"/>
        <w:jc w:val="both"/>
        <w:rPr>
          <w:rFonts w:ascii="Times New Roman" w:hAnsi="Times New Roman" w:cs="Times New Roman"/>
          <w:color w:val="000000" w:themeColor="text1"/>
          <w:spacing w:val="-5"/>
          <w:sz w:val="20"/>
          <w:szCs w:val="20"/>
          <w:shd w:val="clear" w:color="auto" w:fill="FFFFFF"/>
        </w:rPr>
      </w:pPr>
      <w:r w:rsidRPr="00164238">
        <w:rPr>
          <w:rFonts w:ascii="Times New Roman" w:hAnsi="Times New Roman" w:cs="Times New Roman"/>
          <w:color w:val="000000" w:themeColor="text1"/>
          <w:spacing w:val="-5"/>
          <w:sz w:val="20"/>
          <w:szCs w:val="20"/>
          <w:shd w:val="clear" w:color="auto" w:fill="FFFFFF"/>
        </w:rPr>
        <w:t xml:space="preserve">It is essential to discuss the impacts of COVID-19 and seek solutions to the troubles. For this purpose, I would like to express my honor to ISBE2021 is held to ensure the continuity of scientific activities. Your interest and excitement for science are promising, so I appreciate your effort to be together virtually. </w:t>
      </w:r>
      <w:r w:rsidRPr="00164238">
        <w:rPr>
          <w:rFonts w:ascii="Times New Roman" w:hAnsi="Times New Roman" w:cs="Times New Roman"/>
          <w:color w:val="000000" w:themeColor="text1"/>
          <w:sz w:val="20"/>
          <w:szCs w:val="20"/>
        </w:rPr>
        <w:t>Given the coronavirus breakdown, we are aware that it would not be healthy to organize a physical symposium. Eliminating the need to travel and be at a physical venue to attend, we decided to host an online symposium.</w:t>
      </w:r>
    </w:p>
    <w:p w14:paraId="0B2217EF" w14:textId="77777777" w:rsidR="006923DF" w:rsidRPr="00164238" w:rsidRDefault="006923DF" w:rsidP="006923DF">
      <w:pPr>
        <w:spacing w:before="120" w:after="120"/>
        <w:jc w:val="both"/>
        <w:rPr>
          <w:rFonts w:ascii="Times New Roman" w:hAnsi="Times New Roman" w:cs="Times New Roman"/>
          <w:color w:val="000000" w:themeColor="text1"/>
          <w:spacing w:val="-5"/>
          <w:sz w:val="20"/>
          <w:szCs w:val="20"/>
          <w:shd w:val="clear" w:color="auto" w:fill="FFFFFF"/>
        </w:rPr>
      </w:pPr>
      <w:r w:rsidRPr="00164238">
        <w:rPr>
          <w:rFonts w:ascii="Times New Roman" w:hAnsi="Times New Roman" w:cs="Times New Roman"/>
          <w:color w:val="000000" w:themeColor="text1"/>
          <w:spacing w:val="-5"/>
          <w:sz w:val="20"/>
          <w:szCs w:val="20"/>
          <w:shd w:val="clear" w:color="auto" w:fill="FFFFFF"/>
        </w:rPr>
        <w:t xml:space="preserve">The International Symposium on Business &amp; Economics &amp; Education invites scholars and academics worldwide to share ideas, research, and experiences on a platform encouraging academic discussion. As each year we aim to focus on the central theme, the discussions in ISBE 2020 revolved around Digitalization along with the speakers worldwide and from reputable institutions. </w:t>
      </w:r>
    </w:p>
    <w:p w14:paraId="35FCE4EC" w14:textId="77777777" w:rsidR="006923DF" w:rsidRPr="00164238" w:rsidRDefault="006923DF" w:rsidP="006923DF">
      <w:pPr>
        <w:spacing w:before="120" w:after="120"/>
        <w:jc w:val="both"/>
        <w:rPr>
          <w:rFonts w:ascii="Times New Roman" w:hAnsi="Times New Roman" w:cs="Times New Roman"/>
          <w:color w:val="000000" w:themeColor="text1"/>
          <w:spacing w:val="-5"/>
          <w:sz w:val="20"/>
          <w:szCs w:val="20"/>
          <w:shd w:val="clear" w:color="auto" w:fill="FFFFFF"/>
        </w:rPr>
      </w:pPr>
      <w:r w:rsidRPr="00164238">
        <w:rPr>
          <w:rFonts w:ascii="Times New Roman" w:hAnsi="Times New Roman" w:cs="Times New Roman"/>
          <w:color w:val="000000" w:themeColor="text1"/>
          <w:spacing w:val="-5"/>
          <w:sz w:val="20"/>
          <w:szCs w:val="20"/>
          <w:shd w:val="clear" w:color="auto" w:fill="FFFFFF"/>
        </w:rPr>
        <w:lastRenderedPageBreak/>
        <w:t xml:space="preserve">If we recall briefly ISBE2020, which we organized last year for the first time, we met with participants from different countries around the theme of Digitalization. While we experience the technological and digital world with the pandemic, focusing on the theme of Digitalization has given us insight and privilege. ISBE2020 hosted keynote speakers from UK, China, Italy, and Macedonia. It was completed with 15 sessions and 47 papers. </w:t>
      </w:r>
    </w:p>
    <w:p w14:paraId="41E6F4F2" w14:textId="77777777" w:rsidR="006923DF" w:rsidRPr="00164238" w:rsidRDefault="006923DF" w:rsidP="006923DF">
      <w:pPr>
        <w:spacing w:before="120" w:after="120"/>
        <w:jc w:val="both"/>
        <w:rPr>
          <w:rFonts w:ascii="Times New Roman" w:hAnsi="Times New Roman" w:cs="Times New Roman"/>
          <w:color w:val="000000" w:themeColor="text1"/>
          <w:spacing w:val="-5"/>
          <w:sz w:val="20"/>
          <w:szCs w:val="20"/>
          <w:shd w:val="clear" w:color="auto" w:fill="FFFFFF"/>
        </w:rPr>
      </w:pPr>
      <w:r w:rsidRPr="00164238">
        <w:rPr>
          <w:rFonts w:ascii="Times New Roman" w:hAnsi="Times New Roman" w:cs="Times New Roman"/>
          <w:color w:val="000000" w:themeColor="text1"/>
          <w:spacing w:val="-5"/>
          <w:sz w:val="20"/>
          <w:szCs w:val="20"/>
          <w:shd w:val="clear" w:color="auto" w:fill="FFFFFF"/>
        </w:rPr>
        <w:t xml:space="preserve">When ISBE2021 is examined, it is possible to notice that interest has increased. We will host 36 sessions and a panel in two days. There is a scientifically entire program with about 140 papers from 65 different universities and ten different countries. </w:t>
      </w:r>
    </w:p>
    <w:p w14:paraId="544FBF21" w14:textId="77777777" w:rsidR="006923DF" w:rsidRPr="00164238" w:rsidRDefault="006923DF" w:rsidP="006923DF">
      <w:pPr>
        <w:spacing w:before="120" w:after="120"/>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If you look at the program, you can see researchers from different countries. Mainly, our keynote speakers, who are distinguished members of the academic world, are employed in notorious universities. It is my pleasure to introduce you to our keynote speakers and their remarks on the impact of COVID-19:</w:t>
      </w:r>
    </w:p>
    <w:p w14:paraId="12643F51" w14:textId="77777777" w:rsidR="006923DF" w:rsidRPr="00164238" w:rsidRDefault="006923DF" w:rsidP="006923DF">
      <w:pPr>
        <w:pStyle w:val="ListeParagraf"/>
        <w:numPr>
          <w:ilvl w:val="0"/>
          <w:numId w:val="55"/>
        </w:numPr>
        <w:spacing w:before="120" w:after="12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Prof. Dr. John Traxler from the University of Wolverhampton, UK</w:t>
      </w:r>
    </w:p>
    <w:p w14:paraId="2ADDB03D" w14:textId="77777777" w:rsidR="006923DF" w:rsidRPr="00164238" w:rsidRDefault="006923DF" w:rsidP="006923DF">
      <w:pPr>
        <w:pStyle w:val="ListeParagraf"/>
        <w:numPr>
          <w:ilvl w:val="0"/>
          <w:numId w:val="55"/>
        </w:numPr>
        <w:spacing w:before="120" w:after="12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Prof. Dr. Maria Francisca Blasco Lopez from Universidad Complutense de Madrid, Spain</w:t>
      </w:r>
    </w:p>
    <w:p w14:paraId="15BED547" w14:textId="77777777" w:rsidR="006923DF" w:rsidRPr="00164238" w:rsidRDefault="006923DF" w:rsidP="006923DF">
      <w:pPr>
        <w:pStyle w:val="ListeParagraf"/>
        <w:numPr>
          <w:ilvl w:val="0"/>
          <w:numId w:val="55"/>
        </w:numPr>
        <w:spacing w:before="120" w:after="12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Assoc. Prof. Monica Bolek from University of Lodz, Poland</w:t>
      </w:r>
    </w:p>
    <w:p w14:paraId="5508B259" w14:textId="77777777" w:rsidR="006923DF" w:rsidRPr="00164238" w:rsidRDefault="006923DF" w:rsidP="006923DF">
      <w:pPr>
        <w:pStyle w:val="ListeParagraf"/>
        <w:numPr>
          <w:ilvl w:val="0"/>
          <w:numId w:val="55"/>
        </w:numPr>
        <w:spacing w:before="120" w:after="12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Assoc. Prof. Sevil Kerimova from Azerbaijan State University of Culture and Fine Art, Azerbaijan</w:t>
      </w:r>
    </w:p>
    <w:p w14:paraId="49AEEAF4" w14:textId="77777777" w:rsidR="006923DF" w:rsidRPr="00164238" w:rsidRDefault="006923DF" w:rsidP="006923DF">
      <w:pPr>
        <w:pStyle w:val="ListeParagraf"/>
        <w:numPr>
          <w:ilvl w:val="0"/>
          <w:numId w:val="55"/>
        </w:numPr>
        <w:spacing w:before="120" w:after="12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Assoc. Prof. Zhang Aiheng from the Guangdong University of Foreign Studies, Chinese.</w:t>
      </w:r>
    </w:p>
    <w:p w14:paraId="56787EB0" w14:textId="77777777" w:rsidR="006923DF" w:rsidRPr="00164238" w:rsidRDefault="006923DF" w:rsidP="006923DF">
      <w:pPr>
        <w:pStyle w:val="ListeParagraf"/>
        <w:numPr>
          <w:ilvl w:val="0"/>
          <w:numId w:val="55"/>
        </w:numPr>
        <w:spacing w:before="120" w:after="12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Muhsin Atcı from Group Tax and Risk Manager in GUROK Group of Companies, Turkey</w:t>
      </w:r>
    </w:p>
    <w:p w14:paraId="67A0FCED" w14:textId="77777777" w:rsidR="006923DF" w:rsidRPr="00164238" w:rsidRDefault="006923DF" w:rsidP="006923DF">
      <w:pPr>
        <w:spacing w:before="120" w:after="120"/>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I want to thank our guests once again for sharing their precious time with us. I am pleased to host you all in the virtual meetings.</w:t>
      </w:r>
    </w:p>
    <w:p w14:paraId="26140BE2" w14:textId="77777777" w:rsidR="006923DF" w:rsidRPr="00164238" w:rsidRDefault="006923DF" w:rsidP="006923DF">
      <w:pPr>
        <w:spacing w:before="120" w:after="120"/>
        <w:jc w:val="both"/>
        <w:rPr>
          <w:rFonts w:ascii="Times New Roman" w:hAnsi="Times New Roman" w:cs="Times New Roman"/>
          <w:color w:val="000000" w:themeColor="text1"/>
          <w:spacing w:val="-5"/>
          <w:sz w:val="20"/>
          <w:szCs w:val="20"/>
          <w:shd w:val="clear" w:color="auto" w:fill="FFFFFF"/>
        </w:rPr>
      </w:pPr>
      <w:r w:rsidRPr="00164238">
        <w:rPr>
          <w:rFonts w:ascii="Times New Roman" w:hAnsi="Times New Roman" w:cs="Times New Roman"/>
          <w:color w:val="000000" w:themeColor="text1"/>
          <w:spacing w:val="-5"/>
          <w:sz w:val="20"/>
          <w:szCs w:val="20"/>
          <w:shd w:val="clear" w:color="auto" w:fill="FFFFFF"/>
        </w:rPr>
        <w:t xml:space="preserve">Moreover, </w:t>
      </w:r>
      <w:r w:rsidRPr="00164238">
        <w:rPr>
          <w:rFonts w:ascii="Times New Roman" w:hAnsi="Times New Roman" w:cs="Times New Roman"/>
          <w:color w:val="000000" w:themeColor="text1"/>
          <w:sz w:val="20"/>
          <w:szCs w:val="20"/>
        </w:rPr>
        <w:t>we are glad to bring</w:t>
      </w:r>
      <w:r w:rsidRPr="00164238">
        <w:rPr>
          <w:rFonts w:ascii="Times New Roman" w:hAnsi="Times New Roman" w:cs="Times New Roman"/>
          <w:color w:val="000000" w:themeColor="text1"/>
          <w:spacing w:val="-5"/>
          <w:sz w:val="20"/>
          <w:szCs w:val="20"/>
          <w:shd w:val="clear" w:color="auto" w:fill="FFFFFF"/>
        </w:rPr>
        <w:t xml:space="preserve"> together professionals all around the world with </w:t>
      </w:r>
      <w:r w:rsidRPr="00164238">
        <w:rPr>
          <w:rFonts w:ascii="Times New Roman" w:hAnsi="Times New Roman" w:cs="Times New Roman"/>
          <w:color w:val="000000" w:themeColor="text1"/>
          <w:sz w:val="20"/>
          <w:szCs w:val="20"/>
          <w:shd w:val="clear" w:color="auto" w:fill="FFFFFF"/>
        </w:rPr>
        <w:t>the theme of </w:t>
      </w:r>
      <w:r w:rsidRPr="00164238">
        <w:rPr>
          <w:rFonts w:ascii="Times New Roman" w:hAnsi="Times New Roman" w:cs="Times New Roman"/>
          <w:b/>
          <w:bCs/>
          <w:i/>
          <w:iCs/>
          <w:color w:val="000000" w:themeColor="text1"/>
          <w:sz w:val="20"/>
          <w:szCs w:val="20"/>
          <w:shd w:val="clear" w:color="auto" w:fill="FFFFFF"/>
        </w:rPr>
        <w:t xml:space="preserve">“the challenges surrounding COVID-19 pandemic: economic, social and behavioral response to the epidemic”. </w:t>
      </w:r>
    </w:p>
    <w:p w14:paraId="6A189346" w14:textId="77777777" w:rsidR="006923DF" w:rsidRPr="00164238" w:rsidRDefault="006923DF" w:rsidP="006923DF">
      <w:pPr>
        <w:spacing w:before="120" w:after="120"/>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Before ending my speech, I would like to offer specials thanks to the symposium organizing committee and the sponsors. Although it is not an economically comfortable environment, they have supported scientific activities. Sharing their name with you is worthwhile: Karar Audit, Gazi Publishing, Pfiffner, Parantez Technology, and Academicians Union. Your support for science is deeply appreciated. </w:t>
      </w:r>
    </w:p>
    <w:p w14:paraId="4BD6CAC8" w14:textId="77777777" w:rsidR="006923DF" w:rsidRPr="00164238" w:rsidRDefault="006923DF" w:rsidP="006923DF">
      <w:pPr>
        <w:spacing w:before="120" w:after="120"/>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Thank you all for joining this virtual meeting.</w:t>
      </w:r>
    </w:p>
    <w:p w14:paraId="0A2E3925" w14:textId="77777777" w:rsidR="006923DF" w:rsidRPr="00164238" w:rsidRDefault="006923DF" w:rsidP="006923DF">
      <w:pPr>
        <w:spacing w:before="120" w:after="120"/>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I once again extend my greetings and respect to you all.</w:t>
      </w:r>
    </w:p>
    <w:p w14:paraId="2A52F5CB" w14:textId="77777777" w:rsidR="006923DF" w:rsidRPr="00164238" w:rsidRDefault="006923DF" w:rsidP="006923DF">
      <w:pPr>
        <w:spacing w:before="120" w:after="120"/>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Health and Peace be with you</w:t>
      </w:r>
    </w:p>
    <w:p w14:paraId="4BAC2CCF" w14:textId="77777777" w:rsidR="006923DF" w:rsidRPr="00164238" w:rsidRDefault="006923DF" w:rsidP="006923DF">
      <w:pPr>
        <w:spacing w:before="120" w:after="120"/>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I wish the symposium success.</w:t>
      </w:r>
    </w:p>
    <w:p w14:paraId="273FE6A7" w14:textId="77777777" w:rsidR="006923DF" w:rsidRPr="00164238" w:rsidRDefault="006923DF" w:rsidP="006923DF">
      <w:pPr>
        <w:spacing w:before="120" w:after="120"/>
        <w:jc w:val="both"/>
        <w:rPr>
          <w:rFonts w:ascii="Times New Roman" w:hAnsi="Times New Roman" w:cs="Times New Roman"/>
          <w:color w:val="000000" w:themeColor="text1"/>
          <w:sz w:val="20"/>
          <w:szCs w:val="20"/>
        </w:rPr>
      </w:pPr>
    </w:p>
    <w:p w14:paraId="59806C42" w14:textId="77777777" w:rsidR="006923DF" w:rsidRPr="00164238" w:rsidRDefault="006923DF" w:rsidP="006923DF">
      <w:pPr>
        <w:spacing w:before="120" w:after="120"/>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April 7, 2021</w:t>
      </w:r>
    </w:p>
    <w:p w14:paraId="2EC606C8" w14:textId="77777777" w:rsidR="006923DF" w:rsidRPr="00164238" w:rsidRDefault="006923DF" w:rsidP="006923DF">
      <w:pPr>
        <w:spacing w:before="120" w:after="120"/>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Prof. Dr. Aydin Karapinar</w:t>
      </w:r>
    </w:p>
    <w:p w14:paraId="7DFEE239" w14:textId="77777777" w:rsidR="006923DF" w:rsidRPr="00164238" w:rsidRDefault="006923DF" w:rsidP="006923DF">
      <w:pPr>
        <w:spacing w:before="120" w:after="120"/>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Symposium Chair</w:t>
      </w:r>
    </w:p>
    <w:p w14:paraId="73412A78" w14:textId="77777777" w:rsidR="00357DB1" w:rsidRPr="00164238" w:rsidRDefault="00357DB1" w:rsidP="004F7613">
      <w:pPr>
        <w:spacing w:before="120" w:after="120" w:line="360" w:lineRule="auto"/>
        <w:ind w:firstLine="709"/>
        <w:jc w:val="center"/>
        <w:rPr>
          <w:rFonts w:ascii="Times New Roman" w:hAnsi="Times New Roman" w:cs="Times New Roman"/>
          <w:b/>
          <w:color w:val="000000" w:themeColor="text1"/>
          <w:sz w:val="24"/>
          <w:szCs w:val="24"/>
          <w:shd w:val="clear" w:color="auto" w:fill="FFFFFF"/>
        </w:rPr>
      </w:pPr>
    </w:p>
    <w:p w14:paraId="54C41DEF" w14:textId="77777777" w:rsidR="00357DB1" w:rsidRPr="00164238" w:rsidRDefault="00357DB1" w:rsidP="004F7613">
      <w:pPr>
        <w:spacing w:before="120" w:after="120" w:line="360" w:lineRule="auto"/>
        <w:ind w:firstLine="709"/>
        <w:jc w:val="center"/>
        <w:rPr>
          <w:rFonts w:ascii="Times New Roman" w:hAnsi="Times New Roman" w:cs="Times New Roman"/>
          <w:b/>
          <w:color w:val="000000" w:themeColor="text1"/>
          <w:sz w:val="24"/>
          <w:szCs w:val="24"/>
          <w:shd w:val="clear" w:color="auto" w:fill="FFFFFF"/>
        </w:rPr>
      </w:pPr>
    </w:p>
    <w:p w14:paraId="7990E099" w14:textId="77777777" w:rsidR="00357DB1" w:rsidRPr="00164238" w:rsidRDefault="00357DB1" w:rsidP="004F7613">
      <w:pPr>
        <w:spacing w:before="120" w:after="120" w:line="360" w:lineRule="auto"/>
        <w:ind w:firstLine="709"/>
        <w:jc w:val="center"/>
        <w:rPr>
          <w:rFonts w:ascii="Times New Roman" w:hAnsi="Times New Roman" w:cs="Times New Roman"/>
          <w:b/>
          <w:color w:val="000000" w:themeColor="text1"/>
          <w:sz w:val="24"/>
          <w:szCs w:val="24"/>
          <w:shd w:val="clear" w:color="auto" w:fill="FFFFFF"/>
        </w:rPr>
      </w:pPr>
    </w:p>
    <w:p w14:paraId="0551C403" w14:textId="77777777" w:rsidR="00357DB1" w:rsidRPr="00164238" w:rsidRDefault="00357DB1" w:rsidP="004F7613">
      <w:pPr>
        <w:spacing w:before="120" w:after="120" w:line="360" w:lineRule="auto"/>
        <w:ind w:firstLine="709"/>
        <w:jc w:val="center"/>
        <w:rPr>
          <w:rFonts w:ascii="Times New Roman" w:hAnsi="Times New Roman" w:cs="Times New Roman"/>
          <w:b/>
          <w:color w:val="000000" w:themeColor="text1"/>
          <w:sz w:val="24"/>
          <w:szCs w:val="24"/>
          <w:shd w:val="clear" w:color="auto" w:fill="FFFFFF"/>
        </w:rPr>
      </w:pPr>
    </w:p>
    <w:p w14:paraId="450BEBF9" w14:textId="77777777" w:rsidR="00357DB1" w:rsidRPr="00164238" w:rsidRDefault="00357DB1" w:rsidP="004F7613">
      <w:pPr>
        <w:spacing w:before="120" w:after="120" w:line="360" w:lineRule="auto"/>
        <w:ind w:firstLine="709"/>
        <w:jc w:val="center"/>
        <w:rPr>
          <w:rFonts w:ascii="Times New Roman" w:hAnsi="Times New Roman" w:cs="Times New Roman"/>
          <w:b/>
          <w:color w:val="000000" w:themeColor="text1"/>
          <w:sz w:val="24"/>
          <w:szCs w:val="24"/>
          <w:shd w:val="clear" w:color="auto" w:fill="FFFFFF"/>
        </w:rPr>
      </w:pPr>
    </w:p>
    <w:p w14:paraId="6C9B1CB4" w14:textId="77777777" w:rsidR="00357DB1" w:rsidRPr="00164238" w:rsidRDefault="00357DB1" w:rsidP="004F7613">
      <w:pPr>
        <w:spacing w:before="120" w:after="120" w:line="360" w:lineRule="auto"/>
        <w:ind w:firstLine="709"/>
        <w:jc w:val="center"/>
        <w:rPr>
          <w:rFonts w:ascii="Times New Roman" w:hAnsi="Times New Roman" w:cs="Times New Roman"/>
          <w:b/>
          <w:color w:val="000000" w:themeColor="text1"/>
          <w:sz w:val="24"/>
          <w:szCs w:val="24"/>
          <w:shd w:val="clear" w:color="auto" w:fill="FFFFFF"/>
        </w:rPr>
      </w:pPr>
    </w:p>
    <w:p w14:paraId="34E466A0" w14:textId="77777777" w:rsidR="00357DB1" w:rsidRPr="00164238" w:rsidRDefault="00357DB1" w:rsidP="004F7613">
      <w:pPr>
        <w:spacing w:before="120" w:after="120" w:line="360" w:lineRule="auto"/>
        <w:ind w:firstLine="709"/>
        <w:jc w:val="center"/>
        <w:rPr>
          <w:rFonts w:ascii="Times New Roman" w:hAnsi="Times New Roman" w:cs="Times New Roman"/>
          <w:b/>
          <w:color w:val="000000" w:themeColor="text1"/>
          <w:sz w:val="24"/>
          <w:szCs w:val="24"/>
          <w:shd w:val="clear" w:color="auto" w:fill="FFFFFF"/>
        </w:rPr>
      </w:pPr>
    </w:p>
    <w:sdt>
      <w:sdtPr>
        <w:rPr>
          <w:rFonts w:asciiTheme="minorHAnsi" w:eastAsiaTheme="minorHAnsi" w:hAnsiTheme="minorHAnsi" w:cs="Times New Roman"/>
          <w:color w:val="000000" w:themeColor="text1"/>
          <w:sz w:val="22"/>
          <w:szCs w:val="22"/>
          <w:lang w:val="tr-TR"/>
        </w:rPr>
        <w:id w:val="-411240156"/>
        <w:docPartObj>
          <w:docPartGallery w:val="Table of Contents"/>
          <w:docPartUnique/>
        </w:docPartObj>
      </w:sdtPr>
      <w:sdtEndPr>
        <w:rPr>
          <w:b/>
          <w:bCs/>
          <w:noProof/>
        </w:rPr>
      </w:sdtEndPr>
      <w:sdtContent>
        <w:p w14:paraId="32B8544F" w14:textId="77777777" w:rsidR="006923DF" w:rsidRPr="00006C90" w:rsidRDefault="006923DF" w:rsidP="006923DF">
          <w:pPr>
            <w:pStyle w:val="TBal"/>
            <w:rPr>
              <w:rFonts w:cs="Times New Roman"/>
              <w:color w:val="000000" w:themeColor="text1"/>
            </w:rPr>
          </w:pPr>
          <w:r w:rsidRPr="00006C90">
            <w:rPr>
              <w:rFonts w:cs="Times New Roman"/>
              <w:color w:val="000000" w:themeColor="text1"/>
            </w:rPr>
            <w:t>İÇİNDEKİLER</w:t>
          </w:r>
          <w:bookmarkStart w:id="1" w:name="_GoBack"/>
          <w:bookmarkEnd w:id="1"/>
        </w:p>
        <w:p w14:paraId="1A744C77" w14:textId="516023C2" w:rsidR="003301DC" w:rsidRDefault="006923DF">
          <w:pPr>
            <w:pStyle w:val="T1"/>
            <w:tabs>
              <w:tab w:val="right" w:leader="dot" w:pos="9062"/>
            </w:tabs>
            <w:rPr>
              <w:rFonts w:eastAsiaTheme="minorEastAsia"/>
              <w:noProof/>
            </w:rPr>
          </w:pPr>
          <w:r w:rsidRPr="00006C90">
            <w:rPr>
              <w:rFonts w:ascii="Times New Roman" w:hAnsi="Times New Roman" w:cs="Times New Roman"/>
              <w:color w:val="000000" w:themeColor="text1"/>
            </w:rPr>
            <w:fldChar w:fldCharType="begin"/>
          </w:r>
          <w:r w:rsidRPr="00006C90">
            <w:rPr>
              <w:rFonts w:ascii="Times New Roman" w:hAnsi="Times New Roman" w:cs="Times New Roman"/>
              <w:color w:val="000000" w:themeColor="text1"/>
            </w:rPr>
            <w:instrText xml:space="preserve"> TOC \o "1-3" \h \z \u </w:instrText>
          </w:r>
          <w:r w:rsidRPr="00006C90">
            <w:rPr>
              <w:rFonts w:ascii="Times New Roman" w:hAnsi="Times New Roman" w:cs="Times New Roman"/>
              <w:color w:val="000000" w:themeColor="text1"/>
            </w:rPr>
            <w:fldChar w:fldCharType="separate"/>
          </w:r>
          <w:hyperlink w:anchor="_Toc72961651" w:history="1">
            <w:r w:rsidR="003301DC" w:rsidRPr="001E20D2">
              <w:rPr>
                <w:rStyle w:val="Kpr"/>
                <w:rFonts w:ascii="Times New Roman" w:hAnsi="Times New Roman" w:cs="Times New Roman"/>
                <w:b/>
                <w:noProof/>
              </w:rPr>
              <w:t>ISBE2021 OPENING SPEECH</w:t>
            </w:r>
            <w:r w:rsidR="003301DC">
              <w:rPr>
                <w:noProof/>
                <w:webHidden/>
              </w:rPr>
              <w:tab/>
            </w:r>
            <w:r w:rsidR="003301DC">
              <w:rPr>
                <w:noProof/>
                <w:webHidden/>
              </w:rPr>
              <w:fldChar w:fldCharType="begin"/>
            </w:r>
            <w:r w:rsidR="003301DC">
              <w:rPr>
                <w:noProof/>
                <w:webHidden/>
              </w:rPr>
              <w:instrText xml:space="preserve"> PAGEREF _Toc72961651 \h </w:instrText>
            </w:r>
            <w:r w:rsidR="003301DC">
              <w:rPr>
                <w:noProof/>
                <w:webHidden/>
              </w:rPr>
            </w:r>
            <w:r w:rsidR="003301DC">
              <w:rPr>
                <w:noProof/>
                <w:webHidden/>
              </w:rPr>
              <w:fldChar w:fldCharType="separate"/>
            </w:r>
            <w:r w:rsidR="006D4075">
              <w:rPr>
                <w:noProof/>
                <w:webHidden/>
              </w:rPr>
              <w:t>7</w:t>
            </w:r>
            <w:r w:rsidR="003301DC">
              <w:rPr>
                <w:noProof/>
                <w:webHidden/>
              </w:rPr>
              <w:fldChar w:fldCharType="end"/>
            </w:r>
          </w:hyperlink>
        </w:p>
        <w:p w14:paraId="7AA6344A" w14:textId="2CB6F739" w:rsidR="003301DC" w:rsidRDefault="003301DC">
          <w:pPr>
            <w:pStyle w:val="T1"/>
            <w:tabs>
              <w:tab w:val="right" w:leader="dot" w:pos="9062"/>
            </w:tabs>
            <w:rPr>
              <w:rFonts w:eastAsiaTheme="minorEastAsia"/>
              <w:noProof/>
            </w:rPr>
          </w:pPr>
          <w:hyperlink w:anchor="_Toc72961652" w:history="1">
            <w:r w:rsidRPr="001E20D2">
              <w:rPr>
                <w:rStyle w:val="Kpr"/>
                <w:rFonts w:ascii="Times New Roman" w:hAnsi="Times New Roman" w:cs="Times New Roman"/>
                <w:b/>
                <w:noProof/>
                <w:shd w:val="clear" w:color="auto" w:fill="FFFFFF"/>
              </w:rPr>
              <w:t>KOVİD-19 KÜRESEL SALGIN DÖNEMİNDE TÜRKİYE’DE UYGULANAN PARA POLİTİKASI TEDBİRLERİNİN FİNANSAL GÖSTERGELER ÜZERİNDEKİ ETKİSİ</w:t>
            </w:r>
            <w:r>
              <w:rPr>
                <w:noProof/>
                <w:webHidden/>
              </w:rPr>
              <w:tab/>
            </w:r>
            <w:r>
              <w:rPr>
                <w:noProof/>
                <w:webHidden/>
              </w:rPr>
              <w:fldChar w:fldCharType="begin"/>
            </w:r>
            <w:r>
              <w:rPr>
                <w:noProof/>
                <w:webHidden/>
              </w:rPr>
              <w:instrText xml:space="preserve"> PAGEREF _Toc72961652 \h </w:instrText>
            </w:r>
            <w:r>
              <w:rPr>
                <w:noProof/>
                <w:webHidden/>
              </w:rPr>
            </w:r>
            <w:r>
              <w:rPr>
                <w:noProof/>
                <w:webHidden/>
              </w:rPr>
              <w:fldChar w:fldCharType="separate"/>
            </w:r>
            <w:r w:rsidR="006D4075">
              <w:rPr>
                <w:noProof/>
                <w:webHidden/>
              </w:rPr>
              <w:t>14</w:t>
            </w:r>
            <w:r>
              <w:rPr>
                <w:noProof/>
                <w:webHidden/>
              </w:rPr>
              <w:fldChar w:fldCharType="end"/>
            </w:r>
          </w:hyperlink>
        </w:p>
        <w:p w14:paraId="5530EA86" w14:textId="134FC2BF" w:rsidR="003301DC" w:rsidRDefault="003301DC">
          <w:pPr>
            <w:pStyle w:val="T2"/>
            <w:tabs>
              <w:tab w:val="right" w:leader="dot" w:pos="9062"/>
            </w:tabs>
            <w:rPr>
              <w:rFonts w:eastAsiaTheme="minorEastAsia"/>
              <w:noProof/>
            </w:rPr>
          </w:pPr>
          <w:hyperlink w:anchor="_Toc72961653" w:history="1">
            <w:r w:rsidRPr="001E20D2">
              <w:rPr>
                <w:rStyle w:val="Kpr"/>
                <w:rFonts w:ascii="Times New Roman" w:hAnsi="Times New Roman" w:cs="Times New Roman"/>
                <w:noProof/>
              </w:rPr>
              <w:t>Dr. Öğr.Üyesi Aslı GÜLER</w:t>
            </w:r>
            <w:r>
              <w:rPr>
                <w:noProof/>
                <w:webHidden/>
              </w:rPr>
              <w:tab/>
            </w:r>
            <w:r>
              <w:rPr>
                <w:noProof/>
                <w:webHidden/>
              </w:rPr>
              <w:fldChar w:fldCharType="begin"/>
            </w:r>
            <w:r>
              <w:rPr>
                <w:noProof/>
                <w:webHidden/>
              </w:rPr>
              <w:instrText xml:space="preserve"> PAGEREF _Toc72961653 \h </w:instrText>
            </w:r>
            <w:r>
              <w:rPr>
                <w:noProof/>
                <w:webHidden/>
              </w:rPr>
            </w:r>
            <w:r>
              <w:rPr>
                <w:noProof/>
                <w:webHidden/>
              </w:rPr>
              <w:fldChar w:fldCharType="separate"/>
            </w:r>
            <w:r w:rsidR="006D4075">
              <w:rPr>
                <w:noProof/>
                <w:webHidden/>
              </w:rPr>
              <w:t>14</w:t>
            </w:r>
            <w:r>
              <w:rPr>
                <w:noProof/>
                <w:webHidden/>
              </w:rPr>
              <w:fldChar w:fldCharType="end"/>
            </w:r>
          </w:hyperlink>
        </w:p>
        <w:p w14:paraId="50A20965" w14:textId="683E400A" w:rsidR="003301DC" w:rsidRDefault="003301DC">
          <w:pPr>
            <w:pStyle w:val="T1"/>
            <w:tabs>
              <w:tab w:val="right" w:leader="dot" w:pos="9062"/>
            </w:tabs>
            <w:rPr>
              <w:rFonts w:eastAsiaTheme="minorEastAsia"/>
              <w:noProof/>
            </w:rPr>
          </w:pPr>
          <w:hyperlink w:anchor="_Toc72961654" w:history="1">
            <w:r w:rsidRPr="001E20D2">
              <w:rPr>
                <w:rStyle w:val="Kpr"/>
                <w:rFonts w:ascii="Times New Roman" w:hAnsi="Times New Roman" w:cs="Times New Roman"/>
                <w:b/>
                <w:noProof/>
              </w:rPr>
              <w:t>COVİD19 PANDEMİSİ SÜRECİNDE DEĞİŞEN TÜKETİCİ VE MARKA DAVRANIŞLARI ÜZERİNE BİR ÇALIŞMA</w:t>
            </w:r>
            <w:r>
              <w:rPr>
                <w:noProof/>
                <w:webHidden/>
              </w:rPr>
              <w:tab/>
            </w:r>
            <w:r>
              <w:rPr>
                <w:noProof/>
                <w:webHidden/>
              </w:rPr>
              <w:fldChar w:fldCharType="begin"/>
            </w:r>
            <w:r>
              <w:rPr>
                <w:noProof/>
                <w:webHidden/>
              </w:rPr>
              <w:instrText xml:space="preserve"> PAGEREF _Toc72961654 \h </w:instrText>
            </w:r>
            <w:r>
              <w:rPr>
                <w:noProof/>
                <w:webHidden/>
              </w:rPr>
            </w:r>
            <w:r>
              <w:rPr>
                <w:noProof/>
                <w:webHidden/>
              </w:rPr>
              <w:fldChar w:fldCharType="separate"/>
            </w:r>
            <w:r w:rsidR="006D4075">
              <w:rPr>
                <w:noProof/>
                <w:webHidden/>
              </w:rPr>
              <w:t>26</w:t>
            </w:r>
            <w:r>
              <w:rPr>
                <w:noProof/>
                <w:webHidden/>
              </w:rPr>
              <w:fldChar w:fldCharType="end"/>
            </w:r>
          </w:hyperlink>
        </w:p>
        <w:p w14:paraId="734F450D" w14:textId="22FB56F8" w:rsidR="003301DC" w:rsidRDefault="003301DC">
          <w:pPr>
            <w:pStyle w:val="T2"/>
            <w:tabs>
              <w:tab w:val="right" w:leader="dot" w:pos="9062"/>
            </w:tabs>
            <w:rPr>
              <w:rFonts w:eastAsiaTheme="minorEastAsia"/>
              <w:noProof/>
            </w:rPr>
          </w:pPr>
          <w:hyperlink w:anchor="_Toc72961655" w:history="1">
            <w:r>
              <w:rPr>
                <w:rStyle w:val="Kpr"/>
                <w:rFonts w:ascii="Times New Roman" w:hAnsi="Times New Roman" w:cs="Times New Roman"/>
                <w:noProof/>
              </w:rPr>
              <w:t>Dr. Öğr. Üyesi Elif KARA</w:t>
            </w:r>
            <w:r w:rsidRPr="001E20D2">
              <w:rPr>
                <w:rStyle w:val="Kpr"/>
                <w:rFonts w:ascii="Times New Roman" w:hAnsi="Times New Roman" w:cs="Times New Roman"/>
                <w:noProof/>
              </w:rPr>
              <w:t>.</w:t>
            </w:r>
            <w:r>
              <w:rPr>
                <w:noProof/>
                <w:webHidden/>
              </w:rPr>
              <w:tab/>
            </w:r>
            <w:r>
              <w:rPr>
                <w:noProof/>
                <w:webHidden/>
              </w:rPr>
              <w:fldChar w:fldCharType="begin"/>
            </w:r>
            <w:r>
              <w:rPr>
                <w:noProof/>
                <w:webHidden/>
              </w:rPr>
              <w:instrText xml:space="preserve"> PAGEREF _Toc72961655 \h </w:instrText>
            </w:r>
            <w:r>
              <w:rPr>
                <w:noProof/>
                <w:webHidden/>
              </w:rPr>
            </w:r>
            <w:r>
              <w:rPr>
                <w:noProof/>
                <w:webHidden/>
              </w:rPr>
              <w:fldChar w:fldCharType="separate"/>
            </w:r>
            <w:r w:rsidR="006D4075">
              <w:rPr>
                <w:noProof/>
                <w:webHidden/>
              </w:rPr>
              <w:t>26</w:t>
            </w:r>
            <w:r>
              <w:rPr>
                <w:noProof/>
                <w:webHidden/>
              </w:rPr>
              <w:fldChar w:fldCharType="end"/>
            </w:r>
          </w:hyperlink>
        </w:p>
        <w:p w14:paraId="4318EA00" w14:textId="172110D4" w:rsidR="003301DC" w:rsidRDefault="003301DC">
          <w:pPr>
            <w:pStyle w:val="T1"/>
            <w:tabs>
              <w:tab w:val="right" w:leader="dot" w:pos="9062"/>
            </w:tabs>
            <w:rPr>
              <w:rFonts w:eastAsiaTheme="minorEastAsia"/>
              <w:noProof/>
            </w:rPr>
          </w:pPr>
          <w:hyperlink w:anchor="_Toc72961656" w:history="1">
            <w:r w:rsidRPr="001E20D2">
              <w:rPr>
                <w:rStyle w:val="Kpr"/>
                <w:rFonts w:ascii="Times New Roman" w:hAnsi="Times New Roman" w:cs="Times New Roman"/>
                <w:b/>
                <w:noProof/>
              </w:rPr>
              <w:t>PANDEMİ DÖNEMİNDE MÜZELERİN DENEYİMSEL PAZARLAMA UYGULAMALARI: ÇOCUK MÜZELERİ ÜZERİNE BİR İNCELEME</w:t>
            </w:r>
            <w:r>
              <w:rPr>
                <w:noProof/>
                <w:webHidden/>
              </w:rPr>
              <w:tab/>
            </w:r>
            <w:r>
              <w:rPr>
                <w:noProof/>
                <w:webHidden/>
              </w:rPr>
              <w:fldChar w:fldCharType="begin"/>
            </w:r>
            <w:r>
              <w:rPr>
                <w:noProof/>
                <w:webHidden/>
              </w:rPr>
              <w:instrText xml:space="preserve"> PAGEREF _Toc72961656 \h </w:instrText>
            </w:r>
            <w:r>
              <w:rPr>
                <w:noProof/>
                <w:webHidden/>
              </w:rPr>
            </w:r>
            <w:r>
              <w:rPr>
                <w:noProof/>
                <w:webHidden/>
              </w:rPr>
              <w:fldChar w:fldCharType="separate"/>
            </w:r>
            <w:r w:rsidR="006D4075">
              <w:rPr>
                <w:noProof/>
                <w:webHidden/>
              </w:rPr>
              <w:t>37</w:t>
            </w:r>
            <w:r>
              <w:rPr>
                <w:noProof/>
                <w:webHidden/>
              </w:rPr>
              <w:fldChar w:fldCharType="end"/>
            </w:r>
          </w:hyperlink>
        </w:p>
        <w:p w14:paraId="2DD5D998" w14:textId="1810421A" w:rsidR="003301DC" w:rsidRDefault="003301DC">
          <w:pPr>
            <w:pStyle w:val="T2"/>
            <w:tabs>
              <w:tab w:val="right" w:leader="dot" w:pos="9062"/>
            </w:tabs>
            <w:rPr>
              <w:rFonts w:eastAsiaTheme="minorEastAsia"/>
              <w:noProof/>
            </w:rPr>
          </w:pPr>
          <w:hyperlink w:anchor="_Toc72961657" w:history="1">
            <w:r w:rsidRPr="001E20D2">
              <w:rPr>
                <w:rStyle w:val="Kpr"/>
                <w:rFonts w:ascii="Times New Roman" w:hAnsi="Times New Roman" w:cs="Times New Roman"/>
                <w:noProof/>
              </w:rPr>
              <w:t>Arş.Gör. Ayşe İpek AYTAÇ</w:t>
            </w:r>
            <w:r>
              <w:rPr>
                <w:noProof/>
                <w:webHidden/>
              </w:rPr>
              <w:tab/>
            </w:r>
            <w:r>
              <w:rPr>
                <w:noProof/>
                <w:webHidden/>
              </w:rPr>
              <w:fldChar w:fldCharType="begin"/>
            </w:r>
            <w:r>
              <w:rPr>
                <w:noProof/>
                <w:webHidden/>
              </w:rPr>
              <w:instrText xml:space="preserve"> PAGEREF _Toc72961657 \h </w:instrText>
            </w:r>
            <w:r>
              <w:rPr>
                <w:noProof/>
                <w:webHidden/>
              </w:rPr>
            </w:r>
            <w:r>
              <w:rPr>
                <w:noProof/>
                <w:webHidden/>
              </w:rPr>
              <w:fldChar w:fldCharType="separate"/>
            </w:r>
            <w:r w:rsidR="006D4075">
              <w:rPr>
                <w:noProof/>
                <w:webHidden/>
              </w:rPr>
              <w:t>37</w:t>
            </w:r>
            <w:r>
              <w:rPr>
                <w:noProof/>
                <w:webHidden/>
              </w:rPr>
              <w:fldChar w:fldCharType="end"/>
            </w:r>
          </w:hyperlink>
        </w:p>
        <w:p w14:paraId="00095CA9" w14:textId="09E37DCF" w:rsidR="003301DC" w:rsidRDefault="003301DC">
          <w:pPr>
            <w:pStyle w:val="T2"/>
            <w:tabs>
              <w:tab w:val="right" w:leader="dot" w:pos="9062"/>
            </w:tabs>
            <w:rPr>
              <w:rFonts w:eastAsiaTheme="minorEastAsia"/>
              <w:noProof/>
            </w:rPr>
          </w:pPr>
          <w:hyperlink w:anchor="_Toc72961658" w:history="1">
            <w:r w:rsidRPr="001E20D2">
              <w:rPr>
                <w:rStyle w:val="Kpr"/>
                <w:rFonts w:ascii="Times New Roman" w:hAnsi="Times New Roman" w:cs="Times New Roman"/>
                <w:noProof/>
              </w:rPr>
              <w:t>Ferhunde AYTAÇ</w:t>
            </w:r>
            <w:r>
              <w:rPr>
                <w:noProof/>
                <w:webHidden/>
              </w:rPr>
              <w:tab/>
            </w:r>
            <w:r>
              <w:rPr>
                <w:noProof/>
                <w:webHidden/>
              </w:rPr>
              <w:fldChar w:fldCharType="begin"/>
            </w:r>
            <w:r>
              <w:rPr>
                <w:noProof/>
                <w:webHidden/>
              </w:rPr>
              <w:instrText xml:space="preserve"> PAGEREF _Toc72961658 \h </w:instrText>
            </w:r>
            <w:r>
              <w:rPr>
                <w:noProof/>
                <w:webHidden/>
              </w:rPr>
            </w:r>
            <w:r>
              <w:rPr>
                <w:noProof/>
                <w:webHidden/>
              </w:rPr>
              <w:fldChar w:fldCharType="separate"/>
            </w:r>
            <w:r w:rsidR="006D4075">
              <w:rPr>
                <w:noProof/>
                <w:webHidden/>
              </w:rPr>
              <w:t>37</w:t>
            </w:r>
            <w:r>
              <w:rPr>
                <w:noProof/>
                <w:webHidden/>
              </w:rPr>
              <w:fldChar w:fldCharType="end"/>
            </w:r>
          </w:hyperlink>
        </w:p>
        <w:p w14:paraId="02347AF7" w14:textId="6F2DD350" w:rsidR="003301DC" w:rsidRDefault="003301DC">
          <w:pPr>
            <w:pStyle w:val="T1"/>
            <w:tabs>
              <w:tab w:val="right" w:leader="dot" w:pos="9062"/>
            </w:tabs>
            <w:rPr>
              <w:rFonts w:eastAsiaTheme="minorEastAsia"/>
              <w:noProof/>
            </w:rPr>
          </w:pPr>
          <w:hyperlink w:anchor="_Toc72961659" w:history="1">
            <w:r w:rsidRPr="001E20D2">
              <w:rPr>
                <w:rStyle w:val="Kpr"/>
                <w:rFonts w:ascii="Times New Roman" w:hAnsi="Times New Roman" w:cs="Times New Roman"/>
                <w:b/>
                <w:noProof/>
              </w:rPr>
              <w:t>MARKALARIN COVİD 19 SALGINI SÜRECİNDE İLETİŞİM FAALİYETLERİ VE SOSYAL MESAFE LOGOLARI ÜZERİNE BİR ÇALIŞMA</w:t>
            </w:r>
            <w:r>
              <w:rPr>
                <w:noProof/>
                <w:webHidden/>
              </w:rPr>
              <w:tab/>
            </w:r>
            <w:r>
              <w:rPr>
                <w:noProof/>
                <w:webHidden/>
              </w:rPr>
              <w:fldChar w:fldCharType="begin"/>
            </w:r>
            <w:r>
              <w:rPr>
                <w:noProof/>
                <w:webHidden/>
              </w:rPr>
              <w:instrText xml:space="preserve"> PAGEREF _Toc72961659 \h </w:instrText>
            </w:r>
            <w:r>
              <w:rPr>
                <w:noProof/>
                <w:webHidden/>
              </w:rPr>
            </w:r>
            <w:r>
              <w:rPr>
                <w:noProof/>
                <w:webHidden/>
              </w:rPr>
              <w:fldChar w:fldCharType="separate"/>
            </w:r>
            <w:r w:rsidR="006D4075">
              <w:rPr>
                <w:noProof/>
                <w:webHidden/>
              </w:rPr>
              <w:t>51</w:t>
            </w:r>
            <w:r>
              <w:rPr>
                <w:noProof/>
                <w:webHidden/>
              </w:rPr>
              <w:fldChar w:fldCharType="end"/>
            </w:r>
          </w:hyperlink>
        </w:p>
        <w:p w14:paraId="325E18B8" w14:textId="3416267D" w:rsidR="003301DC" w:rsidRDefault="003301DC">
          <w:pPr>
            <w:pStyle w:val="T2"/>
            <w:tabs>
              <w:tab w:val="right" w:leader="dot" w:pos="9062"/>
            </w:tabs>
            <w:rPr>
              <w:rFonts w:eastAsiaTheme="minorEastAsia"/>
              <w:noProof/>
            </w:rPr>
          </w:pPr>
          <w:hyperlink w:anchor="_Toc72961660" w:history="1">
            <w:r>
              <w:rPr>
                <w:rStyle w:val="Kpr"/>
                <w:rFonts w:ascii="Times New Roman" w:hAnsi="Times New Roman" w:cs="Times New Roman"/>
                <w:noProof/>
              </w:rPr>
              <w:t>Dr. Öğr. Üyesi Elif KARA</w:t>
            </w:r>
            <w:r>
              <w:rPr>
                <w:noProof/>
                <w:webHidden/>
              </w:rPr>
              <w:tab/>
            </w:r>
            <w:r>
              <w:rPr>
                <w:noProof/>
                <w:webHidden/>
              </w:rPr>
              <w:fldChar w:fldCharType="begin"/>
            </w:r>
            <w:r>
              <w:rPr>
                <w:noProof/>
                <w:webHidden/>
              </w:rPr>
              <w:instrText xml:space="preserve"> PAGEREF _Toc72961660 \h </w:instrText>
            </w:r>
            <w:r>
              <w:rPr>
                <w:noProof/>
                <w:webHidden/>
              </w:rPr>
            </w:r>
            <w:r>
              <w:rPr>
                <w:noProof/>
                <w:webHidden/>
              </w:rPr>
              <w:fldChar w:fldCharType="separate"/>
            </w:r>
            <w:r w:rsidR="006D4075">
              <w:rPr>
                <w:noProof/>
                <w:webHidden/>
              </w:rPr>
              <w:t>51</w:t>
            </w:r>
            <w:r>
              <w:rPr>
                <w:noProof/>
                <w:webHidden/>
              </w:rPr>
              <w:fldChar w:fldCharType="end"/>
            </w:r>
          </w:hyperlink>
        </w:p>
        <w:p w14:paraId="12C6004D" w14:textId="3C3121AD" w:rsidR="003301DC" w:rsidRDefault="003301DC">
          <w:pPr>
            <w:pStyle w:val="T1"/>
            <w:tabs>
              <w:tab w:val="right" w:leader="dot" w:pos="9062"/>
            </w:tabs>
            <w:rPr>
              <w:rFonts w:eastAsiaTheme="minorEastAsia"/>
              <w:noProof/>
            </w:rPr>
          </w:pPr>
          <w:hyperlink w:anchor="_Toc72961673" w:history="1">
            <w:r w:rsidRPr="001E20D2">
              <w:rPr>
                <w:rStyle w:val="Kpr"/>
                <w:rFonts w:ascii="Times New Roman" w:hAnsi="Times New Roman" w:cs="Times New Roman"/>
                <w:b/>
                <w:noProof/>
              </w:rPr>
              <w:t>PANDEMİ DÖNEMİNDE VE PANDEMİ SONRASINDA TÜKETİCİLERİN HAVAYOLU TERCİHLERİNE VE HAVAYOLLARINDAN BEKLENTİLERİNE YÖNELİK NİTELİKSEL BİR ARAŞTIRMA</w:t>
            </w:r>
            <w:r>
              <w:rPr>
                <w:noProof/>
                <w:webHidden/>
              </w:rPr>
              <w:tab/>
            </w:r>
            <w:r>
              <w:rPr>
                <w:noProof/>
                <w:webHidden/>
              </w:rPr>
              <w:fldChar w:fldCharType="begin"/>
            </w:r>
            <w:r>
              <w:rPr>
                <w:noProof/>
                <w:webHidden/>
              </w:rPr>
              <w:instrText xml:space="preserve"> PAGEREF _Toc72961673 \h </w:instrText>
            </w:r>
            <w:r>
              <w:rPr>
                <w:noProof/>
                <w:webHidden/>
              </w:rPr>
            </w:r>
            <w:r>
              <w:rPr>
                <w:noProof/>
                <w:webHidden/>
              </w:rPr>
              <w:fldChar w:fldCharType="separate"/>
            </w:r>
            <w:r w:rsidR="006D4075">
              <w:rPr>
                <w:noProof/>
                <w:webHidden/>
              </w:rPr>
              <w:t>63</w:t>
            </w:r>
            <w:r>
              <w:rPr>
                <w:noProof/>
                <w:webHidden/>
              </w:rPr>
              <w:fldChar w:fldCharType="end"/>
            </w:r>
          </w:hyperlink>
        </w:p>
        <w:p w14:paraId="51063581" w14:textId="60B666ED" w:rsidR="003301DC" w:rsidRDefault="003301DC">
          <w:pPr>
            <w:pStyle w:val="T2"/>
            <w:tabs>
              <w:tab w:val="right" w:leader="dot" w:pos="9062"/>
            </w:tabs>
            <w:rPr>
              <w:rFonts w:eastAsiaTheme="minorEastAsia"/>
              <w:noProof/>
            </w:rPr>
          </w:pPr>
          <w:hyperlink w:anchor="_Toc72961674" w:history="1">
            <w:r>
              <w:rPr>
                <w:rStyle w:val="Kpr"/>
                <w:rFonts w:ascii="Times New Roman" w:hAnsi="Times New Roman" w:cs="Times New Roman"/>
                <w:noProof/>
              </w:rPr>
              <w:t>Dr. Öğr. Üyesi, Ali AYCI</w:t>
            </w:r>
            <w:r>
              <w:rPr>
                <w:noProof/>
                <w:webHidden/>
              </w:rPr>
              <w:tab/>
            </w:r>
            <w:r>
              <w:rPr>
                <w:noProof/>
                <w:webHidden/>
              </w:rPr>
              <w:fldChar w:fldCharType="begin"/>
            </w:r>
            <w:r>
              <w:rPr>
                <w:noProof/>
                <w:webHidden/>
              </w:rPr>
              <w:instrText xml:space="preserve"> PAGEREF _Toc72961674 \h </w:instrText>
            </w:r>
            <w:r>
              <w:rPr>
                <w:noProof/>
                <w:webHidden/>
              </w:rPr>
            </w:r>
            <w:r>
              <w:rPr>
                <w:noProof/>
                <w:webHidden/>
              </w:rPr>
              <w:fldChar w:fldCharType="separate"/>
            </w:r>
            <w:r w:rsidR="006D4075">
              <w:rPr>
                <w:noProof/>
                <w:webHidden/>
              </w:rPr>
              <w:t>63</w:t>
            </w:r>
            <w:r>
              <w:rPr>
                <w:noProof/>
                <w:webHidden/>
              </w:rPr>
              <w:fldChar w:fldCharType="end"/>
            </w:r>
          </w:hyperlink>
        </w:p>
        <w:p w14:paraId="763F8428" w14:textId="5F7BA0AC" w:rsidR="003301DC" w:rsidRDefault="003301DC">
          <w:pPr>
            <w:pStyle w:val="T2"/>
            <w:tabs>
              <w:tab w:val="right" w:leader="dot" w:pos="9062"/>
            </w:tabs>
            <w:rPr>
              <w:rFonts w:eastAsiaTheme="minorEastAsia"/>
              <w:noProof/>
            </w:rPr>
          </w:pPr>
          <w:hyperlink w:anchor="_Toc72961675" w:history="1">
            <w:r w:rsidRPr="001E20D2">
              <w:rPr>
                <w:rStyle w:val="Kpr"/>
                <w:rFonts w:ascii="Times New Roman" w:hAnsi="Times New Roman" w:cs="Times New Roman"/>
                <w:noProof/>
              </w:rPr>
              <w:t>Dr. Abdullah BALLI</w:t>
            </w:r>
            <w:r>
              <w:rPr>
                <w:noProof/>
                <w:webHidden/>
              </w:rPr>
              <w:tab/>
            </w:r>
            <w:r>
              <w:rPr>
                <w:noProof/>
                <w:webHidden/>
              </w:rPr>
              <w:fldChar w:fldCharType="begin"/>
            </w:r>
            <w:r>
              <w:rPr>
                <w:noProof/>
                <w:webHidden/>
              </w:rPr>
              <w:instrText xml:space="preserve"> PAGEREF _Toc72961675 \h </w:instrText>
            </w:r>
            <w:r>
              <w:rPr>
                <w:noProof/>
                <w:webHidden/>
              </w:rPr>
            </w:r>
            <w:r>
              <w:rPr>
                <w:noProof/>
                <w:webHidden/>
              </w:rPr>
              <w:fldChar w:fldCharType="separate"/>
            </w:r>
            <w:r w:rsidR="006D4075">
              <w:rPr>
                <w:noProof/>
                <w:webHidden/>
              </w:rPr>
              <w:t>63</w:t>
            </w:r>
            <w:r>
              <w:rPr>
                <w:noProof/>
                <w:webHidden/>
              </w:rPr>
              <w:fldChar w:fldCharType="end"/>
            </w:r>
          </w:hyperlink>
        </w:p>
        <w:p w14:paraId="777E116D" w14:textId="5398C4BA" w:rsidR="003301DC" w:rsidRDefault="003301DC">
          <w:pPr>
            <w:pStyle w:val="T1"/>
            <w:tabs>
              <w:tab w:val="right" w:leader="dot" w:pos="9062"/>
            </w:tabs>
            <w:rPr>
              <w:rFonts w:eastAsiaTheme="minorEastAsia"/>
              <w:noProof/>
            </w:rPr>
          </w:pPr>
          <w:hyperlink w:anchor="_Toc72961677" w:history="1">
            <w:r w:rsidRPr="001E20D2">
              <w:rPr>
                <w:rStyle w:val="Kpr"/>
                <w:rFonts w:ascii="Times New Roman" w:eastAsia="Calibri" w:hAnsi="Times New Roman" w:cs="Times New Roman"/>
                <w:b/>
                <w:bCs/>
                <w:noProof/>
                <w:lang w:val="en-GB"/>
              </w:rPr>
              <w:t>İKİ FARKLI YÖNETİM GELENEĞİNİN COVID-19 SALGINI SONUÇLARINA OLASI ETİLERİ: ALTI AVRUPA ÜLKESİNİN İNCELENMESİ</w:t>
            </w:r>
            <w:r>
              <w:rPr>
                <w:noProof/>
                <w:webHidden/>
              </w:rPr>
              <w:tab/>
            </w:r>
            <w:r>
              <w:rPr>
                <w:noProof/>
                <w:webHidden/>
              </w:rPr>
              <w:fldChar w:fldCharType="begin"/>
            </w:r>
            <w:r>
              <w:rPr>
                <w:noProof/>
                <w:webHidden/>
              </w:rPr>
              <w:instrText xml:space="preserve"> PAGEREF _Toc72961677 \h </w:instrText>
            </w:r>
            <w:r>
              <w:rPr>
                <w:noProof/>
                <w:webHidden/>
              </w:rPr>
            </w:r>
            <w:r>
              <w:rPr>
                <w:noProof/>
                <w:webHidden/>
              </w:rPr>
              <w:fldChar w:fldCharType="separate"/>
            </w:r>
            <w:r w:rsidR="006D4075">
              <w:rPr>
                <w:noProof/>
                <w:webHidden/>
              </w:rPr>
              <w:t>74</w:t>
            </w:r>
            <w:r>
              <w:rPr>
                <w:noProof/>
                <w:webHidden/>
              </w:rPr>
              <w:fldChar w:fldCharType="end"/>
            </w:r>
          </w:hyperlink>
        </w:p>
        <w:p w14:paraId="3A6F716B" w14:textId="2AF852D8" w:rsidR="003301DC" w:rsidRDefault="003301DC">
          <w:pPr>
            <w:pStyle w:val="T2"/>
            <w:tabs>
              <w:tab w:val="right" w:leader="dot" w:pos="9062"/>
            </w:tabs>
            <w:rPr>
              <w:rFonts w:eastAsiaTheme="minorEastAsia"/>
              <w:noProof/>
            </w:rPr>
          </w:pPr>
          <w:hyperlink w:anchor="_Toc72961678" w:history="1">
            <w:r w:rsidRPr="001E20D2">
              <w:rPr>
                <w:rStyle w:val="Kpr"/>
                <w:rFonts w:ascii="Times New Roman" w:eastAsia="Calibri" w:hAnsi="Times New Roman" w:cs="Times New Roman"/>
                <w:noProof/>
                <w:lang w:val="en-GB"/>
              </w:rPr>
              <w:t>Öğr.Gör. Elif GENÇ T</w:t>
            </w:r>
            <w:r>
              <w:rPr>
                <w:rStyle w:val="Kpr"/>
                <w:rFonts w:ascii="Times New Roman" w:eastAsia="Calibri" w:hAnsi="Times New Roman" w:cs="Times New Roman"/>
                <w:noProof/>
                <w:lang w:val="en-GB"/>
              </w:rPr>
              <w:t>ETİK</w:t>
            </w:r>
            <w:r>
              <w:rPr>
                <w:noProof/>
                <w:webHidden/>
              </w:rPr>
              <w:tab/>
            </w:r>
            <w:r>
              <w:rPr>
                <w:noProof/>
                <w:webHidden/>
              </w:rPr>
              <w:fldChar w:fldCharType="begin"/>
            </w:r>
            <w:r>
              <w:rPr>
                <w:noProof/>
                <w:webHidden/>
              </w:rPr>
              <w:instrText xml:space="preserve"> PAGEREF _Toc72961678 \h </w:instrText>
            </w:r>
            <w:r>
              <w:rPr>
                <w:noProof/>
                <w:webHidden/>
              </w:rPr>
            </w:r>
            <w:r>
              <w:rPr>
                <w:noProof/>
                <w:webHidden/>
              </w:rPr>
              <w:fldChar w:fldCharType="separate"/>
            </w:r>
            <w:r w:rsidR="006D4075">
              <w:rPr>
                <w:noProof/>
                <w:webHidden/>
              </w:rPr>
              <w:t>74</w:t>
            </w:r>
            <w:r>
              <w:rPr>
                <w:noProof/>
                <w:webHidden/>
              </w:rPr>
              <w:fldChar w:fldCharType="end"/>
            </w:r>
          </w:hyperlink>
        </w:p>
        <w:p w14:paraId="605EE239" w14:textId="7038C3CB" w:rsidR="003301DC" w:rsidRDefault="003301DC">
          <w:pPr>
            <w:pStyle w:val="T1"/>
            <w:tabs>
              <w:tab w:val="right" w:leader="dot" w:pos="9062"/>
            </w:tabs>
            <w:rPr>
              <w:rFonts w:eastAsiaTheme="minorEastAsia"/>
              <w:noProof/>
            </w:rPr>
          </w:pPr>
          <w:hyperlink w:anchor="_Toc72961679" w:history="1">
            <w:r w:rsidRPr="001E20D2">
              <w:rPr>
                <w:rStyle w:val="Kpr"/>
                <w:rFonts w:ascii="Times New Roman" w:hAnsi="Times New Roman" w:cs="Times New Roman"/>
                <w:b/>
                <w:bCs/>
                <w:noProof/>
              </w:rPr>
              <w:t>THE EFFECT OF SUPERVISORS’ VIRTUAL TECHNOLOGY COMPETENCE ON THEIR LEADERSHIP EFFECTIVENESS</w:t>
            </w:r>
            <w:r>
              <w:rPr>
                <w:noProof/>
                <w:webHidden/>
              </w:rPr>
              <w:tab/>
            </w:r>
            <w:r>
              <w:rPr>
                <w:noProof/>
                <w:webHidden/>
              </w:rPr>
              <w:fldChar w:fldCharType="begin"/>
            </w:r>
            <w:r>
              <w:rPr>
                <w:noProof/>
                <w:webHidden/>
              </w:rPr>
              <w:instrText xml:space="preserve"> PAGEREF _Toc72961679 \h </w:instrText>
            </w:r>
            <w:r>
              <w:rPr>
                <w:noProof/>
                <w:webHidden/>
              </w:rPr>
            </w:r>
            <w:r>
              <w:rPr>
                <w:noProof/>
                <w:webHidden/>
              </w:rPr>
              <w:fldChar w:fldCharType="separate"/>
            </w:r>
            <w:r w:rsidR="006D4075">
              <w:rPr>
                <w:noProof/>
                <w:webHidden/>
              </w:rPr>
              <w:t>90</w:t>
            </w:r>
            <w:r>
              <w:rPr>
                <w:noProof/>
                <w:webHidden/>
              </w:rPr>
              <w:fldChar w:fldCharType="end"/>
            </w:r>
          </w:hyperlink>
        </w:p>
        <w:p w14:paraId="33198212" w14:textId="689B8D0F" w:rsidR="003301DC" w:rsidRDefault="003301DC">
          <w:pPr>
            <w:pStyle w:val="T2"/>
            <w:tabs>
              <w:tab w:val="right" w:leader="dot" w:pos="9062"/>
            </w:tabs>
            <w:rPr>
              <w:rFonts w:eastAsiaTheme="minorEastAsia"/>
              <w:noProof/>
            </w:rPr>
          </w:pPr>
          <w:hyperlink w:anchor="_Toc72961680" w:history="1">
            <w:r>
              <w:rPr>
                <w:rStyle w:val="Kpr"/>
                <w:rFonts w:ascii="Times New Roman" w:hAnsi="Times New Roman" w:cs="Times New Roman"/>
                <w:noProof/>
              </w:rPr>
              <w:t>Assist. Prof. Dr. Aynur TAS</w:t>
            </w:r>
            <w:r>
              <w:rPr>
                <w:noProof/>
                <w:webHidden/>
              </w:rPr>
              <w:tab/>
            </w:r>
            <w:r>
              <w:rPr>
                <w:noProof/>
                <w:webHidden/>
              </w:rPr>
              <w:fldChar w:fldCharType="begin"/>
            </w:r>
            <w:r>
              <w:rPr>
                <w:noProof/>
                <w:webHidden/>
              </w:rPr>
              <w:instrText xml:space="preserve"> PAGEREF _Toc72961680 \h </w:instrText>
            </w:r>
            <w:r>
              <w:rPr>
                <w:noProof/>
                <w:webHidden/>
              </w:rPr>
            </w:r>
            <w:r>
              <w:rPr>
                <w:noProof/>
                <w:webHidden/>
              </w:rPr>
              <w:fldChar w:fldCharType="separate"/>
            </w:r>
            <w:r w:rsidR="006D4075">
              <w:rPr>
                <w:noProof/>
                <w:webHidden/>
              </w:rPr>
              <w:t>90</w:t>
            </w:r>
            <w:r>
              <w:rPr>
                <w:noProof/>
                <w:webHidden/>
              </w:rPr>
              <w:fldChar w:fldCharType="end"/>
            </w:r>
          </w:hyperlink>
        </w:p>
        <w:p w14:paraId="749FAC73" w14:textId="5F4D0FF3" w:rsidR="003301DC" w:rsidRDefault="003301DC">
          <w:pPr>
            <w:pStyle w:val="T1"/>
            <w:tabs>
              <w:tab w:val="right" w:leader="dot" w:pos="9062"/>
            </w:tabs>
            <w:rPr>
              <w:rFonts w:eastAsiaTheme="minorEastAsia"/>
              <w:noProof/>
            </w:rPr>
          </w:pPr>
          <w:hyperlink w:anchor="_Toc72961681" w:history="1">
            <w:r w:rsidRPr="001E20D2">
              <w:rPr>
                <w:rStyle w:val="Kpr"/>
                <w:rFonts w:ascii="Times New Roman" w:hAnsi="Times New Roman" w:cs="Times New Roman"/>
                <w:b/>
                <w:noProof/>
              </w:rPr>
              <w:t>COVID-19: ANKARA SİTELER MOBİLYA SEKTÖRÜNDE ÇALIŞANLARIN DAVRANIŞ, TUTUM VE BEKLENTİLERİ ARAŞTIRMASI</w:t>
            </w:r>
            <w:r>
              <w:rPr>
                <w:noProof/>
                <w:webHidden/>
              </w:rPr>
              <w:tab/>
            </w:r>
            <w:r>
              <w:rPr>
                <w:noProof/>
                <w:webHidden/>
              </w:rPr>
              <w:fldChar w:fldCharType="begin"/>
            </w:r>
            <w:r>
              <w:rPr>
                <w:noProof/>
                <w:webHidden/>
              </w:rPr>
              <w:instrText xml:space="preserve"> PAGEREF _Toc72961681 \h </w:instrText>
            </w:r>
            <w:r>
              <w:rPr>
                <w:noProof/>
                <w:webHidden/>
              </w:rPr>
            </w:r>
            <w:r>
              <w:rPr>
                <w:noProof/>
                <w:webHidden/>
              </w:rPr>
              <w:fldChar w:fldCharType="separate"/>
            </w:r>
            <w:r w:rsidR="006D4075">
              <w:rPr>
                <w:noProof/>
                <w:webHidden/>
              </w:rPr>
              <w:t>102</w:t>
            </w:r>
            <w:r>
              <w:rPr>
                <w:noProof/>
                <w:webHidden/>
              </w:rPr>
              <w:fldChar w:fldCharType="end"/>
            </w:r>
          </w:hyperlink>
        </w:p>
        <w:p w14:paraId="2CA7B5A9" w14:textId="3876FF79" w:rsidR="003301DC" w:rsidRDefault="003301DC">
          <w:pPr>
            <w:pStyle w:val="T2"/>
            <w:tabs>
              <w:tab w:val="right" w:leader="dot" w:pos="9062"/>
            </w:tabs>
            <w:rPr>
              <w:rFonts w:eastAsiaTheme="minorEastAsia"/>
              <w:noProof/>
            </w:rPr>
          </w:pPr>
          <w:hyperlink w:anchor="_Toc72961682" w:history="1">
            <w:r w:rsidRPr="001E20D2">
              <w:rPr>
                <w:rStyle w:val="Kpr"/>
                <w:rFonts w:ascii="Times New Roman" w:hAnsi="Times New Roman" w:cs="Times New Roman"/>
                <w:noProof/>
              </w:rPr>
              <w:t>Dr. Öğr.Üyesi Güven MERAL</w:t>
            </w:r>
            <w:r>
              <w:rPr>
                <w:noProof/>
                <w:webHidden/>
              </w:rPr>
              <w:tab/>
            </w:r>
            <w:r>
              <w:rPr>
                <w:noProof/>
                <w:webHidden/>
              </w:rPr>
              <w:fldChar w:fldCharType="begin"/>
            </w:r>
            <w:r>
              <w:rPr>
                <w:noProof/>
                <w:webHidden/>
              </w:rPr>
              <w:instrText xml:space="preserve"> PAGEREF _Toc72961682 \h </w:instrText>
            </w:r>
            <w:r>
              <w:rPr>
                <w:noProof/>
                <w:webHidden/>
              </w:rPr>
            </w:r>
            <w:r>
              <w:rPr>
                <w:noProof/>
                <w:webHidden/>
              </w:rPr>
              <w:fldChar w:fldCharType="separate"/>
            </w:r>
            <w:r w:rsidR="006D4075">
              <w:rPr>
                <w:noProof/>
                <w:webHidden/>
              </w:rPr>
              <w:t>102</w:t>
            </w:r>
            <w:r>
              <w:rPr>
                <w:noProof/>
                <w:webHidden/>
              </w:rPr>
              <w:fldChar w:fldCharType="end"/>
            </w:r>
          </w:hyperlink>
        </w:p>
        <w:p w14:paraId="38F0CDDE" w14:textId="7BAE1453" w:rsidR="003301DC" w:rsidRDefault="003301DC">
          <w:pPr>
            <w:pStyle w:val="T2"/>
            <w:tabs>
              <w:tab w:val="right" w:leader="dot" w:pos="9062"/>
            </w:tabs>
            <w:rPr>
              <w:rFonts w:eastAsiaTheme="minorEastAsia"/>
              <w:noProof/>
            </w:rPr>
          </w:pPr>
          <w:hyperlink w:anchor="_Toc72961683" w:history="1">
            <w:r>
              <w:rPr>
                <w:rStyle w:val="Kpr"/>
                <w:rFonts w:ascii="Times New Roman" w:hAnsi="Times New Roman" w:cs="Times New Roman"/>
                <w:noProof/>
              </w:rPr>
              <w:t>Arş.Gör. Ramazan GÜLER</w:t>
            </w:r>
            <w:r>
              <w:rPr>
                <w:noProof/>
                <w:webHidden/>
              </w:rPr>
              <w:tab/>
            </w:r>
            <w:r>
              <w:rPr>
                <w:noProof/>
                <w:webHidden/>
              </w:rPr>
              <w:fldChar w:fldCharType="begin"/>
            </w:r>
            <w:r>
              <w:rPr>
                <w:noProof/>
                <w:webHidden/>
              </w:rPr>
              <w:instrText xml:space="preserve"> PAGEREF _Toc72961683 \h </w:instrText>
            </w:r>
            <w:r>
              <w:rPr>
                <w:noProof/>
                <w:webHidden/>
              </w:rPr>
            </w:r>
            <w:r>
              <w:rPr>
                <w:noProof/>
                <w:webHidden/>
              </w:rPr>
              <w:fldChar w:fldCharType="separate"/>
            </w:r>
            <w:r w:rsidR="006D4075">
              <w:rPr>
                <w:noProof/>
                <w:webHidden/>
              </w:rPr>
              <w:t>102</w:t>
            </w:r>
            <w:r>
              <w:rPr>
                <w:noProof/>
                <w:webHidden/>
              </w:rPr>
              <w:fldChar w:fldCharType="end"/>
            </w:r>
          </w:hyperlink>
        </w:p>
        <w:p w14:paraId="09167D57" w14:textId="484FA2E0" w:rsidR="003301DC" w:rsidRDefault="003301DC">
          <w:pPr>
            <w:pStyle w:val="T1"/>
            <w:tabs>
              <w:tab w:val="right" w:leader="dot" w:pos="9062"/>
            </w:tabs>
            <w:rPr>
              <w:rFonts w:eastAsiaTheme="minorEastAsia"/>
              <w:noProof/>
            </w:rPr>
          </w:pPr>
          <w:hyperlink w:anchor="_Toc72961684" w:history="1">
            <w:r w:rsidRPr="001E20D2">
              <w:rPr>
                <w:rStyle w:val="Kpr"/>
                <w:rFonts w:ascii="Times New Roman" w:hAnsi="Times New Roman" w:cs="Times New Roman"/>
                <w:b/>
                <w:noProof/>
              </w:rPr>
              <w:t>COVID-19 SALGINININ FİNANSAL RAPORLAMAYA ETKİSİ: BIST 100 ENDEKSİNDE İÇERİK ANALİZİ</w:t>
            </w:r>
            <w:r>
              <w:rPr>
                <w:noProof/>
                <w:webHidden/>
              </w:rPr>
              <w:tab/>
            </w:r>
            <w:r>
              <w:rPr>
                <w:noProof/>
                <w:webHidden/>
              </w:rPr>
              <w:fldChar w:fldCharType="begin"/>
            </w:r>
            <w:r>
              <w:rPr>
                <w:noProof/>
                <w:webHidden/>
              </w:rPr>
              <w:instrText xml:space="preserve"> PAGEREF _Toc72961684 \h </w:instrText>
            </w:r>
            <w:r>
              <w:rPr>
                <w:noProof/>
                <w:webHidden/>
              </w:rPr>
            </w:r>
            <w:r>
              <w:rPr>
                <w:noProof/>
                <w:webHidden/>
              </w:rPr>
              <w:fldChar w:fldCharType="separate"/>
            </w:r>
            <w:r w:rsidR="006D4075">
              <w:rPr>
                <w:noProof/>
                <w:webHidden/>
              </w:rPr>
              <w:t>119</w:t>
            </w:r>
            <w:r>
              <w:rPr>
                <w:noProof/>
                <w:webHidden/>
              </w:rPr>
              <w:fldChar w:fldCharType="end"/>
            </w:r>
          </w:hyperlink>
        </w:p>
        <w:p w14:paraId="3ED33538" w14:textId="4CFFCBA5" w:rsidR="003301DC" w:rsidRDefault="003301DC">
          <w:pPr>
            <w:pStyle w:val="T2"/>
            <w:tabs>
              <w:tab w:val="right" w:leader="dot" w:pos="9062"/>
            </w:tabs>
            <w:rPr>
              <w:rFonts w:eastAsiaTheme="minorEastAsia"/>
              <w:noProof/>
            </w:rPr>
          </w:pPr>
          <w:hyperlink w:anchor="_Toc72961685" w:history="1">
            <w:r>
              <w:rPr>
                <w:rStyle w:val="Kpr"/>
                <w:rFonts w:ascii="Times New Roman" w:hAnsi="Times New Roman" w:cs="Times New Roman"/>
                <w:noProof/>
              </w:rPr>
              <w:t>Arş.Gör. Nesil İŞBİL</w:t>
            </w:r>
            <w:r>
              <w:rPr>
                <w:noProof/>
                <w:webHidden/>
              </w:rPr>
              <w:tab/>
            </w:r>
            <w:r>
              <w:rPr>
                <w:noProof/>
                <w:webHidden/>
              </w:rPr>
              <w:fldChar w:fldCharType="begin"/>
            </w:r>
            <w:r>
              <w:rPr>
                <w:noProof/>
                <w:webHidden/>
              </w:rPr>
              <w:instrText xml:space="preserve"> PAGEREF _Toc72961685 \h </w:instrText>
            </w:r>
            <w:r>
              <w:rPr>
                <w:noProof/>
                <w:webHidden/>
              </w:rPr>
            </w:r>
            <w:r>
              <w:rPr>
                <w:noProof/>
                <w:webHidden/>
              </w:rPr>
              <w:fldChar w:fldCharType="separate"/>
            </w:r>
            <w:r w:rsidR="006D4075">
              <w:rPr>
                <w:noProof/>
                <w:webHidden/>
              </w:rPr>
              <w:t>119</w:t>
            </w:r>
            <w:r>
              <w:rPr>
                <w:noProof/>
                <w:webHidden/>
              </w:rPr>
              <w:fldChar w:fldCharType="end"/>
            </w:r>
          </w:hyperlink>
        </w:p>
        <w:p w14:paraId="47AD6B2D" w14:textId="4F07EC70" w:rsidR="003301DC" w:rsidRDefault="003301DC">
          <w:pPr>
            <w:pStyle w:val="T2"/>
            <w:tabs>
              <w:tab w:val="right" w:leader="dot" w:pos="9062"/>
            </w:tabs>
            <w:rPr>
              <w:rFonts w:eastAsiaTheme="minorEastAsia"/>
              <w:noProof/>
            </w:rPr>
          </w:pPr>
          <w:hyperlink w:anchor="_Toc72961686" w:history="1">
            <w:r w:rsidRPr="001E20D2">
              <w:rPr>
                <w:rStyle w:val="Kpr"/>
                <w:rFonts w:ascii="Times New Roman" w:hAnsi="Times New Roman" w:cs="Times New Roman"/>
                <w:noProof/>
              </w:rPr>
              <w:t>Arş.Gör. Ayşe Gül Nurbanu KÖROĞLU</w:t>
            </w:r>
            <w:r>
              <w:rPr>
                <w:noProof/>
                <w:webHidden/>
              </w:rPr>
              <w:tab/>
            </w:r>
            <w:r>
              <w:rPr>
                <w:noProof/>
                <w:webHidden/>
              </w:rPr>
              <w:fldChar w:fldCharType="begin"/>
            </w:r>
            <w:r>
              <w:rPr>
                <w:noProof/>
                <w:webHidden/>
              </w:rPr>
              <w:instrText xml:space="preserve"> PAGEREF _Toc72961686 \h </w:instrText>
            </w:r>
            <w:r>
              <w:rPr>
                <w:noProof/>
                <w:webHidden/>
              </w:rPr>
            </w:r>
            <w:r>
              <w:rPr>
                <w:noProof/>
                <w:webHidden/>
              </w:rPr>
              <w:fldChar w:fldCharType="separate"/>
            </w:r>
            <w:r w:rsidR="006D4075">
              <w:rPr>
                <w:noProof/>
                <w:webHidden/>
              </w:rPr>
              <w:t>119</w:t>
            </w:r>
            <w:r>
              <w:rPr>
                <w:noProof/>
                <w:webHidden/>
              </w:rPr>
              <w:fldChar w:fldCharType="end"/>
            </w:r>
          </w:hyperlink>
        </w:p>
        <w:p w14:paraId="62F58246" w14:textId="57E635E0" w:rsidR="003301DC" w:rsidRDefault="003301DC">
          <w:pPr>
            <w:pStyle w:val="T2"/>
            <w:tabs>
              <w:tab w:val="right" w:leader="dot" w:pos="9062"/>
            </w:tabs>
            <w:rPr>
              <w:rFonts w:eastAsiaTheme="minorEastAsia"/>
              <w:noProof/>
            </w:rPr>
          </w:pPr>
          <w:hyperlink w:anchor="_Toc72961687" w:history="1">
            <w:r w:rsidRPr="001E20D2">
              <w:rPr>
                <w:rStyle w:val="Kpr"/>
                <w:rFonts w:ascii="Times New Roman" w:hAnsi="Times New Roman" w:cs="Times New Roman"/>
                <w:noProof/>
              </w:rPr>
              <w:t>Arş.Gör. Mukaddes YILMAZ</w:t>
            </w:r>
            <w:r>
              <w:rPr>
                <w:noProof/>
                <w:webHidden/>
              </w:rPr>
              <w:tab/>
            </w:r>
            <w:r>
              <w:rPr>
                <w:noProof/>
                <w:webHidden/>
              </w:rPr>
              <w:fldChar w:fldCharType="begin"/>
            </w:r>
            <w:r>
              <w:rPr>
                <w:noProof/>
                <w:webHidden/>
              </w:rPr>
              <w:instrText xml:space="preserve"> PAGEREF _Toc72961687 \h </w:instrText>
            </w:r>
            <w:r>
              <w:rPr>
                <w:noProof/>
                <w:webHidden/>
              </w:rPr>
            </w:r>
            <w:r>
              <w:rPr>
                <w:noProof/>
                <w:webHidden/>
              </w:rPr>
              <w:fldChar w:fldCharType="separate"/>
            </w:r>
            <w:r w:rsidR="006D4075">
              <w:rPr>
                <w:noProof/>
                <w:webHidden/>
              </w:rPr>
              <w:t>119</w:t>
            </w:r>
            <w:r>
              <w:rPr>
                <w:noProof/>
                <w:webHidden/>
              </w:rPr>
              <w:fldChar w:fldCharType="end"/>
            </w:r>
          </w:hyperlink>
        </w:p>
        <w:p w14:paraId="7F93AAF7" w14:textId="62E84953" w:rsidR="003301DC" w:rsidRDefault="003301DC">
          <w:pPr>
            <w:pStyle w:val="T1"/>
            <w:tabs>
              <w:tab w:val="right" w:leader="dot" w:pos="9062"/>
            </w:tabs>
            <w:rPr>
              <w:rFonts w:eastAsiaTheme="minorEastAsia"/>
              <w:noProof/>
            </w:rPr>
          </w:pPr>
          <w:hyperlink w:anchor="_Toc72961688" w:history="1">
            <w:r w:rsidRPr="001E20D2">
              <w:rPr>
                <w:rStyle w:val="Kpr"/>
                <w:rFonts w:ascii="Times New Roman" w:hAnsi="Times New Roman" w:cs="Times New Roman"/>
                <w:b/>
                <w:noProof/>
                <w:shd w:val="clear" w:color="auto" w:fill="FFFFFF"/>
              </w:rPr>
              <w:t>ULUSLARARASI SİSTEMİN YENİ KRİZİ :COVID-19 PANDEMİSİ VE AZERBAYCAN</w:t>
            </w:r>
            <w:r>
              <w:rPr>
                <w:noProof/>
                <w:webHidden/>
              </w:rPr>
              <w:tab/>
            </w:r>
            <w:r>
              <w:rPr>
                <w:noProof/>
                <w:webHidden/>
              </w:rPr>
              <w:fldChar w:fldCharType="begin"/>
            </w:r>
            <w:r>
              <w:rPr>
                <w:noProof/>
                <w:webHidden/>
              </w:rPr>
              <w:instrText xml:space="preserve"> PAGEREF _Toc72961688 \h </w:instrText>
            </w:r>
            <w:r>
              <w:rPr>
                <w:noProof/>
                <w:webHidden/>
              </w:rPr>
            </w:r>
            <w:r>
              <w:rPr>
                <w:noProof/>
                <w:webHidden/>
              </w:rPr>
              <w:fldChar w:fldCharType="separate"/>
            </w:r>
            <w:r w:rsidR="006D4075">
              <w:rPr>
                <w:noProof/>
                <w:webHidden/>
              </w:rPr>
              <w:t>133</w:t>
            </w:r>
            <w:r>
              <w:rPr>
                <w:noProof/>
                <w:webHidden/>
              </w:rPr>
              <w:fldChar w:fldCharType="end"/>
            </w:r>
          </w:hyperlink>
        </w:p>
        <w:p w14:paraId="5F12C961" w14:textId="51CF3453" w:rsidR="003301DC" w:rsidRDefault="003301DC">
          <w:pPr>
            <w:pStyle w:val="T2"/>
            <w:tabs>
              <w:tab w:val="right" w:leader="dot" w:pos="9062"/>
            </w:tabs>
            <w:rPr>
              <w:rFonts w:eastAsiaTheme="minorEastAsia"/>
              <w:noProof/>
            </w:rPr>
          </w:pPr>
          <w:hyperlink w:anchor="_Toc72961689" w:history="1">
            <w:r w:rsidRPr="001E20D2">
              <w:rPr>
                <w:rStyle w:val="Kpr"/>
                <w:rFonts w:ascii="Times New Roman" w:hAnsi="Times New Roman" w:cs="Times New Roman"/>
                <w:noProof/>
              </w:rPr>
              <w:t>Doç.Dr. Murteza   HASANOĞLU</w:t>
            </w:r>
            <w:r>
              <w:rPr>
                <w:noProof/>
                <w:webHidden/>
              </w:rPr>
              <w:tab/>
            </w:r>
            <w:r>
              <w:rPr>
                <w:noProof/>
                <w:webHidden/>
              </w:rPr>
              <w:fldChar w:fldCharType="begin"/>
            </w:r>
            <w:r>
              <w:rPr>
                <w:noProof/>
                <w:webHidden/>
              </w:rPr>
              <w:instrText xml:space="preserve"> PAGEREF _Toc72961689 \h </w:instrText>
            </w:r>
            <w:r>
              <w:rPr>
                <w:noProof/>
                <w:webHidden/>
              </w:rPr>
            </w:r>
            <w:r>
              <w:rPr>
                <w:noProof/>
                <w:webHidden/>
              </w:rPr>
              <w:fldChar w:fldCharType="separate"/>
            </w:r>
            <w:r w:rsidR="006D4075">
              <w:rPr>
                <w:noProof/>
                <w:webHidden/>
              </w:rPr>
              <w:t>133</w:t>
            </w:r>
            <w:r>
              <w:rPr>
                <w:noProof/>
                <w:webHidden/>
              </w:rPr>
              <w:fldChar w:fldCharType="end"/>
            </w:r>
          </w:hyperlink>
        </w:p>
        <w:p w14:paraId="6EC46D9F" w14:textId="352F7C3D" w:rsidR="003301DC" w:rsidRDefault="003301DC">
          <w:pPr>
            <w:pStyle w:val="T1"/>
            <w:tabs>
              <w:tab w:val="right" w:leader="dot" w:pos="9062"/>
            </w:tabs>
            <w:rPr>
              <w:rFonts w:eastAsiaTheme="minorEastAsia"/>
              <w:noProof/>
            </w:rPr>
          </w:pPr>
          <w:hyperlink w:anchor="_Toc72961690" w:history="1">
            <w:r w:rsidRPr="001E20D2">
              <w:rPr>
                <w:rStyle w:val="Kpr"/>
                <w:rFonts w:ascii="Times New Roman" w:hAnsi="Times New Roman" w:cs="Times New Roman"/>
                <w:b/>
                <w:noProof/>
              </w:rPr>
              <w:t>IMPACT OF COVID-19 PANDEMIC ON THE TURKISH INSURANCE INDUSTRY</w:t>
            </w:r>
            <w:r>
              <w:rPr>
                <w:noProof/>
                <w:webHidden/>
              </w:rPr>
              <w:tab/>
            </w:r>
            <w:r>
              <w:rPr>
                <w:noProof/>
                <w:webHidden/>
              </w:rPr>
              <w:fldChar w:fldCharType="begin"/>
            </w:r>
            <w:r>
              <w:rPr>
                <w:noProof/>
                <w:webHidden/>
              </w:rPr>
              <w:instrText xml:space="preserve"> PAGEREF _Toc72961690 \h </w:instrText>
            </w:r>
            <w:r>
              <w:rPr>
                <w:noProof/>
                <w:webHidden/>
              </w:rPr>
            </w:r>
            <w:r>
              <w:rPr>
                <w:noProof/>
                <w:webHidden/>
              </w:rPr>
              <w:fldChar w:fldCharType="separate"/>
            </w:r>
            <w:r w:rsidR="006D4075">
              <w:rPr>
                <w:noProof/>
                <w:webHidden/>
              </w:rPr>
              <w:t>150</w:t>
            </w:r>
            <w:r>
              <w:rPr>
                <w:noProof/>
                <w:webHidden/>
              </w:rPr>
              <w:fldChar w:fldCharType="end"/>
            </w:r>
          </w:hyperlink>
        </w:p>
        <w:p w14:paraId="00AE4F5F" w14:textId="0AEE6F89" w:rsidR="003301DC" w:rsidRDefault="003301DC">
          <w:pPr>
            <w:pStyle w:val="T2"/>
            <w:tabs>
              <w:tab w:val="right" w:leader="dot" w:pos="9062"/>
            </w:tabs>
            <w:rPr>
              <w:rFonts w:eastAsiaTheme="minorEastAsia"/>
              <w:noProof/>
            </w:rPr>
          </w:pPr>
          <w:hyperlink w:anchor="_Toc72961691" w:history="1">
            <w:r w:rsidRPr="001E20D2">
              <w:rPr>
                <w:rStyle w:val="Kpr"/>
                <w:rFonts w:ascii="Times New Roman" w:hAnsi="Times New Roman" w:cs="Times New Roman"/>
                <w:noProof/>
              </w:rPr>
              <w:t>Research Assist.Dr. Isıl GURBUZER YILDIRIM</w:t>
            </w:r>
            <w:r>
              <w:rPr>
                <w:noProof/>
                <w:webHidden/>
              </w:rPr>
              <w:tab/>
            </w:r>
            <w:r>
              <w:rPr>
                <w:noProof/>
                <w:webHidden/>
              </w:rPr>
              <w:fldChar w:fldCharType="begin"/>
            </w:r>
            <w:r>
              <w:rPr>
                <w:noProof/>
                <w:webHidden/>
              </w:rPr>
              <w:instrText xml:space="preserve"> PAGEREF _Toc72961691 \h </w:instrText>
            </w:r>
            <w:r>
              <w:rPr>
                <w:noProof/>
                <w:webHidden/>
              </w:rPr>
            </w:r>
            <w:r>
              <w:rPr>
                <w:noProof/>
                <w:webHidden/>
              </w:rPr>
              <w:fldChar w:fldCharType="separate"/>
            </w:r>
            <w:r w:rsidR="006D4075">
              <w:rPr>
                <w:noProof/>
                <w:webHidden/>
              </w:rPr>
              <w:t>150</w:t>
            </w:r>
            <w:r>
              <w:rPr>
                <w:noProof/>
                <w:webHidden/>
              </w:rPr>
              <w:fldChar w:fldCharType="end"/>
            </w:r>
          </w:hyperlink>
        </w:p>
        <w:p w14:paraId="6B8B9FCB" w14:textId="564333D4" w:rsidR="003301DC" w:rsidRDefault="003301DC">
          <w:pPr>
            <w:pStyle w:val="T1"/>
            <w:tabs>
              <w:tab w:val="right" w:leader="dot" w:pos="9062"/>
            </w:tabs>
            <w:rPr>
              <w:rFonts w:eastAsiaTheme="minorEastAsia"/>
              <w:noProof/>
            </w:rPr>
          </w:pPr>
          <w:hyperlink w:anchor="_Toc72961694" w:history="1">
            <w:r w:rsidRPr="001E20D2">
              <w:rPr>
                <w:rStyle w:val="Kpr"/>
                <w:rFonts w:ascii="Times New Roman" w:hAnsi="Times New Roman" w:cs="Times New Roman"/>
                <w:b/>
                <w:bCs/>
                <w:noProof/>
              </w:rPr>
              <w:t>COVID-19 SONRASI TÜRK İMALAT SANAYİİNİN MEVCUT DURUMU VE REKABET GÜCÜ ANALİZİ</w:t>
            </w:r>
            <w:r>
              <w:rPr>
                <w:noProof/>
                <w:webHidden/>
              </w:rPr>
              <w:tab/>
            </w:r>
            <w:r>
              <w:rPr>
                <w:noProof/>
                <w:webHidden/>
              </w:rPr>
              <w:fldChar w:fldCharType="begin"/>
            </w:r>
            <w:r>
              <w:rPr>
                <w:noProof/>
                <w:webHidden/>
              </w:rPr>
              <w:instrText xml:space="preserve"> PAGEREF _Toc72961694 \h </w:instrText>
            </w:r>
            <w:r>
              <w:rPr>
                <w:noProof/>
                <w:webHidden/>
              </w:rPr>
            </w:r>
            <w:r>
              <w:rPr>
                <w:noProof/>
                <w:webHidden/>
              </w:rPr>
              <w:fldChar w:fldCharType="separate"/>
            </w:r>
            <w:r w:rsidR="006D4075">
              <w:rPr>
                <w:noProof/>
                <w:webHidden/>
              </w:rPr>
              <w:t>168</w:t>
            </w:r>
            <w:r>
              <w:rPr>
                <w:noProof/>
                <w:webHidden/>
              </w:rPr>
              <w:fldChar w:fldCharType="end"/>
            </w:r>
          </w:hyperlink>
        </w:p>
        <w:p w14:paraId="667E22CF" w14:textId="0109F429" w:rsidR="003301DC" w:rsidRDefault="003301DC">
          <w:pPr>
            <w:pStyle w:val="T2"/>
            <w:tabs>
              <w:tab w:val="right" w:leader="dot" w:pos="9062"/>
            </w:tabs>
            <w:rPr>
              <w:rFonts w:eastAsiaTheme="minorEastAsia"/>
              <w:noProof/>
            </w:rPr>
          </w:pPr>
          <w:hyperlink w:anchor="_Toc72961695" w:history="1">
            <w:r w:rsidRPr="001E20D2">
              <w:rPr>
                <w:rStyle w:val="Kpr"/>
                <w:rFonts w:ascii="Times New Roman" w:hAnsi="Times New Roman" w:cs="Times New Roman"/>
                <w:noProof/>
              </w:rPr>
              <w:t>Serdar ÖZÖZEN</w:t>
            </w:r>
            <w:r>
              <w:rPr>
                <w:noProof/>
                <w:webHidden/>
              </w:rPr>
              <w:tab/>
            </w:r>
            <w:r>
              <w:rPr>
                <w:noProof/>
                <w:webHidden/>
              </w:rPr>
              <w:fldChar w:fldCharType="begin"/>
            </w:r>
            <w:r>
              <w:rPr>
                <w:noProof/>
                <w:webHidden/>
              </w:rPr>
              <w:instrText xml:space="preserve"> PAGEREF _Toc72961695 \h </w:instrText>
            </w:r>
            <w:r>
              <w:rPr>
                <w:noProof/>
                <w:webHidden/>
              </w:rPr>
            </w:r>
            <w:r>
              <w:rPr>
                <w:noProof/>
                <w:webHidden/>
              </w:rPr>
              <w:fldChar w:fldCharType="separate"/>
            </w:r>
            <w:r w:rsidR="006D4075">
              <w:rPr>
                <w:noProof/>
                <w:webHidden/>
              </w:rPr>
              <w:t>168</w:t>
            </w:r>
            <w:r>
              <w:rPr>
                <w:noProof/>
                <w:webHidden/>
              </w:rPr>
              <w:fldChar w:fldCharType="end"/>
            </w:r>
          </w:hyperlink>
        </w:p>
        <w:p w14:paraId="100A46FA" w14:textId="74FD82E7" w:rsidR="003301DC" w:rsidRDefault="003301DC">
          <w:pPr>
            <w:pStyle w:val="T1"/>
            <w:tabs>
              <w:tab w:val="right" w:leader="dot" w:pos="9062"/>
            </w:tabs>
            <w:rPr>
              <w:rFonts w:eastAsiaTheme="minorEastAsia"/>
              <w:noProof/>
            </w:rPr>
          </w:pPr>
          <w:hyperlink w:anchor="_Toc72961696" w:history="1">
            <w:r w:rsidRPr="003B6DB3">
              <w:rPr>
                <w:rStyle w:val="Kpr"/>
                <w:b/>
                <w:noProof/>
                <w:lang w:val="tr-TR"/>
              </w:rPr>
              <w:t>K</w:t>
            </w:r>
            <w:r w:rsidRPr="003B6DB3">
              <w:rPr>
                <w:rStyle w:val="Kpr"/>
                <w:b/>
                <w:noProof/>
              </w:rPr>
              <w:t>ORONAV</w:t>
            </w:r>
            <w:r w:rsidRPr="003B6DB3">
              <w:rPr>
                <w:rStyle w:val="Kpr"/>
                <w:b/>
                <w:noProof/>
                <w:lang w:val="tr-TR"/>
              </w:rPr>
              <w:t>İ</w:t>
            </w:r>
            <w:r w:rsidRPr="003B6DB3">
              <w:rPr>
                <w:rStyle w:val="Kpr"/>
                <w:b/>
                <w:noProof/>
              </w:rPr>
              <w:t>RÜS PANDEM</w:t>
            </w:r>
            <w:r w:rsidRPr="003B6DB3">
              <w:rPr>
                <w:rStyle w:val="Kpr"/>
                <w:b/>
                <w:noProof/>
                <w:lang w:val="tr-TR"/>
              </w:rPr>
              <w:t>İ</w:t>
            </w:r>
            <w:r w:rsidRPr="003B6DB3">
              <w:rPr>
                <w:rStyle w:val="Kpr"/>
                <w:b/>
                <w:noProof/>
              </w:rPr>
              <w:t>S</w:t>
            </w:r>
            <w:r w:rsidRPr="003B6DB3">
              <w:rPr>
                <w:rStyle w:val="Kpr"/>
                <w:b/>
                <w:noProof/>
                <w:lang w:val="tr-TR"/>
              </w:rPr>
              <w:t>İ</w:t>
            </w:r>
            <w:r w:rsidRPr="003B6DB3">
              <w:rPr>
                <w:rStyle w:val="Kpr"/>
                <w:b/>
                <w:noProof/>
              </w:rPr>
              <w:t xml:space="preserve"> DÖNEM</w:t>
            </w:r>
            <w:r w:rsidRPr="003B6DB3">
              <w:rPr>
                <w:rStyle w:val="Kpr"/>
                <w:b/>
                <w:noProof/>
                <w:lang w:val="tr-TR"/>
              </w:rPr>
              <w:t>İ</w:t>
            </w:r>
            <w:r w:rsidRPr="003B6DB3">
              <w:rPr>
                <w:rStyle w:val="Kpr"/>
                <w:b/>
                <w:noProof/>
              </w:rPr>
              <w:t>NDE TÜKET</w:t>
            </w:r>
            <w:r w:rsidRPr="003B6DB3">
              <w:rPr>
                <w:rStyle w:val="Kpr"/>
                <w:b/>
                <w:noProof/>
                <w:lang w:val="tr-TR"/>
              </w:rPr>
              <w:t>İ</w:t>
            </w:r>
            <w:r w:rsidRPr="003B6DB3">
              <w:rPr>
                <w:rStyle w:val="Kpr"/>
                <w:b/>
                <w:noProof/>
              </w:rPr>
              <w:t>C</w:t>
            </w:r>
            <w:r w:rsidRPr="003B6DB3">
              <w:rPr>
                <w:rStyle w:val="Kpr"/>
                <w:b/>
                <w:noProof/>
                <w:lang w:val="tr-TR"/>
              </w:rPr>
              <w:t>İ</w:t>
            </w:r>
            <w:r w:rsidRPr="003B6DB3">
              <w:rPr>
                <w:rStyle w:val="Kpr"/>
                <w:b/>
                <w:noProof/>
              </w:rPr>
              <w:t xml:space="preserve"> KRED</w:t>
            </w:r>
            <w:r w:rsidRPr="003B6DB3">
              <w:rPr>
                <w:rStyle w:val="Kpr"/>
                <w:b/>
                <w:noProof/>
                <w:lang w:val="tr-TR"/>
              </w:rPr>
              <w:t>İ</w:t>
            </w:r>
            <w:r w:rsidRPr="003B6DB3">
              <w:rPr>
                <w:rStyle w:val="Kpr"/>
                <w:b/>
                <w:noProof/>
              </w:rPr>
              <w:t xml:space="preserve"> FA</w:t>
            </w:r>
            <w:r w:rsidRPr="003B6DB3">
              <w:rPr>
                <w:rStyle w:val="Kpr"/>
                <w:b/>
                <w:noProof/>
                <w:lang w:val="tr-TR"/>
              </w:rPr>
              <w:t>İ</w:t>
            </w:r>
            <w:r w:rsidRPr="003B6DB3">
              <w:rPr>
                <w:rStyle w:val="Kpr"/>
                <w:b/>
                <w:noProof/>
              </w:rPr>
              <w:t>Z ORANININ YAPAY S</w:t>
            </w:r>
            <w:r w:rsidRPr="003B6DB3">
              <w:rPr>
                <w:rStyle w:val="Kpr"/>
                <w:b/>
                <w:noProof/>
                <w:lang w:val="tr-TR"/>
              </w:rPr>
              <w:t>İ</w:t>
            </w:r>
            <w:r w:rsidRPr="003B6DB3">
              <w:rPr>
                <w:rStyle w:val="Kpr"/>
                <w:b/>
                <w:noProof/>
              </w:rPr>
              <w:t>N</w:t>
            </w:r>
            <w:r w:rsidRPr="003B6DB3">
              <w:rPr>
                <w:rStyle w:val="Kpr"/>
                <w:b/>
                <w:noProof/>
                <w:lang w:val="tr-TR"/>
              </w:rPr>
              <w:t>İ</w:t>
            </w:r>
            <w:r w:rsidRPr="003B6DB3">
              <w:rPr>
                <w:rStyle w:val="Kpr"/>
                <w:b/>
                <w:noProof/>
              </w:rPr>
              <w:t xml:space="preserve">R AĞLARI </w:t>
            </w:r>
            <w:r w:rsidRPr="003B6DB3">
              <w:rPr>
                <w:rStyle w:val="Kpr"/>
                <w:b/>
                <w:noProof/>
                <w:lang w:val="tr-TR"/>
              </w:rPr>
              <w:t>İ</w:t>
            </w:r>
            <w:r w:rsidRPr="003B6DB3">
              <w:rPr>
                <w:rStyle w:val="Kpr"/>
                <w:b/>
                <w:noProof/>
              </w:rPr>
              <w:t>LE ÖNGÖRÜLMES</w:t>
            </w:r>
            <w:r w:rsidRPr="003B6DB3">
              <w:rPr>
                <w:rStyle w:val="Kpr"/>
                <w:b/>
                <w:noProof/>
                <w:lang w:val="tr-TR"/>
              </w:rPr>
              <w:t>İ</w:t>
            </w:r>
            <w:r>
              <w:rPr>
                <w:noProof/>
                <w:webHidden/>
              </w:rPr>
              <w:tab/>
            </w:r>
            <w:r>
              <w:rPr>
                <w:noProof/>
                <w:webHidden/>
              </w:rPr>
              <w:fldChar w:fldCharType="begin"/>
            </w:r>
            <w:r>
              <w:rPr>
                <w:noProof/>
                <w:webHidden/>
              </w:rPr>
              <w:instrText xml:space="preserve"> PAGEREF _Toc72961696 \h </w:instrText>
            </w:r>
            <w:r>
              <w:rPr>
                <w:noProof/>
                <w:webHidden/>
              </w:rPr>
            </w:r>
            <w:r>
              <w:rPr>
                <w:noProof/>
                <w:webHidden/>
              </w:rPr>
              <w:fldChar w:fldCharType="separate"/>
            </w:r>
            <w:r w:rsidR="006D4075">
              <w:rPr>
                <w:noProof/>
                <w:webHidden/>
              </w:rPr>
              <w:t>192</w:t>
            </w:r>
            <w:r>
              <w:rPr>
                <w:noProof/>
                <w:webHidden/>
              </w:rPr>
              <w:fldChar w:fldCharType="end"/>
            </w:r>
          </w:hyperlink>
        </w:p>
        <w:p w14:paraId="7551AE3F" w14:textId="0E91F21E" w:rsidR="003301DC" w:rsidRDefault="003301DC">
          <w:pPr>
            <w:pStyle w:val="T2"/>
            <w:tabs>
              <w:tab w:val="right" w:leader="dot" w:pos="9062"/>
            </w:tabs>
            <w:rPr>
              <w:rFonts w:eastAsiaTheme="minorEastAsia"/>
              <w:noProof/>
            </w:rPr>
          </w:pPr>
          <w:hyperlink w:anchor="_Toc72961697" w:history="1">
            <w:r>
              <w:rPr>
                <w:rStyle w:val="Kpr"/>
                <w:rFonts w:ascii="Times New Roman" w:eastAsia="Arial" w:hAnsi="Times New Roman" w:cs="Times New Roman"/>
                <w:noProof/>
              </w:rPr>
              <w:t>Dr. Doğan Yıldız</w:t>
            </w:r>
            <w:r>
              <w:rPr>
                <w:noProof/>
                <w:webHidden/>
              </w:rPr>
              <w:tab/>
            </w:r>
            <w:r>
              <w:rPr>
                <w:noProof/>
                <w:webHidden/>
              </w:rPr>
              <w:fldChar w:fldCharType="begin"/>
            </w:r>
            <w:r>
              <w:rPr>
                <w:noProof/>
                <w:webHidden/>
              </w:rPr>
              <w:instrText xml:space="preserve"> PAGEREF _Toc72961697 \h </w:instrText>
            </w:r>
            <w:r>
              <w:rPr>
                <w:noProof/>
                <w:webHidden/>
              </w:rPr>
            </w:r>
            <w:r>
              <w:rPr>
                <w:noProof/>
                <w:webHidden/>
              </w:rPr>
              <w:fldChar w:fldCharType="separate"/>
            </w:r>
            <w:r w:rsidR="006D4075">
              <w:rPr>
                <w:noProof/>
                <w:webHidden/>
              </w:rPr>
              <w:t>192</w:t>
            </w:r>
            <w:r>
              <w:rPr>
                <w:noProof/>
                <w:webHidden/>
              </w:rPr>
              <w:fldChar w:fldCharType="end"/>
            </w:r>
          </w:hyperlink>
        </w:p>
        <w:p w14:paraId="5996A763" w14:textId="3A94913B" w:rsidR="003301DC" w:rsidRDefault="003301DC">
          <w:pPr>
            <w:pStyle w:val="T1"/>
            <w:tabs>
              <w:tab w:val="right" w:leader="dot" w:pos="9062"/>
            </w:tabs>
            <w:rPr>
              <w:rFonts w:eastAsiaTheme="minorEastAsia"/>
              <w:noProof/>
            </w:rPr>
          </w:pPr>
          <w:hyperlink w:anchor="_Toc72961698" w:history="1">
            <w:r w:rsidRPr="003B6DB3">
              <w:rPr>
                <w:rStyle w:val="Kpr"/>
                <w:b/>
                <w:noProof/>
                <w:lang w:val="tr-TR"/>
              </w:rPr>
              <w:t>HAVAYOLU YOLCU HİZMETİNDE DEĞER YIKIMI SONRASI HİZMET İYİLEŞTİRME SÜRECİNİN DEĞERLENDİRİLMESİ</w:t>
            </w:r>
            <w:r>
              <w:rPr>
                <w:noProof/>
                <w:webHidden/>
              </w:rPr>
              <w:tab/>
            </w:r>
            <w:r>
              <w:rPr>
                <w:noProof/>
                <w:webHidden/>
              </w:rPr>
              <w:fldChar w:fldCharType="begin"/>
            </w:r>
            <w:r>
              <w:rPr>
                <w:noProof/>
                <w:webHidden/>
              </w:rPr>
              <w:instrText xml:space="preserve"> PAGEREF _Toc72961698 \h </w:instrText>
            </w:r>
            <w:r>
              <w:rPr>
                <w:noProof/>
                <w:webHidden/>
              </w:rPr>
            </w:r>
            <w:r>
              <w:rPr>
                <w:noProof/>
                <w:webHidden/>
              </w:rPr>
              <w:fldChar w:fldCharType="separate"/>
            </w:r>
            <w:r w:rsidR="006D4075">
              <w:rPr>
                <w:noProof/>
                <w:webHidden/>
              </w:rPr>
              <w:t>205</w:t>
            </w:r>
            <w:r>
              <w:rPr>
                <w:noProof/>
                <w:webHidden/>
              </w:rPr>
              <w:fldChar w:fldCharType="end"/>
            </w:r>
          </w:hyperlink>
        </w:p>
        <w:p w14:paraId="03A06E97" w14:textId="060E5F52" w:rsidR="003301DC" w:rsidRDefault="003301DC">
          <w:pPr>
            <w:pStyle w:val="T2"/>
            <w:tabs>
              <w:tab w:val="right" w:leader="dot" w:pos="9062"/>
            </w:tabs>
            <w:rPr>
              <w:rFonts w:eastAsiaTheme="minorEastAsia"/>
              <w:noProof/>
            </w:rPr>
          </w:pPr>
          <w:hyperlink w:anchor="_Toc72961699" w:history="1">
            <w:r w:rsidRPr="001E20D2">
              <w:rPr>
                <w:rStyle w:val="Kpr"/>
                <w:rFonts w:ascii="Times New Roman" w:hAnsi="Times New Roman" w:cs="Times New Roman"/>
                <w:noProof/>
              </w:rPr>
              <w:t>Dr. Öğr.Üyesi İnci Polat</w:t>
            </w:r>
            <w:r>
              <w:rPr>
                <w:noProof/>
                <w:webHidden/>
              </w:rPr>
              <w:tab/>
            </w:r>
            <w:r>
              <w:rPr>
                <w:noProof/>
                <w:webHidden/>
              </w:rPr>
              <w:fldChar w:fldCharType="begin"/>
            </w:r>
            <w:r>
              <w:rPr>
                <w:noProof/>
                <w:webHidden/>
              </w:rPr>
              <w:instrText xml:space="preserve"> PAGEREF _Toc72961699 \h </w:instrText>
            </w:r>
            <w:r>
              <w:rPr>
                <w:noProof/>
                <w:webHidden/>
              </w:rPr>
            </w:r>
            <w:r>
              <w:rPr>
                <w:noProof/>
                <w:webHidden/>
              </w:rPr>
              <w:fldChar w:fldCharType="separate"/>
            </w:r>
            <w:r w:rsidR="006D4075">
              <w:rPr>
                <w:noProof/>
                <w:webHidden/>
              </w:rPr>
              <w:t>205</w:t>
            </w:r>
            <w:r>
              <w:rPr>
                <w:noProof/>
                <w:webHidden/>
              </w:rPr>
              <w:fldChar w:fldCharType="end"/>
            </w:r>
          </w:hyperlink>
        </w:p>
        <w:p w14:paraId="3CBF405E" w14:textId="69E1E2D1" w:rsidR="003301DC" w:rsidRDefault="003301DC">
          <w:pPr>
            <w:pStyle w:val="T1"/>
            <w:tabs>
              <w:tab w:val="right" w:leader="dot" w:pos="9062"/>
            </w:tabs>
            <w:rPr>
              <w:rFonts w:eastAsiaTheme="minorEastAsia"/>
              <w:noProof/>
            </w:rPr>
          </w:pPr>
          <w:hyperlink w:anchor="_Toc72961700" w:history="1">
            <w:r w:rsidRPr="001E20D2">
              <w:rPr>
                <w:rStyle w:val="Kpr"/>
                <w:rFonts w:ascii="Times New Roman" w:hAnsi="Times New Roman" w:cs="Times New Roman"/>
                <w:b/>
                <w:bCs/>
                <w:noProof/>
              </w:rPr>
              <w:t>COVID-19 DÖNEMİNDE EVDEN ÇALIŞMA VE ÇALIŞANLARIN GÖREV PERFORMANSI: ÇAĞRI MERKEZİ ÇALIŞANLARINDA BİR ARAŞTIRMA</w:t>
            </w:r>
            <w:r>
              <w:rPr>
                <w:noProof/>
                <w:webHidden/>
              </w:rPr>
              <w:tab/>
            </w:r>
            <w:r>
              <w:rPr>
                <w:noProof/>
                <w:webHidden/>
              </w:rPr>
              <w:fldChar w:fldCharType="begin"/>
            </w:r>
            <w:r>
              <w:rPr>
                <w:noProof/>
                <w:webHidden/>
              </w:rPr>
              <w:instrText xml:space="preserve"> PAGEREF _Toc72961700 \h </w:instrText>
            </w:r>
            <w:r>
              <w:rPr>
                <w:noProof/>
                <w:webHidden/>
              </w:rPr>
            </w:r>
            <w:r>
              <w:rPr>
                <w:noProof/>
                <w:webHidden/>
              </w:rPr>
              <w:fldChar w:fldCharType="separate"/>
            </w:r>
            <w:r w:rsidR="006D4075">
              <w:rPr>
                <w:noProof/>
                <w:webHidden/>
              </w:rPr>
              <w:t>216</w:t>
            </w:r>
            <w:r>
              <w:rPr>
                <w:noProof/>
                <w:webHidden/>
              </w:rPr>
              <w:fldChar w:fldCharType="end"/>
            </w:r>
          </w:hyperlink>
        </w:p>
        <w:p w14:paraId="101521C1" w14:textId="114A0E26" w:rsidR="003301DC" w:rsidRDefault="003301DC">
          <w:pPr>
            <w:pStyle w:val="T2"/>
            <w:tabs>
              <w:tab w:val="right" w:leader="dot" w:pos="9062"/>
            </w:tabs>
            <w:rPr>
              <w:rFonts w:eastAsiaTheme="minorEastAsia"/>
              <w:noProof/>
            </w:rPr>
          </w:pPr>
          <w:hyperlink w:anchor="_Toc72961701" w:history="1">
            <w:r w:rsidRPr="001E20D2">
              <w:rPr>
                <w:rStyle w:val="Kpr"/>
                <w:rFonts w:ascii="Times New Roman" w:hAnsi="Times New Roman" w:cs="Times New Roman"/>
                <w:noProof/>
              </w:rPr>
              <w:t>Dr. Öğr. Üyesi Mustafa ASLAN</w:t>
            </w:r>
            <w:r>
              <w:rPr>
                <w:noProof/>
                <w:webHidden/>
              </w:rPr>
              <w:tab/>
            </w:r>
            <w:r>
              <w:rPr>
                <w:noProof/>
                <w:webHidden/>
              </w:rPr>
              <w:fldChar w:fldCharType="begin"/>
            </w:r>
            <w:r>
              <w:rPr>
                <w:noProof/>
                <w:webHidden/>
              </w:rPr>
              <w:instrText xml:space="preserve"> PAGEREF _Toc72961701 \h </w:instrText>
            </w:r>
            <w:r>
              <w:rPr>
                <w:noProof/>
                <w:webHidden/>
              </w:rPr>
            </w:r>
            <w:r>
              <w:rPr>
                <w:noProof/>
                <w:webHidden/>
              </w:rPr>
              <w:fldChar w:fldCharType="separate"/>
            </w:r>
            <w:r w:rsidR="006D4075">
              <w:rPr>
                <w:noProof/>
                <w:webHidden/>
              </w:rPr>
              <w:t>216</w:t>
            </w:r>
            <w:r>
              <w:rPr>
                <w:noProof/>
                <w:webHidden/>
              </w:rPr>
              <w:fldChar w:fldCharType="end"/>
            </w:r>
          </w:hyperlink>
        </w:p>
        <w:p w14:paraId="15BCA728" w14:textId="5D5C0989" w:rsidR="003301DC" w:rsidRDefault="003301DC">
          <w:pPr>
            <w:pStyle w:val="T2"/>
            <w:tabs>
              <w:tab w:val="right" w:leader="dot" w:pos="9062"/>
            </w:tabs>
            <w:rPr>
              <w:rFonts w:eastAsiaTheme="minorEastAsia"/>
              <w:noProof/>
            </w:rPr>
          </w:pPr>
          <w:hyperlink w:anchor="_Toc72961702" w:history="1">
            <w:r w:rsidRPr="001E20D2">
              <w:rPr>
                <w:rStyle w:val="Kpr"/>
                <w:rFonts w:ascii="Times New Roman" w:hAnsi="Times New Roman" w:cs="Times New Roman"/>
                <w:noProof/>
              </w:rPr>
              <w:t>Arş.Gör. Fatih YAMAN</w:t>
            </w:r>
            <w:r>
              <w:rPr>
                <w:noProof/>
                <w:webHidden/>
              </w:rPr>
              <w:tab/>
            </w:r>
            <w:r>
              <w:rPr>
                <w:noProof/>
                <w:webHidden/>
              </w:rPr>
              <w:fldChar w:fldCharType="begin"/>
            </w:r>
            <w:r>
              <w:rPr>
                <w:noProof/>
                <w:webHidden/>
              </w:rPr>
              <w:instrText xml:space="preserve"> PAGEREF _Toc72961702 \h </w:instrText>
            </w:r>
            <w:r>
              <w:rPr>
                <w:noProof/>
                <w:webHidden/>
              </w:rPr>
            </w:r>
            <w:r>
              <w:rPr>
                <w:noProof/>
                <w:webHidden/>
              </w:rPr>
              <w:fldChar w:fldCharType="separate"/>
            </w:r>
            <w:r w:rsidR="006D4075">
              <w:rPr>
                <w:noProof/>
                <w:webHidden/>
              </w:rPr>
              <w:t>216</w:t>
            </w:r>
            <w:r>
              <w:rPr>
                <w:noProof/>
                <w:webHidden/>
              </w:rPr>
              <w:fldChar w:fldCharType="end"/>
            </w:r>
          </w:hyperlink>
        </w:p>
        <w:p w14:paraId="01656C4C" w14:textId="61140608" w:rsidR="003301DC" w:rsidRDefault="003301DC">
          <w:pPr>
            <w:pStyle w:val="T2"/>
            <w:tabs>
              <w:tab w:val="right" w:leader="dot" w:pos="9062"/>
            </w:tabs>
            <w:rPr>
              <w:rFonts w:eastAsiaTheme="minorEastAsia"/>
              <w:noProof/>
            </w:rPr>
          </w:pPr>
          <w:hyperlink w:anchor="_Toc72961703" w:history="1">
            <w:r w:rsidRPr="001E20D2">
              <w:rPr>
                <w:rStyle w:val="Kpr"/>
                <w:rFonts w:ascii="Times New Roman" w:hAnsi="Times New Roman" w:cs="Times New Roman"/>
                <w:noProof/>
              </w:rPr>
              <w:t>Dr. Ayhan Aksu</w:t>
            </w:r>
            <w:r>
              <w:rPr>
                <w:noProof/>
                <w:webHidden/>
              </w:rPr>
              <w:tab/>
            </w:r>
            <w:r>
              <w:rPr>
                <w:noProof/>
                <w:webHidden/>
              </w:rPr>
              <w:fldChar w:fldCharType="begin"/>
            </w:r>
            <w:r>
              <w:rPr>
                <w:noProof/>
                <w:webHidden/>
              </w:rPr>
              <w:instrText xml:space="preserve"> PAGEREF _Toc72961703 \h </w:instrText>
            </w:r>
            <w:r>
              <w:rPr>
                <w:noProof/>
                <w:webHidden/>
              </w:rPr>
            </w:r>
            <w:r>
              <w:rPr>
                <w:noProof/>
                <w:webHidden/>
              </w:rPr>
              <w:fldChar w:fldCharType="separate"/>
            </w:r>
            <w:r w:rsidR="006D4075">
              <w:rPr>
                <w:noProof/>
                <w:webHidden/>
              </w:rPr>
              <w:t>216</w:t>
            </w:r>
            <w:r>
              <w:rPr>
                <w:noProof/>
                <w:webHidden/>
              </w:rPr>
              <w:fldChar w:fldCharType="end"/>
            </w:r>
          </w:hyperlink>
        </w:p>
        <w:p w14:paraId="586D9FED" w14:textId="044E93BB" w:rsidR="003301DC" w:rsidRDefault="003301DC">
          <w:pPr>
            <w:pStyle w:val="T1"/>
            <w:tabs>
              <w:tab w:val="right" w:leader="dot" w:pos="9062"/>
            </w:tabs>
            <w:rPr>
              <w:rFonts w:eastAsiaTheme="minorEastAsia"/>
              <w:noProof/>
            </w:rPr>
          </w:pPr>
          <w:hyperlink w:anchor="_Toc72961718" w:history="1">
            <w:r w:rsidRPr="001E20D2">
              <w:rPr>
                <w:rStyle w:val="Kpr"/>
                <w:rFonts w:ascii="Times New Roman" w:hAnsi="Times New Roman" w:cs="Times New Roman"/>
                <w:b/>
                <w:bCs/>
                <w:noProof/>
              </w:rPr>
              <w:t>THE RELATIONSHIP BETWEEN SUPERVISOR’S VIRTUAL TECHNOLOGY COMPETENCE AND SUPERVISOR-SUBORDINATE EXCHANGE</w:t>
            </w:r>
            <w:r>
              <w:rPr>
                <w:noProof/>
                <w:webHidden/>
              </w:rPr>
              <w:tab/>
            </w:r>
            <w:r>
              <w:rPr>
                <w:noProof/>
                <w:webHidden/>
              </w:rPr>
              <w:fldChar w:fldCharType="begin"/>
            </w:r>
            <w:r>
              <w:rPr>
                <w:noProof/>
                <w:webHidden/>
              </w:rPr>
              <w:instrText xml:space="preserve"> PAGEREF _Toc72961718 \h </w:instrText>
            </w:r>
            <w:r>
              <w:rPr>
                <w:noProof/>
                <w:webHidden/>
              </w:rPr>
            </w:r>
            <w:r>
              <w:rPr>
                <w:noProof/>
                <w:webHidden/>
              </w:rPr>
              <w:fldChar w:fldCharType="separate"/>
            </w:r>
            <w:r w:rsidR="006D4075">
              <w:rPr>
                <w:noProof/>
                <w:webHidden/>
              </w:rPr>
              <w:t>228</w:t>
            </w:r>
            <w:r>
              <w:rPr>
                <w:noProof/>
                <w:webHidden/>
              </w:rPr>
              <w:fldChar w:fldCharType="end"/>
            </w:r>
          </w:hyperlink>
        </w:p>
        <w:p w14:paraId="009D38B1" w14:textId="13B3438C" w:rsidR="003301DC" w:rsidRDefault="003301DC">
          <w:pPr>
            <w:pStyle w:val="T2"/>
            <w:tabs>
              <w:tab w:val="right" w:leader="dot" w:pos="9062"/>
            </w:tabs>
            <w:rPr>
              <w:rFonts w:eastAsiaTheme="minorEastAsia"/>
              <w:noProof/>
            </w:rPr>
          </w:pPr>
          <w:hyperlink w:anchor="_Toc72961719" w:history="1">
            <w:r w:rsidRPr="001E20D2">
              <w:rPr>
                <w:rStyle w:val="Kpr"/>
                <w:rFonts w:ascii="Times New Roman" w:hAnsi="Times New Roman" w:cs="Times New Roman"/>
                <w:noProof/>
              </w:rPr>
              <w:t>Lecturer Dr. Zulfi Umut OZKARA</w:t>
            </w:r>
            <w:r>
              <w:rPr>
                <w:noProof/>
                <w:webHidden/>
              </w:rPr>
              <w:tab/>
            </w:r>
            <w:r>
              <w:rPr>
                <w:noProof/>
                <w:webHidden/>
              </w:rPr>
              <w:fldChar w:fldCharType="begin"/>
            </w:r>
            <w:r>
              <w:rPr>
                <w:noProof/>
                <w:webHidden/>
              </w:rPr>
              <w:instrText xml:space="preserve"> PAGEREF _Toc72961719 \h </w:instrText>
            </w:r>
            <w:r>
              <w:rPr>
                <w:noProof/>
                <w:webHidden/>
              </w:rPr>
            </w:r>
            <w:r>
              <w:rPr>
                <w:noProof/>
                <w:webHidden/>
              </w:rPr>
              <w:fldChar w:fldCharType="separate"/>
            </w:r>
            <w:r w:rsidR="006D4075">
              <w:rPr>
                <w:noProof/>
                <w:webHidden/>
              </w:rPr>
              <w:t>228</w:t>
            </w:r>
            <w:r>
              <w:rPr>
                <w:noProof/>
                <w:webHidden/>
              </w:rPr>
              <w:fldChar w:fldCharType="end"/>
            </w:r>
          </w:hyperlink>
        </w:p>
        <w:p w14:paraId="2A949FDD" w14:textId="43944396" w:rsidR="003301DC" w:rsidRDefault="003301DC">
          <w:pPr>
            <w:pStyle w:val="T1"/>
            <w:tabs>
              <w:tab w:val="right" w:leader="dot" w:pos="9062"/>
            </w:tabs>
            <w:rPr>
              <w:rFonts w:eastAsiaTheme="minorEastAsia"/>
              <w:noProof/>
            </w:rPr>
          </w:pPr>
          <w:hyperlink w:anchor="_Toc72961720" w:history="1">
            <w:r w:rsidRPr="003B6DB3">
              <w:rPr>
                <w:rStyle w:val="Kpr"/>
                <w:b/>
                <w:noProof/>
                <w:lang w:val="tr-TR"/>
              </w:rPr>
              <w:t>COVİD-19 SALGINI SÜRESİNCE DEĞİŞEN ENERJİ TÜKETİMİ ALIŞKANLIKLARI VE ÇEVRE ÜZERİNDEKİ ETKİLERİ</w:t>
            </w:r>
            <w:r>
              <w:rPr>
                <w:noProof/>
                <w:webHidden/>
              </w:rPr>
              <w:tab/>
            </w:r>
            <w:r>
              <w:rPr>
                <w:noProof/>
                <w:webHidden/>
              </w:rPr>
              <w:fldChar w:fldCharType="begin"/>
            </w:r>
            <w:r>
              <w:rPr>
                <w:noProof/>
                <w:webHidden/>
              </w:rPr>
              <w:instrText xml:space="preserve"> PAGEREF _Toc72961720 \h </w:instrText>
            </w:r>
            <w:r>
              <w:rPr>
                <w:noProof/>
                <w:webHidden/>
              </w:rPr>
            </w:r>
            <w:r>
              <w:rPr>
                <w:noProof/>
                <w:webHidden/>
              </w:rPr>
              <w:fldChar w:fldCharType="separate"/>
            </w:r>
            <w:r w:rsidR="006D4075">
              <w:rPr>
                <w:noProof/>
                <w:webHidden/>
              </w:rPr>
              <w:t>242</w:t>
            </w:r>
            <w:r>
              <w:rPr>
                <w:noProof/>
                <w:webHidden/>
              </w:rPr>
              <w:fldChar w:fldCharType="end"/>
            </w:r>
          </w:hyperlink>
        </w:p>
        <w:p w14:paraId="22C5B8A8" w14:textId="379729EE" w:rsidR="003301DC" w:rsidRDefault="003301DC">
          <w:pPr>
            <w:pStyle w:val="T2"/>
            <w:tabs>
              <w:tab w:val="right" w:leader="dot" w:pos="9062"/>
            </w:tabs>
            <w:rPr>
              <w:rFonts w:eastAsiaTheme="minorEastAsia"/>
              <w:noProof/>
            </w:rPr>
          </w:pPr>
          <w:hyperlink w:anchor="_Toc72961721" w:history="1">
            <w:r w:rsidRPr="001E20D2">
              <w:rPr>
                <w:rStyle w:val="Kpr"/>
                <w:rFonts w:ascii="Times New Roman" w:hAnsi="Times New Roman" w:cs="Times New Roman"/>
                <w:noProof/>
              </w:rPr>
              <w:t>Ece KOÇAK</w:t>
            </w:r>
            <w:r>
              <w:rPr>
                <w:noProof/>
                <w:webHidden/>
              </w:rPr>
              <w:tab/>
            </w:r>
            <w:r>
              <w:rPr>
                <w:noProof/>
                <w:webHidden/>
              </w:rPr>
              <w:fldChar w:fldCharType="begin"/>
            </w:r>
            <w:r>
              <w:rPr>
                <w:noProof/>
                <w:webHidden/>
              </w:rPr>
              <w:instrText xml:space="preserve"> PAGEREF _Toc72961721 \h </w:instrText>
            </w:r>
            <w:r>
              <w:rPr>
                <w:noProof/>
                <w:webHidden/>
              </w:rPr>
            </w:r>
            <w:r>
              <w:rPr>
                <w:noProof/>
                <w:webHidden/>
              </w:rPr>
              <w:fldChar w:fldCharType="separate"/>
            </w:r>
            <w:r w:rsidR="006D4075">
              <w:rPr>
                <w:noProof/>
                <w:webHidden/>
              </w:rPr>
              <w:t>242</w:t>
            </w:r>
            <w:r>
              <w:rPr>
                <w:noProof/>
                <w:webHidden/>
              </w:rPr>
              <w:fldChar w:fldCharType="end"/>
            </w:r>
          </w:hyperlink>
        </w:p>
        <w:p w14:paraId="1649BC12" w14:textId="0527C1F1" w:rsidR="003301DC" w:rsidRDefault="003301DC">
          <w:pPr>
            <w:pStyle w:val="T2"/>
            <w:tabs>
              <w:tab w:val="right" w:leader="dot" w:pos="9062"/>
            </w:tabs>
            <w:rPr>
              <w:rFonts w:eastAsiaTheme="minorEastAsia"/>
              <w:noProof/>
            </w:rPr>
          </w:pPr>
          <w:hyperlink w:anchor="_Toc72961722" w:history="1">
            <w:r w:rsidRPr="001E20D2">
              <w:rPr>
                <w:rStyle w:val="Kpr"/>
                <w:rFonts w:ascii="Times New Roman" w:hAnsi="Times New Roman" w:cs="Times New Roman"/>
                <w:noProof/>
              </w:rPr>
              <w:t>Prof. Dr. Belgin AYDINTAN</w:t>
            </w:r>
            <w:r>
              <w:rPr>
                <w:noProof/>
                <w:webHidden/>
              </w:rPr>
              <w:tab/>
            </w:r>
            <w:r>
              <w:rPr>
                <w:noProof/>
                <w:webHidden/>
              </w:rPr>
              <w:fldChar w:fldCharType="begin"/>
            </w:r>
            <w:r>
              <w:rPr>
                <w:noProof/>
                <w:webHidden/>
              </w:rPr>
              <w:instrText xml:space="preserve"> PAGEREF _Toc72961722 \h </w:instrText>
            </w:r>
            <w:r>
              <w:rPr>
                <w:noProof/>
                <w:webHidden/>
              </w:rPr>
            </w:r>
            <w:r>
              <w:rPr>
                <w:noProof/>
                <w:webHidden/>
              </w:rPr>
              <w:fldChar w:fldCharType="separate"/>
            </w:r>
            <w:r w:rsidR="006D4075">
              <w:rPr>
                <w:noProof/>
                <w:webHidden/>
              </w:rPr>
              <w:t>242</w:t>
            </w:r>
            <w:r>
              <w:rPr>
                <w:noProof/>
                <w:webHidden/>
              </w:rPr>
              <w:fldChar w:fldCharType="end"/>
            </w:r>
          </w:hyperlink>
        </w:p>
        <w:p w14:paraId="25C0AEC2" w14:textId="1FDF5014" w:rsidR="003301DC" w:rsidRDefault="003301DC">
          <w:pPr>
            <w:pStyle w:val="T1"/>
            <w:tabs>
              <w:tab w:val="right" w:leader="dot" w:pos="9062"/>
            </w:tabs>
            <w:rPr>
              <w:rFonts w:eastAsiaTheme="minorEastAsia"/>
              <w:noProof/>
            </w:rPr>
          </w:pPr>
          <w:hyperlink w:anchor="_Toc72961723" w:history="1">
            <w:r w:rsidRPr="001E20D2">
              <w:rPr>
                <w:rStyle w:val="Kpr"/>
                <w:rFonts w:ascii="Times New Roman" w:hAnsi="Times New Roman" w:cs="Times New Roman"/>
                <w:b/>
                <w:bCs/>
                <w:noProof/>
              </w:rPr>
              <w:t>CRISIS&amp; CONNECTION&amp; CULTURE: ALTERNATIVE RESPONSES TO COVID-19</w:t>
            </w:r>
            <w:r>
              <w:rPr>
                <w:noProof/>
                <w:webHidden/>
              </w:rPr>
              <w:tab/>
            </w:r>
            <w:r>
              <w:rPr>
                <w:noProof/>
                <w:webHidden/>
              </w:rPr>
              <w:fldChar w:fldCharType="begin"/>
            </w:r>
            <w:r>
              <w:rPr>
                <w:noProof/>
                <w:webHidden/>
              </w:rPr>
              <w:instrText xml:space="preserve"> PAGEREF _Toc72961723 \h </w:instrText>
            </w:r>
            <w:r>
              <w:rPr>
                <w:noProof/>
                <w:webHidden/>
              </w:rPr>
            </w:r>
            <w:r>
              <w:rPr>
                <w:noProof/>
                <w:webHidden/>
              </w:rPr>
              <w:fldChar w:fldCharType="separate"/>
            </w:r>
            <w:r w:rsidR="006D4075">
              <w:rPr>
                <w:noProof/>
                <w:webHidden/>
              </w:rPr>
              <w:t>249</w:t>
            </w:r>
            <w:r>
              <w:rPr>
                <w:noProof/>
                <w:webHidden/>
              </w:rPr>
              <w:fldChar w:fldCharType="end"/>
            </w:r>
          </w:hyperlink>
        </w:p>
        <w:p w14:paraId="6BFD0AC0" w14:textId="5BD96039" w:rsidR="003301DC" w:rsidRDefault="003301DC">
          <w:pPr>
            <w:pStyle w:val="T1"/>
            <w:tabs>
              <w:tab w:val="right" w:leader="dot" w:pos="9062"/>
            </w:tabs>
            <w:rPr>
              <w:rFonts w:eastAsiaTheme="minorEastAsia"/>
              <w:noProof/>
            </w:rPr>
          </w:pPr>
          <w:hyperlink w:anchor="_Toc72961724" w:history="1">
            <w:r w:rsidRPr="001E20D2">
              <w:rPr>
                <w:rStyle w:val="Kpr"/>
                <w:rFonts w:ascii="Times New Roman" w:hAnsi="Times New Roman" w:cs="Times New Roman"/>
                <w:b/>
                <w:bCs/>
                <w:noProof/>
              </w:rPr>
              <w:t>AN AUTHENTIC BRIDGE BETWEEN COVID-19 AND ART HISTORY: THE REVIEW OF GENEVIEVE BLAIS’S ARTISTIC REMARKED PRODUCTIONS</w:t>
            </w:r>
            <w:r>
              <w:rPr>
                <w:noProof/>
                <w:webHidden/>
              </w:rPr>
              <w:tab/>
            </w:r>
            <w:r>
              <w:rPr>
                <w:noProof/>
                <w:webHidden/>
              </w:rPr>
              <w:fldChar w:fldCharType="begin"/>
            </w:r>
            <w:r>
              <w:rPr>
                <w:noProof/>
                <w:webHidden/>
              </w:rPr>
              <w:instrText xml:space="preserve"> PAGEREF _Toc72961724 \h </w:instrText>
            </w:r>
            <w:r>
              <w:rPr>
                <w:noProof/>
                <w:webHidden/>
              </w:rPr>
            </w:r>
            <w:r>
              <w:rPr>
                <w:noProof/>
                <w:webHidden/>
              </w:rPr>
              <w:fldChar w:fldCharType="separate"/>
            </w:r>
            <w:r w:rsidR="006D4075">
              <w:rPr>
                <w:noProof/>
                <w:webHidden/>
              </w:rPr>
              <w:t>249</w:t>
            </w:r>
            <w:r>
              <w:rPr>
                <w:noProof/>
                <w:webHidden/>
              </w:rPr>
              <w:fldChar w:fldCharType="end"/>
            </w:r>
          </w:hyperlink>
        </w:p>
        <w:p w14:paraId="659247C5" w14:textId="5C4AD27D" w:rsidR="003301DC" w:rsidRDefault="003301DC">
          <w:pPr>
            <w:pStyle w:val="T2"/>
            <w:tabs>
              <w:tab w:val="right" w:leader="dot" w:pos="9062"/>
            </w:tabs>
            <w:rPr>
              <w:rFonts w:eastAsiaTheme="minorEastAsia"/>
              <w:noProof/>
            </w:rPr>
          </w:pPr>
          <w:hyperlink w:anchor="_Toc72961725" w:history="1">
            <w:r>
              <w:rPr>
                <w:rStyle w:val="Kpr"/>
                <w:rFonts w:ascii="Times New Roman" w:hAnsi="Times New Roman" w:cs="Times New Roman"/>
                <w:noProof/>
              </w:rPr>
              <w:t>Lecturer, Gamze AR</w:t>
            </w:r>
            <w:r>
              <w:rPr>
                <w:noProof/>
                <w:webHidden/>
              </w:rPr>
              <w:tab/>
            </w:r>
            <w:r>
              <w:rPr>
                <w:noProof/>
                <w:webHidden/>
              </w:rPr>
              <w:fldChar w:fldCharType="begin"/>
            </w:r>
            <w:r>
              <w:rPr>
                <w:noProof/>
                <w:webHidden/>
              </w:rPr>
              <w:instrText xml:space="preserve"> PAGEREF _Toc72961725 \h </w:instrText>
            </w:r>
            <w:r>
              <w:rPr>
                <w:noProof/>
                <w:webHidden/>
              </w:rPr>
            </w:r>
            <w:r>
              <w:rPr>
                <w:noProof/>
                <w:webHidden/>
              </w:rPr>
              <w:fldChar w:fldCharType="separate"/>
            </w:r>
            <w:r w:rsidR="006D4075">
              <w:rPr>
                <w:noProof/>
                <w:webHidden/>
              </w:rPr>
              <w:t>249</w:t>
            </w:r>
            <w:r>
              <w:rPr>
                <w:noProof/>
                <w:webHidden/>
              </w:rPr>
              <w:fldChar w:fldCharType="end"/>
            </w:r>
          </w:hyperlink>
        </w:p>
        <w:p w14:paraId="37D834E5" w14:textId="0BC07A86" w:rsidR="003301DC" w:rsidRDefault="003301DC">
          <w:pPr>
            <w:pStyle w:val="T1"/>
            <w:tabs>
              <w:tab w:val="right" w:leader="dot" w:pos="9062"/>
            </w:tabs>
            <w:rPr>
              <w:rFonts w:eastAsiaTheme="minorEastAsia"/>
              <w:noProof/>
            </w:rPr>
          </w:pPr>
          <w:hyperlink w:anchor="_Toc72961726" w:history="1">
            <w:r w:rsidRPr="001E20D2">
              <w:rPr>
                <w:rStyle w:val="Kpr"/>
                <w:rFonts w:ascii="Times New Roman" w:hAnsi="Times New Roman" w:cs="Times New Roman"/>
                <w:b/>
                <w:noProof/>
              </w:rPr>
              <w:t>GLOBALIZATION, FAILURE OF THE MARKET AND RISING ROLES OF THE NATION-STATES DURING THE COVID-19 PANDEMIC</w:t>
            </w:r>
            <w:r>
              <w:rPr>
                <w:noProof/>
                <w:webHidden/>
              </w:rPr>
              <w:tab/>
            </w:r>
            <w:r>
              <w:rPr>
                <w:noProof/>
                <w:webHidden/>
              </w:rPr>
              <w:fldChar w:fldCharType="begin"/>
            </w:r>
            <w:r>
              <w:rPr>
                <w:noProof/>
                <w:webHidden/>
              </w:rPr>
              <w:instrText xml:space="preserve"> PAGEREF _Toc72961726 \h </w:instrText>
            </w:r>
            <w:r>
              <w:rPr>
                <w:noProof/>
                <w:webHidden/>
              </w:rPr>
            </w:r>
            <w:r>
              <w:rPr>
                <w:noProof/>
                <w:webHidden/>
              </w:rPr>
              <w:fldChar w:fldCharType="separate"/>
            </w:r>
            <w:r w:rsidR="006D4075">
              <w:rPr>
                <w:noProof/>
                <w:webHidden/>
              </w:rPr>
              <w:t>256</w:t>
            </w:r>
            <w:r>
              <w:rPr>
                <w:noProof/>
                <w:webHidden/>
              </w:rPr>
              <w:fldChar w:fldCharType="end"/>
            </w:r>
          </w:hyperlink>
        </w:p>
        <w:p w14:paraId="7C721758" w14:textId="2D98454F" w:rsidR="003301DC" w:rsidRDefault="003301DC">
          <w:pPr>
            <w:pStyle w:val="T2"/>
            <w:tabs>
              <w:tab w:val="right" w:leader="dot" w:pos="9062"/>
            </w:tabs>
            <w:rPr>
              <w:rFonts w:eastAsiaTheme="minorEastAsia"/>
              <w:noProof/>
            </w:rPr>
          </w:pPr>
          <w:hyperlink w:anchor="_Toc72961727" w:history="1">
            <w:r>
              <w:rPr>
                <w:rStyle w:val="Kpr"/>
                <w:rFonts w:ascii="Times New Roman" w:hAnsi="Times New Roman" w:cs="Times New Roman"/>
                <w:noProof/>
              </w:rPr>
              <w:t>Lecturer, Dr. Orhan CENGIZ</w:t>
            </w:r>
            <w:r>
              <w:rPr>
                <w:noProof/>
                <w:webHidden/>
              </w:rPr>
              <w:tab/>
            </w:r>
            <w:r>
              <w:rPr>
                <w:noProof/>
                <w:webHidden/>
              </w:rPr>
              <w:fldChar w:fldCharType="begin"/>
            </w:r>
            <w:r>
              <w:rPr>
                <w:noProof/>
                <w:webHidden/>
              </w:rPr>
              <w:instrText xml:space="preserve"> PAGEREF _Toc72961727 \h </w:instrText>
            </w:r>
            <w:r>
              <w:rPr>
                <w:noProof/>
                <w:webHidden/>
              </w:rPr>
            </w:r>
            <w:r>
              <w:rPr>
                <w:noProof/>
                <w:webHidden/>
              </w:rPr>
              <w:fldChar w:fldCharType="separate"/>
            </w:r>
            <w:r w:rsidR="006D4075">
              <w:rPr>
                <w:noProof/>
                <w:webHidden/>
              </w:rPr>
              <w:t>256</w:t>
            </w:r>
            <w:r>
              <w:rPr>
                <w:noProof/>
                <w:webHidden/>
              </w:rPr>
              <w:fldChar w:fldCharType="end"/>
            </w:r>
          </w:hyperlink>
        </w:p>
        <w:p w14:paraId="3FF68939" w14:textId="4D403941" w:rsidR="003301DC" w:rsidRDefault="003301DC">
          <w:pPr>
            <w:pStyle w:val="T1"/>
            <w:tabs>
              <w:tab w:val="right" w:leader="dot" w:pos="9062"/>
            </w:tabs>
            <w:rPr>
              <w:rFonts w:eastAsiaTheme="minorEastAsia"/>
              <w:noProof/>
            </w:rPr>
          </w:pPr>
          <w:hyperlink w:anchor="_Toc72961728" w:history="1">
            <w:r w:rsidRPr="001E20D2">
              <w:rPr>
                <w:rStyle w:val="Kpr"/>
                <w:rFonts w:ascii="Times New Roman" w:hAnsi="Times New Roman" w:cs="Times New Roman"/>
                <w:b/>
                <w:noProof/>
              </w:rPr>
              <w:t>COVİD 19 SALGINININ KADINLAR ÜZERİNDEKİ ETKİLERİNİ AZALTMAK İÇİN EKONOMİK TEŞVİK ÖNERİLERİ</w:t>
            </w:r>
            <w:r>
              <w:rPr>
                <w:noProof/>
                <w:webHidden/>
              </w:rPr>
              <w:tab/>
            </w:r>
            <w:r>
              <w:rPr>
                <w:noProof/>
                <w:webHidden/>
              </w:rPr>
              <w:fldChar w:fldCharType="begin"/>
            </w:r>
            <w:r>
              <w:rPr>
                <w:noProof/>
                <w:webHidden/>
              </w:rPr>
              <w:instrText xml:space="preserve"> PAGEREF _Toc72961728 \h </w:instrText>
            </w:r>
            <w:r>
              <w:rPr>
                <w:noProof/>
                <w:webHidden/>
              </w:rPr>
            </w:r>
            <w:r>
              <w:rPr>
                <w:noProof/>
                <w:webHidden/>
              </w:rPr>
              <w:fldChar w:fldCharType="separate"/>
            </w:r>
            <w:r w:rsidR="006D4075">
              <w:rPr>
                <w:noProof/>
                <w:webHidden/>
              </w:rPr>
              <w:t>273</w:t>
            </w:r>
            <w:r>
              <w:rPr>
                <w:noProof/>
                <w:webHidden/>
              </w:rPr>
              <w:fldChar w:fldCharType="end"/>
            </w:r>
          </w:hyperlink>
        </w:p>
        <w:p w14:paraId="6FFB2C17" w14:textId="68D0E6AF" w:rsidR="003301DC" w:rsidRDefault="003301DC">
          <w:pPr>
            <w:pStyle w:val="T2"/>
            <w:tabs>
              <w:tab w:val="right" w:leader="dot" w:pos="9062"/>
            </w:tabs>
            <w:rPr>
              <w:rFonts w:eastAsiaTheme="minorEastAsia"/>
              <w:noProof/>
            </w:rPr>
          </w:pPr>
          <w:hyperlink w:anchor="_Toc72961729" w:history="1">
            <w:r w:rsidRPr="001E20D2">
              <w:rPr>
                <w:rStyle w:val="Kpr"/>
                <w:rFonts w:ascii="Times New Roman" w:hAnsi="Times New Roman" w:cs="Times New Roman"/>
                <w:noProof/>
              </w:rPr>
              <w:t>Arş.Gör. Arzu POLAT</w:t>
            </w:r>
            <w:r>
              <w:rPr>
                <w:noProof/>
                <w:webHidden/>
              </w:rPr>
              <w:tab/>
            </w:r>
            <w:r>
              <w:rPr>
                <w:noProof/>
                <w:webHidden/>
              </w:rPr>
              <w:fldChar w:fldCharType="begin"/>
            </w:r>
            <w:r>
              <w:rPr>
                <w:noProof/>
                <w:webHidden/>
              </w:rPr>
              <w:instrText xml:space="preserve"> PAGEREF _Toc72961729 \h </w:instrText>
            </w:r>
            <w:r>
              <w:rPr>
                <w:noProof/>
                <w:webHidden/>
              </w:rPr>
            </w:r>
            <w:r>
              <w:rPr>
                <w:noProof/>
                <w:webHidden/>
              </w:rPr>
              <w:fldChar w:fldCharType="separate"/>
            </w:r>
            <w:r w:rsidR="006D4075">
              <w:rPr>
                <w:noProof/>
                <w:webHidden/>
              </w:rPr>
              <w:t>273</w:t>
            </w:r>
            <w:r>
              <w:rPr>
                <w:noProof/>
                <w:webHidden/>
              </w:rPr>
              <w:fldChar w:fldCharType="end"/>
            </w:r>
          </w:hyperlink>
        </w:p>
        <w:p w14:paraId="11D76D23" w14:textId="69B5FA58" w:rsidR="003301DC" w:rsidRDefault="003301DC">
          <w:pPr>
            <w:pStyle w:val="T2"/>
            <w:tabs>
              <w:tab w:val="right" w:leader="dot" w:pos="9062"/>
            </w:tabs>
            <w:rPr>
              <w:rFonts w:eastAsiaTheme="minorEastAsia"/>
              <w:noProof/>
            </w:rPr>
          </w:pPr>
          <w:hyperlink w:anchor="_Toc72961730" w:history="1">
            <w:r>
              <w:rPr>
                <w:rStyle w:val="Kpr"/>
                <w:rFonts w:ascii="Times New Roman" w:eastAsia="Arial" w:hAnsi="Times New Roman" w:cs="Times New Roman"/>
                <w:noProof/>
              </w:rPr>
              <w:t>Arş.Gör. Zehra AKGÜNGÖR</w:t>
            </w:r>
            <w:r>
              <w:rPr>
                <w:noProof/>
                <w:webHidden/>
              </w:rPr>
              <w:tab/>
            </w:r>
            <w:r>
              <w:rPr>
                <w:noProof/>
                <w:webHidden/>
              </w:rPr>
              <w:fldChar w:fldCharType="begin"/>
            </w:r>
            <w:r>
              <w:rPr>
                <w:noProof/>
                <w:webHidden/>
              </w:rPr>
              <w:instrText xml:space="preserve"> PAGEREF _Toc72961730 \h </w:instrText>
            </w:r>
            <w:r>
              <w:rPr>
                <w:noProof/>
                <w:webHidden/>
              </w:rPr>
            </w:r>
            <w:r>
              <w:rPr>
                <w:noProof/>
                <w:webHidden/>
              </w:rPr>
              <w:fldChar w:fldCharType="separate"/>
            </w:r>
            <w:r w:rsidR="006D4075">
              <w:rPr>
                <w:noProof/>
                <w:webHidden/>
              </w:rPr>
              <w:t>273</w:t>
            </w:r>
            <w:r>
              <w:rPr>
                <w:noProof/>
                <w:webHidden/>
              </w:rPr>
              <w:fldChar w:fldCharType="end"/>
            </w:r>
          </w:hyperlink>
        </w:p>
        <w:p w14:paraId="10829815" w14:textId="32F408A5" w:rsidR="003301DC" w:rsidRDefault="003301DC">
          <w:pPr>
            <w:pStyle w:val="T1"/>
            <w:tabs>
              <w:tab w:val="right" w:leader="dot" w:pos="9062"/>
            </w:tabs>
            <w:rPr>
              <w:rFonts w:eastAsiaTheme="minorEastAsia"/>
              <w:noProof/>
            </w:rPr>
          </w:pPr>
          <w:hyperlink w:anchor="_Toc72961731" w:history="1">
            <w:r w:rsidRPr="001E20D2">
              <w:rPr>
                <w:rStyle w:val="Kpr"/>
                <w:rFonts w:ascii="Times New Roman" w:hAnsi="Times New Roman" w:cs="Times New Roman"/>
                <w:b/>
                <w:noProof/>
              </w:rPr>
              <w:t>TÜRKİYE’DE AR-GE FAALİYETLERİNE YÖNELİK SAĞLANAN VERGİSEL TEŞVİK VE DESTEK UNSURLARI İLE ‘‘COVİD-19’’ SALGINI SONRASI AR-GE TEŞVİKLERİ</w:t>
            </w:r>
            <w:r>
              <w:rPr>
                <w:noProof/>
                <w:webHidden/>
              </w:rPr>
              <w:tab/>
            </w:r>
            <w:r>
              <w:rPr>
                <w:noProof/>
                <w:webHidden/>
              </w:rPr>
              <w:fldChar w:fldCharType="begin"/>
            </w:r>
            <w:r>
              <w:rPr>
                <w:noProof/>
                <w:webHidden/>
              </w:rPr>
              <w:instrText xml:space="preserve"> PAGEREF _Toc72961731 \h </w:instrText>
            </w:r>
            <w:r>
              <w:rPr>
                <w:noProof/>
                <w:webHidden/>
              </w:rPr>
            </w:r>
            <w:r>
              <w:rPr>
                <w:noProof/>
                <w:webHidden/>
              </w:rPr>
              <w:fldChar w:fldCharType="separate"/>
            </w:r>
            <w:r w:rsidR="006D4075">
              <w:rPr>
                <w:noProof/>
                <w:webHidden/>
              </w:rPr>
              <w:t>287</w:t>
            </w:r>
            <w:r>
              <w:rPr>
                <w:noProof/>
                <w:webHidden/>
              </w:rPr>
              <w:fldChar w:fldCharType="end"/>
            </w:r>
          </w:hyperlink>
        </w:p>
        <w:p w14:paraId="7D11123A" w14:textId="2D7C0C78" w:rsidR="003301DC" w:rsidRDefault="003301DC">
          <w:pPr>
            <w:pStyle w:val="T2"/>
            <w:tabs>
              <w:tab w:val="right" w:leader="dot" w:pos="9062"/>
            </w:tabs>
            <w:rPr>
              <w:rFonts w:eastAsiaTheme="minorEastAsia"/>
              <w:noProof/>
            </w:rPr>
          </w:pPr>
          <w:hyperlink w:anchor="_Toc72961732" w:history="1">
            <w:r w:rsidRPr="001E20D2">
              <w:rPr>
                <w:rStyle w:val="Kpr"/>
                <w:rFonts w:ascii="Times New Roman" w:hAnsi="Times New Roman" w:cs="Times New Roman"/>
                <w:noProof/>
              </w:rPr>
              <w:t>Arş.Gör. Zehra AKGÜNGÖ</w:t>
            </w:r>
            <w:r>
              <w:rPr>
                <w:rStyle w:val="Kpr"/>
                <w:rFonts w:ascii="Times New Roman" w:eastAsia="Arial" w:hAnsi="Times New Roman" w:cs="Times New Roman"/>
                <w:noProof/>
              </w:rPr>
              <w:t>R</w:t>
            </w:r>
            <w:r>
              <w:rPr>
                <w:noProof/>
                <w:webHidden/>
              </w:rPr>
              <w:tab/>
            </w:r>
            <w:r>
              <w:rPr>
                <w:noProof/>
                <w:webHidden/>
              </w:rPr>
              <w:fldChar w:fldCharType="begin"/>
            </w:r>
            <w:r>
              <w:rPr>
                <w:noProof/>
                <w:webHidden/>
              </w:rPr>
              <w:instrText xml:space="preserve"> PAGEREF _Toc72961732 \h </w:instrText>
            </w:r>
            <w:r>
              <w:rPr>
                <w:noProof/>
                <w:webHidden/>
              </w:rPr>
            </w:r>
            <w:r>
              <w:rPr>
                <w:noProof/>
                <w:webHidden/>
              </w:rPr>
              <w:fldChar w:fldCharType="separate"/>
            </w:r>
            <w:r w:rsidR="006D4075">
              <w:rPr>
                <w:noProof/>
                <w:webHidden/>
              </w:rPr>
              <w:t>287</w:t>
            </w:r>
            <w:r>
              <w:rPr>
                <w:noProof/>
                <w:webHidden/>
              </w:rPr>
              <w:fldChar w:fldCharType="end"/>
            </w:r>
          </w:hyperlink>
        </w:p>
        <w:p w14:paraId="12F5288B" w14:textId="4789887F" w:rsidR="003301DC" w:rsidRDefault="003301DC">
          <w:pPr>
            <w:pStyle w:val="T2"/>
            <w:tabs>
              <w:tab w:val="right" w:leader="dot" w:pos="9062"/>
            </w:tabs>
            <w:rPr>
              <w:rFonts w:eastAsiaTheme="minorEastAsia"/>
              <w:noProof/>
            </w:rPr>
          </w:pPr>
          <w:hyperlink w:anchor="_Toc72961733" w:history="1">
            <w:r w:rsidRPr="001E20D2">
              <w:rPr>
                <w:rStyle w:val="Kpr"/>
                <w:rFonts w:ascii="Times New Roman" w:hAnsi="Times New Roman" w:cs="Times New Roman"/>
                <w:noProof/>
              </w:rPr>
              <w:t>Arş.Gör. Arzu POLAT</w:t>
            </w:r>
            <w:r>
              <w:rPr>
                <w:noProof/>
                <w:webHidden/>
              </w:rPr>
              <w:tab/>
            </w:r>
            <w:r>
              <w:rPr>
                <w:noProof/>
                <w:webHidden/>
              </w:rPr>
              <w:fldChar w:fldCharType="begin"/>
            </w:r>
            <w:r>
              <w:rPr>
                <w:noProof/>
                <w:webHidden/>
              </w:rPr>
              <w:instrText xml:space="preserve"> PAGEREF _Toc72961733 \h </w:instrText>
            </w:r>
            <w:r>
              <w:rPr>
                <w:noProof/>
                <w:webHidden/>
              </w:rPr>
            </w:r>
            <w:r>
              <w:rPr>
                <w:noProof/>
                <w:webHidden/>
              </w:rPr>
              <w:fldChar w:fldCharType="separate"/>
            </w:r>
            <w:r w:rsidR="006D4075">
              <w:rPr>
                <w:noProof/>
                <w:webHidden/>
              </w:rPr>
              <w:t>287</w:t>
            </w:r>
            <w:r>
              <w:rPr>
                <w:noProof/>
                <w:webHidden/>
              </w:rPr>
              <w:fldChar w:fldCharType="end"/>
            </w:r>
          </w:hyperlink>
        </w:p>
        <w:p w14:paraId="62211E82" w14:textId="5ED2BF02" w:rsidR="003301DC" w:rsidRDefault="003301DC">
          <w:pPr>
            <w:pStyle w:val="T1"/>
            <w:tabs>
              <w:tab w:val="right" w:leader="dot" w:pos="9062"/>
            </w:tabs>
            <w:rPr>
              <w:rFonts w:eastAsiaTheme="minorEastAsia"/>
              <w:noProof/>
            </w:rPr>
          </w:pPr>
          <w:hyperlink w:anchor="_Toc72961734" w:history="1">
            <w:r w:rsidRPr="001E20D2">
              <w:rPr>
                <w:rStyle w:val="Kpr"/>
                <w:rFonts w:ascii="Times New Roman" w:hAnsi="Times New Roman" w:cs="Times New Roman"/>
                <w:b/>
                <w:bCs/>
                <w:noProof/>
              </w:rPr>
              <w:t>YAPAY ZEKA BAĞLAMINDA COVİD-19: BAŞARILAR VE ZORLUKLAR</w:t>
            </w:r>
            <w:r>
              <w:rPr>
                <w:noProof/>
                <w:webHidden/>
              </w:rPr>
              <w:tab/>
            </w:r>
            <w:r>
              <w:rPr>
                <w:noProof/>
                <w:webHidden/>
              </w:rPr>
              <w:fldChar w:fldCharType="begin"/>
            </w:r>
            <w:r>
              <w:rPr>
                <w:noProof/>
                <w:webHidden/>
              </w:rPr>
              <w:instrText xml:space="preserve"> PAGEREF _Toc72961734 \h </w:instrText>
            </w:r>
            <w:r>
              <w:rPr>
                <w:noProof/>
                <w:webHidden/>
              </w:rPr>
            </w:r>
            <w:r>
              <w:rPr>
                <w:noProof/>
                <w:webHidden/>
              </w:rPr>
              <w:fldChar w:fldCharType="separate"/>
            </w:r>
            <w:r w:rsidR="006D4075">
              <w:rPr>
                <w:noProof/>
                <w:webHidden/>
              </w:rPr>
              <w:t>304</w:t>
            </w:r>
            <w:r>
              <w:rPr>
                <w:noProof/>
                <w:webHidden/>
              </w:rPr>
              <w:fldChar w:fldCharType="end"/>
            </w:r>
          </w:hyperlink>
        </w:p>
        <w:p w14:paraId="2B9C3C0B" w14:textId="6DC92B31" w:rsidR="003301DC" w:rsidRDefault="003301DC">
          <w:pPr>
            <w:pStyle w:val="T2"/>
            <w:tabs>
              <w:tab w:val="right" w:leader="dot" w:pos="9062"/>
            </w:tabs>
            <w:rPr>
              <w:rFonts w:eastAsiaTheme="minorEastAsia"/>
              <w:noProof/>
            </w:rPr>
          </w:pPr>
          <w:hyperlink w:anchor="_Toc72961735" w:history="1">
            <w:r w:rsidRPr="001E20D2">
              <w:rPr>
                <w:rStyle w:val="Kpr"/>
                <w:rFonts w:ascii="Times New Roman" w:hAnsi="Times New Roman" w:cs="Times New Roman"/>
                <w:noProof/>
              </w:rPr>
              <w:t>Khatira Guliyeva</w:t>
            </w:r>
            <w:r>
              <w:rPr>
                <w:noProof/>
                <w:webHidden/>
              </w:rPr>
              <w:tab/>
            </w:r>
            <w:r>
              <w:rPr>
                <w:noProof/>
                <w:webHidden/>
              </w:rPr>
              <w:fldChar w:fldCharType="begin"/>
            </w:r>
            <w:r>
              <w:rPr>
                <w:noProof/>
                <w:webHidden/>
              </w:rPr>
              <w:instrText xml:space="preserve"> PAGEREF _Toc72961735 \h </w:instrText>
            </w:r>
            <w:r>
              <w:rPr>
                <w:noProof/>
                <w:webHidden/>
              </w:rPr>
            </w:r>
            <w:r>
              <w:rPr>
                <w:noProof/>
                <w:webHidden/>
              </w:rPr>
              <w:fldChar w:fldCharType="separate"/>
            </w:r>
            <w:r w:rsidR="006D4075">
              <w:rPr>
                <w:noProof/>
                <w:webHidden/>
              </w:rPr>
              <w:t>304</w:t>
            </w:r>
            <w:r>
              <w:rPr>
                <w:noProof/>
                <w:webHidden/>
              </w:rPr>
              <w:fldChar w:fldCharType="end"/>
            </w:r>
          </w:hyperlink>
        </w:p>
        <w:p w14:paraId="23B82B2B" w14:textId="43DC4B8E" w:rsidR="003301DC" w:rsidRDefault="003301DC">
          <w:pPr>
            <w:pStyle w:val="T1"/>
            <w:tabs>
              <w:tab w:val="right" w:leader="dot" w:pos="9062"/>
            </w:tabs>
            <w:rPr>
              <w:rFonts w:eastAsiaTheme="minorEastAsia"/>
              <w:noProof/>
            </w:rPr>
          </w:pPr>
          <w:hyperlink w:anchor="_Toc72961736" w:history="1">
            <w:r w:rsidRPr="001E20D2">
              <w:rPr>
                <w:rStyle w:val="Kpr"/>
                <w:rFonts w:ascii="Times New Roman" w:hAnsi="Times New Roman" w:cs="Times New Roman"/>
                <w:b/>
                <w:bCs/>
                <w:noProof/>
              </w:rPr>
              <w:t>COVİD-19 IN THE CONTEXT OF ARTIFICIAL INTELLIGENCE: SUCCESSES AND CHALLENGES</w:t>
            </w:r>
            <w:r>
              <w:rPr>
                <w:noProof/>
                <w:webHidden/>
              </w:rPr>
              <w:tab/>
            </w:r>
            <w:r>
              <w:rPr>
                <w:noProof/>
                <w:webHidden/>
              </w:rPr>
              <w:fldChar w:fldCharType="begin"/>
            </w:r>
            <w:r>
              <w:rPr>
                <w:noProof/>
                <w:webHidden/>
              </w:rPr>
              <w:instrText xml:space="preserve"> PAGEREF _Toc72961736 \h </w:instrText>
            </w:r>
            <w:r>
              <w:rPr>
                <w:noProof/>
                <w:webHidden/>
              </w:rPr>
            </w:r>
            <w:r>
              <w:rPr>
                <w:noProof/>
                <w:webHidden/>
              </w:rPr>
              <w:fldChar w:fldCharType="separate"/>
            </w:r>
            <w:r w:rsidR="006D4075">
              <w:rPr>
                <w:noProof/>
                <w:webHidden/>
              </w:rPr>
              <w:t>304</w:t>
            </w:r>
            <w:r>
              <w:rPr>
                <w:noProof/>
                <w:webHidden/>
              </w:rPr>
              <w:fldChar w:fldCharType="end"/>
            </w:r>
          </w:hyperlink>
        </w:p>
        <w:p w14:paraId="38935D01" w14:textId="67D3265D" w:rsidR="003301DC" w:rsidRDefault="003301DC">
          <w:pPr>
            <w:pStyle w:val="T1"/>
            <w:tabs>
              <w:tab w:val="right" w:leader="dot" w:pos="9062"/>
            </w:tabs>
            <w:rPr>
              <w:rFonts w:eastAsiaTheme="minorEastAsia"/>
              <w:noProof/>
            </w:rPr>
          </w:pPr>
          <w:hyperlink w:anchor="_Toc72961742" w:history="1">
            <w:r w:rsidRPr="001E20D2">
              <w:rPr>
                <w:rStyle w:val="Kpr"/>
                <w:rFonts w:ascii="Times New Roman" w:hAnsi="Times New Roman" w:cs="Times New Roman"/>
                <w:b/>
                <w:noProof/>
              </w:rPr>
              <w:t>TÜRKİYE’DE COVİD-19 PANDEMİ SÜRECİNDE E-TİCARETTEKİ DEĞİŞİM</w:t>
            </w:r>
            <w:r>
              <w:rPr>
                <w:noProof/>
                <w:webHidden/>
              </w:rPr>
              <w:tab/>
            </w:r>
            <w:r>
              <w:rPr>
                <w:noProof/>
                <w:webHidden/>
              </w:rPr>
              <w:fldChar w:fldCharType="begin"/>
            </w:r>
            <w:r>
              <w:rPr>
                <w:noProof/>
                <w:webHidden/>
              </w:rPr>
              <w:instrText xml:space="preserve"> PAGEREF _Toc72961742 \h </w:instrText>
            </w:r>
            <w:r>
              <w:rPr>
                <w:noProof/>
                <w:webHidden/>
              </w:rPr>
            </w:r>
            <w:r>
              <w:rPr>
                <w:noProof/>
                <w:webHidden/>
              </w:rPr>
              <w:fldChar w:fldCharType="separate"/>
            </w:r>
            <w:r w:rsidR="006D4075">
              <w:rPr>
                <w:noProof/>
                <w:webHidden/>
              </w:rPr>
              <w:t>313</w:t>
            </w:r>
            <w:r>
              <w:rPr>
                <w:noProof/>
                <w:webHidden/>
              </w:rPr>
              <w:fldChar w:fldCharType="end"/>
            </w:r>
          </w:hyperlink>
        </w:p>
        <w:p w14:paraId="0863C4DC" w14:textId="30EB5705" w:rsidR="003301DC" w:rsidRDefault="003301DC">
          <w:pPr>
            <w:pStyle w:val="T2"/>
            <w:tabs>
              <w:tab w:val="right" w:leader="dot" w:pos="9062"/>
            </w:tabs>
            <w:rPr>
              <w:rFonts w:eastAsiaTheme="minorEastAsia"/>
              <w:noProof/>
            </w:rPr>
          </w:pPr>
          <w:hyperlink w:anchor="_Toc72961743" w:history="1">
            <w:r>
              <w:rPr>
                <w:rStyle w:val="Kpr"/>
                <w:rFonts w:ascii="Times New Roman" w:hAnsi="Times New Roman" w:cs="Times New Roman"/>
                <w:noProof/>
              </w:rPr>
              <w:t>Burcu TEKIN</w:t>
            </w:r>
            <w:r>
              <w:rPr>
                <w:noProof/>
                <w:webHidden/>
              </w:rPr>
              <w:tab/>
            </w:r>
            <w:r>
              <w:rPr>
                <w:noProof/>
                <w:webHidden/>
              </w:rPr>
              <w:fldChar w:fldCharType="begin"/>
            </w:r>
            <w:r>
              <w:rPr>
                <w:noProof/>
                <w:webHidden/>
              </w:rPr>
              <w:instrText xml:space="preserve"> PAGEREF _Toc72961743 \h </w:instrText>
            </w:r>
            <w:r>
              <w:rPr>
                <w:noProof/>
                <w:webHidden/>
              </w:rPr>
            </w:r>
            <w:r>
              <w:rPr>
                <w:noProof/>
                <w:webHidden/>
              </w:rPr>
              <w:fldChar w:fldCharType="separate"/>
            </w:r>
            <w:r w:rsidR="006D4075">
              <w:rPr>
                <w:noProof/>
                <w:webHidden/>
              </w:rPr>
              <w:t>313</w:t>
            </w:r>
            <w:r>
              <w:rPr>
                <w:noProof/>
                <w:webHidden/>
              </w:rPr>
              <w:fldChar w:fldCharType="end"/>
            </w:r>
          </w:hyperlink>
        </w:p>
        <w:p w14:paraId="7683E90F" w14:textId="04226A77" w:rsidR="003301DC" w:rsidRDefault="003301DC">
          <w:pPr>
            <w:pStyle w:val="T2"/>
            <w:tabs>
              <w:tab w:val="right" w:leader="dot" w:pos="9062"/>
            </w:tabs>
            <w:rPr>
              <w:rFonts w:eastAsiaTheme="minorEastAsia"/>
              <w:noProof/>
            </w:rPr>
          </w:pPr>
          <w:hyperlink w:anchor="_Toc72961744" w:history="1">
            <w:r w:rsidRPr="001E20D2">
              <w:rPr>
                <w:rStyle w:val="Kpr"/>
                <w:rFonts w:ascii="Times New Roman" w:hAnsi="Times New Roman" w:cs="Times New Roman"/>
                <w:noProof/>
              </w:rPr>
              <w:t>Prof. Dr. Belgin  AYDINTAN</w:t>
            </w:r>
            <w:r>
              <w:rPr>
                <w:noProof/>
                <w:webHidden/>
              </w:rPr>
              <w:tab/>
            </w:r>
            <w:r>
              <w:rPr>
                <w:noProof/>
                <w:webHidden/>
              </w:rPr>
              <w:fldChar w:fldCharType="begin"/>
            </w:r>
            <w:r>
              <w:rPr>
                <w:noProof/>
                <w:webHidden/>
              </w:rPr>
              <w:instrText xml:space="preserve"> PAGEREF _Toc72961744 \h </w:instrText>
            </w:r>
            <w:r>
              <w:rPr>
                <w:noProof/>
                <w:webHidden/>
              </w:rPr>
            </w:r>
            <w:r>
              <w:rPr>
                <w:noProof/>
                <w:webHidden/>
              </w:rPr>
              <w:fldChar w:fldCharType="separate"/>
            </w:r>
            <w:r w:rsidR="006D4075">
              <w:rPr>
                <w:noProof/>
                <w:webHidden/>
              </w:rPr>
              <w:t>313</w:t>
            </w:r>
            <w:r>
              <w:rPr>
                <w:noProof/>
                <w:webHidden/>
              </w:rPr>
              <w:fldChar w:fldCharType="end"/>
            </w:r>
          </w:hyperlink>
        </w:p>
        <w:p w14:paraId="7BE29DED" w14:textId="3D34B6B7" w:rsidR="003301DC" w:rsidRDefault="003301DC">
          <w:pPr>
            <w:pStyle w:val="T1"/>
            <w:tabs>
              <w:tab w:val="right" w:leader="dot" w:pos="9062"/>
            </w:tabs>
            <w:rPr>
              <w:rFonts w:eastAsiaTheme="minorEastAsia"/>
              <w:noProof/>
            </w:rPr>
          </w:pPr>
          <w:hyperlink w:anchor="_Toc72961746" w:history="1">
            <w:r w:rsidRPr="001E20D2">
              <w:rPr>
                <w:rStyle w:val="Kpr"/>
                <w:rFonts w:ascii="Times New Roman" w:eastAsia="Times New Roman" w:hAnsi="Times New Roman" w:cs="Times New Roman"/>
                <w:b/>
                <w:noProof/>
              </w:rPr>
              <w:t>IMPACT OF COVID 19 ON CONSUMER BEHAVIOR</w:t>
            </w:r>
            <w:r>
              <w:rPr>
                <w:noProof/>
                <w:webHidden/>
              </w:rPr>
              <w:tab/>
            </w:r>
            <w:r>
              <w:rPr>
                <w:noProof/>
                <w:webHidden/>
              </w:rPr>
              <w:fldChar w:fldCharType="begin"/>
            </w:r>
            <w:r>
              <w:rPr>
                <w:noProof/>
                <w:webHidden/>
              </w:rPr>
              <w:instrText xml:space="preserve"> PAGEREF _Toc72961746 \h </w:instrText>
            </w:r>
            <w:r>
              <w:rPr>
                <w:noProof/>
                <w:webHidden/>
              </w:rPr>
            </w:r>
            <w:r>
              <w:rPr>
                <w:noProof/>
                <w:webHidden/>
              </w:rPr>
              <w:fldChar w:fldCharType="separate"/>
            </w:r>
            <w:r w:rsidR="006D4075">
              <w:rPr>
                <w:noProof/>
                <w:webHidden/>
              </w:rPr>
              <w:t>328</w:t>
            </w:r>
            <w:r>
              <w:rPr>
                <w:noProof/>
                <w:webHidden/>
              </w:rPr>
              <w:fldChar w:fldCharType="end"/>
            </w:r>
          </w:hyperlink>
        </w:p>
        <w:p w14:paraId="3FD1929F" w14:textId="36AE6626" w:rsidR="003301DC" w:rsidRDefault="003301DC">
          <w:pPr>
            <w:pStyle w:val="T2"/>
            <w:tabs>
              <w:tab w:val="right" w:leader="dot" w:pos="9062"/>
            </w:tabs>
            <w:rPr>
              <w:rFonts w:eastAsiaTheme="minorEastAsia"/>
              <w:noProof/>
            </w:rPr>
          </w:pPr>
          <w:hyperlink w:anchor="_Toc72961747" w:history="1">
            <w:r w:rsidRPr="001E20D2">
              <w:rPr>
                <w:rStyle w:val="Kpr"/>
                <w:rFonts w:ascii="Times New Roman" w:hAnsi="Times New Roman" w:cs="Times New Roman"/>
                <w:noProof/>
              </w:rPr>
              <w:t>Araş. Gör. Seyda OK</w:t>
            </w:r>
            <w:r>
              <w:rPr>
                <w:noProof/>
                <w:webHidden/>
              </w:rPr>
              <w:tab/>
            </w:r>
            <w:r>
              <w:rPr>
                <w:noProof/>
                <w:webHidden/>
              </w:rPr>
              <w:fldChar w:fldCharType="begin"/>
            </w:r>
            <w:r>
              <w:rPr>
                <w:noProof/>
                <w:webHidden/>
              </w:rPr>
              <w:instrText xml:space="preserve"> PAGEREF _Toc72961747 \h </w:instrText>
            </w:r>
            <w:r>
              <w:rPr>
                <w:noProof/>
                <w:webHidden/>
              </w:rPr>
            </w:r>
            <w:r>
              <w:rPr>
                <w:noProof/>
                <w:webHidden/>
              </w:rPr>
              <w:fldChar w:fldCharType="separate"/>
            </w:r>
            <w:r w:rsidR="006D4075">
              <w:rPr>
                <w:noProof/>
                <w:webHidden/>
              </w:rPr>
              <w:t>328</w:t>
            </w:r>
            <w:r>
              <w:rPr>
                <w:noProof/>
                <w:webHidden/>
              </w:rPr>
              <w:fldChar w:fldCharType="end"/>
            </w:r>
          </w:hyperlink>
        </w:p>
        <w:p w14:paraId="65F2AB9C" w14:textId="7D35CFCC" w:rsidR="003301DC" w:rsidRDefault="003301DC">
          <w:pPr>
            <w:pStyle w:val="T2"/>
            <w:tabs>
              <w:tab w:val="right" w:leader="dot" w:pos="9062"/>
            </w:tabs>
            <w:rPr>
              <w:rFonts w:eastAsiaTheme="minorEastAsia"/>
              <w:noProof/>
            </w:rPr>
          </w:pPr>
          <w:hyperlink w:anchor="_Toc72961748" w:history="1">
            <w:r w:rsidRPr="001E20D2">
              <w:rPr>
                <w:rStyle w:val="Kpr"/>
                <w:rFonts w:ascii="Times New Roman" w:hAnsi="Times New Roman" w:cs="Times New Roman"/>
                <w:noProof/>
              </w:rPr>
              <w:t>Prof. Dr. Belgin AYDINTAN</w:t>
            </w:r>
            <w:r>
              <w:rPr>
                <w:noProof/>
                <w:webHidden/>
              </w:rPr>
              <w:tab/>
            </w:r>
            <w:r>
              <w:rPr>
                <w:noProof/>
                <w:webHidden/>
              </w:rPr>
              <w:fldChar w:fldCharType="begin"/>
            </w:r>
            <w:r>
              <w:rPr>
                <w:noProof/>
                <w:webHidden/>
              </w:rPr>
              <w:instrText xml:space="preserve"> PAGEREF _Toc72961748 \h </w:instrText>
            </w:r>
            <w:r>
              <w:rPr>
                <w:noProof/>
                <w:webHidden/>
              </w:rPr>
            </w:r>
            <w:r>
              <w:rPr>
                <w:noProof/>
                <w:webHidden/>
              </w:rPr>
              <w:fldChar w:fldCharType="separate"/>
            </w:r>
            <w:r w:rsidR="006D4075">
              <w:rPr>
                <w:noProof/>
                <w:webHidden/>
              </w:rPr>
              <w:t>328</w:t>
            </w:r>
            <w:r>
              <w:rPr>
                <w:noProof/>
                <w:webHidden/>
              </w:rPr>
              <w:fldChar w:fldCharType="end"/>
            </w:r>
          </w:hyperlink>
        </w:p>
        <w:p w14:paraId="29AE7550" w14:textId="6BCDDE41" w:rsidR="003301DC" w:rsidRDefault="003301DC">
          <w:pPr>
            <w:pStyle w:val="T1"/>
            <w:tabs>
              <w:tab w:val="right" w:leader="dot" w:pos="9062"/>
            </w:tabs>
            <w:rPr>
              <w:rFonts w:eastAsiaTheme="minorEastAsia"/>
              <w:noProof/>
            </w:rPr>
          </w:pPr>
          <w:hyperlink w:anchor="_Toc72961749" w:history="1">
            <w:r w:rsidRPr="001E20D2">
              <w:rPr>
                <w:rStyle w:val="Kpr"/>
                <w:rFonts w:ascii="Times New Roman" w:hAnsi="Times New Roman" w:cs="Times New Roman"/>
                <w:b/>
                <w:noProof/>
              </w:rPr>
              <w:t>A QUALITATIVE RESEARCH ON WORK-LIFE BALANCE OF REMOTE AND ROTATING (ALTERNATELY) EMPLOYEES IN THE COVID-19 PANDEMIC PROCESS</w:t>
            </w:r>
            <w:r>
              <w:rPr>
                <w:noProof/>
                <w:webHidden/>
              </w:rPr>
              <w:tab/>
            </w:r>
            <w:r>
              <w:rPr>
                <w:noProof/>
                <w:webHidden/>
              </w:rPr>
              <w:fldChar w:fldCharType="begin"/>
            </w:r>
            <w:r>
              <w:rPr>
                <w:noProof/>
                <w:webHidden/>
              </w:rPr>
              <w:instrText xml:space="preserve"> PAGEREF _Toc72961749 \h </w:instrText>
            </w:r>
            <w:r>
              <w:rPr>
                <w:noProof/>
                <w:webHidden/>
              </w:rPr>
            </w:r>
            <w:r>
              <w:rPr>
                <w:noProof/>
                <w:webHidden/>
              </w:rPr>
              <w:fldChar w:fldCharType="separate"/>
            </w:r>
            <w:r w:rsidR="006D4075">
              <w:rPr>
                <w:noProof/>
                <w:webHidden/>
              </w:rPr>
              <w:t>339</w:t>
            </w:r>
            <w:r>
              <w:rPr>
                <w:noProof/>
                <w:webHidden/>
              </w:rPr>
              <w:fldChar w:fldCharType="end"/>
            </w:r>
          </w:hyperlink>
        </w:p>
        <w:p w14:paraId="24D73849" w14:textId="1556C2A4" w:rsidR="003301DC" w:rsidRDefault="003301DC">
          <w:pPr>
            <w:pStyle w:val="T2"/>
            <w:tabs>
              <w:tab w:val="right" w:leader="dot" w:pos="9062"/>
            </w:tabs>
            <w:rPr>
              <w:rFonts w:eastAsiaTheme="minorEastAsia"/>
              <w:noProof/>
            </w:rPr>
          </w:pPr>
          <w:hyperlink w:anchor="_Toc72961750" w:history="1">
            <w:r>
              <w:rPr>
                <w:rStyle w:val="Kpr"/>
                <w:rFonts w:ascii="Times New Roman" w:hAnsi="Times New Roman" w:cs="Times New Roman"/>
                <w:noProof/>
              </w:rPr>
              <w:t>Assist. Prof. Dr. Pınar ERKAL</w:t>
            </w:r>
            <w:r>
              <w:rPr>
                <w:noProof/>
                <w:webHidden/>
              </w:rPr>
              <w:tab/>
            </w:r>
            <w:r>
              <w:rPr>
                <w:noProof/>
                <w:webHidden/>
              </w:rPr>
              <w:fldChar w:fldCharType="begin"/>
            </w:r>
            <w:r>
              <w:rPr>
                <w:noProof/>
                <w:webHidden/>
              </w:rPr>
              <w:instrText xml:space="preserve"> PAGEREF _Toc72961750 \h </w:instrText>
            </w:r>
            <w:r>
              <w:rPr>
                <w:noProof/>
                <w:webHidden/>
              </w:rPr>
            </w:r>
            <w:r>
              <w:rPr>
                <w:noProof/>
                <w:webHidden/>
              </w:rPr>
              <w:fldChar w:fldCharType="separate"/>
            </w:r>
            <w:r w:rsidR="006D4075">
              <w:rPr>
                <w:noProof/>
                <w:webHidden/>
              </w:rPr>
              <w:t>339</w:t>
            </w:r>
            <w:r>
              <w:rPr>
                <w:noProof/>
                <w:webHidden/>
              </w:rPr>
              <w:fldChar w:fldCharType="end"/>
            </w:r>
          </w:hyperlink>
        </w:p>
        <w:p w14:paraId="0F148E63" w14:textId="0BEF2E19" w:rsidR="003301DC" w:rsidRDefault="003301DC">
          <w:pPr>
            <w:pStyle w:val="T1"/>
            <w:tabs>
              <w:tab w:val="right" w:leader="dot" w:pos="9062"/>
            </w:tabs>
            <w:rPr>
              <w:rFonts w:eastAsiaTheme="minorEastAsia"/>
              <w:noProof/>
            </w:rPr>
          </w:pPr>
          <w:hyperlink w:anchor="_Toc72961752" w:history="1">
            <w:r w:rsidRPr="001E20D2">
              <w:rPr>
                <w:rStyle w:val="Kpr"/>
                <w:rFonts w:ascii="Times New Roman" w:hAnsi="Times New Roman" w:cs="Times New Roman"/>
                <w:b/>
                <w:bCs/>
                <w:noProof/>
              </w:rPr>
              <w:t>PANDEMİ SONRASI KÜRESEL DEĞER ZİNCİRLERİ: YÖNETİŞİM SÜRECİNE İLİŞKİN BİR DEĞERLENDİRME</w:t>
            </w:r>
            <w:r>
              <w:rPr>
                <w:noProof/>
                <w:webHidden/>
              </w:rPr>
              <w:tab/>
            </w:r>
            <w:r>
              <w:rPr>
                <w:noProof/>
                <w:webHidden/>
              </w:rPr>
              <w:fldChar w:fldCharType="begin"/>
            </w:r>
            <w:r>
              <w:rPr>
                <w:noProof/>
                <w:webHidden/>
              </w:rPr>
              <w:instrText xml:space="preserve"> PAGEREF _Toc72961752 \h </w:instrText>
            </w:r>
            <w:r>
              <w:rPr>
                <w:noProof/>
                <w:webHidden/>
              </w:rPr>
            </w:r>
            <w:r>
              <w:rPr>
                <w:noProof/>
                <w:webHidden/>
              </w:rPr>
              <w:fldChar w:fldCharType="separate"/>
            </w:r>
            <w:r w:rsidR="006D4075">
              <w:rPr>
                <w:noProof/>
                <w:webHidden/>
              </w:rPr>
              <w:t>343</w:t>
            </w:r>
            <w:r>
              <w:rPr>
                <w:noProof/>
                <w:webHidden/>
              </w:rPr>
              <w:fldChar w:fldCharType="end"/>
            </w:r>
          </w:hyperlink>
        </w:p>
        <w:p w14:paraId="22A7359F" w14:textId="283B96F1" w:rsidR="003301DC" w:rsidRDefault="003301DC">
          <w:pPr>
            <w:pStyle w:val="T2"/>
            <w:tabs>
              <w:tab w:val="right" w:leader="dot" w:pos="9062"/>
            </w:tabs>
            <w:rPr>
              <w:rFonts w:eastAsiaTheme="minorEastAsia"/>
              <w:noProof/>
            </w:rPr>
          </w:pPr>
          <w:hyperlink w:anchor="_Toc72961753" w:history="1">
            <w:r w:rsidRPr="001E20D2">
              <w:rPr>
                <w:rStyle w:val="Kpr"/>
                <w:rFonts w:ascii="Times New Roman" w:hAnsi="Times New Roman" w:cs="Times New Roman"/>
                <w:noProof/>
              </w:rPr>
              <w:t>Dr. Öğretim Üyesi Osman Seraceddin SESLİOK</w:t>
            </w:r>
            <w:r>
              <w:rPr>
                <w:rStyle w:val="Kpr"/>
                <w:rFonts w:ascii="Times New Roman" w:hAnsi="Times New Roman" w:cs="Times New Roman"/>
                <w:noProof/>
              </w:rPr>
              <w:t>UYUCU</w:t>
            </w:r>
            <w:r>
              <w:rPr>
                <w:noProof/>
                <w:webHidden/>
              </w:rPr>
              <w:tab/>
            </w:r>
            <w:r>
              <w:rPr>
                <w:noProof/>
                <w:webHidden/>
              </w:rPr>
              <w:fldChar w:fldCharType="begin"/>
            </w:r>
            <w:r>
              <w:rPr>
                <w:noProof/>
                <w:webHidden/>
              </w:rPr>
              <w:instrText xml:space="preserve"> PAGEREF _Toc72961753 \h </w:instrText>
            </w:r>
            <w:r>
              <w:rPr>
                <w:noProof/>
                <w:webHidden/>
              </w:rPr>
            </w:r>
            <w:r>
              <w:rPr>
                <w:noProof/>
                <w:webHidden/>
              </w:rPr>
              <w:fldChar w:fldCharType="separate"/>
            </w:r>
            <w:r w:rsidR="006D4075">
              <w:rPr>
                <w:noProof/>
                <w:webHidden/>
              </w:rPr>
              <w:t>343</w:t>
            </w:r>
            <w:r>
              <w:rPr>
                <w:noProof/>
                <w:webHidden/>
              </w:rPr>
              <w:fldChar w:fldCharType="end"/>
            </w:r>
          </w:hyperlink>
        </w:p>
        <w:p w14:paraId="03C0DD72" w14:textId="3A1A086C" w:rsidR="003301DC" w:rsidRDefault="003301DC">
          <w:pPr>
            <w:pStyle w:val="T1"/>
            <w:tabs>
              <w:tab w:val="right" w:leader="dot" w:pos="9062"/>
            </w:tabs>
            <w:rPr>
              <w:rFonts w:eastAsiaTheme="minorEastAsia"/>
              <w:noProof/>
            </w:rPr>
          </w:pPr>
          <w:hyperlink w:anchor="_Toc72961754" w:history="1">
            <w:r w:rsidRPr="001E20D2">
              <w:rPr>
                <w:rStyle w:val="Kpr"/>
                <w:rFonts w:ascii="Times New Roman" w:hAnsi="Times New Roman" w:cs="Times New Roman"/>
                <w:b/>
                <w:bCs/>
                <w:noProof/>
              </w:rPr>
              <w:t>SAĞLIK EKONOMİSİ VE COVID-19: SAĞLIK HİZMETLERİNE ERİŞİMİN ULUSLARARASI ÖRNEKLERLE KARŞILAŞTIRILMASI</w:t>
            </w:r>
            <w:r>
              <w:rPr>
                <w:noProof/>
                <w:webHidden/>
              </w:rPr>
              <w:tab/>
            </w:r>
            <w:r>
              <w:rPr>
                <w:noProof/>
                <w:webHidden/>
              </w:rPr>
              <w:fldChar w:fldCharType="begin"/>
            </w:r>
            <w:r>
              <w:rPr>
                <w:noProof/>
                <w:webHidden/>
              </w:rPr>
              <w:instrText xml:space="preserve"> PAGEREF _Toc72961754 \h </w:instrText>
            </w:r>
            <w:r>
              <w:rPr>
                <w:noProof/>
                <w:webHidden/>
              </w:rPr>
            </w:r>
            <w:r>
              <w:rPr>
                <w:noProof/>
                <w:webHidden/>
              </w:rPr>
              <w:fldChar w:fldCharType="separate"/>
            </w:r>
            <w:r w:rsidR="006D4075">
              <w:rPr>
                <w:noProof/>
                <w:webHidden/>
              </w:rPr>
              <w:t>348</w:t>
            </w:r>
            <w:r>
              <w:rPr>
                <w:noProof/>
                <w:webHidden/>
              </w:rPr>
              <w:fldChar w:fldCharType="end"/>
            </w:r>
          </w:hyperlink>
        </w:p>
        <w:p w14:paraId="18FC193C" w14:textId="10788C87" w:rsidR="003301DC" w:rsidRDefault="003301DC">
          <w:pPr>
            <w:pStyle w:val="T2"/>
            <w:tabs>
              <w:tab w:val="right" w:leader="dot" w:pos="9062"/>
            </w:tabs>
            <w:rPr>
              <w:rFonts w:eastAsiaTheme="minorEastAsia"/>
              <w:noProof/>
            </w:rPr>
          </w:pPr>
          <w:hyperlink w:anchor="_Toc72961755" w:history="1">
            <w:r>
              <w:rPr>
                <w:rStyle w:val="Kpr"/>
                <w:rFonts w:ascii="Times New Roman" w:hAnsi="Times New Roman" w:cs="Times New Roman"/>
                <w:noProof/>
              </w:rPr>
              <w:t>Öğr.Gör. Suzan ODABAŞI</w:t>
            </w:r>
            <w:r>
              <w:rPr>
                <w:noProof/>
                <w:webHidden/>
              </w:rPr>
              <w:tab/>
            </w:r>
            <w:r>
              <w:rPr>
                <w:noProof/>
                <w:webHidden/>
              </w:rPr>
              <w:fldChar w:fldCharType="begin"/>
            </w:r>
            <w:r>
              <w:rPr>
                <w:noProof/>
                <w:webHidden/>
              </w:rPr>
              <w:instrText xml:space="preserve"> PAGEREF _Toc72961755 \h </w:instrText>
            </w:r>
            <w:r>
              <w:rPr>
                <w:noProof/>
                <w:webHidden/>
              </w:rPr>
            </w:r>
            <w:r>
              <w:rPr>
                <w:noProof/>
                <w:webHidden/>
              </w:rPr>
              <w:fldChar w:fldCharType="separate"/>
            </w:r>
            <w:r w:rsidR="006D4075">
              <w:rPr>
                <w:noProof/>
                <w:webHidden/>
              </w:rPr>
              <w:t>348</w:t>
            </w:r>
            <w:r>
              <w:rPr>
                <w:noProof/>
                <w:webHidden/>
              </w:rPr>
              <w:fldChar w:fldCharType="end"/>
            </w:r>
          </w:hyperlink>
        </w:p>
        <w:p w14:paraId="1104762D" w14:textId="3DAC0820" w:rsidR="003301DC" w:rsidRDefault="003301DC">
          <w:pPr>
            <w:pStyle w:val="T1"/>
            <w:tabs>
              <w:tab w:val="right" w:leader="dot" w:pos="9062"/>
            </w:tabs>
            <w:rPr>
              <w:rFonts w:eastAsiaTheme="minorEastAsia"/>
              <w:noProof/>
            </w:rPr>
          </w:pPr>
          <w:hyperlink w:anchor="_Toc72961757" w:history="1">
            <w:r w:rsidRPr="003B6DB3">
              <w:rPr>
                <w:rStyle w:val="Kpr"/>
                <w:b/>
                <w:noProof/>
                <w:lang w:val="tr-TR"/>
              </w:rPr>
              <w:t>ALGILANAN COVİD-19 RİSKİ VE TEMASSIZ ÖDEME KULLANIM NİYETİ ARASINDAKİ İLİŞKİNİN İNCELENMESİ</w:t>
            </w:r>
            <w:r>
              <w:rPr>
                <w:noProof/>
                <w:webHidden/>
              </w:rPr>
              <w:tab/>
            </w:r>
            <w:r>
              <w:rPr>
                <w:noProof/>
                <w:webHidden/>
              </w:rPr>
              <w:fldChar w:fldCharType="begin"/>
            </w:r>
            <w:r>
              <w:rPr>
                <w:noProof/>
                <w:webHidden/>
              </w:rPr>
              <w:instrText xml:space="preserve"> PAGEREF _Toc72961757 \h </w:instrText>
            </w:r>
            <w:r>
              <w:rPr>
                <w:noProof/>
                <w:webHidden/>
              </w:rPr>
            </w:r>
            <w:r>
              <w:rPr>
                <w:noProof/>
                <w:webHidden/>
              </w:rPr>
              <w:fldChar w:fldCharType="separate"/>
            </w:r>
            <w:r w:rsidR="006D4075">
              <w:rPr>
                <w:noProof/>
                <w:webHidden/>
              </w:rPr>
              <w:t>357</w:t>
            </w:r>
            <w:r>
              <w:rPr>
                <w:noProof/>
                <w:webHidden/>
              </w:rPr>
              <w:fldChar w:fldCharType="end"/>
            </w:r>
          </w:hyperlink>
        </w:p>
        <w:p w14:paraId="733668EC" w14:textId="722B807D" w:rsidR="003301DC" w:rsidRDefault="003301DC">
          <w:pPr>
            <w:pStyle w:val="T2"/>
            <w:tabs>
              <w:tab w:val="right" w:leader="dot" w:pos="9062"/>
            </w:tabs>
            <w:rPr>
              <w:rFonts w:eastAsiaTheme="minorEastAsia"/>
              <w:noProof/>
            </w:rPr>
          </w:pPr>
          <w:hyperlink w:anchor="_Toc72961758" w:history="1">
            <w:r w:rsidRPr="001E20D2">
              <w:rPr>
                <w:rStyle w:val="Kpr"/>
                <w:rFonts w:ascii="Times New Roman" w:hAnsi="Times New Roman" w:cs="Times New Roman"/>
                <w:noProof/>
              </w:rPr>
              <w:t>Dr. Öğr.Üyesi İlhami TUNCER</w:t>
            </w:r>
            <w:r>
              <w:rPr>
                <w:noProof/>
                <w:webHidden/>
              </w:rPr>
              <w:tab/>
            </w:r>
            <w:r>
              <w:rPr>
                <w:noProof/>
                <w:webHidden/>
              </w:rPr>
              <w:fldChar w:fldCharType="begin"/>
            </w:r>
            <w:r>
              <w:rPr>
                <w:noProof/>
                <w:webHidden/>
              </w:rPr>
              <w:instrText xml:space="preserve"> PAGEREF _Toc72961758 \h </w:instrText>
            </w:r>
            <w:r>
              <w:rPr>
                <w:noProof/>
                <w:webHidden/>
              </w:rPr>
            </w:r>
            <w:r>
              <w:rPr>
                <w:noProof/>
                <w:webHidden/>
              </w:rPr>
              <w:fldChar w:fldCharType="separate"/>
            </w:r>
            <w:r w:rsidR="006D4075">
              <w:rPr>
                <w:noProof/>
                <w:webHidden/>
              </w:rPr>
              <w:t>357</w:t>
            </w:r>
            <w:r>
              <w:rPr>
                <w:noProof/>
                <w:webHidden/>
              </w:rPr>
              <w:fldChar w:fldCharType="end"/>
            </w:r>
          </w:hyperlink>
        </w:p>
        <w:p w14:paraId="09641801" w14:textId="6D6B03E6" w:rsidR="003301DC" w:rsidRDefault="003301DC">
          <w:pPr>
            <w:pStyle w:val="T1"/>
            <w:tabs>
              <w:tab w:val="right" w:leader="dot" w:pos="9062"/>
            </w:tabs>
            <w:rPr>
              <w:rFonts w:eastAsiaTheme="minorEastAsia"/>
              <w:noProof/>
            </w:rPr>
          </w:pPr>
          <w:hyperlink w:anchor="_Toc72961759" w:history="1">
            <w:r w:rsidRPr="001E20D2">
              <w:rPr>
                <w:rStyle w:val="Kpr"/>
                <w:rFonts w:ascii="Times New Roman" w:eastAsia="Calibri" w:hAnsi="Times New Roman" w:cs="Times New Roman"/>
                <w:b/>
                <w:noProof/>
                <w:lang w:val="en"/>
              </w:rPr>
              <w:t>THE EFFECTIVENESS OF THE USE OF ARTIFICIAL INTELLIGENCE IN THE INTERNAL AUDIT PROCESS AND ITS IMPACT ON RISK MANAGEMENT, CONTROL AND GOVERNANCE IN THE PALESTINIAN GOVERNMENT SECTOR</w:t>
            </w:r>
            <w:r>
              <w:rPr>
                <w:noProof/>
                <w:webHidden/>
              </w:rPr>
              <w:tab/>
            </w:r>
            <w:r>
              <w:rPr>
                <w:noProof/>
                <w:webHidden/>
              </w:rPr>
              <w:fldChar w:fldCharType="begin"/>
            </w:r>
            <w:r>
              <w:rPr>
                <w:noProof/>
                <w:webHidden/>
              </w:rPr>
              <w:instrText xml:space="preserve"> PAGEREF _Toc72961759 \h </w:instrText>
            </w:r>
            <w:r>
              <w:rPr>
                <w:noProof/>
                <w:webHidden/>
              </w:rPr>
            </w:r>
            <w:r>
              <w:rPr>
                <w:noProof/>
                <w:webHidden/>
              </w:rPr>
              <w:fldChar w:fldCharType="separate"/>
            </w:r>
            <w:r w:rsidR="006D4075">
              <w:rPr>
                <w:noProof/>
                <w:webHidden/>
              </w:rPr>
              <w:t>366</w:t>
            </w:r>
            <w:r>
              <w:rPr>
                <w:noProof/>
                <w:webHidden/>
              </w:rPr>
              <w:fldChar w:fldCharType="end"/>
            </w:r>
          </w:hyperlink>
        </w:p>
        <w:p w14:paraId="5FF991FD" w14:textId="2E00DDA4" w:rsidR="003301DC" w:rsidRDefault="003301DC">
          <w:pPr>
            <w:pStyle w:val="T2"/>
            <w:tabs>
              <w:tab w:val="right" w:leader="dot" w:pos="9062"/>
            </w:tabs>
            <w:rPr>
              <w:rFonts w:eastAsiaTheme="minorEastAsia"/>
              <w:noProof/>
            </w:rPr>
          </w:pPr>
          <w:hyperlink w:anchor="_Toc72961760" w:history="1">
            <w:r w:rsidRPr="001E20D2">
              <w:rPr>
                <w:rStyle w:val="Kpr"/>
                <w:rFonts w:ascii="Times New Roman" w:hAnsi="Times New Roman" w:cs="Times New Roman"/>
                <w:noProof/>
              </w:rPr>
              <w:t>Assist. Pro</w:t>
            </w:r>
            <w:r>
              <w:rPr>
                <w:rStyle w:val="Kpr"/>
                <w:rFonts w:ascii="Times New Roman" w:hAnsi="Times New Roman" w:cs="Times New Roman"/>
                <w:noProof/>
              </w:rPr>
              <w:t>f. Abdul Rahman M. S. Rashwan</w:t>
            </w:r>
            <w:r>
              <w:rPr>
                <w:noProof/>
                <w:webHidden/>
              </w:rPr>
              <w:tab/>
            </w:r>
            <w:r>
              <w:rPr>
                <w:noProof/>
                <w:webHidden/>
              </w:rPr>
              <w:fldChar w:fldCharType="begin"/>
            </w:r>
            <w:r>
              <w:rPr>
                <w:noProof/>
                <w:webHidden/>
              </w:rPr>
              <w:instrText xml:space="preserve"> PAGEREF _Toc72961760 \h </w:instrText>
            </w:r>
            <w:r>
              <w:rPr>
                <w:noProof/>
                <w:webHidden/>
              </w:rPr>
            </w:r>
            <w:r>
              <w:rPr>
                <w:noProof/>
                <w:webHidden/>
              </w:rPr>
              <w:fldChar w:fldCharType="separate"/>
            </w:r>
            <w:r w:rsidR="006D4075">
              <w:rPr>
                <w:noProof/>
                <w:webHidden/>
              </w:rPr>
              <w:t>366</w:t>
            </w:r>
            <w:r>
              <w:rPr>
                <w:noProof/>
                <w:webHidden/>
              </w:rPr>
              <w:fldChar w:fldCharType="end"/>
            </w:r>
          </w:hyperlink>
        </w:p>
        <w:p w14:paraId="04627686" w14:textId="2A161FEB" w:rsidR="003301DC" w:rsidRDefault="003301DC">
          <w:pPr>
            <w:pStyle w:val="T2"/>
            <w:tabs>
              <w:tab w:val="right" w:leader="dot" w:pos="9062"/>
            </w:tabs>
            <w:rPr>
              <w:rFonts w:eastAsiaTheme="minorEastAsia"/>
              <w:noProof/>
            </w:rPr>
          </w:pPr>
          <w:hyperlink w:anchor="_Toc72961761" w:history="1">
            <w:r w:rsidRPr="001E20D2">
              <w:rPr>
                <w:rStyle w:val="Kpr"/>
                <w:rFonts w:ascii="Times New Roman" w:hAnsi="Times New Roman" w:cs="Times New Roman"/>
                <w:noProof/>
              </w:rPr>
              <w:t>Assist.Prof. Eitedal M. S.  Alhelou</w:t>
            </w:r>
            <w:r>
              <w:rPr>
                <w:noProof/>
                <w:webHidden/>
              </w:rPr>
              <w:tab/>
            </w:r>
            <w:r>
              <w:rPr>
                <w:noProof/>
                <w:webHidden/>
              </w:rPr>
              <w:fldChar w:fldCharType="begin"/>
            </w:r>
            <w:r>
              <w:rPr>
                <w:noProof/>
                <w:webHidden/>
              </w:rPr>
              <w:instrText xml:space="preserve"> PAGEREF _Toc72961761 \h </w:instrText>
            </w:r>
            <w:r>
              <w:rPr>
                <w:noProof/>
                <w:webHidden/>
              </w:rPr>
            </w:r>
            <w:r>
              <w:rPr>
                <w:noProof/>
                <w:webHidden/>
              </w:rPr>
              <w:fldChar w:fldCharType="separate"/>
            </w:r>
            <w:r w:rsidR="006D4075">
              <w:rPr>
                <w:noProof/>
                <w:webHidden/>
              </w:rPr>
              <w:t>366</w:t>
            </w:r>
            <w:r>
              <w:rPr>
                <w:noProof/>
                <w:webHidden/>
              </w:rPr>
              <w:fldChar w:fldCharType="end"/>
            </w:r>
          </w:hyperlink>
        </w:p>
        <w:p w14:paraId="50699D77" w14:textId="1A396801" w:rsidR="003301DC" w:rsidRDefault="003301DC">
          <w:pPr>
            <w:pStyle w:val="T1"/>
            <w:tabs>
              <w:tab w:val="right" w:leader="dot" w:pos="9062"/>
            </w:tabs>
            <w:rPr>
              <w:rFonts w:eastAsiaTheme="minorEastAsia"/>
              <w:noProof/>
            </w:rPr>
          </w:pPr>
          <w:hyperlink w:anchor="_Toc72961762" w:history="1">
            <w:r w:rsidRPr="001E20D2">
              <w:rPr>
                <w:rStyle w:val="Kpr"/>
                <w:rFonts w:ascii="Times New Roman" w:hAnsi="Times New Roman" w:cs="Times New Roman"/>
                <w:b/>
                <w:noProof/>
              </w:rPr>
              <w:t>DOLAŞIM SİSTEMİ KONUSUNUN ORTAOKUL VE LİSE DERS KİTAPLARINDA DIŞ DİDAKTİKSEL DÖNÜŞÜM TEORİSİNE GÖRE İNCELENMESİ</w:t>
            </w:r>
            <w:r>
              <w:rPr>
                <w:noProof/>
                <w:webHidden/>
              </w:rPr>
              <w:tab/>
            </w:r>
            <w:r>
              <w:rPr>
                <w:noProof/>
                <w:webHidden/>
              </w:rPr>
              <w:fldChar w:fldCharType="begin"/>
            </w:r>
            <w:r>
              <w:rPr>
                <w:noProof/>
                <w:webHidden/>
              </w:rPr>
              <w:instrText xml:space="preserve"> PAGEREF _Toc72961762 \h </w:instrText>
            </w:r>
            <w:r>
              <w:rPr>
                <w:noProof/>
                <w:webHidden/>
              </w:rPr>
            </w:r>
            <w:r>
              <w:rPr>
                <w:noProof/>
                <w:webHidden/>
              </w:rPr>
              <w:fldChar w:fldCharType="separate"/>
            </w:r>
            <w:r w:rsidR="006D4075">
              <w:rPr>
                <w:noProof/>
                <w:webHidden/>
              </w:rPr>
              <w:t>386</w:t>
            </w:r>
            <w:r>
              <w:rPr>
                <w:noProof/>
                <w:webHidden/>
              </w:rPr>
              <w:fldChar w:fldCharType="end"/>
            </w:r>
          </w:hyperlink>
        </w:p>
        <w:p w14:paraId="7ECAAD34" w14:textId="6C43D499" w:rsidR="003301DC" w:rsidRDefault="003301DC">
          <w:pPr>
            <w:pStyle w:val="T2"/>
            <w:tabs>
              <w:tab w:val="right" w:leader="dot" w:pos="9062"/>
            </w:tabs>
            <w:rPr>
              <w:rFonts w:eastAsiaTheme="minorEastAsia"/>
              <w:noProof/>
            </w:rPr>
          </w:pPr>
          <w:hyperlink w:anchor="_Toc72961763" w:history="1">
            <w:r w:rsidRPr="001E20D2">
              <w:rPr>
                <w:rStyle w:val="Kpr"/>
                <w:rFonts w:ascii="Times New Roman" w:hAnsi="Times New Roman" w:cs="Times New Roman"/>
                <w:noProof/>
              </w:rPr>
              <w:t>Tutku İNEÇ</w:t>
            </w:r>
            <w:r>
              <w:rPr>
                <w:noProof/>
                <w:webHidden/>
              </w:rPr>
              <w:tab/>
            </w:r>
            <w:r>
              <w:rPr>
                <w:noProof/>
                <w:webHidden/>
              </w:rPr>
              <w:fldChar w:fldCharType="begin"/>
            </w:r>
            <w:r>
              <w:rPr>
                <w:noProof/>
                <w:webHidden/>
              </w:rPr>
              <w:instrText xml:space="preserve"> PAGEREF _Toc72961763 \h </w:instrText>
            </w:r>
            <w:r>
              <w:rPr>
                <w:noProof/>
                <w:webHidden/>
              </w:rPr>
            </w:r>
            <w:r>
              <w:rPr>
                <w:noProof/>
                <w:webHidden/>
              </w:rPr>
              <w:fldChar w:fldCharType="separate"/>
            </w:r>
            <w:r w:rsidR="006D4075">
              <w:rPr>
                <w:noProof/>
                <w:webHidden/>
              </w:rPr>
              <w:t>386</w:t>
            </w:r>
            <w:r>
              <w:rPr>
                <w:noProof/>
                <w:webHidden/>
              </w:rPr>
              <w:fldChar w:fldCharType="end"/>
            </w:r>
          </w:hyperlink>
        </w:p>
        <w:p w14:paraId="40638EF7" w14:textId="0931EB8D" w:rsidR="003301DC" w:rsidRDefault="003301DC">
          <w:pPr>
            <w:pStyle w:val="T2"/>
            <w:tabs>
              <w:tab w:val="right" w:leader="dot" w:pos="9062"/>
            </w:tabs>
            <w:rPr>
              <w:rFonts w:eastAsiaTheme="minorEastAsia"/>
              <w:noProof/>
            </w:rPr>
          </w:pPr>
          <w:hyperlink w:anchor="_Toc72961764" w:history="1">
            <w:r>
              <w:rPr>
                <w:rStyle w:val="Kpr"/>
                <w:rFonts w:ascii="Times New Roman" w:hAnsi="Times New Roman" w:cs="Times New Roman"/>
                <w:noProof/>
                <w:lang w:val="tr-TR"/>
              </w:rPr>
              <w:t>Doç.Dr.. Mustafa ERGUN</w:t>
            </w:r>
            <w:r>
              <w:rPr>
                <w:noProof/>
                <w:webHidden/>
              </w:rPr>
              <w:tab/>
            </w:r>
            <w:r>
              <w:rPr>
                <w:noProof/>
                <w:webHidden/>
              </w:rPr>
              <w:fldChar w:fldCharType="begin"/>
            </w:r>
            <w:r>
              <w:rPr>
                <w:noProof/>
                <w:webHidden/>
              </w:rPr>
              <w:instrText xml:space="preserve"> PAGEREF _Toc72961764 \h </w:instrText>
            </w:r>
            <w:r>
              <w:rPr>
                <w:noProof/>
                <w:webHidden/>
              </w:rPr>
            </w:r>
            <w:r>
              <w:rPr>
                <w:noProof/>
                <w:webHidden/>
              </w:rPr>
              <w:fldChar w:fldCharType="separate"/>
            </w:r>
            <w:r w:rsidR="006D4075">
              <w:rPr>
                <w:noProof/>
                <w:webHidden/>
              </w:rPr>
              <w:t>386</w:t>
            </w:r>
            <w:r>
              <w:rPr>
                <w:noProof/>
                <w:webHidden/>
              </w:rPr>
              <w:fldChar w:fldCharType="end"/>
            </w:r>
          </w:hyperlink>
        </w:p>
        <w:p w14:paraId="467062EF" w14:textId="64BC8A23" w:rsidR="003301DC" w:rsidRDefault="003301DC">
          <w:pPr>
            <w:pStyle w:val="T1"/>
            <w:tabs>
              <w:tab w:val="right" w:leader="dot" w:pos="9062"/>
            </w:tabs>
            <w:rPr>
              <w:rFonts w:eastAsiaTheme="minorEastAsia"/>
              <w:noProof/>
            </w:rPr>
          </w:pPr>
          <w:hyperlink w:anchor="_Toc72961765" w:history="1">
            <w:r w:rsidRPr="001E20D2">
              <w:rPr>
                <w:rStyle w:val="Kpr"/>
                <w:rFonts w:ascii="Times New Roman" w:hAnsi="Times New Roman" w:cs="Times New Roman"/>
                <w:b/>
                <w:noProof/>
              </w:rPr>
              <w:t>YAZILI İFADE ÖĞRETİMİNDE KANIT TEMELLİ BİR UYGULAMA MODELİ: KENDİNİ DÜZENLEME STRATEJİLERİNİ GELİŞTİRME</w:t>
            </w:r>
            <w:r>
              <w:rPr>
                <w:noProof/>
                <w:webHidden/>
              </w:rPr>
              <w:tab/>
            </w:r>
            <w:r>
              <w:rPr>
                <w:noProof/>
                <w:webHidden/>
              </w:rPr>
              <w:fldChar w:fldCharType="begin"/>
            </w:r>
            <w:r>
              <w:rPr>
                <w:noProof/>
                <w:webHidden/>
              </w:rPr>
              <w:instrText xml:space="preserve"> PAGEREF _Toc72961765 \h </w:instrText>
            </w:r>
            <w:r>
              <w:rPr>
                <w:noProof/>
                <w:webHidden/>
              </w:rPr>
            </w:r>
            <w:r>
              <w:rPr>
                <w:noProof/>
                <w:webHidden/>
              </w:rPr>
              <w:fldChar w:fldCharType="separate"/>
            </w:r>
            <w:r w:rsidR="006D4075">
              <w:rPr>
                <w:noProof/>
                <w:webHidden/>
              </w:rPr>
              <w:t>403</w:t>
            </w:r>
            <w:r>
              <w:rPr>
                <w:noProof/>
                <w:webHidden/>
              </w:rPr>
              <w:fldChar w:fldCharType="end"/>
            </w:r>
          </w:hyperlink>
        </w:p>
        <w:p w14:paraId="6090566B" w14:textId="632EA8BA" w:rsidR="003301DC" w:rsidRDefault="003301DC">
          <w:pPr>
            <w:pStyle w:val="T2"/>
            <w:tabs>
              <w:tab w:val="right" w:leader="dot" w:pos="9062"/>
            </w:tabs>
            <w:rPr>
              <w:rFonts w:eastAsiaTheme="minorEastAsia"/>
              <w:noProof/>
            </w:rPr>
          </w:pPr>
          <w:hyperlink w:anchor="_Toc72961766" w:history="1">
            <w:r>
              <w:rPr>
                <w:rStyle w:val="Kpr"/>
                <w:rFonts w:ascii="Times New Roman" w:hAnsi="Times New Roman" w:cs="Times New Roman"/>
                <w:noProof/>
                <w:lang w:val="tr-TR"/>
              </w:rPr>
              <w:t>Dr.Ozgul Güler BÜLBÜL</w:t>
            </w:r>
            <w:r>
              <w:rPr>
                <w:noProof/>
                <w:webHidden/>
              </w:rPr>
              <w:tab/>
            </w:r>
            <w:r>
              <w:rPr>
                <w:noProof/>
                <w:webHidden/>
              </w:rPr>
              <w:fldChar w:fldCharType="begin"/>
            </w:r>
            <w:r>
              <w:rPr>
                <w:noProof/>
                <w:webHidden/>
              </w:rPr>
              <w:instrText xml:space="preserve"> PAGEREF _Toc72961766 \h </w:instrText>
            </w:r>
            <w:r>
              <w:rPr>
                <w:noProof/>
                <w:webHidden/>
              </w:rPr>
            </w:r>
            <w:r>
              <w:rPr>
                <w:noProof/>
                <w:webHidden/>
              </w:rPr>
              <w:fldChar w:fldCharType="separate"/>
            </w:r>
            <w:r w:rsidR="006D4075">
              <w:rPr>
                <w:noProof/>
                <w:webHidden/>
              </w:rPr>
              <w:t>403</w:t>
            </w:r>
            <w:r>
              <w:rPr>
                <w:noProof/>
                <w:webHidden/>
              </w:rPr>
              <w:fldChar w:fldCharType="end"/>
            </w:r>
          </w:hyperlink>
        </w:p>
        <w:p w14:paraId="0784437A" w14:textId="2FCAF683" w:rsidR="003301DC" w:rsidRDefault="003301DC">
          <w:pPr>
            <w:pStyle w:val="T1"/>
            <w:tabs>
              <w:tab w:val="right" w:leader="dot" w:pos="9062"/>
            </w:tabs>
            <w:rPr>
              <w:rFonts w:eastAsiaTheme="minorEastAsia"/>
              <w:noProof/>
            </w:rPr>
          </w:pPr>
          <w:hyperlink w:anchor="_Toc72961778" w:history="1">
            <w:r w:rsidRPr="001E20D2">
              <w:rPr>
                <w:rStyle w:val="Kpr"/>
                <w:rFonts w:ascii="Times New Roman" w:hAnsi="Times New Roman" w:cs="Times New Roman"/>
                <w:b/>
                <w:noProof/>
              </w:rPr>
              <w:t>COVID-19 PANDEMİSİNİN HEMŞİRELİK EĞİTİMINE ETKİLERI</w:t>
            </w:r>
            <w:r>
              <w:rPr>
                <w:noProof/>
                <w:webHidden/>
              </w:rPr>
              <w:tab/>
            </w:r>
            <w:r>
              <w:rPr>
                <w:noProof/>
                <w:webHidden/>
              </w:rPr>
              <w:fldChar w:fldCharType="begin"/>
            </w:r>
            <w:r>
              <w:rPr>
                <w:noProof/>
                <w:webHidden/>
              </w:rPr>
              <w:instrText xml:space="preserve"> PAGEREF _Toc72961778 \h </w:instrText>
            </w:r>
            <w:r>
              <w:rPr>
                <w:noProof/>
                <w:webHidden/>
              </w:rPr>
            </w:r>
            <w:r>
              <w:rPr>
                <w:noProof/>
                <w:webHidden/>
              </w:rPr>
              <w:fldChar w:fldCharType="separate"/>
            </w:r>
            <w:r w:rsidR="006D4075">
              <w:rPr>
                <w:noProof/>
                <w:webHidden/>
              </w:rPr>
              <w:t>417</w:t>
            </w:r>
            <w:r>
              <w:rPr>
                <w:noProof/>
                <w:webHidden/>
              </w:rPr>
              <w:fldChar w:fldCharType="end"/>
            </w:r>
          </w:hyperlink>
        </w:p>
        <w:p w14:paraId="781D460E" w14:textId="30DA3A7D" w:rsidR="003301DC" w:rsidRDefault="003301DC">
          <w:pPr>
            <w:pStyle w:val="T2"/>
            <w:tabs>
              <w:tab w:val="right" w:leader="dot" w:pos="9062"/>
            </w:tabs>
            <w:rPr>
              <w:rFonts w:eastAsiaTheme="minorEastAsia"/>
              <w:noProof/>
            </w:rPr>
          </w:pPr>
          <w:hyperlink w:anchor="_Toc72961779" w:history="1">
            <w:r w:rsidRPr="001E20D2">
              <w:rPr>
                <w:rStyle w:val="Kpr"/>
                <w:rFonts w:ascii="Times New Roman" w:hAnsi="Times New Roman" w:cs="Times New Roman"/>
                <w:noProof/>
              </w:rPr>
              <w:t>Dr. Öğr.Üyesi Sevcan TOPÇU</w:t>
            </w:r>
            <w:r>
              <w:rPr>
                <w:noProof/>
                <w:webHidden/>
              </w:rPr>
              <w:tab/>
            </w:r>
            <w:r>
              <w:rPr>
                <w:noProof/>
                <w:webHidden/>
              </w:rPr>
              <w:fldChar w:fldCharType="begin"/>
            </w:r>
            <w:r>
              <w:rPr>
                <w:noProof/>
                <w:webHidden/>
              </w:rPr>
              <w:instrText xml:space="preserve"> PAGEREF _Toc72961779 \h </w:instrText>
            </w:r>
            <w:r>
              <w:rPr>
                <w:noProof/>
                <w:webHidden/>
              </w:rPr>
            </w:r>
            <w:r>
              <w:rPr>
                <w:noProof/>
                <w:webHidden/>
              </w:rPr>
              <w:fldChar w:fldCharType="separate"/>
            </w:r>
            <w:r w:rsidR="006D4075">
              <w:rPr>
                <w:noProof/>
                <w:webHidden/>
              </w:rPr>
              <w:t>417</w:t>
            </w:r>
            <w:r>
              <w:rPr>
                <w:noProof/>
                <w:webHidden/>
              </w:rPr>
              <w:fldChar w:fldCharType="end"/>
            </w:r>
          </w:hyperlink>
        </w:p>
        <w:p w14:paraId="161583C5" w14:textId="5F5C2785" w:rsidR="003301DC" w:rsidRDefault="003301DC">
          <w:pPr>
            <w:pStyle w:val="T2"/>
            <w:tabs>
              <w:tab w:val="right" w:leader="dot" w:pos="9062"/>
            </w:tabs>
            <w:rPr>
              <w:rFonts w:eastAsiaTheme="minorEastAsia"/>
              <w:noProof/>
            </w:rPr>
          </w:pPr>
          <w:hyperlink w:anchor="_Toc72961780" w:history="1">
            <w:r w:rsidRPr="001E20D2">
              <w:rPr>
                <w:rStyle w:val="Kpr"/>
                <w:rFonts w:ascii="Times New Roman" w:hAnsi="Times New Roman" w:cs="Times New Roman"/>
                <w:noProof/>
              </w:rPr>
              <w:t>Öğr.Gör. Dr. Zuhal Emlek SERT</w:t>
            </w:r>
            <w:r>
              <w:rPr>
                <w:noProof/>
                <w:webHidden/>
              </w:rPr>
              <w:tab/>
            </w:r>
            <w:r>
              <w:rPr>
                <w:noProof/>
                <w:webHidden/>
              </w:rPr>
              <w:fldChar w:fldCharType="begin"/>
            </w:r>
            <w:r>
              <w:rPr>
                <w:noProof/>
                <w:webHidden/>
              </w:rPr>
              <w:instrText xml:space="preserve"> PAGEREF _Toc72961780 \h </w:instrText>
            </w:r>
            <w:r>
              <w:rPr>
                <w:noProof/>
                <w:webHidden/>
              </w:rPr>
            </w:r>
            <w:r>
              <w:rPr>
                <w:noProof/>
                <w:webHidden/>
              </w:rPr>
              <w:fldChar w:fldCharType="separate"/>
            </w:r>
            <w:r w:rsidR="006D4075">
              <w:rPr>
                <w:noProof/>
                <w:webHidden/>
              </w:rPr>
              <w:t>417</w:t>
            </w:r>
            <w:r>
              <w:rPr>
                <w:noProof/>
                <w:webHidden/>
              </w:rPr>
              <w:fldChar w:fldCharType="end"/>
            </w:r>
          </w:hyperlink>
        </w:p>
        <w:p w14:paraId="34E5F71D" w14:textId="59B37EF2" w:rsidR="003301DC" w:rsidRDefault="003301DC">
          <w:pPr>
            <w:pStyle w:val="T1"/>
            <w:tabs>
              <w:tab w:val="right" w:leader="dot" w:pos="9062"/>
            </w:tabs>
            <w:rPr>
              <w:rFonts w:eastAsiaTheme="minorEastAsia"/>
              <w:noProof/>
            </w:rPr>
          </w:pPr>
          <w:hyperlink w:anchor="_Toc72961782" w:history="1">
            <w:r w:rsidRPr="001E20D2">
              <w:rPr>
                <w:rStyle w:val="Kpr"/>
                <w:rFonts w:ascii="Times New Roman" w:hAnsi="Times New Roman" w:cs="Times New Roman"/>
                <w:b/>
                <w:noProof/>
              </w:rPr>
              <w:t>BECERİ TEMELLİ MATEMATİK SORULARINA İLİŞKİN ORTAOKUL ÖĞRETMENLERİN GÖRÜŞLERİ: NİTEL BİR ÇALIŞMA</w:t>
            </w:r>
            <w:r>
              <w:rPr>
                <w:noProof/>
                <w:webHidden/>
              </w:rPr>
              <w:tab/>
            </w:r>
            <w:r>
              <w:rPr>
                <w:noProof/>
                <w:webHidden/>
              </w:rPr>
              <w:fldChar w:fldCharType="begin"/>
            </w:r>
            <w:r>
              <w:rPr>
                <w:noProof/>
                <w:webHidden/>
              </w:rPr>
              <w:instrText xml:space="preserve"> PAGEREF _Toc72961782 \h </w:instrText>
            </w:r>
            <w:r>
              <w:rPr>
                <w:noProof/>
                <w:webHidden/>
              </w:rPr>
            </w:r>
            <w:r>
              <w:rPr>
                <w:noProof/>
                <w:webHidden/>
              </w:rPr>
              <w:fldChar w:fldCharType="separate"/>
            </w:r>
            <w:r w:rsidR="006D4075">
              <w:rPr>
                <w:noProof/>
                <w:webHidden/>
              </w:rPr>
              <w:t>424</w:t>
            </w:r>
            <w:r>
              <w:rPr>
                <w:noProof/>
                <w:webHidden/>
              </w:rPr>
              <w:fldChar w:fldCharType="end"/>
            </w:r>
          </w:hyperlink>
        </w:p>
        <w:p w14:paraId="7545F683" w14:textId="3BC46375" w:rsidR="003301DC" w:rsidRDefault="003301DC">
          <w:pPr>
            <w:pStyle w:val="T2"/>
            <w:tabs>
              <w:tab w:val="right" w:leader="dot" w:pos="9062"/>
            </w:tabs>
            <w:rPr>
              <w:rFonts w:eastAsiaTheme="minorEastAsia"/>
              <w:noProof/>
            </w:rPr>
          </w:pPr>
          <w:hyperlink w:anchor="_Toc72961783" w:history="1">
            <w:r w:rsidRPr="001E20D2">
              <w:rPr>
                <w:rStyle w:val="Kpr"/>
                <w:rFonts w:ascii="Times New Roman" w:hAnsi="Times New Roman" w:cs="Times New Roman"/>
                <w:noProof/>
              </w:rPr>
              <w:t>Dr. Tuğba KILCAN</w:t>
            </w:r>
            <w:r>
              <w:rPr>
                <w:noProof/>
                <w:webHidden/>
              </w:rPr>
              <w:tab/>
            </w:r>
            <w:r>
              <w:rPr>
                <w:noProof/>
                <w:webHidden/>
              </w:rPr>
              <w:fldChar w:fldCharType="begin"/>
            </w:r>
            <w:r>
              <w:rPr>
                <w:noProof/>
                <w:webHidden/>
              </w:rPr>
              <w:instrText xml:space="preserve"> PAGEREF _Toc72961783 \h </w:instrText>
            </w:r>
            <w:r>
              <w:rPr>
                <w:noProof/>
                <w:webHidden/>
              </w:rPr>
            </w:r>
            <w:r>
              <w:rPr>
                <w:noProof/>
                <w:webHidden/>
              </w:rPr>
              <w:fldChar w:fldCharType="separate"/>
            </w:r>
            <w:r w:rsidR="006D4075">
              <w:rPr>
                <w:noProof/>
                <w:webHidden/>
              </w:rPr>
              <w:t>424</w:t>
            </w:r>
            <w:r>
              <w:rPr>
                <w:noProof/>
                <w:webHidden/>
              </w:rPr>
              <w:fldChar w:fldCharType="end"/>
            </w:r>
          </w:hyperlink>
        </w:p>
        <w:p w14:paraId="180EFDC6" w14:textId="3CA2718A" w:rsidR="003301DC" w:rsidRDefault="003301DC">
          <w:pPr>
            <w:pStyle w:val="T1"/>
            <w:tabs>
              <w:tab w:val="right" w:leader="dot" w:pos="9062"/>
            </w:tabs>
            <w:rPr>
              <w:rFonts w:eastAsiaTheme="minorEastAsia"/>
              <w:noProof/>
            </w:rPr>
          </w:pPr>
          <w:hyperlink w:anchor="_Toc72961784" w:history="1">
            <w:r w:rsidRPr="001E20D2">
              <w:rPr>
                <w:rStyle w:val="Kpr"/>
                <w:rFonts w:ascii="Times New Roman" w:hAnsi="Times New Roman" w:cs="Times New Roman"/>
                <w:b/>
                <w:noProof/>
              </w:rPr>
              <w:t>FOSTERING STUDENTS' CRITICAL THINKING STRATEGIES: A CASE STUDY OF AN ENGLISH TEACHER</w:t>
            </w:r>
            <w:r>
              <w:rPr>
                <w:noProof/>
                <w:webHidden/>
              </w:rPr>
              <w:tab/>
            </w:r>
            <w:r>
              <w:rPr>
                <w:noProof/>
                <w:webHidden/>
              </w:rPr>
              <w:fldChar w:fldCharType="begin"/>
            </w:r>
            <w:r>
              <w:rPr>
                <w:noProof/>
                <w:webHidden/>
              </w:rPr>
              <w:instrText xml:space="preserve"> PAGEREF _Toc72961784 \h </w:instrText>
            </w:r>
            <w:r>
              <w:rPr>
                <w:noProof/>
                <w:webHidden/>
              </w:rPr>
            </w:r>
            <w:r>
              <w:rPr>
                <w:noProof/>
                <w:webHidden/>
              </w:rPr>
              <w:fldChar w:fldCharType="separate"/>
            </w:r>
            <w:r w:rsidR="006D4075">
              <w:rPr>
                <w:noProof/>
                <w:webHidden/>
              </w:rPr>
              <w:t>437</w:t>
            </w:r>
            <w:r>
              <w:rPr>
                <w:noProof/>
                <w:webHidden/>
              </w:rPr>
              <w:fldChar w:fldCharType="end"/>
            </w:r>
          </w:hyperlink>
        </w:p>
        <w:p w14:paraId="122A43EA" w14:textId="4A504FE2" w:rsidR="003301DC" w:rsidRDefault="003301DC">
          <w:pPr>
            <w:pStyle w:val="T2"/>
            <w:tabs>
              <w:tab w:val="right" w:leader="dot" w:pos="9062"/>
            </w:tabs>
            <w:rPr>
              <w:rFonts w:eastAsiaTheme="minorEastAsia"/>
              <w:noProof/>
            </w:rPr>
          </w:pPr>
          <w:hyperlink w:anchor="_Toc72961785" w:history="1">
            <w:r w:rsidRPr="001E20D2">
              <w:rPr>
                <w:rStyle w:val="Kpr"/>
                <w:rFonts w:ascii="Times New Roman" w:hAnsi="Times New Roman" w:cs="Times New Roman"/>
                <w:noProof/>
              </w:rPr>
              <w:t>Prof.Dr.Yasemin KIRKGOZ</w:t>
            </w:r>
            <w:r>
              <w:rPr>
                <w:noProof/>
                <w:webHidden/>
              </w:rPr>
              <w:tab/>
            </w:r>
            <w:r>
              <w:rPr>
                <w:noProof/>
                <w:webHidden/>
              </w:rPr>
              <w:fldChar w:fldCharType="begin"/>
            </w:r>
            <w:r>
              <w:rPr>
                <w:noProof/>
                <w:webHidden/>
              </w:rPr>
              <w:instrText xml:space="preserve"> PAGEREF _Toc72961785 \h </w:instrText>
            </w:r>
            <w:r>
              <w:rPr>
                <w:noProof/>
                <w:webHidden/>
              </w:rPr>
            </w:r>
            <w:r>
              <w:rPr>
                <w:noProof/>
                <w:webHidden/>
              </w:rPr>
              <w:fldChar w:fldCharType="separate"/>
            </w:r>
            <w:r w:rsidR="006D4075">
              <w:rPr>
                <w:noProof/>
                <w:webHidden/>
              </w:rPr>
              <w:t>437</w:t>
            </w:r>
            <w:r>
              <w:rPr>
                <w:noProof/>
                <w:webHidden/>
              </w:rPr>
              <w:fldChar w:fldCharType="end"/>
            </w:r>
          </w:hyperlink>
        </w:p>
        <w:p w14:paraId="7A7C1736" w14:textId="01A58F58" w:rsidR="003301DC" w:rsidRDefault="003301DC">
          <w:pPr>
            <w:pStyle w:val="T1"/>
            <w:tabs>
              <w:tab w:val="right" w:leader="dot" w:pos="9062"/>
            </w:tabs>
            <w:rPr>
              <w:rFonts w:eastAsiaTheme="minorEastAsia"/>
              <w:noProof/>
            </w:rPr>
          </w:pPr>
          <w:hyperlink w:anchor="_Toc72961786" w:history="1">
            <w:r w:rsidRPr="001E20D2">
              <w:rPr>
                <w:rStyle w:val="Kpr"/>
                <w:rFonts w:ascii="Times New Roman" w:hAnsi="Times New Roman" w:cs="Times New Roman"/>
                <w:b/>
                <w:noProof/>
              </w:rPr>
              <w:t>MULTIPLE INTELLIGENCES IN A PRIMARY ENGLISH TEXTBOOK</w:t>
            </w:r>
            <w:r>
              <w:rPr>
                <w:noProof/>
                <w:webHidden/>
              </w:rPr>
              <w:tab/>
            </w:r>
            <w:r>
              <w:rPr>
                <w:noProof/>
                <w:webHidden/>
              </w:rPr>
              <w:fldChar w:fldCharType="begin"/>
            </w:r>
            <w:r>
              <w:rPr>
                <w:noProof/>
                <w:webHidden/>
              </w:rPr>
              <w:instrText xml:space="preserve"> PAGEREF _Toc72961786 \h </w:instrText>
            </w:r>
            <w:r>
              <w:rPr>
                <w:noProof/>
                <w:webHidden/>
              </w:rPr>
            </w:r>
            <w:r>
              <w:rPr>
                <w:noProof/>
                <w:webHidden/>
              </w:rPr>
              <w:fldChar w:fldCharType="separate"/>
            </w:r>
            <w:r w:rsidR="006D4075">
              <w:rPr>
                <w:noProof/>
                <w:webHidden/>
              </w:rPr>
              <w:t>441</w:t>
            </w:r>
            <w:r>
              <w:rPr>
                <w:noProof/>
                <w:webHidden/>
              </w:rPr>
              <w:fldChar w:fldCharType="end"/>
            </w:r>
          </w:hyperlink>
        </w:p>
        <w:p w14:paraId="05935D18" w14:textId="00E1AF70" w:rsidR="003301DC" w:rsidRDefault="003301DC">
          <w:pPr>
            <w:pStyle w:val="T2"/>
            <w:tabs>
              <w:tab w:val="right" w:leader="dot" w:pos="9062"/>
            </w:tabs>
            <w:rPr>
              <w:rFonts w:eastAsiaTheme="minorEastAsia"/>
              <w:noProof/>
            </w:rPr>
          </w:pPr>
          <w:hyperlink w:anchor="_Toc72961787" w:history="1">
            <w:r w:rsidRPr="001E20D2">
              <w:rPr>
                <w:rStyle w:val="Kpr"/>
                <w:rFonts w:ascii="Times New Roman" w:hAnsi="Times New Roman" w:cs="Times New Roman"/>
                <w:noProof/>
              </w:rPr>
              <w:t>Prof.Dr.Yasemin KIRKGOZ</w:t>
            </w:r>
            <w:r>
              <w:rPr>
                <w:noProof/>
                <w:webHidden/>
              </w:rPr>
              <w:tab/>
            </w:r>
            <w:r>
              <w:rPr>
                <w:noProof/>
                <w:webHidden/>
              </w:rPr>
              <w:fldChar w:fldCharType="begin"/>
            </w:r>
            <w:r>
              <w:rPr>
                <w:noProof/>
                <w:webHidden/>
              </w:rPr>
              <w:instrText xml:space="preserve"> PAGEREF _Toc72961787 \h </w:instrText>
            </w:r>
            <w:r>
              <w:rPr>
                <w:noProof/>
                <w:webHidden/>
              </w:rPr>
            </w:r>
            <w:r>
              <w:rPr>
                <w:noProof/>
                <w:webHidden/>
              </w:rPr>
              <w:fldChar w:fldCharType="separate"/>
            </w:r>
            <w:r w:rsidR="006D4075">
              <w:rPr>
                <w:noProof/>
                <w:webHidden/>
              </w:rPr>
              <w:t>441</w:t>
            </w:r>
            <w:r>
              <w:rPr>
                <w:noProof/>
                <w:webHidden/>
              </w:rPr>
              <w:fldChar w:fldCharType="end"/>
            </w:r>
          </w:hyperlink>
        </w:p>
        <w:p w14:paraId="50AC18CA" w14:textId="34E737D2" w:rsidR="003301DC" w:rsidRDefault="003301DC">
          <w:pPr>
            <w:pStyle w:val="T1"/>
            <w:tabs>
              <w:tab w:val="right" w:leader="dot" w:pos="9062"/>
            </w:tabs>
            <w:rPr>
              <w:rFonts w:eastAsiaTheme="minorEastAsia"/>
              <w:noProof/>
            </w:rPr>
          </w:pPr>
          <w:hyperlink w:anchor="_Toc72961790" w:history="1">
            <w:r w:rsidRPr="001E20D2">
              <w:rPr>
                <w:rStyle w:val="Kpr"/>
                <w:rFonts w:ascii="Times New Roman" w:hAnsi="Times New Roman" w:cs="Times New Roman"/>
                <w:b/>
                <w:noProof/>
              </w:rPr>
              <w:t>ZORUNLU UZAKTAN EĞİTİM SÜRECİNDE ÖĞRENCİLERİN ALDIKLARI DESTEK HİZMETLERİ</w:t>
            </w:r>
            <w:r>
              <w:rPr>
                <w:noProof/>
                <w:webHidden/>
              </w:rPr>
              <w:tab/>
            </w:r>
            <w:r>
              <w:rPr>
                <w:noProof/>
                <w:webHidden/>
              </w:rPr>
              <w:fldChar w:fldCharType="begin"/>
            </w:r>
            <w:r>
              <w:rPr>
                <w:noProof/>
                <w:webHidden/>
              </w:rPr>
              <w:instrText xml:space="preserve"> PAGEREF _Toc72961790 \h </w:instrText>
            </w:r>
            <w:r>
              <w:rPr>
                <w:noProof/>
                <w:webHidden/>
              </w:rPr>
            </w:r>
            <w:r>
              <w:rPr>
                <w:noProof/>
                <w:webHidden/>
              </w:rPr>
              <w:fldChar w:fldCharType="separate"/>
            </w:r>
            <w:r w:rsidR="006D4075">
              <w:rPr>
                <w:noProof/>
                <w:webHidden/>
              </w:rPr>
              <w:t>444</w:t>
            </w:r>
            <w:r>
              <w:rPr>
                <w:noProof/>
                <w:webHidden/>
              </w:rPr>
              <w:fldChar w:fldCharType="end"/>
            </w:r>
          </w:hyperlink>
        </w:p>
        <w:p w14:paraId="753FECF3" w14:textId="5396C701" w:rsidR="003301DC" w:rsidRDefault="003301DC">
          <w:pPr>
            <w:pStyle w:val="T2"/>
            <w:tabs>
              <w:tab w:val="right" w:leader="dot" w:pos="9062"/>
            </w:tabs>
            <w:rPr>
              <w:rFonts w:eastAsiaTheme="minorEastAsia"/>
              <w:noProof/>
            </w:rPr>
          </w:pPr>
          <w:hyperlink w:anchor="_Toc72961791" w:history="1">
            <w:r w:rsidRPr="001E20D2">
              <w:rPr>
                <w:rStyle w:val="Kpr"/>
                <w:rFonts w:ascii="Times New Roman" w:hAnsi="Times New Roman" w:cs="Times New Roman"/>
                <w:noProof/>
              </w:rPr>
              <w:t>Dr. Öğr. Üyesi Berna YÜNER</w:t>
            </w:r>
            <w:r>
              <w:rPr>
                <w:noProof/>
                <w:webHidden/>
              </w:rPr>
              <w:tab/>
            </w:r>
            <w:r>
              <w:rPr>
                <w:noProof/>
                <w:webHidden/>
              </w:rPr>
              <w:fldChar w:fldCharType="begin"/>
            </w:r>
            <w:r>
              <w:rPr>
                <w:noProof/>
                <w:webHidden/>
              </w:rPr>
              <w:instrText xml:space="preserve"> PAGEREF _Toc72961791 \h </w:instrText>
            </w:r>
            <w:r>
              <w:rPr>
                <w:noProof/>
                <w:webHidden/>
              </w:rPr>
            </w:r>
            <w:r>
              <w:rPr>
                <w:noProof/>
                <w:webHidden/>
              </w:rPr>
              <w:fldChar w:fldCharType="separate"/>
            </w:r>
            <w:r w:rsidR="006D4075">
              <w:rPr>
                <w:noProof/>
                <w:webHidden/>
              </w:rPr>
              <w:t>444</w:t>
            </w:r>
            <w:r>
              <w:rPr>
                <w:noProof/>
                <w:webHidden/>
              </w:rPr>
              <w:fldChar w:fldCharType="end"/>
            </w:r>
          </w:hyperlink>
        </w:p>
        <w:p w14:paraId="307211E0" w14:textId="4B737506" w:rsidR="003301DC" w:rsidRDefault="003301DC">
          <w:pPr>
            <w:pStyle w:val="T1"/>
            <w:tabs>
              <w:tab w:val="right" w:leader="dot" w:pos="9062"/>
            </w:tabs>
            <w:rPr>
              <w:rFonts w:eastAsiaTheme="minorEastAsia"/>
              <w:noProof/>
            </w:rPr>
          </w:pPr>
          <w:hyperlink w:anchor="_Toc72961792" w:history="1">
            <w:r w:rsidRPr="001E20D2">
              <w:rPr>
                <w:rStyle w:val="Kpr"/>
                <w:rFonts w:ascii="Times New Roman" w:hAnsi="Times New Roman" w:cs="Times New Roman"/>
                <w:b/>
                <w:noProof/>
              </w:rPr>
              <w:t>UZEM ÇALIŞANLARININ ACİL UZAKTAN EĞİTİM SÜRECİNDE YAŞADIĞI SORUNLAR</w:t>
            </w:r>
            <w:r>
              <w:rPr>
                <w:noProof/>
                <w:webHidden/>
              </w:rPr>
              <w:tab/>
            </w:r>
            <w:r>
              <w:rPr>
                <w:noProof/>
                <w:webHidden/>
              </w:rPr>
              <w:fldChar w:fldCharType="begin"/>
            </w:r>
            <w:r>
              <w:rPr>
                <w:noProof/>
                <w:webHidden/>
              </w:rPr>
              <w:instrText xml:space="preserve"> PAGEREF _Toc72961792 \h </w:instrText>
            </w:r>
            <w:r>
              <w:rPr>
                <w:noProof/>
                <w:webHidden/>
              </w:rPr>
            </w:r>
            <w:r>
              <w:rPr>
                <w:noProof/>
                <w:webHidden/>
              </w:rPr>
              <w:fldChar w:fldCharType="separate"/>
            </w:r>
            <w:r w:rsidR="006D4075">
              <w:rPr>
                <w:noProof/>
                <w:webHidden/>
              </w:rPr>
              <w:t>452</w:t>
            </w:r>
            <w:r>
              <w:rPr>
                <w:noProof/>
                <w:webHidden/>
              </w:rPr>
              <w:fldChar w:fldCharType="end"/>
            </w:r>
          </w:hyperlink>
        </w:p>
        <w:p w14:paraId="232491EC" w14:textId="3F71B00A" w:rsidR="003301DC" w:rsidRDefault="003301DC">
          <w:pPr>
            <w:pStyle w:val="T2"/>
            <w:tabs>
              <w:tab w:val="right" w:leader="dot" w:pos="9062"/>
            </w:tabs>
            <w:rPr>
              <w:rFonts w:eastAsiaTheme="minorEastAsia"/>
              <w:noProof/>
            </w:rPr>
          </w:pPr>
          <w:hyperlink w:anchor="_Toc72961793" w:history="1">
            <w:r w:rsidRPr="001E20D2">
              <w:rPr>
                <w:rStyle w:val="Kpr"/>
                <w:rFonts w:ascii="Times New Roman" w:hAnsi="Times New Roman" w:cs="Times New Roman"/>
                <w:noProof/>
              </w:rPr>
              <w:t>Öğr.Gör.Erhan ÖZMEN</w:t>
            </w:r>
            <w:r>
              <w:rPr>
                <w:noProof/>
                <w:webHidden/>
              </w:rPr>
              <w:tab/>
            </w:r>
            <w:r>
              <w:rPr>
                <w:noProof/>
                <w:webHidden/>
              </w:rPr>
              <w:fldChar w:fldCharType="begin"/>
            </w:r>
            <w:r>
              <w:rPr>
                <w:noProof/>
                <w:webHidden/>
              </w:rPr>
              <w:instrText xml:space="preserve"> PAGEREF _Toc72961793 \h </w:instrText>
            </w:r>
            <w:r>
              <w:rPr>
                <w:noProof/>
                <w:webHidden/>
              </w:rPr>
            </w:r>
            <w:r>
              <w:rPr>
                <w:noProof/>
                <w:webHidden/>
              </w:rPr>
              <w:fldChar w:fldCharType="separate"/>
            </w:r>
            <w:r w:rsidR="006D4075">
              <w:rPr>
                <w:noProof/>
                <w:webHidden/>
              </w:rPr>
              <w:t>452</w:t>
            </w:r>
            <w:r>
              <w:rPr>
                <w:noProof/>
                <w:webHidden/>
              </w:rPr>
              <w:fldChar w:fldCharType="end"/>
            </w:r>
          </w:hyperlink>
        </w:p>
        <w:p w14:paraId="4CFED284" w14:textId="2156A644" w:rsidR="003301DC" w:rsidRDefault="003301DC">
          <w:pPr>
            <w:pStyle w:val="T2"/>
            <w:tabs>
              <w:tab w:val="right" w:leader="dot" w:pos="9062"/>
            </w:tabs>
            <w:rPr>
              <w:rFonts w:eastAsiaTheme="minorEastAsia"/>
              <w:noProof/>
            </w:rPr>
          </w:pPr>
          <w:hyperlink w:anchor="_Toc72961794" w:history="1">
            <w:r w:rsidRPr="001E20D2">
              <w:rPr>
                <w:rStyle w:val="Kpr"/>
                <w:rFonts w:ascii="Times New Roman" w:hAnsi="Times New Roman" w:cs="Times New Roman"/>
                <w:noProof/>
              </w:rPr>
              <w:t>Dr. Öğr.Üyesi Ayşe Ülkü KAN</w:t>
            </w:r>
            <w:r>
              <w:rPr>
                <w:noProof/>
                <w:webHidden/>
              </w:rPr>
              <w:tab/>
            </w:r>
            <w:r>
              <w:rPr>
                <w:noProof/>
                <w:webHidden/>
              </w:rPr>
              <w:fldChar w:fldCharType="begin"/>
            </w:r>
            <w:r>
              <w:rPr>
                <w:noProof/>
                <w:webHidden/>
              </w:rPr>
              <w:instrText xml:space="preserve"> PAGEREF _Toc72961794 \h </w:instrText>
            </w:r>
            <w:r>
              <w:rPr>
                <w:noProof/>
                <w:webHidden/>
              </w:rPr>
            </w:r>
            <w:r>
              <w:rPr>
                <w:noProof/>
                <w:webHidden/>
              </w:rPr>
              <w:fldChar w:fldCharType="separate"/>
            </w:r>
            <w:r w:rsidR="006D4075">
              <w:rPr>
                <w:noProof/>
                <w:webHidden/>
              </w:rPr>
              <w:t>452</w:t>
            </w:r>
            <w:r>
              <w:rPr>
                <w:noProof/>
                <w:webHidden/>
              </w:rPr>
              <w:fldChar w:fldCharType="end"/>
            </w:r>
          </w:hyperlink>
        </w:p>
        <w:p w14:paraId="66DEEC3D" w14:textId="5C0BAFC1" w:rsidR="003301DC" w:rsidRDefault="003301DC">
          <w:pPr>
            <w:pStyle w:val="T1"/>
            <w:tabs>
              <w:tab w:val="right" w:leader="dot" w:pos="9062"/>
            </w:tabs>
            <w:rPr>
              <w:rFonts w:eastAsiaTheme="minorEastAsia"/>
              <w:noProof/>
            </w:rPr>
          </w:pPr>
          <w:hyperlink w:anchor="_Toc72961795" w:history="1">
            <w:r w:rsidRPr="001E20D2">
              <w:rPr>
                <w:rStyle w:val="Kpr"/>
                <w:rFonts w:ascii="Times New Roman" w:hAnsi="Times New Roman" w:cs="Times New Roman"/>
                <w:b/>
                <w:noProof/>
              </w:rPr>
              <w:t>COVID-19 PANDEMİ SÜRECİNDE OKUL YÖNETİCİLERİNİN KAYGILARINA YÖNELİK FENOMOLOJİK BİR İNCELEME</w:t>
            </w:r>
            <w:r>
              <w:rPr>
                <w:noProof/>
                <w:webHidden/>
              </w:rPr>
              <w:tab/>
            </w:r>
            <w:r>
              <w:rPr>
                <w:noProof/>
                <w:webHidden/>
              </w:rPr>
              <w:fldChar w:fldCharType="begin"/>
            </w:r>
            <w:r>
              <w:rPr>
                <w:noProof/>
                <w:webHidden/>
              </w:rPr>
              <w:instrText xml:space="preserve"> PAGEREF _Toc72961795 \h </w:instrText>
            </w:r>
            <w:r>
              <w:rPr>
                <w:noProof/>
                <w:webHidden/>
              </w:rPr>
            </w:r>
            <w:r>
              <w:rPr>
                <w:noProof/>
                <w:webHidden/>
              </w:rPr>
              <w:fldChar w:fldCharType="separate"/>
            </w:r>
            <w:r w:rsidR="006D4075">
              <w:rPr>
                <w:noProof/>
                <w:webHidden/>
              </w:rPr>
              <w:t>465</w:t>
            </w:r>
            <w:r>
              <w:rPr>
                <w:noProof/>
                <w:webHidden/>
              </w:rPr>
              <w:fldChar w:fldCharType="end"/>
            </w:r>
          </w:hyperlink>
        </w:p>
        <w:p w14:paraId="1119DBA5" w14:textId="266AF2BE" w:rsidR="003301DC" w:rsidRDefault="003301DC">
          <w:pPr>
            <w:pStyle w:val="T2"/>
            <w:tabs>
              <w:tab w:val="right" w:leader="dot" w:pos="9062"/>
            </w:tabs>
            <w:rPr>
              <w:rFonts w:eastAsiaTheme="minorEastAsia"/>
              <w:noProof/>
            </w:rPr>
          </w:pPr>
          <w:hyperlink w:anchor="_Toc72961796" w:history="1">
            <w:r w:rsidRPr="001E20D2">
              <w:rPr>
                <w:rStyle w:val="Kpr"/>
                <w:rFonts w:ascii="Times New Roman" w:hAnsi="Times New Roman" w:cs="Times New Roman"/>
                <w:noProof/>
              </w:rPr>
              <w:t>Öğr.Gör. Behiye  DAĞDEVIREN ERTAŞ</w:t>
            </w:r>
            <w:r>
              <w:rPr>
                <w:noProof/>
                <w:webHidden/>
              </w:rPr>
              <w:tab/>
            </w:r>
            <w:r>
              <w:rPr>
                <w:noProof/>
                <w:webHidden/>
              </w:rPr>
              <w:fldChar w:fldCharType="begin"/>
            </w:r>
            <w:r>
              <w:rPr>
                <w:noProof/>
                <w:webHidden/>
              </w:rPr>
              <w:instrText xml:space="preserve"> PAGEREF _Toc72961796 \h </w:instrText>
            </w:r>
            <w:r>
              <w:rPr>
                <w:noProof/>
                <w:webHidden/>
              </w:rPr>
            </w:r>
            <w:r>
              <w:rPr>
                <w:noProof/>
                <w:webHidden/>
              </w:rPr>
              <w:fldChar w:fldCharType="separate"/>
            </w:r>
            <w:r w:rsidR="006D4075">
              <w:rPr>
                <w:noProof/>
                <w:webHidden/>
              </w:rPr>
              <w:t>465</w:t>
            </w:r>
            <w:r>
              <w:rPr>
                <w:noProof/>
                <w:webHidden/>
              </w:rPr>
              <w:fldChar w:fldCharType="end"/>
            </w:r>
          </w:hyperlink>
        </w:p>
        <w:p w14:paraId="280C099B" w14:textId="42EB766A" w:rsidR="003301DC" w:rsidRDefault="003301DC">
          <w:pPr>
            <w:pStyle w:val="T2"/>
            <w:tabs>
              <w:tab w:val="right" w:leader="dot" w:pos="9062"/>
            </w:tabs>
            <w:rPr>
              <w:rFonts w:eastAsiaTheme="minorEastAsia"/>
              <w:noProof/>
            </w:rPr>
          </w:pPr>
          <w:hyperlink w:anchor="_Toc72961797" w:history="1">
            <w:r w:rsidRPr="001E20D2">
              <w:rPr>
                <w:rStyle w:val="Kpr"/>
                <w:rFonts w:ascii="Times New Roman" w:hAnsi="Times New Roman" w:cs="Times New Roman"/>
                <w:noProof/>
              </w:rPr>
              <w:t>Öğr.Gör. Evrim ÇEVİK</w:t>
            </w:r>
            <w:r>
              <w:rPr>
                <w:noProof/>
                <w:webHidden/>
              </w:rPr>
              <w:tab/>
            </w:r>
            <w:r>
              <w:rPr>
                <w:noProof/>
                <w:webHidden/>
              </w:rPr>
              <w:fldChar w:fldCharType="begin"/>
            </w:r>
            <w:r>
              <w:rPr>
                <w:noProof/>
                <w:webHidden/>
              </w:rPr>
              <w:instrText xml:space="preserve"> PAGEREF _Toc72961797 \h </w:instrText>
            </w:r>
            <w:r>
              <w:rPr>
                <w:noProof/>
                <w:webHidden/>
              </w:rPr>
            </w:r>
            <w:r>
              <w:rPr>
                <w:noProof/>
                <w:webHidden/>
              </w:rPr>
              <w:fldChar w:fldCharType="separate"/>
            </w:r>
            <w:r w:rsidR="006D4075">
              <w:rPr>
                <w:noProof/>
                <w:webHidden/>
              </w:rPr>
              <w:t>465</w:t>
            </w:r>
            <w:r>
              <w:rPr>
                <w:noProof/>
                <w:webHidden/>
              </w:rPr>
              <w:fldChar w:fldCharType="end"/>
            </w:r>
          </w:hyperlink>
        </w:p>
        <w:p w14:paraId="70D94FC7" w14:textId="20D53802" w:rsidR="003301DC" w:rsidRDefault="003301DC">
          <w:pPr>
            <w:pStyle w:val="T1"/>
            <w:tabs>
              <w:tab w:val="right" w:leader="dot" w:pos="9062"/>
            </w:tabs>
            <w:rPr>
              <w:rFonts w:eastAsiaTheme="minorEastAsia"/>
              <w:noProof/>
            </w:rPr>
          </w:pPr>
          <w:hyperlink w:anchor="_Toc72961798" w:history="1">
            <w:r w:rsidRPr="001E20D2">
              <w:rPr>
                <w:rStyle w:val="Kpr"/>
                <w:rFonts w:ascii="Times New Roman" w:hAnsi="Times New Roman" w:cs="Times New Roman"/>
                <w:b/>
                <w:noProof/>
              </w:rPr>
              <w:t>COVID-19 PANDEMİSİ DÖNEMİNDE UZAKTAN EĞİTİM SÜREÇLERİNDE İLKOKUL ÖĞRENCİLERİNİN DERSLERE KATILIMINI VE MOTIVASYONUNU ETKİLEYEN FAKTÖRLER</w:t>
            </w:r>
            <w:r>
              <w:rPr>
                <w:noProof/>
                <w:webHidden/>
              </w:rPr>
              <w:tab/>
            </w:r>
            <w:r>
              <w:rPr>
                <w:noProof/>
                <w:webHidden/>
              </w:rPr>
              <w:fldChar w:fldCharType="begin"/>
            </w:r>
            <w:r>
              <w:rPr>
                <w:noProof/>
                <w:webHidden/>
              </w:rPr>
              <w:instrText xml:space="preserve"> PAGEREF _Toc72961798 \h </w:instrText>
            </w:r>
            <w:r>
              <w:rPr>
                <w:noProof/>
                <w:webHidden/>
              </w:rPr>
            </w:r>
            <w:r>
              <w:rPr>
                <w:noProof/>
                <w:webHidden/>
              </w:rPr>
              <w:fldChar w:fldCharType="separate"/>
            </w:r>
            <w:r w:rsidR="006D4075">
              <w:rPr>
                <w:noProof/>
                <w:webHidden/>
              </w:rPr>
              <w:t>475</w:t>
            </w:r>
            <w:r>
              <w:rPr>
                <w:noProof/>
                <w:webHidden/>
              </w:rPr>
              <w:fldChar w:fldCharType="end"/>
            </w:r>
          </w:hyperlink>
        </w:p>
        <w:p w14:paraId="5BD688A4" w14:textId="5BCA184C" w:rsidR="003301DC" w:rsidRDefault="003301DC">
          <w:pPr>
            <w:pStyle w:val="T2"/>
            <w:tabs>
              <w:tab w:val="right" w:leader="dot" w:pos="9062"/>
            </w:tabs>
            <w:rPr>
              <w:rFonts w:eastAsiaTheme="minorEastAsia"/>
              <w:noProof/>
            </w:rPr>
          </w:pPr>
          <w:hyperlink w:anchor="_Toc72961799" w:history="1">
            <w:r w:rsidRPr="001E20D2">
              <w:rPr>
                <w:rStyle w:val="Kpr"/>
                <w:rFonts w:ascii="Times New Roman" w:hAnsi="Times New Roman" w:cs="Times New Roman"/>
                <w:noProof/>
              </w:rPr>
              <w:t>Prof.Dr. Soner Mehmet ÖZDEMİR</w:t>
            </w:r>
            <w:r>
              <w:rPr>
                <w:noProof/>
                <w:webHidden/>
              </w:rPr>
              <w:tab/>
            </w:r>
            <w:r>
              <w:rPr>
                <w:noProof/>
                <w:webHidden/>
              </w:rPr>
              <w:fldChar w:fldCharType="begin"/>
            </w:r>
            <w:r>
              <w:rPr>
                <w:noProof/>
                <w:webHidden/>
              </w:rPr>
              <w:instrText xml:space="preserve"> PAGEREF _Toc72961799 \h </w:instrText>
            </w:r>
            <w:r>
              <w:rPr>
                <w:noProof/>
                <w:webHidden/>
              </w:rPr>
            </w:r>
            <w:r>
              <w:rPr>
                <w:noProof/>
                <w:webHidden/>
              </w:rPr>
              <w:fldChar w:fldCharType="separate"/>
            </w:r>
            <w:r w:rsidR="006D4075">
              <w:rPr>
                <w:noProof/>
                <w:webHidden/>
              </w:rPr>
              <w:t>475</w:t>
            </w:r>
            <w:r>
              <w:rPr>
                <w:noProof/>
                <w:webHidden/>
              </w:rPr>
              <w:fldChar w:fldCharType="end"/>
            </w:r>
          </w:hyperlink>
        </w:p>
        <w:p w14:paraId="5044E573" w14:textId="38F7931B" w:rsidR="003301DC" w:rsidRDefault="003301DC">
          <w:pPr>
            <w:pStyle w:val="T2"/>
            <w:tabs>
              <w:tab w:val="right" w:leader="dot" w:pos="9062"/>
            </w:tabs>
            <w:rPr>
              <w:rFonts w:eastAsiaTheme="minorEastAsia"/>
              <w:noProof/>
            </w:rPr>
          </w:pPr>
          <w:hyperlink w:anchor="_Toc72961800" w:history="1">
            <w:r w:rsidRPr="001E20D2">
              <w:rPr>
                <w:rStyle w:val="Kpr"/>
                <w:rFonts w:ascii="Times New Roman" w:hAnsi="Times New Roman" w:cs="Times New Roman"/>
                <w:noProof/>
              </w:rPr>
              <w:t>Yasemin ÇAKICI</w:t>
            </w:r>
            <w:r>
              <w:rPr>
                <w:noProof/>
                <w:webHidden/>
              </w:rPr>
              <w:tab/>
            </w:r>
            <w:r>
              <w:rPr>
                <w:noProof/>
                <w:webHidden/>
              </w:rPr>
              <w:fldChar w:fldCharType="begin"/>
            </w:r>
            <w:r>
              <w:rPr>
                <w:noProof/>
                <w:webHidden/>
              </w:rPr>
              <w:instrText xml:space="preserve"> PAGEREF _Toc72961800 \h </w:instrText>
            </w:r>
            <w:r>
              <w:rPr>
                <w:noProof/>
                <w:webHidden/>
              </w:rPr>
            </w:r>
            <w:r>
              <w:rPr>
                <w:noProof/>
                <w:webHidden/>
              </w:rPr>
              <w:fldChar w:fldCharType="separate"/>
            </w:r>
            <w:r w:rsidR="006D4075">
              <w:rPr>
                <w:noProof/>
                <w:webHidden/>
              </w:rPr>
              <w:t>475</w:t>
            </w:r>
            <w:r>
              <w:rPr>
                <w:noProof/>
                <w:webHidden/>
              </w:rPr>
              <w:fldChar w:fldCharType="end"/>
            </w:r>
          </w:hyperlink>
        </w:p>
        <w:p w14:paraId="7E235FDD" w14:textId="2061574A" w:rsidR="003301DC" w:rsidRDefault="003301DC">
          <w:pPr>
            <w:pStyle w:val="T1"/>
            <w:tabs>
              <w:tab w:val="right" w:leader="dot" w:pos="9062"/>
            </w:tabs>
            <w:rPr>
              <w:rFonts w:eastAsiaTheme="minorEastAsia"/>
              <w:noProof/>
            </w:rPr>
          </w:pPr>
          <w:hyperlink w:anchor="_Toc72961801" w:history="1">
            <w:r w:rsidRPr="001E20D2">
              <w:rPr>
                <w:rStyle w:val="Kpr"/>
                <w:rFonts w:ascii="Times New Roman" w:eastAsia="Arial" w:hAnsi="Times New Roman" w:cs="Times New Roman"/>
                <w:b/>
                <w:noProof/>
              </w:rPr>
              <w:t>CHANGES IN THE DAILY LIFE OF UNDERGRADUATE STUDENTS OF THE DEPARTMENT OF FINANCE AND BANKING IN THE COVID 19 ISOLATION PROCESS AND THEIR OPINIONS ON ONLINE EDUCATION IN THIS PROCESS</w:t>
            </w:r>
            <w:r>
              <w:rPr>
                <w:noProof/>
                <w:webHidden/>
              </w:rPr>
              <w:tab/>
            </w:r>
            <w:r>
              <w:rPr>
                <w:noProof/>
                <w:webHidden/>
              </w:rPr>
              <w:fldChar w:fldCharType="begin"/>
            </w:r>
            <w:r>
              <w:rPr>
                <w:noProof/>
                <w:webHidden/>
              </w:rPr>
              <w:instrText xml:space="preserve"> PAGEREF _Toc72961801 \h </w:instrText>
            </w:r>
            <w:r>
              <w:rPr>
                <w:noProof/>
                <w:webHidden/>
              </w:rPr>
            </w:r>
            <w:r>
              <w:rPr>
                <w:noProof/>
                <w:webHidden/>
              </w:rPr>
              <w:fldChar w:fldCharType="separate"/>
            </w:r>
            <w:r w:rsidR="006D4075">
              <w:rPr>
                <w:noProof/>
                <w:webHidden/>
              </w:rPr>
              <w:t>485</w:t>
            </w:r>
            <w:r>
              <w:rPr>
                <w:noProof/>
                <w:webHidden/>
              </w:rPr>
              <w:fldChar w:fldCharType="end"/>
            </w:r>
          </w:hyperlink>
        </w:p>
        <w:p w14:paraId="2E21A17D" w14:textId="318ADC3F" w:rsidR="003301DC" w:rsidRDefault="003301DC">
          <w:pPr>
            <w:pStyle w:val="T2"/>
            <w:tabs>
              <w:tab w:val="right" w:leader="dot" w:pos="9062"/>
            </w:tabs>
            <w:rPr>
              <w:rFonts w:eastAsiaTheme="minorEastAsia"/>
              <w:noProof/>
            </w:rPr>
          </w:pPr>
          <w:hyperlink w:anchor="_Toc72961802" w:history="1">
            <w:r w:rsidRPr="001E20D2">
              <w:rPr>
                <w:rStyle w:val="Kpr"/>
                <w:rFonts w:ascii="Times New Roman" w:hAnsi="Times New Roman" w:cs="Times New Roman"/>
                <w:noProof/>
              </w:rPr>
              <w:t>Assist. Prof. Dr., Zumrut Hatun DEMIREL</w:t>
            </w:r>
            <w:r>
              <w:rPr>
                <w:noProof/>
                <w:webHidden/>
              </w:rPr>
              <w:tab/>
            </w:r>
            <w:r>
              <w:rPr>
                <w:noProof/>
                <w:webHidden/>
              </w:rPr>
              <w:fldChar w:fldCharType="begin"/>
            </w:r>
            <w:r>
              <w:rPr>
                <w:noProof/>
                <w:webHidden/>
              </w:rPr>
              <w:instrText xml:space="preserve"> PAGEREF _Toc72961802 \h </w:instrText>
            </w:r>
            <w:r>
              <w:rPr>
                <w:noProof/>
                <w:webHidden/>
              </w:rPr>
            </w:r>
            <w:r>
              <w:rPr>
                <w:noProof/>
                <w:webHidden/>
              </w:rPr>
              <w:fldChar w:fldCharType="separate"/>
            </w:r>
            <w:r w:rsidR="006D4075">
              <w:rPr>
                <w:noProof/>
                <w:webHidden/>
              </w:rPr>
              <w:t>485</w:t>
            </w:r>
            <w:r>
              <w:rPr>
                <w:noProof/>
                <w:webHidden/>
              </w:rPr>
              <w:fldChar w:fldCharType="end"/>
            </w:r>
          </w:hyperlink>
        </w:p>
        <w:p w14:paraId="6D67AC96" w14:textId="11A24D18" w:rsidR="006923DF" w:rsidRPr="00164238" w:rsidRDefault="006923DF" w:rsidP="006923DF">
          <w:pPr>
            <w:spacing w:after="0" w:line="240" w:lineRule="auto"/>
            <w:rPr>
              <w:rFonts w:ascii="Times New Roman" w:hAnsi="Times New Roman" w:cs="Times New Roman"/>
              <w:b/>
              <w:bCs/>
              <w:noProof/>
              <w:color w:val="000000" w:themeColor="text1"/>
            </w:rPr>
          </w:pPr>
          <w:r w:rsidRPr="00006C90">
            <w:rPr>
              <w:rFonts w:ascii="Times New Roman" w:hAnsi="Times New Roman" w:cs="Times New Roman"/>
              <w:b/>
              <w:bCs/>
              <w:noProof/>
              <w:color w:val="000000" w:themeColor="text1"/>
            </w:rPr>
            <w:fldChar w:fldCharType="end"/>
          </w:r>
        </w:p>
      </w:sdtContent>
    </w:sdt>
    <w:p w14:paraId="6DF0DFD5" w14:textId="77777777" w:rsidR="00357DB1" w:rsidRPr="00164238" w:rsidRDefault="00357DB1" w:rsidP="004F7613">
      <w:pPr>
        <w:spacing w:before="120" w:after="120" w:line="360" w:lineRule="auto"/>
        <w:ind w:firstLine="709"/>
        <w:jc w:val="center"/>
        <w:rPr>
          <w:rFonts w:ascii="Times New Roman" w:hAnsi="Times New Roman" w:cs="Times New Roman"/>
          <w:b/>
          <w:color w:val="000000" w:themeColor="text1"/>
          <w:sz w:val="24"/>
          <w:szCs w:val="24"/>
          <w:shd w:val="clear" w:color="auto" w:fill="FFFFFF"/>
        </w:rPr>
      </w:pPr>
    </w:p>
    <w:p w14:paraId="31E79ED4" w14:textId="395EA62F" w:rsidR="00357DB1" w:rsidRDefault="00357DB1" w:rsidP="004F7613">
      <w:pPr>
        <w:spacing w:before="120" w:after="120" w:line="360" w:lineRule="auto"/>
        <w:ind w:firstLine="709"/>
        <w:jc w:val="center"/>
        <w:rPr>
          <w:rFonts w:ascii="Times New Roman" w:hAnsi="Times New Roman" w:cs="Times New Roman"/>
          <w:b/>
          <w:color w:val="000000" w:themeColor="text1"/>
          <w:sz w:val="24"/>
          <w:szCs w:val="24"/>
          <w:shd w:val="clear" w:color="auto" w:fill="FFFFFF"/>
        </w:rPr>
      </w:pPr>
    </w:p>
    <w:p w14:paraId="7F1A37A1" w14:textId="44CCE1C7" w:rsidR="000973A3" w:rsidRDefault="000973A3" w:rsidP="004F7613">
      <w:pPr>
        <w:spacing w:before="120" w:after="120" w:line="360" w:lineRule="auto"/>
        <w:ind w:firstLine="709"/>
        <w:jc w:val="center"/>
        <w:rPr>
          <w:rFonts w:ascii="Times New Roman" w:hAnsi="Times New Roman" w:cs="Times New Roman"/>
          <w:b/>
          <w:color w:val="000000" w:themeColor="text1"/>
          <w:sz w:val="24"/>
          <w:szCs w:val="24"/>
          <w:shd w:val="clear" w:color="auto" w:fill="FFFFFF"/>
        </w:rPr>
      </w:pPr>
    </w:p>
    <w:p w14:paraId="02FE7A12" w14:textId="52991D45" w:rsidR="003B6DB3" w:rsidRDefault="003B6DB3" w:rsidP="004F7613">
      <w:pPr>
        <w:spacing w:before="120" w:after="120" w:line="360" w:lineRule="auto"/>
        <w:ind w:firstLine="709"/>
        <w:jc w:val="center"/>
        <w:rPr>
          <w:rFonts w:ascii="Times New Roman" w:hAnsi="Times New Roman" w:cs="Times New Roman"/>
          <w:b/>
          <w:color w:val="000000" w:themeColor="text1"/>
          <w:sz w:val="24"/>
          <w:szCs w:val="24"/>
          <w:shd w:val="clear" w:color="auto" w:fill="FFFFFF"/>
        </w:rPr>
      </w:pPr>
    </w:p>
    <w:p w14:paraId="5704B303" w14:textId="23FB6F81" w:rsidR="003B6DB3" w:rsidRDefault="003B6DB3" w:rsidP="004F7613">
      <w:pPr>
        <w:spacing w:before="120" w:after="120" w:line="360" w:lineRule="auto"/>
        <w:ind w:firstLine="709"/>
        <w:jc w:val="center"/>
        <w:rPr>
          <w:rFonts w:ascii="Times New Roman" w:hAnsi="Times New Roman" w:cs="Times New Roman"/>
          <w:b/>
          <w:color w:val="000000" w:themeColor="text1"/>
          <w:sz w:val="24"/>
          <w:szCs w:val="24"/>
          <w:shd w:val="clear" w:color="auto" w:fill="FFFFFF"/>
        </w:rPr>
      </w:pPr>
    </w:p>
    <w:p w14:paraId="7FF17E2D" w14:textId="0A93417D" w:rsidR="003B6DB3" w:rsidRDefault="003B6DB3" w:rsidP="004F7613">
      <w:pPr>
        <w:spacing w:before="120" w:after="120" w:line="360" w:lineRule="auto"/>
        <w:ind w:firstLine="709"/>
        <w:jc w:val="center"/>
        <w:rPr>
          <w:rFonts w:ascii="Times New Roman" w:hAnsi="Times New Roman" w:cs="Times New Roman"/>
          <w:b/>
          <w:color w:val="000000" w:themeColor="text1"/>
          <w:sz w:val="24"/>
          <w:szCs w:val="24"/>
          <w:shd w:val="clear" w:color="auto" w:fill="FFFFFF"/>
        </w:rPr>
      </w:pPr>
    </w:p>
    <w:p w14:paraId="4E4407B0" w14:textId="2677975B" w:rsidR="003B6DB3" w:rsidRDefault="003B6DB3" w:rsidP="004F7613">
      <w:pPr>
        <w:spacing w:before="120" w:after="120" w:line="360" w:lineRule="auto"/>
        <w:ind w:firstLine="709"/>
        <w:jc w:val="center"/>
        <w:rPr>
          <w:rFonts w:ascii="Times New Roman" w:hAnsi="Times New Roman" w:cs="Times New Roman"/>
          <w:b/>
          <w:color w:val="000000" w:themeColor="text1"/>
          <w:sz w:val="24"/>
          <w:szCs w:val="24"/>
          <w:shd w:val="clear" w:color="auto" w:fill="FFFFFF"/>
        </w:rPr>
      </w:pPr>
    </w:p>
    <w:p w14:paraId="54F63BF3" w14:textId="3D34F02D" w:rsidR="003B6DB3" w:rsidRDefault="003B6DB3" w:rsidP="004F7613">
      <w:pPr>
        <w:spacing w:before="120" w:after="120" w:line="360" w:lineRule="auto"/>
        <w:ind w:firstLine="709"/>
        <w:jc w:val="center"/>
        <w:rPr>
          <w:rFonts w:ascii="Times New Roman" w:hAnsi="Times New Roman" w:cs="Times New Roman"/>
          <w:b/>
          <w:color w:val="000000" w:themeColor="text1"/>
          <w:sz w:val="24"/>
          <w:szCs w:val="24"/>
          <w:shd w:val="clear" w:color="auto" w:fill="FFFFFF"/>
        </w:rPr>
      </w:pPr>
    </w:p>
    <w:p w14:paraId="32EED394" w14:textId="13C642CB" w:rsidR="003B6DB3" w:rsidRDefault="003B6DB3" w:rsidP="004F7613">
      <w:pPr>
        <w:spacing w:before="120" w:after="120" w:line="360" w:lineRule="auto"/>
        <w:ind w:firstLine="709"/>
        <w:jc w:val="center"/>
        <w:rPr>
          <w:rFonts w:ascii="Times New Roman" w:hAnsi="Times New Roman" w:cs="Times New Roman"/>
          <w:b/>
          <w:color w:val="000000" w:themeColor="text1"/>
          <w:sz w:val="24"/>
          <w:szCs w:val="24"/>
          <w:shd w:val="clear" w:color="auto" w:fill="FFFFFF"/>
        </w:rPr>
      </w:pPr>
    </w:p>
    <w:p w14:paraId="37FD3120" w14:textId="02DA6ABF" w:rsidR="003B6DB3" w:rsidRDefault="003B6DB3" w:rsidP="004F7613">
      <w:pPr>
        <w:spacing w:before="120" w:after="120" w:line="360" w:lineRule="auto"/>
        <w:ind w:firstLine="709"/>
        <w:jc w:val="center"/>
        <w:rPr>
          <w:rFonts w:ascii="Times New Roman" w:hAnsi="Times New Roman" w:cs="Times New Roman"/>
          <w:b/>
          <w:color w:val="000000" w:themeColor="text1"/>
          <w:sz w:val="24"/>
          <w:szCs w:val="24"/>
          <w:shd w:val="clear" w:color="auto" w:fill="FFFFFF"/>
        </w:rPr>
      </w:pPr>
    </w:p>
    <w:p w14:paraId="103DC7E7" w14:textId="0AC0BE66" w:rsidR="003B6DB3" w:rsidRDefault="003B6DB3" w:rsidP="004F7613">
      <w:pPr>
        <w:spacing w:before="120" w:after="120" w:line="360" w:lineRule="auto"/>
        <w:ind w:firstLine="709"/>
        <w:jc w:val="center"/>
        <w:rPr>
          <w:rFonts w:ascii="Times New Roman" w:hAnsi="Times New Roman" w:cs="Times New Roman"/>
          <w:b/>
          <w:color w:val="000000" w:themeColor="text1"/>
          <w:sz w:val="24"/>
          <w:szCs w:val="24"/>
          <w:shd w:val="clear" w:color="auto" w:fill="FFFFFF"/>
        </w:rPr>
      </w:pPr>
    </w:p>
    <w:p w14:paraId="1F54FE7D" w14:textId="70883668" w:rsidR="003B6DB3" w:rsidRDefault="003B6DB3" w:rsidP="004F7613">
      <w:pPr>
        <w:spacing w:before="120" w:after="120" w:line="360" w:lineRule="auto"/>
        <w:ind w:firstLine="709"/>
        <w:jc w:val="center"/>
        <w:rPr>
          <w:rFonts w:ascii="Times New Roman" w:hAnsi="Times New Roman" w:cs="Times New Roman"/>
          <w:b/>
          <w:color w:val="000000" w:themeColor="text1"/>
          <w:sz w:val="24"/>
          <w:szCs w:val="24"/>
          <w:shd w:val="clear" w:color="auto" w:fill="FFFFFF"/>
        </w:rPr>
      </w:pPr>
    </w:p>
    <w:p w14:paraId="349C2812" w14:textId="40EFA643" w:rsidR="003B6DB3" w:rsidRDefault="003B6DB3" w:rsidP="004F7613">
      <w:pPr>
        <w:spacing w:before="120" w:after="120" w:line="360" w:lineRule="auto"/>
        <w:ind w:firstLine="709"/>
        <w:jc w:val="center"/>
        <w:rPr>
          <w:rFonts w:ascii="Times New Roman" w:hAnsi="Times New Roman" w:cs="Times New Roman"/>
          <w:b/>
          <w:color w:val="000000" w:themeColor="text1"/>
          <w:sz w:val="24"/>
          <w:szCs w:val="24"/>
          <w:shd w:val="clear" w:color="auto" w:fill="FFFFFF"/>
        </w:rPr>
      </w:pPr>
    </w:p>
    <w:p w14:paraId="44CA2DE8" w14:textId="730AF85F" w:rsidR="003B6DB3" w:rsidRDefault="003B6DB3" w:rsidP="004F7613">
      <w:pPr>
        <w:spacing w:before="120" w:after="120" w:line="360" w:lineRule="auto"/>
        <w:ind w:firstLine="709"/>
        <w:jc w:val="center"/>
        <w:rPr>
          <w:rFonts w:ascii="Times New Roman" w:hAnsi="Times New Roman" w:cs="Times New Roman"/>
          <w:b/>
          <w:color w:val="000000" w:themeColor="text1"/>
          <w:sz w:val="24"/>
          <w:szCs w:val="24"/>
          <w:shd w:val="clear" w:color="auto" w:fill="FFFFFF"/>
        </w:rPr>
      </w:pPr>
    </w:p>
    <w:p w14:paraId="06E74189" w14:textId="6A82F53E" w:rsidR="003B6DB3" w:rsidRDefault="003B6DB3" w:rsidP="004F7613">
      <w:pPr>
        <w:spacing w:before="120" w:after="120" w:line="360" w:lineRule="auto"/>
        <w:ind w:firstLine="709"/>
        <w:jc w:val="center"/>
        <w:rPr>
          <w:rFonts w:ascii="Times New Roman" w:hAnsi="Times New Roman" w:cs="Times New Roman"/>
          <w:b/>
          <w:color w:val="000000" w:themeColor="text1"/>
          <w:sz w:val="24"/>
          <w:szCs w:val="24"/>
          <w:shd w:val="clear" w:color="auto" w:fill="FFFFFF"/>
        </w:rPr>
      </w:pPr>
    </w:p>
    <w:p w14:paraId="3D0734E0" w14:textId="7D071FB8" w:rsidR="003B6DB3" w:rsidRDefault="003B6DB3" w:rsidP="004F7613">
      <w:pPr>
        <w:spacing w:before="120" w:after="120" w:line="360" w:lineRule="auto"/>
        <w:ind w:firstLine="709"/>
        <w:jc w:val="center"/>
        <w:rPr>
          <w:rFonts w:ascii="Times New Roman" w:hAnsi="Times New Roman" w:cs="Times New Roman"/>
          <w:b/>
          <w:color w:val="000000" w:themeColor="text1"/>
          <w:sz w:val="24"/>
          <w:szCs w:val="24"/>
          <w:shd w:val="clear" w:color="auto" w:fill="FFFFFF"/>
        </w:rPr>
      </w:pPr>
    </w:p>
    <w:p w14:paraId="1558E316" w14:textId="6A64981F" w:rsidR="003B6DB3" w:rsidRDefault="003B6DB3" w:rsidP="004F7613">
      <w:pPr>
        <w:spacing w:before="120" w:after="120" w:line="360" w:lineRule="auto"/>
        <w:ind w:firstLine="709"/>
        <w:jc w:val="center"/>
        <w:rPr>
          <w:rFonts w:ascii="Times New Roman" w:hAnsi="Times New Roman" w:cs="Times New Roman"/>
          <w:b/>
          <w:color w:val="000000" w:themeColor="text1"/>
          <w:sz w:val="24"/>
          <w:szCs w:val="24"/>
          <w:shd w:val="clear" w:color="auto" w:fill="FFFFFF"/>
        </w:rPr>
      </w:pPr>
    </w:p>
    <w:p w14:paraId="302CC4F7" w14:textId="39275986" w:rsidR="003B6DB3" w:rsidRDefault="003B6DB3" w:rsidP="004F7613">
      <w:pPr>
        <w:spacing w:before="120" w:after="120" w:line="360" w:lineRule="auto"/>
        <w:ind w:firstLine="709"/>
        <w:jc w:val="center"/>
        <w:rPr>
          <w:rFonts w:ascii="Times New Roman" w:hAnsi="Times New Roman" w:cs="Times New Roman"/>
          <w:b/>
          <w:color w:val="000000" w:themeColor="text1"/>
          <w:sz w:val="24"/>
          <w:szCs w:val="24"/>
          <w:shd w:val="clear" w:color="auto" w:fill="FFFFFF"/>
        </w:rPr>
      </w:pPr>
    </w:p>
    <w:p w14:paraId="35A233B6" w14:textId="2DE0143E" w:rsidR="003B6DB3" w:rsidRDefault="003B6DB3" w:rsidP="004F7613">
      <w:pPr>
        <w:spacing w:before="120" w:after="120" w:line="360" w:lineRule="auto"/>
        <w:ind w:firstLine="709"/>
        <w:jc w:val="center"/>
        <w:rPr>
          <w:rFonts w:ascii="Times New Roman" w:hAnsi="Times New Roman" w:cs="Times New Roman"/>
          <w:b/>
          <w:color w:val="000000" w:themeColor="text1"/>
          <w:sz w:val="24"/>
          <w:szCs w:val="24"/>
          <w:shd w:val="clear" w:color="auto" w:fill="FFFFFF"/>
        </w:rPr>
      </w:pPr>
    </w:p>
    <w:p w14:paraId="08754F0A" w14:textId="0068ADA9" w:rsidR="003B6DB3" w:rsidRDefault="003B6DB3" w:rsidP="004F7613">
      <w:pPr>
        <w:spacing w:before="120" w:after="120" w:line="360" w:lineRule="auto"/>
        <w:ind w:firstLine="709"/>
        <w:jc w:val="center"/>
        <w:rPr>
          <w:rFonts w:ascii="Times New Roman" w:hAnsi="Times New Roman" w:cs="Times New Roman"/>
          <w:b/>
          <w:color w:val="000000" w:themeColor="text1"/>
          <w:sz w:val="24"/>
          <w:szCs w:val="24"/>
          <w:shd w:val="clear" w:color="auto" w:fill="FFFFFF"/>
        </w:rPr>
      </w:pPr>
    </w:p>
    <w:p w14:paraId="4ADADC93" w14:textId="58296F32" w:rsidR="003B6DB3" w:rsidRDefault="003B6DB3" w:rsidP="004F7613">
      <w:pPr>
        <w:spacing w:before="120" w:after="120" w:line="360" w:lineRule="auto"/>
        <w:ind w:firstLine="709"/>
        <w:jc w:val="center"/>
        <w:rPr>
          <w:rFonts w:ascii="Times New Roman" w:hAnsi="Times New Roman" w:cs="Times New Roman"/>
          <w:b/>
          <w:color w:val="000000" w:themeColor="text1"/>
          <w:sz w:val="24"/>
          <w:szCs w:val="24"/>
          <w:shd w:val="clear" w:color="auto" w:fill="FFFFFF"/>
        </w:rPr>
      </w:pPr>
    </w:p>
    <w:p w14:paraId="489BAED3" w14:textId="77777777" w:rsidR="003B6DB3" w:rsidRDefault="003B6DB3" w:rsidP="004F7613">
      <w:pPr>
        <w:spacing w:before="120" w:after="120" w:line="360" w:lineRule="auto"/>
        <w:ind w:firstLine="709"/>
        <w:jc w:val="center"/>
        <w:rPr>
          <w:rFonts w:ascii="Times New Roman" w:hAnsi="Times New Roman" w:cs="Times New Roman"/>
          <w:b/>
          <w:color w:val="000000" w:themeColor="text1"/>
          <w:sz w:val="24"/>
          <w:szCs w:val="24"/>
          <w:shd w:val="clear" w:color="auto" w:fill="FFFFFF"/>
        </w:rPr>
      </w:pPr>
    </w:p>
    <w:p w14:paraId="69201DA7" w14:textId="77777777" w:rsidR="000973A3" w:rsidRPr="00164238" w:rsidRDefault="000973A3" w:rsidP="004F7613">
      <w:pPr>
        <w:spacing w:before="120" w:after="120" w:line="360" w:lineRule="auto"/>
        <w:ind w:firstLine="709"/>
        <w:jc w:val="center"/>
        <w:rPr>
          <w:rFonts w:ascii="Times New Roman" w:hAnsi="Times New Roman" w:cs="Times New Roman"/>
          <w:b/>
          <w:color w:val="000000" w:themeColor="text1"/>
          <w:sz w:val="24"/>
          <w:szCs w:val="24"/>
          <w:shd w:val="clear" w:color="auto" w:fill="FFFFFF"/>
        </w:rPr>
      </w:pPr>
    </w:p>
    <w:p w14:paraId="4E36ADC4" w14:textId="77777777" w:rsidR="00357DB1" w:rsidRPr="00164238" w:rsidRDefault="00357DB1" w:rsidP="004F7613">
      <w:pPr>
        <w:spacing w:before="120" w:after="120" w:line="360" w:lineRule="auto"/>
        <w:ind w:firstLine="709"/>
        <w:jc w:val="center"/>
        <w:rPr>
          <w:rFonts w:ascii="Times New Roman" w:hAnsi="Times New Roman" w:cs="Times New Roman"/>
          <w:b/>
          <w:color w:val="000000" w:themeColor="text1"/>
          <w:sz w:val="24"/>
          <w:szCs w:val="24"/>
          <w:shd w:val="clear" w:color="auto" w:fill="FFFFFF"/>
        </w:rPr>
      </w:pPr>
    </w:p>
    <w:p w14:paraId="07267603" w14:textId="00D9BD50" w:rsidR="004F7613" w:rsidRPr="00164238" w:rsidRDefault="00793FF1" w:rsidP="006923DF">
      <w:pPr>
        <w:pStyle w:val="Balk1"/>
        <w:rPr>
          <w:rFonts w:ascii="Times New Roman" w:hAnsi="Times New Roman" w:cs="Times New Roman"/>
          <w:b/>
          <w:color w:val="000000" w:themeColor="text1"/>
          <w:sz w:val="24"/>
          <w:szCs w:val="24"/>
          <w:shd w:val="clear" w:color="auto" w:fill="FFFFFF"/>
        </w:rPr>
      </w:pPr>
      <w:bookmarkStart w:id="2" w:name="_Toc72961652"/>
      <w:r w:rsidRPr="00164238">
        <w:rPr>
          <w:rFonts w:ascii="Times New Roman" w:hAnsi="Times New Roman" w:cs="Times New Roman"/>
          <w:b/>
          <w:color w:val="000000" w:themeColor="text1"/>
          <w:sz w:val="24"/>
          <w:szCs w:val="24"/>
          <w:shd w:val="clear" w:color="auto" w:fill="FFFFFF"/>
        </w:rPr>
        <w:lastRenderedPageBreak/>
        <w:t>KOVİD-19 KÜRESEL SALGIN DÖNEMİNDE TÜRKİYE’DE UYGULANAN PARA POLİTİKASI TEDBİRLERİNİN FİNANSAL GÖSTERGELER ÜZERİNDEKİ ETKİSİ</w:t>
      </w:r>
      <w:bookmarkEnd w:id="2"/>
    </w:p>
    <w:p w14:paraId="31418D4E" w14:textId="77777777" w:rsidR="007E061C" w:rsidRPr="00164238" w:rsidRDefault="007E061C" w:rsidP="007E061C">
      <w:pPr>
        <w:jc w:val="both"/>
        <w:rPr>
          <w:rStyle w:val="Balk2Char"/>
          <w:rFonts w:eastAsiaTheme="minorHAnsi"/>
          <w:color w:val="000000" w:themeColor="text1"/>
        </w:rPr>
      </w:pPr>
    </w:p>
    <w:p w14:paraId="0090FDE3" w14:textId="66038CE8" w:rsidR="007E061C" w:rsidRPr="00164238" w:rsidRDefault="007E061C" w:rsidP="007E061C">
      <w:pPr>
        <w:pStyle w:val="Balk2"/>
        <w:rPr>
          <w:rFonts w:ascii="Times New Roman" w:eastAsia="Arial" w:hAnsi="Times New Roman" w:cs="Times New Roman"/>
          <w:b w:val="0"/>
          <w:i w:val="0"/>
          <w:color w:val="000000" w:themeColor="text1"/>
          <w:sz w:val="20"/>
          <w:szCs w:val="20"/>
        </w:rPr>
      </w:pPr>
      <w:bookmarkStart w:id="3" w:name="_Toc72961653"/>
      <w:r w:rsidRPr="00164238">
        <w:rPr>
          <w:rStyle w:val="Balk2Char"/>
          <w:rFonts w:ascii="Times New Roman" w:hAnsi="Times New Roman" w:cs="Times New Roman"/>
          <w:color w:val="000000" w:themeColor="text1"/>
          <w:sz w:val="20"/>
          <w:szCs w:val="20"/>
        </w:rPr>
        <w:t>Dr. Öğr.Üyesi Aslı GÜLER</w:t>
      </w:r>
      <w:r w:rsidRPr="00164238">
        <w:rPr>
          <w:rFonts w:ascii="Times New Roman" w:eastAsia="Arial" w:hAnsi="Times New Roman" w:cs="Times New Roman"/>
          <w:color w:val="000000" w:themeColor="text1"/>
          <w:sz w:val="20"/>
          <w:szCs w:val="20"/>
        </w:rPr>
        <w:t xml:space="preserve">, </w:t>
      </w:r>
      <w:r w:rsidRPr="00164238">
        <w:rPr>
          <w:rFonts w:ascii="Times New Roman" w:eastAsia="Arial" w:hAnsi="Times New Roman" w:cs="Times New Roman"/>
          <w:b w:val="0"/>
          <w:color w:val="000000" w:themeColor="text1"/>
          <w:sz w:val="20"/>
          <w:szCs w:val="20"/>
        </w:rPr>
        <w:t>Ordu Üniversitesi, İktisadi ve İdari Bilimler Fakültesi, Ordu, Türkiye</w:t>
      </w:r>
      <w:bookmarkEnd w:id="3"/>
    </w:p>
    <w:p w14:paraId="5568988C" w14:textId="77777777" w:rsidR="007E061C" w:rsidRPr="00164238" w:rsidRDefault="007E061C" w:rsidP="007E061C">
      <w:pPr>
        <w:jc w:val="both"/>
        <w:rPr>
          <w:rFonts w:ascii="Times New Roman" w:hAnsi="Times New Roman" w:cs="Times New Roman"/>
          <w:color w:val="000000" w:themeColor="text1"/>
          <w:sz w:val="20"/>
          <w:szCs w:val="20"/>
        </w:rPr>
      </w:pPr>
      <w:r w:rsidRPr="00164238">
        <w:rPr>
          <w:rFonts w:ascii="Times New Roman" w:eastAsia="Arial" w:hAnsi="Times New Roman" w:cs="Times New Roman"/>
          <w:i/>
          <w:color w:val="000000" w:themeColor="text1"/>
          <w:sz w:val="20"/>
          <w:szCs w:val="20"/>
        </w:rPr>
        <w:t xml:space="preserve">e-mail: </w:t>
      </w:r>
      <w:r w:rsidRPr="00164238">
        <w:rPr>
          <w:rFonts w:ascii="Times New Roman" w:eastAsia="Arial" w:hAnsi="Times New Roman" w:cs="Times New Roman"/>
          <w:i/>
          <w:color w:val="000000" w:themeColor="text1"/>
          <w:sz w:val="20"/>
          <w:szCs w:val="20"/>
          <w:u w:val="single"/>
        </w:rPr>
        <w:t>asliguler24@hotmail.com</w:t>
      </w:r>
      <w:r w:rsidRPr="00164238">
        <w:rPr>
          <w:rFonts w:ascii="Times New Roman" w:eastAsia="Arial" w:hAnsi="Times New Roman" w:cs="Times New Roman"/>
          <w:i/>
          <w:color w:val="000000" w:themeColor="text1"/>
          <w:sz w:val="20"/>
          <w:szCs w:val="20"/>
        </w:rPr>
        <w:t xml:space="preserve"> ORCID ID: </w:t>
      </w:r>
      <w:r w:rsidRPr="00164238">
        <w:rPr>
          <w:rFonts w:ascii="Times New Roman" w:hAnsi="Times New Roman" w:cs="Times New Roman"/>
          <w:color w:val="000000" w:themeColor="text1"/>
          <w:sz w:val="20"/>
          <w:szCs w:val="20"/>
          <w:shd w:val="clear" w:color="auto" w:fill="FFFFFF"/>
        </w:rPr>
        <w:t>0000-0002-2900-1184</w:t>
      </w:r>
    </w:p>
    <w:p w14:paraId="4D0B5B48" w14:textId="77777777" w:rsidR="00C16329" w:rsidRPr="00164238" w:rsidRDefault="00F24526" w:rsidP="007D55D3">
      <w:pPr>
        <w:spacing w:before="120" w:after="120" w:line="360" w:lineRule="auto"/>
        <w:ind w:firstLine="709"/>
        <w:jc w:val="both"/>
        <w:rPr>
          <w:rFonts w:ascii="Times New Roman" w:hAnsi="Times New Roman" w:cs="Times New Roman"/>
          <w:color w:val="000000" w:themeColor="text1"/>
          <w:shd w:val="clear" w:color="auto" w:fill="FFFFFF"/>
        </w:rPr>
      </w:pPr>
      <w:r w:rsidRPr="00164238">
        <w:rPr>
          <w:rFonts w:ascii="Times New Roman" w:hAnsi="Times New Roman" w:cs="Times New Roman"/>
          <w:color w:val="000000" w:themeColor="text1"/>
          <w:shd w:val="clear" w:color="auto" w:fill="FFFFFF"/>
        </w:rPr>
        <w:t xml:space="preserve">Kovid-19 salgınının Dünya Sağlık Örgütü tarafından pandemi olarak ilan edilmesinden sonra salgınının yayılmasını önlemek amacı ile ülkeler sınırlarını diğer ülkelere kapatmış, ülke içinde karantina ve sokağa çıkma yasağı uygulamaları başlatılmıştır.  Ancak, getirilen bu sınırlamalar ve alınan tedbirler güven bunalımının etkisiyle birleşerek dünya çapında bir ekonomik </w:t>
      </w:r>
      <w:r w:rsidR="00C16329" w:rsidRPr="00164238">
        <w:rPr>
          <w:rFonts w:ascii="Times New Roman" w:hAnsi="Times New Roman" w:cs="Times New Roman"/>
          <w:color w:val="000000" w:themeColor="text1"/>
          <w:shd w:val="clear" w:color="auto" w:fill="FFFFFF"/>
        </w:rPr>
        <w:t xml:space="preserve">krize </w:t>
      </w:r>
      <w:r w:rsidRPr="00164238">
        <w:rPr>
          <w:rFonts w:ascii="Times New Roman" w:hAnsi="Times New Roman" w:cs="Times New Roman"/>
          <w:color w:val="000000" w:themeColor="text1"/>
          <w:shd w:val="clear" w:color="auto" w:fill="FFFFFF"/>
        </w:rPr>
        <w:t xml:space="preserve">yol açmıştır.  </w:t>
      </w:r>
      <w:r w:rsidR="00C16329" w:rsidRPr="00164238">
        <w:rPr>
          <w:rFonts w:ascii="Times New Roman" w:hAnsi="Times New Roman" w:cs="Times New Roman"/>
          <w:color w:val="000000" w:themeColor="text1"/>
          <w:shd w:val="clear" w:color="auto" w:fill="FFFFFF"/>
        </w:rPr>
        <w:t xml:space="preserve">Bu süreçte politika yapıcılar Kovid-19 salgının ekonomik etkileri ile mücadele edebilmek için yoğun politika tedbirlerini hayata geçirmiştir. </w:t>
      </w:r>
    </w:p>
    <w:p w14:paraId="47B9B132" w14:textId="77777777" w:rsidR="00C16329" w:rsidRPr="00164238" w:rsidRDefault="00C16329" w:rsidP="007D55D3">
      <w:pPr>
        <w:spacing w:before="120" w:after="120" w:line="360" w:lineRule="auto"/>
        <w:ind w:firstLine="709"/>
        <w:jc w:val="both"/>
        <w:rPr>
          <w:rFonts w:ascii="Times New Roman" w:hAnsi="Times New Roman" w:cs="Times New Roman"/>
          <w:color w:val="000000" w:themeColor="text1"/>
          <w:shd w:val="clear" w:color="auto" w:fill="FFFFFF"/>
        </w:rPr>
      </w:pPr>
      <w:r w:rsidRPr="00164238">
        <w:rPr>
          <w:rFonts w:ascii="Times New Roman" w:hAnsi="Times New Roman" w:cs="Times New Roman"/>
          <w:color w:val="000000" w:themeColor="text1"/>
          <w:shd w:val="clear" w:color="auto" w:fill="FFFFFF"/>
        </w:rPr>
        <w:t xml:space="preserve">TCMB de salgının ekonomi üzerindeki olumsuz etkisini hafifletmek amacı ile kapsamlı bir tedbir paketini uygulamaya koymuştur.  </w:t>
      </w:r>
      <w:r w:rsidRPr="00164238">
        <w:rPr>
          <w:rFonts w:ascii="Times New Roman" w:hAnsi="Times New Roman" w:cs="Times New Roman"/>
          <w:color w:val="000000" w:themeColor="text1"/>
        </w:rPr>
        <w:t>Bu çalışma 11 Mart 2020 ve 20 Kasım 2020 döneminde TCMB tarafından uygulanan politikası tedbirlerinin finansal göstergeler üzerinde etkili olup olmadığını günlük veriler üzerinden Toda-Yamamoto nedensellik testi ile incelemeyi amaçlamaktadır. Elde edilen sonuçlara göre, toplam fonlama miktarından seçilmiş finansal değişkenlerin hiç birine doğru bir nedensellik ilişkisi tespit edilememiştir.  Buna karşın, ağırlıklı ortalama fonlama maliyetinden tahvil faizlerine ve referans faiz oranından da döviz kuruna doğru anlamlı nedensellik ilişkileri söz konusudur. Buna göre, TCMB’nin ele alınan dönemde ağırlıklı ortalama fonlama maliyetini ve fonlama komposizyonunu değiştirmek sureti ile tahvil faizlerini ve döviz kurunu etkileyebileceği anlaşılmaktadır.</w:t>
      </w:r>
    </w:p>
    <w:p w14:paraId="39CFB56A" w14:textId="77777777" w:rsidR="00231223" w:rsidRPr="00164238" w:rsidRDefault="00A4525A" w:rsidP="00DE5DE1">
      <w:pPr>
        <w:spacing w:before="120" w:after="120" w:line="360" w:lineRule="auto"/>
        <w:jc w:val="both"/>
        <w:rPr>
          <w:rFonts w:ascii="Times New Roman" w:hAnsi="Times New Roman" w:cs="Times New Roman"/>
          <w:color w:val="000000" w:themeColor="text1"/>
        </w:rPr>
      </w:pPr>
      <w:r w:rsidRPr="00164238">
        <w:rPr>
          <w:rFonts w:ascii="Times New Roman" w:hAnsi="Times New Roman" w:cs="Times New Roman"/>
          <w:b/>
          <w:color w:val="000000" w:themeColor="text1"/>
        </w:rPr>
        <w:t>Anahtar Kelimeler:</w:t>
      </w:r>
      <w:r w:rsidRPr="00164238">
        <w:rPr>
          <w:rFonts w:ascii="Times New Roman" w:hAnsi="Times New Roman" w:cs="Times New Roman"/>
          <w:color w:val="000000" w:themeColor="text1"/>
        </w:rPr>
        <w:t xml:space="preserve"> </w:t>
      </w:r>
      <w:r w:rsidR="000B5426" w:rsidRPr="00164238">
        <w:rPr>
          <w:rFonts w:ascii="Times New Roman" w:hAnsi="Times New Roman" w:cs="Times New Roman"/>
          <w:color w:val="000000" w:themeColor="text1"/>
        </w:rPr>
        <w:t>Kovid</w:t>
      </w:r>
      <w:r w:rsidRPr="00164238">
        <w:rPr>
          <w:rFonts w:ascii="Times New Roman" w:hAnsi="Times New Roman" w:cs="Times New Roman"/>
          <w:color w:val="000000" w:themeColor="text1"/>
        </w:rPr>
        <w:t>-19,</w:t>
      </w:r>
      <w:r w:rsidR="00E100BC" w:rsidRPr="00164238">
        <w:rPr>
          <w:rFonts w:ascii="Times New Roman" w:hAnsi="Times New Roman" w:cs="Times New Roman"/>
          <w:color w:val="000000" w:themeColor="text1"/>
        </w:rPr>
        <w:t xml:space="preserve"> TCMB,</w:t>
      </w:r>
      <w:r w:rsidRPr="00164238">
        <w:rPr>
          <w:rFonts w:ascii="Times New Roman" w:hAnsi="Times New Roman" w:cs="Times New Roman"/>
          <w:color w:val="000000" w:themeColor="text1"/>
        </w:rPr>
        <w:t xml:space="preserve"> Para Politikası</w:t>
      </w:r>
      <w:r w:rsidR="00E100BC" w:rsidRPr="00164238">
        <w:rPr>
          <w:rFonts w:ascii="Times New Roman" w:hAnsi="Times New Roman" w:cs="Times New Roman"/>
          <w:color w:val="000000" w:themeColor="text1"/>
        </w:rPr>
        <w:t xml:space="preserve"> Tedbirleri</w:t>
      </w:r>
      <w:r w:rsidRPr="00164238">
        <w:rPr>
          <w:rFonts w:ascii="Times New Roman" w:hAnsi="Times New Roman" w:cs="Times New Roman"/>
          <w:color w:val="000000" w:themeColor="text1"/>
        </w:rPr>
        <w:t>, Finansal Piyasalar</w:t>
      </w:r>
      <w:r w:rsidR="00E100BC" w:rsidRPr="00164238">
        <w:rPr>
          <w:rFonts w:ascii="Times New Roman" w:hAnsi="Times New Roman" w:cs="Times New Roman"/>
          <w:color w:val="000000" w:themeColor="text1"/>
        </w:rPr>
        <w:t>.</w:t>
      </w:r>
    </w:p>
    <w:p w14:paraId="1B735CF0" w14:textId="77777777" w:rsidR="00682CBF" w:rsidRPr="00164238" w:rsidRDefault="00682CBF" w:rsidP="00466159">
      <w:pPr>
        <w:spacing w:before="120" w:after="120" w:line="360" w:lineRule="auto"/>
        <w:ind w:firstLine="709"/>
        <w:jc w:val="center"/>
        <w:rPr>
          <w:rFonts w:ascii="Times New Roman" w:hAnsi="Times New Roman" w:cs="Times New Roman"/>
          <w:b/>
          <w:color w:val="000000" w:themeColor="text1"/>
        </w:rPr>
      </w:pPr>
    </w:p>
    <w:p w14:paraId="13FB80AB" w14:textId="3DEC02CE" w:rsidR="00682CBF" w:rsidRPr="00164238" w:rsidRDefault="00682CBF" w:rsidP="00466159">
      <w:pPr>
        <w:spacing w:before="120" w:after="120" w:line="360" w:lineRule="auto"/>
        <w:ind w:firstLine="709"/>
        <w:jc w:val="center"/>
        <w:rPr>
          <w:rFonts w:ascii="Times New Roman" w:hAnsi="Times New Roman" w:cs="Times New Roman"/>
          <w:b/>
          <w:color w:val="000000" w:themeColor="text1"/>
        </w:rPr>
      </w:pPr>
    </w:p>
    <w:p w14:paraId="22346B09" w14:textId="5D7848DE" w:rsidR="001B311E" w:rsidRPr="00164238" w:rsidRDefault="001B311E" w:rsidP="00466159">
      <w:pPr>
        <w:spacing w:before="120" w:after="120" w:line="360" w:lineRule="auto"/>
        <w:ind w:firstLine="709"/>
        <w:jc w:val="center"/>
        <w:rPr>
          <w:rFonts w:ascii="Times New Roman" w:hAnsi="Times New Roman" w:cs="Times New Roman"/>
          <w:b/>
          <w:color w:val="000000" w:themeColor="text1"/>
        </w:rPr>
      </w:pPr>
    </w:p>
    <w:p w14:paraId="6A9043DD" w14:textId="3F37497D" w:rsidR="001B311E" w:rsidRPr="00164238" w:rsidRDefault="001B311E" w:rsidP="00466159">
      <w:pPr>
        <w:spacing w:before="120" w:after="120" w:line="360" w:lineRule="auto"/>
        <w:ind w:firstLine="709"/>
        <w:jc w:val="center"/>
        <w:rPr>
          <w:rFonts w:ascii="Times New Roman" w:hAnsi="Times New Roman" w:cs="Times New Roman"/>
          <w:b/>
          <w:color w:val="000000" w:themeColor="text1"/>
        </w:rPr>
      </w:pPr>
    </w:p>
    <w:p w14:paraId="470B20EB" w14:textId="5AB73E5B" w:rsidR="001B311E" w:rsidRPr="00164238" w:rsidRDefault="001B311E" w:rsidP="00466159">
      <w:pPr>
        <w:spacing w:before="120" w:after="120" w:line="360" w:lineRule="auto"/>
        <w:ind w:firstLine="709"/>
        <w:jc w:val="center"/>
        <w:rPr>
          <w:rFonts w:ascii="Times New Roman" w:hAnsi="Times New Roman" w:cs="Times New Roman"/>
          <w:b/>
          <w:color w:val="000000" w:themeColor="text1"/>
        </w:rPr>
      </w:pPr>
    </w:p>
    <w:p w14:paraId="42E019D3" w14:textId="60F0ED70" w:rsidR="001B311E" w:rsidRPr="00164238" w:rsidRDefault="001B311E" w:rsidP="00466159">
      <w:pPr>
        <w:spacing w:before="120" w:after="120" w:line="360" w:lineRule="auto"/>
        <w:ind w:firstLine="709"/>
        <w:jc w:val="center"/>
        <w:rPr>
          <w:rFonts w:ascii="Times New Roman" w:hAnsi="Times New Roman" w:cs="Times New Roman"/>
          <w:b/>
          <w:color w:val="000000" w:themeColor="text1"/>
        </w:rPr>
      </w:pPr>
    </w:p>
    <w:p w14:paraId="15D1C39F" w14:textId="2DD3C5E4" w:rsidR="001B311E" w:rsidRPr="00164238" w:rsidRDefault="001B311E" w:rsidP="00466159">
      <w:pPr>
        <w:spacing w:before="120" w:after="120" w:line="360" w:lineRule="auto"/>
        <w:ind w:firstLine="709"/>
        <w:jc w:val="center"/>
        <w:rPr>
          <w:rFonts w:ascii="Times New Roman" w:hAnsi="Times New Roman" w:cs="Times New Roman"/>
          <w:b/>
          <w:color w:val="000000" w:themeColor="text1"/>
        </w:rPr>
      </w:pPr>
    </w:p>
    <w:p w14:paraId="7DAA6DB6" w14:textId="1D32158C" w:rsidR="00466159" w:rsidRPr="00164238" w:rsidRDefault="00793FF1" w:rsidP="00466159">
      <w:pPr>
        <w:spacing w:before="120" w:after="120" w:line="360" w:lineRule="auto"/>
        <w:ind w:firstLine="709"/>
        <w:jc w:val="center"/>
        <w:rPr>
          <w:rFonts w:ascii="Times New Roman" w:hAnsi="Times New Roman" w:cs="Times New Roman"/>
          <w:b/>
          <w:color w:val="000000" w:themeColor="text1"/>
          <w:sz w:val="24"/>
          <w:szCs w:val="24"/>
        </w:rPr>
      </w:pPr>
      <w:r w:rsidRPr="00164238">
        <w:rPr>
          <w:rFonts w:ascii="Times New Roman" w:hAnsi="Times New Roman" w:cs="Times New Roman"/>
          <w:b/>
          <w:color w:val="000000" w:themeColor="text1"/>
          <w:sz w:val="24"/>
          <w:szCs w:val="24"/>
        </w:rPr>
        <w:lastRenderedPageBreak/>
        <w:t>THE IMPACT OF MONETARY POL</w:t>
      </w:r>
      <w:r w:rsidR="00E74503" w:rsidRPr="00164238">
        <w:rPr>
          <w:rFonts w:ascii="Times New Roman" w:hAnsi="Times New Roman" w:cs="Times New Roman"/>
          <w:b/>
          <w:color w:val="000000" w:themeColor="text1"/>
          <w:sz w:val="24"/>
          <w:szCs w:val="24"/>
        </w:rPr>
        <w:t>I</w:t>
      </w:r>
      <w:r w:rsidRPr="00164238">
        <w:rPr>
          <w:rFonts w:ascii="Times New Roman" w:hAnsi="Times New Roman" w:cs="Times New Roman"/>
          <w:b/>
          <w:color w:val="000000" w:themeColor="text1"/>
          <w:sz w:val="24"/>
          <w:szCs w:val="24"/>
        </w:rPr>
        <w:t>CY MEASURES ON F</w:t>
      </w:r>
      <w:r w:rsidR="00E74503" w:rsidRPr="00164238">
        <w:rPr>
          <w:rFonts w:ascii="Times New Roman" w:hAnsi="Times New Roman" w:cs="Times New Roman"/>
          <w:b/>
          <w:color w:val="000000" w:themeColor="text1"/>
          <w:sz w:val="24"/>
          <w:szCs w:val="24"/>
        </w:rPr>
        <w:t>I</w:t>
      </w:r>
      <w:r w:rsidRPr="00164238">
        <w:rPr>
          <w:rFonts w:ascii="Times New Roman" w:hAnsi="Times New Roman" w:cs="Times New Roman"/>
          <w:b/>
          <w:color w:val="000000" w:themeColor="text1"/>
          <w:sz w:val="24"/>
          <w:szCs w:val="24"/>
        </w:rPr>
        <w:t>NANC</w:t>
      </w:r>
      <w:r w:rsidR="00E74503" w:rsidRPr="00164238">
        <w:rPr>
          <w:rFonts w:ascii="Times New Roman" w:hAnsi="Times New Roman" w:cs="Times New Roman"/>
          <w:b/>
          <w:color w:val="000000" w:themeColor="text1"/>
          <w:sz w:val="24"/>
          <w:szCs w:val="24"/>
        </w:rPr>
        <w:t>I</w:t>
      </w:r>
      <w:r w:rsidRPr="00164238">
        <w:rPr>
          <w:rFonts w:ascii="Times New Roman" w:hAnsi="Times New Roman" w:cs="Times New Roman"/>
          <w:b/>
          <w:color w:val="000000" w:themeColor="text1"/>
          <w:sz w:val="24"/>
          <w:szCs w:val="24"/>
        </w:rPr>
        <w:t>AL IND</w:t>
      </w:r>
      <w:r w:rsidR="00E74503" w:rsidRPr="00164238">
        <w:rPr>
          <w:rFonts w:ascii="Times New Roman" w:hAnsi="Times New Roman" w:cs="Times New Roman"/>
          <w:b/>
          <w:color w:val="000000" w:themeColor="text1"/>
          <w:sz w:val="24"/>
          <w:szCs w:val="24"/>
        </w:rPr>
        <w:t>I</w:t>
      </w:r>
      <w:r w:rsidRPr="00164238">
        <w:rPr>
          <w:rFonts w:ascii="Times New Roman" w:hAnsi="Times New Roman" w:cs="Times New Roman"/>
          <w:b/>
          <w:color w:val="000000" w:themeColor="text1"/>
          <w:sz w:val="24"/>
          <w:szCs w:val="24"/>
        </w:rPr>
        <w:t>CATORS DUR</w:t>
      </w:r>
      <w:r w:rsidR="00E74503" w:rsidRPr="00164238">
        <w:rPr>
          <w:rFonts w:ascii="Times New Roman" w:hAnsi="Times New Roman" w:cs="Times New Roman"/>
          <w:b/>
          <w:color w:val="000000" w:themeColor="text1"/>
          <w:sz w:val="24"/>
          <w:szCs w:val="24"/>
        </w:rPr>
        <w:t>I</w:t>
      </w:r>
      <w:r w:rsidRPr="00164238">
        <w:rPr>
          <w:rFonts w:ascii="Times New Roman" w:hAnsi="Times New Roman" w:cs="Times New Roman"/>
          <w:b/>
          <w:color w:val="000000" w:themeColor="text1"/>
          <w:sz w:val="24"/>
          <w:szCs w:val="24"/>
        </w:rPr>
        <w:t>NG THE COV</w:t>
      </w:r>
      <w:r w:rsidR="00E74503" w:rsidRPr="00164238">
        <w:rPr>
          <w:rFonts w:ascii="Times New Roman" w:hAnsi="Times New Roman" w:cs="Times New Roman"/>
          <w:b/>
          <w:color w:val="000000" w:themeColor="text1"/>
          <w:sz w:val="24"/>
          <w:szCs w:val="24"/>
        </w:rPr>
        <w:t>I</w:t>
      </w:r>
      <w:r w:rsidRPr="00164238">
        <w:rPr>
          <w:rFonts w:ascii="Times New Roman" w:hAnsi="Times New Roman" w:cs="Times New Roman"/>
          <w:b/>
          <w:color w:val="000000" w:themeColor="text1"/>
          <w:sz w:val="24"/>
          <w:szCs w:val="24"/>
        </w:rPr>
        <w:t>D-19  GLOBAL EP</w:t>
      </w:r>
      <w:r w:rsidR="00E74503" w:rsidRPr="00164238">
        <w:rPr>
          <w:rFonts w:ascii="Times New Roman" w:hAnsi="Times New Roman" w:cs="Times New Roman"/>
          <w:b/>
          <w:color w:val="000000" w:themeColor="text1"/>
          <w:sz w:val="24"/>
          <w:szCs w:val="24"/>
        </w:rPr>
        <w:t>I</w:t>
      </w:r>
      <w:r w:rsidRPr="00164238">
        <w:rPr>
          <w:rFonts w:ascii="Times New Roman" w:hAnsi="Times New Roman" w:cs="Times New Roman"/>
          <w:b/>
          <w:color w:val="000000" w:themeColor="text1"/>
          <w:sz w:val="24"/>
          <w:szCs w:val="24"/>
        </w:rPr>
        <w:t>DEM</w:t>
      </w:r>
      <w:r w:rsidR="00E74503" w:rsidRPr="00164238">
        <w:rPr>
          <w:rFonts w:ascii="Times New Roman" w:hAnsi="Times New Roman" w:cs="Times New Roman"/>
          <w:b/>
          <w:color w:val="000000" w:themeColor="text1"/>
          <w:sz w:val="24"/>
          <w:szCs w:val="24"/>
        </w:rPr>
        <w:t>I</w:t>
      </w:r>
      <w:r w:rsidRPr="00164238">
        <w:rPr>
          <w:rFonts w:ascii="Times New Roman" w:hAnsi="Times New Roman" w:cs="Times New Roman"/>
          <w:b/>
          <w:color w:val="000000" w:themeColor="text1"/>
          <w:sz w:val="24"/>
          <w:szCs w:val="24"/>
        </w:rPr>
        <w:t xml:space="preserve">C </w:t>
      </w:r>
      <w:r w:rsidR="00E74503" w:rsidRPr="00164238">
        <w:rPr>
          <w:rFonts w:ascii="Times New Roman" w:hAnsi="Times New Roman" w:cs="Times New Roman"/>
          <w:b/>
          <w:color w:val="000000" w:themeColor="text1"/>
          <w:sz w:val="24"/>
          <w:szCs w:val="24"/>
        </w:rPr>
        <w:t>I</w:t>
      </w:r>
      <w:r w:rsidRPr="00164238">
        <w:rPr>
          <w:rFonts w:ascii="Times New Roman" w:hAnsi="Times New Roman" w:cs="Times New Roman"/>
          <w:b/>
          <w:color w:val="000000" w:themeColor="text1"/>
          <w:sz w:val="24"/>
          <w:szCs w:val="24"/>
        </w:rPr>
        <w:t>N TURKEY</w:t>
      </w:r>
    </w:p>
    <w:p w14:paraId="0E3FD907" w14:textId="77777777" w:rsidR="001B5F4B" w:rsidRPr="00164238" w:rsidRDefault="001B5F4B" w:rsidP="007D55D3">
      <w:pPr>
        <w:spacing w:before="120" w:after="120" w:line="360" w:lineRule="auto"/>
        <w:ind w:firstLine="709"/>
        <w:jc w:val="both"/>
        <w:rPr>
          <w:rFonts w:ascii="Times New Roman" w:hAnsi="Times New Roman" w:cs="Times New Roman"/>
          <w:b/>
          <w:color w:val="000000" w:themeColor="text1"/>
        </w:rPr>
      </w:pPr>
      <w:r w:rsidRPr="00164238">
        <w:rPr>
          <w:rFonts w:ascii="Times New Roman" w:hAnsi="Times New Roman" w:cs="Times New Roman"/>
          <w:b/>
          <w:color w:val="000000" w:themeColor="text1"/>
        </w:rPr>
        <w:t>Abstract</w:t>
      </w:r>
    </w:p>
    <w:p w14:paraId="4275A966" w14:textId="77777777" w:rsidR="001B5F4B" w:rsidRPr="00164238" w:rsidRDefault="001B5F4B" w:rsidP="001B5F4B">
      <w:pPr>
        <w:spacing w:before="120" w:after="120" w:line="360" w:lineRule="auto"/>
        <w:ind w:firstLine="709"/>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Following the </w:t>
      </w:r>
      <w:r w:rsidR="000B5426" w:rsidRPr="00164238">
        <w:rPr>
          <w:rFonts w:ascii="Times New Roman" w:hAnsi="Times New Roman" w:cs="Times New Roman"/>
          <w:color w:val="000000" w:themeColor="text1"/>
        </w:rPr>
        <w:t>Covid</w:t>
      </w:r>
      <w:r w:rsidRPr="00164238">
        <w:rPr>
          <w:rFonts w:ascii="Times New Roman" w:hAnsi="Times New Roman" w:cs="Times New Roman"/>
          <w:color w:val="000000" w:themeColor="text1"/>
        </w:rPr>
        <w:t xml:space="preserve">-19 outbreak was declared as a pandemic by the World Health Organization, countries closed their borders to other countries in order to prevent the spread of the epidemic, and quarantine and curfews were initiated in the countries. However, these restrictions and measures combined with the impact of the crisis of confidence led to a worldwide economic crisis. In this process, policymakers have implemented intensive policy measures to combat the economic effects of the </w:t>
      </w:r>
      <w:r w:rsidR="000B5426" w:rsidRPr="00164238">
        <w:rPr>
          <w:rFonts w:ascii="Times New Roman" w:hAnsi="Times New Roman" w:cs="Times New Roman"/>
          <w:color w:val="000000" w:themeColor="text1"/>
        </w:rPr>
        <w:t>Covid</w:t>
      </w:r>
      <w:r w:rsidRPr="00164238">
        <w:rPr>
          <w:rFonts w:ascii="Times New Roman" w:hAnsi="Times New Roman" w:cs="Times New Roman"/>
          <w:color w:val="000000" w:themeColor="text1"/>
        </w:rPr>
        <w:t>-19 epidemic.</w:t>
      </w:r>
    </w:p>
    <w:p w14:paraId="36F08F50" w14:textId="77777777" w:rsidR="001B5F4B" w:rsidRPr="00164238" w:rsidRDefault="001B5F4B" w:rsidP="001B5F4B">
      <w:pPr>
        <w:spacing w:before="120" w:after="120" w:line="360" w:lineRule="auto"/>
        <w:ind w:firstLine="709"/>
        <w:jc w:val="both"/>
        <w:rPr>
          <w:rFonts w:ascii="Times New Roman" w:hAnsi="Times New Roman" w:cs="Times New Roman"/>
          <w:color w:val="000000" w:themeColor="text1"/>
        </w:rPr>
      </w:pPr>
      <w:r w:rsidRPr="00164238">
        <w:rPr>
          <w:rFonts w:ascii="Times New Roman" w:hAnsi="Times New Roman" w:cs="Times New Roman"/>
          <w:color w:val="000000" w:themeColor="text1"/>
        </w:rPr>
        <w:t>The CBRT has also implemented a comprehensive package of measures in order to alleviate the negative impact of the epidemic on the economy. This study aims to examine whether the policy measures implemented by the CBRT in the period of March 11, 2020, and November 20, 2020, have an effect on financial indicators with the Toda-Yamamoto causality test through daily data. According to the results, a causality relation could not be determined towards any of the financial variables selected from the total funding amount. On the other hand, there are significant causality relationships from the weighted average funding cost to the bond rates and from the reference interest rate to the exchange rate. Accordingly, it is understood that the CBRT can affect the bond rates and exchange rate by changing the weighted average funding cost and funding composition in the period under consideration.</w:t>
      </w:r>
    </w:p>
    <w:p w14:paraId="45B6C10F" w14:textId="77777777" w:rsidR="001B5F4B" w:rsidRPr="00164238" w:rsidRDefault="001B5F4B" w:rsidP="00DE5DE1">
      <w:pPr>
        <w:spacing w:before="120" w:after="120" w:line="360" w:lineRule="auto"/>
        <w:jc w:val="both"/>
        <w:rPr>
          <w:rFonts w:ascii="Times New Roman" w:hAnsi="Times New Roman" w:cs="Times New Roman"/>
          <w:color w:val="000000" w:themeColor="text1"/>
        </w:rPr>
      </w:pPr>
      <w:r w:rsidRPr="00164238">
        <w:rPr>
          <w:rFonts w:ascii="Times New Roman" w:hAnsi="Times New Roman" w:cs="Times New Roman"/>
          <w:b/>
          <w:color w:val="000000" w:themeColor="text1"/>
        </w:rPr>
        <w:t>Keywords:</w:t>
      </w:r>
      <w:r w:rsidRPr="00164238">
        <w:rPr>
          <w:rFonts w:ascii="Times New Roman" w:hAnsi="Times New Roman" w:cs="Times New Roman"/>
          <w:color w:val="000000" w:themeColor="text1"/>
        </w:rPr>
        <w:t xml:space="preserve"> </w:t>
      </w:r>
      <w:r w:rsidR="000B5426" w:rsidRPr="00164238">
        <w:rPr>
          <w:rFonts w:ascii="Times New Roman" w:hAnsi="Times New Roman" w:cs="Times New Roman"/>
          <w:color w:val="000000" w:themeColor="text1"/>
        </w:rPr>
        <w:t>Covid</w:t>
      </w:r>
      <w:r w:rsidRPr="00164238">
        <w:rPr>
          <w:rFonts w:ascii="Times New Roman" w:hAnsi="Times New Roman" w:cs="Times New Roman"/>
          <w:color w:val="000000" w:themeColor="text1"/>
        </w:rPr>
        <w:t xml:space="preserve">-19, </w:t>
      </w:r>
      <w:r w:rsidR="00E100BC" w:rsidRPr="00164238">
        <w:rPr>
          <w:rFonts w:ascii="Times New Roman" w:hAnsi="Times New Roman" w:cs="Times New Roman"/>
          <w:color w:val="000000" w:themeColor="text1"/>
        </w:rPr>
        <w:t xml:space="preserve">CBRT, </w:t>
      </w:r>
      <w:r w:rsidRPr="00164238">
        <w:rPr>
          <w:rFonts w:ascii="Times New Roman" w:hAnsi="Times New Roman" w:cs="Times New Roman"/>
          <w:color w:val="000000" w:themeColor="text1"/>
        </w:rPr>
        <w:t>Monetary Policy Measures, Financial Markets.</w:t>
      </w:r>
    </w:p>
    <w:p w14:paraId="574CCF25" w14:textId="77777777" w:rsidR="00D90FCB" w:rsidRPr="00164238" w:rsidRDefault="00D90FCB" w:rsidP="007C3550">
      <w:pPr>
        <w:numPr>
          <w:ilvl w:val="0"/>
          <w:numId w:val="2"/>
        </w:numPr>
        <w:spacing w:before="120" w:after="120" w:line="360" w:lineRule="auto"/>
        <w:jc w:val="both"/>
        <w:rPr>
          <w:rFonts w:ascii="Times New Roman" w:hAnsi="Times New Roman" w:cs="Times New Roman"/>
          <w:b/>
          <w:color w:val="000000" w:themeColor="text1"/>
        </w:rPr>
      </w:pPr>
      <w:r w:rsidRPr="00164238">
        <w:rPr>
          <w:rFonts w:ascii="Times New Roman" w:hAnsi="Times New Roman" w:cs="Times New Roman"/>
          <w:b/>
          <w:color w:val="000000" w:themeColor="text1"/>
        </w:rPr>
        <w:t>Giriş</w:t>
      </w:r>
    </w:p>
    <w:p w14:paraId="38B3AD30" w14:textId="77777777" w:rsidR="0046531D" w:rsidRPr="00164238" w:rsidRDefault="00D90FCB" w:rsidP="007D55D3">
      <w:pPr>
        <w:spacing w:before="120" w:after="120" w:line="360" w:lineRule="auto"/>
        <w:ind w:firstLine="709"/>
        <w:jc w:val="both"/>
        <w:rPr>
          <w:rFonts w:ascii="Times New Roman" w:hAnsi="Times New Roman" w:cs="Times New Roman"/>
          <w:color w:val="000000" w:themeColor="text1"/>
          <w:shd w:val="clear" w:color="auto" w:fill="FFFFFF"/>
        </w:rPr>
      </w:pPr>
      <w:r w:rsidRPr="00164238">
        <w:rPr>
          <w:rFonts w:ascii="Times New Roman" w:hAnsi="Times New Roman" w:cs="Times New Roman"/>
          <w:noProof/>
          <w:color w:val="000000" w:themeColor="text1"/>
        </w:rPr>
        <w:t xml:space="preserve">2019 yılının Aralık ayında Çin’in </w:t>
      </w:r>
      <w:r w:rsidR="00E56219" w:rsidRPr="00164238">
        <w:rPr>
          <w:rFonts w:ascii="Times New Roman" w:hAnsi="Times New Roman" w:cs="Times New Roman"/>
          <w:noProof/>
          <w:color w:val="000000" w:themeColor="text1"/>
        </w:rPr>
        <w:t xml:space="preserve">Hubei eyaletinin </w:t>
      </w:r>
      <w:r w:rsidRPr="00164238">
        <w:rPr>
          <w:rFonts w:ascii="Times New Roman" w:hAnsi="Times New Roman" w:cs="Times New Roman"/>
          <w:noProof/>
          <w:color w:val="000000" w:themeColor="text1"/>
        </w:rPr>
        <w:t xml:space="preserve">Wuhan şehrinde </w:t>
      </w:r>
      <w:r w:rsidR="006F3ACA" w:rsidRPr="00164238">
        <w:rPr>
          <w:rFonts w:ascii="Times New Roman" w:hAnsi="Times New Roman" w:cs="Times New Roman"/>
          <w:noProof/>
          <w:color w:val="000000" w:themeColor="text1"/>
        </w:rPr>
        <w:t xml:space="preserve">ortaya çıkan yeni tip korona </w:t>
      </w:r>
      <w:r w:rsidR="00DE5DE1" w:rsidRPr="00164238">
        <w:rPr>
          <w:rFonts w:ascii="Times New Roman" w:hAnsi="Times New Roman" w:cs="Times New Roman"/>
          <w:noProof/>
          <w:color w:val="000000" w:themeColor="text1"/>
        </w:rPr>
        <w:t xml:space="preserve">virüsü </w:t>
      </w:r>
      <w:r w:rsidR="006F3ACA" w:rsidRPr="00164238">
        <w:rPr>
          <w:rFonts w:ascii="Times New Roman" w:hAnsi="Times New Roman" w:cs="Times New Roman"/>
          <w:noProof/>
          <w:color w:val="000000" w:themeColor="text1"/>
        </w:rPr>
        <w:t>(</w:t>
      </w:r>
      <w:r w:rsidR="006F3ACA" w:rsidRPr="00164238">
        <w:rPr>
          <w:rFonts w:ascii="Times New Roman" w:hAnsi="Times New Roman" w:cs="Times New Roman"/>
          <w:noProof/>
          <w:color w:val="000000" w:themeColor="text1"/>
          <w:shd w:val="clear" w:color="auto" w:fill="FFFFFF"/>
        </w:rPr>
        <w:t>SARS-CoV-2 )</w:t>
      </w:r>
      <w:r w:rsidR="006F3ACA" w:rsidRPr="00164238">
        <w:rPr>
          <w:rFonts w:ascii="Times New Roman" w:hAnsi="Times New Roman" w:cs="Times New Roman"/>
          <w:noProof/>
          <w:color w:val="000000" w:themeColor="text1"/>
        </w:rPr>
        <w:t xml:space="preserve"> </w:t>
      </w:r>
      <w:r w:rsidR="00E56219" w:rsidRPr="00164238">
        <w:rPr>
          <w:rFonts w:ascii="Times New Roman" w:hAnsi="Times New Roman" w:cs="Times New Roman"/>
          <w:noProof/>
          <w:color w:val="000000" w:themeColor="text1"/>
        </w:rPr>
        <w:t xml:space="preserve"> </w:t>
      </w:r>
      <w:r w:rsidR="000B5426" w:rsidRPr="00164238">
        <w:rPr>
          <w:rFonts w:ascii="Times New Roman" w:hAnsi="Times New Roman" w:cs="Times New Roman"/>
          <w:noProof/>
          <w:color w:val="000000" w:themeColor="text1"/>
        </w:rPr>
        <w:t>Kovid</w:t>
      </w:r>
      <w:r w:rsidR="00135262" w:rsidRPr="00164238">
        <w:rPr>
          <w:rFonts w:ascii="Times New Roman" w:hAnsi="Times New Roman" w:cs="Times New Roman"/>
          <w:noProof/>
          <w:color w:val="000000" w:themeColor="text1"/>
        </w:rPr>
        <w:t xml:space="preserve">-19 adı verilen bulaşıcı bir hastalığa yol açmıştır. </w:t>
      </w:r>
      <w:r w:rsidR="00135262" w:rsidRPr="00164238">
        <w:rPr>
          <w:rFonts w:ascii="Times New Roman" w:hAnsi="Times New Roman" w:cs="Times New Roman"/>
          <w:noProof/>
          <w:color w:val="000000" w:themeColor="text1"/>
          <w:shd w:val="clear" w:color="auto" w:fill="FFFFFF"/>
        </w:rPr>
        <w:t>D</w:t>
      </w:r>
      <w:r w:rsidR="006F3ACA" w:rsidRPr="00164238">
        <w:rPr>
          <w:rFonts w:ascii="Times New Roman" w:hAnsi="Times New Roman" w:cs="Times New Roman"/>
          <w:noProof/>
          <w:color w:val="000000" w:themeColor="text1"/>
          <w:shd w:val="clear" w:color="auto" w:fill="FFFFFF"/>
        </w:rPr>
        <w:t>amlacık y</w:t>
      </w:r>
      <w:r w:rsidR="005A3D8C" w:rsidRPr="00164238">
        <w:rPr>
          <w:rFonts w:ascii="Times New Roman" w:hAnsi="Times New Roman" w:cs="Times New Roman"/>
          <w:noProof/>
          <w:color w:val="000000" w:themeColor="text1"/>
          <w:shd w:val="clear" w:color="auto" w:fill="FFFFFF"/>
        </w:rPr>
        <w:t>oluyla insandan insana bulaşan</w:t>
      </w:r>
      <w:r w:rsidR="00135262" w:rsidRPr="00164238">
        <w:rPr>
          <w:rFonts w:ascii="Times New Roman" w:hAnsi="Times New Roman" w:cs="Times New Roman"/>
          <w:noProof/>
          <w:color w:val="000000" w:themeColor="text1"/>
          <w:shd w:val="clear" w:color="auto" w:fill="FFFFFF"/>
        </w:rPr>
        <w:t xml:space="preserve"> </w:t>
      </w:r>
      <w:r w:rsidR="000B5426" w:rsidRPr="00164238">
        <w:rPr>
          <w:rFonts w:ascii="Times New Roman" w:hAnsi="Times New Roman" w:cs="Times New Roman"/>
          <w:noProof/>
          <w:color w:val="000000" w:themeColor="text1"/>
          <w:shd w:val="clear" w:color="auto" w:fill="FFFFFF"/>
        </w:rPr>
        <w:t>Kovid</w:t>
      </w:r>
      <w:r w:rsidR="00135262" w:rsidRPr="00164238">
        <w:rPr>
          <w:rFonts w:ascii="Times New Roman" w:hAnsi="Times New Roman" w:cs="Times New Roman"/>
          <w:noProof/>
          <w:color w:val="000000" w:themeColor="text1"/>
          <w:shd w:val="clear" w:color="auto" w:fill="FFFFFF"/>
        </w:rPr>
        <w:t xml:space="preserve">-19 </w:t>
      </w:r>
      <w:r w:rsidR="00447A98" w:rsidRPr="00164238">
        <w:rPr>
          <w:rFonts w:ascii="Times New Roman" w:hAnsi="Times New Roman" w:cs="Times New Roman"/>
          <w:noProof/>
          <w:color w:val="000000" w:themeColor="text1"/>
        </w:rPr>
        <w:t xml:space="preserve">Dünya Sağlık Örgütü tarafından 30 Ocak 2020 tarihinde uluslararası kamu sağlığı acil durumu, 11 Mart 2020 tarihinde ise pandemi olarak ilan edilmiştir. </w:t>
      </w:r>
      <w:r w:rsidR="005A3D8C" w:rsidRPr="00164238">
        <w:rPr>
          <w:rFonts w:ascii="Times New Roman" w:hAnsi="Times New Roman" w:cs="Times New Roman"/>
          <w:noProof/>
          <w:color w:val="000000" w:themeColor="text1"/>
        </w:rPr>
        <w:t>Sonrasında</w:t>
      </w:r>
      <w:r w:rsidR="0046531D" w:rsidRPr="00164238">
        <w:rPr>
          <w:rFonts w:ascii="Times New Roman" w:hAnsi="Times New Roman" w:cs="Times New Roman"/>
          <w:noProof/>
          <w:color w:val="000000" w:themeColor="text1"/>
        </w:rPr>
        <w:t xml:space="preserve"> ciddi bir te</w:t>
      </w:r>
      <w:r w:rsidR="005A3D8C" w:rsidRPr="00164238">
        <w:rPr>
          <w:rFonts w:ascii="Times New Roman" w:hAnsi="Times New Roman" w:cs="Times New Roman"/>
          <w:noProof/>
          <w:color w:val="000000" w:themeColor="text1"/>
        </w:rPr>
        <w:t>hdit olarak algınan virüsün</w:t>
      </w:r>
      <w:r w:rsidR="0046531D" w:rsidRPr="00164238">
        <w:rPr>
          <w:rFonts w:ascii="Times New Roman" w:hAnsi="Times New Roman" w:cs="Times New Roman"/>
          <w:noProof/>
          <w:color w:val="000000" w:themeColor="text1"/>
        </w:rPr>
        <w:t xml:space="preserve"> yayılmasını engellemek adına alarm durumuna geçilmiş ve ciddi tedbirler uygulamaya geçirilmiştir. Bu bağlamda</w:t>
      </w:r>
      <w:r w:rsidR="005A3D8C" w:rsidRPr="00164238">
        <w:rPr>
          <w:rFonts w:ascii="Times New Roman" w:hAnsi="Times New Roman" w:cs="Times New Roman"/>
          <w:noProof/>
          <w:color w:val="000000" w:themeColor="text1"/>
        </w:rPr>
        <w:t>,</w:t>
      </w:r>
      <w:r w:rsidR="0046531D" w:rsidRPr="00164238">
        <w:rPr>
          <w:rFonts w:ascii="Times New Roman" w:hAnsi="Times New Roman" w:cs="Times New Roman"/>
          <w:noProof/>
          <w:color w:val="000000" w:themeColor="text1"/>
        </w:rPr>
        <w:t xml:space="preserve"> bir taraftan ülkeler birbirlerine sınırlarını kapatırken diğer taraftan ülke sınırları içerisinde karantina uygulamaları başlamış</w:t>
      </w:r>
      <w:r w:rsidR="001D73E8" w:rsidRPr="00164238">
        <w:rPr>
          <w:rFonts w:ascii="Times New Roman" w:hAnsi="Times New Roman" w:cs="Times New Roman"/>
          <w:noProof/>
          <w:color w:val="000000" w:themeColor="text1"/>
        </w:rPr>
        <w:t>, toplu etkinlikler yasaklanmış, a</w:t>
      </w:r>
      <w:r w:rsidR="0046531D" w:rsidRPr="00164238">
        <w:rPr>
          <w:rFonts w:ascii="Times New Roman" w:hAnsi="Times New Roman" w:cs="Times New Roman"/>
          <w:noProof/>
          <w:color w:val="000000" w:themeColor="text1"/>
        </w:rPr>
        <w:t>lışılagelmiş sosyal hayatın işleyişi büyük ölçüde durma noktasına gelmiş</w:t>
      </w:r>
      <w:r w:rsidR="001D73E8" w:rsidRPr="00164238">
        <w:rPr>
          <w:rFonts w:ascii="Times New Roman" w:hAnsi="Times New Roman" w:cs="Times New Roman"/>
          <w:noProof/>
          <w:color w:val="000000" w:themeColor="text1"/>
        </w:rPr>
        <w:t>tir.</w:t>
      </w:r>
      <w:r w:rsidR="00AD10D5" w:rsidRPr="00164238">
        <w:rPr>
          <w:rFonts w:ascii="Times New Roman" w:hAnsi="Times New Roman" w:cs="Times New Roman"/>
          <w:noProof/>
          <w:color w:val="000000" w:themeColor="text1"/>
        </w:rPr>
        <w:t xml:space="preserve"> Diğer taraftan</w:t>
      </w:r>
      <w:r w:rsidR="00DE5DE1" w:rsidRPr="00164238">
        <w:rPr>
          <w:rFonts w:ascii="Times New Roman" w:hAnsi="Times New Roman" w:cs="Times New Roman"/>
          <w:noProof/>
          <w:color w:val="000000" w:themeColor="text1"/>
        </w:rPr>
        <w:t>,</w:t>
      </w:r>
      <w:r w:rsidR="00AD10D5" w:rsidRPr="00164238">
        <w:rPr>
          <w:rFonts w:ascii="Times New Roman" w:hAnsi="Times New Roman" w:cs="Times New Roman"/>
          <w:noProof/>
          <w:color w:val="000000" w:themeColor="text1"/>
        </w:rPr>
        <w:t xml:space="preserve"> dünya ticaret </w:t>
      </w:r>
      <w:r w:rsidR="00DE5DE1" w:rsidRPr="00164238">
        <w:rPr>
          <w:rFonts w:ascii="Times New Roman" w:hAnsi="Times New Roman" w:cs="Times New Roman"/>
          <w:noProof/>
          <w:color w:val="000000" w:themeColor="text1"/>
        </w:rPr>
        <w:t xml:space="preserve">hacmi önemli ölçüde daralmış, </w:t>
      </w:r>
      <w:r w:rsidR="00AD10D5" w:rsidRPr="00164238">
        <w:rPr>
          <w:rFonts w:ascii="Times New Roman" w:hAnsi="Times New Roman" w:cs="Times New Roman"/>
          <w:noProof/>
          <w:color w:val="000000" w:themeColor="text1"/>
        </w:rPr>
        <w:t>ihracat ve ithalat yapılamaz hale gelmiştir</w:t>
      </w:r>
      <w:r w:rsidR="00AD10D5" w:rsidRPr="00164238">
        <w:rPr>
          <w:rFonts w:ascii="Times New Roman" w:hAnsi="Times New Roman" w:cs="Times New Roman"/>
          <w:color w:val="000000" w:themeColor="text1"/>
        </w:rPr>
        <w:t xml:space="preserve"> (Kaya, 2020: 233). </w:t>
      </w:r>
      <w:r w:rsidR="001D73E8" w:rsidRPr="00164238">
        <w:rPr>
          <w:rFonts w:ascii="Times New Roman" w:hAnsi="Times New Roman" w:cs="Times New Roman"/>
          <w:color w:val="000000" w:themeColor="text1"/>
        </w:rPr>
        <w:t xml:space="preserve"> </w:t>
      </w:r>
      <w:r w:rsidR="00656756" w:rsidRPr="00164238">
        <w:rPr>
          <w:rFonts w:ascii="Times New Roman" w:hAnsi="Times New Roman" w:cs="Times New Roman"/>
          <w:color w:val="000000" w:themeColor="text1"/>
        </w:rPr>
        <w:t>R</w:t>
      </w:r>
      <w:r w:rsidR="001D73E8" w:rsidRPr="00164238">
        <w:rPr>
          <w:rFonts w:ascii="Times New Roman" w:hAnsi="Times New Roman" w:cs="Times New Roman"/>
          <w:color w:val="000000" w:themeColor="text1"/>
        </w:rPr>
        <w:t xml:space="preserve">isk </w:t>
      </w:r>
      <w:r w:rsidR="001D73E8" w:rsidRPr="00164238">
        <w:rPr>
          <w:rFonts w:ascii="Times New Roman" w:hAnsi="Times New Roman" w:cs="Times New Roman"/>
          <w:noProof/>
          <w:color w:val="000000" w:themeColor="text1"/>
        </w:rPr>
        <w:t>algısındaki keskin artış nedeni ile özellikle de gelişmekte olan ülkelerdeki portföy yatırımları çözülerek büyük sermaye çıkış</w:t>
      </w:r>
      <w:r w:rsidR="005A3D8C" w:rsidRPr="00164238">
        <w:rPr>
          <w:rFonts w:ascii="Times New Roman" w:hAnsi="Times New Roman" w:cs="Times New Roman"/>
          <w:noProof/>
          <w:color w:val="000000" w:themeColor="text1"/>
        </w:rPr>
        <w:t>lar</w:t>
      </w:r>
      <w:r w:rsidR="001D73E8" w:rsidRPr="00164238">
        <w:rPr>
          <w:rFonts w:ascii="Times New Roman" w:hAnsi="Times New Roman" w:cs="Times New Roman"/>
          <w:noProof/>
          <w:color w:val="000000" w:themeColor="text1"/>
        </w:rPr>
        <w:t xml:space="preserve">ı gerçekleşmiştir. </w:t>
      </w:r>
      <w:r w:rsidR="00534F95" w:rsidRPr="00164238">
        <w:rPr>
          <w:rFonts w:ascii="Times New Roman" w:hAnsi="Times New Roman" w:cs="Times New Roman"/>
          <w:noProof/>
          <w:color w:val="000000" w:themeColor="text1"/>
          <w:shd w:val="clear" w:color="auto" w:fill="FFFFFF"/>
        </w:rPr>
        <w:t xml:space="preserve">Bu </w:t>
      </w:r>
      <w:r w:rsidR="005A3D8C" w:rsidRPr="00164238">
        <w:rPr>
          <w:rFonts w:ascii="Times New Roman" w:hAnsi="Times New Roman" w:cs="Times New Roman"/>
          <w:noProof/>
          <w:color w:val="000000" w:themeColor="text1"/>
          <w:shd w:val="clear" w:color="auto" w:fill="FFFFFF"/>
        </w:rPr>
        <w:t>panik</w:t>
      </w:r>
      <w:r w:rsidR="002A56E9" w:rsidRPr="00164238">
        <w:rPr>
          <w:rFonts w:ascii="Times New Roman" w:hAnsi="Times New Roman" w:cs="Times New Roman"/>
          <w:noProof/>
          <w:color w:val="000000" w:themeColor="text1"/>
          <w:shd w:val="clear" w:color="auto" w:fill="FFFFFF"/>
        </w:rPr>
        <w:t xml:space="preserve"> ortamında artan belirsizlikler,</w:t>
      </w:r>
      <w:r w:rsidR="00534F95" w:rsidRPr="00164238">
        <w:rPr>
          <w:rFonts w:ascii="Times New Roman" w:hAnsi="Times New Roman" w:cs="Times New Roman"/>
          <w:noProof/>
          <w:color w:val="000000" w:themeColor="text1"/>
          <w:shd w:val="clear" w:color="auto" w:fill="FFFFFF"/>
        </w:rPr>
        <w:t xml:space="preserve"> hisse senedi </w:t>
      </w:r>
      <w:r w:rsidR="00534F95" w:rsidRPr="00164238">
        <w:rPr>
          <w:rFonts w:ascii="Times New Roman" w:hAnsi="Times New Roman" w:cs="Times New Roman"/>
          <w:noProof/>
          <w:color w:val="000000" w:themeColor="text1"/>
          <w:shd w:val="clear" w:color="auto" w:fill="FFFFFF"/>
        </w:rPr>
        <w:lastRenderedPageBreak/>
        <w:t>piyasalarının çöküşüne, döviz kurlarının ve faiz oranlarının daha oynak ve belirsiz hale gelmesine neden olmuştur</w:t>
      </w:r>
      <w:r w:rsidR="002A56E9" w:rsidRPr="00164238">
        <w:rPr>
          <w:rFonts w:ascii="Times New Roman" w:hAnsi="Times New Roman" w:cs="Times New Roman"/>
          <w:noProof/>
          <w:color w:val="000000" w:themeColor="text1"/>
          <w:shd w:val="clear" w:color="auto" w:fill="FFFFFF"/>
        </w:rPr>
        <w:t xml:space="preserve"> (</w:t>
      </w:r>
      <w:hyperlink r:id="rId8" w:history="1">
        <w:r w:rsidR="001938A0" w:rsidRPr="00164238">
          <w:rPr>
            <w:rStyle w:val="Balk1Char"/>
            <w:rFonts w:ascii="Times New Roman" w:hAnsi="Times New Roman" w:cs="Times New Roman"/>
            <w:noProof/>
            <w:color w:val="000000" w:themeColor="text1"/>
            <w:sz w:val="22"/>
            <w:szCs w:val="22"/>
            <w:shd w:val="clear" w:color="auto" w:fill="FFFFFF"/>
          </w:rPr>
          <w:t>www.tcmb.gov.tr</w:t>
        </w:r>
      </w:hyperlink>
      <w:r w:rsidR="002A56E9" w:rsidRPr="00164238">
        <w:rPr>
          <w:rFonts w:ascii="Times New Roman" w:hAnsi="Times New Roman" w:cs="Times New Roman"/>
          <w:noProof/>
          <w:color w:val="000000" w:themeColor="text1"/>
          <w:shd w:val="clear" w:color="auto" w:fill="FFFFFF"/>
        </w:rPr>
        <w:t>).</w:t>
      </w:r>
      <w:r w:rsidR="009D50E1" w:rsidRPr="00164238">
        <w:rPr>
          <w:rFonts w:ascii="Times New Roman" w:hAnsi="Times New Roman" w:cs="Times New Roman"/>
          <w:noProof/>
          <w:color w:val="000000" w:themeColor="text1"/>
          <w:shd w:val="clear" w:color="auto" w:fill="FFFFFF"/>
        </w:rPr>
        <w:t xml:space="preserve"> </w:t>
      </w:r>
      <w:r w:rsidR="001D73E8" w:rsidRPr="00164238">
        <w:rPr>
          <w:rFonts w:ascii="Times New Roman" w:hAnsi="Times New Roman" w:cs="Times New Roman"/>
          <w:noProof/>
          <w:color w:val="000000" w:themeColor="text1"/>
        </w:rPr>
        <w:t>Böylelikle</w:t>
      </w:r>
      <w:r w:rsidR="005A3D8C" w:rsidRPr="00164238">
        <w:rPr>
          <w:rFonts w:ascii="Times New Roman" w:hAnsi="Times New Roman" w:cs="Times New Roman"/>
          <w:noProof/>
          <w:color w:val="000000" w:themeColor="text1"/>
        </w:rPr>
        <w:t>,</w:t>
      </w:r>
      <w:r w:rsidR="001D73E8" w:rsidRPr="00164238">
        <w:rPr>
          <w:rFonts w:ascii="Times New Roman" w:hAnsi="Times New Roman" w:cs="Times New Roman"/>
          <w:noProof/>
          <w:color w:val="000000" w:themeColor="text1"/>
        </w:rPr>
        <w:t xml:space="preserve"> başlangıçta bir sağlık sorunu olan </w:t>
      </w:r>
      <w:r w:rsidR="000B5426" w:rsidRPr="00164238">
        <w:rPr>
          <w:rFonts w:ascii="Times New Roman" w:hAnsi="Times New Roman" w:cs="Times New Roman"/>
          <w:noProof/>
          <w:color w:val="000000" w:themeColor="text1"/>
        </w:rPr>
        <w:t>Kovid</w:t>
      </w:r>
      <w:r w:rsidR="001D73E8" w:rsidRPr="00164238">
        <w:rPr>
          <w:rFonts w:ascii="Times New Roman" w:hAnsi="Times New Roman" w:cs="Times New Roman"/>
          <w:noProof/>
          <w:color w:val="000000" w:themeColor="text1"/>
        </w:rPr>
        <w:t>-19</w:t>
      </w:r>
      <w:r w:rsidR="00DE5DE1" w:rsidRPr="00164238">
        <w:rPr>
          <w:rFonts w:ascii="Times New Roman" w:hAnsi="Times New Roman" w:cs="Times New Roman"/>
          <w:noProof/>
          <w:color w:val="000000" w:themeColor="text1"/>
        </w:rPr>
        <w:t>,</w:t>
      </w:r>
      <w:r w:rsidR="001D73E8" w:rsidRPr="00164238">
        <w:rPr>
          <w:rFonts w:ascii="Times New Roman" w:hAnsi="Times New Roman" w:cs="Times New Roman"/>
          <w:noProof/>
          <w:color w:val="000000" w:themeColor="text1"/>
        </w:rPr>
        <w:t xml:space="preserve"> </w:t>
      </w:r>
      <w:r w:rsidR="009D50E1" w:rsidRPr="00164238">
        <w:rPr>
          <w:rFonts w:ascii="Times New Roman" w:hAnsi="Times New Roman" w:cs="Times New Roman"/>
          <w:noProof/>
          <w:color w:val="000000" w:themeColor="text1"/>
          <w:shd w:val="clear" w:color="auto" w:fill="FFFFFF"/>
        </w:rPr>
        <w:t>Dünya Ekonomik Forumunda</w:t>
      </w:r>
      <w:r w:rsidR="0052595C" w:rsidRPr="00164238">
        <w:rPr>
          <w:rFonts w:ascii="Times New Roman" w:hAnsi="Times New Roman" w:cs="Times New Roman"/>
          <w:noProof/>
          <w:color w:val="000000" w:themeColor="text1"/>
          <w:shd w:val="clear" w:color="auto" w:fill="FFFFFF"/>
        </w:rPr>
        <w:t xml:space="preserve"> </w:t>
      </w:r>
      <w:r w:rsidR="009D50E1" w:rsidRPr="00164238">
        <w:rPr>
          <w:rFonts w:ascii="Times New Roman" w:hAnsi="Times New Roman" w:cs="Times New Roman"/>
          <w:noProof/>
          <w:color w:val="000000" w:themeColor="text1"/>
          <w:shd w:val="clear" w:color="auto" w:fill="FFFFFF"/>
        </w:rPr>
        <w:t>2007-08'deki Büyük Mali Kri</w:t>
      </w:r>
      <w:r w:rsidR="0052595C" w:rsidRPr="00164238">
        <w:rPr>
          <w:rFonts w:ascii="Times New Roman" w:hAnsi="Times New Roman" w:cs="Times New Roman"/>
          <w:noProof/>
          <w:color w:val="000000" w:themeColor="text1"/>
          <w:shd w:val="clear" w:color="auto" w:fill="FFFFFF"/>
        </w:rPr>
        <w:t>zinden bile daha şiddetli olacağı</w:t>
      </w:r>
      <w:r w:rsidR="009D50E1" w:rsidRPr="00164238">
        <w:rPr>
          <w:rFonts w:ascii="Times New Roman" w:hAnsi="Times New Roman" w:cs="Times New Roman"/>
          <w:noProof/>
          <w:color w:val="000000" w:themeColor="text1"/>
          <w:shd w:val="clear" w:color="auto" w:fill="FFFFFF"/>
        </w:rPr>
        <w:t xml:space="preserve"> ifade edilen </w:t>
      </w:r>
      <w:r w:rsidR="001D73E8" w:rsidRPr="00164238">
        <w:rPr>
          <w:rFonts w:ascii="Times New Roman" w:hAnsi="Times New Roman" w:cs="Times New Roman"/>
          <w:noProof/>
          <w:color w:val="000000" w:themeColor="text1"/>
        </w:rPr>
        <w:t>bir çeşit küresel ekonomik krize dönüşmüştür</w:t>
      </w:r>
      <w:r w:rsidR="005A3D8C" w:rsidRPr="00164238">
        <w:rPr>
          <w:rFonts w:ascii="Times New Roman" w:hAnsi="Times New Roman" w:cs="Times New Roman"/>
          <w:noProof/>
          <w:color w:val="000000" w:themeColor="text1"/>
        </w:rPr>
        <w:t xml:space="preserve"> </w:t>
      </w:r>
      <w:r w:rsidR="005A3D8C" w:rsidRPr="00164238">
        <w:rPr>
          <w:rFonts w:ascii="Times New Roman" w:hAnsi="Times New Roman" w:cs="Times New Roman"/>
          <w:noProof/>
          <w:color w:val="000000" w:themeColor="text1"/>
          <w:shd w:val="clear" w:color="auto" w:fill="FFFFFF"/>
        </w:rPr>
        <w:t>(</w:t>
      </w:r>
      <w:r w:rsidR="005A3D8C" w:rsidRPr="00164238">
        <w:rPr>
          <w:rFonts w:ascii="Times New Roman" w:hAnsi="Times New Roman" w:cs="Times New Roman"/>
          <w:noProof/>
          <w:color w:val="000000" w:themeColor="text1"/>
        </w:rPr>
        <w:t>World Economic Forum 2020:1)</w:t>
      </w:r>
      <w:r w:rsidR="001D73E8" w:rsidRPr="00164238">
        <w:rPr>
          <w:rFonts w:ascii="Times New Roman" w:hAnsi="Times New Roman" w:cs="Times New Roman"/>
          <w:noProof/>
          <w:color w:val="000000" w:themeColor="text1"/>
        </w:rPr>
        <w:t xml:space="preserve">. </w:t>
      </w:r>
      <w:r w:rsidR="000B5426" w:rsidRPr="00164238">
        <w:rPr>
          <w:rFonts w:ascii="Times New Roman" w:hAnsi="Times New Roman" w:cs="Times New Roman"/>
          <w:noProof/>
          <w:color w:val="000000" w:themeColor="text1"/>
        </w:rPr>
        <w:t>Kovid-19 salgını</w:t>
      </w:r>
      <w:r w:rsidR="00DE0EE5" w:rsidRPr="00164238">
        <w:rPr>
          <w:rFonts w:ascii="Times New Roman" w:hAnsi="Times New Roman" w:cs="Times New Roman"/>
          <w:noProof/>
          <w:color w:val="000000" w:themeColor="text1"/>
        </w:rPr>
        <w:t>,</w:t>
      </w:r>
      <w:r w:rsidR="001938A0" w:rsidRPr="00164238">
        <w:rPr>
          <w:rFonts w:ascii="Times New Roman" w:hAnsi="Times New Roman" w:cs="Times New Roman"/>
          <w:noProof/>
          <w:color w:val="000000" w:themeColor="text1"/>
        </w:rPr>
        <w:t xml:space="preserve"> </w:t>
      </w:r>
      <w:r w:rsidR="000B5426" w:rsidRPr="00164238">
        <w:rPr>
          <w:rFonts w:ascii="Times New Roman" w:hAnsi="Times New Roman" w:cs="Times New Roman"/>
          <w:noProof/>
          <w:color w:val="000000" w:themeColor="text1"/>
        </w:rPr>
        <w:t>ekonomik etkileri</w:t>
      </w:r>
      <w:r w:rsidR="00DE0EE5" w:rsidRPr="00164238">
        <w:rPr>
          <w:rFonts w:ascii="Times New Roman" w:hAnsi="Times New Roman" w:cs="Times New Roman"/>
          <w:noProof/>
          <w:color w:val="000000" w:themeColor="text1"/>
        </w:rPr>
        <w:t xml:space="preserve"> bakımından</w:t>
      </w:r>
      <w:r w:rsidR="000B5426" w:rsidRPr="00164238">
        <w:rPr>
          <w:rFonts w:ascii="Times New Roman" w:hAnsi="Times New Roman" w:cs="Times New Roman"/>
          <w:noProof/>
          <w:color w:val="000000" w:themeColor="text1"/>
        </w:rPr>
        <w:t xml:space="preserve"> </w:t>
      </w:r>
      <w:r w:rsidR="001938A0" w:rsidRPr="00164238">
        <w:rPr>
          <w:rFonts w:ascii="Times New Roman" w:hAnsi="Times New Roman" w:cs="Times New Roman"/>
          <w:noProof/>
          <w:color w:val="000000" w:themeColor="text1"/>
        </w:rPr>
        <w:t>son 100 yıl</w:t>
      </w:r>
      <w:r w:rsidR="00DE0EE5" w:rsidRPr="00164238">
        <w:rPr>
          <w:rFonts w:ascii="Times New Roman" w:hAnsi="Times New Roman" w:cs="Times New Roman"/>
          <w:noProof/>
          <w:color w:val="000000" w:themeColor="text1"/>
        </w:rPr>
        <w:t>da yaşanan</w:t>
      </w:r>
      <w:r w:rsidR="001938A0" w:rsidRPr="00164238">
        <w:rPr>
          <w:rFonts w:ascii="Times New Roman" w:hAnsi="Times New Roman" w:cs="Times New Roman"/>
          <w:noProof/>
          <w:color w:val="000000" w:themeColor="text1"/>
        </w:rPr>
        <w:t xml:space="preserve"> salgınlar</w:t>
      </w:r>
      <w:r w:rsidR="00DE0EE5" w:rsidRPr="00164238">
        <w:rPr>
          <w:rFonts w:ascii="Times New Roman" w:hAnsi="Times New Roman" w:cs="Times New Roman"/>
          <w:noProof/>
          <w:color w:val="000000" w:themeColor="text1"/>
        </w:rPr>
        <w:t>ın</w:t>
      </w:r>
      <w:r w:rsidR="001938A0" w:rsidRPr="00164238">
        <w:rPr>
          <w:rFonts w:ascii="Times New Roman" w:hAnsi="Times New Roman" w:cs="Times New Roman"/>
          <w:noProof/>
          <w:color w:val="000000" w:themeColor="text1"/>
        </w:rPr>
        <w:t xml:space="preserve">, </w:t>
      </w:r>
      <w:r w:rsidR="00DE0EE5" w:rsidRPr="00164238">
        <w:rPr>
          <w:rFonts w:ascii="Times New Roman" w:hAnsi="Times New Roman" w:cs="Times New Roman"/>
          <w:noProof/>
          <w:color w:val="000000" w:themeColor="text1"/>
        </w:rPr>
        <w:t>1929</w:t>
      </w:r>
      <w:r w:rsidR="001938A0" w:rsidRPr="00164238">
        <w:rPr>
          <w:rFonts w:ascii="Times New Roman" w:hAnsi="Times New Roman" w:cs="Times New Roman"/>
          <w:noProof/>
          <w:color w:val="000000" w:themeColor="text1"/>
        </w:rPr>
        <w:t xml:space="preserve"> ve 2008 </w:t>
      </w:r>
      <w:r w:rsidR="00DE0EE5" w:rsidRPr="00164238">
        <w:rPr>
          <w:rFonts w:ascii="Times New Roman" w:hAnsi="Times New Roman" w:cs="Times New Roman"/>
          <w:noProof/>
          <w:color w:val="000000" w:themeColor="text1"/>
        </w:rPr>
        <w:t xml:space="preserve">küresel krizlerinin ortak </w:t>
      </w:r>
      <w:r w:rsidR="00DE5DE1" w:rsidRPr="00164238">
        <w:rPr>
          <w:rFonts w:ascii="Times New Roman" w:hAnsi="Times New Roman" w:cs="Times New Roman"/>
          <w:noProof/>
          <w:color w:val="000000" w:themeColor="text1"/>
        </w:rPr>
        <w:t xml:space="preserve">ögelerini </w:t>
      </w:r>
      <w:r w:rsidR="00DE0EE5" w:rsidRPr="00164238">
        <w:rPr>
          <w:rFonts w:ascii="Times New Roman" w:hAnsi="Times New Roman" w:cs="Times New Roman"/>
          <w:noProof/>
          <w:color w:val="000000" w:themeColor="text1"/>
        </w:rPr>
        <w:t xml:space="preserve">içermektedir </w:t>
      </w:r>
      <w:r w:rsidR="001938A0" w:rsidRPr="00164238">
        <w:rPr>
          <w:rFonts w:ascii="Times New Roman" w:hAnsi="Times New Roman" w:cs="Times New Roman"/>
          <w:noProof/>
          <w:color w:val="000000" w:themeColor="text1"/>
        </w:rPr>
        <w:t>(Eryüzlü</w:t>
      </w:r>
      <w:r w:rsidR="001938A0" w:rsidRPr="00164238">
        <w:rPr>
          <w:rFonts w:ascii="Times New Roman" w:hAnsi="Times New Roman" w:cs="Times New Roman"/>
          <w:color w:val="000000" w:themeColor="text1"/>
        </w:rPr>
        <w:t>, 2020:12).</w:t>
      </w:r>
    </w:p>
    <w:p w14:paraId="6007CFBF" w14:textId="77777777" w:rsidR="006807CF" w:rsidRPr="00A40273" w:rsidRDefault="006E661C" w:rsidP="007D55D3">
      <w:pPr>
        <w:autoSpaceDE w:val="0"/>
        <w:autoSpaceDN w:val="0"/>
        <w:adjustRightInd w:val="0"/>
        <w:spacing w:before="120" w:after="120" w:line="360" w:lineRule="auto"/>
        <w:ind w:firstLine="709"/>
        <w:jc w:val="both"/>
        <w:rPr>
          <w:rFonts w:ascii="Times New Roman" w:hAnsi="Times New Roman" w:cs="Times New Roman"/>
          <w:color w:val="000000" w:themeColor="text1"/>
        </w:rPr>
      </w:pPr>
      <w:r w:rsidRPr="00164238">
        <w:rPr>
          <w:rFonts w:ascii="Times New Roman" w:hAnsi="Times New Roman" w:cs="Times New Roman"/>
          <w:noProof/>
          <w:color w:val="000000" w:themeColor="text1"/>
          <w:lang w:val="en-US"/>
        </w:rPr>
        <w:t>Yaşanan ekonomik kriz ortamında</w:t>
      </w:r>
      <w:r w:rsidR="00DE5DE1" w:rsidRPr="00164238">
        <w:rPr>
          <w:rFonts w:ascii="Times New Roman" w:hAnsi="Times New Roman" w:cs="Times New Roman"/>
          <w:noProof/>
          <w:color w:val="000000" w:themeColor="text1"/>
          <w:lang w:val="en-US"/>
        </w:rPr>
        <w:t>,</w:t>
      </w:r>
      <w:r w:rsidRPr="00164238">
        <w:rPr>
          <w:rFonts w:ascii="Times New Roman" w:hAnsi="Times New Roman" w:cs="Times New Roman"/>
          <w:noProof/>
          <w:color w:val="000000" w:themeColor="text1"/>
          <w:lang w:val="en-US"/>
        </w:rPr>
        <w:t xml:space="preserve"> t</w:t>
      </w:r>
      <w:r w:rsidR="00DE52F2" w:rsidRPr="00164238">
        <w:rPr>
          <w:rFonts w:ascii="Times New Roman" w:hAnsi="Times New Roman" w:cs="Times New Roman"/>
          <w:noProof/>
          <w:color w:val="000000" w:themeColor="text1"/>
          <w:lang w:val="en-US"/>
        </w:rPr>
        <w:t>üm dünya s</w:t>
      </w:r>
      <w:r w:rsidR="0052595C" w:rsidRPr="00164238">
        <w:rPr>
          <w:rFonts w:ascii="Times New Roman" w:hAnsi="Times New Roman" w:cs="Times New Roman"/>
          <w:noProof/>
          <w:color w:val="000000" w:themeColor="text1"/>
          <w:lang w:val="en-US"/>
        </w:rPr>
        <w:t>algının</w:t>
      </w:r>
      <w:r w:rsidR="00DE52F2" w:rsidRPr="00164238">
        <w:rPr>
          <w:rFonts w:ascii="Times New Roman" w:hAnsi="Times New Roman" w:cs="Times New Roman"/>
          <w:noProof/>
          <w:color w:val="000000" w:themeColor="text1"/>
          <w:lang w:val="en-US"/>
        </w:rPr>
        <w:t xml:space="preserve"> ortaya çıkardığı yıkıcı etkileri telafi edebilmek için acil politika tedbirlerini</w:t>
      </w:r>
      <w:r w:rsidR="0052595C" w:rsidRPr="00164238">
        <w:rPr>
          <w:rFonts w:ascii="Times New Roman" w:hAnsi="Times New Roman" w:cs="Times New Roman"/>
          <w:noProof/>
          <w:color w:val="000000" w:themeColor="text1"/>
          <w:lang w:val="en-US"/>
        </w:rPr>
        <w:t xml:space="preserve"> </w:t>
      </w:r>
      <w:r w:rsidR="006807CF" w:rsidRPr="00164238">
        <w:rPr>
          <w:rFonts w:ascii="Times New Roman" w:hAnsi="Times New Roman" w:cs="Times New Roman"/>
          <w:noProof/>
          <w:color w:val="000000" w:themeColor="text1"/>
          <w:lang w:val="en-US"/>
        </w:rPr>
        <w:t xml:space="preserve">acil bir şekilde </w:t>
      </w:r>
      <w:r w:rsidR="0052595C" w:rsidRPr="00164238">
        <w:rPr>
          <w:rFonts w:ascii="Times New Roman" w:hAnsi="Times New Roman" w:cs="Times New Roman"/>
          <w:noProof/>
          <w:color w:val="000000" w:themeColor="text1"/>
          <w:lang w:val="en-US"/>
        </w:rPr>
        <w:t>devreye sokmuştur. Maliye politikası tarafından salgından en fazla etkilenen hanehalkı ve firmaların desteklenmesi için bir adımlar atılırken, merkez bankaları da piyasaya gerekli likiditeyi sağlamak için harekete  geçmiştir.</w:t>
      </w:r>
      <w:r w:rsidR="00AD10D5" w:rsidRPr="00164238">
        <w:rPr>
          <w:rFonts w:ascii="Times New Roman" w:hAnsi="Times New Roman" w:cs="Times New Roman"/>
          <w:noProof/>
          <w:color w:val="000000" w:themeColor="text1"/>
          <w:lang w:val="en-US"/>
        </w:rPr>
        <w:t xml:space="preserve"> </w:t>
      </w:r>
      <w:r w:rsidR="003B455F" w:rsidRPr="00164238">
        <w:rPr>
          <w:rFonts w:ascii="Times New Roman" w:hAnsi="Times New Roman" w:cs="Times New Roman"/>
          <w:noProof/>
          <w:color w:val="000000" w:themeColor="text1"/>
          <w:lang w:val="en-US"/>
        </w:rPr>
        <w:t>Tü</w:t>
      </w:r>
      <w:r w:rsidR="00A23104" w:rsidRPr="00164238">
        <w:rPr>
          <w:rFonts w:ascii="Times New Roman" w:hAnsi="Times New Roman" w:cs="Times New Roman"/>
          <w:noProof/>
          <w:color w:val="000000" w:themeColor="text1"/>
          <w:lang w:val="en-US"/>
        </w:rPr>
        <w:t>rkiye Cumhuriyet Merkez Bankası (TCMB)</w:t>
      </w:r>
      <w:r w:rsidR="003B455F" w:rsidRPr="00164238">
        <w:rPr>
          <w:rFonts w:ascii="Times New Roman" w:hAnsi="Times New Roman" w:cs="Times New Roman"/>
          <w:noProof/>
          <w:color w:val="000000" w:themeColor="text1"/>
          <w:lang w:val="en-US"/>
        </w:rPr>
        <w:t xml:space="preserve"> </w:t>
      </w:r>
      <w:r w:rsidR="006807CF" w:rsidRPr="00164238">
        <w:rPr>
          <w:rFonts w:ascii="Times New Roman" w:hAnsi="Times New Roman" w:cs="Times New Roman"/>
          <w:noProof/>
          <w:color w:val="000000" w:themeColor="text1"/>
          <w:lang w:val="en-US"/>
        </w:rPr>
        <w:t>salgının piyasalar üzerindeki etkisini hafifletmek amacı ile kapsamlı bir tedb</w:t>
      </w:r>
      <w:r w:rsidRPr="00164238">
        <w:rPr>
          <w:rFonts w:ascii="Times New Roman" w:hAnsi="Times New Roman" w:cs="Times New Roman"/>
          <w:noProof/>
          <w:color w:val="000000" w:themeColor="text1"/>
          <w:lang w:val="en-US"/>
        </w:rPr>
        <w:t>ir paketini uygulamaya koymuş,</w:t>
      </w:r>
      <w:r w:rsidR="006807CF" w:rsidRPr="00164238">
        <w:rPr>
          <w:rFonts w:ascii="Times New Roman" w:hAnsi="Times New Roman" w:cs="Times New Roman"/>
          <w:noProof/>
          <w:color w:val="000000" w:themeColor="text1"/>
          <w:lang w:val="en-US"/>
        </w:rPr>
        <w:t xml:space="preserve"> bankacılık sektörüne ve reel sektöre ihtiyaç duydukları likiditeyi uygun koşullarla sağlamayı amaçlamıştır</w:t>
      </w:r>
      <w:r w:rsidR="006807CF" w:rsidRPr="00164238">
        <w:rPr>
          <w:rFonts w:ascii="Times New Roman" w:hAnsi="Times New Roman" w:cs="Times New Roman"/>
          <w:color w:val="000000" w:themeColor="text1"/>
          <w:lang w:val="en-US"/>
        </w:rPr>
        <w:t xml:space="preserve">. </w:t>
      </w:r>
      <w:r w:rsidR="006807CF" w:rsidRPr="00164238">
        <w:rPr>
          <w:rFonts w:ascii="Times New Roman" w:hAnsi="Times New Roman" w:cs="Times New Roman"/>
          <w:color w:val="000000" w:themeColor="text1"/>
        </w:rPr>
        <w:t>Bu bağlamda, Türkiye’de finansal sistemin banka temelli işlemesi nedeniyle özellikle fonlama kanalının açık tutulması amaçlanmış, bu amaçla sisteme kullandırılan fon miktarı art</w:t>
      </w:r>
      <w:r w:rsidRPr="00164238">
        <w:rPr>
          <w:rFonts w:ascii="Times New Roman" w:hAnsi="Times New Roman" w:cs="Times New Roman"/>
          <w:color w:val="000000" w:themeColor="text1"/>
        </w:rPr>
        <w:t>tırılırken, fonlama maliyeti de</w:t>
      </w:r>
      <w:r w:rsidR="006807CF" w:rsidRPr="00164238">
        <w:rPr>
          <w:rFonts w:ascii="Times New Roman" w:hAnsi="Times New Roman" w:cs="Times New Roman"/>
          <w:color w:val="000000" w:themeColor="text1"/>
        </w:rPr>
        <w:t xml:space="preserve"> düşürülmüştür (</w:t>
      </w:r>
      <w:r w:rsidR="006807CF" w:rsidRPr="00164238">
        <w:rPr>
          <w:rFonts w:ascii="Times New Roman" w:hAnsi="Times New Roman" w:cs="Times New Roman"/>
          <w:noProof/>
          <w:color w:val="000000" w:themeColor="text1"/>
          <w:lang w:val="en-US"/>
        </w:rPr>
        <w:t>Kartal, İbiş ve Çatıkkaş, 2</w:t>
      </w:r>
      <w:r w:rsidR="006807CF" w:rsidRPr="00164238">
        <w:rPr>
          <w:rFonts w:ascii="Times New Roman" w:hAnsi="Times New Roman" w:cs="Times New Roman"/>
          <w:color w:val="000000" w:themeColor="text1"/>
          <w:lang w:val="en-US"/>
        </w:rPr>
        <w:t>018:150).</w:t>
      </w:r>
      <w:r w:rsidR="006807CF" w:rsidRPr="00164238">
        <w:rPr>
          <w:rFonts w:ascii="Times New Roman" w:hAnsi="Times New Roman" w:cs="Times New Roman"/>
          <w:color w:val="000000" w:themeColor="text1"/>
        </w:rPr>
        <w:t xml:space="preserve"> Hem yerli hem yabancı para likidite yönetiminde esneklik ve öngörülebilirlik arttırılmıştır. </w:t>
      </w:r>
      <w:r w:rsidR="00E63182" w:rsidRPr="00164238">
        <w:rPr>
          <w:rFonts w:ascii="Times New Roman" w:hAnsi="Times New Roman" w:cs="Times New Roman"/>
          <w:noProof/>
          <w:color w:val="000000" w:themeColor="text1"/>
          <w:lang w:val="en-US"/>
        </w:rPr>
        <w:t>Böylelikle</w:t>
      </w:r>
      <w:r w:rsidR="00DE5DE1" w:rsidRPr="00164238">
        <w:rPr>
          <w:rFonts w:ascii="Times New Roman" w:hAnsi="Times New Roman" w:cs="Times New Roman"/>
          <w:noProof/>
          <w:color w:val="000000" w:themeColor="text1"/>
          <w:lang w:val="en-US"/>
        </w:rPr>
        <w:t>,</w:t>
      </w:r>
      <w:r w:rsidR="00E63182" w:rsidRPr="00164238">
        <w:rPr>
          <w:rFonts w:ascii="Times New Roman" w:hAnsi="Times New Roman" w:cs="Times New Roman"/>
          <w:noProof/>
          <w:color w:val="000000" w:themeColor="text1"/>
          <w:lang w:val="en-US"/>
        </w:rPr>
        <w:t xml:space="preserve"> </w:t>
      </w:r>
      <w:r w:rsidR="006807CF" w:rsidRPr="00164238">
        <w:rPr>
          <w:rFonts w:ascii="Times New Roman" w:hAnsi="Times New Roman" w:cs="Times New Roman"/>
          <w:noProof/>
          <w:color w:val="000000" w:themeColor="text1"/>
          <w:lang w:val="en-US"/>
        </w:rPr>
        <w:t xml:space="preserve">finansal piyasaların, kredi kanalının ve firmaların nakit akışının kesintisiz ve sağlıklı bir şekilde işlemeye devam etmesi </w:t>
      </w:r>
      <w:r w:rsidR="006807CF" w:rsidRPr="00A40273">
        <w:rPr>
          <w:rFonts w:ascii="Times New Roman" w:hAnsi="Times New Roman" w:cs="Times New Roman"/>
          <w:color w:val="000000" w:themeColor="text1"/>
        </w:rPr>
        <w:t>amaçlanmıştır (</w:t>
      </w:r>
      <w:hyperlink r:id="rId9" w:history="1">
        <w:r w:rsidR="00E63182" w:rsidRPr="00A40273">
          <w:t>www.tcmb.gov.tr</w:t>
        </w:r>
      </w:hyperlink>
      <w:r w:rsidR="006807CF" w:rsidRPr="00A40273">
        <w:rPr>
          <w:rFonts w:ascii="Times New Roman" w:hAnsi="Times New Roman" w:cs="Times New Roman"/>
          <w:color w:val="000000" w:themeColor="text1"/>
        </w:rPr>
        <w:t>).</w:t>
      </w:r>
    </w:p>
    <w:p w14:paraId="26B9ACE7" w14:textId="77777777" w:rsidR="00466159" w:rsidRPr="00164238" w:rsidRDefault="000B5426" w:rsidP="007D55D3">
      <w:pPr>
        <w:autoSpaceDE w:val="0"/>
        <w:autoSpaceDN w:val="0"/>
        <w:adjustRightInd w:val="0"/>
        <w:spacing w:before="120" w:after="120" w:line="360" w:lineRule="auto"/>
        <w:ind w:firstLine="709"/>
        <w:jc w:val="both"/>
        <w:rPr>
          <w:rFonts w:ascii="Times New Roman" w:hAnsi="Times New Roman" w:cs="Times New Roman"/>
          <w:color w:val="000000" w:themeColor="text1"/>
        </w:rPr>
      </w:pPr>
      <w:r w:rsidRPr="00164238">
        <w:rPr>
          <w:rFonts w:ascii="Times New Roman" w:hAnsi="Times New Roman" w:cs="Times New Roman"/>
          <w:color w:val="000000" w:themeColor="text1"/>
        </w:rPr>
        <w:t>K</w:t>
      </w:r>
      <w:r w:rsidR="00DE52F2" w:rsidRPr="00164238">
        <w:rPr>
          <w:rFonts w:ascii="Times New Roman" w:hAnsi="Times New Roman" w:cs="Times New Roman"/>
          <w:color w:val="000000" w:themeColor="text1"/>
        </w:rPr>
        <w:t>ovid-19</w:t>
      </w:r>
      <w:r w:rsidR="00E63182" w:rsidRPr="00164238">
        <w:rPr>
          <w:rFonts w:ascii="Times New Roman" w:hAnsi="Times New Roman" w:cs="Times New Roman"/>
          <w:color w:val="000000" w:themeColor="text1"/>
        </w:rPr>
        <w:t xml:space="preserve"> salgınının küresel çapta yarattığı belirsizliğin meydana getireceği tahriba</w:t>
      </w:r>
      <w:r w:rsidR="006E661C" w:rsidRPr="00164238">
        <w:rPr>
          <w:rFonts w:ascii="Times New Roman" w:hAnsi="Times New Roman" w:cs="Times New Roman"/>
          <w:color w:val="000000" w:themeColor="text1"/>
        </w:rPr>
        <w:t xml:space="preserve">tın sınırlandırılması amacıyla TCMB </w:t>
      </w:r>
      <w:r w:rsidR="00E63182" w:rsidRPr="00164238">
        <w:rPr>
          <w:rFonts w:ascii="Times New Roman" w:hAnsi="Times New Roman" w:cs="Times New Roman"/>
          <w:color w:val="000000" w:themeColor="text1"/>
        </w:rPr>
        <w:t>(i) bankaların Türk lirası ve yabancı para likidite yönetiminde esneklik sağlanarak öngörülebilirliğin artırılmasına, (ii) reel sektöre kredi akışının kesintisiz devamını teminen bankalara hedefli ilave likidite imkânları tanınmasına, (iii) reeskont kredi düzenlemeleriyle ihracatçı firmaların nakit ak</w:t>
      </w:r>
      <w:r w:rsidR="00DE52F2" w:rsidRPr="00164238">
        <w:rPr>
          <w:rFonts w:ascii="Times New Roman" w:hAnsi="Times New Roman" w:cs="Times New Roman"/>
          <w:color w:val="000000" w:themeColor="text1"/>
        </w:rPr>
        <w:t xml:space="preserve">ışının desteklenmesine yönelik </w:t>
      </w:r>
      <w:r w:rsidR="006E661C" w:rsidRPr="00164238">
        <w:rPr>
          <w:rFonts w:ascii="Times New Roman" w:hAnsi="Times New Roman" w:cs="Times New Roman"/>
          <w:color w:val="000000" w:themeColor="text1"/>
        </w:rPr>
        <w:t xml:space="preserve">tedbirler almıştır. Alınan </w:t>
      </w:r>
      <w:r w:rsidR="00E63182" w:rsidRPr="00164238">
        <w:rPr>
          <w:rFonts w:ascii="Times New Roman" w:hAnsi="Times New Roman" w:cs="Times New Roman"/>
          <w:color w:val="000000" w:themeColor="text1"/>
        </w:rPr>
        <w:t>tedbirler</w:t>
      </w:r>
      <w:r w:rsidR="00DE52F2" w:rsidRPr="00164238">
        <w:rPr>
          <w:rFonts w:ascii="Times New Roman" w:hAnsi="Times New Roman" w:cs="Times New Roman"/>
          <w:color w:val="000000" w:themeColor="text1"/>
        </w:rPr>
        <w:t xml:space="preserve"> aşağıdaki şekilde özetlenebilmektedir</w:t>
      </w:r>
      <w:r w:rsidR="00466159" w:rsidRPr="00164238">
        <w:rPr>
          <w:rFonts w:ascii="Times New Roman" w:hAnsi="Times New Roman" w:cs="Times New Roman"/>
          <w:color w:val="000000" w:themeColor="text1"/>
        </w:rPr>
        <w:t xml:space="preserve"> (</w:t>
      </w:r>
      <w:hyperlink r:id="rId10" w:history="1">
        <w:r w:rsidR="00466159" w:rsidRPr="00164238">
          <w:rPr>
            <w:rStyle w:val="Balk1Char"/>
            <w:rFonts w:ascii="Times New Roman" w:hAnsi="Times New Roman" w:cs="Times New Roman"/>
            <w:color w:val="000000" w:themeColor="text1"/>
            <w:sz w:val="22"/>
            <w:szCs w:val="22"/>
          </w:rPr>
          <w:t>www.tcmb.gov.tr</w:t>
        </w:r>
      </w:hyperlink>
      <w:r w:rsidR="00466159" w:rsidRPr="00164238">
        <w:rPr>
          <w:rFonts w:ascii="Times New Roman" w:hAnsi="Times New Roman" w:cs="Times New Roman"/>
          <w:color w:val="000000" w:themeColor="text1"/>
        </w:rPr>
        <w:t>):</w:t>
      </w:r>
    </w:p>
    <w:p w14:paraId="3C2ADD94" w14:textId="77777777" w:rsidR="005D2462" w:rsidRPr="00164238" w:rsidRDefault="00E63182" w:rsidP="00466159">
      <w:pPr>
        <w:numPr>
          <w:ilvl w:val="0"/>
          <w:numId w:val="1"/>
        </w:numPr>
        <w:autoSpaceDE w:val="0"/>
        <w:autoSpaceDN w:val="0"/>
        <w:adjustRightInd w:val="0"/>
        <w:spacing w:before="120" w:after="120" w:line="360" w:lineRule="auto"/>
        <w:jc w:val="both"/>
        <w:rPr>
          <w:rFonts w:ascii="Times New Roman" w:hAnsi="Times New Roman" w:cs="Times New Roman"/>
          <w:color w:val="000000" w:themeColor="text1"/>
        </w:rPr>
      </w:pPr>
      <w:r w:rsidRPr="00164238">
        <w:rPr>
          <w:rFonts w:ascii="Times New Roman" w:hAnsi="Times New Roman" w:cs="Times New Roman"/>
          <w:noProof/>
          <w:color w:val="000000" w:themeColor="text1"/>
          <w:lang w:val="en-US"/>
        </w:rPr>
        <w:t>P</w:t>
      </w:r>
      <w:r w:rsidR="00DE5DE1" w:rsidRPr="00164238">
        <w:rPr>
          <w:rFonts w:ascii="Times New Roman" w:hAnsi="Times New Roman" w:cs="Times New Roman"/>
          <w:noProof/>
          <w:color w:val="000000" w:themeColor="text1"/>
          <w:lang w:val="en-US"/>
        </w:rPr>
        <w:t xml:space="preserve">ara Politikası Kurulu </w:t>
      </w:r>
      <w:r w:rsidRPr="00164238">
        <w:rPr>
          <w:rFonts w:ascii="Times New Roman" w:hAnsi="Times New Roman" w:cs="Times New Roman"/>
          <w:color w:val="000000" w:themeColor="text1"/>
          <w:lang w:val="en-US"/>
        </w:rPr>
        <w:t xml:space="preserve"> </w:t>
      </w:r>
      <w:r w:rsidR="001B283B" w:rsidRPr="00164238">
        <w:rPr>
          <w:rFonts w:ascii="Times New Roman" w:hAnsi="Times New Roman" w:cs="Times New Roman"/>
          <w:color w:val="000000" w:themeColor="text1"/>
        </w:rPr>
        <w:t>politika faiz oranı</w:t>
      </w:r>
      <w:r w:rsidR="00DE5DE1" w:rsidRPr="00164238">
        <w:rPr>
          <w:rFonts w:ascii="Times New Roman" w:hAnsi="Times New Roman" w:cs="Times New Roman"/>
          <w:color w:val="000000" w:themeColor="text1"/>
        </w:rPr>
        <w:t>nı</w:t>
      </w:r>
      <w:r w:rsidR="005D2462" w:rsidRPr="00164238">
        <w:rPr>
          <w:rFonts w:ascii="Times New Roman" w:hAnsi="Times New Roman" w:cs="Times New Roman"/>
          <w:color w:val="000000" w:themeColor="text1"/>
        </w:rPr>
        <w:t xml:space="preserve"> 17 Mart </w:t>
      </w:r>
      <w:r w:rsidR="001B283B" w:rsidRPr="00164238">
        <w:rPr>
          <w:rFonts w:ascii="Times New Roman" w:hAnsi="Times New Roman" w:cs="Times New Roman"/>
          <w:color w:val="000000" w:themeColor="text1"/>
        </w:rPr>
        <w:t xml:space="preserve">tarihinden </w:t>
      </w:r>
      <w:r w:rsidR="005D2462" w:rsidRPr="00164238">
        <w:rPr>
          <w:rFonts w:ascii="Times New Roman" w:hAnsi="Times New Roman" w:cs="Times New Roman"/>
          <w:color w:val="000000" w:themeColor="text1"/>
        </w:rPr>
        <w:t xml:space="preserve">ve </w:t>
      </w:r>
      <w:r w:rsidR="001B283B" w:rsidRPr="00164238">
        <w:rPr>
          <w:rFonts w:ascii="Times New Roman" w:hAnsi="Times New Roman" w:cs="Times New Roman"/>
          <w:color w:val="000000" w:themeColor="text1"/>
        </w:rPr>
        <w:t>21 Mayıs’a kadar</w:t>
      </w:r>
      <w:r w:rsidR="005D2462" w:rsidRPr="00164238">
        <w:rPr>
          <w:rFonts w:ascii="Times New Roman" w:hAnsi="Times New Roman" w:cs="Times New Roman"/>
          <w:color w:val="000000" w:themeColor="text1"/>
        </w:rPr>
        <w:t xml:space="preserve"> toplam 250 baz puan indir</w:t>
      </w:r>
      <w:r w:rsidR="001B283B" w:rsidRPr="00164238">
        <w:rPr>
          <w:rFonts w:ascii="Times New Roman" w:hAnsi="Times New Roman" w:cs="Times New Roman"/>
          <w:color w:val="000000" w:themeColor="text1"/>
        </w:rPr>
        <w:t>erek %8,2</w:t>
      </w:r>
      <w:r w:rsidR="00DE5DE1" w:rsidRPr="00164238">
        <w:rPr>
          <w:rFonts w:ascii="Times New Roman" w:hAnsi="Times New Roman" w:cs="Times New Roman"/>
          <w:color w:val="000000" w:themeColor="text1"/>
        </w:rPr>
        <w:t>5’e getirdi.</w:t>
      </w:r>
    </w:p>
    <w:p w14:paraId="5383516E" w14:textId="77777777" w:rsidR="00FA0CEC" w:rsidRPr="00164238" w:rsidRDefault="0045132F" w:rsidP="00466159">
      <w:pPr>
        <w:numPr>
          <w:ilvl w:val="0"/>
          <w:numId w:val="1"/>
        </w:numPr>
        <w:autoSpaceDE w:val="0"/>
        <w:autoSpaceDN w:val="0"/>
        <w:adjustRightInd w:val="0"/>
        <w:spacing w:before="120" w:after="120" w:line="360"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lang w:val="en-US"/>
        </w:rPr>
        <w:t xml:space="preserve"> </w:t>
      </w:r>
      <w:r w:rsidR="00E63182" w:rsidRPr="00164238">
        <w:rPr>
          <w:rFonts w:ascii="Times New Roman" w:hAnsi="Times New Roman" w:cs="Times New Roman"/>
          <w:noProof/>
          <w:color w:val="000000" w:themeColor="text1"/>
          <w:lang w:val="en-US"/>
        </w:rPr>
        <w:t xml:space="preserve">Sistemin fonlama ihtiyacındaki artışa </w:t>
      </w:r>
      <w:r w:rsidR="007935BD" w:rsidRPr="00164238">
        <w:rPr>
          <w:rFonts w:ascii="Times New Roman" w:hAnsi="Times New Roman" w:cs="Times New Roman"/>
          <w:noProof/>
          <w:color w:val="000000" w:themeColor="text1"/>
          <w:lang w:val="en-US"/>
        </w:rPr>
        <w:t>paral</w:t>
      </w:r>
      <w:r w:rsidR="00DE52F2" w:rsidRPr="00164238">
        <w:rPr>
          <w:rFonts w:ascii="Times New Roman" w:hAnsi="Times New Roman" w:cs="Times New Roman"/>
          <w:noProof/>
          <w:color w:val="000000" w:themeColor="text1"/>
          <w:lang w:val="en-US"/>
        </w:rPr>
        <w:t xml:space="preserve">el bir şekilde </w:t>
      </w:r>
      <w:r w:rsidR="00E63182" w:rsidRPr="00164238">
        <w:rPr>
          <w:rFonts w:ascii="Times New Roman" w:hAnsi="Times New Roman" w:cs="Times New Roman"/>
          <w:noProof/>
          <w:color w:val="000000" w:themeColor="text1"/>
          <w:lang w:val="en-US"/>
        </w:rPr>
        <w:t>açık piyasa işlemleri (APİ) aracılığıyla sağlanan net fonlama miktarı arttırıldı.</w:t>
      </w:r>
      <w:r w:rsidR="00FA0CEC" w:rsidRPr="00164238">
        <w:rPr>
          <w:rFonts w:ascii="Times New Roman" w:hAnsi="Times New Roman" w:cs="Times New Roman"/>
          <w:color w:val="000000" w:themeColor="text1"/>
        </w:rPr>
        <w:t xml:space="preserve"> </w:t>
      </w:r>
      <w:r w:rsidR="00DE52F2" w:rsidRPr="00164238">
        <w:rPr>
          <w:rFonts w:ascii="Times New Roman" w:hAnsi="Times New Roman" w:cs="Times New Roman"/>
          <w:color w:val="000000" w:themeColor="text1"/>
        </w:rPr>
        <w:t>Bilanço verilerine göre artış oranı 2020 yılı M</w:t>
      </w:r>
      <w:r w:rsidR="00FC316F" w:rsidRPr="00164238">
        <w:rPr>
          <w:rFonts w:ascii="Times New Roman" w:hAnsi="Times New Roman" w:cs="Times New Roman"/>
          <w:color w:val="000000" w:themeColor="text1"/>
        </w:rPr>
        <w:t>ayıs ayı başında 2</w:t>
      </w:r>
      <w:r w:rsidR="00DE52F2" w:rsidRPr="00164238">
        <w:rPr>
          <w:rFonts w:ascii="Times New Roman" w:hAnsi="Times New Roman" w:cs="Times New Roman"/>
          <w:color w:val="000000" w:themeColor="text1"/>
        </w:rPr>
        <w:t xml:space="preserve">019 yılı sonuna göre %60’ </w:t>
      </w:r>
      <w:r w:rsidR="007935BD" w:rsidRPr="00164238">
        <w:rPr>
          <w:rFonts w:ascii="Times New Roman" w:hAnsi="Times New Roman" w:cs="Times New Roman"/>
          <w:color w:val="000000" w:themeColor="text1"/>
        </w:rPr>
        <w:t>a ulaştı.</w:t>
      </w:r>
    </w:p>
    <w:p w14:paraId="6FD7BA8E" w14:textId="77777777" w:rsidR="00F30183" w:rsidRPr="00164238" w:rsidRDefault="00E63182" w:rsidP="00466159">
      <w:pPr>
        <w:numPr>
          <w:ilvl w:val="0"/>
          <w:numId w:val="1"/>
        </w:numPr>
        <w:spacing w:before="120" w:after="120" w:line="360" w:lineRule="auto"/>
        <w:jc w:val="both"/>
        <w:rPr>
          <w:rFonts w:ascii="Times New Roman" w:hAnsi="Times New Roman" w:cs="Times New Roman"/>
          <w:noProof/>
          <w:color w:val="000000" w:themeColor="text1"/>
          <w:lang w:val="en-US"/>
        </w:rPr>
      </w:pPr>
      <w:r w:rsidRPr="00164238">
        <w:rPr>
          <w:rFonts w:ascii="Times New Roman" w:hAnsi="Times New Roman" w:cs="Times New Roman"/>
          <w:noProof/>
          <w:color w:val="000000" w:themeColor="text1"/>
          <w:lang w:val="en-US"/>
        </w:rPr>
        <w:t xml:space="preserve">Devlet İç Borçlanma Senetleri (DİBS) Piyasası likiditesinin desteklenmesine yönelik </w:t>
      </w:r>
      <w:r w:rsidR="00F30183" w:rsidRPr="00164238">
        <w:rPr>
          <w:rFonts w:ascii="Times New Roman" w:hAnsi="Times New Roman" w:cs="Times New Roman"/>
          <w:noProof/>
          <w:color w:val="000000" w:themeColor="text1"/>
          <w:lang w:val="en-US"/>
        </w:rPr>
        <w:t>TCMB’nin piyasa yapıcı bankaların işsizlik fonundan aldıkları devlet tahvillerinden satın aldığı miktar</w:t>
      </w:r>
      <w:r w:rsidR="00DE5DE1" w:rsidRPr="00164238">
        <w:rPr>
          <w:rFonts w:ascii="Times New Roman" w:hAnsi="Times New Roman" w:cs="Times New Roman"/>
          <w:noProof/>
          <w:color w:val="000000" w:themeColor="text1"/>
          <w:lang w:val="en-US"/>
        </w:rPr>
        <w:t>,</w:t>
      </w:r>
      <w:r w:rsidR="00F30183" w:rsidRPr="00164238">
        <w:rPr>
          <w:rFonts w:ascii="Times New Roman" w:hAnsi="Times New Roman" w:cs="Times New Roman"/>
          <w:noProof/>
          <w:color w:val="000000" w:themeColor="text1"/>
          <w:lang w:val="en-US"/>
        </w:rPr>
        <w:t xml:space="preserve"> analitik bilanço toplamının %10’u oranına ulaştı. </w:t>
      </w:r>
    </w:p>
    <w:p w14:paraId="421CD25F" w14:textId="77777777" w:rsidR="00466159" w:rsidRPr="00164238" w:rsidRDefault="007935BD" w:rsidP="00466159">
      <w:pPr>
        <w:numPr>
          <w:ilvl w:val="0"/>
          <w:numId w:val="1"/>
        </w:numPr>
        <w:autoSpaceDE w:val="0"/>
        <w:autoSpaceDN w:val="0"/>
        <w:adjustRightInd w:val="0"/>
        <w:spacing w:before="120" w:after="120" w:line="360" w:lineRule="auto"/>
        <w:jc w:val="both"/>
        <w:rPr>
          <w:rFonts w:ascii="Times New Roman" w:hAnsi="Times New Roman" w:cs="Times New Roman"/>
          <w:noProof/>
          <w:color w:val="000000" w:themeColor="text1"/>
          <w:lang w:val="en-US"/>
        </w:rPr>
      </w:pPr>
      <w:r w:rsidRPr="00164238">
        <w:rPr>
          <w:rFonts w:ascii="Times New Roman" w:hAnsi="Times New Roman" w:cs="Times New Roman"/>
          <w:noProof/>
          <w:color w:val="000000" w:themeColor="text1"/>
          <w:lang w:val="en-US"/>
        </w:rPr>
        <w:lastRenderedPageBreak/>
        <w:t>Z</w:t>
      </w:r>
      <w:r w:rsidR="00E63182" w:rsidRPr="00164238">
        <w:rPr>
          <w:rFonts w:ascii="Times New Roman" w:hAnsi="Times New Roman" w:cs="Times New Roman"/>
          <w:noProof/>
          <w:color w:val="000000" w:themeColor="text1"/>
          <w:lang w:val="en-US"/>
        </w:rPr>
        <w:t>oru</w:t>
      </w:r>
      <w:r w:rsidRPr="00164238">
        <w:rPr>
          <w:rFonts w:ascii="Times New Roman" w:hAnsi="Times New Roman" w:cs="Times New Roman"/>
          <w:noProof/>
          <w:color w:val="000000" w:themeColor="text1"/>
          <w:lang w:val="en-US"/>
        </w:rPr>
        <w:t>nlu karşılıklara ödenen faizler</w:t>
      </w:r>
      <w:r w:rsidR="00E63182" w:rsidRPr="00164238">
        <w:rPr>
          <w:rFonts w:ascii="Times New Roman" w:hAnsi="Times New Roman" w:cs="Times New Roman"/>
          <w:noProof/>
          <w:color w:val="000000" w:themeColor="text1"/>
          <w:lang w:val="en-US"/>
        </w:rPr>
        <w:t xml:space="preserve"> değiştir</w:t>
      </w:r>
      <w:r w:rsidRPr="00164238">
        <w:rPr>
          <w:rFonts w:ascii="Times New Roman" w:hAnsi="Times New Roman" w:cs="Times New Roman"/>
          <w:noProof/>
          <w:color w:val="000000" w:themeColor="text1"/>
          <w:lang w:val="en-US"/>
        </w:rPr>
        <w:t>il</w:t>
      </w:r>
      <w:r w:rsidR="00E63182" w:rsidRPr="00164238">
        <w:rPr>
          <w:rFonts w:ascii="Times New Roman" w:hAnsi="Times New Roman" w:cs="Times New Roman"/>
          <w:noProof/>
          <w:color w:val="000000" w:themeColor="text1"/>
          <w:lang w:val="en-US"/>
        </w:rPr>
        <w:t>di.</w:t>
      </w:r>
      <w:r w:rsidR="00FA0CEC" w:rsidRPr="00164238">
        <w:rPr>
          <w:rFonts w:ascii="Times New Roman" w:hAnsi="Times New Roman" w:cs="Times New Roman"/>
          <w:noProof/>
          <w:color w:val="000000" w:themeColor="text1"/>
        </w:rPr>
        <w:t xml:space="preserve"> </w:t>
      </w:r>
    </w:p>
    <w:p w14:paraId="66BF58DB" w14:textId="77777777" w:rsidR="00E63182" w:rsidRPr="00164238" w:rsidRDefault="00E63182" w:rsidP="00466159">
      <w:pPr>
        <w:numPr>
          <w:ilvl w:val="0"/>
          <w:numId w:val="1"/>
        </w:numPr>
        <w:autoSpaceDE w:val="0"/>
        <w:autoSpaceDN w:val="0"/>
        <w:adjustRightInd w:val="0"/>
        <w:spacing w:before="120" w:after="120" w:line="360" w:lineRule="auto"/>
        <w:jc w:val="both"/>
        <w:rPr>
          <w:rFonts w:ascii="Times New Roman" w:hAnsi="Times New Roman" w:cs="Times New Roman"/>
          <w:noProof/>
          <w:color w:val="000000" w:themeColor="text1"/>
          <w:lang w:val="en-US"/>
        </w:rPr>
      </w:pPr>
      <w:r w:rsidRPr="00164238">
        <w:rPr>
          <w:rFonts w:ascii="Times New Roman" w:hAnsi="Times New Roman" w:cs="Times New Roman"/>
          <w:noProof/>
          <w:color w:val="000000" w:themeColor="text1"/>
          <w:lang w:val="en-US"/>
        </w:rPr>
        <w:t>Reel sektöre kredi akışının kesintisiz devamını teminen bankalara hedefli ilave likidite imkânları tanındı</w:t>
      </w:r>
      <w:r w:rsidR="007935BD" w:rsidRPr="00164238">
        <w:rPr>
          <w:rFonts w:ascii="Times New Roman" w:hAnsi="Times New Roman" w:cs="Times New Roman"/>
          <w:noProof/>
          <w:color w:val="000000" w:themeColor="text1"/>
          <w:lang w:val="en-US"/>
        </w:rPr>
        <w:t>.</w:t>
      </w:r>
    </w:p>
    <w:p w14:paraId="55C0BB4C" w14:textId="77777777" w:rsidR="00E63182" w:rsidRPr="00164238" w:rsidRDefault="00E63182" w:rsidP="00466159">
      <w:pPr>
        <w:numPr>
          <w:ilvl w:val="0"/>
          <w:numId w:val="1"/>
        </w:numPr>
        <w:spacing w:before="120" w:after="120" w:line="360" w:lineRule="auto"/>
        <w:jc w:val="both"/>
        <w:rPr>
          <w:rFonts w:ascii="Times New Roman" w:hAnsi="Times New Roman" w:cs="Times New Roman"/>
          <w:color w:val="000000" w:themeColor="text1"/>
          <w:lang w:val="en-US"/>
        </w:rPr>
      </w:pPr>
      <w:r w:rsidRPr="00164238">
        <w:rPr>
          <w:rFonts w:ascii="Times New Roman" w:hAnsi="Times New Roman" w:cs="Times New Roman"/>
          <w:noProof/>
          <w:color w:val="000000" w:themeColor="text1"/>
          <w:lang w:val="en-US"/>
        </w:rPr>
        <w:t>İhracatçı firmaların nakit akışının desteklenmesine yönelik reeskont kredi düzenlemeleri yapıldı.</w:t>
      </w:r>
    </w:p>
    <w:p w14:paraId="5DDE4878" w14:textId="77777777" w:rsidR="00E666D1" w:rsidRPr="00164238" w:rsidRDefault="00E666D1" w:rsidP="007D55D3">
      <w:pPr>
        <w:autoSpaceDE w:val="0"/>
        <w:autoSpaceDN w:val="0"/>
        <w:adjustRightInd w:val="0"/>
        <w:spacing w:before="120" w:after="120" w:line="360" w:lineRule="auto"/>
        <w:ind w:firstLine="709"/>
        <w:jc w:val="both"/>
        <w:rPr>
          <w:rFonts w:ascii="Times New Roman" w:hAnsi="Times New Roman" w:cs="Times New Roman"/>
          <w:noProof/>
          <w:color w:val="000000" w:themeColor="text1"/>
          <w:lang w:val="en-US"/>
        </w:rPr>
      </w:pPr>
      <w:r w:rsidRPr="00164238">
        <w:rPr>
          <w:rFonts w:ascii="Times New Roman" w:hAnsi="Times New Roman" w:cs="Times New Roman"/>
          <w:noProof/>
          <w:color w:val="000000" w:themeColor="text1"/>
          <w:lang w:val="en-US"/>
        </w:rPr>
        <w:t>TCMB tarafından uygulanan para politikası tedbirl</w:t>
      </w:r>
      <w:r w:rsidR="00B70ABD" w:rsidRPr="00164238">
        <w:rPr>
          <w:rFonts w:ascii="Times New Roman" w:hAnsi="Times New Roman" w:cs="Times New Roman"/>
          <w:noProof/>
          <w:color w:val="000000" w:themeColor="text1"/>
          <w:lang w:val="en-US"/>
        </w:rPr>
        <w:t>eri</w:t>
      </w:r>
      <w:r w:rsidR="00466159" w:rsidRPr="00164238">
        <w:rPr>
          <w:rFonts w:ascii="Times New Roman" w:hAnsi="Times New Roman" w:cs="Times New Roman"/>
          <w:noProof/>
          <w:color w:val="000000" w:themeColor="text1"/>
          <w:lang w:val="en-US"/>
        </w:rPr>
        <w:t xml:space="preserve"> para politikası araçları üzerinden izlenebilmektedir.</w:t>
      </w:r>
      <w:r w:rsidR="00B70ABD" w:rsidRPr="00164238">
        <w:rPr>
          <w:rFonts w:ascii="Times New Roman" w:hAnsi="Times New Roman" w:cs="Times New Roman"/>
          <w:noProof/>
          <w:color w:val="000000" w:themeColor="text1"/>
          <w:lang w:val="en-US"/>
        </w:rPr>
        <w:t xml:space="preserve"> </w:t>
      </w:r>
      <w:r w:rsidR="00DE54E4" w:rsidRPr="00164238">
        <w:rPr>
          <w:rFonts w:ascii="Times New Roman" w:hAnsi="Times New Roman" w:cs="Times New Roman"/>
          <w:noProof/>
          <w:color w:val="000000" w:themeColor="text1"/>
          <w:lang w:val="en-US"/>
        </w:rPr>
        <w:t xml:space="preserve">Grafik 1’de ele alınan dönemde uygulanan para politikasına ilişkin </w:t>
      </w:r>
      <w:r w:rsidR="007935BD" w:rsidRPr="00164238">
        <w:rPr>
          <w:rFonts w:ascii="Times New Roman" w:hAnsi="Times New Roman" w:cs="Times New Roman"/>
          <w:noProof/>
          <w:color w:val="000000" w:themeColor="text1"/>
          <w:lang w:val="en-US"/>
        </w:rPr>
        <w:t xml:space="preserve">seçilmiş </w:t>
      </w:r>
      <w:r w:rsidR="00DE54E4" w:rsidRPr="00164238">
        <w:rPr>
          <w:rFonts w:ascii="Times New Roman" w:hAnsi="Times New Roman" w:cs="Times New Roman"/>
          <w:noProof/>
          <w:color w:val="000000" w:themeColor="text1"/>
          <w:lang w:val="en-US"/>
        </w:rPr>
        <w:t>göstergelerin gelişimi sunulmaktadır. Grafik 1’ e göre TCMB</w:t>
      </w:r>
      <w:r w:rsidR="007935BD" w:rsidRPr="00164238">
        <w:rPr>
          <w:rFonts w:ascii="Times New Roman" w:hAnsi="Times New Roman" w:cs="Times New Roman"/>
          <w:noProof/>
          <w:color w:val="000000" w:themeColor="text1"/>
          <w:lang w:val="en-US"/>
        </w:rPr>
        <w:t>’nin</w:t>
      </w:r>
      <w:r w:rsidR="00DE54E4" w:rsidRPr="00164238">
        <w:rPr>
          <w:rFonts w:ascii="Times New Roman" w:hAnsi="Times New Roman" w:cs="Times New Roman"/>
          <w:noProof/>
          <w:color w:val="000000" w:themeColor="text1"/>
          <w:lang w:val="en-US"/>
        </w:rPr>
        <w:t xml:space="preserve"> pandeminin başlangıcından </w:t>
      </w:r>
      <w:r w:rsidR="00E35929" w:rsidRPr="00164238">
        <w:rPr>
          <w:rFonts w:ascii="Times New Roman" w:hAnsi="Times New Roman" w:cs="Times New Roman"/>
          <w:noProof/>
          <w:color w:val="000000" w:themeColor="text1"/>
          <w:lang w:val="en-US"/>
        </w:rPr>
        <w:t xml:space="preserve">15 Eylül 2020 tarihine kadar piyasalara yapmış olduğu toplam fonlama miktarını kademeli  bir şekilde yükselttiği görülmektedir. </w:t>
      </w:r>
      <w:r w:rsidR="00466159" w:rsidRPr="00164238">
        <w:rPr>
          <w:rFonts w:ascii="Times New Roman" w:hAnsi="Times New Roman" w:cs="Times New Roman"/>
          <w:noProof/>
          <w:color w:val="000000" w:themeColor="text1"/>
          <w:lang w:val="en-US"/>
        </w:rPr>
        <w:t>A</w:t>
      </w:r>
      <w:r w:rsidR="00E35929" w:rsidRPr="00164238">
        <w:rPr>
          <w:rFonts w:ascii="Times New Roman" w:hAnsi="Times New Roman" w:cs="Times New Roman"/>
          <w:noProof/>
          <w:color w:val="000000" w:themeColor="text1"/>
          <w:lang w:val="en-US"/>
        </w:rPr>
        <w:t>ynı dönemde</w:t>
      </w:r>
      <w:r w:rsidR="00DE5DE1" w:rsidRPr="00164238">
        <w:rPr>
          <w:rFonts w:ascii="Times New Roman" w:hAnsi="Times New Roman" w:cs="Times New Roman"/>
          <w:noProof/>
          <w:color w:val="000000" w:themeColor="text1"/>
          <w:lang w:val="en-US"/>
        </w:rPr>
        <w:t>,</w:t>
      </w:r>
      <w:r w:rsidR="00E35929" w:rsidRPr="00164238">
        <w:rPr>
          <w:rFonts w:ascii="Times New Roman" w:hAnsi="Times New Roman" w:cs="Times New Roman"/>
          <w:noProof/>
          <w:color w:val="000000" w:themeColor="text1"/>
          <w:lang w:val="en-US"/>
        </w:rPr>
        <w:t xml:space="preserve"> piyasaya sağlanan likiditenın ağırlıklı ortalama fonlama maliyeti ve referans faiz oranı da düşüş göstermektedir. </w:t>
      </w:r>
    </w:p>
    <w:p w14:paraId="1B3F4E7B" w14:textId="77777777" w:rsidR="00AA42F6" w:rsidRPr="00164238" w:rsidRDefault="00AA42F6" w:rsidP="00AA42F6">
      <w:pPr>
        <w:spacing w:before="120" w:after="120" w:line="360" w:lineRule="auto"/>
        <w:jc w:val="both"/>
        <w:rPr>
          <w:rFonts w:ascii="Times New Roman" w:hAnsi="Times New Roman" w:cs="Times New Roman"/>
          <w:color w:val="000000" w:themeColor="text1"/>
          <w:lang w:val="en-US"/>
        </w:rPr>
      </w:pPr>
      <w:r w:rsidRPr="00164238">
        <w:rPr>
          <w:rFonts w:ascii="Times New Roman" w:hAnsi="Times New Roman" w:cs="Times New Roman"/>
          <w:i/>
          <w:color w:val="000000" w:themeColor="text1"/>
          <w:lang w:val="en-US"/>
        </w:rPr>
        <w:t>Grafik 1.</w:t>
      </w:r>
      <w:r w:rsidRPr="00164238">
        <w:rPr>
          <w:rFonts w:ascii="Times New Roman" w:hAnsi="Times New Roman" w:cs="Times New Roman"/>
          <w:color w:val="000000" w:themeColor="text1"/>
          <w:lang w:val="en-US"/>
        </w:rPr>
        <w:t xml:space="preserve"> Para Politikası Değişkenlerinin Gelişimi</w:t>
      </w:r>
    </w:p>
    <w:p w14:paraId="66B2893E" w14:textId="77777777" w:rsidR="00FA0CEC" w:rsidRPr="00164238" w:rsidRDefault="00AA42F6" w:rsidP="00AA42F6">
      <w:pPr>
        <w:spacing w:before="120" w:after="120" w:line="360" w:lineRule="auto"/>
        <w:jc w:val="both"/>
        <w:rPr>
          <w:rFonts w:ascii="Times New Roman" w:hAnsi="Times New Roman" w:cs="Times New Roman"/>
          <w:color w:val="000000" w:themeColor="text1"/>
          <w:lang w:val="en-US"/>
        </w:rPr>
      </w:pPr>
      <w:r w:rsidRPr="00164238">
        <w:rPr>
          <w:rFonts w:ascii="Times New Roman" w:hAnsi="Times New Roman" w:cs="Times New Roman"/>
          <w:noProof/>
          <w:color w:val="000000" w:themeColor="text1"/>
          <w:lang w:val="en-US"/>
        </w:rPr>
        <w:drawing>
          <wp:inline distT="0" distB="0" distL="0" distR="0" wp14:anchorId="7A44772F" wp14:editId="2F9D2E9A">
            <wp:extent cx="5657850" cy="1962150"/>
            <wp:effectExtent l="0" t="0" r="0" b="0"/>
            <wp:docPr id="5" name="Grafik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6A47F114" w14:textId="77777777" w:rsidR="00C96ED7" w:rsidRPr="00164238" w:rsidRDefault="00706341" w:rsidP="007D55D3">
      <w:pPr>
        <w:spacing w:before="120" w:after="120" w:line="360" w:lineRule="auto"/>
        <w:ind w:firstLine="709"/>
        <w:jc w:val="both"/>
        <w:rPr>
          <w:rFonts w:ascii="Times New Roman" w:hAnsi="Times New Roman" w:cs="Times New Roman"/>
          <w:noProof/>
          <w:color w:val="000000" w:themeColor="text1"/>
          <w:lang w:val="en-US"/>
        </w:rPr>
      </w:pPr>
      <w:r w:rsidRPr="00164238">
        <w:rPr>
          <w:rFonts w:ascii="Times New Roman" w:hAnsi="Times New Roman" w:cs="Times New Roman"/>
          <w:noProof/>
          <w:color w:val="000000" w:themeColor="text1"/>
          <w:lang w:val="en-US"/>
        </w:rPr>
        <w:t>Bu çalışma</w:t>
      </w:r>
      <w:r w:rsidR="005A3D8C" w:rsidRPr="00164238">
        <w:rPr>
          <w:rFonts w:ascii="Times New Roman" w:hAnsi="Times New Roman" w:cs="Times New Roman"/>
          <w:noProof/>
          <w:color w:val="000000" w:themeColor="text1"/>
          <w:lang w:val="en-US"/>
        </w:rPr>
        <w:t>, Kovid-19 pandemisi döneminde</w:t>
      </w:r>
      <w:r w:rsidR="008B436C" w:rsidRPr="00164238">
        <w:rPr>
          <w:rFonts w:ascii="Times New Roman" w:hAnsi="Times New Roman" w:cs="Times New Roman"/>
          <w:noProof/>
          <w:color w:val="000000" w:themeColor="text1"/>
          <w:lang w:val="en-US"/>
        </w:rPr>
        <w:t xml:space="preserve"> TCMB tarafından</w:t>
      </w:r>
      <w:r w:rsidRPr="00164238">
        <w:rPr>
          <w:rFonts w:ascii="Times New Roman" w:hAnsi="Times New Roman" w:cs="Times New Roman"/>
          <w:noProof/>
          <w:color w:val="000000" w:themeColor="text1"/>
          <w:lang w:val="en-US"/>
        </w:rPr>
        <w:t xml:space="preserve"> alınan tedbirlerin finansal göstergeler üzerindeki etkis</w:t>
      </w:r>
      <w:r w:rsidR="008B436C" w:rsidRPr="00164238">
        <w:rPr>
          <w:rFonts w:ascii="Times New Roman" w:hAnsi="Times New Roman" w:cs="Times New Roman"/>
          <w:noProof/>
          <w:color w:val="000000" w:themeColor="text1"/>
          <w:lang w:val="en-US"/>
        </w:rPr>
        <w:t xml:space="preserve">ini incelemeyi amaçlamaktadır. </w:t>
      </w:r>
      <w:r w:rsidRPr="00164238">
        <w:rPr>
          <w:rFonts w:ascii="Times New Roman" w:hAnsi="Times New Roman" w:cs="Times New Roman"/>
          <w:noProof/>
          <w:color w:val="000000" w:themeColor="text1"/>
          <w:lang w:val="en-US"/>
        </w:rPr>
        <w:t>Bu amaçla</w:t>
      </w:r>
      <w:r w:rsidR="005A3D8C" w:rsidRPr="00164238">
        <w:rPr>
          <w:rFonts w:ascii="Times New Roman" w:hAnsi="Times New Roman" w:cs="Times New Roman"/>
          <w:noProof/>
          <w:color w:val="000000" w:themeColor="text1"/>
          <w:lang w:val="en-US"/>
        </w:rPr>
        <w:t>,</w:t>
      </w:r>
      <w:r w:rsidRPr="00164238">
        <w:rPr>
          <w:rFonts w:ascii="Times New Roman" w:hAnsi="Times New Roman" w:cs="Times New Roman"/>
          <w:noProof/>
          <w:color w:val="000000" w:themeColor="text1"/>
          <w:lang w:val="en-US"/>
        </w:rPr>
        <w:t xml:space="preserve"> çalışmada para politikası göstergesi olarak seçilen toplam fonlama miktarı, ağırlıklı ortalama fonlama maliyeti ve referans faiz oranının </w:t>
      </w:r>
      <w:r w:rsidR="006B6D6D" w:rsidRPr="00164238">
        <w:rPr>
          <w:rFonts w:ascii="Times New Roman" w:hAnsi="Times New Roman" w:cs="Times New Roman"/>
          <w:noProof/>
          <w:color w:val="000000" w:themeColor="text1"/>
          <w:lang w:val="en-US"/>
        </w:rPr>
        <w:t xml:space="preserve">Borsa İstanbul (BIST) </w:t>
      </w:r>
      <w:r w:rsidRPr="00164238">
        <w:rPr>
          <w:rFonts w:ascii="Times New Roman" w:hAnsi="Times New Roman" w:cs="Times New Roman"/>
          <w:noProof/>
          <w:color w:val="000000" w:themeColor="text1"/>
          <w:lang w:val="en-US"/>
        </w:rPr>
        <w:t>100 endeksi, Dolar/TL kuru ve 2 yıllık tahvil faizleri üzerindeki etkisi 11 Mart 2020- 20 Kasım 2020 dönemi için günlük veriler</w:t>
      </w:r>
      <w:r w:rsidR="005A3D8C" w:rsidRPr="00164238">
        <w:rPr>
          <w:rFonts w:ascii="Times New Roman" w:hAnsi="Times New Roman" w:cs="Times New Roman"/>
          <w:noProof/>
          <w:color w:val="000000" w:themeColor="text1"/>
          <w:lang w:val="en-US"/>
        </w:rPr>
        <w:t xml:space="preserve"> üzerinden</w:t>
      </w:r>
      <w:r w:rsidRPr="00164238">
        <w:rPr>
          <w:rFonts w:ascii="Times New Roman" w:hAnsi="Times New Roman" w:cs="Times New Roman"/>
          <w:noProof/>
          <w:color w:val="000000" w:themeColor="text1"/>
          <w:lang w:val="en-US"/>
        </w:rPr>
        <w:t xml:space="preserve"> Toda-Yamamoto Nedensellik </w:t>
      </w:r>
      <w:r w:rsidR="005A3D8C" w:rsidRPr="00164238">
        <w:rPr>
          <w:rFonts w:ascii="Times New Roman" w:hAnsi="Times New Roman" w:cs="Times New Roman"/>
          <w:noProof/>
          <w:color w:val="000000" w:themeColor="text1"/>
          <w:lang w:val="en-US"/>
        </w:rPr>
        <w:t>testi ile</w:t>
      </w:r>
      <w:r w:rsidRPr="00164238">
        <w:rPr>
          <w:rFonts w:ascii="Times New Roman" w:hAnsi="Times New Roman" w:cs="Times New Roman"/>
          <w:noProof/>
          <w:color w:val="000000" w:themeColor="text1"/>
          <w:lang w:val="en-US"/>
        </w:rPr>
        <w:t xml:space="preserve"> araştırılmıştır.</w:t>
      </w:r>
      <w:r w:rsidR="008B436C" w:rsidRPr="00164238">
        <w:rPr>
          <w:rFonts w:ascii="Times New Roman" w:hAnsi="Times New Roman" w:cs="Times New Roman"/>
          <w:noProof/>
          <w:color w:val="000000" w:themeColor="text1"/>
          <w:lang w:val="en-US"/>
        </w:rPr>
        <w:t xml:space="preserve"> Çalışmanın geri kalan kısmında </w:t>
      </w:r>
      <w:r w:rsidR="005A3D8C" w:rsidRPr="00164238">
        <w:rPr>
          <w:rFonts w:ascii="Times New Roman" w:hAnsi="Times New Roman" w:cs="Times New Roman"/>
          <w:noProof/>
          <w:color w:val="000000" w:themeColor="text1"/>
          <w:lang w:val="en-US"/>
        </w:rPr>
        <w:t>ilk olarak daha önce</w:t>
      </w:r>
      <w:r w:rsidR="008B436C" w:rsidRPr="00164238">
        <w:rPr>
          <w:rFonts w:ascii="Times New Roman" w:hAnsi="Times New Roman" w:cs="Times New Roman"/>
          <w:noProof/>
          <w:color w:val="000000" w:themeColor="text1"/>
          <w:lang w:val="en-US"/>
        </w:rPr>
        <w:t xml:space="preserve"> yapılmış çalışmaların bulguları özetlenmiş</w:t>
      </w:r>
      <w:r w:rsidR="00881BBB" w:rsidRPr="00164238">
        <w:rPr>
          <w:rFonts w:ascii="Times New Roman" w:hAnsi="Times New Roman" w:cs="Times New Roman"/>
          <w:noProof/>
          <w:color w:val="000000" w:themeColor="text1"/>
          <w:lang w:val="en-US"/>
        </w:rPr>
        <w:t>tir.</w:t>
      </w:r>
      <w:r w:rsidR="005A3D8C" w:rsidRPr="00164238">
        <w:rPr>
          <w:rFonts w:ascii="Times New Roman" w:hAnsi="Times New Roman" w:cs="Times New Roman"/>
          <w:noProof/>
          <w:color w:val="000000" w:themeColor="text1"/>
          <w:lang w:val="en-US"/>
        </w:rPr>
        <w:t xml:space="preserve"> S</w:t>
      </w:r>
      <w:r w:rsidR="008B436C" w:rsidRPr="00164238">
        <w:rPr>
          <w:rFonts w:ascii="Times New Roman" w:hAnsi="Times New Roman" w:cs="Times New Roman"/>
          <w:noProof/>
          <w:color w:val="000000" w:themeColor="text1"/>
          <w:lang w:val="en-US"/>
        </w:rPr>
        <w:t>onrasında</w:t>
      </w:r>
      <w:r w:rsidR="005A3D8C" w:rsidRPr="00164238">
        <w:rPr>
          <w:rFonts w:ascii="Times New Roman" w:hAnsi="Times New Roman" w:cs="Times New Roman"/>
          <w:noProof/>
          <w:color w:val="000000" w:themeColor="text1"/>
          <w:lang w:val="en-US"/>
        </w:rPr>
        <w:t xml:space="preserve">, </w:t>
      </w:r>
      <w:r w:rsidR="008B436C" w:rsidRPr="00164238">
        <w:rPr>
          <w:rFonts w:ascii="Times New Roman" w:hAnsi="Times New Roman" w:cs="Times New Roman"/>
          <w:noProof/>
          <w:color w:val="000000" w:themeColor="text1"/>
          <w:lang w:val="en-US"/>
        </w:rPr>
        <w:t xml:space="preserve"> çalışmaya ilişkin veri seti ve </w:t>
      </w:r>
      <w:r w:rsidR="005A3D8C" w:rsidRPr="00164238">
        <w:rPr>
          <w:rFonts w:ascii="Times New Roman" w:hAnsi="Times New Roman" w:cs="Times New Roman"/>
          <w:noProof/>
          <w:color w:val="000000" w:themeColor="text1"/>
          <w:lang w:val="en-US"/>
        </w:rPr>
        <w:t>yöntem</w:t>
      </w:r>
      <w:r w:rsidR="008B436C" w:rsidRPr="00164238">
        <w:rPr>
          <w:rFonts w:ascii="Times New Roman" w:hAnsi="Times New Roman" w:cs="Times New Roman"/>
          <w:noProof/>
          <w:color w:val="000000" w:themeColor="text1"/>
          <w:lang w:val="en-US"/>
        </w:rPr>
        <w:t xml:space="preserve"> tanıtı</w:t>
      </w:r>
      <w:r w:rsidR="005A3D8C" w:rsidRPr="00164238">
        <w:rPr>
          <w:rFonts w:ascii="Times New Roman" w:hAnsi="Times New Roman" w:cs="Times New Roman"/>
          <w:noProof/>
          <w:color w:val="000000" w:themeColor="text1"/>
          <w:lang w:val="en-US"/>
        </w:rPr>
        <w:t>lmış, araştırmanın bulguları paylaşılmıştır</w:t>
      </w:r>
      <w:r w:rsidR="008B436C" w:rsidRPr="00164238">
        <w:rPr>
          <w:rFonts w:ascii="Times New Roman" w:hAnsi="Times New Roman" w:cs="Times New Roman"/>
          <w:noProof/>
          <w:color w:val="000000" w:themeColor="text1"/>
          <w:lang w:val="en-US"/>
        </w:rPr>
        <w:t>.</w:t>
      </w:r>
      <w:r w:rsidR="00AC02BF" w:rsidRPr="00164238">
        <w:rPr>
          <w:rFonts w:ascii="Times New Roman" w:hAnsi="Times New Roman" w:cs="Times New Roman"/>
          <w:noProof/>
          <w:color w:val="000000" w:themeColor="text1"/>
          <w:lang w:val="en-US"/>
        </w:rPr>
        <w:t xml:space="preserve"> </w:t>
      </w:r>
      <w:r w:rsidR="005A3D8C" w:rsidRPr="00164238">
        <w:rPr>
          <w:rFonts w:ascii="Times New Roman" w:hAnsi="Times New Roman" w:cs="Times New Roman"/>
          <w:noProof/>
          <w:color w:val="000000" w:themeColor="text1"/>
          <w:lang w:val="en-US"/>
        </w:rPr>
        <w:t xml:space="preserve">Sonuç bölümünde ise çalışmanın bulgularına yönelik değerlendirmede </w:t>
      </w:r>
      <w:r w:rsidR="00AC02BF" w:rsidRPr="00164238">
        <w:rPr>
          <w:rFonts w:ascii="Times New Roman" w:hAnsi="Times New Roman" w:cs="Times New Roman"/>
          <w:noProof/>
          <w:color w:val="000000" w:themeColor="text1"/>
          <w:lang w:val="en-US"/>
        </w:rPr>
        <w:t>bulunulmuştur.</w:t>
      </w:r>
    </w:p>
    <w:p w14:paraId="64F87922" w14:textId="77777777" w:rsidR="004F4AA1" w:rsidRPr="00164238" w:rsidRDefault="00E666D1" w:rsidP="007C3550">
      <w:pPr>
        <w:numPr>
          <w:ilvl w:val="0"/>
          <w:numId w:val="2"/>
        </w:numPr>
        <w:spacing w:before="120" w:after="120" w:line="360" w:lineRule="auto"/>
        <w:jc w:val="both"/>
        <w:rPr>
          <w:rFonts w:ascii="Times New Roman" w:hAnsi="Times New Roman" w:cs="Times New Roman"/>
          <w:b/>
          <w:color w:val="000000" w:themeColor="text1"/>
        </w:rPr>
      </w:pPr>
      <w:r w:rsidRPr="00164238">
        <w:rPr>
          <w:rFonts w:ascii="Times New Roman" w:hAnsi="Times New Roman" w:cs="Times New Roman"/>
          <w:b/>
          <w:color w:val="000000" w:themeColor="text1"/>
        </w:rPr>
        <w:t>Literatür</w:t>
      </w:r>
    </w:p>
    <w:p w14:paraId="2B4C0AA2" w14:textId="77777777" w:rsidR="002C1A07" w:rsidRPr="00164238" w:rsidRDefault="000B5426" w:rsidP="007D55D3">
      <w:pPr>
        <w:spacing w:before="120" w:after="120" w:line="360" w:lineRule="auto"/>
        <w:ind w:firstLine="709"/>
        <w:jc w:val="both"/>
        <w:rPr>
          <w:rFonts w:ascii="Times New Roman" w:hAnsi="Times New Roman" w:cs="Times New Roman"/>
          <w:color w:val="000000" w:themeColor="text1"/>
        </w:rPr>
      </w:pPr>
      <w:r w:rsidRPr="00164238">
        <w:rPr>
          <w:rFonts w:ascii="Times New Roman" w:hAnsi="Times New Roman" w:cs="Times New Roman"/>
          <w:color w:val="000000" w:themeColor="text1"/>
        </w:rPr>
        <w:t>Son dönemde K</w:t>
      </w:r>
      <w:r w:rsidR="002C1A07" w:rsidRPr="00164238">
        <w:rPr>
          <w:rFonts w:ascii="Times New Roman" w:hAnsi="Times New Roman" w:cs="Times New Roman"/>
          <w:color w:val="000000" w:themeColor="text1"/>
        </w:rPr>
        <w:t>ovid 19 süreci ile başlayan yeni bir literatür hızlı bir şekilde büyümektedir. Yapılan çalışmaların pek çoğu</w:t>
      </w:r>
      <w:r w:rsidR="00A80488" w:rsidRPr="00164238">
        <w:rPr>
          <w:rFonts w:ascii="Times New Roman" w:hAnsi="Times New Roman" w:cs="Times New Roman"/>
          <w:color w:val="000000" w:themeColor="text1"/>
        </w:rPr>
        <w:t>nun</w:t>
      </w:r>
      <w:r w:rsidR="002C1A07" w:rsidRPr="00164238">
        <w:rPr>
          <w:rFonts w:ascii="Times New Roman" w:hAnsi="Times New Roman" w:cs="Times New Roman"/>
          <w:color w:val="000000" w:themeColor="text1"/>
        </w:rPr>
        <w:t xml:space="preserve"> </w:t>
      </w:r>
      <w:r w:rsidRPr="00164238">
        <w:rPr>
          <w:rFonts w:ascii="Times New Roman" w:hAnsi="Times New Roman" w:cs="Times New Roman"/>
          <w:color w:val="000000" w:themeColor="text1"/>
        </w:rPr>
        <w:t>Kovid</w:t>
      </w:r>
      <w:r w:rsidR="002C1A07" w:rsidRPr="00164238">
        <w:rPr>
          <w:rFonts w:ascii="Times New Roman" w:hAnsi="Times New Roman" w:cs="Times New Roman"/>
          <w:color w:val="000000" w:themeColor="text1"/>
        </w:rPr>
        <w:t>-19’un hi</w:t>
      </w:r>
      <w:r w:rsidR="00A80488" w:rsidRPr="00164238">
        <w:rPr>
          <w:rFonts w:ascii="Times New Roman" w:hAnsi="Times New Roman" w:cs="Times New Roman"/>
          <w:color w:val="000000" w:themeColor="text1"/>
        </w:rPr>
        <w:t>sse senedi piyas</w:t>
      </w:r>
      <w:r w:rsidR="005A3D8C" w:rsidRPr="00164238">
        <w:rPr>
          <w:rFonts w:ascii="Times New Roman" w:hAnsi="Times New Roman" w:cs="Times New Roman"/>
          <w:color w:val="000000" w:themeColor="text1"/>
        </w:rPr>
        <w:t xml:space="preserve">aları üzerinde meydana getirdiği </w:t>
      </w:r>
      <w:r w:rsidR="00A80488" w:rsidRPr="00164238">
        <w:rPr>
          <w:rFonts w:ascii="Times New Roman" w:hAnsi="Times New Roman" w:cs="Times New Roman"/>
          <w:color w:val="000000" w:themeColor="text1"/>
        </w:rPr>
        <w:lastRenderedPageBreak/>
        <w:t>etkiye yoğunlaştıkları göze çarpmaktadır. Buna karşın</w:t>
      </w:r>
      <w:r w:rsidR="005A3D8C" w:rsidRPr="00164238">
        <w:rPr>
          <w:rFonts w:ascii="Times New Roman" w:hAnsi="Times New Roman" w:cs="Times New Roman"/>
          <w:color w:val="000000" w:themeColor="text1"/>
        </w:rPr>
        <w:t>,</w:t>
      </w:r>
      <w:r w:rsidR="00FD1D39" w:rsidRPr="00164238">
        <w:rPr>
          <w:rFonts w:ascii="Times New Roman" w:hAnsi="Times New Roman" w:cs="Times New Roman"/>
          <w:color w:val="000000" w:themeColor="text1"/>
        </w:rPr>
        <w:t xml:space="preserve"> </w:t>
      </w:r>
      <w:r w:rsidR="005A3D8C" w:rsidRPr="00164238">
        <w:rPr>
          <w:rFonts w:ascii="Times New Roman" w:hAnsi="Times New Roman" w:cs="Times New Roman"/>
          <w:color w:val="000000" w:themeColor="text1"/>
        </w:rPr>
        <w:t xml:space="preserve">pandemi sürecinde </w:t>
      </w:r>
      <w:r w:rsidR="00FD1D39" w:rsidRPr="00164238">
        <w:rPr>
          <w:rFonts w:ascii="Times New Roman" w:hAnsi="Times New Roman" w:cs="Times New Roman"/>
          <w:color w:val="000000" w:themeColor="text1"/>
        </w:rPr>
        <w:t xml:space="preserve">uygulanan politikaların </w:t>
      </w:r>
      <w:r w:rsidR="00A80488" w:rsidRPr="00164238">
        <w:rPr>
          <w:rFonts w:ascii="Times New Roman" w:hAnsi="Times New Roman" w:cs="Times New Roman"/>
          <w:color w:val="000000" w:themeColor="text1"/>
        </w:rPr>
        <w:t xml:space="preserve"> </w:t>
      </w:r>
      <w:r w:rsidR="005A3D8C" w:rsidRPr="00164238">
        <w:rPr>
          <w:rFonts w:ascii="Times New Roman" w:hAnsi="Times New Roman" w:cs="Times New Roman"/>
          <w:color w:val="000000" w:themeColor="text1"/>
        </w:rPr>
        <w:t>ekonomi üzerindeki</w:t>
      </w:r>
      <w:r w:rsidR="00FD1D39" w:rsidRPr="00164238">
        <w:rPr>
          <w:rFonts w:ascii="Times New Roman" w:hAnsi="Times New Roman" w:cs="Times New Roman"/>
          <w:color w:val="000000" w:themeColor="text1"/>
        </w:rPr>
        <w:t xml:space="preserve"> etkilerini ele alan çalışma</w:t>
      </w:r>
      <w:r w:rsidR="00F7786E" w:rsidRPr="00164238">
        <w:rPr>
          <w:rFonts w:ascii="Times New Roman" w:hAnsi="Times New Roman" w:cs="Times New Roman"/>
          <w:color w:val="000000" w:themeColor="text1"/>
        </w:rPr>
        <w:t>ların sayısı son derece sınırlı</w:t>
      </w:r>
      <w:r w:rsidR="00FD1D39" w:rsidRPr="00164238">
        <w:rPr>
          <w:rFonts w:ascii="Times New Roman" w:hAnsi="Times New Roman" w:cs="Times New Roman"/>
          <w:color w:val="000000" w:themeColor="text1"/>
        </w:rPr>
        <w:t xml:space="preserve">dır. </w:t>
      </w:r>
      <w:r w:rsidR="005A3D8C" w:rsidRPr="00164238">
        <w:rPr>
          <w:rFonts w:ascii="Times New Roman" w:hAnsi="Times New Roman" w:cs="Times New Roman"/>
          <w:color w:val="000000" w:themeColor="text1"/>
        </w:rPr>
        <w:t>Bu konuda yapılmış çalışmalardan bazılarının bulguları aşağıda özetlenmiştir.</w:t>
      </w:r>
      <w:r w:rsidR="00A80488" w:rsidRPr="00164238">
        <w:rPr>
          <w:rFonts w:ascii="Times New Roman" w:hAnsi="Times New Roman" w:cs="Times New Roman"/>
          <w:color w:val="000000" w:themeColor="text1"/>
        </w:rPr>
        <w:t xml:space="preserve"> </w:t>
      </w:r>
    </w:p>
    <w:p w14:paraId="1F40B74E" w14:textId="77777777" w:rsidR="00A80488" w:rsidRPr="00164238" w:rsidRDefault="00F7786E" w:rsidP="007D55D3">
      <w:pPr>
        <w:spacing w:before="120" w:after="120" w:line="360" w:lineRule="auto"/>
        <w:ind w:firstLine="709"/>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Ojaghlou ve Demirkale  (2020), TCMB’nin para politikasına ilişkin uygulamalarının </w:t>
      </w:r>
      <w:r w:rsidR="00881BBB" w:rsidRPr="00164238">
        <w:rPr>
          <w:rFonts w:ascii="Times New Roman" w:hAnsi="Times New Roman" w:cs="Times New Roman"/>
          <w:color w:val="000000" w:themeColor="text1"/>
        </w:rPr>
        <w:t>BİST</w:t>
      </w:r>
      <w:r w:rsidRPr="00164238">
        <w:rPr>
          <w:rFonts w:ascii="Times New Roman" w:hAnsi="Times New Roman" w:cs="Times New Roman"/>
          <w:color w:val="000000" w:themeColor="text1"/>
        </w:rPr>
        <w:t xml:space="preserve"> üzerindeki etkisini incelemeyi amaçladıkları çalışmalarında</w:t>
      </w:r>
      <w:r w:rsidR="00F12E7B" w:rsidRPr="00164238">
        <w:rPr>
          <w:rFonts w:ascii="Times New Roman" w:hAnsi="Times New Roman" w:cs="Times New Roman"/>
          <w:color w:val="000000" w:themeColor="text1"/>
        </w:rPr>
        <w:t>,</w:t>
      </w:r>
      <w:r w:rsidR="00A80488" w:rsidRPr="00164238">
        <w:rPr>
          <w:rFonts w:ascii="Times New Roman" w:hAnsi="Times New Roman" w:cs="Times New Roman"/>
          <w:color w:val="000000" w:themeColor="text1"/>
        </w:rPr>
        <w:t xml:space="preserve"> </w:t>
      </w:r>
      <w:r w:rsidRPr="00164238">
        <w:rPr>
          <w:rFonts w:ascii="Times New Roman" w:hAnsi="Times New Roman" w:cs="Times New Roman"/>
          <w:color w:val="000000" w:themeColor="text1"/>
        </w:rPr>
        <w:t>2005</w:t>
      </w:r>
      <w:r w:rsidR="00F12E7B" w:rsidRPr="00164238">
        <w:rPr>
          <w:rFonts w:ascii="Times New Roman" w:hAnsi="Times New Roman" w:cs="Times New Roman"/>
          <w:color w:val="000000" w:themeColor="text1"/>
        </w:rPr>
        <w:t>:</w:t>
      </w:r>
      <w:r w:rsidRPr="00164238">
        <w:rPr>
          <w:rFonts w:ascii="Times New Roman" w:hAnsi="Times New Roman" w:cs="Times New Roman"/>
          <w:color w:val="000000" w:themeColor="text1"/>
        </w:rPr>
        <w:t>Q04 ve 2019</w:t>
      </w:r>
      <w:r w:rsidR="00F12E7B" w:rsidRPr="00164238">
        <w:rPr>
          <w:rFonts w:ascii="Times New Roman" w:hAnsi="Times New Roman" w:cs="Times New Roman"/>
          <w:color w:val="000000" w:themeColor="text1"/>
        </w:rPr>
        <w:t xml:space="preserve">:Q03 </w:t>
      </w:r>
      <w:r w:rsidRPr="00164238">
        <w:rPr>
          <w:rFonts w:ascii="Times New Roman" w:hAnsi="Times New Roman" w:cs="Times New Roman"/>
          <w:color w:val="000000" w:themeColor="text1"/>
        </w:rPr>
        <w:t>dönemine ait verileri kullanarak yapısal VAR analizi gerçekleştirmişlerdir. Analizden elde edilen sonuçlara göre</w:t>
      </w:r>
      <w:r w:rsidR="00F12E7B" w:rsidRPr="00164238">
        <w:rPr>
          <w:rFonts w:ascii="Times New Roman" w:hAnsi="Times New Roman" w:cs="Times New Roman"/>
          <w:color w:val="000000" w:themeColor="text1"/>
        </w:rPr>
        <w:t>,</w:t>
      </w:r>
      <w:r w:rsidRPr="00164238">
        <w:rPr>
          <w:rFonts w:ascii="Times New Roman" w:hAnsi="Times New Roman" w:cs="Times New Roman"/>
          <w:color w:val="000000" w:themeColor="text1"/>
        </w:rPr>
        <w:t xml:space="preserve"> kısa vadeli pol</w:t>
      </w:r>
      <w:r w:rsidR="00F12E7B" w:rsidRPr="00164238">
        <w:rPr>
          <w:rFonts w:ascii="Times New Roman" w:hAnsi="Times New Roman" w:cs="Times New Roman"/>
          <w:color w:val="000000" w:themeColor="text1"/>
        </w:rPr>
        <w:t>itika faizi, M1 ve M2 para arzı ve</w:t>
      </w:r>
      <w:r w:rsidRPr="00164238">
        <w:rPr>
          <w:rFonts w:ascii="Times New Roman" w:hAnsi="Times New Roman" w:cs="Times New Roman"/>
          <w:color w:val="000000" w:themeColor="text1"/>
        </w:rPr>
        <w:t xml:space="preserve"> döviz kuru BIST 100 endeksini negatif yönde etkilemektedir. </w:t>
      </w:r>
    </w:p>
    <w:p w14:paraId="10C4E5A2" w14:textId="77777777" w:rsidR="00F12E7B" w:rsidRPr="00164238" w:rsidRDefault="004F4AA1" w:rsidP="007D55D3">
      <w:pPr>
        <w:spacing w:before="120" w:after="120" w:line="360" w:lineRule="auto"/>
        <w:ind w:firstLine="709"/>
        <w:jc w:val="both"/>
        <w:rPr>
          <w:rFonts w:ascii="Times New Roman" w:hAnsi="Times New Roman" w:cs="Times New Roman"/>
          <w:color w:val="000000" w:themeColor="text1"/>
        </w:rPr>
      </w:pPr>
      <w:r w:rsidRPr="00164238">
        <w:rPr>
          <w:rFonts w:ascii="Times New Roman" w:hAnsi="Times New Roman" w:cs="Times New Roman"/>
          <w:color w:val="000000" w:themeColor="text1"/>
        </w:rPr>
        <w:t>Öztürk</w:t>
      </w:r>
      <w:r w:rsidR="006204E7" w:rsidRPr="00164238">
        <w:rPr>
          <w:rFonts w:ascii="Times New Roman" w:hAnsi="Times New Roman" w:cs="Times New Roman"/>
          <w:color w:val="000000" w:themeColor="text1"/>
        </w:rPr>
        <w:t>,</w:t>
      </w:r>
      <w:r w:rsidR="00655EED" w:rsidRPr="00164238">
        <w:rPr>
          <w:rFonts w:ascii="Times New Roman" w:hAnsi="Times New Roman" w:cs="Times New Roman"/>
          <w:color w:val="000000" w:themeColor="text1"/>
        </w:rPr>
        <w:t xml:space="preserve"> Kanuşağı v</w:t>
      </w:r>
      <w:r w:rsidRPr="00164238">
        <w:rPr>
          <w:rFonts w:ascii="Times New Roman" w:hAnsi="Times New Roman" w:cs="Times New Roman"/>
          <w:color w:val="000000" w:themeColor="text1"/>
        </w:rPr>
        <w:t>e Özcan (2020)</w:t>
      </w:r>
      <w:r w:rsidR="00F12E7B" w:rsidRPr="00164238">
        <w:rPr>
          <w:rFonts w:ascii="Times New Roman" w:hAnsi="Times New Roman" w:cs="Times New Roman"/>
          <w:color w:val="000000" w:themeColor="text1"/>
        </w:rPr>
        <w:t>,</w:t>
      </w:r>
      <w:r w:rsidRPr="00164238">
        <w:rPr>
          <w:rFonts w:ascii="Times New Roman" w:hAnsi="Times New Roman" w:cs="Times New Roman"/>
          <w:color w:val="000000" w:themeColor="text1"/>
        </w:rPr>
        <w:t xml:space="preserve"> Türkiye’de parasal genişleme uygulamalarının finansal istikrarı sağlamada etkili olup olmadığını araştırdıkları çalışmalarında</w:t>
      </w:r>
      <w:r w:rsidR="00F12E7B" w:rsidRPr="00164238">
        <w:rPr>
          <w:rFonts w:ascii="Times New Roman" w:hAnsi="Times New Roman" w:cs="Times New Roman"/>
          <w:color w:val="000000" w:themeColor="text1"/>
        </w:rPr>
        <w:t>,</w:t>
      </w:r>
      <w:r w:rsidR="00881BBB" w:rsidRPr="00164238">
        <w:rPr>
          <w:rFonts w:ascii="Times New Roman" w:hAnsi="Times New Roman" w:cs="Times New Roman"/>
          <w:color w:val="000000" w:themeColor="text1"/>
        </w:rPr>
        <w:t xml:space="preserve"> Ocak 2010-</w:t>
      </w:r>
      <w:r w:rsidRPr="00164238">
        <w:rPr>
          <w:rFonts w:ascii="Times New Roman" w:hAnsi="Times New Roman" w:cs="Times New Roman"/>
          <w:color w:val="000000" w:themeColor="text1"/>
        </w:rPr>
        <w:t>Mayıs 2020 dönemine ait üç aylık verilere dayalı oluşturulan grafikler üzerinden</w:t>
      </w:r>
      <w:r w:rsidR="00F12E7B" w:rsidRPr="00164238">
        <w:rPr>
          <w:rFonts w:ascii="Times New Roman" w:hAnsi="Times New Roman" w:cs="Times New Roman"/>
          <w:color w:val="000000" w:themeColor="text1"/>
        </w:rPr>
        <w:t xml:space="preserve"> bir inceleme yapmışlardır.</w:t>
      </w:r>
      <w:r w:rsidRPr="00164238">
        <w:rPr>
          <w:rFonts w:ascii="Times New Roman" w:hAnsi="Times New Roman" w:cs="Times New Roman"/>
          <w:color w:val="000000" w:themeColor="text1"/>
        </w:rPr>
        <w:t xml:space="preserve"> Yazarların ulaştıkları sonuçlara</w:t>
      </w:r>
      <w:r w:rsidR="00F12E7B" w:rsidRPr="00164238">
        <w:rPr>
          <w:rFonts w:ascii="Times New Roman" w:hAnsi="Times New Roman" w:cs="Times New Roman"/>
          <w:color w:val="000000" w:themeColor="text1"/>
        </w:rPr>
        <w:t xml:space="preserve"> göre,</w:t>
      </w:r>
      <w:r w:rsidRPr="00164238">
        <w:rPr>
          <w:rFonts w:ascii="Times New Roman" w:hAnsi="Times New Roman" w:cs="Times New Roman"/>
          <w:color w:val="000000" w:themeColor="text1"/>
        </w:rPr>
        <w:t xml:space="preserve"> ekonomi</w:t>
      </w:r>
      <w:r w:rsidR="00F12E7B" w:rsidRPr="00164238">
        <w:rPr>
          <w:rFonts w:ascii="Times New Roman" w:hAnsi="Times New Roman" w:cs="Times New Roman"/>
          <w:color w:val="000000" w:themeColor="text1"/>
        </w:rPr>
        <w:t>k kriz dönemlerinde para arzı</w:t>
      </w:r>
      <w:r w:rsidRPr="00164238">
        <w:rPr>
          <w:rFonts w:ascii="Times New Roman" w:hAnsi="Times New Roman" w:cs="Times New Roman"/>
          <w:color w:val="000000" w:themeColor="text1"/>
        </w:rPr>
        <w:t xml:space="preserve"> hızlı bir şekilde artarak enflasyona yol açmaktadır.  Ayrıca</w:t>
      </w:r>
      <w:r w:rsidR="00F12E7B" w:rsidRPr="00164238">
        <w:rPr>
          <w:rFonts w:ascii="Times New Roman" w:hAnsi="Times New Roman" w:cs="Times New Roman"/>
          <w:color w:val="000000" w:themeColor="text1"/>
        </w:rPr>
        <w:t>,</w:t>
      </w:r>
      <w:r w:rsidRPr="00164238">
        <w:rPr>
          <w:rFonts w:ascii="Times New Roman" w:hAnsi="Times New Roman" w:cs="Times New Roman"/>
          <w:color w:val="000000" w:themeColor="text1"/>
        </w:rPr>
        <w:t xml:space="preserve"> araştırma bulguları uygulanan politikaların TL’nin Dolar karşısında değer kaybetm</w:t>
      </w:r>
      <w:r w:rsidR="00F12E7B" w:rsidRPr="00164238">
        <w:rPr>
          <w:rFonts w:ascii="Times New Roman" w:hAnsi="Times New Roman" w:cs="Times New Roman"/>
          <w:color w:val="000000" w:themeColor="text1"/>
        </w:rPr>
        <w:t>esine ve rezervlerin azalmasına yol açtığına işaret etmektedir.</w:t>
      </w:r>
      <w:r w:rsidRPr="00164238">
        <w:rPr>
          <w:rFonts w:ascii="Times New Roman" w:hAnsi="Times New Roman" w:cs="Times New Roman"/>
          <w:color w:val="000000" w:themeColor="text1"/>
        </w:rPr>
        <w:t xml:space="preserve"> </w:t>
      </w:r>
      <w:r w:rsidR="00F12E7B" w:rsidRPr="00164238">
        <w:rPr>
          <w:rFonts w:ascii="Times New Roman" w:hAnsi="Times New Roman" w:cs="Times New Roman"/>
          <w:color w:val="000000" w:themeColor="text1"/>
        </w:rPr>
        <w:t xml:space="preserve">Buna göre, ele alınan dönemde </w:t>
      </w:r>
      <w:r w:rsidRPr="00164238">
        <w:rPr>
          <w:rFonts w:ascii="Times New Roman" w:hAnsi="Times New Roman" w:cs="Times New Roman"/>
          <w:color w:val="000000" w:themeColor="text1"/>
        </w:rPr>
        <w:t>parasal genişleme sürecinin finansal istikrarsızlığı önlemede yet</w:t>
      </w:r>
      <w:r w:rsidR="00F12E7B" w:rsidRPr="00164238">
        <w:rPr>
          <w:rFonts w:ascii="Times New Roman" w:hAnsi="Times New Roman" w:cs="Times New Roman"/>
          <w:color w:val="000000" w:themeColor="text1"/>
        </w:rPr>
        <w:t>ersiz kaldığı sonucuna ulaşılmıştır.</w:t>
      </w:r>
    </w:p>
    <w:p w14:paraId="6CAA3777" w14:textId="77777777" w:rsidR="00655EED" w:rsidRPr="00164238" w:rsidRDefault="00655EED" w:rsidP="007D55D3">
      <w:pPr>
        <w:spacing w:before="120" w:after="120" w:line="360" w:lineRule="auto"/>
        <w:ind w:firstLine="709"/>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Sansa (2020), </w:t>
      </w:r>
      <w:r w:rsidR="00292915" w:rsidRPr="00164238">
        <w:rPr>
          <w:rFonts w:ascii="Times New Roman" w:hAnsi="Times New Roman" w:cs="Times New Roman"/>
          <w:color w:val="000000" w:themeColor="text1"/>
        </w:rPr>
        <w:t>Kovid</w:t>
      </w:r>
      <w:r w:rsidRPr="00164238">
        <w:rPr>
          <w:rFonts w:ascii="Times New Roman" w:hAnsi="Times New Roman" w:cs="Times New Roman"/>
          <w:color w:val="000000" w:themeColor="text1"/>
        </w:rPr>
        <w:t>-19'un Çin ve ABD'nin finansal Piyasaları üzerindeki etkisini 1 Mart 2020- 25 Mart 2020 dönemi için basit regresyon modeli ile araştırmış</w:t>
      </w:r>
      <w:r w:rsidR="00292915" w:rsidRPr="00164238">
        <w:rPr>
          <w:rFonts w:ascii="Times New Roman" w:hAnsi="Times New Roman" w:cs="Times New Roman"/>
          <w:color w:val="000000" w:themeColor="text1"/>
        </w:rPr>
        <w:t xml:space="preserve">tır. Elde edilen sonuçlara göre, Kovid - 19 teyitli vakaların </w:t>
      </w:r>
      <w:r w:rsidRPr="00164238">
        <w:rPr>
          <w:rFonts w:ascii="Times New Roman" w:hAnsi="Times New Roman" w:cs="Times New Roman"/>
          <w:color w:val="000000" w:themeColor="text1"/>
        </w:rPr>
        <w:t xml:space="preserve">sayısı New York Dow Jones </w:t>
      </w:r>
      <w:r w:rsidR="00881BBB" w:rsidRPr="00164238">
        <w:rPr>
          <w:rFonts w:ascii="Times New Roman" w:hAnsi="Times New Roman" w:cs="Times New Roman"/>
          <w:color w:val="000000" w:themeColor="text1"/>
        </w:rPr>
        <w:t xml:space="preserve"> ve </w:t>
      </w:r>
      <w:r w:rsidRPr="00164238">
        <w:rPr>
          <w:rFonts w:ascii="Times New Roman" w:hAnsi="Times New Roman" w:cs="Times New Roman"/>
          <w:color w:val="000000" w:themeColor="text1"/>
        </w:rPr>
        <w:t>Şangay borsasını pozitif yönde etkilemektedir.</w:t>
      </w:r>
    </w:p>
    <w:p w14:paraId="591EB23C" w14:textId="77777777" w:rsidR="00792A98" w:rsidRPr="00164238" w:rsidRDefault="00792A98" w:rsidP="00792A98">
      <w:pPr>
        <w:spacing w:before="120" w:after="120" w:line="360" w:lineRule="auto"/>
        <w:ind w:firstLine="709"/>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Kılıç (2020), Kovid-19’un Borsa İstanbul üzerindeki etkisini sektör endeksleri bazında incelediği çalışmasında 02.01.2018-30.04.2020 dönemine ait günlük kapanış verilerini kullanarak olay etüdü analizi gerçekleştirmiştir.  Analiz bulgularına göre,  Kovid-19’un Dünya Sağlık Örgütü tarafından pandemi olarak ilanı ve Türkiye’de ilk vakanın ilan edildiği 11 Mart 2020 olay gününde tüm sektörlerde anlamlı negatif anormal getirilere rastlanmıştır. </w:t>
      </w:r>
    </w:p>
    <w:p w14:paraId="09A8981E" w14:textId="77777777" w:rsidR="00792A98" w:rsidRPr="00164238" w:rsidRDefault="00792A98" w:rsidP="00792A98">
      <w:pPr>
        <w:spacing w:before="120" w:after="120" w:line="360" w:lineRule="auto"/>
        <w:ind w:firstLine="709"/>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Zeren ve Hızarcı (2020), Çin, Güney Kore, İtalya, Fransa, Almanya ve İspanya’da 23 Ocak 2020-13 Mart 2020 dönemindeki günlük veriler ile gerçekleştirdikleri Maki eşbütünleşme testi sonuçlarına göre, toplam ölüm vakası ile ele alınan ülkelerin borsalarının uzun dönemde birlikte hareket ettiği anlaşılmıştır. </w:t>
      </w:r>
    </w:p>
    <w:p w14:paraId="23E07517" w14:textId="77777777" w:rsidR="000F460B" w:rsidRPr="00164238" w:rsidRDefault="00A11E82" w:rsidP="007D55D3">
      <w:pPr>
        <w:spacing w:before="120" w:after="120" w:line="360" w:lineRule="auto"/>
        <w:ind w:firstLine="709"/>
        <w:jc w:val="both"/>
        <w:rPr>
          <w:rFonts w:ascii="Times New Roman" w:hAnsi="Times New Roman" w:cs="Times New Roman"/>
          <w:color w:val="000000" w:themeColor="text1"/>
        </w:rPr>
      </w:pPr>
      <w:r w:rsidRPr="00164238">
        <w:rPr>
          <w:rFonts w:ascii="Times New Roman" w:hAnsi="Times New Roman" w:cs="Times New Roman"/>
          <w:color w:val="000000" w:themeColor="text1"/>
          <w:shd w:val="clear" w:color="auto" w:fill="FFFFFF"/>
        </w:rPr>
        <w:t>Kofoğlu, Küçükkale ve Yamak (2018) çalışmalarında</w:t>
      </w:r>
      <w:r w:rsidRPr="00164238">
        <w:rPr>
          <w:rFonts w:ascii="Times New Roman" w:hAnsi="Times New Roman" w:cs="Times New Roman"/>
          <w:color w:val="000000" w:themeColor="text1"/>
        </w:rPr>
        <w:t xml:space="preserve"> Türkiye’de faiz kur ve çekirdek fiyat endeksleri arasındaki ilişkiyi 2003</w:t>
      </w:r>
      <w:r w:rsidR="00292915" w:rsidRPr="00164238">
        <w:rPr>
          <w:rFonts w:ascii="Times New Roman" w:hAnsi="Times New Roman" w:cs="Times New Roman"/>
          <w:color w:val="000000" w:themeColor="text1"/>
        </w:rPr>
        <w:t>:</w:t>
      </w:r>
      <w:r w:rsidRPr="00164238">
        <w:rPr>
          <w:rFonts w:ascii="Times New Roman" w:hAnsi="Times New Roman" w:cs="Times New Roman"/>
          <w:color w:val="000000" w:themeColor="text1"/>
        </w:rPr>
        <w:t>Q1-2016</w:t>
      </w:r>
      <w:r w:rsidR="00292915" w:rsidRPr="00164238">
        <w:rPr>
          <w:rFonts w:ascii="Times New Roman" w:hAnsi="Times New Roman" w:cs="Times New Roman"/>
          <w:color w:val="000000" w:themeColor="text1"/>
        </w:rPr>
        <w:t>:</w:t>
      </w:r>
      <w:r w:rsidRPr="00164238">
        <w:rPr>
          <w:rFonts w:ascii="Times New Roman" w:hAnsi="Times New Roman" w:cs="Times New Roman"/>
          <w:color w:val="000000" w:themeColor="text1"/>
        </w:rPr>
        <w:t>Q4 dönemine ait verileri kullanarak eşbütünleşme ve nedensellik testleri ile incelemişlerdir. Çalışmada ulaşılan bulgulara göre</w:t>
      </w:r>
      <w:r w:rsidR="00292915" w:rsidRPr="00164238">
        <w:rPr>
          <w:rFonts w:ascii="Times New Roman" w:hAnsi="Times New Roman" w:cs="Times New Roman"/>
          <w:color w:val="000000" w:themeColor="text1"/>
        </w:rPr>
        <w:t>,</w:t>
      </w:r>
      <w:r w:rsidRPr="00164238">
        <w:rPr>
          <w:rFonts w:ascii="Times New Roman" w:hAnsi="Times New Roman" w:cs="Times New Roman"/>
          <w:color w:val="000000" w:themeColor="text1"/>
        </w:rPr>
        <w:t xml:space="preserve"> Dolar kurundan faize doğru tek yönlü bir nedensellik ilişkisi söz konusudur. Diğer taraftan</w:t>
      </w:r>
      <w:r w:rsidR="00292915" w:rsidRPr="00164238">
        <w:rPr>
          <w:rFonts w:ascii="Times New Roman" w:hAnsi="Times New Roman" w:cs="Times New Roman"/>
          <w:color w:val="000000" w:themeColor="text1"/>
        </w:rPr>
        <w:t>,</w:t>
      </w:r>
      <w:r w:rsidRPr="00164238">
        <w:rPr>
          <w:rFonts w:ascii="Times New Roman" w:hAnsi="Times New Roman" w:cs="Times New Roman"/>
          <w:color w:val="000000" w:themeColor="text1"/>
        </w:rPr>
        <w:t xml:space="preserve"> politika faizinden Dolar kuruna doğru </w:t>
      </w:r>
      <w:r w:rsidRPr="00164238">
        <w:rPr>
          <w:rFonts w:ascii="Times New Roman" w:hAnsi="Times New Roman" w:cs="Times New Roman"/>
          <w:color w:val="000000" w:themeColor="text1"/>
        </w:rPr>
        <w:lastRenderedPageBreak/>
        <w:t>nedensellik tespit edilememiştir. Alınan faiz kararlarının döviz kuru üzerinde etkili olmadığı</w:t>
      </w:r>
      <w:r w:rsidR="000F460B" w:rsidRPr="00164238">
        <w:rPr>
          <w:rFonts w:ascii="Times New Roman" w:hAnsi="Times New Roman" w:cs="Times New Roman"/>
          <w:color w:val="000000" w:themeColor="text1"/>
        </w:rPr>
        <w:t xml:space="preserve"> şeklinde yorumlanabilecek bu sonuç, analizin </w:t>
      </w:r>
      <w:r w:rsidRPr="00164238">
        <w:rPr>
          <w:rFonts w:ascii="Times New Roman" w:hAnsi="Times New Roman" w:cs="Times New Roman"/>
          <w:color w:val="000000" w:themeColor="text1"/>
        </w:rPr>
        <w:t xml:space="preserve">küresel krizle mücadelede para politikasının aktif olarak kullanıldığı bir dönemi kapsaması nedeni ile ayrıca önem arz etmektedir. </w:t>
      </w:r>
    </w:p>
    <w:p w14:paraId="74F8C40D" w14:textId="77777777" w:rsidR="00E666D1" w:rsidRPr="00164238" w:rsidRDefault="00E666D1" w:rsidP="007C3550">
      <w:pPr>
        <w:numPr>
          <w:ilvl w:val="0"/>
          <w:numId w:val="2"/>
        </w:numPr>
        <w:spacing w:before="120" w:after="120" w:line="360" w:lineRule="auto"/>
        <w:jc w:val="both"/>
        <w:rPr>
          <w:rFonts w:ascii="Times New Roman" w:hAnsi="Times New Roman" w:cs="Times New Roman"/>
          <w:b/>
          <w:color w:val="000000" w:themeColor="text1"/>
        </w:rPr>
      </w:pPr>
      <w:r w:rsidRPr="00164238">
        <w:rPr>
          <w:rFonts w:ascii="Times New Roman" w:hAnsi="Times New Roman" w:cs="Times New Roman"/>
          <w:b/>
          <w:color w:val="000000" w:themeColor="text1"/>
        </w:rPr>
        <w:t>Veri Seti</w:t>
      </w:r>
      <w:r w:rsidR="00C91EB7" w:rsidRPr="00164238">
        <w:rPr>
          <w:rFonts w:ascii="Times New Roman" w:hAnsi="Times New Roman" w:cs="Times New Roman"/>
          <w:b/>
          <w:color w:val="000000" w:themeColor="text1"/>
        </w:rPr>
        <w:t xml:space="preserve">, </w:t>
      </w:r>
      <w:r w:rsidR="004E03C1" w:rsidRPr="00164238">
        <w:rPr>
          <w:rFonts w:ascii="Times New Roman" w:hAnsi="Times New Roman" w:cs="Times New Roman"/>
          <w:b/>
          <w:color w:val="000000" w:themeColor="text1"/>
        </w:rPr>
        <w:t>Yöntem</w:t>
      </w:r>
      <w:r w:rsidR="00C91EB7" w:rsidRPr="00164238">
        <w:rPr>
          <w:rFonts w:ascii="Times New Roman" w:hAnsi="Times New Roman" w:cs="Times New Roman"/>
          <w:b/>
          <w:color w:val="000000" w:themeColor="text1"/>
        </w:rPr>
        <w:t xml:space="preserve"> ve Bulgular</w:t>
      </w:r>
    </w:p>
    <w:p w14:paraId="0686189E" w14:textId="77777777" w:rsidR="009C7E36" w:rsidRPr="00164238" w:rsidRDefault="000A122E" w:rsidP="007D55D3">
      <w:pPr>
        <w:spacing w:before="120" w:after="120" w:line="360" w:lineRule="auto"/>
        <w:ind w:firstLine="709"/>
        <w:jc w:val="both"/>
        <w:rPr>
          <w:rFonts w:ascii="Times New Roman" w:hAnsi="Times New Roman" w:cs="Times New Roman"/>
          <w:color w:val="000000" w:themeColor="text1"/>
        </w:rPr>
      </w:pPr>
      <w:r w:rsidRPr="00164238">
        <w:rPr>
          <w:rFonts w:ascii="Times New Roman" w:hAnsi="Times New Roman" w:cs="Times New Roman"/>
          <w:color w:val="000000" w:themeColor="text1"/>
        </w:rPr>
        <w:t>Kovid-19 salgılının yarattığı ekonomik belirsizlik ve istikrarsızlık ortamında</w:t>
      </w:r>
      <w:r w:rsidR="005541B6" w:rsidRPr="00164238">
        <w:rPr>
          <w:rFonts w:ascii="Times New Roman" w:hAnsi="Times New Roman" w:cs="Times New Roman"/>
          <w:color w:val="000000" w:themeColor="text1"/>
        </w:rPr>
        <w:t>,</w:t>
      </w:r>
      <w:r w:rsidRPr="00164238">
        <w:rPr>
          <w:rFonts w:ascii="Times New Roman" w:hAnsi="Times New Roman" w:cs="Times New Roman"/>
          <w:color w:val="000000" w:themeColor="text1"/>
        </w:rPr>
        <w:t xml:space="preserve"> TCMB tarafından devreye sokulan para politikası tedb</w:t>
      </w:r>
      <w:r w:rsidR="004E03C1" w:rsidRPr="00164238">
        <w:rPr>
          <w:rFonts w:ascii="Times New Roman" w:hAnsi="Times New Roman" w:cs="Times New Roman"/>
          <w:color w:val="000000" w:themeColor="text1"/>
        </w:rPr>
        <w:t>i</w:t>
      </w:r>
      <w:r w:rsidRPr="00164238">
        <w:rPr>
          <w:rFonts w:ascii="Times New Roman" w:hAnsi="Times New Roman" w:cs="Times New Roman"/>
          <w:color w:val="000000" w:themeColor="text1"/>
        </w:rPr>
        <w:t>rlerinin seçilmiş</w:t>
      </w:r>
      <w:r w:rsidR="00881BBB" w:rsidRPr="00164238">
        <w:rPr>
          <w:rFonts w:ascii="Times New Roman" w:hAnsi="Times New Roman" w:cs="Times New Roman"/>
          <w:color w:val="000000" w:themeColor="text1"/>
        </w:rPr>
        <w:t xml:space="preserve"> finansal göstergeler üzerinde etkili olup olmadığını</w:t>
      </w:r>
      <w:r w:rsidRPr="00164238">
        <w:rPr>
          <w:rFonts w:ascii="Times New Roman" w:hAnsi="Times New Roman" w:cs="Times New Roman"/>
          <w:color w:val="000000" w:themeColor="text1"/>
        </w:rPr>
        <w:t xml:space="preserve"> ortaya koymayı amaçlayan bu çalışmanın veri seti 11 M</w:t>
      </w:r>
      <w:r w:rsidR="005541B6" w:rsidRPr="00164238">
        <w:rPr>
          <w:rFonts w:ascii="Times New Roman" w:hAnsi="Times New Roman" w:cs="Times New Roman"/>
          <w:color w:val="000000" w:themeColor="text1"/>
        </w:rPr>
        <w:t>art 2020- 20 Kasım 2020 dönemine</w:t>
      </w:r>
      <w:r w:rsidRPr="00164238">
        <w:rPr>
          <w:rFonts w:ascii="Times New Roman" w:hAnsi="Times New Roman" w:cs="Times New Roman"/>
          <w:color w:val="000000" w:themeColor="text1"/>
        </w:rPr>
        <w:t xml:space="preserve"> ait günlük verilerden oluşmaktadır. Ele alınan dönemde</w:t>
      </w:r>
      <w:r w:rsidR="005541B6" w:rsidRPr="00164238">
        <w:rPr>
          <w:rFonts w:ascii="Times New Roman" w:hAnsi="Times New Roman" w:cs="Times New Roman"/>
          <w:color w:val="000000" w:themeColor="text1"/>
        </w:rPr>
        <w:t>,</w:t>
      </w:r>
      <w:r w:rsidRPr="00164238">
        <w:rPr>
          <w:rFonts w:ascii="Times New Roman" w:hAnsi="Times New Roman" w:cs="Times New Roman"/>
          <w:color w:val="000000" w:themeColor="text1"/>
        </w:rPr>
        <w:t xml:space="preserve"> para politikasına ilişkin tedbirler piyasaya sağlanan likiditenin arttırılması ve yapılan fonlamanın maliyetinin düşürülmesi odaklı olduğundan, çalışmada para politikası değişkenleri olarak TCMB tarafından yapılan toplam fonlama miktarı, </w:t>
      </w:r>
      <w:r w:rsidR="009C7E36" w:rsidRPr="00164238">
        <w:rPr>
          <w:rFonts w:ascii="Times New Roman" w:hAnsi="Times New Roman" w:cs="Times New Roman"/>
          <w:color w:val="000000" w:themeColor="text1"/>
        </w:rPr>
        <w:t xml:space="preserve">ağırlıklı </w:t>
      </w:r>
      <w:r w:rsidRPr="00164238">
        <w:rPr>
          <w:rFonts w:ascii="Times New Roman" w:hAnsi="Times New Roman" w:cs="Times New Roman"/>
          <w:color w:val="000000" w:themeColor="text1"/>
        </w:rPr>
        <w:t xml:space="preserve">ortalama fonlama maliyeti ve referans faiz oranı </w:t>
      </w:r>
      <w:r w:rsidR="00610143" w:rsidRPr="00164238">
        <w:rPr>
          <w:rFonts w:ascii="Times New Roman" w:hAnsi="Times New Roman" w:cs="Times New Roman"/>
          <w:color w:val="000000" w:themeColor="text1"/>
        </w:rPr>
        <w:t xml:space="preserve">(TRlibor) </w:t>
      </w:r>
      <w:r w:rsidRPr="00164238">
        <w:rPr>
          <w:rFonts w:ascii="Times New Roman" w:hAnsi="Times New Roman" w:cs="Times New Roman"/>
          <w:color w:val="000000" w:themeColor="text1"/>
        </w:rPr>
        <w:t xml:space="preserve">seçilmiştir. </w:t>
      </w:r>
    </w:p>
    <w:p w14:paraId="616B1C78" w14:textId="77777777" w:rsidR="00533327" w:rsidRPr="00164238" w:rsidRDefault="009C7E36" w:rsidP="007D55D3">
      <w:pPr>
        <w:spacing w:before="120" w:after="120" w:line="360" w:lineRule="auto"/>
        <w:ind w:firstLine="709"/>
        <w:jc w:val="both"/>
        <w:rPr>
          <w:rFonts w:ascii="Times New Roman" w:eastAsia="Times New Roman" w:hAnsi="Times New Roman" w:cs="Times New Roman"/>
          <w:bCs/>
          <w:color w:val="000000" w:themeColor="text1"/>
        </w:rPr>
      </w:pPr>
      <w:r w:rsidRPr="00164238">
        <w:rPr>
          <w:rFonts w:ascii="Times New Roman" w:hAnsi="Times New Roman" w:cs="Times New Roman"/>
          <w:color w:val="000000" w:themeColor="text1"/>
        </w:rPr>
        <w:t>Diğer taraftan seçi</w:t>
      </w:r>
      <w:r w:rsidR="004E03C1" w:rsidRPr="00164238">
        <w:rPr>
          <w:rFonts w:ascii="Times New Roman" w:hAnsi="Times New Roman" w:cs="Times New Roman"/>
          <w:color w:val="000000" w:themeColor="text1"/>
        </w:rPr>
        <w:t xml:space="preserve">len parasal değişenlerin etkisi krizin en çok etkilediği finansal değişkenler olan BIST 100 endeksi, Dolar/TL kuru ve Türkiye’nin 2 yıllık faizi üzerinden analiz edilmiştir. Çalışmada kullanılan bütün değişkenlerin doğal logaritmaları alınmıştır. Bu nedenle katsayılar aynı zamanda esneklikleri ifade etmektedir. Çalışmada kullanılan değişkenlere ilişkin açıklayıcı bilgiler </w:t>
      </w:r>
      <w:r w:rsidR="007D55D3" w:rsidRPr="00164238">
        <w:rPr>
          <w:rFonts w:ascii="Times New Roman" w:hAnsi="Times New Roman" w:cs="Times New Roman"/>
          <w:color w:val="000000" w:themeColor="text1"/>
        </w:rPr>
        <w:t xml:space="preserve">ve tanımlayıcı istatistikler </w:t>
      </w:r>
      <w:r w:rsidR="004E03C1" w:rsidRPr="00164238">
        <w:rPr>
          <w:rFonts w:ascii="Times New Roman" w:hAnsi="Times New Roman" w:cs="Times New Roman"/>
          <w:color w:val="000000" w:themeColor="text1"/>
        </w:rPr>
        <w:t>Tablo 1</w:t>
      </w:r>
      <w:r w:rsidR="007D55D3" w:rsidRPr="00164238">
        <w:rPr>
          <w:rFonts w:ascii="Times New Roman" w:hAnsi="Times New Roman" w:cs="Times New Roman"/>
          <w:color w:val="000000" w:themeColor="text1"/>
        </w:rPr>
        <w:t xml:space="preserve"> ve Tablo 2</w:t>
      </w:r>
      <w:r w:rsidR="004E03C1" w:rsidRPr="00164238">
        <w:rPr>
          <w:rFonts w:ascii="Times New Roman" w:hAnsi="Times New Roman" w:cs="Times New Roman"/>
          <w:color w:val="000000" w:themeColor="text1"/>
        </w:rPr>
        <w:t xml:space="preserve">’de sunulmuştur. </w:t>
      </w:r>
    </w:p>
    <w:p w14:paraId="653014D6" w14:textId="77777777" w:rsidR="00533327" w:rsidRPr="00164238" w:rsidRDefault="00AB77B4" w:rsidP="00AB77B4">
      <w:pPr>
        <w:spacing w:before="120" w:after="120" w:line="360" w:lineRule="auto"/>
        <w:jc w:val="both"/>
        <w:rPr>
          <w:rFonts w:ascii="Times New Roman" w:hAnsi="Times New Roman" w:cs="Times New Roman"/>
          <w:b/>
          <w:color w:val="000000" w:themeColor="text1"/>
        </w:rPr>
      </w:pPr>
      <w:r w:rsidRPr="00164238">
        <w:rPr>
          <w:rFonts w:ascii="Times New Roman" w:hAnsi="Times New Roman" w:cs="Times New Roman"/>
          <w:i/>
          <w:color w:val="000000" w:themeColor="text1"/>
        </w:rPr>
        <w:t xml:space="preserve">    </w:t>
      </w:r>
      <w:r w:rsidR="00533327" w:rsidRPr="00164238">
        <w:rPr>
          <w:rFonts w:ascii="Times New Roman" w:hAnsi="Times New Roman" w:cs="Times New Roman"/>
          <w:i/>
          <w:color w:val="000000" w:themeColor="text1"/>
        </w:rPr>
        <w:t>Tablo 1.</w:t>
      </w:r>
      <w:r w:rsidR="00533327" w:rsidRPr="00164238">
        <w:rPr>
          <w:rFonts w:ascii="Times New Roman" w:hAnsi="Times New Roman" w:cs="Times New Roman"/>
          <w:b/>
          <w:color w:val="000000" w:themeColor="text1"/>
        </w:rPr>
        <w:t xml:space="preserve"> </w:t>
      </w:r>
      <w:r w:rsidR="00D15A2A" w:rsidRPr="00164238">
        <w:rPr>
          <w:rFonts w:ascii="Times New Roman" w:eastAsia="Times New Roman" w:hAnsi="Times New Roman" w:cs="Times New Roman"/>
          <w:bCs/>
          <w:color w:val="000000" w:themeColor="text1"/>
        </w:rPr>
        <w:t>Değişkenlere Ait Açıklayıcı Bilgiler</w:t>
      </w:r>
    </w:p>
    <w:tbl>
      <w:tblPr>
        <w:tblW w:w="0" w:type="auto"/>
        <w:jc w:val="center"/>
        <w:tblBorders>
          <w:top w:val="single" w:sz="4" w:space="0" w:color="auto"/>
          <w:bottom w:val="single" w:sz="4" w:space="0" w:color="auto"/>
          <w:insideH w:val="single" w:sz="4" w:space="0" w:color="auto"/>
        </w:tblBorders>
        <w:tblLook w:val="04A0" w:firstRow="1" w:lastRow="0" w:firstColumn="1" w:lastColumn="0" w:noHBand="0" w:noVBand="1"/>
      </w:tblPr>
      <w:tblGrid>
        <w:gridCol w:w="1276"/>
        <w:gridCol w:w="4678"/>
        <w:gridCol w:w="1701"/>
        <w:gridCol w:w="1134"/>
      </w:tblGrid>
      <w:tr w:rsidR="00164238" w:rsidRPr="00164238" w14:paraId="357BB9AF" w14:textId="77777777" w:rsidTr="005541B6">
        <w:trPr>
          <w:jc w:val="center"/>
        </w:trPr>
        <w:tc>
          <w:tcPr>
            <w:tcW w:w="1276" w:type="dxa"/>
            <w:tcBorders>
              <w:bottom w:val="single" w:sz="4" w:space="0" w:color="auto"/>
            </w:tcBorders>
          </w:tcPr>
          <w:p w14:paraId="009C4F81" w14:textId="77777777" w:rsidR="00533327" w:rsidRPr="00164238" w:rsidRDefault="00533327" w:rsidP="007D55D3">
            <w:pPr>
              <w:jc w:val="both"/>
              <w:rPr>
                <w:rFonts w:ascii="Times New Roman" w:hAnsi="Times New Roman" w:cs="Times New Roman"/>
                <w:b/>
                <w:color w:val="000000" w:themeColor="text1"/>
                <w:sz w:val="20"/>
                <w:szCs w:val="20"/>
              </w:rPr>
            </w:pPr>
            <w:r w:rsidRPr="00164238">
              <w:rPr>
                <w:rFonts w:ascii="Times New Roman" w:hAnsi="Times New Roman" w:cs="Times New Roman"/>
                <w:b/>
                <w:color w:val="000000" w:themeColor="text1"/>
                <w:sz w:val="20"/>
                <w:szCs w:val="20"/>
              </w:rPr>
              <w:t>Değişkenler</w:t>
            </w:r>
          </w:p>
        </w:tc>
        <w:tc>
          <w:tcPr>
            <w:tcW w:w="4678" w:type="dxa"/>
          </w:tcPr>
          <w:p w14:paraId="07A2C1B6" w14:textId="77777777" w:rsidR="00533327" w:rsidRPr="00164238" w:rsidRDefault="00533327" w:rsidP="007D55D3">
            <w:pPr>
              <w:jc w:val="both"/>
              <w:rPr>
                <w:rFonts w:ascii="Times New Roman" w:hAnsi="Times New Roman" w:cs="Times New Roman"/>
                <w:b/>
                <w:color w:val="000000" w:themeColor="text1"/>
                <w:sz w:val="20"/>
                <w:szCs w:val="20"/>
              </w:rPr>
            </w:pPr>
            <w:r w:rsidRPr="00164238">
              <w:rPr>
                <w:rFonts w:ascii="Times New Roman" w:hAnsi="Times New Roman" w:cs="Times New Roman"/>
                <w:b/>
                <w:color w:val="000000" w:themeColor="text1"/>
                <w:sz w:val="20"/>
                <w:szCs w:val="20"/>
              </w:rPr>
              <w:t>Açıklamaları</w:t>
            </w:r>
          </w:p>
        </w:tc>
        <w:tc>
          <w:tcPr>
            <w:tcW w:w="1701" w:type="dxa"/>
          </w:tcPr>
          <w:p w14:paraId="09EE1F4A" w14:textId="77777777" w:rsidR="00533327" w:rsidRPr="00164238" w:rsidRDefault="00533327" w:rsidP="007D55D3">
            <w:pPr>
              <w:jc w:val="both"/>
              <w:rPr>
                <w:rFonts w:ascii="Times New Roman" w:hAnsi="Times New Roman" w:cs="Times New Roman"/>
                <w:b/>
                <w:color w:val="000000" w:themeColor="text1"/>
                <w:sz w:val="20"/>
                <w:szCs w:val="20"/>
              </w:rPr>
            </w:pPr>
            <w:r w:rsidRPr="00164238">
              <w:rPr>
                <w:rFonts w:ascii="Times New Roman" w:hAnsi="Times New Roman" w:cs="Times New Roman"/>
                <w:b/>
                <w:color w:val="000000" w:themeColor="text1"/>
                <w:sz w:val="20"/>
                <w:szCs w:val="20"/>
              </w:rPr>
              <w:t>Orijinal Frekans</w:t>
            </w:r>
          </w:p>
        </w:tc>
        <w:tc>
          <w:tcPr>
            <w:tcW w:w="1134" w:type="dxa"/>
          </w:tcPr>
          <w:p w14:paraId="0F331365" w14:textId="77777777" w:rsidR="00533327" w:rsidRPr="00164238" w:rsidRDefault="00533327" w:rsidP="007D55D3">
            <w:pPr>
              <w:jc w:val="both"/>
              <w:rPr>
                <w:rFonts w:ascii="Times New Roman" w:hAnsi="Times New Roman" w:cs="Times New Roman"/>
                <w:b/>
                <w:color w:val="000000" w:themeColor="text1"/>
                <w:sz w:val="20"/>
                <w:szCs w:val="20"/>
              </w:rPr>
            </w:pPr>
            <w:r w:rsidRPr="00164238">
              <w:rPr>
                <w:rFonts w:ascii="Times New Roman" w:hAnsi="Times New Roman" w:cs="Times New Roman"/>
                <w:b/>
                <w:color w:val="000000" w:themeColor="text1"/>
                <w:sz w:val="20"/>
                <w:szCs w:val="20"/>
              </w:rPr>
              <w:t>Veri Kaynağı</w:t>
            </w:r>
          </w:p>
        </w:tc>
      </w:tr>
      <w:tr w:rsidR="00164238" w:rsidRPr="00164238" w14:paraId="55D65A90" w14:textId="77777777" w:rsidTr="005541B6">
        <w:trPr>
          <w:jc w:val="center"/>
        </w:trPr>
        <w:tc>
          <w:tcPr>
            <w:tcW w:w="1276" w:type="dxa"/>
            <w:tcBorders>
              <w:top w:val="single" w:sz="4" w:space="0" w:color="auto"/>
              <w:left w:val="nil"/>
              <w:bottom w:val="single" w:sz="4" w:space="0" w:color="auto"/>
              <w:right w:val="nil"/>
            </w:tcBorders>
          </w:tcPr>
          <w:p w14:paraId="668F424E" w14:textId="77777777" w:rsidR="00533327" w:rsidRPr="00164238" w:rsidRDefault="00533327" w:rsidP="007D55D3">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TFon</w:t>
            </w:r>
          </w:p>
        </w:tc>
        <w:tc>
          <w:tcPr>
            <w:tcW w:w="4678" w:type="dxa"/>
          </w:tcPr>
          <w:p w14:paraId="20EF96AF" w14:textId="77777777" w:rsidR="00533327" w:rsidRPr="00164238" w:rsidRDefault="00533327" w:rsidP="007D55D3">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TCMB tarafından yapılan Toplam Fonlama Miktarı</w:t>
            </w:r>
          </w:p>
        </w:tc>
        <w:tc>
          <w:tcPr>
            <w:tcW w:w="1701" w:type="dxa"/>
          </w:tcPr>
          <w:p w14:paraId="22748414" w14:textId="77777777" w:rsidR="00533327" w:rsidRPr="00164238" w:rsidRDefault="00533327" w:rsidP="007D55D3">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Günlük</w:t>
            </w:r>
          </w:p>
        </w:tc>
        <w:tc>
          <w:tcPr>
            <w:tcW w:w="1134" w:type="dxa"/>
          </w:tcPr>
          <w:p w14:paraId="6AFBB833" w14:textId="77777777" w:rsidR="00533327" w:rsidRPr="00164238" w:rsidRDefault="00533327" w:rsidP="007D55D3">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TCMB</w:t>
            </w:r>
          </w:p>
        </w:tc>
      </w:tr>
      <w:tr w:rsidR="00164238" w:rsidRPr="00164238" w14:paraId="2B1A6C29" w14:textId="77777777" w:rsidTr="005541B6">
        <w:trPr>
          <w:jc w:val="center"/>
        </w:trPr>
        <w:tc>
          <w:tcPr>
            <w:tcW w:w="1276" w:type="dxa"/>
            <w:tcBorders>
              <w:top w:val="single" w:sz="4" w:space="0" w:color="auto"/>
              <w:left w:val="nil"/>
              <w:bottom w:val="single" w:sz="4" w:space="0" w:color="auto"/>
              <w:right w:val="nil"/>
            </w:tcBorders>
          </w:tcPr>
          <w:p w14:paraId="1B5D1EA8" w14:textId="77777777" w:rsidR="00533327" w:rsidRPr="00164238" w:rsidRDefault="00533327" w:rsidP="007D55D3">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İaof</w:t>
            </w:r>
          </w:p>
        </w:tc>
        <w:tc>
          <w:tcPr>
            <w:tcW w:w="4678" w:type="dxa"/>
          </w:tcPr>
          <w:p w14:paraId="5E6DCC6D" w14:textId="77777777" w:rsidR="00533327" w:rsidRPr="00164238" w:rsidRDefault="00533327" w:rsidP="007D55D3">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TCMB ağırlıklı ortalama fonlama maliyeti</w:t>
            </w:r>
          </w:p>
        </w:tc>
        <w:tc>
          <w:tcPr>
            <w:tcW w:w="1701" w:type="dxa"/>
          </w:tcPr>
          <w:p w14:paraId="354850AF" w14:textId="77777777" w:rsidR="00533327" w:rsidRPr="00164238" w:rsidRDefault="00533327" w:rsidP="007D55D3">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Günlük</w:t>
            </w:r>
          </w:p>
        </w:tc>
        <w:tc>
          <w:tcPr>
            <w:tcW w:w="1134" w:type="dxa"/>
          </w:tcPr>
          <w:p w14:paraId="324C104F" w14:textId="77777777" w:rsidR="00533327" w:rsidRPr="00164238" w:rsidRDefault="00533327" w:rsidP="007D55D3">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TCMB</w:t>
            </w:r>
          </w:p>
        </w:tc>
      </w:tr>
      <w:tr w:rsidR="00164238" w:rsidRPr="00164238" w14:paraId="366F3636" w14:textId="77777777" w:rsidTr="005541B6">
        <w:trPr>
          <w:jc w:val="center"/>
        </w:trPr>
        <w:tc>
          <w:tcPr>
            <w:tcW w:w="1276" w:type="dxa"/>
            <w:tcBorders>
              <w:top w:val="single" w:sz="4" w:space="0" w:color="auto"/>
              <w:left w:val="nil"/>
              <w:bottom w:val="single" w:sz="4" w:space="0" w:color="auto"/>
              <w:right w:val="nil"/>
            </w:tcBorders>
          </w:tcPr>
          <w:p w14:paraId="2FB422FC" w14:textId="77777777" w:rsidR="00533327" w:rsidRPr="00164238" w:rsidRDefault="00610143" w:rsidP="007D55D3">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TRlibor</w:t>
            </w:r>
          </w:p>
        </w:tc>
        <w:tc>
          <w:tcPr>
            <w:tcW w:w="4678" w:type="dxa"/>
          </w:tcPr>
          <w:p w14:paraId="2CAED8F7" w14:textId="77777777" w:rsidR="00533327" w:rsidRPr="00164238" w:rsidRDefault="00533327" w:rsidP="007D55D3">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US"/>
              </w:rPr>
              <w:t xml:space="preserve">Türk lirası </w:t>
            </w:r>
            <w:r w:rsidR="00610143" w:rsidRPr="00164238">
              <w:rPr>
                <w:rFonts w:ascii="Times New Roman" w:hAnsi="Times New Roman" w:cs="Times New Roman"/>
                <w:color w:val="000000" w:themeColor="text1"/>
                <w:sz w:val="20"/>
                <w:szCs w:val="20"/>
                <w:lang w:val="en-US"/>
              </w:rPr>
              <w:t>Bankalararası satış oranı (</w:t>
            </w:r>
            <w:r w:rsidRPr="00164238">
              <w:rPr>
                <w:rFonts w:ascii="Times New Roman" w:hAnsi="Times New Roman" w:cs="Times New Roman"/>
                <w:color w:val="000000" w:themeColor="text1"/>
                <w:sz w:val="20"/>
                <w:szCs w:val="20"/>
                <w:lang w:val="en-US"/>
              </w:rPr>
              <w:t>referans faiz oranı</w:t>
            </w:r>
            <w:r w:rsidR="00610143" w:rsidRPr="00164238">
              <w:rPr>
                <w:rFonts w:ascii="Times New Roman" w:hAnsi="Times New Roman" w:cs="Times New Roman"/>
                <w:color w:val="000000" w:themeColor="text1"/>
                <w:sz w:val="20"/>
                <w:szCs w:val="20"/>
                <w:lang w:val="en-US"/>
              </w:rPr>
              <w:t>)</w:t>
            </w:r>
          </w:p>
        </w:tc>
        <w:tc>
          <w:tcPr>
            <w:tcW w:w="1701" w:type="dxa"/>
          </w:tcPr>
          <w:p w14:paraId="4AC65725" w14:textId="77777777" w:rsidR="00533327" w:rsidRPr="00164238" w:rsidRDefault="00533327" w:rsidP="007D55D3">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Günlük</w:t>
            </w:r>
          </w:p>
        </w:tc>
        <w:tc>
          <w:tcPr>
            <w:tcW w:w="1134" w:type="dxa"/>
          </w:tcPr>
          <w:p w14:paraId="3609F0FF" w14:textId="77777777" w:rsidR="00533327" w:rsidRPr="00164238" w:rsidRDefault="00533327" w:rsidP="007D55D3">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TCMB</w:t>
            </w:r>
          </w:p>
        </w:tc>
      </w:tr>
      <w:tr w:rsidR="00164238" w:rsidRPr="00164238" w14:paraId="03E66FC6" w14:textId="77777777" w:rsidTr="005541B6">
        <w:trPr>
          <w:jc w:val="center"/>
        </w:trPr>
        <w:tc>
          <w:tcPr>
            <w:tcW w:w="1276" w:type="dxa"/>
            <w:tcBorders>
              <w:top w:val="single" w:sz="4" w:space="0" w:color="auto"/>
              <w:left w:val="nil"/>
              <w:bottom w:val="single" w:sz="4" w:space="0" w:color="auto"/>
              <w:right w:val="nil"/>
            </w:tcBorders>
          </w:tcPr>
          <w:p w14:paraId="637F8BB5" w14:textId="77777777" w:rsidR="00533327" w:rsidRPr="00164238" w:rsidRDefault="00533327" w:rsidP="007D55D3">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BİST100</w:t>
            </w:r>
          </w:p>
        </w:tc>
        <w:tc>
          <w:tcPr>
            <w:tcW w:w="4678" w:type="dxa"/>
          </w:tcPr>
          <w:p w14:paraId="2F1F93A5" w14:textId="77777777" w:rsidR="00533327" w:rsidRPr="00164238" w:rsidRDefault="00533327" w:rsidP="007D55D3">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BIST100 endeksi (Kapanış Değerleri)</w:t>
            </w:r>
          </w:p>
        </w:tc>
        <w:tc>
          <w:tcPr>
            <w:tcW w:w="1701" w:type="dxa"/>
          </w:tcPr>
          <w:p w14:paraId="696FE234" w14:textId="77777777" w:rsidR="00533327" w:rsidRPr="00164238" w:rsidRDefault="00533327" w:rsidP="007D55D3">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Günlük</w:t>
            </w:r>
          </w:p>
        </w:tc>
        <w:tc>
          <w:tcPr>
            <w:tcW w:w="1134" w:type="dxa"/>
          </w:tcPr>
          <w:p w14:paraId="0445C6C0" w14:textId="77777777" w:rsidR="00533327" w:rsidRPr="00164238" w:rsidRDefault="00533327" w:rsidP="007D55D3">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TCMB</w:t>
            </w:r>
          </w:p>
        </w:tc>
      </w:tr>
      <w:tr w:rsidR="00164238" w:rsidRPr="00164238" w14:paraId="4E6DE909" w14:textId="77777777" w:rsidTr="005541B6">
        <w:trPr>
          <w:trHeight w:val="247"/>
          <w:jc w:val="center"/>
        </w:trPr>
        <w:tc>
          <w:tcPr>
            <w:tcW w:w="1276" w:type="dxa"/>
            <w:tcBorders>
              <w:top w:val="single" w:sz="4" w:space="0" w:color="auto"/>
              <w:left w:val="nil"/>
              <w:bottom w:val="single" w:sz="4" w:space="0" w:color="auto"/>
              <w:right w:val="nil"/>
            </w:tcBorders>
          </w:tcPr>
          <w:p w14:paraId="3A5A9F00" w14:textId="77777777" w:rsidR="00533327" w:rsidRPr="00164238" w:rsidRDefault="00533327" w:rsidP="007D55D3">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$/TL</w:t>
            </w:r>
          </w:p>
        </w:tc>
        <w:tc>
          <w:tcPr>
            <w:tcW w:w="4678" w:type="dxa"/>
          </w:tcPr>
          <w:p w14:paraId="419292F3" w14:textId="77777777" w:rsidR="00533327" w:rsidRPr="00164238" w:rsidRDefault="00533327" w:rsidP="007D55D3">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Dolar /TL nominal döviz kuru (Döviz Satış)</w:t>
            </w:r>
          </w:p>
        </w:tc>
        <w:tc>
          <w:tcPr>
            <w:tcW w:w="1701" w:type="dxa"/>
          </w:tcPr>
          <w:p w14:paraId="2F1C46DA" w14:textId="77777777" w:rsidR="00533327" w:rsidRPr="00164238" w:rsidRDefault="00533327" w:rsidP="007D55D3">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Günlük</w:t>
            </w:r>
          </w:p>
        </w:tc>
        <w:tc>
          <w:tcPr>
            <w:tcW w:w="1134" w:type="dxa"/>
          </w:tcPr>
          <w:p w14:paraId="6AD6D31D" w14:textId="77777777" w:rsidR="00533327" w:rsidRPr="00164238" w:rsidRDefault="00533327" w:rsidP="007D55D3">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TCMB</w:t>
            </w:r>
          </w:p>
        </w:tc>
      </w:tr>
      <w:tr w:rsidR="007D55D3" w:rsidRPr="00164238" w14:paraId="5F6D5253" w14:textId="77777777" w:rsidTr="005541B6">
        <w:trPr>
          <w:jc w:val="center"/>
        </w:trPr>
        <w:tc>
          <w:tcPr>
            <w:tcW w:w="1276" w:type="dxa"/>
            <w:tcBorders>
              <w:top w:val="single" w:sz="4" w:space="0" w:color="auto"/>
              <w:left w:val="nil"/>
              <w:bottom w:val="single" w:sz="4" w:space="0" w:color="auto"/>
              <w:right w:val="nil"/>
            </w:tcBorders>
          </w:tcPr>
          <w:p w14:paraId="6991CE84" w14:textId="77777777" w:rsidR="00533327" w:rsidRPr="00164238" w:rsidRDefault="00533327" w:rsidP="007D55D3">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İtahvil</w:t>
            </w:r>
          </w:p>
        </w:tc>
        <w:tc>
          <w:tcPr>
            <w:tcW w:w="4678" w:type="dxa"/>
          </w:tcPr>
          <w:p w14:paraId="19AC8C66" w14:textId="77777777" w:rsidR="00533327" w:rsidRPr="00164238" w:rsidRDefault="00533327" w:rsidP="007D55D3">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Türkiye 2 Yıllık Tahvil Verimi</w:t>
            </w:r>
          </w:p>
        </w:tc>
        <w:tc>
          <w:tcPr>
            <w:tcW w:w="1701" w:type="dxa"/>
          </w:tcPr>
          <w:p w14:paraId="0B92F4DB" w14:textId="77777777" w:rsidR="00533327" w:rsidRPr="00164238" w:rsidRDefault="00533327" w:rsidP="007D55D3">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Günlük</w:t>
            </w:r>
          </w:p>
        </w:tc>
        <w:tc>
          <w:tcPr>
            <w:tcW w:w="1134" w:type="dxa"/>
          </w:tcPr>
          <w:p w14:paraId="1FC83A32" w14:textId="77777777" w:rsidR="00533327" w:rsidRPr="00164238" w:rsidRDefault="00533327" w:rsidP="007D55D3">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Investing</w:t>
            </w:r>
          </w:p>
        </w:tc>
      </w:tr>
    </w:tbl>
    <w:p w14:paraId="7FFC22E6" w14:textId="6E808AAE" w:rsidR="00E40B0B" w:rsidRDefault="00E40B0B" w:rsidP="007D55D3">
      <w:pPr>
        <w:spacing w:before="120" w:after="120" w:line="360" w:lineRule="auto"/>
        <w:ind w:firstLine="709"/>
        <w:jc w:val="both"/>
        <w:rPr>
          <w:rFonts w:ascii="Times New Roman" w:hAnsi="Times New Roman" w:cs="Times New Roman"/>
          <w:b/>
          <w:color w:val="000000" w:themeColor="text1"/>
        </w:rPr>
      </w:pPr>
    </w:p>
    <w:p w14:paraId="545523E1" w14:textId="27CB20EB" w:rsidR="005E7C5E" w:rsidRDefault="005E7C5E" w:rsidP="007D55D3">
      <w:pPr>
        <w:spacing w:before="120" w:after="120" w:line="360" w:lineRule="auto"/>
        <w:ind w:firstLine="709"/>
        <w:jc w:val="both"/>
        <w:rPr>
          <w:rFonts w:ascii="Times New Roman" w:hAnsi="Times New Roman" w:cs="Times New Roman"/>
          <w:b/>
          <w:color w:val="000000" w:themeColor="text1"/>
        </w:rPr>
      </w:pPr>
    </w:p>
    <w:p w14:paraId="36BA999C" w14:textId="545EB97C" w:rsidR="005E7C5E" w:rsidRDefault="005E7C5E" w:rsidP="007D55D3">
      <w:pPr>
        <w:spacing w:before="120" w:after="120" w:line="360" w:lineRule="auto"/>
        <w:ind w:firstLine="709"/>
        <w:jc w:val="both"/>
        <w:rPr>
          <w:rFonts w:ascii="Times New Roman" w:hAnsi="Times New Roman" w:cs="Times New Roman"/>
          <w:b/>
          <w:color w:val="000000" w:themeColor="text1"/>
        </w:rPr>
      </w:pPr>
    </w:p>
    <w:p w14:paraId="50FE9DE4" w14:textId="77777777" w:rsidR="005E7C5E" w:rsidRPr="00164238" w:rsidRDefault="005E7C5E" w:rsidP="007D55D3">
      <w:pPr>
        <w:spacing w:before="120" w:after="120" w:line="360" w:lineRule="auto"/>
        <w:ind w:firstLine="709"/>
        <w:jc w:val="both"/>
        <w:rPr>
          <w:rFonts w:ascii="Times New Roman" w:hAnsi="Times New Roman" w:cs="Times New Roman"/>
          <w:b/>
          <w:color w:val="000000" w:themeColor="text1"/>
        </w:rPr>
      </w:pPr>
    </w:p>
    <w:p w14:paraId="403A9858" w14:textId="77777777" w:rsidR="001B311E" w:rsidRPr="00164238" w:rsidRDefault="001B311E" w:rsidP="007D55D3">
      <w:pPr>
        <w:spacing w:before="120" w:after="120" w:line="360" w:lineRule="auto"/>
        <w:ind w:firstLine="709"/>
        <w:jc w:val="both"/>
        <w:rPr>
          <w:rFonts w:ascii="Times New Roman" w:hAnsi="Times New Roman" w:cs="Times New Roman"/>
          <w:b/>
          <w:color w:val="000000" w:themeColor="text1"/>
        </w:rPr>
      </w:pPr>
    </w:p>
    <w:p w14:paraId="06D3CF37" w14:textId="77777777" w:rsidR="006D3978" w:rsidRPr="00164238" w:rsidRDefault="00AB77B4" w:rsidP="00AB77B4">
      <w:pPr>
        <w:spacing w:before="120" w:after="120" w:line="360" w:lineRule="auto"/>
        <w:jc w:val="both"/>
        <w:rPr>
          <w:rFonts w:ascii="Times New Roman" w:hAnsi="Times New Roman" w:cs="Times New Roman"/>
          <w:color w:val="000000" w:themeColor="text1"/>
        </w:rPr>
      </w:pPr>
      <w:r w:rsidRPr="00164238">
        <w:rPr>
          <w:rFonts w:ascii="Times New Roman" w:hAnsi="Times New Roman" w:cs="Times New Roman"/>
          <w:i/>
          <w:color w:val="000000" w:themeColor="text1"/>
        </w:rPr>
        <w:lastRenderedPageBreak/>
        <w:t xml:space="preserve">     </w:t>
      </w:r>
      <w:r w:rsidR="003824B9" w:rsidRPr="00164238">
        <w:rPr>
          <w:rFonts w:ascii="Times New Roman" w:hAnsi="Times New Roman" w:cs="Times New Roman"/>
          <w:i/>
          <w:color w:val="000000" w:themeColor="text1"/>
        </w:rPr>
        <w:t>Tablo 2.</w:t>
      </w:r>
      <w:r w:rsidR="007D55D3" w:rsidRPr="00164238">
        <w:rPr>
          <w:rFonts w:ascii="Times New Roman" w:hAnsi="Times New Roman" w:cs="Times New Roman"/>
          <w:b/>
          <w:color w:val="000000" w:themeColor="text1"/>
        </w:rPr>
        <w:t xml:space="preserve"> </w:t>
      </w:r>
      <w:r w:rsidR="003824B9" w:rsidRPr="00164238">
        <w:rPr>
          <w:rFonts w:ascii="Times New Roman" w:hAnsi="Times New Roman" w:cs="Times New Roman"/>
          <w:color w:val="000000" w:themeColor="text1"/>
        </w:rPr>
        <w:t>Tanımlayıcı İstatistikler</w:t>
      </w:r>
    </w:p>
    <w:tbl>
      <w:tblPr>
        <w:tblW w:w="8654" w:type="dxa"/>
        <w:jc w:val="center"/>
        <w:tblBorders>
          <w:top w:val="single" w:sz="4" w:space="0" w:color="auto"/>
          <w:bottom w:val="single" w:sz="4" w:space="0" w:color="auto"/>
          <w:insideH w:val="single" w:sz="4" w:space="0" w:color="auto"/>
        </w:tblBorders>
        <w:tblLook w:val="04A0" w:firstRow="1" w:lastRow="0" w:firstColumn="1" w:lastColumn="0" w:noHBand="0" w:noVBand="1"/>
      </w:tblPr>
      <w:tblGrid>
        <w:gridCol w:w="1183"/>
        <w:gridCol w:w="1560"/>
        <w:gridCol w:w="966"/>
        <w:gridCol w:w="1678"/>
        <w:gridCol w:w="1559"/>
        <w:gridCol w:w="1131"/>
        <w:gridCol w:w="577"/>
      </w:tblGrid>
      <w:tr w:rsidR="00164238" w:rsidRPr="00E0308F" w14:paraId="7206E773" w14:textId="77777777" w:rsidTr="003824B9">
        <w:trPr>
          <w:trHeight w:val="300"/>
          <w:jc w:val="center"/>
        </w:trPr>
        <w:tc>
          <w:tcPr>
            <w:tcW w:w="1183" w:type="dxa"/>
            <w:tcBorders>
              <w:top w:val="single" w:sz="4" w:space="0" w:color="auto"/>
            </w:tcBorders>
            <w:shd w:val="clear" w:color="auto" w:fill="auto"/>
            <w:noWrap/>
            <w:vAlign w:val="center"/>
          </w:tcPr>
          <w:p w14:paraId="06C115A0" w14:textId="77777777" w:rsidR="006D3978" w:rsidRPr="00E0308F" w:rsidRDefault="006D3978" w:rsidP="007D55D3">
            <w:pPr>
              <w:spacing w:after="0" w:line="240" w:lineRule="auto"/>
              <w:rPr>
                <w:rFonts w:ascii="Times New Roman" w:eastAsia="Times New Roman" w:hAnsi="Times New Roman" w:cs="Times New Roman"/>
                <w:color w:val="000000" w:themeColor="text1"/>
                <w:sz w:val="20"/>
                <w:szCs w:val="20"/>
                <w:lang w:val="en-US"/>
              </w:rPr>
            </w:pPr>
            <w:r w:rsidRPr="00E0308F">
              <w:rPr>
                <w:rFonts w:ascii="Times New Roman" w:eastAsia="Times New Roman" w:hAnsi="Times New Roman" w:cs="Times New Roman"/>
                <w:color w:val="000000" w:themeColor="text1"/>
                <w:sz w:val="20"/>
                <w:szCs w:val="20"/>
                <w:lang w:val="en-US"/>
              </w:rPr>
              <w:t>Değişkenler</w:t>
            </w:r>
          </w:p>
        </w:tc>
        <w:tc>
          <w:tcPr>
            <w:tcW w:w="1560" w:type="dxa"/>
            <w:tcBorders>
              <w:top w:val="single" w:sz="4" w:space="0" w:color="auto"/>
            </w:tcBorders>
            <w:shd w:val="clear" w:color="auto" w:fill="auto"/>
            <w:noWrap/>
            <w:vAlign w:val="center"/>
          </w:tcPr>
          <w:p w14:paraId="386747C8" w14:textId="77777777" w:rsidR="006D3978" w:rsidRPr="00E0308F" w:rsidRDefault="006D3978" w:rsidP="007D55D3">
            <w:pPr>
              <w:spacing w:after="0" w:line="240" w:lineRule="auto"/>
              <w:rPr>
                <w:rFonts w:ascii="Times New Roman" w:eastAsia="Times New Roman" w:hAnsi="Times New Roman" w:cs="Times New Roman"/>
                <w:color w:val="000000" w:themeColor="text1"/>
                <w:sz w:val="20"/>
                <w:szCs w:val="20"/>
                <w:lang w:val="en-US"/>
              </w:rPr>
            </w:pPr>
            <w:r w:rsidRPr="00E0308F">
              <w:rPr>
                <w:rFonts w:ascii="Times New Roman" w:eastAsia="Times New Roman" w:hAnsi="Times New Roman" w:cs="Times New Roman"/>
                <w:color w:val="000000" w:themeColor="text1"/>
                <w:sz w:val="20"/>
                <w:szCs w:val="20"/>
                <w:lang w:val="en-US"/>
              </w:rPr>
              <w:t>Gözlem Sayısı</w:t>
            </w:r>
          </w:p>
        </w:tc>
        <w:tc>
          <w:tcPr>
            <w:tcW w:w="966" w:type="dxa"/>
            <w:tcBorders>
              <w:top w:val="single" w:sz="4" w:space="0" w:color="auto"/>
            </w:tcBorders>
            <w:vAlign w:val="center"/>
          </w:tcPr>
          <w:p w14:paraId="6D39A762" w14:textId="77777777" w:rsidR="006D3978" w:rsidRPr="00E0308F" w:rsidRDefault="006D3978" w:rsidP="007D55D3">
            <w:pPr>
              <w:spacing w:after="0" w:line="240" w:lineRule="auto"/>
              <w:rPr>
                <w:rFonts w:ascii="Times New Roman" w:eastAsia="Times New Roman" w:hAnsi="Times New Roman" w:cs="Times New Roman"/>
                <w:color w:val="000000" w:themeColor="text1"/>
                <w:sz w:val="20"/>
                <w:szCs w:val="20"/>
                <w:lang w:val="en-US"/>
              </w:rPr>
            </w:pPr>
            <w:r w:rsidRPr="00E0308F">
              <w:rPr>
                <w:rFonts w:ascii="Times New Roman" w:eastAsia="Times New Roman" w:hAnsi="Times New Roman" w:cs="Times New Roman"/>
                <w:color w:val="000000" w:themeColor="text1"/>
                <w:sz w:val="20"/>
                <w:szCs w:val="20"/>
                <w:lang w:val="en-US"/>
              </w:rPr>
              <w:t>Ortalama</w:t>
            </w:r>
          </w:p>
        </w:tc>
        <w:tc>
          <w:tcPr>
            <w:tcW w:w="1678" w:type="dxa"/>
            <w:tcBorders>
              <w:top w:val="single" w:sz="4" w:space="0" w:color="auto"/>
            </w:tcBorders>
            <w:shd w:val="clear" w:color="auto" w:fill="auto"/>
            <w:noWrap/>
            <w:vAlign w:val="center"/>
          </w:tcPr>
          <w:p w14:paraId="57D751BD" w14:textId="77777777" w:rsidR="006D3978" w:rsidRPr="00E0308F" w:rsidRDefault="006D3978" w:rsidP="007D55D3">
            <w:pPr>
              <w:spacing w:after="0" w:line="240" w:lineRule="auto"/>
              <w:rPr>
                <w:rFonts w:ascii="Times New Roman" w:eastAsia="Times New Roman" w:hAnsi="Times New Roman" w:cs="Times New Roman"/>
                <w:color w:val="000000" w:themeColor="text1"/>
                <w:sz w:val="20"/>
                <w:szCs w:val="20"/>
                <w:lang w:val="en-US"/>
              </w:rPr>
            </w:pPr>
            <w:r w:rsidRPr="00E0308F">
              <w:rPr>
                <w:rFonts w:ascii="Times New Roman" w:eastAsia="Times New Roman" w:hAnsi="Times New Roman" w:cs="Times New Roman"/>
                <w:color w:val="000000" w:themeColor="text1"/>
                <w:sz w:val="20"/>
                <w:szCs w:val="20"/>
                <w:lang w:val="en-US"/>
              </w:rPr>
              <w:t>Maksimum Değer</w:t>
            </w:r>
          </w:p>
        </w:tc>
        <w:tc>
          <w:tcPr>
            <w:tcW w:w="1559" w:type="dxa"/>
            <w:tcBorders>
              <w:top w:val="single" w:sz="4" w:space="0" w:color="auto"/>
            </w:tcBorders>
            <w:shd w:val="clear" w:color="auto" w:fill="auto"/>
            <w:noWrap/>
            <w:vAlign w:val="center"/>
          </w:tcPr>
          <w:p w14:paraId="7A67924E" w14:textId="77777777" w:rsidR="006D3978" w:rsidRPr="00E0308F" w:rsidRDefault="006D3978" w:rsidP="007D55D3">
            <w:pPr>
              <w:spacing w:after="0" w:line="240" w:lineRule="auto"/>
              <w:rPr>
                <w:rFonts w:ascii="Times New Roman" w:eastAsia="Times New Roman" w:hAnsi="Times New Roman" w:cs="Times New Roman"/>
                <w:color w:val="000000" w:themeColor="text1"/>
                <w:sz w:val="20"/>
                <w:szCs w:val="20"/>
                <w:lang w:val="en-US"/>
              </w:rPr>
            </w:pPr>
            <w:r w:rsidRPr="00E0308F">
              <w:rPr>
                <w:rFonts w:ascii="Times New Roman" w:eastAsia="Times New Roman" w:hAnsi="Times New Roman" w:cs="Times New Roman"/>
                <w:color w:val="000000" w:themeColor="text1"/>
                <w:sz w:val="20"/>
                <w:szCs w:val="20"/>
                <w:lang w:val="en-US"/>
              </w:rPr>
              <w:t>Minimum Değer</w:t>
            </w:r>
          </w:p>
        </w:tc>
        <w:tc>
          <w:tcPr>
            <w:tcW w:w="1131" w:type="dxa"/>
            <w:tcBorders>
              <w:top w:val="single" w:sz="4" w:space="0" w:color="auto"/>
            </w:tcBorders>
            <w:shd w:val="clear" w:color="auto" w:fill="auto"/>
            <w:noWrap/>
            <w:vAlign w:val="center"/>
          </w:tcPr>
          <w:p w14:paraId="7264A196" w14:textId="77777777" w:rsidR="006D3978" w:rsidRPr="00E0308F" w:rsidRDefault="006D3978" w:rsidP="007D55D3">
            <w:pPr>
              <w:spacing w:after="0" w:line="240" w:lineRule="auto"/>
              <w:rPr>
                <w:rFonts w:ascii="Times New Roman" w:eastAsia="Times New Roman" w:hAnsi="Times New Roman" w:cs="Times New Roman"/>
                <w:color w:val="000000" w:themeColor="text1"/>
                <w:sz w:val="20"/>
                <w:szCs w:val="20"/>
                <w:lang w:val="en-US"/>
              </w:rPr>
            </w:pPr>
            <w:r w:rsidRPr="00E0308F">
              <w:rPr>
                <w:rFonts w:ascii="Times New Roman" w:eastAsia="Times New Roman" w:hAnsi="Times New Roman" w:cs="Times New Roman"/>
                <w:color w:val="000000" w:themeColor="text1"/>
                <w:sz w:val="20"/>
                <w:szCs w:val="20"/>
                <w:lang w:val="en-US"/>
              </w:rPr>
              <w:t>Std. Sapma</w:t>
            </w:r>
          </w:p>
        </w:tc>
        <w:tc>
          <w:tcPr>
            <w:tcW w:w="577" w:type="dxa"/>
            <w:tcBorders>
              <w:top w:val="single" w:sz="4" w:space="0" w:color="auto"/>
            </w:tcBorders>
            <w:shd w:val="clear" w:color="auto" w:fill="auto"/>
            <w:noWrap/>
            <w:vAlign w:val="center"/>
          </w:tcPr>
          <w:p w14:paraId="1997DD06" w14:textId="77777777" w:rsidR="006D3978" w:rsidRPr="00E0308F" w:rsidRDefault="006D3978" w:rsidP="007D55D3">
            <w:pPr>
              <w:spacing w:after="0" w:line="240" w:lineRule="auto"/>
              <w:rPr>
                <w:rFonts w:ascii="Times New Roman" w:eastAsia="Times New Roman" w:hAnsi="Times New Roman" w:cs="Times New Roman"/>
                <w:color w:val="000000" w:themeColor="text1"/>
                <w:sz w:val="20"/>
                <w:szCs w:val="20"/>
                <w:lang w:val="en-US"/>
              </w:rPr>
            </w:pPr>
          </w:p>
        </w:tc>
      </w:tr>
      <w:tr w:rsidR="00164238" w:rsidRPr="00E0308F" w14:paraId="16FABD8C" w14:textId="77777777" w:rsidTr="003824B9">
        <w:trPr>
          <w:trHeight w:val="300"/>
          <w:jc w:val="center"/>
        </w:trPr>
        <w:tc>
          <w:tcPr>
            <w:tcW w:w="1183" w:type="dxa"/>
            <w:shd w:val="clear" w:color="auto" w:fill="auto"/>
            <w:noWrap/>
            <w:vAlign w:val="center"/>
            <w:hideMark/>
          </w:tcPr>
          <w:p w14:paraId="0DEA106E" w14:textId="77777777" w:rsidR="003824B9" w:rsidRPr="00E0308F" w:rsidRDefault="003824B9" w:rsidP="007D55D3">
            <w:pPr>
              <w:spacing w:after="0" w:line="240" w:lineRule="auto"/>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t>TFon</w:t>
            </w:r>
          </w:p>
        </w:tc>
        <w:tc>
          <w:tcPr>
            <w:tcW w:w="1560" w:type="dxa"/>
            <w:shd w:val="clear" w:color="auto" w:fill="auto"/>
            <w:noWrap/>
            <w:vAlign w:val="center"/>
            <w:hideMark/>
          </w:tcPr>
          <w:p w14:paraId="678503EE" w14:textId="77777777" w:rsidR="003824B9" w:rsidRPr="00E0308F" w:rsidRDefault="003824B9" w:rsidP="007D55D3">
            <w:pPr>
              <w:spacing w:after="0" w:line="240" w:lineRule="auto"/>
              <w:rPr>
                <w:rFonts w:ascii="Times New Roman" w:eastAsia="Times New Roman" w:hAnsi="Times New Roman" w:cs="Times New Roman"/>
                <w:color w:val="000000" w:themeColor="text1"/>
                <w:sz w:val="20"/>
                <w:szCs w:val="20"/>
                <w:lang w:val="en-US"/>
              </w:rPr>
            </w:pPr>
            <w:r w:rsidRPr="00E0308F">
              <w:rPr>
                <w:rFonts w:ascii="Times New Roman" w:eastAsia="Times New Roman" w:hAnsi="Times New Roman" w:cs="Times New Roman"/>
                <w:color w:val="000000" w:themeColor="text1"/>
                <w:sz w:val="20"/>
                <w:szCs w:val="20"/>
                <w:lang w:val="en-US"/>
              </w:rPr>
              <w:t>255</w:t>
            </w:r>
          </w:p>
        </w:tc>
        <w:tc>
          <w:tcPr>
            <w:tcW w:w="966" w:type="dxa"/>
            <w:vAlign w:val="center"/>
          </w:tcPr>
          <w:p w14:paraId="74F4B599" w14:textId="77777777" w:rsidR="003824B9" w:rsidRPr="00E0308F" w:rsidRDefault="003824B9" w:rsidP="007D55D3">
            <w:pPr>
              <w:spacing w:after="0" w:line="240" w:lineRule="auto"/>
              <w:rPr>
                <w:rFonts w:ascii="Times New Roman" w:eastAsia="Times New Roman" w:hAnsi="Times New Roman" w:cs="Times New Roman"/>
                <w:color w:val="000000" w:themeColor="text1"/>
                <w:sz w:val="20"/>
                <w:szCs w:val="20"/>
                <w:lang w:val="en-US"/>
              </w:rPr>
            </w:pPr>
            <w:r w:rsidRPr="00E0308F">
              <w:rPr>
                <w:rFonts w:ascii="Times New Roman" w:eastAsia="Times New Roman" w:hAnsi="Times New Roman" w:cs="Times New Roman"/>
                <w:color w:val="000000" w:themeColor="text1"/>
                <w:sz w:val="20"/>
                <w:szCs w:val="20"/>
                <w:lang w:val="en-US"/>
              </w:rPr>
              <w:t>190814.0</w:t>
            </w:r>
          </w:p>
        </w:tc>
        <w:tc>
          <w:tcPr>
            <w:tcW w:w="1678" w:type="dxa"/>
            <w:shd w:val="clear" w:color="auto" w:fill="auto"/>
            <w:noWrap/>
            <w:vAlign w:val="center"/>
            <w:hideMark/>
          </w:tcPr>
          <w:p w14:paraId="6AE79D40" w14:textId="77777777" w:rsidR="003824B9" w:rsidRPr="00E0308F" w:rsidRDefault="003824B9" w:rsidP="007D55D3">
            <w:pPr>
              <w:spacing w:after="0" w:line="240" w:lineRule="auto"/>
              <w:rPr>
                <w:rFonts w:ascii="Times New Roman" w:eastAsia="Times New Roman" w:hAnsi="Times New Roman" w:cs="Times New Roman"/>
                <w:color w:val="000000" w:themeColor="text1"/>
                <w:sz w:val="20"/>
                <w:szCs w:val="20"/>
                <w:lang w:val="en-US"/>
              </w:rPr>
            </w:pPr>
            <w:r w:rsidRPr="00E0308F">
              <w:rPr>
                <w:rFonts w:ascii="Times New Roman" w:eastAsia="Times New Roman" w:hAnsi="Times New Roman" w:cs="Times New Roman"/>
                <w:color w:val="000000" w:themeColor="text1"/>
                <w:sz w:val="20"/>
                <w:szCs w:val="20"/>
                <w:lang w:val="en-US"/>
              </w:rPr>
              <w:t>343109.0</w:t>
            </w:r>
          </w:p>
        </w:tc>
        <w:tc>
          <w:tcPr>
            <w:tcW w:w="1559" w:type="dxa"/>
            <w:shd w:val="clear" w:color="auto" w:fill="auto"/>
            <w:noWrap/>
            <w:vAlign w:val="center"/>
            <w:hideMark/>
          </w:tcPr>
          <w:p w14:paraId="52888507" w14:textId="77777777" w:rsidR="003824B9" w:rsidRPr="00E0308F" w:rsidRDefault="003824B9" w:rsidP="007D55D3">
            <w:pPr>
              <w:spacing w:after="0" w:line="240" w:lineRule="auto"/>
              <w:rPr>
                <w:rFonts w:ascii="Times New Roman" w:eastAsia="Times New Roman" w:hAnsi="Times New Roman" w:cs="Times New Roman"/>
                <w:color w:val="000000" w:themeColor="text1"/>
                <w:sz w:val="20"/>
                <w:szCs w:val="20"/>
                <w:lang w:val="en-US"/>
              </w:rPr>
            </w:pPr>
            <w:r w:rsidRPr="00E0308F">
              <w:rPr>
                <w:rFonts w:ascii="Times New Roman" w:eastAsia="Times New Roman" w:hAnsi="Times New Roman" w:cs="Times New Roman"/>
                <w:color w:val="000000" w:themeColor="text1"/>
                <w:sz w:val="20"/>
                <w:szCs w:val="20"/>
                <w:lang w:val="en-US"/>
              </w:rPr>
              <w:t>71726.00</w:t>
            </w:r>
          </w:p>
        </w:tc>
        <w:tc>
          <w:tcPr>
            <w:tcW w:w="1131" w:type="dxa"/>
            <w:shd w:val="clear" w:color="auto" w:fill="auto"/>
            <w:noWrap/>
            <w:vAlign w:val="center"/>
            <w:hideMark/>
          </w:tcPr>
          <w:p w14:paraId="5A644338" w14:textId="77777777" w:rsidR="003824B9" w:rsidRPr="00E0308F" w:rsidRDefault="003824B9" w:rsidP="007D55D3">
            <w:pPr>
              <w:spacing w:after="0" w:line="240" w:lineRule="auto"/>
              <w:rPr>
                <w:rFonts w:ascii="Times New Roman" w:eastAsia="Times New Roman" w:hAnsi="Times New Roman" w:cs="Times New Roman"/>
                <w:color w:val="000000" w:themeColor="text1"/>
                <w:sz w:val="20"/>
                <w:szCs w:val="20"/>
                <w:lang w:val="en-US"/>
              </w:rPr>
            </w:pPr>
            <w:r w:rsidRPr="00E0308F">
              <w:rPr>
                <w:rFonts w:ascii="Times New Roman" w:eastAsia="Times New Roman" w:hAnsi="Times New Roman" w:cs="Times New Roman"/>
                <w:color w:val="000000" w:themeColor="text1"/>
                <w:sz w:val="20"/>
                <w:szCs w:val="20"/>
                <w:lang w:val="en-US"/>
              </w:rPr>
              <w:t>59298.35</w:t>
            </w:r>
          </w:p>
        </w:tc>
        <w:tc>
          <w:tcPr>
            <w:tcW w:w="577" w:type="dxa"/>
            <w:shd w:val="clear" w:color="auto" w:fill="auto"/>
            <w:noWrap/>
            <w:vAlign w:val="center"/>
            <w:hideMark/>
          </w:tcPr>
          <w:p w14:paraId="5373A7D7" w14:textId="77777777" w:rsidR="003824B9" w:rsidRPr="00E0308F" w:rsidRDefault="003824B9" w:rsidP="007D55D3">
            <w:pPr>
              <w:spacing w:after="0" w:line="240" w:lineRule="auto"/>
              <w:rPr>
                <w:rFonts w:ascii="Times New Roman" w:eastAsia="Times New Roman" w:hAnsi="Times New Roman" w:cs="Times New Roman"/>
                <w:color w:val="000000" w:themeColor="text1"/>
                <w:sz w:val="20"/>
                <w:szCs w:val="20"/>
                <w:lang w:val="en-US"/>
              </w:rPr>
            </w:pPr>
          </w:p>
        </w:tc>
      </w:tr>
      <w:tr w:rsidR="00164238" w:rsidRPr="00E0308F" w14:paraId="3230F701" w14:textId="77777777" w:rsidTr="003824B9">
        <w:trPr>
          <w:trHeight w:val="300"/>
          <w:jc w:val="center"/>
        </w:trPr>
        <w:tc>
          <w:tcPr>
            <w:tcW w:w="1183" w:type="dxa"/>
            <w:tcBorders>
              <w:top w:val="single" w:sz="4" w:space="0" w:color="auto"/>
            </w:tcBorders>
            <w:shd w:val="clear" w:color="auto" w:fill="auto"/>
            <w:noWrap/>
            <w:vAlign w:val="center"/>
            <w:hideMark/>
          </w:tcPr>
          <w:p w14:paraId="2C46608E" w14:textId="77777777" w:rsidR="003824B9" w:rsidRPr="00E0308F" w:rsidRDefault="003824B9" w:rsidP="007D55D3">
            <w:pPr>
              <w:spacing w:after="0" w:line="240" w:lineRule="auto"/>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t>İaof</w:t>
            </w:r>
          </w:p>
        </w:tc>
        <w:tc>
          <w:tcPr>
            <w:tcW w:w="1560" w:type="dxa"/>
            <w:tcBorders>
              <w:top w:val="single" w:sz="4" w:space="0" w:color="auto"/>
            </w:tcBorders>
            <w:shd w:val="clear" w:color="auto" w:fill="auto"/>
            <w:noWrap/>
            <w:vAlign w:val="center"/>
            <w:hideMark/>
          </w:tcPr>
          <w:p w14:paraId="22F2E002" w14:textId="77777777" w:rsidR="003824B9" w:rsidRPr="00E0308F" w:rsidRDefault="003824B9" w:rsidP="007D55D3">
            <w:pPr>
              <w:spacing w:after="0" w:line="240" w:lineRule="auto"/>
              <w:rPr>
                <w:rFonts w:ascii="Times New Roman" w:eastAsia="Times New Roman" w:hAnsi="Times New Roman" w:cs="Times New Roman"/>
                <w:color w:val="000000" w:themeColor="text1"/>
                <w:sz w:val="20"/>
                <w:szCs w:val="20"/>
                <w:lang w:val="en-US"/>
              </w:rPr>
            </w:pPr>
            <w:r w:rsidRPr="00E0308F">
              <w:rPr>
                <w:rFonts w:ascii="Times New Roman" w:eastAsia="Times New Roman" w:hAnsi="Times New Roman" w:cs="Times New Roman"/>
                <w:color w:val="000000" w:themeColor="text1"/>
                <w:sz w:val="20"/>
                <w:szCs w:val="20"/>
                <w:lang w:val="en-US"/>
              </w:rPr>
              <w:t>255</w:t>
            </w:r>
          </w:p>
        </w:tc>
        <w:tc>
          <w:tcPr>
            <w:tcW w:w="966" w:type="dxa"/>
            <w:tcBorders>
              <w:top w:val="single" w:sz="4" w:space="0" w:color="auto"/>
            </w:tcBorders>
            <w:vAlign w:val="center"/>
          </w:tcPr>
          <w:p w14:paraId="5A887DF3" w14:textId="77777777" w:rsidR="003824B9" w:rsidRPr="00E0308F" w:rsidRDefault="003824B9" w:rsidP="007D55D3">
            <w:pPr>
              <w:spacing w:after="0" w:line="240" w:lineRule="auto"/>
              <w:rPr>
                <w:rFonts w:ascii="Times New Roman" w:eastAsia="Times New Roman" w:hAnsi="Times New Roman" w:cs="Times New Roman"/>
                <w:color w:val="000000" w:themeColor="text1"/>
                <w:sz w:val="20"/>
                <w:szCs w:val="20"/>
                <w:lang w:val="en-US"/>
              </w:rPr>
            </w:pPr>
            <w:r w:rsidRPr="00E0308F">
              <w:rPr>
                <w:rFonts w:ascii="Times New Roman" w:eastAsia="Times New Roman" w:hAnsi="Times New Roman" w:cs="Times New Roman"/>
                <w:color w:val="000000" w:themeColor="text1"/>
                <w:sz w:val="20"/>
                <w:szCs w:val="20"/>
                <w:lang w:val="en-US"/>
              </w:rPr>
              <w:t>9.701207</w:t>
            </w:r>
          </w:p>
        </w:tc>
        <w:tc>
          <w:tcPr>
            <w:tcW w:w="1678" w:type="dxa"/>
            <w:tcBorders>
              <w:top w:val="single" w:sz="4" w:space="0" w:color="auto"/>
            </w:tcBorders>
            <w:shd w:val="clear" w:color="auto" w:fill="auto"/>
            <w:noWrap/>
            <w:vAlign w:val="center"/>
            <w:hideMark/>
          </w:tcPr>
          <w:p w14:paraId="4154A938" w14:textId="77777777" w:rsidR="003824B9" w:rsidRPr="00E0308F" w:rsidRDefault="003824B9" w:rsidP="007D55D3">
            <w:pPr>
              <w:spacing w:after="0" w:line="240" w:lineRule="auto"/>
              <w:rPr>
                <w:rFonts w:ascii="Times New Roman" w:eastAsia="Times New Roman" w:hAnsi="Times New Roman" w:cs="Times New Roman"/>
                <w:color w:val="000000" w:themeColor="text1"/>
                <w:sz w:val="20"/>
                <w:szCs w:val="20"/>
                <w:lang w:val="en-US"/>
              </w:rPr>
            </w:pPr>
            <w:r w:rsidRPr="00E0308F">
              <w:rPr>
                <w:rFonts w:ascii="Times New Roman" w:eastAsia="Times New Roman" w:hAnsi="Times New Roman" w:cs="Times New Roman"/>
                <w:color w:val="000000" w:themeColor="text1"/>
                <w:sz w:val="20"/>
                <w:szCs w:val="20"/>
                <w:lang w:val="en-US"/>
              </w:rPr>
              <w:t>14.96</w:t>
            </w:r>
          </w:p>
        </w:tc>
        <w:tc>
          <w:tcPr>
            <w:tcW w:w="1559" w:type="dxa"/>
            <w:tcBorders>
              <w:top w:val="single" w:sz="4" w:space="0" w:color="auto"/>
            </w:tcBorders>
            <w:shd w:val="clear" w:color="auto" w:fill="auto"/>
            <w:noWrap/>
            <w:vAlign w:val="center"/>
            <w:hideMark/>
          </w:tcPr>
          <w:p w14:paraId="67ECB04B" w14:textId="77777777" w:rsidR="003824B9" w:rsidRPr="00E0308F" w:rsidRDefault="003824B9" w:rsidP="007D55D3">
            <w:pPr>
              <w:spacing w:after="0" w:line="240" w:lineRule="auto"/>
              <w:rPr>
                <w:rFonts w:ascii="Times New Roman" w:eastAsia="Times New Roman" w:hAnsi="Times New Roman" w:cs="Times New Roman"/>
                <w:color w:val="000000" w:themeColor="text1"/>
                <w:sz w:val="20"/>
                <w:szCs w:val="20"/>
                <w:lang w:val="en-US"/>
              </w:rPr>
            </w:pPr>
            <w:r w:rsidRPr="00E0308F">
              <w:rPr>
                <w:rFonts w:ascii="Times New Roman" w:eastAsia="Times New Roman" w:hAnsi="Times New Roman" w:cs="Times New Roman"/>
                <w:color w:val="000000" w:themeColor="text1"/>
                <w:sz w:val="20"/>
                <w:szCs w:val="20"/>
                <w:lang w:val="en-US"/>
              </w:rPr>
              <w:t>7.34</w:t>
            </w:r>
          </w:p>
        </w:tc>
        <w:tc>
          <w:tcPr>
            <w:tcW w:w="1131" w:type="dxa"/>
            <w:tcBorders>
              <w:top w:val="single" w:sz="4" w:space="0" w:color="auto"/>
            </w:tcBorders>
            <w:shd w:val="clear" w:color="auto" w:fill="auto"/>
            <w:noWrap/>
            <w:vAlign w:val="center"/>
            <w:hideMark/>
          </w:tcPr>
          <w:p w14:paraId="7E341D1C" w14:textId="77777777" w:rsidR="003824B9" w:rsidRPr="00E0308F" w:rsidRDefault="003824B9" w:rsidP="007D55D3">
            <w:pPr>
              <w:spacing w:after="0" w:line="240" w:lineRule="auto"/>
              <w:rPr>
                <w:rFonts w:ascii="Times New Roman" w:eastAsia="Times New Roman" w:hAnsi="Times New Roman" w:cs="Times New Roman"/>
                <w:color w:val="000000" w:themeColor="text1"/>
                <w:sz w:val="20"/>
                <w:szCs w:val="20"/>
                <w:lang w:val="en-US"/>
              </w:rPr>
            </w:pPr>
            <w:r w:rsidRPr="00E0308F">
              <w:rPr>
                <w:rFonts w:ascii="Times New Roman" w:eastAsia="Times New Roman" w:hAnsi="Times New Roman" w:cs="Times New Roman"/>
                <w:color w:val="000000" w:themeColor="text1"/>
                <w:sz w:val="20"/>
                <w:szCs w:val="20"/>
                <w:lang w:val="en-US"/>
              </w:rPr>
              <w:t>2.07089</w:t>
            </w:r>
          </w:p>
        </w:tc>
        <w:tc>
          <w:tcPr>
            <w:tcW w:w="577" w:type="dxa"/>
            <w:tcBorders>
              <w:top w:val="single" w:sz="4" w:space="0" w:color="auto"/>
            </w:tcBorders>
            <w:shd w:val="clear" w:color="auto" w:fill="auto"/>
            <w:noWrap/>
            <w:vAlign w:val="center"/>
            <w:hideMark/>
          </w:tcPr>
          <w:p w14:paraId="304DC2A5" w14:textId="77777777" w:rsidR="003824B9" w:rsidRPr="00E0308F" w:rsidRDefault="003824B9" w:rsidP="007D55D3">
            <w:pPr>
              <w:spacing w:after="0" w:line="240" w:lineRule="auto"/>
              <w:rPr>
                <w:rFonts w:ascii="Times New Roman" w:eastAsia="Times New Roman" w:hAnsi="Times New Roman" w:cs="Times New Roman"/>
                <w:color w:val="000000" w:themeColor="text1"/>
                <w:sz w:val="20"/>
                <w:szCs w:val="20"/>
                <w:lang w:val="en-US"/>
              </w:rPr>
            </w:pPr>
          </w:p>
        </w:tc>
      </w:tr>
      <w:tr w:rsidR="00164238" w:rsidRPr="00E0308F" w14:paraId="7A089CDD" w14:textId="77777777" w:rsidTr="003824B9">
        <w:trPr>
          <w:trHeight w:val="300"/>
          <w:jc w:val="center"/>
        </w:trPr>
        <w:tc>
          <w:tcPr>
            <w:tcW w:w="1183" w:type="dxa"/>
            <w:shd w:val="clear" w:color="auto" w:fill="auto"/>
            <w:noWrap/>
            <w:vAlign w:val="center"/>
            <w:hideMark/>
          </w:tcPr>
          <w:p w14:paraId="1B80AAA5" w14:textId="77777777" w:rsidR="003824B9" w:rsidRPr="00E0308F" w:rsidRDefault="00610143" w:rsidP="007D55D3">
            <w:pPr>
              <w:spacing w:after="0" w:line="240" w:lineRule="auto"/>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t>TRlibor</w:t>
            </w:r>
          </w:p>
        </w:tc>
        <w:tc>
          <w:tcPr>
            <w:tcW w:w="1560" w:type="dxa"/>
            <w:shd w:val="clear" w:color="auto" w:fill="auto"/>
            <w:noWrap/>
            <w:vAlign w:val="center"/>
            <w:hideMark/>
          </w:tcPr>
          <w:p w14:paraId="321F4825" w14:textId="77777777" w:rsidR="003824B9" w:rsidRPr="00E0308F" w:rsidRDefault="003824B9" w:rsidP="007D55D3">
            <w:pPr>
              <w:spacing w:after="0" w:line="240" w:lineRule="auto"/>
              <w:rPr>
                <w:rFonts w:ascii="Times New Roman" w:eastAsia="Times New Roman" w:hAnsi="Times New Roman" w:cs="Times New Roman"/>
                <w:color w:val="000000" w:themeColor="text1"/>
                <w:sz w:val="20"/>
                <w:szCs w:val="20"/>
                <w:lang w:val="en-US"/>
              </w:rPr>
            </w:pPr>
            <w:r w:rsidRPr="00E0308F">
              <w:rPr>
                <w:rFonts w:ascii="Times New Roman" w:eastAsia="Times New Roman" w:hAnsi="Times New Roman" w:cs="Times New Roman"/>
                <w:color w:val="000000" w:themeColor="text1"/>
                <w:sz w:val="20"/>
                <w:szCs w:val="20"/>
                <w:lang w:val="en-US"/>
              </w:rPr>
              <w:t>255</w:t>
            </w:r>
          </w:p>
        </w:tc>
        <w:tc>
          <w:tcPr>
            <w:tcW w:w="966" w:type="dxa"/>
            <w:vAlign w:val="center"/>
          </w:tcPr>
          <w:p w14:paraId="751F82DD" w14:textId="77777777" w:rsidR="003824B9" w:rsidRPr="00E0308F" w:rsidRDefault="003824B9" w:rsidP="007D55D3">
            <w:pPr>
              <w:spacing w:after="0" w:line="240" w:lineRule="auto"/>
              <w:rPr>
                <w:rFonts w:ascii="Times New Roman" w:eastAsia="Times New Roman" w:hAnsi="Times New Roman" w:cs="Times New Roman"/>
                <w:color w:val="000000" w:themeColor="text1"/>
                <w:sz w:val="20"/>
                <w:szCs w:val="20"/>
                <w:lang w:val="en-US"/>
              </w:rPr>
            </w:pPr>
            <w:r w:rsidRPr="00E0308F">
              <w:rPr>
                <w:rFonts w:ascii="Times New Roman" w:eastAsia="Times New Roman" w:hAnsi="Times New Roman" w:cs="Times New Roman"/>
                <w:color w:val="000000" w:themeColor="text1"/>
                <w:sz w:val="20"/>
                <w:szCs w:val="20"/>
                <w:lang w:val="en-US"/>
              </w:rPr>
              <w:t>10.07149</w:t>
            </w:r>
          </w:p>
        </w:tc>
        <w:tc>
          <w:tcPr>
            <w:tcW w:w="1678" w:type="dxa"/>
            <w:shd w:val="clear" w:color="auto" w:fill="auto"/>
            <w:noWrap/>
            <w:vAlign w:val="center"/>
            <w:hideMark/>
          </w:tcPr>
          <w:p w14:paraId="54EC46CE" w14:textId="77777777" w:rsidR="003824B9" w:rsidRPr="00E0308F" w:rsidRDefault="003824B9" w:rsidP="007D55D3">
            <w:pPr>
              <w:spacing w:after="0" w:line="240" w:lineRule="auto"/>
              <w:rPr>
                <w:rFonts w:ascii="Times New Roman" w:eastAsia="Times New Roman" w:hAnsi="Times New Roman" w:cs="Times New Roman"/>
                <w:color w:val="000000" w:themeColor="text1"/>
                <w:sz w:val="20"/>
                <w:szCs w:val="20"/>
                <w:lang w:val="en-US"/>
              </w:rPr>
            </w:pPr>
            <w:r w:rsidRPr="00E0308F">
              <w:rPr>
                <w:rFonts w:ascii="Times New Roman" w:eastAsia="Times New Roman" w:hAnsi="Times New Roman" w:cs="Times New Roman"/>
                <w:color w:val="000000" w:themeColor="text1"/>
                <w:sz w:val="20"/>
                <w:szCs w:val="20"/>
                <w:lang w:val="en-US"/>
              </w:rPr>
              <w:t>14.97</w:t>
            </w:r>
          </w:p>
        </w:tc>
        <w:tc>
          <w:tcPr>
            <w:tcW w:w="1559" w:type="dxa"/>
            <w:shd w:val="clear" w:color="auto" w:fill="auto"/>
            <w:noWrap/>
            <w:vAlign w:val="center"/>
            <w:hideMark/>
          </w:tcPr>
          <w:p w14:paraId="076523AE" w14:textId="77777777" w:rsidR="003824B9" w:rsidRPr="00E0308F" w:rsidRDefault="003824B9" w:rsidP="007D55D3">
            <w:pPr>
              <w:spacing w:after="0" w:line="240" w:lineRule="auto"/>
              <w:rPr>
                <w:rFonts w:ascii="Times New Roman" w:eastAsia="Times New Roman" w:hAnsi="Times New Roman" w:cs="Times New Roman"/>
                <w:color w:val="000000" w:themeColor="text1"/>
                <w:sz w:val="20"/>
                <w:szCs w:val="20"/>
                <w:lang w:val="en-US"/>
              </w:rPr>
            </w:pPr>
            <w:r w:rsidRPr="00E0308F">
              <w:rPr>
                <w:rFonts w:ascii="Times New Roman" w:eastAsia="Times New Roman" w:hAnsi="Times New Roman" w:cs="Times New Roman"/>
                <w:color w:val="000000" w:themeColor="text1"/>
                <w:sz w:val="20"/>
                <w:szCs w:val="20"/>
                <w:lang w:val="en-US"/>
              </w:rPr>
              <w:t>7.5</w:t>
            </w:r>
          </w:p>
        </w:tc>
        <w:tc>
          <w:tcPr>
            <w:tcW w:w="1131" w:type="dxa"/>
            <w:shd w:val="clear" w:color="auto" w:fill="auto"/>
            <w:noWrap/>
            <w:vAlign w:val="center"/>
            <w:hideMark/>
          </w:tcPr>
          <w:p w14:paraId="4E1691B1" w14:textId="77777777" w:rsidR="003824B9" w:rsidRPr="00E0308F" w:rsidRDefault="003824B9" w:rsidP="007D55D3">
            <w:pPr>
              <w:spacing w:after="0" w:line="240" w:lineRule="auto"/>
              <w:rPr>
                <w:rFonts w:ascii="Times New Roman" w:eastAsia="Times New Roman" w:hAnsi="Times New Roman" w:cs="Times New Roman"/>
                <w:color w:val="000000" w:themeColor="text1"/>
                <w:sz w:val="20"/>
                <w:szCs w:val="20"/>
                <w:lang w:val="en-US"/>
              </w:rPr>
            </w:pPr>
            <w:r w:rsidRPr="00E0308F">
              <w:rPr>
                <w:rFonts w:ascii="Times New Roman" w:eastAsia="Times New Roman" w:hAnsi="Times New Roman" w:cs="Times New Roman"/>
                <w:color w:val="000000" w:themeColor="text1"/>
                <w:sz w:val="20"/>
                <w:szCs w:val="20"/>
                <w:lang w:val="en-US"/>
              </w:rPr>
              <w:t>2.122243</w:t>
            </w:r>
          </w:p>
        </w:tc>
        <w:tc>
          <w:tcPr>
            <w:tcW w:w="577" w:type="dxa"/>
            <w:shd w:val="clear" w:color="auto" w:fill="auto"/>
            <w:noWrap/>
            <w:vAlign w:val="center"/>
            <w:hideMark/>
          </w:tcPr>
          <w:p w14:paraId="52E01814" w14:textId="77777777" w:rsidR="003824B9" w:rsidRPr="00E0308F" w:rsidRDefault="003824B9" w:rsidP="007D55D3">
            <w:pPr>
              <w:spacing w:after="0" w:line="240" w:lineRule="auto"/>
              <w:rPr>
                <w:rFonts w:ascii="Times New Roman" w:eastAsia="Times New Roman" w:hAnsi="Times New Roman" w:cs="Times New Roman"/>
                <w:color w:val="000000" w:themeColor="text1"/>
                <w:sz w:val="20"/>
                <w:szCs w:val="20"/>
                <w:lang w:val="en-US"/>
              </w:rPr>
            </w:pPr>
          </w:p>
        </w:tc>
      </w:tr>
      <w:tr w:rsidR="00164238" w:rsidRPr="00E0308F" w14:paraId="0B4D7CF9" w14:textId="77777777" w:rsidTr="003824B9">
        <w:trPr>
          <w:trHeight w:val="300"/>
          <w:jc w:val="center"/>
        </w:trPr>
        <w:tc>
          <w:tcPr>
            <w:tcW w:w="1183" w:type="dxa"/>
            <w:shd w:val="clear" w:color="auto" w:fill="auto"/>
            <w:noWrap/>
            <w:vAlign w:val="center"/>
            <w:hideMark/>
          </w:tcPr>
          <w:p w14:paraId="3776D62D" w14:textId="77777777" w:rsidR="003824B9" w:rsidRPr="00E0308F" w:rsidRDefault="003824B9" w:rsidP="007D55D3">
            <w:pPr>
              <w:spacing w:after="0" w:line="240" w:lineRule="auto"/>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t>BİST100</w:t>
            </w:r>
          </w:p>
        </w:tc>
        <w:tc>
          <w:tcPr>
            <w:tcW w:w="1560" w:type="dxa"/>
            <w:shd w:val="clear" w:color="auto" w:fill="auto"/>
            <w:noWrap/>
            <w:vAlign w:val="center"/>
            <w:hideMark/>
          </w:tcPr>
          <w:p w14:paraId="65035AFB" w14:textId="77777777" w:rsidR="003824B9" w:rsidRPr="00E0308F" w:rsidRDefault="003824B9" w:rsidP="007D55D3">
            <w:pPr>
              <w:spacing w:after="0" w:line="240" w:lineRule="auto"/>
              <w:rPr>
                <w:rFonts w:ascii="Times New Roman" w:eastAsia="Times New Roman" w:hAnsi="Times New Roman" w:cs="Times New Roman"/>
                <w:color w:val="000000" w:themeColor="text1"/>
                <w:sz w:val="20"/>
                <w:szCs w:val="20"/>
                <w:lang w:val="en-US"/>
              </w:rPr>
            </w:pPr>
            <w:r w:rsidRPr="00E0308F">
              <w:rPr>
                <w:rFonts w:ascii="Times New Roman" w:eastAsia="Times New Roman" w:hAnsi="Times New Roman" w:cs="Times New Roman"/>
                <w:color w:val="000000" w:themeColor="text1"/>
                <w:sz w:val="20"/>
                <w:szCs w:val="20"/>
                <w:lang w:val="en-US"/>
              </w:rPr>
              <w:t>255</w:t>
            </w:r>
          </w:p>
        </w:tc>
        <w:tc>
          <w:tcPr>
            <w:tcW w:w="966" w:type="dxa"/>
            <w:vAlign w:val="center"/>
          </w:tcPr>
          <w:p w14:paraId="4CC638D5" w14:textId="77777777" w:rsidR="003824B9" w:rsidRPr="00E0308F" w:rsidRDefault="003824B9" w:rsidP="007D55D3">
            <w:pPr>
              <w:spacing w:after="0" w:line="240" w:lineRule="auto"/>
              <w:rPr>
                <w:rFonts w:ascii="Times New Roman" w:eastAsia="Times New Roman" w:hAnsi="Times New Roman" w:cs="Times New Roman"/>
                <w:color w:val="000000" w:themeColor="text1"/>
                <w:sz w:val="20"/>
                <w:szCs w:val="20"/>
                <w:lang w:val="en-US"/>
              </w:rPr>
            </w:pPr>
            <w:r w:rsidRPr="00E0308F">
              <w:rPr>
                <w:rFonts w:ascii="Times New Roman" w:eastAsia="Times New Roman" w:hAnsi="Times New Roman" w:cs="Times New Roman"/>
                <w:color w:val="000000" w:themeColor="text1"/>
                <w:sz w:val="20"/>
                <w:szCs w:val="20"/>
                <w:lang w:val="en-US"/>
              </w:rPr>
              <w:t>1087.942</w:t>
            </w:r>
          </w:p>
        </w:tc>
        <w:tc>
          <w:tcPr>
            <w:tcW w:w="1678" w:type="dxa"/>
            <w:shd w:val="clear" w:color="auto" w:fill="auto"/>
            <w:noWrap/>
            <w:vAlign w:val="center"/>
            <w:hideMark/>
          </w:tcPr>
          <w:p w14:paraId="6B7F2190" w14:textId="77777777" w:rsidR="003824B9" w:rsidRPr="00E0308F" w:rsidRDefault="003824B9" w:rsidP="007D55D3">
            <w:pPr>
              <w:spacing w:after="0" w:line="240" w:lineRule="auto"/>
              <w:rPr>
                <w:rFonts w:ascii="Times New Roman" w:eastAsia="Times New Roman" w:hAnsi="Times New Roman" w:cs="Times New Roman"/>
                <w:color w:val="000000" w:themeColor="text1"/>
                <w:sz w:val="20"/>
                <w:szCs w:val="20"/>
                <w:lang w:val="en-US"/>
              </w:rPr>
            </w:pPr>
            <w:r w:rsidRPr="00E0308F">
              <w:rPr>
                <w:rFonts w:ascii="Times New Roman" w:eastAsia="Times New Roman" w:hAnsi="Times New Roman" w:cs="Times New Roman"/>
                <w:color w:val="000000" w:themeColor="text1"/>
                <w:sz w:val="20"/>
                <w:szCs w:val="20"/>
                <w:lang w:val="en-US"/>
              </w:rPr>
              <w:t>1323.95</w:t>
            </w:r>
          </w:p>
        </w:tc>
        <w:tc>
          <w:tcPr>
            <w:tcW w:w="1559" w:type="dxa"/>
            <w:shd w:val="clear" w:color="auto" w:fill="auto"/>
            <w:noWrap/>
            <w:vAlign w:val="center"/>
            <w:hideMark/>
          </w:tcPr>
          <w:p w14:paraId="07377785" w14:textId="77777777" w:rsidR="003824B9" w:rsidRPr="00E0308F" w:rsidRDefault="003824B9" w:rsidP="007D55D3">
            <w:pPr>
              <w:spacing w:after="0" w:line="240" w:lineRule="auto"/>
              <w:rPr>
                <w:rFonts w:ascii="Times New Roman" w:eastAsia="Times New Roman" w:hAnsi="Times New Roman" w:cs="Times New Roman"/>
                <w:color w:val="000000" w:themeColor="text1"/>
                <w:sz w:val="20"/>
                <w:szCs w:val="20"/>
                <w:lang w:val="en-US"/>
              </w:rPr>
            </w:pPr>
            <w:r w:rsidRPr="00E0308F">
              <w:rPr>
                <w:rFonts w:ascii="Times New Roman" w:eastAsia="Times New Roman" w:hAnsi="Times New Roman" w:cs="Times New Roman"/>
                <w:color w:val="000000" w:themeColor="text1"/>
                <w:sz w:val="20"/>
                <w:szCs w:val="20"/>
                <w:lang w:val="en-US"/>
              </w:rPr>
              <w:t>842.46</w:t>
            </w:r>
          </w:p>
        </w:tc>
        <w:tc>
          <w:tcPr>
            <w:tcW w:w="1131" w:type="dxa"/>
            <w:shd w:val="clear" w:color="auto" w:fill="auto"/>
            <w:noWrap/>
            <w:vAlign w:val="center"/>
            <w:hideMark/>
          </w:tcPr>
          <w:p w14:paraId="75F0D380" w14:textId="77777777" w:rsidR="003824B9" w:rsidRPr="00E0308F" w:rsidRDefault="003824B9" w:rsidP="007D55D3">
            <w:pPr>
              <w:spacing w:after="0" w:line="240" w:lineRule="auto"/>
              <w:rPr>
                <w:rFonts w:ascii="Times New Roman" w:eastAsia="Times New Roman" w:hAnsi="Times New Roman" w:cs="Times New Roman"/>
                <w:color w:val="000000" w:themeColor="text1"/>
                <w:sz w:val="20"/>
                <w:szCs w:val="20"/>
                <w:lang w:val="en-US"/>
              </w:rPr>
            </w:pPr>
            <w:r w:rsidRPr="00E0308F">
              <w:rPr>
                <w:rFonts w:ascii="Times New Roman" w:eastAsia="Times New Roman" w:hAnsi="Times New Roman" w:cs="Times New Roman"/>
                <w:color w:val="000000" w:themeColor="text1"/>
                <w:sz w:val="20"/>
                <w:szCs w:val="20"/>
                <w:lang w:val="en-US"/>
              </w:rPr>
              <w:t>103.3133</w:t>
            </w:r>
          </w:p>
        </w:tc>
        <w:tc>
          <w:tcPr>
            <w:tcW w:w="577" w:type="dxa"/>
            <w:shd w:val="clear" w:color="auto" w:fill="auto"/>
            <w:noWrap/>
            <w:vAlign w:val="center"/>
            <w:hideMark/>
          </w:tcPr>
          <w:p w14:paraId="32EEB975" w14:textId="77777777" w:rsidR="003824B9" w:rsidRPr="00E0308F" w:rsidRDefault="003824B9" w:rsidP="007D55D3">
            <w:pPr>
              <w:spacing w:after="0" w:line="240" w:lineRule="auto"/>
              <w:rPr>
                <w:rFonts w:ascii="Times New Roman" w:eastAsia="Times New Roman" w:hAnsi="Times New Roman" w:cs="Times New Roman"/>
                <w:color w:val="000000" w:themeColor="text1"/>
                <w:sz w:val="20"/>
                <w:szCs w:val="20"/>
                <w:lang w:val="en-US"/>
              </w:rPr>
            </w:pPr>
          </w:p>
        </w:tc>
      </w:tr>
      <w:tr w:rsidR="00164238" w:rsidRPr="00E0308F" w14:paraId="205A094C" w14:textId="77777777" w:rsidTr="003824B9">
        <w:trPr>
          <w:trHeight w:val="300"/>
          <w:jc w:val="center"/>
        </w:trPr>
        <w:tc>
          <w:tcPr>
            <w:tcW w:w="1183" w:type="dxa"/>
            <w:shd w:val="clear" w:color="auto" w:fill="auto"/>
            <w:noWrap/>
            <w:vAlign w:val="center"/>
            <w:hideMark/>
          </w:tcPr>
          <w:p w14:paraId="36C00A2A" w14:textId="77777777" w:rsidR="003824B9" w:rsidRPr="00E0308F" w:rsidRDefault="003824B9" w:rsidP="007D55D3">
            <w:pPr>
              <w:spacing w:after="0" w:line="240" w:lineRule="auto"/>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t>$/TL</w:t>
            </w:r>
          </w:p>
        </w:tc>
        <w:tc>
          <w:tcPr>
            <w:tcW w:w="1560" w:type="dxa"/>
            <w:shd w:val="clear" w:color="auto" w:fill="auto"/>
            <w:noWrap/>
            <w:vAlign w:val="center"/>
            <w:hideMark/>
          </w:tcPr>
          <w:p w14:paraId="0052BF75" w14:textId="77777777" w:rsidR="003824B9" w:rsidRPr="00E0308F" w:rsidRDefault="003824B9" w:rsidP="007D55D3">
            <w:pPr>
              <w:spacing w:after="0" w:line="240" w:lineRule="auto"/>
              <w:rPr>
                <w:rFonts w:ascii="Times New Roman" w:eastAsia="Times New Roman" w:hAnsi="Times New Roman" w:cs="Times New Roman"/>
                <w:color w:val="000000" w:themeColor="text1"/>
                <w:sz w:val="20"/>
                <w:szCs w:val="20"/>
                <w:lang w:val="en-US"/>
              </w:rPr>
            </w:pPr>
            <w:r w:rsidRPr="00E0308F">
              <w:rPr>
                <w:rFonts w:ascii="Times New Roman" w:eastAsia="Times New Roman" w:hAnsi="Times New Roman" w:cs="Times New Roman"/>
                <w:color w:val="000000" w:themeColor="text1"/>
                <w:sz w:val="20"/>
                <w:szCs w:val="20"/>
                <w:lang w:val="en-US"/>
              </w:rPr>
              <w:t>255</w:t>
            </w:r>
          </w:p>
        </w:tc>
        <w:tc>
          <w:tcPr>
            <w:tcW w:w="966" w:type="dxa"/>
            <w:vAlign w:val="center"/>
          </w:tcPr>
          <w:p w14:paraId="0187A8F3" w14:textId="77777777" w:rsidR="003824B9" w:rsidRPr="00E0308F" w:rsidRDefault="003824B9" w:rsidP="007D55D3">
            <w:pPr>
              <w:spacing w:after="0" w:line="240" w:lineRule="auto"/>
              <w:rPr>
                <w:rFonts w:ascii="Times New Roman" w:eastAsia="Times New Roman" w:hAnsi="Times New Roman" w:cs="Times New Roman"/>
                <w:color w:val="000000" w:themeColor="text1"/>
                <w:sz w:val="20"/>
                <w:szCs w:val="20"/>
                <w:lang w:val="en-US"/>
              </w:rPr>
            </w:pPr>
            <w:r w:rsidRPr="00E0308F">
              <w:rPr>
                <w:rFonts w:ascii="Times New Roman" w:eastAsia="Times New Roman" w:hAnsi="Times New Roman" w:cs="Times New Roman"/>
                <w:color w:val="000000" w:themeColor="text1"/>
                <w:sz w:val="20"/>
                <w:szCs w:val="20"/>
                <w:lang w:val="en-US"/>
              </w:rPr>
              <w:t>7.183793</w:t>
            </w:r>
          </w:p>
        </w:tc>
        <w:tc>
          <w:tcPr>
            <w:tcW w:w="1678" w:type="dxa"/>
            <w:shd w:val="clear" w:color="auto" w:fill="auto"/>
            <w:noWrap/>
            <w:vAlign w:val="center"/>
            <w:hideMark/>
          </w:tcPr>
          <w:p w14:paraId="4C6923A8" w14:textId="77777777" w:rsidR="003824B9" w:rsidRPr="00E0308F" w:rsidRDefault="003824B9" w:rsidP="007D55D3">
            <w:pPr>
              <w:spacing w:after="0" w:line="240" w:lineRule="auto"/>
              <w:rPr>
                <w:rFonts w:ascii="Times New Roman" w:eastAsia="Times New Roman" w:hAnsi="Times New Roman" w:cs="Times New Roman"/>
                <w:color w:val="000000" w:themeColor="text1"/>
                <w:sz w:val="20"/>
                <w:szCs w:val="20"/>
                <w:lang w:val="en-US"/>
              </w:rPr>
            </w:pPr>
            <w:r w:rsidRPr="00E0308F">
              <w:rPr>
                <w:rFonts w:ascii="Times New Roman" w:eastAsia="Times New Roman" w:hAnsi="Times New Roman" w:cs="Times New Roman"/>
                <w:color w:val="000000" w:themeColor="text1"/>
                <w:sz w:val="20"/>
                <w:szCs w:val="20"/>
                <w:lang w:val="en-US"/>
              </w:rPr>
              <w:t>8.48</w:t>
            </w:r>
          </w:p>
        </w:tc>
        <w:tc>
          <w:tcPr>
            <w:tcW w:w="1559" w:type="dxa"/>
            <w:shd w:val="clear" w:color="auto" w:fill="auto"/>
            <w:noWrap/>
            <w:vAlign w:val="center"/>
            <w:hideMark/>
          </w:tcPr>
          <w:p w14:paraId="7889C0C7" w14:textId="77777777" w:rsidR="003824B9" w:rsidRPr="00E0308F" w:rsidRDefault="003824B9" w:rsidP="007D55D3">
            <w:pPr>
              <w:spacing w:after="0" w:line="240" w:lineRule="auto"/>
              <w:rPr>
                <w:rFonts w:ascii="Times New Roman" w:eastAsia="Times New Roman" w:hAnsi="Times New Roman" w:cs="Times New Roman"/>
                <w:color w:val="000000" w:themeColor="text1"/>
                <w:sz w:val="20"/>
                <w:szCs w:val="20"/>
                <w:lang w:val="en-US"/>
              </w:rPr>
            </w:pPr>
            <w:r w:rsidRPr="00E0308F">
              <w:rPr>
                <w:rFonts w:ascii="Times New Roman" w:eastAsia="Times New Roman" w:hAnsi="Times New Roman" w:cs="Times New Roman"/>
                <w:color w:val="000000" w:themeColor="text1"/>
                <w:sz w:val="20"/>
                <w:szCs w:val="20"/>
                <w:lang w:val="en-US"/>
              </w:rPr>
              <w:t>6.13</w:t>
            </w:r>
          </w:p>
        </w:tc>
        <w:tc>
          <w:tcPr>
            <w:tcW w:w="1131" w:type="dxa"/>
            <w:shd w:val="clear" w:color="auto" w:fill="auto"/>
            <w:noWrap/>
            <w:vAlign w:val="center"/>
            <w:hideMark/>
          </w:tcPr>
          <w:p w14:paraId="57B58229" w14:textId="77777777" w:rsidR="003824B9" w:rsidRPr="00E0308F" w:rsidRDefault="003824B9" w:rsidP="007D55D3">
            <w:pPr>
              <w:spacing w:after="0" w:line="240" w:lineRule="auto"/>
              <w:rPr>
                <w:rFonts w:ascii="Times New Roman" w:eastAsia="Times New Roman" w:hAnsi="Times New Roman" w:cs="Times New Roman"/>
                <w:color w:val="000000" w:themeColor="text1"/>
                <w:sz w:val="20"/>
                <w:szCs w:val="20"/>
                <w:lang w:val="en-US"/>
              </w:rPr>
            </w:pPr>
            <w:r w:rsidRPr="00E0308F">
              <w:rPr>
                <w:rFonts w:ascii="Times New Roman" w:eastAsia="Times New Roman" w:hAnsi="Times New Roman" w:cs="Times New Roman"/>
                <w:color w:val="000000" w:themeColor="text1"/>
                <w:sz w:val="20"/>
                <w:szCs w:val="20"/>
                <w:lang w:val="en-US"/>
              </w:rPr>
              <w:t>0.518705</w:t>
            </w:r>
          </w:p>
        </w:tc>
        <w:tc>
          <w:tcPr>
            <w:tcW w:w="577" w:type="dxa"/>
            <w:shd w:val="clear" w:color="auto" w:fill="auto"/>
            <w:noWrap/>
            <w:vAlign w:val="center"/>
            <w:hideMark/>
          </w:tcPr>
          <w:p w14:paraId="694F4013" w14:textId="77777777" w:rsidR="003824B9" w:rsidRPr="00E0308F" w:rsidRDefault="003824B9" w:rsidP="007D55D3">
            <w:pPr>
              <w:spacing w:after="0" w:line="240" w:lineRule="auto"/>
              <w:rPr>
                <w:rFonts w:ascii="Times New Roman" w:eastAsia="Times New Roman" w:hAnsi="Times New Roman" w:cs="Times New Roman"/>
                <w:color w:val="000000" w:themeColor="text1"/>
                <w:sz w:val="20"/>
                <w:szCs w:val="20"/>
                <w:lang w:val="en-US"/>
              </w:rPr>
            </w:pPr>
          </w:p>
        </w:tc>
      </w:tr>
      <w:tr w:rsidR="00164238" w:rsidRPr="00E0308F" w14:paraId="36B4EF10" w14:textId="77777777" w:rsidTr="003824B9">
        <w:trPr>
          <w:trHeight w:val="300"/>
          <w:jc w:val="center"/>
        </w:trPr>
        <w:tc>
          <w:tcPr>
            <w:tcW w:w="1183" w:type="dxa"/>
            <w:shd w:val="clear" w:color="auto" w:fill="auto"/>
            <w:noWrap/>
            <w:vAlign w:val="center"/>
            <w:hideMark/>
          </w:tcPr>
          <w:p w14:paraId="39236DC5" w14:textId="77777777" w:rsidR="003824B9" w:rsidRPr="00E0308F" w:rsidRDefault="003824B9" w:rsidP="007D55D3">
            <w:pPr>
              <w:spacing w:after="0" w:line="240" w:lineRule="auto"/>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t>İtahvil</w:t>
            </w:r>
          </w:p>
        </w:tc>
        <w:tc>
          <w:tcPr>
            <w:tcW w:w="1560" w:type="dxa"/>
            <w:shd w:val="clear" w:color="auto" w:fill="auto"/>
            <w:noWrap/>
            <w:vAlign w:val="center"/>
            <w:hideMark/>
          </w:tcPr>
          <w:p w14:paraId="1F36EB25" w14:textId="77777777" w:rsidR="003824B9" w:rsidRPr="00E0308F" w:rsidRDefault="003824B9" w:rsidP="007D55D3">
            <w:pPr>
              <w:spacing w:after="0" w:line="240" w:lineRule="auto"/>
              <w:rPr>
                <w:rFonts w:ascii="Times New Roman" w:eastAsia="Times New Roman" w:hAnsi="Times New Roman" w:cs="Times New Roman"/>
                <w:color w:val="000000" w:themeColor="text1"/>
                <w:sz w:val="20"/>
                <w:szCs w:val="20"/>
                <w:lang w:val="en-US"/>
              </w:rPr>
            </w:pPr>
            <w:r w:rsidRPr="00E0308F">
              <w:rPr>
                <w:rFonts w:ascii="Times New Roman" w:eastAsia="Times New Roman" w:hAnsi="Times New Roman" w:cs="Times New Roman"/>
                <w:color w:val="000000" w:themeColor="text1"/>
                <w:sz w:val="20"/>
                <w:szCs w:val="20"/>
                <w:lang w:val="en-US"/>
              </w:rPr>
              <w:t>255</w:t>
            </w:r>
          </w:p>
        </w:tc>
        <w:tc>
          <w:tcPr>
            <w:tcW w:w="966" w:type="dxa"/>
            <w:vAlign w:val="center"/>
          </w:tcPr>
          <w:p w14:paraId="18E7B659" w14:textId="77777777" w:rsidR="003824B9" w:rsidRPr="00E0308F" w:rsidRDefault="003824B9" w:rsidP="007D55D3">
            <w:pPr>
              <w:spacing w:after="0" w:line="240" w:lineRule="auto"/>
              <w:rPr>
                <w:rFonts w:ascii="Times New Roman" w:eastAsia="Times New Roman" w:hAnsi="Times New Roman" w:cs="Times New Roman"/>
                <w:color w:val="000000" w:themeColor="text1"/>
                <w:sz w:val="20"/>
                <w:szCs w:val="20"/>
                <w:lang w:val="en-US"/>
              </w:rPr>
            </w:pPr>
            <w:r w:rsidRPr="00E0308F">
              <w:rPr>
                <w:rFonts w:ascii="Times New Roman" w:eastAsia="Times New Roman" w:hAnsi="Times New Roman" w:cs="Times New Roman"/>
                <w:color w:val="000000" w:themeColor="text1"/>
                <w:sz w:val="20"/>
                <w:szCs w:val="20"/>
                <w:lang w:val="en-US"/>
              </w:rPr>
              <w:t>11.68115</w:t>
            </w:r>
          </w:p>
        </w:tc>
        <w:tc>
          <w:tcPr>
            <w:tcW w:w="1678" w:type="dxa"/>
            <w:shd w:val="clear" w:color="auto" w:fill="auto"/>
            <w:noWrap/>
            <w:vAlign w:val="center"/>
            <w:hideMark/>
          </w:tcPr>
          <w:p w14:paraId="0C4B27E3" w14:textId="77777777" w:rsidR="003824B9" w:rsidRPr="00E0308F" w:rsidRDefault="003824B9" w:rsidP="007D55D3">
            <w:pPr>
              <w:spacing w:after="0" w:line="240" w:lineRule="auto"/>
              <w:rPr>
                <w:rFonts w:ascii="Times New Roman" w:eastAsia="Times New Roman" w:hAnsi="Times New Roman" w:cs="Times New Roman"/>
                <w:color w:val="000000" w:themeColor="text1"/>
                <w:sz w:val="20"/>
                <w:szCs w:val="20"/>
                <w:lang w:val="en-US"/>
              </w:rPr>
            </w:pPr>
            <w:r w:rsidRPr="00E0308F">
              <w:rPr>
                <w:rFonts w:ascii="Times New Roman" w:eastAsia="Times New Roman" w:hAnsi="Times New Roman" w:cs="Times New Roman"/>
                <w:color w:val="000000" w:themeColor="text1"/>
                <w:sz w:val="20"/>
                <w:szCs w:val="20"/>
                <w:lang w:val="en-US"/>
              </w:rPr>
              <w:t>15.05</w:t>
            </w:r>
          </w:p>
        </w:tc>
        <w:tc>
          <w:tcPr>
            <w:tcW w:w="1559" w:type="dxa"/>
            <w:shd w:val="clear" w:color="auto" w:fill="auto"/>
            <w:noWrap/>
            <w:vAlign w:val="center"/>
            <w:hideMark/>
          </w:tcPr>
          <w:p w14:paraId="3A45E1BE" w14:textId="77777777" w:rsidR="003824B9" w:rsidRPr="00E0308F" w:rsidRDefault="003824B9" w:rsidP="007D55D3">
            <w:pPr>
              <w:spacing w:after="0" w:line="240" w:lineRule="auto"/>
              <w:rPr>
                <w:rFonts w:ascii="Times New Roman" w:eastAsia="Times New Roman" w:hAnsi="Times New Roman" w:cs="Times New Roman"/>
                <w:color w:val="000000" w:themeColor="text1"/>
                <w:sz w:val="20"/>
                <w:szCs w:val="20"/>
                <w:lang w:val="en-US"/>
              </w:rPr>
            </w:pPr>
            <w:r w:rsidRPr="00E0308F">
              <w:rPr>
                <w:rFonts w:ascii="Times New Roman" w:eastAsia="Times New Roman" w:hAnsi="Times New Roman" w:cs="Times New Roman"/>
                <w:color w:val="000000" w:themeColor="text1"/>
                <w:sz w:val="20"/>
                <w:szCs w:val="20"/>
                <w:lang w:val="en-US"/>
              </w:rPr>
              <w:t>7.96</w:t>
            </w:r>
          </w:p>
        </w:tc>
        <w:tc>
          <w:tcPr>
            <w:tcW w:w="1131" w:type="dxa"/>
            <w:shd w:val="clear" w:color="auto" w:fill="auto"/>
            <w:noWrap/>
            <w:vAlign w:val="center"/>
            <w:hideMark/>
          </w:tcPr>
          <w:p w14:paraId="25F20B4B" w14:textId="77777777" w:rsidR="003824B9" w:rsidRPr="00E0308F" w:rsidRDefault="003824B9" w:rsidP="007D55D3">
            <w:pPr>
              <w:spacing w:after="0" w:line="240" w:lineRule="auto"/>
              <w:rPr>
                <w:rFonts w:ascii="Times New Roman" w:eastAsia="Times New Roman" w:hAnsi="Times New Roman" w:cs="Times New Roman"/>
                <w:color w:val="000000" w:themeColor="text1"/>
                <w:sz w:val="20"/>
                <w:szCs w:val="20"/>
                <w:lang w:val="en-US"/>
              </w:rPr>
            </w:pPr>
            <w:r w:rsidRPr="00E0308F">
              <w:rPr>
                <w:rFonts w:ascii="Times New Roman" w:eastAsia="Times New Roman" w:hAnsi="Times New Roman" w:cs="Times New Roman"/>
                <w:color w:val="000000" w:themeColor="text1"/>
                <w:sz w:val="20"/>
                <w:szCs w:val="20"/>
                <w:lang w:val="en-US"/>
              </w:rPr>
              <w:t>1.916995</w:t>
            </w:r>
          </w:p>
        </w:tc>
        <w:tc>
          <w:tcPr>
            <w:tcW w:w="577" w:type="dxa"/>
            <w:shd w:val="clear" w:color="auto" w:fill="auto"/>
            <w:noWrap/>
            <w:vAlign w:val="center"/>
            <w:hideMark/>
          </w:tcPr>
          <w:p w14:paraId="51A80AD8" w14:textId="77777777" w:rsidR="003824B9" w:rsidRPr="00E0308F" w:rsidRDefault="003824B9" w:rsidP="007D55D3">
            <w:pPr>
              <w:spacing w:after="0" w:line="240" w:lineRule="auto"/>
              <w:rPr>
                <w:rFonts w:ascii="Times New Roman" w:eastAsia="Times New Roman" w:hAnsi="Times New Roman" w:cs="Times New Roman"/>
                <w:color w:val="000000" w:themeColor="text1"/>
                <w:sz w:val="20"/>
                <w:szCs w:val="20"/>
                <w:lang w:val="en-US"/>
              </w:rPr>
            </w:pPr>
          </w:p>
        </w:tc>
      </w:tr>
    </w:tbl>
    <w:p w14:paraId="5644168C" w14:textId="77777777" w:rsidR="00B84491" w:rsidRPr="00164238" w:rsidRDefault="004E03C1" w:rsidP="00E40B0B">
      <w:pPr>
        <w:spacing w:before="120" w:after="120" w:line="360" w:lineRule="auto"/>
        <w:ind w:firstLine="709"/>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Çalışmada seçilmiş para politikası değişkenleri ile finansal değişkenler arasındaki nedensellik ilişkileri Toda-Yamamoto nedensellik testi ile incelenmiştir. Toda-Yamamoto nedensellik testi </w:t>
      </w:r>
      <w:r w:rsidR="00B84491" w:rsidRPr="00164238">
        <w:rPr>
          <w:rFonts w:ascii="Times New Roman" w:hAnsi="Times New Roman" w:cs="Times New Roman"/>
          <w:color w:val="000000" w:themeColor="text1"/>
        </w:rPr>
        <w:t>VAR modeline dayanmaktadır. Bu testte öncelikle VAR modelinin optimal gecikme uzunluğu (k) tespit edilmektedir. Sonrasında ise değişkenlerin en büyük durağanlık derecesi (d</w:t>
      </w:r>
      <w:r w:rsidR="00B84491" w:rsidRPr="00164238">
        <w:rPr>
          <w:rFonts w:ascii="Times New Roman" w:hAnsi="Times New Roman" w:cs="Times New Roman"/>
          <w:color w:val="000000" w:themeColor="text1"/>
          <w:vertAlign w:val="subscript"/>
        </w:rPr>
        <w:t>max</w:t>
      </w:r>
      <w:r w:rsidR="005541B6" w:rsidRPr="00164238">
        <w:rPr>
          <w:rFonts w:ascii="Times New Roman" w:hAnsi="Times New Roman" w:cs="Times New Roman"/>
          <w:color w:val="000000" w:themeColor="text1"/>
        </w:rPr>
        <w:t xml:space="preserve">) belirlenerek </w:t>
      </w:r>
      <w:r w:rsidR="00B84491" w:rsidRPr="00164238">
        <w:rPr>
          <w:rFonts w:ascii="Times New Roman" w:hAnsi="Times New Roman" w:cs="Times New Roman"/>
          <w:color w:val="000000" w:themeColor="text1"/>
        </w:rPr>
        <w:t>( k+ d</w:t>
      </w:r>
      <w:r w:rsidR="00B84491" w:rsidRPr="00164238">
        <w:rPr>
          <w:rFonts w:ascii="Times New Roman" w:hAnsi="Times New Roman" w:cs="Times New Roman"/>
          <w:color w:val="000000" w:themeColor="text1"/>
          <w:vertAlign w:val="subscript"/>
        </w:rPr>
        <w:t>max</w:t>
      </w:r>
      <w:r w:rsidR="00B84491" w:rsidRPr="00164238">
        <w:rPr>
          <w:rFonts w:ascii="Times New Roman" w:hAnsi="Times New Roman" w:cs="Times New Roman"/>
          <w:color w:val="000000" w:themeColor="text1"/>
        </w:rPr>
        <w:t xml:space="preserve">) boyutunda VAR modeli tahmin edilmektedir. </w:t>
      </w:r>
      <w:r w:rsidR="00B431DD" w:rsidRPr="00164238">
        <w:rPr>
          <w:rFonts w:ascii="Times New Roman" w:hAnsi="Times New Roman" w:cs="Times New Roman"/>
          <w:color w:val="000000" w:themeColor="text1"/>
        </w:rPr>
        <w:t xml:space="preserve">Model denklem (1) ve  (2)’ deki gibi gösterilebilir.  </w:t>
      </w:r>
    </w:p>
    <w:p w14:paraId="0D21DB9E" w14:textId="77777777" w:rsidR="00B431DD" w:rsidRPr="00164238" w:rsidRDefault="00E839E1" w:rsidP="007D55D3">
      <w:pPr>
        <w:spacing w:before="120" w:after="120" w:line="360" w:lineRule="auto"/>
        <w:ind w:firstLine="709"/>
        <w:jc w:val="both"/>
        <w:rPr>
          <w:rFonts w:ascii="Times New Roman" w:eastAsiaTheme="minorEastAsia" w:hAnsi="Times New Roman" w:cs="Times New Roman"/>
          <w:color w:val="000000" w:themeColor="text1"/>
        </w:rPr>
      </w:pPr>
      <m:oMath>
        <m:sSub>
          <m:sSubPr>
            <m:ctrlPr>
              <w:rPr>
                <w:rFonts w:ascii="Cambria Math" w:hAnsi="Cambria Math" w:cs="Times New Roman"/>
                <w:color w:val="000000" w:themeColor="text1"/>
              </w:rPr>
            </m:ctrlPr>
          </m:sSubPr>
          <m:e>
            <m:r>
              <m:rPr>
                <m:sty m:val="p"/>
              </m:rPr>
              <w:rPr>
                <w:rFonts w:ascii="Cambria Math" w:hAnsi="Cambria Math" w:cs="Times New Roman"/>
                <w:color w:val="000000" w:themeColor="text1"/>
              </w:rPr>
              <m:t>y</m:t>
            </m:r>
          </m:e>
          <m:sub>
            <m:r>
              <m:rPr>
                <m:sty m:val="p"/>
              </m:rPr>
              <w:rPr>
                <w:rFonts w:ascii="Cambria Math" w:hAnsi="Cambria Math" w:cs="Times New Roman"/>
                <w:color w:val="000000" w:themeColor="text1"/>
              </w:rPr>
              <m:t xml:space="preserve">t  </m:t>
            </m:r>
          </m:sub>
        </m:sSub>
        <m:r>
          <m:rPr>
            <m:sty m:val="p"/>
          </m:rPr>
          <w:rPr>
            <w:rFonts w:ascii="Cambria Math" w:hAnsi="Cambria Math" w:cs="Times New Roman"/>
            <w:color w:val="000000" w:themeColor="text1"/>
          </w:rPr>
          <m:t>=μ+</m:t>
        </m:r>
        <m:nary>
          <m:naryPr>
            <m:chr m:val="∑"/>
            <m:limLoc m:val="undOvr"/>
            <m:ctrlPr>
              <w:rPr>
                <w:rFonts w:ascii="Cambria Math" w:hAnsi="Cambria Math" w:cs="Times New Roman"/>
                <w:color w:val="000000" w:themeColor="text1"/>
              </w:rPr>
            </m:ctrlPr>
          </m:naryPr>
          <m:sub>
            <m:r>
              <m:rPr>
                <m:sty m:val="p"/>
              </m:rPr>
              <w:rPr>
                <w:rFonts w:ascii="Cambria Math" w:hAnsi="Cambria Math" w:cs="Times New Roman"/>
                <w:color w:val="000000" w:themeColor="text1"/>
              </w:rPr>
              <m:t>i=1</m:t>
            </m:r>
          </m:sub>
          <m:sup>
            <m:r>
              <m:rPr>
                <m:sty m:val="p"/>
              </m:rPr>
              <w:rPr>
                <w:rFonts w:ascii="Cambria Math" w:hAnsi="Cambria Math" w:cs="Times New Roman"/>
                <w:color w:val="000000" w:themeColor="text1"/>
              </w:rPr>
              <m:t>k</m:t>
            </m:r>
          </m:sup>
          <m:e>
            <m:sSub>
              <m:sSubPr>
                <m:ctrlPr>
                  <w:rPr>
                    <w:rFonts w:ascii="Cambria Math" w:hAnsi="Cambria Math" w:cs="Times New Roman"/>
                    <w:color w:val="000000" w:themeColor="text1"/>
                  </w:rPr>
                </m:ctrlPr>
              </m:sSubPr>
              <m:e>
                <m:sSub>
                  <m:sSubPr>
                    <m:ctrlPr>
                      <w:rPr>
                        <w:rFonts w:ascii="Cambria Math" w:hAnsi="Cambria Math" w:cs="Times New Roman"/>
                        <w:color w:val="000000" w:themeColor="text1"/>
                      </w:rPr>
                    </m:ctrlPr>
                  </m:sSubPr>
                  <m:e>
                    <m:r>
                      <m:rPr>
                        <m:sty m:val="p"/>
                      </m:rPr>
                      <w:rPr>
                        <w:rFonts w:ascii="Cambria Math" w:hAnsi="Cambria Math" w:cs="Times New Roman"/>
                        <w:color w:val="000000" w:themeColor="text1"/>
                      </w:rPr>
                      <m:t>∝</m:t>
                    </m:r>
                  </m:e>
                  <m:sub>
                    <m:r>
                      <m:rPr>
                        <m:sty m:val="p"/>
                      </m:rPr>
                      <w:rPr>
                        <w:rFonts w:ascii="Cambria Math" w:hAnsi="Cambria Math" w:cs="Times New Roman"/>
                        <w:color w:val="000000" w:themeColor="text1"/>
                      </w:rPr>
                      <m:t>1</m:t>
                    </m:r>
                  </m:sub>
                </m:sSub>
              </m:e>
              <m:sub>
                <m:r>
                  <m:rPr>
                    <m:sty m:val="p"/>
                  </m:rPr>
                  <w:rPr>
                    <w:rFonts w:ascii="Cambria Math" w:hAnsi="Cambria Math" w:cs="Times New Roman"/>
                    <w:color w:val="000000" w:themeColor="text1"/>
                  </w:rPr>
                  <m:t>i</m:t>
                </m:r>
              </m:sub>
            </m:sSub>
          </m:e>
        </m:nary>
        <m:sSub>
          <m:sSubPr>
            <m:ctrlPr>
              <w:rPr>
                <w:rFonts w:ascii="Cambria Math" w:hAnsi="Cambria Math" w:cs="Times New Roman"/>
                <w:color w:val="000000" w:themeColor="text1"/>
              </w:rPr>
            </m:ctrlPr>
          </m:sSubPr>
          <m:e>
            <m:r>
              <m:rPr>
                <m:sty m:val="p"/>
              </m:rPr>
              <w:rPr>
                <w:rFonts w:ascii="Cambria Math" w:hAnsi="Cambria Math" w:cs="Times New Roman"/>
                <w:color w:val="000000" w:themeColor="text1"/>
              </w:rPr>
              <m:t>x</m:t>
            </m:r>
          </m:e>
          <m:sub>
            <m:r>
              <m:rPr>
                <m:sty m:val="p"/>
              </m:rPr>
              <w:rPr>
                <w:rFonts w:ascii="Cambria Math" w:hAnsi="Cambria Math" w:cs="Times New Roman"/>
                <w:color w:val="000000" w:themeColor="text1"/>
              </w:rPr>
              <m:t>t-i</m:t>
            </m:r>
          </m:sub>
        </m:sSub>
        <m:r>
          <m:rPr>
            <m:sty m:val="p"/>
          </m:rPr>
          <w:rPr>
            <w:rFonts w:ascii="Cambria Math" w:hAnsi="Cambria Math" w:cs="Times New Roman"/>
            <w:color w:val="000000" w:themeColor="text1"/>
          </w:rPr>
          <m:t>+</m:t>
        </m:r>
        <m:nary>
          <m:naryPr>
            <m:chr m:val="∑"/>
            <m:limLoc m:val="undOvr"/>
            <m:ctrlPr>
              <w:rPr>
                <w:rFonts w:ascii="Cambria Math" w:hAnsi="Cambria Math" w:cs="Times New Roman"/>
                <w:color w:val="000000" w:themeColor="text1"/>
              </w:rPr>
            </m:ctrlPr>
          </m:naryPr>
          <m:sub>
            <m:r>
              <m:rPr>
                <m:sty m:val="p"/>
              </m:rPr>
              <w:rPr>
                <w:rFonts w:ascii="Cambria Math" w:hAnsi="Cambria Math" w:cs="Times New Roman"/>
                <w:color w:val="000000" w:themeColor="text1"/>
              </w:rPr>
              <m:t>i=1</m:t>
            </m:r>
          </m:sub>
          <m:sup>
            <m:r>
              <m:rPr>
                <m:sty m:val="p"/>
              </m:rPr>
              <w:rPr>
                <w:rFonts w:ascii="Cambria Math" w:hAnsi="Cambria Math" w:cs="Times New Roman"/>
                <w:color w:val="000000" w:themeColor="text1"/>
              </w:rPr>
              <m:t>k</m:t>
            </m:r>
          </m:sup>
          <m:e>
            <m:sSub>
              <m:sSubPr>
                <m:ctrlPr>
                  <w:rPr>
                    <w:rFonts w:ascii="Cambria Math" w:hAnsi="Cambria Math" w:cs="Times New Roman"/>
                    <w:color w:val="000000" w:themeColor="text1"/>
                  </w:rPr>
                </m:ctrlPr>
              </m:sSubPr>
              <m:e>
                <m:r>
                  <m:rPr>
                    <m:sty m:val="p"/>
                  </m:rPr>
                  <w:rPr>
                    <w:rFonts w:ascii="Cambria Math" w:hAnsi="Cambria Math" w:cs="Times New Roman"/>
                    <w:color w:val="000000" w:themeColor="text1"/>
                  </w:rPr>
                  <m:t>b</m:t>
                </m:r>
              </m:e>
              <m:sub>
                <m:r>
                  <m:rPr>
                    <m:sty m:val="p"/>
                  </m:rPr>
                  <w:rPr>
                    <w:rFonts w:ascii="Cambria Math" w:hAnsi="Cambria Math" w:cs="Times New Roman"/>
                    <w:color w:val="000000" w:themeColor="text1"/>
                  </w:rPr>
                  <m:t>1i</m:t>
                </m:r>
              </m:sub>
            </m:sSub>
          </m:e>
        </m:nary>
        <m:sSub>
          <m:sSubPr>
            <m:ctrlPr>
              <w:rPr>
                <w:rFonts w:ascii="Cambria Math" w:hAnsi="Cambria Math" w:cs="Times New Roman"/>
                <w:color w:val="000000" w:themeColor="text1"/>
              </w:rPr>
            </m:ctrlPr>
          </m:sSubPr>
          <m:e>
            <m:r>
              <m:rPr>
                <m:sty m:val="p"/>
              </m:rPr>
              <w:rPr>
                <w:rFonts w:ascii="Cambria Math" w:hAnsi="Cambria Math" w:cs="Times New Roman"/>
                <w:color w:val="000000" w:themeColor="text1"/>
              </w:rPr>
              <m:t>y</m:t>
            </m:r>
          </m:e>
          <m:sub>
            <m:r>
              <m:rPr>
                <m:sty m:val="p"/>
              </m:rPr>
              <w:rPr>
                <w:rFonts w:ascii="Cambria Math" w:hAnsi="Cambria Math" w:cs="Times New Roman"/>
                <w:color w:val="000000" w:themeColor="text1"/>
              </w:rPr>
              <m:t>t-i</m:t>
            </m:r>
          </m:sub>
        </m:sSub>
        <m:r>
          <m:rPr>
            <m:sty m:val="p"/>
          </m:rPr>
          <w:rPr>
            <w:rFonts w:ascii="Cambria Math" w:hAnsi="Cambria Math" w:cs="Times New Roman"/>
            <w:color w:val="000000" w:themeColor="text1"/>
          </w:rPr>
          <m:t>+</m:t>
        </m:r>
        <m:nary>
          <m:naryPr>
            <m:chr m:val="∑"/>
            <m:limLoc m:val="undOvr"/>
            <m:ctrlPr>
              <w:rPr>
                <w:rFonts w:ascii="Cambria Math" w:hAnsi="Cambria Math" w:cs="Times New Roman"/>
                <w:color w:val="000000" w:themeColor="text1"/>
              </w:rPr>
            </m:ctrlPr>
          </m:naryPr>
          <m:sub>
            <m:r>
              <m:rPr>
                <m:sty m:val="p"/>
              </m:rPr>
              <w:rPr>
                <w:rFonts w:ascii="Cambria Math" w:hAnsi="Cambria Math" w:cs="Times New Roman"/>
                <w:color w:val="000000" w:themeColor="text1"/>
              </w:rPr>
              <m:t>j=m+1</m:t>
            </m:r>
          </m:sub>
          <m:sup>
            <m:r>
              <m:rPr>
                <m:sty m:val="p"/>
              </m:rPr>
              <w:rPr>
                <w:rFonts w:ascii="Cambria Math" w:hAnsi="Cambria Math" w:cs="Times New Roman"/>
                <w:color w:val="000000" w:themeColor="text1"/>
              </w:rPr>
              <m:t>dmax</m:t>
            </m:r>
          </m:sup>
          <m:e>
            <m:sSub>
              <m:sSubPr>
                <m:ctrlPr>
                  <w:rPr>
                    <w:rFonts w:ascii="Cambria Math" w:hAnsi="Cambria Math" w:cs="Times New Roman"/>
                    <w:color w:val="000000" w:themeColor="text1"/>
                  </w:rPr>
                </m:ctrlPr>
              </m:sSubPr>
              <m:e>
                <m:sSub>
                  <m:sSubPr>
                    <m:ctrlPr>
                      <w:rPr>
                        <w:rFonts w:ascii="Cambria Math" w:hAnsi="Cambria Math" w:cs="Times New Roman"/>
                        <w:color w:val="000000" w:themeColor="text1"/>
                      </w:rPr>
                    </m:ctrlPr>
                  </m:sSubPr>
                  <m:e>
                    <m:r>
                      <m:rPr>
                        <m:sty m:val="p"/>
                      </m:rPr>
                      <w:rPr>
                        <w:rFonts w:ascii="Cambria Math" w:hAnsi="Cambria Math" w:cs="Times New Roman"/>
                        <w:color w:val="000000" w:themeColor="text1"/>
                      </w:rPr>
                      <m:t>ϑ</m:t>
                    </m:r>
                  </m:e>
                  <m:sub>
                    <m:r>
                      <m:rPr>
                        <m:sty m:val="p"/>
                      </m:rPr>
                      <w:rPr>
                        <w:rFonts w:ascii="Cambria Math" w:hAnsi="Cambria Math" w:cs="Times New Roman"/>
                        <w:color w:val="000000" w:themeColor="text1"/>
                      </w:rPr>
                      <m:t>1</m:t>
                    </m:r>
                  </m:sub>
                </m:sSub>
              </m:e>
              <m:sub>
                <m:r>
                  <m:rPr>
                    <m:sty m:val="p"/>
                  </m:rPr>
                  <w:rPr>
                    <w:rFonts w:ascii="Cambria Math" w:hAnsi="Cambria Math" w:cs="Times New Roman"/>
                    <w:color w:val="000000" w:themeColor="text1"/>
                  </w:rPr>
                  <m:t>i</m:t>
                </m:r>
              </m:sub>
            </m:sSub>
          </m:e>
        </m:nary>
        <m:sSub>
          <m:sSubPr>
            <m:ctrlPr>
              <w:rPr>
                <w:rFonts w:ascii="Cambria Math" w:hAnsi="Cambria Math" w:cs="Times New Roman"/>
                <w:color w:val="000000" w:themeColor="text1"/>
              </w:rPr>
            </m:ctrlPr>
          </m:sSubPr>
          <m:e>
            <m:r>
              <m:rPr>
                <m:sty m:val="p"/>
              </m:rPr>
              <w:rPr>
                <w:rFonts w:ascii="Cambria Math" w:hAnsi="Cambria Math" w:cs="Times New Roman"/>
                <w:color w:val="000000" w:themeColor="text1"/>
              </w:rPr>
              <m:t>x</m:t>
            </m:r>
          </m:e>
          <m:sub>
            <m:r>
              <m:rPr>
                <m:sty m:val="p"/>
              </m:rPr>
              <w:rPr>
                <w:rFonts w:ascii="Cambria Math" w:hAnsi="Cambria Math" w:cs="Times New Roman"/>
                <w:color w:val="000000" w:themeColor="text1"/>
              </w:rPr>
              <m:t>t-i</m:t>
            </m:r>
          </m:sub>
        </m:sSub>
        <m:r>
          <m:rPr>
            <m:sty m:val="p"/>
          </m:rPr>
          <w:rPr>
            <w:rFonts w:ascii="Cambria Math" w:hAnsi="Cambria Math" w:cs="Times New Roman"/>
            <w:color w:val="000000" w:themeColor="text1"/>
          </w:rPr>
          <m:t>+</m:t>
        </m:r>
        <m:nary>
          <m:naryPr>
            <m:chr m:val="∑"/>
            <m:limLoc m:val="undOvr"/>
            <m:ctrlPr>
              <w:rPr>
                <w:rFonts w:ascii="Cambria Math" w:hAnsi="Cambria Math" w:cs="Times New Roman"/>
                <w:color w:val="000000" w:themeColor="text1"/>
              </w:rPr>
            </m:ctrlPr>
          </m:naryPr>
          <m:sub>
            <m:r>
              <m:rPr>
                <m:sty m:val="p"/>
              </m:rPr>
              <w:rPr>
                <w:rFonts w:ascii="Cambria Math" w:hAnsi="Cambria Math" w:cs="Times New Roman"/>
                <w:color w:val="000000" w:themeColor="text1"/>
              </w:rPr>
              <m:t>j=m+1</m:t>
            </m:r>
          </m:sub>
          <m:sup>
            <m:r>
              <m:rPr>
                <m:sty m:val="p"/>
              </m:rPr>
              <w:rPr>
                <w:rFonts w:ascii="Cambria Math" w:hAnsi="Cambria Math" w:cs="Times New Roman"/>
                <w:color w:val="000000" w:themeColor="text1"/>
              </w:rPr>
              <m:t>dmax</m:t>
            </m:r>
          </m:sup>
          <m:e>
            <m:sSub>
              <m:sSubPr>
                <m:ctrlPr>
                  <w:rPr>
                    <w:rFonts w:ascii="Cambria Math" w:hAnsi="Cambria Math" w:cs="Times New Roman"/>
                    <w:color w:val="000000" w:themeColor="text1"/>
                  </w:rPr>
                </m:ctrlPr>
              </m:sSubPr>
              <m:e>
                <m:sSub>
                  <m:sSubPr>
                    <m:ctrlPr>
                      <w:rPr>
                        <w:rFonts w:ascii="Cambria Math" w:hAnsi="Cambria Math" w:cs="Times New Roman"/>
                        <w:color w:val="000000" w:themeColor="text1"/>
                      </w:rPr>
                    </m:ctrlPr>
                  </m:sSubPr>
                  <m:e>
                    <m:r>
                      <m:rPr>
                        <m:sty m:val="p"/>
                      </m:rPr>
                      <w:rPr>
                        <w:rFonts w:ascii="Cambria Math" w:hAnsi="Cambria Math" w:cs="Times New Roman"/>
                        <w:color w:val="000000" w:themeColor="text1"/>
                      </w:rPr>
                      <m:t>σ</m:t>
                    </m:r>
                  </m:e>
                  <m:sub>
                    <m:r>
                      <m:rPr>
                        <m:sty m:val="p"/>
                      </m:rPr>
                      <w:rPr>
                        <w:rFonts w:ascii="Cambria Math" w:hAnsi="Cambria Math" w:cs="Times New Roman"/>
                        <w:color w:val="000000" w:themeColor="text1"/>
                      </w:rPr>
                      <m:t>1</m:t>
                    </m:r>
                  </m:sub>
                </m:sSub>
              </m:e>
              <m:sub>
                <m:r>
                  <m:rPr>
                    <m:sty m:val="p"/>
                  </m:rPr>
                  <w:rPr>
                    <w:rFonts w:ascii="Cambria Math" w:hAnsi="Cambria Math" w:cs="Times New Roman"/>
                    <w:color w:val="000000" w:themeColor="text1"/>
                  </w:rPr>
                  <m:t>i</m:t>
                </m:r>
              </m:sub>
            </m:sSub>
          </m:e>
        </m:nary>
        <m:sSub>
          <m:sSubPr>
            <m:ctrlPr>
              <w:rPr>
                <w:rFonts w:ascii="Cambria Math" w:hAnsi="Cambria Math" w:cs="Times New Roman"/>
                <w:color w:val="000000" w:themeColor="text1"/>
              </w:rPr>
            </m:ctrlPr>
          </m:sSubPr>
          <m:e>
            <m:r>
              <m:rPr>
                <m:sty m:val="p"/>
              </m:rPr>
              <w:rPr>
                <w:rFonts w:ascii="Cambria Math" w:hAnsi="Cambria Math" w:cs="Times New Roman"/>
                <w:color w:val="000000" w:themeColor="text1"/>
              </w:rPr>
              <m:t>y</m:t>
            </m:r>
          </m:e>
          <m:sub>
            <m:r>
              <m:rPr>
                <m:sty m:val="p"/>
              </m:rPr>
              <w:rPr>
                <w:rFonts w:ascii="Cambria Math" w:hAnsi="Cambria Math" w:cs="Times New Roman"/>
                <w:color w:val="000000" w:themeColor="text1"/>
              </w:rPr>
              <m:t>t-i</m:t>
            </m:r>
          </m:sub>
        </m:sSub>
        <m:r>
          <m:rPr>
            <m:sty m:val="p"/>
          </m:rPr>
          <w:rPr>
            <w:rFonts w:ascii="Cambria Math" w:hAnsi="Cambria Math" w:cs="Times New Roman"/>
            <w:color w:val="000000" w:themeColor="text1"/>
          </w:rPr>
          <m:t>+</m:t>
        </m:r>
        <m:sSub>
          <m:sSubPr>
            <m:ctrlPr>
              <w:rPr>
                <w:rFonts w:ascii="Cambria Math" w:hAnsi="Cambria Math" w:cs="Times New Roman"/>
                <w:color w:val="000000" w:themeColor="text1"/>
              </w:rPr>
            </m:ctrlPr>
          </m:sSubPr>
          <m:e>
            <m:r>
              <m:rPr>
                <m:sty m:val="p"/>
              </m:rPr>
              <w:rPr>
                <w:rFonts w:ascii="Cambria Math" w:hAnsi="Cambria Math" w:cs="Times New Roman"/>
                <w:color w:val="000000" w:themeColor="text1"/>
              </w:rPr>
              <m:t>ɛ</m:t>
            </m:r>
          </m:e>
          <m:sub>
            <m:r>
              <m:rPr>
                <m:sty m:val="p"/>
              </m:rPr>
              <w:rPr>
                <w:rFonts w:ascii="Cambria Math" w:hAnsi="Cambria Math" w:cs="Times New Roman"/>
                <w:color w:val="000000" w:themeColor="text1"/>
              </w:rPr>
              <m:t>1t</m:t>
            </m:r>
          </m:sub>
        </m:sSub>
      </m:oMath>
      <w:r w:rsidR="007D55D3" w:rsidRPr="00164238">
        <w:rPr>
          <w:rFonts w:ascii="Times New Roman" w:eastAsiaTheme="minorEastAsia" w:hAnsi="Times New Roman" w:cs="Times New Roman"/>
          <w:color w:val="000000" w:themeColor="text1"/>
        </w:rPr>
        <w:t xml:space="preserve">         </w:t>
      </w:r>
      <w:r w:rsidR="00881BBB" w:rsidRPr="00164238">
        <w:rPr>
          <w:rFonts w:ascii="Times New Roman" w:eastAsiaTheme="minorEastAsia" w:hAnsi="Times New Roman" w:cs="Times New Roman"/>
          <w:color w:val="000000" w:themeColor="text1"/>
        </w:rPr>
        <w:t xml:space="preserve"> </w:t>
      </w:r>
      <w:r w:rsidR="007D55D3" w:rsidRPr="00164238">
        <w:rPr>
          <w:rFonts w:ascii="Times New Roman" w:eastAsiaTheme="minorEastAsia" w:hAnsi="Times New Roman" w:cs="Times New Roman"/>
          <w:color w:val="000000" w:themeColor="text1"/>
        </w:rPr>
        <w:t xml:space="preserve"> (1)</w:t>
      </w:r>
    </w:p>
    <w:p w14:paraId="66F2FF4F" w14:textId="77777777" w:rsidR="00B431DD" w:rsidRPr="00164238" w:rsidRDefault="00E839E1" w:rsidP="007D55D3">
      <w:pPr>
        <w:spacing w:before="120" w:after="120" w:line="360" w:lineRule="auto"/>
        <w:ind w:firstLine="709"/>
        <w:jc w:val="both"/>
        <w:rPr>
          <w:rFonts w:ascii="Times New Roman" w:eastAsiaTheme="minorEastAsia" w:hAnsi="Times New Roman" w:cs="Times New Roman"/>
          <w:color w:val="000000" w:themeColor="text1"/>
        </w:rPr>
      </w:pPr>
      <m:oMath>
        <m:sSub>
          <m:sSubPr>
            <m:ctrlPr>
              <w:rPr>
                <w:rFonts w:ascii="Cambria Math" w:hAnsi="Cambria Math" w:cs="Times New Roman"/>
                <w:color w:val="000000" w:themeColor="text1"/>
              </w:rPr>
            </m:ctrlPr>
          </m:sSubPr>
          <m:e>
            <m:r>
              <m:rPr>
                <m:sty m:val="p"/>
              </m:rPr>
              <w:rPr>
                <w:rFonts w:ascii="Cambria Math" w:hAnsi="Cambria Math" w:cs="Times New Roman"/>
                <w:color w:val="000000" w:themeColor="text1"/>
              </w:rPr>
              <m:t>x</m:t>
            </m:r>
          </m:e>
          <m:sub>
            <m:r>
              <m:rPr>
                <m:sty m:val="p"/>
              </m:rPr>
              <w:rPr>
                <w:rFonts w:ascii="Cambria Math" w:hAnsi="Cambria Math" w:cs="Times New Roman"/>
                <w:color w:val="000000" w:themeColor="text1"/>
              </w:rPr>
              <m:t xml:space="preserve">t  </m:t>
            </m:r>
          </m:sub>
        </m:sSub>
        <m:r>
          <m:rPr>
            <m:sty m:val="p"/>
          </m:rPr>
          <w:rPr>
            <w:rFonts w:ascii="Cambria Math" w:hAnsi="Cambria Math" w:cs="Times New Roman"/>
            <w:color w:val="000000" w:themeColor="text1"/>
          </w:rPr>
          <m:t>=ϕ+</m:t>
        </m:r>
        <m:nary>
          <m:naryPr>
            <m:chr m:val="∑"/>
            <m:limLoc m:val="undOvr"/>
            <m:ctrlPr>
              <w:rPr>
                <w:rFonts w:ascii="Cambria Math" w:hAnsi="Cambria Math" w:cs="Times New Roman"/>
                <w:color w:val="000000" w:themeColor="text1"/>
              </w:rPr>
            </m:ctrlPr>
          </m:naryPr>
          <m:sub>
            <m:r>
              <m:rPr>
                <m:sty m:val="p"/>
              </m:rPr>
              <w:rPr>
                <w:rFonts w:ascii="Cambria Math" w:hAnsi="Cambria Math" w:cs="Times New Roman"/>
                <w:color w:val="000000" w:themeColor="text1"/>
              </w:rPr>
              <m:t>i=1</m:t>
            </m:r>
          </m:sub>
          <m:sup>
            <m:r>
              <m:rPr>
                <m:sty m:val="p"/>
              </m:rPr>
              <w:rPr>
                <w:rFonts w:ascii="Cambria Math" w:hAnsi="Cambria Math" w:cs="Times New Roman"/>
                <w:color w:val="000000" w:themeColor="text1"/>
              </w:rPr>
              <m:t>k</m:t>
            </m:r>
          </m:sup>
          <m:e>
            <m:sSub>
              <m:sSubPr>
                <m:ctrlPr>
                  <w:rPr>
                    <w:rFonts w:ascii="Cambria Math" w:hAnsi="Cambria Math" w:cs="Times New Roman"/>
                    <w:color w:val="000000" w:themeColor="text1"/>
                  </w:rPr>
                </m:ctrlPr>
              </m:sSubPr>
              <m:e>
                <m:sSub>
                  <m:sSubPr>
                    <m:ctrlPr>
                      <w:rPr>
                        <w:rFonts w:ascii="Cambria Math" w:hAnsi="Cambria Math" w:cs="Times New Roman"/>
                        <w:color w:val="000000" w:themeColor="text1"/>
                      </w:rPr>
                    </m:ctrlPr>
                  </m:sSubPr>
                  <m:e>
                    <m:r>
                      <m:rPr>
                        <m:sty m:val="p"/>
                      </m:rPr>
                      <w:rPr>
                        <w:rFonts w:ascii="Cambria Math" w:hAnsi="Cambria Math" w:cs="Times New Roman"/>
                        <w:color w:val="000000" w:themeColor="text1"/>
                      </w:rPr>
                      <m:t>∝</m:t>
                    </m:r>
                  </m:e>
                  <m:sub>
                    <m:r>
                      <m:rPr>
                        <m:sty m:val="p"/>
                      </m:rPr>
                      <w:rPr>
                        <w:rFonts w:ascii="Cambria Math" w:hAnsi="Cambria Math" w:cs="Times New Roman"/>
                        <w:color w:val="000000" w:themeColor="text1"/>
                      </w:rPr>
                      <m:t>2</m:t>
                    </m:r>
                  </m:sub>
                </m:sSub>
              </m:e>
              <m:sub>
                <m:r>
                  <m:rPr>
                    <m:sty m:val="p"/>
                  </m:rPr>
                  <w:rPr>
                    <w:rFonts w:ascii="Cambria Math" w:hAnsi="Cambria Math" w:cs="Times New Roman"/>
                    <w:color w:val="000000" w:themeColor="text1"/>
                  </w:rPr>
                  <m:t>i</m:t>
                </m:r>
              </m:sub>
            </m:sSub>
          </m:e>
        </m:nary>
        <m:sSub>
          <m:sSubPr>
            <m:ctrlPr>
              <w:rPr>
                <w:rFonts w:ascii="Cambria Math" w:hAnsi="Cambria Math" w:cs="Times New Roman"/>
                <w:color w:val="000000" w:themeColor="text1"/>
              </w:rPr>
            </m:ctrlPr>
          </m:sSubPr>
          <m:e>
            <m:r>
              <m:rPr>
                <m:sty m:val="p"/>
              </m:rPr>
              <w:rPr>
                <w:rFonts w:ascii="Cambria Math" w:hAnsi="Cambria Math" w:cs="Times New Roman"/>
                <w:color w:val="000000" w:themeColor="text1"/>
              </w:rPr>
              <m:t>x</m:t>
            </m:r>
          </m:e>
          <m:sub>
            <m:r>
              <m:rPr>
                <m:sty m:val="p"/>
              </m:rPr>
              <w:rPr>
                <w:rFonts w:ascii="Cambria Math" w:hAnsi="Cambria Math" w:cs="Times New Roman"/>
                <w:color w:val="000000" w:themeColor="text1"/>
              </w:rPr>
              <m:t>t-i</m:t>
            </m:r>
          </m:sub>
        </m:sSub>
        <m:r>
          <m:rPr>
            <m:sty m:val="p"/>
          </m:rPr>
          <w:rPr>
            <w:rFonts w:ascii="Cambria Math" w:hAnsi="Cambria Math" w:cs="Times New Roman"/>
            <w:color w:val="000000" w:themeColor="text1"/>
          </w:rPr>
          <m:t>+</m:t>
        </m:r>
        <m:nary>
          <m:naryPr>
            <m:chr m:val="∑"/>
            <m:limLoc m:val="undOvr"/>
            <m:ctrlPr>
              <w:rPr>
                <w:rFonts w:ascii="Cambria Math" w:hAnsi="Cambria Math" w:cs="Times New Roman"/>
                <w:color w:val="000000" w:themeColor="text1"/>
              </w:rPr>
            </m:ctrlPr>
          </m:naryPr>
          <m:sub>
            <m:r>
              <m:rPr>
                <m:sty m:val="p"/>
              </m:rPr>
              <w:rPr>
                <w:rFonts w:ascii="Cambria Math" w:hAnsi="Cambria Math" w:cs="Times New Roman"/>
                <w:color w:val="000000" w:themeColor="text1"/>
              </w:rPr>
              <m:t>i=1</m:t>
            </m:r>
          </m:sub>
          <m:sup>
            <m:r>
              <m:rPr>
                <m:sty m:val="p"/>
              </m:rPr>
              <w:rPr>
                <w:rFonts w:ascii="Cambria Math" w:hAnsi="Cambria Math" w:cs="Times New Roman"/>
                <w:color w:val="000000" w:themeColor="text1"/>
              </w:rPr>
              <m:t>k</m:t>
            </m:r>
          </m:sup>
          <m:e>
            <m:sSub>
              <m:sSubPr>
                <m:ctrlPr>
                  <w:rPr>
                    <w:rFonts w:ascii="Cambria Math" w:hAnsi="Cambria Math" w:cs="Times New Roman"/>
                    <w:color w:val="000000" w:themeColor="text1"/>
                  </w:rPr>
                </m:ctrlPr>
              </m:sSubPr>
              <m:e>
                <m:r>
                  <m:rPr>
                    <m:sty m:val="p"/>
                  </m:rPr>
                  <w:rPr>
                    <w:rFonts w:ascii="Cambria Math" w:hAnsi="Cambria Math" w:cs="Times New Roman"/>
                    <w:color w:val="000000" w:themeColor="text1"/>
                  </w:rPr>
                  <m:t>b</m:t>
                </m:r>
              </m:e>
              <m:sub>
                <m:r>
                  <m:rPr>
                    <m:sty m:val="p"/>
                  </m:rPr>
                  <w:rPr>
                    <w:rFonts w:ascii="Cambria Math" w:hAnsi="Cambria Math" w:cs="Times New Roman"/>
                    <w:color w:val="000000" w:themeColor="text1"/>
                  </w:rPr>
                  <m:t>2i</m:t>
                </m:r>
              </m:sub>
            </m:sSub>
          </m:e>
        </m:nary>
        <m:sSub>
          <m:sSubPr>
            <m:ctrlPr>
              <w:rPr>
                <w:rFonts w:ascii="Cambria Math" w:hAnsi="Cambria Math" w:cs="Times New Roman"/>
                <w:color w:val="000000" w:themeColor="text1"/>
              </w:rPr>
            </m:ctrlPr>
          </m:sSubPr>
          <m:e>
            <m:r>
              <m:rPr>
                <m:sty m:val="p"/>
              </m:rPr>
              <w:rPr>
                <w:rFonts w:ascii="Cambria Math" w:hAnsi="Cambria Math" w:cs="Times New Roman"/>
                <w:color w:val="000000" w:themeColor="text1"/>
              </w:rPr>
              <m:t>y</m:t>
            </m:r>
          </m:e>
          <m:sub>
            <m:r>
              <m:rPr>
                <m:sty m:val="p"/>
              </m:rPr>
              <w:rPr>
                <w:rFonts w:ascii="Cambria Math" w:hAnsi="Cambria Math" w:cs="Times New Roman"/>
                <w:color w:val="000000" w:themeColor="text1"/>
              </w:rPr>
              <m:t>t-i</m:t>
            </m:r>
          </m:sub>
        </m:sSub>
        <m:r>
          <m:rPr>
            <m:sty m:val="p"/>
          </m:rPr>
          <w:rPr>
            <w:rFonts w:ascii="Cambria Math" w:hAnsi="Cambria Math" w:cs="Times New Roman"/>
            <w:color w:val="000000" w:themeColor="text1"/>
          </w:rPr>
          <m:t>+</m:t>
        </m:r>
        <m:nary>
          <m:naryPr>
            <m:chr m:val="∑"/>
            <m:limLoc m:val="undOvr"/>
            <m:ctrlPr>
              <w:rPr>
                <w:rFonts w:ascii="Cambria Math" w:hAnsi="Cambria Math" w:cs="Times New Roman"/>
                <w:color w:val="000000" w:themeColor="text1"/>
              </w:rPr>
            </m:ctrlPr>
          </m:naryPr>
          <m:sub>
            <m:r>
              <m:rPr>
                <m:sty m:val="p"/>
              </m:rPr>
              <w:rPr>
                <w:rFonts w:ascii="Cambria Math" w:hAnsi="Cambria Math" w:cs="Times New Roman"/>
                <w:color w:val="000000" w:themeColor="text1"/>
              </w:rPr>
              <m:t>j=m+1</m:t>
            </m:r>
          </m:sub>
          <m:sup>
            <m:r>
              <m:rPr>
                <m:sty m:val="p"/>
              </m:rPr>
              <w:rPr>
                <w:rFonts w:ascii="Cambria Math" w:hAnsi="Cambria Math" w:cs="Times New Roman"/>
                <w:color w:val="000000" w:themeColor="text1"/>
              </w:rPr>
              <m:t>dmax</m:t>
            </m:r>
          </m:sup>
          <m:e>
            <m:sSub>
              <m:sSubPr>
                <m:ctrlPr>
                  <w:rPr>
                    <w:rFonts w:ascii="Cambria Math" w:hAnsi="Cambria Math" w:cs="Times New Roman"/>
                    <w:color w:val="000000" w:themeColor="text1"/>
                  </w:rPr>
                </m:ctrlPr>
              </m:sSubPr>
              <m:e>
                <m:sSub>
                  <m:sSubPr>
                    <m:ctrlPr>
                      <w:rPr>
                        <w:rFonts w:ascii="Cambria Math" w:hAnsi="Cambria Math" w:cs="Times New Roman"/>
                        <w:color w:val="000000" w:themeColor="text1"/>
                      </w:rPr>
                    </m:ctrlPr>
                  </m:sSubPr>
                  <m:e>
                    <m:r>
                      <m:rPr>
                        <m:sty m:val="p"/>
                      </m:rPr>
                      <w:rPr>
                        <w:rFonts w:ascii="Cambria Math" w:hAnsi="Cambria Math" w:cs="Times New Roman"/>
                        <w:color w:val="000000" w:themeColor="text1"/>
                      </w:rPr>
                      <m:t>ϑ</m:t>
                    </m:r>
                  </m:e>
                  <m:sub>
                    <m:r>
                      <m:rPr>
                        <m:sty m:val="p"/>
                      </m:rPr>
                      <w:rPr>
                        <w:rFonts w:ascii="Cambria Math" w:hAnsi="Cambria Math" w:cs="Times New Roman"/>
                        <w:color w:val="000000" w:themeColor="text1"/>
                      </w:rPr>
                      <m:t>2</m:t>
                    </m:r>
                  </m:sub>
                </m:sSub>
              </m:e>
              <m:sub>
                <m:r>
                  <m:rPr>
                    <m:sty m:val="p"/>
                  </m:rPr>
                  <w:rPr>
                    <w:rFonts w:ascii="Cambria Math" w:hAnsi="Cambria Math" w:cs="Times New Roman"/>
                    <w:color w:val="000000" w:themeColor="text1"/>
                  </w:rPr>
                  <m:t>i</m:t>
                </m:r>
              </m:sub>
            </m:sSub>
          </m:e>
        </m:nary>
        <m:sSub>
          <m:sSubPr>
            <m:ctrlPr>
              <w:rPr>
                <w:rFonts w:ascii="Cambria Math" w:hAnsi="Cambria Math" w:cs="Times New Roman"/>
                <w:color w:val="000000" w:themeColor="text1"/>
              </w:rPr>
            </m:ctrlPr>
          </m:sSubPr>
          <m:e>
            <m:r>
              <m:rPr>
                <m:sty m:val="p"/>
              </m:rPr>
              <w:rPr>
                <w:rFonts w:ascii="Cambria Math" w:hAnsi="Cambria Math" w:cs="Times New Roman"/>
                <w:color w:val="000000" w:themeColor="text1"/>
              </w:rPr>
              <m:t>x</m:t>
            </m:r>
          </m:e>
          <m:sub>
            <m:r>
              <m:rPr>
                <m:sty m:val="p"/>
              </m:rPr>
              <w:rPr>
                <w:rFonts w:ascii="Cambria Math" w:hAnsi="Cambria Math" w:cs="Times New Roman"/>
                <w:color w:val="000000" w:themeColor="text1"/>
              </w:rPr>
              <m:t>t-i</m:t>
            </m:r>
          </m:sub>
        </m:sSub>
        <m:r>
          <m:rPr>
            <m:sty m:val="p"/>
          </m:rPr>
          <w:rPr>
            <w:rFonts w:ascii="Cambria Math" w:hAnsi="Cambria Math" w:cs="Times New Roman"/>
            <w:color w:val="000000" w:themeColor="text1"/>
          </w:rPr>
          <m:t>+</m:t>
        </m:r>
        <m:nary>
          <m:naryPr>
            <m:chr m:val="∑"/>
            <m:limLoc m:val="undOvr"/>
            <m:ctrlPr>
              <w:rPr>
                <w:rFonts w:ascii="Cambria Math" w:hAnsi="Cambria Math" w:cs="Times New Roman"/>
                <w:color w:val="000000" w:themeColor="text1"/>
              </w:rPr>
            </m:ctrlPr>
          </m:naryPr>
          <m:sub>
            <m:r>
              <m:rPr>
                <m:sty m:val="p"/>
              </m:rPr>
              <w:rPr>
                <w:rFonts w:ascii="Cambria Math" w:hAnsi="Cambria Math" w:cs="Times New Roman"/>
                <w:color w:val="000000" w:themeColor="text1"/>
              </w:rPr>
              <m:t>j=m+1</m:t>
            </m:r>
          </m:sub>
          <m:sup>
            <m:r>
              <m:rPr>
                <m:sty m:val="p"/>
              </m:rPr>
              <w:rPr>
                <w:rFonts w:ascii="Cambria Math" w:hAnsi="Cambria Math" w:cs="Times New Roman"/>
                <w:color w:val="000000" w:themeColor="text1"/>
              </w:rPr>
              <m:t>dmax</m:t>
            </m:r>
          </m:sup>
          <m:e>
            <m:sSub>
              <m:sSubPr>
                <m:ctrlPr>
                  <w:rPr>
                    <w:rFonts w:ascii="Cambria Math" w:hAnsi="Cambria Math" w:cs="Times New Roman"/>
                    <w:color w:val="000000" w:themeColor="text1"/>
                  </w:rPr>
                </m:ctrlPr>
              </m:sSubPr>
              <m:e>
                <m:sSub>
                  <m:sSubPr>
                    <m:ctrlPr>
                      <w:rPr>
                        <w:rFonts w:ascii="Cambria Math" w:hAnsi="Cambria Math" w:cs="Times New Roman"/>
                        <w:color w:val="000000" w:themeColor="text1"/>
                      </w:rPr>
                    </m:ctrlPr>
                  </m:sSubPr>
                  <m:e>
                    <m:r>
                      <m:rPr>
                        <m:sty m:val="p"/>
                      </m:rPr>
                      <w:rPr>
                        <w:rFonts w:ascii="Cambria Math" w:hAnsi="Cambria Math" w:cs="Times New Roman"/>
                        <w:color w:val="000000" w:themeColor="text1"/>
                      </w:rPr>
                      <m:t>σ</m:t>
                    </m:r>
                  </m:e>
                  <m:sub>
                    <m:r>
                      <m:rPr>
                        <m:sty m:val="p"/>
                      </m:rPr>
                      <w:rPr>
                        <w:rFonts w:ascii="Cambria Math" w:hAnsi="Cambria Math" w:cs="Times New Roman"/>
                        <w:color w:val="000000" w:themeColor="text1"/>
                      </w:rPr>
                      <m:t>2</m:t>
                    </m:r>
                  </m:sub>
                </m:sSub>
              </m:e>
              <m:sub>
                <m:r>
                  <m:rPr>
                    <m:sty m:val="p"/>
                  </m:rPr>
                  <w:rPr>
                    <w:rFonts w:ascii="Cambria Math" w:hAnsi="Cambria Math" w:cs="Times New Roman"/>
                    <w:color w:val="000000" w:themeColor="text1"/>
                  </w:rPr>
                  <m:t>i</m:t>
                </m:r>
              </m:sub>
            </m:sSub>
          </m:e>
        </m:nary>
        <m:sSub>
          <m:sSubPr>
            <m:ctrlPr>
              <w:rPr>
                <w:rFonts w:ascii="Cambria Math" w:hAnsi="Cambria Math" w:cs="Times New Roman"/>
                <w:color w:val="000000" w:themeColor="text1"/>
              </w:rPr>
            </m:ctrlPr>
          </m:sSubPr>
          <m:e>
            <m:r>
              <m:rPr>
                <m:sty m:val="p"/>
              </m:rPr>
              <w:rPr>
                <w:rFonts w:ascii="Cambria Math" w:hAnsi="Cambria Math" w:cs="Times New Roman"/>
                <w:color w:val="000000" w:themeColor="text1"/>
              </w:rPr>
              <m:t>y</m:t>
            </m:r>
          </m:e>
          <m:sub>
            <m:r>
              <m:rPr>
                <m:sty m:val="p"/>
              </m:rPr>
              <w:rPr>
                <w:rFonts w:ascii="Cambria Math" w:hAnsi="Cambria Math" w:cs="Times New Roman"/>
                <w:color w:val="000000" w:themeColor="text1"/>
              </w:rPr>
              <m:t>t-i</m:t>
            </m:r>
          </m:sub>
        </m:sSub>
        <m:r>
          <m:rPr>
            <m:sty m:val="p"/>
          </m:rPr>
          <w:rPr>
            <w:rFonts w:ascii="Cambria Math" w:hAnsi="Cambria Math" w:cs="Times New Roman"/>
            <w:color w:val="000000" w:themeColor="text1"/>
          </w:rPr>
          <m:t>+</m:t>
        </m:r>
        <m:sSub>
          <m:sSubPr>
            <m:ctrlPr>
              <w:rPr>
                <w:rFonts w:ascii="Cambria Math" w:hAnsi="Cambria Math" w:cs="Times New Roman"/>
                <w:color w:val="000000" w:themeColor="text1"/>
              </w:rPr>
            </m:ctrlPr>
          </m:sSubPr>
          <m:e>
            <m:r>
              <m:rPr>
                <m:sty m:val="p"/>
              </m:rPr>
              <w:rPr>
                <w:rFonts w:ascii="Cambria Math" w:hAnsi="Cambria Math" w:cs="Times New Roman"/>
                <w:color w:val="000000" w:themeColor="text1"/>
              </w:rPr>
              <m:t>ɛ</m:t>
            </m:r>
          </m:e>
          <m:sub>
            <m:r>
              <m:rPr>
                <m:sty m:val="p"/>
              </m:rPr>
              <w:rPr>
                <w:rFonts w:ascii="Cambria Math" w:hAnsi="Cambria Math" w:cs="Times New Roman"/>
                <w:color w:val="000000" w:themeColor="text1"/>
              </w:rPr>
              <m:t>2t</m:t>
            </m:r>
          </m:sub>
        </m:sSub>
      </m:oMath>
      <w:r w:rsidR="00B431DD" w:rsidRPr="00164238">
        <w:rPr>
          <w:rFonts w:ascii="Times New Roman" w:eastAsiaTheme="minorEastAsia" w:hAnsi="Times New Roman" w:cs="Times New Roman"/>
          <w:color w:val="000000" w:themeColor="text1"/>
        </w:rPr>
        <w:t xml:space="preserve">  </w:t>
      </w:r>
      <w:r w:rsidR="007D55D3" w:rsidRPr="00164238">
        <w:rPr>
          <w:rFonts w:ascii="Times New Roman" w:eastAsiaTheme="minorEastAsia" w:hAnsi="Times New Roman" w:cs="Times New Roman"/>
          <w:color w:val="000000" w:themeColor="text1"/>
        </w:rPr>
        <w:t xml:space="preserve">       </w:t>
      </w:r>
      <w:r w:rsidR="00B431DD" w:rsidRPr="00164238">
        <w:rPr>
          <w:rFonts w:ascii="Times New Roman" w:eastAsiaTheme="minorEastAsia" w:hAnsi="Times New Roman" w:cs="Times New Roman"/>
          <w:color w:val="000000" w:themeColor="text1"/>
        </w:rPr>
        <w:t xml:space="preserve"> (2)</w:t>
      </w:r>
    </w:p>
    <w:p w14:paraId="13395B69" w14:textId="77777777" w:rsidR="00E40B0B" w:rsidRPr="00164238" w:rsidRDefault="00B431DD" w:rsidP="007D55D3">
      <w:pPr>
        <w:autoSpaceDE w:val="0"/>
        <w:autoSpaceDN w:val="0"/>
        <w:adjustRightInd w:val="0"/>
        <w:spacing w:before="120" w:after="120" w:line="360" w:lineRule="auto"/>
        <w:ind w:firstLine="709"/>
        <w:jc w:val="both"/>
        <w:rPr>
          <w:rFonts w:ascii="Times New Roman" w:hAnsi="Times New Roman" w:cs="Times New Roman"/>
          <w:color w:val="000000" w:themeColor="text1"/>
          <w:shd w:val="clear" w:color="auto" w:fill="FFFFFF"/>
        </w:rPr>
      </w:pPr>
      <w:r w:rsidRPr="00164238">
        <w:rPr>
          <w:rFonts w:ascii="Times New Roman" w:eastAsiaTheme="minorEastAsia" w:hAnsi="Times New Roman" w:cs="Times New Roman"/>
          <w:color w:val="000000" w:themeColor="text1"/>
        </w:rPr>
        <w:t xml:space="preserve">Yukarıdaki denklemlerde k uygun gecikme uzunluğunu, </w:t>
      </w:r>
      <w:r w:rsidR="00881BBB" w:rsidRPr="00164238">
        <w:rPr>
          <w:rFonts w:ascii="Times New Roman" w:hAnsi="Times New Roman" w:cs="Times New Roman"/>
          <w:color w:val="000000" w:themeColor="text1"/>
        </w:rPr>
        <w:t xml:space="preserve">dmax </w:t>
      </w:r>
      <w:r w:rsidRPr="00164238">
        <w:rPr>
          <w:rFonts w:ascii="Times New Roman" w:hAnsi="Times New Roman" w:cs="Times New Roman"/>
          <w:color w:val="000000" w:themeColor="text1"/>
        </w:rPr>
        <w:t>en yüksek durağanlık derecesini göstermektedir. Hata terimlerinin sıfır ortalama ve sabit kovaryans matrisin</w:t>
      </w:r>
      <w:r w:rsidR="0045652E" w:rsidRPr="00164238">
        <w:rPr>
          <w:rFonts w:ascii="Times New Roman" w:hAnsi="Times New Roman" w:cs="Times New Roman"/>
          <w:color w:val="000000" w:themeColor="text1"/>
        </w:rPr>
        <w:t>e sahip olduğu varsayılmaktadır (</w:t>
      </w:r>
      <w:r w:rsidR="0045652E" w:rsidRPr="00164238">
        <w:rPr>
          <w:rFonts w:ascii="Times New Roman" w:hAnsi="Times New Roman" w:cs="Times New Roman"/>
          <w:color w:val="000000" w:themeColor="text1"/>
          <w:shd w:val="clear" w:color="auto" w:fill="FFFFFF"/>
        </w:rPr>
        <w:t xml:space="preserve">Yenilmez ve Erdem, 2018: 13). </w:t>
      </w:r>
      <w:r w:rsidR="00C91EB7" w:rsidRPr="00164238">
        <w:rPr>
          <w:rFonts w:ascii="Times New Roman" w:hAnsi="Times New Roman" w:cs="Times New Roman"/>
          <w:color w:val="000000" w:themeColor="text1"/>
          <w:shd w:val="clear" w:color="auto" w:fill="FFFFFF"/>
        </w:rPr>
        <w:t>Bu testte boş hipotez nedensellik ilişkisinin olmadığını, alternatif hipotez ise nedensellik ilişkisinin olduğunu ifade etmektedir. İki değişkenin arasındaki nedensellik ilişkisi için hesaplanan olasılık değerinin %5 anlamlılık düzeyinden küçük olması durumunda iki değişken arasında nedensellik ilişkisinin olduğu</w:t>
      </w:r>
      <w:r w:rsidR="00E40B0B" w:rsidRPr="00164238">
        <w:rPr>
          <w:rFonts w:ascii="Times New Roman" w:hAnsi="Times New Roman" w:cs="Times New Roman"/>
          <w:color w:val="000000" w:themeColor="text1"/>
          <w:shd w:val="clear" w:color="auto" w:fill="FFFFFF"/>
        </w:rPr>
        <w:t>na karar verilmektedir.</w:t>
      </w:r>
      <w:r w:rsidR="00C91EB7" w:rsidRPr="00164238">
        <w:rPr>
          <w:rFonts w:ascii="Times New Roman" w:hAnsi="Times New Roman" w:cs="Times New Roman"/>
          <w:color w:val="000000" w:themeColor="text1"/>
          <w:shd w:val="clear" w:color="auto" w:fill="FFFFFF"/>
        </w:rPr>
        <w:t xml:space="preserve"> </w:t>
      </w:r>
    </w:p>
    <w:p w14:paraId="1A74793A" w14:textId="587F6DAC" w:rsidR="00B431DD" w:rsidRDefault="008B6DF8" w:rsidP="007D55D3">
      <w:pPr>
        <w:autoSpaceDE w:val="0"/>
        <w:autoSpaceDN w:val="0"/>
        <w:adjustRightInd w:val="0"/>
        <w:spacing w:before="120" w:after="120" w:line="360" w:lineRule="auto"/>
        <w:ind w:firstLine="709"/>
        <w:jc w:val="both"/>
        <w:rPr>
          <w:rFonts w:ascii="Times New Roman" w:hAnsi="Times New Roman" w:cs="Times New Roman"/>
          <w:color w:val="000000" w:themeColor="text1"/>
        </w:rPr>
      </w:pPr>
      <w:r w:rsidRPr="00164238">
        <w:rPr>
          <w:rFonts w:ascii="Times New Roman" w:hAnsi="Times New Roman" w:cs="Times New Roman"/>
          <w:color w:val="000000" w:themeColor="text1"/>
        </w:rPr>
        <w:t>Toda-Yamamoto nedensellik testinde ilk aşamada değişkenlere birim kök testi uygulanarak maksimum bütünleşme derecesi</w:t>
      </w:r>
      <w:r w:rsidR="006F4807" w:rsidRPr="00164238">
        <w:rPr>
          <w:rFonts w:ascii="Times New Roman" w:hAnsi="Times New Roman" w:cs="Times New Roman"/>
          <w:color w:val="000000" w:themeColor="text1"/>
        </w:rPr>
        <w:t xml:space="preserve"> </w:t>
      </w:r>
      <w:r w:rsidR="006F4807" w:rsidRPr="00164238">
        <w:rPr>
          <w:rFonts w:ascii="Times New Roman" w:hAnsi="Times New Roman" w:cs="Times New Roman"/>
          <w:color w:val="000000" w:themeColor="text1"/>
          <w:lang w:val="en-US"/>
        </w:rPr>
        <w:t xml:space="preserve">(dmax) </w:t>
      </w:r>
      <w:r w:rsidRPr="00164238">
        <w:rPr>
          <w:rFonts w:ascii="Times New Roman" w:hAnsi="Times New Roman" w:cs="Times New Roman"/>
          <w:color w:val="000000" w:themeColor="text1"/>
        </w:rPr>
        <w:t xml:space="preserve"> tespit edilmektedir. </w:t>
      </w:r>
      <w:r w:rsidR="006F4807" w:rsidRPr="00164238">
        <w:rPr>
          <w:rFonts w:ascii="Times New Roman" w:hAnsi="Times New Roman" w:cs="Times New Roman"/>
          <w:color w:val="000000" w:themeColor="text1"/>
        </w:rPr>
        <w:t>Değişkenlere ilişkin b</w:t>
      </w:r>
      <w:r w:rsidR="00E40B0B" w:rsidRPr="00164238">
        <w:rPr>
          <w:rFonts w:ascii="Times New Roman" w:hAnsi="Times New Roman" w:cs="Times New Roman"/>
          <w:color w:val="000000" w:themeColor="text1"/>
        </w:rPr>
        <w:t>irim kök testi sonuçları Tablo 3</w:t>
      </w:r>
      <w:r w:rsidR="006F4807" w:rsidRPr="00164238">
        <w:rPr>
          <w:rFonts w:ascii="Times New Roman" w:hAnsi="Times New Roman" w:cs="Times New Roman"/>
          <w:color w:val="000000" w:themeColor="text1"/>
        </w:rPr>
        <w:t xml:space="preserve">’de gösterilmiştir. </w:t>
      </w:r>
      <w:r w:rsidR="00A028AE" w:rsidRPr="00164238">
        <w:rPr>
          <w:rFonts w:ascii="Times New Roman" w:hAnsi="Times New Roman" w:cs="Times New Roman"/>
          <w:color w:val="000000" w:themeColor="text1"/>
        </w:rPr>
        <w:t xml:space="preserve">Değişkenlere uygulanan birim kök testi sonuçlarına göre değişkenlerin en fazla birinci dereceden durağan oldukları görülmektedir. </w:t>
      </w:r>
    </w:p>
    <w:p w14:paraId="2B9F3D5F" w14:textId="48E5DEEE" w:rsidR="005E7C5E" w:rsidRDefault="005E7C5E" w:rsidP="007D55D3">
      <w:pPr>
        <w:autoSpaceDE w:val="0"/>
        <w:autoSpaceDN w:val="0"/>
        <w:adjustRightInd w:val="0"/>
        <w:spacing w:before="120" w:after="120" w:line="360" w:lineRule="auto"/>
        <w:ind w:firstLine="709"/>
        <w:jc w:val="both"/>
        <w:rPr>
          <w:rFonts w:ascii="Times New Roman" w:hAnsi="Times New Roman" w:cs="Times New Roman"/>
          <w:color w:val="000000" w:themeColor="text1"/>
        </w:rPr>
      </w:pPr>
    </w:p>
    <w:p w14:paraId="35A61ADE" w14:textId="0149ADD7" w:rsidR="005E7C5E" w:rsidRDefault="005E7C5E" w:rsidP="007D55D3">
      <w:pPr>
        <w:autoSpaceDE w:val="0"/>
        <w:autoSpaceDN w:val="0"/>
        <w:adjustRightInd w:val="0"/>
        <w:spacing w:before="120" w:after="120" w:line="360" w:lineRule="auto"/>
        <w:ind w:firstLine="709"/>
        <w:jc w:val="both"/>
        <w:rPr>
          <w:rFonts w:ascii="Times New Roman" w:hAnsi="Times New Roman" w:cs="Times New Roman"/>
          <w:color w:val="000000" w:themeColor="text1"/>
        </w:rPr>
      </w:pPr>
    </w:p>
    <w:p w14:paraId="029ECC14" w14:textId="440FCF23" w:rsidR="005E7C5E" w:rsidRDefault="005E7C5E" w:rsidP="007D55D3">
      <w:pPr>
        <w:autoSpaceDE w:val="0"/>
        <w:autoSpaceDN w:val="0"/>
        <w:adjustRightInd w:val="0"/>
        <w:spacing w:before="120" w:after="120" w:line="360" w:lineRule="auto"/>
        <w:ind w:firstLine="709"/>
        <w:jc w:val="both"/>
        <w:rPr>
          <w:rFonts w:ascii="Times New Roman" w:hAnsi="Times New Roman" w:cs="Times New Roman"/>
          <w:color w:val="000000" w:themeColor="text1"/>
        </w:rPr>
      </w:pPr>
    </w:p>
    <w:p w14:paraId="2D8A4483" w14:textId="4ED7B6D5" w:rsidR="005E7C5E" w:rsidRDefault="005E7C5E" w:rsidP="007D55D3">
      <w:pPr>
        <w:autoSpaceDE w:val="0"/>
        <w:autoSpaceDN w:val="0"/>
        <w:adjustRightInd w:val="0"/>
        <w:spacing w:before="120" w:after="120" w:line="360" w:lineRule="auto"/>
        <w:ind w:firstLine="709"/>
        <w:jc w:val="both"/>
        <w:rPr>
          <w:rFonts w:ascii="Times New Roman" w:hAnsi="Times New Roman" w:cs="Times New Roman"/>
          <w:color w:val="000000" w:themeColor="text1"/>
        </w:rPr>
      </w:pPr>
    </w:p>
    <w:p w14:paraId="448DE5D7" w14:textId="2ED59C71" w:rsidR="005E7C5E" w:rsidRDefault="005E7C5E" w:rsidP="007D55D3">
      <w:pPr>
        <w:autoSpaceDE w:val="0"/>
        <w:autoSpaceDN w:val="0"/>
        <w:adjustRightInd w:val="0"/>
        <w:spacing w:before="120" w:after="120" w:line="360" w:lineRule="auto"/>
        <w:ind w:firstLine="709"/>
        <w:jc w:val="both"/>
        <w:rPr>
          <w:rFonts w:ascii="Times New Roman" w:hAnsi="Times New Roman" w:cs="Times New Roman"/>
          <w:color w:val="000000" w:themeColor="text1"/>
        </w:rPr>
      </w:pPr>
    </w:p>
    <w:p w14:paraId="75F72DF4" w14:textId="77777777" w:rsidR="005E7C5E" w:rsidRPr="007D55D3" w:rsidRDefault="005E7C5E" w:rsidP="005E7C5E">
      <w:pPr>
        <w:spacing w:before="120" w:after="120" w:line="360" w:lineRule="auto"/>
        <w:jc w:val="both"/>
        <w:rPr>
          <w:rFonts w:ascii="Times New Roman" w:hAnsi="Times New Roman" w:cs="Times New Roman"/>
        </w:rPr>
      </w:pPr>
      <w:r>
        <w:rPr>
          <w:rFonts w:ascii="Times New Roman" w:hAnsi="Times New Roman" w:cs="Times New Roman"/>
          <w:b/>
        </w:rPr>
        <w:lastRenderedPageBreak/>
        <w:t xml:space="preserve">   </w:t>
      </w:r>
      <w:r w:rsidRPr="007D55D3">
        <w:rPr>
          <w:rFonts w:ascii="Times New Roman" w:hAnsi="Times New Roman" w:cs="Times New Roman"/>
          <w:b/>
        </w:rPr>
        <w:t xml:space="preserve"> </w:t>
      </w:r>
      <w:r w:rsidRPr="00AB77B4">
        <w:rPr>
          <w:rFonts w:ascii="Times New Roman" w:hAnsi="Times New Roman" w:cs="Times New Roman"/>
          <w:i/>
        </w:rPr>
        <w:t>Tablo 3.</w:t>
      </w:r>
      <w:r w:rsidRPr="007D55D3">
        <w:rPr>
          <w:rFonts w:ascii="Times New Roman" w:hAnsi="Times New Roman" w:cs="Times New Roman"/>
          <w:b/>
        </w:rPr>
        <w:t xml:space="preserve"> </w:t>
      </w:r>
      <w:r w:rsidRPr="00E40B0B">
        <w:rPr>
          <w:rFonts w:ascii="Times New Roman" w:hAnsi="Times New Roman" w:cs="Times New Roman"/>
          <w:bCs/>
          <w:iCs/>
        </w:rPr>
        <w:t>Birim Kök Testi Sonuçları</w:t>
      </w:r>
    </w:p>
    <w:tbl>
      <w:tblPr>
        <w:tblStyle w:val="TabloKlavuzu"/>
        <w:tblW w:w="8712" w:type="dxa"/>
        <w:jc w:val="center"/>
        <w:tblLayout w:type="fixed"/>
        <w:tblLook w:val="04A0" w:firstRow="1" w:lastRow="0" w:firstColumn="1" w:lastColumn="0" w:noHBand="0" w:noVBand="1"/>
      </w:tblPr>
      <w:tblGrid>
        <w:gridCol w:w="1276"/>
        <w:gridCol w:w="709"/>
        <w:gridCol w:w="850"/>
        <w:gridCol w:w="851"/>
        <w:gridCol w:w="1134"/>
        <w:gridCol w:w="850"/>
        <w:gridCol w:w="993"/>
        <w:gridCol w:w="1178"/>
        <w:gridCol w:w="871"/>
      </w:tblGrid>
      <w:tr w:rsidR="005E7C5E" w:rsidRPr="00E0308F" w14:paraId="099884F9" w14:textId="77777777" w:rsidTr="00E0308F">
        <w:trPr>
          <w:trHeight w:val="307"/>
          <w:jc w:val="center"/>
        </w:trPr>
        <w:tc>
          <w:tcPr>
            <w:tcW w:w="1276" w:type="dxa"/>
            <w:tcBorders>
              <w:left w:val="nil"/>
              <w:bottom w:val="single" w:sz="4" w:space="0" w:color="auto"/>
              <w:right w:val="nil"/>
            </w:tcBorders>
          </w:tcPr>
          <w:p w14:paraId="26AACDE6" w14:textId="77777777" w:rsidR="005E7C5E" w:rsidRPr="00E0308F" w:rsidRDefault="005E7C5E" w:rsidP="00E0308F">
            <w:pPr>
              <w:jc w:val="both"/>
              <w:rPr>
                <w:rFonts w:ascii="Times New Roman" w:hAnsi="Times New Roman" w:cs="Times New Roman"/>
                <w:sz w:val="20"/>
                <w:szCs w:val="20"/>
              </w:rPr>
            </w:pPr>
          </w:p>
        </w:tc>
        <w:tc>
          <w:tcPr>
            <w:tcW w:w="3544" w:type="dxa"/>
            <w:gridSpan w:val="4"/>
            <w:tcBorders>
              <w:left w:val="nil"/>
              <w:right w:val="nil"/>
            </w:tcBorders>
          </w:tcPr>
          <w:p w14:paraId="01A9A588" w14:textId="77777777" w:rsidR="005E7C5E" w:rsidRPr="00E0308F" w:rsidRDefault="005E7C5E" w:rsidP="00E0308F">
            <w:pPr>
              <w:jc w:val="center"/>
              <w:rPr>
                <w:rFonts w:ascii="Times New Roman" w:hAnsi="Times New Roman" w:cs="Times New Roman"/>
                <w:sz w:val="20"/>
                <w:szCs w:val="20"/>
              </w:rPr>
            </w:pPr>
            <w:r w:rsidRPr="00E0308F">
              <w:rPr>
                <w:rFonts w:ascii="Times New Roman" w:hAnsi="Times New Roman" w:cs="Times New Roman"/>
                <w:sz w:val="20"/>
                <w:szCs w:val="20"/>
              </w:rPr>
              <w:t>Augmented Dickey-Fuller Test İstatistiği</w:t>
            </w:r>
          </w:p>
        </w:tc>
        <w:tc>
          <w:tcPr>
            <w:tcW w:w="3892" w:type="dxa"/>
            <w:gridSpan w:val="4"/>
            <w:tcBorders>
              <w:left w:val="nil"/>
              <w:right w:val="nil"/>
            </w:tcBorders>
          </w:tcPr>
          <w:p w14:paraId="644015FD" w14:textId="77777777" w:rsidR="005E7C5E" w:rsidRPr="00E0308F" w:rsidRDefault="005E7C5E" w:rsidP="00E0308F">
            <w:pPr>
              <w:jc w:val="center"/>
              <w:rPr>
                <w:rFonts w:ascii="Times New Roman" w:hAnsi="Times New Roman" w:cs="Times New Roman"/>
                <w:sz w:val="20"/>
                <w:szCs w:val="20"/>
              </w:rPr>
            </w:pPr>
            <w:r w:rsidRPr="00E0308F">
              <w:rPr>
                <w:rFonts w:ascii="Times New Roman" w:hAnsi="Times New Roman" w:cs="Times New Roman"/>
                <w:sz w:val="20"/>
                <w:szCs w:val="20"/>
              </w:rPr>
              <w:t>Phillips-Perron Test İstatistiği</w:t>
            </w:r>
          </w:p>
        </w:tc>
      </w:tr>
      <w:tr w:rsidR="005E7C5E" w:rsidRPr="00E0308F" w14:paraId="47499E19" w14:textId="77777777" w:rsidTr="00E0308F">
        <w:trPr>
          <w:trHeight w:val="307"/>
          <w:jc w:val="center"/>
        </w:trPr>
        <w:tc>
          <w:tcPr>
            <w:tcW w:w="1276" w:type="dxa"/>
            <w:vMerge w:val="restart"/>
            <w:tcBorders>
              <w:left w:val="nil"/>
              <w:right w:val="nil"/>
            </w:tcBorders>
            <w:vAlign w:val="center"/>
          </w:tcPr>
          <w:p w14:paraId="3B31FF47"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Değişkenler</w:t>
            </w:r>
          </w:p>
        </w:tc>
        <w:tc>
          <w:tcPr>
            <w:tcW w:w="1559" w:type="dxa"/>
            <w:gridSpan w:val="2"/>
            <w:tcBorders>
              <w:left w:val="nil"/>
              <w:right w:val="nil"/>
            </w:tcBorders>
          </w:tcPr>
          <w:p w14:paraId="081B10D3"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Seviye</w:t>
            </w:r>
          </w:p>
        </w:tc>
        <w:tc>
          <w:tcPr>
            <w:tcW w:w="1985" w:type="dxa"/>
            <w:gridSpan w:val="2"/>
            <w:tcBorders>
              <w:left w:val="nil"/>
              <w:right w:val="nil"/>
            </w:tcBorders>
          </w:tcPr>
          <w:p w14:paraId="116133D0"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Birinci Fark</w:t>
            </w:r>
          </w:p>
        </w:tc>
        <w:tc>
          <w:tcPr>
            <w:tcW w:w="1843" w:type="dxa"/>
            <w:gridSpan w:val="2"/>
            <w:tcBorders>
              <w:left w:val="nil"/>
              <w:right w:val="nil"/>
            </w:tcBorders>
          </w:tcPr>
          <w:p w14:paraId="590D7F23"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Seviye</w:t>
            </w:r>
          </w:p>
        </w:tc>
        <w:tc>
          <w:tcPr>
            <w:tcW w:w="2049" w:type="dxa"/>
            <w:gridSpan w:val="2"/>
            <w:tcBorders>
              <w:left w:val="nil"/>
              <w:right w:val="nil"/>
            </w:tcBorders>
          </w:tcPr>
          <w:p w14:paraId="75D353FA"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Birinci Fark</w:t>
            </w:r>
          </w:p>
        </w:tc>
      </w:tr>
      <w:tr w:rsidR="005E7C5E" w:rsidRPr="00E0308F" w14:paraId="509F8223" w14:textId="77777777" w:rsidTr="00E0308F">
        <w:trPr>
          <w:trHeight w:val="445"/>
          <w:jc w:val="center"/>
        </w:trPr>
        <w:tc>
          <w:tcPr>
            <w:tcW w:w="1276" w:type="dxa"/>
            <w:vMerge/>
            <w:tcBorders>
              <w:left w:val="nil"/>
              <w:bottom w:val="single" w:sz="4" w:space="0" w:color="auto"/>
              <w:right w:val="nil"/>
            </w:tcBorders>
          </w:tcPr>
          <w:p w14:paraId="6E42FDB8" w14:textId="77777777" w:rsidR="005E7C5E" w:rsidRPr="00E0308F" w:rsidRDefault="005E7C5E" w:rsidP="00E0308F">
            <w:pPr>
              <w:jc w:val="both"/>
              <w:rPr>
                <w:rFonts w:ascii="Times New Roman" w:hAnsi="Times New Roman" w:cs="Times New Roman"/>
                <w:sz w:val="20"/>
                <w:szCs w:val="20"/>
              </w:rPr>
            </w:pPr>
          </w:p>
        </w:tc>
        <w:tc>
          <w:tcPr>
            <w:tcW w:w="709" w:type="dxa"/>
            <w:tcBorders>
              <w:left w:val="nil"/>
              <w:bottom w:val="single" w:sz="4" w:space="0" w:color="auto"/>
              <w:right w:val="nil"/>
            </w:tcBorders>
          </w:tcPr>
          <w:p w14:paraId="1B0C777A"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Sabit</w:t>
            </w:r>
          </w:p>
        </w:tc>
        <w:tc>
          <w:tcPr>
            <w:tcW w:w="850" w:type="dxa"/>
            <w:tcBorders>
              <w:left w:val="nil"/>
              <w:bottom w:val="single" w:sz="4" w:space="0" w:color="auto"/>
              <w:right w:val="nil"/>
            </w:tcBorders>
          </w:tcPr>
          <w:p w14:paraId="48505212"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Sabit</w:t>
            </w:r>
          </w:p>
          <w:p w14:paraId="4C6952B5"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&amp;Trend</w:t>
            </w:r>
          </w:p>
        </w:tc>
        <w:tc>
          <w:tcPr>
            <w:tcW w:w="851" w:type="dxa"/>
            <w:tcBorders>
              <w:left w:val="nil"/>
              <w:bottom w:val="single" w:sz="4" w:space="0" w:color="auto"/>
              <w:right w:val="nil"/>
            </w:tcBorders>
          </w:tcPr>
          <w:p w14:paraId="7F96BF3E"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Sabit</w:t>
            </w:r>
          </w:p>
        </w:tc>
        <w:tc>
          <w:tcPr>
            <w:tcW w:w="1134" w:type="dxa"/>
            <w:tcBorders>
              <w:left w:val="nil"/>
              <w:bottom w:val="single" w:sz="4" w:space="0" w:color="auto"/>
              <w:right w:val="double" w:sz="4" w:space="0" w:color="auto"/>
            </w:tcBorders>
          </w:tcPr>
          <w:p w14:paraId="5533B764"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Sabit</w:t>
            </w:r>
          </w:p>
          <w:p w14:paraId="3C0F598F"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&amp;Trend</w:t>
            </w:r>
          </w:p>
        </w:tc>
        <w:tc>
          <w:tcPr>
            <w:tcW w:w="850" w:type="dxa"/>
            <w:tcBorders>
              <w:left w:val="double" w:sz="4" w:space="0" w:color="auto"/>
              <w:bottom w:val="single" w:sz="4" w:space="0" w:color="auto"/>
              <w:right w:val="nil"/>
            </w:tcBorders>
          </w:tcPr>
          <w:p w14:paraId="33EBA1CF"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Sabit</w:t>
            </w:r>
          </w:p>
        </w:tc>
        <w:tc>
          <w:tcPr>
            <w:tcW w:w="993" w:type="dxa"/>
            <w:tcBorders>
              <w:left w:val="nil"/>
              <w:bottom w:val="single" w:sz="4" w:space="0" w:color="auto"/>
              <w:right w:val="nil"/>
            </w:tcBorders>
          </w:tcPr>
          <w:p w14:paraId="71AB5A63"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Sabit</w:t>
            </w:r>
          </w:p>
          <w:p w14:paraId="55B78026"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&amp;Trend</w:t>
            </w:r>
          </w:p>
        </w:tc>
        <w:tc>
          <w:tcPr>
            <w:tcW w:w="1178" w:type="dxa"/>
            <w:tcBorders>
              <w:left w:val="nil"/>
              <w:bottom w:val="single" w:sz="4" w:space="0" w:color="auto"/>
              <w:right w:val="nil"/>
            </w:tcBorders>
          </w:tcPr>
          <w:p w14:paraId="7BBC1921"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Sabit</w:t>
            </w:r>
          </w:p>
        </w:tc>
        <w:tc>
          <w:tcPr>
            <w:tcW w:w="871" w:type="dxa"/>
            <w:tcBorders>
              <w:left w:val="nil"/>
              <w:bottom w:val="single" w:sz="4" w:space="0" w:color="auto"/>
              <w:right w:val="nil"/>
            </w:tcBorders>
          </w:tcPr>
          <w:p w14:paraId="7A1CF355"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Sabit</w:t>
            </w:r>
          </w:p>
          <w:p w14:paraId="43AFF6E5"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&amp;Trend</w:t>
            </w:r>
          </w:p>
        </w:tc>
      </w:tr>
      <w:tr w:rsidR="005E7C5E" w:rsidRPr="00E0308F" w14:paraId="5D2A28B6" w14:textId="77777777" w:rsidTr="00E0308F">
        <w:trPr>
          <w:trHeight w:val="307"/>
          <w:jc w:val="center"/>
        </w:trPr>
        <w:tc>
          <w:tcPr>
            <w:tcW w:w="1276" w:type="dxa"/>
            <w:tcBorders>
              <w:top w:val="nil"/>
              <w:left w:val="nil"/>
              <w:bottom w:val="nil"/>
              <w:right w:val="nil"/>
            </w:tcBorders>
          </w:tcPr>
          <w:p w14:paraId="1250557B"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Tfon</w:t>
            </w:r>
          </w:p>
        </w:tc>
        <w:tc>
          <w:tcPr>
            <w:tcW w:w="709" w:type="dxa"/>
            <w:tcBorders>
              <w:top w:val="nil"/>
              <w:left w:val="nil"/>
              <w:bottom w:val="nil"/>
              <w:right w:val="nil"/>
            </w:tcBorders>
            <w:shd w:val="clear" w:color="auto" w:fill="auto"/>
          </w:tcPr>
          <w:p w14:paraId="2EEBFE37"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-2.26</w:t>
            </w:r>
          </w:p>
        </w:tc>
        <w:tc>
          <w:tcPr>
            <w:tcW w:w="850" w:type="dxa"/>
            <w:tcBorders>
              <w:top w:val="nil"/>
              <w:left w:val="nil"/>
              <w:bottom w:val="nil"/>
              <w:right w:val="nil"/>
            </w:tcBorders>
            <w:shd w:val="clear" w:color="auto" w:fill="auto"/>
          </w:tcPr>
          <w:p w14:paraId="2E84561A"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-1.97</w:t>
            </w:r>
          </w:p>
        </w:tc>
        <w:tc>
          <w:tcPr>
            <w:tcW w:w="851" w:type="dxa"/>
            <w:tcBorders>
              <w:top w:val="nil"/>
              <w:left w:val="nil"/>
              <w:bottom w:val="nil"/>
              <w:right w:val="nil"/>
            </w:tcBorders>
            <w:shd w:val="clear" w:color="auto" w:fill="auto"/>
          </w:tcPr>
          <w:p w14:paraId="25E80049"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-8.54*</w:t>
            </w:r>
          </w:p>
        </w:tc>
        <w:tc>
          <w:tcPr>
            <w:tcW w:w="1134" w:type="dxa"/>
            <w:tcBorders>
              <w:top w:val="nil"/>
              <w:left w:val="nil"/>
              <w:bottom w:val="nil"/>
              <w:right w:val="double" w:sz="4" w:space="0" w:color="auto"/>
            </w:tcBorders>
            <w:shd w:val="clear" w:color="auto" w:fill="auto"/>
          </w:tcPr>
          <w:p w14:paraId="505FA605"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-8.70*</w:t>
            </w:r>
          </w:p>
        </w:tc>
        <w:tc>
          <w:tcPr>
            <w:tcW w:w="850" w:type="dxa"/>
            <w:tcBorders>
              <w:top w:val="nil"/>
              <w:left w:val="double" w:sz="4" w:space="0" w:color="auto"/>
              <w:bottom w:val="nil"/>
              <w:right w:val="nil"/>
            </w:tcBorders>
          </w:tcPr>
          <w:p w14:paraId="0070DBD2"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-2.62</w:t>
            </w:r>
          </w:p>
        </w:tc>
        <w:tc>
          <w:tcPr>
            <w:tcW w:w="993" w:type="dxa"/>
            <w:tcBorders>
              <w:top w:val="nil"/>
              <w:left w:val="nil"/>
              <w:bottom w:val="nil"/>
              <w:right w:val="nil"/>
            </w:tcBorders>
          </w:tcPr>
          <w:p w14:paraId="04ADBE24"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-2.18</w:t>
            </w:r>
          </w:p>
        </w:tc>
        <w:tc>
          <w:tcPr>
            <w:tcW w:w="1178" w:type="dxa"/>
            <w:tcBorders>
              <w:top w:val="nil"/>
              <w:left w:val="nil"/>
              <w:bottom w:val="nil"/>
              <w:right w:val="nil"/>
            </w:tcBorders>
          </w:tcPr>
          <w:p w14:paraId="18641D0F"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-10.26*</w:t>
            </w:r>
          </w:p>
        </w:tc>
        <w:tc>
          <w:tcPr>
            <w:tcW w:w="871" w:type="dxa"/>
            <w:tcBorders>
              <w:top w:val="nil"/>
              <w:left w:val="nil"/>
              <w:bottom w:val="nil"/>
              <w:right w:val="nil"/>
            </w:tcBorders>
          </w:tcPr>
          <w:p w14:paraId="53BB8D57"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-9.92*</w:t>
            </w:r>
          </w:p>
        </w:tc>
      </w:tr>
      <w:tr w:rsidR="005E7C5E" w:rsidRPr="00E0308F" w14:paraId="29A84D78" w14:textId="77777777" w:rsidTr="00E0308F">
        <w:trPr>
          <w:trHeight w:val="325"/>
          <w:jc w:val="center"/>
        </w:trPr>
        <w:tc>
          <w:tcPr>
            <w:tcW w:w="1276" w:type="dxa"/>
            <w:tcBorders>
              <w:top w:val="nil"/>
              <w:left w:val="nil"/>
              <w:bottom w:val="nil"/>
              <w:right w:val="nil"/>
            </w:tcBorders>
          </w:tcPr>
          <w:p w14:paraId="3568C5EE"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İaof</w:t>
            </w:r>
          </w:p>
        </w:tc>
        <w:tc>
          <w:tcPr>
            <w:tcW w:w="709" w:type="dxa"/>
            <w:tcBorders>
              <w:top w:val="nil"/>
              <w:left w:val="nil"/>
              <w:bottom w:val="nil"/>
              <w:right w:val="nil"/>
            </w:tcBorders>
          </w:tcPr>
          <w:p w14:paraId="0F7DFFF3"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1.41</w:t>
            </w:r>
          </w:p>
        </w:tc>
        <w:tc>
          <w:tcPr>
            <w:tcW w:w="850" w:type="dxa"/>
            <w:tcBorders>
              <w:top w:val="nil"/>
              <w:left w:val="nil"/>
              <w:bottom w:val="nil"/>
              <w:right w:val="nil"/>
            </w:tcBorders>
          </w:tcPr>
          <w:p w14:paraId="6FD0C180"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-1.43</w:t>
            </w:r>
          </w:p>
        </w:tc>
        <w:tc>
          <w:tcPr>
            <w:tcW w:w="851" w:type="dxa"/>
            <w:tcBorders>
              <w:top w:val="nil"/>
              <w:left w:val="nil"/>
              <w:bottom w:val="nil"/>
              <w:right w:val="nil"/>
            </w:tcBorders>
          </w:tcPr>
          <w:p w14:paraId="369C3C7E"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-3.67*</w:t>
            </w:r>
          </w:p>
        </w:tc>
        <w:tc>
          <w:tcPr>
            <w:tcW w:w="1134" w:type="dxa"/>
            <w:tcBorders>
              <w:top w:val="nil"/>
              <w:left w:val="nil"/>
              <w:bottom w:val="nil"/>
              <w:right w:val="double" w:sz="4" w:space="0" w:color="auto"/>
            </w:tcBorders>
          </w:tcPr>
          <w:p w14:paraId="22C98451"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-5.21*</w:t>
            </w:r>
          </w:p>
        </w:tc>
        <w:tc>
          <w:tcPr>
            <w:tcW w:w="850" w:type="dxa"/>
            <w:tcBorders>
              <w:top w:val="nil"/>
              <w:left w:val="double" w:sz="4" w:space="0" w:color="auto"/>
              <w:bottom w:val="nil"/>
              <w:right w:val="nil"/>
            </w:tcBorders>
          </w:tcPr>
          <w:p w14:paraId="27E5E966"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1.34</w:t>
            </w:r>
          </w:p>
        </w:tc>
        <w:tc>
          <w:tcPr>
            <w:tcW w:w="993" w:type="dxa"/>
            <w:tcBorders>
              <w:top w:val="nil"/>
              <w:left w:val="nil"/>
              <w:bottom w:val="nil"/>
              <w:right w:val="nil"/>
            </w:tcBorders>
          </w:tcPr>
          <w:p w14:paraId="3A37BCF4"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-1.96</w:t>
            </w:r>
          </w:p>
        </w:tc>
        <w:tc>
          <w:tcPr>
            <w:tcW w:w="1178" w:type="dxa"/>
            <w:tcBorders>
              <w:top w:val="nil"/>
              <w:left w:val="nil"/>
              <w:bottom w:val="nil"/>
              <w:right w:val="nil"/>
            </w:tcBorders>
          </w:tcPr>
          <w:p w14:paraId="0758C0C0"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-7.36*</w:t>
            </w:r>
          </w:p>
        </w:tc>
        <w:tc>
          <w:tcPr>
            <w:tcW w:w="871" w:type="dxa"/>
            <w:tcBorders>
              <w:top w:val="nil"/>
              <w:left w:val="nil"/>
              <w:bottom w:val="nil"/>
              <w:right w:val="nil"/>
            </w:tcBorders>
          </w:tcPr>
          <w:p w14:paraId="72E72CA3"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-8.76*</w:t>
            </w:r>
          </w:p>
        </w:tc>
      </w:tr>
      <w:tr w:rsidR="005E7C5E" w:rsidRPr="00E0308F" w14:paraId="0B9712D2" w14:textId="77777777" w:rsidTr="00E0308F">
        <w:trPr>
          <w:trHeight w:val="325"/>
          <w:jc w:val="center"/>
        </w:trPr>
        <w:tc>
          <w:tcPr>
            <w:tcW w:w="1276" w:type="dxa"/>
            <w:tcBorders>
              <w:top w:val="nil"/>
              <w:left w:val="nil"/>
              <w:bottom w:val="nil"/>
              <w:right w:val="nil"/>
            </w:tcBorders>
          </w:tcPr>
          <w:p w14:paraId="38B0CFEF"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TRlibor</w:t>
            </w:r>
          </w:p>
        </w:tc>
        <w:tc>
          <w:tcPr>
            <w:tcW w:w="709" w:type="dxa"/>
            <w:tcBorders>
              <w:top w:val="nil"/>
              <w:left w:val="nil"/>
              <w:bottom w:val="nil"/>
              <w:right w:val="nil"/>
            </w:tcBorders>
          </w:tcPr>
          <w:p w14:paraId="7225C768"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-0.95</w:t>
            </w:r>
          </w:p>
        </w:tc>
        <w:tc>
          <w:tcPr>
            <w:tcW w:w="850" w:type="dxa"/>
            <w:tcBorders>
              <w:top w:val="nil"/>
              <w:left w:val="nil"/>
              <w:bottom w:val="nil"/>
              <w:right w:val="nil"/>
            </w:tcBorders>
          </w:tcPr>
          <w:p w14:paraId="2E5FDAD7"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-2.81</w:t>
            </w:r>
          </w:p>
        </w:tc>
        <w:tc>
          <w:tcPr>
            <w:tcW w:w="851" w:type="dxa"/>
            <w:tcBorders>
              <w:top w:val="nil"/>
              <w:left w:val="nil"/>
              <w:bottom w:val="nil"/>
              <w:right w:val="nil"/>
            </w:tcBorders>
          </w:tcPr>
          <w:p w14:paraId="2E5B3FE6"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-9.76*</w:t>
            </w:r>
          </w:p>
        </w:tc>
        <w:tc>
          <w:tcPr>
            <w:tcW w:w="1134" w:type="dxa"/>
            <w:tcBorders>
              <w:top w:val="nil"/>
              <w:left w:val="nil"/>
              <w:bottom w:val="nil"/>
              <w:right w:val="double" w:sz="4" w:space="0" w:color="auto"/>
            </w:tcBorders>
          </w:tcPr>
          <w:p w14:paraId="7DAF3391"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-9.77*</w:t>
            </w:r>
          </w:p>
        </w:tc>
        <w:tc>
          <w:tcPr>
            <w:tcW w:w="850" w:type="dxa"/>
            <w:tcBorders>
              <w:top w:val="nil"/>
              <w:left w:val="double" w:sz="4" w:space="0" w:color="auto"/>
              <w:bottom w:val="nil"/>
              <w:right w:val="nil"/>
            </w:tcBorders>
          </w:tcPr>
          <w:p w14:paraId="455A39C9"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-1.36</w:t>
            </w:r>
          </w:p>
        </w:tc>
        <w:tc>
          <w:tcPr>
            <w:tcW w:w="993" w:type="dxa"/>
            <w:tcBorders>
              <w:top w:val="nil"/>
              <w:left w:val="nil"/>
              <w:bottom w:val="nil"/>
              <w:right w:val="nil"/>
            </w:tcBorders>
          </w:tcPr>
          <w:p w14:paraId="3167B474"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-3.24</w:t>
            </w:r>
          </w:p>
        </w:tc>
        <w:tc>
          <w:tcPr>
            <w:tcW w:w="1178" w:type="dxa"/>
            <w:tcBorders>
              <w:top w:val="nil"/>
              <w:left w:val="nil"/>
              <w:bottom w:val="nil"/>
              <w:right w:val="nil"/>
            </w:tcBorders>
          </w:tcPr>
          <w:p w14:paraId="72829736"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-10.15*</w:t>
            </w:r>
          </w:p>
        </w:tc>
        <w:tc>
          <w:tcPr>
            <w:tcW w:w="871" w:type="dxa"/>
            <w:tcBorders>
              <w:top w:val="nil"/>
              <w:left w:val="nil"/>
              <w:bottom w:val="nil"/>
              <w:right w:val="nil"/>
            </w:tcBorders>
          </w:tcPr>
          <w:p w14:paraId="16EFE0FD"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-10.05*</w:t>
            </w:r>
          </w:p>
        </w:tc>
      </w:tr>
      <w:tr w:rsidR="005E7C5E" w:rsidRPr="00E0308F" w14:paraId="733BA132" w14:textId="77777777" w:rsidTr="00E0308F">
        <w:trPr>
          <w:trHeight w:val="307"/>
          <w:jc w:val="center"/>
        </w:trPr>
        <w:tc>
          <w:tcPr>
            <w:tcW w:w="1276" w:type="dxa"/>
            <w:tcBorders>
              <w:top w:val="nil"/>
              <w:left w:val="nil"/>
              <w:bottom w:val="nil"/>
              <w:right w:val="nil"/>
            </w:tcBorders>
          </w:tcPr>
          <w:p w14:paraId="3DB9ABA6"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BİST100</w:t>
            </w:r>
          </w:p>
        </w:tc>
        <w:tc>
          <w:tcPr>
            <w:tcW w:w="709" w:type="dxa"/>
            <w:tcBorders>
              <w:top w:val="nil"/>
              <w:left w:val="nil"/>
              <w:bottom w:val="nil"/>
              <w:right w:val="nil"/>
            </w:tcBorders>
            <w:shd w:val="clear" w:color="auto" w:fill="auto"/>
          </w:tcPr>
          <w:p w14:paraId="16FAE356"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-0.67</w:t>
            </w:r>
          </w:p>
        </w:tc>
        <w:tc>
          <w:tcPr>
            <w:tcW w:w="850" w:type="dxa"/>
            <w:tcBorders>
              <w:top w:val="nil"/>
              <w:left w:val="nil"/>
              <w:bottom w:val="nil"/>
              <w:right w:val="nil"/>
            </w:tcBorders>
            <w:shd w:val="clear" w:color="auto" w:fill="auto"/>
          </w:tcPr>
          <w:p w14:paraId="31F02087"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-2.95</w:t>
            </w:r>
          </w:p>
        </w:tc>
        <w:tc>
          <w:tcPr>
            <w:tcW w:w="851" w:type="dxa"/>
            <w:tcBorders>
              <w:top w:val="nil"/>
              <w:left w:val="nil"/>
              <w:bottom w:val="nil"/>
              <w:right w:val="nil"/>
            </w:tcBorders>
            <w:shd w:val="clear" w:color="auto" w:fill="auto"/>
          </w:tcPr>
          <w:p w14:paraId="641C9D0E"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-4.63*</w:t>
            </w:r>
          </w:p>
        </w:tc>
        <w:tc>
          <w:tcPr>
            <w:tcW w:w="1134" w:type="dxa"/>
            <w:tcBorders>
              <w:top w:val="nil"/>
              <w:left w:val="nil"/>
              <w:bottom w:val="nil"/>
              <w:right w:val="double" w:sz="4" w:space="0" w:color="auto"/>
            </w:tcBorders>
            <w:shd w:val="clear" w:color="auto" w:fill="auto"/>
          </w:tcPr>
          <w:p w14:paraId="38C1FCE6"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-13.37*</w:t>
            </w:r>
          </w:p>
        </w:tc>
        <w:tc>
          <w:tcPr>
            <w:tcW w:w="850" w:type="dxa"/>
            <w:tcBorders>
              <w:top w:val="nil"/>
              <w:left w:val="double" w:sz="4" w:space="0" w:color="auto"/>
              <w:bottom w:val="nil"/>
              <w:right w:val="nil"/>
            </w:tcBorders>
          </w:tcPr>
          <w:p w14:paraId="050FE318"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-0.90</w:t>
            </w:r>
          </w:p>
        </w:tc>
        <w:tc>
          <w:tcPr>
            <w:tcW w:w="993" w:type="dxa"/>
            <w:tcBorders>
              <w:top w:val="nil"/>
              <w:left w:val="nil"/>
              <w:bottom w:val="nil"/>
              <w:right w:val="nil"/>
            </w:tcBorders>
          </w:tcPr>
          <w:p w14:paraId="4D87B389"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-3.14</w:t>
            </w:r>
          </w:p>
        </w:tc>
        <w:tc>
          <w:tcPr>
            <w:tcW w:w="1178" w:type="dxa"/>
            <w:tcBorders>
              <w:top w:val="nil"/>
              <w:left w:val="nil"/>
              <w:bottom w:val="nil"/>
              <w:right w:val="nil"/>
            </w:tcBorders>
          </w:tcPr>
          <w:p w14:paraId="69FF61DD"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-13.97*</w:t>
            </w:r>
          </w:p>
        </w:tc>
        <w:tc>
          <w:tcPr>
            <w:tcW w:w="871" w:type="dxa"/>
            <w:tcBorders>
              <w:top w:val="nil"/>
              <w:left w:val="nil"/>
              <w:bottom w:val="nil"/>
              <w:right w:val="nil"/>
            </w:tcBorders>
          </w:tcPr>
          <w:p w14:paraId="055A45FD"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-14.00*</w:t>
            </w:r>
          </w:p>
        </w:tc>
      </w:tr>
      <w:tr w:rsidR="005E7C5E" w:rsidRPr="00E0308F" w14:paraId="53DA64F5" w14:textId="77777777" w:rsidTr="00E0308F">
        <w:trPr>
          <w:trHeight w:val="325"/>
          <w:jc w:val="center"/>
        </w:trPr>
        <w:tc>
          <w:tcPr>
            <w:tcW w:w="1276" w:type="dxa"/>
            <w:tcBorders>
              <w:top w:val="nil"/>
              <w:left w:val="nil"/>
              <w:bottom w:val="nil"/>
              <w:right w:val="nil"/>
            </w:tcBorders>
          </w:tcPr>
          <w:p w14:paraId="51A3F466"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$/TL</w:t>
            </w:r>
          </w:p>
        </w:tc>
        <w:tc>
          <w:tcPr>
            <w:tcW w:w="709" w:type="dxa"/>
            <w:tcBorders>
              <w:top w:val="nil"/>
              <w:left w:val="nil"/>
              <w:bottom w:val="nil"/>
              <w:right w:val="nil"/>
            </w:tcBorders>
            <w:shd w:val="clear" w:color="auto" w:fill="auto"/>
          </w:tcPr>
          <w:p w14:paraId="19E3C300"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1.41</w:t>
            </w:r>
          </w:p>
        </w:tc>
        <w:tc>
          <w:tcPr>
            <w:tcW w:w="850" w:type="dxa"/>
            <w:tcBorders>
              <w:top w:val="nil"/>
              <w:left w:val="nil"/>
              <w:bottom w:val="nil"/>
              <w:right w:val="nil"/>
            </w:tcBorders>
            <w:shd w:val="clear" w:color="auto" w:fill="auto"/>
          </w:tcPr>
          <w:p w14:paraId="51BC9796"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-1.43</w:t>
            </w:r>
          </w:p>
        </w:tc>
        <w:tc>
          <w:tcPr>
            <w:tcW w:w="851" w:type="dxa"/>
            <w:tcBorders>
              <w:top w:val="nil"/>
              <w:left w:val="nil"/>
              <w:bottom w:val="nil"/>
              <w:right w:val="nil"/>
            </w:tcBorders>
            <w:shd w:val="clear" w:color="auto" w:fill="auto"/>
          </w:tcPr>
          <w:p w14:paraId="4B10455C"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-3.67*</w:t>
            </w:r>
          </w:p>
        </w:tc>
        <w:tc>
          <w:tcPr>
            <w:tcW w:w="1134" w:type="dxa"/>
            <w:tcBorders>
              <w:top w:val="nil"/>
              <w:left w:val="nil"/>
              <w:bottom w:val="nil"/>
              <w:right w:val="double" w:sz="4" w:space="0" w:color="auto"/>
            </w:tcBorders>
            <w:shd w:val="clear" w:color="auto" w:fill="auto"/>
          </w:tcPr>
          <w:p w14:paraId="4A41BB87"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-5.21*</w:t>
            </w:r>
          </w:p>
        </w:tc>
        <w:tc>
          <w:tcPr>
            <w:tcW w:w="850" w:type="dxa"/>
            <w:tcBorders>
              <w:top w:val="nil"/>
              <w:left w:val="double" w:sz="4" w:space="0" w:color="auto"/>
              <w:bottom w:val="nil"/>
              <w:right w:val="nil"/>
            </w:tcBorders>
          </w:tcPr>
          <w:p w14:paraId="56C41377"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-2.48</w:t>
            </w:r>
          </w:p>
        </w:tc>
        <w:tc>
          <w:tcPr>
            <w:tcW w:w="993" w:type="dxa"/>
            <w:tcBorders>
              <w:top w:val="nil"/>
              <w:left w:val="nil"/>
              <w:bottom w:val="nil"/>
              <w:right w:val="nil"/>
            </w:tcBorders>
          </w:tcPr>
          <w:p w14:paraId="3B2BABE0"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-2.09</w:t>
            </w:r>
          </w:p>
        </w:tc>
        <w:tc>
          <w:tcPr>
            <w:tcW w:w="1178" w:type="dxa"/>
            <w:tcBorders>
              <w:top w:val="nil"/>
              <w:left w:val="nil"/>
              <w:bottom w:val="nil"/>
              <w:right w:val="nil"/>
            </w:tcBorders>
          </w:tcPr>
          <w:p w14:paraId="156D7C94"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-7.47*</w:t>
            </w:r>
          </w:p>
        </w:tc>
        <w:tc>
          <w:tcPr>
            <w:tcW w:w="871" w:type="dxa"/>
            <w:tcBorders>
              <w:top w:val="nil"/>
              <w:left w:val="nil"/>
              <w:bottom w:val="nil"/>
              <w:right w:val="nil"/>
            </w:tcBorders>
          </w:tcPr>
          <w:p w14:paraId="24510931"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-7.61*</w:t>
            </w:r>
          </w:p>
        </w:tc>
      </w:tr>
      <w:tr w:rsidR="005E7C5E" w:rsidRPr="00E0308F" w14:paraId="74F53FA6" w14:textId="77777777" w:rsidTr="00E0308F">
        <w:trPr>
          <w:trHeight w:val="307"/>
          <w:jc w:val="center"/>
        </w:trPr>
        <w:tc>
          <w:tcPr>
            <w:tcW w:w="1276" w:type="dxa"/>
            <w:tcBorders>
              <w:top w:val="nil"/>
              <w:left w:val="nil"/>
              <w:bottom w:val="single" w:sz="4" w:space="0" w:color="auto"/>
              <w:right w:val="nil"/>
            </w:tcBorders>
          </w:tcPr>
          <w:p w14:paraId="7C5FE1C4"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İtahvil</w:t>
            </w:r>
          </w:p>
        </w:tc>
        <w:tc>
          <w:tcPr>
            <w:tcW w:w="709" w:type="dxa"/>
            <w:tcBorders>
              <w:top w:val="nil"/>
              <w:left w:val="nil"/>
              <w:bottom w:val="single" w:sz="4" w:space="0" w:color="auto"/>
              <w:right w:val="nil"/>
            </w:tcBorders>
            <w:shd w:val="clear" w:color="auto" w:fill="auto"/>
          </w:tcPr>
          <w:p w14:paraId="05652972"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-1.98</w:t>
            </w:r>
          </w:p>
        </w:tc>
        <w:tc>
          <w:tcPr>
            <w:tcW w:w="850" w:type="dxa"/>
            <w:tcBorders>
              <w:top w:val="nil"/>
              <w:left w:val="nil"/>
              <w:bottom w:val="single" w:sz="4" w:space="0" w:color="auto"/>
              <w:right w:val="nil"/>
            </w:tcBorders>
            <w:shd w:val="clear" w:color="auto" w:fill="auto"/>
          </w:tcPr>
          <w:p w14:paraId="14F3BD07"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-2.50</w:t>
            </w:r>
          </w:p>
        </w:tc>
        <w:tc>
          <w:tcPr>
            <w:tcW w:w="851" w:type="dxa"/>
            <w:tcBorders>
              <w:top w:val="nil"/>
              <w:left w:val="nil"/>
              <w:bottom w:val="single" w:sz="4" w:space="0" w:color="auto"/>
              <w:right w:val="nil"/>
            </w:tcBorders>
            <w:shd w:val="clear" w:color="auto" w:fill="auto"/>
          </w:tcPr>
          <w:p w14:paraId="65A77B60"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-11.11*</w:t>
            </w:r>
          </w:p>
        </w:tc>
        <w:tc>
          <w:tcPr>
            <w:tcW w:w="1134" w:type="dxa"/>
            <w:tcBorders>
              <w:top w:val="nil"/>
              <w:left w:val="nil"/>
              <w:bottom w:val="single" w:sz="4" w:space="0" w:color="auto"/>
              <w:right w:val="double" w:sz="4" w:space="0" w:color="auto"/>
            </w:tcBorders>
            <w:shd w:val="clear" w:color="auto" w:fill="auto"/>
          </w:tcPr>
          <w:p w14:paraId="6534F6CD"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-5.42*</w:t>
            </w:r>
          </w:p>
        </w:tc>
        <w:tc>
          <w:tcPr>
            <w:tcW w:w="850" w:type="dxa"/>
            <w:tcBorders>
              <w:top w:val="nil"/>
              <w:left w:val="double" w:sz="4" w:space="0" w:color="auto"/>
              <w:bottom w:val="single" w:sz="4" w:space="0" w:color="auto"/>
              <w:right w:val="nil"/>
            </w:tcBorders>
          </w:tcPr>
          <w:p w14:paraId="3BED0A03"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-2.03</w:t>
            </w:r>
          </w:p>
        </w:tc>
        <w:tc>
          <w:tcPr>
            <w:tcW w:w="993" w:type="dxa"/>
            <w:tcBorders>
              <w:top w:val="nil"/>
              <w:left w:val="nil"/>
              <w:bottom w:val="single" w:sz="4" w:space="0" w:color="auto"/>
              <w:right w:val="nil"/>
            </w:tcBorders>
          </w:tcPr>
          <w:p w14:paraId="0FA5F261"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-2.54</w:t>
            </w:r>
          </w:p>
        </w:tc>
        <w:tc>
          <w:tcPr>
            <w:tcW w:w="1178" w:type="dxa"/>
            <w:tcBorders>
              <w:top w:val="nil"/>
              <w:left w:val="nil"/>
              <w:bottom w:val="single" w:sz="4" w:space="0" w:color="auto"/>
              <w:right w:val="nil"/>
            </w:tcBorders>
          </w:tcPr>
          <w:p w14:paraId="6C502C2E"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-11.02*</w:t>
            </w:r>
          </w:p>
        </w:tc>
        <w:tc>
          <w:tcPr>
            <w:tcW w:w="871" w:type="dxa"/>
            <w:tcBorders>
              <w:top w:val="nil"/>
              <w:left w:val="nil"/>
              <w:bottom w:val="single" w:sz="4" w:space="0" w:color="auto"/>
              <w:right w:val="nil"/>
            </w:tcBorders>
          </w:tcPr>
          <w:p w14:paraId="5ABBE2B6" w14:textId="77777777" w:rsidR="005E7C5E" w:rsidRPr="00E0308F" w:rsidRDefault="005E7C5E" w:rsidP="00E0308F">
            <w:pPr>
              <w:jc w:val="both"/>
              <w:rPr>
                <w:rFonts w:ascii="Times New Roman" w:hAnsi="Times New Roman" w:cs="Times New Roman"/>
                <w:sz w:val="20"/>
                <w:szCs w:val="20"/>
              </w:rPr>
            </w:pPr>
            <w:r w:rsidRPr="00E0308F">
              <w:rPr>
                <w:rFonts w:ascii="Times New Roman" w:hAnsi="Times New Roman" w:cs="Times New Roman"/>
                <w:sz w:val="20"/>
                <w:szCs w:val="20"/>
              </w:rPr>
              <w:t>-10.88*</w:t>
            </w:r>
          </w:p>
        </w:tc>
      </w:tr>
    </w:tbl>
    <w:p w14:paraId="7F97B3D8" w14:textId="77777777" w:rsidR="005E7C5E" w:rsidRPr="007D55D3" w:rsidRDefault="005E7C5E" w:rsidP="005E7C5E">
      <w:pPr>
        <w:spacing w:before="120" w:after="120" w:line="360" w:lineRule="auto"/>
        <w:ind w:left="-851" w:right="-995" w:firstLine="709"/>
        <w:jc w:val="both"/>
        <w:rPr>
          <w:rFonts w:ascii="Times New Roman" w:hAnsi="Times New Roman" w:cs="Times New Roman"/>
          <w:sz w:val="20"/>
          <w:szCs w:val="20"/>
        </w:rPr>
      </w:pPr>
      <w:r>
        <w:rPr>
          <w:rFonts w:ascii="Times New Roman" w:hAnsi="Times New Roman" w:cs="Times New Roman"/>
          <w:sz w:val="20"/>
          <w:szCs w:val="20"/>
        </w:rPr>
        <w:t xml:space="preserve">         </w:t>
      </w:r>
      <w:r w:rsidRPr="007D55D3">
        <w:rPr>
          <w:rFonts w:ascii="Times New Roman" w:hAnsi="Times New Roman" w:cs="Times New Roman"/>
          <w:sz w:val="20"/>
          <w:szCs w:val="20"/>
        </w:rPr>
        <w:t xml:space="preserve"> Not: *, %1 istatiksel anlamlılık seviyesini temsil etmektedir.</w:t>
      </w:r>
    </w:p>
    <w:p w14:paraId="0E504830" w14:textId="77777777" w:rsidR="0043379E" w:rsidRPr="00164238" w:rsidRDefault="00370B91" w:rsidP="007D55D3">
      <w:pPr>
        <w:autoSpaceDE w:val="0"/>
        <w:autoSpaceDN w:val="0"/>
        <w:adjustRightInd w:val="0"/>
        <w:spacing w:before="120" w:after="120" w:line="360" w:lineRule="auto"/>
        <w:ind w:firstLine="709"/>
        <w:jc w:val="both"/>
        <w:rPr>
          <w:rFonts w:ascii="Times New Roman" w:hAnsi="Times New Roman" w:cs="Times New Roman"/>
          <w:color w:val="000000" w:themeColor="text1"/>
        </w:rPr>
      </w:pPr>
      <w:r w:rsidRPr="00164238">
        <w:rPr>
          <w:rFonts w:ascii="Times New Roman" w:hAnsi="Times New Roman" w:cs="Times New Roman"/>
          <w:color w:val="000000" w:themeColor="text1"/>
        </w:rPr>
        <w:t>Şekil 1’de otoregresif karakteristik polinomunun ters köklerinin birim çember içerisinde dağıldığı görülmektedir.</w:t>
      </w:r>
      <w:r w:rsidR="00BF58CB" w:rsidRPr="00164238">
        <w:rPr>
          <w:rFonts w:ascii="Times New Roman" w:hAnsi="Times New Roman" w:cs="Times New Roman"/>
          <w:color w:val="000000" w:themeColor="text1"/>
        </w:rPr>
        <w:t xml:space="preserve"> </w:t>
      </w:r>
      <w:r w:rsidR="00E40B0B" w:rsidRPr="00164238">
        <w:rPr>
          <w:rFonts w:ascii="Times New Roman" w:hAnsi="Times New Roman" w:cs="Times New Roman"/>
          <w:color w:val="000000" w:themeColor="text1"/>
        </w:rPr>
        <w:t>M</w:t>
      </w:r>
      <w:r w:rsidR="00BF58CB" w:rsidRPr="00164238">
        <w:rPr>
          <w:rFonts w:ascii="Times New Roman" w:hAnsi="Times New Roman" w:cs="Times New Roman"/>
          <w:color w:val="000000" w:themeColor="text1"/>
        </w:rPr>
        <w:t>odelin hata terimleri değişen varsans ve otokorelasyon içermediğinden</w:t>
      </w:r>
      <w:r w:rsidR="00E40B0B" w:rsidRPr="00164238">
        <w:rPr>
          <w:rFonts w:ascii="Times New Roman" w:hAnsi="Times New Roman" w:cs="Times New Roman"/>
          <w:color w:val="000000" w:themeColor="text1"/>
        </w:rPr>
        <w:t xml:space="preserve"> </w:t>
      </w:r>
      <w:r w:rsidRPr="00164238">
        <w:rPr>
          <w:rFonts w:ascii="Times New Roman" w:hAnsi="Times New Roman" w:cs="Times New Roman"/>
          <w:color w:val="000000" w:themeColor="text1"/>
        </w:rPr>
        <w:t xml:space="preserve">tahmin edilen </w:t>
      </w:r>
      <w:r w:rsidR="00BF58CB" w:rsidRPr="00164238">
        <w:rPr>
          <w:rFonts w:ascii="Times New Roman" w:hAnsi="Times New Roman" w:cs="Times New Roman"/>
          <w:color w:val="000000" w:themeColor="text1"/>
        </w:rPr>
        <w:t>modelinin istikrar koşullarını</w:t>
      </w:r>
      <w:r w:rsidRPr="00164238">
        <w:rPr>
          <w:rFonts w:ascii="Times New Roman" w:hAnsi="Times New Roman" w:cs="Times New Roman"/>
          <w:color w:val="000000" w:themeColor="text1"/>
        </w:rPr>
        <w:t xml:space="preserve"> </w:t>
      </w:r>
      <w:r w:rsidR="007D55D3" w:rsidRPr="00164238">
        <w:rPr>
          <w:rFonts w:ascii="Times New Roman" w:hAnsi="Times New Roman" w:cs="Times New Roman"/>
          <w:color w:val="000000" w:themeColor="text1"/>
        </w:rPr>
        <w:t xml:space="preserve">sağladığına karar verilmiştir. </w:t>
      </w:r>
    </w:p>
    <w:p w14:paraId="38EE13A8" w14:textId="77777777" w:rsidR="0043379E" w:rsidRPr="00164238" w:rsidRDefault="00BF58CB" w:rsidP="007D55D3">
      <w:pPr>
        <w:autoSpaceDE w:val="0"/>
        <w:autoSpaceDN w:val="0"/>
        <w:adjustRightInd w:val="0"/>
        <w:spacing w:before="120" w:after="120" w:line="360" w:lineRule="auto"/>
        <w:ind w:firstLine="709"/>
        <w:jc w:val="center"/>
        <w:rPr>
          <w:rFonts w:ascii="Times New Roman" w:hAnsi="Times New Roman" w:cs="Times New Roman"/>
          <w:color w:val="000000" w:themeColor="text1"/>
          <w:lang w:val="en-US"/>
        </w:rPr>
      </w:pPr>
      <w:r w:rsidRPr="00E0308F">
        <w:rPr>
          <w:rFonts w:ascii="Times New Roman" w:hAnsi="Times New Roman" w:cs="Times New Roman"/>
          <w:color w:val="000000" w:themeColor="text1"/>
          <w:sz w:val="20"/>
          <w:szCs w:val="20"/>
        </w:rPr>
        <w:object w:dxaOrig="4771" w:dyaOrig="5026" w14:anchorId="3C118C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8.5pt;height:186.75pt" o:ole="">
            <v:imagedata r:id="rId12" o:title="" croptop="4304f"/>
          </v:shape>
          <o:OLEObject Type="Embed" ProgID="EViews.Workfile.2" ShapeID="_x0000_i1025" DrawAspect="Content" ObjectID="_1683575702" r:id="rId13"/>
        </w:object>
      </w:r>
    </w:p>
    <w:p w14:paraId="2074F30B" w14:textId="77777777" w:rsidR="00370B91" w:rsidRPr="00164238" w:rsidRDefault="00370B91" w:rsidP="007D55D3">
      <w:pPr>
        <w:spacing w:before="120" w:after="120" w:line="360" w:lineRule="auto"/>
        <w:ind w:firstLine="709"/>
        <w:rPr>
          <w:rFonts w:ascii="Times New Roman" w:hAnsi="Times New Roman" w:cs="Times New Roman"/>
          <w:color w:val="000000" w:themeColor="text1"/>
        </w:rPr>
      </w:pPr>
      <w:r w:rsidRPr="00164238">
        <w:rPr>
          <w:rFonts w:ascii="Times New Roman" w:hAnsi="Times New Roman" w:cs="Times New Roman"/>
          <w:i/>
          <w:color w:val="000000" w:themeColor="text1"/>
        </w:rPr>
        <w:t>Şekil 1.</w:t>
      </w:r>
      <w:r w:rsidRPr="00164238">
        <w:rPr>
          <w:rFonts w:ascii="Times New Roman" w:hAnsi="Times New Roman" w:cs="Times New Roman"/>
          <w:color w:val="000000" w:themeColor="text1"/>
        </w:rPr>
        <w:t xml:space="preserve"> Karakteristik Polinomiyal Ters Kökler</w:t>
      </w:r>
    </w:p>
    <w:p w14:paraId="419CACC3" w14:textId="77777777" w:rsidR="00E40B0B" w:rsidRPr="00164238" w:rsidRDefault="00E40B0B" w:rsidP="00E40B0B">
      <w:pPr>
        <w:autoSpaceDE w:val="0"/>
        <w:autoSpaceDN w:val="0"/>
        <w:adjustRightInd w:val="0"/>
        <w:spacing w:before="120" w:after="120" w:line="360" w:lineRule="auto"/>
        <w:ind w:firstLine="709"/>
        <w:jc w:val="both"/>
        <w:rPr>
          <w:rFonts w:ascii="Times New Roman" w:hAnsi="Times New Roman" w:cs="Times New Roman"/>
          <w:color w:val="000000" w:themeColor="text1"/>
        </w:rPr>
      </w:pPr>
      <w:r w:rsidRPr="00164238">
        <w:rPr>
          <w:rFonts w:ascii="Times New Roman" w:hAnsi="Times New Roman" w:cs="Times New Roman"/>
          <w:color w:val="000000" w:themeColor="text1"/>
          <w:lang w:val="en-US"/>
        </w:rPr>
        <w:t>Nedensellik test sonuçlarının gösterildiği Tablo 4’e göre  toplam fonlama miktarından (</w:t>
      </w:r>
      <w:r w:rsidRPr="00164238">
        <w:rPr>
          <w:rFonts w:ascii="Times New Roman" w:hAnsi="Times New Roman" w:cs="Times New Roman"/>
          <w:color w:val="000000" w:themeColor="text1"/>
        </w:rPr>
        <w:t>Tfon)</w:t>
      </w:r>
      <w:r w:rsidRPr="00164238">
        <w:rPr>
          <w:rFonts w:ascii="Times New Roman" w:hAnsi="Times New Roman" w:cs="Times New Roman"/>
          <w:color w:val="000000" w:themeColor="text1"/>
          <w:lang w:val="en-US"/>
        </w:rPr>
        <w:t xml:space="preserve"> seçilmiş finansal değişkenlere yönelik anlamlı bir nedensellik ilişkisi yoktur. Buna karşın, ağırlıklı ortalama fonlama maliyetinden (</w:t>
      </w:r>
      <w:r w:rsidRPr="00164238">
        <w:rPr>
          <w:rFonts w:ascii="Times New Roman" w:hAnsi="Times New Roman" w:cs="Times New Roman"/>
          <w:color w:val="000000" w:themeColor="text1"/>
        </w:rPr>
        <w:t xml:space="preserve">İaof) tahvil faizlerine (İtahvil ) doğru %5 seviyesinde istatistiksel olarak anlamlı bir nedensellik ilişkisi söz konusudur. Buna göre, TCMB’nin ele alınan dönemde ortalama fonlama maliyetini değiştirmek sureti ile tahvil faizleri üzerinde etkili olabileceği anlaşılmaktadır. Bir diğer para politikası değişkeni olan referans faiz oranından (TRlibor) döviz kuruna ($/TL) doğru %5 seviyesinde anlamlı bir nedensellik ilişkisi tespit edilmiştir. TRlibor ulusal ve uluslararası piyasalarda </w:t>
      </w:r>
      <w:r w:rsidRPr="00164238">
        <w:rPr>
          <w:rFonts w:ascii="Times New Roman" w:hAnsi="Times New Roman" w:cs="Times New Roman"/>
          <w:color w:val="000000" w:themeColor="text1"/>
        </w:rPr>
        <w:lastRenderedPageBreak/>
        <w:t>finansal yatırımcıların bilgisine sunulan, Türkiye’de bankaların gerek birbirleri gerekse müşterileri ile yaptıkları işlemlerde referans alınabilecek bir faiz oranıdır. TRlibor bankaların başka bir banka ya da finansal kurumdan borç alabileceği faiz oranını göstermekle birlikte devlet tahvili ve uzun vadeli kredi faizleri için de referans bir değer olma özelliği taşımaktadır</w:t>
      </w:r>
      <w:r w:rsidR="00A21FD4" w:rsidRPr="00164238">
        <w:rPr>
          <w:rFonts w:ascii="Times New Roman" w:hAnsi="Times New Roman" w:cs="Times New Roman"/>
          <w:color w:val="000000" w:themeColor="text1"/>
        </w:rPr>
        <w:t xml:space="preserve"> (Semir ve Taray 2005: 43). </w:t>
      </w:r>
      <w:r w:rsidRPr="00164238">
        <w:rPr>
          <w:rFonts w:ascii="Times New Roman" w:hAnsi="Times New Roman" w:cs="Times New Roman"/>
          <w:color w:val="000000" w:themeColor="text1"/>
        </w:rPr>
        <w:t>Bu faiz TCMB’nin politika faizi ve fonlama miktarı ve komposizyonuna göre şekillendiğinden büyük ölçüde para politikasının etkilerini piyasa aktarma işlevine sahiptir. Bu açıdan, referans faiz oranının finansal değişkenler üzerinde anlamlı etkiler meydana getirmesi TCMB’nin para politikasının etkinliği bakımından önemli bir sonuçtur. Nedensellik test sonuçları birlikte değerlendirildiğinde</w:t>
      </w:r>
      <w:r w:rsidR="00951B43" w:rsidRPr="00164238">
        <w:rPr>
          <w:rFonts w:ascii="Times New Roman" w:hAnsi="Times New Roman" w:cs="Times New Roman"/>
          <w:color w:val="000000" w:themeColor="text1"/>
        </w:rPr>
        <w:t>,</w:t>
      </w:r>
      <w:r w:rsidRPr="00164238">
        <w:rPr>
          <w:rFonts w:ascii="Times New Roman" w:hAnsi="Times New Roman" w:cs="Times New Roman"/>
          <w:color w:val="000000" w:themeColor="text1"/>
        </w:rPr>
        <w:t xml:space="preserve"> TCMB’nin ele alınan dönemde finansal değişkenleri ağırlıklı olarak ortalama fonlama maliyeti ve referans faiz oranı üzerinden etkilediğini söylemek mümkündür.</w:t>
      </w:r>
    </w:p>
    <w:p w14:paraId="329C7E6C" w14:textId="77777777" w:rsidR="00E40B0B" w:rsidRPr="00164238" w:rsidRDefault="00E40B0B" w:rsidP="00E40B0B">
      <w:pPr>
        <w:autoSpaceDE w:val="0"/>
        <w:autoSpaceDN w:val="0"/>
        <w:adjustRightInd w:val="0"/>
        <w:spacing w:before="120" w:after="120" w:line="360" w:lineRule="auto"/>
        <w:ind w:firstLine="709"/>
        <w:jc w:val="both"/>
        <w:rPr>
          <w:rFonts w:ascii="Times New Roman" w:hAnsi="Times New Roman" w:cs="Times New Roman"/>
          <w:color w:val="000000" w:themeColor="text1"/>
        </w:rPr>
      </w:pPr>
      <w:r w:rsidRPr="00164238">
        <w:rPr>
          <w:rFonts w:ascii="Times New Roman" w:hAnsi="Times New Roman" w:cs="Times New Roman"/>
          <w:color w:val="000000" w:themeColor="text1"/>
        </w:rPr>
        <w:t>Diğer taraftan</w:t>
      </w:r>
      <w:r w:rsidR="001A54DD" w:rsidRPr="00164238">
        <w:rPr>
          <w:rFonts w:ascii="Times New Roman" w:hAnsi="Times New Roman" w:cs="Times New Roman"/>
          <w:color w:val="000000" w:themeColor="text1"/>
        </w:rPr>
        <w:t>,</w:t>
      </w:r>
      <w:r w:rsidRPr="00164238">
        <w:rPr>
          <w:rFonts w:ascii="Times New Roman" w:hAnsi="Times New Roman" w:cs="Times New Roman"/>
          <w:color w:val="000000" w:themeColor="text1"/>
        </w:rPr>
        <w:t xml:space="preserve"> finansal değişkenlerin birbirleri ile olan nedensellik ilişkilerine bakıldığında BİST 100 endeksi ile Dolar/TL kuru ve 2 yıllık tahvil faizi arasında karşılıklı nedensellik ilişkileri olduğu dikkate çekmektedir. Buna göre, Dolar/TL kuru ve 2 yıllık tahvil faizi para politikası tarafından etkilendiğinde BIST 100 endeksi de dolaylı yoldan etkilenmiş olmaktadır. </w:t>
      </w:r>
    </w:p>
    <w:p w14:paraId="38AAB6F2" w14:textId="77777777" w:rsidR="00DB79B2" w:rsidRPr="00925D2D" w:rsidRDefault="00E40B0B" w:rsidP="00E40B0B">
      <w:pPr>
        <w:autoSpaceDE w:val="0"/>
        <w:autoSpaceDN w:val="0"/>
        <w:adjustRightInd w:val="0"/>
        <w:spacing w:before="120" w:after="120" w:line="360" w:lineRule="auto"/>
        <w:rPr>
          <w:rFonts w:ascii="Times New Roman" w:hAnsi="Times New Roman" w:cs="Times New Roman"/>
          <w:color w:val="000000" w:themeColor="text1"/>
          <w:sz w:val="20"/>
          <w:szCs w:val="20"/>
          <w:lang w:val="en-US"/>
        </w:rPr>
      </w:pPr>
      <w:r w:rsidRPr="00925D2D">
        <w:rPr>
          <w:rFonts w:ascii="Times New Roman" w:hAnsi="Times New Roman" w:cs="Times New Roman"/>
          <w:b/>
          <w:bCs/>
          <w:color w:val="000000" w:themeColor="text1"/>
          <w:sz w:val="20"/>
          <w:szCs w:val="20"/>
          <w:lang w:val="en-US"/>
        </w:rPr>
        <w:t xml:space="preserve">  </w:t>
      </w:r>
      <w:r w:rsidR="00200A02" w:rsidRPr="00925D2D">
        <w:rPr>
          <w:rFonts w:ascii="Times New Roman" w:hAnsi="Times New Roman" w:cs="Times New Roman"/>
          <w:bCs/>
          <w:i/>
          <w:color w:val="000000" w:themeColor="text1"/>
          <w:sz w:val="20"/>
          <w:szCs w:val="20"/>
          <w:lang w:val="en-US"/>
        </w:rPr>
        <w:t>Tablo 4</w:t>
      </w:r>
      <w:r w:rsidR="00AB77B4" w:rsidRPr="00925D2D">
        <w:rPr>
          <w:rFonts w:ascii="Times New Roman" w:hAnsi="Times New Roman" w:cs="Times New Roman"/>
          <w:bCs/>
          <w:color w:val="000000" w:themeColor="text1"/>
          <w:sz w:val="20"/>
          <w:szCs w:val="20"/>
          <w:lang w:val="en-US"/>
        </w:rPr>
        <w:t>.</w:t>
      </w:r>
      <w:r w:rsidR="00AB77B4" w:rsidRPr="00925D2D">
        <w:rPr>
          <w:rFonts w:ascii="Times New Roman" w:hAnsi="Times New Roman" w:cs="Times New Roman"/>
          <w:b/>
          <w:bCs/>
          <w:color w:val="000000" w:themeColor="text1"/>
          <w:sz w:val="20"/>
          <w:szCs w:val="20"/>
          <w:lang w:val="en-US"/>
        </w:rPr>
        <w:t xml:space="preserve"> </w:t>
      </w:r>
      <w:r w:rsidR="00032491" w:rsidRPr="00925D2D">
        <w:rPr>
          <w:rFonts w:ascii="Times New Roman" w:hAnsi="Times New Roman" w:cs="Times New Roman"/>
          <w:bCs/>
          <w:color w:val="000000" w:themeColor="text1"/>
          <w:sz w:val="20"/>
          <w:szCs w:val="20"/>
          <w:lang w:val="en-US"/>
        </w:rPr>
        <w:t>Toda</w:t>
      </w:r>
      <w:r w:rsidRPr="00925D2D">
        <w:rPr>
          <w:rFonts w:ascii="Times New Roman" w:hAnsi="Times New Roman" w:cs="Times New Roman"/>
          <w:bCs/>
          <w:color w:val="000000" w:themeColor="text1"/>
          <w:sz w:val="20"/>
          <w:szCs w:val="20"/>
          <w:lang w:val="en-US"/>
        </w:rPr>
        <w:t>-Yamamoto Nedensellik Testine</w:t>
      </w:r>
      <w:r w:rsidR="00032491" w:rsidRPr="00925D2D">
        <w:rPr>
          <w:rFonts w:ascii="Times New Roman" w:hAnsi="Times New Roman" w:cs="Times New Roman"/>
          <w:bCs/>
          <w:color w:val="000000" w:themeColor="text1"/>
          <w:sz w:val="20"/>
          <w:szCs w:val="20"/>
          <w:lang w:val="en-US"/>
        </w:rPr>
        <w:t xml:space="preserve"> İlişkin Sonuçlar</w:t>
      </w:r>
    </w:p>
    <w:tbl>
      <w:tblPr>
        <w:tblW w:w="9077" w:type="dxa"/>
        <w:jc w:val="center"/>
        <w:tblBorders>
          <w:top w:val="single" w:sz="4" w:space="0" w:color="auto"/>
          <w:bottom w:val="single" w:sz="4" w:space="0" w:color="auto"/>
        </w:tblBorders>
        <w:tblLook w:val="04A0" w:firstRow="1" w:lastRow="0" w:firstColumn="1" w:lastColumn="0" w:noHBand="0" w:noVBand="1"/>
      </w:tblPr>
      <w:tblGrid>
        <w:gridCol w:w="2107"/>
        <w:gridCol w:w="2151"/>
        <w:gridCol w:w="1483"/>
        <w:gridCol w:w="1635"/>
        <w:gridCol w:w="1701"/>
      </w:tblGrid>
      <w:tr w:rsidR="00164238" w:rsidRPr="00925D2D" w14:paraId="6585FF5D" w14:textId="77777777" w:rsidTr="00E40B0B">
        <w:trPr>
          <w:jc w:val="center"/>
        </w:trPr>
        <w:tc>
          <w:tcPr>
            <w:tcW w:w="2107" w:type="dxa"/>
          </w:tcPr>
          <w:p w14:paraId="08394739" w14:textId="77777777" w:rsidR="002B7985" w:rsidRPr="00925D2D" w:rsidRDefault="002B7985" w:rsidP="00925D2D">
            <w:pPr>
              <w:autoSpaceDE w:val="0"/>
              <w:autoSpaceDN w:val="0"/>
              <w:adjustRightInd w:val="0"/>
              <w:spacing w:line="240" w:lineRule="auto"/>
              <w:jc w:val="center"/>
              <w:rPr>
                <w:rFonts w:ascii="Times New Roman" w:hAnsi="Times New Roman" w:cs="Times New Roman"/>
                <w:color w:val="000000" w:themeColor="text1"/>
                <w:sz w:val="20"/>
                <w:szCs w:val="20"/>
              </w:rPr>
            </w:pPr>
            <w:r w:rsidRPr="00925D2D">
              <w:rPr>
                <w:rFonts w:ascii="Times New Roman" w:hAnsi="Times New Roman" w:cs="Times New Roman"/>
                <w:color w:val="000000" w:themeColor="text1"/>
                <w:sz w:val="20"/>
                <w:szCs w:val="20"/>
              </w:rPr>
              <w:t>Nedensellik İlişkisi</w:t>
            </w:r>
          </w:p>
        </w:tc>
        <w:tc>
          <w:tcPr>
            <w:tcW w:w="2151" w:type="dxa"/>
          </w:tcPr>
          <w:p w14:paraId="186DF900" w14:textId="77777777" w:rsidR="002B7985" w:rsidRPr="00925D2D" w:rsidRDefault="002B7985" w:rsidP="00925D2D">
            <w:pPr>
              <w:autoSpaceDE w:val="0"/>
              <w:autoSpaceDN w:val="0"/>
              <w:adjustRightInd w:val="0"/>
              <w:spacing w:line="240" w:lineRule="auto"/>
              <w:jc w:val="center"/>
              <w:rPr>
                <w:rFonts w:ascii="Times New Roman" w:hAnsi="Times New Roman" w:cs="Times New Roman"/>
                <w:color w:val="000000" w:themeColor="text1"/>
                <w:sz w:val="20"/>
                <w:szCs w:val="20"/>
                <w:lang w:val="en-US"/>
              </w:rPr>
            </w:pPr>
            <w:r w:rsidRPr="00925D2D">
              <w:rPr>
                <w:rFonts w:ascii="Times New Roman" w:hAnsi="Times New Roman" w:cs="Times New Roman"/>
                <w:color w:val="000000" w:themeColor="text1"/>
                <w:sz w:val="20"/>
                <w:szCs w:val="20"/>
                <w:lang w:val="en-US"/>
              </w:rPr>
              <w:t>Tahmin derecesi (k+d</w:t>
            </w:r>
            <w:r w:rsidRPr="00925D2D">
              <w:rPr>
                <w:rFonts w:ascii="Times New Roman" w:hAnsi="Times New Roman" w:cs="Times New Roman"/>
                <w:color w:val="000000" w:themeColor="text1"/>
                <w:sz w:val="20"/>
                <w:szCs w:val="20"/>
                <w:vertAlign w:val="subscript"/>
                <w:lang w:val="en-US"/>
              </w:rPr>
              <w:t>max</w:t>
            </w:r>
            <w:r w:rsidRPr="00925D2D">
              <w:rPr>
                <w:rFonts w:ascii="Times New Roman" w:hAnsi="Times New Roman" w:cs="Times New Roman"/>
                <w:color w:val="000000" w:themeColor="text1"/>
                <w:sz w:val="20"/>
                <w:szCs w:val="20"/>
                <w:lang w:val="en-US"/>
              </w:rPr>
              <w:t>)</w:t>
            </w:r>
          </w:p>
        </w:tc>
        <w:tc>
          <w:tcPr>
            <w:tcW w:w="1483" w:type="dxa"/>
          </w:tcPr>
          <w:p w14:paraId="4DF63DAE" w14:textId="77777777" w:rsidR="002B7985" w:rsidRPr="00925D2D" w:rsidRDefault="002B7985" w:rsidP="00925D2D">
            <w:pPr>
              <w:autoSpaceDE w:val="0"/>
              <w:autoSpaceDN w:val="0"/>
              <w:adjustRightInd w:val="0"/>
              <w:spacing w:line="240" w:lineRule="auto"/>
              <w:jc w:val="center"/>
              <w:rPr>
                <w:rFonts w:ascii="Times New Roman" w:hAnsi="Times New Roman" w:cs="Times New Roman"/>
                <w:color w:val="000000" w:themeColor="text1"/>
                <w:sz w:val="20"/>
                <w:szCs w:val="20"/>
                <w:lang w:val="en-US"/>
              </w:rPr>
            </w:pPr>
            <w:r w:rsidRPr="00925D2D">
              <w:rPr>
                <w:rFonts w:ascii="Times New Roman" w:hAnsi="Times New Roman" w:cs="Times New Roman"/>
                <w:color w:val="000000" w:themeColor="text1"/>
                <w:sz w:val="20"/>
                <w:szCs w:val="20"/>
                <w:lang w:val="en-US"/>
              </w:rPr>
              <w:t>Ki-Kare Test İstatistiği</w:t>
            </w:r>
          </w:p>
        </w:tc>
        <w:tc>
          <w:tcPr>
            <w:tcW w:w="1635" w:type="dxa"/>
          </w:tcPr>
          <w:p w14:paraId="7AA91D64" w14:textId="77777777" w:rsidR="002B7985" w:rsidRPr="00925D2D" w:rsidRDefault="002B7985" w:rsidP="00925D2D">
            <w:pPr>
              <w:autoSpaceDE w:val="0"/>
              <w:autoSpaceDN w:val="0"/>
              <w:adjustRightInd w:val="0"/>
              <w:spacing w:line="240" w:lineRule="auto"/>
              <w:jc w:val="center"/>
              <w:rPr>
                <w:rFonts w:ascii="Times New Roman" w:hAnsi="Times New Roman" w:cs="Times New Roman"/>
                <w:color w:val="000000" w:themeColor="text1"/>
                <w:sz w:val="20"/>
                <w:szCs w:val="20"/>
                <w:lang w:val="en-US"/>
              </w:rPr>
            </w:pPr>
            <w:r w:rsidRPr="00925D2D">
              <w:rPr>
                <w:rFonts w:ascii="Times New Roman" w:hAnsi="Times New Roman" w:cs="Times New Roman"/>
                <w:color w:val="000000" w:themeColor="text1"/>
                <w:sz w:val="20"/>
                <w:szCs w:val="20"/>
                <w:lang w:val="en-US"/>
              </w:rPr>
              <w:t>Olasılık Değeri</w:t>
            </w:r>
          </w:p>
        </w:tc>
        <w:tc>
          <w:tcPr>
            <w:tcW w:w="1701" w:type="dxa"/>
          </w:tcPr>
          <w:p w14:paraId="44D975B8" w14:textId="77777777" w:rsidR="002B7985" w:rsidRPr="00925D2D" w:rsidRDefault="002B7985" w:rsidP="00925D2D">
            <w:pPr>
              <w:autoSpaceDE w:val="0"/>
              <w:autoSpaceDN w:val="0"/>
              <w:adjustRightInd w:val="0"/>
              <w:spacing w:line="240" w:lineRule="auto"/>
              <w:jc w:val="center"/>
              <w:rPr>
                <w:rFonts w:ascii="Times New Roman" w:hAnsi="Times New Roman" w:cs="Times New Roman"/>
                <w:color w:val="000000" w:themeColor="text1"/>
                <w:sz w:val="20"/>
                <w:szCs w:val="20"/>
                <w:lang w:val="en-US"/>
              </w:rPr>
            </w:pPr>
            <w:r w:rsidRPr="00925D2D">
              <w:rPr>
                <w:rFonts w:ascii="Times New Roman" w:hAnsi="Times New Roman" w:cs="Times New Roman"/>
                <w:color w:val="000000" w:themeColor="text1"/>
                <w:sz w:val="20"/>
                <w:szCs w:val="20"/>
                <w:lang w:val="en-US"/>
              </w:rPr>
              <w:t>Nedenselik ilişkisi</w:t>
            </w:r>
          </w:p>
        </w:tc>
      </w:tr>
      <w:tr w:rsidR="00164238" w:rsidRPr="00925D2D" w14:paraId="4E1192F0" w14:textId="77777777" w:rsidTr="00E40B0B">
        <w:trPr>
          <w:jc w:val="center"/>
        </w:trPr>
        <w:tc>
          <w:tcPr>
            <w:tcW w:w="2107" w:type="dxa"/>
          </w:tcPr>
          <w:p w14:paraId="60A285B9" w14:textId="77777777" w:rsidR="002B7985" w:rsidRPr="00925D2D" w:rsidRDefault="002B7985" w:rsidP="00925D2D">
            <w:pPr>
              <w:autoSpaceDE w:val="0"/>
              <w:autoSpaceDN w:val="0"/>
              <w:adjustRightInd w:val="0"/>
              <w:spacing w:line="240" w:lineRule="auto"/>
              <w:rPr>
                <w:rFonts w:ascii="Times New Roman" w:hAnsi="Times New Roman" w:cs="Times New Roman"/>
                <w:color w:val="000000" w:themeColor="text1"/>
                <w:sz w:val="20"/>
                <w:szCs w:val="20"/>
                <w:lang w:val="en-US"/>
              </w:rPr>
            </w:pPr>
            <w:r w:rsidRPr="00925D2D">
              <w:rPr>
                <w:rFonts w:ascii="Times New Roman" w:hAnsi="Times New Roman" w:cs="Times New Roman"/>
                <w:color w:val="000000" w:themeColor="text1"/>
                <w:sz w:val="20"/>
                <w:szCs w:val="20"/>
              </w:rPr>
              <w:t xml:space="preserve">Tfon </w:t>
            </w:r>
            <w:r w:rsidRPr="00925D2D">
              <w:rPr>
                <w:rFonts w:ascii="Times New Roman" w:hAnsi="Times New Roman" w:cs="Times New Roman"/>
                <w:color w:val="000000" w:themeColor="text1"/>
                <w:sz w:val="20"/>
                <w:szCs w:val="20"/>
                <w:lang w:val="en-US"/>
              </w:rPr>
              <w:t>→</w:t>
            </w:r>
            <w:r w:rsidRPr="00925D2D">
              <w:rPr>
                <w:rFonts w:ascii="Times New Roman" w:hAnsi="Times New Roman" w:cs="Times New Roman"/>
                <w:color w:val="000000" w:themeColor="text1"/>
                <w:sz w:val="20"/>
                <w:szCs w:val="20"/>
              </w:rPr>
              <w:t>BİST100</w:t>
            </w:r>
          </w:p>
        </w:tc>
        <w:tc>
          <w:tcPr>
            <w:tcW w:w="2151" w:type="dxa"/>
          </w:tcPr>
          <w:p w14:paraId="55F0FC79" w14:textId="77777777" w:rsidR="002B7985" w:rsidRPr="00925D2D" w:rsidRDefault="00046FF9" w:rsidP="00925D2D">
            <w:pPr>
              <w:autoSpaceDE w:val="0"/>
              <w:autoSpaceDN w:val="0"/>
              <w:adjustRightInd w:val="0"/>
              <w:spacing w:line="240" w:lineRule="auto"/>
              <w:jc w:val="center"/>
              <w:rPr>
                <w:rFonts w:ascii="Times New Roman" w:hAnsi="Times New Roman" w:cs="Times New Roman"/>
                <w:color w:val="000000" w:themeColor="text1"/>
                <w:sz w:val="20"/>
                <w:szCs w:val="20"/>
                <w:lang w:val="en-US"/>
              </w:rPr>
            </w:pPr>
            <w:r w:rsidRPr="00925D2D">
              <w:rPr>
                <w:rFonts w:ascii="Times New Roman" w:hAnsi="Times New Roman" w:cs="Times New Roman"/>
                <w:color w:val="000000" w:themeColor="text1"/>
                <w:sz w:val="20"/>
                <w:szCs w:val="20"/>
                <w:lang w:val="en-US"/>
              </w:rPr>
              <w:t>3</w:t>
            </w:r>
          </w:p>
        </w:tc>
        <w:tc>
          <w:tcPr>
            <w:tcW w:w="1483" w:type="dxa"/>
          </w:tcPr>
          <w:p w14:paraId="191287E0" w14:textId="77777777" w:rsidR="002B7985" w:rsidRPr="00925D2D" w:rsidRDefault="009C1B0D" w:rsidP="00925D2D">
            <w:pPr>
              <w:autoSpaceDE w:val="0"/>
              <w:autoSpaceDN w:val="0"/>
              <w:adjustRightInd w:val="0"/>
              <w:spacing w:line="240" w:lineRule="auto"/>
              <w:jc w:val="center"/>
              <w:rPr>
                <w:rFonts w:ascii="Times New Roman" w:hAnsi="Times New Roman" w:cs="Times New Roman"/>
                <w:color w:val="000000" w:themeColor="text1"/>
                <w:sz w:val="20"/>
                <w:szCs w:val="20"/>
                <w:lang w:val="en-US"/>
              </w:rPr>
            </w:pPr>
            <w:r w:rsidRPr="00925D2D">
              <w:rPr>
                <w:rFonts w:ascii="Times New Roman" w:hAnsi="Times New Roman" w:cs="Times New Roman"/>
                <w:color w:val="000000" w:themeColor="text1"/>
                <w:sz w:val="20"/>
                <w:szCs w:val="20"/>
                <w:lang w:val="en-US"/>
              </w:rPr>
              <w:t>1.329418</w:t>
            </w:r>
          </w:p>
        </w:tc>
        <w:tc>
          <w:tcPr>
            <w:tcW w:w="1635" w:type="dxa"/>
          </w:tcPr>
          <w:p w14:paraId="76F34EA6" w14:textId="77777777" w:rsidR="002B7985" w:rsidRPr="00925D2D" w:rsidRDefault="009C1B0D" w:rsidP="00925D2D">
            <w:pPr>
              <w:autoSpaceDE w:val="0"/>
              <w:autoSpaceDN w:val="0"/>
              <w:adjustRightInd w:val="0"/>
              <w:spacing w:line="240" w:lineRule="auto"/>
              <w:jc w:val="center"/>
              <w:rPr>
                <w:rFonts w:ascii="Times New Roman" w:hAnsi="Times New Roman" w:cs="Times New Roman"/>
                <w:color w:val="000000" w:themeColor="text1"/>
                <w:sz w:val="20"/>
                <w:szCs w:val="20"/>
                <w:lang w:val="en-US"/>
              </w:rPr>
            </w:pPr>
            <w:r w:rsidRPr="00925D2D">
              <w:rPr>
                <w:rFonts w:ascii="Times New Roman" w:hAnsi="Times New Roman" w:cs="Times New Roman"/>
                <w:color w:val="000000" w:themeColor="text1"/>
                <w:sz w:val="20"/>
                <w:szCs w:val="20"/>
                <w:lang w:val="en-US"/>
              </w:rPr>
              <w:t>0.5144</w:t>
            </w:r>
          </w:p>
        </w:tc>
        <w:tc>
          <w:tcPr>
            <w:tcW w:w="1701" w:type="dxa"/>
          </w:tcPr>
          <w:p w14:paraId="6F1D31EF" w14:textId="77777777" w:rsidR="002B7985" w:rsidRPr="00925D2D" w:rsidRDefault="009C1B0D" w:rsidP="00925D2D">
            <w:pPr>
              <w:autoSpaceDE w:val="0"/>
              <w:autoSpaceDN w:val="0"/>
              <w:adjustRightInd w:val="0"/>
              <w:spacing w:line="240" w:lineRule="auto"/>
              <w:jc w:val="center"/>
              <w:rPr>
                <w:rFonts w:ascii="Times New Roman" w:hAnsi="Times New Roman" w:cs="Times New Roman"/>
                <w:color w:val="000000" w:themeColor="text1"/>
                <w:sz w:val="20"/>
                <w:szCs w:val="20"/>
                <w:lang w:val="en-US"/>
              </w:rPr>
            </w:pPr>
            <w:r w:rsidRPr="00925D2D">
              <w:rPr>
                <w:rFonts w:ascii="Times New Roman" w:hAnsi="Times New Roman" w:cs="Times New Roman"/>
                <w:color w:val="000000" w:themeColor="text1"/>
                <w:sz w:val="20"/>
                <w:szCs w:val="20"/>
                <w:lang w:val="en-US"/>
              </w:rPr>
              <w:t>Yok</w:t>
            </w:r>
          </w:p>
        </w:tc>
      </w:tr>
      <w:tr w:rsidR="00164238" w:rsidRPr="00925D2D" w14:paraId="5841BCDE" w14:textId="77777777" w:rsidTr="00E40B0B">
        <w:trPr>
          <w:jc w:val="center"/>
        </w:trPr>
        <w:tc>
          <w:tcPr>
            <w:tcW w:w="2107" w:type="dxa"/>
          </w:tcPr>
          <w:p w14:paraId="133ED76F" w14:textId="77777777" w:rsidR="00046FF9" w:rsidRPr="00925D2D" w:rsidRDefault="00046FF9" w:rsidP="00925D2D">
            <w:pPr>
              <w:autoSpaceDE w:val="0"/>
              <w:autoSpaceDN w:val="0"/>
              <w:adjustRightInd w:val="0"/>
              <w:spacing w:line="240" w:lineRule="auto"/>
              <w:rPr>
                <w:rFonts w:ascii="Times New Roman" w:hAnsi="Times New Roman" w:cs="Times New Roman"/>
                <w:color w:val="000000" w:themeColor="text1"/>
                <w:sz w:val="20"/>
                <w:szCs w:val="20"/>
                <w:lang w:val="en-US"/>
              </w:rPr>
            </w:pPr>
            <w:r w:rsidRPr="00925D2D">
              <w:rPr>
                <w:rFonts w:ascii="Times New Roman" w:hAnsi="Times New Roman" w:cs="Times New Roman"/>
                <w:color w:val="000000" w:themeColor="text1"/>
                <w:sz w:val="20"/>
                <w:szCs w:val="20"/>
              </w:rPr>
              <w:t>Tfon</w:t>
            </w:r>
            <w:r w:rsidRPr="00925D2D">
              <w:rPr>
                <w:rFonts w:ascii="Times New Roman" w:hAnsi="Times New Roman" w:cs="Times New Roman"/>
                <w:color w:val="000000" w:themeColor="text1"/>
                <w:sz w:val="20"/>
                <w:szCs w:val="20"/>
                <w:lang w:val="en-US"/>
              </w:rPr>
              <w:t xml:space="preserve"> →</w:t>
            </w:r>
            <w:r w:rsidRPr="00925D2D">
              <w:rPr>
                <w:rFonts w:ascii="Times New Roman" w:hAnsi="Times New Roman" w:cs="Times New Roman"/>
                <w:color w:val="000000" w:themeColor="text1"/>
                <w:sz w:val="20"/>
                <w:szCs w:val="20"/>
              </w:rPr>
              <w:t xml:space="preserve"> $/TL</w:t>
            </w:r>
          </w:p>
        </w:tc>
        <w:tc>
          <w:tcPr>
            <w:tcW w:w="2151" w:type="dxa"/>
          </w:tcPr>
          <w:p w14:paraId="6CDB736C" w14:textId="77777777" w:rsidR="00046FF9" w:rsidRPr="00925D2D" w:rsidRDefault="00046FF9" w:rsidP="00925D2D">
            <w:pPr>
              <w:spacing w:line="240" w:lineRule="auto"/>
              <w:jc w:val="center"/>
              <w:rPr>
                <w:rFonts w:ascii="Times New Roman" w:hAnsi="Times New Roman" w:cs="Times New Roman"/>
                <w:color w:val="000000" w:themeColor="text1"/>
                <w:sz w:val="20"/>
                <w:szCs w:val="20"/>
              </w:rPr>
            </w:pPr>
            <w:r w:rsidRPr="00925D2D">
              <w:rPr>
                <w:rFonts w:ascii="Times New Roman" w:hAnsi="Times New Roman" w:cs="Times New Roman"/>
                <w:color w:val="000000" w:themeColor="text1"/>
                <w:sz w:val="20"/>
                <w:szCs w:val="20"/>
              </w:rPr>
              <w:t>3</w:t>
            </w:r>
          </w:p>
        </w:tc>
        <w:tc>
          <w:tcPr>
            <w:tcW w:w="1483" w:type="dxa"/>
          </w:tcPr>
          <w:p w14:paraId="39E7D59E" w14:textId="77777777" w:rsidR="00046FF9" w:rsidRPr="00925D2D" w:rsidRDefault="00046FF9" w:rsidP="00925D2D">
            <w:pPr>
              <w:autoSpaceDE w:val="0"/>
              <w:autoSpaceDN w:val="0"/>
              <w:adjustRightInd w:val="0"/>
              <w:spacing w:line="240" w:lineRule="auto"/>
              <w:jc w:val="center"/>
              <w:rPr>
                <w:rFonts w:ascii="Times New Roman" w:hAnsi="Times New Roman" w:cs="Times New Roman"/>
                <w:color w:val="000000" w:themeColor="text1"/>
                <w:sz w:val="20"/>
                <w:szCs w:val="20"/>
                <w:lang w:val="en-US"/>
              </w:rPr>
            </w:pPr>
            <w:r w:rsidRPr="00925D2D">
              <w:rPr>
                <w:rFonts w:ascii="Times New Roman" w:hAnsi="Times New Roman" w:cs="Times New Roman"/>
                <w:color w:val="000000" w:themeColor="text1"/>
                <w:sz w:val="20"/>
                <w:szCs w:val="20"/>
                <w:lang w:val="en-US"/>
              </w:rPr>
              <w:t>1.892362</w:t>
            </w:r>
          </w:p>
        </w:tc>
        <w:tc>
          <w:tcPr>
            <w:tcW w:w="1635" w:type="dxa"/>
          </w:tcPr>
          <w:p w14:paraId="0DFAF115" w14:textId="77777777" w:rsidR="00046FF9" w:rsidRPr="00925D2D" w:rsidRDefault="00046FF9" w:rsidP="00925D2D">
            <w:pPr>
              <w:autoSpaceDE w:val="0"/>
              <w:autoSpaceDN w:val="0"/>
              <w:adjustRightInd w:val="0"/>
              <w:spacing w:line="240" w:lineRule="auto"/>
              <w:jc w:val="center"/>
              <w:rPr>
                <w:rFonts w:ascii="Times New Roman" w:hAnsi="Times New Roman" w:cs="Times New Roman"/>
                <w:color w:val="000000" w:themeColor="text1"/>
                <w:sz w:val="20"/>
                <w:szCs w:val="20"/>
                <w:lang w:val="en-US"/>
              </w:rPr>
            </w:pPr>
            <w:r w:rsidRPr="00925D2D">
              <w:rPr>
                <w:rFonts w:ascii="Times New Roman" w:hAnsi="Times New Roman" w:cs="Times New Roman"/>
                <w:color w:val="000000" w:themeColor="text1"/>
                <w:sz w:val="20"/>
                <w:szCs w:val="20"/>
                <w:lang w:val="en-US"/>
              </w:rPr>
              <w:t>0.3882</w:t>
            </w:r>
          </w:p>
        </w:tc>
        <w:tc>
          <w:tcPr>
            <w:tcW w:w="1701" w:type="dxa"/>
          </w:tcPr>
          <w:p w14:paraId="6EFF6E92" w14:textId="77777777" w:rsidR="00046FF9" w:rsidRPr="00925D2D" w:rsidRDefault="00046FF9" w:rsidP="00925D2D">
            <w:pPr>
              <w:autoSpaceDE w:val="0"/>
              <w:autoSpaceDN w:val="0"/>
              <w:adjustRightInd w:val="0"/>
              <w:spacing w:line="240" w:lineRule="auto"/>
              <w:jc w:val="center"/>
              <w:rPr>
                <w:rFonts w:ascii="Times New Roman" w:hAnsi="Times New Roman" w:cs="Times New Roman"/>
                <w:color w:val="000000" w:themeColor="text1"/>
                <w:sz w:val="20"/>
                <w:szCs w:val="20"/>
                <w:lang w:val="en-US"/>
              </w:rPr>
            </w:pPr>
            <w:r w:rsidRPr="00925D2D">
              <w:rPr>
                <w:rFonts w:ascii="Times New Roman" w:hAnsi="Times New Roman" w:cs="Times New Roman"/>
                <w:color w:val="000000" w:themeColor="text1"/>
                <w:sz w:val="20"/>
                <w:szCs w:val="20"/>
                <w:lang w:val="en-US"/>
              </w:rPr>
              <w:t>Yok</w:t>
            </w:r>
          </w:p>
        </w:tc>
      </w:tr>
      <w:tr w:rsidR="00164238" w:rsidRPr="00925D2D" w14:paraId="16D01A3F" w14:textId="77777777" w:rsidTr="00E40B0B">
        <w:trPr>
          <w:jc w:val="center"/>
        </w:trPr>
        <w:tc>
          <w:tcPr>
            <w:tcW w:w="2107" w:type="dxa"/>
          </w:tcPr>
          <w:p w14:paraId="6CF764CA" w14:textId="77777777" w:rsidR="00046FF9" w:rsidRPr="00925D2D" w:rsidRDefault="00046FF9" w:rsidP="00925D2D">
            <w:pPr>
              <w:autoSpaceDE w:val="0"/>
              <w:autoSpaceDN w:val="0"/>
              <w:adjustRightInd w:val="0"/>
              <w:spacing w:line="240" w:lineRule="auto"/>
              <w:rPr>
                <w:rFonts w:ascii="Times New Roman" w:hAnsi="Times New Roman" w:cs="Times New Roman"/>
                <w:color w:val="000000" w:themeColor="text1"/>
                <w:sz w:val="20"/>
                <w:szCs w:val="20"/>
                <w:lang w:val="en-US"/>
              </w:rPr>
            </w:pPr>
            <w:r w:rsidRPr="00925D2D">
              <w:rPr>
                <w:rFonts w:ascii="Times New Roman" w:hAnsi="Times New Roman" w:cs="Times New Roman"/>
                <w:color w:val="000000" w:themeColor="text1"/>
                <w:sz w:val="20"/>
                <w:szCs w:val="20"/>
              </w:rPr>
              <w:t>Tfon</w:t>
            </w:r>
            <w:r w:rsidRPr="00925D2D">
              <w:rPr>
                <w:rFonts w:ascii="Times New Roman" w:hAnsi="Times New Roman" w:cs="Times New Roman"/>
                <w:color w:val="000000" w:themeColor="text1"/>
                <w:sz w:val="20"/>
                <w:szCs w:val="20"/>
                <w:lang w:val="en-US"/>
              </w:rPr>
              <w:t xml:space="preserve"> →</w:t>
            </w:r>
            <w:r w:rsidRPr="00925D2D">
              <w:rPr>
                <w:rFonts w:ascii="Times New Roman" w:hAnsi="Times New Roman" w:cs="Times New Roman"/>
                <w:color w:val="000000" w:themeColor="text1"/>
                <w:sz w:val="20"/>
                <w:szCs w:val="20"/>
              </w:rPr>
              <w:t xml:space="preserve"> İtahvil</w:t>
            </w:r>
          </w:p>
        </w:tc>
        <w:tc>
          <w:tcPr>
            <w:tcW w:w="2151" w:type="dxa"/>
          </w:tcPr>
          <w:p w14:paraId="69E298E9" w14:textId="77777777" w:rsidR="00046FF9" w:rsidRPr="00925D2D" w:rsidRDefault="00046FF9" w:rsidP="00925D2D">
            <w:pPr>
              <w:spacing w:line="240" w:lineRule="auto"/>
              <w:jc w:val="center"/>
              <w:rPr>
                <w:rFonts w:ascii="Times New Roman" w:hAnsi="Times New Roman" w:cs="Times New Roman"/>
                <w:color w:val="000000" w:themeColor="text1"/>
                <w:sz w:val="20"/>
                <w:szCs w:val="20"/>
              </w:rPr>
            </w:pPr>
            <w:r w:rsidRPr="00925D2D">
              <w:rPr>
                <w:rFonts w:ascii="Times New Roman" w:hAnsi="Times New Roman" w:cs="Times New Roman"/>
                <w:color w:val="000000" w:themeColor="text1"/>
                <w:sz w:val="20"/>
                <w:szCs w:val="20"/>
              </w:rPr>
              <w:t>3</w:t>
            </w:r>
          </w:p>
        </w:tc>
        <w:tc>
          <w:tcPr>
            <w:tcW w:w="1483" w:type="dxa"/>
          </w:tcPr>
          <w:p w14:paraId="3511027B" w14:textId="77777777" w:rsidR="00046FF9" w:rsidRPr="00925D2D" w:rsidRDefault="00046FF9" w:rsidP="00925D2D">
            <w:pPr>
              <w:autoSpaceDE w:val="0"/>
              <w:autoSpaceDN w:val="0"/>
              <w:adjustRightInd w:val="0"/>
              <w:spacing w:line="240" w:lineRule="auto"/>
              <w:jc w:val="center"/>
              <w:rPr>
                <w:rFonts w:ascii="Times New Roman" w:hAnsi="Times New Roman" w:cs="Times New Roman"/>
                <w:color w:val="000000" w:themeColor="text1"/>
                <w:sz w:val="20"/>
                <w:szCs w:val="20"/>
                <w:lang w:val="en-US"/>
              </w:rPr>
            </w:pPr>
            <w:r w:rsidRPr="00925D2D">
              <w:rPr>
                <w:rFonts w:ascii="Times New Roman" w:hAnsi="Times New Roman" w:cs="Times New Roman"/>
                <w:color w:val="000000" w:themeColor="text1"/>
                <w:sz w:val="20"/>
                <w:szCs w:val="20"/>
                <w:lang w:val="en-US"/>
              </w:rPr>
              <w:t>0.694296</w:t>
            </w:r>
          </w:p>
        </w:tc>
        <w:tc>
          <w:tcPr>
            <w:tcW w:w="1635" w:type="dxa"/>
          </w:tcPr>
          <w:p w14:paraId="6898E85F" w14:textId="77777777" w:rsidR="00046FF9" w:rsidRPr="00925D2D" w:rsidRDefault="00046FF9" w:rsidP="00925D2D">
            <w:pPr>
              <w:autoSpaceDE w:val="0"/>
              <w:autoSpaceDN w:val="0"/>
              <w:adjustRightInd w:val="0"/>
              <w:spacing w:line="240" w:lineRule="auto"/>
              <w:jc w:val="center"/>
              <w:rPr>
                <w:rFonts w:ascii="Times New Roman" w:hAnsi="Times New Roman" w:cs="Times New Roman"/>
                <w:color w:val="000000" w:themeColor="text1"/>
                <w:sz w:val="20"/>
                <w:szCs w:val="20"/>
                <w:lang w:val="en-US"/>
              </w:rPr>
            </w:pPr>
            <w:r w:rsidRPr="00925D2D">
              <w:rPr>
                <w:rFonts w:ascii="Times New Roman" w:hAnsi="Times New Roman" w:cs="Times New Roman"/>
                <w:color w:val="000000" w:themeColor="text1"/>
                <w:sz w:val="20"/>
                <w:szCs w:val="20"/>
                <w:lang w:val="en-US"/>
              </w:rPr>
              <w:t>0.7067</w:t>
            </w:r>
          </w:p>
        </w:tc>
        <w:tc>
          <w:tcPr>
            <w:tcW w:w="1701" w:type="dxa"/>
          </w:tcPr>
          <w:p w14:paraId="4D176D7C" w14:textId="77777777" w:rsidR="00046FF9" w:rsidRPr="00925D2D" w:rsidRDefault="00046FF9" w:rsidP="00925D2D">
            <w:pPr>
              <w:autoSpaceDE w:val="0"/>
              <w:autoSpaceDN w:val="0"/>
              <w:adjustRightInd w:val="0"/>
              <w:spacing w:line="240" w:lineRule="auto"/>
              <w:jc w:val="center"/>
              <w:rPr>
                <w:rFonts w:ascii="Times New Roman" w:hAnsi="Times New Roman" w:cs="Times New Roman"/>
                <w:color w:val="000000" w:themeColor="text1"/>
                <w:sz w:val="20"/>
                <w:szCs w:val="20"/>
                <w:lang w:val="en-US"/>
              </w:rPr>
            </w:pPr>
            <w:r w:rsidRPr="00925D2D">
              <w:rPr>
                <w:rFonts w:ascii="Times New Roman" w:hAnsi="Times New Roman" w:cs="Times New Roman"/>
                <w:color w:val="000000" w:themeColor="text1"/>
                <w:sz w:val="20"/>
                <w:szCs w:val="20"/>
                <w:lang w:val="en-US"/>
              </w:rPr>
              <w:t>Yok</w:t>
            </w:r>
          </w:p>
        </w:tc>
      </w:tr>
      <w:tr w:rsidR="00164238" w:rsidRPr="00925D2D" w14:paraId="34572342" w14:textId="77777777" w:rsidTr="00E40B0B">
        <w:trPr>
          <w:jc w:val="center"/>
        </w:trPr>
        <w:tc>
          <w:tcPr>
            <w:tcW w:w="2107" w:type="dxa"/>
          </w:tcPr>
          <w:p w14:paraId="488BA174" w14:textId="77777777" w:rsidR="00046FF9" w:rsidRPr="00925D2D" w:rsidRDefault="00046FF9" w:rsidP="00925D2D">
            <w:pPr>
              <w:autoSpaceDE w:val="0"/>
              <w:autoSpaceDN w:val="0"/>
              <w:adjustRightInd w:val="0"/>
              <w:spacing w:line="240" w:lineRule="auto"/>
              <w:rPr>
                <w:rFonts w:ascii="Times New Roman" w:hAnsi="Times New Roman" w:cs="Times New Roman"/>
                <w:color w:val="000000" w:themeColor="text1"/>
                <w:sz w:val="20"/>
                <w:szCs w:val="20"/>
                <w:lang w:val="en-US"/>
              </w:rPr>
            </w:pPr>
            <w:r w:rsidRPr="00925D2D">
              <w:rPr>
                <w:rFonts w:ascii="Times New Roman" w:hAnsi="Times New Roman" w:cs="Times New Roman"/>
                <w:color w:val="000000" w:themeColor="text1"/>
                <w:sz w:val="20"/>
                <w:szCs w:val="20"/>
              </w:rPr>
              <w:t xml:space="preserve">İaof </w:t>
            </w:r>
            <w:r w:rsidRPr="00925D2D">
              <w:rPr>
                <w:rFonts w:ascii="Times New Roman" w:hAnsi="Times New Roman" w:cs="Times New Roman"/>
                <w:color w:val="000000" w:themeColor="text1"/>
                <w:sz w:val="20"/>
                <w:szCs w:val="20"/>
                <w:lang w:val="en-US"/>
              </w:rPr>
              <w:t>→</w:t>
            </w:r>
            <w:r w:rsidRPr="00925D2D">
              <w:rPr>
                <w:rFonts w:ascii="Times New Roman" w:hAnsi="Times New Roman" w:cs="Times New Roman"/>
                <w:color w:val="000000" w:themeColor="text1"/>
                <w:sz w:val="20"/>
                <w:szCs w:val="20"/>
              </w:rPr>
              <w:t xml:space="preserve"> BİST100</w:t>
            </w:r>
          </w:p>
        </w:tc>
        <w:tc>
          <w:tcPr>
            <w:tcW w:w="2151" w:type="dxa"/>
          </w:tcPr>
          <w:p w14:paraId="2FBDAC51" w14:textId="77777777" w:rsidR="00046FF9" w:rsidRPr="00925D2D" w:rsidRDefault="00046FF9" w:rsidP="00925D2D">
            <w:pPr>
              <w:spacing w:line="240" w:lineRule="auto"/>
              <w:jc w:val="center"/>
              <w:rPr>
                <w:rFonts w:ascii="Times New Roman" w:hAnsi="Times New Roman" w:cs="Times New Roman"/>
                <w:color w:val="000000" w:themeColor="text1"/>
                <w:sz w:val="20"/>
                <w:szCs w:val="20"/>
              </w:rPr>
            </w:pPr>
            <w:r w:rsidRPr="00925D2D">
              <w:rPr>
                <w:rFonts w:ascii="Times New Roman" w:hAnsi="Times New Roman" w:cs="Times New Roman"/>
                <w:color w:val="000000" w:themeColor="text1"/>
                <w:sz w:val="20"/>
                <w:szCs w:val="20"/>
              </w:rPr>
              <w:t>3</w:t>
            </w:r>
          </w:p>
        </w:tc>
        <w:tc>
          <w:tcPr>
            <w:tcW w:w="1483" w:type="dxa"/>
          </w:tcPr>
          <w:p w14:paraId="1A887CB7" w14:textId="77777777" w:rsidR="00046FF9" w:rsidRPr="00925D2D" w:rsidRDefault="00046FF9" w:rsidP="00925D2D">
            <w:pPr>
              <w:autoSpaceDE w:val="0"/>
              <w:autoSpaceDN w:val="0"/>
              <w:adjustRightInd w:val="0"/>
              <w:spacing w:line="240" w:lineRule="auto"/>
              <w:jc w:val="center"/>
              <w:rPr>
                <w:rFonts w:ascii="Times New Roman" w:hAnsi="Times New Roman" w:cs="Times New Roman"/>
                <w:color w:val="000000" w:themeColor="text1"/>
                <w:sz w:val="20"/>
                <w:szCs w:val="20"/>
                <w:lang w:val="en-US"/>
              </w:rPr>
            </w:pPr>
            <w:r w:rsidRPr="00925D2D">
              <w:rPr>
                <w:rFonts w:ascii="Times New Roman" w:hAnsi="Times New Roman" w:cs="Times New Roman"/>
                <w:color w:val="000000" w:themeColor="text1"/>
                <w:sz w:val="20"/>
                <w:szCs w:val="20"/>
                <w:lang w:val="en-US"/>
              </w:rPr>
              <w:t>2.691326</w:t>
            </w:r>
          </w:p>
        </w:tc>
        <w:tc>
          <w:tcPr>
            <w:tcW w:w="1635" w:type="dxa"/>
          </w:tcPr>
          <w:p w14:paraId="0125316E" w14:textId="77777777" w:rsidR="00046FF9" w:rsidRPr="00925D2D" w:rsidRDefault="00046FF9" w:rsidP="00925D2D">
            <w:pPr>
              <w:autoSpaceDE w:val="0"/>
              <w:autoSpaceDN w:val="0"/>
              <w:adjustRightInd w:val="0"/>
              <w:spacing w:line="240" w:lineRule="auto"/>
              <w:jc w:val="center"/>
              <w:rPr>
                <w:rFonts w:ascii="Times New Roman" w:hAnsi="Times New Roman" w:cs="Times New Roman"/>
                <w:color w:val="000000" w:themeColor="text1"/>
                <w:sz w:val="20"/>
                <w:szCs w:val="20"/>
                <w:lang w:val="en-US"/>
              </w:rPr>
            </w:pPr>
            <w:r w:rsidRPr="00925D2D">
              <w:rPr>
                <w:rFonts w:ascii="Times New Roman" w:hAnsi="Times New Roman" w:cs="Times New Roman"/>
                <w:color w:val="000000" w:themeColor="text1"/>
                <w:sz w:val="20"/>
                <w:szCs w:val="20"/>
                <w:lang w:val="en-US"/>
              </w:rPr>
              <w:t>0.2604</w:t>
            </w:r>
          </w:p>
        </w:tc>
        <w:tc>
          <w:tcPr>
            <w:tcW w:w="1701" w:type="dxa"/>
          </w:tcPr>
          <w:p w14:paraId="0AE5FE3D" w14:textId="77777777" w:rsidR="00046FF9" w:rsidRPr="00925D2D" w:rsidRDefault="00046FF9" w:rsidP="00925D2D">
            <w:pPr>
              <w:autoSpaceDE w:val="0"/>
              <w:autoSpaceDN w:val="0"/>
              <w:adjustRightInd w:val="0"/>
              <w:spacing w:line="240" w:lineRule="auto"/>
              <w:jc w:val="center"/>
              <w:rPr>
                <w:rFonts w:ascii="Times New Roman" w:hAnsi="Times New Roman" w:cs="Times New Roman"/>
                <w:color w:val="000000" w:themeColor="text1"/>
                <w:sz w:val="20"/>
                <w:szCs w:val="20"/>
                <w:lang w:val="en-US"/>
              </w:rPr>
            </w:pPr>
            <w:r w:rsidRPr="00925D2D">
              <w:rPr>
                <w:rFonts w:ascii="Times New Roman" w:hAnsi="Times New Roman" w:cs="Times New Roman"/>
                <w:color w:val="000000" w:themeColor="text1"/>
                <w:sz w:val="20"/>
                <w:szCs w:val="20"/>
                <w:lang w:val="en-US"/>
              </w:rPr>
              <w:t>Yok</w:t>
            </w:r>
          </w:p>
        </w:tc>
      </w:tr>
      <w:tr w:rsidR="00164238" w:rsidRPr="00925D2D" w14:paraId="09A0FBD6" w14:textId="77777777" w:rsidTr="00E40B0B">
        <w:trPr>
          <w:jc w:val="center"/>
        </w:trPr>
        <w:tc>
          <w:tcPr>
            <w:tcW w:w="2107" w:type="dxa"/>
          </w:tcPr>
          <w:p w14:paraId="0DF069B1" w14:textId="77777777" w:rsidR="00046FF9" w:rsidRPr="00925D2D" w:rsidRDefault="00046FF9" w:rsidP="00925D2D">
            <w:pPr>
              <w:autoSpaceDE w:val="0"/>
              <w:autoSpaceDN w:val="0"/>
              <w:adjustRightInd w:val="0"/>
              <w:spacing w:line="240" w:lineRule="auto"/>
              <w:rPr>
                <w:rFonts w:ascii="Times New Roman" w:hAnsi="Times New Roman" w:cs="Times New Roman"/>
                <w:color w:val="000000" w:themeColor="text1"/>
                <w:sz w:val="20"/>
                <w:szCs w:val="20"/>
                <w:lang w:val="en-US"/>
              </w:rPr>
            </w:pPr>
            <w:r w:rsidRPr="00925D2D">
              <w:rPr>
                <w:rFonts w:ascii="Times New Roman" w:hAnsi="Times New Roman" w:cs="Times New Roman"/>
                <w:color w:val="000000" w:themeColor="text1"/>
                <w:sz w:val="20"/>
                <w:szCs w:val="20"/>
              </w:rPr>
              <w:t xml:space="preserve">İaof </w:t>
            </w:r>
            <w:r w:rsidRPr="00925D2D">
              <w:rPr>
                <w:rFonts w:ascii="Times New Roman" w:hAnsi="Times New Roman" w:cs="Times New Roman"/>
                <w:color w:val="000000" w:themeColor="text1"/>
                <w:sz w:val="20"/>
                <w:szCs w:val="20"/>
                <w:lang w:val="en-US"/>
              </w:rPr>
              <w:t>→</w:t>
            </w:r>
            <w:r w:rsidRPr="00925D2D">
              <w:rPr>
                <w:rFonts w:ascii="Times New Roman" w:hAnsi="Times New Roman" w:cs="Times New Roman"/>
                <w:color w:val="000000" w:themeColor="text1"/>
                <w:sz w:val="20"/>
                <w:szCs w:val="20"/>
              </w:rPr>
              <w:t>$/TL</w:t>
            </w:r>
          </w:p>
        </w:tc>
        <w:tc>
          <w:tcPr>
            <w:tcW w:w="2151" w:type="dxa"/>
          </w:tcPr>
          <w:p w14:paraId="5B136ACD" w14:textId="77777777" w:rsidR="00046FF9" w:rsidRPr="00925D2D" w:rsidRDefault="00046FF9" w:rsidP="00925D2D">
            <w:pPr>
              <w:spacing w:line="240" w:lineRule="auto"/>
              <w:jc w:val="center"/>
              <w:rPr>
                <w:rFonts w:ascii="Times New Roman" w:hAnsi="Times New Roman" w:cs="Times New Roman"/>
                <w:color w:val="000000" w:themeColor="text1"/>
                <w:sz w:val="20"/>
                <w:szCs w:val="20"/>
              </w:rPr>
            </w:pPr>
            <w:r w:rsidRPr="00925D2D">
              <w:rPr>
                <w:rFonts w:ascii="Times New Roman" w:hAnsi="Times New Roman" w:cs="Times New Roman"/>
                <w:color w:val="000000" w:themeColor="text1"/>
                <w:sz w:val="20"/>
                <w:szCs w:val="20"/>
              </w:rPr>
              <w:t>3</w:t>
            </w:r>
          </w:p>
        </w:tc>
        <w:tc>
          <w:tcPr>
            <w:tcW w:w="1483" w:type="dxa"/>
          </w:tcPr>
          <w:p w14:paraId="12F52536" w14:textId="77777777" w:rsidR="00046FF9" w:rsidRPr="00925D2D" w:rsidRDefault="00046FF9" w:rsidP="00925D2D">
            <w:pPr>
              <w:autoSpaceDE w:val="0"/>
              <w:autoSpaceDN w:val="0"/>
              <w:adjustRightInd w:val="0"/>
              <w:spacing w:line="240" w:lineRule="auto"/>
              <w:jc w:val="center"/>
              <w:rPr>
                <w:rFonts w:ascii="Times New Roman" w:hAnsi="Times New Roman" w:cs="Times New Roman"/>
                <w:color w:val="000000" w:themeColor="text1"/>
                <w:sz w:val="20"/>
                <w:szCs w:val="20"/>
                <w:lang w:val="en-US"/>
              </w:rPr>
            </w:pPr>
            <w:r w:rsidRPr="00925D2D">
              <w:rPr>
                <w:rFonts w:ascii="Times New Roman" w:hAnsi="Times New Roman" w:cs="Times New Roman"/>
                <w:color w:val="000000" w:themeColor="text1"/>
                <w:sz w:val="20"/>
                <w:szCs w:val="20"/>
                <w:lang w:val="en-US"/>
              </w:rPr>
              <w:t>2.035715</w:t>
            </w:r>
          </w:p>
        </w:tc>
        <w:tc>
          <w:tcPr>
            <w:tcW w:w="1635" w:type="dxa"/>
          </w:tcPr>
          <w:p w14:paraId="61A1459B" w14:textId="77777777" w:rsidR="00046FF9" w:rsidRPr="00925D2D" w:rsidRDefault="00046FF9" w:rsidP="00925D2D">
            <w:pPr>
              <w:autoSpaceDE w:val="0"/>
              <w:autoSpaceDN w:val="0"/>
              <w:adjustRightInd w:val="0"/>
              <w:spacing w:line="240" w:lineRule="auto"/>
              <w:jc w:val="center"/>
              <w:rPr>
                <w:rFonts w:ascii="Times New Roman" w:hAnsi="Times New Roman" w:cs="Times New Roman"/>
                <w:color w:val="000000" w:themeColor="text1"/>
                <w:sz w:val="20"/>
                <w:szCs w:val="20"/>
                <w:lang w:val="en-US"/>
              </w:rPr>
            </w:pPr>
            <w:r w:rsidRPr="00925D2D">
              <w:rPr>
                <w:rFonts w:ascii="Times New Roman" w:hAnsi="Times New Roman" w:cs="Times New Roman"/>
                <w:color w:val="000000" w:themeColor="text1"/>
                <w:sz w:val="20"/>
                <w:szCs w:val="20"/>
                <w:lang w:val="en-US"/>
              </w:rPr>
              <w:t>0.3614</w:t>
            </w:r>
          </w:p>
        </w:tc>
        <w:tc>
          <w:tcPr>
            <w:tcW w:w="1701" w:type="dxa"/>
          </w:tcPr>
          <w:p w14:paraId="02F845F8" w14:textId="77777777" w:rsidR="00046FF9" w:rsidRPr="00925D2D" w:rsidRDefault="00046FF9" w:rsidP="00925D2D">
            <w:pPr>
              <w:autoSpaceDE w:val="0"/>
              <w:autoSpaceDN w:val="0"/>
              <w:adjustRightInd w:val="0"/>
              <w:spacing w:line="240" w:lineRule="auto"/>
              <w:jc w:val="center"/>
              <w:rPr>
                <w:rFonts w:ascii="Times New Roman" w:hAnsi="Times New Roman" w:cs="Times New Roman"/>
                <w:color w:val="000000" w:themeColor="text1"/>
                <w:sz w:val="20"/>
                <w:szCs w:val="20"/>
                <w:lang w:val="en-US"/>
              </w:rPr>
            </w:pPr>
            <w:r w:rsidRPr="00925D2D">
              <w:rPr>
                <w:rFonts w:ascii="Times New Roman" w:hAnsi="Times New Roman" w:cs="Times New Roman"/>
                <w:color w:val="000000" w:themeColor="text1"/>
                <w:sz w:val="20"/>
                <w:szCs w:val="20"/>
                <w:lang w:val="en-US"/>
              </w:rPr>
              <w:t>Yok</w:t>
            </w:r>
          </w:p>
        </w:tc>
      </w:tr>
      <w:tr w:rsidR="00164238" w:rsidRPr="00925D2D" w14:paraId="65B1AD54" w14:textId="77777777" w:rsidTr="00E40B0B">
        <w:trPr>
          <w:jc w:val="center"/>
        </w:trPr>
        <w:tc>
          <w:tcPr>
            <w:tcW w:w="2107" w:type="dxa"/>
          </w:tcPr>
          <w:p w14:paraId="7FE9F1D2" w14:textId="77777777" w:rsidR="00046FF9" w:rsidRPr="00925D2D" w:rsidRDefault="00046FF9" w:rsidP="00925D2D">
            <w:pPr>
              <w:autoSpaceDE w:val="0"/>
              <w:autoSpaceDN w:val="0"/>
              <w:adjustRightInd w:val="0"/>
              <w:spacing w:line="240" w:lineRule="auto"/>
              <w:rPr>
                <w:rFonts w:ascii="Times New Roman" w:hAnsi="Times New Roman" w:cs="Times New Roman"/>
                <w:b/>
                <w:color w:val="000000" w:themeColor="text1"/>
                <w:sz w:val="20"/>
                <w:szCs w:val="20"/>
                <w:lang w:val="en-US"/>
              </w:rPr>
            </w:pPr>
            <w:r w:rsidRPr="00925D2D">
              <w:rPr>
                <w:rFonts w:ascii="Times New Roman" w:hAnsi="Times New Roman" w:cs="Times New Roman"/>
                <w:b/>
                <w:color w:val="000000" w:themeColor="text1"/>
                <w:sz w:val="20"/>
                <w:szCs w:val="20"/>
              </w:rPr>
              <w:t>İaof →İtahvil</w:t>
            </w:r>
          </w:p>
        </w:tc>
        <w:tc>
          <w:tcPr>
            <w:tcW w:w="2151" w:type="dxa"/>
          </w:tcPr>
          <w:p w14:paraId="4CEEF526" w14:textId="77777777" w:rsidR="00046FF9" w:rsidRPr="00925D2D" w:rsidRDefault="00046FF9" w:rsidP="00925D2D">
            <w:pPr>
              <w:spacing w:line="240" w:lineRule="auto"/>
              <w:jc w:val="center"/>
              <w:rPr>
                <w:rFonts w:ascii="Times New Roman" w:hAnsi="Times New Roman" w:cs="Times New Roman"/>
                <w:color w:val="000000" w:themeColor="text1"/>
                <w:sz w:val="20"/>
                <w:szCs w:val="20"/>
              </w:rPr>
            </w:pPr>
            <w:r w:rsidRPr="00925D2D">
              <w:rPr>
                <w:rFonts w:ascii="Times New Roman" w:hAnsi="Times New Roman" w:cs="Times New Roman"/>
                <w:color w:val="000000" w:themeColor="text1"/>
                <w:sz w:val="20"/>
                <w:szCs w:val="20"/>
              </w:rPr>
              <w:t>3</w:t>
            </w:r>
          </w:p>
        </w:tc>
        <w:tc>
          <w:tcPr>
            <w:tcW w:w="1483" w:type="dxa"/>
          </w:tcPr>
          <w:p w14:paraId="063F84B5" w14:textId="77777777" w:rsidR="00046FF9" w:rsidRPr="00925D2D" w:rsidRDefault="00046FF9" w:rsidP="00925D2D">
            <w:pPr>
              <w:autoSpaceDE w:val="0"/>
              <w:autoSpaceDN w:val="0"/>
              <w:adjustRightInd w:val="0"/>
              <w:spacing w:line="240" w:lineRule="auto"/>
              <w:jc w:val="center"/>
              <w:rPr>
                <w:rFonts w:ascii="Times New Roman" w:hAnsi="Times New Roman" w:cs="Times New Roman"/>
                <w:b/>
                <w:color w:val="000000" w:themeColor="text1"/>
                <w:sz w:val="20"/>
                <w:szCs w:val="20"/>
                <w:lang w:val="en-US"/>
              </w:rPr>
            </w:pPr>
            <w:r w:rsidRPr="00925D2D">
              <w:rPr>
                <w:rFonts w:ascii="Times New Roman" w:hAnsi="Times New Roman" w:cs="Times New Roman"/>
                <w:b/>
                <w:color w:val="000000" w:themeColor="text1"/>
                <w:sz w:val="20"/>
                <w:szCs w:val="20"/>
                <w:lang w:val="en-US"/>
              </w:rPr>
              <w:t>8.153719</w:t>
            </w:r>
          </w:p>
        </w:tc>
        <w:tc>
          <w:tcPr>
            <w:tcW w:w="1635" w:type="dxa"/>
          </w:tcPr>
          <w:p w14:paraId="4DD2B552" w14:textId="77777777" w:rsidR="00046FF9" w:rsidRPr="00925D2D" w:rsidRDefault="00046FF9" w:rsidP="00925D2D">
            <w:pPr>
              <w:autoSpaceDE w:val="0"/>
              <w:autoSpaceDN w:val="0"/>
              <w:adjustRightInd w:val="0"/>
              <w:spacing w:line="240" w:lineRule="auto"/>
              <w:jc w:val="center"/>
              <w:rPr>
                <w:rFonts w:ascii="Times New Roman" w:hAnsi="Times New Roman" w:cs="Times New Roman"/>
                <w:b/>
                <w:color w:val="000000" w:themeColor="text1"/>
                <w:sz w:val="20"/>
                <w:szCs w:val="20"/>
                <w:lang w:val="en-US"/>
              </w:rPr>
            </w:pPr>
            <w:r w:rsidRPr="00925D2D">
              <w:rPr>
                <w:rFonts w:ascii="Times New Roman" w:hAnsi="Times New Roman" w:cs="Times New Roman"/>
                <w:b/>
                <w:color w:val="000000" w:themeColor="text1"/>
                <w:sz w:val="20"/>
                <w:szCs w:val="20"/>
                <w:lang w:val="en-US"/>
              </w:rPr>
              <w:t>0.0170</w:t>
            </w:r>
          </w:p>
        </w:tc>
        <w:tc>
          <w:tcPr>
            <w:tcW w:w="1701" w:type="dxa"/>
          </w:tcPr>
          <w:p w14:paraId="2782F304" w14:textId="77777777" w:rsidR="00046FF9" w:rsidRPr="00925D2D" w:rsidRDefault="00046FF9" w:rsidP="00925D2D">
            <w:pPr>
              <w:autoSpaceDE w:val="0"/>
              <w:autoSpaceDN w:val="0"/>
              <w:adjustRightInd w:val="0"/>
              <w:spacing w:line="240" w:lineRule="auto"/>
              <w:jc w:val="center"/>
              <w:rPr>
                <w:rFonts w:ascii="Times New Roman" w:hAnsi="Times New Roman" w:cs="Times New Roman"/>
                <w:b/>
                <w:color w:val="000000" w:themeColor="text1"/>
                <w:sz w:val="20"/>
                <w:szCs w:val="20"/>
                <w:lang w:val="en-US"/>
              </w:rPr>
            </w:pPr>
            <w:r w:rsidRPr="00925D2D">
              <w:rPr>
                <w:rFonts w:ascii="Times New Roman" w:hAnsi="Times New Roman" w:cs="Times New Roman"/>
                <w:b/>
                <w:color w:val="000000" w:themeColor="text1"/>
                <w:sz w:val="20"/>
                <w:szCs w:val="20"/>
                <w:lang w:val="en-US"/>
              </w:rPr>
              <w:t>Var</w:t>
            </w:r>
          </w:p>
        </w:tc>
      </w:tr>
      <w:tr w:rsidR="00164238" w:rsidRPr="00925D2D" w14:paraId="617C5A59" w14:textId="77777777" w:rsidTr="00E40B0B">
        <w:trPr>
          <w:jc w:val="center"/>
        </w:trPr>
        <w:tc>
          <w:tcPr>
            <w:tcW w:w="2107" w:type="dxa"/>
          </w:tcPr>
          <w:p w14:paraId="6C53574A" w14:textId="77777777" w:rsidR="00046FF9" w:rsidRPr="00925D2D" w:rsidRDefault="00020A27" w:rsidP="00925D2D">
            <w:pPr>
              <w:spacing w:line="240" w:lineRule="auto"/>
              <w:jc w:val="both"/>
              <w:rPr>
                <w:rFonts w:ascii="Times New Roman" w:hAnsi="Times New Roman" w:cs="Times New Roman"/>
                <w:color w:val="000000" w:themeColor="text1"/>
                <w:sz w:val="20"/>
                <w:szCs w:val="20"/>
              </w:rPr>
            </w:pPr>
            <w:r w:rsidRPr="00925D2D">
              <w:rPr>
                <w:rFonts w:ascii="Times New Roman" w:hAnsi="Times New Roman" w:cs="Times New Roman"/>
                <w:color w:val="000000" w:themeColor="text1"/>
                <w:sz w:val="20"/>
                <w:szCs w:val="20"/>
              </w:rPr>
              <w:t>TRlibor</w:t>
            </w:r>
            <w:r w:rsidR="00046FF9" w:rsidRPr="00925D2D">
              <w:rPr>
                <w:rFonts w:ascii="Times New Roman" w:hAnsi="Times New Roman" w:cs="Times New Roman"/>
                <w:color w:val="000000" w:themeColor="text1"/>
                <w:sz w:val="20"/>
                <w:szCs w:val="20"/>
              </w:rPr>
              <w:t>→BİST100</w:t>
            </w:r>
          </w:p>
        </w:tc>
        <w:tc>
          <w:tcPr>
            <w:tcW w:w="2151" w:type="dxa"/>
          </w:tcPr>
          <w:p w14:paraId="5448A1AD" w14:textId="77777777" w:rsidR="00046FF9" w:rsidRPr="00925D2D" w:rsidRDefault="00046FF9" w:rsidP="00925D2D">
            <w:pPr>
              <w:spacing w:line="240" w:lineRule="auto"/>
              <w:jc w:val="center"/>
              <w:rPr>
                <w:rFonts w:ascii="Times New Roman" w:hAnsi="Times New Roman" w:cs="Times New Roman"/>
                <w:color w:val="000000" w:themeColor="text1"/>
                <w:sz w:val="20"/>
                <w:szCs w:val="20"/>
              </w:rPr>
            </w:pPr>
            <w:r w:rsidRPr="00925D2D">
              <w:rPr>
                <w:rFonts w:ascii="Times New Roman" w:hAnsi="Times New Roman" w:cs="Times New Roman"/>
                <w:color w:val="000000" w:themeColor="text1"/>
                <w:sz w:val="20"/>
                <w:szCs w:val="20"/>
              </w:rPr>
              <w:t>3</w:t>
            </w:r>
          </w:p>
        </w:tc>
        <w:tc>
          <w:tcPr>
            <w:tcW w:w="1483" w:type="dxa"/>
          </w:tcPr>
          <w:p w14:paraId="016F43FE" w14:textId="77777777" w:rsidR="00046FF9" w:rsidRPr="00925D2D" w:rsidRDefault="00046FF9" w:rsidP="00925D2D">
            <w:pPr>
              <w:autoSpaceDE w:val="0"/>
              <w:autoSpaceDN w:val="0"/>
              <w:adjustRightInd w:val="0"/>
              <w:spacing w:line="240" w:lineRule="auto"/>
              <w:jc w:val="center"/>
              <w:rPr>
                <w:rFonts w:ascii="Times New Roman" w:hAnsi="Times New Roman" w:cs="Times New Roman"/>
                <w:color w:val="000000" w:themeColor="text1"/>
                <w:sz w:val="20"/>
                <w:szCs w:val="20"/>
                <w:lang w:val="en-US"/>
              </w:rPr>
            </w:pPr>
            <w:r w:rsidRPr="00925D2D">
              <w:rPr>
                <w:rFonts w:ascii="Times New Roman" w:hAnsi="Times New Roman" w:cs="Times New Roman"/>
                <w:color w:val="000000" w:themeColor="text1"/>
                <w:sz w:val="20"/>
                <w:szCs w:val="20"/>
                <w:lang w:val="en-US"/>
              </w:rPr>
              <w:t>3.552873</w:t>
            </w:r>
          </w:p>
        </w:tc>
        <w:tc>
          <w:tcPr>
            <w:tcW w:w="1635" w:type="dxa"/>
          </w:tcPr>
          <w:p w14:paraId="24900818" w14:textId="77777777" w:rsidR="00046FF9" w:rsidRPr="00925D2D" w:rsidRDefault="00046FF9" w:rsidP="00925D2D">
            <w:pPr>
              <w:autoSpaceDE w:val="0"/>
              <w:autoSpaceDN w:val="0"/>
              <w:adjustRightInd w:val="0"/>
              <w:spacing w:line="240" w:lineRule="auto"/>
              <w:jc w:val="center"/>
              <w:rPr>
                <w:rFonts w:ascii="Times New Roman" w:hAnsi="Times New Roman" w:cs="Times New Roman"/>
                <w:color w:val="000000" w:themeColor="text1"/>
                <w:sz w:val="20"/>
                <w:szCs w:val="20"/>
                <w:lang w:val="en-US"/>
              </w:rPr>
            </w:pPr>
            <w:r w:rsidRPr="00925D2D">
              <w:rPr>
                <w:rFonts w:ascii="Times New Roman" w:hAnsi="Times New Roman" w:cs="Times New Roman"/>
                <w:color w:val="000000" w:themeColor="text1"/>
                <w:sz w:val="20"/>
                <w:szCs w:val="20"/>
                <w:lang w:val="en-US"/>
              </w:rPr>
              <w:t>0.1692</w:t>
            </w:r>
          </w:p>
        </w:tc>
        <w:tc>
          <w:tcPr>
            <w:tcW w:w="1701" w:type="dxa"/>
          </w:tcPr>
          <w:p w14:paraId="449349A0" w14:textId="77777777" w:rsidR="00046FF9" w:rsidRPr="00925D2D" w:rsidRDefault="00046FF9" w:rsidP="00925D2D">
            <w:pPr>
              <w:autoSpaceDE w:val="0"/>
              <w:autoSpaceDN w:val="0"/>
              <w:adjustRightInd w:val="0"/>
              <w:spacing w:line="240" w:lineRule="auto"/>
              <w:jc w:val="center"/>
              <w:rPr>
                <w:rFonts w:ascii="Times New Roman" w:hAnsi="Times New Roman" w:cs="Times New Roman"/>
                <w:color w:val="000000" w:themeColor="text1"/>
                <w:sz w:val="20"/>
                <w:szCs w:val="20"/>
                <w:lang w:val="en-US"/>
              </w:rPr>
            </w:pPr>
            <w:r w:rsidRPr="00925D2D">
              <w:rPr>
                <w:rFonts w:ascii="Times New Roman" w:hAnsi="Times New Roman" w:cs="Times New Roman"/>
                <w:color w:val="000000" w:themeColor="text1"/>
                <w:sz w:val="20"/>
                <w:szCs w:val="20"/>
                <w:lang w:val="en-US"/>
              </w:rPr>
              <w:t>Yok</w:t>
            </w:r>
          </w:p>
        </w:tc>
      </w:tr>
      <w:tr w:rsidR="00164238" w:rsidRPr="00925D2D" w14:paraId="09AC79FA" w14:textId="77777777" w:rsidTr="00E40B0B">
        <w:trPr>
          <w:jc w:val="center"/>
        </w:trPr>
        <w:tc>
          <w:tcPr>
            <w:tcW w:w="2107" w:type="dxa"/>
          </w:tcPr>
          <w:p w14:paraId="7AA2FAF8" w14:textId="77777777" w:rsidR="00046FF9" w:rsidRPr="00925D2D" w:rsidRDefault="00020A27" w:rsidP="00925D2D">
            <w:pPr>
              <w:spacing w:line="240" w:lineRule="auto"/>
              <w:jc w:val="both"/>
              <w:rPr>
                <w:rFonts w:ascii="Times New Roman" w:hAnsi="Times New Roman" w:cs="Times New Roman"/>
                <w:b/>
                <w:color w:val="000000" w:themeColor="text1"/>
                <w:sz w:val="20"/>
                <w:szCs w:val="20"/>
              </w:rPr>
            </w:pPr>
            <w:r w:rsidRPr="00925D2D">
              <w:rPr>
                <w:rFonts w:ascii="Times New Roman" w:hAnsi="Times New Roman" w:cs="Times New Roman"/>
                <w:color w:val="000000" w:themeColor="text1"/>
                <w:sz w:val="20"/>
                <w:szCs w:val="20"/>
              </w:rPr>
              <w:t>TRlibor</w:t>
            </w:r>
            <w:r w:rsidRPr="00925D2D">
              <w:rPr>
                <w:rFonts w:ascii="Times New Roman" w:hAnsi="Times New Roman" w:cs="Times New Roman"/>
                <w:b/>
                <w:color w:val="000000" w:themeColor="text1"/>
                <w:sz w:val="20"/>
                <w:szCs w:val="20"/>
              </w:rPr>
              <w:t xml:space="preserve"> </w:t>
            </w:r>
            <w:r w:rsidR="00046FF9" w:rsidRPr="00925D2D">
              <w:rPr>
                <w:rFonts w:ascii="Times New Roman" w:hAnsi="Times New Roman" w:cs="Times New Roman"/>
                <w:b/>
                <w:color w:val="000000" w:themeColor="text1"/>
                <w:sz w:val="20"/>
                <w:szCs w:val="20"/>
              </w:rPr>
              <w:t>→$/TL</w:t>
            </w:r>
          </w:p>
        </w:tc>
        <w:tc>
          <w:tcPr>
            <w:tcW w:w="2151" w:type="dxa"/>
          </w:tcPr>
          <w:p w14:paraId="5982F8D9" w14:textId="77777777" w:rsidR="00046FF9" w:rsidRPr="00925D2D" w:rsidRDefault="00046FF9" w:rsidP="00925D2D">
            <w:pPr>
              <w:spacing w:line="240" w:lineRule="auto"/>
              <w:jc w:val="center"/>
              <w:rPr>
                <w:rFonts w:ascii="Times New Roman" w:hAnsi="Times New Roman" w:cs="Times New Roman"/>
                <w:color w:val="000000" w:themeColor="text1"/>
                <w:sz w:val="20"/>
                <w:szCs w:val="20"/>
              </w:rPr>
            </w:pPr>
            <w:r w:rsidRPr="00925D2D">
              <w:rPr>
                <w:rFonts w:ascii="Times New Roman" w:hAnsi="Times New Roman" w:cs="Times New Roman"/>
                <w:color w:val="000000" w:themeColor="text1"/>
                <w:sz w:val="20"/>
                <w:szCs w:val="20"/>
              </w:rPr>
              <w:t>3</w:t>
            </w:r>
          </w:p>
        </w:tc>
        <w:tc>
          <w:tcPr>
            <w:tcW w:w="1483" w:type="dxa"/>
          </w:tcPr>
          <w:p w14:paraId="1091874F" w14:textId="77777777" w:rsidR="00046FF9" w:rsidRPr="00925D2D" w:rsidRDefault="00046FF9" w:rsidP="00925D2D">
            <w:pPr>
              <w:autoSpaceDE w:val="0"/>
              <w:autoSpaceDN w:val="0"/>
              <w:adjustRightInd w:val="0"/>
              <w:spacing w:line="240" w:lineRule="auto"/>
              <w:jc w:val="center"/>
              <w:rPr>
                <w:rFonts w:ascii="Times New Roman" w:hAnsi="Times New Roman" w:cs="Times New Roman"/>
                <w:b/>
                <w:color w:val="000000" w:themeColor="text1"/>
                <w:sz w:val="20"/>
                <w:szCs w:val="20"/>
                <w:lang w:val="en-US"/>
              </w:rPr>
            </w:pPr>
            <w:r w:rsidRPr="00925D2D">
              <w:rPr>
                <w:rFonts w:ascii="Times New Roman" w:hAnsi="Times New Roman" w:cs="Times New Roman"/>
                <w:b/>
                <w:color w:val="000000" w:themeColor="text1"/>
                <w:sz w:val="20"/>
                <w:szCs w:val="20"/>
                <w:lang w:val="en-US"/>
              </w:rPr>
              <w:t>7.589646</w:t>
            </w:r>
          </w:p>
        </w:tc>
        <w:tc>
          <w:tcPr>
            <w:tcW w:w="1635" w:type="dxa"/>
          </w:tcPr>
          <w:p w14:paraId="3A009972" w14:textId="77777777" w:rsidR="00046FF9" w:rsidRPr="00925D2D" w:rsidRDefault="00046FF9" w:rsidP="00925D2D">
            <w:pPr>
              <w:autoSpaceDE w:val="0"/>
              <w:autoSpaceDN w:val="0"/>
              <w:adjustRightInd w:val="0"/>
              <w:spacing w:line="240" w:lineRule="auto"/>
              <w:jc w:val="center"/>
              <w:rPr>
                <w:rFonts w:ascii="Times New Roman" w:hAnsi="Times New Roman" w:cs="Times New Roman"/>
                <w:b/>
                <w:color w:val="000000" w:themeColor="text1"/>
                <w:sz w:val="20"/>
                <w:szCs w:val="20"/>
                <w:lang w:val="en-US"/>
              </w:rPr>
            </w:pPr>
            <w:r w:rsidRPr="00925D2D">
              <w:rPr>
                <w:rFonts w:ascii="Times New Roman" w:hAnsi="Times New Roman" w:cs="Times New Roman"/>
                <w:b/>
                <w:color w:val="000000" w:themeColor="text1"/>
                <w:sz w:val="20"/>
                <w:szCs w:val="20"/>
                <w:lang w:val="en-US"/>
              </w:rPr>
              <w:t>0.0225</w:t>
            </w:r>
          </w:p>
        </w:tc>
        <w:tc>
          <w:tcPr>
            <w:tcW w:w="1701" w:type="dxa"/>
          </w:tcPr>
          <w:p w14:paraId="440B89A6" w14:textId="77777777" w:rsidR="00046FF9" w:rsidRPr="00925D2D" w:rsidRDefault="00046FF9" w:rsidP="00925D2D">
            <w:pPr>
              <w:autoSpaceDE w:val="0"/>
              <w:autoSpaceDN w:val="0"/>
              <w:adjustRightInd w:val="0"/>
              <w:spacing w:line="240" w:lineRule="auto"/>
              <w:jc w:val="center"/>
              <w:rPr>
                <w:rFonts w:ascii="Times New Roman" w:hAnsi="Times New Roman" w:cs="Times New Roman"/>
                <w:b/>
                <w:color w:val="000000" w:themeColor="text1"/>
                <w:sz w:val="20"/>
                <w:szCs w:val="20"/>
                <w:lang w:val="en-US"/>
              </w:rPr>
            </w:pPr>
            <w:r w:rsidRPr="00925D2D">
              <w:rPr>
                <w:rFonts w:ascii="Times New Roman" w:hAnsi="Times New Roman" w:cs="Times New Roman"/>
                <w:b/>
                <w:color w:val="000000" w:themeColor="text1"/>
                <w:sz w:val="20"/>
                <w:szCs w:val="20"/>
                <w:lang w:val="en-US"/>
              </w:rPr>
              <w:t>Var</w:t>
            </w:r>
          </w:p>
        </w:tc>
      </w:tr>
      <w:tr w:rsidR="00164238" w:rsidRPr="00925D2D" w14:paraId="22A077F2" w14:textId="77777777" w:rsidTr="00E40B0B">
        <w:trPr>
          <w:jc w:val="center"/>
        </w:trPr>
        <w:tc>
          <w:tcPr>
            <w:tcW w:w="2107" w:type="dxa"/>
          </w:tcPr>
          <w:p w14:paraId="38D0290A" w14:textId="77777777" w:rsidR="00046FF9" w:rsidRPr="00925D2D" w:rsidRDefault="00020A27" w:rsidP="00925D2D">
            <w:pPr>
              <w:spacing w:line="240" w:lineRule="auto"/>
              <w:jc w:val="both"/>
              <w:rPr>
                <w:rFonts w:ascii="Times New Roman" w:hAnsi="Times New Roman" w:cs="Times New Roman"/>
                <w:color w:val="000000" w:themeColor="text1"/>
                <w:sz w:val="20"/>
                <w:szCs w:val="20"/>
              </w:rPr>
            </w:pPr>
            <w:r w:rsidRPr="00925D2D">
              <w:rPr>
                <w:rFonts w:ascii="Times New Roman" w:hAnsi="Times New Roman" w:cs="Times New Roman"/>
                <w:color w:val="000000" w:themeColor="text1"/>
                <w:sz w:val="20"/>
                <w:szCs w:val="20"/>
              </w:rPr>
              <w:t xml:space="preserve">TRlibor </w:t>
            </w:r>
            <w:r w:rsidR="00046FF9" w:rsidRPr="00925D2D">
              <w:rPr>
                <w:rFonts w:ascii="Times New Roman" w:hAnsi="Times New Roman" w:cs="Times New Roman"/>
                <w:color w:val="000000" w:themeColor="text1"/>
                <w:sz w:val="20"/>
                <w:szCs w:val="20"/>
              </w:rPr>
              <w:t>→ İtahvil</w:t>
            </w:r>
          </w:p>
        </w:tc>
        <w:tc>
          <w:tcPr>
            <w:tcW w:w="2151" w:type="dxa"/>
          </w:tcPr>
          <w:p w14:paraId="24C32779" w14:textId="77777777" w:rsidR="00046FF9" w:rsidRPr="00925D2D" w:rsidRDefault="00046FF9" w:rsidP="00925D2D">
            <w:pPr>
              <w:spacing w:line="240" w:lineRule="auto"/>
              <w:jc w:val="center"/>
              <w:rPr>
                <w:rFonts w:ascii="Times New Roman" w:hAnsi="Times New Roman" w:cs="Times New Roman"/>
                <w:color w:val="000000" w:themeColor="text1"/>
                <w:sz w:val="20"/>
                <w:szCs w:val="20"/>
              </w:rPr>
            </w:pPr>
            <w:r w:rsidRPr="00925D2D">
              <w:rPr>
                <w:rFonts w:ascii="Times New Roman" w:hAnsi="Times New Roman" w:cs="Times New Roman"/>
                <w:color w:val="000000" w:themeColor="text1"/>
                <w:sz w:val="20"/>
                <w:szCs w:val="20"/>
              </w:rPr>
              <w:t>3</w:t>
            </w:r>
          </w:p>
        </w:tc>
        <w:tc>
          <w:tcPr>
            <w:tcW w:w="1483" w:type="dxa"/>
          </w:tcPr>
          <w:p w14:paraId="6DCE0154" w14:textId="77777777" w:rsidR="00046FF9" w:rsidRPr="00925D2D" w:rsidRDefault="00046FF9" w:rsidP="00925D2D">
            <w:pPr>
              <w:autoSpaceDE w:val="0"/>
              <w:autoSpaceDN w:val="0"/>
              <w:adjustRightInd w:val="0"/>
              <w:spacing w:line="240" w:lineRule="auto"/>
              <w:jc w:val="center"/>
              <w:rPr>
                <w:rFonts w:ascii="Times New Roman" w:hAnsi="Times New Roman" w:cs="Times New Roman"/>
                <w:color w:val="000000" w:themeColor="text1"/>
                <w:sz w:val="20"/>
                <w:szCs w:val="20"/>
                <w:lang w:val="en-US"/>
              </w:rPr>
            </w:pPr>
            <w:r w:rsidRPr="00925D2D">
              <w:rPr>
                <w:rFonts w:ascii="Times New Roman" w:hAnsi="Times New Roman" w:cs="Times New Roman"/>
                <w:color w:val="000000" w:themeColor="text1"/>
                <w:sz w:val="20"/>
                <w:szCs w:val="20"/>
                <w:lang w:val="en-US"/>
              </w:rPr>
              <w:t>1.904288</w:t>
            </w:r>
          </w:p>
        </w:tc>
        <w:tc>
          <w:tcPr>
            <w:tcW w:w="1635" w:type="dxa"/>
          </w:tcPr>
          <w:p w14:paraId="1315F272" w14:textId="77777777" w:rsidR="00046FF9" w:rsidRPr="00925D2D" w:rsidRDefault="00046FF9" w:rsidP="00925D2D">
            <w:pPr>
              <w:autoSpaceDE w:val="0"/>
              <w:autoSpaceDN w:val="0"/>
              <w:adjustRightInd w:val="0"/>
              <w:spacing w:line="240" w:lineRule="auto"/>
              <w:jc w:val="center"/>
              <w:rPr>
                <w:rFonts w:ascii="Times New Roman" w:hAnsi="Times New Roman" w:cs="Times New Roman"/>
                <w:color w:val="000000" w:themeColor="text1"/>
                <w:sz w:val="20"/>
                <w:szCs w:val="20"/>
                <w:lang w:val="en-US"/>
              </w:rPr>
            </w:pPr>
            <w:r w:rsidRPr="00925D2D">
              <w:rPr>
                <w:rFonts w:ascii="Times New Roman" w:hAnsi="Times New Roman" w:cs="Times New Roman"/>
                <w:color w:val="000000" w:themeColor="text1"/>
                <w:sz w:val="20"/>
                <w:szCs w:val="20"/>
                <w:lang w:val="en-US"/>
              </w:rPr>
              <w:t>0.3859</w:t>
            </w:r>
          </w:p>
        </w:tc>
        <w:tc>
          <w:tcPr>
            <w:tcW w:w="1701" w:type="dxa"/>
          </w:tcPr>
          <w:p w14:paraId="4C02CDDD" w14:textId="77777777" w:rsidR="00046FF9" w:rsidRPr="00925D2D" w:rsidRDefault="00046FF9" w:rsidP="00925D2D">
            <w:pPr>
              <w:autoSpaceDE w:val="0"/>
              <w:autoSpaceDN w:val="0"/>
              <w:adjustRightInd w:val="0"/>
              <w:spacing w:line="240" w:lineRule="auto"/>
              <w:jc w:val="center"/>
              <w:rPr>
                <w:rFonts w:ascii="Times New Roman" w:hAnsi="Times New Roman" w:cs="Times New Roman"/>
                <w:color w:val="000000" w:themeColor="text1"/>
                <w:sz w:val="20"/>
                <w:szCs w:val="20"/>
                <w:lang w:val="en-US"/>
              </w:rPr>
            </w:pPr>
            <w:r w:rsidRPr="00925D2D">
              <w:rPr>
                <w:rFonts w:ascii="Times New Roman" w:hAnsi="Times New Roman" w:cs="Times New Roman"/>
                <w:color w:val="000000" w:themeColor="text1"/>
                <w:sz w:val="20"/>
                <w:szCs w:val="20"/>
                <w:lang w:val="en-US"/>
              </w:rPr>
              <w:t>Yok</w:t>
            </w:r>
          </w:p>
        </w:tc>
      </w:tr>
      <w:tr w:rsidR="00164238" w:rsidRPr="00925D2D" w14:paraId="0E9F70B7" w14:textId="77777777" w:rsidTr="00E40B0B">
        <w:trPr>
          <w:jc w:val="center"/>
        </w:trPr>
        <w:tc>
          <w:tcPr>
            <w:tcW w:w="2107" w:type="dxa"/>
          </w:tcPr>
          <w:p w14:paraId="01263E88" w14:textId="77777777" w:rsidR="00046FF9" w:rsidRPr="00925D2D" w:rsidRDefault="00046FF9" w:rsidP="00925D2D">
            <w:pPr>
              <w:spacing w:line="240" w:lineRule="auto"/>
              <w:jc w:val="both"/>
              <w:rPr>
                <w:rFonts w:ascii="Times New Roman" w:hAnsi="Times New Roman" w:cs="Times New Roman"/>
                <w:b/>
                <w:color w:val="000000" w:themeColor="text1"/>
                <w:sz w:val="20"/>
                <w:szCs w:val="20"/>
              </w:rPr>
            </w:pPr>
            <w:r w:rsidRPr="00925D2D">
              <w:rPr>
                <w:rFonts w:ascii="Times New Roman" w:hAnsi="Times New Roman" w:cs="Times New Roman"/>
                <w:b/>
                <w:color w:val="000000" w:themeColor="text1"/>
                <w:sz w:val="20"/>
                <w:szCs w:val="20"/>
              </w:rPr>
              <w:t>BİST100→$/TL</w:t>
            </w:r>
          </w:p>
        </w:tc>
        <w:tc>
          <w:tcPr>
            <w:tcW w:w="2151" w:type="dxa"/>
          </w:tcPr>
          <w:p w14:paraId="3339A30D" w14:textId="77777777" w:rsidR="00046FF9" w:rsidRPr="00925D2D" w:rsidRDefault="00046FF9" w:rsidP="00925D2D">
            <w:pPr>
              <w:spacing w:line="240" w:lineRule="auto"/>
              <w:jc w:val="center"/>
              <w:rPr>
                <w:rFonts w:ascii="Times New Roman" w:hAnsi="Times New Roman" w:cs="Times New Roman"/>
                <w:color w:val="000000" w:themeColor="text1"/>
                <w:sz w:val="20"/>
                <w:szCs w:val="20"/>
              </w:rPr>
            </w:pPr>
            <w:r w:rsidRPr="00925D2D">
              <w:rPr>
                <w:rFonts w:ascii="Times New Roman" w:hAnsi="Times New Roman" w:cs="Times New Roman"/>
                <w:color w:val="000000" w:themeColor="text1"/>
                <w:sz w:val="20"/>
                <w:szCs w:val="20"/>
              </w:rPr>
              <w:t>3</w:t>
            </w:r>
          </w:p>
        </w:tc>
        <w:tc>
          <w:tcPr>
            <w:tcW w:w="1483" w:type="dxa"/>
          </w:tcPr>
          <w:p w14:paraId="4530F3AE" w14:textId="77777777" w:rsidR="00046FF9" w:rsidRPr="00925D2D" w:rsidRDefault="00046FF9" w:rsidP="00925D2D">
            <w:pPr>
              <w:autoSpaceDE w:val="0"/>
              <w:autoSpaceDN w:val="0"/>
              <w:adjustRightInd w:val="0"/>
              <w:spacing w:line="240" w:lineRule="auto"/>
              <w:jc w:val="center"/>
              <w:rPr>
                <w:rFonts w:ascii="Times New Roman" w:hAnsi="Times New Roman" w:cs="Times New Roman"/>
                <w:b/>
                <w:color w:val="000000" w:themeColor="text1"/>
                <w:sz w:val="20"/>
                <w:szCs w:val="20"/>
                <w:lang w:val="en-US"/>
              </w:rPr>
            </w:pPr>
            <w:r w:rsidRPr="00925D2D">
              <w:rPr>
                <w:rFonts w:ascii="Times New Roman" w:hAnsi="Times New Roman" w:cs="Times New Roman"/>
                <w:b/>
                <w:color w:val="000000" w:themeColor="text1"/>
                <w:sz w:val="20"/>
                <w:szCs w:val="20"/>
                <w:lang w:val="en-US"/>
              </w:rPr>
              <w:t>8.587733</w:t>
            </w:r>
          </w:p>
        </w:tc>
        <w:tc>
          <w:tcPr>
            <w:tcW w:w="1635" w:type="dxa"/>
          </w:tcPr>
          <w:p w14:paraId="020123E8" w14:textId="77777777" w:rsidR="00046FF9" w:rsidRPr="00925D2D" w:rsidRDefault="00046FF9" w:rsidP="00925D2D">
            <w:pPr>
              <w:autoSpaceDE w:val="0"/>
              <w:autoSpaceDN w:val="0"/>
              <w:adjustRightInd w:val="0"/>
              <w:spacing w:line="240" w:lineRule="auto"/>
              <w:jc w:val="center"/>
              <w:rPr>
                <w:rFonts w:ascii="Times New Roman" w:hAnsi="Times New Roman" w:cs="Times New Roman"/>
                <w:b/>
                <w:color w:val="000000" w:themeColor="text1"/>
                <w:sz w:val="20"/>
                <w:szCs w:val="20"/>
                <w:lang w:val="en-US"/>
              </w:rPr>
            </w:pPr>
            <w:r w:rsidRPr="00925D2D">
              <w:rPr>
                <w:rFonts w:ascii="Times New Roman" w:hAnsi="Times New Roman" w:cs="Times New Roman"/>
                <w:b/>
                <w:color w:val="000000" w:themeColor="text1"/>
                <w:sz w:val="20"/>
                <w:szCs w:val="20"/>
                <w:lang w:val="en-US"/>
              </w:rPr>
              <w:t>0.0137</w:t>
            </w:r>
          </w:p>
        </w:tc>
        <w:tc>
          <w:tcPr>
            <w:tcW w:w="1701" w:type="dxa"/>
          </w:tcPr>
          <w:p w14:paraId="00CB343B" w14:textId="77777777" w:rsidR="00046FF9" w:rsidRPr="00925D2D" w:rsidRDefault="00046FF9" w:rsidP="00925D2D">
            <w:pPr>
              <w:autoSpaceDE w:val="0"/>
              <w:autoSpaceDN w:val="0"/>
              <w:adjustRightInd w:val="0"/>
              <w:spacing w:line="240" w:lineRule="auto"/>
              <w:jc w:val="center"/>
              <w:rPr>
                <w:rFonts w:ascii="Times New Roman" w:hAnsi="Times New Roman" w:cs="Times New Roman"/>
                <w:b/>
                <w:color w:val="000000" w:themeColor="text1"/>
                <w:sz w:val="20"/>
                <w:szCs w:val="20"/>
                <w:lang w:val="en-US"/>
              </w:rPr>
            </w:pPr>
            <w:r w:rsidRPr="00925D2D">
              <w:rPr>
                <w:rFonts w:ascii="Times New Roman" w:hAnsi="Times New Roman" w:cs="Times New Roman"/>
                <w:b/>
                <w:color w:val="000000" w:themeColor="text1"/>
                <w:sz w:val="20"/>
                <w:szCs w:val="20"/>
                <w:lang w:val="en-US"/>
              </w:rPr>
              <w:t>Var</w:t>
            </w:r>
          </w:p>
        </w:tc>
      </w:tr>
      <w:tr w:rsidR="00164238" w:rsidRPr="00925D2D" w14:paraId="49278D98" w14:textId="77777777" w:rsidTr="00E40B0B">
        <w:trPr>
          <w:jc w:val="center"/>
        </w:trPr>
        <w:tc>
          <w:tcPr>
            <w:tcW w:w="2107" w:type="dxa"/>
          </w:tcPr>
          <w:p w14:paraId="15B3C636" w14:textId="77777777" w:rsidR="00046FF9" w:rsidRPr="00925D2D" w:rsidRDefault="00046FF9" w:rsidP="00925D2D">
            <w:pPr>
              <w:spacing w:line="240" w:lineRule="auto"/>
              <w:jc w:val="both"/>
              <w:rPr>
                <w:rFonts w:ascii="Times New Roman" w:hAnsi="Times New Roman" w:cs="Times New Roman"/>
                <w:b/>
                <w:color w:val="000000" w:themeColor="text1"/>
                <w:sz w:val="20"/>
                <w:szCs w:val="20"/>
              </w:rPr>
            </w:pPr>
            <w:r w:rsidRPr="00925D2D">
              <w:rPr>
                <w:rFonts w:ascii="Times New Roman" w:hAnsi="Times New Roman" w:cs="Times New Roman"/>
                <w:b/>
                <w:color w:val="000000" w:themeColor="text1"/>
                <w:sz w:val="20"/>
                <w:szCs w:val="20"/>
              </w:rPr>
              <w:t>BİST100→ İtahvil</w:t>
            </w:r>
          </w:p>
        </w:tc>
        <w:tc>
          <w:tcPr>
            <w:tcW w:w="2151" w:type="dxa"/>
          </w:tcPr>
          <w:p w14:paraId="2CC7D300" w14:textId="77777777" w:rsidR="00046FF9" w:rsidRPr="00925D2D" w:rsidRDefault="00046FF9" w:rsidP="00925D2D">
            <w:pPr>
              <w:spacing w:line="240" w:lineRule="auto"/>
              <w:jc w:val="center"/>
              <w:rPr>
                <w:rFonts w:ascii="Times New Roman" w:hAnsi="Times New Roman" w:cs="Times New Roman"/>
                <w:color w:val="000000" w:themeColor="text1"/>
                <w:sz w:val="20"/>
                <w:szCs w:val="20"/>
              </w:rPr>
            </w:pPr>
            <w:r w:rsidRPr="00925D2D">
              <w:rPr>
                <w:rFonts w:ascii="Times New Roman" w:hAnsi="Times New Roman" w:cs="Times New Roman"/>
                <w:color w:val="000000" w:themeColor="text1"/>
                <w:sz w:val="20"/>
                <w:szCs w:val="20"/>
              </w:rPr>
              <w:t>3</w:t>
            </w:r>
          </w:p>
        </w:tc>
        <w:tc>
          <w:tcPr>
            <w:tcW w:w="1483" w:type="dxa"/>
          </w:tcPr>
          <w:p w14:paraId="08F67AAE" w14:textId="77777777" w:rsidR="00046FF9" w:rsidRPr="00925D2D" w:rsidRDefault="00046FF9" w:rsidP="00925D2D">
            <w:pPr>
              <w:autoSpaceDE w:val="0"/>
              <w:autoSpaceDN w:val="0"/>
              <w:adjustRightInd w:val="0"/>
              <w:spacing w:line="240" w:lineRule="auto"/>
              <w:jc w:val="center"/>
              <w:rPr>
                <w:rFonts w:ascii="Times New Roman" w:hAnsi="Times New Roman" w:cs="Times New Roman"/>
                <w:b/>
                <w:color w:val="000000" w:themeColor="text1"/>
                <w:sz w:val="20"/>
                <w:szCs w:val="20"/>
                <w:lang w:val="en-US"/>
              </w:rPr>
            </w:pPr>
            <w:r w:rsidRPr="00925D2D">
              <w:rPr>
                <w:rFonts w:ascii="Times New Roman" w:hAnsi="Times New Roman" w:cs="Times New Roman"/>
                <w:b/>
                <w:color w:val="000000" w:themeColor="text1"/>
                <w:sz w:val="20"/>
                <w:szCs w:val="20"/>
                <w:lang w:val="en-US"/>
              </w:rPr>
              <w:t>10.70890</w:t>
            </w:r>
          </w:p>
        </w:tc>
        <w:tc>
          <w:tcPr>
            <w:tcW w:w="1635" w:type="dxa"/>
          </w:tcPr>
          <w:p w14:paraId="72CD1C6E" w14:textId="77777777" w:rsidR="00046FF9" w:rsidRPr="00925D2D" w:rsidRDefault="00046FF9" w:rsidP="00925D2D">
            <w:pPr>
              <w:autoSpaceDE w:val="0"/>
              <w:autoSpaceDN w:val="0"/>
              <w:adjustRightInd w:val="0"/>
              <w:spacing w:line="240" w:lineRule="auto"/>
              <w:jc w:val="center"/>
              <w:rPr>
                <w:rFonts w:ascii="Times New Roman" w:hAnsi="Times New Roman" w:cs="Times New Roman"/>
                <w:b/>
                <w:color w:val="000000" w:themeColor="text1"/>
                <w:sz w:val="20"/>
                <w:szCs w:val="20"/>
                <w:lang w:val="en-US"/>
              </w:rPr>
            </w:pPr>
            <w:r w:rsidRPr="00925D2D">
              <w:rPr>
                <w:rFonts w:ascii="Times New Roman" w:hAnsi="Times New Roman" w:cs="Times New Roman"/>
                <w:b/>
                <w:color w:val="000000" w:themeColor="text1"/>
                <w:sz w:val="20"/>
                <w:szCs w:val="20"/>
                <w:lang w:val="en-US"/>
              </w:rPr>
              <w:t>0.0047</w:t>
            </w:r>
          </w:p>
        </w:tc>
        <w:tc>
          <w:tcPr>
            <w:tcW w:w="1701" w:type="dxa"/>
          </w:tcPr>
          <w:p w14:paraId="41C8A325" w14:textId="77777777" w:rsidR="00046FF9" w:rsidRPr="00925D2D" w:rsidRDefault="00046FF9" w:rsidP="00925D2D">
            <w:pPr>
              <w:autoSpaceDE w:val="0"/>
              <w:autoSpaceDN w:val="0"/>
              <w:adjustRightInd w:val="0"/>
              <w:spacing w:line="240" w:lineRule="auto"/>
              <w:jc w:val="center"/>
              <w:rPr>
                <w:rFonts w:ascii="Times New Roman" w:hAnsi="Times New Roman" w:cs="Times New Roman"/>
                <w:b/>
                <w:color w:val="000000" w:themeColor="text1"/>
                <w:sz w:val="20"/>
                <w:szCs w:val="20"/>
                <w:lang w:val="en-US"/>
              </w:rPr>
            </w:pPr>
            <w:r w:rsidRPr="00925D2D">
              <w:rPr>
                <w:rFonts w:ascii="Times New Roman" w:hAnsi="Times New Roman" w:cs="Times New Roman"/>
                <w:b/>
                <w:color w:val="000000" w:themeColor="text1"/>
                <w:sz w:val="20"/>
                <w:szCs w:val="20"/>
                <w:lang w:val="en-US"/>
              </w:rPr>
              <w:t>Var</w:t>
            </w:r>
          </w:p>
        </w:tc>
      </w:tr>
      <w:tr w:rsidR="00164238" w:rsidRPr="00925D2D" w14:paraId="5530AD01" w14:textId="77777777" w:rsidTr="00E40B0B">
        <w:trPr>
          <w:jc w:val="center"/>
        </w:trPr>
        <w:tc>
          <w:tcPr>
            <w:tcW w:w="2107" w:type="dxa"/>
          </w:tcPr>
          <w:p w14:paraId="0D6FE12E" w14:textId="77777777" w:rsidR="00046FF9" w:rsidRPr="00925D2D" w:rsidRDefault="00046FF9" w:rsidP="00925D2D">
            <w:pPr>
              <w:spacing w:line="240" w:lineRule="auto"/>
              <w:jc w:val="both"/>
              <w:rPr>
                <w:rFonts w:ascii="Times New Roman" w:hAnsi="Times New Roman" w:cs="Times New Roman"/>
                <w:b/>
                <w:color w:val="000000" w:themeColor="text1"/>
                <w:sz w:val="20"/>
                <w:szCs w:val="20"/>
              </w:rPr>
            </w:pPr>
            <w:r w:rsidRPr="00925D2D">
              <w:rPr>
                <w:rFonts w:ascii="Times New Roman" w:hAnsi="Times New Roman" w:cs="Times New Roman"/>
                <w:b/>
                <w:color w:val="000000" w:themeColor="text1"/>
                <w:sz w:val="20"/>
                <w:szCs w:val="20"/>
              </w:rPr>
              <w:t>$/TL→ BİST100</w:t>
            </w:r>
          </w:p>
        </w:tc>
        <w:tc>
          <w:tcPr>
            <w:tcW w:w="2151" w:type="dxa"/>
          </w:tcPr>
          <w:p w14:paraId="181E56D6" w14:textId="77777777" w:rsidR="00046FF9" w:rsidRPr="00925D2D" w:rsidRDefault="00046FF9" w:rsidP="00925D2D">
            <w:pPr>
              <w:spacing w:line="240" w:lineRule="auto"/>
              <w:jc w:val="center"/>
              <w:rPr>
                <w:rFonts w:ascii="Times New Roman" w:hAnsi="Times New Roman" w:cs="Times New Roman"/>
                <w:color w:val="000000" w:themeColor="text1"/>
                <w:sz w:val="20"/>
                <w:szCs w:val="20"/>
              </w:rPr>
            </w:pPr>
            <w:r w:rsidRPr="00925D2D">
              <w:rPr>
                <w:rFonts w:ascii="Times New Roman" w:hAnsi="Times New Roman" w:cs="Times New Roman"/>
                <w:color w:val="000000" w:themeColor="text1"/>
                <w:sz w:val="20"/>
                <w:szCs w:val="20"/>
              </w:rPr>
              <w:t>3</w:t>
            </w:r>
          </w:p>
        </w:tc>
        <w:tc>
          <w:tcPr>
            <w:tcW w:w="1483" w:type="dxa"/>
          </w:tcPr>
          <w:p w14:paraId="5EF62143" w14:textId="77777777" w:rsidR="00046FF9" w:rsidRPr="00925D2D" w:rsidRDefault="00046FF9" w:rsidP="00925D2D">
            <w:pPr>
              <w:autoSpaceDE w:val="0"/>
              <w:autoSpaceDN w:val="0"/>
              <w:adjustRightInd w:val="0"/>
              <w:spacing w:line="240" w:lineRule="auto"/>
              <w:jc w:val="center"/>
              <w:rPr>
                <w:rFonts w:ascii="Times New Roman" w:hAnsi="Times New Roman" w:cs="Times New Roman"/>
                <w:b/>
                <w:color w:val="000000" w:themeColor="text1"/>
                <w:sz w:val="20"/>
                <w:szCs w:val="20"/>
                <w:lang w:val="en-US"/>
              </w:rPr>
            </w:pPr>
            <w:r w:rsidRPr="00925D2D">
              <w:rPr>
                <w:rFonts w:ascii="Times New Roman" w:hAnsi="Times New Roman" w:cs="Times New Roman"/>
                <w:b/>
                <w:color w:val="000000" w:themeColor="text1"/>
                <w:sz w:val="20"/>
                <w:szCs w:val="20"/>
                <w:lang w:val="en-US"/>
              </w:rPr>
              <w:t>10.06668</w:t>
            </w:r>
          </w:p>
        </w:tc>
        <w:tc>
          <w:tcPr>
            <w:tcW w:w="1635" w:type="dxa"/>
          </w:tcPr>
          <w:p w14:paraId="2366F928" w14:textId="77777777" w:rsidR="00046FF9" w:rsidRPr="00925D2D" w:rsidRDefault="00046FF9" w:rsidP="00925D2D">
            <w:pPr>
              <w:autoSpaceDE w:val="0"/>
              <w:autoSpaceDN w:val="0"/>
              <w:adjustRightInd w:val="0"/>
              <w:spacing w:line="240" w:lineRule="auto"/>
              <w:jc w:val="center"/>
              <w:rPr>
                <w:rFonts w:ascii="Times New Roman" w:hAnsi="Times New Roman" w:cs="Times New Roman"/>
                <w:b/>
                <w:color w:val="000000" w:themeColor="text1"/>
                <w:sz w:val="20"/>
                <w:szCs w:val="20"/>
                <w:lang w:val="en-US"/>
              </w:rPr>
            </w:pPr>
            <w:r w:rsidRPr="00925D2D">
              <w:rPr>
                <w:rFonts w:ascii="Times New Roman" w:hAnsi="Times New Roman" w:cs="Times New Roman"/>
                <w:b/>
                <w:color w:val="000000" w:themeColor="text1"/>
                <w:sz w:val="20"/>
                <w:szCs w:val="20"/>
                <w:lang w:val="en-US"/>
              </w:rPr>
              <w:t>0.0065</w:t>
            </w:r>
          </w:p>
        </w:tc>
        <w:tc>
          <w:tcPr>
            <w:tcW w:w="1701" w:type="dxa"/>
          </w:tcPr>
          <w:p w14:paraId="40714A00" w14:textId="77777777" w:rsidR="00046FF9" w:rsidRPr="00925D2D" w:rsidRDefault="00046FF9" w:rsidP="00925D2D">
            <w:pPr>
              <w:autoSpaceDE w:val="0"/>
              <w:autoSpaceDN w:val="0"/>
              <w:adjustRightInd w:val="0"/>
              <w:spacing w:line="240" w:lineRule="auto"/>
              <w:jc w:val="center"/>
              <w:rPr>
                <w:rFonts w:ascii="Times New Roman" w:hAnsi="Times New Roman" w:cs="Times New Roman"/>
                <w:b/>
                <w:color w:val="000000" w:themeColor="text1"/>
                <w:sz w:val="20"/>
                <w:szCs w:val="20"/>
                <w:lang w:val="en-US"/>
              </w:rPr>
            </w:pPr>
            <w:r w:rsidRPr="00925D2D">
              <w:rPr>
                <w:rFonts w:ascii="Times New Roman" w:hAnsi="Times New Roman" w:cs="Times New Roman"/>
                <w:b/>
                <w:color w:val="000000" w:themeColor="text1"/>
                <w:sz w:val="20"/>
                <w:szCs w:val="20"/>
                <w:lang w:val="en-US"/>
              </w:rPr>
              <w:t>Var</w:t>
            </w:r>
          </w:p>
        </w:tc>
      </w:tr>
      <w:tr w:rsidR="00164238" w:rsidRPr="00925D2D" w14:paraId="4EDD5187" w14:textId="77777777" w:rsidTr="00E40B0B">
        <w:trPr>
          <w:jc w:val="center"/>
        </w:trPr>
        <w:tc>
          <w:tcPr>
            <w:tcW w:w="2107" w:type="dxa"/>
          </w:tcPr>
          <w:p w14:paraId="4769D262" w14:textId="77777777" w:rsidR="00046FF9" w:rsidRPr="00925D2D" w:rsidRDefault="00046FF9" w:rsidP="00925D2D">
            <w:pPr>
              <w:spacing w:line="240" w:lineRule="auto"/>
              <w:jc w:val="both"/>
              <w:rPr>
                <w:rFonts w:ascii="Times New Roman" w:hAnsi="Times New Roman" w:cs="Times New Roman"/>
                <w:color w:val="000000" w:themeColor="text1"/>
                <w:sz w:val="20"/>
                <w:szCs w:val="20"/>
              </w:rPr>
            </w:pPr>
            <w:r w:rsidRPr="00925D2D">
              <w:rPr>
                <w:rFonts w:ascii="Times New Roman" w:hAnsi="Times New Roman" w:cs="Times New Roman"/>
                <w:color w:val="000000" w:themeColor="text1"/>
                <w:sz w:val="20"/>
                <w:szCs w:val="20"/>
              </w:rPr>
              <w:t>$/TL→ İtahvil</w:t>
            </w:r>
          </w:p>
        </w:tc>
        <w:tc>
          <w:tcPr>
            <w:tcW w:w="2151" w:type="dxa"/>
          </w:tcPr>
          <w:p w14:paraId="41B8DD55" w14:textId="77777777" w:rsidR="00046FF9" w:rsidRPr="00925D2D" w:rsidRDefault="00046FF9" w:rsidP="00925D2D">
            <w:pPr>
              <w:spacing w:line="240" w:lineRule="auto"/>
              <w:jc w:val="center"/>
              <w:rPr>
                <w:rFonts w:ascii="Times New Roman" w:hAnsi="Times New Roman" w:cs="Times New Roman"/>
                <w:color w:val="000000" w:themeColor="text1"/>
                <w:sz w:val="20"/>
                <w:szCs w:val="20"/>
              </w:rPr>
            </w:pPr>
            <w:r w:rsidRPr="00925D2D">
              <w:rPr>
                <w:rFonts w:ascii="Times New Roman" w:hAnsi="Times New Roman" w:cs="Times New Roman"/>
                <w:color w:val="000000" w:themeColor="text1"/>
                <w:sz w:val="20"/>
                <w:szCs w:val="20"/>
              </w:rPr>
              <w:t>3</w:t>
            </w:r>
          </w:p>
        </w:tc>
        <w:tc>
          <w:tcPr>
            <w:tcW w:w="1483" w:type="dxa"/>
          </w:tcPr>
          <w:p w14:paraId="6C0FD6A6" w14:textId="77777777" w:rsidR="00046FF9" w:rsidRPr="00925D2D" w:rsidRDefault="00046FF9" w:rsidP="00925D2D">
            <w:pPr>
              <w:autoSpaceDE w:val="0"/>
              <w:autoSpaceDN w:val="0"/>
              <w:adjustRightInd w:val="0"/>
              <w:spacing w:line="240" w:lineRule="auto"/>
              <w:jc w:val="center"/>
              <w:rPr>
                <w:rFonts w:ascii="Times New Roman" w:hAnsi="Times New Roman" w:cs="Times New Roman"/>
                <w:color w:val="000000" w:themeColor="text1"/>
                <w:sz w:val="20"/>
                <w:szCs w:val="20"/>
                <w:lang w:val="en-US"/>
              </w:rPr>
            </w:pPr>
            <w:r w:rsidRPr="00925D2D">
              <w:rPr>
                <w:rFonts w:ascii="Times New Roman" w:hAnsi="Times New Roman" w:cs="Times New Roman"/>
                <w:color w:val="000000" w:themeColor="text1"/>
                <w:sz w:val="20"/>
                <w:szCs w:val="20"/>
                <w:lang w:val="en-US"/>
              </w:rPr>
              <w:t>0.250912</w:t>
            </w:r>
          </w:p>
        </w:tc>
        <w:tc>
          <w:tcPr>
            <w:tcW w:w="1635" w:type="dxa"/>
          </w:tcPr>
          <w:p w14:paraId="36AA972A" w14:textId="77777777" w:rsidR="00046FF9" w:rsidRPr="00925D2D" w:rsidRDefault="00046FF9" w:rsidP="00925D2D">
            <w:pPr>
              <w:autoSpaceDE w:val="0"/>
              <w:autoSpaceDN w:val="0"/>
              <w:adjustRightInd w:val="0"/>
              <w:spacing w:line="240" w:lineRule="auto"/>
              <w:jc w:val="center"/>
              <w:rPr>
                <w:rFonts w:ascii="Times New Roman" w:hAnsi="Times New Roman" w:cs="Times New Roman"/>
                <w:color w:val="000000" w:themeColor="text1"/>
                <w:sz w:val="20"/>
                <w:szCs w:val="20"/>
                <w:lang w:val="en-US"/>
              </w:rPr>
            </w:pPr>
            <w:r w:rsidRPr="00925D2D">
              <w:rPr>
                <w:rFonts w:ascii="Times New Roman" w:hAnsi="Times New Roman" w:cs="Times New Roman"/>
                <w:color w:val="000000" w:themeColor="text1"/>
                <w:sz w:val="20"/>
                <w:szCs w:val="20"/>
                <w:lang w:val="en-US"/>
              </w:rPr>
              <w:t>0.8821</w:t>
            </w:r>
          </w:p>
        </w:tc>
        <w:tc>
          <w:tcPr>
            <w:tcW w:w="1701" w:type="dxa"/>
          </w:tcPr>
          <w:p w14:paraId="4975FFA6" w14:textId="77777777" w:rsidR="00046FF9" w:rsidRPr="00925D2D" w:rsidRDefault="00046FF9" w:rsidP="00925D2D">
            <w:pPr>
              <w:autoSpaceDE w:val="0"/>
              <w:autoSpaceDN w:val="0"/>
              <w:adjustRightInd w:val="0"/>
              <w:spacing w:line="240" w:lineRule="auto"/>
              <w:jc w:val="center"/>
              <w:rPr>
                <w:rFonts w:ascii="Times New Roman" w:hAnsi="Times New Roman" w:cs="Times New Roman"/>
                <w:color w:val="000000" w:themeColor="text1"/>
                <w:sz w:val="20"/>
                <w:szCs w:val="20"/>
                <w:lang w:val="en-US"/>
              </w:rPr>
            </w:pPr>
            <w:r w:rsidRPr="00925D2D">
              <w:rPr>
                <w:rFonts w:ascii="Times New Roman" w:hAnsi="Times New Roman" w:cs="Times New Roman"/>
                <w:color w:val="000000" w:themeColor="text1"/>
                <w:sz w:val="20"/>
                <w:szCs w:val="20"/>
                <w:lang w:val="en-US"/>
              </w:rPr>
              <w:t>Yok</w:t>
            </w:r>
          </w:p>
        </w:tc>
      </w:tr>
      <w:tr w:rsidR="00164238" w:rsidRPr="00925D2D" w14:paraId="6A776E07" w14:textId="77777777" w:rsidTr="00E40B0B">
        <w:trPr>
          <w:jc w:val="center"/>
        </w:trPr>
        <w:tc>
          <w:tcPr>
            <w:tcW w:w="2107" w:type="dxa"/>
          </w:tcPr>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1739"/>
            </w:tblGrid>
            <w:tr w:rsidR="00164238" w:rsidRPr="00925D2D" w14:paraId="225FE2E0" w14:textId="77777777" w:rsidTr="000A122E">
              <w:tc>
                <w:tcPr>
                  <w:tcW w:w="1276" w:type="dxa"/>
                  <w:tcBorders>
                    <w:top w:val="nil"/>
                    <w:left w:val="nil"/>
                    <w:bottom w:val="nil"/>
                    <w:right w:val="nil"/>
                  </w:tcBorders>
                </w:tcPr>
                <w:p w14:paraId="1B8D9A29" w14:textId="77777777" w:rsidR="00046FF9" w:rsidRPr="00925D2D" w:rsidRDefault="00046FF9" w:rsidP="00925D2D">
                  <w:pPr>
                    <w:spacing w:line="240" w:lineRule="auto"/>
                    <w:jc w:val="both"/>
                    <w:rPr>
                      <w:rFonts w:ascii="Times New Roman" w:hAnsi="Times New Roman" w:cs="Times New Roman"/>
                      <w:b/>
                      <w:color w:val="000000" w:themeColor="text1"/>
                      <w:sz w:val="20"/>
                      <w:szCs w:val="20"/>
                    </w:rPr>
                  </w:pPr>
                  <w:r w:rsidRPr="00925D2D">
                    <w:rPr>
                      <w:rFonts w:ascii="Times New Roman" w:hAnsi="Times New Roman" w:cs="Times New Roman"/>
                      <w:b/>
                      <w:color w:val="000000" w:themeColor="text1"/>
                      <w:sz w:val="20"/>
                      <w:szCs w:val="20"/>
                    </w:rPr>
                    <w:t>İtahvil→BİST100</w:t>
                  </w:r>
                </w:p>
              </w:tc>
            </w:tr>
          </w:tbl>
          <w:p w14:paraId="538F65E5" w14:textId="77777777" w:rsidR="00046FF9" w:rsidRPr="00925D2D" w:rsidRDefault="00046FF9" w:rsidP="00925D2D">
            <w:pPr>
              <w:spacing w:line="240" w:lineRule="auto"/>
              <w:rPr>
                <w:rFonts w:ascii="Times New Roman" w:hAnsi="Times New Roman" w:cs="Times New Roman"/>
                <w:b/>
                <w:color w:val="000000" w:themeColor="text1"/>
                <w:sz w:val="20"/>
                <w:szCs w:val="20"/>
              </w:rPr>
            </w:pPr>
          </w:p>
        </w:tc>
        <w:tc>
          <w:tcPr>
            <w:tcW w:w="2151" w:type="dxa"/>
          </w:tcPr>
          <w:p w14:paraId="3F44D6B6" w14:textId="77777777" w:rsidR="00046FF9" w:rsidRPr="00925D2D" w:rsidRDefault="00046FF9" w:rsidP="00925D2D">
            <w:pPr>
              <w:spacing w:line="240" w:lineRule="auto"/>
              <w:jc w:val="center"/>
              <w:rPr>
                <w:rFonts w:ascii="Times New Roman" w:hAnsi="Times New Roman" w:cs="Times New Roman"/>
                <w:color w:val="000000" w:themeColor="text1"/>
                <w:sz w:val="20"/>
                <w:szCs w:val="20"/>
              </w:rPr>
            </w:pPr>
            <w:r w:rsidRPr="00925D2D">
              <w:rPr>
                <w:rFonts w:ascii="Times New Roman" w:hAnsi="Times New Roman" w:cs="Times New Roman"/>
                <w:color w:val="000000" w:themeColor="text1"/>
                <w:sz w:val="20"/>
                <w:szCs w:val="20"/>
              </w:rPr>
              <w:t>3</w:t>
            </w:r>
          </w:p>
        </w:tc>
        <w:tc>
          <w:tcPr>
            <w:tcW w:w="1483" w:type="dxa"/>
          </w:tcPr>
          <w:p w14:paraId="4EEDD9C2" w14:textId="77777777" w:rsidR="00046FF9" w:rsidRPr="00925D2D" w:rsidRDefault="00046FF9" w:rsidP="00925D2D">
            <w:pPr>
              <w:autoSpaceDE w:val="0"/>
              <w:autoSpaceDN w:val="0"/>
              <w:adjustRightInd w:val="0"/>
              <w:spacing w:line="240" w:lineRule="auto"/>
              <w:jc w:val="center"/>
              <w:rPr>
                <w:rFonts w:ascii="Times New Roman" w:hAnsi="Times New Roman" w:cs="Times New Roman"/>
                <w:b/>
                <w:color w:val="000000" w:themeColor="text1"/>
                <w:sz w:val="20"/>
                <w:szCs w:val="20"/>
                <w:lang w:val="en-US"/>
              </w:rPr>
            </w:pPr>
            <w:r w:rsidRPr="00925D2D">
              <w:rPr>
                <w:rFonts w:ascii="Times New Roman" w:hAnsi="Times New Roman" w:cs="Times New Roman"/>
                <w:b/>
                <w:color w:val="000000" w:themeColor="text1"/>
                <w:sz w:val="20"/>
                <w:szCs w:val="20"/>
                <w:lang w:val="en-US"/>
              </w:rPr>
              <w:t>6.875804</w:t>
            </w:r>
          </w:p>
        </w:tc>
        <w:tc>
          <w:tcPr>
            <w:tcW w:w="1635" w:type="dxa"/>
          </w:tcPr>
          <w:p w14:paraId="15C7D8EC" w14:textId="77777777" w:rsidR="00046FF9" w:rsidRPr="00925D2D" w:rsidRDefault="00046FF9" w:rsidP="00925D2D">
            <w:pPr>
              <w:autoSpaceDE w:val="0"/>
              <w:autoSpaceDN w:val="0"/>
              <w:adjustRightInd w:val="0"/>
              <w:spacing w:line="240" w:lineRule="auto"/>
              <w:jc w:val="center"/>
              <w:rPr>
                <w:rFonts w:ascii="Times New Roman" w:hAnsi="Times New Roman" w:cs="Times New Roman"/>
                <w:b/>
                <w:color w:val="000000" w:themeColor="text1"/>
                <w:sz w:val="20"/>
                <w:szCs w:val="20"/>
                <w:lang w:val="en-US"/>
              </w:rPr>
            </w:pPr>
            <w:r w:rsidRPr="00925D2D">
              <w:rPr>
                <w:rFonts w:ascii="Times New Roman" w:hAnsi="Times New Roman" w:cs="Times New Roman"/>
                <w:b/>
                <w:color w:val="000000" w:themeColor="text1"/>
                <w:sz w:val="20"/>
                <w:szCs w:val="20"/>
                <w:lang w:val="en-US"/>
              </w:rPr>
              <w:t>0.0321</w:t>
            </w:r>
          </w:p>
        </w:tc>
        <w:tc>
          <w:tcPr>
            <w:tcW w:w="1701" w:type="dxa"/>
          </w:tcPr>
          <w:p w14:paraId="2ED9895D" w14:textId="77777777" w:rsidR="00046FF9" w:rsidRPr="00925D2D" w:rsidRDefault="00046FF9" w:rsidP="00925D2D">
            <w:pPr>
              <w:autoSpaceDE w:val="0"/>
              <w:autoSpaceDN w:val="0"/>
              <w:adjustRightInd w:val="0"/>
              <w:spacing w:line="240" w:lineRule="auto"/>
              <w:jc w:val="center"/>
              <w:rPr>
                <w:rFonts w:ascii="Times New Roman" w:hAnsi="Times New Roman" w:cs="Times New Roman"/>
                <w:b/>
                <w:color w:val="000000" w:themeColor="text1"/>
                <w:sz w:val="20"/>
                <w:szCs w:val="20"/>
                <w:lang w:val="en-US"/>
              </w:rPr>
            </w:pPr>
            <w:r w:rsidRPr="00925D2D">
              <w:rPr>
                <w:rFonts w:ascii="Times New Roman" w:hAnsi="Times New Roman" w:cs="Times New Roman"/>
                <w:b/>
                <w:color w:val="000000" w:themeColor="text1"/>
                <w:sz w:val="20"/>
                <w:szCs w:val="20"/>
                <w:lang w:val="en-US"/>
              </w:rPr>
              <w:t>Var</w:t>
            </w:r>
          </w:p>
        </w:tc>
      </w:tr>
      <w:tr w:rsidR="00164238" w:rsidRPr="00925D2D" w14:paraId="463A4347" w14:textId="77777777" w:rsidTr="00E40B0B">
        <w:trPr>
          <w:jc w:val="center"/>
        </w:trPr>
        <w:tc>
          <w:tcPr>
            <w:tcW w:w="2107" w:type="dxa"/>
          </w:tcPr>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1338"/>
            </w:tblGrid>
            <w:tr w:rsidR="00164238" w:rsidRPr="00925D2D" w14:paraId="59B9BA0F" w14:textId="77777777" w:rsidTr="000A122E">
              <w:tc>
                <w:tcPr>
                  <w:tcW w:w="1276" w:type="dxa"/>
                  <w:tcBorders>
                    <w:top w:val="nil"/>
                    <w:left w:val="nil"/>
                    <w:bottom w:val="nil"/>
                    <w:right w:val="nil"/>
                  </w:tcBorders>
                </w:tcPr>
                <w:p w14:paraId="02C4FA0F" w14:textId="77777777" w:rsidR="00046FF9" w:rsidRPr="00925D2D" w:rsidRDefault="00046FF9" w:rsidP="00925D2D">
                  <w:pPr>
                    <w:spacing w:line="240" w:lineRule="auto"/>
                    <w:jc w:val="both"/>
                    <w:rPr>
                      <w:rFonts w:ascii="Times New Roman" w:hAnsi="Times New Roman" w:cs="Times New Roman"/>
                      <w:color w:val="000000" w:themeColor="text1"/>
                      <w:sz w:val="20"/>
                      <w:szCs w:val="20"/>
                    </w:rPr>
                  </w:pPr>
                  <w:r w:rsidRPr="00925D2D">
                    <w:rPr>
                      <w:rFonts w:ascii="Times New Roman" w:hAnsi="Times New Roman" w:cs="Times New Roman"/>
                      <w:color w:val="000000" w:themeColor="text1"/>
                      <w:sz w:val="20"/>
                      <w:szCs w:val="20"/>
                    </w:rPr>
                    <w:t>İtahvil→$/TL</w:t>
                  </w:r>
                </w:p>
              </w:tc>
            </w:tr>
          </w:tbl>
          <w:p w14:paraId="4523BC86" w14:textId="77777777" w:rsidR="00046FF9" w:rsidRPr="00925D2D" w:rsidRDefault="00046FF9" w:rsidP="00925D2D">
            <w:pPr>
              <w:spacing w:line="240" w:lineRule="auto"/>
              <w:rPr>
                <w:rFonts w:ascii="Times New Roman" w:hAnsi="Times New Roman" w:cs="Times New Roman"/>
                <w:color w:val="000000" w:themeColor="text1"/>
                <w:sz w:val="20"/>
                <w:szCs w:val="20"/>
              </w:rPr>
            </w:pPr>
          </w:p>
        </w:tc>
        <w:tc>
          <w:tcPr>
            <w:tcW w:w="2151" w:type="dxa"/>
          </w:tcPr>
          <w:p w14:paraId="070440D1" w14:textId="77777777" w:rsidR="00046FF9" w:rsidRPr="00925D2D" w:rsidRDefault="00046FF9" w:rsidP="00925D2D">
            <w:pPr>
              <w:spacing w:line="240" w:lineRule="auto"/>
              <w:jc w:val="center"/>
              <w:rPr>
                <w:rFonts w:ascii="Times New Roman" w:hAnsi="Times New Roman" w:cs="Times New Roman"/>
                <w:color w:val="000000" w:themeColor="text1"/>
                <w:sz w:val="20"/>
                <w:szCs w:val="20"/>
              </w:rPr>
            </w:pPr>
            <w:r w:rsidRPr="00925D2D">
              <w:rPr>
                <w:rFonts w:ascii="Times New Roman" w:hAnsi="Times New Roman" w:cs="Times New Roman"/>
                <w:color w:val="000000" w:themeColor="text1"/>
                <w:sz w:val="20"/>
                <w:szCs w:val="20"/>
              </w:rPr>
              <w:t>3</w:t>
            </w:r>
          </w:p>
        </w:tc>
        <w:tc>
          <w:tcPr>
            <w:tcW w:w="1483" w:type="dxa"/>
          </w:tcPr>
          <w:p w14:paraId="49374720" w14:textId="77777777" w:rsidR="00046FF9" w:rsidRPr="00925D2D" w:rsidRDefault="00046FF9" w:rsidP="00925D2D">
            <w:pPr>
              <w:autoSpaceDE w:val="0"/>
              <w:autoSpaceDN w:val="0"/>
              <w:adjustRightInd w:val="0"/>
              <w:spacing w:line="240" w:lineRule="auto"/>
              <w:jc w:val="center"/>
              <w:rPr>
                <w:rFonts w:ascii="Times New Roman" w:hAnsi="Times New Roman" w:cs="Times New Roman"/>
                <w:color w:val="000000" w:themeColor="text1"/>
                <w:sz w:val="20"/>
                <w:szCs w:val="20"/>
                <w:lang w:val="en-US"/>
              </w:rPr>
            </w:pPr>
            <w:r w:rsidRPr="00925D2D">
              <w:rPr>
                <w:rFonts w:ascii="Times New Roman" w:hAnsi="Times New Roman" w:cs="Times New Roman"/>
                <w:color w:val="000000" w:themeColor="text1"/>
                <w:sz w:val="20"/>
                <w:szCs w:val="20"/>
                <w:lang w:val="en-US"/>
              </w:rPr>
              <w:t>4.382289</w:t>
            </w:r>
          </w:p>
        </w:tc>
        <w:tc>
          <w:tcPr>
            <w:tcW w:w="1635" w:type="dxa"/>
          </w:tcPr>
          <w:p w14:paraId="68B06F1D" w14:textId="77777777" w:rsidR="00046FF9" w:rsidRPr="00925D2D" w:rsidRDefault="00046FF9" w:rsidP="00925D2D">
            <w:pPr>
              <w:autoSpaceDE w:val="0"/>
              <w:autoSpaceDN w:val="0"/>
              <w:adjustRightInd w:val="0"/>
              <w:spacing w:line="240" w:lineRule="auto"/>
              <w:jc w:val="center"/>
              <w:rPr>
                <w:rFonts w:ascii="Times New Roman" w:hAnsi="Times New Roman" w:cs="Times New Roman"/>
                <w:color w:val="000000" w:themeColor="text1"/>
                <w:sz w:val="20"/>
                <w:szCs w:val="20"/>
                <w:lang w:val="en-US"/>
              </w:rPr>
            </w:pPr>
            <w:r w:rsidRPr="00925D2D">
              <w:rPr>
                <w:rFonts w:ascii="Times New Roman" w:hAnsi="Times New Roman" w:cs="Times New Roman"/>
                <w:color w:val="000000" w:themeColor="text1"/>
                <w:sz w:val="20"/>
                <w:szCs w:val="20"/>
                <w:lang w:val="en-US"/>
              </w:rPr>
              <w:t>0.1118</w:t>
            </w:r>
          </w:p>
        </w:tc>
        <w:tc>
          <w:tcPr>
            <w:tcW w:w="1701" w:type="dxa"/>
          </w:tcPr>
          <w:p w14:paraId="53A3993B" w14:textId="77777777" w:rsidR="00046FF9" w:rsidRPr="00925D2D" w:rsidRDefault="00046FF9" w:rsidP="00925D2D">
            <w:pPr>
              <w:autoSpaceDE w:val="0"/>
              <w:autoSpaceDN w:val="0"/>
              <w:adjustRightInd w:val="0"/>
              <w:spacing w:line="240" w:lineRule="auto"/>
              <w:jc w:val="center"/>
              <w:rPr>
                <w:rFonts w:ascii="Times New Roman" w:hAnsi="Times New Roman" w:cs="Times New Roman"/>
                <w:color w:val="000000" w:themeColor="text1"/>
                <w:sz w:val="20"/>
                <w:szCs w:val="20"/>
                <w:lang w:val="en-US"/>
              </w:rPr>
            </w:pPr>
            <w:r w:rsidRPr="00925D2D">
              <w:rPr>
                <w:rFonts w:ascii="Times New Roman" w:hAnsi="Times New Roman" w:cs="Times New Roman"/>
                <w:color w:val="000000" w:themeColor="text1"/>
                <w:sz w:val="20"/>
                <w:szCs w:val="20"/>
                <w:lang w:val="en-US"/>
              </w:rPr>
              <w:t>Yok</w:t>
            </w:r>
          </w:p>
        </w:tc>
      </w:tr>
    </w:tbl>
    <w:p w14:paraId="1E050ECC" w14:textId="77777777" w:rsidR="00A40273" w:rsidRDefault="00A40273" w:rsidP="00A40273">
      <w:pPr>
        <w:spacing w:before="120" w:after="120" w:line="360" w:lineRule="auto"/>
        <w:ind w:left="1069"/>
        <w:jc w:val="both"/>
        <w:rPr>
          <w:rFonts w:ascii="Times New Roman" w:hAnsi="Times New Roman" w:cs="Times New Roman"/>
          <w:b/>
          <w:color w:val="000000" w:themeColor="text1"/>
        </w:rPr>
      </w:pPr>
    </w:p>
    <w:p w14:paraId="4433C246" w14:textId="44F3BEF7" w:rsidR="006F4807" w:rsidRPr="00164238" w:rsidRDefault="006F4807" w:rsidP="007C3550">
      <w:pPr>
        <w:numPr>
          <w:ilvl w:val="0"/>
          <w:numId w:val="2"/>
        </w:numPr>
        <w:spacing w:before="120" w:after="120" w:line="360" w:lineRule="auto"/>
        <w:jc w:val="both"/>
        <w:rPr>
          <w:rFonts w:ascii="Times New Roman" w:hAnsi="Times New Roman" w:cs="Times New Roman"/>
          <w:b/>
          <w:color w:val="000000" w:themeColor="text1"/>
        </w:rPr>
      </w:pPr>
      <w:r w:rsidRPr="00164238">
        <w:rPr>
          <w:rFonts w:ascii="Times New Roman" w:hAnsi="Times New Roman" w:cs="Times New Roman"/>
          <w:b/>
          <w:color w:val="000000" w:themeColor="text1"/>
        </w:rPr>
        <w:t xml:space="preserve">Sonuç ve </w:t>
      </w:r>
      <w:r w:rsidR="007D55D3" w:rsidRPr="00164238">
        <w:rPr>
          <w:rFonts w:ascii="Times New Roman" w:hAnsi="Times New Roman" w:cs="Times New Roman"/>
          <w:b/>
          <w:color w:val="000000" w:themeColor="text1"/>
        </w:rPr>
        <w:t>Değerlendirme</w:t>
      </w:r>
    </w:p>
    <w:p w14:paraId="10B0DC36" w14:textId="77777777" w:rsidR="000736D0" w:rsidRPr="00164238" w:rsidRDefault="000736D0" w:rsidP="007D55D3">
      <w:pPr>
        <w:spacing w:before="120" w:after="120" w:line="360" w:lineRule="auto"/>
        <w:ind w:firstLine="709"/>
        <w:jc w:val="both"/>
        <w:rPr>
          <w:rFonts w:ascii="Times New Roman" w:hAnsi="Times New Roman" w:cs="Times New Roman"/>
          <w:color w:val="000000" w:themeColor="text1"/>
        </w:rPr>
      </w:pPr>
      <w:r w:rsidRPr="00164238">
        <w:rPr>
          <w:rFonts w:ascii="Times New Roman" w:hAnsi="Times New Roman" w:cs="Times New Roman"/>
          <w:color w:val="000000" w:themeColor="text1"/>
        </w:rPr>
        <w:t>2019 yılının Aralık ayında Çin’in Hubei eyaletinin Wuhan şehrind</w:t>
      </w:r>
      <w:r w:rsidR="00905716" w:rsidRPr="00164238">
        <w:rPr>
          <w:rFonts w:ascii="Times New Roman" w:hAnsi="Times New Roman" w:cs="Times New Roman"/>
          <w:color w:val="000000" w:themeColor="text1"/>
        </w:rPr>
        <w:t xml:space="preserve">e ortaya çıkan yeni tip korona virüsü </w:t>
      </w:r>
      <w:r w:rsidRPr="00164238">
        <w:rPr>
          <w:rFonts w:ascii="Times New Roman" w:hAnsi="Times New Roman" w:cs="Times New Roman"/>
          <w:color w:val="000000" w:themeColor="text1"/>
        </w:rPr>
        <w:t>Dünya Sağlık Örgütü tarafından 11 Mart 2020 tarihinde pandemi olarak ilan edilmesinin ardından salgının yayılmasını önlemek amacı ile eşine az rastlanan türden tedbirler hayata geçir</w:t>
      </w:r>
      <w:r w:rsidR="00905716" w:rsidRPr="00164238">
        <w:rPr>
          <w:rFonts w:ascii="Times New Roman" w:hAnsi="Times New Roman" w:cs="Times New Roman"/>
          <w:color w:val="000000" w:themeColor="text1"/>
        </w:rPr>
        <w:t>il</w:t>
      </w:r>
      <w:r w:rsidRPr="00164238">
        <w:rPr>
          <w:rFonts w:ascii="Times New Roman" w:hAnsi="Times New Roman" w:cs="Times New Roman"/>
          <w:color w:val="000000" w:themeColor="text1"/>
        </w:rPr>
        <w:t>miştir. Ancak</w:t>
      </w:r>
      <w:r w:rsidR="00905716" w:rsidRPr="00164238">
        <w:rPr>
          <w:rFonts w:ascii="Times New Roman" w:hAnsi="Times New Roman" w:cs="Times New Roman"/>
          <w:color w:val="000000" w:themeColor="text1"/>
        </w:rPr>
        <w:t>,</w:t>
      </w:r>
      <w:r w:rsidRPr="00164238">
        <w:rPr>
          <w:rFonts w:ascii="Times New Roman" w:hAnsi="Times New Roman" w:cs="Times New Roman"/>
          <w:color w:val="000000" w:themeColor="text1"/>
        </w:rPr>
        <w:t xml:space="preserve"> sağlık sorunu olarak başlayan bu süreç giderek büyük bir ekonomik kriz haline dönüşmüş ve politika yapıcıları salgının ortaya çıkardığı</w:t>
      </w:r>
      <w:r w:rsidR="00905716" w:rsidRPr="00164238">
        <w:rPr>
          <w:rFonts w:ascii="Times New Roman" w:hAnsi="Times New Roman" w:cs="Times New Roman"/>
          <w:color w:val="000000" w:themeColor="text1"/>
        </w:rPr>
        <w:t xml:space="preserve"> ekonomik</w:t>
      </w:r>
      <w:r w:rsidRPr="00164238">
        <w:rPr>
          <w:rFonts w:ascii="Times New Roman" w:hAnsi="Times New Roman" w:cs="Times New Roman"/>
          <w:color w:val="000000" w:themeColor="text1"/>
        </w:rPr>
        <w:t xml:space="preserve"> krizle mücadele etmeleri gereken bir durumla baş başa bırakmıştır. Bir taraftan maliye politikası ile hanehalkı ve firmaların desteklenmesi için adımlar atılırken, parasal otoriteler de hem reel hem de finansal piyasalarda meydana gelen bozulmalara karşı yoğun politika tedbirleri uygulamıştır.</w:t>
      </w:r>
    </w:p>
    <w:p w14:paraId="6BFCC2DB" w14:textId="77777777" w:rsidR="000736D0" w:rsidRPr="00164238" w:rsidRDefault="00951B43" w:rsidP="007D55D3">
      <w:pPr>
        <w:spacing w:before="120" w:after="120" w:line="360" w:lineRule="auto"/>
        <w:ind w:firstLine="709"/>
        <w:jc w:val="both"/>
        <w:rPr>
          <w:rFonts w:ascii="Times New Roman" w:hAnsi="Times New Roman" w:cs="Times New Roman"/>
          <w:color w:val="000000" w:themeColor="text1"/>
        </w:rPr>
      </w:pPr>
      <w:r w:rsidRPr="00164238">
        <w:rPr>
          <w:rFonts w:ascii="Times New Roman" w:hAnsi="Times New Roman" w:cs="Times New Roman"/>
          <w:color w:val="000000" w:themeColor="text1"/>
        </w:rPr>
        <w:t>TCMB de</w:t>
      </w:r>
      <w:r w:rsidR="000736D0" w:rsidRPr="00164238">
        <w:rPr>
          <w:rFonts w:ascii="Times New Roman" w:hAnsi="Times New Roman" w:cs="Times New Roman"/>
          <w:color w:val="000000" w:themeColor="text1"/>
        </w:rPr>
        <w:t xml:space="preserve"> salgının finansal piyasalar üzerindeki etkisini hafifletmek amacı ile kapsamlı bir tedbir paketini uygulamaya koymuştur.  Bu bağlamda, Türkiye’de finansal sistemin banka temelli işlemesi nedeniyle özellikle fonlama kanalının açık tutulması amaçlanmış, bu amaçla sisteme kullandırılan fon miktarı arttırılırken, fonlama maliyeti ise düşürülmüştür. Hem yerli hem yabancı para likidite yönetiminde esneklik ve öngörülebilirlik arttırılmıştır.</w:t>
      </w:r>
    </w:p>
    <w:p w14:paraId="5ACC3116" w14:textId="5BC54B0C" w:rsidR="000736D0" w:rsidRDefault="000736D0" w:rsidP="007D55D3">
      <w:pPr>
        <w:spacing w:before="120" w:after="120" w:line="360" w:lineRule="auto"/>
        <w:ind w:firstLine="709"/>
        <w:jc w:val="both"/>
        <w:rPr>
          <w:rFonts w:ascii="Times New Roman" w:hAnsi="Times New Roman" w:cs="Times New Roman"/>
          <w:color w:val="000000" w:themeColor="text1"/>
        </w:rPr>
      </w:pPr>
      <w:r w:rsidRPr="00164238">
        <w:rPr>
          <w:rFonts w:ascii="Times New Roman" w:hAnsi="Times New Roman" w:cs="Times New Roman"/>
          <w:color w:val="000000" w:themeColor="text1"/>
        </w:rPr>
        <w:t>Bu çalışma</w:t>
      </w:r>
      <w:r w:rsidR="00905716" w:rsidRPr="00164238">
        <w:rPr>
          <w:rFonts w:ascii="Times New Roman" w:hAnsi="Times New Roman" w:cs="Times New Roman"/>
          <w:color w:val="000000" w:themeColor="text1"/>
        </w:rPr>
        <w:t xml:space="preserve"> </w:t>
      </w:r>
      <w:r w:rsidRPr="00164238">
        <w:rPr>
          <w:rFonts w:ascii="Times New Roman" w:hAnsi="Times New Roman" w:cs="Times New Roman"/>
          <w:color w:val="000000" w:themeColor="text1"/>
        </w:rPr>
        <w:t xml:space="preserve">11 Mart 2020 ve 20 Kasım 2020 döneminde TCMB tarafından uygulanan </w:t>
      </w:r>
      <w:r w:rsidR="00905716" w:rsidRPr="00164238">
        <w:rPr>
          <w:rFonts w:ascii="Times New Roman" w:hAnsi="Times New Roman" w:cs="Times New Roman"/>
          <w:color w:val="000000" w:themeColor="text1"/>
        </w:rPr>
        <w:t>politikaların finansal göstergeler üzerindeki etkinliğini incelemeyi amaçlamaktadır.</w:t>
      </w:r>
      <w:r w:rsidRPr="00164238">
        <w:rPr>
          <w:rFonts w:ascii="Times New Roman" w:hAnsi="Times New Roman" w:cs="Times New Roman"/>
          <w:color w:val="000000" w:themeColor="text1"/>
        </w:rPr>
        <w:t xml:space="preserve"> </w:t>
      </w:r>
      <w:r w:rsidR="00905716" w:rsidRPr="00164238">
        <w:rPr>
          <w:rFonts w:ascii="Times New Roman" w:hAnsi="Times New Roman" w:cs="Times New Roman"/>
          <w:color w:val="000000" w:themeColor="text1"/>
        </w:rPr>
        <w:t xml:space="preserve">Bu amaçla, uygulanan para politikalarını </w:t>
      </w:r>
      <w:r w:rsidRPr="00164238">
        <w:rPr>
          <w:rFonts w:ascii="Times New Roman" w:hAnsi="Times New Roman" w:cs="Times New Roman"/>
          <w:color w:val="000000" w:themeColor="text1"/>
        </w:rPr>
        <w:t>yansıtmak üzere</w:t>
      </w:r>
      <w:r w:rsidR="00905716" w:rsidRPr="00164238">
        <w:rPr>
          <w:rFonts w:ascii="Times New Roman" w:hAnsi="Times New Roman" w:cs="Times New Roman"/>
          <w:color w:val="000000" w:themeColor="text1"/>
        </w:rPr>
        <w:t xml:space="preserve"> </w:t>
      </w:r>
      <w:r w:rsidRPr="00164238">
        <w:rPr>
          <w:rFonts w:ascii="Times New Roman" w:hAnsi="Times New Roman" w:cs="Times New Roman"/>
          <w:color w:val="000000" w:themeColor="text1"/>
        </w:rPr>
        <w:t xml:space="preserve">seçilen toplam fonlama miktarı, ağırlıklı ortalama fonlama </w:t>
      </w:r>
      <w:r w:rsidR="0021423C" w:rsidRPr="00164238">
        <w:rPr>
          <w:rFonts w:ascii="Times New Roman" w:hAnsi="Times New Roman" w:cs="Times New Roman"/>
          <w:color w:val="000000" w:themeColor="text1"/>
        </w:rPr>
        <w:t>faizi ve referans faiz oranının</w:t>
      </w:r>
      <w:r w:rsidRPr="00164238">
        <w:rPr>
          <w:rFonts w:ascii="Times New Roman" w:hAnsi="Times New Roman" w:cs="Times New Roman"/>
          <w:color w:val="000000" w:themeColor="text1"/>
        </w:rPr>
        <w:t xml:space="preserve"> </w:t>
      </w:r>
      <w:r w:rsidR="00905716" w:rsidRPr="00164238">
        <w:rPr>
          <w:rFonts w:ascii="Times New Roman" w:hAnsi="Times New Roman" w:cs="Times New Roman"/>
          <w:color w:val="000000" w:themeColor="text1"/>
        </w:rPr>
        <w:t>temel finansal değişkenler olarak seçilen</w:t>
      </w:r>
      <w:r w:rsidRPr="00164238">
        <w:rPr>
          <w:rFonts w:ascii="Times New Roman" w:hAnsi="Times New Roman" w:cs="Times New Roman"/>
          <w:color w:val="000000" w:themeColor="text1"/>
        </w:rPr>
        <w:t xml:space="preserve"> BIST 100 endeksi, Dolar/TL döviz kuru ve 2 yıllık tahvil faizi üzerinde </w:t>
      </w:r>
      <w:r w:rsidR="0021423C" w:rsidRPr="00164238">
        <w:rPr>
          <w:rFonts w:ascii="Times New Roman" w:hAnsi="Times New Roman" w:cs="Times New Roman"/>
          <w:color w:val="000000" w:themeColor="text1"/>
        </w:rPr>
        <w:t xml:space="preserve">nedensellik bağlamında </w:t>
      </w:r>
      <w:r w:rsidRPr="00164238">
        <w:rPr>
          <w:rFonts w:ascii="Times New Roman" w:hAnsi="Times New Roman" w:cs="Times New Roman"/>
          <w:color w:val="000000" w:themeColor="text1"/>
        </w:rPr>
        <w:t xml:space="preserve">etkili olup olmadığı </w:t>
      </w:r>
      <w:r w:rsidR="001A54DD" w:rsidRPr="00164238">
        <w:rPr>
          <w:rFonts w:ascii="Times New Roman" w:hAnsi="Times New Roman" w:cs="Times New Roman"/>
          <w:color w:val="000000" w:themeColor="text1"/>
        </w:rPr>
        <w:t xml:space="preserve">    </w:t>
      </w:r>
      <w:r w:rsidRPr="00164238">
        <w:rPr>
          <w:rFonts w:ascii="Times New Roman" w:hAnsi="Times New Roman" w:cs="Times New Roman"/>
          <w:color w:val="000000" w:themeColor="text1"/>
        </w:rPr>
        <w:t>Toda</w:t>
      </w:r>
      <w:r w:rsidR="00CF0B1C" w:rsidRPr="00164238">
        <w:rPr>
          <w:rFonts w:ascii="Times New Roman" w:hAnsi="Times New Roman" w:cs="Times New Roman"/>
          <w:color w:val="000000" w:themeColor="text1"/>
        </w:rPr>
        <w:t>-Yamamoto nedensellik t</w:t>
      </w:r>
      <w:r w:rsidRPr="00164238">
        <w:rPr>
          <w:rFonts w:ascii="Times New Roman" w:hAnsi="Times New Roman" w:cs="Times New Roman"/>
          <w:color w:val="000000" w:themeColor="text1"/>
        </w:rPr>
        <w:t xml:space="preserve">esti ile </w:t>
      </w:r>
      <w:r w:rsidR="00905716" w:rsidRPr="00164238">
        <w:rPr>
          <w:rFonts w:ascii="Times New Roman" w:hAnsi="Times New Roman" w:cs="Times New Roman"/>
          <w:color w:val="000000" w:themeColor="text1"/>
        </w:rPr>
        <w:t xml:space="preserve">analiz edilmiştir. </w:t>
      </w:r>
      <w:r w:rsidRPr="00164238">
        <w:rPr>
          <w:rFonts w:ascii="Times New Roman" w:hAnsi="Times New Roman" w:cs="Times New Roman"/>
          <w:color w:val="000000" w:themeColor="text1"/>
        </w:rPr>
        <w:t xml:space="preserve"> Elde edilen sonuçlara göre</w:t>
      </w:r>
      <w:r w:rsidR="00CF0B1C" w:rsidRPr="00164238">
        <w:rPr>
          <w:rFonts w:ascii="Times New Roman" w:hAnsi="Times New Roman" w:cs="Times New Roman"/>
          <w:color w:val="000000" w:themeColor="text1"/>
        </w:rPr>
        <w:t>,</w:t>
      </w:r>
      <w:r w:rsidRPr="00164238">
        <w:rPr>
          <w:rFonts w:ascii="Times New Roman" w:hAnsi="Times New Roman" w:cs="Times New Roman"/>
          <w:color w:val="000000" w:themeColor="text1"/>
        </w:rPr>
        <w:t xml:space="preserve"> toplam fonlama miktarından</w:t>
      </w:r>
      <w:r w:rsidR="00CF0B1C" w:rsidRPr="00164238">
        <w:rPr>
          <w:rFonts w:ascii="Times New Roman" w:hAnsi="Times New Roman" w:cs="Times New Roman"/>
          <w:color w:val="000000" w:themeColor="text1"/>
        </w:rPr>
        <w:t xml:space="preserve"> seçilmiş finansal değişkenlerin hiç birine doğru bir nedensellik ilişkisi tespit edilememiştir. </w:t>
      </w:r>
      <w:r w:rsidRPr="00164238">
        <w:rPr>
          <w:rFonts w:ascii="Times New Roman" w:hAnsi="Times New Roman" w:cs="Times New Roman"/>
          <w:color w:val="000000" w:themeColor="text1"/>
        </w:rPr>
        <w:t xml:space="preserve"> Buna karşın</w:t>
      </w:r>
      <w:r w:rsidR="0021423C" w:rsidRPr="00164238">
        <w:rPr>
          <w:rFonts w:ascii="Times New Roman" w:hAnsi="Times New Roman" w:cs="Times New Roman"/>
          <w:color w:val="000000" w:themeColor="text1"/>
        </w:rPr>
        <w:t>,</w:t>
      </w:r>
      <w:r w:rsidRPr="00164238">
        <w:rPr>
          <w:rFonts w:ascii="Times New Roman" w:hAnsi="Times New Roman" w:cs="Times New Roman"/>
          <w:color w:val="000000" w:themeColor="text1"/>
        </w:rPr>
        <w:t xml:space="preserve"> ağırlıklı ortalama fonlama maliyetin</w:t>
      </w:r>
      <w:r w:rsidR="00CF0B1C" w:rsidRPr="00164238">
        <w:rPr>
          <w:rFonts w:ascii="Times New Roman" w:hAnsi="Times New Roman" w:cs="Times New Roman"/>
          <w:color w:val="000000" w:themeColor="text1"/>
        </w:rPr>
        <w:t xml:space="preserve">den </w:t>
      </w:r>
      <w:r w:rsidRPr="00164238">
        <w:rPr>
          <w:rFonts w:ascii="Times New Roman" w:hAnsi="Times New Roman" w:cs="Times New Roman"/>
          <w:color w:val="000000" w:themeColor="text1"/>
        </w:rPr>
        <w:t>tahvil faizlerine</w:t>
      </w:r>
      <w:r w:rsidR="0021423C" w:rsidRPr="00164238">
        <w:rPr>
          <w:rFonts w:ascii="Times New Roman" w:hAnsi="Times New Roman" w:cs="Times New Roman"/>
          <w:color w:val="000000" w:themeColor="text1"/>
        </w:rPr>
        <w:t xml:space="preserve"> ve referans faiz oranından da döviz kuruna doğru</w:t>
      </w:r>
      <w:r w:rsidRPr="00164238">
        <w:rPr>
          <w:rFonts w:ascii="Times New Roman" w:hAnsi="Times New Roman" w:cs="Times New Roman"/>
          <w:color w:val="000000" w:themeColor="text1"/>
        </w:rPr>
        <w:t xml:space="preserve"> </w:t>
      </w:r>
      <w:r w:rsidR="0021423C" w:rsidRPr="00164238">
        <w:rPr>
          <w:rFonts w:ascii="Times New Roman" w:hAnsi="Times New Roman" w:cs="Times New Roman"/>
          <w:color w:val="000000" w:themeColor="text1"/>
        </w:rPr>
        <w:t>anlamlı nedensellik ilişkileri</w:t>
      </w:r>
      <w:r w:rsidRPr="00164238">
        <w:rPr>
          <w:rFonts w:ascii="Times New Roman" w:hAnsi="Times New Roman" w:cs="Times New Roman"/>
          <w:color w:val="000000" w:themeColor="text1"/>
        </w:rPr>
        <w:t xml:space="preserve"> </w:t>
      </w:r>
      <w:r w:rsidR="001A54DD" w:rsidRPr="00164238">
        <w:rPr>
          <w:rFonts w:ascii="Times New Roman" w:hAnsi="Times New Roman" w:cs="Times New Roman"/>
          <w:color w:val="000000" w:themeColor="text1"/>
        </w:rPr>
        <w:t>bulunmuştur</w:t>
      </w:r>
      <w:r w:rsidRPr="00164238">
        <w:rPr>
          <w:rFonts w:ascii="Times New Roman" w:hAnsi="Times New Roman" w:cs="Times New Roman"/>
          <w:color w:val="000000" w:themeColor="text1"/>
        </w:rPr>
        <w:t>. Buna göre</w:t>
      </w:r>
      <w:r w:rsidR="0021423C" w:rsidRPr="00164238">
        <w:rPr>
          <w:rFonts w:ascii="Times New Roman" w:hAnsi="Times New Roman" w:cs="Times New Roman"/>
          <w:color w:val="000000" w:themeColor="text1"/>
        </w:rPr>
        <w:t>,</w:t>
      </w:r>
      <w:r w:rsidRPr="00164238">
        <w:rPr>
          <w:rFonts w:ascii="Times New Roman" w:hAnsi="Times New Roman" w:cs="Times New Roman"/>
          <w:color w:val="000000" w:themeColor="text1"/>
        </w:rPr>
        <w:t xml:space="preserve"> TCMB’nin ele alınan dönemde</w:t>
      </w:r>
      <w:r w:rsidR="0021423C" w:rsidRPr="00164238">
        <w:rPr>
          <w:rFonts w:ascii="Times New Roman" w:hAnsi="Times New Roman" w:cs="Times New Roman"/>
          <w:color w:val="000000" w:themeColor="text1"/>
        </w:rPr>
        <w:t xml:space="preserve"> ağırlıklı</w:t>
      </w:r>
      <w:r w:rsidRPr="00164238">
        <w:rPr>
          <w:rFonts w:ascii="Times New Roman" w:hAnsi="Times New Roman" w:cs="Times New Roman"/>
          <w:color w:val="000000" w:themeColor="text1"/>
        </w:rPr>
        <w:t xml:space="preserve"> ortalama fonlama maliyetini </w:t>
      </w:r>
      <w:r w:rsidR="0021423C" w:rsidRPr="00164238">
        <w:rPr>
          <w:rFonts w:ascii="Times New Roman" w:hAnsi="Times New Roman" w:cs="Times New Roman"/>
          <w:color w:val="000000" w:themeColor="text1"/>
        </w:rPr>
        <w:t xml:space="preserve">ve fonlama komposizyonunu değiştirmek sureti ile tahvil faizlerini ve döviz kurunu etkileyebileceği anlaşılmaktadır. Dahası, </w:t>
      </w:r>
      <w:r w:rsidRPr="00164238">
        <w:rPr>
          <w:rFonts w:ascii="Times New Roman" w:hAnsi="Times New Roman" w:cs="Times New Roman"/>
          <w:color w:val="000000" w:themeColor="text1"/>
        </w:rPr>
        <w:t xml:space="preserve">BİST 100 endeksi ile Dolar/TL kuru ve 2 yıllık tahvil faizi arasında karşılıklı nedensellik ilişkileri </w:t>
      </w:r>
      <w:r w:rsidR="0021423C" w:rsidRPr="00164238">
        <w:rPr>
          <w:rFonts w:ascii="Times New Roman" w:hAnsi="Times New Roman" w:cs="Times New Roman"/>
          <w:color w:val="000000" w:themeColor="text1"/>
        </w:rPr>
        <w:t xml:space="preserve">dikkate alındığında, </w:t>
      </w:r>
      <w:r w:rsidRPr="00164238">
        <w:rPr>
          <w:rFonts w:ascii="Times New Roman" w:hAnsi="Times New Roman" w:cs="Times New Roman"/>
          <w:color w:val="000000" w:themeColor="text1"/>
        </w:rPr>
        <w:t xml:space="preserve"> </w:t>
      </w:r>
      <w:r w:rsidR="0021423C" w:rsidRPr="00164238">
        <w:rPr>
          <w:rFonts w:ascii="Times New Roman" w:hAnsi="Times New Roman" w:cs="Times New Roman"/>
          <w:color w:val="000000" w:themeColor="text1"/>
        </w:rPr>
        <w:t xml:space="preserve">para politikasının </w:t>
      </w:r>
      <w:r w:rsidRPr="00164238">
        <w:rPr>
          <w:rFonts w:ascii="Times New Roman" w:hAnsi="Times New Roman" w:cs="Times New Roman"/>
          <w:color w:val="000000" w:themeColor="text1"/>
        </w:rPr>
        <w:t xml:space="preserve">Dolar/TL kuru ve 2 yıllık tahvil faizi </w:t>
      </w:r>
      <w:r w:rsidR="0021423C" w:rsidRPr="00164238">
        <w:rPr>
          <w:rFonts w:ascii="Times New Roman" w:hAnsi="Times New Roman" w:cs="Times New Roman"/>
          <w:color w:val="000000" w:themeColor="text1"/>
        </w:rPr>
        <w:t xml:space="preserve">üzerinden </w:t>
      </w:r>
      <w:r w:rsidRPr="00164238">
        <w:rPr>
          <w:rFonts w:ascii="Times New Roman" w:hAnsi="Times New Roman" w:cs="Times New Roman"/>
          <w:color w:val="000000" w:themeColor="text1"/>
        </w:rPr>
        <w:t>BIST 100 endek</w:t>
      </w:r>
      <w:r w:rsidR="0021423C" w:rsidRPr="00164238">
        <w:rPr>
          <w:rFonts w:ascii="Times New Roman" w:hAnsi="Times New Roman" w:cs="Times New Roman"/>
          <w:color w:val="000000" w:themeColor="text1"/>
        </w:rPr>
        <w:t>sini de dolaylı yoldan etkileyebileceği sonucuna ulaşılabilmektedir.</w:t>
      </w:r>
    </w:p>
    <w:p w14:paraId="3ADCFE60" w14:textId="21DCADC1" w:rsidR="00D02D31" w:rsidRDefault="00D02D31" w:rsidP="007D55D3">
      <w:pPr>
        <w:spacing w:before="120" w:after="120" w:line="360" w:lineRule="auto"/>
        <w:ind w:firstLine="709"/>
        <w:jc w:val="both"/>
        <w:rPr>
          <w:rFonts w:ascii="Times New Roman" w:hAnsi="Times New Roman" w:cs="Times New Roman"/>
          <w:color w:val="000000" w:themeColor="text1"/>
        </w:rPr>
      </w:pPr>
    </w:p>
    <w:p w14:paraId="2A028D92" w14:textId="77777777" w:rsidR="00D02D31" w:rsidRPr="00164238" w:rsidRDefault="00D02D31" w:rsidP="007D55D3">
      <w:pPr>
        <w:spacing w:before="120" w:after="120" w:line="360" w:lineRule="auto"/>
        <w:ind w:firstLine="709"/>
        <w:jc w:val="both"/>
        <w:rPr>
          <w:rFonts w:ascii="Times New Roman" w:hAnsi="Times New Roman" w:cs="Times New Roman"/>
          <w:color w:val="000000" w:themeColor="text1"/>
        </w:rPr>
      </w:pPr>
    </w:p>
    <w:p w14:paraId="6683F7A0" w14:textId="6E25B475" w:rsidR="00D23392" w:rsidRPr="00164238" w:rsidRDefault="00C95516" w:rsidP="007D55D3">
      <w:pPr>
        <w:spacing w:before="120" w:after="120" w:line="360" w:lineRule="auto"/>
        <w:ind w:firstLine="709"/>
        <w:jc w:val="both"/>
        <w:rPr>
          <w:rFonts w:ascii="Times New Roman" w:hAnsi="Times New Roman" w:cs="Times New Roman"/>
          <w:b/>
          <w:color w:val="000000" w:themeColor="text1"/>
        </w:rPr>
      </w:pPr>
      <w:r>
        <w:rPr>
          <w:rFonts w:ascii="Times New Roman" w:hAnsi="Times New Roman" w:cs="Times New Roman"/>
          <w:b/>
          <w:color w:val="000000" w:themeColor="text1"/>
        </w:rPr>
        <w:lastRenderedPageBreak/>
        <w:t>Kaynakça</w:t>
      </w:r>
    </w:p>
    <w:p w14:paraId="6FBF9EC5" w14:textId="77777777" w:rsidR="00527E9C" w:rsidRPr="00164238" w:rsidRDefault="00A21FD4" w:rsidP="00951B43">
      <w:pPr>
        <w:spacing w:before="120" w:after="120" w:line="360" w:lineRule="auto"/>
        <w:ind w:left="709" w:hanging="709"/>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Eryüzlü, H. (2020). </w:t>
      </w:r>
      <w:r w:rsidR="00AB77B4" w:rsidRPr="00164238">
        <w:rPr>
          <w:rFonts w:ascii="Times New Roman" w:hAnsi="Times New Roman" w:cs="Times New Roman"/>
          <w:color w:val="000000" w:themeColor="text1"/>
        </w:rPr>
        <w:t xml:space="preserve">Kovid-19 </w:t>
      </w:r>
      <w:r w:rsidR="00527E9C" w:rsidRPr="00164238">
        <w:rPr>
          <w:rFonts w:ascii="Times New Roman" w:hAnsi="Times New Roman" w:cs="Times New Roman"/>
          <w:color w:val="000000" w:themeColor="text1"/>
        </w:rPr>
        <w:t xml:space="preserve">Ekonomik </w:t>
      </w:r>
      <w:r w:rsidR="00AB77B4" w:rsidRPr="00164238">
        <w:rPr>
          <w:rFonts w:ascii="Times New Roman" w:hAnsi="Times New Roman" w:cs="Times New Roman"/>
          <w:color w:val="000000" w:themeColor="text1"/>
        </w:rPr>
        <w:t>etkileri ve tedbirler</w:t>
      </w:r>
      <w:r w:rsidR="00527E9C" w:rsidRPr="00164238">
        <w:rPr>
          <w:rFonts w:ascii="Times New Roman" w:hAnsi="Times New Roman" w:cs="Times New Roman"/>
          <w:color w:val="000000" w:themeColor="text1"/>
        </w:rPr>
        <w:t>: Türkiye’d</w:t>
      </w:r>
      <w:r w:rsidR="00AB77B4" w:rsidRPr="00164238">
        <w:rPr>
          <w:rFonts w:ascii="Times New Roman" w:hAnsi="Times New Roman" w:cs="Times New Roman"/>
          <w:color w:val="000000" w:themeColor="text1"/>
        </w:rPr>
        <w:t>e “helikopter para” u</w:t>
      </w:r>
      <w:r w:rsidRPr="00164238">
        <w:rPr>
          <w:rFonts w:ascii="Times New Roman" w:hAnsi="Times New Roman" w:cs="Times New Roman"/>
          <w:color w:val="000000" w:themeColor="text1"/>
        </w:rPr>
        <w:t>ygulaması.</w:t>
      </w:r>
      <w:r w:rsidR="00527E9C" w:rsidRPr="00164238">
        <w:rPr>
          <w:rFonts w:ascii="Times New Roman" w:hAnsi="Times New Roman" w:cs="Times New Roman"/>
          <w:color w:val="000000" w:themeColor="text1"/>
        </w:rPr>
        <w:t xml:space="preserve"> </w:t>
      </w:r>
      <w:r w:rsidR="00527E9C" w:rsidRPr="00164238">
        <w:rPr>
          <w:rFonts w:ascii="Times New Roman" w:hAnsi="Times New Roman" w:cs="Times New Roman"/>
          <w:i/>
          <w:color w:val="000000" w:themeColor="text1"/>
        </w:rPr>
        <w:t>Ekonomi Maliye İşletme Dergisi</w:t>
      </w:r>
      <w:r w:rsidR="00527E9C" w:rsidRPr="00164238">
        <w:rPr>
          <w:rFonts w:ascii="Times New Roman" w:hAnsi="Times New Roman" w:cs="Times New Roman"/>
          <w:color w:val="000000" w:themeColor="text1"/>
        </w:rPr>
        <w:t xml:space="preserve">, </w:t>
      </w:r>
      <w:r w:rsidR="00527E9C" w:rsidRPr="00164238">
        <w:rPr>
          <w:rFonts w:ascii="Times New Roman" w:hAnsi="Times New Roman" w:cs="Times New Roman"/>
          <w:i/>
          <w:color w:val="000000" w:themeColor="text1"/>
        </w:rPr>
        <w:t>3</w:t>
      </w:r>
      <w:r w:rsidR="00EF5F34" w:rsidRPr="00164238">
        <w:rPr>
          <w:rFonts w:ascii="Times New Roman" w:hAnsi="Times New Roman" w:cs="Times New Roman"/>
          <w:color w:val="000000" w:themeColor="text1"/>
        </w:rPr>
        <w:t xml:space="preserve">(1), </w:t>
      </w:r>
      <w:r w:rsidR="00527E9C" w:rsidRPr="00164238">
        <w:rPr>
          <w:rFonts w:ascii="Times New Roman" w:hAnsi="Times New Roman" w:cs="Times New Roman"/>
          <w:color w:val="000000" w:themeColor="text1"/>
        </w:rPr>
        <w:t>10-19</w:t>
      </w:r>
      <w:r w:rsidRPr="00164238">
        <w:rPr>
          <w:rFonts w:ascii="Times New Roman" w:hAnsi="Times New Roman" w:cs="Times New Roman"/>
          <w:color w:val="000000" w:themeColor="text1"/>
        </w:rPr>
        <w:t>.</w:t>
      </w:r>
    </w:p>
    <w:p w14:paraId="253AF01E" w14:textId="77777777" w:rsidR="00A21FD4" w:rsidRPr="00164238" w:rsidRDefault="007B2592" w:rsidP="00951B43">
      <w:pPr>
        <w:spacing w:before="120" w:after="120" w:line="360" w:lineRule="auto"/>
        <w:ind w:left="709" w:hanging="709"/>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Dünya Sağlık Örgütü (2020). Dünya Sağlık Örgütü </w:t>
      </w:r>
      <w:r w:rsidR="00AB77B4" w:rsidRPr="00164238">
        <w:rPr>
          <w:rFonts w:ascii="Times New Roman" w:hAnsi="Times New Roman" w:cs="Times New Roman"/>
          <w:color w:val="000000" w:themeColor="text1"/>
        </w:rPr>
        <w:t xml:space="preserve">genel direktörünün </w:t>
      </w:r>
      <w:r w:rsidRPr="00164238">
        <w:rPr>
          <w:rFonts w:ascii="Times New Roman" w:hAnsi="Times New Roman" w:cs="Times New Roman"/>
          <w:color w:val="000000" w:themeColor="text1"/>
        </w:rPr>
        <w:t>medya brifingindeki açılış konuşması ( 11 Mart 2020)</w:t>
      </w:r>
      <w:r w:rsidR="006807CF" w:rsidRPr="00164238">
        <w:rPr>
          <w:rFonts w:ascii="Times New Roman" w:hAnsi="Times New Roman" w:cs="Times New Roman"/>
          <w:color w:val="000000" w:themeColor="text1"/>
        </w:rPr>
        <w:t>.</w:t>
      </w:r>
      <w:r w:rsidRPr="00164238">
        <w:rPr>
          <w:rFonts w:ascii="Times New Roman" w:hAnsi="Times New Roman" w:cs="Times New Roman"/>
          <w:color w:val="000000" w:themeColor="text1"/>
        </w:rPr>
        <w:t xml:space="preserve"> </w:t>
      </w:r>
      <w:hyperlink r:id="rId14" w:history="1">
        <w:r w:rsidRPr="00164238">
          <w:rPr>
            <w:rStyle w:val="Balk1Char"/>
            <w:rFonts w:ascii="Times New Roman" w:hAnsi="Times New Roman" w:cs="Times New Roman"/>
            <w:color w:val="000000" w:themeColor="text1"/>
            <w:sz w:val="22"/>
            <w:szCs w:val="22"/>
          </w:rPr>
          <w:t>https://www.who.int/director-general/speeches/detail/who-director-general-s-opening-remarks-at-the-media-briefing-on-</w:t>
        </w:r>
        <w:r w:rsidR="000B5426" w:rsidRPr="00164238">
          <w:rPr>
            <w:rStyle w:val="Balk1Char"/>
            <w:rFonts w:ascii="Times New Roman" w:hAnsi="Times New Roman" w:cs="Times New Roman"/>
            <w:color w:val="000000" w:themeColor="text1"/>
            <w:sz w:val="22"/>
            <w:szCs w:val="22"/>
          </w:rPr>
          <w:t>Kovid</w:t>
        </w:r>
        <w:r w:rsidRPr="00164238">
          <w:rPr>
            <w:rStyle w:val="Balk1Char"/>
            <w:rFonts w:ascii="Times New Roman" w:hAnsi="Times New Roman" w:cs="Times New Roman"/>
            <w:color w:val="000000" w:themeColor="text1"/>
            <w:sz w:val="22"/>
            <w:szCs w:val="22"/>
          </w:rPr>
          <w:t>-19---11-march-2020</w:t>
        </w:r>
      </w:hyperlink>
      <w:r w:rsidRPr="00164238">
        <w:rPr>
          <w:rFonts w:ascii="Times New Roman" w:hAnsi="Times New Roman" w:cs="Times New Roman"/>
          <w:color w:val="000000" w:themeColor="text1"/>
        </w:rPr>
        <w:t>.</w:t>
      </w:r>
      <w:r w:rsidR="00A21FD4" w:rsidRPr="00164238">
        <w:rPr>
          <w:rFonts w:ascii="Times New Roman" w:hAnsi="Times New Roman" w:cs="Times New Roman"/>
          <w:color w:val="000000" w:themeColor="text1"/>
        </w:rPr>
        <w:t>(05.03.2021).</w:t>
      </w:r>
    </w:p>
    <w:p w14:paraId="611A6ED0" w14:textId="77777777" w:rsidR="006044EC" w:rsidRPr="00164238" w:rsidRDefault="00A21FD4" w:rsidP="00951B43">
      <w:pPr>
        <w:spacing w:before="120" w:after="120" w:line="360" w:lineRule="auto"/>
        <w:ind w:left="709" w:hanging="709"/>
        <w:jc w:val="both"/>
        <w:rPr>
          <w:rFonts w:ascii="Times New Roman" w:hAnsi="Times New Roman" w:cs="Times New Roman"/>
          <w:color w:val="000000" w:themeColor="text1"/>
        </w:rPr>
      </w:pPr>
      <w:r w:rsidRPr="00164238">
        <w:rPr>
          <w:rFonts w:ascii="Times New Roman" w:hAnsi="Times New Roman" w:cs="Times New Roman"/>
          <w:color w:val="000000" w:themeColor="text1"/>
        </w:rPr>
        <w:t>Karaca, O. (2005).</w:t>
      </w:r>
      <w:r w:rsidR="006044EC" w:rsidRPr="00164238">
        <w:rPr>
          <w:rFonts w:ascii="Times New Roman" w:hAnsi="Times New Roman" w:cs="Times New Roman"/>
          <w:color w:val="000000" w:themeColor="text1"/>
        </w:rPr>
        <w:t xml:space="preserve"> Türkiye'de </w:t>
      </w:r>
      <w:r w:rsidR="00AB77B4" w:rsidRPr="00164238">
        <w:rPr>
          <w:rFonts w:ascii="Times New Roman" w:hAnsi="Times New Roman" w:cs="Times New Roman"/>
          <w:color w:val="000000" w:themeColor="text1"/>
        </w:rPr>
        <w:t xml:space="preserve">faiz oranı ile döviz kuru arasındaki ılişki: faizlerin düşürülmesi kurları yükseltir </w:t>
      </w:r>
      <w:r w:rsidRPr="00164238">
        <w:rPr>
          <w:rFonts w:ascii="Times New Roman" w:hAnsi="Times New Roman" w:cs="Times New Roman"/>
          <w:color w:val="000000" w:themeColor="text1"/>
        </w:rPr>
        <w:t xml:space="preserve"> </w:t>
      </w:r>
      <w:r w:rsidR="006044EC" w:rsidRPr="00164238">
        <w:rPr>
          <w:rFonts w:ascii="Times New Roman" w:hAnsi="Times New Roman" w:cs="Times New Roman"/>
          <w:color w:val="000000" w:themeColor="text1"/>
        </w:rPr>
        <w:t xml:space="preserve">mi?, </w:t>
      </w:r>
      <w:r w:rsidR="006044EC" w:rsidRPr="00164238">
        <w:rPr>
          <w:rFonts w:ascii="Times New Roman" w:hAnsi="Times New Roman" w:cs="Times New Roman"/>
          <w:i/>
          <w:color w:val="000000" w:themeColor="text1"/>
        </w:rPr>
        <w:t>Turkish Economic Association,</w:t>
      </w:r>
      <w:r w:rsidRPr="00164238">
        <w:rPr>
          <w:rFonts w:ascii="Times New Roman" w:hAnsi="Times New Roman" w:cs="Times New Roman"/>
          <w:i/>
          <w:color w:val="000000" w:themeColor="text1"/>
        </w:rPr>
        <w:t xml:space="preserve"> </w:t>
      </w:r>
      <w:r w:rsidRPr="00164238">
        <w:rPr>
          <w:rFonts w:ascii="Times New Roman" w:hAnsi="Times New Roman" w:cs="Times New Roman"/>
          <w:color w:val="000000" w:themeColor="text1"/>
        </w:rPr>
        <w:t>Discussion Paper</w:t>
      </w:r>
      <w:r w:rsidR="00EF5F34" w:rsidRPr="00164238">
        <w:rPr>
          <w:rFonts w:ascii="Times New Roman" w:hAnsi="Times New Roman" w:cs="Times New Roman"/>
          <w:color w:val="000000" w:themeColor="text1"/>
        </w:rPr>
        <w:t>, No. 2005/14.</w:t>
      </w:r>
    </w:p>
    <w:p w14:paraId="4E19F914" w14:textId="77777777" w:rsidR="00C91EB7" w:rsidRPr="00164238" w:rsidRDefault="00C91EB7" w:rsidP="00951B43">
      <w:pPr>
        <w:spacing w:before="120" w:after="120" w:line="360" w:lineRule="auto"/>
        <w:ind w:left="709" w:hanging="709"/>
        <w:jc w:val="both"/>
        <w:rPr>
          <w:rFonts w:ascii="Times New Roman" w:hAnsi="Times New Roman" w:cs="Times New Roman"/>
          <w:color w:val="000000" w:themeColor="text1"/>
          <w:shd w:val="clear" w:color="auto" w:fill="FFFFFF"/>
        </w:rPr>
      </w:pPr>
      <w:r w:rsidRPr="00164238">
        <w:rPr>
          <w:rFonts w:ascii="Times New Roman" w:hAnsi="Times New Roman" w:cs="Times New Roman"/>
          <w:color w:val="000000" w:themeColor="text1"/>
          <w:shd w:val="clear" w:color="auto" w:fill="FFFFFF"/>
        </w:rPr>
        <w:t xml:space="preserve">Kartal, M. T. (2020). Kovid-19 </w:t>
      </w:r>
      <w:r w:rsidR="00AB77B4" w:rsidRPr="00164238">
        <w:rPr>
          <w:rFonts w:ascii="Times New Roman" w:hAnsi="Times New Roman" w:cs="Times New Roman"/>
          <w:color w:val="000000" w:themeColor="text1"/>
          <w:shd w:val="clear" w:color="auto" w:fill="FFFFFF"/>
        </w:rPr>
        <w:t>pandemisinde</w:t>
      </w:r>
      <w:r w:rsidRPr="00164238">
        <w:rPr>
          <w:rFonts w:ascii="Times New Roman" w:hAnsi="Times New Roman" w:cs="Times New Roman"/>
          <w:color w:val="000000" w:themeColor="text1"/>
          <w:shd w:val="clear" w:color="auto" w:fill="FFFFFF"/>
        </w:rPr>
        <w:t xml:space="preserve"> Türkiye’de </w:t>
      </w:r>
      <w:r w:rsidR="00AB77B4" w:rsidRPr="00164238">
        <w:rPr>
          <w:rFonts w:ascii="Times New Roman" w:hAnsi="Times New Roman" w:cs="Times New Roman"/>
          <w:color w:val="000000" w:themeColor="text1"/>
          <w:shd w:val="clear" w:color="auto" w:fill="FFFFFF"/>
        </w:rPr>
        <w:t xml:space="preserve">alınan para politikası tedbirlerinin temel finansal göstergelere etkileri. </w:t>
      </w:r>
      <w:r w:rsidRPr="00164238">
        <w:rPr>
          <w:rFonts w:ascii="Times New Roman" w:hAnsi="Times New Roman" w:cs="Times New Roman"/>
          <w:i/>
          <w:iCs/>
          <w:color w:val="000000" w:themeColor="text1"/>
          <w:shd w:val="clear" w:color="auto" w:fill="FFFFFF"/>
        </w:rPr>
        <w:t>Bankacılar Dergisi</w:t>
      </w:r>
      <w:r w:rsidR="00EF5F34" w:rsidRPr="00164238">
        <w:rPr>
          <w:rFonts w:ascii="Times New Roman" w:hAnsi="Times New Roman" w:cs="Times New Roman"/>
          <w:color w:val="000000" w:themeColor="text1"/>
          <w:shd w:val="clear" w:color="auto" w:fill="FFFFFF"/>
        </w:rPr>
        <w:t xml:space="preserve">, </w:t>
      </w:r>
      <w:r w:rsidR="00EF5F34" w:rsidRPr="00164238">
        <w:rPr>
          <w:rFonts w:ascii="Times New Roman" w:hAnsi="Times New Roman" w:cs="Times New Roman"/>
          <w:i/>
          <w:color w:val="000000" w:themeColor="text1"/>
          <w:shd w:val="clear" w:color="auto" w:fill="FFFFFF"/>
        </w:rPr>
        <w:t>115</w:t>
      </w:r>
      <w:r w:rsidR="00EF5F34" w:rsidRPr="00164238">
        <w:rPr>
          <w:rFonts w:ascii="Times New Roman" w:hAnsi="Times New Roman" w:cs="Times New Roman"/>
          <w:color w:val="000000" w:themeColor="text1"/>
          <w:shd w:val="clear" w:color="auto" w:fill="FFFFFF"/>
        </w:rPr>
        <w:t xml:space="preserve">, </w:t>
      </w:r>
      <w:r w:rsidRPr="00164238">
        <w:rPr>
          <w:rFonts w:ascii="Times New Roman" w:hAnsi="Times New Roman" w:cs="Times New Roman"/>
          <w:color w:val="000000" w:themeColor="text1"/>
          <w:shd w:val="clear" w:color="auto" w:fill="FFFFFF"/>
        </w:rPr>
        <w:t>88-106.</w:t>
      </w:r>
    </w:p>
    <w:p w14:paraId="55755419" w14:textId="77777777" w:rsidR="006807CF" w:rsidRPr="00164238" w:rsidRDefault="006807CF" w:rsidP="00951B43">
      <w:pPr>
        <w:autoSpaceDE w:val="0"/>
        <w:autoSpaceDN w:val="0"/>
        <w:adjustRightInd w:val="0"/>
        <w:spacing w:before="120" w:after="120" w:line="360" w:lineRule="auto"/>
        <w:ind w:left="709" w:hanging="709"/>
        <w:jc w:val="both"/>
        <w:rPr>
          <w:rFonts w:ascii="Times New Roman" w:hAnsi="Times New Roman" w:cs="Times New Roman"/>
          <w:color w:val="000000" w:themeColor="text1"/>
          <w:lang w:val="en-US"/>
        </w:rPr>
      </w:pPr>
      <w:r w:rsidRPr="00164238">
        <w:rPr>
          <w:rFonts w:ascii="Times New Roman" w:hAnsi="Times New Roman" w:cs="Times New Roman"/>
          <w:color w:val="000000" w:themeColor="text1"/>
          <w:lang w:val="en-US"/>
        </w:rPr>
        <w:t>Kartal, M. T.,</w:t>
      </w:r>
      <w:r w:rsidR="00EF5F34" w:rsidRPr="00164238">
        <w:rPr>
          <w:rFonts w:ascii="Times New Roman" w:hAnsi="Times New Roman" w:cs="Times New Roman"/>
          <w:color w:val="000000" w:themeColor="text1"/>
          <w:lang w:val="en-US"/>
        </w:rPr>
        <w:t xml:space="preserve"> İbiş, C., ve</w:t>
      </w:r>
      <w:r w:rsidRPr="00164238">
        <w:rPr>
          <w:rFonts w:ascii="Times New Roman" w:hAnsi="Times New Roman" w:cs="Times New Roman"/>
          <w:color w:val="000000" w:themeColor="text1"/>
          <w:lang w:val="en-US"/>
        </w:rPr>
        <w:t xml:space="preserve"> Çatıkkaş, Ö. (2018). Adequacy of Audit Committees: A S</w:t>
      </w:r>
      <w:r w:rsidR="00AB77B4" w:rsidRPr="00164238">
        <w:rPr>
          <w:rFonts w:ascii="Times New Roman" w:hAnsi="Times New Roman" w:cs="Times New Roman"/>
          <w:color w:val="000000" w:themeColor="text1"/>
          <w:lang w:val="en-US"/>
        </w:rPr>
        <w:t>tudy of deposit banks</w:t>
      </w:r>
      <w:r w:rsidR="00EF5F34" w:rsidRPr="00164238">
        <w:rPr>
          <w:rFonts w:ascii="Times New Roman" w:hAnsi="Times New Roman" w:cs="Times New Roman"/>
          <w:color w:val="000000" w:themeColor="text1"/>
          <w:lang w:val="en-US"/>
        </w:rPr>
        <w:t xml:space="preserve"> i</w:t>
      </w:r>
      <w:r w:rsidRPr="00164238">
        <w:rPr>
          <w:rFonts w:ascii="Times New Roman" w:hAnsi="Times New Roman" w:cs="Times New Roman"/>
          <w:color w:val="000000" w:themeColor="text1"/>
          <w:lang w:val="en-US"/>
        </w:rPr>
        <w:t>n Turkey</w:t>
      </w:r>
      <w:r w:rsidRPr="00164238">
        <w:rPr>
          <w:rFonts w:ascii="Times New Roman" w:hAnsi="Times New Roman" w:cs="Times New Roman"/>
          <w:i/>
          <w:color w:val="000000" w:themeColor="text1"/>
          <w:lang w:val="en-US"/>
        </w:rPr>
        <w:t xml:space="preserve">. </w:t>
      </w:r>
      <w:r w:rsidRPr="00164238">
        <w:rPr>
          <w:rFonts w:ascii="Times New Roman" w:hAnsi="Times New Roman" w:cs="Times New Roman"/>
          <w:i/>
          <w:iCs/>
          <w:color w:val="000000" w:themeColor="text1"/>
          <w:lang w:val="en-US"/>
        </w:rPr>
        <w:t>Borsa İstanbul Review</w:t>
      </w:r>
      <w:r w:rsidRPr="00164238">
        <w:rPr>
          <w:rFonts w:ascii="Times New Roman" w:hAnsi="Times New Roman" w:cs="Times New Roman"/>
          <w:color w:val="000000" w:themeColor="text1"/>
          <w:lang w:val="en-US"/>
        </w:rPr>
        <w:t xml:space="preserve">, </w:t>
      </w:r>
      <w:r w:rsidRPr="00164238">
        <w:rPr>
          <w:rFonts w:ascii="Times New Roman" w:hAnsi="Times New Roman" w:cs="Times New Roman"/>
          <w:i/>
          <w:color w:val="000000" w:themeColor="text1"/>
          <w:lang w:val="en-US"/>
        </w:rPr>
        <w:t>18</w:t>
      </w:r>
      <w:r w:rsidRPr="00164238">
        <w:rPr>
          <w:rFonts w:ascii="Times New Roman" w:hAnsi="Times New Roman" w:cs="Times New Roman"/>
          <w:color w:val="000000" w:themeColor="text1"/>
          <w:lang w:val="en-US"/>
        </w:rPr>
        <w:t>(2), 150-165.</w:t>
      </w:r>
    </w:p>
    <w:p w14:paraId="11282923" w14:textId="77777777" w:rsidR="00656756" w:rsidRPr="00164238" w:rsidRDefault="00656756" w:rsidP="00951B43">
      <w:pPr>
        <w:spacing w:before="120" w:after="120" w:line="360" w:lineRule="auto"/>
        <w:ind w:left="709" w:hanging="709"/>
        <w:jc w:val="both"/>
        <w:rPr>
          <w:rFonts w:ascii="Times New Roman" w:hAnsi="Times New Roman" w:cs="Times New Roman"/>
          <w:color w:val="000000" w:themeColor="text1"/>
        </w:rPr>
      </w:pPr>
      <w:r w:rsidRPr="00164238">
        <w:rPr>
          <w:rFonts w:ascii="Times New Roman" w:hAnsi="Times New Roman" w:cs="Times New Roman"/>
          <w:color w:val="000000" w:themeColor="text1"/>
        </w:rPr>
        <w:t>K</w:t>
      </w:r>
      <w:r w:rsidR="00EF5F34" w:rsidRPr="00164238">
        <w:rPr>
          <w:rFonts w:ascii="Times New Roman" w:hAnsi="Times New Roman" w:cs="Times New Roman"/>
          <w:color w:val="000000" w:themeColor="text1"/>
        </w:rPr>
        <w:t xml:space="preserve">aya, D. G. (2020). Koronavirüs </w:t>
      </w:r>
      <w:r w:rsidR="00AB77B4" w:rsidRPr="00164238">
        <w:rPr>
          <w:rFonts w:ascii="Times New Roman" w:hAnsi="Times New Roman" w:cs="Times New Roman"/>
          <w:color w:val="000000" w:themeColor="text1"/>
        </w:rPr>
        <w:t>pandemisinin küresel ekonomideki izleri: kamu finansman dengesi, ticaret hacmi, enflasyon, işsizlik ve ekonomik büyüme</w:t>
      </w:r>
      <w:r w:rsidRPr="00164238">
        <w:rPr>
          <w:rFonts w:ascii="Times New Roman" w:hAnsi="Times New Roman" w:cs="Times New Roman"/>
          <w:color w:val="000000" w:themeColor="text1"/>
        </w:rPr>
        <w:t xml:space="preserve">. </w:t>
      </w:r>
      <w:r w:rsidRPr="00164238">
        <w:rPr>
          <w:rFonts w:ascii="Times New Roman" w:hAnsi="Times New Roman" w:cs="Times New Roman"/>
          <w:i/>
          <w:color w:val="000000" w:themeColor="text1"/>
        </w:rPr>
        <w:t>Avrasya Sosyal ve Ekonomi Araştırmaları Dergisi</w:t>
      </w:r>
      <w:r w:rsidRPr="00164238">
        <w:rPr>
          <w:rFonts w:ascii="Times New Roman" w:hAnsi="Times New Roman" w:cs="Times New Roman"/>
          <w:color w:val="000000" w:themeColor="text1"/>
        </w:rPr>
        <w:t xml:space="preserve"> (ASEAD),</w:t>
      </w:r>
      <w:r w:rsidR="00EF5F34" w:rsidRPr="00164238">
        <w:rPr>
          <w:rFonts w:ascii="Times New Roman" w:hAnsi="Times New Roman" w:cs="Times New Roman"/>
          <w:color w:val="000000" w:themeColor="text1"/>
        </w:rPr>
        <w:t xml:space="preserve"> </w:t>
      </w:r>
      <w:r w:rsidRPr="00164238">
        <w:rPr>
          <w:rFonts w:ascii="Times New Roman" w:hAnsi="Times New Roman" w:cs="Times New Roman"/>
          <w:i/>
          <w:color w:val="000000" w:themeColor="text1"/>
        </w:rPr>
        <w:t>7</w:t>
      </w:r>
      <w:r w:rsidR="00EF5F34" w:rsidRPr="00164238">
        <w:rPr>
          <w:rFonts w:ascii="Times New Roman" w:hAnsi="Times New Roman" w:cs="Times New Roman"/>
          <w:color w:val="000000" w:themeColor="text1"/>
        </w:rPr>
        <w:t xml:space="preserve">(5), </w:t>
      </w:r>
      <w:r w:rsidRPr="00164238">
        <w:rPr>
          <w:rFonts w:ascii="Times New Roman" w:hAnsi="Times New Roman" w:cs="Times New Roman"/>
          <w:color w:val="000000" w:themeColor="text1"/>
        </w:rPr>
        <w:t>221-237</w:t>
      </w:r>
      <w:r w:rsidR="008F39E0" w:rsidRPr="00164238">
        <w:rPr>
          <w:rFonts w:ascii="Times New Roman" w:hAnsi="Times New Roman" w:cs="Times New Roman"/>
          <w:color w:val="000000" w:themeColor="text1"/>
        </w:rPr>
        <w:t>.</w:t>
      </w:r>
    </w:p>
    <w:p w14:paraId="4CBEE653" w14:textId="77777777" w:rsidR="008F39E0" w:rsidRPr="00164238" w:rsidRDefault="008F39E0" w:rsidP="00951B43">
      <w:pPr>
        <w:spacing w:before="120" w:after="120" w:line="360" w:lineRule="auto"/>
        <w:ind w:left="709" w:hanging="709"/>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Kılıç, Y. (2020). Borsa İstanbul’da </w:t>
      </w:r>
      <w:r w:rsidR="00AB77B4" w:rsidRPr="00164238">
        <w:rPr>
          <w:rFonts w:ascii="Times New Roman" w:hAnsi="Times New Roman" w:cs="Times New Roman"/>
          <w:color w:val="000000" w:themeColor="text1"/>
        </w:rPr>
        <w:t>kovid-19 (koronavirüs) etkisi</w:t>
      </w:r>
      <w:r w:rsidRPr="00164238">
        <w:rPr>
          <w:rFonts w:ascii="Times New Roman" w:hAnsi="Times New Roman" w:cs="Times New Roman"/>
          <w:color w:val="000000" w:themeColor="text1"/>
        </w:rPr>
        <w:t xml:space="preserve">. </w:t>
      </w:r>
      <w:r w:rsidRPr="00164238">
        <w:rPr>
          <w:rFonts w:ascii="Times New Roman" w:hAnsi="Times New Roman" w:cs="Times New Roman"/>
          <w:i/>
          <w:color w:val="000000" w:themeColor="text1"/>
        </w:rPr>
        <w:t>Journal of</w:t>
      </w:r>
      <w:r w:rsidR="00EF5F34" w:rsidRPr="00164238">
        <w:rPr>
          <w:rFonts w:ascii="Times New Roman" w:hAnsi="Times New Roman" w:cs="Times New Roman"/>
          <w:i/>
          <w:color w:val="000000" w:themeColor="text1"/>
        </w:rPr>
        <w:t xml:space="preserve"> Emerging Economies and Policy</w:t>
      </w:r>
      <w:r w:rsidRPr="00164238">
        <w:rPr>
          <w:rFonts w:ascii="Times New Roman" w:hAnsi="Times New Roman" w:cs="Times New Roman"/>
          <w:color w:val="000000" w:themeColor="text1"/>
        </w:rPr>
        <w:t xml:space="preserve">, </w:t>
      </w:r>
      <w:r w:rsidRPr="00164238">
        <w:rPr>
          <w:rFonts w:ascii="Times New Roman" w:hAnsi="Times New Roman" w:cs="Times New Roman"/>
          <w:i/>
          <w:color w:val="000000" w:themeColor="text1"/>
        </w:rPr>
        <w:t>5</w:t>
      </w:r>
      <w:r w:rsidR="00EF5F34" w:rsidRPr="00164238">
        <w:rPr>
          <w:rFonts w:ascii="Times New Roman" w:hAnsi="Times New Roman" w:cs="Times New Roman"/>
          <w:color w:val="000000" w:themeColor="text1"/>
        </w:rPr>
        <w:t xml:space="preserve">(1), 66-77. </w:t>
      </w:r>
    </w:p>
    <w:p w14:paraId="5296EA59" w14:textId="77777777" w:rsidR="00A11E82" w:rsidRPr="00164238" w:rsidRDefault="00EF5F34" w:rsidP="00951B43">
      <w:pPr>
        <w:spacing w:before="120" w:after="120" w:line="360" w:lineRule="auto"/>
        <w:ind w:left="709" w:hanging="709"/>
        <w:jc w:val="both"/>
        <w:rPr>
          <w:rFonts w:ascii="Times New Roman" w:hAnsi="Times New Roman" w:cs="Times New Roman"/>
          <w:color w:val="000000" w:themeColor="text1"/>
          <w:shd w:val="clear" w:color="auto" w:fill="FFFFFF"/>
        </w:rPr>
      </w:pPr>
      <w:r w:rsidRPr="00164238">
        <w:rPr>
          <w:rFonts w:ascii="Times New Roman" w:hAnsi="Times New Roman" w:cs="Times New Roman"/>
          <w:color w:val="000000" w:themeColor="text1"/>
          <w:shd w:val="clear" w:color="auto" w:fill="FFFFFF"/>
        </w:rPr>
        <w:t>Kofoğlu, İ , Küçükkale, Y ve</w:t>
      </w:r>
      <w:r w:rsidR="00A11E82" w:rsidRPr="00164238">
        <w:rPr>
          <w:rFonts w:ascii="Times New Roman" w:hAnsi="Times New Roman" w:cs="Times New Roman"/>
          <w:color w:val="000000" w:themeColor="text1"/>
          <w:shd w:val="clear" w:color="auto" w:fill="FFFFFF"/>
        </w:rPr>
        <w:t xml:space="preserve"> Yamak, R . (2018). Faiz </w:t>
      </w:r>
      <w:r w:rsidR="00AB77B4" w:rsidRPr="00164238">
        <w:rPr>
          <w:rFonts w:ascii="Times New Roman" w:hAnsi="Times New Roman" w:cs="Times New Roman"/>
          <w:color w:val="000000" w:themeColor="text1"/>
          <w:shd w:val="clear" w:color="auto" w:fill="FFFFFF"/>
        </w:rPr>
        <w:t>oranları, döviz kurları ve çekirdek fiyat endeksleri arasındaki dinamik ilişkiler:</w:t>
      </w:r>
      <w:r w:rsidRPr="00164238">
        <w:rPr>
          <w:rFonts w:ascii="Times New Roman" w:hAnsi="Times New Roman" w:cs="Times New Roman"/>
          <w:color w:val="000000" w:themeColor="text1"/>
          <w:shd w:val="clear" w:color="auto" w:fill="FFFFFF"/>
        </w:rPr>
        <w:t xml:space="preserve"> Türkiye </w:t>
      </w:r>
      <w:r w:rsidR="00AB77B4" w:rsidRPr="00164238">
        <w:rPr>
          <w:rFonts w:ascii="Times New Roman" w:hAnsi="Times New Roman" w:cs="Times New Roman"/>
          <w:color w:val="000000" w:themeColor="text1"/>
          <w:shd w:val="clear" w:color="auto" w:fill="FFFFFF"/>
        </w:rPr>
        <w:t>ö</w:t>
      </w:r>
      <w:r w:rsidRPr="00164238">
        <w:rPr>
          <w:rFonts w:ascii="Times New Roman" w:hAnsi="Times New Roman" w:cs="Times New Roman"/>
          <w:color w:val="000000" w:themeColor="text1"/>
          <w:shd w:val="clear" w:color="auto" w:fill="FFFFFF"/>
        </w:rPr>
        <w:t>rneği</w:t>
      </w:r>
      <w:r w:rsidR="00A11E82" w:rsidRPr="00164238">
        <w:rPr>
          <w:rFonts w:ascii="Times New Roman" w:hAnsi="Times New Roman" w:cs="Times New Roman"/>
          <w:color w:val="000000" w:themeColor="text1"/>
          <w:shd w:val="clear" w:color="auto" w:fill="FFFFFF"/>
        </w:rPr>
        <w:t xml:space="preserve">. </w:t>
      </w:r>
      <w:r w:rsidR="00A11E82" w:rsidRPr="00164238">
        <w:rPr>
          <w:rFonts w:ascii="Times New Roman" w:hAnsi="Times New Roman" w:cs="Times New Roman"/>
          <w:i/>
          <w:color w:val="000000" w:themeColor="text1"/>
          <w:shd w:val="clear" w:color="auto" w:fill="FFFFFF"/>
        </w:rPr>
        <w:t xml:space="preserve">Anemon Muş Alparslan Üniversitesi Sosyal Bilimler Dergisi </w:t>
      </w:r>
      <w:r w:rsidR="00A11E82" w:rsidRPr="00164238">
        <w:rPr>
          <w:rFonts w:ascii="Times New Roman" w:hAnsi="Times New Roman" w:cs="Times New Roman"/>
          <w:color w:val="000000" w:themeColor="text1"/>
          <w:shd w:val="clear" w:color="auto" w:fill="FFFFFF"/>
        </w:rPr>
        <w:t xml:space="preserve">, </w:t>
      </w:r>
      <w:r w:rsidR="00A11E82" w:rsidRPr="00164238">
        <w:rPr>
          <w:rFonts w:ascii="Times New Roman" w:hAnsi="Times New Roman" w:cs="Times New Roman"/>
          <w:i/>
          <w:color w:val="000000" w:themeColor="text1"/>
          <w:shd w:val="clear" w:color="auto" w:fill="FFFFFF"/>
        </w:rPr>
        <w:t>6</w:t>
      </w:r>
      <w:r w:rsidRPr="00164238">
        <w:rPr>
          <w:rFonts w:ascii="Times New Roman" w:hAnsi="Times New Roman" w:cs="Times New Roman"/>
          <w:color w:val="000000" w:themeColor="text1"/>
          <w:shd w:val="clear" w:color="auto" w:fill="FFFFFF"/>
        </w:rPr>
        <w:t xml:space="preserve"> (6), 1111-1118</w:t>
      </w:r>
      <w:r w:rsidR="00A11E82" w:rsidRPr="00164238">
        <w:rPr>
          <w:rFonts w:ascii="Times New Roman" w:hAnsi="Times New Roman" w:cs="Times New Roman"/>
          <w:color w:val="000000" w:themeColor="text1"/>
          <w:shd w:val="clear" w:color="auto" w:fill="FFFFFF"/>
        </w:rPr>
        <w:t>. DOI: 10.18506/anemon.444755</w:t>
      </w:r>
    </w:p>
    <w:p w14:paraId="02A93D44" w14:textId="77777777" w:rsidR="00890B4E" w:rsidRPr="00164238" w:rsidRDefault="00EF5F34" w:rsidP="00951B43">
      <w:pPr>
        <w:spacing w:before="120" w:after="120" w:line="360" w:lineRule="auto"/>
        <w:ind w:left="709" w:hanging="709"/>
        <w:jc w:val="both"/>
        <w:rPr>
          <w:rFonts w:ascii="Times New Roman" w:hAnsi="Times New Roman" w:cs="Times New Roman"/>
          <w:color w:val="000000" w:themeColor="text1"/>
          <w:lang w:val="en-US"/>
        </w:rPr>
      </w:pPr>
      <w:r w:rsidRPr="00164238">
        <w:rPr>
          <w:rFonts w:ascii="Times New Roman" w:hAnsi="Times New Roman" w:cs="Times New Roman"/>
          <w:color w:val="000000" w:themeColor="text1"/>
          <w:lang w:val="en-US"/>
        </w:rPr>
        <w:t>Ojaghlou, M., ve</w:t>
      </w:r>
      <w:r w:rsidR="00890B4E" w:rsidRPr="00164238">
        <w:rPr>
          <w:rFonts w:ascii="Times New Roman" w:hAnsi="Times New Roman" w:cs="Times New Roman"/>
          <w:color w:val="000000" w:themeColor="text1"/>
          <w:lang w:val="en-US"/>
        </w:rPr>
        <w:t xml:space="preserve"> Demirkale, Ö. (2020). Para </w:t>
      </w:r>
      <w:r w:rsidR="00AB77B4" w:rsidRPr="00164238">
        <w:rPr>
          <w:rFonts w:ascii="Times New Roman" w:hAnsi="Times New Roman" w:cs="Times New Roman"/>
          <w:color w:val="000000" w:themeColor="text1"/>
          <w:lang w:val="en-US"/>
        </w:rPr>
        <w:t>politikası kararlarının BİST 100’e etkisinin yapısal VAR modeli ile analizi.</w:t>
      </w:r>
      <w:r w:rsidR="00890B4E" w:rsidRPr="00164238">
        <w:rPr>
          <w:rFonts w:ascii="Times New Roman" w:hAnsi="Times New Roman" w:cs="Times New Roman"/>
          <w:color w:val="000000" w:themeColor="text1"/>
          <w:lang w:val="en-US"/>
        </w:rPr>
        <w:t xml:space="preserve"> </w:t>
      </w:r>
      <w:r w:rsidRPr="00164238">
        <w:rPr>
          <w:rFonts w:ascii="Times New Roman" w:hAnsi="Times New Roman" w:cs="Times New Roman"/>
          <w:i/>
          <w:iCs/>
          <w:color w:val="000000" w:themeColor="text1"/>
          <w:lang w:val="en-US"/>
        </w:rPr>
        <w:t>İktisadi İdari v</w:t>
      </w:r>
      <w:r w:rsidR="00890B4E" w:rsidRPr="00164238">
        <w:rPr>
          <w:rFonts w:ascii="Times New Roman" w:hAnsi="Times New Roman" w:cs="Times New Roman"/>
          <w:i/>
          <w:iCs/>
          <w:color w:val="000000" w:themeColor="text1"/>
          <w:lang w:val="en-US"/>
        </w:rPr>
        <w:t>e Siyasal Araştırmalar Dergisi</w:t>
      </w:r>
      <w:r w:rsidR="00890B4E" w:rsidRPr="00164238">
        <w:rPr>
          <w:rFonts w:ascii="Times New Roman" w:hAnsi="Times New Roman" w:cs="Times New Roman"/>
          <w:color w:val="000000" w:themeColor="text1"/>
          <w:lang w:val="en-US"/>
        </w:rPr>
        <w:t xml:space="preserve">, </w:t>
      </w:r>
      <w:r w:rsidR="00890B4E" w:rsidRPr="00164238">
        <w:rPr>
          <w:rFonts w:ascii="Times New Roman" w:hAnsi="Times New Roman" w:cs="Times New Roman"/>
          <w:i/>
          <w:color w:val="000000" w:themeColor="text1"/>
          <w:lang w:val="en-US"/>
        </w:rPr>
        <w:t>5</w:t>
      </w:r>
      <w:r w:rsidR="00890B4E" w:rsidRPr="00164238">
        <w:rPr>
          <w:rFonts w:ascii="Times New Roman" w:hAnsi="Times New Roman" w:cs="Times New Roman"/>
          <w:color w:val="000000" w:themeColor="text1"/>
          <w:lang w:val="en-US"/>
        </w:rPr>
        <w:t>(12), 141-155.</w:t>
      </w:r>
    </w:p>
    <w:p w14:paraId="31A00084" w14:textId="77777777" w:rsidR="006204E7" w:rsidRPr="00164238" w:rsidRDefault="006204E7" w:rsidP="00951B43">
      <w:pPr>
        <w:spacing w:before="120" w:after="120" w:line="360" w:lineRule="auto"/>
        <w:ind w:left="709" w:hanging="709"/>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Öztürk, O., Kanuşağı, İ. ve Özcan, C. (2020). </w:t>
      </w:r>
      <w:r w:rsidR="000B5426" w:rsidRPr="00164238">
        <w:rPr>
          <w:rFonts w:ascii="Times New Roman" w:hAnsi="Times New Roman" w:cs="Times New Roman"/>
          <w:color w:val="000000" w:themeColor="text1"/>
        </w:rPr>
        <w:t>Kovid</w:t>
      </w:r>
      <w:r w:rsidRPr="00164238">
        <w:rPr>
          <w:rFonts w:ascii="Times New Roman" w:hAnsi="Times New Roman" w:cs="Times New Roman"/>
          <w:color w:val="000000" w:themeColor="text1"/>
        </w:rPr>
        <w:t xml:space="preserve">-19 </w:t>
      </w:r>
      <w:r w:rsidR="00AB77B4" w:rsidRPr="00164238">
        <w:rPr>
          <w:rFonts w:ascii="Times New Roman" w:hAnsi="Times New Roman" w:cs="Times New Roman"/>
          <w:color w:val="000000" w:themeColor="text1"/>
        </w:rPr>
        <w:t>sürecinde</w:t>
      </w:r>
      <w:r w:rsidR="00EF5F34" w:rsidRPr="00164238">
        <w:rPr>
          <w:rFonts w:ascii="Times New Roman" w:hAnsi="Times New Roman" w:cs="Times New Roman"/>
          <w:color w:val="000000" w:themeColor="text1"/>
        </w:rPr>
        <w:t xml:space="preserve"> </w:t>
      </w:r>
      <w:r w:rsidRPr="00164238">
        <w:rPr>
          <w:rFonts w:ascii="Times New Roman" w:hAnsi="Times New Roman" w:cs="Times New Roman"/>
          <w:color w:val="000000" w:themeColor="text1"/>
        </w:rPr>
        <w:t xml:space="preserve">Türkiye’de </w:t>
      </w:r>
      <w:r w:rsidR="00AB77B4" w:rsidRPr="00164238">
        <w:rPr>
          <w:rFonts w:ascii="Times New Roman" w:hAnsi="Times New Roman" w:cs="Times New Roman"/>
          <w:color w:val="000000" w:themeColor="text1"/>
        </w:rPr>
        <w:t>uygulanan para politikalarının etkileri</w:t>
      </w:r>
      <w:r w:rsidR="00EF5F34" w:rsidRPr="00164238">
        <w:rPr>
          <w:rFonts w:ascii="Times New Roman" w:hAnsi="Times New Roman" w:cs="Times New Roman"/>
          <w:color w:val="000000" w:themeColor="text1"/>
        </w:rPr>
        <w:t>,</w:t>
      </w:r>
      <w:r w:rsidRPr="00164238">
        <w:rPr>
          <w:rFonts w:ascii="Times New Roman" w:hAnsi="Times New Roman" w:cs="Times New Roman"/>
          <w:color w:val="000000" w:themeColor="text1"/>
        </w:rPr>
        <w:t xml:space="preserve"> </w:t>
      </w:r>
      <w:r w:rsidRPr="00164238">
        <w:rPr>
          <w:rFonts w:ascii="Times New Roman" w:hAnsi="Times New Roman" w:cs="Times New Roman"/>
          <w:i/>
          <w:color w:val="000000" w:themeColor="text1"/>
        </w:rPr>
        <w:t>Türk Sosyal Bilimler Araştırmaları Dergisi</w:t>
      </w:r>
      <w:r w:rsidRPr="00164238">
        <w:rPr>
          <w:rFonts w:ascii="Times New Roman" w:hAnsi="Times New Roman" w:cs="Times New Roman"/>
          <w:color w:val="000000" w:themeColor="text1"/>
        </w:rPr>
        <w:t xml:space="preserve">, </w:t>
      </w:r>
      <w:r w:rsidRPr="00164238">
        <w:rPr>
          <w:rFonts w:ascii="Times New Roman" w:hAnsi="Times New Roman" w:cs="Times New Roman"/>
          <w:i/>
          <w:color w:val="000000" w:themeColor="text1"/>
        </w:rPr>
        <w:t>5</w:t>
      </w:r>
      <w:r w:rsidRPr="00164238">
        <w:rPr>
          <w:rFonts w:ascii="Times New Roman" w:hAnsi="Times New Roman" w:cs="Times New Roman"/>
          <w:color w:val="000000" w:themeColor="text1"/>
        </w:rPr>
        <w:t>(2), 70-89.</w:t>
      </w:r>
    </w:p>
    <w:p w14:paraId="6240A53D" w14:textId="77777777" w:rsidR="00666326" w:rsidRPr="00164238" w:rsidRDefault="00666326" w:rsidP="00951B43">
      <w:pPr>
        <w:spacing w:before="120" w:after="120" w:line="360" w:lineRule="auto"/>
        <w:ind w:left="709" w:hanging="709"/>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Sansa, N. A. (2020). The Impact of the </w:t>
      </w:r>
      <w:r w:rsidR="00AB77B4" w:rsidRPr="00164238">
        <w:rPr>
          <w:rFonts w:ascii="Times New Roman" w:hAnsi="Times New Roman" w:cs="Times New Roman"/>
          <w:color w:val="000000" w:themeColor="text1"/>
        </w:rPr>
        <w:t xml:space="preserve">Covid-19 on the financial markets: evidence from </w:t>
      </w:r>
      <w:r w:rsidRPr="00164238">
        <w:rPr>
          <w:rFonts w:ascii="Times New Roman" w:hAnsi="Times New Roman" w:cs="Times New Roman"/>
          <w:color w:val="000000" w:themeColor="text1"/>
        </w:rPr>
        <w:t>China and USA. </w:t>
      </w:r>
      <w:r w:rsidRPr="00164238">
        <w:rPr>
          <w:rFonts w:ascii="Times New Roman" w:hAnsi="Times New Roman" w:cs="Times New Roman"/>
          <w:i/>
          <w:iCs/>
          <w:color w:val="000000" w:themeColor="text1"/>
        </w:rPr>
        <w:t>Electronic Research Journal of Social Sciences and Humanities</w:t>
      </w:r>
      <w:r w:rsidRPr="00164238">
        <w:rPr>
          <w:rFonts w:ascii="Times New Roman" w:hAnsi="Times New Roman" w:cs="Times New Roman"/>
          <w:color w:val="000000" w:themeColor="text1"/>
        </w:rPr>
        <w:t>, </w:t>
      </w:r>
      <w:r w:rsidRPr="00164238">
        <w:rPr>
          <w:rFonts w:ascii="Times New Roman" w:hAnsi="Times New Roman" w:cs="Times New Roman"/>
          <w:i/>
          <w:iCs/>
          <w:color w:val="000000" w:themeColor="text1"/>
        </w:rPr>
        <w:t>2</w:t>
      </w:r>
      <w:r w:rsidR="00EF5F34" w:rsidRPr="00164238">
        <w:rPr>
          <w:rFonts w:ascii="Times New Roman" w:hAnsi="Times New Roman" w:cs="Times New Roman"/>
          <w:iCs/>
          <w:color w:val="000000" w:themeColor="text1"/>
        </w:rPr>
        <w:t>(2), 29-39</w:t>
      </w:r>
      <w:r w:rsidRPr="00164238">
        <w:rPr>
          <w:rFonts w:ascii="Times New Roman" w:hAnsi="Times New Roman" w:cs="Times New Roman"/>
          <w:color w:val="000000" w:themeColor="text1"/>
        </w:rPr>
        <w:t>.</w:t>
      </w:r>
    </w:p>
    <w:p w14:paraId="65100B78" w14:textId="77777777" w:rsidR="00951B43" w:rsidRPr="00164238" w:rsidRDefault="00951B43" w:rsidP="00951B43">
      <w:pPr>
        <w:spacing w:before="120" w:after="120" w:line="360" w:lineRule="auto"/>
        <w:ind w:left="709" w:hanging="709"/>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Semir, C. ve Taray, M. (2005). Türk Lirası referans faiz oranı-TRLIBOR uygulaması. </w:t>
      </w:r>
      <w:r w:rsidRPr="00164238">
        <w:rPr>
          <w:rFonts w:ascii="Times New Roman" w:hAnsi="Times New Roman" w:cs="Times New Roman"/>
          <w:i/>
          <w:color w:val="000000" w:themeColor="text1"/>
        </w:rPr>
        <w:t>Bankacılar Dergisi</w:t>
      </w:r>
      <w:r w:rsidRPr="00164238">
        <w:rPr>
          <w:rFonts w:ascii="Times New Roman" w:hAnsi="Times New Roman" w:cs="Times New Roman"/>
          <w:color w:val="000000" w:themeColor="text1"/>
        </w:rPr>
        <w:t xml:space="preserve">, </w:t>
      </w:r>
      <w:r w:rsidRPr="00164238">
        <w:rPr>
          <w:rFonts w:ascii="Times New Roman" w:hAnsi="Times New Roman" w:cs="Times New Roman"/>
          <w:i/>
          <w:color w:val="000000" w:themeColor="text1"/>
        </w:rPr>
        <w:t>54</w:t>
      </w:r>
      <w:r w:rsidRPr="00164238">
        <w:rPr>
          <w:rFonts w:ascii="Times New Roman" w:hAnsi="Times New Roman" w:cs="Times New Roman"/>
          <w:color w:val="000000" w:themeColor="text1"/>
        </w:rPr>
        <w:t>, 41-45.</w:t>
      </w:r>
    </w:p>
    <w:p w14:paraId="3394F387" w14:textId="77777777" w:rsidR="007256AC" w:rsidRPr="00164238" w:rsidRDefault="007256AC" w:rsidP="00951B43">
      <w:pPr>
        <w:spacing w:before="120" w:after="120" w:line="360" w:lineRule="auto"/>
        <w:ind w:left="709" w:hanging="709"/>
        <w:jc w:val="both"/>
        <w:rPr>
          <w:rFonts w:ascii="Times New Roman" w:hAnsi="Times New Roman" w:cs="Times New Roman"/>
          <w:color w:val="000000" w:themeColor="text1"/>
        </w:rPr>
      </w:pPr>
      <w:r w:rsidRPr="00164238">
        <w:rPr>
          <w:rFonts w:ascii="Times New Roman" w:hAnsi="Times New Roman" w:cs="Times New Roman"/>
          <w:color w:val="000000" w:themeColor="text1"/>
        </w:rPr>
        <w:lastRenderedPageBreak/>
        <w:t>TCMB (2020)</w:t>
      </w:r>
      <w:r w:rsidR="00EF5F34" w:rsidRPr="00164238">
        <w:rPr>
          <w:rFonts w:ascii="Times New Roman" w:hAnsi="Times New Roman" w:cs="Times New Roman"/>
          <w:color w:val="000000" w:themeColor="text1"/>
        </w:rPr>
        <w:t>.</w:t>
      </w:r>
      <w:r w:rsidRPr="00164238">
        <w:rPr>
          <w:rFonts w:ascii="Times New Roman" w:hAnsi="Times New Roman" w:cs="Times New Roman"/>
          <w:color w:val="000000" w:themeColor="text1"/>
        </w:rPr>
        <w:t xml:space="preserve"> Koronavirüsün </w:t>
      </w:r>
      <w:r w:rsidR="00AB77B4" w:rsidRPr="00164238">
        <w:rPr>
          <w:rFonts w:ascii="Times New Roman" w:hAnsi="Times New Roman" w:cs="Times New Roman"/>
          <w:color w:val="000000" w:themeColor="text1"/>
        </w:rPr>
        <w:t>olası ekonomik ve finansal etkilerine karşı alınan tedbirlere ilişkin basın duyurusu</w:t>
      </w:r>
      <w:r w:rsidR="00E63182" w:rsidRPr="00164238">
        <w:rPr>
          <w:rFonts w:ascii="Times New Roman" w:hAnsi="Times New Roman" w:cs="Times New Roman"/>
          <w:color w:val="000000" w:themeColor="text1"/>
        </w:rPr>
        <w:t xml:space="preserve">, 17 Mart 2020, Sayı: 2020-16 </w:t>
      </w:r>
      <w:r w:rsidRPr="00164238">
        <w:rPr>
          <w:rFonts w:ascii="Times New Roman" w:hAnsi="Times New Roman" w:cs="Times New Roman"/>
          <w:color w:val="000000" w:themeColor="text1"/>
        </w:rPr>
        <w:t xml:space="preserve"> </w:t>
      </w:r>
      <w:hyperlink r:id="rId15" w:history="1">
        <w:r w:rsidRPr="00164238">
          <w:rPr>
            <w:rFonts w:ascii="Times New Roman" w:hAnsi="Times New Roman" w:cs="Times New Roman"/>
            <w:color w:val="000000" w:themeColor="text1"/>
            <w:u w:val="single"/>
          </w:rPr>
          <w:t>DUY2020-16.pdf (tcmb.gov.tr)</w:t>
        </w:r>
      </w:hyperlink>
      <w:r w:rsidRPr="00164238">
        <w:rPr>
          <w:rFonts w:ascii="Times New Roman" w:hAnsi="Times New Roman" w:cs="Times New Roman"/>
          <w:color w:val="000000" w:themeColor="text1"/>
        </w:rPr>
        <w:t xml:space="preserve"> (06.04.2021)</w:t>
      </w:r>
      <w:r w:rsidR="0045652E" w:rsidRPr="00164238">
        <w:rPr>
          <w:rFonts w:ascii="Times New Roman" w:hAnsi="Times New Roman" w:cs="Times New Roman"/>
          <w:color w:val="000000" w:themeColor="text1"/>
        </w:rPr>
        <w:t>.</w:t>
      </w:r>
    </w:p>
    <w:p w14:paraId="744F6253" w14:textId="77777777" w:rsidR="00951B43" w:rsidRPr="00164238" w:rsidRDefault="00951B43" w:rsidP="00951B43">
      <w:pPr>
        <w:spacing w:before="120" w:after="120" w:line="360" w:lineRule="auto"/>
        <w:ind w:left="709" w:hanging="709"/>
        <w:jc w:val="both"/>
        <w:rPr>
          <w:rFonts w:ascii="Times New Roman" w:hAnsi="Times New Roman" w:cs="Times New Roman"/>
          <w:color w:val="000000" w:themeColor="text1"/>
        </w:rPr>
      </w:pPr>
      <w:r w:rsidRPr="00164238">
        <w:rPr>
          <w:rFonts w:ascii="Times New Roman" w:hAnsi="Times New Roman" w:cs="Times New Roman"/>
          <w:color w:val="000000" w:themeColor="text1"/>
        </w:rPr>
        <w:t>World Economic Forum. (2020). The IMF explains the economic lessons from China’s fight against corona virus. IMF Blog.</w:t>
      </w:r>
    </w:p>
    <w:p w14:paraId="247BF3A7" w14:textId="77777777" w:rsidR="0045652E" w:rsidRPr="00164238" w:rsidRDefault="00EF5F34" w:rsidP="00951B43">
      <w:pPr>
        <w:spacing w:before="120" w:after="120" w:line="360" w:lineRule="auto"/>
        <w:ind w:left="709" w:hanging="709"/>
        <w:jc w:val="both"/>
        <w:rPr>
          <w:rFonts w:ascii="Times New Roman" w:hAnsi="Times New Roman" w:cs="Times New Roman"/>
          <w:color w:val="000000" w:themeColor="text1"/>
          <w:shd w:val="clear" w:color="auto" w:fill="FFFFFF"/>
        </w:rPr>
      </w:pPr>
      <w:r w:rsidRPr="00164238">
        <w:rPr>
          <w:rFonts w:ascii="Times New Roman" w:hAnsi="Times New Roman" w:cs="Times New Roman"/>
          <w:color w:val="000000" w:themeColor="text1"/>
          <w:shd w:val="clear" w:color="auto" w:fill="FFFFFF"/>
        </w:rPr>
        <w:t xml:space="preserve">Yenilmez, F. ve </w:t>
      </w:r>
      <w:r w:rsidR="0045652E" w:rsidRPr="00164238">
        <w:rPr>
          <w:rFonts w:ascii="Times New Roman" w:hAnsi="Times New Roman" w:cs="Times New Roman"/>
          <w:color w:val="000000" w:themeColor="text1"/>
          <w:shd w:val="clear" w:color="auto" w:fill="FFFFFF"/>
        </w:rPr>
        <w:t xml:space="preserve">Erdem, M . (2018). Türkiye ve Avrupa Birliği’nde </w:t>
      </w:r>
      <w:r w:rsidR="00AB77B4" w:rsidRPr="00164238">
        <w:rPr>
          <w:rFonts w:ascii="Times New Roman" w:hAnsi="Times New Roman" w:cs="Times New Roman"/>
          <w:color w:val="000000" w:themeColor="text1"/>
          <w:shd w:val="clear" w:color="auto" w:fill="FFFFFF"/>
        </w:rPr>
        <w:t>ekonomik büyüme ile enerji tüketimi arasındaki ilişki</w:t>
      </w:r>
      <w:r w:rsidR="0045652E" w:rsidRPr="00164238">
        <w:rPr>
          <w:rFonts w:ascii="Times New Roman" w:hAnsi="Times New Roman" w:cs="Times New Roman"/>
          <w:color w:val="000000" w:themeColor="text1"/>
          <w:shd w:val="clear" w:color="auto" w:fill="FFFFFF"/>
        </w:rPr>
        <w:t xml:space="preserve">: </w:t>
      </w:r>
      <w:r w:rsidRPr="00164238">
        <w:rPr>
          <w:rFonts w:ascii="Times New Roman" w:hAnsi="Times New Roman" w:cs="Times New Roman"/>
          <w:color w:val="000000" w:themeColor="text1"/>
          <w:shd w:val="clear" w:color="auto" w:fill="FFFFFF"/>
        </w:rPr>
        <w:t xml:space="preserve">Toda-Yamamoto </w:t>
      </w:r>
      <w:r w:rsidR="00AB77B4" w:rsidRPr="00164238">
        <w:rPr>
          <w:rFonts w:ascii="Times New Roman" w:hAnsi="Times New Roman" w:cs="Times New Roman"/>
          <w:color w:val="000000" w:themeColor="text1"/>
          <w:shd w:val="clear" w:color="auto" w:fill="FFFFFF"/>
        </w:rPr>
        <w:t>nedensellik testi</w:t>
      </w:r>
      <w:r w:rsidR="0045652E" w:rsidRPr="00164238">
        <w:rPr>
          <w:rFonts w:ascii="Times New Roman" w:hAnsi="Times New Roman" w:cs="Times New Roman"/>
          <w:color w:val="000000" w:themeColor="text1"/>
          <w:shd w:val="clear" w:color="auto" w:fill="FFFFFF"/>
        </w:rPr>
        <w:t xml:space="preserve">. </w:t>
      </w:r>
      <w:r w:rsidR="0045652E" w:rsidRPr="00164238">
        <w:rPr>
          <w:rFonts w:ascii="Times New Roman" w:hAnsi="Times New Roman" w:cs="Times New Roman"/>
          <w:i/>
          <w:color w:val="000000" w:themeColor="text1"/>
          <w:shd w:val="clear" w:color="auto" w:fill="FFFFFF"/>
        </w:rPr>
        <w:t>Eskişehir Osmangazi Üniversitesi Sosyal Bilimler Dergisi</w:t>
      </w:r>
      <w:r w:rsidRPr="00164238">
        <w:rPr>
          <w:rFonts w:ascii="Times New Roman" w:hAnsi="Times New Roman" w:cs="Times New Roman"/>
          <w:color w:val="000000" w:themeColor="text1"/>
          <w:shd w:val="clear" w:color="auto" w:fill="FFFFFF"/>
        </w:rPr>
        <w:t xml:space="preserve">, </w:t>
      </w:r>
      <w:r w:rsidRPr="00164238">
        <w:rPr>
          <w:rFonts w:ascii="Times New Roman" w:hAnsi="Times New Roman" w:cs="Times New Roman"/>
          <w:i/>
          <w:color w:val="000000" w:themeColor="text1"/>
          <w:shd w:val="clear" w:color="auto" w:fill="FFFFFF"/>
        </w:rPr>
        <w:t>19</w:t>
      </w:r>
      <w:r w:rsidRPr="00164238">
        <w:rPr>
          <w:rFonts w:ascii="Times New Roman" w:hAnsi="Times New Roman" w:cs="Times New Roman"/>
          <w:color w:val="000000" w:themeColor="text1"/>
          <w:shd w:val="clear" w:color="auto" w:fill="FFFFFF"/>
        </w:rPr>
        <w:t xml:space="preserve"> (1)</w:t>
      </w:r>
      <w:r w:rsidR="0045652E" w:rsidRPr="00164238">
        <w:rPr>
          <w:rFonts w:ascii="Times New Roman" w:hAnsi="Times New Roman" w:cs="Times New Roman"/>
          <w:color w:val="000000" w:themeColor="text1"/>
          <w:shd w:val="clear" w:color="auto" w:fill="FFFFFF"/>
        </w:rPr>
        <w:t>, 71-95 . DOI: 10.17494/ogusbd.457078</w:t>
      </w:r>
      <w:r w:rsidR="009D50E1" w:rsidRPr="00164238">
        <w:rPr>
          <w:rFonts w:ascii="Times New Roman" w:hAnsi="Times New Roman" w:cs="Times New Roman"/>
          <w:color w:val="000000" w:themeColor="text1"/>
          <w:shd w:val="clear" w:color="auto" w:fill="FFFFFF"/>
        </w:rPr>
        <w:t>.</w:t>
      </w:r>
    </w:p>
    <w:p w14:paraId="423F1DEB" w14:textId="77777777" w:rsidR="008F39E0" w:rsidRPr="00164238" w:rsidRDefault="00EF5F34" w:rsidP="00951B43">
      <w:pPr>
        <w:spacing w:before="120" w:after="120" w:line="360" w:lineRule="auto"/>
        <w:ind w:left="709" w:hanging="709"/>
        <w:jc w:val="both"/>
        <w:rPr>
          <w:rFonts w:ascii="Times New Roman" w:hAnsi="Times New Roman" w:cs="Times New Roman"/>
          <w:color w:val="000000" w:themeColor="text1"/>
        </w:rPr>
      </w:pPr>
      <w:r w:rsidRPr="00164238">
        <w:rPr>
          <w:rFonts w:ascii="Times New Roman" w:hAnsi="Times New Roman" w:cs="Times New Roman"/>
          <w:color w:val="000000" w:themeColor="text1"/>
        </w:rPr>
        <w:t>Zeren, F. ve</w:t>
      </w:r>
      <w:r w:rsidR="008F39E0" w:rsidRPr="00164238">
        <w:rPr>
          <w:rFonts w:ascii="Times New Roman" w:hAnsi="Times New Roman" w:cs="Times New Roman"/>
          <w:color w:val="000000" w:themeColor="text1"/>
        </w:rPr>
        <w:t xml:space="preserve"> Hizarci, A. E. (2020). The Impact of </w:t>
      </w:r>
      <w:r w:rsidR="00AB77B4" w:rsidRPr="00164238">
        <w:rPr>
          <w:rFonts w:ascii="Times New Roman" w:hAnsi="Times New Roman" w:cs="Times New Roman"/>
          <w:color w:val="000000" w:themeColor="text1"/>
        </w:rPr>
        <w:t>Covid-19 coronavirus on stock m</w:t>
      </w:r>
      <w:r w:rsidR="008F39E0" w:rsidRPr="00164238">
        <w:rPr>
          <w:rFonts w:ascii="Times New Roman" w:hAnsi="Times New Roman" w:cs="Times New Roman"/>
          <w:color w:val="000000" w:themeColor="text1"/>
        </w:rPr>
        <w:t xml:space="preserve">arkets: Evidence from Selected Countries. </w:t>
      </w:r>
      <w:r w:rsidR="008F39E0" w:rsidRPr="00164238">
        <w:rPr>
          <w:rFonts w:ascii="Times New Roman" w:hAnsi="Times New Roman" w:cs="Times New Roman"/>
          <w:i/>
          <w:color w:val="000000" w:themeColor="text1"/>
        </w:rPr>
        <w:t>Bulletin of Accounting and Finance Reviews</w:t>
      </w:r>
      <w:r w:rsidR="008F39E0" w:rsidRPr="00164238">
        <w:rPr>
          <w:rFonts w:ascii="Times New Roman" w:hAnsi="Times New Roman" w:cs="Times New Roman"/>
          <w:color w:val="000000" w:themeColor="text1"/>
        </w:rPr>
        <w:t xml:space="preserve">, </w:t>
      </w:r>
      <w:r w:rsidR="008F39E0" w:rsidRPr="00164238">
        <w:rPr>
          <w:rFonts w:ascii="Times New Roman" w:hAnsi="Times New Roman" w:cs="Times New Roman"/>
          <w:i/>
          <w:color w:val="000000" w:themeColor="text1"/>
        </w:rPr>
        <w:t>3</w:t>
      </w:r>
      <w:r w:rsidR="008F39E0" w:rsidRPr="00164238">
        <w:rPr>
          <w:rFonts w:ascii="Times New Roman" w:hAnsi="Times New Roman" w:cs="Times New Roman"/>
          <w:color w:val="000000" w:themeColor="text1"/>
        </w:rPr>
        <w:t>(1), 78-84.</w:t>
      </w:r>
    </w:p>
    <w:p w14:paraId="0A6B8875" w14:textId="77777777" w:rsidR="001B5F4B" w:rsidRPr="00164238" w:rsidRDefault="001B5F4B" w:rsidP="00951B43">
      <w:pPr>
        <w:spacing w:before="120" w:after="120" w:line="360" w:lineRule="auto"/>
        <w:ind w:firstLine="709"/>
        <w:jc w:val="both"/>
        <w:rPr>
          <w:rFonts w:ascii="Times New Roman" w:hAnsi="Times New Roman" w:cs="Times New Roman"/>
          <w:color w:val="000000" w:themeColor="text1"/>
        </w:rPr>
      </w:pPr>
    </w:p>
    <w:p w14:paraId="5A5E99F0" w14:textId="3AFB0DCB" w:rsidR="001B5F4B" w:rsidRPr="00164238" w:rsidRDefault="001B5F4B" w:rsidP="00F17FEC">
      <w:pPr>
        <w:spacing w:before="120" w:after="120" w:line="360" w:lineRule="auto"/>
        <w:jc w:val="both"/>
        <w:rPr>
          <w:rFonts w:ascii="Times New Roman" w:hAnsi="Times New Roman" w:cs="Times New Roman"/>
          <w:color w:val="000000" w:themeColor="text1"/>
        </w:rPr>
      </w:pPr>
    </w:p>
    <w:p w14:paraId="4C4CFDFC" w14:textId="40B89333" w:rsidR="00F17FEC" w:rsidRPr="00164238" w:rsidRDefault="00F17FEC" w:rsidP="00F17FEC">
      <w:pPr>
        <w:spacing w:before="120" w:after="120" w:line="360" w:lineRule="auto"/>
        <w:jc w:val="both"/>
        <w:rPr>
          <w:rFonts w:ascii="Times New Roman" w:hAnsi="Times New Roman" w:cs="Times New Roman"/>
          <w:color w:val="000000" w:themeColor="text1"/>
        </w:rPr>
      </w:pPr>
    </w:p>
    <w:p w14:paraId="03F3DF87" w14:textId="3DD2E2E8" w:rsidR="00F17FEC" w:rsidRPr="00164238" w:rsidRDefault="00F17FEC" w:rsidP="00F17FEC">
      <w:pPr>
        <w:spacing w:before="120" w:after="120" w:line="360" w:lineRule="auto"/>
        <w:jc w:val="both"/>
        <w:rPr>
          <w:rFonts w:ascii="Times New Roman" w:hAnsi="Times New Roman" w:cs="Times New Roman"/>
          <w:color w:val="000000" w:themeColor="text1"/>
        </w:rPr>
      </w:pPr>
    </w:p>
    <w:p w14:paraId="5E57C635" w14:textId="685BB69E" w:rsidR="00F17FEC" w:rsidRPr="00164238" w:rsidRDefault="00F17FEC" w:rsidP="00F17FEC">
      <w:pPr>
        <w:spacing w:before="120" w:after="120" w:line="360" w:lineRule="auto"/>
        <w:jc w:val="both"/>
        <w:rPr>
          <w:rFonts w:ascii="Times New Roman" w:hAnsi="Times New Roman" w:cs="Times New Roman"/>
          <w:color w:val="000000" w:themeColor="text1"/>
        </w:rPr>
      </w:pPr>
    </w:p>
    <w:p w14:paraId="2179C3A9" w14:textId="5753F253" w:rsidR="00F17FEC" w:rsidRPr="00164238" w:rsidRDefault="00F17FEC" w:rsidP="00F17FEC">
      <w:pPr>
        <w:spacing w:before="120" w:after="120" w:line="360" w:lineRule="auto"/>
        <w:jc w:val="both"/>
        <w:rPr>
          <w:rFonts w:ascii="Times New Roman" w:hAnsi="Times New Roman" w:cs="Times New Roman"/>
          <w:color w:val="000000" w:themeColor="text1"/>
        </w:rPr>
      </w:pPr>
    </w:p>
    <w:p w14:paraId="4A844261" w14:textId="4EF3501D" w:rsidR="00F17FEC" w:rsidRPr="00164238" w:rsidRDefault="00F17FEC" w:rsidP="00F17FEC">
      <w:pPr>
        <w:spacing w:before="120" w:after="120" w:line="360" w:lineRule="auto"/>
        <w:jc w:val="both"/>
        <w:rPr>
          <w:rFonts w:ascii="Times New Roman" w:hAnsi="Times New Roman" w:cs="Times New Roman"/>
          <w:color w:val="000000" w:themeColor="text1"/>
        </w:rPr>
      </w:pPr>
    </w:p>
    <w:p w14:paraId="6755504F" w14:textId="4EF6D67E" w:rsidR="00F17FEC" w:rsidRPr="00164238" w:rsidRDefault="00F17FEC" w:rsidP="00F17FEC">
      <w:pPr>
        <w:spacing w:before="120" w:after="120" w:line="360" w:lineRule="auto"/>
        <w:jc w:val="both"/>
        <w:rPr>
          <w:rFonts w:ascii="Times New Roman" w:hAnsi="Times New Roman" w:cs="Times New Roman"/>
          <w:color w:val="000000" w:themeColor="text1"/>
        </w:rPr>
      </w:pPr>
    </w:p>
    <w:p w14:paraId="6E8F79E9" w14:textId="1144CD31" w:rsidR="00F17FEC" w:rsidRPr="00164238" w:rsidRDefault="00F17FEC" w:rsidP="00F17FEC">
      <w:pPr>
        <w:spacing w:before="120" w:after="120" w:line="360" w:lineRule="auto"/>
        <w:jc w:val="both"/>
        <w:rPr>
          <w:rFonts w:ascii="Times New Roman" w:hAnsi="Times New Roman" w:cs="Times New Roman"/>
          <w:color w:val="000000" w:themeColor="text1"/>
        </w:rPr>
      </w:pPr>
    </w:p>
    <w:p w14:paraId="4E94F421" w14:textId="38E1E04D" w:rsidR="00F17FEC" w:rsidRPr="00164238" w:rsidRDefault="00F17FEC" w:rsidP="00F17FEC">
      <w:pPr>
        <w:spacing w:before="120" w:after="120" w:line="360" w:lineRule="auto"/>
        <w:jc w:val="both"/>
        <w:rPr>
          <w:rFonts w:ascii="Times New Roman" w:hAnsi="Times New Roman" w:cs="Times New Roman"/>
          <w:color w:val="000000" w:themeColor="text1"/>
        </w:rPr>
      </w:pPr>
    </w:p>
    <w:p w14:paraId="4C66C0E4" w14:textId="2FE237E9" w:rsidR="001B311E" w:rsidRPr="00164238" w:rsidRDefault="001B311E" w:rsidP="00F17FEC">
      <w:pPr>
        <w:spacing w:before="120" w:after="120" w:line="360" w:lineRule="auto"/>
        <w:jc w:val="both"/>
        <w:rPr>
          <w:rFonts w:ascii="Times New Roman" w:hAnsi="Times New Roman" w:cs="Times New Roman"/>
          <w:color w:val="000000" w:themeColor="text1"/>
        </w:rPr>
      </w:pPr>
    </w:p>
    <w:p w14:paraId="1487A809" w14:textId="594666CF" w:rsidR="001B311E" w:rsidRPr="00164238" w:rsidRDefault="001B311E" w:rsidP="00F17FEC">
      <w:pPr>
        <w:spacing w:before="120" w:after="120" w:line="360" w:lineRule="auto"/>
        <w:jc w:val="both"/>
        <w:rPr>
          <w:rFonts w:ascii="Times New Roman" w:hAnsi="Times New Roman" w:cs="Times New Roman"/>
          <w:color w:val="000000" w:themeColor="text1"/>
        </w:rPr>
      </w:pPr>
    </w:p>
    <w:p w14:paraId="7CE30A8E" w14:textId="37AE58D8" w:rsidR="001B311E" w:rsidRPr="00164238" w:rsidRDefault="001B311E" w:rsidP="00F17FEC">
      <w:pPr>
        <w:spacing w:before="120" w:after="120" w:line="360" w:lineRule="auto"/>
        <w:jc w:val="both"/>
        <w:rPr>
          <w:rFonts w:ascii="Times New Roman" w:hAnsi="Times New Roman" w:cs="Times New Roman"/>
          <w:color w:val="000000" w:themeColor="text1"/>
        </w:rPr>
      </w:pPr>
    </w:p>
    <w:p w14:paraId="3693364E" w14:textId="1C60A7C7" w:rsidR="001B311E" w:rsidRPr="00164238" w:rsidRDefault="001B311E" w:rsidP="00F17FEC">
      <w:pPr>
        <w:spacing w:before="120" w:after="120" w:line="360" w:lineRule="auto"/>
        <w:jc w:val="both"/>
        <w:rPr>
          <w:rFonts w:ascii="Times New Roman" w:hAnsi="Times New Roman" w:cs="Times New Roman"/>
          <w:color w:val="000000" w:themeColor="text1"/>
        </w:rPr>
      </w:pPr>
    </w:p>
    <w:p w14:paraId="43114513" w14:textId="011568CE" w:rsidR="001B311E" w:rsidRPr="00164238" w:rsidRDefault="001B311E" w:rsidP="00F17FEC">
      <w:pPr>
        <w:spacing w:before="120" w:after="120" w:line="360" w:lineRule="auto"/>
        <w:jc w:val="both"/>
        <w:rPr>
          <w:rFonts w:ascii="Times New Roman" w:hAnsi="Times New Roman" w:cs="Times New Roman"/>
          <w:color w:val="000000" w:themeColor="text1"/>
        </w:rPr>
      </w:pPr>
    </w:p>
    <w:p w14:paraId="2D6266FA" w14:textId="56903B45" w:rsidR="001B311E" w:rsidRPr="00164238" w:rsidRDefault="001B311E" w:rsidP="00F17FEC">
      <w:pPr>
        <w:spacing w:before="120" w:after="120" w:line="360" w:lineRule="auto"/>
        <w:jc w:val="both"/>
        <w:rPr>
          <w:rFonts w:ascii="Times New Roman" w:hAnsi="Times New Roman" w:cs="Times New Roman"/>
          <w:color w:val="000000" w:themeColor="text1"/>
        </w:rPr>
      </w:pPr>
    </w:p>
    <w:p w14:paraId="763EB9AE" w14:textId="77777777" w:rsidR="001B311E" w:rsidRPr="00164238" w:rsidRDefault="001B311E" w:rsidP="00F17FEC">
      <w:pPr>
        <w:spacing w:before="120" w:after="120" w:line="360" w:lineRule="auto"/>
        <w:jc w:val="both"/>
        <w:rPr>
          <w:rFonts w:ascii="Times New Roman" w:hAnsi="Times New Roman" w:cs="Times New Roman"/>
          <w:color w:val="000000" w:themeColor="text1"/>
        </w:rPr>
      </w:pPr>
    </w:p>
    <w:p w14:paraId="780468F2" w14:textId="77777777" w:rsidR="00CB6608" w:rsidRPr="00164238" w:rsidRDefault="00CB6608" w:rsidP="006923DF">
      <w:pPr>
        <w:pStyle w:val="Balk1"/>
        <w:rPr>
          <w:rFonts w:ascii="Times New Roman" w:hAnsi="Times New Roman" w:cs="Times New Roman"/>
          <w:b/>
          <w:color w:val="000000" w:themeColor="text1"/>
          <w:sz w:val="24"/>
          <w:szCs w:val="24"/>
        </w:rPr>
      </w:pPr>
      <w:bookmarkStart w:id="4" w:name="_Toc72961654"/>
      <w:r w:rsidRPr="00164238">
        <w:rPr>
          <w:rFonts w:ascii="Times New Roman" w:hAnsi="Times New Roman" w:cs="Times New Roman"/>
          <w:b/>
          <w:color w:val="000000" w:themeColor="text1"/>
          <w:sz w:val="24"/>
          <w:szCs w:val="24"/>
        </w:rPr>
        <w:lastRenderedPageBreak/>
        <w:t>COVİD19 PANDEMİSİ SÜRECİNDE DEĞİŞEN TÜKETİCİ VE MARKA DAVRANIŞLARI ÜZERİNE BİR ÇALIŞMA</w:t>
      </w:r>
      <w:bookmarkEnd w:id="4"/>
    </w:p>
    <w:p w14:paraId="5FF39094" w14:textId="44D005FF" w:rsidR="00CB6608" w:rsidRPr="00164238" w:rsidRDefault="00F51503" w:rsidP="006923DF">
      <w:pPr>
        <w:pStyle w:val="Balk2"/>
        <w:rPr>
          <w:rFonts w:ascii="Times New Roman" w:hAnsi="Times New Roman" w:cs="Times New Roman"/>
          <w:b w:val="0"/>
          <w:color w:val="000000" w:themeColor="text1"/>
          <w:sz w:val="20"/>
          <w:szCs w:val="20"/>
        </w:rPr>
      </w:pPr>
      <w:bookmarkStart w:id="5" w:name="_Toc72961655"/>
      <w:r w:rsidRPr="00164238">
        <w:rPr>
          <w:rFonts w:ascii="Times New Roman" w:hAnsi="Times New Roman" w:cs="Times New Roman"/>
          <w:b w:val="0"/>
          <w:color w:val="000000" w:themeColor="text1"/>
          <w:sz w:val="20"/>
          <w:szCs w:val="20"/>
        </w:rPr>
        <w:t>Dr. Öğr. Üyesi</w:t>
      </w:r>
      <w:r w:rsidR="006923DF" w:rsidRPr="00164238">
        <w:rPr>
          <w:rFonts w:ascii="Times New Roman" w:hAnsi="Times New Roman" w:cs="Times New Roman"/>
          <w:b w:val="0"/>
          <w:color w:val="000000" w:themeColor="text1"/>
          <w:sz w:val="20"/>
          <w:szCs w:val="20"/>
        </w:rPr>
        <w:t xml:space="preserve"> </w:t>
      </w:r>
      <w:r w:rsidRPr="00164238">
        <w:rPr>
          <w:rFonts w:ascii="Times New Roman" w:hAnsi="Times New Roman" w:cs="Times New Roman"/>
          <w:b w:val="0"/>
          <w:color w:val="000000" w:themeColor="text1"/>
          <w:sz w:val="20"/>
          <w:szCs w:val="20"/>
        </w:rPr>
        <w:t xml:space="preserve">Elif KARA, </w:t>
      </w:r>
      <w:r w:rsidR="00CB6608" w:rsidRPr="00164238">
        <w:rPr>
          <w:rFonts w:ascii="Times New Roman" w:hAnsi="Times New Roman" w:cs="Times New Roman"/>
          <w:b w:val="0"/>
          <w:i w:val="0"/>
          <w:color w:val="000000" w:themeColor="text1"/>
          <w:sz w:val="20"/>
          <w:szCs w:val="20"/>
        </w:rPr>
        <w:t>Kahramanmaraş Sütçü İmam Üniversitesi, Göksun Uygulamalı Bilimler Yüksek Okulu, Bankacılık ve Finans Bölümü, Kahramanmaraş, Türkiye</w:t>
      </w:r>
      <w:r w:rsidR="00CB6608" w:rsidRPr="00164238">
        <w:rPr>
          <w:rFonts w:ascii="Times New Roman" w:hAnsi="Times New Roman" w:cs="Times New Roman"/>
          <w:b w:val="0"/>
          <w:color w:val="000000" w:themeColor="text1"/>
          <w:sz w:val="20"/>
          <w:szCs w:val="20"/>
        </w:rPr>
        <w:t>.</w:t>
      </w:r>
      <w:bookmarkEnd w:id="5"/>
    </w:p>
    <w:p w14:paraId="1DFE63D2" w14:textId="5BAD628F" w:rsidR="00CB6608" w:rsidRPr="00164238" w:rsidRDefault="00F51503" w:rsidP="005078A7">
      <w:pPr>
        <w:autoSpaceDE w:val="0"/>
        <w:autoSpaceDN w:val="0"/>
        <w:adjustRightInd w:val="0"/>
        <w:spacing w:before="240" w:after="120" w:line="360" w:lineRule="auto"/>
        <w:contextualSpacing/>
        <w:jc w:val="both"/>
        <w:rPr>
          <w:rFonts w:ascii="Times New Roman" w:hAnsi="Times New Roman" w:cs="Times New Roman"/>
          <w:color w:val="000000" w:themeColor="text1"/>
          <w:sz w:val="20"/>
          <w:szCs w:val="20"/>
        </w:rPr>
      </w:pPr>
      <w:r w:rsidRPr="00164238">
        <w:rPr>
          <w:rFonts w:ascii="Times New Roman" w:hAnsi="Times New Roman" w:cs="Times New Roman"/>
          <w:i/>
          <w:color w:val="000000" w:themeColor="text1"/>
          <w:sz w:val="20"/>
          <w:szCs w:val="20"/>
        </w:rPr>
        <w:t>e-mail:</w:t>
      </w:r>
      <w:r w:rsidRPr="00164238">
        <w:rPr>
          <w:rFonts w:ascii="Times New Roman" w:hAnsi="Times New Roman" w:cs="Times New Roman"/>
          <w:color w:val="000000" w:themeColor="text1"/>
          <w:sz w:val="20"/>
          <w:szCs w:val="20"/>
        </w:rPr>
        <w:t xml:space="preserve"> </w:t>
      </w:r>
      <w:hyperlink r:id="rId16" w:history="1">
        <w:r w:rsidRPr="00164238">
          <w:rPr>
            <w:rStyle w:val="Kpr"/>
            <w:rFonts w:ascii="Times New Roman" w:hAnsi="Times New Roman" w:cs="Times New Roman"/>
            <w:color w:val="000000" w:themeColor="text1"/>
            <w:sz w:val="20"/>
            <w:szCs w:val="20"/>
          </w:rPr>
          <w:t>elifkara@ksu.edu.tr</w:t>
        </w:r>
      </w:hyperlink>
      <w:r w:rsidRPr="00164238">
        <w:rPr>
          <w:rFonts w:ascii="Times New Roman" w:hAnsi="Times New Roman" w:cs="Times New Roman"/>
          <w:color w:val="000000" w:themeColor="text1"/>
          <w:sz w:val="20"/>
          <w:szCs w:val="20"/>
        </w:rPr>
        <w:t xml:space="preserve"> </w:t>
      </w:r>
      <w:r w:rsidR="00CB6608" w:rsidRPr="00164238">
        <w:rPr>
          <w:rFonts w:ascii="Times New Roman" w:hAnsi="Times New Roman" w:cs="Times New Roman"/>
          <w:color w:val="000000" w:themeColor="text1"/>
          <w:sz w:val="20"/>
          <w:szCs w:val="20"/>
        </w:rPr>
        <w:t xml:space="preserve"> </w:t>
      </w:r>
      <w:r w:rsidRPr="00164238">
        <w:rPr>
          <w:rFonts w:ascii="Times New Roman" w:hAnsi="Times New Roman" w:cs="Times New Roman"/>
          <w:i/>
          <w:color w:val="000000" w:themeColor="text1"/>
          <w:sz w:val="20"/>
          <w:szCs w:val="20"/>
        </w:rPr>
        <w:t xml:space="preserve"> ORCID ID</w:t>
      </w:r>
      <w:r w:rsidR="00CB6608" w:rsidRPr="00164238">
        <w:rPr>
          <w:rFonts w:ascii="Times New Roman" w:hAnsi="Times New Roman" w:cs="Times New Roman"/>
          <w:color w:val="000000" w:themeColor="text1"/>
          <w:sz w:val="20"/>
          <w:szCs w:val="20"/>
        </w:rPr>
        <w:t>: 0000-0001-6321-416X</w:t>
      </w:r>
    </w:p>
    <w:p w14:paraId="43AF30C0" w14:textId="77777777" w:rsidR="00CB6608" w:rsidRPr="00164238" w:rsidRDefault="00CB6608" w:rsidP="00CB6608">
      <w:pPr>
        <w:jc w:val="center"/>
        <w:rPr>
          <w:rFonts w:ascii="Times New Roman" w:hAnsi="Times New Roman" w:cs="Times New Roman"/>
          <w:b/>
          <w:color w:val="000000" w:themeColor="text1"/>
        </w:rPr>
      </w:pPr>
    </w:p>
    <w:p w14:paraId="32EE1AAE" w14:textId="77777777" w:rsidR="00CB6608" w:rsidRPr="00164238" w:rsidRDefault="00CB6608" w:rsidP="00CB6608">
      <w:pPr>
        <w:jc w:val="center"/>
        <w:rPr>
          <w:rFonts w:ascii="Times New Roman" w:hAnsi="Times New Roman" w:cs="Times New Roman"/>
          <w:b/>
          <w:color w:val="000000" w:themeColor="text1"/>
        </w:rPr>
      </w:pPr>
      <w:r w:rsidRPr="00164238">
        <w:rPr>
          <w:rFonts w:ascii="Times New Roman" w:hAnsi="Times New Roman" w:cs="Times New Roman"/>
          <w:b/>
          <w:color w:val="000000" w:themeColor="text1"/>
        </w:rPr>
        <w:t>Özet</w:t>
      </w:r>
    </w:p>
    <w:p w14:paraId="73825262" w14:textId="77777777" w:rsidR="00CB6608" w:rsidRPr="00164238" w:rsidRDefault="00CB6608" w:rsidP="00CB6608">
      <w:pPr>
        <w:spacing w:before="120"/>
        <w:ind w:firstLine="709"/>
        <w:jc w:val="both"/>
        <w:rPr>
          <w:rFonts w:ascii="Times New Roman" w:hAnsi="Times New Roman" w:cs="Times New Roman"/>
          <w:color w:val="000000" w:themeColor="text1"/>
        </w:rPr>
      </w:pPr>
      <w:r w:rsidRPr="00164238">
        <w:rPr>
          <w:rFonts w:ascii="Times New Roman" w:hAnsi="Times New Roman" w:cs="Times New Roman"/>
          <w:color w:val="000000" w:themeColor="text1"/>
        </w:rPr>
        <w:t>Günümüzde markalar arasında yoğun bir rekabet vardır. Böyle bir ortamda tüketicilerin zihninde yer tutmak önemli bir sorun haline gelmiştir. İşletmelerin ürünün ve markanın farkında olunmasını sağlamak için iletişim faaliyetlerine yatırım yapması, markaların duygusal ve fonksiyonel özelliklerini iletmesi, rakip markalarla kıyaslandığında kendi markalarını öne çıkaracak yönleri konusunda müşteriyi ikna etmesi ve ürünü ilk kez satın alan müşteriye güven vermesi gerekmektedir Bunların tamamı güçlü bir marka iletişiminden geçmektedir. Özellikle olağan üstü durumlarda ve kriz dönemlerinde bu gereklilik daha da üst seviyelere çıkmaktadır.</w:t>
      </w:r>
    </w:p>
    <w:p w14:paraId="699F7D40" w14:textId="77777777" w:rsidR="00CB6608" w:rsidRPr="00164238" w:rsidRDefault="00CB6608" w:rsidP="00CB6608">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Covid-19 salgını,  yaşanan kısıtlamalar ve sosyal mesafe kuralları tüketicilerin satın alma davranışlarında değişime sebep oldu. Tüketiciler satın alma alışkanlıklarını değiştirmek zorunda kaldılar. Örnek olarak mağazadan alışveriş yapan bir tüketici mağazaya gidemediği için internetten alışverişini internetten yapmaya başladı veya markete çıkamadığı için marketin onun ayağına gelmeye başlaması gibi.</w:t>
      </w:r>
      <w:r w:rsidRPr="00164238">
        <w:rPr>
          <w:rFonts w:ascii="Times New Roman" w:hAnsi="Times New Roman" w:cs="Times New Roman"/>
          <w:color w:val="000000" w:themeColor="text1"/>
          <w:shd w:val="clear" w:color="auto" w:fill="FFFFFF"/>
        </w:rPr>
        <w:t xml:space="preserve"> Bu çalışmada, Covid-19’un tüketici davranışlarındaki değişimi ortaya koymak amacıyla bu konu üzerine yapılmış çalışmaları derlemekte ve markaların covid-19 pandemi sürecine katmış oldukları değerlere değinilmektedir. Çalışmanın sonuçlarına göre; tüketicilerin Covid-19 pandemisi sürecinde daha çok temele ihtiyaçlara yöneldiklerini, dijital mecraların daha çok kullanıldığını, markaların ve firmaların sosyal sorumluluk projelerine ağırlık verdiği söylenebilir. Pandemi süreci markaların esnek olmaya ve değişime ayak uydurmaya ihtiyaçlarının olduğunu göstermektedir.</w:t>
      </w:r>
      <w:r w:rsidRPr="00164238">
        <w:rPr>
          <w:rFonts w:ascii="Times New Roman" w:hAnsi="Times New Roman" w:cs="Times New Roman"/>
          <w:color w:val="000000" w:themeColor="text1"/>
        </w:rPr>
        <w:t xml:space="preserve"> Çalışma covid-19 sürecinde markaların iletişim çabalarını ve değişen tüketici çalışmalarını inceleyerek literatüre katkı sunmaktadır.</w:t>
      </w:r>
    </w:p>
    <w:p w14:paraId="2694DFA3" w14:textId="77777777" w:rsidR="00CB6608" w:rsidRPr="00164238" w:rsidRDefault="00CB6608" w:rsidP="00CB6608">
      <w:pPr>
        <w:ind w:firstLine="708"/>
        <w:jc w:val="both"/>
        <w:rPr>
          <w:rFonts w:ascii="Times New Roman" w:hAnsi="Times New Roman" w:cs="Times New Roman"/>
          <w:b/>
          <w:color w:val="000000" w:themeColor="text1"/>
        </w:rPr>
      </w:pPr>
      <w:r w:rsidRPr="00164238">
        <w:rPr>
          <w:rFonts w:ascii="Times New Roman" w:hAnsi="Times New Roman" w:cs="Times New Roman"/>
          <w:b/>
          <w:color w:val="000000" w:themeColor="text1"/>
        </w:rPr>
        <w:t xml:space="preserve">Anahtar Kelimeler: </w:t>
      </w:r>
      <w:r w:rsidRPr="00164238">
        <w:rPr>
          <w:rFonts w:ascii="Times New Roman" w:hAnsi="Times New Roman" w:cs="Times New Roman"/>
          <w:color w:val="000000" w:themeColor="text1"/>
        </w:rPr>
        <w:t>Covid-19 pandemisi,</w:t>
      </w:r>
      <w:r w:rsidRPr="00164238">
        <w:rPr>
          <w:rFonts w:ascii="Times New Roman" w:hAnsi="Times New Roman" w:cs="Times New Roman"/>
          <w:b/>
          <w:color w:val="000000" w:themeColor="text1"/>
        </w:rPr>
        <w:t xml:space="preserve"> </w:t>
      </w:r>
      <w:r w:rsidRPr="00164238">
        <w:rPr>
          <w:rFonts w:ascii="Times New Roman" w:hAnsi="Times New Roman" w:cs="Times New Roman"/>
          <w:color w:val="000000" w:themeColor="text1"/>
        </w:rPr>
        <w:t>tüketici davranışları, marka.</w:t>
      </w:r>
      <w:r w:rsidRPr="00164238">
        <w:rPr>
          <w:rFonts w:ascii="Times New Roman" w:hAnsi="Times New Roman" w:cs="Times New Roman"/>
          <w:b/>
          <w:color w:val="000000" w:themeColor="text1"/>
        </w:rPr>
        <w:t xml:space="preserve"> </w:t>
      </w:r>
    </w:p>
    <w:p w14:paraId="38542C75" w14:textId="77777777" w:rsidR="00CB6608" w:rsidRPr="00164238" w:rsidRDefault="00CB6608" w:rsidP="00CB6608">
      <w:pPr>
        <w:ind w:firstLine="708"/>
        <w:jc w:val="both"/>
        <w:rPr>
          <w:rFonts w:ascii="Times New Roman" w:hAnsi="Times New Roman" w:cs="Times New Roman"/>
          <w:color w:val="000000" w:themeColor="text1"/>
        </w:rPr>
      </w:pPr>
    </w:p>
    <w:p w14:paraId="3E344DBA" w14:textId="77777777" w:rsidR="00CB6608" w:rsidRPr="00164238" w:rsidRDefault="00CB6608" w:rsidP="00CB6608">
      <w:pPr>
        <w:ind w:firstLine="708"/>
        <w:jc w:val="both"/>
        <w:rPr>
          <w:rFonts w:ascii="Times New Roman" w:hAnsi="Times New Roman" w:cs="Times New Roman"/>
          <w:b/>
          <w:color w:val="000000" w:themeColor="text1"/>
        </w:rPr>
      </w:pPr>
      <w:r w:rsidRPr="00164238">
        <w:rPr>
          <w:rFonts w:ascii="Times New Roman" w:hAnsi="Times New Roman" w:cs="Times New Roman"/>
          <w:b/>
          <w:color w:val="000000" w:themeColor="text1"/>
        </w:rPr>
        <w:t>Giriş</w:t>
      </w:r>
    </w:p>
    <w:p w14:paraId="77969F26" w14:textId="77777777" w:rsidR="00CB6608" w:rsidRPr="00164238" w:rsidRDefault="00CB6608" w:rsidP="00CB6608">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Covid 19 kaynaklı pandemi etkisini küresel olarak devam ettirmekte. Bu da küresel düzeyde değişimleri beraberinde getirmektedir. Ülkelerin, kurumların, firmaların, insanların iş yapış ve yaşam şekilleri değişime uğradı ve uğramaya devem etmektedir. Virüsün yayılımını engellemek amacıyla ülkeler geçici olarak işyerlerini kapatmış, kademeli çalışma getirilmiş, sokağa çıkma yasakları ilan edilmiş, uzaktan eğitime geçilmiş, kültürel-sanatsal faaliyetler durdurulmuş, ulaşım faaliyetlerine yeni düzenlemeler gelmiş, kafe-restoran hizmetleri durdurulmuş veya kısıtlamalar getirilmiş, eğlence sektörü gibi önemli sektörler faaliyetlerine devam edemez hale gelmiştir. “sosyal mesafe” denilen kavram artık yaşam biçimimiz olmuştur. Virüsten korunmak amacıyla geliştiren bu yöntemler tüketicilerde yeni normallerin oluşmasına neden olmuştur. Tüketici davranışlarında meydana gelen bu değişim günlük olarak değişmeye devam etmektedir. </w:t>
      </w:r>
    </w:p>
    <w:p w14:paraId="6864790D" w14:textId="77777777" w:rsidR="00CB6608" w:rsidRPr="00164238" w:rsidRDefault="00CB6608" w:rsidP="00CB6608">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lastRenderedPageBreak/>
        <w:t>Tüketici davranışları, tercihleri ve karar alma süreci birçok unsurdan etkilenmektedir. Dijital çağın getirisi olan iletişim ile bu etkinin derecesi ve mecraları da artmaktadır. Dijitalleşme ile birlikte artan iletişim becerileri tüketicilerin karlarından davranış şekillerine kadar birçok özelliğinin değişimini de beraberinde getirmiştir. İşte firmaların ve markaların da tüketiciye ulaşabilmeleri, memnun ve sadık müşteri grupları oluşturabilmeleri için değişime ayak uydurmak zorundadır. Değişime ayak uyduramayan ve geleceği göremeyen firmalar yok olmaya mahkûmdur. Buna kürsel çapta verilebilecek en güzel örneklerden birisi Nokia örneğidir. 2000’li yılların başında telefon piyasasının öncüsü iken değişime ayak uyduramayan ve geleceği göremeyen Nokia büyük bir düşüş yaşamış ve pazar payının büyük bir kısmını kaybetmiştir.  Tüketici davranışlarına ve değişime kayıtsız kalan işletmelerin istenilen rekabet gücüne ulaşması diğer firmalara göre daha düşüktür.</w:t>
      </w:r>
    </w:p>
    <w:p w14:paraId="7184D87D" w14:textId="77777777" w:rsidR="00CB6608" w:rsidRPr="00164238" w:rsidRDefault="00CB6608" w:rsidP="00CB6608">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Covid 19 pandemisi insanların karşılaşmış olduğu ilk salgın değildir fakat günümüz insanının karşılaşmış olduğu ilk virüs salgınıdır. Bunu küresel bir kriz olarak nitelendirebiliriz. Küresel çapta yaşanan bu kriz,  işletmelerin iş yapma şekillerini, stratejilerini değiştirmelerine neden olmuştur. Genel olarak tüm işletme dünyası bir değişim yaşamakta. Bununla birlikte tüketicilerin de tüketim davranış biçimleri önemli ve ne kadarının kalıcı olacağı belli olmayan bir şekilde değişime uğramaktadır.</w:t>
      </w:r>
    </w:p>
    <w:p w14:paraId="10721B6A" w14:textId="77777777" w:rsidR="00CB6608" w:rsidRPr="00164238" w:rsidRDefault="00CB6608" w:rsidP="00CB6608">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Bu çalışmada covid 19 pandemisi ile birlikte değişime uğrayan tüketici davranışları ve marka davranışları üzerine yapılmış çalışmaların incelemesini sunmaktadır. </w:t>
      </w:r>
    </w:p>
    <w:p w14:paraId="0492697C" w14:textId="77777777" w:rsidR="00CB6608" w:rsidRPr="00164238" w:rsidRDefault="00CB6608" w:rsidP="007C3550">
      <w:pPr>
        <w:numPr>
          <w:ilvl w:val="0"/>
          <w:numId w:val="3"/>
        </w:numPr>
        <w:spacing w:after="200" w:line="276" w:lineRule="auto"/>
        <w:jc w:val="both"/>
        <w:rPr>
          <w:rFonts w:ascii="Times New Roman" w:hAnsi="Times New Roman" w:cs="Times New Roman"/>
          <w:b/>
          <w:color w:val="000000" w:themeColor="text1"/>
        </w:rPr>
      </w:pPr>
      <w:r w:rsidRPr="00164238">
        <w:rPr>
          <w:rFonts w:ascii="Times New Roman" w:hAnsi="Times New Roman" w:cs="Times New Roman"/>
          <w:b/>
          <w:color w:val="000000" w:themeColor="text1"/>
        </w:rPr>
        <w:t>Tüketici Kavramı ve Tüketici Davranışları</w:t>
      </w:r>
    </w:p>
    <w:p w14:paraId="7FE56175" w14:textId="77777777" w:rsidR="00CB6608" w:rsidRPr="00164238" w:rsidRDefault="00CB6608" w:rsidP="00CB6608">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Son kullanım amacı ile ürün ve hizmetleri satın alan, kullanan kişi anlamına gelmektedir (Yavuz ve Barış, 2004: 20). İnsanların yaşamlarını devam ettirebilmesi ve yaşam standartlarını yükseltmesi için ihtiyaçlarını gidermeleri gerekir ki bu da ekonomik bir faaliyeti gerektirmektedir. Bir bireyin işletme ve ekonomi bilimi açısından tüketici sayılabilmesi için bu kişinin hem bir ihtiyacının olması hem de bunu karşılayabilecek ekonomik güce sahip olması gerekmektedir. Buna göre tüketici genel olarak ekonomik değeri olan ve bir satıcı tarafından satılan mal ve hizmetleri satın alma isteği ve satın alabilecek ekonomik gücü; başka bir deyişle geliri olan kişidir( Özmen vd., 2013: 45).  Tüketici bireysel veya ailesinin istek ve ihtiyaçlarına yönelik pazarlama bileşenlerini satın alma kararını veren ya da satın alma potansiyeli olan gerçek kişidir denir. Tüketici bir örgütün hedef pazarında yer alan ve kendisine sunulan ve kendisine sunulan pazarlama bileşenlerini kabul ya da red eden kişi olduğu için pazara yönelik faaliyetlerin temel belirleyicisi konumundadır (İslamoğlu ve Altunışık, 2013: 5).</w:t>
      </w:r>
    </w:p>
    <w:p w14:paraId="1DD8B42D" w14:textId="77777777" w:rsidR="00CB6608" w:rsidRPr="00164238" w:rsidRDefault="00CB6608" w:rsidP="00CB6608">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Tüketici davranışı kavramına bakacak olursak pazar yerinde tüketici davranışlarını inceleyen uygulamalı bilim dalına tüketici davranışları denilmektedir (Yavuz ve Barış, 2004: 18). En genel anlamı ile tüketici davranışları mal ve hizmetlerin nereden, ne zaman, nasıl satın alacağını ya da satın alamayacağına ilişkin karar alma süreçlerine verilen isimdir  (Penpece, 2006: 8).  Tüketici davranışlarının incelenmesindeki asıl amaç tüketicilerin davranışa tarzını anlamak, açıklamak ve tahminde bulunabilmek içindir (Arıkan ve Odabaşı, 1996: 13).  Tüketici davranışı iki temel boyuttan oluşmaktadır. Bunlar birbirini tamamlamakta ve bir bütün oluşturmaktadır. Birinci boyut karar alma süreci ikinci boyut ise satın alma davranışıdır.  Satın alma kararı zihinde gerçekleşirken bu rasyonel de olabilmektedir duygusal şekilde de gerçekleşmektedir. Tüketicilerin nasıl satın aldığını incelerken geleneksel rasyonel satın alma karar süreçlerini ortaya koyan modellerden ziyade, rasyonel olmayan dışsal ve içsel etmenlerin ve durumsal faktörlerin etkisi ile satın alma kararını verme eğilimindedir (Konuk,  1991: 87). Pazarlamacılar ve iş dünyası tüketicilerin zihinlerine girerek ilk sırada hatırlanmak ve duygusal bağlar kurmayı önemsemektedir. Bu nedenle her geçen gün yeni bir yöntem kullanılarak bu bağlar gerçekleştirilmeye çalışılmaktadır ( Özmen vd., 2003: 48). </w:t>
      </w:r>
    </w:p>
    <w:p w14:paraId="1D84E0C4" w14:textId="77777777" w:rsidR="00CB6608" w:rsidRPr="00164238" w:rsidRDefault="00CB6608" w:rsidP="00CB6608">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lastRenderedPageBreak/>
        <w:t xml:space="preserve">Tüketici davranışları çok sayıda çok sayıda ve karmaşık değişkenden etkilenmekte ve yönlendirilmektedir. Tüketici davranışları üzerinde tüketicinin bireysel özellikleri olan; ihtiyacı, güdüleri, öğrenme süreci, kişiliği, algı, tutum ve inançlarının yanında kişinin üyesi olduğu toplumun inanç, kültür, sosyal sınıf, referans grup ve aile gibi sosyo-kültürel faktörlerden etkilenmekte ve bunların vasıtası ile şekillenmektedir. Ayrıca işletmelerin pazarlama çalışmalarının da davranış şekillenmesinde etkisi vardır (Mucuk, 2004: 71). Tüketici davranışlarını etkileyen faktörleri şöyle sıralayabiliriz (Kayabaşı, 2020: 21): </w:t>
      </w:r>
    </w:p>
    <w:p w14:paraId="0DAF7E72" w14:textId="77777777" w:rsidR="00CB6608" w:rsidRPr="00164238" w:rsidRDefault="00CB6608" w:rsidP="00CB6608">
      <w:pPr>
        <w:ind w:left="708"/>
        <w:jc w:val="both"/>
        <w:rPr>
          <w:rFonts w:ascii="Times New Roman" w:hAnsi="Times New Roman" w:cs="Times New Roman"/>
          <w:color w:val="000000" w:themeColor="text1"/>
        </w:rPr>
      </w:pPr>
      <w:r w:rsidRPr="00164238">
        <w:rPr>
          <w:rFonts w:ascii="Times New Roman" w:hAnsi="Times New Roman" w:cs="Times New Roman"/>
          <w:color w:val="000000" w:themeColor="text1"/>
        </w:rPr>
        <w:t>• Pazarlama faktörleri; ürün tasarımı, fiyat, promosyon, paket, konumlandırma ve dağıtım.</w:t>
      </w:r>
    </w:p>
    <w:p w14:paraId="20929A95" w14:textId="77777777" w:rsidR="00CB6608" w:rsidRPr="00164238" w:rsidRDefault="00CB6608" w:rsidP="00CB6608">
      <w:pPr>
        <w:ind w:left="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 Tüketici özellikleri; yaş, cinsiyet, gelir seviyesi, eğitim seviyesi, lokasyon. </w:t>
      </w:r>
    </w:p>
    <w:p w14:paraId="3340FE54" w14:textId="77777777" w:rsidR="00CB6608" w:rsidRPr="00164238" w:rsidRDefault="00CB6608" w:rsidP="00CB6608">
      <w:pPr>
        <w:ind w:left="708"/>
        <w:jc w:val="both"/>
        <w:rPr>
          <w:rFonts w:ascii="Times New Roman" w:hAnsi="Times New Roman" w:cs="Times New Roman"/>
          <w:color w:val="000000" w:themeColor="text1"/>
        </w:rPr>
      </w:pPr>
      <w:r w:rsidRPr="00164238">
        <w:rPr>
          <w:rFonts w:ascii="Times New Roman" w:hAnsi="Times New Roman" w:cs="Times New Roman"/>
          <w:color w:val="000000" w:themeColor="text1"/>
        </w:rPr>
        <w:t>• Psikolojik faktörler; satın alma güdüsü, ürüne karşı algı ve ürüne karşı tutum.</w:t>
      </w:r>
    </w:p>
    <w:p w14:paraId="5F6998D5" w14:textId="77777777" w:rsidR="00CB6608" w:rsidRPr="00164238" w:rsidRDefault="00CB6608" w:rsidP="00CB6608">
      <w:pPr>
        <w:ind w:left="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 Durumsal faktörler; satıl alma anındaki fiziki koşullar, sosyal çevre, zamanlama.</w:t>
      </w:r>
    </w:p>
    <w:p w14:paraId="711905AF" w14:textId="77777777" w:rsidR="00CB6608" w:rsidRPr="00164238" w:rsidRDefault="00CB6608" w:rsidP="00CB6608">
      <w:pPr>
        <w:ind w:left="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 Sosyal faktörler; sosyal statü, referans grupları.</w:t>
      </w:r>
    </w:p>
    <w:p w14:paraId="67FBF066" w14:textId="77777777" w:rsidR="00CB6608" w:rsidRPr="00164238" w:rsidRDefault="00CB6608" w:rsidP="00CB6608">
      <w:pPr>
        <w:ind w:left="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 Kültürel faktörler; din, sosyal sınıf, yöresel zevkler. </w:t>
      </w:r>
    </w:p>
    <w:p w14:paraId="47427390" w14:textId="77777777" w:rsidR="00CB6608" w:rsidRPr="00164238" w:rsidRDefault="00CB6608" w:rsidP="00CB6608">
      <w:pPr>
        <w:ind w:left="708"/>
        <w:jc w:val="both"/>
        <w:rPr>
          <w:rFonts w:ascii="Times New Roman" w:hAnsi="Times New Roman" w:cs="Times New Roman"/>
          <w:color w:val="000000" w:themeColor="text1"/>
        </w:rPr>
      </w:pPr>
      <w:r w:rsidRPr="00164238">
        <w:rPr>
          <w:rFonts w:ascii="Times New Roman" w:hAnsi="Times New Roman" w:cs="Times New Roman"/>
          <w:color w:val="000000" w:themeColor="text1"/>
        </w:rPr>
        <w:t>• Bunlara ek olarak kriz dönemleri ve ekonomik faktörler.</w:t>
      </w:r>
    </w:p>
    <w:p w14:paraId="5B58347A" w14:textId="77777777" w:rsidR="00CB6608" w:rsidRPr="00164238" w:rsidRDefault="00CB6608" w:rsidP="00CB6608">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Bu faktörlerin tüketiciler üzerinde önemli etkileri bulunmaktadır. Özellikle tüketici davranışları üzerinde önemli bir etkiye sahiptir. Tüketicinin motivasyonu alacağı kararlarını ve algılarını etkilemektedir. Bu faktörler tüketicilerin bilgiyi sınıflandırmasını, yorumlamasını, tutumlarının oluşumunu, değişimini ve hatıralarını şekillendirmesi ve yorumlamasını etkilemektedir. </w:t>
      </w:r>
    </w:p>
    <w:p w14:paraId="25A805C6" w14:textId="61DA25EA" w:rsidR="00CB6608" w:rsidRDefault="00CB6608" w:rsidP="00CB6608">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Şekil 1 de tüketici davranışının kapsam ve yansımaları gözükmektedir. </w:t>
      </w:r>
    </w:p>
    <w:p w14:paraId="08ED7F84" w14:textId="52F50030" w:rsidR="00E0308F" w:rsidRDefault="00E0308F" w:rsidP="00CB6608">
      <w:pPr>
        <w:ind w:firstLine="708"/>
        <w:jc w:val="both"/>
        <w:rPr>
          <w:rFonts w:ascii="Times New Roman" w:hAnsi="Times New Roman" w:cs="Times New Roman"/>
          <w:color w:val="000000" w:themeColor="text1"/>
        </w:rPr>
      </w:pPr>
    </w:p>
    <w:p w14:paraId="1C1514A5" w14:textId="0C0DCF63" w:rsidR="00E0308F" w:rsidRDefault="00E0308F" w:rsidP="00CB6608">
      <w:pPr>
        <w:ind w:firstLine="708"/>
        <w:jc w:val="both"/>
        <w:rPr>
          <w:rFonts w:ascii="Times New Roman" w:hAnsi="Times New Roman" w:cs="Times New Roman"/>
          <w:color w:val="000000" w:themeColor="text1"/>
        </w:rPr>
      </w:pPr>
    </w:p>
    <w:p w14:paraId="08D9C43D" w14:textId="0BC87C22" w:rsidR="00E0308F" w:rsidRDefault="00E0308F" w:rsidP="00CB6608">
      <w:pPr>
        <w:ind w:firstLine="708"/>
        <w:jc w:val="both"/>
        <w:rPr>
          <w:rFonts w:ascii="Times New Roman" w:hAnsi="Times New Roman" w:cs="Times New Roman"/>
          <w:color w:val="000000" w:themeColor="text1"/>
        </w:rPr>
      </w:pPr>
    </w:p>
    <w:p w14:paraId="254EDBBA" w14:textId="6EE127B5" w:rsidR="00E0308F" w:rsidRDefault="00E0308F" w:rsidP="00CB6608">
      <w:pPr>
        <w:ind w:firstLine="708"/>
        <w:jc w:val="both"/>
        <w:rPr>
          <w:rFonts w:ascii="Times New Roman" w:hAnsi="Times New Roman" w:cs="Times New Roman"/>
          <w:color w:val="000000" w:themeColor="text1"/>
        </w:rPr>
      </w:pPr>
    </w:p>
    <w:p w14:paraId="4EBD47A9" w14:textId="338D9CDF" w:rsidR="00E0308F" w:rsidRDefault="00E0308F" w:rsidP="00CB6608">
      <w:pPr>
        <w:ind w:firstLine="708"/>
        <w:jc w:val="both"/>
        <w:rPr>
          <w:rFonts w:ascii="Times New Roman" w:hAnsi="Times New Roman" w:cs="Times New Roman"/>
          <w:color w:val="000000" w:themeColor="text1"/>
        </w:rPr>
      </w:pPr>
    </w:p>
    <w:p w14:paraId="5AC7D6B3" w14:textId="028120F3" w:rsidR="00E0308F" w:rsidRDefault="00E0308F" w:rsidP="00CB6608">
      <w:pPr>
        <w:ind w:firstLine="708"/>
        <w:jc w:val="both"/>
        <w:rPr>
          <w:rFonts w:ascii="Times New Roman" w:hAnsi="Times New Roman" w:cs="Times New Roman"/>
          <w:color w:val="000000" w:themeColor="text1"/>
        </w:rPr>
      </w:pPr>
    </w:p>
    <w:p w14:paraId="2ED9B25E" w14:textId="169D2599" w:rsidR="004266E7" w:rsidRDefault="004266E7" w:rsidP="00CB6608">
      <w:pPr>
        <w:ind w:firstLine="708"/>
        <w:jc w:val="both"/>
        <w:rPr>
          <w:rFonts w:ascii="Times New Roman" w:hAnsi="Times New Roman" w:cs="Times New Roman"/>
          <w:color w:val="000000" w:themeColor="text1"/>
        </w:rPr>
      </w:pPr>
    </w:p>
    <w:p w14:paraId="25B81BCD" w14:textId="1C18BA2C" w:rsidR="004266E7" w:rsidRDefault="004266E7" w:rsidP="00CB6608">
      <w:pPr>
        <w:ind w:firstLine="708"/>
        <w:jc w:val="both"/>
        <w:rPr>
          <w:rFonts w:ascii="Times New Roman" w:hAnsi="Times New Roman" w:cs="Times New Roman"/>
          <w:color w:val="000000" w:themeColor="text1"/>
        </w:rPr>
      </w:pPr>
    </w:p>
    <w:p w14:paraId="7BAADA3C" w14:textId="77777777" w:rsidR="004266E7" w:rsidRDefault="004266E7" w:rsidP="00CB6608">
      <w:pPr>
        <w:ind w:firstLine="708"/>
        <w:jc w:val="both"/>
        <w:rPr>
          <w:rFonts w:ascii="Times New Roman" w:hAnsi="Times New Roman" w:cs="Times New Roman"/>
          <w:color w:val="000000" w:themeColor="text1"/>
        </w:rPr>
      </w:pPr>
    </w:p>
    <w:p w14:paraId="5267D4FB" w14:textId="53BF218A" w:rsidR="00E0308F" w:rsidRDefault="00E0308F" w:rsidP="00CB6608">
      <w:pPr>
        <w:ind w:firstLine="708"/>
        <w:jc w:val="both"/>
        <w:rPr>
          <w:rFonts w:ascii="Times New Roman" w:hAnsi="Times New Roman" w:cs="Times New Roman"/>
          <w:color w:val="000000" w:themeColor="text1"/>
        </w:rPr>
      </w:pPr>
    </w:p>
    <w:p w14:paraId="66768B57" w14:textId="28A51A78" w:rsidR="00E0308F" w:rsidRDefault="00E0308F" w:rsidP="00CB6608">
      <w:pPr>
        <w:ind w:firstLine="708"/>
        <w:jc w:val="both"/>
        <w:rPr>
          <w:rFonts w:ascii="Times New Roman" w:hAnsi="Times New Roman" w:cs="Times New Roman"/>
          <w:color w:val="000000" w:themeColor="text1"/>
        </w:rPr>
      </w:pPr>
    </w:p>
    <w:p w14:paraId="60F52676" w14:textId="185402A5" w:rsidR="00E0308F" w:rsidRDefault="00E0308F" w:rsidP="00CB6608">
      <w:pPr>
        <w:ind w:firstLine="708"/>
        <w:jc w:val="both"/>
        <w:rPr>
          <w:rFonts w:ascii="Times New Roman" w:hAnsi="Times New Roman" w:cs="Times New Roman"/>
          <w:color w:val="000000" w:themeColor="text1"/>
        </w:rPr>
      </w:pPr>
    </w:p>
    <w:p w14:paraId="69F62DC9" w14:textId="6021F3C3" w:rsidR="00E0308F" w:rsidRDefault="00E0308F" w:rsidP="00CB6608">
      <w:pPr>
        <w:ind w:firstLine="708"/>
        <w:jc w:val="both"/>
        <w:rPr>
          <w:rFonts w:ascii="Times New Roman" w:hAnsi="Times New Roman" w:cs="Times New Roman"/>
          <w:color w:val="000000" w:themeColor="text1"/>
        </w:rPr>
      </w:pPr>
    </w:p>
    <w:p w14:paraId="11915FFA" w14:textId="77777777" w:rsidR="00E0308F" w:rsidRPr="00164238" w:rsidRDefault="00E0308F" w:rsidP="00CB6608">
      <w:pPr>
        <w:ind w:firstLine="708"/>
        <w:jc w:val="both"/>
        <w:rPr>
          <w:rFonts w:ascii="Times New Roman" w:hAnsi="Times New Roman" w:cs="Times New Roman"/>
          <w:color w:val="000000" w:themeColor="text1"/>
        </w:rPr>
      </w:pPr>
    </w:p>
    <w:p w14:paraId="39F24071" w14:textId="2F820186" w:rsidR="00CB6608" w:rsidRPr="00E0308F" w:rsidRDefault="00CB6608" w:rsidP="00CB6608">
      <w:pPr>
        <w:jc w:val="both"/>
        <w:rPr>
          <w:rFonts w:ascii="Times New Roman" w:hAnsi="Times New Roman" w:cs="Times New Roman"/>
          <w:color w:val="000000" w:themeColor="text1"/>
          <w:sz w:val="18"/>
          <w:szCs w:val="18"/>
        </w:rPr>
      </w:pPr>
      <w:r w:rsidRPr="00E0308F">
        <w:rPr>
          <w:rFonts w:ascii="Times New Roman" w:hAnsi="Times New Roman" w:cs="Times New Roman"/>
          <w:noProof/>
          <w:color w:val="000000" w:themeColor="text1"/>
          <w:sz w:val="18"/>
          <w:szCs w:val="18"/>
          <w:lang w:val="en-US"/>
        </w:rPr>
        <mc:AlternateContent>
          <mc:Choice Requires="wps">
            <w:drawing>
              <wp:anchor distT="0" distB="0" distL="114300" distR="114300" simplePos="0" relativeHeight="251663360" behindDoc="0" locked="0" layoutInCell="1" allowOverlap="1" wp14:anchorId="309410F2" wp14:editId="5403C3F9">
                <wp:simplePos x="0" y="0"/>
                <wp:positionH relativeFrom="column">
                  <wp:posOffset>4624705</wp:posOffset>
                </wp:positionH>
                <wp:positionV relativeFrom="paragraph">
                  <wp:posOffset>120015</wp:posOffset>
                </wp:positionV>
                <wp:extent cx="914400" cy="447040"/>
                <wp:effectExtent l="10160" t="12700" r="8890" b="6985"/>
                <wp:wrapNone/>
                <wp:docPr id="21" name="Dikdörtgen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447040"/>
                        </a:xfrm>
                        <a:prstGeom prst="rect">
                          <a:avLst/>
                        </a:prstGeom>
                        <a:solidFill>
                          <a:srgbClr val="FFFFFF"/>
                        </a:solidFill>
                        <a:ln w="9525">
                          <a:solidFill>
                            <a:srgbClr val="000000"/>
                          </a:solidFill>
                          <a:miter lim="800000"/>
                          <a:headEnd/>
                          <a:tailEnd/>
                        </a:ln>
                      </wps:spPr>
                      <wps:txbx>
                        <w:txbxContent>
                          <w:p w14:paraId="64B5CDD1" w14:textId="77777777" w:rsidR="003B6DB3" w:rsidRDefault="003B6DB3" w:rsidP="00CB6608">
                            <w:pPr>
                              <w:jc w:val="center"/>
                            </w:pPr>
                            <w:r>
                              <w:t>Harcanan Zaman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9410F2" id="Dikdörtgen 21" o:spid="_x0000_s1026" style="position:absolute;left:0;text-align:left;margin-left:364.15pt;margin-top:9.45pt;width:1in;height:35.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BkrLAIAAEoEAAAOAAAAZHJzL2Uyb0RvYy54bWysVNuO0zAQfUfiHyy/06RVyi5R09WqpQhp&#10;gZUWPsCxncRa3xi7TZYP4wf4MSZOW7rAEyIPlu0ZH585Z5zVzWA0OUgIytmKzmc5JdJyJ5RtK/rl&#10;8+7VNSUhMiuYdlZW9EkGerN++WLV+1IuXOe0kEAQxIay9xXtYvRllgXeScPCzHlpMdg4MCziEtpM&#10;AOsR3ehskeevs96B8OC4DAF3t1OQrhN+00gePzVNkJHoiiK3mEZIYz2O2XrFyhaY7xQ/0mD/wMIw&#10;ZfHSM9SWRUb2oP6AMoqDC66JM+5M5ppGcZlqwGrm+W/VPHTMy1QLihP8Wabw/2D5x8M9ECUquphT&#10;YplBj7bqUfz4DrGVluAuStT7UGLmg7+Hscjg7xx/DMS6TcdsK28BXN9JJpBYys+eHRgXAY+Suv/g&#10;BF7A9tEltYYGzAiIOpAhmfJ0NkUOkXDcfDMvihyt4xgqiqu8SKZlrDwd9hDiO+kMGScVBfQ8gbPD&#10;XYhIHlNPKYm800rslNZpAW290UAODPtjl76xXjwSLtO0JT0yWS6WCflZLFxC5On7G4RRERtdK1PR&#10;63MSK0fV3lqR2jAypac53q8t0jgpNzkQh3o4mlE78YSCgpsaGh8gTjoH3yjpsZkrGr7uGUhK9HuL&#10;piQNsfvTolheLVBPuIzUlxFmOUJVNFIyTTdxejF7D6rt8KZ5ksG6WzSyUUnkkerE6sgbGzYJeXxc&#10;44u4XKesX7+A9U8AAAD//wMAUEsDBBQABgAIAAAAIQB3WZD+3gAAAAkBAAAPAAAAZHJzL2Rvd25y&#10;ZXYueG1sTI9BT4NAEIXvJv6HzZh4s4uQWECWxmhq4rGlF28DuwUqO0vYpUV/vePJ3mbmvbz5XrFZ&#10;7CDOZvK9IwWPqwiEocbpnloFh2r7kILwAUnj4Mgo+DYeNuXtTYG5dhfamfM+tIJDyOeooAthzKX0&#10;TWcs+pUbDbF2dJPFwOvUSj3hhcPtIOMoepIWe+IPHY7mtTPN1362Cuo+PuDPrnqPbLZNwsdSnebP&#10;N6Xu75aXZxDBLOHfDH/4jA4lM9VuJu3FoGAdpwlbWUgzEGxI1zEfah6yBGRZyOsG5S8AAAD//wMA&#10;UEsBAi0AFAAGAAgAAAAhALaDOJL+AAAA4QEAABMAAAAAAAAAAAAAAAAAAAAAAFtDb250ZW50X1R5&#10;cGVzXS54bWxQSwECLQAUAAYACAAAACEAOP0h/9YAAACUAQAACwAAAAAAAAAAAAAAAAAvAQAAX3Jl&#10;bHMvLnJlbHNQSwECLQAUAAYACAAAACEAWjgZKywCAABKBAAADgAAAAAAAAAAAAAAAAAuAgAAZHJz&#10;L2Uyb0RvYy54bWxQSwECLQAUAAYACAAAACEAd1mQ/t4AAAAJAQAADwAAAAAAAAAAAAAAAACGBAAA&#10;ZHJzL2Rvd25yZXYueG1sUEsFBgAAAAAEAAQA8wAAAJEFAAAAAA==&#10;">
                <v:textbox>
                  <w:txbxContent>
                    <w:p w14:paraId="64B5CDD1" w14:textId="77777777" w:rsidR="003B6DB3" w:rsidRDefault="003B6DB3" w:rsidP="00CB6608">
                      <w:pPr>
                        <w:jc w:val="center"/>
                      </w:pPr>
                      <w:r>
                        <w:t>Harcanan Zaman</w:t>
                      </w:r>
                    </w:p>
                  </w:txbxContent>
                </v:textbox>
              </v:rect>
            </w:pict>
          </mc:Fallback>
        </mc:AlternateContent>
      </w:r>
      <w:r w:rsidRPr="00E0308F">
        <w:rPr>
          <w:rFonts w:ascii="Times New Roman" w:hAnsi="Times New Roman" w:cs="Times New Roman"/>
          <w:noProof/>
          <w:color w:val="000000" w:themeColor="text1"/>
          <w:sz w:val="18"/>
          <w:szCs w:val="18"/>
          <w:lang w:val="en-US"/>
        </w:rPr>
        <mc:AlternateContent>
          <mc:Choice Requires="wps">
            <w:drawing>
              <wp:anchor distT="0" distB="0" distL="114300" distR="114300" simplePos="0" relativeHeight="251661312" behindDoc="0" locked="0" layoutInCell="1" allowOverlap="1" wp14:anchorId="3B5AD374" wp14:editId="03570830">
                <wp:simplePos x="0" y="0"/>
                <wp:positionH relativeFrom="column">
                  <wp:posOffset>3462655</wp:posOffset>
                </wp:positionH>
                <wp:positionV relativeFrom="paragraph">
                  <wp:posOffset>120015</wp:posOffset>
                </wp:positionV>
                <wp:extent cx="914400" cy="456565"/>
                <wp:effectExtent l="10160" t="12700" r="8890" b="6985"/>
                <wp:wrapNone/>
                <wp:docPr id="20" name="Dikdörtgen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456565"/>
                        </a:xfrm>
                        <a:prstGeom prst="rect">
                          <a:avLst/>
                        </a:prstGeom>
                        <a:solidFill>
                          <a:srgbClr val="FFFFFF"/>
                        </a:solidFill>
                        <a:ln w="9525">
                          <a:solidFill>
                            <a:srgbClr val="000000"/>
                          </a:solidFill>
                          <a:miter lim="800000"/>
                          <a:headEnd/>
                          <a:tailEnd/>
                        </a:ln>
                      </wps:spPr>
                      <wps:txbx>
                        <w:txbxContent>
                          <w:p w14:paraId="4B2F7104" w14:textId="77777777" w:rsidR="003B6DB3" w:rsidRDefault="003B6DB3" w:rsidP="00CB6608">
                            <w:pPr>
                              <w:jc w:val="center"/>
                            </w:pPr>
                            <w:r>
                              <w:t>Karar Verme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5AD374" id="Dikdörtgen 20" o:spid="_x0000_s1027" style="position:absolute;left:0;text-align:left;margin-left:272.65pt;margin-top:9.45pt;width:1in;height:35.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3pHLAIAAFEEAAAOAAAAZHJzL2Uyb0RvYy54bWysVG1uEzEQ/Y/EHSz/J7uJklJW2VRVQhBS&#10;gUqFA3ht765VfzF2slsOxgW4WMdOmqbAL8RGsjye8fObNzNZXo1Gk72EoJyt6XRSUiItd0LZrqbf&#10;vm7fXFISIrOCaWdlTR9koFer16+Wg6/kzPVOCwkEQWyoBl/TPkZfFUXgvTQsTJyXFp2tA8MimtAV&#10;AtiA6EYXs7K8KAYHwoPjMgQ83RycdJXx21by+KVtg4xE1xS5xbxCXpu0Fqslqzpgvlf8SIP9AwvD&#10;lMVHT1AbFhnZgfoDyigOLrg2TrgzhWtbxWXOAbOZlr9lc9czL3MuKE7wJ5nC/4Pln/e3QJSo6Qzl&#10;scxgjTbqXvz6CbGTluApSjT4UGHknb+FlGTwN47fB2Ldume2k9cAbuglE0hsmuKLFxeSEfAqaYZP&#10;TuADbBddVmtswSRA1IGMuSgPp6LIMRKOh++m83mJ3Di65osL/OUXWPV02UOIH6QzJG1qCljzDM72&#10;NyEmMqx6CsnknVZiq7TOBnTNWgPZM+yPbf6O6OE8TFsyIJPFbJGRX/jCOUSZv79BGBWx0bUyNb08&#10;BbEqqfbeityGkSl92CNlbY8yJuUOFYhjM+ZSZY2Tqo0TD6gruENf4xzipnfwg5IBe7qm4fuOgaRE&#10;f7RYmywlDkE25ou3qeRw7mnOPcxyhKpppOSwXcfD4Ow8qK7Hl6ZZDeuusZ6tylo/szrSx77NJTjO&#10;WBqMcztHPf8TrB4BAAD//wMAUEsDBBQABgAIAAAAIQApQHOE3gAAAAkBAAAPAAAAZHJzL2Rvd25y&#10;ZXYueG1sTI/BTsMwDIbvSLxDZCRuLGFjU1uaTgg0JI5bd+HmNqYtNEnVpFvh6TGncbT/T78/59vZ&#10;9uJEY+i803C/UCDI1d50rtFwLHd3CYgQ0RnsvSMN3xRgW1xf5ZgZf3Z7Oh1iI7jEhQw1tDEOmZSh&#10;bsliWPiBHGcffrQYeRwbaUY8c7nt5VKpjbTYOb7Q4kDPLdVfh8lqqLrlEX/25auy6W4V3+byc3p/&#10;0fr2Zn56BBFpjhcY/vRZHQp2qvzkTBC9hvXDesUoB0kKgoFNkvKi0pCqBGSRy/8fFL8AAAD//wMA&#10;UEsBAi0AFAAGAAgAAAAhALaDOJL+AAAA4QEAABMAAAAAAAAAAAAAAAAAAAAAAFtDb250ZW50X1R5&#10;cGVzXS54bWxQSwECLQAUAAYACAAAACEAOP0h/9YAAACUAQAACwAAAAAAAAAAAAAAAAAvAQAAX3Jl&#10;bHMvLnJlbHNQSwECLQAUAAYACAAAACEA6g96RywCAABRBAAADgAAAAAAAAAAAAAAAAAuAgAAZHJz&#10;L2Uyb0RvYy54bWxQSwECLQAUAAYACAAAACEAKUBzhN4AAAAJAQAADwAAAAAAAAAAAAAAAACGBAAA&#10;ZHJzL2Rvd25yZXYueG1sUEsFBgAAAAAEAAQA8wAAAJEFAAAAAA==&#10;">
                <v:textbox>
                  <w:txbxContent>
                    <w:p w14:paraId="4B2F7104" w14:textId="77777777" w:rsidR="003B6DB3" w:rsidRDefault="003B6DB3" w:rsidP="00CB6608">
                      <w:pPr>
                        <w:jc w:val="center"/>
                      </w:pPr>
                      <w:r>
                        <w:t>Karar Verme</w:t>
                      </w:r>
                    </w:p>
                  </w:txbxContent>
                </v:textbox>
              </v:rect>
            </w:pict>
          </mc:Fallback>
        </mc:AlternateContent>
      </w:r>
      <w:r w:rsidRPr="00E0308F">
        <w:rPr>
          <w:rFonts w:ascii="Times New Roman" w:hAnsi="Times New Roman" w:cs="Times New Roman"/>
          <w:noProof/>
          <w:color w:val="000000" w:themeColor="text1"/>
          <w:sz w:val="18"/>
          <w:szCs w:val="18"/>
          <w:lang w:val="en-US"/>
        </w:rPr>
        <mc:AlternateContent>
          <mc:Choice Requires="wps">
            <w:drawing>
              <wp:anchor distT="0" distB="0" distL="114300" distR="114300" simplePos="0" relativeHeight="251660288" behindDoc="0" locked="0" layoutInCell="1" allowOverlap="1" wp14:anchorId="266EE42E" wp14:editId="24E1DB10">
                <wp:simplePos x="0" y="0"/>
                <wp:positionH relativeFrom="column">
                  <wp:posOffset>2472055</wp:posOffset>
                </wp:positionH>
                <wp:positionV relativeFrom="paragraph">
                  <wp:posOffset>120015</wp:posOffset>
                </wp:positionV>
                <wp:extent cx="914400" cy="447040"/>
                <wp:effectExtent l="10160" t="12700" r="8890" b="6985"/>
                <wp:wrapNone/>
                <wp:docPr id="19" name="Dikdörtgen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447040"/>
                        </a:xfrm>
                        <a:prstGeom prst="rect">
                          <a:avLst/>
                        </a:prstGeom>
                        <a:solidFill>
                          <a:srgbClr val="FFFFFF"/>
                        </a:solidFill>
                        <a:ln w="9525">
                          <a:solidFill>
                            <a:srgbClr val="000000"/>
                          </a:solidFill>
                          <a:miter lim="800000"/>
                          <a:headEnd/>
                          <a:tailEnd/>
                        </a:ln>
                      </wps:spPr>
                      <wps:txbx>
                        <w:txbxContent>
                          <w:p w14:paraId="4B3834BD" w14:textId="77777777" w:rsidR="003B6DB3" w:rsidRDefault="003B6DB3" w:rsidP="00CB6608">
                            <w:pPr>
                              <w:jc w:val="center"/>
                            </w:pPr>
                            <w:r>
                              <w:t>Sunulan Teklifler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6EE42E" id="Dikdörtgen 19" o:spid="_x0000_s1028" style="position:absolute;left:0;text-align:left;margin-left:194.65pt;margin-top:9.45pt;width:1in;height:35.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ItKLwIAAFEEAAAOAAAAZHJzL2Uyb0RvYy54bWysVNuO0zAQfUfiHyy/06RVyu5GTVerliKk&#10;BVZa+ADXdhJrfWPsNikfxg/wYztx2tIFnhB5sGzP+PjMOeMsbnujyV5CUM5WdDrJKZGWO6FsU9Gv&#10;XzZvrikJkVnBtLOyogcZ6O3y9atF50s5c63TQgJBEBvKzle0jdGXWRZ4Kw0LE+elxWDtwLCIS2gy&#10;AaxDdKOzWZ6/zToHwoPjMgTcXY9Bukz4dS15/FzXQUaiK4rcYhohjdthzJYLVjbAfKv4kQb7BxaG&#10;KYuXnqHWLDKyA/UHlFEcXHB1nHBnMlfXistUA1YzzX+r5rFlXqZaUJzgzzKF/wfLP+0fgCiB3t1Q&#10;YplBj9bqSfz8AbGRluAuStT5UGLmo3+Aocjg7x1/CsS6VctsI+8AXNdKJpDYdMjPXhwYFgGPkm33&#10;0Qm8gO2iS2r1NZgBEHUgfTLlcDZF9pFw3LyZFkWO1nEMFcVVXiTTMlaeDnsI8b10hgyTigJ6nsDZ&#10;/j7EgQwrTymJvNNKbJTWaQHNdqWB7Bn2xyZ9iT/WeJmmLemQyXw2T8gvYuESIk/f3yCMitjoWpmK&#10;Xp+TWDmo9s6K1IaRKT3OkbK2RxkH5UYHYr/tk1WzkydbJw6oK7ixr/Ed4qR18J2SDnu6ouHbjoGk&#10;RH+w6E2SEh9BWhTzqxnKCpeR7WWEWY5QFY2UjNNVHB/OzoNqWrxpmtSw7g79rFXSevB6ZHWkj32b&#10;LDi+seFhXK5T1q8/wfIZAAD//wMAUEsDBBQABgAIAAAAIQA3U+A33AAAAAkBAAAPAAAAZHJzL2Rv&#10;d25yZXYueG1sTI/BTsMwDIbvSLxDZCRuLGURqC1NJwQaEsetu3BzG9MWmqRq0q3w9HgndrS/X78/&#10;F5vFDuJIU+i903C/SkCQa7zpXavhUG3vUhAhojM4eEcafijApry+KjA3/uR2dNzHVnCJCzlq6GIc&#10;cylD05HFsPIjOWaffrIYeZxaaSY8cbkd5DpJHqXF3vGFDkd66aj53s9WQ92vD/i7q94Sm21VfF+q&#10;r/njVevbm+X5CUSkJf6H4azP6lCyU+1nZ4IYNKg0UxxlkGYgOPCgFC9qDWcgy0JeflD+AQAA//8D&#10;AFBLAQItABQABgAIAAAAIQC2gziS/gAAAOEBAAATAAAAAAAAAAAAAAAAAAAAAABbQ29udGVudF9U&#10;eXBlc10ueG1sUEsBAi0AFAAGAAgAAAAhADj9If/WAAAAlAEAAAsAAAAAAAAAAAAAAAAALwEAAF9y&#10;ZWxzLy5yZWxzUEsBAi0AFAAGAAgAAAAhAGY4i0ovAgAAUQQAAA4AAAAAAAAAAAAAAAAALgIAAGRy&#10;cy9lMm9Eb2MueG1sUEsBAi0AFAAGAAgAAAAhADdT4DfcAAAACQEAAA8AAAAAAAAAAAAAAAAAiQQA&#10;AGRycy9kb3ducmV2LnhtbFBLBQYAAAAABAAEAPMAAACSBQAAAAA=&#10;">
                <v:textbox>
                  <w:txbxContent>
                    <w:p w14:paraId="4B3834BD" w14:textId="77777777" w:rsidR="003B6DB3" w:rsidRDefault="003B6DB3" w:rsidP="00CB6608">
                      <w:pPr>
                        <w:jc w:val="center"/>
                      </w:pPr>
                      <w:r>
                        <w:t>Sunulan Teklifler</w:t>
                      </w:r>
                    </w:p>
                  </w:txbxContent>
                </v:textbox>
              </v:rect>
            </w:pict>
          </mc:Fallback>
        </mc:AlternateContent>
      </w:r>
      <w:r w:rsidRPr="00E0308F">
        <w:rPr>
          <w:rFonts w:ascii="Times New Roman" w:hAnsi="Times New Roman" w:cs="Times New Roman"/>
          <w:noProof/>
          <w:color w:val="000000" w:themeColor="text1"/>
          <w:sz w:val="18"/>
          <w:szCs w:val="18"/>
          <w:lang w:val="en-US"/>
        </w:rPr>
        <mc:AlternateContent>
          <mc:Choice Requires="wps">
            <w:drawing>
              <wp:anchor distT="0" distB="0" distL="114300" distR="114300" simplePos="0" relativeHeight="251662336" behindDoc="0" locked="0" layoutInCell="1" allowOverlap="1" wp14:anchorId="073486CA" wp14:editId="3FCF363D">
                <wp:simplePos x="0" y="0"/>
                <wp:positionH relativeFrom="column">
                  <wp:posOffset>1386205</wp:posOffset>
                </wp:positionH>
                <wp:positionV relativeFrom="paragraph">
                  <wp:posOffset>110490</wp:posOffset>
                </wp:positionV>
                <wp:extent cx="914400" cy="456565"/>
                <wp:effectExtent l="10160" t="12700" r="8890" b="6985"/>
                <wp:wrapNone/>
                <wp:docPr id="18" name="Dikdörtgen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456565"/>
                        </a:xfrm>
                        <a:prstGeom prst="rect">
                          <a:avLst/>
                        </a:prstGeom>
                        <a:solidFill>
                          <a:srgbClr val="FFFFFF"/>
                        </a:solidFill>
                        <a:ln w="9525">
                          <a:solidFill>
                            <a:srgbClr val="000000"/>
                          </a:solidFill>
                          <a:miter lim="800000"/>
                          <a:headEnd/>
                          <a:tailEnd/>
                        </a:ln>
                      </wps:spPr>
                      <wps:txbx>
                        <w:txbxContent>
                          <w:p w14:paraId="6E1F1BCF" w14:textId="77777777" w:rsidR="003B6DB3" w:rsidRDefault="003B6DB3" w:rsidP="00CB6608">
                            <w:pPr>
                              <w:jc w:val="center"/>
                            </w:pPr>
                            <w:r>
                              <w:t>Tüketim Hakkında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3486CA" id="Dikdörtgen 18" o:spid="_x0000_s1029" style="position:absolute;left:0;text-align:left;margin-left:109.15pt;margin-top:8.7pt;width:1in;height:35.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LR7LQIAAFEEAAAOAAAAZHJzL2Uyb0RvYy54bWysVG1uEzEQ/Y/EHSz/J7sJSSmrbKoqIQip&#10;QKXCAby2d9eqvxg72ZSDcQEuxtibpinwC7GRLI9n/Gb83kyWVwejyV5CUM7WdDopKZGWO6FsV9Ov&#10;X7avLikJkVnBtLOypg8y0KvVyxfLwVdy5nqnhQSCIDZUg69pH6OviiLwXhoWJs5Li87WgWERTegK&#10;AWxAdKOLWVleFIMD4cFxGQKebkYnXWX8tpU8fm7bICPRNcXaYl4hr01ai9WSVR0w3yt+LIP9QxWG&#10;KYtJT1AbFhnZgfoDyigOLrg2TrgzhWtbxWV+A75mWv72mrueeZnfguQEf6Ip/D9Y/ml/C0QJ1A6V&#10;ssygRht1L37+gNhJS/AUKRp8qDDyzt9CemTwN47fB2Ldume2k9cAbuglE1jYNMUXzy4kI+BV0gwf&#10;ncAEbBddZuvQgkmAyAM5ZFEeTqLIQyQcD99O5/MSpePomi8u8JczsOrxsocQ30tnSNrUFFDzDM72&#10;NyGmYlj1GJKLd1qJrdI6G9A1aw1kz7A/tvk7oofzMG3JgJUsZouM/MwXziHK/P0NwqiIja6Vqenl&#10;KYhVibV3VuQ2jEzpcY8la3ukMTE3KhAPzSFL9TolSKw2Tjwgr+DGvsY5xE3v4DslA/Z0TcO3HQNJ&#10;if5gUZtMJQ5BNuaLNzOkFc49zbmHWY5QNY2UjNt1HAdn50F1PWaaZjasu0Y9W5W5fqrqWD72bZbg&#10;OGNpMM7tHPX0T7D6BQAA//8DAFBLAwQUAAYACAAAACEAws7iQ94AAAAJAQAADwAAAGRycy9kb3du&#10;cmV2LnhtbEyPwU6DQBCG7ya+w2ZMvNmlYCqlLI3R1MRjSy/eFnYEKjtL2KVFn97xVI8z/5d/vsm3&#10;s+3FGUffOVKwXEQgkGpnOmoUHMvdQwrCB01G945QwTd62Ba3N7nOjLvQHs+H0AguIZ9pBW0IQyal&#10;r1u02i/cgMTZpxutDjyOjTSjvnC57WUcRStpdUd8odUDvrRYfx0mq6Dq4qP+2ZdvkV3vkvA+l6fp&#10;41Wp+7v5eQMi4ByuMPzpszoU7FS5iYwXvYJ4mSaMcvD0CIKBZBXzolKQrhOQRS7/f1D8AgAA//8D&#10;AFBLAQItABQABgAIAAAAIQC2gziS/gAAAOEBAAATAAAAAAAAAAAAAAAAAAAAAABbQ29udGVudF9U&#10;eXBlc10ueG1sUEsBAi0AFAAGAAgAAAAhADj9If/WAAAAlAEAAAsAAAAAAAAAAAAAAAAALwEAAF9y&#10;ZWxzLy5yZWxzUEsBAi0AFAAGAAgAAAAhAORItHstAgAAUQQAAA4AAAAAAAAAAAAAAAAALgIAAGRy&#10;cy9lMm9Eb2MueG1sUEsBAi0AFAAGAAgAAAAhAMLO4kPeAAAACQEAAA8AAAAAAAAAAAAAAAAAhwQA&#10;AGRycy9kb3ducmV2LnhtbFBLBQYAAAAABAAEAPMAAACSBQAAAAA=&#10;">
                <v:textbox>
                  <w:txbxContent>
                    <w:p w14:paraId="6E1F1BCF" w14:textId="77777777" w:rsidR="003B6DB3" w:rsidRDefault="003B6DB3" w:rsidP="00CB6608">
                      <w:pPr>
                        <w:jc w:val="center"/>
                      </w:pPr>
                      <w:r>
                        <w:t>Tüketim Hakkında</w:t>
                      </w:r>
                    </w:p>
                  </w:txbxContent>
                </v:textbox>
              </v:rect>
            </w:pict>
          </mc:Fallback>
        </mc:AlternateContent>
      </w:r>
      <w:r w:rsidRPr="00E0308F">
        <w:rPr>
          <w:rFonts w:ascii="Times New Roman" w:hAnsi="Times New Roman" w:cs="Times New Roman"/>
          <w:noProof/>
          <w:color w:val="000000" w:themeColor="text1"/>
          <w:sz w:val="18"/>
          <w:szCs w:val="18"/>
          <w:lang w:val="en-US"/>
        </w:rPr>
        <mc:AlternateContent>
          <mc:Choice Requires="wps">
            <w:drawing>
              <wp:anchor distT="0" distB="0" distL="114300" distR="114300" simplePos="0" relativeHeight="251659264" behindDoc="0" locked="0" layoutInCell="1" allowOverlap="1" wp14:anchorId="0523B134" wp14:editId="203CD055">
                <wp:simplePos x="0" y="0"/>
                <wp:positionH relativeFrom="column">
                  <wp:posOffset>224155</wp:posOffset>
                </wp:positionH>
                <wp:positionV relativeFrom="paragraph">
                  <wp:posOffset>110490</wp:posOffset>
                </wp:positionV>
                <wp:extent cx="914400" cy="456565"/>
                <wp:effectExtent l="10160" t="12700" r="8890" b="6985"/>
                <wp:wrapNone/>
                <wp:docPr id="17" name="Dikdörtgen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456565"/>
                        </a:xfrm>
                        <a:prstGeom prst="rect">
                          <a:avLst/>
                        </a:prstGeom>
                        <a:solidFill>
                          <a:srgbClr val="FFFFFF"/>
                        </a:solidFill>
                        <a:ln w="9525">
                          <a:solidFill>
                            <a:srgbClr val="000000"/>
                          </a:solidFill>
                          <a:miter lim="800000"/>
                          <a:headEnd/>
                          <a:tailEnd/>
                        </a:ln>
                      </wps:spPr>
                      <wps:txbx>
                        <w:txbxContent>
                          <w:p w14:paraId="13395BEE" w14:textId="77777777" w:rsidR="003B6DB3" w:rsidRDefault="003B6DB3" w:rsidP="00CB6608">
                            <w:pPr>
                              <w:jc w:val="center"/>
                            </w:pPr>
                            <w:r>
                              <w:t>Kararların Bütünü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23B134" id="Dikdörtgen 17" o:spid="_x0000_s1030" style="position:absolute;left:0;text-align:left;margin-left:17.65pt;margin-top:8.7pt;width:1in;height:35.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6VxLgIAAFEEAAAOAAAAZHJzL2Uyb0RvYy54bWysVG1uEzEQ/Y/EHSz/J7uJkrassqmqhCCk&#10;ApUKB/Da3l2r/mLsZLccjAtwMcZOmqbAL8RGsjye8ZvxezNZXo9Gk72EoJyt6XRSUiItd0LZrqZf&#10;v2zfXFESIrOCaWdlTR9loNer16+Wg6/kzPVOCwkEQWyoBl/TPkZfFUXgvTQsTJyXFp2tA8MimtAV&#10;AtiA6EYXs7K8KAYHwoPjMgQ83RycdJXx21by+Lltg4xE1xRri3mFvDZpLVZLVnXAfK/4sQz2D1UY&#10;piwmPUFtWGRkB+oPKKM4uODaOOHOFK5tFZf5Dfiaafnba+575mV+C5IT/Imm8P9g+af9HRAlULtL&#10;SiwzqNFGPYifPyB20hI8RYoGHyqMvPd3kB4Z/K3jD4FYt+6Z7eQNgBt6yQQWNk3xxYsLyQh4lTTD&#10;RycwAdtFl9kaWzAJEHkgYxbl8SSKHCPhePh2Op+XKB1H13xxgb+cgVVPlz2E+F46Q9KmpoCaZ3C2&#10;vw0xFcOqp5BcvNNKbJXW2YCuWWsge4b9sc3fET2ch2lLBqxkMVtk5Be+cA5R5u9vEEZFbHStTE2v&#10;TkGsSqy9syK3YWRKH/ZYsrZHGhNzBwXi2IxZqnlKkFhtnHhEXsEd+hrnEDe9g++UDNjTNQ3fdgwk&#10;JfqDRW0ylTgE2ZgvLmdIK5x7mnMPsxyhahopOWzX8TA4Ow+q6zHTNLNh3Q3q2arM9XNVx/Kxb7ME&#10;xxlLg3Fu56jnf4LVLwAAAP//AwBQSwMEFAAGAAgAAAAhAMnOVWrdAAAACAEAAA8AAABkcnMvZG93&#10;bnJldi54bWxMj0FPg0AQhe8m/ofNmHizi0VtiyyN0bSJx5ZevA0wAsrOEnZp0V/f6UlPk3nv5c03&#10;6XqynTrS4FvHBu5nESji0lUt1wYO+eZuCcoH5Ao7x2Tghzyss+urFJPKnXhHx32olZSwT9BAE0Kf&#10;aO3Lhiz6meuJxft0g8Ug61DrasCTlNtOz6PoSVtsWS402NNrQ+X3frQGinZ+wN9dvo3sahOH9yn/&#10;Gj/ejLm9mV6eQQWawl8YLviCDpkwFW7kyqvOQPwYS1L0xQOoi79YiVAYWMrUWar/P5CdAQAA//8D&#10;AFBLAQItABQABgAIAAAAIQC2gziS/gAAAOEBAAATAAAAAAAAAAAAAAAAAAAAAABbQ29udGVudF9U&#10;eXBlc10ueG1sUEsBAi0AFAAGAAgAAAAhADj9If/WAAAAlAEAAAsAAAAAAAAAAAAAAAAALwEAAF9y&#10;ZWxzLy5yZWxzUEsBAi0AFAAGAAgAAAAhALUbpXEuAgAAUQQAAA4AAAAAAAAAAAAAAAAALgIAAGRy&#10;cy9lMm9Eb2MueG1sUEsBAi0AFAAGAAgAAAAhAMnOVWrdAAAACAEAAA8AAAAAAAAAAAAAAAAAiAQA&#10;AGRycy9kb3ducmV2LnhtbFBLBQYAAAAABAAEAPMAAACSBQAAAAA=&#10;">
                <v:textbox>
                  <w:txbxContent>
                    <w:p w14:paraId="13395BEE" w14:textId="77777777" w:rsidR="003B6DB3" w:rsidRDefault="003B6DB3" w:rsidP="00CB6608">
                      <w:pPr>
                        <w:jc w:val="center"/>
                      </w:pPr>
                      <w:r>
                        <w:t>Kararların Bütünü</w:t>
                      </w:r>
                    </w:p>
                  </w:txbxContent>
                </v:textbox>
              </v:rect>
            </w:pict>
          </mc:Fallback>
        </mc:AlternateContent>
      </w:r>
    </w:p>
    <w:p w14:paraId="1D9EFBC8" w14:textId="77777777" w:rsidR="00CB6608" w:rsidRPr="00E0308F" w:rsidRDefault="00CB6608" w:rsidP="00CB6608">
      <w:pPr>
        <w:ind w:firstLine="708"/>
        <w:jc w:val="both"/>
        <w:rPr>
          <w:rFonts w:ascii="Times New Roman" w:hAnsi="Times New Roman" w:cs="Times New Roman"/>
          <w:color w:val="000000" w:themeColor="text1"/>
          <w:sz w:val="18"/>
          <w:szCs w:val="18"/>
        </w:rPr>
      </w:pPr>
    </w:p>
    <w:p w14:paraId="772DDB21" w14:textId="77777777" w:rsidR="00CB6608" w:rsidRPr="00E0308F" w:rsidRDefault="00CB6608" w:rsidP="00CB6608">
      <w:pPr>
        <w:ind w:firstLine="708"/>
        <w:jc w:val="both"/>
        <w:rPr>
          <w:rFonts w:ascii="Times New Roman" w:hAnsi="Times New Roman" w:cs="Times New Roman"/>
          <w:color w:val="000000" w:themeColor="text1"/>
          <w:sz w:val="18"/>
          <w:szCs w:val="18"/>
        </w:rPr>
      </w:pPr>
    </w:p>
    <w:p w14:paraId="353C7906" w14:textId="11863B97" w:rsidR="00CB6608" w:rsidRPr="00E0308F" w:rsidRDefault="00E0308F" w:rsidP="00CB6608">
      <w:pPr>
        <w:ind w:firstLine="708"/>
        <w:jc w:val="both"/>
        <w:rPr>
          <w:rFonts w:ascii="Times New Roman" w:hAnsi="Times New Roman" w:cs="Times New Roman"/>
          <w:color w:val="000000" w:themeColor="text1"/>
          <w:sz w:val="18"/>
          <w:szCs w:val="18"/>
        </w:rPr>
      </w:pPr>
      <w:r w:rsidRPr="00E0308F">
        <w:rPr>
          <w:rFonts w:ascii="Times New Roman" w:hAnsi="Times New Roman" w:cs="Times New Roman"/>
          <w:noProof/>
          <w:color w:val="000000" w:themeColor="text1"/>
          <w:sz w:val="18"/>
          <w:szCs w:val="18"/>
          <w:lang w:val="en-US"/>
        </w:rPr>
        <mc:AlternateContent>
          <mc:Choice Requires="wps">
            <w:drawing>
              <wp:anchor distT="0" distB="0" distL="114300" distR="114300" simplePos="0" relativeHeight="251668480" behindDoc="0" locked="0" layoutInCell="1" allowOverlap="1" wp14:anchorId="4551C5BF" wp14:editId="4F248752">
                <wp:simplePos x="0" y="0"/>
                <wp:positionH relativeFrom="column">
                  <wp:posOffset>4643755</wp:posOffset>
                </wp:positionH>
                <wp:positionV relativeFrom="paragraph">
                  <wp:posOffset>45085</wp:posOffset>
                </wp:positionV>
                <wp:extent cx="933450" cy="2200275"/>
                <wp:effectExtent l="10160" t="6350" r="8890" b="12700"/>
                <wp:wrapNone/>
                <wp:docPr id="16" name="Dikdörtgen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3450" cy="2200275"/>
                        </a:xfrm>
                        <a:prstGeom prst="rect">
                          <a:avLst/>
                        </a:prstGeom>
                        <a:solidFill>
                          <a:srgbClr val="FFFFFF"/>
                        </a:solidFill>
                        <a:ln w="9525">
                          <a:solidFill>
                            <a:srgbClr val="000000"/>
                          </a:solidFill>
                          <a:miter lim="800000"/>
                          <a:headEnd/>
                          <a:tailEnd/>
                        </a:ln>
                      </wps:spPr>
                      <wps:txbx>
                        <w:txbxContent>
                          <w:p w14:paraId="7F381FD0" w14:textId="77777777" w:rsidR="003B6DB3" w:rsidRDefault="003B6DB3" w:rsidP="00CB6608"/>
                          <w:p w14:paraId="2729670D" w14:textId="77777777" w:rsidR="003B6DB3" w:rsidRDefault="003B6DB3" w:rsidP="00CB6608"/>
                          <w:p w14:paraId="7A631431" w14:textId="77777777" w:rsidR="003B6DB3" w:rsidRDefault="003B6DB3" w:rsidP="00CB6608">
                            <w:r>
                              <w:t>Saatler Günler Haftalar Aylar Yıllar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51C5BF" id="Dikdörtgen 16" o:spid="_x0000_s1031" style="position:absolute;left:0;text-align:left;margin-left:365.65pt;margin-top:3.55pt;width:73.5pt;height:173.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ftVMQIAAFIEAAAOAAAAZHJzL2Uyb0RvYy54bWysVF1u2zAMfh+wOwh6X5y4SX+MOEWRLMOA&#10;bivQ7QCyJNtCZUmjlNjdwXaBXmyUnKbptqdhfhBEkfpEfh/p5fXQabKX4JU1JZ1NppRIw61Qpinp&#10;t6/bd5eU+MCMYNoaWdJH6en16u2bZe8KmdvWaiGBIIjxRe9K2obgiizzvJUd8xPrpEFnbaFjAU1o&#10;MgGsR/ROZ/l0ep71FoQDy6X3eLoZnXSV8Ota8vClrr0MRJcUcwtphbRWcc1WS1Y0wFyr+CEN9g9Z&#10;dEwZfPQItWGBkR2oP6A6xcF6W4cJt11m61pxmWrAambT36q5b5mTqRYkx7sjTf7/wfLP+zsgSqB2&#10;55QY1qFGG/Ugnn5CaKQheIoU9c4XGHnv7iAW6d2t5Q+eGLtumWnkDYDtW8kEJjaL8dmrC9HweJVU&#10;/Scr8AG2CzaxNdTQRUDkgQxJlMejKHIIhOPh1dnZfIHScXTlKHl+sUhPsOL5tgMfPkjbkbgpKaDo&#10;CZ3tb32I2bDiOSRlb7USW6V1MqCp1hrInmGDbNN3QPenYdqQHlNZ5IuE/MrnTyGm6fsbRKcCdrpW&#10;XUkvj0GsiLS9NyL1YWBKj3tMWZsDj5G6UYIwVEPSKjEQaa2seERiwY6NjYOIm9bCD0p6bOqS+u87&#10;BpIS/dGgOFez+TxOQTLmi4scDTj1VKceZjhClTRQMm7XYZycnQPVtPjSLLFh7A0KWqvE9UtWh/Sx&#10;cZMEhyGLk3Fqp6iXX8HqFwAAAP//AwBQSwMEFAAGAAgAAAAhANHgyiHeAAAACQEAAA8AAABkcnMv&#10;ZG93bnJldi54bWxMj0FPg0AQhe8m/ofNmHizC93YImVpjKYmHlt68TbAClR2lrBLi/56x1O9zct7&#10;efO9bDvbXpzN6DtHGuJFBMJQ5eqOGg3HYveQgPABqcbekdHwbTxs89ubDNPaXWhvzofQCC4hn6KG&#10;NoQhldJXrbHoF24wxN6nGy0GlmMj6xEvXG57uYyilbTYEX9ocTAvram+DpPVUHbLI/7si7fIPu1U&#10;eJ+L0/TxqvX93fy8ARHMHK5h+MNndMiZqXQT1V70GtYqVhzlIwbBfrJOWJca1KNagcwz+X9B/gsA&#10;AP//AwBQSwECLQAUAAYACAAAACEAtoM4kv4AAADhAQAAEwAAAAAAAAAAAAAAAAAAAAAAW0NvbnRl&#10;bnRfVHlwZXNdLnhtbFBLAQItABQABgAIAAAAIQA4/SH/1gAAAJQBAAALAAAAAAAAAAAAAAAAAC8B&#10;AABfcmVscy8ucmVsc1BLAQItABQABgAIAAAAIQAdeftVMQIAAFIEAAAOAAAAAAAAAAAAAAAAAC4C&#10;AABkcnMvZTJvRG9jLnhtbFBLAQItABQABgAIAAAAIQDR4Moh3gAAAAkBAAAPAAAAAAAAAAAAAAAA&#10;AIsEAABkcnMvZG93bnJldi54bWxQSwUGAAAAAAQABADzAAAAlgUAAAAA&#10;">
                <v:textbox>
                  <w:txbxContent>
                    <w:p w14:paraId="7F381FD0" w14:textId="77777777" w:rsidR="003B6DB3" w:rsidRDefault="003B6DB3" w:rsidP="00CB6608"/>
                    <w:p w14:paraId="2729670D" w14:textId="77777777" w:rsidR="003B6DB3" w:rsidRDefault="003B6DB3" w:rsidP="00CB6608"/>
                    <w:p w14:paraId="7A631431" w14:textId="77777777" w:rsidR="003B6DB3" w:rsidRDefault="003B6DB3" w:rsidP="00CB6608">
                      <w:r>
                        <w:t>Saatler Günler Haftalar Aylar Yıllar</w:t>
                      </w:r>
                    </w:p>
                  </w:txbxContent>
                </v:textbox>
              </v:rect>
            </w:pict>
          </mc:Fallback>
        </mc:AlternateContent>
      </w:r>
      <w:r w:rsidRPr="00E0308F">
        <w:rPr>
          <w:rFonts w:ascii="Times New Roman" w:hAnsi="Times New Roman" w:cs="Times New Roman"/>
          <w:b/>
          <w:noProof/>
          <w:color w:val="000000" w:themeColor="text1"/>
          <w:sz w:val="18"/>
          <w:szCs w:val="18"/>
          <w:lang w:val="en-US"/>
        </w:rPr>
        <mc:AlternateContent>
          <mc:Choice Requires="wps">
            <w:drawing>
              <wp:anchor distT="0" distB="0" distL="114300" distR="114300" simplePos="0" relativeHeight="251667456" behindDoc="0" locked="0" layoutInCell="1" allowOverlap="1" wp14:anchorId="26C62561" wp14:editId="56152F07">
                <wp:simplePos x="0" y="0"/>
                <wp:positionH relativeFrom="column">
                  <wp:posOffset>3529330</wp:posOffset>
                </wp:positionH>
                <wp:positionV relativeFrom="paragraph">
                  <wp:posOffset>54610</wp:posOffset>
                </wp:positionV>
                <wp:extent cx="914400" cy="2200275"/>
                <wp:effectExtent l="10160" t="6350" r="8890" b="12700"/>
                <wp:wrapNone/>
                <wp:docPr id="13" name="Dikdörtgen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200275"/>
                        </a:xfrm>
                        <a:prstGeom prst="rect">
                          <a:avLst/>
                        </a:prstGeom>
                        <a:solidFill>
                          <a:srgbClr val="FFFFFF"/>
                        </a:solidFill>
                        <a:ln w="9525">
                          <a:solidFill>
                            <a:srgbClr val="000000"/>
                          </a:solidFill>
                          <a:miter lim="800000"/>
                          <a:headEnd/>
                          <a:tailEnd/>
                        </a:ln>
                      </wps:spPr>
                      <wps:txbx>
                        <w:txbxContent>
                          <w:p w14:paraId="71A20F2E" w14:textId="77777777" w:rsidR="003B6DB3" w:rsidRDefault="003B6DB3" w:rsidP="00CB6608"/>
                          <w:p w14:paraId="712D4960" w14:textId="77777777" w:rsidR="003B6DB3" w:rsidRDefault="003B6DB3" w:rsidP="00CB6608">
                            <w:r>
                              <w:t>Bilgi toplayıcı Etkileyici unsurlar Karar verici Alıcı Kullanıcı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C62561" id="Dikdörtgen 13" o:spid="_x0000_s1032" style="position:absolute;left:0;text-align:left;margin-left:277.9pt;margin-top:4.3pt;width:1in;height:173.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9hRLwIAAFIEAAAOAAAAZHJzL2Uyb0RvYy54bWysVF1u2zAMfh+wOwh6X+x4SdsZcYoiWYYB&#10;3Vag2wFkWbaF6m+UEic72C7Qi42S0zTd9jTMD4IoUh+p7yO9uN5rRXYCvLSmotNJTokw3DbSdBX9&#10;9nXz5ooSH5hpmLJGVPQgPL1evn61GFwpCttb1QggCGJ8ObiK9iG4Mss874VmfmKdMOhsLWgW0IQu&#10;a4ANiK5VVuT5RTZYaBxYLrzH0/XopMuE37aChy9t60UgqqJYW0grpLWOa7ZcsLID5nrJj2Wwf6hC&#10;M2kw6QlqzQIjW5B/QGnJwXrbhgm3OrNtK7lIb8DXTPPfXnPfMyfSW5Ac7040+f8Hyz/v7oDIBrV7&#10;S4lhGjVay4fm8SeEThiCp0jR4HyJkffuDuIjvbu1/METY1c9M524AbBDL1iDhU1jfPbiQjQ8XiX1&#10;8Mk2mIBtg01s7VvQERB5IPskyuEkitgHwvHw3XQ2y1E6jq4CJS8u5ykFK59uO/Dhg7CaxE1FAUVP&#10;6Gx360OshpVPIal6q2SzkUolA7p6pYDsGDbIJn1HdH8epgwZsJR5MU/IL3z+HCJP398gtAzY6Urq&#10;il6dglgZaXtvmtSHgUk17rFkZY48RupGCcK+3ietLmKCSGttmwMSC3ZsbBxE3PQWflAyYFNX1H/f&#10;MhCUqI8GxUlc4hQkYza/LJBXOPfU5x5mOEJVNFAybldhnJytA9n1mGma2DD2BgVtZeL6uapj+di4&#10;SYLjkMXJOLdT1POvYPkLAAD//wMAUEsDBBQABgAIAAAAIQB7oUTo3gAAAAkBAAAPAAAAZHJzL2Rv&#10;d25yZXYueG1sTI9BT4NAFITvJv6HzTPxZpe2WVKQR2M0NfHY0ou3BbZAZd8SdmnRX+/zZI+Tmcx8&#10;k21n24uLGX3nCGG5iEAYqlzdUYNwLHZPGxA+aKp178ggfBsP2/z+LtNp7a60N5dDaASXkE81QhvC&#10;kErpq9ZY7RduMMTeyY1WB5ZjI+tRX7nc9nIVRbG0uiNeaPVgXltTfR0mi1B2q6P+2RfvkU126/Ax&#10;F+fp8w3x8WF+eQYRzBz+w/CHz+iQM1PpJqq96BGUUoweEDYxCPbjJGFdIqyVWoLMM3n7IP8FAAD/&#10;/wMAUEsBAi0AFAAGAAgAAAAhALaDOJL+AAAA4QEAABMAAAAAAAAAAAAAAAAAAAAAAFtDb250ZW50&#10;X1R5cGVzXS54bWxQSwECLQAUAAYACAAAACEAOP0h/9YAAACUAQAACwAAAAAAAAAAAAAAAAAvAQAA&#10;X3JlbHMvLnJlbHNQSwECLQAUAAYACAAAACEAJFvYUS8CAABSBAAADgAAAAAAAAAAAAAAAAAuAgAA&#10;ZHJzL2Uyb0RvYy54bWxQSwECLQAUAAYACAAAACEAe6FE6N4AAAAJAQAADwAAAAAAAAAAAAAAAACJ&#10;BAAAZHJzL2Rvd25yZXYueG1sUEsFBgAAAAAEAAQA8wAAAJQFAAAAAA==&#10;">
                <v:textbox>
                  <w:txbxContent>
                    <w:p w14:paraId="71A20F2E" w14:textId="77777777" w:rsidR="003B6DB3" w:rsidRDefault="003B6DB3" w:rsidP="00CB6608"/>
                    <w:p w14:paraId="712D4960" w14:textId="77777777" w:rsidR="003B6DB3" w:rsidRDefault="003B6DB3" w:rsidP="00CB6608">
                      <w:r>
                        <w:t>Bilgi toplayıcı Etkileyici unsurlar Karar verici Alıcı Kullanıcı</w:t>
                      </w:r>
                    </w:p>
                  </w:txbxContent>
                </v:textbox>
              </v:rect>
            </w:pict>
          </mc:Fallback>
        </mc:AlternateContent>
      </w:r>
      <w:r w:rsidRPr="00E0308F">
        <w:rPr>
          <w:rFonts w:ascii="Times New Roman" w:hAnsi="Times New Roman" w:cs="Times New Roman"/>
          <w:b/>
          <w:noProof/>
          <w:color w:val="000000" w:themeColor="text1"/>
          <w:sz w:val="18"/>
          <w:szCs w:val="18"/>
          <w:lang w:val="en-US"/>
        </w:rPr>
        <mc:AlternateContent>
          <mc:Choice Requires="wps">
            <w:drawing>
              <wp:anchor distT="0" distB="0" distL="114300" distR="114300" simplePos="0" relativeHeight="251666432" behindDoc="0" locked="0" layoutInCell="1" allowOverlap="1" wp14:anchorId="1A94CF82" wp14:editId="0D2F498D">
                <wp:simplePos x="0" y="0"/>
                <wp:positionH relativeFrom="column">
                  <wp:posOffset>2529205</wp:posOffset>
                </wp:positionH>
                <wp:positionV relativeFrom="paragraph">
                  <wp:posOffset>45085</wp:posOffset>
                </wp:positionV>
                <wp:extent cx="914400" cy="2200275"/>
                <wp:effectExtent l="10160" t="6350" r="8890" b="12700"/>
                <wp:wrapNone/>
                <wp:docPr id="12" name="Dikdörtgen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200275"/>
                        </a:xfrm>
                        <a:prstGeom prst="rect">
                          <a:avLst/>
                        </a:prstGeom>
                        <a:solidFill>
                          <a:srgbClr val="FFFFFF"/>
                        </a:solidFill>
                        <a:ln w="9525">
                          <a:solidFill>
                            <a:srgbClr val="000000"/>
                          </a:solidFill>
                          <a:miter lim="800000"/>
                          <a:headEnd/>
                          <a:tailEnd/>
                        </a:ln>
                      </wps:spPr>
                      <wps:txbx>
                        <w:txbxContent>
                          <w:p w14:paraId="4492F6C2" w14:textId="77777777" w:rsidR="003B6DB3" w:rsidRDefault="003B6DB3" w:rsidP="00CB6608"/>
                          <w:p w14:paraId="551145AB" w14:textId="77777777" w:rsidR="003B6DB3" w:rsidRDefault="003B6DB3" w:rsidP="00CB6608">
                            <w:r>
                              <w:t>Ürünler Hizmetler Etkinlikler Deneyimler İnsanlar Fikirler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94CF82" id="Dikdörtgen 12" o:spid="_x0000_s1033" style="position:absolute;left:0;text-align:left;margin-left:199.15pt;margin-top:3.55pt;width:1in;height:173.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YiyLwIAAFIEAAAOAAAAZHJzL2Uyb0RvYy54bWysVF2O0zAQfkfiDpbfadKopUvUdLVqKUJa&#10;YKWFAzi2k1jrP8Zuk3IwLsDFduJ2u13gCZEHy+MZfzP+vpksrwejyV5CUM5WdDrJKZGWO6FsW9Fv&#10;X7dvrigJkVnBtLOyogcZ6PXq9atl70tZuM5pIYEgiA1l7yvaxejLLAu8k4aFifPSorNxYFhEE9pM&#10;AOsR3eisyPO3We9AeHBchoCnm6OTrhJ+00gevzRNkJHoimJtMa2Q1npcs9WSlS0w3yl+KoP9QxWG&#10;KYtJz1AbFhnZgfoDyigOLrgmTrgzmWsaxWV6A75mmv/2mvuOeZneguQEf6Yp/D9Y/nl/B0QJ1K6g&#10;xDKDGm3Ug/j1E2IrLcFTpKj3ocTIe38H4yODv3X8IRDr1h2zrbwBcH0nmcDCpmN89uLCaAS8Sur+&#10;kxOYgO2iS2wNDZgREHkgQxLlcBZFDpFwPHw3nc1ylI6jq0DJi8U8pWDl020PIX6QzpBxU1FA0RM6&#10;29+GOFbDyqeQVL3TSmyV1smAtl5rIHuGDbJN3wk9XIZpS3osZV7ME/ILX7iEyNP3NwijIna6Vqai&#10;V+cgVo60vbci9WFkSh/3WLK2Jx5H6o4SxKEeklaLMcFIa+3EAYkFd2xsHETcdA5+UNJjU1c0fN8x&#10;kJTojxbFSVziFCRjNl8UyCtceupLD7McoSoaKTlu1/E4OTsPqu0w0zSxYd0NCtqoxPVzVafysXGT&#10;BKchGyfj0k5Rz7+C1SMAAAD//wMAUEsDBBQABgAIAAAAIQA8Cic53gAAAAkBAAAPAAAAZHJzL2Rv&#10;d25yZXYueG1sTI9BT4NAEIXvJv6HzZh4s0vB1payNEZTE48tvXhb2BGo7Cxhlxb99Y6nenz5Xt58&#10;k20n24kzDr51pGA+i0AgVc60VCs4FruHFQgfNBndOUIF3+hhm9/eZDo17kJ7PB9CLXiEfKoVNCH0&#10;qZS+atBqP3M9ErNPN1gdOA61NIO+8LjtZBxFS2l1S3yh0T2+NFh9HUaroGzjo/7ZF2+RXe+S8D4V&#10;p/HjVan7u+l5AyLgFK5l+NNndcjZqXQjGS86Bcl6lXBVwdMcBPPFY8y5ZLBIliDzTP7/IP8FAAD/&#10;/wMAUEsBAi0AFAAGAAgAAAAhALaDOJL+AAAA4QEAABMAAAAAAAAAAAAAAAAAAAAAAFtDb250ZW50&#10;X1R5cGVzXS54bWxQSwECLQAUAAYACAAAACEAOP0h/9YAAACUAQAACwAAAAAAAAAAAAAAAAAvAQAA&#10;X3JlbHMvLnJlbHNQSwECLQAUAAYACAAAACEABDGIsi8CAABSBAAADgAAAAAAAAAAAAAAAAAuAgAA&#10;ZHJzL2Uyb0RvYy54bWxQSwECLQAUAAYACAAAACEAPAonOd4AAAAJAQAADwAAAAAAAAAAAAAAAACJ&#10;BAAAZHJzL2Rvd25yZXYueG1sUEsFBgAAAAAEAAQA8wAAAJQFAAAAAA==&#10;">
                <v:textbox>
                  <w:txbxContent>
                    <w:p w14:paraId="4492F6C2" w14:textId="77777777" w:rsidR="003B6DB3" w:rsidRDefault="003B6DB3" w:rsidP="00CB6608"/>
                    <w:p w14:paraId="551145AB" w14:textId="77777777" w:rsidR="003B6DB3" w:rsidRDefault="003B6DB3" w:rsidP="00CB6608">
                      <w:r>
                        <w:t>Ürünler Hizmetler Etkinlikler Deneyimler İnsanlar Fikirler</w:t>
                      </w:r>
                    </w:p>
                  </w:txbxContent>
                </v:textbox>
              </v:rect>
            </w:pict>
          </mc:Fallback>
        </mc:AlternateContent>
      </w:r>
      <w:r w:rsidRPr="00E0308F">
        <w:rPr>
          <w:rFonts w:ascii="Times New Roman" w:hAnsi="Times New Roman" w:cs="Times New Roman"/>
          <w:noProof/>
          <w:color w:val="000000" w:themeColor="text1"/>
          <w:sz w:val="18"/>
          <w:szCs w:val="18"/>
          <w:lang w:val="en-US"/>
        </w:rPr>
        <mc:AlternateContent>
          <mc:Choice Requires="wps">
            <w:drawing>
              <wp:anchor distT="0" distB="0" distL="114300" distR="114300" simplePos="0" relativeHeight="251665408" behindDoc="0" locked="0" layoutInCell="1" allowOverlap="1" wp14:anchorId="6D1C1084" wp14:editId="0902D761">
                <wp:simplePos x="0" y="0"/>
                <wp:positionH relativeFrom="column">
                  <wp:posOffset>1376680</wp:posOffset>
                </wp:positionH>
                <wp:positionV relativeFrom="paragraph">
                  <wp:posOffset>45085</wp:posOffset>
                </wp:positionV>
                <wp:extent cx="962025" cy="2200275"/>
                <wp:effectExtent l="10160" t="6350" r="8890" b="12700"/>
                <wp:wrapNone/>
                <wp:docPr id="15" name="Dikdörtgen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2025" cy="2200275"/>
                        </a:xfrm>
                        <a:prstGeom prst="rect">
                          <a:avLst/>
                        </a:prstGeom>
                        <a:solidFill>
                          <a:srgbClr val="FFFFFF"/>
                        </a:solidFill>
                        <a:ln w="9525">
                          <a:solidFill>
                            <a:srgbClr val="000000"/>
                          </a:solidFill>
                          <a:miter lim="800000"/>
                          <a:headEnd/>
                          <a:tailEnd/>
                        </a:ln>
                      </wps:spPr>
                      <wps:txbx>
                        <w:txbxContent>
                          <w:p w14:paraId="205D40B2" w14:textId="77777777" w:rsidR="003B6DB3" w:rsidRDefault="003B6DB3" w:rsidP="00CB6608"/>
                          <w:p w14:paraId="3487B173" w14:textId="77777777" w:rsidR="003B6DB3" w:rsidRDefault="003B6DB3" w:rsidP="00CB6608">
                            <w:r>
                              <w:t xml:space="preserve">Edinme </w:t>
                            </w:r>
                          </w:p>
                          <w:p w14:paraId="54AF58E0" w14:textId="77777777" w:rsidR="003B6DB3" w:rsidRDefault="003B6DB3" w:rsidP="00CB6608">
                            <w:r>
                              <w:t xml:space="preserve">Kullanım </w:t>
                            </w:r>
                          </w:p>
                          <w:p w14:paraId="65F169E1" w14:textId="77777777" w:rsidR="003B6DB3" w:rsidRDefault="003B6DB3" w:rsidP="00CB6608">
                            <w:r>
                              <w:t>Eğilim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1C1084" id="Dikdörtgen 15" o:spid="_x0000_s1034" style="position:absolute;left:0;text-align:left;margin-left:108.4pt;margin-top:3.55pt;width:75.75pt;height:173.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SZ4LQIAAFIEAAAOAAAAZHJzL2Uyb0RvYy54bWysVNuO2yAQfa/Uf0C8N3asZC9WnNUqaapK&#10;23albT8AA7bRYqADiZN+WH+gP9YBJ2l6UR+q+gExMBzOnDN4cbfvNdlJ8Mqaik4nOSXScCuUaSv6&#10;6ePm1Q0lPjAjmLZGVvQgPb1bvnyxGFwpC9tZLSQQBDG+HFxFuxBcmWWed7JnfmKdNLjZWOhZwBDa&#10;TAAbEL3XWZHnV9lgQTiwXHqPq+txky4TftNIHj40jZeB6Ioit5BGSGMdx2y5YGULzHWKH2mwf2DR&#10;M2Xw0jPUmgVGtqB+g+oVB+ttEybc9pltGsVlqgGrmea/VPPUMSdTLSiOd2eZ/P+D5e93j0CUQO/m&#10;lBjWo0dr9Sy+fYXQSkNwFSUanC8x88k9QizSuwfLnz0xdtUx08p7ADt0kgkkNo352U8HYuDxKKmH&#10;d1bgBWwbbFJr30AfAVEHsk+mHM6myH0gHBdvr4q8QG4ctwq0vLhOlDJWnk478OGNtD2Jk4oCmp7Q&#10;2e7Bh8iGlaeUxN5qJTZK6xRAW680kB3DBtmkLxWARV6maUMGpDJHIn+HyNP3J4heBex0rfqK3pyT&#10;WBlle21E6sPAlB7nSFmbo45RutGCsK/3yaubkym1FQcUFuzY2PgQcdJZ+ELJgE1dUf95y0BSot8a&#10;NOd2OpvFV5CC2fy6wAAud+rLHWY4QlU0UDJOV2F8OVsHqu3wpmlSw9h7NLRRSeto9sjqSB8bN1lw&#10;fGTxZVzGKevHr2D5HQAA//8DAFBLAwQUAAYACAAAACEAJTOKud8AAAAJAQAADwAAAGRycy9kb3du&#10;cmV2LnhtbEyPzU7DMBCE70i8g7VI3KjzI0JJ41QIVCSObXrhtom3SSBeR7HTBp4ec4LbjmY0822x&#10;XcwgzjS53rKCeBWBIG6s7rlVcKx2d2sQziNrHCyTgi9ysC2vrwrMtb3wns4H34pQwi5HBZ33Yy6l&#10;azoy6FZ2JA7eyU4GfZBTK/WEl1BuBplEUSYN9hwWOhzpuaPm8zAbBXWfHPF7X71G5nGX+rel+pjf&#10;X5S6vVmeNiA8Lf4vDL/4AR3KwFTbmbUTg4IkzgK6V/AQgwh+mq1TEHU47tMMZFnI/x+UPwAAAP//&#10;AwBQSwECLQAUAAYACAAAACEAtoM4kv4AAADhAQAAEwAAAAAAAAAAAAAAAAAAAAAAW0NvbnRlbnRf&#10;VHlwZXNdLnhtbFBLAQItABQABgAIAAAAIQA4/SH/1gAAAJQBAAALAAAAAAAAAAAAAAAAAC8BAABf&#10;cmVscy8ucmVsc1BLAQItABQABgAIAAAAIQA5lSZ4LQIAAFIEAAAOAAAAAAAAAAAAAAAAAC4CAABk&#10;cnMvZTJvRG9jLnhtbFBLAQItABQABgAIAAAAIQAlM4q53wAAAAkBAAAPAAAAAAAAAAAAAAAAAIcE&#10;AABkcnMvZG93bnJldi54bWxQSwUGAAAAAAQABADzAAAAkwUAAAAA&#10;">
                <v:textbox>
                  <w:txbxContent>
                    <w:p w14:paraId="205D40B2" w14:textId="77777777" w:rsidR="003B6DB3" w:rsidRDefault="003B6DB3" w:rsidP="00CB6608"/>
                    <w:p w14:paraId="3487B173" w14:textId="77777777" w:rsidR="003B6DB3" w:rsidRDefault="003B6DB3" w:rsidP="00CB6608">
                      <w:r>
                        <w:t xml:space="preserve">Edinme </w:t>
                      </w:r>
                    </w:p>
                    <w:p w14:paraId="54AF58E0" w14:textId="77777777" w:rsidR="003B6DB3" w:rsidRDefault="003B6DB3" w:rsidP="00CB6608">
                      <w:r>
                        <w:t xml:space="preserve">Kullanım </w:t>
                      </w:r>
                    </w:p>
                    <w:p w14:paraId="65F169E1" w14:textId="77777777" w:rsidR="003B6DB3" w:rsidRDefault="003B6DB3" w:rsidP="00CB6608">
                      <w:r>
                        <w:t>Eğilim</w:t>
                      </w:r>
                    </w:p>
                  </w:txbxContent>
                </v:textbox>
              </v:rect>
            </w:pict>
          </mc:Fallback>
        </mc:AlternateContent>
      </w:r>
      <w:r w:rsidRPr="00E0308F">
        <w:rPr>
          <w:rFonts w:ascii="Times New Roman" w:hAnsi="Times New Roman" w:cs="Times New Roman"/>
          <w:b/>
          <w:noProof/>
          <w:color w:val="000000" w:themeColor="text1"/>
          <w:sz w:val="18"/>
          <w:szCs w:val="18"/>
          <w:lang w:val="en-US"/>
        </w:rPr>
        <mc:AlternateContent>
          <mc:Choice Requires="wps">
            <w:drawing>
              <wp:anchor distT="0" distB="0" distL="114300" distR="114300" simplePos="0" relativeHeight="251664384" behindDoc="0" locked="0" layoutInCell="1" allowOverlap="1" wp14:anchorId="68B299E0" wp14:editId="0950EFE4">
                <wp:simplePos x="0" y="0"/>
                <wp:positionH relativeFrom="column">
                  <wp:posOffset>119380</wp:posOffset>
                </wp:positionH>
                <wp:positionV relativeFrom="paragraph">
                  <wp:posOffset>16510</wp:posOffset>
                </wp:positionV>
                <wp:extent cx="1028700" cy="2200275"/>
                <wp:effectExtent l="10160" t="6350" r="8890" b="12700"/>
                <wp:wrapNone/>
                <wp:docPr id="14" name="Dikdörtgen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2200275"/>
                        </a:xfrm>
                        <a:prstGeom prst="rect">
                          <a:avLst/>
                        </a:prstGeom>
                        <a:solidFill>
                          <a:srgbClr val="FFFFFF"/>
                        </a:solidFill>
                        <a:ln w="9525">
                          <a:solidFill>
                            <a:srgbClr val="000000"/>
                          </a:solidFill>
                          <a:miter lim="800000"/>
                          <a:headEnd/>
                          <a:tailEnd/>
                        </a:ln>
                      </wps:spPr>
                      <wps:txbx>
                        <w:txbxContent>
                          <w:p w14:paraId="061EDE55" w14:textId="77777777" w:rsidR="003B6DB3" w:rsidRDefault="003B6DB3" w:rsidP="00CB6608">
                            <w:r>
                              <w:t>Nedir, ne değildir? Ne? Niçin? Nasıl? Ne zaman? Nerede? Ne kadar? Ne sıklıkta? Ne kadar süre ile?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B299E0" id="Dikdörtgen 14" o:spid="_x0000_s1035" style="position:absolute;left:0;text-align:left;margin-left:9.4pt;margin-top:1.3pt;width:81pt;height:173.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kVWMgIAAFMEAAAOAAAAZHJzL2Uyb0RvYy54bWysVF2O0zAQfkfiDpbfaX7U0jZqulq1FCEt&#10;sNLCAVzHSax1bDN2m5SDcQEuxtjpdrvAEyIPlscz/mb8fTNZ3QydIkcBThpd0mySUiI0N5XUTUm/&#10;ftm9WVDiPNMVU0aLkp6Eozfr169WvS1EblqjKgEEQbQrelvS1ntbJInjreiYmxgrNDprAx3zaEKT&#10;VMB6RO9Ukqfp26Q3UFkwXDiHp9vRSdcRv64F95/r2glPVEmxNh9XiOs+rMl6xYoGmG0lP5fB/qGK&#10;jkmNSS9QW+YZOYD8A6qTHIwztZ9w0yWmriUX8Q34miz97TUPLbMivgXJcfZCk/t/sPzT8R6IrFC7&#10;KSWadajRVj5WP3+Ab4QmeIoU9dYVGPlg7yE80tk7wx8d0WbTMt2IWwDTt4JVWFgW4pMXF4Lh8CrZ&#10;9x9NhQnYwZvI1lBDFwCRBzJEUU4XUcTgCcfDLM0X8xS14+jLUfN8Pos5WPF03YLz74XpSNiUFFD1&#10;CM+Od86HcljxFBLLN0pWO6lUNKDZbxSQI8MO2cXvjO6uw5QmfUmXs3wWkV/43DVEGr+/QXTSY6sr&#10;2ZV0cQliReDtna5iI3om1bjHkpU+Exm4GzXww36IYi1DgsDr3lQnZBbM2Nk4ibhpDXynpMeuLqn7&#10;dmAgKFEfNKqzzKbTMAbRmM7mORpw7dlfe5jmCFVST8m43fhxdA4WZNNipiyyoc0tKlrLyPVzVefy&#10;sXOjBOcpC6Nxbceo53/B+hcAAAD//wMAUEsDBBQABgAIAAAAIQAF5H8p3AAAAAgBAAAPAAAAZHJz&#10;L2Rvd25yZXYueG1sTI/BTsMwEETvSPyDtUjcqN0UVWmIUyFQkTi26YXbJjZJIF5HsdMGvp7tiR6f&#10;ZjXzNt/OrhcnO4bOk4blQoGwVHvTUaPhWO4eUhAhIhnsPVkNPzbAtri9yTEz/kx7ezrERnAJhQw1&#10;tDEOmZShbq3DsPCDJc4+/egwMo6NNCOeudz1MlFqLR12xAstDvaltfX3YXIaqi454u++fFNus1vF&#10;97n8mj5etb6/m5+fQEQ7x/9juOizOhTsVPmJTBA9c8rmUUOyBnGJU8VcaVg9bpYgi1xeP1D8AQAA&#10;//8DAFBLAQItABQABgAIAAAAIQC2gziS/gAAAOEBAAATAAAAAAAAAAAAAAAAAAAAAABbQ29udGVu&#10;dF9UeXBlc10ueG1sUEsBAi0AFAAGAAgAAAAhADj9If/WAAAAlAEAAAsAAAAAAAAAAAAAAAAALwEA&#10;AF9yZWxzLy5yZWxzUEsBAi0AFAAGAAgAAAAhACqWRVYyAgAAUwQAAA4AAAAAAAAAAAAAAAAALgIA&#10;AGRycy9lMm9Eb2MueG1sUEsBAi0AFAAGAAgAAAAhAAXkfyncAAAACAEAAA8AAAAAAAAAAAAAAAAA&#10;jAQAAGRycy9kb3ducmV2LnhtbFBLBQYAAAAABAAEAPMAAACVBQAAAAA=&#10;">
                <v:textbox>
                  <w:txbxContent>
                    <w:p w14:paraId="061EDE55" w14:textId="77777777" w:rsidR="003B6DB3" w:rsidRDefault="003B6DB3" w:rsidP="00CB6608">
                      <w:r>
                        <w:t>Nedir, ne değildir? Ne? Niçin? Nasıl? Ne zaman? Nerede? Ne kadar? Ne sıklıkta? Ne kadar süre ile?</w:t>
                      </w:r>
                    </w:p>
                  </w:txbxContent>
                </v:textbox>
              </v:rect>
            </w:pict>
          </mc:Fallback>
        </mc:AlternateContent>
      </w:r>
    </w:p>
    <w:p w14:paraId="6BFBB4B7" w14:textId="77777777" w:rsidR="00CB6608" w:rsidRPr="00E0308F" w:rsidRDefault="00CB6608" w:rsidP="00CB6608">
      <w:pPr>
        <w:ind w:left="708"/>
        <w:jc w:val="both"/>
        <w:rPr>
          <w:rFonts w:ascii="Times New Roman" w:hAnsi="Times New Roman" w:cs="Times New Roman"/>
          <w:b/>
          <w:color w:val="000000" w:themeColor="text1"/>
          <w:sz w:val="18"/>
          <w:szCs w:val="18"/>
        </w:rPr>
      </w:pPr>
    </w:p>
    <w:p w14:paraId="3250D302" w14:textId="77777777" w:rsidR="00CB6608" w:rsidRPr="00E0308F" w:rsidRDefault="00CB6608" w:rsidP="00CB6608">
      <w:pPr>
        <w:ind w:left="1068"/>
        <w:jc w:val="both"/>
        <w:rPr>
          <w:rFonts w:ascii="Times New Roman" w:hAnsi="Times New Roman" w:cs="Times New Roman"/>
          <w:b/>
          <w:color w:val="000000" w:themeColor="text1"/>
          <w:sz w:val="18"/>
          <w:szCs w:val="18"/>
        </w:rPr>
      </w:pPr>
    </w:p>
    <w:p w14:paraId="61BBB763" w14:textId="77777777" w:rsidR="00CB6608" w:rsidRPr="00E0308F" w:rsidRDefault="00CB6608" w:rsidP="00CB6608">
      <w:pPr>
        <w:ind w:left="1068"/>
        <w:jc w:val="both"/>
        <w:rPr>
          <w:rFonts w:ascii="Times New Roman" w:hAnsi="Times New Roman" w:cs="Times New Roman"/>
          <w:color w:val="000000" w:themeColor="text1"/>
          <w:sz w:val="18"/>
          <w:szCs w:val="18"/>
        </w:rPr>
      </w:pPr>
    </w:p>
    <w:p w14:paraId="79772BA0" w14:textId="77777777" w:rsidR="00CB6608" w:rsidRPr="00E0308F" w:rsidRDefault="00CB6608" w:rsidP="00CB6608">
      <w:pPr>
        <w:ind w:firstLine="708"/>
        <w:jc w:val="both"/>
        <w:rPr>
          <w:rFonts w:ascii="Times New Roman" w:hAnsi="Times New Roman" w:cs="Times New Roman"/>
          <w:color w:val="000000" w:themeColor="text1"/>
          <w:sz w:val="18"/>
          <w:szCs w:val="18"/>
        </w:rPr>
      </w:pPr>
    </w:p>
    <w:p w14:paraId="6BD19115" w14:textId="77777777" w:rsidR="00CB6608" w:rsidRPr="00E0308F" w:rsidRDefault="00CB6608" w:rsidP="00CB6608">
      <w:pPr>
        <w:ind w:left="1428"/>
        <w:jc w:val="both"/>
        <w:rPr>
          <w:rFonts w:ascii="Times New Roman" w:hAnsi="Times New Roman" w:cs="Times New Roman"/>
          <w:b/>
          <w:color w:val="000000" w:themeColor="text1"/>
          <w:sz w:val="18"/>
          <w:szCs w:val="18"/>
        </w:rPr>
      </w:pPr>
    </w:p>
    <w:p w14:paraId="61B7CB7D" w14:textId="77777777" w:rsidR="00CB6608" w:rsidRPr="00E0308F" w:rsidRDefault="00CB6608" w:rsidP="00CB6608">
      <w:pPr>
        <w:jc w:val="both"/>
        <w:rPr>
          <w:rFonts w:ascii="Times New Roman" w:hAnsi="Times New Roman" w:cs="Times New Roman"/>
          <w:color w:val="000000" w:themeColor="text1"/>
          <w:sz w:val="18"/>
          <w:szCs w:val="18"/>
        </w:rPr>
      </w:pPr>
    </w:p>
    <w:p w14:paraId="630653CC" w14:textId="4B5FC5CD" w:rsidR="00CB6608" w:rsidRPr="00E0308F" w:rsidRDefault="00CB6608" w:rsidP="00CB6608">
      <w:pPr>
        <w:ind w:left="1428"/>
        <w:jc w:val="both"/>
        <w:rPr>
          <w:rFonts w:ascii="Times New Roman" w:hAnsi="Times New Roman" w:cs="Times New Roman"/>
          <w:color w:val="000000" w:themeColor="text1"/>
          <w:sz w:val="18"/>
          <w:szCs w:val="18"/>
        </w:rPr>
      </w:pPr>
    </w:p>
    <w:p w14:paraId="04C9ADB4" w14:textId="03FC3DAF" w:rsidR="00CB6608" w:rsidRPr="00E0308F" w:rsidRDefault="00CB6608" w:rsidP="00CB6608">
      <w:pPr>
        <w:ind w:left="708"/>
        <w:jc w:val="both"/>
        <w:rPr>
          <w:rFonts w:ascii="Times New Roman" w:hAnsi="Times New Roman" w:cs="Times New Roman"/>
          <w:b/>
          <w:color w:val="000000" w:themeColor="text1"/>
          <w:sz w:val="18"/>
          <w:szCs w:val="18"/>
        </w:rPr>
      </w:pPr>
      <w:r w:rsidRPr="00E0308F">
        <w:rPr>
          <w:rFonts w:ascii="Times New Roman" w:hAnsi="Times New Roman" w:cs="Times New Roman"/>
          <w:b/>
          <w:noProof/>
          <w:color w:val="000000" w:themeColor="text1"/>
          <w:sz w:val="18"/>
          <w:szCs w:val="18"/>
          <w:lang w:val="en-US"/>
        </w:rPr>
        <mc:AlternateContent>
          <mc:Choice Requires="wps">
            <w:drawing>
              <wp:anchor distT="0" distB="0" distL="114300" distR="114300" simplePos="0" relativeHeight="251677696" behindDoc="0" locked="0" layoutInCell="1" allowOverlap="1" wp14:anchorId="69649EAA" wp14:editId="1D27FA61">
                <wp:simplePos x="0" y="0"/>
                <wp:positionH relativeFrom="column">
                  <wp:posOffset>3653155</wp:posOffset>
                </wp:positionH>
                <wp:positionV relativeFrom="paragraph">
                  <wp:posOffset>122555</wp:posOffset>
                </wp:positionV>
                <wp:extent cx="0" cy="323850"/>
                <wp:effectExtent l="57785" t="12065" r="56515" b="16510"/>
                <wp:wrapNone/>
                <wp:docPr id="6" name="Düz Ok Bağlayıcısı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type w14:anchorId="0F8D571A" id="_x0000_t32" coordsize="21600,21600" o:spt="32" o:oned="t" path="m,l21600,21600e" filled="f">
                <v:path arrowok="t" fillok="f" o:connecttype="none"/>
                <o:lock v:ext="edit" shapetype="t"/>
              </v:shapetype>
              <v:shape id="Düz Ok Bağlayıcısı 6" o:spid="_x0000_s1026" type="#_x0000_t32" style="position:absolute;margin-left:287.65pt;margin-top:9.65pt;width:0;height:2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H2JTAIAAGoEAAAOAAAAZHJzL2Uyb0RvYy54bWysVM2O0zAQviPxDpbvbZr+0UZNV5C0XBa2&#10;0i4P4NpOY61jW7a3aUE8C8/QOzf6YIzdH3bhghA9uGN75ptvZj5ndrNrJNpy64RWOU67PYy4opoJ&#10;tcnxp4dlZ4KR80QxIrXiOd5zh2/mr1/NWpPxvq61ZNwiAFEua02Oa+9NliSO1rwhrqsNV3BZadsQ&#10;D1u7SZglLaA3Mun3euOk1ZYZqyl3Dk7L0yWeR/yq4tTfVZXjHskcAzcfVxvXdViT+YxkG0tMLeiZ&#10;BvkHFg0RCpJeoUriCXqy4g+oRlCrna58l+om0VUlKI81QDVp77dq7mtieKwFmuPMtU3u/8HSj9uV&#10;RYLleIyRIg2MqPzx/TO6e0TvyPGbJPvjgR4P7nhA49Cs1rgMYgq1sqFculP35lbTR4eULmqiNjyS&#10;ftgbQEpDRPIiJGycgZTr9oNm4EOevI6d21W2CZDQE7SLA9pfB8R3HtHTIYXTQX8wGcXZJSS7xBnr&#10;/HuuGxSMHDtvidjUvtBKgQq0TWMWsr11PrAi2SUgJFV6KaSMYpAKtTmejvqjGOC0FCxcBjdnN+tC&#10;WrQlQU7xF0uEm+duVj8pFsFqTtjibHsiJNjIx954K6BbkuOQreEMI8nhBQXrRE+qkBEqB8Jn66So&#10;L9PedDFZTIadYX+86Ax7Zdl5uyyGnfEyfTMqB2VRlOnXQD4dZrVgjKvA/6LudPh36jm/s5Mur/q+&#10;Nip5iR47CmQv/5F0HH2Y9kk3a832KxuqCyoAQUfn8+MLL+b5Pnr9+kTMfwIAAP//AwBQSwMEFAAG&#10;AAgAAAAhAJi8Ue/fAAAACQEAAA8AAABkcnMvZG93bnJldi54bWxMj0FPwzAMhe9I/IfISNxYCtM6&#10;VppOwIToBSQ2hDhmjWkiGqdqsq3j12PEAU6W/Z6ev1cuR9+JPQ7RBVJwOclAIDXBOGoVvG4eLq5B&#10;xKTJ6C4QKjhihGV1elLqwoQDveB+nVrBIRQLrcCm1BdSxsai13ESeiTWPsLgdeJ1aKUZ9IHDfSev&#10;siyXXjviD1b3eG+x+VzvvIK0ej/a/K25W7jnzeNT7r7qul4pdX423t6ASDimPzP84DM6VMy0DTsy&#10;UXQKZvPZlK0sLHiy4fewVTDPpiCrUv5vUH0DAAD//wMAUEsBAi0AFAAGAAgAAAAhALaDOJL+AAAA&#10;4QEAABMAAAAAAAAAAAAAAAAAAAAAAFtDb250ZW50X1R5cGVzXS54bWxQSwECLQAUAAYACAAAACEA&#10;OP0h/9YAAACUAQAACwAAAAAAAAAAAAAAAAAvAQAAX3JlbHMvLnJlbHNQSwECLQAUAAYACAAAACEA&#10;zix9iUwCAABqBAAADgAAAAAAAAAAAAAAAAAuAgAAZHJzL2Uyb0RvYy54bWxQSwECLQAUAAYACAAA&#10;ACEAmLxR798AAAAJAQAADwAAAAAAAAAAAAAAAACmBAAAZHJzL2Rvd25yZXYueG1sUEsFBgAAAAAE&#10;AAQA8wAAALIFAAAAAA==&#10;">
                <v:stroke endarrow="block"/>
              </v:shape>
            </w:pict>
          </mc:Fallback>
        </mc:AlternateContent>
      </w:r>
      <w:r w:rsidRPr="00E0308F">
        <w:rPr>
          <w:rFonts w:ascii="Times New Roman" w:hAnsi="Times New Roman" w:cs="Times New Roman"/>
          <w:b/>
          <w:noProof/>
          <w:color w:val="000000" w:themeColor="text1"/>
          <w:sz w:val="18"/>
          <w:szCs w:val="18"/>
          <w:lang w:val="en-US"/>
        </w:rPr>
        <mc:AlternateContent>
          <mc:Choice Requires="wps">
            <w:drawing>
              <wp:anchor distT="0" distB="0" distL="114300" distR="114300" simplePos="0" relativeHeight="251676672" behindDoc="0" locked="0" layoutInCell="1" allowOverlap="1" wp14:anchorId="5427DAF0" wp14:editId="4A2500BC">
                <wp:simplePos x="0" y="0"/>
                <wp:positionH relativeFrom="column">
                  <wp:posOffset>2472055</wp:posOffset>
                </wp:positionH>
                <wp:positionV relativeFrom="paragraph">
                  <wp:posOffset>122555</wp:posOffset>
                </wp:positionV>
                <wp:extent cx="0" cy="323850"/>
                <wp:effectExtent l="57785" t="21590" r="56515" b="6985"/>
                <wp:wrapNone/>
                <wp:docPr id="3" name="Düz Ok Bağlayıcısı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23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0DAF4405" id="Düz Ok Bağlayıcısı 3" o:spid="_x0000_s1026" type="#_x0000_t32" style="position:absolute;margin-left:194.65pt;margin-top:9.65pt;width:0;height:25.5pt;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B+CUgIAAHQEAAAOAAAAZHJzL2Uyb0RvYy54bWysVM1y0zAQvjPDO2h0Tx3np6SeOh2wEy6F&#10;ZqaFuyLJtqaypJHUOIHhWXiG3LmRB2Mlp2kLF4YhB2Ul7X76dvdbX15tW4k23DqhVY7TsyFGXFHN&#10;hKpz/OluOZhh5DxRjEiteI533OGr+etXl53J+Eg3WjJuEYAol3Umx433JksSRxveEnemDVdwWWnb&#10;Eg9bWyfMkg7QW5mMhsPzpNOWGaspdw5Oy/4SzyN+VXHqb6rKcY9kjoGbj6uN6zqsyfySZLUlphH0&#10;SIP8A4uWCAWPnqBK4gl6sOIPqFZQq52u/BnVbaKrSlAec4Bs0uFv2dw2xPCYCxTHmVOZ3P+DpR83&#10;K4sEy/EYI0VaaFH588cXdHOP3pHDd0l2hz097N1hj8ahWJ1xGcQUamVDunSrbs21pvcOKV00RNU8&#10;kr7bGUBKQ0TyIiRsnIEn190HzcCHPHgdK7etbIsqKcznEBjAoTpoG1u1O7WKbz2i/SGF0/FoPJvG&#10;LiYkCwghzljn33PdomDk2HlLRN34QisFetC2Ryeba+cDv6eAEKz0UkgZZSEV6nJ8MR1NIx2npWDh&#10;Mrg5W68LadGGBGHFX0wWbp67Wf2gWARrOGGLo+2JkGAjH6vkrYC6SY7Day1nGEkOsxSsnp5U4UXI&#10;HAgfrV5bXy+GF4vZYjYZTEbni8FkWJaDt8tiMjhfpm+m5bgsijL9Fsink6wRjHEV+D/qPJ38nY6O&#10;E9cr9KT0U6GSl+ixokD28T+SjiIIfe8VtNZst7Ihu6AHkHZ0Po5hmJ3n++j19LGY/wIAAP//AwBQ&#10;SwMEFAAGAAgAAAAhAGa++mDeAAAACQEAAA8AAABkcnMvZG93bnJldi54bWxMj0FPwzAMhe9I/IfI&#10;k7gglrIKKKXphICxE5pWxj1rvLZa41RNtrX/Hk8c2Mmy39Pz97L5YFtxxN43jhTcTyMQSKUzDVUK&#10;Nt+LuwSED5qMbh2hghE9zPPrq0ynxp1ojcciVIJDyKdaQR1Cl0rpyxqt9lPXIbG2c73Vgde+kqbX&#10;Jw63rZxF0aO0uiH+UOsO32os98XBKngvVg+Ln9vNMBvL5VfxmexXNH4odTMZXl9ABBzCvxnO+IwO&#10;OTNt3YGMF62COHmO2crCebLh77BV8BTFIPNMXjbIfwEAAP//AwBQSwECLQAUAAYACAAAACEAtoM4&#10;kv4AAADhAQAAEwAAAAAAAAAAAAAAAAAAAAAAW0NvbnRlbnRfVHlwZXNdLnhtbFBLAQItABQABgAI&#10;AAAAIQA4/SH/1gAAAJQBAAALAAAAAAAAAAAAAAAAAC8BAABfcmVscy8ucmVsc1BLAQItABQABgAI&#10;AAAAIQB88B+CUgIAAHQEAAAOAAAAAAAAAAAAAAAAAC4CAABkcnMvZTJvRG9jLnhtbFBLAQItABQA&#10;BgAIAAAAIQBmvvpg3gAAAAkBAAAPAAAAAAAAAAAAAAAAAKwEAABkcnMvZG93bnJldi54bWxQSwUG&#10;AAAAAAQABADzAAAAtwUAAAAA&#10;">
                <v:stroke endarrow="block"/>
              </v:shape>
            </w:pict>
          </mc:Fallback>
        </mc:AlternateContent>
      </w:r>
    </w:p>
    <w:p w14:paraId="481977C8" w14:textId="437A90E8" w:rsidR="00CB6608" w:rsidRPr="00E0308F" w:rsidRDefault="00E0308F" w:rsidP="00CB6608">
      <w:pPr>
        <w:ind w:left="1068"/>
        <w:jc w:val="both"/>
        <w:rPr>
          <w:rFonts w:ascii="Times New Roman" w:hAnsi="Times New Roman" w:cs="Times New Roman"/>
          <w:color w:val="000000" w:themeColor="text1"/>
          <w:sz w:val="18"/>
          <w:szCs w:val="18"/>
        </w:rPr>
      </w:pPr>
      <w:r w:rsidRPr="00E0308F">
        <w:rPr>
          <w:rFonts w:ascii="Times New Roman" w:hAnsi="Times New Roman" w:cs="Times New Roman"/>
          <w:noProof/>
          <w:color w:val="000000" w:themeColor="text1"/>
          <w:sz w:val="18"/>
          <w:szCs w:val="18"/>
          <w:lang w:val="en-US"/>
        </w:rPr>
        <mc:AlternateContent>
          <mc:Choice Requires="wps">
            <w:drawing>
              <wp:anchor distT="0" distB="0" distL="114300" distR="114300" simplePos="0" relativeHeight="251674624" behindDoc="0" locked="0" layoutInCell="1" allowOverlap="1" wp14:anchorId="59E97CD3" wp14:editId="72CD5EE8">
                <wp:simplePos x="0" y="0"/>
                <wp:positionH relativeFrom="column">
                  <wp:posOffset>5043805</wp:posOffset>
                </wp:positionH>
                <wp:positionV relativeFrom="paragraph">
                  <wp:posOffset>13970</wp:posOffset>
                </wp:positionV>
                <wp:extent cx="0" cy="200025"/>
                <wp:effectExtent l="10160" t="12065" r="8890" b="6985"/>
                <wp:wrapNone/>
                <wp:docPr id="11" name="Düz Ok Bağlayıcısı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0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68CA0CE8" id="Düz Ok Bağlayıcısı 11" o:spid="_x0000_s1026" type="#_x0000_t32" style="position:absolute;margin-left:397.15pt;margin-top:1.1pt;width:0;height:15.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dzoNQIAAEoEAAAOAAAAZHJzL2Uyb0RvYy54bWysVMGO2jAQvVfqP1i5QxIKFCLCqk2gl20X&#10;abcfYGyHWOvYlm0ItOq39Bu491Y+rGMHaGkvVVUOZmzPvHkz85zZ3b4RaMeM5UrmUdpPIsQkUZTL&#10;TR59fFr2JhGyDkuKhZIsjw7MRnfzly9mrc7YQNVKUGYQgEibtTqPaud0FseW1KzBtq80k3BZKdNg&#10;B1uzianBLaA3Ih4kyThulaHaKMKshdOyu4zmAb+qGHEPVWWZQyKPgJsLqwnr2q/xfIazjcG65uRM&#10;A/8DiwZzCUmvUCV2GG0N/wOq4cQoqyrXJ6qJVVVxwkINUE2a/FbNY401C7VAc6y+tsn+P1jyYbcy&#10;iFOYXRohiRuYUfn92yf08Ize4tNXgQ+nIzkd7emIwAPa1WqbQVQhV8YXTPbyUd8r8myRVEWN5YYF&#10;2k8HDVAhIr4J8RurIem6fa8o+OCtU6F3+8o0HhK6gvZhRIfriNjeIdIdEjiF0SeDkacT4+wSp411&#10;75hqkDfyyDqD+aZ2hZISdKBMGrLg3b11XeAlwCeVasmFCHIQErV5NB1BAn9jleDUX4aN2awLYdAO&#10;e0GF35nFjZtRW0kDWM0wXZxth7nobGAtpMeDuoDO2eoU83maTBeTxWTYGw7Gi94wKcvem2Ux7I2X&#10;6etR+aosijL94qmlw6zmlDLp2V3Umw7/Th3nd9Tp7qrfaxviW/TQaCB7+Q+kw2D9LDtVrBU9rIxv&#10;rZ8xCDY4nx+XfxG/7oPXz0/A/AcAAAD//wMAUEsDBBQABgAIAAAAIQA8aW8r3QAAAAgBAAAPAAAA&#10;ZHJzL2Rvd25yZXYueG1sTI9BT8JAFITvJvyHzSPxYmBLKwK1r4SYePAokHhdus+22n3bdLe08utd&#10;4wGOk5nMfJNtR9OIM3WutoywmEcgiAuray4RjofX2RqE84q1aiwTwg852OaTu0yl2g78Tue9L0Uo&#10;YZcqhMr7NpXSFRUZ5ea2JQ7ep+2M8kF2pdSdGkK5aWQcRU/SqJrDQqVaeqmo+N73BoFcv1xEu40p&#10;j2+X4eEjvnwN7QHxfjrunkF4Gv01DH/4AR3ywHSyPWsnGoTV5jEJUYQ4BhH8f31CSJIVyDyTtwfy&#10;XwAAAP//AwBQSwECLQAUAAYACAAAACEAtoM4kv4AAADhAQAAEwAAAAAAAAAAAAAAAAAAAAAAW0Nv&#10;bnRlbnRfVHlwZXNdLnhtbFBLAQItABQABgAIAAAAIQA4/SH/1gAAAJQBAAALAAAAAAAAAAAAAAAA&#10;AC8BAABfcmVscy8ucmVsc1BLAQItABQABgAIAAAAIQCCgdzoNQIAAEoEAAAOAAAAAAAAAAAAAAAA&#10;AC4CAABkcnMvZTJvRG9jLnhtbFBLAQItABQABgAIAAAAIQA8aW8r3QAAAAgBAAAPAAAAAAAAAAAA&#10;AAAAAI8EAABkcnMvZG93bnJldi54bWxQSwUGAAAAAAQABADzAAAAmQUAAAAA&#10;"/>
            </w:pict>
          </mc:Fallback>
        </mc:AlternateContent>
      </w:r>
      <w:r w:rsidRPr="00E0308F">
        <w:rPr>
          <w:rFonts w:ascii="Times New Roman" w:hAnsi="Times New Roman" w:cs="Times New Roman"/>
          <w:noProof/>
          <w:color w:val="000000" w:themeColor="text1"/>
          <w:sz w:val="18"/>
          <w:szCs w:val="18"/>
          <w:lang w:val="en-US"/>
        </w:rPr>
        <mc:AlternateContent>
          <mc:Choice Requires="wps">
            <w:drawing>
              <wp:anchor distT="0" distB="0" distL="114300" distR="114300" simplePos="0" relativeHeight="251673600" behindDoc="0" locked="0" layoutInCell="1" allowOverlap="1" wp14:anchorId="6D66993E" wp14:editId="50C2A5F0">
                <wp:simplePos x="0" y="0"/>
                <wp:positionH relativeFrom="column">
                  <wp:posOffset>4119880</wp:posOffset>
                </wp:positionH>
                <wp:positionV relativeFrom="paragraph">
                  <wp:posOffset>71120</wp:posOffset>
                </wp:positionV>
                <wp:extent cx="0" cy="200025"/>
                <wp:effectExtent l="10160" t="12065" r="8890" b="6985"/>
                <wp:wrapNone/>
                <wp:docPr id="10" name="Düz Ok Bağlayıcısı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0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59B92CB6" id="Düz Ok Bağlayıcısı 10" o:spid="_x0000_s1026" type="#_x0000_t32" style="position:absolute;margin-left:324.4pt;margin-top:5.6pt;width:0;height:15.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P+uMwIAAEoEAAAOAAAAZHJzL2Uyb0RvYy54bWysVMGO2jAQvVfqP1i5QxIKFCLCqk2gl20X&#10;abcfYGyHWOvYlm0ItOq39Bu491Y+rGMH0NJeqqoczNieefNm5jmzu30j0I4Zy5XMo7SfRIhJoiiX&#10;mzz6/LTsTSJkHZYUCyVZHh2Yje7mr1/NWp2xgaqVoMwgAJE2a3Ue1c7pLI4tqVmDbV9pJuGyUqbB&#10;DrZmE1ODW0BvRDxIknHcKkO1UYRZC6dldxnNA35VMeIeqsoyh0QeATcXVhPWtV/j+QxnG4N1zcmZ&#10;Bv4HFg3mEpJeoUrsMNoa/gdUw4lRVlWuT1QTq6rihIUaoJo0+a2axxprFmqB5lh9bZP9f7Dk025l&#10;EKcwO2iPxA3MqPz54wt6eEbv8em7wIfTkZyO9nRE4AHtarXNIKqQK+MLJnv5qO8VebZIqqLGcsMC&#10;7aeDBqjUR8Q3IX5jNSRdtx8VBR+8dSr0bl+ZxkNCV9A+jOhwHRHbO0S6QwKnMPpkMArgOLvEaWPd&#10;B6Ya5I08ss5gvqldoaQEHSiThix4d2+dZ4WzS4BPKtWSCxHkICRq82g6ggT+xirBqb8MG7NZF8Kg&#10;HfaCCr8zixs3o7aSBrCaYbo42w5z0dmQXEiPB3UBnbPVKebrNJkuJovJsDccjBe9YVKWvXfLYtgb&#10;L9O3o/JNWRRl+s1TS4dZzSll0rO7qDcd/p06zu+o091Vv9c2xLfooV9A9vIfSIfB+ll2qlgreliZ&#10;y8BBsMH5/Lj8i3i5B/vlJ2D+CwAA//8DAFBLAwQUAAYACAAAACEAaC1mKN0AAAAJAQAADwAAAGRy&#10;cy9kb3ducmV2LnhtbEyPwU7DMBBE70j8g7VIXBB1EpVSQpyqQuLAkbYS1228JIF4HcVOE/r1LOIA&#10;x9kZzbwtNrPr1ImG0Ho2kC4SUMSVty3XBg7759s1qBCRLXaeycAXBdiUlxcF5tZP/EqnXayVlHDI&#10;0UATY59rHaqGHIaF74nFe/eDwyhyqLUdcJJy1+ksSVbaYcuy0GBPTw1Vn7vRGaAw3qXJ9sHVh5fz&#10;dPOWnT+mfm/M9dW8fQQVaY5/YfjBF3QohenoR7ZBdQZWy7WgRzHSDJQEfg9HA8vsHnRZ6P8flN8A&#10;AAD//wMAUEsBAi0AFAAGAAgAAAAhALaDOJL+AAAA4QEAABMAAAAAAAAAAAAAAAAAAAAAAFtDb250&#10;ZW50X1R5cGVzXS54bWxQSwECLQAUAAYACAAAACEAOP0h/9YAAACUAQAACwAAAAAAAAAAAAAAAAAv&#10;AQAAX3JlbHMvLnJlbHNQSwECLQAUAAYACAAAACEAy9D/rjMCAABKBAAADgAAAAAAAAAAAAAAAAAu&#10;AgAAZHJzL2Uyb0RvYy54bWxQSwECLQAUAAYACAAAACEAaC1mKN0AAAAJAQAADwAAAAAAAAAAAAAA&#10;AACNBAAAZHJzL2Rvd25yZXYueG1sUEsFBgAAAAAEAAQA8wAAAJcFAAAAAA==&#10;"/>
            </w:pict>
          </mc:Fallback>
        </mc:AlternateContent>
      </w:r>
      <w:r w:rsidRPr="00E0308F">
        <w:rPr>
          <w:rFonts w:ascii="Times New Roman" w:hAnsi="Times New Roman" w:cs="Times New Roman"/>
          <w:noProof/>
          <w:color w:val="000000" w:themeColor="text1"/>
          <w:sz w:val="18"/>
          <w:szCs w:val="18"/>
          <w:lang w:val="en-US"/>
        </w:rPr>
        <mc:AlternateContent>
          <mc:Choice Requires="wps">
            <w:drawing>
              <wp:anchor distT="0" distB="0" distL="114300" distR="114300" simplePos="0" relativeHeight="251672576" behindDoc="0" locked="0" layoutInCell="1" allowOverlap="1" wp14:anchorId="1411E3A0" wp14:editId="0C3B487F">
                <wp:simplePos x="0" y="0"/>
                <wp:positionH relativeFrom="column">
                  <wp:posOffset>3005455</wp:posOffset>
                </wp:positionH>
                <wp:positionV relativeFrom="paragraph">
                  <wp:posOffset>13970</wp:posOffset>
                </wp:positionV>
                <wp:extent cx="0" cy="200025"/>
                <wp:effectExtent l="10160" t="12065" r="8890" b="6985"/>
                <wp:wrapNone/>
                <wp:docPr id="9" name="Düz Ok Bağlayıcısı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0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25CA602B" id="Düz Ok Bağlayıcısı 9" o:spid="_x0000_s1026" type="#_x0000_t32" style="position:absolute;margin-left:236.65pt;margin-top:1.1pt;width:0;height:15.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XD+MgIAAEgEAAAOAAAAZHJzL2Uyb0RvYy54bWysVMGO2jAQvVfqP1i5QxIKFCLCqk2gl20X&#10;abcfYGyHWOvYlm0ItOq39Bu491Y+rGMH0NJeqqoczIztefNm5jmzu30j0I4Zy5XMo7SfRIhJoiiX&#10;mzz6/LTsTSJkHZYUCyVZHh2Yje7mr1/NWp2xgaqVoMwgAJE2a3Ue1c7pLI4tqVmDbV9pJuGwUqbB&#10;DlyzianBLaA3Ih4kyThulaHaKMKshd2yO4zmAb+qGHEPVWWZQyKPgJsLqwnr2q/xfIazjcG65uRM&#10;A/8DiwZzCUmvUCV2GG0N/wOq4cQoqyrXJ6qJVVVxwkINUE2a/FbNY401C7VAc6y+tsn+P1jyabcy&#10;iNM8mkZI4gZGVP788QU9PKP3+PRd4MPpSE5HezqiqW9Wq20GMYVcGV8u2ctHfa/Is0VSFTWWGxZI&#10;Px00IKU+Ir4J8Y7VkHLdflQU7uCtU6Fz+8o0HhJ6gvZhQIfrgNjeIdJtEtiFwSeDUQDH2SVOG+s+&#10;MNUgb+SRdQbzTe0KJSWoQJk0ZMG7e+s8K5xdAnxSqZZciCAGIVEL3RhBAn9ileDUHwbHbNaFMGiH&#10;vZzC78zi5ppRW0kDWM0wXZxth7nobEgupMeDuoDO2er08nWaTBeTxWTYGw7Gi94wKcveu2Ux7I2X&#10;6dtR+aYsijL95qmlw6zmlDLp2V20mw7/ThvnV9Sp7qreaxviW/TQLyB7+Q+kw2D9LDtVrBU9rMxl&#10;4CDXcPn8tPx7eOmD/fIDMP8FAAD//wMAUEsDBBQABgAIAAAAIQBaA4hh3AAAAAgBAAAPAAAAZHJz&#10;L2Rvd25yZXYueG1sTI/BTsMwEETvSPyDtUhcEHWaAIWQTVUhceBIW4mrGy9JIF5HsdOEfj2LOMBx&#10;NKOZN8V6dp060hBazwjLRQKKuPK25Rphv3u+vgcVomFrOs+E8EUB1uX5WWFy6yd+peM21kpKOOQG&#10;oYmxz7UOVUPOhIXvicV794MzUeRQazuYScpdp9MkudPOtCwLjenpqaHqczs6BArj7TLZPLh6/3Ka&#10;rt7S08fU7xAvL+bNI6hIc/wLww++oEMpTAc/sg2qQ7hZZZlEEdIUlPi/+oCQZSvQZaH/Hyi/AQAA&#10;//8DAFBLAQItABQABgAIAAAAIQC2gziS/gAAAOEBAAATAAAAAAAAAAAAAAAAAAAAAABbQ29udGVu&#10;dF9UeXBlc10ueG1sUEsBAi0AFAAGAAgAAAAhADj9If/WAAAAlAEAAAsAAAAAAAAAAAAAAAAALwEA&#10;AF9yZWxzLy5yZWxzUEsBAi0AFAAGAAgAAAAhAFLdcP4yAgAASAQAAA4AAAAAAAAAAAAAAAAALgIA&#10;AGRycy9lMm9Eb2MueG1sUEsBAi0AFAAGAAgAAAAhAFoDiGHcAAAACAEAAA8AAAAAAAAAAAAAAAAA&#10;jAQAAGRycy9kb3ducmV2LnhtbFBLBQYAAAAABAAEAPMAAACVBQAAAAA=&#10;"/>
            </w:pict>
          </mc:Fallback>
        </mc:AlternateContent>
      </w:r>
      <w:r w:rsidRPr="00E0308F">
        <w:rPr>
          <w:rFonts w:ascii="Times New Roman" w:hAnsi="Times New Roman" w:cs="Times New Roman"/>
          <w:noProof/>
          <w:color w:val="000000" w:themeColor="text1"/>
          <w:sz w:val="18"/>
          <w:szCs w:val="18"/>
          <w:lang w:val="en-US"/>
        </w:rPr>
        <mc:AlternateContent>
          <mc:Choice Requires="wps">
            <w:drawing>
              <wp:anchor distT="0" distB="0" distL="114300" distR="114300" simplePos="0" relativeHeight="251671552" behindDoc="0" locked="0" layoutInCell="1" allowOverlap="1" wp14:anchorId="0D562D98" wp14:editId="5BCF1E92">
                <wp:simplePos x="0" y="0"/>
                <wp:positionH relativeFrom="column">
                  <wp:posOffset>1833880</wp:posOffset>
                </wp:positionH>
                <wp:positionV relativeFrom="paragraph">
                  <wp:posOffset>13970</wp:posOffset>
                </wp:positionV>
                <wp:extent cx="0" cy="200025"/>
                <wp:effectExtent l="10160" t="12065" r="8890" b="6985"/>
                <wp:wrapNone/>
                <wp:docPr id="8" name="Düz Ok Bağlayıcısı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0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64C91ABA" id="Düz Ok Bağlayıcısı 8" o:spid="_x0000_s1026" type="#_x0000_t32" style="position:absolute;margin-left:144.4pt;margin-top:1.1pt;width:0;height:15.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dm/MgIAAEgEAAAOAAAAZHJzL2Uyb0RvYy54bWysVMGO2jAQvVfqP1i5QxIKFCLCqk2gl20X&#10;abcfYGyHWOvYlm0ItOq39Bu491Y+rGMH0NJeqqoczIztefNm5jmzu30j0I4Zy5XMo7SfRIhJoiiX&#10;mzz6/LTsTSJkHZYUCyVZHh2Yje7mr1/NWp2xgaqVoMwgAJE2a3Ue1c7pLI4tqVmDbV9pJuGwUqbB&#10;DlyzianBLaA3Ih4kyThulaHaKMKshd2yO4zmAb+qGHEPVWWZQyKPgJsLqwnr2q/xfIazjcG65uRM&#10;A/8DiwZzCUmvUCV2GG0N/wOq4cQoqyrXJ6qJVVVxwkINUE2a/FbNY401C7VAc6y+tsn+P1jyabcy&#10;iNM8gkFJ3MCIyp8/vqCHZ/Qen74LfDgdyeloT0c08c1qtc0gppAr48sle/mo7xV5tkiqosZywwLp&#10;p4MGpNRHxDch3rEaUq7bj4rCHbx1KnRuX5nGQ0JP0D4M6HAdENs7RLpNArsw+GQwCuA4u8RpY90H&#10;phrkjTyyzmC+qV2hpAQVKJOGLHh3b51nhbNLgE8q1ZILEcQgJGrzaDqCBP7EKsGpPwyO2awLYdAO&#10;ezmF35nFzTWjtpIGsJphujjbDnPR2ZBcSI8HdQGds9Xp5es0mS4mi8mwNxyMF71hUpa9d8ti2Bsv&#10;07ej8k1ZFGX6zVNLh1nNKWXSs7toNx3+nTbOr6hT3VW91zbEt+ihX0D28h9Ih8H6WXaqWCt6WJnL&#10;wEGu4fL5afn38NIH++UHYP4LAAD//wMAUEsDBBQABgAIAAAAIQD4YUW53AAAAAgBAAAPAAAAZHJz&#10;L2Rvd25yZXYueG1sTI9BS8NAEIXvgv9hGcGL2E1T1BgzKUXw4NG24HWbHZNodjZkN03sr3fEg729&#10;xxve+6ZYz65TRxpC6xlhuUhAEVfetlwj7HcvtxmoEA1b03kmhG8KsC4vLwqTWz/xGx23sVZSwiE3&#10;CE2Mfa51qBpyJix8TyzZhx+ciWKHWtvBTFLuOp0myb12pmVZaExPzw1VX9vRIVAY75bJ5tHV+9fT&#10;dPOenj6nfod4fTVvnkBFmuP/MfziCzqUwnTwI9ugOoQ0ywQ9ikhBSf7nDwir1QPostDnD5Q/AAAA&#10;//8DAFBLAQItABQABgAIAAAAIQC2gziS/gAAAOEBAAATAAAAAAAAAAAAAAAAAAAAAABbQ29udGVu&#10;dF9UeXBlc10ueG1sUEsBAi0AFAAGAAgAAAAhADj9If/WAAAAlAEAAAsAAAAAAAAAAAAAAAAALwEA&#10;AF9yZWxzLy5yZWxzUEsBAi0AFAAGAAgAAAAhAJlN2b8yAgAASAQAAA4AAAAAAAAAAAAAAAAALgIA&#10;AGRycy9lMm9Eb2MueG1sUEsBAi0AFAAGAAgAAAAhAPhhRbncAAAACAEAAA8AAAAAAAAAAAAAAAAA&#10;jAQAAGRycy9kb3ducmV2LnhtbFBLBQYAAAAABAAEAPMAAACVBQAAAAA=&#10;"/>
            </w:pict>
          </mc:Fallback>
        </mc:AlternateContent>
      </w:r>
      <w:r w:rsidRPr="00E0308F">
        <w:rPr>
          <w:rFonts w:ascii="Times New Roman" w:hAnsi="Times New Roman" w:cs="Times New Roman"/>
          <w:noProof/>
          <w:color w:val="000000" w:themeColor="text1"/>
          <w:sz w:val="18"/>
          <w:szCs w:val="18"/>
          <w:lang w:val="en-US"/>
        </w:rPr>
        <mc:AlternateContent>
          <mc:Choice Requires="wps">
            <w:drawing>
              <wp:anchor distT="0" distB="0" distL="114300" distR="114300" simplePos="0" relativeHeight="251670528" behindDoc="0" locked="0" layoutInCell="1" allowOverlap="1" wp14:anchorId="3E1FEA19" wp14:editId="11189FC6">
                <wp:simplePos x="0" y="0"/>
                <wp:positionH relativeFrom="column">
                  <wp:posOffset>690880</wp:posOffset>
                </wp:positionH>
                <wp:positionV relativeFrom="paragraph">
                  <wp:posOffset>13970</wp:posOffset>
                </wp:positionV>
                <wp:extent cx="0" cy="200025"/>
                <wp:effectExtent l="10160" t="12065" r="8890" b="6985"/>
                <wp:wrapNone/>
                <wp:docPr id="7" name="Düz Ok Bağlayıcısı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0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46C4AC97" id="Düz Ok Bağlayıcısı 7" o:spid="_x0000_s1026" type="#_x0000_t32" style="position:absolute;margin-left:54.4pt;margin-top:1.1pt;width:0;height:15.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SvANAIAAEgEAAAOAAAAZHJzL2Uyb0RvYy54bWysVEtu2zAQ3RfoHQjubUmuP4kQOWglu5u0&#10;CZD0ADRJWUQokiBpy27Rs+QM3ndXH6xD+oO43RRFvaBnSM6bNzOPurndtBKtuXVCqwJn/RQjrqhm&#10;Qi0L/OVp3rvCyHmiGJFa8QJvucO307dvbjqT84FutGTcIgBRLu9MgRvvTZ4kjja8Ja6vDVdwWGvb&#10;Eg+uXSbMkg7QW5kM0nScdNoyYzXlzsFudTjE04hf15z6+7p23CNZYODm42rjughrMr0h+dIS0wh6&#10;pEH+gUVLhIKkZ6iKeIJWVvwB1QpqtdO171PdJrquBeWxBqgmS3+r5rEhhsdaoDnOnNvk/h8s/bx+&#10;sEiwAk8wUqSFEVU/f3xF98/oA9m/SLLd7+h+5/Y7NAnN6ozLIaZUDzaUSzfq0dxp+uyQ0mVD1JJH&#10;0k9bA0hZiEguQoLjDKRcdJ80gztk5XXs3Ka2bYCEnqBNHND2PCC+8YgeNinswuDTwSiCk/wUZ6zz&#10;H7luUTAK7LwlYtn4UisFKtA2i1nI+s75wIrkp4CQVOm5kDKKQSrUFfh6BAnCidNSsHAYHbtclNKi&#10;NQlyir8ji4trVq8Ui2ANJ2x2tD0R8mBDcqkCHtQFdI7WQS/frtPr2dXsatgbDsaz3jCtqt77eTns&#10;jefZZFS9q8qyyr4HatkwbwRjXAV2J+1mw7/TxvEVHVR3Vu+5DckleuwXkD39R9JxsGGWB1UsNNs+&#10;2NPAQa7x8vFphffw2gf79Qdg+gsAAP//AwBQSwMEFAAGAAgAAAAhAFB8hM/cAAAACAEAAA8AAABk&#10;cnMvZG93bnJldi54bWxMj0FPwkAQhe8m/IfNkHgxsEsJCrVbQkw8eBRIvA7dsa12Z5vullZ+vYsX&#10;PH55k/e+ybajbcSZOl871rCYKxDEhTM1lxqOh9fZGoQPyAYbx6Thhzxs88ldhqlxA7/TeR9KEUvY&#10;p6ihCqFNpfRFRRb93LXEMft0ncUQsSul6XCI5baRiVKP0mLNcaHCll4qKr73vdVAvl8t1G5jy+Pb&#10;ZXj4SC5fQ3vQ+n467p5BBBrD7Riu+lEd8uh0cj0bL5rIah3Vg4YkAXHN//ikYbl8Apln8v8D+S8A&#10;AAD//wMAUEsBAi0AFAAGAAgAAAAhALaDOJL+AAAA4QEAABMAAAAAAAAAAAAAAAAAAAAAAFtDb250&#10;ZW50X1R5cGVzXS54bWxQSwECLQAUAAYACAAAACEAOP0h/9YAAACUAQAACwAAAAAAAAAAAAAAAAAv&#10;AQAAX3JlbHMvLnJlbHNQSwECLQAUAAYACAAAACEAMjUrwDQCAABIBAAADgAAAAAAAAAAAAAAAAAu&#10;AgAAZHJzL2Uyb0RvYy54bWxQSwECLQAUAAYACAAAACEAUHyEz9wAAAAIAQAADwAAAAAAAAAAAAAA&#10;AACOBAAAZHJzL2Rvd25yZXYueG1sUEsFBgAAAAAEAAQA8wAAAJcFAAAAAA==&#10;"/>
            </w:pict>
          </mc:Fallback>
        </mc:AlternateContent>
      </w:r>
    </w:p>
    <w:p w14:paraId="1414FFA3" w14:textId="34343419" w:rsidR="00CB6608" w:rsidRPr="00E0308F" w:rsidRDefault="00E0308F" w:rsidP="00CB6608">
      <w:pPr>
        <w:ind w:left="1068"/>
        <w:jc w:val="both"/>
        <w:rPr>
          <w:rFonts w:ascii="Times New Roman" w:hAnsi="Times New Roman" w:cs="Times New Roman"/>
          <w:color w:val="000000" w:themeColor="text1"/>
          <w:sz w:val="18"/>
          <w:szCs w:val="18"/>
        </w:rPr>
      </w:pPr>
      <w:r w:rsidRPr="00E0308F">
        <w:rPr>
          <w:rFonts w:ascii="Times New Roman" w:hAnsi="Times New Roman" w:cs="Times New Roman"/>
          <w:b/>
          <w:noProof/>
          <w:color w:val="000000" w:themeColor="text1"/>
          <w:sz w:val="18"/>
          <w:szCs w:val="18"/>
          <w:lang w:val="en-US"/>
        </w:rPr>
        <mc:AlternateContent>
          <mc:Choice Requires="wps">
            <w:drawing>
              <wp:anchor distT="0" distB="0" distL="114300" distR="114300" simplePos="0" relativeHeight="251669504" behindDoc="0" locked="0" layoutInCell="1" allowOverlap="1" wp14:anchorId="18071AB5" wp14:editId="60494B51">
                <wp:simplePos x="0" y="0"/>
                <wp:positionH relativeFrom="column">
                  <wp:posOffset>309880</wp:posOffset>
                </wp:positionH>
                <wp:positionV relativeFrom="paragraph">
                  <wp:posOffset>17145</wp:posOffset>
                </wp:positionV>
                <wp:extent cx="4895850" cy="0"/>
                <wp:effectExtent l="10160" t="12065" r="8890" b="6985"/>
                <wp:wrapNone/>
                <wp:docPr id="2" name="Düz Ok Bağlayıcısı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958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018FFAE1" id="Düz Ok Bağlayıcısı 2" o:spid="_x0000_s1026" type="#_x0000_t32" style="position:absolute;margin-left:24.4pt;margin-top:1.35pt;width:385.5pt;height: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BEOAIAAEkEAAAOAAAAZHJzL2Uyb0RvYy54bWysVM2O0zAQviPxDpbv3SQlLW206QqSlsvC&#10;rrTLA7i201jr2JbtNi2IZ+EZeudGH4yx+6NduCBEDs444/nmm5nPub7ZdhJtuHVCqxJnVylGXFHN&#10;hFqV+PPjYjDByHmiGJFa8RLvuMM3s9evrntT8KFutWTcIgBRruhNiVvvTZEkjra8I+5KG67A2Wjb&#10;EQ9bu0qYJT2gdzIZpuk46bVlxmrKnYOv9dGJZxG/aTj1d03juEeyxMDNx9XGdRnWZHZNipUlphX0&#10;RIP8A4uOCAVJL1A18QStrfgDqhPUaqcbf0V1l+imEZTHGqCaLP2tmoeWGB5rgeY4c2mT+3+w9NPm&#10;3iLBSjzESJEORlT//PEF3T2h9+TwXZLdYU8Pe3fYo2FoVm9cATGVurehXLpVD+ZW0yeHlK5aolY8&#10;kn7cGUDKQkTyIiRsnIGUy/6jZnCGrL2Onds2tguQ0BO0jQPaXQbEtx5R+JhPpqPJCOZIz76EFOdA&#10;Y53/wHWHglFi5y0Rq9ZXWimQgbZZTEM2t84HWqQ4B4SsSi+ElFENUqG+xNPRcBQDnJaCBWc45uxq&#10;WUmLNiToKT6xRvA8P2b1WrEI1nLC5ifbEyGPNiSXKuBBYUDnZB0F83WaTueT+SQf5MPxfJCndT14&#10;t6jywXiRvR3Vb+qqqrNvgVqWF61gjKvA7izeLP87cZyu0VF2F/le2pC8RI/9ArLndyQdJxuGeZTF&#10;UrPdvT1PHPQaD5/uVrgQz/dgP/8DzH4BAAD//wMAUEsDBBQABgAIAAAAIQAbuwak2gAAAAYBAAAP&#10;AAAAZHJzL2Rvd25yZXYueG1sTI5Nb8IwEETvlfgP1iJxqYqTqB8hxEEIqYceC0i9mnhJ0sbrKHZI&#10;yq/vtpdyfJrRzMs3k23FBXvfOFIQLyMQSKUzDVUKjofXhxSED5qMbh2hgm/0sClmd7nOjBvpHS/7&#10;UAkeIZ9pBXUIXSalL2u02i9dh8TZ2fVWB8a+kqbXI4/bViZR9Cytbogfat3hrsbyaz9YBeiHpzja&#10;rmx1fLuO9x/J9XPsDkot5tN2DSLgFP7L8KvP6lCw08kNZLxoFTymbB4UJC8gOE7jFfPpj2WRy1v9&#10;4gcAAP//AwBQSwECLQAUAAYACAAAACEAtoM4kv4AAADhAQAAEwAAAAAAAAAAAAAAAAAAAAAAW0Nv&#10;bnRlbnRfVHlwZXNdLnhtbFBLAQItABQABgAIAAAAIQA4/SH/1gAAAJQBAAALAAAAAAAAAAAAAAAA&#10;AC8BAABfcmVscy8ucmVsc1BLAQItABQABgAIAAAAIQC+IJBEOAIAAEkEAAAOAAAAAAAAAAAAAAAA&#10;AC4CAABkcnMvZTJvRG9jLnhtbFBLAQItABQABgAIAAAAIQAbuwak2gAAAAYBAAAPAAAAAAAAAAAA&#10;AAAAAJIEAABkcnMvZG93bnJldi54bWxQSwUGAAAAAAQABADzAAAAmQUAAAAA&#10;"/>
            </w:pict>
          </mc:Fallback>
        </mc:AlternateContent>
      </w:r>
      <w:r w:rsidRPr="00E0308F">
        <w:rPr>
          <w:rFonts w:ascii="Times New Roman" w:hAnsi="Times New Roman" w:cs="Times New Roman"/>
          <w:noProof/>
          <w:color w:val="000000" w:themeColor="text1"/>
          <w:sz w:val="18"/>
          <w:szCs w:val="18"/>
          <w:lang w:val="en-US"/>
        </w:rPr>
        <mc:AlternateContent>
          <mc:Choice Requires="wps">
            <w:drawing>
              <wp:anchor distT="0" distB="0" distL="114300" distR="114300" simplePos="0" relativeHeight="251675648" behindDoc="0" locked="0" layoutInCell="1" allowOverlap="1" wp14:anchorId="63984C59" wp14:editId="57939349">
                <wp:simplePos x="0" y="0"/>
                <wp:positionH relativeFrom="column">
                  <wp:posOffset>700405</wp:posOffset>
                </wp:positionH>
                <wp:positionV relativeFrom="paragraph">
                  <wp:posOffset>243840</wp:posOffset>
                </wp:positionV>
                <wp:extent cx="4143375" cy="323850"/>
                <wp:effectExtent l="10160" t="12065" r="8890" b="6985"/>
                <wp:wrapNone/>
                <wp:docPr id="1" name="Dikdörtgen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43375" cy="323850"/>
                        </a:xfrm>
                        <a:prstGeom prst="rect">
                          <a:avLst/>
                        </a:prstGeom>
                        <a:solidFill>
                          <a:srgbClr val="FFFFFF"/>
                        </a:solidFill>
                        <a:ln w="9525">
                          <a:solidFill>
                            <a:srgbClr val="000000"/>
                          </a:solidFill>
                          <a:miter lim="800000"/>
                          <a:headEnd/>
                          <a:tailEnd/>
                        </a:ln>
                      </wps:spPr>
                      <wps:txbx>
                        <w:txbxContent>
                          <w:p w14:paraId="36A70E40" w14:textId="77777777" w:rsidR="003B6DB3" w:rsidRDefault="003B6DB3" w:rsidP="00CB6608">
                            <w:pPr>
                              <w:jc w:val="center"/>
                            </w:pPr>
                            <w:r>
                              <w:t>Pazarlama Stratejileri Ve Teknikleri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984C59" id="Dikdörtgen 1" o:spid="_x0000_s1036" style="position:absolute;left:0;text-align:left;margin-left:55.15pt;margin-top:19.2pt;width:326.25pt;height:2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OoZLwIAAFEEAAAOAAAAZHJzL2Uyb0RvYy54bWysVNuO0zAQfUfiHyy/0/TKdqOmq1VLEdIC&#10;Ky18gGM7ibW+MXabLB/GD/BjTJy22wWeEHmwPJ7x8cw5M1nddEaTg4SgnC3oZDSmRFruhLJ1Qb9+&#10;2b1ZUhIis4JpZ2VBn2SgN+vXr1atz+XUNU4LCQRBbMhbX9AmRp9nWeCNNCyMnJcWnZUDwyKaUGcC&#10;WIvoRmfT8fht1joQHhyXIeDpdnDSdcKvKsnj56oKMhJdUMwtphXSWvZrtl6xvAbmG8WPabB/yMIw&#10;ZfHRM9SWRUb2oP6AMoqDC66KI+5M5qpKcZlqwGom49+qeWiYl6kWJCf4M03h/8HyT4d7IEqgdpRY&#10;ZlCirXoUP39ArKUlk56g1occ4x78PfQlBn/n+GMg1m0aZmt5C+DaRjKBaaX47MWF3gh4lZTtRycQ&#10;n+2jS1x1FZgeEFkgXZLk6SyJ7CLheDifzGezqwUlHH2z6Wy5SJplLD/d9hDie+kM6TcFBZQ8obPD&#10;XYiYPYaeQlL2TiuxU1onA+pyo4EcGLbHLn19wXglXIZpS9qCXi+mi4T8whcuIcbp+xuEURH7XCtT&#10;0OU5iOU9be+sSF0YmdLDHt/XFtM4UTdIELuyG5RKFPTO0oknZBbc0Nc4h7hpHHynpMWeLmj4tmcg&#10;KdEfLKpzPZnP+yFIxnxxNUUDLj3lpYdZjlAFjZQM200cBmfvQdUNvjRJdFh3i4pWKpH9nNUxf+zb&#10;ROhxxvrBuLRT1POfYP0LAAD//wMAUEsDBBQABgAIAAAAIQDMR9AG3gAAAAkBAAAPAAAAZHJzL2Rv&#10;d25yZXYueG1sTI9BT4NAEIXvJv6HzZh4s7uFplLK0hhNTTy29OJtgSmg7Cxhlxb99Y4nPb7Mlzff&#10;y3az7cUFR9850rBcKBBIlas7ajSciv1DAsIHQ7XpHaGGL/Swy29vMpPW7koHvBxDI7iEfGo0tCEM&#10;qZS+atEav3ADEt/ObrQmcBwbWY/myuW2l5FSa2lNR/yhNQM+t1h9Hieroeyik/k+FK/KbvZxeJuL&#10;j+n9Rev7u/lpCyLgHP5g+NVndcjZqXQT1V70nJcqZlRDnKxAMPC4jnhLqSHZrEDmmfy/IP8BAAD/&#10;/wMAUEsBAi0AFAAGAAgAAAAhALaDOJL+AAAA4QEAABMAAAAAAAAAAAAAAAAAAAAAAFtDb250ZW50&#10;X1R5cGVzXS54bWxQSwECLQAUAAYACAAAACEAOP0h/9YAAACUAQAACwAAAAAAAAAAAAAAAAAvAQAA&#10;X3JlbHMvLnJlbHNQSwECLQAUAAYACAAAACEAjtjqGS8CAABRBAAADgAAAAAAAAAAAAAAAAAuAgAA&#10;ZHJzL2Uyb0RvYy54bWxQSwECLQAUAAYACAAAACEAzEfQBt4AAAAJAQAADwAAAAAAAAAAAAAAAACJ&#10;BAAAZHJzL2Rvd25yZXYueG1sUEsFBgAAAAAEAAQA8wAAAJQFAAAAAA==&#10;">
                <v:textbox>
                  <w:txbxContent>
                    <w:p w14:paraId="36A70E40" w14:textId="77777777" w:rsidR="003B6DB3" w:rsidRDefault="003B6DB3" w:rsidP="00CB6608">
                      <w:pPr>
                        <w:jc w:val="center"/>
                      </w:pPr>
                      <w:r>
                        <w:t>Pazarlama Stratejileri Ve Teknikleri</w:t>
                      </w:r>
                    </w:p>
                  </w:txbxContent>
                </v:textbox>
              </v:rect>
            </w:pict>
          </mc:Fallback>
        </mc:AlternateContent>
      </w:r>
    </w:p>
    <w:p w14:paraId="049FCABD" w14:textId="77777777" w:rsidR="00CB6608" w:rsidRPr="00164238" w:rsidRDefault="00CB6608" w:rsidP="00CB6608">
      <w:pPr>
        <w:ind w:left="1068"/>
        <w:jc w:val="both"/>
        <w:rPr>
          <w:rFonts w:ascii="Times New Roman" w:hAnsi="Times New Roman" w:cs="Times New Roman"/>
          <w:color w:val="000000" w:themeColor="text1"/>
        </w:rPr>
      </w:pPr>
    </w:p>
    <w:p w14:paraId="013162D2" w14:textId="77777777" w:rsidR="00CB6608" w:rsidRPr="00164238" w:rsidRDefault="00CB6608" w:rsidP="00CB6608">
      <w:pPr>
        <w:ind w:left="1068"/>
        <w:jc w:val="both"/>
        <w:rPr>
          <w:rFonts w:ascii="Times New Roman" w:hAnsi="Times New Roman" w:cs="Times New Roman"/>
          <w:color w:val="000000" w:themeColor="text1"/>
        </w:rPr>
      </w:pPr>
    </w:p>
    <w:p w14:paraId="5EA8C191" w14:textId="77777777" w:rsidR="00CB6608" w:rsidRPr="00164238" w:rsidRDefault="00CB6608" w:rsidP="00CB6608">
      <w:pPr>
        <w:ind w:left="1068"/>
        <w:jc w:val="both"/>
        <w:rPr>
          <w:rFonts w:ascii="Times New Roman" w:hAnsi="Times New Roman" w:cs="Times New Roman"/>
          <w:color w:val="000000" w:themeColor="text1"/>
        </w:rPr>
      </w:pPr>
      <w:r w:rsidRPr="00164238">
        <w:rPr>
          <w:rFonts w:ascii="Times New Roman" w:hAnsi="Times New Roman" w:cs="Times New Roman"/>
          <w:b/>
          <w:color w:val="000000" w:themeColor="text1"/>
        </w:rPr>
        <w:t xml:space="preserve">Şekil 1. </w:t>
      </w:r>
      <w:r w:rsidRPr="00164238">
        <w:rPr>
          <w:rFonts w:ascii="Times New Roman" w:hAnsi="Times New Roman" w:cs="Times New Roman"/>
          <w:color w:val="000000" w:themeColor="text1"/>
        </w:rPr>
        <w:t>Tüketici Davranışı Yansımaları (Hoyer ve Maclnnis, 2010: 4)</w:t>
      </w:r>
    </w:p>
    <w:p w14:paraId="0B16C91F" w14:textId="261EDE46" w:rsidR="00CB6608" w:rsidRPr="00164238" w:rsidRDefault="00CB6608" w:rsidP="00CB6608">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Tüketicilerin satın alma davranışları esnek bir yapıya sahip olduğu için zamana ve şartlara göre değişikliğe uğramaktadır. Tüketicilerin kişisel özelikleri, sosyolojik, kültürel, demografik faktörler davranışlarını önemli derecede etkilemekte ve değiştirmektedir. </w:t>
      </w:r>
    </w:p>
    <w:p w14:paraId="0941E61F" w14:textId="77777777" w:rsidR="00CB6608" w:rsidRPr="00164238" w:rsidRDefault="00CB6608" w:rsidP="00CB6608">
      <w:pPr>
        <w:ind w:firstLine="708"/>
        <w:jc w:val="both"/>
        <w:rPr>
          <w:rFonts w:ascii="Times New Roman" w:hAnsi="Times New Roman" w:cs="Times New Roman"/>
          <w:color w:val="000000" w:themeColor="text1"/>
        </w:rPr>
      </w:pPr>
    </w:p>
    <w:p w14:paraId="042E695B" w14:textId="77777777" w:rsidR="00CB6608" w:rsidRPr="00164238" w:rsidRDefault="00CB6608" w:rsidP="007C3550">
      <w:pPr>
        <w:numPr>
          <w:ilvl w:val="0"/>
          <w:numId w:val="3"/>
        </w:numPr>
        <w:spacing w:after="200" w:line="276" w:lineRule="auto"/>
        <w:jc w:val="both"/>
        <w:rPr>
          <w:rFonts w:ascii="Times New Roman" w:hAnsi="Times New Roman" w:cs="Times New Roman"/>
          <w:b/>
          <w:color w:val="000000" w:themeColor="text1"/>
        </w:rPr>
      </w:pPr>
      <w:r w:rsidRPr="00164238">
        <w:rPr>
          <w:rFonts w:ascii="Times New Roman" w:hAnsi="Times New Roman" w:cs="Times New Roman"/>
          <w:b/>
          <w:color w:val="000000" w:themeColor="text1"/>
        </w:rPr>
        <w:t xml:space="preserve">Covid 19 Döneminde Değişen Tüketici Davranışları </w:t>
      </w:r>
    </w:p>
    <w:p w14:paraId="038C794A" w14:textId="77777777" w:rsidR="00CB6608" w:rsidRPr="00164238" w:rsidRDefault="00CB6608" w:rsidP="00CB6608">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Covid-19 pandemisi tüm dünyayı etkisi altında tutmaya devam etmektedir.</w:t>
      </w:r>
      <w:r w:rsidRPr="00164238">
        <w:rPr>
          <w:rFonts w:ascii="Times New Roman" w:hAnsi="Times New Roman" w:cs="Times New Roman"/>
          <w:b/>
          <w:color w:val="000000" w:themeColor="text1"/>
        </w:rPr>
        <w:t xml:space="preserve"> </w:t>
      </w:r>
      <w:r w:rsidRPr="00164238">
        <w:rPr>
          <w:rFonts w:ascii="Times New Roman" w:hAnsi="Times New Roman" w:cs="Times New Roman"/>
          <w:color w:val="000000" w:themeColor="text1"/>
        </w:rPr>
        <w:t xml:space="preserve">Çin’in Wuhan kentinde 31 Aralık 2019 tarihinde ortaya çıkan ve hızla Asya’dan tüm dünyaya yayılan Dünya Sağlık Örgütü (DSÖ) tarafından pandemi olarak nitelendirilen virüs salgını hayatın her alanında yaşam normallerimizin değişmesine neden olmuştur. Değişen yaşma şekilleri ve yeni normaller tüketici davranışlarının da değişmesine neden olmuştur. </w:t>
      </w:r>
    </w:p>
    <w:p w14:paraId="3F15CC52" w14:textId="77777777" w:rsidR="00CB6608" w:rsidRPr="00164238" w:rsidRDefault="00CB6608" w:rsidP="00CB6608">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Covid 19 salgını, kısıtlanmalar ve sosyal izolasyon tüketicilerin satın alma ve alışveriş yapma alışkanlıklarını değişime uğratmıştır. Tüketimin büyük çoğunlukla konum ve zamana bağlıdır. Tüketiciler zamanla neyi, ne zaman ve nerede tüketecekleri konusunda davranışlar geliştirirler. Örneğin II Dünya savaşından buyana daha fazla kadın çalışma hayatına girmiştir. Bu da bireylerin zaman konusunda esnek ve özgür olamamalarını beraberinde getirmiştir. Çalışan kadınların yüzde yetmiş beşinin çalıştığı düşülmektedir. Bu da zaman kısıtına ve kişisel tüketimde zaman kaymasına neden olmaktadır. Bu sebepten servis teknisyenleri evde bozuk olan ve ya kurulumunun yapılması gereken </w:t>
      </w:r>
      <w:r w:rsidRPr="00164238">
        <w:rPr>
          <w:rFonts w:ascii="Times New Roman" w:hAnsi="Times New Roman" w:cs="Times New Roman"/>
          <w:color w:val="000000" w:themeColor="text1"/>
        </w:rPr>
        <w:lastRenderedPageBreak/>
        <w:t xml:space="preserve">cihazlar için hafta içi mesai saatleri içerisinde evde kimseyi bulamamaktadır. Evde kendisine kapıyı açacak birinin bulunmadığı için randevu usulü çalışma sisteminin geliştirilmesi tüketimin konum ve zamana göre değişimini ifade etmektedir. </w:t>
      </w:r>
    </w:p>
    <w:p w14:paraId="424C47B8" w14:textId="77777777" w:rsidR="00CB6608" w:rsidRPr="00164238" w:rsidRDefault="00CB6608" w:rsidP="00CB6608">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Covid 19 döneminde sosyal izolasyon ve mesafe tüketicilerin alışveriş imkânlarını kısıtlamaktadır. Bu, konum kısıtlaması ve konum sıkıntısını doğurmuştur ve bu da hareket kısıtlanması ve kademeli yaşam tarzını getirmiştir. Çalışma, eğitim ve alışveriş tarzları değişmiş ve hepsi de eve sığdırılmıştır. Böylece tüketiciler okula ve işe gitmek, alışveriş yapmak veya tüketim faaliyetlerini gerçekleştirmek için zaman planlamasına ihtiyacı olmadığı için zaman konusunda esnek davranma imkânları doğmuştur. Ayrıca herkesin evde olması ve her işin evden yapılması sonucu hangi alanın kim tarafında kullanılacağı ve mahremiyet konusunda sıkıntılar yaşanmaktadır. Sheth (2020: 281) covid 19’un tüketiciler üzerindeki etkisini araştırdığı çalışmasında anında, doğrudan oluşan sekiz etkisini tespit etmiştir. Bunlar şekil 2’de gösterilmektedir.</w:t>
      </w:r>
    </w:p>
    <w:p w14:paraId="03684732" w14:textId="77777777" w:rsidR="00CB6608" w:rsidRPr="00164238" w:rsidRDefault="00CB6608" w:rsidP="00CB6608">
      <w:pPr>
        <w:ind w:firstLine="708"/>
        <w:jc w:val="center"/>
        <w:rPr>
          <w:rFonts w:ascii="Times New Roman" w:hAnsi="Times New Roman" w:cs="Times New Roman"/>
          <w:color w:val="000000" w:themeColor="text1"/>
        </w:rPr>
      </w:pPr>
      <w:r w:rsidRPr="00164238">
        <w:rPr>
          <w:rFonts w:ascii="Times New Roman" w:hAnsi="Times New Roman" w:cs="Times New Roman"/>
          <w:noProof/>
          <w:color w:val="000000" w:themeColor="text1"/>
          <w:lang w:val="en-US"/>
        </w:rPr>
        <w:drawing>
          <wp:inline distT="0" distB="0" distL="0" distR="0" wp14:anchorId="1DAA8AE8" wp14:editId="329F9EEE">
            <wp:extent cx="3600450" cy="3276600"/>
            <wp:effectExtent l="19050" t="0" r="0" b="0"/>
            <wp:docPr id="4" name="Resim 1" descr="https://ars.els-cdn.com/content/image/1-s2.0-S0148296320303647-gr1_l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rs.els-cdn.com/content/image/1-s2.0-S0148296320303647-gr1_lrg.jpg"/>
                    <pic:cNvPicPr>
                      <a:picLocks noChangeAspect="1" noChangeArrowheads="1"/>
                    </pic:cNvPicPr>
                  </pic:nvPicPr>
                  <pic:blipFill>
                    <a:blip r:embed="rId17" cstate="print"/>
                    <a:srcRect/>
                    <a:stretch>
                      <a:fillRect/>
                    </a:stretch>
                  </pic:blipFill>
                  <pic:spPr bwMode="auto">
                    <a:xfrm>
                      <a:off x="0" y="0"/>
                      <a:ext cx="3599260" cy="3275517"/>
                    </a:xfrm>
                    <a:prstGeom prst="rect">
                      <a:avLst/>
                    </a:prstGeom>
                    <a:noFill/>
                    <a:ln w="9525">
                      <a:noFill/>
                      <a:miter lim="800000"/>
                      <a:headEnd/>
                      <a:tailEnd/>
                    </a:ln>
                  </pic:spPr>
                </pic:pic>
              </a:graphicData>
            </a:graphic>
          </wp:inline>
        </w:drawing>
      </w:r>
    </w:p>
    <w:p w14:paraId="52800B7A" w14:textId="77777777" w:rsidR="00CB6608" w:rsidRPr="00164238" w:rsidRDefault="00CB6608" w:rsidP="00CB6608">
      <w:pPr>
        <w:ind w:firstLine="708"/>
        <w:jc w:val="center"/>
        <w:rPr>
          <w:rFonts w:ascii="Times New Roman" w:hAnsi="Times New Roman" w:cs="Times New Roman"/>
          <w:color w:val="000000" w:themeColor="text1"/>
        </w:rPr>
      </w:pPr>
    </w:p>
    <w:p w14:paraId="154517A5" w14:textId="77777777" w:rsidR="00CB6608" w:rsidRPr="00164238" w:rsidRDefault="00CB6608" w:rsidP="00CB6608">
      <w:pPr>
        <w:ind w:firstLine="708"/>
        <w:jc w:val="center"/>
        <w:rPr>
          <w:rFonts w:ascii="Times New Roman" w:hAnsi="Times New Roman" w:cs="Times New Roman"/>
          <w:color w:val="000000" w:themeColor="text1"/>
        </w:rPr>
      </w:pPr>
      <w:r w:rsidRPr="00164238">
        <w:rPr>
          <w:rFonts w:ascii="Times New Roman" w:hAnsi="Times New Roman" w:cs="Times New Roman"/>
          <w:b/>
          <w:color w:val="000000" w:themeColor="text1"/>
        </w:rPr>
        <w:t xml:space="preserve">Şekil 2:  </w:t>
      </w:r>
      <w:r w:rsidRPr="00164238">
        <w:rPr>
          <w:rFonts w:ascii="Times New Roman" w:hAnsi="Times New Roman" w:cs="Times New Roman"/>
          <w:color w:val="000000" w:themeColor="text1"/>
        </w:rPr>
        <w:t>Covid 19’un Tüketim Davranışı Üzerindeki Doğrudan Etkisi</w:t>
      </w:r>
      <w:r w:rsidRPr="00164238">
        <w:rPr>
          <w:rFonts w:ascii="Times New Roman" w:hAnsi="Times New Roman" w:cs="Times New Roman"/>
          <w:b/>
          <w:color w:val="000000" w:themeColor="text1"/>
        </w:rPr>
        <w:t xml:space="preserve"> (</w:t>
      </w:r>
      <w:r w:rsidRPr="00164238">
        <w:rPr>
          <w:rFonts w:ascii="Times New Roman" w:hAnsi="Times New Roman" w:cs="Times New Roman"/>
          <w:color w:val="000000" w:themeColor="text1"/>
        </w:rPr>
        <w:t>Sheth, 2020: 281)</w:t>
      </w:r>
    </w:p>
    <w:p w14:paraId="16A8E3FE" w14:textId="77777777" w:rsidR="00CB6608" w:rsidRPr="00164238" w:rsidRDefault="00CB6608" w:rsidP="007C3550">
      <w:pPr>
        <w:numPr>
          <w:ilvl w:val="0"/>
          <w:numId w:val="4"/>
        </w:numPr>
        <w:spacing w:after="200" w:line="276" w:lineRule="auto"/>
        <w:jc w:val="both"/>
        <w:rPr>
          <w:rFonts w:ascii="Times New Roman" w:hAnsi="Times New Roman" w:cs="Times New Roman"/>
          <w:color w:val="000000" w:themeColor="text1"/>
        </w:rPr>
      </w:pPr>
      <w:r w:rsidRPr="00164238">
        <w:rPr>
          <w:rFonts w:ascii="Times New Roman" w:hAnsi="Times New Roman" w:cs="Times New Roman"/>
          <w:b/>
          <w:color w:val="000000" w:themeColor="text1"/>
        </w:rPr>
        <w:t>İstifçilik:</w:t>
      </w:r>
      <w:r w:rsidRPr="00164238">
        <w:rPr>
          <w:rFonts w:ascii="Times New Roman" w:hAnsi="Times New Roman" w:cs="Times New Roman"/>
          <w:color w:val="000000" w:themeColor="text1"/>
        </w:rPr>
        <w:t xml:space="preserve"> tüketiciler temel tüketim malzemeleri stoklamaktadır. Bu da geçici stoklara ve piyasada ürünün geçici olarak bulunamamasına sebep olmaktadır. İstifçiliği yapılan ürünler; tuvalet kâğıdı, ekmek, su, et, dezenfekte ve temizlik ürünleridir. İstifçilik temel ürün malzemelerindeki gelecekteki belirsizlik durumlarında verilen yaygın bir tepkidir. Kriz dönmelerinde istifçiliğe ek olarak yetkisiz tedarikçilerin ürünü istifleyip fiyatlarını artırdığı karaborsa pazarda ortaya çıkmaktadır. Bu, N95 maskeler ve sağlık çalışanları için kişisel koruma ekipmanlarında gerçekleşmiştir. Ayrıca istifçiliğin doğurduğu talep artışından sahte ürün pazarlamasını da teşvik etmektedir.   </w:t>
      </w:r>
    </w:p>
    <w:p w14:paraId="683F52F3" w14:textId="77777777" w:rsidR="00CB6608" w:rsidRPr="00164238" w:rsidRDefault="00CB6608" w:rsidP="007C3550">
      <w:pPr>
        <w:numPr>
          <w:ilvl w:val="0"/>
          <w:numId w:val="4"/>
        </w:numPr>
        <w:spacing w:after="200" w:line="276" w:lineRule="auto"/>
        <w:jc w:val="both"/>
        <w:rPr>
          <w:rFonts w:ascii="Times New Roman" w:hAnsi="Times New Roman" w:cs="Times New Roman"/>
          <w:color w:val="000000" w:themeColor="text1"/>
        </w:rPr>
      </w:pPr>
      <w:r w:rsidRPr="00164238">
        <w:rPr>
          <w:rFonts w:ascii="Times New Roman" w:hAnsi="Times New Roman" w:cs="Times New Roman"/>
          <w:b/>
          <w:color w:val="000000" w:themeColor="text1"/>
        </w:rPr>
        <w:lastRenderedPageBreak/>
        <w:t>Doğaçlama:</w:t>
      </w:r>
      <w:r w:rsidRPr="00164238">
        <w:rPr>
          <w:rFonts w:ascii="Times New Roman" w:hAnsi="Times New Roman" w:cs="Times New Roman"/>
          <w:color w:val="000000" w:themeColor="text1"/>
        </w:rPr>
        <w:t xml:space="preserve"> Tüketiciler kısıtlamalarla karşılaştıklarında doğaçlama yapmayı öğrenirler. Yani bu dönmelerde mevcut alışkanlıklar yerine tüketmenin yeni yolları keşfedilir. Covid 19 tüketicilerin düğünler, cenazeler gibi geleneğe bağlı törensel etkinliklerinde yaratıcılığını ortaya çıkarmıştır. Kaldırım düğünleri ve zoom cenaze hizmetleri geleneksel etkinliklerin yerini almaktadır.</w:t>
      </w:r>
    </w:p>
    <w:p w14:paraId="605E1FA6" w14:textId="77777777" w:rsidR="00CB6608" w:rsidRPr="00164238" w:rsidRDefault="00CB6608" w:rsidP="00CB6608">
      <w:pPr>
        <w:ind w:left="106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Ürün ve hizmet etkinliğini yönetmek amacıyla kullanılan doğaçlama gelecek araştırmaların bir başka alanıdır. Yenilikçi uygulamalar uzaktan sağlık hizmetler veya uzaktan eğitim gibi uygulamalar geleneksek tüketim anlayışına alternatif olacak gibi gözükmektedir. Doğaçlama üzerine yapılmış sistematik ve bilimsel araştırma bulunmamaktadır. </w:t>
      </w:r>
    </w:p>
    <w:p w14:paraId="15F10850" w14:textId="77777777" w:rsidR="00CB6608" w:rsidRPr="00164238" w:rsidRDefault="00CB6608" w:rsidP="007C3550">
      <w:pPr>
        <w:numPr>
          <w:ilvl w:val="0"/>
          <w:numId w:val="4"/>
        </w:numPr>
        <w:spacing w:after="200" w:line="276" w:lineRule="auto"/>
        <w:jc w:val="both"/>
        <w:rPr>
          <w:rFonts w:ascii="Times New Roman" w:hAnsi="Times New Roman" w:cs="Times New Roman"/>
          <w:color w:val="000000" w:themeColor="text1"/>
        </w:rPr>
      </w:pPr>
      <w:r w:rsidRPr="00164238">
        <w:rPr>
          <w:rFonts w:ascii="Times New Roman" w:hAnsi="Times New Roman" w:cs="Times New Roman"/>
          <w:b/>
          <w:color w:val="000000" w:themeColor="text1"/>
        </w:rPr>
        <w:t>Bastırılmış Talep:</w:t>
      </w:r>
      <w:r w:rsidRPr="00164238">
        <w:rPr>
          <w:rFonts w:ascii="Times New Roman" w:hAnsi="Times New Roman" w:cs="Times New Roman"/>
          <w:color w:val="000000" w:themeColor="text1"/>
        </w:rPr>
        <w:t xml:space="preserve"> Kriz ve belirsizlik dönemlerinde genel olarak eğilim, isteğe bağlı ürün veya hizmetlerin satın alınmasını ve tüketimini erteleme yönündedir. Genellikle bu, otomobiller, evler ve ev aletleri gibi dayanıklı mallarla ilişkilidir. Ayrıca konserler, sporlar, barlar ve restoranlar gibi isteğe bağlı hizmetler içinde geçerlidir. Bu, talebin bugünden geleceğe kaymasına neden olur.   </w:t>
      </w:r>
    </w:p>
    <w:p w14:paraId="5AD892D8" w14:textId="77777777" w:rsidR="00CB6608" w:rsidRPr="00164238" w:rsidRDefault="00CB6608" w:rsidP="007C3550">
      <w:pPr>
        <w:numPr>
          <w:ilvl w:val="0"/>
          <w:numId w:val="4"/>
        </w:numPr>
        <w:spacing w:after="200" w:line="276" w:lineRule="auto"/>
        <w:jc w:val="both"/>
        <w:rPr>
          <w:rFonts w:ascii="Times New Roman" w:hAnsi="Times New Roman" w:cs="Times New Roman"/>
          <w:color w:val="000000" w:themeColor="text1"/>
        </w:rPr>
      </w:pPr>
      <w:r w:rsidRPr="00164238">
        <w:rPr>
          <w:rFonts w:ascii="Times New Roman" w:hAnsi="Times New Roman" w:cs="Times New Roman"/>
          <w:b/>
          <w:color w:val="000000" w:themeColor="text1"/>
        </w:rPr>
        <w:t xml:space="preserve"> Dijital Teknolojiyi Kucaklamak: </w:t>
      </w:r>
      <w:r w:rsidRPr="00164238">
        <w:rPr>
          <w:rFonts w:ascii="Times New Roman" w:hAnsi="Times New Roman" w:cs="Times New Roman"/>
          <w:color w:val="000000" w:themeColor="text1"/>
        </w:rPr>
        <w:t>Tüketiciler, ihtiyaç duydukları için birçok yeni teknolojiyi ve bunların uygulamalarını tamamen benimsemiştir. Bunun bariz örneği, Zoom video hizmetleridir. Sadece aile ve arkadaşlara ayak uydurmak için, internete sahip çoğu ev Zoom toplantılarına katılmayı öğrendi. Tabii ki, okullar ve üniversiteler için uzaktan eğitim ve uzaktan sağlık hizmetleri de genişletildi.</w:t>
      </w:r>
    </w:p>
    <w:p w14:paraId="418641A2" w14:textId="77777777" w:rsidR="00CB6608" w:rsidRPr="00164238" w:rsidRDefault="00CB6608" w:rsidP="00CB6608">
      <w:pPr>
        <w:ind w:left="1068"/>
        <w:jc w:val="both"/>
        <w:rPr>
          <w:rFonts w:ascii="Times New Roman" w:hAnsi="Times New Roman" w:cs="Times New Roman"/>
          <w:color w:val="000000" w:themeColor="text1"/>
        </w:rPr>
      </w:pPr>
    </w:p>
    <w:p w14:paraId="5690C389" w14:textId="77777777" w:rsidR="00CB6608" w:rsidRPr="00164238" w:rsidRDefault="00CB6608" w:rsidP="00CB6608">
      <w:pPr>
        <w:ind w:left="1068"/>
        <w:jc w:val="both"/>
        <w:rPr>
          <w:rFonts w:ascii="Times New Roman" w:hAnsi="Times New Roman" w:cs="Times New Roman"/>
          <w:color w:val="000000" w:themeColor="text1"/>
        </w:rPr>
      </w:pPr>
      <w:r w:rsidRPr="00164238">
        <w:rPr>
          <w:rFonts w:ascii="Times New Roman" w:hAnsi="Times New Roman" w:cs="Times New Roman"/>
          <w:color w:val="000000" w:themeColor="text1"/>
        </w:rPr>
        <w:t>Çoğu tüketici Facebook, WhatsApp, YouTube, WeChat, LinkedIn ve diğerleri dahil olmak üzere sosyal medyayı sevmektedir. İnternet hem zengin bir ortamdır hem de küresel erişime sahiptir. Nüfustaki en büyük ülkeler artık Çin ve Hindistan değil; Facebook, YouTube ve WhatsApp'tır. Her birinin bir milyardan fazla abonesi ve kullanıcısı var. Bu, ağızdan ağza iletişim ve tavsiyelerin yanı sıra bilgi paylaşımının doğasını ve kapsamını önemli ölçüde değiştirmiştir. En hızlı büyüyen alanlardan biri influencer pazarlamacılarıdır. Birçoğunun milyonlarca takipçisi var. Genel olarak dijital teknolojinin ve özellikle de sosyal medyanın tüketici davranışına etkisi çok büyük ve tüketicinin günlük yaşamında yaygın. Teknolojinin benimsenmesinin eski alışkanlıkları kırıp kırmayacağını zaman ve süreç gösterecek.</w:t>
      </w:r>
    </w:p>
    <w:p w14:paraId="0AAA36E4" w14:textId="77777777" w:rsidR="00CB6608" w:rsidRPr="00164238" w:rsidRDefault="00CB6608" w:rsidP="00CB6608">
      <w:pPr>
        <w:ind w:left="1068"/>
        <w:jc w:val="both"/>
        <w:rPr>
          <w:rFonts w:ascii="Times New Roman" w:hAnsi="Times New Roman" w:cs="Times New Roman"/>
          <w:color w:val="000000" w:themeColor="text1"/>
        </w:rPr>
      </w:pPr>
    </w:p>
    <w:p w14:paraId="3F086D52" w14:textId="77777777" w:rsidR="00CB6608" w:rsidRPr="00164238" w:rsidRDefault="00CB6608" w:rsidP="007C3550">
      <w:pPr>
        <w:numPr>
          <w:ilvl w:val="0"/>
          <w:numId w:val="4"/>
        </w:numPr>
        <w:spacing w:after="200" w:line="276" w:lineRule="auto"/>
        <w:jc w:val="both"/>
        <w:rPr>
          <w:rFonts w:ascii="Times New Roman" w:hAnsi="Times New Roman" w:cs="Times New Roman"/>
          <w:color w:val="000000" w:themeColor="text1"/>
        </w:rPr>
      </w:pPr>
      <w:r w:rsidRPr="00164238">
        <w:rPr>
          <w:rFonts w:ascii="Times New Roman" w:hAnsi="Times New Roman" w:cs="Times New Roman"/>
          <w:b/>
          <w:color w:val="000000" w:themeColor="text1"/>
        </w:rPr>
        <w:t>Mağaza Eve Geliyor:</w:t>
      </w:r>
      <w:r w:rsidRPr="00164238">
        <w:rPr>
          <w:rFonts w:ascii="Times New Roman" w:hAnsi="Times New Roman" w:cs="Times New Roman"/>
          <w:color w:val="000000" w:themeColor="text1"/>
        </w:rPr>
        <w:t xml:space="preserve"> Hindistan, Güney Kore, Çin ve İtalya gibi ülkelerde tam kısıtlama nedeniyle, tüketiciler markete veya alışveriş merkezlerine gidemiyor. Bunun yerine mağaza eve geliyor. İş ve eğitim de öyle. Bu, iş, eğitim, sağlık ve satın alma ve tüketim akışını tersine çevirdi.  Disney, Netflix ve Amazon Prime gibi yayın hizmetleri dâhil her şeyin eve teslimatı, fiziksel olarak mekânda bulunmanın tuhaf alışkanlıklarını kırıyor. Aynı zamanda tüketici davranışında rahatlığı ve kişiselleştirmeyi de artırıyor. </w:t>
      </w:r>
    </w:p>
    <w:p w14:paraId="4156A7E0" w14:textId="77777777" w:rsidR="00CB6608" w:rsidRPr="00164238" w:rsidRDefault="00CB6608" w:rsidP="00CB6608">
      <w:pPr>
        <w:ind w:left="1068"/>
        <w:jc w:val="both"/>
        <w:rPr>
          <w:rFonts w:ascii="Times New Roman" w:hAnsi="Times New Roman" w:cs="Times New Roman"/>
          <w:b/>
          <w:color w:val="000000" w:themeColor="text1"/>
        </w:rPr>
      </w:pPr>
    </w:p>
    <w:p w14:paraId="347301FC" w14:textId="77777777" w:rsidR="00CB6608" w:rsidRPr="00164238" w:rsidRDefault="00CB6608" w:rsidP="007C3550">
      <w:pPr>
        <w:numPr>
          <w:ilvl w:val="0"/>
          <w:numId w:val="4"/>
        </w:numPr>
        <w:spacing w:after="200" w:line="276" w:lineRule="auto"/>
        <w:jc w:val="both"/>
        <w:rPr>
          <w:rFonts w:ascii="Times New Roman" w:hAnsi="Times New Roman" w:cs="Times New Roman"/>
          <w:color w:val="000000" w:themeColor="text1"/>
        </w:rPr>
      </w:pPr>
      <w:r w:rsidRPr="00164238">
        <w:rPr>
          <w:rFonts w:ascii="Times New Roman" w:hAnsi="Times New Roman" w:cs="Times New Roman"/>
          <w:b/>
          <w:color w:val="000000" w:themeColor="text1"/>
        </w:rPr>
        <w:t>İş Hayatı Sınırlarının Bulanıklaşması:</w:t>
      </w:r>
      <w:r w:rsidRPr="00164238">
        <w:rPr>
          <w:rFonts w:ascii="Times New Roman" w:hAnsi="Times New Roman" w:cs="Times New Roman"/>
          <w:color w:val="000000" w:themeColor="text1"/>
        </w:rPr>
        <w:t xml:space="preserve"> Tüketiciler çalışma, öğrenme, alışveriş ve sosyalleşme gibi çok sayıda ayrı faaliyeti evde sırlı bir alanda gerçekleştirmeye </w:t>
      </w:r>
      <w:r w:rsidRPr="00164238">
        <w:rPr>
          <w:rFonts w:ascii="Times New Roman" w:hAnsi="Times New Roman" w:cs="Times New Roman"/>
          <w:color w:val="000000" w:themeColor="text1"/>
        </w:rPr>
        <w:lastRenderedPageBreak/>
        <w:t>mahkûmdur. Bu, sınırlı kaynaklarla çok fazla ihtiyaç ve isteğe sahip olmaya benzemektedir. Sonuç olarak, iş ile ev arasında ve görevler ile sohbetler arasında sınırlar bulanıklaşır. Evi daha verimli ve etkili kılmak için bir tür program ve bölümlendirme gerekmektedir.</w:t>
      </w:r>
    </w:p>
    <w:p w14:paraId="3B1FF092" w14:textId="77777777" w:rsidR="00CB6608" w:rsidRPr="00164238" w:rsidRDefault="00CB6608" w:rsidP="00CB6608">
      <w:pPr>
        <w:rPr>
          <w:rFonts w:ascii="Times New Roman" w:hAnsi="Times New Roman" w:cs="Times New Roman"/>
          <w:b/>
          <w:color w:val="000000" w:themeColor="text1"/>
        </w:rPr>
      </w:pPr>
    </w:p>
    <w:p w14:paraId="535CEA94" w14:textId="77777777" w:rsidR="00CB6608" w:rsidRPr="00164238" w:rsidRDefault="00CB6608" w:rsidP="007C3550">
      <w:pPr>
        <w:numPr>
          <w:ilvl w:val="0"/>
          <w:numId w:val="4"/>
        </w:numPr>
        <w:spacing w:after="200" w:line="276" w:lineRule="auto"/>
        <w:jc w:val="both"/>
        <w:rPr>
          <w:rFonts w:ascii="Times New Roman" w:hAnsi="Times New Roman" w:cs="Times New Roman"/>
          <w:color w:val="000000" w:themeColor="text1"/>
        </w:rPr>
      </w:pPr>
      <w:r w:rsidRPr="00164238">
        <w:rPr>
          <w:rFonts w:ascii="Times New Roman" w:hAnsi="Times New Roman" w:cs="Times New Roman"/>
          <w:b/>
          <w:color w:val="000000" w:themeColor="text1"/>
        </w:rPr>
        <w:t>Arkadaşlar ve Aileyle Buluşmalar:</w:t>
      </w:r>
      <w:r w:rsidRPr="00164238">
        <w:rPr>
          <w:rFonts w:ascii="Times New Roman" w:hAnsi="Times New Roman" w:cs="Times New Roman"/>
          <w:color w:val="000000" w:themeColor="text1"/>
        </w:rPr>
        <w:t xml:space="preserve"> Covid 19’un önemli bir etkisi, kısmen iyi olduklarından emin olmak için kısmen de gün içinde yaşadıklarını ve deneyimleri paylaşmak için uzaktaki arkadaşlar ve aileler ile temasa geçmektir. Bu lise veya üniversite toplantılarına veya aile düğünlerine benzemektedir. İletişimi sürdürmek için arada yapılan buluşmalar artık düzenli ve planlı bir araya gelerek bilgi ve deneyimleri paylaşmaya dönüşmüştür. Sembolik olarak, hepimiz verandamızda oturuyoruz ve küresel olarak komşularımızla konuşuyoruz. Sosyal ağların Zoom ve WhatsApp gibi sosyal medya aracılığıyla bir araya geldiği küresel erişim akıllara durgunluk vermektedir. </w:t>
      </w:r>
    </w:p>
    <w:p w14:paraId="2EA00BEE" w14:textId="77777777" w:rsidR="00CB6608" w:rsidRPr="00164238" w:rsidRDefault="00CB6608" w:rsidP="00CB6608">
      <w:pPr>
        <w:rPr>
          <w:rFonts w:ascii="Times New Roman" w:hAnsi="Times New Roman" w:cs="Times New Roman"/>
          <w:color w:val="000000" w:themeColor="text1"/>
        </w:rPr>
      </w:pPr>
    </w:p>
    <w:p w14:paraId="4CF66CF9" w14:textId="77777777" w:rsidR="00CB6608" w:rsidRPr="00164238" w:rsidRDefault="00CB6608" w:rsidP="007C3550">
      <w:pPr>
        <w:numPr>
          <w:ilvl w:val="0"/>
          <w:numId w:val="4"/>
        </w:numPr>
        <w:spacing w:after="200" w:line="276" w:lineRule="auto"/>
        <w:jc w:val="both"/>
        <w:rPr>
          <w:rFonts w:ascii="Times New Roman" w:hAnsi="Times New Roman" w:cs="Times New Roman"/>
          <w:color w:val="000000" w:themeColor="text1"/>
        </w:rPr>
      </w:pPr>
      <w:r w:rsidRPr="00164238">
        <w:rPr>
          <w:rFonts w:ascii="Times New Roman" w:hAnsi="Times New Roman" w:cs="Times New Roman"/>
          <w:b/>
          <w:color w:val="000000" w:themeColor="text1"/>
        </w:rPr>
        <w:t>Yeteneğin Keşfi:</w:t>
      </w:r>
      <w:r w:rsidRPr="00164238">
        <w:rPr>
          <w:rFonts w:ascii="Times New Roman" w:hAnsi="Times New Roman" w:cs="Times New Roman"/>
          <w:color w:val="000000" w:themeColor="text1"/>
        </w:rPr>
        <w:t xml:space="preserve"> Evde daha esnek zaman geçiren tüketiciler, tariflerini denedi, yeteneklerini denedi ve müzik çalmanın, bilgi paylaşımının ve çevrimiçi alışveriş yapmanın yaratıcı ve yeni yollarını buldu.  Tüketiciler, bazılarının viral hale gelmesiyle ticari imkânlara sahip üreticiler haline geldi. YouTube ve benzerleri mecralar, yenilik ve ticari başarı potansiyeli olan videolarla doldu. Dolaysısıyla tüketiciler yeteneklerini keşfettiği verimli dönmeden geçmektedir.</w:t>
      </w:r>
    </w:p>
    <w:p w14:paraId="24BF5930" w14:textId="77777777" w:rsidR="00CB6608" w:rsidRPr="00164238" w:rsidRDefault="00CB6608" w:rsidP="00CB6608">
      <w:pPr>
        <w:ind w:left="708"/>
        <w:jc w:val="both"/>
        <w:rPr>
          <w:rFonts w:ascii="Times New Roman" w:hAnsi="Times New Roman" w:cs="Times New Roman"/>
          <w:color w:val="000000" w:themeColor="text1"/>
        </w:rPr>
      </w:pPr>
      <w:r w:rsidRPr="00164238">
        <w:rPr>
          <w:rFonts w:ascii="Times New Roman" w:hAnsi="Times New Roman" w:cs="Times New Roman"/>
          <w:color w:val="000000" w:themeColor="text1"/>
        </w:rPr>
        <w:t>Covid 19 döneminde yaşam ve çalışma şekilleri, zevkleri, tercihleri, mesafeleri, ilişki tarzları değişen tüketicilerin satın alma davranışları da değişikliğe uğramıştır. Zwanka ve Buff (2020: 4-8) yapmış oldukları çalışama da şu tespitlerde bulunmuşlardır:</w:t>
      </w:r>
    </w:p>
    <w:p w14:paraId="5BCD39E9" w14:textId="77777777" w:rsidR="00CB6608" w:rsidRPr="00164238" w:rsidRDefault="00CB6608" w:rsidP="007C3550">
      <w:pPr>
        <w:numPr>
          <w:ilvl w:val="0"/>
          <w:numId w:val="5"/>
        </w:numPr>
        <w:spacing w:after="20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Çin de başlayan virüs salgı ve gelen şüpheli bilgiler sebebiyle ülkeler üretimi milli sınırlar içerisine taşıyarak, başka bir salgın ihtimaline karşı mal üretimini güvenli hale getirmiştir. Mal ve hizmet üretimleri milli hale getirilmiştir.</w:t>
      </w:r>
    </w:p>
    <w:p w14:paraId="6B3397AD" w14:textId="77777777" w:rsidR="00CB6608" w:rsidRPr="00164238" w:rsidRDefault="00CB6608" w:rsidP="007C3550">
      <w:pPr>
        <w:numPr>
          <w:ilvl w:val="0"/>
          <w:numId w:val="5"/>
        </w:numPr>
        <w:spacing w:after="20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Tüketicilerin siparişlerini çevrimiçi olarak verdiği ve stok anlayışının artığı görülmektedir. Bunu sebebi ise yükse temas içeren ve başkalarına yakın olan ürünlerin virüsten etkileneceği düşünülmekte bu sebepten temasız satın alımlar artmaktadır. Nielsen'e göre, yiyeceklerin çevrimiçi alışveriş, muhtemelen pandemiden öncekine göre nüfusun daha yüksek bir yüzdesinde kullanılmaya devam edecektir (Nielsen, </w:t>
      </w:r>
      <w:hyperlink r:id="rId18" w:history="1">
        <w:r w:rsidRPr="00164238">
          <w:rPr>
            <w:rStyle w:val="Balk1Char"/>
            <w:rFonts w:ascii="Times New Roman" w:eastAsiaTheme="minorHAnsi" w:hAnsi="Times New Roman" w:cs="Times New Roman"/>
            <w:color w:val="000000" w:themeColor="text1"/>
          </w:rPr>
          <w:t>2020</w:t>
        </w:r>
      </w:hyperlink>
      <w:r w:rsidRPr="00164238">
        <w:rPr>
          <w:rFonts w:ascii="Times New Roman" w:hAnsi="Times New Roman" w:cs="Times New Roman"/>
          <w:color w:val="000000" w:themeColor="text1"/>
        </w:rPr>
        <w:t xml:space="preserve"> ). Bunun sebebi ise temasın daha az olmasıdır. </w:t>
      </w:r>
    </w:p>
    <w:p w14:paraId="354EC79A" w14:textId="77777777" w:rsidR="00CB6608" w:rsidRPr="00164238" w:rsidRDefault="00CB6608" w:rsidP="007C3550">
      <w:pPr>
        <w:numPr>
          <w:ilvl w:val="0"/>
          <w:numId w:val="5"/>
        </w:numPr>
        <w:spacing w:after="20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Bireylerin iletişim şekilleri de değişikliğe uğramıştır. El sıkışma ve selamlaşma şekillerinin değişmesi, daha küçük ve samimi bir arkadaş çevresinin ve sosyal izolasyonun tercih edilmesi, halka açık alanlarda mikroplara karşı bilincin artması, konser veya spor gibi eğlencelerin  yerine eğlencenin eve kayması, Zoom, WebEx, Skype, FaceTime ve Zoom gibi çevrimiçi platformların kullanımı artması, </w:t>
      </w:r>
      <w:r w:rsidRPr="00164238">
        <w:rPr>
          <w:rFonts w:ascii="Times New Roman" w:hAnsi="Times New Roman" w:cs="Times New Roman"/>
          <w:iCs/>
          <w:color w:val="000000" w:themeColor="text1"/>
        </w:rPr>
        <w:t xml:space="preserve">kişisel veya </w:t>
      </w:r>
      <w:r w:rsidRPr="00164238">
        <w:rPr>
          <w:rFonts w:ascii="Times New Roman" w:hAnsi="Times New Roman" w:cs="Times New Roman"/>
          <w:iCs/>
          <w:color w:val="000000" w:themeColor="text1"/>
        </w:rPr>
        <w:lastRenderedPageBreak/>
        <w:t>ticari nedenlerle bir araya gelmek için uçma gerekliliğinin sorgulanması gibi davranış değişikliklerine neden olmuştur.</w:t>
      </w:r>
    </w:p>
    <w:p w14:paraId="2A4C2D3F" w14:textId="77777777" w:rsidR="00CB6608" w:rsidRPr="00164238" w:rsidRDefault="00CB6608" w:rsidP="007C3550">
      <w:pPr>
        <w:numPr>
          <w:ilvl w:val="0"/>
          <w:numId w:val="5"/>
        </w:numPr>
        <w:spacing w:after="200" w:line="276" w:lineRule="auto"/>
        <w:jc w:val="both"/>
        <w:rPr>
          <w:rFonts w:ascii="Times New Roman" w:hAnsi="Times New Roman" w:cs="Times New Roman"/>
          <w:color w:val="000000" w:themeColor="text1"/>
        </w:rPr>
      </w:pPr>
      <w:r w:rsidRPr="00164238">
        <w:rPr>
          <w:rFonts w:ascii="Times New Roman" w:hAnsi="Times New Roman" w:cs="Times New Roman"/>
          <w:iCs/>
          <w:color w:val="000000" w:themeColor="text1"/>
        </w:rPr>
        <w:t xml:space="preserve">Tüketici sanal gerçeklik deneyimini yaşayarak daha önce ziyaret etmek istediği yerleri sanal gerçeklik yolu ile ziyaret etmiştir. </w:t>
      </w:r>
    </w:p>
    <w:p w14:paraId="47709C9C" w14:textId="77777777" w:rsidR="00CB6608" w:rsidRPr="00164238" w:rsidRDefault="00CB6608" w:rsidP="007C3550">
      <w:pPr>
        <w:numPr>
          <w:ilvl w:val="0"/>
          <w:numId w:val="5"/>
        </w:numPr>
        <w:spacing w:after="200" w:line="276" w:lineRule="auto"/>
        <w:jc w:val="both"/>
        <w:rPr>
          <w:rFonts w:ascii="Times New Roman" w:hAnsi="Times New Roman" w:cs="Times New Roman"/>
          <w:color w:val="000000" w:themeColor="text1"/>
        </w:rPr>
      </w:pPr>
      <w:r w:rsidRPr="00164238">
        <w:rPr>
          <w:rFonts w:ascii="Times New Roman" w:hAnsi="Times New Roman" w:cs="Times New Roman"/>
          <w:iCs/>
          <w:color w:val="000000" w:themeColor="text1"/>
        </w:rPr>
        <w:t xml:space="preserve">Pandemi insanlarda manevi geri dönüşümlerin yaşanmasına neden olmuştur. </w:t>
      </w:r>
    </w:p>
    <w:p w14:paraId="4634D487" w14:textId="77777777" w:rsidR="00CB6608" w:rsidRPr="00164238" w:rsidRDefault="00CB6608" w:rsidP="007C3550">
      <w:pPr>
        <w:numPr>
          <w:ilvl w:val="0"/>
          <w:numId w:val="5"/>
        </w:numPr>
        <w:spacing w:after="20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Bu dönemde ekonominin canlı kalması adına düşük faiz oranları ve farklı vade seçenekleri ile tüketicilere kredi imkânları sunulmuştur.</w:t>
      </w:r>
    </w:p>
    <w:p w14:paraId="73CA204C" w14:textId="77777777" w:rsidR="00CB6608" w:rsidRPr="00164238" w:rsidRDefault="00CB6608" w:rsidP="007C3550">
      <w:pPr>
        <w:numPr>
          <w:ilvl w:val="0"/>
          <w:numId w:val="5"/>
        </w:numPr>
        <w:spacing w:after="20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Sağlık çalışanlarının, öğretmenlerin,  küçük işletme sahiplerinin ve çalışanlarının sosyal statüsü artmıştır.</w:t>
      </w:r>
    </w:p>
    <w:p w14:paraId="2C45FAF9" w14:textId="77777777" w:rsidR="00CB6608" w:rsidRPr="00164238" w:rsidRDefault="00CB6608" w:rsidP="007C3550">
      <w:pPr>
        <w:numPr>
          <w:ilvl w:val="0"/>
          <w:numId w:val="5"/>
        </w:numPr>
        <w:spacing w:after="20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İşini evden yapma imkânı olanlar evden çalışmaya başlamıştır. Bu işveren ve çalışan açısın tercih edilir hale gelmiştir. Çünkü bu zaman ve maliyet tasarrufunu beraberinde getirmiştir. Zaman esnekliği, çalışanlar işini daha iyi yapmasını ve kendilerine vakit ayırma imkânını sağlamıştır.</w:t>
      </w:r>
    </w:p>
    <w:p w14:paraId="13B9E393" w14:textId="77777777" w:rsidR="00CB6608" w:rsidRPr="00E0308F" w:rsidRDefault="00CB6608" w:rsidP="00CB6608">
      <w:pPr>
        <w:ind w:left="708" w:firstLine="360"/>
        <w:jc w:val="both"/>
        <w:rPr>
          <w:rFonts w:ascii="Times New Roman" w:hAnsi="Times New Roman" w:cs="Times New Roman"/>
          <w:color w:val="000000" w:themeColor="text1"/>
        </w:rPr>
      </w:pPr>
      <w:r w:rsidRPr="00E0308F">
        <w:rPr>
          <w:rFonts w:ascii="Times New Roman" w:hAnsi="Times New Roman" w:cs="Times New Roman"/>
          <w:color w:val="000000" w:themeColor="text1"/>
        </w:rPr>
        <w:t>Salgınla birlikte ortaya çıkan diğer bir tüketici davranışı ise panik satın alma davranışıdır. Panik satın alma, “yaklaşan bir kıtlık veya fiyat artışına ilişkin ani korkular nedeniyle belirli bir ürün veya metadan büyük miktarlarda satın alma eylemidir”. Panik satın alma, afetlere karşı yaygın bir tüketici tepkisidir ve genellikle tüketiciler bir felaket veya algılanan bir felaket beklentisinde veya sonrasında olduğunda ortaya çıkar. Panik meydana geldiğinde, sadece küçük bir grup insanı etkiler ve kısa bir süre içinde kaybolur ( </w:t>
      </w:r>
      <w:bookmarkStart w:id="6" w:name="bbib65"/>
      <w:r w:rsidRPr="00E0308F">
        <w:rPr>
          <w:rFonts w:ascii="Times New Roman" w:hAnsi="Times New Roman" w:cs="Times New Roman"/>
          <w:color w:val="000000" w:themeColor="text1"/>
        </w:rPr>
        <w:fldChar w:fldCharType="begin"/>
      </w:r>
      <w:r w:rsidRPr="00E0308F">
        <w:rPr>
          <w:rFonts w:ascii="Times New Roman" w:hAnsi="Times New Roman" w:cs="Times New Roman"/>
          <w:color w:val="000000" w:themeColor="text1"/>
        </w:rPr>
        <w:instrText xml:space="preserve"> HYPERLINK "https://www.sciencedirect.com/science/article/pii/S0969698920313655?casa_token=pac2nSSd8M8AAAAA:6QNMO1MKP_6ut5bnhKZQPMsL2LpceJ_0iaDDcZsvA0cNiegHCqTAIRe7YxHevxIpxdA9rYfnAQ" \l "bib65" </w:instrText>
      </w:r>
      <w:r w:rsidRPr="00E0308F">
        <w:rPr>
          <w:rFonts w:ascii="Times New Roman" w:hAnsi="Times New Roman" w:cs="Times New Roman"/>
          <w:color w:val="000000" w:themeColor="text1"/>
        </w:rPr>
        <w:fldChar w:fldCharType="separate"/>
      </w:r>
      <w:r w:rsidRPr="00E0308F">
        <w:rPr>
          <w:rStyle w:val="Balk1Char"/>
          <w:rFonts w:ascii="Times New Roman" w:eastAsiaTheme="minorHAnsi" w:hAnsi="Times New Roman" w:cs="Times New Roman"/>
          <w:color w:val="000000" w:themeColor="text1"/>
          <w:sz w:val="22"/>
          <w:szCs w:val="22"/>
        </w:rPr>
        <w:t>Perry ve Lindell, 2003</w:t>
      </w:r>
      <w:r w:rsidRPr="00E0308F">
        <w:rPr>
          <w:rFonts w:ascii="Times New Roman" w:hAnsi="Times New Roman" w:cs="Times New Roman"/>
          <w:color w:val="000000" w:themeColor="text1"/>
        </w:rPr>
        <w:fldChar w:fldCharType="end"/>
      </w:r>
      <w:bookmarkEnd w:id="6"/>
      <w:r w:rsidRPr="00E0308F">
        <w:rPr>
          <w:rFonts w:ascii="Times New Roman" w:hAnsi="Times New Roman" w:cs="Times New Roman"/>
          <w:color w:val="000000" w:themeColor="text1"/>
        </w:rPr>
        <w:t> ). Veriler panik satın almanın belirli kategorilerdeki ürünlerin arz kesintisine neden olduğunu gösterse de, iş adamları ve akademisyenler panik satın almanın tek başına arz açığından değil, tüketicilerin artan kaygı ve korkusundan kaynaklandığına işaret ettiler (</w:t>
      </w:r>
      <w:bookmarkStart w:id="7" w:name="bbib77"/>
      <w:r w:rsidRPr="00E0308F">
        <w:rPr>
          <w:rFonts w:ascii="Times New Roman" w:hAnsi="Times New Roman" w:cs="Times New Roman"/>
          <w:color w:val="000000" w:themeColor="text1"/>
        </w:rPr>
        <w:fldChar w:fldCharType="begin"/>
      </w:r>
      <w:r w:rsidRPr="00E0308F">
        <w:rPr>
          <w:rFonts w:ascii="Times New Roman" w:hAnsi="Times New Roman" w:cs="Times New Roman"/>
          <w:color w:val="000000" w:themeColor="text1"/>
        </w:rPr>
        <w:instrText xml:space="preserve"> HYPERLINK "https://www.sciencedirect.com/science/article/pii/S0969698920313655?casa_token=pac2nSSd8M8AAAAA:6QNMO1MKP_6ut5bnhKZQPMsL2LpceJ_0iaDDcZsvA0cNiegHCqTAIRe7YxHevxIpxdA9rYfnAQ" \l "bib77" </w:instrText>
      </w:r>
      <w:r w:rsidRPr="00E0308F">
        <w:rPr>
          <w:rFonts w:ascii="Times New Roman" w:hAnsi="Times New Roman" w:cs="Times New Roman"/>
          <w:color w:val="000000" w:themeColor="text1"/>
        </w:rPr>
        <w:fldChar w:fldCharType="separate"/>
      </w:r>
      <w:r w:rsidRPr="00E0308F">
        <w:rPr>
          <w:rStyle w:val="Balk1Char"/>
          <w:rFonts w:ascii="Times New Roman" w:eastAsiaTheme="minorHAnsi" w:hAnsi="Times New Roman" w:cs="Times New Roman"/>
          <w:color w:val="000000" w:themeColor="text1"/>
          <w:sz w:val="22"/>
          <w:szCs w:val="22"/>
        </w:rPr>
        <w:t>Shou vd., 2013</w:t>
      </w:r>
      <w:r w:rsidRPr="00E0308F">
        <w:rPr>
          <w:rFonts w:ascii="Times New Roman" w:hAnsi="Times New Roman" w:cs="Times New Roman"/>
          <w:color w:val="000000" w:themeColor="text1"/>
        </w:rPr>
        <w:fldChar w:fldCharType="end"/>
      </w:r>
      <w:bookmarkEnd w:id="7"/>
      <w:r w:rsidRPr="00E0308F">
        <w:rPr>
          <w:rFonts w:ascii="Times New Roman" w:hAnsi="Times New Roman" w:cs="Times New Roman"/>
          <w:color w:val="000000" w:themeColor="text1"/>
        </w:rPr>
        <w:t> ; </w:t>
      </w:r>
      <w:bookmarkStart w:id="8" w:name="bbib80"/>
      <w:r w:rsidRPr="00E0308F">
        <w:rPr>
          <w:rFonts w:ascii="Times New Roman" w:hAnsi="Times New Roman" w:cs="Times New Roman"/>
          <w:color w:val="000000" w:themeColor="text1"/>
        </w:rPr>
        <w:fldChar w:fldCharType="begin"/>
      </w:r>
      <w:r w:rsidRPr="00E0308F">
        <w:rPr>
          <w:rFonts w:ascii="Times New Roman" w:hAnsi="Times New Roman" w:cs="Times New Roman"/>
          <w:color w:val="000000" w:themeColor="text1"/>
        </w:rPr>
        <w:instrText xml:space="preserve"> HYPERLINK "https://www.sciencedirect.com/science/article/pii/S0969698920313655?casa_token=pac2nSSd8M8AAAAA:6QNMO1MKP_6ut5bnhKZQPMsL2LpceJ_0iaDDcZsvA0cNiegHCqTAIRe7YxHevxIpxdA9rYfnAQ" \l "bib80" </w:instrText>
      </w:r>
      <w:r w:rsidRPr="00E0308F">
        <w:rPr>
          <w:rFonts w:ascii="Times New Roman" w:hAnsi="Times New Roman" w:cs="Times New Roman"/>
          <w:color w:val="000000" w:themeColor="text1"/>
        </w:rPr>
        <w:fldChar w:fldCharType="separate"/>
      </w:r>
      <w:r w:rsidRPr="00E0308F">
        <w:rPr>
          <w:rStyle w:val="Balk1Char"/>
          <w:rFonts w:ascii="Times New Roman" w:eastAsiaTheme="minorHAnsi" w:hAnsi="Times New Roman" w:cs="Times New Roman"/>
          <w:color w:val="000000" w:themeColor="text1"/>
          <w:sz w:val="22"/>
          <w:szCs w:val="22"/>
        </w:rPr>
        <w:t>Tsao vd., 2019</w:t>
      </w:r>
      <w:r w:rsidRPr="00E0308F">
        <w:rPr>
          <w:rFonts w:ascii="Times New Roman" w:hAnsi="Times New Roman" w:cs="Times New Roman"/>
          <w:color w:val="000000" w:themeColor="text1"/>
        </w:rPr>
        <w:fldChar w:fldCharType="end"/>
      </w:r>
      <w:bookmarkEnd w:id="8"/>
      <w:r w:rsidRPr="00E0308F">
        <w:rPr>
          <w:rFonts w:ascii="Times New Roman" w:hAnsi="Times New Roman" w:cs="Times New Roman"/>
          <w:color w:val="000000" w:themeColor="text1"/>
        </w:rPr>
        <w:t>). Bu kaygı ve korkunun kökeninde, algılanan zaman ve miktar kıtlığına kadar izlenebilir. Bu aynı zamanda kendi kendini gerçekleştiren bir süreçtir: Müşteriler ne kadar dürtüsel ve takıntılı bir şekilde satın alırsa, insanlar kıtlığı o kadar çok endişelendirecek ve ürünler o kadar çabuk tükenecektir. Geçmiş araştırmalar, panik algısının çoğunlukla mal ve hizmet arzının aksamasından kaynaklandığını (doğal afet, salgın ve uzun grevler) </w:t>
      </w:r>
      <w:bookmarkStart w:id="9" w:name="bbib8"/>
      <w:r w:rsidRPr="00E0308F">
        <w:rPr>
          <w:rFonts w:ascii="Times New Roman" w:hAnsi="Times New Roman" w:cs="Times New Roman"/>
          <w:color w:val="000000" w:themeColor="text1"/>
        </w:rPr>
        <w:t>işaret etmiştir</w:t>
      </w:r>
      <w:bookmarkEnd w:id="9"/>
      <w:r w:rsidRPr="00E0308F">
        <w:rPr>
          <w:rFonts w:ascii="Times New Roman" w:hAnsi="Times New Roman" w:cs="Times New Roman"/>
          <w:color w:val="000000" w:themeColor="text1"/>
        </w:rPr>
        <w:t>. Bu durumlar, vatandaşlar arasında zamanın ve ürün azlığı nedeniyle panik veya korku yarattı, bu da dürtüsel ve takıntılı satın alma ile sonuçlanmıştır.</w:t>
      </w:r>
    </w:p>
    <w:p w14:paraId="5D5C2BF5" w14:textId="1B3DFFE4" w:rsidR="00CB6608" w:rsidRDefault="00CB6608" w:rsidP="00CB6608">
      <w:pPr>
        <w:ind w:left="708" w:firstLine="360"/>
        <w:jc w:val="both"/>
        <w:rPr>
          <w:rFonts w:ascii="Times New Roman" w:hAnsi="Times New Roman" w:cs="Times New Roman"/>
          <w:color w:val="000000" w:themeColor="text1"/>
        </w:rPr>
      </w:pPr>
      <w:r w:rsidRPr="00E0308F">
        <w:rPr>
          <w:rFonts w:ascii="Times New Roman" w:hAnsi="Times New Roman" w:cs="Times New Roman"/>
          <w:color w:val="000000" w:themeColor="text1"/>
        </w:rPr>
        <w:t>COVID-19 pandemisi, dünyanın dört bir yanındaki insanlar için kesinlikle korkutucu alışılmadık bir zamandır.  Küresel çapta gerçekleşen kısıtlamalar, sosyal izolasyon ve aylarca süren karantina ile panik satın alma sadece gerekli bir eylem değil, aynı zamanda birçokları için psikolojik bir başa çıkma mekanizması haline geldi. Özellikle, kısıtlamalar altında: marketler mağaza saatlerini kısalttı; uzmanlar, kesinlikle gerekli olmadıkça insanlara alışverişe çıkmamalarını tavsiye etti; mağazalarda sosyal mesafenin korunması zorunlu hale geldi. Tüm bunlar tüketicilerde yüksek düzeyde endişe yarattı. Artan kaygı, tüketicileri ihtiyaç duymadıkları ürünleri satın almaya veya kullanacaklarından çok daha fazlasını satın almaya teşvik etti. Hükümetlerin krizi idare etme konusundaki güvensizliği ve mağazanın tamamen kapanması korkusu da bazı insanları takıntılı bir şekilde satın almaya yöneltmiştir.</w:t>
      </w:r>
    </w:p>
    <w:p w14:paraId="348E9A7B" w14:textId="51F07164" w:rsidR="00E0308F" w:rsidRDefault="00E0308F" w:rsidP="00CB6608">
      <w:pPr>
        <w:ind w:left="708" w:firstLine="360"/>
        <w:jc w:val="both"/>
        <w:rPr>
          <w:rFonts w:ascii="Times New Roman" w:hAnsi="Times New Roman" w:cs="Times New Roman"/>
          <w:color w:val="000000" w:themeColor="text1"/>
        </w:rPr>
      </w:pPr>
    </w:p>
    <w:p w14:paraId="103AE56B" w14:textId="77777777" w:rsidR="00E0308F" w:rsidRPr="00E0308F" w:rsidRDefault="00E0308F" w:rsidP="00CB6608">
      <w:pPr>
        <w:ind w:left="708" w:firstLine="360"/>
        <w:jc w:val="both"/>
        <w:rPr>
          <w:rFonts w:ascii="Times New Roman" w:hAnsi="Times New Roman" w:cs="Times New Roman"/>
          <w:color w:val="000000" w:themeColor="text1"/>
        </w:rPr>
      </w:pPr>
    </w:p>
    <w:p w14:paraId="340F40A1" w14:textId="77777777" w:rsidR="00CB6608" w:rsidRPr="00164238" w:rsidRDefault="00CB6608" w:rsidP="007C3550">
      <w:pPr>
        <w:numPr>
          <w:ilvl w:val="0"/>
          <w:numId w:val="3"/>
        </w:numPr>
        <w:spacing w:after="200" w:line="276" w:lineRule="auto"/>
        <w:jc w:val="both"/>
        <w:rPr>
          <w:rFonts w:ascii="Times New Roman" w:hAnsi="Times New Roman" w:cs="Times New Roman"/>
          <w:b/>
          <w:color w:val="000000" w:themeColor="text1"/>
        </w:rPr>
      </w:pPr>
      <w:r w:rsidRPr="00164238">
        <w:rPr>
          <w:rFonts w:ascii="Times New Roman" w:hAnsi="Times New Roman" w:cs="Times New Roman"/>
          <w:b/>
          <w:color w:val="000000" w:themeColor="text1"/>
        </w:rPr>
        <w:t>Covid 19 Döneminde Marka Davranışları</w:t>
      </w:r>
    </w:p>
    <w:p w14:paraId="482F262C" w14:textId="77777777" w:rsidR="00CB6608" w:rsidRPr="00164238" w:rsidRDefault="00CB6608" w:rsidP="00CB6608">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Covid 19 pandemisi küresel çapta tüm iş, ekonomi, sosyal yaşantı, sağlık, eğitim gibi geniş çapta birçok unsur üzerindeki etkisini, sürdürmekte ve değişimlere neden olmaktadır. Yaşan bu süreçte markalarda tepkisiz kalmadı. Markalar yıllardır duygusal çekiciliğe sahip reklamlar ürettiler. Bunu yapma nedenleri genellikle müşteri örgütlenmesi sağlamak, müşteri ile duygusal ilişki kurmak ve hedef pazarı yakalamak için kullanılmaktaydı. </w:t>
      </w:r>
    </w:p>
    <w:p w14:paraId="53D83CFA" w14:textId="77777777" w:rsidR="00CB6608" w:rsidRPr="00164238" w:rsidRDefault="00CB6608" w:rsidP="00CB6608">
      <w:pPr>
        <w:autoSpaceDE w:val="0"/>
        <w:autoSpaceDN w:val="0"/>
        <w:adjustRightInd w:val="0"/>
        <w:spacing w:after="0" w:line="240" w:lineRule="auto"/>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Covid 19 pandemisi ile birlikte markalar bugüne kadar metalaştırmış oldukları tüm unsurları kullanarak “Bu işte birlikteyiz” mesajını verdiler. Markalar ürünlerini hizmetlerini ve kendilerini yalnızca kar amaçlı kurumlar değil, insana yatırım yapan mecralar olarak güncellemeler yaptılar. Birçok reklam ve marka mesajında, herkesin covid 19 etkilendiği ve bu krizin birleştirici bir güç olduğu “'we are all in this together” mesajı verilmiştir (</w:t>
      </w:r>
      <w:r w:rsidRPr="00164238">
        <w:rPr>
          <w:rFonts w:ascii="Times New Roman" w:hAnsi="Times New Roman" w:cs="Times New Roman"/>
          <w:color w:val="000000" w:themeColor="text1"/>
          <w:shd w:val="clear" w:color="auto" w:fill="FFFFFF"/>
        </w:rPr>
        <w:t xml:space="preserve">Sobande, 2020:  1034). Örneğin; </w:t>
      </w:r>
      <w:r w:rsidRPr="00164238">
        <w:rPr>
          <w:rFonts w:ascii="Times New Roman" w:hAnsi="Times New Roman" w:cs="Times New Roman"/>
          <w:color w:val="000000" w:themeColor="text1"/>
        </w:rPr>
        <w:t>Volkswagen,</w:t>
      </w:r>
    </w:p>
    <w:p w14:paraId="29A8183E" w14:textId="77777777" w:rsidR="00CB6608" w:rsidRPr="00164238" w:rsidRDefault="00CB6608" w:rsidP="00CB6608">
      <w:pPr>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Audi, Hyundai, McDonalds ve Coca-Cola, KFC, Mercedes firmalarının logo ve slogan güncelleyerek sürece destek vermiştir. Slogan ve logoları ile sosyal mesafeye dikkat çekmişler, güncellenen sloganları ile de birlik mesajları vermişlerdir. </w:t>
      </w:r>
      <w:r w:rsidRPr="00164238">
        <w:rPr>
          <w:rFonts w:ascii="Times New Roman" w:hAnsi="Times New Roman" w:cs="Times New Roman"/>
          <w:color w:val="000000" w:themeColor="text1"/>
          <w:shd w:val="clear" w:color="auto" w:fill="FFFFFF"/>
        </w:rPr>
        <w:t>Asda'nın CEO'su Roger'dan : Hepimiz bu birlikteyiz 'videosu ve M&amp;S, Fibit ve Disney Channel UK'nin “Hepimiz bu birlikteyiz” videoları, pandemi sürecinde markaların birlik mesajlarına verilecek sadece birkaç örnektir. </w:t>
      </w:r>
    </w:p>
    <w:p w14:paraId="6CD86B04" w14:textId="77777777" w:rsidR="00CB6608" w:rsidRPr="00164238" w:rsidRDefault="00CB6608" w:rsidP="00CB6608">
      <w:pPr>
        <w:ind w:firstLine="708"/>
        <w:jc w:val="both"/>
        <w:rPr>
          <w:rFonts w:ascii="Times New Roman" w:hAnsi="Times New Roman" w:cs="Times New Roman"/>
          <w:b/>
          <w:color w:val="000000" w:themeColor="text1"/>
        </w:rPr>
      </w:pPr>
      <w:r w:rsidRPr="00164238">
        <w:rPr>
          <w:rFonts w:ascii="Times New Roman" w:hAnsi="Times New Roman" w:cs="Times New Roman"/>
          <w:b/>
          <w:color w:val="000000" w:themeColor="text1"/>
        </w:rPr>
        <w:t>Sonuç</w:t>
      </w:r>
    </w:p>
    <w:p w14:paraId="458E56F0" w14:textId="77777777" w:rsidR="00CB6608" w:rsidRPr="00164238" w:rsidRDefault="00CB6608" w:rsidP="00CB6608">
      <w:pPr>
        <w:ind w:firstLine="708"/>
        <w:jc w:val="both"/>
        <w:rPr>
          <w:rFonts w:ascii="Times New Roman" w:hAnsi="Times New Roman" w:cs="Times New Roman"/>
          <w:b/>
          <w:color w:val="000000" w:themeColor="text1"/>
        </w:rPr>
      </w:pPr>
      <w:r w:rsidRPr="00164238">
        <w:rPr>
          <w:rFonts w:ascii="Times New Roman" w:hAnsi="Times New Roman" w:cs="Times New Roman"/>
          <w:color w:val="000000" w:themeColor="text1"/>
        </w:rPr>
        <w:t>Covid 19 virüsü ile mücadele amacıyla gerçekleştirilen kısıtlamalar, sosyal mesafe tüketici davranışlarını önemli bir şekilde değişime uğratmıştır. Tüketimin tamamı zaman ve mekâna göre gerçekleşmeye başladı. Zaman esnekliği fakat mekân kısıtı nedeni ile tüketiciler yaratıcı ve yenilikçi yollarla ile doğaçlama yapmayı öğrendiler. İnsanlar evde çalışırken, evde ders çalışırken ve evde dinlenirken iş hayatı sınırları bulanıklaştı. Tüketici mağazaya gidemeyeceği için mağaza tüketicinin ayağına gelmeye başladı.</w:t>
      </w:r>
    </w:p>
    <w:p w14:paraId="00AA10FB" w14:textId="77777777" w:rsidR="00CB6608" w:rsidRPr="00164238" w:rsidRDefault="00CB6608" w:rsidP="00CB6608">
      <w:pPr>
        <w:pStyle w:val="TableFigureHeader"/>
        <w:spacing w:before="0" w:after="0"/>
        <w:jc w:val="both"/>
        <w:rPr>
          <w:rFonts w:ascii="Times New Roman" w:hAnsi="Times New Roman" w:cs="Times New Roman"/>
          <w:color w:val="000000" w:themeColor="text1"/>
          <w:sz w:val="22"/>
          <w:szCs w:val="22"/>
        </w:rPr>
      </w:pPr>
    </w:p>
    <w:p w14:paraId="175A0DDB" w14:textId="77777777" w:rsidR="00CB6608" w:rsidRPr="00164238" w:rsidRDefault="00CB6608" w:rsidP="00CB6608">
      <w:pPr>
        <w:pStyle w:val="TableFigureHeader"/>
        <w:spacing w:before="0" w:after="0"/>
        <w:ind w:firstLine="708"/>
        <w:jc w:val="both"/>
        <w:rPr>
          <w:rFonts w:ascii="Times New Roman" w:hAnsi="Times New Roman" w:cs="Times New Roman"/>
          <w:color w:val="000000" w:themeColor="text1"/>
          <w:sz w:val="22"/>
          <w:szCs w:val="22"/>
        </w:rPr>
      </w:pPr>
      <w:r w:rsidRPr="00164238">
        <w:rPr>
          <w:rFonts w:ascii="Times New Roman" w:hAnsi="Times New Roman" w:cs="Times New Roman"/>
          <w:color w:val="000000" w:themeColor="text1"/>
          <w:sz w:val="22"/>
          <w:szCs w:val="22"/>
        </w:rPr>
        <w:t>Tüketiciler, ev hapsine uzun bir süre uyum sağladıkça, çalışmayı, öğrenimi ve tüketimi kolaylaştıran yeni teknolojileri benimsemeye başladı. Dijital teknolojiyi benimsemek, mevcut alışkanlıkları değiştirebilir. Son olarak, kamu politikası, özellikle havalimanları, konserler ve halka açık parklar gibi halka açık yerlerde muhtemelen, yeni tüketim alışkanlıkları geliştirilecektir.</w:t>
      </w:r>
    </w:p>
    <w:p w14:paraId="74D24587" w14:textId="77777777" w:rsidR="00CB6608" w:rsidRPr="00164238" w:rsidRDefault="00CB6608" w:rsidP="00CB6608">
      <w:pPr>
        <w:pStyle w:val="TableFigureHeader"/>
        <w:spacing w:before="0" w:after="0"/>
        <w:jc w:val="both"/>
        <w:rPr>
          <w:rFonts w:ascii="Times New Roman" w:hAnsi="Times New Roman" w:cs="Times New Roman"/>
          <w:color w:val="000000" w:themeColor="text1"/>
          <w:sz w:val="22"/>
          <w:szCs w:val="22"/>
        </w:rPr>
      </w:pPr>
    </w:p>
    <w:p w14:paraId="41C22F83" w14:textId="77777777" w:rsidR="00CB6608" w:rsidRPr="00164238" w:rsidRDefault="00CB6608" w:rsidP="00CB6608">
      <w:pPr>
        <w:pStyle w:val="TableFigureHeader"/>
        <w:spacing w:before="0" w:after="0"/>
        <w:ind w:firstLine="708"/>
        <w:jc w:val="both"/>
        <w:rPr>
          <w:rFonts w:ascii="Times New Roman" w:hAnsi="Times New Roman" w:cs="Times New Roman"/>
          <w:color w:val="000000" w:themeColor="text1"/>
          <w:sz w:val="22"/>
          <w:szCs w:val="22"/>
        </w:rPr>
      </w:pPr>
      <w:r w:rsidRPr="00164238">
        <w:rPr>
          <w:rFonts w:ascii="Times New Roman" w:hAnsi="Times New Roman" w:cs="Times New Roman"/>
          <w:color w:val="000000" w:themeColor="text1"/>
          <w:sz w:val="22"/>
          <w:szCs w:val="22"/>
        </w:rPr>
        <w:t>Zoom video hizmetleri ve çevrimiçi sipariş gibi kullanmayı öğrendikleri teknolojiler hayatlarında önemli değişiklikler getirmedikçe tüketiciler eski alışkanlıklarına geri döneceklerdir. Müşterilerin sanal dünyadaki deneyimleri ve satın alma sonrası hizmetler (müşteri desteği) stratejik yatırımlar olacaktır.</w:t>
      </w:r>
    </w:p>
    <w:p w14:paraId="51A58031" w14:textId="77777777" w:rsidR="00CB6608" w:rsidRPr="00164238" w:rsidRDefault="00CB6608" w:rsidP="00CB6608">
      <w:pPr>
        <w:pStyle w:val="TableFigureHeader"/>
        <w:spacing w:before="0" w:after="0"/>
        <w:jc w:val="both"/>
        <w:rPr>
          <w:rFonts w:ascii="Times New Roman" w:hAnsi="Times New Roman" w:cs="Times New Roman"/>
          <w:color w:val="000000" w:themeColor="text1"/>
          <w:sz w:val="22"/>
          <w:szCs w:val="22"/>
        </w:rPr>
      </w:pPr>
    </w:p>
    <w:p w14:paraId="5533BC34" w14:textId="77777777" w:rsidR="00CB6608" w:rsidRPr="00164238" w:rsidRDefault="00CB6608" w:rsidP="00CB6608">
      <w:pPr>
        <w:pStyle w:val="TableFigureHeader"/>
        <w:spacing w:before="0" w:after="0"/>
        <w:ind w:firstLine="708"/>
        <w:jc w:val="both"/>
        <w:rPr>
          <w:rFonts w:ascii="Times New Roman" w:hAnsi="Times New Roman" w:cs="Times New Roman"/>
          <w:color w:val="000000" w:themeColor="text1"/>
          <w:sz w:val="22"/>
          <w:szCs w:val="22"/>
        </w:rPr>
      </w:pPr>
      <w:r w:rsidRPr="00164238">
        <w:rPr>
          <w:rFonts w:ascii="Times New Roman" w:hAnsi="Times New Roman" w:cs="Times New Roman"/>
          <w:color w:val="000000" w:themeColor="text1"/>
          <w:sz w:val="22"/>
          <w:szCs w:val="22"/>
        </w:rPr>
        <w:t>Çoğu alışkanlığın normale dönmesi beklenmektedir. Bununla birlikte, kısıtlama koşullarında tüketici daha uygun fiyatlı ve erişilebilir bir alternatif bulduğu için bazı alışkanlıkların ölmesi kaçınılmazdır. Örnekler arasında Netflix gibi yayın hizmetleri yer alır. Tüketicileri sinema salonlarına tercih edecekleri muhtemeldir.</w:t>
      </w:r>
    </w:p>
    <w:p w14:paraId="3CC80004" w14:textId="77777777" w:rsidR="00CB6608" w:rsidRPr="00164238" w:rsidRDefault="00CB6608" w:rsidP="00CB6608">
      <w:pPr>
        <w:pStyle w:val="TableFigureHeader"/>
        <w:spacing w:before="0" w:after="0"/>
        <w:jc w:val="both"/>
        <w:rPr>
          <w:rFonts w:ascii="Times New Roman" w:hAnsi="Times New Roman" w:cs="Times New Roman"/>
          <w:color w:val="000000" w:themeColor="text1"/>
          <w:sz w:val="22"/>
          <w:szCs w:val="22"/>
        </w:rPr>
      </w:pPr>
    </w:p>
    <w:p w14:paraId="5FB56D39" w14:textId="77777777" w:rsidR="00CB6608" w:rsidRPr="00164238" w:rsidRDefault="00CB6608" w:rsidP="00CB6608">
      <w:pPr>
        <w:pStyle w:val="TableFigureHeader"/>
        <w:spacing w:before="0" w:after="0"/>
        <w:ind w:firstLine="708"/>
        <w:jc w:val="both"/>
        <w:rPr>
          <w:rFonts w:ascii="Times New Roman" w:hAnsi="Times New Roman" w:cs="Times New Roman"/>
          <w:color w:val="000000" w:themeColor="text1"/>
          <w:sz w:val="22"/>
          <w:szCs w:val="22"/>
        </w:rPr>
      </w:pPr>
      <w:r w:rsidRPr="00164238">
        <w:rPr>
          <w:rFonts w:ascii="Times New Roman" w:hAnsi="Times New Roman" w:cs="Times New Roman"/>
          <w:color w:val="000000" w:themeColor="text1"/>
          <w:sz w:val="22"/>
          <w:szCs w:val="22"/>
        </w:rPr>
        <w:lastRenderedPageBreak/>
        <w:t>Covid 19 nedeniyle tüketiciler evde çalışmayı, evde öğrenmeyi ve evde alışveriş yapmayı daha kolay bulabilir. Kısacası, mevcut alışkanlığa alternatif olan şey artık çekirdek ve mevcut alışkanlık hale gelebilmektedir.</w:t>
      </w:r>
    </w:p>
    <w:p w14:paraId="4E2C0065" w14:textId="77777777" w:rsidR="00CB6608" w:rsidRPr="00164238" w:rsidRDefault="00CB6608" w:rsidP="00CB6608">
      <w:pPr>
        <w:pStyle w:val="TableFigureHeader"/>
        <w:spacing w:before="0" w:after="0"/>
        <w:jc w:val="both"/>
        <w:rPr>
          <w:rFonts w:ascii="Times New Roman" w:hAnsi="Times New Roman" w:cs="Times New Roman"/>
          <w:color w:val="000000" w:themeColor="text1"/>
          <w:sz w:val="22"/>
          <w:szCs w:val="22"/>
        </w:rPr>
      </w:pPr>
    </w:p>
    <w:p w14:paraId="0917F09F" w14:textId="77777777" w:rsidR="00CB6608" w:rsidRPr="00164238" w:rsidRDefault="00CB6608" w:rsidP="00CB6608">
      <w:pPr>
        <w:pStyle w:val="TableFigureHeader"/>
        <w:spacing w:before="0" w:after="0"/>
        <w:ind w:firstLine="708"/>
        <w:jc w:val="both"/>
        <w:rPr>
          <w:rFonts w:ascii="Times New Roman" w:hAnsi="Times New Roman" w:cs="Times New Roman"/>
          <w:color w:val="000000" w:themeColor="text1"/>
          <w:sz w:val="22"/>
          <w:szCs w:val="22"/>
        </w:rPr>
      </w:pPr>
      <w:r w:rsidRPr="00164238">
        <w:rPr>
          <w:rFonts w:ascii="Times New Roman" w:hAnsi="Times New Roman" w:cs="Times New Roman"/>
          <w:color w:val="000000" w:themeColor="text1"/>
          <w:sz w:val="22"/>
          <w:szCs w:val="22"/>
        </w:rPr>
        <w:t>Evrensel bir tüketici davranışı yasası vardır. Var olan bir alışkanlıktan veya bir zorunluluktan vazgeçildiğinde, her zaman bir eğlence veya hobi olarak geri gelir. Örnekler arasında avlanma, balık tutma, bahçe işleri, ekmek pişirme ve yemek pişirme yer alır. Yeni yolları benimseyerek vazgeçilen mevcut alışkanlıkların hobi olarak geri dönecektir. Başka bir deyişle, alışveriş daha çok bir açık hava aktivitesi mi yoksa hobi veya eğlence mi olacak?</w:t>
      </w:r>
    </w:p>
    <w:p w14:paraId="7676B3A3" w14:textId="77777777" w:rsidR="00CB6608" w:rsidRPr="00164238" w:rsidRDefault="00CB6608" w:rsidP="00CB6608">
      <w:pPr>
        <w:pStyle w:val="TableFigureHeader"/>
        <w:spacing w:before="0" w:after="0"/>
        <w:jc w:val="both"/>
        <w:rPr>
          <w:rFonts w:ascii="Times New Roman" w:hAnsi="Times New Roman" w:cs="Times New Roman"/>
          <w:color w:val="000000" w:themeColor="text1"/>
          <w:sz w:val="22"/>
          <w:szCs w:val="22"/>
        </w:rPr>
      </w:pPr>
    </w:p>
    <w:p w14:paraId="42D6770A" w14:textId="77777777" w:rsidR="00CB6608" w:rsidRPr="00164238" w:rsidRDefault="00CB6608" w:rsidP="00CB6608">
      <w:pPr>
        <w:pStyle w:val="TableFigureHeader"/>
        <w:spacing w:before="0" w:after="0"/>
        <w:ind w:firstLine="708"/>
        <w:jc w:val="both"/>
        <w:rPr>
          <w:rFonts w:ascii="Times New Roman" w:hAnsi="Times New Roman" w:cs="Times New Roman"/>
          <w:color w:val="000000" w:themeColor="text1"/>
          <w:sz w:val="22"/>
          <w:szCs w:val="22"/>
        </w:rPr>
      </w:pPr>
      <w:r w:rsidRPr="00164238">
        <w:rPr>
          <w:rFonts w:ascii="Times New Roman" w:hAnsi="Times New Roman" w:cs="Times New Roman"/>
          <w:color w:val="000000" w:themeColor="text1"/>
          <w:sz w:val="22"/>
          <w:szCs w:val="22"/>
        </w:rPr>
        <w:t xml:space="preserve">Yaşanan kısıtlama ve sosyal mesafe yeni araştırma alanları yaratmıştır.  İstifleme, iş-yaşam sınırlarını bulanıklaştırma, bir krizde sosyal medyanın kullanımı üzerine bazı teorik önermeler içeren bu ampirik araştırma alanları, tüketici davranışı disiplinini zenginleştirmek için iyi fırsatlardır. Bu alanlardan biri de doğaçlama ile ilgilidir. Covid-19 krizi bunu büyük bir araştırma fırsatı olarak ortaya çıkardı. Örneğin, dünya genelinde doğaçlamada kültürel farklılıklar var mı? Tüketiciler tarafından kendilerini enfeksiyondan izole etmek için küresel olarak kullanılan farklı teknikler nelerdir? </w:t>
      </w:r>
    </w:p>
    <w:p w14:paraId="38A19A2B" w14:textId="77777777" w:rsidR="00CB6608" w:rsidRPr="00164238" w:rsidRDefault="00CB6608" w:rsidP="00CB6608">
      <w:pPr>
        <w:rPr>
          <w:rFonts w:ascii="Times New Roman" w:hAnsi="Times New Roman" w:cs="Times New Roman"/>
          <w:b/>
          <w:color w:val="000000" w:themeColor="text1"/>
        </w:rPr>
      </w:pPr>
    </w:p>
    <w:p w14:paraId="605F97DB" w14:textId="77777777" w:rsidR="00A40273" w:rsidRDefault="00A40273" w:rsidP="00CB6608">
      <w:pPr>
        <w:rPr>
          <w:rFonts w:ascii="Times New Roman" w:hAnsi="Times New Roman" w:cs="Times New Roman"/>
          <w:b/>
          <w:color w:val="000000" w:themeColor="text1"/>
        </w:rPr>
      </w:pPr>
    </w:p>
    <w:p w14:paraId="2AA42DCD" w14:textId="184A2BD2" w:rsidR="00CB6608" w:rsidRPr="00164238" w:rsidRDefault="00C95516" w:rsidP="00CB6608">
      <w:pPr>
        <w:rPr>
          <w:rFonts w:ascii="Times New Roman" w:hAnsi="Times New Roman" w:cs="Times New Roman"/>
          <w:b/>
          <w:color w:val="000000" w:themeColor="text1"/>
        </w:rPr>
      </w:pPr>
      <w:r>
        <w:rPr>
          <w:rFonts w:ascii="Times New Roman" w:hAnsi="Times New Roman" w:cs="Times New Roman"/>
          <w:b/>
          <w:color w:val="000000" w:themeColor="text1"/>
        </w:rPr>
        <w:t>Kaynakça</w:t>
      </w:r>
    </w:p>
    <w:p w14:paraId="777DE491" w14:textId="77777777" w:rsidR="00CB6608" w:rsidRPr="00164238" w:rsidRDefault="00CB6608" w:rsidP="00CB6608">
      <w:pPr>
        <w:jc w:val="both"/>
        <w:rPr>
          <w:rFonts w:ascii="Times New Roman" w:hAnsi="Times New Roman" w:cs="Times New Roman"/>
          <w:color w:val="000000" w:themeColor="text1"/>
        </w:rPr>
      </w:pPr>
      <w:r w:rsidRPr="00164238">
        <w:rPr>
          <w:rFonts w:ascii="Times New Roman" w:hAnsi="Times New Roman" w:cs="Times New Roman"/>
          <w:color w:val="000000" w:themeColor="text1"/>
        </w:rPr>
        <w:t>Arıkan, R. ve Odabaşı, Y. (1996). “Tüketici Davranışları ve Tüketici Bilinci”, Anadolu Üniversitesi Web-Ofset Tesisleri.</w:t>
      </w:r>
    </w:p>
    <w:p w14:paraId="33B67960" w14:textId="77777777" w:rsidR="00CB6608" w:rsidRPr="00164238" w:rsidRDefault="00CB6608" w:rsidP="00CB6608">
      <w:pPr>
        <w:jc w:val="both"/>
        <w:rPr>
          <w:rFonts w:ascii="Times New Roman" w:hAnsi="Times New Roman" w:cs="Times New Roman"/>
          <w:color w:val="000000" w:themeColor="text1"/>
        </w:rPr>
      </w:pPr>
      <w:r w:rsidRPr="00164238">
        <w:rPr>
          <w:rFonts w:ascii="Times New Roman" w:hAnsi="Times New Roman" w:cs="Times New Roman"/>
          <w:color w:val="000000" w:themeColor="text1"/>
        </w:rPr>
        <w:t>Hoyer, W. &amp; Maclnnis, D. (2010). Consumer Behavior. South-Western Cengage Learning.</w:t>
      </w:r>
    </w:p>
    <w:p w14:paraId="7A5B2486" w14:textId="77777777" w:rsidR="00CB6608" w:rsidRPr="00164238" w:rsidRDefault="00CB6608" w:rsidP="00CB6608">
      <w:pPr>
        <w:jc w:val="both"/>
        <w:rPr>
          <w:rFonts w:ascii="Times New Roman" w:hAnsi="Times New Roman" w:cs="Times New Roman"/>
          <w:color w:val="000000" w:themeColor="text1"/>
        </w:rPr>
      </w:pPr>
      <w:r w:rsidRPr="00164238">
        <w:rPr>
          <w:rFonts w:ascii="Times New Roman" w:hAnsi="Times New Roman" w:cs="Times New Roman"/>
          <w:color w:val="000000" w:themeColor="text1"/>
        </w:rPr>
        <w:t>İslamoğlu, A. Hamdi ve Remzi Altunışık (2013). Tüketici Davranışları, Beta Basım Yayım, İstanbul.</w:t>
      </w:r>
    </w:p>
    <w:p w14:paraId="159521EB" w14:textId="77777777" w:rsidR="00CB6608" w:rsidRPr="00164238" w:rsidRDefault="00CB6608" w:rsidP="00CB6608">
      <w:pPr>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Kayabaşı, T. Ehlinaz (2020). Covıd-19’un Piyasalara Ve Tüketici Davranışlarına Etkisi. Avrasya Sosyal ve Ekonomi Araştırmaları Dergisi, 7(5), 15-25. </w:t>
      </w:r>
    </w:p>
    <w:p w14:paraId="1542E3F4" w14:textId="77777777" w:rsidR="00CB6608" w:rsidRPr="00164238" w:rsidRDefault="00CB6608" w:rsidP="00CB6608">
      <w:pPr>
        <w:jc w:val="both"/>
        <w:rPr>
          <w:rFonts w:ascii="Times New Roman" w:hAnsi="Times New Roman" w:cs="Times New Roman"/>
          <w:color w:val="000000" w:themeColor="text1"/>
        </w:rPr>
      </w:pPr>
      <w:r w:rsidRPr="00164238">
        <w:rPr>
          <w:rFonts w:ascii="Times New Roman" w:hAnsi="Times New Roman" w:cs="Times New Roman"/>
          <w:color w:val="000000" w:themeColor="text1"/>
        </w:rPr>
        <w:t>Konuk, O. (1991). Kültür Değişmesi ve Televizyon. İnönü Üniversitesi, Yayımlanmış Doktora Tezi.</w:t>
      </w:r>
    </w:p>
    <w:p w14:paraId="422FC83B" w14:textId="77777777" w:rsidR="00CB6608" w:rsidRPr="00164238" w:rsidRDefault="00CB6608" w:rsidP="00CB6608">
      <w:pPr>
        <w:jc w:val="both"/>
        <w:rPr>
          <w:rFonts w:ascii="Times New Roman" w:hAnsi="Times New Roman" w:cs="Times New Roman"/>
          <w:color w:val="000000" w:themeColor="text1"/>
        </w:rPr>
      </w:pPr>
      <w:r w:rsidRPr="00164238">
        <w:rPr>
          <w:rFonts w:ascii="Times New Roman" w:hAnsi="Times New Roman" w:cs="Times New Roman"/>
          <w:color w:val="000000" w:themeColor="text1"/>
        </w:rPr>
        <w:t>Mucuk, İ.(2004). Pazarlama İlkeleri. İstanbul: Türkmen Kitapevi.</w:t>
      </w:r>
    </w:p>
    <w:p w14:paraId="3E2148F0" w14:textId="77777777" w:rsidR="00CB6608" w:rsidRPr="00164238" w:rsidRDefault="00CB6608" w:rsidP="00CB6608">
      <w:pPr>
        <w:jc w:val="both"/>
        <w:rPr>
          <w:rFonts w:ascii="Times New Roman" w:hAnsi="Times New Roman" w:cs="Times New Roman"/>
          <w:color w:val="000000" w:themeColor="text1"/>
        </w:rPr>
      </w:pPr>
      <w:r w:rsidRPr="00164238">
        <w:rPr>
          <w:rFonts w:ascii="Times New Roman" w:eastAsia="Times New Roman" w:hAnsi="Times New Roman" w:cs="Times New Roman"/>
          <w:color w:val="000000" w:themeColor="text1"/>
          <w:lang w:eastAsia="tr-TR"/>
        </w:rPr>
        <w:t>Nielsen. (2020). Key consumer behavior thresholds identified as the coronavirus outbreak evolves. </w:t>
      </w:r>
      <w:hyperlink r:id="rId19" w:tgtFrame="_blank" w:history="1">
        <w:r w:rsidRPr="00164238">
          <w:rPr>
            <w:rFonts w:ascii="Times New Roman" w:eastAsia="Times New Roman" w:hAnsi="Times New Roman" w:cs="Times New Roman"/>
            <w:color w:val="000000" w:themeColor="text1"/>
            <w:lang w:eastAsia="tr-TR"/>
          </w:rPr>
          <w:t>https://www.nielsen.com/us/en/insights/article/2020/key-consumer-behavior-thresholds-identified-as-the-coronavirus-outbreak-evolves/?utm_source=sfmc&amp;utm_medium=email&amp;utm_campaign=newswire&amp;utm_content=3-18-2020</w:t>
        </w:r>
      </w:hyperlink>
      <w:r w:rsidRPr="00164238">
        <w:rPr>
          <w:rFonts w:ascii="Times New Roman" w:eastAsia="Times New Roman" w:hAnsi="Times New Roman" w:cs="Times New Roman"/>
          <w:color w:val="000000" w:themeColor="text1"/>
          <w:lang w:eastAsia="tr-TR"/>
        </w:rPr>
        <w:t> </w:t>
      </w:r>
      <w:hyperlink r:id="rId20" w:tgtFrame="_blank" w:history="1">
        <w:r w:rsidRPr="00164238">
          <w:rPr>
            <w:rFonts w:ascii="Times New Roman" w:eastAsia="Times New Roman" w:hAnsi="Times New Roman" w:cs="Times New Roman"/>
            <w:color w:val="000000" w:themeColor="text1"/>
            <w:lang w:eastAsia="tr-TR"/>
          </w:rPr>
          <w:t>[Google Scholar]</w:t>
        </w:r>
      </w:hyperlink>
    </w:p>
    <w:p w14:paraId="1DF8004C" w14:textId="77777777" w:rsidR="00CB6608" w:rsidRPr="00164238" w:rsidRDefault="00CB6608" w:rsidP="00CB6608">
      <w:pPr>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Odabaşı, Y. ve Barış, G. (2004). Tüketici Davranışları. Mediacat, İstanbul. </w:t>
      </w:r>
    </w:p>
    <w:p w14:paraId="4E3026AB" w14:textId="77777777" w:rsidR="00CB6608" w:rsidRPr="00164238" w:rsidRDefault="00CB6608" w:rsidP="00CB6608">
      <w:pPr>
        <w:rPr>
          <w:rFonts w:ascii="Times New Roman" w:hAnsi="Times New Roman" w:cs="Times New Roman"/>
          <w:color w:val="000000" w:themeColor="text1"/>
        </w:rPr>
      </w:pPr>
      <w:r w:rsidRPr="00164238">
        <w:rPr>
          <w:rFonts w:ascii="Times New Roman" w:hAnsi="Times New Roman" w:cs="Times New Roman"/>
          <w:color w:val="000000" w:themeColor="text1"/>
        </w:rPr>
        <w:t>Özmen, M., Uzkurt, C., Özdemir, Ş., Altunışık, R. ve Torlak, Ö. (2019). Pazarlama İlkeleri, Anadolu Üniversitesi Açık Öğretim Fakültesi Yayınları, Eskişehir.</w:t>
      </w:r>
    </w:p>
    <w:p w14:paraId="28485DC4" w14:textId="77777777" w:rsidR="00CB6608" w:rsidRPr="00164238" w:rsidRDefault="00CB6608" w:rsidP="00CB6608">
      <w:pPr>
        <w:jc w:val="both"/>
        <w:rPr>
          <w:rFonts w:ascii="Times New Roman" w:hAnsi="Times New Roman" w:cs="Times New Roman"/>
          <w:color w:val="000000" w:themeColor="text1"/>
        </w:rPr>
      </w:pPr>
      <w:r w:rsidRPr="00164238">
        <w:rPr>
          <w:rFonts w:ascii="Times New Roman" w:hAnsi="Times New Roman" w:cs="Times New Roman"/>
          <w:color w:val="000000" w:themeColor="text1"/>
        </w:rPr>
        <w:t>Penpece, D. (2006). “Tüketici Davranışlarını Belirleyen Etmenler: Kültürün Tüketici Davranışları Üzerindeki Etkisi”, Yüksek Lisan Tezi, Kahraman Maraş Sütçü İmam Üniversitesi.</w:t>
      </w:r>
    </w:p>
    <w:p w14:paraId="7B41F467" w14:textId="77777777" w:rsidR="00CB6608" w:rsidRPr="00164238" w:rsidRDefault="00CB6608" w:rsidP="00CB6608">
      <w:pPr>
        <w:jc w:val="both"/>
        <w:rPr>
          <w:rFonts w:ascii="Times New Roman" w:hAnsi="Times New Roman" w:cs="Times New Roman"/>
          <w:b/>
          <w:color w:val="000000" w:themeColor="text1"/>
        </w:rPr>
      </w:pPr>
      <w:r w:rsidRPr="00164238">
        <w:rPr>
          <w:rFonts w:ascii="Times New Roman" w:hAnsi="Times New Roman" w:cs="Times New Roman"/>
          <w:color w:val="000000" w:themeColor="text1"/>
        </w:rPr>
        <w:t>Perry, R.W.  &amp; Lindell M.K.  (2003)</w:t>
      </w:r>
      <w:r w:rsidRPr="00164238">
        <w:rPr>
          <w:rFonts w:ascii="Times New Roman" w:hAnsi="Times New Roman" w:cs="Times New Roman"/>
          <w:b/>
          <w:color w:val="000000" w:themeColor="text1"/>
        </w:rPr>
        <w:t xml:space="preserve">. </w:t>
      </w:r>
      <w:r w:rsidRPr="00164238">
        <w:rPr>
          <w:rStyle w:val="DipnotBavurusu"/>
          <w:rFonts w:ascii="Times New Roman" w:hAnsi="Times New Roman" w:cs="Times New Roman"/>
          <w:color w:val="000000" w:themeColor="text1"/>
        </w:rPr>
        <w:t>Understanding Citizen Response To Disasters With İmplications For Terrorism</w:t>
      </w:r>
      <w:r w:rsidRPr="00164238">
        <w:rPr>
          <w:rFonts w:ascii="Times New Roman" w:hAnsi="Times New Roman" w:cs="Times New Roman"/>
          <w:b/>
          <w:color w:val="000000" w:themeColor="text1"/>
        </w:rPr>
        <w:t xml:space="preserve"> ,</w:t>
      </w:r>
      <w:r w:rsidRPr="00164238">
        <w:rPr>
          <w:rFonts w:ascii="Times New Roman" w:hAnsi="Times New Roman" w:cs="Times New Roman"/>
          <w:color w:val="000000" w:themeColor="text1"/>
        </w:rPr>
        <w:t xml:space="preserve"> J. Contingencies Crisis Manag., 11 , pp. 49-60.</w:t>
      </w:r>
      <w:r w:rsidRPr="00164238">
        <w:rPr>
          <w:rFonts w:ascii="Times New Roman" w:hAnsi="Times New Roman" w:cs="Times New Roman"/>
          <w:b/>
          <w:color w:val="000000" w:themeColor="text1"/>
        </w:rPr>
        <w:t xml:space="preserve"> </w:t>
      </w:r>
    </w:p>
    <w:bookmarkStart w:id="10" w:name="bau005"/>
    <w:p w14:paraId="2C4A0935" w14:textId="77777777" w:rsidR="00CB6608" w:rsidRPr="00164238" w:rsidRDefault="00CB6608" w:rsidP="00CB6608">
      <w:pPr>
        <w:jc w:val="both"/>
        <w:rPr>
          <w:rFonts w:ascii="Times New Roman" w:hAnsi="Times New Roman" w:cs="Times New Roman"/>
          <w:color w:val="000000" w:themeColor="text1"/>
        </w:rPr>
      </w:pPr>
      <w:r w:rsidRPr="00164238">
        <w:rPr>
          <w:rFonts w:ascii="Times New Roman" w:hAnsi="Times New Roman" w:cs="Times New Roman"/>
          <w:color w:val="000000" w:themeColor="text1"/>
        </w:rPr>
        <w:lastRenderedPageBreak/>
        <w:fldChar w:fldCharType="begin"/>
      </w:r>
      <w:r w:rsidRPr="00164238">
        <w:rPr>
          <w:rFonts w:ascii="Times New Roman" w:hAnsi="Times New Roman" w:cs="Times New Roman"/>
          <w:color w:val="000000" w:themeColor="text1"/>
        </w:rPr>
        <w:instrText xml:space="preserve"> HYPERLINK "https://www.sciencedirect.com/science/article/pii/S0148296320303647?casa_token=RT2My_nnr0IAAAAA:wuDqub4pLxi5uGpkQFOMlAHCS_NqmmeG55DQDmTK8VLo-RRr8hIEqzRqwGjVE57FBmnEoR4zAg" \l "!" </w:instrText>
      </w:r>
      <w:r w:rsidRPr="00164238">
        <w:rPr>
          <w:rFonts w:ascii="Times New Roman" w:hAnsi="Times New Roman" w:cs="Times New Roman"/>
          <w:color w:val="000000" w:themeColor="text1"/>
        </w:rPr>
        <w:fldChar w:fldCharType="separate"/>
      </w:r>
      <w:r w:rsidRPr="00164238">
        <w:rPr>
          <w:rStyle w:val="DipnotMetniChar"/>
          <w:rFonts w:ascii="Times New Roman" w:hAnsi="Times New Roman" w:cs="Times New Roman"/>
          <w:color w:val="000000" w:themeColor="text1"/>
        </w:rPr>
        <w:t>Sheth</w:t>
      </w:r>
      <w:r w:rsidRPr="00164238">
        <w:rPr>
          <w:rFonts w:ascii="Times New Roman" w:hAnsi="Times New Roman" w:cs="Times New Roman"/>
          <w:color w:val="000000" w:themeColor="text1"/>
        </w:rPr>
        <w:fldChar w:fldCharType="end"/>
      </w:r>
      <w:bookmarkEnd w:id="10"/>
      <w:r w:rsidRPr="00164238">
        <w:rPr>
          <w:rFonts w:ascii="Times New Roman" w:hAnsi="Times New Roman" w:cs="Times New Roman"/>
          <w:color w:val="000000" w:themeColor="text1"/>
        </w:rPr>
        <w:t>, Jagdish (2020). Impact Of Covid-19 On Consumer Behavior: Will the old habits return or die?, Journal of Business Research, 117, 280-283.</w:t>
      </w:r>
    </w:p>
    <w:p w14:paraId="2F4FFE69" w14:textId="77777777" w:rsidR="00CB6608" w:rsidRPr="00164238" w:rsidRDefault="00CB6608" w:rsidP="00CB6608">
      <w:pPr>
        <w:spacing w:after="0" w:line="240" w:lineRule="auto"/>
        <w:jc w:val="both"/>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 xml:space="preserve">Shou, B.,  Xiong,  H. &amp;  Shen, Z.M. (2013).  </w:t>
      </w:r>
      <w:r w:rsidRPr="00164238">
        <w:rPr>
          <w:rFonts w:ascii="Times New Roman" w:eastAsia="Times New Roman" w:hAnsi="Times New Roman" w:cs="Times New Roman"/>
          <w:bCs/>
          <w:color w:val="000000" w:themeColor="text1"/>
          <w:lang w:eastAsia="tr-TR"/>
        </w:rPr>
        <w:t>Consumer Panic Buying And Quota Policy Under Supply Disruptions</w:t>
      </w:r>
      <w:r w:rsidRPr="00164238">
        <w:rPr>
          <w:rFonts w:ascii="Times New Roman" w:eastAsia="Times New Roman" w:hAnsi="Times New Roman" w:cs="Times New Roman"/>
          <w:color w:val="000000" w:themeColor="text1"/>
          <w:lang w:eastAsia="tr-TR"/>
        </w:rPr>
        <w:t xml:space="preserve"> Manuf. Serv. Oper. Manag., 1–29.</w:t>
      </w:r>
    </w:p>
    <w:p w14:paraId="2ADFD8EA" w14:textId="77777777" w:rsidR="00CB6608" w:rsidRPr="00164238" w:rsidRDefault="00CB6608" w:rsidP="00CB6608">
      <w:pPr>
        <w:spacing w:before="100" w:beforeAutospacing="1" w:after="100" w:afterAutospacing="1" w:line="240" w:lineRule="auto"/>
        <w:jc w:val="both"/>
        <w:rPr>
          <w:rFonts w:ascii="Times New Roman" w:hAnsi="Times New Roman" w:cs="Times New Roman"/>
          <w:b/>
          <w:bCs/>
          <w:color w:val="000000" w:themeColor="text1"/>
        </w:rPr>
      </w:pPr>
      <w:r w:rsidRPr="00164238">
        <w:rPr>
          <w:rFonts w:ascii="Times New Roman" w:hAnsi="Times New Roman" w:cs="Times New Roman"/>
          <w:color w:val="000000" w:themeColor="text1"/>
          <w:shd w:val="clear" w:color="auto" w:fill="FFFFFF"/>
        </w:rPr>
        <w:t>Sobande F. (2020).  ‘We’re all in this together’: Commodified Notions Of Connection, Care And Community İn Brand Responses To COVID-19. </w:t>
      </w:r>
      <w:r w:rsidRPr="00164238">
        <w:rPr>
          <w:rFonts w:ascii="Times New Roman" w:hAnsi="Times New Roman" w:cs="Times New Roman"/>
          <w:i/>
          <w:iCs/>
          <w:color w:val="000000" w:themeColor="text1"/>
          <w:shd w:val="clear" w:color="auto" w:fill="FFFFFF"/>
        </w:rPr>
        <w:t>European Journal of Cultural Studies</w:t>
      </w:r>
      <w:r w:rsidRPr="00164238">
        <w:rPr>
          <w:rFonts w:ascii="Times New Roman" w:hAnsi="Times New Roman" w:cs="Times New Roman"/>
          <w:color w:val="000000" w:themeColor="text1"/>
          <w:shd w:val="clear" w:color="auto" w:fill="FFFFFF"/>
        </w:rPr>
        <w:t>, 23(6):1033-1037.</w:t>
      </w:r>
    </w:p>
    <w:p w14:paraId="68914985" w14:textId="77777777" w:rsidR="00CB6608" w:rsidRPr="00164238" w:rsidRDefault="00CB6608" w:rsidP="00CB6608">
      <w:pPr>
        <w:jc w:val="both"/>
        <w:rPr>
          <w:rFonts w:ascii="Times New Roman" w:hAnsi="Times New Roman" w:cs="Times New Roman"/>
          <w:color w:val="000000" w:themeColor="text1"/>
        </w:rPr>
      </w:pPr>
      <w:r w:rsidRPr="00164238">
        <w:rPr>
          <w:rFonts w:ascii="Times New Roman" w:hAnsi="Times New Roman" w:cs="Times New Roman"/>
          <w:color w:val="000000" w:themeColor="text1"/>
        </w:rPr>
        <w:t>Y.C. Tsao, P.V.R.P &amp; Raj, V. Yu ( 2019).</w:t>
      </w:r>
      <w:r w:rsidRPr="00164238">
        <w:rPr>
          <w:rFonts w:ascii="Times New Roman" w:hAnsi="Times New Roman" w:cs="Times New Roman"/>
          <w:b/>
          <w:color w:val="000000" w:themeColor="text1"/>
        </w:rPr>
        <w:t xml:space="preserve">  </w:t>
      </w:r>
      <w:r w:rsidRPr="00164238">
        <w:rPr>
          <w:rStyle w:val="DipnotBavurusu"/>
          <w:rFonts w:ascii="Times New Roman" w:hAnsi="Times New Roman" w:cs="Times New Roman"/>
          <w:color w:val="000000" w:themeColor="text1"/>
        </w:rPr>
        <w:t>Product Substitution İn Different Weights And Brands Considering Customer Segmentation And Panic Buying Behavior</w:t>
      </w:r>
      <w:r w:rsidRPr="00164238">
        <w:rPr>
          <w:rFonts w:ascii="Times New Roman" w:hAnsi="Times New Roman" w:cs="Times New Roman"/>
          <w:color w:val="000000" w:themeColor="text1"/>
        </w:rPr>
        <w:t>, Ind. Market. Manag., 77 , pp. 209-220.</w:t>
      </w:r>
    </w:p>
    <w:p w14:paraId="5305AAD2" w14:textId="4F66CAD1" w:rsidR="004F1A30" w:rsidRPr="00164238" w:rsidRDefault="00CB6608" w:rsidP="004F1A30">
      <w:pPr>
        <w:jc w:val="both"/>
        <w:rPr>
          <w:rFonts w:ascii="Times New Roman" w:hAnsi="Times New Roman" w:cs="Times New Roman"/>
          <w:color w:val="000000" w:themeColor="text1"/>
        </w:rPr>
      </w:pPr>
      <w:r w:rsidRPr="00164238">
        <w:rPr>
          <w:rFonts w:ascii="Times New Roman" w:hAnsi="Times New Roman" w:cs="Times New Roman"/>
          <w:color w:val="000000" w:themeColor="text1"/>
        </w:rPr>
        <w:t>Zwanka, R. &amp; Buff, C. (2020). COVID-19 Generation: A Conceptual Framework of the Consumer Behavioral Shifts to Be Caused by the COVID-19 Pandemic. Journal of International Consumer Marketing 32, 1-10.</w:t>
      </w:r>
    </w:p>
    <w:p w14:paraId="08CC3779" w14:textId="0EF4EBF1" w:rsidR="00E0308F" w:rsidRDefault="00E0308F" w:rsidP="00E0308F">
      <w:pPr>
        <w:rPr>
          <w:lang w:eastAsia="tr-TR"/>
        </w:rPr>
      </w:pPr>
    </w:p>
    <w:p w14:paraId="650C3CEA" w14:textId="70D4DBB7" w:rsidR="00E0308F" w:rsidRDefault="00E0308F" w:rsidP="00E0308F">
      <w:pPr>
        <w:rPr>
          <w:lang w:eastAsia="tr-TR"/>
        </w:rPr>
      </w:pPr>
    </w:p>
    <w:p w14:paraId="30FDEFEC" w14:textId="2C636B76" w:rsidR="00E0308F" w:rsidRDefault="00E0308F" w:rsidP="00E0308F">
      <w:pPr>
        <w:rPr>
          <w:lang w:eastAsia="tr-TR"/>
        </w:rPr>
      </w:pPr>
    </w:p>
    <w:p w14:paraId="7D1E4BFB" w14:textId="189BB21E" w:rsidR="00E0308F" w:rsidRDefault="00E0308F" w:rsidP="00E0308F">
      <w:pPr>
        <w:rPr>
          <w:lang w:eastAsia="tr-TR"/>
        </w:rPr>
      </w:pPr>
    </w:p>
    <w:p w14:paraId="280CE31F" w14:textId="308F4786" w:rsidR="00E0308F" w:rsidRDefault="00E0308F" w:rsidP="00E0308F">
      <w:pPr>
        <w:rPr>
          <w:lang w:eastAsia="tr-TR"/>
        </w:rPr>
      </w:pPr>
    </w:p>
    <w:p w14:paraId="03B7A870" w14:textId="7B8F4624" w:rsidR="00E0308F" w:rsidRDefault="00E0308F" w:rsidP="00E0308F">
      <w:pPr>
        <w:rPr>
          <w:lang w:eastAsia="tr-TR"/>
        </w:rPr>
      </w:pPr>
    </w:p>
    <w:p w14:paraId="4282C651" w14:textId="2CE8131F" w:rsidR="00E0308F" w:rsidRDefault="00E0308F" w:rsidP="00E0308F">
      <w:pPr>
        <w:rPr>
          <w:lang w:eastAsia="tr-TR"/>
        </w:rPr>
      </w:pPr>
    </w:p>
    <w:p w14:paraId="5E3260B4" w14:textId="16E80147" w:rsidR="00E0308F" w:rsidRDefault="00E0308F" w:rsidP="00E0308F">
      <w:pPr>
        <w:rPr>
          <w:lang w:eastAsia="tr-TR"/>
        </w:rPr>
      </w:pPr>
    </w:p>
    <w:p w14:paraId="5D85BF22" w14:textId="2B4FEE49" w:rsidR="00E0308F" w:rsidRDefault="00E0308F" w:rsidP="00E0308F">
      <w:pPr>
        <w:rPr>
          <w:lang w:eastAsia="tr-TR"/>
        </w:rPr>
      </w:pPr>
    </w:p>
    <w:p w14:paraId="34753B1D" w14:textId="5E4D09B8" w:rsidR="00E0308F" w:rsidRDefault="00E0308F" w:rsidP="00E0308F">
      <w:pPr>
        <w:rPr>
          <w:lang w:eastAsia="tr-TR"/>
        </w:rPr>
      </w:pPr>
    </w:p>
    <w:p w14:paraId="4C7ACE88" w14:textId="20A602B1" w:rsidR="00E0308F" w:rsidRDefault="00E0308F" w:rsidP="00E0308F">
      <w:pPr>
        <w:rPr>
          <w:lang w:eastAsia="tr-TR"/>
        </w:rPr>
      </w:pPr>
    </w:p>
    <w:p w14:paraId="1BC2163F" w14:textId="130BF722" w:rsidR="00E0308F" w:rsidRDefault="00E0308F" w:rsidP="00E0308F">
      <w:pPr>
        <w:rPr>
          <w:lang w:eastAsia="tr-TR"/>
        </w:rPr>
      </w:pPr>
    </w:p>
    <w:p w14:paraId="4D1489D3" w14:textId="68110913" w:rsidR="00E0308F" w:rsidRDefault="00E0308F" w:rsidP="00E0308F">
      <w:pPr>
        <w:rPr>
          <w:lang w:eastAsia="tr-TR"/>
        </w:rPr>
      </w:pPr>
    </w:p>
    <w:p w14:paraId="70960E5E" w14:textId="4F0D936A" w:rsidR="00E0308F" w:rsidRDefault="00E0308F" w:rsidP="00E0308F">
      <w:pPr>
        <w:rPr>
          <w:lang w:eastAsia="tr-TR"/>
        </w:rPr>
      </w:pPr>
    </w:p>
    <w:p w14:paraId="56DD2F56" w14:textId="0AFB37BB" w:rsidR="00E0308F" w:rsidRDefault="00E0308F" w:rsidP="00E0308F">
      <w:pPr>
        <w:rPr>
          <w:lang w:eastAsia="tr-TR"/>
        </w:rPr>
      </w:pPr>
    </w:p>
    <w:p w14:paraId="6295BA7A" w14:textId="17625421" w:rsidR="00E0308F" w:rsidRDefault="00E0308F" w:rsidP="00E0308F">
      <w:pPr>
        <w:rPr>
          <w:lang w:eastAsia="tr-TR"/>
        </w:rPr>
      </w:pPr>
    </w:p>
    <w:p w14:paraId="32422651" w14:textId="6B8637A4" w:rsidR="00E0308F" w:rsidRDefault="00E0308F" w:rsidP="00E0308F">
      <w:pPr>
        <w:rPr>
          <w:lang w:eastAsia="tr-TR"/>
        </w:rPr>
      </w:pPr>
    </w:p>
    <w:p w14:paraId="171185B8" w14:textId="518BCE86" w:rsidR="00E0308F" w:rsidRDefault="00E0308F" w:rsidP="00E0308F">
      <w:pPr>
        <w:rPr>
          <w:lang w:eastAsia="tr-TR"/>
        </w:rPr>
      </w:pPr>
    </w:p>
    <w:p w14:paraId="7B7ED35A" w14:textId="7969F5E3" w:rsidR="00E0308F" w:rsidRDefault="00E0308F" w:rsidP="00E0308F">
      <w:pPr>
        <w:rPr>
          <w:lang w:eastAsia="tr-TR"/>
        </w:rPr>
      </w:pPr>
    </w:p>
    <w:p w14:paraId="10961A84" w14:textId="77777777" w:rsidR="00E0308F" w:rsidRPr="00E0308F" w:rsidRDefault="00E0308F" w:rsidP="00E0308F">
      <w:pPr>
        <w:rPr>
          <w:lang w:eastAsia="tr-TR"/>
        </w:rPr>
      </w:pPr>
    </w:p>
    <w:p w14:paraId="07EB58BB" w14:textId="5F811D3D" w:rsidR="00CB6608" w:rsidRPr="00164238" w:rsidRDefault="00E0308F" w:rsidP="00AA2A62">
      <w:pPr>
        <w:pStyle w:val="Balk1"/>
        <w:rPr>
          <w:rFonts w:ascii="Times New Roman" w:hAnsi="Times New Roman" w:cs="Times New Roman"/>
          <w:color w:val="000000" w:themeColor="text1"/>
          <w:sz w:val="24"/>
          <w:szCs w:val="24"/>
        </w:rPr>
      </w:pPr>
      <w:bookmarkStart w:id="11" w:name="_Toc72961656"/>
      <w:r>
        <w:rPr>
          <w:rFonts w:ascii="Times New Roman" w:hAnsi="Times New Roman" w:cs="Times New Roman"/>
          <w:b/>
          <w:color w:val="000000" w:themeColor="text1"/>
          <w:sz w:val="24"/>
          <w:szCs w:val="24"/>
        </w:rPr>
        <w:t>PA</w:t>
      </w:r>
      <w:r w:rsidR="00E74503" w:rsidRPr="00164238">
        <w:rPr>
          <w:rFonts w:ascii="Times New Roman" w:hAnsi="Times New Roman" w:cs="Times New Roman"/>
          <w:b/>
          <w:color w:val="000000" w:themeColor="text1"/>
          <w:sz w:val="24"/>
          <w:szCs w:val="24"/>
        </w:rPr>
        <w:t>NDEMİ DÖNEMİNDE MÜZELERİN DENEYİMSEL PAZARLAMA UYGULAMALARI: ÇOCUK MÜZELERİ ÜZERİNE BİR İNCELEME</w:t>
      </w:r>
      <w:bookmarkEnd w:id="11"/>
    </w:p>
    <w:p w14:paraId="67A66164" w14:textId="77777777" w:rsidR="00D75787" w:rsidRPr="00164238" w:rsidRDefault="00D75787" w:rsidP="00D75787">
      <w:pPr>
        <w:jc w:val="both"/>
        <w:rPr>
          <w:rStyle w:val="Balk2Char"/>
          <w:rFonts w:ascii="Times New Roman" w:eastAsiaTheme="minorHAnsi" w:hAnsi="Times New Roman" w:cs="Times New Roman"/>
          <w:b w:val="0"/>
          <w:color w:val="000000" w:themeColor="text1"/>
          <w:sz w:val="20"/>
          <w:szCs w:val="20"/>
        </w:rPr>
      </w:pPr>
    </w:p>
    <w:p w14:paraId="7DFE8D3F" w14:textId="74AE8EBA" w:rsidR="00D75787" w:rsidRPr="00164238" w:rsidRDefault="00D75787" w:rsidP="00D75787">
      <w:pPr>
        <w:pStyle w:val="Balk2"/>
        <w:rPr>
          <w:rFonts w:ascii="Times New Roman" w:eastAsia="Arial" w:hAnsi="Times New Roman" w:cs="Times New Roman"/>
          <w:b w:val="0"/>
          <w:i w:val="0"/>
          <w:color w:val="000000" w:themeColor="text1"/>
          <w:sz w:val="20"/>
          <w:szCs w:val="20"/>
        </w:rPr>
      </w:pPr>
      <w:bookmarkStart w:id="12" w:name="_Toc72961657"/>
      <w:r w:rsidRPr="00164238">
        <w:rPr>
          <w:rStyle w:val="Balk2Char"/>
          <w:rFonts w:ascii="Times New Roman" w:hAnsi="Times New Roman" w:cs="Times New Roman"/>
          <w:color w:val="000000" w:themeColor="text1"/>
          <w:sz w:val="20"/>
          <w:szCs w:val="20"/>
        </w:rPr>
        <w:t>Arş.Gör. Ayşe İpek AYTAÇ</w:t>
      </w:r>
      <w:r w:rsidRPr="00164238">
        <w:rPr>
          <w:rFonts w:ascii="Times New Roman" w:eastAsia="Arial" w:hAnsi="Times New Roman" w:cs="Times New Roman"/>
          <w:b w:val="0"/>
          <w:color w:val="000000" w:themeColor="text1"/>
          <w:sz w:val="20"/>
          <w:szCs w:val="20"/>
        </w:rPr>
        <w:t>, Yozgat Bozok Üniversitesi, İktisadi Ve İdari Bilimler Fakültesi, Yozgat,Türkiye</w:t>
      </w:r>
      <w:bookmarkEnd w:id="12"/>
    </w:p>
    <w:p w14:paraId="297DB6C1" w14:textId="77777777" w:rsidR="00D75787" w:rsidRPr="00164238" w:rsidRDefault="00D75787" w:rsidP="00D75787">
      <w:pPr>
        <w:jc w:val="both"/>
        <w:rPr>
          <w:rFonts w:ascii="Times New Roman" w:hAnsi="Times New Roman" w:cs="Times New Roman"/>
          <w:color w:val="000000" w:themeColor="text1"/>
          <w:sz w:val="20"/>
          <w:szCs w:val="20"/>
        </w:rPr>
      </w:pPr>
      <w:r w:rsidRPr="00164238">
        <w:rPr>
          <w:rFonts w:ascii="Times New Roman" w:eastAsia="Arial" w:hAnsi="Times New Roman" w:cs="Times New Roman"/>
          <w:i/>
          <w:color w:val="000000" w:themeColor="text1"/>
          <w:sz w:val="20"/>
          <w:szCs w:val="20"/>
        </w:rPr>
        <w:t xml:space="preserve">e-mail: </w:t>
      </w:r>
      <w:hyperlink r:id="rId21" w:history="1">
        <w:r w:rsidRPr="00164238">
          <w:rPr>
            <w:rStyle w:val="Kpr"/>
            <w:rFonts w:ascii="Times New Roman" w:eastAsia="Arial" w:hAnsi="Times New Roman" w:cs="Times New Roman"/>
            <w:i/>
            <w:color w:val="000000" w:themeColor="text1"/>
            <w:sz w:val="20"/>
            <w:szCs w:val="20"/>
          </w:rPr>
          <w:t>ipek.aytac@bozok.edu.tr</w:t>
        </w:r>
      </w:hyperlink>
      <w:r w:rsidRPr="00164238">
        <w:rPr>
          <w:rFonts w:ascii="Times New Roman" w:eastAsia="Arial" w:hAnsi="Times New Roman" w:cs="Times New Roman"/>
          <w:i/>
          <w:color w:val="000000" w:themeColor="text1"/>
          <w:sz w:val="20"/>
          <w:szCs w:val="20"/>
        </w:rPr>
        <w:t xml:space="preserve"> ORCID ID:</w:t>
      </w:r>
      <w:r w:rsidRPr="00164238">
        <w:rPr>
          <w:rFonts w:ascii="Times New Roman" w:hAnsi="Times New Roman" w:cs="Times New Roman"/>
          <w:color w:val="000000" w:themeColor="text1"/>
          <w:sz w:val="20"/>
          <w:szCs w:val="20"/>
        </w:rPr>
        <w:t xml:space="preserve"> </w:t>
      </w:r>
      <w:hyperlink r:id="rId22" w:history="1">
        <w:r w:rsidRPr="00164238">
          <w:rPr>
            <w:rStyle w:val="Kpr"/>
            <w:rFonts w:ascii="Times New Roman" w:hAnsi="Times New Roman" w:cs="Times New Roman"/>
            <w:color w:val="000000" w:themeColor="text1"/>
            <w:sz w:val="20"/>
            <w:szCs w:val="20"/>
          </w:rPr>
          <w:t>0000-0001-8298-9059</w:t>
        </w:r>
      </w:hyperlink>
    </w:p>
    <w:p w14:paraId="56D8D02C" w14:textId="77777777" w:rsidR="00D75787" w:rsidRPr="00164238" w:rsidRDefault="00D75787" w:rsidP="00D75787">
      <w:pPr>
        <w:jc w:val="both"/>
        <w:rPr>
          <w:rFonts w:ascii="Times New Roman" w:hAnsi="Times New Roman" w:cs="Times New Roman"/>
          <w:color w:val="000000" w:themeColor="text1"/>
          <w:sz w:val="20"/>
          <w:szCs w:val="20"/>
        </w:rPr>
      </w:pPr>
    </w:p>
    <w:p w14:paraId="56B6FB74" w14:textId="1548E470" w:rsidR="00D75787" w:rsidRPr="00164238" w:rsidRDefault="00D75787" w:rsidP="00416DDD">
      <w:pPr>
        <w:pStyle w:val="Balk2"/>
        <w:rPr>
          <w:rFonts w:ascii="Times New Roman" w:eastAsia="Arial" w:hAnsi="Times New Roman" w:cs="Times New Roman"/>
          <w:b w:val="0"/>
          <w:i w:val="0"/>
          <w:color w:val="000000" w:themeColor="text1"/>
          <w:sz w:val="20"/>
          <w:szCs w:val="20"/>
        </w:rPr>
      </w:pPr>
      <w:bookmarkStart w:id="13" w:name="_Toc72961658"/>
      <w:r w:rsidRPr="00164238">
        <w:rPr>
          <w:rStyle w:val="Balk2Char"/>
          <w:rFonts w:ascii="Times New Roman" w:hAnsi="Times New Roman" w:cs="Times New Roman"/>
          <w:color w:val="000000" w:themeColor="text1"/>
          <w:sz w:val="20"/>
          <w:szCs w:val="20"/>
        </w:rPr>
        <w:t>Ferhunde A</w:t>
      </w:r>
      <w:r w:rsidRPr="00164238">
        <w:rPr>
          <w:rStyle w:val="Balk2Char"/>
          <w:rFonts w:ascii="Times New Roman" w:eastAsiaTheme="minorHAnsi" w:hAnsi="Times New Roman" w:cs="Times New Roman"/>
          <w:color w:val="000000" w:themeColor="text1"/>
          <w:sz w:val="20"/>
          <w:szCs w:val="20"/>
        </w:rPr>
        <w:t>YTAÇ</w:t>
      </w:r>
      <w:r w:rsidRPr="00164238">
        <w:rPr>
          <w:rFonts w:ascii="Times New Roman" w:eastAsia="Arial" w:hAnsi="Times New Roman" w:cs="Times New Roman"/>
          <w:b w:val="0"/>
          <w:color w:val="000000" w:themeColor="text1"/>
          <w:sz w:val="20"/>
          <w:szCs w:val="20"/>
        </w:rPr>
        <w:t>,</w:t>
      </w:r>
      <w:r w:rsidR="00416DDD" w:rsidRPr="00164238">
        <w:rPr>
          <w:rFonts w:ascii="Times New Roman" w:eastAsia="Arial" w:hAnsi="Times New Roman" w:cs="Times New Roman"/>
          <w:color w:val="000000" w:themeColor="text1"/>
          <w:sz w:val="20"/>
          <w:szCs w:val="20"/>
        </w:rPr>
        <w:t xml:space="preserve"> </w:t>
      </w:r>
      <w:r w:rsidRPr="00164238">
        <w:rPr>
          <w:rFonts w:ascii="Times New Roman" w:eastAsia="Arial" w:hAnsi="Times New Roman" w:cs="Times New Roman"/>
          <w:b w:val="0"/>
          <w:color w:val="000000" w:themeColor="text1"/>
          <w:sz w:val="20"/>
          <w:szCs w:val="20"/>
        </w:rPr>
        <w:t>Ankara Üniversitesi, Eğitim Bilimleri Enstitüsü, Disiplinlerarası Müze Eğitimi ABD Tezsiz Yüksek Lisans Öğrencisi</w:t>
      </w:r>
      <w:bookmarkEnd w:id="13"/>
    </w:p>
    <w:p w14:paraId="44D97851" w14:textId="77777777" w:rsidR="00D75787" w:rsidRPr="00164238" w:rsidRDefault="00D75787" w:rsidP="00D75787">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e-mail: </w:t>
      </w:r>
      <w:hyperlink r:id="rId23" w:history="1">
        <w:r w:rsidRPr="00164238">
          <w:rPr>
            <w:rStyle w:val="Kpr"/>
            <w:rFonts w:ascii="Times New Roman" w:hAnsi="Times New Roman" w:cs="Times New Roman"/>
            <w:color w:val="000000" w:themeColor="text1"/>
            <w:sz w:val="20"/>
            <w:szCs w:val="20"/>
          </w:rPr>
          <w:t>aytacferhunde@gmail.com</w:t>
        </w:r>
      </w:hyperlink>
      <w:r w:rsidRPr="00164238">
        <w:rPr>
          <w:rFonts w:ascii="Times New Roman" w:hAnsi="Times New Roman" w:cs="Times New Roman"/>
          <w:color w:val="000000" w:themeColor="text1"/>
          <w:sz w:val="20"/>
          <w:szCs w:val="20"/>
        </w:rPr>
        <w:t xml:space="preserve">, ORCID ID: </w:t>
      </w:r>
      <w:hyperlink r:id="rId24" w:history="1">
        <w:r w:rsidRPr="00164238">
          <w:rPr>
            <w:rStyle w:val="Kpr"/>
            <w:rFonts w:ascii="Times New Roman" w:hAnsi="Times New Roman" w:cs="Times New Roman"/>
            <w:color w:val="000000" w:themeColor="text1"/>
            <w:sz w:val="20"/>
            <w:szCs w:val="20"/>
          </w:rPr>
          <w:t>0000-0002-5921-9432</w:t>
        </w:r>
      </w:hyperlink>
    </w:p>
    <w:p w14:paraId="65E999D5" w14:textId="77777777" w:rsidR="00D75787" w:rsidRPr="00164238" w:rsidRDefault="00D75787" w:rsidP="00D75787">
      <w:pPr>
        <w:jc w:val="both"/>
        <w:rPr>
          <w:rFonts w:ascii="Times New Roman" w:hAnsi="Times New Roman" w:cs="Times New Roman"/>
          <w:b/>
          <w:color w:val="000000" w:themeColor="text1"/>
        </w:rPr>
      </w:pPr>
    </w:p>
    <w:p w14:paraId="3256F46F" w14:textId="77777777" w:rsidR="00CB6608" w:rsidRPr="00164238" w:rsidRDefault="00CB6608" w:rsidP="00CB6608">
      <w:pPr>
        <w:jc w:val="center"/>
        <w:rPr>
          <w:rFonts w:ascii="Times New Roman" w:hAnsi="Times New Roman" w:cs="Times New Roman"/>
          <w:color w:val="000000" w:themeColor="text1"/>
        </w:rPr>
      </w:pPr>
    </w:p>
    <w:p w14:paraId="18CBE57C" w14:textId="77777777" w:rsidR="00CB6608" w:rsidRPr="00164238" w:rsidRDefault="00CB6608" w:rsidP="00CB6608">
      <w:pPr>
        <w:spacing w:line="360" w:lineRule="auto"/>
        <w:ind w:firstLine="708"/>
        <w:jc w:val="both"/>
        <w:rPr>
          <w:rFonts w:ascii="Times New Roman" w:hAnsi="Times New Roman" w:cs="Times New Roman"/>
          <w:b/>
          <w:color w:val="000000" w:themeColor="text1"/>
        </w:rPr>
      </w:pPr>
      <w:r w:rsidRPr="00164238">
        <w:rPr>
          <w:rFonts w:ascii="Times New Roman" w:hAnsi="Times New Roman" w:cs="Times New Roman"/>
          <w:b/>
          <w:color w:val="000000" w:themeColor="text1"/>
        </w:rPr>
        <w:t>Öz</w:t>
      </w:r>
    </w:p>
    <w:p w14:paraId="612F97CB" w14:textId="77777777" w:rsidR="00CB6608" w:rsidRPr="00164238" w:rsidRDefault="00CB6608" w:rsidP="00CB6608">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Deneyimsel pazarlama, deneyimi satın alan müşterileri konuk olarak ifade ederek, onlara duyusal, duygusal, düşünsel, davranışsal ve ilişkisel boyutlarda bütünsel bir deneyim yaşatmak için gerçekleştirilen faaliyetler bütünüdür (Pine ve Gilmore, 2012: s. 283, Shmitt, 1999a: s. 57). Konuklar, bedenlerini, duyularını ve bilişsel becerilerini kullandıkları, kültürel ve sosyal öğrenmeleri içeren, ilgi çekici, akılda kalıcı ve etkileşimli faaliyetlerden oluşan bir sürece katılarak bedel ödemektedir. (Pine ve Gilmore, 2012: s. 31, Nagasawa, 2008: s. 314). Postmodern pazarlama anlayışıyla birlikte müzeler,  özellikle de temel amacı etkileşim, yaparak ve dokunarak öğrenme, müzede bulunulan süre boyunca yeni ve keyifli deneyimler sunma olan çocuk müzeleri, deneyimsel pazarlama uygulama alanları olarak karşımıza çıkmaktadır. Çocuk müzeleri, bilinenden bilinmeyene varma sürecinde öğrenme motivasyonunu artıran, öğrenme ve keşif merkezleri olmaktadır (Karadeniz, 2013: s. 225). Pandemi döneminde birçok çocuk müzesi faaliyetlerini geçici ve belirsiz bir süre durdurmuşlardır. Farklı ülkelerde ve şehirlerde faaliyette bulunan Çocuk Müzeleri Derneği üyesi müzeler, evde eğlenceli öğrenimi sağlamak için sanal programlar ve içerikler hazırlamışlardır (ACMb, </w:t>
      </w:r>
      <w:hyperlink r:id="rId25" w:history="1">
        <w:r w:rsidRPr="00164238">
          <w:rPr>
            <w:rStyle w:val="Balk1Char"/>
            <w:rFonts w:ascii="Times New Roman" w:hAnsi="Times New Roman" w:cs="Times New Roman"/>
            <w:color w:val="000000" w:themeColor="text1"/>
          </w:rPr>
          <w:t>www.findachildrensmuseum.org/at-home/</w:t>
        </w:r>
      </w:hyperlink>
      <w:r w:rsidRPr="00164238">
        <w:rPr>
          <w:rFonts w:ascii="Times New Roman" w:hAnsi="Times New Roman" w:cs="Times New Roman"/>
          <w:color w:val="000000" w:themeColor="text1"/>
        </w:rPr>
        <w:t xml:space="preserve"> Erişim tarihi: 19.03.2021). “Pandemi döneminde çocuk müzeleri konuklarına nasıl ve hangi deneyimleri sunmaktadır?” Araştırma sorusuna yanıt aranmıştır. Araştırma deseni durum çalışması olmaktadır ve amaçlı örnekleme yöntemi kullanılmıştır. Çocuk Müzeleri Derneğine üye olan 249 çocuk müzesine ilişkin yazılı materyal elektronik veri kaynağı olarak kullanılmış, veriler betimsel analiz yöntemiyle incelenmiştir. Kullanılan iletişim araçları ve gerçekleştirilen faaliyetler ile ilgili bulgular raporlanmıştır.</w:t>
      </w:r>
    </w:p>
    <w:p w14:paraId="79DF271A" w14:textId="77777777" w:rsidR="00CB6608" w:rsidRPr="00164238" w:rsidRDefault="00CB6608" w:rsidP="00CB6608">
      <w:pPr>
        <w:jc w:val="both"/>
        <w:rPr>
          <w:rFonts w:ascii="Times New Roman" w:hAnsi="Times New Roman" w:cs="Times New Roman"/>
          <w:color w:val="000000" w:themeColor="text1"/>
        </w:rPr>
      </w:pPr>
      <w:r w:rsidRPr="00164238">
        <w:rPr>
          <w:rFonts w:ascii="Times New Roman" w:hAnsi="Times New Roman" w:cs="Times New Roman"/>
          <w:b/>
          <w:color w:val="000000" w:themeColor="text1"/>
        </w:rPr>
        <w:t>Anahtar kelimeler:</w:t>
      </w:r>
      <w:r w:rsidRPr="00164238">
        <w:rPr>
          <w:rFonts w:ascii="Times New Roman" w:hAnsi="Times New Roman" w:cs="Times New Roman"/>
          <w:color w:val="000000" w:themeColor="text1"/>
        </w:rPr>
        <w:t xml:space="preserve"> deneyimsel pazarlama, çocuk müzesi, pandemi dönemi </w:t>
      </w:r>
    </w:p>
    <w:p w14:paraId="00EC00EB" w14:textId="77777777" w:rsidR="00CB6608" w:rsidRPr="00164238" w:rsidRDefault="00CB6608" w:rsidP="00CB6608">
      <w:pPr>
        <w:ind w:firstLine="708"/>
        <w:jc w:val="both"/>
        <w:rPr>
          <w:rFonts w:ascii="Times New Roman" w:hAnsi="Times New Roman" w:cs="Times New Roman"/>
          <w:b/>
          <w:color w:val="000000" w:themeColor="text1"/>
        </w:rPr>
      </w:pPr>
      <w:r w:rsidRPr="00164238">
        <w:rPr>
          <w:rFonts w:ascii="Times New Roman" w:hAnsi="Times New Roman" w:cs="Times New Roman"/>
          <w:b/>
          <w:color w:val="000000" w:themeColor="text1"/>
        </w:rPr>
        <w:t>Abstract</w:t>
      </w:r>
    </w:p>
    <w:p w14:paraId="78EBDD35" w14:textId="77777777" w:rsidR="00CB6608" w:rsidRPr="00164238" w:rsidRDefault="00CB6608" w:rsidP="00CB6608">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Experiential marketing is the set of activities carried out to give customers a holistic experience in sensory, emotional, intellectual, behavioral and relational dimensions by expressing the customers buy the experience as guests (Pine ve Gilmore, 2012: s. 283, Shmitt, 1999: s. 57). Guests pay the price by participating in an intriguing, memorable and interactive process involving cultural and social </w:t>
      </w:r>
      <w:r w:rsidRPr="00164238">
        <w:rPr>
          <w:rFonts w:ascii="Times New Roman" w:hAnsi="Times New Roman" w:cs="Times New Roman"/>
          <w:color w:val="000000" w:themeColor="text1"/>
        </w:rPr>
        <w:lastRenderedPageBreak/>
        <w:t xml:space="preserve">learning, in which they use their bodies, senses and cognitive skills. (Pine ve Gilmore, 2012: s. 31, Nagasawa, 2008: s. 314). With the postmodern marketing approach, especially children's museums, whose main purpose is to interact, learn by doing and touching, and to offer new and pleasant experiences while in the museum, are experiential marketing practice areas. Children's museums are centers of learning and discovery that increase the motivation to learn in the process of reaching the unknown. (Karadeniz, 2013: s. 225). During the pandemic period most children's museums closed temporarily and indefinitely. Museums in different countries and cities, which are members of the Children's Museum Association, have prepared virtual programs and content to provide playful learning at home. (ACMb, www.findachildrensmuseum.org/at-home/ Erişim tarihi: 19.03.2021).  The research question is </w:t>
      </w:r>
      <w:r w:rsidRPr="00164238">
        <w:rPr>
          <w:rFonts w:ascii="Times New Roman" w:hAnsi="Times New Roman" w:cs="Times New Roman"/>
          <w:color w:val="000000" w:themeColor="text1"/>
          <w:lang w:val="en"/>
        </w:rPr>
        <w:t>“How and what experiences do children's museums offer their guests during the pandemic period?</w:t>
      </w:r>
      <w:r w:rsidRPr="00164238">
        <w:rPr>
          <w:rFonts w:ascii="Times New Roman" w:hAnsi="Times New Roman" w:cs="Times New Roman"/>
          <w:color w:val="000000" w:themeColor="text1"/>
        </w:rPr>
        <w:t xml:space="preserve">”.  The research design is case study.  Purposeful sampling was used as a sampling method.  Written material on 249 children's museums that are members of the Children's Museums Association was used as an </w:t>
      </w:r>
      <w:r w:rsidRPr="00164238">
        <w:rPr>
          <w:rFonts w:ascii="Times New Roman" w:hAnsi="Times New Roman" w:cs="Times New Roman"/>
          <w:color w:val="000000" w:themeColor="text1"/>
          <w:lang w:val="en"/>
        </w:rPr>
        <w:t>electronic data</w:t>
      </w:r>
      <w:r w:rsidRPr="00164238">
        <w:rPr>
          <w:rFonts w:ascii="Times New Roman" w:hAnsi="Times New Roman" w:cs="Times New Roman"/>
          <w:color w:val="000000" w:themeColor="text1"/>
        </w:rPr>
        <w:t xml:space="preserve"> source. The data were analyzed by descriptive analysis method. Findings regarding the communication tools used and the activities carried out were reported.</w:t>
      </w:r>
    </w:p>
    <w:p w14:paraId="0B92300C" w14:textId="77777777" w:rsidR="00CB6608" w:rsidRPr="00164238" w:rsidRDefault="00CB6608" w:rsidP="00CB6608">
      <w:pPr>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w:t>
      </w:r>
      <w:r w:rsidRPr="00164238">
        <w:rPr>
          <w:rFonts w:ascii="Times New Roman" w:hAnsi="Times New Roman" w:cs="Times New Roman"/>
          <w:b/>
          <w:color w:val="000000" w:themeColor="text1"/>
        </w:rPr>
        <w:t>Keywords:</w:t>
      </w:r>
      <w:r w:rsidRPr="00164238">
        <w:rPr>
          <w:rFonts w:ascii="Times New Roman" w:hAnsi="Times New Roman" w:cs="Times New Roman"/>
          <w:color w:val="000000" w:themeColor="text1"/>
        </w:rPr>
        <w:t xml:space="preserve"> experiential marketing, children's museum, pandemic period</w:t>
      </w:r>
    </w:p>
    <w:p w14:paraId="040EEEDF" w14:textId="77777777" w:rsidR="00CB6608" w:rsidRPr="00164238" w:rsidRDefault="00CB6608" w:rsidP="00CB6608">
      <w:pPr>
        <w:rPr>
          <w:rFonts w:ascii="Times New Roman" w:hAnsi="Times New Roman" w:cs="Times New Roman"/>
          <w:color w:val="000000" w:themeColor="text1"/>
        </w:rPr>
      </w:pPr>
    </w:p>
    <w:p w14:paraId="4BEE8128" w14:textId="125B071C" w:rsidR="00CB6608" w:rsidRPr="00164238" w:rsidRDefault="00CB6608" w:rsidP="00CB6608">
      <w:pPr>
        <w:tabs>
          <w:tab w:val="left" w:pos="720"/>
        </w:tabs>
        <w:spacing w:line="360" w:lineRule="auto"/>
        <w:jc w:val="both"/>
        <w:rPr>
          <w:rFonts w:ascii="Times New Roman" w:hAnsi="Times New Roman" w:cs="Times New Roman"/>
          <w:b/>
          <w:color w:val="000000" w:themeColor="text1"/>
        </w:rPr>
      </w:pPr>
      <w:r w:rsidRPr="00164238">
        <w:rPr>
          <w:rFonts w:ascii="Times New Roman" w:hAnsi="Times New Roman" w:cs="Times New Roman"/>
          <w:b/>
          <w:color w:val="000000" w:themeColor="text1"/>
        </w:rPr>
        <w:tab/>
        <w:t>Giriş</w:t>
      </w:r>
      <w:r w:rsidRPr="00164238">
        <w:rPr>
          <w:rFonts w:ascii="Times New Roman" w:hAnsi="Times New Roman" w:cs="Times New Roman"/>
          <w:b/>
          <w:color w:val="000000" w:themeColor="text1"/>
        </w:rPr>
        <w:tab/>
      </w:r>
    </w:p>
    <w:p w14:paraId="17DDB273" w14:textId="77777777" w:rsidR="00CB6608" w:rsidRPr="00164238" w:rsidRDefault="00CB6608" w:rsidP="00CB6608">
      <w:pPr>
        <w:spacing w:line="360" w:lineRule="auto"/>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İstek ve ihtiyaçların giderilmesi için gerçekleştirilen değişim faaliyetine konu olan pazarlama önerilerini metalar, mallar, hizmetler, deneyimler, bilgi, insanlar, yerler, organizasyonlar ve fikirler oluşturmaktadır (Armstrong ve Kotler, 2005: s. 7). Post modern pazarlama anlayışıyla birlikte gelişen deneyimsel pazarlamayı, müşteri odaklı olarak tüketim süreci boyunca duyu ve duygulara yönelik faaliyetler gerçekleştirerek tüketimin anlamlandırılması olarak ifade etmek mümkün olmaktadır (Nagasawa, 2008: s. 314). Deneyimsel pazarlama uygulamalarında, konuklarla etkileşim içinde bulunulacak ortamlarda, onların duygu ve düşünceleri dikkate alınarak yaşayacakları deneyimlere odaklanılmaktadır. Deneyimler yaşanan andan çıkarılan maddi olmayan, duygusal, bedensel ve entelektüel yaşantıların hazzını ve anılarını oluşturmaktadır.  Müzeler kar amacı gütmeyen kuruluşlardır. Çağdaş müzecilik anlayışıyla birlikte müzeler; sahip oldukları koleksiyondan ya da sergiledikleri eserlere odaklanmaktan çok, ziyaretçilerin müzede bulundukları süre boyunca yaşayacakları deneyime odaklanmaktadır. Klasik müzecilik anlayışından çağdaş müzecilik uygulamalarına dönüşüm pazarlama faaliyetleriyle gerçekleşmektedir (Sezgin vd., 2011: s. 202-203).</w:t>
      </w:r>
    </w:p>
    <w:p w14:paraId="2F13B43B" w14:textId="77777777" w:rsidR="00CB6608" w:rsidRPr="00164238" w:rsidRDefault="00CB6608" w:rsidP="00CB6608">
      <w:pPr>
        <w:spacing w:line="360" w:lineRule="auto"/>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Müzeler, internet siteleri ile müze tanıtımlarını yapmakta, koleksiyonlarını sanal ortamda fotoğrafları ile sergilemekte, sanal turlar düzenlemekte, eğitim ve sosyal etkinliklerinin duyurularını yapmaktadırlar. Pandemi ile birlikte müzelerin, konuklarına kapanması, dijitalleşmenin gerekliliğine yol açmıştır. Uluslararası Müze Konseyi (ICOM), 7 Nisan- 7 Mayıs 2020 tarihleri arasında beş kıtada 107 ülkede müze ve müze profesyonelleri ile pandemi dönemi ile ilgili bir araştırma gerçekleştirmiştir. Bu araştırma sonuçlarına göre, Nisan 2020’de pandemi sebebiyle dünyadaki neredeyse tüm müzeler </w:t>
      </w:r>
      <w:r w:rsidRPr="00164238">
        <w:rPr>
          <w:rFonts w:ascii="Times New Roman" w:hAnsi="Times New Roman" w:cs="Times New Roman"/>
          <w:color w:val="000000" w:themeColor="text1"/>
        </w:rPr>
        <w:lastRenderedPageBreak/>
        <w:t xml:space="preserve">kapatılmıştır. Pandemiden önce müzelerin dijital ortamda faaliyette bulunduğu ve koleksiyonlarını çevrim içi paylaştığı biliniyor olsa da pandemi ile birlikte dijital iletişim faaliyetleri gerçekleştiren müzelerin oranı artmıştır. Pandemi sebebiyle birçok müze faaliyetlerini azaltarak küçülmeye gitmiş birçoğu da bir daha açılmama durumuyla karşı karşıya kalmıştır (ICOM Report, 2020: 1-2).  Pek çok müze deneyimlerini çevrim içi sunmaya başlamışlardır. Çocuk müzeleri de  “Evde kal” çağrısına uygun olarak çocukların sosyal medya kanallarından, aileleriyle ya da öğretmenlerinin kolaylaştırıcılığında katılabilecekleri bir dizi çevrim içi etkinlikler planlayıp sunmuşlardır. </w:t>
      </w:r>
    </w:p>
    <w:p w14:paraId="21F5F5BB" w14:textId="77777777" w:rsidR="00CB6608" w:rsidRPr="00164238" w:rsidRDefault="00CB6608" w:rsidP="00CB6608">
      <w:pPr>
        <w:spacing w:line="360" w:lineRule="auto"/>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Bu çalışmada tüm dünyada etkili olan, okulların ve iş yerlerinin kapanması, ev dışında hayatın durduğu zamanların yaşandığı pandemi döneminde, Çocuk Müzeleri Derneği üyesi olan çocuk müzelerinin bu süreçte müze, çocuk ve ebeveyn bağının sürdürülmesi, öğrenme sürecinin kesintiye uğramaması amacıyla müzeyi eve taşımak için gerçekleştirdiği deneyim sunumları incelenmiştir. </w:t>
      </w:r>
    </w:p>
    <w:p w14:paraId="5208A880" w14:textId="77777777" w:rsidR="00CB6608" w:rsidRPr="00164238" w:rsidRDefault="00CB6608" w:rsidP="00CB6608">
      <w:pPr>
        <w:spacing w:line="360" w:lineRule="auto"/>
        <w:jc w:val="both"/>
        <w:rPr>
          <w:rFonts w:ascii="Times New Roman" w:hAnsi="Times New Roman" w:cs="Times New Roman"/>
          <w:b/>
          <w:color w:val="000000" w:themeColor="text1"/>
        </w:rPr>
      </w:pPr>
      <w:r w:rsidRPr="00164238">
        <w:rPr>
          <w:rFonts w:ascii="Times New Roman" w:hAnsi="Times New Roman" w:cs="Times New Roman"/>
          <w:b/>
          <w:color w:val="000000" w:themeColor="text1"/>
        </w:rPr>
        <w:t>Kavramsal Çerçeve</w:t>
      </w:r>
    </w:p>
    <w:p w14:paraId="31350733" w14:textId="77777777" w:rsidR="00CB6608" w:rsidRPr="00164238" w:rsidRDefault="00CB6608" w:rsidP="00CB6608">
      <w:pPr>
        <w:spacing w:line="360" w:lineRule="auto"/>
        <w:jc w:val="both"/>
        <w:rPr>
          <w:rFonts w:ascii="Times New Roman" w:hAnsi="Times New Roman" w:cs="Times New Roman"/>
          <w:b/>
          <w:color w:val="000000" w:themeColor="text1"/>
        </w:rPr>
      </w:pPr>
      <w:r w:rsidRPr="00164238">
        <w:rPr>
          <w:rFonts w:ascii="Times New Roman" w:hAnsi="Times New Roman" w:cs="Times New Roman"/>
          <w:b/>
          <w:color w:val="000000" w:themeColor="text1"/>
        </w:rPr>
        <w:t>1. Deneyimsel Pazarlama</w:t>
      </w:r>
    </w:p>
    <w:p w14:paraId="5A61FB0E" w14:textId="77777777" w:rsidR="00CB6608" w:rsidRPr="00164238" w:rsidRDefault="00CB6608" w:rsidP="00CB6608">
      <w:pPr>
        <w:spacing w:line="360" w:lineRule="auto"/>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Deneyimi, yaparak, görerek, hissederek bilginin, becerinin ve hissetme şeklinin etkilenmesi olarak ifade etmek mümkün olmaktadır (Same ve Larimo, 2012: s. 481). Deneyimler, somut unsurların egemen olduğu mallardan olduğu kadar soyut unsurların egemen olduğu hizmetlerden de farklı bir değişim unsuru olmaktadır. Müşteriler, bir deneyim satın aldıklarında deneyim sunucusu tarafından ilgi çekici olarak sahnelenen, geçirilen zamandan keyif aldıkları ve akıllarında kalarak ayrıldıkları bir dizi faaliyet için bedel ödemektedir (Pine ve Gilmore, 2012: s. 31). Deneyimlerin tüketimi, özne olan müşteri ile bir ürün, bir olay, bir fikir ya da bir kişi arasında gerçekleşen etkileşimle sağlanmaktadır (Addis, 2005: s. 730). </w:t>
      </w:r>
    </w:p>
    <w:p w14:paraId="7BE92585" w14:textId="77777777" w:rsidR="00CB6608" w:rsidRPr="00164238" w:rsidRDefault="00CB6608" w:rsidP="00CB6608">
      <w:pPr>
        <w:spacing w:line="360" w:lineRule="auto"/>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Deneyim ekonomik bir teklif olmaktadır ve işletme, marka, hizmet ile algılayan ve anlamlandırarak deneyimleyen müşteri arasındaki etkileşimden doğmaktadır. Deneyimsel pazarlama, deneyimleri pazarlamaya yardımcı olmaktadır ve deneyimsel olarak pazarlamanın nasıl yapılması gerektiğine ve nasıl deneyimler yaratılabileceğine yanıt vermektedir (Same ve Larimo, 2012: s. 485). Bir işletme tarafından müşterilere deneyim yaşatmak için tüm fiziksel ortamın ve operasyonel süreçlerin deneyim sahnelemek ve sunmak için tasarlandığı pazarlama uygulamaları olarak ifade etmek mümkün olmaktadır (Yuan ve Wu, 2008: s. 388).</w:t>
      </w:r>
    </w:p>
    <w:p w14:paraId="3A514C90" w14:textId="77777777" w:rsidR="00CB6608" w:rsidRPr="00164238" w:rsidRDefault="00CB6608" w:rsidP="00CB6608">
      <w:pPr>
        <w:spacing w:line="360" w:lineRule="auto"/>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Deneyimsel pazarlama dört temel özelliğe sahip olmaktadır. Bunlar (Shmitt: 1999a: s.58):</w:t>
      </w:r>
    </w:p>
    <w:p w14:paraId="5BF303DB" w14:textId="77777777" w:rsidR="00CB6608" w:rsidRPr="00164238" w:rsidRDefault="00CB6608" w:rsidP="00CB6608">
      <w:pPr>
        <w:spacing w:line="360"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1. Müşteri deneyimine odaklanmak,</w:t>
      </w:r>
    </w:p>
    <w:p w14:paraId="14E7D6B5" w14:textId="77777777" w:rsidR="00CB6608" w:rsidRPr="00164238" w:rsidRDefault="00CB6608" w:rsidP="00CB6608">
      <w:pPr>
        <w:spacing w:line="360"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lastRenderedPageBreak/>
        <w:t xml:space="preserve">2. Tüketimi bütünsel bir deneyim olarak ele almak, </w:t>
      </w:r>
    </w:p>
    <w:p w14:paraId="1D2491AF" w14:textId="77777777" w:rsidR="00CB6608" w:rsidRPr="00164238" w:rsidRDefault="00CB6608" w:rsidP="00CB6608">
      <w:pPr>
        <w:spacing w:line="360"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3. Müşterilerin rasyonel ve duygusal olarak nitelendirmek,</w:t>
      </w:r>
    </w:p>
    <w:p w14:paraId="1EF59555" w14:textId="77777777" w:rsidR="00CB6608" w:rsidRPr="00164238" w:rsidRDefault="00CB6608" w:rsidP="00CB6608">
      <w:pPr>
        <w:tabs>
          <w:tab w:val="left" w:pos="4020"/>
        </w:tabs>
        <w:spacing w:line="360"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4. Eklektik metodoloji kullanmaktır.</w:t>
      </w:r>
    </w:p>
    <w:p w14:paraId="4E6E9E8B" w14:textId="77777777" w:rsidR="00CB6608" w:rsidRPr="00164238" w:rsidRDefault="00CB6608" w:rsidP="00CB6608">
      <w:pPr>
        <w:spacing w:line="360" w:lineRule="auto"/>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Deneyimsel pazarlama, müşteri ile etkileşim içerisinde bulunulacak ortamlar yaratarak gerçekleştirilen taktiksel ve operasyonel pazarlama faaliyetlerini ifade etmektedir (Same ve Larimo, 2012: s. 485). Deneyim sahneleyicilerin konuklar için farklı türlerde deneyim oluşturmak için kullanılabilecek stratejik deneyimsel modüller geliştirilmiştir. Bu modüller, farklı yapılar ve süreçlere sahip olmaktadır. Duyusal deneyimler (sense), duygusal deneyimler (feel), yaratıcı ve bilişsel deneyimler (think), davranışsal, fiziksel ve yaşam tarzlarını etkileyen deneyimler (act), referans grubuyla, kültür ve sosyal kimlikle ilişkili deneyimler (relate) olmak üzere beş ayrı modülden oluşmaktadır (Shmitt: 1999a: s. 60).</w:t>
      </w:r>
    </w:p>
    <w:p w14:paraId="04C50AF9" w14:textId="77777777" w:rsidR="00CB6608" w:rsidRPr="00164238" w:rsidRDefault="00CB6608" w:rsidP="00CB6608">
      <w:pPr>
        <w:spacing w:line="360" w:lineRule="auto"/>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Bunlar (Shmitt: 1999b: s. 13-14, Nagasawa, 2008: s. 315-316):</w:t>
      </w:r>
    </w:p>
    <w:p w14:paraId="1642A915" w14:textId="77777777" w:rsidR="00CB6608" w:rsidRPr="00164238" w:rsidRDefault="00CB6608" w:rsidP="00CB6608">
      <w:pPr>
        <w:spacing w:line="360"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1. Duyusal deneyimsel pazarlama modülünde, görme, dokunma, duyma, tat ve koku duyuları harekete geçirilerek deneyim yaratmak hedeflenmektedir. Bu modül kullanılarak farklılaştırma yapmak, katılımcıları motive etmek ve ürünlere değer katmak mümkün olabilmektedir. Konukların beş duyusuna doğrudan uyarıcı göndererek duyusal bir deneyim yaşatılmaktadır. </w:t>
      </w:r>
    </w:p>
    <w:p w14:paraId="165D4E11" w14:textId="77777777" w:rsidR="00CB6608" w:rsidRPr="00164238" w:rsidRDefault="00CB6608" w:rsidP="00CB6608">
      <w:pPr>
        <w:spacing w:line="360"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2. Konukların duygularına ve ruhsal durumlarına etki ederek yaşatılan duygusal deneyim pazarlaması modülü ile olumlu ruh hallerinden güçlü neşe ve gurur duygularına kadar çeşitlendirilebilecek şekilde duygusal deneyim yaratma amacıyla duygulara yönelik faaliyetler gerçekleştirilmektedir. Başarılı olması için, hangi uyaranların hangi duyguları harekete geçirdiğinin doğru bir şekilde anlaşılması olması gerekmektedir.</w:t>
      </w:r>
    </w:p>
    <w:p w14:paraId="1488A7F0" w14:textId="77777777" w:rsidR="00CB6608" w:rsidRPr="00164238" w:rsidRDefault="00CB6608" w:rsidP="00CB6608">
      <w:pPr>
        <w:spacing w:line="360"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3. Düşünsel deneyimsel pazarlama modülü, yaratıcılığı uyandırma amacı ile zihinlere hitap eden bilişsel, entellektüel ve problem çözme faaliyetlerini içermektedir.</w:t>
      </w:r>
    </w:p>
    <w:p w14:paraId="599F59C8" w14:textId="77777777" w:rsidR="00CB6608" w:rsidRPr="00164238" w:rsidRDefault="00CB6608" w:rsidP="00CB6608">
      <w:pPr>
        <w:spacing w:line="360"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4. Davranışsal deneyimsel pazarlama modülü, motive etmek, harekete geçirmek, etkilemek, davranış değişikliği yaratmak üzere fiziksel davranışlar ve hayatları zenginleştirmek, alternatif yaşam tarzlarını göstermek ve duygular uyandırmak, konuklar arasında ilişki kurma amacıyla tasarlanan deneyimlerden oluşmaktadır. </w:t>
      </w:r>
    </w:p>
    <w:p w14:paraId="51444551" w14:textId="77777777" w:rsidR="00CB6608" w:rsidRPr="00164238" w:rsidRDefault="00CB6608" w:rsidP="00CB6608">
      <w:pPr>
        <w:spacing w:line="360"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5. İlişkili deneyimsel pazarlama modülü, duyusal, duygusal, düşünsel ve davranışsal deneyimi bütüncül olarak kapsamaktadır. Ulaşılmak istene ideal benliğe hitap ederek, kendini gerçekleştirme, ait olma, </w:t>
      </w:r>
      <w:r w:rsidRPr="00164238">
        <w:rPr>
          <w:rFonts w:ascii="Times New Roman" w:hAnsi="Times New Roman" w:cs="Times New Roman"/>
          <w:color w:val="000000" w:themeColor="text1"/>
        </w:rPr>
        <w:lastRenderedPageBreak/>
        <w:t>olumlu imaja sahip olma ve mevcut durumdan daha geniş bir sosyal çevreyle ilişki kurma çabalarını içermektedir. Bireysel hislerinin ötesinde, toplumla olan ilişkileri odağına almaktadır. Ait olmak istenen sosyal grup ve arzu edilen yaşam tarzına yönelik faaliyetleri içermektedir.</w:t>
      </w:r>
    </w:p>
    <w:p w14:paraId="43241156" w14:textId="7CCE51DF" w:rsidR="00CB6608" w:rsidRPr="00164238" w:rsidRDefault="00CB6608" w:rsidP="00CB6608">
      <w:pPr>
        <w:spacing w:line="360" w:lineRule="auto"/>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Deneyimsel pazarlamanın temelini beş deneyim modülü oluşturmaktadır. Gerçekleştirilen faaliyetlerle amaçlanan ise, müşterilere bütünsel bir deneyim yaşatmak olmaktadır (Deligöz ve Ünal, 2017: s. 139).</w:t>
      </w:r>
    </w:p>
    <w:p w14:paraId="1227D7B2" w14:textId="77777777" w:rsidR="00CB6608" w:rsidRPr="00164238" w:rsidRDefault="00CB6608" w:rsidP="00CB6608">
      <w:pPr>
        <w:spacing w:line="360" w:lineRule="auto"/>
        <w:ind w:firstLine="708"/>
        <w:jc w:val="both"/>
        <w:rPr>
          <w:rFonts w:ascii="Times New Roman" w:hAnsi="Times New Roman" w:cs="Times New Roman"/>
          <w:color w:val="000000" w:themeColor="text1"/>
        </w:rPr>
      </w:pPr>
    </w:p>
    <w:p w14:paraId="59B9F312" w14:textId="77777777" w:rsidR="00CB6608" w:rsidRPr="00164238" w:rsidRDefault="00CB6608" w:rsidP="00CB6608">
      <w:pPr>
        <w:spacing w:line="360" w:lineRule="auto"/>
        <w:jc w:val="both"/>
        <w:rPr>
          <w:rFonts w:ascii="Times New Roman" w:hAnsi="Times New Roman" w:cs="Times New Roman"/>
          <w:b/>
          <w:color w:val="000000" w:themeColor="text1"/>
        </w:rPr>
      </w:pPr>
      <w:r w:rsidRPr="00164238">
        <w:rPr>
          <w:rFonts w:ascii="Times New Roman" w:hAnsi="Times New Roman" w:cs="Times New Roman"/>
          <w:b/>
          <w:color w:val="000000" w:themeColor="text1"/>
        </w:rPr>
        <w:t xml:space="preserve">Müzeler </w:t>
      </w:r>
    </w:p>
    <w:p w14:paraId="4DAEE9C8" w14:textId="77777777" w:rsidR="00CB6608" w:rsidRPr="00164238" w:rsidRDefault="00CB6608" w:rsidP="00CB6608">
      <w:pPr>
        <w:spacing w:line="360" w:lineRule="auto"/>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Müzeler, toplumların kültürel zenginliklerini oluşturan manevi, tarihsel, doğal ve sanatsal değerlerinin sergilendiği, etkin katılım ve öğrenmeyi sağlayan eğitim kurumu olma özelliği olan, arkeoloji, etnografya, tarih, bilim, gibi çeşitliliği olan, kar amacı gütmeyen merkezlerdir (Sezgin vd., 2011: s. 202). Uluslararası Müze Konseyi (ICOM) 2019’da yeni müzelere ait bir tanımı tartışmaya açmıştır. Bu tanıma göre, müzeler geçmişi ve geleceği değerlendirebilmek için diyalog kurmayı sağlayan, kapsayıcı, demokratikleştirici ve polifonik alanlar olmaktadır. Güncel çatışma ve zorlukları anlayıp tanımlayarak, korumakla sorumlu olduğu kültüre ait eserleri gelecek nesiller için güvence altına almaktadır ve her sınıftan bireyin bu kültürel mirasa erişimi için eşit haklar sunmaktadır. Faaliyetlerini kar amacı gütmeden gerçekleştirmektedir. Katılımcı ve şeffaftırlar. Tüm dünyayı kapsayacak şekilde sosyal adalete ve insan onuruna, eşitliğe ve iyiliğe katkı sağlamak için toplamakta, muhafaza etmekte, araştırmakta, yorumlamakta, </w:t>
      </w:r>
      <w:r w:rsidRPr="00E0308F">
        <w:rPr>
          <w:rFonts w:ascii="Times New Roman" w:hAnsi="Times New Roman" w:cs="Times New Roman"/>
          <w:color w:val="000000" w:themeColor="text1"/>
        </w:rPr>
        <w:t>sergilemekte ve dünyadaki anlayışı bu yönde geliştirmek için çeşitli topluluklarla aktif olarak çalışmaktadır (</w:t>
      </w:r>
      <w:hyperlink r:id="rId26" w:history="1">
        <w:r w:rsidRPr="00E0308F">
          <w:rPr>
            <w:rStyle w:val="Balk1Char"/>
            <w:rFonts w:ascii="Times New Roman" w:hAnsi="Times New Roman" w:cs="Times New Roman"/>
            <w:color w:val="000000" w:themeColor="text1"/>
            <w:sz w:val="22"/>
            <w:szCs w:val="22"/>
          </w:rPr>
          <w:t>http://www.mmkd.org.tr/icom-alternatif-muze-tanimini-acikladi/</w:t>
        </w:r>
      </w:hyperlink>
      <w:r w:rsidRPr="00E0308F">
        <w:rPr>
          <w:rFonts w:ascii="Times New Roman" w:hAnsi="Times New Roman" w:cs="Times New Roman"/>
          <w:color w:val="000000" w:themeColor="text1"/>
        </w:rPr>
        <w:t>, Erişim tarihi: 15.03.2021). Modern müzecilikte, sanal müze, dokunulabilir müze, mobil müze ve vakıf müzeleri olmak üzere dört temel yaklaşımdan söz edilmektedir (Keleş, 2010: s. 6). 1980’lerde Marlyn Hood yaptığı çalışmada müzeler de dahil olmak üzere rekreasyon alanlarında konukların altı tür fayda ve değer aradığını ifade etmiştir. Bunlar, insanlarla sosyal etkileşimde bulunmak, değerli bir şey yapmak, bulunulan ortamda rahat hissetmek, yeni ve dikkat çe</w:t>
      </w:r>
      <w:r w:rsidRPr="00164238">
        <w:rPr>
          <w:rFonts w:ascii="Times New Roman" w:hAnsi="Times New Roman" w:cs="Times New Roman"/>
          <w:color w:val="000000" w:themeColor="text1"/>
        </w:rPr>
        <w:t>kici olanla ilgilenmek ya da alışılmışın dışında deneyim yaşamak, öğrenme fırsatına sahip olmak ve aktif olarak katılmaktır (Kotler ve Kotler, 2000: s. 276).</w:t>
      </w:r>
    </w:p>
    <w:p w14:paraId="4A4B7B3E" w14:textId="1D8A76F2" w:rsidR="00CB6608" w:rsidRPr="00164238" w:rsidRDefault="00CB6608" w:rsidP="00CB6608">
      <w:pPr>
        <w:tabs>
          <w:tab w:val="left" w:pos="0"/>
        </w:tabs>
        <w:spacing w:line="360"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b/>
        <w:t xml:space="preserve">Müzeler aktif olarak katılım sağlanması için; her yaştan konuğa, farklı ilgilere, öğrenme, eğlenme, boş zaman değerlendirme, sosyalleşme gereksinimlerine uygun düzenlenmiş bir dizi etkinlikler planlamaktadırlar. Bu etkinlikler; klasik müze anlayışında da yer alan rehberli-rehbersiz müze turları, sanal ortamda da gezilebilen müze turları, müzelerin okul dışı eğitim ortamları olarak </w:t>
      </w:r>
      <w:r w:rsidRPr="00164238">
        <w:rPr>
          <w:rFonts w:ascii="Times New Roman" w:hAnsi="Times New Roman" w:cs="Times New Roman"/>
          <w:color w:val="000000" w:themeColor="text1"/>
        </w:rPr>
        <w:lastRenderedPageBreak/>
        <w:t>kullanılması amacıyla ders konuları ile bağlantılı eğitim programları, çeşitli temalarda eğitim kampları, müzenin bulunduğu çevre ile etkileşimini sağlayan festivaller, yarışmalar, konserler, anı-masal-deneyim aktarma buluşmaları, film günleri, dans-tiyatro gösterileri, amaç ve işlevlerine göre çalıştaylar, kurslar, vb. etkinliklerdir (Karadeniz, 2015: s. 85).</w:t>
      </w:r>
    </w:p>
    <w:p w14:paraId="4CC3CE58" w14:textId="77777777" w:rsidR="00CB6608" w:rsidRPr="00164238" w:rsidRDefault="00CB6608" w:rsidP="00CB6608">
      <w:pPr>
        <w:spacing w:line="360" w:lineRule="auto"/>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Müze deneyimi, görme, duyma ve fiziksel hareketi birleştiren yoğun duyusal uyarıcılar içeren, konukların doğrudan katıldıkları etkinliklerle gerçekleştirilmektedir. Konukların seyirci olmanın ötesinde kendilerini içine çeken ortamda ve farklı uyaranlarla müze ziyareti eşsiz ve unutulmaz olmaktadır (Kotler ve Kotler, 2000: s. 276).</w:t>
      </w:r>
    </w:p>
    <w:p w14:paraId="0ECFD120" w14:textId="77777777" w:rsidR="00CB6608" w:rsidRPr="00164238" w:rsidRDefault="00CB6608" w:rsidP="00C57500">
      <w:pPr>
        <w:spacing w:line="360" w:lineRule="auto"/>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Günümüzde müzeler, müze eğitimi faaliyetlerine önem vermektedir. Çağdaş Müzecilik anlayışıyla müzeler, toplumla bağ kuran, müze ve okul işbirliğini sağlayan ve yürüten, eğitimi programlayan eğitim bölümlerini kurmuşlardır. Müzelerin eğitim programlarına bakıldığında pek çok deneyim sunumu görülmektedir. Müzeler, hem duygusal hem de bilişsel deneyim odaklı, deneyim tüketilen hizmet yerleri olarak kabul edilmektedir. Müzede yaşanan deneyimler, konukların duygu ve davranışlarını şekillendiren, müzedeki uygulamalara ilişkin öznel algılarını içeren karmaşık faktörlerin birleşimi olmaktadır (Chan, 2009: s. 175).</w:t>
      </w:r>
    </w:p>
    <w:p w14:paraId="55967338" w14:textId="77777777" w:rsidR="00CB6608" w:rsidRPr="00164238" w:rsidRDefault="00CB6608" w:rsidP="00C57500">
      <w:pPr>
        <w:spacing w:line="360" w:lineRule="auto"/>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Müzelerin eğitim boyutunu geliştirerek konukların sanata daha fazla dahil olmalarını sağlayarak ziyaretin tekrarlanmasını ve düzenli konuklarının sayısını artırması mümkün olmaktadır. Sanat deneyimi, eğlenceli ve eğitici yönü duyusal uyarıcılarla konukları deneyimin içine çekmekte, gerçeklerden uzaklaştırma ve sanatsal yönü ile de deneyime yoğunlaşmayı sağlamaktadır (Petkus, 2002: s. 51). 1780’lerde Amerikalı müzeci Charles Willson Peale, Philadelphia’da açtığı müzeyi eğitim içerikleri ile birlikte rekreasyon için tasarlanmış mekan ve deneyimlerden oluşan bir bütün, “rasyonel eğlence merkezi” olarak tanımlamıştır. Müzenin sunduğu çekici, eğlenceli sunum ve tasarım eğitici eğlence kavramı ile örtüşmekte ve eğitim hedeflerine ulaşmayı kolaylaştırmaktadır (Kotler ve Kotler, 2000: s. 282-283).</w:t>
      </w:r>
    </w:p>
    <w:p w14:paraId="07CF06D6" w14:textId="77777777" w:rsidR="00CB6608" w:rsidRPr="00164238" w:rsidRDefault="00CB6608" w:rsidP="00C57500">
      <w:pPr>
        <w:spacing w:line="360" w:lineRule="auto"/>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Müzelerdeki deneyime ilişkin, bir müze ziyaretinde konukların fiziksel, entelektüel, sosyal ve duygusal olarak yaşamının farklı boyutlarını birleşik şekilde gerçekleştiğini söylemek mümkün olmaktadır. (Pekarik vd.,1999: s. 153). Müze deneyimi, her bir konuğun müze ile her etkileşime girdiğinde eşsiz olarak yaşanan anlık ve yapılandırılmış ilişki ile gerçekleşmektedir (Falk, 2016: s. 158).  </w:t>
      </w:r>
    </w:p>
    <w:p w14:paraId="2C45EAE7" w14:textId="77777777" w:rsidR="00CB6608" w:rsidRPr="00164238" w:rsidRDefault="00CB6608" w:rsidP="00CB6608">
      <w:pPr>
        <w:tabs>
          <w:tab w:val="left" w:pos="0"/>
        </w:tabs>
        <w:spacing w:line="360" w:lineRule="auto"/>
        <w:jc w:val="both"/>
        <w:rPr>
          <w:rFonts w:ascii="Times New Roman" w:hAnsi="Times New Roman" w:cs="Times New Roman"/>
          <w:b/>
          <w:color w:val="000000" w:themeColor="text1"/>
        </w:rPr>
      </w:pPr>
      <w:r w:rsidRPr="00164238">
        <w:rPr>
          <w:rFonts w:ascii="Times New Roman" w:hAnsi="Times New Roman" w:cs="Times New Roman"/>
          <w:b/>
          <w:color w:val="000000" w:themeColor="text1"/>
        </w:rPr>
        <w:t>Çocuk Müzeleri</w:t>
      </w:r>
    </w:p>
    <w:p w14:paraId="11516B60" w14:textId="5D436D82" w:rsidR="00CB6608" w:rsidRPr="00164238" w:rsidRDefault="00C57500" w:rsidP="00CB6608">
      <w:pPr>
        <w:tabs>
          <w:tab w:val="left" w:pos="0"/>
        </w:tabs>
        <w:spacing w:line="360"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b/>
      </w:r>
      <w:r w:rsidR="00CB6608" w:rsidRPr="00164238">
        <w:rPr>
          <w:rFonts w:ascii="Times New Roman" w:hAnsi="Times New Roman" w:cs="Times New Roman"/>
          <w:color w:val="000000" w:themeColor="text1"/>
        </w:rPr>
        <w:t xml:space="preserve">Müzeler depoladıkları, sergiledikleri, korudukları koleksiyon çeşitlerine göre sınıflandırılmaktadırlar. Örnek olarak, arkeoloji müzesi, doğa tarihi müzesi, tarih müzesi, etnografya ve </w:t>
      </w:r>
      <w:r w:rsidR="00CB6608" w:rsidRPr="00164238">
        <w:rPr>
          <w:rFonts w:ascii="Times New Roman" w:hAnsi="Times New Roman" w:cs="Times New Roman"/>
          <w:color w:val="000000" w:themeColor="text1"/>
        </w:rPr>
        <w:lastRenderedPageBreak/>
        <w:t>antropoloji müzesi, üniversite müzesi, sanat müzesi (ulusal galeri gibi), çağdaş sanat müzesi, oyuncak müzesi, çocuk müzesi, sanayi ve teknoloji müzesi, kurum müzeleri, anatomi, göç, kadın müzeleri verilebilmektedir. Bunlar içerisinde en çok deneyim sunumu gerçekleştirilen müze çocuk müzeleri olmaktadır.</w:t>
      </w:r>
    </w:p>
    <w:p w14:paraId="7B90F1FA" w14:textId="77777777" w:rsidR="00CB6608" w:rsidRPr="00164238" w:rsidRDefault="00CB6608" w:rsidP="00C57500">
      <w:pPr>
        <w:spacing w:line="360" w:lineRule="auto"/>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Çocuk müzeleri, genellikle 0-12 yaş arası çocukları hedef kitle olarak belirleyen ve gelişimlerini esas alarak, öğrenme odaklı, tüm yaş gruplarından konukların yaşanan çevrede ve dünyada olanlara tanıklık etmelerini sağlayan bilgi ve materyalleri araştırıp, inceleyip, depolayan ve sergileyen merkezler olmaktadır (Karadeniz, 2010: s. 170).  Çocuklar buralarda, kendileri için özel olarak tasarlanmış olan ortamlarda oyun ve keşif yoluyla bir öğrenme sürecinin içerisinde bulunmaktadır. Çocuk müzeleri, etkileşimli ve eğlenceli öğrenim deneyimleri sunmaktadır. Çocukların ebeveynleri ya da hayatlarındaki diğer yetişkinlerle oynayarak öğrenebileceği alan sağlamaktadır (ACMa, </w:t>
      </w:r>
      <w:hyperlink r:id="rId27" w:history="1">
        <w:r w:rsidRPr="00A40273">
          <w:t>www.findachildrensmuseum.org/about/</w:t>
        </w:r>
      </w:hyperlink>
      <w:r w:rsidRPr="00164238">
        <w:rPr>
          <w:rFonts w:ascii="Times New Roman" w:hAnsi="Times New Roman" w:cs="Times New Roman"/>
          <w:color w:val="000000" w:themeColor="text1"/>
        </w:rPr>
        <w:t xml:space="preserve">  Erişim tarihi: 19.03.2021).</w:t>
      </w:r>
    </w:p>
    <w:p w14:paraId="029FF531" w14:textId="77777777" w:rsidR="00CB6608" w:rsidRPr="00164238" w:rsidRDefault="00CB6608" w:rsidP="00C57500">
      <w:pPr>
        <w:spacing w:line="360" w:lineRule="auto"/>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Çocuk müzelerinin odak noktası koleksiyondan çok çocuk katılımcılar olmaktadır.  Yaparak, dokunarak, konuşarak ve etkinliklerle çocuk merkezli öğrenme süreci gerçekleştirilmektedir (Zilcioğlu, 2008: s. 9). Çocuk müzeleri, bilinenden bilinmeyene varma sürecinde öğrenme motivasyonunu artıran, çocuğa seçimler yaptıran, çağdaş öğrenme ve keşif merkezleri olmaktadır (Karadeniz, 2013: s. 255). </w:t>
      </w:r>
    </w:p>
    <w:p w14:paraId="4D8E0588" w14:textId="77777777" w:rsidR="00CB6608" w:rsidRPr="00164238" w:rsidRDefault="00CB6608" w:rsidP="00C57500">
      <w:pPr>
        <w:spacing w:line="360" w:lineRule="auto"/>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Çocuk müzelerini diğer müzelerden ayıran özelliği tüm duyularını kullanarak müzeyi algılamasının sağlanması, özellikle dokunma duyusunun yoğun olarak kullanılarak müzede deneyimleyerek öğrenmelerinin desteklenmesi olmasıdır (Demir ve Demiraslan, 2020: s. 400). Çocuk müzeleri, konularına göre ayrılmış olan odalarda oluşturulan konsept ile konukları olan çocukları deneyim sunumunda dekor olan fiziki unsurlarla karşılamaktadırlar. Çocuk müzeleri çocuklara ve yetişkinlere müze gezisinden çok deneyim sunmaktadır (Zilcioğlu, 2008: s. 11). Çocuğu ve eğitimi odakta tutan müze, sergi alanları, oyun odaları, bilgi merkezleri, kütüphane, eğitim ve uygulama atölyeleri ve diğer ihtiyaçlar için tasarlanan bölümlere sahiptir. Müzede yer alan her fiziki unsur çocuğa deneyim yaşatmak amacıyla vardır. Dokunup, oynayabileceği, çalıştırabileceği, kullanabileceği biçimde düzenlenmiştir. Çocukluk kültürüne ilişkin orijinal nesnelere, oyuncaklara ait bir koleksiyon sergiliyorsa bunların replikalarını da bulundurarak ve onlara dokunarak, kullanarak deneyim yaşamalarına fırsat vermektedir.</w:t>
      </w:r>
    </w:p>
    <w:p w14:paraId="5C771D1B" w14:textId="77777777" w:rsidR="00CB6608" w:rsidRPr="00164238" w:rsidRDefault="00CB6608" w:rsidP="00C57500">
      <w:pPr>
        <w:spacing w:line="360" w:lineRule="auto"/>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Çocuk müzelerinin varlığının amacı, çocukların hayata ilişkin konulara ilgisini artırmak, ince zevklere sahip olmalarını sağlamak, arkadaş ve aileleriyle birlikte eğlenceli zaman geçirmelerini sağlamak ve öğretmenlere yaratıcı programlar sunarak serbest bir öğrenme ortamı oluşturmaktır </w:t>
      </w:r>
      <w:r w:rsidRPr="00164238">
        <w:rPr>
          <w:rFonts w:ascii="Times New Roman" w:hAnsi="Times New Roman" w:cs="Times New Roman"/>
          <w:color w:val="000000" w:themeColor="text1"/>
        </w:rPr>
        <w:lastRenderedPageBreak/>
        <w:t xml:space="preserve">(Karadeniz, 2010, s. 170). Etkileşim, yaparak öğrenme, müzede bulunulan süre boyunca yeni ve keyifli deneyimler sunma çocuk müzelerinin temel amacı olmaktadır. Müzedeki tüm planlanmış etkinlikler çocuğun sosyal, duygusal ve bilişsel gelişimine önemli katkılarda bulunmaktadır. Çocuk bu süreci kendisi tek başına deneyimleyebildiği gibi yaşıtları ve ailesiyle de deneyimleyebilmektedir. </w:t>
      </w:r>
    </w:p>
    <w:p w14:paraId="60A47876" w14:textId="77777777" w:rsidR="00CB6608" w:rsidRPr="00164238" w:rsidRDefault="00CB6608" w:rsidP="00C57500">
      <w:pPr>
        <w:spacing w:line="360" w:lineRule="auto"/>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Dünyadaki çocuk müzelerinin çalışmalarına baktığımızda, Brooklyn çocuk müzesi, çocuk müzelerinin ilk örneği olmaktadır. Brooklyn Çocuk Müzesi öğrencileri, müze eğitmenleri tarafından yönetilen, müfredatı desteklemek ve genişletmek için tasarlanan rehberli atölyelere katılmaya, doğa bilimleri örneklerini ve kültürel eserleri, canlı hayvanlar ve kalıcı sergilerden oluşan koleksiyonlarını görmeye davet etmektedir. Öğrenciler, müzede uygulamalı, sürükleyici ve unutulmaz deneyimler sunan disiplinler arası, sorgulamaya dayalı programlara katılmaktadır (</w:t>
      </w:r>
      <w:hyperlink r:id="rId28" w:history="1">
        <w:r w:rsidRPr="00A40273">
          <w:t>https://www.brooklynkids.org/</w:t>
        </w:r>
      </w:hyperlink>
      <w:r w:rsidRPr="00164238">
        <w:rPr>
          <w:rFonts w:ascii="Times New Roman" w:hAnsi="Times New Roman" w:cs="Times New Roman"/>
          <w:color w:val="000000" w:themeColor="text1"/>
        </w:rPr>
        <w:t xml:space="preserve"> erişim tarihi:16.03.2021).</w:t>
      </w:r>
    </w:p>
    <w:p w14:paraId="20AE3709" w14:textId="77777777" w:rsidR="00CB6608" w:rsidRPr="00164238" w:rsidRDefault="00CB6608" w:rsidP="00C57500">
      <w:pPr>
        <w:spacing w:line="360" w:lineRule="auto"/>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Bir başka çocuk müzesi örneği olarak, Manhattan çocuk müzesi,  erken çocukluk döneminden itibaren çocuklara yaşamları boyunca fayda sağlama amacıyla özel ilgilerine göre yaratıcılık, sağlık ve dünya kültürlerini içeren eğitimler sunmaktadır. Sanat ve bilimin kesiştiği noktada deneyimler yaratarak çocukların ve ailelerin evde, okulda ve toplumda gelişmesine yardımcı olmaktadır. Bu deneyimler, sergi gezileri, atölye çalışmaları, performanslar ve festivaller ile yaşatılmaktadır. Müze, devlet kurumlarıyla, kültürel, akademik, sanat, sivil toplum gruplarıyla ortaklıklar yaparak birlikte çalışmakta ve gezici müze olarak da erişimi olmayan dezavantajlı gruplara ulaşmaktadır (</w:t>
      </w:r>
      <w:hyperlink r:id="rId29" w:history="1">
        <w:r w:rsidRPr="00164238">
          <w:rPr>
            <w:rStyle w:val="Balk1Char"/>
            <w:rFonts w:ascii="Times New Roman" w:hAnsi="Times New Roman" w:cs="Times New Roman"/>
            <w:color w:val="000000" w:themeColor="text1"/>
          </w:rPr>
          <w:t>https://cmom.org/</w:t>
        </w:r>
      </w:hyperlink>
      <w:r w:rsidRPr="00164238">
        <w:rPr>
          <w:rStyle w:val="Balk1Char"/>
          <w:rFonts w:ascii="Times New Roman" w:hAnsi="Times New Roman" w:cs="Times New Roman"/>
          <w:color w:val="000000" w:themeColor="text1"/>
        </w:rPr>
        <w:t xml:space="preserve"> </w:t>
      </w:r>
      <w:r w:rsidRPr="00164238">
        <w:rPr>
          <w:rFonts w:ascii="Times New Roman" w:hAnsi="Times New Roman" w:cs="Times New Roman"/>
          <w:color w:val="000000" w:themeColor="text1"/>
        </w:rPr>
        <w:t>erişim tarihi:16.03.2021).</w:t>
      </w:r>
    </w:p>
    <w:p w14:paraId="56822AE3" w14:textId="77777777" w:rsidR="00CB6608" w:rsidRPr="00164238" w:rsidRDefault="00CB6608" w:rsidP="00CB6608">
      <w:pPr>
        <w:spacing w:line="360" w:lineRule="auto"/>
        <w:jc w:val="both"/>
        <w:rPr>
          <w:rFonts w:ascii="Times New Roman" w:hAnsi="Times New Roman" w:cs="Times New Roman"/>
          <w:b/>
          <w:color w:val="000000" w:themeColor="text1"/>
        </w:rPr>
      </w:pPr>
      <w:r w:rsidRPr="00164238">
        <w:rPr>
          <w:rFonts w:ascii="Times New Roman" w:hAnsi="Times New Roman" w:cs="Times New Roman"/>
          <w:b/>
          <w:color w:val="000000" w:themeColor="text1"/>
        </w:rPr>
        <w:t>Yöntem</w:t>
      </w:r>
    </w:p>
    <w:p w14:paraId="5AB41F67" w14:textId="77777777" w:rsidR="00CB6608" w:rsidRPr="00164238" w:rsidRDefault="00CB6608" w:rsidP="00C57500">
      <w:pPr>
        <w:spacing w:line="360" w:lineRule="auto"/>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Araştırmanın metodolojisinde nitel araştırma yöntemi kullanılmıştır. Araştırma deseni durum çalışması olmaktadır. Durum çalışmasının en temel özelliği araştırılan durumun sınırlandırılmış olmasıdır (Merriam, 2018: s. 40). Bu çalışmada, Covid-19 pandemi sürecinde Çocuk Müzeleri Derneği üyesi olan çocuk müzelerinin deneyim sunumları incelenmiştir. “Pandemi sürecinde çocuk müzeleri konuklarına nasıl ve hangi deneyimleri sunmaktadır?” Araştırma sorusuna yanıt aranmıştır. Amaçlı örnekleme yöntemi ile Çocuk Müzeleri Derneği üyesi olan 249 adet çocuk müzesi örneklem olarak belirlenmiştir. Veri toplama yöntemi olarak örneklemde olan çocuk müzelerine ilişkin yazılı materyal, elektronik veri kaynağı olarak kullanılmıştır. </w:t>
      </w:r>
    </w:p>
    <w:p w14:paraId="292D630A" w14:textId="51A89811" w:rsidR="00A40273" w:rsidRDefault="00A40273" w:rsidP="00CB6608">
      <w:pPr>
        <w:spacing w:line="360" w:lineRule="auto"/>
        <w:rPr>
          <w:rFonts w:ascii="Times New Roman" w:hAnsi="Times New Roman" w:cs="Times New Roman"/>
          <w:b/>
          <w:color w:val="000000" w:themeColor="text1"/>
        </w:rPr>
      </w:pPr>
    </w:p>
    <w:p w14:paraId="4BDEA715" w14:textId="77777777" w:rsidR="00E0308F" w:rsidRDefault="00E0308F" w:rsidP="00CB6608">
      <w:pPr>
        <w:spacing w:line="360" w:lineRule="auto"/>
        <w:rPr>
          <w:rFonts w:ascii="Times New Roman" w:hAnsi="Times New Roman" w:cs="Times New Roman"/>
          <w:b/>
          <w:color w:val="000000" w:themeColor="text1"/>
        </w:rPr>
      </w:pPr>
    </w:p>
    <w:p w14:paraId="5EE501E9" w14:textId="77777777" w:rsidR="00A40273" w:rsidRDefault="00A40273" w:rsidP="00CB6608">
      <w:pPr>
        <w:spacing w:line="360" w:lineRule="auto"/>
        <w:rPr>
          <w:rFonts w:ascii="Times New Roman" w:hAnsi="Times New Roman" w:cs="Times New Roman"/>
          <w:b/>
          <w:color w:val="000000" w:themeColor="text1"/>
        </w:rPr>
      </w:pPr>
    </w:p>
    <w:p w14:paraId="5797F7F3" w14:textId="1BC329F5" w:rsidR="00CB6608" w:rsidRPr="00164238" w:rsidRDefault="00CB6608" w:rsidP="00CB6608">
      <w:pPr>
        <w:spacing w:line="360" w:lineRule="auto"/>
        <w:rPr>
          <w:rFonts w:ascii="Times New Roman" w:hAnsi="Times New Roman" w:cs="Times New Roman"/>
          <w:b/>
          <w:color w:val="000000" w:themeColor="text1"/>
        </w:rPr>
      </w:pPr>
      <w:r w:rsidRPr="00164238">
        <w:rPr>
          <w:rFonts w:ascii="Times New Roman" w:hAnsi="Times New Roman" w:cs="Times New Roman"/>
          <w:b/>
          <w:color w:val="000000" w:themeColor="text1"/>
        </w:rPr>
        <w:t>Bulgular ve Sonuçlar</w:t>
      </w:r>
    </w:p>
    <w:p w14:paraId="7C100269" w14:textId="77777777" w:rsidR="00CB6608" w:rsidRPr="00164238" w:rsidRDefault="00CB6608" w:rsidP="00CB6608">
      <w:pPr>
        <w:rPr>
          <w:rFonts w:ascii="Times New Roman" w:hAnsi="Times New Roman" w:cs="Times New Roman"/>
          <w:b/>
          <w:color w:val="000000" w:themeColor="text1"/>
        </w:rPr>
      </w:pPr>
      <w:r w:rsidRPr="00164238">
        <w:rPr>
          <w:rFonts w:ascii="Times New Roman" w:hAnsi="Times New Roman" w:cs="Times New Roman"/>
          <w:b/>
          <w:color w:val="000000" w:themeColor="text1"/>
        </w:rPr>
        <w:t xml:space="preserve">Tablo 1. Covid -19 Pandemi Döneminde Çevrim İçi Deneyim Sunma Kanalları </w:t>
      </w:r>
    </w:p>
    <w:tbl>
      <w:tblPr>
        <w:tblW w:w="0" w:type="auto"/>
        <w:tblLook w:val="04A0" w:firstRow="1" w:lastRow="0" w:firstColumn="1" w:lastColumn="0" w:noHBand="0" w:noVBand="1"/>
      </w:tblPr>
      <w:tblGrid>
        <w:gridCol w:w="7366"/>
        <w:gridCol w:w="851"/>
        <w:gridCol w:w="845"/>
      </w:tblGrid>
      <w:tr w:rsidR="00164238" w:rsidRPr="00164238" w14:paraId="741B0BCF" w14:textId="77777777" w:rsidTr="00682CBF">
        <w:tc>
          <w:tcPr>
            <w:tcW w:w="7366" w:type="dxa"/>
          </w:tcPr>
          <w:p w14:paraId="0D396DE2" w14:textId="77777777" w:rsidR="00CB6608" w:rsidRPr="00164238" w:rsidRDefault="00CB6608" w:rsidP="00A40273">
            <w:pPr>
              <w:spacing w:after="0" w:line="240" w:lineRule="auto"/>
              <w:rPr>
                <w:rFonts w:ascii="Times New Roman" w:hAnsi="Times New Roman" w:cs="Times New Roman"/>
                <w:b/>
                <w:color w:val="000000" w:themeColor="text1"/>
              </w:rPr>
            </w:pPr>
          </w:p>
          <w:p w14:paraId="6F3934C4" w14:textId="77777777" w:rsidR="00CB6608" w:rsidRPr="00164238" w:rsidRDefault="00CB6608" w:rsidP="00A40273">
            <w:pPr>
              <w:spacing w:after="0" w:line="240" w:lineRule="auto"/>
              <w:rPr>
                <w:rFonts w:ascii="Times New Roman" w:hAnsi="Times New Roman" w:cs="Times New Roman"/>
                <w:color w:val="000000" w:themeColor="text1"/>
              </w:rPr>
            </w:pPr>
          </w:p>
        </w:tc>
        <w:tc>
          <w:tcPr>
            <w:tcW w:w="851" w:type="dxa"/>
          </w:tcPr>
          <w:p w14:paraId="00AA2FDA" w14:textId="77777777" w:rsidR="00CB6608" w:rsidRPr="00164238" w:rsidRDefault="00CB6608" w:rsidP="00A40273">
            <w:pPr>
              <w:spacing w:after="0" w:line="240" w:lineRule="auto"/>
              <w:rPr>
                <w:rFonts w:ascii="Times New Roman" w:hAnsi="Times New Roman" w:cs="Times New Roman"/>
                <w:b/>
                <w:color w:val="000000" w:themeColor="text1"/>
              </w:rPr>
            </w:pPr>
            <w:r w:rsidRPr="00164238">
              <w:rPr>
                <w:rFonts w:ascii="Times New Roman" w:hAnsi="Times New Roman" w:cs="Times New Roman"/>
                <w:b/>
                <w:color w:val="000000" w:themeColor="text1"/>
              </w:rPr>
              <w:t>f</w:t>
            </w:r>
          </w:p>
        </w:tc>
        <w:tc>
          <w:tcPr>
            <w:tcW w:w="845" w:type="dxa"/>
          </w:tcPr>
          <w:p w14:paraId="1BFA805C" w14:textId="77777777" w:rsidR="00CB6608" w:rsidRPr="00164238" w:rsidRDefault="00CB6608" w:rsidP="00A40273">
            <w:pPr>
              <w:spacing w:after="0" w:line="240" w:lineRule="auto"/>
              <w:rPr>
                <w:rFonts w:ascii="Times New Roman" w:hAnsi="Times New Roman" w:cs="Times New Roman"/>
                <w:b/>
                <w:color w:val="000000" w:themeColor="text1"/>
              </w:rPr>
            </w:pPr>
            <w:r w:rsidRPr="00164238">
              <w:rPr>
                <w:rFonts w:ascii="Times New Roman" w:hAnsi="Times New Roman" w:cs="Times New Roman"/>
                <w:b/>
                <w:color w:val="000000" w:themeColor="text1"/>
              </w:rPr>
              <w:t>%</w:t>
            </w:r>
          </w:p>
        </w:tc>
      </w:tr>
      <w:tr w:rsidR="00164238" w:rsidRPr="00164238" w14:paraId="7C469BC2" w14:textId="77777777" w:rsidTr="00682CBF">
        <w:tc>
          <w:tcPr>
            <w:tcW w:w="7366" w:type="dxa"/>
          </w:tcPr>
          <w:p w14:paraId="4CA0E6FE"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Facebook</w:t>
            </w:r>
          </w:p>
          <w:p w14:paraId="53CA77F6" w14:textId="77777777" w:rsidR="00CB6608" w:rsidRPr="00164238" w:rsidRDefault="00CB6608" w:rsidP="00A40273">
            <w:pPr>
              <w:spacing w:after="0" w:line="240" w:lineRule="auto"/>
              <w:rPr>
                <w:rFonts w:ascii="Times New Roman" w:hAnsi="Times New Roman" w:cs="Times New Roman"/>
                <w:color w:val="000000" w:themeColor="text1"/>
              </w:rPr>
            </w:pPr>
          </w:p>
        </w:tc>
        <w:tc>
          <w:tcPr>
            <w:tcW w:w="851" w:type="dxa"/>
          </w:tcPr>
          <w:p w14:paraId="19690278"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247</w:t>
            </w:r>
          </w:p>
        </w:tc>
        <w:tc>
          <w:tcPr>
            <w:tcW w:w="845" w:type="dxa"/>
          </w:tcPr>
          <w:p w14:paraId="6C9070DC"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99.1</w:t>
            </w:r>
          </w:p>
        </w:tc>
      </w:tr>
      <w:tr w:rsidR="00164238" w:rsidRPr="00164238" w14:paraId="1AA1FA03" w14:textId="77777777" w:rsidTr="00682CBF">
        <w:tc>
          <w:tcPr>
            <w:tcW w:w="7366" w:type="dxa"/>
          </w:tcPr>
          <w:p w14:paraId="3BD25AC9"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Twitter</w:t>
            </w:r>
          </w:p>
          <w:p w14:paraId="0FF1ADDC" w14:textId="77777777" w:rsidR="00CB6608" w:rsidRPr="00164238" w:rsidRDefault="00CB6608" w:rsidP="00A40273">
            <w:pPr>
              <w:spacing w:after="0" w:line="240" w:lineRule="auto"/>
              <w:rPr>
                <w:rFonts w:ascii="Times New Roman" w:hAnsi="Times New Roman" w:cs="Times New Roman"/>
                <w:color w:val="000000" w:themeColor="text1"/>
              </w:rPr>
            </w:pPr>
          </w:p>
        </w:tc>
        <w:tc>
          <w:tcPr>
            <w:tcW w:w="851" w:type="dxa"/>
          </w:tcPr>
          <w:p w14:paraId="45A7866C"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187</w:t>
            </w:r>
          </w:p>
        </w:tc>
        <w:tc>
          <w:tcPr>
            <w:tcW w:w="845" w:type="dxa"/>
          </w:tcPr>
          <w:p w14:paraId="46DCAB3C"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75.1</w:t>
            </w:r>
          </w:p>
        </w:tc>
      </w:tr>
      <w:tr w:rsidR="00164238" w:rsidRPr="00164238" w14:paraId="3630C0B3" w14:textId="77777777" w:rsidTr="00682CBF">
        <w:tc>
          <w:tcPr>
            <w:tcW w:w="7366" w:type="dxa"/>
          </w:tcPr>
          <w:p w14:paraId="5300F711"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Instagram</w:t>
            </w:r>
          </w:p>
          <w:p w14:paraId="671326EF" w14:textId="77777777" w:rsidR="00CB6608" w:rsidRPr="00164238" w:rsidRDefault="00CB6608" w:rsidP="00A40273">
            <w:pPr>
              <w:spacing w:after="0" w:line="240" w:lineRule="auto"/>
              <w:rPr>
                <w:rFonts w:ascii="Times New Roman" w:hAnsi="Times New Roman" w:cs="Times New Roman"/>
                <w:color w:val="000000" w:themeColor="text1"/>
              </w:rPr>
            </w:pPr>
          </w:p>
        </w:tc>
        <w:tc>
          <w:tcPr>
            <w:tcW w:w="851" w:type="dxa"/>
          </w:tcPr>
          <w:p w14:paraId="64C97DE8"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164</w:t>
            </w:r>
          </w:p>
        </w:tc>
        <w:tc>
          <w:tcPr>
            <w:tcW w:w="845" w:type="dxa"/>
          </w:tcPr>
          <w:p w14:paraId="20F01A61"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65.8</w:t>
            </w:r>
          </w:p>
        </w:tc>
      </w:tr>
      <w:tr w:rsidR="00CB6608" w:rsidRPr="00164238" w14:paraId="5FFCD1F7" w14:textId="77777777" w:rsidTr="00682CBF">
        <w:tc>
          <w:tcPr>
            <w:tcW w:w="7366" w:type="dxa"/>
          </w:tcPr>
          <w:p w14:paraId="075D551E"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YouTube</w:t>
            </w:r>
          </w:p>
          <w:p w14:paraId="22971B52" w14:textId="77777777" w:rsidR="00CB6608" w:rsidRPr="00164238" w:rsidRDefault="00CB6608" w:rsidP="00A40273">
            <w:pPr>
              <w:spacing w:after="0" w:line="240" w:lineRule="auto"/>
              <w:rPr>
                <w:rFonts w:ascii="Times New Roman" w:hAnsi="Times New Roman" w:cs="Times New Roman"/>
                <w:color w:val="000000" w:themeColor="text1"/>
              </w:rPr>
            </w:pPr>
          </w:p>
        </w:tc>
        <w:tc>
          <w:tcPr>
            <w:tcW w:w="851" w:type="dxa"/>
          </w:tcPr>
          <w:p w14:paraId="19FFCDD7"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101</w:t>
            </w:r>
          </w:p>
        </w:tc>
        <w:tc>
          <w:tcPr>
            <w:tcW w:w="845" w:type="dxa"/>
          </w:tcPr>
          <w:p w14:paraId="05887BAA"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40.5</w:t>
            </w:r>
          </w:p>
        </w:tc>
      </w:tr>
    </w:tbl>
    <w:p w14:paraId="18E6BC0E" w14:textId="77777777" w:rsidR="00C57500" w:rsidRPr="00164238" w:rsidRDefault="00C57500" w:rsidP="00CB6608">
      <w:pPr>
        <w:spacing w:line="360" w:lineRule="auto"/>
        <w:rPr>
          <w:rFonts w:ascii="Times New Roman" w:hAnsi="Times New Roman" w:cs="Times New Roman"/>
          <w:color w:val="000000" w:themeColor="text1"/>
        </w:rPr>
      </w:pPr>
    </w:p>
    <w:p w14:paraId="010FED31" w14:textId="66C92140" w:rsidR="00CB6608" w:rsidRPr="00164238" w:rsidRDefault="00CB6608" w:rsidP="00C57500">
      <w:pPr>
        <w:spacing w:line="360" w:lineRule="auto"/>
        <w:ind w:firstLine="708"/>
        <w:rPr>
          <w:rFonts w:ascii="Times New Roman" w:hAnsi="Times New Roman" w:cs="Times New Roman"/>
          <w:color w:val="000000" w:themeColor="text1"/>
        </w:rPr>
      </w:pPr>
      <w:r w:rsidRPr="00164238">
        <w:rPr>
          <w:rFonts w:ascii="Times New Roman" w:hAnsi="Times New Roman" w:cs="Times New Roman"/>
          <w:color w:val="000000" w:themeColor="text1"/>
        </w:rPr>
        <w:t xml:space="preserve">Çocuk Müzeleri Derneğine üye olan 249 Çocuk müzesinin %99.1’i Facebook, %75.1’i Twitter, %65.8 Instagram ve %40.5 YouTube hesaplarını kullanarak deneyim sunumlarını iletmektedir. </w:t>
      </w:r>
    </w:p>
    <w:p w14:paraId="5B0B18F6" w14:textId="77777777" w:rsidR="00CB6608" w:rsidRPr="00164238" w:rsidRDefault="00CB6608" w:rsidP="00CB6608">
      <w:pPr>
        <w:rPr>
          <w:rFonts w:ascii="Times New Roman" w:hAnsi="Times New Roman" w:cs="Times New Roman"/>
          <w:b/>
          <w:color w:val="000000" w:themeColor="text1"/>
        </w:rPr>
      </w:pPr>
      <w:r w:rsidRPr="00164238">
        <w:rPr>
          <w:rFonts w:ascii="Times New Roman" w:hAnsi="Times New Roman" w:cs="Times New Roman"/>
          <w:b/>
          <w:color w:val="000000" w:themeColor="text1"/>
        </w:rPr>
        <w:t>Tablo 2. Covid-19 Pandemi Döneminde Çocuk Müzelerinin Sunduğu Deneyimin Türü</w:t>
      </w:r>
    </w:p>
    <w:tbl>
      <w:tblPr>
        <w:tblW w:w="0" w:type="auto"/>
        <w:tblLook w:val="04A0" w:firstRow="1" w:lastRow="0" w:firstColumn="1" w:lastColumn="0" w:noHBand="0" w:noVBand="1"/>
      </w:tblPr>
      <w:tblGrid>
        <w:gridCol w:w="7366"/>
        <w:gridCol w:w="851"/>
        <w:gridCol w:w="845"/>
      </w:tblGrid>
      <w:tr w:rsidR="00164238" w:rsidRPr="00164238" w14:paraId="48E2E6A0" w14:textId="77777777" w:rsidTr="00682CBF">
        <w:trPr>
          <w:trHeight w:val="368"/>
        </w:trPr>
        <w:tc>
          <w:tcPr>
            <w:tcW w:w="7366" w:type="dxa"/>
          </w:tcPr>
          <w:p w14:paraId="53C97CFE" w14:textId="77777777" w:rsidR="00CB6608" w:rsidRPr="00164238" w:rsidRDefault="00CB6608" w:rsidP="00A40273">
            <w:pPr>
              <w:spacing w:after="0" w:line="240" w:lineRule="auto"/>
              <w:rPr>
                <w:rFonts w:ascii="Times New Roman" w:hAnsi="Times New Roman" w:cs="Times New Roman"/>
                <w:b/>
                <w:color w:val="000000" w:themeColor="text1"/>
              </w:rPr>
            </w:pPr>
          </w:p>
          <w:p w14:paraId="73CD0997" w14:textId="77777777" w:rsidR="00CB6608" w:rsidRPr="00164238" w:rsidRDefault="00CB6608" w:rsidP="00A40273">
            <w:pPr>
              <w:spacing w:after="0" w:line="240" w:lineRule="auto"/>
              <w:rPr>
                <w:rFonts w:ascii="Times New Roman" w:hAnsi="Times New Roman" w:cs="Times New Roman"/>
                <w:b/>
                <w:color w:val="000000" w:themeColor="text1"/>
              </w:rPr>
            </w:pPr>
          </w:p>
        </w:tc>
        <w:tc>
          <w:tcPr>
            <w:tcW w:w="851" w:type="dxa"/>
          </w:tcPr>
          <w:p w14:paraId="1BF5E696" w14:textId="77777777" w:rsidR="00CB6608" w:rsidRPr="00164238" w:rsidRDefault="00CB6608" w:rsidP="00A40273">
            <w:pPr>
              <w:spacing w:after="0" w:line="240" w:lineRule="auto"/>
              <w:jc w:val="center"/>
              <w:rPr>
                <w:rFonts w:ascii="Times New Roman" w:hAnsi="Times New Roman" w:cs="Times New Roman"/>
                <w:b/>
                <w:color w:val="000000" w:themeColor="text1"/>
              </w:rPr>
            </w:pPr>
            <w:r w:rsidRPr="00164238">
              <w:rPr>
                <w:rFonts w:ascii="Times New Roman" w:hAnsi="Times New Roman" w:cs="Times New Roman"/>
                <w:b/>
                <w:color w:val="000000" w:themeColor="text1"/>
              </w:rPr>
              <w:t>f</w:t>
            </w:r>
          </w:p>
        </w:tc>
        <w:tc>
          <w:tcPr>
            <w:tcW w:w="845" w:type="dxa"/>
          </w:tcPr>
          <w:p w14:paraId="439BBE5E" w14:textId="77777777" w:rsidR="00CB6608" w:rsidRPr="00164238" w:rsidRDefault="00CB6608" w:rsidP="00A40273">
            <w:pPr>
              <w:spacing w:after="0" w:line="240" w:lineRule="auto"/>
              <w:jc w:val="center"/>
              <w:rPr>
                <w:rFonts w:ascii="Times New Roman" w:hAnsi="Times New Roman" w:cs="Times New Roman"/>
                <w:b/>
                <w:color w:val="000000" w:themeColor="text1"/>
              </w:rPr>
            </w:pPr>
            <w:r w:rsidRPr="00164238">
              <w:rPr>
                <w:rFonts w:ascii="Times New Roman" w:hAnsi="Times New Roman" w:cs="Times New Roman"/>
                <w:b/>
                <w:color w:val="000000" w:themeColor="text1"/>
              </w:rPr>
              <w:t>%</w:t>
            </w:r>
          </w:p>
        </w:tc>
      </w:tr>
      <w:tr w:rsidR="00164238" w:rsidRPr="00164238" w14:paraId="7931E867" w14:textId="77777777" w:rsidTr="00682CBF">
        <w:tc>
          <w:tcPr>
            <w:tcW w:w="7366" w:type="dxa"/>
          </w:tcPr>
          <w:p w14:paraId="43B67718"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Sanat ve El Sanatları</w:t>
            </w:r>
          </w:p>
          <w:p w14:paraId="4A03ADEF" w14:textId="77777777" w:rsidR="00CB6608" w:rsidRPr="00164238" w:rsidRDefault="00CB6608" w:rsidP="00A40273">
            <w:pPr>
              <w:spacing w:after="0" w:line="240" w:lineRule="auto"/>
              <w:rPr>
                <w:rFonts w:ascii="Times New Roman" w:hAnsi="Times New Roman" w:cs="Times New Roman"/>
                <w:color w:val="000000" w:themeColor="text1"/>
              </w:rPr>
            </w:pPr>
          </w:p>
        </w:tc>
        <w:tc>
          <w:tcPr>
            <w:tcW w:w="851" w:type="dxa"/>
          </w:tcPr>
          <w:p w14:paraId="0A3477FA"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153</w:t>
            </w:r>
          </w:p>
        </w:tc>
        <w:tc>
          <w:tcPr>
            <w:tcW w:w="845" w:type="dxa"/>
          </w:tcPr>
          <w:p w14:paraId="19EB769B"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61.4</w:t>
            </w:r>
          </w:p>
        </w:tc>
      </w:tr>
      <w:tr w:rsidR="00164238" w:rsidRPr="00164238" w14:paraId="36531059" w14:textId="77777777" w:rsidTr="00682CBF">
        <w:tc>
          <w:tcPr>
            <w:tcW w:w="7366" w:type="dxa"/>
          </w:tcPr>
          <w:p w14:paraId="0AADBE4B"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Müzik</w:t>
            </w:r>
          </w:p>
          <w:p w14:paraId="4669F4EC" w14:textId="77777777" w:rsidR="00CB6608" w:rsidRPr="00164238" w:rsidRDefault="00CB6608" w:rsidP="00A40273">
            <w:pPr>
              <w:spacing w:after="0" w:line="240" w:lineRule="auto"/>
              <w:rPr>
                <w:rFonts w:ascii="Times New Roman" w:hAnsi="Times New Roman" w:cs="Times New Roman"/>
                <w:color w:val="000000" w:themeColor="text1"/>
              </w:rPr>
            </w:pPr>
          </w:p>
        </w:tc>
        <w:tc>
          <w:tcPr>
            <w:tcW w:w="851" w:type="dxa"/>
          </w:tcPr>
          <w:p w14:paraId="69E5EBFB"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40</w:t>
            </w:r>
          </w:p>
        </w:tc>
        <w:tc>
          <w:tcPr>
            <w:tcW w:w="845" w:type="dxa"/>
          </w:tcPr>
          <w:p w14:paraId="349AEBC1"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16</w:t>
            </w:r>
          </w:p>
        </w:tc>
      </w:tr>
      <w:tr w:rsidR="00164238" w:rsidRPr="00164238" w14:paraId="03767BA1" w14:textId="77777777" w:rsidTr="00682CBF">
        <w:tc>
          <w:tcPr>
            <w:tcW w:w="7366" w:type="dxa"/>
          </w:tcPr>
          <w:p w14:paraId="2BA6F9E1"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STEAM</w:t>
            </w:r>
          </w:p>
          <w:p w14:paraId="3FCCF485" w14:textId="77777777" w:rsidR="00CB6608" w:rsidRPr="00164238" w:rsidRDefault="00CB6608" w:rsidP="00A40273">
            <w:pPr>
              <w:spacing w:after="0" w:line="240" w:lineRule="auto"/>
              <w:rPr>
                <w:rFonts w:ascii="Times New Roman" w:hAnsi="Times New Roman" w:cs="Times New Roman"/>
                <w:color w:val="000000" w:themeColor="text1"/>
              </w:rPr>
            </w:pPr>
          </w:p>
        </w:tc>
        <w:tc>
          <w:tcPr>
            <w:tcW w:w="851" w:type="dxa"/>
          </w:tcPr>
          <w:p w14:paraId="34CD6C9B"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174</w:t>
            </w:r>
          </w:p>
        </w:tc>
        <w:tc>
          <w:tcPr>
            <w:tcW w:w="845" w:type="dxa"/>
          </w:tcPr>
          <w:p w14:paraId="47CC4B6D"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69.8</w:t>
            </w:r>
          </w:p>
        </w:tc>
      </w:tr>
      <w:tr w:rsidR="00164238" w:rsidRPr="00164238" w14:paraId="3FCEDC1E" w14:textId="77777777" w:rsidTr="00682CBF">
        <w:tc>
          <w:tcPr>
            <w:tcW w:w="7366" w:type="dxa"/>
          </w:tcPr>
          <w:p w14:paraId="73717998"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Yemek Yapma</w:t>
            </w:r>
          </w:p>
          <w:p w14:paraId="6352BF91" w14:textId="77777777" w:rsidR="00CB6608" w:rsidRPr="00164238" w:rsidRDefault="00CB6608" w:rsidP="00A40273">
            <w:pPr>
              <w:spacing w:after="0" w:line="240" w:lineRule="auto"/>
              <w:rPr>
                <w:rFonts w:ascii="Times New Roman" w:hAnsi="Times New Roman" w:cs="Times New Roman"/>
                <w:color w:val="000000" w:themeColor="text1"/>
              </w:rPr>
            </w:pPr>
          </w:p>
        </w:tc>
        <w:tc>
          <w:tcPr>
            <w:tcW w:w="851" w:type="dxa"/>
          </w:tcPr>
          <w:p w14:paraId="788C078C"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17</w:t>
            </w:r>
          </w:p>
        </w:tc>
        <w:tc>
          <w:tcPr>
            <w:tcW w:w="845" w:type="dxa"/>
          </w:tcPr>
          <w:p w14:paraId="2F0A78F3"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6.8</w:t>
            </w:r>
          </w:p>
        </w:tc>
      </w:tr>
      <w:tr w:rsidR="00164238" w:rsidRPr="00164238" w14:paraId="02310E8B" w14:textId="77777777" w:rsidTr="00682CBF">
        <w:tc>
          <w:tcPr>
            <w:tcW w:w="7366" w:type="dxa"/>
          </w:tcPr>
          <w:p w14:paraId="7DDF3C91"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Hikaye Zamanı</w:t>
            </w:r>
          </w:p>
          <w:p w14:paraId="7823866D" w14:textId="77777777" w:rsidR="00CB6608" w:rsidRPr="00164238" w:rsidRDefault="00CB6608" w:rsidP="00A40273">
            <w:pPr>
              <w:spacing w:after="0" w:line="240" w:lineRule="auto"/>
              <w:rPr>
                <w:rFonts w:ascii="Times New Roman" w:hAnsi="Times New Roman" w:cs="Times New Roman"/>
                <w:color w:val="000000" w:themeColor="text1"/>
              </w:rPr>
            </w:pPr>
          </w:p>
        </w:tc>
        <w:tc>
          <w:tcPr>
            <w:tcW w:w="851" w:type="dxa"/>
          </w:tcPr>
          <w:p w14:paraId="05E8F844"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94</w:t>
            </w:r>
          </w:p>
        </w:tc>
        <w:tc>
          <w:tcPr>
            <w:tcW w:w="845" w:type="dxa"/>
          </w:tcPr>
          <w:p w14:paraId="5588F522"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37.7</w:t>
            </w:r>
          </w:p>
        </w:tc>
      </w:tr>
      <w:tr w:rsidR="00164238" w:rsidRPr="00164238" w14:paraId="0BD176A8" w14:textId="77777777" w:rsidTr="00682CBF">
        <w:tc>
          <w:tcPr>
            <w:tcW w:w="7366" w:type="dxa"/>
          </w:tcPr>
          <w:p w14:paraId="2F07A145"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Hareket/ Egzersiz</w:t>
            </w:r>
          </w:p>
          <w:p w14:paraId="52C2A571" w14:textId="77777777" w:rsidR="00CB6608" w:rsidRPr="00164238" w:rsidRDefault="00CB6608" w:rsidP="00A40273">
            <w:pPr>
              <w:spacing w:after="0" w:line="240" w:lineRule="auto"/>
              <w:rPr>
                <w:rFonts w:ascii="Times New Roman" w:hAnsi="Times New Roman" w:cs="Times New Roman"/>
                <w:color w:val="000000" w:themeColor="text1"/>
              </w:rPr>
            </w:pPr>
          </w:p>
        </w:tc>
        <w:tc>
          <w:tcPr>
            <w:tcW w:w="851" w:type="dxa"/>
          </w:tcPr>
          <w:p w14:paraId="1051B493"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28</w:t>
            </w:r>
          </w:p>
        </w:tc>
        <w:tc>
          <w:tcPr>
            <w:tcW w:w="845" w:type="dxa"/>
          </w:tcPr>
          <w:p w14:paraId="29891AAF"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11.2</w:t>
            </w:r>
          </w:p>
        </w:tc>
      </w:tr>
      <w:tr w:rsidR="00164238" w:rsidRPr="00164238" w14:paraId="0DA8D392" w14:textId="77777777" w:rsidTr="00682CBF">
        <w:tc>
          <w:tcPr>
            <w:tcW w:w="7366" w:type="dxa"/>
          </w:tcPr>
          <w:p w14:paraId="7DC1BEA7"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Okuryazarlık/Dil Gelişimi/Edebiyat</w:t>
            </w:r>
          </w:p>
          <w:p w14:paraId="0CBC12A5" w14:textId="77777777" w:rsidR="00CB6608" w:rsidRPr="00164238" w:rsidRDefault="00CB6608" w:rsidP="00A40273">
            <w:pPr>
              <w:spacing w:after="0" w:line="240" w:lineRule="auto"/>
              <w:rPr>
                <w:rFonts w:ascii="Times New Roman" w:hAnsi="Times New Roman" w:cs="Times New Roman"/>
                <w:color w:val="000000" w:themeColor="text1"/>
              </w:rPr>
            </w:pPr>
          </w:p>
        </w:tc>
        <w:tc>
          <w:tcPr>
            <w:tcW w:w="851" w:type="dxa"/>
          </w:tcPr>
          <w:p w14:paraId="2623EEBA"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11</w:t>
            </w:r>
          </w:p>
        </w:tc>
        <w:tc>
          <w:tcPr>
            <w:tcW w:w="845" w:type="dxa"/>
          </w:tcPr>
          <w:p w14:paraId="4B8A248B"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4.4</w:t>
            </w:r>
          </w:p>
        </w:tc>
      </w:tr>
      <w:tr w:rsidR="00164238" w:rsidRPr="00164238" w14:paraId="69A3231A" w14:textId="77777777" w:rsidTr="00682CBF">
        <w:tc>
          <w:tcPr>
            <w:tcW w:w="7366" w:type="dxa"/>
          </w:tcPr>
          <w:p w14:paraId="20C9512C"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Oyun</w:t>
            </w:r>
          </w:p>
          <w:p w14:paraId="663BC33F" w14:textId="77777777" w:rsidR="00CB6608" w:rsidRPr="00164238" w:rsidRDefault="00CB6608" w:rsidP="00A40273">
            <w:pPr>
              <w:spacing w:after="0" w:line="240" w:lineRule="auto"/>
              <w:rPr>
                <w:rFonts w:ascii="Times New Roman" w:hAnsi="Times New Roman" w:cs="Times New Roman"/>
                <w:color w:val="000000" w:themeColor="text1"/>
              </w:rPr>
            </w:pPr>
          </w:p>
        </w:tc>
        <w:tc>
          <w:tcPr>
            <w:tcW w:w="851" w:type="dxa"/>
          </w:tcPr>
          <w:p w14:paraId="1DBE45EB"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13</w:t>
            </w:r>
          </w:p>
        </w:tc>
        <w:tc>
          <w:tcPr>
            <w:tcW w:w="845" w:type="dxa"/>
          </w:tcPr>
          <w:p w14:paraId="278D0FC8"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5.2</w:t>
            </w:r>
          </w:p>
        </w:tc>
      </w:tr>
      <w:tr w:rsidR="00164238" w:rsidRPr="00164238" w14:paraId="3C877965" w14:textId="77777777" w:rsidTr="00682CBF">
        <w:tc>
          <w:tcPr>
            <w:tcW w:w="7366" w:type="dxa"/>
          </w:tcPr>
          <w:p w14:paraId="3286862C"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Tiyatro</w:t>
            </w:r>
          </w:p>
          <w:p w14:paraId="6DD604C6" w14:textId="77777777" w:rsidR="00CB6608" w:rsidRPr="00164238" w:rsidRDefault="00CB6608" w:rsidP="00A40273">
            <w:pPr>
              <w:spacing w:after="0" w:line="240" w:lineRule="auto"/>
              <w:rPr>
                <w:rFonts w:ascii="Times New Roman" w:hAnsi="Times New Roman" w:cs="Times New Roman"/>
                <w:color w:val="000000" w:themeColor="text1"/>
              </w:rPr>
            </w:pPr>
          </w:p>
        </w:tc>
        <w:tc>
          <w:tcPr>
            <w:tcW w:w="851" w:type="dxa"/>
          </w:tcPr>
          <w:p w14:paraId="46820203"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4</w:t>
            </w:r>
          </w:p>
        </w:tc>
        <w:tc>
          <w:tcPr>
            <w:tcW w:w="845" w:type="dxa"/>
          </w:tcPr>
          <w:p w14:paraId="0493FE17"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1.6</w:t>
            </w:r>
          </w:p>
        </w:tc>
      </w:tr>
      <w:tr w:rsidR="00164238" w:rsidRPr="00164238" w14:paraId="6A016322" w14:textId="77777777" w:rsidTr="00682CBF">
        <w:tc>
          <w:tcPr>
            <w:tcW w:w="7366" w:type="dxa"/>
          </w:tcPr>
          <w:p w14:paraId="3448E4A5"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Doğa/Hayvanlar</w:t>
            </w:r>
          </w:p>
          <w:p w14:paraId="6B785652" w14:textId="77777777" w:rsidR="00CB6608" w:rsidRPr="00164238" w:rsidRDefault="00CB6608" w:rsidP="00A40273">
            <w:pPr>
              <w:spacing w:after="0" w:line="240" w:lineRule="auto"/>
              <w:rPr>
                <w:rFonts w:ascii="Times New Roman" w:hAnsi="Times New Roman" w:cs="Times New Roman"/>
                <w:color w:val="000000" w:themeColor="text1"/>
              </w:rPr>
            </w:pPr>
          </w:p>
        </w:tc>
        <w:tc>
          <w:tcPr>
            <w:tcW w:w="851" w:type="dxa"/>
          </w:tcPr>
          <w:p w14:paraId="02947377"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48</w:t>
            </w:r>
          </w:p>
        </w:tc>
        <w:tc>
          <w:tcPr>
            <w:tcW w:w="845" w:type="dxa"/>
          </w:tcPr>
          <w:p w14:paraId="141E5075"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19.2</w:t>
            </w:r>
          </w:p>
        </w:tc>
      </w:tr>
      <w:tr w:rsidR="00164238" w:rsidRPr="00164238" w14:paraId="2A46A8C0" w14:textId="77777777" w:rsidTr="00682CBF">
        <w:tc>
          <w:tcPr>
            <w:tcW w:w="7366" w:type="dxa"/>
          </w:tcPr>
          <w:p w14:paraId="5244FCE5"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Duygusal Dost</w:t>
            </w:r>
          </w:p>
          <w:p w14:paraId="3BA6CC76" w14:textId="77777777" w:rsidR="00CB6608" w:rsidRPr="00164238" w:rsidRDefault="00CB6608" w:rsidP="00A40273">
            <w:pPr>
              <w:spacing w:after="0" w:line="240" w:lineRule="auto"/>
              <w:rPr>
                <w:rFonts w:ascii="Times New Roman" w:hAnsi="Times New Roman" w:cs="Times New Roman"/>
                <w:color w:val="000000" w:themeColor="text1"/>
              </w:rPr>
            </w:pPr>
          </w:p>
        </w:tc>
        <w:tc>
          <w:tcPr>
            <w:tcW w:w="851" w:type="dxa"/>
          </w:tcPr>
          <w:p w14:paraId="08FE9A98"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1</w:t>
            </w:r>
          </w:p>
        </w:tc>
        <w:tc>
          <w:tcPr>
            <w:tcW w:w="845" w:type="dxa"/>
          </w:tcPr>
          <w:p w14:paraId="2A7D76E3"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0.4</w:t>
            </w:r>
          </w:p>
        </w:tc>
      </w:tr>
      <w:tr w:rsidR="00CB6608" w:rsidRPr="00164238" w14:paraId="6DE35AC8" w14:textId="77777777" w:rsidTr="00682CBF">
        <w:tc>
          <w:tcPr>
            <w:tcW w:w="7366" w:type="dxa"/>
          </w:tcPr>
          <w:p w14:paraId="73C48FC2"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Bakıcı Kaynağı</w:t>
            </w:r>
          </w:p>
          <w:p w14:paraId="56CC06A7" w14:textId="77777777" w:rsidR="00CB6608" w:rsidRPr="00164238" w:rsidRDefault="00CB6608" w:rsidP="00A40273">
            <w:pPr>
              <w:spacing w:after="0" w:line="240" w:lineRule="auto"/>
              <w:rPr>
                <w:rFonts w:ascii="Times New Roman" w:hAnsi="Times New Roman" w:cs="Times New Roman"/>
                <w:color w:val="000000" w:themeColor="text1"/>
              </w:rPr>
            </w:pPr>
          </w:p>
        </w:tc>
        <w:tc>
          <w:tcPr>
            <w:tcW w:w="851" w:type="dxa"/>
          </w:tcPr>
          <w:p w14:paraId="6C281433"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lastRenderedPageBreak/>
              <w:t>5</w:t>
            </w:r>
          </w:p>
        </w:tc>
        <w:tc>
          <w:tcPr>
            <w:tcW w:w="845" w:type="dxa"/>
          </w:tcPr>
          <w:p w14:paraId="589BD912" w14:textId="77777777" w:rsidR="00CB6608" w:rsidRPr="00164238" w:rsidRDefault="00CB6608" w:rsidP="00A40273">
            <w:pPr>
              <w:spacing w:after="0" w:line="240" w:lineRule="auto"/>
              <w:rPr>
                <w:rFonts w:ascii="Times New Roman" w:hAnsi="Times New Roman" w:cs="Times New Roman"/>
                <w:color w:val="000000" w:themeColor="text1"/>
              </w:rPr>
            </w:pPr>
            <w:r w:rsidRPr="00164238">
              <w:rPr>
                <w:rFonts w:ascii="Times New Roman" w:hAnsi="Times New Roman" w:cs="Times New Roman"/>
                <w:color w:val="000000" w:themeColor="text1"/>
              </w:rPr>
              <w:t>2</w:t>
            </w:r>
          </w:p>
        </w:tc>
      </w:tr>
    </w:tbl>
    <w:p w14:paraId="6AE3968A" w14:textId="77777777" w:rsidR="00CB6608" w:rsidRPr="00164238" w:rsidRDefault="00CB6608" w:rsidP="00CB6608">
      <w:pPr>
        <w:spacing w:line="360" w:lineRule="auto"/>
        <w:rPr>
          <w:rFonts w:ascii="Times New Roman" w:hAnsi="Times New Roman" w:cs="Times New Roman"/>
          <w:color w:val="000000" w:themeColor="text1"/>
        </w:rPr>
      </w:pPr>
    </w:p>
    <w:p w14:paraId="461EA34A" w14:textId="6254D105" w:rsidR="00CB6608" w:rsidRPr="00164238" w:rsidRDefault="00CB6608" w:rsidP="00C57500">
      <w:pPr>
        <w:spacing w:line="360" w:lineRule="auto"/>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Çocuk Müzeleri Derneğine üye olan 249 Çocuk müzesinden her biri birden fazla türde deneyim sunmaktadır. Bu türlerin sınıflandırılmasına ilişkin frekans ve yüzde değerleri Tablo 2’de gösterilmiştir. Çocuk müzelerinin %69.8’i STEAM (Bilim, Teknoloji, Mühendislik, Sanat ve Matematik),  %61.4 Sanat ve El Sanatları, %37.7 Hikaye Zamanı, %19.2 Doğa ve hayvanlar, %16 Müzik, %11.2 Hareket ve Egzersiz, %6.8 Yemek yapma, %5.2 Oyun, %4.4 Okuryazarlık, Dil Gelişimi ve Edebiyat, %2 Bakıcı kaynağı, %1.6 Tiyatro ve %0.4 Duygusal dost deneyim türlerini çocuklara ve ebeveynlere sunmaktadır. </w:t>
      </w:r>
    </w:p>
    <w:p w14:paraId="206B38CF" w14:textId="77777777" w:rsidR="00CB6608" w:rsidRPr="00164238" w:rsidRDefault="00CB6608" w:rsidP="00CB6608">
      <w:pPr>
        <w:rPr>
          <w:rFonts w:ascii="Times New Roman" w:hAnsi="Times New Roman" w:cs="Times New Roman"/>
          <w:b/>
          <w:color w:val="000000" w:themeColor="text1"/>
        </w:rPr>
      </w:pPr>
      <w:r w:rsidRPr="00164238">
        <w:rPr>
          <w:rFonts w:ascii="Times New Roman" w:hAnsi="Times New Roman" w:cs="Times New Roman"/>
          <w:b/>
          <w:color w:val="000000" w:themeColor="text1"/>
        </w:rPr>
        <w:t>Tablo 3. Covid-19 Pandemi Döneminde Çocuk Müzelerinin Deneyim Sunma Araçları</w:t>
      </w:r>
    </w:p>
    <w:tbl>
      <w:tblPr>
        <w:tblW w:w="0" w:type="auto"/>
        <w:tblInd w:w="108" w:type="dxa"/>
        <w:tblLook w:val="04A0" w:firstRow="1" w:lastRow="0" w:firstColumn="1" w:lastColumn="0" w:noHBand="0" w:noVBand="1"/>
      </w:tblPr>
      <w:tblGrid>
        <w:gridCol w:w="7382"/>
        <w:gridCol w:w="706"/>
        <w:gridCol w:w="876"/>
      </w:tblGrid>
      <w:tr w:rsidR="00164238" w:rsidRPr="00164238" w14:paraId="058D2DF2" w14:textId="77777777" w:rsidTr="00682CBF">
        <w:tc>
          <w:tcPr>
            <w:tcW w:w="7513" w:type="dxa"/>
          </w:tcPr>
          <w:p w14:paraId="4C6F1864" w14:textId="77777777" w:rsidR="00CB6608" w:rsidRPr="00164238" w:rsidRDefault="00CB6608" w:rsidP="00682CBF">
            <w:pPr>
              <w:rPr>
                <w:rFonts w:ascii="Times New Roman" w:hAnsi="Times New Roman" w:cs="Times New Roman"/>
                <w:b/>
                <w:color w:val="000000" w:themeColor="text1"/>
              </w:rPr>
            </w:pPr>
          </w:p>
          <w:p w14:paraId="5D07A133" w14:textId="77777777" w:rsidR="00CB6608" w:rsidRPr="00164238" w:rsidRDefault="00CB6608" w:rsidP="00682CBF">
            <w:pPr>
              <w:rPr>
                <w:rFonts w:ascii="Times New Roman" w:hAnsi="Times New Roman" w:cs="Times New Roman"/>
                <w:b/>
                <w:color w:val="000000" w:themeColor="text1"/>
              </w:rPr>
            </w:pPr>
          </w:p>
        </w:tc>
        <w:tc>
          <w:tcPr>
            <w:tcW w:w="709" w:type="dxa"/>
          </w:tcPr>
          <w:p w14:paraId="08BFF873" w14:textId="77777777" w:rsidR="00CB6608" w:rsidRPr="00164238" w:rsidRDefault="00CB6608" w:rsidP="00682CBF">
            <w:pPr>
              <w:jc w:val="center"/>
              <w:rPr>
                <w:rFonts w:ascii="Times New Roman" w:hAnsi="Times New Roman" w:cs="Times New Roman"/>
                <w:b/>
                <w:color w:val="000000" w:themeColor="text1"/>
              </w:rPr>
            </w:pPr>
            <w:r w:rsidRPr="00164238">
              <w:rPr>
                <w:rFonts w:ascii="Times New Roman" w:hAnsi="Times New Roman" w:cs="Times New Roman"/>
                <w:b/>
                <w:color w:val="000000" w:themeColor="text1"/>
              </w:rPr>
              <w:t>f</w:t>
            </w:r>
          </w:p>
        </w:tc>
        <w:tc>
          <w:tcPr>
            <w:tcW w:w="882" w:type="dxa"/>
          </w:tcPr>
          <w:p w14:paraId="47AAFBDD" w14:textId="77777777" w:rsidR="00CB6608" w:rsidRPr="00164238" w:rsidRDefault="00CB6608" w:rsidP="00682CBF">
            <w:pPr>
              <w:jc w:val="center"/>
              <w:rPr>
                <w:rFonts w:ascii="Times New Roman" w:hAnsi="Times New Roman" w:cs="Times New Roman"/>
                <w:b/>
                <w:color w:val="000000" w:themeColor="text1"/>
              </w:rPr>
            </w:pPr>
            <w:r w:rsidRPr="00164238">
              <w:rPr>
                <w:rFonts w:ascii="Times New Roman" w:hAnsi="Times New Roman" w:cs="Times New Roman"/>
                <w:b/>
                <w:color w:val="000000" w:themeColor="text1"/>
              </w:rPr>
              <w:t>%</w:t>
            </w:r>
          </w:p>
        </w:tc>
      </w:tr>
      <w:tr w:rsidR="00164238" w:rsidRPr="00164238" w14:paraId="427BAE7A" w14:textId="77777777" w:rsidTr="00682CBF">
        <w:tc>
          <w:tcPr>
            <w:tcW w:w="7513" w:type="dxa"/>
          </w:tcPr>
          <w:p w14:paraId="14285C88" w14:textId="77777777" w:rsidR="00CB6608" w:rsidRPr="00164238" w:rsidRDefault="00CB6608" w:rsidP="00682CBF">
            <w:pPr>
              <w:spacing w:line="360" w:lineRule="auto"/>
              <w:rPr>
                <w:rFonts w:ascii="Times New Roman" w:hAnsi="Times New Roman" w:cs="Times New Roman"/>
                <w:color w:val="000000" w:themeColor="text1"/>
              </w:rPr>
            </w:pPr>
            <w:r w:rsidRPr="00164238">
              <w:rPr>
                <w:rFonts w:ascii="Times New Roman" w:hAnsi="Times New Roman" w:cs="Times New Roman"/>
                <w:color w:val="000000" w:themeColor="text1"/>
              </w:rPr>
              <w:t>Video Paylaşımı</w:t>
            </w:r>
          </w:p>
        </w:tc>
        <w:tc>
          <w:tcPr>
            <w:tcW w:w="709" w:type="dxa"/>
          </w:tcPr>
          <w:p w14:paraId="6B72890C" w14:textId="77777777" w:rsidR="00CB6608" w:rsidRPr="00164238" w:rsidRDefault="00CB6608" w:rsidP="00682CBF">
            <w:pPr>
              <w:rPr>
                <w:rFonts w:ascii="Times New Roman" w:hAnsi="Times New Roman" w:cs="Times New Roman"/>
                <w:b/>
                <w:color w:val="000000" w:themeColor="text1"/>
              </w:rPr>
            </w:pPr>
            <w:r w:rsidRPr="00164238">
              <w:rPr>
                <w:rFonts w:ascii="Times New Roman" w:hAnsi="Times New Roman" w:cs="Times New Roman"/>
                <w:color w:val="000000" w:themeColor="text1"/>
              </w:rPr>
              <w:t>198</w:t>
            </w:r>
          </w:p>
        </w:tc>
        <w:tc>
          <w:tcPr>
            <w:tcW w:w="882" w:type="dxa"/>
          </w:tcPr>
          <w:p w14:paraId="240081AE" w14:textId="77777777" w:rsidR="00CB6608" w:rsidRPr="00164238" w:rsidRDefault="00CB6608" w:rsidP="00682CBF">
            <w:pPr>
              <w:rPr>
                <w:rFonts w:ascii="Times New Roman" w:hAnsi="Times New Roman" w:cs="Times New Roman"/>
                <w:color w:val="000000" w:themeColor="text1"/>
              </w:rPr>
            </w:pPr>
            <w:r w:rsidRPr="00164238">
              <w:rPr>
                <w:rFonts w:ascii="Times New Roman" w:hAnsi="Times New Roman" w:cs="Times New Roman"/>
                <w:color w:val="000000" w:themeColor="text1"/>
              </w:rPr>
              <w:t>79.5</w:t>
            </w:r>
          </w:p>
        </w:tc>
      </w:tr>
      <w:tr w:rsidR="00164238" w:rsidRPr="00164238" w14:paraId="2E99E686" w14:textId="77777777" w:rsidTr="00682CBF">
        <w:tc>
          <w:tcPr>
            <w:tcW w:w="7513" w:type="dxa"/>
          </w:tcPr>
          <w:p w14:paraId="1DE155FD" w14:textId="77777777" w:rsidR="00CB6608" w:rsidRPr="00164238" w:rsidRDefault="00CB6608" w:rsidP="00682CBF">
            <w:pPr>
              <w:rPr>
                <w:rFonts w:ascii="Times New Roman" w:hAnsi="Times New Roman" w:cs="Times New Roman"/>
                <w:b/>
                <w:color w:val="000000" w:themeColor="text1"/>
              </w:rPr>
            </w:pPr>
            <w:r w:rsidRPr="00164238">
              <w:rPr>
                <w:rFonts w:ascii="Times New Roman" w:hAnsi="Times New Roman" w:cs="Times New Roman"/>
                <w:color w:val="000000" w:themeColor="text1"/>
              </w:rPr>
              <w:t xml:space="preserve">Canlı Yayın                                          </w:t>
            </w:r>
          </w:p>
        </w:tc>
        <w:tc>
          <w:tcPr>
            <w:tcW w:w="709" w:type="dxa"/>
          </w:tcPr>
          <w:p w14:paraId="68AC9251" w14:textId="77777777" w:rsidR="00CB6608" w:rsidRPr="00164238" w:rsidRDefault="00CB6608" w:rsidP="00682CBF">
            <w:pPr>
              <w:spacing w:line="360" w:lineRule="auto"/>
              <w:rPr>
                <w:rFonts w:ascii="Times New Roman" w:hAnsi="Times New Roman" w:cs="Times New Roman"/>
                <w:color w:val="000000" w:themeColor="text1"/>
              </w:rPr>
            </w:pPr>
            <w:r w:rsidRPr="00164238">
              <w:rPr>
                <w:rFonts w:ascii="Times New Roman" w:hAnsi="Times New Roman" w:cs="Times New Roman"/>
                <w:color w:val="000000" w:themeColor="text1"/>
              </w:rPr>
              <w:t>71</w:t>
            </w:r>
          </w:p>
        </w:tc>
        <w:tc>
          <w:tcPr>
            <w:tcW w:w="882" w:type="dxa"/>
          </w:tcPr>
          <w:p w14:paraId="3F760B3D" w14:textId="77777777" w:rsidR="00CB6608" w:rsidRPr="00164238" w:rsidRDefault="00CB6608" w:rsidP="00682CBF">
            <w:pPr>
              <w:rPr>
                <w:rFonts w:ascii="Times New Roman" w:hAnsi="Times New Roman" w:cs="Times New Roman"/>
                <w:color w:val="000000" w:themeColor="text1"/>
              </w:rPr>
            </w:pPr>
            <w:r w:rsidRPr="00164238">
              <w:rPr>
                <w:rFonts w:ascii="Times New Roman" w:hAnsi="Times New Roman" w:cs="Times New Roman"/>
                <w:color w:val="000000" w:themeColor="text1"/>
              </w:rPr>
              <w:t>28.5</w:t>
            </w:r>
          </w:p>
        </w:tc>
      </w:tr>
      <w:tr w:rsidR="00164238" w:rsidRPr="00164238" w14:paraId="7C5A78FF" w14:textId="77777777" w:rsidTr="00682CBF">
        <w:tc>
          <w:tcPr>
            <w:tcW w:w="7513" w:type="dxa"/>
          </w:tcPr>
          <w:p w14:paraId="612D6178" w14:textId="77777777" w:rsidR="00CB6608" w:rsidRPr="00164238" w:rsidRDefault="00CB6608" w:rsidP="00682CBF">
            <w:pPr>
              <w:rPr>
                <w:rFonts w:ascii="Times New Roman" w:hAnsi="Times New Roman" w:cs="Times New Roman"/>
                <w:b/>
                <w:color w:val="000000" w:themeColor="text1"/>
              </w:rPr>
            </w:pPr>
            <w:r w:rsidRPr="00164238">
              <w:rPr>
                <w:rFonts w:ascii="Times New Roman" w:hAnsi="Times New Roman" w:cs="Times New Roman"/>
                <w:color w:val="000000" w:themeColor="text1"/>
              </w:rPr>
              <w:t xml:space="preserve">Sanal aktivite kiti paylaşma                         </w:t>
            </w:r>
          </w:p>
        </w:tc>
        <w:tc>
          <w:tcPr>
            <w:tcW w:w="709" w:type="dxa"/>
          </w:tcPr>
          <w:p w14:paraId="25011AAD" w14:textId="77777777" w:rsidR="00CB6608" w:rsidRPr="00164238" w:rsidRDefault="00CB6608" w:rsidP="00682CBF">
            <w:pPr>
              <w:spacing w:line="360" w:lineRule="auto"/>
              <w:rPr>
                <w:rFonts w:ascii="Times New Roman" w:hAnsi="Times New Roman" w:cs="Times New Roman"/>
                <w:color w:val="000000" w:themeColor="text1"/>
              </w:rPr>
            </w:pPr>
            <w:r w:rsidRPr="00164238">
              <w:rPr>
                <w:rFonts w:ascii="Times New Roman" w:hAnsi="Times New Roman" w:cs="Times New Roman"/>
                <w:color w:val="000000" w:themeColor="text1"/>
              </w:rPr>
              <w:t>124</w:t>
            </w:r>
          </w:p>
        </w:tc>
        <w:tc>
          <w:tcPr>
            <w:tcW w:w="882" w:type="dxa"/>
          </w:tcPr>
          <w:p w14:paraId="36692FC5" w14:textId="77777777" w:rsidR="00CB6608" w:rsidRPr="00164238" w:rsidRDefault="00CB6608" w:rsidP="00682CBF">
            <w:pPr>
              <w:rPr>
                <w:rFonts w:ascii="Times New Roman" w:hAnsi="Times New Roman" w:cs="Times New Roman"/>
                <w:color w:val="000000" w:themeColor="text1"/>
              </w:rPr>
            </w:pPr>
            <w:r w:rsidRPr="00164238">
              <w:rPr>
                <w:rFonts w:ascii="Times New Roman" w:hAnsi="Times New Roman" w:cs="Times New Roman"/>
                <w:color w:val="000000" w:themeColor="text1"/>
              </w:rPr>
              <w:t>49.7</w:t>
            </w:r>
          </w:p>
        </w:tc>
      </w:tr>
      <w:tr w:rsidR="00CB6608" w:rsidRPr="00164238" w14:paraId="6F0A69DB" w14:textId="77777777" w:rsidTr="00682CBF">
        <w:tc>
          <w:tcPr>
            <w:tcW w:w="7513" w:type="dxa"/>
          </w:tcPr>
          <w:p w14:paraId="35E0C613" w14:textId="77777777" w:rsidR="00CB6608" w:rsidRPr="00164238" w:rsidRDefault="00CB6608" w:rsidP="00682CBF">
            <w:pPr>
              <w:rPr>
                <w:rFonts w:ascii="Times New Roman" w:hAnsi="Times New Roman" w:cs="Times New Roman"/>
                <w:color w:val="000000" w:themeColor="text1"/>
              </w:rPr>
            </w:pPr>
            <w:r w:rsidRPr="00164238">
              <w:rPr>
                <w:rFonts w:ascii="Times New Roman" w:hAnsi="Times New Roman" w:cs="Times New Roman"/>
                <w:color w:val="000000" w:themeColor="text1"/>
              </w:rPr>
              <w:t>Eve aktivite kiti gönderimi</w:t>
            </w:r>
          </w:p>
        </w:tc>
        <w:tc>
          <w:tcPr>
            <w:tcW w:w="709" w:type="dxa"/>
          </w:tcPr>
          <w:p w14:paraId="0B1B8F10" w14:textId="77777777" w:rsidR="00CB6608" w:rsidRPr="00164238" w:rsidRDefault="00CB6608" w:rsidP="00682CBF">
            <w:pPr>
              <w:spacing w:line="360" w:lineRule="auto"/>
              <w:rPr>
                <w:rFonts w:ascii="Times New Roman" w:hAnsi="Times New Roman" w:cs="Times New Roman"/>
                <w:color w:val="000000" w:themeColor="text1"/>
              </w:rPr>
            </w:pPr>
            <w:r w:rsidRPr="00164238">
              <w:rPr>
                <w:rFonts w:ascii="Times New Roman" w:hAnsi="Times New Roman" w:cs="Times New Roman"/>
                <w:color w:val="000000" w:themeColor="text1"/>
              </w:rPr>
              <w:t>3</w:t>
            </w:r>
          </w:p>
        </w:tc>
        <w:tc>
          <w:tcPr>
            <w:tcW w:w="882" w:type="dxa"/>
          </w:tcPr>
          <w:p w14:paraId="3B4C0937" w14:textId="77777777" w:rsidR="00CB6608" w:rsidRPr="00164238" w:rsidRDefault="00CB6608" w:rsidP="00682CBF">
            <w:pPr>
              <w:rPr>
                <w:rFonts w:ascii="Times New Roman" w:hAnsi="Times New Roman" w:cs="Times New Roman"/>
                <w:color w:val="000000" w:themeColor="text1"/>
              </w:rPr>
            </w:pPr>
            <w:r w:rsidRPr="00164238">
              <w:rPr>
                <w:rFonts w:ascii="Times New Roman" w:hAnsi="Times New Roman" w:cs="Times New Roman"/>
                <w:color w:val="000000" w:themeColor="text1"/>
              </w:rPr>
              <w:t>1.2</w:t>
            </w:r>
          </w:p>
        </w:tc>
      </w:tr>
    </w:tbl>
    <w:p w14:paraId="4E8AFFC0" w14:textId="77777777" w:rsidR="00CB6608" w:rsidRPr="00164238" w:rsidRDefault="00CB6608" w:rsidP="00CB6608">
      <w:pPr>
        <w:spacing w:line="360" w:lineRule="auto"/>
        <w:rPr>
          <w:rFonts w:ascii="Times New Roman" w:hAnsi="Times New Roman" w:cs="Times New Roman"/>
          <w:color w:val="000000" w:themeColor="text1"/>
        </w:rPr>
      </w:pPr>
    </w:p>
    <w:p w14:paraId="7D8BDF74" w14:textId="38131149" w:rsidR="00CB6608" w:rsidRPr="00164238" w:rsidRDefault="00CB6608" w:rsidP="00C57500">
      <w:pPr>
        <w:spacing w:line="360" w:lineRule="auto"/>
        <w:ind w:firstLine="708"/>
        <w:rPr>
          <w:rFonts w:ascii="Times New Roman" w:hAnsi="Times New Roman" w:cs="Times New Roman"/>
          <w:color w:val="000000" w:themeColor="text1"/>
        </w:rPr>
      </w:pPr>
      <w:r w:rsidRPr="00164238">
        <w:rPr>
          <w:rFonts w:ascii="Times New Roman" w:hAnsi="Times New Roman" w:cs="Times New Roman"/>
          <w:color w:val="000000" w:themeColor="text1"/>
        </w:rPr>
        <w:t>Çocuk Müzeleri Derneğine üye olan 249 Çocuk müzesinden %79.5’i Tablo 3’de görüldüğü gibi video paylaşımları ile, % 28.5’i yaptıkları canlı yayınlarla, %49.7’si sanal aktivite kiti paylaşarak ve %1.2’si evlere eğitim kiti göndererek deneyim sunmuşlardır.</w:t>
      </w:r>
    </w:p>
    <w:p w14:paraId="7A0870BB" w14:textId="77777777" w:rsidR="00CB6608" w:rsidRPr="00164238" w:rsidRDefault="00CB6608" w:rsidP="00CB6608">
      <w:pPr>
        <w:spacing w:line="360" w:lineRule="auto"/>
        <w:jc w:val="both"/>
        <w:rPr>
          <w:rFonts w:ascii="Times New Roman" w:hAnsi="Times New Roman" w:cs="Times New Roman"/>
          <w:b/>
          <w:color w:val="000000" w:themeColor="text1"/>
        </w:rPr>
      </w:pPr>
      <w:r w:rsidRPr="00164238">
        <w:rPr>
          <w:rFonts w:ascii="Times New Roman" w:hAnsi="Times New Roman" w:cs="Times New Roman"/>
          <w:b/>
          <w:color w:val="000000" w:themeColor="text1"/>
        </w:rPr>
        <w:t>Tartışma ve Yorum</w:t>
      </w:r>
    </w:p>
    <w:p w14:paraId="30D99F0F" w14:textId="77777777" w:rsidR="00CB6608" w:rsidRPr="00164238" w:rsidRDefault="00CB6608" w:rsidP="00C57500">
      <w:pPr>
        <w:spacing w:line="360" w:lineRule="auto"/>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Konuklar fiziksel olarak müzede bulunmasıyla duygusal, duyusal, düşünsel boyutlarda deneyim yaşamaktadır. Ancak, Covid-19 pandemi sürecinde, müzelerin yerini evler almıştır. Çocuk müzeleri diğer müze türlerinin aksine dokunmak ve öğrenmek temelinde faaliyette bulunan etkileşimli alanlar olmaktadır. Sergilenen eserler öğrenme sürecinde araç, öğrenmenin yöntemi ise kendin yap olmaktadır. </w:t>
      </w:r>
    </w:p>
    <w:p w14:paraId="27B7D64C" w14:textId="77777777" w:rsidR="00CB6608" w:rsidRPr="00164238" w:rsidRDefault="00CB6608" w:rsidP="00C57500">
      <w:pPr>
        <w:spacing w:line="360" w:lineRule="auto"/>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Pandemi sürecinde çocuk müzeleri ebeveyn ve çocuk ile bağını koparmamak, iletişimi devam ettirmek amacıyla internet sitelerinin haricinde etkileşimli süreci devam ettirmek için en çok Facebook hesaplarını kullanarak deneyim sunmuşlardır. Facebook kullanma nedenlerinin hem kontrollü katılımın sağlanması (katılımcıların isimlerinin açıkça belli olması, kendi takipçilerine yayın yapılıyor olması), etkileşimli bir alan olması ve diğer paylaşımlarını da bu alanda yaparak bütünlüğün sağlanıyor olması </w:t>
      </w:r>
      <w:r w:rsidRPr="00164238">
        <w:rPr>
          <w:rFonts w:ascii="Times New Roman" w:hAnsi="Times New Roman" w:cs="Times New Roman"/>
          <w:color w:val="000000" w:themeColor="text1"/>
        </w:rPr>
        <w:lastRenderedPageBreak/>
        <w:t xml:space="preserve">olduğu düşünülmektedir. Diğer sosyal medya araçlarını duyuru yapmak, haber vermek, dikkat çekmek ve yönlendirmek için kullandıkları düşünülmektedir. </w:t>
      </w:r>
    </w:p>
    <w:p w14:paraId="52A4DEE6" w14:textId="77777777" w:rsidR="00CB6608" w:rsidRPr="00164238" w:rsidRDefault="00CB6608" w:rsidP="00C57500">
      <w:pPr>
        <w:spacing w:line="360" w:lineRule="auto"/>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Çocuk müzeleri çoğunlukla STEAM (Bilim, Teknoloji, Mühendislik, Sanat ve Matematik), sanat ve el sanatları ve hikaye zamanı alanlarında deneyim sunmuşlardır. İnternet siteleri, e-posta, sosyal medya hesapları ile günlük, haftalık olarak bildirimler göndererek yeni etkinlik fikirleri paylaşmakta ve tanıtımı yapılan Youtube kanallarında ya da Facebook hesaplarında yayınladıkları videolar ile evde ebeveynler ile, sınıfça öğretmenlerinin kolaylaştırıcılığında müzenin çocuk konukları paylaşılan videolardaki etkinliklere katılmaktadırlar. Paylaşımlar incelendiğinde; müzik ve hikaye zamanlarının videoları, günlük macera videoları, evde yapılacak eğlenceli aktivite videoları, bilim-teknoloji-mühendislik-sanat-matematik videoları, evde proje, deney videoları, ellerinde bulunan malzemelerle yapabilecekleri projeleri içeren videolar, çevre eğitimi videoları, hareket-spor-oyun videoları, koleksiyonlarından nesneleri paylaştıkları videolar, evdeki el işleri videoları, evde yemek tarifleri videoları, evde kal eğitimi videoları, güvenlik videoları ve yeni etkinlik fikirleri içeren videolar olduğu tespit edilmiştir.</w:t>
      </w:r>
    </w:p>
    <w:p w14:paraId="1A080DBA" w14:textId="77777777" w:rsidR="00CB6608" w:rsidRPr="00164238" w:rsidRDefault="00CB6608" w:rsidP="00C57500">
      <w:pPr>
        <w:spacing w:line="360" w:lineRule="auto"/>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Canlı yayınlarla, konunun uzmanı eğitmenlerle canlı ders, oyun, masal dinletisi, deney yapma, sanat atölyeleri gibi etkinliklerle konuklarına interaktif deneyim sunmuşlardır. Yapmış oldukları canlı yayınlarda; matematik, mühendislik, sanat, bilim, dil öğrenme, teknoloji dersleri ve projelerini, sanat çalışmalarını yürütmüşlerdir. El sanatlarına, mutfak sanatlarına, çocuk oyunlarına, müzik çalışmalarına ilişkin çalışmalarını ayrıca zoom vb. araçları kullanarak sanal sınıflarda konukları ile interaktif biçimde yürütmüşlerdir. Ayrıca, çocukların sanal ortamda tanışmalarını sağlayarak bilim projesi yapmalarını sağlamışlar, aileleri de tanıştırarak sohbet etmelerini sağlayarak ebeveynlere pandemi sürecinde destek olmuşlardır.</w:t>
      </w:r>
    </w:p>
    <w:p w14:paraId="420348D3" w14:textId="77777777" w:rsidR="00CB6608" w:rsidRPr="00164238" w:rsidRDefault="00CB6608" w:rsidP="00C57500">
      <w:pPr>
        <w:spacing w:line="360" w:lineRule="auto"/>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Müzelerin programladığı eğitim etkinliklerinin kitlerini sanal ortamda paylaşmaları da müzede yapacakları etkinliklerin eve taşınmasını, ebeveynlerle ya da tek başına bu etkinliklere katılabilmelerini sağlamıştır. Müze sayfalarında önerdikleri etkinlikler için geliştirmiş oldukları kullanılacak materyalleri çıktıları alınabilecek şekilde sanal ortamda kullanıcılar için paylaşmışlardır. Resim çalışmaları, el işleri için kullanacakları materyallerin çıktılarını alabilecekleri aktivite kitleri oluşturmuşlardır. Az sayıda da olsa müze etkinliğini eve uyarlamak amacıyla etkinlik materyallerinden oluşan bir kutu hazırlamış ve bunun internet sitelerinden satışa sunmuşlardır. </w:t>
      </w:r>
    </w:p>
    <w:p w14:paraId="130D9F98" w14:textId="77777777" w:rsidR="00CB6608" w:rsidRPr="00164238" w:rsidRDefault="00CB6608" w:rsidP="00C57500">
      <w:pPr>
        <w:spacing w:line="360" w:lineRule="auto"/>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Sadece mekansal etkileşim içerisinde olmadan ve ziyaretçi beklemeden, kullanılan modern iletişim araçları ile müze insanların elindeki ya da evindeki iletişim araçlarına, dolayısı ile en uzaktaki </w:t>
      </w:r>
      <w:r w:rsidRPr="00164238">
        <w:rPr>
          <w:rFonts w:ascii="Times New Roman" w:hAnsi="Times New Roman" w:cs="Times New Roman"/>
          <w:color w:val="000000" w:themeColor="text1"/>
        </w:rPr>
        <w:lastRenderedPageBreak/>
        <w:t>alıcısına kadar ulaştırılabilmiştir. Böylece çocuk müzeleri konuklarının, müze eğitim sürecini kesintiye uğratmadan, yüz yüze yaptığı müze etkinliklerini dijital ortamda sunarak evlerde eğitime devam etmelerini sağlayabilmişlerdir. Pandemi döneminde ebeveyn çocuk etkileşiminin etkili sürdürülmesinde, okul içeriklerine destek verme konusunda, ev işlerinde, el işlerinde, sanat çalışmalarında yapabilecekleri yeni fikirler, projeler, kaynaklar önerilmesinde, sanal bir eğitim ortamı oluşturulmasında çocuk müzelerinin önemli katkısının olduğu düşünülmektedir. Çocuk müzelerinin önerdiği, planladığı her etkinliğin okulların kapalı olduğu dönemlerde evde geçirilecek zamanın etkili geçirilmesinde, çocuğun zihinsel ve bedensel becerilerinin gelişimine katkısı olacak etkinlikler olduğu görülmektedir. Merak duygusunu tetikleme, oyun yoluyla öğrenmeyi devam ettirme, kendilerinin yapmasını sağlama, hayal güçlerini geliştirme, müzenin sahipliğinde olan hayvanlarla ve maskotlarıyla ilişkilerini sürdürme amaçlarıyla müzeyi ve müze etkinliklerini dijital ortamı kullanarak evlere taşımışlardır.</w:t>
      </w:r>
    </w:p>
    <w:p w14:paraId="0CB05500" w14:textId="77777777" w:rsidR="00CB6608" w:rsidRPr="00164238" w:rsidRDefault="00CB6608" w:rsidP="00C57500">
      <w:pPr>
        <w:spacing w:line="360" w:lineRule="auto"/>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Deneyimsel pazarlama uygulamalarında konukların, etkileşim içinde bulundukları ortamlarda, duygu ve düşünceleri dikkate alınarak yaşatılan deneyimlere odaklanılmaktadır. Deneyimler, yaşanan andan çıkarılan maddi olmayan, tüketicide duygusal, bedensel, entelektüel yaşantıların hazzını ve anılarını oluşturmaktadır. Böylece konuklar, bedenlerini ve duyularını, bilişsel becerilerini kullanabilecekleri, içinde kişisel olarak ilgilerini çeken, kültürel ve sosyal öğrenmeler yaşatan, haz alabilecekleri, akıllarında kalıcı olan, bireysel ya da grupla katılabilecekleri, sosyal etkileşim içinde olunan bir dizi etkinlikten oluşan bir sürece yönelmiş ve satın almış olmaktadırlar. Pazarlamada gelinen bu noktada müzeler, deneyimsel pazarlama uygulama alanları olarak karşımıza çıkmaktadır.</w:t>
      </w:r>
    </w:p>
    <w:p w14:paraId="63B99F1D" w14:textId="77777777" w:rsidR="00CB6608" w:rsidRPr="00164238" w:rsidRDefault="00CB6608" w:rsidP="00C57500">
      <w:pPr>
        <w:spacing w:line="360" w:lineRule="auto"/>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Pandemi sonrasında da müzelerin çevrim içi etkinliklerini sürdürecekleri, çeşitli nedenlerle müzeye ulaşamayan kitlelere de deneyimlerini aktarabilecekleri, böylece bilginin dolaşımının, kültürel çeşitliliğin, toplumların birbiri ile etkileşiminin artacağı öngörülmektedir. Pandemi döneminde daha yoğun biçimde çevrim içi etkinliklere yönelen çocuk müzelerinin hem kendi konukları ile bağlarını sürdürebildiği hem de etki alanını genişleterek müzeye gelemeyecek durumda olan kitlelere de ulaşabildikleri varsayılmaktadır. Bu da başka bir çalışmanın konusu olabilecektir. </w:t>
      </w:r>
    </w:p>
    <w:p w14:paraId="2130F183" w14:textId="72E8A37B" w:rsidR="00CB6608" w:rsidRPr="00164238" w:rsidRDefault="00C95516" w:rsidP="00CB6608">
      <w:pPr>
        <w:spacing w:line="360" w:lineRule="auto"/>
        <w:rPr>
          <w:rFonts w:ascii="Times New Roman" w:hAnsi="Times New Roman" w:cs="Times New Roman"/>
          <w:b/>
          <w:color w:val="000000" w:themeColor="text1"/>
        </w:rPr>
      </w:pPr>
      <w:r>
        <w:rPr>
          <w:rFonts w:ascii="Times New Roman" w:hAnsi="Times New Roman" w:cs="Times New Roman"/>
          <w:b/>
          <w:color w:val="000000" w:themeColor="text1"/>
        </w:rPr>
        <w:t>Kaynakça</w:t>
      </w:r>
    </w:p>
    <w:p w14:paraId="6DADEC2E" w14:textId="77777777" w:rsidR="00CB6608" w:rsidRPr="00164238" w:rsidRDefault="00CB6608" w:rsidP="00CB6608">
      <w:pPr>
        <w:spacing w:line="360" w:lineRule="auto"/>
        <w:rPr>
          <w:rFonts w:ascii="Times New Roman" w:hAnsi="Times New Roman" w:cs="Times New Roman"/>
          <w:color w:val="000000" w:themeColor="text1"/>
        </w:rPr>
      </w:pPr>
      <w:r w:rsidRPr="00164238">
        <w:rPr>
          <w:rFonts w:ascii="Times New Roman" w:hAnsi="Times New Roman" w:cs="Times New Roman"/>
          <w:color w:val="000000" w:themeColor="text1"/>
        </w:rPr>
        <w:t>Addis, M. (2005), New Technologies and Cultural Consumption – Edutainment İs Born!</w:t>
      </w:r>
      <w:r w:rsidRPr="00164238">
        <w:rPr>
          <w:rFonts w:ascii="Times New Roman" w:hAnsi="Times New Roman" w:cs="Times New Roman"/>
          <w:i/>
          <w:color w:val="000000" w:themeColor="text1"/>
        </w:rPr>
        <w:t>, European Journal of Marketing,</w:t>
      </w:r>
      <w:r w:rsidRPr="00164238">
        <w:rPr>
          <w:rFonts w:ascii="Times New Roman" w:hAnsi="Times New Roman" w:cs="Times New Roman"/>
          <w:color w:val="000000" w:themeColor="text1"/>
        </w:rPr>
        <w:t xml:space="preserve"> Vol. 39 No. 7/8, 2005 pp. 729-736.</w:t>
      </w:r>
    </w:p>
    <w:p w14:paraId="444A8664" w14:textId="77777777" w:rsidR="00CB6608" w:rsidRPr="00164238" w:rsidRDefault="00CB6608" w:rsidP="00CB6608">
      <w:pPr>
        <w:rPr>
          <w:rFonts w:ascii="Times New Roman" w:hAnsi="Times New Roman" w:cs="Times New Roman"/>
          <w:color w:val="000000" w:themeColor="text1"/>
        </w:rPr>
      </w:pPr>
      <w:r w:rsidRPr="00164238">
        <w:rPr>
          <w:rFonts w:ascii="Times New Roman" w:hAnsi="Times New Roman" w:cs="Times New Roman"/>
          <w:color w:val="000000" w:themeColor="text1"/>
        </w:rPr>
        <w:t xml:space="preserve">Armstrong, G. ve Kotler, P. (2005), </w:t>
      </w:r>
      <w:r w:rsidRPr="00164238">
        <w:rPr>
          <w:rFonts w:ascii="Times New Roman" w:hAnsi="Times New Roman" w:cs="Times New Roman"/>
          <w:i/>
          <w:color w:val="000000" w:themeColor="text1"/>
        </w:rPr>
        <w:t>Marketing: An Introduction 7/e</w:t>
      </w:r>
      <w:r w:rsidRPr="00164238">
        <w:rPr>
          <w:rFonts w:ascii="Times New Roman" w:hAnsi="Times New Roman" w:cs="Times New Roman"/>
          <w:color w:val="000000" w:themeColor="text1"/>
        </w:rPr>
        <w:t>, Internal Edition, Pearson Prentice Hall, New Jersey.</w:t>
      </w:r>
    </w:p>
    <w:p w14:paraId="7A127088" w14:textId="77777777" w:rsidR="00CB6608" w:rsidRPr="00A40273" w:rsidRDefault="00CB6608" w:rsidP="00CB6608">
      <w:pPr>
        <w:rPr>
          <w:rFonts w:ascii="Times New Roman" w:hAnsi="Times New Roman" w:cs="Times New Roman"/>
          <w:color w:val="000000" w:themeColor="text1"/>
        </w:rPr>
      </w:pPr>
      <w:r w:rsidRPr="00164238">
        <w:rPr>
          <w:rFonts w:ascii="Times New Roman" w:hAnsi="Times New Roman" w:cs="Times New Roman"/>
          <w:color w:val="000000" w:themeColor="text1"/>
        </w:rPr>
        <w:lastRenderedPageBreak/>
        <w:t xml:space="preserve">Assosiation of Children’s Museums (ACMa), resmi internet sitesi. </w:t>
      </w:r>
      <w:hyperlink r:id="rId30" w:history="1">
        <w:r w:rsidRPr="00A40273">
          <w:rPr>
            <w:rStyle w:val="Balk1Char"/>
            <w:rFonts w:ascii="Times New Roman" w:hAnsi="Times New Roman" w:cs="Times New Roman"/>
            <w:color w:val="000000" w:themeColor="text1"/>
            <w:sz w:val="22"/>
            <w:szCs w:val="22"/>
          </w:rPr>
          <w:t>www.findachildrensmuseum.org/about/</w:t>
        </w:r>
      </w:hyperlink>
      <w:r w:rsidRPr="00A40273">
        <w:rPr>
          <w:rFonts w:ascii="Times New Roman" w:hAnsi="Times New Roman" w:cs="Times New Roman"/>
          <w:color w:val="000000" w:themeColor="text1"/>
        </w:rPr>
        <w:t xml:space="preserve">  Erişim tarihi: 19.03.2021.</w:t>
      </w:r>
    </w:p>
    <w:p w14:paraId="3074192D" w14:textId="77777777" w:rsidR="00CB6608" w:rsidRPr="00A40273" w:rsidRDefault="00CB6608" w:rsidP="00CB6608">
      <w:pPr>
        <w:rPr>
          <w:rFonts w:ascii="Times New Roman" w:hAnsi="Times New Roman" w:cs="Times New Roman"/>
          <w:color w:val="000000" w:themeColor="text1"/>
        </w:rPr>
      </w:pPr>
      <w:r w:rsidRPr="00164238">
        <w:rPr>
          <w:rFonts w:ascii="Times New Roman" w:hAnsi="Times New Roman" w:cs="Times New Roman"/>
          <w:color w:val="000000" w:themeColor="text1"/>
        </w:rPr>
        <w:t xml:space="preserve">Assosiation of Children’s Museums (ACMb), resmi internet sitesi.   </w:t>
      </w:r>
      <w:hyperlink r:id="rId31" w:history="1">
        <w:r w:rsidRPr="00A40273">
          <w:rPr>
            <w:rStyle w:val="Balk1Char"/>
            <w:rFonts w:ascii="Times New Roman" w:hAnsi="Times New Roman" w:cs="Times New Roman"/>
            <w:color w:val="000000" w:themeColor="text1"/>
            <w:sz w:val="22"/>
            <w:szCs w:val="22"/>
          </w:rPr>
          <w:t>www.findachildrensmuseum.org/at-home/</w:t>
        </w:r>
      </w:hyperlink>
      <w:r w:rsidRPr="00A40273">
        <w:rPr>
          <w:rFonts w:ascii="Times New Roman" w:hAnsi="Times New Roman" w:cs="Times New Roman"/>
          <w:color w:val="000000" w:themeColor="text1"/>
        </w:rPr>
        <w:t xml:space="preserve"> Erişim tarihi: 19.03.2021.</w:t>
      </w:r>
    </w:p>
    <w:p w14:paraId="70F6B247" w14:textId="77777777" w:rsidR="00CB6608" w:rsidRPr="00A40273" w:rsidRDefault="00CB6608" w:rsidP="00CB6608">
      <w:pPr>
        <w:rPr>
          <w:rFonts w:ascii="Times New Roman" w:hAnsi="Times New Roman" w:cs="Times New Roman"/>
          <w:color w:val="000000" w:themeColor="text1"/>
        </w:rPr>
      </w:pPr>
      <w:r w:rsidRPr="00A40273">
        <w:rPr>
          <w:rFonts w:ascii="Times New Roman" w:hAnsi="Times New Roman" w:cs="Times New Roman"/>
          <w:color w:val="000000" w:themeColor="text1"/>
        </w:rPr>
        <w:t xml:space="preserve">Brooklyn Çocuk Müzesi resmi internet sitesi. </w:t>
      </w:r>
      <w:hyperlink r:id="rId32" w:history="1">
        <w:r w:rsidRPr="00A40273">
          <w:rPr>
            <w:rStyle w:val="Balk1Char"/>
            <w:rFonts w:ascii="Times New Roman" w:hAnsi="Times New Roman" w:cs="Times New Roman"/>
            <w:color w:val="000000" w:themeColor="text1"/>
            <w:sz w:val="22"/>
            <w:szCs w:val="22"/>
          </w:rPr>
          <w:t>https://www.brooklynkids.org/</w:t>
        </w:r>
      </w:hyperlink>
      <w:r w:rsidRPr="00A40273">
        <w:rPr>
          <w:rFonts w:ascii="Times New Roman" w:hAnsi="Times New Roman" w:cs="Times New Roman"/>
          <w:color w:val="000000" w:themeColor="text1"/>
        </w:rPr>
        <w:t xml:space="preserve"> Erişim tarihi:16.03.2021.</w:t>
      </w:r>
    </w:p>
    <w:p w14:paraId="43225351" w14:textId="77777777" w:rsidR="00CB6608" w:rsidRPr="00A40273" w:rsidRDefault="00CB6608" w:rsidP="00CB6608">
      <w:pPr>
        <w:rPr>
          <w:rFonts w:ascii="Times New Roman" w:hAnsi="Times New Roman" w:cs="Times New Roman"/>
          <w:color w:val="000000" w:themeColor="text1"/>
        </w:rPr>
      </w:pPr>
      <w:r w:rsidRPr="00A40273">
        <w:rPr>
          <w:rFonts w:ascii="Times New Roman" w:hAnsi="Times New Roman" w:cs="Times New Roman"/>
          <w:color w:val="000000" w:themeColor="text1"/>
        </w:rPr>
        <w:t xml:space="preserve">Chan, J. K. L. (2009), The Consumption of Museum Service Experiences: Benefits and Value of Museum Experiences, </w:t>
      </w:r>
      <w:r w:rsidRPr="00A40273">
        <w:rPr>
          <w:rFonts w:ascii="Times New Roman" w:hAnsi="Times New Roman" w:cs="Times New Roman"/>
          <w:i/>
          <w:color w:val="000000" w:themeColor="text1"/>
        </w:rPr>
        <w:t>Journal of Hospitality Marketing &amp; Management</w:t>
      </w:r>
      <w:r w:rsidRPr="00A40273">
        <w:rPr>
          <w:rFonts w:ascii="Times New Roman" w:hAnsi="Times New Roman" w:cs="Times New Roman"/>
          <w:color w:val="000000" w:themeColor="text1"/>
        </w:rPr>
        <w:t>, 18:173-196.</w:t>
      </w:r>
    </w:p>
    <w:p w14:paraId="16E31847" w14:textId="77777777" w:rsidR="00CB6608" w:rsidRPr="00164238" w:rsidRDefault="00CB6608" w:rsidP="00CB6608">
      <w:pPr>
        <w:rPr>
          <w:rFonts w:ascii="Times New Roman" w:hAnsi="Times New Roman" w:cs="Times New Roman"/>
          <w:color w:val="000000" w:themeColor="text1"/>
        </w:rPr>
      </w:pPr>
      <w:r w:rsidRPr="00A40273">
        <w:rPr>
          <w:rFonts w:ascii="Times New Roman" w:hAnsi="Times New Roman" w:cs="Times New Roman"/>
          <w:color w:val="000000" w:themeColor="text1"/>
        </w:rPr>
        <w:t>Deligöz, K. ve Ünal, S. (2009), Deneyimsel Pazarlama Uygulamalarının Marka Tercihi Üzerindeki</w:t>
      </w:r>
      <w:r w:rsidRPr="00164238">
        <w:rPr>
          <w:rFonts w:ascii="Times New Roman" w:hAnsi="Times New Roman" w:cs="Times New Roman"/>
          <w:color w:val="000000" w:themeColor="text1"/>
        </w:rPr>
        <w:t xml:space="preserve"> Etkisini Belirlemeye Yönelik Bir Araştırma (Kahve Dünyası ve Starbucks Örneği), </w:t>
      </w:r>
      <w:r w:rsidRPr="00164238">
        <w:rPr>
          <w:rFonts w:ascii="Times New Roman" w:hAnsi="Times New Roman" w:cs="Times New Roman"/>
          <w:i/>
          <w:color w:val="000000" w:themeColor="text1"/>
        </w:rPr>
        <w:t>Atatürk Üniversitesi İktisadi ve İdari Bilimler Dergisi</w:t>
      </w:r>
      <w:r w:rsidRPr="00164238">
        <w:rPr>
          <w:rFonts w:ascii="Times New Roman" w:hAnsi="Times New Roman" w:cs="Times New Roman"/>
          <w:color w:val="000000" w:themeColor="text1"/>
        </w:rPr>
        <w:t xml:space="preserve">, Cilt: 31, Sayı: 1. </w:t>
      </w:r>
    </w:p>
    <w:p w14:paraId="21272B12" w14:textId="77777777" w:rsidR="00CB6608" w:rsidRPr="00A40273" w:rsidRDefault="00CB6608" w:rsidP="00CB6608">
      <w:pPr>
        <w:rPr>
          <w:rFonts w:ascii="Times New Roman" w:hAnsi="Times New Roman" w:cs="Times New Roman"/>
          <w:color w:val="000000" w:themeColor="text1"/>
        </w:rPr>
      </w:pPr>
      <w:r w:rsidRPr="00164238">
        <w:rPr>
          <w:rFonts w:ascii="Times New Roman" w:hAnsi="Times New Roman" w:cs="Times New Roman"/>
          <w:color w:val="000000" w:themeColor="text1"/>
        </w:rPr>
        <w:t xml:space="preserve">Demir, E. ve Demirarslan, D. (2020), Çocuk Müzelerinin Tarihsel Gelişimi Ve İç Mekân Yaklaşımlarının İncelenmesi, </w:t>
      </w:r>
      <w:r w:rsidRPr="00164238">
        <w:rPr>
          <w:rFonts w:ascii="Times New Roman" w:hAnsi="Times New Roman" w:cs="Times New Roman"/>
          <w:i/>
          <w:color w:val="000000" w:themeColor="text1"/>
        </w:rPr>
        <w:t xml:space="preserve">Uluslararası Sosyal Araştırmalar Dergisi / The Journal of International </w:t>
      </w:r>
      <w:r w:rsidRPr="00A40273">
        <w:rPr>
          <w:rFonts w:ascii="Times New Roman" w:hAnsi="Times New Roman" w:cs="Times New Roman"/>
          <w:i/>
          <w:color w:val="000000" w:themeColor="text1"/>
        </w:rPr>
        <w:t>Social Research</w:t>
      </w:r>
      <w:r w:rsidRPr="00A40273">
        <w:rPr>
          <w:rFonts w:ascii="Times New Roman" w:hAnsi="Times New Roman" w:cs="Times New Roman"/>
          <w:color w:val="000000" w:themeColor="text1"/>
        </w:rPr>
        <w:t xml:space="preserve"> Cilt: 13 Sayı: 73 Ekim 2020 &amp; Volume: 13 Issue: 73.</w:t>
      </w:r>
    </w:p>
    <w:p w14:paraId="76AC0BC1" w14:textId="77777777" w:rsidR="00CB6608" w:rsidRPr="00A40273" w:rsidRDefault="00CB6608" w:rsidP="00CB6608">
      <w:pPr>
        <w:rPr>
          <w:rFonts w:ascii="Times New Roman" w:hAnsi="Times New Roman" w:cs="Times New Roman"/>
          <w:color w:val="000000" w:themeColor="text1"/>
        </w:rPr>
      </w:pPr>
      <w:r w:rsidRPr="00A40273">
        <w:rPr>
          <w:rFonts w:ascii="Times New Roman" w:hAnsi="Times New Roman" w:cs="Times New Roman"/>
          <w:color w:val="000000" w:themeColor="text1"/>
        </w:rPr>
        <w:t xml:space="preserve">Falk, J. H. (2016), </w:t>
      </w:r>
      <w:r w:rsidRPr="00A40273">
        <w:rPr>
          <w:rFonts w:ascii="Times New Roman" w:hAnsi="Times New Roman" w:cs="Times New Roman"/>
          <w:i/>
          <w:color w:val="000000" w:themeColor="text1"/>
        </w:rPr>
        <w:t>Identity and the Museum Visitor Experience</w:t>
      </w:r>
      <w:r w:rsidRPr="00A40273">
        <w:rPr>
          <w:rFonts w:ascii="Times New Roman" w:hAnsi="Times New Roman" w:cs="Times New Roman"/>
          <w:color w:val="000000" w:themeColor="text1"/>
        </w:rPr>
        <w:t>, Routledge, New York.</w:t>
      </w:r>
    </w:p>
    <w:p w14:paraId="414BF07C" w14:textId="77777777" w:rsidR="00CB6608" w:rsidRPr="00A40273" w:rsidRDefault="00CB6608" w:rsidP="00CB6608">
      <w:pPr>
        <w:rPr>
          <w:rFonts w:ascii="Times New Roman" w:hAnsi="Times New Roman" w:cs="Times New Roman"/>
          <w:color w:val="000000" w:themeColor="text1"/>
        </w:rPr>
      </w:pPr>
      <w:r w:rsidRPr="00A40273">
        <w:rPr>
          <w:rFonts w:ascii="Times New Roman" w:hAnsi="Times New Roman" w:cs="Times New Roman"/>
          <w:color w:val="000000" w:themeColor="text1"/>
        </w:rPr>
        <w:t xml:space="preserve">ICOM Report, (2020), </w:t>
      </w:r>
      <w:hyperlink r:id="rId33" w:history="1">
        <w:r w:rsidRPr="00A40273">
          <w:rPr>
            <w:rStyle w:val="Balk1Char"/>
            <w:rFonts w:ascii="Times New Roman" w:hAnsi="Times New Roman" w:cs="Times New Roman"/>
            <w:color w:val="000000" w:themeColor="text1"/>
            <w:sz w:val="22"/>
            <w:szCs w:val="22"/>
          </w:rPr>
          <w:t>https://icom.museum/wp-content/uploads/2020/05/Report-Museums-and-COVID-19.pdf</w:t>
        </w:r>
      </w:hyperlink>
      <w:r w:rsidRPr="00A40273">
        <w:rPr>
          <w:rFonts w:ascii="Times New Roman" w:hAnsi="Times New Roman" w:cs="Times New Roman"/>
          <w:color w:val="000000" w:themeColor="text1"/>
        </w:rPr>
        <w:t xml:space="preserve"> Erişim Tarihi: 01.04.2021.</w:t>
      </w:r>
    </w:p>
    <w:p w14:paraId="1955AB2D" w14:textId="77777777" w:rsidR="00CB6608" w:rsidRPr="00A40273" w:rsidRDefault="00CB6608" w:rsidP="00CB6608">
      <w:pPr>
        <w:tabs>
          <w:tab w:val="left" w:pos="1560"/>
        </w:tabs>
        <w:rPr>
          <w:rFonts w:ascii="Times New Roman" w:hAnsi="Times New Roman" w:cs="Times New Roman"/>
          <w:color w:val="000000" w:themeColor="text1"/>
        </w:rPr>
      </w:pPr>
      <w:r w:rsidRPr="00A40273">
        <w:rPr>
          <w:rFonts w:ascii="Times New Roman" w:hAnsi="Times New Roman" w:cs="Times New Roman"/>
          <w:color w:val="000000" w:themeColor="text1"/>
        </w:rPr>
        <w:t xml:space="preserve">Keleş, V. (2010), Modern Müzecilik ve Türk Müzeciliği, </w:t>
      </w:r>
      <w:r w:rsidRPr="00A40273">
        <w:rPr>
          <w:rFonts w:ascii="Times New Roman" w:hAnsi="Times New Roman" w:cs="Times New Roman"/>
          <w:i/>
          <w:color w:val="000000" w:themeColor="text1"/>
        </w:rPr>
        <w:t>Atatürk Üniversitesi Sosyal Bilimler Enstitüsü Dergisi</w:t>
      </w:r>
      <w:r w:rsidRPr="00A40273">
        <w:rPr>
          <w:rFonts w:ascii="Times New Roman" w:hAnsi="Times New Roman" w:cs="Times New Roman"/>
          <w:color w:val="000000" w:themeColor="text1"/>
        </w:rPr>
        <w:t>, 2 (1-2). https://dergipark.org.tr/en/pub/ataunisosbil/issue/2812/37813.</w:t>
      </w:r>
    </w:p>
    <w:p w14:paraId="0694A6EE" w14:textId="77777777" w:rsidR="00CB6608" w:rsidRPr="00A40273" w:rsidRDefault="00CB6608" w:rsidP="00CB6608">
      <w:pPr>
        <w:pStyle w:val="Default"/>
        <w:jc w:val="both"/>
        <w:rPr>
          <w:color w:val="000000" w:themeColor="text1"/>
          <w:sz w:val="22"/>
          <w:szCs w:val="22"/>
        </w:rPr>
      </w:pPr>
      <w:r w:rsidRPr="00A40273">
        <w:rPr>
          <w:color w:val="000000" w:themeColor="text1"/>
          <w:sz w:val="22"/>
          <w:szCs w:val="22"/>
        </w:rPr>
        <w:t>Karadeniz, C. (2010), Avrupa’da Çocuk Müzeleri: Frankfurt ve Hamburg Örneği. Folklor/Edebiyat, (63), 169-178.</w:t>
      </w:r>
    </w:p>
    <w:p w14:paraId="0FD4BA2D" w14:textId="77777777" w:rsidR="00CB6608" w:rsidRPr="00A40273" w:rsidRDefault="00CB6608" w:rsidP="00CB6608">
      <w:pPr>
        <w:spacing w:line="360" w:lineRule="auto"/>
        <w:rPr>
          <w:rFonts w:ascii="Times New Roman" w:hAnsi="Times New Roman" w:cs="Times New Roman"/>
          <w:color w:val="000000" w:themeColor="text1"/>
        </w:rPr>
      </w:pPr>
      <w:r w:rsidRPr="00A40273">
        <w:rPr>
          <w:rFonts w:ascii="Times New Roman" w:hAnsi="Times New Roman" w:cs="Times New Roman"/>
          <w:color w:val="000000" w:themeColor="text1"/>
        </w:rPr>
        <w:t xml:space="preserve">Karadeniz, C. (2013), Amerika Birleşik Devletlerinde Çocuk Müzeleri: Miami Çocuk Müzesi Örneği </w:t>
      </w:r>
      <w:r w:rsidRPr="00A40273">
        <w:rPr>
          <w:rFonts w:ascii="Times New Roman" w:hAnsi="Times New Roman" w:cs="Times New Roman"/>
          <w:i/>
          <w:color w:val="000000" w:themeColor="text1"/>
        </w:rPr>
        <w:t>Folklor/Edebiyat</w:t>
      </w:r>
      <w:r w:rsidRPr="00A40273">
        <w:rPr>
          <w:rFonts w:ascii="Times New Roman" w:hAnsi="Times New Roman" w:cs="Times New Roman"/>
          <w:color w:val="000000" w:themeColor="text1"/>
        </w:rPr>
        <w:t>, cilt:19, sayı:74, 2013/2, 225-240.</w:t>
      </w:r>
    </w:p>
    <w:p w14:paraId="6EF70F49" w14:textId="77777777" w:rsidR="00CB6608" w:rsidRPr="00A40273" w:rsidRDefault="00CB6608" w:rsidP="00CB6608">
      <w:pPr>
        <w:tabs>
          <w:tab w:val="left" w:pos="0"/>
        </w:tabs>
        <w:spacing w:line="360" w:lineRule="auto"/>
        <w:rPr>
          <w:rFonts w:ascii="Times New Roman" w:hAnsi="Times New Roman" w:cs="Times New Roman"/>
          <w:color w:val="000000" w:themeColor="text1"/>
        </w:rPr>
      </w:pPr>
      <w:r w:rsidRPr="00A40273">
        <w:rPr>
          <w:rFonts w:ascii="Times New Roman" w:hAnsi="Times New Roman" w:cs="Times New Roman"/>
          <w:color w:val="000000" w:themeColor="text1"/>
        </w:rPr>
        <w:t>Karadeniz, C. (2015), Çağdaş Müze Ve Kültürel Çeşitlilik: Arkeoloji Müzesi Uzmanlarının Kültürel Çeşitliliğe İlişkin Yaklaşımlarının Değerlendirilmesi. Doktora Tezi, Ankara Üniversitesi Eğitim Bilimleri Enstitüsü, Ankara.</w:t>
      </w:r>
    </w:p>
    <w:p w14:paraId="1712538A" w14:textId="77777777" w:rsidR="00CB6608" w:rsidRPr="00A40273" w:rsidRDefault="00CB6608" w:rsidP="00CB6608">
      <w:pPr>
        <w:tabs>
          <w:tab w:val="left" w:pos="0"/>
        </w:tabs>
        <w:spacing w:line="360" w:lineRule="auto"/>
        <w:rPr>
          <w:rFonts w:ascii="Times New Roman" w:hAnsi="Times New Roman" w:cs="Times New Roman"/>
          <w:color w:val="000000" w:themeColor="text1"/>
        </w:rPr>
      </w:pPr>
      <w:r w:rsidRPr="00A40273">
        <w:rPr>
          <w:rFonts w:ascii="Times New Roman" w:hAnsi="Times New Roman" w:cs="Times New Roman"/>
          <w:color w:val="000000" w:themeColor="text1"/>
        </w:rPr>
        <w:t>Kotler, N. ve Kotler, P. (2000), Can Museums be All Things to All People?: Missions, Goals,and Marketing’s Role, Museum Management and Curatorship, Vol. 18, No.3, pp. 271-287.</w:t>
      </w:r>
    </w:p>
    <w:p w14:paraId="351B9DE4" w14:textId="77777777" w:rsidR="00CB6608" w:rsidRPr="00A40273" w:rsidRDefault="00CB6608" w:rsidP="00CB6608">
      <w:pPr>
        <w:spacing w:line="360" w:lineRule="auto"/>
        <w:rPr>
          <w:rFonts w:ascii="Times New Roman" w:hAnsi="Times New Roman" w:cs="Times New Roman"/>
          <w:color w:val="000000" w:themeColor="text1"/>
        </w:rPr>
      </w:pPr>
      <w:r w:rsidRPr="00A40273">
        <w:rPr>
          <w:rFonts w:ascii="Times New Roman" w:hAnsi="Times New Roman" w:cs="Times New Roman"/>
          <w:color w:val="000000" w:themeColor="text1"/>
        </w:rPr>
        <w:t xml:space="preserve">Manhattan Çocuk Müzesi resmi internet sitesi. </w:t>
      </w:r>
      <w:hyperlink r:id="rId34" w:history="1">
        <w:r w:rsidRPr="00A40273">
          <w:rPr>
            <w:rStyle w:val="Balk1Char"/>
            <w:rFonts w:ascii="Times New Roman" w:hAnsi="Times New Roman" w:cs="Times New Roman"/>
            <w:color w:val="000000" w:themeColor="text1"/>
            <w:sz w:val="22"/>
            <w:szCs w:val="22"/>
          </w:rPr>
          <w:t>https://cmom.org/</w:t>
        </w:r>
      </w:hyperlink>
      <w:r w:rsidRPr="00A40273">
        <w:rPr>
          <w:rStyle w:val="Balk1Char"/>
          <w:rFonts w:ascii="Times New Roman" w:hAnsi="Times New Roman" w:cs="Times New Roman"/>
          <w:color w:val="000000" w:themeColor="text1"/>
          <w:sz w:val="22"/>
          <w:szCs w:val="22"/>
        </w:rPr>
        <w:t xml:space="preserve"> </w:t>
      </w:r>
      <w:r w:rsidRPr="00A40273">
        <w:rPr>
          <w:rFonts w:ascii="Times New Roman" w:hAnsi="Times New Roman" w:cs="Times New Roman"/>
          <w:color w:val="000000" w:themeColor="text1"/>
        </w:rPr>
        <w:t>Erişim Tarihi:16.03.2021.</w:t>
      </w:r>
    </w:p>
    <w:p w14:paraId="7F84F59D" w14:textId="77777777" w:rsidR="00CB6608" w:rsidRPr="00A40273" w:rsidRDefault="00CB6608" w:rsidP="00CB6608">
      <w:pPr>
        <w:spacing w:line="360" w:lineRule="auto"/>
        <w:rPr>
          <w:rFonts w:ascii="Times New Roman" w:hAnsi="Times New Roman" w:cs="Times New Roman"/>
          <w:color w:val="000000" w:themeColor="text1"/>
        </w:rPr>
      </w:pPr>
      <w:r w:rsidRPr="00A40273">
        <w:rPr>
          <w:rFonts w:ascii="Times New Roman" w:hAnsi="Times New Roman" w:cs="Times New Roman"/>
          <w:color w:val="000000" w:themeColor="text1"/>
        </w:rPr>
        <w:t>Merriam, S.B. (2018), Nitel Araştırma Desen ve Uygulama İçin Bir Rehber (Çeviri Editörü: Prof. Dr. Selahattin Turan), Nobel, 3. Baskı.</w:t>
      </w:r>
    </w:p>
    <w:p w14:paraId="2ACF744F" w14:textId="77777777" w:rsidR="00CB6608" w:rsidRPr="00A40273" w:rsidRDefault="00CB6608" w:rsidP="00CB6608">
      <w:pPr>
        <w:spacing w:line="360" w:lineRule="auto"/>
        <w:rPr>
          <w:rFonts w:ascii="Times New Roman" w:hAnsi="Times New Roman" w:cs="Times New Roman"/>
          <w:color w:val="000000" w:themeColor="text1"/>
        </w:rPr>
      </w:pPr>
      <w:r w:rsidRPr="00A40273">
        <w:rPr>
          <w:rFonts w:ascii="Times New Roman" w:hAnsi="Times New Roman" w:cs="Times New Roman"/>
          <w:color w:val="000000" w:themeColor="text1"/>
        </w:rPr>
        <w:t xml:space="preserve">Nagasawa, S. (2008), Customer Experience Management: Influencing On Human Kansei To Management Of Technology, </w:t>
      </w:r>
      <w:r w:rsidRPr="00A40273">
        <w:rPr>
          <w:rFonts w:ascii="Times New Roman" w:hAnsi="Times New Roman" w:cs="Times New Roman"/>
          <w:i/>
          <w:color w:val="000000" w:themeColor="text1"/>
        </w:rPr>
        <w:t>The TQM Journal</w:t>
      </w:r>
      <w:r w:rsidRPr="00A40273">
        <w:rPr>
          <w:rFonts w:ascii="Times New Roman" w:hAnsi="Times New Roman" w:cs="Times New Roman"/>
          <w:color w:val="000000" w:themeColor="text1"/>
        </w:rPr>
        <w:t>, Cilt 20, Sayı: 4, 312-323.</w:t>
      </w:r>
    </w:p>
    <w:p w14:paraId="73ADC04E" w14:textId="77777777" w:rsidR="00CB6608" w:rsidRPr="00A40273" w:rsidRDefault="00CB6608" w:rsidP="00CB6608">
      <w:pPr>
        <w:rPr>
          <w:rFonts w:ascii="Times New Roman" w:hAnsi="Times New Roman" w:cs="Times New Roman"/>
          <w:color w:val="000000" w:themeColor="text1"/>
        </w:rPr>
      </w:pPr>
      <w:r w:rsidRPr="00A40273">
        <w:rPr>
          <w:rFonts w:ascii="Times New Roman" w:hAnsi="Times New Roman" w:cs="Times New Roman"/>
          <w:color w:val="000000" w:themeColor="text1"/>
        </w:rPr>
        <w:lastRenderedPageBreak/>
        <w:t xml:space="preserve">Pekarik, A. J., Doering, Z. D. ve Karns, D. A. (1999),  Exploring Satisfying Experiences in Museums, </w:t>
      </w:r>
      <w:r w:rsidRPr="00A40273">
        <w:rPr>
          <w:rFonts w:ascii="Times New Roman" w:hAnsi="Times New Roman" w:cs="Times New Roman"/>
          <w:i/>
          <w:color w:val="000000" w:themeColor="text1"/>
        </w:rPr>
        <w:t>Curator</w:t>
      </w:r>
      <w:r w:rsidRPr="00A40273">
        <w:rPr>
          <w:rFonts w:ascii="Times New Roman" w:hAnsi="Times New Roman" w:cs="Times New Roman"/>
          <w:color w:val="000000" w:themeColor="text1"/>
        </w:rPr>
        <w:t>, 42/2, 152-173.</w:t>
      </w:r>
    </w:p>
    <w:p w14:paraId="6BB766B8" w14:textId="77777777" w:rsidR="00CB6608" w:rsidRPr="00A40273" w:rsidRDefault="00CB6608" w:rsidP="00CB6608">
      <w:pPr>
        <w:autoSpaceDE w:val="0"/>
        <w:autoSpaceDN w:val="0"/>
        <w:adjustRightInd w:val="0"/>
        <w:spacing w:after="0"/>
        <w:rPr>
          <w:rFonts w:ascii="Times New Roman" w:hAnsi="Times New Roman" w:cs="Times New Roman"/>
          <w:bCs/>
          <w:color w:val="000000" w:themeColor="text1"/>
        </w:rPr>
      </w:pPr>
      <w:r w:rsidRPr="00A40273">
        <w:rPr>
          <w:rFonts w:ascii="Times New Roman" w:hAnsi="Times New Roman" w:cs="Times New Roman"/>
          <w:color w:val="000000" w:themeColor="text1"/>
        </w:rPr>
        <w:t xml:space="preserve">Petkus, E.J. (2002), </w:t>
      </w:r>
      <w:r w:rsidRPr="00A40273">
        <w:rPr>
          <w:rFonts w:ascii="Times New Roman" w:hAnsi="Times New Roman" w:cs="Times New Roman"/>
          <w:bCs/>
          <w:color w:val="000000" w:themeColor="text1"/>
        </w:rPr>
        <w:t xml:space="preserve">Enhancing The Application of Experiential Marketing in The Arts, </w:t>
      </w:r>
      <w:r w:rsidRPr="00A40273">
        <w:rPr>
          <w:rFonts w:ascii="Times New Roman" w:hAnsi="Times New Roman" w:cs="Times New Roman"/>
          <w:bCs/>
          <w:i/>
          <w:color w:val="000000" w:themeColor="text1"/>
        </w:rPr>
        <w:t>International Journal of Nonprofit and Voluntary Sector Marketing</w:t>
      </w:r>
      <w:r w:rsidRPr="00A40273">
        <w:rPr>
          <w:rFonts w:ascii="Times New Roman" w:hAnsi="Times New Roman" w:cs="Times New Roman"/>
          <w:bCs/>
          <w:color w:val="000000" w:themeColor="text1"/>
        </w:rPr>
        <w:t>,Volume 9,Number 1.</w:t>
      </w:r>
    </w:p>
    <w:p w14:paraId="75ECA0BE" w14:textId="77777777" w:rsidR="00CB6608" w:rsidRPr="00A40273" w:rsidRDefault="00CB6608" w:rsidP="00CB6608">
      <w:pPr>
        <w:spacing w:line="360" w:lineRule="auto"/>
        <w:rPr>
          <w:rFonts w:ascii="Times New Roman" w:hAnsi="Times New Roman" w:cs="Times New Roman"/>
          <w:color w:val="000000" w:themeColor="text1"/>
        </w:rPr>
      </w:pPr>
      <w:r w:rsidRPr="00A40273">
        <w:rPr>
          <w:rFonts w:ascii="Times New Roman" w:hAnsi="Times New Roman" w:cs="Times New Roman"/>
          <w:color w:val="000000" w:themeColor="text1"/>
        </w:rPr>
        <w:t xml:space="preserve">Pine, J. B. ve Gilmore, J. H. (2012), </w:t>
      </w:r>
      <w:r w:rsidRPr="00A40273">
        <w:rPr>
          <w:rFonts w:ascii="Times New Roman" w:hAnsi="Times New Roman" w:cs="Times New Roman"/>
          <w:i/>
          <w:iCs/>
          <w:color w:val="000000" w:themeColor="text1"/>
        </w:rPr>
        <w:t>Deneyim Ekonomisi</w:t>
      </w:r>
      <w:r w:rsidRPr="00A40273">
        <w:rPr>
          <w:rFonts w:ascii="Times New Roman" w:hAnsi="Times New Roman" w:cs="Times New Roman"/>
          <w:color w:val="000000" w:themeColor="text1"/>
        </w:rPr>
        <w:t>, Çeviren: Levent Cinemre, Optimist Yayınları, İstanbul.</w:t>
      </w:r>
    </w:p>
    <w:p w14:paraId="11DF9BA0" w14:textId="77777777" w:rsidR="00CB6608" w:rsidRPr="00A40273" w:rsidRDefault="00CB6608" w:rsidP="00CB6608">
      <w:pPr>
        <w:rPr>
          <w:rFonts w:ascii="Times New Roman" w:hAnsi="Times New Roman" w:cs="Times New Roman"/>
          <w:color w:val="000000" w:themeColor="text1"/>
        </w:rPr>
      </w:pPr>
      <w:r w:rsidRPr="00A40273">
        <w:rPr>
          <w:rFonts w:ascii="Times New Roman" w:hAnsi="Times New Roman" w:cs="Times New Roman"/>
          <w:color w:val="000000" w:themeColor="text1"/>
        </w:rPr>
        <w:t xml:space="preserve">Same, S. ve Larimo, J. (2012), Marketing Theory: Experience Marketing and Experiential Marketing, </w:t>
      </w:r>
      <w:r w:rsidRPr="00A40273">
        <w:rPr>
          <w:rFonts w:ascii="Times New Roman" w:hAnsi="Times New Roman" w:cs="Times New Roman"/>
          <w:i/>
          <w:color w:val="000000" w:themeColor="text1"/>
        </w:rPr>
        <w:t>7th International Scientific Conference Business and Management</w:t>
      </w:r>
      <w:r w:rsidRPr="00A40273">
        <w:rPr>
          <w:rFonts w:ascii="Times New Roman" w:hAnsi="Times New Roman" w:cs="Times New Roman"/>
          <w:color w:val="000000" w:themeColor="text1"/>
        </w:rPr>
        <w:t>, Seleted Papers.</w:t>
      </w:r>
    </w:p>
    <w:p w14:paraId="4A6213AE" w14:textId="77777777" w:rsidR="00CB6608" w:rsidRPr="00A40273" w:rsidRDefault="00CB6608" w:rsidP="00CB6608">
      <w:pPr>
        <w:spacing w:line="360" w:lineRule="auto"/>
        <w:rPr>
          <w:rFonts w:ascii="Times New Roman" w:hAnsi="Times New Roman" w:cs="Times New Roman"/>
          <w:color w:val="000000" w:themeColor="text1"/>
        </w:rPr>
      </w:pPr>
      <w:r w:rsidRPr="00A40273">
        <w:rPr>
          <w:rFonts w:ascii="Times New Roman" w:hAnsi="Times New Roman" w:cs="Times New Roman"/>
          <w:color w:val="000000" w:themeColor="text1"/>
        </w:rPr>
        <w:t xml:space="preserve">Schmitt, B.H. (1999a), Experiential Marketing, </w:t>
      </w:r>
      <w:r w:rsidRPr="00A40273">
        <w:rPr>
          <w:rFonts w:ascii="Times New Roman" w:hAnsi="Times New Roman" w:cs="Times New Roman"/>
          <w:i/>
          <w:iCs/>
          <w:color w:val="000000" w:themeColor="text1"/>
        </w:rPr>
        <w:t>Journal of Marketing Management</w:t>
      </w:r>
      <w:r w:rsidRPr="00A40273">
        <w:rPr>
          <w:rFonts w:ascii="Times New Roman" w:hAnsi="Times New Roman" w:cs="Times New Roman"/>
          <w:color w:val="000000" w:themeColor="text1"/>
        </w:rPr>
        <w:t>, 15: 1-3, 53-67.</w:t>
      </w:r>
    </w:p>
    <w:p w14:paraId="2F99C9C9" w14:textId="77777777" w:rsidR="00CB6608" w:rsidRPr="00A40273" w:rsidRDefault="00CB6608" w:rsidP="00CB6608">
      <w:pPr>
        <w:rPr>
          <w:rFonts w:ascii="Times New Roman" w:hAnsi="Times New Roman" w:cs="Times New Roman"/>
          <w:color w:val="000000" w:themeColor="text1"/>
        </w:rPr>
      </w:pPr>
      <w:r w:rsidRPr="00A40273">
        <w:rPr>
          <w:rFonts w:ascii="Times New Roman" w:hAnsi="Times New Roman" w:cs="Times New Roman"/>
          <w:color w:val="000000" w:themeColor="text1"/>
        </w:rPr>
        <w:t xml:space="preserve">Schmitt, B.H. (1999b), Experiential Marketing: A New Framework for Design and Communications, </w:t>
      </w:r>
      <w:r w:rsidRPr="00A40273">
        <w:rPr>
          <w:rFonts w:ascii="Times New Roman" w:hAnsi="Times New Roman" w:cs="Times New Roman"/>
          <w:i/>
          <w:color w:val="000000" w:themeColor="text1"/>
        </w:rPr>
        <w:t>Desingn Management Journal</w:t>
      </w:r>
      <w:r w:rsidRPr="00A40273">
        <w:rPr>
          <w:rFonts w:ascii="Times New Roman" w:hAnsi="Times New Roman" w:cs="Times New Roman"/>
          <w:color w:val="000000" w:themeColor="text1"/>
        </w:rPr>
        <w:t>, Cilt 10, Sayı : 2, 10-16.</w:t>
      </w:r>
    </w:p>
    <w:p w14:paraId="39DEFA1D" w14:textId="77777777" w:rsidR="00CB6608" w:rsidRPr="00A40273" w:rsidRDefault="00CB6608" w:rsidP="00CB6608">
      <w:pPr>
        <w:rPr>
          <w:rFonts w:ascii="Times New Roman" w:hAnsi="Times New Roman" w:cs="Times New Roman"/>
          <w:color w:val="000000" w:themeColor="text1"/>
        </w:rPr>
      </w:pPr>
      <w:r w:rsidRPr="00A40273">
        <w:rPr>
          <w:rFonts w:ascii="Times New Roman" w:hAnsi="Times New Roman" w:cs="Times New Roman"/>
          <w:color w:val="000000" w:themeColor="text1"/>
        </w:rPr>
        <w:t xml:space="preserve">Sezgin, M., Haşıloğlu, S.B. ve İnal, M.E. (2011), </w:t>
      </w:r>
      <w:r w:rsidRPr="00A40273">
        <w:rPr>
          <w:rFonts w:ascii="Times New Roman" w:hAnsi="Times New Roman" w:cs="Times New Roman"/>
          <w:i/>
          <w:color w:val="000000" w:themeColor="text1"/>
        </w:rPr>
        <w:t>ZKÜ Sosyal Bilimler Dergisi</w:t>
      </w:r>
      <w:r w:rsidRPr="00A40273">
        <w:rPr>
          <w:rFonts w:ascii="Times New Roman" w:hAnsi="Times New Roman" w:cs="Times New Roman"/>
          <w:color w:val="000000" w:themeColor="text1"/>
        </w:rPr>
        <w:t>, Cilt 7, Sayı 13, 2011, ss. 201–220.</w:t>
      </w:r>
    </w:p>
    <w:p w14:paraId="3A2DF910" w14:textId="77777777" w:rsidR="00CB6608" w:rsidRPr="00A40273" w:rsidRDefault="00CB6608" w:rsidP="00CB6608">
      <w:pPr>
        <w:pStyle w:val="Default"/>
        <w:rPr>
          <w:color w:val="000000" w:themeColor="text1"/>
          <w:sz w:val="22"/>
          <w:szCs w:val="22"/>
        </w:rPr>
      </w:pPr>
      <w:r w:rsidRPr="00A40273">
        <w:rPr>
          <w:color w:val="000000" w:themeColor="text1"/>
          <w:sz w:val="22"/>
          <w:szCs w:val="22"/>
        </w:rPr>
        <w:t xml:space="preserve">Türkiye'de Müzecilik Platformu, </w:t>
      </w:r>
      <w:hyperlink r:id="rId35" w:history="1">
        <w:r w:rsidRPr="00A40273">
          <w:rPr>
            <w:rStyle w:val="Balk1Char"/>
            <w:rFonts w:ascii="Times New Roman" w:hAnsi="Times New Roman" w:cs="Times New Roman"/>
            <w:color w:val="000000" w:themeColor="text1"/>
            <w:sz w:val="22"/>
            <w:szCs w:val="22"/>
          </w:rPr>
          <w:t>http://www.mmkd.org.tr/icom-alternatif-muze-tanimini-acikladi/</w:t>
        </w:r>
      </w:hyperlink>
      <w:r w:rsidRPr="00A40273">
        <w:rPr>
          <w:color w:val="000000" w:themeColor="text1"/>
          <w:sz w:val="22"/>
          <w:szCs w:val="22"/>
        </w:rPr>
        <w:t>, Erişim tarihi: 15.03.2021.</w:t>
      </w:r>
    </w:p>
    <w:p w14:paraId="10B89C14" w14:textId="77777777" w:rsidR="00CB6608" w:rsidRPr="00A40273" w:rsidRDefault="00CB6608" w:rsidP="00CB6608">
      <w:pPr>
        <w:pStyle w:val="Default"/>
        <w:rPr>
          <w:color w:val="000000" w:themeColor="text1"/>
          <w:sz w:val="22"/>
          <w:szCs w:val="22"/>
        </w:rPr>
      </w:pPr>
      <w:r w:rsidRPr="00A40273">
        <w:rPr>
          <w:color w:val="000000" w:themeColor="text1"/>
          <w:sz w:val="22"/>
          <w:szCs w:val="22"/>
        </w:rPr>
        <w:t xml:space="preserve">Yuan, Y.H.E ve Wu C.K. (2008), Relationships Among Experiential Marketing, Experiential Value, and Customer Satisfaction, </w:t>
      </w:r>
      <w:r w:rsidRPr="00A40273">
        <w:rPr>
          <w:i/>
          <w:color w:val="000000" w:themeColor="text1"/>
          <w:sz w:val="22"/>
          <w:szCs w:val="22"/>
        </w:rPr>
        <w:t>Journal of Hospitality &amp; Tourism Research</w:t>
      </w:r>
      <w:r w:rsidRPr="00A40273">
        <w:rPr>
          <w:color w:val="000000" w:themeColor="text1"/>
          <w:sz w:val="22"/>
          <w:szCs w:val="22"/>
        </w:rPr>
        <w:t>, 32: 387-409.</w:t>
      </w:r>
    </w:p>
    <w:p w14:paraId="154866C3" w14:textId="77777777" w:rsidR="00CB6608" w:rsidRPr="00A40273" w:rsidRDefault="00CB6608" w:rsidP="00CB6608">
      <w:pPr>
        <w:pStyle w:val="Default"/>
        <w:rPr>
          <w:color w:val="000000" w:themeColor="text1"/>
          <w:sz w:val="22"/>
          <w:szCs w:val="22"/>
        </w:rPr>
      </w:pPr>
      <w:r w:rsidRPr="00A40273">
        <w:rPr>
          <w:color w:val="000000" w:themeColor="text1"/>
          <w:sz w:val="22"/>
          <w:szCs w:val="22"/>
        </w:rPr>
        <w:t>Zilcioğlu, Ş. (2008), Avrupa’da Çocuk Müzeleri ve Müze Eğitimi: Almanya Örneği. Yayınlanmış Yüksek Lisans Tezi, Ankara Üniversitesi, Ankara.</w:t>
      </w:r>
    </w:p>
    <w:p w14:paraId="159B02DC" w14:textId="4E5399CC" w:rsidR="00CB6608" w:rsidRPr="00A40273" w:rsidRDefault="00CB6608" w:rsidP="00CB6608">
      <w:pPr>
        <w:pStyle w:val="Default"/>
        <w:rPr>
          <w:color w:val="000000" w:themeColor="text1"/>
          <w:sz w:val="22"/>
          <w:szCs w:val="22"/>
        </w:rPr>
      </w:pPr>
    </w:p>
    <w:p w14:paraId="78401926" w14:textId="69004229" w:rsidR="00416DDD" w:rsidRPr="00A40273" w:rsidRDefault="00416DDD" w:rsidP="00CB6608">
      <w:pPr>
        <w:pStyle w:val="Default"/>
        <w:rPr>
          <w:color w:val="000000" w:themeColor="text1"/>
          <w:sz w:val="22"/>
          <w:szCs w:val="22"/>
        </w:rPr>
      </w:pPr>
    </w:p>
    <w:p w14:paraId="49F7113C" w14:textId="4B847EB6" w:rsidR="00416DDD" w:rsidRPr="00164238" w:rsidRDefault="00416DDD" w:rsidP="00CB6608">
      <w:pPr>
        <w:pStyle w:val="Default"/>
        <w:rPr>
          <w:color w:val="000000" w:themeColor="text1"/>
        </w:rPr>
      </w:pPr>
    </w:p>
    <w:p w14:paraId="34FDFB16" w14:textId="1D81EE47" w:rsidR="00416DDD" w:rsidRPr="00164238" w:rsidRDefault="00416DDD" w:rsidP="00CB6608">
      <w:pPr>
        <w:pStyle w:val="Default"/>
        <w:rPr>
          <w:color w:val="000000" w:themeColor="text1"/>
        </w:rPr>
      </w:pPr>
    </w:p>
    <w:p w14:paraId="1C9EEDDD" w14:textId="42200592" w:rsidR="00416DDD" w:rsidRPr="00164238" w:rsidRDefault="00416DDD" w:rsidP="00CB6608">
      <w:pPr>
        <w:pStyle w:val="Default"/>
        <w:rPr>
          <w:color w:val="000000" w:themeColor="text1"/>
        </w:rPr>
      </w:pPr>
    </w:p>
    <w:p w14:paraId="6182917F" w14:textId="4EEBF773" w:rsidR="00416DDD" w:rsidRPr="00164238" w:rsidRDefault="00416DDD" w:rsidP="00CB6608">
      <w:pPr>
        <w:pStyle w:val="Default"/>
        <w:rPr>
          <w:color w:val="000000" w:themeColor="text1"/>
        </w:rPr>
      </w:pPr>
    </w:p>
    <w:p w14:paraId="4D80DC3B" w14:textId="766EF8B9" w:rsidR="00416DDD" w:rsidRPr="00164238" w:rsidRDefault="00416DDD" w:rsidP="00CB6608">
      <w:pPr>
        <w:pStyle w:val="Default"/>
        <w:rPr>
          <w:color w:val="000000" w:themeColor="text1"/>
        </w:rPr>
      </w:pPr>
    </w:p>
    <w:p w14:paraId="1A48B83C" w14:textId="16BFA9A1" w:rsidR="00416DDD" w:rsidRPr="00164238" w:rsidRDefault="00416DDD" w:rsidP="00CB6608">
      <w:pPr>
        <w:pStyle w:val="Default"/>
        <w:rPr>
          <w:color w:val="000000" w:themeColor="text1"/>
        </w:rPr>
      </w:pPr>
    </w:p>
    <w:p w14:paraId="51DB4434" w14:textId="06DFD8EC" w:rsidR="00416DDD" w:rsidRPr="00164238" w:rsidRDefault="00416DDD" w:rsidP="00CB6608">
      <w:pPr>
        <w:pStyle w:val="Default"/>
        <w:rPr>
          <w:color w:val="000000" w:themeColor="text1"/>
        </w:rPr>
      </w:pPr>
    </w:p>
    <w:p w14:paraId="549178A6" w14:textId="747F2F11" w:rsidR="00416DDD" w:rsidRPr="00164238" w:rsidRDefault="00416DDD" w:rsidP="00CB6608">
      <w:pPr>
        <w:pStyle w:val="Default"/>
        <w:rPr>
          <w:color w:val="000000" w:themeColor="text1"/>
        </w:rPr>
      </w:pPr>
    </w:p>
    <w:p w14:paraId="4E3D9410" w14:textId="79DAD591" w:rsidR="00416DDD" w:rsidRPr="00164238" w:rsidRDefault="00416DDD" w:rsidP="00CB6608">
      <w:pPr>
        <w:pStyle w:val="Default"/>
        <w:rPr>
          <w:color w:val="000000" w:themeColor="text1"/>
        </w:rPr>
      </w:pPr>
    </w:p>
    <w:p w14:paraId="5B400CF7" w14:textId="42B5E77E" w:rsidR="00416DDD" w:rsidRPr="00164238" w:rsidRDefault="00416DDD" w:rsidP="00CB6608">
      <w:pPr>
        <w:pStyle w:val="Default"/>
        <w:rPr>
          <w:color w:val="000000" w:themeColor="text1"/>
        </w:rPr>
      </w:pPr>
    </w:p>
    <w:p w14:paraId="577E9DC5" w14:textId="744E2FE4" w:rsidR="00416DDD" w:rsidRPr="00164238" w:rsidRDefault="00416DDD" w:rsidP="00CB6608">
      <w:pPr>
        <w:pStyle w:val="Default"/>
        <w:rPr>
          <w:color w:val="000000" w:themeColor="text1"/>
        </w:rPr>
      </w:pPr>
    </w:p>
    <w:p w14:paraId="76902C58" w14:textId="5FF534FA" w:rsidR="00416DDD" w:rsidRPr="00164238" w:rsidRDefault="00416DDD" w:rsidP="00CB6608">
      <w:pPr>
        <w:pStyle w:val="Default"/>
        <w:rPr>
          <w:color w:val="000000" w:themeColor="text1"/>
        </w:rPr>
      </w:pPr>
    </w:p>
    <w:p w14:paraId="5CFE545A" w14:textId="0C79B9C0" w:rsidR="00416DDD" w:rsidRPr="00164238" w:rsidRDefault="00416DDD" w:rsidP="00CB6608">
      <w:pPr>
        <w:pStyle w:val="Default"/>
        <w:rPr>
          <w:color w:val="000000" w:themeColor="text1"/>
        </w:rPr>
      </w:pPr>
    </w:p>
    <w:p w14:paraId="34D7ACBA" w14:textId="18738C28" w:rsidR="00416DDD" w:rsidRPr="00164238" w:rsidRDefault="00416DDD" w:rsidP="00CB6608">
      <w:pPr>
        <w:pStyle w:val="Default"/>
        <w:rPr>
          <w:color w:val="000000" w:themeColor="text1"/>
        </w:rPr>
      </w:pPr>
    </w:p>
    <w:p w14:paraId="23D4A96F" w14:textId="4E0B199F" w:rsidR="00416DDD" w:rsidRPr="00164238" w:rsidRDefault="00416DDD" w:rsidP="00CB6608">
      <w:pPr>
        <w:pStyle w:val="Default"/>
        <w:rPr>
          <w:color w:val="000000" w:themeColor="text1"/>
        </w:rPr>
      </w:pPr>
    </w:p>
    <w:p w14:paraId="1AE2D1BD" w14:textId="4BA451C6" w:rsidR="00416DDD" w:rsidRPr="00164238" w:rsidRDefault="00416DDD" w:rsidP="00CB6608">
      <w:pPr>
        <w:pStyle w:val="Default"/>
        <w:rPr>
          <w:color w:val="000000" w:themeColor="text1"/>
        </w:rPr>
      </w:pPr>
    </w:p>
    <w:p w14:paraId="79E1ED5F" w14:textId="57CE48D5" w:rsidR="00416DDD" w:rsidRPr="00164238" w:rsidRDefault="00416DDD" w:rsidP="00CB6608">
      <w:pPr>
        <w:pStyle w:val="Default"/>
        <w:rPr>
          <w:color w:val="000000" w:themeColor="text1"/>
        </w:rPr>
      </w:pPr>
    </w:p>
    <w:p w14:paraId="1FCCECFF" w14:textId="719E5365" w:rsidR="00416DDD" w:rsidRPr="00164238" w:rsidRDefault="00416DDD" w:rsidP="00CB6608">
      <w:pPr>
        <w:pStyle w:val="Default"/>
        <w:rPr>
          <w:color w:val="000000" w:themeColor="text1"/>
        </w:rPr>
      </w:pPr>
    </w:p>
    <w:p w14:paraId="61F25009" w14:textId="03C5F558" w:rsidR="00416DDD" w:rsidRPr="00164238" w:rsidRDefault="00416DDD" w:rsidP="00CB6608">
      <w:pPr>
        <w:pStyle w:val="Default"/>
        <w:rPr>
          <w:color w:val="000000" w:themeColor="text1"/>
        </w:rPr>
      </w:pPr>
    </w:p>
    <w:p w14:paraId="5C61F155" w14:textId="38DB1C06" w:rsidR="00416DDD" w:rsidRPr="00164238" w:rsidRDefault="00416DDD" w:rsidP="00CB6608">
      <w:pPr>
        <w:pStyle w:val="Default"/>
        <w:rPr>
          <w:color w:val="000000" w:themeColor="text1"/>
        </w:rPr>
      </w:pPr>
    </w:p>
    <w:p w14:paraId="48CEE3C7" w14:textId="246C9CA3" w:rsidR="00416DDD" w:rsidRPr="00164238" w:rsidRDefault="00416DDD" w:rsidP="00CB6608">
      <w:pPr>
        <w:pStyle w:val="Default"/>
        <w:rPr>
          <w:color w:val="000000" w:themeColor="text1"/>
        </w:rPr>
      </w:pPr>
    </w:p>
    <w:p w14:paraId="39B2E33B" w14:textId="7DDC1E51" w:rsidR="00C57500" w:rsidRPr="00164238" w:rsidRDefault="00E74503" w:rsidP="00AA2A62">
      <w:pPr>
        <w:pStyle w:val="Balk1"/>
        <w:rPr>
          <w:rFonts w:ascii="Times New Roman" w:hAnsi="Times New Roman" w:cs="Times New Roman"/>
          <w:b/>
          <w:color w:val="000000" w:themeColor="text1"/>
          <w:sz w:val="24"/>
          <w:szCs w:val="24"/>
        </w:rPr>
      </w:pPr>
      <w:bookmarkStart w:id="14" w:name="_Toc72961659"/>
      <w:r w:rsidRPr="00164238">
        <w:rPr>
          <w:rFonts w:ascii="Times New Roman" w:hAnsi="Times New Roman" w:cs="Times New Roman"/>
          <w:b/>
          <w:color w:val="000000" w:themeColor="text1"/>
          <w:sz w:val="24"/>
          <w:szCs w:val="24"/>
        </w:rPr>
        <w:lastRenderedPageBreak/>
        <w:t>MARKALARIN COVİD 19 SALGINI SÜRECİNDE İLETİŞİM FAALİYETLERİ VE SOSYAL MESAFE LOGOLARI ÜZERİNE BİR ÇALIŞMA</w:t>
      </w:r>
      <w:bookmarkEnd w:id="14"/>
    </w:p>
    <w:p w14:paraId="00841399" w14:textId="77777777" w:rsidR="00E74503" w:rsidRPr="00164238" w:rsidRDefault="00E74503" w:rsidP="00C57500">
      <w:pPr>
        <w:spacing w:line="360" w:lineRule="auto"/>
        <w:jc w:val="center"/>
        <w:rPr>
          <w:rFonts w:ascii="Times New Roman" w:hAnsi="Times New Roman" w:cs="Times New Roman"/>
          <w:b/>
          <w:color w:val="000000" w:themeColor="text1"/>
          <w:sz w:val="24"/>
          <w:szCs w:val="24"/>
        </w:rPr>
      </w:pPr>
    </w:p>
    <w:p w14:paraId="371A1C7B" w14:textId="70A3C5DF" w:rsidR="00793FF1" w:rsidRPr="00164238" w:rsidRDefault="00793FF1" w:rsidP="00416DDD">
      <w:pPr>
        <w:pStyle w:val="Balk2"/>
        <w:rPr>
          <w:rFonts w:ascii="Times New Roman" w:hAnsi="Times New Roman" w:cs="Times New Roman"/>
          <w:b w:val="0"/>
          <w:color w:val="000000" w:themeColor="text1"/>
          <w:sz w:val="20"/>
          <w:szCs w:val="20"/>
        </w:rPr>
      </w:pPr>
      <w:bookmarkStart w:id="15" w:name="_Toc72961660"/>
      <w:r w:rsidRPr="00164238">
        <w:rPr>
          <w:rFonts w:ascii="Times New Roman" w:hAnsi="Times New Roman" w:cs="Times New Roman"/>
          <w:b w:val="0"/>
          <w:i w:val="0"/>
          <w:color w:val="000000" w:themeColor="text1"/>
          <w:sz w:val="20"/>
          <w:szCs w:val="20"/>
        </w:rPr>
        <w:t>Dr. Öğr. Üyesi Elif KARA</w:t>
      </w:r>
      <w:r w:rsidRPr="00164238">
        <w:rPr>
          <w:rFonts w:ascii="Times New Roman" w:hAnsi="Times New Roman" w:cs="Times New Roman"/>
          <w:b w:val="0"/>
          <w:color w:val="000000" w:themeColor="text1"/>
          <w:sz w:val="20"/>
          <w:szCs w:val="20"/>
        </w:rPr>
        <w:t>, Kahramanmaraş Sütçü İmam Üniversitesi, Göksun Uygulamalı Bilimler Yüksek Okulu, Bankacılık ve Finans Bölümü, Kahramanmaraş, Türkiye.</w:t>
      </w:r>
      <w:bookmarkEnd w:id="15"/>
    </w:p>
    <w:p w14:paraId="7FC3757E" w14:textId="77777777" w:rsidR="00793FF1" w:rsidRPr="00164238" w:rsidRDefault="00793FF1" w:rsidP="00793FF1">
      <w:pPr>
        <w:autoSpaceDE w:val="0"/>
        <w:autoSpaceDN w:val="0"/>
        <w:adjustRightInd w:val="0"/>
        <w:spacing w:before="240" w:after="120" w:line="360" w:lineRule="auto"/>
        <w:contextualSpacing/>
        <w:jc w:val="both"/>
        <w:rPr>
          <w:rFonts w:ascii="Times New Roman" w:hAnsi="Times New Roman" w:cs="Times New Roman"/>
          <w:color w:val="000000" w:themeColor="text1"/>
          <w:sz w:val="20"/>
          <w:szCs w:val="20"/>
        </w:rPr>
      </w:pPr>
      <w:r w:rsidRPr="00164238">
        <w:rPr>
          <w:rFonts w:ascii="Times New Roman" w:hAnsi="Times New Roman" w:cs="Times New Roman"/>
          <w:i/>
          <w:color w:val="000000" w:themeColor="text1"/>
          <w:sz w:val="20"/>
          <w:szCs w:val="20"/>
        </w:rPr>
        <w:t>e-mail:</w:t>
      </w:r>
      <w:r w:rsidRPr="00164238">
        <w:rPr>
          <w:rFonts w:ascii="Times New Roman" w:hAnsi="Times New Roman" w:cs="Times New Roman"/>
          <w:color w:val="000000" w:themeColor="text1"/>
          <w:sz w:val="20"/>
          <w:szCs w:val="20"/>
        </w:rPr>
        <w:t xml:space="preserve"> </w:t>
      </w:r>
      <w:hyperlink r:id="rId36" w:history="1">
        <w:r w:rsidRPr="00164238">
          <w:rPr>
            <w:rStyle w:val="Kpr"/>
            <w:rFonts w:ascii="Times New Roman" w:hAnsi="Times New Roman" w:cs="Times New Roman"/>
            <w:color w:val="000000" w:themeColor="text1"/>
            <w:sz w:val="20"/>
            <w:szCs w:val="20"/>
            <w:u w:val="none"/>
          </w:rPr>
          <w:t>elifkara@ksu.edu.tr</w:t>
        </w:r>
      </w:hyperlink>
      <w:r w:rsidRPr="00164238">
        <w:rPr>
          <w:rFonts w:ascii="Times New Roman" w:hAnsi="Times New Roman" w:cs="Times New Roman"/>
          <w:color w:val="000000" w:themeColor="text1"/>
          <w:sz w:val="20"/>
          <w:szCs w:val="20"/>
        </w:rPr>
        <w:t xml:space="preserve">  </w:t>
      </w:r>
      <w:r w:rsidRPr="00164238">
        <w:rPr>
          <w:rFonts w:ascii="Times New Roman" w:hAnsi="Times New Roman" w:cs="Times New Roman"/>
          <w:i/>
          <w:color w:val="000000" w:themeColor="text1"/>
          <w:sz w:val="20"/>
          <w:szCs w:val="20"/>
        </w:rPr>
        <w:t xml:space="preserve"> ORCID ID</w:t>
      </w:r>
      <w:r w:rsidRPr="00164238">
        <w:rPr>
          <w:rFonts w:ascii="Times New Roman" w:hAnsi="Times New Roman" w:cs="Times New Roman"/>
          <w:color w:val="000000" w:themeColor="text1"/>
          <w:sz w:val="20"/>
          <w:szCs w:val="20"/>
        </w:rPr>
        <w:t>: 0000-0001-6321-416X</w:t>
      </w:r>
    </w:p>
    <w:p w14:paraId="71154149" w14:textId="77777777" w:rsidR="00C57500" w:rsidRPr="00164238" w:rsidRDefault="00C57500" w:rsidP="00C57500">
      <w:pPr>
        <w:spacing w:line="360" w:lineRule="auto"/>
        <w:ind w:firstLine="706"/>
        <w:rPr>
          <w:rFonts w:ascii="Times New Roman" w:hAnsi="Times New Roman" w:cs="Times New Roman"/>
          <w:b/>
          <w:color w:val="000000" w:themeColor="text1"/>
          <w:sz w:val="20"/>
          <w:szCs w:val="20"/>
        </w:rPr>
      </w:pPr>
    </w:p>
    <w:p w14:paraId="387841AA" w14:textId="223547EE" w:rsidR="00C57500" w:rsidRPr="00164238" w:rsidRDefault="00C57500" w:rsidP="00C57500">
      <w:pPr>
        <w:spacing w:line="360" w:lineRule="auto"/>
        <w:ind w:firstLine="706"/>
        <w:rPr>
          <w:rFonts w:ascii="Times New Roman" w:hAnsi="Times New Roman" w:cs="Times New Roman"/>
          <w:b/>
          <w:color w:val="000000" w:themeColor="text1"/>
        </w:rPr>
      </w:pPr>
      <w:r w:rsidRPr="00164238">
        <w:rPr>
          <w:rFonts w:ascii="Times New Roman" w:hAnsi="Times New Roman" w:cs="Times New Roman"/>
          <w:b/>
          <w:color w:val="000000" w:themeColor="text1"/>
        </w:rPr>
        <w:t>Özet</w:t>
      </w:r>
    </w:p>
    <w:p w14:paraId="787BFA09" w14:textId="77777777" w:rsidR="00C57500" w:rsidRPr="00164238" w:rsidRDefault="00C57500" w:rsidP="00C57500">
      <w:pPr>
        <w:spacing w:line="360" w:lineRule="auto"/>
        <w:ind w:firstLine="708"/>
        <w:rPr>
          <w:rFonts w:ascii="Times New Roman" w:hAnsi="Times New Roman" w:cs="Times New Roman"/>
          <w:color w:val="000000" w:themeColor="text1"/>
        </w:rPr>
      </w:pPr>
      <w:r w:rsidRPr="00164238">
        <w:rPr>
          <w:rFonts w:ascii="Times New Roman" w:hAnsi="Times New Roman" w:cs="Times New Roman"/>
          <w:color w:val="000000" w:themeColor="text1"/>
        </w:rPr>
        <w:t>Covid 19 salgını kısa sürede tüm dünyayı etkisi altına aldı vebu süreçten iş dünyası, ekonomi ve sosyal hayat derinden etkilenmiş durumda. Covid 19salgını iş süreçlerini, tüketici davranışlarını ve tüketim alışkanlıklarını derinden etkileyen yeni bir düzeni oraya çıkardı. Eskiden alışkanlığımız olmayan birçok şeyin yeni normalimiz olmaya başladığı veya olacağı bir dönemdeyiz. Bu değişimle birlikte markalar yönetim ve iletişim yaklaşımlarında önemli değişikleri gündemlerine almak zorunda kaldılar.</w:t>
      </w:r>
    </w:p>
    <w:p w14:paraId="47341EF5" w14:textId="77777777" w:rsidR="00C57500" w:rsidRPr="00164238" w:rsidRDefault="00C57500" w:rsidP="00C57500">
      <w:pPr>
        <w:spacing w:line="360" w:lineRule="auto"/>
        <w:ind w:firstLine="708"/>
        <w:rPr>
          <w:rFonts w:ascii="Times New Roman" w:hAnsi="Times New Roman" w:cs="Times New Roman"/>
          <w:color w:val="000000" w:themeColor="text1"/>
        </w:rPr>
      </w:pPr>
      <w:r w:rsidRPr="00164238">
        <w:rPr>
          <w:rFonts w:ascii="Times New Roman" w:hAnsi="Times New Roman" w:cs="Times New Roman"/>
          <w:color w:val="000000" w:themeColor="text1"/>
        </w:rPr>
        <w:t>Covid 19 gibi tüm insanlığı etkileyen süreçlerde marka yönetimi ve markaların iletişim faaliyetleri kritik bir hal almaktadır. Bu dönemlerde insanlık gibi markalarda zor bir sınavdan geçmektedir.  Endişenin, paniğin ve stresin hâkim olduğu kriz dönemlerinde markaların yapması gereken en sağlıklı davranış iyi bir diyalog sürecini oluşturmaktır. İki yönlü bu diyalog ile markanın inandığı şeyi anlamaya ihtiyaç duyan tüketicinin bu taleplerine de tatmin edici cevaplar bulması sağlanmış olur.</w:t>
      </w:r>
    </w:p>
    <w:p w14:paraId="3594883A" w14:textId="77777777" w:rsidR="00C57500" w:rsidRPr="00164238" w:rsidRDefault="00C57500" w:rsidP="00C57500">
      <w:pPr>
        <w:spacing w:line="360" w:lineRule="auto"/>
        <w:ind w:firstLine="708"/>
        <w:rPr>
          <w:rFonts w:ascii="Times New Roman" w:hAnsi="Times New Roman" w:cs="Times New Roman"/>
          <w:color w:val="000000" w:themeColor="text1"/>
        </w:rPr>
      </w:pPr>
      <w:r w:rsidRPr="00164238">
        <w:rPr>
          <w:rFonts w:ascii="Times New Roman" w:hAnsi="Times New Roman" w:cs="Times New Roman"/>
          <w:color w:val="000000" w:themeColor="text1"/>
        </w:rPr>
        <w:t xml:space="preserve">Günümüzde markaların bağlılık oluşturması, müşteri sadakati sağlaması ve hedef kitlesi ile sürekli iletişimde olması, markanın sürekliliği için hayati öneme sahiptir. Bu çalışmada markaların Covid 19 salgını sürecinde yapmış olduğu iletişim çalışmaları ve sosyal mesafe logoları ele alınmıştır.  Çalışmada;  markaların bu faaliyetlerle vermek istedikleri mesajlar ve tüketicilerin bu mesajlara vermiş olduğu tepkiler vetüketici algıları içerik analizi ile incelenmiştir. Elde edilen sonuçlara göre; Covid 19 salgını sürecinde, insan yaşamına dokunan ve iyilik yatırımı yapan vicdanlı markalar, salgın sonrasında daha sürdürülebilir tüketici ilişkilerine ve pozitif bilinirliğe sahip olacaklardır. Tüketiciler bu süreçte markaların; gerçek değer sunmasını, sorumlu davranışlar sergileyerek çalışanları da dâhil olmak üzere toplum için doğru işler yapmasını bekliyor. Bu süreçte tüketici beklenti ve alışkanlıklarını anlayan, müşteri deneyimini en üst düzeye çıkaran ve tüketiciler ile doğru iletişim kuran markaların salgın sonrasında da başarısını sürdüreceği gözükmektedir. Covid 19 salgını sırasında amacını etik </w:t>
      </w:r>
      <w:r w:rsidRPr="00164238">
        <w:rPr>
          <w:rFonts w:ascii="Times New Roman" w:hAnsi="Times New Roman" w:cs="Times New Roman"/>
          <w:color w:val="000000" w:themeColor="text1"/>
        </w:rPr>
        <w:lastRenderedPageBreak/>
        <w:t>yollardan gerçekleştiren markaların değerlerini ortalama iki katına çıkardığı tespit edilmiştir.Çalışma covid-19 sürecinde markaların iletişim çabalarını inceleyerek literatüre katkı sunmaktadır</w:t>
      </w:r>
    </w:p>
    <w:p w14:paraId="1E3AF024" w14:textId="77777777" w:rsidR="00C57500" w:rsidRPr="00164238" w:rsidRDefault="00C57500" w:rsidP="00C57500">
      <w:pPr>
        <w:spacing w:line="360" w:lineRule="auto"/>
        <w:rPr>
          <w:rFonts w:ascii="Times New Roman" w:hAnsi="Times New Roman" w:cs="Times New Roman"/>
          <w:color w:val="000000" w:themeColor="text1"/>
        </w:rPr>
      </w:pPr>
      <w:r w:rsidRPr="00164238">
        <w:rPr>
          <w:rFonts w:ascii="Times New Roman" w:hAnsi="Times New Roman" w:cs="Times New Roman"/>
          <w:b/>
          <w:color w:val="000000" w:themeColor="text1"/>
        </w:rPr>
        <w:t xml:space="preserve">Anahtar Kelimeler: </w:t>
      </w:r>
      <w:r w:rsidRPr="00164238">
        <w:rPr>
          <w:rFonts w:ascii="Times New Roman" w:hAnsi="Times New Roman" w:cs="Times New Roman"/>
          <w:color w:val="000000" w:themeColor="text1"/>
        </w:rPr>
        <w:t>Covid 19 salgını, Marka, Pazarlama iletişimi, Tüketici davranışları.</w:t>
      </w:r>
    </w:p>
    <w:p w14:paraId="2A34046A" w14:textId="77777777" w:rsidR="00C57500" w:rsidRPr="00164238" w:rsidRDefault="00C57500" w:rsidP="00C57500">
      <w:pPr>
        <w:spacing w:before="120" w:after="200" w:line="480" w:lineRule="auto"/>
        <w:jc w:val="both"/>
        <w:rPr>
          <w:rFonts w:ascii="Times New Roman" w:hAnsi="Times New Roman" w:cs="Times New Roman"/>
          <w:b/>
          <w:color w:val="000000" w:themeColor="text1"/>
        </w:rPr>
      </w:pPr>
    </w:p>
    <w:p w14:paraId="561B4B1A" w14:textId="115CA509" w:rsidR="00C57500" w:rsidRPr="00164238" w:rsidRDefault="00C57500" w:rsidP="00C57500">
      <w:pPr>
        <w:spacing w:before="120" w:after="200" w:line="480" w:lineRule="auto"/>
        <w:ind w:firstLine="360"/>
        <w:jc w:val="both"/>
        <w:rPr>
          <w:rFonts w:ascii="Times New Roman" w:hAnsi="Times New Roman" w:cs="Times New Roman"/>
          <w:b/>
          <w:color w:val="000000" w:themeColor="text1"/>
        </w:rPr>
      </w:pPr>
      <w:r w:rsidRPr="00164238">
        <w:rPr>
          <w:rFonts w:ascii="Times New Roman" w:hAnsi="Times New Roman" w:cs="Times New Roman"/>
          <w:b/>
          <w:color w:val="000000" w:themeColor="text1"/>
        </w:rPr>
        <w:t>Giriş</w:t>
      </w:r>
    </w:p>
    <w:p w14:paraId="701CFCDC" w14:textId="77777777" w:rsidR="00C57500" w:rsidRPr="00164238" w:rsidRDefault="00C57500" w:rsidP="00C57500">
      <w:pPr>
        <w:ind w:firstLine="360"/>
        <w:jc w:val="both"/>
        <w:rPr>
          <w:rFonts w:ascii="Times New Roman" w:hAnsi="Times New Roman" w:cs="Times New Roman"/>
          <w:color w:val="000000" w:themeColor="text1"/>
        </w:rPr>
      </w:pPr>
      <w:r w:rsidRPr="00164238">
        <w:rPr>
          <w:rFonts w:ascii="Times New Roman" w:hAnsi="Times New Roman" w:cs="Times New Roman"/>
          <w:color w:val="000000" w:themeColor="text1"/>
        </w:rPr>
        <w:t>Covid-19 pandemisi tüm dünyayı etkisi altında tutmaya devam etmektedir.Çin’in Wuhan kentinde 31 Aralık 2019 tarihinde ortaya çıkan ve hızla Asya’dan tüm dünyaya yayılan Dünya Sağlık Örgütü (DSÖ) tarafından pandemi olarak nitelendirilen virüs salgını hayatın her alanında yaşam normallerimizin değişmesine neden olmuştur. Ülkeler ve sağlık kuruluşları salgının hızını yavaşlatmak amacı ile birçok kısıtlama kararı almıştır. Uzmanlar ve yetkililer salgının başladığı ilk günden buyana virüsün yayılmasını engellemek ve bulaş oranını azaltmak içinsosyal mesafenin büyük bir önemi olduğunu belirtmişlerdir. Sosyal mesafe insanların bir arada olduğu ortamlarda bireylerin aralarında bulunması gereken mesafeyi ifade etmektedir.</w:t>
      </w:r>
    </w:p>
    <w:p w14:paraId="231D6AA7" w14:textId="77777777" w:rsidR="00C57500" w:rsidRPr="00164238" w:rsidRDefault="00C57500" w:rsidP="00C57500">
      <w:pPr>
        <w:ind w:firstLine="36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Virüsten korunmak amacıyla kullanılan yöntemler insanların yeni normallerinin oluşmasına neden oldu.  Sosyal mesafe, maske, hijyen kuralları, işlerin uzaktan yapılması yeni normaller haline gelmiştir. Uzmanların bu yöntemlerden üzerinde durduğu en önemli kural ise sosyal mesafe kuralı olmuştur. </w:t>
      </w:r>
    </w:p>
    <w:p w14:paraId="3A913D58" w14:textId="77777777" w:rsidR="00C57500" w:rsidRPr="00164238" w:rsidRDefault="00C57500" w:rsidP="00C57500">
      <w:pPr>
        <w:ind w:firstLine="36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Uzmanlar ve yetkililer insanların salgından koruması amacıyla alması gereken bireysel önlemler içinkamu bilincinin oluşturulmasına çalışmışlardır. Hükümetler tarafından alınan yasal tedbirlerin yanında birçok kuruluş tarafından destek verilerek insanların evde kalmalarını sağlamak ve yeni normallerin oluşması adına kampanyalar düzenlenmiştir. Birçok hizmet bu süreci desteklemek adına kurum ve kuruluşlar tarafından ücretsiz olarak verilmeye başlanmıştır. Sektörlere deste sağlamak adına fonlar toplanmış ve bazı markalar tarafından bireysel yardım faaliyetleri düzenlenerek insanların ihtiyaçlarını (ilaç, yemek, hastaneye ulaşım vb.) karşılamak için kampanyalar düzenlenmiştir. </w:t>
      </w:r>
    </w:p>
    <w:p w14:paraId="70EB270B" w14:textId="77777777" w:rsidR="00C57500" w:rsidRPr="00164238" w:rsidRDefault="00C57500" w:rsidP="00C57500">
      <w:pPr>
        <w:ind w:firstLine="36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Yeni normallerin oluştuğu ve bireylerin yaşam şekillerinin değiştiği bu süreçte bilinçlendirme çalışmalarından biri de, bireyler arasında “sosyal mesafenin” korunmasına dikkat çekmek amacıyla markaların logolarını yeniden tasarlamalarıdır. </w:t>
      </w:r>
    </w:p>
    <w:p w14:paraId="0845B52E" w14:textId="77777777" w:rsidR="00C57500" w:rsidRPr="00164238" w:rsidRDefault="00C57500" w:rsidP="00C57500">
      <w:pPr>
        <w:ind w:firstLine="36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Çalışma kapsamında markaların pandemi sürecinde yeniden tasarlamış oldukları logoları ve sloganları temel nitel bir araştırma ile yorumlanacaktır. </w:t>
      </w:r>
    </w:p>
    <w:p w14:paraId="754453A4" w14:textId="77777777" w:rsidR="00C57500" w:rsidRPr="00164238" w:rsidRDefault="00C57500" w:rsidP="00C57500">
      <w:pPr>
        <w:spacing w:before="120" w:after="200" w:line="480" w:lineRule="auto"/>
        <w:jc w:val="both"/>
        <w:rPr>
          <w:rFonts w:ascii="Times New Roman" w:hAnsi="Times New Roman" w:cs="Times New Roman"/>
          <w:b/>
          <w:color w:val="000000" w:themeColor="text1"/>
        </w:rPr>
      </w:pPr>
      <w:r w:rsidRPr="00164238">
        <w:rPr>
          <w:rFonts w:ascii="Times New Roman" w:hAnsi="Times New Roman" w:cs="Times New Roman"/>
          <w:b/>
          <w:color w:val="000000" w:themeColor="text1"/>
        </w:rPr>
        <w:t xml:space="preserve">Logo Kavramı Ve Sosyal Mesafe </w:t>
      </w:r>
    </w:p>
    <w:p w14:paraId="5949A1AE" w14:textId="77777777" w:rsidR="00C57500" w:rsidRPr="00164238" w:rsidRDefault="00C57500" w:rsidP="00C57500">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Ürün veya hizmetlerinin rakiplerinden farklılaşmasın sağlamak, bireyler ile söz konusu markalar arasında ilişkiler kurmak, bireylerin markları kendi kişilikleri ile ilişkilendirmelerini sağlayarak, tüketiciler ve şirketler arasındaki sosyal ilişkilerin oluşmasında belirgin rol oynamaktadır. Ürünleri almadan önce tüketicilere ürünle ilgili bil vermekte, ayrıca bir marka bileşeni olarak “görsel delege” olarak hizmet etmektedir. Tasarımcılar, doğru tasarımlanmış bir logonun bu marka için bir arzu yarattığını dile getirmektedir (King, 1991: 45). </w:t>
      </w:r>
    </w:p>
    <w:p w14:paraId="78CC67A6" w14:textId="77777777" w:rsidR="00C57500" w:rsidRPr="00164238" w:rsidRDefault="00C57500" w:rsidP="00C57500">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lastRenderedPageBreak/>
        <w:t>Bu nedenle özgünlüğü yakalamak isteyen işletmeler en büyük yatırımlarını markaya yöneltmektedirler Markayı, ürün veya hizmeti karşı tarafa tanıtan, iki veya daha fazla tipografik karakterden oluşarak kelime şeklinde okunabilen, amblem niteliğine sahip işaretlere logo denir (Becer, 2009: 195).</w:t>
      </w:r>
    </w:p>
    <w:p w14:paraId="54B14A88" w14:textId="77777777" w:rsidR="00C57500" w:rsidRPr="00164238" w:rsidRDefault="00C57500" w:rsidP="00C57500">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Logo sözcüğü Latince ‘logos’ sözcüğünden gelen, Latince’de anlamı konuşma ve mantık’ olarak bilinen,  çizgi ve resimle yapılan işaretlerdir. Amblem ya da  logo en kapsamlı anlamıyla ürün ya da hizmet üreten kuruluşlara kimlik katan, sözcük özelliği göstermeyen soyut ya da nesnel görüntülerle ve ya harflerle oluşturulan simgelerdir. (Selvi, 2008: 95-96). Logo, markayı temsil eden, özel tasarlanmış amblem ya da işaretten oluşmaktadır. Şekliyle ve rengiyle markayı çağrıştıran hareketsiz marka işareti anlamına gelmektedir. (Çengel, 2006: 37). </w:t>
      </w:r>
    </w:p>
    <w:p w14:paraId="30852DBB" w14:textId="77777777" w:rsidR="00C57500" w:rsidRPr="00164238" w:rsidRDefault="00C57500" w:rsidP="00C57500">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Covid 19 pandemisi ile hayatımıza giren “sosyal mesafe” kavramının temelinde herhangi bir sosyal ilişkinin yakın veya uzak olarak nitelendirilmesini ifade etmektedir. Sosyal mesafe, bu sempatik anlayış veya diğer insanlara ve gruplara karşı hoşgörü ile ters orantılıdır. Dolayısıyla, bir insan diğerlerine karşı ne kadar fazla sosyal mesafe koyarsa, söz konusu diğer kişilere karşı tolerans veya sem</w:t>
      </w:r>
      <w:r w:rsidRPr="00164238">
        <w:rPr>
          <w:rFonts w:ascii="Times New Roman" w:hAnsi="Times New Roman" w:cs="Times New Roman"/>
          <w:color w:val="000000" w:themeColor="text1"/>
        </w:rPr>
        <w:softHyphen/>
        <w:t>pati düzeyi o kadar az olur (Ives vd., 2016: 3).</w:t>
      </w:r>
    </w:p>
    <w:p w14:paraId="18D4F2A3" w14:textId="77777777" w:rsidR="00C57500" w:rsidRPr="00164238" w:rsidRDefault="00C57500" w:rsidP="00C57500">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Mesafe sosyolojik olarak interaktif, normatif, duygusal ve sosyo-kültürel olarak adlandırılabilinir. Emory Bogardus (1959:7-11) “sosyal mesafe” (social distance) kavramını, bir sosyal sınıfa ait bireyler vegruplar arasındaki ilişkilerin (o sınıfa mensup bireyler arasında hiyerarşik ilişki, nüfusun içindeki sınıflarınbirbiri ile ilişkisi ve belirli bireylerin aralarındaki sosyal farklılık ilişkileri gibi) sempatik anlayışın derecesiolarak tanımlamıştır.</w:t>
      </w:r>
    </w:p>
    <w:p w14:paraId="0674064A" w14:textId="3A4F8CAF" w:rsidR="00C57500" w:rsidRPr="00164238" w:rsidRDefault="00C57500" w:rsidP="00C57500">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Sosyal mesafe kavramı ırk, ulus ve dine dayalı önyargı çalışmalarında yaygın olarak kullanılmaktadır.</w:t>
      </w:r>
    </w:p>
    <w:p w14:paraId="2C21F271" w14:textId="77777777" w:rsidR="00C57500" w:rsidRPr="00164238" w:rsidRDefault="00C57500" w:rsidP="00C57500">
      <w:pPr>
        <w:spacing w:before="120" w:after="200" w:line="480" w:lineRule="auto"/>
        <w:ind w:left="720"/>
        <w:jc w:val="both"/>
        <w:rPr>
          <w:rFonts w:ascii="Times New Roman" w:hAnsi="Times New Roman" w:cs="Times New Roman"/>
          <w:b/>
          <w:color w:val="000000" w:themeColor="text1"/>
        </w:rPr>
      </w:pPr>
      <w:r w:rsidRPr="00164238">
        <w:rPr>
          <w:rFonts w:ascii="Times New Roman" w:hAnsi="Times New Roman" w:cs="Times New Roman"/>
          <w:b/>
          <w:color w:val="000000" w:themeColor="text1"/>
        </w:rPr>
        <w:t xml:space="preserve">Yöntem </w:t>
      </w:r>
    </w:p>
    <w:p w14:paraId="2D5EABAF" w14:textId="61FB1450" w:rsidR="00C57500" w:rsidRPr="00164238" w:rsidRDefault="00C57500" w:rsidP="00C57500">
      <w:pPr>
        <w:spacing w:before="120" w:after="200" w:line="480" w:lineRule="auto"/>
        <w:ind w:left="720"/>
        <w:jc w:val="both"/>
        <w:rPr>
          <w:rFonts w:ascii="Times New Roman" w:hAnsi="Times New Roman" w:cs="Times New Roman"/>
          <w:b/>
          <w:color w:val="000000" w:themeColor="text1"/>
        </w:rPr>
      </w:pPr>
      <w:r w:rsidRPr="00164238">
        <w:rPr>
          <w:rFonts w:ascii="Times New Roman" w:hAnsi="Times New Roman" w:cs="Times New Roman"/>
          <w:b/>
          <w:color w:val="000000" w:themeColor="text1"/>
        </w:rPr>
        <w:t>Araştırmanın Amacı</w:t>
      </w:r>
    </w:p>
    <w:p w14:paraId="23ED28F0" w14:textId="77777777" w:rsidR="00C57500" w:rsidRPr="00164238" w:rsidRDefault="00C57500" w:rsidP="00C57500">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Bu çalışmanın amacı covid-19 pandemisi sürecinde markaların sosyal mesafeye dikkat çekmek amacıylalogo ve sloganlarında yapmış oldukları değişimle sürece olan katkıları temel sosyal bir çalışma ile ortaya koymaktır. Çalışmada markaların covid-19 pandemisi öncesi ve sonrası görselleri ve sloganları incelenmiştir.</w:t>
      </w:r>
    </w:p>
    <w:p w14:paraId="5C483E8A" w14:textId="73FA92DE" w:rsidR="00C57500" w:rsidRPr="00164238" w:rsidRDefault="00C57500" w:rsidP="00C57500">
      <w:pPr>
        <w:spacing w:before="120" w:after="200" w:line="480" w:lineRule="auto"/>
        <w:ind w:firstLine="708"/>
        <w:jc w:val="both"/>
        <w:rPr>
          <w:rFonts w:ascii="Times New Roman" w:hAnsi="Times New Roman" w:cs="Times New Roman"/>
          <w:b/>
          <w:color w:val="000000" w:themeColor="text1"/>
        </w:rPr>
      </w:pPr>
      <w:r w:rsidRPr="00164238">
        <w:rPr>
          <w:rFonts w:ascii="Times New Roman" w:hAnsi="Times New Roman" w:cs="Times New Roman"/>
          <w:b/>
          <w:color w:val="000000" w:themeColor="text1"/>
        </w:rPr>
        <w:t>Araştırmanın Yöntemi</w:t>
      </w:r>
    </w:p>
    <w:p w14:paraId="5A9410EE" w14:textId="77777777" w:rsidR="00C57500" w:rsidRPr="00164238" w:rsidRDefault="00C57500" w:rsidP="00C57500">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Çalışmada incelenecek olan logo ve sloganlar internet arama motoru vasıtasıyla elde edilmiştir. Yapılan araştırmada markaların logo ve sloganlarında yapmış olduğu bu değişiklik ekonomi-pazarlama dergilerine ve haber sitelerine konu olmuştur. Çalışmada kullanılacak olan logo ve sloganlar küresel markaların içerikleri ile sınırlandırılmıştır.</w:t>
      </w:r>
    </w:p>
    <w:p w14:paraId="7D5A660E" w14:textId="77777777" w:rsidR="00C57500" w:rsidRPr="00164238" w:rsidRDefault="00C57500" w:rsidP="00C57500">
      <w:pPr>
        <w:ind w:left="360" w:firstLine="348"/>
        <w:jc w:val="both"/>
        <w:rPr>
          <w:rFonts w:ascii="Times New Roman" w:hAnsi="Times New Roman" w:cs="Times New Roman"/>
          <w:b/>
          <w:color w:val="000000" w:themeColor="text1"/>
        </w:rPr>
      </w:pPr>
      <w:r w:rsidRPr="00164238">
        <w:rPr>
          <w:rFonts w:ascii="Times New Roman" w:hAnsi="Times New Roman" w:cs="Times New Roman"/>
          <w:b/>
          <w:color w:val="000000" w:themeColor="text1"/>
        </w:rPr>
        <w:t>Bulgular</w:t>
      </w:r>
    </w:p>
    <w:p w14:paraId="100A20FF" w14:textId="77777777" w:rsidR="00C57500" w:rsidRPr="00164238" w:rsidRDefault="00C57500" w:rsidP="00C57500">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Markalar fark edilebilir olmak, tüketicilerin ilgisini çekmek, gündemi takip etmek ve sürdürülebilir bir müşteri bağlılığı için gündemdeki değişiklikleri ve gelişmeleri yakından takip </w:t>
      </w:r>
      <w:r w:rsidRPr="00164238">
        <w:rPr>
          <w:rFonts w:ascii="Times New Roman" w:hAnsi="Times New Roman" w:cs="Times New Roman"/>
          <w:color w:val="000000" w:themeColor="text1"/>
        </w:rPr>
        <w:lastRenderedPageBreak/>
        <w:t>etmelidir. Markalarınlogo ve sloganlarına bakıldığında sosyal mesafeye dikkat çekmek amacıyla yeniden tasarlandığı gözükmektedir. Kürsel çapta etki yaratmış bir olayı markların gündemine alması ve bu konuda duyarlı davranması satın alma davranışlarını etkilemekte aynı zamanda marka değerinin artmasını sağlamaktadır. Görsel öğelerin sosyal olaylar bağlamında kullanılması yeni gerçekleşen bir durum değildir. Tasarımcılar ünlü marklara ait logoları farklı temalarla yeniden yorumlayabilmektedir.  Bozkurt (2020:348) markaların kamuoyu gündemi içerisinde yer alan bir konuyu reklam mesajına dönüştürerek kamuoyunun odak noktasını, gündem konusundan markaya çekmekte böylece markanın da gündem haline gelmesine neden olmaktadır. Bu doğrultuda günümüzde bu durumdan yararlanılarak gündem konuları dönüştürülmekte, ürün ya da hizmetin sunumunda bir anlatım biçimi olarak sıklıkla gündemden yararlanılmaktadır.</w:t>
      </w:r>
    </w:p>
    <w:p w14:paraId="3F81B742" w14:textId="11CA127E" w:rsidR="00C57500" w:rsidRPr="00164238" w:rsidRDefault="00C57500" w:rsidP="00C57500">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Covid 19 pandemisi sürecinde logo ve sloganlarını güncelleyen küresel markalar Mcdanols, Coca Cola, Volkswagen, Audi, Hyundai, Starbucks markalarıdır. </w:t>
      </w:r>
    </w:p>
    <w:p w14:paraId="7FED2907" w14:textId="38E7DFB6" w:rsidR="00C57500" w:rsidRPr="00164238" w:rsidRDefault="00C57500" w:rsidP="00C57500">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Dünya fast-food zinciri McDonalds firması covid 19 pandemisi sonrası logo güncellemesine giden markalar arasında yer almaktadır. McDonalds’ın “M”si dünyanın en ünlü logolarından biridir. Markanın logosu kurucusunun soyadından esinlenerek tasarlanmıştır. 2017 Z Raporuna göre marka dünyanın en değerli sekizinci markasıdır.  34 bini aşkın restoran ve 1.6 milyon üzerinde çalışana sahip olan marka günde ortalama olarak 50 milyon müşteriye hizmet vermektedir (mcdonalds.com).</w:t>
      </w:r>
    </w:p>
    <w:p w14:paraId="484BE90E" w14:textId="77777777" w:rsidR="00C57500" w:rsidRPr="00164238" w:rsidRDefault="00C57500" w:rsidP="00C57500">
      <w:pPr>
        <w:ind w:left="360"/>
        <w:jc w:val="center"/>
        <w:rPr>
          <w:rFonts w:ascii="Times New Roman" w:hAnsi="Times New Roman" w:cs="Times New Roman"/>
          <w:color w:val="000000" w:themeColor="text1"/>
        </w:rPr>
      </w:pPr>
      <w:r w:rsidRPr="00164238">
        <w:rPr>
          <w:rFonts w:ascii="Times New Roman" w:hAnsi="Times New Roman" w:cs="Times New Roman"/>
          <w:noProof/>
          <w:color w:val="000000" w:themeColor="text1"/>
          <w:lang w:val="en-US"/>
        </w:rPr>
        <w:drawing>
          <wp:inline distT="0" distB="0" distL="0" distR="0" wp14:anchorId="5C6842F3" wp14:editId="26DD3FC4">
            <wp:extent cx="4741793" cy="2265422"/>
            <wp:effectExtent l="19050" t="0" r="1657" b="0"/>
            <wp:docPr id="22"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srcRect/>
                    <a:stretch>
                      <a:fillRect/>
                    </a:stretch>
                  </pic:blipFill>
                  <pic:spPr bwMode="auto">
                    <a:xfrm>
                      <a:off x="0" y="0"/>
                      <a:ext cx="4742409" cy="2265716"/>
                    </a:xfrm>
                    <a:prstGeom prst="rect">
                      <a:avLst/>
                    </a:prstGeom>
                    <a:noFill/>
                    <a:ln w="9525">
                      <a:noFill/>
                      <a:miter lim="800000"/>
                      <a:headEnd/>
                      <a:tailEnd/>
                    </a:ln>
                  </pic:spPr>
                </pic:pic>
              </a:graphicData>
            </a:graphic>
          </wp:inline>
        </w:drawing>
      </w:r>
    </w:p>
    <w:p w14:paraId="23388D23" w14:textId="77777777" w:rsidR="00C57500" w:rsidRPr="00164238" w:rsidRDefault="00C57500" w:rsidP="00C57500">
      <w:pPr>
        <w:ind w:left="360"/>
        <w:jc w:val="center"/>
        <w:rPr>
          <w:rFonts w:ascii="Times New Roman" w:hAnsi="Times New Roman" w:cs="Times New Roman"/>
          <w:color w:val="000000" w:themeColor="text1"/>
        </w:rPr>
      </w:pPr>
      <w:r w:rsidRPr="00164238">
        <w:rPr>
          <w:rFonts w:ascii="Times New Roman" w:hAnsi="Times New Roman" w:cs="Times New Roman"/>
          <w:b/>
          <w:color w:val="000000" w:themeColor="text1"/>
        </w:rPr>
        <w:t xml:space="preserve">Şekil 1: </w:t>
      </w:r>
      <w:r w:rsidRPr="00164238">
        <w:rPr>
          <w:rFonts w:ascii="Times New Roman" w:hAnsi="Times New Roman" w:cs="Times New Roman"/>
          <w:color w:val="000000" w:themeColor="text1"/>
        </w:rPr>
        <w:t>McDonals’s Logosu</w:t>
      </w:r>
    </w:p>
    <w:p w14:paraId="4B8B4364" w14:textId="77777777" w:rsidR="00C57500" w:rsidRPr="00164238" w:rsidRDefault="00C57500" w:rsidP="00C57500">
      <w:pPr>
        <w:ind w:left="360"/>
        <w:jc w:val="center"/>
        <w:rPr>
          <w:rFonts w:ascii="Times New Roman" w:hAnsi="Times New Roman" w:cs="Times New Roman"/>
          <w:b/>
          <w:color w:val="000000" w:themeColor="text1"/>
        </w:rPr>
      </w:pPr>
      <w:r w:rsidRPr="00164238">
        <w:rPr>
          <w:rFonts w:ascii="Times New Roman" w:hAnsi="Times New Roman" w:cs="Times New Roman"/>
          <w:color w:val="000000" w:themeColor="text1"/>
        </w:rPr>
        <w:t>Kaynak: https://www.mcdonalds.com.tr (Erişim Tarihi: 02.04.2021)</w:t>
      </w:r>
    </w:p>
    <w:p w14:paraId="38A53EB3" w14:textId="6E603AC3" w:rsidR="00C57500" w:rsidRPr="00164238" w:rsidRDefault="00C57500" w:rsidP="00C57500">
      <w:pPr>
        <w:ind w:firstLine="708"/>
        <w:rPr>
          <w:rFonts w:ascii="Times New Roman" w:hAnsi="Times New Roman" w:cs="Times New Roman"/>
          <w:color w:val="000000" w:themeColor="text1"/>
        </w:rPr>
      </w:pPr>
      <w:r w:rsidRPr="00164238">
        <w:rPr>
          <w:rFonts w:ascii="Times New Roman" w:hAnsi="Times New Roman" w:cs="Times New Roman"/>
          <w:color w:val="000000" w:themeColor="text1"/>
        </w:rPr>
        <w:t xml:space="preserve">Salgının başlaması ile marka hizmet kısıtlaması ve sosyal mesafe konusunda önlemlerini almış, bununla birliktesosyal mesafeye dikkat çekmek ve farkındalık oluşturmak adına logosundaki “M” harfini oluşturan altın kemerleri birleşim ayırarak mesafelendirmiştir. Markanın sosyal mesafe logosu </w:t>
      </w:r>
      <w:r w:rsidRPr="00164238">
        <w:rPr>
          <w:rFonts w:ascii="Times New Roman" w:hAnsi="Times New Roman" w:cs="Times New Roman"/>
          <w:b/>
          <w:color w:val="000000" w:themeColor="text1"/>
        </w:rPr>
        <w:t>Şekil 2</w:t>
      </w:r>
      <w:r w:rsidRPr="00164238">
        <w:rPr>
          <w:rFonts w:ascii="Times New Roman" w:hAnsi="Times New Roman" w:cs="Times New Roman"/>
          <w:color w:val="000000" w:themeColor="text1"/>
        </w:rPr>
        <w:t>’de yer almaktadır.</w:t>
      </w:r>
    </w:p>
    <w:p w14:paraId="36633E08" w14:textId="77777777" w:rsidR="00C57500" w:rsidRPr="00164238" w:rsidRDefault="00C57500" w:rsidP="00C57500">
      <w:pPr>
        <w:ind w:left="360"/>
        <w:jc w:val="center"/>
        <w:rPr>
          <w:rFonts w:ascii="Times New Roman" w:hAnsi="Times New Roman" w:cs="Times New Roman"/>
          <w:color w:val="000000" w:themeColor="text1"/>
        </w:rPr>
      </w:pPr>
      <w:r w:rsidRPr="00164238">
        <w:rPr>
          <w:rFonts w:ascii="Times New Roman" w:hAnsi="Times New Roman" w:cs="Times New Roman"/>
          <w:noProof/>
          <w:color w:val="000000" w:themeColor="text1"/>
          <w:lang w:val="en-US"/>
        </w:rPr>
        <w:lastRenderedPageBreak/>
        <w:drawing>
          <wp:inline distT="0" distB="0" distL="0" distR="0" wp14:anchorId="10E413BA" wp14:editId="77CFDF97">
            <wp:extent cx="4186009" cy="1994376"/>
            <wp:effectExtent l="0" t="0" r="5080" b="6350"/>
            <wp:docPr id="23" name="Resim 23" descr="McDonald's Brazil separated the golden ar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Donald's Brazil separated the golden arches."/>
                    <pic:cNvPicPr>
                      <a:picLocks noChangeAspect="1" noChangeArrowheads="1"/>
                    </pic:cNvPicPr>
                  </pic:nvPicPr>
                  <pic:blipFill>
                    <a:blip r:embed="rId38"/>
                    <a:srcRect/>
                    <a:stretch>
                      <a:fillRect/>
                    </a:stretch>
                  </pic:blipFill>
                  <pic:spPr bwMode="auto">
                    <a:xfrm>
                      <a:off x="0" y="0"/>
                      <a:ext cx="4194596" cy="1998467"/>
                    </a:xfrm>
                    <a:prstGeom prst="rect">
                      <a:avLst/>
                    </a:prstGeom>
                    <a:noFill/>
                    <a:ln w="9525">
                      <a:noFill/>
                      <a:miter lim="800000"/>
                      <a:headEnd/>
                      <a:tailEnd/>
                    </a:ln>
                  </pic:spPr>
                </pic:pic>
              </a:graphicData>
            </a:graphic>
          </wp:inline>
        </w:drawing>
      </w:r>
    </w:p>
    <w:p w14:paraId="184F8D0E" w14:textId="77777777" w:rsidR="00C57500" w:rsidRPr="00164238" w:rsidRDefault="00C57500" w:rsidP="00C57500">
      <w:pPr>
        <w:ind w:left="360"/>
        <w:jc w:val="center"/>
        <w:rPr>
          <w:rFonts w:ascii="Times New Roman" w:hAnsi="Times New Roman" w:cs="Times New Roman"/>
          <w:color w:val="000000" w:themeColor="text1"/>
        </w:rPr>
      </w:pPr>
      <w:r w:rsidRPr="00164238">
        <w:rPr>
          <w:rFonts w:ascii="Times New Roman" w:hAnsi="Times New Roman" w:cs="Times New Roman"/>
          <w:b/>
          <w:bCs/>
          <w:color w:val="000000" w:themeColor="text1"/>
        </w:rPr>
        <w:t xml:space="preserve">Şekil 2: </w:t>
      </w:r>
      <w:r w:rsidRPr="00164238">
        <w:rPr>
          <w:rFonts w:ascii="Times New Roman" w:hAnsi="Times New Roman" w:cs="Times New Roman"/>
          <w:color w:val="000000" w:themeColor="text1"/>
        </w:rPr>
        <w:t>McDonalds Covid-19 Logo Güncellemesi</w:t>
      </w:r>
    </w:p>
    <w:p w14:paraId="3EE304E3" w14:textId="77777777" w:rsidR="00C57500" w:rsidRPr="00E0308F" w:rsidRDefault="00C57500" w:rsidP="00C57500">
      <w:pPr>
        <w:rPr>
          <w:rFonts w:ascii="Times New Roman" w:hAnsi="Times New Roman" w:cs="Times New Roman"/>
          <w:color w:val="000000" w:themeColor="text1"/>
        </w:rPr>
      </w:pPr>
      <w:r w:rsidRPr="00E0308F">
        <w:rPr>
          <w:rFonts w:ascii="Times New Roman" w:hAnsi="Times New Roman" w:cs="Times New Roman"/>
          <w:color w:val="000000" w:themeColor="text1"/>
        </w:rPr>
        <w:t>Kaynak:</w:t>
      </w:r>
      <w:hyperlink r:id="rId39" w:history="1">
        <w:r w:rsidRPr="00E0308F">
          <w:rPr>
            <w:rStyle w:val="Balk1Char"/>
            <w:rFonts w:ascii="Times New Roman" w:hAnsi="Times New Roman" w:cs="Times New Roman"/>
            <w:color w:val="000000" w:themeColor="text1"/>
            <w:sz w:val="22"/>
            <w:szCs w:val="22"/>
          </w:rPr>
          <w:t>https://www.haberturk.com/sosyal-mesafe-logolari-degistirdi-haberler-2630478-ekonomi</w:t>
        </w:r>
      </w:hyperlink>
      <w:r w:rsidRPr="00E0308F">
        <w:rPr>
          <w:rFonts w:ascii="Times New Roman" w:hAnsi="Times New Roman" w:cs="Times New Roman"/>
          <w:color w:val="000000" w:themeColor="text1"/>
        </w:rPr>
        <w:t xml:space="preserve"> (Erişim Tarihi: 3.04.20221)</w:t>
      </w:r>
    </w:p>
    <w:p w14:paraId="263F5826" w14:textId="77777777" w:rsidR="00C57500" w:rsidRPr="00E0308F" w:rsidRDefault="00C57500" w:rsidP="00C57500">
      <w:pPr>
        <w:ind w:firstLine="708"/>
        <w:jc w:val="both"/>
        <w:rPr>
          <w:rFonts w:ascii="Times New Roman" w:hAnsi="Times New Roman" w:cs="Times New Roman"/>
          <w:color w:val="000000" w:themeColor="text1"/>
        </w:rPr>
      </w:pPr>
      <w:r w:rsidRPr="00E0308F">
        <w:rPr>
          <w:rFonts w:ascii="Times New Roman" w:hAnsi="Times New Roman" w:cs="Times New Roman"/>
          <w:color w:val="000000" w:themeColor="text1"/>
        </w:rPr>
        <w:t>Marka sloganında da sürece uygun olacak şekilde değişiklik yapmış ve “her zaman birlikte olabiliriz” sloganı ile desteğini sürdürmüştür.Burada normal günlerde de, olağan üstü zamanlarda da hep sizin yanınızdayız mesajı verilerek markanın pandemi zamanında müşterilerine vermiş olduğu hizmetlerle (paket servis, temassız işlemler vs.) yanlarında oldukları mesajını vermektedir.</w:t>
      </w:r>
    </w:p>
    <w:p w14:paraId="672581EB" w14:textId="77777777" w:rsidR="00C57500" w:rsidRPr="00E0308F" w:rsidRDefault="00C57500" w:rsidP="00C57500">
      <w:pPr>
        <w:ind w:firstLine="708"/>
        <w:jc w:val="both"/>
        <w:rPr>
          <w:rFonts w:ascii="Times New Roman" w:hAnsi="Times New Roman" w:cs="Times New Roman"/>
          <w:color w:val="000000" w:themeColor="text1"/>
        </w:rPr>
      </w:pPr>
      <w:r w:rsidRPr="00E0308F">
        <w:rPr>
          <w:rFonts w:ascii="Times New Roman" w:hAnsi="Times New Roman" w:cs="Times New Roman"/>
          <w:color w:val="000000" w:themeColor="text1"/>
        </w:rPr>
        <w:t xml:space="preserve">Gazlı içecek sektöründe dünyanın en büyük pazar payına sahip Coca Cola markası pandemi sürecinde logo güncelleyen markalar arasındadır.Cocacola’ nınlogosu </w:t>
      </w:r>
      <w:r w:rsidRPr="00E0308F">
        <w:rPr>
          <w:rFonts w:ascii="Times New Roman" w:hAnsi="Times New Roman" w:cs="Times New Roman"/>
          <w:color w:val="000000" w:themeColor="text1"/>
          <w:shd w:val="clear" w:color="auto" w:fill="FFFFFF"/>
        </w:rPr>
        <w:t xml:space="preserve">mucidi olan Dr. Pemberton’un ortağı ve aynı zamanda muhasebecisi olan Frank Robinson tarafından yapılmıştır üretilmiştir.iki C harfinin mükemmel bir estetik uyum göstereceğini düşünen Robinsonkendi el yazısıyla Coca Cola’nın bugüne kadar değiştirilmeden kullanılan ünlü logosunu oluşturdu.  Logonun anlamını ise “Nefis Ve Taze” olarak belirtmektedir. Logonun “o” harfinin olduğu alna gizlemiş bir Danimarka bayrağı yer almaktadır. Danimarka bayrağının yerleştirilme amacı ise “dünyanın en mutlu ülkesi” olarak nitelendirilmesidir (turkiyegazetesi.com). </w:t>
      </w:r>
    </w:p>
    <w:p w14:paraId="24F60597" w14:textId="77777777" w:rsidR="00C57500" w:rsidRPr="00164238" w:rsidRDefault="00C57500" w:rsidP="00C57500">
      <w:pPr>
        <w:jc w:val="center"/>
        <w:rPr>
          <w:rFonts w:ascii="Times New Roman" w:hAnsi="Times New Roman" w:cs="Times New Roman"/>
          <w:color w:val="000000" w:themeColor="text1"/>
        </w:rPr>
      </w:pPr>
      <w:r w:rsidRPr="00164238">
        <w:rPr>
          <w:rFonts w:ascii="Times New Roman" w:hAnsi="Times New Roman" w:cs="Times New Roman"/>
          <w:noProof/>
          <w:color w:val="000000" w:themeColor="text1"/>
          <w:lang w:val="en-US"/>
        </w:rPr>
        <w:drawing>
          <wp:inline distT="0" distB="0" distL="0" distR="0" wp14:anchorId="544FC6A5" wp14:editId="13849950">
            <wp:extent cx="4333875" cy="1743075"/>
            <wp:effectExtent l="19050" t="0" r="9525" b="0"/>
            <wp:docPr id="2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srcRect/>
                    <a:stretch>
                      <a:fillRect/>
                    </a:stretch>
                  </pic:blipFill>
                  <pic:spPr bwMode="auto">
                    <a:xfrm>
                      <a:off x="0" y="0"/>
                      <a:ext cx="4333875" cy="1743075"/>
                    </a:xfrm>
                    <a:prstGeom prst="rect">
                      <a:avLst/>
                    </a:prstGeom>
                    <a:noFill/>
                    <a:ln w="9525">
                      <a:noFill/>
                      <a:miter lim="800000"/>
                      <a:headEnd/>
                      <a:tailEnd/>
                    </a:ln>
                  </pic:spPr>
                </pic:pic>
              </a:graphicData>
            </a:graphic>
          </wp:inline>
        </w:drawing>
      </w:r>
    </w:p>
    <w:p w14:paraId="0D4136F1" w14:textId="77777777" w:rsidR="00C57500" w:rsidRPr="00164238" w:rsidRDefault="00C57500" w:rsidP="00C57500">
      <w:pPr>
        <w:jc w:val="center"/>
        <w:rPr>
          <w:rFonts w:ascii="Times New Roman" w:hAnsi="Times New Roman" w:cs="Times New Roman"/>
          <w:color w:val="000000" w:themeColor="text1"/>
        </w:rPr>
      </w:pPr>
      <w:r w:rsidRPr="00164238">
        <w:rPr>
          <w:rFonts w:ascii="Times New Roman" w:hAnsi="Times New Roman" w:cs="Times New Roman"/>
          <w:b/>
          <w:bCs/>
          <w:color w:val="000000" w:themeColor="text1"/>
        </w:rPr>
        <w:t xml:space="preserve">Şekil 3: </w:t>
      </w:r>
      <w:r w:rsidRPr="00164238">
        <w:rPr>
          <w:rFonts w:ascii="Times New Roman" w:hAnsi="Times New Roman" w:cs="Times New Roman"/>
          <w:color w:val="000000" w:themeColor="text1"/>
        </w:rPr>
        <w:t>Coca-Cola Logosu</w:t>
      </w:r>
    </w:p>
    <w:p w14:paraId="19E58129" w14:textId="77777777" w:rsidR="00C57500" w:rsidRPr="00E0308F" w:rsidRDefault="00C57500" w:rsidP="00C57500">
      <w:pPr>
        <w:jc w:val="center"/>
        <w:rPr>
          <w:rFonts w:ascii="Times New Roman" w:hAnsi="Times New Roman" w:cs="Times New Roman"/>
          <w:color w:val="000000" w:themeColor="text1"/>
        </w:rPr>
      </w:pPr>
      <w:r w:rsidRPr="00E0308F">
        <w:rPr>
          <w:rFonts w:ascii="Times New Roman" w:hAnsi="Times New Roman" w:cs="Times New Roman"/>
          <w:color w:val="000000" w:themeColor="text1"/>
        </w:rPr>
        <w:t xml:space="preserve">Kaynak: </w:t>
      </w:r>
      <w:hyperlink r:id="rId41" w:history="1">
        <w:r w:rsidRPr="00E0308F">
          <w:rPr>
            <w:rStyle w:val="Balk1Char"/>
            <w:rFonts w:ascii="Times New Roman" w:hAnsi="Times New Roman" w:cs="Times New Roman"/>
            <w:color w:val="000000" w:themeColor="text1"/>
            <w:sz w:val="22"/>
            <w:szCs w:val="22"/>
          </w:rPr>
          <w:t>http://www.coca-cola.com.tr</w:t>
        </w:r>
      </w:hyperlink>
      <w:r w:rsidRPr="00E0308F">
        <w:rPr>
          <w:rFonts w:ascii="Times New Roman" w:hAnsi="Times New Roman" w:cs="Times New Roman"/>
          <w:color w:val="000000" w:themeColor="text1"/>
        </w:rPr>
        <w:t>(Erişim Tarihi: 03.04.2021)</w:t>
      </w:r>
    </w:p>
    <w:p w14:paraId="1498D1EC" w14:textId="77777777" w:rsidR="00C57500" w:rsidRPr="00164238" w:rsidRDefault="00C57500" w:rsidP="00C57500">
      <w:pPr>
        <w:ind w:firstLine="708"/>
        <w:jc w:val="both"/>
        <w:rPr>
          <w:rFonts w:ascii="Times New Roman" w:hAnsi="Times New Roman" w:cs="Times New Roman"/>
          <w:color w:val="000000" w:themeColor="text1"/>
        </w:rPr>
      </w:pPr>
      <w:r w:rsidRPr="00E0308F">
        <w:rPr>
          <w:rFonts w:ascii="Times New Roman" w:hAnsi="Times New Roman" w:cs="Times New Roman"/>
          <w:color w:val="000000" w:themeColor="text1"/>
        </w:rPr>
        <w:t>Covid 19 pandemisi sonrası logosunu güncelleyen marka yeni logoyu şekil 4’te görüldüğü gibi SpencerianScript fontuyla yazdı. Güncellogo harflerin arası açılarak ve “ayrı kalmak birlikte kalmanın</w:t>
      </w:r>
      <w:r w:rsidRPr="00164238">
        <w:rPr>
          <w:rFonts w:ascii="Times New Roman" w:hAnsi="Times New Roman" w:cs="Times New Roman"/>
          <w:color w:val="000000" w:themeColor="text1"/>
        </w:rPr>
        <w:t xml:space="preserve"> </w:t>
      </w:r>
      <w:r w:rsidRPr="00164238">
        <w:rPr>
          <w:rFonts w:ascii="Times New Roman" w:hAnsi="Times New Roman" w:cs="Times New Roman"/>
          <w:color w:val="000000" w:themeColor="text1"/>
        </w:rPr>
        <w:lastRenderedPageBreak/>
        <w:t>en iyi yoludur” notuyla New York’taki Times Meydanı’nda yayınlandı. Daha sonra dijital platformlarda da güncel logoyu kullanmıştır. Marka; Covid 19 pandemi sürecine müşterilerin, çalışanların koruması, önlemler kapsamında getirmiş olduğu kısıtlamalar ve hizmetlerinin yanında insanların yanında olduğunu ifade eden bu destek ile duruma duyarsız kalmadığını ifade etmiştir.</w:t>
      </w:r>
    </w:p>
    <w:p w14:paraId="45B9FDE9" w14:textId="77777777" w:rsidR="00C57500" w:rsidRPr="00164238" w:rsidRDefault="00C57500" w:rsidP="00C57500">
      <w:pPr>
        <w:rPr>
          <w:rFonts w:ascii="Times New Roman" w:hAnsi="Times New Roman" w:cs="Times New Roman"/>
          <w:color w:val="000000" w:themeColor="text1"/>
        </w:rPr>
      </w:pPr>
    </w:p>
    <w:p w14:paraId="0B4EAFCF" w14:textId="77777777" w:rsidR="00C57500" w:rsidRPr="00164238" w:rsidRDefault="00C57500" w:rsidP="00C57500">
      <w:pPr>
        <w:rPr>
          <w:rFonts w:ascii="Times New Roman" w:hAnsi="Times New Roman" w:cs="Times New Roman"/>
          <w:color w:val="000000" w:themeColor="text1"/>
        </w:rPr>
      </w:pPr>
    </w:p>
    <w:p w14:paraId="64BB5BB5" w14:textId="77777777" w:rsidR="00C57500" w:rsidRPr="00164238" w:rsidRDefault="00C57500" w:rsidP="00C57500">
      <w:pPr>
        <w:jc w:val="center"/>
        <w:rPr>
          <w:rFonts w:ascii="Times New Roman" w:hAnsi="Times New Roman" w:cs="Times New Roman"/>
          <w:color w:val="000000" w:themeColor="text1"/>
        </w:rPr>
      </w:pPr>
      <w:r w:rsidRPr="00164238">
        <w:rPr>
          <w:rFonts w:ascii="Times New Roman" w:hAnsi="Times New Roman" w:cs="Times New Roman"/>
          <w:noProof/>
          <w:color w:val="000000" w:themeColor="text1"/>
          <w:lang w:val="en-US"/>
        </w:rPr>
        <w:drawing>
          <wp:inline distT="0" distB="0" distL="0" distR="0" wp14:anchorId="60FA3EB8" wp14:editId="7B44FC92">
            <wp:extent cx="4000500" cy="2600325"/>
            <wp:effectExtent l="19050" t="0" r="0" b="0"/>
            <wp:docPr id="25" name="Resim 2" descr="https://pazarlamasyon.com/wp-content/uploads/2020/03/WhatsApp-Image-2020-03-23-at-09.17.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azarlamasyon.com/wp-content/uploads/2020/03/WhatsApp-Image-2020-03-23-at-09.17.23.jpeg"/>
                    <pic:cNvPicPr>
                      <a:picLocks noChangeAspect="1" noChangeArrowheads="1"/>
                    </pic:cNvPicPr>
                  </pic:nvPicPr>
                  <pic:blipFill>
                    <a:blip r:embed="rId42" cstate="print"/>
                    <a:srcRect/>
                    <a:stretch>
                      <a:fillRect/>
                    </a:stretch>
                  </pic:blipFill>
                  <pic:spPr bwMode="auto">
                    <a:xfrm>
                      <a:off x="0" y="0"/>
                      <a:ext cx="4003101" cy="2602015"/>
                    </a:xfrm>
                    <a:prstGeom prst="rect">
                      <a:avLst/>
                    </a:prstGeom>
                    <a:noFill/>
                    <a:ln w="9525">
                      <a:noFill/>
                      <a:miter lim="800000"/>
                      <a:headEnd/>
                      <a:tailEnd/>
                    </a:ln>
                  </pic:spPr>
                </pic:pic>
              </a:graphicData>
            </a:graphic>
          </wp:inline>
        </w:drawing>
      </w:r>
    </w:p>
    <w:p w14:paraId="02BA21D9" w14:textId="77777777" w:rsidR="00C57500" w:rsidRPr="00E0308F" w:rsidRDefault="00C57500" w:rsidP="00C57500">
      <w:pPr>
        <w:jc w:val="center"/>
        <w:rPr>
          <w:rFonts w:ascii="Times New Roman" w:hAnsi="Times New Roman" w:cs="Times New Roman"/>
          <w:color w:val="000000" w:themeColor="text1"/>
        </w:rPr>
      </w:pPr>
      <w:r w:rsidRPr="00E0308F">
        <w:rPr>
          <w:rFonts w:ascii="Times New Roman" w:hAnsi="Times New Roman" w:cs="Times New Roman"/>
          <w:b/>
          <w:bCs/>
          <w:color w:val="000000" w:themeColor="text1"/>
        </w:rPr>
        <w:t xml:space="preserve">Şekil 4: </w:t>
      </w:r>
      <w:r w:rsidRPr="00E0308F">
        <w:rPr>
          <w:rFonts w:ascii="Times New Roman" w:hAnsi="Times New Roman" w:cs="Times New Roman"/>
          <w:color w:val="000000" w:themeColor="text1"/>
        </w:rPr>
        <w:t>Coca Cola Covid-19 Logo Güncellemesi</w:t>
      </w:r>
    </w:p>
    <w:p w14:paraId="39B1354F" w14:textId="77777777" w:rsidR="00C57500" w:rsidRPr="00E0308F" w:rsidRDefault="00C57500" w:rsidP="00C57500">
      <w:pPr>
        <w:jc w:val="center"/>
        <w:rPr>
          <w:rFonts w:ascii="Times New Roman" w:hAnsi="Times New Roman" w:cs="Times New Roman"/>
          <w:color w:val="000000" w:themeColor="text1"/>
        </w:rPr>
      </w:pPr>
      <w:r w:rsidRPr="00E0308F">
        <w:rPr>
          <w:rFonts w:ascii="Times New Roman" w:hAnsi="Times New Roman" w:cs="Times New Roman"/>
          <w:color w:val="000000" w:themeColor="text1"/>
        </w:rPr>
        <w:t>Kaynak:</w:t>
      </w:r>
      <w:hyperlink r:id="rId43" w:history="1">
        <w:r w:rsidRPr="00E0308F">
          <w:rPr>
            <w:rStyle w:val="Balk1Char"/>
            <w:rFonts w:ascii="Times New Roman" w:hAnsi="Times New Roman" w:cs="Times New Roman"/>
            <w:color w:val="000000" w:themeColor="text1"/>
            <w:sz w:val="22"/>
            <w:szCs w:val="22"/>
          </w:rPr>
          <w:t>https://pazarlamasyon.com.tr</w:t>
        </w:r>
      </w:hyperlink>
      <w:r w:rsidRPr="00E0308F">
        <w:rPr>
          <w:rFonts w:ascii="Times New Roman" w:hAnsi="Times New Roman" w:cs="Times New Roman"/>
          <w:color w:val="000000" w:themeColor="text1"/>
        </w:rPr>
        <w:t>(Erişim Tarihi: 03.04.2021)</w:t>
      </w:r>
    </w:p>
    <w:p w14:paraId="5E56E95F" w14:textId="77777777" w:rsidR="00C57500" w:rsidRPr="00164238" w:rsidRDefault="00C57500" w:rsidP="00C57500">
      <w:pPr>
        <w:ind w:firstLine="708"/>
        <w:jc w:val="both"/>
        <w:rPr>
          <w:rFonts w:ascii="Times New Roman" w:hAnsi="Times New Roman" w:cs="Times New Roman"/>
          <w:color w:val="000000" w:themeColor="text1"/>
        </w:rPr>
      </w:pPr>
      <w:r w:rsidRPr="00E0308F">
        <w:rPr>
          <w:rFonts w:ascii="Times New Roman" w:hAnsi="Times New Roman" w:cs="Times New Roman"/>
          <w:color w:val="000000" w:themeColor="text1"/>
        </w:rPr>
        <w:t>Logo güncelleyen diğer dünyaca ünlü fasd-food zinciri KFC (</w:t>
      </w:r>
      <w:r w:rsidRPr="00E0308F">
        <w:rPr>
          <w:rFonts w:ascii="Times New Roman" w:hAnsi="Times New Roman" w:cs="Times New Roman"/>
          <w:bCs/>
          <w:color w:val="000000" w:themeColor="text1"/>
          <w:shd w:val="clear" w:color="auto" w:fill="FFFFFF"/>
        </w:rPr>
        <w:t>Kentucky FriedChicken</w:t>
      </w:r>
      <w:r w:rsidRPr="00E0308F">
        <w:rPr>
          <w:rFonts w:ascii="Times New Roman" w:hAnsi="Times New Roman" w:cs="Times New Roman"/>
          <w:color w:val="000000" w:themeColor="text1"/>
          <w:shd w:val="clear" w:color="auto" w:fill="FFFFFF"/>
        </w:rPr>
        <w:t>)</w:t>
      </w:r>
      <w:r w:rsidRPr="00E0308F">
        <w:rPr>
          <w:rFonts w:ascii="Times New Roman" w:hAnsi="Times New Roman" w:cs="Times New Roman"/>
          <w:color w:val="000000" w:themeColor="text1"/>
        </w:rPr>
        <w:t>’</w:t>
      </w:r>
      <w:r w:rsidRPr="00164238">
        <w:rPr>
          <w:rFonts w:ascii="Times New Roman" w:hAnsi="Times New Roman" w:cs="Times New Roman"/>
          <w:color w:val="000000" w:themeColor="text1"/>
        </w:rPr>
        <w:t xml:space="preserve"> dir. Markanın logosunda kurucusu Albay Sanders’inminimalist bir portresi ve markanın isminin kısaltmasından oluşmaktadır. Logo yıllar içinde revizyona uğrasa bile ana tema aynı kalmıştır. Albay Sanders’in gülümseyen yüzü sabit kalmıştır. İyi huylu duygu misafirleri uygun bir atmosfere hazırlamakta bu da misafirperverliği ve lezzetli yemekleri işaret etmektedir. Kısaltmada italik, büyük serif yazı tipi kullanılmıştır. Kullanılan kırmızı olumlu bir duygunun devamını nitelendirmektedir. Sahibinin hoş gülümsemesi agresif olmayan kırmızı ile vurgulanmaktadır.</w:t>
      </w:r>
    </w:p>
    <w:p w14:paraId="4743D1E7" w14:textId="77777777" w:rsidR="00C57500" w:rsidRPr="00164238" w:rsidRDefault="00C57500" w:rsidP="00C57500">
      <w:pPr>
        <w:rPr>
          <w:rFonts w:ascii="Times New Roman" w:hAnsi="Times New Roman" w:cs="Times New Roman"/>
          <w:color w:val="000000" w:themeColor="text1"/>
        </w:rPr>
      </w:pPr>
    </w:p>
    <w:p w14:paraId="0FD87671" w14:textId="77777777" w:rsidR="00C57500" w:rsidRPr="00164238" w:rsidRDefault="00C57500" w:rsidP="00C57500">
      <w:pPr>
        <w:jc w:val="center"/>
        <w:rPr>
          <w:rFonts w:ascii="Times New Roman" w:hAnsi="Times New Roman" w:cs="Times New Roman"/>
          <w:color w:val="000000" w:themeColor="text1"/>
        </w:rPr>
      </w:pPr>
      <w:r w:rsidRPr="00164238">
        <w:rPr>
          <w:rFonts w:ascii="Times New Roman" w:hAnsi="Times New Roman" w:cs="Times New Roman"/>
          <w:noProof/>
          <w:color w:val="000000" w:themeColor="text1"/>
          <w:lang w:val="en-US"/>
        </w:rPr>
        <w:lastRenderedPageBreak/>
        <w:drawing>
          <wp:inline distT="0" distB="0" distL="0" distR="0" wp14:anchorId="209A642D" wp14:editId="5E01E4FE">
            <wp:extent cx="3240156" cy="2564295"/>
            <wp:effectExtent l="19050" t="0" r="0" b="0"/>
            <wp:docPr id="26" name="Resim 26" descr="Kentucky Fried Chicken logo.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Kentucky Fried Chicken logo.svg"/>
                    <pic:cNvPicPr>
                      <a:picLocks noChangeAspect="1" noChangeArrowheads="1"/>
                    </pic:cNvPicPr>
                  </pic:nvPicPr>
                  <pic:blipFill>
                    <a:blip r:embed="rId44"/>
                    <a:srcRect/>
                    <a:stretch>
                      <a:fillRect/>
                    </a:stretch>
                  </pic:blipFill>
                  <pic:spPr bwMode="auto">
                    <a:xfrm>
                      <a:off x="0" y="0"/>
                      <a:ext cx="3240541" cy="2564599"/>
                    </a:xfrm>
                    <a:prstGeom prst="rect">
                      <a:avLst/>
                    </a:prstGeom>
                    <a:noFill/>
                    <a:ln w="9525">
                      <a:noFill/>
                      <a:miter lim="800000"/>
                      <a:headEnd/>
                      <a:tailEnd/>
                    </a:ln>
                  </pic:spPr>
                </pic:pic>
              </a:graphicData>
            </a:graphic>
          </wp:inline>
        </w:drawing>
      </w:r>
    </w:p>
    <w:p w14:paraId="7E4499A0" w14:textId="77777777" w:rsidR="00C57500" w:rsidRPr="00164238" w:rsidRDefault="00C57500" w:rsidP="00C57500">
      <w:pPr>
        <w:jc w:val="center"/>
        <w:rPr>
          <w:rFonts w:ascii="Times New Roman" w:hAnsi="Times New Roman" w:cs="Times New Roman"/>
          <w:color w:val="000000" w:themeColor="text1"/>
        </w:rPr>
      </w:pPr>
      <w:r w:rsidRPr="00164238">
        <w:rPr>
          <w:rFonts w:ascii="Times New Roman" w:hAnsi="Times New Roman" w:cs="Times New Roman"/>
          <w:b/>
          <w:bCs/>
          <w:color w:val="000000" w:themeColor="text1"/>
        </w:rPr>
        <w:t xml:space="preserve">Şekil 5: </w:t>
      </w:r>
      <w:r w:rsidRPr="00164238">
        <w:rPr>
          <w:rFonts w:ascii="Times New Roman" w:hAnsi="Times New Roman" w:cs="Times New Roman"/>
          <w:color w:val="000000" w:themeColor="text1"/>
        </w:rPr>
        <w:t xml:space="preserve"> KFC</w:t>
      </w:r>
    </w:p>
    <w:p w14:paraId="28C68164" w14:textId="77777777" w:rsidR="00C57500" w:rsidRPr="00164238" w:rsidRDefault="00C57500" w:rsidP="00C57500">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 xml:space="preserve"> Logosu</w:t>
      </w:r>
    </w:p>
    <w:p w14:paraId="625EB351" w14:textId="77777777" w:rsidR="00C57500" w:rsidRPr="00E0308F" w:rsidRDefault="00C57500" w:rsidP="00C57500">
      <w:pPr>
        <w:jc w:val="center"/>
        <w:rPr>
          <w:rFonts w:ascii="Times New Roman" w:hAnsi="Times New Roman" w:cs="Times New Roman"/>
          <w:color w:val="000000" w:themeColor="text1"/>
        </w:rPr>
      </w:pPr>
      <w:r w:rsidRPr="00E0308F">
        <w:rPr>
          <w:rFonts w:ascii="Times New Roman" w:hAnsi="Times New Roman" w:cs="Times New Roman"/>
          <w:color w:val="000000" w:themeColor="text1"/>
        </w:rPr>
        <w:t>Kaynak:</w:t>
      </w:r>
      <w:hyperlink r:id="rId45" w:history="1">
        <w:r w:rsidRPr="00E0308F">
          <w:rPr>
            <w:rStyle w:val="Balk1Char"/>
            <w:rFonts w:ascii="Times New Roman" w:hAnsi="Times New Roman" w:cs="Times New Roman"/>
            <w:color w:val="000000" w:themeColor="text1"/>
            <w:sz w:val="22"/>
            <w:szCs w:val="22"/>
          </w:rPr>
          <w:t>https://kfcturkiye.com.tr</w:t>
        </w:r>
      </w:hyperlink>
      <w:r w:rsidRPr="00E0308F">
        <w:rPr>
          <w:rFonts w:ascii="Times New Roman" w:hAnsi="Times New Roman" w:cs="Times New Roman"/>
          <w:color w:val="000000" w:themeColor="text1"/>
        </w:rPr>
        <w:t xml:space="preserve"> KFC Logosu(Erişim Tarihi: 03.04.2021)</w:t>
      </w:r>
    </w:p>
    <w:p w14:paraId="5D17CC6A" w14:textId="5A53393F" w:rsidR="00C57500" w:rsidRPr="00E0308F" w:rsidRDefault="00C57500" w:rsidP="00E0308F">
      <w:pPr>
        <w:ind w:firstLine="708"/>
        <w:jc w:val="both"/>
        <w:rPr>
          <w:rFonts w:ascii="Times New Roman" w:hAnsi="Times New Roman" w:cs="Times New Roman"/>
          <w:color w:val="000000" w:themeColor="text1"/>
        </w:rPr>
      </w:pPr>
      <w:r w:rsidRPr="00E0308F">
        <w:rPr>
          <w:rFonts w:ascii="Times New Roman" w:hAnsi="Times New Roman" w:cs="Times New Roman"/>
          <w:color w:val="000000" w:themeColor="text1"/>
        </w:rPr>
        <w:t>KFC (</w:t>
      </w:r>
      <w:r w:rsidRPr="00E0308F">
        <w:rPr>
          <w:rFonts w:ascii="Times New Roman" w:hAnsi="Times New Roman" w:cs="Times New Roman"/>
          <w:bCs/>
          <w:color w:val="000000" w:themeColor="text1"/>
          <w:shd w:val="clear" w:color="auto" w:fill="FFFFFF"/>
        </w:rPr>
        <w:t>Kentucky FriedChicken</w:t>
      </w:r>
      <w:r w:rsidRPr="00E0308F">
        <w:rPr>
          <w:rFonts w:ascii="Times New Roman" w:hAnsi="Times New Roman" w:cs="Times New Roman"/>
          <w:color w:val="000000" w:themeColor="text1"/>
          <w:shd w:val="clear" w:color="auto" w:fill="FFFFFF"/>
        </w:rPr>
        <w:t>) pandemi sürecinde öne çıkan önlemlerden sosyal mesafe ve hijyen konusuna dikkat çekmek amacı ile logosunu ve sloganını güncellemiştir. Marka logosunda bulunan harflerin arasını açarak mesafelendirmiştir. Sosyal mesafeye dikkat çekilmek için yaptığı bu değişiklikle birlikte, markanın lezzetine dikkat çekmek amacıyla oluşturulmuş ikonik “</w:t>
      </w:r>
      <w:r w:rsidRPr="00E0308F">
        <w:rPr>
          <w:rFonts w:ascii="Times New Roman" w:hAnsi="Times New Roman" w:cs="Times New Roman"/>
          <w:color w:val="000000" w:themeColor="text1"/>
        </w:rPr>
        <w:t xml:space="preserve">fingerlickin” </w:t>
      </w:r>
      <w:r w:rsidRPr="00E0308F">
        <w:rPr>
          <w:rFonts w:ascii="Times New Roman" w:hAnsi="Times New Roman" w:cs="Times New Roman"/>
          <w:color w:val="000000" w:themeColor="text1"/>
          <w:shd w:val="clear" w:color="auto" w:fill="FFFFFF"/>
        </w:rPr>
        <w:t xml:space="preserve">(parmak yalatan lezzet) sloganında bulunan </w:t>
      </w:r>
      <w:r w:rsidRPr="00E0308F">
        <w:rPr>
          <w:rFonts w:ascii="Times New Roman" w:hAnsi="Times New Roman" w:cs="Times New Roman"/>
          <w:color w:val="000000" w:themeColor="text1"/>
        </w:rPr>
        <w:t xml:space="preserve">“finger” ve “lickin’” sözcüklerinin pikselleştirilerek okunması engellenmiştir. </w:t>
      </w:r>
    </w:p>
    <w:p w14:paraId="7509F3D8" w14:textId="77777777" w:rsidR="00C57500" w:rsidRPr="00E0308F" w:rsidRDefault="00C57500" w:rsidP="00C57500">
      <w:pPr>
        <w:jc w:val="center"/>
        <w:rPr>
          <w:rFonts w:ascii="Times New Roman" w:hAnsi="Times New Roman" w:cs="Times New Roman"/>
          <w:color w:val="000000" w:themeColor="text1"/>
        </w:rPr>
      </w:pPr>
    </w:p>
    <w:p w14:paraId="19DC908B" w14:textId="77777777" w:rsidR="00C57500" w:rsidRPr="00164238" w:rsidRDefault="00C57500" w:rsidP="00C57500">
      <w:pPr>
        <w:rPr>
          <w:rFonts w:ascii="Times New Roman" w:hAnsi="Times New Roman" w:cs="Times New Roman"/>
          <w:color w:val="000000" w:themeColor="text1"/>
        </w:rPr>
      </w:pPr>
      <w:r w:rsidRPr="00164238">
        <w:rPr>
          <w:rFonts w:ascii="Times New Roman" w:hAnsi="Times New Roman" w:cs="Times New Roman"/>
          <w:noProof/>
          <w:color w:val="000000" w:themeColor="text1"/>
          <w:lang w:val="en-US"/>
        </w:rPr>
        <w:drawing>
          <wp:inline distT="0" distB="0" distL="0" distR="0" wp14:anchorId="09BACB87" wp14:editId="5E1EB90E">
            <wp:extent cx="2673627" cy="2345635"/>
            <wp:effectExtent l="19050" t="0" r="0" b="0"/>
            <wp:docPr id="27" name="Resim 7" descr="corona logo Archives - 24 Saatte İş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rona logo Archives - 24 Saatte İş Blog"/>
                    <pic:cNvPicPr>
                      <a:picLocks noChangeAspect="1" noChangeArrowheads="1"/>
                    </pic:cNvPicPr>
                  </pic:nvPicPr>
                  <pic:blipFill>
                    <a:blip r:embed="rId46"/>
                    <a:srcRect/>
                    <a:stretch>
                      <a:fillRect/>
                    </a:stretch>
                  </pic:blipFill>
                  <pic:spPr bwMode="auto">
                    <a:xfrm>
                      <a:off x="0" y="0"/>
                      <a:ext cx="2675149" cy="2346970"/>
                    </a:xfrm>
                    <a:prstGeom prst="rect">
                      <a:avLst/>
                    </a:prstGeom>
                    <a:noFill/>
                    <a:ln w="9525">
                      <a:noFill/>
                      <a:miter lim="800000"/>
                      <a:headEnd/>
                      <a:tailEnd/>
                    </a:ln>
                  </pic:spPr>
                </pic:pic>
              </a:graphicData>
            </a:graphic>
          </wp:inline>
        </w:drawing>
      </w:r>
      <w:r w:rsidRPr="00164238">
        <w:rPr>
          <w:rFonts w:ascii="Times New Roman" w:hAnsi="Times New Roman" w:cs="Times New Roman"/>
          <w:noProof/>
          <w:color w:val="000000" w:themeColor="text1"/>
          <w:lang w:val="en-US"/>
        </w:rPr>
        <w:drawing>
          <wp:inline distT="0" distB="0" distL="0" distR="0" wp14:anchorId="5BAE4512" wp14:editId="479CAE76">
            <wp:extent cx="2535307" cy="2344381"/>
            <wp:effectExtent l="19050" t="0" r="0" b="0"/>
            <wp:docPr id="28" name="Resim 1" descr="C:\Users\user\Desktop\ind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ndir.jpg"/>
                    <pic:cNvPicPr>
                      <a:picLocks noChangeAspect="1" noChangeArrowheads="1"/>
                    </pic:cNvPicPr>
                  </pic:nvPicPr>
                  <pic:blipFill>
                    <a:blip r:embed="rId47"/>
                    <a:srcRect/>
                    <a:stretch>
                      <a:fillRect/>
                    </a:stretch>
                  </pic:blipFill>
                  <pic:spPr bwMode="auto">
                    <a:xfrm>
                      <a:off x="0" y="0"/>
                      <a:ext cx="2538935" cy="2347736"/>
                    </a:xfrm>
                    <a:prstGeom prst="rect">
                      <a:avLst/>
                    </a:prstGeom>
                    <a:noFill/>
                    <a:ln w="9525">
                      <a:noFill/>
                      <a:miter lim="800000"/>
                      <a:headEnd/>
                      <a:tailEnd/>
                    </a:ln>
                  </pic:spPr>
                </pic:pic>
              </a:graphicData>
            </a:graphic>
          </wp:inline>
        </w:drawing>
      </w:r>
    </w:p>
    <w:p w14:paraId="3DA1EDB4" w14:textId="77777777" w:rsidR="00C57500" w:rsidRPr="00164238" w:rsidRDefault="00C57500" w:rsidP="00C57500">
      <w:pPr>
        <w:jc w:val="center"/>
        <w:rPr>
          <w:rFonts w:ascii="Times New Roman" w:hAnsi="Times New Roman" w:cs="Times New Roman"/>
          <w:color w:val="000000" w:themeColor="text1"/>
        </w:rPr>
      </w:pPr>
      <w:r w:rsidRPr="00164238">
        <w:rPr>
          <w:rFonts w:ascii="Times New Roman" w:hAnsi="Times New Roman" w:cs="Times New Roman"/>
          <w:b/>
          <w:bCs/>
          <w:color w:val="000000" w:themeColor="text1"/>
        </w:rPr>
        <w:t xml:space="preserve">Şekil 6: </w:t>
      </w:r>
      <w:r w:rsidRPr="00164238">
        <w:rPr>
          <w:rFonts w:ascii="Times New Roman" w:hAnsi="Times New Roman" w:cs="Times New Roman"/>
          <w:color w:val="000000" w:themeColor="text1"/>
        </w:rPr>
        <w:t>KFC Covid-19 Logo Güncellemesi</w:t>
      </w:r>
    </w:p>
    <w:p w14:paraId="0828D7A1" w14:textId="77777777" w:rsidR="00C57500" w:rsidRPr="00A40273" w:rsidRDefault="00C57500" w:rsidP="00C57500">
      <w:pPr>
        <w:jc w:val="center"/>
        <w:rPr>
          <w:rFonts w:ascii="Times New Roman" w:hAnsi="Times New Roman" w:cs="Times New Roman"/>
          <w:color w:val="000000" w:themeColor="text1"/>
        </w:rPr>
      </w:pPr>
      <w:r w:rsidRPr="00A40273">
        <w:rPr>
          <w:rFonts w:ascii="Times New Roman" w:hAnsi="Times New Roman" w:cs="Times New Roman"/>
          <w:color w:val="000000" w:themeColor="text1"/>
        </w:rPr>
        <w:t xml:space="preserve">Kaynak:  </w:t>
      </w:r>
      <w:hyperlink r:id="rId48" w:history="1">
        <w:r w:rsidRPr="00A40273">
          <w:rPr>
            <w:rStyle w:val="Balk1Char"/>
            <w:rFonts w:ascii="Times New Roman" w:hAnsi="Times New Roman" w:cs="Times New Roman"/>
            <w:color w:val="000000" w:themeColor="text1"/>
            <w:sz w:val="22"/>
            <w:szCs w:val="22"/>
          </w:rPr>
          <w:t>https://kfcturkiye.com</w:t>
        </w:r>
      </w:hyperlink>
      <w:r w:rsidRPr="00A40273">
        <w:rPr>
          <w:rFonts w:ascii="Times New Roman" w:hAnsi="Times New Roman" w:cs="Times New Roman"/>
          <w:color w:val="000000" w:themeColor="text1"/>
        </w:rPr>
        <w:t>. (Erişim Tarihi: 03.04.2021)</w:t>
      </w:r>
    </w:p>
    <w:p w14:paraId="21E4E8AC" w14:textId="77777777" w:rsidR="00C57500" w:rsidRPr="00164238" w:rsidRDefault="00C57500" w:rsidP="00C57500">
      <w:pPr>
        <w:ind w:firstLine="708"/>
        <w:rPr>
          <w:rFonts w:ascii="Times New Roman" w:hAnsi="Times New Roman" w:cs="Times New Roman"/>
          <w:color w:val="000000" w:themeColor="text1"/>
        </w:rPr>
      </w:pPr>
      <w:r w:rsidRPr="00164238">
        <w:rPr>
          <w:rFonts w:ascii="Times New Roman" w:hAnsi="Times New Roman" w:cs="Times New Roman"/>
          <w:color w:val="000000" w:themeColor="text1"/>
        </w:rPr>
        <w:lastRenderedPageBreak/>
        <w:t xml:space="preserve">Covid 19 pandemisi sürecine kayıtsız kalmayarak logo güncelleyen markalar arasında ünlü otomobil markası Audi de yer almaktadır. Markanın yılardır değişmeyen logosunda yer alan dört iç içe geçmiş halka otomobil birliği için bir araya gelmiş dört firmayı temsil etmektedir. </w:t>
      </w:r>
    </w:p>
    <w:p w14:paraId="65BED644" w14:textId="77777777" w:rsidR="00C57500" w:rsidRPr="00164238" w:rsidRDefault="00C57500" w:rsidP="00C57500">
      <w:pPr>
        <w:jc w:val="center"/>
        <w:rPr>
          <w:rFonts w:ascii="Times New Roman" w:hAnsi="Times New Roman" w:cs="Times New Roman"/>
          <w:color w:val="000000" w:themeColor="text1"/>
        </w:rPr>
      </w:pPr>
      <w:r w:rsidRPr="00164238">
        <w:rPr>
          <w:rFonts w:ascii="Times New Roman" w:hAnsi="Times New Roman" w:cs="Times New Roman"/>
          <w:noProof/>
          <w:color w:val="000000" w:themeColor="text1"/>
          <w:lang w:val="en-US"/>
        </w:rPr>
        <w:drawing>
          <wp:inline distT="0" distB="0" distL="0" distR="0" wp14:anchorId="60DDC66C" wp14:editId="37120A1B">
            <wp:extent cx="4305300" cy="2000250"/>
            <wp:effectExtent l="19050" t="0" r="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srcRect/>
                    <a:stretch>
                      <a:fillRect/>
                    </a:stretch>
                  </pic:blipFill>
                  <pic:spPr bwMode="auto">
                    <a:xfrm>
                      <a:off x="0" y="0"/>
                      <a:ext cx="4305300" cy="2000250"/>
                    </a:xfrm>
                    <a:prstGeom prst="rect">
                      <a:avLst/>
                    </a:prstGeom>
                    <a:noFill/>
                    <a:ln w="9525">
                      <a:noFill/>
                      <a:miter lim="800000"/>
                      <a:headEnd/>
                      <a:tailEnd/>
                    </a:ln>
                  </pic:spPr>
                </pic:pic>
              </a:graphicData>
            </a:graphic>
          </wp:inline>
        </w:drawing>
      </w:r>
    </w:p>
    <w:p w14:paraId="652EC8FD" w14:textId="77777777" w:rsidR="00C57500" w:rsidRPr="00164238" w:rsidRDefault="00C57500" w:rsidP="00C57500">
      <w:pPr>
        <w:autoSpaceDE w:val="0"/>
        <w:autoSpaceDN w:val="0"/>
        <w:adjustRightInd w:val="0"/>
        <w:spacing w:after="0" w:line="240" w:lineRule="auto"/>
        <w:jc w:val="center"/>
        <w:rPr>
          <w:rFonts w:ascii="Times New Roman" w:hAnsi="Times New Roman" w:cs="Times New Roman"/>
          <w:color w:val="000000" w:themeColor="text1"/>
        </w:rPr>
      </w:pPr>
      <w:r w:rsidRPr="00164238">
        <w:rPr>
          <w:rFonts w:ascii="Times New Roman" w:hAnsi="Times New Roman" w:cs="Times New Roman"/>
          <w:b/>
          <w:bCs/>
          <w:color w:val="000000" w:themeColor="text1"/>
        </w:rPr>
        <w:t xml:space="preserve">Şekil 7: </w:t>
      </w:r>
      <w:r w:rsidRPr="00164238">
        <w:rPr>
          <w:rFonts w:ascii="Times New Roman" w:hAnsi="Times New Roman" w:cs="Times New Roman"/>
          <w:color w:val="000000" w:themeColor="text1"/>
        </w:rPr>
        <w:t>Audi Logosu</w:t>
      </w:r>
    </w:p>
    <w:p w14:paraId="4EE18D64" w14:textId="77777777" w:rsidR="00C57500" w:rsidRPr="00A40273" w:rsidRDefault="00C57500" w:rsidP="00C57500">
      <w:pPr>
        <w:jc w:val="center"/>
        <w:rPr>
          <w:rFonts w:ascii="Times New Roman" w:hAnsi="Times New Roman" w:cs="Times New Roman"/>
          <w:color w:val="000000" w:themeColor="text1"/>
        </w:rPr>
      </w:pPr>
      <w:r w:rsidRPr="00A40273">
        <w:rPr>
          <w:rFonts w:ascii="Times New Roman" w:hAnsi="Times New Roman" w:cs="Times New Roman"/>
          <w:color w:val="000000" w:themeColor="text1"/>
        </w:rPr>
        <w:t xml:space="preserve">Kaynak: </w:t>
      </w:r>
      <w:hyperlink r:id="rId50" w:history="1">
        <w:r w:rsidRPr="00A40273">
          <w:rPr>
            <w:rStyle w:val="Balk1Char"/>
            <w:rFonts w:ascii="Times New Roman" w:hAnsi="Times New Roman" w:cs="Times New Roman"/>
            <w:color w:val="000000" w:themeColor="text1"/>
            <w:sz w:val="22"/>
            <w:szCs w:val="22"/>
          </w:rPr>
          <w:t>https://www.audi.com.tr</w:t>
        </w:r>
      </w:hyperlink>
      <w:r w:rsidRPr="00A40273">
        <w:rPr>
          <w:rFonts w:ascii="Times New Roman" w:hAnsi="Times New Roman" w:cs="Times New Roman"/>
          <w:color w:val="000000" w:themeColor="text1"/>
        </w:rPr>
        <w:t>(Erişim Tarihi: 03.04.2021)</w:t>
      </w:r>
    </w:p>
    <w:p w14:paraId="3DFA1C5B" w14:textId="327E0CDB" w:rsidR="00C57500" w:rsidRPr="00164238" w:rsidRDefault="00C57500" w:rsidP="00C57500">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Alman otomobil üreticisi Audi pandemi başladığında logosunda yer alan iç içe geçmiş halkaları ayırarak “Mesafeyi koruyalım. Birbirimize destek olalım.”  mesajı ile dijital platformlarda yayınlamıştır. Halkaları bir birinde ayırarak sosyal mesafeye dikkat çekmek ve farkındalık yaratmak amaçlanmıştır. Marka sosyal sorumluluğunu yerine getirerek toplumun yanında olduğu mesajını vermektedir. Şekil 6’da markanın güncellenen covid 19 logosu yer almaktadır.</w:t>
      </w:r>
    </w:p>
    <w:p w14:paraId="3F1E9F88" w14:textId="77777777" w:rsidR="00C57500" w:rsidRPr="00164238" w:rsidRDefault="00C57500" w:rsidP="00C57500">
      <w:pPr>
        <w:jc w:val="center"/>
        <w:rPr>
          <w:rFonts w:ascii="Times New Roman" w:hAnsi="Times New Roman" w:cs="Times New Roman"/>
          <w:color w:val="000000" w:themeColor="text1"/>
        </w:rPr>
      </w:pPr>
      <w:r w:rsidRPr="00164238">
        <w:rPr>
          <w:rFonts w:ascii="Times New Roman" w:hAnsi="Times New Roman" w:cs="Times New Roman"/>
          <w:noProof/>
          <w:color w:val="000000" w:themeColor="text1"/>
          <w:lang w:val="en-US"/>
        </w:rPr>
        <w:drawing>
          <wp:inline distT="0" distB="0" distL="0" distR="0" wp14:anchorId="4A1A84BA" wp14:editId="7662A204">
            <wp:extent cx="4614606" cy="2438400"/>
            <wp:effectExtent l="19050" t="0" r="0" b="0"/>
            <wp:docPr id="30" name="Resim 5" descr="https://im.haberturk.com/2020/03/31/ver1585663522/2630478_411ee71434529f6c636ed87fa7c36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m.haberturk.com/2020/03/31/ver1585663522/2630478_411ee71434529f6c636ed87fa7c36717.jpg"/>
                    <pic:cNvPicPr>
                      <a:picLocks noChangeAspect="1" noChangeArrowheads="1"/>
                    </pic:cNvPicPr>
                  </pic:nvPicPr>
                  <pic:blipFill>
                    <a:blip r:embed="rId51"/>
                    <a:srcRect/>
                    <a:stretch>
                      <a:fillRect/>
                    </a:stretch>
                  </pic:blipFill>
                  <pic:spPr bwMode="auto">
                    <a:xfrm>
                      <a:off x="0" y="0"/>
                      <a:ext cx="4613081" cy="2437594"/>
                    </a:xfrm>
                    <a:prstGeom prst="rect">
                      <a:avLst/>
                    </a:prstGeom>
                    <a:noFill/>
                    <a:ln w="9525">
                      <a:noFill/>
                      <a:miter lim="800000"/>
                      <a:headEnd/>
                      <a:tailEnd/>
                    </a:ln>
                  </pic:spPr>
                </pic:pic>
              </a:graphicData>
            </a:graphic>
          </wp:inline>
        </w:drawing>
      </w:r>
    </w:p>
    <w:p w14:paraId="14DB0165" w14:textId="77777777" w:rsidR="00C57500" w:rsidRPr="00164238" w:rsidRDefault="00C57500" w:rsidP="00C57500">
      <w:pPr>
        <w:autoSpaceDE w:val="0"/>
        <w:autoSpaceDN w:val="0"/>
        <w:adjustRightInd w:val="0"/>
        <w:spacing w:after="0" w:line="240" w:lineRule="auto"/>
        <w:jc w:val="center"/>
        <w:rPr>
          <w:rFonts w:ascii="Times New Roman" w:hAnsi="Times New Roman" w:cs="Times New Roman"/>
          <w:color w:val="000000" w:themeColor="text1"/>
        </w:rPr>
      </w:pPr>
      <w:r w:rsidRPr="00164238">
        <w:rPr>
          <w:rFonts w:ascii="Times New Roman" w:hAnsi="Times New Roman" w:cs="Times New Roman"/>
          <w:b/>
          <w:bCs/>
          <w:color w:val="000000" w:themeColor="text1"/>
        </w:rPr>
        <w:t xml:space="preserve">Şekil 8: </w:t>
      </w:r>
      <w:r w:rsidRPr="00164238">
        <w:rPr>
          <w:rFonts w:ascii="Times New Roman" w:hAnsi="Times New Roman" w:cs="Times New Roman"/>
          <w:color w:val="000000" w:themeColor="text1"/>
        </w:rPr>
        <w:t>Audi Covid-19 Logo Güncellemesi</w:t>
      </w:r>
    </w:p>
    <w:p w14:paraId="30D14321" w14:textId="77777777" w:rsidR="00C57500" w:rsidRPr="00A40273" w:rsidRDefault="00C57500" w:rsidP="00C57500">
      <w:pPr>
        <w:jc w:val="center"/>
        <w:rPr>
          <w:rFonts w:ascii="Times New Roman" w:hAnsi="Times New Roman" w:cs="Times New Roman"/>
          <w:color w:val="000000" w:themeColor="text1"/>
        </w:rPr>
      </w:pPr>
      <w:r w:rsidRPr="00A40273">
        <w:rPr>
          <w:rFonts w:ascii="Times New Roman" w:hAnsi="Times New Roman" w:cs="Times New Roman"/>
          <w:color w:val="000000" w:themeColor="text1"/>
        </w:rPr>
        <w:t>Kaynak:</w:t>
      </w:r>
      <w:hyperlink r:id="rId52" w:history="1">
        <w:r w:rsidRPr="00A40273">
          <w:rPr>
            <w:rStyle w:val="Balk1Char"/>
            <w:rFonts w:ascii="Times New Roman" w:hAnsi="Times New Roman" w:cs="Times New Roman"/>
            <w:color w:val="000000" w:themeColor="text1"/>
            <w:sz w:val="22"/>
            <w:szCs w:val="22"/>
          </w:rPr>
          <w:t>https://pazarlamasyon.com.tr</w:t>
        </w:r>
      </w:hyperlink>
      <w:r w:rsidRPr="00A40273">
        <w:rPr>
          <w:rFonts w:ascii="Times New Roman" w:hAnsi="Times New Roman" w:cs="Times New Roman"/>
          <w:color w:val="000000" w:themeColor="text1"/>
        </w:rPr>
        <w:t>(Erişim Tarihi: 03.04.2021)</w:t>
      </w:r>
    </w:p>
    <w:p w14:paraId="67090EBF" w14:textId="77777777" w:rsidR="00C57500" w:rsidRPr="00164238" w:rsidRDefault="00C57500" w:rsidP="00C57500">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Logo güncellemesine giden diğer ünlü otomobil markası ise Volkswagen firmasıdır. Firmanın Audi firması ile aynı şirketin bünyesinde yer almasından beklenen bir güncelleme olmuştur. Volkswagen firması dijital platformlarda yayınlamış olduğu videoda logosunda bulunan “W” harfini oluşturan iki şekli mesafelendirerek “sosyal mesafenizi koruduğunuz için teşekkürler” mesajı ile yayınladı. Böylece sürece duyarsız olmadığının mesajını vermiş oldu.</w:t>
      </w:r>
    </w:p>
    <w:p w14:paraId="61879358" w14:textId="77777777" w:rsidR="00C57500" w:rsidRPr="00164238" w:rsidRDefault="00C57500" w:rsidP="00C57500">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lastRenderedPageBreak/>
        <w:t>Yine bir Alman otomobil firması olan Mercedes-Benz de sürece dahil olmuştur. Mercedes’in logosunda yer alan üç ayaklı yıldız Mercedes’in hava, kara ve sudaki gücünü temsil etmektedir. Firmanın kurucu ve sahibi olan Karl Benz, Deutz’da görevinin ilk yıllarında evinin tepesine bir yıldız amblemi koydu. Eşine ilerden bu yıldızın gücü ve başarıyı temsil edeceğini ve kuracağı şirketin simgesi olacağını söylemiştir.</w:t>
      </w:r>
    </w:p>
    <w:p w14:paraId="292C8EA2" w14:textId="77777777" w:rsidR="00C57500" w:rsidRPr="00164238" w:rsidRDefault="00C57500" w:rsidP="00C57500">
      <w:pPr>
        <w:jc w:val="center"/>
        <w:rPr>
          <w:rFonts w:ascii="Times New Roman" w:hAnsi="Times New Roman" w:cs="Times New Roman"/>
          <w:color w:val="000000" w:themeColor="text1"/>
        </w:rPr>
      </w:pPr>
      <w:r w:rsidRPr="00164238">
        <w:rPr>
          <w:rFonts w:ascii="Times New Roman" w:hAnsi="Times New Roman" w:cs="Times New Roman"/>
          <w:noProof/>
          <w:color w:val="000000" w:themeColor="text1"/>
          <w:lang w:val="en-US"/>
        </w:rPr>
        <w:drawing>
          <wp:inline distT="0" distB="0" distL="0" distR="0" wp14:anchorId="40EE7A79" wp14:editId="742079A6">
            <wp:extent cx="4250725" cy="2146660"/>
            <wp:effectExtent l="0" t="0" r="0" b="6350"/>
            <wp:docPr id="31" name="Resim 31" descr="http://www.markakonsept.com/wp-content/uploads/Mercedes_logo-2-660x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markakonsept.com/wp-content/uploads/Mercedes_logo-2-660x330.jpg"/>
                    <pic:cNvPicPr>
                      <a:picLocks noChangeAspect="1" noChangeArrowheads="1"/>
                    </pic:cNvPicPr>
                  </pic:nvPicPr>
                  <pic:blipFill>
                    <a:blip r:embed="rId53"/>
                    <a:srcRect/>
                    <a:stretch>
                      <a:fillRect/>
                    </a:stretch>
                  </pic:blipFill>
                  <pic:spPr bwMode="auto">
                    <a:xfrm>
                      <a:off x="0" y="0"/>
                      <a:ext cx="4278192" cy="2160531"/>
                    </a:xfrm>
                    <a:prstGeom prst="rect">
                      <a:avLst/>
                    </a:prstGeom>
                    <a:noFill/>
                    <a:ln w="9525">
                      <a:noFill/>
                      <a:miter lim="800000"/>
                      <a:headEnd/>
                      <a:tailEnd/>
                    </a:ln>
                  </pic:spPr>
                </pic:pic>
              </a:graphicData>
            </a:graphic>
          </wp:inline>
        </w:drawing>
      </w:r>
    </w:p>
    <w:p w14:paraId="2D689367" w14:textId="77777777" w:rsidR="00C57500" w:rsidRPr="00164238" w:rsidRDefault="00C57500" w:rsidP="00C57500">
      <w:pPr>
        <w:autoSpaceDE w:val="0"/>
        <w:autoSpaceDN w:val="0"/>
        <w:adjustRightInd w:val="0"/>
        <w:spacing w:after="0" w:line="240" w:lineRule="auto"/>
        <w:jc w:val="center"/>
        <w:rPr>
          <w:rFonts w:ascii="Times New Roman" w:hAnsi="Times New Roman" w:cs="Times New Roman"/>
          <w:color w:val="000000" w:themeColor="text1"/>
        </w:rPr>
      </w:pPr>
      <w:r w:rsidRPr="00164238">
        <w:rPr>
          <w:rFonts w:ascii="Times New Roman" w:hAnsi="Times New Roman" w:cs="Times New Roman"/>
          <w:b/>
          <w:bCs/>
          <w:color w:val="000000" w:themeColor="text1"/>
        </w:rPr>
        <w:t xml:space="preserve">Şekil 9: </w:t>
      </w:r>
      <w:r w:rsidRPr="00164238">
        <w:rPr>
          <w:rFonts w:ascii="Times New Roman" w:hAnsi="Times New Roman" w:cs="Times New Roman"/>
          <w:color w:val="000000" w:themeColor="text1"/>
        </w:rPr>
        <w:t>Mercedes-Benz Covid-19 Logosu</w:t>
      </w:r>
    </w:p>
    <w:p w14:paraId="1FEB92E3" w14:textId="77777777" w:rsidR="00C57500" w:rsidRPr="00A40273" w:rsidRDefault="00C57500" w:rsidP="00C57500">
      <w:pPr>
        <w:jc w:val="center"/>
        <w:rPr>
          <w:rFonts w:ascii="Times New Roman" w:hAnsi="Times New Roman" w:cs="Times New Roman"/>
          <w:color w:val="000000" w:themeColor="text1"/>
        </w:rPr>
      </w:pPr>
      <w:r w:rsidRPr="00A40273">
        <w:rPr>
          <w:rFonts w:ascii="Times New Roman" w:hAnsi="Times New Roman" w:cs="Times New Roman"/>
          <w:color w:val="000000" w:themeColor="text1"/>
        </w:rPr>
        <w:t xml:space="preserve">Kaynak: </w:t>
      </w:r>
      <w:hyperlink r:id="rId54" w:history="1">
        <w:r w:rsidRPr="00A40273">
          <w:rPr>
            <w:rStyle w:val="Balk1Char"/>
            <w:rFonts w:ascii="Times New Roman" w:hAnsi="Times New Roman" w:cs="Times New Roman"/>
            <w:color w:val="000000" w:themeColor="text1"/>
            <w:sz w:val="22"/>
            <w:szCs w:val="22"/>
          </w:rPr>
          <w:t>https://www.mercedes-benz.com.tr</w:t>
        </w:r>
      </w:hyperlink>
      <w:r w:rsidRPr="00A40273">
        <w:rPr>
          <w:rFonts w:ascii="Times New Roman" w:hAnsi="Times New Roman" w:cs="Times New Roman"/>
          <w:color w:val="000000" w:themeColor="text1"/>
        </w:rPr>
        <w:t xml:space="preserve"> (Erişim Tarihi: 03.04.2021)</w:t>
      </w:r>
    </w:p>
    <w:p w14:paraId="2B6ED859" w14:textId="77777777" w:rsidR="00C57500" w:rsidRPr="00164238" w:rsidRDefault="00C57500" w:rsidP="00C57500">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Alman şirketinin pandemi güncellemesi logosunda sosyal mesafeye dikkat çekmek amacıyla logoda yer alan yıldızın halkaya değmediği etrafındaki halka ile arasında mesafe bırakıldığı gözükmektedir. Şirket gerek #StayHome etiketi ile çalışanları ile alakalı hazırlamış olduğu ve sosyal medyada yayınladığı video ile gerekse logo güncellemesi ile farkındalık yaratarak sosyal sorumluluk görevini yerine getirdiği mesajını vermektedir.</w:t>
      </w:r>
    </w:p>
    <w:p w14:paraId="566E858E" w14:textId="77777777" w:rsidR="00C57500" w:rsidRPr="00164238" w:rsidRDefault="00C57500" w:rsidP="00C57500">
      <w:pPr>
        <w:jc w:val="center"/>
        <w:rPr>
          <w:rFonts w:ascii="Times New Roman" w:hAnsi="Times New Roman" w:cs="Times New Roman"/>
          <w:color w:val="000000" w:themeColor="text1"/>
        </w:rPr>
      </w:pPr>
      <w:r w:rsidRPr="00164238">
        <w:rPr>
          <w:rFonts w:ascii="Times New Roman" w:hAnsi="Times New Roman" w:cs="Times New Roman"/>
          <w:noProof/>
          <w:color w:val="000000" w:themeColor="text1"/>
          <w:lang w:val="en-US"/>
        </w:rPr>
        <w:drawing>
          <wp:inline distT="0" distB="0" distL="0" distR="0" wp14:anchorId="21D5C793" wp14:editId="0BB20081">
            <wp:extent cx="4209535" cy="2383963"/>
            <wp:effectExtent l="0" t="0" r="635" b="0"/>
            <wp:docPr id="32" name="Resim 12" descr="https://im.haberturk.com/2020/03/31/ver1585663522/2630478_8dc9581bb467117410525c6f3136b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im.haberturk.com/2020/03/31/ver1585663522/2630478_8dc9581bb467117410525c6f3136baf3.jpg"/>
                    <pic:cNvPicPr>
                      <a:picLocks noChangeAspect="1" noChangeArrowheads="1"/>
                    </pic:cNvPicPr>
                  </pic:nvPicPr>
                  <pic:blipFill>
                    <a:blip r:embed="rId55"/>
                    <a:srcRect/>
                    <a:stretch>
                      <a:fillRect/>
                    </a:stretch>
                  </pic:blipFill>
                  <pic:spPr bwMode="auto">
                    <a:xfrm>
                      <a:off x="0" y="0"/>
                      <a:ext cx="4227402" cy="2394082"/>
                    </a:xfrm>
                    <a:prstGeom prst="rect">
                      <a:avLst/>
                    </a:prstGeom>
                    <a:noFill/>
                    <a:ln w="9525">
                      <a:noFill/>
                      <a:miter lim="800000"/>
                      <a:headEnd/>
                      <a:tailEnd/>
                    </a:ln>
                  </pic:spPr>
                </pic:pic>
              </a:graphicData>
            </a:graphic>
          </wp:inline>
        </w:drawing>
      </w:r>
    </w:p>
    <w:p w14:paraId="69066D67" w14:textId="77777777" w:rsidR="00C57500" w:rsidRPr="00164238" w:rsidRDefault="00C57500" w:rsidP="00C57500">
      <w:pPr>
        <w:autoSpaceDE w:val="0"/>
        <w:autoSpaceDN w:val="0"/>
        <w:adjustRightInd w:val="0"/>
        <w:spacing w:after="0" w:line="240" w:lineRule="auto"/>
        <w:jc w:val="center"/>
        <w:rPr>
          <w:rFonts w:ascii="Times New Roman" w:hAnsi="Times New Roman" w:cs="Times New Roman"/>
          <w:color w:val="000000" w:themeColor="text1"/>
        </w:rPr>
      </w:pPr>
      <w:r w:rsidRPr="00164238">
        <w:rPr>
          <w:rFonts w:ascii="Times New Roman" w:hAnsi="Times New Roman" w:cs="Times New Roman"/>
          <w:b/>
          <w:bCs/>
          <w:color w:val="000000" w:themeColor="text1"/>
        </w:rPr>
        <w:t xml:space="preserve">Şekil 10: </w:t>
      </w:r>
      <w:r w:rsidRPr="00164238">
        <w:rPr>
          <w:rFonts w:ascii="Times New Roman" w:hAnsi="Times New Roman" w:cs="Times New Roman"/>
          <w:color w:val="000000" w:themeColor="text1"/>
        </w:rPr>
        <w:t>Mercedes-Benz Covid-19 Logo Güncellemesi</w:t>
      </w:r>
    </w:p>
    <w:p w14:paraId="369FF9EF" w14:textId="77777777" w:rsidR="00C57500" w:rsidRPr="00A40273" w:rsidRDefault="00C57500" w:rsidP="00C57500">
      <w:pPr>
        <w:jc w:val="center"/>
        <w:rPr>
          <w:rFonts w:ascii="Times New Roman" w:hAnsi="Times New Roman" w:cs="Times New Roman"/>
          <w:color w:val="000000" w:themeColor="text1"/>
        </w:rPr>
      </w:pPr>
      <w:r w:rsidRPr="00A40273">
        <w:rPr>
          <w:rFonts w:ascii="Times New Roman" w:hAnsi="Times New Roman" w:cs="Times New Roman"/>
          <w:color w:val="000000" w:themeColor="text1"/>
        </w:rPr>
        <w:t>Kaynak:</w:t>
      </w:r>
      <w:hyperlink r:id="rId56" w:history="1">
        <w:r w:rsidRPr="00A40273">
          <w:rPr>
            <w:rStyle w:val="Balk1Char"/>
            <w:rFonts w:ascii="Times New Roman" w:hAnsi="Times New Roman" w:cs="Times New Roman"/>
            <w:color w:val="000000" w:themeColor="text1"/>
            <w:sz w:val="22"/>
            <w:szCs w:val="22"/>
          </w:rPr>
          <w:t>https://pazarlamasyon.com.tr</w:t>
        </w:r>
      </w:hyperlink>
      <w:r w:rsidRPr="00A40273">
        <w:rPr>
          <w:rFonts w:ascii="Times New Roman" w:hAnsi="Times New Roman" w:cs="Times New Roman"/>
          <w:color w:val="000000" w:themeColor="text1"/>
        </w:rPr>
        <w:t xml:space="preserve"> (Erişim Tarihi: 03.04.2021)</w:t>
      </w:r>
    </w:p>
    <w:p w14:paraId="324426C8" w14:textId="77777777" w:rsidR="00C57500" w:rsidRPr="00164238" w:rsidRDefault="00C57500" w:rsidP="00C57500">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Dünyaca ünlü arama motoru Googleda logo güncelleyen markalar arasındadır. Google’ın logosunda bulunan renklere bakıldığında dört renkten oluştuğu görülmektedir. Beş harf ana renklerden </w:t>
      </w:r>
      <w:r w:rsidRPr="00164238">
        <w:rPr>
          <w:rFonts w:ascii="Times New Roman" w:hAnsi="Times New Roman" w:cs="Times New Roman"/>
          <w:color w:val="000000" w:themeColor="text1"/>
        </w:rPr>
        <w:lastRenderedPageBreak/>
        <w:t>oluşurken bir harfin ”l” ara renkten oluştuğu görülmektedir. “l” harfinde ara renk olan yeşilin kullanılmasındaki mesaj “Google kuralları takip etmez” sözüdür. Ayrıca mavi ve yeşil renkleri iki kez kullanılmış ve font olarak sade bir font kullanılarak Google’ın farklı ve kural tanımaz oluşunun arkasında durulmuştur.</w:t>
      </w:r>
    </w:p>
    <w:p w14:paraId="7B90A224" w14:textId="77777777" w:rsidR="00C57500" w:rsidRPr="00164238" w:rsidRDefault="00C57500" w:rsidP="00C57500">
      <w:pPr>
        <w:jc w:val="center"/>
        <w:rPr>
          <w:rFonts w:ascii="Times New Roman" w:hAnsi="Times New Roman" w:cs="Times New Roman"/>
          <w:color w:val="000000" w:themeColor="text1"/>
        </w:rPr>
      </w:pPr>
      <w:r w:rsidRPr="00164238">
        <w:rPr>
          <w:rFonts w:ascii="Times New Roman" w:hAnsi="Times New Roman" w:cs="Times New Roman"/>
          <w:noProof/>
          <w:color w:val="000000" w:themeColor="text1"/>
          <w:lang w:val="en-US"/>
        </w:rPr>
        <w:drawing>
          <wp:inline distT="0" distB="0" distL="0" distR="0" wp14:anchorId="7E4E81D6" wp14:editId="24D7DEC3">
            <wp:extent cx="4508971" cy="1848678"/>
            <wp:effectExtent l="19050" t="0" r="5879" b="0"/>
            <wp:docPr id="33" name="Resim 1" descr="2919654-5611940169-Googl - UVM Bo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919654-5611940169-Googl - UVM Bored"/>
                    <pic:cNvPicPr>
                      <a:picLocks noChangeAspect="1" noChangeArrowheads="1"/>
                    </pic:cNvPicPr>
                  </pic:nvPicPr>
                  <pic:blipFill>
                    <a:blip r:embed="rId57"/>
                    <a:srcRect/>
                    <a:stretch>
                      <a:fillRect/>
                    </a:stretch>
                  </pic:blipFill>
                  <pic:spPr bwMode="auto">
                    <a:xfrm>
                      <a:off x="0" y="0"/>
                      <a:ext cx="4514964" cy="1851135"/>
                    </a:xfrm>
                    <a:prstGeom prst="rect">
                      <a:avLst/>
                    </a:prstGeom>
                    <a:noFill/>
                    <a:ln w="9525">
                      <a:noFill/>
                      <a:miter lim="800000"/>
                      <a:headEnd/>
                      <a:tailEnd/>
                    </a:ln>
                  </pic:spPr>
                </pic:pic>
              </a:graphicData>
            </a:graphic>
          </wp:inline>
        </w:drawing>
      </w:r>
    </w:p>
    <w:p w14:paraId="76A936F6" w14:textId="77777777" w:rsidR="00C57500" w:rsidRPr="00164238" w:rsidRDefault="00C57500" w:rsidP="00C57500">
      <w:pPr>
        <w:autoSpaceDE w:val="0"/>
        <w:autoSpaceDN w:val="0"/>
        <w:adjustRightInd w:val="0"/>
        <w:spacing w:after="0" w:line="240" w:lineRule="auto"/>
        <w:jc w:val="center"/>
        <w:rPr>
          <w:rFonts w:ascii="Times New Roman" w:hAnsi="Times New Roman" w:cs="Times New Roman"/>
          <w:color w:val="000000" w:themeColor="text1"/>
        </w:rPr>
      </w:pPr>
      <w:r w:rsidRPr="00164238">
        <w:rPr>
          <w:rFonts w:ascii="Times New Roman" w:hAnsi="Times New Roman" w:cs="Times New Roman"/>
          <w:b/>
          <w:bCs/>
          <w:color w:val="000000" w:themeColor="text1"/>
        </w:rPr>
        <w:t xml:space="preserve">Şekil 11: </w:t>
      </w:r>
      <w:r w:rsidRPr="00164238">
        <w:rPr>
          <w:rFonts w:ascii="Times New Roman" w:hAnsi="Times New Roman" w:cs="Times New Roman"/>
          <w:color w:val="000000" w:themeColor="text1"/>
        </w:rPr>
        <w:t>Google Covid-19 Logosu</w:t>
      </w:r>
    </w:p>
    <w:p w14:paraId="54AE6D2F" w14:textId="77777777" w:rsidR="00C57500" w:rsidRPr="00A40273" w:rsidRDefault="00C57500" w:rsidP="00C57500">
      <w:pPr>
        <w:jc w:val="center"/>
        <w:rPr>
          <w:rFonts w:ascii="Times New Roman" w:hAnsi="Times New Roman" w:cs="Times New Roman"/>
          <w:color w:val="000000" w:themeColor="text1"/>
        </w:rPr>
      </w:pPr>
      <w:r w:rsidRPr="00A40273">
        <w:rPr>
          <w:rFonts w:ascii="Times New Roman" w:hAnsi="Times New Roman" w:cs="Times New Roman"/>
          <w:color w:val="000000" w:themeColor="text1"/>
        </w:rPr>
        <w:t>Kaynak:</w:t>
      </w:r>
      <w:hyperlink r:id="rId58" w:history="1">
        <w:r w:rsidRPr="00A40273">
          <w:rPr>
            <w:rStyle w:val="Balk1Char"/>
            <w:rFonts w:ascii="Times New Roman" w:hAnsi="Times New Roman" w:cs="Times New Roman"/>
            <w:color w:val="000000" w:themeColor="text1"/>
            <w:sz w:val="22"/>
            <w:szCs w:val="22"/>
          </w:rPr>
          <w:t>https://www.google.com.tr</w:t>
        </w:r>
      </w:hyperlink>
      <w:r w:rsidRPr="00A40273">
        <w:rPr>
          <w:rFonts w:ascii="Times New Roman" w:hAnsi="Times New Roman" w:cs="Times New Roman"/>
          <w:color w:val="000000" w:themeColor="text1"/>
        </w:rPr>
        <w:t>(Erişim Tarihi: 03.04.2021)</w:t>
      </w:r>
    </w:p>
    <w:p w14:paraId="429F7A9E" w14:textId="77777777" w:rsidR="00C57500" w:rsidRPr="00164238" w:rsidRDefault="00C57500" w:rsidP="00C57500">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Güncellenmiş Google logosu şekil 8 de görülmektedir.  Güncel logoda Google logosundaki harflerinin arasını açarak sosyal mesafeye dikkat çekmeye çalışmış ve sürece kayıtsız kalmayarak topluma mesajını iletmiştir.</w:t>
      </w:r>
    </w:p>
    <w:p w14:paraId="7B2FD15E" w14:textId="77777777" w:rsidR="00C57500" w:rsidRPr="00164238" w:rsidRDefault="00C57500" w:rsidP="00C57500">
      <w:pPr>
        <w:ind w:left="360"/>
        <w:jc w:val="center"/>
        <w:rPr>
          <w:rFonts w:ascii="Times New Roman" w:hAnsi="Times New Roman" w:cs="Times New Roman"/>
          <w:color w:val="000000" w:themeColor="text1"/>
        </w:rPr>
      </w:pPr>
      <w:r w:rsidRPr="00164238">
        <w:rPr>
          <w:rFonts w:ascii="Times New Roman" w:hAnsi="Times New Roman" w:cs="Times New Roman"/>
          <w:noProof/>
          <w:color w:val="000000" w:themeColor="text1"/>
          <w:lang w:val="en-US"/>
        </w:rPr>
        <w:drawing>
          <wp:inline distT="0" distB="0" distL="0" distR="0" wp14:anchorId="0889A799" wp14:editId="23EF5A5F">
            <wp:extent cx="4763163" cy="2598090"/>
            <wp:effectExtent l="19050" t="0" r="0" b="0"/>
            <wp:docPr id="34" name="Resim 4" descr="https://9to5google.com/wp-content/uploads/sites/4/2020/03/google_doodle_social_distancing_idea_1-1.png?w=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9to5google.com/wp-content/uploads/sites/4/2020/03/google_doodle_social_distancing_idea_1-1.png?w=1600"/>
                    <pic:cNvPicPr>
                      <a:picLocks noChangeAspect="1" noChangeArrowheads="1"/>
                    </pic:cNvPicPr>
                  </pic:nvPicPr>
                  <pic:blipFill>
                    <a:blip r:embed="rId59"/>
                    <a:srcRect/>
                    <a:stretch>
                      <a:fillRect/>
                    </a:stretch>
                  </pic:blipFill>
                  <pic:spPr bwMode="auto">
                    <a:xfrm>
                      <a:off x="0" y="0"/>
                      <a:ext cx="4773190" cy="2603559"/>
                    </a:xfrm>
                    <a:prstGeom prst="rect">
                      <a:avLst/>
                    </a:prstGeom>
                    <a:noFill/>
                    <a:ln w="9525">
                      <a:noFill/>
                      <a:miter lim="800000"/>
                      <a:headEnd/>
                      <a:tailEnd/>
                    </a:ln>
                  </pic:spPr>
                </pic:pic>
              </a:graphicData>
            </a:graphic>
          </wp:inline>
        </w:drawing>
      </w:r>
    </w:p>
    <w:p w14:paraId="747FF869" w14:textId="77777777" w:rsidR="00C57500" w:rsidRPr="00164238" w:rsidRDefault="00C57500" w:rsidP="00C57500">
      <w:pPr>
        <w:autoSpaceDE w:val="0"/>
        <w:autoSpaceDN w:val="0"/>
        <w:adjustRightInd w:val="0"/>
        <w:spacing w:after="0" w:line="240" w:lineRule="auto"/>
        <w:jc w:val="center"/>
        <w:rPr>
          <w:rFonts w:ascii="Times New Roman" w:hAnsi="Times New Roman" w:cs="Times New Roman"/>
          <w:color w:val="000000" w:themeColor="text1"/>
        </w:rPr>
      </w:pPr>
      <w:r w:rsidRPr="00164238">
        <w:rPr>
          <w:rFonts w:ascii="Times New Roman" w:hAnsi="Times New Roman" w:cs="Times New Roman"/>
          <w:b/>
          <w:bCs/>
          <w:color w:val="000000" w:themeColor="text1"/>
        </w:rPr>
        <w:t xml:space="preserve">Şekil 12: </w:t>
      </w:r>
      <w:r w:rsidRPr="00164238">
        <w:rPr>
          <w:rFonts w:ascii="Times New Roman" w:hAnsi="Times New Roman" w:cs="Times New Roman"/>
          <w:color w:val="000000" w:themeColor="text1"/>
        </w:rPr>
        <w:t>Google Covid-19 Logo Güncellemesi</w:t>
      </w:r>
    </w:p>
    <w:p w14:paraId="6C69B852" w14:textId="77777777" w:rsidR="00C57500" w:rsidRPr="00A40273" w:rsidRDefault="00C57500" w:rsidP="00C57500">
      <w:pPr>
        <w:jc w:val="center"/>
        <w:rPr>
          <w:rFonts w:ascii="Times New Roman" w:hAnsi="Times New Roman" w:cs="Times New Roman"/>
          <w:color w:val="000000" w:themeColor="text1"/>
        </w:rPr>
      </w:pPr>
      <w:r w:rsidRPr="00A40273">
        <w:rPr>
          <w:rFonts w:ascii="Times New Roman" w:hAnsi="Times New Roman" w:cs="Times New Roman"/>
          <w:color w:val="000000" w:themeColor="text1"/>
        </w:rPr>
        <w:t>Kaynak:</w:t>
      </w:r>
      <w:hyperlink r:id="rId60" w:history="1">
        <w:r w:rsidRPr="00A40273">
          <w:rPr>
            <w:rStyle w:val="Balk1Char"/>
            <w:rFonts w:ascii="Times New Roman" w:hAnsi="Times New Roman" w:cs="Times New Roman"/>
            <w:color w:val="000000" w:themeColor="text1"/>
            <w:sz w:val="22"/>
            <w:szCs w:val="22"/>
          </w:rPr>
          <w:t>https://www.google.com.tr</w:t>
        </w:r>
      </w:hyperlink>
      <w:r w:rsidRPr="00A40273">
        <w:rPr>
          <w:rFonts w:ascii="Times New Roman" w:hAnsi="Times New Roman" w:cs="Times New Roman"/>
          <w:color w:val="000000" w:themeColor="text1"/>
        </w:rPr>
        <w:t>(Erişim Tarihi: 03.04.2021)</w:t>
      </w:r>
    </w:p>
    <w:p w14:paraId="499D1661" w14:textId="7E8A997E" w:rsidR="00A40273" w:rsidRDefault="00A40273" w:rsidP="00C57500">
      <w:pPr>
        <w:ind w:left="360" w:firstLine="348"/>
        <w:rPr>
          <w:rFonts w:ascii="Times New Roman" w:hAnsi="Times New Roman" w:cs="Times New Roman"/>
          <w:b/>
          <w:color w:val="000000" w:themeColor="text1"/>
        </w:rPr>
      </w:pPr>
    </w:p>
    <w:p w14:paraId="262F80B8" w14:textId="77777777" w:rsidR="00E0308F" w:rsidRDefault="00E0308F" w:rsidP="00C57500">
      <w:pPr>
        <w:ind w:left="360" w:firstLine="348"/>
        <w:rPr>
          <w:rFonts w:ascii="Times New Roman" w:hAnsi="Times New Roman" w:cs="Times New Roman"/>
          <w:b/>
          <w:color w:val="000000" w:themeColor="text1"/>
        </w:rPr>
      </w:pPr>
    </w:p>
    <w:p w14:paraId="469B34AD" w14:textId="77777777" w:rsidR="00A40273" w:rsidRDefault="00A40273" w:rsidP="00C57500">
      <w:pPr>
        <w:ind w:left="360" w:firstLine="348"/>
        <w:rPr>
          <w:rFonts w:ascii="Times New Roman" w:hAnsi="Times New Roman" w:cs="Times New Roman"/>
          <w:b/>
          <w:color w:val="000000" w:themeColor="text1"/>
        </w:rPr>
      </w:pPr>
    </w:p>
    <w:p w14:paraId="7CFFACB9" w14:textId="77777777" w:rsidR="00A40273" w:rsidRDefault="00A40273" w:rsidP="00C57500">
      <w:pPr>
        <w:ind w:left="360" w:firstLine="348"/>
        <w:rPr>
          <w:rFonts w:ascii="Times New Roman" w:hAnsi="Times New Roman" w:cs="Times New Roman"/>
          <w:b/>
          <w:color w:val="000000" w:themeColor="text1"/>
        </w:rPr>
      </w:pPr>
    </w:p>
    <w:p w14:paraId="2ED11C73" w14:textId="5C6DD7E1" w:rsidR="00C57500" w:rsidRPr="00164238" w:rsidRDefault="00C57500" w:rsidP="00C57500">
      <w:pPr>
        <w:ind w:left="360" w:firstLine="348"/>
        <w:rPr>
          <w:rFonts w:ascii="Times New Roman" w:hAnsi="Times New Roman" w:cs="Times New Roman"/>
          <w:b/>
          <w:color w:val="000000" w:themeColor="text1"/>
        </w:rPr>
      </w:pPr>
      <w:r w:rsidRPr="00164238">
        <w:rPr>
          <w:rFonts w:ascii="Times New Roman" w:hAnsi="Times New Roman" w:cs="Times New Roman"/>
          <w:b/>
          <w:color w:val="000000" w:themeColor="text1"/>
        </w:rPr>
        <w:lastRenderedPageBreak/>
        <w:t>Sonuç ve Tartışma</w:t>
      </w:r>
    </w:p>
    <w:p w14:paraId="273D2898" w14:textId="77777777" w:rsidR="00C57500" w:rsidRPr="00164238" w:rsidRDefault="00C57500" w:rsidP="00C57500">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Markalar Covid 19 pandemisi sırasında sürece destek vermek, sosyal mesafeye dikkat çekmek ve farkındalık yaratmak, duygusal tepkiyi ortaya çıkarmak ve satın alma davranışlarını yönlendirmek için görsel iletişimin etkileyiciliğinden ve akıldan kalıcılığından yararlanarak logolarını güncellemişlerdir.  Küresel çapta ve ülkelerin kendi içlerinde olağan üstü önlemler alındığı bu süreçte özellikle yayılımı engellemek için bireylerin temastan uzak durmalarını gerektiren “sosyal mesafe” uygulaması gelmektedir. Marka kimliğinin önemli bir parçası olan logoların bu süreçte güncellenmesi markların iletişim faaliyetidir. Markalar yapmış oldukları bu çalışma ile şu mesajları vermek istemişlerdir:</w:t>
      </w:r>
    </w:p>
    <w:p w14:paraId="704B0743" w14:textId="77777777" w:rsidR="00C57500" w:rsidRPr="00164238" w:rsidRDefault="00C57500" w:rsidP="007C3550">
      <w:pPr>
        <w:numPr>
          <w:ilvl w:val="0"/>
          <w:numId w:val="6"/>
        </w:numPr>
        <w:spacing w:before="120" w:after="200" w:line="480"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Sosyal mesafeye dikkat çekmek ve farkındalık yaratmak</w:t>
      </w:r>
    </w:p>
    <w:p w14:paraId="09629073" w14:textId="77777777" w:rsidR="00C57500" w:rsidRPr="00164238" w:rsidRDefault="00C57500" w:rsidP="007C3550">
      <w:pPr>
        <w:numPr>
          <w:ilvl w:val="0"/>
          <w:numId w:val="6"/>
        </w:numPr>
        <w:spacing w:before="120" w:after="200" w:line="480"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Pandemi sürecindeki uygulamalara destek vererek tüketicide olumlu imaj uyandırmak</w:t>
      </w:r>
    </w:p>
    <w:p w14:paraId="254C500A" w14:textId="77777777" w:rsidR="00C57500" w:rsidRPr="00164238" w:rsidRDefault="00C57500" w:rsidP="007C3550">
      <w:pPr>
        <w:numPr>
          <w:ilvl w:val="0"/>
          <w:numId w:val="6"/>
        </w:numPr>
        <w:spacing w:before="120" w:after="200" w:line="480"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Marka değerini artırmak </w:t>
      </w:r>
    </w:p>
    <w:p w14:paraId="7BA75550" w14:textId="77777777" w:rsidR="00C57500" w:rsidRPr="00164238" w:rsidRDefault="00C57500" w:rsidP="007C3550">
      <w:pPr>
        <w:numPr>
          <w:ilvl w:val="0"/>
          <w:numId w:val="6"/>
        </w:numPr>
        <w:spacing w:before="120" w:after="200" w:line="480"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Bu süreci konuşulmak ve gündemde kalmak amacıyla kullanmak</w:t>
      </w:r>
    </w:p>
    <w:p w14:paraId="5D80DB6B" w14:textId="77777777" w:rsidR="00C57500" w:rsidRPr="00164238" w:rsidRDefault="00C57500" w:rsidP="007C3550">
      <w:pPr>
        <w:numPr>
          <w:ilvl w:val="0"/>
          <w:numId w:val="6"/>
        </w:numPr>
        <w:spacing w:before="120" w:after="200" w:line="480"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Marka bilinirliğini artırmak</w:t>
      </w:r>
    </w:p>
    <w:p w14:paraId="336E6D5E" w14:textId="77777777" w:rsidR="00C57500" w:rsidRPr="00164238" w:rsidRDefault="00C57500" w:rsidP="007C3550">
      <w:pPr>
        <w:numPr>
          <w:ilvl w:val="0"/>
          <w:numId w:val="6"/>
        </w:numPr>
        <w:spacing w:before="120" w:after="200" w:line="480"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Markayı görünür kılmak veya artırmak</w:t>
      </w:r>
    </w:p>
    <w:p w14:paraId="2E666C4B" w14:textId="77777777" w:rsidR="00C57500" w:rsidRPr="00164238" w:rsidRDefault="00C57500" w:rsidP="007C3550">
      <w:pPr>
        <w:numPr>
          <w:ilvl w:val="0"/>
          <w:numId w:val="6"/>
        </w:numPr>
        <w:spacing w:before="120" w:after="200" w:line="480"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İzleyiciler tarafından önlemlerin daha hızlı anlaşılmasını ve uygulanmasını sağlamak</w:t>
      </w:r>
    </w:p>
    <w:p w14:paraId="2A55351E" w14:textId="010E8BD3" w:rsidR="00C57500" w:rsidRPr="00164238" w:rsidRDefault="00C57500" w:rsidP="00C57500">
      <w:pPr>
        <w:ind w:firstLine="708"/>
        <w:jc w:val="both"/>
        <w:rPr>
          <w:rFonts w:ascii="Times New Roman" w:hAnsi="Times New Roman" w:cs="Times New Roman"/>
          <w:iCs/>
          <w:color w:val="000000" w:themeColor="text1"/>
        </w:rPr>
      </w:pPr>
      <w:r w:rsidRPr="00164238">
        <w:rPr>
          <w:rFonts w:ascii="Times New Roman" w:hAnsi="Times New Roman" w:cs="Times New Roman"/>
          <w:color w:val="000000" w:themeColor="text1"/>
        </w:rPr>
        <w:t xml:space="preserve">Sosyal mesafe logo ve sloganları en çok vurgulanan mesajlar </w:t>
      </w:r>
      <w:r w:rsidRPr="00164238">
        <w:rPr>
          <w:rFonts w:ascii="Times New Roman" w:hAnsi="Times New Roman" w:cs="Times New Roman"/>
          <w:iCs/>
          <w:color w:val="000000" w:themeColor="text1"/>
        </w:rPr>
        <w:t xml:space="preserve">sosyal mesafe, hijyen, evde kalmak </w:t>
      </w:r>
      <w:r w:rsidRPr="00164238">
        <w:rPr>
          <w:rFonts w:ascii="Times New Roman" w:hAnsi="Times New Roman" w:cs="Times New Roman"/>
          <w:color w:val="000000" w:themeColor="text1"/>
        </w:rPr>
        <w:t xml:space="preserve">ve </w:t>
      </w:r>
      <w:r w:rsidRPr="00164238">
        <w:rPr>
          <w:rFonts w:ascii="Times New Roman" w:hAnsi="Times New Roman" w:cs="Times New Roman"/>
          <w:iCs/>
          <w:color w:val="000000" w:themeColor="text1"/>
        </w:rPr>
        <w:t xml:space="preserve">birlik/beraberlik </w:t>
      </w:r>
      <w:r w:rsidRPr="00164238">
        <w:rPr>
          <w:rFonts w:ascii="Times New Roman" w:hAnsi="Times New Roman" w:cs="Times New Roman"/>
          <w:color w:val="000000" w:themeColor="text1"/>
        </w:rPr>
        <w:t>kavramlarından yola çıkarak oluşturulmuştur</w:t>
      </w:r>
      <w:r w:rsidRPr="00164238">
        <w:rPr>
          <w:rFonts w:ascii="Times New Roman" w:hAnsi="Times New Roman" w:cs="Times New Roman"/>
          <w:i/>
          <w:iCs/>
          <w:color w:val="000000" w:themeColor="text1"/>
        </w:rPr>
        <w:t>.</w:t>
      </w:r>
      <w:r w:rsidRPr="00164238">
        <w:rPr>
          <w:rFonts w:ascii="Times New Roman" w:hAnsi="Times New Roman" w:cs="Times New Roman"/>
          <w:iCs/>
          <w:color w:val="000000" w:themeColor="text1"/>
        </w:rPr>
        <w:t xml:space="preserve"> Bu süreçte markaların gündemi el alması ve sürece destek vermesi markanın görünür ve bilinir olmasında, doğru mesajın doğru kanallardan iletilerek insanların virüsten korunması konusunda rehberlik etmiştir. Markalar bu dönemde gerçekleştirmiş oldukları faaliyetler sayesinde normalleşme sürecinde daha akılda kalıcı ve bilinir olacaklardır.</w:t>
      </w:r>
    </w:p>
    <w:p w14:paraId="2616BC00" w14:textId="77777777" w:rsidR="00C57500" w:rsidRPr="00164238" w:rsidRDefault="00C57500" w:rsidP="00C57500">
      <w:pPr>
        <w:ind w:firstLine="708"/>
        <w:jc w:val="both"/>
        <w:rPr>
          <w:rFonts w:ascii="Times New Roman" w:hAnsi="Times New Roman" w:cs="Times New Roman"/>
          <w:color w:val="000000" w:themeColor="text1"/>
        </w:rPr>
      </w:pPr>
    </w:p>
    <w:p w14:paraId="21E37866" w14:textId="371D7981" w:rsidR="00C57500" w:rsidRPr="00164238" w:rsidRDefault="00C95516" w:rsidP="00C57500">
      <w:pPr>
        <w:ind w:left="708"/>
        <w:rPr>
          <w:rFonts w:ascii="Times New Roman" w:hAnsi="Times New Roman" w:cs="Times New Roman"/>
          <w:b/>
          <w:color w:val="000000" w:themeColor="text1"/>
        </w:rPr>
      </w:pPr>
      <w:r>
        <w:rPr>
          <w:rFonts w:ascii="Times New Roman" w:hAnsi="Times New Roman" w:cs="Times New Roman"/>
          <w:b/>
          <w:color w:val="000000" w:themeColor="text1"/>
        </w:rPr>
        <w:t>Kaynakça</w:t>
      </w:r>
    </w:p>
    <w:p w14:paraId="2E8E92E2" w14:textId="77777777" w:rsidR="00C57500" w:rsidRPr="00164238" w:rsidRDefault="00C57500" w:rsidP="00C57500">
      <w:pPr>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Becer, E. (1997). </w:t>
      </w:r>
      <w:r w:rsidRPr="00164238">
        <w:rPr>
          <w:rFonts w:ascii="Times New Roman" w:hAnsi="Times New Roman" w:cs="Times New Roman"/>
          <w:iCs/>
          <w:color w:val="000000" w:themeColor="text1"/>
        </w:rPr>
        <w:t>İletişim ve Grafik Tasarım</w:t>
      </w:r>
      <w:r w:rsidRPr="00164238">
        <w:rPr>
          <w:rFonts w:ascii="Times New Roman" w:hAnsi="Times New Roman" w:cs="Times New Roman"/>
          <w:color w:val="000000" w:themeColor="text1"/>
        </w:rPr>
        <w:t>, 1. Baskı, Dost Kitabevi Yay., Ankara.</w:t>
      </w:r>
    </w:p>
    <w:p w14:paraId="2EA5B9ED" w14:textId="77777777" w:rsidR="00C57500" w:rsidRPr="00164238" w:rsidRDefault="00C57500" w:rsidP="00C57500">
      <w:pPr>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Bogadrus, E. S. ( 1959).  </w:t>
      </w:r>
      <w:r w:rsidRPr="00164238">
        <w:rPr>
          <w:rFonts w:ascii="Times New Roman" w:hAnsi="Times New Roman" w:cs="Times New Roman"/>
          <w:iCs/>
          <w:color w:val="000000" w:themeColor="text1"/>
        </w:rPr>
        <w:t>SocialDistance</w:t>
      </w:r>
      <w:r w:rsidRPr="00164238">
        <w:rPr>
          <w:rFonts w:ascii="Times New Roman" w:hAnsi="Times New Roman" w:cs="Times New Roman"/>
          <w:color w:val="000000" w:themeColor="text1"/>
        </w:rPr>
        <w:t>, Yellow Springs, AntiochPress, Ohio</w:t>
      </w:r>
    </w:p>
    <w:p w14:paraId="26DA7A10" w14:textId="77777777" w:rsidR="00C57500" w:rsidRPr="00164238" w:rsidRDefault="00C57500" w:rsidP="00C57500">
      <w:pPr>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Bozkurt, Y. (2020). Markaların Sosyal Medyada Gündem Kullanımı: Gerçek Zamanlı Reklamlar. </w:t>
      </w:r>
      <w:r w:rsidRPr="00164238">
        <w:rPr>
          <w:rFonts w:ascii="Times New Roman" w:hAnsi="Times New Roman" w:cs="Times New Roman"/>
          <w:i/>
          <w:iCs/>
          <w:color w:val="000000" w:themeColor="text1"/>
        </w:rPr>
        <w:t xml:space="preserve">IBAD </w:t>
      </w:r>
      <w:r w:rsidRPr="00164238">
        <w:rPr>
          <w:rFonts w:ascii="Times New Roman" w:hAnsi="Times New Roman" w:cs="Times New Roman"/>
          <w:iCs/>
          <w:color w:val="000000" w:themeColor="text1"/>
        </w:rPr>
        <w:t>Sosyal Bilimler Dergisi</w:t>
      </w:r>
      <w:r w:rsidRPr="00164238">
        <w:rPr>
          <w:rFonts w:ascii="Times New Roman" w:hAnsi="Times New Roman" w:cs="Times New Roman"/>
          <w:color w:val="000000" w:themeColor="text1"/>
        </w:rPr>
        <w:t>, 6, 344-365.</w:t>
      </w:r>
    </w:p>
    <w:p w14:paraId="26897DCC" w14:textId="77777777" w:rsidR="00C57500" w:rsidRPr="00164238" w:rsidRDefault="00C57500" w:rsidP="00C57500">
      <w:pPr>
        <w:jc w:val="both"/>
        <w:rPr>
          <w:rFonts w:ascii="Times New Roman" w:hAnsi="Times New Roman" w:cs="Times New Roman"/>
          <w:color w:val="000000" w:themeColor="text1"/>
        </w:rPr>
      </w:pPr>
      <w:r w:rsidRPr="00164238">
        <w:rPr>
          <w:rFonts w:ascii="Times New Roman" w:hAnsi="Times New Roman" w:cs="Times New Roman"/>
          <w:color w:val="000000" w:themeColor="text1"/>
        </w:rPr>
        <w:lastRenderedPageBreak/>
        <w:t>Çengel, K. T. (2006). Marka Yönetiminde Hedef Tüketicilerin Maskot Kullanılan Markalı Ürünlere Yönelik Algısı Üzerine Etki Eden Faktörlerin Belirlenmesi ve Temizlik Ürünleri Sektöründe Bir Uygulama. Yayınlanmamış Yüksek Lisans Tezi. İstanbul: İÜ. Sosyal Bilimler Enstitüsü.</w:t>
      </w:r>
    </w:p>
    <w:p w14:paraId="03ABC79D" w14:textId="77777777" w:rsidR="00C57500" w:rsidRPr="00164238" w:rsidRDefault="00C57500" w:rsidP="00C57500">
      <w:pPr>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Ives, I.,  Alama, M., Oikonomidoy, E. &amp;Obenchain, K.(2016). ApplyingIntergroupContactTheorytoSocialDistance Data fromEthnicHungariansandRomanians in Romania, Journal of ContemporaryEuropeanStudies, </w:t>
      </w:r>
    </w:p>
    <w:p w14:paraId="701596F7" w14:textId="77777777" w:rsidR="00C57500" w:rsidRPr="00164238" w:rsidRDefault="00C57500" w:rsidP="00C57500">
      <w:pPr>
        <w:jc w:val="both"/>
        <w:rPr>
          <w:rFonts w:ascii="Times New Roman" w:hAnsi="Times New Roman" w:cs="Times New Roman"/>
          <w:color w:val="000000" w:themeColor="text1"/>
        </w:rPr>
      </w:pPr>
      <w:r w:rsidRPr="00164238">
        <w:rPr>
          <w:rFonts w:ascii="Times New Roman" w:hAnsi="Times New Roman" w:cs="Times New Roman"/>
          <w:color w:val="000000" w:themeColor="text1"/>
        </w:rPr>
        <w:t>King, S. (1991). Brand-building in the 1990s. Journal of Consumer Marketing,  8 (4) , 43- 52.</w:t>
      </w:r>
    </w:p>
    <w:p w14:paraId="074D8622" w14:textId="77777777" w:rsidR="00C57500" w:rsidRPr="00164238" w:rsidRDefault="00C57500" w:rsidP="00C57500">
      <w:pPr>
        <w:jc w:val="both"/>
        <w:rPr>
          <w:rFonts w:ascii="Times New Roman" w:hAnsi="Times New Roman" w:cs="Times New Roman"/>
          <w:color w:val="000000" w:themeColor="text1"/>
        </w:rPr>
      </w:pPr>
      <w:r w:rsidRPr="00164238">
        <w:rPr>
          <w:rFonts w:ascii="Times New Roman" w:hAnsi="Times New Roman" w:cs="Times New Roman"/>
          <w:color w:val="000000" w:themeColor="text1"/>
        </w:rPr>
        <w:t>Selvi, S. (2008). Marka Oluşumunda Kimlik Ve Kültürün Etkisi :’Goldaş’ Markası Üzerine Bir İnceleme, İstanbul Üniversitesi SBE.</w:t>
      </w:r>
    </w:p>
    <w:p w14:paraId="7B287283" w14:textId="0AE6706C" w:rsidR="00C57500" w:rsidRPr="00164238" w:rsidRDefault="00C57500" w:rsidP="00C57500">
      <w:pPr>
        <w:rPr>
          <w:rFonts w:ascii="Times New Roman" w:hAnsi="Times New Roman" w:cs="Times New Roman"/>
          <w:b/>
          <w:color w:val="000000" w:themeColor="text1"/>
        </w:rPr>
      </w:pPr>
      <w:r w:rsidRPr="00164238">
        <w:rPr>
          <w:rFonts w:ascii="Times New Roman" w:hAnsi="Times New Roman" w:cs="Times New Roman"/>
          <w:b/>
          <w:color w:val="000000" w:themeColor="text1"/>
        </w:rPr>
        <w:t xml:space="preserve">İNTERNET </w:t>
      </w:r>
      <w:r w:rsidR="00C95516">
        <w:rPr>
          <w:rFonts w:ascii="Times New Roman" w:hAnsi="Times New Roman" w:cs="Times New Roman"/>
          <w:b/>
          <w:color w:val="000000" w:themeColor="text1"/>
        </w:rPr>
        <w:t>KAYNAKÇA</w:t>
      </w:r>
      <w:r w:rsidRPr="00164238">
        <w:rPr>
          <w:rFonts w:ascii="Times New Roman" w:hAnsi="Times New Roman" w:cs="Times New Roman"/>
          <w:b/>
          <w:color w:val="000000" w:themeColor="text1"/>
        </w:rPr>
        <w:t>SI</w:t>
      </w:r>
    </w:p>
    <w:p w14:paraId="59BDF8AF" w14:textId="209D78CD" w:rsidR="00C57500" w:rsidRPr="00164238" w:rsidRDefault="00E839E1" w:rsidP="00C57500">
      <w:pPr>
        <w:jc w:val="both"/>
        <w:rPr>
          <w:rFonts w:ascii="Times New Roman" w:hAnsi="Times New Roman" w:cs="Times New Roman"/>
          <w:color w:val="000000" w:themeColor="text1"/>
        </w:rPr>
      </w:pPr>
      <w:hyperlink r:id="rId61" w:history="1">
        <w:bookmarkStart w:id="16" w:name="_Toc72352727"/>
        <w:bookmarkStart w:id="17" w:name="_Toc72961661"/>
        <w:r w:rsidR="00C57500" w:rsidRPr="00164238">
          <w:rPr>
            <w:rStyle w:val="Balk1Char"/>
            <w:rFonts w:ascii="Times New Roman" w:hAnsi="Times New Roman" w:cs="Times New Roman"/>
            <w:color w:val="000000" w:themeColor="text1"/>
            <w:sz w:val="22"/>
            <w:szCs w:val="22"/>
          </w:rPr>
          <w:t>https://iprgezgini.org/2020/04/24/marka-dunyasinin-covid-19-salginina-tepkisi-sosyal-mesafe- logolari/</w:t>
        </w:r>
        <w:bookmarkEnd w:id="16"/>
        <w:bookmarkEnd w:id="17"/>
      </w:hyperlink>
      <w:r w:rsidR="00C57500" w:rsidRPr="00164238">
        <w:rPr>
          <w:rFonts w:ascii="Times New Roman" w:hAnsi="Times New Roman" w:cs="Times New Roman"/>
          <w:color w:val="000000" w:themeColor="text1"/>
        </w:rPr>
        <w:t xml:space="preserve"> Erişim Tarihi: 3.04.20221</w:t>
      </w:r>
    </w:p>
    <w:p w14:paraId="67FA3D65" w14:textId="453A5310" w:rsidR="00C57500" w:rsidRPr="00164238" w:rsidRDefault="00E839E1" w:rsidP="00C57500">
      <w:pPr>
        <w:jc w:val="both"/>
        <w:rPr>
          <w:rFonts w:ascii="Times New Roman" w:hAnsi="Times New Roman" w:cs="Times New Roman"/>
          <w:color w:val="000000" w:themeColor="text1"/>
        </w:rPr>
      </w:pPr>
      <w:hyperlink r:id="rId62" w:history="1">
        <w:bookmarkStart w:id="18" w:name="_Toc72352728"/>
        <w:bookmarkStart w:id="19" w:name="_Toc72961662"/>
        <w:r w:rsidR="00C57500" w:rsidRPr="00164238">
          <w:rPr>
            <w:rStyle w:val="Balk1Char"/>
            <w:rFonts w:ascii="Times New Roman" w:hAnsi="Times New Roman" w:cs="Times New Roman"/>
            <w:color w:val="000000" w:themeColor="text1"/>
            <w:sz w:val="22"/>
            <w:szCs w:val="22"/>
          </w:rPr>
          <w:t>https://www.mcdonalds.com.tr/hakkimizda</w:t>
        </w:r>
        <w:bookmarkEnd w:id="18"/>
        <w:bookmarkEnd w:id="19"/>
      </w:hyperlink>
      <w:r w:rsidR="00C57500" w:rsidRPr="00164238">
        <w:rPr>
          <w:rFonts w:ascii="Times New Roman" w:hAnsi="Times New Roman" w:cs="Times New Roman"/>
          <w:color w:val="000000" w:themeColor="text1"/>
        </w:rPr>
        <w:t xml:space="preserve"> Erişim Tarihi: 3.04.20221</w:t>
      </w:r>
    </w:p>
    <w:p w14:paraId="06123425" w14:textId="060B3447" w:rsidR="00C57500" w:rsidRPr="00164238" w:rsidRDefault="00E839E1" w:rsidP="00C57500">
      <w:pPr>
        <w:jc w:val="both"/>
        <w:rPr>
          <w:rFonts w:ascii="Times New Roman" w:hAnsi="Times New Roman" w:cs="Times New Roman"/>
          <w:color w:val="000000" w:themeColor="text1"/>
        </w:rPr>
      </w:pPr>
      <w:hyperlink r:id="rId63" w:history="1">
        <w:bookmarkStart w:id="20" w:name="_Toc72352729"/>
        <w:bookmarkStart w:id="21" w:name="_Toc72961663"/>
        <w:r w:rsidR="00C57500" w:rsidRPr="00164238">
          <w:rPr>
            <w:rStyle w:val="Balk1Char"/>
            <w:rFonts w:ascii="Times New Roman" w:hAnsi="Times New Roman" w:cs="Times New Roman"/>
            <w:color w:val="000000" w:themeColor="text1"/>
            <w:sz w:val="22"/>
            <w:szCs w:val="22"/>
          </w:rPr>
          <w:t>https://www.coca-cola.com.tr/anasayfa</w:t>
        </w:r>
        <w:bookmarkEnd w:id="20"/>
        <w:bookmarkEnd w:id="21"/>
      </w:hyperlink>
      <w:r w:rsidR="00C57500" w:rsidRPr="00164238">
        <w:rPr>
          <w:rFonts w:ascii="Times New Roman" w:hAnsi="Times New Roman" w:cs="Times New Roman"/>
          <w:color w:val="000000" w:themeColor="text1"/>
        </w:rPr>
        <w:t xml:space="preserve"> Erişim Tarihi: 3.04.20221</w:t>
      </w:r>
    </w:p>
    <w:p w14:paraId="03672ADD" w14:textId="282BBE7D" w:rsidR="00C57500" w:rsidRPr="00164238" w:rsidRDefault="00E839E1" w:rsidP="00C57500">
      <w:pPr>
        <w:jc w:val="both"/>
        <w:rPr>
          <w:rFonts w:ascii="Times New Roman" w:hAnsi="Times New Roman" w:cs="Times New Roman"/>
          <w:color w:val="000000" w:themeColor="text1"/>
        </w:rPr>
      </w:pPr>
      <w:hyperlink r:id="rId64" w:history="1">
        <w:bookmarkStart w:id="22" w:name="_Toc72352730"/>
        <w:bookmarkStart w:id="23" w:name="_Toc72961664"/>
        <w:r w:rsidR="00C57500" w:rsidRPr="00164238">
          <w:rPr>
            <w:rStyle w:val="Balk1Char"/>
            <w:rFonts w:ascii="Times New Roman" w:hAnsi="Times New Roman" w:cs="Times New Roman"/>
            <w:color w:val="000000" w:themeColor="text1"/>
            <w:sz w:val="22"/>
            <w:szCs w:val="22"/>
          </w:rPr>
          <w:t>https://www.cci.com.tr/en/Media-Center/Latest-News/Our-Actions-Against-Coronavirus-COVID-19</w:t>
        </w:r>
        <w:bookmarkEnd w:id="22"/>
        <w:bookmarkEnd w:id="23"/>
      </w:hyperlink>
      <w:r w:rsidR="00C57500" w:rsidRPr="00164238">
        <w:rPr>
          <w:rFonts w:ascii="Times New Roman" w:hAnsi="Times New Roman" w:cs="Times New Roman"/>
          <w:color w:val="000000" w:themeColor="text1"/>
        </w:rPr>
        <w:t xml:space="preserve"> Erişim Tarihi: 3.04.20221</w:t>
      </w:r>
    </w:p>
    <w:p w14:paraId="27E41556" w14:textId="2B674A98" w:rsidR="00C57500" w:rsidRPr="00164238" w:rsidRDefault="00E839E1" w:rsidP="00C57500">
      <w:pPr>
        <w:jc w:val="both"/>
        <w:rPr>
          <w:rFonts w:ascii="Times New Roman" w:hAnsi="Times New Roman" w:cs="Times New Roman"/>
          <w:color w:val="000000" w:themeColor="text1"/>
        </w:rPr>
      </w:pPr>
      <w:hyperlink r:id="rId65" w:history="1">
        <w:bookmarkStart w:id="24" w:name="_Toc72352731"/>
        <w:bookmarkStart w:id="25" w:name="_Toc72961665"/>
        <w:r w:rsidR="00C57500" w:rsidRPr="00164238">
          <w:rPr>
            <w:rStyle w:val="Balk1Char"/>
            <w:rFonts w:ascii="Times New Roman" w:hAnsi="Times New Roman" w:cs="Times New Roman"/>
            <w:color w:val="000000" w:themeColor="text1"/>
            <w:sz w:val="22"/>
            <w:szCs w:val="22"/>
          </w:rPr>
          <w:t>https://www.turkiyegazetesi.com.tr/editorunsectikleri/405825.aspx</w:t>
        </w:r>
        <w:bookmarkEnd w:id="24"/>
        <w:bookmarkEnd w:id="25"/>
      </w:hyperlink>
      <w:r w:rsidR="00C57500" w:rsidRPr="00164238">
        <w:rPr>
          <w:rFonts w:ascii="Times New Roman" w:hAnsi="Times New Roman" w:cs="Times New Roman"/>
          <w:color w:val="000000" w:themeColor="text1"/>
        </w:rPr>
        <w:t xml:space="preserve"> Erişim Tarihi: 3.04.20221</w:t>
      </w:r>
    </w:p>
    <w:p w14:paraId="74134ECB" w14:textId="30F78089" w:rsidR="00C57500" w:rsidRPr="00164238" w:rsidRDefault="00E839E1" w:rsidP="00C57500">
      <w:pPr>
        <w:jc w:val="both"/>
        <w:rPr>
          <w:rFonts w:ascii="Times New Roman" w:hAnsi="Times New Roman" w:cs="Times New Roman"/>
          <w:color w:val="000000" w:themeColor="text1"/>
        </w:rPr>
      </w:pPr>
      <w:hyperlink r:id="rId66" w:history="1">
        <w:bookmarkStart w:id="26" w:name="_Toc72352732"/>
        <w:bookmarkStart w:id="27" w:name="_Toc72961666"/>
        <w:r w:rsidR="00C57500" w:rsidRPr="00164238">
          <w:rPr>
            <w:rStyle w:val="Balk1Char"/>
            <w:rFonts w:ascii="Times New Roman" w:hAnsi="Times New Roman" w:cs="Times New Roman"/>
            <w:color w:val="000000" w:themeColor="text1"/>
            <w:sz w:val="22"/>
            <w:szCs w:val="22"/>
          </w:rPr>
          <w:t>https://pazarlamasyon.com/coca-coladan-sosyal-mesafenin-onemini-vurgulayan-dev-pano/</w:t>
        </w:r>
        <w:bookmarkEnd w:id="26"/>
        <w:bookmarkEnd w:id="27"/>
      </w:hyperlink>
      <w:r w:rsidR="00C57500" w:rsidRPr="00164238">
        <w:rPr>
          <w:rFonts w:ascii="Times New Roman" w:hAnsi="Times New Roman" w:cs="Times New Roman"/>
          <w:color w:val="000000" w:themeColor="text1"/>
        </w:rPr>
        <w:t xml:space="preserve"> Erişim Tarihi: 3.04.20221</w:t>
      </w:r>
    </w:p>
    <w:p w14:paraId="23C2B7AF" w14:textId="081A04BC" w:rsidR="00C57500" w:rsidRPr="00164238" w:rsidRDefault="00E839E1" w:rsidP="00C57500">
      <w:pPr>
        <w:jc w:val="both"/>
        <w:rPr>
          <w:rFonts w:ascii="Times New Roman" w:hAnsi="Times New Roman" w:cs="Times New Roman"/>
          <w:color w:val="000000" w:themeColor="text1"/>
        </w:rPr>
      </w:pPr>
      <w:hyperlink r:id="rId67" w:history="1">
        <w:bookmarkStart w:id="28" w:name="_Toc72352733"/>
        <w:bookmarkStart w:id="29" w:name="_Toc72961667"/>
        <w:r w:rsidR="00C57500" w:rsidRPr="00164238">
          <w:rPr>
            <w:rStyle w:val="Balk1Char"/>
            <w:rFonts w:ascii="Times New Roman" w:hAnsi="Times New Roman" w:cs="Times New Roman"/>
            <w:color w:val="000000" w:themeColor="text1"/>
            <w:sz w:val="22"/>
            <w:szCs w:val="22"/>
          </w:rPr>
          <w:t>https://www.audi.com.tr/tr/web/tr.html</w:t>
        </w:r>
        <w:bookmarkEnd w:id="28"/>
        <w:bookmarkEnd w:id="29"/>
      </w:hyperlink>
      <w:r w:rsidR="00C57500" w:rsidRPr="00164238">
        <w:rPr>
          <w:rFonts w:ascii="Times New Roman" w:hAnsi="Times New Roman" w:cs="Times New Roman"/>
          <w:color w:val="000000" w:themeColor="text1"/>
        </w:rPr>
        <w:t xml:space="preserve"> Erişim Tarihi: 3.04.20221</w:t>
      </w:r>
    </w:p>
    <w:p w14:paraId="000D8AD2" w14:textId="1245450B" w:rsidR="00C57500" w:rsidRPr="00164238" w:rsidRDefault="00E839E1" w:rsidP="00C57500">
      <w:pPr>
        <w:jc w:val="both"/>
        <w:rPr>
          <w:rFonts w:ascii="Times New Roman" w:hAnsi="Times New Roman" w:cs="Times New Roman"/>
          <w:color w:val="000000" w:themeColor="text1"/>
        </w:rPr>
      </w:pPr>
      <w:hyperlink r:id="rId68" w:history="1">
        <w:bookmarkStart w:id="30" w:name="_Toc72352734"/>
        <w:bookmarkStart w:id="31" w:name="_Toc72961668"/>
        <w:r w:rsidR="00C57500" w:rsidRPr="00164238">
          <w:rPr>
            <w:rStyle w:val="Balk1Char"/>
            <w:rFonts w:ascii="Times New Roman" w:hAnsi="Times New Roman" w:cs="Times New Roman"/>
            <w:color w:val="000000" w:themeColor="text1"/>
            <w:sz w:val="22"/>
            <w:szCs w:val="22"/>
          </w:rPr>
          <w:t>https://pazarlamasyon.com/sosyal-mesafenin-onemini-vurgulamak-icin-logosunu-degistiren-5-marka/</w:t>
        </w:r>
        <w:bookmarkEnd w:id="30"/>
        <w:bookmarkEnd w:id="31"/>
      </w:hyperlink>
      <w:r w:rsidR="00C57500" w:rsidRPr="00164238">
        <w:rPr>
          <w:rFonts w:ascii="Times New Roman" w:hAnsi="Times New Roman" w:cs="Times New Roman"/>
          <w:color w:val="000000" w:themeColor="text1"/>
        </w:rPr>
        <w:t xml:space="preserve"> Erişim Tarihi: 3.04.20221</w:t>
      </w:r>
    </w:p>
    <w:p w14:paraId="22935064" w14:textId="23CBB2A0" w:rsidR="00C57500" w:rsidRPr="00164238" w:rsidRDefault="00E839E1" w:rsidP="00C57500">
      <w:pPr>
        <w:jc w:val="both"/>
        <w:rPr>
          <w:rFonts w:ascii="Times New Roman" w:hAnsi="Times New Roman" w:cs="Times New Roman"/>
          <w:color w:val="000000" w:themeColor="text1"/>
        </w:rPr>
      </w:pPr>
      <w:hyperlink r:id="rId69" w:history="1">
        <w:bookmarkStart w:id="32" w:name="_Toc72352735"/>
        <w:bookmarkStart w:id="33" w:name="_Toc72961669"/>
        <w:r w:rsidR="00C57500" w:rsidRPr="00164238">
          <w:rPr>
            <w:rStyle w:val="Balk1Char"/>
            <w:rFonts w:ascii="Times New Roman" w:hAnsi="Times New Roman" w:cs="Times New Roman"/>
            <w:color w:val="000000" w:themeColor="text1"/>
            <w:sz w:val="22"/>
            <w:szCs w:val="22"/>
          </w:rPr>
          <w:t>https://www.audi.com.tr/tr/web/tr.html</w:t>
        </w:r>
        <w:bookmarkEnd w:id="32"/>
        <w:bookmarkEnd w:id="33"/>
      </w:hyperlink>
      <w:r w:rsidR="00C57500" w:rsidRPr="00164238">
        <w:rPr>
          <w:rFonts w:ascii="Times New Roman" w:hAnsi="Times New Roman" w:cs="Times New Roman"/>
          <w:color w:val="000000" w:themeColor="text1"/>
        </w:rPr>
        <w:t xml:space="preserve"> Erişim Tarihi: 3.04.20221</w:t>
      </w:r>
    </w:p>
    <w:p w14:paraId="087FC55B" w14:textId="6C739BEA" w:rsidR="00C57500" w:rsidRPr="00164238" w:rsidRDefault="00E839E1" w:rsidP="00C57500">
      <w:pPr>
        <w:jc w:val="both"/>
        <w:rPr>
          <w:rFonts w:ascii="Times New Roman" w:hAnsi="Times New Roman" w:cs="Times New Roman"/>
          <w:color w:val="000000" w:themeColor="text1"/>
        </w:rPr>
      </w:pPr>
      <w:hyperlink r:id="rId70" w:history="1">
        <w:bookmarkStart w:id="34" w:name="_Toc72352736"/>
        <w:bookmarkStart w:id="35" w:name="_Toc72961670"/>
        <w:r w:rsidR="00C57500" w:rsidRPr="00164238">
          <w:rPr>
            <w:rStyle w:val="Balk1Char"/>
            <w:rFonts w:ascii="Times New Roman" w:hAnsi="Times New Roman" w:cs="Times New Roman"/>
            <w:color w:val="000000" w:themeColor="text1"/>
            <w:sz w:val="22"/>
            <w:szCs w:val="22"/>
          </w:rPr>
          <w:t>https://www.mercedes-benz.com.tr/passengercars.html?group=all&amp;subgroup=see-all&amp;view=BODYTYPE</w:t>
        </w:r>
        <w:bookmarkEnd w:id="34"/>
        <w:bookmarkEnd w:id="35"/>
      </w:hyperlink>
      <w:r w:rsidR="00C57500" w:rsidRPr="00164238">
        <w:rPr>
          <w:rFonts w:ascii="Times New Roman" w:hAnsi="Times New Roman" w:cs="Times New Roman"/>
          <w:color w:val="000000" w:themeColor="text1"/>
        </w:rPr>
        <w:t xml:space="preserve"> Erişim Tarihi: 3.04.20221</w:t>
      </w:r>
    </w:p>
    <w:p w14:paraId="28C2D794" w14:textId="54528D01" w:rsidR="00C57500" w:rsidRPr="00164238" w:rsidRDefault="00E839E1" w:rsidP="00C57500">
      <w:pPr>
        <w:jc w:val="both"/>
        <w:rPr>
          <w:rFonts w:ascii="Times New Roman" w:hAnsi="Times New Roman" w:cs="Times New Roman"/>
          <w:color w:val="000000" w:themeColor="text1"/>
        </w:rPr>
      </w:pPr>
      <w:hyperlink r:id="rId71" w:history="1">
        <w:bookmarkStart w:id="36" w:name="_Toc72352737"/>
        <w:bookmarkStart w:id="37" w:name="_Toc72961671"/>
        <w:r w:rsidR="00C57500" w:rsidRPr="00164238">
          <w:rPr>
            <w:rStyle w:val="Balk1Char"/>
            <w:rFonts w:ascii="Times New Roman" w:hAnsi="Times New Roman" w:cs="Times New Roman"/>
            <w:color w:val="000000" w:themeColor="text1"/>
            <w:sz w:val="22"/>
            <w:szCs w:val="22"/>
          </w:rPr>
          <w:t>https://www.google.com.tr</w:t>
        </w:r>
        <w:bookmarkEnd w:id="36"/>
        <w:bookmarkEnd w:id="37"/>
      </w:hyperlink>
      <w:r w:rsidR="00C57500" w:rsidRPr="00164238">
        <w:rPr>
          <w:rFonts w:ascii="Times New Roman" w:hAnsi="Times New Roman" w:cs="Times New Roman"/>
          <w:color w:val="000000" w:themeColor="text1"/>
        </w:rPr>
        <w:t xml:space="preserve"> Erişim Tarihi: 3.04.20221</w:t>
      </w:r>
    </w:p>
    <w:p w14:paraId="55D4FFFD" w14:textId="178DA959" w:rsidR="00C57500" w:rsidRPr="00164238" w:rsidRDefault="00E839E1" w:rsidP="00C57500">
      <w:pPr>
        <w:jc w:val="both"/>
        <w:rPr>
          <w:rFonts w:ascii="Times New Roman" w:hAnsi="Times New Roman" w:cs="Times New Roman"/>
          <w:color w:val="000000" w:themeColor="text1"/>
        </w:rPr>
      </w:pPr>
      <w:hyperlink r:id="rId72" w:history="1">
        <w:bookmarkStart w:id="38" w:name="_Toc72352738"/>
        <w:bookmarkStart w:id="39" w:name="_Toc72961672"/>
        <w:r w:rsidR="00C57500" w:rsidRPr="00164238">
          <w:rPr>
            <w:rStyle w:val="Balk1Char"/>
            <w:rFonts w:ascii="Times New Roman" w:hAnsi="Times New Roman" w:cs="Times New Roman"/>
            <w:color w:val="000000" w:themeColor="text1"/>
            <w:sz w:val="22"/>
            <w:szCs w:val="22"/>
          </w:rPr>
          <w:t>https://kfcturkiye.com/</w:t>
        </w:r>
        <w:bookmarkEnd w:id="38"/>
        <w:bookmarkEnd w:id="39"/>
      </w:hyperlink>
      <w:r w:rsidR="00C57500" w:rsidRPr="00164238">
        <w:rPr>
          <w:rFonts w:ascii="Times New Roman" w:hAnsi="Times New Roman" w:cs="Times New Roman"/>
          <w:color w:val="000000" w:themeColor="text1"/>
        </w:rPr>
        <w:t xml:space="preserve"> Erişim Tarihi: 3.04.20221</w:t>
      </w:r>
    </w:p>
    <w:p w14:paraId="676D61BA" w14:textId="77777777" w:rsidR="00C57500" w:rsidRPr="00164238" w:rsidRDefault="00C57500" w:rsidP="00C57500">
      <w:pPr>
        <w:rPr>
          <w:rFonts w:ascii="Times New Roman" w:hAnsi="Times New Roman" w:cs="Times New Roman"/>
          <w:color w:val="000000" w:themeColor="text1"/>
        </w:rPr>
      </w:pPr>
    </w:p>
    <w:p w14:paraId="6A4B0E16" w14:textId="54118E7F" w:rsidR="00C57500" w:rsidRPr="00164238" w:rsidRDefault="00C57500" w:rsidP="00C57500">
      <w:pPr>
        <w:rPr>
          <w:rFonts w:ascii="Times New Roman" w:hAnsi="Times New Roman" w:cs="Times New Roman"/>
          <w:b/>
          <w:color w:val="000000" w:themeColor="text1"/>
        </w:rPr>
      </w:pPr>
    </w:p>
    <w:p w14:paraId="40948876" w14:textId="1A749FF0" w:rsidR="00793FF1" w:rsidRPr="00164238" w:rsidRDefault="00793FF1" w:rsidP="00C57500">
      <w:pPr>
        <w:rPr>
          <w:rFonts w:ascii="Times New Roman" w:hAnsi="Times New Roman" w:cs="Times New Roman"/>
          <w:b/>
          <w:color w:val="000000" w:themeColor="text1"/>
        </w:rPr>
      </w:pPr>
    </w:p>
    <w:p w14:paraId="07288532" w14:textId="1D260384" w:rsidR="00793FF1" w:rsidRPr="00164238" w:rsidRDefault="00793FF1" w:rsidP="00C57500">
      <w:pPr>
        <w:rPr>
          <w:rFonts w:ascii="Times New Roman" w:hAnsi="Times New Roman" w:cs="Times New Roman"/>
          <w:b/>
          <w:color w:val="000000" w:themeColor="text1"/>
        </w:rPr>
      </w:pPr>
    </w:p>
    <w:p w14:paraId="5661AB14" w14:textId="119A5B1F" w:rsidR="00793FF1" w:rsidRPr="00164238" w:rsidRDefault="00793FF1" w:rsidP="00C57500">
      <w:pPr>
        <w:rPr>
          <w:rFonts w:ascii="Times New Roman" w:hAnsi="Times New Roman" w:cs="Times New Roman"/>
          <w:b/>
          <w:color w:val="000000" w:themeColor="text1"/>
        </w:rPr>
      </w:pPr>
    </w:p>
    <w:p w14:paraId="69A67406" w14:textId="4BEBA934" w:rsidR="00793FF1" w:rsidRPr="00164238" w:rsidRDefault="00793FF1" w:rsidP="00C57500">
      <w:pPr>
        <w:rPr>
          <w:rFonts w:ascii="Times New Roman" w:hAnsi="Times New Roman" w:cs="Times New Roman"/>
          <w:b/>
          <w:color w:val="000000" w:themeColor="text1"/>
        </w:rPr>
      </w:pPr>
    </w:p>
    <w:p w14:paraId="2AC71798" w14:textId="3D1B25A0" w:rsidR="00793FF1" w:rsidRPr="00164238" w:rsidRDefault="00793FF1" w:rsidP="00C57500">
      <w:pPr>
        <w:rPr>
          <w:rFonts w:ascii="Times New Roman" w:hAnsi="Times New Roman" w:cs="Times New Roman"/>
          <w:b/>
          <w:color w:val="000000" w:themeColor="text1"/>
        </w:rPr>
      </w:pPr>
    </w:p>
    <w:p w14:paraId="2D92DC1A" w14:textId="7A04D0BF" w:rsidR="00057033" w:rsidRPr="00164238" w:rsidRDefault="00E74503" w:rsidP="00A44C3D">
      <w:pPr>
        <w:pStyle w:val="Balk1"/>
        <w:rPr>
          <w:rFonts w:ascii="Times New Roman" w:hAnsi="Times New Roman" w:cs="Times New Roman"/>
          <w:b/>
          <w:color w:val="000000" w:themeColor="text1"/>
          <w:sz w:val="24"/>
          <w:szCs w:val="24"/>
        </w:rPr>
      </w:pPr>
      <w:bookmarkStart w:id="40" w:name="_Toc72961673"/>
      <w:r w:rsidRPr="00164238">
        <w:rPr>
          <w:rFonts w:ascii="Times New Roman" w:hAnsi="Times New Roman" w:cs="Times New Roman"/>
          <w:b/>
          <w:color w:val="000000" w:themeColor="text1"/>
          <w:sz w:val="24"/>
          <w:szCs w:val="24"/>
        </w:rPr>
        <w:t>PANDEMİ DÖNEMİNDE VE PANDEMİ SONRASINDA TÜKETİCİLERİN HAVAYOLU TERCİHLERİNE VE HAVAYOLLARINDAN BEKLENTİLERİNE YÖNELİK NİTELİKSEL BİR ARAŞTIRMA</w:t>
      </w:r>
      <w:bookmarkEnd w:id="40"/>
    </w:p>
    <w:p w14:paraId="35A25371" w14:textId="77777777" w:rsidR="0028373D" w:rsidRPr="00164238" w:rsidRDefault="00057033" w:rsidP="000214F4">
      <w:pPr>
        <w:pStyle w:val="Balk2"/>
        <w:rPr>
          <w:rFonts w:ascii="Times New Roman" w:hAnsi="Times New Roman" w:cs="Times New Roman"/>
          <w:b w:val="0"/>
          <w:color w:val="000000" w:themeColor="text1"/>
          <w:sz w:val="20"/>
          <w:szCs w:val="20"/>
        </w:rPr>
      </w:pPr>
      <w:bookmarkStart w:id="41" w:name="_Toc72961674"/>
      <w:r w:rsidRPr="00164238">
        <w:rPr>
          <w:rFonts w:ascii="Times New Roman" w:hAnsi="Times New Roman" w:cs="Times New Roman"/>
          <w:b w:val="0"/>
          <w:i w:val="0"/>
          <w:color w:val="000000" w:themeColor="text1"/>
          <w:sz w:val="20"/>
          <w:szCs w:val="20"/>
        </w:rPr>
        <w:t xml:space="preserve">Dr. </w:t>
      </w:r>
      <w:r w:rsidR="0028373D" w:rsidRPr="00164238">
        <w:rPr>
          <w:rFonts w:ascii="Times New Roman" w:hAnsi="Times New Roman" w:cs="Times New Roman"/>
          <w:b w:val="0"/>
          <w:i w:val="0"/>
          <w:color w:val="000000" w:themeColor="text1"/>
          <w:sz w:val="20"/>
          <w:szCs w:val="20"/>
        </w:rPr>
        <w:t xml:space="preserve">Öğr. Üyesi, </w:t>
      </w:r>
      <w:r w:rsidRPr="00164238">
        <w:rPr>
          <w:rFonts w:ascii="Times New Roman" w:hAnsi="Times New Roman" w:cs="Times New Roman"/>
          <w:b w:val="0"/>
          <w:i w:val="0"/>
          <w:color w:val="000000" w:themeColor="text1"/>
          <w:sz w:val="20"/>
          <w:szCs w:val="20"/>
        </w:rPr>
        <w:t>Ali AYCI</w:t>
      </w:r>
      <w:r w:rsidR="0028373D" w:rsidRPr="00164238">
        <w:rPr>
          <w:rFonts w:ascii="Times New Roman" w:hAnsi="Times New Roman" w:cs="Times New Roman"/>
          <w:b w:val="0"/>
          <w:i w:val="0"/>
          <w:color w:val="000000" w:themeColor="text1"/>
          <w:sz w:val="20"/>
          <w:szCs w:val="20"/>
        </w:rPr>
        <w:t xml:space="preserve">, </w:t>
      </w:r>
      <w:r w:rsidRPr="00164238">
        <w:rPr>
          <w:rFonts w:ascii="Times New Roman" w:hAnsi="Times New Roman" w:cs="Times New Roman"/>
          <w:b w:val="0"/>
          <w:color w:val="000000" w:themeColor="text1"/>
          <w:sz w:val="20"/>
          <w:szCs w:val="20"/>
        </w:rPr>
        <w:t>Ankara Yıldırım Beyazıt Üniversitesi, İşletme Fakültesi, Uluslararası Ticaret ve İşletmecilik Bölümü, Ankara, Türkiye</w:t>
      </w:r>
      <w:bookmarkEnd w:id="41"/>
    </w:p>
    <w:p w14:paraId="7F9888C2" w14:textId="776304CF" w:rsidR="00057033" w:rsidRPr="00164238" w:rsidRDefault="0028373D" w:rsidP="000214F4">
      <w:pPr>
        <w:spacing w:after="120" w:line="240" w:lineRule="auto"/>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e-mail: aayci@ybu.edu.tr </w:t>
      </w:r>
      <w:r w:rsidR="00057033" w:rsidRPr="00164238">
        <w:rPr>
          <w:rFonts w:ascii="Times New Roman" w:hAnsi="Times New Roman" w:cs="Times New Roman"/>
          <w:color w:val="000000" w:themeColor="text1"/>
          <w:sz w:val="20"/>
          <w:szCs w:val="20"/>
        </w:rPr>
        <w:t>ORCID</w:t>
      </w:r>
      <w:r w:rsidRPr="00164238">
        <w:rPr>
          <w:rFonts w:ascii="Times New Roman" w:hAnsi="Times New Roman" w:cs="Times New Roman"/>
          <w:color w:val="000000" w:themeColor="text1"/>
          <w:sz w:val="20"/>
          <w:szCs w:val="20"/>
        </w:rPr>
        <w:t xml:space="preserve"> ID</w:t>
      </w:r>
      <w:r w:rsidR="00057033" w:rsidRPr="00164238">
        <w:rPr>
          <w:rFonts w:ascii="Times New Roman" w:hAnsi="Times New Roman" w:cs="Times New Roman"/>
          <w:color w:val="000000" w:themeColor="text1"/>
          <w:sz w:val="20"/>
          <w:szCs w:val="20"/>
        </w:rPr>
        <w:t>: 0000-0001-8173-1152</w:t>
      </w:r>
    </w:p>
    <w:p w14:paraId="19C36913" w14:textId="77777777" w:rsidR="00057033" w:rsidRPr="00164238" w:rsidRDefault="00057033" w:rsidP="00057033">
      <w:pPr>
        <w:spacing w:after="120" w:line="240" w:lineRule="auto"/>
        <w:jc w:val="center"/>
        <w:rPr>
          <w:rFonts w:ascii="Times New Roman" w:hAnsi="Times New Roman" w:cs="Times New Roman"/>
          <w:color w:val="000000" w:themeColor="text1"/>
          <w:sz w:val="20"/>
          <w:szCs w:val="20"/>
        </w:rPr>
      </w:pPr>
    </w:p>
    <w:p w14:paraId="368B9F50" w14:textId="1B86FAF6" w:rsidR="00A44C3D" w:rsidRPr="00164238" w:rsidRDefault="00A44C3D" w:rsidP="000214F4">
      <w:pPr>
        <w:pStyle w:val="Balk2"/>
        <w:rPr>
          <w:rFonts w:ascii="Times New Roman" w:hAnsi="Times New Roman" w:cs="Times New Roman"/>
          <w:b w:val="0"/>
          <w:i w:val="0"/>
          <w:color w:val="000000" w:themeColor="text1"/>
          <w:sz w:val="20"/>
          <w:szCs w:val="20"/>
        </w:rPr>
      </w:pPr>
      <w:bookmarkStart w:id="42" w:name="_Toc72961675"/>
      <w:r w:rsidRPr="00164238">
        <w:rPr>
          <w:rStyle w:val="Balk2Char"/>
          <w:rFonts w:ascii="Times New Roman" w:eastAsiaTheme="minorHAnsi" w:hAnsi="Times New Roman" w:cs="Times New Roman"/>
          <w:color w:val="000000" w:themeColor="text1"/>
          <w:sz w:val="20"/>
          <w:szCs w:val="20"/>
        </w:rPr>
        <w:t>Dr. Abdullah BALLI</w:t>
      </w:r>
      <w:r w:rsidRPr="00164238">
        <w:rPr>
          <w:rFonts w:ascii="Times New Roman" w:hAnsi="Times New Roman" w:cs="Times New Roman"/>
          <w:b w:val="0"/>
          <w:i w:val="0"/>
          <w:color w:val="000000" w:themeColor="text1"/>
          <w:sz w:val="20"/>
          <w:szCs w:val="20"/>
        </w:rPr>
        <w:t>, Milli Savunma Bakanlığı, Ankara, Türkiye</w:t>
      </w:r>
      <w:bookmarkEnd w:id="42"/>
    </w:p>
    <w:p w14:paraId="256B90E9" w14:textId="77777777" w:rsidR="00A44C3D" w:rsidRPr="00164238" w:rsidRDefault="00A44C3D" w:rsidP="00A44C3D">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e-mail: </w:t>
      </w:r>
      <w:hyperlink r:id="rId73" w:history="1">
        <w:r w:rsidRPr="00164238">
          <w:rPr>
            <w:rStyle w:val="Kpr"/>
            <w:rFonts w:ascii="Times New Roman" w:hAnsi="Times New Roman" w:cs="Times New Roman"/>
            <w:color w:val="000000" w:themeColor="text1"/>
            <w:sz w:val="20"/>
            <w:szCs w:val="20"/>
          </w:rPr>
          <w:t>dr1240201073@gmail.com</w:t>
        </w:r>
      </w:hyperlink>
      <w:r w:rsidRPr="00164238">
        <w:rPr>
          <w:rFonts w:ascii="Times New Roman" w:hAnsi="Times New Roman" w:cs="Times New Roman"/>
          <w:color w:val="000000" w:themeColor="text1"/>
          <w:sz w:val="20"/>
          <w:szCs w:val="20"/>
          <w:u w:val="single"/>
        </w:rPr>
        <w:t xml:space="preserve"> </w:t>
      </w:r>
      <w:r w:rsidRPr="00164238">
        <w:rPr>
          <w:rFonts w:ascii="Times New Roman" w:hAnsi="Times New Roman" w:cs="Times New Roman"/>
          <w:color w:val="000000" w:themeColor="text1"/>
          <w:sz w:val="20"/>
          <w:szCs w:val="20"/>
        </w:rPr>
        <w:t xml:space="preserve"> ORCID ID : 0000-0003-2689-6610</w:t>
      </w:r>
    </w:p>
    <w:p w14:paraId="72899F58" w14:textId="77777777" w:rsidR="00057033" w:rsidRPr="00164238" w:rsidRDefault="00057033" w:rsidP="00057033">
      <w:pPr>
        <w:spacing w:after="120" w:line="240" w:lineRule="auto"/>
        <w:jc w:val="center"/>
        <w:rPr>
          <w:rFonts w:ascii="Times New Roman" w:hAnsi="Times New Roman" w:cs="Times New Roman"/>
          <w:color w:val="000000" w:themeColor="text1"/>
        </w:rPr>
      </w:pPr>
    </w:p>
    <w:p w14:paraId="76128F42" w14:textId="77777777" w:rsidR="00057033" w:rsidRPr="00164238" w:rsidRDefault="00057033" w:rsidP="00057033">
      <w:pPr>
        <w:ind w:firstLine="708"/>
        <w:jc w:val="both"/>
        <w:rPr>
          <w:rFonts w:ascii="Times New Roman" w:hAnsi="Times New Roman" w:cs="Times New Roman"/>
          <w:b/>
          <w:color w:val="000000" w:themeColor="text1"/>
        </w:rPr>
      </w:pPr>
      <w:r w:rsidRPr="00164238">
        <w:rPr>
          <w:rFonts w:ascii="Times New Roman" w:hAnsi="Times New Roman" w:cs="Times New Roman"/>
          <w:b/>
          <w:color w:val="000000" w:themeColor="text1"/>
        </w:rPr>
        <w:t>Özet</w:t>
      </w:r>
    </w:p>
    <w:p w14:paraId="410ED18F" w14:textId="77777777" w:rsidR="00057033" w:rsidRPr="00164238" w:rsidRDefault="00057033" w:rsidP="00057033">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Tüketicilerin pandemi sürecinde havayolu ile seyahat etme tercihlerine ilişkin yapılan çalışma sayısının kısıtlı olduğu görülmektedir. Bu keşifsel çalışmada pandemi döneminde hiç havayolu ile seyahat etmeyen, nadiren seyahat eden ve sıklıkla seyahat eden toplam 12 kişiyle derinlemesine mülakat yapılmış, pandemi dönemindeki ve pandemi sonrası dönem için havayolu ile seyahat etme tercihleri araştırılmıştır. Bulgular değerlendirildiğinde; havayolları, yüksek yatırım yapabilme kabiliyeti ve kurumsal yapısı nedeniyle pandemi sürecinde sağlık açısından daha güvenli olabileceği,  diğer ulaşım araçlarına nazaran seyahat süresinin daha kısa olması gibi nedenlerden dolayı toplu ulaşım anlamında en yoğun tercih edilen seyahat aracı olma özelliğini sürdürmektedir. Havayolu ile seyahate en yakın alternatif olarak koltuk mesafeleri ve konfordan dolayı tren görülmektedir. Pandemi dönemi havayolu tercihlerinde koltuk mesafeleri, hijyen, bilet iptal değişiklik imkânları, uçak yolcu sayısı, ikram yapılmaması tercih nedenleri olarak sıralanmakta, Türk Hava Yolları (THY) hijyene dikkat eden bir firma olarak tanımlanmaktadır. Pandemi sonrasında tüketicilerin havayolu işletmelerinden en önemli beklentileri arasında hijyen önlemlerine devam edilmesi, ikram servisleri yapılmaması, koltuk aralarının açılması,  güvenlik kontrollerinin azaltılması,  uygun fiyat, promosyon ve sefer sayılarının arttırılması yer almaktadır. Bunların yanı sıra uçakların aprona yanaşmadan yolcuların kapılara yığılması en önemli rahatsızlık olup bu durumun önlenmesi için hukuki düzenlemeler da dahil olmak üzere gerekli önlemler alınması istenmektedir. Tüketiciler tarafından genel olarak pandemi sonrasında pandemi öncesine göre uçuşlarının sayısının değişmeyeceği vurgulanmaktadır. Pandemi dönemi, tüketicilerin havayolu tercihlerine farklı değişkenlerin ilave edilmesini sağlamıştır. Sonraki çalışmalarda tüketicilerin havayolu tercihlerinin anlaşılmasına ilişkin farklı ölçekler geliştirilerek uygulanacak çalışmalarındaki bulguların literatüre ve uygulamacılara faydalar sağlayacağı öngörülmektedir.  </w:t>
      </w:r>
    </w:p>
    <w:p w14:paraId="708A3B14" w14:textId="77777777" w:rsidR="00057033" w:rsidRPr="00164238" w:rsidRDefault="00057033" w:rsidP="00057033">
      <w:pPr>
        <w:jc w:val="both"/>
        <w:rPr>
          <w:rFonts w:ascii="Times New Roman" w:hAnsi="Times New Roman" w:cs="Times New Roman"/>
          <w:color w:val="000000" w:themeColor="text1"/>
        </w:rPr>
      </w:pPr>
      <w:r w:rsidRPr="00164238">
        <w:rPr>
          <w:rFonts w:ascii="Times New Roman" w:hAnsi="Times New Roman" w:cs="Times New Roman"/>
          <w:color w:val="000000" w:themeColor="text1"/>
        </w:rPr>
        <w:t>Anahtar Kelimeler: Pandemi, Havayolu tercih nedenleri, Müşteri beklentileri</w:t>
      </w:r>
    </w:p>
    <w:p w14:paraId="02097032" w14:textId="77777777" w:rsidR="00057033" w:rsidRPr="00164238" w:rsidRDefault="00057033" w:rsidP="00057033">
      <w:pPr>
        <w:jc w:val="both"/>
        <w:rPr>
          <w:rFonts w:ascii="Times New Roman" w:hAnsi="Times New Roman" w:cs="Times New Roman"/>
          <w:color w:val="000000" w:themeColor="text1"/>
        </w:rPr>
      </w:pPr>
    </w:p>
    <w:p w14:paraId="3F21E071" w14:textId="4BFD1E4B" w:rsidR="00057033" w:rsidRPr="00164238" w:rsidRDefault="00057033" w:rsidP="00057033">
      <w:pPr>
        <w:ind w:firstLine="708"/>
        <w:jc w:val="both"/>
        <w:rPr>
          <w:rFonts w:ascii="Times New Roman" w:hAnsi="Times New Roman" w:cs="Times New Roman"/>
          <w:b/>
          <w:color w:val="000000" w:themeColor="text1"/>
        </w:rPr>
      </w:pPr>
      <w:r w:rsidRPr="00164238">
        <w:rPr>
          <w:rFonts w:ascii="Times New Roman" w:hAnsi="Times New Roman" w:cs="Times New Roman"/>
          <w:b/>
          <w:color w:val="000000" w:themeColor="text1"/>
        </w:rPr>
        <w:t xml:space="preserve">Giriş </w:t>
      </w:r>
    </w:p>
    <w:p w14:paraId="11AC2453" w14:textId="77777777" w:rsidR="00057033" w:rsidRPr="00164238" w:rsidRDefault="00057033" w:rsidP="00057033">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Son çeyrek yüzyılda küresel ölçekte havacılık sektöründe yaşanan hızlı gelişmelerle birlikte 11 Eylül 2001 terörist saldırılarından, 2003'te Şiddetli Akut Solunum Sendromu (SARS) salgını, 2006'da Kuş gribi H5N1 tehdidi ile hava yolculuğu endüstrisi ciddi şekilde zarar görmüştür </w:t>
      </w:r>
      <w:r w:rsidRPr="00164238">
        <w:rPr>
          <w:rFonts w:ascii="Times New Roman" w:hAnsi="Times New Roman" w:cs="Times New Roman"/>
          <w:noProof/>
          <w:color w:val="000000" w:themeColor="text1"/>
        </w:rPr>
        <w:t>(Chung, 2015:42,</w:t>
      </w:r>
      <w:r w:rsidRPr="00164238">
        <w:rPr>
          <w:rFonts w:ascii="Times New Roman" w:hAnsi="Times New Roman" w:cs="Times New Roman"/>
          <w:color w:val="000000" w:themeColor="text1"/>
        </w:rPr>
        <w:t xml:space="preserve">  </w:t>
      </w:r>
      <w:r w:rsidRPr="00164238">
        <w:rPr>
          <w:rFonts w:ascii="Times New Roman" w:hAnsi="Times New Roman" w:cs="Times New Roman"/>
          <w:color w:val="000000" w:themeColor="text1"/>
        </w:rPr>
        <w:lastRenderedPageBreak/>
        <w:t>Clemes vd. 2008: 50). 2009 yılında yeni domuz gribi A (H1N1) dünyanın en büyük halk sağlığı tehditlerinden biri olarak görülerek pandemi ilan edilmiştir. ABD Hastalık ve Kontrol Önleme Merkezi (CDC), domuz gribi salgının ilk yılında (H1N1) yaklaşık 150.000 ile 575.000 kişinin öldüğünü belirtmektedir</w:t>
      </w:r>
      <w:sdt>
        <w:sdtPr>
          <w:rPr>
            <w:rFonts w:ascii="Times New Roman" w:hAnsi="Times New Roman" w:cs="Times New Roman"/>
            <w:color w:val="000000" w:themeColor="text1"/>
          </w:rPr>
          <w:id w:val="-1081834133"/>
          <w:citation/>
        </w:sdtPr>
        <w:sdtContent>
          <w:r w:rsidRPr="00164238">
            <w:rPr>
              <w:rFonts w:ascii="Times New Roman" w:hAnsi="Times New Roman" w:cs="Times New Roman"/>
              <w:color w:val="000000" w:themeColor="text1"/>
            </w:rPr>
            <w:fldChar w:fldCharType="begin"/>
          </w:r>
          <w:r w:rsidRPr="00164238">
            <w:rPr>
              <w:rFonts w:ascii="Times New Roman" w:hAnsi="Times New Roman" w:cs="Times New Roman"/>
              <w:color w:val="000000" w:themeColor="text1"/>
            </w:rPr>
            <w:instrText xml:space="preserve"> CITATION CDC19 \l 1055 </w:instrText>
          </w:r>
          <w:r w:rsidRPr="00164238">
            <w:rPr>
              <w:rFonts w:ascii="Times New Roman" w:hAnsi="Times New Roman" w:cs="Times New Roman"/>
              <w:color w:val="000000" w:themeColor="text1"/>
            </w:rPr>
            <w:fldChar w:fldCharType="separate"/>
          </w:r>
          <w:r w:rsidRPr="00164238">
            <w:rPr>
              <w:rFonts w:ascii="Times New Roman" w:hAnsi="Times New Roman" w:cs="Times New Roman"/>
              <w:noProof/>
              <w:color w:val="000000" w:themeColor="text1"/>
            </w:rPr>
            <w:t xml:space="preserve"> (CDC, 2019)</w:t>
          </w:r>
          <w:r w:rsidRPr="00164238">
            <w:rPr>
              <w:rFonts w:ascii="Times New Roman" w:hAnsi="Times New Roman" w:cs="Times New Roman"/>
              <w:color w:val="000000" w:themeColor="text1"/>
            </w:rPr>
            <w:fldChar w:fldCharType="end"/>
          </w:r>
        </w:sdtContent>
      </w:sdt>
      <w:r w:rsidRPr="00164238">
        <w:rPr>
          <w:rFonts w:ascii="Times New Roman" w:hAnsi="Times New Roman" w:cs="Times New Roman"/>
          <w:color w:val="000000" w:themeColor="text1"/>
        </w:rPr>
        <w:t>. 2019 yılı Aralık ayında başlayan COVİD 19 221 ülkede 132 milyondan fazla kişi etkilemiş olup 5 Nisan 2021 tarihi itibariyle 2.900.000 kişinin ölümüne neden olmuştur ve süreç hala devam etmektedir</w:t>
      </w:r>
      <w:sdt>
        <w:sdtPr>
          <w:rPr>
            <w:rFonts w:ascii="Times New Roman" w:hAnsi="Times New Roman" w:cs="Times New Roman"/>
            <w:color w:val="000000" w:themeColor="text1"/>
          </w:rPr>
          <w:id w:val="-596556474"/>
          <w:citation/>
        </w:sdtPr>
        <w:sdtContent>
          <w:r w:rsidRPr="00164238">
            <w:rPr>
              <w:rFonts w:ascii="Times New Roman" w:hAnsi="Times New Roman" w:cs="Times New Roman"/>
              <w:color w:val="000000" w:themeColor="text1"/>
            </w:rPr>
            <w:fldChar w:fldCharType="begin"/>
          </w:r>
          <w:r w:rsidRPr="00164238">
            <w:rPr>
              <w:rFonts w:ascii="Times New Roman" w:hAnsi="Times New Roman" w:cs="Times New Roman"/>
              <w:color w:val="000000" w:themeColor="text1"/>
            </w:rPr>
            <w:instrText xml:space="preserve"> CITATION wor21 \l 1055 </w:instrText>
          </w:r>
          <w:r w:rsidRPr="00164238">
            <w:rPr>
              <w:rFonts w:ascii="Times New Roman" w:hAnsi="Times New Roman" w:cs="Times New Roman"/>
              <w:color w:val="000000" w:themeColor="text1"/>
            </w:rPr>
            <w:fldChar w:fldCharType="separate"/>
          </w:r>
          <w:r w:rsidRPr="00164238">
            <w:rPr>
              <w:rFonts w:ascii="Times New Roman" w:hAnsi="Times New Roman" w:cs="Times New Roman"/>
              <w:noProof/>
              <w:color w:val="000000" w:themeColor="text1"/>
            </w:rPr>
            <w:t xml:space="preserve"> (worldometers, 2021)</w:t>
          </w:r>
          <w:r w:rsidRPr="00164238">
            <w:rPr>
              <w:rFonts w:ascii="Times New Roman" w:hAnsi="Times New Roman" w:cs="Times New Roman"/>
              <w:color w:val="000000" w:themeColor="text1"/>
            </w:rPr>
            <w:fldChar w:fldCharType="end"/>
          </w:r>
        </w:sdtContent>
      </w:sdt>
      <w:r w:rsidRPr="00164238">
        <w:rPr>
          <w:rFonts w:ascii="Times New Roman" w:hAnsi="Times New Roman" w:cs="Times New Roman"/>
          <w:color w:val="000000" w:themeColor="text1"/>
        </w:rPr>
        <w:t>. COVİD 19 küresel havacılığa ağır zarar vermiş, bu da seyahat kısıtlamalarının neden olduğu ciddi nakit sıkıntısı nedeniyle çeşitli havayollarının ve havalimanlarının derecelendirme notlarının düşürülmesine, tasfiye edilmesine ve iflasına neden olmuştur</w:t>
      </w:r>
      <w:r w:rsidRPr="00164238">
        <w:rPr>
          <w:rFonts w:ascii="Times New Roman" w:hAnsi="Times New Roman" w:cs="Times New Roman"/>
          <w:noProof/>
          <w:color w:val="000000" w:themeColor="text1"/>
        </w:rPr>
        <w:t xml:space="preserve"> (Dube, vd.  2021:1)</w:t>
      </w:r>
      <w:r w:rsidRPr="00164238">
        <w:rPr>
          <w:rFonts w:ascii="Times New Roman" w:hAnsi="Times New Roman" w:cs="Times New Roman"/>
          <w:color w:val="000000" w:themeColor="text1"/>
        </w:rPr>
        <w:t>. COVİD 19 krizinde tüm dünyada havayolu sektörü 2020 yılında 118 Milyar ABD Doları zarar etmiş ve talep 2019'a kıyasla% 65,9 düşmüştür</w:t>
      </w:r>
      <w:sdt>
        <w:sdtPr>
          <w:rPr>
            <w:rFonts w:ascii="Times New Roman" w:hAnsi="Times New Roman" w:cs="Times New Roman"/>
            <w:color w:val="000000" w:themeColor="text1"/>
          </w:rPr>
          <w:id w:val="1255008320"/>
          <w:citation/>
        </w:sdtPr>
        <w:sdtContent>
          <w:r w:rsidRPr="00164238">
            <w:rPr>
              <w:rFonts w:ascii="Times New Roman" w:hAnsi="Times New Roman" w:cs="Times New Roman"/>
              <w:color w:val="000000" w:themeColor="text1"/>
            </w:rPr>
            <w:fldChar w:fldCharType="begin"/>
          </w:r>
          <w:r w:rsidRPr="00164238">
            <w:rPr>
              <w:rFonts w:ascii="Times New Roman" w:hAnsi="Times New Roman" w:cs="Times New Roman"/>
              <w:color w:val="000000" w:themeColor="text1"/>
            </w:rPr>
            <w:instrText xml:space="preserve">CITATION IAT21 \l 1055 </w:instrText>
          </w:r>
          <w:r w:rsidRPr="00164238">
            <w:rPr>
              <w:rFonts w:ascii="Times New Roman" w:hAnsi="Times New Roman" w:cs="Times New Roman"/>
              <w:color w:val="000000" w:themeColor="text1"/>
            </w:rPr>
            <w:fldChar w:fldCharType="separate"/>
          </w:r>
          <w:r w:rsidRPr="00164238">
            <w:rPr>
              <w:rFonts w:ascii="Times New Roman" w:hAnsi="Times New Roman" w:cs="Times New Roman"/>
              <w:noProof/>
              <w:color w:val="000000" w:themeColor="text1"/>
            </w:rPr>
            <w:t xml:space="preserve"> (IATA, 2021a)</w:t>
          </w:r>
          <w:r w:rsidRPr="00164238">
            <w:rPr>
              <w:rFonts w:ascii="Times New Roman" w:hAnsi="Times New Roman" w:cs="Times New Roman"/>
              <w:color w:val="000000" w:themeColor="text1"/>
            </w:rPr>
            <w:fldChar w:fldCharType="end"/>
          </w:r>
        </w:sdtContent>
      </w:sdt>
      <w:r w:rsidRPr="00164238">
        <w:rPr>
          <w:rFonts w:ascii="Times New Roman" w:hAnsi="Times New Roman" w:cs="Times New Roman"/>
          <w:color w:val="000000" w:themeColor="text1"/>
        </w:rPr>
        <w:t>. 2021 yılı ilk yarısında da koltuk sayılarında %31-%42, yolcu sayılarında 942- 1,238 milyon arasında azalma sonucunda sektörde 139-179 Milyar ABD Doları kayıp beklenmektedir</w:t>
      </w:r>
      <w:sdt>
        <w:sdtPr>
          <w:rPr>
            <w:rFonts w:ascii="Times New Roman" w:hAnsi="Times New Roman" w:cs="Times New Roman"/>
            <w:color w:val="000000" w:themeColor="text1"/>
          </w:rPr>
          <w:id w:val="1119106668"/>
          <w:citation/>
        </w:sdtPr>
        <w:sdtContent>
          <w:r w:rsidRPr="00164238">
            <w:rPr>
              <w:rFonts w:ascii="Times New Roman" w:hAnsi="Times New Roman" w:cs="Times New Roman"/>
              <w:color w:val="000000" w:themeColor="text1"/>
            </w:rPr>
            <w:fldChar w:fldCharType="begin"/>
          </w:r>
          <w:r w:rsidRPr="00164238">
            <w:rPr>
              <w:rFonts w:ascii="Times New Roman" w:hAnsi="Times New Roman" w:cs="Times New Roman"/>
              <w:color w:val="000000" w:themeColor="text1"/>
            </w:rPr>
            <w:instrText xml:space="preserve"> CITATION AAC20 \l 1055 </w:instrText>
          </w:r>
          <w:r w:rsidRPr="00164238">
            <w:rPr>
              <w:rFonts w:ascii="Times New Roman" w:hAnsi="Times New Roman" w:cs="Times New Roman"/>
              <w:color w:val="000000" w:themeColor="text1"/>
            </w:rPr>
            <w:fldChar w:fldCharType="separate"/>
          </w:r>
          <w:r w:rsidRPr="00164238">
            <w:rPr>
              <w:rFonts w:ascii="Times New Roman" w:hAnsi="Times New Roman" w:cs="Times New Roman"/>
              <w:noProof/>
              <w:color w:val="000000" w:themeColor="text1"/>
            </w:rPr>
            <w:t xml:space="preserve"> (AACO, 2020)</w:t>
          </w:r>
          <w:r w:rsidRPr="00164238">
            <w:rPr>
              <w:rFonts w:ascii="Times New Roman" w:hAnsi="Times New Roman" w:cs="Times New Roman"/>
              <w:color w:val="000000" w:themeColor="text1"/>
            </w:rPr>
            <w:fldChar w:fldCharType="end"/>
          </w:r>
        </w:sdtContent>
      </w:sdt>
      <w:r w:rsidRPr="00164238">
        <w:rPr>
          <w:rFonts w:ascii="Times New Roman" w:hAnsi="Times New Roman" w:cs="Times New Roman"/>
          <w:color w:val="000000" w:themeColor="text1"/>
        </w:rPr>
        <w:t>.  Bu gelişmelerin etkisiyle COVİD 19 havacılık sektörünü yeniden biçimlendirecektir (Garrow,  Lurkin, 2021:3).</w:t>
      </w:r>
    </w:p>
    <w:p w14:paraId="13FA4365" w14:textId="77777777" w:rsidR="00057033" w:rsidRPr="00164238" w:rsidRDefault="00057033" w:rsidP="00057033">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Havayolu sektörünün durağanlaşması turizm endüstrisi gibi ilgili endüstrileri de zayıflatmaktadır. Sektörün hızla toparlanabilmesi ve pandemi öncesindeki gelişmesine geri dönebilmesi için tüketicilerin havayolu tercih ve beklentilerinin analizi ile bulguların uygulamaya aktarılması büyük önem taşımaktadır. Sektör açıldıkça yolcuları koruyan, maliyetleri düşüren, verimliliği artıran, çalışanların sağlığı ve müşteri güvenliğine bağlı, kaliteli müşteri deneyimi sağlayan tedbirler alınması gerekmektedir</w:t>
      </w:r>
      <w:r w:rsidRPr="00164238">
        <w:rPr>
          <w:rFonts w:ascii="Times New Roman" w:hAnsi="Times New Roman" w:cs="Times New Roman"/>
          <w:noProof/>
          <w:color w:val="000000" w:themeColor="text1"/>
        </w:rPr>
        <w:t xml:space="preserve"> (Dube vd., 2021: 1)</w:t>
      </w:r>
      <w:r w:rsidRPr="00164238">
        <w:rPr>
          <w:rFonts w:ascii="Times New Roman" w:hAnsi="Times New Roman" w:cs="Times New Roman"/>
          <w:color w:val="000000" w:themeColor="text1"/>
        </w:rPr>
        <w:t xml:space="preserve">. </w:t>
      </w:r>
    </w:p>
    <w:p w14:paraId="02F838DC" w14:textId="77777777" w:rsidR="00057033" w:rsidRPr="00164238" w:rsidRDefault="00057033" w:rsidP="00057033">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COVİD-19'dan algılanan tehdit, uygunluk, etki ve korku, COVİD döneminde hem iş, hem de eğlence amaçlı uçuşlar için önemli belirleyicilerdir ve potansiyel yolcuların uçmaktan kaçınmak istemelerinin açık bir nedenidir  (Lamb, vd. 2020:5). Bununla birlikte Uluslararası Havayolu Taşımacılığı Derneği’ne göre havayolu taşımacılığı, pandemi riskleri açısından değerlendirildiğinde beş özelliği ile en güvenilir toplu ulaşım aracıdır. İlk olarak maske konusunda uçak personeli sürekli takip yapmakta ve uyarılarda bulunmaktadır. İkinci olarak yolcular aynı yöne baktıkları için yüz yüze temas azdır, koltukları yüksek olması nedeniyle arkadaki yolcularla temas bulunmamaktadır,  bir diğer unsur her yolcunun başının üzerinde yer alan temiz hava kanalları aşağı doğru hava üfleyerek arkadan öne hava akımını engellemektedir. Hepa filtreler her 2-3 dakikada bir havayı değiştirerek hastane kalitesinde temiz hava sağlamaktadır (IATA, 2021b).    </w:t>
      </w:r>
    </w:p>
    <w:p w14:paraId="07AA081F" w14:textId="77777777" w:rsidR="00057033" w:rsidRPr="00164238" w:rsidRDefault="00057033" w:rsidP="00057033">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Yakın geçmişteki salgınlardan farklı olarak tüm dünyayı etkileyen ve etkilemeye devam eden Pandemi baskısı altında normal kavramı bile yeniden tanımlanmakta ve yeni normal olarak ifade edilmektedir. Pandemi sonrasında da birçok şeyin eskisi gibi olmayacağı, havayolu ile ilgili tercih ve beklentilerin de bu durumdan etkileneceğine kesin gözüyle bakılmaktadır. Bu çalışmada tüketicilerin pandemi döneminde ve pandemi sonrasında hava yolu tercihleri ile havayollarından beklentileri araştırılmıştır. Tüketicilerin pandemi dönemindeki havayolu tercihlerine ilişkin literatürdeki çalışmaların sınırlı olması nedeniyle bu konu üzerinde çalışılmaya muhtaç bir konu olarak karşımıza çıkmaktadır. Çalışma kapsamında COVİD 19 pandemi koşullarının havayolları tercih ve beklentilerine ilişkin literatürde yer almayan farklı değişkenlerin belirlenebilmesi amaçlanmakta olup COVİD 19 sürecinin havayolu tercih ve beklentilerine ilişkin olarak niteliksel araştırma yöntemlerinden birisi olan derinlemesine mülakat tekniği kullanılarak 12 kişiyle görüşme gerçekleştirilmiş ve bulgular analiz edilmiştir. COVİD 19 koşullarında derinlemesine mülakatların yüz yüze yapılmak yerine telefonda yapılması çalışmanın sınırlılığı olarak değerlendirilmektedir. COVİD 19 baskısı bu çalışmanın yapıldığı dönemde davam etmektedir ve süreç uzadıkça tüketici beklentilerinin de değişmesi muhtemeldir. Sonraki çalışmalarda bu bulguların da dahil edildiği ölçeklerle farklı zamanlarda farklı gruplara yönelik </w:t>
      </w:r>
      <w:r w:rsidRPr="00164238">
        <w:rPr>
          <w:rFonts w:ascii="Times New Roman" w:hAnsi="Times New Roman" w:cs="Times New Roman"/>
          <w:color w:val="000000" w:themeColor="text1"/>
        </w:rPr>
        <w:lastRenderedPageBreak/>
        <w:t xml:space="preserve">yürütülecek çalışma sonuçlarının literatüre ve uygulamacılara önemli katkılar sağlayacağı öngörülmektedir. </w:t>
      </w:r>
    </w:p>
    <w:p w14:paraId="21064995" w14:textId="5437C417" w:rsidR="00057033" w:rsidRPr="00164238" w:rsidRDefault="00057033" w:rsidP="00057033">
      <w:pPr>
        <w:tabs>
          <w:tab w:val="left" w:pos="284"/>
        </w:tabs>
        <w:jc w:val="both"/>
        <w:rPr>
          <w:rFonts w:ascii="Times New Roman" w:hAnsi="Times New Roman" w:cs="Times New Roman"/>
          <w:color w:val="000000" w:themeColor="text1"/>
        </w:rPr>
      </w:pPr>
      <w:r w:rsidRPr="00164238">
        <w:rPr>
          <w:rFonts w:ascii="Times New Roman" w:hAnsi="Times New Roman" w:cs="Times New Roman"/>
          <w:b/>
          <w:color w:val="000000" w:themeColor="text1"/>
        </w:rPr>
        <w:tab/>
      </w:r>
      <w:r w:rsidRPr="00164238">
        <w:rPr>
          <w:rFonts w:ascii="Times New Roman" w:hAnsi="Times New Roman" w:cs="Times New Roman"/>
          <w:b/>
          <w:color w:val="000000" w:themeColor="text1"/>
        </w:rPr>
        <w:tab/>
        <w:t>Tüketicilerin Havayolu Tercihlerini Etkileyen Unsurlar</w:t>
      </w:r>
    </w:p>
    <w:p w14:paraId="0941AC12" w14:textId="77777777" w:rsidR="00057033" w:rsidRPr="00164238" w:rsidRDefault="00057033" w:rsidP="00057033">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Tüketicilerin havayolu tercihlerindeki öncelikleri ve beklentileri çok sayıdaki araştırmaya konu olmuştur. ABD’de 1975 Havacılık Yasası olarak bilinen havayolu endüstrisinin ekonomik düzenlemesinin amacı, mümkün olan en düşük maliyetle mümkün olan en iyi hizmeti veren bir sisteme sahip olmaktı (MacAvoy, Snow, 1977). En iyi hizmet oldukça bir göreceli kavram olup kişiden kişiye, durumdan duruma değişiklik gösterebilmektedir. Hizmet kalitesi tüketici havayolu tercihleri üzerinde en büyük etkiye sahip unsurlardan birisidir. Havayolu müşterileri sadece düşük fiyatları değil, aynı zamanda diğer hizmet kalitesi unsurlarını da önemsemektedir</w:t>
      </w:r>
      <w:r w:rsidRPr="00164238">
        <w:rPr>
          <w:rFonts w:ascii="Times New Roman" w:hAnsi="Times New Roman" w:cs="Times New Roman"/>
          <w:noProof/>
          <w:color w:val="000000" w:themeColor="text1"/>
        </w:rPr>
        <w:t xml:space="preserve"> (Yang, vd. 52)</w:t>
      </w:r>
      <w:r w:rsidRPr="00164238">
        <w:rPr>
          <w:rFonts w:ascii="Times New Roman" w:hAnsi="Times New Roman" w:cs="Times New Roman"/>
          <w:color w:val="000000" w:themeColor="text1"/>
        </w:rPr>
        <w:t xml:space="preserve">. Alamdari’nin (1999:203) çalışması uçak içi kişisel eğlence sistemlerinin yolcuların havayolu seçimini etkileyen birincil faktörler arasında yer almamasına rağmen, yolcuların havayolu hizmetlerinden memnuniyetine büyük katkı sağladığını göstermektedir. Hess vd. (2007:221) araştırmaları sonucunda bilet fiyatlarının en önemli unsur olduğunu, sonrasında erişim süresi, uçuş saatleri ve havayolu ve havaalanı sadakati geldiğini belirtirken,  Ostrowski vd.nin (1993: 16) araştırma sonuçları hizmet kalitesinin ve sadakatin tüketiciler açısından bilet fiyatlarından daha önemli olduğunu göstermektedir. Clemes’in (2008: 50)  428 kişi ile yürüttükleri anket çalışmasının sonuçlarına göre dakiklik, güvence, rahatlık, yardımseverlik, konfor, yemekler ile emniyet ve güvenlik uluslararası havayolu taşımacılığında algılanan hizmet kalitesi ile ilişkili görülmüş bunların arasında emniyet ve güvenlik en önemli unsur olarak bulunmuştur. Greghi vd. nin (2013; 27), Brezilya’daki araştırmalarında katılımcılar tarafından, gecikme ve iptaller, bagaj kaybı ve çifte rezervasyon havayolları ile ilgili havaalanındaki rahatsızlıklar, koltuk ve kabin alanı ise hava yolculuğu sırasındaki büyük rahatsızlıklar olarak belirtilmektedir. Chang ve Hung’un (2013; 29) çalışmasının sonuçları düşük fiyatlı havayolları segmentinde daha ucuz fiyatların ve uygun rezervasyon kanallarının yolcuların bu firmaları daha kısa sürede benimseyebileceğini,  havayolunun olumsuz imajı ve güvenlik düşüncelerinin ise sadakat sürecini aksatabileceğini göstermektedir. </w:t>
      </w:r>
      <w:r w:rsidRPr="00164238">
        <w:rPr>
          <w:rFonts w:ascii="Times New Roman" w:hAnsi="Times New Roman" w:cs="Times New Roman"/>
          <w:noProof/>
          <w:color w:val="000000" w:themeColor="text1"/>
        </w:rPr>
        <w:t>Hussain</w:t>
      </w:r>
      <w:r w:rsidRPr="00164238">
        <w:rPr>
          <w:rFonts w:ascii="Times New Roman" w:hAnsi="Times New Roman" w:cs="Times New Roman"/>
          <w:color w:val="000000" w:themeColor="text1"/>
        </w:rPr>
        <w:t xml:space="preserve"> vd. (2015;67) Dubai merkezli bir havayolları firmasının 253 müşterisinde anket uyguladıkları ve yapısal eşitlik modeli kullandıkları araştırmalarında hizmet kalitesi, algılanan değer ve marka imajının müşteri tatmini açısından olumlu etkisi olduğu sonucuna ulaşmışlardır. Milioti vd. (2015; 46), 853 katılımcıdan oluşan bir örneklem için verileri analiz etmek üzere üç Çok Değişkenli Probit modeli geliştirilmiştir. Çalışmalarının sonuçlarına göre ücret, güvenlik, uçuş sırasında güler yüzlü yardımsever personel ile havayolunun imajı, ankete katılanların çoğunluğu tarafından havayolu seçimini etkileyen önemli faktörler olarak görülmektedir. Kurtulmuşoğlu vd (2016; 130), Stokastik Çok Ölçütlü Kabul Edilebilirlik Analizi-2 (SMAA-2) ile yolcuların havayolunu belirlerken önceliklerini araştırmışlardır. 348 kişi ile yapılan anket çalışmalarının sonucunda havayolu tercihlerini sırasıyla bilet fiyatları, dakiklik ve rezervasyon kolaylığının belirlediği sonucuna ulaşmışlardır. Uçak içi yiyecek ve içeceklerin ücretsiz, çeşitli ve kaliteli olması ile seyahat millerinin havayollarının sıralaması üzerinde hiçbir etkisinin olmadığı görülmüştür. Hizmet beklentisinin temel unsurlarından birisi ise temizliktir. Park ve Almanza (2020:738) 315 kişiyle yapmış oldukları araştırmalarında, İkramlar, uçuş görevlileri ve tuvaletlerin temizliği havayolu tercih eden yolcuların temizlik unsurlarıdır ve temizliğin kadın, yaşlı ve daha az deneyimli yolcularda daha önemli hale gelmektedir. Anket uygulanan kişilerin üçte birine yakını uçaklardaki temizliğe güvenmeyip uçak yolculuğundan hasta olmalarını önlemek için aktif önlemler alacak kadar endişelenmektedir. </w:t>
      </w:r>
    </w:p>
    <w:p w14:paraId="3772D5B1" w14:textId="77777777" w:rsidR="00057033" w:rsidRPr="00164238" w:rsidRDefault="00057033" w:rsidP="00057033">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Literatürde, pandemi dönemlerinde havayolu endüstrisi ile ilgili farklı çalışmalar bulunmakla birlikte  (Debachine vd. 2020, Maneenop vd. 2020, Albers ve Rundshagen, 2020), pandemi döneminde </w:t>
      </w:r>
      <w:r w:rsidRPr="00164238">
        <w:rPr>
          <w:rFonts w:ascii="Times New Roman" w:hAnsi="Times New Roman" w:cs="Times New Roman"/>
          <w:color w:val="000000" w:themeColor="text1"/>
        </w:rPr>
        <w:lastRenderedPageBreak/>
        <w:t xml:space="preserve">tüketicilerin havayolları tercihleri ile ilgili çalışmaların sınırlı olduğu görülmektedir. Domuz gribi (H1N1) önleyici hizmetlerin algılanan önemi ve memnuniyetini değerlendirmek için yürütülen araştırmada araştırmaya katılanlar şüpheli enfekte yolcuları diğerlerinden ayırmak ve kabinde dolaşan havanın kalitesini korumak en önemli önlemler olarak görülmüştür, ardından bir yolcunun grip olduğundan şüpheleniliyorsa kabinin dezenfekte edilmesi ve bu yolcuya belirli mürettebatın yardımcı olması izlemektedir. Yolculardan maske takmalarını istemek "düşük öneme sahip olarak derecelendirilmiştir. "Yolcular için H1N1 değerlendirme formlarının sağlanması ve "mürettebat üyelerinden tek kullanımlık eldivenler giymelerini istemek uçuş sırasında ”en az önemli olarak algılanmıştır </w:t>
      </w:r>
      <w:sdt>
        <w:sdtPr>
          <w:rPr>
            <w:rFonts w:ascii="Times New Roman" w:hAnsi="Times New Roman" w:cs="Times New Roman"/>
            <w:color w:val="000000" w:themeColor="text1"/>
          </w:rPr>
          <w:id w:val="819465878"/>
          <w:citation/>
        </w:sdtPr>
        <w:sdtContent>
          <w:r w:rsidRPr="00164238">
            <w:rPr>
              <w:rFonts w:ascii="Times New Roman" w:hAnsi="Times New Roman" w:cs="Times New Roman"/>
              <w:color w:val="000000" w:themeColor="text1"/>
            </w:rPr>
            <w:fldChar w:fldCharType="begin"/>
          </w:r>
          <w:r w:rsidRPr="00164238">
            <w:rPr>
              <w:rFonts w:ascii="Times New Roman" w:hAnsi="Times New Roman" w:cs="Times New Roman"/>
              <w:color w:val="000000" w:themeColor="text1"/>
            </w:rPr>
            <w:instrText xml:space="preserve">CITATION Cho11 \p 228 \l 1055 </w:instrText>
          </w:r>
          <w:r w:rsidRPr="00164238">
            <w:rPr>
              <w:rFonts w:ascii="Times New Roman" w:hAnsi="Times New Roman" w:cs="Times New Roman"/>
              <w:color w:val="000000" w:themeColor="text1"/>
            </w:rPr>
            <w:fldChar w:fldCharType="separate"/>
          </w:r>
          <w:r w:rsidRPr="00164238">
            <w:rPr>
              <w:rFonts w:ascii="Times New Roman" w:hAnsi="Times New Roman" w:cs="Times New Roman"/>
              <w:noProof/>
              <w:color w:val="000000" w:themeColor="text1"/>
            </w:rPr>
            <w:t>(Chou &amp; Lu, 2011, s. 228)</w:t>
          </w:r>
          <w:r w:rsidRPr="00164238">
            <w:rPr>
              <w:rFonts w:ascii="Times New Roman" w:hAnsi="Times New Roman" w:cs="Times New Roman"/>
              <w:color w:val="000000" w:themeColor="text1"/>
            </w:rPr>
            <w:fldChar w:fldCharType="end"/>
          </w:r>
        </w:sdtContent>
      </w:sdt>
      <w:r w:rsidRPr="00164238">
        <w:rPr>
          <w:rFonts w:ascii="Times New Roman" w:hAnsi="Times New Roman" w:cs="Times New Roman"/>
          <w:color w:val="000000" w:themeColor="text1"/>
        </w:rPr>
        <w:t xml:space="preserve">. </w:t>
      </w:r>
      <w:bookmarkStart w:id="43" w:name="bau0005"/>
      <w:r w:rsidRPr="00164238">
        <w:rPr>
          <w:rFonts w:ascii="Times New Roman" w:hAnsi="Times New Roman" w:cs="Times New Roman"/>
          <w:color w:val="000000" w:themeColor="text1"/>
        </w:rPr>
        <w:t xml:space="preserve"> </w:t>
      </w:r>
      <w:hyperlink r:id="rId74" w:anchor="!" w:history="1">
        <w:r w:rsidRPr="00164238">
          <w:rPr>
            <w:rFonts w:ascii="Times New Roman" w:hAnsi="Times New Roman" w:cs="Times New Roman"/>
            <w:color w:val="000000" w:themeColor="text1"/>
          </w:rPr>
          <w:t>Monmousseau</w:t>
        </w:r>
      </w:hyperlink>
      <w:bookmarkEnd w:id="43"/>
      <w:r w:rsidRPr="00164238">
        <w:rPr>
          <w:rFonts w:ascii="Times New Roman" w:hAnsi="Times New Roman" w:cs="Times New Roman"/>
          <w:color w:val="000000" w:themeColor="text1"/>
        </w:rPr>
        <w:t xml:space="preserve"> vd. (2020:9) COVİD-19 salgınında uygulanan seyahat kısıtlama önlemlerinin ABD hava taşımacılığı sistemine yolcu perspektifinden etkisini analiz etmeyi amaçlamaktadır. Yolcular ve havayolları tarafından sosyal medyada oluşturulan verilere dayalı uçuş iptali, geri ödeme, duygusal farklılıklar ve empati olmak üzere dört ölçüm önerilmiştir. Seyahat kısıtlama önlemlerinde ücret, erişim süresi ve yolculuk süresine göre seçim yapan yolcular ile havayolları arasındaki ilişkiyi bu ölçümler üzerinden ölçmek mümkün olduğu belirtilmektedir.  </w:t>
      </w:r>
    </w:p>
    <w:p w14:paraId="4B7CAA66" w14:textId="77777777" w:rsidR="00057033" w:rsidRPr="00164238" w:rsidRDefault="00057033" w:rsidP="00057033">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Araştırmalar günlük aktivite katılımı ve sosyodemografik özellikler seyahat memnuniyetini önemli ölçüde etkilediğini göstermektedir (Khaddar, Fatmi 2021:5). Graham vd. nin(2020), 65 yaş üstü 600 kişiyle yürüttükleri anket çalışmasının sonuçlarına göre esnek bilet rezervasyonu bu tür yolcular için kilit bir öncelik olmayıp, sınırlı satış ve ikram servisinin havayolu tercihlerini değiştireceğini belirtenlerin oranı oldukça düşüktür. Self servis uygulamalarının da önem derecesi düşüktür. Araştırmaya katılan yolcular tarafından havaalanına gidiş gelişlerdeki, COVID-19'a yakalanma riski, terminal içinde veya uçakta olduğundan daha az olarak algılanmaktadır. Katılımcılar, güvenli bir yolculuk algısına katkıda bulunan en önemli unsurlar olarak sosyal mesafeyi, düzenli temizlik ve zorunlu maske kullanımını sıralamaktadır. </w:t>
      </w:r>
    </w:p>
    <w:p w14:paraId="08A1EAF7" w14:textId="77777777" w:rsidR="00057033" w:rsidRPr="00164238" w:rsidRDefault="00057033" w:rsidP="00057033">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Traustadóttir’in (2020:1) araştırmasındaki bulgular, COVİD-19 döneminde havayolu sektöründeki ürün ve hizmetlerle ilgili müşteri tercihlerinin etkilendiğini ortaya koymaktadır. Yolcuların birincil endişeleri sağlık ve güvenlik olup bu nedenle yeni ürünler ve hizmetler talep edilmektedir. Müşteriler seyahat ederken COVİD-19 sterilizasyon paketi ve hijyen ekipmanları istemektedirler. Park vd. (2020:1) çalışmasına göre temizlik, ikram ve uçak içi eğlence gibi unsurlarının kalitesi, müşteri tercihlerini etkilemektedir ve müşteri hizmetleri, check-in, uçağa biniş gibi diğer hizmetlerdeki eksiklikler müşteri memnuniyetsizliğini arttırmaktadır. Temizlik ve hijyen COVİD-19'a karşı korunmanın ana yollarından biri olduğundan bu hizmet motive edici fazladan bir faktör olmaktan çok havayolları için bir zorunluk olmaktadır. Havayolu ulaşımını tercih eden tüketiciler temas noktalarını en aza indirmek istemektedir. Hijyen sadece uçak içerisinde koltuklarda, havaalanlarında değil elektronik araçların kullanımında da istenmektedir. Tüketicilerin beklentisi doğrultusunda havayolu firmaları, yolculara temassız teknoloji sağlamak için yoğun çaba harcamaktadır (Fox, 2020). </w:t>
      </w:r>
    </w:p>
    <w:p w14:paraId="46BFCC63" w14:textId="77777777" w:rsidR="00057033" w:rsidRPr="00164238" w:rsidRDefault="00057033" w:rsidP="00057033">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COVİD 19 dönemi ve havayolu tercihleri ile ilgili Samancı vd. (2021) tarafından 449 tüketici üzerinde yürütülen çalışmanın sonuçları salgın dönemlerinde havayollarının hizmet kalitesine ilişkin unsurlar uçuş sırasında sosyal mesafe ve hijyen, bilgi farkındalığı ve enfeksiyon uyarı prosedürü olarak üç ana boyutta sınıflandırılmaktadır</w:t>
      </w:r>
      <w:r w:rsidRPr="00164238">
        <w:rPr>
          <w:rFonts w:ascii="Times New Roman" w:hAnsi="Times New Roman" w:cs="Times New Roman"/>
          <w:noProof/>
          <w:color w:val="000000" w:themeColor="text1"/>
        </w:rPr>
        <w:t xml:space="preserve"> (Samanci, 2021:1)</w:t>
      </w:r>
      <w:r w:rsidRPr="00164238">
        <w:rPr>
          <w:rFonts w:ascii="Times New Roman" w:hAnsi="Times New Roman" w:cs="Times New Roman"/>
          <w:color w:val="000000" w:themeColor="text1"/>
        </w:rPr>
        <w:t xml:space="preserve">. Polat vd.nin (2020:627), 395 anket üzerinde PLS-SEM kullanarak değerlendirdikleri çalışmalarının sonuçlarına göre COVİD 19 döneminde kişilerin havayolu kullanma niyetlerinin belirleyicisi olarak sırasıyla güven, algılanan risk, algılanan değer ve alışkanlıklar gelmektedir. Sosyal normların ise etkisi bulunmamaktadır.  </w:t>
      </w:r>
    </w:p>
    <w:p w14:paraId="4710D6D1" w14:textId="77777777" w:rsidR="00057033" w:rsidRPr="00164238" w:rsidRDefault="00057033" w:rsidP="00057033">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Zeren ve Kara’nın (2021:1), 567 tüketici üzerinde yürüttükleri araştırma sonuçları marka mirasının satın alma niyetleri üzerinde önemli bir pozitif etkiye sahip olduğunu ortaya koymakta, </w:t>
      </w:r>
      <w:r w:rsidRPr="00164238">
        <w:rPr>
          <w:rFonts w:ascii="Times New Roman" w:hAnsi="Times New Roman" w:cs="Times New Roman"/>
          <w:color w:val="000000" w:themeColor="text1"/>
        </w:rPr>
        <w:lastRenderedPageBreak/>
        <w:t xml:space="preserve">COVİD-19 salgını gibi belirsiz zamanlarda, tüketicilerin güvenebilecekleri markalara güvenmeye daha istekli olduğunu göstermektedir. Jin vd.(2020:147) araştırma sonuçlarına göre COVİD 19’a karşı engelleyici önlemlerin alındığına dair müşteri güvenini sağlamak havayoluna olan talebi arttırmak için en önemli unsurdur. İkinci olarak ise fiyat politikasının makul düzeylere çekilerek desteklenmesi gerekmektedir </w:t>
      </w:r>
    </w:p>
    <w:p w14:paraId="6C0DFC7F" w14:textId="6659C694" w:rsidR="00057033" w:rsidRPr="00164238" w:rsidRDefault="00057033" w:rsidP="00057033">
      <w:pPr>
        <w:ind w:firstLine="708"/>
        <w:jc w:val="both"/>
        <w:rPr>
          <w:rFonts w:ascii="Times New Roman" w:hAnsi="Times New Roman" w:cs="Times New Roman"/>
          <w:b/>
          <w:color w:val="000000" w:themeColor="text1"/>
        </w:rPr>
      </w:pPr>
      <w:r w:rsidRPr="00164238">
        <w:rPr>
          <w:rFonts w:ascii="Times New Roman" w:hAnsi="Times New Roman" w:cs="Times New Roman"/>
          <w:b/>
          <w:color w:val="000000" w:themeColor="text1"/>
        </w:rPr>
        <w:t xml:space="preserve">Araştırma: </w:t>
      </w:r>
    </w:p>
    <w:p w14:paraId="6F9C758A" w14:textId="76CF0AA6" w:rsidR="00057033" w:rsidRPr="00164238" w:rsidRDefault="00057033" w:rsidP="00057033">
      <w:pPr>
        <w:ind w:firstLine="708"/>
        <w:jc w:val="both"/>
        <w:rPr>
          <w:rFonts w:ascii="Times New Roman" w:hAnsi="Times New Roman" w:cs="Times New Roman"/>
          <w:b/>
          <w:color w:val="000000" w:themeColor="text1"/>
        </w:rPr>
      </w:pPr>
      <w:r w:rsidRPr="00164238">
        <w:rPr>
          <w:rFonts w:ascii="Times New Roman" w:hAnsi="Times New Roman" w:cs="Times New Roman"/>
          <w:b/>
          <w:color w:val="000000" w:themeColor="text1"/>
        </w:rPr>
        <w:t xml:space="preserve">Amaç, Kapsam ve Yöntem </w:t>
      </w:r>
    </w:p>
    <w:p w14:paraId="6056346E" w14:textId="77777777" w:rsidR="00057033" w:rsidRPr="00164238" w:rsidRDefault="00057033" w:rsidP="00057033">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Pandemi dönemindeki tüketicilerin havayolu tercih ve beklentileri ile ilgili çalışmaların sınırlılıkları göz önüne alındığında tercih ve beklentileri etkileyen farklı unsurları belirleyebilmek amacıyla derinlemesine mülakat yöntemiyle niteliksel bir analiz yapılmıştır.  Samancı vd (2021: 7) farklı gruplarda COVİD’in havayollarına tercihlerine etkisinin araştırılması önerisi dikkate alınarak mülakat yapılacak kişiler uçuş sıklıklarına göre hiç binmeyen, az binen(3 ve daha az)  ve sık binen (10’dan fazla) olmak üzere 4’er kişilik üç gruba ayrılmıştır. Nitel araştırmada, örneklem büyüklüğünün belirlenmesi bağlamsal ve kısmen araştırmanın gerçekleştiği bilimsel paradigmaya bağlı olmakla birlikte 12 mülakat yorum yapabilmek için yeterli bir sayı olarak görülmektedir (Boddy, 2016:426). Açık uçlu sorular sorularak pandemi döneminin havayolu tercihlerine ve havayolu sektöründen gelecek beklentilerine yönelik literatürde yer almayan unsurlara ulaşılması hedeflenmiştir. </w:t>
      </w:r>
    </w:p>
    <w:p w14:paraId="67450FF5" w14:textId="68B7FFD5" w:rsidR="00057033" w:rsidRPr="00164238" w:rsidRDefault="00057033" w:rsidP="00057033">
      <w:pPr>
        <w:ind w:firstLine="708"/>
        <w:jc w:val="both"/>
        <w:rPr>
          <w:rFonts w:ascii="Times New Roman" w:hAnsi="Times New Roman" w:cs="Times New Roman"/>
          <w:b/>
          <w:color w:val="000000" w:themeColor="text1"/>
        </w:rPr>
      </w:pPr>
      <w:r w:rsidRPr="00164238">
        <w:rPr>
          <w:rFonts w:ascii="Times New Roman" w:hAnsi="Times New Roman" w:cs="Times New Roman"/>
          <w:b/>
          <w:color w:val="000000" w:themeColor="text1"/>
        </w:rPr>
        <w:t xml:space="preserve">Bulgular ve Tartışma </w:t>
      </w:r>
    </w:p>
    <w:p w14:paraId="5F821334" w14:textId="77777777" w:rsidR="00057033" w:rsidRPr="00164238" w:rsidRDefault="00057033" w:rsidP="00057033">
      <w:pPr>
        <w:ind w:firstLine="708"/>
        <w:jc w:val="both"/>
        <w:rPr>
          <w:rFonts w:ascii="Times New Roman" w:hAnsi="Times New Roman" w:cs="Times New Roman"/>
          <w:color w:val="000000" w:themeColor="text1"/>
        </w:rPr>
      </w:pPr>
      <w:r w:rsidRPr="00164238">
        <w:rPr>
          <w:rFonts w:ascii="Times New Roman" w:hAnsi="Times New Roman" w:cs="Times New Roman"/>
          <w:b/>
          <w:color w:val="000000" w:themeColor="text1"/>
        </w:rPr>
        <w:t>Mülakat içerisinde öncelikle mülakat yapılan kişiye pandemi döneminde tren, otobüs gibi toplu taşıma araçlarına göre havayolu tercihini etkileyen faktörler</w:t>
      </w:r>
      <w:r w:rsidRPr="00164238">
        <w:rPr>
          <w:rFonts w:ascii="Times New Roman" w:hAnsi="Times New Roman" w:cs="Times New Roman"/>
          <w:color w:val="000000" w:themeColor="text1"/>
        </w:rPr>
        <w:t xml:space="preserve"> sorulmuştur. İki katılımcı (hiç binmeyen, sık binen) sadece mesafeler çok uzun olursa uçağı tercih edeceğini mesafelerin uzun olmaması halinde treni daha geniş oturma mesafelerinin ve daha büyük olmasından dolayı tercih edeceğini belirtmiştir. Şahbaz ve Yüksel’in(2208:197)araştırmasında trenler güvenlik, ekonomiklik, sosyallik ve çevreyle dost olma özellikleriyle diğer ulaştırma araçlarına göre daha fazla tercih edilmektedirler.</w:t>
      </w:r>
    </w:p>
    <w:p w14:paraId="1C278CA2" w14:textId="77777777" w:rsidR="00057033" w:rsidRPr="00164238" w:rsidRDefault="00057033" w:rsidP="00057033">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Mülakat yapılan iki kişi %50 yolcu sınırlaması dönemlerinde uçak bileti fiyatlarının oldukça yüksek olmasından dolayı otobüsle seyahat etmek zorunda olduklarını ve ifade etmiştir. Diğer katılımcılar için ise havayolu taşımacılığı birinci tercihtir. Pandemi döneminde havayolları tercihinde havayolu şirketlerinin yatırım kapasitesi, kurumsal yapıları, uçaklardaki filtrelerin daha fazla güven verdiği, havaalanındaki koşulların daha kontrollü hijyen malzemeleri daha profesyonel olduğu, kontrol ve denetimlerin daha iyi olduğu ve daha iyi temizlendiği belirtilmektedir. Bir başka katılımcı tarafından uçakta dağıtılan hijyen kitlerinin önemli bir faktör olduğu ve havayolu işletmelerinin vermiş olduğu yer ve kabin hizmetlerindeki hijyen şartlarının da önemli olduğu vurgulanmıştır.  </w:t>
      </w:r>
    </w:p>
    <w:p w14:paraId="344AD50E" w14:textId="77777777" w:rsidR="00057033" w:rsidRPr="00164238" w:rsidRDefault="00057033" w:rsidP="00057033">
      <w:pPr>
        <w:ind w:left="709" w:right="1134"/>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“Havayolu firmaları daha büyük yatırımlar yapabilen, daha kurumsal firmalar. Uçaklar daha teknolojik araçlar bu sebeple havayoluna daha çok güveniyorum”    </w:t>
      </w:r>
    </w:p>
    <w:p w14:paraId="35DC4863" w14:textId="77777777" w:rsidR="00057033" w:rsidRPr="00164238" w:rsidRDefault="00057033" w:rsidP="00057033">
      <w:pPr>
        <w:ind w:firstLine="708"/>
        <w:jc w:val="both"/>
        <w:rPr>
          <w:rFonts w:ascii="Times New Roman" w:hAnsi="Times New Roman" w:cs="Times New Roman"/>
          <w:b/>
          <w:color w:val="000000" w:themeColor="text1"/>
        </w:rPr>
      </w:pPr>
      <w:r w:rsidRPr="00164238">
        <w:rPr>
          <w:rFonts w:ascii="Times New Roman" w:hAnsi="Times New Roman" w:cs="Times New Roman"/>
          <w:b/>
          <w:color w:val="000000" w:themeColor="text1"/>
        </w:rPr>
        <w:t xml:space="preserve">Katılımcılara yöneltilen bir diğer açık uçlu soru pandemi döneminde havayolu firmaları tercihlerindeki beklentilerdir. </w:t>
      </w:r>
      <w:r w:rsidRPr="00164238">
        <w:rPr>
          <w:rFonts w:ascii="Times New Roman" w:hAnsi="Times New Roman" w:cs="Times New Roman"/>
          <w:color w:val="000000" w:themeColor="text1"/>
        </w:rPr>
        <w:t xml:space="preserve">Katılımcıların tercihlerini etkileyen en önemli unsurların HES kodu uygulaması, hijyen, mesafe, aşı gibi COVİD baskısı altındaki önlemlerin olduğu görülmektedir.  Bu başlık altında koltuk mesafeleri, uçağın yolcu kapasitesi, oturma düzeni, hijyen faktörlerinin sağlanıp sağlanmadığı, her uçuştan sonra uçağın dezenfekte edilmesi, aşı test kriterinin sağlanıp sağlanmadığı, </w:t>
      </w:r>
      <w:r w:rsidRPr="00164238">
        <w:rPr>
          <w:rFonts w:ascii="Times New Roman" w:hAnsi="Times New Roman" w:cs="Times New Roman"/>
          <w:color w:val="000000" w:themeColor="text1"/>
        </w:rPr>
        <w:lastRenderedPageBreak/>
        <w:t xml:space="preserve">ikram servislerinin bulunmaması, uçak kalktıktan sonra yolcuların yer değişimine izin vermesi gibi unsurlar yer almaktadır.        </w:t>
      </w:r>
    </w:p>
    <w:p w14:paraId="5ED1D0AF" w14:textId="77777777" w:rsidR="00057033" w:rsidRPr="00164238" w:rsidRDefault="00057033" w:rsidP="00057033">
      <w:pPr>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Katılımcılardan biri sosyal medyada yer alan yorumları okuyacağını diğer dördü ise bu konularda kişisel araştırma yapmadan markaya önem verdiğini kurumsal yapısı nedeniyle fiyatı diğer markalardan biraz yüksek olsa bile THY markasını seçeceğini belirtmektedir. Araştırmaya katılan diğer iki kişi havayolu işletmesi markasının önemli olduğunu belirtmektedir. Bu bulgular Zeren ve Kara’nın (2021:1) bulgularıyla örtüşmektedir. İki katılımcı fiyat ölçütünün tercihlerinde belirleyici rol oynadığını ve diğer iki kişi ise uçakla seyahat etmemelerine rağmen bir tercih yapmaları gerektiğinde ise uçak bileti fiyatlarına göre karar verdiklerini ifade etmiştir. Fiyatın havayolu tercihlerindeki belirleyici etkisi farklı araştırmalardaki bulgularla da aynı yöndedir (Milioti vd. 2015; 46; Kurtulmuşoğlu vd 2016; 130; Shen ve Yahya’nın 2021: 1). Havayolu tercihlerinde diğer faktörler olarak kısıtlamalar ve vaka sayıları sürekli değiştiği için biletlerin iade değişim kurallarının esnekliğini öne çıkarmaktadır. </w:t>
      </w:r>
    </w:p>
    <w:p w14:paraId="323FB7CB" w14:textId="77777777" w:rsidR="00057033" w:rsidRPr="00164238" w:rsidRDefault="00057033" w:rsidP="00057033">
      <w:pPr>
        <w:ind w:left="567" w:right="992"/>
        <w:jc w:val="both"/>
        <w:rPr>
          <w:rFonts w:ascii="Times New Roman" w:hAnsi="Times New Roman" w:cs="Times New Roman"/>
          <w:color w:val="000000" w:themeColor="text1"/>
        </w:rPr>
      </w:pPr>
      <w:r w:rsidRPr="00164238">
        <w:rPr>
          <w:rFonts w:ascii="Times New Roman" w:hAnsi="Times New Roman" w:cs="Times New Roman"/>
          <w:color w:val="000000" w:themeColor="text1"/>
        </w:rPr>
        <w:t>“THY markasına sadakatim oldukça yüksek benim sağlığım için bir önlem alınması gerekiyorsa eminim ki alıyorlardır.”</w:t>
      </w:r>
    </w:p>
    <w:p w14:paraId="517AC801" w14:textId="77777777" w:rsidR="00057033" w:rsidRPr="00164238" w:rsidRDefault="00057033" w:rsidP="00057033">
      <w:pPr>
        <w:ind w:firstLine="567"/>
        <w:jc w:val="both"/>
        <w:rPr>
          <w:rFonts w:ascii="Times New Roman" w:hAnsi="Times New Roman" w:cs="Times New Roman"/>
          <w:color w:val="000000" w:themeColor="text1"/>
        </w:rPr>
      </w:pPr>
      <w:r w:rsidRPr="00164238">
        <w:rPr>
          <w:rFonts w:ascii="Times New Roman" w:hAnsi="Times New Roman" w:cs="Times New Roman"/>
          <w:b/>
          <w:color w:val="000000" w:themeColor="text1"/>
        </w:rPr>
        <w:t xml:space="preserve">Pandemi döneminde havayolu diğer toplu taşıma araçlarına sağlık açısından daha mı güvenlidir? sorusuna </w:t>
      </w:r>
      <w:r w:rsidRPr="00164238">
        <w:rPr>
          <w:rFonts w:ascii="Times New Roman" w:hAnsi="Times New Roman" w:cs="Times New Roman"/>
          <w:color w:val="000000" w:themeColor="text1"/>
        </w:rPr>
        <w:t xml:space="preserve">katılımcıların ikisi daha güvenli bulmadığını belirtmektedir. Daha güvenli bulmayan katılımcılardan birisi havayolu ulaşımında çok basamak olması nedeniyle bu düşüncede olduğunu belirtmiştir. Havaalanlarının şehir dışında olması nedeniyle toplu ulaşım kullanıldığında havaalanı transferleri, güvenlik uygulamaları, havaalanında bekleme süreleri, uçağa transfer süreci yemek, ikram süreçlerinin eş zamanlı olması ve uzun sürmesi gibi unsurlar belirtilmektedir.  Güvenli bulmayan diğer bir katılımcı ise kısıtlar kalkana kadar yolcuların çapraz oturtulduğunu kısıtlamaların kalkmasıyla sefer sayılarının azaldığını ve koltukların dolu olmasıyla çok sıkışık bir ortamda seyahat edildiğini, tren yolculuğunu bu noktada daha önemli bulduğunu belirtmektedir. </w:t>
      </w:r>
    </w:p>
    <w:p w14:paraId="6E579F5C" w14:textId="77777777" w:rsidR="00057033" w:rsidRPr="00164238" w:rsidRDefault="00057033" w:rsidP="00057033">
      <w:pPr>
        <w:ind w:left="567" w:right="992"/>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“Uçak yolculuğunda çok fazla temas noktası var bu beni kaygılandırıyor ayrıca uçak içerisinde ikram uygulamasını özellikle pandemi döneminde hiç sağlıklı bulmuyorum bir anda maskeler çıkarılıyor ve yeme içme aşaması herkes için risk haline geliyor” </w:t>
      </w:r>
    </w:p>
    <w:p w14:paraId="328973D3" w14:textId="77777777" w:rsidR="00057033" w:rsidRPr="00164238" w:rsidRDefault="00057033" w:rsidP="00057033">
      <w:pPr>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Araştırmaya katılan dört katılımcı uçakla seyahati zorunlu olarak tercih etmek durumunda olduklarını (zamandan tasarruf sağlanması ve mesafelerin uzak olması) ancak uçakla seyahati diğer toplu ulaşım araçlarına göre daha sağlıklı bulduklarını ifade etmiştir. Bir katılımcı çevresinde daha önceden uçuş korkusu olan kişilerin bile pandemiden dolayı diğer araçlara nazaran havayolunu tercih ettiğini belirtmiştir. </w:t>
      </w:r>
    </w:p>
    <w:p w14:paraId="5E2D329A" w14:textId="77777777" w:rsidR="00057033" w:rsidRPr="00164238" w:rsidRDefault="00057033" w:rsidP="00057033">
      <w:pPr>
        <w:ind w:left="567" w:right="992"/>
        <w:jc w:val="both"/>
        <w:rPr>
          <w:rFonts w:ascii="Times New Roman" w:hAnsi="Times New Roman" w:cs="Times New Roman"/>
          <w:color w:val="000000" w:themeColor="text1"/>
        </w:rPr>
      </w:pPr>
      <w:r w:rsidRPr="00164238">
        <w:rPr>
          <w:rFonts w:ascii="Times New Roman" w:hAnsi="Times New Roman" w:cs="Times New Roman"/>
          <w:color w:val="000000" w:themeColor="text1"/>
        </w:rPr>
        <w:t>“İşyerimizde uçuş korkusu olan ve daha önce uçağa binmek istemeyen arkadaşlarımız vardı onlar bile pandemi döneminde sağlık açısından havayollarını daha güvenli bularak uçuş korkularını yenerek uçakla seyahat etmeye başladılar”</w:t>
      </w:r>
    </w:p>
    <w:p w14:paraId="06FB2CB1" w14:textId="77777777" w:rsidR="00057033" w:rsidRPr="00164238" w:rsidRDefault="00057033" w:rsidP="00057033">
      <w:pPr>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Havayolu taşımacılığının diğer toplu taşıma araçlarına göre niçin daha sağlıklı olduğu Uluslararası Havayolu Taşımacılığı Derneğinin (IATA) internet sayfasından paylaşılmaktadır (IATA,  2021b). Bir katılımcı ise pandemi döneminde toplu taşıma araçları araçları arasında Havayolu sektörünün sağlık açısından daha güvenli olduğu konusunda bilgilendirilme ihtiyacı duyduğunu şu sözlerle aktarmaktadır: </w:t>
      </w:r>
    </w:p>
    <w:p w14:paraId="6CEE479B" w14:textId="77777777" w:rsidR="00057033" w:rsidRPr="00164238" w:rsidRDefault="00057033" w:rsidP="00057033">
      <w:pPr>
        <w:ind w:left="709" w:right="992"/>
        <w:jc w:val="both"/>
        <w:rPr>
          <w:rFonts w:ascii="Times New Roman" w:hAnsi="Times New Roman" w:cs="Times New Roman"/>
          <w:color w:val="000000" w:themeColor="text1"/>
        </w:rPr>
      </w:pPr>
      <w:r w:rsidRPr="00164238">
        <w:rPr>
          <w:rFonts w:ascii="Times New Roman" w:hAnsi="Times New Roman" w:cs="Times New Roman"/>
          <w:color w:val="000000" w:themeColor="text1"/>
        </w:rPr>
        <w:lastRenderedPageBreak/>
        <w:t xml:space="preserve">“Havayolunda THY markasına güveniyorum,  fakat havayolunun diğer toplu ulaşım araçlarına göre niçin daha sağlıklı olduğuna dair bilgilendirmeye ihtiyaç duymaktayım” </w:t>
      </w:r>
    </w:p>
    <w:p w14:paraId="0C3E0630" w14:textId="77777777" w:rsidR="00057033" w:rsidRPr="00164238" w:rsidRDefault="00057033" w:rsidP="00057033">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COVİD 19’a karşı engelleyici önlemlerin alındığına dair müşteri güvenini sağlamak havayoluna olan talebi arttırmak için en önemli unsurlardan birisi olduğundan (Jin vd.2020:147) bu bilgilendirilme ihtiyacı ihmal edilmemelidir.</w:t>
      </w:r>
    </w:p>
    <w:p w14:paraId="42802319" w14:textId="77777777" w:rsidR="00057033" w:rsidRPr="00164238" w:rsidRDefault="00057033" w:rsidP="00057033">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Diğer iki katılımcı kısıtlı sayıda yolcu alınması nedeniyle uçak kapasitelerinin azaldığını ve bu durumun fiyatlara olumsuz yansıdığını bu yüzden uçakla seyahat edemediklerini ancak normal zamanlarda uçakla seyahat etmeyi tercih ettiklerini belirtmiştir. Her ne kadar tren, otobüs gibi diğer toplu ulaşım araçlarının uygun olduğunu düşünseler de uçakla seyahatin daha sağlıklı olduğunu düşündüklerini ifade etmiştir.</w:t>
      </w:r>
    </w:p>
    <w:p w14:paraId="48CF50BF" w14:textId="77777777" w:rsidR="00057033" w:rsidRPr="00164238" w:rsidRDefault="00057033" w:rsidP="00057033">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Havayolunu güvenli bulanlar uçaklarda kullanılan teknolojilere, sektörün yatırım kapasitesine, havayolu firmalarının güçlü kurumsal ve finansal yapısına ve fiyatların nispeten yüksek olabilmesi sebebiyle hijyen imkanlarının fazla olabileceğine vurgu yapmaktadır. Bir çok havayolu yolcusu uçak aprona yaklaşmadan kapılara yığılmalarda rahatsızlığını dile getirmekte. Yolculardan kaynaklanan bu olumsuzluklar ise havayolu firmalarının hizmet kalitesindeki eksiklikler ile özdeşleştirilmektedir. </w:t>
      </w:r>
    </w:p>
    <w:p w14:paraId="545980FC" w14:textId="77777777" w:rsidR="00057033" w:rsidRPr="00164238" w:rsidRDefault="00057033" w:rsidP="00057033">
      <w:pPr>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“uçağın aprona yanaşmadan yolcuların ayağa kalkmaları, el bagajlarını aynı anda almaya çalışmaları ve çıkış kapısına doğru yığılması nedeniyle oldukça rahatsızım. Bu durumda sosyal mesafe kavramı ortadan kalkmakta, en az on dakika süren bu yığılma sağlık bakımından risk oluşturmaktadır.  Bu yığılmalara çare bulunmadığı takdirde alınan diğer tedbirlerin faydasız olacağına inanıyorum”  </w:t>
      </w:r>
    </w:p>
    <w:p w14:paraId="08B615F9" w14:textId="77777777" w:rsidR="00057033" w:rsidRPr="00164238" w:rsidRDefault="00057033" w:rsidP="00057033">
      <w:pPr>
        <w:ind w:firstLine="708"/>
        <w:jc w:val="both"/>
        <w:rPr>
          <w:rFonts w:ascii="Times New Roman" w:hAnsi="Times New Roman" w:cs="Times New Roman"/>
          <w:color w:val="000000" w:themeColor="text1"/>
        </w:rPr>
      </w:pPr>
      <w:r w:rsidRPr="00164238">
        <w:rPr>
          <w:rFonts w:ascii="Times New Roman" w:hAnsi="Times New Roman" w:cs="Times New Roman"/>
          <w:b/>
          <w:color w:val="000000" w:themeColor="text1"/>
        </w:rPr>
        <w:t xml:space="preserve">Pandemi dönemi sonrasında havayolu şirketlerinden beklentileriniz nedir? </w:t>
      </w:r>
      <w:r w:rsidRPr="00164238">
        <w:rPr>
          <w:rFonts w:ascii="Times New Roman" w:hAnsi="Times New Roman" w:cs="Times New Roman"/>
          <w:color w:val="000000" w:themeColor="text1"/>
        </w:rPr>
        <w:t>Katılımcılar Pandemi öncesindeki fiyat ve promosyonların tekrar uygulanmasını, havaalanı güvenlik kontrolleri azaltılmasını uçak park etmeden yığılan yolcular olmaması için eğitim ceza gibi önlemler alınmasını istemektedir.</w:t>
      </w:r>
      <w:r w:rsidRPr="00164238">
        <w:rPr>
          <w:rFonts w:ascii="Times New Roman" w:hAnsi="Times New Roman" w:cs="Times New Roman"/>
          <w:b/>
          <w:color w:val="000000" w:themeColor="text1"/>
        </w:rPr>
        <w:t xml:space="preserve"> </w:t>
      </w:r>
      <w:r w:rsidRPr="00164238">
        <w:rPr>
          <w:rFonts w:ascii="Times New Roman" w:hAnsi="Times New Roman" w:cs="Times New Roman"/>
          <w:color w:val="000000" w:themeColor="text1"/>
        </w:rPr>
        <w:t xml:space="preserve">Bu soruda dikkat çeken unsurlardan birisi pandemi sonrasında da maske hijyen önlemlerinin devam etmesi talebidir. Risk grupları için uçak içi farklı yerleşimlerin yapılması, uçuş saatlerinin daha makul saatlere alınması ve sefer sayısının arttırılmasıdır. 3 katılımcı uzun yolculuklar dışında ikram servislerinin kaldırılarak maliyet azalışının fiyatlara yansıtılmasını talep etmektedir bu talep Kurtulmuşoğlu vd (2016; 130),  Uçak içi yiyecek ve içeceklerin ücretsiz, çeşitli ve kaliteli olması ile havayolları tercihleri üzerinde etkisinin olmadığı bulgusuyla paralellik arz etmektedir.  Bir diğer beklenti koltuk aralarının açılması ve birden fazla çantanın uçak içine alınmasına izin verilmesidir.   </w:t>
      </w:r>
    </w:p>
    <w:p w14:paraId="4C759D71" w14:textId="77777777" w:rsidR="00057033" w:rsidRPr="00164238" w:rsidRDefault="00057033" w:rsidP="00057033">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“Uçak içi ikramları uçak biletlerine yansıyan gereksiz maliyetler olarak görüyorum ayrıca pandemi döneminde sağlık açısından oldukça riskli. Kısa yolculuklarda ikram servislerinin kaldırılarak maliyet düşüşünün uçak biletlerine yansımasını isterim”     </w:t>
      </w:r>
    </w:p>
    <w:p w14:paraId="5725C36D" w14:textId="77777777" w:rsidR="00057033" w:rsidRPr="00164238" w:rsidRDefault="00057033" w:rsidP="00057033">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Araştırmaya katılan yolculardan üçü havayolu işletmeleri arasında rekabet yönünden dengesizlikler bulunduğunu, büyük havayolu şirketlerinin ünlü isimlere reklamlarında yer verdiklerini ve bu durumun fiyatlara yansıdığını düşündüklerini ve ayrıca bu durumun tüketiciler arasında tercih nedeni olması bakımından etkili olduğunu söylemiştir. Bir diğer yolcu ise uzun mesafeli uçuşlarla (özellikle kıtalar arası uçuşlar ve aktarmalı uçuşlar) ilgili olarak uçakta en az bir sağlık çalışanının bulunmasının yararlı olacağı hatta izolasyon odası şeklinde bir bölümün olması gerektiğini ifade etmiştir. Ayrıca bir başka yolcu ise uzak mesafeli aktarmalı uçuşlarda yolcuların bir başka uçağa geçerken veya hava alanında beklerken gerekli hijyen tedbirlerinin yeterince alınmadığı ve başka yolcularla temas ettiklerini ve bu durumun risk oluşturduğunu beyan etmiştir.</w:t>
      </w:r>
    </w:p>
    <w:p w14:paraId="5EC72275" w14:textId="77777777" w:rsidR="00057033" w:rsidRPr="00164238" w:rsidRDefault="00057033" w:rsidP="00057033">
      <w:pPr>
        <w:ind w:firstLine="708"/>
        <w:jc w:val="both"/>
        <w:rPr>
          <w:rFonts w:ascii="Times New Roman" w:hAnsi="Times New Roman" w:cs="Times New Roman"/>
          <w:color w:val="000000" w:themeColor="text1"/>
        </w:rPr>
      </w:pPr>
      <w:r w:rsidRPr="00164238">
        <w:rPr>
          <w:rFonts w:ascii="Times New Roman" w:hAnsi="Times New Roman" w:cs="Times New Roman"/>
          <w:b/>
          <w:color w:val="000000" w:themeColor="text1"/>
        </w:rPr>
        <w:lastRenderedPageBreak/>
        <w:t xml:space="preserve">Pandemi sonrasında pandemi öncesine göre uçuş sayılarının nasıl değişeceği </w:t>
      </w:r>
      <w:r w:rsidRPr="00164238">
        <w:rPr>
          <w:rFonts w:ascii="Times New Roman" w:hAnsi="Times New Roman" w:cs="Times New Roman"/>
          <w:color w:val="000000" w:themeColor="text1"/>
        </w:rPr>
        <w:t xml:space="preserve">sorusuna ailesi ile daha fazla seyahat yapmak istemesinden dolayı artacağını söyleyen bir kişi hariç diğer katılımcılar aynı kalacağını belirtmektedir. Bununla birlikte bir katılımcı insanlarda çok uzun süre yan yana yolculuk yapmama psikolojisi doğduğu için otobüs yolculuklarının oldukça azalacağını belirtmektedir.   </w:t>
      </w:r>
    </w:p>
    <w:p w14:paraId="1881D7FF" w14:textId="00F46746" w:rsidR="00057033" w:rsidRPr="00164238" w:rsidRDefault="00057033" w:rsidP="00057033">
      <w:pPr>
        <w:ind w:firstLine="708"/>
        <w:jc w:val="both"/>
        <w:rPr>
          <w:rFonts w:ascii="Times New Roman" w:hAnsi="Times New Roman" w:cs="Times New Roman"/>
          <w:b/>
          <w:color w:val="000000" w:themeColor="text1"/>
        </w:rPr>
      </w:pPr>
      <w:r w:rsidRPr="00164238">
        <w:rPr>
          <w:rFonts w:ascii="Times New Roman" w:hAnsi="Times New Roman" w:cs="Times New Roman"/>
          <w:b/>
          <w:color w:val="000000" w:themeColor="text1"/>
        </w:rPr>
        <w:t>Sonuç</w:t>
      </w:r>
    </w:p>
    <w:p w14:paraId="4847FDEB" w14:textId="77777777" w:rsidR="00057033" w:rsidRPr="00164238" w:rsidRDefault="00057033" w:rsidP="00057033">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Havayolları hızla ulaşım,  yüksek yatırım yapabilme kabiliyeti ve kurumsal yapısı nedeniyle önemli tercih nedeni olmayı sürdürmektedir. Hatta bu avantajı daha önceden uçağa binmek istemeyen kişiler için bile Pandemi döneminde havayolunu tercih nedeni haline getirmektedir.  Havayoluna en yakın rakip olarak koltuk mesafeleri ve konfordan dolayı tren bulunmaktadır. Pandemi döneminde havayolu tercihinde; koltuk mesafeleri, uçak yerleşimindeki boşluklar, hijyen ve temizliğe dikkat, bilet iptal/değişiklik imkanlarının, uçak yolcu sayısı, kabin ve yer hizmetlerinin yeterli olması, ikram yapılmaması tercih nedenleri olarak sıralanmaktadır. Havayolunda tercih edilen firma sorulmamasına rağmen COVİD ile mücadele kapsamında gerekli önlemleri alacağına inanarak pandemi döneminde THY markası vurgulanmaktadır. Bu noktada firmaların marka yatırımlarının önemi ortaya çıkmaktadır.   </w:t>
      </w:r>
    </w:p>
    <w:p w14:paraId="0CE507A0" w14:textId="77777777" w:rsidR="00057033" w:rsidRPr="00164238" w:rsidRDefault="00057033" w:rsidP="00057033">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Uçuş esnasında yolcuların aynı havayı soludukları ve bu yüzden hastalanma risklerinin daha fazla olduğu yönündeki endişesinin giderilmesine yönelik havayolu firmalarının gerekli önlemleri aldığı ve havayolunun daha güvenli olduğuna yönelik bilgilendirmeye ihtiyaç duyulmaktadır. Yüksek bir temizlik standardı havayolu firmaları için bir pazarlama stratejisi olarak kullanılabilecek olup modern ve geleneksel iletişim araçları ile bilgilendirme yapılmak suretiyle tüketicilerin bu konudaki endişelerinin giderilmesi ve hijyen konusunda emin olmalarının sağlanması oldukça önemlidir.    </w:t>
      </w:r>
    </w:p>
    <w:p w14:paraId="49624424" w14:textId="77777777" w:rsidR="00057033" w:rsidRPr="00164238" w:rsidRDefault="00057033" w:rsidP="00057033">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Pandemi sonrasında havayolu firmalarından en önemli beklenti pandemi dönemindeki hijyen kurallarına devam edilmesi ile fiyat ve promosyonlar ile havayollarının daha cazip hale getirilmesi ve seferlere ilişkin düzenlemeler olarak ifade edilmektedir.  Gerek pandemi döneminde, gerek pandemi sonrasında ikram hizmetlerinin yeniden gözden geçirilmesi kısa yolculuklarda ikramda bulunulmaması, uzun yolculuklarda ise herkese aynı anda verilmek yerine, cam ve koridor tarafı ile orta koltuklara ikramların farklı zamanlarda verilmesi havayolu müşterilerinin temel beklentileridir.  Havaalanındaki temas noktalarının azaltılması ile ilgili olarak güvenlik geçişlerinin azaltılması,  kemer, ayakkabı çıkarma gibi prosedürleri azaltmaya yönelik teknolojiler geliştirilmelidir. Uçak park etmeden yolcuların ayağa kalkarak çıkış kapılarına yığılması önemli bir sorun olarak ifade edilmekte olup bu sorunun çözülmesine yönelik hukuki, idari önlemlerin alınması acil olarak beklenmektedir.  Yukarıda belirtilen tüketici taleplerinin dikkate alınması havayolu sektörünün pandemi sonrasında pandemi öncesindeki gelişimine kaldığı yerden devam edebilmesi açısından önemlidir.  </w:t>
      </w:r>
    </w:p>
    <w:bookmarkStart w:id="44" w:name="_Toc72961676" w:displacedByCustomXml="next"/>
    <w:bookmarkStart w:id="45" w:name="_Toc72352742" w:displacedByCustomXml="next"/>
    <w:sdt>
      <w:sdtPr>
        <w:rPr>
          <w:rFonts w:ascii="Times New Roman" w:eastAsiaTheme="minorHAnsi" w:hAnsi="Times New Roman" w:cs="Times New Roman"/>
          <w:color w:val="000000" w:themeColor="text1"/>
          <w:sz w:val="22"/>
          <w:szCs w:val="22"/>
          <w:lang w:eastAsia="en-US"/>
        </w:rPr>
        <w:id w:val="-511072696"/>
        <w:docPartObj>
          <w:docPartGallery w:val="Bibliographies"/>
          <w:docPartUnique/>
        </w:docPartObj>
      </w:sdtPr>
      <w:sdtContent>
        <w:p w14:paraId="59DCE9B3" w14:textId="7D4ED31B" w:rsidR="00057033" w:rsidRPr="00E0308F" w:rsidRDefault="00C95516" w:rsidP="00057033">
          <w:pPr>
            <w:pStyle w:val="Balk1"/>
            <w:jc w:val="both"/>
            <w:rPr>
              <w:rFonts w:ascii="Times New Roman" w:hAnsi="Times New Roman" w:cs="Times New Roman"/>
              <w:b/>
              <w:color w:val="000000" w:themeColor="text1"/>
              <w:sz w:val="22"/>
              <w:szCs w:val="22"/>
            </w:rPr>
          </w:pPr>
          <w:r>
            <w:rPr>
              <w:rFonts w:ascii="Times New Roman" w:hAnsi="Times New Roman" w:cs="Times New Roman"/>
              <w:b/>
              <w:color w:val="000000" w:themeColor="text1"/>
              <w:sz w:val="22"/>
              <w:szCs w:val="22"/>
            </w:rPr>
            <w:t>Kaynakça</w:t>
          </w:r>
          <w:bookmarkEnd w:id="45"/>
          <w:bookmarkEnd w:id="44"/>
        </w:p>
        <w:sdt>
          <w:sdtPr>
            <w:rPr>
              <w:rFonts w:ascii="Times New Roman" w:hAnsi="Times New Roman" w:cs="Times New Roman"/>
              <w:color w:val="000000" w:themeColor="text1"/>
            </w:rPr>
            <w:id w:val="111145805"/>
            <w:bibliography/>
          </w:sdtPr>
          <w:sdtContent>
            <w:p w14:paraId="0AFE62F4" w14:textId="77777777" w:rsidR="00057033" w:rsidRPr="00E0308F" w:rsidRDefault="00057033" w:rsidP="00057033">
              <w:pPr>
                <w:ind w:left="567" w:hanging="567"/>
                <w:jc w:val="both"/>
                <w:rPr>
                  <w:rFonts w:ascii="Times New Roman" w:hAnsi="Times New Roman" w:cs="Times New Roman"/>
                  <w:noProof/>
                  <w:color w:val="000000" w:themeColor="text1"/>
                </w:rPr>
              </w:pPr>
              <w:r w:rsidRPr="00E0308F">
                <w:rPr>
                  <w:rFonts w:ascii="Times New Roman" w:hAnsi="Times New Roman" w:cs="Times New Roman"/>
                  <w:color w:val="000000" w:themeColor="text1"/>
                </w:rPr>
                <w:fldChar w:fldCharType="begin"/>
              </w:r>
              <w:r w:rsidRPr="00E0308F">
                <w:rPr>
                  <w:rFonts w:ascii="Times New Roman" w:hAnsi="Times New Roman" w:cs="Times New Roman"/>
                  <w:color w:val="000000" w:themeColor="text1"/>
                </w:rPr>
                <w:instrText>BIBLIOGRAPHY</w:instrText>
              </w:r>
              <w:r w:rsidRPr="00E0308F">
                <w:rPr>
                  <w:rFonts w:ascii="Times New Roman" w:hAnsi="Times New Roman" w:cs="Times New Roman"/>
                  <w:color w:val="000000" w:themeColor="text1"/>
                </w:rPr>
                <w:fldChar w:fldCharType="separate"/>
              </w:r>
              <w:r w:rsidRPr="00E0308F">
                <w:rPr>
                  <w:rFonts w:ascii="Times New Roman" w:hAnsi="Times New Roman" w:cs="Times New Roman"/>
                  <w:noProof/>
                  <w:color w:val="000000" w:themeColor="text1"/>
                </w:rPr>
                <w:t xml:space="preserve">AACO. (2020). </w:t>
              </w:r>
              <w:r w:rsidRPr="00E0308F">
                <w:rPr>
                  <w:rFonts w:ascii="Times New Roman" w:hAnsi="Times New Roman" w:cs="Times New Roman"/>
                  <w:i/>
                  <w:iCs/>
                  <w:noProof/>
                  <w:color w:val="000000" w:themeColor="text1"/>
                </w:rPr>
                <w:t>Effects of Novel Coronavirus (COVİD‐19) on Civil Aviation:Economic Impact Analysis</w:t>
              </w:r>
              <w:r w:rsidRPr="00E0308F">
                <w:rPr>
                  <w:rFonts w:ascii="Times New Roman" w:hAnsi="Times New Roman" w:cs="Times New Roman"/>
                  <w:noProof/>
                  <w:color w:val="000000" w:themeColor="text1"/>
                </w:rPr>
                <w:t>. https://www.aaco.org/Library/Files/Uploaded%20Files/Economics/Corona%20studies/3dec%20ICAO_Coronavirus_Econ_Impact.pdf adresinden alındı. Erişim Tarihi:14.4.2021.</w:t>
              </w:r>
            </w:p>
            <w:p w14:paraId="5C26E5D5" w14:textId="77777777" w:rsidR="00057033" w:rsidRPr="00E0308F" w:rsidRDefault="00057033" w:rsidP="00057033">
              <w:pPr>
                <w:ind w:left="567" w:hanging="567"/>
                <w:jc w:val="both"/>
                <w:rPr>
                  <w:rFonts w:ascii="Times New Roman" w:hAnsi="Times New Roman" w:cs="Times New Roman"/>
                  <w:noProof/>
                  <w:color w:val="000000" w:themeColor="text1"/>
                </w:rPr>
              </w:pPr>
              <w:r w:rsidRPr="00E0308F">
                <w:rPr>
                  <w:rFonts w:ascii="Times New Roman" w:hAnsi="Times New Roman" w:cs="Times New Roman"/>
                  <w:noProof/>
                  <w:color w:val="000000" w:themeColor="text1"/>
                </w:rPr>
                <w:t xml:space="preserve">Alamdari, F.,(1999). Airline in-flight entertainment: the passengers' perspective, </w:t>
              </w:r>
              <w:r w:rsidRPr="00E0308F">
                <w:rPr>
                  <w:rFonts w:ascii="Times New Roman" w:hAnsi="Times New Roman" w:cs="Times New Roman"/>
                  <w:i/>
                  <w:noProof/>
                  <w:color w:val="000000" w:themeColor="text1"/>
                </w:rPr>
                <w:t>Journal of Air Transport Management,</w:t>
              </w:r>
              <w:r w:rsidRPr="00E0308F">
                <w:rPr>
                  <w:rFonts w:ascii="Times New Roman" w:hAnsi="Times New Roman" w:cs="Times New Roman"/>
                  <w:noProof/>
                  <w:color w:val="000000" w:themeColor="text1"/>
                </w:rPr>
                <w:t xml:space="preserve">  5 (4), 203-209.</w:t>
              </w:r>
            </w:p>
            <w:p w14:paraId="5B4C0940" w14:textId="77777777" w:rsidR="00057033" w:rsidRPr="00E0308F" w:rsidRDefault="00057033" w:rsidP="00057033">
              <w:pPr>
                <w:ind w:left="567" w:hanging="567"/>
                <w:jc w:val="both"/>
                <w:rPr>
                  <w:rFonts w:ascii="Times New Roman" w:hAnsi="Times New Roman" w:cs="Times New Roman"/>
                  <w:noProof/>
                  <w:color w:val="000000" w:themeColor="text1"/>
                </w:rPr>
              </w:pPr>
              <w:r w:rsidRPr="00E0308F">
                <w:rPr>
                  <w:rFonts w:ascii="Times New Roman" w:hAnsi="Times New Roman" w:cs="Times New Roman"/>
                  <w:noProof/>
                  <w:color w:val="000000" w:themeColor="text1"/>
                </w:rPr>
                <w:t>Albers S., Rundshagen V.,(2020). European airlines′ strategic responses to the COVİD-19 pandemic (January-May, 2020),</w:t>
              </w:r>
              <w:r w:rsidRPr="00E0308F">
                <w:rPr>
                  <w:rFonts w:ascii="Times New Roman" w:hAnsi="Times New Roman" w:cs="Times New Roman"/>
                  <w:i/>
                  <w:noProof/>
                  <w:color w:val="000000" w:themeColor="text1"/>
                </w:rPr>
                <w:t xml:space="preserve"> Journal of Air Transport Management, </w:t>
              </w:r>
              <w:r w:rsidRPr="00E0308F">
                <w:rPr>
                  <w:rFonts w:ascii="Times New Roman" w:hAnsi="Times New Roman" w:cs="Times New Roman"/>
                  <w:noProof/>
                  <w:color w:val="000000" w:themeColor="text1"/>
                </w:rPr>
                <w:t>87.</w:t>
              </w:r>
            </w:p>
            <w:p w14:paraId="0F0BB32C" w14:textId="77777777" w:rsidR="00057033" w:rsidRPr="00E0308F" w:rsidRDefault="00057033" w:rsidP="00057033">
              <w:pPr>
                <w:ind w:left="567" w:hanging="567"/>
                <w:jc w:val="both"/>
                <w:rPr>
                  <w:rFonts w:ascii="Times New Roman" w:hAnsi="Times New Roman" w:cs="Times New Roman"/>
                  <w:noProof/>
                  <w:color w:val="000000" w:themeColor="text1"/>
                </w:rPr>
              </w:pPr>
              <w:r w:rsidRPr="00E0308F">
                <w:rPr>
                  <w:rFonts w:ascii="Times New Roman" w:hAnsi="Times New Roman" w:cs="Times New Roman"/>
                  <w:noProof/>
                  <w:color w:val="000000" w:themeColor="text1"/>
                </w:rPr>
                <w:lastRenderedPageBreak/>
                <w:t xml:space="preserve">Boddy, C.R. (2016). Sample size for qualitative research, </w:t>
              </w:r>
              <w:r w:rsidRPr="00E0308F">
                <w:rPr>
                  <w:rFonts w:ascii="Times New Roman" w:hAnsi="Times New Roman" w:cs="Times New Roman"/>
                  <w:i/>
                  <w:noProof/>
                  <w:color w:val="000000" w:themeColor="text1"/>
                </w:rPr>
                <w:t>Qualitative Market Research,</w:t>
              </w:r>
              <w:r w:rsidRPr="00E0308F">
                <w:rPr>
                  <w:rFonts w:ascii="Times New Roman" w:hAnsi="Times New Roman" w:cs="Times New Roman"/>
                  <w:noProof/>
                  <w:color w:val="000000" w:themeColor="text1"/>
                </w:rPr>
                <w:t xml:space="preserve"> Vol. 19 No. 4, pp. 426-432. https://doi.org/10.1108/QMR-06-2016-0053</w:t>
              </w:r>
            </w:p>
            <w:p w14:paraId="4EE54712" w14:textId="77777777" w:rsidR="00057033" w:rsidRPr="00E0308F" w:rsidRDefault="00057033" w:rsidP="00057033">
              <w:pPr>
                <w:ind w:left="567" w:hanging="567"/>
                <w:jc w:val="both"/>
                <w:rPr>
                  <w:rFonts w:ascii="Times New Roman" w:hAnsi="Times New Roman" w:cs="Times New Roman"/>
                  <w:noProof/>
                  <w:color w:val="000000" w:themeColor="text1"/>
                </w:rPr>
              </w:pPr>
              <w:r w:rsidRPr="00E0308F">
                <w:rPr>
                  <w:rFonts w:ascii="Times New Roman" w:hAnsi="Times New Roman" w:cs="Times New Roman"/>
                  <w:noProof/>
                  <w:color w:val="000000" w:themeColor="text1"/>
                </w:rPr>
                <w:t xml:space="preserve">CDC. (2019). </w:t>
              </w:r>
              <w:r w:rsidRPr="00E0308F">
                <w:rPr>
                  <w:rFonts w:ascii="Times New Roman" w:hAnsi="Times New Roman" w:cs="Times New Roman"/>
                  <w:i/>
                  <w:iCs/>
                  <w:noProof/>
                  <w:color w:val="000000" w:themeColor="text1"/>
                </w:rPr>
                <w:t>2009 H1N1 Pandemic (H1N1pdm09 virus)</w:t>
              </w:r>
              <w:r w:rsidRPr="00E0308F">
                <w:rPr>
                  <w:rFonts w:ascii="Times New Roman" w:hAnsi="Times New Roman" w:cs="Times New Roman"/>
                  <w:noProof/>
                  <w:color w:val="000000" w:themeColor="text1"/>
                </w:rPr>
                <w:t>. https://www.cdc.gov/flu/pandemic-resources/2009-h1n1-pandemic.html adresinden alındı. Erişim Tarihi:14.4.2021.</w:t>
              </w:r>
            </w:p>
            <w:p w14:paraId="4CE45E32" w14:textId="77777777" w:rsidR="00057033" w:rsidRPr="00E0308F" w:rsidRDefault="00057033" w:rsidP="00057033">
              <w:pPr>
                <w:ind w:left="567" w:hanging="567"/>
                <w:jc w:val="both"/>
                <w:rPr>
                  <w:rFonts w:ascii="Times New Roman" w:hAnsi="Times New Roman" w:cs="Times New Roman"/>
                  <w:noProof/>
                  <w:color w:val="000000" w:themeColor="text1"/>
                </w:rPr>
              </w:pPr>
              <w:r w:rsidRPr="00E0308F">
                <w:rPr>
                  <w:rFonts w:ascii="Times New Roman" w:hAnsi="Times New Roman" w:cs="Times New Roman"/>
                  <w:noProof/>
                  <w:color w:val="000000" w:themeColor="text1"/>
                </w:rPr>
                <w:t xml:space="preserve">Chang, L. ve Hung, S. (2013). Adoption and loyalty toward low cost carriers: the case of Taipei–Singapore passengers. </w:t>
              </w:r>
              <w:r w:rsidRPr="00E0308F">
                <w:rPr>
                  <w:rFonts w:ascii="Times New Roman" w:hAnsi="Times New Roman" w:cs="Times New Roman"/>
                  <w:i/>
                  <w:iCs/>
                  <w:noProof/>
                  <w:color w:val="000000" w:themeColor="text1"/>
                </w:rPr>
                <w:t>Transportation Research Part E: Logistics and Transportation Review</w:t>
              </w:r>
              <w:r w:rsidRPr="00E0308F">
                <w:rPr>
                  <w:rFonts w:ascii="Times New Roman" w:hAnsi="Times New Roman" w:cs="Times New Roman"/>
                  <w:noProof/>
                  <w:color w:val="000000" w:themeColor="text1"/>
                </w:rPr>
                <w:t>, s. 29-36.</w:t>
              </w:r>
            </w:p>
            <w:p w14:paraId="6FFE8A24" w14:textId="77777777" w:rsidR="00057033" w:rsidRPr="00E0308F" w:rsidRDefault="00057033" w:rsidP="00057033">
              <w:pPr>
                <w:ind w:left="567" w:hanging="567"/>
                <w:jc w:val="both"/>
                <w:rPr>
                  <w:rFonts w:ascii="Times New Roman" w:hAnsi="Times New Roman" w:cs="Times New Roman"/>
                  <w:noProof/>
                  <w:color w:val="000000" w:themeColor="text1"/>
                </w:rPr>
              </w:pPr>
              <w:r w:rsidRPr="00E0308F">
                <w:rPr>
                  <w:rFonts w:ascii="Times New Roman" w:hAnsi="Times New Roman" w:cs="Times New Roman"/>
                  <w:noProof/>
                  <w:color w:val="000000" w:themeColor="text1"/>
                </w:rPr>
                <w:t xml:space="preserve">Chou, P. ve Lu, C. (2011). An evaluation of influenza preventive measures on airlines: A passenger’s perspective. </w:t>
              </w:r>
              <w:r w:rsidRPr="00E0308F">
                <w:rPr>
                  <w:rFonts w:ascii="Times New Roman" w:hAnsi="Times New Roman" w:cs="Times New Roman"/>
                  <w:i/>
                  <w:iCs/>
                  <w:noProof/>
                  <w:color w:val="000000" w:themeColor="text1"/>
                </w:rPr>
                <w:t>Journal of Air Transport Management</w:t>
              </w:r>
              <w:r w:rsidRPr="00E0308F">
                <w:rPr>
                  <w:rFonts w:ascii="Times New Roman" w:hAnsi="Times New Roman" w:cs="Times New Roman"/>
                  <w:noProof/>
                  <w:color w:val="000000" w:themeColor="text1"/>
                </w:rPr>
                <w:t>, s. 228-230.</w:t>
              </w:r>
            </w:p>
            <w:p w14:paraId="13066916" w14:textId="77777777" w:rsidR="00057033" w:rsidRPr="00E0308F" w:rsidRDefault="00057033" w:rsidP="00057033">
              <w:pPr>
                <w:ind w:left="567" w:hanging="567"/>
                <w:jc w:val="both"/>
                <w:rPr>
                  <w:rFonts w:ascii="Times New Roman" w:hAnsi="Times New Roman" w:cs="Times New Roman"/>
                  <w:noProof/>
                  <w:color w:val="000000" w:themeColor="text1"/>
                </w:rPr>
              </w:pPr>
              <w:r w:rsidRPr="00E0308F">
                <w:rPr>
                  <w:rFonts w:ascii="Times New Roman" w:hAnsi="Times New Roman" w:cs="Times New Roman"/>
                  <w:noProof/>
                  <w:color w:val="000000" w:themeColor="text1"/>
                </w:rPr>
                <w:t xml:space="preserve">Chung, L. H. (2015). Impact of pandemic control over airport economics: Reconciling public health with airport business through a streamlined approach in pandemic control,. </w:t>
              </w:r>
              <w:r w:rsidRPr="00E0308F">
                <w:rPr>
                  <w:rFonts w:ascii="Times New Roman" w:hAnsi="Times New Roman" w:cs="Times New Roman"/>
                  <w:i/>
                  <w:iCs/>
                  <w:noProof/>
                  <w:color w:val="000000" w:themeColor="text1"/>
                </w:rPr>
                <w:t>Journal of Air Transport Management,</w:t>
              </w:r>
              <w:r w:rsidRPr="00E0308F">
                <w:rPr>
                  <w:rFonts w:ascii="Times New Roman" w:hAnsi="Times New Roman" w:cs="Times New Roman"/>
                  <w:noProof/>
                  <w:color w:val="000000" w:themeColor="text1"/>
                </w:rPr>
                <w:t>, s. 42-53.</w:t>
              </w:r>
            </w:p>
            <w:p w14:paraId="77FA3AF1" w14:textId="77777777" w:rsidR="00057033" w:rsidRPr="00E0308F" w:rsidRDefault="00057033" w:rsidP="00057033">
              <w:pPr>
                <w:ind w:left="567" w:hanging="567"/>
                <w:jc w:val="both"/>
                <w:rPr>
                  <w:rFonts w:ascii="Times New Roman" w:hAnsi="Times New Roman" w:cs="Times New Roman"/>
                  <w:color w:val="000000" w:themeColor="text1"/>
                </w:rPr>
              </w:pPr>
              <w:r w:rsidRPr="00E0308F">
                <w:rPr>
                  <w:rFonts w:ascii="Times New Roman" w:hAnsi="Times New Roman" w:cs="Times New Roman"/>
                  <w:color w:val="000000" w:themeColor="text1"/>
                </w:rPr>
                <w:t xml:space="preserve">Clemes M.D., Gan C., Kao T.-H., Choong M.(2008). An empirical analysis of customer satisfaction in international air travel,  </w:t>
              </w:r>
              <w:r w:rsidRPr="00E0308F">
                <w:rPr>
                  <w:rFonts w:ascii="Times New Roman" w:hAnsi="Times New Roman" w:cs="Times New Roman"/>
                  <w:i/>
                  <w:color w:val="000000" w:themeColor="text1"/>
                </w:rPr>
                <w:t>Innovative Marketing,</w:t>
              </w:r>
              <w:r w:rsidRPr="00E0308F">
                <w:rPr>
                  <w:rFonts w:ascii="Times New Roman" w:hAnsi="Times New Roman" w:cs="Times New Roman"/>
                  <w:color w:val="000000" w:themeColor="text1"/>
                </w:rPr>
                <w:t xml:space="preserve"> 4, (2), s. 50-62</w:t>
              </w:r>
            </w:p>
            <w:p w14:paraId="55B43A78" w14:textId="77777777" w:rsidR="00057033" w:rsidRPr="00E0308F" w:rsidRDefault="00057033" w:rsidP="00057033">
              <w:pPr>
                <w:ind w:left="567" w:hanging="567"/>
                <w:jc w:val="both"/>
                <w:rPr>
                  <w:rFonts w:ascii="Times New Roman" w:hAnsi="Times New Roman" w:cs="Times New Roman"/>
                  <w:color w:val="000000" w:themeColor="text1"/>
                </w:rPr>
              </w:pPr>
              <w:r w:rsidRPr="00E0308F">
                <w:rPr>
                  <w:rFonts w:ascii="Times New Roman" w:hAnsi="Times New Roman" w:cs="Times New Roman"/>
                  <w:color w:val="000000" w:themeColor="text1"/>
                </w:rPr>
                <w:t xml:space="preserve">Dabachine Y, Taheri H., Biniz M., Bouikhalene B ve Balouki A.,(2020) Strategic design of precautionary measures for airport passengers in times of global health crisis COVİD 19: Parametric modelling and processing algorithms, </w:t>
              </w:r>
              <w:r w:rsidRPr="00E0308F">
                <w:rPr>
                  <w:rFonts w:ascii="Times New Roman" w:hAnsi="Times New Roman" w:cs="Times New Roman"/>
                  <w:i/>
                  <w:color w:val="000000" w:themeColor="text1"/>
                </w:rPr>
                <w:t xml:space="preserve">Journal of Air Transport Management, </w:t>
              </w:r>
              <w:r w:rsidRPr="00E0308F">
                <w:rPr>
                  <w:rFonts w:ascii="Times New Roman" w:hAnsi="Times New Roman" w:cs="Times New Roman"/>
                  <w:color w:val="000000" w:themeColor="text1"/>
                </w:rPr>
                <w:t>V. 89,</w:t>
              </w:r>
            </w:p>
            <w:p w14:paraId="7E33DE70" w14:textId="77777777" w:rsidR="00057033" w:rsidRPr="00E0308F" w:rsidRDefault="00057033" w:rsidP="00057033">
              <w:pPr>
                <w:ind w:left="567" w:hanging="567"/>
                <w:jc w:val="both"/>
                <w:rPr>
                  <w:rFonts w:ascii="Times New Roman" w:hAnsi="Times New Roman" w:cs="Times New Roman"/>
                  <w:noProof/>
                  <w:color w:val="000000" w:themeColor="text1"/>
                </w:rPr>
              </w:pPr>
              <w:r w:rsidRPr="00E0308F">
                <w:rPr>
                  <w:rFonts w:ascii="Times New Roman" w:hAnsi="Times New Roman" w:cs="Times New Roman"/>
                  <w:noProof/>
                  <w:color w:val="000000" w:themeColor="text1"/>
                </w:rPr>
                <w:t xml:space="preserve">Dube, K., Nhamo, G. ve Chikodzi, D. (2021). COVİD-19 pandemic and prospects for recovery of the global aviation industry. </w:t>
              </w:r>
              <w:r w:rsidRPr="00E0308F">
                <w:rPr>
                  <w:rFonts w:ascii="Times New Roman" w:hAnsi="Times New Roman" w:cs="Times New Roman"/>
                  <w:i/>
                  <w:iCs/>
                  <w:noProof/>
                  <w:color w:val="000000" w:themeColor="text1"/>
                </w:rPr>
                <w:t>Journal of Air Transport Management</w:t>
              </w:r>
              <w:r w:rsidRPr="00E0308F">
                <w:rPr>
                  <w:rFonts w:ascii="Times New Roman" w:hAnsi="Times New Roman" w:cs="Times New Roman"/>
                  <w:noProof/>
                  <w:color w:val="000000" w:themeColor="text1"/>
                </w:rPr>
                <w:t>(92), s. 1-12.</w:t>
              </w:r>
            </w:p>
            <w:p w14:paraId="26E96E84" w14:textId="77777777" w:rsidR="00057033" w:rsidRPr="00E0308F" w:rsidRDefault="00057033" w:rsidP="00057033">
              <w:pPr>
                <w:ind w:left="567" w:hanging="567"/>
                <w:jc w:val="both"/>
                <w:rPr>
                  <w:rFonts w:ascii="Times New Roman" w:hAnsi="Times New Roman" w:cs="Times New Roman"/>
                  <w:color w:val="000000" w:themeColor="text1"/>
                </w:rPr>
              </w:pPr>
              <w:r w:rsidRPr="00E0308F">
                <w:rPr>
                  <w:rFonts w:ascii="Times New Roman" w:hAnsi="Times New Roman" w:cs="Times New Roman"/>
                  <w:color w:val="000000" w:themeColor="text1"/>
                </w:rPr>
                <w:t xml:space="preserve">Fox, L. (2020).  "How airlines are scrambling to provide passengers with touchless technology", Virginia Tech, https://vtechworks.lib.vt.edu/handle/10919/100337.  </w:t>
              </w:r>
              <w:r w:rsidRPr="00E0308F">
                <w:rPr>
                  <w:rFonts w:ascii="Times New Roman" w:hAnsi="Times New Roman" w:cs="Times New Roman"/>
                  <w:noProof/>
                  <w:color w:val="000000" w:themeColor="text1"/>
                </w:rPr>
                <w:t>Erişim Tarihi:14.4.2021.</w:t>
              </w:r>
            </w:p>
            <w:p w14:paraId="6441934B" w14:textId="77777777" w:rsidR="00057033" w:rsidRPr="00E0308F" w:rsidRDefault="00057033" w:rsidP="00057033">
              <w:pPr>
                <w:ind w:left="567" w:hanging="567"/>
                <w:jc w:val="both"/>
                <w:rPr>
                  <w:rFonts w:ascii="Times New Roman" w:hAnsi="Times New Roman" w:cs="Times New Roman"/>
                  <w:color w:val="000000" w:themeColor="text1"/>
                </w:rPr>
              </w:pPr>
              <w:r w:rsidRPr="00E0308F">
                <w:rPr>
                  <w:rFonts w:ascii="Times New Roman" w:hAnsi="Times New Roman" w:cs="Times New Roman"/>
                  <w:color w:val="000000" w:themeColor="text1"/>
                </w:rPr>
                <w:t xml:space="preserve">Garrow, L., Lurkin, V. (2021). How COVİD-19 is impacting and reshaping the airline industry. </w:t>
              </w:r>
              <w:r w:rsidRPr="00E0308F">
                <w:rPr>
                  <w:rFonts w:ascii="Times New Roman" w:hAnsi="Times New Roman" w:cs="Times New Roman"/>
                  <w:i/>
                  <w:color w:val="000000" w:themeColor="text1"/>
                </w:rPr>
                <w:t>J Revenue Pricing Management,</w:t>
              </w:r>
              <w:r w:rsidRPr="00E0308F">
                <w:rPr>
                  <w:rFonts w:ascii="Times New Roman" w:hAnsi="Times New Roman" w:cs="Times New Roman"/>
                  <w:color w:val="000000" w:themeColor="text1"/>
                </w:rPr>
                <w:t xml:space="preserve"> 20, 3–9, https://doi.org/10.1057/s41272-020-00271-1</w:t>
              </w:r>
            </w:p>
            <w:p w14:paraId="42BCA02D" w14:textId="77777777" w:rsidR="00057033" w:rsidRPr="00E0308F" w:rsidRDefault="00057033" w:rsidP="00057033">
              <w:pPr>
                <w:ind w:left="567" w:hanging="567"/>
                <w:jc w:val="both"/>
                <w:rPr>
                  <w:rFonts w:ascii="Times New Roman" w:hAnsi="Times New Roman" w:cs="Times New Roman"/>
                  <w:color w:val="000000" w:themeColor="text1"/>
                </w:rPr>
              </w:pPr>
              <w:r w:rsidRPr="00E0308F">
                <w:rPr>
                  <w:rFonts w:ascii="Times New Roman" w:hAnsi="Times New Roman" w:cs="Times New Roman"/>
                  <w:color w:val="000000" w:themeColor="text1"/>
                </w:rPr>
                <w:t>Gurcan O.F., Beyca O.F., Akcan A.F. ve Zaim S. (2019). A Customer Satisfaction Study in an Airline Company Centered in Turkey. In: Calisir F., Cevikcan E., Camgoz Akdag H. (eds) Industrial Engineering in the Big Data Era. Lecture Notes in Management and Industrial Engineering. Springer, Cham. https://doi.org/10.1007/978-3-030-03317-0_31</w:t>
              </w:r>
            </w:p>
            <w:p w14:paraId="5959C8D2" w14:textId="77777777" w:rsidR="00057033" w:rsidRPr="00E0308F" w:rsidRDefault="00057033" w:rsidP="00057033">
              <w:pPr>
                <w:ind w:left="567" w:hanging="567"/>
                <w:jc w:val="both"/>
                <w:rPr>
                  <w:rFonts w:ascii="Times New Roman" w:hAnsi="Times New Roman" w:cs="Times New Roman"/>
                  <w:noProof/>
                  <w:color w:val="000000" w:themeColor="text1"/>
                </w:rPr>
              </w:pPr>
              <w:r w:rsidRPr="00E0308F">
                <w:rPr>
                  <w:rFonts w:ascii="Times New Roman" w:hAnsi="Times New Roman" w:cs="Times New Roman"/>
                  <w:noProof/>
                  <w:color w:val="000000" w:themeColor="text1"/>
                </w:rPr>
                <w:t xml:space="preserve">Graham A., Kremarik F. ve Kruse W.(2020). Attitudes of ageing passengers to air travel since the coronavirus pandemic, </w:t>
              </w:r>
              <w:r w:rsidRPr="00E0308F">
                <w:rPr>
                  <w:rFonts w:ascii="Times New Roman" w:hAnsi="Times New Roman" w:cs="Times New Roman"/>
                  <w:i/>
                  <w:noProof/>
                  <w:color w:val="000000" w:themeColor="text1"/>
                </w:rPr>
                <w:t>Journal of Air Transport Management,</w:t>
              </w:r>
              <w:r w:rsidRPr="00E0308F">
                <w:rPr>
                  <w:rFonts w:ascii="Times New Roman" w:hAnsi="Times New Roman" w:cs="Times New Roman"/>
                  <w:noProof/>
                  <w:color w:val="000000" w:themeColor="text1"/>
                </w:rPr>
                <w:t xml:space="preserve"> 87,s. 1-5</w:t>
              </w:r>
            </w:p>
            <w:p w14:paraId="6479FE66" w14:textId="77777777" w:rsidR="00057033" w:rsidRPr="00E0308F" w:rsidRDefault="00057033" w:rsidP="00057033">
              <w:pPr>
                <w:ind w:left="567" w:hanging="567"/>
                <w:jc w:val="both"/>
                <w:rPr>
                  <w:rFonts w:ascii="Times New Roman" w:hAnsi="Times New Roman" w:cs="Times New Roman"/>
                  <w:noProof/>
                  <w:color w:val="000000" w:themeColor="text1"/>
                </w:rPr>
              </w:pPr>
              <w:r w:rsidRPr="00E0308F">
                <w:rPr>
                  <w:rFonts w:ascii="Times New Roman" w:hAnsi="Times New Roman" w:cs="Times New Roman"/>
                  <w:noProof/>
                  <w:color w:val="000000" w:themeColor="text1"/>
                </w:rPr>
                <w:t xml:space="preserve">Greghi, M., Rossi, T., Souza, J. d. ve Menegon, N. (2013). Brazilian passengers' perceptions of air travel: evidences from a survey. </w:t>
              </w:r>
              <w:r w:rsidRPr="00E0308F">
                <w:rPr>
                  <w:rFonts w:ascii="Times New Roman" w:hAnsi="Times New Roman" w:cs="Times New Roman"/>
                  <w:i/>
                  <w:iCs/>
                  <w:noProof/>
                  <w:color w:val="000000" w:themeColor="text1"/>
                </w:rPr>
                <w:t>Journal of Air Transport Management</w:t>
              </w:r>
              <w:r w:rsidRPr="00E0308F">
                <w:rPr>
                  <w:rFonts w:ascii="Times New Roman" w:hAnsi="Times New Roman" w:cs="Times New Roman"/>
                  <w:noProof/>
                  <w:color w:val="000000" w:themeColor="text1"/>
                </w:rPr>
                <w:t>, s. 27-31.</w:t>
              </w:r>
            </w:p>
            <w:p w14:paraId="37216E4A" w14:textId="77777777" w:rsidR="00057033" w:rsidRPr="00E0308F" w:rsidRDefault="00057033" w:rsidP="00057033">
              <w:pPr>
                <w:ind w:left="567" w:hanging="567"/>
                <w:jc w:val="both"/>
                <w:rPr>
                  <w:rFonts w:ascii="Times New Roman" w:hAnsi="Times New Roman" w:cs="Times New Roman"/>
                  <w:color w:val="000000" w:themeColor="text1"/>
                </w:rPr>
              </w:pPr>
              <w:r w:rsidRPr="00E0308F">
                <w:rPr>
                  <w:rFonts w:ascii="Times New Roman" w:hAnsi="Times New Roman" w:cs="Times New Roman"/>
                  <w:color w:val="000000" w:themeColor="text1"/>
                </w:rPr>
                <w:t xml:space="preserve">Hess S., Adler T. ve Polak J.W.(2007). Modeling airport and airline choice behavior with the use of stated preference survey data,  Transportation Research Part E: </w:t>
              </w:r>
              <w:r w:rsidRPr="00E0308F">
                <w:rPr>
                  <w:rFonts w:ascii="Times New Roman" w:hAnsi="Times New Roman" w:cs="Times New Roman"/>
                  <w:i/>
                  <w:color w:val="000000" w:themeColor="text1"/>
                </w:rPr>
                <w:t>Logistics and Transportation Review,</w:t>
              </w:r>
              <w:r w:rsidRPr="00E0308F">
                <w:rPr>
                  <w:rFonts w:ascii="Times New Roman" w:hAnsi="Times New Roman" w:cs="Times New Roman"/>
                  <w:color w:val="000000" w:themeColor="text1"/>
                </w:rPr>
                <w:t xml:space="preserve"> 43 (3) (2007), pp. 221-233</w:t>
              </w:r>
            </w:p>
            <w:p w14:paraId="1890E18E" w14:textId="77777777" w:rsidR="00057033" w:rsidRPr="00E0308F" w:rsidRDefault="00057033" w:rsidP="00057033">
              <w:pPr>
                <w:ind w:left="567" w:hanging="567"/>
                <w:jc w:val="both"/>
                <w:rPr>
                  <w:rFonts w:ascii="Times New Roman" w:hAnsi="Times New Roman" w:cs="Times New Roman"/>
                  <w:noProof/>
                  <w:color w:val="000000" w:themeColor="text1"/>
                </w:rPr>
              </w:pPr>
              <w:r w:rsidRPr="00E0308F">
                <w:rPr>
                  <w:rFonts w:ascii="Times New Roman" w:hAnsi="Times New Roman" w:cs="Times New Roman"/>
                  <w:noProof/>
                  <w:color w:val="000000" w:themeColor="text1"/>
                </w:rPr>
                <w:t xml:space="preserve">Hussain, R., Nasser, A. A. ve Hussain, Y. (2015). Service quality and customer satisfaction of a UAE-based airline: an empirical investigation. </w:t>
              </w:r>
              <w:r w:rsidRPr="00E0308F">
                <w:rPr>
                  <w:rFonts w:ascii="Times New Roman" w:hAnsi="Times New Roman" w:cs="Times New Roman"/>
                  <w:i/>
                  <w:iCs/>
                  <w:noProof/>
                  <w:color w:val="000000" w:themeColor="text1"/>
                </w:rPr>
                <w:t>Journal of Air Transport Management,</w:t>
              </w:r>
              <w:r w:rsidRPr="00E0308F">
                <w:rPr>
                  <w:rFonts w:ascii="Times New Roman" w:hAnsi="Times New Roman" w:cs="Times New Roman"/>
                  <w:noProof/>
                  <w:color w:val="000000" w:themeColor="text1"/>
                </w:rPr>
                <w:t>, s. 167-175.</w:t>
              </w:r>
            </w:p>
            <w:p w14:paraId="0929C1CE" w14:textId="77777777" w:rsidR="00057033" w:rsidRPr="00E0308F" w:rsidRDefault="00057033" w:rsidP="00057033">
              <w:pPr>
                <w:ind w:left="567" w:hanging="567"/>
                <w:jc w:val="both"/>
                <w:rPr>
                  <w:rFonts w:ascii="Times New Roman" w:hAnsi="Times New Roman" w:cs="Times New Roman"/>
                  <w:noProof/>
                  <w:color w:val="000000" w:themeColor="text1"/>
                </w:rPr>
              </w:pPr>
              <w:r w:rsidRPr="00E0308F">
                <w:rPr>
                  <w:rFonts w:ascii="Times New Roman" w:hAnsi="Times New Roman" w:cs="Times New Roman"/>
                  <w:noProof/>
                  <w:color w:val="000000" w:themeColor="text1"/>
                </w:rPr>
                <w:t xml:space="preserve">IATA. (2021a). </w:t>
              </w:r>
              <w:r w:rsidRPr="00E0308F">
                <w:rPr>
                  <w:rFonts w:ascii="Times New Roman" w:hAnsi="Times New Roman" w:cs="Times New Roman"/>
                  <w:i/>
                  <w:iCs/>
                  <w:noProof/>
                  <w:color w:val="000000" w:themeColor="text1"/>
                </w:rPr>
                <w:t>https://www.iata.org/</w:t>
              </w:r>
              <w:r w:rsidRPr="00E0308F">
                <w:rPr>
                  <w:rFonts w:ascii="Times New Roman" w:hAnsi="Times New Roman" w:cs="Times New Roman"/>
                  <w:noProof/>
                  <w:color w:val="000000" w:themeColor="text1"/>
                </w:rPr>
                <w:t>. IATA. adresinden alındı. Erişim Tarihi:14.4.2021.</w:t>
              </w:r>
            </w:p>
            <w:p w14:paraId="21FCBEAD" w14:textId="77777777" w:rsidR="00057033" w:rsidRPr="00E0308F" w:rsidRDefault="00057033" w:rsidP="00057033">
              <w:pPr>
                <w:ind w:left="567" w:hanging="567"/>
                <w:jc w:val="both"/>
                <w:rPr>
                  <w:rFonts w:ascii="Times New Roman" w:hAnsi="Times New Roman" w:cs="Times New Roman"/>
                  <w:noProof/>
                  <w:color w:val="000000" w:themeColor="text1"/>
                </w:rPr>
              </w:pPr>
              <w:r w:rsidRPr="00E0308F">
                <w:rPr>
                  <w:rFonts w:ascii="Times New Roman" w:hAnsi="Times New Roman" w:cs="Times New Roman"/>
                  <w:noProof/>
                  <w:color w:val="000000" w:themeColor="text1"/>
                </w:rPr>
                <w:lastRenderedPageBreak/>
                <w:t>IATA. (2021b). https://www.iata.org/en/youandiata/travelers/health/ adresinden alındı Erişim Tarihi:14.4.2021.</w:t>
              </w:r>
            </w:p>
            <w:p w14:paraId="782BA738" w14:textId="77777777" w:rsidR="00057033" w:rsidRPr="00E0308F" w:rsidRDefault="00057033" w:rsidP="00057033">
              <w:pPr>
                <w:ind w:left="567" w:hanging="567"/>
                <w:jc w:val="both"/>
                <w:rPr>
                  <w:rFonts w:ascii="Times New Roman" w:hAnsi="Times New Roman" w:cs="Times New Roman"/>
                  <w:color w:val="000000" w:themeColor="text1"/>
                </w:rPr>
              </w:pPr>
              <w:r w:rsidRPr="00E0308F">
                <w:rPr>
                  <w:rFonts w:ascii="Times New Roman" w:hAnsi="Times New Roman" w:cs="Times New Roman"/>
                  <w:color w:val="000000" w:themeColor="text1"/>
                </w:rPr>
                <w:t xml:space="preserve">Jin, S. H., Jeon, S. J., ve  Kim, K. E. (2020). A Study on the Prediction Analysis of Aviation Passenger Demand after Covid-19. </w:t>
              </w:r>
              <w:r w:rsidRPr="00E0308F">
                <w:rPr>
                  <w:rFonts w:ascii="Times New Roman" w:hAnsi="Times New Roman" w:cs="Times New Roman"/>
                  <w:i/>
                  <w:color w:val="000000" w:themeColor="text1"/>
                </w:rPr>
                <w:t>Journal of the Korean Society for Aviation and Aeronautics,</w:t>
              </w:r>
              <w:r w:rsidRPr="00E0308F">
                <w:rPr>
                  <w:rFonts w:ascii="Times New Roman" w:hAnsi="Times New Roman" w:cs="Times New Roman"/>
                  <w:color w:val="000000" w:themeColor="text1"/>
                </w:rPr>
                <w:t xml:space="preserve"> 28(4), 147–153.</w:t>
              </w:r>
            </w:p>
            <w:p w14:paraId="3DBB0E46" w14:textId="77777777" w:rsidR="00057033" w:rsidRPr="00E0308F" w:rsidRDefault="00057033" w:rsidP="00057033">
              <w:pPr>
                <w:ind w:left="567" w:hanging="567"/>
                <w:jc w:val="both"/>
                <w:rPr>
                  <w:rFonts w:ascii="Times New Roman" w:hAnsi="Times New Roman" w:cs="Times New Roman"/>
                  <w:color w:val="000000" w:themeColor="text1"/>
                </w:rPr>
              </w:pPr>
              <w:r w:rsidRPr="00E0308F">
                <w:rPr>
                  <w:rFonts w:ascii="Times New Roman" w:hAnsi="Times New Roman" w:cs="Times New Roman"/>
                  <w:color w:val="000000" w:themeColor="text1"/>
                </w:rPr>
                <w:t xml:space="preserve">Khaddar S. ve Fatmi R. M (2021). COVID-19: Are you satisfied with traveling during the pandemic? </w:t>
              </w:r>
              <w:r w:rsidRPr="00E0308F">
                <w:rPr>
                  <w:rFonts w:ascii="Times New Roman" w:hAnsi="Times New Roman" w:cs="Times New Roman"/>
                  <w:i/>
                  <w:color w:val="000000" w:themeColor="text1"/>
                </w:rPr>
                <w:t>Transportation Research Interdisciplinary Perspectives,</w:t>
              </w:r>
              <w:r w:rsidRPr="00E0308F">
                <w:rPr>
                  <w:rFonts w:ascii="Times New Roman" w:hAnsi="Times New Roman" w:cs="Times New Roman"/>
                  <w:color w:val="000000" w:themeColor="text1"/>
                </w:rPr>
                <w:t xml:space="preserve"> 9,  s. 1-7. </w:t>
              </w:r>
            </w:p>
            <w:p w14:paraId="4C1F61E1" w14:textId="77777777" w:rsidR="00057033" w:rsidRPr="00E0308F" w:rsidRDefault="00057033" w:rsidP="00057033">
              <w:pPr>
                <w:ind w:left="567" w:hanging="567"/>
                <w:jc w:val="both"/>
                <w:rPr>
                  <w:rFonts w:ascii="Times New Roman" w:hAnsi="Times New Roman" w:cs="Times New Roman"/>
                  <w:noProof/>
                  <w:color w:val="000000" w:themeColor="text1"/>
                </w:rPr>
              </w:pPr>
              <w:r w:rsidRPr="00E0308F">
                <w:rPr>
                  <w:rFonts w:ascii="Times New Roman" w:hAnsi="Times New Roman" w:cs="Times New Roman"/>
                  <w:noProof/>
                  <w:color w:val="000000" w:themeColor="text1"/>
                </w:rPr>
                <w:t xml:space="preserve">Kurtulmuşoğlu, F. B., Can, F. G. ve Tolon, M. (2016). A voice in the skies: Listening to airline passenger preferences. </w:t>
              </w:r>
              <w:r w:rsidRPr="00E0308F">
                <w:rPr>
                  <w:rFonts w:ascii="Times New Roman" w:hAnsi="Times New Roman" w:cs="Times New Roman"/>
                  <w:i/>
                  <w:iCs/>
                  <w:noProof/>
                  <w:color w:val="000000" w:themeColor="text1"/>
                </w:rPr>
                <w:t>Journal of Air Transport Management</w:t>
              </w:r>
              <w:r w:rsidRPr="00E0308F">
                <w:rPr>
                  <w:rFonts w:ascii="Times New Roman" w:hAnsi="Times New Roman" w:cs="Times New Roman"/>
                  <w:noProof/>
                  <w:color w:val="000000" w:themeColor="text1"/>
                </w:rPr>
                <w:t>, s. 130-137.</w:t>
              </w:r>
            </w:p>
            <w:p w14:paraId="6AFAD565" w14:textId="77777777" w:rsidR="00057033" w:rsidRPr="00E0308F" w:rsidRDefault="00057033" w:rsidP="00057033">
              <w:pPr>
                <w:ind w:left="567" w:hanging="567"/>
                <w:jc w:val="both"/>
                <w:rPr>
                  <w:rFonts w:ascii="Times New Roman" w:hAnsi="Times New Roman" w:cs="Times New Roman"/>
                  <w:noProof/>
                  <w:color w:val="000000" w:themeColor="text1"/>
                </w:rPr>
              </w:pPr>
              <w:r w:rsidRPr="00E0308F">
                <w:rPr>
                  <w:rFonts w:ascii="Times New Roman" w:hAnsi="Times New Roman" w:cs="Times New Roman"/>
                  <w:noProof/>
                  <w:color w:val="000000" w:themeColor="text1"/>
                </w:rPr>
                <w:t xml:space="preserve">Lamb, L.T, S. R., Rice, S., Ruskin, K. J. ve Vaughn, A. (2020). Factors that predict passengers willingness to fly during and after the COVİD-19 pandemic. </w:t>
              </w:r>
              <w:r w:rsidRPr="00E0308F">
                <w:rPr>
                  <w:rFonts w:ascii="Times New Roman" w:hAnsi="Times New Roman" w:cs="Times New Roman"/>
                  <w:i/>
                  <w:iCs/>
                  <w:noProof/>
                  <w:color w:val="000000" w:themeColor="text1"/>
                </w:rPr>
                <w:t>Journal of Air Transport Management</w:t>
              </w:r>
              <w:r w:rsidRPr="00E0308F">
                <w:rPr>
                  <w:rFonts w:ascii="Times New Roman" w:hAnsi="Times New Roman" w:cs="Times New Roman"/>
                  <w:noProof/>
                  <w:color w:val="000000" w:themeColor="text1"/>
                </w:rPr>
                <w:t>(89).</w:t>
              </w:r>
            </w:p>
            <w:p w14:paraId="33D969AB" w14:textId="77777777" w:rsidR="00057033" w:rsidRPr="00E0308F" w:rsidRDefault="00057033" w:rsidP="00057033">
              <w:pPr>
                <w:ind w:left="567" w:hanging="567"/>
                <w:jc w:val="both"/>
                <w:rPr>
                  <w:rFonts w:ascii="Times New Roman" w:hAnsi="Times New Roman" w:cs="Times New Roman"/>
                  <w:noProof/>
                  <w:color w:val="000000" w:themeColor="text1"/>
                </w:rPr>
              </w:pPr>
              <w:r w:rsidRPr="00E0308F">
                <w:rPr>
                  <w:rFonts w:ascii="Times New Roman" w:hAnsi="Times New Roman" w:cs="Times New Roman"/>
                  <w:noProof/>
                  <w:color w:val="000000" w:themeColor="text1"/>
                </w:rPr>
                <w:t xml:space="preserve">Milioti, C., Karlaftis, M. ve Akkogiounoglou, E. (2015). Traveler perceptions and airline choice: a multivariate probit approach. </w:t>
              </w:r>
              <w:r w:rsidRPr="00E0308F">
                <w:rPr>
                  <w:rFonts w:ascii="Times New Roman" w:hAnsi="Times New Roman" w:cs="Times New Roman"/>
                  <w:i/>
                  <w:iCs/>
                  <w:noProof/>
                  <w:color w:val="000000" w:themeColor="text1"/>
                </w:rPr>
                <w:t>Journal of Air Transport Management</w:t>
              </w:r>
              <w:r w:rsidRPr="00E0308F">
                <w:rPr>
                  <w:rFonts w:ascii="Times New Roman" w:hAnsi="Times New Roman" w:cs="Times New Roman"/>
                  <w:noProof/>
                  <w:color w:val="000000" w:themeColor="text1"/>
                </w:rPr>
                <w:t>, s. 46-52.</w:t>
              </w:r>
            </w:p>
            <w:p w14:paraId="36B7A734" w14:textId="77777777" w:rsidR="00057033" w:rsidRPr="00E0308F" w:rsidRDefault="00057033" w:rsidP="00057033">
              <w:pPr>
                <w:ind w:left="567" w:hanging="567"/>
                <w:jc w:val="both"/>
                <w:rPr>
                  <w:rFonts w:ascii="Times New Roman" w:hAnsi="Times New Roman" w:cs="Times New Roman"/>
                  <w:noProof/>
                  <w:color w:val="000000" w:themeColor="text1"/>
                </w:rPr>
              </w:pPr>
              <w:r w:rsidRPr="00E0308F">
                <w:rPr>
                  <w:rFonts w:ascii="Times New Roman" w:hAnsi="Times New Roman" w:cs="Times New Roman"/>
                  <w:noProof/>
                  <w:color w:val="000000" w:themeColor="text1"/>
                </w:rPr>
                <w:t xml:space="preserve">MacAvoy, P W ve Snow, J W. (1977). Regulation of Passenger Fares and Competition Among the Airlines. </w:t>
              </w:r>
              <w:r w:rsidRPr="00E0308F">
                <w:rPr>
                  <w:rFonts w:ascii="Times New Roman" w:hAnsi="Times New Roman" w:cs="Times New Roman"/>
                  <w:i/>
                  <w:noProof/>
                  <w:color w:val="000000" w:themeColor="text1"/>
                </w:rPr>
                <w:t>American Enterprise Institute for Public Policy Research,</w:t>
              </w:r>
              <w:r w:rsidRPr="00E0308F">
                <w:rPr>
                  <w:rFonts w:ascii="Times New Roman" w:hAnsi="Times New Roman" w:cs="Times New Roman"/>
                  <w:noProof/>
                  <w:color w:val="000000" w:themeColor="text1"/>
                </w:rPr>
                <w:t xml:space="preserve"> Washington.</w:t>
              </w:r>
            </w:p>
            <w:p w14:paraId="3E9646D0" w14:textId="77777777" w:rsidR="00057033" w:rsidRPr="00E0308F" w:rsidRDefault="00057033" w:rsidP="00057033">
              <w:pPr>
                <w:ind w:left="567" w:hanging="567"/>
                <w:jc w:val="both"/>
                <w:rPr>
                  <w:rFonts w:ascii="Times New Roman" w:hAnsi="Times New Roman" w:cs="Times New Roman"/>
                  <w:noProof/>
                  <w:color w:val="000000" w:themeColor="text1"/>
                </w:rPr>
              </w:pPr>
              <w:r w:rsidRPr="00E0308F">
                <w:rPr>
                  <w:rFonts w:ascii="Times New Roman" w:hAnsi="Times New Roman" w:cs="Times New Roman"/>
                  <w:noProof/>
                  <w:color w:val="000000" w:themeColor="text1"/>
                </w:rPr>
                <w:t xml:space="preserve">Maneenop S ve Kotcharin S. (2020). The impacts of COVİD-19 on the global airline industry: An event study approach, </w:t>
              </w:r>
              <w:r w:rsidRPr="00E0308F">
                <w:rPr>
                  <w:rFonts w:ascii="Times New Roman" w:hAnsi="Times New Roman" w:cs="Times New Roman"/>
                  <w:i/>
                  <w:noProof/>
                  <w:color w:val="000000" w:themeColor="text1"/>
                </w:rPr>
                <w:t>Journal of Air Transport Management</w:t>
              </w:r>
              <w:r w:rsidRPr="00E0308F">
                <w:rPr>
                  <w:rFonts w:ascii="Times New Roman" w:hAnsi="Times New Roman" w:cs="Times New Roman"/>
                  <w:noProof/>
                  <w:color w:val="000000" w:themeColor="text1"/>
                </w:rPr>
                <w:t>, 89.</w:t>
              </w:r>
            </w:p>
            <w:p w14:paraId="262779FF" w14:textId="77777777" w:rsidR="00057033" w:rsidRPr="00E0308F" w:rsidRDefault="00057033" w:rsidP="00057033">
              <w:pPr>
                <w:ind w:left="567" w:hanging="567"/>
                <w:jc w:val="both"/>
                <w:rPr>
                  <w:rFonts w:ascii="Times New Roman" w:hAnsi="Times New Roman" w:cs="Times New Roman"/>
                  <w:noProof/>
                  <w:color w:val="000000" w:themeColor="text1"/>
                </w:rPr>
              </w:pPr>
              <w:r w:rsidRPr="00E0308F">
                <w:rPr>
                  <w:rFonts w:ascii="Times New Roman" w:hAnsi="Times New Roman" w:cs="Times New Roman"/>
                  <w:noProof/>
                  <w:color w:val="000000" w:themeColor="text1"/>
                </w:rPr>
                <w:t xml:space="preserve">Monmousseau P., Marzuoli A., Feron E. ve Delahaye D.,(2020). "Impact of Covid-19 on passengers and airlines from passengermeasurements: Managing customer satisfaction while putting the US AirTransportation System to sleep."  </w:t>
              </w:r>
              <w:r w:rsidRPr="00E0308F">
                <w:rPr>
                  <w:rFonts w:ascii="Times New Roman" w:hAnsi="Times New Roman" w:cs="Times New Roman"/>
                  <w:i/>
                  <w:noProof/>
                  <w:color w:val="000000" w:themeColor="text1"/>
                </w:rPr>
                <w:t>Transportation Research Interdisciplinary Perspectives</w:t>
              </w:r>
              <w:r w:rsidRPr="00E0308F">
                <w:rPr>
                  <w:rFonts w:ascii="Times New Roman" w:hAnsi="Times New Roman" w:cs="Times New Roman"/>
                  <w:noProof/>
                  <w:color w:val="000000" w:themeColor="text1"/>
                </w:rPr>
                <w:t>, 7, 1-11</w:t>
              </w:r>
            </w:p>
            <w:p w14:paraId="537FFCB5" w14:textId="77777777" w:rsidR="00057033" w:rsidRPr="00E0308F" w:rsidRDefault="00057033" w:rsidP="00057033">
              <w:pPr>
                <w:ind w:left="567" w:hanging="567"/>
                <w:jc w:val="both"/>
                <w:rPr>
                  <w:rFonts w:ascii="Times New Roman" w:hAnsi="Times New Roman" w:cs="Times New Roman"/>
                  <w:noProof/>
                  <w:color w:val="000000" w:themeColor="text1"/>
                </w:rPr>
              </w:pPr>
              <w:r w:rsidRPr="00E0308F">
                <w:rPr>
                  <w:rFonts w:ascii="Times New Roman" w:hAnsi="Times New Roman" w:cs="Times New Roman"/>
                  <w:noProof/>
                  <w:color w:val="000000" w:themeColor="text1"/>
                </w:rPr>
                <w:t>Ostrowski R.L., O’ Brien T.V. ve Goedon G.L., (1993). Service quality and customer loyalty in the commercial airline industry, Journal of Travel Resource 32 (1993), pp. 16-24.</w:t>
              </w:r>
            </w:p>
            <w:p w14:paraId="700E9A1F" w14:textId="77777777" w:rsidR="00057033" w:rsidRPr="00E0308F" w:rsidRDefault="00057033" w:rsidP="00057033">
              <w:pPr>
                <w:ind w:left="567" w:hanging="567"/>
                <w:jc w:val="both"/>
                <w:rPr>
                  <w:rFonts w:ascii="Times New Roman" w:hAnsi="Times New Roman" w:cs="Times New Roman"/>
                  <w:noProof/>
                  <w:color w:val="000000" w:themeColor="text1"/>
                </w:rPr>
              </w:pPr>
              <w:r w:rsidRPr="00E0308F">
                <w:rPr>
                  <w:rFonts w:ascii="Times New Roman" w:hAnsi="Times New Roman" w:cs="Times New Roman"/>
                  <w:noProof/>
                  <w:color w:val="000000" w:themeColor="text1"/>
                </w:rPr>
                <w:t>Park H. ve Almanza B.  (2020). "What Do Airplane Travelers Think about the Cleanliness of Airplanes and How Do They Try to Prevent Themselves from Getting Sick?" Journal of Quality Assurance in Hospitality &amp; Tourism, 21:6, 738-757, DOI: 10.1080/1528008X.2020.1746222</w:t>
              </w:r>
            </w:p>
            <w:p w14:paraId="7B3B8674" w14:textId="77777777" w:rsidR="00057033" w:rsidRPr="00E0308F" w:rsidRDefault="00057033" w:rsidP="00057033">
              <w:pPr>
                <w:ind w:left="567" w:hanging="567"/>
                <w:jc w:val="both"/>
                <w:rPr>
                  <w:rFonts w:ascii="Times New Roman" w:hAnsi="Times New Roman" w:cs="Times New Roman"/>
                  <w:noProof/>
                  <w:color w:val="000000" w:themeColor="text1"/>
                </w:rPr>
              </w:pPr>
              <w:r w:rsidRPr="00E0308F">
                <w:rPr>
                  <w:rFonts w:ascii="Times New Roman" w:hAnsi="Times New Roman" w:cs="Times New Roman"/>
                  <w:noProof/>
                  <w:color w:val="000000" w:themeColor="text1"/>
                </w:rPr>
                <w:t xml:space="preserve">Park S., Lee S.J ve Nicolau L. J.(2020). Understanding the dynamics of the quality of airline service attributes: Satisfiers and dissatisfiers, </w:t>
              </w:r>
              <w:r w:rsidRPr="00E0308F">
                <w:rPr>
                  <w:rFonts w:ascii="Times New Roman" w:hAnsi="Times New Roman" w:cs="Times New Roman"/>
                  <w:i/>
                  <w:noProof/>
                  <w:color w:val="000000" w:themeColor="text1"/>
                </w:rPr>
                <w:t>Tourism Management</w:t>
              </w:r>
              <w:r w:rsidRPr="00E0308F">
                <w:rPr>
                  <w:rFonts w:ascii="Times New Roman" w:hAnsi="Times New Roman" w:cs="Times New Roman"/>
                  <w:noProof/>
                  <w:color w:val="000000" w:themeColor="text1"/>
                </w:rPr>
                <w:t>, v.81, s.1-8</w:t>
              </w:r>
            </w:p>
            <w:p w14:paraId="35A1FF43" w14:textId="77777777" w:rsidR="00057033" w:rsidRPr="00E0308F" w:rsidRDefault="00057033" w:rsidP="00057033">
              <w:pPr>
                <w:ind w:left="567" w:hanging="567"/>
                <w:jc w:val="both"/>
                <w:rPr>
                  <w:rFonts w:ascii="Times New Roman" w:hAnsi="Times New Roman" w:cs="Times New Roman"/>
                  <w:noProof/>
                  <w:color w:val="000000" w:themeColor="text1"/>
                </w:rPr>
              </w:pPr>
              <w:r w:rsidRPr="00E0308F">
                <w:rPr>
                  <w:rFonts w:ascii="Times New Roman" w:hAnsi="Times New Roman" w:cs="Times New Roman"/>
                  <w:noProof/>
                  <w:color w:val="000000" w:themeColor="text1"/>
                </w:rPr>
                <w:t xml:space="preserve">Polat İ, Erdoğan D ve Sesliokuyucu S. O. (2020).  Airline passengers’ travel intention in the Covid-19 era, IV. International Applied Social Sciences Congress , 22-24 Ekim 2020. Turkey. </w:t>
              </w:r>
            </w:p>
            <w:p w14:paraId="22CA6F34" w14:textId="77777777" w:rsidR="00057033" w:rsidRPr="00E0308F" w:rsidRDefault="00057033" w:rsidP="00057033">
              <w:pPr>
                <w:ind w:left="567" w:hanging="567"/>
                <w:jc w:val="both"/>
                <w:rPr>
                  <w:rFonts w:ascii="Times New Roman" w:hAnsi="Times New Roman" w:cs="Times New Roman"/>
                  <w:noProof/>
                  <w:color w:val="000000" w:themeColor="text1"/>
                </w:rPr>
              </w:pPr>
              <w:r w:rsidRPr="00E0308F">
                <w:rPr>
                  <w:rFonts w:ascii="Times New Roman" w:hAnsi="Times New Roman" w:cs="Times New Roman"/>
                  <w:noProof/>
                  <w:color w:val="000000" w:themeColor="text1"/>
                </w:rPr>
                <w:t xml:space="preserve">Samanci, S., Atalay, K. D. ve Isin F. B.. (2021). Focusing on the big picture while observing the concerns of both managers and passengers in the post-COVİD era. </w:t>
              </w:r>
              <w:r w:rsidRPr="00E0308F">
                <w:rPr>
                  <w:rFonts w:ascii="Times New Roman" w:hAnsi="Times New Roman" w:cs="Times New Roman"/>
                  <w:i/>
                  <w:iCs/>
                  <w:noProof/>
                  <w:color w:val="000000" w:themeColor="text1"/>
                </w:rPr>
                <w:t>Journal of Air Transport Management,</w:t>
              </w:r>
              <w:r w:rsidRPr="00E0308F">
                <w:rPr>
                  <w:rFonts w:ascii="Times New Roman" w:hAnsi="Times New Roman" w:cs="Times New Roman"/>
                  <w:noProof/>
                  <w:color w:val="000000" w:themeColor="text1"/>
                </w:rPr>
                <w:t>(90), s. 1-10.</w:t>
              </w:r>
            </w:p>
            <w:p w14:paraId="4B18EAC4" w14:textId="77777777" w:rsidR="00057033" w:rsidRPr="00E0308F" w:rsidRDefault="00057033" w:rsidP="00057033">
              <w:pPr>
                <w:ind w:left="567" w:hanging="567"/>
                <w:jc w:val="both"/>
                <w:rPr>
                  <w:rFonts w:ascii="Times New Roman" w:hAnsi="Times New Roman" w:cs="Times New Roman"/>
                  <w:noProof/>
                  <w:color w:val="000000" w:themeColor="text1"/>
                </w:rPr>
              </w:pPr>
              <w:r w:rsidRPr="00E0308F">
                <w:rPr>
                  <w:rFonts w:ascii="Times New Roman" w:hAnsi="Times New Roman" w:cs="Times New Roman"/>
                  <w:noProof/>
                  <w:color w:val="000000" w:themeColor="text1"/>
                </w:rPr>
                <w:t xml:space="preserve">Shen, C. ve Yahya, Y. (2021). The impact of service quality and price on passengers' loyalty towards low-cost airlines: The Southeast Asia perspective. </w:t>
              </w:r>
              <w:r w:rsidRPr="00E0308F">
                <w:rPr>
                  <w:rFonts w:ascii="Times New Roman" w:hAnsi="Times New Roman" w:cs="Times New Roman"/>
                  <w:i/>
                  <w:iCs/>
                  <w:noProof/>
                  <w:color w:val="000000" w:themeColor="text1"/>
                </w:rPr>
                <w:t>Journal of Air Transport Management</w:t>
              </w:r>
              <w:r w:rsidRPr="00E0308F">
                <w:rPr>
                  <w:rFonts w:ascii="Times New Roman" w:hAnsi="Times New Roman" w:cs="Times New Roman"/>
                  <w:noProof/>
                  <w:color w:val="000000" w:themeColor="text1"/>
                </w:rPr>
                <w:t>(91), s. 1-10.</w:t>
              </w:r>
            </w:p>
            <w:p w14:paraId="15F348FB" w14:textId="77777777" w:rsidR="00057033" w:rsidRPr="00E0308F" w:rsidRDefault="00057033" w:rsidP="00057033">
              <w:pPr>
                <w:ind w:left="567" w:hanging="567"/>
                <w:jc w:val="both"/>
                <w:rPr>
                  <w:rFonts w:ascii="Times New Roman" w:hAnsi="Times New Roman" w:cs="Times New Roman"/>
                  <w:color w:val="000000" w:themeColor="text1"/>
                </w:rPr>
              </w:pPr>
              <w:r w:rsidRPr="00E0308F">
                <w:rPr>
                  <w:rFonts w:ascii="Times New Roman" w:hAnsi="Times New Roman" w:cs="Times New Roman"/>
                  <w:color w:val="000000" w:themeColor="text1"/>
                </w:rPr>
                <w:lastRenderedPageBreak/>
                <w:t>Şahbaz, R.P. ve Yüksel S. (2008). Türkiye’de Ulaştırma Aracı Seçiminde Etkili Olan Etkenler Ve Demiryollarının Rekabet Edebilirliği,</w:t>
              </w:r>
              <w:r w:rsidRPr="00E0308F">
                <w:rPr>
                  <w:rFonts w:ascii="Times New Roman" w:hAnsi="Times New Roman" w:cs="Times New Roman"/>
                  <w:i/>
                  <w:color w:val="000000" w:themeColor="text1"/>
                </w:rPr>
                <w:t xml:space="preserve"> Elektronik Sosyal Bilimler Dergisi, </w:t>
              </w:r>
              <w:r w:rsidRPr="00E0308F">
                <w:rPr>
                  <w:rFonts w:ascii="Times New Roman" w:hAnsi="Times New Roman" w:cs="Times New Roman"/>
                  <w:color w:val="000000" w:themeColor="text1"/>
                </w:rPr>
                <w:t>7(25), s.197-211</w:t>
              </w:r>
            </w:p>
            <w:p w14:paraId="31438E9D" w14:textId="77777777" w:rsidR="00057033" w:rsidRPr="00E0308F" w:rsidRDefault="00057033" w:rsidP="00057033">
              <w:pPr>
                <w:ind w:left="567" w:hanging="567"/>
                <w:jc w:val="both"/>
                <w:rPr>
                  <w:rFonts w:ascii="Times New Roman" w:hAnsi="Times New Roman" w:cs="Times New Roman"/>
                  <w:color w:val="000000" w:themeColor="text1"/>
                </w:rPr>
              </w:pPr>
              <w:r w:rsidRPr="00E0308F">
                <w:rPr>
                  <w:rFonts w:ascii="Times New Roman" w:hAnsi="Times New Roman" w:cs="Times New Roman"/>
                  <w:color w:val="000000" w:themeColor="text1"/>
                </w:rPr>
                <w:t>Traustadóttir, E. S (2020). Customer journey preferences during the COVİD-19 pandemic: the case of Icelandair, Reykjavík University, İşletme Bölümü Yayınlanmamş Yüksek Lisans Tezi, https://skemman.is/handle/1946/37164?locale=en</w:t>
              </w:r>
            </w:p>
            <w:p w14:paraId="07C2F72D" w14:textId="77777777" w:rsidR="00057033" w:rsidRPr="00E0308F" w:rsidRDefault="00057033" w:rsidP="00057033">
              <w:pPr>
                <w:ind w:left="567" w:hanging="567"/>
                <w:jc w:val="both"/>
                <w:rPr>
                  <w:rFonts w:ascii="Times New Roman" w:hAnsi="Times New Roman" w:cs="Times New Roman"/>
                  <w:noProof/>
                  <w:color w:val="000000" w:themeColor="text1"/>
                </w:rPr>
              </w:pPr>
              <w:r w:rsidRPr="00E0308F">
                <w:rPr>
                  <w:rFonts w:ascii="Times New Roman" w:hAnsi="Times New Roman" w:cs="Times New Roman"/>
                  <w:noProof/>
                  <w:color w:val="000000" w:themeColor="text1"/>
                </w:rPr>
                <w:t xml:space="preserve">worldometers. (2021). </w:t>
              </w:r>
              <w:r w:rsidRPr="00E0308F">
                <w:rPr>
                  <w:rFonts w:ascii="Times New Roman" w:hAnsi="Times New Roman" w:cs="Times New Roman"/>
                  <w:i/>
                  <w:iCs/>
                  <w:noProof/>
                  <w:color w:val="000000" w:themeColor="text1"/>
                </w:rPr>
                <w:t>COVİD-19 CORONAVIRUS PANDEMIC</w:t>
              </w:r>
              <w:r w:rsidRPr="00E0308F">
                <w:rPr>
                  <w:rFonts w:ascii="Times New Roman" w:hAnsi="Times New Roman" w:cs="Times New Roman"/>
                  <w:noProof/>
                  <w:color w:val="000000" w:themeColor="text1"/>
                </w:rPr>
                <w:t>. https://www.worldometers.info/coronavirus/ adresinden alındı, Erişim Tarihi:14.4.2021.</w:t>
              </w:r>
            </w:p>
            <w:p w14:paraId="5D914087" w14:textId="77777777" w:rsidR="00057033" w:rsidRPr="00E0308F" w:rsidRDefault="00057033" w:rsidP="00057033">
              <w:pPr>
                <w:ind w:left="567" w:hanging="567"/>
                <w:jc w:val="both"/>
                <w:rPr>
                  <w:rFonts w:ascii="Times New Roman" w:hAnsi="Times New Roman" w:cs="Times New Roman"/>
                  <w:noProof/>
                  <w:color w:val="000000" w:themeColor="text1"/>
                </w:rPr>
              </w:pPr>
              <w:r w:rsidRPr="00E0308F">
                <w:rPr>
                  <w:rFonts w:ascii="Times New Roman" w:hAnsi="Times New Roman" w:cs="Times New Roman"/>
                  <w:noProof/>
                  <w:color w:val="000000" w:themeColor="text1"/>
                </w:rPr>
                <w:t xml:space="preserve">Yang, K., Hsieh, T., ve H. Li, C. Y. (2012). Assessing how service quality, airline image and customer value affect the intentions of passengers regarding low cost carriers. </w:t>
              </w:r>
              <w:r w:rsidRPr="00E0308F">
                <w:rPr>
                  <w:rFonts w:ascii="Times New Roman" w:hAnsi="Times New Roman" w:cs="Times New Roman"/>
                  <w:i/>
                  <w:iCs/>
                  <w:noProof/>
                  <w:color w:val="000000" w:themeColor="text1"/>
                </w:rPr>
                <w:t>Journal of Air Transport Management</w:t>
              </w:r>
              <w:r w:rsidRPr="00E0308F">
                <w:rPr>
                  <w:rFonts w:ascii="Times New Roman" w:hAnsi="Times New Roman" w:cs="Times New Roman"/>
                  <w:noProof/>
                  <w:color w:val="000000" w:themeColor="text1"/>
                </w:rPr>
                <w:t>, s. 52-53.</w:t>
              </w:r>
            </w:p>
            <w:p w14:paraId="28656A50" w14:textId="77777777" w:rsidR="00057033" w:rsidRPr="00E0308F" w:rsidRDefault="00057033" w:rsidP="00057033">
              <w:pPr>
                <w:ind w:left="567" w:hanging="567"/>
                <w:jc w:val="both"/>
                <w:rPr>
                  <w:rFonts w:ascii="Times New Roman" w:hAnsi="Times New Roman" w:cs="Times New Roman"/>
                  <w:color w:val="000000" w:themeColor="text1"/>
                </w:rPr>
              </w:pPr>
              <w:r w:rsidRPr="00E0308F">
                <w:rPr>
                  <w:rFonts w:ascii="Times New Roman" w:hAnsi="Times New Roman" w:cs="Times New Roman"/>
                  <w:color w:val="000000" w:themeColor="text1"/>
                </w:rPr>
                <w:t xml:space="preserve">Zeren, D. ve Kara, A. (2021). "Effects of Brand Heritage on Intentions to Buy of Airline Services: The Mediating Roles of Brand Trust and Brand Loyalty". </w:t>
              </w:r>
              <w:r w:rsidRPr="00E0308F">
                <w:rPr>
                  <w:rFonts w:ascii="Times New Roman" w:hAnsi="Times New Roman" w:cs="Times New Roman"/>
                  <w:i/>
                  <w:color w:val="000000" w:themeColor="text1"/>
                </w:rPr>
                <w:t>Sustainability,</w:t>
              </w:r>
              <w:r w:rsidRPr="00E0308F">
                <w:rPr>
                  <w:rFonts w:ascii="Times New Roman" w:hAnsi="Times New Roman" w:cs="Times New Roman"/>
                  <w:color w:val="000000" w:themeColor="text1"/>
                </w:rPr>
                <w:t xml:space="preserve"> 13, 303. https://doi.org/10.3390/su13010303</w:t>
              </w:r>
            </w:p>
            <w:p w14:paraId="55AC4EC9" w14:textId="77777777" w:rsidR="00057033" w:rsidRPr="00164238" w:rsidRDefault="00057033" w:rsidP="00057033">
              <w:pPr>
                <w:jc w:val="both"/>
                <w:rPr>
                  <w:rFonts w:ascii="Times New Roman" w:hAnsi="Times New Roman" w:cs="Times New Roman"/>
                  <w:color w:val="000000" w:themeColor="text1"/>
                </w:rPr>
              </w:pPr>
              <w:r w:rsidRPr="00E0308F">
                <w:rPr>
                  <w:rFonts w:ascii="Times New Roman" w:hAnsi="Times New Roman" w:cs="Times New Roman"/>
                  <w:b/>
                  <w:bCs/>
                  <w:color w:val="000000" w:themeColor="text1"/>
                </w:rPr>
                <w:fldChar w:fldCharType="end"/>
              </w:r>
            </w:p>
          </w:sdtContent>
        </w:sdt>
      </w:sdtContent>
    </w:sdt>
    <w:p w14:paraId="64FECA7A" w14:textId="77777777" w:rsidR="00CB6608" w:rsidRPr="00164238" w:rsidRDefault="00CB6608" w:rsidP="00C57500">
      <w:pPr>
        <w:jc w:val="both"/>
        <w:rPr>
          <w:rFonts w:ascii="Times New Roman" w:hAnsi="Times New Roman" w:cs="Times New Roman"/>
          <w:color w:val="000000" w:themeColor="text1"/>
        </w:rPr>
      </w:pPr>
    </w:p>
    <w:p w14:paraId="4ECB27EF" w14:textId="3B2A8820" w:rsidR="00F17FEC" w:rsidRPr="00164238" w:rsidRDefault="00F17FEC" w:rsidP="00F17FEC">
      <w:pPr>
        <w:spacing w:before="120" w:after="120" w:line="360" w:lineRule="auto"/>
        <w:jc w:val="both"/>
        <w:rPr>
          <w:rFonts w:ascii="Times New Roman" w:hAnsi="Times New Roman" w:cs="Times New Roman"/>
          <w:color w:val="000000" w:themeColor="text1"/>
        </w:rPr>
      </w:pPr>
    </w:p>
    <w:p w14:paraId="69B50718" w14:textId="6A895190" w:rsidR="00057033" w:rsidRPr="00164238" w:rsidRDefault="00057033" w:rsidP="00F17FEC">
      <w:pPr>
        <w:spacing w:before="120" w:after="120" w:line="360" w:lineRule="auto"/>
        <w:jc w:val="both"/>
        <w:rPr>
          <w:rFonts w:ascii="Times New Roman" w:hAnsi="Times New Roman" w:cs="Times New Roman"/>
          <w:color w:val="000000" w:themeColor="text1"/>
        </w:rPr>
      </w:pPr>
    </w:p>
    <w:p w14:paraId="310AFC45" w14:textId="773CACE9" w:rsidR="000214F4" w:rsidRPr="00164238" w:rsidRDefault="000214F4" w:rsidP="00F17FEC">
      <w:pPr>
        <w:spacing w:before="120" w:after="120" w:line="360" w:lineRule="auto"/>
        <w:jc w:val="both"/>
        <w:rPr>
          <w:rFonts w:ascii="Times New Roman" w:hAnsi="Times New Roman" w:cs="Times New Roman"/>
          <w:color w:val="000000" w:themeColor="text1"/>
        </w:rPr>
      </w:pPr>
    </w:p>
    <w:p w14:paraId="6DC25C34" w14:textId="51E7F25E" w:rsidR="000214F4" w:rsidRPr="00164238" w:rsidRDefault="000214F4" w:rsidP="00F17FEC">
      <w:pPr>
        <w:spacing w:before="120" w:after="120" w:line="360" w:lineRule="auto"/>
        <w:jc w:val="both"/>
        <w:rPr>
          <w:rFonts w:ascii="Times New Roman" w:hAnsi="Times New Roman" w:cs="Times New Roman"/>
          <w:color w:val="000000" w:themeColor="text1"/>
        </w:rPr>
      </w:pPr>
    </w:p>
    <w:p w14:paraId="4A49DC4F" w14:textId="63258785" w:rsidR="000214F4" w:rsidRPr="00164238" w:rsidRDefault="000214F4" w:rsidP="00F17FEC">
      <w:pPr>
        <w:spacing w:before="120" w:after="120" w:line="360" w:lineRule="auto"/>
        <w:jc w:val="both"/>
        <w:rPr>
          <w:rFonts w:ascii="Times New Roman" w:hAnsi="Times New Roman" w:cs="Times New Roman"/>
          <w:color w:val="000000" w:themeColor="text1"/>
        </w:rPr>
      </w:pPr>
    </w:p>
    <w:p w14:paraId="31CCF70C" w14:textId="7A057F75" w:rsidR="000214F4" w:rsidRPr="00164238" w:rsidRDefault="000214F4" w:rsidP="00F17FEC">
      <w:pPr>
        <w:spacing w:before="120" w:after="120" w:line="360" w:lineRule="auto"/>
        <w:jc w:val="both"/>
        <w:rPr>
          <w:rFonts w:ascii="Times New Roman" w:hAnsi="Times New Roman" w:cs="Times New Roman"/>
          <w:color w:val="000000" w:themeColor="text1"/>
        </w:rPr>
      </w:pPr>
    </w:p>
    <w:p w14:paraId="3FF7A111" w14:textId="3E57C413" w:rsidR="000214F4" w:rsidRPr="00164238" w:rsidRDefault="000214F4" w:rsidP="00F17FEC">
      <w:pPr>
        <w:spacing w:before="120" w:after="120" w:line="360" w:lineRule="auto"/>
        <w:jc w:val="both"/>
        <w:rPr>
          <w:rFonts w:ascii="Times New Roman" w:hAnsi="Times New Roman" w:cs="Times New Roman"/>
          <w:color w:val="000000" w:themeColor="text1"/>
        </w:rPr>
      </w:pPr>
    </w:p>
    <w:p w14:paraId="4809EACA" w14:textId="19190C2A" w:rsidR="000214F4" w:rsidRPr="00164238" w:rsidRDefault="000214F4" w:rsidP="00F17FEC">
      <w:pPr>
        <w:spacing w:before="120" w:after="120" w:line="360" w:lineRule="auto"/>
        <w:jc w:val="both"/>
        <w:rPr>
          <w:rFonts w:ascii="Times New Roman" w:hAnsi="Times New Roman" w:cs="Times New Roman"/>
          <w:color w:val="000000" w:themeColor="text1"/>
        </w:rPr>
      </w:pPr>
    </w:p>
    <w:p w14:paraId="70F47050" w14:textId="494E1793" w:rsidR="000214F4" w:rsidRPr="00164238" w:rsidRDefault="000214F4" w:rsidP="00F17FEC">
      <w:pPr>
        <w:spacing w:before="120" w:after="120" w:line="360" w:lineRule="auto"/>
        <w:jc w:val="both"/>
        <w:rPr>
          <w:rFonts w:ascii="Times New Roman" w:hAnsi="Times New Roman" w:cs="Times New Roman"/>
          <w:color w:val="000000" w:themeColor="text1"/>
        </w:rPr>
      </w:pPr>
    </w:p>
    <w:p w14:paraId="53EB4049" w14:textId="15FD9D8C" w:rsidR="000214F4" w:rsidRPr="00164238" w:rsidRDefault="000214F4" w:rsidP="00F17FEC">
      <w:pPr>
        <w:spacing w:before="120" w:after="120" w:line="360" w:lineRule="auto"/>
        <w:jc w:val="both"/>
        <w:rPr>
          <w:rFonts w:ascii="Times New Roman" w:hAnsi="Times New Roman" w:cs="Times New Roman"/>
          <w:color w:val="000000" w:themeColor="text1"/>
        </w:rPr>
      </w:pPr>
    </w:p>
    <w:p w14:paraId="3D91CBF1" w14:textId="770F22AE" w:rsidR="000214F4" w:rsidRPr="00164238" w:rsidRDefault="000214F4" w:rsidP="00F17FEC">
      <w:pPr>
        <w:spacing w:before="120" w:after="120" w:line="360" w:lineRule="auto"/>
        <w:jc w:val="both"/>
        <w:rPr>
          <w:rFonts w:ascii="Times New Roman" w:hAnsi="Times New Roman" w:cs="Times New Roman"/>
          <w:color w:val="000000" w:themeColor="text1"/>
        </w:rPr>
      </w:pPr>
    </w:p>
    <w:p w14:paraId="1AB25597" w14:textId="77777777" w:rsidR="000214F4" w:rsidRPr="00164238" w:rsidRDefault="000214F4" w:rsidP="00F17FEC">
      <w:pPr>
        <w:spacing w:before="120" w:after="120" w:line="360" w:lineRule="auto"/>
        <w:jc w:val="both"/>
        <w:rPr>
          <w:rFonts w:ascii="Times New Roman" w:hAnsi="Times New Roman" w:cs="Times New Roman"/>
          <w:color w:val="000000" w:themeColor="text1"/>
        </w:rPr>
      </w:pPr>
    </w:p>
    <w:p w14:paraId="551C7F7F" w14:textId="415404C0" w:rsidR="004C6717" w:rsidRPr="00164238" w:rsidRDefault="004C6717" w:rsidP="00F17FEC">
      <w:pPr>
        <w:spacing w:before="120" w:after="120" w:line="360" w:lineRule="auto"/>
        <w:jc w:val="both"/>
        <w:rPr>
          <w:rFonts w:ascii="Times New Roman" w:hAnsi="Times New Roman" w:cs="Times New Roman"/>
          <w:color w:val="000000" w:themeColor="text1"/>
        </w:rPr>
      </w:pPr>
    </w:p>
    <w:p w14:paraId="4F471CE1" w14:textId="77777777" w:rsidR="004C6717" w:rsidRPr="00164238" w:rsidRDefault="004C6717" w:rsidP="00F17FEC">
      <w:pPr>
        <w:spacing w:before="120" w:after="120" w:line="360" w:lineRule="auto"/>
        <w:jc w:val="both"/>
        <w:rPr>
          <w:rFonts w:ascii="Times New Roman" w:hAnsi="Times New Roman" w:cs="Times New Roman"/>
          <w:color w:val="000000" w:themeColor="text1"/>
        </w:rPr>
      </w:pPr>
    </w:p>
    <w:p w14:paraId="0A8FE70E" w14:textId="67608916" w:rsidR="004C6717" w:rsidRPr="00164238" w:rsidRDefault="00A44C3D" w:rsidP="00287A05">
      <w:pPr>
        <w:pStyle w:val="Balk1"/>
        <w:rPr>
          <w:rFonts w:ascii="Times New Roman" w:eastAsia="Calibri" w:hAnsi="Times New Roman" w:cs="Times New Roman"/>
          <w:b/>
          <w:bCs/>
          <w:color w:val="000000" w:themeColor="text1"/>
          <w:sz w:val="28"/>
          <w:szCs w:val="28"/>
          <w:lang w:val="en-GB"/>
        </w:rPr>
      </w:pPr>
      <w:bookmarkStart w:id="46" w:name="_Toc72961677"/>
      <w:r w:rsidRPr="00164238">
        <w:rPr>
          <w:rFonts w:ascii="Times New Roman" w:eastAsia="Calibri" w:hAnsi="Times New Roman" w:cs="Times New Roman"/>
          <w:b/>
          <w:bCs/>
          <w:color w:val="000000" w:themeColor="text1"/>
          <w:sz w:val="28"/>
          <w:szCs w:val="28"/>
          <w:lang w:val="en-GB"/>
        </w:rPr>
        <w:lastRenderedPageBreak/>
        <w:t>İKİ FARKLI YÖNETİM GELENEĞİNİN COVID-19 SALGINI SONUÇLARINA OLASI ETİLERİ: ALTI AVRUPA ÜLKESİNİN İNCELENMESİ</w:t>
      </w:r>
      <w:bookmarkEnd w:id="46"/>
    </w:p>
    <w:p w14:paraId="4D9FAC2C" w14:textId="77777777" w:rsidR="004C6717" w:rsidRPr="00164238" w:rsidRDefault="004C6717" w:rsidP="004C6717">
      <w:pPr>
        <w:spacing w:after="0" w:line="240" w:lineRule="auto"/>
        <w:jc w:val="center"/>
        <w:rPr>
          <w:rFonts w:ascii="Times New Roman" w:eastAsia="Calibri" w:hAnsi="Times New Roman" w:cs="Times New Roman"/>
          <w:color w:val="000000" w:themeColor="text1"/>
          <w:sz w:val="20"/>
          <w:szCs w:val="20"/>
          <w:lang w:val="en-GB"/>
        </w:rPr>
      </w:pPr>
    </w:p>
    <w:p w14:paraId="019CF4A5" w14:textId="77777777" w:rsidR="004C6717" w:rsidRPr="00164238" w:rsidRDefault="004C6717" w:rsidP="004C6717">
      <w:pPr>
        <w:spacing w:after="0" w:line="240" w:lineRule="auto"/>
        <w:jc w:val="center"/>
        <w:rPr>
          <w:rFonts w:ascii="Times New Roman" w:eastAsia="Calibri" w:hAnsi="Times New Roman" w:cs="Times New Roman"/>
          <w:color w:val="000000" w:themeColor="text1"/>
          <w:sz w:val="20"/>
          <w:szCs w:val="20"/>
          <w:lang w:val="en-GB"/>
        </w:rPr>
      </w:pPr>
    </w:p>
    <w:p w14:paraId="3814B298" w14:textId="5844F717" w:rsidR="004C6717" w:rsidRPr="00164238" w:rsidRDefault="00A44C3D" w:rsidP="00287A05">
      <w:pPr>
        <w:pStyle w:val="Balk2"/>
        <w:rPr>
          <w:rFonts w:ascii="Times New Roman" w:eastAsia="Calibri" w:hAnsi="Times New Roman" w:cs="Times New Roman"/>
          <w:b w:val="0"/>
          <w:color w:val="000000" w:themeColor="text1"/>
          <w:sz w:val="20"/>
          <w:szCs w:val="20"/>
          <w:lang w:val="en-GB"/>
        </w:rPr>
      </w:pPr>
      <w:bookmarkStart w:id="47" w:name="_Toc72961678"/>
      <w:r w:rsidRPr="00164238">
        <w:rPr>
          <w:rFonts w:ascii="Times New Roman" w:eastAsia="Calibri" w:hAnsi="Times New Roman" w:cs="Times New Roman"/>
          <w:b w:val="0"/>
          <w:i w:val="0"/>
          <w:color w:val="000000" w:themeColor="text1"/>
          <w:sz w:val="20"/>
          <w:szCs w:val="20"/>
          <w:lang w:val="en-GB"/>
        </w:rPr>
        <w:t xml:space="preserve">Öğr.Gör. Elif GENÇ </w:t>
      </w:r>
      <w:r w:rsidR="004C6717" w:rsidRPr="00164238">
        <w:rPr>
          <w:rFonts w:ascii="Times New Roman" w:eastAsia="Calibri" w:hAnsi="Times New Roman" w:cs="Times New Roman"/>
          <w:b w:val="0"/>
          <w:i w:val="0"/>
          <w:color w:val="000000" w:themeColor="text1"/>
          <w:sz w:val="20"/>
          <w:szCs w:val="20"/>
          <w:lang w:val="en-GB"/>
        </w:rPr>
        <w:t>TETİK</w:t>
      </w:r>
      <w:r w:rsidRPr="00164238">
        <w:rPr>
          <w:rFonts w:ascii="Times New Roman" w:eastAsia="Calibri" w:hAnsi="Times New Roman" w:cs="Times New Roman"/>
          <w:b w:val="0"/>
          <w:color w:val="000000" w:themeColor="text1"/>
          <w:sz w:val="20"/>
          <w:szCs w:val="20"/>
          <w:lang w:val="en-GB"/>
        </w:rPr>
        <w:t xml:space="preserve">, </w:t>
      </w:r>
      <w:r w:rsidR="004C6717" w:rsidRPr="00164238">
        <w:rPr>
          <w:rFonts w:ascii="Times New Roman" w:eastAsia="Calibri" w:hAnsi="Times New Roman" w:cs="Times New Roman"/>
          <w:b w:val="0"/>
          <w:color w:val="000000" w:themeColor="text1"/>
          <w:sz w:val="20"/>
          <w:szCs w:val="20"/>
          <w:lang w:val="en-GB"/>
        </w:rPr>
        <w:t>Hitit Üniversitesi, İktisadi ve İdari Bilimler Fakültesi, Siyaset Bilimi ve Kamu Yönetimi Bölümü</w:t>
      </w:r>
      <w:r w:rsidRPr="00164238">
        <w:rPr>
          <w:rFonts w:ascii="Times New Roman" w:eastAsia="Calibri" w:hAnsi="Times New Roman" w:cs="Times New Roman"/>
          <w:b w:val="0"/>
          <w:color w:val="000000" w:themeColor="text1"/>
          <w:sz w:val="20"/>
          <w:szCs w:val="20"/>
          <w:lang w:val="en-GB"/>
        </w:rPr>
        <w:t>, Çorum</w:t>
      </w:r>
      <w:bookmarkEnd w:id="47"/>
    </w:p>
    <w:p w14:paraId="7BC69F27" w14:textId="77777777" w:rsidR="00287A05" w:rsidRPr="00164238" w:rsidRDefault="00287A05" w:rsidP="00287A05">
      <w:pPr>
        <w:jc w:val="both"/>
        <w:rPr>
          <w:rFonts w:ascii="Times New Roman" w:hAnsi="Times New Roman" w:cs="Times New Roman"/>
          <w:bCs/>
          <w:color w:val="000000" w:themeColor="text1"/>
          <w:sz w:val="20"/>
          <w:szCs w:val="20"/>
        </w:rPr>
      </w:pPr>
      <w:r w:rsidRPr="00164238">
        <w:rPr>
          <w:rFonts w:ascii="Times New Roman" w:eastAsia="Arial" w:hAnsi="Times New Roman" w:cs="Times New Roman"/>
          <w:i/>
          <w:color w:val="000000" w:themeColor="text1"/>
          <w:sz w:val="20"/>
          <w:szCs w:val="20"/>
        </w:rPr>
        <w:t>e-mail:</w:t>
      </w:r>
      <w:r w:rsidRPr="00164238">
        <w:rPr>
          <w:rFonts w:ascii="Times New Roman" w:hAnsi="Times New Roman" w:cs="Times New Roman"/>
          <w:color w:val="000000" w:themeColor="text1"/>
          <w:sz w:val="20"/>
          <w:szCs w:val="20"/>
        </w:rPr>
        <w:t xml:space="preserve"> </w:t>
      </w:r>
      <w:hyperlink r:id="rId75" w:history="1">
        <w:r w:rsidRPr="00164238">
          <w:rPr>
            <w:rStyle w:val="Kpr"/>
            <w:rFonts w:ascii="Times New Roman" w:hAnsi="Times New Roman" w:cs="Times New Roman"/>
            <w:color w:val="000000" w:themeColor="text1"/>
            <w:sz w:val="20"/>
            <w:szCs w:val="20"/>
          </w:rPr>
          <w:t>elifgenc@hitit.edu.tr</w:t>
        </w:r>
      </w:hyperlink>
      <w:r w:rsidRPr="00164238">
        <w:rPr>
          <w:rStyle w:val="Kpr"/>
          <w:rFonts w:ascii="Times New Roman" w:hAnsi="Times New Roman" w:cs="Times New Roman"/>
          <w:bCs/>
          <w:color w:val="000000" w:themeColor="text1"/>
          <w:sz w:val="20"/>
          <w:szCs w:val="20"/>
        </w:rPr>
        <w:t xml:space="preserve"> </w:t>
      </w:r>
      <w:r w:rsidRPr="00164238">
        <w:rPr>
          <w:rStyle w:val="Kpr"/>
          <w:rFonts w:ascii="Times New Roman" w:hAnsi="Times New Roman" w:cs="Times New Roman"/>
          <w:bCs/>
          <w:color w:val="000000" w:themeColor="text1"/>
          <w:sz w:val="20"/>
          <w:szCs w:val="20"/>
          <w:u w:val="none"/>
        </w:rPr>
        <w:t xml:space="preserve">  </w:t>
      </w:r>
      <w:r w:rsidRPr="00164238">
        <w:rPr>
          <w:rFonts w:ascii="Times New Roman" w:hAnsi="Times New Roman" w:cs="Times New Roman"/>
          <w:bCs/>
          <w:i/>
          <w:color w:val="000000" w:themeColor="text1"/>
          <w:sz w:val="20"/>
          <w:szCs w:val="20"/>
        </w:rPr>
        <w:t>ORCID ID</w:t>
      </w:r>
      <w:r w:rsidRPr="00164238">
        <w:rPr>
          <w:rFonts w:ascii="Times New Roman" w:hAnsi="Times New Roman" w:cs="Times New Roman"/>
          <w:bCs/>
          <w:color w:val="000000" w:themeColor="text1"/>
          <w:sz w:val="20"/>
          <w:szCs w:val="20"/>
        </w:rPr>
        <w:t>: 0000-0002-6306-8550</w:t>
      </w:r>
    </w:p>
    <w:p w14:paraId="5DE9979F" w14:textId="77777777" w:rsidR="004C6717" w:rsidRPr="00164238" w:rsidRDefault="004C6717" w:rsidP="004C6717">
      <w:pPr>
        <w:spacing w:after="0"/>
        <w:jc w:val="center"/>
        <w:rPr>
          <w:rFonts w:ascii="Times New Roman" w:eastAsia="Calibri" w:hAnsi="Times New Roman" w:cs="Times New Roman"/>
          <w:bCs/>
          <w:color w:val="000000" w:themeColor="text1"/>
          <w:sz w:val="20"/>
          <w:szCs w:val="20"/>
          <w:lang w:val="en-GB"/>
        </w:rPr>
      </w:pPr>
    </w:p>
    <w:p w14:paraId="656A90FE" w14:textId="77777777" w:rsidR="004C6717" w:rsidRPr="00164238" w:rsidRDefault="004C6717" w:rsidP="004C6717">
      <w:pPr>
        <w:spacing w:after="0"/>
        <w:jc w:val="center"/>
        <w:rPr>
          <w:rFonts w:ascii="Times New Roman" w:eastAsia="Calibri" w:hAnsi="Times New Roman" w:cs="Times New Roman"/>
          <w:b/>
          <w:bCs/>
          <w:color w:val="000000" w:themeColor="text1"/>
          <w:sz w:val="20"/>
          <w:szCs w:val="20"/>
          <w:lang w:val="en-GB"/>
        </w:rPr>
      </w:pPr>
    </w:p>
    <w:p w14:paraId="44493F22" w14:textId="77777777" w:rsidR="004C6717" w:rsidRPr="00164238" w:rsidRDefault="004C6717" w:rsidP="004C6717">
      <w:pPr>
        <w:spacing w:line="276" w:lineRule="auto"/>
        <w:ind w:firstLine="567"/>
        <w:rPr>
          <w:rFonts w:ascii="Times New Roman" w:eastAsia="Calibri" w:hAnsi="Times New Roman" w:cs="Times New Roman"/>
          <w:b/>
          <w:bCs/>
          <w:color w:val="000000" w:themeColor="text1"/>
          <w:sz w:val="20"/>
          <w:szCs w:val="20"/>
          <w:lang w:val="en-GB"/>
        </w:rPr>
      </w:pPr>
      <w:r w:rsidRPr="00164238">
        <w:rPr>
          <w:rFonts w:ascii="Times New Roman" w:eastAsia="Calibri" w:hAnsi="Times New Roman" w:cs="Times New Roman"/>
          <w:b/>
          <w:bCs/>
          <w:color w:val="000000" w:themeColor="text1"/>
          <w:sz w:val="20"/>
          <w:szCs w:val="20"/>
          <w:lang w:val="en-GB"/>
        </w:rPr>
        <w:t>GİRİŞ</w:t>
      </w:r>
    </w:p>
    <w:p w14:paraId="4907D38B" w14:textId="77777777" w:rsidR="004C6717" w:rsidRPr="00E0308F" w:rsidRDefault="004C6717" w:rsidP="004C6717">
      <w:pPr>
        <w:spacing w:line="276" w:lineRule="auto"/>
        <w:ind w:firstLine="567"/>
        <w:jc w:val="both"/>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 xml:space="preserve">Covid-19 salgınının en göze çarpan sonuçlarından bir tanesi, gelişmiş ülkelerdeki vaka ve ölüm oranlarının diğer ülkelere oranla daha fazla olmasıdır. Bu durum pandeminin yönetilebilirliği hususunda hangi diğer etmenlerin etkili olabileceği sorusunu gündeme getirmiştir. Bu çalışma, ülkelerin idari geleneklerinin salgın sürecinin yönetiminde etkili olup olmadığını araştırmayı amaçlamaktadır. Altı farklı ülkeyi karşılaştırmalı olarak analiz edecek olan bu araştırma, ilgili ülkeleri iki kategoride incelemektedir: İlk grup Germen Avrupa ülkeleri olarak literatürde anılan Almanya, Hollanda ve Avusturya iken, diğer ülkeler olan İngiltere, Hollanda ve İsveç ise çağdaş yönetim anlayışını temsil eden Anglo-Sakson ülkeleridir. Bu doğrultuda, ilgili ülkelerin yönetim tarzlarını etkileyen bir dizi parametre, bu ülkelerin Covid-19 pandemi sonuçlarını bir arada analiz edecektir. Kurumsal kollektivizm, insancıl yönelim, gelecek yönelimi, belirsizliğin önlenmesi, grup içi kolektivizm adındaki beş alt parametre, salgın süreciyle ve sonuçlarıyla ilişkilendirilecek ve sayısal verilerle analiz edilecektir. Araştırma, hem farklı geleneklerde faaliyet gösteren kamu kurumlarının böylesi olağanüstü bir süreci yürütmeye elverişli olup olmadığını hem de bu geleneği oluşturan ilgili toplumların yaptığı etkiyi ortaya koymaya katkı sağlayacaktır. </w:t>
      </w:r>
    </w:p>
    <w:p w14:paraId="4C4B4D51" w14:textId="77777777" w:rsidR="004C6717" w:rsidRPr="00E0308F" w:rsidRDefault="004C6717" w:rsidP="004C6717">
      <w:pPr>
        <w:spacing w:line="276" w:lineRule="auto"/>
        <w:ind w:firstLine="567"/>
        <w:contextualSpacing/>
        <w:jc w:val="both"/>
        <w:rPr>
          <w:rFonts w:ascii="Times New Roman" w:hAnsi="Times New Roman" w:cs="Times New Roman"/>
          <w:color w:val="000000" w:themeColor="text1"/>
        </w:rPr>
      </w:pPr>
      <w:r w:rsidRPr="00E0308F">
        <w:rPr>
          <w:rFonts w:ascii="Times New Roman" w:hAnsi="Times New Roman" w:cs="Times New Roman"/>
          <w:color w:val="000000" w:themeColor="text1"/>
        </w:rPr>
        <w:t xml:space="preserve">Salgın süreci gibi kriz durumlarının nasıl yönetileceği, ülkelerin mali ve insan kaynakları gibi idari kapasite araçlarının yanı sıra, kamu politikası sürecini hangi araç ve metotlarla idare ettiğiyle de ilişkilidir. Kriz yönetimine literatüründe önerilen belli başlı yöntemler olmakla birlikte, kriz durumlarıyla karşılaşan ülkelerin verdikleri politika yanıtları genellikle kendilerine özgü olmaktadır (Kieny, Evans, Schmets &amp; Kadandale, 2014). Diğer bir deyişle, kriz sürecini yöneten politika yapıcılar ve icraacılar uygulanagelen geleneksel kamu politikası yöntemlerine bu gibi olağanüstü durumlarda da bağlı kalmayı tercih etmektedirler. </w:t>
      </w:r>
    </w:p>
    <w:p w14:paraId="7FE203C0" w14:textId="77777777" w:rsidR="004C6717" w:rsidRPr="00E0308F" w:rsidRDefault="004C6717" w:rsidP="004C6717">
      <w:pPr>
        <w:spacing w:line="276" w:lineRule="auto"/>
        <w:ind w:firstLine="567"/>
        <w:contextualSpacing/>
        <w:jc w:val="both"/>
        <w:rPr>
          <w:rFonts w:ascii="Times New Roman" w:hAnsi="Times New Roman" w:cs="Times New Roman"/>
          <w:color w:val="000000" w:themeColor="text1"/>
        </w:rPr>
      </w:pPr>
      <w:r w:rsidRPr="00E0308F">
        <w:rPr>
          <w:rFonts w:ascii="Times New Roman" w:hAnsi="Times New Roman" w:cs="Times New Roman"/>
          <w:color w:val="000000" w:themeColor="text1"/>
        </w:rPr>
        <w:t>2019 yılı sonunda ortaya çıka koronavirüs pandemisi, 2020 Mart ayı itibariyle Dünya Sağlık Örgütü tarafından küresel salgın olarak ilan edilmiştir. Yine Dünya Sağlık Örgütü rakamlarına göre, 4 Nisan 2021 itibariyle dünya üzerinde 130,422,190 kişi enfekte olmuş, bu kişilerden 2,842,125’i ise vefat etmiştir. Vaka oranları ülkelere ve kıtalara göre incelendiğinde, Amerika (</w:t>
      </w:r>
      <w:r w:rsidRPr="00E0308F">
        <w:rPr>
          <w:rFonts w:ascii="Times New Roman" w:hAnsi="Times New Roman" w:cs="Times New Roman"/>
          <w:i/>
          <w:iCs/>
          <w:color w:val="000000" w:themeColor="text1"/>
        </w:rPr>
        <w:t>56,580,222</w:t>
      </w:r>
      <w:r w:rsidRPr="00E0308F">
        <w:rPr>
          <w:rFonts w:ascii="Times New Roman" w:hAnsi="Times New Roman" w:cs="Times New Roman"/>
          <w:color w:val="000000" w:themeColor="text1"/>
        </w:rPr>
        <w:t>) ve Avrupa (</w:t>
      </w:r>
      <w:r w:rsidRPr="00E0308F">
        <w:rPr>
          <w:rFonts w:ascii="Times New Roman" w:hAnsi="Times New Roman" w:cs="Times New Roman"/>
          <w:i/>
          <w:iCs/>
          <w:color w:val="000000" w:themeColor="text1"/>
        </w:rPr>
        <w:t>45,852,597</w:t>
      </w:r>
      <w:r w:rsidRPr="00E0308F">
        <w:rPr>
          <w:rFonts w:ascii="Times New Roman" w:hAnsi="Times New Roman" w:cs="Times New Roman"/>
          <w:color w:val="000000" w:themeColor="text1"/>
        </w:rPr>
        <w:t>) kıtalarındaki vakalar, toplam vakaların %98,4’ü gibi büyük bir oranı oluşturmaktadır.</w:t>
      </w:r>
      <w:r w:rsidRPr="00E0308F">
        <w:rPr>
          <w:rStyle w:val="Kpr"/>
          <w:rFonts w:ascii="Times New Roman" w:hAnsi="Times New Roman" w:cs="Times New Roman"/>
          <w:color w:val="000000" w:themeColor="text1"/>
        </w:rPr>
        <w:footnoteReference w:id="1"/>
      </w:r>
      <w:r w:rsidRPr="00E0308F">
        <w:rPr>
          <w:rFonts w:ascii="Times New Roman" w:hAnsi="Times New Roman" w:cs="Times New Roman"/>
          <w:color w:val="000000" w:themeColor="text1"/>
        </w:rPr>
        <w:t xml:space="preserve"> </w:t>
      </w:r>
      <w:r w:rsidRPr="00E0308F">
        <w:rPr>
          <w:rFonts w:ascii="Times New Roman" w:hAnsi="Times New Roman" w:cs="Times New Roman"/>
          <w:color w:val="000000" w:themeColor="text1"/>
        </w:rPr>
        <w:lastRenderedPageBreak/>
        <w:t>Bunun yanı sıra, gelişmiş ülkelerin pandemi vaka ve ölüm oranlarına bakıldığında, bu ülkelerin ezici bir çoğunluğunun dünyanın geri kalanında daha kötü bir performans sergilediği açıkça görülmektedir. Bu mevcut durum içerisinde ülkelerin gelişmişlik düzeylerinin kriz durumuyla başa çıkabilmek için yeterli olmadığı aşikardır. Bu parametrenin dışında gelişmiş devletlerde salgın sürecinin idaresinde ortaya çıkan olumsuz sonuçların hangi nedenlerden kaynaklandığı cevaplanmaya muhtaçtır. Devletlerin sağlık sistemlerinin güçlü olması, sağlık politikalarının iyi tasarlanması, devlet otoritesinin baskın ya da zayıf olması, kriz yönetimi konusundaki tecrübe gibi birçok faktör, pandeminin bu beklenmeyen seyri üzerinde muhtemel etkileri sahip olabilir. Bu etmenlerin dışında devletlerin idari gelenekleri, üzerine inşa edildikleri değerler ve inançlar bütünü de o milletin iş yapış davranışlarını şekillendirmektedir (Dunlop, Ongaro &amp; Baker, 2020; Zavattaro &amp; McCandless, 2020).</w:t>
      </w:r>
    </w:p>
    <w:p w14:paraId="1CB6C919" w14:textId="77777777" w:rsidR="004C6717" w:rsidRPr="00E0308F" w:rsidRDefault="004C6717" w:rsidP="004C6717">
      <w:pPr>
        <w:spacing w:line="276" w:lineRule="auto"/>
        <w:ind w:firstLine="567"/>
        <w:jc w:val="both"/>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 xml:space="preserve">İngiltere, ABD gibi ülkelerde ortaya çıkan Yeni Kamu Yönetimi anlayışıyla başlayan bürokratik süreçlerin verimli hale getirilmesi düşüncesi yönetsel reformların odağını oluşturmaktadır. Daha esnek çalışma sistemini ve farklılaşmayı savunan bu yeni paradigma, bürokrasiye liberal ekonomik alana hizmet eden paralelde bir yapı uygun görmüştür (Kalağan, 2009). Öte yandan, devletlerin idari geleneklerinin yirmi birinci yüzyıl içinde bile hala etkinliğini korumakta olduğu da iddia edilmektedir. Şat (2009), milenyumla birlikte bilgi çağının karmaşık ve çok yönlü kamu yönetimi araçlarının Weberyan bürokrasinin güçlü mekanizmalarıyla desteklenmesinin elzem olduğunu vurgulamıştır. Bu minvalde, Almanya, Avusturya gibi ülkeler Yeni Kamu Yönetimi fikrini benimsemek istemişler ve uygulamışlarsa da, Anglosakson yönetim geleneğinden farklı bir anlayışta yapılanan Kıta Avrupası ülkeleri için bu fikir sürdürülebilir olmamıştır. Son yıllarda adından söz ettiren ve bürokrasinin temel değerlerinin yeni çağın gerekleriyle bütünleştirilmiş bir idari modeli olarak sunulan Neo-Weberyan Devlet kavramı, gerçekten de bürokrasi mekanizmasının etkinliğini koruduğunu bize göstermektedir. Buradan hareketle çalışmanın amacı, iki kategoride değerlendirilen bu ülkelere ait farklı idari kültür parametrelerinin, bir kriz yönetimi ve politika uygulaması olan Covid-19 salgın süreciyle olan ilişkisini daha önce literatürde ele alınmamış bir yöntem ve veriyle analiz etmektir. </w:t>
      </w:r>
    </w:p>
    <w:p w14:paraId="2B4D90BC" w14:textId="77777777" w:rsidR="004C6717" w:rsidRPr="00E0308F" w:rsidRDefault="004C6717" w:rsidP="004C6717">
      <w:pPr>
        <w:spacing w:line="276" w:lineRule="auto"/>
        <w:ind w:firstLine="567"/>
        <w:rPr>
          <w:rFonts w:ascii="Times New Roman" w:eastAsia="Calibri" w:hAnsi="Times New Roman" w:cs="Times New Roman"/>
          <w:b/>
          <w:bCs/>
          <w:color w:val="000000" w:themeColor="text1"/>
          <w:lang w:val="en-GB"/>
        </w:rPr>
      </w:pPr>
      <w:r w:rsidRPr="00E0308F">
        <w:rPr>
          <w:rFonts w:ascii="Times New Roman" w:eastAsia="Calibri" w:hAnsi="Times New Roman" w:cs="Times New Roman"/>
          <w:b/>
          <w:bCs/>
          <w:color w:val="000000" w:themeColor="text1"/>
          <w:lang w:val="en-GB"/>
        </w:rPr>
        <w:t>İDARİ GELENEKLERİ VE DEĞİŞİMLERİ AÇISINDAN ÜLKELER</w:t>
      </w:r>
    </w:p>
    <w:p w14:paraId="59B64F2B" w14:textId="77777777" w:rsidR="004C6717" w:rsidRPr="00E0308F" w:rsidRDefault="004C6717" w:rsidP="004C6717">
      <w:pPr>
        <w:spacing w:line="276" w:lineRule="auto"/>
        <w:ind w:firstLine="567"/>
        <w:jc w:val="both"/>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20. yüzyılın son yirmi yılından itibaren hız kazanan kamu sektörü reformlarının temel sebebi, bürokratik kültürün yaratmış olduğu açığı kapatarak kamu kurumlarında üretkenliğe, verimliliğe, dönüşüme ve yaratıcılığa dayalı bir yapı oluşturmaktı (Metcalfe &amp; Richards, 1992; Osborne &amp; Gabler, 1992; MacCarthaigh, 2008). Yeni kamu yönetimi (Hood, 1991), Post bürokratik paradigma (Barzeley, 1992), Girişimci devlet (Osborne &amp; Gaebler, 1992), Market temelli kamu yönetimi (Lan &amp; Rosenbloom, 1992) gibi farklı adlandırmalarla anılan bu değişen kamu idare alanının, özel sektörün yöntem ve tekniklerinin transfer edilmesiyle yeni ekonomi modeline uyumlu hale getirilmesi amaçlanmıştı. Bu değişimin temel sebebi, büyük ve tekel olan kamu bürokrasilerinin milenyum doğuracağı yeni görev ve sorumluluklara uyum sağlamakta güçlük çekeceği düşüncesidir (Andrews,</w:t>
      </w:r>
      <w:r w:rsidRPr="00E0308F">
        <w:rPr>
          <w:rFonts w:ascii="Times New Roman" w:hAnsi="Times New Roman" w:cs="Times New Roman"/>
          <w:color w:val="000000" w:themeColor="text1"/>
        </w:rPr>
        <w:t xml:space="preserve"> </w:t>
      </w:r>
      <w:r w:rsidRPr="00E0308F">
        <w:rPr>
          <w:rFonts w:ascii="Times New Roman" w:eastAsia="Calibri" w:hAnsi="Times New Roman" w:cs="Times New Roman"/>
          <w:color w:val="000000" w:themeColor="text1"/>
          <w:lang w:val="en-GB"/>
        </w:rPr>
        <w:t xml:space="preserve">Boyne, Law &amp; Walker, 2011). Yeni kamu yönetimi modelinin kamu sektörüne uygun olup olmadığı tartışması sürerken yeni bir öneri olarak Yeni kamu yönetişimi kavramı konuşulmaya başlanmıştır. Osborne’a (2009) göre Yeni kamu yönetimi, bürokratik ve statik bir kamu yönetiminden çoğulcu Yeni kamu yönetişimi (New Public Governance) anlayışına geçiş için bir evredir. Bu doğrultuda Yeni kamu yönetişimi kamu politikası </w:t>
      </w:r>
      <w:r w:rsidRPr="00E0308F">
        <w:rPr>
          <w:rFonts w:ascii="Times New Roman" w:eastAsia="Calibri" w:hAnsi="Times New Roman" w:cs="Times New Roman"/>
          <w:color w:val="000000" w:themeColor="text1"/>
          <w:lang w:val="en-GB"/>
        </w:rPr>
        <w:lastRenderedPageBreak/>
        <w:t>yapım sürecinde temel paydaşların katılımını önceleyen, bunun yanı sıra etkinlik, etkililik gibi Yeni kamu yönetimi anlayışının öğelerini devlet kurumları, özel sektör ve sivil toplum kuruluşları arasında hiyerarşik yatay ilişkiler kurarak sağlamaya çalışan bir modeldir (Newman, 2001; Osborne, 2006). Benzer şekilde Kamu Yararı (</w:t>
      </w:r>
      <w:r w:rsidRPr="00E0308F">
        <w:rPr>
          <w:rFonts w:ascii="Times New Roman" w:eastAsia="Calibri" w:hAnsi="Times New Roman" w:cs="Times New Roman"/>
          <w:i/>
          <w:iCs/>
          <w:color w:val="000000" w:themeColor="text1"/>
          <w:lang w:val="en-GB"/>
        </w:rPr>
        <w:t>Public Valu</w:t>
      </w:r>
      <w:r w:rsidRPr="00E0308F">
        <w:rPr>
          <w:rFonts w:ascii="Times New Roman" w:eastAsia="Calibri" w:hAnsi="Times New Roman" w:cs="Times New Roman"/>
          <w:color w:val="000000" w:themeColor="text1"/>
          <w:lang w:val="en-GB"/>
        </w:rPr>
        <w:t>e) kavramı hedeflerin başarılmasından ziyade vatandaşların ve tüketicilerin ihtiyaçlarının giderilmesi yoluyla fayda yaratılmasını amaçlamaktadır. Bürokratik kamu yönetimine alternatif olarak son yıllarda geliştirilen bir diğer kavram ise Neo-Weberyan devlet kavramıdır. Kıta Avrupası ülkelerinin Yeni kamu yönetimi reformlarını adapte etmekte güçlük çekmesi üzerine ortaya atılan bu kavram, kamu hizmetlerinin yürütülmesinde temel aktör olarak devlet aygıtının rolünü doğrulamaktadır. Buna ek olarak, Neo-Weberyan anlayışta bürokratik örgütlerin başarısı kurum içi performansı sağlamaktan ziyade, vatandaşların ihtiyaçlarının giderilmesi üzerine temellenmektedir (Pollitt &amp; Bouckaert, 2011).</w:t>
      </w:r>
    </w:p>
    <w:p w14:paraId="4207FA6A" w14:textId="77777777" w:rsidR="004C6717" w:rsidRPr="00E0308F" w:rsidRDefault="004C6717" w:rsidP="004C6717">
      <w:pPr>
        <w:spacing w:line="276" w:lineRule="auto"/>
        <w:jc w:val="both"/>
        <w:rPr>
          <w:rFonts w:ascii="Times New Roman" w:eastAsia="Calibri" w:hAnsi="Times New Roman" w:cs="Times New Roman"/>
          <w:b/>
          <w:bCs/>
          <w:color w:val="000000" w:themeColor="text1"/>
          <w:lang w:val="en-GB"/>
        </w:rPr>
      </w:pPr>
      <w:r w:rsidRPr="00E0308F">
        <w:rPr>
          <w:rFonts w:ascii="Times New Roman" w:eastAsia="Calibri" w:hAnsi="Times New Roman" w:cs="Times New Roman"/>
          <w:b/>
          <w:bCs/>
          <w:color w:val="000000" w:themeColor="text1"/>
          <w:lang w:val="en-GB"/>
        </w:rPr>
        <w:t xml:space="preserve">           Anglo-Sakson Yönetim Anlayışındaki Ülkeler</w:t>
      </w:r>
    </w:p>
    <w:p w14:paraId="471E8D86" w14:textId="77777777" w:rsidR="004C6717" w:rsidRPr="00E0308F" w:rsidRDefault="004C6717" w:rsidP="004C6717">
      <w:pPr>
        <w:spacing w:line="276" w:lineRule="auto"/>
        <w:ind w:firstLine="567"/>
        <w:jc w:val="both"/>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 xml:space="preserve">Kamu yönetiminde reform denilince akla gelen ilk ülke kuşkusuz </w:t>
      </w:r>
      <w:r w:rsidRPr="00E0308F">
        <w:rPr>
          <w:rFonts w:ascii="Times New Roman" w:eastAsia="Calibri" w:hAnsi="Times New Roman" w:cs="Times New Roman"/>
          <w:i/>
          <w:iCs/>
          <w:color w:val="000000" w:themeColor="text1"/>
          <w:lang w:val="en-GB"/>
        </w:rPr>
        <w:t>İngiltere</w:t>
      </w:r>
      <w:r w:rsidRPr="00E0308F">
        <w:rPr>
          <w:rFonts w:ascii="Times New Roman" w:eastAsia="Calibri" w:hAnsi="Times New Roman" w:cs="Times New Roman"/>
          <w:color w:val="000000" w:themeColor="text1"/>
          <w:lang w:val="en-GB"/>
        </w:rPr>
        <w:t xml:space="preserve">’dir. 1980’lerde dönemin İngiltere Başbakanı Margaret Thatcher öncülüğünde kamu kurumlarındaki verimsizliğe karşı Yeni kamu yönetimi sunumu adıyla bir dizi kökten değişiklik önerilmiştir (Rhodes, 1994). Anglosakson idari geleneğinin güçlü bir hukuki zemine dayanmaması, İngiltere’nin piyasaya açık, vatandaş odaklı ve esnek bir yönetim sistemi önermesine olanak sağlamıştır. Nitekim hemen hemen dünyanın bütün ülkelerinde uygulamalarına rastlanabilen bu Yeni kamu yönetimi modeli özellikle 1980 sonrası kamu yönetimi literatürüne etkisiyle damga vurmuştur (Skelcher, 2000; Sözen, 2002). Kamuda reform ve yeniden yapılanma tarih boyunca Birleşik Krallık hükümetlerinin temel gündemleri olagelmiştir. (Pollitt &amp; Bouckaert, 2011). İngiltere’nin idari kültüründe memurların siyasi etkilerden bağımsız olarak varlık göstermeleri, diğer birçok Avrupa ülkesinin aksine idare hukukunda uzman kamu personeli değil, yönetim alanının geneline hakim uzmanlar olmaları beklenmektedir. 1980’lerde Muhafazakar Parti Hükümeti’nin başlattığı bu girişim, 1997 seçimleriyle iş başına gelen İşçi Partisi tarafından da sahiplenilmiş, Gelecek Adımlar isimli bir girişimle sistematik bir biçimde uygulanmıştır. Bu dönemde özel sektörün teknikleri olan sözleşmeli personel çalıştırma ve performans izleme gibi uygulamalar askıya alınırken, kamuda reform sürekli iyileşme stratejisiyle hiyerarşik bir yapılanma içinde icra edilmiştir (Stoker, 2016). 2010 yılı sonrası hükümetler ekonomik koşullar nedeniyle tasarruf tedbirlerini tüm politikalarının temeline yerleştirmek zorunda kaldıkları için, başta kamu hizmetlerinin giderlerinde olmak üzere birçok alanda kısıtlamaya gidilmiştir. Bu durum maliyet tasarrufu yapmak isteyen merkezi yönetimin kamu kuruluşları üzerindeki kontrolünü azaltmış, dolayısıyla daha bağımsız fakat bütçesi kısıtlı idareler ortaya çıkmıştır (Downe, Andrews &amp; Guarneros-Meza, 2016: 173). Buna rağmen diğer Avrupa ülkeleriyle kıyaslandığında, reform İngiltere’nin kamu yönetimi kültürel kodlarında olduğu için, bu bir trend olmaktan çıkarak sürekliliğe oturtulmuştur.       </w:t>
      </w:r>
    </w:p>
    <w:p w14:paraId="7A281F6C" w14:textId="77777777" w:rsidR="004C6717" w:rsidRPr="00E0308F" w:rsidRDefault="004C6717" w:rsidP="004C6717">
      <w:pPr>
        <w:spacing w:line="276" w:lineRule="auto"/>
        <w:ind w:firstLine="567"/>
        <w:jc w:val="both"/>
        <w:rPr>
          <w:rFonts w:ascii="Times New Roman" w:eastAsia="Calibri" w:hAnsi="Times New Roman" w:cs="Times New Roman"/>
          <w:color w:val="000000" w:themeColor="text1"/>
          <w:lang w:val="en-GB"/>
        </w:rPr>
      </w:pPr>
      <w:r w:rsidRPr="00E0308F">
        <w:rPr>
          <w:rFonts w:ascii="Times New Roman" w:eastAsia="Calibri" w:hAnsi="Times New Roman" w:cs="Times New Roman"/>
          <w:i/>
          <w:iCs/>
          <w:color w:val="000000" w:themeColor="text1"/>
          <w:lang w:val="en-GB"/>
        </w:rPr>
        <w:t>Hollanda</w:t>
      </w:r>
      <w:r w:rsidRPr="00E0308F">
        <w:rPr>
          <w:rFonts w:ascii="Times New Roman" w:eastAsia="Calibri" w:hAnsi="Times New Roman" w:cs="Times New Roman"/>
          <w:color w:val="000000" w:themeColor="text1"/>
          <w:lang w:val="en-GB"/>
        </w:rPr>
        <w:t xml:space="preserve"> kamu yönetimi, Almanya ve İsviçre gibi diğer Kıta Avrupası ülkelerine kıyasla Yeni kamu yönetimi reformlarına daha yüksek bir adaptasyon göstermiştir (Hendriks &amp; Tops, 2003). Reform faaliyetleri 1980’li ve 90’lı yıllarda yerelleşme, bakanlıkların uygulamalarının özerkleştirilmesi gibi konularda yoğunlaşmıştır (Kickert, 2008). Bu dönemde görece kısıtlı kaldığı görülen reformlar 2000’li yıllarla beraber büyük bir ivme kazanmıştır. Özellikle kırtasiyecilik ve personel küçültme üzerine yoğunlaşan yenilikler, Hollanda’da yapılan reformların en temel özelliği olan yavaş ama emin adımlarla ilerleyen özelliğini bu dönemde kazanmıştır. Pollitt &amp; Bouckaert’in (2011) belirttiği gibi, Hollanda </w:t>
      </w:r>
      <w:r w:rsidRPr="00E0308F">
        <w:rPr>
          <w:rFonts w:ascii="Times New Roman" w:eastAsia="Calibri" w:hAnsi="Times New Roman" w:cs="Times New Roman"/>
          <w:color w:val="000000" w:themeColor="text1"/>
          <w:lang w:val="en-GB"/>
        </w:rPr>
        <w:lastRenderedPageBreak/>
        <w:t xml:space="preserve">hükümetleri Anglo-Sakson geleneğinden gelen bu anlayışa yüksek bir uyum sağlama düzeyi gösterseler de, Birleşik Krallık ya da Yeni Zelanda gibi radikal reform faaliyetleri yürüten ülkelerle kıyaslandığında çok sayıdaki yoğun uygulamaların uzun zamanda ve sadece belirli kurumlarca gerçekleştirildiği görülmektedir. Bununla birlikte 2004 ile 2011 yılları arasında yürütlen 3 reform girişimi bu konuda çeşitli seviyelerde ilerlemelere yol açmıştır. 2004 yılında Farklı Bir Hükümet Programı </w:t>
      </w:r>
      <w:bookmarkStart w:id="48" w:name="_Hlk69051718"/>
      <w:r w:rsidRPr="00E0308F">
        <w:rPr>
          <w:rFonts w:ascii="Times New Roman" w:eastAsia="Calibri" w:hAnsi="Times New Roman" w:cs="Times New Roman"/>
          <w:i/>
          <w:iCs/>
          <w:color w:val="000000" w:themeColor="text1"/>
          <w:lang w:val="en-GB"/>
        </w:rPr>
        <w:t>(Programma Andere Overheid)</w:t>
      </w:r>
      <w:r w:rsidRPr="00E0308F">
        <w:rPr>
          <w:rFonts w:ascii="Times New Roman" w:eastAsia="Calibri" w:hAnsi="Times New Roman" w:cs="Times New Roman"/>
          <w:color w:val="000000" w:themeColor="text1"/>
          <w:lang w:val="en-GB"/>
        </w:rPr>
        <w:t xml:space="preserve"> </w:t>
      </w:r>
      <w:bookmarkEnd w:id="48"/>
      <w:r w:rsidRPr="00E0308F">
        <w:rPr>
          <w:rFonts w:ascii="Times New Roman" w:eastAsia="Calibri" w:hAnsi="Times New Roman" w:cs="Times New Roman"/>
          <w:color w:val="000000" w:themeColor="text1"/>
          <w:lang w:val="en-GB"/>
        </w:rPr>
        <w:t xml:space="preserve">olarak isimlendirilen bir kamuda iyileştirme teşebbüsü başlatılmıştır. Hükümet reformları bakanlığının sorumlu olduğu bu projenin temel amacı, e-devleti güçlendirerek hizmet kalitesini artırmak, hükümetin görev ve sorumluluk alanlarını revize etmek ve vatandaşlar ile özel sektör için bürokrasi ve kırtasiyeciliği azaltmak gibi alanlar üzerine yoğunlaşmıştır. Merkezi Kamu Yönetimi Reform Programı </w:t>
      </w:r>
      <w:r w:rsidRPr="00E0308F">
        <w:rPr>
          <w:rFonts w:ascii="Times New Roman" w:eastAsia="Calibri" w:hAnsi="Times New Roman" w:cs="Times New Roman"/>
          <w:i/>
          <w:iCs/>
          <w:color w:val="000000" w:themeColor="text1"/>
          <w:lang w:val="en-GB"/>
        </w:rPr>
        <w:t>(Programma Vernieuwing Rijksdienst)</w:t>
      </w:r>
      <w:r w:rsidRPr="00E0308F">
        <w:rPr>
          <w:rFonts w:ascii="Times New Roman" w:eastAsia="Calibri" w:hAnsi="Times New Roman" w:cs="Times New Roman"/>
          <w:color w:val="000000" w:themeColor="text1"/>
          <w:lang w:val="en-GB"/>
        </w:rPr>
        <w:t xml:space="preserve"> olarak adlandırılan ve 2006-2010 yılları arasında uygulanan ikinci girişim merkezi yönetimde yapılacak düzenlemeleri içermekteydi. Kamu hizmetlerinin ölçeğinin azaltılması ya da birleştirilmesi yoluyla verimliliğin yükseltilmesi amaçlanmıştır. Son olarak, 2011 yılında Kamu Hizmetleri Uygulama Paketi </w:t>
      </w:r>
      <w:r w:rsidRPr="00E0308F">
        <w:rPr>
          <w:rFonts w:ascii="Times New Roman" w:eastAsia="Calibri" w:hAnsi="Times New Roman" w:cs="Times New Roman"/>
          <w:i/>
          <w:iCs/>
          <w:color w:val="000000" w:themeColor="text1"/>
          <w:lang w:val="en-GB"/>
        </w:rPr>
        <w:t>(Uitvoeringsprogramma Compacte Rijksdienst)</w:t>
      </w:r>
      <w:r w:rsidRPr="00E0308F">
        <w:rPr>
          <w:rFonts w:ascii="Times New Roman" w:eastAsia="Calibri" w:hAnsi="Times New Roman" w:cs="Times New Roman"/>
          <w:color w:val="000000" w:themeColor="text1"/>
          <w:lang w:val="en-GB"/>
        </w:rPr>
        <w:t xml:space="preserve"> bir önceki programın devamı niteliğinde olup, tekrarlanan kamu sektörü uygulamalarının azaltılması ve kamuda esnekliğin sağlanması konularıyla ilgili olmuştur (Jilke, Van der Voet &amp; Van de Walle, 2016: 73). Tüm bu kamu yönetimi reform girişimleri Avrupa’daki birçok diğer ülkeyle kıyaslandığında, kamu sektörü yöneticileri tarafından sahiplenilmiş ve başarıyla uygulanmış, 2004 yılında uygulanan ilk proje</w:t>
      </w:r>
      <w:r w:rsidRPr="00E0308F">
        <w:rPr>
          <w:rFonts w:ascii="Times New Roman" w:eastAsia="Calibri" w:hAnsi="Times New Roman" w:cs="Times New Roman"/>
          <w:i/>
          <w:iCs/>
          <w:color w:val="000000" w:themeColor="text1"/>
          <w:lang w:val="en-GB"/>
        </w:rPr>
        <w:t xml:space="preserve"> (Programma Andere Overheid) </w:t>
      </w:r>
      <w:r w:rsidRPr="00E0308F">
        <w:rPr>
          <w:rFonts w:ascii="Times New Roman" w:eastAsia="Calibri" w:hAnsi="Times New Roman" w:cs="Times New Roman"/>
          <w:color w:val="000000" w:themeColor="text1"/>
          <w:lang w:val="en-GB"/>
        </w:rPr>
        <w:t xml:space="preserve">bazı siyasi fikirleri içerdiği için fazla başarıya ulaşamamışsa da, diğer ikisi kamu sektörünü bugün geldiği noktaya dönüştürmüştür.    </w:t>
      </w:r>
    </w:p>
    <w:p w14:paraId="704A78F4" w14:textId="79A8D5FB" w:rsidR="004C6717" w:rsidRPr="00E0308F" w:rsidRDefault="004C6717" w:rsidP="004C6717">
      <w:pPr>
        <w:spacing w:line="276" w:lineRule="auto"/>
        <w:ind w:firstLine="567"/>
        <w:jc w:val="both"/>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 xml:space="preserve">Üniter parlamenter sistemle yönetilen </w:t>
      </w:r>
      <w:r w:rsidRPr="00E0308F">
        <w:rPr>
          <w:rFonts w:ascii="Times New Roman" w:eastAsia="Calibri" w:hAnsi="Times New Roman" w:cs="Times New Roman"/>
          <w:i/>
          <w:iCs/>
          <w:color w:val="000000" w:themeColor="text1"/>
          <w:lang w:val="en-GB"/>
        </w:rPr>
        <w:t>İsveç</w:t>
      </w:r>
      <w:r w:rsidRPr="00E0308F">
        <w:rPr>
          <w:rFonts w:ascii="Times New Roman" w:eastAsia="Calibri" w:hAnsi="Times New Roman" w:cs="Times New Roman"/>
          <w:color w:val="000000" w:themeColor="text1"/>
          <w:lang w:val="en-GB"/>
        </w:rPr>
        <w:t xml:space="preserve">, yerel yönetimlerin de oldukça güçlü bi konumda olduğu bir ülkedir. 1990’lı yıllardan itibaren İsveç, İngiltere gibi devletin modernize edilmesi fikrini kolaylıkla içselleştirmiş ve bu doğrultuda adımlar atmıştır. Yönetim alanının şekillenişinde ise vatandaşlar ya da kamu kurumlarından ziyade yönetici elitlerin katkısı daha büyük olmuştur (Levin, 2009; Sundström, 2015). Bu dönüşüm 1960’lı yıllarda Amerika Birleşik Devletleri’nden adapte ettikleri program bütçeleme fikrine kadar dayandırılmaktadır. 1980’lerden başlayarak daha iyi işleyen bir kamu yönetimi fikrinin altında demokratikleşmeye ilişkin değerlerin güçlü bir yer tuttuğu farkına varılmış, 2000’ler itibariyle de demokrasi, hukuk kuralları ve etkililik gibi kamu kurumlarının sahip olması gerektiği düşünülen temel değerler yaygın bir şekilde benimsenmiştir. Bu doğrultuda 2010 yılında Demokrasi, Katılım ve Büyüme İçin Kamu Yönetimi </w:t>
      </w:r>
      <w:r w:rsidRPr="00E0308F">
        <w:rPr>
          <w:rFonts w:ascii="Times New Roman" w:eastAsia="Calibri" w:hAnsi="Times New Roman" w:cs="Times New Roman"/>
          <w:i/>
          <w:iCs/>
          <w:color w:val="000000" w:themeColor="text1"/>
          <w:lang w:val="en-GB"/>
        </w:rPr>
        <w:t>(Public Administration for Democracy, Particiption and Growth)</w:t>
      </w:r>
      <w:r w:rsidRPr="00E0308F">
        <w:rPr>
          <w:rFonts w:ascii="Times New Roman" w:eastAsia="Calibri" w:hAnsi="Times New Roman" w:cs="Times New Roman"/>
          <w:color w:val="000000" w:themeColor="text1"/>
          <w:lang w:val="en-GB"/>
        </w:rPr>
        <w:t xml:space="preserve"> isimli program başlatılmış, kaliteli, ulaşılabilir ve de vatandaş odaklı bir yönetim anlayışına ulaşmak hedeflenmiştir. İsveç idari alanında performans yönetimi konusu özel önem atfedilen konulardan bir tanesidir. Dünya Bankası Yönetişim İndeksine göre, İsveç hükümetleri verimlilik ve hukuk kuralları açılarından en üst sıralarda yer almaktadır</w:t>
      </w:r>
      <w:r w:rsidR="00287A05" w:rsidRPr="00E0308F">
        <w:rPr>
          <w:rStyle w:val="DipnotBavurusu"/>
          <w:rFonts w:ascii="Times New Roman" w:eastAsia="Calibri" w:hAnsi="Times New Roman" w:cs="Times New Roman"/>
          <w:color w:val="000000" w:themeColor="text1"/>
          <w:lang w:val="en-GB"/>
        </w:rPr>
        <w:footnoteReference w:id="2"/>
      </w:r>
      <w:r w:rsidRPr="00E0308F">
        <w:rPr>
          <w:rFonts w:ascii="Times New Roman" w:eastAsia="Calibri" w:hAnsi="Times New Roman" w:cs="Times New Roman"/>
          <w:color w:val="000000" w:themeColor="text1"/>
          <w:lang w:val="en-GB"/>
        </w:rPr>
        <w:t xml:space="preserve">.Bu üstün başarının altında yatan sebepler arasında hükümete güven, açıklık, şeffaflık, hizmet kalitesi gibi kriterler yer almaktadır. Bununla beraber, yönetim ile siyasetin yeterli seviyede iş birliği yapamaması ve toplumsal dayanışma gibi konularında kamu idari alanının iyileştirilmesine dönük faaliyetlerde etkili olmadığı görülmektedir. İsveç yönetim geleneği, adem-i merkeziyetçiliğin ağırlığı, teknokratların uzlaşma kültürünün yönetim sistemindeki önemi ve halkın bürokrasiden beklentilerinin yüksek olması üzerinde şekillenmiştir (Wockelberg &amp; Öberg, 2016). Ülkenin bu idari kültür yapısının çağdaş yönetim modellerini uygulamaya elverişli olduğu açıkça görülmektedir.   </w:t>
      </w:r>
    </w:p>
    <w:p w14:paraId="740F1941" w14:textId="77777777" w:rsidR="004C6717" w:rsidRPr="00E0308F" w:rsidRDefault="004C6717" w:rsidP="004C6717">
      <w:pPr>
        <w:spacing w:line="276" w:lineRule="auto"/>
        <w:jc w:val="both"/>
        <w:rPr>
          <w:rFonts w:ascii="Times New Roman" w:eastAsia="Calibri" w:hAnsi="Times New Roman" w:cs="Times New Roman"/>
          <w:b/>
          <w:bCs/>
          <w:color w:val="000000" w:themeColor="text1"/>
          <w:lang w:val="en-GB"/>
        </w:rPr>
      </w:pPr>
      <w:r w:rsidRPr="00E0308F">
        <w:rPr>
          <w:rFonts w:ascii="Times New Roman" w:eastAsia="Calibri" w:hAnsi="Times New Roman" w:cs="Times New Roman"/>
          <w:b/>
          <w:bCs/>
          <w:color w:val="000000" w:themeColor="text1"/>
          <w:lang w:val="en-GB"/>
        </w:rPr>
        <w:lastRenderedPageBreak/>
        <w:t xml:space="preserve">           Germanik Yönetim Anlayışındaki Ülkeler</w:t>
      </w:r>
    </w:p>
    <w:p w14:paraId="0248D31F" w14:textId="77777777" w:rsidR="004C6717" w:rsidRPr="00E0308F" w:rsidRDefault="004C6717" w:rsidP="004C6717">
      <w:pPr>
        <w:spacing w:line="276" w:lineRule="auto"/>
        <w:ind w:firstLine="567"/>
        <w:jc w:val="both"/>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 xml:space="preserve">Kıta Avrupası yönetim geleneği denilince akla gelen ilk ülke kuşkusuz </w:t>
      </w:r>
      <w:r w:rsidRPr="00E0308F">
        <w:rPr>
          <w:rFonts w:ascii="Times New Roman" w:eastAsia="Calibri" w:hAnsi="Times New Roman" w:cs="Times New Roman"/>
          <w:i/>
          <w:iCs/>
          <w:color w:val="000000" w:themeColor="text1"/>
          <w:lang w:val="en-GB"/>
        </w:rPr>
        <w:t>Almanyadır</w:t>
      </w:r>
      <w:r w:rsidRPr="00E0308F">
        <w:rPr>
          <w:rFonts w:ascii="Times New Roman" w:eastAsia="Calibri" w:hAnsi="Times New Roman" w:cs="Times New Roman"/>
          <w:color w:val="000000" w:themeColor="text1"/>
          <w:lang w:val="en-GB"/>
        </w:rPr>
        <w:t>. Ülke üst düzeyde adem-i merkeziyetçi federal yönetim ile bölgesel (</w:t>
      </w:r>
      <w:r w:rsidRPr="00E0308F">
        <w:rPr>
          <w:rFonts w:ascii="Times New Roman" w:eastAsia="Calibri" w:hAnsi="Times New Roman" w:cs="Times New Roman"/>
          <w:i/>
          <w:iCs/>
          <w:color w:val="000000" w:themeColor="text1"/>
          <w:lang w:val="en-GB"/>
        </w:rPr>
        <w:t>Länder</w:t>
      </w:r>
      <w:r w:rsidRPr="00E0308F">
        <w:rPr>
          <w:rFonts w:ascii="Times New Roman" w:eastAsia="Calibri" w:hAnsi="Times New Roman" w:cs="Times New Roman"/>
          <w:color w:val="000000" w:themeColor="text1"/>
          <w:lang w:val="en-GB"/>
        </w:rPr>
        <w:t>) ve yerel seviyedeki devlet kurumları tarafından idare edilmektedir. Başlangıçta yerelleşmiş yönetim tarzının Yeni kamu yönetimi reformlarının uygulanmasına olanak sağlayacağı düşünülebilirse de, merkezi ve yerel yönetim birimlerinin özerk çalışma tarzları siyasi/idari sistem arasındaki ilişkinin zayıf bir temelde olması, Yeni kamu yönetimi reçetelerinin uygulanmasını zorlaştırmıştır (Wegrich, 2015). OECD’nin (2009) araştırmasına göre, Almanya kamu yönetiminde değişim konusunda yavaş ilerleyen ülkeler arasında görülürken, Benz ve Goetz (1996) bu durumu ‘hantal kaplumbağa’ (</w:t>
      </w:r>
      <w:r w:rsidRPr="00E0308F">
        <w:rPr>
          <w:rFonts w:ascii="Times New Roman" w:eastAsia="Calibri" w:hAnsi="Times New Roman" w:cs="Times New Roman"/>
          <w:i/>
          <w:iCs/>
          <w:color w:val="000000" w:themeColor="text1"/>
          <w:lang w:val="en-GB"/>
        </w:rPr>
        <w:t>plodding tortoise</w:t>
      </w:r>
      <w:r w:rsidRPr="00E0308F">
        <w:rPr>
          <w:rFonts w:ascii="Times New Roman" w:eastAsia="Calibri" w:hAnsi="Times New Roman" w:cs="Times New Roman"/>
          <w:color w:val="000000" w:themeColor="text1"/>
          <w:lang w:val="en-GB"/>
        </w:rPr>
        <w:t>) tanımlamasıyla karakterize etmiştir. Gerçekten de 1960’lı yıllarla başlayan bürokrasinin azaltılmasından, özelleştirme girişimlerine, 1990’lara gelindiğinde Modern Hükümet – Modern Yönetim (</w:t>
      </w:r>
      <w:r w:rsidRPr="00E0308F">
        <w:rPr>
          <w:rFonts w:ascii="Times New Roman" w:eastAsia="Calibri" w:hAnsi="Times New Roman" w:cs="Times New Roman"/>
          <w:i/>
          <w:iCs/>
          <w:color w:val="000000" w:themeColor="text1"/>
          <w:lang w:val="en-GB"/>
        </w:rPr>
        <w:t>Moderner Staat-moderne Verwaltung</w:t>
      </w:r>
      <w:r w:rsidRPr="00E0308F">
        <w:rPr>
          <w:rFonts w:ascii="Times New Roman" w:eastAsia="Calibri" w:hAnsi="Times New Roman" w:cs="Times New Roman"/>
          <w:color w:val="000000" w:themeColor="text1"/>
          <w:lang w:val="en-GB"/>
        </w:rPr>
        <w:t>) isimli reform teşebbüsleri ve 2000’li yıllarla gelen dijitalleşme ve şeffaflaşma adımları uzun zamandır Almanya’nın kamu yönetim alanında iyileştirme faaliyetleri yürüttüğünün birer kanıtıdır (Schimank &amp; Lange, 2009; Hammerschmid &amp; Oprisor, 2016). Bununla birlikte, Kuhlmann (2010), kademeli (</w:t>
      </w:r>
      <w:r w:rsidRPr="00E0308F">
        <w:rPr>
          <w:rFonts w:ascii="Times New Roman" w:eastAsia="Calibri" w:hAnsi="Times New Roman" w:cs="Times New Roman"/>
          <w:i/>
          <w:iCs/>
          <w:color w:val="000000" w:themeColor="text1"/>
          <w:lang w:val="en-GB"/>
        </w:rPr>
        <w:t>incremental</w:t>
      </w:r>
      <w:r w:rsidRPr="00E0308F">
        <w:rPr>
          <w:rFonts w:ascii="Times New Roman" w:eastAsia="Calibri" w:hAnsi="Times New Roman" w:cs="Times New Roman"/>
          <w:color w:val="000000" w:themeColor="text1"/>
          <w:lang w:val="en-GB"/>
        </w:rPr>
        <w:t xml:space="preserve">) ve yavaş ilerleyen bu reformların sistematik bir formata girememesi sorununa değinmiş; bu türden uygulamaların vatandaşa yakınlıkları ve hizmet sunumunu doğrudan yapmaları sebebiyle yerel yönetimlere verilmesinin daha uygun olacağını ifade etmişlerdir. Almanya’nın güçlü idari kültürü, devlet memurlarının ömür boyu garantili işleriyle elde ettikleri ayrıcalıklı konumları ve bu yapıları çevreleyen hukukun üstünlüğü ile kamu yönetiminin etik kimliği, bir reform ihtiyacının varlığını kendiliğinden dışlamaktadır (Ziller, 2003). Bu doğrultuda, orta ve uzun vadelerde reform temelli bir dönüşüm olasılık dahilindeyse de, baskın Weberyan kamu yönetimi özellikleri bunun kısa vadede mümkün olmadığını göstermektedir. </w:t>
      </w:r>
    </w:p>
    <w:p w14:paraId="3ED7ED28" w14:textId="77777777" w:rsidR="004C6717" w:rsidRPr="00E0308F" w:rsidRDefault="004C6717" w:rsidP="004C6717">
      <w:pPr>
        <w:spacing w:line="276" w:lineRule="auto"/>
        <w:ind w:firstLine="567"/>
        <w:jc w:val="both"/>
        <w:rPr>
          <w:rFonts w:ascii="Times New Roman" w:eastAsia="Calibri" w:hAnsi="Times New Roman" w:cs="Times New Roman"/>
          <w:color w:val="000000" w:themeColor="text1"/>
          <w:lang w:val="en-GB"/>
        </w:rPr>
      </w:pPr>
      <w:r w:rsidRPr="00E0308F">
        <w:rPr>
          <w:rFonts w:ascii="Times New Roman" w:eastAsia="Calibri" w:hAnsi="Times New Roman" w:cs="Times New Roman"/>
          <w:i/>
          <w:iCs/>
          <w:color w:val="000000" w:themeColor="text1"/>
          <w:lang w:val="en-GB"/>
        </w:rPr>
        <w:t>Fransız</w:t>
      </w:r>
      <w:r w:rsidRPr="00E0308F">
        <w:rPr>
          <w:rFonts w:ascii="Times New Roman" w:eastAsia="Calibri" w:hAnsi="Times New Roman" w:cs="Times New Roman"/>
          <w:color w:val="000000" w:themeColor="text1"/>
          <w:lang w:val="en-GB"/>
        </w:rPr>
        <w:t xml:space="preserve"> bürokrasisi idari reform hareketinin Avrupadaki hareketsiz (</w:t>
      </w:r>
      <w:r w:rsidRPr="00E0308F">
        <w:rPr>
          <w:rFonts w:ascii="Times New Roman" w:eastAsia="Calibri" w:hAnsi="Times New Roman" w:cs="Times New Roman"/>
          <w:i/>
          <w:iCs/>
          <w:color w:val="000000" w:themeColor="text1"/>
          <w:lang w:val="en-GB"/>
        </w:rPr>
        <w:t>frozen public administration</w:t>
      </w:r>
      <w:r w:rsidRPr="00E0308F">
        <w:rPr>
          <w:rFonts w:ascii="Times New Roman" w:eastAsia="Calibri" w:hAnsi="Times New Roman" w:cs="Times New Roman"/>
          <w:color w:val="000000" w:themeColor="text1"/>
          <w:lang w:val="en-GB"/>
        </w:rPr>
        <w:t xml:space="preserve">) aktörlerinin başında gelmektedir (Bezes &amp; </w:t>
      </w:r>
      <w:r w:rsidRPr="00E0308F">
        <w:rPr>
          <w:rFonts w:ascii="Times New Roman" w:hAnsi="Times New Roman" w:cs="Times New Roman"/>
          <w:color w:val="000000" w:themeColor="text1"/>
        </w:rPr>
        <w:t>Jeannot: 2016: 8</w:t>
      </w:r>
      <w:r w:rsidRPr="00E0308F">
        <w:rPr>
          <w:rFonts w:ascii="Times New Roman" w:eastAsia="Calibri" w:hAnsi="Times New Roman" w:cs="Times New Roman"/>
          <w:color w:val="000000" w:themeColor="text1"/>
          <w:lang w:val="en-GB"/>
        </w:rPr>
        <w:t>). Napolyonik ya da Kıta Avrupası devlet anlayışının hakim olduğu bu ülkenin güçlü üniter ve hukuki yapısının varlığı, kamuda modernleşme uygulamalarını güçleştirmiştir. Bu reform dalgası her Avrupa ülkesine yeni bir reçete olarak sunulmuş, fakat Anglosakson ülkelerin yönetim anlayışına uygun olduğu için, Fransa gibi ülkelerde uygulamaya konulsa bile istenilen kapsam ve kararlılıkla nihayete erdirilememiştir (Rouban, 2008; Pollitt &amp; Bouckaert, 2011). 1990’ların ortalarında Fransız üst düzey yöneticilerin sahip çıktığı devletin modernizasyonu, 2000’li yıllara gelindiğinde Sarkozy’nin liderliğinde daha sistemli bir şekilde ele alınmıştır. 2007-2012 yılları arasında devleti yeniden düşünmek (</w:t>
      </w:r>
      <w:r w:rsidRPr="00E0308F">
        <w:rPr>
          <w:rFonts w:ascii="Times New Roman" w:eastAsia="Calibri" w:hAnsi="Times New Roman" w:cs="Times New Roman"/>
          <w:i/>
          <w:iCs/>
          <w:color w:val="000000" w:themeColor="text1"/>
          <w:lang w:val="en-GB"/>
        </w:rPr>
        <w:t>Rethinking the State</w:t>
      </w:r>
      <w:r w:rsidRPr="00E0308F">
        <w:rPr>
          <w:rFonts w:ascii="Times New Roman" w:eastAsia="Calibri" w:hAnsi="Times New Roman" w:cs="Times New Roman"/>
          <w:color w:val="000000" w:themeColor="text1"/>
          <w:lang w:val="en-GB"/>
        </w:rPr>
        <w:t>) ismiyle anılan bir kamu politikası girişimi başlatılmıştır (Jole, 2008). Kapsamlı ve tepeden aşağı (</w:t>
      </w:r>
      <w:r w:rsidRPr="00E0308F">
        <w:rPr>
          <w:rFonts w:ascii="Times New Roman" w:eastAsia="Calibri" w:hAnsi="Times New Roman" w:cs="Times New Roman"/>
          <w:i/>
          <w:iCs/>
          <w:color w:val="000000" w:themeColor="text1"/>
          <w:lang w:val="en-GB"/>
        </w:rPr>
        <w:t>top-down</w:t>
      </w:r>
      <w:r w:rsidRPr="00E0308F">
        <w:rPr>
          <w:rFonts w:ascii="Times New Roman" w:eastAsia="Calibri" w:hAnsi="Times New Roman" w:cs="Times New Roman"/>
          <w:color w:val="000000" w:themeColor="text1"/>
          <w:lang w:val="en-GB"/>
        </w:rPr>
        <w:t xml:space="preserve">) bir yaklaşımla hazırlanan bu ajandalar kamu görevlileri ya da özel sektör iş birliği ve katılımı olmadığı için istenen etkiye erişememiştir. Kamu yönetimi alanındaki yenilikler, personelde azaltılma yapılması, dijital araçların kullanımı, performans yönetimi gibi konularda etkili olurken, şeffaflık ya da vatandaş katılımı gibi hususlar geri planda kalmıştır. Fransa’da idarenin modernize edilmesi fikri kabul görmekle birlikte, reformların İskandinavya, Britanya ve Flemenk tarzı yönetimlerden daha sistemsiz ve zayıf bir şekilde devam ettiği görülmektedir (Bezes &amp; Jeannot, 2016: 61). Jole’a (2008) göre bir mekanizma olarak bürokrasinin bazen onun en iyi şekilde işleyeceğine olan sağlam inanç yüzünden de verimli çalıştığı algısı oluşmaktadır. Fransa, kamu sektörü aktörlerinin yaygın inançlarını değiştirmeden yapılan dönüşümlerin belirli seviyelerde kalmasına, hem dönüşümün gerçekten gerekli olup olmadığına hem de </w:t>
      </w:r>
      <w:r w:rsidRPr="00E0308F">
        <w:rPr>
          <w:rFonts w:ascii="Times New Roman" w:eastAsia="Calibri" w:hAnsi="Times New Roman" w:cs="Times New Roman"/>
          <w:color w:val="000000" w:themeColor="text1"/>
          <w:lang w:val="en-GB"/>
        </w:rPr>
        <w:lastRenderedPageBreak/>
        <w:t>eğer gerekliyse öncelikle bu aktörlerin ikna edilmesi gerektiğine en iyi örneklerindendir. Bu durumun aşılmasındaki temel itici gücün orta kademedeki bürokratların sürece dahil edilmesi gösterilmektedir.</w:t>
      </w:r>
    </w:p>
    <w:p w14:paraId="7CB1E767" w14:textId="77777777" w:rsidR="004C6717" w:rsidRPr="00E0308F" w:rsidRDefault="004C6717" w:rsidP="004C6717">
      <w:pPr>
        <w:spacing w:line="276" w:lineRule="auto"/>
        <w:ind w:firstLine="567"/>
        <w:jc w:val="both"/>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 xml:space="preserve">Kıta Avrupası’nda incelediğimiz ülkelerden sonuncusu olan </w:t>
      </w:r>
      <w:r w:rsidRPr="00E0308F">
        <w:rPr>
          <w:rFonts w:ascii="Times New Roman" w:eastAsia="Calibri" w:hAnsi="Times New Roman" w:cs="Times New Roman"/>
          <w:i/>
          <w:iCs/>
          <w:color w:val="000000" w:themeColor="text1"/>
          <w:lang w:val="en-GB"/>
        </w:rPr>
        <w:t xml:space="preserve">Avusturya </w:t>
      </w:r>
      <w:r w:rsidRPr="00E0308F">
        <w:rPr>
          <w:rFonts w:ascii="Times New Roman" w:eastAsia="Calibri" w:hAnsi="Times New Roman" w:cs="Times New Roman"/>
          <w:color w:val="000000" w:themeColor="text1"/>
          <w:lang w:val="en-GB"/>
        </w:rPr>
        <w:t>tıpkı Almanya gibi güçlü bir yasa temelli yönetim geleneğine (</w:t>
      </w:r>
      <w:r w:rsidRPr="00E0308F">
        <w:rPr>
          <w:rFonts w:ascii="Times New Roman" w:eastAsia="Calibri" w:hAnsi="Times New Roman" w:cs="Times New Roman"/>
          <w:i/>
          <w:iCs/>
          <w:color w:val="000000" w:themeColor="text1"/>
          <w:lang w:val="en-GB"/>
        </w:rPr>
        <w:t>Rechtsstaat</w:t>
      </w:r>
      <w:r w:rsidRPr="00E0308F">
        <w:rPr>
          <w:rFonts w:ascii="Times New Roman" w:eastAsia="Calibri" w:hAnsi="Times New Roman" w:cs="Times New Roman"/>
          <w:color w:val="000000" w:themeColor="text1"/>
          <w:lang w:val="en-GB"/>
        </w:rPr>
        <w:t xml:space="preserve">) sahiptir. Temel olarak Weberyan kültür üzerine inşa edilen devlet kurumları, kurallara bağlılık ile güçlendirilmiş hayat boyu garantili pozisyonlarda çalışan kamu personel ve yöneticileri tarafından idare edilmektedir (Hammerschmid &amp; Meyer, 2005; Pollitt &amp; Bouckaert, 2011). Bu geleneksel Kıta Avrupası idari anlayışı Yeni kamu yönetimi dalgasından nasibini alan ülkelerden birisidir. Bununla birlikte reform konusunda temkinli davranan ülke, e-devlet uygulamaları, bilgi edinme hakkı gibi inovatif uygulamaları hayata geçirirken, bu yeniliklerin kanuni altyapısının oluşturulmasına öncelikli önemi vermiştir. Kamusal dönüşümlerim devlet geleneğinin devamına bir engel teşkil ettiği kanısı yaygındır ki, Avusturya kamu yönetimi reformlarının temel aktörleri kamu yöneticilerinden ziyade özel sektör danışmanları olmaktadır. Wimmer’e (2007) göre, en etkili yönetim tekniği de uygulansa, kamu yönetim alanının hukuki zemininde bir sarsıntıya yol açacaksa başarısız olması kaçınılmazdır. Leixnering, Schikowitz &amp; Meyer’in (2016) kapsamlı çalışmasına göre, Avusturya’da kamu ajansları ve yerel yönetimler görece Yeni kamu yönetimi reformlarını uygulamaya daha istekliyken, bakanlıklar gibi merkezi yönetim kurumlarında bu değişimler yerleşik yönetim anlayışının gerisinde kalmaktadır. Öte yandan, periferide kalan yönetsel yapılar sistemli ve koordineli bir işleyiş sağlama adına merkezi yönetim anlayışını zorunlu olarak benimsemekte, dolayısıyla reform yapma potansiyeli olan yönetimlerde geri planda kalmaktadırlar. Özetle, Hammerschmid, Van de Walle, Andrews &amp; Bezes (2016), Avusturya’daki kamu reformunun durumunu ‘hiçbirşey farklı değil ama herşey değişti’ deyimiyle ifade ederek, uygulanan reformların icraatta çok fazla etkili olmadığını iddia etmişlerdir.  </w:t>
      </w:r>
    </w:p>
    <w:p w14:paraId="50076363" w14:textId="77777777" w:rsidR="004C6717" w:rsidRPr="00E0308F" w:rsidRDefault="004C6717" w:rsidP="004C6717">
      <w:pPr>
        <w:spacing w:line="276" w:lineRule="auto"/>
        <w:ind w:firstLine="567"/>
        <w:jc w:val="both"/>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 xml:space="preserve">Görüldüğü üzere Almanya, Avusturya ve Fransa gibi ülkeler her ne kadar değişim konusunda adımlar atmışlarsa da, idari yapıları ve kurumlarını koruma konusunda muhafazakar kalmaktadırlar. Diğer taraftan İngiltere, Hollanda ve İsveç gibi zaten geleneklerinde adaptasyon fikrinin olduğu devletler farklı yöntemler deneme konusunda daha fazla atılım yapma esnekliğine sahiptirler. Bu nedenle sıraladığımız ilk üç ülke yönetim kültürlerindeki kodlar dolayısıyla değişime açık olarak kabul edilirken, geriye kalan diğer üçü ise gelenekçi olarak sınıflandırılmaktadır. </w:t>
      </w:r>
    </w:p>
    <w:p w14:paraId="467CA84D" w14:textId="77777777" w:rsidR="004C6717" w:rsidRPr="00E0308F" w:rsidRDefault="004C6717" w:rsidP="004C6717">
      <w:pPr>
        <w:spacing w:line="276" w:lineRule="auto"/>
        <w:ind w:firstLine="567"/>
        <w:rPr>
          <w:rFonts w:ascii="Times New Roman" w:eastAsia="Calibri" w:hAnsi="Times New Roman" w:cs="Times New Roman"/>
          <w:b/>
          <w:bCs/>
          <w:color w:val="000000" w:themeColor="text1"/>
          <w:lang w:val="en-GB"/>
        </w:rPr>
      </w:pPr>
      <w:r w:rsidRPr="00E0308F">
        <w:rPr>
          <w:rFonts w:ascii="Times New Roman" w:eastAsia="Calibri" w:hAnsi="Times New Roman" w:cs="Times New Roman"/>
          <w:b/>
          <w:bCs/>
          <w:color w:val="000000" w:themeColor="text1"/>
          <w:lang w:val="en-GB"/>
        </w:rPr>
        <w:t>YÖNTEM</w:t>
      </w:r>
    </w:p>
    <w:p w14:paraId="37517BEC" w14:textId="77777777" w:rsidR="004C6717" w:rsidRPr="00E0308F" w:rsidRDefault="004C6717" w:rsidP="004C6717">
      <w:pPr>
        <w:spacing w:line="276" w:lineRule="auto"/>
        <w:ind w:firstLine="567"/>
        <w:jc w:val="both"/>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İki farklı kaynaktan elde edilen verilerin kullanılmasıyla gerçekleştirilen bu çalışma, ikinci el veri analiz metodunu kullanmaktadır. İkinci el veri kullanma yöntemi hem geniş kapsamlı veri setlerini farklı boyutlarda analiz etme hem de zaman ve kaynak tasarrufu sağlama açısından araştırmalarda etkin bir şekilde kullanılan bir yöntemdir (Miller &amp; Brewer, 2003). Dünya üzerindeki farklı ülkelerin kültürel yapılarıyla o ülkelerin iş yapma yol ve yöntemlerini temel olarak inceleyen Globe çalışması yaklaşımı kullanılacak</w:t>
      </w:r>
      <w:r w:rsidRPr="00E0308F">
        <w:rPr>
          <w:rStyle w:val="Kpr"/>
          <w:rFonts w:ascii="Times New Roman" w:eastAsia="Calibri" w:hAnsi="Times New Roman" w:cs="Times New Roman"/>
          <w:color w:val="000000" w:themeColor="text1"/>
          <w:lang w:val="en-GB"/>
        </w:rPr>
        <w:footnoteReference w:id="3"/>
      </w:r>
      <w:r w:rsidRPr="00E0308F">
        <w:rPr>
          <w:rFonts w:ascii="Times New Roman" w:eastAsia="Calibri" w:hAnsi="Times New Roman" w:cs="Times New Roman"/>
          <w:color w:val="000000" w:themeColor="text1"/>
          <w:lang w:val="en-GB"/>
        </w:rPr>
        <w:t>, bu parametrelerin Dünya Sağlık Örgütü</w:t>
      </w:r>
      <w:r w:rsidRPr="00E0308F">
        <w:rPr>
          <w:rStyle w:val="Kpr"/>
          <w:rFonts w:ascii="Times New Roman" w:eastAsia="Calibri" w:hAnsi="Times New Roman" w:cs="Times New Roman"/>
          <w:color w:val="000000" w:themeColor="text1"/>
          <w:lang w:val="en-GB"/>
        </w:rPr>
        <w:footnoteReference w:id="4"/>
      </w:r>
      <w:r w:rsidRPr="00E0308F">
        <w:rPr>
          <w:rFonts w:ascii="Times New Roman" w:eastAsia="Calibri" w:hAnsi="Times New Roman" w:cs="Times New Roman"/>
          <w:color w:val="000000" w:themeColor="text1"/>
          <w:lang w:val="en-GB"/>
        </w:rPr>
        <w:t xml:space="preserve">’nün güncel verilerinden alınan vaka ve ölüm oranları üzerindeki etkisi tartışılacaktır. Geçerliliği ve güvenilirliği yüzlerce çalışmayla test edilen Globe Projesi, farklı ülkelerin kültürel değerlerini ve onların iş ve işleyişlere yansımasını gösteren </w:t>
      </w:r>
      <w:r w:rsidRPr="00E0308F">
        <w:rPr>
          <w:rFonts w:ascii="Times New Roman" w:eastAsia="Calibri" w:hAnsi="Times New Roman" w:cs="Times New Roman"/>
          <w:color w:val="000000" w:themeColor="text1"/>
          <w:lang w:val="en-GB"/>
        </w:rPr>
        <w:lastRenderedPageBreak/>
        <w:t>uygulamaları karşılaştırmalı olarak incelemekte</w:t>
      </w:r>
      <w:bookmarkStart w:id="50" w:name="_Hlk68816218"/>
      <w:r w:rsidRPr="00E0308F">
        <w:rPr>
          <w:rFonts w:ascii="Times New Roman" w:eastAsia="Calibri" w:hAnsi="Times New Roman" w:cs="Times New Roman"/>
          <w:color w:val="000000" w:themeColor="text1"/>
          <w:lang w:val="en-GB"/>
        </w:rPr>
        <w:t>; bu kapsamda kurumsal kollektivizm, insancıl yönelim, performans yönelimi, gelecek yönelimi, belirsizliğin önlenmesi, grup içi kolektivizm</w:t>
      </w:r>
      <w:bookmarkEnd w:id="50"/>
      <w:r w:rsidRPr="00E0308F">
        <w:rPr>
          <w:rFonts w:ascii="Times New Roman" w:eastAsia="Calibri" w:hAnsi="Times New Roman" w:cs="Times New Roman"/>
          <w:color w:val="000000" w:themeColor="text1"/>
          <w:lang w:val="en-GB"/>
        </w:rPr>
        <w:t xml:space="preserve">, kendine güven/ girişimcilik ve güç mesafesi adlarıyla sekiz farklı alt parametreyi ele alarak devletlerin farklı kültürel pratiklerini tespit etmeyi amaçlamaktadır (Waldman vd., 2006). Bununla birlikte, mevcut araştırmada bu kültür parametrelerinden pandemi sürecindeki yönetim politikalarını ve süreçlerini doğrudan etkileyecek olan şu beş kriter üzerine odaklanılacaktır: Kurumsal kollektivizm, insancıl yönelim, gelecek yönelimi, belirsizliğin önlenmesi, grup içi kolektivizm. </w:t>
      </w:r>
      <w:r w:rsidRPr="00E0308F">
        <w:rPr>
          <w:rFonts w:ascii="Times New Roman" w:eastAsia="Calibri" w:hAnsi="Times New Roman" w:cs="Times New Roman"/>
          <w:i/>
          <w:iCs/>
          <w:color w:val="000000" w:themeColor="text1"/>
          <w:lang w:val="en-GB"/>
        </w:rPr>
        <w:t>Kurumsal kolektivism</w:t>
      </w:r>
      <w:r w:rsidRPr="00E0308F">
        <w:rPr>
          <w:rFonts w:ascii="Times New Roman" w:eastAsia="Calibri" w:hAnsi="Times New Roman" w:cs="Times New Roman"/>
          <w:color w:val="000000" w:themeColor="text1"/>
          <w:lang w:val="en-GB"/>
        </w:rPr>
        <w:t xml:space="preserve"> örgütlerin veya toplumsal kurumların ortaklaşa eylemler yapmaları ve kaynakların eşit dağılımı olarak tanımlanmaktadır. Kurumsal aidiyet ve sadakat ile çoğunluğun çıkarına olanı uygulamak bu özellikteki toplumlarda öncelikli değerlerdir. </w:t>
      </w:r>
      <w:r w:rsidRPr="00E0308F">
        <w:rPr>
          <w:rFonts w:ascii="Times New Roman" w:eastAsia="Calibri" w:hAnsi="Times New Roman" w:cs="Times New Roman"/>
          <w:i/>
          <w:iCs/>
          <w:color w:val="000000" w:themeColor="text1"/>
          <w:lang w:val="en-GB"/>
        </w:rPr>
        <w:t>İnsancıl yönelim</w:t>
      </w:r>
      <w:r w:rsidRPr="00E0308F">
        <w:rPr>
          <w:rFonts w:ascii="Times New Roman" w:eastAsia="Calibri" w:hAnsi="Times New Roman" w:cs="Times New Roman"/>
          <w:color w:val="000000" w:themeColor="text1"/>
          <w:lang w:val="en-GB"/>
        </w:rPr>
        <w:t xml:space="preserve">, örgütlerin ya da toplumların diğer insanlara karşı ilgili, cömert ve özgecil olmasıyla ilişkilendirilmektedir. Toplumun genelinin menfaatini gözetme ve ayrımcılığı yer vermeme öne çıkan değerler arasındadır. Bir diğer ölçüt olan </w:t>
      </w:r>
      <w:r w:rsidRPr="00E0308F">
        <w:rPr>
          <w:rFonts w:ascii="Times New Roman" w:eastAsia="Calibri" w:hAnsi="Times New Roman" w:cs="Times New Roman"/>
          <w:i/>
          <w:iCs/>
          <w:color w:val="000000" w:themeColor="text1"/>
          <w:lang w:val="en-GB"/>
        </w:rPr>
        <w:t>gelecek yönelimi</w:t>
      </w:r>
      <w:r w:rsidRPr="00E0308F">
        <w:rPr>
          <w:rFonts w:ascii="Times New Roman" w:eastAsia="Calibri" w:hAnsi="Times New Roman" w:cs="Times New Roman"/>
          <w:color w:val="000000" w:themeColor="text1"/>
          <w:lang w:val="en-GB"/>
        </w:rPr>
        <w:t xml:space="preserve">, planlamanın, uzun dönemli hedeflerin ve başarının öncelendiği toplumlar ve kurumları ifade etmektedir. Farklı koşullara kolay adaptasyon ve içsel tatmin ile başarılı iş üretmeyi birbirinin ayrılmaz parçaları olarak görmek bu özellikteki ülke ve kurumların temel değerlerini oluşturmaktadır. </w:t>
      </w:r>
      <w:r w:rsidRPr="00E0308F">
        <w:rPr>
          <w:rFonts w:ascii="Times New Roman" w:eastAsia="Calibri" w:hAnsi="Times New Roman" w:cs="Times New Roman"/>
          <w:i/>
          <w:iCs/>
          <w:color w:val="000000" w:themeColor="text1"/>
          <w:lang w:val="en-GB"/>
        </w:rPr>
        <w:t>Belirsizliği önlenmesi</w:t>
      </w:r>
      <w:r w:rsidRPr="00E0308F">
        <w:rPr>
          <w:rFonts w:ascii="Times New Roman" w:eastAsia="Calibri" w:hAnsi="Times New Roman" w:cs="Times New Roman"/>
          <w:color w:val="000000" w:themeColor="text1"/>
          <w:lang w:val="en-GB"/>
        </w:rPr>
        <w:t xml:space="preserve"> ölçütü, gelecekte toplumun ya da kurumların karşılaşması muhtemel olayları tahmin etmesini kolaylaştıracak belirli sosyal normlar, kurallar ve prosedürlere sahip olmasıdır. Riskleri hesaplayarak formal kurallara uyma ve değişime karşı güçlü bir direnç gösterme bu değerlere sahip kurum veya kuruluşların belirleyici özelliklerindendir. Son olarak </w:t>
      </w:r>
      <w:r w:rsidRPr="00E0308F">
        <w:rPr>
          <w:rFonts w:ascii="Times New Roman" w:eastAsia="Calibri" w:hAnsi="Times New Roman" w:cs="Times New Roman"/>
          <w:i/>
          <w:iCs/>
          <w:color w:val="000000" w:themeColor="text1"/>
          <w:lang w:val="en-GB"/>
        </w:rPr>
        <w:t>grup içi kolektivism</w:t>
      </w:r>
      <w:r w:rsidRPr="00E0308F">
        <w:rPr>
          <w:rFonts w:ascii="Times New Roman" w:eastAsia="Calibri" w:hAnsi="Times New Roman" w:cs="Times New Roman"/>
          <w:color w:val="000000" w:themeColor="text1"/>
          <w:lang w:val="en-GB"/>
        </w:rPr>
        <w:t xml:space="preserve">, bireylerin kurumlarıyla bağlılık, sadakat ve saygı gibi değerler vasıtasıyla ilişki kurmalarıdır. İnsanların görev ve sorumlulukları ile ait oldukları topluluğu öncelemesi bu ölçütte görülen en temel değerler arasında yer almaktadır (House, Hanges, Javidan, Dorfman &amp; Gupta, 2004). Yukarıda bahsedilen bu beş parametre, salgın sürecindeki ülkelerin doğrudan sahip olması gereken özellikleri içerdiği için, bunların yüksek seviyede görüldüğü toplumların pandemi sürecini daha iyi yönetebilecekleri düşünülebilir. Çalışmada incelenen altı ülkenin ölçüt sonuçları toplanmış ve bu sonuçlar Coronavirüs vaka ve ölüm sayılarıyla ilişkilendirilerek analiz edilmiştir. </w:t>
      </w:r>
    </w:p>
    <w:p w14:paraId="4C0BE06E" w14:textId="77777777" w:rsidR="004C6717" w:rsidRPr="00E0308F" w:rsidRDefault="004C6717" w:rsidP="004C6717">
      <w:pPr>
        <w:spacing w:line="276" w:lineRule="auto"/>
        <w:ind w:firstLine="567"/>
        <w:jc w:val="both"/>
        <w:rPr>
          <w:rFonts w:ascii="Times New Roman" w:eastAsia="Calibri" w:hAnsi="Times New Roman" w:cs="Times New Roman"/>
          <w:color w:val="000000" w:themeColor="text1"/>
          <w:lang w:val="en-GB"/>
        </w:rPr>
      </w:pPr>
    </w:p>
    <w:p w14:paraId="7EADB1AD" w14:textId="77777777" w:rsidR="004C6717" w:rsidRPr="00164238" w:rsidRDefault="004C6717" w:rsidP="004C6717">
      <w:pPr>
        <w:spacing w:line="360" w:lineRule="auto"/>
        <w:jc w:val="both"/>
        <w:rPr>
          <w:rFonts w:ascii="Times New Roman" w:eastAsia="Calibri" w:hAnsi="Times New Roman" w:cs="Times New Roman"/>
          <w:color w:val="000000" w:themeColor="text1"/>
          <w:sz w:val="20"/>
          <w:szCs w:val="20"/>
          <w:lang w:val="en-GB"/>
        </w:rPr>
        <w:sectPr w:rsidR="004C6717" w:rsidRPr="00164238" w:rsidSect="004C6717">
          <w:headerReference w:type="default" r:id="rId76"/>
          <w:footerReference w:type="default" r:id="rId77"/>
          <w:pgSz w:w="11906" w:h="16838"/>
          <w:pgMar w:top="2268" w:right="1417" w:bottom="1417" w:left="1417" w:header="1560" w:footer="964" w:gutter="0"/>
          <w:cols w:space="708"/>
          <w:titlePg/>
          <w:docGrid w:linePitch="360"/>
        </w:sectPr>
      </w:pPr>
    </w:p>
    <w:p w14:paraId="68863241" w14:textId="77777777" w:rsidR="004C6717" w:rsidRPr="00164238" w:rsidRDefault="004C6717" w:rsidP="004C6717">
      <w:pPr>
        <w:rPr>
          <w:rFonts w:ascii="Times New Roman" w:eastAsia="Calibri" w:hAnsi="Times New Roman" w:cs="Times New Roman"/>
          <w:color w:val="000000" w:themeColor="text1"/>
          <w:sz w:val="20"/>
          <w:szCs w:val="20"/>
          <w:lang w:val="en-GB"/>
        </w:rPr>
      </w:pPr>
      <w:r w:rsidRPr="00164238">
        <w:rPr>
          <w:rFonts w:ascii="Times New Roman" w:eastAsia="Calibri" w:hAnsi="Times New Roman" w:cs="Times New Roman"/>
          <w:i/>
          <w:iCs/>
          <w:noProof/>
          <w:color w:val="000000" w:themeColor="text1"/>
          <w:sz w:val="20"/>
          <w:szCs w:val="20"/>
          <w:lang w:val="en-US"/>
        </w:rPr>
        <w:lastRenderedPageBreak/>
        <w:drawing>
          <wp:anchor distT="0" distB="0" distL="114300" distR="114300" simplePos="0" relativeHeight="251684864" behindDoc="0" locked="0" layoutInCell="1" allowOverlap="1" wp14:anchorId="4FC1B720" wp14:editId="559B1406">
            <wp:simplePos x="0" y="0"/>
            <wp:positionH relativeFrom="column">
              <wp:posOffset>2733930</wp:posOffset>
            </wp:positionH>
            <wp:positionV relativeFrom="paragraph">
              <wp:posOffset>2686050</wp:posOffset>
            </wp:positionV>
            <wp:extent cx="3124200" cy="2562225"/>
            <wp:effectExtent l="0" t="0" r="0" b="9525"/>
            <wp:wrapThrough wrapText="bothSides">
              <wp:wrapPolygon edited="0">
                <wp:start x="0" y="0"/>
                <wp:lineTo x="0" y="21520"/>
                <wp:lineTo x="21468" y="21520"/>
                <wp:lineTo x="21468" y="0"/>
                <wp:lineTo x="0" y="0"/>
              </wp:wrapPolygon>
            </wp:wrapThrough>
            <wp:docPr id="37" name="Grafik 37">
              <a:extLst xmlns:a="http://schemas.openxmlformats.org/drawingml/2006/main">
                <a:ext uri="{FF2B5EF4-FFF2-40B4-BE49-F238E27FC236}">
                  <a16:creationId xmlns:a16="http://schemas.microsoft.com/office/drawing/2014/main" id="{AD1F616B-47B1-4657-A97F-98A4DD441B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H relativeFrom="page">
              <wp14:pctWidth>0</wp14:pctWidth>
            </wp14:sizeRelH>
            <wp14:sizeRelV relativeFrom="page">
              <wp14:pctHeight>0</wp14:pctHeight>
            </wp14:sizeRelV>
          </wp:anchor>
        </w:drawing>
      </w:r>
      <w:r w:rsidRPr="00164238">
        <w:rPr>
          <w:rFonts w:ascii="Times New Roman" w:eastAsia="Calibri" w:hAnsi="Times New Roman" w:cs="Times New Roman"/>
          <w:i/>
          <w:iCs/>
          <w:noProof/>
          <w:color w:val="000000" w:themeColor="text1"/>
          <w:sz w:val="20"/>
          <w:szCs w:val="20"/>
          <w:lang w:val="en-US"/>
        </w:rPr>
        <w:drawing>
          <wp:anchor distT="0" distB="0" distL="114300" distR="114300" simplePos="0" relativeHeight="251683840" behindDoc="0" locked="0" layoutInCell="1" allowOverlap="1" wp14:anchorId="395C1C5F" wp14:editId="1DB93B76">
            <wp:simplePos x="0" y="0"/>
            <wp:positionH relativeFrom="column">
              <wp:posOffset>5988124</wp:posOffset>
            </wp:positionH>
            <wp:positionV relativeFrom="paragraph">
              <wp:posOffset>2686545</wp:posOffset>
            </wp:positionV>
            <wp:extent cx="3124200" cy="2562225"/>
            <wp:effectExtent l="0" t="0" r="0" b="9525"/>
            <wp:wrapThrough wrapText="bothSides">
              <wp:wrapPolygon edited="0">
                <wp:start x="0" y="0"/>
                <wp:lineTo x="0" y="21520"/>
                <wp:lineTo x="21468" y="21520"/>
                <wp:lineTo x="21468" y="0"/>
                <wp:lineTo x="0" y="0"/>
              </wp:wrapPolygon>
            </wp:wrapThrough>
            <wp:docPr id="38" name="Grafik 38">
              <a:extLst xmlns:a="http://schemas.openxmlformats.org/drawingml/2006/main">
                <a:ext uri="{FF2B5EF4-FFF2-40B4-BE49-F238E27FC236}">
                  <a16:creationId xmlns:a16="http://schemas.microsoft.com/office/drawing/2014/main" id="{AD1F616B-47B1-4657-A97F-98A4DD441B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H relativeFrom="page">
              <wp14:pctWidth>0</wp14:pctWidth>
            </wp14:sizeRelH>
            <wp14:sizeRelV relativeFrom="page">
              <wp14:pctHeight>0</wp14:pctHeight>
            </wp14:sizeRelV>
          </wp:anchor>
        </w:drawing>
      </w:r>
      <w:r w:rsidRPr="00164238">
        <w:rPr>
          <w:rFonts w:ascii="Times New Roman" w:hAnsi="Times New Roman" w:cs="Times New Roman"/>
          <w:i/>
          <w:iCs/>
          <w:noProof/>
          <w:color w:val="000000" w:themeColor="text1"/>
          <w:sz w:val="20"/>
          <w:szCs w:val="20"/>
          <w:lang w:val="en-US"/>
        </w:rPr>
        <w:drawing>
          <wp:anchor distT="0" distB="0" distL="114300" distR="114300" simplePos="0" relativeHeight="251681792" behindDoc="0" locked="0" layoutInCell="1" allowOverlap="1" wp14:anchorId="662AD443" wp14:editId="141E099A">
            <wp:simplePos x="0" y="0"/>
            <wp:positionH relativeFrom="column">
              <wp:posOffset>5990590</wp:posOffset>
            </wp:positionH>
            <wp:positionV relativeFrom="paragraph">
              <wp:posOffset>1592</wp:posOffset>
            </wp:positionV>
            <wp:extent cx="3124200" cy="2562225"/>
            <wp:effectExtent l="0" t="0" r="0" b="9525"/>
            <wp:wrapThrough wrapText="bothSides">
              <wp:wrapPolygon edited="0">
                <wp:start x="0" y="0"/>
                <wp:lineTo x="0" y="21520"/>
                <wp:lineTo x="21468" y="21520"/>
                <wp:lineTo x="21468" y="0"/>
                <wp:lineTo x="0" y="0"/>
              </wp:wrapPolygon>
            </wp:wrapThrough>
            <wp:docPr id="39" name="Grafik 39">
              <a:extLst xmlns:a="http://schemas.openxmlformats.org/drawingml/2006/main">
                <a:ext uri="{FF2B5EF4-FFF2-40B4-BE49-F238E27FC236}">
                  <a16:creationId xmlns:a16="http://schemas.microsoft.com/office/drawing/2014/main" id="{AD1F616B-47B1-4657-A97F-98A4DD441B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14:sizeRelH relativeFrom="page">
              <wp14:pctWidth>0</wp14:pctWidth>
            </wp14:sizeRelH>
            <wp14:sizeRelV relativeFrom="page">
              <wp14:pctHeight>0</wp14:pctHeight>
            </wp14:sizeRelV>
          </wp:anchor>
        </w:drawing>
      </w:r>
      <w:r w:rsidRPr="00164238">
        <w:rPr>
          <w:rFonts w:ascii="Times New Roman" w:hAnsi="Times New Roman" w:cs="Times New Roman"/>
          <w:i/>
          <w:iCs/>
          <w:noProof/>
          <w:color w:val="000000" w:themeColor="text1"/>
          <w:sz w:val="20"/>
          <w:szCs w:val="20"/>
          <w:lang w:val="en-US"/>
        </w:rPr>
        <w:drawing>
          <wp:anchor distT="0" distB="0" distL="114300" distR="114300" simplePos="0" relativeHeight="251682816" behindDoc="0" locked="0" layoutInCell="1" allowOverlap="1" wp14:anchorId="5F6304B4" wp14:editId="74B84A39">
            <wp:simplePos x="0" y="0"/>
            <wp:positionH relativeFrom="column">
              <wp:posOffset>2733675</wp:posOffset>
            </wp:positionH>
            <wp:positionV relativeFrom="paragraph">
              <wp:posOffset>3563</wp:posOffset>
            </wp:positionV>
            <wp:extent cx="3124200" cy="2562225"/>
            <wp:effectExtent l="0" t="0" r="0" b="9525"/>
            <wp:wrapThrough wrapText="bothSides">
              <wp:wrapPolygon edited="0">
                <wp:start x="0" y="0"/>
                <wp:lineTo x="0" y="21520"/>
                <wp:lineTo x="21468" y="21520"/>
                <wp:lineTo x="21468" y="0"/>
                <wp:lineTo x="0" y="0"/>
              </wp:wrapPolygon>
            </wp:wrapThrough>
            <wp:docPr id="40" name="Grafik 40">
              <a:extLst xmlns:a="http://schemas.openxmlformats.org/drawingml/2006/main">
                <a:ext uri="{FF2B5EF4-FFF2-40B4-BE49-F238E27FC236}">
                  <a16:creationId xmlns:a16="http://schemas.microsoft.com/office/drawing/2014/main" id="{AD1F616B-47B1-4657-A97F-98A4DD441B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14:sizeRelH relativeFrom="page">
              <wp14:pctWidth>0</wp14:pctWidth>
            </wp14:sizeRelH>
            <wp14:sizeRelV relativeFrom="page">
              <wp14:pctHeight>0</wp14:pctHeight>
            </wp14:sizeRelV>
          </wp:anchor>
        </w:drawing>
      </w:r>
      <w:r w:rsidRPr="00164238">
        <w:rPr>
          <w:rFonts w:ascii="Times New Roman" w:eastAsia="Calibri" w:hAnsi="Times New Roman" w:cs="Times New Roman"/>
          <w:i/>
          <w:iCs/>
          <w:noProof/>
          <w:color w:val="000000" w:themeColor="text1"/>
          <w:sz w:val="20"/>
          <w:szCs w:val="20"/>
          <w:lang w:val="en-US"/>
        </w:rPr>
        <w:drawing>
          <wp:anchor distT="0" distB="0" distL="114300" distR="114300" simplePos="0" relativeHeight="251680768" behindDoc="0" locked="0" layoutInCell="1" allowOverlap="1" wp14:anchorId="5D046EEE" wp14:editId="0E2094FA">
            <wp:simplePos x="0" y="0"/>
            <wp:positionH relativeFrom="column">
              <wp:posOffset>-509270</wp:posOffset>
            </wp:positionH>
            <wp:positionV relativeFrom="paragraph">
              <wp:posOffset>2691130</wp:posOffset>
            </wp:positionV>
            <wp:extent cx="3124200" cy="2562225"/>
            <wp:effectExtent l="0" t="0" r="0" b="9525"/>
            <wp:wrapThrough wrapText="bothSides">
              <wp:wrapPolygon edited="0">
                <wp:start x="0" y="0"/>
                <wp:lineTo x="0" y="21520"/>
                <wp:lineTo x="21468" y="21520"/>
                <wp:lineTo x="21468" y="0"/>
                <wp:lineTo x="0" y="0"/>
              </wp:wrapPolygon>
            </wp:wrapThrough>
            <wp:docPr id="41" name="Grafik 41">
              <a:extLst xmlns:a="http://schemas.openxmlformats.org/drawingml/2006/main">
                <a:ext uri="{FF2B5EF4-FFF2-40B4-BE49-F238E27FC236}">
                  <a16:creationId xmlns:a16="http://schemas.microsoft.com/office/drawing/2014/main" id="{AD1F616B-47B1-4657-A97F-98A4DD441B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14:sizeRelH relativeFrom="page">
              <wp14:pctWidth>0</wp14:pctWidth>
            </wp14:sizeRelH>
            <wp14:sizeRelV relativeFrom="page">
              <wp14:pctHeight>0</wp14:pctHeight>
            </wp14:sizeRelV>
          </wp:anchor>
        </w:drawing>
      </w:r>
      <w:r w:rsidRPr="00164238">
        <w:rPr>
          <w:rFonts w:ascii="Times New Roman" w:eastAsia="Calibri" w:hAnsi="Times New Roman" w:cs="Times New Roman"/>
          <w:i/>
          <w:iCs/>
          <w:noProof/>
          <w:color w:val="000000" w:themeColor="text1"/>
          <w:sz w:val="20"/>
          <w:szCs w:val="20"/>
          <w:lang w:val="en-US"/>
        </w:rPr>
        <w:drawing>
          <wp:anchor distT="0" distB="0" distL="114300" distR="114300" simplePos="0" relativeHeight="251679744" behindDoc="0" locked="0" layoutInCell="1" allowOverlap="1" wp14:anchorId="12FFFF9C" wp14:editId="01FDAD69">
            <wp:simplePos x="0" y="0"/>
            <wp:positionH relativeFrom="column">
              <wp:posOffset>-504825</wp:posOffset>
            </wp:positionH>
            <wp:positionV relativeFrom="paragraph">
              <wp:posOffset>0</wp:posOffset>
            </wp:positionV>
            <wp:extent cx="3124200" cy="2562225"/>
            <wp:effectExtent l="0" t="0" r="0" b="9525"/>
            <wp:wrapSquare wrapText="bothSides"/>
            <wp:docPr id="42" name="Grafik 42">
              <a:extLst xmlns:a="http://schemas.openxmlformats.org/drawingml/2006/main">
                <a:ext uri="{FF2B5EF4-FFF2-40B4-BE49-F238E27FC236}">
                  <a16:creationId xmlns:a16="http://schemas.microsoft.com/office/drawing/2014/main" id="{AD1F616B-47B1-4657-A97F-98A4DD441B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anchor>
        </w:drawing>
      </w:r>
      <w:r w:rsidRPr="00164238">
        <w:rPr>
          <w:rFonts w:ascii="Times New Roman" w:eastAsia="Calibri" w:hAnsi="Times New Roman" w:cs="Times New Roman"/>
          <w:i/>
          <w:iCs/>
          <w:color w:val="000000" w:themeColor="text1"/>
          <w:sz w:val="20"/>
          <w:szCs w:val="20"/>
          <w:lang w:val="en-GB"/>
        </w:rPr>
        <w:t>Grafik 1</w:t>
      </w:r>
      <w:r w:rsidRPr="00164238">
        <w:rPr>
          <w:rFonts w:ascii="Times New Roman" w:eastAsia="Calibri" w:hAnsi="Times New Roman" w:cs="Times New Roman"/>
          <w:color w:val="000000" w:themeColor="text1"/>
          <w:sz w:val="20"/>
          <w:szCs w:val="20"/>
          <w:lang w:val="en-GB"/>
        </w:rPr>
        <w:t>: İncelenen Ülkelerin Değer ve Pratik Karşılaştırmaları</w:t>
      </w:r>
    </w:p>
    <w:p w14:paraId="7F42E3EA" w14:textId="77777777" w:rsidR="004C6717" w:rsidRPr="00164238" w:rsidRDefault="004C6717" w:rsidP="004C6717">
      <w:pPr>
        <w:spacing w:line="360" w:lineRule="auto"/>
        <w:jc w:val="both"/>
        <w:rPr>
          <w:rFonts w:ascii="Times New Roman" w:eastAsia="Calibri" w:hAnsi="Times New Roman" w:cs="Times New Roman"/>
          <w:color w:val="000000" w:themeColor="text1"/>
          <w:sz w:val="20"/>
          <w:szCs w:val="20"/>
          <w:lang w:val="en-GB"/>
        </w:rPr>
        <w:sectPr w:rsidR="004C6717" w:rsidRPr="00164238" w:rsidSect="00682CBF">
          <w:pgSz w:w="16838" w:h="11906" w:orient="landscape"/>
          <w:pgMar w:top="1417" w:right="1417" w:bottom="1417" w:left="1417" w:header="709" w:footer="709" w:gutter="0"/>
          <w:cols w:space="708"/>
          <w:docGrid w:linePitch="360"/>
        </w:sectPr>
      </w:pPr>
    </w:p>
    <w:p w14:paraId="442E9553" w14:textId="77777777" w:rsidR="004C6717" w:rsidRPr="00164238" w:rsidRDefault="004C6717" w:rsidP="004C6717">
      <w:pPr>
        <w:spacing w:line="276" w:lineRule="auto"/>
        <w:ind w:firstLine="567"/>
        <w:rPr>
          <w:rFonts w:ascii="Times New Roman" w:eastAsia="Calibri" w:hAnsi="Times New Roman" w:cs="Times New Roman"/>
          <w:b/>
          <w:bCs/>
          <w:color w:val="000000" w:themeColor="text1"/>
          <w:sz w:val="20"/>
          <w:szCs w:val="20"/>
          <w:lang w:val="en-GB"/>
        </w:rPr>
      </w:pPr>
      <w:r w:rsidRPr="00164238">
        <w:rPr>
          <w:rFonts w:ascii="Times New Roman" w:eastAsia="Calibri" w:hAnsi="Times New Roman" w:cs="Times New Roman"/>
          <w:b/>
          <w:bCs/>
          <w:color w:val="000000" w:themeColor="text1"/>
          <w:sz w:val="20"/>
          <w:szCs w:val="20"/>
          <w:lang w:val="en-GB"/>
        </w:rPr>
        <w:lastRenderedPageBreak/>
        <w:t>BULGULAR VE TARTIŞMA</w:t>
      </w:r>
    </w:p>
    <w:p w14:paraId="4A235ACE" w14:textId="77777777" w:rsidR="004C6717" w:rsidRPr="00E0308F" w:rsidRDefault="004C6717" w:rsidP="004C6717">
      <w:pPr>
        <w:spacing w:line="276" w:lineRule="auto"/>
        <w:ind w:firstLine="567"/>
        <w:jc w:val="both"/>
        <w:rPr>
          <w:rFonts w:ascii="Times New Roman" w:hAnsi="Times New Roman" w:cs="Times New Roman"/>
          <w:color w:val="000000" w:themeColor="text1"/>
        </w:rPr>
      </w:pPr>
      <w:r w:rsidRPr="00E0308F">
        <w:rPr>
          <w:rFonts w:ascii="Times New Roman" w:hAnsi="Times New Roman" w:cs="Times New Roman"/>
          <w:color w:val="000000" w:themeColor="text1"/>
        </w:rPr>
        <w:t>Ülkelerin salgın sürecini yürütme performansları yukarıda açıklanan beş parametreyle birlikte incelenmiştir. Sosyal dayanışma, empati, birlikte hareket etme veya planlı davranma gibi salgın benzeri süreçlerde toplumların ve yönetimlerin sahip olması gereken nitelikler, gelecek ve insan odaklılık, kurumsal ve grup içi kolektivizm, belirsizlikten kaçınma parametrelerindeki pratik değerlerin (</w:t>
      </w:r>
      <w:r w:rsidRPr="00E0308F">
        <w:rPr>
          <w:rFonts w:ascii="Times New Roman" w:hAnsi="Times New Roman" w:cs="Times New Roman"/>
          <w:i/>
          <w:iCs/>
          <w:color w:val="000000" w:themeColor="text1"/>
        </w:rPr>
        <w:t>practice score</w:t>
      </w:r>
      <w:r w:rsidRPr="00E0308F">
        <w:rPr>
          <w:rFonts w:ascii="Times New Roman" w:hAnsi="Times New Roman" w:cs="Times New Roman"/>
          <w:color w:val="000000" w:themeColor="text1"/>
        </w:rPr>
        <w:t>) yüksek olmasıyla ilişkilendirilmiştir. Bu bağlantı dikkate alınarak insan odaklılık ve grup içi kolektivizmin tüm bu altı ülkede de beklenen değerden daha düşük gerçekleştiği\uygulandığı görülmektedir. Yukarıdaki grafiklerden de anlaşılacağı üzere tüm ülkelerde bu iki parametrede değer (</w:t>
      </w:r>
      <w:r w:rsidRPr="00E0308F">
        <w:rPr>
          <w:rFonts w:ascii="Times New Roman" w:hAnsi="Times New Roman" w:cs="Times New Roman"/>
          <w:i/>
          <w:iCs/>
          <w:color w:val="000000" w:themeColor="text1"/>
        </w:rPr>
        <w:t>value</w:t>
      </w:r>
      <w:r w:rsidRPr="00E0308F">
        <w:rPr>
          <w:rFonts w:ascii="Times New Roman" w:hAnsi="Times New Roman" w:cs="Times New Roman"/>
          <w:color w:val="000000" w:themeColor="text1"/>
        </w:rPr>
        <w:t>) ve pratik (</w:t>
      </w:r>
      <w:r w:rsidRPr="00E0308F">
        <w:rPr>
          <w:rFonts w:ascii="Times New Roman" w:hAnsi="Times New Roman" w:cs="Times New Roman"/>
          <w:i/>
          <w:iCs/>
          <w:color w:val="000000" w:themeColor="text1"/>
        </w:rPr>
        <w:t>practice</w:t>
      </w:r>
      <w:r w:rsidRPr="00E0308F">
        <w:rPr>
          <w:rFonts w:ascii="Times New Roman" w:hAnsi="Times New Roman" w:cs="Times New Roman"/>
          <w:color w:val="000000" w:themeColor="text1"/>
        </w:rPr>
        <w:t xml:space="preserve">) oranları diğer üç kriterden birbirine daha uzaktır. (Grafik 1) Ülkelerin grafikleri özel olarak incelendiğinde ise, Almanya’da insancıl yönelimin, İsveç’de ise grup içi kolektivizmin beklenenden daha düşük bir oranda pratikte yansımalarının bulunduğu görülmektedir. Kurumsal kolektivizme baktığımızda, Almanya ve Fransa’ya ait değerlerin uygulamalarında bu kriter beklenenden daha az görülmekteyken, İsveç’te ise tam tersi bir şekilde gerçekleşerek, grup halinde hareket edebilme kabiliyeti toplumda ve kurumlarda umulandan daha fazla görülmüştür. Öte yandan belirsizliğin önlenmesi diğer dört kriterden tamamen farklı bir şekilde altı ülkede de değer atfedilenden çok daha iyi bir başarıda uygulanmıştır. Tüm bu sonuçlar göz önünde bulundurulduğunda, elde edilen bu değerler ülkelerin kültürleri ve bunları pratikte kullanmaları açısından herhangi bir belirgin farklılık sunmamaktadır. </w:t>
      </w:r>
    </w:p>
    <w:p w14:paraId="495F7FE1" w14:textId="77777777" w:rsidR="004C6717" w:rsidRPr="00E0308F" w:rsidRDefault="004C6717" w:rsidP="004C6717">
      <w:pPr>
        <w:rPr>
          <w:rFonts w:ascii="Times New Roman" w:hAnsi="Times New Roman" w:cs="Times New Roman"/>
          <w:color w:val="000000" w:themeColor="text1"/>
        </w:rPr>
      </w:pPr>
      <w:r w:rsidRPr="00E0308F">
        <w:rPr>
          <w:rFonts w:ascii="Times New Roman" w:hAnsi="Times New Roman" w:cs="Times New Roman"/>
          <w:i/>
          <w:iCs/>
          <w:color w:val="000000" w:themeColor="text1"/>
        </w:rPr>
        <w:t>Tablo 1</w:t>
      </w:r>
      <w:r w:rsidRPr="00E0308F">
        <w:rPr>
          <w:rFonts w:ascii="Times New Roman" w:hAnsi="Times New Roman" w:cs="Times New Roman"/>
          <w:color w:val="000000" w:themeColor="text1"/>
        </w:rPr>
        <w:t>: Beş Parametreye Göre Ülkelerin Beklenen ve Uygulama Değerleri</w:t>
      </w:r>
    </w:p>
    <w:tbl>
      <w:tblPr>
        <w:tblW w:w="5235" w:type="pct"/>
        <w:tblLook w:val="04A0" w:firstRow="1" w:lastRow="0" w:firstColumn="1" w:lastColumn="0" w:noHBand="0" w:noVBand="1"/>
      </w:tblPr>
      <w:tblGrid>
        <w:gridCol w:w="1483"/>
        <w:gridCol w:w="1094"/>
        <w:gridCol w:w="1133"/>
        <w:gridCol w:w="1073"/>
        <w:gridCol w:w="1024"/>
        <w:gridCol w:w="1077"/>
        <w:gridCol w:w="1197"/>
        <w:gridCol w:w="1417"/>
      </w:tblGrid>
      <w:tr w:rsidR="00164238" w:rsidRPr="00E0308F" w14:paraId="7677DC6D" w14:textId="77777777" w:rsidTr="00682CBF">
        <w:trPr>
          <w:trHeight w:val="385"/>
        </w:trPr>
        <w:tc>
          <w:tcPr>
            <w:tcW w:w="781" w:type="pct"/>
            <w:tcBorders>
              <w:top w:val="single" w:sz="4" w:space="0" w:color="auto"/>
              <w:bottom w:val="single" w:sz="4" w:space="0" w:color="auto"/>
            </w:tcBorders>
          </w:tcPr>
          <w:p w14:paraId="6FB9BBEB" w14:textId="77777777" w:rsidR="004C6717" w:rsidRPr="00E0308F" w:rsidRDefault="004C6717" w:rsidP="00682CBF">
            <w:pPr>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Ülkeler</w:t>
            </w:r>
          </w:p>
        </w:tc>
        <w:tc>
          <w:tcPr>
            <w:tcW w:w="576" w:type="pct"/>
            <w:tcBorders>
              <w:top w:val="single" w:sz="4" w:space="0" w:color="auto"/>
              <w:bottom w:val="single" w:sz="4" w:space="0" w:color="auto"/>
            </w:tcBorders>
          </w:tcPr>
          <w:p w14:paraId="436B16C3" w14:textId="77777777" w:rsidR="004C6717" w:rsidRPr="00E0308F" w:rsidRDefault="004C6717" w:rsidP="00682CBF">
            <w:pPr>
              <w:jc w:val="center"/>
              <w:rPr>
                <w:rFonts w:ascii="Times New Roman" w:eastAsia="Calibri" w:hAnsi="Times New Roman" w:cs="Times New Roman"/>
                <w:b/>
                <w:bCs/>
                <w:color w:val="000000" w:themeColor="text1"/>
                <w:lang w:val="en-GB"/>
              </w:rPr>
            </w:pPr>
            <w:r w:rsidRPr="00E0308F">
              <w:rPr>
                <w:rFonts w:ascii="Times New Roman" w:eastAsia="Calibri" w:hAnsi="Times New Roman" w:cs="Times New Roman"/>
                <w:color w:val="000000" w:themeColor="text1"/>
                <w:lang w:val="en-GB"/>
              </w:rPr>
              <w:t>Almanya</w:t>
            </w:r>
          </w:p>
        </w:tc>
        <w:tc>
          <w:tcPr>
            <w:tcW w:w="596" w:type="pct"/>
            <w:tcBorders>
              <w:top w:val="single" w:sz="4" w:space="0" w:color="auto"/>
              <w:bottom w:val="single" w:sz="4" w:space="0" w:color="auto"/>
            </w:tcBorders>
          </w:tcPr>
          <w:p w14:paraId="7E55225C" w14:textId="77777777" w:rsidR="004C6717" w:rsidRPr="00E0308F" w:rsidRDefault="004C6717" w:rsidP="00682CBF">
            <w:pPr>
              <w:jc w:val="center"/>
              <w:rPr>
                <w:rFonts w:ascii="Times New Roman" w:eastAsia="Calibri" w:hAnsi="Times New Roman" w:cs="Times New Roman"/>
                <w:b/>
                <w:bCs/>
                <w:color w:val="000000" w:themeColor="text1"/>
                <w:lang w:val="en-GB"/>
              </w:rPr>
            </w:pPr>
            <w:r w:rsidRPr="00E0308F">
              <w:rPr>
                <w:rFonts w:ascii="Times New Roman" w:eastAsia="Calibri" w:hAnsi="Times New Roman" w:cs="Times New Roman"/>
                <w:color w:val="000000" w:themeColor="text1"/>
                <w:lang w:val="en-GB"/>
              </w:rPr>
              <w:t>Avusturya</w:t>
            </w:r>
          </w:p>
        </w:tc>
        <w:tc>
          <w:tcPr>
            <w:tcW w:w="565" w:type="pct"/>
            <w:tcBorders>
              <w:top w:val="single" w:sz="4" w:space="0" w:color="auto"/>
              <w:bottom w:val="single" w:sz="4" w:space="0" w:color="auto"/>
            </w:tcBorders>
          </w:tcPr>
          <w:p w14:paraId="2314165D" w14:textId="77777777" w:rsidR="004C6717" w:rsidRPr="00E0308F" w:rsidRDefault="004C6717" w:rsidP="00682CBF">
            <w:pPr>
              <w:jc w:val="center"/>
              <w:rPr>
                <w:rFonts w:ascii="Times New Roman" w:eastAsia="Calibri" w:hAnsi="Times New Roman" w:cs="Times New Roman"/>
                <w:b/>
                <w:bCs/>
                <w:color w:val="000000" w:themeColor="text1"/>
                <w:lang w:val="en-GB"/>
              </w:rPr>
            </w:pPr>
            <w:r w:rsidRPr="00E0308F">
              <w:rPr>
                <w:rFonts w:ascii="Times New Roman" w:eastAsia="Calibri" w:hAnsi="Times New Roman" w:cs="Times New Roman"/>
                <w:color w:val="000000" w:themeColor="text1"/>
                <w:lang w:val="en-GB"/>
              </w:rPr>
              <w:t>Fransa</w:t>
            </w:r>
          </w:p>
        </w:tc>
        <w:tc>
          <w:tcPr>
            <w:tcW w:w="539" w:type="pct"/>
            <w:tcBorders>
              <w:top w:val="single" w:sz="4" w:space="0" w:color="auto"/>
              <w:bottom w:val="single" w:sz="4" w:space="0" w:color="auto"/>
            </w:tcBorders>
          </w:tcPr>
          <w:p w14:paraId="54AAB9D6" w14:textId="77777777" w:rsidR="004C6717" w:rsidRPr="00E0308F" w:rsidRDefault="004C6717" w:rsidP="00682CBF">
            <w:pPr>
              <w:jc w:val="center"/>
              <w:rPr>
                <w:rFonts w:ascii="Times New Roman" w:eastAsia="Calibri" w:hAnsi="Times New Roman" w:cs="Times New Roman"/>
                <w:b/>
                <w:bCs/>
                <w:color w:val="000000" w:themeColor="text1"/>
                <w:lang w:val="en-GB"/>
              </w:rPr>
            </w:pPr>
            <w:r w:rsidRPr="00E0308F">
              <w:rPr>
                <w:rFonts w:ascii="Times New Roman" w:eastAsia="Calibri" w:hAnsi="Times New Roman" w:cs="Times New Roman"/>
                <w:color w:val="000000" w:themeColor="text1"/>
                <w:lang w:val="en-GB"/>
              </w:rPr>
              <w:t>Hollanda</w:t>
            </w:r>
          </w:p>
        </w:tc>
        <w:tc>
          <w:tcPr>
            <w:tcW w:w="567" w:type="pct"/>
            <w:tcBorders>
              <w:top w:val="single" w:sz="4" w:space="0" w:color="auto"/>
              <w:bottom w:val="single" w:sz="4" w:space="0" w:color="auto"/>
            </w:tcBorders>
          </w:tcPr>
          <w:p w14:paraId="34A82E98" w14:textId="77777777" w:rsidR="004C6717" w:rsidRPr="00E0308F" w:rsidRDefault="004C6717" w:rsidP="00682CBF">
            <w:pPr>
              <w:jc w:val="center"/>
              <w:rPr>
                <w:rFonts w:ascii="Times New Roman" w:eastAsia="Calibri" w:hAnsi="Times New Roman" w:cs="Times New Roman"/>
                <w:b/>
                <w:bCs/>
                <w:color w:val="000000" w:themeColor="text1"/>
                <w:lang w:val="en-GB"/>
              </w:rPr>
            </w:pPr>
            <w:r w:rsidRPr="00E0308F">
              <w:rPr>
                <w:rFonts w:ascii="Times New Roman" w:eastAsia="Calibri" w:hAnsi="Times New Roman" w:cs="Times New Roman"/>
                <w:color w:val="000000" w:themeColor="text1"/>
                <w:lang w:val="en-GB"/>
              </w:rPr>
              <w:t>İngiltere</w:t>
            </w:r>
          </w:p>
        </w:tc>
        <w:tc>
          <w:tcPr>
            <w:tcW w:w="630" w:type="pct"/>
            <w:tcBorders>
              <w:top w:val="single" w:sz="4" w:space="0" w:color="auto"/>
              <w:bottom w:val="single" w:sz="4" w:space="0" w:color="auto"/>
            </w:tcBorders>
          </w:tcPr>
          <w:p w14:paraId="33104D9E" w14:textId="77777777" w:rsidR="004C6717" w:rsidRPr="00E0308F" w:rsidRDefault="004C6717" w:rsidP="00682CBF">
            <w:pPr>
              <w:jc w:val="center"/>
              <w:rPr>
                <w:rFonts w:ascii="Times New Roman" w:eastAsia="Calibri" w:hAnsi="Times New Roman" w:cs="Times New Roman"/>
                <w:b/>
                <w:bCs/>
                <w:color w:val="000000" w:themeColor="text1"/>
                <w:lang w:val="en-GB"/>
              </w:rPr>
            </w:pPr>
            <w:r w:rsidRPr="00E0308F">
              <w:rPr>
                <w:rFonts w:ascii="Times New Roman" w:eastAsia="Calibri" w:hAnsi="Times New Roman" w:cs="Times New Roman"/>
                <w:color w:val="000000" w:themeColor="text1"/>
                <w:lang w:val="en-GB"/>
              </w:rPr>
              <w:t>İsveç</w:t>
            </w:r>
          </w:p>
        </w:tc>
        <w:tc>
          <w:tcPr>
            <w:tcW w:w="746" w:type="pct"/>
            <w:tcBorders>
              <w:top w:val="single" w:sz="4" w:space="0" w:color="auto"/>
              <w:bottom w:val="single" w:sz="4" w:space="0" w:color="auto"/>
            </w:tcBorders>
          </w:tcPr>
          <w:p w14:paraId="137E7C6B" w14:textId="77777777" w:rsidR="004C6717" w:rsidRPr="00E0308F" w:rsidRDefault="004C6717" w:rsidP="00682CBF">
            <w:pPr>
              <w:jc w:val="center"/>
              <w:rPr>
                <w:rFonts w:ascii="Times New Roman" w:eastAsia="Calibri" w:hAnsi="Times New Roman" w:cs="Times New Roman"/>
                <w:b/>
                <w:bCs/>
                <w:color w:val="000000" w:themeColor="text1"/>
                <w:lang w:val="en-GB"/>
              </w:rPr>
            </w:pPr>
            <w:r w:rsidRPr="00E0308F">
              <w:rPr>
                <w:rFonts w:ascii="Times New Roman" w:eastAsia="Calibri" w:hAnsi="Times New Roman" w:cs="Times New Roman"/>
                <w:color w:val="000000" w:themeColor="text1"/>
                <w:lang w:val="en-GB"/>
              </w:rPr>
              <w:t>Ortalama Değer (N: 62)</w:t>
            </w:r>
          </w:p>
        </w:tc>
      </w:tr>
      <w:tr w:rsidR="00164238" w:rsidRPr="00E0308F" w14:paraId="71E86A99" w14:textId="77777777" w:rsidTr="00682CBF">
        <w:trPr>
          <w:trHeight w:val="408"/>
        </w:trPr>
        <w:tc>
          <w:tcPr>
            <w:tcW w:w="5000" w:type="pct"/>
            <w:gridSpan w:val="8"/>
            <w:tcBorders>
              <w:top w:val="single" w:sz="4" w:space="0" w:color="auto"/>
              <w:bottom w:val="single" w:sz="4" w:space="0" w:color="auto"/>
            </w:tcBorders>
          </w:tcPr>
          <w:p w14:paraId="6F502D58" w14:textId="77777777" w:rsidR="004C6717" w:rsidRPr="00E0308F" w:rsidRDefault="004C6717" w:rsidP="00682CBF">
            <w:pPr>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Parametreler                                 Beklenen Değer Skorları– Ülkelerin Uygulama Skorları</w:t>
            </w:r>
          </w:p>
        </w:tc>
      </w:tr>
      <w:tr w:rsidR="00164238" w:rsidRPr="00E0308F" w14:paraId="3E84150C" w14:textId="77777777" w:rsidTr="00682CBF">
        <w:trPr>
          <w:trHeight w:val="542"/>
        </w:trPr>
        <w:tc>
          <w:tcPr>
            <w:tcW w:w="781" w:type="pct"/>
            <w:tcBorders>
              <w:top w:val="single" w:sz="4" w:space="0" w:color="auto"/>
              <w:bottom w:val="nil"/>
            </w:tcBorders>
          </w:tcPr>
          <w:p w14:paraId="7C4E637E" w14:textId="77777777" w:rsidR="004C6717" w:rsidRPr="00E0308F" w:rsidRDefault="004C6717" w:rsidP="00682CBF">
            <w:pPr>
              <w:rPr>
                <w:rFonts w:ascii="Times New Roman" w:eastAsia="Calibri" w:hAnsi="Times New Roman" w:cs="Times New Roman"/>
                <w:b/>
                <w:bCs/>
                <w:color w:val="000000" w:themeColor="text1"/>
                <w:lang w:val="en-GB"/>
              </w:rPr>
            </w:pPr>
            <w:r w:rsidRPr="00E0308F">
              <w:rPr>
                <w:rFonts w:ascii="Times New Roman" w:eastAsia="Calibri" w:hAnsi="Times New Roman" w:cs="Times New Roman"/>
                <w:color w:val="000000" w:themeColor="text1"/>
                <w:lang w:val="en-GB"/>
              </w:rPr>
              <w:t>Gelecek Yönelimi</w:t>
            </w:r>
          </w:p>
        </w:tc>
        <w:tc>
          <w:tcPr>
            <w:tcW w:w="576" w:type="pct"/>
            <w:tcBorders>
              <w:top w:val="single" w:sz="4" w:space="0" w:color="auto"/>
              <w:bottom w:val="nil"/>
            </w:tcBorders>
          </w:tcPr>
          <w:p w14:paraId="664BD8F9" w14:textId="77777777" w:rsidR="004C6717" w:rsidRPr="00E0308F" w:rsidRDefault="004C6717" w:rsidP="00682CBF">
            <w:pPr>
              <w:jc w:val="center"/>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4.85-4.27</w:t>
            </w:r>
          </w:p>
          <w:p w14:paraId="06CFC092" w14:textId="77777777" w:rsidR="004C6717" w:rsidRPr="00E0308F" w:rsidRDefault="004C6717" w:rsidP="00682CBF">
            <w:pPr>
              <w:jc w:val="center"/>
              <w:rPr>
                <w:rFonts w:ascii="Times New Roman" w:eastAsia="Calibri" w:hAnsi="Times New Roman" w:cs="Times New Roman"/>
                <w:color w:val="000000" w:themeColor="text1"/>
                <w:lang w:val="en-GB"/>
              </w:rPr>
            </w:pPr>
          </w:p>
        </w:tc>
        <w:tc>
          <w:tcPr>
            <w:tcW w:w="596" w:type="pct"/>
            <w:tcBorders>
              <w:top w:val="single" w:sz="4" w:space="0" w:color="auto"/>
              <w:bottom w:val="nil"/>
            </w:tcBorders>
          </w:tcPr>
          <w:p w14:paraId="6B1B5B08" w14:textId="77777777" w:rsidR="004C6717" w:rsidRPr="00E0308F" w:rsidRDefault="004C6717" w:rsidP="00682CBF">
            <w:pPr>
              <w:jc w:val="center"/>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5.11-4.46</w:t>
            </w:r>
          </w:p>
          <w:p w14:paraId="13803260" w14:textId="77777777" w:rsidR="004C6717" w:rsidRPr="00E0308F" w:rsidRDefault="004C6717" w:rsidP="00682CBF">
            <w:pPr>
              <w:jc w:val="center"/>
              <w:rPr>
                <w:rFonts w:ascii="Times New Roman" w:eastAsia="Calibri" w:hAnsi="Times New Roman" w:cs="Times New Roman"/>
                <w:color w:val="000000" w:themeColor="text1"/>
                <w:lang w:val="en-GB"/>
              </w:rPr>
            </w:pPr>
          </w:p>
        </w:tc>
        <w:tc>
          <w:tcPr>
            <w:tcW w:w="565" w:type="pct"/>
            <w:tcBorders>
              <w:top w:val="single" w:sz="4" w:space="0" w:color="auto"/>
              <w:bottom w:val="nil"/>
            </w:tcBorders>
          </w:tcPr>
          <w:p w14:paraId="38195914" w14:textId="77777777" w:rsidR="004C6717" w:rsidRPr="00E0308F" w:rsidRDefault="004C6717" w:rsidP="00682CBF">
            <w:pPr>
              <w:jc w:val="center"/>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4.96-3.48</w:t>
            </w:r>
          </w:p>
        </w:tc>
        <w:tc>
          <w:tcPr>
            <w:tcW w:w="539" w:type="pct"/>
            <w:tcBorders>
              <w:top w:val="single" w:sz="4" w:space="0" w:color="auto"/>
              <w:bottom w:val="nil"/>
            </w:tcBorders>
          </w:tcPr>
          <w:p w14:paraId="3F7B23B1" w14:textId="77777777" w:rsidR="004C6717" w:rsidRPr="00E0308F" w:rsidRDefault="004C6717" w:rsidP="00682CBF">
            <w:pPr>
              <w:jc w:val="center"/>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5.07-4.61</w:t>
            </w:r>
          </w:p>
          <w:p w14:paraId="72150574" w14:textId="77777777" w:rsidR="004C6717" w:rsidRPr="00E0308F" w:rsidRDefault="004C6717" w:rsidP="00682CBF">
            <w:pPr>
              <w:jc w:val="center"/>
              <w:rPr>
                <w:rFonts w:ascii="Times New Roman" w:eastAsia="Calibri" w:hAnsi="Times New Roman" w:cs="Times New Roman"/>
                <w:color w:val="000000" w:themeColor="text1"/>
                <w:lang w:val="en-GB"/>
              </w:rPr>
            </w:pPr>
          </w:p>
        </w:tc>
        <w:tc>
          <w:tcPr>
            <w:tcW w:w="567" w:type="pct"/>
            <w:tcBorders>
              <w:top w:val="single" w:sz="4" w:space="0" w:color="auto"/>
              <w:bottom w:val="nil"/>
            </w:tcBorders>
          </w:tcPr>
          <w:p w14:paraId="2B7F3046" w14:textId="77777777" w:rsidR="004C6717" w:rsidRPr="00E0308F" w:rsidRDefault="004C6717" w:rsidP="00682CBF">
            <w:pPr>
              <w:jc w:val="center"/>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5.06-4.28</w:t>
            </w:r>
          </w:p>
          <w:p w14:paraId="496BAE18" w14:textId="77777777" w:rsidR="004C6717" w:rsidRPr="00E0308F" w:rsidRDefault="004C6717" w:rsidP="00682CBF">
            <w:pPr>
              <w:jc w:val="center"/>
              <w:rPr>
                <w:rFonts w:ascii="Times New Roman" w:eastAsia="Calibri" w:hAnsi="Times New Roman" w:cs="Times New Roman"/>
                <w:color w:val="000000" w:themeColor="text1"/>
                <w:lang w:val="en-GB"/>
              </w:rPr>
            </w:pPr>
          </w:p>
        </w:tc>
        <w:tc>
          <w:tcPr>
            <w:tcW w:w="630" w:type="pct"/>
            <w:tcBorders>
              <w:top w:val="single" w:sz="4" w:space="0" w:color="auto"/>
              <w:bottom w:val="nil"/>
            </w:tcBorders>
          </w:tcPr>
          <w:p w14:paraId="43029F31" w14:textId="77777777" w:rsidR="004C6717" w:rsidRPr="00E0308F" w:rsidRDefault="004C6717" w:rsidP="00682CBF">
            <w:pPr>
              <w:jc w:val="center"/>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4.89-4.39</w:t>
            </w:r>
          </w:p>
        </w:tc>
        <w:tc>
          <w:tcPr>
            <w:tcW w:w="746" w:type="pct"/>
            <w:tcBorders>
              <w:top w:val="single" w:sz="4" w:space="0" w:color="auto"/>
              <w:bottom w:val="nil"/>
            </w:tcBorders>
          </w:tcPr>
          <w:p w14:paraId="56A1F7C9" w14:textId="77777777" w:rsidR="004C6717" w:rsidRPr="00E0308F" w:rsidRDefault="004C6717" w:rsidP="00682CBF">
            <w:pPr>
              <w:jc w:val="center"/>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5.49-3.85</w:t>
            </w:r>
          </w:p>
          <w:p w14:paraId="1EABC3D2" w14:textId="77777777" w:rsidR="004C6717" w:rsidRPr="00E0308F" w:rsidRDefault="004C6717" w:rsidP="00682CBF">
            <w:pPr>
              <w:jc w:val="center"/>
              <w:rPr>
                <w:rFonts w:ascii="Times New Roman" w:eastAsia="Calibri" w:hAnsi="Times New Roman" w:cs="Times New Roman"/>
                <w:color w:val="000000" w:themeColor="text1"/>
                <w:lang w:val="en-GB"/>
              </w:rPr>
            </w:pPr>
          </w:p>
        </w:tc>
      </w:tr>
      <w:tr w:rsidR="00164238" w:rsidRPr="00E0308F" w14:paraId="35044647" w14:textId="77777777" w:rsidTr="00682CBF">
        <w:trPr>
          <w:trHeight w:val="560"/>
        </w:trPr>
        <w:tc>
          <w:tcPr>
            <w:tcW w:w="781" w:type="pct"/>
            <w:tcBorders>
              <w:top w:val="nil"/>
              <w:bottom w:val="nil"/>
            </w:tcBorders>
          </w:tcPr>
          <w:p w14:paraId="6C284B51" w14:textId="77777777" w:rsidR="004C6717" w:rsidRPr="00E0308F" w:rsidRDefault="004C6717" w:rsidP="00682CBF">
            <w:pPr>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 xml:space="preserve">İnsan </w:t>
            </w:r>
          </w:p>
          <w:p w14:paraId="60DE5A16" w14:textId="77777777" w:rsidR="004C6717" w:rsidRPr="00E0308F" w:rsidRDefault="004C6717" w:rsidP="00682CBF">
            <w:pPr>
              <w:rPr>
                <w:rFonts w:ascii="Times New Roman" w:eastAsia="Calibri" w:hAnsi="Times New Roman" w:cs="Times New Roman"/>
                <w:b/>
                <w:bCs/>
                <w:color w:val="000000" w:themeColor="text1"/>
                <w:lang w:val="en-GB"/>
              </w:rPr>
            </w:pPr>
            <w:r w:rsidRPr="00E0308F">
              <w:rPr>
                <w:rFonts w:ascii="Times New Roman" w:eastAsia="Calibri" w:hAnsi="Times New Roman" w:cs="Times New Roman"/>
                <w:color w:val="000000" w:themeColor="text1"/>
                <w:lang w:val="en-GB"/>
              </w:rPr>
              <w:t>Odaklılık</w:t>
            </w:r>
          </w:p>
        </w:tc>
        <w:tc>
          <w:tcPr>
            <w:tcW w:w="576" w:type="pct"/>
            <w:tcBorders>
              <w:top w:val="nil"/>
              <w:bottom w:val="nil"/>
            </w:tcBorders>
          </w:tcPr>
          <w:p w14:paraId="4D32DAFA" w14:textId="77777777" w:rsidR="004C6717" w:rsidRPr="00E0308F" w:rsidRDefault="004C6717" w:rsidP="00682CBF">
            <w:pPr>
              <w:jc w:val="center"/>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5.46-3.18</w:t>
            </w:r>
          </w:p>
          <w:p w14:paraId="3307929F" w14:textId="77777777" w:rsidR="004C6717" w:rsidRPr="00E0308F" w:rsidRDefault="004C6717" w:rsidP="00682CBF">
            <w:pPr>
              <w:jc w:val="center"/>
              <w:rPr>
                <w:rFonts w:ascii="Times New Roman" w:eastAsia="Calibri" w:hAnsi="Times New Roman" w:cs="Times New Roman"/>
                <w:color w:val="000000" w:themeColor="text1"/>
                <w:lang w:val="en-GB"/>
              </w:rPr>
            </w:pPr>
          </w:p>
        </w:tc>
        <w:tc>
          <w:tcPr>
            <w:tcW w:w="596" w:type="pct"/>
            <w:tcBorders>
              <w:top w:val="nil"/>
              <w:bottom w:val="nil"/>
            </w:tcBorders>
          </w:tcPr>
          <w:p w14:paraId="4490A385" w14:textId="77777777" w:rsidR="004C6717" w:rsidRPr="00E0308F" w:rsidRDefault="004C6717" w:rsidP="00682CBF">
            <w:pPr>
              <w:jc w:val="center"/>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5.76-3.72</w:t>
            </w:r>
          </w:p>
          <w:p w14:paraId="7BDE0346" w14:textId="77777777" w:rsidR="004C6717" w:rsidRPr="00E0308F" w:rsidRDefault="004C6717" w:rsidP="00682CBF">
            <w:pPr>
              <w:jc w:val="center"/>
              <w:rPr>
                <w:rFonts w:ascii="Times New Roman" w:eastAsia="Calibri" w:hAnsi="Times New Roman" w:cs="Times New Roman"/>
                <w:color w:val="000000" w:themeColor="text1"/>
                <w:lang w:val="en-GB"/>
              </w:rPr>
            </w:pPr>
          </w:p>
        </w:tc>
        <w:tc>
          <w:tcPr>
            <w:tcW w:w="565" w:type="pct"/>
            <w:tcBorders>
              <w:top w:val="nil"/>
              <w:bottom w:val="nil"/>
            </w:tcBorders>
          </w:tcPr>
          <w:p w14:paraId="0F308C18" w14:textId="77777777" w:rsidR="004C6717" w:rsidRPr="00E0308F" w:rsidRDefault="004C6717" w:rsidP="00682CBF">
            <w:pPr>
              <w:jc w:val="center"/>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5.67-3.4</w:t>
            </w:r>
          </w:p>
        </w:tc>
        <w:tc>
          <w:tcPr>
            <w:tcW w:w="539" w:type="pct"/>
            <w:tcBorders>
              <w:top w:val="nil"/>
              <w:bottom w:val="nil"/>
            </w:tcBorders>
          </w:tcPr>
          <w:p w14:paraId="547B2B57" w14:textId="77777777" w:rsidR="004C6717" w:rsidRPr="00E0308F" w:rsidRDefault="004C6717" w:rsidP="00682CBF">
            <w:pPr>
              <w:jc w:val="center"/>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5.2-3.86</w:t>
            </w:r>
          </w:p>
          <w:p w14:paraId="143A9268" w14:textId="77777777" w:rsidR="004C6717" w:rsidRPr="00E0308F" w:rsidRDefault="004C6717" w:rsidP="00682CBF">
            <w:pPr>
              <w:jc w:val="center"/>
              <w:rPr>
                <w:rFonts w:ascii="Times New Roman" w:eastAsia="Calibri" w:hAnsi="Times New Roman" w:cs="Times New Roman"/>
                <w:color w:val="000000" w:themeColor="text1"/>
                <w:lang w:val="en-GB"/>
              </w:rPr>
            </w:pPr>
          </w:p>
        </w:tc>
        <w:tc>
          <w:tcPr>
            <w:tcW w:w="567" w:type="pct"/>
            <w:tcBorders>
              <w:top w:val="nil"/>
              <w:bottom w:val="nil"/>
            </w:tcBorders>
          </w:tcPr>
          <w:p w14:paraId="260F658B" w14:textId="77777777" w:rsidR="004C6717" w:rsidRPr="00E0308F" w:rsidRDefault="004C6717" w:rsidP="00682CBF">
            <w:pPr>
              <w:jc w:val="center"/>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5.43-3.72</w:t>
            </w:r>
          </w:p>
          <w:p w14:paraId="37B73D18" w14:textId="77777777" w:rsidR="004C6717" w:rsidRPr="00E0308F" w:rsidRDefault="004C6717" w:rsidP="00682CBF">
            <w:pPr>
              <w:jc w:val="center"/>
              <w:rPr>
                <w:rFonts w:ascii="Times New Roman" w:eastAsia="Calibri" w:hAnsi="Times New Roman" w:cs="Times New Roman"/>
                <w:color w:val="000000" w:themeColor="text1"/>
                <w:lang w:val="en-GB"/>
              </w:rPr>
            </w:pPr>
          </w:p>
        </w:tc>
        <w:tc>
          <w:tcPr>
            <w:tcW w:w="630" w:type="pct"/>
            <w:tcBorders>
              <w:top w:val="nil"/>
              <w:bottom w:val="nil"/>
            </w:tcBorders>
          </w:tcPr>
          <w:p w14:paraId="0BAF9305" w14:textId="77777777" w:rsidR="004C6717" w:rsidRPr="00E0308F" w:rsidRDefault="004C6717" w:rsidP="00682CBF">
            <w:pPr>
              <w:jc w:val="center"/>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5.65-4.1</w:t>
            </w:r>
          </w:p>
        </w:tc>
        <w:tc>
          <w:tcPr>
            <w:tcW w:w="746" w:type="pct"/>
            <w:tcBorders>
              <w:top w:val="nil"/>
              <w:bottom w:val="nil"/>
            </w:tcBorders>
          </w:tcPr>
          <w:p w14:paraId="69A7DD5D" w14:textId="77777777" w:rsidR="004C6717" w:rsidRPr="00E0308F" w:rsidRDefault="004C6717" w:rsidP="00682CBF">
            <w:pPr>
              <w:jc w:val="center"/>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5.42-4.09</w:t>
            </w:r>
          </w:p>
          <w:p w14:paraId="67E41B9D" w14:textId="77777777" w:rsidR="004C6717" w:rsidRPr="00E0308F" w:rsidRDefault="004C6717" w:rsidP="00682CBF">
            <w:pPr>
              <w:jc w:val="center"/>
              <w:rPr>
                <w:rFonts w:ascii="Times New Roman" w:eastAsia="Calibri" w:hAnsi="Times New Roman" w:cs="Times New Roman"/>
                <w:color w:val="000000" w:themeColor="text1"/>
                <w:lang w:val="en-GB"/>
              </w:rPr>
            </w:pPr>
          </w:p>
        </w:tc>
      </w:tr>
      <w:tr w:rsidR="00164238" w:rsidRPr="00E0308F" w14:paraId="67C03AB7" w14:textId="77777777" w:rsidTr="00682CBF">
        <w:trPr>
          <w:trHeight w:val="607"/>
        </w:trPr>
        <w:tc>
          <w:tcPr>
            <w:tcW w:w="781" w:type="pct"/>
            <w:tcBorders>
              <w:top w:val="nil"/>
              <w:bottom w:val="nil"/>
            </w:tcBorders>
          </w:tcPr>
          <w:p w14:paraId="0008EF62" w14:textId="77777777" w:rsidR="004C6717" w:rsidRPr="00E0308F" w:rsidRDefault="004C6717" w:rsidP="00682CBF">
            <w:pPr>
              <w:rPr>
                <w:rFonts w:ascii="Times New Roman" w:eastAsia="Calibri" w:hAnsi="Times New Roman" w:cs="Times New Roman"/>
                <w:b/>
                <w:bCs/>
                <w:color w:val="000000" w:themeColor="text1"/>
                <w:lang w:val="en-GB"/>
              </w:rPr>
            </w:pPr>
            <w:r w:rsidRPr="00E0308F">
              <w:rPr>
                <w:rFonts w:ascii="Times New Roman" w:eastAsia="Calibri" w:hAnsi="Times New Roman" w:cs="Times New Roman"/>
                <w:color w:val="000000" w:themeColor="text1"/>
                <w:lang w:val="en-GB"/>
              </w:rPr>
              <w:t>Kurumsal Kolektivizm</w:t>
            </w:r>
          </w:p>
        </w:tc>
        <w:tc>
          <w:tcPr>
            <w:tcW w:w="576" w:type="pct"/>
            <w:tcBorders>
              <w:top w:val="nil"/>
              <w:bottom w:val="nil"/>
            </w:tcBorders>
          </w:tcPr>
          <w:p w14:paraId="71D4310E" w14:textId="77777777" w:rsidR="004C6717" w:rsidRPr="00E0308F" w:rsidRDefault="004C6717" w:rsidP="00682CBF">
            <w:pPr>
              <w:jc w:val="center"/>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4.82-3.79</w:t>
            </w:r>
          </w:p>
          <w:p w14:paraId="746AD79A" w14:textId="77777777" w:rsidR="004C6717" w:rsidRPr="00E0308F" w:rsidRDefault="004C6717" w:rsidP="00682CBF">
            <w:pPr>
              <w:jc w:val="center"/>
              <w:rPr>
                <w:rFonts w:ascii="Times New Roman" w:eastAsia="Calibri" w:hAnsi="Times New Roman" w:cs="Times New Roman"/>
                <w:color w:val="000000" w:themeColor="text1"/>
                <w:lang w:val="en-GB"/>
              </w:rPr>
            </w:pPr>
          </w:p>
        </w:tc>
        <w:tc>
          <w:tcPr>
            <w:tcW w:w="596" w:type="pct"/>
            <w:tcBorders>
              <w:top w:val="nil"/>
              <w:bottom w:val="nil"/>
            </w:tcBorders>
          </w:tcPr>
          <w:p w14:paraId="41DE1D9D" w14:textId="77777777" w:rsidR="004C6717" w:rsidRPr="00E0308F" w:rsidRDefault="004C6717" w:rsidP="00682CBF">
            <w:pPr>
              <w:jc w:val="center"/>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4.73-4.3</w:t>
            </w:r>
          </w:p>
          <w:p w14:paraId="0122F4D1" w14:textId="77777777" w:rsidR="004C6717" w:rsidRPr="00E0308F" w:rsidRDefault="004C6717" w:rsidP="00682CBF">
            <w:pPr>
              <w:jc w:val="center"/>
              <w:rPr>
                <w:rFonts w:ascii="Times New Roman" w:eastAsia="Calibri" w:hAnsi="Times New Roman" w:cs="Times New Roman"/>
                <w:color w:val="000000" w:themeColor="text1"/>
                <w:lang w:val="en-GB"/>
              </w:rPr>
            </w:pPr>
          </w:p>
        </w:tc>
        <w:tc>
          <w:tcPr>
            <w:tcW w:w="565" w:type="pct"/>
            <w:tcBorders>
              <w:top w:val="nil"/>
              <w:bottom w:val="nil"/>
            </w:tcBorders>
          </w:tcPr>
          <w:p w14:paraId="3516B52B" w14:textId="77777777" w:rsidR="004C6717" w:rsidRPr="00E0308F" w:rsidRDefault="004C6717" w:rsidP="00682CBF">
            <w:pPr>
              <w:jc w:val="center"/>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4.86-3.93</w:t>
            </w:r>
          </w:p>
        </w:tc>
        <w:tc>
          <w:tcPr>
            <w:tcW w:w="539" w:type="pct"/>
            <w:tcBorders>
              <w:top w:val="nil"/>
              <w:bottom w:val="nil"/>
            </w:tcBorders>
          </w:tcPr>
          <w:p w14:paraId="4330F1C9" w14:textId="77777777" w:rsidR="004C6717" w:rsidRPr="00E0308F" w:rsidRDefault="004C6717" w:rsidP="00682CBF">
            <w:pPr>
              <w:jc w:val="center"/>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4.55-4.46</w:t>
            </w:r>
          </w:p>
          <w:p w14:paraId="47B89615" w14:textId="77777777" w:rsidR="004C6717" w:rsidRPr="00E0308F" w:rsidRDefault="004C6717" w:rsidP="00682CBF">
            <w:pPr>
              <w:jc w:val="center"/>
              <w:rPr>
                <w:rFonts w:ascii="Times New Roman" w:eastAsia="Calibri" w:hAnsi="Times New Roman" w:cs="Times New Roman"/>
                <w:color w:val="000000" w:themeColor="text1"/>
                <w:lang w:val="en-GB"/>
              </w:rPr>
            </w:pPr>
          </w:p>
        </w:tc>
        <w:tc>
          <w:tcPr>
            <w:tcW w:w="567" w:type="pct"/>
            <w:tcBorders>
              <w:top w:val="nil"/>
              <w:bottom w:val="nil"/>
            </w:tcBorders>
          </w:tcPr>
          <w:p w14:paraId="0F626E8F" w14:textId="77777777" w:rsidR="004C6717" w:rsidRPr="00E0308F" w:rsidRDefault="004C6717" w:rsidP="00682CBF">
            <w:pPr>
              <w:jc w:val="center"/>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4.31-4.27</w:t>
            </w:r>
          </w:p>
          <w:p w14:paraId="4E383000" w14:textId="77777777" w:rsidR="004C6717" w:rsidRPr="00E0308F" w:rsidRDefault="004C6717" w:rsidP="00682CBF">
            <w:pPr>
              <w:jc w:val="center"/>
              <w:rPr>
                <w:rFonts w:ascii="Times New Roman" w:eastAsia="Calibri" w:hAnsi="Times New Roman" w:cs="Times New Roman"/>
                <w:color w:val="000000" w:themeColor="text1"/>
                <w:lang w:val="en-GB"/>
              </w:rPr>
            </w:pPr>
          </w:p>
        </w:tc>
        <w:tc>
          <w:tcPr>
            <w:tcW w:w="630" w:type="pct"/>
            <w:tcBorders>
              <w:top w:val="nil"/>
              <w:bottom w:val="nil"/>
            </w:tcBorders>
          </w:tcPr>
          <w:p w14:paraId="5C9657D9" w14:textId="77777777" w:rsidR="004C6717" w:rsidRPr="00E0308F" w:rsidRDefault="004C6717" w:rsidP="00682CBF">
            <w:pPr>
              <w:jc w:val="center"/>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3.94-5.22</w:t>
            </w:r>
          </w:p>
        </w:tc>
        <w:tc>
          <w:tcPr>
            <w:tcW w:w="746" w:type="pct"/>
            <w:tcBorders>
              <w:top w:val="nil"/>
              <w:bottom w:val="nil"/>
            </w:tcBorders>
          </w:tcPr>
          <w:p w14:paraId="0EB51699" w14:textId="77777777" w:rsidR="004C6717" w:rsidRPr="00E0308F" w:rsidRDefault="004C6717" w:rsidP="00682CBF">
            <w:pPr>
              <w:jc w:val="center"/>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4.73-4.25</w:t>
            </w:r>
          </w:p>
          <w:p w14:paraId="54309B3C" w14:textId="77777777" w:rsidR="004C6717" w:rsidRPr="00E0308F" w:rsidRDefault="004C6717" w:rsidP="00682CBF">
            <w:pPr>
              <w:jc w:val="center"/>
              <w:rPr>
                <w:rFonts w:ascii="Times New Roman" w:eastAsia="Calibri" w:hAnsi="Times New Roman" w:cs="Times New Roman"/>
                <w:color w:val="000000" w:themeColor="text1"/>
                <w:lang w:val="en-GB"/>
              </w:rPr>
            </w:pPr>
          </w:p>
        </w:tc>
      </w:tr>
      <w:tr w:rsidR="00164238" w:rsidRPr="00E0308F" w14:paraId="19F78BC9" w14:textId="77777777" w:rsidTr="00682CBF">
        <w:trPr>
          <w:trHeight w:val="560"/>
        </w:trPr>
        <w:tc>
          <w:tcPr>
            <w:tcW w:w="781" w:type="pct"/>
            <w:tcBorders>
              <w:top w:val="nil"/>
              <w:bottom w:val="nil"/>
            </w:tcBorders>
          </w:tcPr>
          <w:p w14:paraId="54996A3A" w14:textId="77777777" w:rsidR="004C6717" w:rsidRPr="00E0308F" w:rsidRDefault="004C6717" w:rsidP="00682CBF">
            <w:pPr>
              <w:rPr>
                <w:rFonts w:ascii="Times New Roman" w:eastAsia="Calibri" w:hAnsi="Times New Roman" w:cs="Times New Roman"/>
                <w:b/>
                <w:bCs/>
                <w:color w:val="000000" w:themeColor="text1"/>
                <w:lang w:val="en-GB"/>
              </w:rPr>
            </w:pPr>
            <w:r w:rsidRPr="00E0308F">
              <w:rPr>
                <w:rFonts w:ascii="Times New Roman" w:eastAsia="Calibri" w:hAnsi="Times New Roman" w:cs="Times New Roman"/>
                <w:color w:val="000000" w:themeColor="text1"/>
                <w:lang w:val="en-GB"/>
              </w:rPr>
              <w:t>Grup içi Kolektivizm</w:t>
            </w:r>
          </w:p>
        </w:tc>
        <w:tc>
          <w:tcPr>
            <w:tcW w:w="576" w:type="pct"/>
            <w:tcBorders>
              <w:top w:val="nil"/>
              <w:bottom w:val="nil"/>
            </w:tcBorders>
          </w:tcPr>
          <w:p w14:paraId="1C8D148E" w14:textId="77777777" w:rsidR="004C6717" w:rsidRPr="00E0308F" w:rsidRDefault="004C6717" w:rsidP="00682CBF">
            <w:pPr>
              <w:jc w:val="center"/>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5.18-4.02</w:t>
            </w:r>
          </w:p>
          <w:p w14:paraId="6B5A4B1F" w14:textId="77777777" w:rsidR="004C6717" w:rsidRPr="00E0308F" w:rsidRDefault="004C6717" w:rsidP="00682CBF">
            <w:pPr>
              <w:jc w:val="center"/>
              <w:rPr>
                <w:rFonts w:ascii="Times New Roman" w:eastAsia="Calibri" w:hAnsi="Times New Roman" w:cs="Times New Roman"/>
                <w:color w:val="000000" w:themeColor="text1"/>
                <w:lang w:val="en-GB"/>
              </w:rPr>
            </w:pPr>
          </w:p>
        </w:tc>
        <w:tc>
          <w:tcPr>
            <w:tcW w:w="596" w:type="pct"/>
            <w:tcBorders>
              <w:top w:val="nil"/>
              <w:bottom w:val="nil"/>
            </w:tcBorders>
          </w:tcPr>
          <w:p w14:paraId="0200E5AB" w14:textId="77777777" w:rsidR="004C6717" w:rsidRPr="00E0308F" w:rsidRDefault="004C6717" w:rsidP="00682CBF">
            <w:pPr>
              <w:jc w:val="center"/>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5.27-4.85</w:t>
            </w:r>
          </w:p>
          <w:p w14:paraId="777778E8" w14:textId="77777777" w:rsidR="004C6717" w:rsidRPr="00E0308F" w:rsidRDefault="004C6717" w:rsidP="00682CBF">
            <w:pPr>
              <w:jc w:val="center"/>
              <w:rPr>
                <w:rFonts w:ascii="Times New Roman" w:eastAsia="Calibri" w:hAnsi="Times New Roman" w:cs="Times New Roman"/>
                <w:color w:val="000000" w:themeColor="text1"/>
                <w:lang w:val="en-GB"/>
              </w:rPr>
            </w:pPr>
          </w:p>
        </w:tc>
        <w:tc>
          <w:tcPr>
            <w:tcW w:w="565" w:type="pct"/>
            <w:tcBorders>
              <w:top w:val="nil"/>
              <w:bottom w:val="nil"/>
            </w:tcBorders>
          </w:tcPr>
          <w:p w14:paraId="3D66476E" w14:textId="77777777" w:rsidR="004C6717" w:rsidRPr="00E0308F" w:rsidRDefault="004C6717" w:rsidP="00682CBF">
            <w:pPr>
              <w:jc w:val="center"/>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5.42-4.37</w:t>
            </w:r>
          </w:p>
        </w:tc>
        <w:tc>
          <w:tcPr>
            <w:tcW w:w="539" w:type="pct"/>
            <w:tcBorders>
              <w:top w:val="nil"/>
              <w:bottom w:val="nil"/>
            </w:tcBorders>
          </w:tcPr>
          <w:p w14:paraId="17CF2E24" w14:textId="77777777" w:rsidR="004C6717" w:rsidRPr="00E0308F" w:rsidRDefault="004C6717" w:rsidP="00682CBF">
            <w:pPr>
              <w:jc w:val="center"/>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5.17-3.7</w:t>
            </w:r>
          </w:p>
          <w:p w14:paraId="0229D321" w14:textId="77777777" w:rsidR="004C6717" w:rsidRPr="00E0308F" w:rsidRDefault="004C6717" w:rsidP="00682CBF">
            <w:pPr>
              <w:jc w:val="center"/>
              <w:rPr>
                <w:rFonts w:ascii="Times New Roman" w:eastAsia="Calibri" w:hAnsi="Times New Roman" w:cs="Times New Roman"/>
                <w:color w:val="000000" w:themeColor="text1"/>
                <w:lang w:val="en-GB"/>
              </w:rPr>
            </w:pPr>
          </w:p>
        </w:tc>
        <w:tc>
          <w:tcPr>
            <w:tcW w:w="567" w:type="pct"/>
            <w:tcBorders>
              <w:top w:val="nil"/>
              <w:bottom w:val="nil"/>
            </w:tcBorders>
          </w:tcPr>
          <w:p w14:paraId="1995475F" w14:textId="77777777" w:rsidR="004C6717" w:rsidRPr="00E0308F" w:rsidRDefault="004C6717" w:rsidP="00682CBF">
            <w:pPr>
              <w:jc w:val="center"/>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5.55-4.08</w:t>
            </w:r>
          </w:p>
          <w:p w14:paraId="0EDFCBB4" w14:textId="77777777" w:rsidR="004C6717" w:rsidRPr="00E0308F" w:rsidRDefault="004C6717" w:rsidP="00682CBF">
            <w:pPr>
              <w:jc w:val="center"/>
              <w:rPr>
                <w:rFonts w:ascii="Times New Roman" w:eastAsia="Calibri" w:hAnsi="Times New Roman" w:cs="Times New Roman"/>
                <w:color w:val="000000" w:themeColor="text1"/>
                <w:lang w:val="en-GB"/>
              </w:rPr>
            </w:pPr>
          </w:p>
        </w:tc>
        <w:tc>
          <w:tcPr>
            <w:tcW w:w="630" w:type="pct"/>
            <w:tcBorders>
              <w:top w:val="nil"/>
              <w:bottom w:val="nil"/>
            </w:tcBorders>
          </w:tcPr>
          <w:p w14:paraId="3A9667BF" w14:textId="77777777" w:rsidR="004C6717" w:rsidRPr="00E0308F" w:rsidRDefault="004C6717" w:rsidP="00682CBF">
            <w:pPr>
              <w:jc w:val="center"/>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6.04-3.66</w:t>
            </w:r>
          </w:p>
        </w:tc>
        <w:tc>
          <w:tcPr>
            <w:tcW w:w="746" w:type="pct"/>
            <w:tcBorders>
              <w:top w:val="nil"/>
              <w:bottom w:val="nil"/>
            </w:tcBorders>
          </w:tcPr>
          <w:p w14:paraId="3716DC6F" w14:textId="77777777" w:rsidR="004C6717" w:rsidRPr="00E0308F" w:rsidRDefault="004C6717" w:rsidP="00682CBF">
            <w:pPr>
              <w:jc w:val="center"/>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5.66-5.13</w:t>
            </w:r>
          </w:p>
          <w:p w14:paraId="03136432" w14:textId="77777777" w:rsidR="004C6717" w:rsidRPr="00E0308F" w:rsidRDefault="004C6717" w:rsidP="00682CBF">
            <w:pPr>
              <w:jc w:val="center"/>
              <w:rPr>
                <w:rFonts w:ascii="Times New Roman" w:eastAsia="Calibri" w:hAnsi="Times New Roman" w:cs="Times New Roman"/>
                <w:color w:val="000000" w:themeColor="text1"/>
                <w:lang w:val="en-GB"/>
              </w:rPr>
            </w:pPr>
          </w:p>
        </w:tc>
      </w:tr>
      <w:tr w:rsidR="004C6717" w:rsidRPr="00E0308F" w14:paraId="5093D421" w14:textId="77777777" w:rsidTr="00682CBF">
        <w:trPr>
          <w:trHeight w:val="87"/>
        </w:trPr>
        <w:tc>
          <w:tcPr>
            <w:tcW w:w="781" w:type="pct"/>
            <w:tcBorders>
              <w:top w:val="nil"/>
              <w:bottom w:val="single" w:sz="4" w:space="0" w:color="auto"/>
            </w:tcBorders>
          </w:tcPr>
          <w:p w14:paraId="48BA6BA6" w14:textId="77777777" w:rsidR="004C6717" w:rsidRPr="00E0308F" w:rsidRDefault="004C6717" w:rsidP="00682CBF">
            <w:pPr>
              <w:rPr>
                <w:rFonts w:ascii="Times New Roman" w:eastAsia="Calibri" w:hAnsi="Times New Roman" w:cs="Times New Roman"/>
                <w:b/>
                <w:bCs/>
                <w:color w:val="000000" w:themeColor="text1"/>
                <w:lang w:val="en-GB"/>
              </w:rPr>
            </w:pPr>
            <w:r w:rsidRPr="00E0308F">
              <w:rPr>
                <w:rFonts w:ascii="Times New Roman" w:eastAsia="Calibri" w:hAnsi="Times New Roman" w:cs="Times New Roman"/>
                <w:color w:val="000000" w:themeColor="text1"/>
                <w:lang w:val="en-GB"/>
              </w:rPr>
              <w:t>Belirsizlikten Kaçınma</w:t>
            </w:r>
          </w:p>
        </w:tc>
        <w:tc>
          <w:tcPr>
            <w:tcW w:w="576" w:type="pct"/>
            <w:tcBorders>
              <w:top w:val="nil"/>
              <w:bottom w:val="single" w:sz="4" w:space="0" w:color="auto"/>
            </w:tcBorders>
          </w:tcPr>
          <w:p w14:paraId="32C090AE" w14:textId="77777777" w:rsidR="004C6717" w:rsidRPr="00E0308F" w:rsidRDefault="004C6717" w:rsidP="00682CBF">
            <w:pPr>
              <w:jc w:val="center"/>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3.32-5.22</w:t>
            </w:r>
          </w:p>
        </w:tc>
        <w:tc>
          <w:tcPr>
            <w:tcW w:w="596" w:type="pct"/>
            <w:tcBorders>
              <w:top w:val="nil"/>
              <w:bottom w:val="single" w:sz="4" w:space="0" w:color="auto"/>
            </w:tcBorders>
          </w:tcPr>
          <w:p w14:paraId="207B20BB" w14:textId="77777777" w:rsidR="004C6717" w:rsidRPr="00E0308F" w:rsidRDefault="004C6717" w:rsidP="00682CBF">
            <w:pPr>
              <w:jc w:val="center"/>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3.66-5.16</w:t>
            </w:r>
          </w:p>
        </w:tc>
        <w:tc>
          <w:tcPr>
            <w:tcW w:w="565" w:type="pct"/>
            <w:tcBorders>
              <w:top w:val="nil"/>
              <w:bottom w:val="single" w:sz="4" w:space="0" w:color="auto"/>
            </w:tcBorders>
          </w:tcPr>
          <w:p w14:paraId="2EA35E48" w14:textId="77777777" w:rsidR="004C6717" w:rsidRPr="00E0308F" w:rsidRDefault="004C6717" w:rsidP="00682CBF">
            <w:pPr>
              <w:jc w:val="center"/>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4.26-4.43</w:t>
            </w:r>
          </w:p>
        </w:tc>
        <w:tc>
          <w:tcPr>
            <w:tcW w:w="539" w:type="pct"/>
            <w:tcBorders>
              <w:top w:val="nil"/>
              <w:bottom w:val="single" w:sz="4" w:space="0" w:color="auto"/>
            </w:tcBorders>
          </w:tcPr>
          <w:p w14:paraId="4C64BA69" w14:textId="77777777" w:rsidR="004C6717" w:rsidRPr="00E0308F" w:rsidRDefault="004C6717" w:rsidP="00682CBF">
            <w:pPr>
              <w:jc w:val="center"/>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3.24-4.7</w:t>
            </w:r>
          </w:p>
        </w:tc>
        <w:tc>
          <w:tcPr>
            <w:tcW w:w="567" w:type="pct"/>
            <w:tcBorders>
              <w:top w:val="nil"/>
              <w:bottom w:val="single" w:sz="4" w:space="0" w:color="auto"/>
            </w:tcBorders>
          </w:tcPr>
          <w:p w14:paraId="4F502835" w14:textId="77777777" w:rsidR="004C6717" w:rsidRPr="00E0308F" w:rsidRDefault="004C6717" w:rsidP="00682CBF">
            <w:pPr>
              <w:jc w:val="center"/>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4.11-4.65</w:t>
            </w:r>
          </w:p>
        </w:tc>
        <w:tc>
          <w:tcPr>
            <w:tcW w:w="630" w:type="pct"/>
            <w:tcBorders>
              <w:top w:val="nil"/>
              <w:bottom w:val="single" w:sz="4" w:space="0" w:color="auto"/>
            </w:tcBorders>
          </w:tcPr>
          <w:p w14:paraId="51235FD4" w14:textId="77777777" w:rsidR="004C6717" w:rsidRPr="00E0308F" w:rsidRDefault="004C6717" w:rsidP="00682CBF">
            <w:pPr>
              <w:jc w:val="center"/>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3.6-5.32</w:t>
            </w:r>
          </w:p>
        </w:tc>
        <w:tc>
          <w:tcPr>
            <w:tcW w:w="746" w:type="pct"/>
            <w:tcBorders>
              <w:top w:val="nil"/>
              <w:bottom w:val="single" w:sz="4" w:space="0" w:color="auto"/>
            </w:tcBorders>
          </w:tcPr>
          <w:p w14:paraId="55203B67" w14:textId="77777777" w:rsidR="004C6717" w:rsidRPr="00E0308F" w:rsidRDefault="004C6717" w:rsidP="00682CBF">
            <w:pPr>
              <w:jc w:val="center"/>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4.62-4.16</w:t>
            </w:r>
          </w:p>
        </w:tc>
      </w:tr>
    </w:tbl>
    <w:p w14:paraId="523DDD8A" w14:textId="77777777" w:rsidR="004C6717" w:rsidRPr="00E0308F" w:rsidRDefault="004C6717" w:rsidP="004C6717">
      <w:pPr>
        <w:jc w:val="center"/>
        <w:rPr>
          <w:rFonts w:ascii="Times New Roman" w:hAnsi="Times New Roman" w:cs="Times New Roman"/>
          <w:b/>
          <w:bCs/>
          <w:color w:val="000000" w:themeColor="text1"/>
        </w:rPr>
      </w:pPr>
    </w:p>
    <w:p w14:paraId="2A68D206" w14:textId="77777777" w:rsidR="004C6717" w:rsidRPr="00E0308F" w:rsidRDefault="004C6717" w:rsidP="004C6717">
      <w:pPr>
        <w:spacing w:line="276" w:lineRule="auto"/>
        <w:ind w:firstLine="567"/>
        <w:jc w:val="both"/>
        <w:rPr>
          <w:rFonts w:ascii="Times New Roman" w:hAnsi="Times New Roman" w:cs="Times New Roman"/>
          <w:color w:val="000000" w:themeColor="text1"/>
        </w:rPr>
      </w:pPr>
      <w:r w:rsidRPr="00E0308F">
        <w:rPr>
          <w:rFonts w:ascii="Times New Roman" w:hAnsi="Times New Roman" w:cs="Times New Roman"/>
          <w:color w:val="000000" w:themeColor="text1"/>
        </w:rPr>
        <w:t>Fakat her parametre için en yüksek beklenen değer ve praksis skorları analiz edildiğinde, değer skoru için grup içi kolektivizm hariç (</w:t>
      </w:r>
      <w:r w:rsidRPr="00E0308F">
        <w:rPr>
          <w:rFonts w:ascii="Times New Roman" w:hAnsi="Times New Roman" w:cs="Times New Roman"/>
          <w:i/>
          <w:iCs/>
          <w:color w:val="000000" w:themeColor="text1"/>
        </w:rPr>
        <w:t>İsveç en yüksek değer puanda</w:t>
      </w:r>
      <w:r w:rsidRPr="00E0308F">
        <w:rPr>
          <w:rFonts w:ascii="Times New Roman" w:hAnsi="Times New Roman" w:cs="Times New Roman"/>
          <w:color w:val="000000" w:themeColor="text1"/>
        </w:rPr>
        <w:t>) Germanik ülkelerin (</w:t>
      </w:r>
      <w:r w:rsidRPr="00E0308F">
        <w:rPr>
          <w:rFonts w:ascii="Times New Roman" w:hAnsi="Times New Roman" w:cs="Times New Roman"/>
          <w:i/>
          <w:iCs/>
          <w:color w:val="000000" w:themeColor="text1"/>
        </w:rPr>
        <w:t>Avusturya ve Fransa</w:t>
      </w:r>
      <w:r w:rsidRPr="00E0308F">
        <w:rPr>
          <w:rFonts w:ascii="Times New Roman" w:hAnsi="Times New Roman" w:cs="Times New Roman"/>
          <w:color w:val="000000" w:themeColor="text1"/>
        </w:rPr>
        <w:t xml:space="preserve">) en yüksek skorları elde ettiği görülmektedir. Öte yandan, praksis skorları için ise yine grup içi </w:t>
      </w:r>
      <w:r w:rsidRPr="00E0308F">
        <w:rPr>
          <w:rFonts w:ascii="Times New Roman" w:hAnsi="Times New Roman" w:cs="Times New Roman"/>
          <w:color w:val="000000" w:themeColor="text1"/>
        </w:rPr>
        <w:lastRenderedPageBreak/>
        <w:t>kolektivizm dışında (</w:t>
      </w:r>
      <w:r w:rsidRPr="00E0308F">
        <w:rPr>
          <w:rFonts w:ascii="Times New Roman" w:hAnsi="Times New Roman" w:cs="Times New Roman"/>
          <w:i/>
          <w:iCs/>
          <w:color w:val="000000" w:themeColor="text1"/>
        </w:rPr>
        <w:t>Avusturya en yüksek pratik puanda</w:t>
      </w:r>
      <w:r w:rsidRPr="00E0308F">
        <w:rPr>
          <w:rFonts w:ascii="Times New Roman" w:hAnsi="Times New Roman" w:cs="Times New Roman"/>
          <w:color w:val="000000" w:themeColor="text1"/>
        </w:rPr>
        <w:t>), AngloSakson ülkelerinin (</w:t>
      </w:r>
      <w:r w:rsidRPr="00E0308F">
        <w:rPr>
          <w:rFonts w:ascii="Times New Roman" w:hAnsi="Times New Roman" w:cs="Times New Roman"/>
          <w:i/>
          <w:iCs/>
          <w:color w:val="000000" w:themeColor="text1"/>
        </w:rPr>
        <w:t>İsveç ve Hollanda</w:t>
      </w:r>
      <w:r w:rsidRPr="00E0308F">
        <w:rPr>
          <w:rFonts w:ascii="Times New Roman" w:hAnsi="Times New Roman" w:cs="Times New Roman"/>
          <w:color w:val="000000" w:themeColor="text1"/>
        </w:rPr>
        <w:t xml:space="preserve">) öne çıktığı gözlemlenmektedir. (Tablo 1) </w:t>
      </w:r>
    </w:p>
    <w:p w14:paraId="124DF052" w14:textId="77777777" w:rsidR="004C6717" w:rsidRPr="00E0308F" w:rsidRDefault="004C6717" w:rsidP="004C6717">
      <w:pPr>
        <w:spacing w:line="276" w:lineRule="auto"/>
        <w:ind w:firstLine="567"/>
        <w:jc w:val="both"/>
        <w:rPr>
          <w:rFonts w:ascii="Times New Roman" w:hAnsi="Times New Roman" w:cs="Times New Roman"/>
          <w:color w:val="000000" w:themeColor="text1"/>
        </w:rPr>
      </w:pPr>
      <w:r w:rsidRPr="00E0308F">
        <w:rPr>
          <w:rFonts w:ascii="Times New Roman" w:hAnsi="Times New Roman" w:cs="Times New Roman"/>
          <w:color w:val="000000" w:themeColor="text1"/>
        </w:rPr>
        <w:t xml:space="preserve">Grafik 2’de görüldüğü gibi bu altı ülke dünyadaki diğer ülkelerle kıyaslandığında fark biraz daha belirgindir. Çalışmada ele alınan altmış iki ülkenin ortalamasına göz atıldığında, insan odaklılık kriterinin ülkelerin kültürlerinden beklenenden daha az gerçekleştiği, grup içi kolektivizmdeki farkın ise beş ülkedeki kadar belirgin olmadığı görülmektedir. Bununa birlikte gelecek odaklılık bileşeni, analiz edilen altı ülkeye kıyasla dünya genelinde beklenenden çok daha kısıtlı görülmüştür. Son olarak, belirsizliğin önlenmesi parametresi altı ülkenin zıttında bir eğilim göstererek, pratikte beklenenden daha az gerçekleşmiştir. Kıta Avrupası ve Anglo Sakson idari geleneği ayrımıyla incelediğimiz ülkelerin </w:t>
      </w:r>
    </w:p>
    <w:p w14:paraId="53093FD9" w14:textId="77777777" w:rsidR="004C6717" w:rsidRPr="00E0308F" w:rsidRDefault="004C6717" w:rsidP="004C6717">
      <w:pPr>
        <w:jc w:val="both"/>
        <w:rPr>
          <w:rFonts w:ascii="Times New Roman" w:hAnsi="Times New Roman" w:cs="Times New Roman"/>
          <w:color w:val="000000" w:themeColor="text1"/>
        </w:rPr>
      </w:pPr>
    </w:p>
    <w:p w14:paraId="24E33B4E" w14:textId="77777777" w:rsidR="004C6717" w:rsidRPr="00E0308F" w:rsidRDefault="004C6717" w:rsidP="004C6717">
      <w:pPr>
        <w:jc w:val="both"/>
        <w:rPr>
          <w:rFonts w:ascii="Times New Roman" w:hAnsi="Times New Roman" w:cs="Times New Roman"/>
          <w:color w:val="000000" w:themeColor="text1"/>
        </w:rPr>
      </w:pPr>
      <w:r w:rsidRPr="00E0308F">
        <w:rPr>
          <w:rFonts w:ascii="Times New Roman" w:eastAsia="Calibri" w:hAnsi="Times New Roman" w:cs="Times New Roman"/>
          <w:noProof/>
          <w:color w:val="000000" w:themeColor="text1"/>
          <w:lang w:val="en-US"/>
        </w:rPr>
        <w:drawing>
          <wp:anchor distT="0" distB="0" distL="114300" distR="114300" simplePos="0" relativeHeight="251685888" behindDoc="0" locked="0" layoutInCell="1" allowOverlap="1" wp14:anchorId="7BF24F49" wp14:editId="19D8A1EE">
            <wp:simplePos x="0" y="0"/>
            <wp:positionH relativeFrom="column">
              <wp:posOffset>991235</wp:posOffset>
            </wp:positionH>
            <wp:positionV relativeFrom="paragraph">
              <wp:posOffset>0</wp:posOffset>
            </wp:positionV>
            <wp:extent cx="3627120" cy="2684145"/>
            <wp:effectExtent l="0" t="0" r="11430" b="1905"/>
            <wp:wrapThrough wrapText="bothSides">
              <wp:wrapPolygon edited="0">
                <wp:start x="0" y="0"/>
                <wp:lineTo x="0" y="21462"/>
                <wp:lineTo x="21555" y="21462"/>
                <wp:lineTo x="21555" y="0"/>
                <wp:lineTo x="0" y="0"/>
              </wp:wrapPolygon>
            </wp:wrapThrough>
            <wp:docPr id="43" name="Grafik 43">
              <a:extLst xmlns:a="http://schemas.openxmlformats.org/drawingml/2006/main">
                <a:ext uri="{FF2B5EF4-FFF2-40B4-BE49-F238E27FC236}">
                  <a16:creationId xmlns:a16="http://schemas.microsoft.com/office/drawing/2014/main" id="{AD1F616B-47B1-4657-A97F-98A4DD441B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14:sizeRelH relativeFrom="page">
              <wp14:pctWidth>0</wp14:pctWidth>
            </wp14:sizeRelH>
            <wp14:sizeRelV relativeFrom="page">
              <wp14:pctHeight>0</wp14:pctHeight>
            </wp14:sizeRelV>
          </wp:anchor>
        </w:drawing>
      </w:r>
    </w:p>
    <w:p w14:paraId="3C66E026" w14:textId="77777777" w:rsidR="004C6717" w:rsidRPr="00E0308F" w:rsidRDefault="004C6717" w:rsidP="004C6717">
      <w:pPr>
        <w:jc w:val="both"/>
        <w:rPr>
          <w:rFonts w:ascii="Times New Roman" w:hAnsi="Times New Roman" w:cs="Times New Roman"/>
          <w:color w:val="000000" w:themeColor="text1"/>
        </w:rPr>
      </w:pPr>
    </w:p>
    <w:p w14:paraId="51B1F037" w14:textId="77777777" w:rsidR="004C6717" w:rsidRPr="00E0308F" w:rsidRDefault="004C6717" w:rsidP="004C6717">
      <w:pPr>
        <w:jc w:val="both"/>
        <w:rPr>
          <w:rFonts w:ascii="Times New Roman" w:hAnsi="Times New Roman" w:cs="Times New Roman"/>
          <w:color w:val="000000" w:themeColor="text1"/>
        </w:rPr>
      </w:pPr>
    </w:p>
    <w:p w14:paraId="325942BA" w14:textId="77777777" w:rsidR="004C6717" w:rsidRPr="00E0308F" w:rsidRDefault="004C6717" w:rsidP="004C6717">
      <w:pPr>
        <w:jc w:val="both"/>
        <w:rPr>
          <w:rFonts w:ascii="Times New Roman" w:hAnsi="Times New Roman" w:cs="Times New Roman"/>
          <w:color w:val="000000" w:themeColor="text1"/>
        </w:rPr>
      </w:pPr>
    </w:p>
    <w:p w14:paraId="25619DC2" w14:textId="77777777" w:rsidR="004C6717" w:rsidRPr="00E0308F" w:rsidRDefault="004C6717" w:rsidP="004C6717">
      <w:pPr>
        <w:jc w:val="both"/>
        <w:rPr>
          <w:rFonts w:ascii="Times New Roman" w:hAnsi="Times New Roman" w:cs="Times New Roman"/>
          <w:color w:val="000000" w:themeColor="text1"/>
        </w:rPr>
      </w:pPr>
    </w:p>
    <w:p w14:paraId="2CEDDA31" w14:textId="77777777" w:rsidR="004C6717" w:rsidRPr="00E0308F" w:rsidRDefault="004C6717" w:rsidP="004C6717">
      <w:pPr>
        <w:spacing w:line="360" w:lineRule="auto"/>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br w:type="textWrapping" w:clear="all"/>
        <w:t xml:space="preserve">                                      </w:t>
      </w:r>
      <w:r w:rsidRPr="00E0308F">
        <w:rPr>
          <w:rFonts w:ascii="Times New Roman" w:eastAsia="Calibri" w:hAnsi="Times New Roman" w:cs="Times New Roman"/>
          <w:i/>
          <w:iCs/>
          <w:color w:val="000000" w:themeColor="text1"/>
          <w:lang w:val="en-GB"/>
        </w:rPr>
        <w:t>Grafik 2</w:t>
      </w:r>
      <w:r w:rsidRPr="00E0308F">
        <w:rPr>
          <w:rFonts w:ascii="Times New Roman" w:eastAsia="Calibri" w:hAnsi="Times New Roman" w:cs="Times New Roman"/>
          <w:color w:val="000000" w:themeColor="text1"/>
          <w:lang w:val="en-GB"/>
        </w:rPr>
        <w:t>: Dünya Ülkelerinin Değer ve Pratik Ortalamaları</w:t>
      </w:r>
    </w:p>
    <w:p w14:paraId="3BD864EA" w14:textId="77777777" w:rsidR="004C6717" w:rsidRPr="00E0308F" w:rsidRDefault="004C6717" w:rsidP="004C6717">
      <w:pPr>
        <w:rPr>
          <w:rFonts w:ascii="Times New Roman" w:eastAsia="Calibri" w:hAnsi="Times New Roman" w:cs="Times New Roman"/>
          <w:color w:val="000000" w:themeColor="text1"/>
          <w:lang w:val="en-GB"/>
        </w:rPr>
      </w:pPr>
      <w:r w:rsidRPr="00E0308F">
        <w:rPr>
          <w:rFonts w:ascii="Times New Roman" w:eastAsia="Calibri" w:hAnsi="Times New Roman" w:cs="Times New Roman"/>
          <w:color w:val="000000" w:themeColor="text1"/>
          <w:lang w:val="en-GB"/>
        </w:rPr>
        <w:t xml:space="preserve">              </w:t>
      </w:r>
    </w:p>
    <w:tbl>
      <w:tblPr>
        <w:tblpPr w:leftFromText="180" w:rightFromText="180" w:vertAnchor="text" w:horzAnchor="margin" w:tblpY="423"/>
        <w:tblW w:w="9086" w:type="dxa"/>
        <w:tblLook w:val="04A0" w:firstRow="1" w:lastRow="0" w:firstColumn="1" w:lastColumn="0" w:noHBand="0" w:noVBand="1"/>
      </w:tblPr>
      <w:tblGrid>
        <w:gridCol w:w="1235"/>
        <w:gridCol w:w="1871"/>
        <w:gridCol w:w="140"/>
        <w:gridCol w:w="2291"/>
        <w:gridCol w:w="2291"/>
        <w:gridCol w:w="1258"/>
      </w:tblGrid>
      <w:tr w:rsidR="00164238" w:rsidRPr="00E0308F" w14:paraId="5FF5D835" w14:textId="77777777" w:rsidTr="00682CBF">
        <w:trPr>
          <w:trHeight w:val="522"/>
        </w:trPr>
        <w:tc>
          <w:tcPr>
            <w:tcW w:w="1235" w:type="dxa"/>
            <w:tcBorders>
              <w:top w:val="single" w:sz="4" w:space="0" w:color="auto"/>
            </w:tcBorders>
          </w:tcPr>
          <w:p w14:paraId="77A43A0C" w14:textId="77777777" w:rsidR="004C6717" w:rsidRPr="00E0308F" w:rsidRDefault="004C6717" w:rsidP="00682CBF">
            <w:pPr>
              <w:tabs>
                <w:tab w:val="left" w:pos="3869"/>
              </w:tabs>
              <w:rPr>
                <w:rFonts w:ascii="Times New Roman" w:hAnsi="Times New Roman" w:cs="Times New Roman"/>
                <w:b/>
                <w:bCs/>
                <w:color w:val="000000" w:themeColor="text1"/>
              </w:rPr>
            </w:pPr>
          </w:p>
          <w:p w14:paraId="7253E4C7" w14:textId="77777777" w:rsidR="004C6717" w:rsidRPr="00E0308F" w:rsidRDefault="004C6717" w:rsidP="00682CBF">
            <w:pPr>
              <w:tabs>
                <w:tab w:val="left" w:pos="3869"/>
              </w:tabs>
              <w:rPr>
                <w:rFonts w:ascii="Times New Roman" w:hAnsi="Times New Roman" w:cs="Times New Roman"/>
                <w:color w:val="000000" w:themeColor="text1"/>
              </w:rPr>
            </w:pPr>
            <w:r w:rsidRPr="00E0308F">
              <w:rPr>
                <w:rFonts w:ascii="Times New Roman" w:hAnsi="Times New Roman" w:cs="Times New Roman"/>
                <w:color w:val="000000" w:themeColor="text1"/>
              </w:rPr>
              <w:t>Ülkeler</w:t>
            </w:r>
          </w:p>
        </w:tc>
        <w:tc>
          <w:tcPr>
            <w:tcW w:w="2011" w:type="dxa"/>
            <w:gridSpan w:val="2"/>
            <w:tcBorders>
              <w:top w:val="single" w:sz="4" w:space="0" w:color="auto"/>
            </w:tcBorders>
          </w:tcPr>
          <w:p w14:paraId="177CA167" w14:textId="77777777" w:rsidR="004C6717" w:rsidRPr="00E0308F" w:rsidRDefault="004C6717" w:rsidP="00682CBF">
            <w:pPr>
              <w:tabs>
                <w:tab w:val="left" w:pos="3869"/>
              </w:tabs>
              <w:jc w:val="center"/>
              <w:rPr>
                <w:rFonts w:ascii="Times New Roman" w:hAnsi="Times New Roman" w:cs="Times New Roman"/>
                <w:color w:val="000000" w:themeColor="text1"/>
              </w:rPr>
            </w:pPr>
            <w:r w:rsidRPr="00E0308F">
              <w:rPr>
                <w:rFonts w:ascii="Times New Roman" w:hAnsi="Times New Roman" w:cs="Times New Roman"/>
                <w:color w:val="000000" w:themeColor="text1"/>
              </w:rPr>
              <w:t>Avrupa</w:t>
            </w:r>
          </w:p>
          <w:p w14:paraId="2348B0AE" w14:textId="77777777" w:rsidR="004C6717" w:rsidRPr="00E0308F" w:rsidRDefault="004C6717" w:rsidP="00682CBF">
            <w:pPr>
              <w:tabs>
                <w:tab w:val="left" w:pos="3869"/>
              </w:tabs>
              <w:jc w:val="center"/>
              <w:rPr>
                <w:rFonts w:ascii="Times New Roman" w:hAnsi="Times New Roman" w:cs="Times New Roman"/>
                <w:b/>
                <w:bCs/>
                <w:color w:val="000000" w:themeColor="text1"/>
              </w:rPr>
            </w:pPr>
            <w:r w:rsidRPr="00E0308F">
              <w:rPr>
                <w:rFonts w:ascii="Times New Roman" w:hAnsi="Times New Roman" w:cs="Times New Roman"/>
                <w:color w:val="000000" w:themeColor="text1"/>
              </w:rPr>
              <w:t xml:space="preserve">Sıralaması </w:t>
            </w:r>
          </w:p>
          <w:p w14:paraId="36AEC8E5" w14:textId="77777777" w:rsidR="004C6717" w:rsidRPr="00E0308F" w:rsidRDefault="004C6717" w:rsidP="00682CBF">
            <w:pPr>
              <w:tabs>
                <w:tab w:val="left" w:pos="3869"/>
              </w:tabs>
              <w:jc w:val="center"/>
              <w:rPr>
                <w:rFonts w:ascii="Times New Roman" w:hAnsi="Times New Roman" w:cs="Times New Roman"/>
                <w:color w:val="000000" w:themeColor="text1"/>
              </w:rPr>
            </w:pPr>
            <w:r w:rsidRPr="00E0308F">
              <w:rPr>
                <w:rFonts w:ascii="Times New Roman" w:hAnsi="Times New Roman" w:cs="Times New Roman"/>
                <w:color w:val="000000" w:themeColor="text1"/>
              </w:rPr>
              <w:t>(48 Ülke İçinde)</w:t>
            </w:r>
          </w:p>
        </w:tc>
        <w:tc>
          <w:tcPr>
            <w:tcW w:w="2291" w:type="dxa"/>
            <w:tcBorders>
              <w:top w:val="single" w:sz="4" w:space="0" w:color="auto"/>
            </w:tcBorders>
          </w:tcPr>
          <w:p w14:paraId="6A5DD02E" w14:textId="77777777" w:rsidR="004C6717" w:rsidRPr="00E0308F" w:rsidRDefault="004C6717" w:rsidP="00682CBF">
            <w:pPr>
              <w:tabs>
                <w:tab w:val="left" w:pos="3869"/>
              </w:tabs>
              <w:jc w:val="center"/>
              <w:rPr>
                <w:rFonts w:ascii="Times New Roman" w:hAnsi="Times New Roman" w:cs="Times New Roman"/>
                <w:color w:val="000000" w:themeColor="text1"/>
              </w:rPr>
            </w:pPr>
            <w:r w:rsidRPr="00E0308F">
              <w:rPr>
                <w:rFonts w:ascii="Times New Roman" w:hAnsi="Times New Roman" w:cs="Times New Roman"/>
                <w:color w:val="000000" w:themeColor="text1"/>
              </w:rPr>
              <w:t>Covid-19 Toplam Vaka Sayısı (Milyonda)</w:t>
            </w:r>
          </w:p>
        </w:tc>
        <w:tc>
          <w:tcPr>
            <w:tcW w:w="2291" w:type="dxa"/>
            <w:tcBorders>
              <w:top w:val="single" w:sz="4" w:space="0" w:color="auto"/>
            </w:tcBorders>
          </w:tcPr>
          <w:p w14:paraId="2C08707E" w14:textId="77777777" w:rsidR="004C6717" w:rsidRPr="00E0308F" w:rsidRDefault="004C6717" w:rsidP="00682CBF">
            <w:pPr>
              <w:tabs>
                <w:tab w:val="left" w:pos="3869"/>
              </w:tabs>
              <w:jc w:val="center"/>
              <w:rPr>
                <w:rFonts w:ascii="Times New Roman" w:hAnsi="Times New Roman" w:cs="Times New Roman"/>
                <w:color w:val="000000" w:themeColor="text1"/>
              </w:rPr>
            </w:pPr>
            <w:r w:rsidRPr="00E0308F">
              <w:rPr>
                <w:rFonts w:ascii="Times New Roman" w:hAnsi="Times New Roman" w:cs="Times New Roman"/>
                <w:color w:val="000000" w:themeColor="text1"/>
              </w:rPr>
              <w:t>Covid-19 Toplam Ölüm Sayısı (Milyonda)</w:t>
            </w:r>
          </w:p>
        </w:tc>
        <w:tc>
          <w:tcPr>
            <w:tcW w:w="1258" w:type="dxa"/>
            <w:tcBorders>
              <w:top w:val="single" w:sz="4" w:space="0" w:color="auto"/>
            </w:tcBorders>
          </w:tcPr>
          <w:p w14:paraId="5AD06E4F" w14:textId="77777777" w:rsidR="004C6717" w:rsidRPr="00E0308F" w:rsidRDefault="004C6717" w:rsidP="00682CBF">
            <w:pPr>
              <w:tabs>
                <w:tab w:val="left" w:pos="3869"/>
              </w:tabs>
              <w:rPr>
                <w:rFonts w:ascii="Times New Roman" w:hAnsi="Times New Roman" w:cs="Times New Roman"/>
                <w:b/>
                <w:bCs/>
                <w:color w:val="000000" w:themeColor="text1"/>
              </w:rPr>
            </w:pPr>
            <w:r w:rsidRPr="00E0308F">
              <w:rPr>
                <w:rFonts w:ascii="Times New Roman" w:hAnsi="Times New Roman" w:cs="Times New Roman"/>
                <w:color w:val="000000" w:themeColor="text1"/>
              </w:rPr>
              <w:t xml:space="preserve">   </w:t>
            </w:r>
          </w:p>
          <w:p w14:paraId="0924B30E" w14:textId="77777777" w:rsidR="004C6717" w:rsidRPr="00E0308F" w:rsidRDefault="004C6717" w:rsidP="00682CBF">
            <w:pPr>
              <w:tabs>
                <w:tab w:val="left" w:pos="3869"/>
              </w:tabs>
              <w:jc w:val="center"/>
              <w:rPr>
                <w:rFonts w:ascii="Times New Roman" w:hAnsi="Times New Roman" w:cs="Times New Roman"/>
                <w:color w:val="000000" w:themeColor="text1"/>
              </w:rPr>
            </w:pPr>
            <w:r w:rsidRPr="00E0308F">
              <w:rPr>
                <w:rFonts w:ascii="Times New Roman" w:hAnsi="Times New Roman" w:cs="Times New Roman"/>
                <w:color w:val="000000" w:themeColor="text1"/>
              </w:rPr>
              <w:t>Nüfus</w:t>
            </w:r>
          </w:p>
        </w:tc>
      </w:tr>
      <w:tr w:rsidR="00164238" w:rsidRPr="00E0308F" w14:paraId="42DC8B16" w14:textId="77777777" w:rsidTr="00682CBF">
        <w:trPr>
          <w:trHeight w:val="356"/>
        </w:trPr>
        <w:tc>
          <w:tcPr>
            <w:tcW w:w="1235" w:type="dxa"/>
          </w:tcPr>
          <w:p w14:paraId="757444F7" w14:textId="77777777" w:rsidR="004C6717" w:rsidRPr="00E0308F" w:rsidRDefault="004C6717" w:rsidP="00682CBF">
            <w:pPr>
              <w:tabs>
                <w:tab w:val="left" w:pos="3869"/>
              </w:tabs>
              <w:rPr>
                <w:rFonts w:ascii="Times New Roman" w:hAnsi="Times New Roman" w:cs="Times New Roman"/>
                <w:b/>
                <w:bCs/>
                <w:color w:val="000000" w:themeColor="text1"/>
              </w:rPr>
            </w:pPr>
            <w:r w:rsidRPr="00E0308F">
              <w:rPr>
                <w:rFonts w:ascii="Times New Roman" w:hAnsi="Times New Roman" w:cs="Times New Roman"/>
                <w:color w:val="000000" w:themeColor="text1"/>
              </w:rPr>
              <w:t>Almanya</w:t>
            </w:r>
          </w:p>
        </w:tc>
        <w:tc>
          <w:tcPr>
            <w:tcW w:w="1871" w:type="dxa"/>
          </w:tcPr>
          <w:p w14:paraId="08869E29" w14:textId="77777777" w:rsidR="004C6717" w:rsidRPr="00E0308F" w:rsidRDefault="004C6717" w:rsidP="00682CBF">
            <w:pPr>
              <w:tabs>
                <w:tab w:val="left" w:pos="3869"/>
              </w:tabs>
              <w:jc w:val="center"/>
              <w:rPr>
                <w:rFonts w:ascii="Times New Roman" w:hAnsi="Times New Roman" w:cs="Times New Roman"/>
                <w:color w:val="000000" w:themeColor="text1"/>
              </w:rPr>
            </w:pPr>
            <w:r w:rsidRPr="00E0308F">
              <w:rPr>
                <w:rFonts w:ascii="Times New Roman" w:hAnsi="Times New Roman" w:cs="Times New Roman"/>
                <w:color w:val="000000" w:themeColor="text1"/>
              </w:rPr>
              <w:t>6</w:t>
            </w:r>
          </w:p>
        </w:tc>
        <w:tc>
          <w:tcPr>
            <w:tcW w:w="2431" w:type="dxa"/>
            <w:gridSpan w:val="2"/>
          </w:tcPr>
          <w:p w14:paraId="2F6E4A0F" w14:textId="77777777" w:rsidR="004C6717" w:rsidRPr="00E0308F" w:rsidRDefault="004C6717" w:rsidP="00682CBF">
            <w:pPr>
              <w:tabs>
                <w:tab w:val="left" w:pos="3869"/>
              </w:tabs>
              <w:jc w:val="center"/>
              <w:rPr>
                <w:rFonts w:ascii="Times New Roman" w:hAnsi="Times New Roman" w:cs="Times New Roman"/>
                <w:color w:val="000000" w:themeColor="text1"/>
              </w:rPr>
            </w:pPr>
            <w:r w:rsidRPr="00E0308F">
              <w:rPr>
                <w:rFonts w:ascii="Times New Roman" w:hAnsi="Times New Roman" w:cs="Times New Roman"/>
                <w:color w:val="000000" w:themeColor="text1"/>
              </w:rPr>
              <w:t>34,363</w:t>
            </w:r>
          </w:p>
        </w:tc>
        <w:tc>
          <w:tcPr>
            <w:tcW w:w="2291" w:type="dxa"/>
          </w:tcPr>
          <w:p w14:paraId="351C0002" w14:textId="77777777" w:rsidR="004C6717" w:rsidRPr="00E0308F" w:rsidRDefault="004C6717" w:rsidP="00682CBF">
            <w:pPr>
              <w:tabs>
                <w:tab w:val="left" w:pos="3869"/>
              </w:tabs>
              <w:jc w:val="center"/>
              <w:rPr>
                <w:rFonts w:ascii="Times New Roman" w:hAnsi="Times New Roman" w:cs="Times New Roman"/>
                <w:color w:val="000000" w:themeColor="text1"/>
              </w:rPr>
            </w:pPr>
            <w:r w:rsidRPr="00E0308F">
              <w:rPr>
                <w:rFonts w:ascii="Times New Roman" w:hAnsi="Times New Roman" w:cs="Times New Roman"/>
                <w:color w:val="000000" w:themeColor="text1"/>
              </w:rPr>
              <w:t>923</w:t>
            </w:r>
          </w:p>
        </w:tc>
        <w:tc>
          <w:tcPr>
            <w:tcW w:w="1258" w:type="dxa"/>
          </w:tcPr>
          <w:p w14:paraId="0E392F69" w14:textId="77777777" w:rsidR="004C6717" w:rsidRPr="00E0308F" w:rsidRDefault="004C6717" w:rsidP="00682CBF">
            <w:pPr>
              <w:tabs>
                <w:tab w:val="left" w:pos="3869"/>
              </w:tabs>
              <w:jc w:val="center"/>
              <w:rPr>
                <w:rFonts w:ascii="Times New Roman" w:hAnsi="Times New Roman" w:cs="Times New Roman"/>
                <w:color w:val="000000" w:themeColor="text1"/>
              </w:rPr>
            </w:pPr>
            <w:r w:rsidRPr="00E0308F">
              <w:rPr>
                <w:rFonts w:ascii="Times New Roman" w:hAnsi="Times New Roman" w:cs="Times New Roman"/>
                <w:color w:val="000000" w:themeColor="text1"/>
              </w:rPr>
              <w:t>83,986,475</w:t>
            </w:r>
          </w:p>
        </w:tc>
      </w:tr>
      <w:tr w:rsidR="00164238" w:rsidRPr="00E0308F" w14:paraId="4240CB3A" w14:textId="77777777" w:rsidTr="00682CBF">
        <w:trPr>
          <w:trHeight w:val="323"/>
        </w:trPr>
        <w:tc>
          <w:tcPr>
            <w:tcW w:w="1235" w:type="dxa"/>
          </w:tcPr>
          <w:p w14:paraId="21D0B0D2" w14:textId="77777777" w:rsidR="004C6717" w:rsidRPr="00E0308F" w:rsidRDefault="004C6717" w:rsidP="00682CBF">
            <w:pPr>
              <w:tabs>
                <w:tab w:val="left" w:pos="3869"/>
              </w:tabs>
              <w:rPr>
                <w:rFonts w:ascii="Times New Roman" w:hAnsi="Times New Roman" w:cs="Times New Roman"/>
                <w:b/>
                <w:bCs/>
                <w:color w:val="000000" w:themeColor="text1"/>
              </w:rPr>
            </w:pPr>
            <w:r w:rsidRPr="00E0308F">
              <w:rPr>
                <w:rFonts w:ascii="Times New Roman" w:hAnsi="Times New Roman" w:cs="Times New Roman"/>
                <w:color w:val="000000" w:themeColor="text1"/>
              </w:rPr>
              <w:t>Fransa</w:t>
            </w:r>
          </w:p>
        </w:tc>
        <w:tc>
          <w:tcPr>
            <w:tcW w:w="1871" w:type="dxa"/>
          </w:tcPr>
          <w:p w14:paraId="5E1C3C5B" w14:textId="77777777" w:rsidR="004C6717" w:rsidRPr="00E0308F" w:rsidRDefault="004C6717" w:rsidP="00682CBF">
            <w:pPr>
              <w:tabs>
                <w:tab w:val="left" w:pos="3869"/>
              </w:tabs>
              <w:jc w:val="center"/>
              <w:rPr>
                <w:rFonts w:ascii="Times New Roman" w:hAnsi="Times New Roman" w:cs="Times New Roman"/>
                <w:color w:val="000000" w:themeColor="text1"/>
              </w:rPr>
            </w:pPr>
            <w:r w:rsidRPr="00E0308F">
              <w:rPr>
                <w:rFonts w:ascii="Times New Roman" w:hAnsi="Times New Roman" w:cs="Times New Roman"/>
                <w:color w:val="000000" w:themeColor="text1"/>
              </w:rPr>
              <w:t>1</w:t>
            </w:r>
          </w:p>
        </w:tc>
        <w:tc>
          <w:tcPr>
            <w:tcW w:w="2431" w:type="dxa"/>
            <w:gridSpan w:val="2"/>
          </w:tcPr>
          <w:p w14:paraId="7C44679D" w14:textId="77777777" w:rsidR="004C6717" w:rsidRPr="00E0308F" w:rsidRDefault="004C6717" w:rsidP="00682CBF">
            <w:pPr>
              <w:tabs>
                <w:tab w:val="left" w:pos="3869"/>
              </w:tabs>
              <w:jc w:val="center"/>
              <w:rPr>
                <w:rFonts w:ascii="Times New Roman" w:hAnsi="Times New Roman" w:cs="Times New Roman"/>
                <w:color w:val="000000" w:themeColor="text1"/>
              </w:rPr>
            </w:pPr>
            <w:r w:rsidRPr="00E0308F">
              <w:rPr>
                <w:rFonts w:ascii="Times New Roman" w:hAnsi="Times New Roman" w:cs="Times New Roman"/>
                <w:color w:val="000000" w:themeColor="text1"/>
              </w:rPr>
              <w:t>74,044</w:t>
            </w:r>
          </w:p>
        </w:tc>
        <w:tc>
          <w:tcPr>
            <w:tcW w:w="2291" w:type="dxa"/>
          </w:tcPr>
          <w:p w14:paraId="6747FC33" w14:textId="77777777" w:rsidR="004C6717" w:rsidRPr="00E0308F" w:rsidRDefault="004C6717" w:rsidP="00682CBF">
            <w:pPr>
              <w:tabs>
                <w:tab w:val="left" w:pos="3869"/>
              </w:tabs>
              <w:jc w:val="center"/>
              <w:rPr>
                <w:rFonts w:ascii="Times New Roman" w:hAnsi="Times New Roman" w:cs="Times New Roman"/>
                <w:color w:val="000000" w:themeColor="text1"/>
              </w:rPr>
            </w:pPr>
            <w:r w:rsidRPr="00E0308F">
              <w:rPr>
                <w:rFonts w:ascii="Times New Roman" w:hAnsi="Times New Roman" w:cs="Times New Roman"/>
                <w:color w:val="000000" w:themeColor="text1"/>
              </w:rPr>
              <w:t>1,495</w:t>
            </w:r>
          </w:p>
        </w:tc>
        <w:tc>
          <w:tcPr>
            <w:tcW w:w="1258" w:type="dxa"/>
          </w:tcPr>
          <w:p w14:paraId="4FA32EA2" w14:textId="77777777" w:rsidR="004C6717" w:rsidRPr="00E0308F" w:rsidRDefault="004C6717" w:rsidP="00682CBF">
            <w:pPr>
              <w:tabs>
                <w:tab w:val="left" w:pos="3869"/>
              </w:tabs>
              <w:jc w:val="center"/>
              <w:rPr>
                <w:rFonts w:ascii="Times New Roman" w:hAnsi="Times New Roman" w:cs="Times New Roman"/>
                <w:color w:val="000000" w:themeColor="text1"/>
              </w:rPr>
            </w:pPr>
            <w:r w:rsidRPr="00E0308F">
              <w:rPr>
                <w:rFonts w:ascii="Times New Roman" w:hAnsi="Times New Roman" w:cs="Times New Roman"/>
                <w:color w:val="000000" w:themeColor="text1"/>
              </w:rPr>
              <w:t>65,384,318</w:t>
            </w:r>
          </w:p>
        </w:tc>
      </w:tr>
      <w:tr w:rsidR="00164238" w:rsidRPr="00E0308F" w14:paraId="476C61CA" w14:textId="77777777" w:rsidTr="00682CBF">
        <w:trPr>
          <w:trHeight w:val="327"/>
        </w:trPr>
        <w:tc>
          <w:tcPr>
            <w:tcW w:w="1235" w:type="dxa"/>
          </w:tcPr>
          <w:p w14:paraId="4AC149C2" w14:textId="77777777" w:rsidR="004C6717" w:rsidRPr="00E0308F" w:rsidRDefault="004C6717" w:rsidP="00682CBF">
            <w:pPr>
              <w:tabs>
                <w:tab w:val="left" w:pos="3869"/>
              </w:tabs>
              <w:rPr>
                <w:rFonts w:ascii="Times New Roman" w:hAnsi="Times New Roman" w:cs="Times New Roman"/>
                <w:b/>
                <w:bCs/>
                <w:color w:val="000000" w:themeColor="text1"/>
              </w:rPr>
            </w:pPr>
            <w:r w:rsidRPr="00E0308F">
              <w:rPr>
                <w:rFonts w:ascii="Times New Roman" w:hAnsi="Times New Roman" w:cs="Times New Roman"/>
                <w:color w:val="000000" w:themeColor="text1"/>
              </w:rPr>
              <w:t>Avusturya</w:t>
            </w:r>
          </w:p>
        </w:tc>
        <w:tc>
          <w:tcPr>
            <w:tcW w:w="1871" w:type="dxa"/>
          </w:tcPr>
          <w:p w14:paraId="74378192" w14:textId="77777777" w:rsidR="004C6717" w:rsidRPr="00E0308F" w:rsidRDefault="004C6717" w:rsidP="00682CBF">
            <w:pPr>
              <w:tabs>
                <w:tab w:val="left" w:pos="3869"/>
              </w:tabs>
              <w:jc w:val="center"/>
              <w:rPr>
                <w:rFonts w:ascii="Times New Roman" w:hAnsi="Times New Roman" w:cs="Times New Roman"/>
                <w:color w:val="000000" w:themeColor="text1"/>
              </w:rPr>
            </w:pPr>
            <w:r w:rsidRPr="00E0308F">
              <w:rPr>
                <w:rFonts w:ascii="Times New Roman" w:hAnsi="Times New Roman" w:cs="Times New Roman"/>
                <w:color w:val="000000" w:themeColor="text1"/>
              </w:rPr>
              <w:t>18</w:t>
            </w:r>
          </w:p>
        </w:tc>
        <w:tc>
          <w:tcPr>
            <w:tcW w:w="2431" w:type="dxa"/>
            <w:gridSpan w:val="2"/>
          </w:tcPr>
          <w:p w14:paraId="1072C60A" w14:textId="77777777" w:rsidR="004C6717" w:rsidRPr="00E0308F" w:rsidRDefault="004C6717" w:rsidP="00682CBF">
            <w:pPr>
              <w:tabs>
                <w:tab w:val="left" w:pos="3869"/>
              </w:tabs>
              <w:jc w:val="center"/>
              <w:rPr>
                <w:rFonts w:ascii="Times New Roman" w:hAnsi="Times New Roman" w:cs="Times New Roman"/>
                <w:color w:val="000000" w:themeColor="text1"/>
              </w:rPr>
            </w:pPr>
            <w:r w:rsidRPr="00E0308F">
              <w:rPr>
                <w:rFonts w:ascii="Times New Roman" w:hAnsi="Times New Roman" w:cs="Times New Roman"/>
                <w:color w:val="000000" w:themeColor="text1"/>
              </w:rPr>
              <w:t>61,774</w:t>
            </w:r>
          </w:p>
        </w:tc>
        <w:tc>
          <w:tcPr>
            <w:tcW w:w="2291" w:type="dxa"/>
          </w:tcPr>
          <w:p w14:paraId="1E2414D3" w14:textId="77777777" w:rsidR="004C6717" w:rsidRPr="00E0308F" w:rsidRDefault="004C6717" w:rsidP="00682CBF">
            <w:pPr>
              <w:tabs>
                <w:tab w:val="left" w:pos="3869"/>
              </w:tabs>
              <w:jc w:val="center"/>
              <w:rPr>
                <w:rFonts w:ascii="Times New Roman" w:hAnsi="Times New Roman" w:cs="Times New Roman"/>
                <w:color w:val="000000" w:themeColor="text1"/>
              </w:rPr>
            </w:pPr>
            <w:r w:rsidRPr="00E0308F">
              <w:rPr>
                <w:rFonts w:ascii="Times New Roman" w:hAnsi="Times New Roman" w:cs="Times New Roman"/>
                <w:color w:val="000000" w:themeColor="text1"/>
              </w:rPr>
              <w:t>1,045</w:t>
            </w:r>
          </w:p>
        </w:tc>
        <w:tc>
          <w:tcPr>
            <w:tcW w:w="1258" w:type="dxa"/>
          </w:tcPr>
          <w:p w14:paraId="693F960D" w14:textId="77777777" w:rsidR="004C6717" w:rsidRPr="00E0308F" w:rsidRDefault="004C6717" w:rsidP="00682CBF">
            <w:pPr>
              <w:tabs>
                <w:tab w:val="left" w:pos="3869"/>
              </w:tabs>
              <w:jc w:val="center"/>
              <w:rPr>
                <w:rFonts w:ascii="Times New Roman" w:hAnsi="Times New Roman" w:cs="Times New Roman"/>
                <w:color w:val="000000" w:themeColor="text1"/>
              </w:rPr>
            </w:pPr>
            <w:r w:rsidRPr="00E0308F">
              <w:rPr>
                <w:rFonts w:ascii="Times New Roman" w:hAnsi="Times New Roman" w:cs="Times New Roman"/>
                <w:color w:val="000000" w:themeColor="text1"/>
              </w:rPr>
              <w:t>9,045,210</w:t>
            </w:r>
          </w:p>
        </w:tc>
      </w:tr>
      <w:tr w:rsidR="00164238" w:rsidRPr="00E0308F" w14:paraId="29EC0031" w14:textId="77777777" w:rsidTr="00682CBF">
        <w:trPr>
          <w:trHeight w:val="385"/>
        </w:trPr>
        <w:tc>
          <w:tcPr>
            <w:tcW w:w="1235" w:type="dxa"/>
          </w:tcPr>
          <w:p w14:paraId="23F05FE5" w14:textId="77777777" w:rsidR="004C6717" w:rsidRPr="00E0308F" w:rsidRDefault="004C6717" w:rsidP="00682CBF">
            <w:pPr>
              <w:tabs>
                <w:tab w:val="left" w:pos="3869"/>
              </w:tabs>
              <w:rPr>
                <w:rFonts w:ascii="Times New Roman" w:hAnsi="Times New Roman" w:cs="Times New Roman"/>
                <w:b/>
                <w:bCs/>
                <w:color w:val="000000" w:themeColor="text1"/>
              </w:rPr>
            </w:pPr>
            <w:r w:rsidRPr="00E0308F">
              <w:rPr>
                <w:rFonts w:ascii="Times New Roman" w:hAnsi="Times New Roman" w:cs="Times New Roman"/>
                <w:color w:val="000000" w:themeColor="text1"/>
              </w:rPr>
              <w:t>İngiltere</w:t>
            </w:r>
          </w:p>
        </w:tc>
        <w:tc>
          <w:tcPr>
            <w:tcW w:w="1871" w:type="dxa"/>
          </w:tcPr>
          <w:p w14:paraId="579BA20A" w14:textId="77777777" w:rsidR="004C6717" w:rsidRPr="00E0308F" w:rsidRDefault="004C6717" w:rsidP="00682CBF">
            <w:pPr>
              <w:tabs>
                <w:tab w:val="left" w:pos="3869"/>
              </w:tabs>
              <w:jc w:val="center"/>
              <w:rPr>
                <w:rFonts w:ascii="Times New Roman" w:hAnsi="Times New Roman" w:cs="Times New Roman"/>
                <w:color w:val="000000" w:themeColor="text1"/>
              </w:rPr>
            </w:pPr>
            <w:r w:rsidRPr="00E0308F">
              <w:rPr>
                <w:rFonts w:ascii="Times New Roman" w:hAnsi="Times New Roman" w:cs="Times New Roman"/>
                <w:color w:val="000000" w:themeColor="text1"/>
              </w:rPr>
              <w:t>3</w:t>
            </w:r>
          </w:p>
        </w:tc>
        <w:tc>
          <w:tcPr>
            <w:tcW w:w="2431" w:type="dxa"/>
            <w:gridSpan w:val="2"/>
          </w:tcPr>
          <w:p w14:paraId="08A44F46" w14:textId="77777777" w:rsidR="004C6717" w:rsidRPr="00E0308F" w:rsidRDefault="004C6717" w:rsidP="00682CBF">
            <w:pPr>
              <w:tabs>
                <w:tab w:val="left" w:pos="3869"/>
              </w:tabs>
              <w:jc w:val="center"/>
              <w:rPr>
                <w:rFonts w:ascii="Times New Roman" w:hAnsi="Times New Roman" w:cs="Times New Roman"/>
                <w:color w:val="000000" w:themeColor="text1"/>
              </w:rPr>
            </w:pPr>
            <w:r w:rsidRPr="00E0308F">
              <w:rPr>
                <w:rFonts w:ascii="Times New Roman" w:hAnsi="Times New Roman" w:cs="Times New Roman"/>
                <w:color w:val="000000" w:themeColor="text1"/>
              </w:rPr>
              <w:t>63,92</w:t>
            </w:r>
          </w:p>
        </w:tc>
        <w:tc>
          <w:tcPr>
            <w:tcW w:w="2291" w:type="dxa"/>
          </w:tcPr>
          <w:p w14:paraId="2281EAA7" w14:textId="77777777" w:rsidR="004C6717" w:rsidRPr="00E0308F" w:rsidRDefault="004C6717" w:rsidP="00682CBF">
            <w:pPr>
              <w:tabs>
                <w:tab w:val="left" w:pos="3869"/>
              </w:tabs>
              <w:jc w:val="center"/>
              <w:rPr>
                <w:rFonts w:ascii="Times New Roman" w:hAnsi="Times New Roman" w:cs="Times New Roman"/>
                <w:color w:val="000000" w:themeColor="text1"/>
              </w:rPr>
            </w:pPr>
            <w:r w:rsidRPr="00E0308F">
              <w:rPr>
                <w:rFonts w:ascii="Times New Roman" w:hAnsi="Times New Roman" w:cs="Times New Roman"/>
                <w:color w:val="000000" w:themeColor="text1"/>
              </w:rPr>
              <w:t>1,861</w:t>
            </w:r>
          </w:p>
        </w:tc>
        <w:tc>
          <w:tcPr>
            <w:tcW w:w="1258" w:type="dxa"/>
          </w:tcPr>
          <w:p w14:paraId="6D13C150" w14:textId="77777777" w:rsidR="004C6717" w:rsidRPr="00E0308F" w:rsidRDefault="004C6717" w:rsidP="00682CBF">
            <w:pPr>
              <w:tabs>
                <w:tab w:val="left" w:pos="3869"/>
              </w:tabs>
              <w:jc w:val="center"/>
              <w:rPr>
                <w:rFonts w:ascii="Times New Roman" w:hAnsi="Times New Roman" w:cs="Times New Roman"/>
                <w:color w:val="000000" w:themeColor="text1"/>
              </w:rPr>
            </w:pPr>
            <w:r w:rsidRPr="00E0308F">
              <w:rPr>
                <w:rFonts w:ascii="Times New Roman" w:hAnsi="Times New Roman" w:cs="Times New Roman"/>
                <w:color w:val="000000" w:themeColor="text1"/>
              </w:rPr>
              <w:t>68,155,392</w:t>
            </w:r>
          </w:p>
        </w:tc>
      </w:tr>
      <w:tr w:rsidR="00164238" w:rsidRPr="00E0308F" w14:paraId="66BDE60A" w14:textId="77777777" w:rsidTr="00682CBF">
        <w:trPr>
          <w:trHeight w:val="342"/>
        </w:trPr>
        <w:tc>
          <w:tcPr>
            <w:tcW w:w="1235" w:type="dxa"/>
          </w:tcPr>
          <w:p w14:paraId="5DD02174" w14:textId="77777777" w:rsidR="004C6717" w:rsidRPr="00E0308F" w:rsidRDefault="004C6717" w:rsidP="00682CBF">
            <w:pPr>
              <w:tabs>
                <w:tab w:val="left" w:pos="3869"/>
              </w:tabs>
              <w:rPr>
                <w:rFonts w:ascii="Times New Roman" w:hAnsi="Times New Roman" w:cs="Times New Roman"/>
                <w:b/>
                <w:bCs/>
                <w:color w:val="000000" w:themeColor="text1"/>
              </w:rPr>
            </w:pPr>
            <w:r w:rsidRPr="00E0308F">
              <w:rPr>
                <w:rFonts w:ascii="Times New Roman" w:hAnsi="Times New Roman" w:cs="Times New Roman"/>
                <w:color w:val="000000" w:themeColor="text1"/>
              </w:rPr>
              <w:t>Hollanda</w:t>
            </w:r>
          </w:p>
        </w:tc>
        <w:tc>
          <w:tcPr>
            <w:tcW w:w="1871" w:type="dxa"/>
          </w:tcPr>
          <w:p w14:paraId="14A04E30" w14:textId="77777777" w:rsidR="004C6717" w:rsidRPr="00E0308F" w:rsidRDefault="004C6717" w:rsidP="00682CBF">
            <w:pPr>
              <w:tabs>
                <w:tab w:val="left" w:pos="3869"/>
              </w:tabs>
              <w:jc w:val="center"/>
              <w:rPr>
                <w:rFonts w:ascii="Times New Roman" w:hAnsi="Times New Roman" w:cs="Times New Roman"/>
                <w:color w:val="000000" w:themeColor="text1"/>
              </w:rPr>
            </w:pPr>
            <w:r w:rsidRPr="00E0308F">
              <w:rPr>
                <w:rFonts w:ascii="Times New Roman" w:hAnsi="Times New Roman" w:cs="Times New Roman"/>
                <w:color w:val="000000" w:themeColor="text1"/>
              </w:rPr>
              <w:t>10</w:t>
            </w:r>
          </w:p>
        </w:tc>
        <w:tc>
          <w:tcPr>
            <w:tcW w:w="2431" w:type="dxa"/>
            <w:gridSpan w:val="2"/>
          </w:tcPr>
          <w:p w14:paraId="64E44241" w14:textId="77777777" w:rsidR="004C6717" w:rsidRPr="00E0308F" w:rsidRDefault="004C6717" w:rsidP="00682CBF">
            <w:pPr>
              <w:tabs>
                <w:tab w:val="left" w:pos="3869"/>
              </w:tabs>
              <w:jc w:val="center"/>
              <w:rPr>
                <w:rFonts w:ascii="Times New Roman" w:hAnsi="Times New Roman" w:cs="Times New Roman"/>
                <w:color w:val="000000" w:themeColor="text1"/>
              </w:rPr>
            </w:pPr>
            <w:r w:rsidRPr="00E0308F">
              <w:rPr>
                <w:rFonts w:ascii="Times New Roman" w:hAnsi="Times New Roman" w:cs="Times New Roman"/>
                <w:color w:val="000000" w:themeColor="text1"/>
              </w:rPr>
              <w:t>75,867</w:t>
            </w:r>
          </w:p>
        </w:tc>
        <w:tc>
          <w:tcPr>
            <w:tcW w:w="2291" w:type="dxa"/>
          </w:tcPr>
          <w:p w14:paraId="23CEA802" w14:textId="77777777" w:rsidR="004C6717" w:rsidRPr="00E0308F" w:rsidRDefault="004C6717" w:rsidP="00682CBF">
            <w:pPr>
              <w:tabs>
                <w:tab w:val="left" w:pos="3869"/>
              </w:tabs>
              <w:jc w:val="center"/>
              <w:rPr>
                <w:rFonts w:ascii="Times New Roman" w:hAnsi="Times New Roman" w:cs="Times New Roman"/>
                <w:color w:val="000000" w:themeColor="text1"/>
              </w:rPr>
            </w:pPr>
            <w:r w:rsidRPr="00E0308F">
              <w:rPr>
                <w:rFonts w:ascii="Times New Roman" w:hAnsi="Times New Roman" w:cs="Times New Roman"/>
                <w:color w:val="000000" w:themeColor="text1"/>
              </w:rPr>
              <w:t>968</w:t>
            </w:r>
          </w:p>
        </w:tc>
        <w:tc>
          <w:tcPr>
            <w:tcW w:w="1258" w:type="dxa"/>
          </w:tcPr>
          <w:p w14:paraId="4A1019E3" w14:textId="77777777" w:rsidR="004C6717" w:rsidRPr="00E0308F" w:rsidRDefault="004C6717" w:rsidP="00682CBF">
            <w:pPr>
              <w:tabs>
                <w:tab w:val="left" w:pos="3869"/>
              </w:tabs>
              <w:jc w:val="center"/>
              <w:rPr>
                <w:rFonts w:ascii="Times New Roman" w:hAnsi="Times New Roman" w:cs="Times New Roman"/>
                <w:color w:val="000000" w:themeColor="text1"/>
              </w:rPr>
            </w:pPr>
            <w:r w:rsidRPr="00E0308F">
              <w:rPr>
                <w:rFonts w:ascii="Times New Roman" w:hAnsi="Times New Roman" w:cs="Times New Roman"/>
                <w:color w:val="000000" w:themeColor="text1"/>
              </w:rPr>
              <w:t>17,163,545</w:t>
            </w:r>
          </w:p>
        </w:tc>
      </w:tr>
      <w:tr w:rsidR="00164238" w:rsidRPr="00E0308F" w14:paraId="003C4F87" w14:textId="77777777" w:rsidTr="00682CBF">
        <w:trPr>
          <w:trHeight w:val="85"/>
        </w:trPr>
        <w:tc>
          <w:tcPr>
            <w:tcW w:w="1235" w:type="dxa"/>
            <w:tcBorders>
              <w:bottom w:val="single" w:sz="4" w:space="0" w:color="auto"/>
            </w:tcBorders>
          </w:tcPr>
          <w:p w14:paraId="1E2EFFE7" w14:textId="77777777" w:rsidR="004C6717" w:rsidRPr="00E0308F" w:rsidRDefault="004C6717" w:rsidP="00682CBF">
            <w:pPr>
              <w:tabs>
                <w:tab w:val="left" w:pos="3869"/>
              </w:tabs>
              <w:rPr>
                <w:rFonts w:ascii="Times New Roman" w:hAnsi="Times New Roman" w:cs="Times New Roman"/>
                <w:b/>
                <w:bCs/>
                <w:color w:val="000000" w:themeColor="text1"/>
              </w:rPr>
            </w:pPr>
            <w:r w:rsidRPr="00E0308F">
              <w:rPr>
                <w:rFonts w:ascii="Times New Roman" w:hAnsi="Times New Roman" w:cs="Times New Roman"/>
                <w:color w:val="000000" w:themeColor="text1"/>
              </w:rPr>
              <w:t>İsveç</w:t>
            </w:r>
          </w:p>
        </w:tc>
        <w:tc>
          <w:tcPr>
            <w:tcW w:w="1871" w:type="dxa"/>
            <w:tcBorders>
              <w:bottom w:val="single" w:sz="4" w:space="0" w:color="auto"/>
            </w:tcBorders>
          </w:tcPr>
          <w:p w14:paraId="0C1BF479" w14:textId="77777777" w:rsidR="004C6717" w:rsidRPr="00E0308F" w:rsidRDefault="004C6717" w:rsidP="00682CBF">
            <w:pPr>
              <w:tabs>
                <w:tab w:val="left" w:pos="3869"/>
              </w:tabs>
              <w:jc w:val="center"/>
              <w:rPr>
                <w:rFonts w:ascii="Times New Roman" w:hAnsi="Times New Roman" w:cs="Times New Roman"/>
                <w:color w:val="000000" w:themeColor="text1"/>
              </w:rPr>
            </w:pPr>
            <w:r w:rsidRPr="00E0308F">
              <w:rPr>
                <w:rFonts w:ascii="Times New Roman" w:hAnsi="Times New Roman" w:cs="Times New Roman"/>
                <w:color w:val="000000" w:themeColor="text1"/>
              </w:rPr>
              <w:t>13</w:t>
            </w:r>
          </w:p>
        </w:tc>
        <w:tc>
          <w:tcPr>
            <w:tcW w:w="2431" w:type="dxa"/>
            <w:gridSpan w:val="2"/>
            <w:tcBorders>
              <w:bottom w:val="single" w:sz="4" w:space="0" w:color="auto"/>
            </w:tcBorders>
          </w:tcPr>
          <w:p w14:paraId="277E783C" w14:textId="77777777" w:rsidR="004C6717" w:rsidRPr="00E0308F" w:rsidRDefault="004C6717" w:rsidP="00682CBF">
            <w:pPr>
              <w:tabs>
                <w:tab w:val="left" w:pos="3869"/>
              </w:tabs>
              <w:jc w:val="center"/>
              <w:rPr>
                <w:rFonts w:ascii="Times New Roman" w:hAnsi="Times New Roman" w:cs="Times New Roman"/>
                <w:color w:val="000000" w:themeColor="text1"/>
              </w:rPr>
            </w:pPr>
            <w:r w:rsidRPr="00E0308F">
              <w:rPr>
                <w:rFonts w:ascii="Times New Roman" w:hAnsi="Times New Roman" w:cs="Times New Roman"/>
                <w:color w:val="000000" w:themeColor="text1"/>
              </w:rPr>
              <w:t>83,728</w:t>
            </w:r>
          </w:p>
        </w:tc>
        <w:tc>
          <w:tcPr>
            <w:tcW w:w="2291" w:type="dxa"/>
            <w:tcBorders>
              <w:bottom w:val="single" w:sz="4" w:space="0" w:color="auto"/>
            </w:tcBorders>
          </w:tcPr>
          <w:p w14:paraId="39D76B11" w14:textId="77777777" w:rsidR="004C6717" w:rsidRPr="00E0308F" w:rsidRDefault="004C6717" w:rsidP="00682CBF">
            <w:pPr>
              <w:tabs>
                <w:tab w:val="left" w:pos="3869"/>
              </w:tabs>
              <w:jc w:val="center"/>
              <w:rPr>
                <w:rFonts w:ascii="Times New Roman" w:hAnsi="Times New Roman" w:cs="Times New Roman"/>
                <w:color w:val="000000" w:themeColor="text1"/>
              </w:rPr>
            </w:pPr>
            <w:r w:rsidRPr="00E0308F">
              <w:rPr>
                <w:rFonts w:ascii="Times New Roman" w:hAnsi="Times New Roman" w:cs="Times New Roman"/>
                <w:color w:val="000000" w:themeColor="text1"/>
              </w:rPr>
              <w:t>1,340</w:t>
            </w:r>
          </w:p>
        </w:tc>
        <w:tc>
          <w:tcPr>
            <w:tcW w:w="1258" w:type="dxa"/>
            <w:tcBorders>
              <w:bottom w:val="single" w:sz="4" w:space="0" w:color="auto"/>
            </w:tcBorders>
          </w:tcPr>
          <w:p w14:paraId="183339C7" w14:textId="77777777" w:rsidR="004C6717" w:rsidRPr="00E0308F" w:rsidRDefault="004C6717" w:rsidP="00682CBF">
            <w:pPr>
              <w:tabs>
                <w:tab w:val="left" w:pos="3869"/>
              </w:tabs>
              <w:jc w:val="center"/>
              <w:rPr>
                <w:rFonts w:ascii="Times New Roman" w:hAnsi="Times New Roman" w:cs="Times New Roman"/>
                <w:color w:val="000000" w:themeColor="text1"/>
              </w:rPr>
            </w:pPr>
            <w:r w:rsidRPr="00E0308F">
              <w:rPr>
                <w:rFonts w:ascii="Times New Roman" w:hAnsi="Times New Roman" w:cs="Times New Roman"/>
                <w:color w:val="000000" w:themeColor="text1"/>
              </w:rPr>
              <w:t>10,147,504</w:t>
            </w:r>
          </w:p>
        </w:tc>
      </w:tr>
    </w:tbl>
    <w:p w14:paraId="24C3A56B" w14:textId="77777777" w:rsidR="004C6717" w:rsidRPr="00E0308F" w:rsidRDefault="004C6717" w:rsidP="004C6717">
      <w:pPr>
        <w:tabs>
          <w:tab w:val="left" w:pos="1037"/>
        </w:tabs>
        <w:spacing w:line="360" w:lineRule="auto"/>
        <w:rPr>
          <w:rFonts w:ascii="Times New Roman" w:hAnsi="Times New Roman" w:cs="Times New Roman"/>
          <w:color w:val="000000" w:themeColor="text1"/>
        </w:rPr>
      </w:pPr>
      <w:r w:rsidRPr="00E0308F">
        <w:rPr>
          <w:rFonts w:ascii="Times New Roman" w:hAnsi="Times New Roman" w:cs="Times New Roman"/>
          <w:i/>
          <w:iCs/>
          <w:color w:val="000000" w:themeColor="text1"/>
        </w:rPr>
        <w:t>Tablo 2</w:t>
      </w:r>
      <w:r w:rsidRPr="00E0308F">
        <w:rPr>
          <w:rFonts w:ascii="Times New Roman" w:hAnsi="Times New Roman" w:cs="Times New Roman"/>
          <w:color w:val="000000" w:themeColor="text1"/>
        </w:rPr>
        <w:t>: İncelenen Ülkelerin Covid-19 Salgını Sonuçları</w:t>
      </w:r>
    </w:p>
    <w:p w14:paraId="00ADB645" w14:textId="77777777" w:rsidR="004C6717" w:rsidRPr="00E0308F" w:rsidRDefault="004C6717" w:rsidP="004C6717">
      <w:pPr>
        <w:rPr>
          <w:rFonts w:ascii="Times New Roman" w:hAnsi="Times New Roman" w:cs="Times New Roman"/>
          <w:color w:val="000000" w:themeColor="text1"/>
        </w:rPr>
        <w:sectPr w:rsidR="004C6717" w:rsidRPr="00E0308F" w:rsidSect="00682CBF">
          <w:type w:val="continuous"/>
          <w:pgSz w:w="11906" w:h="16838"/>
          <w:pgMar w:top="1417" w:right="1417" w:bottom="1417" w:left="1417" w:header="709" w:footer="709" w:gutter="0"/>
          <w:cols w:space="708"/>
          <w:docGrid w:linePitch="360"/>
        </w:sectPr>
      </w:pPr>
    </w:p>
    <w:p w14:paraId="23362001" w14:textId="77777777" w:rsidR="004C6717" w:rsidRPr="00E0308F" w:rsidRDefault="004C6717" w:rsidP="004C6717">
      <w:pPr>
        <w:jc w:val="both"/>
        <w:rPr>
          <w:rFonts w:ascii="Times New Roman" w:hAnsi="Times New Roman" w:cs="Times New Roman"/>
          <w:color w:val="000000" w:themeColor="text1"/>
        </w:rPr>
      </w:pPr>
    </w:p>
    <w:p w14:paraId="6E767CE9" w14:textId="77777777" w:rsidR="004C6717" w:rsidRPr="00E0308F" w:rsidRDefault="004C6717" w:rsidP="004C6717">
      <w:pPr>
        <w:spacing w:line="276" w:lineRule="auto"/>
        <w:jc w:val="both"/>
        <w:rPr>
          <w:rFonts w:ascii="Times New Roman" w:hAnsi="Times New Roman" w:cs="Times New Roman"/>
          <w:color w:val="000000" w:themeColor="text1"/>
        </w:rPr>
      </w:pPr>
      <w:r w:rsidRPr="00E0308F">
        <w:rPr>
          <w:rFonts w:ascii="Times New Roman" w:hAnsi="Times New Roman" w:cs="Times New Roman"/>
          <w:color w:val="000000" w:themeColor="text1"/>
        </w:rPr>
        <w:t>hem bu iki kategoride hem de birbirleriyle olan kıyaslamalarında anlamlı bir farklılık bulunmamış, üstelik paralellikler tespit edilmiştir. Örneğin belirsizlikten kaçınmaya bu altı ülkede dünya ortalamasından daha az değer verilmiş, fakat gerçekleşme oranları dünya ortalamasından daha yüksek olmuştur. Ayrıca grup içi kolektivizm için diğer ülkeler bu altı ülkeden hem arzu edilen hem de gerçekleşen değerler için daha yüksek oranlara sahiptir.</w:t>
      </w:r>
    </w:p>
    <w:p w14:paraId="52A2E4FA" w14:textId="77777777" w:rsidR="004C6717" w:rsidRPr="00E0308F" w:rsidRDefault="004C6717" w:rsidP="004C6717">
      <w:pPr>
        <w:spacing w:line="276" w:lineRule="auto"/>
        <w:ind w:firstLine="567"/>
        <w:jc w:val="both"/>
        <w:rPr>
          <w:rFonts w:ascii="Times New Roman" w:hAnsi="Times New Roman" w:cs="Times New Roman"/>
          <w:color w:val="000000" w:themeColor="text1"/>
        </w:rPr>
      </w:pPr>
      <w:r w:rsidRPr="00E0308F">
        <w:rPr>
          <w:rFonts w:ascii="Times New Roman" w:hAnsi="Times New Roman" w:cs="Times New Roman"/>
          <w:color w:val="000000" w:themeColor="text1"/>
        </w:rPr>
        <w:t>Tablo 2’yi incelediğimizde, bu altı ülkenin 48 Avrupa ülkesi arasında toplam vaka sayılarında ilk 18’de olduğu, aynı zamanda bu devletlerin vaka ve ölüm sayılarının birbirlerine yakın olduğu görülmektedir. Ayrıca Dünya Sağlık Örgütü verilerine göre, toplam vaka sayıları</w:t>
      </w:r>
      <w:r w:rsidRPr="00E0308F">
        <w:rPr>
          <w:rStyle w:val="Kpr"/>
          <w:rFonts w:ascii="Times New Roman" w:hAnsi="Times New Roman" w:cs="Times New Roman"/>
          <w:color w:val="000000" w:themeColor="text1"/>
        </w:rPr>
        <w:footnoteReference w:id="5"/>
      </w:r>
      <w:r w:rsidRPr="00E0308F">
        <w:rPr>
          <w:rFonts w:ascii="Times New Roman" w:hAnsi="Times New Roman" w:cs="Times New Roman"/>
          <w:color w:val="000000" w:themeColor="text1"/>
        </w:rPr>
        <w:t xml:space="preserve"> içinde bu ülkelerden Fransa (</w:t>
      </w:r>
      <w:r w:rsidRPr="00E0308F">
        <w:rPr>
          <w:rFonts w:ascii="Times New Roman" w:hAnsi="Times New Roman" w:cs="Times New Roman"/>
          <w:i/>
          <w:iCs/>
          <w:color w:val="000000" w:themeColor="text1"/>
        </w:rPr>
        <w:t>4. sırada</w:t>
      </w:r>
      <w:r w:rsidRPr="00E0308F">
        <w:rPr>
          <w:rFonts w:ascii="Times New Roman" w:hAnsi="Times New Roman" w:cs="Times New Roman"/>
          <w:color w:val="000000" w:themeColor="text1"/>
        </w:rPr>
        <w:t>), Almanya (</w:t>
      </w:r>
      <w:r w:rsidRPr="00E0308F">
        <w:rPr>
          <w:rFonts w:ascii="Times New Roman" w:hAnsi="Times New Roman" w:cs="Times New Roman"/>
          <w:i/>
          <w:iCs/>
          <w:color w:val="000000" w:themeColor="text1"/>
        </w:rPr>
        <w:t>10. sırada</w:t>
      </w:r>
      <w:r w:rsidRPr="00E0308F">
        <w:rPr>
          <w:rFonts w:ascii="Times New Roman" w:hAnsi="Times New Roman" w:cs="Times New Roman"/>
          <w:color w:val="000000" w:themeColor="text1"/>
        </w:rPr>
        <w:t>) ve İngiltere (</w:t>
      </w:r>
      <w:r w:rsidRPr="00E0308F">
        <w:rPr>
          <w:rFonts w:ascii="Times New Roman" w:hAnsi="Times New Roman" w:cs="Times New Roman"/>
          <w:i/>
          <w:iCs/>
          <w:color w:val="000000" w:themeColor="text1"/>
        </w:rPr>
        <w:t>6. sırada</w:t>
      </w:r>
      <w:r w:rsidRPr="00E0308F">
        <w:rPr>
          <w:rFonts w:ascii="Times New Roman" w:hAnsi="Times New Roman" w:cs="Times New Roman"/>
          <w:color w:val="000000" w:themeColor="text1"/>
        </w:rPr>
        <w:t>)</w:t>
      </w:r>
      <w:r w:rsidRPr="00E0308F">
        <w:rPr>
          <w:rStyle w:val="Kpr"/>
          <w:rFonts w:ascii="Times New Roman" w:hAnsi="Times New Roman" w:cs="Times New Roman"/>
          <w:color w:val="000000" w:themeColor="text1"/>
        </w:rPr>
        <w:footnoteReference w:id="6"/>
      </w:r>
      <w:r w:rsidRPr="00E0308F">
        <w:rPr>
          <w:rFonts w:ascii="Times New Roman" w:hAnsi="Times New Roman" w:cs="Times New Roman"/>
          <w:color w:val="000000" w:themeColor="text1"/>
        </w:rPr>
        <w:t xml:space="preserve"> dünyadaki ilk on ülke arasındayken</w:t>
      </w:r>
      <w:r w:rsidRPr="00E0308F">
        <w:rPr>
          <w:rStyle w:val="Kpr"/>
          <w:rFonts w:ascii="Times New Roman" w:hAnsi="Times New Roman" w:cs="Times New Roman"/>
          <w:color w:val="000000" w:themeColor="text1"/>
        </w:rPr>
        <w:footnoteReference w:id="7"/>
      </w:r>
      <w:r w:rsidRPr="00E0308F">
        <w:rPr>
          <w:rFonts w:ascii="Times New Roman" w:hAnsi="Times New Roman" w:cs="Times New Roman"/>
          <w:color w:val="000000" w:themeColor="text1"/>
        </w:rPr>
        <w:t>, İnsani Gelişmişlik İndeksi (</w:t>
      </w:r>
      <w:r w:rsidRPr="00E0308F">
        <w:rPr>
          <w:rFonts w:ascii="Times New Roman" w:hAnsi="Times New Roman" w:cs="Times New Roman"/>
          <w:i/>
          <w:iCs/>
          <w:color w:val="000000" w:themeColor="text1"/>
        </w:rPr>
        <w:t>Human Development Index</w:t>
      </w:r>
      <w:r w:rsidRPr="00E0308F">
        <w:rPr>
          <w:rFonts w:ascii="Times New Roman" w:hAnsi="Times New Roman" w:cs="Times New Roman"/>
          <w:color w:val="000000" w:themeColor="text1"/>
        </w:rPr>
        <w:t xml:space="preserve">) 2020 yılı sıralamasında 189 ülke arasından Fransa yirmi altıncı, Almanya on sekizinci, İngiltere ise on üçüncü sırada yer almaktadır. Bu sayıları Tablo 1’deki değerlerle kıyasladığımıza, salgın sonuçları ile beş parametre vasıtasıyla ölçtüğümüz ülkelerin değerleri ve pratikleri arasında kapsayıcı bir ilişki bulunamamıştır. Bazı nüanslar dışında ele aldığımız bu ülkelerin kurumsal değerleri ve uygulamaları aynı yönde bir eğilimi ortaya koymuştur. Bununla birlikte vaka ve ölüm oranları arasındaki benzerlikler de salgın sonuçlarının gelişmişlikle ve bu ülkelerin değerleri ve uygulamalarıyla ters orantılı bir bağlantıyı göstermektedir. Tüm salgın sürecindeki başarısızlığı açıklamasa da sadece grup içi kolektivizm -yani toplumda birlikte yaşadığımız diğer insanları da düşünerek onlara karşı sorumluluk hissetme- kriterinin bu altı gelişmiş ülkenin uygulamasında açık bir şekilde düşük kaldığı saptanmaktadır. </w:t>
      </w:r>
    </w:p>
    <w:p w14:paraId="4E372376" w14:textId="77777777" w:rsidR="004C6717" w:rsidRPr="00E0308F" w:rsidRDefault="004C6717" w:rsidP="004C6717">
      <w:pPr>
        <w:spacing w:line="276" w:lineRule="auto"/>
        <w:ind w:firstLine="567"/>
        <w:contextualSpacing/>
        <w:rPr>
          <w:rFonts w:ascii="Times New Roman" w:eastAsia="Calibri" w:hAnsi="Times New Roman" w:cs="Times New Roman"/>
          <w:b/>
          <w:color w:val="000000" w:themeColor="text1"/>
          <w:lang w:val="en-GB"/>
        </w:rPr>
      </w:pPr>
      <w:r w:rsidRPr="00E0308F">
        <w:rPr>
          <w:rFonts w:ascii="Times New Roman" w:eastAsia="Calibri" w:hAnsi="Times New Roman" w:cs="Times New Roman"/>
          <w:b/>
          <w:color w:val="000000" w:themeColor="text1"/>
          <w:lang w:val="en-GB"/>
        </w:rPr>
        <w:t>SONUÇ</w:t>
      </w:r>
    </w:p>
    <w:p w14:paraId="34583B23" w14:textId="77777777" w:rsidR="004C6717" w:rsidRPr="00E0308F" w:rsidRDefault="004C6717" w:rsidP="004C6717">
      <w:pPr>
        <w:spacing w:line="276" w:lineRule="auto"/>
        <w:ind w:firstLine="567"/>
        <w:jc w:val="both"/>
        <w:rPr>
          <w:rFonts w:ascii="Times New Roman" w:hAnsi="Times New Roman" w:cs="Times New Roman"/>
          <w:color w:val="000000" w:themeColor="text1"/>
        </w:rPr>
      </w:pPr>
      <w:r w:rsidRPr="00E0308F">
        <w:rPr>
          <w:rFonts w:ascii="Times New Roman" w:hAnsi="Times New Roman" w:cs="Times New Roman"/>
          <w:color w:val="000000" w:themeColor="text1"/>
        </w:rPr>
        <w:t xml:space="preserve">Bu çalışma, araştırma boyunca incelenen devletlerin kültürel değerlerinin ve bu ülkelerin insanlarının değerleri uygulama tarzlarının, salgın sürecinin yönetimiyle bağlantılı olup olmadığını analiz etmeyi amaçlamaktadır. Bu amaçla kırk sekiz Avrupa ülkesi arasından seçilen altı ülke, Anglo-Sakson ve Germanik devlet geleneği şeklinde iki kategoride incelenmektedir. İlk kategorideki ülkeler olan İngiltere, İsveç ve Hollanda, yukarıda detaylı olarak bahsedildiği gibi yönetim alanı iyileştirmeye açık, esnek, adapte edilebilir ve vatandaş odaklı anlayışa sahip olan Avrupa ülkelerinin başında gelmektedir. İkinci kategoride yer alan Almanya, Fransa ve Avusturya ise Germanik idari geleneği sürdüren, yönetsel yapıları istikrarlı, ağır ama emin adımlarla ilerleyen ve hukuk kurallarının sınırlarının keskin bir şekilde çizildiği devletlerdir. </w:t>
      </w:r>
    </w:p>
    <w:p w14:paraId="37E17C51" w14:textId="77777777" w:rsidR="004C6717" w:rsidRPr="00E0308F" w:rsidRDefault="004C6717" w:rsidP="004C6717">
      <w:pPr>
        <w:spacing w:line="276" w:lineRule="auto"/>
        <w:ind w:firstLine="567"/>
        <w:jc w:val="both"/>
        <w:rPr>
          <w:rFonts w:ascii="Times New Roman" w:hAnsi="Times New Roman" w:cs="Times New Roman"/>
          <w:color w:val="000000" w:themeColor="text1"/>
        </w:rPr>
      </w:pPr>
      <w:r w:rsidRPr="00E0308F">
        <w:rPr>
          <w:rFonts w:ascii="Times New Roman" w:hAnsi="Times New Roman" w:cs="Times New Roman"/>
          <w:color w:val="000000" w:themeColor="text1"/>
        </w:rPr>
        <w:t xml:space="preserve">Öncelikli olarak altı ülkenin de Covid-19 salgınında vaka ve ölüm oranlarının birbirine yakın olduğu, bu oranların da dünya ve Avrupa ortalamalarının üzerinde olduğu saptanmıştır. Salgın sürecini tecrübe eden bu ülkelerin yönetsel yapıları ile vaka ve ölüm oranları arasındaki ilişkiye bakıldığında ise altı devlet arasında doğrudan bir farklılık görülmemektedir. İncelenen ülkelerin kültürel değerleri ve salgın sonuçlarının ilişkisi dünyadaki diğer devletlerle </w:t>
      </w:r>
      <w:r w:rsidRPr="00E0308F">
        <w:rPr>
          <w:rFonts w:ascii="Times New Roman" w:hAnsi="Times New Roman" w:cs="Times New Roman"/>
          <w:color w:val="000000" w:themeColor="text1"/>
        </w:rPr>
        <w:lastRenderedPageBreak/>
        <w:t>kıyaslandığında, tüm kriterlerde daha iyi uygulama örnekleri gösteren bu ülkeler, kurumlara, topluma bağlılık ve duyarlılık anlamında dünya ortalamasının gerisinde kalmaktadırlar.</w:t>
      </w:r>
    </w:p>
    <w:p w14:paraId="606AF7A8" w14:textId="77777777" w:rsidR="004C6717" w:rsidRPr="00E0308F" w:rsidRDefault="004C6717" w:rsidP="004C6717">
      <w:pPr>
        <w:spacing w:line="276" w:lineRule="auto"/>
        <w:ind w:firstLine="567"/>
        <w:jc w:val="both"/>
        <w:rPr>
          <w:rFonts w:ascii="Times New Roman" w:hAnsi="Times New Roman" w:cs="Times New Roman"/>
          <w:color w:val="000000" w:themeColor="text1"/>
        </w:rPr>
      </w:pPr>
      <w:r w:rsidRPr="00E0308F">
        <w:rPr>
          <w:rFonts w:ascii="Times New Roman" w:hAnsi="Times New Roman" w:cs="Times New Roman"/>
          <w:color w:val="000000" w:themeColor="text1"/>
        </w:rPr>
        <w:t xml:space="preserve">Bununla birlikte incelenen veriler her ülke için farklı parametrelerde zayıflık ya da güçlülük tespit etmiştir. Örneğin, Almanya’da toplumun genelini önemseme ve diğerkâm olma üzerinde temellenen insancıl yönelim düşük oranda görülürken, toplumsal ve örgütsel kurumlarda ortaklaşa hareket etme ile ilişkilendirilen kurumsal kolektivizmin hem Almanya hem de Fransa’daki uygulamaları sınırlıdır. Diğer taraftan, İsveç’te, bireylerin örgütler ve gruplarla bağlılık ve sadakat çerçevesinde ilişki kurmasını içeren grup içi kolektivizmin değer-pratik uyumunun ise diğerlerine oranla düşük olduğu görülmüştür.  Diğer bir deyişle, Almanya’da insancıl yönelimin ve kurumsal kolektivizmin, Fransa’da kurumsal kolektivizmin ve de İsveç’te grup içi kolektivizmin artırılmasının salgın sürecinin yönetimini etkileyebileceği üzerinde bir çıkarım yapılabilir, dolayısıyla gelecek benzer çalışmalarda bu husus gözönünde bulundurulabilir. </w:t>
      </w:r>
    </w:p>
    <w:p w14:paraId="02ABC5C5" w14:textId="77777777" w:rsidR="004C6717" w:rsidRPr="00E0308F" w:rsidRDefault="004C6717" w:rsidP="004C6717">
      <w:pPr>
        <w:spacing w:line="276" w:lineRule="auto"/>
        <w:ind w:firstLine="567"/>
        <w:jc w:val="both"/>
        <w:rPr>
          <w:rFonts w:ascii="Times New Roman" w:hAnsi="Times New Roman" w:cs="Times New Roman"/>
          <w:color w:val="000000" w:themeColor="text1"/>
        </w:rPr>
      </w:pPr>
      <w:r w:rsidRPr="00E0308F">
        <w:rPr>
          <w:rFonts w:ascii="Times New Roman" w:hAnsi="Times New Roman" w:cs="Times New Roman"/>
          <w:color w:val="000000" w:themeColor="text1"/>
        </w:rPr>
        <w:t xml:space="preserve">Bir diğer analiz sonucu ise değer skorlarının Germanik ülkelerde, uygulama skorlarının ise Anglo-Sakson ülkelerinde yüksek olmasıdır. Bu analizden çıkartılabilecek en genel sonuç, Almanya, Fransa &amp; Avusturya’nın beklenen performansın altında kalması ve İngiltere, Hollanda &amp; İsveç’in ise kendilerine atfedilen değerlerden daha iyi uygulama performansı göstermeleridir. </w:t>
      </w:r>
    </w:p>
    <w:p w14:paraId="12CED2F6" w14:textId="77777777" w:rsidR="004C6717" w:rsidRPr="00E0308F" w:rsidRDefault="004C6717" w:rsidP="004C6717">
      <w:pPr>
        <w:spacing w:line="276" w:lineRule="auto"/>
        <w:ind w:firstLine="567"/>
        <w:jc w:val="both"/>
        <w:rPr>
          <w:rFonts w:ascii="Times New Roman" w:hAnsi="Times New Roman" w:cs="Times New Roman"/>
          <w:b/>
          <w:bCs/>
          <w:color w:val="000000" w:themeColor="text1"/>
        </w:rPr>
      </w:pPr>
      <w:r w:rsidRPr="00E0308F">
        <w:rPr>
          <w:rFonts w:ascii="Times New Roman" w:hAnsi="Times New Roman" w:cs="Times New Roman"/>
          <w:b/>
          <w:bCs/>
          <w:color w:val="000000" w:themeColor="text1"/>
        </w:rPr>
        <w:t>ÖNERİLER</w:t>
      </w:r>
    </w:p>
    <w:p w14:paraId="237FEA48" w14:textId="77777777" w:rsidR="004C6717" w:rsidRPr="00E0308F" w:rsidRDefault="004C6717" w:rsidP="004C6717">
      <w:pPr>
        <w:spacing w:line="276" w:lineRule="auto"/>
        <w:ind w:firstLine="567"/>
        <w:jc w:val="both"/>
        <w:rPr>
          <w:rFonts w:ascii="Times New Roman" w:hAnsi="Times New Roman" w:cs="Times New Roman"/>
          <w:b/>
          <w:color w:val="000000" w:themeColor="text1"/>
        </w:rPr>
      </w:pPr>
      <w:r w:rsidRPr="00E0308F">
        <w:rPr>
          <w:rFonts w:ascii="Times New Roman" w:hAnsi="Times New Roman" w:cs="Times New Roman"/>
          <w:color w:val="000000" w:themeColor="text1"/>
        </w:rPr>
        <w:t>Sonuç bölümünde yapılan tüm çıkarımlar ile salgın sürecinin sonuçları ve başarısı arasında doğrudan bir nedensellik kurulamasa da salgın yönetimi ve idari yapıların muhtemelen ilişkisini alanyazında ilk olarak analiz eden mevcut çalışma, bundan sonra yapılacak araştırmalar için bir referans olarak görülebilir. Gelecek çalışmalarda farklı gelişmişlik düzeyindeki ülkeler ya da salgın yönetimi konusunda tecrübeli olan ve olmayan ülkeler arasında bir kıyaslama yapılarak bu çalışma genişletilebilir.</w:t>
      </w:r>
      <w:r w:rsidRPr="00E0308F">
        <w:rPr>
          <w:rFonts w:ascii="Times New Roman" w:hAnsi="Times New Roman" w:cs="Times New Roman"/>
          <w:b/>
          <w:color w:val="000000" w:themeColor="text1"/>
        </w:rPr>
        <w:t xml:space="preserve"> </w:t>
      </w:r>
    </w:p>
    <w:p w14:paraId="7D4B9E80" w14:textId="77777777" w:rsidR="004C6717" w:rsidRPr="00164238" w:rsidRDefault="004C6717" w:rsidP="004C6717">
      <w:pPr>
        <w:spacing w:line="276" w:lineRule="auto"/>
        <w:jc w:val="center"/>
        <w:rPr>
          <w:rFonts w:ascii="Times New Roman" w:hAnsi="Times New Roman" w:cs="Times New Roman"/>
          <w:b/>
          <w:color w:val="000000" w:themeColor="text1"/>
          <w:sz w:val="20"/>
          <w:szCs w:val="20"/>
        </w:rPr>
      </w:pPr>
    </w:p>
    <w:p w14:paraId="590C863D" w14:textId="7ADF1E2E" w:rsidR="004C6717" w:rsidRPr="00164238" w:rsidRDefault="00C95516" w:rsidP="004C6717">
      <w:pPr>
        <w:spacing w:line="276" w:lineRule="auto"/>
        <w:ind w:firstLine="567"/>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Kaynakça</w:t>
      </w:r>
    </w:p>
    <w:p w14:paraId="5086C82C" w14:textId="77777777" w:rsidR="004C6717" w:rsidRPr="00164238" w:rsidRDefault="004C6717" w:rsidP="004C6717">
      <w:pPr>
        <w:spacing w:line="276" w:lineRule="auto"/>
        <w:ind w:left="567" w:hanging="426"/>
        <w:jc w:val="both"/>
        <w:rPr>
          <w:rFonts w:ascii="Times New Roman" w:eastAsia="Calibri" w:hAnsi="Times New Roman" w:cs="Times New Roman"/>
          <w:color w:val="000000" w:themeColor="text1"/>
          <w:sz w:val="20"/>
          <w:szCs w:val="20"/>
          <w:lang w:val="en-GB"/>
        </w:rPr>
      </w:pPr>
      <w:r w:rsidRPr="00164238">
        <w:rPr>
          <w:rFonts w:ascii="Times New Roman" w:eastAsia="Calibri" w:hAnsi="Times New Roman" w:cs="Times New Roman"/>
          <w:color w:val="000000" w:themeColor="text1"/>
          <w:sz w:val="20"/>
          <w:szCs w:val="20"/>
          <w:lang w:val="en-GB"/>
        </w:rPr>
        <w:t xml:space="preserve">Andrews, R., </w:t>
      </w:r>
      <w:bookmarkStart w:id="51" w:name="_Hlk69607881"/>
      <w:r w:rsidRPr="00164238">
        <w:rPr>
          <w:rFonts w:ascii="Times New Roman" w:eastAsia="Calibri" w:hAnsi="Times New Roman" w:cs="Times New Roman"/>
          <w:color w:val="000000" w:themeColor="text1"/>
          <w:sz w:val="20"/>
          <w:szCs w:val="20"/>
          <w:lang w:val="en-GB"/>
        </w:rPr>
        <w:t>Boyne, G. A., Law, J., &amp; Walker</w:t>
      </w:r>
      <w:bookmarkEnd w:id="51"/>
      <w:r w:rsidRPr="00164238">
        <w:rPr>
          <w:rFonts w:ascii="Times New Roman" w:eastAsia="Calibri" w:hAnsi="Times New Roman" w:cs="Times New Roman"/>
          <w:color w:val="000000" w:themeColor="text1"/>
          <w:sz w:val="20"/>
          <w:szCs w:val="20"/>
          <w:lang w:val="en-GB"/>
        </w:rPr>
        <w:t xml:space="preserve">, R. M. (2011). Strategy Implementation and Public Service Performance. </w:t>
      </w:r>
      <w:r w:rsidRPr="00164238">
        <w:rPr>
          <w:rFonts w:ascii="Times New Roman" w:eastAsia="Calibri" w:hAnsi="Times New Roman" w:cs="Times New Roman"/>
          <w:i/>
          <w:color w:val="000000" w:themeColor="text1"/>
          <w:sz w:val="20"/>
          <w:szCs w:val="20"/>
          <w:lang w:val="en-GB"/>
        </w:rPr>
        <w:t>Administrative Society</w:t>
      </w:r>
      <w:r w:rsidRPr="00164238">
        <w:rPr>
          <w:rFonts w:ascii="Times New Roman" w:eastAsia="Calibri" w:hAnsi="Times New Roman" w:cs="Times New Roman"/>
          <w:color w:val="000000" w:themeColor="text1"/>
          <w:sz w:val="20"/>
          <w:szCs w:val="20"/>
          <w:lang w:val="en-GB"/>
        </w:rPr>
        <w:t>, 43 (6), 643-671.</w:t>
      </w:r>
    </w:p>
    <w:p w14:paraId="5DBA1D0B" w14:textId="77777777" w:rsidR="004C6717" w:rsidRPr="00164238" w:rsidRDefault="004C6717" w:rsidP="004C6717">
      <w:pPr>
        <w:spacing w:line="276" w:lineRule="auto"/>
        <w:ind w:left="567" w:hanging="426"/>
        <w:jc w:val="both"/>
        <w:rPr>
          <w:rFonts w:ascii="Times New Roman" w:eastAsia="Calibri" w:hAnsi="Times New Roman" w:cs="Times New Roman"/>
          <w:color w:val="000000" w:themeColor="text1"/>
          <w:sz w:val="20"/>
          <w:szCs w:val="20"/>
          <w:lang w:val="en-GB"/>
        </w:rPr>
      </w:pPr>
      <w:r w:rsidRPr="00164238">
        <w:rPr>
          <w:rFonts w:ascii="Times New Roman" w:eastAsia="Calibri" w:hAnsi="Times New Roman" w:cs="Times New Roman"/>
          <w:color w:val="000000" w:themeColor="text1"/>
          <w:sz w:val="20"/>
          <w:szCs w:val="20"/>
          <w:lang w:val="en-GB"/>
        </w:rPr>
        <w:t xml:space="preserve">Barzeley, M. (1992). </w:t>
      </w:r>
      <w:r w:rsidRPr="00164238">
        <w:rPr>
          <w:rFonts w:ascii="Times New Roman" w:eastAsia="Calibri" w:hAnsi="Times New Roman" w:cs="Times New Roman"/>
          <w:i/>
          <w:iCs/>
          <w:color w:val="000000" w:themeColor="text1"/>
          <w:sz w:val="20"/>
          <w:szCs w:val="20"/>
          <w:lang w:val="en-GB"/>
        </w:rPr>
        <w:t xml:space="preserve">Breaking Through Bureaucracy: A New Vision for Managing in Government. </w:t>
      </w:r>
      <w:r w:rsidRPr="00164238">
        <w:rPr>
          <w:rFonts w:ascii="Times New Roman" w:eastAsia="Calibri" w:hAnsi="Times New Roman" w:cs="Times New Roman"/>
          <w:color w:val="000000" w:themeColor="text1"/>
          <w:sz w:val="20"/>
          <w:szCs w:val="20"/>
          <w:lang w:val="en-GB"/>
        </w:rPr>
        <w:t>Minessota: University of California.</w:t>
      </w:r>
    </w:p>
    <w:p w14:paraId="47F91FC3" w14:textId="77777777" w:rsidR="004C6717" w:rsidRPr="00164238" w:rsidRDefault="004C6717" w:rsidP="004C6717">
      <w:pPr>
        <w:spacing w:line="276" w:lineRule="auto"/>
        <w:ind w:left="567" w:hanging="426"/>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GB"/>
        </w:rPr>
        <w:t xml:space="preserve">Benz, A., &amp; Goetz, K. H. (1996). </w:t>
      </w:r>
      <w:r w:rsidRPr="00164238">
        <w:rPr>
          <w:rFonts w:ascii="Times New Roman" w:eastAsia="Calibri" w:hAnsi="Times New Roman" w:cs="Times New Roman"/>
          <w:color w:val="000000" w:themeColor="text1"/>
          <w:sz w:val="20"/>
          <w:szCs w:val="20"/>
        </w:rPr>
        <w:t xml:space="preserve">The German Public Sector: National Priorities and the International Reform Agenda, Arthur Benz., Klaus Goetz (Ed.), </w:t>
      </w:r>
      <w:r w:rsidRPr="00164238">
        <w:rPr>
          <w:rFonts w:ascii="Times New Roman" w:eastAsia="Calibri" w:hAnsi="Times New Roman" w:cs="Times New Roman"/>
          <w:i/>
          <w:iCs/>
          <w:color w:val="000000" w:themeColor="text1"/>
          <w:sz w:val="20"/>
          <w:szCs w:val="20"/>
        </w:rPr>
        <w:t xml:space="preserve">A New German Public Sector? Reform, Adaptation and Stability </w:t>
      </w:r>
      <w:r w:rsidRPr="00164238">
        <w:rPr>
          <w:rFonts w:ascii="Times New Roman" w:eastAsia="Calibri" w:hAnsi="Times New Roman" w:cs="Times New Roman"/>
          <w:color w:val="000000" w:themeColor="text1"/>
          <w:sz w:val="20"/>
          <w:szCs w:val="20"/>
        </w:rPr>
        <w:t>içinde (s. 1-26). Aldershot: Dartmouth.</w:t>
      </w:r>
    </w:p>
    <w:p w14:paraId="3B4463D7" w14:textId="77777777" w:rsidR="004C6717" w:rsidRPr="00164238" w:rsidRDefault="004C6717" w:rsidP="004C6717">
      <w:pPr>
        <w:spacing w:line="276" w:lineRule="auto"/>
        <w:ind w:left="567" w:hanging="426"/>
        <w:jc w:val="both"/>
        <w:rPr>
          <w:rFonts w:ascii="Times New Roman" w:hAnsi="Times New Roman" w:cs="Times New Roman"/>
          <w:color w:val="000000" w:themeColor="text1"/>
          <w:sz w:val="20"/>
          <w:szCs w:val="20"/>
          <w:lang w:val="en-GB"/>
        </w:rPr>
      </w:pPr>
      <w:bookmarkStart w:id="52" w:name="_Hlk67236808"/>
      <w:r w:rsidRPr="00164238">
        <w:rPr>
          <w:rFonts w:ascii="Times New Roman" w:hAnsi="Times New Roman" w:cs="Times New Roman"/>
          <w:color w:val="000000" w:themeColor="text1"/>
          <w:sz w:val="20"/>
          <w:szCs w:val="20"/>
          <w:lang w:val="en-GB"/>
        </w:rPr>
        <w:t xml:space="preserve">Bezes, P., &amp; Jeannot, G. (2016). From Smooth NPMization to Structural Changes in France: Accelerated Reforms, Mixed Perceptions. Steven Van de Walle, Rhys Andrews, &amp; Philippe Bezes (Ed.), </w:t>
      </w:r>
      <w:r w:rsidRPr="00164238">
        <w:rPr>
          <w:rFonts w:ascii="Times New Roman" w:hAnsi="Times New Roman" w:cs="Times New Roman"/>
          <w:i/>
          <w:iCs/>
          <w:color w:val="000000" w:themeColor="text1"/>
          <w:sz w:val="20"/>
          <w:szCs w:val="20"/>
          <w:lang w:val="en-GB"/>
        </w:rPr>
        <w:t>Public Administration Reforms in Europe: The View from the Top</w:t>
      </w:r>
      <w:r w:rsidRPr="00164238">
        <w:rPr>
          <w:rFonts w:ascii="Times New Roman" w:hAnsi="Times New Roman" w:cs="Times New Roman"/>
          <w:color w:val="000000" w:themeColor="text1"/>
          <w:sz w:val="20"/>
          <w:szCs w:val="20"/>
          <w:lang w:val="en-GB"/>
        </w:rPr>
        <w:t xml:space="preserve"> içinde. (s. 52-62). UK: Edward Elgar.</w:t>
      </w:r>
    </w:p>
    <w:p w14:paraId="49B70D71" w14:textId="77777777" w:rsidR="004C6717" w:rsidRPr="00A40273" w:rsidRDefault="004C6717" w:rsidP="004C6717">
      <w:pPr>
        <w:spacing w:line="276" w:lineRule="auto"/>
        <w:ind w:left="567" w:hanging="426"/>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Bouckaert, G., Nemec, J., Nakrošis, V., Hajnal, G., &amp; Tõnnisson, K. (Ed.) (2008). </w:t>
      </w:r>
      <w:r w:rsidRPr="00164238">
        <w:rPr>
          <w:rFonts w:ascii="Times New Roman" w:hAnsi="Times New Roman" w:cs="Times New Roman"/>
          <w:i/>
          <w:iCs/>
          <w:color w:val="000000" w:themeColor="text1"/>
          <w:sz w:val="20"/>
          <w:szCs w:val="20"/>
        </w:rPr>
        <w:t xml:space="preserve">Public Management Reforms in </w:t>
      </w:r>
      <w:r w:rsidRPr="00A40273">
        <w:rPr>
          <w:rFonts w:ascii="Times New Roman" w:hAnsi="Times New Roman" w:cs="Times New Roman"/>
          <w:i/>
          <w:iCs/>
          <w:color w:val="000000" w:themeColor="text1"/>
          <w:sz w:val="20"/>
          <w:szCs w:val="20"/>
        </w:rPr>
        <w:t>Central and Eastern Europe,</w:t>
      </w:r>
      <w:r w:rsidRPr="00A40273">
        <w:rPr>
          <w:rFonts w:ascii="Times New Roman" w:hAnsi="Times New Roman" w:cs="Times New Roman"/>
          <w:color w:val="000000" w:themeColor="text1"/>
          <w:sz w:val="20"/>
          <w:szCs w:val="20"/>
        </w:rPr>
        <w:t xml:space="preserve"> Bratislava: NISPAcee.</w:t>
      </w:r>
    </w:p>
    <w:p w14:paraId="0E8B75D4" w14:textId="77777777" w:rsidR="004C6717" w:rsidRPr="00A40273" w:rsidRDefault="004C6717" w:rsidP="004C6717">
      <w:pPr>
        <w:spacing w:line="276" w:lineRule="auto"/>
        <w:ind w:left="567" w:hanging="426"/>
        <w:jc w:val="both"/>
        <w:rPr>
          <w:rFonts w:ascii="Times New Roman" w:hAnsi="Times New Roman" w:cs="Times New Roman"/>
          <w:color w:val="000000" w:themeColor="text1"/>
          <w:sz w:val="20"/>
          <w:szCs w:val="20"/>
          <w:lang w:val="en-GB"/>
        </w:rPr>
      </w:pPr>
      <w:r w:rsidRPr="00A40273">
        <w:rPr>
          <w:rFonts w:ascii="Times New Roman" w:hAnsi="Times New Roman" w:cs="Times New Roman"/>
          <w:color w:val="000000" w:themeColor="text1"/>
          <w:sz w:val="20"/>
          <w:szCs w:val="20"/>
          <w:lang w:val="en-GB"/>
        </w:rPr>
        <w:lastRenderedPageBreak/>
        <w:t xml:space="preserve">Christensen, T., &amp; Lwogreid, P. (1998). Administrative Reform Policy: The Case of Norway. </w:t>
      </w:r>
      <w:r w:rsidRPr="00A40273">
        <w:rPr>
          <w:rFonts w:ascii="Times New Roman" w:hAnsi="Times New Roman" w:cs="Times New Roman"/>
          <w:i/>
          <w:iCs/>
          <w:color w:val="000000" w:themeColor="text1"/>
          <w:sz w:val="20"/>
          <w:szCs w:val="20"/>
          <w:lang w:val="en-GB"/>
        </w:rPr>
        <w:t>International Review of Administrative Sciences,</w:t>
      </w:r>
      <w:r w:rsidRPr="00A40273">
        <w:rPr>
          <w:rFonts w:ascii="Times New Roman" w:hAnsi="Times New Roman" w:cs="Times New Roman"/>
          <w:color w:val="000000" w:themeColor="text1"/>
          <w:sz w:val="20"/>
          <w:szCs w:val="20"/>
          <w:lang w:val="en-GB"/>
        </w:rPr>
        <w:t xml:space="preserve"> 64 (3). 457-475.     </w:t>
      </w:r>
      <w:hyperlink r:id="rId85" w:history="1">
        <w:r w:rsidRPr="00A40273">
          <w:rPr>
            <w:rStyle w:val="Balk1Char"/>
            <w:rFonts w:ascii="Times New Roman" w:eastAsiaTheme="minorHAnsi" w:hAnsi="Times New Roman" w:cs="Times New Roman"/>
            <w:color w:val="000000" w:themeColor="text1"/>
            <w:sz w:val="20"/>
            <w:szCs w:val="20"/>
            <w:lang w:val="en-GB"/>
          </w:rPr>
          <w:t>https://doi.org/10.1177/002085239806400308</w:t>
        </w:r>
      </w:hyperlink>
    </w:p>
    <w:p w14:paraId="17340E53" w14:textId="77777777" w:rsidR="004C6717" w:rsidRPr="00A40273" w:rsidRDefault="004C6717" w:rsidP="004C6717">
      <w:pPr>
        <w:spacing w:line="276" w:lineRule="auto"/>
        <w:ind w:left="567" w:hanging="426"/>
        <w:jc w:val="both"/>
        <w:rPr>
          <w:rFonts w:ascii="Times New Roman" w:hAnsi="Times New Roman" w:cs="Times New Roman"/>
          <w:bCs/>
          <w:color w:val="000000" w:themeColor="text1"/>
          <w:sz w:val="20"/>
          <w:szCs w:val="20"/>
        </w:rPr>
      </w:pPr>
      <w:r w:rsidRPr="00A40273">
        <w:rPr>
          <w:rFonts w:ascii="Times New Roman" w:hAnsi="Times New Roman" w:cs="Times New Roman"/>
          <w:bCs/>
          <w:color w:val="000000" w:themeColor="text1"/>
          <w:sz w:val="20"/>
          <w:szCs w:val="20"/>
        </w:rPr>
        <w:t xml:space="preserve">Christensen, T., &amp; Lægreid, P. (2004). Public Administration Research in Norway: Organization Theory, Institutionalism and Empirical Studies in a Democratic Context. </w:t>
      </w:r>
      <w:r w:rsidRPr="00A40273">
        <w:rPr>
          <w:rFonts w:ascii="Times New Roman" w:hAnsi="Times New Roman" w:cs="Times New Roman"/>
          <w:bCs/>
          <w:i/>
          <w:iCs/>
          <w:color w:val="000000" w:themeColor="text1"/>
          <w:sz w:val="20"/>
          <w:szCs w:val="20"/>
        </w:rPr>
        <w:t>Public Administration,</w:t>
      </w:r>
      <w:r w:rsidRPr="00A40273">
        <w:rPr>
          <w:rFonts w:ascii="Times New Roman" w:hAnsi="Times New Roman" w:cs="Times New Roman"/>
          <w:bCs/>
          <w:color w:val="000000" w:themeColor="text1"/>
          <w:sz w:val="20"/>
          <w:szCs w:val="20"/>
        </w:rPr>
        <w:t xml:space="preserve"> 82 (3): 679-690.</w:t>
      </w:r>
      <w:r w:rsidRPr="00A40273">
        <w:rPr>
          <w:rFonts w:ascii="Times New Roman" w:hAnsi="Times New Roman" w:cs="Times New Roman"/>
          <w:color w:val="000000" w:themeColor="text1"/>
          <w:sz w:val="20"/>
          <w:szCs w:val="20"/>
        </w:rPr>
        <w:t xml:space="preserve"> </w:t>
      </w:r>
      <w:hyperlink r:id="rId86" w:history="1">
        <w:r w:rsidRPr="00A40273">
          <w:rPr>
            <w:rStyle w:val="Balk1Char"/>
            <w:rFonts w:ascii="Times New Roman" w:eastAsiaTheme="minorHAnsi" w:hAnsi="Times New Roman" w:cs="Times New Roman"/>
            <w:color w:val="000000" w:themeColor="text1"/>
            <w:sz w:val="20"/>
            <w:szCs w:val="20"/>
          </w:rPr>
          <w:t>https://doi.org/10.1111/j.0033-3298.2004.00413.x</w:t>
        </w:r>
      </w:hyperlink>
      <w:r w:rsidRPr="00A40273">
        <w:rPr>
          <w:rFonts w:ascii="Times New Roman" w:hAnsi="Times New Roman" w:cs="Times New Roman"/>
          <w:bCs/>
          <w:color w:val="000000" w:themeColor="text1"/>
          <w:sz w:val="20"/>
          <w:szCs w:val="20"/>
        </w:rPr>
        <w:t xml:space="preserve"> </w:t>
      </w:r>
    </w:p>
    <w:p w14:paraId="4316447E" w14:textId="77777777" w:rsidR="004C6717" w:rsidRPr="00A40273" w:rsidRDefault="004C6717" w:rsidP="004C6717">
      <w:pPr>
        <w:spacing w:line="276" w:lineRule="auto"/>
        <w:ind w:left="567" w:hanging="425"/>
        <w:jc w:val="both"/>
        <w:rPr>
          <w:rFonts w:ascii="Times New Roman" w:hAnsi="Times New Roman" w:cs="Times New Roman"/>
          <w:bCs/>
          <w:color w:val="000000" w:themeColor="text1"/>
          <w:sz w:val="20"/>
          <w:szCs w:val="20"/>
        </w:rPr>
      </w:pPr>
      <w:r w:rsidRPr="00A40273">
        <w:rPr>
          <w:rFonts w:ascii="Times New Roman" w:hAnsi="Times New Roman" w:cs="Times New Roman"/>
          <w:bCs/>
          <w:color w:val="000000" w:themeColor="text1"/>
          <w:sz w:val="20"/>
          <w:szCs w:val="20"/>
        </w:rPr>
        <w:t xml:space="preserve">Cole, A. (2008). </w:t>
      </w:r>
      <w:r w:rsidRPr="00A40273">
        <w:rPr>
          <w:rFonts w:ascii="Times New Roman" w:hAnsi="Times New Roman" w:cs="Times New Roman"/>
          <w:bCs/>
          <w:i/>
          <w:iCs/>
          <w:color w:val="000000" w:themeColor="text1"/>
          <w:sz w:val="20"/>
          <w:szCs w:val="20"/>
        </w:rPr>
        <w:t>Reforming the French State New Public Management and its limits.</w:t>
      </w:r>
      <w:r w:rsidRPr="00A40273">
        <w:rPr>
          <w:rFonts w:ascii="Times New Roman" w:hAnsi="Times New Roman" w:cs="Times New Roman"/>
          <w:bCs/>
          <w:color w:val="000000" w:themeColor="text1"/>
          <w:sz w:val="20"/>
          <w:szCs w:val="20"/>
        </w:rPr>
        <w:t xml:space="preserve"> The Workshop on Administrative Reform, Democratic Governance, and the Quality of Government, Rennes, 11-16 April 2008.</w:t>
      </w:r>
    </w:p>
    <w:p w14:paraId="484E7468" w14:textId="77777777" w:rsidR="004C6717" w:rsidRPr="00A40273" w:rsidRDefault="004C6717" w:rsidP="004C6717">
      <w:pPr>
        <w:spacing w:line="276" w:lineRule="auto"/>
        <w:ind w:left="567" w:hanging="425"/>
        <w:jc w:val="both"/>
        <w:rPr>
          <w:rFonts w:ascii="Times New Roman" w:hAnsi="Times New Roman" w:cs="Times New Roman"/>
          <w:color w:val="000000" w:themeColor="text1"/>
          <w:sz w:val="20"/>
          <w:szCs w:val="20"/>
        </w:rPr>
      </w:pPr>
      <w:r w:rsidRPr="00A40273">
        <w:rPr>
          <w:rFonts w:ascii="Times New Roman" w:hAnsi="Times New Roman" w:cs="Times New Roman"/>
          <w:color w:val="000000" w:themeColor="text1"/>
          <w:sz w:val="20"/>
          <w:szCs w:val="20"/>
        </w:rPr>
        <w:t xml:space="preserve">Dan, S. (2015). The New Public Management is not that Bad after all: Evidence from Estonia, Hungary and Romania. </w:t>
      </w:r>
      <w:r w:rsidRPr="00A40273">
        <w:rPr>
          <w:rFonts w:ascii="Times New Roman" w:hAnsi="Times New Roman" w:cs="Times New Roman"/>
          <w:i/>
          <w:iCs/>
          <w:color w:val="000000" w:themeColor="text1"/>
          <w:sz w:val="20"/>
          <w:szCs w:val="20"/>
        </w:rPr>
        <w:t>Transylvanian Review of Administrative Sciences</w:t>
      </w:r>
      <w:r w:rsidRPr="00A40273">
        <w:rPr>
          <w:rFonts w:ascii="Times New Roman" w:hAnsi="Times New Roman" w:cs="Times New Roman"/>
          <w:color w:val="000000" w:themeColor="text1"/>
          <w:sz w:val="20"/>
          <w:szCs w:val="20"/>
        </w:rPr>
        <w:t>, 44E, 57-73.</w:t>
      </w:r>
    </w:p>
    <w:p w14:paraId="04D4A36F" w14:textId="77777777" w:rsidR="004C6717" w:rsidRPr="00164238" w:rsidRDefault="004C6717" w:rsidP="004C6717">
      <w:pPr>
        <w:spacing w:line="276" w:lineRule="auto"/>
        <w:ind w:left="567" w:hanging="425"/>
        <w:jc w:val="both"/>
        <w:rPr>
          <w:rFonts w:ascii="Times New Roman" w:hAnsi="Times New Roman" w:cs="Times New Roman"/>
          <w:color w:val="000000" w:themeColor="text1"/>
          <w:sz w:val="20"/>
          <w:szCs w:val="20"/>
          <w:shd w:val="clear" w:color="auto" w:fill="FFFFFF"/>
        </w:rPr>
      </w:pPr>
      <w:r w:rsidRPr="00A40273">
        <w:rPr>
          <w:rFonts w:ascii="Times New Roman" w:hAnsi="Times New Roman" w:cs="Times New Roman"/>
          <w:color w:val="000000" w:themeColor="text1"/>
          <w:sz w:val="20"/>
          <w:szCs w:val="20"/>
          <w:shd w:val="clear" w:color="auto" w:fill="FFFFFF"/>
        </w:rPr>
        <w:t xml:space="preserve">Dobos, G. &amp; Soós, G. (2021). </w:t>
      </w:r>
      <w:r w:rsidRPr="00A40273">
        <w:rPr>
          <w:rFonts w:ascii="Times New Roman" w:hAnsi="Times New Roman" w:cs="Times New Roman"/>
          <w:i/>
          <w:iCs/>
          <w:color w:val="000000" w:themeColor="text1"/>
          <w:sz w:val="20"/>
          <w:szCs w:val="20"/>
          <w:shd w:val="clear" w:color="auto" w:fill="FFFFFF"/>
        </w:rPr>
        <w:t>Against the Trend: Re-centralization of the Local Government in Hungary.</w:t>
      </w:r>
      <w:r w:rsidRPr="00A40273">
        <w:rPr>
          <w:rFonts w:ascii="Times New Roman" w:hAnsi="Times New Roman" w:cs="Times New Roman"/>
          <w:color w:val="000000" w:themeColor="text1"/>
          <w:sz w:val="20"/>
          <w:szCs w:val="20"/>
          <w:shd w:val="clear" w:color="auto" w:fill="FFFFFF"/>
        </w:rPr>
        <w:t xml:space="preserve"> The</w:t>
      </w:r>
      <w:r w:rsidRPr="00164238">
        <w:rPr>
          <w:rFonts w:ascii="Times New Roman" w:hAnsi="Times New Roman" w:cs="Times New Roman"/>
          <w:color w:val="000000" w:themeColor="text1"/>
          <w:sz w:val="20"/>
          <w:szCs w:val="20"/>
          <w:shd w:val="clear" w:color="auto" w:fill="FFFFFF"/>
        </w:rPr>
        <w:t xml:space="preserve"> Panel Quality of Democracy in Eastern Europe and Latin America in Comparative Perspective. I</w:t>
      </w:r>
      <w:r w:rsidRPr="00164238">
        <w:rPr>
          <w:rStyle w:val="FootnoteTextChar"/>
          <w:rFonts w:ascii="Times New Roman" w:hAnsi="Times New Roman" w:cs="Times New Roman"/>
          <w:color w:val="000000" w:themeColor="text1"/>
          <w:shd w:val="clear" w:color="auto" w:fill="FFFFFF"/>
        </w:rPr>
        <w:t>nternational Political Science Association World Congress</w:t>
      </w:r>
      <w:r w:rsidRPr="00164238">
        <w:rPr>
          <w:rFonts w:ascii="Times New Roman" w:hAnsi="Times New Roman" w:cs="Times New Roman"/>
          <w:color w:val="000000" w:themeColor="text1"/>
          <w:sz w:val="20"/>
          <w:szCs w:val="20"/>
          <w:shd w:val="clear" w:color="auto" w:fill="FFFFFF"/>
        </w:rPr>
        <w:t>. 21 Haziran 2014. Montreal, Canada. </w:t>
      </w:r>
    </w:p>
    <w:p w14:paraId="6C8E9125" w14:textId="77777777" w:rsidR="004C6717" w:rsidRPr="00164238" w:rsidRDefault="004C6717" w:rsidP="004C6717">
      <w:pPr>
        <w:spacing w:line="276" w:lineRule="auto"/>
        <w:ind w:left="567" w:hanging="425"/>
        <w:jc w:val="both"/>
        <w:rPr>
          <w:rFonts w:ascii="Times New Roman" w:hAnsi="Times New Roman" w:cs="Times New Roman"/>
          <w:color w:val="000000" w:themeColor="text1"/>
          <w:sz w:val="20"/>
          <w:szCs w:val="20"/>
          <w:shd w:val="clear" w:color="auto" w:fill="FFFFFF"/>
        </w:rPr>
      </w:pPr>
      <w:r w:rsidRPr="00164238">
        <w:rPr>
          <w:rFonts w:ascii="Times New Roman" w:hAnsi="Times New Roman" w:cs="Times New Roman"/>
          <w:color w:val="000000" w:themeColor="text1"/>
          <w:sz w:val="20"/>
          <w:szCs w:val="20"/>
          <w:shd w:val="clear" w:color="auto" w:fill="FFFFFF"/>
        </w:rPr>
        <w:t xml:space="preserve">Downe, D., Andrews, R., &amp; Guarneros-Meza, V. </w:t>
      </w:r>
      <w:bookmarkStart w:id="53" w:name="_Hlk69063622"/>
      <w:r w:rsidRPr="00164238">
        <w:rPr>
          <w:rFonts w:ascii="Times New Roman" w:hAnsi="Times New Roman" w:cs="Times New Roman"/>
          <w:color w:val="000000" w:themeColor="text1"/>
          <w:sz w:val="20"/>
          <w:szCs w:val="20"/>
          <w:shd w:val="clear" w:color="auto" w:fill="FFFFFF"/>
        </w:rPr>
        <w:t xml:space="preserve">(2016). A Top-down, Citizen-oriented Approach to Reform: Perceptions from UK Civil Servants. </w:t>
      </w:r>
      <w:r w:rsidRPr="00164238">
        <w:rPr>
          <w:rFonts w:ascii="Times New Roman" w:eastAsia="Calibri" w:hAnsi="Times New Roman" w:cs="Times New Roman"/>
          <w:color w:val="000000" w:themeColor="text1"/>
          <w:sz w:val="20"/>
          <w:szCs w:val="20"/>
          <w:lang w:val="en-GB"/>
        </w:rPr>
        <w:t>Gerard Hammerschmid, Steven Van de Walle, Rhys Andrews, &amp; Philippe Bezes (Ed.),</w:t>
      </w:r>
      <w:r w:rsidRPr="00164238">
        <w:rPr>
          <w:rFonts w:ascii="Times New Roman" w:hAnsi="Times New Roman" w:cs="Times New Roman"/>
          <w:color w:val="000000" w:themeColor="text1"/>
          <w:sz w:val="20"/>
          <w:szCs w:val="20"/>
          <w:shd w:val="clear" w:color="auto" w:fill="FFFFFF"/>
        </w:rPr>
        <w:t xml:space="preserve"> </w:t>
      </w:r>
      <w:r w:rsidRPr="00164238">
        <w:rPr>
          <w:rFonts w:ascii="Times New Roman" w:hAnsi="Times New Roman" w:cs="Times New Roman"/>
          <w:i/>
          <w:iCs/>
          <w:color w:val="000000" w:themeColor="text1"/>
          <w:sz w:val="20"/>
          <w:szCs w:val="20"/>
          <w:shd w:val="clear" w:color="auto" w:fill="FFFFFF"/>
        </w:rPr>
        <w:t>Public Administration Reforms in Europe: The View from the Top</w:t>
      </w:r>
      <w:r w:rsidRPr="00164238">
        <w:rPr>
          <w:rFonts w:ascii="Times New Roman" w:hAnsi="Times New Roman" w:cs="Times New Roman"/>
          <w:color w:val="000000" w:themeColor="text1"/>
          <w:sz w:val="20"/>
          <w:szCs w:val="20"/>
          <w:shd w:val="clear" w:color="auto" w:fill="FFFFFF"/>
        </w:rPr>
        <w:t xml:space="preserve">. içinde. (s. 173-182). UK: Edward Elgar. </w:t>
      </w:r>
    </w:p>
    <w:p w14:paraId="34631EA5" w14:textId="77777777" w:rsidR="004C6717" w:rsidRPr="00164238" w:rsidRDefault="004C6717" w:rsidP="004C6717">
      <w:pPr>
        <w:spacing w:line="276" w:lineRule="auto"/>
        <w:ind w:left="567" w:hanging="425"/>
        <w:jc w:val="both"/>
        <w:rPr>
          <w:rFonts w:ascii="Times New Roman" w:eastAsia="Calibri" w:hAnsi="Times New Roman" w:cs="Times New Roman"/>
          <w:color w:val="000000" w:themeColor="text1"/>
          <w:sz w:val="20"/>
          <w:szCs w:val="20"/>
          <w:lang w:val="en-GB"/>
        </w:rPr>
      </w:pPr>
      <w:bookmarkStart w:id="54" w:name="_Hlk53866722"/>
      <w:bookmarkEnd w:id="53"/>
      <w:r w:rsidRPr="00164238">
        <w:rPr>
          <w:rFonts w:ascii="Times New Roman" w:eastAsia="Calibri" w:hAnsi="Times New Roman" w:cs="Times New Roman"/>
          <w:color w:val="000000" w:themeColor="text1"/>
          <w:sz w:val="20"/>
          <w:szCs w:val="20"/>
          <w:lang w:val="en-GB"/>
        </w:rPr>
        <w:t xml:space="preserve">Dunlop, A. C., Ongaro, E., &amp; Baker, K. (2020). Researching COVID-19: A Research Agenda for Public Policy and Administration Scholars. </w:t>
      </w:r>
      <w:r w:rsidRPr="00164238">
        <w:rPr>
          <w:rFonts w:ascii="Times New Roman" w:eastAsia="Calibri" w:hAnsi="Times New Roman" w:cs="Times New Roman"/>
          <w:i/>
          <w:iCs/>
          <w:color w:val="000000" w:themeColor="text1"/>
          <w:sz w:val="20"/>
          <w:szCs w:val="20"/>
          <w:lang w:val="en-GB"/>
        </w:rPr>
        <w:t>Public Policy and Administration,</w:t>
      </w:r>
      <w:r w:rsidRPr="00164238">
        <w:rPr>
          <w:rFonts w:ascii="Times New Roman" w:eastAsia="Calibri" w:hAnsi="Times New Roman" w:cs="Times New Roman"/>
          <w:color w:val="000000" w:themeColor="text1"/>
          <w:sz w:val="20"/>
          <w:szCs w:val="20"/>
          <w:lang w:val="en-GB"/>
        </w:rPr>
        <w:t xml:space="preserve"> 35(4), 365–383.</w:t>
      </w:r>
    </w:p>
    <w:p w14:paraId="599B707D" w14:textId="77777777" w:rsidR="004C6717" w:rsidRPr="00164238" w:rsidRDefault="004C6717" w:rsidP="004C6717">
      <w:pPr>
        <w:spacing w:line="276" w:lineRule="auto"/>
        <w:ind w:left="567" w:hanging="425"/>
        <w:jc w:val="both"/>
        <w:rPr>
          <w:rFonts w:ascii="Times New Roman" w:eastAsia="Calibri" w:hAnsi="Times New Roman" w:cs="Times New Roman"/>
          <w:color w:val="000000" w:themeColor="text1"/>
          <w:sz w:val="20"/>
          <w:szCs w:val="20"/>
          <w:lang w:val="en-GB"/>
        </w:rPr>
      </w:pPr>
      <w:r w:rsidRPr="00164238">
        <w:rPr>
          <w:rFonts w:ascii="Times New Roman" w:eastAsia="Calibri" w:hAnsi="Times New Roman" w:cs="Times New Roman"/>
          <w:color w:val="000000" w:themeColor="text1"/>
          <w:sz w:val="20"/>
          <w:szCs w:val="20"/>
          <w:lang w:val="en-GB"/>
        </w:rPr>
        <w:t xml:space="preserve">Globe Project. (2020). Erişim Tarihi: 15 Nisan 2021 Erişim adresi: </w:t>
      </w:r>
      <w:hyperlink r:id="rId87" w:anchor="list" w:history="1">
        <w:r w:rsidRPr="00164238">
          <w:rPr>
            <w:rFonts w:ascii="Times New Roman" w:eastAsia="Calibri" w:hAnsi="Times New Roman" w:cs="Times New Roman"/>
            <w:color w:val="000000" w:themeColor="text1"/>
            <w:sz w:val="20"/>
            <w:szCs w:val="20"/>
            <w:u w:val="single"/>
            <w:lang w:val="en-GB"/>
          </w:rPr>
          <w:t>https://globeproject.com/results/countries/GBR?menu=list#list</w:t>
        </w:r>
      </w:hyperlink>
      <w:r w:rsidRPr="00164238">
        <w:rPr>
          <w:rFonts w:ascii="Times New Roman" w:eastAsia="Calibri" w:hAnsi="Times New Roman" w:cs="Times New Roman"/>
          <w:color w:val="000000" w:themeColor="text1"/>
          <w:sz w:val="20"/>
          <w:szCs w:val="20"/>
          <w:lang w:val="en-GB"/>
        </w:rPr>
        <w:t xml:space="preserve">  </w:t>
      </w:r>
    </w:p>
    <w:p w14:paraId="3B374F5D" w14:textId="77777777" w:rsidR="004C6717" w:rsidRPr="00A40273" w:rsidRDefault="004C6717" w:rsidP="004C6717">
      <w:pPr>
        <w:spacing w:line="276" w:lineRule="auto"/>
        <w:ind w:left="567" w:hanging="425"/>
        <w:jc w:val="both"/>
        <w:rPr>
          <w:rFonts w:ascii="Times New Roman" w:hAnsi="Times New Roman" w:cs="Times New Roman"/>
          <w:color w:val="000000" w:themeColor="text1"/>
          <w:sz w:val="20"/>
          <w:szCs w:val="20"/>
          <w:lang w:val="en-GB"/>
        </w:rPr>
      </w:pPr>
      <w:r w:rsidRPr="00A40273">
        <w:rPr>
          <w:rFonts w:ascii="Times New Roman" w:hAnsi="Times New Roman" w:cs="Times New Roman"/>
          <w:color w:val="000000" w:themeColor="text1"/>
          <w:sz w:val="20"/>
          <w:szCs w:val="20"/>
          <w:lang w:val="en-GB"/>
        </w:rPr>
        <w:t xml:space="preserve">Hajnal, G. (2016). New Wine in New Bottles? Assessing Hungary’s Post-2010 Public Administration Reforms. </w:t>
      </w:r>
      <w:r w:rsidRPr="00A40273">
        <w:rPr>
          <w:rFonts w:ascii="Times New Roman" w:eastAsia="Calibri" w:hAnsi="Times New Roman" w:cs="Times New Roman"/>
          <w:color w:val="000000" w:themeColor="text1"/>
          <w:sz w:val="20"/>
          <w:szCs w:val="20"/>
          <w:lang w:val="en-GB"/>
        </w:rPr>
        <w:t xml:space="preserve">Gerard Hammerschmid, Steven Van de Walle, Rhys Andrews, &amp; Philippe Bezes (Ed.), </w:t>
      </w:r>
      <w:r w:rsidRPr="00A40273">
        <w:rPr>
          <w:rFonts w:ascii="Times New Roman" w:hAnsi="Times New Roman" w:cs="Times New Roman"/>
          <w:i/>
          <w:iCs/>
          <w:color w:val="000000" w:themeColor="text1"/>
          <w:sz w:val="20"/>
          <w:szCs w:val="20"/>
          <w:lang w:val="en-GB"/>
        </w:rPr>
        <w:t>Public Administration Reforms in Europe: The View from the Top içinde. (</w:t>
      </w:r>
      <w:r w:rsidRPr="00A40273">
        <w:rPr>
          <w:rFonts w:ascii="Times New Roman" w:hAnsi="Times New Roman" w:cs="Times New Roman"/>
          <w:color w:val="000000" w:themeColor="text1"/>
          <w:sz w:val="20"/>
          <w:szCs w:val="20"/>
          <w:lang w:val="en-GB"/>
        </w:rPr>
        <w:t>s. 52-62). UK: Edward Elgar.</w:t>
      </w:r>
    </w:p>
    <w:p w14:paraId="53EC8876" w14:textId="77777777" w:rsidR="004C6717" w:rsidRPr="00A40273" w:rsidRDefault="004C6717" w:rsidP="004C6717">
      <w:pPr>
        <w:spacing w:line="276" w:lineRule="auto"/>
        <w:ind w:left="567" w:hanging="425"/>
        <w:jc w:val="both"/>
        <w:rPr>
          <w:rFonts w:ascii="Times New Roman" w:hAnsi="Times New Roman" w:cs="Times New Roman"/>
          <w:bCs/>
          <w:color w:val="000000" w:themeColor="text1"/>
          <w:sz w:val="20"/>
          <w:szCs w:val="20"/>
          <w:u w:val="single"/>
        </w:rPr>
      </w:pPr>
      <w:r w:rsidRPr="00A40273">
        <w:rPr>
          <w:rFonts w:ascii="Times New Roman" w:hAnsi="Times New Roman" w:cs="Times New Roman"/>
          <w:bCs/>
          <w:color w:val="000000" w:themeColor="text1"/>
          <w:sz w:val="20"/>
          <w:szCs w:val="20"/>
        </w:rPr>
        <w:t xml:space="preserve">Hammerschmid, G., &amp; Meyer, R.E. (2005), New Public Management in Austria: Local Variation on a Global Theme?. </w:t>
      </w:r>
      <w:r w:rsidRPr="00A40273">
        <w:rPr>
          <w:rFonts w:ascii="Times New Roman" w:hAnsi="Times New Roman" w:cs="Times New Roman"/>
          <w:bCs/>
          <w:i/>
          <w:iCs/>
          <w:color w:val="000000" w:themeColor="text1"/>
          <w:sz w:val="20"/>
          <w:szCs w:val="20"/>
        </w:rPr>
        <w:t>Public Administration</w:t>
      </w:r>
      <w:r w:rsidRPr="00A40273">
        <w:rPr>
          <w:rFonts w:ascii="Times New Roman" w:hAnsi="Times New Roman" w:cs="Times New Roman"/>
          <w:bCs/>
          <w:color w:val="000000" w:themeColor="text1"/>
          <w:sz w:val="20"/>
          <w:szCs w:val="20"/>
        </w:rPr>
        <w:t xml:space="preserve">, 83: 709-733. </w:t>
      </w:r>
      <w:r w:rsidRPr="00A40273">
        <w:rPr>
          <w:rFonts w:ascii="Times New Roman" w:hAnsi="Times New Roman" w:cs="Times New Roman"/>
          <w:bCs/>
          <w:color w:val="000000" w:themeColor="text1"/>
          <w:sz w:val="20"/>
          <w:szCs w:val="20"/>
          <w:u w:val="single"/>
        </w:rPr>
        <w:t xml:space="preserve">doi:10.1111/j.0033-3298.2005.00471.x </w:t>
      </w:r>
    </w:p>
    <w:p w14:paraId="343C035D" w14:textId="77777777" w:rsidR="004C6717" w:rsidRPr="00A40273" w:rsidRDefault="004C6717" w:rsidP="004C6717">
      <w:pPr>
        <w:spacing w:line="276" w:lineRule="auto"/>
        <w:ind w:left="567" w:hanging="425"/>
        <w:jc w:val="both"/>
        <w:rPr>
          <w:rFonts w:ascii="Times New Roman" w:hAnsi="Times New Roman" w:cs="Times New Roman"/>
          <w:color w:val="000000" w:themeColor="text1"/>
          <w:sz w:val="20"/>
          <w:szCs w:val="20"/>
          <w:lang w:val="en-GB"/>
        </w:rPr>
      </w:pPr>
      <w:r w:rsidRPr="00A40273">
        <w:rPr>
          <w:rFonts w:ascii="Times New Roman" w:hAnsi="Times New Roman" w:cs="Times New Roman"/>
          <w:color w:val="000000" w:themeColor="text1"/>
          <w:sz w:val="20"/>
          <w:szCs w:val="20"/>
          <w:lang w:val="en-GB"/>
        </w:rPr>
        <w:t xml:space="preserve">Hammerschmid, G., </w:t>
      </w:r>
      <w:bookmarkStart w:id="55" w:name="_Hlk69607744"/>
      <w:r w:rsidRPr="00A40273">
        <w:rPr>
          <w:rFonts w:ascii="Times New Roman" w:hAnsi="Times New Roman" w:cs="Times New Roman"/>
          <w:color w:val="000000" w:themeColor="text1"/>
          <w:sz w:val="20"/>
          <w:szCs w:val="20"/>
          <w:lang w:val="en-GB"/>
        </w:rPr>
        <w:t>Van de Walle, S., Andrews, R., &amp; Bezes,</w:t>
      </w:r>
      <w:bookmarkEnd w:id="55"/>
      <w:r w:rsidRPr="00A40273">
        <w:rPr>
          <w:rFonts w:ascii="Times New Roman" w:hAnsi="Times New Roman" w:cs="Times New Roman"/>
          <w:color w:val="000000" w:themeColor="text1"/>
          <w:sz w:val="20"/>
          <w:szCs w:val="20"/>
          <w:lang w:val="en-GB"/>
        </w:rPr>
        <w:t xml:space="preserve"> P. (Ed.) (2016). </w:t>
      </w:r>
      <w:r w:rsidRPr="00A40273">
        <w:rPr>
          <w:rFonts w:ascii="Times New Roman" w:hAnsi="Times New Roman" w:cs="Times New Roman"/>
          <w:i/>
          <w:iCs/>
          <w:color w:val="000000" w:themeColor="text1"/>
          <w:sz w:val="20"/>
          <w:szCs w:val="20"/>
          <w:lang w:val="en-GB"/>
        </w:rPr>
        <w:t>Public Administration Reforms in Europe: The View from the Top.</w:t>
      </w:r>
      <w:r w:rsidRPr="00A40273">
        <w:rPr>
          <w:rFonts w:ascii="Times New Roman" w:hAnsi="Times New Roman" w:cs="Times New Roman"/>
          <w:color w:val="000000" w:themeColor="text1"/>
          <w:sz w:val="20"/>
          <w:szCs w:val="20"/>
          <w:lang w:val="en-GB"/>
        </w:rPr>
        <w:t xml:space="preserve"> UK: Edward Elgar.</w:t>
      </w:r>
    </w:p>
    <w:p w14:paraId="7D59E138" w14:textId="77777777" w:rsidR="004C6717" w:rsidRPr="00A40273" w:rsidRDefault="004C6717" w:rsidP="004C6717">
      <w:pPr>
        <w:spacing w:line="276" w:lineRule="auto"/>
        <w:ind w:left="567" w:hanging="425"/>
        <w:jc w:val="both"/>
        <w:rPr>
          <w:rFonts w:ascii="Times New Roman" w:hAnsi="Times New Roman" w:cs="Times New Roman"/>
          <w:color w:val="000000" w:themeColor="text1"/>
          <w:sz w:val="20"/>
          <w:szCs w:val="20"/>
          <w:lang w:val="en-GB"/>
        </w:rPr>
      </w:pPr>
      <w:r w:rsidRPr="00A40273">
        <w:rPr>
          <w:rFonts w:ascii="Times New Roman" w:hAnsi="Times New Roman" w:cs="Times New Roman"/>
          <w:color w:val="000000" w:themeColor="text1"/>
          <w:sz w:val="20"/>
          <w:szCs w:val="20"/>
          <w:lang w:val="en-GB"/>
        </w:rPr>
        <w:t xml:space="preserve">Hendriks, F., &amp; Tops, P. (2003). Local Public Management Reforms in the Netherlands: Fads, Fashions and Winds of Change. </w:t>
      </w:r>
      <w:r w:rsidRPr="00A40273">
        <w:rPr>
          <w:rFonts w:ascii="Times New Roman" w:hAnsi="Times New Roman" w:cs="Times New Roman"/>
          <w:i/>
          <w:iCs/>
          <w:color w:val="000000" w:themeColor="text1"/>
          <w:sz w:val="20"/>
          <w:szCs w:val="20"/>
          <w:lang w:val="en-GB"/>
        </w:rPr>
        <w:t>Public Administration</w:t>
      </w:r>
      <w:r w:rsidRPr="00A40273">
        <w:rPr>
          <w:rFonts w:ascii="Times New Roman" w:hAnsi="Times New Roman" w:cs="Times New Roman"/>
          <w:color w:val="000000" w:themeColor="text1"/>
          <w:sz w:val="20"/>
          <w:szCs w:val="20"/>
          <w:lang w:val="en-GB"/>
        </w:rPr>
        <w:t xml:space="preserve">, 81 (2): 301-323. </w:t>
      </w:r>
      <w:hyperlink r:id="rId88" w:history="1">
        <w:r w:rsidRPr="00A40273">
          <w:rPr>
            <w:rStyle w:val="Balk1Char"/>
            <w:rFonts w:ascii="Times New Roman" w:eastAsiaTheme="minorHAnsi" w:hAnsi="Times New Roman" w:cs="Times New Roman"/>
            <w:color w:val="000000" w:themeColor="text1"/>
            <w:sz w:val="20"/>
            <w:szCs w:val="20"/>
            <w:lang w:val="en-GB"/>
          </w:rPr>
          <w:t>https://doi.org/10.1111/1467-9299.00348</w:t>
        </w:r>
      </w:hyperlink>
    </w:p>
    <w:p w14:paraId="7C222AC2" w14:textId="77777777" w:rsidR="004C6717" w:rsidRPr="00A40273" w:rsidRDefault="004C6717" w:rsidP="004C6717">
      <w:pPr>
        <w:spacing w:line="276" w:lineRule="auto"/>
        <w:ind w:left="567" w:hanging="425"/>
        <w:jc w:val="both"/>
        <w:rPr>
          <w:rFonts w:ascii="Times New Roman" w:eastAsia="Calibri" w:hAnsi="Times New Roman" w:cs="Times New Roman"/>
          <w:color w:val="000000" w:themeColor="text1"/>
          <w:sz w:val="20"/>
          <w:szCs w:val="20"/>
          <w:lang w:val="en-GB"/>
        </w:rPr>
      </w:pPr>
      <w:r w:rsidRPr="00A40273">
        <w:rPr>
          <w:rFonts w:ascii="Times New Roman" w:eastAsia="Calibri" w:hAnsi="Times New Roman" w:cs="Times New Roman"/>
          <w:color w:val="000000" w:themeColor="text1"/>
          <w:sz w:val="20"/>
          <w:szCs w:val="20"/>
          <w:lang w:val="en-GB"/>
        </w:rPr>
        <w:t xml:space="preserve">Hood, C. (1991). A Public Management for All Seasons. </w:t>
      </w:r>
      <w:r w:rsidRPr="00A40273">
        <w:rPr>
          <w:rFonts w:ascii="Times New Roman" w:eastAsia="Calibri" w:hAnsi="Times New Roman" w:cs="Times New Roman"/>
          <w:i/>
          <w:color w:val="000000" w:themeColor="text1"/>
          <w:sz w:val="20"/>
          <w:szCs w:val="20"/>
          <w:lang w:val="en-GB"/>
        </w:rPr>
        <w:t>Public Administration</w:t>
      </w:r>
      <w:r w:rsidRPr="00A40273">
        <w:rPr>
          <w:rFonts w:ascii="Times New Roman" w:eastAsia="Calibri" w:hAnsi="Times New Roman" w:cs="Times New Roman"/>
          <w:color w:val="000000" w:themeColor="text1"/>
          <w:sz w:val="20"/>
          <w:szCs w:val="20"/>
          <w:lang w:val="en-GB"/>
        </w:rPr>
        <w:t>, 69 (1), 3-19.</w:t>
      </w:r>
    </w:p>
    <w:p w14:paraId="45CF59C6" w14:textId="77777777" w:rsidR="004C6717" w:rsidRPr="00A40273" w:rsidRDefault="004C6717" w:rsidP="004C6717">
      <w:pPr>
        <w:spacing w:line="276" w:lineRule="auto"/>
        <w:ind w:left="567" w:hanging="425"/>
        <w:jc w:val="both"/>
        <w:rPr>
          <w:rFonts w:ascii="Times New Roman" w:hAnsi="Times New Roman" w:cs="Times New Roman"/>
          <w:color w:val="000000" w:themeColor="text1"/>
          <w:sz w:val="20"/>
          <w:szCs w:val="20"/>
          <w:lang w:val="en-GB"/>
        </w:rPr>
      </w:pPr>
      <w:r w:rsidRPr="00A40273">
        <w:rPr>
          <w:rFonts w:ascii="Times New Roman" w:hAnsi="Times New Roman" w:cs="Times New Roman"/>
          <w:color w:val="000000" w:themeColor="text1"/>
          <w:sz w:val="20"/>
          <w:szCs w:val="20"/>
          <w:lang w:val="en-GB"/>
        </w:rPr>
        <w:t xml:space="preserve">House, R. J., </w:t>
      </w:r>
      <w:bookmarkStart w:id="56" w:name="_Hlk69607960"/>
      <w:r w:rsidRPr="00A40273">
        <w:rPr>
          <w:rFonts w:ascii="Times New Roman" w:hAnsi="Times New Roman" w:cs="Times New Roman"/>
          <w:color w:val="000000" w:themeColor="text1"/>
          <w:sz w:val="20"/>
          <w:szCs w:val="20"/>
          <w:lang w:val="en-GB"/>
        </w:rPr>
        <w:t>Hanges, P. J., Javidan, M., Dorfman, P. W., &amp; Gupta</w:t>
      </w:r>
      <w:bookmarkEnd w:id="56"/>
      <w:r w:rsidRPr="00A40273">
        <w:rPr>
          <w:rFonts w:ascii="Times New Roman" w:hAnsi="Times New Roman" w:cs="Times New Roman"/>
          <w:color w:val="000000" w:themeColor="text1"/>
          <w:sz w:val="20"/>
          <w:szCs w:val="20"/>
          <w:lang w:val="en-GB"/>
        </w:rPr>
        <w:t xml:space="preserve">, V. (Ed.) (2004). </w:t>
      </w:r>
      <w:r w:rsidRPr="00A40273">
        <w:rPr>
          <w:rFonts w:ascii="Times New Roman" w:hAnsi="Times New Roman" w:cs="Times New Roman"/>
          <w:i/>
          <w:iCs/>
          <w:color w:val="000000" w:themeColor="text1"/>
          <w:sz w:val="20"/>
          <w:szCs w:val="20"/>
          <w:lang w:val="en-GB"/>
        </w:rPr>
        <w:t xml:space="preserve">Culture, Leadership, and Organizations: The GLOBE Study of 62 Societies. </w:t>
      </w:r>
      <w:r w:rsidRPr="00A40273">
        <w:rPr>
          <w:rFonts w:ascii="Times New Roman" w:hAnsi="Times New Roman" w:cs="Times New Roman"/>
          <w:color w:val="000000" w:themeColor="text1"/>
          <w:sz w:val="20"/>
          <w:szCs w:val="20"/>
          <w:lang w:val="en-GB"/>
        </w:rPr>
        <w:t>London: Sage.</w:t>
      </w:r>
    </w:p>
    <w:p w14:paraId="3EB3E02A" w14:textId="77777777" w:rsidR="004C6717" w:rsidRPr="00A40273" w:rsidRDefault="004C6717" w:rsidP="004C6717">
      <w:pPr>
        <w:spacing w:line="276" w:lineRule="auto"/>
        <w:ind w:left="567" w:hanging="425"/>
        <w:jc w:val="both"/>
        <w:rPr>
          <w:rFonts w:ascii="Times New Roman" w:hAnsi="Times New Roman" w:cs="Times New Roman"/>
          <w:color w:val="000000" w:themeColor="text1"/>
          <w:sz w:val="20"/>
          <w:szCs w:val="20"/>
          <w:lang w:val="en-GB"/>
        </w:rPr>
      </w:pPr>
      <w:r w:rsidRPr="00A40273">
        <w:rPr>
          <w:rFonts w:ascii="Times New Roman" w:hAnsi="Times New Roman" w:cs="Times New Roman"/>
          <w:color w:val="000000" w:themeColor="text1"/>
          <w:sz w:val="20"/>
          <w:szCs w:val="20"/>
          <w:lang w:val="en-GB"/>
        </w:rPr>
        <w:t xml:space="preserve">Jilke, S., Van der Voet, J., &amp; Wan de Walle, S. (2016). Administrative Reforms in the Netherlands: Managerialism, Collaboration, and Implications for Future Reform Capacity. Gerard </w:t>
      </w:r>
      <w:r w:rsidRPr="00A40273">
        <w:rPr>
          <w:rFonts w:ascii="Times New Roman" w:hAnsi="Times New Roman" w:cs="Times New Roman"/>
          <w:color w:val="000000" w:themeColor="text1"/>
          <w:sz w:val="20"/>
          <w:szCs w:val="20"/>
          <w:lang w:val="en-GB"/>
        </w:rPr>
        <w:lastRenderedPageBreak/>
        <w:t xml:space="preserve">Hammerschmid, Steven Van de Walle, Rhys Andrews, &amp; Philippe Bezes (Ed.), </w:t>
      </w:r>
      <w:r w:rsidRPr="00A40273">
        <w:rPr>
          <w:rFonts w:ascii="Times New Roman" w:hAnsi="Times New Roman" w:cs="Times New Roman"/>
          <w:i/>
          <w:iCs/>
          <w:color w:val="000000" w:themeColor="text1"/>
          <w:sz w:val="20"/>
          <w:szCs w:val="20"/>
          <w:lang w:val="en-GB"/>
        </w:rPr>
        <w:t xml:space="preserve">Public Administration Reforms in Europe: The View from the Top </w:t>
      </w:r>
      <w:r w:rsidRPr="00A40273">
        <w:rPr>
          <w:rFonts w:ascii="Times New Roman" w:hAnsi="Times New Roman" w:cs="Times New Roman"/>
          <w:color w:val="000000" w:themeColor="text1"/>
          <w:sz w:val="20"/>
          <w:szCs w:val="20"/>
          <w:lang w:val="en-GB"/>
        </w:rPr>
        <w:t>içinde. (s. 73-82). UK: Edward Elgar.</w:t>
      </w:r>
    </w:p>
    <w:p w14:paraId="15AB7FEE" w14:textId="77777777" w:rsidR="004C6717" w:rsidRPr="00164238" w:rsidRDefault="004C6717" w:rsidP="004C6717">
      <w:pPr>
        <w:spacing w:line="276" w:lineRule="auto"/>
        <w:ind w:left="567" w:hanging="425"/>
        <w:jc w:val="both"/>
        <w:rPr>
          <w:rFonts w:ascii="Times New Roman" w:eastAsia="Calibri" w:hAnsi="Times New Roman" w:cs="Times New Roman"/>
          <w:color w:val="000000" w:themeColor="text1"/>
          <w:sz w:val="20"/>
          <w:szCs w:val="20"/>
          <w:lang w:val="en-GB"/>
        </w:rPr>
      </w:pPr>
      <w:r w:rsidRPr="00164238">
        <w:rPr>
          <w:rFonts w:ascii="Times New Roman" w:eastAsia="Calibri" w:hAnsi="Times New Roman" w:cs="Times New Roman"/>
          <w:color w:val="000000" w:themeColor="text1"/>
          <w:sz w:val="20"/>
          <w:szCs w:val="20"/>
          <w:lang w:val="en-GB"/>
        </w:rPr>
        <w:t xml:space="preserve">Kalağan, G. (2009). 1980 Sonrası Geleneksel Bürokratik Yönetim Paradigmasında Değişim ve Yönetsel Siyasal Yeniden Yapılanma Arayışları, </w:t>
      </w:r>
      <w:r w:rsidRPr="00164238">
        <w:rPr>
          <w:rFonts w:ascii="Times New Roman" w:eastAsia="Calibri" w:hAnsi="Times New Roman" w:cs="Times New Roman"/>
          <w:i/>
          <w:color w:val="000000" w:themeColor="text1"/>
          <w:sz w:val="20"/>
          <w:szCs w:val="20"/>
          <w:lang w:val="en-GB"/>
        </w:rPr>
        <w:t>SDÜ Vizyoner Dergisi</w:t>
      </w:r>
      <w:r w:rsidRPr="00164238">
        <w:rPr>
          <w:rFonts w:ascii="Times New Roman" w:eastAsia="Calibri" w:hAnsi="Times New Roman" w:cs="Times New Roman"/>
          <w:color w:val="000000" w:themeColor="text1"/>
          <w:sz w:val="20"/>
          <w:szCs w:val="20"/>
          <w:lang w:val="en-GB"/>
        </w:rPr>
        <w:t>, 1 (1), 92-103.</w:t>
      </w:r>
    </w:p>
    <w:p w14:paraId="6F578AAD" w14:textId="77777777" w:rsidR="004C6717" w:rsidRPr="00164238" w:rsidRDefault="004C6717" w:rsidP="004C6717">
      <w:pPr>
        <w:spacing w:line="276" w:lineRule="auto"/>
        <w:ind w:left="567" w:hanging="425"/>
        <w:jc w:val="both"/>
        <w:rPr>
          <w:rFonts w:ascii="Times New Roman" w:eastAsia="Calibri" w:hAnsi="Times New Roman" w:cs="Times New Roman"/>
          <w:color w:val="000000" w:themeColor="text1"/>
          <w:sz w:val="20"/>
          <w:szCs w:val="20"/>
          <w:lang w:val="en-GB"/>
        </w:rPr>
      </w:pPr>
      <w:r w:rsidRPr="00164238">
        <w:rPr>
          <w:rFonts w:ascii="Times New Roman" w:eastAsia="Calibri" w:hAnsi="Times New Roman" w:cs="Times New Roman"/>
          <w:color w:val="000000" w:themeColor="text1"/>
          <w:sz w:val="20"/>
          <w:szCs w:val="20"/>
          <w:lang w:val="en-GB"/>
        </w:rPr>
        <w:t xml:space="preserve">Kickert, W.J.M. (2008). The study of public management in Europe and the United States. </w:t>
      </w:r>
      <w:r w:rsidRPr="00164238">
        <w:rPr>
          <w:rFonts w:ascii="Times New Roman" w:eastAsia="Calibri" w:hAnsi="Times New Roman" w:cs="Times New Roman"/>
          <w:i/>
          <w:iCs/>
          <w:color w:val="000000" w:themeColor="text1"/>
          <w:sz w:val="20"/>
          <w:szCs w:val="20"/>
          <w:lang w:val="en-GB"/>
        </w:rPr>
        <w:t>Der moderne Staat: Zeitschrift fûr Public Policy, Recht und Management</w:t>
      </w:r>
      <w:r w:rsidRPr="00164238">
        <w:rPr>
          <w:rFonts w:ascii="Times New Roman" w:eastAsia="Calibri" w:hAnsi="Times New Roman" w:cs="Times New Roman"/>
          <w:color w:val="000000" w:themeColor="text1"/>
          <w:sz w:val="20"/>
          <w:szCs w:val="20"/>
          <w:lang w:val="en-GB"/>
        </w:rPr>
        <w:t>, 1 (1), 221-235.</w:t>
      </w:r>
    </w:p>
    <w:bookmarkEnd w:id="52"/>
    <w:bookmarkEnd w:id="54"/>
    <w:p w14:paraId="0C6FF80D" w14:textId="77777777" w:rsidR="004C6717" w:rsidRPr="00A40273" w:rsidRDefault="004C6717" w:rsidP="004C6717">
      <w:pPr>
        <w:spacing w:line="276" w:lineRule="auto"/>
        <w:ind w:left="567" w:hanging="425"/>
        <w:jc w:val="both"/>
        <w:rPr>
          <w:rFonts w:ascii="Times New Roman" w:eastAsia="Calibri" w:hAnsi="Times New Roman" w:cs="Times New Roman"/>
          <w:color w:val="000000" w:themeColor="text1"/>
          <w:sz w:val="20"/>
          <w:szCs w:val="20"/>
          <w:lang w:val="en-GB"/>
        </w:rPr>
      </w:pPr>
      <w:r w:rsidRPr="00164238">
        <w:rPr>
          <w:rFonts w:ascii="Times New Roman" w:eastAsia="Calibri" w:hAnsi="Times New Roman" w:cs="Times New Roman"/>
          <w:color w:val="000000" w:themeColor="text1"/>
          <w:sz w:val="20"/>
          <w:szCs w:val="20"/>
          <w:lang w:val="en-GB"/>
        </w:rPr>
        <w:t xml:space="preserve">Kieny, M. P., </w:t>
      </w:r>
      <w:bookmarkStart w:id="57" w:name="_Hlk69606809"/>
      <w:r w:rsidRPr="00164238">
        <w:rPr>
          <w:rFonts w:ascii="Times New Roman" w:eastAsia="Calibri" w:hAnsi="Times New Roman" w:cs="Times New Roman"/>
          <w:color w:val="000000" w:themeColor="text1"/>
          <w:sz w:val="20"/>
          <w:szCs w:val="20"/>
          <w:lang w:val="en-GB"/>
        </w:rPr>
        <w:t xml:space="preserve">Evans, D. B., Schmets, G. &amp; Kadandale, </w:t>
      </w:r>
      <w:bookmarkEnd w:id="57"/>
      <w:r w:rsidRPr="00164238">
        <w:rPr>
          <w:rFonts w:ascii="Times New Roman" w:eastAsia="Calibri" w:hAnsi="Times New Roman" w:cs="Times New Roman"/>
          <w:color w:val="000000" w:themeColor="text1"/>
          <w:sz w:val="20"/>
          <w:szCs w:val="20"/>
          <w:lang w:val="en-GB"/>
        </w:rPr>
        <w:t xml:space="preserve">S. (2014). Health-System Resilience: Reflections on the Ebola Crisis in Western Africa. </w:t>
      </w:r>
      <w:r w:rsidRPr="00164238">
        <w:rPr>
          <w:rFonts w:ascii="Times New Roman" w:eastAsia="Calibri" w:hAnsi="Times New Roman" w:cs="Times New Roman"/>
          <w:i/>
          <w:iCs/>
          <w:color w:val="000000" w:themeColor="text1"/>
          <w:sz w:val="20"/>
          <w:szCs w:val="20"/>
          <w:lang w:val="en-GB"/>
        </w:rPr>
        <w:t>Bulletin World Health Organization</w:t>
      </w:r>
      <w:r w:rsidRPr="00164238">
        <w:rPr>
          <w:rFonts w:ascii="Times New Roman" w:eastAsia="Calibri" w:hAnsi="Times New Roman" w:cs="Times New Roman"/>
          <w:color w:val="000000" w:themeColor="text1"/>
          <w:sz w:val="20"/>
          <w:szCs w:val="20"/>
          <w:lang w:val="en-GB"/>
        </w:rPr>
        <w:t xml:space="preserve">. 92 (12). </w:t>
      </w:r>
      <w:hyperlink r:id="rId89" w:history="1">
        <w:r w:rsidRPr="00A40273">
          <w:rPr>
            <w:rStyle w:val="Balk1Char"/>
            <w:rFonts w:ascii="Times New Roman" w:eastAsia="Calibri" w:hAnsi="Times New Roman" w:cs="Times New Roman"/>
            <w:color w:val="000000" w:themeColor="text1"/>
            <w:sz w:val="20"/>
            <w:szCs w:val="20"/>
            <w:lang w:val="en-GB"/>
          </w:rPr>
          <w:t>https://doi.org/10.2471/BLT.14.149278</w:t>
        </w:r>
      </w:hyperlink>
    </w:p>
    <w:p w14:paraId="3E8BBF19" w14:textId="77777777" w:rsidR="004C6717" w:rsidRPr="00A40273" w:rsidRDefault="004C6717" w:rsidP="004C6717">
      <w:pPr>
        <w:spacing w:line="276" w:lineRule="auto"/>
        <w:ind w:left="567" w:hanging="425"/>
        <w:jc w:val="both"/>
        <w:rPr>
          <w:rFonts w:ascii="Times New Roman" w:eastAsia="Calibri" w:hAnsi="Times New Roman" w:cs="Times New Roman"/>
          <w:color w:val="000000" w:themeColor="text1"/>
          <w:sz w:val="20"/>
          <w:szCs w:val="20"/>
          <w:lang w:val="en-GB"/>
        </w:rPr>
      </w:pPr>
      <w:r w:rsidRPr="00A40273">
        <w:rPr>
          <w:rFonts w:ascii="Times New Roman" w:eastAsia="Calibri" w:hAnsi="Times New Roman" w:cs="Times New Roman"/>
          <w:color w:val="000000" w:themeColor="text1"/>
          <w:sz w:val="20"/>
          <w:szCs w:val="20"/>
          <w:lang w:val="en-GB"/>
        </w:rPr>
        <w:t xml:space="preserve">Kuhlmann, S. (2010). New   Public   Management   for   the   Classical   Continental European Administration:  Modernization   at   the   local   level   in   Germany, France and   Italy. </w:t>
      </w:r>
      <w:r w:rsidRPr="00A40273">
        <w:rPr>
          <w:rFonts w:ascii="Times New Roman" w:eastAsia="Calibri" w:hAnsi="Times New Roman" w:cs="Times New Roman"/>
          <w:i/>
          <w:iCs/>
          <w:color w:val="000000" w:themeColor="text1"/>
          <w:sz w:val="20"/>
          <w:szCs w:val="20"/>
          <w:lang w:val="en-GB"/>
        </w:rPr>
        <w:t>Public Administration,</w:t>
      </w:r>
      <w:r w:rsidRPr="00A40273">
        <w:rPr>
          <w:rFonts w:ascii="Times New Roman" w:eastAsia="Calibri" w:hAnsi="Times New Roman" w:cs="Times New Roman"/>
          <w:color w:val="000000" w:themeColor="text1"/>
          <w:sz w:val="20"/>
          <w:szCs w:val="20"/>
          <w:lang w:val="en-GB"/>
        </w:rPr>
        <w:t xml:space="preserve"> 88 (4): 1116-1130.</w:t>
      </w:r>
    </w:p>
    <w:p w14:paraId="122EFAA7" w14:textId="77777777" w:rsidR="004C6717" w:rsidRPr="00A40273" w:rsidRDefault="004C6717" w:rsidP="004C6717">
      <w:pPr>
        <w:spacing w:line="276" w:lineRule="auto"/>
        <w:ind w:left="567" w:hanging="425"/>
        <w:jc w:val="both"/>
        <w:rPr>
          <w:rFonts w:ascii="Times New Roman" w:eastAsia="Calibri" w:hAnsi="Times New Roman" w:cs="Times New Roman"/>
          <w:color w:val="000000" w:themeColor="text1"/>
          <w:sz w:val="20"/>
          <w:szCs w:val="20"/>
          <w:lang w:val="en-GB"/>
        </w:rPr>
      </w:pPr>
      <w:r w:rsidRPr="00A40273">
        <w:rPr>
          <w:rFonts w:ascii="Times New Roman" w:eastAsia="Calibri" w:hAnsi="Times New Roman" w:cs="Times New Roman"/>
          <w:color w:val="000000" w:themeColor="text1"/>
          <w:sz w:val="20"/>
          <w:szCs w:val="20"/>
          <w:lang w:val="en-GB"/>
        </w:rPr>
        <w:t xml:space="preserve">Laegreid, P., &amp; Rykkja, L. H. (2016). Norway: Managerialism, Incrementalism and Collaboration. </w:t>
      </w:r>
      <w:bookmarkStart w:id="58" w:name="_Hlk69063741"/>
      <w:r w:rsidRPr="00A40273">
        <w:rPr>
          <w:rFonts w:ascii="Times New Roman" w:eastAsia="Calibri" w:hAnsi="Times New Roman" w:cs="Times New Roman"/>
          <w:color w:val="000000" w:themeColor="text1"/>
          <w:sz w:val="20"/>
          <w:szCs w:val="20"/>
          <w:lang w:val="en-GB"/>
        </w:rPr>
        <w:t>Gerard Hammerschmid, Steven Van de Walle, Rhys Andrews, &amp; Philippe Bezes (Ed.),</w:t>
      </w:r>
      <w:bookmarkEnd w:id="58"/>
      <w:r w:rsidRPr="00A40273">
        <w:rPr>
          <w:rFonts w:ascii="Times New Roman" w:eastAsia="Calibri" w:hAnsi="Times New Roman" w:cs="Times New Roman"/>
          <w:color w:val="000000" w:themeColor="text1"/>
          <w:sz w:val="20"/>
          <w:szCs w:val="20"/>
          <w:lang w:val="en-GB"/>
        </w:rPr>
        <w:t xml:space="preserve"> </w:t>
      </w:r>
      <w:r w:rsidRPr="00A40273">
        <w:rPr>
          <w:rFonts w:ascii="Times New Roman" w:eastAsia="Calibri" w:hAnsi="Times New Roman" w:cs="Times New Roman"/>
          <w:i/>
          <w:iCs/>
          <w:color w:val="000000" w:themeColor="text1"/>
          <w:sz w:val="20"/>
          <w:szCs w:val="20"/>
          <w:lang w:val="en-GB"/>
        </w:rPr>
        <w:t xml:space="preserve">Public Administration Reforms in Europe: The View from the Top </w:t>
      </w:r>
      <w:r w:rsidRPr="00A40273">
        <w:rPr>
          <w:rFonts w:ascii="Times New Roman" w:eastAsia="Calibri" w:hAnsi="Times New Roman" w:cs="Times New Roman"/>
          <w:color w:val="000000" w:themeColor="text1"/>
          <w:sz w:val="20"/>
          <w:szCs w:val="20"/>
          <w:lang w:val="en-GB"/>
        </w:rPr>
        <w:t>içinde. (s. 151-161). UK: Edward Elgar.</w:t>
      </w:r>
    </w:p>
    <w:p w14:paraId="2F52809B" w14:textId="77777777" w:rsidR="004C6717" w:rsidRPr="00164238" w:rsidRDefault="004C6717" w:rsidP="004C6717">
      <w:pPr>
        <w:spacing w:line="276" w:lineRule="auto"/>
        <w:ind w:left="567" w:hanging="425"/>
        <w:jc w:val="both"/>
        <w:rPr>
          <w:rFonts w:ascii="Times New Roman" w:eastAsia="Calibri" w:hAnsi="Times New Roman" w:cs="Times New Roman"/>
          <w:color w:val="000000" w:themeColor="text1"/>
          <w:sz w:val="20"/>
          <w:szCs w:val="20"/>
          <w:lang w:val="en-GB"/>
        </w:rPr>
      </w:pPr>
      <w:r w:rsidRPr="00164238">
        <w:rPr>
          <w:rFonts w:ascii="Times New Roman" w:eastAsia="Calibri" w:hAnsi="Times New Roman" w:cs="Times New Roman"/>
          <w:color w:val="000000" w:themeColor="text1"/>
          <w:sz w:val="20"/>
          <w:szCs w:val="20"/>
          <w:lang w:val="en-GB"/>
        </w:rPr>
        <w:t xml:space="preserve">Lan, Z., &amp; Rosenbloom, D. (1992). Editorial, </w:t>
      </w:r>
      <w:r w:rsidRPr="00164238">
        <w:rPr>
          <w:rFonts w:ascii="Times New Roman" w:eastAsia="Calibri" w:hAnsi="Times New Roman" w:cs="Times New Roman"/>
          <w:i/>
          <w:color w:val="000000" w:themeColor="text1"/>
          <w:sz w:val="20"/>
          <w:szCs w:val="20"/>
          <w:lang w:val="en-GB"/>
        </w:rPr>
        <w:t>Public Administration Review</w:t>
      </w:r>
      <w:r w:rsidRPr="00164238">
        <w:rPr>
          <w:rFonts w:ascii="Times New Roman" w:eastAsia="Calibri" w:hAnsi="Times New Roman" w:cs="Times New Roman"/>
          <w:color w:val="000000" w:themeColor="text1"/>
          <w:sz w:val="20"/>
          <w:szCs w:val="20"/>
          <w:lang w:val="en-GB"/>
        </w:rPr>
        <w:t xml:space="preserve">, 52, 6. </w:t>
      </w:r>
    </w:p>
    <w:p w14:paraId="0B1C8D08" w14:textId="77777777" w:rsidR="004C6717" w:rsidRPr="00164238" w:rsidRDefault="004C6717" w:rsidP="004C6717">
      <w:pPr>
        <w:spacing w:line="276" w:lineRule="auto"/>
        <w:ind w:left="567" w:hanging="425"/>
        <w:jc w:val="both"/>
        <w:rPr>
          <w:rFonts w:ascii="Times New Roman" w:eastAsia="Calibri" w:hAnsi="Times New Roman" w:cs="Times New Roman"/>
          <w:color w:val="000000" w:themeColor="text1"/>
          <w:sz w:val="20"/>
          <w:szCs w:val="20"/>
          <w:lang w:val="en-GB"/>
        </w:rPr>
      </w:pPr>
      <w:r w:rsidRPr="00164238">
        <w:rPr>
          <w:rFonts w:ascii="Times New Roman" w:eastAsia="Calibri" w:hAnsi="Times New Roman" w:cs="Times New Roman"/>
          <w:color w:val="000000" w:themeColor="text1"/>
          <w:sz w:val="20"/>
          <w:szCs w:val="20"/>
          <w:lang w:val="en-GB"/>
        </w:rPr>
        <w:t xml:space="preserve">Levin, P. T. (2009). The Swedish Model of Public Administration: Separation of Powers – The Swedish Style. </w:t>
      </w:r>
      <w:r w:rsidRPr="00164238">
        <w:rPr>
          <w:rFonts w:ascii="Times New Roman" w:eastAsia="Calibri" w:hAnsi="Times New Roman" w:cs="Times New Roman"/>
          <w:i/>
          <w:iCs/>
          <w:color w:val="000000" w:themeColor="text1"/>
          <w:sz w:val="20"/>
          <w:szCs w:val="20"/>
          <w:lang w:val="en-GB"/>
        </w:rPr>
        <w:t>JOAAG</w:t>
      </w:r>
      <w:r w:rsidRPr="00164238">
        <w:rPr>
          <w:rFonts w:ascii="Times New Roman" w:eastAsia="Calibri" w:hAnsi="Times New Roman" w:cs="Times New Roman"/>
          <w:color w:val="000000" w:themeColor="text1"/>
          <w:sz w:val="20"/>
          <w:szCs w:val="20"/>
          <w:lang w:val="en-GB"/>
        </w:rPr>
        <w:t>, 4 (1).</w:t>
      </w:r>
    </w:p>
    <w:p w14:paraId="615B33C3" w14:textId="77777777" w:rsidR="004C6717" w:rsidRPr="00164238" w:rsidRDefault="004C6717" w:rsidP="004C6717">
      <w:pPr>
        <w:spacing w:line="276" w:lineRule="auto"/>
        <w:ind w:left="567" w:hanging="425"/>
        <w:jc w:val="both"/>
        <w:rPr>
          <w:rFonts w:ascii="Times New Roman" w:eastAsia="Calibri" w:hAnsi="Times New Roman" w:cs="Times New Roman"/>
          <w:color w:val="000000" w:themeColor="text1"/>
          <w:sz w:val="20"/>
          <w:szCs w:val="20"/>
          <w:lang w:val="en-GB"/>
        </w:rPr>
      </w:pPr>
      <w:r w:rsidRPr="00164238">
        <w:rPr>
          <w:rFonts w:ascii="Times New Roman" w:eastAsia="Calibri" w:hAnsi="Times New Roman" w:cs="Times New Roman"/>
          <w:color w:val="000000" w:themeColor="text1"/>
          <w:sz w:val="20"/>
          <w:szCs w:val="20"/>
          <w:lang w:val="en-GB"/>
        </w:rPr>
        <w:t xml:space="preserve">Maccarthaigh, M. (2008). </w:t>
      </w:r>
      <w:r w:rsidRPr="00164238">
        <w:rPr>
          <w:rFonts w:ascii="Times New Roman" w:eastAsia="Calibri" w:hAnsi="Times New Roman" w:cs="Times New Roman"/>
          <w:i/>
          <w:iCs/>
          <w:color w:val="000000" w:themeColor="text1"/>
          <w:sz w:val="20"/>
          <w:szCs w:val="20"/>
          <w:lang w:val="en-GB"/>
        </w:rPr>
        <w:t xml:space="preserve">Public Service Values, </w:t>
      </w:r>
      <w:r w:rsidRPr="00164238">
        <w:rPr>
          <w:rFonts w:ascii="Times New Roman" w:eastAsia="Calibri" w:hAnsi="Times New Roman" w:cs="Times New Roman"/>
          <w:color w:val="000000" w:themeColor="text1"/>
          <w:sz w:val="20"/>
          <w:szCs w:val="20"/>
          <w:lang w:val="en-GB"/>
        </w:rPr>
        <w:t xml:space="preserve">Committee for Public Management Research Discussion Paper No.39, Dublin: Institute of Public Administration, Erişim Linki: </w:t>
      </w:r>
      <w:hyperlink r:id="rId90" w:history="1">
        <w:r w:rsidRPr="00164238">
          <w:rPr>
            <w:rFonts w:ascii="Times New Roman" w:eastAsia="Calibri" w:hAnsi="Times New Roman" w:cs="Times New Roman"/>
            <w:color w:val="000000" w:themeColor="text1"/>
            <w:sz w:val="20"/>
            <w:szCs w:val="20"/>
            <w:u w:val="single"/>
            <w:lang w:val="en-GB"/>
          </w:rPr>
          <w:t>Http://Www.Cpmr.Gov.Ie/Documents/Public%20service%20values.Pdf</w:t>
        </w:r>
      </w:hyperlink>
    </w:p>
    <w:p w14:paraId="02DDA11A" w14:textId="77777777" w:rsidR="004C6717" w:rsidRPr="00164238" w:rsidRDefault="004C6717" w:rsidP="004C6717">
      <w:pPr>
        <w:spacing w:line="276" w:lineRule="auto"/>
        <w:ind w:left="567" w:hanging="425"/>
        <w:jc w:val="both"/>
        <w:rPr>
          <w:rFonts w:ascii="Times New Roman" w:eastAsia="Calibri" w:hAnsi="Times New Roman" w:cs="Times New Roman"/>
          <w:color w:val="000000" w:themeColor="text1"/>
          <w:sz w:val="20"/>
          <w:szCs w:val="20"/>
          <w:lang w:val="en-GB"/>
        </w:rPr>
      </w:pPr>
      <w:r w:rsidRPr="00164238">
        <w:rPr>
          <w:rFonts w:ascii="Times New Roman" w:eastAsia="Calibri" w:hAnsi="Times New Roman" w:cs="Times New Roman"/>
          <w:color w:val="000000" w:themeColor="text1"/>
          <w:sz w:val="20"/>
          <w:szCs w:val="20"/>
          <w:lang w:val="en-GB"/>
        </w:rPr>
        <w:t xml:space="preserve">Metcalfe, L., &amp; Richards, S. (1992). </w:t>
      </w:r>
      <w:r w:rsidRPr="00164238">
        <w:rPr>
          <w:rFonts w:ascii="Times New Roman" w:eastAsia="Calibri" w:hAnsi="Times New Roman" w:cs="Times New Roman"/>
          <w:i/>
          <w:color w:val="000000" w:themeColor="text1"/>
          <w:sz w:val="20"/>
          <w:szCs w:val="20"/>
          <w:lang w:val="en-GB"/>
        </w:rPr>
        <w:t>Improving Public Management</w:t>
      </w:r>
      <w:r w:rsidRPr="00164238">
        <w:rPr>
          <w:rFonts w:ascii="Times New Roman" w:eastAsia="Calibri" w:hAnsi="Times New Roman" w:cs="Times New Roman"/>
          <w:color w:val="000000" w:themeColor="text1"/>
          <w:sz w:val="20"/>
          <w:szCs w:val="20"/>
          <w:lang w:val="en-GB"/>
        </w:rPr>
        <w:t>. Bristol: Sage.</w:t>
      </w:r>
    </w:p>
    <w:p w14:paraId="0B7A0D15" w14:textId="77777777" w:rsidR="004C6717" w:rsidRPr="00164238" w:rsidRDefault="004C6717" w:rsidP="004C6717">
      <w:pPr>
        <w:spacing w:line="276" w:lineRule="auto"/>
        <w:ind w:left="567" w:hanging="425"/>
        <w:jc w:val="both"/>
        <w:rPr>
          <w:rFonts w:ascii="Times New Roman" w:hAnsi="Times New Roman" w:cs="Times New Roman"/>
          <w:color w:val="000000" w:themeColor="text1"/>
          <w:sz w:val="20"/>
          <w:szCs w:val="20"/>
          <w:lang w:val="en-GB"/>
        </w:rPr>
      </w:pPr>
      <w:r w:rsidRPr="00164238">
        <w:rPr>
          <w:rFonts w:ascii="Times New Roman" w:hAnsi="Times New Roman" w:cs="Times New Roman"/>
          <w:color w:val="000000" w:themeColor="text1"/>
          <w:sz w:val="20"/>
          <w:szCs w:val="20"/>
          <w:lang w:val="en-GB"/>
        </w:rPr>
        <w:t xml:space="preserve">Miller, R. L., &amp; Brewer, J, D. (2003). </w:t>
      </w:r>
      <w:r w:rsidRPr="00164238">
        <w:rPr>
          <w:rFonts w:ascii="Times New Roman" w:hAnsi="Times New Roman" w:cs="Times New Roman"/>
          <w:i/>
          <w:iCs/>
          <w:color w:val="000000" w:themeColor="text1"/>
          <w:sz w:val="20"/>
          <w:szCs w:val="20"/>
          <w:lang w:val="en-GB"/>
        </w:rPr>
        <w:t>The A-Z of Social Research A Dictionary of Key Social Science Research Concepts</w:t>
      </w:r>
      <w:r w:rsidRPr="00164238">
        <w:rPr>
          <w:rFonts w:ascii="Times New Roman" w:hAnsi="Times New Roman" w:cs="Times New Roman"/>
          <w:color w:val="000000" w:themeColor="text1"/>
          <w:sz w:val="20"/>
          <w:szCs w:val="20"/>
          <w:lang w:val="en-GB"/>
        </w:rPr>
        <w:t>. London: Sage.</w:t>
      </w:r>
    </w:p>
    <w:p w14:paraId="64549FAB" w14:textId="77777777" w:rsidR="004C6717" w:rsidRPr="00164238" w:rsidRDefault="004C6717" w:rsidP="004C6717">
      <w:pPr>
        <w:spacing w:line="276" w:lineRule="auto"/>
        <w:ind w:left="567" w:hanging="425"/>
        <w:jc w:val="both"/>
        <w:rPr>
          <w:rFonts w:ascii="Times New Roman" w:hAnsi="Times New Roman" w:cs="Times New Roman"/>
          <w:color w:val="000000" w:themeColor="text1"/>
          <w:sz w:val="20"/>
          <w:szCs w:val="20"/>
          <w:lang w:val="en-GB"/>
        </w:rPr>
      </w:pPr>
      <w:r w:rsidRPr="00164238">
        <w:rPr>
          <w:rFonts w:ascii="Times New Roman" w:hAnsi="Times New Roman" w:cs="Times New Roman"/>
          <w:color w:val="000000" w:themeColor="text1"/>
          <w:sz w:val="20"/>
          <w:szCs w:val="20"/>
          <w:lang w:val="en-GB"/>
        </w:rPr>
        <w:t xml:space="preserve">Nemec, J. (2010). New Public Management and Its Implementation in CEE: What Do We Know and Where Do We Go? </w:t>
      </w:r>
      <w:r w:rsidRPr="00164238">
        <w:rPr>
          <w:rFonts w:ascii="Times New Roman" w:hAnsi="Times New Roman" w:cs="Times New Roman"/>
          <w:i/>
          <w:iCs/>
          <w:color w:val="000000" w:themeColor="text1"/>
          <w:sz w:val="20"/>
          <w:szCs w:val="20"/>
          <w:lang w:val="en-GB"/>
        </w:rPr>
        <w:t>NISPAcee Journal of Public Administration and Policy, Sciendo</w:t>
      </w:r>
      <w:r w:rsidRPr="00164238">
        <w:rPr>
          <w:rFonts w:ascii="Times New Roman" w:hAnsi="Times New Roman" w:cs="Times New Roman"/>
          <w:color w:val="000000" w:themeColor="text1"/>
          <w:sz w:val="20"/>
          <w:szCs w:val="20"/>
          <w:lang w:val="en-GB"/>
        </w:rPr>
        <w:t>, 3 (1), 31-52.</w:t>
      </w:r>
    </w:p>
    <w:p w14:paraId="1D7E4712" w14:textId="77777777" w:rsidR="004C6717" w:rsidRPr="00164238" w:rsidRDefault="004C6717" w:rsidP="004C6717">
      <w:pPr>
        <w:spacing w:line="276" w:lineRule="auto"/>
        <w:ind w:left="567" w:hanging="425"/>
        <w:jc w:val="both"/>
        <w:rPr>
          <w:rFonts w:ascii="Times New Roman" w:eastAsia="Calibri" w:hAnsi="Times New Roman" w:cs="Times New Roman"/>
          <w:color w:val="000000" w:themeColor="text1"/>
          <w:sz w:val="20"/>
          <w:szCs w:val="20"/>
          <w:lang w:val="en-GB"/>
        </w:rPr>
      </w:pPr>
      <w:r w:rsidRPr="00164238">
        <w:rPr>
          <w:rFonts w:ascii="Times New Roman" w:eastAsia="Calibri" w:hAnsi="Times New Roman" w:cs="Times New Roman"/>
          <w:color w:val="000000" w:themeColor="text1"/>
          <w:sz w:val="20"/>
          <w:szCs w:val="20"/>
          <w:lang w:val="en-GB"/>
        </w:rPr>
        <w:t xml:space="preserve">Newman, J. (2001). </w:t>
      </w:r>
      <w:r w:rsidRPr="00164238">
        <w:rPr>
          <w:rFonts w:ascii="Times New Roman" w:eastAsia="Calibri" w:hAnsi="Times New Roman" w:cs="Times New Roman"/>
          <w:i/>
          <w:color w:val="000000" w:themeColor="text1"/>
          <w:sz w:val="20"/>
          <w:szCs w:val="20"/>
          <w:lang w:val="en-GB"/>
        </w:rPr>
        <w:t>Modernising Governance: New Labour, Policy and Society</w:t>
      </w:r>
      <w:r w:rsidRPr="00164238">
        <w:rPr>
          <w:rFonts w:ascii="Times New Roman" w:eastAsia="Calibri" w:hAnsi="Times New Roman" w:cs="Times New Roman"/>
          <w:color w:val="000000" w:themeColor="text1"/>
          <w:sz w:val="20"/>
          <w:szCs w:val="20"/>
          <w:lang w:val="en-GB"/>
        </w:rPr>
        <w:t>. London: Sage.</w:t>
      </w:r>
    </w:p>
    <w:p w14:paraId="10792D92" w14:textId="77777777" w:rsidR="004C6717" w:rsidRPr="00A40273" w:rsidRDefault="004C6717" w:rsidP="004C6717">
      <w:pPr>
        <w:spacing w:line="276" w:lineRule="auto"/>
        <w:ind w:left="567" w:hanging="425"/>
        <w:jc w:val="both"/>
        <w:rPr>
          <w:rFonts w:ascii="Times New Roman" w:eastAsia="Calibri" w:hAnsi="Times New Roman" w:cs="Times New Roman"/>
          <w:color w:val="000000" w:themeColor="text1"/>
          <w:sz w:val="20"/>
          <w:szCs w:val="20"/>
          <w:lang w:val="en-GB"/>
        </w:rPr>
      </w:pPr>
      <w:r w:rsidRPr="00A40273">
        <w:rPr>
          <w:rFonts w:ascii="Times New Roman" w:eastAsia="Calibri" w:hAnsi="Times New Roman" w:cs="Times New Roman"/>
          <w:color w:val="000000" w:themeColor="text1"/>
          <w:sz w:val="20"/>
          <w:szCs w:val="20"/>
          <w:lang w:val="en-GB"/>
        </w:rPr>
        <w:t xml:space="preserve">OECD. (2009). Government at a Glance 2009, Paris: OECD Publishing. Erişim Tarihi: 10 Şubat 2021 Erişim Linki: </w:t>
      </w:r>
      <w:hyperlink r:id="rId91" w:history="1">
        <w:r w:rsidRPr="00A40273">
          <w:rPr>
            <w:rStyle w:val="Balk1Char"/>
            <w:rFonts w:ascii="Times New Roman" w:eastAsia="Calibri" w:hAnsi="Times New Roman" w:cs="Times New Roman"/>
            <w:color w:val="000000" w:themeColor="text1"/>
            <w:sz w:val="20"/>
            <w:szCs w:val="20"/>
            <w:lang w:val="en-GB"/>
          </w:rPr>
          <w:t>https://www.oecd-ilibrary.org/governance/government-at-a-glance-2009_9789264075061-en</w:t>
        </w:r>
      </w:hyperlink>
      <w:r w:rsidRPr="00A40273">
        <w:rPr>
          <w:rFonts w:ascii="Times New Roman" w:eastAsia="Calibri" w:hAnsi="Times New Roman" w:cs="Times New Roman"/>
          <w:color w:val="000000" w:themeColor="text1"/>
          <w:sz w:val="20"/>
          <w:szCs w:val="20"/>
          <w:lang w:val="en-GB"/>
        </w:rPr>
        <w:t xml:space="preserve"> </w:t>
      </w:r>
    </w:p>
    <w:p w14:paraId="13D5FE14" w14:textId="77777777" w:rsidR="004C6717" w:rsidRPr="00A40273" w:rsidRDefault="004C6717" w:rsidP="004C6717">
      <w:pPr>
        <w:spacing w:line="276" w:lineRule="auto"/>
        <w:ind w:left="567" w:hanging="425"/>
        <w:jc w:val="both"/>
        <w:rPr>
          <w:rFonts w:ascii="Times New Roman" w:hAnsi="Times New Roman" w:cs="Times New Roman"/>
          <w:color w:val="000000" w:themeColor="text1"/>
          <w:sz w:val="20"/>
          <w:szCs w:val="20"/>
          <w:lang w:val="en-GB"/>
        </w:rPr>
      </w:pPr>
      <w:r w:rsidRPr="00A40273">
        <w:rPr>
          <w:rFonts w:ascii="Times New Roman" w:hAnsi="Times New Roman" w:cs="Times New Roman"/>
          <w:color w:val="000000" w:themeColor="text1"/>
          <w:sz w:val="20"/>
          <w:szCs w:val="20"/>
          <w:lang w:val="en-GB"/>
        </w:rPr>
        <w:t xml:space="preserve">Olsen, J. P. (1996). Norway: Slow Learner – or Another Triumph of the Tortoise? Johan Peder Olsen &amp; Guy Peters içinde. (Ed.), </w:t>
      </w:r>
      <w:r w:rsidRPr="00A40273">
        <w:rPr>
          <w:rFonts w:ascii="Times New Roman" w:hAnsi="Times New Roman" w:cs="Times New Roman"/>
          <w:i/>
          <w:iCs/>
          <w:color w:val="000000" w:themeColor="text1"/>
          <w:sz w:val="20"/>
          <w:szCs w:val="20"/>
          <w:lang w:val="en-GB"/>
        </w:rPr>
        <w:t>Lessons from Experience</w:t>
      </w:r>
      <w:r w:rsidRPr="00A40273">
        <w:rPr>
          <w:rFonts w:ascii="Times New Roman" w:hAnsi="Times New Roman" w:cs="Times New Roman"/>
          <w:color w:val="000000" w:themeColor="text1"/>
          <w:sz w:val="20"/>
          <w:szCs w:val="20"/>
          <w:lang w:val="en-GB"/>
        </w:rPr>
        <w:t>. Oslo: Scandinavian University. 180-213.</w:t>
      </w:r>
    </w:p>
    <w:p w14:paraId="1380F60C" w14:textId="77777777" w:rsidR="004C6717" w:rsidRPr="00A40273" w:rsidRDefault="004C6717" w:rsidP="004C6717">
      <w:pPr>
        <w:spacing w:line="276" w:lineRule="auto"/>
        <w:ind w:left="567" w:hanging="425"/>
        <w:jc w:val="both"/>
        <w:rPr>
          <w:rFonts w:ascii="Times New Roman" w:eastAsia="Calibri" w:hAnsi="Times New Roman" w:cs="Times New Roman"/>
          <w:color w:val="000000" w:themeColor="text1"/>
          <w:sz w:val="20"/>
          <w:szCs w:val="20"/>
          <w:lang w:val="en-GB"/>
        </w:rPr>
      </w:pPr>
      <w:r w:rsidRPr="00A40273">
        <w:rPr>
          <w:rFonts w:ascii="Times New Roman" w:eastAsia="Calibri" w:hAnsi="Times New Roman" w:cs="Times New Roman"/>
          <w:color w:val="000000" w:themeColor="text1"/>
          <w:sz w:val="20"/>
          <w:szCs w:val="20"/>
          <w:lang w:val="en-GB"/>
        </w:rPr>
        <w:t xml:space="preserve">Osborne, D., &amp; Gaebler, T. (1992). </w:t>
      </w:r>
      <w:r w:rsidRPr="00A40273">
        <w:rPr>
          <w:rFonts w:ascii="Times New Roman" w:eastAsia="Calibri" w:hAnsi="Times New Roman" w:cs="Times New Roman"/>
          <w:i/>
          <w:color w:val="000000" w:themeColor="text1"/>
          <w:sz w:val="20"/>
          <w:szCs w:val="20"/>
          <w:lang w:val="en-GB"/>
        </w:rPr>
        <w:t xml:space="preserve">Reinventing Government: How the Entrepreneurial Spirit is Transforming the Public Sector. </w:t>
      </w:r>
      <w:r w:rsidRPr="00A40273">
        <w:rPr>
          <w:rFonts w:ascii="Times New Roman" w:eastAsia="Calibri" w:hAnsi="Times New Roman" w:cs="Times New Roman"/>
          <w:color w:val="000000" w:themeColor="text1"/>
          <w:sz w:val="20"/>
          <w:szCs w:val="20"/>
          <w:lang w:val="en-GB"/>
        </w:rPr>
        <w:t>USA: (Plume). Longman.</w:t>
      </w:r>
    </w:p>
    <w:p w14:paraId="556BE75A" w14:textId="77777777" w:rsidR="004C6717" w:rsidRPr="00A40273" w:rsidRDefault="004C6717" w:rsidP="004C6717">
      <w:pPr>
        <w:spacing w:line="276" w:lineRule="auto"/>
        <w:ind w:left="567" w:hanging="425"/>
        <w:jc w:val="both"/>
        <w:rPr>
          <w:rFonts w:ascii="Times New Roman" w:eastAsia="Calibri" w:hAnsi="Times New Roman" w:cs="Times New Roman"/>
          <w:color w:val="000000" w:themeColor="text1"/>
          <w:sz w:val="20"/>
          <w:szCs w:val="20"/>
          <w:lang w:val="en-GB"/>
        </w:rPr>
      </w:pPr>
      <w:bookmarkStart w:id="59" w:name="_Hlk67236739"/>
      <w:r w:rsidRPr="00A40273">
        <w:rPr>
          <w:rFonts w:ascii="Times New Roman" w:eastAsia="Calibri" w:hAnsi="Times New Roman" w:cs="Times New Roman"/>
          <w:color w:val="000000" w:themeColor="text1"/>
          <w:sz w:val="20"/>
          <w:szCs w:val="20"/>
          <w:lang w:val="en-GB"/>
        </w:rPr>
        <w:t xml:space="preserve">Osborne, S. (2006). The New Public Governance? </w:t>
      </w:r>
      <w:r w:rsidRPr="00A40273">
        <w:rPr>
          <w:rFonts w:ascii="Times New Roman" w:eastAsia="Calibri" w:hAnsi="Times New Roman" w:cs="Times New Roman"/>
          <w:i/>
          <w:color w:val="000000" w:themeColor="text1"/>
          <w:sz w:val="20"/>
          <w:szCs w:val="20"/>
          <w:lang w:val="en-GB"/>
        </w:rPr>
        <w:t>Public Management Review</w:t>
      </w:r>
      <w:r w:rsidRPr="00A40273">
        <w:rPr>
          <w:rFonts w:ascii="Times New Roman" w:eastAsia="Calibri" w:hAnsi="Times New Roman" w:cs="Times New Roman"/>
          <w:color w:val="000000" w:themeColor="text1"/>
          <w:sz w:val="20"/>
          <w:szCs w:val="20"/>
          <w:lang w:val="en-GB"/>
        </w:rPr>
        <w:t>, 8 (3), 377-387.</w:t>
      </w:r>
    </w:p>
    <w:p w14:paraId="27973BFE" w14:textId="77777777" w:rsidR="004C6717" w:rsidRPr="00A40273" w:rsidRDefault="004C6717" w:rsidP="004C6717">
      <w:pPr>
        <w:spacing w:line="276" w:lineRule="auto"/>
        <w:ind w:left="567" w:hanging="425"/>
        <w:jc w:val="both"/>
        <w:rPr>
          <w:rFonts w:ascii="Times New Roman" w:eastAsia="Calibri" w:hAnsi="Times New Roman" w:cs="Times New Roman"/>
          <w:color w:val="000000" w:themeColor="text1"/>
          <w:sz w:val="20"/>
          <w:szCs w:val="20"/>
          <w:lang w:val="en-GB"/>
        </w:rPr>
      </w:pPr>
      <w:r w:rsidRPr="00A40273">
        <w:rPr>
          <w:rFonts w:ascii="Times New Roman" w:eastAsia="Calibri" w:hAnsi="Times New Roman" w:cs="Times New Roman"/>
          <w:color w:val="000000" w:themeColor="text1"/>
          <w:sz w:val="20"/>
          <w:szCs w:val="20"/>
          <w:lang w:val="en-GB"/>
        </w:rPr>
        <w:t xml:space="preserve">Osborne, S. (2009). </w:t>
      </w:r>
      <w:r w:rsidRPr="00A40273">
        <w:rPr>
          <w:rFonts w:ascii="Times New Roman" w:eastAsia="Calibri" w:hAnsi="Times New Roman" w:cs="Times New Roman"/>
          <w:i/>
          <w:color w:val="000000" w:themeColor="text1"/>
          <w:sz w:val="20"/>
          <w:szCs w:val="20"/>
          <w:lang w:val="en-GB"/>
        </w:rPr>
        <w:t>The New Public Governance? Emerging Perspectives on the Theory and Practice of Public Governance</w:t>
      </w:r>
      <w:r w:rsidRPr="00A40273">
        <w:rPr>
          <w:rFonts w:ascii="Times New Roman" w:eastAsia="Calibri" w:hAnsi="Times New Roman" w:cs="Times New Roman"/>
          <w:color w:val="000000" w:themeColor="text1"/>
          <w:sz w:val="20"/>
          <w:szCs w:val="20"/>
          <w:lang w:val="en-GB"/>
        </w:rPr>
        <w:t>. UK: Routledge.</w:t>
      </w:r>
    </w:p>
    <w:bookmarkEnd w:id="59"/>
    <w:p w14:paraId="6FE54002" w14:textId="77777777" w:rsidR="004C6717" w:rsidRPr="00A40273" w:rsidRDefault="004C6717" w:rsidP="004C6717">
      <w:pPr>
        <w:spacing w:line="276" w:lineRule="auto"/>
        <w:ind w:left="567" w:hanging="425"/>
        <w:jc w:val="both"/>
        <w:rPr>
          <w:rFonts w:ascii="Times New Roman" w:hAnsi="Times New Roman" w:cs="Times New Roman"/>
          <w:color w:val="000000" w:themeColor="text1"/>
          <w:sz w:val="20"/>
          <w:szCs w:val="20"/>
          <w:lang w:val="en-GB"/>
        </w:rPr>
      </w:pPr>
      <w:r w:rsidRPr="00A40273">
        <w:rPr>
          <w:rFonts w:ascii="Times New Roman" w:hAnsi="Times New Roman" w:cs="Times New Roman"/>
          <w:color w:val="000000" w:themeColor="text1"/>
          <w:sz w:val="20"/>
          <w:szCs w:val="20"/>
          <w:lang w:val="en-GB"/>
        </w:rPr>
        <w:lastRenderedPageBreak/>
        <w:t xml:space="preserve">Pollitt, C., &amp; Bouckaert, G. (2011). </w:t>
      </w:r>
      <w:r w:rsidRPr="00A40273">
        <w:rPr>
          <w:rFonts w:ascii="Times New Roman" w:hAnsi="Times New Roman" w:cs="Times New Roman"/>
          <w:i/>
          <w:iCs/>
          <w:color w:val="000000" w:themeColor="text1"/>
          <w:sz w:val="20"/>
          <w:szCs w:val="20"/>
          <w:lang w:val="en-GB"/>
        </w:rPr>
        <w:t>Public Management Reform: A Comparative Analysis, New Public Management, Governance, and the Neo-Weberian State</w:t>
      </w:r>
      <w:r w:rsidRPr="00A40273">
        <w:rPr>
          <w:rFonts w:ascii="Times New Roman" w:hAnsi="Times New Roman" w:cs="Times New Roman"/>
          <w:color w:val="000000" w:themeColor="text1"/>
          <w:sz w:val="20"/>
          <w:szCs w:val="20"/>
          <w:lang w:val="en-GB"/>
        </w:rPr>
        <w:t>. Oxford: Oxford University.</w:t>
      </w:r>
    </w:p>
    <w:p w14:paraId="48D58A88" w14:textId="77777777" w:rsidR="004C6717" w:rsidRPr="00A40273" w:rsidRDefault="004C6717" w:rsidP="004C6717">
      <w:pPr>
        <w:spacing w:line="276" w:lineRule="auto"/>
        <w:ind w:left="567" w:hanging="425"/>
        <w:jc w:val="both"/>
        <w:rPr>
          <w:rFonts w:ascii="Times New Roman" w:hAnsi="Times New Roman" w:cs="Times New Roman"/>
          <w:color w:val="000000" w:themeColor="text1"/>
          <w:sz w:val="20"/>
          <w:szCs w:val="20"/>
          <w:lang w:val="en-GB"/>
        </w:rPr>
      </w:pPr>
      <w:r w:rsidRPr="00A40273">
        <w:rPr>
          <w:rFonts w:ascii="Times New Roman" w:hAnsi="Times New Roman" w:cs="Times New Roman"/>
          <w:color w:val="000000" w:themeColor="text1"/>
          <w:sz w:val="20"/>
          <w:szCs w:val="20"/>
          <w:lang w:val="en-GB"/>
        </w:rPr>
        <w:t xml:space="preserve">Rhodes, R. A. W. (1994). The Hollowing out of the State: The Changing Nature of the Public Service in Britain. </w:t>
      </w:r>
      <w:r w:rsidRPr="00A40273">
        <w:rPr>
          <w:rFonts w:ascii="Times New Roman" w:hAnsi="Times New Roman" w:cs="Times New Roman"/>
          <w:i/>
          <w:iCs/>
          <w:color w:val="000000" w:themeColor="text1"/>
          <w:sz w:val="20"/>
          <w:szCs w:val="20"/>
          <w:lang w:val="en-GB"/>
        </w:rPr>
        <w:t>The Political Quarterly,</w:t>
      </w:r>
      <w:r w:rsidRPr="00A40273">
        <w:rPr>
          <w:rFonts w:ascii="Times New Roman" w:hAnsi="Times New Roman" w:cs="Times New Roman"/>
          <w:color w:val="000000" w:themeColor="text1"/>
          <w:sz w:val="20"/>
          <w:szCs w:val="20"/>
          <w:lang w:val="en-GB"/>
        </w:rPr>
        <w:t xml:space="preserve"> 65 (2): 138-151. </w:t>
      </w:r>
      <w:hyperlink r:id="rId92" w:history="1">
        <w:r w:rsidRPr="00A40273">
          <w:rPr>
            <w:rStyle w:val="Balk1Char"/>
            <w:rFonts w:ascii="Times New Roman" w:eastAsiaTheme="minorHAnsi" w:hAnsi="Times New Roman" w:cs="Times New Roman"/>
            <w:color w:val="000000" w:themeColor="text1"/>
            <w:sz w:val="20"/>
            <w:szCs w:val="20"/>
            <w:lang w:val="en-GB"/>
          </w:rPr>
          <w:t>https://doi.org/10.1111/j.1467-923X.1994.tb00441.x</w:t>
        </w:r>
      </w:hyperlink>
      <w:r w:rsidRPr="00A40273">
        <w:rPr>
          <w:rFonts w:ascii="Times New Roman" w:hAnsi="Times New Roman" w:cs="Times New Roman"/>
          <w:color w:val="000000" w:themeColor="text1"/>
          <w:sz w:val="20"/>
          <w:szCs w:val="20"/>
          <w:lang w:val="en-GB"/>
        </w:rPr>
        <w:t xml:space="preserve"> </w:t>
      </w:r>
    </w:p>
    <w:p w14:paraId="43305C59" w14:textId="77777777" w:rsidR="004C6717" w:rsidRPr="00A40273" w:rsidRDefault="004C6717" w:rsidP="004C6717">
      <w:pPr>
        <w:spacing w:line="276" w:lineRule="auto"/>
        <w:ind w:left="567" w:hanging="425"/>
        <w:jc w:val="both"/>
        <w:rPr>
          <w:rFonts w:ascii="Times New Roman" w:hAnsi="Times New Roman" w:cs="Times New Roman"/>
          <w:color w:val="000000" w:themeColor="text1"/>
          <w:sz w:val="20"/>
          <w:szCs w:val="20"/>
          <w:lang w:val="en-GB"/>
        </w:rPr>
      </w:pPr>
      <w:r w:rsidRPr="00A40273">
        <w:rPr>
          <w:rFonts w:ascii="Times New Roman" w:hAnsi="Times New Roman" w:cs="Times New Roman"/>
          <w:color w:val="000000" w:themeColor="text1"/>
          <w:sz w:val="20"/>
          <w:szCs w:val="20"/>
          <w:lang w:val="en-GB"/>
        </w:rPr>
        <w:t xml:space="preserve">Rixer, Á. (2014). Traditional Features of Hungarian Public Administration. </w:t>
      </w:r>
      <w:r w:rsidRPr="00A40273">
        <w:rPr>
          <w:rFonts w:ascii="Times New Roman" w:hAnsi="Times New Roman" w:cs="Times New Roman"/>
          <w:i/>
          <w:iCs/>
          <w:color w:val="000000" w:themeColor="text1"/>
          <w:sz w:val="20"/>
          <w:szCs w:val="20"/>
          <w:lang w:val="en-GB"/>
        </w:rPr>
        <w:t>Acta Universitatis Sapientiae Legal Studies,</w:t>
      </w:r>
      <w:r w:rsidRPr="00A40273">
        <w:rPr>
          <w:rFonts w:ascii="Times New Roman" w:hAnsi="Times New Roman" w:cs="Times New Roman"/>
          <w:color w:val="000000" w:themeColor="text1"/>
          <w:sz w:val="20"/>
          <w:szCs w:val="20"/>
          <w:lang w:val="en-GB"/>
        </w:rPr>
        <w:t xml:space="preserve"> 3 (1): 55-78. </w:t>
      </w:r>
    </w:p>
    <w:p w14:paraId="31538D1D" w14:textId="77777777" w:rsidR="004C6717" w:rsidRPr="00A40273" w:rsidRDefault="004C6717" w:rsidP="004C6717">
      <w:pPr>
        <w:spacing w:line="276" w:lineRule="auto"/>
        <w:ind w:left="567" w:hanging="425"/>
        <w:jc w:val="both"/>
        <w:rPr>
          <w:rFonts w:ascii="Times New Roman" w:hAnsi="Times New Roman" w:cs="Times New Roman"/>
          <w:color w:val="000000" w:themeColor="text1"/>
          <w:sz w:val="20"/>
          <w:szCs w:val="20"/>
          <w:lang w:val="en-GB"/>
        </w:rPr>
      </w:pPr>
      <w:r w:rsidRPr="00A40273">
        <w:rPr>
          <w:rFonts w:ascii="Times New Roman" w:hAnsi="Times New Roman" w:cs="Times New Roman"/>
          <w:color w:val="000000" w:themeColor="text1"/>
          <w:sz w:val="20"/>
          <w:szCs w:val="20"/>
          <w:lang w:val="en-GB"/>
        </w:rPr>
        <w:t xml:space="preserve">Rosta, M. (2012). </w:t>
      </w:r>
      <w:r w:rsidRPr="00A40273">
        <w:rPr>
          <w:rFonts w:ascii="Times New Roman" w:hAnsi="Times New Roman" w:cs="Times New Roman"/>
          <w:i/>
          <w:iCs/>
          <w:color w:val="000000" w:themeColor="text1"/>
          <w:sz w:val="20"/>
          <w:szCs w:val="20"/>
          <w:lang w:val="en-GB"/>
        </w:rPr>
        <w:t>Schizophrenic Public Administration Reform in Hungary: Tension Between Anti-NPM Systemic and Pro-NPM Organizational Reforms</w:t>
      </w:r>
      <w:r w:rsidRPr="00A40273">
        <w:rPr>
          <w:rFonts w:ascii="Times New Roman" w:hAnsi="Times New Roman" w:cs="Times New Roman"/>
          <w:color w:val="000000" w:themeColor="text1"/>
          <w:sz w:val="20"/>
          <w:szCs w:val="20"/>
          <w:lang w:val="en-GB"/>
        </w:rPr>
        <w:t xml:space="preserve"> (Corvinus Research Working Papers). Erişim Tarihi: 10 Şubat 2021, Erişim linki: </w:t>
      </w:r>
      <w:hyperlink r:id="rId93" w:history="1">
        <w:r w:rsidRPr="00A40273">
          <w:rPr>
            <w:rStyle w:val="Balk1Char"/>
            <w:rFonts w:ascii="Times New Roman" w:eastAsiaTheme="minorHAnsi" w:hAnsi="Times New Roman" w:cs="Times New Roman"/>
            <w:color w:val="000000" w:themeColor="text1"/>
            <w:sz w:val="20"/>
            <w:szCs w:val="20"/>
            <w:lang w:val="en-GB"/>
          </w:rPr>
          <w:t>http://unipub.lib.unicorvinus.hu/1775/1/Schizophrenic%20Public%20Administration%20Reform%20in%20Hungary_MiklosRosta.pdf</w:t>
        </w:r>
      </w:hyperlink>
      <w:r w:rsidRPr="00A40273">
        <w:rPr>
          <w:rFonts w:ascii="Times New Roman" w:hAnsi="Times New Roman" w:cs="Times New Roman"/>
          <w:color w:val="000000" w:themeColor="text1"/>
          <w:sz w:val="20"/>
          <w:szCs w:val="20"/>
          <w:lang w:val="en-GB"/>
        </w:rPr>
        <w:t xml:space="preserve"> </w:t>
      </w:r>
    </w:p>
    <w:p w14:paraId="6D594FA6" w14:textId="77777777" w:rsidR="004C6717" w:rsidRPr="00A40273" w:rsidRDefault="004C6717" w:rsidP="004C6717">
      <w:pPr>
        <w:spacing w:line="276" w:lineRule="auto"/>
        <w:ind w:left="567" w:hanging="425"/>
        <w:jc w:val="both"/>
        <w:rPr>
          <w:rFonts w:ascii="Times New Roman" w:hAnsi="Times New Roman" w:cs="Times New Roman"/>
          <w:color w:val="000000" w:themeColor="text1"/>
          <w:sz w:val="20"/>
          <w:szCs w:val="20"/>
          <w:lang w:val="en-GB"/>
        </w:rPr>
      </w:pPr>
      <w:r w:rsidRPr="00A40273">
        <w:rPr>
          <w:rFonts w:ascii="Times New Roman" w:hAnsi="Times New Roman" w:cs="Times New Roman"/>
          <w:color w:val="000000" w:themeColor="text1"/>
          <w:sz w:val="20"/>
          <w:szCs w:val="20"/>
          <w:lang w:val="en-GB"/>
        </w:rPr>
        <w:t xml:space="preserve">Rouban, L. (2008). Reform without Doctrine: Public Management in France, </w:t>
      </w:r>
      <w:r w:rsidRPr="00A40273">
        <w:rPr>
          <w:rFonts w:ascii="Times New Roman" w:hAnsi="Times New Roman" w:cs="Times New Roman"/>
          <w:i/>
          <w:iCs/>
          <w:color w:val="000000" w:themeColor="text1"/>
          <w:sz w:val="20"/>
          <w:szCs w:val="20"/>
          <w:lang w:val="en-GB"/>
        </w:rPr>
        <w:t>International Journal of Public Sector Management</w:t>
      </w:r>
      <w:r w:rsidRPr="00A40273">
        <w:rPr>
          <w:rFonts w:ascii="Times New Roman" w:hAnsi="Times New Roman" w:cs="Times New Roman"/>
          <w:color w:val="000000" w:themeColor="text1"/>
          <w:sz w:val="20"/>
          <w:szCs w:val="20"/>
          <w:lang w:val="en-GB"/>
        </w:rPr>
        <w:t>, 21(2), 133-149.</w:t>
      </w:r>
    </w:p>
    <w:p w14:paraId="16518366" w14:textId="77777777" w:rsidR="004C6717" w:rsidRPr="00A40273" w:rsidRDefault="004C6717" w:rsidP="004C6717">
      <w:pPr>
        <w:spacing w:line="276" w:lineRule="auto"/>
        <w:ind w:left="567" w:hanging="425"/>
        <w:jc w:val="both"/>
        <w:rPr>
          <w:rFonts w:ascii="Times New Roman" w:hAnsi="Times New Roman" w:cs="Times New Roman"/>
          <w:color w:val="000000" w:themeColor="text1"/>
          <w:sz w:val="20"/>
          <w:szCs w:val="20"/>
          <w:lang w:val="en-GB"/>
        </w:rPr>
      </w:pPr>
      <w:r w:rsidRPr="00A40273">
        <w:rPr>
          <w:rFonts w:ascii="Times New Roman" w:hAnsi="Times New Roman" w:cs="Times New Roman"/>
          <w:color w:val="000000" w:themeColor="text1"/>
          <w:sz w:val="20"/>
          <w:szCs w:val="20"/>
          <w:lang w:val="en-GB"/>
        </w:rPr>
        <w:t xml:space="preserve">Savi, R., &amp; Randma-Liiv, T. (2016). Public Administration Reform in Estonia: The Abundance of Piecemeal Initiatives. Gerard Hammerschmid, </w:t>
      </w:r>
      <w:bookmarkStart w:id="60" w:name="_Hlk68994457"/>
      <w:r w:rsidRPr="00A40273">
        <w:rPr>
          <w:rFonts w:ascii="Times New Roman" w:hAnsi="Times New Roman" w:cs="Times New Roman"/>
          <w:color w:val="000000" w:themeColor="text1"/>
          <w:sz w:val="20"/>
          <w:szCs w:val="20"/>
          <w:lang w:val="en-GB"/>
        </w:rPr>
        <w:t xml:space="preserve">Steven Van de Walle, Rhys Andrews, &amp; Philippe Bezes (Ed.), </w:t>
      </w:r>
      <w:r w:rsidRPr="00A40273">
        <w:rPr>
          <w:rFonts w:ascii="Times New Roman" w:hAnsi="Times New Roman" w:cs="Times New Roman"/>
          <w:i/>
          <w:iCs/>
          <w:color w:val="000000" w:themeColor="text1"/>
          <w:sz w:val="20"/>
          <w:szCs w:val="20"/>
          <w:lang w:val="en-GB"/>
        </w:rPr>
        <w:t xml:space="preserve">Public Administration Reforms in Europe: The View from the Top </w:t>
      </w:r>
      <w:r w:rsidRPr="00A40273">
        <w:rPr>
          <w:rFonts w:ascii="Times New Roman" w:hAnsi="Times New Roman" w:cs="Times New Roman"/>
          <w:color w:val="000000" w:themeColor="text1"/>
          <w:sz w:val="20"/>
          <w:szCs w:val="20"/>
          <w:lang w:val="en-GB"/>
        </w:rPr>
        <w:t>içinde. (s. 85-95). UK: Edward Elgar.</w:t>
      </w:r>
    </w:p>
    <w:bookmarkEnd w:id="60"/>
    <w:p w14:paraId="502AAFB4" w14:textId="77777777" w:rsidR="004C6717" w:rsidRPr="00A40273" w:rsidRDefault="004C6717" w:rsidP="004C6717">
      <w:pPr>
        <w:spacing w:line="276" w:lineRule="auto"/>
        <w:ind w:left="567" w:hanging="425"/>
        <w:jc w:val="both"/>
        <w:rPr>
          <w:rFonts w:ascii="Times New Roman" w:eastAsia="Calibri" w:hAnsi="Times New Roman" w:cs="Times New Roman"/>
          <w:color w:val="000000" w:themeColor="text1"/>
          <w:sz w:val="20"/>
          <w:szCs w:val="20"/>
          <w:lang w:val="en-GB"/>
        </w:rPr>
      </w:pPr>
      <w:r w:rsidRPr="00A40273">
        <w:rPr>
          <w:rFonts w:ascii="Times New Roman" w:eastAsia="Calibri" w:hAnsi="Times New Roman" w:cs="Times New Roman"/>
          <w:color w:val="000000" w:themeColor="text1"/>
          <w:sz w:val="20"/>
          <w:szCs w:val="20"/>
          <w:lang w:val="en-GB"/>
        </w:rPr>
        <w:t xml:space="preserve">Schimank, U., &amp; Stefan, L. (2009). Germany: A Latecomer to New Public Management. Catherine Paradeise, Emanuela Reale, Ivar Bleiklie &amp; Ewan Ferlie (Ed.), </w:t>
      </w:r>
      <w:r w:rsidRPr="00A40273">
        <w:rPr>
          <w:rFonts w:ascii="Times New Roman" w:eastAsia="Calibri" w:hAnsi="Times New Roman" w:cs="Times New Roman"/>
          <w:i/>
          <w:iCs/>
          <w:color w:val="000000" w:themeColor="text1"/>
          <w:sz w:val="20"/>
          <w:szCs w:val="20"/>
          <w:lang w:val="en-GB"/>
        </w:rPr>
        <w:t>University Governance Western European Comparative Perspectives içinde</w:t>
      </w:r>
      <w:r w:rsidRPr="00A40273">
        <w:rPr>
          <w:rFonts w:ascii="Times New Roman" w:eastAsia="Calibri" w:hAnsi="Times New Roman" w:cs="Times New Roman"/>
          <w:color w:val="000000" w:themeColor="text1"/>
          <w:sz w:val="20"/>
          <w:szCs w:val="20"/>
          <w:lang w:val="en-GB"/>
        </w:rPr>
        <w:t xml:space="preserve">. (s. 52-75). Dordrecht: Springer. Doi.10.1007/978-1-4020-9515-3_3  </w:t>
      </w:r>
    </w:p>
    <w:p w14:paraId="10A36974" w14:textId="77777777" w:rsidR="004C6717" w:rsidRPr="00164238" w:rsidRDefault="004C6717" w:rsidP="004C6717">
      <w:pPr>
        <w:spacing w:line="276" w:lineRule="auto"/>
        <w:ind w:left="567" w:hanging="425"/>
        <w:jc w:val="both"/>
        <w:rPr>
          <w:rFonts w:ascii="Times New Roman" w:hAnsi="Times New Roman" w:cs="Times New Roman"/>
          <w:color w:val="000000" w:themeColor="text1"/>
          <w:sz w:val="20"/>
          <w:szCs w:val="20"/>
          <w:lang w:val="en-GB"/>
        </w:rPr>
      </w:pPr>
      <w:r w:rsidRPr="00A40273">
        <w:rPr>
          <w:rFonts w:ascii="Times New Roman" w:hAnsi="Times New Roman" w:cs="Times New Roman"/>
          <w:color w:val="000000" w:themeColor="text1"/>
          <w:sz w:val="20"/>
          <w:szCs w:val="20"/>
          <w:lang w:val="en-GB"/>
        </w:rPr>
        <w:t xml:space="preserve">Skelcher, C. (2000). Changing Images of the State: Overloaded, Hollowed out, Congested. </w:t>
      </w:r>
      <w:r w:rsidRPr="00A40273">
        <w:rPr>
          <w:rFonts w:ascii="Times New Roman" w:hAnsi="Times New Roman" w:cs="Times New Roman"/>
          <w:i/>
          <w:iCs/>
          <w:color w:val="000000" w:themeColor="text1"/>
          <w:sz w:val="20"/>
          <w:szCs w:val="20"/>
          <w:lang w:val="en-GB"/>
        </w:rPr>
        <w:t>Public Policy and Administration</w:t>
      </w:r>
      <w:r w:rsidRPr="00A40273">
        <w:rPr>
          <w:rFonts w:ascii="Times New Roman" w:hAnsi="Times New Roman" w:cs="Times New Roman"/>
          <w:color w:val="000000" w:themeColor="text1"/>
          <w:sz w:val="20"/>
          <w:szCs w:val="20"/>
          <w:lang w:val="en-GB"/>
        </w:rPr>
        <w:t>, 15(3).</w:t>
      </w:r>
      <w:r w:rsidRPr="00164238">
        <w:rPr>
          <w:rFonts w:ascii="Times New Roman" w:hAnsi="Times New Roman" w:cs="Times New Roman"/>
          <w:color w:val="000000" w:themeColor="text1"/>
          <w:sz w:val="20"/>
          <w:szCs w:val="20"/>
          <w:lang w:val="en-GB"/>
        </w:rPr>
        <w:t xml:space="preserve"> 3-19.</w:t>
      </w:r>
    </w:p>
    <w:p w14:paraId="6811518B" w14:textId="77777777" w:rsidR="004C6717" w:rsidRPr="00164238" w:rsidRDefault="004C6717" w:rsidP="004C6717">
      <w:pPr>
        <w:spacing w:line="276" w:lineRule="auto"/>
        <w:ind w:left="567" w:hanging="425"/>
        <w:jc w:val="both"/>
        <w:rPr>
          <w:rFonts w:ascii="Times New Roman" w:hAnsi="Times New Roman" w:cs="Times New Roman"/>
          <w:color w:val="000000" w:themeColor="text1"/>
          <w:sz w:val="20"/>
          <w:szCs w:val="20"/>
          <w:lang w:val="en-GB"/>
        </w:rPr>
      </w:pPr>
      <w:r w:rsidRPr="00164238">
        <w:rPr>
          <w:rFonts w:ascii="Times New Roman" w:hAnsi="Times New Roman" w:cs="Times New Roman"/>
          <w:color w:val="000000" w:themeColor="text1"/>
          <w:sz w:val="20"/>
          <w:szCs w:val="20"/>
          <w:lang w:val="en-GB"/>
        </w:rPr>
        <w:t xml:space="preserve">Sözen, S. (2002). New Public Management Reforms: The British Experience. </w:t>
      </w:r>
      <w:r w:rsidRPr="00164238">
        <w:rPr>
          <w:rFonts w:ascii="Times New Roman" w:hAnsi="Times New Roman" w:cs="Times New Roman"/>
          <w:i/>
          <w:iCs/>
          <w:color w:val="000000" w:themeColor="text1"/>
          <w:sz w:val="20"/>
          <w:szCs w:val="20"/>
          <w:lang w:val="en-GB"/>
        </w:rPr>
        <w:t>Ankara Üniversitesi SBF Dergisi,</w:t>
      </w:r>
      <w:r w:rsidRPr="00164238">
        <w:rPr>
          <w:rFonts w:ascii="Times New Roman" w:hAnsi="Times New Roman" w:cs="Times New Roman"/>
          <w:color w:val="000000" w:themeColor="text1"/>
          <w:sz w:val="20"/>
          <w:szCs w:val="20"/>
          <w:lang w:val="en-GB"/>
        </w:rPr>
        <w:t xml:space="preserve"> 57 (2). 139-159.</w:t>
      </w:r>
    </w:p>
    <w:p w14:paraId="7B72297E" w14:textId="77777777" w:rsidR="004C6717" w:rsidRPr="00164238" w:rsidRDefault="004C6717" w:rsidP="004C6717">
      <w:pPr>
        <w:spacing w:line="276" w:lineRule="auto"/>
        <w:ind w:left="567" w:hanging="425"/>
        <w:jc w:val="both"/>
        <w:rPr>
          <w:rFonts w:ascii="Times New Roman" w:hAnsi="Times New Roman" w:cs="Times New Roman"/>
          <w:color w:val="000000" w:themeColor="text1"/>
          <w:sz w:val="20"/>
          <w:szCs w:val="20"/>
          <w:lang w:val="en-GB"/>
        </w:rPr>
      </w:pPr>
      <w:r w:rsidRPr="00164238">
        <w:rPr>
          <w:rFonts w:ascii="Times New Roman" w:hAnsi="Times New Roman" w:cs="Times New Roman"/>
          <w:color w:val="000000" w:themeColor="text1"/>
          <w:sz w:val="20"/>
          <w:szCs w:val="20"/>
          <w:lang w:val="en-GB"/>
        </w:rPr>
        <w:t xml:space="preserve">Stoker, G. (2012). Life is a lottery: New Labour’s Strategy for the Reform of Devolved Governance. </w:t>
      </w:r>
      <w:r w:rsidRPr="00164238">
        <w:rPr>
          <w:rFonts w:ascii="Times New Roman" w:hAnsi="Times New Roman" w:cs="Times New Roman"/>
          <w:i/>
          <w:iCs/>
          <w:color w:val="000000" w:themeColor="text1"/>
          <w:sz w:val="20"/>
          <w:szCs w:val="20"/>
          <w:lang w:val="en-GB"/>
        </w:rPr>
        <w:t>Public Administration</w:t>
      </w:r>
      <w:r w:rsidRPr="00164238">
        <w:rPr>
          <w:rFonts w:ascii="Times New Roman" w:hAnsi="Times New Roman" w:cs="Times New Roman"/>
          <w:color w:val="000000" w:themeColor="text1"/>
          <w:sz w:val="20"/>
          <w:szCs w:val="20"/>
          <w:lang w:val="en-GB"/>
        </w:rPr>
        <w:t>, 80 (3). 417-434.</w:t>
      </w:r>
    </w:p>
    <w:p w14:paraId="65AECB78" w14:textId="77777777" w:rsidR="004C6717" w:rsidRPr="00164238" w:rsidRDefault="004C6717" w:rsidP="004C6717">
      <w:pPr>
        <w:spacing w:line="276" w:lineRule="auto"/>
        <w:ind w:left="567" w:hanging="425"/>
        <w:jc w:val="both"/>
        <w:rPr>
          <w:rFonts w:ascii="Times New Roman" w:eastAsia="Calibri" w:hAnsi="Times New Roman" w:cs="Times New Roman"/>
          <w:color w:val="000000" w:themeColor="text1"/>
          <w:sz w:val="20"/>
          <w:szCs w:val="20"/>
          <w:lang w:val="en-GB"/>
        </w:rPr>
      </w:pPr>
      <w:bookmarkStart w:id="61" w:name="_Hlk69057004"/>
      <w:bookmarkStart w:id="62" w:name="_Hlk69056693"/>
      <w:r w:rsidRPr="00164238">
        <w:rPr>
          <w:rFonts w:ascii="Times New Roman" w:eastAsia="Calibri" w:hAnsi="Times New Roman" w:cs="Times New Roman"/>
          <w:color w:val="000000" w:themeColor="text1"/>
          <w:sz w:val="20"/>
          <w:szCs w:val="20"/>
          <w:lang w:val="en-GB"/>
        </w:rPr>
        <w:t>Sundström</w:t>
      </w:r>
      <w:bookmarkEnd w:id="61"/>
      <w:r w:rsidRPr="00164238">
        <w:rPr>
          <w:rFonts w:ascii="Times New Roman" w:eastAsia="Calibri" w:hAnsi="Times New Roman" w:cs="Times New Roman"/>
          <w:color w:val="000000" w:themeColor="text1"/>
          <w:sz w:val="20"/>
          <w:szCs w:val="20"/>
          <w:lang w:val="en-GB"/>
        </w:rPr>
        <w:t>,</w:t>
      </w:r>
      <w:bookmarkEnd w:id="62"/>
      <w:r w:rsidRPr="00164238">
        <w:rPr>
          <w:rFonts w:ascii="Times New Roman" w:eastAsia="Calibri" w:hAnsi="Times New Roman" w:cs="Times New Roman"/>
          <w:color w:val="000000" w:themeColor="text1"/>
          <w:sz w:val="20"/>
          <w:szCs w:val="20"/>
          <w:lang w:val="en-GB"/>
        </w:rPr>
        <w:t xml:space="preserve"> G. (2015). Administrative Reform. The Oxford Handbook of Swedish Politics. Jon Pierre (Ed.), </w:t>
      </w:r>
      <w:r w:rsidRPr="00164238">
        <w:rPr>
          <w:rFonts w:ascii="Times New Roman" w:eastAsia="Calibri" w:hAnsi="Times New Roman" w:cs="Times New Roman"/>
          <w:i/>
          <w:iCs/>
          <w:color w:val="000000" w:themeColor="text1"/>
          <w:sz w:val="20"/>
          <w:szCs w:val="20"/>
          <w:lang w:val="en-GB"/>
        </w:rPr>
        <w:t>Political Science, Public Administration, Comparative Politics</w:t>
      </w:r>
      <w:r w:rsidRPr="00164238">
        <w:rPr>
          <w:rFonts w:ascii="Times New Roman" w:eastAsia="Calibri" w:hAnsi="Times New Roman" w:cs="Times New Roman"/>
          <w:color w:val="000000" w:themeColor="text1"/>
          <w:sz w:val="20"/>
          <w:szCs w:val="20"/>
          <w:lang w:val="en-GB"/>
        </w:rPr>
        <w:t xml:space="preserve">. DOI: 10.1093/oxfordhb/9780199665679.013.45 </w:t>
      </w:r>
    </w:p>
    <w:p w14:paraId="7DC0AECE" w14:textId="77777777" w:rsidR="004C6717" w:rsidRPr="00164238" w:rsidRDefault="004C6717" w:rsidP="004C6717">
      <w:pPr>
        <w:spacing w:line="276" w:lineRule="auto"/>
        <w:ind w:left="567" w:hanging="425"/>
        <w:jc w:val="both"/>
        <w:rPr>
          <w:rFonts w:ascii="Times New Roman" w:eastAsia="Calibri" w:hAnsi="Times New Roman" w:cs="Times New Roman"/>
          <w:color w:val="000000" w:themeColor="text1"/>
          <w:sz w:val="20"/>
          <w:szCs w:val="20"/>
          <w:lang w:val="en-GB"/>
        </w:rPr>
      </w:pPr>
      <w:r w:rsidRPr="00164238">
        <w:rPr>
          <w:rFonts w:ascii="Times New Roman" w:eastAsia="Calibri" w:hAnsi="Times New Roman" w:cs="Times New Roman"/>
          <w:color w:val="000000" w:themeColor="text1"/>
          <w:sz w:val="20"/>
          <w:szCs w:val="20"/>
          <w:lang w:val="en-GB"/>
        </w:rPr>
        <w:t xml:space="preserve">Şat, N. (2009). Yeni Kamu Yönetimi Anlayışı: Weber Bürokrasisinin Sonu mu? </w:t>
      </w:r>
      <w:r w:rsidRPr="00164238">
        <w:rPr>
          <w:rFonts w:ascii="Times New Roman" w:eastAsia="Calibri" w:hAnsi="Times New Roman" w:cs="Times New Roman"/>
          <w:i/>
          <w:color w:val="000000" w:themeColor="text1"/>
          <w:sz w:val="20"/>
          <w:szCs w:val="20"/>
          <w:lang w:val="en-GB"/>
        </w:rPr>
        <w:t>Hitit Üniversitesi Sosyal Bilimler Enstitüsü Dergisi,</w:t>
      </w:r>
      <w:r w:rsidRPr="00164238">
        <w:rPr>
          <w:rFonts w:ascii="Times New Roman" w:eastAsia="Calibri" w:hAnsi="Times New Roman" w:cs="Times New Roman"/>
          <w:color w:val="000000" w:themeColor="text1"/>
          <w:sz w:val="20"/>
          <w:szCs w:val="20"/>
          <w:lang w:val="en-GB"/>
        </w:rPr>
        <w:t xml:space="preserve"> 2 (1), 93-108.</w:t>
      </w:r>
    </w:p>
    <w:p w14:paraId="63FF0A79" w14:textId="77777777" w:rsidR="004C6717" w:rsidRPr="00A40273" w:rsidRDefault="004C6717" w:rsidP="004C6717">
      <w:pPr>
        <w:spacing w:line="276" w:lineRule="auto"/>
        <w:ind w:left="567" w:hanging="425"/>
        <w:jc w:val="both"/>
        <w:rPr>
          <w:rFonts w:ascii="Times New Roman" w:hAnsi="Times New Roman" w:cs="Times New Roman"/>
          <w:color w:val="000000" w:themeColor="text1"/>
          <w:sz w:val="20"/>
          <w:szCs w:val="20"/>
          <w:lang w:val="en-GB"/>
        </w:rPr>
      </w:pPr>
      <w:r w:rsidRPr="00164238">
        <w:rPr>
          <w:rFonts w:ascii="Times New Roman" w:hAnsi="Times New Roman" w:cs="Times New Roman"/>
          <w:color w:val="000000" w:themeColor="text1"/>
          <w:sz w:val="20"/>
          <w:szCs w:val="20"/>
          <w:lang w:val="en-GB"/>
        </w:rPr>
        <w:t xml:space="preserve">United Nations (2020). </w:t>
      </w:r>
      <w:r w:rsidRPr="00164238">
        <w:rPr>
          <w:rFonts w:ascii="Times New Roman" w:hAnsi="Times New Roman" w:cs="Times New Roman"/>
          <w:i/>
          <w:iCs/>
          <w:color w:val="000000" w:themeColor="text1"/>
          <w:sz w:val="20"/>
          <w:szCs w:val="20"/>
          <w:lang w:val="en-GB"/>
        </w:rPr>
        <w:t>Human Development Index 2020 Report</w:t>
      </w:r>
      <w:r w:rsidRPr="00164238">
        <w:rPr>
          <w:rFonts w:ascii="Times New Roman" w:hAnsi="Times New Roman" w:cs="Times New Roman"/>
          <w:color w:val="000000" w:themeColor="text1"/>
          <w:sz w:val="20"/>
          <w:szCs w:val="20"/>
          <w:lang w:val="en-GB"/>
        </w:rPr>
        <w:t xml:space="preserve">. Erişim linki: </w:t>
      </w:r>
      <w:hyperlink r:id="rId94" w:history="1">
        <w:r w:rsidRPr="00A40273">
          <w:rPr>
            <w:rStyle w:val="Balk1Char"/>
            <w:rFonts w:ascii="Times New Roman" w:eastAsiaTheme="minorHAnsi" w:hAnsi="Times New Roman" w:cs="Times New Roman"/>
            <w:color w:val="000000" w:themeColor="text1"/>
            <w:sz w:val="20"/>
            <w:szCs w:val="20"/>
            <w:lang w:val="en-GB"/>
          </w:rPr>
          <w:t>http://hdr.undp.org/en/content/latest-human-development-index-ranking</w:t>
        </w:r>
      </w:hyperlink>
      <w:r w:rsidRPr="00A40273">
        <w:rPr>
          <w:rFonts w:ascii="Times New Roman" w:hAnsi="Times New Roman" w:cs="Times New Roman"/>
          <w:color w:val="000000" w:themeColor="text1"/>
          <w:sz w:val="20"/>
          <w:szCs w:val="20"/>
          <w:lang w:val="en-GB"/>
        </w:rPr>
        <w:t xml:space="preserve">  </w:t>
      </w:r>
    </w:p>
    <w:p w14:paraId="4A41A4B0" w14:textId="77777777" w:rsidR="004C6717" w:rsidRPr="00A40273" w:rsidRDefault="004C6717" w:rsidP="004C6717">
      <w:pPr>
        <w:spacing w:line="276" w:lineRule="auto"/>
        <w:ind w:left="567" w:hanging="425"/>
        <w:jc w:val="both"/>
        <w:rPr>
          <w:rFonts w:ascii="Times New Roman" w:hAnsi="Times New Roman" w:cs="Times New Roman"/>
          <w:color w:val="000000" w:themeColor="text1"/>
          <w:sz w:val="20"/>
          <w:szCs w:val="20"/>
          <w:lang w:val="en-GB"/>
        </w:rPr>
      </w:pPr>
      <w:bookmarkStart w:id="63" w:name="_Hlk69057393"/>
      <w:r w:rsidRPr="00A40273">
        <w:rPr>
          <w:rFonts w:ascii="Times New Roman" w:hAnsi="Times New Roman" w:cs="Times New Roman"/>
          <w:color w:val="000000" w:themeColor="text1"/>
          <w:sz w:val="20"/>
          <w:szCs w:val="20"/>
          <w:lang w:val="en-GB"/>
        </w:rPr>
        <w:t>Waldman, D., Sully de Luque, M., Washburn,</w:t>
      </w:r>
      <w:bookmarkEnd w:id="63"/>
      <w:r w:rsidRPr="00A40273">
        <w:rPr>
          <w:rFonts w:ascii="Times New Roman" w:hAnsi="Times New Roman" w:cs="Times New Roman"/>
          <w:color w:val="000000" w:themeColor="text1"/>
          <w:sz w:val="20"/>
          <w:szCs w:val="20"/>
          <w:lang w:val="en-GB"/>
        </w:rPr>
        <w:t xml:space="preserve"> N., House, R. J., Adetoun, B., Barrasa, A., Bobina, M., Bodur, M., Chen, Y. J., Debbarma, S., Dorfman, P., Dzuvichu, R. R., Evcimen, I., Fu, P., Grachev, M., Duarte, R. G., Gupta, V., Den Hartog, D. N., De Hoogh, A. H. B., Wilderom, C. P. M. ve diğerleri. (2006). Cultural and Leadership Predictors of Corporate Social Responsibility Values of Top Management: A GLOBE Study of 15 Countries. </w:t>
      </w:r>
      <w:r w:rsidRPr="00A40273">
        <w:rPr>
          <w:rFonts w:ascii="Times New Roman" w:hAnsi="Times New Roman" w:cs="Times New Roman"/>
          <w:i/>
          <w:iCs/>
          <w:color w:val="000000" w:themeColor="text1"/>
          <w:sz w:val="20"/>
          <w:szCs w:val="20"/>
          <w:lang w:val="en-GB"/>
        </w:rPr>
        <w:t>Journal of International Business Studies</w:t>
      </w:r>
      <w:r w:rsidRPr="00A40273">
        <w:rPr>
          <w:rFonts w:ascii="Times New Roman" w:hAnsi="Times New Roman" w:cs="Times New Roman"/>
          <w:color w:val="000000" w:themeColor="text1"/>
          <w:sz w:val="20"/>
          <w:szCs w:val="20"/>
          <w:lang w:val="en-GB"/>
        </w:rPr>
        <w:t xml:space="preserve">. 37, 823–837. </w:t>
      </w:r>
      <w:hyperlink r:id="rId95" w:history="1">
        <w:r w:rsidRPr="00A40273">
          <w:rPr>
            <w:rStyle w:val="Balk1Char"/>
            <w:rFonts w:ascii="Times New Roman" w:eastAsiaTheme="minorHAnsi" w:hAnsi="Times New Roman" w:cs="Times New Roman"/>
            <w:color w:val="000000" w:themeColor="text1"/>
            <w:sz w:val="20"/>
            <w:szCs w:val="20"/>
            <w:lang w:val="en-GB"/>
          </w:rPr>
          <w:t>https://doi.org/10.1057/palgrave.jibs.8400230</w:t>
        </w:r>
      </w:hyperlink>
      <w:r w:rsidRPr="00A40273">
        <w:rPr>
          <w:rFonts w:ascii="Times New Roman" w:hAnsi="Times New Roman" w:cs="Times New Roman"/>
          <w:color w:val="000000" w:themeColor="text1"/>
          <w:sz w:val="20"/>
          <w:szCs w:val="20"/>
          <w:lang w:val="en-GB"/>
        </w:rPr>
        <w:t xml:space="preserve"> </w:t>
      </w:r>
    </w:p>
    <w:p w14:paraId="5357E0E2" w14:textId="77777777" w:rsidR="004C6717" w:rsidRPr="00A40273" w:rsidRDefault="004C6717" w:rsidP="004C6717">
      <w:pPr>
        <w:spacing w:line="276" w:lineRule="auto"/>
        <w:ind w:left="567" w:hanging="425"/>
        <w:jc w:val="both"/>
        <w:rPr>
          <w:rFonts w:ascii="Times New Roman" w:eastAsia="Calibri" w:hAnsi="Times New Roman" w:cs="Times New Roman"/>
          <w:color w:val="000000" w:themeColor="text1"/>
          <w:sz w:val="20"/>
          <w:szCs w:val="20"/>
          <w:lang w:val="en-GB"/>
        </w:rPr>
      </w:pPr>
      <w:r w:rsidRPr="00A40273">
        <w:rPr>
          <w:rFonts w:ascii="Times New Roman" w:eastAsia="Calibri" w:hAnsi="Times New Roman" w:cs="Times New Roman"/>
          <w:color w:val="000000" w:themeColor="text1"/>
          <w:sz w:val="20"/>
          <w:szCs w:val="20"/>
          <w:lang w:val="en-GB"/>
        </w:rPr>
        <w:lastRenderedPageBreak/>
        <w:t xml:space="preserve">Wegrich, K. (2015). Accommodating a Foreign Object: Federalism, Coordination and Performance Management in the Reform of German Employment Administration. </w:t>
      </w:r>
      <w:r w:rsidRPr="00A40273">
        <w:rPr>
          <w:rFonts w:ascii="Times New Roman" w:eastAsia="Calibri" w:hAnsi="Times New Roman" w:cs="Times New Roman"/>
          <w:i/>
          <w:iCs/>
          <w:color w:val="000000" w:themeColor="text1"/>
          <w:sz w:val="20"/>
          <w:szCs w:val="20"/>
          <w:lang w:val="en-GB"/>
        </w:rPr>
        <w:t xml:space="preserve">Public Management Review, </w:t>
      </w:r>
      <w:r w:rsidRPr="00A40273">
        <w:rPr>
          <w:rFonts w:ascii="Times New Roman" w:eastAsia="Calibri" w:hAnsi="Times New Roman" w:cs="Times New Roman"/>
          <w:color w:val="000000" w:themeColor="text1"/>
          <w:sz w:val="20"/>
          <w:szCs w:val="20"/>
          <w:lang w:val="en-GB"/>
        </w:rPr>
        <w:t xml:space="preserve">17 (7), 940-959, DOI: 10.1080/14719037.2015.1029345   </w:t>
      </w:r>
    </w:p>
    <w:p w14:paraId="6D5B1BFC" w14:textId="77777777" w:rsidR="004C6717" w:rsidRPr="00A40273" w:rsidRDefault="004C6717" w:rsidP="004C6717">
      <w:pPr>
        <w:autoSpaceDE w:val="0"/>
        <w:autoSpaceDN w:val="0"/>
        <w:adjustRightInd w:val="0"/>
        <w:spacing w:after="0" w:line="276" w:lineRule="auto"/>
        <w:ind w:left="567" w:hanging="425"/>
        <w:jc w:val="both"/>
        <w:rPr>
          <w:rFonts w:ascii="Times New Roman" w:hAnsi="Times New Roman" w:cs="Times New Roman"/>
          <w:color w:val="000000" w:themeColor="text1"/>
          <w:sz w:val="20"/>
          <w:szCs w:val="20"/>
          <w:lang w:val="en-GB"/>
        </w:rPr>
      </w:pPr>
      <w:r w:rsidRPr="00A40273">
        <w:rPr>
          <w:rFonts w:ascii="Times New Roman" w:hAnsi="Times New Roman" w:cs="Times New Roman"/>
          <w:color w:val="000000" w:themeColor="text1"/>
          <w:sz w:val="20"/>
          <w:szCs w:val="20"/>
          <w:lang w:val="en-GB"/>
        </w:rPr>
        <w:t xml:space="preserve">Wimmer, N. (2007). Reform of Public Administration in Austria. </w:t>
      </w:r>
      <w:r w:rsidRPr="00A40273">
        <w:rPr>
          <w:rFonts w:ascii="Times New Roman" w:hAnsi="Times New Roman" w:cs="Times New Roman"/>
          <w:i/>
          <w:iCs/>
          <w:color w:val="000000" w:themeColor="text1"/>
          <w:sz w:val="20"/>
          <w:szCs w:val="20"/>
          <w:lang w:val="en-GB"/>
        </w:rPr>
        <w:t>Hrvatska Javna Uprava</w:t>
      </w:r>
      <w:r w:rsidRPr="00A40273">
        <w:rPr>
          <w:rFonts w:ascii="Times New Roman" w:hAnsi="Times New Roman" w:cs="Times New Roman"/>
          <w:color w:val="000000" w:themeColor="text1"/>
          <w:sz w:val="20"/>
          <w:szCs w:val="20"/>
          <w:lang w:val="en-GB"/>
        </w:rPr>
        <w:t>, 7(3) 635-657.</w:t>
      </w:r>
    </w:p>
    <w:p w14:paraId="5B4D833D" w14:textId="77777777" w:rsidR="004C6717" w:rsidRPr="00A40273" w:rsidRDefault="004C6717" w:rsidP="004C6717">
      <w:pPr>
        <w:spacing w:line="276" w:lineRule="auto"/>
        <w:ind w:left="567" w:hanging="425"/>
        <w:jc w:val="both"/>
        <w:rPr>
          <w:rFonts w:ascii="Times New Roman" w:hAnsi="Times New Roman" w:cs="Times New Roman"/>
          <w:color w:val="000000" w:themeColor="text1"/>
          <w:sz w:val="20"/>
          <w:szCs w:val="20"/>
          <w:shd w:val="clear" w:color="auto" w:fill="FFFFFF"/>
        </w:rPr>
      </w:pPr>
      <w:r w:rsidRPr="00A40273">
        <w:rPr>
          <w:rFonts w:ascii="Times New Roman" w:eastAsia="Calibri" w:hAnsi="Times New Roman" w:cs="Times New Roman"/>
          <w:color w:val="000000" w:themeColor="text1"/>
          <w:sz w:val="20"/>
          <w:szCs w:val="20"/>
          <w:lang w:val="en-GB"/>
        </w:rPr>
        <w:t xml:space="preserve">Wockelberg, H., &amp; Shirin, A. Ö. </w:t>
      </w:r>
      <w:r w:rsidRPr="00A40273">
        <w:rPr>
          <w:rFonts w:ascii="Times New Roman" w:hAnsi="Times New Roman" w:cs="Times New Roman"/>
          <w:color w:val="000000" w:themeColor="text1"/>
          <w:sz w:val="20"/>
          <w:szCs w:val="20"/>
          <w:shd w:val="clear" w:color="auto" w:fill="FFFFFF"/>
        </w:rPr>
        <w:t xml:space="preserve">(2016). Reinventing the Old Reform Agenda: Public Administrative Reform and Performance in Sweden. </w:t>
      </w:r>
      <w:r w:rsidRPr="00A40273">
        <w:rPr>
          <w:rFonts w:ascii="Times New Roman" w:eastAsia="Calibri" w:hAnsi="Times New Roman" w:cs="Times New Roman"/>
          <w:color w:val="000000" w:themeColor="text1"/>
          <w:sz w:val="20"/>
          <w:szCs w:val="20"/>
          <w:lang w:val="en-GB"/>
        </w:rPr>
        <w:t>Gerard Hammerschmid, Steven Van de Walle, Rhys Andrews, &amp; Philippe Bezes (Ed.),</w:t>
      </w:r>
      <w:r w:rsidRPr="00A40273">
        <w:rPr>
          <w:rFonts w:ascii="Times New Roman" w:hAnsi="Times New Roman" w:cs="Times New Roman"/>
          <w:color w:val="000000" w:themeColor="text1"/>
          <w:sz w:val="20"/>
          <w:szCs w:val="20"/>
          <w:shd w:val="clear" w:color="auto" w:fill="FFFFFF"/>
        </w:rPr>
        <w:t xml:space="preserve"> </w:t>
      </w:r>
      <w:r w:rsidRPr="00A40273">
        <w:rPr>
          <w:rFonts w:ascii="Times New Roman" w:hAnsi="Times New Roman" w:cs="Times New Roman"/>
          <w:i/>
          <w:iCs/>
          <w:color w:val="000000" w:themeColor="text1"/>
          <w:sz w:val="20"/>
          <w:szCs w:val="20"/>
          <w:shd w:val="clear" w:color="auto" w:fill="FFFFFF"/>
        </w:rPr>
        <w:t>Public Administration Reforms in Europe: The View from the Top içinde</w:t>
      </w:r>
      <w:r w:rsidRPr="00A40273">
        <w:rPr>
          <w:rFonts w:ascii="Times New Roman" w:hAnsi="Times New Roman" w:cs="Times New Roman"/>
          <w:color w:val="000000" w:themeColor="text1"/>
          <w:sz w:val="20"/>
          <w:szCs w:val="20"/>
          <w:shd w:val="clear" w:color="auto" w:fill="FFFFFF"/>
        </w:rPr>
        <w:t>. (s. 162-172). UK: Edward Elgar.</w:t>
      </w:r>
    </w:p>
    <w:p w14:paraId="47B09C31" w14:textId="77777777" w:rsidR="004C6717" w:rsidRPr="00A40273" w:rsidRDefault="004C6717" w:rsidP="004C6717">
      <w:pPr>
        <w:spacing w:line="276" w:lineRule="auto"/>
        <w:ind w:left="567" w:hanging="425"/>
        <w:jc w:val="both"/>
        <w:rPr>
          <w:rFonts w:ascii="Times New Roman" w:eastAsia="Calibri" w:hAnsi="Times New Roman" w:cs="Times New Roman"/>
          <w:color w:val="000000" w:themeColor="text1"/>
          <w:sz w:val="20"/>
          <w:szCs w:val="20"/>
          <w:lang w:val="en-GB"/>
        </w:rPr>
      </w:pPr>
      <w:r w:rsidRPr="00A40273">
        <w:rPr>
          <w:rFonts w:ascii="Times New Roman" w:eastAsia="Calibri" w:hAnsi="Times New Roman" w:cs="Times New Roman"/>
          <w:color w:val="000000" w:themeColor="text1"/>
          <w:sz w:val="20"/>
          <w:szCs w:val="20"/>
          <w:lang w:val="en-GB"/>
        </w:rPr>
        <w:t xml:space="preserve">World Bank. (2021). Worldwide Governance Indicators. Erişim Tarihi: 8 Nisan 2021, Erişim Linki: </w:t>
      </w:r>
      <w:hyperlink r:id="rId96" w:history="1">
        <w:r w:rsidRPr="00A40273">
          <w:rPr>
            <w:rStyle w:val="Balk1Char"/>
            <w:rFonts w:ascii="Times New Roman" w:eastAsia="Calibri" w:hAnsi="Times New Roman" w:cs="Times New Roman"/>
            <w:color w:val="000000" w:themeColor="text1"/>
            <w:sz w:val="20"/>
            <w:szCs w:val="20"/>
            <w:lang w:val="en-GB"/>
          </w:rPr>
          <w:t>https://databank.worldbank.org/reports.aspx?source=worldwide-governance-indicators</w:t>
        </w:r>
      </w:hyperlink>
      <w:r w:rsidRPr="00A40273">
        <w:rPr>
          <w:rFonts w:ascii="Times New Roman" w:eastAsia="Calibri" w:hAnsi="Times New Roman" w:cs="Times New Roman"/>
          <w:color w:val="000000" w:themeColor="text1"/>
          <w:sz w:val="20"/>
          <w:szCs w:val="20"/>
          <w:lang w:val="en-GB"/>
        </w:rPr>
        <w:t xml:space="preserve"> </w:t>
      </w:r>
    </w:p>
    <w:p w14:paraId="5D64E641" w14:textId="77777777" w:rsidR="004C6717" w:rsidRPr="00A40273" w:rsidRDefault="004C6717" w:rsidP="004C6717">
      <w:pPr>
        <w:spacing w:line="276" w:lineRule="auto"/>
        <w:ind w:left="567" w:hanging="425"/>
        <w:jc w:val="both"/>
        <w:rPr>
          <w:rFonts w:ascii="Times New Roman" w:hAnsi="Times New Roman" w:cs="Times New Roman"/>
          <w:color w:val="000000" w:themeColor="text1"/>
          <w:sz w:val="20"/>
          <w:szCs w:val="20"/>
          <w:lang w:val="en-GB"/>
        </w:rPr>
      </w:pPr>
      <w:r w:rsidRPr="00A40273">
        <w:rPr>
          <w:rFonts w:ascii="Times New Roman" w:hAnsi="Times New Roman" w:cs="Times New Roman"/>
          <w:color w:val="000000" w:themeColor="text1"/>
          <w:sz w:val="20"/>
          <w:szCs w:val="20"/>
          <w:lang w:val="en-GB"/>
        </w:rPr>
        <w:t>World Health Organization (2021).</w:t>
      </w:r>
      <w:r w:rsidRPr="00A40273">
        <w:rPr>
          <w:rFonts w:ascii="Times New Roman" w:hAnsi="Times New Roman" w:cs="Times New Roman"/>
          <w:color w:val="000000" w:themeColor="text1"/>
          <w:sz w:val="20"/>
          <w:szCs w:val="20"/>
        </w:rPr>
        <w:t xml:space="preserve"> </w:t>
      </w:r>
      <w:r w:rsidRPr="00A40273">
        <w:rPr>
          <w:rFonts w:ascii="Times New Roman" w:hAnsi="Times New Roman" w:cs="Times New Roman"/>
          <w:color w:val="000000" w:themeColor="text1"/>
          <w:sz w:val="20"/>
          <w:szCs w:val="20"/>
          <w:lang w:val="en-GB"/>
        </w:rPr>
        <w:t xml:space="preserve">WHO Coronavirus (COVID-19) Dashboard Overview. Erişim Tarihi: 4 Nisan 2021, Erişim Linki: </w:t>
      </w:r>
      <w:hyperlink r:id="rId97" w:history="1">
        <w:r w:rsidRPr="00A40273">
          <w:rPr>
            <w:rStyle w:val="Balk1Char"/>
            <w:rFonts w:ascii="Times New Roman" w:eastAsiaTheme="minorHAnsi" w:hAnsi="Times New Roman" w:cs="Times New Roman"/>
            <w:color w:val="000000" w:themeColor="text1"/>
            <w:sz w:val="20"/>
            <w:szCs w:val="20"/>
            <w:lang w:val="en-GB"/>
          </w:rPr>
          <w:t>https://covid19.who.int/</w:t>
        </w:r>
      </w:hyperlink>
      <w:r w:rsidRPr="00A40273">
        <w:rPr>
          <w:rFonts w:ascii="Times New Roman" w:hAnsi="Times New Roman" w:cs="Times New Roman"/>
          <w:color w:val="000000" w:themeColor="text1"/>
          <w:sz w:val="20"/>
          <w:szCs w:val="20"/>
          <w:lang w:val="en-GB"/>
        </w:rPr>
        <w:t xml:space="preserve"> </w:t>
      </w:r>
    </w:p>
    <w:p w14:paraId="02E23F62" w14:textId="77777777" w:rsidR="004C6717" w:rsidRPr="00164238" w:rsidRDefault="004C6717" w:rsidP="004C6717">
      <w:pPr>
        <w:spacing w:line="276" w:lineRule="auto"/>
        <w:ind w:left="567" w:hanging="425"/>
        <w:jc w:val="both"/>
        <w:rPr>
          <w:rFonts w:ascii="Times New Roman" w:eastAsia="Calibri" w:hAnsi="Times New Roman" w:cs="Times New Roman"/>
          <w:color w:val="000000" w:themeColor="text1"/>
          <w:sz w:val="20"/>
          <w:szCs w:val="20"/>
          <w:lang w:val="en-GB"/>
        </w:rPr>
      </w:pPr>
      <w:bookmarkStart w:id="64" w:name="_Hlk69057041"/>
      <w:r w:rsidRPr="00A40273">
        <w:rPr>
          <w:rFonts w:ascii="Times New Roman" w:hAnsi="Times New Roman" w:cs="Times New Roman"/>
          <w:color w:val="000000" w:themeColor="text1"/>
          <w:sz w:val="20"/>
          <w:szCs w:val="20"/>
        </w:rPr>
        <w:t>Zavattaro, S. M., &amp; McCandless</w:t>
      </w:r>
      <w:bookmarkEnd w:id="64"/>
      <w:r w:rsidRPr="00A40273">
        <w:rPr>
          <w:rFonts w:ascii="Times New Roman" w:hAnsi="Times New Roman" w:cs="Times New Roman"/>
          <w:color w:val="000000" w:themeColor="text1"/>
          <w:sz w:val="20"/>
          <w:szCs w:val="20"/>
        </w:rPr>
        <w:t>, S. A. (2020). Editor’s Introduction: Our Public</w:t>
      </w:r>
      <w:r w:rsidRPr="00164238">
        <w:rPr>
          <w:rFonts w:ascii="Times New Roman" w:hAnsi="Times New Roman" w:cs="Times New Roman"/>
          <w:color w:val="000000" w:themeColor="text1"/>
          <w:sz w:val="20"/>
          <w:szCs w:val="20"/>
        </w:rPr>
        <w:t xml:space="preserve"> Service Manifesto During Pandemic. </w:t>
      </w:r>
      <w:r w:rsidRPr="00164238">
        <w:rPr>
          <w:rFonts w:ascii="Times New Roman" w:hAnsi="Times New Roman" w:cs="Times New Roman"/>
          <w:i/>
          <w:iCs/>
          <w:color w:val="000000" w:themeColor="text1"/>
          <w:sz w:val="20"/>
          <w:szCs w:val="20"/>
        </w:rPr>
        <w:t>Administrative Theory &amp; Praxis</w:t>
      </w:r>
      <w:r w:rsidRPr="00164238">
        <w:rPr>
          <w:rFonts w:ascii="Times New Roman" w:hAnsi="Times New Roman" w:cs="Times New Roman"/>
          <w:color w:val="000000" w:themeColor="text1"/>
          <w:sz w:val="20"/>
          <w:szCs w:val="20"/>
        </w:rPr>
        <w:t>, 42 (2), 233-239, DOI: 10.1080/10841806.2020.1752593</w:t>
      </w:r>
    </w:p>
    <w:p w14:paraId="3CA63811" w14:textId="77777777" w:rsidR="004C6717" w:rsidRPr="00164238" w:rsidRDefault="004C6717" w:rsidP="004C6717">
      <w:pPr>
        <w:spacing w:line="276" w:lineRule="auto"/>
        <w:ind w:left="567" w:hanging="425"/>
        <w:jc w:val="both"/>
        <w:rPr>
          <w:rFonts w:ascii="Times New Roman" w:eastAsia="Calibri" w:hAnsi="Times New Roman" w:cs="Times New Roman"/>
          <w:color w:val="000000" w:themeColor="text1"/>
          <w:sz w:val="20"/>
          <w:szCs w:val="20"/>
          <w:lang w:val="en-GB"/>
        </w:rPr>
      </w:pPr>
      <w:r w:rsidRPr="00164238">
        <w:rPr>
          <w:rFonts w:ascii="Times New Roman" w:hAnsi="Times New Roman" w:cs="Times New Roman"/>
          <w:color w:val="000000" w:themeColor="text1"/>
          <w:sz w:val="20"/>
          <w:szCs w:val="20"/>
          <w:shd w:val="clear" w:color="auto" w:fill="FFFFFF"/>
        </w:rPr>
        <w:t>Ziller, J. (2003). The Continental System of Administrative Legality. Guys Peters &amp; John Pierre (Ed.), </w:t>
      </w:r>
      <w:r w:rsidRPr="00164238">
        <w:rPr>
          <w:rFonts w:ascii="Times New Roman" w:hAnsi="Times New Roman" w:cs="Times New Roman"/>
          <w:i/>
          <w:iCs/>
          <w:color w:val="000000" w:themeColor="text1"/>
          <w:sz w:val="20"/>
          <w:szCs w:val="20"/>
          <w:shd w:val="clear" w:color="auto" w:fill="FFFFFF"/>
        </w:rPr>
        <w:t>Handbook of Public Administration</w:t>
      </w:r>
      <w:r w:rsidRPr="00164238">
        <w:rPr>
          <w:rFonts w:ascii="Times New Roman" w:hAnsi="Times New Roman" w:cs="Times New Roman"/>
          <w:color w:val="000000" w:themeColor="text1"/>
          <w:sz w:val="20"/>
          <w:szCs w:val="20"/>
          <w:shd w:val="clear" w:color="auto" w:fill="FFFFFF"/>
        </w:rPr>
        <w:t> içinde (s. 260–268). London, UK: Sage.</w:t>
      </w:r>
    </w:p>
    <w:p w14:paraId="20C73D47" w14:textId="2688FBA1" w:rsidR="00057033" w:rsidRPr="00164238" w:rsidRDefault="00057033" w:rsidP="00F17FEC">
      <w:pPr>
        <w:spacing w:before="120" w:after="120" w:line="360" w:lineRule="auto"/>
        <w:jc w:val="both"/>
        <w:rPr>
          <w:rFonts w:ascii="Times New Roman" w:hAnsi="Times New Roman" w:cs="Times New Roman"/>
          <w:color w:val="000000" w:themeColor="text1"/>
        </w:rPr>
      </w:pPr>
    </w:p>
    <w:p w14:paraId="6B82FB30" w14:textId="77777777" w:rsidR="00A40273" w:rsidRDefault="00A40273">
      <w:pPr>
        <w:rPr>
          <w:rFonts w:ascii="Times New Roman" w:eastAsiaTheme="majorEastAsia" w:hAnsi="Times New Roman" w:cs="Times New Roman"/>
          <w:b/>
          <w:bCs/>
          <w:color w:val="000000" w:themeColor="text1"/>
          <w:sz w:val="24"/>
          <w:szCs w:val="24"/>
          <w:lang w:val="en-US" w:eastAsia="tr-TR"/>
        </w:rPr>
      </w:pPr>
      <w:r>
        <w:rPr>
          <w:rFonts w:ascii="Times New Roman" w:hAnsi="Times New Roman" w:cs="Times New Roman"/>
          <w:b/>
          <w:bCs/>
          <w:color w:val="000000" w:themeColor="text1"/>
          <w:sz w:val="24"/>
          <w:szCs w:val="24"/>
          <w:lang w:val="en-US"/>
        </w:rPr>
        <w:br w:type="page"/>
      </w:r>
    </w:p>
    <w:p w14:paraId="257E2E07" w14:textId="2144E7F2" w:rsidR="00741745" w:rsidRPr="00164238" w:rsidRDefault="00741745" w:rsidP="00A40B57">
      <w:pPr>
        <w:pStyle w:val="Balk1"/>
        <w:rPr>
          <w:rFonts w:ascii="Times New Roman" w:hAnsi="Times New Roman" w:cs="Times New Roman"/>
          <w:b/>
          <w:bCs/>
          <w:color w:val="000000" w:themeColor="text1"/>
          <w:sz w:val="24"/>
          <w:szCs w:val="24"/>
          <w:lang w:val="en-US"/>
        </w:rPr>
      </w:pPr>
      <w:bookmarkStart w:id="65" w:name="_Toc72961679"/>
      <w:r w:rsidRPr="00164238">
        <w:rPr>
          <w:rFonts w:ascii="Times New Roman" w:hAnsi="Times New Roman" w:cs="Times New Roman"/>
          <w:b/>
          <w:bCs/>
          <w:color w:val="000000" w:themeColor="text1"/>
          <w:sz w:val="24"/>
          <w:szCs w:val="24"/>
          <w:lang w:val="en-US"/>
        </w:rPr>
        <w:lastRenderedPageBreak/>
        <w:t>THE EFFECT OF SUPERVISORS’ VIRTUAL TECHNOLOGY COMPETENCE ON THEIR LEADERSHIP EFFECTIVENESS</w:t>
      </w:r>
      <w:bookmarkEnd w:id="65"/>
    </w:p>
    <w:p w14:paraId="74B87F4F" w14:textId="77777777" w:rsidR="00741745" w:rsidRPr="00164238" w:rsidRDefault="00741745" w:rsidP="00741745">
      <w:pPr>
        <w:spacing w:before="120"/>
        <w:jc w:val="both"/>
        <w:rPr>
          <w:rFonts w:ascii="Times New Roman" w:hAnsi="Times New Roman" w:cs="Times New Roman"/>
          <w:b/>
          <w:bCs/>
          <w:color w:val="000000" w:themeColor="text1"/>
          <w:lang w:val="en-US"/>
        </w:rPr>
      </w:pPr>
    </w:p>
    <w:p w14:paraId="04EBB3D4" w14:textId="77777777" w:rsidR="00A40B57" w:rsidRPr="00164238" w:rsidRDefault="00A40B57" w:rsidP="000214F4">
      <w:pPr>
        <w:pStyle w:val="Balk2"/>
        <w:rPr>
          <w:rFonts w:ascii="Times New Roman" w:eastAsia="Arial" w:hAnsi="Times New Roman" w:cs="Times New Roman"/>
          <w:b w:val="0"/>
          <w:i w:val="0"/>
          <w:color w:val="000000" w:themeColor="text1"/>
          <w:sz w:val="20"/>
          <w:szCs w:val="20"/>
        </w:rPr>
      </w:pPr>
      <w:bookmarkStart w:id="66" w:name="_Toc72961680"/>
      <w:r w:rsidRPr="00164238">
        <w:rPr>
          <w:rFonts w:ascii="Times New Roman" w:hAnsi="Times New Roman" w:cs="Times New Roman"/>
          <w:b w:val="0"/>
          <w:i w:val="0"/>
          <w:color w:val="000000" w:themeColor="text1"/>
          <w:sz w:val="20"/>
          <w:szCs w:val="20"/>
        </w:rPr>
        <w:t>Assist. Prof. Dr. Aynur TAS</w:t>
      </w:r>
      <w:r w:rsidRPr="00164238">
        <w:rPr>
          <w:rFonts w:ascii="Times New Roman" w:hAnsi="Times New Roman" w:cs="Times New Roman"/>
          <w:b w:val="0"/>
          <w:color w:val="000000" w:themeColor="text1"/>
          <w:sz w:val="20"/>
          <w:szCs w:val="20"/>
        </w:rPr>
        <w:t>, Hakkari University, Faculty</w:t>
      </w:r>
      <w:r w:rsidRPr="00164238">
        <w:rPr>
          <w:rFonts w:ascii="Times New Roman" w:hAnsi="Times New Roman" w:cs="Times New Roman"/>
          <w:b w:val="0"/>
          <w:color w:val="000000" w:themeColor="text1"/>
          <w:sz w:val="20"/>
          <w:szCs w:val="20"/>
          <w:shd w:val="clear" w:color="auto" w:fill="FFFFFF"/>
        </w:rPr>
        <w:t xml:space="preserve"> of </w:t>
      </w:r>
      <w:r w:rsidRPr="00164238">
        <w:rPr>
          <w:rFonts w:ascii="Times New Roman" w:hAnsi="Times New Roman" w:cs="Times New Roman"/>
          <w:b w:val="0"/>
          <w:color w:val="000000" w:themeColor="text1"/>
          <w:sz w:val="20"/>
          <w:szCs w:val="20"/>
        </w:rPr>
        <w:t>Economics</w:t>
      </w:r>
      <w:r w:rsidRPr="00164238">
        <w:rPr>
          <w:rFonts w:ascii="Times New Roman" w:hAnsi="Times New Roman" w:cs="Times New Roman"/>
          <w:b w:val="0"/>
          <w:color w:val="000000" w:themeColor="text1"/>
          <w:sz w:val="20"/>
          <w:szCs w:val="20"/>
          <w:shd w:val="clear" w:color="auto" w:fill="FFFFFF"/>
        </w:rPr>
        <w:t xml:space="preserve"> and </w:t>
      </w:r>
      <w:r w:rsidRPr="00164238">
        <w:rPr>
          <w:rFonts w:ascii="Times New Roman" w:hAnsi="Times New Roman" w:cs="Times New Roman"/>
          <w:b w:val="0"/>
          <w:color w:val="000000" w:themeColor="text1"/>
          <w:sz w:val="20"/>
          <w:szCs w:val="20"/>
        </w:rPr>
        <w:t>Administrative</w:t>
      </w:r>
      <w:r w:rsidRPr="00164238">
        <w:rPr>
          <w:rFonts w:ascii="Times New Roman" w:hAnsi="Times New Roman" w:cs="Times New Roman"/>
          <w:b w:val="0"/>
          <w:color w:val="000000" w:themeColor="text1"/>
          <w:sz w:val="20"/>
          <w:szCs w:val="20"/>
          <w:shd w:val="clear" w:color="auto" w:fill="FFFFFF"/>
        </w:rPr>
        <w:t xml:space="preserve"> Sciences</w:t>
      </w:r>
      <w:r w:rsidRPr="00164238">
        <w:rPr>
          <w:rFonts w:ascii="Times New Roman" w:hAnsi="Times New Roman" w:cs="Times New Roman"/>
          <w:b w:val="0"/>
          <w:color w:val="000000" w:themeColor="text1"/>
          <w:sz w:val="20"/>
          <w:szCs w:val="20"/>
        </w:rPr>
        <w:t>, Department of Business Administration,</w:t>
      </w:r>
      <w:r w:rsidRPr="00164238">
        <w:rPr>
          <w:rFonts w:ascii="Times New Roman" w:eastAsia="Arial" w:hAnsi="Times New Roman" w:cs="Times New Roman"/>
          <w:b w:val="0"/>
          <w:color w:val="000000" w:themeColor="text1"/>
          <w:sz w:val="20"/>
          <w:szCs w:val="20"/>
        </w:rPr>
        <w:t xml:space="preserve"> Hakkari, Turkey</w:t>
      </w:r>
      <w:bookmarkEnd w:id="66"/>
    </w:p>
    <w:p w14:paraId="615E6DCE" w14:textId="77777777" w:rsidR="00A40B57" w:rsidRPr="00164238" w:rsidRDefault="00A40B57" w:rsidP="00A40B57">
      <w:pPr>
        <w:jc w:val="both"/>
        <w:rPr>
          <w:rStyle w:val="pull-right"/>
          <w:rFonts w:ascii="Times New Roman" w:hAnsi="Times New Roman" w:cs="Times New Roman"/>
          <w:color w:val="000000" w:themeColor="text1"/>
          <w:sz w:val="20"/>
          <w:szCs w:val="20"/>
        </w:rPr>
      </w:pPr>
      <w:r w:rsidRPr="00164238">
        <w:rPr>
          <w:rFonts w:ascii="Times New Roman" w:eastAsia="Arial" w:hAnsi="Times New Roman" w:cs="Times New Roman"/>
          <w:i/>
          <w:color w:val="000000" w:themeColor="text1"/>
          <w:sz w:val="20"/>
          <w:szCs w:val="20"/>
        </w:rPr>
        <w:t xml:space="preserve">e-mail: </w:t>
      </w:r>
      <w:r w:rsidRPr="00164238">
        <w:rPr>
          <w:rFonts w:ascii="Times New Roman" w:eastAsia="Arial" w:hAnsi="Times New Roman" w:cs="Times New Roman"/>
          <w:i/>
          <w:color w:val="000000" w:themeColor="text1"/>
          <w:sz w:val="20"/>
          <w:szCs w:val="20"/>
          <w:u w:val="single"/>
        </w:rPr>
        <w:t>aynurtas@hakkari.edu.tr</w:t>
      </w:r>
      <w:r w:rsidRPr="00164238">
        <w:rPr>
          <w:rFonts w:ascii="Times New Roman" w:eastAsia="Arial" w:hAnsi="Times New Roman" w:cs="Times New Roman"/>
          <w:i/>
          <w:color w:val="000000" w:themeColor="text1"/>
          <w:sz w:val="20"/>
          <w:szCs w:val="20"/>
        </w:rPr>
        <w:t xml:space="preserve"> ORCID ID:  </w:t>
      </w:r>
      <w:r w:rsidRPr="00164238">
        <w:rPr>
          <w:rStyle w:val="pull-right"/>
          <w:rFonts w:ascii="Times New Roman" w:hAnsi="Times New Roman" w:cs="Times New Roman"/>
          <w:color w:val="000000" w:themeColor="text1"/>
          <w:sz w:val="20"/>
          <w:szCs w:val="20"/>
        </w:rPr>
        <w:t>0000-0001-6810-8358</w:t>
      </w:r>
    </w:p>
    <w:p w14:paraId="55170A95" w14:textId="77777777" w:rsidR="00741745" w:rsidRPr="00164238" w:rsidRDefault="00741745" w:rsidP="00741745">
      <w:pPr>
        <w:spacing w:before="120"/>
        <w:jc w:val="both"/>
        <w:rPr>
          <w:rFonts w:ascii="Times New Roman" w:hAnsi="Times New Roman" w:cs="Times New Roman"/>
          <w:color w:val="000000" w:themeColor="text1"/>
          <w:lang w:val="en-US"/>
        </w:rPr>
      </w:pPr>
    </w:p>
    <w:p w14:paraId="6FFDD150" w14:textId="77777777" w:rsidR="00741745" w:rsidRPr="00164238" w:rsidRDefault="00741745" w:rsidP="00741745">
      <w:pPr>
        <w:spacing w:before="120"/>
        <w:ind w:firstLine="708"/>
        <w:jc w:val="both"/>
        <w:rPr>
          <w:rFonts w:ascii="Times New Roman" w:hAnsi="Times New Roman" w:cs="Times New Roman"/>
          <w:b/>
          <w:bCs/>
          <w:color w:val="000000" w:themeColor="text1"/>
          <w:lang w:val="en-US"/>
        </w:rPr>
      </w:pPr>
      <w:r w:rsidRPr="00164238">
        <w:rPr>
          <w:rFonts w:ascii="Times New Roman" w:hAnsi="Times New Roman" w:cs="Times New Roman"/>
          <w:b/>
          <w:bCs/>
          <w:color w:val="000000" w:themeColor="text1"/>
          <w:lang w:val="en-US"/>
        </w:rPr>
        <w:t>Abstract</w:t>
      </w:r>
    </w:p>
    <w:p w14:paraId="7753EC6F" w14:textId="77777777" w:rsidR="00741745" w:rsidRPr="00164238" w:rsidRDefault="00741745" w:rsidP="00741745">
      <w:pPr>
        <w:spacing w:before="120"/>
        <w:ind w:firstLine="708"/>
        <w:jc w:val="both"/>
        <w:rPr>
          <w:rFonts w:ascii="Times New Roman" w:hAnsi="Times New Roman" w:cs="Times New Roman"/>
          <w:color w:val="000000" w:themeColor="text1"/>
          <w:lang w:val="en-US"/>
        </w:rPr>
      </w:pPr>
      <w:r w:rsidRPr="00164238">
        <w:rPr>
          <w:rFonts w:ascii="Times New Roman" w:hAnsi="Times New Roman" w:cs="Times New Roman"/>
          <w:color w:val="000000" w:themeColor="text1"/>
          <w:lang w:val="en-US"/>
        </w:rPr>
        <w:t xml:space="preserve">Along with the Covid-19 </w:t>
      </w:r>
      <w:r w:rsidRPr="00164238">
        <w:rPr>
          <w:rFonts w:ascii="Times New Roman" w:hAnsi="Times New Roman" w:cs="Times New Roman"/>
          <w:color w:val="000000" w:themeColor="text1"/>
          <w:shd w:val="clear" w:color="auto" w:fill="FFFFFF"/>
          <w:lang w:val="en-US"/>
        </w:rPr>
        <w:t>pandemic in addition to</w:t>
      </w:r>
      <w:r w:rsidRPr="00164238">
        <w:rPr>
          <w:rFonts w:ascii="Times New Roman" w:hAnsi="Times New Roman" w:cs="Times New Roman"/>
          <w:color w:val="000000" w:themeColor="text1"/>
          <w:lang w:val="en-US"/>
        </w:rPr>
        <w:t xml:space="preserve"> the worldwide acceleration and dissemination of digitalization today, the importance of the concept of electronic leadership demonstrated by supervisors in the virtual environment has been growing increasingly rapid in the context of the organizational behavior field. Virtual technology competence is the core facet of electronic leadership style. This study researched into the relationship between supervisors’ virtual technology competence and their leadership effectiveness. Dataset of the study consisted of total 209 questionnaires gathered from 169 academic and 40 administrative personnel at a faculty of a state university in Ankara. Data input and analyses were done with SPSS software program. </w:t>
      </w:r>
      <w:r w:rsidRPr="00164238">
        <w:rPr>
          <w:rFonts w:ascii="Times New Roman" w:hAnsi="Times New Roman" w:cs="Times New Roman"/>
          <w:color w:val="000000" w:themeColor="text1"/>
        </w:rPr>
        <w:t>“</w:t>
      </w:r>
      <w:r w:rsidRPr="00164238">
        <w:rPr>
          <w:rFonts w:ascii="Times New Roman" w:hAnsi="Times New Roman" w:cs="Times New Roman"/>
          <w:color w:val="000000" w:themeColor="text1"/>
          <w:lang w:val="en-US"/>
        </w:rPr>
        <w:t xml:space="preserve">Overall exploratory factor”, “internal consistency”, “Pearson correlation” and “simple linear regression” analyses were employed in this study. According to the analysis results in terms of participants in this study, a significant and positive relationship between supervisors’ virtual technology competence and their leadership effectiveness exists. Also, supervisors’ virtual technology competence affects their leadership effectiveness in a significant and positive way. Based on the functional definitions of variables in the research model, it can be said that the subordinates have an enhanced perception that they and their immediate supervisors are effective in achieving goals of their organization since their immediate supervisors fulfill the roles and responsibilities of leadership </w:t>
      </w:r>
      <w:r w:rsidRPr="00164238">
        <w:rPr>
          <w:rFonts w:ascii="Times New Roman" w:hAnsi="Times New Roman" w:cs="Times New Roman"/>
          <w:color w:val="000000" w:themeColor="text1"/>
          <w:shd w:val="clear" w:color="auto" w:fill="FFFFFF"/>
          <w:lang w:val="en-US"/>
        </w:rPr>
        <w:t xml:space="preserve">when these subordinates have a risen perception that their immediate </w:t>
      </w:r>
      <w:r w:rsidRPr="00164238">
        <w:rPr>
          <w:rFonts w:ascii="Times New Roman" w:hAnsi="Times New Roman" w:cs="Times New Roman"/>
          <w:color w:val="000000" w:themeColor="text1"/>
          <w:lang w:val="en-US"/>
        </w:rPr>
        <w:t>supervisors</w:t>
      </w:r>
      <w:r w:rsidRPr="00164238">
        <w:rPr>
          <w:rFonts w:ascii="Times New Roman" w:hAnsi="Times New Roman" w:cs="Times New Roman"/>
          <w:color w:val="000000" w:themeColor="text1"/>
          <w:shd w:val="clear" w:color="auto" w:fill="FFFFFF"/>
          <w:lang w:val="en-US"/>
        </w:rPr>
        <w:t xml:space="preserve"> own the knowledge, skills and experiences for pioneering the fulfillment of the tasks in the virtual environment and use such competence for the benefit of their organization.</w:t>
      </w:r>
      <w:r w:rsidRPr="00164238">
        <w:rPr>
          <w:rFonts w:ascii="Times New Roman" w:hAnsi="Times New Roman" w:cs="Times New Roman"/>
          <w:color w:val="000000" w:themeColor="text1"/>
          <w:lang w:val="en-US"/>
        </w:rPr>
        <w:t xml:space="preserve"> Moving from this study, it is concluded that it is possible to increase the benefits of effective leadership demonstrated by supervisors for the organization and thus to contribute to it through the enhancing effect of an increment in the level of supervisors’ virtual technology competence on the level of these supervisors’ leadership effectiveness.</w:t>
      </w:r>
    </w:p>
    <w:p w14:paraId="69A2609F" w14:textId="77777777" w:rsidR="00741745" w:rsidRPr="00164238" w:rsidRDefault="00741745" w:rsidP="00741745">
      <w:pPr>
        <w:spacing w:before="120"/>
        <w:jc w:val="both"/>
        <w:rPr>
          <w:rFonts w:ascii="Times New Roman" w:hAnsi="Times New Roman" w:cs="Times New Roman"/>
          <w:bCs/>
          <w:iCs/>
          <w:color w:val="000000" w:themeColor="text1"/>
          <w:lang w:val="en-US"/>
        </w:rPr>
      </w:pPr>
      <w:r w:rsidRPr="00164238">
        <w:rPr>
          <w:rFonts w:ascii="Times New Roman" w:hAnsi="Times New Roman" w:cs="Times New Roman"/>
          <w:b/>
          <w:bCs/>
          <w:color w:val="000000" w:themeColor="text1"/>
          <w:lang w:val="en-US"/>
        </w:rPr>
        <w:t xml:space="preserve">Keywords: </w:t>
      </w:r>
      <w:r w:rsidRPr="00164238">
        <w:rPr>
          <w:rFonts w:ascii="Times New Roman" w:hAnsi="Times New Roman" w:cs="Times New Roman"/>
          <w:bCs/>
          <w:i/>
          <w:color w:val="000000" w:themeColor="text1"/>
          <w:lang w:val="en-US"/>
        </w:rPr>
        <w:t>Electronic leadership,</w:t>
      </w:r>
      <w:r w:rsidRPr="00164238">
        <w:rPr>
          <w:rFonts w:ascii="Times New Roman" w:hAnsi="Times New Roman" w:cs="Times New Roman"/>
          <w:i/>
          <w:color w:val="000000" w:themeColor="text1"/>
          <w:lang w:val="en-US"/>
        </w:rPr>
        <w:t xml:space="preserve"> </w:t>
      </w:r>
      <w:r w:rsidRPr="00164238">
        <w:rPr>
          <w:rFonts w:ascii="Times New Roman" w:hAnsi="Times New Roman" w:cs="Times New Roman"/>
          <w:bCs/>
          <w:i/>
          <w:color w:val="000000" w:themeColor="text1"/>
          <w:lang w:val="en-US"/>
        </w:rPr>
        <w:t>Virtual technology competence, Leader(ship) effectiveness</w:t>
      </w:r>
      <w:r w:rsidRPr="00164238">
        <w:rPr>
          <w:rFonts w:ascii="Times New Roman" w:hAnsi="Times New Roman" w:cs="Times New Roman"/>
          <w:bCs/>
          <w:iCs/>
          <w:color w:val="000000" w:themeColor="text1"/>
          <w:lang w:val="en-US"/>
        </w:rPr>
        <w:t xml:space="preserve">, </w:t>
      </w:r>
      <w:r w:rsidRPr="00164238">
        <w:rPr>
          <w:rFonts w:ascii="Times New Roman" w:hAnsi="Times New Roman" w:cs="Times New Roman"/>
          <w:bCs/>
          <w:i/>
          <w:color w:val="000000" w:themeColor="text1"/>
          <w:lang w:val="en-US"/>
        </w:rPr>
        <w:t>Role theory.</w:t>
      </w:r>
    </w:p>
    <w:p w14:paraId="1561AF2C" w14:textId="77777777" w:rsidR="00741745" w:rsidRPr="00164238" w:rsidRDefault="00741745" w:rsidP="00741745">
      <w:pPr>
        <w:spacing w:before="120"/>
        <w:jc w:val="both"/>
        <w:rPr>
          <w:rFonts w:ascii="Times New Roman" w:hAnsi="Times New Roman" w:cs="Times New Roman"/>
          <w:color w:val="000000" w:themeColor="text1"/>
          <w:lang w:val="en-US"/>
        </w:rPr>
      </w:pPr>
    </w:p>
    <w:p w14:paraId="4816BBCE" w14:textId="38203CC6" w:rsidR="00741745" w:rsidRPr="00164238" w:rsidRDefault="00741745" w:rsidP="00741745">
      <w:pPr>
        <w:spacing w:before="120"/>
        <w:ind w:firstLine="708"/>
        <w:jc w:val="both"/>
        <w:rPr>
          <w:rFonts w:ascii="Times New Roman" w:hAnsi="Times New Roman" w:cs="Times New Roman"/>
          <w:b/>
          <w:color w:val="000000" w:themeColor="text1"/>
          <w:lang w:val="en-US"/>
        </w:rPr>
      </w:pPr>
      <w:r w:rsidRPr="00164238">
        <w:rPr>
          <w:rFonts w:ascii="Times New Roman" w:hAnsi="Times New Roman" w:cs="Times New Roman"/>
          <w:b/>
          <w:color w:val="000000" w:themeColor="text1"/>
          <w:lang w:val="en-US"/>
        </w:rPr>
        <w:t>Introduction</w:t>
      </w:r>
    </w:p>
    <w:p w14:paraId="2B2FAA73" w14:textId="77777777" w:rsidR="00741745" w:rsidRPr="00164238" w:rsidRDefault="00741745" w:rsidP="00741745">
      <w:pPr>
        <w:spacing w:before="120"/>
        <w:ind w:firstLine="708"/>
        <w:jc w:val="both"/>
        <w:rPr>
          <w:rFonts w:ascii="Times New Roman" w:hAnsi="Times New Roman" w:cs="Times New Roman"/>
          <w:color w:val="000000" w:themeColor="text1"/>
          <w:lang w:val="en-US"/>
        </w:rPr>
      </w:pPr>
      <w:r w:rsidRPr="00164238">
        <w:rPr>
          <w:rFonts w:ascii="Times New Roman" w:hAnsi="Times New Roman" w:cs="Times New Roman"/>
          <w:color w:val="000000" w:themeColor="text1"/>
          <w:lang w:val="en-US"/>
        </w:rPr>
        <w:t xml:space="preserve">In studies (Jawadi et al., 2008; Liu et al., 2018; Van Wart et al., 2017a; Van Wart et al., 2017b; Zaccaro &amp; Bader, 2003) in the literature, electronic leadership is considered as an effective leadership style in terms of virtual team effectiveness, building up trust and virtual communication. Today, particularly together with the global Covid-19 pandemic, electronic leadership style demonstrated by the supervisors has become a topic which draws attention for organizations since the electronic leadership style demonstrated by the supervisors under </w:t>
      </w:r>
      <w:r w:rsidRPr="00164238">
        <w:rPr>
          <w:rFonts w:ascii="Times New Roman" w:hAnsi="Times New Roman" w:cs="Times New Roman"/>
          <w:color w:val="000000" w:themeColor="text1"/>
          <w:lang w:val="en-US"/>
        </w:rPr>
        <w:lastRenderedPageBreak/>
        <w:t xml:space="preserve">pandemic circumstances enables the employees to perform work in the virtual environment by maintaining their social distance. Empirical studies (e.g.: </w:t>
      </w:r>
      <w:r w:rsidRPr="00164238">
        <w:rPr>
          <w:rFonts w:ascii="Times New Roman" w:hAnsi="Times New Roman" w:cs="Times New Roman"/>
          <w:color w:val="000000" w:themeColor="text1"/>
          <w:shd w:val="clear" w:color="auto" w:fill="FFFFFF"/>
          <w:lang w:val="en-US"/>
        </w:rPr>
        <w:t>Ayhan, 2010; Blickle et al., 2014; Breevaart &amp; Zacher, 2019; Copeland, 2016; Çağıran, 2019; De Hoogh et al., 2015; Ewen et al., 2013; Gillespie &amp; Mann, 2004; Hassan et al., 2013; Hoffman et al., 2013; Ilies et al., 2013; Jung et al.2009; Kalshoven &amp; den Hartog, 2009; Kanaz, 2019; Lee &amp; Wei, 2008; Nichols &amp; Erakovich, 2013; Özkara, 2019; Sadeghi &amp; Pihie, 2012; Spreitzer et al., 2005; Topaktaş, 2020; Wang et al., 2018)</w:t>
      </w:r>
      <w:r w:rsidRPr="00164238">
        <w:rPr>
          <w:rFonts w:ascii="Times New Roman" w:hAnsi="Times New Roman" w:cs="Times New Roman"/>
          <w:color w:val="000000" w:themeColor="text1"/>
          <w:lang w:val="en-US"/>
        </w:rPr>
        <w:t xml:space="preserve"> which examine relations between the leadership styles/behaviors demonstrated by supervisor and his/her leadership effectiveness were found in the literature. According to Tekinay (2015), virtual technology competence is the core of electronic leadership style, i.e. the essence of it (Tekinay, 2015, p. 67). The main purpose of this study is to research the effect of employees’ perception regarding the virtual technology competence of their immediate supervisors on employees’ perception regarding the leadership effectiveness of these supervisors.</w:t>
      </w:r>
    </w:p>
    <w:p w14:paraId="5EAAC4BC" w14:textId="77777777" w:rsidR="00741745" w:rsidRPr="00164238" w:rsidRDefault="00741745" w:rsidP="00741745">
      <w:pPr>
        <w:spacing w:before="120"/>
        <w:ind w:firstLine="708"/>
        <w:jc w:val="both"/>
        <w:rPr>
          <w:rFonts w:ascii="Times New Roman" w:hAnsi="Times New Roman" w:cs="Times New Roman"/>
          <w:color w:val="000000" w:themeColor="text1"/>
          <w:lang w:val="en-US"/>
        </w:rPr>
      </w:pPr>
      <w:r w:rsidRPr="00164238">
        <w:rPr>
          <w:rFonts w:ascii="Times New Roman" w:hAnsi="Times New Roman" w:cs="Times New Roman"/>
          <w:color w:val="000000" w:themeColor="text1"/>
          <w:lang w:val="en-US"/>
        </w:rPr>
        <w:t>According to the studies in the literature, both virtual technology competence (e.g.: Taş et al., 2020a; Taş et al., 2020b) and effective leadership (e.g.: Özkara, 2019) are factors which contribute to the organization. Within scope of the study, answer is sought for the question of “is it possible to provide contribution to the organization through the enhancing effect of an increase in supervisors’ virtual technology competence level on these supervisors’ leadership effectiveness level?”.</w:t>
      </w:r>
    </w:p>
    <w:p w14:paraId="584A3AA9" w14:textId="77777777" w:rsidR="00741745" w:rsidRPr="00164238" w:rsidRDefault="00741745" w:rsidP="00741745">
      <w:pPr>
        <w:spacing w:before="120"/>
        <w:ind w:firstLine="708"/>
        <w:jc w:val="both"/>
        <w:rPr>
          <w:rFonts w:ascii="Times New Roman" w:hAnsi="Times New Roman" w:cs="Times New Roman"/>
          <w:color w:val="000000" w:themeColor="text1"/>
          <w:lang w:val="en-US"/>
        </w:rPr>
      </w:pPr>
      <w:r w:rsidRPr="00164238">
        <w:rPr>
          <w:rFonts w:ascii="Times New Roman" w:hAnsi="Times New Roman" w:cs="Times New Roman"/>
          <w:color w:val="000000" w:themeColor="text1"/>
          <w:lang w:val="en-US"/>
        </w:rPr>
        <w:t>Research model of the study is based on Role Theory (Kahn et al., 1965)</w:t>
      </w:r>
      <w:r w:rsidRPr="00164238">
        <w:rPr>
          <w:rFonts w:ascii="Times New Roman" w:hAnsi="Times New Roman" w:cs="Times New Roman"/>
          <w:color w:val="000000" w:themeColor="text1"/>
          <w:shd w:val="clear" w:color="auto" w:fill="FFFFFF"/>
          <w:lang w:val="en-US"/>
        </w:rPr>
        <w:t>.</w:t>
      </w:r>
      <w:r w:rsidRPr="00164238">
        <w:rPr>
          <w:rFonts w:ascii="Times New Roman" w:hAnsi="Times New Roman" w:cs="Times New Roman"/>
          <w:color w:val="000000" w:themeColor="text1"/>
          <w:lang w:val="en-US"/>
        </w:rPr>
        <w:t xml:space="preserve"> Within scope of the study, it is expected that subordinates’ level of perception that their immediate supervisors fulfill their leadership roles/responsibilities and they work effectively under their supervisors’ leadership increases thanks to enhancement of subordinates’ perception regarding that these supervisors possess the knowledge, skills and experiences to pioneer the execution of the works in the virtual environment and use such capability for their organization. In this study, virtual technology competence is also considered as an attribute that employees in managerial positions shall possess and use in the virtual environment for their organization as required by their positions under today’s pandemic circumstances.       </w:t>
      </w:r>
    </w:p>
    <w:p w14:paraId="32B9417C" w14:textId="77777777" w:rsidR="00741745" w:rsidRPr="00164238" w:rsidRDefault="00741745" w:rsidP="00741745">
      <w:pPr>
        <w:spacing w:before="120"/>
        <w:jc w:val="both"/>
        <w:rPr>
          <w:rFonts w:ascii="Times New Roman" w:hAnsi="Times New Roman" w:cs="Times New Roman"/>
          <w:color w:val="000000" w:themeColor="text1"/>
          <w:lang w:val="en-US"/>
        </w:rPr>
      </w:pPr>
      <w:r w:rsidRPr="00164238">
        <w:rPr>
          <w:rFonts w:ascii="Times New Roman" w:hAnsi="Times New Roman" w:cs="Times New Roman"/>
          <w:color w:val="000000" w:themeColor="text1"/>
          <w:lang w:val="en-US"/>
        </w:rPr>
        <w:t xml:space="preserve">       </w:t>
      </w:r>
    </w:p>
    <w:p w14:paraId="0811EE98" w14:textId="5C0DF06B" w:rsidR="00741745" w:rsidRPr="00164238" w:rsidRDefault="00741745" w:rsidP="00741745">
      <w:pPr>
        <w:spacing w:before="120"/>
        <w:ind w:firstLine="708"/>
        <w:jc w:val="both"/>
        <w:rPr>
          <w:rFonts w:ascii="Times New Roman" w:eastAsia="Times New Roman" w:hAnsi="Times New Roman" w:cs="Times New Roman"/>
          <w:b/>
          <w:bCs/>
          <w:color w:val="000000" w:themeColor="text1"/>
          <w:shd w:val="clear" w:color="auto" w:fill="FFFFFF"/>
          <w:lang w:val="en-US" w:eastAsia="tr-TR"/>
        </w:rPr>
      </w:pPr>
      <w:r w:rsidRPr="00164238">
        <w:rPr>
          <w:rFonts w:ascii="Times New Roman" w:eastAsia="Times New Roman" w:hAnsi="Times New Roman" w:cs="Times New Roman"/>
          <w:b/>
          <w:bCs/>
          <w:color w:val="000000" w:themeColor="text1"/>
          <w:shd w:val="clear" w:color="auto" w:fill="FFFFFF"/>
          <w:lang w:val="en-US" w:eastAsia="tr-TR"/>
        </w:rPr>
        <w:t xml:space="preserve">Literature Review </w:t>
      </w:r>
    </w:p>
    <w:p w14:paraId="32FAE7B4" w14:textId="77777777" w:rsidR="00741745" w:rsidRPr="00164238" w:rsidRDefault="00741745" w:rsidP="00741745">
      <w:pPr>
        <w:spacing w:before="120"/>
        <w:ind w:firstLine="708"/>
        <w:jc w:val="both"/>
        <w:rPr>
          <w:rFonts w:ascii="Times New Roman" w:hAnsi="Times New Roman" w:cs="Times New Roman"/>
          <w:color w:val="000000" w:themeColor="text1"/>
          <w:lang w:val="en-US"/>
        </w:rPr>
      </w:pPr>
      <w:r w:rsidRPr="00164238">
        <w:rPr>
          <w:rFonts w:ascii="Times New Roman" w:hAnsi="Times New Roman" w:cs="Times New Roman"/>
          <w:color w:val="000000" w:themeColor="text1"/>
          <w:shd w:val="clear" w:color="auto" w:fill="FFFFFF"/>
          <w:lang w:val="en-US"/>
        </w:rPr>
        <w:t xml:space="preserve">Leadership can be defined as </w:t>
      </w:r>
      <w:r w:rsidRPr="00164238">
        <w:rPr>
          <w:rFonts w:ascii="Times New Roman" w:hAnsi="Times New Roman" w:cs="Times New Roman"/>
          <w:i/>
          <w:iCs/>
          <w:color w:val="000000" w:themeColor="text1"/>
          <w:shd w:val="clear" w:color="auto" w:fill="FFFFFF"/>
          <w:lang w:val="en-US"/>
        </w:rPr>
        <w:t xml:space="preserve">“the efforts of a member of a group or an organization for influencing the other members in order to realize the objectives of the group or the organization” </w:t>
      </w:r>
      <w:r w:rsidRPr="00164238">
        <w:rPr>
          <w:rFonts w:ascii="Times New Roman" w:hAnsi="Times New Roman" w:cs="Times New Roman"/>
          <w:color w:val="000000" w:themeColor="text1"/>
          <w:shd w:val="clear" w:color="auto" w:fill="FFFFFF"/>
          <w:lang w:val="en-US"/>
        </w:rPr>
        <w:t xml:space="preserve">(George &amp; Jones, 2002, p. 390). Leadership is a function of leader, followers and conditions (Şimşek et al., 2008, p. 242). According to Husted (2008), leadership can be divided into two categories as dark and light leadership. While dark leadership inflicts harm to the individual, group and organization, light leadership contributes to the individual, group and organization. According to Naktiyok (2006), traditional leaders do not make use of electronic channels. However, electronic leaders make use of them (Naktiyok, 2006, p. 19). </w:t>
      </w:r>
      <w:r w:rsidRPr="00164238">
        <w:rPr>
          <w:rFonts w:ascii="Times New Roman" w:hAnsi="Times New Roman" w:cs="Times New Roman"/>
          <w:color w:val="000000" w:themeColor="text1"/>
          <w:lang w:val="en-US"/>
        </w:rPr>
        <w:t>In today’s conditions, where Covid-19 pandemic is being experienced, maintaining the social distance between organization’s employees is of great importance in terms of the health of the employees. Conducting the meetings in a virtual environment through remote access under the leadership of supervisors and making resolutions in these meetings allow organizations to perform work during the pandemic.</w:t>
      </w:r>
      <w:r w:rsidRPr="00164238">
        <w:rPr>
          <w:rFonts w:ascii="Times New Roman" w:hAnsi="Times New Roman" w:cs="Times New Roman"/>
          <w:color w:val="000000" w:themeColor="text1"/>
          <w:shd w:val="clear" w:color="auto" w:fill="FFFFFF"/>
          <w:lang w:val="en-US"/>
        </w:rPr>
        <w:t xml:space="preserve"> </w:t>
      </w:r>
      <w:r w:rsidRPr="00164238">
        <w:rPr>
          <w:rFonts w:ascii="Times New Roman" w:hAnsi="Times New Roman" w:cs="Times New Roman"/>
          <w:color w:val="000000" w:themeColor="text1"/>
          <w:lang w:val="en-US"/>
        </w:rPr>
        <w:t xml:space="preserve">At this point, electronic leadership style comes to the forefront and it is brought </w:t>
      </w:r>
      <w:r w:rsidRPr="00164238">
        <w:rPr>
          <w:rFonts w:ascii="Times New Roman" w:hAnsi="Times New Roman" w:cs="Times New Roman"/>
          <w:color w:val="000000" w:themeColor="text1"/>
          <w:shd w:val="clear" w:color="auto" w:fill="FFFFFF"/>
          <w:lang w:val="en-US"/>
        </w:rPr>
        <w:t>to the agenda</w:t>
      </w:r>
      <w:r w:rsidRPr="00164238">
        <w:rPr>
          <w:rFonts w:ascii="Times New Roman" w:hAnsi="Times New Roman" w:cs="Times New Roman"/>
          <w:color w:val="000000" w:themeColor="text1"/>
          <w:lang w:val="en-US"/>
        </w:rPr>
        <w:t xml:space="preserve"> whether </w:t>
      </w:r>
      <w:r w:rsidRPr="00164238">
        <w:rPr>
          <w:rFonts w:ascii="Times New Roman" w:hAnsi="Times New Roman" w:cs="Times New Roman"/>
          <w:color w:val="000000" w:themeColor="text1"/>
          <w:shd w:val="clear" w:color="auto" w:fill="FFFFFF"/>
          <w:lang w:val="en-US"/>
        </w:rPr>
        <w:t xml:space="preserve">this leadership style is developable or not. According to Taş et al. (2020b, p. </w:t>
      </w:r>
      <w:r w:rsidRPr="00164238">
        <w:rPr>
          <w:rFonts w:ascii="Times New Roman" w:hAnsi="Times New Roman" w:cs="Times New Roman"/>
          <w:color w:val="000000" w:themeColor="text1"/>
          <w:shd w:val="clear" w:color="auto" w:fill="FFFFFF"/>
          <w:lang w:val="en-US"/>
        </w:rPr>
        <w:lastRenderedPageBreak/>
        <w:t xml:space="preserve">2890), electronic leadership style has innate aspects. </w:t>
      </w:r>
      <w:r w:rsidRPr="00164238">
        <w:rPr>
          <w:rFonts w:ascii="Times New Roman" w:hAnsi="Times New Roman" w:cs="Times New Roman"/>
          <w:color w:val="000000" w:themeColor="text1"/>
          <w:lang w:val="en-US"/>
        </w:rPr>
        <w:t>However, it is developable later, i.e. acquirable.</w:t>
      </w:r>
    </w:p>
    <w:p w14:paraId="5E97BDDA" w14:textId="77777777" w:rsidR="00741745" w:rsidRPr="00164238" w:rsidRDefault="00741745" w:rsidP="00741745">
      <w:pPr>
        <w:spacing w:before="120"/>
        <w:ind w:firstLine="708"/>
        <w:jc w:val="both"/>
        <w:rPr>
          <w:rFonts w:ascii="Times New Roman" w:hAnsi="Times New Roman" w:cs="Times New Roman"/>
          <w:color w:val="000000" w:themeColor="text1"/>
          <w:shd w:val="clear" w:color="auto" w:fill="FFFFFF"/>
          <w:lang w:val="en-US"/>
        </w:rPr>
      </w:pPr>
      <w:r w:rsidRPr="00164238">
        <w:rPr>
          <w:rFonts w:ascii="Times New Roman" w:hAnsi="Times New Roman" w:cs="Times New Roman"/>
          <w:color w:val="000000" w:themeColor="text1"/>
          <w:shd w:val="clear" w:color="auto" w:fill="FFFFFF"/>
          <w:lang w:val="en-US"/>
        </w:rPr>
        <w:t xml:space="preserve">Electronic leadership can emerge at any hierarchical level in any organization (Avolio et al., 2000, p. 617). Avolio et al. (2000, p. 617) define e-leadership as </w:t>
      </w:r>
      <w:r w:rsidRPr="00164238">
        <w:rPr>
          <w:rFonts w:ascii="Times New Roman" w:hAnsi="Times New Roman" w:cs="Times New Roman"/>
          <w:i/>
          <w:iCs/>
          <w:color w:val="000000" w:themeColor="text1"/>
          <w:shd w:val="clear" w:color="auto" w:fill="FFFFFF"/>
          <w:lang w:val="en-US"/>
        </w:rPr>
        <w:t>“a social influence process mediated by Advanced Information Technologies to produce a change in attitudes, feelings, thinking, behavior, and/or performance with individuals, groups, and/or organizations”</w:t>
      </w:r>
      <w:r w:rsidRPr="00164238">
        <w:rPr>
          <w:rFonts w:ascii="Times New Roman" w:hAnsi="Times New Roman" w:cs="Times New Roman"/>
          <w:color w:val="000000" w:themeColor="text1"/>
          <w:shd w:val="clear" w:color="auto" w:fill="FFFFFF"/>
          <w:lang w:val="en-US"/>
        </w:rPr>
        <w:t xml:space="preserve">. According to Taş et al. (2020b, p. 2890), electronic leadership is within scope of light leadership. In Tekinay’s (2015, p. 67, pp. 103-105) study, the electronic leadership consists of four facets. These facets are “virtual technology competence”, “virtual communication competence”, “virtual team management competence” and “personal role competence”. Aforementioned dimensions explain approximately 44%, 9%, 5% and 4% of the total variance of electronic leadership, respectively. Therefore, virtual technology competence is the core of electronic leadership style. In other words, the essence of it. </w:t>
      </w:r>
      <w:r w:rsidRPr="00164238">
        <w:rPr>
          <w:rFonts w:ascii="Times New Roman" w:hAnsi="Times New Roman" w:cs="Times New Roman"/>
          <w:color w:val="000000" w:themeColor="text1"/>
          <w:lang w:val="en-US"/>
        </w:rPr>
        <w:t>Virtual technology competence of the supervisor means that the supervisor possesses the knowledge, skills and experiences, in other words, the capability, which will pioneer to perform the works in the virtual environment, and that he/she uses this capability for his/her organization if necessary.</w:t>
      </w:r>
    </w:p>
    <w:p w14:paraId="7E5B4FC0" w14:textId="77777777" w:rsidR="00741745" w:rsidRPr="00164238" w:rsidRDefault="00741745" w:rsidP="00741745">
      <w:pPr>
        <w:spacing w:before="120"/>
        <w:ind w:firstLine="708"/>
        <w:jc w:val="both"/>
        <w:rPr>
          <w:rFonts w:ascii="Times New Roman" w:hAnsi="Times New Roman" w:cs="Times New Roman"/>
          <w:color w:val="000000" w:themeColor="text1"/>
          <w:lang w:val="en-US"/>
        </w:rPr>
      </w:pPr>
      <w:r w:rsidRPr="00164238">
        <w:rPr>
          <w:rFonts w:ascii="Times New Roman" w:hAnsi="Times New Roman" w:cs="Times New Roman"/>
          <w:color w:val="000000" w:themeColor="text1"/>
          <w:lang w:val="en-US"/>
        </w:rPr>
        <w:t xml:space="preserve">In the literature, there are many studies examining the relationships between leadership styles/behaviors demonstrated by the supervisors and their leadership effectiveness. Before addressing these relationships, it is beneficial to explain leadership effectiveness. Tutar (2013, p. 434) defines organizational effectiveness as </w:t>
      </w:r>
      <w:r w:rsidRPr="00164238">
        <w:rPr>
          <w:rFonts w:ascii="Times New Roman" w:hAnsi="Times New Roman" w:cs="Times New Roman"/>
          <w:i/>
          <w:iCs/>
          <w:color w:val="000000" w:themeColor="text1"/>
          <w:lang w:val="en-US"/>
        </w:rPr>
        <w:t xml:space="preserve">“the degree of achievement of organizational goals and objectives set in a certain period” </w:t>
      </w:r>
      <w:r w:rsidRPr="00164238">
        <w:rPr>
          <w:rFonts w:ascii="Times New Roman" w:hAnsi="Times New Roman" w:cs="Times New Roman"/>
          <w:color w:val="000000" w:themeColor="text1"/>
          <w:lang w:val="en-US"/>
        </w:rPr>
        <w:t xml:space="preserve">or </w:t>
      </w:r>
      <w:r w:rsidRPr="00164238">
        <w:rPr>
          <w:rFonts w:ascii="Times New Roman" w:hAnsi="Times New Roman" w:cs="Times New Roman"/>
          <w:i/>
          <w:iCs/>
          <w:color w:val="000000" w:themeColor="text1"/>
          <w:lang w:val="en-US"/>
        </w:rPr>
        <w:t>“the degree to which organizational efforts achieve the goals and objectives”</w:t>
      </w:r>
      <w:r w:rsidRPr="00164238">
        <w:rPr>
          <w:rFonts w:ascii="Times New Roman" w:hAnsi="Times New Roman" w:cs="Times New Roman"/>
          <w:color w:val="000000" w:themeColor="text1"/>
          <w:lang w:val="en-US"/>
        </w:rPr>
        <w:t xml:space="preserve"> (Tutar, 2013).</w:t>
      </w:r>
      <w:r w:rsidRPr="00164238">
        <w:rPr>
          <w:rFonts w:ascii="Times New Roman" w:hAnsi="Times New Roman" w:cs="Times New Roman"/>
          <w:color w:val="000000" w:themeColor="text1"/>
          <w:shd w:val="clear" w:color="auto" w:fill="FFFFFF"/>
          <w:lang w:val="en-US"/>
        </w:rPr>
        <w:t xml:space="preserve"> </w:t>
      </w:r>
      <w:r w:rsidRPr="00164238">
        <w:rPr>
          <w:rFonts w:ascii="Times New Roman" w:hAnsi="Times New Roman" w:cs="Times New Roman"/>
          <w:color w:val="000000" w:themeColor="text1"/>
          <w:lang w:val="en-US"/>
        </w:rPr>
        <w:t>Leadership effectiveness shows the level that the leader provides assistance to achieve the goals and objectives of a group or an organization (George &amp; Jones, 2002)</w:t>
      </w:r>
      <w:r w:rsidRPr="00164238">
        <w:rPr>
          <w:rFonts w:ascii="Times New Roman" w:hAnsi="Times New Roman" w:cs="Times New Roman"/>
          <w:color w:val="000000" w:themeColor="text1"/>
          <w:shd w:val="clear" w:color="auto" w:fill="FFFFFF"/>
          <w:lang w:val="en-US"/>
        </w:rPr>
        <w:t xml:space="preserve">. </w:t>
      </w:r>
      <w:r w:rsidRPr="00164238">
        <w:rPr>
          <w:rFonts w:ascii="Times New Roman" w:hAnsi="Times New Roman" w:cs="Times New Roman"/>
          <w:color w:val="000000" w:themeColor="text1"/>
          <w:lang w:val="en-US"/>
        </w:rPr>
        <w:t xml:space="preserve">In that case, leadership effectiveness can be expressed as </w:t>
      </w:r>
      <w:r w:rsidRPr="00164238">
        <w:rPr>
          <w:rFonts w:ascii="Times New Roman" w:hAnsi="Times New Roman" w:cs="Times New Roman"/>
          <w:i/>
          <w:iCs/>
          <w:color w:val="000000" w:themeColor="text1"/>
          <w:lang w:val="en-US"/>
        </w:rPr>
        <w:t>“the degree to which the leader contributes to the organization in order to achieve organizational effectiveness”</w:t>
      </w:r>
      <w:r w:rsidRPr="00164238">
        <w:rPr>
          <w:rFonts w:ascii="Times New Roman" w:hAnsi="Times New Roman" w:cs="Times New Roman"/>
          <w:color w:val="000000" w:themeColor="text1"/>
          <w:lang w:val="en-US"/>
        </w:rPr>
        <w:t xml:space="preserve"> (Özkara, 2019, p. 81). Effective leaders fulfill their leadership roles and responsibilities.</w:t>
      </w:r>
      <w:r w:rsidRPr="00164238">
        <w:rPr>
          <w:rFonts w:ascii="Times New Roman" w:hAnsi="Times New Roman" w:cs="Times New Roman"/>
          <w:color w:val="000000" w:themeColor="text1"/>
          <w:shd w:val="clear" w:color="auto" w:fill="FFFFFF"/>
          <w:lang w:val="en-US"/>
        </w:rPr>
        <w:t xml:space="preserve"> </w:t>
      </w:r>
      <w:r w:rsidRPr="00164238">
        <w:rPr>
          <w:rFonts w:ascii="Times New Roman" w:hAnsi="Times New Roman" w:cs="Times New Roman"/>
          <w:color w:val="000000" w:themeColor="text1"/>
          <w:lang w:val="en-US"/>
        </w:rPr>
        <w:t>Thus, their followers (subordinates) are also effective.</w:t>
      </w:r>
      <w:r w:rsidRPr="00164238">
        <w:rPr>
          <w:rFonts w:ascii="Times New Roman" w:hAnsi="Times New Roman" w:cs="Times New Roman"/>
          <w:color w:val="000000" w:themeColor="text1"/>
          <w:shd w:val="clear" w:color="auto" w:fill="FFFFFF"/>
          <w:lang w:val="en-US"/>
        </w:rPr>
        <w:t xml:space="preserve"> </w:t>
      </w:r>
      <w:r w:rsidRPr="00164238">
        <w:rPr>
          <w:rFonts w:ascii="Times New Roman" w:hAnsi="Times New Roman" w:cs="Times New Roman"/>
          <w:color w:val="000000" w:themeColor="text1"/>
          <w:lang w:val="en-US"/>
        </w:rPr>
        <w:t xml:space="preserve">That is to say, they help achieving organizational goals and objectives </w:t>
      </w:r>
      <w:r w:rsidRPr="00164238">
        <w:rPr>
          <w:rFonts w:ascii="Times New Roman" w:hAnsi="Times New Roman" w:cs="Times New Roman"/>
          <w:color w:val="000000" w:themeColor="text1"/>
          <w:shd w:val="clear" w:color="auto" w:fill="FFFFFF"/>
          <w:lang w:val="en-US"/>
        </w:rPr>
        <w:t>(Chen &amp; Tjosvold, 2005; Yifeng &amp; Tjosvold, 2008; Yılmaz, 2014).</w:t>
      </w:r>
    </w:p>
    <w:p w14:paraId="100F66BF" w14:textId="77777777" w:rsidR="00741745" w:rsidRPr="00164238" w:rsidRDefault="00741745" w:rsidP="00741745">
      <w:pPr>
        <w:spacing w:before="120"/>
        <w:ind w:firstLine="708"/>
        <w:jc w:val="both"/>
        <w:rPr>
          <w:rFonts w:ascii="Times New Roman" w:hAnsi="Times New Roman" w:cs="Times New Roman"/>
          <w:color w:val="000000" w:themeColor="text1"/>
          <w:lang w:val="en-US"/>
        </w:rPr>
      </w:pPr>
      <w:r w:rsidRPr="00164238">
        <w:rPr>
          <w:rFonts w:ascii="Times New Roman" w:hAnsi="Times New Roman" w:cs="Times New Roman"/>
          <w:color w:val="000000" w:themeColor="text1"/>
          <w:lang w:val="en-US"/>
        </w:rPr>
        <w:t xml:space="preserve">There are significant and positive relationships between the dimension of contingent reward of the transactional leadership style demonstrated by the supervisor </w:t>
      </w:r>
      <w:r w:rsidRPr="00164238">
        <w:rPr>
          <w:rFonts w:ascii="Times New Roman" w:hAnsi="Times New Roman" w:cs="Times New Roman"/>
          <w:color w:val="000000" w:themeColor="text1"/>
          <w:shd w:val="clear" w:color="auto" w:fill="FFFFFF"/>
          <w:lang w:val="en-US"/>
        </w:rPr>
        <w:t xml:space="preserve">(Ewen et al., 2013; Gillespie &amp; Mann, 2004; Lee &amp; Wei, 2008; Sadeghi &amp; Pihie, 2012), participative leadership style (Çağıran, 2019), charismatic leadership style (Ayhan, 2010; Blickle et al., 2014), transactional leadership style (Breevaart &amp; Zacher, 2019; Copeland, 2016; Çağıran, 2019; Ewen et al., 2013; Gillespie &amp; Mann, 2004; Jung et al.2009; Kanaz, 2019; Lee &amp; Wei, 2008; Spreitzer et al., 2005), ethical leadership style (Copeland, 2016; Hassan et al., 2013; Hoffman et al., 2013; Kalshoven &amp; den Hartog, 2009) and authentic leadership style (Copeland, 2016; Ilies et al., 2013; Nichols &amp; Erakovich, 2013; Özkara, 2019), and his/her leadership effectiveness. Despite that, there are significant and negative correlations between supervisor’s autocratic leadership style (Çağıran, 2019), </w:t>
      </w:r>
      <w:r w:rsidRPr="00164238">
        <w:rPr>
          <w:rFonts w:ascii="Times New Roman" w:hAnsi="Times New Roman" w:cs="Times New Roman"/>
          <w:color w:val="000000" w:themeColor="text1"/>
          <w:lang w:val="en-US"/>
        </w:rPr>
        <w:t xml:space="preserve">laissez-faire leadership style </w:t>
      </w:r>
      <w:r w:rsidRPr="00164238">
        <w:rPr>
          <w:rFonts w:ascii="Times New Roman" w:hAnsi="Times New Roman" w:cs="Times New Roman"/>
          <w:color w:val="000000" w:themeColor="text1"/>
          <w:shd w:val="clear" w:color="auto" w:fill="FFFFFF"/>
          <w:lang w:val="en-US"/>
        </w:rPr>
        <w:t xml:space="preserve">(Breevaart &amp; Zacher, 2019; Çağıran, 2019; Gillespie &amp; Mann, 2004; Lee &amp; Wei, 2008; Sadeghi &amp; Pihie, 2012), narcissistic leadership style (De Hoogh et al., 2015) and </w:t>
      </w:r>
      <w:r w:rsidRPr="00164238">
        <w:rPr>
          <w:rFonts w:ascii="Times New Roman" w:hAnsi="Times New Roman" w:cs="Times New Roman"/>
          <w:color w:val="000000" w:themeColor="text1"/>
          <w:lang w:val="en-US"/>
        </w:rPr>
        <w:t>abusive supervision</w:t>
      </w:r>
      <w:r w:rsidRPr="00164238">
        <w:rPr>
          <w:rFonts w:ascii="Times New Roman" w:hAnsi="Times New Roman" w:cs="Times New Roman"/>
          <w:color w:val="000000" w:themeColor="text1"/>
          <w:shd w:val="clear" w:color="auto" w:fill="FFFFFF"/>
          <w:lang w:val="en-US"/>
        </w:rPr>
        <w:t xml:space="preserve"> style (Wang et al., 2018), and his/her leadership effectiveness. Also, the dimension of contingent reward of transactional leadership style </w:t>
      </w:r>
      <w:r w:rsidRPr="00164238">
        <w:rPr>
          <w:rFonts w:ascii="Times New Roman" w:hAnsi="Times New Roman" w:cs="Times New Roman"/>
          <w:color w:val="000000" w:themeColor="text1"/>
          <w:lang w:val="en-US"/>
        </w:rPr>
        <w:t>demonstrated by the supervisor</w:t>
      </w:r>
      <w:r w:rsidRPr="00164238">
        <w:rPr>
          <w:rFonts w:ascii="Times New Roman" w:hAnsi="Times New Roman" w:cs="Times New Roman"/>
          <w:color w:val="000000" w:themeColor="text1"/>
          <w:shd w:val="clear" w:color="auto" w:fill="FFFFFF"/>
          <w:lang w:val="en-US"/>
        </w:rPr>
        <w:t xml:space="preserve"> (Ewen et al., 2013; Sadeghi &amp; Pihie, 2012), charismatic leadership style (Ayhan, 2010; Blickle et al., 2014), transformational leadership style (Breevaart &amp; Zacher, 2019; Copeland, 2016; Çağıran, 2019; Ewen et al., 2013; Jung et al., 2009; Kanaz, 2019), servant leadership style </w:t>
      </w:r>
      <w:r w:rsidRPr="00164238">
        <w:rPr>
          <w:rFonts w:ascii="Times New Roman" w:hAnsi="Times New Roman" w:cs="Times New Roman"/>
          <w:color w:val="000000" w:themeColor="text1"/>
          <w:shd w:val="clear" w:color="auto" w:fill="FFFFFF"/>
          <w:lang w:val="en-US"/>
        </w:rPr>
        <w:lastRenderedPageBreak/>
        <w:t>(Topaktaş, 2020), ethical leadership style (Copeland, 2016; Hassan et al., 2013; Kalshoven &amp; den Hartog, 2009) and authentic leadership style (Copeland, 2016; Nichols &amp; Erakovich, 2013; Özkara, 2019) are the positive predictors of his/her leadership effectiveness. Despite that, supervisor’s laissez-faire leadership style (Çağıran, 2019; Sadeghi &amp; Pihie, 2012), narcissistic leadership style (De Hoogh et al., 2015) and abusive supervision style (Wang et al., 2018) are negative predictors of his/her leadership effectiveness.</w:t>
      </w:r>
    </w:p>
    <w:p w14:paraId="39E579BD" w14:textId="77777777" w:rsidR="00741745" w:rsidRPr="00164238" w:rsidRDefault="00741745" w:rsidP="00741745">
      <w:pPr>
        <w:spacing w:before="120"/>
        <w:ind w:firstLine="708"/>
        <w:jc w:val="both"/>
        <w:rPr>
          <w:rFonts w:ascii="Times New Roman" w:hAnsi="Times New Roman" w:cs="Times New Roman"/>
          <w:color w:val="000000" w:themeColor="text1"/>
          <w:lang w:val="en-US"/>
        </w:rPr>
      </w:pPr>
      <w:r w:rsidRPr="00164238">
        <w:rPr>
          <w:rFonts w:ascii="Times New Roman" w:hAnsi="Times New Roman" w:cs="Times New Roman"/>
          <w:color w:val="000000" w:themeColor="text1"/>
          <w:shd w:val="clear" w:color="auto" w:fill="FFFFFF"/>
          <w:lang w:val="en-US"/>
        </w:rPr>
        <w:t xml:space="preserve">In the empirical studies in the literature, it is proven that there are significant and negative correlations between dark leadership/supervision styles/behaviors demonstrated by the supervisor (e.g.: </w:t>
      </w:r>
      <w:r w:rsidRPr="00164238">
        <w:rPr>
          <w:rFonts w:ascii="Times New Roman" w:hAnsi="Times New Roman" w:cs="Times New Roman"/>
          <w:color w:val="000000" w:themeColor="text1"/>
          <w:lang w:val="en-US"/>
        </w:rPr>
        <w:t>abusive supervision and</w:t>
      </w:r>
      <w:r w:rsidRPr="00164238">
        <w:rPr>
          <w:rFonts w:ascii="Times New Roman" w:hAnsi="Times New Roman" w:cs="Times New Roman"/>
          <w:color w:val="000000" w:themeColor="text1"/>
          <w:shd w:val="clear" w:color="auto" w:fill="FFFFFF"/>
          <w:lang w:val="en-US"/>
        </w:rPr>
        <w:t xml:space="preserve">, the leadership styles of autocratic, </w:t>
      </w:r>
      <w:r w:rsidRPr="00164238">
        <w:rPr>
          <w:rFonts w:ascii="Times New Roman" w:hAnsi="Times New Roman" w:cs="Times New Roman"/>
          <w:color w:val="000000" w:themeColor="text1"/>
          <w:lang w:val="en-US"/>
        </w:rPr>
        <w:t>laissez-faire and</w:t>
      </w:r>
      <w:r w:rsidRPr="00164238">
        <w:rPr>
          <w:rFonts w:ascii="Times New Roman" w:hAnsi="Times New Roman" w:cs="Times New Roman"/>
          <w:color w:val="000000" w:themeColor="text1"/>
          <w:shd w:val="clear" w:color="auto" w:fill="FFFFFF"/>
          <w:lang w:val="en-US"/>
        </w:rPr>
        <w:t xml:space="preserve"> narcissistic) and his/her leadership effectiveness, while there are significant and positive relationships between light leadership styles/behaviors demonstrated by the supervisor (e.g.: the dimension of contingent reward of transactional leadership style and, the leadership styles of ethical, authentic, servant, transformational, participative and charismatic) and his/her leadership effectiveness. Also, the leadership styles/behaviors demonstrated by the supervisor are the antecedents of his/her leadership effectiveness. </w:t>
      </w:r>
    </w:p>
    <w:p w14:paraId="337C2506" w14:textId="77777777" w:rsidR="00741745" w:rsidRPr="00164238" w:rsidRDefault="00741745" w:rsidP="00741745">
      <w:pPr>
        <w:spacing w:before="120"/>
        <w:ind w:firstLine="708"/>
        <w:jc w:val="both"/>
        <w:rPr>
          <w:rFonts w:ascii="Times New Roman" w:hAnsi="Times New Roman" w:cs="Times New Roman"/>
          <w:color w:val="000000" w:themeColor="text1"/>
          <w:lang w:val="en-US"/>
        </w:rPr>
      </w:pPr>
      <w:r w:rsidRPr="00164238">
        <w:rPr>
          <w:rFonts w:ascii="Times New Roman" w:hAnsi="Times New Roman" w:cs="Times New Roman"/>
          <w:color w:val="000000" w:themeColor="text1"/>
          <w:lang w:val="en-US"/>
        </w:rPr>
        <w:t>Within the framework of this study, it is assumed that the perception reflects the reality.</w:t>
      </w:r>
      <w:r w:rsidRPr="00164238">
        <w:rPr>
          <w:rFonts w:ascii="Times New Roman" w:hAnsi="Times New Roman" w:cs="Times New Roman"/>
          <w:color w:val="000000" w:themeColor="text1"/>
          <w:shd w:val="clear" w:color="auto" w:fill="FFFFFF"/>
          <w:lang w:val="en-US"/>
        </w:rPr>
        <w:t xml:space="preserve"> </w:t>
      </w:r>
      <w:r w:rsidRPr="00164238">
        <w:rPr>
          <w:rFonts w:ascii="Times New Roman" w:hAnsi="Times New Roman" w:cs="Times New Roman"/>
          <w:color w:val="000000" w:themeColor="text1"/>
          <w:lang w:val="en-US"/>
        </w:rPr>
        <w:t>Considering the fact that electronic leadership is evaluated within the scope of light leadership (Taş et al., 2020b) and virtual technology competence is the basic facet of electronic leadership (Tekinay, 2015) in addition to empirical studies in the literature, it is expected that supervisor’s leadership effectiveness level will be enhanced when his/her virtual technology competency level increases.</w:t>
      </w:r>
    </w:p>
    <w:p w14:paraId="3CA51718" w14:textId="77777777" w:rsidR="00741745" w:rsidRPr="00164238" w:rsidRDefault="00741745" w:rsidP="00741745">
      <w:pPr>
        <w:autoSpaceDE w:val="0"/>
        <w:autoSpaceDN w:val="0"/>
        <w:adjustRightInd w:val="0"/>
        <w:spacing w:before="120"/>
        <w:jc w:val="both"/>
        <w:rPr>
          <w:rFonts w:ascii="Times New Roman" w:hAnsi="Times New Roman" w:cs="Times New Roman"/>
          <w:color w:val="000000" w:themeColor="text1"/>
          <w:shd w:val="clear" w:color="auto" w:fill="FFFFFF"/>
          <w:lang w:val="en-US"/>
        </w:rPr>
      </w:pPr>
      <w:r w:rsidRPr="00164238">
        <w:rPr>
          <w:rFonts w:ascii="Times New Roman" w:hAnsi="Times New Roman" w:cs="Times New Roman"/>
          <w:color w:val="000000" w:themeColor="text1"/>
          <w:shd w:val="clear" w:color="auto" w:fill="FFFFFF"/>
          <w:lang w:val="en-US"/>
        </w:rPr>
        <w:t>In the light of all of this information, research model of the study was established as shown in Figure 1 and its hypothesis was developed.</w:t>
      </w:r>
    </w:p>
    <w:p w14:paraId="2473CB3D" w14:textId="6C1D1E64" w:rsidR="00741745" w:rsidRDefault="00741745" w:rsidP="00741745">
      <w:pPr>
        <w:spacing w:before="120"/>
        <w:jc w:val="both"/>
        <w:rPr>
          <w:rFonts w:ascii="Times New Roman" w:eastAsia="Times New Roman" w:hAnsi="Times New Roman" w:cs="Times New Roman"/>
          <w:color w:val="000000" w:themeColor="text1"/>
          <w:shd w:val="clear" w:color="auto" w:fill="FFFFFF"/>
          <w:lang w:val="en-US" w:eastAsia="tr-TR"/>
        </w:rPr>
      </w:pPr>
    </w:p>
    <w:p w14:paraId="3423C289" w14:textId="77777777" w:rsidR="00A40273" w:rsidRPr="00164238" w:rsidRDefault="00A40273" w:rsidP="00741745">
      <w:pPr>
        <w:spacing w:before="120"/>
        <w:jc w:val="both"/>
        <w:rPr>
          <w:rFonts w:ascii="Times New Roman" w:eastAsia="Times New Roman" w:hAnsi="Times New Roman" w:cs="Times New Roman"/>
          <w:color w:val="000000" w:themeColor="text1"/>
          <w:shd w:val="clear" w:color="auto" w:fill="FFFFFF"/>
          <w:lang w:val="en-US" w:eastAsia="tr-TR"/>
        </w:rPr>
      </w:pPr>
    </w:p>
    <w:p w14:paraId="0E799502" w14:textId="77777777" w:rsidR="00741745" w:rsidRPr="00164238" w:rsidRDefault="00741745" w:rsidP="00741745">
      <w:pPr>
        <w:spacing w:before="120"/>
        <w:jc w:val="both"/>
        <w:rPr>
          <w:rFonts w:ascii="Times New Roman" w:eastAsia="Times New Roman" w:hAnsi="Times New Roman" w:cs="Times New Roman"/>
          <w:b/>
          <w:bCs/>
          <w:color w:val="000000" w:themeColor="text1"/>
          <w:shd w:val="clear" w:color="auto" w:fill="FFFFFF"/>
          <w:lang w:val="en-US" w:eastAsia="tr-TR"/>
        </w:rPr>
      </w:pPr>
      <w:r w:rsidRPr="00164238">
        <w:rPr>
          <w:rFonts w:ascii="Times New Roman" w:eastAsia="Times New Roman" w:hAnsi="Times New Roman" w:cs="Times New Roman"/>
          <w:b/>
          <w:bCs/>
          <w:color w:val="000000" w:themeColor="text1"/>
          <w:shd w:val="clear" w:color="auto" w:fill="FFFFFF"/>
          <w:lang w:val="en-US" w:eastAsia="tr-TR"/>
        </w:rPr>
        <w:t>Figure 1</w:t>
      </w:r>
    </w:p>
    <w:p w14:paraId="69562C4A" w14:textId="77777777" w:rsidR="00741745" w:rsidRPr="00164238" w:rsidRDefault="00741745" w:rsidP="00741745">
      <w:pPr>
        <w:spacing w:before="120"/>
        <w:jc w:val="both"/>
        <w:rPr>
          <w:rFonts w:ascii="Times New Roman" w:eastAsia="Times New Roman" w:hAnsi="Times New Roman" w:cs="Times New Roman"/>
          <w:b/>
          <w:bCs/>
          <w:color w:val="000000" w:themeColor="text1"/>
          <w:shd w:val="clear" w:color="auto" w:fill="FFFFFF"/>
          <w:lang w:val="en-US" w:eastAsia="tr-TR"/>
        </w:rPr>
      </w:pPr>
      <w:r w:rsidRPr="00164238">
        <w:rPr>
          <w:rFonts w:ascii="Times New Roman" w:eastAsia="Times New Roman" w:hAnsi="Times New Roman" w:cs="Times New Roman"/>
          <w:bCs/>
          <w:i/>
          <w:color w:val="000000" w:themeColor="text1"/>
          <w:shd w:val="clear" w:color="auto" w:fill="FFFFFF"/>
          <w:lang w:val="en-US" w:eastAsia="tr-TR"/>
        </w:rPr>
        <w:t>The Research Model of the Study</w:t>
      </w:r>
    </w:p>
    <w:p w14:paraId="29EE066D" w14:textId="77777777" w:rsidR="00741745" w:rsidRPr="00164238" w:rsidRDefault="00741745" w:rsidP="00741745">
      <w:pPr>
        <w:spacing w:before="120"/>
        <w:jc w:val="both"/>
        <w:rPr>
          <w:rFonts w:ascii="Times New Roman" w:eastAsia="Times New Roman" w:hAnsi="Times New Roman" w:cs="Times New Roman"/>
          <w:bCs/>
          <w:i/>
          <w:color w:val="000000" w:themeColor="text1"/>
          <w:shd w:val="clear" w:color="auto" w:fill="FFFFFF"/>
          <w:lang w:val="en-US" w:eastAsia="tr-TR"/>
        </w:rPr>
      </w:pPr>
      <w:r w:rsidRPr="00164238">
        <w:rPr>
          <w:rFonts w:ascii="Times New Roman" w:hAnsi="Times New Roman" w:cs="Times New Roman"/>
          <w:b/>
          <w:noProof/>
          <w:color w:val="000000" w:themeColor="text1"/>
          <w:sz w:val="20"/>
          <w:lang w:val="en-US"/>
        </w:rPr>
        <mc:AlternateContent>
          <mc:Choice Requires="wpc">
            <w:drawing>
              <wp:inline distT="0" distB="0" distL="0" distR="0" wp14:anchorId="36378895" wp14:editId="0B7F899C">
                <wp:extent cx="5829300" cy="510540"/>
                <wp:effectExtent l="0" t="0" r="0" b="0"/>
                <wp:docPr id="47" name="Canvas 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4" name="Text Box 1"/>
                        <wps:cNvSpPr txBox="1"/>
                        <wps:spPr>
                          <a:xfrm>
                            <a:off x="0" y="144780"/>
                            <a:ext cx="2909570" cy="2514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772F9FA" w14:textId="77777777" w:rsidR="003B6DB3" w:rsidRPr="00A07171" w:rsidRDefault="003B6DB3" w:rsidP="00741745">
                              <w:pPr>
                                <w:spacing w:line="240" w:lineRule="atLeast"/>
                                <w:jc w:val="center"/>
                                <w:rPr>
                                  <w:rFonts w:ascii="Times New Roman" w:hAnsi="Times New Roman" w:cs="Times New Roman"/>
                                  <w:b/>
                                </w:rPr>
                              </w:pPr>
                              <w:r>
                                <w:rPr>
                                  <w:rFonts w:ascii="Times New Roman" w:hAnsi="Times New Roman" w:cs="Times New Roman"/>
                                  <w:b/>
                                </w:rPr>
                                <w:t xml:space="preserve">Supervisors’ Virtual Technology Competence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5" name="Text Box 11"/>
                        <wps:cNvSpPr txBox="1"/>
                        <wps:spPr>
                          <a:xfrm>
                            <a:off x="3350895" y="141458"/>
                            <a:ext cx="2355850" cy="253365"/>
                          </a:xfrm>
                          <a:prstGeom prst="rect">
                            <a:avLst/>
                          </a:prstGeom>
                          <a:solidFill>
                            <a:sysClr val="window" lastClr="FFFFFF"/>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84200BA" w14:textId="77777777" w:rsidR="003B6DB3" w:rsidRDefault="003B6DB3" w:rsidP="00741745">
                              <w:pPr>
                                <w:pStyle w:val="TableFigureHeader"/>
                                <w:spacing w:before="0" w:after="0" w:line="0" w:lineRule="atLeast"/>
                                <w:rPr>
                                  <w:rFonts w:eastAsia="Calibri"/>
                                  <w:b/>
                                  <w:bCs/>
                                  <w:sz w:val="22"/>
                                </w:rPr>
                              </w:pPr>
                              <w:r>
                                <w:rPr>
                                  <w:rFonts w:eastAsia="Calibri"/>
                                  <w:b/>
                                  <w:bCs/>
                                  <w:sz w:val="22"/>
                                </w:rPr>
                                <w:t>Supervisors’ Leadership Effectiveness</w:t>
                              </w:r>
                            </w:p>
                            <w:p w14:paraId="5722C386" w14:textId="77777777" w:rsidR="003B6DB3" w:rsidRDefault="003B6DB3" w:rsidP="00741745">
                              <w:pPr>
                                <w:pStyle w:val="TableFigureHeader"/>
                                <w:spacing w:before="0" w:after="0" w:line="0" w:lineRule="atLeast"/>
                                <w:rPr>
                                  <w:rFonts w:eastAsia="Calibri"/>
                                  <w:b/>
                                  <w:bCs/>
                                  <w:sz w:val="22"/>
                                </w:rPr>
                              </w:pPr>
                            </w:p>
                            <w:p w14:paraId="6BB3D15B" w14:textId="77777777" w:rsidR="003B6DB3" w:rsidRPr="00E40423" w:rsidRDefault="003B6DB3" w:rsidP="00741745">
                              <w:pPr>
                                <w:pStyle w:val="TableFigureHeader"/>
                                <w:spacing w:before="0" w:after="0" w:line="0" w:lineRule="atLeast"/>
                                <w:rPr>
                                  <w:sz w:val="22"/>
                                </w:rPr>
                              </w:pP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46" name="Straight Arrow Connector 3"/>
                        <wps:cNvCnPr/>
                        <wps:spPr>
                          <a:xfrm flipV="1">
                            <a:off x="2909570" y="268141"/>
                            <a:ext cx="441325" cy="2369"/>
                          </a:xfrm>
                          <a:prstGeom prst="straightConnector1">
                            <a:avLst/>
                          </a:prstGeom>
                          <a:ln w="12700">
                            <a:tailEnd type="arrow"/>
                          </a:ln>
                        </wps:spPr>
                        <wps:style>
                          <a:lnRef idx="1">
                            <a:schemeClr val="dk1"/>
                          </a:lnRef>
                          <a:fillRef idx="0">
                            <a:schemeClr val="dk1"/>
                          </a:fillRef>
                          <a:effectRef idx="0">
                            <a:schemeClr val="dk1"/>
                          </a:effectRef>
                          <a:fontRef idx="minor">
                            <a:schemeClr val="tx1"/>
                          </a:fontRef>
                        </wps:style>
                        <wps:bodyPr/>
                      </wps:wsp>
                    </wpc:wpc>
                  </a:graphicData>
                </a:graphic>
              </wp:inline>
            </w:drawing>
          </mc:Choice>
          <mc:Fallback>
            <w:pict>
              <v:group w14:anchorId="36378895" id="Canvas 4" o:spid="_x0000_s1037" editas="canvas" style="width:459pt;height:40.2pt;mso-position-horizontal-relative:char;mso-position-vertical-relative:line" coordsize="58293,5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ikrxAMAAM8MAAAOAAAAZHJzL2Uyb0RvYy54bWzsV0tv4zYQvhfofyB4b2zZkmMbURautykK&#10;BLtBk3bPNEXZwlKkQDKW3F/fj9TDdrLFwmm3p81BGZLD4Ty/Gd+8a0pJ9sLYQquURldjSoTiOivU&#10;NqV/PN39NKfEOqYyJrUSKT0IS9/d/vjDTV0txUTvtMyEIRCi7LKuUrpzrlqORpbvRMnsla6EwmGu&#10;TckclmY7ygyrIb2Uo8l4PBvV2mSV0VxYi9337SG9DfLzXHD3Mc+tcESmFLq58DXhu/Hf0e0NW24N&#10;q3YF79Rgb9CiZIXCo4Oo98wx8myKV6LKghttde6uuC5HOs8LLoINsCYav7BmzdSe2WAMh3d6BUH9&#10;h3I3W/gAIpc1giECjVDYagiK/XePPe5YJYINdsk/7B8MKbKUxjElipXIiCfROPKzbkjkg1FXgeux&#10;Ap9rsI2k6vctNr2Pm9yU/j+8R3COsB7AFcfX8y6eXiLHyWQxXiTXOOdgmCRRPAsMo6OIylj3q9Al&#10;8URKDfIlhJHt762DOmDtWfyLVssiuyukDAufo2ItDdkzZJd0QVHcOOOSitQpnU2TcRB8duZFD/c3&#10;kvHP3tRzCVhJ5Z8TIZs7tbybWncEyh2k8DxS/S5y+Dd45Qs6Ms6FGvQM3J4rh0WXXOz4j1pdcrm1&#10;AzfCy1q54XJZKG1aL527NvvcuzZv+eGkE7s96ZpNExIrGtJlo7MDssjotuhtxe8KOPyeWffADKoc&#10;iQHkch/xyaVGlHRHUbLT5q8v7Xt+lANOKamBGilVgDVK5G8KZbJAEnqQCYs4uZ5gYU5PNqcn6rlc&#10;ayROBISseCA9v5M9mRtdfgK8rfybOGKK4+WUup5cuxbJAI9crFaBCbBSMXevHj1IRMGbPs2emk/M&#10;VF2aOxTIB90XJlu+yPaW14dH6dWz03kRSsG7ufVp536ARFuw3x4tktdoMcQZoHIJXExRivMFBAbQ&#10;iOJk3jaBATSmSTJHtXagMZ3Okq4qe9zpEeFNoHGwQ8WjjWW6RvIgI7GZ0rvw9xoDfGF/R5Ez7PrW&#10;KDLxUThm/NdR5Dsq/P+oMOtR4dEZVmx3jqyM0TVZa6XQybUh0z6MAIm1ejBdUE8nCZLLovqzx8pu&#10;phgmBz84zOZRHNAGTbibLOI4mk6AIWGwmM4WXc3+A0LYTr1BrxaXX8Cun0M86La1Hk2ux+3I4Fgh&#10;f1EZcYcK4xLzFnbP+cGgbYRhMjppiWejQPtaGKmP48qxp14wBhwvXTgCHC++oXBd89X23/YlPzx5&#10;J4TGBCoMzdg7G8tP14H/+Dvk9m8AAAD//wMAUEsDBBQABgAIAAAAIQCueqPz2wAAAAQBAAAPAAAA&#10;ZHJzL2Rvd25yZXYueG1sTI/BSsNAEIbvgu+wjOCl2N2qlDRmU4ogeNBiq2CP0+yYBLOzIbtt49s7&#10;etHLwM8/fPNNsRx9p440xDawhdnUgCKugmu5tvD2+nCVgYoJ2WEXmCx8UYRleX5WYO7CiTd03KZa&#10;CYRjjhaalPpc61g15DFOQ08s3UcYPCaJQ63dgCeB+05fGzPXHluWCw32dN9Q9bk9eKEsJqvJ+p0f&#10;n9fjUzXf7MzN7sVYe3kxru5AJRrT3zL86Is6lOK0Dwd2UXUW5JH0O6VbzDKJewuZuQVdFvq/fPkN&#10;AAD//wMAUEsBAi0AFAAGAAgAAAAhALaDOJL+AAAA4QEAABMAAAAAAAAAAAAAAAAAAAAAAFtDb250&#10;ZW50X1R5cGVzXS54bWxQSwECLQAUAAYACAAAACEAOP0h/9YAAACUAQAACwAAAAAAAAAAAAAAAAAv&#10;AQAAX3JlbHMvLnJlbHNQSwECLQAUAAYACAAAACEAJsYpK8QDAADPDAAADgAAAAAAAAAAAAAAAAAu&#10;AgAAZHJzL2Uyb0RvYy54bWxQSwECLQAUAAYACAAAACEArnqj89sAAAAEAQAADwAAAAAAAAAAAAAA&#10;AAAeBgAAZHJzL2Rvd25yZXYueG1sUEsFBgAAAAAEAAQA8wAAACYHAAAAAA==&#10;">
                <v:shape id="_x0000_s1038" type="#_x0000_t75" style="position:absolute;width:58293;height:5105;visibility:visible;mso-wrap-style:square">
                  <v:fill o:detectmouseclick="t"/>
                  <v:path o:connecttype="none"/>
                </v:shape>
                <v:shapetype id="_x0000_t202" coordsize="21600,21600" o:spt="202" path="m,l,21600r21600,l21600,xe">
                  <v:stroke joinstyle="miter"/>
                  <v:path gradientshapeok="t" o:connecttype="rect"/>
                </v:shapetype>
                <v:shape id="Text Box 1" o:spid="_x0000_s1039" type="#_x0000_t202" style="position:absolute;top:1447;width:29095;height:251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jj6xQAAANsAAAAPAAAAZHJzL2Rvd25yZXYueG1sRI/dasJA&#10;FITvBd9hOULvzMZGJURXEWmhUJCqhfbyNHvyg9mzIbuN6du7BcHLYWa+YdbbwTSip87VlhXMohgE&#10;cW51zaWCz/PrNAXhPLLGxjIp+CMH2814tMZM2ysfqT/5UgQIuwwVVN63mZQur8igi2xLHLzCdgZ9&#10;kF0pdYfXADeNfI7jpTRYc1iosKV9Rfnl9GsUHPZLu0h+hrR4+Xi3x7JI5PfiS6mnybBbgfA0+Ef4&#10;3n7TCuZz+P8SfoDc3AAAAP//AwBQSwECLQAUAAYACAAAACEA2+H2y+4AAACFAQAAEwAAAAAAAAAA&#10;AAAAAAAAAAAAW0NvbnRlbnRfVHlwZXNdLnhtbFBLAQItABQABgAIAAAAIQBa9CxbvwAAABUBAAAL&#10;AAAAAAAAAAAAAAAAAB8BAABfcmVscy8ucmVsc1BLAQItABQABgAIAAAAIQD5rjj6xQAAANsAAAAP&#10;AAAAAAAAAAAAAAAAAAcCAABkcnMvZG93bnJldi54bWxQSwUGAAAAAAMAAwC3AAAA+QIAAAAA&#10;" fillcolor="white [3201]" strokeweight=".5pt">
                  <v:textbox>
                    <w:txbxContent>
                      <w:p w14:paraId="4772F9FA" w14:textId="77777777" w:rsidR="003B6DB3" w:rsidRPr="00A07171" w:rsidRDefault="003B6DB3" w:rsidP="00741745">
                        <w:pPr>
                          <w:spacing w:line="240" w:lineRule="atLeast"/>
                          <w:jc w:val="center"/>
                          <w:rPr>
                            <w:rFonts w:ascii="Times New Roman" w:hAnsi="Times New Roman" w:cs="Times New Roman"/>
                            <w:b/>
                          </w:rPr>
                        </w:pPr>
                        <w:r>
                          <w:rPr>
                            <w:rFonts w:ascii="Times New Roman" w:hAnsi="Times New Roman" w:cs="Times New Roman"/>
                            <w:b/>
                          </w:rPr>
                          <w:t xml:space="preserve">Supervisors’ Virtual Technology Competence </w:t>
                        </w:r>
                      </w:p>
                    </w:txbxContent>
                  </v:textbox>
                </v:shape>
                <v:shape id="Text Box 11" o:spid="_x0000_s1040" type="#_x0000_t202" style="position:absolute;left:33508;top:1414;width:23559;height:25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V59xQAAANsAAAAPAAAAZHJzL2Rvd25yZXYueG1sRI9PawIx&#10;FMTvgt8hPMFbzVprkdUorVKoPVj8A3p8bJ6brZuXZZO667c3hYLHYWZ+w8wWrS3FlWpfOFYwHCQg&#10;iDOnC84VHPYfTxMQPiBrLB2Tght5WMy7nRmm2jW8pesu5CJC2KeowIRQpVL6zJBFP3AVcfTOrrYY&#10;oqxzqWtsItyW8jlJXqXFguOCwYqWhrLL7tcqGL03P2ZFtA7FcHP8+vZrfbqMler32rcpiEBteIT/&#10;259awcsY/r7EHyDndwAAAP//AwBQSwECLQAUAAYACAAAACEA2+H2y+4AAACFAQAAEwAAAAAAAAAA&#10;AAAAAAAAAAAAW0NvbnRlbnRfVHlwZXNdLnhtbFBLAQItABQABgAIAAAAIQBa9CxbvwAAABUBAAAL&#10;AAAAAAAAAAAAAAAAAB8BAABfcmVscy8ucmVsc1BLAQItABQABgAIAAAAIQCWJV59xQAAANsAAAAP&#10;AAAAAAAAAAAAAAAAAAcCAABkcnMvZG93bnJldi54bWxQSwUGAAAAAAMAAwC3AAAA+QIAAAAA&#10;" fillcolor="window" strokeweight=".5pt">
                  <v:textbox>
                    <w:txbxContent>
                      <w:p w14:paraId="384200BA" w14:textId="77777777" w:rsidR="003B6DB3" w:rsidRDefault="003B6DB3" w:rsidP="00741745">
                        <w:pPr>
                          <w:pStyle w:val="TableFigureHeader"/>
                          <w:spacing w:before="0" w:after="0" w:line="0" w:lineRule="atLeast"/>
                          <w:rPr>
                            <w:rFonts w:eastAsia="Calibri"/>
                            <w:b/>
                            <w:bCs/>
                            <w:sz w:val="22"/>
                          </w:rPr>
                        </w:pPr>
                        <w:r>
                          <w:rPr>
                            <w:rFonts w:eastAsia="Calibri"/>
                            <w:b/>
                            <w:bCs/>
                            <w:sz w:val="22"/>
                          </w:rPr>
                          <w:t>Supervisors’ Leadership Effectiveness</w:t>
                        </w:r>
                      </w:p>
                      <w:p w14:paraId="5722C386" w14:textId="77777777" w:rsidR="003B6DB3" w:rsidRDefault="003B6DB3" w:rsidP="00741745">
                        <w:pPr>
                          <w:pStyle w:val="TableFigureHeader"/>
                          <w:spacing w:before="0" w:after="0" w:line="0" w:lineRule="atLeast"/>
                          <w:rPr>
                            <w:rFonts w:eastAsia="Calibri"/>
                            <w:b/>
                            <w:bCs/>
                            <w:sz w:val="22"/>
                          </w:rPr>
                        </w:pPr>
                      </w:p>
                      <w:p w14:paraId="6BB3D15B" w14:textId="77777777" w:rsidR="003B6DB3" w:rsidRPr="00E40423" w:rsidRDefault="003B6DB3" w:rsidP="00741745">
                        <w:pPr>
                          <w:pStyle w:val="TableFigureHeader"/>
                          <w:spacing w:before="0" w:after="0" w:line="0" w:lineRule="atLeast"/>
                          <w:rPr>
                            <w:sz w:val="22"/>
                          </w:rPr>
                        </w:pPr>
                      </w:p>
                    </w:txbxContent>
                  </v:textbox>
                </v:shape>
                <v:shapetype id="_x0000_t32" coordsize="21600,21600" o:spt="32" o:oned="t" path="m,l21600,21600e" filled="f">
                  <v:path arrowok="t" fillok="f" o:connecttype="none"/>
                  <o:lock v:ext="edit" shapetype="t"/>
                </v:shapetype>
                <v:shape id="Straight Arrow Connector 3" o:spid="_x0000_s1041" type="#_x0000_t32" style="position:absolute;left:29095;top:2681;width:4413;height: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FEYxAAAANsAAAAPAAAAZHJzL2Rvd25yZXYueG1sRI9BawIx&#10;FITvBf9DeIK3mlVala1RRLAteKlaen5sXjerm5e4ibvbf28KhR6HmfmGWa57W4uWmlA5VjAZZyCI&#10;C6crLhV8nnaPCxAhImusHZOCHwqwXg0elphr1/GB2mMsRYJwyFGBidHnUobCkMUwdp44ed+usRiT&#10;bEqpG+wS3NZymmUzabHitGDQ09ZQcTnerIKvq5k+Xz9eL+c3zzvb+vlp0e2VGg37zQuISH38D/+1&#10;37WCpxn8fkk/QK7uAAAA//8DAFBLAQItABQABgAIAAAAIQDb4fbL7gAAAIUBAAATAAAAAAAAAAAA&#10;AAAAAAAAAABbQ29udGVudF9UeXBlc10ueG1sUEsBAi0AFAAGAAgAAAAhAFr0LFu/AAAAFQEAAAsA&#10;AAAAAAAAAAAAAAAAHwEAAF9yZWxzLy5yZWxzUEsBAi0AFAAGAAgAAAAhAL3YURjEAAAA2wAAAA8A&#10;AAAAAAAAAAAAAAAABwIAAGRycy9kb3ducmV2LnhtbFBLBQYAAAAAAwADALcAAAD4AgAAAAA=&#10;" strokecolor="black [3200]" strokeweight="1pt">
                  <v:stroke endarrow="open" joinstyle="miter"/>
                </v:shape>
                <w10:anchorlock/>
              </v:group>
            </w:pict>
          </mc:Fallback>
        </mc:AlternateContent>
      </w:r>
    </w:p>
    <w:p w14:paraId="2B793A86" w14:textId="77777777" w:rsidR="00741745" w:rsidRPr="00164238" w:rsidRDefault="00741745" w:rsidP="00741745">
      <w:pPr>
        <w:spacing w:before="120"/>
        <w:jc w:val="both"/>
        <w:rPr>
          <w:rFonts w:ascii="Times New Roman" w:eastAsia="Times New Roman" w:hAnsi="Times New Roman" w:cs="Times New Roman"/>
          <w:b/>
          <w:color w:val="000000" w:themeColor="text1"/>
          <w:shd w:val="clear" w:color="auto" w:fill="FFFFFF"/>
          <w:lang w:val="en-US" w:eastAsia="tr-TR"/>
        </w:rPr>
      </w:pPr>
      <w:r w:rsidRPr="00164238">
        <w:rPr>
          <w:rFonts w:ascii="Times New Roman" w:eastAsia="Times New Roman" w:hAnsi="Times New Roman" w:cs="Times New Roman"/>
          <w:b/>
          <w:color w:val="000000" w:themeColor="text1"/>
          <w:shd w:val="clear" w:color="auto" w:fill="FFFFFF"/>
          <w:lang w:val="en-US" w:eastAsia="tr-TR"/>
        </w:rPr>
        <w:t xml:space="preserve">Hypothesis: </w:t>
      </w:r>
      <w:r w:rsidRPr="00164238">
        <w:rPr>
          <w:rFonts w:ascii="Times New Roman" w:hAnsi="Times New Roman" w:cs="Times New Roman"/>
          <w:color w:val="000000" w:themeColor="text1"/>
          <w:lang w:val="en-US"/>
        </w:rPr>
        <w:t>Supervisors’ virtual technology competence significantly and positively influences their leadership effectiveness.</w:t>
      </w:r>
    </w:p>
    <w:p w14:paraId="3C7DD8C3" w14:textId="6F2754D0" w:rsidR="00741745" w:rsidRPr="00164238" w:rsidRDefault="00741745" w:rsidP="00741745">
      <w:pPr>
        <w:spacing w:before="120"/>
        <w:ind w:firstLine="708"/>
        <w:jc w:val="both"/>
        <w:rPr>
          <w:rFonts w:ascii="Times New Roman" w:eastAsia="Times New Roman" w:hAnsi="Times New Roman" w:cs="Times New Roman"/>
          <w:b/>
          <w:bCs/>
          <w:color w:val="000000" w:themeColor="text1"/>
          <w:shd w:val="clear" w:color="auto" w:fill="FFFFFF"/>
          <w:lang w:val="en-US" w:eastAsia="tr-TR"/>
        </w:rPr>
      </w:pPr>
      <w:r w:rsidRPr="00164238">
        <w:rPr>
          <w:rFonts w:ascii="Times New Roman" w:eastAsia="Times New Roman" w:hAnsi="Times New Roman" w:cs="Times New Roman"/>
          <w:b/>
          <w:bCs/>
          <w:color w:val="000000" w:themeColor="text1"/>
          <w:shd w:val="clear" w:color="auto" w:fill="FFFFFF"/>
          <w:lang w:val="en-US" w:eastAsia="tr-TR"/>
        </w:rPr>
        <w:t>Method</w:t>
      </w:r>
    </w:p>
    <w:p w14:paraId="42F1904C" w14:textId="77777777" w:rsidR="00741745" w:rsidRPr="00164238" w:rsidRDefault="00741745" w:rsidP="00741745">
      <w:pPr>
        <w:spacing w:before="120"/>
        <w:ind w:firstLine="708"/>
        <w:jc w:val="both"/>
        <w:rPr>
          <w:rFonts w:ascii="Times New Roman" w:hAnsi="Times New Roman" w:cs="Times New Roman"/>
          <w:color w:val="000000" w:themeColor="text1"/>
          <w:shd w:val="clear" w:color="auto" w:fill="FFFFFF"/>
          <w:lang w:val="en-US"/>
        </w:rPr>
      </w:pPr>
      <w:r w:rsidRPr="00164238">
        <w:rPr>
          <w:rFonts w:ascii="Times New Roman" w:hAnsi="Times New Roman" w:cs="Times New Roman"/>
          <w:color w:val="000000" w:themeColor="text1"/>
          <w:shd w:val="clear" w:color="auto" w:fill="FFFFFF"/>
          <w:lang w:val="en-US"/>
        </w:rPr>
        <w:t xml:space="preserve">Data was collected through survey in this study, where a quantitative research was performed. Data input and analysis were performed by using “SPSS 24” software program. </w:t>
      </w:r>
      <w:r w:rsidRPr="00164238">
        <w:rPr>
          <w:rFonts w:ascii="Times New Roman" w:hAnsi="Times New Roman" w:cs="Times New Roman"/>
          <w:color w:val="000000" w:themeColor="text1"/>
          <w:lang w:val="en-US"/>
        </w:rPr>
        <w:t>After the dataset was checked and prepared for analysis (preliminary analyzes), the validity, reliability and Pearson correlation analyses of the variables in the research model were carried out.</w:t>
      </w:r>
      <w:r w:rsidRPr="00164238">
        <w:rPr>
          <w:rFonts w:ascii="Times New Roman" w:hAnsi="Times New Roman" w:cs="Times New Roman"/>
          <w:color w:val="000000" w:themeColor="text1"/>
          <w:shd w:val="clear" w:color="auto" w:fill="FFFFFF"/>
          <w:lang w:val="en-US"/>
        </w:rPr>
        <w:t xml:space="preserve"> </w:t>
      </w:r>
      <w:r w:rsidRPr="00164238">
        <w:rPr>
          <w:rFonts w:ascii="Times New Roman" w:hAnsi="Times New Roman" w:cs="Times New Roman"/>
          <w:color w:val="000000" w:themeColor="text1"/>
          <w:lang w:val="en-US"/>
        </w:rPr>
        <w:t>Finally, the research hypothesis was tested by simple linear regression analysis.</w:t>
      </w:r>
      <w:r w:rsidRPr="00164238">
        <w:rPr>
          <w:rFonts w:ascii="Times New Roman" w:hAnsi="Times New Roman" w:cs="Times New Roman"/>
          <w:color w:val="000000" w:themeColor="text1"/>
          <w:shd w:val="clear" w:color="auto" w:fill="FFFFFF"/>
          <w:lang w:val="en-US"/>
        </w:rPr>
        <w:t xml:space="preserve"> </w:t>
      </w:r>
    </w:p>
    <w:p w14:paraId="48399D2F" w14:textId="6C141E6F" w:rsidR="00741745" w:rsidRPr="00164238" w:rsidRDefault="00741745" w:rsidP="00741745">
      <w:pPr>
        <w:spacing w:before="120"/>
        <w:ind w:firstLine="708"/>
        <w:jc w:val="both"/>
        <w:rPr>
          <w:rFonts w:ascii="Times New Roman" w:eastAsia="Times New Roman" w:hAnsi="Times New Roman" w:cs="Times New Roman"/>
          <w:b/>
          <w:bCs/>
          <w:color w:val="000000" w:themeColor="text1"/>
          <w:shd w:val="clear" w:color="auto" w:fill="FFFFFF"/>
          <w:lang w:val="en-US" w:eastAsia="tr-TR"/>
        </w:rPr>
      </w:pPr>
      <w:r w:rsidRPr="00164238">
        <w:rPr>
          <w:rFonts w:ascii="Times New Roman" w:eastAsia="Times New Roman" w:hAnsi="Times New Roman" w:cs="Times New Roman"/>
          <w:b/>
          <w:bCs/>
          <w:color w:val="000000" w:themeColor="text1"/>
          <w:shd w:val="clear" w:color="auto" w:fill="FFFFFF"/>
          <w:lang w:val="en-US" w:eastAsia="tr-TR"/>
        </w:rPr>
        <w:t>Sampling</w:t>
      </w:r>
    </w:p>
    <w:p w14:paraId="654FEB4A" w14:textId="77777777" w:rsidR="00741745" w:rsidRPr="00164238" w:rsidRDefault="00741745" w:rsidP="00741745">
      <w:pPr>
        <w:spacing w:before="120"/>
        <w:ind w:firstLine="708"/>
        <w:jc w:val="both"/>
        <w:rPr>
          <w:rFonts w:ascii="Times New Roman" w:hAnsi="Times New Roman" w:cs="Times New Roman"/>
          <w:color w:val="000000" w:themeColor="text1"/>
          <w:shd w:val="clear" w:color="auto" w:fill="FFFFFF"/>
          <w:lang w:val="en-US"/>
        </w:rPr>
      </w:pPr>
      <w:r w:rsidRPr="00164238">
        <w:rPr>
          <w:rFonts w:ascii="Times New Roman" w:hAnsi="Times New Roman" w:cs="Times New Roman"/>
          <w:color w:val="000000" w:themeColor="text1"/>
          <w:shd w:val="clear" w:color="auto" w:fill="FFFFFF"/>
          <w:lang w:val="en-US"/>
        </w:rPr>
        <w:lastRenderedPageBreak/>
        <w:t xml:space="preserve">Research universe covers 271 personnel taking office </w:t>
      </w:r>
      <w:r w:rsidRPr="00164238">
        <w:rPr>
          <w:rFonts w:ascii="Times New Roman" w:hAnsi="Times New Roman" w:cs="Times New Roman"/>
          <w:color w:val="000000" w:themeColor="text1"/>
          <w:lang w:val="en-US"/>
        </w:rPr>
        <w:t>in the academic and administrative units of a faculty of a state university in Ankara.</w:t>
      </w:r>
      <w:r w:rsidRPr="00164238">
        <w:rPr>
          <w:rFonts w:ascii="Times New Roman" w:hAnsi="Times New Roman" w:cs="Times New Roman"/>
          <w:color w:val="000000" w:themeColor="text1"/>
          <w:shd w:val="clear" w:color="auto" w:fill="FFFFFF"/>
          <w:lang w:val="en-US"/>
        </w:rPr>
        <w:t xml:space="preserve"> Sampling was not done to reach the entire population. </w:t>
      </w:r>
      <w:r w:rsidRPr="00164238">
        <w:rPr>
          <w:rFonts w:ascii="Times New Roman" w:hAnsi="Times New Roman" w:cs="Times New Roman"/>
          <w:color w:val="000000" w:themeColor="text1"/>
          <w:lang w:val="en-US"/>
        </w:rPr>
        <w:t>Questionnaires were distributed to 239 of 271 employees. 217 employees among 239, who were delivered with the questionnaire, returned. Return rate is nearly 91%. However, only 209 of these questionnaires are usable.</w:t>
      </w:r>
    </w:p>
    <w:p w14:paraId="46026035" w14:textId="284425EF" w:rsidR="00741745" w:rsidRPr="00164238" w:rsidRDefault="00741745" w:rsidP="00741745">
      <w:pPr>
        <w:spacing w:before="120"/>
        <w:ind w:firstLine="708"/>
        <w:jc w:val="both"/>
        <w:rPr>
          <w:rFonts w:ascii="Times New Roman" w:eastAsia="Times New Roman" w:hAnsi="Times New Roman" w:cs="Times New Roman"/>
          <w:b/>
          <w:color w:val="000000" w:themeColor="text1"/>
          <w:shd w:val="clear" w:color="auto" w:fill="FFFFFF"/>
          <w:lang w:val="en-US" w:eastAsia="tr-TR"/>
        </w:rPr>
      </w:pPr>
      <w:r w:rsidRPr="00164238">
        <w:rPr>
          <w:rFonts w:ascii="Times New Roman" w:eastAsia="Times New Roman" w:hAnsi="Times New Roman" w:cs="Times New Roman"/>
          <w:b/>
          <w:color w:val="000000" w:themeColor="text1"/>
          <w:shd w:val="clear" w:color="auto" w:fill="FFFFFF"/>
          <w:lang w:val="en-US" w:eastAsia="tr-TR"/>
        </w:rPr>
        <w:t>Data Collection Tools</w:t>
      </w:r>
    </w:p>
    <w:p w14:paraId="6431A16D" w14:textId="77777777" w:rsidR="00741745" w:rsidRPr="00164238" w:rsidRDefault="00741745" w:rsidP="00741745">
      <w:pPr>
        <w:spacing w:before="120"/>
        <w:ind w:firstLine="708"/>
        <w:jc w:val="both"/>
        <w:rPr>
          <w:rFonts w:ascii="Times New Roman" w:hAnsi="Times New Roman" w:cs="Times New Roman"/>
          <w:color w:val="000000" w:themeColor="text1"/>
          <w:shd w:val="clear" w:color="auto" w:fill="FFFFFF"/>
          <w:lang w:val="en-US"/>
        </w:rPr>
      </w:pPr>
      <w:r w:rsidRPr="00164238">
        <w:rPr>
          <w:rFonts w:ascii="Times New Roman" w:hAnsi="Times New Roman" w:cs="Times New Roman"/>
          <w:color w:val="000000" w:themeColor="text1"/>
          <w:shd w:val="clear" w:color="auto" w:fill="FFFFFF"/>
          <w:lang w:val="en-US"/>
        </w:rPr>
        <w:t>In this study, 11-item sub-scale of the electronic leadership scale developed by Tekinay (2015) was used to measure employees’ perception regarding virtual technology competence of their immediate supervisors, while 4-item scale developed by Chen &amp; Tjosvold (2005), taking the scale of Liu et al. (2004) as basis, and adapted to Turkish by Yılmaz (2014) was utilized to measure employees’ perception regarding leadership effectiveness of these supervisors. Supervisor's virtual technology competence (</w:t>
      </w:r>
      <w:r w:rsidRPr="00164238">
        <w:rPr>
          <w:rFonts w:ascii="Times New Roman" w:hAnsi="Times New Roman" w:cs="Times New Roman"/>
          <w:color w:val="000000" w:themeColor="text1"/>
          <w:lang w:val="en-US"/>
        </w:rPr>
        <w:t xml:space="preserve">1=Strongly Disagree, 2=Partially Disagree, 3=Moderately Agree, 4=Partially Agree, 5=Totally Agree) and leadership effectiveness </w:t>
      </w:r>
      <w:r w:rsidRPr="00164238">
        <w:rPr>
          <w:rFonts w:ascii="Times New Roman" w:hAnsi="Times New Roman" w:cs="Times New Roman"/>
          <w:color w:val="000000" w:themeColor="text1"/>
          <w:shd w:val="clear" w:color="auto" w:fill="FFFFFF"/>
          <w:lang w:val="en-US"/>
        </w:rPr>
        <w:t>(</w:t>
      </w:r>
      <w:r w:rsidRPr="00164238">
        <w:rPr>
          <w:rFonts w:ascii="Times New Roman" w:hAnsi="Times New Roman" w:cs="Times New Roman"/>
          <w:color w:val="000000" w:themeColor="text1"/>
          <w:lang w:val="en-US"/>
        </w:rPr>
        <w:t>1= Never, 2=Seldom, 3=Occasionally, 4= Frequently, 5=Always</w:t>
      </w:r>
      <w:r w:rsidRPr="00164238">
        <w:rPr>
          <w:rFonts w:ascii="Times New Roman" w:hAnsi="Times New Roman" w:cs="Times New Roman"/>
          <w:color w:val="000000" w:themeColor="text1"/>
          <w:shd w:val="clear" w:color="auto" w:fill="FFFFFF"/>
          <w:lang w:val="en-US"/>
        </w:rPr>
        <w:t>) were scored at 5-point Likert-type scale. Participants were also requested to answer two demographical questions (gender and the unit they take office at).</w:t>
      </w:r>
    </w:p>
    <w:p w14:paraId="39913ED3" w14:textId="069FC894" w:rsidR="00741745" w:rsidRPr="00164238" w:rsidRDefault="00741745" w:rsidP="00741745">
      <w:pPr>
        <w:spacing w:before="120"/>
        <w:ind w:firstLine="708"/>
        <w:jc w:val="both"/>
        <w:rPr>
          <w:rFonts w:ascii="Times New Roman" w:eastAsia="Times New Roman" w:hAnsi="Times New Roman" w:cs="Times New Roman"/>
          <w:b/>
          <w:bCs/>
          <w:color w:val="000000" w:themeColor="text1"/>
          <w:shd w:val="clear" w:color="auto" w:fill="FFFFFF"/>
          <w:lang w:val="en-US" w:eastAsia="tr-TR"/>
        </w:rPr>
      </w:pPr>
      <w:r w:rsidRPr="00164238">
        <w:rPr>
          <w:rFonts w:ascii="Times New Roman" w:eastAsia="Times New Roman" w:hAnsi="Times New Roman" w:cs="Times New Roman"/>
          <w:b/>
          <w:bCs/>
          <w:color w:val="000000" w:themeColor="text1"/>
          <w:shd w:val="clear" w:color="auto" w:fill="FFFFFF"/>
          <w:lang w:val="en-US" w:eastAsia="tr-TR"/>
        </w:rPr>
        <w:t>Findings</w:t>
      </w:r>
    </w:p>
    <w:p w14:paraId="1423E8EA" w14:textId="77777777" w:rsidR="00741745" w:rsidRPr="00164238" w:rsidRDefault="00741745" w:rsidP="00741745">
      <w:pPr>
        <w:spacing w:before="120"/>
        <w:ind w:firstLine="708"/>
        <w:jc w:val="both"/>
        <w:rPr>
          <w:rFonts w:ascii="Times New Roman" w:hAnsi="Times New Roman" w:cs="Times New Roman"/>
          <w:color w:val="000000" w:themeColor="text1"/>
          <w:lang w:val="en-US"/>
        </w:rPr>
      </w:pPr>
      <w:r w:rsidRPr="00164238">
        <w:rPr>
          <w:rFonts w:ascii="Times New Roman" w:hAnsi="Times New Roman" w:cs="Times New Roman"/>
          <w:color w:val="000000" w:themeColor="text1"/>
          <w:lang w:val="en-US"/>
        </w:rPr>
        <w:t>Prior to validity analysis, preliminary analyses of the research were completed and the data was made ready for analysis by following four-stage method, consisting of “accuracy of dataset”, “missing data”, “normality test” and “multicollinearity” analyses, suggested by Tabachnick &amp; Fidell (2013). It was accepted that the data was distributed normally considering the kurtosis and skewness values (±1.5) pertaining to the scale items (Tabachnick &amp; Fidell, 2013). Size of the dataset of the research was ascertained as 209 in the result of the preliminary analyses. 77% of the research population, i.e. more than three quarters of it, was reached. This rate, which was reached within scope of the study, was considered to be sufficient and it was assumed that this rate is representative of the population. 96 and 113 of the participants in the dataset of the research are female and male, respectively. Also, 169 of them are academic and 40 of them are administrative personnel.</w:t>
      </w:r>
    </w:p>
    <w:p w14:paraId="5B525681" w14:textId="77777777" w:rsidR="00A40273" w:rsidRDefault="00A40273" w:rsidP="00741745">
      <w:pPr>
        <w:spacing w:before="120"/>
        <w:ind w:firstLine="708"/>
        <w:jc w:val="both"/>
        <w:rPr>
          <w:rFonts w:ascii="Times New Roman" w:eastAsia="Times New Roman" w:hAnsi="Times New Roman" w:cs="Times New Roman"/>
          <w:b/>
          <w:bCs/>
          <w:color w:val="000000" w:themeColor="text1"/>
          <w:shd w:val="clear" w:color="auto" w:fill="FFFFFF"/>
          <w:lang w:val="en-US" w:eastAsia="tr-TR"/>
        </w:rPr>
      </w:pPr>
    </w:p>
    <w:p w14:paraId="69E14534" w14:textId="77777777" w:rsidR="00A40273" w:rsidRDefault="00A40273" w:rsidP="00741745">
      <w:pPr>
        <w:spacing w:before="120"/>
        <w:ind w:firstLine="708"/>
        <w:jc w:val="both"/>
        <w:rPr>
          <w:rFonts w:ascii="Times New Roman" w:eastAsia="Times New Roman" w:hAnsi="Times New Roman" w:cs="Times New Roman"/>
          <w:b/>
          <w:bCs/>
          <w:color w:val="000000" w:themeColor="text1"/>
          <w:shd w:val="clear" w:color="auto" w:fill="FFFFFF"/>
          <w:lang w:val="en-US" w:eastAsia="tr-TR"/>
        </w:rPr>
      </w:pPr>
    </w:p>
    <w:p w14:paraId="061A6717" w14:textId="77777777" w:rsidR="00A40273" w:rsidRDefault="00A40273" w:rsidP="00741745">
      <w:pPr>
        <w:spacing w:before="120"/>
        <w:ind w:firstLine="708"/>
        <w:jc w:val="both"/>
        <w:rPr>
          <w:rFonts w:ascii="Times New Roman" w:eastAsia="Times New Roman" w:hAnsi="Times New Roman" w:cs="Times New Roman"/>
          <w:b/>
          <w:bCs/>
          <w:color w:val="000000" w:themeColor="text1"/>
          <w:shd w:val="clear" w:color="auto" w:fill="FFFFFF"/>
          <w:lang w:val="en-US" w:eastAsia="tr-TR"/>
        </w:rPr>
      </w:pPr>
    </w:p>
    <w:p w14:paraId="40AB1EB1" w14:textId="0DC97F04" w:rsidR="00741745" w:rsidRPr="00164238" w:rsidRDefault="00741745" w:rsidP="00741745">
      <w:pPr>
        <w:spacing w:before="120"/>
        <w:ind w:firstLine="708"/>
        <w:jc w:val="both"/>
        <w:rPr>
          <w:rFonts w:ascii="Times New Roman" w:eastAsia="Times New Roman" w:hAnsi="Times New Roman" w:cs="Times New Roman"/>
          <w:b/>
          <w:bCs/>
          <w:color w:val="000000" w:themeColor="text1"/>
          <w:shd w:val="clear" w:color="auto" w:fill="FFFFFF"/>
          <w:lang w:val="en-US" w:eastAsia="tr-TR"/>
        </w:rPr>
      </w:pPr>
      <w:r w:rsidRPr="00164238">
        <w:rPr>
          <w:rFonts w:ascii="Times New Roman" w:eastAsia="Times New Roman" w:hAnsi="Times New Roman" w:cs="Times New Roman"/>
          <w:b/>
          <w:bCs/>
          <w:color w:val="000000" w:themeColor="text1"/>
          <w:shd w:val="clear" w:color="auto" w:fill="FFFFFF"/>
          <w:lang w:val="en-US" w:eastAsia="tr-TR"/>
        </w:rPr>
        <w:t>Validity Analysis</w:t>
      </w:r>
    </w:p>
    <w:p w14:paraId="7FC5434A" w14:textId="77777777" w:rsidR="00741745" w:rsidRPr="00164238" w:rsidRDefault="00741745" w:rsidP="00741745">
      <w:pPr>
        <w:spacing w:before="120"/>
        <w:ind w:firstLine="708"/>
        <w:jc w:val="both"/>
        <w:rPr>
          <w:rFonts w:ascii="Times New Roman" w:hAnsi="Times New Roman" w:cs="Times New Roman"/>
          <w:b/>
          <w:bCs/>
          <w:color w:val="000000" w:themeColor="text1"/>
          <w:shd w:val="clear" w:color="auto" w:fill="FFFFFF"/>
          <w:lang w:val="en-US"/>
        </w:rPr>
      </w:pPr>
      <w:r w:rsidRPr="00164238">
        <w:rPr>
          <w:rFonts w:ascii="Times New Roman" w:hAnsi="Times New Roman" w:cs="Times New Roman"/>
          <w:color w:val="000000" w:themeColor="text1"/>
          <w:lang w:val="en-US"/>
        </w:rPr>
        <w:t>In this study, all items pertaining to the two different variables (supervisor’s virtual technology competence and leadership effectiveness) in the research model were subjected to exploratory factor analysis in a whole structure in SPSS 24 software program.</w:t>
      </w:r>
    </w:p>
    <w:p w14:paraId="4DB369AA" w14:textId="77777777" w:rsidR="00741745" w:rsidRPr="00164238" w:rsidRDefault="00741745" w:rsidP="00741745">
      <w:pPr>
        <w:spacing w:before="120"/>
        <w:jc w:val="both"/>
        <w:rPr>
          <w:rFonts w:ascii="Times New Roman" w:hAnsi="Times New Roman" w:cs="Times New Roman"/>
          <w:b/>
          <w:bCs/>
          <w:color w:val="000000" w:themeColor="text1"/>
          <w:shd w:val="clear" w:color="auto" w:fill="FFFFFF"/>
          <w:lang w:val="en-US"/>
        </w:rPr>
      </w:pPr>
    </w:p>
    <w:p w14:paraId="76E97B4B" w14:textId="77777777" w:rsidR="00741745" w:rsidRPr="00164238" w:rsidRDefault="00741745" w:rsidP="00741745">
      <w:pPr>
        <w:spacing w:before="120"/>
        <w:jc w:val="both"/>
        <w:rPr>
          <w:rFonts w:ascii="Times New Roman" w:hAnsi="Times New Roman" w:cs="Times New Roman"/>
          <w:b/>
          <w:bCs/>
          <w:color w:val="000000" w:themeColor="text1"/>
          <w:shd w:val="clear" w:color="auto" w:fill="FFFFFF"/>
          <w:lang w:val="en-US"/>
        </w:rPr>
      </w:pPr>
      <w:r w:rsidRPr="00164238">
        <w:rPr>
          <w:rFonts w:ascii="Times New Roman" w:hAnsi="Times New Roman" w:cs="Times New Roman"/>
          <w:b/>
          <w:bCs/>
          <w:color w:val="000000" w:themeColor="text1"/>
          <w:shd w:val="clear" w:color="auto" w:fill="FFFFFF"/>
          <w:lang w:val="en-US"/>
        </w:rPr>
        <w:t>Table 1</w:t>
      </w:r>
    </w:p>
    <w:p w14:paraId="762BD298" w14:textId="77777777" w:rsidR="00741745" w:rsidRPr="00164238" w:rsidRDefault="00741745" w:rsidP="00741745">
      <w:pPr>
        <w:spacing w:before="120"/>
        <w:jc w:val="both"/>
        <w:rPr>
          <w:rFonts w:ascii="Times New Roman" w:hAnsi="Times New Roman" w:cs="Times New Roman"/>
          <w:b/>
          <w:bCs/>
          <w:color w:val="000000" w:themeColor="text1"/>
          <w:shd w:val="clear" w:color="auto" w:fill="FFFFFF"/>
          <w:lang w:val="en-US"/>
        </w:rPr>
      </w:pPr>
      <w:r w:rsidRPr="00164238">
        <w:rPr>
          <w:rFonts w:ascii="Times New Roman" w:hAnsi="Times New Roman" w:cs="Times New Roman"/>
          <w:i/>
          <w:iCs/>
          <w:noProof/>
          <w:color w:val="000000" w:themeColor="text1"/>
          <w:shd w:val="clear" w:color="auto" w:fill="FFFFFF"/>
          <w:lang w:val="en-US"/>
        </w:rPr>
        <w:t>Overall-Exploratory Factor Analysis Results</w:t>
      </w:r>
    </w:p>
    <w:tbl>
      <w:tblPr>
        <w:tblpPr w:leftFromText="141" w:rightFromText="141" w:vertAnchor="text" w:horzAnchor="margin" w:tblpX="108" w:tblpY="1"/>
        <w:tblW w:w="9045" w:type="dxa"/>
        <w:tblBorders>
          <w:top w:val="single" w:sz="4" w:space="0" w:color="auto"/>
          <w:bottom w:val="single" w:sz="4" w:space="0" w:color="auto"/>
        </w:tblBorders>
        <w:tblLayout w:type="fixed"/>
        <w:tblLook w:val="00A0" w:firstRow="1" w:lastRow="0" w:firstColumn="1" w:lastColumn="0" w:noHBand="0" w:noVBand="0"/>
      </w:tblPr>
      <w:tblGrid>
        <w:gridCol w:w="2979"/>
        <w:gridCol w:w="3121"/>
        <w:gridCol w:w="2945"/>
      </w:tblGrid>
      <w:tr w:rsidR="00741745" w:rsidRPr="00164238" w14:paraId="27434F8C" w14:textId="77777777" w:rsidTr="00682CBF">
        <w:tc>
          <w:tcPr>
            <w:tcW w:w="2977" w:type="dxa"/>
            <w:vMerge w:val="restart"/>
            <w:tcBorders>
              <w:top w:val="single" w:sz="4" w:space="0" w:color="auto"/>
              <w:left w:val="nil"/>
              <w:bottom w:val="single" w:sz="4" w:space="0" w:color="auto"/>
              <w:right w:val="nil"/>
            </w:tcBorders>
            <w:hideMark/>
          </w:tcPr>
          <w:p w14:paraId="0A3B1638" w14:textId="77777777" w:rsidR="00741745" w:rsidRPr="00164238" w:rsidRDefault="00741745" w:rsidP="00682CBF">
            <w:pPr>
              <w:rPr>
                <w:rFonts w:ascii="Times New Roman" w:hAnsi="Times New Roman" w:cs="Times New Roman"/>
                <w:color w:val="000000" w:themeColor="text1"/>
                <w:lang w:val="en-US"/>
              </w:rPr>
            </w:pPr>
            <w:r w:rsidRPr="00164238">
              <w:rPr>
                <w:rFonts w:ascii="Times New Roman" w:hAnsi="Times New Roman" w:cs="Times New Roman"/>
                <w:b/>
                <w:bCs/>
                <w:color w:val="000000" w:themeColor="text1"/>
                <w:sz w:val="20"/>
                <w:szCs w:val="20"/>
                <w:shd w:val="clear" w:color="auto" w:fill="FFFFFF"/>
                <w:lang w:val="en-US"/>
              </w:rPr>
              <w:t>Items</w:t>
            </w:r>
          </w:p>
        </w:tc>
        <w:tc>
          <w:tcPr>
            <w:tcW w:w="6062" w:type="dxa"/>
            <w:gridSpan w:val="2"/>
            <w:tcBorders>
              <w:top w:val="single" w:sz="4" w:space="0" w:color="auto"/>
              <w:left w:val="nil"/>
              <w:bottom w:val="nil"/>
              <w:right w:val="nil"/>
            </w:tcBorders>
            <w:hideMark/>
          </w:tcPr>
          <w:p w14:paraId="17D025B5" w14:textId="77777777" w:rsidR="00741745" w:rsidRPr="00164238" w:rsidRDefault="00741745" w:rsidP="00682CBF">
            <w:pPr>
              <w:jc w:val="center"/>
              <w:rPr>
                <w:rFonts w:ascii="Times New Roman" w:hAnsi="Times New Roman" w:cs="Times New Roman"/>
                <w:b/>
                <w:color w:val="000000" w:themeColor="text1"/>
                <w:lang w:val="en-US"/>
              </w:rPr>
            </w:pPr>
            <w:r w:rsidRPr="00164238">
              <w:rPr>
                <w:rFonts w:ascii="Times New Roman" w:hAnsi="Times New Roman" w:cs="Times New Roman"/>
                <w:b/>
                <w:color w:val="000000" w:themeColor="text1"/>
                <w:sz w:val="20"/>
                <w:szCs w:val="20"/>
                <w:shd w:val="clear" w:color="auto" w:fill="FFFFFF"/>
                <w:lang w:val="en-US"/>
              </w:rPr>
              <w:t>Factors</w:t>
            </w:r>
          </w:p>
        </w:tc>
      </w:tr>
      <w:tr w:rsidR="00741745" w:rsidRPr="00164238" w14:paraId="5471C8A8" w14:textId="77777777" w:rsidTr="00682CBF">
        <w:tc>
          <w:tcPr>
            <w:tcW w:w="2977" w:type="dxa"/>
            <w:vMerge/>
            <w:tcBorders>
              <w:top w:val="single" w:sz="4" w:space="0" w:color="auto"/>
              <w:left w:val="nil"/>
              <w:bottom w:val="single" w:sz="4" w:space="0" w:color="auto"/>
              <w:right w:val="nil"/>
            </w:tcBorders>
            <w:vAlign w:val="center"/>
            <w:hideMark/>
          </w:tcPr>
          <w:p w14:paraId="5C4F6993" w14:textId="77777777" w:rsidR="00741745" w:rsidRPr="00164238" w:rsidRDefault="00741745" w:rsidP="00682CBF">
            <w:pPr>
              <w:rPr>
                <w:rFonts w:ascii="Times New Roman" w:hAnsi="Times New Roman" w:cs="Times New Roman"/>
                <w:color w:val="000000" w:themeColor="text1"/>
                <w:lang w:val="en-US"/>
              </w:rPr>
            </w:pPr>
          </w:p>
        </w:tc>
        <w:tc>
          <w:tcPr>
            <w:tcW w:w="3119" w:type="dxa"/>
            <w:tcBorders>
              <w:top w:val="nil"/>
              <w:left w:val="nil"/>
              <w:bottom w:val="single" w:sz="4" w:space="0" w:color="auto"/>
              <w:right w:val="nil"/>
            </w:tcBorders>
            <w:hideMark/>
          </w:tcPr>
          <w:p w14:paraId="6D9223B0" w14:textId="77777777" w:rsidR="00741745" w:rsidRPr="00164238" w:rsidRDefault="00741745" w:rsidP="00682CBF">
            <w:pPr>
              <w:jc w:val="center"/>
              <w:rPr>
                <w:rFonts w:ascii="Times New Roman" w:hAnsi="Times New Roman" w:cs="Times New Roman"/>
                <w:b/>
                <w:color w:val="000000" w:themeColor="text1"/>
                <w:sz w:val="20"/>
                <w:szCs w:val="20"/>
                <w:shd w:val="clear" w:color="auto" w:fill="FFFFFF"/>
                <w:lang w:val="en-US"/>
              </w:rPr>
            </w:pPr>
            <w:r w:rsidRPr="00164238">
              <w:rPr>
                <w:rFonts w:ascii="Times New Roman" w:hAnsi="Times New Roman" w:cs="Times New Roman"/>
                <w:b/>
                <w:color w:val="000000" w:themeColor="text1"/>
                <w:sz w:val="20"/>
                <w:szCs w:val="20"/>
                <w:shd w:val="clear" w:color="auto" w:fill="FFFFFF"/>
                <w:lang w:val="en-US"/>
              </w:rPr>
              <w:t>1</w:t>
            </w:r>
          </w:p>
        </w:tc>
        <w:tc>
          <w:tcPr>
            <w:tcW w:w="2943" w:type="dxa"/>
            <w:tcBorders>
              <w:top w:val="nil"/>
              <w:left w:val="nil"/>
              <w:bottom w:val="single" w:sz="4" w:space="0" w:color="auto"/>
              <w:right w:val="nil"/>
            </w:tcBorders>
            <w:hideMark/>
          </w:tcPr>
          <w:p w14:paraId="1A6FF75F" w14:textId="77777777" w:rsidR="00741745" w:rsidRPr="00164238" w:rsidRDefault="00741745" w:rsidP="00682CBF">
            <w:pPr>
              <w:jc w:val="center"/>
              <w:rPr>
                <w:rFonts w:ascii="Times New Roman" w:hAnsi="Times New Roman" w:cs="Times New Roman"/>
                <w:b/>
                <w:color w:val="000000" w:themeColor="text1"/>
                <w:sz w:val="20"/>
                <w:szCs w:val="20"/>
                <w:shd w:val="clear" w:color="auto" w:fill="FFFFFF"/>
                <w:lang w:val="en-US"/>
              </w:rPr>
            </w:pPr>
            <w:r w:rsidRPr="00164238">
              <w:rPr>
                <w:rFonts w:ascii="Times New Roman" w:hAnsi="Times New Roman" w:cs="Times New Roman"/>
                <w:b/>
                <w:color w:val="000000" w:themeColor="text1"/>
                <w:sz w:val="20"/>
                <w:szCs w:val="20"/>
                <w:shd w:val="clear" w:color="auto" w:fill="FFFFFF"/>
                <w:lang w:val="en-US"/>
              </w:rPr>
              <w:t>2</w:t>
            </w:r>
          </w:p>
        </w:tc>
      </w:tr>
      <w:tr w:rsidR="00741745" w:rsidRPr="00164238" w14:paraId="23D9D85F" w14:textId="77777777" w:rsidTr="00682CBF">
        <w:tc>
          <w:tcPr>
            <w:tcW w:w="2977" w:type="dxa"/>
            <w:tcBorders>
              <w:top w:val="single" w:sz="4" w:space="0" w:color="auto"/>
              <w:left w:val="nil"/>
              <w:bottom w:val="nil"/>
              <w:right w:val="nil"/>
            </w:tcBorders>
            <w:hideMark/>
          </w:tcPr>
          <w:p w14:paraId="2C2BCA5F" w14:textId="77777777" w:rsidR="00741745" w:rsidRPr="00164238" w:rsidRDefault="00741745" w:rsidP="00682CBF">
            <w:pPr>
              <w:rPr>
                <w:rFonts w:ascii="Times New Roman" w:hAnsi="Times New Roman" w:cs="Times New Roman"/>
                <w:color w:val="000000" w:themeColor="text1"/>
                <w:lang w:val="en-US"/>
              </w:rPr>
            </w:pPr>
            <w:r w:rsidRPr="00164238">
              <w:rPr>
                <w:rFonts w:ascii="Times New Roman" w:hAnsi="Times New Roman" w:cs="Times New Roman"/>
                <w:noProof/>
                <w:color w:val="000000" w:themeColor="text1"/>
                <w:sz w:val="20"/>
                <w:szCs w:val="20"/>
                <w:shd w:val="clear" w:color="auto" w:fill="FFFFFF"/>
                <w:lang w:val="en-US"/>
              </w:rPr>
              <w:lastRenderedPageBreak/>
              <w:t>SVTC1</w:t>
            </w:r>
          </w:p>
        </w:tc>
        <w:tc>
          <w:tcPr>
            <w:tcW w:w="3119" w:type="dxa"/>
            <w:tcBorders>
              <w:top w:val="single" w:sz="4" w:space="0" w:color="auto"/>
              <w:left w:val="nil"/>
              <w:bottom w:val="nil"/>
              <w:right w:val="nil"/>
            </w:tcBorders>
            <w:hideMark/>
          </w:tcPr>
          <w:p w14:paraId="26FF6339" w14:textId="77777777" w:rsidR="00741745" w:rsidRPr="00164238" w:rsidRDefault="00741745" w:rsidP="00682CBF">
            <w:pPr>
              <w:jc w:val="center"/>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color w:val="000000" w:themeColor="text1"/>
                <w:sz w:val="20"/>
                <w:szCs w:val="20"/>
                <w:shd w:val="clear" w:color="auto" w:fill="FFFFFF"/>
                <w:lang w:val="en-US"/>
              </w:rPr>
              <w:t>.726</w:t>
            </w:r>
          </w:p>
        </w:tc>
        <w:tc>
          <w:tcPr>
            <w:tcW w:w="2943" w:type="dxa"/>
            <w:tcBorders>
              <w:top w:val="single" w:sz="4" w:space="0" w:color="auto"/>
              <w:left w:val="nil"/>
              <w:bottom w:val="nil"/>
              <w:right w:val="nil"/>
            </w:tcBorders>
          </w:tcPr>
          <w:p w14:paraId="2E8E4AD7" w14:textId="77777777" w:rsidR="00741745" w:rsidRPr="00164238" w:rsidRDefault="00741745" w:rsidP="00682CBF">
            <w:pPr>
              <w:jc w:val="center"/>
              <w:rPr>
                <w:rFonts w:ascii="Times New Roman" w:hAnsi="Times New Roman" w:cs="Times New Roman"/>
                <w:color w:val="000000" w:themeColor="text1"/>
                <w:sz w:val="20"/>
                <w:szCs w:val="20"/>
                <w:shd w:val="clear" w:color="auto" w:fill="FFFFFF"/>
                <w:lang w:val="en-US"/>
              </w:rPr>
            </w:pPr>
          </w:p>
        </w:tc>
      </w:tr>
      <w:tr w:rsidR="00741745" w:rsidRPr="00164238" w14:paraId="36781D59" w14:textId="77777777" w:rsidTr="00682CBF">
        <w:tc>
          <w:tcPr>
            <w:tcW w:w="2977" w:type="dxa"/>
            <w:tcBorders>
              <w:top w:val="nil"/>
              <w:left w:val="nil"/>
              <w:bottom w:val="nil"/>
              <w:right w:val="nil"/>
            </w:tcBorders>
            <w:hideMark/>
          </w:tcPr>
          <w:p w14:paraId="774E8C2D" w14:textId="77777777" w:rsidR="00741745" w:rsidRPr="00164238" w:rsidRDefault="00741745" w:rsidP="00682CBF">
            <w:pPr>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noProof/>
                <w:color w:val="000000" w:themeColor="text1"/>
                <w:sz w:val="20"/>
                <w:szCs w:val="20"/>
                <w:shd w:val="clear" w:color="auto" w:fill="FFFFFF"/>
                <w:lang w:val="en-US"/>
              </w:rPr>
              <w:t>SVTC2</w:t>
            </w:r>
          </w:p>
        </w:tc>
        <w:tc>
          <w:tcPr>
            <w:tcW w:w="3119" w:type="dxa"/>
            <w:tcBorders>
              <w:top w:val="nil"/>
              <w:left w:val="nil"/>
              <w:bottom w:val="nil"/>
              <w:right w:val="nil"/>
            </w:tcBorders>
            <w:hideMark/>
          </w:tcPr>
          <w:p w14:paraId="1B64881F" w14:textId="77777777" w:rsidR="00741745" w:rsidRPr="00164238" w:rsidRDefault="00741745" w:rsidP="00682CBF">
            <w:pPr>
              <w:jc w:val="center"/>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color w:val="000000" w:themeColor="text1"/>
                <w:sz w:val="20"/>
                <w:szCs w:val="20"/>
                <w:shd w:val="clear" w:color="auto" w:fill="FFFFFF"/>
                <w:lang w:val="en-US"/>
              </w:rPr>
              <w:t>.787</w:t>
            </w:r>
          </w:p>
        </w:tc>
        <w:tc>
          <w:tcPr>
            <w:tcW w:w="2943" w:type="dxa"/>
            <w:tcBorders>
              <w:top w:val="nil"/>
              <w:left w:val="nil"/>
              <w:bottom w:val="nil"/>
              <w:right w:val="nil"/>
            </w:tcBorders>
          </w:tcPr>
          <w:p w14:paraId="7AC6C4C8" w14:textId="77777777" w:rsidR="00741745" w:rsidRPr="00164238" w:rsidRDefault="00741745" w:rsidP="00682CBF">
            <w:pPr>
              <w:jc w:val="center"/>
              <w:rPr>
                <w:rFonts w:ascii="Times New Roman" w:hAnsi="Times New Roman" w:cs="Times New Roman"/>
                <w:color w:val="000000" w:themeColor="text1"/>
                <w:sz w:val="20"/>
                <w:szCs w:val="20"/>
                <w:shd w:val="clear" w:color="auto" w:fill="FFFFFF"/>
                <w:lang w:val="en-US"/>
              </w:rPr>
            </w:pPr>
          </w:p>
        </w:tc>
      </w:tr>
      <w:tr w:rsidR="00741745" w:rsidRPr="00164238" w14:paraId="3FEF4D00" w14:textId="77777777" w:rsidTr="00682CBF">
        <w:tc>
          <w:tcPr>
            <w:tcW w:w="2977" w:type="dxa"/>
            <w:tcBorders>
              <w:top w:val="nil"/>
              <w:left w:val="nil"/>
              <w:bottom w:val="nil"/>
              <w:right w:val="nil"/>
            </w:tcBorders>
            <w:hideMark/>
          </w:tcPr>
          <w:p w14:paraId="390AC05D" w14:textId="77777777" w:rsidR="00741745" w:rsidRPr="00164238" w:rsidRDefault="00741745" w:rsidP="00682CBF">
            <w:pPr>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noProof/>
                <w:color w:val="000000" w:themeColor="text1"/>
                <w:sz w:val="20"/>
                <w:szCs w:val="20"/>
                <w:shd w:val="clear" w:color="auto" w:fill="FFFFFF"/>
                <w:lang w:val="en-US"/>
              </w:rPr>
              <w:t>SVTC3</w:t>
            </w:r>
          </w:p>
        </w:tc>
        <w:tc>
          <w:tcPr>
            <w:tcW w:w="3119" w:type="dxa"/>
            <w:tcBorders>
              <w:top w:val="nil"/>
              <w:left w:val="nil"/>
              <w:bottom w:val="nil"/>
              <w:right w:val="nil"/>
            </w:tcBorders>
            <w:hideMark/>
          </w:tcPr>
          <w:p w14:paraId="6C82923D" w14:textId="77777777" w:rsidR="00741745" w:rsidRPr="00164238" w:rsidRDefault="00741745" w:rsidP="00682CBF">
            <w:pPr>
              <w:jc w:val="center"/>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color w:val="000000" w:themeColor="text1"/>
                <w:sz w:val="20"/>
                <w:szCs w:val="20"/>
                <w:shd w:val="clear" w:color="auto" w:fill="FFFFFF"/>
                <w:lang w:val="en-US"/>
              </w:rPr>
              <w:t>.820</w:t>
            </w:r>
          </w:p>
        </w:tc>
        <w:tc>
          <w:tcPr>
            <w:tcW w:w="2943" w:type="dxa"/>
            <w:tcBorders>
              <w:top w:val="nil"/>
              <w:left w:val="nil"/>
              <w:bottom w:val="nil"/>
              <w:right w:val="nil"/>
            </w:tcBorders>
          </w:tcPr>
          <w:p w14:paraId="683121EC" w14:textId="77777777" w:rsidR="00741745" w:rsidRPr="00164238" w:rsidRDefault="00741745" w:rsidP="00682CBF">
            <w:pPr>
              <w:jc w:val="center"/>
              <w:rPr>
                <w:rFonts w:ascii="Times New Roman" w:hAnsi="Times New Roman" w:cs="Times New Roman"/>
                <w:color w:val="000000" w:themeColor="text1"/>
                <w:sz w:val="20"/>
                <w:szCs w:val="20"/>
                <w:shd w:val="clear" w:color="auto" w:fill="FFFFFF"/>
                <w:lang w:val="en-US"/>
              </w:rPr>
            </w:pPr>
          </w:p>
        </w:tc>
      </w:tr>
      <w:tr w:rsidR="00741745" w:rsidRPr="00164238" w14:paraId="2577A201" w14:textId="77777777" w:rsidTr="00682CBF">
        <w:tc>
          <w:tcPr>
            <w:tcW w:w="2977" w:type="dxa"/>
            <w:tcBorders>
              <w:top w:val="nil"/>
              <w:left w:val="nil"/>
              <w:bottom w:val="nil"/>
              <w:right w:val="nil"/>
            </w:tcBorders>
            <w:hideMark/>
          </w:tcPr>
          <w:p w14:paraId="5A69D2EA" w14:textId="77777777" w:rsidR="00741745" w:rsidRPr="00164238" w:rsidRDefault="00741745" w:rsidP="00682CBF">
            <w:pPr>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noProof/>
                <w:color w:val="000000" w:themeColor="text1"/>
                <w:sz w:val="20"/>
                <w:szCs w:val="20"/>
                <w:shd w:val="clear" w:color="auto" w:fill="FFFFFF"/>
                <w:lang w:val="en-US"/>
              </w:rPr>
              <w:t>SVTC4</w:t>
            </w:r>
          </w:p>
        </w:tc>
        <w:tc>
          <w:tcPr>
            <w:tcW w:w="3119" w:type="dxa"/>
            <w:tcBorders>
              <w:top w:val="nil"/>
              <w:left w:val="nil"/>
              <w:bottom w:val="nil"/>
              <w:right w:val="nil"/>
            </w:tcBorders>
            <w:hideMark/>
          </w:tcPr>
          <w:p w14:paraId="28CD33A6" w14:textId="77777777" w:rsidR="00741745" w:rsidRPr="00164238" w:rsidRDefault="00741745" w:rsidP="00682CBF">
            <w:pPr>
              <w:jc w:val="center"/>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color w:val="000000" w:themeColor="text1"/>
                <w:sz w:val="20"/>
                <w:szCs w:val="20"/>
                <w:shd w:val="clear" w:color="auto" w:fill="FFFFFF"/>
                <w:lang w:val="en-US"/>
              </w:rPr>
              <w:t>.763</w:t>
            </w:r>
          </w:p>
        </w:tc>
        <w:tc>
          <w:tcPr>
            <w:tcW w:w="2943" w:type="dxa"/>
            <w:tcBorders>
              <w:top w:val="nil"/>
              <w:left w:val="nil"/>
              <w:bottom w:val="nil"/>
              <w:right w:val="nil"/>
            </w:tcBorders>
          </w:tcPr>
          <w:p w14:paraId="63433C92" w14:textId="77777777" w:rsidR="00741745" w:rsidRPr="00164238" w:rsidRDefault="00741745" w:rsidP="00682CBF">
            <w:pPr>
              <w:jc w:val="center"/>
              <w:rPr>
                <w:rFonts w:ascii="Times New Roman" w:hAnsi="Times New Roman" w:cs="Times New Roman"/>
                <w:color w:val="000000" w:themeColor="text1"/>
                <w:sz w:val="20"/>
                <w:szCs w:val="20"/>
                <w:shd w:val="clear" w:color="auto" w:fill="FFFFFF"/>
                <w:lang w:val="en-US"/>
              </w:rPr>
            </w:pPr>
          </w:p>
        </w:tc>
      </w:tr>
      <w:tr w:rsidR="00741745" w:rsidRPr="00164238" w14:paraId="12415EEA" w14:textId="77777777" w:rsidTr="00682CBF">
        <w:tc>
          <w:tcPr>
            <w:tcW w:w="2977" w:type="dxa"/>
            <w:tcBorders>
              <w:top w:val="nil"/>
              <w:left w:val="nil"/>
              <w:bottom w:val="nil"/>
              <w:right w:val="nil"/>
            </w:tcBorders>
            <w:hideMark/>
          </w:tcPr>
          <w:p w14:paraId="798EC897" w14:textId="77777777" w:rsidR="00741745" w:rsidRPr="00164238" w:rsidRDefault="00741745" w:rsidP="00682CBF">
            <w:pPr>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noProof/>
                <w:color w:val="000000" w:themeColor="text1"/>
                <w:sz w:val="20"/>
                <w:szCs w:val="20"/>
                <w:shd w:val="clear" w:color="auto" w:fill="FFFFFF"/>
                <w:lang w:val="en-US"/>
              </w:rPr>
              <w:t>SVTC5</w:t>
            </w:r>
          </w:p>
        </w:tc>
        <w:tc>
          <w:tcPr>
            <w:tcW w:w="3119" w:type="dxa"/>
            <w:tcBorders>
              <w:top w:val="nil"/>
              <w:left w:val="nil"/>
              <w:bottom w:val="nil"/>
              <w:right w:val="nil"/>
            </w:tcBorders>
            <w:hideMark/>
          </w:tcPr>
          <w:p w14:paraId="75B24CF3" w14:textId="77777777" w:rsidR="00741745" w:rsidRPr="00164238" w:rsidRDefault="00741745" w:rsidP="00682CBF">
            <w:pPr>
              <w:jc w:val="center"/>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color w:val="000000" w:themeColor="text1"/>
                <w:sz w:val="20"/>
                <w:szCs w:val="20"/>
                <w:shd w:val="clear" w:color="auto" w:fill="FFFFFF"/>
                <w:lang w:val="en-US"/>
              </w:rPr>
              <w:t>.816</w:t>
            </w:r>
          </w:p>
        </w:tc>
        <w:tc>
          <w:tcPr>
            <w:tcW w:w="2943" w:type="dxa"/>
            <w:tcBorders>
              <w:top w:val="nil"/>
              <w:left w:val="nil"/>
              <w:bottom w:val="nil"/>
              <w:right w:val="nil"/>
            </w:tcBorders>
          </w:tcPr>
          <w:p w14:paraId="543F0F78" w14:textId="77777777" w:rsidR="00741745" w:rsidRPr="00164238" w:rsidRDefault="00741745" w:rsidP="00682CBF">
            <w:pPr>
              <w:jc w:val="center"/>
              <w:rPr>
                <w:rFonts w:ascii="Times New Roman" w:hAnsi="Times New Roman" w:cs="Times New Roman"/>
                <w:color w:val="000000" w:themeColor="text1"/>
                <w:sz w:val="20"/>
                <w:szCs w:val="20"/>
                <w:shd w:val="clear" w:color="auto" w:fill="FFFFFF"/>
                <w:lang w:val="en-US"/>
              </w:rPr>
            </w:pPr>
          </w:p>
        </w:tc>
      </w:tr>
      <w:tr w:rsidR="00741745" w:rsidRPr="00164238" w14:paraId="3DA45CE4" w14:textId="77777777" w:rsidTr="00682CBF">
        <w:tc>
          <w:tcPr>
            <w:tcW w:w="2977" w:type="dxa"/>
            <w:tcBorders>
              <w:top w:val="nil"/>
              <w:left w:val="nil"/>
              <w:bottom w:val="nil"/>
              <w:right w:val="nil"/>
            </w:tcBorders>
            <w:hideMark/>
          </w:tcPr>
          <w:p w14:paraId="70E2F532" w14:textId="77777777" w:rsidR="00741745" w:rsidRPr="00164238" w:rsidRDefault="00741745" w:rsidP="00682CBF">
            <w:pPr>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noProof/>
                <w:color w:val="000000" w:themeColor="text1"/>
                <w:sz w:val="20"/>
                <w:szCs w:val="20"/>
                <w:shd w:val="clear" w:color="auto" w:fill="FFFFFF"/>
                <w:lang w:val="en-US"/>
              </w:rPr>
              <w:t>SVTC6</w:t>
            </w:r>
          </w:p>
        </w:tc>
        <w:tc>
          <w:tcPr>
            <w:tcW w:w="3119" w:type="dxa"/>
            <w:tcBorders>
              <w:top w:val="nil"/>
              <w:left w:val="nil"/>
              <w:bottom w:val="nil"/>
              <w:right w:val="nil"/>
            </w:tcBorders>
            <w:hideMark/>
          </w:tcPr>
          <w:p w14:paraId="4DE57639" w14:textId="77777777" w:rsidR="00741745" w:rsidRPr="00164238" w:rsidRDefault="00741745" w:rsidP="00682CBF">
            <w:pPr>
              <w:jc w:val="center"/>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color w:val="000000" w:themeColor="text1"/>
                <w:sz w:val="20"/>
                <w:szCs w:val="20"/>
                <w:shd w:val="clear" w:color="auto" w:fill="FFFFFF"/>
                <w:lang w:val="en-US"/>
              </w:rPr>
              <w:t>.763</w:t>
            </w:r>
          </w:p>
        </w:tc>
        <w:tc>
          <w:tcPr>
            <w:tcW w:w="2943" w:type="dxa"/>
            <w:tcBorders>
              <w:top w:val="nil"/>
              <w:left w:val="nil"/>
              <w:bottom w:val="nil"/>
              <w:right w:val="nil"/>
            </w:tcBorders>
          </w:tcPr>
          <w:p w14:paraId="76F55AAC" w14:textId="77777777" w:rsidR="00741745" w:rsidRPr="00164238" w:rsidRDefault="00741745" w:rsidP="00682CBF">
            <w:pPr>
              <w:jc w:val="center"/>
              <w:rPr>
                <w:rFonts w:ascii="Times New Roman" w:hAnsi="Times New Roman" w:cs="Times New Roman"/>
                <w:color w:val="000000" w:themeColor="text1"/>
                <w:sz w:val="20"/>
                <w:szCs w:val="20"/>
                <w:shd w:val="clear" w:color="auto" w:fill="FFFFFF"/>
                <w:lang w:val="en-US"/>
              </w:rPr>
            </w:pPr>
          </w:p>
        </w:tc>
      </w:tr>
      <w:tr w:rsidR="00741745" w:rsidRPr="00164238" w14:paraId="7311887C" w14:textId="77777777" w:rsidTr="00682CBF">
        <w:tc>
          <w:tcPr>
            <w:tcW w:w="2977" w:type="dxa"/>
            <w:tcBorders>
              <w:top w:val="nil"/>
              <w:left w:val="nil"/>
              <w:bottom w:val="nil"/>
              <w:right w:val="nil"/>
            </w:tcBorders>
            <w:hideMark/>
          </w:tcPr>
          <w:p w14:paraId="658C5996" w14:textId="77777777" w:rsidR="00741745" w:rsidRPr="00164238" w:rsidRDefault="00741745" w:rsidP="00682CBF">
            <w:pPr>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noProof/>
                <w:color w:val="000000" w:themeColor="text1"/>
                <w:sz w:val="20"/>
                <w:szCs w:val="20"/>
                <w:shd w:val="clear" w:color="auto" w:fill="FFFFFF"/>
                <w:lang w:val="en-US"/>
              </w:rPr>
              <w:t>SVTC7</w:t>
            </w:r>
          </w:p>
        </w:tc>
        <w:tc>
          <w:tcPr>
            <w:tcW w:w="3119" w:type="dxa"/>
            <w:tcBorders>
              <w:top w:val="nil"/>
              <w:left w:val="nil"/>
              <w:bottom w:val="nil"/>
              <w:right w:val="nil"/>
            </w:tcBorders>
            <w:hideMark/>
          </w:tcPr>
          <w:p w14:paraId="5455C9A0" w14:textId="77777777" w:rsidR="00741745" w:rsidRPr="00164238" w:rsidRDefault="00741745" w:rsidP="00682CBF">
            <w:pPr>
              <w:jc w:val="center"/>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color w:val="000000" w:themeColor="text1"/>
                <w:sz w:val="20"/>
                <w:szCs w:val="20"/>
                <w:shd w:val="clear" w:color="auto" w:fill="FFFFFF"/>
                <w:lang w:val="en-US"/>
              </w:rPr>
              <w:t>.597</w:t>
            </w:r>
          </w:p>
        </w:tc>
        <w:tc>
          <w:tcPr>
            <w:tcW w:w="2943" w:type="dxa"/>
            <w:tcBorders>
              <w:top w:val="nil"/>
              <w:left w:val="nil"/>
              <w:bottom w:val="nil"/>
              <w:right w:val="nil"/>
            </w:tcBorders>
          </w:tcPr>
          <w:p w14:paraId="7A24DBCF" w14:textId="77777777" w:rsidR="00741745" w:rsidRPr="00164238" w:rsidRDefault="00741745" w:rsidP="00682CBF">
            <w:pPr>
              <w:jc w:val="center"/>
              <w:rPr>
                <w:rFonts w:ascii="Times New Roman" w:hAnsi="Times New Roman" w:cs="Times New Roman"/>
                <w:color w:val="000000" w:themeColor="text1"/>
                <w:sz w:val="20"/>
                <w:szCs w:val="20"/>
                <w:shd w:val="clear" w:color="auto" w:fill="FFFFFF"/>
                <w:lang w:val="en-US"/>
              </w:rPr>
            </w:pPr>
          </w:p>
        </w:tc>
      </w:tr>
      <w:tr w:rsidR="00741745" w:rsidRPr="00164238" w14:paraId="5D24A502" w14:textId="77777777" w:rsidTr="00682CBF">
        <w:tc>
          <w:tcPr>
            <w:tcW w:w="2977" w:type="dxa"/>
            <w:tcBorders>
              <w:top w:val="nil"/>
              <w:left w:val="nil"/>
              <w:bottom w:val="nil"/>
              <w:right w:val="nil"/>
            </w:tcBorders>
            <w:hideMark/>
          </w:tcPr>
          <w:p w14:paraId="02ADF9A8" w14:textId="77777777" w:rsidR="00741745" w:rsidRPr="00164238" w:rsidRDefault="00741745" w:rsidP="00682CBF">
            <w:pPr>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noProof/>
                <w:color w:val="000000" w:themeColor="text1"/>
                <w:sz w:val="20"/>
                <w:szCs w:val="20"/>
                <w:shd w:val="clear" w:color="auto" w:fill="FFFFFF"/>
                <w:lang w:val="en-US"/>
              </w:rPr>
              <w:t>SVTC8</w:t>
            </w:r>
          </w:p>
        </w:tc>
        <w:tc>
          <w:tcPr>
            <w:tcW w:w="3119" w:type="dxa"/>
            <w:tcBorders>
              <w:top w:val="nil"/>
              <w:left w:val="nil"/>
              <w:bottom w:val="nil"/>
              <w:right w:val="nil"/>
            </w:tcBorders>
            <w:hideMark/>
          </w:tcPr>
          <w:p w14:paraId="674F5834" w14:textId="77777777" w:rsidR="00741745" w:rsidRPr="00164238" w:rsidRDefault="00741745" w:rsidP="00682CBF">
            <w:pPr>
              <w:jc w:val="center"/>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color w:val="000000" w:themeColor="text1"/>
                <w:sz w:val="20"/>
                <w:szCs w:val="20"/>
                <w:shd w:val="clear" w:color="auto" w:fill="FFFFFF"/>
                <w:lang w:val="en-US"/>
              </w:rPr>
              <w:t>.861</w:t>
            </w:r>
          </w:p>
        </w:tc>
        <w:tc>
          <w:tcPr>
            <w:tcW w:w="2943" w:type="dxa"/>
            <w:tcBorders>
              <w:top w:val="nil"/>
              <w:left w:val="nil"/>
              <w:bottom w:val="nil"/>
              <w:right w:val="nil"/>
            </w:tcBorders>
          </w:tcPr>
          <w:p w14:paraId="69F7A93E" w14:textId="77777777" w:rsidR="00741745" w:rsidRPr="00164238" w:rsidRDefault="00741745" w:rsidP="00682CBF">
            <w:pPr>
              <w:jc w:val="center"/>
              <w:rPr>
                <w:rFonts w:ascii="Times New Roman" w:hAnsi="Times New Roman" w:cs="Times New Roman"/>
                <w:color w:val="000000" w:themeColor="text1"/>
                <w:sz w:val="20"/>
                <w:szCs w:val="20"/>
                <w:shd w:val="clear" w:color="auto" w:fill="FFFFFF"/>
                <w:lang w:val="en-US"/>
              </w:rPr>
            </w:pPr>
          </w:p>
        </w:tc>
      </w:tr>
      <w:tr w:rsidR="00741745" w:rsidRPr="00164238" w14:paraId="7E634DC8" w14:textId="77777777" w:rsidTr="00682CBF">
        <w:tc>
          <w:tcPr>
            <w:tcW w:w="2977" w:type="dxa"/>
            <w:tcBorders>
              <w:top w:val="nil"/>
              <w:left w:val="nil"/>
              <w:bottom w:val="nil"/>
              <w:right w:val="nil"/>
            </w:tcBorders>
            <w:hideMark/>
          </w:tcPr>
          <w:p w14:paraId="61DB36BC" w14:textId="77777777" w:rsidR="00741745" w:rsidRPr="00164238" w:rsidRDefault="00741745" w:rsidP="00682CBF">
            <w:pPr>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noProof/>
                <w:color w:val="000000" w:themeColor="text1"/>
                <w:sz w:val="20"/>
                <w:szCs w:val="20"/>
                <w:shd w:val="clear" w:color="auto" w:fill="FFFFFF"/>
                <w:lang w:val="en-US"/>
              </w:rPr>
              <w:t>SVTC9</w:t>
            </w:r>
          </w:p>
        </w:tc>
        <w:tc>
          <w:tcPr>
            <w:tcW w:w="3119" w:type="dxa"/>
            <w:tcBorders>
              <w:top w:val="nil"/>
              <w:left w:val="nil"/>
              <w:bottom w:val="nil"/>
              <w:right w:val="nil"/>
            </w:tcBorders>
            <w:hideMark/>
          </w:tcPr>
          <w:p w14:paraId="31CFB18D" w14:textId="77777777" w:rsidR="00741745" w:rsidRPr="00164238" w:rsidRDefault="00741745" w:rsidP="00682CBF">
            <w:pPr>
              <w:jc w:val="center"/>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color w:val="000000" w:themeColor="text1"/>
                <w:sz w:val="20"/>
                <w:szCs w:val="20"/>
                <w:shd w:val="clear" w:color="auto" w:fill="FFFFFF"/>
                <w:lang w:val="en-US"/>
              </w:rPr>
              <w:t>.847</w:t>
            </w:r>
          </w:p>
        </w:tc>
        <w:tc>
          <w:tcPr>
            <w:tcW w:w="2943" w:type="dxa"/>
            <w:tcBorders>
              <w:top w:val="nil"/>
              <w:left w:val="nil"/>
              <w:bottom w:val="nil"/>
              <w:right w:val="nil"/>
            </w:tcBorders>
          </w:tcPr>
          <w:p w14:paraId="07DB2D3E" w14:textId="77777777" w:rsidR="00741745" w:rsidRPr="00164238" w:rsidRDefault="00741745" w:rsidP="00682CBF">
            <w:pPr>
              <w:jc w:val="center"/>
              <w:rPr>
                <w:rFonts w:ascii="Times New Roman" w:hAnsi="Times New Roman" w:cs="Times New Roman"/>
                <w:color w:val="000000" w:themeColor="text1"/>
                <w:sz w:val="20"/>
                <w:szCs w:val="20"/>
                <w:shd w:val="clear" w:color="auto" w:fill="FFFFFF"/>
                <w:lang w:val="en-US"/>
              </w:rPr>
            </w:pPr>
          </w:p>
        </w:tc>
      </w:tr>
      <w:tr w:rsidR="00741745" w:rsidRPr="00164238" w14:paraId="666E4533" w14:textId="77777777" w:rsidTr="00682CBF">
        <w:tc>
          <w:tcPr>
            <w:tcW w:w="2977" w:type="dxa"/>
            <w:tcBorders>
              <w:top w:val="nil"/>
              <w:left w:val="nil"/>
              <w:bottom w:val="nil"/>
              <w:right w:val="nil"/>
            </w:tcBorders>
            <w:hideMark/>
          </w:tcPr>
          <w:p w14:paraId="42ABDC94" w14:textId="77777777" w:rsidR="00741745" w:rsidRPr="00164238" w:rsidRDefault="00741745" w:rsidP="00682CBF">
            <w:pPr>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noProof/>
                <w:color w:val="000000" w:themeColor="text1"/>
                <w:sz w:val="20"/>
                <w:szCs w:val="20"/>
                <w:shd w:val="clear" w:color="auto" w:fill="FFFFFF"/>
                <w:lang w:val="en-US"/>
              </w:rPr>
              <w:t>SVTC10</w:t>
            </w:r>
          </w:p>
        </w:tc>
        <w:tc>
          <w:tcPr>
            <w:tcW w:w="3119" w:type="dxa"/>
            <w:tcBorders>
              <w:top w:val="nil"/>
              <w:left w:val="nil"/>
              <w:bottom w:val="nil"/>
              <w:right w:val="nil"/>
            </w:tcBorders>
            <w:hideMark/>
          </w:tcPr>
          <w:p w14:paraId="5639FB65" w14:textId="77777777" w:rsidR="00741745" w:rsidRPr="00164238" w:rsidRDefault="00741745" w:rsidP="00682CBF">
            <w:pPr>
              <w:jc w:val="center"/>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color w:val="000000" w:themeColor="text1"/>
                <w:sz w:val="20"/>
                <w:szCs w:val="20"/>
                <w:shd w:val="clear" w:color="auto" w:fill="FFFFFF"/>
                <w:lang w:val="en-US"/>
              </w:rPr>
              <w:t>.876</w:t>
            </w:r>
          </w:p>
        </w:tc>
        <w:tc>
          <w:tcPr>
            <w:tcW w:w="2943" w:type="dxa"/>
            <w:tcBorders>
              <w:top w:val="nil"/>
              <w:left w:val="nil"/>
              <w:bottom w:val="nil"/>
              <w:right w:val="nil"/>
            </w:tcBorders>
          </w:tcPr>
          <w:p w14:paraId="096E4589" w14:textId="77777777" w:rsidR="00741745" w:rsidRPr="00164238" w:rsidRDefault="00741745" w:rsidP="00682CBF">
            <w:pPr>
              <w:jc w:val="center"/>
              <w:rPr>
                <w:rFonts w:ascii="Times New Roman" w:hAnsi="Times New Roman" w:cs="Times New Roman"/>
                <w:color w:val="000000" w:themeColor="text1"/>
                <w:sz w:val="20"/>
                <w:szCs w:val="20"/>
                <w:shd w:val="clear" w:color="auto" w:fill="FFFFFF"/>
                <w:lang w:val="en-US"/>
              </w:rPr>
            </w:pPr>
          </w:p>
        </w:tc>
      </w:tr>
      <w:tr w:rsidR="00741745" w:rsidRPr="00164238" w14:paraId="415ED272" w14:textId="77777777" w:rsidTr="00682CBF">
        <w:tc>
          <w:tcPr>
            <w:tcW w:w="2977" w:type="dxa"/>
            <w:tcBorders>
              <w:top w:val="nil"/>
              <w:left w:val="nil"/>
              <w:bottom w:val="nil"/>
              <w:right w:val="nil"/>
            </w:tcBorders>
            <w:hideMark/>
          </w:tcPr>
          <w:p w14:paraId="2F61AAB7" w14:textId="77777777" w:rsidR="00741745" w:rsidRPr="00164238" w:rsidRDefault="00741745" w:rsidP="00682CBF">
            <w:pPr>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noProof/>
                <w:color w:val="000000" w:themeColor="text1"/>
                <w:sz w:val="20"/>
                <w:szCs w:val="20"/>
                <w:shd w:val="clear" w:color="auto" w:fill="FFFFFF"/>
                <w:lang w:val="en-US"/>
              </w:rPr>
              <w:t>SVTC11</w:t>
            </w:r>
          </w:p>
        </w:tc>
        <w:tc>
          <w:tcPr>
            <w:tcW w:w="3119" w:type="dxa"/>
            <w:tcBorders>
              <w:top w:val="nil"/>
              <w:left w:val="nil"/>
              <w:bottom w:val="nil"/>
              <w:right w:val="nil"/>
            </w:tcBorders>
            <w:hideMark/>
          </w:tcPr>
          <w:p w14:paraId="50DF0B9E" w14:textId="77777777" w:rsidR="00741745" w:rsidRPr="00164238" w:rsidRDefault="00741745" w:rsidP="00682CBF">
            <w:pPr>
              <w:jc w:val="center"/>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color w:val="000000" w:themeColor="text1"/>
                <w:sz w:val="20"/>
                <w:szCs w:val="20"/>
                <w:shd w:val="clear" w:color="auto" w:fill="FFFFFF"/>
                <w:lang w:val="en-US"/>
              </w:rPr>
              <w:t>.649</w:t>
            </w:r>
          </w:p>
        </w:tc>
        <w:tc>
          <w:tcPr>
            <w:tcW w:w="2943" w:type="dxa"/>
            <w:tcBorders>
              <w:top w:val="nil"/>
              <w:left w:val="nil"/>
              <w:bottom w:val="nil"/>
              <w:right w:val="nil"/>
            </w:tcBorders>
          </w:tcPr>
          <w:p w14:paraId="17CD7DC6" w14:textId="77777777" w:rsidR="00741745" w:rsidRPr="00164238" w:rsidRDefault="00741745" w:rsidP="00682CBF">
            <w:pPr>
              <w:jc w:val="center"/>
              <w:rPr>
                <w:rFonts w:ascii="Times New Roman" w:hAnsi="Times New Roman" w:cs="Times New Roman"/>
                <w:color w:val="000000" w:themeColor="text1"/>
                <w:sz w:val="20"/>
                <w:szCs w:val="20"/>
                <w:shd w:val="clear" w:color="auto" w:fill="FFFFFF"/>
                <w:lang w:val="en-US"/>
              </w:rPr>
            </w:pPr>
          </w:p>
        </w:tc>
      </w:tr>
      <w:tr w:rsidR="00741745" w:rsidRPr="00164238" w14:paraId="1A8B5EEC" w14:textId="77777777" w:rsidTr="00682CBF">
        <w:tc>
          <w:tcPr>
            <w:tcW w:w="2977" w:type="dxa"/>
            <w:tcBorders>
              <w:top w:val="nil"/>
              <w:left w:val="nil"/>
              <w:bottom w:val="nil"/>
              <w:right w:val="nil"/>
            </w:tcBorders>
            <w:hideMark/>
          </w:tcPr>
          <w:p w14:paraId="6DBC3E1F" w14:textId="77777777" w:rsidR="00741745" w:rsidRPr="00164238" w:rsidRDefault="00741745" w:rsidP="00682CBF">
            <w:pPr>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noProof/>
                <w:color w:val="000000" w:themeColor="text1"/>
                <w:sz w:val="20"/>
                <w:szCs w:val="20"/>
                <w:shd w:val="clear" w:color="auto" w:fill="FFFFFF"/>
                <w:lang w:val="en-US"/>
              </w:rPr>
              <w:t>LE1</w:t>
            </w:r>
          </w:p>
        </w:tc>
        <w:tc>
          <w:tcPr>
            <w:tcW w:w="3119" w:type="dxa"/>
            <w:tcBorders>
              <w:top w:val="nil"/>
              <w:left w:val="nil"/>
              <w:bottom w:val="nil"/>
              <w:right w:val="nil"/>
            </w:tcBorders>
          </w:tcPr>
          <w:p w14:paraId="69A81BE0" w14:textId="77777777" w:rsidR="00741745" w:rsidRPr="00164238" w:rsidRDefault="00741745" w:rsidP="00682CBF">
            <w:pPr>
              <w:jc w:val="center"/>
              <w:rPr>
                <w:rFonts w:ascii="Times New Roman" w:hAnsi="Times New Roman" w:cs="Times New Roman"/>
                <w:color w:val="000000" w:themeColor="text1"/>
                <w:sz w:val="20"/>
                <w:szCs w:val="20"/>
                <w:shd w:val="clear" w:color="auto" w:fill="FFFFFF"/>
                <w:lang w:val="en-US"/>
              </w:rPr>
            </w:pPr>
          </w:p>
        </w:tc>
        <w:tc>
          <w:tcPr>
            <w:tcW w:w="2943" w:type="dxa"/>
            <w:tcBorders>
              <w:top w:val="nil"/>
              <w:left w:val="nil"/>
              <w:bottom w:val="nil"/>
              <w:right w:val="nil"/>
            </w:tcBorders>
            <w:hideMark/>
          </w:tcPr>
          <w:p w14:paraId="714260E0" w14:textId="77777777" w:rsidR="00741745" w:rsidRPr="00164238" w:rsidRDefault="00741745" w:rsidP="00682CBF">
            <w:pPr>
              <w:jc w:val="center"/>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color w:val="000000" w:themeColor="text1"/>
                <w:sz w:val="20"/>
                <w:szCs w:val="20"/>
                <w:shd w:val="clear" w:color="auto" w:fill="FFFFFF"/>
                <w:lang w:val="en-US"/>
              </w:rPr>
              <w:t>.834</w:t>
            </w:r>
          </w:p>
        </w:tc>
      </w:tr>
      <w:tr w:rsidR="00741745" w:rsidRPr="00164238" w14:paraId="578B79DE" w14:textId="77777777" w:rsidTr="00682CBF">
        <w:tc>
          <w:tcPr>
            <w:tcW w:w="2977" w:type="dxa"/>
            <w:tcBorders>
              <w:top w:val="nil"/>
              <w:left w:val="nil"/>
              <w:bottom w:val="nil"/>
              <w:right w:val="nil"/>
            </w:tcBorders>
            <w:hideMark/>
          </w:tcPr>
          <w:p w14:paraId="6FC54CC9" w14:textId="77777777" w:rsidR="00741745" w:rsidRPr="00164238" w:rsidRDefault="00741745" w:rsidP="00682CBF">
            <w:pPr>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noProof/>
                <w:color w:val="000000" w:themeColor="text1"/>
                <w:sz w:val="20"/>
                <w:szCs w:val="20"/>
                <w:shd w:val="clear" w:color="auto" w:fill="FFFFFF"/>
                <w:lang w:val="en-US"/>
              </w:rPr>
              <w:t>LE2</w:t>
            </w:r>
          </w:p>
        </w:tc>
        <w:tc>
          <w:tcPr>
            <w:tcW w:w="3119" w:type="dxa"/>
            <w:tcBorders>
              <w:top w:val="nil"/>
              <w:left w:val="nil"/>
              <w:bottom w:val="nil"/>
              <w:right w:val="nil"/>
            </w:tcBorders>
          </w:tcPr>
          <w:p w14:paraId="7F1FBF0A" w14:textId="77777777" w:rsidR="00741745" w:rsidRPr="00164238" w:rsidRDefault="00741745" w:rsidP="00682CBF">
            <w:pPr>
              <w:jc w:val="center"/>
              <w:rPr>
                <w:rFonts w:ascii="Times New Roman" w:hAnsi="Times New Roman" w:cs="Times New Roman"/>
                <w:color w:val="000000" w:themeColor="text1"/>
                <w:sz w:val="20"/>
                <w:szCs w:val="20"/>
                <w:shd w:val="clear" w:color="auto" w:fill="FFFFFF"/>
                <w:lang w:val="en-US"/>
              </w:rPr>
            </w:pPr>
          </w:p>
        </w:tc>
        <w:tc>
          <w:tcPr>
            <w:tcW w:w="2943" w:type="dxa"/>
            <w:tcBorders>
              <w:top w:val="nil"/>
              <w:left w:val="nil"/>
              <w:bottom w:val="nil"/>
              <w:right w:val="nil"/>
            </w:tcBorders>
            <w:hideMark/>
          </w:tcPr>
          <w:p w14:paraId="7FF0E4EE" w14:textId="77777777" w:rsidR="00741745" w:rsidRPr="00164238" w:rsidRDefault="00741745" w:rsidP="00682CBF">
            <w:pPr>
              <w:jc w:val="center"/>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color w:val="000000" w:themeColor="text1"/>
                <w:sz w:val="20"/>
                <w:szCs w:val="20"/>
                <w:shd w:val="clear" w:color="auto" w:fill="FFFFFF"/>
                <w:lang w:val="en-US"/>
              </w:rPr>
              <w:t>.828</w:t>
            </w:r>
          </w:p>
        </w:tc>
      </w:tr>
      <w:tr w:rsidR="00741745" w:rsidRPr="00164238" w14:paraId="2E839613" w14:textId="77777777" w:rsidTr="00682CBF">
        <w:tc>
          <w:tcPr>
            <w:tcW w:w="2977" w:type="dxa"/>
            <w:tcBorders>
              <w:top w:val="nil"/>
              <w:left w:val="nil"/>
              <w:bottom w:val="nil"/>
              <w:right w:val="nil"/>
            </w:tcBorders>
            <w:hideMark/>
          </w:tcPr>
          <w:p w14:paraId="1CCF19C9" w14:textId="77777777" w:rsidR="00741745" w:rsidRPr="00164238" w:rsidRDefault="00741745" w:rsidP="00682CBF">
            <w:pPr>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noProof/>
                <w:color w:val="000000" w:themeColor="text1"/>
                <w:sz w:val="20"/>
                <w:szCs w:val="20"/>
                <w:shd w:val="clear" w:color="auto" w:fill="FFFFFF"/>
                <w:lang w:val="en-US"/>
              </w:rPr>
              <w:t>LE3</w:t>
            </w:r>
          </w:p>
        </w:tc>
        <w:tc>
          <w:tcPr>
            <w:tcW w:w="3119" w:type="dxa"/>
            <w:tcBorders>
              <w:top w:val="nil"/>
              <w:left w:val="nil"/>
              <w:bottom w:val="nil"/>
              <w:right w:val="nil"/>
            </w:tcBorders>
          </w:tcPr>
          <w:p w14:paraId="501CE938" w14:textId="77777777" w:rsidR="00741745" w:rsidRPr="00164238" w:rsidRDefault="00741745" w:rsidP="00682CBF">
            <w:pPr>
              <w:jc w:val="center"/>
              <w:rPr>
                <w:rFonts w:ascii="Times New Roman" w:hAnsi="Times New Roman" w:cs="Times New Roman"/>
                <w:color w:val="000000" w:themeColor="text1"/>
                <w:sz w:val="20"/>
                <w:szCs w:val="20"/>
                <w:shd w:val="clear" w:color="auto" w:fill="FFFFFF"/>
                <w:lang w:val="en-US"/>
              </w:rPr>
            </w:pPr>
          </w:p>
        </w:tc>
        <w:tc>
          <w:tcPr>
            <w:tcW w:w="2943" w:type="dxa"/>
            <w:tcBorders>
              <w:top w:val="nil"/>
              <w:left w:val="nil"/>
              <w:bottom w:val="nil"/>
              <w:right w:val="nil"/>
            </w:tcBorders>
            <w:hideMark/>
          </w:tcPr>
          <w:p w14:paraId="002BE1D7" w14:textId="77777777" w:rsidR="00741745" w:rsidRPr="00164238" w:rsidRDefault="00741745" w:rsidP="00682CBF">
            <w:pPr>
              <w:jc w:val="center"/>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color w:val="000000" w:themeColor="text1"/>
                <w:sz w:val="20"/>
                <w:szCs w:val="20"/>
                <w:shd w:val="clear" w:color="auto" w:fill="FFFFFF"/>
                <w:lang w:val="en-US"/>
              </w:rPr>
              <w:t>.836</w:t>
            </w:r>
          </w:p>
        </w:tc>
      </w:tr>
      <w:tr w:rsidR="00741745" w:rsidRPr="00164238" w14:paraId="37648235" w14:textId="77777777" w:rsidTr="00682CBF">
        <w:tc>
          <w:tcPr>
            <w:tcW w:w="2977" w:type="dxa"/>
            <w:tcBorders>
              <w:top w:val="nil"/>
              <w:left w:val="nil"/>
              <w:bottom w:val="single" w:sz="4" w:space="0" w:color="auto"/>
              <w:right w:val="nil"/>
            </w:tcBorders>
            <w:hideMark/>
          </w:tcPr>
          <w:p w14:paraId="09212DC0" w14:textId="77777777" w:rsidR="00741745" w:rsidRPr="00164238" w:rsidRDefault="00741745" w:rsidP="00682CBF">
            <w:pPr>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noProof/>
                <w:color w:val="000000" w:themeColor="text1"/>
                <w:sz w:val="20"/>
                <w:szCs w:val="20"/>
                <w:shd w:val="clear" w:color="auto" w:fill="FFFFFF"/>
                <w:lang w:val="en-US"/>
              </w:rPr>
              <w:t>LE4</w:t>
            </w:r>
          </w:p>
        </w:tc>
        <w:tc>
          <w:tcPr>
            <w:tcW w:w="3119" w:type="dxa"/>
            <w:tcBorders>
              <w:top w:val="nil"/>
              <w:left w:val="nil"/>
              <w:bottom w:val="single" w:sz="4" w:space="0" w:color="auto"/>
              <w:right w:val="nil"/>
            </w:tcBorders>
          </w:tcPr>
          <w:p w14:paraId="58E4CE41" w14:textId="77777777" w:rsidR="00741745" w:rsidRPr="00164238" w:rsidRDefault="00741745" w:rsidP="00682CBF">
            <w:pPr>
              <w:jc w:val="center"/>
              <w:rPr>
                <w:rFonts w:ascii="Times New Roman" w:hAnsi="Times New Roman" w:cs="Times New Roman"/>
                <w:color w:val="000000" w:themeColor="text1"/>
                <w:sz w:val="20"/>
                <w:szCs w:val="20"/>
                <w:shd w:val="clear" w:color="auto" w:fill="FFFFFF"/>
                <w:lang w:val="en-US"/>
              </w:rPr>
            </w:pPr>
          </w:p>
        </w:tc>
        <w:tc>
          <w:tcPr>
            <w:tcW w:w="2943" w:type="dxa"/>
            <w:tcBorders>
              <w:top w:val="nil"/>
              <w:left w:val="nil"/>
              <w:bottom w:val="single" w:sz="4" w:space="0" w:color="auto"/>
              <w:right w:val="nil"/>
            </w:tcBorders>
            <w:hideMark/>
          </w:tcPr>
          <w:p w14:paraId="5CC97398" w14:textId="77777777" w:rsidR="00741745" w:rsidRPr="00164238" w:rsidRDefault="00741745" w:rsidP="00682CBF">
            <w:pPr>
              <w:jc w:val="center"/>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color w:val="000000" w:themeColor="text1"/>
                <w:sz w:val="20"/>
                <w:szCs w:val="20"/>
                <w:shd w:val="clear" w:color="auto" w:fill="FFFFFF"/>
                <w:lang w:val="en-US"/>
              </w:rPr>
              <w:t>.826</w:t>
            </w:r>
          </w:p>
        </w:tc>
      </w:tr>
    </w:tbl>
    <w:p w14:paraId="25E40BFD" w14:textId="77777777" w:rsidR="00741745" w:rsidRPr="00164238" w:rsidRDefault="00741745" w:rsidP="00741745">
      <w:pPr>
        <w:jc w:val="both"/>
        <w:rPr>
          <w:rFonts w:ascii="Times New Roman" w:hAnsi="Times New Roman" w:cs="Times New Roman"/>
          <w:color w:val="000000" w:themeColor="text1"/>
          <w:shd w:val="clear" w:color="auto" w:fill="FFFFFF"/>
          <w:lang w:val="en-US"/>
        </w:rPr>
      </w:pPr>
      <w:r w:rsidRPr="00164238">
        <w:rPr>
          <w:rFonts w:ascii="Times New Roman" w:hAnsi="Times New Roman" w:cs="Times New Roman"/>
          <w:noProof/>
          <w:color w:val="000000" w:themeColor="text1"/>
          <w:sz w:val="20"/>
          <w:szCs w:val="20"/>
          <w:shd w:val="clear" w:color="auto" w:fill="FFFFFF"/>
        </w:rPr>
        <w:t>Notes:</w:t>
      </w:r>
      <w:r w:rsidRPr="00164238">
        <w:rPr>
          <w:rFonts w:ascii="Times New Roman" w:hAnsi="Times New Roman" w:cs="Times New Roman"/>
          <w:color w:val="000000" w:themeColor="text1"/>
          <w:sz w:val="20"/>
          <w:szCs w:val="20"/>
          <w:shd w:val="clear" w:color="auto" w:fill="FFFFFF"/>
          <w:lang w:val="en-US"/>
        </w:rPr>
        <w:t xml:space="preserve"> </w:t>
      </w:r>
      <w:r w:rsidRPr="00164238">
        <w:rPr>
          <w:rFonts w:ascii="Times New Roman" w:hAnsi="Times New Roman" w:cs="Times New Roman"/>
          <w:noProof/>
          <w:color w:val="000000" w:themeColor="text1"/>
          <w:sz w:val="20"/>
          <w:szCs w:val="20"/>
          <w:shd w:val="clear" w:color="auto" w:fill="FFFFFF"/>
        </w:rPr>
        <w:t>KMO:</w:t>
      </w:r>
      <w:r w:rsidRPr="00164238">
        <w:rPr>
          <w:rFonts w:ascii="Times New Roman" w:hAnsi="Times New Roman" w:cs="Times New Roman"/>
          <w:color w:val="000000" w:themeColor="text1"/>
          <w:sz w:val="20"/>
          <w:szCs w:val="20"/>
          <w:shd w:val="clear" w:color="auto" w:fill="FFFFFF"/>
          <w:lang w:val="en-US"/>
        </w:rPr>
        <w:t xml:space="preserve"> .930; Barlett’s Test for Sphericity [x</w:t>
      </w:r>
      <w:r w:rsidRPr="00164238">
        <w:rPr>
          <w:rFonts w:ascii="Times New Roman" w:hAnsi="Times New Roman" w:cs="Times New Roman"/>
          <w:color w:val="000000" w:themeColor="text1"/>
          <w:sz w:val="20"/>
          <w:szCs w:val="20"/>
          <w:shd w:val="clear" w:color="auto" w:fill="FFFFFF"/>
          <w:vertAlign w:val="superscript"/>
          <w:lang w:val="en-US"/>
        </w:rPr>
        <w:t>2</w:t>
      </w:r>
      <w:r w:rsidRPr="00164238">
        <w:rPr>
          <w:rFonts w:ascii="Times New Roman" w:hAnsi="Times New Roman" w:cs="Times New Roman"/>
          <w:color w:val="000000" w:themeColor="text1"/>
          <w:sz w:val="20"/>
          <w:szCs w:val="20"/>
          <w:shd w:val="clear" w:color="auto" w:fill="FFFFFF"/>
          <w:lang w:val="en-US"/>
        </w:rPr>
        <w:t xml:space="preserve">(105)=2064.587; p&lt;0.001]; Total Variance Explained: %65.128; Abbreviations: </w:t>
      </w:r>
      <w:r w:rsidRPr="00164238">
        <w:rPr>
          <w:rFonts w:ascii="Times New Roman" w:hAnsi="Times New Roman" w:cs="Times New Roman"/>
          <w:noProof/>
          <w:color w:val="000000" w:themeColor="text1"/>
          <w:sz w:val="20"/>
          <w:szCs w:val="20"/>
          <w:shd w:val="clear" w:color="auto" w:fill="FFFFFF"/>
        </w:rPr>
        <w:t>SVTC:</w:t>
      </w:r>
      <w:r w:rsidRPr="00164238">
        <w:rPr>
          <w:rFonts w:ascii="Times New Roman" w:hAnsi="Times New Roman" w:cs="Times New Roman"/>
          <w:color w:val="000000" w:themeColor="text1"/>
          <w:sz w:val="20"/>
          <w:szCs w:val="20"/>
          <w:shd w:val="clear" w:color="auto" w:fill="FFFFFF"/>
          <w:lang w:val="en-US"/>
        </w:rPr>
        <w:t xml:space="preserve"> </w:t>
      </w:r>
      <w:r w:rsidRPr="00164238">
        <w:rPr>
          <w:rFonts w:ascii="Times New Roman" w:hAnsi="Times New Roman" w:cs="Times New Roman"/>
          <w:noProof/>
          <w:color w:val="000000" w:themeColor="text1"/>
          <w:sz w:val="20"/>
          <w:szCs w:val="20"/>
        </w:rPr>
        <w:t>Supervisors’ Virtual Technology Competence; LE:</w:t>
      </w:r>
      <w:r w:rsidRPr="00164238">
        <w:rPr>
          <w:rFonts w:ascii="Times New Roman" w:hAnsi="Times New Roman" w:cs="Times New Roman"/>
          <w:color w:val="000000" w:themeColor="text1"/>
          <w:sz w:val="20"/>
          <w:szCs w:val="20"/>
          <w:lang w:val="en-US"/>
        </w:rPr>
        <w:t xml:space="preserve"> </w:t>
      </w:r>
      <w:r w:rsidRPr="00164238">
        <w:rPr>
          <w:rFonts w:ascii="Times New Roman" w:hAnsi="Times New Roman" w:cs="Times New Roman"/>
          <w:noProof/>
          <w:color w:val="000000" w:themeColor="text1"/>
          <w:sz w:val="20"/>
          <w:szCs w:val="20"/>
        </w:rPr>
        <w:t>Leadership Effectiveness.</w:t>
      </w:r>
    </w:p>
    <w:p w14:paraId="38ACAF7E" w14:textId="77777777" w:rsidR="00741745" w:rsidRPr="00164238" w:rsidRDefault="00741745" w:rsidP="00741745">
      <w:pPr>
        <w:spacing w:before="120"/>
        <w:ind w:firstLine="708"/>
        <w:jc w:val="both"/>
        <w:rPr>
          <w:rFonts w:ascii="Times New Roman" w:hAnsi="Times New Roman" w:cs="Times New Roman"/>
          <w:color w:val="000000" w:themeColor="text1"/>
          <w:lang w:val="en-US"/>
        </w:rPr>
      </w:pPr>
      <w:r w:rsidRPr="00164238">
        <w:rPr>
          <w:rFonts w:ascii="Times New Roman" w:hAnsi="Times New Roman" w:cs="Times New Roman"/>
          <w:color w:val="000000" w:themeColor="text1"/>
          <w:lang w:val="en-US"/>
        </w:rPr>
        <w:t xml:space="preserve">Result of KMO Barlett’s Test in Table 1 is higher than 0.50 and result of Barlett’s test for sphericity is also significant. Two of them demonstrate that exploratory factor analysis can be applied to the dataset (Kalaycı, 2010). According to the results of the analysis, items pertaining to the two variables in the research model of the study are categorized under the variables in accordance with their theories and these variables explain nearly 65% of the total variance. This rate is higher than the accepted rate of 50% in the literature. Also, the smallest factor load value calculated for the items is .597. This value is higher than the accepted minimum value of .40 in the literature </w:t>
      </w:r>
      <w:r w:rsidRPr="00164238">
        <w:rPr>
          <w:rFonts w:ascii="Times New Roman" w:hAnsi="Times New Roman" w:cs="Times New Roman"/>
          <w:color w:val="000000" w:themeColor="text1"/>
          <w:shd w:val="clear" w:color="auto" w:fill="FFFFFF"/>
          <w:lang w:val="en-US"/>
        </w:rPr>
        <w:t>(Hair et al., 2010).</w:t>
      </w:r>
      <w:r w:rsidRPr="00164238">
        <w:rPr>
          <w:rFonts w:ascii="Times New Roman" w:hAnsi="Times New Roman" w:cs="Times New Roman"/>
          <w:color w:val="000000" w:themeColor="text1"/>
          <w:lang w:val="en-US"/>
        </w:rPr>
        <w:t xml:space="preserve"> In this case, validity of all scales within scope of the research is satisfied.</w:t>
      </w:r>
    </w:p>
    <w:p w14:paraId="14119677" w14:textId="3A040830" w:rsidR="00741745" w:rsidRDefault="00741745" w:rsidP="00741745">
      <w:pPr>
        <w:spacing w:before="120"/>
        <w:jc w:val="both"/>
        <w:rPr>
          <w:rFonts w:ascii="Times New Roman" w:eastAsia="Times New Roman" w:hAnsi="Times New Roman" w:cs="Times New Roman"/>
          <w:b/>
          <w:bCs/>
          <w:color w:val="000000" w:themeColor="text1"/>
          <w:shd w:val="clear" w:color="auto" w:fill="FFFFFF"/>
          <w:lang w:val="en-US" w:eastAsia="tr-TR"/>
        </w:rPr>
      </w:pPr>
    </w:p>
    <w:p w14:paraId="47BAF620" w14:textId="5E376214" w:rsidR="001E0B0D" w:rsidRDefault="001E0B0D" w:rsidP="00741745">
      <w:pPr>
        <w:spacing w:before="120"/>
        <w:jc w:val="both"/>
        <w:rPr>
          <w:rFonts w:ascii="Times New Roman" w:eastAsia="Times New Roman" w:hAnsi="Times New Roman" w:cs="Times New Roman"/>
          <w:b/>
          <w:bCs/>
          <w:color w:val="000000" w:themeColor="text1"/>
          <w:shd w:val="clear" w:color="auto" w:fill="FFFFFF"/>
          <w:lang w:val="en-US" w:eastAsia="tr-TR"/>
        </w:rPr>
      </w:pPr>
    </w:p>
    <w:p w14:paraId="0DBA72BC" w14:textId="5EFB4583" w:rsidR="001E0B0D" w:rsidRDefault="001E0B0D" w:rsidP="00741745">
      <w:pPr>
        <w:spacing w:before="120"/>
        <w:jc w:val="both"/>
        <w:rPr>
          <w:rFonts w:ascii="Times New Roman" w:eastAsia="Times New Roman" w:hAnsi="Times New Roman" w:cs="Times New Roman"/>
          <w:b/>
          <w:bCs/>
          <w:color w:val="000000" w:themeColor="text1"/>
          <w:shd w:val="clear" w:color="auto" w:fill="FFFFFF"/>
          <w:lang w:val="en-US" w:eastAsia="tr-TR"/>
        </w:rPr>
      </w:pPr>
    </w:p>
    <w:p w14:paraId="68A695B8" w14:textId="77777777" w:rsidR="001E0B0D" w:rsidRPr="00164238" w:rsidRDefault="001E0B0D" w:rsidP="00741745">
      <w:pPr>
        <w:spacing w:before="120"/>
        <w:jc w:val="both"/>
        <w:rPr>
          <w:rFonts w:ascii="Times New Roman" w:eastAsia="Times New Roman" w:hAnsi="Times New Roman" w:cs="Times New Roman"/>
          <w:b/>
          <w:bCs/>
          <w:color w:val="000000" w:themeColor="text1"/>
          <w:shd w:val="clear" w:color="auto" w:fill="FFFFFF"/>
          <w:lang w:val="en-US" w:eastAsia="tr-TR"/>
        </w:rPr>
      </w:pPr>
    </w:p>
    <w:p w14:paraId="23C5AD65" w14:textId="77777777" w:rsidR="00741745" w:rsidRPr="00164238" w:rsidRDefault="00741745" w:rsidP="00741745">
      <w:pPr>
        <w:spacing w:before="120"/>
        <w:jc w:val="both"/>
        <w:rPr>
          <w:rFonts w:ascii="Times New Roman" w:eastAsia="Times New Roman" w:hAnsi="Times New Roman" w:cs="Times New Roman"/>
          <w:b/>
          <w:bCs/>
          <w:color w:val="000000" w:themeColor="text1"/>
          <w:shd w:val="clear" w:color="auto" w:fill="FFFFFF"/>
          <w:lang w:val="en-US" w:eastAsia="tr-TR"/>
        </w:rPr>
      </w:pPr>
    </w:p>
    <w:p w14:paraId="3346063E" w14:textId="77777777" w:rsidR="00741745" w:rsidRPr="00164238" w:rsidRDefault="00741745" w:rsidP="00741745">
      <w:pPr>
        <w:spacing w:before="120"/>
        <w:jc w:val="both"/>
        <w:rPr>
          <w:rFonts w:ascii="Times New Roman" w:eastAsia="Times New Roman" w:hAnsi="Times New Roman" w:cs="Times New Roman"/>
          <w:b/>
          <w:bCs/>
          <w:color w:val="000000" w:themeColor="text1"/>
          <w:shd w:val="clear" w:color="auto" w:fill="FFFFFF"/>
          <w:lang w:val="en-US" w:eastAsia="tr-TR"/>
        </w:rPr>
      </w:pPr>
    </w:p>
    <w:p w14:paraId="53D552A8" w14:textId="7199C5CC" w:rsidR="00741745" w:rsidRPr="00164238" w:rsidRDefault="00741745" w:rsidP="00741745">
      <w:pPr>
        <w:spacing w:before="120"/>
        <w:ind w:firstLine="708"/>
        <w:jc w:val="both"/>
        <w:rPr>
          <w:rFonts w:ascii="Times New Roman" w:eastAsia="Times New Roman" w:hAnsi="Times New Roman" w:cs="Times New Roman"/>
          <w:b/>
          <w:bCs/>
          <w:color w:val="000000" w:themeColor="text1"/>
          <w:shd w:val="clear" w:color="auto" w:fill="FFFFFF"/>
          <w:lang w:val="en-US" w:eastAsia="tr-TR"/>
        </w:rPr>
      </w:pPr>
      <w:r w:rsidRPr="00164238">
        <w:rPr>
          <w:rFonts w:ascii="Times New Roman" w:eastAsia="Times New Roman" w:hAnsi="Times New Roman" w:cs="Times New Roman"/>
          <w:b/>
          <w:bCs/>
          <w:color w:val="000000" w:themeColor="text1"/>
          <w:shd w:val="clear" w:color="auto" w:fill="FFFFFF"/>
          <w:lang w:val="en-US" w:eastAsia="tr-TR"/>
        </w:rPr>
        <w:lastRenderedPageBreak/>
        <w:t>Reliability and Correlation Analyses</w:t>
      </w:r>
    </w:p>
    <w:p w14:paraId="39D0E7B9" w14:textId="77777777" w:rsidR="00741745" w:rsidRPr="00164238" w:rsidRDefault="00741745" w:rsidP="00741745">
      <w:pPr>
        <w:spacing w:before="120"/>
        <w:rPr>
          <w:rFonts w:ascii="Times New Roman" w:eastAsia="Times New Roman" w:hAnsi="Times New Roman" w:cs="Times New Roman"/>
          <w:b/>
          <w:bCs/>
          <w:color w:val="000000" w:themeColor="text1"/>
          <w:shd w:val="clear" w:color="auto" w:fill="FFFFFF"/>
          <w:lang w:val="en-US" w:eastAsia="tr-TR"/>
        </w:rPr>
      </w:pPr>
      <w:r w:rsidRPr="00164238">
        <w:rPr>
          <w:rFonts w:ascii="Times New Roman" w:eastAsia="Times New Roman" w:hAnsi="Times New Roman" w:cs="Times New Roman"/>
          <w:b/>
          <w:bCs/>
          <w:color w:val="000000" w:themeColor="text1"/>
          <w:shd w:val="clear" w:color="auto" w:fill="FFFFFF"/>
          <w:lang w:val="en-US" w:eastAsia="tr-TR"/>
        </w:rPr>
        <w:t xml:space="preserve">Table 2                                                                                                                                                                          </w:t>
      </w:r>
      <w:r w:rsidRPr="00164238">
        <w:rPr>
          <w:rFonts w:ascii="Times New Roman" w:hAnsi="Times New Roman" w:cs="Times New Roman"/>
          <w:i/>
          <w:iCs/>
          <w:color w:val="000000" w:themeColor="text1"/>
          <w:shd w:val="clear" w:color="auto" w:fill="FFFFFF"/>
          <w:lang w:val="en-US"/>
        </w:rPr>
        <w:t>Results of Reliability and Pearson Correlation Analyses</w:t>
      </w:r>
    </w:p>
    <w:tbl>
      <w:tblPr>
        <w:tblpPr w:leftFromText="141" w:rightFromText="141" w:vertAnchor="text" w:horzAnchor="margin" w:tblpX="108" w:tblpY="1"/>
        <w:tblW w:w="90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796"/>
        <w:gridCol w:w="1418"/>
        <w:gridCol w:w="1277"/>
        <w:gridCol w:w="1277"/>
        <w:gridCol w:w="1277"/>
      </w:tblGrid>
      <w:tr w:rsidR="00741745" w:rsidRPr="00164238" w14:paraId="44C6F706" w14:textId="77777777" w:rsidTr="00682CBF">
        <w:tc>
          <w:tcPr>
            <w:tcW w:w="3794" w:type="dxa"/>
            <w:tcBorders>
              <w:top w:val="single" w:sz="4" w:space="0" w:color="auto"/>
              <w:left w:val="nil"/>
              <w:bottom w:val="single" w:sz="4" w:space="0" w:color="auto"/>
              <w:right w:val="nil"/>
            </w:tcBorders>
            <w:hideMark/>
          </w:tcPr>
          <w:p w14:paraId="1E56853E" w14:textId="77777777" w:rsidR="00741745" w:rsidRPr="00164238" w:rsidRDefault="00741745" w:rsidP="00682CBF">
            <w:pPr>
              <w:rPr>
                <w:rFonts w:ascii="Times New Roman" w:hAnsi="Times New Roman" w:cs="Times New Roman"/>
                <w:color w:val="000000" w:themeColor="text1"/>
                <w:lang w:val="en-US"/>
              </w:rPr>
            </w:pPr>
            <w:r w:rsidRPr="00164238">
              <w:rPr>
                <w:rFonts w:ascii="Times New Roman" w:hAnsi="Times New Roman" w:cs="Times New Roman"/>
                <w:b/>
                <w:bCs/>
                <w:color w:val="000000" w:themeColor="text1"/>
                <w:sz w:val="18"/>
                <w:szCs w:val="18"/>
                <w:shd w:val="clear" w:color="auto" w:fill="FFFFFF"/>
                <w:lang w:val="en-US"/>
              </w:rPr>
              <w:t>Variables</w:t>
            </w:r>
          </w:p>
        </w:tc>
        <w:tc>
          <w:tcPr>
            <w:tcW w:w="1417" w:type="dxa"/>
            <w:tcBorders>
              <w:top w:val="single" w:sz="4" w:space="0" w:color="auto"/>
              <w:left w:val="nil"/>
              <w:bottom w:val="single" w:sz="4" w:space="0" w:color="auto"/>
              <w:right w:val="nil"/>
            </w:tcBorders>
            <w:hideMark/>
          </w:tcPr>
          <w:p w14:paraId="7842579D" w14:textId="77777777" w:rsidR="00741745" w:rsidRPr="00164238" w:rsidRDefault="00741745" w:rsidP="00682CBF">
            <w:pPr>
              <w:jc w:val="center"/>
              <w:rPr>
                <w:rFonts w:ascii="Times New Roman" w:hAnsi="Times New Roman" w:cs="Times New Roman"/>
                <w:b/>
                <w:bCs/>
                <w:color w:val="000000" w:themeColor="text1"/>
                <w:sz w:val="18"/>
                <w:szCs w:val="18"/>
                <w:shd w:val="clear" w:color="auto" w:fill="FFFFFF"/>
                <w:lang w:val="en-US"/>
              </w:rPr>
            </w:pPr>
            <w:r w:rsidRPr="00164238">
              <w:rPr>
                <w:rFonts w:ascii="Times New Roman" w:hAnsi="Times New Roman" w:cs="Times New Roman"/>
                <w:b/>
                <w:bCs/>
                <w:color w:val="000000" w:themeColor="text1"/>
                <w:sz w:val="18"/>
                <w:szCs w:val="18"/>
                <w:shd w:val="clear" w:color="auto" w:fill="FFFFFF"/>
                <w:lang w:val="en-US"/>
              </w:rPr>
              <w:t>1</w:t>
            </w:r>
          </w:p>
        </w:tc>
        <w:tc>
          <w:tcPr>
            <w:tcW w:w="1276" w:type="dxa"/>
            <w:tcBorders>
              <w:top w:val="single" w:sz="4" w:space="0" w:color="auto"/>
              <w:left w:val="nil"/>
              <w:bottom w:val="single" w:sz="4" w:space="0" w:color="auto"/>
              <w:right w:val="nil"/>
            </w:tcBorders>
            <w:hideMark/>
          </w:tcPr>
          <w:p w14:paraId="242815CD" w14:textId="77777777" w:rsidR="00741745" w:rsidRPr="00164238" w:rsidRDefault="00741745" w:rsidP="00682CBF">
            <w:pPr>
              <w:jc w:val="center"/>
              <w:rPr>
                <w:rFonts w:ascii="Times New Roman" w:hAnsi="Times New Roman" w:cs="Times New Roman"/>
                <w:b/>
                <w:bCs/>
                <w:color w:val="000000" w:themeColor="text1"/>
                <w:sz w:val="18"/>
                <w:szCs w:val="18"/>
                <w:shd w:val="clear" w:color="auto" w:fill="FFFFFF"/>
                <w:lang w:val="en-US"/>
              </w:rPr>
            </w:pPr>
            <w:r w:rsidRPr="00164238">
              <w:rPr>
                <w:rFonts w:ascii="Times New Roman" w:hAnsi="Times New Roman" w:cs="Times New Roman"/>
                <w:b/>
                <w:bCs/>
                <w:color w:val="000000" w:themeColor="text1"/>
                <w:sz w:val="18"/>
                <w:szCs w:val="18"/>
                <w:shd w:val="clear" w:color="auto" w:fill="FFFFFF"/>
                <w:lang w:val="en-US"/>
              </w:rPr>
              <w:t>2</w:t>
            </w:r>
          </w:p>
        </w:tc>
        <w:tc>
          <w:tcPr>
            <w:tcW w:w="1276" w:type="dxa"/>
            <w:tcBorders>
              <w:top w:val="single" w:sz="4" w:space="0" w:color="auto"/>
              <w:left w:val="nil"/>
              <w:bottom w:val="single" w:sz="4" w:space="0" w:color="auto"/>
              <w:right w:val="nil"/>
            </w:tcBorders>
            <w:hideMark/>
          </w:tcPr>
          <w:p w14:paraId="30D92560" w14:textId="77777777" w:rsidR="00741745" w:rsidRPr="00164238" w:rsidRDefault="00741745" w:rsidP="00682CBF">
            <w:pPr>
              <w:jc w:val="center"/>
              <w:rPr>
                <w:rFonts w:ascii="Times New Roman" w:hAnsi="Times New Roman" w:cs="Times New Roman"/>
                <w:b/>
                <w:bCs/>
                <w:color w:val="000000" w:themeColor="text1"/>
                <w:sz w:val="18"/>
                <w:szCs w:val="18"/>
                <w:shd w:val="clear" w:color="auto" w:fill="FFFFFF"/>
                <w:lang w:val="en-US"/>
              </w:rPr>
            </w:pPr>
            <w:r w:rsidRPr="00164238">
              <w:rPr>
                <w:rFonts w:ascii="Times New Roman" w:hAnsi="Times New Roman" w:cs="Times New Roman"/>
                <w:b/>
                <w:bCs/>
                <w:color w:val="000000" w:themeColor="text1"/>
                <w:sz w:val="18"/>
                <w:szCs w:val="18"/>
                <w:shd w:val="clear" w:color="auto" w:fill="FFFFFF"/>
                <w:lang w:val="en-US"/>
              </w:rPr>
              <w:t>3</w:t>
            </w:r>
          </w:p>
        </w:tc>
        <w:tc>
          <w:tcPr>
            <w:tcW w:w="1276" w:type="dxa"/>
            <w:tcBorders>
              <w:top w:val="single" w:sz="4" w:space="0" w:color="auto"/>
              <w:left w:val="nil"/>
              <w:bottom w:val="single" w:sz="4" w:space="0" w:color="auto"/>
              <w:right w:val="nil"/>
            </w:tcBorders>
            <w:hideMark/>
          </w:tcPr>
          <w:p w14:paraId="157BADCB" w14:textId="77777777" w:rsidR="00741745" w:rsidRPr="00164238" w:rsidRDefault="00741745" w:rsidP="00682CBF">
            <w:pPr>
              <w:jc w:val="center"/>
              <w:rPr>
                <w:rFonts w:ascii="Times New Roman" w:hAnsi="Times New Roman" w:cs="Times New Roman"/>
                <w:b/>
                <w:bCs/>
                <w:color w:val="000000" w:themeColor="text1"/>
                <w:sz w:val="18"/>
                <w:szCs w:val="18"/>
                <w:shd w:val="clear" w:color="auto" w:fill="FFFFFF"/>
                <w:lang w:val="en-US"/>
              </w:rPr>
            </w:pPr>
            <w:r w:rsidRPr="00164238">
              <w:rPr>
                <w:rFonts w:ascii="Times New Roman" w:hAnsi="Times New Roman" w:cs="Times New Roman"/>
                <w:b/>
                <w:bCs/>
                <w:color w:val="000000" w:themeColor="text1"/>
                <w:sz w:val="18"/>
                <w:szCs w:val="18"/>
                <w:shd w:val="clear" w:color="auto" w:fill="FFFFFF"/>
                <w:lang w:val="en-US"/>
              </w:rPr>
              <w:t>4</w:t>
            </w:r>
          </w:p>
        </w:tc>
      </w:tr>
      <w:tr w:rsidR="00741745" w:rsidRPr="00164238" w14:paraId="3D409357" w14:textId="77777777" w:rsidTr="00682CBF">
        <w:tc>
          <w:tcPr>
            <w:tcW w:w="3794" w:type="dxa"/>
            <w:tcBorders>
              <w:top w:val="single" w:sz="4" w:space="0" w:color="auto"/>
              <w:left w:val="nil"/>
              <w:bottom w:val="nil"/>
              <w:right w:val="nil"/>
            </w:tcBorders>
            <w:hideMark/>
          </w:tcPr>
          <w:p w14:paraId="1FFF7673" w14:textId="77777777" w:rsidR="00741745" w:rsidRPr="00164238" w:rsidRDefault="00741745" w:rsidP="00682CBF">
            <w:pPr>
              <w:rPr>
                <w:rFonts w:ascii="Times New Roman" w:hAnsi="Times New Roman" w:cs="Times New Roman"/>
                <w:color w:val="000000" w:themeColor="text1"/>
                <w:sz w:val="18"/>
                <w:szCs w:val="18"/>
                <w:shd w:val="clear" w:color="auto" w:fill="FFFFFF"/>
                <w:lang w:val="en-US"/>
              </w:rPr>
            </w:pPr>
            <w:r w:rsidRPr="00164238">
              <w:rPr>
                <w:rFonts w:ascii="Times New Roman" w:hAnsi="Times New Roman" w:cs="Times New Roman"/>
                <w:noProof/>
                <w:color w:val="000000" w:themeColor="text1"/>
                <w:sz w:val="18"/>
                <w:szCs w:val="18"/>
                <w:shd w:val="clear" w:color="auto" w:fill="FFFFFF"/>
                <w:lang w:val="en-US"/>
              </w:rPr>
              <w:t>Gender</w:t>
            </w:r>
          </w:p>
        </w:tc>
        <w:tc>
          <w:tcPr>
            <w:tcW w:w="1417" w:type="dxa"/>
            <w:tcBorders>
              <w:top w:val="single" w:sz="4" w:space="0" w:color="auto"/>
              <w:left w:val="nil"/>
              <w:bottom w:val="nil"/>
              <w:right w:val="nil"/>
            </w:tcBorders>
            <w:hideMark/>
          </w:tcPr>
          <w:p w14:paraId="266FE861" w14:textId="77777777" w:rsidR="00741745" w:rsidRPr="00164238" w:rsidRDefault="00741745" w:rsidP="00682CBF">
            <w:pPr>
              <w:jc w:val="center"/>
              <w:rPr>
                <w:rFonts w:ascii="Times New Roman" w:hAnsi="Times New Roman" w:cs="Times New Roman"/>
                <w:color w:val="000000" w:themeColor="text1"/>
                <w:sz w:val="18"/>
                <w:szCs w:val="18"/>
                <w:shd w:val="clear" w:color="auto" w:fill="FFFFFF"/>
                <w:lang w:val="en-US"/>
              </w:rPr>
            </w:pPr>
            <w:r w:rsidRPr="00164238">
              <w:rPr>
                <w:rFonts w:ascii="Times New Roman" w:hAnsi="Times New Roman" w:cs="Times New Roman"/>
                <w:color w:val="000000" w:themeColor="text1"/>
                <w:sz w:val="18"/>
                <w:szCs w:val="18"/>
                <w:shd w:val="clear" w:color="auto" w:fill="FFFFFF"/>
                <w:lang w:val="en-US"/>
              </w:rPr>
              <w:t>1</w:t>
            </w:r>
          </w:p>
        </w:tc>
        <w:tc>
          <w:tcPr>
            <w:tcW w:w="1276" w:type="dxa"/>
            <w:tcBorders>
              <w:top w:val="single" w:sz="4" w:space="0" w:color="auto"/>
              <w:left w:val="nil"/>
              <w:bottom w:val="nil"/>
              <w:right w:val="nil"/>
            </w:tcBorders>
          </w:tcPr>
          <w:p w14:paraId="2E329978" w14:textId="77777777" w:rsidR="00741745" w:rsidRPr="00164238" w:rsidRDefault="00741745" w:rsidP="00682CBF">
            <w:pPr>
              <w:jc w:val="center"/>
              <w:rPr>
                <w:rFonts w:ascii="Times New Roman" w:hAnsi="Times New Roman" w:cs="Times New Roman"/>
                <w:color w:val="000000" w:themeColor="text1"/>
                <w:sz w:val="18"/>
                <w:szCs w:val="18"/>
                <w:shd w:val="clear" w:color="auto" w:fill="FFFFFF"/>
                <w:lang w:val="en-US"/>
              </w:rPr>
            </w:pPr>
          </w:p>
        </w:tc>
        <w:tc>
          <w:tcPr>
            <w:tcW w:w="1276" w:type="dxa"/>
            <w:tcBorders>
              <w:top w:val="single" w:sz="4" w:space="0" w:color="auto"/>
              <w:left w:val="nil"/>
              <w:bottom w:val="nil"/>
              <w:right w:val="nil"/>
            </w:tcBorders>
          </w:tcPr>
          <w:p w14:paraId="66366E54" w14:textId="77777777" w:rsidR="00741745" w:rsidRPr="00164238" w:rsidRDefault="00741745" w:rsidP="00682CBF">
            <w:pPr>
              <w:jc w:val="center"/>
              <w:rPr>
                <w:rFonts w:ascii="Times New Roman" w:hAnsi="Times New Roman" w:cs="Times New Roman"/>
                <w:color w:val="000000" w:themeColor="text1"/>
                <w:sz w:val="18"/>
                <w:szCs w:val="18"/>
                <w:shd w:val="clear" w:color="auto" w:fill="FFFFFF"/>
                <w:lang w:val="en-US"/>
              </w:rPr>
            </w:pPr>
          </w:p>
        </w:tc>
        <w:tc>
          <w:tcPr>
            <w:tcW w:w="1276" w:type="dxa"/>
            <w:tcBorders>
              <w:top w:val="single" w:sz="4" w:space="0" w:color="auto"/>
              <w:left w:val="nil"/>
              <w:bottom w:val="nil"/>
              <w:right w:val="nil"/>
            </w:tcBorders>
          </w:tcPr>
          <w:p w14:paraId="51336F45" w14:textId="77777777" w:rsidR="00741745" w:rsidRPr="00164238" w:rsidRDefault="00741745" w:rsidP="00682CBF">
            <w:pPr>
              <w:jc w:val="center"/>
              <w:rPr>
                <w:rFonts w:ascii="Times New Roman" w:hAnsi="Times New Roman" w:cs="Times New Roman"/>
                <w:color w:val="000000" w:themeColor="text1"/>
                <w:sz w:val="18"/>
                <w:szCs w:val="18"/>
                <w:shd w:val="clear" w:color="auto" w:fill="FFFFFF"/>
                <w:lang w:val="en-US"/>
              </w:rPr>
            </w:pPr>
          </w:p>
        </w:tc>
      </w:tr>
      <w:tr w:rsidR="00741745" w:rsidRPr="00164238" w14:paraId="07D359ED" w14:textId="77777777" w:rsidTr="00682CBF">
        <w:tc>
          <w:tcPr>
            <w:tcW w:w="3794" w:type="dxa"/>
            <w:tcBorders>
              <w:top w:val="nil"/>
              <w:left w:val="nil"/>
              <w:bottom w:val="nil"/>
              <w:right w:val="nil"/>
            </w:tcBorders>
            <w:hideMark/>
          </w:tcPr>
          <w:p w14:paraId="7161524F" w14:textId="77777777" w:rsidR="00741745" w:rsidRPr="00164238" w:rsidRDefault="00741745" w:rsidP="00682CBF">
            <w:pPr>
              <w:rPr>
                <w:rFonts w:ascii="Times New Roman" w:hAnsi="Times New Roman" w:cs="Times New Roman"/>
                <w:color w:val="000000" w:themeColor="text1"/>
                <w:sz w:val="18"/>
                <w:szCs w:val="18"/>
                <w:shd w:val="clear" w:color="auto" w:fill="FFFFFF"/>
                <w:lang w:val="en-US"/>
              </w:rPr>
            </w:pPr>
            <w:r w:rsidRPr="00164238">
              <w:rPr>
                <w:rFonts w:ascii="Times New Roman" w:hAnsi="Times New Roman" w:cs="Times New Roman"/>
                <w:noProof/>
                <w:color w:val="000000" w:themeColor="text1"/>
                <w:sz w:val="18"/>
                <w:szCs w:val="18"/>
                <w:shd w:val="clear" w:color="auto" w:fill="FFFFFF"/>
                <w:lang w:val="en-US"/>
              </w:rPr>
              <w:t>Unit</w:t>
            </w:r>
          </w:p>
        </w:tc>
        <w:tc>
          <w:tcPr>
            <w:tcW w:w="1417" w:type="dxa"/>
            <w:tcBorders>
              <w:top w:val="nil"/>
              <w:left w:val="nil"/>
              <w:bottom w:val="nil"/>
              <w:right w:val="nil"/>
            </w:tcBorders>
            <w:hideMark/>
          </w:tcPr>
          <w:p w14:paraId="3D9F9B82" w14:textId="77777777" w:rsidR="00741745" w:rsidRPr="00164238" w:rsidRDefault="00741745" w:rsidP="00682CBF">
            <w:pPr>
              <w:jc w:val="center"/>
              <w:rPr>
                <w:rFonts w:ascii="Times New Roman" w:hAnsi="Times New Roman" w:cs="Times New Roman"/>
                <w:color w:val="000000" w:themeColor="text1"/>
                <w:sz w:val="18"/>
                <w:szCs w:val="18"/>
                <w:shd w:val="clear" w:color="auto" w:fill="FFFFFF"/>
                <w:lang w:val="en-US"/>
              </w:rPr>
            </w:pPr>
            <w:r w:rsidRPr="00164238">
              <w:rPr>
                <w:rFonts w:ascii="Times New Roman" w:hAnsi="Times New Roman" w:cs="Times New Roman"/>
                <w:color w:val="000000" w:themeColor="text1"/>
                <w:sz w:val="18"/>
                <w:szCs w:val="18"/>
                <w:shd w:val="clear" w:color="auto" w:fill="FFFFFF"/>
                <w:lang w:val="en-US"/>
              </w:rPr>
              <w:t>-.04</w:t>
            </w:r>
          </w:p>
        </w:tc>
        <w:tc>
          <w:tcPr>
            <w:tcW w:w="1276" w:type="dxa"/>
            <w:tcBorders>
              <w:top w:val="nil"/>
              <w:left w:val="nil"/>
              <w:bottom w:val="nil"/>
              <w:right w:val="nil"/>
            </w:tcBorders>
            <w:hideMark/>
          </w:tcPr>
          <w:p w14:paraId="2F1D98FA" w14:textId="77777777" w:rsidR="00741745" w:rsidRPr="00164238" w:rsidRDefault="00741745" w:rsidP="00682CBF">
            <w:pPr>
              <w:jc w:val="center"/>
              <w:rPr>
                <w:rFonts w:ascii="Times New Roman" w:hAnsi="Times New Roman" w:cs="Times New Roman"/>
                <w:color w:val="000000" w:themeColor="text1"/>
                <w:sz w:val="18"/>
                <w:szCs w:val="18"/>
                <w:shd w:val="clear" w:color="auto" w:fill="FFFFFF"/>
                <w:lang w:val="en-US"/>
              </w:rPr>
            </w:pPr>
            <w:r w:rsidRPr="00164238">
              <w:rPr>
                <w:rFonts w:ascii="Times New Roman" w:hAnsi="Times New Roman" w:cs="Times New Roman"/>
                <w:color w:val="000000" w:themeColor="text1"/>
                <w:sz w:val="18"/>
                <w:szCs w:val="18"/>
                <w:shd w:val="clear" w:color="auto" w:fill="FFFFFF"/>
                <w:lang w:val="en-US"/>
              </w:rPr>
              <w:t>1</w:t>
            </w:r>
          </w:p>
        </w:tc>
        <w:tc>
          <w:tcPr>
            <w:tcW w:w="1276" w:type="dxa"/>
            <w:tcBorders>
              <w:top w:val="nil"/>
              <w:left w:val="nil"/>
              <w:bottom w:val="nil"/>
              <w:right w:val="nil"/>
            </w:tcBorders>
          </w:tcPr>
          <w:p w14:paraId="1D8284FE" w14:textId="77777777" w:rsidR="00741745" w:rsidRPr="00164238" w:rsidRDefault="00741745" w:rsidP="00682CBF">
            <w:pPr>
              <w:jc w:val="center"/>
              <w:rPr>
                <w:rFonts w:ascii="Times New Roman" w:hAnsi="Times New Roman" w:cs="Times New Roman"/>
                <w:color w:val="000000" w:themeColor="text1"/>
                <w:sz w:val="18"/>
                <w:szCs w:val="18"/>
                <w:shd w:val="clear" w:color="auto" w:fill="FFFFFF"/>
                <w:lang w:val="en-US"/>
              </w:rPr>
            </w:pPr>
          </w:p>
        </w:tc>
        <w:tc>
          <w:tcPr>
            <w:tcW w:w="1276" w:type="dxa"/>
            <w:tcBorders>
              <w:top w:val="nil"/>
              <w:left w:val="nil"/>
              <w:bottom w:val="nil"/>
              <w:right w:val="nil"/>
            </w:tcBorders>
          </w:tcPr>
          <w:p w14:paraId="3334B368" w14:textId="77777777" w:rsidR="00741745" w:rsidRPr="00164238" w:rsidRDefault="00741745" w:rsidP="00682CBF">
            <w:pPr>
              <w:jc w:val="center"/>
              <w:rPr>
                <w:rFonts w:ascii="Times New Roman" w:hAnsi="Times New Roman" w:cs="Times New Roman"/>
                <w:color w:val="000000" w:themeColor="text1"/>
                <w:sz w:val="18"/>
                <w:szCs w:val="18"/>
                <w:shd w:val="clear" w:color="auto" w:fill="FFFFFF"/>
                <w:lang w:val="en-US"/>
              </w:rPr>
            </w:pPr>
          </w:p>
        </w:tc>
      </w:tr>
      <w:tr w:rsidR="00741745" w:rsidRPr="00164238" w14:paraId="706A529D" w14:textId="77777777" w:rsidTr="00682CBF">
        <w:tc>
          <w:tcPr>
            <w:tcW w:w="3794" w:type="dxa"/>
            <w:tcBorders>
              <w:top w:val="nil"/>
              <w:left w:val="nil"/>
              <w:bottom w:val="nil"/>
              <w:right w:val="nil"/>
            </w:tcBorders>
            <w:hideMark/>
          </w:tcPr>
          <w:p w14:paraId="522D94F7" w14:textId="77777777" w:rsidR="00741745" w:rsidRPr="00164238" w:rsidRDefault="00741745" w:rsidP="00682CBF">
            <w:pPr>
              <w:rPr>
                <w:rFonts w:ascii="Times New Roman" w:hAnsi="Times New Roman" w:cs="Times New Roman"/>
                <w:color w:val="000000" w:themeColor="text1"/>
                <w:sz w:val="18"/>
                <w:szCs w:val="18"/>
                <w:shd w:val="clear" w:color="auto" w:fill="FFFFFF"/>
                <w:lang w:val="en-US"/>
              </w:rPr>
            </w:pPr>
            <w:r w:rsidRPr="00164238">
              <w:rPr>
                <w:rFonts w:ascii="Times New Roman" w:hAnsi="Times New Roman" w:cs="Times New Roman"/>
                <w:noProof/>
                <w:color w:val="000000" w:themeColor="text1"/>
                <w:sz w:val="18"/>
                <w:szCs w:val="18"/>
                <w:lang w:val="en-US"/>
              </w:rPr>
              <w:t>Supervisors’ Virtual Technology Competence</w:t>
            </w:r>
          </w:p>
        </w:tc>
        <w:tc>
          <w:tcPr>
            <w:tcW w:w="1417" w:type="dxa"/>
            <w:tcBorders>
              <w:top w:val="nil"/>
              <w:left w:val="nil"/>
              <w:bottom w:val="nil"/>
              <w:right w:val="nil"/>
            </w:tcBorders>
            <w:hideMark/>
          </w:tcPr>
          <w:p w14:paraId="39B8A697" w14:textId="77777777" w:rsidR="00741745" w:rsidRPr="00164238" w:rsidRDefault="00741745" w:rsidP="00682CBF">
            <w:pPr>
              <w:jc w:val="center"/>
              <w:rPr>
                <w:rFonts w:ascii="Times New Roman" w:hAnsi="Times New Roman" w:cs="Times New Roman"/>
                <w:color w:val="000000" w:themeColor="text1"/>
                <w:sz w:val="18"/>
                <w:szCs w:val="18"/>
                <w:shd w:val="clear" w:color="auto" w:fill="FFFFFF"/>
                <w:lang w:val="en-US"/>
              </w:rPr>
            </w:pPr>
            <w:r w:rsidRPr="00164238">
              <w:rPr>
                <w:rFonts w:ascii="Times New Roman" w:hAnsi="Times New Roman" w:cs="Times New Roman"/>
                <w:color w:val="000000" w:themeColor="text1"/>
                <w:sz w:val="18"/>
                <w:szCs w:val="18"/>
                <w:shd w:val="clear" w:color="auto" w:fill="FFFFFF"/>
                <w:lang w:val="en-US"/>
              </w:rPr>
              <w:t>.03</w:t>
            </w:r>
          </w:p>
        </w:tc>
        <w:tc>
          <w:tcPr>
            <w:tcW w:w="1276" w:type="dxa"/>
            <w:tcBorders>
              <w:top w:val="nil"/>
              <w:left w:val="nil"/>
              <w:bottom w:val="nil"/>
              <w:right w:val="nil"/>
            </w:tcBorders>
            <w:hideMark/>
          </w:tcPr>
          <w:p w14:paraId="7BDBC70B" w14:textId="77777777" w:rsidR="00741745" w:rsidRPr="00164238" w:rsidRDefault="00741745" w:rsidP="00682CBF">
            <w:pPr>
              <w:jc w:val="center"/>
              <w:rPr>
                <w:rFonts w:ascii="Times New Roman" w:hAnsi="Times New Roman" w:cs="Times New Roman"/>
                <w:color w:val="000000" w:themeColor="text1"/>
                <w:sz w:val="18"/>
                <w:szCs w:val="18"/>
                <w:shd w:val="clear" w:color="auto" w:fill="FFFFFF"/>
                <w:lang w:val="en-US"/>
              </w:rPr>
            </w:pPr>
            <w:r w:rsidRPr="00164238">
              <w:rPr>
                <w:rFonts w:ascii="Times New Roman" w:hAnsi="Times New Roman" w:cs="Times New Roman"/>
                <w:color w:val="000000" w:themeColor="text1"/>
                <w:sz w:val="18"/>
                <w:szCs w:val="18"/>
                <w:shd w:val="clear" w:color="auto" w:fill="FFFFFF"/>
                <w:lang w:val="en-US"/>
              </w:rPr>
              <w:t>.03</w:t>
            </w:r>
          </w:p>
        </w:tc>
        <w:tc>
          <w:tcPr>
            <w:tcW w:w="1276" w:type="dxa"/>
            <w:tcBorders>
              <w:top w:val="nil"/>
              <w:left w:val="nil"/>
              <w:bottom w:val="nil"/>
              <w:right w:val="nil"/>
            </w:tcBorders>
            <w:hideMark/>
          </w:tcPr>
          <w:p w14:paraId="396FE92F" w14:textId="77777777" w:rsidR="00741745" w:rsidRPr="00164238" w:rsidRDefault="00741745" w:rsidP="00682CBF">
            <w:pPr>
              <w:jc w:val="center"/>
              <w:rPr>
                <w:rFonts w:ascii="Times New Roman" w:hAnsi="Times New Roman" w:cs="Times New Roman"/>
                <w:color w:val="000000" w:themeColor="text1"/>
                <w:sz w:val="18"/>
                <w:szCs w:val="18"/>
                <w:shd w:val="clear" w:color="auto" w:fill="FFFFFF"/>
                <w:lang w:val="en-US"/>
              </w:rPr>
            </w:pPr>
            <w:r w:rsidRPr="00164238">
              <w:rPr>
                <w:rFonts w:ascii="Times New Roman" w:hAnsi="Times New Roman" w:cs="Times New Roman"/>
                <w:color w:val="000000" w:themeColor="text1"/>
                <w:sz w:val="18"/>
                <w:szCs w:val="18"/>
                <w:shd w:val="clear" w:color="auto" w:fill="FFFFFF"/>
                <w:lang w:val="en-US"/>
              </w:rPr>
              <w:t>(.93)</w:t>
            </w:r>
          </w:p>
        </w:tc>
        <w:tc>
          <w:tcPr>
            <w:tcW w:w="1276" w:type="dxa"/>
            <w:tcBorders>
              <w:top w:val="nil"/>
              <w:left w:val="nil"/>
              <w:bottom w:val="nil"/>
              <w:right w:val="nil"/>
            </w:tcBorders>
          </w:tcPr>
          <w:p w14:paraId="1551710A" w14:textId="77777777" w:rsidR="00741745" w:rsidRPr="00164238" w:rsidRDefault="00741745" w:rsidP="00682CBF">
            <w:pPr>
              <w:jc w:val="center"/>
              <w:rPr>
                <w:rFonts w:ascii="Times New Roman" w:hAnsi="Times New Roman" w:cs="Times New Roman"/>
                <w:color w:val="000000" w:themeColor="text1"/>
                <w:sz w:val="18"/>
                <w:szCs w:val="18"/>
                <w:shd w:val="clear" w:color="auto" w:fill="FFFFFF"/>
                <w:lang w:val="en-US"/>
              </w:rPr>
            </w:pPr>
          </w:p>
        </w:tc>
      </w:tr>
      <w:tr w:rsidR="00741745" w:rsidRPr="00164238" w14:paraId="607C4880" w14:textId="77777777" w:rsidTr="00682CBF">
        <w:tc>
          <w:tcPr>
            <w:tcW w:w="3794" w:type="dxa"/>
            <w:tcBorders>
              <w:top w:val="nil"/>
              <w:left w:val="nil"/>
              <w:bottom w:val="nil"/>
              <w:right w:val="nil"/>
            </w:tcBorders>
            <w:hideMark/>
          </w:tcPr>
          <w:p w14:paraId="39F043E7" w14:textId="77777777" w:rsidR="00741745" w:rsidRPr="00164238" w:rsidRDefault="00741745" w:rsidP="00682CBF">
            <w:pPr>
              <w:pStyle w:val="TableFigureHeader"/>
              <w:spacing w:before="0" w:after="0" w:line="240" w:lineRule="atLeast"/>
              <w:rPr>
                <w:rFonts w:ascii="Times New Roman" w:hAnsi="Times New Roman" w:cs="Times New Roman"/>
                <w:color w:val="000000" w:themeColor="text1"/>
                <w:sz w:val="18"/>
                <w:szCs w:val="18"/>
              </w:rPr>
            </w:pPr>
            <w:r w:rsidRPr="00164238">
              <w:rPr>
                <w:rFonts w:ascii="Times New Roman" w:hAnsi="Times New Roman" w:cs="Times New Roman"/>
                <w:noProof/>
                <w:color w:val="000000" w:themeColor="text1"/>
                <w:sz w:val="18"/>
                <w:szCs w:val="18"/>
              </w:rPr>
              <w:t>Leadership Effectiveness</w:t>
            </w:r>
          </w:p>
        </w:tc>
        <w:tc>
          <w:tcPr>
            <w:tcW w:w="1417" w:type="dxa"/>
            <w:tcBorders>
              <w:top w:val="nil"/>
              <w:left w:val="nil"/>
              <w:bottom w:val="nil"/>
              <w:right w:val="nil"/>
            </w:tcBorders>
            <w:hideMark/>
          </w:tcPr>
          <w:p w14:paraId="5169B9ED" w14:textId="77777777" w:rsidR="00741745" w:rsidRPr="00164238" w:rsidRDefault="00741745" w:rsidP="00682CBF">
            <w:pPr>
              <w:jc w:val="center"/>
              <w:rPr>
                <w:rFonts w:ascii="Times New Roman" w:hAnsi="Times New Roman" w:cs="Times New Roman"/>
                <w:color w:val="000000" w:themeColor="text1"/>
                <w:sz w:val="18"/>
                <w:szCs w:val="18"/>
                <w:shd w:val="clear" w:color="auto" w:fill="FFFFFF"/>
                <w:lang w:val="en-US"/>
              </w:rPr>
            </w:pPr>
            <w:r w:rsidRPr="00164238">
              <w:rPr>
                <w:rFonts w:ascii="Times New Roman" w:hAnsi="Times New Roman" w:cs="Times New Roman"/>
                <w:color w:val="000000" w:themeColor="text1"/>
                <w:sz w:val="18"/>
                <w:szCs w:val="18"/>
                <w:shd w:val="clear" w:color="auto" w:fill="FFFFFF"/>
                <w:lang w:val="en-US"/>
              </w:rPr>
              <w:t>.11</w:t>
            </w:r>
          </w:p>
        </w:tc>
        <w:tc>
          <w:tcPr>
            <w:tcW w:w="1276" w:type="dxa"/>
            <w:tcBorders>
              <w:top w:val="nil"/>
              <w:left w:val="nil"/>
              <w:bottom w:val="nil"/>
              <w:right w:val="nil"/>
            </w:tcBorders>
            <w:hideMark/>
          </w:tcPr>
          <w:p w14:paraId="600E9E19" w14:textId="77777777" w:rsidR="00741745" w:rsidRPr="00164238" w:rsidRDefault="00741745" w:rsidP="00682CBF">
            <w:pPr>
              <w:jc w:val="center"/>
              <w:rPr>
                <w:rFonts w:ascii="Times New Roman" w:hAnsi="Times New Roman" w:cs="Times New Roman"/>
                <w:color w:val="000000" w:themeColor="text1"/>
                <w:sz w:val="18"/>
                <w:szCs w:val="18"/>
                <w:shd w:val="clear" w:color="auto" w:fill="FFFFFF"/>
                <w:lang w:val="en-US"/>
              </w:rPr>
            </w:pPr>
            <w:r w:rsidRPr="00164238">
              <w:rPr>
                <w:rFonts w:ascii="Times New Roman" w:hAnsi="Times New Roman" w:cs="Times New Roman"/>
                <w:color w:val="000000" w:themeColor="text1"/>
                <w:sz w:val="18"/>
                <w:szCs w:val="18"/>
                <w:shd w:val="clear" w:color="auto" w:fill="FFFFFF"/>
                <w:lang w:val="en-US"/>
              </w:rPr>
              <w:t>-.02</w:t>
            </w:r>
          </w:p>
        </w:tc>
        <w:tc>
          <w:tcPr>
            <w:tcW w:w="1276" w:type="dxa"/>
            <w:tcBorders>
              <w:top w:val="nil"/>
              <w:left w:val="nil"/>
              <w:bottom w:val="nil"/>
              <w:right w:val="nil"/>
            </w:tcBorders>
            <w:hideMark/>
          </w:tcPr>
          <w:p w14:paraId="2BD41F97" w14:textId="77777777" w:rsidR="00741745" w:rsidRPr="00164238" w:rsidRDefault="00741745" w:rsidP="00682CBF">
            <w:pPr>
              <w:rPr>
                <w:rFonts w:ascii="Times New Roman" w:hAnsi="Times New Roman" w:cs="Times New Roman"/>
                <w:color w:val="000000" w:themeColor="text1"/>
                <w:sz w:val="18"/>
                <w:szCs w:val="18"/>
                <w:shd w:val="clear" w:color="auto" w:fill="FFFFFF"/>
                <w:lang w:val="en-US"/>
              </w:rPr>
            </w:pPr>
            <w:r w:rsidRPr="00164238">
              <w:rPr>
                <w:rFonts w:ascii="Times New Roman" w:hAnsi="Times New Roman" w:cs="Times New Roman"/>
                <w:color w:val="000000" w:themeColor="text1"/>
                <w:sz w:val="18"/>
                <w:szCs w:val="18"/>
                <w:shd w:val="clear" w:color="auto" w:fill="FFFFFF"/>
                <w:lang w:val="en-US"/>
              </w:rPr>
              <w:t xml:space="preserve">        .34**</w:t>
            </w:r>
          </w:p>
        </w:tc>
        <w:tc>
          <w:tcPr>
            <w:tcW w:w="1276" w:type="dxa"/>
            <w:tcBorders>
              <w:top w:val="nil"/>
              <w:left w:val="nil"/>
              <w:bottom w:val="nil"/>
              <w:right w:val="nil"/>
            </w:tcBorders>
            <w:hideMark/>
          </w:tcPr>
          <w:p w14:paraId="03CCBD06" w14:textId="77777777" w:rsidR="00741745" w:rsidRPr="00164238" w:rsidRDefault="00741745" w:rsidP="00682CBF">
            <w:pPr>
              <w:jc w:val="center"/>
              <w:rPr>
                <w:rFonts w:ascii="Times New Roman" w:hAnsi="Times New Roman" w:cs="Times New Roman"/>
                <w:color w:val="000000" w:themeColor="text1"/>
                <w:sz w:val="18"/>
                <w:szCs w:val="18"/>
                <w:shd w:val="clear" w:color="auto" w:fill="FFFFFF"/>
                <w:lang w:val="en-US"/>
              </w:rPr>
            </w:pPr>
            <w:r w:rsidRPr="00164238">
              <w:rPr>
                <w:rFonts w:ascii="Times New Roman" w:hAnsi="Times New Roman" w:cs="Times New Roman"/>
                <w:color w:val="000000" w:themeColor="text1"/>
                <w:sz w:val="18"/>
                <w:szCs w:val="18"/>
                <w:shd w:val="clear" w:color="auto" w:fill="FFFFFF"/>
                <w:lang w:val="en-US"/>
              </w:rPr>
              <w:t>(.86)</w:t>
            </w:r>
          </w:p>
        </w:tc>
      </w:tr>
      <w:tr w:rsidR="00741745" w:rsidRPr="00164238" w14:paraId="6C456A7A" w14:textId="77777777" w:rsidTr="00682CBF">
        <w:tc>
          <w:tcPr>
            <w:tcW w:w="3794" w:type="dxa"/>
            <w:tcBorders>
              <w:top w:val="nil"/>
              <w:left w:val="nil"/>
              <w:bottom w:val="nil"/>
              <w:right w:val="nil"/>
            </w:tcBorders>
            <w:hideMark/>
          </w:tcPr>
          <w:p w14:paraId="1AF62E9E" w14:textId="77777777" w:rsidR="00741745" w:rsidRPr="00164238" w:rsidRDefault="00741745" w:rsidP="00682CBF">
            <w:pPr>
              <w:rPr>
                <w:rFonts w:ascii="Times New Roman" w:hAnsi="Times New Roman" w:cs="Times New Roman"/>
                <w:color w:val="000000" w:themeColor="text1"/>
                <w:sz w:val="18"/>
                <w:szCs w:val="18"/>
                <w:shd w:val="clear" w:color="auto" w:fill="FFFFFF"/>
                <w:lang w:val="en-US"/>
              </w:rPr>
            </w:pPr>
            <w:r w:rsidRPr="00164238">
              <w:rPr>
                <w:rFonts w:ascii="Times New Roman" w:hAnsi="Times New Roman" w:cs="Times New Roman"/>
                <w:noProof/>
                <w:color w:val="000000" w:themeColor="text1"/>
                <w:sz w:val="18"/>
                <w:szCs w:val="18"/>
                <w:shd w:val="clear" w:color="auto" w:fill="FFFFFF"/>
                <w:lang w:val="en-US"/>
              </w:rPr>
              <w:t>Mean</w:t>
            </w:r>
          </w:p>
        </w:tc>
        <w:tc>
          <w:tcPr>
            <w:tcW w:w="1417" w:type="dxa"/>
            <w:tcBorders>
              <w:top w:val="nil"/>
              <w:left w:val="nil"/>
              <w:bottom w:val="nil"/>
              <w:right w:val="nil"/>
            </w:tcBorders>
            <w:hideMark/>
          </w:tcPr>
          <w:p w14:paraId="71672E40" w14:textId="77777777" w:rsidR="00741745" w:rsidRPr="00164238" w:rsidRDefault="00741745" w:rsidP="00682CBF">
            <w:pPr>
              <w:jc w:val="center"/>
              <w:rPr>
                <w:rFonts w:ascii="Times New Roman" w:hAnsi="Times New Roman" w:cs="Times New Roman"/>
                <w:color w:val="000000" w:themeColor="text1"/>
                <w:sz w:val="18"/>
                <w:szCs w:val="18"/>
                <w:shd w:val="clear" w:color="auto" w:fill="FFFFFF"/>
                <w:lang w:val="en-US"/>
              </w:rPr>
            </w:pPr>
            <w:r w:rsidRPr="00164238">
              <w:rPr>
                <w:rFonts w:ascii="Times New Roman" w:hAnsi="Times New Roman" w:cs="Times New Roman"/>
                <w:color w:val="000000" w:themeColor="text1"/>
                <w:sz w:val="18"/>
                <w:szCs w:val="18"/>
                <w:shd w:val="clear" w:color="auto" w:fill="FFFFFF"/>
                <w:lang w:val="en-US"/>
              </w:rPr>
              <w:t>-</w:t>
            </w:r>
          </w:p>
        </w:tc>
        <w:tc>
          <w:tcPr>
            <w:tcW w:w="1276" w:type="dxa"/>
            <w:tcBorders>
              <w:top w:val="nil"/>
              <w:left w:val="nil"/>
              <w:bottom w:val="nil"/>
              <w:right w:val="nil"/>
            </w:tcBorders>
            <w:hideMark/>
          </w:tcPr>
          <w:p w14:paraId="1E6638B3" w14:textId="77777777" w:rsidR="00741745" w:rsidRPr="00164238" w:rsidRDefault="00741745" w:rsidP="00682CBF">
            <w:pPr>
              <w:jc w:val="center"/>
              <w:rPr>
                <w:rFonts w:ascii="Times New Roman" w:hAnsi="Times New Roman" w:cs="Times New Roman"/>
                <w:color w:val="000000" w:themeColor="text1"/>
                <w:sz w:val="18"/>
                <w:szCs w:val="18"/>
                <w:shd w:val="clear" w:color="auto" w:fill="FFFFFF"/>
                <w:lang w:val="en-US"/>
              </w:rPr>
            </w:pPr>
            <w:r w:rsidRPr="00164238">
              <w:rPr>
                <w:rFonts w:ascii="Times New Roman" w:hAnsi="Times New Roman" w:cs="Times New Roman"/>
                <w:color w:val="000000" w:themeColor="text1"/>
                <w:sz w:val="18"/>
                <w:szCs w:val="18"/>
                <w:shd w:val="clear" w:color="auto" w:fill="FFFFFF"/>
                <w:lang w:val="en-US"/>
              </w:rPr>
              <w:t>-</w:t>
            </w:r>
          </w:p>
        </w:tc>
        <w:tc>
          <w:tcPr>
            <w:tcW w:w="1276" w:type="dxa"/>
            <w:tcBorders>
              <w:top w:val="nil"/>
              <w:left w:val="nil"/>
              <w:bottom w:val="nil"/>
              <w:right w:val="nil"/>
            </w:tcBorders>
            <w:hideMark/>
          </w:tcPr>
          <w:p w14:paraId="5299F0C9" w14:textId="77777777" w:rsidR="00741745" w:rsidRPr="00164238" w:rsidRDefault="00741745" w:rsidP="00682CBF">
            <w:pPr>
              <w:jc w:val="center"/>
              <w:rPr>
                <w:rFonts w:ascii="Times New Roman" w:hAnsi="Times New Roman" w:cs="Times New Roman"/>
                <w:color w:val="000000" w:themeColor="text1"/>
                <w:sz w:val="18"/>
                <w:szCs w:val="18"/>
                <w:shd w:val="clear" w:color="auto" w:fill="FFFFFF"/>
                <w:lang w:val="en-US"/>
              </w:rPr>
            </w:pPr>
            <w:r w:rsidRPr="00164238">
              <w:rPr>
                <w:rFonts w:ascii="Times New Roman" w:hAnsi="Times New Roman" w:cs="Times New Roman"/>
                <w:color w:val="000000" w:themeColor="text1"/>
                <w:sz w:val="18"/>
                <w:szCs w:val="18"/>
                <w:shd w:val="clear" w:color="auto" w:fill="FFFFFF"/>
                <w:lang w:val="en-US"/>
              </w:rPr>
              <w:t>3.34</w:t>
            </w:r>
          </w:p>
        </w:tc>
        <w:tc>
          <w:tcPr>
            <w:tcW w:w="1276" w:type="dxa"/>
            <w:tcBorders>
              <w:top w:val="nil"/>
              <w:left w:val="nil"/>
              <w:bottom w:val="nil"/>
              <w:right w:val="nil"/>
            </w:tcBorders>
            <w:hideMark/>
          </w:tcPr>
          <w:p w14:paraId="76B72CFA" w14:textId="77777777" w:rsidR="00741745" w:rsidRPr="00164238" w:rsidRDefault="00741745" w:rsidP="00682CBF">
            <w:pPr>
              <w:jc w:val="center"/>
              <w:rPr>
                <w:rFonts w:ascii="Times New Roman" w:hAnsi="Times New Roman" w:cs="Times New Roman"/>
                <w:color w:val="000000" w:themeColor="text1"/>
                <w:sz w:val="18"/>
                <w:szCs w:val="18"/>
                <w:shd w:val="clear" w:color="auto" w:fill="FFFFFF"/>
                <w:lang w:val="en-US"/>
              </w:rPr>
            </w:pPr>
            <w:r w:rsidRPr="00164238">
              <w:rPr>
                <w:rFonts w:ascii="Times New Roman" w:hAnsi="Times New Roman" w:cs="Times New Roman"/>
                <w:color w:val="000000" w:themeColor="text1"/>
                <w:sz w:val="18"/>
                <w:szCs w:val="18"/>
                <w:shd w:val="clear" w:color="auto" w:fill="FFFFFF"/>
                <w:lang w:val="en-US"/>
              </w:rPr>
              <w:t>2.99</w:t>
            </w:r>
          </w:p>
        </w:tc>
      </w:tr>
      <w:tr w:rsidR="00741745" w:rsidRPr="00164238" w14:paraId="35F7AC80" w14:textId="77777777" w:rsidTr="00682CBF">
        <w:tc>
          <w:tcPr>
            <w:tcW w:w="3794" w:type="dxa"/>
            <w:tcBorders>
              <w:top w:val="nil"/>
              <w:left w:val="nil"/>
              <w:bottom w:val="single" w:sz="4" w:space="0" w:color="auto"/>
              <w:right w:val="nil"/>
            </w:tcBorders>
            <w:hideMark/>
          </w:tcPr>
          <w:p w14:paraId="3E12CDAC" w14:textId="77777777" w:rsidR="00741745" w:rsidRPr="00164238" w:rsidRDefault="00741745" w:rsidP="00682CBF">
            <w:pPr>
              <w:rPr>
                <w:rFonts w:ascii="Times New Roman" w:hAnsi="Times New Roman" w:cs="Times New Roman"/>
                <w:color w:val="000000" w:themeColor="text1"/>
                <w:lang w:val="en-US"/>
              </w:rPr>
            </w:pPr>
            <w:r w:rsidRPr="00164238">
              <w:rPr>
                <w:rFonts w:ascii="Times New Roman" w:hAnsi="Times New Roman" w:cs="Times New Roman"/>
                <w:color w:val="000000" w:themeColor="text1"/>
                <w:sz w:val="18"/>
                <w:szCs w:val="18"/>
                <w:shd w:val="clear" w:color="auto" w:fill="FFFFFF"/>
                <w:lang w:val="en-US"/>
              </w:rPr>
              <w:t>Standard Deviation</w:t>
            </w:r>
          </w:p>
        </w:tc>
        <w:tc>
          <w:tcPr>
            <w:tcW w:w="1417" w:type="dxa"/>
            <w:tcBorders>
              <w:top w:val="nil"/>
              <w:left w:val="nil"/>
              <w:bottom w:val="single" w:sz="4" w:space="0" w:color="auto"/>
              <w:right w:val="nil"/>
            </w:tcBorders>
            <w:hideMark/>
          </w:tcPr>
          <w:p w14:paraId="726902FE" w14:textId="77777777" w:rsidR="00741745" w:rsidRPr="00164238" w:rsidRDefault="00741745" w:rsidP="00682CBF">
            <w:pPr>
              <w:jc w:val="center"/>
              <w:rPr>
                <w:rFonts w:ascii="Times New Roman" w:hAnsi="Times New Roman" w:cs="Times New Roman"/>
                <w:color w:val="000000" w:themeColor="text1"/>
                <w:sz w:val="18"/>
                <w:szCs w:val="18"/>
                <w:shd w:val="clear" w:color="auto" w:fill="FFFFFF"/>
                <w:lang w:val="en-US"/>
              </w:rPr>
            </w:pPr>
            <w:r w:rsidRPr="00164238">
              <w:rPr>
                <w:rFonts w:ascii="Times New Roman" w:hAnsi="Times New Roman" w:cs="Times New Roman"/>
                <w:color w:val="000000" w:themeColor="text1"/>
                <w:sz w:val="18"/>
                <w:szCs w:val="18"/>
                <w:shd w:val="clear" w:color="auto" w:fill="FFFFFF"/>
                <w:lang w:val="en-US"/>
              </w:rPr>
              <w:t>-</w:t>
            </w:r>
          </w:p>
        </w:tc>
        <w:tc>
          <w:tcPr>
            <w:tcW w:w="1276" w:type="dxa"/>
            <w:tcBorders>
              <w:top w:val="nil"/>
              <w:left w:val="nil"/>
              <w:bottom w:val="single" w:sz="4" w:space="0" w:color="auto"/>
              <w:right w:val="nil"/>
            </w:tcBorders>
            <w:hideMark/>
          </w:tcPr>
          <w:p w14:paraId="41A4BD5D" w14:textId="77777777" w:rsidR="00741745" w:rsidRPr="00164238" w:rsidRDefault="00741745" w:rsidP="00682CBF">
            <w:pPr>
              <w:jc w:val="center"/>
              <w:rPr>
                <w:rFonts w:ascii="Times New Roman" w:hAnsi="Times New Roman" w:cs="Times New Roman"/>
                <w:color w:val="000000" w:themeColor="text1"/>
                <w:sz w:val="18"/>
                <w:szCs w:val="18"/>
                <w:shd w:val="clear" w:color="auto" w:fill="FFFFFF"/>
                <w:lang w:val="en-US"/>
              </w:rPr>
            </w:pPr>
            <w:r w:rsidRPr="00164238">
              <w:rPr>
                <w:rFonts w:ascii="Times New Roman" w:hAnsi="Times New Roman" w:cs="Times New Roman"/>
                <w:color w:val="000000" w:themeColor="text1"/>
                <w:sz w:val="18"/>
                <w:szCs w:val="18"/>
                <w:shd w:val="clear" w:color="auto" w:fill="FFFFFF"/>
                <w:lang w:val="en-US"/>
              </w:rPr>
              <w:t>-</w:t>
            </w:r>
          </w:p>
        </w:tc>
        <w:tc>
          <w:tcPr>
            <w:tcW w:w="1276" w:type="dxa"/>
            <w:tcBorders>
              <w:top w:val="nil"/>
              <w:left w:val="nil"/>
              <w:bottom w:val="single" w:sz="4" w:space="0" w:color="auto"/>
              <w:right w:val="nil"/>
            </w:tcBorders>
            <w:hideMark/>
          </w:tcPr>
          <w:p w14:paraId="6801729F" w14:textId="77777777" w:rsidR="00741745" w:rsidRPr="00164238" w:rsidRDefault="00741745" w:rsidP="00682CBF">
            <w:pPr>
              <w:jc w:val="center"/>
              <w:rPr>
                <w:rFonts w:ascii="Times New Roman" w:hAnsi="Times New Roman" w:cs="Times New Roman"/>
                <w:color w:val="000000" w:themeColor="text1"/>
                <w:sz w:val="18"/>
                <w:szCs w:val="18"/>
                <w:shd w:val="clear" w:color="auto" w:fill="FFFFFF"/>
                <w:lang w:val="en-US"/>
              </w:rPr>
            </w:pPr>
            <w:r w:rsidRPr="00164238">
              <w:rPr>
                <w:rFonts w:ascii="Times New Roman" w:hAnsi="Times New Roman" w:cs="Times New Roman"/>
                <w:color w:val="000000" w:themeColor="text1"/>
                <w:sz w:val="18"/>
                <w:szCs w:val="18"/>
                <w:shd w:val="clear" w:color="auto" w:fill="FFFFFF"/>
                <w:lang w:val="en-US"/>
              </w:rPr>
              <w:t>1.02</w:t>
            </w:r>
          </w:p>
        </w:tc>
        <w:tc>
          <w:tcPr>
            <w:tcW w:w="1276" w:type="dxa"/>
            <w:tcBorders>
              <w:top w:val="nil"/>
              <w:left w:val="nil"/>
              <w:bottom w:val="single" w:sz="4" w:space="0" w:color="auto"/>
              <w:right w:val="nil"/>
            </w:tcBorders>
            <w:hideMark/>
          </w:tcPr>
          <w:p w14:paraId="1A9735CD" w14:textId="77777777" w:rsidR="00741745" w:rsidRPr="00164238" w:rsidRDefault="00741745" w:rsidP="00682CBF">
            <w:pPr>
              <w:jc w:val="center"/>
              <w:rPr>
                <w:rFonts w:ascii="Times New Roman" w:hAnsi="Times New Roman" w:cs="Times New Roman"/>
                <w:color w:val="000000" w:themeColor="text1"/>
                <w:sz w:val="18"/>
                <w:szCs w:val="18"/>
                <w:shd w:val="clear" w:color="auto" w:fill="FFFFFF"/>
                <w:lang w:val="en-US"/>
              </w:rPr>
            </w:pPr>
            <w:r w:rsidRPr="00164238">
              <w:rPr>
                <w:rFonts w:ascii="Times New Roman" w:hAnsi="Times New Roman" w:cs="Times New Roman"/>
                <w:color w:val="000000" w:themeColor="text1"/>
                <w:sz w:val="18"/>
                <w:szCs w:val="18"/>
                <w:shd w:val="clear" w:color="auto" w:fill="FFFFFF"/>
                <w:lang w:val="en-US"/>
              </w:rPr>
              <w:t>1.02</w:t>
            </w:r>
          </w:p>
        </w:tc>
      </w:tr>
    </w:tbl>
    <w:p w14:paraId="79A178B9" w14:textId="77777777" w:rsidR="00741745" w:rsidRPr="00164238" w:rsidRDefault="00741745" w:rsidP="00741745">
      <w:pPr>
        <w:jc w:val="both"/>
        <w:rPr>
          <w:rFonts w:ascii="Times New Roman" w:hAnsi="Times New Roman" w:cs="Times New Roman"/>
          <w:color w:val="000000" w:themeColor="text1"/>
          <w:sz w:val="20"/>
          <w:szCs w:val="20"/>
          <w:lang w:val="en-US"/>
        </w:rPr>
      </w:pPr>
      <w:r w:rsidRPr="00164238">
        <w:rPr>
          <w:rFonts w:ascii="Times New Roman" w:hAnsi="Times New Roman" w:cs="Times New Roman"/>
          <w:noProof/>
          <w:color w:val="000000" w:themeColor="text1"/>
          <w:sz w:val="20"/>
          <w:szCs w:val="20"/>
        </w:rPr>
        <w:t>Notes:</w:t>
      </w:r>
      <w:r w:rsidRPr="00164238">
        <w:rPr>
          <w:rFonts w:ascii="Times New Roman" w:hAnsi="Times New Roman" w:cs="Times New Roman"/>
          <w:color w:val="000000" w:themeColor="text1"/>
          <w:sz w:val="20"/>
          <w:szCs w:val="20"/>
          <w:lang w:val="en-US"/>
        </w:rPr>
        <w:t xml:space="preserve"> **p&lt;.01; Values in brackets are Cronbach Alpha reliability coefficients.</w:t>
      </w:r>
    </w:p>
    <w:p w14:paraId="42A14353" w14:textId="77777777" w:rsidR="00741745" w:rsidRPr="00164238" w:rsidRDefault="00741745" w:rsidP="00741745">
      <w:pPr>
        <w:spacing w:before="120"/>
        <w:ind w:firstLine="708"/>
        <w:jc w:val="both"/>
        <w:rPr>
          <w:rFonts w:ascii="Times New Roman" w:hAnsi="Times New Roman" w:cs="Times New Roman"/>
          <w:color w:val="000000" w:themeColor="text1"/>
          <w:shd w:val="clear" w:color="auto" w:fill="FFFFFF"/>
          <w:lang w:val="en-US"/>
        </w:rPr>
      </w:pPr>
      <w:r w:rsidRPr="00164238">
        <w:rPr>
          <w:rFonts w:ascii="Times New Roman" w:hAnsi="Times New Roman" w:cs="Times New Roman"/>
          <w:color w:val="000000" w:themeColor="text1"/>
          <w:shd w:val="clear" w:color="auto" w:fill="FFFFFF"/>
          <w:lang w:val="en-US"/>
        </w:rPr>
        <w:t>As seen in Table 2, all scales are reliable as</w:t>
      </w:r>
      <w:r w:rsidRPr="00164238">
        <w:rPr>
          <w:rFonts w:ascii="Times New Roman" w:hAnsi="Times New Roman" w:cs="Times New Roman"/>
          <w:color w:val="000000" w:themeColor="text1"/>
          <w:lang w:val="en-US"/>
        </w:rPr>
        <w:t xml:space="preserve"> Cronbach Alpha coefficients are higher than .70 (Hair et al., 2010).</w:t>
      </w:r>
      <w:r w:rsidRPr="00164238">
        <w:rPr>
          <w:rFonts w:ascii="Times New Roman" w:hAnsi="Times New Roman" w:cs="Times New Roman"/>
          <w:color w:val="000000" w:themeColor="text1"/>
          <w:shd w:val="clear" w:color="auto" w:fill="FFFFFF"/>
          <w:lang w:val="en-US"/>
        </w:rPr>
        <w:t xml:space="preserve"> Also, significant relationships were not revealed between gender and the unit they take office at, and the variables in the research model. However, a significant and positive relationship was revealed between </w:t>
      </w:r>
      <w:r w:rsidRPr="00164238">
        <w:rPr>
          <w:rFonts w:ascii="Times New Roman" w:hAnsi="Times New Roman" w:cs="Times New Roman"/>
          <w:color w:val="000000" w:themeColor="text1"/>
          <w:lang w:val="en-US"/>
        </w:rPr>
        <w:t>supervisors’ virtual technology competence and their leadership effectiveness</w:t>
      </w:r>
      <w:r w:rsidRPr="00164238">
        <w:rPr>
          <w:rFonts w:ascii="Times New Roman" w:hAnsi="Times New Roman" w:cs="Times New Roman"/>
          <w:color w:val="000000" w:themeColor="text1"/>
          <w:shd w:val="clear" w:color="auto" w:fill="FFFFFF"/>
          <w:lang w:val="en-US"/>
        </w:rPr>
        <w:t xml:space="preserve"> (r= .34, p&lt;.01).</w:t>
      </w:r>
    </w:p>
    <w:p w14:paraId="3FA09334" w14:textId="77777777" w:rsidR="00741745" w:rsidRPr="00164238" w:rsidRDefault="00741745" w:rsidP="00741745">
      <w:pPr>
        <w:spacing w:before="120"/>
        <w:ind w:firstLine="708"/>
        <w:jc w:val="both"/>
        <w:rPr>
          <w:rFonts w:ascii="Times New Roman" w:hAnsi="Times New Roman" w:cs="Times New Roman"/>
          <w:color w:val="000000" w:themeColor="text1"/>
          <w:shd w:val="clear" w:color="auto" w:fill="FFFFFF"/>
          <w:lang w:val="en-US"/>
        </w:rPr>
      </w:pPr>
      <w:r w:rsidRPr="00164238">
        <w:rPr>
          <w:rFonts w:ascii="Times New Roman" w:hAnsi="Times New Roman" w:cs="Times New Roman"/>
          <w:color w:val="000000" w:themeColor="text1"/>
          <w:lang w:val="en-US"/>
        </w:rPr>
        <w:t>Cohen (1988) considers correlation value between two variables as very weak if it is below .10, as weak if it is .10 and above but below .30, as medium if it is .30 and above but below .50, and as high if it is .50 and above.</w:t>
      </w:r>
      <w:r w:rsidRPr="00164238">
        <w:rPr>
          <w:rFonts w:ascii="Times New Roman" w:hAnsi="Times New Roman" w:cs="Times New Roman"/>
          <w:color w:val="000000" w:themeColor="text1"/>
        </w:rPr>
        <w:t xml:space="preserve"> </w:t>
      </w:r>
      <w:r w:rsidRPr="00164238">
        <w:rPr>
          <w:rFonts w:ascii="Times New Roman" w:hAnsi="Times New Roman" w:cs="Times New Roman"/>
          <w:snapToGrid w:val="0"/>
          <w:color w:val="000000" w:themeColor="text1"/>
          <w:lang w:val="en-US"/>
        </w:rPr>
        <w:t>According to this evaluation, relationship between supervisors’ virtual technology competence and their leadership effectiveness is at a medium-level.</w:t>
      </w:r>
    </w:p>
    <w:p w14:paraId="1C6F715F" w14:textId="733CD5BC" w:rsidR="00741745" w:rsidRPr="00164238" w:rsidRDefault="00741745" w:rsidP="00741745">
      <w:pPr>
        <w:spacing w:before="120"/>
        <w:ind w:firstLine="708"/>
        <w:jc w:val="both"/>
        <w:rPr>
          <w:rFonts w:ascii="Times New Roman" w:eastAsia="Times New Roman" w:hAnsi="Times New Roman" w:cs="Times New Roman"/>
          <w:b/>
          <w:bCs/>
          <w:color w:val="000000" w:themeColor="text1"/>
          <w:shd w:val="clear" w:color="auto" w:fill="FFFFFF"/>
          <w:lang w:val="en-US" w:eastAsia="tr-TR"/>
        </w:rPr>
      </w:pPr>
      <w:r w:rsidRPr="00164238">
        <w:rPr>
          <w:rFonts w:ascii="Times New Roman" w:eastAsia="Times New Roman" w:hAnsi="Times New Roman" w:cs="Times New Roman"/>
          <w:b/>
          <w:bCs/>
          <w:color w:val="000000" w:themeColor="text1"/>
          <w:shd w:val="clear" w:color="auto" w:fill="FFFFFF"/>
          <w:lang w:val="en-US" w:eastAsia="tr-TR"/>
        </w:rPr>
        <w:t>Testing the Research Hypothesis</w:t>
      </w:r>
    </w:p>
    <w:p w14:paraId="7A5D04A0" w14:textId="77777777" w:rsidR="00741745" w:rsidRPr="00164238" w:rsidRDefault="00741745" w:rsidP="00741745">
      <w:pPr>
        <w:spacing w:before="120"/>
        <w:rPr>
          <w:rFonts w:ascii="Times New Roman" w:eastAsia="Times New Roman" w:hAnsi="Times New Roman" w:cs="Times New Roman"/>
          <w:b/>
          <w:bCs/>
          <w:color w:val="000000" w:themeColor="text1"/>
          <w:shd w:val="clear" w:color="auto" w:fill="FFFFFF"/>
          <w:lang w:val="en-US" w:eastAsia="tr-TR"/>
        </w:rPr>
      </w:pPr>
      <w:r w:rsidRPr="00164238">
        <w:rPr>
          <w:rFonts w:ascii="Times New Roman" w:eastAsia="Times New Roman" w:hAnsi="Times New Roman" w:cs="Times New Roman"/>
          <w:b/>
          <w:bCs/>
          <w:color w:val="000000" w:themeColor="text1"/>
          <w:shd w:val="clear" w:color="auto" w:fill="FFFFFF"/>
          <w:lang w:val="en-US" w:eastAsia="tr-TR"/>
        </w:rPr>
        <w:t xml:space="preserve">Table 3                                                                                                                                                                   </w:t>
      </w:r>
      <w:r w:rsidRPr="00164238">
        <w:rPr>
          <w:rFonts w:ascii="Times New Roman" w:hAnsi="Times New Roman" w:cs="Times New Roman"/>
          <w:i/>
          <w:iCs/>
          <w:color w:val="000000" w:themeColor="text1"/>
          <w:shd w:val="clear" w:color="auto" w:fill="FFFFFF"/>
          <w:lang w:val="en-US"/>
        </w:rPr>
        <w:t>Results of Simple Linear Regression Analysis for Prediction of Supervisors’ Leadership Effectiveness by Their Virtual Technology Competence</w:t>
      </w:r>
    </w:p>
    <w:tbl>
      <w:tblPr>
        <w:tblW w:w="0" w:type="auto"/>
        <w:tblBorders>
          <w:top w:val="single" w:sz="4" w:space="0" w:color="auto"/>
          <w:bottom w:val="single" w:sz="4" w:space="0" w:color="auto"/>
        </w:tblBorders>
        <w:tblLayout w:type="fixed"/>
        <w:tblLook w:val="00A0" w:firstRow="1" w:lastRow="0" w:firstColumn="1" w:lastColumn="0" w:noHBand="0" w:noVBand="0"/>
      </w:tblPr>
      <w:tblGrid>
        <w:gridCol w:w="2969"/>
        <w:gridCol w:w="972"/>
        <w:gridCol w:w="1831"/>
        <w:gridCol w:w="666"/>
        <w:gridCol w:w="1105"/>
        <w:gridCol w:w="666"/>
        <w:gridCol w:w="1071"/>
      </w:tblGrid>
      <w:tr w:rsidR="00741745" w:rsidRPr="00164238" w14:paraId="23F6C6CA" w14:textId="77777777" w:rsidTr="00682CBF">
        <w:tc>
          <w:tcPr>
            <w:tcW w:w="2969" w:type="dxa"/>
            <w:tcBorders>
              <w:top w:val="single" w:sz="4" w:space="0" w:color="auto"/>
              <w:left w:val="nil"/>
              <w:bottom w:val="single" w:sz="4" w:space="0" w:color="auto"/>
              <w:right w:val="nil"/>
            </w:tcBorders>
            <w:hideMark/>
          </w:tcPr>
          <w:p w14:paraId="5D877A64" w14:textId="77777777" w:rsidR="00741745" w:rsidRPr="00164238" w:rsidRDefault="00741745" w:rsidP="00682CBF">
            <w:pPr>
              <w:rPr>
                <w:rFonts w:ascii="Times New Roman" w:hAnsi="Times New Roman" w:cs="Times New Roman"/>
                <w:color w:val="000000" w:themeColor="text1"/>
                <w:lang w:val="en-US"/>
              </w:rPr>
            </w:pPr>
            <w:r w:rsidRPr="00164238">
              <w:rPr>
                <w:rFonts w:ascii="Times New Roman" w:hAnsi="Times New Roman" w:cs="Times New Roman"/>
                <w:b/>
                <w:bCs/>
                <w:noProof/>
                <w:color w:val="000000" w:themeColor="text1"/>
                <w:sz w:val="20"/>
                <w:szCs w:val="20"/>
                <w:lang w:val="en-US"/>
              </w:rPr>
              <w:t>Variable</w:t>
            </w:r>
          </w:p>
        </w:tc>
        <w:tc>
          <w:tcPr>
            <w:tcW w:w="972" w:type="dxa"/>
            <w:tcBorders>
              <w:top w:val="single" w:sz="4" w:space="0" w:color="auto"/>
              <w:left w:val="nil"/>
              <w:bottom w:val="single" w:sz="4" w:space="0" w:color="auto"/>
              <w:right w:val="nil"/>
            </w:tcBorders>
            <w:hideMark/>
          </w:tcPr>
          <w:p w14:paraId="316F295E" w14:textId="77777777" w:rsidR="00741745" w:rsidRPr="00164238" w:rsidRDefault="00741745" w:rsidP="00682CBF">
            <w:pPr>
              <w:jc w:val="center"/>
              <w:rPr>
                <w:rFonts w:ascii="Times New Roman" w:hAnsi="Times New Roman" w:cs="Times New Roman"/>
                <w:b/>
                <w:bCs/>
                <w:color w:val="000000" w:themeColor="text1"/>
                <w:sz w:val="20"/>
                <w:szCs w:val="20"/>
                <w:lang w:val="en-US"/>
              </w:rPr>
            </w:pPr>
            <w:r w:rsidRPr="00164238">
              <w:rPr>
                <w:rFonts w:ascii="Times New Roman" w:hAnsi="Times New Roman" w:cs="Times New Roman"/>
                <w:b/>
                <w:bCs/>
                <w:noProof/>
                <w:color w:val="000000" w:themeColor="text1"/>
                <w:sz w:val="20"/>
                <w:szCs w:val="20"/>
                <w:lang w:val="en-US"/>
              </w:rPr>
              <w:t>B</w:t>
            </w:r>
          </w:p>
        </w:tc>
        <w:tc>
          <w:tcPr>
            <w:tcW w:w="1831" w:type="dxa"/>
            <w:tcBorders>
              <w:top w:val="single" w:sz="4" w:space="0" w:color="auto"/>
              <w:left w:val="nil"/>
              <w:bottom w:val="single" w:sz="4" w:space="0" w:color="auto"/>
              <w:right w:val="nil"/>
            </w:tcBorders>
            <w:hideMark/>
          </w:tcPr>
          <w:p w14:paraId="1092C93A" w14:textId="77777777" w:rsidR="00741745" w:rsidRPr="00164238" w:rsidRDefault="00741745" w:rsidP="00682CBF">
            <w:pPr>
              <w:jc w:val="center"/>
              <w:rPr>
                <w:rFonts w:ascii="Times New Roman" w:hAnsi="Times New Roman" w:cs="Times New Roman"/>
                <w:b/>
                <w:bCs/>
                <w:color w:val="000000" w:themeColor="text1"/>
                <w:sz w:val="20"/>
                <w:szCs w:val="20"/>
                <w:vertAlign w:val="subscript"/>
                <w:lang w:val="en-US"/>
              </w:rPr>
            </w:pPr>
            <w:r w:rsidRPr="00164238">
              <w:rPr>
                <w:rFonts w:ascii="Times New Roman" w:hAnsi="Times New Roman" w:cs="Times New Roman"/>
                <w:b/>
                <w:bCs/>
                <w:noProof/>
                <w:color w:val="000000" w:themeColor="text1"/>
                <w:sz w:val="20"/>
                <w:szCs w:val="20"/>
                <w:lang w:val="en-US"/>
              </w:rPr>
              <w:t>Standard  Error</w:t>
            </w:r>
            <w:r w:rsidRPr="00164238">
              <w:rPr>
                <w:rFonts w:ascii="Times New Roman" w:hAnsi="Times New Roman" w:cs="Times New Roman"/>
                <w:b/>
                <w:bCs/>
                <w:noProof/>
                <w:color w:val="000000" w:themeColor="text1"/>
                <w:sz w:val="18"/>
                <w:szCs w:val="18"/>
                <w:lang w:val="en-US"/>
              </w:rPr>
              <w:t xml:space="preserve"> </w:t>
            </w:r>
            <w:r w:rsidRPr="00164238">
              <w:rPr>
                <w:rFonts w:ascii="Times New Roman" w:hAnsi="Times New Roman" w:cs="Times New Roman"/>
                <w:b/>
                <w:bCs/>
                <w:noProof/>
                <w:color w:val="000000" w:themeColor="text1"/>
                <w:sz w:val="18"/>
                <w:szCs w:val="18"/>
                <w:vertAlign w:val="subscript"/>
                <w:lang w:val="en-US"/>
              </w:rPr>
              <w:t>B</w:t>
            </w:r>
          </w:p>
        </w:tc>
        <w:tc>
          <w:tcPr>
            <w:tcW w:w="666" w:type="dxa"/>
            <w:tcBorders>
              <w:top w:val="single" w:sz="4" w:space="0" w:color="auto"/>
              <w:left w:val="nil"/>
              <w:bottom w:val="single" w:sz="4" w:space="0" w:color="auto"/>
              <w:right w:val="nil"/>
            </w:tcBorders>
            <w:hideMark/>
          </w:tcPr>
          <w:p w14:paraId="6A3E73E2" w14:textId="77777777" w:rsidR="00741745" w:rsidRPr="00164238" w:rsidRDefault="00741745" w:rsidP="00682CBF">
            <w:pPr>
              <w:jc w:val="center"/>
              <w:rPr>
                <w:rFonts w:ascii="Times New Roman" w:hAnsi="Times New Roman" w:cs="Times New Roman"/>
                <w:b/>
                <w:bCs/>
                <w:color w:val="000000" w:themeColor="text1"/>
                <w:sz w:val="20"/>
                <w:szCs w:val="20"/>
                <w:lang w:val="en-US"/>
              </w:rPr>
            </w:pPr>
            <w:r w:rsidRPr="00164238">
              <w:rPr>
                <w:rFonts w:ascii="Times New Roman" w:hAnsi="Times New Roman" w:cs="Times New Roman"/>
                <w:b/>
                <w:bCs/>
                <w:noProof/>
                <w:color w:val="000000" w:themeColor="text1"/>
                <w:sz w:val="20"/>
                <w:szCs w:val="20"/>
                <w:lang w:val="en-US"/>
              </w:rPr>
              <w:t>β</w:t>
            </w:r>
          </w:p>
        </w:tc>
        <w:tc>
          <w:tcPr>
            <w:tcW w:w="1105" w:type="dxa"/>
            <w:tcBorders>
              <w:top w:val="single" w:sz="4" w:space="0" w:color="auto"/>
              <w:left w:val="nil"/>
              <w:bottom w:val="single" w:sz="4" w:space="0" w:color="auto"/>
              <w:right w:val="nil"/>
            </w:tcBorders>
            <w:hideMark/>
          </w:tcPr>
          <w:p w14:paraId="78F09FAE" w14:textId="77777777" w:rsidR="00741745" w:rsidRPr="00164238" w:rsidRDefault="00741745" w:rsidP="00682CBF">
            <w:pPr>
              <w:jc w:val="center"/>
              <w:rPr>
                <w:rFonts w:ascii="Times New Roman" w:hAnsi="Times New Roman" w:cs="Times New Roman"/>
                <w:b/>
                <w:bCs/>
                <w:color w:val="000000" w:themeColor="text1"/>
                <w:sz w:val="20"/>
                <w:szCs w:val="20"/>
                <w:lang w:val="en-US"/>
              </w:rPr>
            </w:pPr>
            <w:r w:rsidRPr="00164238">
              <w:rPr>
                <w:rFonts w:ascii="Times New Roman" w:hAnsi="Times New Roman" w:cs="Times New Roman"/>
                <w:b/>
                <w:bCs/>
                <w:noProof/>
                <w:color w:val="000000" w:themeColor="text1"/>
                <w:sz w:val="20"/>
                <w:szCs w:val="20"/>
                <w:lang w:val="en-US"/>
              </w:rPr>
              <w:t>T</w:t>
            </w:r>
          </w:p>
        </w:tc>
        <w:tc>
          <w:tcPr>
            <w:tcW w:w="666" w:type="dxa"/>
            <w:tcBorders>
              <w:top w:val="single" w:sz="4" w:space="0" w:color="auto"/>
              <w:left w:val="nil"/>
              <w:bottom w:val="single" w:sz="4" w:space="0" w:color="auto"/>
              <w:right w:val="nil"/>
            </w:tcBorders>
            <w:hideMark/>
          </w:tcPr>
          <w:p w14:paraId="422ADCB5" w14:textId="77777777" w:rsidR="00741745" w:rsidRPr="00164238" w:rsidRDefault="00741745" w:rsidP="00682CBF">
            <w:pPr>
              <w:jc w:val="center"/>
              <w:rPr>
                <w:rFonts w:ascii="Times New Roman" w:hAnsi="Times New Roman" w:cs="Times New Roman"/>
                <w:b/>
                <w:bCs/>
                <w:color w:val="000000" w:themeColor="text1"/>
                <w:sz w:val="20"/>
                <w:szCs w:val="20"/>
                <w:lang w:val="en-US"/>
              </w:rPr>
            </w:pPr>
            <w:r w:rsidRPr="00164238">
              <w:rPr>
                <w:rFonts w:ascii="Times New Roman" w:hAnsi="Times New Roman" w:cs="Times New Roman"/>
                <w:b/>
                <w:bCs/>
                <w:noProof/>
                <w:color w:val="000000" w:themeColor="text1"/>
                <w:sz w:val="20"/>
                <w:szCs w:val="20"/>
                <w:lang w:val="en-US"/>
              </w:rPr>
              <w:t>P</w:t>
            </w:r>
          </w:p>
        </w:tc>
        <w:tc>
          <w:tcPr>
            <w:tcW w:w="1071" w:type="dxa"/>
            <w:tcBorders>
              <w:top w:val="single" w:sz="4" w:space="0" w:color="auto"/>
              <w:left w:val="nil"/>
              <w:bottom w:val="single" w:sz="4" w:space="0" w:color="auto"/>
              <w:right w:val="nil"/>
            </w:tcBorders>
            <w:hideMark/>
          </w:tcPr>
          <w:p w14:paraId="0161E765" w14:textId="77777777" w:rsidR="00741745" w:rsidRPr="00164238" w:rsidRDefault="00741745" w:rsidP="00682CBF">
            <w:pPr>
              <w:jc w:val="center"/>
              <w:rPr>
                <w:rFonts w:ascii="Times New Roman" w:hAnsi="Times New Roman" w:cs="Times New Roman"/>
                <w:b/>
                <w:bCs/>
                <w:color w:val="000000" w:themeColor="text1"/>
                <w:sz w:val="20"/>
                <w:szCs w:val="20"/>
                <w:lang w:val="en-US"/>
              </w:rPr>
            </w:pPr>
            <w:r w:rsidRPr="00164238">
              <w:rPr>
                <w:rFonts w:ascii="Times New Roman" w:hAnsi="Times New Roman" w:cs="Times New Roman"/>
                <w:b/>
                <w:bCs/>
                <w:noProof/>
                <w:color w:val="000000" w:themeColor="text1"/>
                <w:sz w:val="20"/>
                <w:szCs w:val="20"/>
                <w:lang w:val="en-US"/>
              </w:rPr>
              <w:t>Binary r</w:t>
            </w:r>
          </w:p>
        </w:tc>
      </w:tr>
      <w:tr w:rsidR="00741745" w:rsidRPr="00164238" w14:paraId="681EF18F" w14:textId="77777777" w:rsidTr="00682CBF">
        <w:tc>
          <w:tcPr>
            <w:tcW w:w="2969" w:type="dxa"/>
            <w:tcBorders>
              <w:top w:val="single" w:sz="4" w:space="0" w:color="auto"/>
              <w:left w:val="nil"/>
              <w:bottom w:val="nil"/>
              <w:right w:val="nil"/>
            </w:tcBorders>
            <w:hideMark/>
          </w:tcPr>
          <w:p w14:paraId="4D34F698" w14:textId="77777777" w:rsidR="00741745" w:rsidRPr="00164238" w:rsidRDefault="00741745" w:rsidP="00682CBF">
            <w:pPr>
              <w:rPr>
                <w:rFonts w:ascii="Times New Roman" w:hAnsi="Times New Roman" w:cs="Times New Roman"/>
                <w:color w:val="000000" w:themeColor="text1"/>
                <w:sz w:val="20"/>
                <w:szCs w:val="20"/>
                <w:lang w:val="en-US"/>
              </w:rPr>
            </w:pPr>
            <w:r w:rsidRPr="00164238">
              <w:rPr>
                <w:rFonts w:ascii="Times New Roman" w:hAnsi="Times New Roman" w:cs="Times New Roman"/>
                <w:noProof/>
                <w:color w:val="000000" w:themeColor="text1"/>
                <w:sz w:val="20"/>
                <w:szCs w:val="20"/>
                <w:lang w:val="en-US"/>
              </w:rPr>
              <w:t>Constant</w:t>
            </w:r>
          </w:p>
        </w:tc>
        <w:tc>
          <w:tcPr>
            <w:tcW w:w="972" w:type="dxa"/>
            <w:tcBorders>
              <w:top w:val="single" w:sz="4" w:space="0" w:color="auto"/>
              <w:left w:val="nil"/>
              <w:bottom w:val="nil"/>
              <w:right w:val="nil"/>
            </w:tcBorders>
            <w:hideMark/>
          </w:tcPr>
          <w:p w14:paraId="03E507F1" w14:textId="77777777" w:rsidR="00741745" w:rsidRPr="00164238" w:rsidRDefault="00741745" w:rsidP="00682CBF">
            <w:pPr>
              <w:jc w:val="center"/>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1.831</w:t>
            </w:r>
          </w:p>
        </w:tc>
        <w:tc>
          <w:tcPr>
            <w:tcW w:w="1831" w:type="dxa"/>
            <w:tcBorders>
              <w:top w:val="single" w:sz="4" w:space="0" w:color="auto"/>
              <w:left w:val="nil"/>
              <w:bottom w:val="nil"/>
              <w:right w:val="nil"/>
            </w:tcBorders>
            <w:hideMark/>
          </w:tcPr>
          <w:p w14:paraId="046E54C3" w14:textId="77777777" w:rsidR="00741745" w:rsidRPr="00164238" w:rsidRDefault="00741745" w:rsidP="00682CBF">
            <w:pPr>
              <w:jc w:val="center"/>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0.229</w:t>
            </w:r>
          </w:p>
        </w:tc>
        <w:tc>
          <w:tcPr>
            <w:tcW w:w="666" w:type="dxa"/>
            <w:tcBorders>
              <w:top w:val="single" w:sz="4" w:space="0" w:color="auto"/>
              <w:left w:val="nil"/>
              <w:bottom w:val="nil"/>
              <w:right w:val="nil"/>
            </w:tcBorders>
            <w:hideMark/>
          </w:tcPr>
          <w:p w14:paraId="17B676C3" w14:textId="77777777" w:rsidR="00741745" w:rsidRPr="00164238" w:rsidRDefault="00741745" w:rsidP="00682CBF">
            <w:pPr>
              <w:jc w:val="center"/>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w:t>
            </w:r>
          </w:p>
        </w:tc>
        <w:tc>
          <w:tcPr>
            <w:tcW w:w="1105" w:type="dxa"/>
            <w:tcBorders>
              <w:top w:val="single" w:sz="4" w:space="0" w:color="auto"/>
              <w:left w:val="nil"/>
              <w:bottom w:val="nil"/>
              <w:right w:val="nil"/>
            </w:tcBorders>
            <w:hideMark/>
          </w:tcPr>
          <w:p w14:paraId="4DF6D9FA" w14:textId="77777777" w:rsidR="00741745" w:rsidRPr="00164238" w:rsidRDefault="00741745" w:rsidP="00682CBF">
            <w:pPr>
              <w:jc w:val="center"/>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8.001</w:t>
            </w:r>
          </w:p>
        </w:tc>
        <w:tc>
          <w:tcPr>
            <w:tcW w:w="666" w:type="dxa"/>
            <w:tcBorders>
              <w:top w:val="single" w:sz="4" w:space="0" w:color="auto"/>
              <w:left w:val="nil"/>
              <w:bottom w:val="nil"/>
              <w:right w:val="nil"/>
            </w:tcBorders>
            <w:hideMark/>
          </w:tcPr>
          <w:p w14:paraId="12151C12" w14:textId="77777777" w:rsidR="00741745" w:rsidRPr="00164238" w:rsidRDefault="00741745" w:rsidP="00682CBF">
            <w:pPr>
              <w:jc w:val="center"/>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0.000</w:t>
            </w:r>
          </w:p>
        </w:tc>
        <w:tc>
          <w:tcPr>
            <w:tcW w:w="1071" w:type="dxa"/>
            <w:tcBorders>
              <w:top w:val="single" w:sz="4" w:space="0" w:color="auto"/>
              <w:left w:val="nil"/>
              <w:bottom w:val="nil"/>
              <w:right w:val="nil"/>
            </w:tcBorders>
            <w:hideMark/>
          </w:tcPr>
          <w:p w14:paraId="4EE2A69F" w14:textId="77777777" w:rsidR="00741745" w:rsidRPr="00164238" w:rsidRDefault="00741745" w:rsidP="00682CBF">
            <w:pPr>
              <w:jc w:val="center"/>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w:t>
            </w:r>
          </w:p>
        </w:tc>
      </w:tr>
      <w:tr w:rsidR="00741745" w:rsidRPr="00164238" w14:paraId="7C48A64E" w14:textId="77777777" w:rsidTr="00682CBF">
        <w:tc>
          <w:tcPr>
            <w:tcW w:w="2969" w:type="dxa"/>
            <w:tcBorders>
              <w:top w:val="nil"/>
              <w:left w:val="nil"/>
              <w:bottom w:val="single" w:sz="4" w:space="0" w:color="auto"/>
              <w:right w:val="nil"/>
            </w:tcBorders>
            <w:hideMark/>
          </w:tcPr>
          <w:p w14:paraId="0625E5F3" w14:textId="77777777" w:rsidR="00741745" w:rsidRPr="00164238" w:rsidRDefault="00741745" w:rsidP="00682CBF">
            <w:pPr>
              <w:rPr>
                <w:rFonts w:ascii="Times New Roman" w:hAnsi="Times New Roman" w:cs="Times New Roman"/>
                <w:color w:val="000000" w:themeColor="text1"/>
                <w:sz w:val="20"/>
                <w:szCs w:val="20"/>
                <w:lang w:val="en-US"/>
              </w:rPr>
            </w:pPr>
            <w:r w:rsidRPr="00164238">
              <w:rPr>
                <w:rFonts w:ascii="Times New Roman" w:hAnsi="Times New Roman" w:cs="Times New Roman"/>
                <w:noProof/>
                <w:color w:val="000000" w:themeColor="text1"/>
                <w:sz w:val="20"/>
                <w:szCs w:val="20"/>
                <w:lang w:val="en-US"/>
              </w:rPr>
              <w:t>Supervisors’ Virtual Technology Competence</w:t>
            </w:r>
          </w:p>
        </w:tc>
        <w:tc>
          <w:tcPr>
            <w:tcW w:w="972" w:type="dxa"/>
            <w:tcBorders>
              <w:top w:val="nil"/>
              <w:left w:val="nil"/>
              <w:bottom w:val="single" w:sz="4" w:space="0" w:color="auto"/>
              <w:right w:val="nil"/>
            </w:tcBorders>
            <w:hideMark/>
          </w:tcPr>
          <w:p w14:paraId="76F35D70" w14:textId="77777777" w:rsidR="00741745" w:rsidRPr="00164238" w:rsidRDefault="00741745" w:rsidP="00682CBF">
            <w:pPr>
              <w:jc w:val="center"/>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0.349</w:t>
            </w:r>
          </w:p>
        </w:tc>
        <w:tc>
          <w:tcPr>
            <w:tcW w:w="1831" w:type="dxa"/>
            <w:tcBorders>
              <w:top w:val="nil"/>
              <w:left w:val="nil"/>
              <w:bottom w:val="single" w:sz="4" w:space="0" w:color="auto"/>
              <w:right w:val="nil"/>
            </w:tcBorders>
            <w:hideMark/>
          </w:tcPr>
          <w:p w14:paraId="71547A6F" w14:textId="77777777" w:rsidR="00741745" w:rsidRPr="00164238" w:rsidRDefault="00741745" w:rsidP="00682CBF">
            <w:pPr>
              <w:jc w:val="center"/>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0.065</w:t>
            </w:r>
          </w:p>
        </w:tc>
        <w:tc>
          <w:tcPr>
            <w:tcW w:w="666" w:type="dxa"/>
            <w:tcBorders>
              <w:top w:val="nil"/>
              <w:left w:val="nil"/>
              <w:bottom w:val="single" w:sz="4" w:space="0" w:color="auto"/>
              <w:right w:val="nil"/>
            </w:tcBorders>
            <w:hideMark/>
          </w:tcPr>
          <w:p w14:paraId="50E9F221" w14:textId="77777777" w:rsidR="00741745" w:rsidRPr="00164238" w:rsidRDefault="00741745" w:rsidP="00682CBF">
            <w:pPr>
              <w:jc w:val="center"/>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0.347</w:t>
            </w:r>
          </w:p>
        </w:tc>
        <w:tc>
          <w:tcPr>
            <w:tcW w:w="1105" w:type="dxa"/>
            <w:tcBorders>
              <w:top w:val="nil"/>
              <w:left w:val="nil"/>
              <w:bottom w:val="single" w:sz="4" w:space="0" w:color="auto"/>
              <w:right w:val="nil"/>
            </w:tcBorders>
            <w:hideMark/>
          </w:tcPr>
          <w:p w14:paraId="39FAB4EE" w14:textId="77777777" w:rsidR="00741745" w:rsidRPr="00164238" w:rsidRDefault="00741745" w:rsidP="00682CBF">
            <w:pPr>
              <w:jc w:val="center"/>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5.324</w:t>
            </w:r>
          </w:p>
        </w:tc>
        <w:tc>
          <w:tcPr>
            <w:tcW w:w="666" w:type="dxa"/>
            <w:tcBorders>
              <w:top w:val="nil"/>
              <w:left w:val="nil"/>
              <w:bottom w:val="single" w:sz="4" w:space="0" w:color="auto"/>
              <w:right w:val="nil"/>
            </w:tcBorders>
            <w:hideMark/>
          </w:tcPr>
          <w:p w14:paraId="61FBD93D" w14:textId="77777777" w:rsidR="00741745" w:rsidRPr="00164238" w:rsidRDefault="00741745" w:rsidP="00682CBF">
            <w:pPr>
              <w:jc w:val="center"/>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0.000</w:t>
            </w:r>
          </w:p>
        </w:tc>
        <w:tc>
          <w:tcPr>
            <w:tcW w:w="1071" w:type="dxa"/>
            <w:tcBorders>
              <w:top w:val="nil"/>
              <w:left w:val="nil"/>
              <w:bottom w:val="single" w:sz="4" w:space="0" w:color="auto"/>
              <w:right w:val="nil"/>
            </w:tcBorders>
            <w:hideMark/>
          </w:tcPr>
          <w:p w14:paraId="15C9DDA4" w14:textId="77777777" w:rsidR="00741745" w:rsidRPr="00164238" w:rsidRDefault="00741745" w:rsidP="00682CBF">
            <w:pPr>
              <w:jc w:val="center"/>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0.347</w:t>
            </w:r>
          </w:p>
        </w:tc>
      </w:tr>
    </w:tbl>
    <w:p w14:paraId="0A20F45A" w14:textId="77777777" w:rsidR="00741745" w:rsidRPr="00164238" w:rsidRDefault="00741745" w:rsidP="00741745">
      <w:pPr>
        <w:spacing w:line="276" w:lineRule="auto"/>
        <w:rPr>
          <w:rFonts w:ascii="Times New Roman" w:hAnsi="Times New Roman" w:cs="Times New Roman"/>
          <w:color w:val="000000" w:themeColor="text1"/>
          <w:sz w:val="20"/>
          <w:szCs w:val="20"/>
          <w:lang w:val="en-US"/>
        </w:rPr>
      </w:pPr>
      <w:r w:rsidRPr="00164238">
        <w:rPr>
          <w:rFonts w:ascii="Times New Roman" w:hAnsi="Times New Roman" w:cs="Times New Roman"/>
          <w:noProof/>
          <w:color w:val="000000" w:themeColor="text1"/>
          <w:sz w:val="20"/>
          <w:szCs w:val="20"/>
          <w:lang w:val="en-US"/>
        </w:rPr>
        <w:t>R=0.347                R</w:t>
      </w:r>
      <w:r w:rsidRPr="00164238">
        <w:rPr>
          <w:rFonts w:ascii="Times New Roman" w:hAnsi="Times New Roman" w:cs="Times New Roman"/>
          <w:noProof/>
          <w:color w:val="000000" w:themeColor="text1"/>
          <w:sz w:val="20"/>
          <w:szCs w:val="20"/>
          <w:vertAlign w:val="superscript"/>
          <w:lang w:val="en-US"/>
        </w:rPr>
        <w:t>2</w:t>
      </w:r>
      <w:r w:rsidRPr="00164238">
        <w:rPr>
          <w:rFonts w:ascii="Times New Roman" w:hAnsi="Times New Roman" w:cs="Times New Roman"/>
          <w:noProof/>
          <w:color w:val="000000" w:themeColor="text1"/>
          <w:sz w:val="20"/>
          <w:szCs w:val="20"/>
          <w:lang w:val="en-US"/>
        </w:rPr>
        <w:t xml:space="preserve">=0.120 </w:t>
      </w:r>
    </w:p>
    <w:p w14:paraId="2D4AD778" w14:textId="77777777" w:rsidR="00741745" w:rsidRPr="00164238" w:rsidRDefault="00741745" w:rsidP="00741745">
      <w:pPr>
        <w:spacing w:line="276" w:lineRule="auto"/>
        <w:rPr>
          <w:rFonts w:ascii="Times New Roman" w:hAnsi="Times New Roman" w:cs="Times New Roman"/>
          <w:color w:val="000000" w:themeColor="text1"/>
          <w:sz w:val="20"/>
          <w:szCs w:val="20"/>
          <w:lang w:val="en-US"/>
        </w:rPr>
      </w:pPr>
      <w:r w:rsidRPr="00164238">
        <w:rPr>
          <w:rFonts w:ascii="Times New Roman" w:hAnsi="Times New Roman" w:cs="Times New Roman"/>
          <w:noProof/>
          <w:color w:val="000000" w:themeColor="text1"/>
          <w:sz w:val="20"/>
          <w:szCs w:val="20"/>
          <w:lang w:val="en-US"/>
        </w:rPr>
        <w:t>F</w:t>
      </w:r>
      <w:r w:rsidRPr="00164238">
        <w:rPr>
          <w:rFonts w:ascii="Times New Roman" w:hAnsi="Times New Roman" w:cs="Times New Roman"/>
          <w:noProof/>
          <w:color w:val="000000" w:themeColor="text1"/>
          <w:sz w:val="20"/>
          <w:szCs w:val="20"/>
          <w:vertAlign w:val="subscript"/>
          <w:lang w:val="en-US"/>
        </w:rPr>
        <w:t>(1,207)</w:t>
      </w:r>
      <w:r w:rsidRPr="00164238">
        <w:rPr>
          <w:rFonts w:ascii="Times New Roman" w:hAnsi="Times New Roman" w:cs="Times New Roman"/>
          <w:noProof/>
          <w:color w:val="000000" w:themeColor="text1"/>
          <w:sz w:val="20"/>
          <w:szCs w:val="20"/>
          <w:lang w:val="en-US"/>
        </w:rPr>
        <w:t>= 28.343      p=0.000</w:t>
      </w:r>
    </w:p>
    <w:p w14:paraId="2B38E7F8" w14:textId="77777777" w:rsidR="00741745" w:rsidRPr="00164238" w:rsidRDefault="00741745" w:rsidP="00741745">
      <w:pPr>
        <w:spacing w:before="120" w:line="278" w:lineRule="auto"/>
        <w:ind w:firstLine="708"/>
        <w:jc w:val="both"/>
        <w:rPr>
          <w:rFonts w:ascii="Times New Roman" w:hAnsi="Times New Roman" w:cs="Times New Roman"/>
          <w:color w:val="000000" w:themeColor="text1"/>
          <w:lang w:val="en-US"/>
        </w:rPr>
      </w:pPr>
      <w:r w:rsidRPr="00164238">
        <w:rPr>
          <w:rFonts w:ascii="Times New Roman" w:hAnsi="Times New Roman" w:cs="Times New Roman"/>
          <w:color w:val="000000" w:themeColor="text1"/>
          <w:lang w:val="en-US"/>
        </w:rPr>
        <w:t>As shown in Table 3, employees’ perception regarding virtual technology competence of their immediate supervisors influences employees’ perception regarding leadership effectiveness of these supervisors in a significant and positive manner (β= .34; p&lt;.001)</w:t>
      </w:r>
      <w:r w:rsidRPr="00164238">
        <w:rPr>
          <w:rFonts w:ascii="Times New Roman" w:hAnsi="Times New Roman" w:cs="Times New Roman"/>
          <w:color w:val="000000" w:themeColor="text1"/>
          <w:shd w:val="clear" w:color="auto" w:fill="FFFFFF"/>
          <w:lang w:val="en-US"/>
        </w:rPr>
        <w:t xml:space="preserve">. In other words, when employees’ perception level regarding the virtual technology competence of their immediate supervisors increases, employees’ perception level regarding these supervisors’ leadership effectiveness also rises. Also, virtual technology competence of the supervisors explains 12% of </w:t>
      </w:r>
      <w:r w:rsidRPr="00164238">
        <w:rPr>
          <w:rFonts w:ascii="Times New Roman" w:hAnsi="Times New Roman" w:cs="Times New Roman"/>
          <w:color w:val="000000" w:themeColor="text1"/>
          <w:shd w:val="clear" w:color="auto" w:fill="FFFFFF"/>
          <w:lang w:val="en-US"/>
        </w:rPr>
        <w:lastRenderedPageBreak/>
        <w:t xml:space="preserve">the total variance of their leadership effectiveness. </w:t>
      </w:r>
      <w:r w:rsidRPr="00164238">
        <w:rPr>
          <w:rFonts w:ascii="Times New Roman" w:hAnsi="Times New Roman" w:cs="Times New Roman"/>
          <w:color w:val="000000" w:themeColor="text1"/>
          <w:lang w:val="en-US"/>
        </w:rPr>
        <w:t xml:space="preserve">According to the results of the analysis, regression equation (mathematical model) regarding prediction of supervisors’ leadership effectiveness by their virtual technology competence is as follows:  </w:t>
      </w:r>
    </w:p>
    <w:p w14:paraId="4127D29C" w14:textId="77777777" w:rsidR="00741745" w:rsidRPr="00164238" w:rsidRDefault="00741745" w:rsidP="00741745">
      <w:pPr>
        <w:spacing w:before="120"/>
        <w:ind w:firstLine="708"/>
        <w:jc w:val="both"/>
        <w:rPr>
          <w:rFonts w:ascii="Times New Roman" w:hAnsi="Times New Roman" w:cs="Times New Roman"/>
          <w:color w:val="000000" w:themeColor="text1"/>
          <w:sz w:val="20"/>
          <w:szCs w:val="20"/>
          <w:lang w:val="en-US"/>
        </w:rPr>
      </w:pPr>
      <w:r w:rsidRPr="00164238">
        <w:rPr>
          <w:rFonts w:ascii="Times New Roman" w:hAnsi="Times New Roman" w:cs="Times New Roman"/>
          <w:noProof/>
          <w:color w:val="000000" w:themeColor="text1"/>
          <w:sz w:val="20"/>
          <w:szCs w:val="20"/>
          <w:lang w:val="en-US"/>
        </w:rPr>
        <w:t>Supervisors’ Leadership  Effectiveness= 1.831+ (0.349 x Supervisors’ Virtual Technology Competence)</w:t>
      </w:r>
    </w:p>
    <w:p w14:paraId="2FC78962" w14:textId="77777777" w:rsidR="00741745" w:rsidRPr="00164238" w:rsidRDefault="00741745" w:rsidP="00741745">
      <w:pPr>
        <w:spacing w:before="120"/>
        <w:ind w:firstLine="708"/>
        <w:jc w:val="both"/>
        <w:rPr>
          <w:rFonts w:ascii="Times New Roman" w:hAnsi="Times New Roman" w:cs="Times New Roman"/>
          <w:color w:val="000000" w:themeColor="text1"/>
          <w:shd w:val="clear" w:color="auto" w:fill="FFFFFF"/>
          <w:lang w:val="en-US"/>
        </w:rPr>
      </w:pPr>
      <w:r w:rsidRPr="00164238">
        <w:rPr>
          <w:rFonts w:ascii="Times New Roman" w:hAnsi="Times New Roman" w:cs="Times New Roman"/>
          <w:color w:val="000000" w:themeColor="text1"/>
          <w:shd w:val="clear" w:color="auto" w:fill="FFFFFF"/>
          <w:lang w:val="en-US"/>
        </w:rPr>
        <w:t xml:space="preserve">Research hypothesis expressed as </w:t>
      </w:r>
      <w:r w:rsidRPr="00164238">
        <w:rPr>
          <w:rFonts w:ascii="Times New Roman" w:hAnsi="Times New Roman" w:cs="Times New Roman"/>
          <w:i/>
          <w:iCs/>
          <w:color w:val="000000" w:themeColor="text1"/>
          <w:shd w:val="clear" w:color="auto" w:fill="FFFFFF"/>
          <w:lang w:val="en-US"/>
        </w:rPr>
        <w:t>“supervisors’ virtual technology competence significantly and positively influences their leadership effectiveness”</w:t>
      </w:r>
      <w:r w:rsidRPr="00164238">
        <w:rPr>
          <w:rFonts w:ascii="Times New Roman" w:hAnsi="Times New Roman" w:cs="Times New Roman"/>
          <w:color w:val="000000" w:themeColor="text1"/>
          <w:shd w:val="clear" w:color="auto" w:fill="FFFFFF"/>
          <w:lang w:val="en-US"/>
        </w:rPr>
        <w:t>, developed within scope of the study, was supported in accordance with this outcome.</w:t>
      </w:r>
    </w:p>
    <w:p w14:paraId="12EE31A0" w14:textId="300B9CEC" w:rsidR="00741745" w:rsidRPr="00164238" w:rsidRDefault="00741745" w:rsidP="00741745">
      <w:pPr>
        <w:spacing w:before="120"/>
        <w:ind w:firstLine="708"/>
        <w:rPr>
          <w:rFonts w:ascii="Times New Roman" w:eastAsia="Calibri" w:hAnsi="Times New Roman" w:cs="Times New Roman"/>
          <w:color w:val="000000" w:themeColor="text1"/>
          <w:sz w:val="20"/>
          <w:szCs w:val="20"/>
        </w:rPr>
      </w:pPr>
      <w:r w:rsidRPr="00164238">
        <w:rPr>
          <w:rFonts w:ascii="Times New Roman" w:eastAsia="Times New Roman" w:hAnsi="Times New Roman" w:cs="Times New Roman"/>
          <w:b/>
          <w:bCs/>
          <w:color w:val="000000" w:themeColor="text1"/>
          <w:lang w:val="en-US" w:eastAsia="tr-TR"/>
        </w:rPr>
        <w:t>Conclusion and Discussion</w:t>
      </w:r>
    </w:p>
    <w:p w14:paraId="56F28756" w14:textId="77777777" w:rsidR="00741745" w:rsidRPr="00164238" w:rsidRDefault="00741745" w:rsidP="00741745">
      <w:pPr>
        <w:spacing w:before="120"/>
        <w:ind w:firstLine="708"/>
        <w:jc w:val="both"/>
        <w:rPr>
          <w:rFonts w:ascii="Times New Roman" w:hAnsi="Times New Roman" w:cs="Times New Roman"/>
          <w:snapToGrid w:val="0"/>
          <w:color w:val="000000" w:themeColor="text1"/>
          <w:shd w:val="clear" w:color="auto" w:fill="FFFFFF"/>
          <w:lang w:val="en-US"/>
        </w:rPr>
      </w:pPr>
      <w:r w:rsidRPr="00164238">
        <w:rPr>
          <w:rFonts w:ascii="Times New Roman" w:hAnsi="Times New Roman" w:cs="Times New Roman"/>
          <w:snapToGrid w:val="0"/>
          <w:color w:val="000000" w:themeColor="text1"/>
          <w:shd w:val="clear" w:color="auto" w:fill="FFFFFF"/>
          <w:lang w:val="en-US"/>
        </w:rPr>
        <w:t xml:space="preserve">This study investigated the effect of supervisors’ virtual technology competence on their leadership effectiveness. </w:t>
      </w:r>
      <w:r w:rsidRPr="00164238">
        <w:rPr>
          <w:rFonts w:ascii="Times New Roman" w:hAnsi="Times New Roman" w:cs="Times New Roman"/>
          <w:color w:val="000000" w:themeColor="text1"/>
          <w:lang w:val="en-US"/>
        </w:rPr>
        <w:t xml:space="preserve">Another study investigating the relationship between variables in the research model of the study in the same mechanism was not determined during the literature review. According to the result of correlation analysis, a significant and positive bilateral relationship between the </w:t>
      </w:r>
      <w:r w:rsidRPr="00164238">
        <w:rPr>
          <w:rFonts w:ascii="Times New Roman" w:hAnsi="Times New Roman" w:cs="Times New Roman"/>
          <w:snapToGrid w:val="0"/>
          <w:color w:val="000000" w:themeColor="text1"/>
          <w:shd w:val="clear" w:color="auto" w:fill="FFFFFF"/>
          <w:lang w:val="en-US"/>
        </w:rPr>
        <w:t>supervisors’ virtual technology competence and their leadership effectiveness</w:t>
      </w:r>
      <w:r w:rsidRPr="00164238">
        <w:rPr>
          <w:rFonts w:ascii="Times New Roman" w:hAnsi="Times New Roman" w:cs="Times New Roman"/>
          <w:color w:val="000000" w:themeColor="text1"/>
          <w:lang w:val="en-US"/>
        </w:rPr>
        <w:t xml:space="preserve"> exists as expected. According to the result of regression analysis, supervisors’ virtual technology competence </w:t>
      </w:r>
      <w:r w:rsidRPr="00164238">
        <w:rPr>
          <w:rFonts w:ascii="Times New Roman" w:hAnsi="Times New Roman" w:cs="Times New Roman"/>
          <w:snapToGrid w:val="0"/>
          <w:color w:val="000000" w:themeColor="text1"/>
          <w:shd w:val="clear" w:color="auto" w:fill="FFFFFF"/>
          <w:lang w:val="en-US"/>
        </w:rPr>
        <w:t>affects in a significant and positive manner</w:t>
      </w:r>
      <w:r w:rsidRPr="00164238">
        <w:rPr>
          <w:rFonts w:ascii="Times New Roman" w:hAnsi="Times New Roman" w:cs="Times New Roman"/>
          <w:color w:val="000000" w:themeColor="text1"/>
          <w:lang w:val="en-US"/>
        </w:rPr>
        <w:t xml:space="preserve"> as expected.</w:t>
      </w:r>
    </w:p>
    <w:p w14:paraId="313EE1A2" w14:textId="77777777" w:rsidR="00741745" w:rsidRPr="00164238" w:rsidRDefault="00741745" w:rsidP="00741745">
      <w:pPr>
        <w:spacing w:before="120"/>
        <w:ind w:firstLine="708"/>
        <w:jc w:val="both"/>
        <w:rPr>
          <w:rFonts w:ascii="Times New Roman" w:hAnsi="Times New Roman" w:cs="Times New Roman"/>
          <w:snapToGrid w:val="0"/>
          <w:color w:val="000000" w:themeColor="text1"/>
          <w:shd w:val="clear" w:color="auto" w:fill="FFFFFF"/>
          <w:lang w:val="en-US"/>
        </w:rPr>
      </w:pPr>
      <w:r w:rsidRPr="00164238">
        <w:rPr>
          <w:rFonts w:ascii="Times New Roman" w:hAnsi="Times New Roman" w:cs="Times New Roman"/>
          <w:color w:val="000000" w:themeColor="text1"/>
          <w:shd w:val="clear" w:color="auto" w:fill="FFFFFF"/>
          <w:lang w:val="en-US"/>
        </w:rPr>
        <w:t xml:space="preserve">Moving from the functional definitions of the variables in the research model of the study, the results of the research can also be summed up as follows: </w:t>
      </w:r>
      <w:r w:rsidRPr="00164238">
        <w:rPr>
          <w:rFonts w:ascii="Times New Roman" w:hAnsi="Times New Roman" w:cs="Times New Roman"/>
          <w:color w:val="000000" w:themeColor="text1"/>
          <w:lang w:val="en-US"/>
        </w:rPr>
        <w:t>subordinates’ level of perception that their immediate supervisors fulfill their leadership roles/responsibilities and they work effectively under their leadership is enhanced through an increase in subordinates’ perception regarding that their supervisors possess the knowledge, skills and experiences to pioneer the execution of the tasks in the virtual environment and use such competence for their organization.</w:t>
      </w:r>
      <w:r w:rsidRPr="00164238">
        <w:rPr>
          <w:rFonts w:ascii="Times New Roman" w:hAnsi="Times New Roman" w:cs="Times New Roman"/>
          <w:color w:val="000000" w:themeColor="text1"/>
          <w:shd w:val="clear" w:color="auto" w:fill="FFFFFF"/>
          <w:lang w:val="en-US"/>
        </w:rPr>
        <w:t xml:space="preserve"> </w:t>
      </w:r>
      <w:r w:rsidRPr="00164238">
        <w:rPr>
          <w:rFonts w:ascii="Times New Roman" w:hAnsi="Times New Roman" w:cs="Times New Roman"/>
          <w:color w:val="000000" w:themeColor="text1"/>
          <w:lang w:val="en-US"/>
        </w:rPr>
        <w:t>According to the theoretical and empirical studies in the literature, it is evident that increases in both supervisors’ virtual technology competence (e.g.: Taş et al., 2020b) and their leadership effectiveness (e.g.: Özkara, 2019) levels will help achieving organizational success. In this case, it can be concluded that it is possible to contribute to the organization through the enhancing effect of an increase in supervisors’ level of virtual technology competence on their leadership effectiveness level, within scope of this study.</w:t>
      </w:r>
      <w:r w:rsidRPr="00164238">
        <w:rPr>
          <w:rFonts w:ascii="Times New Roman" w:hAnsi="Times New Roman" w:cs="Times New Roman"/>
          <w:color w:val="000000" w:themeColor="text1"/>
          <w:shd w:val="clear" w:color="auto" w:fill="FFFFFF"/>
          <w:lang w:val="en-US"/>
        </w:rPr>
        <w:t xml:space="preserve"> </w:t>
      </w:r>
      <w:r w:rsidRPr="00164238">
        <w:rPr>
          <w:rFonts w:ascii="Times New Roman" w:hAnsi="Times New Roman" w:cs="Times New Roman"/>
          <w:color w:val="000000" w:themeColor="text1"/>
          <w:lang w:val="en-US"/>
        </w:rPr>
        <w:t>Particularly under today’s Covid-19 pandemic conditions, supervisors utilize some tools (e.g.: electronic mail, Twitter, virtual file sharing, WhatsApp, Facebook, video conference, messenger, forums, blogs, etc.) online via computer and smart phone in order to establish virtual communication and to pioneer execution of the tasks by creating virtual teams.</w:t>
      </w:r>
      <w:r w:rsidRPr="00164238">
        <w:rPr>
          <w:rFonts w:ascii="Times New Roman" w:hAnsi="Times New Roman" w:cs="Times New Roman"/>
          <w:color w:val="000000" w:themeColor="text1"/>
          <w:shd w:val="clear" w:color="auto" w:fill="FFFFFF"/>
          <w:lang w:val="en-US"/>
        </w:rPr>
        <w:t xml:space="preserve"> </w:t>
      </w:r>
      <w:r w:rsidRPr="00164238">
        <w:rPr>
          <w:rFonts w:ascii="Times New Roman" w:hAnsi="Times New Roman" w:cs="Times New Roman"/>
          <w:color w:val="000000" w:themeColor="text1"/>
          <w:lang w:val="en-US"/>
        </w:rPr>
        <w:t>It is thought that this situation strengthens subordinates’ perception that supervisors fulfill their leadership roles/responsibilities and that they also work effectively under their leadership.</w:t>
      </w:r>
      <w:r w:rsidRPr="00164238">
        <w:rPr>
          <w:rFonts w:ascii="Times New Roman" w:hAnsi="Times New Roman" w:cs="Times New Roman"/>
          <w:color w:val="000000" w:themeColor="text1"/>
          <w:shd w:val="clear" w:color="auto" w:fill="FFFFFF"/>
          <w:lang w:val="en-US"/>
        </w:rPr>
        <w:t xml:space="preserve"> Thus, it can be said that it is possible to provide a recuperating response to economic and social damages inflicted by Covid-19 to our world when supervisors use their capability of virtual technology for their organizations.</w:t>
      </w:r>
    </w:p>
    <w:p w14:paraId="5462D333" w14:textId="77777777" w:rsidR="00741745" w:rsidRPr="00164238" w:rsidRDefault="00741745" w:rsidP="00741745">
      <w:pPr>
        <w:spacing w:before="120"/>
        <w:ind w:firstLine="708"/>
        <w:jc w:val="both"/>
        <w:rPr>
          <w:rFonts w:ascii="Times New Roman" w:hAnsi="Times New Roman" w:cs="Times New Roman"/>
          <w:snapToGrid w:val="0"/>
          <w:color w:val="000000" w:themeColor="text1"/>
          <w:shd w:val="clear" w:color="auto" w:fill="FFFFFF"/>
          <w:lang w:val="en-US"/>
        </w:rPr>
      </w:pPr>
      <w:r w:rsidRPr="00164238">
        <w:rPr>
          <w:rFonts w:ascii="Times New Roman" w:hAnsi="Times New Roman" w:cs="Times New Roman"/>
          <w:color w:val="000000" w:themeColor="text1"/>
          <w:lang w:val="en-US"/>
        </w:rPr>
        <w:t>In the light of all of this information, it is possible to make following suggestion in order to boost organizational success in the university, where the research was done:</w:t>
      </w:r>
    </w:p>
    <w:p w14:paraId="6E4D3313" w14:textId="77777777" w:rsidR="00741745" w:rsidRPr="00164238" w:rsidRDefault="00741745" w:rsidP="007C3550">
      <w:pPr>
        <w:numPr>
          <w:ilvl w:val="0"/>
          <w:numId w:val="7"/>
        </w:numPr>
        <w:snapToGrid w:val="0"/>
        <w:spacing w:before="120" w:after="0" w:line="240" w:lineRule="auto"/>
        <w:jc w:val="both"/>
        <w:rPr>
          <w:rFonts w:ascii="Times New Roman" w:hAnsi="Times New Roman" w:cs="Times New Roman"/>
          <w:color w:val="000000" w:themeColor="text1"/>
          <w:shd w:val="clear" w:color="auto" w:fill="FFFFFF"/>
          <w:lang w:val="en-US"/>
        </w:rPr>
      </w:pPr>
      <w:r w:rsidRPr="00164238">
        <w:rPr>
          <w:rFonts w:ascii="Times New Roman" w:hAnsi="Times New Roman" w:cs="Times New Roman"/>
          <w:color w:val="000000" w:themeColor="text1"/>
          <w:lang w:val="en-US"/>
        </w:rPr>
        <w:t>Appointing employees, who possess virtual technology competence, to managerial positions,</w:t>
      </w:r>
    </w:p>
    <w:p w14:paraId="22AD6128" w14:textId="77777777" w:rsidR="00741745" w:rsidRPr="00164238" w:rsidRDefault="00741745" w:rsidP="007C3550">
      <w:pPr>
        <w:numPr>
          <w:ilvl w:val="0"/>
          <w:numId w:val="7"/>
        </w:numPr>
        <w:snapToGrid w:val="0"/>
        <w:spacing w:before="120" w:after="0" w:line="240" w:lineRule="auto"/>
        <w:jc w:val="both"/>
        <w:rPr>
          <w:rFonts w:ascii="Times New Roman" w:hAnsi="Times New Roman" w:cs="Times New Roman"/>
          <w:color w:val="000000" w:themeColor="text1"/>
          <w:shd w:val="clear" w:color="auto" w:fill="FFFFFF"/>
          <w:lang w:val="en-US"/>
        </w:rPr>
      </w:pPr>
      <w:r w:rsidRPr="00164238">
        <w:rPr>
          <w:rFonts w:ascii="Times New Roman" w:hAnsi="Times New Roman" w:cs="Times New Roman"/>
          <w:color w:val="000000" w:themeColor="text1"/>
          <w:lang w:val="en-US"/>
        </w:rPr>
        <w:lastRenderedPageBreak/>
        <w:t>Implementation of executive development programs in order for supervisors to enhance their competencies in virtual technology and to use this competence for the organization they work for,</w:t>
      </w:r>
    </w:p>
    <w:p w14:paraId="7074FBBE" w14:textId="77777777" w:rsidR="00741745" w:rsidRPr="00164238" w:rsidRDefault="00741745" w:rsidP="007C3550">
      <w:pPr>
        <w:numPr>
          <w:ilvl w:val="0"/>
          <w:numId w:val="7"/>
        </w:numPr>
        <w:snapToGrid w:val="0"/>
        <w:spacing w:before="120" w:after="0" w:line="240" w:lineRule="auto"/>
        <w:jc w:val="both"/>
        <w:rPr>
          <w:rFonts w:ascii="Times New Roman" w:hAnsi="Times New Roman" w:cs="Times New Roman"/>
          <w:color w:val="000000" w:themeColor="text1"/>
          <w:shd w:val="clear" w:color="auto" w:fill="FFFFFF"/>
          <w:lang w:val="en-US"/>
        </w:rPr>
      </w:pPr>
      <w:r w:rsidRPr="00164238">
        <w:rPr>
          <w:rFonts w:ascii="Times New Roman" w:hAnsi="Times New Roman" w:cs="Times New Roman"/>
          <w:color w:val="000000" w:themeColor="text1"/>
          <w:lang w:val="en-US"/>
        </w:rPr>
        <w:t xml:space="preserve">The university senate’s and unit supervisors’ sparing resources for state-of-the-art and up-to-date electronic tools and offering such tools to the use of the personnel. </w:t>
      </w:r>
    </w:p>
    <w:p w14:paraId="52EA9B6A" w14:textId="77777777" w:rsidR="00741745" w:rsidRPr="00164238" w:rsidRDefault="00741745" w:rsidP="00741745">
      <w:pPr>
        <w:spacing w:before="120"/>
        <w:ind w:firstLine="708"/>
        <w:jc w:val="both"/>
        <w:rPr>
          <w:rFonts w:ascii="Times New Roman" w:hAnsi="Times New Roman" w:cs="Times New Roman"/>
          <w:color w:val="000000" w:themeColor="text1"/>
          <w:lang w:val="en-US"/>
        </w:rPr>
      </w:pPr>
      <w:r w:rsidRPr="00164238">
        <w:rPr>
          <w:rFonts w:ascii="Times New Roman" w:hAnsi="Times New Roman" w:cs="Times New Roman"/>
          <w:color w:val="000000" w:themeColor="text1"/>
          <w:lang w:val="en-US"/>
        </w:rPr>
        <w:t>This study was carried out academic and administrative personnel working in a faculty of a state university in Ankara. It would be beneficial to test the research model of the study on employees of both state and private universities located in different regions of Turkey and to compare the results. The same model can be examined in western and far east countries which have different attributes from Turkish culture.</w:t>
      </w:r>
      <w:r w:rsidRPr="00164238">
        <w:rPr>
          <w:rFonts w:ascii="Times New Roman" w:hAnsi="Times New Roman" w:cs="Times New Roman"/>
          <w:color w:val="000000" w:themeColor="text1"/>
          <w:shd w:val="clear" w:color="auto" w:fill="FFFFFF"/>
          <w:lang w:val="en-US"/>
        </w:rPr>
        <w:t xml:space="preserve"> </w:t>
      </w:r>
      <w:r w:rsidRPr="00164238">
        <w:rPr>
          <w:rFonts w:ascii="Times New Roman" w:hAnsi="Times New Roman" w:cs="Times New Roman"/>
          <w:color w:val="000000" w:themeColor="text1"/>
          <w:lang w:val="en-US"/>
        </w:rPr>
        <w:t>Also, supervisor’s electronic leadership style may be introduced to the research model of the study along with four facets in a 2</w:t>
      </w:r>
      <w:r w:rsidRPr="00164238">
        <w:rPr>
          <w:rFonts w:ascii="Times New Roman" w:hAnsi="Times New Roman" w:cs="Times New Roman"/>
          <w:color w:val="000000" w:themeColor="text1"/>
          <w:vertAlign w:val="superscript"/>
          <w:lang w:val="en-US"/>
        </w:rPr>
        <w:t>nd</w:t>
      </w:r>
      <w:r w:rsidRPr="00164238">
        <w:rPr>
          <w:rFonts w:ascii="Times New Roman" w:hAnsi="Times New Roman" w:cs="Times New Roman"/>
          <w:color w:val="000000" w:themeColor="text1"/>
          <w:lang w:val="en-US"/>
        </w:rPr>
        <w:t xml:space="preserve"> level multi-factorial structure. The research model shall be extended by adding leader-member exchange variable to the model as a mediating variable. </w:t>
      </w:r>
    </w:p>
    <w:p w14:paraId="0D5900DC" w14:textId="589D24A3" w:rsidR="00741745" w:rsidRDefault="00741745" w:rsidP="00741745">
      <w:pPr>
        <w:spacing w:before="120"/>
        <w:jc w:val="both"/>
        <w:rPr>
          <w:rFonts w:ascii="Times New Roman" w:eastAsia="Times New Roman" w:hAnsi="Times New Roman" w:cs="Times New Roman"/>
          <w:b/>
          <w:bCs/>
          <w:color w:val="000000" w:themeColor="text1"/>
          <w:lang w:val="en-US" w:eastAsia="tr-TR"/>
        </w:rPr>
      </w:pPr>
    </w:p>
    <w:p w14:paraId="1F936F36" w14:textId="77777777" w:rsidR="00E0308F" w:rsidRPr="00164238" w:rsidRDefault="00E0308F" w:rsidP="00741745">
      <w:pPr>
        <w:spacing w:before="120"/>
        <w:jc w:val="both"/>
        <w:rPr>
          <w:rFonts w:ascii="Times New Roman" w:eastAsia="Times New Roman" w:hAnsi="Times New Roman" w:cs="Times New Roman"/>
          <w:b/>
          <w:bCs/>
          <w:color w:val="000000" w:themeColor="text1"/>
          <w:lang w:val="en-US" w:eastAsia="tr-TR"/>
        </w:rPr>
      </w:pPr>
    </w:p>
    <w:p w14:paraId="2A82B91C" w14:textId="77777777" w:rsidR="00741745" w:rsidRPr="00164238" w:rsidRDefault="00741745" w:rsidP="00741745">
      <w:pPr>
        <w:spacing w:before="120"/>
        <w:jc w:val="both"/>
        <w:rPr>
          <w:rFonts w:ascii="Times New Roman" w:eastAsia="Times New Roman" w:hAnsi="Times New Roman" w:cs="Times New Roman"/>
          <w:b/>
          <w:bCs/>
          <w:color w:val="000000" w:themeColor="text1"/>
          <w:lang w:val="en-US" w:eastAsia="tr-TR"/>
        </w:rPr>
      </w:pPr>
      <w:r w:rsidRPr="00164238">
        <w:rPr>
          <w:rFonts w:ascii="Times New Roman" w:eastAsia="Times New Roman" w:hAnsi="Times New Roman" w:cs="Times New Roman"/>
          <w:b/>
          <w:bCs/>
          <w:color w:val="000000" w:themeColor="text1"/>
          <w:lang w:val="en-US" w:eastAsia="tr-TR"/>
        </w:rPr>
        <w:t>References</w:t>
      </w:r>
    </w:p>
    <w:p w14:paraId="7404420F"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Times New Roman" w:hAnsi="Times New Roman" w:cs="Times New Roman"/>
          <w:color w:val="000000" w:themeColor="text1"/>
          <w:lang w:val="en-US"/>
        </w:rPr>
        <w:t xml:space="preserve">Avolio, B. J., Kahai, S., &amp; Dodge, G. E. (2000). E-leadership: Implications for theory, research and practice. </w:t>
      </w:r>
      <w:r w:rsidRPr="00164238">
        <w:rPr>
          <w:rFonts w:ascii="Times New Roman" w:eastAsia="Times New Roman" w:hAnsi="Times New Roman" w:cs="Times New Roman"/>
          <w:i/>
          <w:color w:val="000000" w:themeColor="text1"/>
          <w:lang w:val="en-US"/>
        </w:rPr>
        <w:t>Leadership Quarterly, 11</w:t>
      </w:r>
      <w:r w:rsidRPr="00164238">
        <w:rPr>
          <w:rFonts w:ascii="Times New Roman" w:eastAsia="Times New Roman" w:hAnsi="Times New Roman" w:cs="Times New Roman"/>
          <w:color w:val="000000" w:themeColor="text1"/>
          <w:lang w:val="en-US"/>
        </w:rPr>
        <w:t>(4), 615-668.</w:t>
      </w:r>
    </w:p>
    <w:p w14:paraId="62671FF3"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Times New Roman" w:hAnsi="Times New Roman" w:cs="Times New Roman"/>
          <w:color w:val="000000" w:themeColor="text1"/>
          <w:lang w:val="en-US"/>
        </w:rPr>
        <w:t xml:space="preserve">Ayhan, C. (2010). </w:t>
      </w:r>
      <w:r w:rsidRPr="00164238">
        <w:rPr>
          <w:rFonts w:ascii="Times New Roman" w:eastAsia="Times New Roman" w:hAnsi="Times New Roman" w:cs="Times New Roman"/>
          <w:i/>
          <w:iCs/>
          <w:color w:val="000000" w:themeColor="text1"/>
          <w:lang w:val="en-US"/>
        </w:rPr>
        <w:t>Kamu kurumlarında liderlik tarzlarının lider etkinliği üzerine etkisi ve bir uygulama</w:t>
      </w:r>
      <w:r w:rsidRPr="00164238">
        <w:rPr>
          <w:rFonts w:ascii="Times New Roman" w:eastAsia="Times New Roman" w:hAnsi="Times New Roman" w:cs="Times New Roman"/>
          <w:color w:val="000000" w:themeColor="text1"/>
          <w:lang w:val="en-US"/>
        </w:rPr>
        <w:t xml:space="preserve"> (Master dissertation). Gebze: Gebze Technical University, Social Sciences Institute, Turkey.</w:t>
      </w:r>
    </w:p>
    <w:p w14:paraId="294199B3"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Times New Roman" w:hAnsi="Times New Roman" w:cs="Times New Roman"/>
          <w:color w:val="000000" w:themeColor="text1"/>
          <w:lang w:val="en-US"/>
        </w:rPr>
        <w:t xml:space="preserve">Blickle, G., Meurs, J. A., Wihler, A., Ewen, C., &amp; Peiseler, A. K. (2014). Leader inquistivieness, political skill, and follower attributions of leader charisma and effectiveness: Test of a moderated mediation model. </w:t>
      </w:r>
      <w:r w:rsidRPr="00164238">
        <w:rPr>
          <w:rFonts w:ascii="Times New Roman" w:eastAsia="Times New Roman" w:hAnsi="Times New Roman" w:cs="Times New Roman"/>
          <w:i/>
          <w:iCs/>
          <w:color w:val="000000" w:themeColor="text1"/>
          <w:lang w:val="en-US"/>
        </w:rPr>
        <w:t>International Journal of Selection and Assessment, 22</w:t>
      </w:r>
      <w:r w:rsidRPr="00164238">
        <w:rPr>
          <w:rFonts w:ascii="Times New Roman" w:eastAsia="Times New Roman" w:hAnsi="Times New Roman" w:cs="Times New Roman"/>
          <w:color w:val="000000" w:themeColor="text1"/>
          <w:lang w:val="en-US"/>
        </w:rPr>
        <w:t>(3), 272-285.</w:t>
      </w:r>
    </w:p>
    <w:p w14:paraId="54B23B7F"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Times New Roman" w:hAnsi="Times New Roman" w:cs="Times New Roman"/>
          <w:color w:val="000000" w:themeColor="text1"/>
          <w:lang w:val="en-US"/>
        </w:rPr>
        <w:t>Breevaart, K., &amp; Zacher, H. (2019). Main and interactive effects of weekly transformational and laissez‐faire leadership on followers’ trust in the leader and leader effectiveness. </w:t>
      </w:r>
      <w:r w:rsidRPr="00164238">
        <w:rPr>
          <w:rFonts w:ascii="Times New Roman" w:eastAsia="Times New Roman" w:hAnsi="Times New Roman" w:cs="Times New Roman"/>
          <w:i/>
          <w:iCs/>
          <w:color w:val="000000" w:themeColor="text1"/>
          <w:lang w:val="en-US"/>
        </w:rPr>
        <w:t>Journal of Occupational and Organizational Psychology, 92</w:t>
      </w:r>
      <w:r w:rsidRPr="00164238">
        <w:rPr>
          <w:rFonts w:ascii="Times New Roman" w:eastAsia="Times New Roman" w:hAnsi="Times New Roman" w:cs="Times New Roman"/>
          <w:color w:val="000000" w:themeColor="text1"/>
          <w:lang w:val="en-US"/>
        </w:rPr>
        <w:t>(2), 384-409.</w:t>
      </w:r>
    </w:p>
    <w:p w14:paraId="54A15E50"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Times New Roman" w:hAnsi="Times New Roman" w:cs="Times New Roman"/>
          <w:color w:val="000000" w:themeColor="text1"/>
          <w:lang w:val="en-US"/>
        </w:rPr>
        <w:t>Chen, Y. F., &amp; Tjosvold, D. (2005). Cross-cultural leadership: Goal interdependence and leader-member relations in foreign ventures in China. </w:t>
      </w:r>
      <w:r w:rsidRPr="00164238">
        <w:rPr>
          <w:rFonts w:ascii="Times New Roman" w:eastAsia="Times New Roman" w:hAnsi="Times New Roman" w:cs="Times New Roman"/>
          <w:i/>
          <w:iCs/>
          <w:color w:val="000000" w:themeColor="text1"/>
          <w:lang w:val="en-US"/>
        </w:rPr>
        <w:t>Journal of International Management, 11</w:t>
      </w:r>
      <w:r w:rsidRPr="00164238">
        <w:rPr>
          <w:rFonts w:ascii="Times New Roman" w:eastAsia="Times New Roman" w:hAnsi="Times New Roman" w:cs="Times New Roman"/>
          <w:color w:val="000000" w:themeColor="text1"/>
          <w:lang w:val="en-US"/>
        </w:rPr>
        <w:t>(3), 417-439.</w:t>
      </w:r>
    </w:p>
    <w:p w14:paraId="4DAC0179"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Calibri" w:hAnsi="Times New Roman" w:cs="Times New Roman"/>
          <w:color w:val="000000" w:themeColor="text1"/>
        </w:rPr>
        <w:t xml:space="preserve">Cohen, J. (1988). </w:t>
      </w:r>
      <w:r w:rsidRPr="00164238">
        <w:rPr>
          <w:rFonts w:ascii="Times New Roman" w:eastAsia="Calibri" w:hAnsi="Times New Roman" w:cs="Times New Roman"/>
          <w:i/>
          <w:iCs/>
          <w:color w:val="000000" w:themeColor="text1"/>
        </w:rPr>
        <w:t xml:space="preserve">Statistical power analysis for the behavioral sciences </w:t>
      </w:r>
      <w:r w:rsidRPr="00164238">
        <w:rPr>
          <w:rFonts w:ascii="Times New Roman" w:eastAsia="Calibri" w:hAnsi="Times New Roman" w:cs="Times New Roman"/>
          <w:iCs/>
          <w:color w:val="000000" w:themeColor="text1"/>
        </w:rPr>
        <w:t>(2</w:t>
      </w:r>
      <w:r w:rsidRPr="00164238">
        <w:rPr>
          <w:rFonts w:ascii="Times New Roman" w:eastAsia="Calibri" w:hAnsi="Times New Roman" w:cs="Times New Roman"/>
          <w:iCs/>
          <w:color w:val="000000" w:themeColor="text1"/>
          <w:vertAlign w:val="superscript"/>
        </w:rPr>
        <w:t xml:space="preserve">th </w:t>
      </w:r>
      <w:r w:rsidRPr="00164238">
        <w:rPr>
          <w:rFonts w:ascii="Times New Roman" w:eastAsia="Calibri" w:hAnsi="Times New Roman" w:cs="Times New Roman"/>
          <w:iCs/>
          <w:color w:val="000000" w:themeColor="text1"/>
        </w:rPr>
        <w:t>edition)</w:t>
      </w:r>
      <w:r w:rsidRPr="00164238">
        <w:rPr>
          <w:rFonts w:ascii="Times New Roman" w:eastAsia="Calibri" w:hAnsi="Times New Roman" w:cs="Times New Roman"/>
          <w:color w:val="000000" w:themeColor="text1"/>
        </w:rPr>
        <w:t>. NewJersey: Lawrence Erlbaum Associates, Inc. Publishers.</w:t>
      </w:r>
    </w:p>
    <w:p w14:paraId="5AC153B3"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Times New Roman" w:hAnsi="Times New Roman" w:cs="Times New Roman"/>
          <w:color w:val="000000" w:themeColor="text1"/>
          <w:lang w:val="en-US"/>
        </w:rPr>
        <w:t>Copeland, M. K. (2016). The impact of authentic, ethical, transformational leadership on leader effectiveness. </w:t>
      </w:r>
      <w:r w:rsidRPr="00164238">
        <w:rPr>
          <w:rFonts w:ascii="Times New Roman" w:eastAsia="Times New Roman" w:hAnsi="Times New Roman" w:cs="Times New Roman"/>
          <w:i/>
          <w:iCs/>
          <w:color w:val="000000" w:themeColor="text1"/>
          <w:lang w:val="en-US"/>
        </w:rPr>
        <w:t>Journal of Leadership, Accountability and Ethics, 13</w:t>
      </w:r>
      <w:r w:rsidRPr="00164238">
        <w:rPr>
          <w:rFonts w:ascii="Times New Roman" w:eastAsia="Times New Roman" w:hAnsi="Times New Roman" w:cs="Times New Roman"/>
          <w:color w:val="000000" w:themeColor="text1"/>
          <w:lang w:val="en-US"/>
        </w:rPr>
        <w:t>(3), 79-97.</w:t>
      </w:r>
    </w:p>
    <w:p w14:paraId="45B4E493"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Times New Roman" w:hAnsi="Times New Roman" w:cs="Times New Roman"/>
          <w:color w:val="000000" w:themeColor="text1"/>
          <w:lang w:val="en-US"/>
        </w:rPr>
        <w:t xml:space="preserve">Çağıran, Z. (2019). </w:t>
      </w:r>
      <w:r w:rsidRPr="00164238">
        <w:rPr>
          <w:rFonts w:ascii="Times New Roman" w:eastAsia="Times New Roman" w:hAnsi="Times New Roman" w:cs="Times New Roman"/>
          <w:i/>
          <w:iCs/>
          <w:color w:val="000000" w:themeColor="text1"/>
          <w:lang w:val="en-US"/>
        </w:rPr>
        <w:t>The moderating role of follerwer’s gender role attitudes and leader’s gender in the relationship between perceived leadership styles and leader effectivesness</w:t>
      </w:r>
      <w:r w:rsidRPr="00164238">
        <w:rPr>
          <w:rFonts w:ascii="Times New Roman" w:eastAsia="Times New Roman" w:hAnsi="Times New Roman" w:cs="Times New Roman"/>
          <w:color w:val="000000" w:themeColor="text1"/>
          <w:lang w:val="en-US"/>
        </w:rPr>
        <w:t xml:space="preserve"> (Master dissertation). İzmir: Yaşar University, Graduate School of Social Sciences, Turkey.</w:t>
      </w:r>
    </w:p>
    <w:p w14:paraId="47B1C07B"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Times New Roman" w:hAnsi="Times New Roman" w:cs="Times New Roman"/>
          <w:color w:val="000000" w:themeColor="text1"/>
          <w:lang w:val="en-US"/>
        </w:rPr>
        <w:lastRenderedPageBreak/>
        <w:t>De Hoogh, A. H., Den Hartog, D. N., &amp; Nevicka, B. (2015). Gender differences in the perceived effectiveness of narcissistic leaders. </w:t>
      </w:r>
      <w:r w:rsidRPr="00164238">
        <w:rPr>
          <w:rFonts w:ascii="Times New Roman" w:eastAsia="Times New Roman" w:hAnsi="Times New Roman" w:cs="Times New Roman"/>
          <w:i/>
          <w:iCs/>
          <w:color w:val="000000" w:themeColor="text1"/>
          <w:lang w:val="en-US"/>
        </w:rPr>
        <w:t>Applied Psychology, 64</w:t>
      </w:r>
      <w:r w:rsidRPr="00164238">
        <w:rPr>
          <w:rFonts w:ascii="Times New Roman" w:eastAsia="Times New Roman" w:hAnsi="Times New Roman" w:cs="Times New Roman"/>
          <w:color w:val="000000" w:themeColor="text1"/>
          <w:lang w:val="en-US"/>
        </w:rPr>
        <w:t>(3), 473-498.</w:t>
      </w:r>
    </w:p>
    <w:p w14:paraId="093209CD"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Times New Roman" w:hAnsi="Times New Roman" w:cs="Times New Roman"/>
          <w:color w:val="000000" w:themeColor="text1"/>
          <w:lang w:val="en-US"/>
        </w:rPr>
        <w:t xml:space="preserve">Ewen, C., Wihler, A., Blickle, G., Oerder, K., Ellen III, B. P., Douglas, C., &amp; Ferris, G. R. (2013). Further specification of the leader political skill-leadership effectiveness relationships: Transformational and transactional leader behavior as mediators. </w:t>
      </w:r>
      <w:r w:rsidRPr="00164238">
        <w:rPr>
          <w:rFonts w:ascii="Times New Roman" w:eastAsia="Times New Roman" w:hAnsi="Times New Roman" w:cs="Times New Roman"/>
          <w:i/>
          <w:iCs/>
          <w:color w:val="000000" w:themeColor="text1"/>
          <w:lang w:val="en-US"/>
        </w:rPr>
        <w:t>The Leadership Quarterly, 24</w:t>
      </w:r>
      <w:r w:rsidRPr="00164238">
        <w:rPr>
          <w:rFonts w:ascii="Times New Roman" w:eastAsia="Times New Roman" w:hAnsi="Times New Roman" w:cs="Times New Roman"/>
          <w:color w:val="000000" w:themeColor="text1"/>
          <w:lang w:val="en-US"/>
        </w:rPr>
        <w:t>(4), 516-533.</w:t>
      </w:r>
    </w:p>
    <w:p w14:paraId="5FAEAC27"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Calibri" w:hAnsi="Times New Roman" w:cs="Times New Roman"/>
          <w:color w:val="000000" w:themeColor="text1"/>
        </w:rPr>
        <w:t xml:space="preserve">George, J. M., &amp; Jones, G. R. (2002). </w:t>
      </w:r>
      <w:r w:rsidRPr="00164238">
        <w:rPr>
          <w:rFonts w:ascii="Times New Roman" w:eastAsia="Calibri" w:hAnsi="Times New Roman" w:cs="Times New Roman"/>
          <w:i/>
          <w:iCs/>
          <w:color w:val="000000" w:themeColor="text1"/>
        </w:rPr>
        <w:t xml:space="preserve">Organizational behavior </w:t>
      </w:r>
      <w:r w:rsidRPr="00164238">
        <w:rPr>
          <w:rFonts w:ascii="Times New Roman" w:eastAsia="Calibri" w:hAnsi="Times New Roman" w:cs="Times New Roman"/>
          <w:color w:val="000000" w:themeColor="text1"/>
        </w:rPr>
        <w:t>(3</w:t>
      </w:r>
      <w:r w:rsidRPr="00164238">
        <w:rPr>
          <w:rFonts w:ascii="Times New Roman" w:eastAsia="Calibri" w:hAnsi="Times New Roman" w:cs="Times New Roman"/>
          <w:color w:val="000000" w:themeColor="text1"/>
          <w:vertAlign w:val="superscript"/>
        </w:rPr>
        <w:t>rd</w:t>
      </w:r>
      <w:r w:rsidRPr="00164238">
        <w:rPr>
          <w:rFonts w:ascii="Times New Roman" w:eastAsia="Calibri" w:hAnsi="Times New Roman" w:cs="Times New Roman"/>
          <w:color w:val="000000" w:themeColor="text1"/>
        </w:rPr>
        <w:t xml:space="preserve"> edition). New Jersey: Prentice Hall.</w:t>
      </w:r>
    </w:p>
    <w:p w14:paraId="4B0F343A"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Times New Roman" w:hAnsi="Times New Roman" w:cs="Times New Roman"/>
          <w:color w:val="000000" w:themeColor="text1"/>
          <w:lang w:val="en-US"/>
        </w:rPr>
        <w:t>Gillespie, N. A., &amp; Mann, L. (2004). Transformational leadership and shared values: The building blocks of trust. </w:t>
      </w:r>
      <w:r w:rsidRPr="00164238">
        <w:rPr>
          <w:rFonts w:ascii="Times New Roman" w:eastAsia="Times New Roman" w:hAnsi="Times New Roman" w:cs="Times New Roman"/>
          <w:i/>
          <w:iCs/>
          <w:color w:val="000000" w:themeColor="text1"/>
          <w:lang w:val="en-US"/>
        </w:rPr>
        <w:t>Journal of Managerial Psychology, 19</w:t>
      </w:r>
      <w:r w:rsidRPr="00164238">
        <w:rPr>
          <w:rFonts w:ascii="Times New Roman" w:eastAsia="Times New Roman" w:hAnsi="Times New Roman" w:cs="Times New Roman"/>
          <w:color w:val="000000" w:themeColor="text1"/>
          <w:lang w:val="en-US"/>
        </w:rPr>
        <w:t>(6), 588-607.</w:t>
      </w:r>
    </w:p>
    <w:p w14:paraId="215369AB"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Calibri" w:hAnsi="Times New Roman" w:cs="Times New Roman"/>
          <w:color w:val="000000" w:themeColor="text1"/>
        </w:rPr>
        <w:t xml:space="preserve">Hair, J. F., Black, W. C., Babin B. J., &amp; Anderson, R. E. (2010). </w:t>
      </w:r>
      <w:r w:rsidRPr="00164238">
        <w:rPr>
          <w:rFonts w:ascii="Times New Roman" w:eastAsia="Calibri" w:hAnsi="Times New Roman" w:cs="Times New Roman"/>
          <w:i/>
          <w:iCs/>
          <w:color w:val="000000" w:themeColor="text1"/>
        </w:rPr>
        <w:t xml:space="preserve">Multivariate data analysis </w:t>
      </w:r>
      <w:r w:rsidRPr="00164238">
        <w:rPr>
          <w:rFonts w:ascii="Times New Roman" w:eastAsia="Calibri" w:hAnsi="Times New Roman" w:cs="Times New Roman"/>
          <w:iCs/>
          <w:color w:val="000000" w:themeColor="text1"/>
        </w:rPr>
        <w:t>(7</w:t>
      </w:r>
      <w:r w:rsidRPr="00164238">
        <w:rPr>
          <w:rFonts w:ascii="Times New Roman" w:eastAsia="Calibri" w:hAnsi="Times New Roman" w:cs="Times New Roman"/>
          <w:iCs/>
          <w:color w:val="000000" w:themeColor="text1"/>
          <w:vertAlign w:val="superscript"/>
        </w:rPr>
        <w:t>th</w:t>
      </w:r>
      <w:r w:rsidRPr="00164238">
        <w:rPr>
          <w:rFonts w:ascii="Times New Roman" w:eastAsia="Calibri" w:hAnsi="Times New Roman" w:cs="Times New Roman"/>
          <w:iCs/>
          <w:color w:val="000000" w:themeColor="text1"/>
        </w:rPr>
        <w:t xml:space="preserve"> edition).</w:t>
      </w:r>
      <w:r w:rsidRPr="00164238">
        <w:rPr>
          <w:rFonts w:ascii="Times New Roman" w:eastAsia="Calibri" w:hAnsi="Times New Roman" w:cs="Times New Roman"/>
          <w:i/>
          <w:iCs/>
          <w:color w:val="000000" w:themeColor="text1"/>
        </w:rPr>
        <w:t xml:space="preserve"> </w:t>
      </w:r>
      <w:r w:rsidRPr="00164238">
        <w:rPr>
          <w:rFonts w:ascii="Times New Roman" w:eastAsia="Calibri" w:hAnsi="Times New Roman" w:cs="Times New Roman"/>
          <w:color w:val="000000" w:themeColor="text1"/>
        </w:rPr>
        <w:t>New Jersey: Pearson Prentice Hall.</w:t>
      </w:r>
    </w:p>
    <w:p w14:paraId="18097B5F"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Times New Roman" w:hAnsi="Times New Roman" w:cs="Times New Roman"/>
          <w:color w:val="000000" w:themeColor="text1"/>
          <w:lang w:val="en-US"/>
        </w:rPr>
        <w:t xml:space="preserve">Hassan, S., Mahsud, R., Yukl, G., &amp; Prussia, G. E. (2013). Ethical and empowering leadership and leader effectiveness. </w:t>
      </w:r>
      <w:r w:rsidRPr="00164238">
        <w:rPr>
          <w:rFonts w:ascii="Times New Roman" w:eastAsia="Times New Roman" w:hAnsi="Times New Roman" w:cs="Times New Roman"/>
          <w:i/>
          <w:iCs/>
          <w:color w:val="000000" w:themeColor="text1"/>
          <w:lang w:val="en-US"/>
        </w:rPr>
        <w:t>Journal of Managerial Psychology, 28</w:t>
      </w:r>
      <w:r w:rsidRPr="00164238">
        <w:rPr>
          <w:rFonts w:ascii="Times New Roman" w:eastAsia="Times New Roman" w:hAnsi="Times New Roman" w:cs="Times New Roman"/>
          <w:color w:val="000000" w:themeColor="text1"/>
          <w:lang w:val="en-US"/>
        </w:rPr>
        <w:t>(2), 133-146.</w:t>
      </w:r>
    </w:p>
    <w:p w14:paraId="3ECEB278"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Times New Roman" w:hAnsi="Times New Roman" w:cs="Times New Roman"/>
          <w:color w:val="000000" w:themeColor="text1"/>
          <w:lang w:val="en-US"/>
        </w:rPr>
        <w:t xml:space="preserve">Hoffman, B. J., Strang, S. E., Kuhnert, K. W., Campbell, W. K., Kennedy, C. L., &amp; LoPilato, A. C. (2013). Leader narcissism and ethical context: Effects on ethical leadership and leader effectiveness. </w:t>
      </w:r>
      <w:r w:rsidRPr="00164238">
        <w:rPr>
          <w:rFonts w:ascii="Times New Roman" w:eastAsia="Times New Roman" w:hAnsi="Times New Roman" w:cs="Times New Roman"/>
          <w:i/>
          <w:iCs/>
          <w:color w:val="000000" w:themeColor="text1"/>
          <w:lang w:val="en-US"/>
        </w:rPr>
        <w:t>Journal of Leadership and Organizational Studies, 20</w:t>
      </w:r>
      <w:r w:rsidRPr="00164238">
        <w:rPr>
          <w:rFonts w:ascii="Times New Roman" w:eastAsia="Times New Roman" w:hAnsi="Times New Roman" w:cs="Times New Roman"/>
          <w:color w:val="000000" w:themeColor="text1"/>
          <w:lang w:val="en-US"/>
        </w:rPr>
        <w:t>(1), 25-37.</w:t>
      </w:r>
    </w:p>
    <w:p w14:paraId="1AA17FF6"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Times New Roman" w:hAnsi="Times New Roman" w:cs="Times New Roman"/>
          <w:color w:val="000000" w:themeColor="text1"/>
          <w:lang w:val="en-US"/>
        </w:rPr>
        <w:t xml:space="preserve">Husted, C. L. (2008). </w:t>
      </w:r>
      <w:r w:rsidRPr="00164238">
        <w:rPr>
          <w:rFonts w:ascii="Times New Roman" w:eastAsia="Times New Roman" w:hAnsi="Times New Roman" w:cs="Times New Roman"/>
          <w:i/>
          <w:iCs/>
          <w:color w:val="000000" w:themeColor="text1"/>
          <w:lang w:val="en-US"/>
        </w:rPr>
        <w:t>Systematic differentiation between dark and light leaders: Is a corporate criminal profile possible?</w:t>
      </w:r>
      <w:r w:rsidRPr="00164238">
        <w:rPr>
          <w:rFonts w:ascii="Times New Roman" w:eastAsia="Times New Roman" w:hAnsi="Times New Roman" w:cs="Times New Roman"/>
          <w:color w:val="000000" w:themeColor="text1"/>
          <w:lang w:val="en-US"/>
        </w:rPr>
        <w:t xml:space="preserve"> (Doctoral thesis). Minnesota: Capella University, School of Business and Technology, USA.</w:t>
      </w:r>
    </w:p>
    <w:p w14:paraId="40B6B617"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Times New Roman" w:hAnsi="Times New Roman" w:cs="Times New Roman"/>
          <w:color w:val="000000" w:themeColor="text1"/>
          <w:lang w:val="en-US"/>
        </w:rPr>
        <w:t xml:space="preserve">Ilies, R., Curşeu, P. L., Dimotakis, N., &amp; Matthias, S. (2013). Leaders’ emotional expressiveness and their behavioural and relational authenticity: Effects on followers. </w:t>
      </w:r>
      <w:r w:rsidRPr="00164238">
        <w:rPr>
          <w:rFonts w:ascii="Times New Roman" w:eastAsia="Times New Roman" w:hAnsi="Times New Roman" w:cs="Times New Roman"/>
          <w:i/>
          <w:iCs/>
          <w:color w:val="000000" w:themeColor="text1"/>
          <w:lang w:val="en-US"/>
        </w:rPr>
        <w:t>European Journal of Work and Organizational Psychology, 22</w:t>
      </w:r>
      <w:r w:rsidRPr="00164238">
        <w:rPr>
          <w:rFonts w:ascii="Times New Roman" w:eastAsia="Times New Roman" w:hAnsi="Times New Roman" w:cs="Times New Roman"/>
          <w:color w:val="000000" w:themeColor="text1"/>
          <w:lang w:val="en-US"/>
        </w:rPr>
        <w:t>(1), 4-14.</w:t>
      </w:r>
    </w:p>
    <w:p w14:paraId="3C747343"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Times New Roman" w:hAnsi="Times New Roman" w:cs="Times New Roman"/>
          <w:color w:val="000000" w:themeColor="text1"/>
          <w:lang w:val="en-US"/>
        </w:rPr>
        <w:t xml:space="preserve">Jawadi, N., Daassi, M., Kalika, M., &amp; Favier, M. (2008). Virtual teams: The role of leadership in trust management. in </w:t>
      </w:r>
      <w:r w:rsidRPr="00164238">
        <w:rPr>
          <w:rFonts w:ascii="Times New Roman" w:eastAsia="Times New Roman" w:hAnsi="Times New Roman" w:cs="Times New Roman"/>
          <w:i/>
          <w:iCs/>
          <w:color w:val="000000" w:themeColor="text1"/>
          <w:lang w:val="en-US"/>
        </w:rPr>
        <w:t>Computer-Mediated Relationships and Trust: Managerial and Organizational Effects</w:t>
      </w:r>
      <w:r w:rsidRPr="00164238">
        <w:rPr>
          <w:rFonts w:ascii="Times New Roman" w:eastAsia="Times New Roman" w:hAnsi="Times New Roman" w:cs="Times New Roman"/>
          <w:color w:val="000000" w:themeColor="text1"/>
          <w:lang w:val="en-US"/>
        </w:rPr>
        <w:t xml:space="preserve"> (pp. 34-45), Brennan, L. L. &amp; Johnson V. E. (Eds.), IGI Global.</w:t>
      </w:r>
    </w:p>
    <w:p w14:paraId="5A76A230"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Times New Roman" w:hAnsi="Times New Roman" w:cs="Times New Roman"/>
          <w:color w:val="000000" w:themeColor="text1"/>
          <w:lang w:val="en-US"/>
        </w:rPr>
        <w:t xml:space="preserve">Jung, D., Yammarino, F. J., &amp; Lee, J.K. (2009). Moderating role of subordinates’ attitudes on transformational leadership and effectiveness: A multi-cultural and multi-level perspective. </w:t>
      </w:r>
      <w:r w:rsidRPr="00164238">
        <w:rPr>
          <w:rFonts w:ascii="Times New Roman" w:eastAsia="Times New Roman" w:hAnsi="Times New Roman" w:cs="Times New Roman"/>
          <w:i/>
          <w:iCs/>
          <w:color w:val="000000" w:themeColor="text1"/>
          <w:lang w:val="en-US"/>
        </w:rPr>
        <w:t>The Leadership Quarterly, 20</w:t>
      </w:r>
      <w:r w:rsidRPr="00164238">
        <w:rPr>
          <w:rFonts w:ascii="Times New Roman" w:eastAsia="Times New Roman" w:hAnsi="Times New Roman" w:cs="Times New Roman"/>
          <w:color w:val="000000" w:themeColor="text1"/>
          <w:lang w:val="en-US"/>
        </w:rPr>
        <w:t>(4), 586-603.</w:t>
      </w:r>
    </w:p>
    <w:p w14:paraId="1438E4E8"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Times New Roman" w:hAnsi="Times New Roman" w:cs="Times New Roman"/>
          <w:color w:val="000000" w:themeColor="text1"/>
          <w:lang w:val="en-US"/>
        </w:rPr>
        <w:t xml:space="preserve">Kahn, R. L., Wolfe, D. M., Quinn, R. P., Snoek, J. D., &amp; Rosenthal, R. A. (1965). Organizational stress: Studies in role conflict and ambiguity. </w:t>
      </w:r>
      <w:r w:rsidRPr="00164238">
        <w:rPr>
          <w:rFonts w:ascii="Times New Roman" w:eastAsia="Times New Roman" w:hAnsi="Times New Roman" w:cs="Times New Roman"/>
          <w:i/>
          <w:iCs/>
          <w:color w:val="000000" w:themeColor="text1"/>
          <w:lang w:val="en-US"/>
        </w:rPr>
        <w:t>Administrative Science Quarterly, 10</w:t>
      </w:r>
      <w:r w:rsidRPr="00164238">
        <w:rPr>
          <w:rFonts w:ascii="Times New Roman" w:eastAsia="Times New Roman" w:hAnsi="Times New Roman" w:cs="Times New Roman"/>
          <w:color w:val="000000" w:themeColor="text1"/>
          <w:lang w:val="en-US"/>
        </w:rPr>
        <w:t>(1), 125-129.</w:t>
      </w:r>
    </w:p>
    <w:p w14:paraId="65B2471C"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Calibri" w:hAnsi="Times New Roman" w:cs="Times New Roman"/>
          <w:color w:val="000000" w:themeColor="text1"/>
        </w:rPr>
        <w:t xml:space="preserve">Kalaycı, Ş. (2010). </w:t>
      </w:r>
      <w:r w:rsidRPr="00164238">
        <w:rPr>
          <w:rFonts w:ascii="Times New Roman" w:eastAsia="Arial,Italic" w:hAnsi="Times New Roman" w:cs="Times New Roman"/>
          <w:i/>
          <w:iCs/>
          <w:color w:val="000000" w:themeColor="text1"/>
        </w:rPr>
        <w:t xml:space="preserve">Spss uygulamalı çok değişkenli istatistik teknikleri </w:t>
      </w:r>
      <w:r w:rsidRPr="00164238">
        <w:rPr>
          <w:rFonts w:ascii="Times New Roman" w:eastAsia="Arial,Italic" w:hAnsi="Times New Roman" w:cs="Times New Roman"/>
          <w:iCs/>
          <w:color w:val="000000" w:themeColor="text1"/>
        </w:rPr>
        <w:t>(</w:t>
      </w:r>
      <w:r w:rsidRPr="00164238">
        <w:rPr>
          <w:rFonts w:ascii="Times New Roman" w:eastAsia="Times New Roman" w:hAnsi="Times New Roman" w:cs="Times New Roman"/>
          <w:color w:val="000000" w:themeColor="text1"/>
          <w:lang w:val="en-US"/>
        </w:rPr>
        <w:t>5</w:t>
      </w:r>
      <w:r w:rsidRPr="00164238">
        <w:rPr>
          <w:rFonts w:ascii="Times New Roman" w:eastAsia="Times New Roman" w:hAnsi="Times New Roman" w:cs="Times New Roman"/>
          <w:color w:val="000000" w:themeColor="text1"/>
          <w:vertAlign w:val="superscript"/>
          <w:lang w:val="en-US"/>
        </w:rPr>
        <w:t>th</w:t>
      </w:r>
      <w:r w:rsidRPr="00164238">
        <w:rPr>
          <w:rFonts w:ascii="Times New Roman" w:eastAsia="Times New Roman" w:hAnsi="Times New Roman" w:cs="Times New Roman"/>
          <w:color w:val="000000" w:themeColor="text1"/>
          <w:lang w:val="en-US"/>
        </w:rPr>
        <w:t xml:space="preserve"> edition</w:t>
      </w:r>
      <w:r w:rsidRPr="00164238">
        <w:rPr>
          <w:rFonts w:ascii="Times New Roman" w:eastAsia="Arial,Italic" w:hAnsi="Times New Roman" w:cs="Times New Roman"/>
          <w:color w:val="000000" w:themeColor="text1"/>
        </w:rPr>
        <w:t>).</w:t>
      </w:r>
      <w:r w:rsidRPr="00164238">
        <w:rPr>
          <w:rFonts w:ascii="Times New Roman" w:eastAsia="Arial,Italic" w:hAnsi="Times New Roman" w:cs="Times New Roman"/>
          <w:iCs/>
          <w:color w:val="000000" w:themeColor="text1"/>
        </w:rPr>
        <w:t xml:space="preserve"> Ankara: </w:t>
      </w:r>
      <w:r w:rsidRPr="00164238">
        <w:rPr>
          <w:rFonts w:ascii="Times New Roman" w:eastAsia="Calibri" w:hAnsi="Times New Roman" w:cs="Times New Roman"/>
          <w:color w:val="000000" w:themeColor="text1"/>
        </w:rPr>
        <w:t>Asil Yayınevi.</w:t>
      </w:r>
    </w:p>
    <w:p w14:paraId="035EEB2C"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Times New Roman" w:hAnsi="Times New Roman" w:cs="Times New Roman"/>
          <w:color w:val="000000" w:themeColor="text1"/>
          <w:lang w:val="en-US"/>
        </w:rPr>
        <w:t xml:space="preserve">Kalshoven, K., &amp; den Hartog, D. N. (2009). Ethical leader behavior and leader effectiveness: The role of prototypicality and trust. </w:t>
      </w:r>
      <w:r w:rsidRPr="00164238">
        <w:rPr>
          <w:rFonts w:ascii="Times New Roman" w:eastAsia="Times New Roman" w:hAnsi="Times New Roman" w:cs="Times New Roman"/>
          <w:i/>
          <w:iCs/>
          <w:color w:val="000000" w:themeColor="text1"/>
          <w:lang w:val="en-US"/>
        </w:rPr>
        <w:t>International Journal of Leadership Studies, 5</w:t>
      </w:r>
      <w:r w:rsidRPr="00164238">
        <w:rPr>
          <w:rFonts w:ascii="Times New Roman" w:eastAsia="Times New Roman" w:hAnsi="Times New Roman" w:cs="Times New Roman"/>
          <w:color w:val="000000" w:themeColor="text1"/>
          <w:lang w:val="en-US"/>
        </w:rPr>
        <w:t>(2), 102-120.</w:t>
      </w:r>
    </w:p>
    <w:p w14:paraId="6B709CF8"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Times New Roman" w:hAnsi="Times New Roman" w:cs="Times New Roman"/>
          <w:color w:val="000000" w:themeColor="text1"/>
          <w:lang w:val="en-US"/>
        </w:rPr>
        <w:t xml:space="preserve">Kanaz, E. A. (2019). </w:t>
      </w:r>
      <w:r w:rsidRPr="00164238">
        <w:rPr>
          <w:rFonts w:ascii="Times New Roman" w:eastAsia="Times New Roman" w:hAnsi="Times New Roman" w:cs="Times New Roman"/>
          <w:i/>
          <w:iCs/>
          <w:color w:val="000000" w:themeColor="text1"/>
          <w:lang w:val="en-US"/>
        </w:rPr>
        <w:t>Transformational and transactional leadership styles as predictors of trust in leader and perceived leadership effectiveness: Moderating role of affect intensity</w:t>
      </w:r>
      <w:r w:rsidRPr="00164238">
        <w:rPr>
          <w:rFonts w:ascii="Times New Roman" w:eastAsia="Times New Roman" w:hAnsi="Times New Roman" w:cs="Times New Roman"/>
          <w:color w:val="000000" w:themeColor="text1"/>
          <w:lang w:val="en-US"/>
        </w:rPr>
        <w:t xml:space="preserve"> </w:t>
      </w:r>
      <w:r w:rsidRPr="00164238">
        <w:rPr>
          <w:rFonts w:ascii="Times New Roman" w:eastAsia="Times New Roman" w:hAnsi="Times New Roman" w:cs="Times New Roman"/>
          <w:color w:val="000000" w:themeColor="text1"/>
          <w:lang w:val="en-US"/>
        </w:rPr>
        <w:lastRenderedPageBreak/>
        <w:t>(Doctoral thesis). Ankara: Middle East Technical University, The Graduate School of Social Sciences, Turkey.</w:t>
      </w:r>
    </w:p>
    <w:p w14:paraId="5A42D9D1"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Times New Roman" w:hAnsi="Times New Roman" w:cs="Times New Roman"/>
          <w:color w:val="000000" w:themeColor="text1"/>
          <w:lang w:val="en-US"/>
        </w:rPr>
        <w:t xml:space="preserve">Lee, J., &amp; Wei, F. (2008). Uncover the black-box of leadership effectiveness: Leader-member exchange as the mediator. </w:t>
      </w:r>
      <w:r w:rsidRPr="00164238">
        <w:rPr>
          <w:rFonts w:ascii="Times New Roman" w:eastAsia="Times New Roman" w:hAnsi="Times New Roman" w:cs="Times New Roman"/>
          <w:i/>
          <w:iCs/>
          <w:color w:val="000000" w:themeColor="text1"/>
          <w:lang w:val="en-US"/>
        </w:rPr>
        <w:t>Frontiers of Business Research in China, 2</w:t>
      </w:r>
      <w:r w:rsidRPr="00164238">
        <w:rPr>
          <w:rFonts w:ascii="Times New Roman" w:eastAsia="Times New Roman" w:hAnsi="Times New Roman" w:cs="Times New Roman"/>
          <w:color w:val="000000" w:themeColor="text1"/>
          <w:lang w:val="en-US"/>
        </w:rPr>
        <w:t>(2), 240-255.</w:t>
      </w:r>
    </w:p>
    <w:p w14:paraId="51AB0D5A"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Times New Roman" w:hAnsi="Times New Roman" w:cs="Times New Roman"/>
          <w:color w:val="000000" w:themeColor="text1"/>
          <w:lang w:val="en-US"/>
        </w:rPr>
        <w:t xml:space="preserve">Liu, C., Ready, D., Roman, A., Van Wart, M., Wang, X., McCarthy, A., &amp; Kim, S. (2018). E-leadership: An empirical study of organizational leaders’ virtual communication adoption. </w:t>
      </w:r>
      <w:r w:rsidRPr="00164238">
        <w:rPr>
          <w:rFonts w:ascii="Times New Roman" w:eastAsia="Times New Roman" w:hAnsi="Times New Roman" w:cs="Times New Roman"/>
          <w:i/>
          <w:iCs/>
          <w:color w:val="000000" w:themeColor="text1"/>
          <w:lang w:val="en-US"/>
        </w:rPr>
        <w:t>Leadership &amp; Organization Development Journal, 39</w:t>
      </w:r>
      <w:r w:rsidRPr="00164238">
        <w:rPr>
          <w:rFonts w:ascii="Times New Roman" w:eastAsia="Times New Roman" w:hAnsi="Times New Roman" w:cs="Times New Roman"/>
          <w:color w:val="000000" w:themeColor="text1"/>
          <w:lang w:val="en-US"/>
        </w:rPr>
        <w:t>(7), 826-843.</w:t>
      </w:r>
    </w:p>
    <w:p w14:paraId="2A2C1B26"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Times New Roman" w:hAnsi="Times New Roman" w:cs="Times New Roman"/>
          <w:color w:val="000000" w:themeColor="text1"/>
          <w:lang w:val="en-US"/>
        </w:rPr>
        <w:t>Liu, C., Tjosvold, D., &amp; Wong, M. (2004). Effective Japanese leadership in China: Co-operative goals and applying abilities for mutual benefit. </w:t>
      </w:r>
      <w:r w:rsidRPr="00164238">
        <w:rPr>
          <w:rFonts w:ascii="Times New Roman" w:eastAsia="Times New Roman" w:hAnsi="Times New Roman" w:cs="Times New Roman"/>
          <w:i/>
          <w:iCs/>
          <w:color w:val="000000" w:themeColor="text1"/>
          <w:lang w:val="en-US"/>
        </w:rPr>
        <w:t>The International Journal of Human Resource Management, 15</w:t>
      </w:r>
      <w:r w:rsidRPr="00164238">
        <w:rPr>
          <w:rFonts w:ascii="Times New Roman" w:eastAsia="Times New Roman" w:hAnsi="Times New Roman" w:cs="Times New Roman"/>
          <w:color w:val="000000" w:themeColor="text1"/>
          <w:lang w:val="en-US"/>
        </w:rPr>
        <w:t>(4-5), 730-749.</w:t>
      </w:r>
    </w:p>
    <w:p w14:paraId="791A5865"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Times New Roman" w:hAnsi="Times New Roman" w:cs="Times New Roman"/>
          <w:color w:val="000000" w:themeColor="text1"/>
          <w:lang w:val="en-US"/>
        </w:rPr>
        <w:t xml:space="preserve">Naktiyok, A. (2006). E-liderlik: E-liderlik özelliklerinin incelenmesine yönelik bir araştırma. </w:t>
      </w:r>
      <w:r w:rsidRPr="00164238">
        <w:rPr>
          <w:rFonts w:ascii="Times New Roman" w:hAnsi="Times New Roman" w:cs="Times New Roman"/>
          <w:i/>
          <w:iCs/>
          <w:color w:val="000000" w:themeColor="text1"/>
          <w:lang w:val="en-US"/>
        </w:rPr>
        <w:t>Dokuz Eylül University: Journal of Faculty of Business</w:t>
      </w:r>
      <w:r w:rsidRPr="00164238">
        <w:rPr>
          <w:rFonts w:ascii="Times New Roman" w:eastAsia="Times New Roman" w:hAnsi="Times New Roman" w:cs="Times New Roman"/>
          <w:i/>
          <w:iCs/>
          <w:color w:val="000000" w:themeColor="text1"/>
          <w:lang w:val="en-US"/>
        </w:rPr>
        <w:t>, 7</w:t>
      </w:r>
      <w:r w:rsidRPr="00164238">
        <w:rPr>
          <w:rFonts w:ascii="Times New Roman" w:eastAsia="Times New Roman" w:hAnsi="Times New Roman" w:cs="Times New Roman"/>
          <w:color w:val="000000" w:themeColor="text1"/>
          <w:lang w:val="en-US"/>
        </w:rPr>
        <w:t>(1), 19-40.</w:t>
      </w:r>
    </w:p>
    <w:p w14:paraId="02BE017F"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Times New Roman" w:hAnsi="Times New Roman" w:cs="Times New Roman"/>
          <w:color w:val="000000" w:themeColor="text1"/>
          <w:lang w:val="en-US"/>
        </w:rPr>
        <w:t xml:space="preserve">Nichols, T. W., &amp; Erakovich, R. (2013). Authentic leadership and implicit theory: A normative form of leadership?. </w:t>
      </w:r>
      <w:r w:rsidRPr="00164238">
        <w:rPr>
          <w:rFonts w:ascii="Times New Roman" w:eastAsia="Times New Roman" w:hAnsi="Times New Roman" w:cs="Times New Roman"/>
          <w:i/>
          <w:iCs/>
          <w:color w:val="000000" w:themeColor="text1"/>
          <w:lang w:val="en-US"/>
        </w:rPr>
        <w:t>Leadership and Organization Development Journal, 34</w:t>
      </w:r>
      <w:r w:rsidRPr="00164238">
        <w:rPr>
          <w:rFonts w:ascii="Times New Roman" w:eastAsia="Times New Roman" w:hAnsi="Times New Roman" w:cs="Times New Roman"/>
          <w:color w:val="000000" w:themeColor="text1"/>
          <w:lang w:val="en-US"/>
        </w:rPr>
        <w:t>(2), 182-195.</w:t>
      </w:r>
    </w:p>
    <w:p w14:paraId="4E4C20B4"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Times New Roman" w:hAnsi="Times New Roman" w:cs="Times New Roman"/>
          <w:color w:val="000000" w:themeColor="text1"/>
          <w:lang w:val="en-US"/>
        </w:rPr>
        <w:t xml:space="preserve">Özkara, Z. U. (2019). </w:t>
      </w:r>
      <w:r w:rsidRPr="00164238">
        <w:rPr>
          <w:rFonts w:ascii="Times New Roman" w:eastAsia="Times New Roman" w:hAnsi="Times New Roman" w:cs="Times New Roman"/>
          <w:i/>
          <w:iCs/>
          <w:color w:val="000000" w:themeColor="text1"/>
          <w:lang w:val="en-US"/>
        </w:rPr>
        <w:t>Örgütlerde otantik liderlik ve politik yeti: Hemşireler üzerinde bir araştırma</w:t>
      </w:r>
      <w:r w:rsidRPr="00164238">
        <w:rPr>
          <w:rFonts w:ascii="Times New Roman" w:eastAsia="Times New Roman" w:hAnsi="Times New Roman" w:cs="Times New Roman"/>
          <w:color w:val="000000" w:themeColor="text1"/>
          <w:lang w:val="en-US"/>
        </w:rPr>
        <w:t>. Ankara: Gazi Kitabevi, Turkey.</w:t>
      </w:r>
    </w:p>
    <w:p w14:paraId="598F82BE"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Times New Roman" w:hAnsi="Times New Roman" w:cs="Times New Roman"/>
          <w:color w:val="000000" w:themeColor="text1"/>
          <w:lang w:val="en-US"/>
        </w:rPr>
        <w:t>Sadeghi, A., &amp; Pihie, Z. A. L. (2012). Transformational leadership and its predictive effects on leadership effectiveness. </w:t>
      </w:r>
      <w:r w:rsidRPr="00164238">
        <w:rPr>
          <w:rFonts w:ascii="Times New Roman" w:eastAsia="Times New Roman" w:hAnsi="Times New Roman" w:cs="Times New Roman"/>
          <w:i/>
          <w:iCs/>
          <w:color w:val="000000" w:themeColor="text1"/>
          <w:lang w:val="en-US"/>
        </w:rPr>
        <w:t>International Journal of Business and Social Science, 3</w:t>
      </w:r>
      <w:r w:rsidRPr="00164238">
        <w:rPr>
          <w:rFonts w:ascii="Times New Roman" w:eastAsia="Times New Roman" w:hAnsi="Times New Roman" w:cs="Times New Roman"/>
          <w:color w:val="000000" w:themeColor="text1"/>
          <w:lang w:val="en-US"/>
        </w:rPr>
        <w:t>(7), 186-197.</w:t>
      </w:r>
    </w:p>
    <w:p w14:paraId="71978C56"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Times New Roman" w:hAnsi="Times New Roman" w:cs="Times New Roman"/>
          <w:color w:val="000000" w:themeColor="text1"/>
          <w:lang w:val="en-US"/>
        </w:rPr>
        <w:t xml:space="preserve">Spreitzer, G. M., Perttula, K. H., &amp; Xin, K. (2005). Traditionality matters: An examination of the effectiveness of transformational leadership in the United States and Taiwan. </w:t>
      </w:r>
      <w:r w:rsidRPr="00164238">
        <w:rPr>
          <w:rFonts w:ascii="Times New Roman" w:eastAsia="Times New Roman" w:hAnsi="Times New Roman" w:cs="Times New Roman"/>
          <w:i/>
          <w:iCs/>
          <w:color w:val="000000" w:themeColor="text1"/>
          <w:lang w:val="en-US"/>
        </w:rPr>
        <w:t>Journal of Organizational Behavior, 26</w:t>
      </w:r>
      <w:r w:rsidRPr="00164238">
        <w:rPr>
          <w:rFonts w:ascii="Times New Roman" w:eastAsia="Times New Roman" w:hAnsi="Times New Roman" w:cs="Times New Roman"/>
          <w:color w:val="000000" w:themeColor="text1"/>
          <w:lang w:val="en-US"/>
        </w:rPr>
        <w:t>(3), 205-227.</w:t>
      </w:r>
    </w:p>
    <w:p w14:paraId="5DEFACDC"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Times New Roman" w:hAnsi="Times New Roman" w:cs="Times New Roman"/>
          <w:color w:val="000000" w:themeColor="text1"/>
          <w:lang w:val="en-US"/>
        </w:rPr>
        <w:t xml:space="preserve">Şimşek, M. Ş., Akgemci, T., &amp; Çelik, A. (2008). </w:t>
      </w:r>
      <w:r w:rsidRPr="00164238">
        <w:rPr>
          <w:rFonts w:ascii="Times New Roman" w:eastAsia="Times New Roman" w:hAnsi="Times New Roman" w:cs="Times New Roman"/>
          <w:i/>
          <w:iCs/>
          <w:color w:val="000000" w:themeColor="text1"/>
          <w:lang w:val="en-US"/>
        </w:rPr>
        <w:t>Davranış bilimlerine giriş ve örgütlerde davranış</w:t>
      </w:r>
      <w:r w:rsidRPr="00164238">
        <w:rPr>
          <w:rFonts w:ascii="Times New Roman" w:eastAsia="Times New Roman" w:hAnsi="Times New Roman" w:cs="Times New Roman"/>
          <w:color w:val="000000" w:themeColor="text1"/>
          <w:lang w:val="en-US"/>
        </w:rPr>
        <w:t xml:space="preserve"> (6</w:t>
      </w:r>
      <w:r w:rsidRPr="00164238">
        <w:rPr>
          <w:rFonts w:ascii="Times New Roman" w:eastAsia="Times New Roman" w:hAnsi="Times New Roman" w:cs="Times New Roman"/>
          <w:color w:val="000000" w:themeColor="text1"/>
          <w:vertAlign w:val="superscript"/>
          <w:lang w:val="en-US"/>
        </w:rPr>
        <w:t>th</w:t>
      </w:r>
      <w:r w:rsidRPr="00164238">
        <w:rPr>
          <w:rFonts w:ascii="Times New Roman" w:eastAsia="Times New Roman" w:hAnsi="Times New Roman" w:cs="Times New Roman"/>
          <w:color w:val="000000" w:themeColor="text1"/>
          <w:lang w:val="en-US"/>
        </w:rPr>
        <w:t xml:space="preserve"> edition). Ankara: Gazi Kitabevi, Turkey.</w:t>
      </w:r>
    </w:p>
    <w:p w14:paraId="4EC76A3C"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Times New Roman" w:hAnsi="Times New Roman" w:cs="Times New Roman"/>
          <w:color w:val="000000" w:themeColor="text1"/>
          <w:lang w:val="en-US"/>
        </w:rPr>
        <w:t xml:space="preserve">Tabachnick, B. G., &amp; Fidell, L. S. (2013). </w:t>
      </w:r>
      <w:r w:rsidRPr="00164238">
        <w:rPr>
          <w:rFonts w:ascii="Times New Roman" w:eastAsia="Times New Roman" w:hAnsi="Times New Roman" w:cs="Times New Roman"/>
          <w:i/>
          <w:color w:val="000000" w:themeColor="text1"/>
          <w:lang w:val="en-US"/>
        </w:rPr>
        <w:t>Using multivariate statistics.</w:t>
      </w:r>
      <w:r w:rsidRPr="00164238">
        <w:rPr>
          <w:rFonts w:ascii="Times New Roman" w:eastAsia="Times New Roman" w:hAnsi="Times New Roman" w:cs="Times New Roman"/>
          <w:color w:val="000000" w:themeColor="text1"/>
          <w:lang w:val="en-US"/>
        </w:rPr>
        <w:t xml:space="preserve"> (6</w:t>
      </w:r>
      <w:r w:rsidRPr="00164238">
        <w:rPr>
          <w:rFonts w:ascii="Times New Roman" w:eastAsia="Times New Roman" w:hAnsi="Times New Roman" w:cs="Times New Roman"/>
          <w:color w:val="000000" w:themeColor="text1"/>
          <w:vertAlign w:val="superscript"/>
          <w:lang w:val="en-US"/>
        </w:rPr>
        <w:t>th</w:t>
      </w:r>
      <w:r w:rsidRPr="00164238">
        <w:rPr>
          <w:rFonts w:ascii="Times New Roman" w:eastAsia="Times New Roman" w:hAnsi="Times New Roman" w:cs="Times New Roman"/>
          <w:color w:val="000000" w:themeColor="text1"/>
          <w:lang w:val="en-US"/>
        </w:rPr>
        <w:t xml:space="preserve"> edition). Boston: Allyn &amp; Bacon.</w:t>
      </w:r>
    </w:p>
    <w:p w14:paraId="5343525E"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Times New Roman" w:hAnsi="Times New Roman" w:cs="Times New Roman"/>
          <w:color w:val="000000" w:themeColor="text1"/>
          <w:lang w:val="en-US"/>
        </w:rPr>
        <w:t xml:space="preserve">Taş, A., Özkara, Z. U., &amp; Aydıntan, B. (2020a). Relationships between supervisor’s virtual technology competence and trust in supervisor. in </w:t>
      </w:r>
      <w:r w:rsidRPr="00164238">
        <w:rPr>
          <w:rFonts w:ascii="Times New Roman" w:eastAsia="Times New Roman" w:hAnsi="Times New Roman" w:cs="Times New Roman"/>
          <w:i/>
          <w:iCs/>
          <w:color w:val="000000" w:themeColor="text1"/>
          <w:lang w:val="en-US"/>
        </w:rPr>
        <w:t>International Symposium on Business &amp; Economics (ISBE) 2020 Proceedings: Digitalization</w:t>
      </w:r>
      <w:r w:rsidRPr="00164238">
        <w:rPr>
          <w:rFonts w:ascii="Times New Roman" w:eastAsia="Times New Roman" w:hAnsi="Times New Roman" w:cs="Times New Roman"/>
          <w:color w:val="000000" w:themeColor="text1"/>
          <w:lang w:val="en-US"/>
        </w:rPr>
        <w:t xml:space="preserve"> (pp. 35-38), 4-5 June, Ankara: Gazi Academic Publishing &amp; AHBV University, Turkey.</w:t>
      </w:r>
    </w:p>
    <w:p w14:paraId="58BBC06E"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Times New Roman" w:hAnsi="Times New Roman" w:cs="Times New Roman"/>
          <w:color w:val="000000" w:themeColor="text1"/>
          <w:lang w:val="en-US"/>
        </w:rPr>
        <w:t xml:space="preserve">Taş, A., Özkara, Z. U., &amp; Aydıntan, B. (2020b). Elektronik liderliğin temel boyutu: Sanal teknoloji yeterliğinin yöneticiye duyulan güvene etkileri. </w:t>
      </w:r>
      <w:r w:rsidRPr="00164238">
        <w:rPr>
          <w:rFonts w:ascii="Times New Roman" w:eastAsia="Times New Roman" w:hAnsi="Times New Roman" w:cs="Times New Roman"/>
          <w:i/>
          <w:iCs/>
          <w:color w:val="000000" w:themeColor="text1"/>
          <w:lang w:val="en-US"/>
        </w:rPr>
        <w:t>Journal of Business Research-Turk, 12</w:t>
      </w:r>
      <w:r w:rsidRPr="00164238">
        <w:rPr>
          <w:rFonts w:ascii="Times New Roman" w:eastAsia="Times New Roman" w:hAnsi="Times New Roman" w:cs="Times New Roman"/>
          <w:color w:val="000000" w:themeColor="text1"/>
          <w:lang w:val="en-US"/>
        </w:rPr>
        <w:t>(3), 2879-2894.</w:t>
      </w:r>
    </w:p>
    <w:p w14:paraId="35D22576"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Times New Roman" w:hAnsi="Times New Roman" w:cs="Times New Roman"/>
          <w:color w:val="000000" w:themeColor="text1"/>
          <w:lang w:val="en-US"/>
        </w:rPr>
        <w:t>Tekinay, İ. (2015). </w:t>
      </w:r>
      <w:r w:rsidRPr="00164238">
        <w:rPr>
          <w:rFonts w:ascii="Times New Roman" w:eastAsia="Times New Roman" w:hAnsi="Times New Roman" w:cs="Times New Roman"/>
          <w:i/>
          <w:color w:val="000000" w:themeColor="text1"/>
          <w:lang w:val="en-US"/>
        </w:rPr>
        <w:t>Okul yöneticilerinin e-liderlik yeterlikleri</w:t>
      </w:r>
      <w:r w:rsidRPr="00164238">
        <w:rPr>
          <w:rFonts w:ascii="Times New Roman" w:eastAsia="Times New Roman" w:hAnsi="Times New Roman" w:cs="Times New Roman"/>
          <w:color w:val="000000" w:themeColor="text1"/>
          <w:lang w:val="en-US"/>
        </w:rPr>
        <w:t> (Master dissertation). Konya: Mevlana University, Turkey.</w:t>
      </w:r>
    </w:p>
    <w:p w14:paraId="59F3F01D"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Times New Roman" w:hAnsi="Times New Roman" w:cs="Times New Roman"/>
          <w:color w:val="000000" w:themeColor="text1"/>
          <w:lang w:val="en-US"/>
        </w:rPr>
        <w:t xml:space="preserve">Topaktaş, G. (2020). </w:t>
      </w:r>
      <w:r w:rsidRPr="00164238">
        <w:rPr>
          <w:rFonts w:ascii="Times New Roman" w:eastAsia="Times New Roman" w:hAnsi="Times New Roman" w:cs="Times New Roman"/>
          <w:i/>
          <w:iCs/>
          <w:color w:val="000000" w:themeColor="text1"/>
          <w:lang w:val="en-US"/>
        </w:rPr>
        <w:t xml:space="preserve">Sağlık kurumları yöneticilerinin algılanan hizmetkâr liderlik özelliklerinin, lider etkililiği ve kurum performans göstergeleri üzerindeki etkisi </w:t>
      </w:r>
      <w:r w:rsidRPr="00164238">
        <w:rPr>
          <w:rFonts w:ascii="Times New Roman" w:eastAsia="Times New Roman" w:hAnsi="Times New Roman" w:cs="Times New Roman"/>
          <w:color w:val="000000" w:themeColor="text1"/>
          <w:lang w:val="en-US"/>
        </w:rPr>
        <w:t>(Doctoral thesis). Ankara: Hacettepe University, Social Sciences Institute, Turkey.</w:t>
      </w:r>
    </w:p>
    <w:p w14:paraId="7E4F76FA"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Calibri" w:hAnsi="Times New Roman" w:cs="Times New Roman"/>
          <w:color w:val="000000" w:themeColor="text1"/>
        </w:rPr>
        <w:lastRenderedPageBreak/>
        <w:t xml:space="preserve">Tutar, H. (2013). </w:t>
      </w:r>
      <w:r w:rsidRPr="00164238">
        <w:rPr>
          <w:rFonts w:ascii="Times New Roman" w:eastAsia="Calibri" w:hAnsi="Times New Roman" w:cs="Times New Roman"/>
          <w:i/>
          <w:iCs/>
          <w:color w:val="000000" w:themeColor="text1"/>
        </w:rPr>
        <w:t>İşletme &amp; yönetim terimleri ansiklopedik sözlük</w:t>
      </w:r>
      <w:r w:rsidRPr="00164238">
        <w:rPr>
          <w:rFonts w:ascii="Times New Roman" w:eastAsia="Calibri" w:hAnsi="Times New Roman" w:cs="Times New Roman"/>
          <w:color w:val="000000" w:themeColor="text1"/>
        </w:rPr>
        <w:t>. Ankara: Detay Yayıncılık, Turkey.</w:t>
      </w:r>
    </w:p>
    <w:p w14:paraId="49944AFB"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Times New Roman" w:hAnsi="Times New Roman" w:cs="Times New Roman"/>
          <w:color w:val="000000" w:themeColor="text1"/>
          <w:lang w:val="en-US"/>
        </w:rPr>
        <w:t xml:space="preserve">Van Wart, M., Roman, A., Wang, X., &amp; Liu, C. (2017a). Integrating ICT adoption issues into (e-leadership theory. </w:t>
      </w:r>
      <w:r w:rsidRPr="00164238">
        <w:rPr>
          <w:rFonts w:ascii="Times New Roman" w:eastAsia="Times New Roman" w:hAnsi="Times New Roman" w:cs="Times New Roman"/>
          <w:i/>
          <w:iCs/>
          <w:color w:val="000000" w:themeColor="text1"/>
          <w:lang w:val="en-US"/>
        </w:rPr>
        <w:t>Telematics and Informatics, 34</w:t>
      </w:r>
      <w:r w:rsidRPr="00164238">
        <w:rPr>
          <w:rFonts w:ascii="Times New Roman" w:eastAsia="Times New Roman" w:hAnsi="Times New Roman" w:cs="Times New Roman"/>
          <w:color w:val="000000" w:themeColor="text1"/>
          <w:lang w:val="en-US"/>
        </w:rPr>
        <w:t xml:space="preserve">(5), 527-537. </w:t>
      </w:r>
    </w:p>
    <w:p w14:paraId="590D6A41"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Times New Roman" w:hAnsi="Times New Roman" w:cs="Times New Roman"/>
          <w:color w:val="000000" w:themeColor="text1"/>
          <w:lang w:val="en-US"/>
        </w:rPr>
        <w:t xml:space="preserve">Van Wart, M., Roman, A., Wang, X., &amp; Liu, C. (2017b). Operationalizing the definition of e-leadership: Identifying the elements of e-leadership. </w:t>
      </w:r>
      <w:r w:rsidRPr="00164238">
        <w:rPr>
          <w:rFonts w:ascii="Times New Roman" w:eastAsia="Times New Roman" w:hAnsi="Times New Roman" w:cs="Times New Roman"/>
          <w:i/>
          <w:iCs/>
          <w:color w:val="000000" w:themeColor="text1"/>
          <w:lang w:val="en-US"/>
        </w:rPr>
        <w:t>International Review of Administrative Sciences</w:t>
      </w:r>
      <w:r w:rsidRPr="00164238">
        <w:rPr>
          <w:rFonts w:ascii="Times New Roman" w:eastAsia="Times New Roman" w:hAnsi="Times New Roman" w:cs="Times New Roman"/>
          <w:color w:val="000000" w:themeColor="text1"/>
          <w:lang w:val="en-US"/>
        </w:rPr>
        <w:t>, 1-18, DOI: 10.1177/0020852316681446.</w:t>
      </w:r>
    </w:p>
    <w:p w14:paraId="72B22F1B"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Times New Roman" w:hAnsi="Times New Roman" w:cs="Times New Roman"/>
          <w:color w:val="000000" w:themeColor="text1"/>
          <w:lang w:val="en-US"/>
        </w:rPr>
        <w:t>Wang, L., Restubog, S., Shao, B., Lu, V., &amp; Van Kleef, G. A. (2018). Does anger expression help or harm leader effectiveness? The role of competence-based versus integrity-based violations and abusive supervision. </w:t>
      </w:r>
      <w:r w:rsidRPr="00164238">
        <w:rPr>
          <w:rFonts w:ascii="Times New Roman" w:eastAsia="Times New Roman" w:hAnsi="Times New Roman" w:cs="Times New Roman"/>
          <w:i/>
          <w:iCs/>
          <w:color w:val="000000" w:themeColor="text1"/>
          <w:lang w:val="en-US"/>
        </w:rPr>
        <w:t>Academy of Management Journal, 61</w:t>
      </w:r>
      <w:r w:rsidRPr="00164238">
        <w:rPr>
          <w:rFonts w:ascii="Times New Roman" w:eastAsia="Times New Roman" w:hAnsi="Times New Roman" w:cs="Times New Roman"/>
          <w:color w:val="000000" w:themeColor="text1"/>
          <w:lang w:val="en-US"/>
        </w:rPr>
        <w:t>(3), 1050-1072.</w:t>
      </w:r>
    </w:p>
    <w:p w14:paraId="38C60370"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Times New Roman" w:hAnsi="Times New Roman" w:cs="Times New Roman"/>
          <w:color w:val="000000" w:themeColor="text1"/>
          <w:lang w:val="en-US"/>
        </w:rPr>
        <w:t>Yılmaz, T. (2014). Lider etkinliği ölçeğinin Türkçeye uyarlanması çalışması. </w:t>
      </w:r>
      <w:r w:rsidRPr="00164238">
        <w:rPr>
          <w:rFonts w:ascii="Times New Roman" w:eastAsia="Times New Roman" w:hAnsi="Times New Roman" w:cs="Times New Roman"/>
          <w:i/>
          <w:iCs/>
          <w:color w:val="000000" w:themeColor="text1"/>
          <w:lang w:val="en-US"/>
        </w:rPr>
        <w:t>KSU Journal of Social Sciences</w:t>
      </w:r>
      <w:r w:rsidRPr="00164238">
        <w:rPr>
          <w:rFonts w:ascii="Times New Roman" w:eastAsia="Times New Roman" w:hAnsi="Times New Roman" w:cs="Times New Roman"/>
          <w:color w:val="000000" w:themeColor="text1"/>
          <w:lang w:val="en-US"/>
        </w:rPr>
        <w:t>, 11(2), 1-24.</w:t>
      </w:r>
    </w:p>
    <w:p w14:paraId="1F7EB76E"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Times New Roman" w:hAnsi="Times New Roman" w:cs="Times New Roman"/>
          <w:color w:val="000000" w:themeColor="text1"/>
          <w:lang w:val="en-US"/>
        </w:rPr>
        <w:t>Yifeng, N. C., &amp; Tjosvold, D. (2008). Goal interdependence and leader-member relationship for cross‐cultural leadership in foreign ventures in China. </w:t>
      </w:r>
      <w:r w:rsidRPr="00164238">
        <w:rPr>
          <w:rFonts w:ascii="Times New Roman" w:eastAsia="Times New Roman" w:hAnsi="Times New Roman" w:cs="Times New Roman"/>
          <w:i/>
          <w:iCs/>
          <w:color w:val="000000" w:themeColor="text1"/>
          <w:lang w:val="en-US"/>
        </w:rPr>
        <w:t>Leadership &amp; Organization Development Journal</w:t>
      </w:r>
      <w:r w:rsidRPr="00164238">
        <w:rPr>
          <w:rFonts w:ascii="Times New Roman" w:eastAsia="Times New Roman" w:hAnsi="Times New Roman" w:cs="Times New Roman"/>
          <w:color w:val="000000" w:themeColor="text1"/>
          <w:lang w:val="en-US"/>
        </w:rPr>
        <w:t>, 144-166.</w:t>
      </w:r>
    </w:p>
    <w:p w14:paraId="5B4FC556" w14:textId="77777777" w:rsidR="00741745" w:rsidRPr="00164238" w:rsidRDefault="00741745" w:rsidP="00741745">
      <w:pPr>
        <w:autoSpaceDE w:val="0"/>
        <w:autoSpaceDN w:val="0"/>
        <w:adjustRightInd w:val="0"/>
        <w:spacing w:before="120"/>
        <w:ind w:left="709" w:hanging="709"/>
        <w:jc w:val="both"/>
        <w:rPr>
          <w:rFonts w:ascii="Times New Roman" w:eastAsia="Times New Roman" w:hAnsi="Times New Roman" w:cs="Times New Roman"/>
          <w:color w:val="000000" w:themeColor="text1"/>
          <w:lang w:val="en-US"/>
        </w:rPr>
      </w:pPr>
      <w:r w:rsidRPr="00164238">
        <w:rPr>
          <w:rFonts w:ascii="Times New Roman" w:eastAsia="Times New Roman" w:hAnsi="Times New Roman" w:cs="Times New Roman"/>
          <w:color w:val="000000" w:themeColor="text1"/>
          <w:lang w:val="en-US"/>
        </w:rPr>
        <w:t xml:space="preserve">Zaccaro, S. J., &amp; Bader, P. (2003). E-leadership and the challenges of leading e-teams: Minimzing the bad and maximizing the good. </w:t>
      </w:r>
      <w:r w:rsidRPr="00164238">
        <w:rPr>
          <w:rFonts w:ascii="Times New Roman" w:eastAsia="Times New Roman" w:hAnsi="Times New Roman" w:cs="Times New Roman"/>
          <w:i/>
          <w:iCs/>
          <w:color w:val="000000" w:themeColor="text1"/>
          <w:lang w:val="en-US"/>
        </w:rPr>
        <w:t>Organizational Dynamics, 31</w:t>
      </w:r>
      <w:r w:rsidRPr="00164238">
        <w:rPr>
          <w:rFonts w:ascii="Times New Roman" w:eastAsia="Times New Roman" w:hAnsi="Times New Roman" w:cs="Times New Roman"/>
          <w:color w:val="000000" w:themeColor="text1"/>
          <w:lang w:val="en-US"/>
        </w:rPr>
        <w:t>(4), 377-387.</w:t>
      </w:r>
    </w:p>
    <w:p w14:paraId="1E524DEF" w14:textId="77777777" w:rsidR="00741745" w:rsidRPr="00164238" w:rsidRDefault="00741745" w:rsidP="00741745">
      <w:pPr>
        <w:autoSpaceDE w:val="0"/>
        <w:autoSpaceDN w:val="0"/>
        <w:adjustRightInd w:val="0"/>
        <w:spacing w:before="120"/>
        <w:jc w:val="both"/>
        <w:rPr>
          <w:rFonts w:ascii="Times New Roman" w:eastAsia="Times New Roman" w:hAnsi="Times New Roman" w:cs="Times New Roman"/>
          <w:color w:val="000000" w:themeColor="text1"/>
          <w:lang w:val="en-US"/>
        </w:rPr>
      </w:pPr>
    </w:p>
    <w:p w14:paraId="56848D8F" w14:textId="77777777" w:rsidR="00741745" w:rsidRPr="00164238" w:rsidRDefault="00741745" w:rsidP="00741745">
      <w:pPr>
        <w:autoSpaceDE w:val="0"/>
        <w:autoSpaceDN w:val="0"/>
        <w:adjustRightInd w:val="0"/>
        <w:spacing w:before="120"/>
        <w:ind w:left="709" w:hanging="709"/>
        <w:jc w:val="both"/>
        <w:rPr>
          <w:rFonts w:ascii="Times New Roman" w:hAnsi="Times New Roman" w:cs="Times New Roman"/>
          <w:color w:val="000000" w:themeColor="text1"/>
        </w:rPr>
      </w:pPr>
    </w:p>
    <w:p w14:paraId="752DFB3F" w14:textId="488FC3BB" w:rsidR="004C6717" w:rsidRPr="00164238" w:rsidRDefault="004C6717" w:rsidP="00F17FEC">
      <w:pPr>
        <w:spacing w:before="120" w:after="120" w:line="360" w:lineRule="auto"/>
        <w:jc w:val="both"/>
        <w:rPr>
          <w:rFonts w:ascii="Times New Roman" w:hAnsi="Times New Roman" w:cs="Times New Roman"/>
          <w:color w:val="000000" w:themeColor="text1"/>
        </w:rPr>
      </w:pPr>
    </w:p>
    <w:p w14:paraId="4E54A70A" w14:textId="2098F6C3" w:rsidR="00741745" w:rsidRPr="00164238" w:rsidRDefault="00741745" w:rsidP="00F17FEC">
      <w:pPr>
        <w:spacing w:before="120" w:after="120" w:line="360" w:lineRule="auto"/>
        <w:jc w:val="both"/>
        <w:rPr>
          <w:rFonts w:ascii="Times New Roman" w:hAnsi="Times New Roman" w:cs="Times New Roman"/>
          <w:color w:val="000000" w:themeColor="text1"/>
        </w:rPr>
      </w:pPr>
    </w:p>
    <w:p w14:paraId="273F5F4C" w14:textId="0F252D01" w:rsidR="00741745" w:rsidRPr="00164238" w:rsidRDefault="00741745" w:rsidP="00F17FEC">
      <w:pPr>
        <w:spacing w:before="120" w:after="120" w:line="360" w:lineRule="auto"/>
        <w:jc w:val="both"/>
        <w:rPr>
          <w:rFonts w:ascii="Times New Roman" w:hAnsi="Times New Roman" w:cs="Times New Roman"/>
          <w:color w:val="000000" w:themeColor="text1"/>
        </w:rPr>
      </w:pPr>
    </w:p>
    <w:p w14:paraId="203C3C48" w14:textId="021BE9DF" w:rsidR="00A40B57" w:rsidRPr="00164238" w:rsidRDefault="00A40B57" w:rsidP="00F17FEC">
      <w:pPr>
        <w:spacing w:before="120" w:after="120" w:line="360" w:lineRule="auto"/>
        <w:jc w:val="both"/>
        <w:rPr>
          <w:rFonts w:ascii="Times New Roman" w:hAnsi="Times New Roman" w:cs="Times New Roman"/>
          <w:color w:val="000000" w:themeColor="text1"/>
        </w:rPr>
      </w:pPr>
    </w:p>
    <w:p w14:paraId="03E7BE8C" w14:textId="2E37BC2B" w:rsidR="00A40B57" w:rsidRDefault="00A40B57" w:rsidP="00F17FEC">
      <w:pPr>
        <w:spacing w:before="120" w:after="120" w:line="360" w:lineRule="auto"/>
        <w:jc w:val="both"/>
        <w:rPr>
          <w:rFonts w:ascii="Times New Roman" w:hAnsi="Times New Roman" w:cs="Times New Roman"/>
          <w:color w:val="000000" w:themeColor="text1"/>
        </w:rPr>
      </w:pPr>
    </w:p>
    <w:p w14:paraId="2B3A88ED" w14:textId="1CEE8DDD" w:rsidR="00452A49" w:rsidRDefault="00452A49" w:rsidP="00F17FEC">
      <w:pPr>
        <w:spacing w:before="120" w:after="120" w:line="360" w:lineRule="auto"/>
        <w:jc w:val="both"/>
        <w:rPr>
          <w:rFonts w:ascii="Times New Roman" w:hAnsi="Times New Roman" w:cs="Times New Roman"/>
          <w:color w:val="000000" w:themeColor="text1"/>
        </w:rPr>
      </w:pPr>
    </w:p>
    <w:p w14:paraId="06C50BF7" w14:textId="19C45F2B" w:rsidR="00452A49" w:rsidRDefault="00452A49" w:rsidP="00F17FEC">
      <w:pPr>
        <w:spacing w:before="120" w:after="120" w:line="360" w:lineRule="auto"/>
        <w:jc w:val="both"/>
        <w:rPr>
          <w:rFonts w:ascii="Times New Roman" w:hAnsi="Times New Roman" w:cs="Times New Roman"/>
          <w:color w:val="000000" w:themeColor="text1"/>
        </w:rPr>
      </w:pPr>
    </w:p>
    <w:p w14:paraId="1D83BAD5" w14:textId="57CB0028" w:rsidR="00452A49" w:rsidRDefault="00452A49" w:rsidP="00F17FEC">
      <w:pPr>
        <w:spacing w:before="120" w:after="120" w:line="360" w:lineRule="auto"/>
        <w:jc w:val="both"/>
        <w:rPr>
          <w:rFonts w:ascii="Times New Roman" w:hAnsi="Times New Roman" w:cs="Times New Roman"/>
          <w:color w:val="000000" w:themeColor="text1"/>
        </w:rPr>
      </w:pPr>
    </w:p>
    <w:p w14:paraId="21D1D932" w14:textId="4080DCD1" w:rsidR="00452A49" w:rsidRDefault="00452A49" w:rsidP="00F17FEC">
      <w:pPr>
        <w:spacing w:before="120" w:after="120" w:line="360" w:lineRule="auto"/>
        <w:jc w:val="both"/>
        <w:rPr>
          <w:rFonts w:ascii="Times New Roman" w:hAnsi="Times New Roman" w:cs="Times New Roman"/>
          <w:color w:val="000000" w:themeColor="text1"/>
        </w:rPr>
      </w:pPr>
    </w:p>
    <w:p w14:paraId="2AA41285" w14:textId="64C7B8AF" w:rsidR="00452A49" w:rsidRDefault="00452A49" w:rsidP="00F17FEC">
      <w:pPr>
        <w:spacing w:before="120" w:after="120" w:line="360" w:lineRule="auto"/>
        <w:jc w:val="both"/>
        <w:rPr>
          <w:rFonts w:ascii="Times New Roman" w:hAnsi="Times New Roman" w:cs="Times New Roman"/>
          <w:color w:val="000000" w:themeColor="text1"/>
        </w:rPr>
      </w:pPr>
    </w:p>
    <w:p w14:paraId="5D050BC8" w14:textId="64C06E87" w:rsidR="00452A49" w:rsidRDefault="00452A49" w:rsidP="00F17FEC">
      <w:pPr>
        <w:spacing w:before="120" w:after="120" w:line="360" w:lineRule="auto"/>
        <w:jc w:val="both"/>
        <w:rPr>
          <w:rFonts w:ascii="Times New Roman" w:hAnsi="Times New Roman" w:cs="Times New Roman"/>
          <w:color w:val="000000" w:themeColor="text1"/>
        </w:rPr>
      </w:pPr>
    </w:p>
    <w:p w14:paraId="455D2D20" w14:textId="19880DD9" w:rsidR="00452A49" w:rsidRDefault="00452A49" w:rsidP="00F17FEC">
      <w:pPr>
        <w:spacing w:before="120" w:after="120" w:line="360" w:lineRule="auto"/>
        <w:jc w:val="both"/>
        <w:rPr>
          <w:rFonts w:ascii="Times New Roman" w:hAnsi="Times New Roman" w:cs="Times New Roman"/>
          <w:color w:val="000000" w:themeColor="text1"/>
        </w:rPr>
      </w:pPr>
    </w:p>
    <w:p w14:paraId="13880BB0" w14:textId="581E0881" w:rsidR="00452A49" w:rsidRDefault="00452A49" w:rsidP="00F17FEC">
      <w:pPr>
        <w:spacing w:before="120" w:after="120" w:line="360" w:lineRule="auto"/>
        <w:jc w:val="both"/>
        <w:rPr>
          <w:rFonts w:ascii="Times New Roman" w:hAnsi="Times New Roman" w:cs="Times New Roman"/>
          <w:color w:val="000000" w:themeColor="text1"/>
        </w:rPr>
      </w:pPr>
    </w:p>
    <w:p w14:paraId="68AEEC89" w14:textId="11C8F3CE" w:rsidR="006127D8" w:rsidRPr="00164238" w:rsidRDefault="00A40B57" w:rsidP="00955A3E">
      <w:pPr>
        <w:pStyle w:val="Balk1"/>
        <w:rPr>
          <w:rFonts w:ascii="Times New Roman" w:hAnsi="Times New Roman" w:cs="Times New Roman"/>
          <w:b/>
          <w:color w:val="000000" w:themeColor="text1"/>
          <w:sz w:val="24"/>
          <w:szCs w:val="24"/>
        </w:rPr>
      </w:pPr>
      <w:bookmarkStart w:id="67" w:name="_Toc72961681"/>
      <w:r w:rsidRPr="00164238">
        <w:rPr>
          <w:rFonts w:ascii="Times New Roman" w:hAnsi="Times New Roman" w:cs="Times New Roman"/>
          <w:b/>
          <w:color w:val="000000" w:themeColor="text1"/>
          <w:sz w:val="24"/>
          <w:szCs w:val="24"/>
        </w:rPr>
        <w:lastRenderedPageBreak/>
        <w:t>COVID-19: ANKARA SİTELER MOBİLYA SEKTÖRÜNDE ÇALIŞANLARIN DAVRANIŞ, TUTUM VE BEKLENTİLERİ ARAŞTIRMASI</w:t>
      </w:r>
      <w:bookmarkEnd w:id="67"/>
    </w:p>
    <w:p w14:paraId="5E910571" w14:textId="32F6BCEE" w:rsidR="00A40B57" w:rsidRPr="00164238" w:rsidRDefault="00A40B57" w:rsidP="000214F4">
      <w:pPr>
        <w:pStyle w:val="Balk2"/>
        <w:rPr>
          <w:rFonts w:ascii="Times New Roman" w:eastAsia="Arial" w:hAnsi="Times New Roman" w:cs="Times New Roman"/>
          <w:b w:val="0"/>
          <w:i w:val="0"/>
          <w:color w:val="000000" w:themeColor="text1"/>
          <w:sz w:val="20"/>
          <w:szCs w:val="20"/>
        </w:rPr>
      </w:pPr>
      <w:bookmarkStart w:id="68" w:name="_Toc72961682"/>
      <w:r w:rsidRPr="00164238">
        <w:rPr>
          <w:rStyle w:val="Balk2Char"/>
          <w:rFonts w:ascii="Times New Roman" w:hAnsi="Times New Roman" w:cs="Times New Roman"/>
          <w:color w:val="000000" w:themeColor="text1"/>
          <w:sz w:val="20"/>
          <w:szCs w:val="20"/>
        </w:rPr>
        <w:t>Dr. Öğr.Üyesi Güven MERAL</w:t>
      </w:r>
      <w:r w:rsidRPr="00164238">
        <w:rPr>
          <w:rFonts w:ascii="Times New Roman" w:eastAsia="Arial" w:hAnsi="Times New Roman" w:cs="Times New Roman"/>
          <w:b w:val="0"/>
          <w:color w:val="000000" w:themeColor="text1"/>
          <w:sz w:val="20"/>
          <w:szCs w:val="20"/>
        </w:rPr>
        <w:t>,</w:t>
      </w:r>
      <w:r w:rsidR="000214F4" w:rsidRPr="00164238">
        <w:rPr>
          <w:rFonts w:ascii="Times New Roman" w:eastAsia="Arial" w:hAnsi="Times New Roman" w:cs="Times New Roman"/>
          <w:b w:val="0"/>
          <w:color w:val="000000" w:themeColor="text1"/>
          <w:sz w:val="20"/>
          <w:szCs w:val="20"/>
        </w:rPr>
        <w:t xml:space="preserve"> </w:t>
      </w:r>
      <w:r w:rsidRPr="00164238">
        <w:rPr>
          <w:rFonts w:ascii="Times New Roman" w:eastAsia="Arial" w:hAnsi="Times New Roman" w:cs="Times New Roman"/>
          <w:b w:val="0"/>
          <w:color w:val="000000" w:themeColor="text1"/>
          <w:sz w:val="20"/>
          <w:szCs w:val="20"/>
        </w:rPr>
        <w:t>Ankara Yıldırım Beyazıt Üniversitesi,Mimarlık ve Güzel Sanatlar Fakültesi,06760, Ankara, Türkiye</w:t>
      </w:r>
      <w:bookmarkEnd w:id="68"/>
    </w:p>
    <w:p w14:paraId="7C8AB695" w14:textId="77777777" w:rsidR="00A40B57" w:rsidRPr="00164238" w:rsidRDefault="00A40B57" w:rsidP="00A40B57">
      <w:pPr>
        <w:jc w:val="both"/>
        <w:rPr>
          <w:rStyle w:val="pull-right"/>
          <w:rFonts w:ascii="Times New Roman" w:hAnsi="Times New Roman" w:cs="Times New Roman"/>
          <w:color w:val="000000" w:themeColor="text1"/>
          <w:sz w:val="20"/>
          <w:szCs w:val="20"/>
        </w:rPr>
      </w:pPr>
      <w:r w:rsidRPr="00164238">
        <w:rPr>
          <w:rFonts w:ascii="Times New Roman" w:eastAsia="Arial" w:hAnsi="Times New Roman" w:cs="Times New Roman"/>
          <w:i/>
          <w:color w:val="000000" w:themeColor="text1"/>
          <w:sz w:val="20"/>
          <w:szCs w:val="20"/>
        </w:rPr>
        <w:t xml:space="preserve">e-mail: </w:t>
      </w:r>
      <w:hyperlink r:id="rId98" w:history="1">
        <w:r w:rsidRPr="00164238">
          <w:rPr>
            <w:rStyle w:val="Kpr"/>
            <w:rFonts w:ascii="Times New Roman" w:eastAsia="Arial" w:hAnsi="Times New Roman" w:cs="Times New Roman"/>
            <w:i/>
            <w:color w:val="000000" w:themeColor="text1"/>
            <w:sz w:val="20"/>
            <w:szCs w:val="20"/>
          </w:rPr>
          <w:t>guvenmeral@ybu.edu.tr</w:t>
        </w:r>
      </w:hyperlink>
      <w:r w:rsidRPr="00164238">
        <w:rPr>
          <w:rFonts w:ascii="Times New Roman" w:eastAsia="Arial" w:hAnsi="Times New Roman" w:cs="Times New Roman"/>
          <w:i/>
          <w:color w:val="000000" w:themeColor="text1"/>
          <w:sz w:val="20"/>
          <w:szCs w:val="20"/>
        </w:rPr>
        <w:t xml:space="preserve">   ORCID ID:</w:t>
      </w:r>
      <w:r w:rsidRPr="00164238">
        <w:rPr>
          <w:rStyle w:val="Balk2Char"/>
          <w:rFonts w:ascii="Times New Roman" w:eastAsiaTheme="minorHAnsi" w:hAnsi="Times New Roman" w:cs="Times New Roman"/>
          <w:b w:val="0"/>
          <w:color w:val="000000" w:themeColor="text1"/>
          <w:sz w:val="20"/>
          <w:szCs w:val="20"/>
        </w:rPr>
        <w:t xml:space="preserve"> </w:t>
      </w:r>
      <w:r w:rsidRPr="00164238">
        <w:rPr>
          <w:rStyle w:val="pull-right"/>
          <w:rFonts w:ascii="Times New Roman" w:hAnsi="Times New Roman" w:cs="Times New Roman"/>
          <w:color w:val="000000" w:themeColor="text1"/>
          <w:sz w:val="20"/>
          <w:szCs w:val="20"/>
        </w:rPr>
        <w:t>0000-0002-0744-2165</w:t>
      </w:r>
    </w:p>
    <w:p w14:paraId="708B7FF7" w14:textId="77777777" w:rsidR="00A40B57" w:rsidRPr="00164238" w:rsidRDefault="00A40B57" w:rsidP="000214F4">
      <w:pPr>
        <w:pStyle w:val="Balk2"/>
        <w:rPr>
          <w:rStyle w:val="pull-right"/>
          <w:rFonts w:ascii="Times New Roman" w:hAnsi="Times New Roman" w:cs="Times New Roman"/>
          <w:b w:val="0"/>
          <w:i w:val="0"/>
          <w:color w:val="000000" w:themeColor="text1"/>
          <w:sz w:val="20"/>
          <w:szCs w:val="20"/>
        </w:rPr>
      </w:pPr>
      <w:bookmarkStart w:id="69" w:name="_Toc70072625"/>
      <w:bookmarkStart w:id="70" w:name="_Toc72961683"/>
      <w:r w:rsidRPr="00164238">
        <w:rPr>
          <w:rStyle w:val="pull-right"/>
          <w:rFonts w:ascii="Times New Roman" w:hAnsi="Times New Roman" w:cs="Times New Roman"/>
          <w:b w:val="0"/>
          <w:color w:val="000000" w:themeColor="text1"/>
          <w:sz w:val="20"/>
          <w:szCs w:val="20"/>
        </w:rPr>
        <w:t>Arş.Gör. Ramazan GÜLER, Ankara Yıldırım Beyazıt Üniversitesi, Mimarlık ve Güzel Sanatlar Fakültesi, 06760, Ankara, Türkiye</w:t>
      </w:r>
      <w:bookmarkEnd w:id="69"/>
      <w:bookmarkEnd w:id="70"/>
    </w:p>
    <w:p w14:paraId="32B92117" w14:textId="77777777" w:rsidR="00A40B57" w:rsidRPr="00164238" w:rsidRDefault="00A40B57" w:rsidP="00A40B57">
      <w:pPr>
        <w:spacing w:before="120" w:after="120"/>
        <w:rPr>
          <w:rFonts w:ascii="Times New Roman" w:hAnsi="Times New Roman" w:cs="Times New Roman"/>
          <w:i/>
          <w:iCs/>
          <w:color w:val="000000" w:themeColor="text1"/>
          <w:sz w:val="20"/>
          <w:szCs w:val="20"/>
        </w:rPr>
      </w:pPr>
      <w:r w:rsidRPr="00164238">
        <w:rPr>
          <w:rStyle w:val="pull-right"/>
          <w:rFonts w:ascii="Times New Roman" w:hAnsi="Times New Roman" w:cs="Times New Roman"/>
          <w:i/>
          <w:color w:val="000000" w:themeColor="text1"/>
          <w:sz w:val="20"/>
          <w:szCs w:val="20"/>
        </w:rPr>
        <w:t xml:space="preserve">e-mail: </w:t>
      </w:r>
      <w:hyperlink r:id="rId99" w:history="1">
        <w:r w:rsidRPr="00164238">
          <w:rPr>
            <w:rStyle w:val="Kpr"/>
            <w:rFonts w:ascii="Times New Roman" w:hAnsi="Times New Roman" w:cs="Times New Roman"/>
            <w:i/>
            <w:color w:val="000000" w:themeColor="text1"/>
            <w:sz w:val="20"/>
            <w:szCs w:val="20"/>
          </w:rPr>
          <w:t>rguler@ybu.edu.tr</w:t>
        </w:r>
      </w:hyperlink>
      <w:r w:rsidRPr="00164238">
        <w:rPr>
          <w:rStyle w:val="pull-right"/>
          <w:rFonts w:ascii="Times New Roman" w:hAnsi="Times New Roman" w:cs="Times New Roman"/>
          <w:i/>
          <w:color w:val="000000" w:themeColor="text1"/>
          <w:sz w:val="20"/>
          <w:szCs w:val="20"/>
        </w:rPr>
        <w:t xml:space="preserve"> ORCID ID: </w:t>
      </w:r>
      <w:r w:rsidRPr="00164238">
        <w:rPr>
          <w:rStyle w:val="Kpr"/>
          <w:rFonts w:ascii="Times New Roman" w:hAnsi="Times New Roman" w:cs="Times New Roman"/>
          <w:color w:val="000000" w:themeColor="text1"/>
          <w:sz w:val="20"/>
          <w:szCs w:val="20"/>
          <w:u w:val="none"/>
        </w:rPr>
        <w:t>0000-0002-2234-3472</w:t>
      </w:r>
    </w:p>
    <w:p w14:paraId="6ADB2683" w14:textId="77777777" w:rsidR="006127D8" w:rsidRPr="00164238" w:rsidRDefault="006127D8" w:rsidP="006127D8">
      <w:pPr>
        <w:spacing w:before="120" w:after="120"/>
        <w:ind w:firstLine="708"/>
        <w:rPr>
          <w:rFonts w:ascii="Times New Roman" w:hAnsi="Times New Roman" w:cs="Times New Roman"/>
          <w:color w:val="000000" w:themeColor="text1"/>
          <w:sz w:val="20"/>
          <w:szCs w:val="20"/>
        </w:rPr>
      </w:pPr>
    </w:p>
    <w:p w14:paraId="088A4BC5" w14:textId="564D3445" w:rsidR="006127D8" w:rsidRPr="00164238" w:rsidRDefault="006127D8" w:rsidP="006127D8">
      <w:pPr>
        <w:spacing w:before="120" w:after="120"/>
        <w:ind w:firstLine="708"/>
        <w:rPr>
          <w:rFonts w:ascii="Times New Roman" w:hAnsi="Times New Roman" w:cs="Times New Roman"/>
          <w:b/>
          <w:color w:val="000000" w:themeColor="text1"/>
        </w:rPr>
      </w:pPr>
      <w:r w:rsidRPr="00164238">
        <w:rPr>
          <w:rFonts w:ascii="Times New Roman" w:hAnsi="Times New Roman" w:cs="Times New Roman"/>
          <w:b/>
          <w:color w:val="000000" w:themeColor="text1"/>
        </w:rPr>
        <w:t>ÖZET</w:t>
      </w:r>
    </w:p>
    <w:p w14:paraId="3C896E14" w14:textId="77777777" w:rsidR="006127D8" w:rsidRPr="00164238" w:rsidRDefault="006127D8" w:rsidP="006127D8">
      <w:pPr>
        <w:spacing w:before="120" w:after="120"/>
        <w:ind w:firstLine="708"/>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Covid-19 salgını dünya genelinde ve Türkiye bağlamında birçok etkiyi beraberinde getirmiştir. Etkinin merkez konumunda ise insan bulunmaktadır. Salgın sürecinde insanın davranış, tutum ve beklentileri üzerinde birtakım değişimler yaşanmıştır. Özellikle çalışan kesim, bu süreçte meydana gelen kısıtlamalar ve dalgalanmalar nedeniyle farklı tutum ve davranış içerisine girmiştir. Bu doğrultuda Ankara Siteler mobilya sektöründe çalışanların davranış, tutum ve beklentileri yerinde tespit edilmeye çalışılmıştır. Çalışma, Siteler mobilya sektöründe çalışan farklı yaş ve farklı meslek gruplardan 200 kişiye 19 soruluk anketin yapılması ve anketten çıkan verilerin değerlendirilmesi şeklinde gerçekleştirilmiştir. Araştırma neticesinde farklı yaş ve meslek grupları arasında davranış, tutum ve beklentilerde değişiklik olduğu görülmüştür. Çalışma düzeninde bir değişiklik olmayan ve herhangi bir gelir kaybına uğramayanların anket sorularına pozitif yönde cevaplar verdiği görülmüştür. Çalışma düzeninde değişiklik olan veya iş kaybı yaşayanların, gelir kaybına uğrayanların ise negatif yönde cevaplar verdiği tespit edilmiştir. Genel olarak salgının kısa zamanda hayatımızdan çıkmayacağı, gelecek kaygısı ve düzenin eskisi gibi olmayacağı yönünde beklentilerin yoğunlukta olduğu kanısına varılmıştır. Hastalığın seyri ve süreç dikkate alındığında, farklı yaş ve meslek grupları için konunun sadece tıbbi boyutla sınırla kalmadığı, sosyokültürel, ekonomik ve davranışsal yaşam üzerinde de olumsuz bazı etkileri olduğu tespit edilmiştir. Elde edilen veriler , yapılan tespitler ve öngörüler ışığında bu çalışmanın Covid-19 sürecinde mobilya sektöründe çalışanların hayat standartlarının arttırılmasına katkı sağlayacağı düşünülmektedir.</w:t>
      </w:r>
    </w:p>
    <w:p w14:paraId="7F50C0DD"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b/>
          <w:i/>
          <w:iCs/>
          <w:color w:val="000000" w:themeColor="text1"/>
        </w:rPr>
        <w:t xml:space="preserve">Anahtar Kelimeler: </w:t>
      </w:r>
      <w:r w:rsidRPr="00164238">
        <w:rPr>
          <w:rFonts w:ascii="Times New Roman" w:hAnsi="Times New Roman" w:cs="Times New Roman"/>
          <w:i/>
          <w:iCs/>
          <w:color w:val="000000" w:themeColor="text1"/>
        </w:rPr>
        <w:t>Covid-19, Ankara, Siteler, Mobilya, Davranış</w:t>
      </w:r>
    </w:p>
    <w:p w14:paraId="5803E90D" w14:textId="77777777" w:rsidR="006127D8" w:rsidRPr="00164238" w:rsidRDefault="006127D8" w:rsidP="006127D8">
      <w:pPr>
        <w:spacing w:before="120" w:after="120"/>
        <w:ind w:firstLine="708"/>
        <w:rPr>
          <w:rFonts w:ascii="Times New Roman" w:hAnsi="Times New Roman" w:cs="Times New Roman"/>
          <w:b/>
          <w:color w:val="000000" w:themeColor="text1"/>
        </w:rPr>
      </w:pPr>
      <w:r w:rsidRPr="00164238">
        <w:rPr>
          <w:rFonts w:ascii="Times New Roman" w:hAnsi="Times New Roman" w:cs="Times New Roman"/>
          <w:b/>
          <w:color w:val="000000" w:themeColor="text1"/>
        </w:rPr>
        <w:t>ABSTRACT</w:t>
      </w:r>
    </w:p>
    <w:p w14:paraId="291080D9" w14:textId="77777777" w:rsidR="006127D8" w:rsidRPr="00164238" w:rsidRDefault="006127D8" w:rsidP="006127D8">
      <w:pPr>
        <w:spacing w:before="120" w:after="120"/>
        <w:ind w:firstLine="708"/>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Covid-19 outbreak across the world and has brought many of the effects in the context of Turkey. In the central position of the effect, there is the human. During the epidemic process, there have been some changes in human behavior, attitude and expectations. Especially the working population has had different attitudes and behaviors due to the restrictions and fluctuations that occurred during this process. In this direction, the behavior, attitude and expectations of the employees in the Ankara Siteler furniture sector were tried to be determined on-site. The study was carried out by making a 19-question survey and evaluating the data from the survey to 200 people of different ages and different professions working in the Siteler furniture industry. As a result of the research, it was observed that there were changes in behavior, attitudes and expectations among different age and occupational groups. It was observed that those who did not change the working order and did not lose any income gave positive answers to the questionnaire questions. It has been determined that those who have a change in the working order </w:t>
      </w:r>
      <w:r w:rsidRPr="00164238">
        <w:rPr>
          <w:rFonts w:ascii="Times New Roman" w:hAnsi="Times New Roman" w:cs="Times New Roman"/>
          <w:bCs/>
          <w:color w:val="000000" w:themeColor="text1"/>
        </w:rPr>
        <w:lastRenderedPageBreak/>
        <w:t>or have lost a job, and those who have lost income give negative responses. In general, it has been concluded that there are intense expectations that the epidemic will not come out of our lives in a short time, the future anxiety and the order will not be the same as before. Considering the course of the disease and the process, it has been determined that the issue is not limited to only the medical dimension for different age and occupational groups, but also has some negative effects on sociocultural, economic and behavioral life. In the light of the obtained data, determinations and predictions, it is thought that this study will contribute to increasing the living standards of those working in the furniture industry during the Covid-19 process.</w:t>
      </w:r>
    </w:p>
    <w:p w14:paraId="792BD899" w14:textId="77777777" w:rsidR="006127D8" w:rsidRPr="00164238" w:rsidRDefault="006127D8" w:rsidP="006127D8">
      <w:pPr>
        <w:spacing w:before="120" w:after="120"/>
        <w:jc w:val="both"/>
        <w:rPr>
          <w:rFonts w:ascii="Times New Roman" w:hAnsi="Times New Roman" w:cs="Times New Roman"/>
          <w:bCs/>
          <w:color w:val="000000" w:themeColor="text1"/>
        </w:rPr>
      </w:pPr>
      <w:r w:rsidRPr="00164238">
        <w:rPr>
          <w:rFonts w:ascii="Times New Roman" w:hAnsi="Times New Roman" w:cs="Times New Roman"/>
          <w:b/>
          <w:i/>
          <w:iCs/>
          <w:color w:val="000000" w:themeColor="text1"/>
        </w:rPr>
        <w:t xml:space="preserve">Key Words : </w:t>
      </w:r>
      <w:r w:rsidRPr="00164238">
        <w:rPr>
          <w:rFonts w:ascii="Times New Roman" w:hAnsi="Times New Roman" w:cs="Times New Roman"/>
          <w:bCs/>
          <w:i/>
          <w:iCs/>
          <w:color w:val="000000" w:themeColor="text1"/>
        </w:rPr>
        <w:t>Covid-19, Ankara, Sites, Furniture, Behavior</w:t>
      </w:r>
    </w:p>
    <w:p w14:paraId="222168A2" w14:textId="77777777" w:rsidR="006127D8" w:rsidRPr="00164238" w:rsidRDefault="006127D8" w:rsidP="006127D8">
      <w:pPr>
        <w:spacing w:before="120" w:after="120"/>
        <w:jc w:val="both"/>
        <w:rPr>
          <w:rFonts w:ascii="Times New Roman" w:hAnsi="Times New Roman" w:cs="Times New Roman"/>
          <w:b/>
          <w:color w:val="000000" w:themeColor="text1"/>
        </w:rPr>
      </w:pPr>
      <w:r w:rsidRPr="00164238">
        <w:rPr>
          <w:rFonts w:ascii="Times New Roman" w:hAnsi="Times New Roman" w:cs="Times New Roman"/>
          <w:b/>
          <w:color w:val="000000" w:themeColor="text1"/>
        </w:rPr>
        <w:t>Giriş</w:t>
      </w:r>
    </w:p>
    <w:p w14:paraId="76B7DCD9" w14:textId="77777777" w:rsidR="006127D8" w:rsidRPr="00164238" w:rsidRDefault="006127D8" w:rsidP="006127D8">
      <w:pPr>
        <w:spacing w:before="120" w:after="120"/>
        <w:jc w:val="both"/>
        <w:rPr>
          <w:rFonts w:ascii="Times New Roman" w:hAnsi="Times New Roman" w:cs="Times New Roman"/>
          <w:bCs/>
          <w:color w:val="000000" w:themeColor="text1"/>
        </w:rPr>
      </w:pPr>
      <w:r w:rsidRPr="00164238">
        <w:rPr>
          <w:rFonts w:ascii="Times New Roman" w:hAnsi="Times New Roman" w:cs="Times New Roman"/>
          <w:b/>
          <w:color w:val="000000" w:themeColor="text1"/>
        </w:rPr>
        <w:tab/>
      </w:r>
      <w:r w:rsidRPr="00164238">
        <w:rPr>
          <w:rFonts w:ascii="Times New Roman" w:hAnsi="Times New Roman" w:cs="Times New Roman"/>
          <w:bCs/>
          <w:color w:val="000000" w:themeColor="text1"/>
        </w:rPr>
        <w:t>Covid-19 salgını ilk olarak Aralık 2019’da Çin’de görülmeye başlamıştır. Dünya Sağlık Örgütü̈, 30 Ocak 2020’de hastalığı “küresel acil durum” olarak tanımlamış ve 11 Mart 2020’de “pandemi” olarak ilan etmiştir. Türkiye ise bu salgının ülkemize yayılmasını önlemek amacıyla çeşitli tedbirler almıştır. Önlemlere rağmen ülkemizde ilk vaka 11 Mart 2020 tarihinde görülmüştür. Türkiye’de Covid-19 kaynaklı ilk can kaybı 17 Mart 2020 tarihi olarak kayıtlara geçmiştir. Tüm dünyayla birlikte Türkiye’yi de etkisi altına alan Covid-19’a karşı ilk aşamada alınan tedbirler sosyal mesafeyi koruma ve izolasyon şeklinde olmuştur. Hastalığın seyrine göre tedbirler kademeli olarak artırılmış ve yoğunlaştırılmıştır. Tüm ülkelerden giriş çıkışların kısıtlanması, karantina önlemleri, toplu etkinliklerin durdurulması, eğitim öğretime ara verilmesi, şehirlerarası seyahat sınırlamaları, mecburi maske kullanımı uygulamaları, sokağa çıkma kısıtlamaları getirilerek salgının önüne geçilmeye çalışılmıştır.</w:t>
      </w:r>
    </w:p>
    <w:p w14:paraId="06A07469" w14:textId="77777777" w:rsidR="006127D8" w:rsidRPr="00164238" w:rsidRDefault="006127D8" w:rsidP="006127D8">
      <w:pPr>
        <w:spacing w:before="120" w:after="120"/>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ab/>
        <w:t xml:space="preserve">Hem salgının seyri hemde alınan tedbirler çeşitli etkilerin doğmasına sebep olmuştur. Covid-19’un tıbbi etkilerinin yanı sıra sosyal yaşamdan ekonomiye, tarımdan eğitime kadar, kısacası normal günlük yaşantıya etkileri ve bunun tüm dünyaya yayılması bakımından belki de tıp tarihinde son yüzyıllarda görülen en farklı hastalık ve salgın olarak karşımıza çıkmaktadır. Ortaya çıkan etkiler sonucunda insanların yaşam düzeni aniden değişmeye başlamıştır. Salgınla birlikte meydana gelen normal yaşamda değişim, insanların davranış ve tutumları üzerinde de birtakım etkileri beraberinde getirmiştir. </w:t>
      </w:r>
    </w:p>
    <w:p w14:paraId="549E921F" w14:textId="77777777" w:rsidR="006127D8" w:rsidRPr="00164238" w:rsidRDefault="006127D8" w:rsidP="006127D8">
      <w:pPr>
        <w:spacing w:before="120" w:after="120"/>
        <w:jc w:val="both"/>
        <w:rPr>
          <w:rFonts w:ascii="Times New Roman" w:hAnsi="Times New Roman" w:cs="Times New Roman"/>
          <w:b/>
          <w:color w:val="000000" w:themeColor="text1"/>
        </w:rPr>
      </w:pPr>
      <w:r w:rsidRPr="00164238">
        <w:rPr>
          <w:rFonts w:ascii="Times New Roman" w:hAnsi="Times New Roman" w:cs="Times New Roman"/>
          <w:b/>
          <w:color w:val="000000" w:themeColor="text1"/>
        </w:rPr>
        <w:t>Amaç ve Yöntem</w:t>
      </w:r>
    </w:p>
    <w:p w14:paraId="62588F05" w14:textId="77777777" w:rsidR="006127D8" w:rsidRPr="00164238" w:rsidRDefault="006127D8" w:rsidP="006127D8">
      <w:pPr>
        <w:spacing w:before="120" w:after="120"/>
        <w:jc w:val="both"/>
        <w:rPr>
          <w:rFonts w:ascii="Times New Roman" w:hAnsi="Times New Roman" w:cs="Times New Roman"/>
          <w:bCs/>
          <w:color w:val="000000" w:themeColor="text1"/>
        </w:rPr>
      </w:pPr>
      <w:r w:rsidRPr="00164238">
        <w:rPr>
          <w:rFonts w:ascii="Times New Roman" w:hAnsi="Times New Roman" w:cs="Times New Roman"/>
          <w:b/>
          <w:color w:val="000000" w:themeColor="text1"/>
        </w:rPr>
        <w:tab/>
      </w:r>
      <w:r w:rsidRPr="00164238">
        <w:rPr>
          <w:rFonts w:ascii="Times New Roman" w:hAnsi="Times New Roman" w:cs="Times New Roman"/>
          <w:bCs/>
          <w:color w:val="000000" w:themeColor="text1"/>
        </w:rPr>
        <w:t>Yaşam düzeninde salgınla beraber meydana gelen ani değişim neticesinde sosyo - kültürel, ekonomik ve çevresel etkiler ortaya çıkmıştır. Sektörel, yaş grupları, cinsiyet gibi farklı kategorilerde etkinin değişkenliği söz konusudur. Bu değişkenliğin özellikle çalışan gruplar üzerinde etkisi merak konusu olmuştur. Çalışanlar üzerinde etkinin değişkenliğini ölçmek maksadıyla araştırmamız Ankara Siteler Mobilya Sektöründe çalışanlar üzerine odaklanmıştır.</w:t>
      </w:r>
    </w:p>
    <w:p w14:paraId="7A7391E6" w14:textId="77777777" w:rsidR="006127D8" w:rsidRPr="00164238" w:rsidRDefault="006127D8" w:rsidP="006127D8">
      <w:pPr>
        <w:spacing w:before="120" w:after="120"/>
        <w:ind w:firstLine="708"/>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Ankara – Altındağ Siteler; 7500 dönümlük bir alan üzerine kurulu, çok katlı olarak yapılaşmış, bünyesinde 200000 nüfusu ile, 15000 imalathanesi (Mobilya, Döşeme, Boya, İskelet, Sandalye, Doğrama vs.) 1500 Mobilya Satış Mağazası ile ülkemiz mobilya sanayinin önde gelen bölgelerindendir</w:t>
      </w:r>
      <w:r w:rsidRPr="00164238">
        <w:rPr>
          <w:rStyle w:val="Kpr"/>
          <w:rFonts w:ascii="Times New Roman" w:hAnsi="Times New Roman" w:cs="Times New Roman"/>
          <w:color w:val="000000" w:themeColor="text1"/>
        </w:rPr>
        <w:footnoteReference w:id="8"/>
      </w:r>
      <w:r w:rsidRPr="00164238">
        <w:rPr>
          <w:rFonts w:ascii="Times New Roman" w:hAnsi="Times New Roman" w:cs="Times New Roman"/>
          <w:bCs/>
          <w:color w:val="000000" w:themeColor="text1"/>
        </w:rPr>
        <w:t>. Bu çalışma ile mobilya sektöründe önemli bir yeri bulunan Siteler bölgesinde faaliyet gösteren atölyelerde çalışanların Covid –19 salgını sürecinde tutum, davranış ve beklentileri ile ilgili faktörlerin belirlenmesi ve bu doğrultuda gerekli düzenlemelerin yapılması için katkı sağlanması amaçlanmıştır.</w:t>
      </w:r>
    </w:p>
    <w:p w14:paraId="3EB111A7" w14:textId="77777777" w:rsidR="006127D8" w:rsidRPr="00164238" w:rsidRDefault="006127D8" w:rsidP="006127D8">
      <w:pPr>
        <w:spacing w:before="120" w:after="120"/>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lastRenderedPageBreak/>
        <w:tab/>
        <w:t>Araştırmamız, 15 – 19 Mart 2021 tarihleri arasında Ankara Siteler bölgesinin farklı sokaklarında yer alan 50’ye yakın mobilya atölyesinde çalışan 200 kişiye yüz yüze yapılan 19 soruluk anket üzerinden gerçekleştirilmiştir. Araştırmadaki konu başlıkları, hedef grubun kişisel bilgileri (cinsiyet, yaş, eğitim durumu, ikamet ettiği ilçe), atölye durumu (çalışan sayısı, mesleki alan), ekonomik koşulları (aylık gelir, birikim), Covid-19’un hayatımıza girmesiyle birlikte değişen günlük yaşantıda ve genel anlamda küresel salgının tutumlar, davranışlar ve geleceğe yönelik beklentiler üzerine etkilerini saptamaya yönelik olmuştur.</w:t>
      </w:r>
    </w:p>
    <w:p w14:paraId="29FEF921" w14:textId="77777777" w:rsidR="006127D8" w:rsidRPr="00164238" w:rsidRDefault="006127D8" w:rsidP="006127D8">
      <w:pPr>
        <w:spacing w:before="120" w:after="120"/>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ab/>
        <w:t>Araştırma kapsamında çalışanlara yapılan anket sonuçlarının her biri Google form aracılığıyla dijital ortama aktarılmıştır. Daha sonrasında araştırmaya ilişkin bulgular Google Form ve Microsoft Office programlarından Excel kullanılarak analiz edilmiştir.</w:t>
      </w:r>
    </w:p>
    <w:p w14:paraId="35A82913" w14:textId="77777777" w:rsidR="006127D8" w:rsidRPr="00164238" w:rsidRDefault="006127D8" w:rsidP="006127D8">
      <w:pPr>
        <w:spacing w:before="120" w:after="120"/>
        <w:jc w:val="both"/>
        <w:rPr>
          <w:rFonts w:ascii="Times New Roman" w:hAnsi="Times New Roman" w:cs="Times New Roman"/>
          <w:b/>
          <w:color w:val="000000" w:themeColor="text1"/>
        </w:rPr>
      </w:pPr>
      <w:r w:rsidRPr="00164238">
        <w:rPr>
          <w:rFonts w:ascii="Times New Roman" w:hAnsi="Times New Roman" w:cs="Times New Roman"/>
          <w:b/>
          <w:color w:val="000000" w:themeColor="text1"/>
        </w:rPr>
        <w:t>Bulgular</w:t>
      </w:r>
    </w:p>
    <w:p w14:paraId="0F3C9FB0" w14:textId="77777777" w:rsidR="006127D8" w:rsidRPr="00164238" w:rsidRDefault="006127D8" w:rsidP="006127D8">
      <w:pPr>
        <w:spacing w:before="120" w:after="120"/>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ab/>
        <w:t xml:space="preserve">Araştırma kapsamında oluşturulan anketin ilk dört sorusu çalışanların kişisel bilgilerini belirlemeye yöneliktir. Bu doğrultuda ilk sorumuz çalışanların cinsiyetine yönelik olmuştur. Mobilya atölye ortamının erkeklerin çalışma alanına daha elverişli olmasından dolayı araştırmamızın hedef grubu erkek bireyler olmuştur (Tablo 1). </w:t>
      </w:r>
    </w:p>
    <w:p w14:paraId="23C6D7FD" w14:textId="77777777" w:rsidR="006127D8" w:rsidRPr="00164238" w:rsidRDefault="006127D8" w:rsidP="006127D8">
      <w:pPr>
        <w:spacing w:before="120" w:after="120"/>
        <w:rPr>
          <w:rFonts w:ascii="Times New Roman" w:hAnsi="Times New Roman" w:cs="Times New Roman"/>
          <w:color w:val="000000" w:themeColor="text1"/>
        </w:rPr>
      </w:pPr>
      <w:r w:rsidRPr="00164238">
        <w:rPr>
          <w:rFonts w:ascii="Times New Roman" w:hAnsi="Times New Roman" w:cs="Times New Roman"/>
          <w:noProof/>
          <w:color w:val="000000" w:themeColor="text1"/>
          <w:lang w:val="en-US"/>
        </w:rPr>
        <w:drawing>
          <wp:inline distT="0" distB="0" distL="0" distR="0" wp14:anchorId="0DB3CD40" wp14:editId="45D5D7F5">
            <wp:extent cx="4279900" cy="2035598"/>
            <wp:effectExtent l="0" t="0" r="0" b="0"/>
            <wp:docPr id="48" name="Resim 48" descr="/var/folders/v0/f9rw980x19q804k66gw6sgkw0000gn/T/com.microsoft.Word/Content.MSO/FFBC127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r/folders/v0/f9rw980x19q804k66gw6sgkw0000gn/T/com.microsoft.Word/Content.MSO/FFBC1275.tmp"/>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299956" cy="2045137"/>
                    </a:xfrm>
                    <a:prstGeom prst="rect">
                      <a:avLst/>
                    </a:prstGeom>
                    <a:noFill/>
                    <a:ln>
                      <a:noFill/>
                    </a:ln>
                  </pic:spPr>
                </pic:pic>
              </a:graphicData>
            </a:graphic>
          </wp:inline>
        </w:drawing>
      </w:r>
    </w:p>
    <w:p w14:paraId="1E58CF77" w14:textId="77777777" w:rsidR="006127D8" w:rsidRPr="00164238" w:rsidRDefault="006127D8" w:rsidP="006127D8">
      <w:pPr>
        <w:spacing w:before="120" w:after="120"/>
        <w:rPr>
          <w:rFonts w:ascii="Times New Roman" w:hAnsi="Times New Roman" w:cs="Times New Roman"/>
          <w:color w:val="000000" w:themeColor="text1"/>
        </w:rPr>
      </w:pPr>
      <w:r w:rsidRPr="00164238">
        <w:rPr>
          <w:rFonts w:ascii="Times New Roman" w:hAnsi="Times New Roman" w:cs="Times New Roman"/>
          <w:b/>
          <w:bCs/>
          <w:color w:val="000000" w:themeColor="text1"/>
        </w:rPr>
        <w:t xml:space="preserve">Tablo 1. </w:t>
      </w:r>
      <w:r w:rsidRPr="00164238">
        <w:rPr>
          <w:rFonts w:ascii="Times New Roman" w:hAnsi="Times New Roman" w:cs="Times New Roman"/>
          <w:color w:val="000000" w:themeColor="text1"/>
        </w:rPr>
        <w:t>Araştırmaya katılanların cinsiyet dağılımı</w:t>
      </w:r>
    </w:p>
    <w:p w14:paraId="501BD7CE"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ab/>
        <w:t xml:space="preserve">Araştırmaya katılan çalışanların 10’u (%5) 55 yaş üzerinde, 55’i (%27,5) 45- 55, 65’i (%32,5) 36 – 45, 44’ü (%22) 26 -35, 26’sı (%13) 18 – 25 yaş aralığındadır (Tablo 2). Siteler mobilya sektöründe çalışanların yaş skalasının 26-45 (109 Kişi - %55,5) arasında yoğunlaştığı görülmektedir. 18 – 25 yaş aralığını oluşturan gençlerin ise 200 kişi üzerinden değerlendirildiğinde %13 gibi az bir oranla yer aldığı dikkat çekmektedir. </w:t>
      </w:r>
    </w:p>
    <w:p w14:paraId="5732CFED" w14:textId="77777777" w:rsidR="006127D8" w:rsidRPr="00164238" w:rsidRDefault="006127D8" w:rsidP="006127D8">
      <w:pPr>
        <w:spacing w:before="120" w:after="120"/>
        <w:rPr>
          <w:rFonts w:ascii="Times New Roman" w:hAnsi="Times New Roman" w:cs="Times New Roman"/>
          <w:color w:val="000000" w:themeColor="text1"/>
        </w:rPr>
      </w:pPr>
      <w:r w:rsidRPr="00164238">
        <w:rPr>
          <w:rFonts w:ascii="Times New Roman" w:hAnsi="Times New Roman" w:cs="Times New Roman"/>
          <w:bCs/>
          <w:noProof/>
          <w:color w:val="000000" w:themeColor="text1"/>
          <w:lang w:val="en-US"/>
        </w:rPr>
        <w:lastRenderedPageBreak/>
        <w:drawing>
          <wp:inline distT="0" distB="0" distL="0" distR="0" wp14:anchorId="37CAA553" wp14:editId="74353A64">
            <wp:extent cx="4279900" cy="2035597"/>
            <wp:effectExtent l="0" t="0" r="0" b="0"/>
            <wp:docPr id="49" name="Resim 49" descr="/var/folders/v0/f9rw980x19q804k66gw6sgkw0000gn/T/com.microsoft.Word/Content.MSO/F67BA14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r/folders/v0/f9rw980x19q804k66gw6sgkw0000gn/T/com.microsoft.Word/Content.MSO/F67BA14B.tmp"/>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293904" cy="2042257"/>
                    </a:xfrm>
                    <a:prstGeom prst="rect">
                      <a:avLst/>
                    </a:prstGeom>
                    <a:noFill/>
                    <a:ln>
                      <a:noFill/>
                    </a:ln>
                  </pic:spPr>
                </pic:pic>
              </a:graphicData>
            </a:graphic>
          </wp:inline>
        </w:drawing>
      </w:r>
    </w:p>
    <w:p w14:paraId="535FABFC" w14:textId="77777777" w:rsidR="006127D8" w:rsidRPr="00164238" w:rsidRDefault="006127D8" w:rsidP="006127D8">
      <w:pPr>
        <w:spacing w:before="120" w:after="120"/>
        <w:jc w:val="both"/>
        <w:rPr>
          <w:rFonts w:ascii="Times New Roman" w:hAnsi="Times New Roman" w:cs="Times New Roman"/>
          <w:bCs/>
          <w:color w:val="000000" w:themeColor="text1"/>
        </w:rPr>
      </w:pPr>
      <w:r w:rsidRPr="00164238">
        <w:rPr>
          <w:rFonts w:ascii="Times New Roman" w:hAnsi="Times New Roman" w:cs="Times New Roman"/>
          <w:b/>
          <w:color w:val="000000" w:themeColor="text1"/>
        </w:rPr>
        <w:t>Tablo 2.</w:t>
      </w:r>
      <w:r w:rsidRPr="00164238">
        <w:rPr>
          <w:rFonts w:ascii="Times New Roman" w:hAnsi="Times New Roman" w:cs="Times New Roman"/>
          <w:bCs/>
          <w:color w:val="000000" w:themeColor="text1"/>
        </w:rPr>
        <w:t xml:space="preserve"> Araştırmaya katılan çalışanların yaş aralığı dağılımı</w:t>
      </w:r>
    </w:p>
    <w:p w14:paraId="1855CA2D" w14:textId="77777777" w:rsidR="006127D8" w:rsidRPr="00164238" w:rsidRDefault="006127D8" w:rsidP="006127D8">
      <w:pPr>
        <w:spacing w:before="120" w:after="120"/>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ab/>
        <w:t xml:space="preserve">Araştırma hedef gurubunda yer alan çalışanların 59’u (%29,5) ilkokul mezunudur. 34’ü (%17) ilköğretim, 46’sı (%23) ortaokul, 45’i (%22,5) lise, 15’i lisans (%7,5), 1’i (%0,5) ise lisansüstü mezunudur (Tablo 3). Çalışanların 139’unun (%69,5) ilk ve orta düzey eğitim seviyesinde olduğu görülmektedir. Lisans ve lisansüstü düzeyde eğitim alan kişilerin ise işveren veya büro personeli olduğu tespit edilmiştir. </w:t>
      </w:r>
    </w:p>
    <w:p w14:paraId="2E39DBD8" w14:textId="77777777" w:rsidR="006127D8" w:rsidRPr="00164238" w:rsidRDefault="006127D8" w:rsidP="006127D8">
      <w:pPr>
        <w:spacing w:before="120" w:after="120"/>
        <w:rPr>
          <w:rFonts w:ascii="Times New Roman" w:hAnsi="Times New Roman" w:cs="Times New Roman"/>
          <w:color w:val="000000" w:themeColor="text1"/>
        </w:rPr>
      </w:pPr>
      <w:r w:rsidRPr="00164238">
        <w:rPr>
          <w:rFonts w:ascii="Times New Roman" w:hAnsi="Times New Roman" w:cs="Times New Roman"/>
          <w:bCs/>
          <w:noProof/>
          <w:color w:val="000000" w:themeColor="text1"/>
          <w:lang w:val="en-US"/>
        </w:rPr>
        <w:drawing>
          <wp:inline distT="0" distB="0" distL="0" distR="0" wp14:anchorId="390DF4FB" wp14:editId="677C1553">
            <wp:extent cx="4508500" cy="2144323"/>
            <wp:effectExtent l="0" t="0" r="0" b="2540"/>
            <wp:docPr id="50" name="Resim 50" descr="/var/folders/v0/f9rw980x19q804k66gw6sgkw0000gn/T/com.microsoft.Word/Content.MSO/2B15D49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r/folders/v0/f9rw980x19q804k66gw6sgkw0000gn/T/com.microsoft.Word/Content.MSO/2B15D491.tmp"/>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525291" cy="2152309"/>
                    </a:xfrm>
                    <a:prstGeom prst="rect">
                      <a:avLst/>
                    </a:prstGeom>
                    <a:noFill/>
                    <a:ln>
                      <a:noFill/>
                    </a:ln>
                  </pic:spPr>
                </pic:pic>
              </a:graphicData>
            </a:graphic>
          </wp:inline>
        </w:drawing>
      </w:r>
    </w:p>
    <w:p w14:paraId="7CB3A97C" w14:textId="77777777" w:rsidR="006127D8" w:rsidRPr="00164238" w:rsidRDefault="006127D8" w:rsidP="006127D8">
      <w:pPr>
        <w:spacing w:before="120" w:after="120"/>
        <w:jc w:val="both"/>
        <w:rPr>
          <w:rFonts w:ascii="Times New Roman" w:hAnsi="Times New Roman" w:cs="Times New Roman"/>
          <w:bCs/>
          <w:color w:val="000000" w:themeColor="text1"/>
        </w:rPr>
      </w:pPr>
      <w:r w:rsidRPr="00164238">
        <w:rPr>
          <w:rFonts w:ascii="Times New Roman" w:hAnsi="Times New Roman" w:cs="Times New Roman"/>
          <w:b/>
          <w:color w:val="000000" w:themeColor="text1"/>
        </w:rPr>
        <w:t xml:space="preserve">Tablo 3. </w:t>
      </w:r>
      <w:r w:rsidRPr="00164238">
        <w:rPr>
          <w:rFonts w:ascii="Times New Roman" w:hAnsi="Times New Roman" w:cs="Times New Roman"/>
          <w:bCs/>
          <w:color w:val="000000" w:themeColor="text1"/>
        </w:rPr>
        <w:t>Çalışanların eğitim durumu</w:t>
      </w:r>
    </w:p>
    <w:p w14:paraId="1379E6D9" w14:textId="77777777" w:rsidR="006127D8" w:rsidRPr="00164238" w:rsidRDefault="006127D8" w:rsidP="006127D8">
      <w:pPr>
        <w:spacing w:before="120" w:after="120"/>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ab/>
        <w:t>Araştırmaya katılan çalışanların hangi semtlerde ikamet ettikleri tablo 4’te gösterilmiştir. Tabloya baktığımızda 108 (%54) kişi ile en fazla Altındağ’da ikamet edilmektedir. Altındağ’ı 63 kişi (%31,8) ile Mamak ilçesi takip etmektedir. Yalnızca 2 kişi ( %1) ise tabloda belirtilmeyen ilçelerde ikamet etmektedir. Verilere bakıldığında çalışanların ikametinin Siteler bölgesine yakın olan Altındağ ve Mamak ilçelerinde yoğunlaştığı görülmektedir.</w:t>
      </w:r>
    </w:p>
    <w:p w14:paraId="4699BC6B" w14:textId="77777777" w:rsidR="006127D8" w:rsidRPr="00164238" w:rsidRDefault="006127D8" w:rsidP="006127D8">
      <w:pPr>
        <w:spacing w:before="120" w:after="120"/>
        <w:rPr>
          <w:rFonts w:ascii="Times New Roman" w:hAnsi="Times New Roman" w:cs="Times New Roman"/>
          <w:color w:val="000000" w:themeColor="text1"/>
        </w:rPr>
      </w:pPr>
      <w:r w:rsidRPr="00164238">
        <w:rPr>
          <w:rFonts w:ascii="Times New Roman" w:hAnsi="Times New Roman" w:cs="Times New Roman"/>
          <w:bCs/>
          <w:noProof/>
          <w:color w:val="000000" w:themeColor="text1"/>
          <w:lang w:val="en-US"/>
        </w:rPr>
        <w:lastRenderedPageBreak/>
        <w:drawing>
          <wp:inline distT="0" distB="0" distL="0" distR="0" wp14:anchorId="1E4B10AF" wp14:editId="40CBC2E5">
            <wp:extent cx="5755640" cy="2737485"/>
            <wp:effectExtent l="0" t="0" r="0" b="5715"/>
            <wp:docPr id="51" name="Resim 51" descr="/var/folders/v0/f9rw980x19q804k66gw6sgkw0000gn/T/com.microsoft.Word/Content.MSO/D09ED5C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ar/folders/v0/f9rw980x19q804k66gw6sgkw0000gn/T/com.microsoft.Word/Content.MSO/D09ED5C7.tmp"/>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55640" cy="2737485"/>
                    </a:xfrm>
                    <a:prstGeom prst="rect">
                      <a:avLst/>
                    </a:prstGeom>
                    <a:noFill/>
                    <a:ln>
                      <a:noFill/>
                    </a:ln>
                  </pic:spPr>
                </pic:pic>
              </a:graphicData>
            </a:graphic>
          </wp:inline>
        </w:drawing>
      </w:r>
    </w:p>
    <w:p w14:paraId="12DE2772" w14:textId="77777777" w:rsidR="006127D8" w:rsidRPr="00164238" w:rsidRDefault="006127D8" w:rsidP="006127D8">
      <w:pPr>
        <w:spacing w:before="120" w:after="120"/>
        <w:jc w:val="both"/>
        <w:rPr>
          <w:rFonts w:ascii="Times New Roman" w:hAnsi="Times New Roman" w:cs="Times New Roman"/>
          <w:bCs/>
          <w:color w:val="000000" w:themeColor="text1"/>
        </w:rPr>
      </w:pPr>
      <w:r w:rsidRPr="00164238">
        <w:rPr>
          <w:rFonts w:ascii="Times New Roman" w:hAnsi="Times New Roman" w:cs="Times New Roman"/>
          <w:b/>
          <w:color w:val="000000" w:themeColor="text1"/>
        </w:rPr>
        <w:t>Tablo 4.</w:t>
      </w:r>
      <w:r w:rsidRPr="00164238">
        <w:rPr>
          <w:rFonts w:ascii="Times New Roman" w:hAnsi="Times New Roman" w:cs="Times New Roman"/>
          <w:bCs/>
          <w:color w:val="000000" w:themeColor="text1"/>
        </w:rPr>
        <w:t xml:space="preserve"> Çalışanların ikamet ettiği ilçelerin dağılımı</w:t>
      </w:r>
    </w:p>
    <w:p w14:paraId="6F9BFA55" w14:textId="77777777" w:rsidR="006127D8" w:rsidRPr="00164238" w:rsidRDefault="006127D8" w:rsidP="006127D8">
      <w:pPr>
        <w:spacing w:before="120" w:after="120"/>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ab/>
        <w:t xml:space="preserve">Araştırmaya katılanların işletmelerindeki çalışan sayılarının dağılımı tablo 5’te gösterilmiştir. Tabloya göre 121 kişi (%60,5) 1 ile 10 kişi arasında işçisi olan küçük ölçekli atölyelerde çalışmaktadır. Ayrıca 10 ile 30 arasında 37 (%18,5), 30 ile 50 arasında 13 (%6,5), 50 ile 100 arasında 1 (%0,5), 100 ve üzerinde ise 28 (%14) çalışan araştırmamıza katılmıştır. Saha çalışmasında yapılan tespitlere göre mobilya işletmelerinin çoğu 1 ile 10 kişi ile üretim yapmaktadır. 50 ile 100 arasında çalışanı bulunan işletme personeli, araştırmamıza 1 ile 10 kişi çalışanı bulunan atölye personeli ile yaptığımız araştırma/anket sırasında katılmıştır. </w:t>
      </w:r>
    </w:p>
    <w:p w14:paraId="4DDF7861" w14:textId="77777777" w:rsidR="006127D8" w:rsidRPr="00164238" w:rsidRDefault="006127D8" w:rsidP="006127D8">
      <w:pPr>
        <w:spacing w:before="120" w:after="120"/>
        <w:rPr>
          <w:rFonts w:ascii="Times New Roman" w:hAnsi="Times New Roman" w:cs="Times New Roman"/>
          <w:color w:val="000000" w:themeColor="text1"/>
        </w:rPr>
      </w:pPr>
      <w:r w:rsidRPr="00164238">
        <w:rPr>
          <w:rFonts w:ascii="Times New Roman" w:hAnsi="Times New Roman" w:cs="Times New Roman"/>
          <w:bCs/>
          <w:noProof/>
          <w:color w:val="000000" w:themeColor="text1"/>
          <w:lang w:val="en-US"/>
        </w:rPr>
        <w:drawing>
          <wp:inline distT="0" distB="0" distL="0" distR="0" wp14:anchorId="6400A34E" wp14:editId="0785D88E">
            <wp:extent cx="5461000" cy="2597350"/>
            <wp:effectExtent l="0" t="0" r="0" b="6350"/>
            <wp:docPr id="52" name="Resim 52" descr="/var/folders/v0/f9rw980x19q804k66gw6sgkw0000gn/T/com.microsoft.Word/Content.MSO/72500A6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ar/folders/v0/f9rw980x19q804k66gw6sgkw0000gn/T/com.microsoft.Word/Content.MSO/72500A6D.tmp"/>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485692" cy="2609094"/>
                    </a:xfrm>
                    <a:prstGeom prst="rect">
                      <a:avLst/>
                    </a:prstGeom>
                    <a:noFill/>
                    <a:ln>
                      <a:noFill/>
                    </a:ln>
                  </pic:spPr>
                </pic:pic>
              </a:graphicData>
            </a:graphic>
          </wp:inline>
        </w:drawing>
      </w:r>
    </w:p>
    <w:p w14:paraId="1119F17D" w14:textId="77777777" w:rsidR="006127D8" w:rsidRPr="00164238" w:rsidRDefault="006127D8" w:rsidP="006127D8">
      <w:pPr>
        <w:spacing w:before="120" w:after="120"/>
        <w:jc w:val="both"/>
        <w:rPr>
          <w:rFonts w:ascii="Times New Roman" w:hAnsi="Times New Roman" w:cs="Times New Roman"/>
          <w:bCs/>
          <w:color w:val="000000" w:themeColor="text1"/>
        </w:rPr>
      </w:pPr>
      <w:r w:rsidRPr="00164238">
        <w:rPr>
          <w:rFonts w:ascii="Times New Roman" w:hAnsi="Times New Roman" w:cs="Times New Roman"/>
          <w:b/>
          <w:color w:val="000000" w:themeColor="text1"/>
        </w:rPr>
        <w:t>Tablo 5.</w:t>
      </w:r>
      <w:r w:rsidRPr="00164238">
        <w:rPr>
          <w:rFonts w:ascii="Times New Roman" w:hAnsi="Times New Roman" w:cs="Times New Roman"/>
          <w:bCs/>
          <w:color w:val="000000" w:themeColor="text1"/>
        </w:rPr>
        <w:t xml:space="preserve"> İşletmelerdeki çalışan sayısı dağılımı</w:t>
      </w:r>
    </w:p>
    <w:p w14:paraId="2B52107E" w14:textId="77777777" w:rsidR="006127D8" w:rsidRPr="00164238" w:rsidRDefault="006127D8" w:rsidP="006127D8">
      <w:pPr>
        <w:spacing w:before="120" w:after="120"/>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ab/>
        <w:t>Araştırmaya katılanların işletmelerinde hangi mesleki alanda çalıştıkları tablo 6’da gösterilmiştir. Tabloya baktığımızda 98 kişi ( %54,4) ile en fazla çalışma alanının marangozluk olduğunu görmekteyiz. Marangozluktan sonra 42 kişi (%23,3) ile döşeme gelmektedir. 20 kişi (%10) ise tabloda belirtilen mesleki alanlar dışında bir mobilya iş kolunda çalışmaktadır. Bir kişi ise hem marangozluk hem de boya alanında yeterliliği olduğunu belirtmiştir.</w:t>
      </w:r>
    </w:p>
    <w:p w14:paraId="064F8193" w14:textId="77777777" w:rsidR="006127D8" w:rsidRPr="00164238" w:rsidRDefault="006127D8" w:rsidP="006127D8">
      <w:pPr>
        <w:spacing w:before="120" w:after="120"/>
        <w:rPr>
          <w:rFonts w:ascii="Times New Roman" w:hAnsi="Times New Roman" w:cs="Times New Roman"/>
          <w:color w:val="000000" w:themeColor="text1"/>
        </w:rPr>
      </w:pPr>
      <w:r w:rsidRPr="00164238">
        <w:rPr>
          <w:rFonts w:ascii="Times New Roman" w:hAnsi="Times New Roman" w:cs="Times New Roman"/>
          <w:bCs/>
          <w:noProof/>
          <w:color w:val="000000" w:themeColor="text1"/>
          <w:lang w:val="en-US"/>
        </w:rPr>
        <w:lastRenderedPageBreak/>
        <w:drawing>
          <wp:inline distT="0" distB="0" distL="0" distR="0" wp14:anchorId="34D184AC" wp14:editId="64DB8017">
            <wp:extent cx="3987800" cy="1896668"/>
            <wp:effectExtent l="0" t="0" r="0" b="0"/>
            <wp:docPr id="53" name="Resim 53" descr="/var/folders/v0/f9rw980x19q804k66gw6sgkw0000gn/T/com.microsoft.Word/Content.MSO/4D87740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ar/folders/v0/f9rw980x19q804k66gw6sgkw0000gn/T/com.microsoft.Word/Content.MSO/4D877403.tmp"/>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011738" cy="1908053"/>
                    </a:xfrm>
                    <a:prstGeom prst="rect">
                      <a:avLst/>
                    </a:prstGeom>
                    <a:noFill/>
                    <a:ln>
                      <a:noFill/>
                    </a:ln>
                  </pic:spPr>
                </pic:pic>
              </a:graphicData>
            </a:graphic>
          </wp:inline>
        </w:drawing>
      </w:r>
    </w:p>
    <w:p w14:paraId="332AA90A" w14:textId="77777777" w:rsidR="006127D8" w:rsidRPr="00164238" w:rsidRDefault="006127D8" w:rsidP="006127D8">
      <w:pPr>
        <w:spacing w:before="120" w:after="120"/>
        <w:jc w:val="both"/>
        <w:rPr>
          <w:rFonts w:ascii="Times New Roman" w:hAnsi="Times New Roman" w:cs="Times New Roman"/>
          <w:bCs/>
          <w:color w:val="000000" w:themeColor="text1"/>
        </w:rPr>
      </w:pPr>
      <w:r w:rsidRPr="00164238">
        <w:rPr>
          <w:rFonts w:ascii="Times New Roman" w:hAnsi="Times New Roman" w:cs="Times New Roman"/>
          <w:b/>
          <w:color w:val="000000" w:themeColor="text1"/>
        </w:rPr>
        <w:t>Tablo 6.</w:t>
      </w:r>
      <w:r w:rsidRPr="00164238">
        <w:rPr>
          <w:rFonts w:ascii="Times New Roman" w:hAnsi="Times New Roman" w:cs="Times New Roman"/>
          <w:bCs/>
          <w:color w:val="000000" w:themeColor="text1"/>
        </w:rPr>
        <w:t xml:space="preserve"> Çalışanların mesleki alanlarının dağılımı</w:t>
      </w:r>
    </w:p>
    <w:p w14:paraId="06A3A6CC" w14:textId="77777777" w:rsidR="006127D8" w:rsidRPr="00164238" w:rsidRDefault="006127D8" w:rsidP="006127D8">
      <w:pPr>
        <w:spacing w:before="120" w:after="120"/>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ab/>
        <w:t>Çalışanlara uygulanan anketin 7. sorusunda aylık gelir durumları tespit edilmeye çalışılmıştır. Aylık gelir durumları tablo 7’de gösterilmiştir. Araştırma sahasında yer alan çalışanların 98’i  (%47,5) 1000 – 3000 TL, 90’ı ( %45) 3000 – 5000 TL, 13’ü (%6,5) ise 5000 – 8000 TL aylık gelire sahiptir. Sadece işyeri sahibi olan 2 kişinin ( %1) 8000 TL ve üzeri geliri bulunmaktadır. Netice itibariyle bakıldığında çalışanların çoğunun ( 188 kişi - %92,5) 1000 – 5000 TL arasında bir geliri bulunmaktadır.</w:t>
      </w:r>
    </w:p>
    <w:p w14:paraId="4F42A27F" w14:textId="77777777" w:rsidR="006127D8" w:rsidRPr="00164238" w:rsidRDefault="006127D8" w:rsidP="006127D8">
      <w:pPr>
        <w:spacing w:before="120" w:after="120"/>
        <w:rPr>
          <w:rFonts w:ascii="Times New Roman" w:hAnsi="Times New Roman" w:cs="Times New Roman"/>
          <w:color w:val="000000" w:themeColor="text1"/>
        </w:rPr>
      </w:pPr>
      <w:r w:rsidRPr="00164238">
        <w:rPr>
          <w:rFonts w:ascii="Times New Roman" w:hAnsi="Times New Roman" w:cs="Times New Roman"/>
          <w:bCs/>
          <w:noProof/>
          <w:color w:val="000000" w:themeColor="text1"/>
          <w:lang w:val="en-US"/>
        </w:rPr>
        <w:drawing>
          <wp:inline distT="0" distB="0" distL="0" distR="0" wp14:anchorId="53CDE8BE" wp14:editId="1D669A91">
            <wp:extent cx="3930650" cy="1869486"/>
            <wp:effectExtent l="0" t="0" r="0" b="0"/>
            <wp:docPr id="54" name="Resim 54" descr="/var/folders/v0/f9rw980x19q804k66gw6sgkw0000gn/T/com.microsoft.Word/Content.MSO/81DE100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ar/folders/v0/f9rw980x19q804k66gw6sgkw0000gn/T/com.microsoft.Word/Content.MSO/81DE1009.tmp"/>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964422" cy="1885548"/>
                    </a:xfrm>
                    <a:prstGeom prst="rect">
                      <a:avLst/>
                    </a:prstGeom>
                    <a:noFill/>
                    <a:ln>
                      <a:noFill/>
                    </a:ln>
                  </pic:spPr>
                </pic:pic>
              </a:graphicData>
            </a:graphic>
          </wp:inline>
        </w:drawing>
      </w:r>
    </w:p>
    <w:p w14:paraId="4A60B96E" w14:textId="77777777" w:rsidR="006127D8" w:rsidRPr="00164238" w:rsidRDefault="006127D8" w:rsidP="006127D8">
      <w:pPr>
        <w:spacing w:before="120" w:after="120"/>
        <w:jc w:val="both"/>
        <w:rPr>
          <w:rFonts w:ascii="Times New Roman" w:hAnsi="Times New Roman" w:cs="Times New Roman"/>
          <w:bCs/>
          <w:color w:val="000000" w:themeColor="text1"/>
        </w:rPr>
      </w:pPr>
      <w:r w:rsidRPr="00164238">
        <w:rPr>
          <w:rFonts w:ascii="Times New Roman" w:hAnsi="Times New Roman" w:cs="Times New Roman"/>
          <w:b/>
          <w:color w:val="000000" w:themeColor="text1"/>
        </w:rPr>
        <w:t>Tablo 7.</w:t>
      </w:r>
      <w:r w:rsidRPr="00164238">
        <w:rPr>
          <w:rFonts w:ascii="Times New Roman" w:hAnsi="Times New Roman" w:cs="Times New Roman"/>
          <w:bCs/>
          <w:color w:val="000000" w:themeColor="text1"/>
        </w:rPr>
        <w:t xml:space="preserve"> Çalışanların aylık gelir durumları</w:t>
      </w:r>
    </w:p>
    <w:p w14:paraId="7BB67BE3" w14:textId="77777777" w:rsidR="006127D8" w:rsidRPr="00164238" w:rsidRDefault="006127D8" w:rsidP="006127D8">
      <w:pPr>
        <w:spacing w:before="120" w:after="120"/>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ab/>
        <w:t>Çalışanların aylık gelirlerini tespit ettikten sonra herhangi bir gelirleri olmadığı takdirde giderlerini tahminen kaç ay karşılayabilecekleri belirlenmeye çalışılmıştır. Bu doğrultuda verilen cevaplar tablo 8’de gösterilmiştir. Çalışanların 69’u (%34,5) hiçbir birikimlerinin olmadığını ve çalışamadıkları takdirde geçimlerini idame ettiremeyeceklerini belirtmişlerdir. 104 kişinin (%52) ise herhangi bir gelirleri olmadığında giderlerini yalnızca 1 ile 3 ay arasında sağlayabilecekleri tespit edilmiştir. Sadece 29’u (%14,5) giderlerini 4 ay ve üzerinde bir süre karşılayabilecekleri şeklinde cevap vermiştir.  2 kişi ise hem hiç birikimim mevcut değil hem de 1 aylık birikimim bulunmakta yönünde iki ayrı cevap vermiştir.</w:t>
      </w:r>
    </w:p>
    <w:p w14:paraId="22BBA5E2" w14:textId="77777777" w:rsidR="006127D8" w:rsidRPr="00164238" w:rsidRDefault="006127D8" w:rsidP="006127D8">
      <w:pPr>
        <w:spacing w:before="120" w:after="120"/>
        <w:rPr>
          <w:rFonts w:ascii="Times New Roman" w:hAnsi="Times New Roman" w:cs="Times New Roman"/>
          <w:color w:val="000000" w:themeColor="text1"/>
        </w:rPr>
      </w:pPr>
      <w:r w:rsidRPr="00164238">
        <w:rPr>
          <w:rFonts w:ascii="Times New Roman" w:hAnsi="Times New Roman" w:cs="Times New Roman"/>
          <w:bCs/>
          <w:noProof/>
          <w:color w:val="000000" w:themeColor="text1"/>
          <w:lang w:val="en-US"/>
        </w:rPr>
        <w:lastRenderedPageBreak/>
        <w:drawing>
          <wp:inline distT="0" distB="0" distL="0" distR="0" wp14:anchorId="0444627A" wp14:editId="4E82A5D5">
            <wp:extent cx="3930650" cy="1998283"/>
            <wp:effectExtent l="0" t="0" r="0" b="0"/>
            <wp:docPr id="55" name="Resim 55" descr="/var/folders/v0/f9rw980x19q804k66gw6sgkw0000gn/T/com.microsoft.Word/Content.MSO/DA6D37F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ar/folders/v0/f9rw980x19q804k66gw6sgkw0000gn/T/com.microsoft.Word/Content.MSO/DA6D37FF.tmp"/>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975039" cy="2020849"/>
                    </a:xfrm>
                    <a:prstGeom prst="rect">
                      <a:avLst/>
                    </a:prstGeom>
                    <a:noFill/>
                    <a:ln>
                      <a:noFill/>
                    </a:ln>
                  </pic:spPr>
                </pic:pic>
              </a:graphicData>
            </a:graphic>
          </wp:inline>
        </w:drawing>
      </w:r>
    </w:p>
    <w:p w14:paraId="13D790AB" w14:textId="77777777" w:rsidR="006127D8" w:rsidRPr="00164238" w:rsidRDefault="006127D8" w:rsidP="006127D8">
      <w:pPr>
        <w:spacing w:before="120" w:after="120"/>
        <w:jc w:val="both"/>
        <w:rPr>
          <w:rFonts w:ascii="Times New Roman" w:hAnsi="Times New Roman" w:cs="Times New Roman"/>
          <w:bCs/>
          <w:color w:val="000000" w:themeColor="text1"/>
        </w:rPr>
      </w:pPr>
      <w:r w:rsidRPr="00164238">
        <w:rPr>
          <w:rFonts w:ascii="Times New Roman" w:hAnsi="Times New Roman" w:cs="Times New Roman"/>
          <w:b/>
          <w:color w:val="000000" w:themeColor="text1"/>
        </w:rPr>
        <w:t>Tablo 8.</w:t>
      </w:r>
      <w:r w:rsidRPr="00164238">
        <w:rPr>
          <w:rFonts w:ascii="Times New Roman" w:hAnsi="Times New Roman" w:cs="Times New Roman"/>
          <w:bCs/>
          <w:color w:val="000000" w:themeColor="text1"/>
        </w:rPr>
        <w:t xml:space="preserve"> İhtiyaçlarını karşılayabilecek tahmini aylık birikimleri dağılımı</w:t>
      </w:r>
    </w:p>
    <w:p w14:paraId="4FD5A120" w14:textId="77777777" w:rsidR="006127D8" w:rsidRPr="00164238" w:rsidRDefault="006127D8" w:rsidP="006127D8">
      <w:pPr>
        <w:spacing w:before="120" w:after="120"/>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ab/>
        <w:t>Covid-19 salgınının etkilerini azaltmak üzere uygulamaya koyulan önlemlerin başlamasıyla çalışanların çalışma durum ve şekillerinde değişiklik olup olmadığı saptanmaya çalışılmıştır. Tablo 9 ve tablo 10’a bakıldığında Siteler bölgesinde mobilya sektöründe çalışanların çalışma durum ve şekillerinde fazla değişiklik olmadığı görülmektedir.</w:t>
      </w:r>
    </w:p>
    <w:p w14:paraId="51931A85" w14:textId="77777777" w:rsidR="006127D8" w:rsidRPr="00164238" w:rsidRDefault="006127D8" w:rsidP="006127D8">
      <w:pPr>
        <w:spacing w:before="120" w:after="120"/>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ab/>
        <w:t>Microsoft Excel aracılığıyla oluşturulan analizler sonucunda, 1000 – 3000 TL arasında aylık geliri bulunan çalışanlardan 29’unun 1 ay, 17’sinin 2-3 ay, 1’inin 4-6 ay ihtiyaçlarını karşılayabilecek durumda olduğu tespit edilmiştir. Belirtilen maaşı alan 46 kişi ise herhangi bir geliri bulunmazsa hiçbir birikiminin olmadığını belirtmiştir. 3000 – 5000 TL arasında aylık gelire sahip 11 kişi 1 ay, 36 kişi 2-3 ay, 14 kişi 4-6 ay, 3 kişi 7-12 ay, 2 kişi ise 12 aydan fazla geçimlerini idame ettirebilecekleri yönünde cevap vermiştir. Bu gelire sahip 20 kişinin ise herhangi bir geliri olmadığı zamanda hiçbir birikimi olmadığı ortaya çıkmıştır. 5000 – 8000 TL aylık geliri bulunan çalışanlardan 2’sinin 1 ay, 3’ünün 4-6 ay, 1’nin 7-12 ay, 2’sinin ise 12 aydan fazla bir süre herhangi bir geliri olmadan ihtiyaçlarını giderebileceği belirlenmiştir. 5000 – 8000 aylık gelire sahip olan 1 kişinin ise herhangi bir birikiminin bulunmamaktadır. 8000 TL ve üzerinde aylık geliri bulunan işletme sahibi iki kişi ise herhangi bir gelirleri olmadan 12 aydan fazla ihtiyaçlarını giderebilecekleri yönünde cevap vermişlerdir. Araştırma verileri doğrultusunda hiçbir birikimi bulunmayan 69 kişinin 46’sının 1000 – 3000 TL arasında aylık geliri bulunan çalışan olduğu tespit edilmiştir.</w:t>
      </w:r>
    </w:p>
    <w:p w14:paraId="136D4E9D" w14:textId="77777777" w:rsidR="006127D8" w:rsidRPr="00164238" w:rsidRDefault="006127D8" w:rsidP="006127D8">
      <w:pPr>
        <w:spacing w:before="120" w:after="120"/>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ab/>
      </w:r>
      <w:r w:rsidRPr="00164238">
        <w:rPr>
          <w:rFonts w:ascii="Times New Roman" w:hAnsi="Times New Roman" w:cs="Times New Roman"/>
          <w:color w:val="000000" w:themeColor="text1"/>
        </w:rPr>
        <w:t xml:space="preserve">Araştırmamız kapsamında yer alan çalışanların Covid-19 sürecinde çalışma durumlarını gösteren veriler tablo 9’da verilmiştir. Veriler doğrultusunda 115 (%57,5) personelin çalışma durumunda bir değişiklik olmadığı,  44’ünün (%22) ücretsiz izne ayrıldığı, 31’inin (%15,5) maaşında kesinti yapıldığı, 10’unun (%5) ise ücretli izne ayrıldığı belirlenmiştir. </w:t>
      </w:r>
    </w:p>
    <w:p w14:paraId="636D9EE5" w14:textId="77777777" w:rsidR="006127D8" w:rsidRPr="00164238" w:rsidRDefault="006127D8" w:rsidP="006127D8">
      <w:pPr>
        <w:spacing w:before="120" w:after="120"/>
        <w:rPr>
          <w:rFonts w:ascii="Times New Roman" w:hAnsi="Times New Roman" w:cs="Times New Roman"/>
          <w:color w:val="000000" w:themeColor="text1"/>
        </w:rPr>
      </w:pPr>
      <w:r w:rsidRPr="00164238">
        <w:rPr>
          <w:rFonts w:ascii="Times New Roman" w:hAnsi="Times New Roman" w:cs="Times New Roman"/>
          <w:bCs/>
          <w:noProof/>
          <w:color w:val="000000" w:themeColor="text1"/>
          <w:lang w:val="en-US"/>
        </w:rPr>
        <w:lastRenderedPageBreak/>
        <w:drawing>
          <wp:inline distT="0" distB="0" distL="0" distR="0" wp14:anchorId="0520A91C" wp14:editId="51044AA6">
            <wp:extent cx="3981450" cy="2024109"/>
            <wp:effectExtent l="0" t="0" r="0" b="0"/>
            <wp:docPr id="56" name="Resim 56" descr="/var/folders/v0/f9rw980x19q804k66gw6sgkw0000gn/T/com.microsoft.Word/Content.MSO/D748242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v0/f9rw980x19q804k66gw6sgkw0000gn/T/com.microsoft.Word/Content.MSO/D7482420.tmp"/>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015354" cy="2041345"/>
                    </a:xfrm>
                    <a:prstGeom prst="rect">
                      <a:avLst/>
                    </a:prstGeom>
                    <a:noFill/>
                    <a:ln>
                      <a:noFill/>
                    </a:ln>
                  </pic:spPr>
                </pic:pic>
              </a:graphicData>
            </a:graphic>
          </wp:inline>
        </w:drawing>
      </w:r>
    </w:p>
    <w:p w14:paraId="7F75AA6D" w14:textId="77777777" w:rsidR="006127D8" w:rsidRPr="00164238" w:rsidRDefault="006127D8" w:rsidP="006127D8">
      <w:pPr>
        <w:spacing w:before="120" w:after="120"/>
        <w:rPr>
          <w:rFonts w:ascii="Times New Roman" w:hAnsi="Times New Roman" w:cs="Times New Roman"/>
          <w:color w:val="000000" w:themeColor="text1"/>
        </w:rPr>
      </w:pPr>
      <w:r w:rsidRPr="00164238">
        <w:rPr>
          <w:rFonts w:ascii="Times New Roman" w:hAnsi="Times New Roman" w:cs="Times New Roman"/>
          <w:b/>
          <w:bCs/>
          <w:color w:val="000000" w:themeColor="text1"/>
        </w:rPr>
        <w:t>Tablo 9.</w:t>
      </w:r>
      <w:r w:rsidRPr="00164238">
        <w:rPr>
          <w:rFonts w:ascii="Times New Roman" w:hAnsi="Times New Roman" w:cs="Times New Roman"/>
          <w:color w:val="000000" w:themeColor="text1"/>
        </w:rPr>
        <w:t xml:space="preserve"> Çalışma Durum Değişiklik Analizi</w:t>
      </w:r>
    </w:p>
    <w:p w14:paraId="601825BC"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ab/>
        <w:t>Çalışanların Covid-19 sürecinde çalışma şekillerini gösteren veriler tablo 10’da gösterilmiştir. 168’ine (%84) çalışma şeklinde bir değişiklik olmamıştır. 30’una (%15) ise çalışana dönüşümlü çalışma metodu uygulanmıştır. 2 kişiye ise uzaktan çalışma imkanı sağlanmıştır. Dönüşümlü çalışma metodu 30 ve üzerinde çalışan işletmelerde uygulanmıştır. Uzaktan çalışma imkanı ise 30- 50 çalışanlı ve 100 üzeri çalışanlı işletmedeki büro personeline sağlanmıştır.</w:t>
      </w:r>
    </w:p>
    <w:p w14:paraId="196C8D2B" w14:textId="77777777" w:rsidR="006127D8" w:rsidRPr="00164238" w:rsidRDefault="006127D8" w:rsidP="006127D8">
      <w:pPr>
        <w:spacing w:before="120" w:after="120"/>
        <w:rPr>
          <w:rFonts w:ascii="Times New Roman" w:hAnsi="Times New Roman" w:cs="Times New Roman"/>
          <w:color w:val="000000" w:themeColor="text1"/>
        </w:rPr>
      </w:pPr>
      <w:r w:rsidRPr="00164238">
        <w:rPr>
          <w:rFonts w:ascii="Times New Roman" w:hAnsi="Times New Roman" w:cs="Times New Roman"/>
          <w:bCs/>
          <w:noProof/>
          <w:color w:val="000000" w:themeColor="text1"/>
          <w:lang w:val="en-US"/>
        </w:rPr>
        <w:drawing>
          <wp:inline distT="0" distB="0" distL="0" distR="0" wp14:anchorId="2CB093FA" wp14:editId="0D29B737">
            <wp:extent cx="3835400" cy="1824185"/>
            <wp:effectExtent l="0" t="0" r="0" b="5080"/>
            <wp:docPr id="57" name="Resim 57" descr="/var/folders/v0/f9rw980x19q804k66gw6sgkw0000gn/T/com.microsoft.Word/Content.MSO/D2B4BF2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r/folders/v0/f9rw980x19q804k66gw6sgkw0000gn/T/com.microsoft.Word/Content.MSO/D2B4BF2E.tmp"/>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869987" cy="1840635"/>
                    </a:xfrm>
                    <a:prstGeom prst="rect">
                      <a:avLst/>
                    </a:prstGeom>
                    <a:noFill/>
                    <a:ln>
                      <a:noFill/>
                    </a:ln>
                  </pic:spPr>
                </pic:pic>
              </a:graphicData>
            </a:graphic>
          </wp:inline>
        </w:drawing>
      </w:r>
    </w:p>
    <w:p w14:paraId="7470655D" w14:textId="77777777" w:rsidR="006127D8" w:rsidRPr="00164238" w:rsidRDefault="006127D8" w:rsidP="006127D8">
      <w:pPr>
        <w:spacing w:before="120" w:after="120"/>
        <w:jc w:val="both"/>
        <w:rPr>
          <w:rFonts w:ascii="Times New Roman" w:hAnsi="Times New Roman" w:cs="Times New Roman"/>
          <w:bCs/>
          <w:color w:val="000000" w:themeColor="text1"/>
        </w:rPr>
      </w:pPr>
      <w:r w:rsidRPr="00164238">
        <w:rPr>
          <w:rFonts w:ascii="Times New Roman" w:hAnsi="Times New Roman" w:cs="Times New Roman"/>
          <w:b/>
          <w:color w:val="000000" w:themeColor="text1"/>
        </w:rPr>
        <w:t>Tablo 10.</w:t>
      </w:r>
      <w:r w:rsidRPr="00164238">
        <w:rPr>
          <w:rFonts w:ascii="Times New Roman" w:hAnsi="Times New Roman" w:cs="Times New Roman"/>
          <w:bCs/>
          <w:color w:val="000000" w:themeColor="text1"/>
        </w:rPr>
        <w:t xml:space="preserve"> Çalışma Şekil Değişiklik Analizi</w:t>
      </w:r>
    </w:p>
    <w:p w14:paraId="16ED8A36" w14:textId="77777777" w:rsidR="006127D8" w:rsidRPr="00164238" w:rsidRDefault="006127D8" w:rsidP="006127D8">
      <w:pPr>
        <w:spacing w:before="120" w:after="120"/>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ab/>
        <w:t xml:space="preserve">Araştırmamız kapsamında uyguladığımız anketin 11. sorusu çalışanların bu süreçte davranış biçimlerini belirlemeye yönelik olmuştur. Soruya verilen cevapların analizi tablo 11’de verilmiştir. Veriler doğrultusunda bakıldığında Covid-19 sürecinde çalışanların 84’ünün (%42) uyku düzeninin bozulduğu, 56’sının (%28) evden hiç çıkmadığı, 53’ünün (%26,5) kendini yalnız ve desteksiz hissettiği, 44’ünün (%22) konsantre olma konusunda zorluk çektiği, 39’unun (%19,5) daha çok içki/ veya sigara içtiğini, 22’sinin (%11) yeni ilgi alanları ve hobiler edindiği görülmektedir. Çalışanların çoğuna kısıtlama süreçlerinin davranış biçimleri üzerinde negatif (evden hiç çıkmıyorum, daha çok yemek yiyorum, uyku düzenim bozuldu, kendimi yalnız ve desteksiz hissediyorum, konsantre olma konusunda güçlük çekiyorum, daha çok içki/veya sigara içiyorum) yönde bir etkisi söz konusudur . Çalışanların yarıdan az bir kısmını (56 kişi) ise davranış biçimi olarak pozitif (yeni ilgi alanları ve hobiler edinmek, çok daha fazla kitap okumak, ihtiyaç sahiplerine destek olmaya çalışmak, evde daha çok yemek yapmak) yönde etkilemiştir. Özellikle araştırmamıza katılan 18-25 yaş arasındaki 26 çalışan salgın sürecinde davranış biçimlerini evden hiç çıkmıyorum, daha çok yemek yiyorum, uyku düzenim bozuldu, kendimi </w:t>
      </w:r>
      <w:r w:rsidRPr="00164238">
        <w:rPr>
          <w:rFonts w:ascii="Times New Roman" w:hAnsi="Times New Roman" w:cs="Times New Roman"/>
          <w:bCs/>
          <w:color w:val="000000" w:themeColor="text1"/>
        </w:rPr>
        <w:lastRenderedPageBreak/>
        <w:t>yalnız ve desteksiz hissediyorum, konsantre olma konusunda güçlük çekiyorum, daha çok içki/veya sigara içiyorum şeklinde olumsuz yönde tanımlamıştır. Yalnızca 4 kişi olumsuz tutumların yanı sıra evde daha çok yemek yapıyorum şeklinde bir nebze de olsa olumlu yönde tanımlama yapmıştır.</w:t>
      </w:r>
    </w:p>
    <w:p w14:paraId="31DC02F9" w14:textId="77777777" w:rsidR="006127D8" w:rsidRPr="00164238" w:rsidRDefault="006127D8" w:rsidP="006127D8">
      <w:pPr>
        <w:spacing w:before="120" w:after="120"/>
        <w:rPr>
          <w:rFonts w:ascii="Times New Roman" w:hAnsi="Times New Roman" w:cs="Times New Roman"/>
          <w:color w:val="000000" w:themeColor="text1"/>
        </w:rPr>
      </w:pPr>
      <w:r w:rsidRPr="00164238">
        <w:rPr>
          <w:rFonts w:ascii="Times New Roman" w:hAnsi="Times New Roman" w:cs="Times New Roman"/>
          <w:bCs/>
          <w:noProof/>
          <w:color w:val="000000" w:themeColor="text1"/>
          <w:lang w:val="en-US"/>
        </w:rPr>
        <w:drawing>
          <wp:inline distT="0" distB="0" distL="0" distR="0" wp14:anchorId="146660D8" wp14:editId="369E0A39">
            <wp:extent cx="4991100" cy="2373305"/>
            <wp:effectExtent l="0" t="0" r="0" b="1905"/>
            <wp:docPr id="58" name="Resim 58" descr="/var/folders/v0/f9rw980x19q804k66gw6sgkw0000gn/T/com.microsoft.Word/Content.MSO/EDF753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v0/f9rw980x19q804k66gw6sgkw0000gn/T/com.microsoft.Word/Content.MSO/EDF75305.tmp"/>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995687" cy="2375486"/>
                    </a:xfrm>
                    <a:prstGeom prst="rect">
                      <a:avLst/>
                    </a:prstGeom>
                    <a:noFill/>
                    <a:ln>
                      <a:noFill/>
                    </a:ln>
                  </pic:spPr>
                </pic:pic>
              </a:graphicData>
            </a:graphic>
          </wp:inline>
        </w:drawing>
      </w:r>
    </w:p>
    <w:p w14:paraId="606ADDA0" w14:textId="77777777" w:rsidR="006127D8" w:rsidRPr="00164238" w:rsidRDefault="006127D8" w:rsidP="006127D8">
      <w:pPr>
        <w:spacing w:before="120" w:after="120"/>
        <w:jc w:val="both"/>
        <w:rPr>
          <w:rFonts w:ascii="Times New Roman" w:hAnsi="Times New Roman" w:cs="Times New Roman"/>
          <w:bCs/>
          <w:color w:val="000000" w:themeColor="text1"/>
        </w:rPr>
      </w:pPr>
      <w:r w:rsidRPr="00164238">
        <w:rPr>
          <w:rFonts w:ascii="Times New Roman" w:hAnsi="Times New Roman" w:cs="Times New Roman"/>
          <w:b/>
          <w:color w:val="000000" w:themeColor="text1"/>
        </w:rPr>
        <w:t>Tablo 11.</w:t>
      </w:r>
      <w:r w:rsidRPr="00164238">
        <w:rPr>
          <w:rFonts w:ascii="Times New Roman" w:hAnsi="Times New Roman" w:cs="Times New Roman"/>
          <w:bCs/>
          <w:color w:val="000000" w:themeColor="text1"/>
        </w:rPr>
        <w:t xml:space="preserve"> Çalışanların davranış biçimi analizi</w:t>
      </w:r>
    </w:p>
    <w:p w14:paraId="7EC534CA" w14:textId="77777777" w:rsidR="006127D8" w:rsidRPr="00164238" w:rsidRDefault="006127D8" w:rsidP="006127D8">
      <w:pPr>
        <w:spacing w:before="120" w:after="120"/>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ab/>
        <w:t xml:space="preserve">Covid-19 sürecinde çalışanların aile içi iletişim durumu tespit analizi tablo 12’de verilmiştir. Çalışanların 97’si (%48,5) aile içi iletişimine salgının herhangi bir etkisi olmadığını, 67’si ( %33,5) aile içi bağlarının kuvvetlendiğini, 37’si (%18,5) ise aile içi bağlarının zayıfladığını belirtmiştir. 1 kişi ise hem aile içi bağlarının kuvvetlendiğini hem de hiçbir etkinin olmadığı yönünde cevap vermiştir. Veriler doğrultusunda aile içi iletişimi etkileyen faktörlerin başında gelir durumunun olduğu tespit edilmiştir. Aile içi bağlarının zayıfladığını belirten 25 kişi 1000 – 3000 TL maaş almakta ve bu kişilerden 16’sının hiçbir birikimi bulunmamaktadır. </w:t>
      </w:r>
    </w:p>
    <w:p w14:paraId="6E871846" w14:textId="77777777" w:rsidR="006127D8" w:rsidRPr="00164238" w:rsidRDefault="006127D8" w:rsidP="006127D8">
      <w:pPr>
        <w:spacing w:before="120" w:after="120"/>
        <w:rPr>
          <w:rFonts w:ascii="Times New Roman" w:hAnsi="Times New Roman" w:cs="Times New Roman"/>
          <w:color w:val="000000" w:themeColor="text1"/>
        </w:rPr>
      </w:pPr>
      <w:r w:rsidRPr="00164238">
        <w:rPr>
          <w:rFonts w:ascii="Times New Roman" w:hAnsi="Times New Roman" w:cs="Times New Roman"/>
          <w:bCs/>
          <w:noProof/>
          <w:color w:val="000000" w:themeColor="text1"/>
          <w:lang w:val="en-US"/>
        </w:rPr>
        <w:drawing>
          <wp:inline distT="0" distB="0" distL="0" distR="0" wp14:anchorId="67FAF8AF" wp14:editId="22233275">
            <wp:extent cx="4375150" cy="2080418"/>
            <wp:effectExtent l="0" t="0" r="0" b="2540"/>
            <wp:docPr id="59" name="Resim 59" descr="/var/folders/v0/f9rw980x19q804k66gw6sgkw0000gn/T/com.microsoft.Word/Content.MSO/964D00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r/folders/v0/f9rw980x19q804k66gw6sgkw0000gn/T/com.microsoft.Word/Content.MSO/964D005B.tmp"/>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412563" cy="2098208"/>
                    </a:xfrm>
                    <a:prstGeom prst="rect">
                      <a:avLst/>
                    </a:prstGeom>
                    <a:noFill/>
                    <a:ln>
                      <a:noFill/>
                    </a:ln>
                  </pic:spPr>
                </pic:pic>
              </a:graphicData>
            </a:graphic>
          </wp:inline>
        </w:drawing>
      </w:r>
    </w:p>
    <w:p w14:paraId="4FBB2F0A" w14:textId="77777777" w:rsidR="006127D8" w:rsidRPr="00164238" w:rsidRDefault="006127D8" w:rsidP="006127D8">
      <w:pPr>
        <w:spacing w:before="120" w:after="120"/>
        <w:jc w:val="both"/>
        <w:rPr>
          <w:rFonts w:ascii="Times New Roman" w:hAnsi="Times New Roman" w:cs="Times New Roman"/>
          <w:bCs/>
          <w:color w:val="000000" w:themeColor="text1"/>
        </w:rPr>
      </w:pPr>
      <w:r w:rsidRPr="00164238">
        <w:rPr>
          <w:rFonts w:ascii="Times New Roman" w:hAnsi="Times New Roman" w:cs="Times New Roman"/>
          <w:b/>
          <w:color w:val="000000" w:themeColor="text1"/>
        </w:rPr>
        <w:t>Tablo 12.</w:t>
      </w:r>
      <w:r w:rsidRPr="00164238">
        <w:rPr>
          <w:rFonts w:ascii="Times New Roman" w:hAnsi="Times New Roman" w:cs="Times New Roman"/>
          <w:bCs/>
          <w:color w:val="000000" w:themeColor="text1"/>
        </w:rPr>
        <w:t xml:space="preserve"> Covid- 19 süreci aile içi iletişim analizi</w:t>
      </w:r>
    </w:p>
    <w:p w14:paraId="5B0864FA" w14:textId="77777777" w:rsidR="006127D8" w:rsidRPr="00164238" w:rsidRDefault="006127D8" w:rsidP="006127D8">
      <w:pPr>
        <w:spacing w:before="120" w:after="120"/>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ab/>
        <w:t xml:space="preserve">Çalışanların salgın sürecindeki alışveriş tutumlarına verdikleri cevapları gösteren veriler tablo 13’te gösterilmiştir. Veriler doğrultusunda çalışanların 95’i (%47,5) para harcarken daha dikkatli ve tutucu olduklarını, 51’i (%25,5) daha fazla para harcamaya ve alışveriş yapmaya başladığını, 61’i (%30,5) ise alışveriş tutumlarında herhangi bir değişiklik olmadığını belirtmiştir. </w:t>
      </w:r>
      <w:r w:rsidRPr="00164238">
        <w:rPr>
          <w:rFonts w:ascii="Times New Roman" w:hAnsi="Times New Roman" w:cs="Times New Roman"/>
          <w:bCs/>
          <w:color w:val="000000" w:themeColor="text1"/>
        </w:rPr>
        <w:lastRenderedPageBreak/>
        <w:t>7 kişi ise bu soruya para harcarken daha dikkatli ve tutucu oldukları ve herhangi bir değişiklik olmadı şeklinde iki ayrı cevap vermiştir.</w:t>
      </w:r>
    </w:p>
    <w:p w14:paraId="6C16BC8F" w14:textId="77777777" w:rsidR="006127D8" w:rsidRPr="00164238" w:rsidRDefault="006127D8" w:rsidP="006127D8">
      <w:pPr>
        <w:spacing w:before="120" w:after="120"/>
        <w:rPr>
          <w:rFonts w:ascii="Times New Roman" w:hAnsi="Times New Roman" w:cs="Times New Roman"/>
          <w:color w:val="000000" w:themeColor="text1"/>
        </w:rPr>
      </w:pPr>
      <w:r w:rsidRPr="00164238">
        <w:rPr>
          <w:rFonts w:ascii="Times New Roman" w:hAnsi="Times New Roman" w:cs="Times New Roman"/>
          <w:bCs/>
          <w:noProof/>
          <w:color w:val="000000" w:themeColor="text1"/>
          <w:lang w:val="en-US"/>
        </w:rPr>
        <w:drawing>
          <wp:inline distT="0" distB="0" distL="0" distR="0" wp14:anchorId="3B538706" wp14:editId="0E6FC6D3">
            <wp:extent cx="5755640" cy="2736850"/>
            <wp:effectExtent l="0" t="0" r="0" b="6350"/>
            <wp:docPr id="60" name="Resim 60" descr="/var/folders/v0/f9rw980x19q804k66gw6sgkw0000gn/T/com.microsoft.Word/Content.MSO/25F7562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r/folders/v0/f9rw980x19q804k66gw6sgkw0000gn/T/com.microsoft.Word/Content.MSO/25F75621.tmp"/>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755640" cy="2736850"/>
                    </a:xfrm>
                    <a:prstGeom prst="rect">
                      <a:avLst/>
                    </a:prstGeom>
                    <a:noFill/>
                    <a:ln>
                      <a:noFill/>
                    </a:ln>
                  </pic:spPr>
                </pic:pic>
              </a:graphicData>
            </a:graphic>
          </wp:inline>
        </w:drawing>
      </w:r>
    </w:p>
    <w:p w14:paraId="3F4CAFD0" w14:textId="77777777" w:rsidR="006127D8" w:rsidRPr="00164238" w:rsidRDefault="006127D8" w:rsidP="006127D8">
      <w:pPr>
        <w:spacing w:before="120" w:after="120"/>
        <w:jc w:val="both"/>
        <w:rPr>
          <w:rFonts w:ascii="Times New Roman" w:hAnsi="Times New Roman" w:cs="Times New Roman"/>
          <w:bCs/>
          <w:color w:val="000000" w:themeColor="text1"/>
        </w:rPr>
      </w:pPr>
      <w:r w:rsidRPr="00164238">
        <w:rPr>
          <w:rFonts w:ascii="Times New Roman" w:hAnsi="Times New Roman" w:cs="Times New Roman"/>
          <w:b/>
          <w:color w:val="000000" w:themeColor="text1"/>
        </w:rPr>
        <w:t>Tablo 13.</w:t>
      </w:r>
      <w:r w:rsidRPr="00164238">
        <w:rPr>
          <w:rFonts w:ascii="Times New Roman" w:hAnsi="Times New Roman" w:cs="Times New Roman"/>
          <w:bCs/>
          <w:color w:val="000000" w:themeColor="text1"/>
        </w:rPr>
        <w:t xml:space="preserve"> Çalışanların alışveriş tutumlarının analizi</w:t>
      </w:r>
    </w:p>
    <w:p w14:paraId="7C018DC2" w14:textId="77777777" w:rsidR="006127D8" w:rsidRPr="00164238" w:rsidRDefault="006127D8" w:rsidP="006127D8">
      <w:pPr>
        <w:spacing w:before="120" w:after="120"/>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ab/>
        <w:t xml:space="preserve">Çalışanların, Covid-19 hakkında haber ve bilgi almak için en çok kullandıkları iletişim aracına yönelik tutumlarının analizi tablo 14’te gösterilmiştir. En çok kullanılan iletişim aracı 163 (%81,9) çalışanın takip ettiği televizyondaki haber programlarıdır. Facebook/Twitter 48 (%24,1), Whatsapp/Telegram grupları 32 (%16,1), Yerel gazete/haber portalları 21 (%10,6) kişi tarafından Covid-19 salgınına yönelik haber ve bilgi almak için tercih edilmiştir. Facebook/Twitter’ı haber ve bilgilere ulaşmak için kullanan 48 kişiden 19’u 18-25 arası çalışanlardır. </w:t>
      </w:r>
    </w:p>
    <w:p w14:paraId="62A84B74" w14:textId="77777777" w:rsidR="006127D8" w:rsidRPr="00164238" w:rsidRDefault="006127D8" w:rsidP="006127D8">
      <w:pPr>
        <w:spacing w:before="120" w:after="120"/>
        <w:rPr>
          <w:rFonts w:ascii="Times New Roman" w:hAnsi="Times New Roman" w:cs="Times New Roman"/>
          <w:color w:val="000000" w:themeColor="text1"/>
        </w:rPr>
      </w:pPr>
      <w:r w:rsidRPr="00164238">
        <w:rPr>
          <w:rFonts w:ascii="Times New Roman" w:hAnsi="Times New Roman" w:cs="Times New Roman"/>
          <w:bCs/>
          <w:noProof/>
          <w:color w:val="000000" w:themeColor="text1"/>
          <w:lang w:val="en-US"/>
        </w:rPr>
        <w:drawing>
          <wp:inline distT="0" distB="0" distL="0" distR="0" wp14:anchorId="712B57BA" wp14:editId="26D17AED">
            <wp:extent cx="5755640" cy="2736850"/>
            <wp:effectExtent l="0" t="0" r="0" b="6350"/>
            <wp:docPr id="61" name="Resim 61" descr="/var/folders/v0/f9rw980x19q804k66gw6sgkw0000gn/T/com.microsoft.Word/Content.MSO/C18D1DD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r/folders/v0/f9rw980x19q804k66gw6sgkw0000gn/T/com.microsoft.Word/Content.MSO/C18D1DD7.tmp"/>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755640" cy="2736850"/>
                    </a:xfrm>
                    <a:prstGeom prst="rect">
                      <a:avLst/>
                    </a:prstGeom>
                    <a:noFill/>
                    <a:ln>
                      <a:noFill/>
                    </a:ln>
                  </pic:spPr>
                </pic:pic>
              </a:graphicData>
            </a:graphic>
          </wp:inline>
        </w:drawing>
      </w:r>
    </w:p>
    <w:p w14:paraId="6D638445" w14:textId="77777777" w:rsidR="006127D8" w:rsidRPr="00164238" w:rsidRDefault="006127D8" w:rsidP="006127D8">
      <w:pPr>
        <w:spacing w:before="120" w:after="120"/>
        <w:jc w:val="both"/>
        <w:rPr>
          <w:rFonts w:ascii="Times New Roman" w:hAnsi="Times New Roman" w:cs="Times New Roman"/>
          <w:bCs/>
          <w:color w:val="000000" w:themeColor="text1"/>
        </w:rPr>
      </w:pPr>
      <w:r w:rsidRPr="00164238">
        <w:rPr>
          <w:rFonts w:ascii="Times New Roman" w:hAnsi="Times New Roman" w:cs="Times New Roman"/>
          <w:b/>
          <w:color w:val="000000" w:themeColor="text1"/>
        </w:rPr>
        <w:t>Tablo 14.</w:t>
      </w:r>
      <w:r w:rsidRPr="00164238">
        <w:rPr>
          <w:rFonts w:ascii="Times New Roman" w:hAnsi="Times New Roman" w:cs="Times New Roman"/>
          <w:bCs/>
          <w:color w:val="000000" w:themeColor="text1"/>
        </w:rPr>
        <w:t xml:space="preserve"> Covid-19 hakkında haber ve bilgi almak için kullanılan iletişim araçları analizi</w:t>
      </w:r>
    </w:p>
    <w:p w14:paraId="1DD630D2" w14:textId="77777777" w:rsidR="006127D8" w:rsidRPr="00164238" w:rsidRDefault="006127D8" w:rsidP="006127D8">
      <w:pPr>
        <w:spacing w:before="120" w:after="120"/>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ab/>
        <w:t xml:space="preserve">Araştırmaya katılan çalışanların Covid-19 süresinde ruh hali tanımlamalarına ilişkin durumları tablo 15’te verilmiştir. Ruh hali tanımlamalarında çalışanların 101’i (%50,5) endişeli, </w:t>
      </w:r>
      <w:r w:rsidRPr="00164238">
        <w:rPr>
          <w:rFonts w:ascii="Times New Roman" w:hAnsi="Times New Roman" w:cs="Times New Roman"/>
          <w:bCs/>
          <w:color w:val="000000" w:themeColor="text1"/>
        </w:rPr>
        <w:lastRenderedPageBreak/>
        <w:t xml:space="preserve">65’i (%32,5) bunalmış, 77’si (%38,5) yorgun, 10’u üzgün (%5), 22’si (%11) çaresiz, 14’ü (%7) öfkeli oldukları yönünde negatif cevaplar vermişlerdir. 37’si (%18,5) sabırlı, 4’ü (%2) mutlu, 17’si (%8,5) umutlu, 3’ü (%1,5) enerjik, 3’ü (%1,5) huzurlu, 5’i (%2,5) motive olmuş şeklinde pozitif yönde ruh hallerini belirtmişlerdir. Verilere bakıldığından 200 kişiden yalnızca 69 kişinin ruh halini pozitif olarak tanımladığı görülmektedir. Davranış biçimi olarak kendini yalnız ve desteksiz hisseden 53 kişi ile konsantre olma konusunda zorluk çektiğini belirten 44 çalışan, ruh hallerini de bunalmış, endişeli, yorgun, çaresiz, üzgün ve yorgun şeklinde negatif olarak tanımlamıştır. </w:t>
      </w:r>
    </w:p>
    <w:p w14:paraId="3D1BB58A" w14:textId="77777777" w:rsidR="006127D8" w:rsidRPr="00164238" w:rsidRDefault="006127D8" w:rsidP="006127D8">
      <w:pPr>
        <w:spacing w:before="120" w:after="120"/>
        <w:rPr>
          <w:rFonts w:ascii="Times New Roman" w:hAnsi="Times New Roman" w:cs="Times New Roman"/>
          <w:color w:val="000000" w:themeColor="text1"/>
        </w:rPr>
      </w:pPr>
      <w:r w:rsidRPr="00164238">
        <w:rPr>
          <w:rFonts w:ascii="Times New Roman" w:hAnsi="Times New Roman" w:cs="Times New Roman"/>
          <w:bCs/>
          <w:noProof/>
          <w:color w:val="000000" w:themeColor="text1"/>
          <w:lang w:val="en-US"/>
        </w:rPr>
        <w:drawing>
          <wp:inline distT="0" distB="0" distL="0" distR="0" wp14:anchorId="4D658F6B" wp14:editId="4C3BD3FD">
            <wp:extent cx="5755640" cy="2736850"/>
            <wp:effectExtent l="0" t="0" r="0" b="6350"/>
            <wp:docPr id="62" name="Resim 62" descr="/var/folders/v0/f9rw980x19q804k66gw6sgkw0000gn/T/com.microsoft.Word/Content.MSO/55035CF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ar/folders/v0/f9rw980x19q804k66gw6sgkw0000gn/T/com.microsoft.Word/Content.MSO/55035CFD.tmp"/>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755640" cy="2736850"/>
                    </a:xfrm>
                    <a:prstGeom prst="rect">
                      <a:avLst/>
                    </a:prstGeom>
                    <a:noFill/>
                    <a:ln>
                      <a:noFill/>
                    </a:ln>
                  </pic:spPr>
                </pic:pic>
              </a:graphicData>
            </a:graphic>
          </wp:inline>
        </w:drawing>
      </w:r>
    </w:p>
    <w:p w14:paraId="6B105362" w14:textId="77777777" w:rsidR="006127D8" w:rsidRPr="00164238" w:rsidRDefault="006127D8" w:rsidP="006127D8">
      <w:pPr>
        <w:spacing w:before="120" w:after="120"/>
        <w:jc w:val="both"/>
        <w:rPr>
          <w:rFonts w:ascii="Times New Roman" w:hAnsi="Times New Roman" w:cs="Times New Roman"/>
          <w:bCs/>
          <w:color w:val="000000" w:themeColor="text1"/>
        </w:rPr>
      </w:pPr>
      <w:r w:rsidRPr="00164238">
        <w:rPr>
          <w:rFonts w:ascii="Times New Roman" w:hAnsi="Times New Roman" w:cs="Times New Roman"/>
          <w:b/>
          <w:color w:val="000000" w:themeColor="text1"/>
        </w:rPr>
        <w:t xml:space="preserve"> Tablo 15.</w:t>
      </w:r>
      <w:r w:rsidRPr="00164238">
        <w:rPr>
          <w:rFonts w:ascii="Times New Roman" w:hAnsi="Times New Roman" w:cs="Times New Roman"/>
          <w:bCs/>
          <w:color w:val="000000" w:themeColor="text1"/>
        </w:rPr>
        <w:t xml:space="preserve"> Çalışanların Ruh Hali Analizi</w:t>
      </w:r>
    </w:p>
    <w:p w14:paraId="6C5BD826"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bCs/>
          <w:color w:val="000000" w:themeColor="text1"/>
        </w:rPr>
        <w:tab/>
        <w:t xml:space="preserve">Çalışanların bu süreçte kaygılandıkları üç etkeni tespit etmek üzerine yönelttiğimiz soruya verilen cevapların analizi tablo 16’da gösterilmiştir. Verilere göre çalışanların 178’i (%89) sevdiklerimin sağlıklarını/ hayatlarını kaybetmeleri, 114’ü (%57) sağlımı/hayatımı kaybetmek, 101’i (%50,5) Türkiye’de ekonomik çöküntü/krizin yaşanması, 96’sı (%48) işimi/gelirimi kaybetmek, 90’ı (%45) sosyal düzenin/huzurun bozulması, 54’ü (%27) </w:t>
      </w:r>
      <w:r w:rsidRPr="00164238">
        <w:rPr>
          <w:rFonts w:ascii="Times New Roman" w:hAnsi="Times New Roman" w:cs="Times New Roman"/>
          <w:color w:val="000000" w:themeColor="text1"/>
        </w:rPr>
        <w:t>Covid-19 salgınının kalıcı olması/ uygulanan tedavi ve aşıların sonuç vermemesi, 54’ü (%25,5) Maskenin hayatımızdan hiç çıkmaması, 19’u (%9,5) Uluslararası ekonomik gerileme/ çöküş yaşanması  yönünde kaygıları olduğunu belirtmişlerdir. Cevaplar değerlendirildiğinde çalışanları bu süreçte en çok kaygılandıran etkenlerin başında kendilerinin ve yakınlarının sağlığını ve hayatlarını kaybetmeleri olmuştur. Daha sonrasında ise Türkiye’de yaşanabilecek ekonomik çöküntü ve iş kaybı gibi ekonomik kaygılar söz konusudur. Ayrıca sosyal düzenin ve huzurun bozulması da çalışanların başlıca kaygıları arasındadır.</w:t>
      </w:r>
    </w:p>
    <w:p w14:paraId="1A802C42" w14:textId="77777777" w:rsidR="006127D8" w:rsidRPr="00164238" w:rsidRDefault="006127D8" w:rsidP="006127D8">
      <w:pPr>
        <w:spacing w:before="120" w:after="120"/>
        <w:rPr>
          <w:rFonts w:ascii="Times New Roman" w:hAnsi="Times New Roman" w:cs="Times New Roman"/>
          <w:color w:val="000000" w:themeColor="text1"/>
        </w:rPr>
      </w:pPr>
      <w:r w:rsidRPr="00164238">
        <w:rPr>
          <w:rFonts w:ascii="Times New Roman" w:hAnsi="Times New Roman" w:cs="Times New Roman"/>
          <w:bCs/>
          <w:noProof/>
          <w:color w:val="000000" w:themeColor="text1"/>
          <w:lang w:val="en-US"/>
        </w:rPr>
        <w:lastRenderedPageBreak/>
        <w:drawing>
          <wp:inline distT="0" distB="0" distL="0" distR="0" wp14:anchorId="2E405BC4" wp14:editId="760D3349">
            <wp:extent cx="5755640" cy="2736850"/>
            <wp:effectExtent l="0" t="0" r="0" b="6350"/>
            <wp:docPr id="63" name="Resim 63" descr="/var/folders/v0/f9rw980x19q804k66gw6sgkw0000gn/T/com.microsoft.Word/Content.MSO/D837437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v0/f9rw980x19q804k66gw6sgkw0000gn/T/com.microsoft.Word/Content.MSO/D837437C.tmp"/>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755640" cy="2736850"/>
                    </a:xfrm>
                    <a:prstGeom prst="rect">
                      <a:avLst/>
                    </a:prstGeom>
                    <a:noFill/>
                    <a:ln>
                      <a:noFill/>
                    </a:ln>
                  </pic:spPr>
                </pic:pic>
              </a:graphicData>
            </a:graphic>
          </wp:inline>
        </w:drawing>
      </w:r>
    </w:p>
    <w:p w14:paraId="422E9C98" w14:textId="77777777" w:rsidR="006127D8" w:rsidRPr="00164238" w:rsidRDefault="006127D8" w:rsidP="006127D8">
      <w:pPr>
        <w:spacing w:before="120" w:after="120"/>
        <w:jc w:val="both"/>
        <w:rPr>
          <w:rFonts w:ascii="Times New Roman" w:hAnsi="Times New Roman" w:cs="Times New Roman"/>
          <w:bCs/>
          <w:color w:val="000000" w:themeColor="text1"/>
        </w:rPr>
      </w:pPr>
      <w:r w:rsidRPr="00164238">
        <w:rPr>
          <w:rFonts w:ascii="Times New Roman" w:hAnsi="Times New Roman" w:cs="Times New Roman"/>
          <w:b/>
          <w:color w:val="000000" w:themeColor="text1"/>
        </w:rPr>
        <w:t>Tablo 16.</w:t>
      </w:r>
      <w:r w:rsidRPr="00164238">
        <w:rPr>
          <w:rFonts w:ascii="Times New Roman" w:hAnsi="Times New Roman" w:cs="Times New Roman"/>
          <w:bCs/>
          <w:color w:val="000000" w:themeColor="text1"/>
        </w:rPr>
        <w:t xml:space="preserve"> Covid-19 sürecinde çalışanları kaygılandıran etkenler analizi</w:t>
      </w:r>
    </w:p>
    <w:p w14:paraId="113A4B0A" w14:textId="77777777" w:rsidR="006127D8" w:rsidRPr="00164238" w:rsidRDefault="006127D8" w:rsidP="006127D8">
      <w:pPr>
        <w:spacing w:before="120" w:after="120"/>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ab/>
        <w:t xml:space="preserve">Çalışanların Covid-19 sürecinde beden, ruh ve zihin sağlıklarına destek olmak amacıyla neler yaptığı üzerine oluşturulan analiz tablo 17’de verilmiştir. Çalışanların 87’si (%43,5) hiçbir şey yapmadığını, 51’i (%25,5) ibadet, 36’sı (%18) diğer (hobiler, kitap, kişisel gelişim, ev işleri vb), 30’u (%15) evde spor, pilates, yoga vb. yaptığını, 1’i (%0,5) profesyonel psikolojik destek aldığını belirtmiştir. Araştırma kapsamında davranış biçimlerine yönelik 11. soruya çalışanların çoğu negatif cevaplar vermiş olsalarda bu süreçte davranışlarında meydana gelen olumsuz etki ile herhangi bir profesyonel destek almadan başa çıkmaya çalıştıkları görülmektedir. 200 kişiden yalnızca 1 çalışan profesyonel psikolojik destek alarak salgın sürecinde beden, ruh ve zihin sağlığını korumaya çalışmaktadır. </w:t>
      </w:r>
    </w:p>
    <w:p w14:paraId="045D6D9E" w14:textId="77777777" w:rsidR="006127D8" w:rsidRPr="00164238" w:rsidRDefault="006127D8" w:rsidP="006127D8">
      <w:pPr>
        <w:spacing w:before="120" w:after="120"/>
        <w:rPr>
          <w:rFonts w:ascii="Times New Roman" w:hAnsi="Times New Roman" w:cs="Times New Roman"/>
          <w:color w:val="000000" w:themeColor="text1"/>
        </w:rPr>
      </w:pPr>
      <w:r w:rsidRPr="00164238">
        <w:rPr>
          <w:rFonts w:ascii="Times New Roman" w:hAnsi="Times New Roman" w:cs="Times New Roman"/>
          <w:bCs/>
          <w:noProof/>
          <w:color w:val="000000" w:themeColor="text1"/>
          <w:lang w:val="en-US"/>
        </w:rPr>
        <w:drawing>
          <wp:inline distT="0" distB="0" distL="0" distR="0" wp14:anchorId="7375637D" wp14:editId="7976A8DE">
            <wp:extent cx="5755640" cy="2923540"/>
            <wp:effectExtent l="0" t="0" r="0" b="0"/>
            <wp:docPr id="64" name="Resim 64" descr="/var/folders/v0/f9rw980x19q804k66gw6sgkw0000gn/T/com.microsoft.Word/Content.MSO/D4263A4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v0/f9rw980x19q804k66gw6sgkw0000gn/T/com.microsoft.Word/Content.MSO/D4263A4E.tmp"/>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755640" cy="2923540"/>
                    </a:xfrm>
                    <a:prstGeom prst="rect">
                      <a:avLst/>
                    </a:prstGeom>
                    <a:noFill/>
                    <a:ln>
                      <a:noFill/>
                    </a:ln>
                  </pic:spPr>
                </pic:pic>
              </a:graphicData>
            </a:graphic>
          </wp:inline>
        </w:drawing>
      </w:r>
    </w:p>
    <w:p w14:paraId="0F42F59B" w14:textId="77777777" w:rsidR="006127D8" w:rsidRPr="00164238" w:rsidRDefault="006127D8" w:rsidP="006127D8">
      <w:pPr>
        <w:spacing w:before="120" w:after="120"/>
        <w:jc w:val="both"/>
        <w:rPr>
          <w:rFonts w:ascii="Times New Roman" w:hAnsi="Times New Roman" w:cs="Times New Roman"/>
          <w:bCs/>
          <w:color w:val="000000" w:themeColor="text1"/>
        </w:rPr>
      </w:pPr>
      <w:r w:rsidRPr="00164238">
        <w:rPr>
          <w:rFonts w:ascii="Times New Roman" w:hAnsi="Times New Roman" w:cs="Times New Roman"/>
          <w:b/>
          <w:color w:val="000000" w:themeColor="text1"/>
        </w:rPr>
        <w:t>Tablo 17.</w:t>
      </w:r>
      <w:r w:rsidRPr="00164238">
        <w:rPr>
          <w:rFonts w:ascii="Times New Roman" w:hAnsi="Times New Roman" w:cs="Times New Roman"/>
          <w:bCs/>
          <w:color w:val="000000" w:themeColor="text1"/>
        </w:rPr>
        <w:t xml:space="preserve"> Çalışanların beden, zihin ve ruh sağlığı destek analizi</w:t>
      </w:r>
    </w:p>
    <w:p w14:paraId="16D4FF6C" w14:textId="77777777" w:rsidR="006127D8" w:rsidRPr="00164238" w:rsidRDefault="006127D8" w:rsidP="006127D8">
      <w:pPr>
        <w:spacing w:before="120" w:after="120"/>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lastRenderedPageBreak/>
        <w:tab/>
        <w:t xml:space="preserve">Covid-19 sonrasında çalışanların yaşamsal beklentilerinin hangi yönde olduğunu belirlemek üzere yapılan analiz tablo 18’de verilmiştir. Veriler doğrultusunda çalışanların 84’ü (%42) </w:t>
      </w:r>
      <w:r w:rsidRPr="00164238">
        <w:rPr>
          <w:rFonts w:ascii="Times New Roman" w:hAnsi="Times New Roman" w:cs="Times New Roman"/>
          <w:color w:val="000000" w:themeColor="text1"/>
        </w:rPr>
        <w:t>köklü değişiklikler olacak ve yeni bir dünya düzeni kurulacak</w:t>
      </w:r>
      <w:r w:rsidRPr="00164238">
        <w:rPr>
          <w:rFonts w:ascii="Times New Roman" w:hAnsi="Times New Roman" w:cs="Times New Roman"/>
          <w:bCs/>
          <w:color w:val="000000" w:themeColor="text1"/>
        </w:rPr>
        <w:t xml:space="preserve">, 69’u (%34,5) </w:t>
      </w:r>
      <w:r w:rsidRPr="00164238">
        <w:rPr>
          <w:rFonts w:ascii="Times New Roman" w:hAnsi="Times New Roman" w:cs="Times New Roman"/>
          <w:color w:val="000000" w:themeColor="text1"/>
        </w:rPr>
        <w:t xml:space="preserve">yakın zamanda her şey normale dönecek/ düzen eskisi gibi olacak, 59’u (%29,5) ise salgınlar hayatımızda her daim var olacaktır şeklinde cevap vermiştir.                                                                                                             </w:t>
      </w:r>
    </w:p>
    <w:p w14:paraId="045789FC" w14:textId="77777777" w:rsidR="006127D8" w:rsidRPr="00164238" w:rsidRDefault="006127D8" w:rsidP="006127D8">
      <w:pPr>
        <w:spacing w:before="120" w:after="120"/>
        <w:rPr>
          <w:rFonts w:ascii="Times New Roman" w:hAnsi="Times New Roman" w:cs="Times New Roman"/>
          <w:color w:val="000000" w:themeColor="text1"/>
        </w:rPr>
      </w:pPr>
      <w:r w:rsidRPr="00164238">
        <w:rPr>
          <w:rFonts w:ascii="Times New Roman" w:hAnsi="Times New Roman" w:cs="Times New Roman"/>
          <w:bCs/>
          <w:noProof/>
          <w:color w:val="000000" w:themeColor="text1"/>
          <w:lang w:val="en-US"/>
        </w:rPr>
        <w:drawing>
          <wp:inline distT="0" distB="0" distL="0" distR="0" wp14:anchorId="58395398" wp14:editId="2A48CD4E">
            <wp:extent cx="5755640" cy="2736850"/>
            <wp:effectExtent l="0" t="0" r="0" b="6350"/>
            <wp:docPr id="65" name="Resim 65" descr="/var/folders/v0/f9rw980x19q804k66gw6sgkw0000gn/T/com.microsoft.Word/Content.MSO/8D59EB8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r/folders/v0/f9rw980x19q804k66gw6sgkw0000gn/T/com.microsoft.Word/Content.MSO/8D59EB8C.tmp"/>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772151" cy="2744701"/>
                    </a:xfrm>
                    <a:prstGeom prst="rect">
                      <a:avLst/>
                    </a:prstGeom>
                    <a:noFill/>
                    <a:ln>
                      <a:noFill/>
                    </a:ln>
                  </pic:spPr>
                </pic:pic>
              </a:graphicData>
            </a:graphic>
          </wp:inline>
        </w:drawing>
      </w:r>
    </w:p>
    <w:p w14:paraId="2D55416B" w14:textId="77777777" w:rsidR="006127D8" w:rsidRPr="00164238" w:rsidRDefault="006127D8" w:rsidP="006127D8">
      <w:pPr>
        <w:spacing w:before="120" w:after="120"/>
        <w:rPr>
          <w:rFonts w:ascii="Times New Roman" w:hAnsi="Times New Roman" w:cs="Times New Roman"/>
          <w:color w:val="000000" w:themeColor="text1"/>
        </w:rPr>
      </w:pPr>
      <w:r w:rsidRPr="00164238">
        <w:rPr>
          <w:rFonts w:ascii="Times New Roman" w:hAnsi="Times New Roman" w:cs="Times New Roman"/>
          <w:b/>
          <w:bCs/>
          <w:color w:val="000000" w:themeColor="text1"/>
        </w:rPr>
        <w:t>Tablo 18.</w:t>
      </w:r>
      <w:r w:rsidRPr="00164238">
        <w:rPr>
          <w:rFonts w:ascii="Times New Roman" w:hAnsi="Times New Roman" w:cs="Times New Roman"/>
          <w:color w:val="000000" w:themeColor="text1"/>
        </w:rPr>
        <w:t xml:space="preserve"> Covid-19 sonrası yaşamsal beklenti analizi</w:t>
      </w:r>
    </w:p>
    <w:p w14:paraId="3ABB7A8A"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ab/>
        <w:t xml:space="preserve">Araştırmamız kapsamında uyguladığımız anketin 19. ve son sorusu normalleşme sürecine ne zaman geçileceği yönünde çalışanların beklentileri üzerine olmuş ve veriler tablo 19’da gösterilmiştir. Bu soruya çalışanların 107’si (%53,5) 2022 ilk çeyreğinde, 25’i (%12,5) Aralık 2021 sonu, 19’u (%9,5) Haziran- Temmuz 2021 civarı, 18’i (%9) Ekim – Kasım 2021 civarı, 13’ü (%6,5) Ağustos – Eylül 2021 civarı, 12’si (%6) Mayıs 2021 sonu, 6’sı (%3) Nisan 2021 sonu şeklinde cevap vermiştir. Veriler doğrultusunda çalışanların çoğu (150 kişi -  %75) normalleşme sürecine 2021 son çeyreği ile 2022’nin ilk çeyreği parametreleri arasında geçileceği yönünde fikir beyan etmişlerdir. Yaşamsal beklenti sorusuna yakın zamanda her şey normale dönecek/ düzen eskisi gibi olacak yönünde cevap veren 69 kişiden 29’unun bile normalleşme sürecinin 2022’nin ilk çeyreğinde geleceği yönünde beklentisi olduğu tespit edilmiştir. </w:t>
      </w:r>
    </w:p>
    <w:p w14:paraId="4558E3B6" w14:textId="77777777" w:rsidR="006127D8" w:rsidRPr="00164238" w:rsidRDefault="006127D8" w:rsidP="006127D8">
      <w:pPr>
        <w:spacing w:before="120" w:after="120"/>
        <w:rPr>
          <w:rFonts w:ascii="Times New Roman" w:hAnsi="Times New Roman" w:cs="Times New Roman"/>
          <w:color w:val="000000" w:themeColor="text1"/>
        </w:rPr>
      </w:pPr>
      <w:r w:rsidRPr="00164238">
        <w:rPr>
          <w:rFonts w:ascii="Times New Roman" w:hAnsi="Times New Roman" w:cs="Times New Roman"/>
          <w:noProof/>
          <w:color w:val="000000" w:themeColor="text1"/>
          <w:lang w:val="en-US"/>
        </w:rPr>
        <w:lastRenderedPageBreak/>
        <w:drawing>
          <wp:inline distT="0" distB="0" distL="0" distR="0" wp14:anchorId="45F8F011" wp14:editId="7A1EA7FF">
            <wp:extent cx="5346700" cy="2715822"/>
            <wp:effectExtent l="0" t="0" r="0" b="2540"/>
            <wp:docPr id="66" name="Resim 66" descr="/var/folders/v0/f9rw980x19q804k66gw6sgkw0000gn/T/com.microsoft.Word/Content.MSO/BBBC357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r/folders/v0/f9rw980x19q804k66gw6sgkw0000gn/T/com.microsoft.Word/Content.MSO/BBBC357A.tmp"/>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350967" cy="2717989"/>
                    </a:xfrm>
                    <a:prstGeom prst="rect">
                      <a:avLst/>
                    </a:prstGeom>
                    <a:noFill/>
                    <a:ln>
                      <a:noFill/>
                    </a:ln>
                  </pic:spPr>
                </pic:pic>
              </a:graphicData>
            </a:graphic>
          </wp:inline>
        </w:drawing>
      </w:r>
    </w:p>
    <w:p w14:paraId="7E24A650" w14:textId="77777777" w:rsidR="006127D8" w:rsidRPr="00164238" w:rsidRDefault="006127D8" w:rsidP="006127D8">
      <w:pPr>
        <w:spacing w:before="120" w:after="120"/>
        <w:rPr>
          <w:rFonts w:ascii="Times New Roman" w:hAnsi="Times New Roman" w:cs="Times New Roman"/>
          <w:color w:val="000000" w:themeColor="text1"/>
        </w:rPr>
      </w:pPr>
      <w:r w:rsidRPr="00164238">
        <w:rPr>
          <w:rFonts w:ascii="Times New Roman" w:hAnsi="Times New Roman" w:cs="Times New Roman"/>
          <w:b/>
          <w:bCs/>
          <w:color w:val="000000" w:themeColor="text1"/>
        </w:rPr>
        <w:t>Tablo 19.</w:t>
      </w:r>
      <w:r w:rsidRPr="00164238">
        <w:rPr>
          <w:rFonts w:ascii="Times New Roman" w:hAnsi="Times New Roman" w:cs="Times New Roman"/>
          <w:color w:val="000000" w:themeColor="text1"/>
        </w:rPr>
        <w:t xml:space="preserve">  Normalleşme sürecine ne zaman geçileceği analizi</w:t>
      </w:r>
    </w:p>
    <w:p w14:paraId="5F0D4C2A" w14:textId="77777777" w:rsidR="006127D8" w:rsidRPr="00164238" w:rsidRDefault="006127D8" w:rsidP="006127D8">
      <w:pPr>
        <w:spacing w:before="120" w:after="120"/>
        <w:rPr>
          <w:rFonts w:ascii="Times New Roman" w:hAnsi="Times New Roman" w:cs="Times New Roman"/>
          <w:b/>
          <w:bCs/>
          <w:color w:val="000000" w:themeColor="text1"/>
        </w:rPr>
      </w:pPr>
      <w:r w:rsidRPr="00164238">
        <w:rPr>
          <w:rFonts w:ascii="Times New Roman" w:hAnsi="Times New Roman" w:cs="Times New Roman"/>
          <w:b/>
          <w:bCs/>
          <w:color w:val="000000" w:themeColor="text1"/>
        </w:rPr>
        <w:t>Sonuç</w:t>
      </w:r>
    </w:p>
    <w:p w14:paraId="1C2FBFE7" w14:textId="77777777" w:rsidR="006127D8" w:rsidRPr="00164238" w:rsidRDefault="006127D8" w:rsidP="006127D8">
      <w:pPr>
        <w:pStyle w:val="TableFigureHeader"/>
        <w:spacing w:before="120" w:after="120"/>
        <w:jc w:val="both"/>
        <w:rPr>
          <w:rFonts w:ascii="Times New Roman" w:hAnsi="Times New Roman" w:cs="Times New Roman"/>
          <w:color w:val="000000" w:themeColor="text1"/>
          <w:sz w:val="22"/>
          <w:szCs w:val="22"/>
        </w:rPr>
      </w:pPr>
      <w:r w:rsidRPr="00164238">
        <w:rPr>
          <w:rFonts w:ascii="Times New Roman" w:hAnsi="Times New Roman" w:cs="Times New Roman"/>
          <w:b/>
          <w:bCs/>
          <w:color w:val="000000" w:themeColor="text1"/>
          <w:sz w:val="22"/>
          <w:szCs w:val="22"/>
        </w:rPr>
        <w:tab/>
      </w:r>
      <w:r w:rsidRPr="00164238">
        <w:rPr>
          <w:rFonts w:ascii="Times New Roman" w:hAnsi="Times New Roman" w:cs="Times New Roman"/>
          <w:color w:val="000000" w:themeColor="text1"/>
          <w:sz w:val="22"/>
          <w:szCs w:val="22"/>
        </w:rPr>
        <w:t xml:space="preserve">Araştırmamız, Covid-19 salgınının ülkemizde birinci yılını geride bıraktığı bir dönemde gerçekleştirilmiştir. Temsiliyeti ve genelleme açısından kısıtlılıkları olsa da Ankara Siteler Mobilya sektöründeki işçilerin durumu, çalışanların salgınla ilgili tutum, davranış ve beklentilerini kısmen ortaya koymuştur. </w:t>
      </w:r>
    </w:p>
    <w:p w14:paraId="6EE1AFD2" w14:textId="77777777" w:rsidR="006127D8" w:rsidRPr="00164238" w:rsidRDefault="006127D8" w:rsidP="006127D8">
      <w:pPr>
        <w:pStyle w:val="TableFigureHeader"/>
        <w:spacing w:before="120" w:after="120"/>
        <w:jc w:val="both"/>
        <w:rPr>
          <w:rFonts w:ascii="Times New Roman" w:hAnsi="Times New Roman" w:cs="Times New Roman"/>
          <w:color w:val="000000" w:themeColor="text1"/>
          <w:sz w:val="22"/>
          <w:szCs w:val="22"/>
        </w:rPr>
      </w:pPr>
      <w:r w:rsidRPr="00164238">
        <w:rPr>
          <w:rFonts w:ascii="Times New Roman" w:hAnsi="Times New Roman" w:cs="Times New Roman"/>
          <w:color w:val="000000" w:themeColor="text1"/>
          <w:sz w:val="22"/>
          <w:szCs w:val="22"/>
        </w:rPr>
        <w:tab/>
        <w:t xml:space="preserve">Siteler Mobilya sektöründe yer alan küçük ve büyük ölçekli atölyeler, salgın sürecinde fazla bir iş kaybına uğramamıştır. İş kaybının yaşanmamasının en büyük etkeni Haziran 2021’de kredi faiz oranlarının düşmesiyle birlikte konut satışlarının artmasıdır. İşverenler ve çalışanlarda konut satışının artmasının işlerini olumlu yönde etkilediğini belirtmiştir. Bu nedenle ankete katılan hedef grubun çoğunun (115 kişi) çalışma durumunda bir değişiklik yaşanmamış ve maaş kesintisi bir kısım (31 kişi)  çalışana uygulanmıştır. Salgın döneminde her ne kadar iş ve gelir kaybı yaşanmasa da çalışanların çoğunun aylık gelirinin 3000 – 5000 TL bazında olmasından dolayı herhangi bir gelirleri olmadan en fazla 1 ay ihtiyaçlarını karşılayabilecek durumdadırlar. Yaşanması muhtemel iş veya maaş kaybında çalışanların çoğu ekonomik açıdan mağduriyet yaşayacaktır. </w:t>
      </w:r>
    </w:p>
    <w:p w14:paraId="63230040" w14:textId="77777777" w:rsidR="006127D8" w:rsidRPr="00164238" w:rsidRDefault="006127D8" w:rsidP="006127D8">
      <w:pPr>
        <w:pStyle w:val="TableFigureHeader"/>
        <w:spacing w:before="120" w:after="120"/>
        <w:jc w:val="both"/>
        <w:rPr>
          <w:rFonts w:ascii="Times New Roman" w:hAnsi="Times New Roman" w:cs="Times New Roman"/>
          <w:color w:val="000000" w:themeColor="text1"/>
          <w:sz w:val="22"/>
          <w:szCs w:val="22"/>
          <w:lang w:val="tr"/>
        </w:rPr>
      </w:pPr>
      <w:r w:rsidRPr="00164238">
        <w:rPr>
          <w:rFonts w:ascii="Times New Roman" w:hAnsi="Times New Roman" w:cs="Times New Roman"/>
          <w:color w:val="000000" w:themeColor="text1"/>
          <w:sz w:val="22"/>
          <w:szCs w:val="22"/>
        </w:rPr>
        <w:tab/>
        <w:t xml:space="preserve">Covid-19 salgını çalışanların davranış biçimlerini olumsuz yönde etkilemiştir. Çalışanların davranış biçimleri tanımlamaları, negatif </w:t>
      </w:r>
      <w:r w:rsidRPr="00164238">
        <w:rPr>
          <w:rFonts w:ascii="Times New Roman" w:hAnsi="Times New Roman" w:cs="Times New Roman"/>
          <w:color w:val="000000" w:themeColor="text1"/>
          <w:sz w:val="22"/>
          <w:szCs w:val="22"/>
          <w:lang w:val="tr"/>
        </w:rPr>
        <w:t xml:space="preserve">(56’sı evden hiç çıkmıyorum, daha çok yemek yiyorum, 84’ü uyku düzenim bozuldu, 53’ü kendimi yalnız ve desteksiz hissediyorum, 44’ü konsantre olma konusunda güçlük çekiyorum, 39’u daha çok içki/veya sigara içiyorum) yönde bir etkinin olduğunu açıkça göstermektedir. </w:t>
      </w:r>
    </w:p>
    <w:p w14:paraId="50CD85EB" w14:textId="77777777" w:rsidR="006127D8" w:rsidRPr="00164238" w:rsidRDefault="006127D8" w:rsidP="006127D8">
      <w:pPr>
        <w:pStyle w:val="TableFigureHeader"/>
        <w:spacing w:before="120" w:after="120"/>
        <w:jc w:val="both"/>
        <w:rPr>
          <w:rFonts w:ascii="Times New Roman" w:hAnsi="Times New Roman" w:cs="Times New Roman"/>
          <w:color w:val="000000" w:themeColor="text1"/>
          <w:sz w:val="22"/>
          <w:szCs w:val="22"/>
        </w:rPr>
      </w:pPr>
      <w:r w:rsidRPr="00164238">
        <w:rPr>
          <w:rFonts w:ascii="Times New Roman" w:hAnsi="Times New Roman" w:cs="Times New Roman"/>
          <w:color w:val="000000" w:themeColor="text1"/>
          <w:sz w:val="22"/>
          <w:szCs w:val="22"/>
        </w:rPr>
        <w:tab/>
        <w:t xml:space="preserve">Çalışanların çoğunun ruh halleri de negatif (endişeli, bunalmış, yorgun, üzgün, çaresiz, öfkeli) yöndedir. Araştırmaya katılan çalışanların yarıdan daha az kısmının ruh halleri pozitif (sabırlı, mutlu, umutlu, enerjik, huzurlu, motive olmuş) yönde şekillenmektedir. </w:t>
      </w:r>
    </w:p>
    <w:p w14:paraId="77976D12" w14:textId="77777777" w:rsidR="006127D8" w:rsidRPr="00164238" w:rsidRDefault="006127D8" w:rsidP="006127D8">
      <w:pPr>
        <w:pStyle w:val="TableFigureHeader"/>
        <w:spacing w:before="120" w:after="120"/>
        <w:jc w:val="both"/>
        <w:rPr>
          <w:rFonts w:ascii="Times New Roman" w:hAnsi="Times New Roman" w:cs="Times New Roman"/>
          <w:color w:val="000000" w:themeColor="text1"/>
          <w:sz w:val="22"/>
          <w:szCs w:val="22"/>
        </w:rPr>
      </w:pPr>
      <w:r w:rsidRPr="00164238">
        <w:rPr>
          <w:rFonts w:ascii="Times New Roman" w:hAnsi="Times New Roman" w:cs="Times New Roman"/>
          <w:color w:val="000000" w:themeColor="text1"/>
          <w:sz w:val="22"/>
          <w:szCs w:val="22"/>
        </w:rPr>
        <w:tab/>
        <w:t>Ankara Siteler Mobilya sektöründe çalışanlar, Covid-19 sürecinde beden, ruh ve zihin sağlıklarını korumak amacıyla çoğunlukla ibadet, diğer (hobiler, kitap, kişisel gelişim vb.) ile evde spor, pilates, yoga vb. aktiviteleri tercih etmişlerdir. Birçoğu ise beden, ruh ve zihin sağlıklarını korumak amacıyla herhangi bir şey yapmamaktadır. Profesyonel psikolojik destek uygulaması ise pek yaygın değildir.</w:t>
      </w:r>
    </w:p>
    <w:p w14:paraId="0740508A" w14:textId="77777777" w:rsidR="006127D8" w:rsidRPr="00164238" w:rsidRDefault="006127D8" w:rsidP="006127D8">
      <w:pPr>
        <w:pStyle w:val="TableFigureHeader"/>
        <w:spacing w:before="120" w:after="120"/>
        <w:jc w:val="both"/>
        <w:rPr>
          <w:rFonts w:ascii="Times New Roman" w:hAnsi="Times New Roman" w:cs="Times New Roman"/>
          <w:color w:val="000000" w:themeColor="text1"/>
          <w:sz w:val="22"/>
          <w:szCs w:val="22"/>
        </w:rPr>
      </w:pPr>
      <w:r w:rsidRPr="00164238">
        <w:rPr>
          <w:rFonts w:ascii="Times New Roman" w:hAnsi="Times New Roman" w:cs="Times New Roman"/>
          <w:color w:val="000000" w:themeColor="text1"/>
          <w:sz w:val="22"/>
          <w:szCs w:val="22"/>
        </w:rPr>
        <w:lastRenderedPageBreak/>
        <w:tab/>
        <w:t xml:space="preserve">Hedef grubumuzun Covid-19 sonrasında yaşamsal beklentisi köklü değişiklikler olacak/yeni dünya düzeni kurulacak üzerine yoğunlaşmaktadır. Bir kısmın beklentisi ise yakın zamanda her şey normale dönecek/ düzen eskisi gibi olacak yönündedir. Aynı zamanda kısıtlamaların kaldırılarak normalleşme sürecinin başlaması üzerine beklenti ise en erken 2021’in son çeyreği veya 2022’nin ilk çeyreği şeklinde oluşmaktadır. </w:t>
      </w:r>
    </w:p>
    <w:p w14:paraId="495E817E" w14:textId="77777777" w:rsidR="006127D8" w:rsidRPr="00164238" w:rsidRDefault="006127D8" w:rsidP="006127D8">
      <w:pPr>
        <w:pStyle w:val="TableFigureHeader"/>
        <w:spacing w:before="120" w:after="120"/>
        <w:jc w:val="both"/>
        <w:rPr>
          <w:rFonts w:ascii="Times New Roman" w:hAnsi="Times New Roman" w:cs="Times New Roman"/>
          <w:color w:val="000000" w:themeColor="text1"/>
          <w:sz w:val="22"/>
          <w:szCs w:val="22"/>
        </w:rPr>
      </w:pPr>
      <w:r w:rsidRPr="00164238">
        <w:rPr>
          <w:rFonts w:ascii="Times New Roman" w:hAnsi="Times New Roman" w:cs="Times New Roman"/>
          <w:color w:val="000000" w:themeColor="text1"/>
          <w:sz w:val="22"/>
          <w:szCs w:val="22"/>
        </w:rPr>
        <w:tab/>
        <w:t xml:space="preserve">Devletlerin salgına karşı hazırlıksız yakalanması gibi toplumda salgına hazırlıksız yakalanarak nasıl bir tutum ve davranış sergileyeceği hususunda bocalamıştır. Özellikle çalışan kesim yoğun iş temposu neticesinde meydana gelen beden, ruh ve zihin yorgunluğunu iş dışında kalan boş zamanlarında sosyal aktivitelerle gidererek dinginlik kazanmaktaydı. Salgın ile birlikte gelen kısıtlamalar çalışanların iş yoğunluğu neticesinde oluşan bedensel, ruhsal ve zihinsel yorgunluğu gidermesine engel teşkil etmeye başladı. Çalışanlar üzerinde oluşan etkinin Siteler Mobilya sektörü özelinde değerlendirildiğinde davranış ve ruh sağlığı tutumları negatif yönde gerçekleşmiştir. Çalışanların kendilerini yalnız ve desteksiz hissetmeleri, konsantre olmakta güçlük çekmeleri, endişeli, yorgun, çaresiz, bunalmış şeklindeki ruh halleri, köklü değişiklikler olacak ve yeni bir dünya düzeni kurulacak, salgınlar hayatımızda her daim var olacaktır ve normalleşmeye en erken 2021’in son çeyreği veya 2022’nin ilk çeyreğinde geçileceği yönündeki beklentileri olumsuz etkilerin yansımalarıdır. Aktif olarak üretimin devamlılığını sağlayan Siteler mobilya sektöründe çalışanların beden, ruh ve zihinsel sağlıklarını koruyabilmeleri, davranış ve tutumlarını pozitif tutabilmeleri yönünde çalışmalar yapılmalıdır. </w:t>
      </w:r>
    </w:p>
    <w:p w14:paraId="499AA3ED" w14:textId="77777777" w:rsidR="006127D8" w:rsidRPr="00164238" w:rsidRDefault="006127D8" w:rsidP="006127D8">
      <w:pPr>
        <w:pStyle w:val="TableFigureHeader"/>
        <w:spacing w:before="120" w:after="120"/>
        <w:jc w:val="both"/>
        <w:rPr>
          <w:rFonts w:ascii="Times New Roman" w:hAnsi="Times New Roman" w:cs="Times New Roman"/>
          <w:color w:val="000000" w:themeColor="text1"/>
          <w:sz w:val="22"/>
          <w:szCs w:val="22"/>
        </w:rPr>
      </w:pPr>
    </w:p>
    <w:p w14:paraId="584B0BC4" w14:textId="77E9F819" w:rsidR="006127D8" w:rsidRPr="00164238" w:rsidRDefault="00C95516" w:rsidP="006127D8">
      <w:pPr>
        <w:spacing w:before="120" w:after="120"/>
        <w:rPr>
          <w:rFonts w:ascii="Times New Roman" w:hAnsi="Times New Roman" w:cs="Times New Roman"/>
          <w:b/>
          <w:bCs/>
          <w:color w:val="000000" w:themeColor="text1"/>
        </w:rPr>
      </w:pPr>
      <w:r>
        <w:rPr>
          <w:rFonts w:ascii="Times New Roman" w:hAnsi="Times New Roman" w:cs="Times New Roman"/>
          <w:b/>
          <w:bCs/>
          <w:color w:val="000000" w:themeColor="text1"/>
        </w:rPr>
        <w:t>Kaynakça</w:t>
      </w:r>
    </w:p>
    <w:p w14:paraId="520F3D10" w14:textId="77777777" w:rsidR="006127D8" w:rsidRPr="00164238" w:rsidRDefault="006127D8" w:rsidP="00E0308F">
      <w:pPr>
        <w:pStyle w:val="TableFigureHeader"/>
        <w:spacing w:before="120" w:after="120"/>
        <w:jc w:val="left"/>
        <w:rPr>
          <w:rFonts w:ascii="Times New Roman" w:hAnsi="Times New Roman" w:cs="Times New Roman"/>
          <w:color w:val="000000" w:themeColor="text1"/>
          <w:sz w:val="22"/>
          <w:szCs w:val="22"/>
        </w:rPr>
      </w:pPr>
      <w:r w:rsidRPr="00164238">
        <w:rPr>
          <w:rFonts w:ascii="Times New Roman" w:hAnsi="Times New Roman" w:cs="Times New Roman"/>
          <w:color w:val="000000" w:themeColor="text1"/>
          <w:sz w:val="22"/>
          <w:szCs w:val="22"/>
        </w:rPr>
        <w:t xml:space="preserve">https://www.ankamob.com/hakkimizda/ - Erişim: 01.04.2021 </w:t>
      </w:r>
    </w:p>
    <w:p w14:paraId="1BE4D5C1" w14:textId="13633B77" w:rsidR="006127D8" w:rsidRPr="00164238" w:rsidRDefault="001E3B38" w:rsidP="006127D8">
      <w:pPr>
        <w:pStyle w:val="TableFigureHeader"/>
        <w:spacing w:before="120" w:after="120"/>
        <w:rPr>
          <w:rFonts w:ascii="Times New Roman" w:hAnsi="Times New Roman" w:cs="Times New Roman"/>
          <w:color w:val="000000" w:themeColor="text1"/>
          <w:sz w:val="22"/>
          <w:szCs w:val="22"/>
        </w:rPr>
      </w:pPr>
      <w:r w:rsidRPr="00164238">
        <w:rPr>
          <w:rFonts w:ascii="Times New Roman" w:hAnsi="Times New Roman" w:cs="Times New Roman"/>
          <w:color w:val="000000" w:themeColor="text1"/>
          <w:sz w:val="22"/>
          <w:szCs w:val="22"/>
        </w:rPr>
        <w:t>E</w:t>
      </w:r>
      <w:r w:rsidR="006127D8" w:rsidRPr="00164238">
        <w:rPr>
          <w:rFonts w:ascii="Times New Roman" w:hAnsi="Times New Roman" w:cs="Times New Roman"/>
          <w:color w:val="000000" w:themeColor="text1"/>
          <w:sz w:val="22"/>
          <w:szCs w:val="22"/>
        </w:rPr>
        <w:t>k.</w:t>
      </w:r>
    </w:p>
    <w:p w14:paraId="34E91665"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“COVID-19 : Ankara Siteler Mobilya Sektöründe Çalışanların Davranış ve Beklentileri Araştırması” araştırması kapsamında gerçekleştirilen anket</w:t>
      </w:r>
    </w:p>
    <w:p w14:paraId="6D0CECE4" w14:textId="77777777" w:rsidR="006127D8" w:rsidRPr="00164238" w:rsidRDefault="006127D8" w:rsidP="006127D8">
      <w:pPr>
        <w:spacing w:before="120" w:after="120"/>
        <w:jc w:val="center"/>
        <w:rPr>
          <w:rFonts w:ascii="Times New Roman" w:hAnsi="Times New Roman" w:cs="Times New Roman"/>
          <w:b/>
          <w:bCs/>
          <w:color w:val="000000" w:themeColor="text1"/>
          <w:u w:val="single"/>
        </w:rPr>
      </w:pPr>
      <w:r w:rsidRPr="00164238">
        <w:rPr>
          <w:rFonts w:ascii="Times New Roman" w:hAnsi="Times New Roman" w:cs="Times New Roman"/>
          <w:b/>
          <w:bCs/>
          <w:color w:val="000000" w:themeColor="text1"/>
          <w:u w:val="single"/>
        </w:rPr>
        <w:t>COVID-19 : Ankara Siteler Mobilya Sektöründe Çalışanların Davranış ve Beklentileri Araştırması</w:t>
      </w:r>
    </w:p>
    <w:p w14:paraId="23E8DC9E" w14:textId="77777777" w:rsidR="006127D8" w:rsidRPr="00164238" w:rsidRDefault="006127D8" w:rsidP="006127D8">
      <w:pPr>
        <w:spacing w:before="120" w:after="120"/>
        <w:jc w:val="both"/>
        <w:rPr>
          <w:rFonts w:ascii="Times New Roman" w:hAnsi="Times New Roman" w:cs="Times New Roman"/>
          <w:b/>
          <w:bCs/>
          <w:color w:val="000000" w:themeColor="text1"/>
        </w:rPr>
      </w:pPr>
      <w:r w:rsidRPr="00164238">
        <w:rPr>
          <w:rFonts w:ascii="Times New Roman" w:hAnsi="Times New Roman" w:cs="Times New Roman"/>
          <w:b/>
          <w:bCs/>
          <w:color w:val="000000" w:themeColor="text1"/>
        </w:rPr>
        <w:t>Cinsiyetiniz nedir?</w:t>
      </w:r>
    </w:p>
    <w:p w14:paraId="3764618E"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 Erkek         ( ) Kadın</w:t>
      </w:r>
    </w:p>
    <w:p w14:paraId="20FF5B5B" w14:textId="77777777" w:rsidR="006127D8" w:rsidRPr="00164238" w:rsidRDefault="006127D8" w:rsidP="006127D8">
      <w:pPr>
        <w:spacing w:before="120" w:after="120"/>
        <w:jc w:val="both"/>
        <w:rPr>
          <w:rFonts w:ascii="Times New Roman" w:hAnsi="Times New Roman" w:cs="Times New Roman"/>
          <w:b/>
          <w:bCs/>
          <w:color w:val="000000" w:themeColor="text1"/>
        </w:rPr>
      </w:pPr>
      <w:r w:rsidRPr="00164238">
        <w:rPr>
          <w:rFonts w:ascii="Times New Roman" w:hAnsi="Times New Roman" w:cs="Times New Roman"/>
          <w:b/>
          <w:bCs/>
          <w:color w:val="000000" w:themeColor="text1"/>
        </w:rPr>
        <w:t>Yaşınız?</w:t>
      </w:r>
    </w:p>
    <w:p w14:paraId="7F607291"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 18 – 25                      ( ) 26 – 35                  ( ) 36 – 45                     ( ) 45 -55                            ( ) 55+</w:t>
      </w:r>
    </w:p>
    <w:p w14:paraId="321833F1" w14:textId="77777777" w:rsidR="006127D8" w:rsidRPr="00164238" w:rsidRDefault="006127D8" w:rsidP="006127D8">
      <w:pPr>
        <w:spacing w:before="120" w:after="120"/>
        <w:jc w:val="both"/>
        <w:rPr>
          <w:rFonts w:ascii="Times New Roman" w:hAnsi="Times New Roman" w:cs="Times New Roman"/>
          <w:b/>
          <w:bCs/>
          <w:color w:val="000000" w:themeColor="text1"/>
        </w:rPr>
      </w:pPr>
      <w:r w:rsidRPr="00164238">
        <w:rPr>
          <w:rFonts w:ascii="Times New Roman" w:hAnsi="Times New Roman" w:cs="Times New Roman"/>
          <w:b/>
          <w:bCs/>
          <w:color w:val="000000" w:themeColor="text1"/>
        </w:rPr>
        <w:t>Eğitim durumunuz?</w:t>
      </w:r>
    </w:p>
    <w:p w14:paraId="658D636A"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 İlkokul            ( ) İlköğretim       ( ) Ortaokul           ( ) Lise                ( ) Lisans                 ( ) Lisansüstü</w:t>
      </w:r>
    </w:p>
    <w:p w14:paraId="7C2BC28E" w14:textId="77777777" w:rsidR="006127D8" w:rsidRPr="00164238" w:rsidRDefault="006127D8" w:rsidP="006127D8">
      <w:pPr>
        <w:spacing w:before="120" w:after="120"/>
        <w:jc w:val="both"/>
        <w:rPr>
          <w:rFonts w:ascii="Times New Roman" w:hAnsi="Times New Roman" w:cs="Times New Roman"/>
          <w:b/>
          <w:bCs/>
          <w:color w:val="000000" w:themeColor="text1"/>
        </w:rPr>
      </w:pPr>
      <w:r w:rsidRPr="00164238">
        <w:rPr>
          <w:rFonts w:ascii="Times New Roman" w:hAnsi="Times New Roman" w:cs="Times New Roman"/>
          <w:b/>
          <w:bCs/>
          <w:color w:val="000000" w:themeColor="text1"/>
        </w:rPr>
        <w:t>İkamet ettiğiniz ilçe?</w:t>
      </w:r>
    </w:p>
    <w:p w14:paraId="35D3B4C0"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 Altındağ              ( ) Mamak             ( ) Keçiören              ( ) Pursaklar            ( ) Çankaya        ( ) Diğer</w:t>
      </w:r>
    </w:p>
    <w:p w14:paraId="15CA0AA3" w14:textId="77777777" w:rsidR="006127D8" w:rsidRPr="00164238" w:rsidRDefault="006127D8" w:rsidP="006127D8">
      <w:pPr>
        <w:spacing w:before="120" w:after="120"/>
        <w:jc w:val="both"/>
        <w:rPr>
          <w:rFonts w:ascii="Times New Roman" w:hAnsi="Times New Roman" w:cs="Times New Roman"/>
          <w:b/>
          <w:bCs/>
          <w:color w:val="000000" w:themeColor="text1"/>
        </w:rPr>
      </w:pPr>
      <w:r w:rsidRPr="00164238">
        <w:rPr>
          <w:rFonts w:ascii="Times New Roman" w:hAnsi="Times New Roman" w:cs="Times New Roman"/>
          <w:b/>
          <w:bCs/>
          <w:color w:val="000000" w:themeColor="text1"/>
        </w:rPr>
        <w:t>İşletmenizdeki çalışan sayısı?</w:t>
      </w:r>
    </w:p>
    <w:p w14:paraId="0306BD60"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 1 – 10                  ( ) 10 – 30                ( ) 30 – 50             ( ) 50 – 100                ( ) 100 ve üzeri</w:t>
      </w:r>
    </w:p>
    <w:p w14:paraId="349BBB28" w14:textId="77777777" w:rsidR="006127D8" w:rsidRPr="00164238" w:rsidRDefault="006127D8" w:rsidP="006127D8">
      <w:pPr>
        <w:spacing w:before="120" w:after="120"/>
        <w:jc w:val="both"/>
        <w:rPr>
          <w:rFonts w:ascii="Times New Roman" w:hAnsi="Times New Roman" w:cs="Times New Roman"/>
          <w:b/>
          <w:bCs/>
          <w:color w:val="000000" w:themeColor="text1"/>
        </w:rPr>
      </w:pPr>
      <w:r w:rsidRPr="00164238">
        <w:rPr>
          <w:rFonts w:ascii="Times New Roman" w:hAnsi="Times New Roman" w:cs="Times New Roman"/>
          <w:b/>
          <w:bCs/>
          <w:color w:val="000000" w:themeColor="text1"/>
        </w:rPr>
        <w:t>Mesleki alanınız?</w:t>
      </w:r>
    </w:p>
    <w:p w14:paraId="5567B89C"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lastRenderedPageBreak/>
        <w:t>( ) Marangoz     ( ) Boyacı             ( ) Polyester          ( ) Metal Doğrama      ( ) Döşeme   ( ) Diğer ………</w:t>
      </w:r>
    </w:p>
    <w:p w14:paraId="072229AB" w14:textId="77777777" w:rsidR="006127D8" w:rsidRPr="00164238" w:rsidRDefault="006127D8" w:rsidP="006127D8">
      <w:pPr>
        <w:spacing w:before="120" w:after="120"/>
        <w:jc w:val="both"/>
        <w:rPr>
          <w:rFonts w:ascii="Times New Roman" w:hAnsi="Times New Roman" w:cs="Times New Roman"/>
          <w:b/>
          <w:bCs/>
          <w:color w:val="000000" w:themeColor="text1"/>
        </w:rPr>
      </w:pPr>
      <w:r w:rsidRPr="00164238">
        <w:rPr>
          <w:rFonts w:ascii="Times New Roman" w:hAnsi="Times New Roman" w:cs="Times New Roman"/>
          <w:b/>
          <w:bCs/>
          <w:color w:val="000000" w:themeColor="text1"/>
        </w:rPr>
        <w:t xml:space="preserve">Mevcut gelir durumunuz?   </w:t>
      </w:r>
    </w:p>
    <w:p w14:paraId="44A5354D"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 1000 – 3000                     ( ) 3000 – 5000                ( ) 5000 – 8000         ( ) 8000 ve üzeri</w:t>
      </w:r>
    </w:p>
    <w:p w14:paraId="10FA9CF3" w14:textId="77777777" w:rsidR="006127D8" w:rsidRPr="00164238" w:rsidRDefault="006127D8" w:rsidP="006127D8">
      <w:pPr>
        <w:spacing w:before="120" w:after="120"/>
        <w:jc w:val="both"/>
        <w:rPr>
          <w:rFonts w:ascii="Times New Roman" w:hAnsi="Times New Roman" w:cs="Times New Roman"/>
          <w:b/>
          <w:bCs/>
          <w:color w:val="000000" w:themeColor="text1"/>
        </w:rPr>
      </w:pPr>
      <w:r w:rsidRPr="00164238">
        <w:rPr>
          <w:rFonts w:ascii="Times New Roman" w:hAnsi="Times New Roman" w:cs="Times New Roman"/>
          <w:b/>
          <w:bCs/>
          <w:color w:val="000000" w:themeColor="text1"/>
        </w:rPr>
        <w:t>Herhangi bir geliriniz olmadığı takdirde kredi çekmeden veya yardım almadan giderlerinizi karşılayabilecek tahminen kaç aylık birikiminiz bulunmaktadır?</w:t>
      </w:r>
    </w:p>
    <w:p w14:paraId="7963BECF"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 1 Ay        ( ) 2 –3 Ay         ( ) 4 – 6 Ay           ( ) 7 – 12 Ay              ( ) 12 Aydan daha fazla </w:t>
      </w:r>
    </w:p>
    <w:p w14:paraId="029C15AC"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 Hiçbir birikimim mevcut değil</w:t>
      </w:r>
    </w:p>
    <w:p w14:paraId="38F80E5F"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b/>
          <w:bCs/>
          <w:color w:val="000000" w:themeColor="text1"/>
        </w:rPr>
        <w:t>COVID – 19 salgını etkilerini azaltmak üzere uygulamaya koyulan önlemler başlamasıyla birlikte çalışma durumunuzda bir değişiklik yaşandı mı?</w:t>
      </w:r>
    </w:p>
    <w:p w14:paraId="1F4C36C5"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 Ücretli izne ayrıldım             (  ) Ücretsiz izne ayrıldım              (  ) Maaş kesintisi yapıldı </w:t>
      </w:r>
    </w:p>
    <w:p w14:paraId="49DDEF65"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 Bir değişiklik olmadı</w:t>
      </w:r>
    </w:p>
    <w:p w14:paraId="6235C8A3" w14:textId="77777777" w:rsidR="006127D8" w:rsidRPr="00164238" w:rsidRDefault="006127D8" w:rsidP="006127D8">
      <w:pPr>
        <w:spacing w:before="120" w:after="120"/>
        <w:jc w:val="both"/>
        <w:rPr>
          <w:rFonts w:ascii="Times New Roman" w:hAnsi="Times New Roman" w:cs="Times New Roman"/>
          <w:b/>
          <w:bCs/>
          <w:color w:val="000000" w:themeColor="text1"/>
        </w:rPr>
      </w:pPr>
      <w:r w:rsidRPr="00164238">
        <w:rPr>
          <w:rFonts w:ascii="Times New Roman" w:hAnsi="Times New Roman" w:cs="Times New Roman"/>
          <w:b/>
          <w:bCs/>
          <w:color w:val="000000" w:themeColor="text1"/>
        </w:rPr>
        <w:t>COVID – 19 salgını sürecinde çalışma saatlerinizde bir değişiklik yaşandı mı?</w:t>
      </w:r>
    </w:p>
    <w:p w14:paraId="445EF1FA"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w:t>
      </w:r>
      <w:r w:rsidRPr="00164238">
        <w:rPr>
          <w:rFonts w:ascii="Times New Roman" w:hAnsi="Times New Roman" w:cs="Times New Roman"/>
          <w:b/>
          <w:bCs/>
          <w:color w:val="000000" w:themeColor="text1"/>
        </w:rPr>
        <w:t xml:space="preserve"> </w:t>
      </w:r>
      <w:r w:rsidRPr="00164238">
        <w:rPr>
          <w:rFonts w:ascii="Times New Roman" w:hAnsi="Times New Roman" w:cs="Times New Roman"/>
          <w:color w:val="000000" w:themeColor="text1"/>
        </w:rPr>
        <w:t xml:space="preserve">Uzaktan çalışma imkanı sunuldu       (  ) Dönüşümlü çalışma metodu uygulandı    </w:t>
      </w:r>
    </w:p>
    <w:p w14:paraId="0975D8B8"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  Herhangi bir değişiklik olmadı</w:t>
      </w:r>
    </w:p>
    <w:p w14:paraId="0907B69B"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b/>
          <w:bCs/>
          <w:color w:val="000000" w:themeColor="text1"/>
        </w:rPr>
        <w:t>COVID – 19 salgını sebebiyle uygulanan kısıtlama süreçlerinde yaşadığınız davranış biçimlerini tanımlayınız.</w:t>
      </w:r>
    </w:p>
    <w:p w14:paraId="07F50EC9"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  Evde daha çok yemek yapıyorum  (  ) Evden hiç çıkmıyorum   (  ) Kendimi yalnız ve desteksiz hissediyorum</w:t>
      </w:r>
    </w:p>
    <w:p w14:paraId="5F44EA84"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 İhtiyaç sahiplerine destek olmaya çalışıyorum         ( ) Konsantre olmak konusunda zorluk çekiyorum                                              ( ) Daha çok yemek yiyorum        ( ) Uyku düzenim bozuldu   ( ) Çok daha fazla kitap okuyorum                                                       (  )  Daha çok içki ve/veya sigara içiyorum    (  ) Yeni ilgi alanları ve hobiler edindim</w:t>
      </w:r>
    </w:p>
    <w:p w14:paraId="71E5BE50"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b/>
          <w:bCs/>
          <w:color w:val="000000" w:themeColor="text1"/>
        </w:rPr>
        <w:t>COVID – 19 salgını süreci aile içi iletişiminizi nasıl etkiledi?</w:t>
      </w:r>
    </w:p>
    <w:p w14:paraId="15C306A4"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 Aile içi bağlarımız kuvvetlendi      (  ) Aile içi bağlarımız zayıfladı       (  ) Herhangi bir etkisi olmadı</w:t>
      </w:r>
    </w:p>
    <w:p w14:paraId="75E2738D" w14:textId="77777777" w:rsidR="006127D8" w:rsidRPr="00164238" w:rsidRDefault="006127D8" w:rsidP="006127D8">
      <w:pPr>
        <w:spacing w:before="120" w:after="120"/>
        <w:jc w:val="both"/>
        <w:rPr>
          <w:rFonts w:ascii="Times New Roman" w:hAnsi="Times New Roman" w:cs="Times New Roman"/>
          <w:b/>
          <w:bCs/>
          <w:color w:val="000000" w:themeColor="text1"/>
        </w:rPr>
      </w:pPr>
    </w:p>
    <w:p w14:paraId="0B77EE59"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b/>
          <w:bCs/>
          <w:color w:val="000000" w:themeColor="text1"/>
        </w:rPr>
        <w:t>COVID – 19 salgını sürecinde alışveriş tutumunuzda değişiklik yaşandı mı?</w:t>
      </w:r>
    </w:p>
    <w:p w14:paraId="12FF8535"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  Para harcarken çok daha dikkatli ve tutucuyum </w:t>
      </w:r>
    </w:p>
    <w:p w14:paraId="6FA5F08F"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 Daha fazla para harcamaya ve alışveriş yapmaya başladım                                                          </w:t>
      </w:r>
    </w:p>
    <w:p w14:paraId="4C0A8187"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  Herhangi bir değişiklik yaşanmadı </w:t>
      </w:r>
    </w:p>
    <w:p w14:paraId="4A180151"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b/>
          <w:bCs/>
          <w:color w:val="000000" w:themeColor="text1"/>
        </w:rPr>
        <w:t>COVID – 19 hakkında haber ve bilgi almak için an çok kullandığınız iletişim aracı hangisidir?</w:t>
      </w:r>
    </w:p>
    <w:p w14:paraId="15F76223"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 TV’deki haber programları      ( ) Facebook/Twitter       ( ) Whatsapp/ Telegram grupları                                                                   (   )  Yerli gazete/ haber portalları                    (   )   Yabancı gazete/ haber portalları</w:t>
      </w:r>
    </w:p>
    <w:p w14:paraId="4E7C86CC"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b/>
          <w:bCs/>
          <w:color w:val="000000" w:themeColor="text1"/>
        </w:rPr>
        <w:t>COVID – 19 sürecinde ruh halinizi nasıl tanımlarsınız?</w:t>
      </w:r>
    </w:p>
    <w:p w14:paraId="1A4C0EC9"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lastRenderedPageBreak/>
        <w:t xml:space="preserve">(  ) Endişeli     (  ) Bunalmış   (  ) Sabırlı     (  ) Yorgun    (  ) Üzgün    (  ) Çaresiz     (  ) Mutlu   </w:t>
      </w:r>
    </w:p>
    <w:p w14:paraId="72E00437"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 Öfkeli        (  ) Umutlu      (  ) Enerjik    (  ) Huzurlu   (  ) Motive olmuş      </w:t>
      </w:r>
    </w:p>
    <w:p w14:paraId="170EB1F6" w14:textId="77777777" w:rsidR="006127D8" w:rsidRPr="00164238" w:rsidRDefault="006127D8" w:rsidP="006127D8">
      <w:pPr>
        <w:spacing w:before="60" w:after="60"/>
        <w:jc w:val="both"/>
        <w:rPr>
          <w:rFonts w:ascii="Times New Roman" w:hAnsi="Times New Roman" w:cs="Times New Roman"/>
          <w:color w:val="000000" w:themeColor="text1"/>
        </w:rPr>
      </w:pPr>
      <w:r w:rsidRPr="00164238">
        <w:rPr>
          <w:rFonts w:ascii="Times New Roman" w:hAnsi="Times New Roman" w:cs="Times New Roman"/>
          <w:b/>
          <w:bCs/>
          <w:color w:val="000000" w:themeColor="text1"/>
        </w:rPr>
        <w:t>COVID-19 sürecinde sizi en çok kaygılandıran 3 (üç) etken belirtiniz.</w:t>
      </w:r>
    </w:p>
    <w:p w14:paraId="29CDE723" w14:textId="77777777" w:rsidR="006127D8" w:rsidRPr="00164238" w:rsidRDefault="006127D8" w:rsidP="006127D8">
      <w:pPr>
        <w:spacing w:before="60" w:after="6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  Sevdiklerimin sağlıklarını/hayatlarını kaybetmeleri  </w:t>
      </w:r>
    </w:p>
    <w:p w14:paraId="5B28E91A" w14:textId="77777777" w:rsidR="006127D8" w:rsidRPr="00164238" w:rsidRDefault="006127D8" w:rsidP="006127D8">
      <w:pPr>
        <w:spacing w:before="60" w:after="60"/>
        <w:jc w:val="both"/>
        <w:rPr>
          <w:rFonts w:ascii="Times New Roman" w:hAnsi="Times New Roman" w:cs="Times New Roman"/>
          <w:color w:val="000000" w:themeColor="text1"/>
        </w:rPr>
      </w:pPr>
      <w:r w:rsidRPr="00164238">
        <w:rPr>
          <w:rFonts w:ascii="Times New Roman" w:hAnsi="Times New Roman" w:cs="Times New Roman"/>
          <w:color w:val="000000" w:themeColor="text1"/>
        </w:rPr>
        <w:t>(  )  Sosyal düzenini ve huzurun bozulması</w:t>
      </w:r>
    </w:p>
    <w:p w14:paraId="4B837DE9" w14:textId="77777777" w:rsidR="006127D8" w:rsidRPr="00164238" w:rsidRDefault="006127D8" w:rsidP="006127D8">
      <w:pPr>
        <w:spacing w:before="60" w:after="6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  Sağlığımı/hayatımı kaybetmek  </w:t>
      </w:r>
    </w:p>
    <w:p w14:paraId="0E8229F7" w14:textId="77777777" w:rsidR="006127D8" w:rsidRPr="00164238" w:rsidRDefault="006127D8" w:rsidP="006127D8">
      <w:pPr>
        <w:spacing w:before="60" w:after="60"/>
        <w:jc w:val="both"/>
        <w:rPr>
          <w:rFonts w:ascii="Times New Roman" w:hAnsi="Times New Roman" w:cs="Times New Roman"/>
          <w:color w:val="000000" w:themeColor="text1"/>
        </w:rPr>
      </w:pPr>
      <w:r w:rsidRPr="00164238">
        <w:rPr>
          <w:rFonts w:ascii="Times New Roman" w:hAnsi="Times New Roman" w:cs="Times New Roman"/>
          <w:color w:val="000000" w:themeColor="text1"/>
        </w:rPr>
        <w:t>(  )  COVID-19 salgınının kalıcı olması/ uygulanan tedavi ve aşıların sonuç vermemesi</w:t>
      </w:r>
    </w:p>
    <w:p w14:paraId="3290A5CC" w14:textId="77777777" w:rsidR="006127D8" w:rsidRPr="00164238" w:rsidRDefault="006127D8" w:rsidP="006127D8">
      <w:pPr>
        <w:spacing w:before="60" w:after="6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  Uluslararası ekonomik gerileme/ çöküş yaşanması  </w:t>
      </w:r>
    </w:p>
    <w:p w14:paraId="72355E5F" w14:textId="77777777" w:rsidR="006127D8" w:rsidRPr="00164238" w:rsidRDefault="006127D8" w:rsidP="006127D8">
      <w:pPr>
        <w:spacing w:before="60" w:after="60"/>
        <w:jc w:val="both"/>
        <w:rPr>
          <w:rFonts w:ascii="Times New Roman" w:hAnsi="Times New Roman" w:cs="Times New Roman"/>
          <w:color w:val="000000" w:themeColor="text1"/>
        </w:rPr>
      </w:pPr>
      <w:r w:rsidRPr="00164238">
        <w:rPr>
          <w:rFonts w:ascii="Times New Roman" w:hAnsi="Times New Roman" w:cs="Times New Roman"/>
          <w:color w:val="000000" w:themeColor="text1"/>
        </w:rPr>
        <w:t>(  )  Türkiye’de ekonomik çöküntü/ kriz yaşanması</w:t>
      </w:r>
    </w:p>
    <w:p w14:paraId="0472457F" w14:textId="77777777" w:rsidR="006127D8" w:rsidRPr="00164238" w:rsidRDefault="006127D8" w:rsidP="006127D8">
      <w:pPr>
        <w:spacing w:before="60" w:after="6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  İşimi/ gelirimi kaybetmek       </w:t>
      </w:r>
    </w:p>
    <w:p w14:paraId="2EE0CAAA" w14:textId="77777777" w:rsidR="006127D8" w:rsidRPr="00164238" w:rsidRDefault="006127D8" w:rsidP="006127D8">
      <w:pPr>
        <w:spacing w:before="60" w:after="60"/>
        <w:jc w:val="both"/>
        <w:rPr>
          <w:rFonts w:ascii="Times New Roman" w:hAnsi="Times New Roman" w:cs="Times New Roman"/>
          <w:color w:val="000000" w:themeColor="text1"/>
        </w:rPr>
      </w:pPr>
      <w:r w:rsidRPr="00164238">
        <w:rPr>
          <w:rFonts w:ascii="Times New Roman" w:hAnsi="Times New Roman" w:cs="Times New Roman"/>
          <w:color w:val="000000" w:themeColor="text1"/>
        </w:rPr>
        <w:t>(  )  Maskenin hayatımızdan hiç çıkmaması</w:t>
      </w:r>
    </w:p>
    <w:p w14:paraId="00CBB813" w14:textId="77777777" w:rsidR="006127D8" w:rsidRPr="00164238" w:rsidRDefault="006127D8" w:rsidP="006127D8">
      <w:pPr>
        <w:spacing w:before="120" w:after="120"/>
        <w:jc w:val="both"/>
        <w:rPr>
          <w:rFonts w:ascii="Times New Roman" w:hAnsi="Times New Roman" w:cs="Times New Roman"/>
          <w:b/>
          <w:bCs/>
          <w:color w:val="000000" w:themeColor="text1"/>
        </w:rPr>
      </w:pPr>
      <w:r w:rsidRPr="00164238">
        <w:rPr>
          <w:rFonts w:ascii="Times New Roman" w:hAnsi="Times New Roman" w:cs="Times New Roman"/>
          <w:b/>
          <w:bCs/>
          <w:color w:val="000000" w:themeColor="text1"/>
        </w:rPr>
        <w:t>COVID-19 sürecinde beden, zihin ve ruh sağlığınıza destek olmak için aşağıdakilerden hangilerini yapıyorsunuz?</w:t>
      </w:r>
    </w:p>
    <w:p w14:paraId="22615BFD"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 Evde spor, pilates, yoga vb  ( ) Meditasyon/Nefes çalışması ( ) Profesyonel psikolojik destek alıyorum    (  ) İbadet                                 ( )  Diğer ( hobiler, kitap, kişisel gelişim, ev işleri vb)    ( ) Hiçbir şey</w:t>
      </w:r>
    </w:p>
    <w:p w14:paraId="0C12BD66"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b/>
          <w:bCs/>
          <w:color w:val="000000" w:themeColor="text1"/>
        </w:rPr>
        <w:t>COVID – 19 sonrasında yaşamsal beklentiniz hangi yöndedir?</w:t>
      </w:r>
    </w:p>
    <w:p w14:paraId="45F8B1C8" w14:textId="77777777" w:rsidR="006127D8" w:rsidRPr="00164238" w:rsidRDefault="006127D8" w:rsidP="006127D8">
      <w:pPr>
        <w:spacing w:before="60" w:after="60"/>
        <w:rPr>
          <w:rFonts w:ascii="Times New Roman" w:hAnsi="Times New Roman" w:cs="Times New Roman"/>
          <w:color w:val="000000" w:themeColor="text1"/>
        </w:rPr>
      </w:pPr>
      <w:r w:rsidRPr="00164238">
        <w:rPr>
          <w:rFonts w:ascii="Times New Roman" w:hAnsi="Times New Roman" w:cs="Times New Roman"/>
          <w:color w:val="000000" w:themeColor="text1"/>
        </w:rPr>
        <w:t>(  )  Yakın zamanda her şey normale dönecek/ düzen eskisi gibi olacak                                                                                                             (  )   Köklü değişiklikler olacak ve yeni bir dünya düzeni kurulacak</w:t>
      </w:r>
    </w:p>
    <w:p w14:paraId="70C91EEE" w14:textId="77777777" w:rsidR="006127D8" w:rsidRPr="00164238" w:rsidRDefault="006127D8" w:rsidP="006127D8">
      <w:pPr>
        <w:spacing w:before="60" w:after="60"/>
        <w:rPr>
          <w:rFonts w:ascii="Times New Roman" w:hAnsi="Times New Roman" w:cs="Times New Roman"/>
          <w:color w:val="000000" w:themeColor="text1"/>
        </w:rPr>
      </w:pPr>
      <w:r w:rsidRPr="00164238">
        <w:rPr>
          <w:rFonts w:ascii="Times New Roman" w:hAnsi="Times New Roman" w:cs="Times New Roman"/>
          <w:color w:val="000000" w:themeColor="text1"/>
        </w:rPr>
        <w:t>(  )   Salgınlar hayatımızda her daim var olacaktır</w:t>
      </w:r>
    </w:p>
    <w:p w14:paraId="6EB48DBD"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b/>
          <w:bCs/>
          <w:color w:val="000000" w:themeColor="text1"/>
        </w:rPr>
        <w:t>COVID – 19 salgını neticesinde yapılan kısıtlamaların tamamen kaldırılarak normalleşme sürecine ne zaman geçilecektir?</w:t>
      </w:r>
    </w:p>
    <w:p w14:paraId="1FAE807A"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 Nisan 2021 sonu     </w:t>
      </w:r>
    </w:p>
    <w:p w14:paraId="048382B2"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 Mayıs 2021 sonu      </w:t>
      </w:r>
    </w:p>
    <w:p w14:paraId="443986E2"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 Haziran – Temmuz 2021 civarı                                                       </w:t>
      </w:r>
    </w:p>
    <w:p w14:paraId="6DF869FC"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 Ağustos – Eylül 2021 civarı</w:t>
      </w:r>
    </w:p>
    <w:p w14:paraId="6E06D93D"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 Ekim – Kasım 2021 civarı        </w:t>
      </w:r>
    </w:p>
    <w:p w14:paraId="17C8DA32"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 Aralık 2021 sonu     </w:t>
      </w:r>
    </w:p>
    <w:p w14:paraId="0F676C56" w14:textId="77777777" w:rsidR="006127D8" w:rsidRPr="00164238" w:rsidRDefault="006127D8" w:rsidP="006127D8">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 2022 ilk çeyreğinde</w:t>
      </w:r>
    </w:p>
    <w:p w14:paraId="64333EF2" w14:textId="77777777" w:rsidR="00A40273" w:rsidRDefault="00A40273">
      <w:pPr>
        <w:rPr>
          <w:rFonts w:ascii="Times New Roman" w:eastAsiaTheme="majorEastAsia" w:hAnsi="Times New Roman" w:cs="Times New Roman"/>
          <w:b/>
          <w:color w:val="000000" w:themeColor="text1"/>
          <w:sz w:val="24"/>
          <w:szCs w:val="24"/>
          <w:lang w:eastAsia="tr-TR"/>
        </w:rPr>
      </w:pPr>
      <w:r>
        <w:rPr>
          <w:rFonts w:ascii="Times New Roman" w:hAnsi="Times New Roman" w:cs="Times New Roman"/>
          <w:b/>
          <w:color w:val="000000" w:themeColor="text1"/>
          <w:sz w:val="24"/>
          <w:szCs w:val="24"/>
        </w:rPr>
        <w:br w:type="page"/>
      </w:r>
    </w:p>
    <w:p w14:paraId="14229728" w14:textId="634EE1A4" w:rsidR="006E095D" w:rsidRPr="00164238" w:rsidRDefault="001E3B38" w:rsidP="00955A3E">
      <w:pPr>
        <w:pStyle w:val="Balk1"/>
        <w:rPr>
          <w:rFonts w:ascii="Times New Roman" w:hAnsi="Times New Roman" w:cs="Times New Roman"/>
          <w:b/>
          <w:color w:val="000000" w:themeColor="text1"/>
          <w:sz w:val="24"/>
          <w:szCs w:val="24"/>
        </w:rPr>
      </w:pPr>
      <w:bookmarkStart w:id="71" w:name="_Toc72961684"/>
      <w:r w:rsidRPr="00164238">
        <w:rPr>
          <w:rFonts w:ascii="Times New Roman" w:hAnsi="Times New Roman" w:cs="Times New Roman"/>
          <w:b/>
          <w:color w:val="000000" w:themeColor="text1"/>
          <w:sz w:val="24"/>
          <w:szCs w:val="24"/>
        </w:rPr>
        <w:lastRenderedPageBreak/>
        <w:t>C</w:t>
      </w:r>
      <w:r w:rsidR="00955A3E" w:rsidRPr="00164238">
        <w:rPr>
          <w:rFonts w:ascii="Times New Roman" w:hAnsi="Times New Roman" w:cs="Times New Roman"/>
          <w:b/>
          <w:color w:val="000000" w:themeColor="text1"/>
          <w:sz w:val="24"/>
          <w:szCs w:val="24"/>
        </w:rPr>
        <w:t>OVID-19 SALGINININ FİNANSAL RAPORLAMAYA ETKİSİ: BIST 100 ENDEKSİNDE İÇERİK ANALİZİ</w:t>
      </w:r>
      <w:bookmarkEnd w:id="71"/>
    </w:p>
    <w:p w14:paraId="1339AF64" w14:textId="77777777" w:rsidR="00955A3E" w:rsidRPr="00164238" w:rsidRDefault="00955A3E" w:rsidP="00955A3E">
      <w:pPr>
        <w:pStyle w:val="Balk2"/>
        <w:rPr>
          <w:rFonts w:ascii="Times New Roman" w:eastAsia="Arial" w:hAnsi="Times New Roman" w:cs="Times New Roman"/>
          <w:b w:val="0"/>
          <w:i w:val="0"/>
          <w:color w:val="000000" w:themeColor="text1"/>
          <w:sz w:val="20"/>
          <w:szCs w:val="20"/>
        </w:rPr>
      </w:pPr>
      <w:bookmarkStart w:id="72" w:name="_Toc72961685"/>
      <w:r w:rsidRPr="00164238">
        <w:rPr>
          <w:rStyle w:val="Balk2Char"/>
          <w:rFonts w:ascii="Times New Roman" w:hAnsi="Times New Roman" w:cs="Times New Roman"/>
          <w:color w:val="000000" w:themeColor="text1"/>
          <w:sz w:val="20"/>
          <w:szCs w:val="20"/>
        </w:rPr>
        <w:t>Arş.Gör. Nesil İŞBİL</w:t>
      </w:r>
      <w:r w:rsidRPr="00164238">
        <w:rPr>
          <w:rFonts w:ascii="Times New Roman" w:eastAsia="Arial" w:hAnsi="Times New Roman" w:cs="Times New Roman"/>
          <w:color w:val="000000" w:themeColor="text1"/>
          <w:sz w:val="20"/>
          <w:szCs w:val="20"/>
        </w:rPr>
        <w:t xml:space="preserve">, </w:t>
      </w:r>
      <w:r w:rsidRPr="00164238">
        <w:rPr>
          <w:rFonts w:ascii="Times New Roman" w:eastAsia="Arial" w:hAnsi="Times New Roman" w:cs="Times New Roman"/>
          <w:b w:val="0"/>
          <w:color w:val="000000" w:themeColor="text1"/>
          <w:sz w:val="20"/>
          <w:szCs w:val="20"/>
        </w:rPr>
        <w:t>Kütahya Dumlupınar Üniversitesi, Uygulamalı Bilimler Meslek Fakültesi, 43100, Kütahya, Türkiye</w:t>
      </w:r>
      <w:bookmarkEnd w:id="72"/>
    </w:p>
    <w:p w14:paraId="270A4DAC" w14:textId="77777777" w:rsidR="00955A3E" w:rsidRPr="00164238" w:rsidRDefault="00955A3E" w:rsidP="00955A3E">
      <w:pPr>
        <w:jc w:val="both"/>
        <w:rPr>
          <w:rFonts w:ascii="Times New Roman" w:hAnsi="Times New Roman" w:cs="Times New Roman"/>
          <w:color w:val="000000" w:themeColor="text1"/>
          <w:sz w:val="20"/>
          <w:szCs w:val="20"/>
        </w:rPr>
      </w:pPr>
      <w:r w:rsidRPr="00164238">
        <w:rPr>
          <w:rFonts w:ascii="Times New Roman" w:eastAsia="Arial" w:hAnsi="Times New Roman" w:cs="Times New Roman"/>
          <w:i/>
          <w:color w:val="000000" w:themeColor="text1"/>
          <w:sz w:val="20"/>
          <w:szCs w:val="20"/>
        </w:rPr>
        <w:t>e-mail:</w:t>
      </w:r>
      <w:r w:rsidRPr="00164238">
        <w:rPr>
          <w:rFonts w:ascii="Times New Roman" w:eastAsia="Arial" w:hAnsi="Times New Roman" w:cs="Times New Roman"/>
          <w:color w:val="000000" w:themeColor="text1"/>
          <w:sz w:val="20"/>
          <w:szCs w:val="20"/>
          <w:u w:val="single"/>
        </w:rPr>
        <w:t>nesil.isbil@dpu.edu.tr</w:t>
      </w:r>
      <w:r w:rsidRPr="00164238">
        <w:rPr>
          <w:rFonts w:ascii="Times New Roman" w:eastAsia="Arial" w:hAnsi="Times New Roman" w:cs="Times New Roman"/>
          <w:i/>
          <w:color w:val="000000" w:themeColor="text1"/>
          <w:sz w:val="20"/>
          <w:szCs w:val="20"/>
        </w:rPr>
        <w:t xml:space="preserve"> ORCID ID:</w:t>
      </w:r>
      <w:r w:rsidRPr="00164238">
        <w:rPr>
          <w:rFonts w:ascii="Times New Roman" w:hAnsi="Times New Roman" w:cs="Times New Roman"/>
          <w:color w:val="000000" w:themeColor="text1"/>
          <w:sz w:val="20"/>
          <w:szCs w:val="20"/>
        </w:rPr>
        <w:t xml:space="preserve"> </w:t>
      </w:r>
      <w:hyperlink r:id="rId119" w:history="1">
        <w:r w:rsidRPr="00164238">
          <w:rPr>
            <w:rStyle w:val="Kpr"/>
            <w:rFonts w:ascii="Times New Roman" w:hAnsi="Times New Roman" w:cs="Times New Roman"/>
            <w:color w:val="000000" w:themeColor="text1"/>
            <w:sz w:val="20"/>
            <w:szCs w:val="20"/>
            <w:u w:val="none"/>
          </w:rPr>
          <w:t>0000-0002-5455-8902</w:t>
        </w:r>
      </w:hyperlink>
    </w:p>
    <w:p w14:paraId="63C910C3" w14:textId="77777777" w:rsidR="00955A3E" w:rsidRPr="00164238" w:rsidRDefault="00955A3E" w:rsidP="00955A3E">
      <w:pPr>
        <w:pStyle w:val="Balk2"/>
        <w:rPr>
          <w:rFonts w:ascii="Times New Roman" w:eastAsia="Arial" w:hAnsi="Times New Roman" w:cs="Times New Roman"/>
          <w:i w:val="0"/>
          <w:color w:val="000000" w:themeColor="text1"/>
          <w:sz w:val="20"/>
          <w:szCs w:val="20"/>
        </w:rPr>
      </w:pPr>
      <w:bookmarkStart w:id="73" w:name="_Toc72961686"/>
      <w:r w:rsidRPr="00164238">
        <w:rPr>
          <w:rStyle w:val="Balk2Char"/>
          <w:rFonts w:ascii="Times New Roman" w:hAnsi="Times New Roman" w:cs="Times New Roman"/>
          <w:color w:val="000000" w:themeColor="text1"/>
          <w:sz w:val="20"/>
          <w:szCs w:val="20"/>
        </w:rPr>
        <w:t>Arş.Gör. Ayşe Gül Nurbanu KÖROĞLU</w:t>
      </w:r>
      <w:r w:rsidRPr="00164238">
        <w:rPr>
          <w:rFonts w:ascii="Times New Roman" w:eastAsia="Arial" w:hAnsi="Times New Roman" w:cs="Times New Roman"/>
          <w:color w:val="000000" w:themeColor="text1"/>
          <w:sz w:val="20"/>
          <w:szCs w:val="20"/>
        </w:rPr>
        <w:t xml:space="preserve">, </w:t>
      </w:r>
      <w:r w:rsidRPr="00164238">
        <w:rPr>
          <w:rFonts w:ascii="Times New Roman" w:eastAsia="Arial" w:hAnsi="Times New Roman" w:cs="Times New Roman"/>
          <w:b w:val="0"/>
          <w:color w:val="000000" w:themeColor="text1"/>
          <w:sz w:val="20"/>
          <w:szCs w:val="20"/>
        </w:rPr>
        <w:t>Ankara Hacı Bayram Veli Üniversitesi, İktisadi ve İdari Bilimler Fakültesi,06500, Ankara, Türkiye</w:t>
      </w:r>
      <w:bookmarkEnd w:id="73"/>
    </w:p>
    <w:p w14:paraId="3394E707" w14:textId="77777777" w:rsidR="00955A3E" w:rsidRPr="00164238" w:rsidRDefault="00955A3E" w:rsidP="00955A3E">
      <w:pPr>
        <w:jc w:val="both"/>
        <w:rPr>
          <w:rFonts w:ascii="Times New Roman" w:hAnsi="Times New Roman" w:cs="Times New Roman"/>
          <w:color w:val="000000" w:themeColor="text1"/>
          <w:sz w:val="20"/>
          <w:szCs w:val="20"/>
        </w:rPr>
      </w:pPr>
      <w:r w:rsidRPr="00164238">
        <w:rPr>
          <w:rFonts w:ascii="Times New Roman" w:eastAsia="Arial" w:hAnsi="Times New Roman" w:cs="Times New Roman"/>
          <w:i/>
          <w:color w:val="000000" w:themeColor="text1"/>
          <w:sz w:val="20"/>
          <w:szCs w:val="20"/>
        </w:rPr>
        <w:t>e-mail:</w:t>
      </w:r>
      <w:r w:rsidRPr="00164238">
        <w:rPr>
          <w:rFonts w:ascii="Times New Roman" w:eastAsia="Arial" w:hAnsi="Times New Roman" w:cs="Times New Roman"/>
          <w:color w:val="000000" w:themeColor="text1"/>
          <w:sz w:val="20"/>
          <w:szCs w:val="20"/>
          <w:u w:val="single"/>
        </w:rPr>
        <w:t>nurbanu.koroglu@hbv.edu.tr</w:t>
      </w:r>
      <w:r w:rsidRPr="00164238">
        <w:rPr>
          <w:rFonts w:ascii="Times New Roman" w:eastAsia="Arial" w:hAnsi="Times New Roman" w:cs="Times New Roman"/>
          <w:i/>
          <w:color w:val="000000" w:themeColor="text1"/>
          <w:sz w:val="20"/>
          <w:szCs w:val="20"/>
        </w:rPr>
        <w:t xml:space="preserve"> ORCID ID:</w:t>
      </w:r>
      <w:r w:rsidRPr="00164238">
        <w:rPr>
          <w:rFonts w:ascii="Times New Roman" w:hAnsi="Times New Roman" w:cs="Times New Roman"/>
          <w:color w:val="000000" w:themeColor="text1"/>
          <w:sz w:val="20"/>
          <w:szCs w:val="20"/>
        </w:rPr>
        <w:t xml:space="preserve"> </w:t>
      </w:r>
      <w:hyperlink r:id="rId120" w:history="1">
        <w:r w:rsidRPr="00164238">
          <w:rPr>
            <w:rStyle w:val="Kpr"/>
            <w:rFonts w:ascii="Times New Roman" w:hAnsi="Times New Roman" w:cs="Times New Roman"/>
            <w:color w:val="000000" w:themeColor="text1"/>
            <w:sz w:val="20"/>
            <w:szCs w:val="20"/>
            <w:u w:val="none"/>
          </w:rPr>
          <w:t>0000-0002-4281-1501</w:t>
        </w:r>
      </w:hyperlink>
    </w:p>
    <w:p w14:paraId="42DAFB26" w14:textId="4F3C8D26" w:rsidR="00955A3E" w:rsidRPr="00164238" w:rsidRDefault="00955A3E" w:rsidP="00955A3E">
      <w:pPr>
        <w:pStyle w:val="Balk2"/>
        <w:rPr>
          <w:rFonts w:ascii="Times New Roman" w:eastAsia="Arial" w:hAnsi="Times New Roman" w:cs="Times New Roman"/>
          <w:b w:val="0"/>
          <w:i w:val="0"/>
          <w:color w:val="000000" w:themeColor="text1"/>
          <w:sz w:val="20"/>
          <w:szCs w:val="20"/>
        </w:rPr>
      </w:pPr>
      <w:bookmarkStart w:id="74" w:name="_Toc72961687"/>
      <w:r w:rsidRPr="00164238">
        <w:rPr>
          <w:rStyle w:val="Balk2Char"/>
          <w:rFonts w:ascii="Times New Roman" w:hAnsi="Times New Roman" w:cs="Times New Roman"/>
          <w:color w:val="000000" w:themeColor="text1"/>
          <w:sz w:val="20"/>
          <w:szCs w:val="20"/>
        </w:rPr>
        <w:t>Arş.Gör. Mukaddes YILMAZ</w:t>
      </w:r>
      <w:r w:rsidRPr="00164238">
        <w:rPr>
          <w:rFonts w:ascii="Times New Roman" w:eastAsia="Arial" w:hAnsi="Times New Roman" w:cs="Times New Roman"/>
          <w:color w:val="000000" w:themeColor="text1"/>
          <w:sz w:val="20"/>
          <w:szCs w:val="20"/>
        </w:rPr>
        <w:t xml:space="preserve">, </w:t>
      </w:r>
      <w:r w:rsidRPr="00164238">
        <w:rPr>
          <w:rFonts w:ascii="Times New Roman" w:eastAsia="Arial" w:hAnsi="Times New Roman" w:cs="Times New Roman"/>
          <w:b w:val="0"/>
          <w:color w:val="000000" w:themeColor="text1"/>
          <w:sz w:val="20"/>
          <w:szCs w:val="20"/>
        </w:rPr>
        <w:t>Kütahya Dumlupınar Üniversitesi, Kütahya Uygulamalı Bilimler Fakültesi, Kütahya, Türkiye</w:t>
      </w:r>
      <w:bookmarkEnd w:id="74"/>
      <w:r w:rsidRPr="00164238">
        <w:rPr>
          <w:rFonts w:ascii="Times New Roman" w:eastAsia="Arial" w:hAnsi="Times New Roman" w:cs="Times New Roman"/>
          <w:b w:val="0"/>
          <w:color w:val="000000" w:themeColor="text1"/>
          <w:sz w:val="20"/>
          <w:szCs w:val="20"/>
        </w:rPr>
        <w:t xml:space="preserve"> </w:t>
      </w:r>
    </w:p>
    <w:p w14:paraId="65E1C4D5" w14:textId="77777777" w:rsidR="00955A3E" w:rsidRPr="00164238" w:rsidRDefault="00955A3E" w:rsidP="00955A3E">
      <w:pPr>
        <w:jc w:val="both"/>
        <w:rPr>
          <w:rFonts w:ascii="Times New Roman" w:hAnsi="Times New Roman" w:cs="Times New Roman"/>
          <w:color w:val="000000" w:themeColor="text1"/>
          <w:sz w:val="20"/>
          <w:szCs w:val="20"/>
        </w:rPr>
      </w:pPr>
      <w:r w:rsidRPr="00164238">
        <w:rPr>
          <w:rFonts w:ascii="Times New Roman" w:eastAsia="Arial" w:hAnsi="Times New Roman" w:cs="Times New Roman"/>
          <w:i/>
          <w:color w:val="000000" w:themeColor="text1"/>
          <w:sz w:val="20"/>
          <w:szCs w:val="20"/>
        </w:rPr>
        <w:t>e-mail:</w:t>
      </w:r>
      <w:r w:rsidRPr="00164238">
        <w:rPr>
          <w:rFonts w:ascii="Times New Roman" w:hAnsi="Times New Roman" w:cs="Times New Roman"/>
          <w:color w:val="000000" w:themeColor="text1"/>
          <w:sz w:val="20"/>
          <w:szCs w:val="20"/>
        </w:rPr>
        <w:t xml:space="preserve"> </w:t>
      </w:r>
      <w:hyperlink r:id="rId121" w:history="1">
        <w:r w:rsidRPr="00164238">
          <w:rPr>
            <w:rStyle w:val="Kpr"/>
            <w:rFonts w:ascii="Times New Roman" w:hAnsi="Times New Roman" w:cs="Times New Roman"/>
            <w:color w:val="000000" w:themeColor="text1"/>
            <w:sz w:val="20"/>
            <w:szCs w:val="20"/>
          </w:rPr>
          <w:t>mukaddes.yilmaz@dpu.edu.tr</w:t>
        </w:r>
      </w:hyperlink>
      <w:r w:rsidRPr="00164238">
        <w:rPr>
          <w:rFonts w:ascii="Times New Roman" w:hAnsi="Times New Roman" w:cs="Times New Roman"/>
          <w:color w:val="000000" w:themeColor="text1"/>
          <w:sz w:val="20"/>
          <w:szCs w:val="20"/>
        </w:rPr>
        <w:t xml:space="preserve"> ORCID ID: </w:t>
      </w:r>
      <w:hyperlink r:id="rId122" w:history="1">
        <w:r w:rsidRPr="00164238">
          <w:rPr>
            <w:rStyle w:val="Kpr"/>
            <w:rFonts w:ascii="Times New Roman" w:hAnsi="Times New Roman" w:cs="Times New Roman"/>
            <w:color w:val="000000" w:themeColor="text1"/>
            <w:sz w:val="20"/>
            <w:szCs w:val="20"/>
            <w:u w:val="none"/>
          </w:rPr>
          <w:t>0000-0003-0375-3799</w:t>
        </w:r>
      </w:hyperlink>
    </w:p>
    <w:p w14:paraId="6E32DA0D" w14:textId="77777777" w:rsidR="006E095D" w:rsidRPr="00164238" w:rsidRDefault="006E095D" w:rsidP="006E095D">
      <w:pPr>
        <w:tabs>
          <w:tab w:val="left" w:pos="426"/>
        </w:tabs>
        <w:spacing w:before="120" w:after="120"/>
        <w:ind w:firstLine="567"/>
        <w:rPr>
          <w:rFonts w:ascii="Times New Roman" w:hAnsi="Times New Roman" w:cs="Times New Roman"/>
          <w:b/>
          <w:bCs/>
          <w:color w:val="000000" w:themeColor="text1"/>
        </w:rPr>
      </w:pPr>
      <w:r w:rsidRPr="00164238">
        <w:rPr>
          <w:rFonts w:ascii="Times New Roman" w:hAnsi="Times New Roman" w:cs="Times New Roman"/>
          <w:b/>
          <w:bCs/>
          <w:color w:val="000000" w:themeColor="text1"/>
        </w:rPr>
        <w:t>GİRİŞ</w:t>
      </w:r>
    </w:p>
    <w:p w14:paraId="2FE41065" w14:textId="77777777" w:rsidR="006E095D" w:rsidRPr="00164238" w:rsidRDefault="006E095D" w:rsidP="006E095D">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 xml:space="preserve">2019 yılı Aralık ayının son günlerinde ortaya çıkan ve tüm dünyayı etkisi altına alan Yeni Tip Koronavirüs (COVID-19) salgınının etkileri gerçek zamanlı olarak başta sağlık olmak üzere ekonomi, eğitim ve sosyal alanlarda kendini göstermiştir. Salgınla mücadelede alınan tedbirler, uygulanan kısıtlamalar, belirsizliğin hakim olduğu durumlar ve uzaktan çalışma koşulları işletmeler üzerinde salgının yıkıcı etkilerinin başlıca nedenlerini oluşturmaktadır. İşletmelerin iletişim aracı olan finansal raporlar ve sunduğu bilgiler bu süreçte bir kez daha önem kazanmıştır. </w:t>
      </w:r>
    </w:p>
    <w:p w14:paraId="5B55CD47" w14:textId="77777777" w:rsidR="006E095D" w:rsidRPr="00164238" w:rsidRDefault="006E095D" w:rsidP="006E095D">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Finansal raporlama, esasında finansal tablo ilgililerine (mevcut ve potansiyel yatırımcılar ve borç/kredi veren taraflara) kaynak sağlamaya ilişkin karar alma süreçlerinde ihtiyaç duydukları finansal bilgileri sağlama amacıyla yapılmaktadır (Kavramsal Çerçeve, 1.2). Finansal tablolar, özet bilgileri ilgililerine sunmaktadır fakat ilgililer tablo anlama ve yorumlama sürecinde dipnotlara ihtiyaç duymaktadır (Kartal, 2019, s.290). Dipnotlar, finansal tablolarda sunulan bilgilere ek olarak açıklanan bilgileri içermektedir (TMS 1, 7).</w:t>
      </w:r>
    </w:p>
    <w:p w14:paraId="05B10DCA" w14:textId="77777777" w:rsidR="006E095D" w:rsidRPr="00164238" w:rsidRDefault="006E095D" w:rsidP="006E095D">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 xml:space="preserve">Tam açıklama kavramı gereğince finansal tablo ve dipnotlar, ilgililerinin doğru karar almalarını sağlayacak şekilde yeterli, açık ve anlaşılır olmalıdır (1 Nolu MSUGT, m.I,9). Dolayısıyla, COVID-19 salgınının ortaya çıkması ve işletmeler üzerinde çeşitli yönlerden etkili olmaya başlamasının ardından tam açıklama kavramına istinaden işletmelerin finansal tablo ve dipnotlarında salgının gerçekleşmiş ya da gerçekleşmesi olası etkilerini açıklaması beklenmektedir.  </w:t>
      </w:r>
    </w:p>
    <w:p w14:paraId="746AAE8F" w14:textId="77777777" w:rsidR="006E095D" w:rsidRPr="00164238" w:rsidRDefault="006E095D" w:rsidP="006E095D">
      <w:pPr>
        <w:spacing w:before="120" w:after="120" w:line="276" w:lineRule="auto"/>
        <w:ind w:firstLine="567"/>
        <w:jc w:val="both"/>
        <w:rPr>
          <w:rFonts w:ascii="Times New Roman" w:hAnsi="Times New Roman" w:cs="Times New Roman"/>
          <w:b/>
          <w:i/>
          <w:color w:val="000000" w:themeColor="text1"/>
          <w:u w:val="single"/>
          <w:lang w:val="fr-FR"/>
        </w:rPr>
      </w:pPr>
    </w:p>
    <w:p w14:paraId="3BB79C49" w14:textId="77777777" w:rsidR="006E095D" w:rsidRPr="00164238" w:rsidRDefault="006E095D" w:rsidP="006E095D">
      <w:pPr>
        <w:spacing w:before="120" w:after="120" w:line="276" w:lineRule="auto"/>
        <w:ind w:firstLine="567"/>
        <w:jc w:val="both"/>
        <w:rPr>
          <w:rFonts w:ascii="Times New Roman" w:hAnsi="Times New Roman" w:cs="Times New Roman"/>
          <w:b/>
          <w:i/>
          <w:color w:val="000000" w:themeColor="text1"/>
          <w:u w:val="single"/>
          <w:lang w:val="fr-FR"/>
        </w:rPr>
      </w:pPr>
    </w:p>
    <w:p w14:paraId="0DF36B92" w14:textId="77777777" w:rsidR="006E095D" w:rsidRPr="00164238" w:rsidRDefault="006E095D" w:rsidP="006E095D">
      <w:pPr>
        <w:spacing w:before="120" w:after="120" w:line="276" w:lineRule="auto"/>
        <w:ind w:firstLine="567"/>
        <w:jc w:val="both"/>
        <w:rPr>
          <w:rFonts w:ascii="Times New Roman" w:hAnsi="Times New Roman" w:cs="Times New Roman"/>
          <w:b/>
          <w:i/>
          <w:color w:val="000000" w:themeColor="text1"/>
          <w:u w:val="single"/>
          <w:lang w:val="fr-FR"/>
        </w:rPr>
      </w:pPr>
      <w:r w:rsidRPr="00164238">
        <w:rPr>
          <w:rFonts w:ascii="Times New Roman" w:hAnsi="Times New Roman" w:cs="Times New Roman"/>
          <w:b/>
          <w:i/>
          <w:color w:val="000000" w:themeColor="text1"/>
          <w:u w:val="single"/>
          <w:lang w:val="fr-FR"/>
        </w:rPr>
        <w:t>COVID-19’dan Etkilenmesi Beklenen Hususlar</w:t>
      </w:r>
    </w:p>
    <w:p w14:paraId="4E728BB7" w14:textId="77777777" w:rsidR="006E095D" w:rsidRPr="00164238" w:rsidRDefault="006E095D" w:rsidP="006E095D">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İşletmelerin finansal raporlama sürecinde salgın sebebiyle etkilenmesi beklenen hususlar (KPMG, 2020, s.1-3) ;</w:t>
      </w:r>
    </w:p>
    <w:p w14:paraId="1B66D6DB" w14:textId="77777777" w:rsidR="006E095D" w:rsidRPr="00164238" w:rsidRDefault="006E095D" w:rsidP="007C3550">
      <w:pPr>
        <w:numPr>
          <w:ilvl w:val="0"/>
          <w:numId w:val="15"/>
        </w:numPr>
        <w:spacing w:before="120" w:after="120" w:line="276" w:lineRule="auto"/>
        <w:jc w:val="both"/>
        <w:rPr>
          <w:rFonts w:ascii="Times New Roman" w:hAnsi="Times New Roman" w:cs="Times New Roman"/>
          <w:color w:val="000000" w:themeColor="text1"/>
          <w:sz w:val="20"/>
          <w:szCs w:val="20"/>
          <w:lang w:val="fr-FR"/>
        </w:rPr>
      </w:pPr>
      <w:r w:rsidRPr="00164238">
        <w:rPr>
          <w:rFonts w:ascii="Times New Roman" w:hAnsi="Times New Roman" w:cs="Times New Roman"/>
          <w:color w:val="000000" w:themeColor="text1"/>
          <w:sz w:val="20"/>
          <w:szCs w:val="20"/>
          <w:lang w:val="fr-FR"/>
        </w:rPr>
        <w:t>İşletmenin sürekliliği,</w:t>
      </w:r>
    </w:p>
    <w:p w14:paraId="534D4E33" w14:textId="77777777" w:rsidR="006E095D" w:rsidRPr="00164238" w:rsidRDefault="006E095D" w:rsidP="007C3550">
      <w:pPr>
        <w:numPr>
          <w:ilvl w:val="0"/>
          <w:numId w:val="15"/>
        </w:numPr>
        <w:spacing w:before="120" w:after="120" w:line="276" w:lineRule="auto"/>
        <w:jc w:val="both"/>
        <w:rPr>
          <w:rFonts w:ascii="Times New Roman" w:hAnsi="Times New Roman" w:cs="Times New Roman"/>
          <w:color w:val="000000" w:themeColor="text1"/>
          <w:sz w:val="20"/>
          <w:szCs w:val="20"/>
          <w:lang w:val="fr-FR"/>
        </w:rPr>
      </w:pPr>
      <w:r w:rsidRPr="00164238">
        <w:rPr>
          <w:rFonts w:ascii="Times New Roman" w:hAnsi="Times New Roman" w:cs="Times New Roman"/>
          <w:color w:val="000000" w:themeColor="text1"/>
          <w:sz w:val="20"/>
          <w:szCs w:val="20"/>
          <w:lang w:val="fr-FR"/>
        </w:rPr>
        <w:t>İşletmenin kârlılığı,</w:t>
      </w:r>
    </w:p>
    <w:p w14:paraId="57BDCEAC" w14:textId="77777777" w:rsidR="006E095D" w:rsidRPr="00164238" w:rsidRDefault="006E095D" w:rsidP="007C3550">
      <w:pPr>
        <w:numPr>
          <w:ilvl w:val="0"/>
          <w:numId w:val="15"/>
        </w:numPr>
        <w:spacing w:before="120" w:after="120" w:line="276" w:lineRule="auto"/>
        <w:jc w:val="both"/>
        <w:rPr>
          <w:rFonts w:ascii="Times New Roman" w:hAnsi="Times New Roman" w:cs="Times New Roman"/>
          <w:color w:val="000000" w:themeColor="text1"/>
          <w:sz w:val="20"/>
          <w:szCs w:val="20"/>
          <w:lang w:val="fr-FR"/>
        </w:rPr>
      </w:pPr>
      <w:r w:rsidRPr="00164238">
        <w:rPr>
          <w:rFonts w:ascii="Times New Roman" w:hAnsi="Times New Roman" w:cs="Times New Roman"/>
          <w:color w:val="000000" w:themeColor="text1"/>
          <w:sz w:val="20"/>
          <w:szCs w:val="20"/>
          <w:lang w:val="fr-FR"/>
        </w:rPr>
        <w:t>Muhasebe tahmin ve varsayımları,</w:t>
      </w:r>
    </w:p>
    <w:p w14:paraId="27AE75A7" w14:textId="77777777" w:rsidR="006E095D" w:rsidRPr="00164238" w:rsidRDefault="006E095D" w:rsidP="007C3550">
      <w:pPr>
        <w:numPr>
          <w:ilvl w:val="0"/>
          <w:numId w:val="15"/>
        </w:numPr>
        <w:spacing w:before="120" w:after="120" w:line="276" w:lineRule="auto"/>
        <w:jc w:val="both"/>
        <w:rPr>
          <w:rFonts w:ascii="Times New Roman" w:hAnsi="Times New Roman" w:cs="Times New Roman"/>
          <w:color w:val="000000" w:themeColor="text1"/>
          <w:sz w:val="20"/>
          <w:szCs w:val="20"/>
          <w:lang w:val="fr-FR"/>
        </w:rPr>
      </w:pPr>
      <w:r w:rsidRPr="00164238">
        <w:rPr>
          <w:rFonts w:ascii="Times New Roman" w:hAnsi="Times New Roman" w:cs="Times New Roman"/>
          <w:color w:val="000000" w:themeColor="text1"/>
          <w:sz w:val="20"/>
          <w:szCs w:val="20"/>
          <w:lang w:val="fr-FR"/>
        </w:rPr>
        <w:lastRenderedPageBreak/>
        <w:t>Gerçeğe uygun değerin tespiti,</w:t>
      </w:r>
    </w:p>
    <w:p w14:paraId="6AE440FC" w14:textId="77777777" w:rsidR="006E095D" w:rsidRPr="00164238" w:rsidRDefault="006E095D" w:rsidP="007C3550">
      <w:pPr>
        <w:numPr>
          <w:ilvl w:val="0"/>
          <w:numId w:val="15"/>
        </w:numPr>
        <w:spacing w:before="120" w:after="120" w:line="276" w:lineRule="auto"/>
        <w:jc w:val="both"/>
        <w:rPr>
          <w:rFonts w:ascii="Times New Roman" w:hAnsi="Times New Roman" w:cs="Times New Roman"/>
          <w:color w:val="000000" w:themeColor="text1"/>
          <w:sz w:val="20"/>
          <w:szCs w:val="20"/>
          <w:lang w:val="fr-FR"/>
        </w:rPr>
      </w:pPr>
      <w:r w:rsidRPr="00164238">
        <w:rPr>
          <w:rFonts w:ascii="Times New Roman" w:hAnsi="Times New Roman" w:cs="Times New Roman"/>
          <w:color w:val="000000" w:themeColor="text1"/>
          <w:sz w:val="20"/>
          <w:szCs w:val="20"/>
          <w:lang w:val="fr-FR"/>
        </w:rPr>
        <w:t>TFRS 16 : Kiralamalar Standardı kapsamında COVID-19 sebebiyle yapılmış olan değişiklikler ve</w:t>
      </w:r>
    </w:p>
    <w:p w14:paraId="519E0206" w14:textId="77777777" w:rsidR="006E095D" w:rsidRPr="00164238" w:rsidRDefault="006E095D" w:rsidP="007C3550">
      <w:pPr>
        <w:numPr>
          <w:ilvl w:val="0"/>
          <w:numId w:val="15"/>
        </w:numPr>
        <w:spacing w:before="120" w:after="120" w:line="276" w:lineRule="auto"/>
        <w:jc w:val="both"/>
        <w:rPr>
          <w:rFonts w:ascii="Times New Roman" w:hAnsi="Times New Roman" w:cs="Times New Roman"/>
          <w:color w:val="000000" w:themeColor="text1"/>
          <w:sz w:val="20"/>
          <w:szCs w:val="20"/>
          <w:lang w:val="fr-FR"/>
        </w:rPr>
      </w:pPr>
      <w:r w:rsidRPr="00164238">
        <w:rPr>
          <w:rFonts w:ascii="Times New Roman" w:hAnsi="Times New Roman" w:cs="Times New Roman"/>
          <w:color w:val="000000" w:themeColor="text1"/>
          <w:sz w:val="20"/>
          <w:szCs w:val="20"/>
          <w:lang w:val="fr-FR"/>
        </w:rPr>
        <w:t>Devlet teşvikleridir.</w:t>
      </w:r>
    </w:p>
    <w:p w14:paraId="35C09166" w14:textId="77777777" w:rsidR="006E095D" w:rsidRPr="00164238" w:rsidRDefault="006E095D" w:rsidP="006E095D">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i/>
          <w:color w:val="000000" w:themeColor="text1"/>
          <w:u w:val="single"/>
          <w:lang w:val="fr-FR"/>
        </w:rPr>
        <w:t>Salgının İşletmenin Sürekliliğine Etkisi :</w:t>
      </w:r>
      <w:r w:rsidRPr="00164238">
        <w:rPr>
          <w:rFonts w:ascii="Times New Roman" w:hAnsi="Times New Roman" w:cs="Times New Roman"/>
          <w:color w:val="000000" w:themeColor="text1"/>
          <w:lang w:val="fr-FR"/>
        </w:rPr>
        <w:t xml:space="preserve"> İşletme yönetimi, finansal raporlarını hazırlama sürecinde işletmenin sürekliliğini devam ettirebilme gücünü değerlendirir ve işletmenin tasfiyesi veya faaliyetlerine son verme gibi durumlar bulunmadığı sürece finansal tablolarını işletmenin sürekliliği esasına göre düzenler. Faaliyetlerinin devamlılığını ciddi şekilde etkileyebileceğini düşündükleri belirsizlikleri de açıklamakla yükümlüdürler (TMS 1, m.25). COVID-19 gibi olağanüstü durumların yaşandığı süreçlerde süreklilik kavramı, finansal raporların ilgilileri açısından normal dönemlere göre daha da önemli hale gelmektedir ve dolayısıyla salgın dönemine ilişkin finansal raporlarda süreklilik hususu detaylı şekilde açıklanmalıdır (Demir, 2020, s.10).</w:t>
      </w:r>
    </w:p>
    <w:p w14:paraId="3796BB24" w14:textId="77777777" w:rsidR="006E095D" w:rsidRPr="00164238" w:rsidRDefault="006E095D" w:rsidP="006E095D">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i/>
          <w:color w:val="000000" w:themeColor="text1"/>
          <w:u w:val="single"/>
          <w:lang w:val="fr-FR"/>
        </w:rPr>
        <w:t>Salgının İşletmenin Kârlılığına Etkisi :</w:t>
      </w:r>
      <w:r w:rsidRPr="00164238">
        <w:rPr>
          <w:rFonts w:ascii="Times New Roman" w:hAnsi="Times New Roman" w:cs="Times New Roman"/>
          <w:color w:val="000000" w:themeColor="text1"/>
          <w:lang w:val="fr-FR"/>
        </w:rPr>
        <w:t xml:space="preserve"> Salgın sürecinde getirilen kısıtlamaların işletmelerin hasılatlarında ve maliyetlerinde normal dönemlere kıyasla değişikliğe sebep olabileceğinden kâr/zarar kalemlerinde değişim gözlemlenebilir. Salgın sebebiyle kâr/zararda değişim yaşanması durumunda, bu durumun finansal raporlarda belirtilmesi gereklidir.</w:t>
      </w:r>
    </w:p>
    <w:p w14:paraId="2C9619B0" w14:textId="77777777" w:rsidR="006E095D" w:rsidRPr="00164238" w:rsidRDefault="006E095D" w:rsidP="006E095D">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i/>
          <w:color w:val="000000" w:themeColor="text1"/>
          <w:u w:val="single"/>
          <w:lang w:val="fr-FR"/>
        </w:rPr>
        <w:t xml:space="preserve">Salgının Muhasebe Tahmin ve Varsayımlarına Etkisi : </w:t>
      </w:r>
      <w:r w:rsidRPr="00164238">
        <w:rPr>
          <w:rFonts w:ascii="Times New Roman" w:hAnsi="Times New Roman" w:cs="Times New Roman"/>
          <w:color w:val="000000" w:themeColor="text1"/>
          <w:lang w:val="fr-FR"/>
        </w:rPr>
        <w:t xml:space="preserve">İşletmeler, sahip oldukları finansal varlıklarda değer düşüklüğü gerçekleşmesi halinde zararlarını finansal raporlarında belirtmekle yükümlüdür (TMS 36, m.1). Dolayısıyla, salgın sebebiyle duran varlıkların, şerefiyenin ve stokların net gerçekleşebilir değerinde düşüklük meydana gelmiş olması durumunda işletmelerin finansal raporlarında açıklama yapmaları gereklidir. Ayrıca işletmeler, değer düşüklüğü hükümlerinin uygulandığı kredi taahhütleri ve finansal teminat sözleşmelerine ilişkin beklenen kredi zararları için zarar karşılığı ayırmalı ve karşılığı hesaplarken mümkün olabilecek sonuçları dikkate alarak belirledikleri olasılıklara göre ağırlıklandırılmış ve tarafsız bir tutarla ölçmelidir (TFRS 9, m.5.5.1, 5.5.17). Önceden belirlenen olasılıkların salgın sebebiyle değişmesi, beklenen kredi zararlarının hesaplanması sürecini etkileyecektir ve bu durumun yaşanması sonucunda yapılan değişiklikler, işletmeler tarafından finansal raporlarda açıklanmalıdır. Bu hususlara ek olarak, diğer muhasebe tahmin ve varsayımlarına ilişkin salgın sebebiyle beklenen etkilerin de raporlanması gerekmektedir. </w:t>
      </w:r>
    </w:p>
    <w:p w14:paraId="156444F7" w14:textId="77777777" w:rsidR="006E095D" w:rsidRPr="00164238" w:rsidRDefault="006E095D" w:rsidP="006E095D">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i/>
          <w:color w:val="000000" w:themeColor="text1"/>
          <w:u w:val="single"/>
          <w:lang w:val="fr-FR"/>
        </w:rPr>
        <w:t>Salgının Gerçeğe Uygun Değer Tespitine Etkisi :</w:t>
      </w:r>
      <w:r w:rsidRPr="00164238">
        <w:rPr>
          <w:rFonts w:ascii="Times New Roman" w:hAnsi="Times New Roman" w:cs="Times New Roman"/>
          <w:color w:val="000000" w:themeColor="text1"/>
          <w:lang w:val="fr-FR"/>
        </w:rPr>
        <w:t xml:space="preserve"> Gerçeğe uygun değer ölçümü, piyasa bazlı bir ölçüm olmakla birlikte mevcut piyasa koşullarında, piyasa katılımcıları arasında varlık satışı ya da borç devrine yönelik olarak ölçüm tarihinde gerçekleşebilecek bir işlemdeki fiyatın tahmin edilmesidir (TFRS 13, m.2). Salgın sebebiyle, piyasalarda gerçekleşmiş/gerçekleşebilecek işlem fiyatı değişiklikleri gerçeğe uygun değer tespitine etki edecektir. Etki görülmesi durumunda işletmeler, finansal raporlarında gerekli açıklamaları yapılmalıdır.</w:t>
      </w:r>
    </w:p>
    <w:p w14:paraId="42B66AE8" w14:textId="77777777" w:rsidR="006E095D" w:rsidRPr="00164238" w:rsidRDefault="006E095D" w:rsidP="006E095D">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i/>
          <w:color w:val="000000" w:themeColor="text1"/>
          <w:u w:val="single"/>
          <w:lang w:val="fr-FR"/>
        </w:rPr>
        <w:t xml:space="preserve">TFRS 16 Kiralamalar Standardı Kapsamında COVID-19 Sebebiyle Yapılmış Olan Değişikliklerin İşletme Üzerindeki Etkisi : </w:t>
      </w:r>
      <w:r w:rsidRPr="00164238">
        <w:rPr>
          <w:rFonts w:ascii="Times New Roman" w:hAnsi="Times New Roman" w:cs="Times New Roman"/>
          <w:color w:val="000000" w:themeColor="text1"/>
          <w:lang w:val="fr-FR"/>
        </w:rPr>
        <w:t xml:space="preserve">TFRS 16 Kiralamalar Standardı, 1 Haziran 2020 tarihi ve sonrasını kapsayan finansal raporlama dönemlerinde geçerli olmak üzere, COVID-19 salgını sebebiyle kiracılara kira ödemelerine ara verilmesi veya ertelenmesi gibi çeşitli imtiyazlar tanımıştır. Ayrıca, kiracılara salgın ile ilgili kira imtiyazının bir kiralama değişikliği olup olmadığını değerlendirmeleri açısından isteğe bağlı kolaylaştırıcı bir uygulama sunmuştur ve bu </w:t>
      </w:r>
      <w:r w:rsidRPr="00164238">
        <w:rPr>
          <w:rFonts w:ascii="Times New Roman" w:hAnsi="Times New Roman" w:cs="Times New Roman"/>
          <w:color w:val="000000" w:themeColor="text1"/>
          <w:lang w:val="fr-FR"/>
        </w:rPr>
        <w:lastRenderedPageBreak/>
        <w:t>uygulamayla kiracılar için kiralamada yapılan herhangi bir farklılığın meydana gelmemesi şartında geçerli olan hükümler gereğince muhasebeleştirme seçeneğini kullanabilime hakkı vermiştir (PWC, 2020, p.4). İmtiyazların işletme açısından etkili olduğu durumlarda işletmelerin finansal raporlarında açıklama yapılması gerekmektedir.</w:t>
      </w:r>
    </w:p>
    <w:p w14:paraId="6B302271" w14:textId="77777777" w:rsidR="006E095D" w:rsidRPr="00164238" w:rsidRDefault="006E095D" w:rsidP="006E095D">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i/>
          <w:color w:val="000000" w:themeColor="text1"/>
          <w:u w:val="single"/>
          <w:lang w:val="fr-FR"/>
        </w:rPr>
        <w:t>Salgının Devlet Teşvikleri Açısından İşletme Üzerindeki Etkisi :</w:t>
      </w:r>
      <w:r w:rsidRPr="00164238">
        <w:rPr>
          <w:rFonts w:ascii="Times New Roman" w:hAnsi="Times New Roman" w:cs="Times New Roman"/>
          <w:color w:val="000000" w:themeColor="text1"/>
          <w:lang w:val="fr-FR"/>
        </w:rPr>
        <w:t xml:space="preserve"> İşletmeler, devletten aldıkları teşvikleri, teşvikler vasıtasıyla karşılanması amaçlanan maliyetleri giderleştirdiği süre boyunca kâr/zarara yansıtır (TMS 20, m.12). Bu doğrultuda, devletin salgın sebebiyle sunduğu teşviklerden yararlanması durumunda işletmeler, teşviğin kullanılma amacını belirtmeli, teşviğe ilişkin tutarı muhasebeleştirmeli ve faaliyet sonuçlarına verdiği katkıyı açıklamalıdır.</w:t>
      </w:r>
    </w:p>
    <w:p w14:paraId="30A632ED" w14:textId="77777777" w:rsidR="006E095D" w:rsidRPr="00164238" w:rsidRDefault="006E095D" w:rsidP="006E095D">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İşletmeler, finansal raporlama sürecine ek olarak bağımsız denetim süreçleri yönünden de salgından etkilenebilir ki bu etki özellikle kilit denetim konuları kapsamında olabilir. Salgın benzeri etki alanı geniş olayların meydana gelmesi durumunda denetçinin belirlemiş olduğu çalışma sisteminde farklılıklar oluşabilir. Denetim sürecine başlarken belirlenen önemlilik ve risk düzeyi ile salgının sürecinde tanımlanacak önemlilik düzeyi ve risk seviyesi benzerlik göstermeyebilir. Değişen bu parametreler denetçinin görüşünde de farklılıklara yol açabilir (Adana ve Özbirecikli, 2020, s. 2084).  Dolayısıyla b</w:t>
      </w:r>
      <w:r w:rsidRPr="00164238">
        <w:rPr>
          <w:rFonts w:ascii="Times New Roman" w:hAnsi="Times New Roman" w:cs="Times New Roman"/>
          <w:color w:val="000000" w:themeColor="text1"/>
        </w:rPr>
        <w:t xml:space="preserve">ağımsız denetim firmaları, işletmelerin finansal raporlarını denetleme süresince kilit denetim konusu olarak gördüğü salgının etkilediği faktörleri ele almalı ve bu doğrultuda denetim süreçlerini sürdürerek görüşlerini bildirmelidirler. </w:t>
      </w:r>
    </w:p>
    <w:p w14:paraId="72FC7AE5" w14:textId="77777777" w:rsidR="006E095D" w:rsidRPr="00164238" w:rsidRDefault="006E095D" w:rsidP="006E095D">
      <w:pPr>
        <w:spacing w:before="120" w:after="120" w:line="276" w:lineRule="auto"/>
        <w:ind w:firstLine="567"/>
        <w:jc w:val="both"/>
        <w:rPr>
          <w:rFonts w:ascii="Times New Roman" w:hAnsi="Times New Roman" w:cs="Times New Roman"/>
          <w:b/>
          <w:i/>
          <w:color w:val="000000" w:themeColor="text1"/>
          <w:u w:val="single"/>
          <w:lang w:val="fr-FR"/>
        </w:rPr>
      </w:pPr>
      <w:r w:rsidRPr="00164238">
        <w:rPr>
          <w:rFonts w:ascii="Times New Roman" w:hAnsi="Times New Roman" w:cs="Times New Roman"/>
          <w:b/>
          <w:i/>
          <w:color w:val="000000" w:themeColor="text1"/>
          <w:u w:val="single"/>
          <w:lang w:val="fr-FR"/>
        </w:rPr>
        <w:t>COVID-19’un Finansal Raporlama Üzerine Etkisini İnceleyen Çalışmalar</w:t>
      </w:r>
    </w:p>
    <w:p w14:paraId="5B03AA5C" w14:textId="77777777" w:rsidR="006E095D" w:rsidRPr="00164238" w:rsidRDefault="006E095D" w:rsidP="006E095D">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 xml:space="preserve">Yerli ve yabancı literatürde COVID-19’un finansal raporlama üzerine olan etkisini ölçmek amacıyla yapılmış çalışmalar mevcuttur. Yerli çalışmalardan Özen (2020), BIST 30’da faaliyet gösteren işletmelerin 2019-2020 yıllarının ilk 6 aylık dönemlerine ait dönem net kârı/zararındaki değişim oranlarını incelemiş ve COVID-19 salgınının aynı sektör içinde faaliyet gösteren işletmeleri farklı derecelerde etkilediği sonucuna ulaşmıştır. Salgının etkilerine en fazla maruz kalan işletmelerin havayolu ulaşımı, petrol ve demir-çelik alanında, en az maruz kalan işletmelerin ise bankacılık, iletişim, perakende ticaret ve teknoloji alanında faaliyet gösteren işletmeler olduğunu belirtmiştir. Bu işletmeler dışında kalan işletmelerin salgının gerek olumlu gerekse de olumsuz yönde etkisine maruz kaldığını belirtirken BIST 30’da faaliyet gösteren işletmelerin beklentilerin aksine salgından olumsuz yönde çok fazla etkilenmediğini ifade etmiştir. Özen (2020)’nin aksine Cavlak (2020) BIST 100 endeksindeki işletmeleri baz alarak COVID-19 salgınının etkisinin görüldüğü ilk ara dönem finansal raporlarını içerik analizi yöntemini kullanarak incelediğinde sektörel bazda salgın dönemiyle alakalı olarak en kapsamlı değerlendirmenin bankalar tarafından yapıldığı sonucuna ulaşmıştır. Cavlak (2020) ayrıca işletmelerin 80’inin salgınla ile ilgili olarak dipnotlarında açıklamalara yer verdiğini, 6 işletmenin sürekliliğini COVID-19 ile bağlantılı olarak değerlendirdiğini, 11 işletmenin salgının muhasebe politikaları üzerindeki etkisini açıkladığını ve COVID-19 kapsamında devlet tarafından alınan önlemler, verilen teşvik ve yardımların en çok bankaların dipnotlarında açıklanmış olduğunu belirtmiştir. Demir (2020) ise çalışmasında COVID-19’un sermaye yapısı zayıf şirketler ve likidite riski yüksek sektörlerde etkisini daha fazla hissettirdiğini ifade etmiştir. Salgının hem varlık hem de yükümlülükler açısından işletme sürekliğine etkisinin dikkate alınması gerektiğini ve daha fazla bu konu hakkında açıklamalara yer verilmemesi gerektiğini vurgulamıştır. Demir (2020)’e göre salgının kapsamı dâhilinde önemlilik kavramı yeniden gözden geçirilmeli, neden </w:t>
      </w:r>
      <w:r w:rsidRPr="00164238">
        <w:rPr>
          <w:rFonts w:ascii="Times New Roman" w:hAnsi="Times New Roman" w:cs="Times New Roman"/>
          <w:color w:val="000000" w:themeColor="text1"/>
          <w:lang w:val="fr-FR"/>
        </w:rPr>
        <w:lastRenderedPageBreak/>
        <w:t>olduğu belirsizlikler ve olumsuzluklar sebebiyle stoklar için net gerçekleşebilir değerin tespiti, dağıtılmamış sabit giderlerin muhasebeleştirilmesi konusu değerlendirilmeli ve kapsamlı bir şekilde açıklanmalıdır. Ertelenmiş vergi varlığı ve vergi yükümlülüğünün muhasebeleştirilmesinde de bu belirsizlikler dikkate alınmalı, mevcut tahminler yeniden değerlendirilmeli, işletmelerin finansal varlıkları, duran varlıkları ve şerefiyelerine ilişkin değer düşüklüğü ile ilgili değerlendirmeler yapılıp değer düşüklüğüne uğramış ise gereken işlemler yapılmalıdır. Ayrıca, COVID-19 sebebiyle oluşacak zararlar için karşılık ayrılmalı, salgından dolayı meydana gelecek zararların sigortadan tazmin edilebileceği kesin olması halinde tazmin edilecek tutar muhasebeleştirilmeli ve çalışanlara sağlanan faydaların muhasebe açısından etkileri revize edilmelidir.</w:t>
      </w:r>
    </w:p>
    <w:p w14:paraId="36AB7F56" w14:textId="77777777" w:rsidR="006E095D" w:rsidRPr="00164238" w:rsidRDefault="006E095D" w:rsidP="006E095D">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Yabancı literatürde yer alan ve COVID-19’un finansal raporlama üzerine olan etkisini ölçmek amacıyla yapılmış çalışmalardan olan Tibiletti vd. (2020), borsada işlem gören 152 İtalyan şirkete ait 2019 ve 2020 yıllarının 2. çeyrek finansal raporlarını karşılaştırmıştır. Buna göre işletmenin sürekliliği açısından şirketlerin belirli sorunlar veya zayıflıklar göstermedikleri ve mali tablolarında bildirilenlerle tutarlı oldukları sonucuna varmıştır. Ayrıca, analiz edilen örneğe ait şirketler arasında, gıda, ilaç ve sağlık sektörleri hariç olmak üzere, açıklamaların % 50'sinde bilgi tutarlılığı olmadığını gözlemlemiştir. Bir diğer çalışma El-Mousawi ve Kanso (2020) tarafından yapılmıştır ve COVID-19 salgınının Lübnan'daki kuruluşların finansal raporlamaları üzerindeki etkisini 221 yeminli mali müşavire anket uygulayarak incelemişlerdir. COVID-19 salgınının işletmelerin finansal raporlamasında önemli bir etkiye sahip olduğu bulgusuna ulaşırken salgının devam ediyor olması nedeniyle etkisinin makul bir şekilde ölçülemediğini belirtmişlerdir.</w:t>
      </w:r>
    </w:p>
    <w:p w14:paraId="6C40E001" w14:textId="77777777" w:rsidR="006E095D" w:rsidRPr="00164238" w:rsidRDefault="006E095D" w:rsidP="006E095D">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Bu çalışmanın amacı COVID-19’un finansal raporlamaya olan etkisini, BIST 100 endeksinde yer alan işletmelerin 2020 faaliyet dönemi yıllık raporları üzerinden içerik analizi yaparak tespit etmek ve literatüre katkı sağlamaktır. Ayrıca, denetim firmalarının kilit denetim konusu olarak gördüğü ve salgınla ilişkilendirdiği faktörleri belirleyerek işletmelerin bu hususlarda gerekli açıklamaları yapıp yapmadığını incelemek bu çalışmanın bir diğer amacıdır.</w:t>
      </w:r>
    </w:p>
    <w:p w14:paraId="0FDE776F" w14:textId="77777777" w:rsidR="006E095D" w:rsidRPr="00164238" w:rsidRDefault="006E095D" w:rsidP="006E095D">
      <w:pPr>
        <w:spacing w:before="120" w:after="120" w:line="276" w:lineRule="auto"/>
        <w:ind w:firstLine="567"/>
        <w:jc w:val="both"/>
        <w:rPr>
          <w:rFonts w:ascii="Times New Roman" w:hAnsi="Times New Roman" w:cs="Times New Roman"/>
          <w:b/>
          <w:color w:val="000000" w:themeColor="text1"/>
        </w:rPr>
      </w:pPr>
      <w:r w:rsidRPr="00164238">
        <w:rPr>
          <w:rFonts w:ascii="Times New Roman" w:hAnsi="Times New Roman" w:cs="Times New Roman"/>
          <w:b/>
          <w:color w:val="000000" w:themeColor="text1"/>
        </w:rPr>
        <w:t>YÖNTEM</w:t>
      </w:r>
    </w:p>
    <w:p w14:paraId="6498948B" w14:textId="77777777" w:rsidR="006E095D" w:rsidRPr="00164238" w:rsidRDefault="006E095D" w:rsidP="006E095D">
      <w:pPr>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COVID-19 salgınının finansal raporlar üzerindeki etkisini tespit etmek amacıyla yapılan bu çalışmada, örneklemde yer alan yer alan işletmelerin 2020 faaliyet dönemine ait olan ve bağımsız denetimden geçmiş yıllık finansal tabloları ile dipnotları incelenerek içerik analizi yapılmıştır. Dipnot incelemelerinde dikkat edilmesi gereken hususlar </w:t>
      </w:r>
      <w:r w:rsidRPr="00164238">
        <w:rPr>
          <w:rFonts w:ascii="Times New Roman" w:hAnsi="Times New Roman" w:cs="Times New Roman"/>
          <w:i/>
          <w:color w:val="000000" w:themeColor="text1"/>
        </w:rPr>
        <w:t>Tablo 1</w:t>
      </w:r>
      <w:r w:rsidRPr="00164238">
        <w:rPr>
          <w:rFonts w:ascii="Times New Roman" w:hAnsi="Times New Roman" w:cs="Times New Roman"/>
          <w:color w:val="000000" w:themeColor="text1"/>
        </w:rPr>
        <w:t>’de yer almakla birlikte denetleyici ve düzenleyici kurum ve kuruluşlar ile danışmanlık şirketleri tarafından yayınlanan birçok rapor ve akademik çalışmalardan faydalanılarak belirlenmiştir. İşletmelerin salgın nedeniyle karşı karşıya kaldıkları durumların finansal raporlarda açıklanıp açıklanmadığı ve salgının raporlama üzerinde etkili olup olmadığı araştırılmıştır. Buna ek olarak, bağımsız denetim firmaları, işletmelerin finansal raporlarını denetleme süresince kilit denetim konusu olarak gördüğü salgının etkilediği faktörleri ele almış, bu doğrultuda denetim süreçlerini sürdürmüş ve görüşlerini bildirmişlerdir. Dolayısıyla, denetim firmaları tarafından işletmelerin ilgili kilit denetim konuları kapsamında açıklayıcı raporlama yapmış olması beklenmektedir. Bağımsız denetim firmalarının salgının hangi hususlar üzerinde etkili olacağını düşündüğünü belirlemek ve bu hususların denetçinin işletmenin finansal raporu için vermiş olduğu görüşe etkisini ortaya koymak amacıyla işletmelerin bağımsız denetçi raporları da incelenmiştir.</w:t>
      </w:r>
    </w:p>
    <w:p w14:paraId="26AF1183" w14:textId="77777777" w:rsidR="006E095D" w:rsidRPr="00164238" w:rsidRDefault="006E095D" w:rsidP="006E095D">
      <w:pPr>
        <w:jc w:val="both"/>
        <w:rPr>
          <w:rFonts w:ascii="Times New Roman" w:hAnsi="Times New Roman" w:cs="Times New Roman"/>
          <w:color w:val="000000" w:themeColor="text1"/>
        </w:rPr>
      </w:pPr>
      <w:r w:rsidRPr="00164238">
        <w:rPr>
          <w:rFonts w:ascii="Times New Roman" w:hAnsi="Times New Roman" w:cs="Times New Roman"/>
          <w:i/>
          <w:color w:val="000000" w:themeColor="text1"/>
        </w:rPr>
        <w:lastRenderedPageBreak/>
        <w:t>Tablo 1</w:t>
      </w:r>
      <w:r w:rsidRPr="00164238">
        <w:rPr>
          <w:rFonts w:ascii="Times New Roman" w:hAnsi="Times New Roman" w:cs="Times New Roman"/>
          <w:color w:val="000000" w:themeColor="text1"/>
        </w:rPr>
        <w:t>. Soru Seti</w:t>
      </w:r>
    </w:p>
    <w:tbl>
      <w:tblPr>
        <w:tblW w:w="0" w:type="auto"/>
        <w:tblBorders>
          <w:top w:val="single" w:sz="4" w:space="0" w:color="auto"/>
          <w:bottom w:val="single" w:sz="4" w:space="0" w:color="auto"/>
          <w:insideH w:val="dotted" w:sz="4" w:space="0" w:color="auto"/>
          <w:insideV w:val="dotted" w:sz="4" w:space="0" w:color="auto"/>
        </w:tblBorders>
        <w:tblLook w:val="04A0" w:firstRow="1" w:lastRow="0" w:firstColumn="1" w:lastColumn="0" w:noHBand="0" w:noVBand="1"/>
      </w:tblPr>
      <w:tblGrid>
        <w:gridCol w:w="8505"/>
      </w:tblGrid>
      <w:tr w:rsidR="00164238" w:rsidRPr="00E0308F" w14:paraId="5894AF3E" w14:textId="77777777" w:rsidTr="00682CBF">
        <w:trPr>
          <w:trHeight w:val="878"/>
        </w:trPr>
        <w:tc>
          <w:tcPr>
            <w:tcW w:w="9042" w:type="dxa"/>
          </w:tcPr>
          <w:p w14:paraId="253FA01D" w14:textId="77777777" w:rsidR="006E095D" w:rsidRPr="00E0308F" w:rsidRDefault="006E095D" w:rsidP="00682CBF">
            <w:pPr>
              <w:spacing w:before="40" w:after="40"/>
              <w:jc w:val="both"/>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t>COVID-19'un işletme üzerindeki etkisi açıklanmış mı?</w:t>
            </w:r>
          </w:p>
          <w:p w14:paraId="14EE43FE" w14:textId="77777777" w:rsidR="006E095D" w:rsidRPr="00E0308F" w:rsidRDefault="006E095D" w:rsidP="00682CBF">
            <w:pPr>
              <w:spacing w:before="40" w:after="40"/>
              <w:jc w:val="both"/>
              <w:rPr>
                <w:rFonts w:ascii="Times New Roman" w:hAnsi="Times New Roman" w:cs="Times New Roman"/>
                <w:i/>
                <w:color w:val="000000" w:themeColor="text1"/>
                <w:sz w:val="20"/>
                <w:szCs w:val="20"/>
              </w:rPr>
            </w:pPr>
            <w:r w:rsidRPr="00E0308F">
              <w:rPr>
                <w:rFonts w:ascii="Times New Roman" w:hAnsi="Times New Roman" w:cs="Times New Roman"/>
                <w:i/>
                <w:color w:val="000000" w:themeColor="text1"/>
                <w:sz w:val="20"/>
                <w:szCs w:val="20"/>
              </w:rPr>
              <w:t>Beklenen etkilerin önemli olduğu düşünülüyorsa;</w:t>
            </w:r>
          </w:p>
          <w:p w14:paraId="13B31761" w14:textId="77777777" w:rsidR="006E095D" w:rsidRPr="00E0308F" w:rsidRDefault="006E095D" w:rsidP="007C3550">
            <w:pPr>
              <w:numPr>
                <w:ilvl w:val="0"/>
                <w:numId w:val="10"/>
              </w:numPr>
              <w:spacing w:before="40" w:after="40" w:line="240" w:lineRule="auto"/>
              <w:jc w:val="both"/>
              <w:rPr>
                <w:rFonts w:ascii="Times New Roman" w:hAnsi="Times New Roman" w:cs="Times New Roman"/>
                <w:i/>
                <w:color w:val="000000" w:themeColor="text1"/>
                <w:sz w:val="20"/>
                <w:szCs w:val="20"/>
              </w:rPr>
            </w:pPr>
            <w:r w:rsidRPr="00E0308F">
              <w:rPr>
                <w:rFonts w:ascii="Times New Roman" w:hAnsi="Times New Roman" w:cs="Times New Roman"/>
                <w:color w:val="000000" w:themeColor="text1"/>
                <w:sz w:val="20"/>
                <w:szCs w:val="20"/>
              </w:rPr>
              <w:t>Beklenen etkiler varlık ve yükümlülüklere ilişkin defter değerleri ile ilişkilendirilmiş mi?</w:t>
            </w:r>
          </w:p>
        </w:tc>
      </w:tr>
      <w:tr w:rsidR="00164238" w:rsidRPr="00E0308F" w14:paraId="1D68A83A" w14:textId="77777777" w:rsidTr="00682CBF">
        <w:tc>
          <w:tcPr>
            <w:tcW w:w="9042" w:type="dxa"/>
          </w:tcPr>
          <w:p w14:paraId="5B13B08B" w14:textId="77777777" w:rsidR="006E095D" w:rsidRPr="00E0308F" w:rsidRDefault="006E095D" w:rsidP="00682CBF">
            <w:pPr>
              <w:spacing w:before="40" w:after="40"/>
              <w:jc w:val="both"/>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t>İşletme kâr/zararını COVID-19 ile ilişkilendirmiş mi?</w:t>
            </w:r>
          </w:p>
        </w:tc>
      </w:tr>
      <w:tr w:rsidR="00164238" w:rsidRPr="00E0308F" w14:paraId="6229BB3B" w14:textId="77777777" w:rsidTr="00682CBF">
        <w:tc>
          <w:tcPr>
            <w:tcW w:w="9042" w:type="dxa"/>
          </w:tcPr>
          <w:p w14:paraId="530A89D8" w14:textId="77777777" w:rsidR="006E095D" w:rsidRPr="00E0308F" w:rsidRDefault="006E095D" w:rsidP="00682CBF">
            <w:pPr>
              <w:spacing w:before="40" w:after="40"/>
              <w:jc w:val="both"/>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t>İşletmenin sürekliliğine ilişkin açıklama var mı?</w:t>
            </w:r>
          </w:p>
          <w:p w14:paraId="5656F5F7" w14:textId="77777777" w:rsidR="006E095D" w:rsidRPr="00E0308F" w:rsidRDefault="006E095D" w:rsidP="00682CBF">
            <w:pPr>
              <w:spacing w:before="40" w:after="40"/>
              <w:jc w:val="both"/>
              <w:rPr>
                <w:rFonts w:ascii="Times New Roman" w:hAnsi="Times New Roman" w:cs="Times New Roman"/>
                <w:i/>
                <w:color w:val="000000" w:themeColor="text1"/>
                <w:sz w:val="20"/>
                <w:szCs w:val="20"/>
              </w:rPr>
            </w:pPr>
            <w:r w:rsidRPr="00E0308F">
              <w:rPr>
                <w:rFonts w:ascii="Times New Roman" w:hAnsi="Times New Roman" w:cs="Times New Roman"/>
                <w:i/>
                <w:color w:val="000000" w:themeColor="text1"/>
                <w:sz w:val="20"/>
                <w:szCs w:val="20"/>
              </w:rPr>
              <w:t>Var ise;</w:t>
            </w:r>
          </w:p>
          <w:p w14:paraId="6126DE0B" w14:textId="77777777" w:rsidR="006E095D" w:rsidRPr="00E0308F" w:rsidRDefault="006E095D" w:rsidP="007C3550">
            <w:pPr>
              <w:numPr>
                <w:ilvl w:val="0"/>
                <w:numId w:val="11"/>
              </w:numPr>
              <w:spacing w:before="40" w:after="40" w:line="240" w:lineRule="auto"/>
              <w:jc w:val="both"/>
              <w:rPr>
                <w:rFonts w:ascii="Times New Roman" w:hAnsi="Times New Roman" w:cs="Times New Roman"/>
                <w:i/>
                <w:color w:val="000000" w:themeColor="text1"/>
                <w:sz w:val="20"/>
                <w:szCs w:val="20"/>
              </w:rPr>
            </w:pPr>
            <w:r w:rsidRPr="00E0308F">
              <w:rPr>
                <w:rFonts w:ascii="Times New Roman" w:hAnsi="Times New Roman" w:cs="Times New Roman"/>
                <w:color w:val="000000" w:themeColor="text1"/>
                <w:sz w:val="20"/>
                <w:szCs w:val="20"/>
              </w:rPr>
              <w:t>COVID-19’a ilişkin değerlendirme var mı?</w:t>
            </w:r>
          </w:p>
          <w:p w14:paraId="2B21399E" w14:textId="77777777" w:rsidR="006E095D" w:rsidRPr="00E0308F" w:rsidRDefault="006E095D" w:rsidP="00682CBF">
            <w:pPr>
              <w:spacing w:before="40" w:after="40"/>
              <w:ind w:firstLine="306"/>
              <w:jc w:val="both"/>
              <w:rPr>
                <w:rFonts w:ascii="Times New Roman" w:hAnsi="Times New Roman" w:cs="Times New Roman"/>
                <w:i/>
                <w:color w:val="000000" w:themeColor="text1"/>
                <w:sz w:val="20"/>
                <w:szCs w:val="20"/>
              </w:rPr>
            </w:pPr>
            <w:r w:rsidRPr="00E0308F">
              <w:rPr>
                <w:rFonts w:ascii="Times New Roman" w:hAnsi="Times New Roman" w:cs="Times New Roman"/>
                <w:i/>
                <w:color w:val="000000" w:themeColor="text1"/>
                <w:sz w:val="20"/>
                <w:szCs w:val="20"/>
              </w:rPr>
              <w:t>Var ise;</w:t>
            </w:r>
          </w:p>
          <w:p w14:paraId="34AC3246" w14:textId="77777777" w:rsidR="006E095D" w:rsidRPr="00E0308F" w:rsidRDefault="006E095D" w:rsidP="007C3550">
            <w:pPr>
              <w:numPr>
                <w:ilvl w:val="3"/>
                <w:numId w:val="11"/>
              </w:numPr>
              <w:spacing w:before="40" w:after="40" w:line="240" w:lineRule="auto"/>
              <w:ind w:left="731" w:hanging="142"/>
              <w:jc w:val="both"/>
              <w:rPr>
                <w:rFonts w:ascii="Times New Roman" w:hAnsi="Times New Roman" w:cs="Times New Roman"/>
                <w:i/>
                <w:color w:val="000000" w:themeColor="text1"/>
                <w:sz w:val="20"/>
                <w:szCs w:val="20"/>
              </w:rPr>
            </w:pPr>
            <w:r w:rsidRPr="00E0308F">
              <w:rPr>
                <w:rFonts w:ascii="Times New Roman" w:hAnsi="Times New Roman" w:cs="Times New Roman"/>
                <w:color w:val="000000" w:themeColor="text1"/>
                <w:sz w:val="20"/>
                <w:szCs w:val="20"/>
              </w:rPr>
              <w:t>Salgının işletmenin sürekliliğini etkilediği iddia edilmiş mi?</w:t>
            </w:r>
          </w:p>
          <w:p w14:paraId="4D117308" w14:textId="77777777" w:rsidR="006E095D" w:rsidRPr="00E0308F" w:rsidRDefault="006E095D" w:rsidP="00682CBF">
            <w:pPr>
              <w:spacing w:before="40" w:after="40"/>
              <w:ind w:firstLine="731"/>
              <w:jc w:val="both"/>
              <w:rPr>
                <w:rFonts w:ascii="Times New Roman" w:hAnsi="Times New Roman" w:cs="Times New Roman"/>
                <w:i/>
                <w:color w:val="000000" w:themeColor="text1"/>
                <w:sz w:val="20"/>
                <w:szCs w:val="20"/>
              </w:rPr>
            </w:pPr>
            <w:r w:rsidRPr="00E0308F">
              <w:rPr>
                <w:rFonts w:ascii="Times New Roman" w:hAnsi="Times New Roman" w:cs="Times New Roman"/>
                <w:i/>
                <w:color w:val="000000" w:themeColor="text1"/>
                <w:sz w:val="20"/>
                <w:szCs w:val="20"/>
              </w:rPr>
              <w:t>Sürekliliğin etkilendiği iddia edildiyse;</w:t>
            </w:r>
          </w:p>
          <w:p w14:paraId="3176DE50" w14:textId="77777777" w:rsidR="006E095D" w:rsidRPr="00E0308F" w:rsidRDefault="006E095D" w:rsidP="007C3550">
            <w:pPr>
              <w:numPr>
                <w:ilvl w:val="1"/>
                <w:numId w:val="10"/>
              </w:numPr>
              <w:spacing w:before="40" w:after="40" w:line="240" w:lineRule="auto"/>
              <w:ind w:left="1156" w:hanging="283"/>
              <w:jc w:val="both"/>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t>Önceki dönemde yapılmış olan bütçe ve tahminlerin geçerliliğini yitirip yitirmediğine dair açıklama var mı?</w:t>
            </w:r>
          </w:p>
          <w:p w14:paraId="383B65D3" w14:textId="77777777" w:rsidR="006E095D" w:rsidRPr="00E0308F" w:rsidRDefault="006E095D" w:rsidP="007C3550">
            <w:pPr>
              <w:numPr>
                <w:ilvl w:val="1"/>
                <w:numId w:val="10"/>
              </w:numPr>
              <w:spacing w:before="40" w:after="40" w:line="240" w:lineRule="auto"/>
              <w:ind w:left="1156" w:hanging="283"/>
              <w:jc w:val="both"/>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t>Likidite riski salgın ile ilişkilendirilmiş mi?</w:t>
            </w:r>
          </w:p>
          <w:p w14:paraId="59BE236C" w14:textId="77777777" w:rsidR="006E095D" w:rsidRPr="00E0308F" w:rsidRDefault="006E095D" w:rsidP="00682CBF">
            <w:pPr>
              <w:spacing w:before="40" w:after="40"/>
              <w:ind w:left="1156" w:firstLine="22"/>
              <w:jc w:val="both"/>
              <w:rPr>
                <w:rFonts w:ascii="Times New Roman" w:hAnsi="Times New Roman" w:cs="Times New Roman"/>
                <w:i/>
                <w:color w:val="000000" w:themeColor="text1"/>
                <w:sz w:val="20"/>
                <w:szCs w:val="20"/>
              </w:rPr>
            </w:pPr>
            <w:r w:rsidRPr="00E0308F">
              <w:rPr>
                <w:rFonts w:ascii="Times New Roman" w:hAnsi="Times New Roman" w:cs="Times New Roman"/>
                <w:i/>
                <w:color w:val="000000" w:themeColor="text1"/>
                <w:sz w:val="20"/>
                <w:szCs w:val="20"/>
              </w:rPr>
              <w:t>Likidite riski salgın ile ilişkilendirilmiş ise;</w:t>
            </w:r>
          </w:p>
          <w:p w14:paraId="6E61C2EB" w14:textId="77777777" w:rsidR="006E095D" w:rsidRPr="00E0308F" w:rsidRDefault="006E095D" w:rsidP="007C3550">
            <w:pPr>
              <w:numPr>
                <w:ilvl w:val="2"/>
                <w:numId w:val="12"/>
              </w:numPr>
              <w:spacing w:before="40" w:after="40" w:line="240" w:lineRule="auto"/>
              <w:ind w:left="1298" w:firstLine="0"/>
              <w:jc w:val="both"/>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t>Risk yönetiminin nasıl yapılacağı açıklanmış mı?</w:t>
            </w:r>
          </w:p>
          <w:p w14:paraId="377FA5A9" w14:textId="77777777" w:rsidR="006E095D" w:rsidRPr="00E0308F" w:rsidRDefault="006E095D" w:rsidP="007C3550">
            <w:pPr>
              <w:numPr>
                <w:ilvl w:val="2"/>
                <w:numId w:val="12"/>
              </w:numPr>
              <w:spacing w:before="40" w:after="40" w:line="240" w:lineRule="auto"/>
              <w:ind w:left="1440" w:hanging="142"/>
              <w:jc w:val="both"/>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t xml:space="preserve">Finansal araçtan kaynaklanan likidite riski var mı? (salgın ile ilişkilendirilmiş olmak şartıyla)  </w:t>
            </w:r>
          </w:p>
          <w:p w14:paraId="37031AA3" w14:textId="77777777" w:rsidR="006E095D" w:rsidRPr="00E0308F" w:rsidRDefault="006E095D" w:rsidP="00682CBF">
            <w:pPr>
              <w:spacing w:before="40" w:after="40"/>
              <w:ind w:left="1298" w:firstLine="142"/>
              <w:jc w:val="both"/>
              <w:rPr>
                <w:rFonts w:ascii="Times New Roman" w:hAnsi="Times New Roman" w:cs="Times New Roman"/>
                <w:i/>
                <w:color w:val="000000" w:themeColor="text1"/>
                <w:sz w:val="20"/>
                <w:szCs w:val="20"/>
              </w:rPr>
            </w:pPr>
            <w:r w:rsidRPr="00E0308F">
              <w:rPr>
                <w:rFonts w:ascii="Times New Roman" w:hAnsi="Times New Roman" w:cs="Times New Roman"/>
                <w:i/>
                <w:color w:val="000000" w:themeColor="text1"/>
                <w:sz w:val="20"/>
                <w:szCs w:val="20"/>
              </w:rPr>
              <w:t>Var ise;</w:t>
            </w:r>
          </w:p>
          <w:p w14:paraId="0D21BBAE" w14:textId="77777777" w:rsidR="006E095D" w:rsidRPr="00E0308F" w:rsidRDefault="006E095D" w:rsidP="007C3550">
            <w:pPr>
              <w:numPr>
                <w:ilvl w:val="0"/>
                <w:numId w:val="13"/>
              </w:numPr>
              <w:spacing w:before="40" w:after="40" w:line="240" w:lineRule="auto"/>
              <w:ind w:left="1723" w:hanging="142"/>
              <w:jc w:val="both"/>
              <w:rPr>
                <w:rFonts w:ascii="Times New Roman" w:hAnsi="Times New Roman" w:cs="Times New Roman"/>
                <w:i/>
                <w:color w:val="000000" w:themeColor="text1"/>
                <w:sz w:val="20"/>
                <w:szCs w:val="20"/>
              </w:rPr>
            </w:pPr>
            <w:r w:rsidRPr="00E0308F">
              <w:rPr>
                <w:rFonts w:ascii="Times New Roman" w:hAnsi="Times New Roman" w:cs="Times New Roman"/>
                <w:color w:val="000000" w:themeColor="text1"/>
                <w:sz w:val="20"/>
                <w:szCs w:val="20"/>
              </w:rPr>
              <w:t>Riske ilişkin veriler nicel olarak açıklanmış mı?</w:t>
            </w:r>
          </w:p>
        </w:tc>
      </w:tr>
      <w:tr w:rsidR="00164238" w:rsidRPr="00E0308F" w14:paraId="116C0D11" w14:textId="77777777" w:rsidTr="00682CBF">
        <w:tc>
          <w:tcPr>
            <w:tcW w:w="9042" w:type="dxa"/>
          </w:tcPr>
          <w:p w14:paraId="7600A909" w14:textId="77777777" w:rsidR="006E095D" w:rsidRPr="00E0308F" w:rsidRDefault="006E095D" w:rsidP="00682CBF">
            <w:pPr>
              <w:spacing w:before="40" w:after="40"/>
              <w:jc w:val="both"/>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t>COVID-19'un muhasebe tahminleri üzerinde etkili olduğu iddia edilmiş mi?</w:t>
            </w:r>
          </w:p>
          <w:p w14:paraId="1261BFF9" w14:textId="77777777" w:rsidR="006E095D" w:rsidRPr="00E0308F" w:rsidRDefault="006E095D" w:rsidP="00682CBF">
            <w:pPr>
              <w:spacing w:before="40" w:after="40"/>
              <w:jc w:val="both"/>
              <w:rPr>
                <w:rFonts w:ascii="Times New Roman" w:hAnsi="Times New Roman" w:cs="Times New Roman"/>
                <w:color w:val="000000" w:themeColor="text1"/>
                <w:sz w:val="20"/>
                <w:szCs w:val="20"/>
              </w:rPr>
            </w:pPr>
            <w:r w:rsidRPr="00E0308F">
              <w:rPr>
                <w:rFonts w:ascii="Times New Roman" w:hAnsi="Times New Roman" w:cs="Times New Roman"/>
                <w:i/>
                <w:color w:val="000000" w:themeColor="text1"/>
                <w:sz w:val="20"/>
                <w:szCs w:val="20"/>
              </w:rPr>
              <w:t>Etkili olduğu iddia edildiyse;</w:t>
            </w:r>
          </w:p>
          <w:p w14:paraId="4B0E771E" w14:textId="77777777" w:rsidR="006E095D" w:rsidRPr="00E0308F" w:rsidRDefault="006E095D" w:rsidP="007C3550">
            <w:pPr>
              <w:numPr>
                <w:ilvl w:val="0"/>
                <w:numId w:val="14"/>
              </w:numPr>
              <w:spacing w:before="40" w:after="40" w:line="240" w:lineRule="auto"/>
              <w:jc w:val="both"/>
              <w:rPr>
                <w:rFonts w:ascii="Times New Roman" w:hAnsi="Times New Roman" w:cs="Times New Roman"/>
                <w:i/>
                <w:color w:val="000000" w:themeColor="text1"/>
                <w:sz w:val="20"/>
                <w:szCs w:val="20"/>
              </w:rPr>
            </w:pPr>
            <w:r w:rsidRPr="00E0308F">
              <w:rPr>
                <w:rFonts w:ascii="Times New Roman" w:hAnsi="Times New Roman" w:cs="Times New Roman"/>
                <w:color w:val="000000" w:themeColor="text1"/>
                <w:sz w:val="20"/>
                <w:szCs w:val="20"/>
              </w:rPr>
              <w:t>Duran varlıkların ve şerefiyenin değer düşüklüğü hesaplamasında kullanılan iskonto oranını etkilemiş mi?</w:t>
            </w:r>
          </w:p>
          <w:p w14:paraId="04FC9491" w14:textId="77777777" w:rsidR="006E095D" w:rsidRPr="00E0308F" w:rsidRDefault="006E095D" w:rsidP="007C3550">
            <w:pPr>
              <w:numPr>
                <w:ilvl w:val="0"/>
                <w:numId w:val="14"/>
              </w:numPr>
              <w:spacing w:before="40" w:after="40" w:line="240" w:lineRule="auto"/>
              <w:jc w:val="both"/>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t>Sözleşmeden doğan yasal zorunluluklarla ilgili karşılıkları etkilemiş mi?</w:t>
            </w:r>
          </w:p>
          <w:p w14:paraId="68DC29E8" w14:textId="77777777" w:rsidR="006E095D" w:rsidRPr="00E0308F" w:rsidRDefault="006E095D" w:rsidP="007C3550">
            <w:pPr>
              <w:numPr>
                <w:ilvl w:val="0"/>
                <w:numId w:val="14"/>
              </w:numPr>
              <w:spacing w:before="40" w:after="40" w:line="240" w:lineRule="auto"/>
              <w:jc w:val="both"/>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t>Stokların net gerçekleşebilir değerini etkilemiş mi?</w:t>
            </w:r>
          </w:p>
          <w:p w14:paraId="6140A210" w14:textId="77777777" w:rsidR="006E095D" w:rsidRPr="00E0308F" w:rsidRDefault="006E095D" w:rsidP="007C3550">
            <w:pPr>
              <w:numPr>
                <w:ilvl w:val="0"/>
                <w:numId w:val="14"/>
              </w:numPr>
              <w:spacing w:before="40" w:after="40" w:line="240" w:lineRule="auto"/>
              <w:jc w:val="both"/>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t>Beklenen kredi zararlarını etkilemiş mi?</w:t>
            </w:r>
          </w:p>
          <w:p w14:paraId="07963887" w14:textId="77777777" w:rsidR="006E095D" w:rsidRPr="00E0308F" w:rsidRDefault="006E095D" w:rsidP="00682CBF">
            <w:pPr>
              <w:spacing w:before="40" w:after="40"/>
              <w:ind w:left="306"/>
              <w:jc w:val="both"/>
              <w:rPr>
                <w:rFonts w:ascii="Times New Roman" w:hAnsi="Times New Roman" w:cs="Times New Roman"/>
                <w:i/>
                <w:color w:val="000000" w:themeColor="text1"/>
                <w:sz w:val="20"/>
                <w:szCs w:val="20"/>
              </w:rPr>
            </w:pPr>
            <w:r w:rsidRPr="00E0308F">
              <w:rPr>
                <w:rFonts w:ascii="Times New Roman" w:hAnsi="Times New Roman" w:cs="Times New Roman"/>
                <w:i/>
                <w:color w:val="000000" w:themeColor="text1"/>
                <w:sz w:val="20"/>
                <w:szCs w:val="20"/>
              </w:rPr>
              <w:t>Beklenen kredi zararlarını etkilediyse;</w:t>
            </w:r>
          </w:p>
          <w:p w14:paraId="2903380F" w14:textId="77777777" w:rsidR="006E095D" w:rsidRPr="00E0308F" w:rsidRDefault="006E095D" w:rsidP="007C3550">
            <w:pPr>
              <w:numPr>
                <w:ilvl w:val="3"/>
                <w:numId w:val="11"/>
              </w:numPr>
              <w:spacing w:before="40" w:after="40" w:line="240" w:lineRule="auto"/>
              <w:ind w:left="731" w:hanging="142"/>
              <w:jc w:val="both"/>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t>İlgili varlık, değer düşüklüğüne uğrama riskinde artış kategorisine geçirilmiş mi?</w:t>
            </w:r>
          </w:p>
          <w:p w14:paraId="7B8A66F2" w14:textId="77777777" w:rsidR="006E095D" w:rsidRPr="00E0308F" w:rsidRDefault="006E095D" w:rsidP="007C3550">
            <w:pPr>
              <w:numPr>
                <w:ilvl w:val="0"/>
                <w:numId w:val="14"/>
              </w:numPr>
              <w:spacing w:before="40" w:after="40" w:line="240" w:lineRule="auto"/>
              <w:jc w:val="both"/>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t>Ertelenmiş vergi varlıklarının geri kazanılabilirliği hakkındaki tahminleri etkilemiş mi?</w:t>
            </w:r>
          </w:p>
          <w:p w14:paraId="079C4768" w14:textId="77777777" w:rsidR="006E095D" w:rsidRPr="00E0308F" w:rsidRDefault="006E095D" w:rsidP="007C3550">
            <w:pPr>
              <w:numPr>
                <w:ilvl w:val="0"/>
                <w:numId w:val="14"/>
              </w:numPr>
              <w:spacing w:before="40" w:after="40" w:line="240" w:lineRule="auto"/>
              <w:jc w:val="both"/>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t>Sigorta hasar taleplerini etkilemiş mi?</w:t>
            </w:r>
          </w:p>
        </w:tc>
      </w:tr>
      <w:tr w:rsidR="00164238" w:rsidRPr="00E0308F" w14:paraId="32A98307" w14:textId="77777777" w:rsidTr="00682CBF">
        <w:tc>
          <w:tcPr>
            <w:tcW w:w="9042" w:type="dxa"/>
          </w:tcPr>
          <w:p w14:paraId="793E060F" w14:textId="77777777" w:rsidR="006E095D" w:rsidRPr="00E0308F" w:rsidRDefault="006E095D" w:rsidP="00682CBF">
            <w:pPr>
              <w:spacing w:before="40" w:after="40"/>
              <w:jc w:val="both"/>
              <w:rPr>
                <w:rFonts w:ascii="Times New Roman" w:hAnsi="Times New Roman" w:cs="Times New Roman"/>
                <w:i/>
                <w:color w:val="000000" w:themeColor="text1"/>
                <w:sz w:val="20"/>
                <w:szCs w:val="20"/>
              </w:rPr>
            </w:pPr>
            <w:r w:rsidRPr="00E0308F">
              <w:rPr>
                <w:rFonts w:ascii="Times New Roman" w:hAnsi="Times New Roman" w:cs="Times New Roman"/>
                <w:color w:val="000000" w:themeColor="text1"/>
                <w:sz w:val="20"/>
                <w:szCs w:val="20"/>
              </w:rPr>
              <w:t>COVID-19, gerçeğe uygun değerin tespit edilmesi sürecinde kullanılan varsayımlarda ve kabul edilen değerleme tekniklerinde değişikliklere sebep olmuş mu?</w:t>
            </w:r>
          </w:p>
          <w:p w14:paraId="5B7B7930" w14:textId="77777777" w:rsidR="006E095D" w:rsidRPr="00E0308F" w:rsidRDefault="006E095D" w:rsidP="00682CBF">
            <w:pPr>
              <w:spacing w:before="40" w:after="40"/>
              <w:jc w:val="both"/>
              <w:rPr>
                <w:rFonts w:ascii="Times New Roman" w:hAnsi="Times New Roman" w:cs="Times New Roman"/>
                <w:i/>
                <w:color w:val="000000" w:themeColor="text1"/>
                <w:sz w:val="20"/>
                <w:szCs w:val="20"/>
              </w:rPr>
            </w:pPr>
            <w:r w:rsidRPr="00E0308F">
              <w:rPr>
                <w:rFonts w:ascii="Times New Roman" w:hAnsi="Times New Roman" w:cs="Times New Roman"/>
                <w:i/>
                <w:color w:val="000000" w:themeColor="text1"/>
                <w:sz w:val="20"/>
                <w:szCs w:val="20"/>
              </w:rPr>
              <w:t>Sebep oldu ise;</w:t>
            </w:r>
          </w:p>
          <w:p w14:paraId="2AE51D80" w14:textId="77777777" w:rsidR="006E095D" w:rsidRPr="00E0308F" w:rsidRDefault="006E095D" w:rsidP="007C3550">
            <w:pPr>
              <w:numPr>
                <w:ilvl w:val="0"/>
                <w:numId w:val="9"/>
              </w:numPr>
              <w:spacing w:before="40" w:after="40" w:line="240" w:lineRule="auto"/>
              <w:jc w:val="both"/>
              <w:rPr>
                <w:rFonts w:ascii="Times New Roman" w:hAnsi="Times New Roman" w:cs="Times New Roman"/>
                <w:i/>
                <w:color w:val="000000" w:themeColor="text1"/>
                <w:sz w:val="20"/>
                <w:szCs w:val="20"/>
              </w:rPr>
            </w:pPr>
            <w:r w:rsidRPr="00E0308F">
              <w:rPr>
                <w:rFonts w:ascii="Times New Roman" w:hAnsi="Times New Roman" w:cs="Times New Roman"/>
                <w:color w:val="000000" w:themeColor="text1"/>
                <w:sz w:val="20"/>
                <w:szCs w:val="20"/>
              </w:rPr>
              <w:t>Değişiklikleri ele alan açıklamalar yapılmış mı?</w:t>
            </w:r>
          </w:p>
        </w:tc>
      </w:tr>
      <w:tr w:rsidR="00164238" w:rsidRPr="00E0308F" w14:paraId="29A4E411" w14:textId="77777777" w:rsidTr="00682CBF">
        <w:tc>
          <w:tcPr>
            <w:tcW w:w="9042" w:type="dxa"/>
          </w:tcPr>
          <w:p w14:paraId="2C1480FB" w14:textId="77777777" w:rsidR="006E095D" w:rsidRPr="00E0308F" w:rsidRDefault="006E095D" w:rsidP="00682CBF">
            <w:pPr>
              <w:spacing w:before="40" w:after="40"/>
              <w:jc w:val="both"/>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t>Kiralama standardı kapsamında Covid-19 sebebiyle yapılmış olan değişikliklerin işletme üzerinde etkisi olmuş mu?</w:t>
            </w:r>
          </w:p>
        </w:tc>
      </w:tr>
      <w:tr w:rsidR="00164238" w:rsidRPr="00E0308F" w14:paraId="66308C3D" w14:textId="77777777" w:rsidTr="00682CBF">
        <w:tc>
          <w:tcPr>
            <w:tcW w:w="9042" w:type="dxa"/>
          </w:tcPr>
          <w:p w14:paraId="35CE3392" w14:textId="77777777" w:rsidR="006E095D" w:rsidRPr="00E0308F" w:rsidRDefault="006E095D" w:rsidP="00682CBF">
            <w:pPr>
              <w:spacing w:before="40" w:after="40"/>
              <w:jc w:val="both"/>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t>COVID-19 sebebiyle devlet teşviki alınmış mı?</w:t>
            </w:r>
          </w:p>
          <w:p w14:paraId="429D483F" w14:textId="77777777" w:rsidR="006E095D" w:rsidRPr="00E0308F" w:rsidRDefault="006E095D" w:rsidP="00682CBF">
            <w:pPr>
              <w:spacing w:before="40" w:after="40"/>
              <w:jc w:val="both"/>
              <w:rPr>
                <w:rFonts w:ascii="Times New Roman" w:hAnsi="Times New Roman" w:cs="Times New Roman"/>
                <w:i/>
                <w:color w:val="000000" w:themeColor="text1"/>
                <w:sz w:val="20"/>
                <w:szCs w:val="20"/>
              </w:rPr>
            </w:pPr>
            <w:r w:rsidRPr="00E0308F">
              <w:rPr>
                <w:rFonts w:ascii="Times New Roman" w:hAnsi="Times New Roman" w:cs="Times New Roman"/>
                <w:i/>
                <w:color w:val="000000" w:themeColor="text1"/>
                <w:sz w:val="20"/>
                <w:szCs w:val="20"/>
              </w:rPr>
              <w:t>Alındıysa;</w:t>
            </w:r>
          </w:p>
          <w:p w14:paraId="26E97B6B" w14:textId="77777777" w:rsidR="006E095D" w:rsidRPr="00E0308F" w:rsidRDefault="006E095D" w:rsidP="007C3550">
            <w:pPr>
              <w:numPr>
                <w:ilvl w:val="0"/>
                <w:numId w:val="14"/>
              </w:numPr>
              <w:spacing w:before="40" w:after="40" w:line="240" w:lineRule="auto"/>
              <w:jc w:val="both"/>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t>Alınan teşviğin kullanım amacı nedir?</w:t>
            </w:r>
          </w:p>
        </w:tc>
      </w:tr>
      <w:tr w:rsidR="00164238" w:rsidRPr="00E0308F" w14:paraId="404020C1" w14:textId="77777777" w:rsidTr="00682CBF">
        <w:tc>
          <w:tcPr>
            <w:tcW w:w="9042" w:type="dxa"/>
          </w:tcPr>
          <w:p w14:paraId="6F80EE3A" w14:textId="77777777" w:rsidR="006E095D" w:rsidRPr="00E0308F" w:rsidRDefault="006E095D" w:rsidP="00682CBF">
            <w:pPr>
              <w:spacing w:before="40" w:after="40"/>
              <w:jc w:val="both"/>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t>COVID-19, ertelenmiş vergi varlık/yükümlülükleri üzerinde etkili olmuş mu?</w:t>
            </w:r>
          </w:p>
        </w:tc>
      </w:tr>
      <w:tr w:rsidR="00164238" w:rsidRPr="00E0308F" w14:paraId="567E1459" w14:textId="77777777" w:rsidTr="00682CBF">
        <w:tc>
          <w:tcPr>
            <w:tcW w:w="9042" w:type="dxa"/>
          </w:tcPr>
          <w:p w14:paraId="7735655A" w14:textId="77777777" w:rsidR="006E095D" w:rsidRPr="00E0308F" w:rsidRDefault="006E095D" w:rsidP="00682CBF">
            <w:pPr>
              <w:spacing w:before="40" w:after="40"/>
              <w:jc w:val="both"/>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t>COVID-19 sebebiyle iştirak ve iş ortaklıklarındaki paylar değer düşüklüğüne uğramış mı?</w:t>
            </w:r>
          </w:p>
        </w:tc>
      </w:tr>
      <w:tr w:rsidR="00164238" w:rsidRPr="00E0308F" w14:paraId="73E9110C" w14:textId="77777777" w:rsidTr="00682CBF">
        <w:tc>
          <w:tcPr>
            <w:tcW w:w="9042" w:type="dxa"/>
          </w:tcPr>
          <w:p w14:paraId="3DDF6E7A" w14:textId="77777777" w:rsidR="006E095D" w:rsidRPr="00E0308F" w:rsidRDefault="006E095D" w:rsidP="00682CBF">
            <w:pPr>
              <w:spacing w:before="40" w:after="40"/>
              <w:jc w:val="both"/>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t>Kilit Denetim Konuları COVID-19 ile ilişkilendirilmiş mi?</w:t>
            </w:r>
          </w:p>
          <w:p w14:paraId="3F9E177C" w14:textId="77777777" w:rsidR="006E095D" w:rsidRPr="00E0308F" w:rsidRDefault="006E095D" w:rsidP="00682CBF">
            <w:pPr>
              <w:spacing w:before="40" w:after="40"/>
              <w:jc w:val="both"/>
              <w:rPr>
                <w:rFonts w:ascii="Times New Roman" w:hAnsi="Times New Roman" w:cs="Times New Roman"/>
                <w:i/>
                <w:color w:val="000000" w:themeColor="text1"/>
                <w:sz w:val="20"/>
                <w:szCs w:val="20"/>
              </w:rPr>
            </w:pPr>
            <w:r w:rsidRPr="00E0308F">
              <w:rPr>
                <w:rFonts w:ascii="Times New Roman" w:hAnsi="Times New Roman" w:cs="Times New Roman"/>
                <w:i/>
                <w:color w:val="000000" w:themeColor="text1"/>
                <w:sz w:val="20"/>
                <w:szCs w:val="20"/>
              </w:rPr>
              <w:t>İlişkilendirildiyse;</w:t>
            </w:r>
          </w:p>
          <w:p w14:paraId="2EF7CFBB" w14:textId="77777777" w:rsidR="006E095D" w:rsidRPr="00E0308F" w:rsidRDefault="006E095D" w:rsidP="007C3550">
            <w:pPr>
              <w:numPr>
                <w:ilvl w:val="0"/>
                <w:numId w:val="8"/>
              </w:numPr>
              <w:spacing w:before="40" w:after="40" w:line="240" w:lineRule="auto"/>
              <w:jc w:val="both"/>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lastRenderedPageBreak/>
              <w:t>İşletme ilgili kilit denetim konusu hakkında gerekli açıklamaları yapmış mı?</w:t>
            </w:r>
          </w:p>
        </w:tc>
      </w:tr>
    </w:tbl>
    <w:p w14:paraId="4F3FEA93" w14:textId="77777777" w:rsidR="006E095D" w:rsidRPr="00164238" w:rsidRDefault="006E095D" w:rsidP="006E095D">
      <w:pPr>
        <w:spacing w:before="120" w:after="120" w:line="276" w:lineRule="auto"/>
        <w:ind w:firstLine="567"/>
        <w:jc w:val="both"/>
        <w:rPr>
          <w:rFonts w:ascii="Times New Roman" w:hAnsi="Times New Roman" w:cs="Times New Roman"/>
          <w:b/>
          <w:color w:val="000000" w:themeColor="text1"/>
        </w:rPr>
      </w:pPr>
      <w:r w:rsidRPr="00164238">
        <w:rPr>
          <w:rFonts w:ascii="Times New Roman" w:hAnsi="Times New Roman" w:cs="Times New Roman"/>
          <w:b/>
          <w:color w:val="000000" w:themeColor="text1"/>
        </w:rPr>
        <w:lastRenderedPageBreak/>
        <w:t>Örneklem</w:t>
      </w:r>
    </w:p>
    <w:p w14:paraId="6216F4EC" w14:textId="77777777" w:rsidR="006E095D" w:rsidRPr="00164238" w:rsidRDefault="006E095D" w:rsidP="006E095D">
      <w:pPr>
        <w:spacing w:before="120" w:after="120" w:line="276" w:lineRule="auto"/>
        <w:ind w:firstLine="567"/>
        <w:jc w:val="both"/>
        <w:rPr>
          <w:rFonts w:ascii="Times New Roman" w:hAnsi="Times New Roman" w:cs="Times New Roman"/>
          <w:b/>
          <w:color w:val="000000" w:themeColor="text1"/>
        </w:rPr>
      </w:pPr>
      <w:r w:rsidRPr="00164238">
        <w:rPr>
          <w:rFonts w:ascii="Times New Roman" w:hAnsi="Times New Roman" w:cs="Times New Roman"/>
          <w:color w:val="000000" w:themeColor="text1"/>
        </w:rPr>
        <w:t>Çalışmanın örneklemini BIST 100 endeksinde yer alan ve 2020 faaliyet dönemine ait bağımsız denetimden geçmiş yıllık finansal tabloları ile dipnotları yayınlanan işletmeler oluşturmaktadır. Bir işletme henüz 2020 yılına ilişkin finansal raporlarını yayınlamamış olması sebebiyle kapsam dışında bırakılmıştır ve böylece örneklemi toplam 99 işletme oluşturmuştur.</w:t>
      </w:r>
    </w:p>
    <w:p w14:paraId="25BEF4AD" w14:textId="77777777" w:rsidR="006E095D" w:rsidRPr="00164238" w:rsidRDefault="006E095D" w:rsidP="006E095D">
      <w:pPr>
        <w:spacing w:before="120" w:after="120" w:line="276" w:lineRule="auto"/>
        <w:ind w:firstLine="567"/>
        <w:jc w:val="both"/>
        <w:rPr>
          <w:rFonts w:ascii="Times New Roman" w:hAnsi="Times New Roman" w:cs="Times New Roman"/>
          <w:b/>
          <w:color w:val="000000" w:themeColor="text1"/>
        </w:rPr>
      </w:pPr>
      <w:r w:rsidRPr="00164238">
        <w:rPr>
          <w:rFonts w:ascii="Times New Roman" w:hAnsi="Times New Roman" w:cs="Times New Roman"/>
          <w:b/>
          <w:color w:val="000000" w:themeColor="text1"/>
        </w:rPr>
        <w:t>Veri Toplama</w:t>
      </w:r>
    </w:p>
    <w:p w14:paraId="29BD5CC0" w14:textId="77777777" w:rsidR="006E095D" w:rsidRPr="00164238" w:rsidRDefault="006E095D" w:rsidP="006E095D">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Örneklem 27.02.2021 tarihinde Kamuyu Aydınlatma Platformu’nun resmi sitesinde (www.kap.gov.tr) yer alan BIST 100 Endeksi listesi baz alınarak oluşturulmuştur. Yine aynı platformdan örnekleme dâhil olan işletmelerin 2020 yılına ilişkin finansal raporlarına ve bağımsız denetçi raporlarına erişilmiştir.</w:t>
      </w:r>
    </w:p>
    <w:p w14:paraId="609C0BAA" w14:textId="77777777" w:rsidR="006E095D" w:rsidRPr="00164238" w:rsidRDefault="006E095D" w:rsidP="006E095D">
      <w:pPr>
        <w:spacing w:before="120" w:after="120" w:line="276" w:lineRule="auto"/>
        <w:ind w:firstLine="567"/>
        <w:jc w:val="both"/>
        <w:rPr>
          <w:rFonts w:ascii="Times New Roman" w:hAnsi="Times New Roman" w:cs="Times New Roman"/>
          <w:b/>
          <w:bCs/>
          <w:color w:val="000000" w:themeColor="text1"/>
        </w:rPr>
      </w:pPr>
      <w:r w:rsidRPr="00164238">
        <w:rPr>
          <w:rFonts w:ascii="Times New Roman" w:hAnsi="Times New Roman" w:cs="Times New Roman"/>
          <w:b/>
          <w:bCs/>
          <w:color w:val="000000" w:themeColor="text1"/>
        </w:rPr>
        <w:t>Verilerin Analizi</w:t>
      </w:r>
    </w:p>
    <w:p w14:paraId="5D785166" w14:textId="77777777" w:rsidR="006E095D" w:rsidRPr="00164238" w:rsidRDefault="006E095D" w:rsidP="006E095D">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Örneklemlere ilişkin veriler nitel araştırma yöntemi olan “içerik analizi yöntemi” ile analiz edilmiştir. “İçerik analizi, açık iletişim içeriğinin nesnel, sistematik ve nicel tanımlaması için bir araştırma tekniğidir” (Berelson 1952, s. 18’den aktaran Neuendorf, 2017, s.39). İçerik analizinde temel olarak birbirine benzeyen veriler önceden kararlaştırılmış kavramlar çerçevesinde bir araya getirilir ve okuyucuların anlayabileceği biçimde yorumlanır (Yıldırım ve Şimşek, 2011, s. 227). İçerik analizi mevcut, anlık veya daha uzun zaman dilimlerinde var olan belgelere uygulanabilirken tek başına ya da diğer yöntemlerle birlikte de kullanılabilir (Downe, 1992, s. 314).</w:t>
      </w:r>
    </w:p>
    <w:p w14:paraId="6BD78B52" w14:textId="6A2A3846" w:rsidR="006E095D" w:rsidRDefault="006E095D" w:rsidP="006E095D">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İçerik analizinin uygulanması sürecinde araştırmanın konusu ve örnekleminin belirlenmesinin ardından kategorileştirme yapılır ve kategorileştirilen hususların frekansları yani tekrarlanma sıklıkları irdelenerek elde edilen bulgular yorumlanır (Bilgin, 2014, s.11). Çalışmamızda kategorileştirilen hususlar “Tablo.1 Soru Seti”nde yer alan, işletmelerin finansal tablo ve dipnotlarında COVID-19’a ilişkin açıklanması gereken bilgilerdir. </w:t>
      </w:r>
    </w:p>
    <w:p w14:paraId="70BDC72B" w14:textId="3C0BDD35" w:rsidR="001E0B0D" w:rsidRDefault="001E0B0D" w:rsidP="006E095D">
      <w:pPr>
        <w:spacing w:before="120" w:after="120" w:line="276" w:lineRule="auto"/>
        <w:ind w:firstLine="567"/>
        <w:jc w:val="both"/>
        <w:rPr>
          <w:rFonts w:ascii="Times New Roman" w:hAnsi="Times New Roman" w:cs="Times New Roman"/>
          <w:color w:val="000000" w:themeColor="text1"/>
        </w:rPr>
      </w:pPr>
    </w:p>
    <w:p w14:paraId="2E31FCDE" w14:textId="6FB0C82F" w:rsidR="001E0B0D" w:rsidRDefault="001E0B0D" w:rsidP="006E095D">
      <w:pPr>
        <w:spacing w:before="120" w:after="120" w:line="276" w:lineRule="auto"/>
        <w:ind w:firstLine="567"/>
        <w:jc w:val="both"/>
        <w:rPr>
          <w:rFonts w:ascii="Times New Roman" w:hAnsi="Times New Roman" w:cs="Times New Roman"/>
          <w:color w:val="000000" w:themeColor="text1"/>
        </w:rPr>
      </w:pPr>
    </w:p>
    <w:p w14:paraId="6BFCB932" w14:textId="558AA105" w:rsidR="001E0B0D" w:rsidRDefault="001E0B0D" w:rsidP="006E095D">
      <w:pPr>
        <w:spacing w:before="120" w:after="120" w:line="276" w:lineRule="auto"/>
        <w:ind w:firstLine="567"/>
        <w:jc w:val="both"/>
        <w:rPr>
          <w:rFonts w:ascii="Times New Roman" w:hAnsi="Times New Roman" w:cs="Times New Roman"/>
          <w:color w:val="000000" w:themeColor="text1"/>
        </w:rPr>
      </w:pPr>
    </w:p>
    <w:p w14:paraId="42502E7C" w14:textId="76D68AEF" w:rsidR="001E0B0D" w:rsidRDefault="001E0B0D" w:rsidP="006E095D">
      <w:pPr>
        <w:spacing w:before="120" w:after="120" w:line="276" w:lineRule="auto"/>
        <w:ind w:firstLine="567"/>
        <w:jc w:val="both"/>
        <w:rPr>
          <w:rFonts w:ascii="Times New Roman" w:hAnsi="Times New Roman" w:cs="Times New Roman"/>
          <w:color w:val="000000" w:themeColor="text1"/>
        </w:rPr>
      </w:pPr>
    </w:p>
    <w:p w14:paraId="1F9CF99F" w14:textId="574D09FC" w:rsidR="001E0B0D" w:rsidRDefault="001E0B0D" w:rsidP="006E095D">
      <w:pPr>
        <w:spacing w:before="120" w:after="120" w:line="276" w:lineRule="auto"/>
        <w:ind w:firstLine="567"/>
        <w:jc w:val="both"/>
        <w:rPr>
          <w:rFonts w:ascii="Times New Roman" w:hAnsi="Times New Roman" w:cs="Times New Roman"/>
          <w:color w:val="000000" w:themeColor="text1"/>
        </w:rPr>
      </w:pPr>
    </w:p>
    <w:p w14:paraId="4184FBDD" w14:textId="6747B672" w:rsidR="001E0B0D" w:rsidRDefault="001E0B0D" w:rsidP="006E095D">
      <w:pPr>
        <w:spacing w:before="120" w:after="120" w:line="276" w:lineRule="auto"/>
        <w:ind w:firstLine="567"/>
        <w:jc w:val="both"/>
        <w:rPr>
          <w:rFonts w:ascii="Times New Roman" w:hAnsi="Times New Roman" w:cs="Times New Roman"/>
          <w:color w:val="000000" w:themeColor="text1"/>
        </w:rPr>
      </w:pPr>
    </w:p>
    <w:p w14:paraId="452F1113" w14:textId="427CC3F3" w:rsidR="001E0B0D" w:rsidRDefault="001E0B0D" w:rsidP="006E095D">
      <w:pPr>
        <w:spacing w:before="120" w:after="120" w:line="276" w:lineRule="auto"/>
        <w:ind w:firstLine="567"/>
        <w:jc w:val="both"/>
        <w:rPr>
          <w:rFonts w:ascii="Times New Roman" w:hAnsi="Times New Roman" w:cs="Times New Roman"/>
          <w:color w:val="000000" w:themeColor="text1"/>
        </w:rPr>
      </w:pPr>
    </w:p>
    <w:p w14:paraId="47762C0D" w14:textId="186E8837" w:rsidR="001E0B0D" w:rsidRDefault="001E0B0D" w:rsidP="006E095D">
      <w:pPr>
        <w:spacing w:before="120" w:after="120" w:line="276" w:lineRule="auto"/>
        <w:ind w:firstLine="567"/>
        <w:jc w:val="both"/>
        <w:rPr>
          <w:rFonts w:ascii="Times New Roman" w:hAnsi="Times New Roman" w:cs="Times New Roman"/>
          <w:color w:val="000000" w:themeColor="text1"/>
        </w:rPr>
      </w:pPr>
    </w:p>
    <w:p w14:paraId="636C581B" w14:textId="21D47664" w:rsidR="001E0B0D" w:rsidRDefault="001E0B0D" w:rsidP="006E095D">
      <w:pPr>
        <w:spacing w:before="120" w:after="120" w:line="276" w:lineRule="auto"/>
        <w:ind w:firstLine="567"/>
        <w:jc w:val="both"/>
        <w:rPr>
          <w:rFonts w:ascii="Times New Roman" w:hAnsi="Times New Roman" w:cs="Times New Roman"/>
          <w:color w:val="000000" w:themeColor="text1"/>
        </w:rPr>
      </w:pPr>
    </w:p>
    <w:p w14:paraId="6ECE96CB" w14:textId="7B8048F0" w:rsidR="001E0B0D" w:rsidRDefault="001E0B0D" w:rsidP="006E095D">
      <w:pPr>
        <w:spacing w:before="120" w:after="120" w:line="276" w:lineRule="auto"/>
        <w:ind w:firstLine="567"/>
        <w:jc w:val="both"/>
        <w:rPr>
          <w:rFonts w:ascii="Times New Roman" w:hAnsi="Times New Roman" w:cs="Times New Roman"/>
          <w:color w:val="000000" w:themeColor="text1"/>
        </w:rPr>
      </w:pPr>
    </w:p>
    <w:p w14:paraId="037B1428" w14:textId="77777777" w:rsidR="001E0B0D" w:rsidRPr="00164238" w:rsidRDefault="001E0B0D" w:rsidP="006E095D">
      <w:pPr>
        <w:spacing w:before="120" w:after="120" w:line="276" w:lineRule="auto"/>
        <w:ind w:firstLine="567"/>
        <w:jc w:val="both"/>
        <w:rPr>
          <w:rFonts w:ascii="Times New Roman" w:hAnsi="Times New Roman" w:cs="Times New Roman"/>
          <w:color w:val="000000" w:themeColor="text1"/>
        </w:rPr>
      </w:pPr>
    </w:p>
    <w:p w14:paraId="4708BDC1" w14:textId="77777777" w:rsidR="006E095D" w:rsidRPr="00164238" w:rsidRDefault="006E095D" w:rsidP="006E095D">
      <w:pPr>
        <w:spacing w:before="60" w:after="60" w:line="276" w:lineRule="auto"/>
        <w:ind w:firstLine="567"/>
        <w:rPr>
          <w:rFonts w:ascii="Times New Roman" w:hAnsi="Times New Roman" w:cs="Times New Roman"/>
          <w:b/>
          <w:color w:val="000000" w:themeColor="text1"/>
        </w:rPr>
      </w:pPr>
      <w:r w:rsidRPr="00164238">
        <w:rPr>
          <w:rFonts w:ascii="Times New Roman" w:hAnsi="Times New Roman" w:cs="Times New Roman"/>
          <w:b/>
          <w:color w:val="000000" w:themeColor="text1"/>
        </w:rPr>
        <w:lastRenderedPageBreak/>
        <w:t>BULGULAR</w:t>
      </w:r>
    </w:p>
    <w:p w14:paraId="35645D6C" w14:textId="77777777" w:rsidR="006E095D" w:rsidRPr="00164238" w:rsidRDefault="006E095D" w:rsidP="006E095D">
      <w:pPr>
        <w:spacing w:before="240"/>
        <w:rPr>
          <w:rFonts w:ascii="Times New Roman" w:hAnsi="Times New Roman" w:cs="Times New Roman"/>
          <w:color w:val="000000" w:themeColor="text1"/>
        </w:rPr>
      </w:pPr>
      <w:r w:rsidRPr="00164238">
        <w:rPr>
          <w:rFonts w:ascii="Times New Roman" w:hAnsi="Times New Roman" w:cs="Times New Roman"/>
          <w:i/>
          <w:color w:val="000000" w:themeColor="text1"/>
        </w:rPr>
        <w:t>Tablo 2.</w:t>
      </w:r>
      <w:r w:rsidRPr="00164238">
        <w:rPr>
          <w:rFonts w:ascii="Times New Roman" w:hAnsi="Times New Roman" w:cs="Times New Roman"/>
          <w:color w:val="000000" w:themeColor="text1"/>
        </w:rPr>
        <w:t xml:space="preserve"> Sektörel Bazda İşletmelerin Dağılımı</w:t>
      </w:r>
    </w:p>
    <w:tbl>
      <w:tblPr>
        <w:tblW w:w="0" w:type="auto"/>
        <w:tblBorders>
          <w:top w:val="single" w:sz="4" w:space="0" w:color="auto"/>
          <w:left w:val="double" w:sz="4" w:space="0" w:color="auto"/>
          <w:bottom w:val="single" w:sz="4" w:space="0" w:color="auto"/>
          <w:right w:val="double" w:sz="4" w:space="0" w:color="auto"/>
          <w:insideV w:val="double" w:sz="4" w:space="0" w:color="auto"/>
        </w:tblBorders>
        <w:tblLook w:val="04A0" w:firstRow="1" w:lastRow="0" w:firstColumn="1" w:lastColumn="0" w:noHBand="0" w:noVBand="1"/>
      </w:tblPr>
      <w:tblGrid>
        <w:gridCol w:w="4805"/>
        <w:gridCol w:w="1559"/>
      </w:tblGrid>
      <w:tr w:rsidR="00164238" w:rsidRPr="00164238" w14:paraId="372CB6EB" w14:textId="77777777" w:rsidTr="00682CBF">
        <w:trPr>
          <w:trHeight w:val="275"/>
        </w:trPr>
        <w:tc>
          <w:tcPr>
            <w:tcW w:w="4805" w:type="dxa"/>
            <w:tcBorders>
              <w:top w:val="single" w:sz="4" w:space="0" w:color="auto"/>
              <w:left w:val="nil"/>
              <w:bottom w:val="single" w:sz="4" w:space="0" w:color="auto"/>
              <w:right w:val="nil"/>
            </w:tcBorders>
            <w:vAlign w:val="center"/>
          </w:tcPr>
          <w:p w14:paraId="6660B693" w14:textId="77777777" w:rsidR="006E095D" w:rsidRPr="00164238" w:rsidRDefault="006E095D" w:rsidP="00682CBF">
            <w:pPr>
              <w:rPr>
                <w:rFonts w:ascii="Times New Roman" w:hAnsi="Times New Roman" w:cs="Times New Roman"/>
                <w:color w:val="000000" w:themeColor="text1"/>
              </w:rPr>
            </w:pPr>
            <w:r w:rsidRPr="00164238">
              <w:rPr>
                <w:rFonts w:ascii="Times New Roman" w:hAnsi="Times New Roman" w:cs="Times New Roman"/>
                <w:color w:val="000000" w:themeColor="text1"/>
              </w:rPr>
              <w:t>Sektör</w:t>
            </w:r>
          </w:p>
        </w:tc>
        <w:tc>
          <w:tcPr>
            <w:tcW w:w="1559" w:type="dxa"/>
            <w:tcBorders>
              <w:top w:val="single" w:sz="4" w:space="0" w:color="auto"/>
              <w:left w:val="nil"/>
              <w:bottom w:val="single" w:sz="4" w:space="0" w:color="auto"/>
              <w:right w:val="nil"/>
            </w:tcBorders>
            <w:vAlign w:val="center"/>
          </w:tcPr>
          <w:p w14:paraId="2749040A" w14:textId="77777777" w:rsidR="006E095D" w:rsidRPr="00164238" w:rsidRDefault="006E095D"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Şirket Sayısı</w:t>
            </w:r>
          </w:p>
        </w:tc>
      </w:tr>
      <w:tr w:rsidR="00164238" w:rsidRPr="00164238" w14:paraId="109479EF" w14:textId="77777777" w:rsidTr="00682CBF">
        <w:trPr>
          <w:trHeight w:val="275"/>
        </w:trPr>
        <w:tc>
          <w:tcPr>
            <w:tcW w:w="4805" w:type="dxa"/>
            <w:tcBorders>
              <w:top w:val="single" w:sz="4" w:space="0" w:color="auto"/>
              <w:left w:val="nil"/>
              <w:right w:val="nil"/>
            </w:tcBorders>
            <w:vAlign w:val="center"/>
          </w:tcPr>
          <w:p w14:paraId="4972338E" w14:textId="77777777" w:rsidR="006E095D" w:rsidRPr="00164238" w:rsidRDefault="006E095D" w:rsidP="00682CBF">
            <w:pPr>
              <w:rPr>
                <w:rFonts w:ascii="Times New Roman" w:hAnsi="Times New Roman" w:cs="Times New Roman"/>
                <w:color w:val="000000" w:themeColor="text1"/>
              </w:rPr>
            </w:pPr>
            <w:r w:rsidRPr="00164238">
              <w:rPr>
                <w:rFonts w:ascii="Times New Roman" w:hAnsi="Times New Roman" w:cs="Times New Roman"/>
                <w:color w:val="000000" w:themeColor="text1"/>
              </w:rPr>
              <w:t>Madencilik, Taş Ocakçılığı, Petrol ve Doğalgaz</w:t>
            </w:r>
          </w:p>
        </w:tc>
        <w:tc>
          <w:tcPr>
            <w:tcW w:w="1559" w:type="dxa"/>
            <w:tcBorders>
              <w:top w:val="single" w:sz="4" w:space="0" w:color="auto"/>
              <w:left w:val="nil"/>
              <w:right w:val="nil"/>
            </w:tcBorders>
            <w:vAlign w:val="center"/>
          </w:tcPr>
          <w:p w14:paraId="3D30B4CA" w14:textId="77777777" w:rsidR="006E095D" w:rsidRPr="00164238" w:rsidRDefault="006E095D"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3</w:t>
            </w:r>
          </w:p>
        </w:tc>
      </w:tr>
      <w:tr w:rsidR="00164238" w:rsidRPr="00164238" w14:paraId="6A9C7A91" w14:textId="77777777" w:rsidTr="00682CBF">
        <w:trPr>
          <w:trHeight w:val="275"/>
        </w:trPr>
        <w:tc>
          <w:tcPr>
            <w:tcW w:w="4805" w:type="dxa"/>
            <w:tcBorders>
              <w:left w:val="nil"/>
              <w:right w:val="nil"/>
            </w:tcBorders>
            <w:vAlign w:val="center"/>
          </w:tcPr>
          <w:p w14:paraId="2B16836B" w14:textId="77777777" w:rsidR="006E095D" w:rsidRPr="00164238" w:rsidRDefault="006E095D" w:rsidP="00682CBF">
            <w:pPr>
              <w:rPr>
                <w:rFonts w:ascii="Times New Roman" w:hAnsi="Times New Roman" w:cs="Times New Roman"/>
                <w:color w:val="000000" w:themeColor="text1"/>
              </w:rPr>
            </w:pPr>
            <w:r w:rsidRPr="00164238">
              <w:rPr>
                <w:rFonts w:ascii="Times New Roman" w:hAnsi="Times New Roman" w:cs="Times New Roman"/>
                <w:color w:val="000000" w:themeColor="text1"/>
              </w:rPr>
              <w:t>İmalat</w:t>
            </w:r>
          </w:p>
        </w:tc>
        <w:tc>
          <w:tcPr>
            <w:tcW w:w="1559" w:type="dxa"/>
            <w:tcBorders>
              <w:left w:val="nil"/>
              <w:right w:val="nil"/>
            </w:tcBorders>
            <w:vAlign w:val="center"/>
          </w:tcPr>
          <w:p w14:paraId="19BC5F30" w14:textId="77777777" w:rsidR="006E095D" w:rsidRPr="00164238" w:rsidRDefault="006E095D"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42</w:t>
            </w:r>
          </w:p>
        </w:tc>
      </w:tr>
      <w:tr w:rsidR="00164238" w:rsidRPr="00164238" w14:paraId="6F8215A8" w14:textId="77777777" w:rsidTr="00682CBF">
        <w:trPr>
          <w:trHeight w:val="275"/>
        </w:trPr>
        <w:tc>
          <w:tcPr>
            <w:tcW w:w="4805" w:type="dxa"/>
            <w:tcBorders>
              <w:left w:val="nil"/>
              <w:right w:val="nil"/>
            </w:tcBorders>
            <w:vAlign w:val="center"/>
          </w:tcPr>
          <w:p w14:paraId="10170D7B" w14:textId="77777777" w:rsidR="006E095D" w:rsidRPr="00164238" w:rsidRDefault="006E095D" w:rsidP="00682CBF">
            <w:pPr>
              <w:rPr>
                <w:rFonts w:ascii="Times New Roman" w:hAnsi="Times New Roman" w:cs="Times New Roman"/>
                <w:color w:val="000000" w:themeColor="text1"/>
              </w:rPr>
            </w:pPr>
            <w:r w:rsidRPr="00164238">
              <w:rPr>
                <w:rFonts w:ascii="Times New Roman" w:hAnsi="Times New Roman" w:cs="Times New Roman"/>
                <w:color w:val="000000" w:themeColor="text1"/>
              </w:rPr>
              <w:t>Elektrik, Gaz ve Su</w:t>
            </w:r>
          </w:p>
        </w:tc>
        <w:tc>
          <w:tcPr>
            <w:tcW w:w="1559" w:type="dxa"/>
            <w:tcBorders>
              <w:left w:val="nil"/>
              <w:right w:val="nil"/>
            </w:tcBorders>
            <w:vAlign w:val="center"/>
          </w:tcPr>
          <w:p w14:paraId="5F6CE460" w14:textId="77777777" w:rsidR="006E095D" w:rsidRPr="00164238" w:rsidRDefault="006E095D"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5</w:t>
            </w:r>
          </w:p>
        </w:tc>
      </w:tr>
      <w:tr w:rsidR="00164238" w:rsidRPr="00164238" w14:paraId="554834A2" w14:textId="77777777" w:rsidTr="00682CBF">
        <w:trPr>
          <w:trHeight w:val="275"/>
        </w:trPr>
        <w:tc>
          <w:tcPr>
            <w:tcW w:w="4805" w:type="dxa"/>
            <w:tcBorders>
              <w:left w:val="nil"/>
              <w:right w:val="nil"/>
            </w:tcBorders>
            <w:vAlign w:val="center"/>
          </w:tcPr>
          <w:p w14:paraId="6C85C59D" w14:textId="77777777" w:rsidR="006E095D" w:rsidRPr="00164238" w:rsidRDefault="006E095D" w:rsidP="00682CBF">
            <w:pPr>
              <w:rPr>
                <w:rFonts w:ascii="Times New Roman" w:hAnsi="Times New Roman" w:cs="Times New Roman"/>
                <w:color w:val="000000" w:themeColor="text1"/>
              </w:rPr>
            </w:pPr>
            <w:r w:rsidRPr="00164238">
              <w:rPr>
                <w:rFonts w:ascii="Times New Roman" w:hAnsi="Times New Roman" w:cs="Times New Roman"/>
                <w:color w:val="000000" w:themeColor="text1"/>
              </w:rPr>
              <w:t>Toptan ve Perakende Ticaret, Lokanta ve Oteller</w:t>
            </w:r>
          </w:p>
        </w:tc>
        <w:tc>
          <w:tcPr>
            <w:tcW w:w="1559" w:type="dxa"/>
            <w:tcBorders>
              <w:left w:val="nil"/>
              <w:right w:val="nil"/>
            </w:tcBorders>
            <w:vAlign w:val="center"/>
          </w:tcPr>
          <w:p w14:paraId="62FB1457" w14:textId="77777777" w:rsidR="006E095D" w:rsidRPr="00164238" w:rsidRDefault="006E095D"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7</w:t>
            </w:r>
          </w:p>
        </w:tc>
      </w:tr>
      <w:tr w:rsidR="00164238" w:rsidRPr="00164238" w14:paraId="7ED43483" w14:textId="77777777" w:rsidTr="00682CBF">
        <w:trPr>
          <w:trHeight w:val="275"/>
        </w:trPr>
        <w:tc>
          <w:tcPr>
            <w:tcW w:w="4805" w:type="dxa"/>
            <w:tcBorders>
              <w:left w:val="nil"/>
              <w:right w:val="nil"/>
            </w:tcBorders>
            <w:vAlign w:val="center"/>
          </w:tcPr>
          <w:p w14:paraId="4E17FB53" w14:textId="77777777" w:rsidR="006E095D" w:rsidRPr="00164238" w:rsidRDefault="006E095D" w:rsidP="00682CBF">
            <w:pPr>
              <w:rPr>
                <w:rFonts w:ascii="Times New Roman" w:hAnsi="Times New Roman" w:cs="Times New Roman"/>
                <w:color w:val="000000" w:themeColor="text1"/>
              </w:rPr>
            </w:pPr>
            <w:r w:rsidRPr="00164238">
              <w:rPr>
                <w:rFonts w:ascii="Times New Roman" w:hAnsi="Times New Roman" w:cs="Times New Roman"/>
                <w:color w:val="000000" w:themeColor="text1"/>
              </w:rPr>
              <w:t>Ulaştırma, Depolama, Haberleşme</w:t>
            </w:r>
          </w:p>
        </w:tc>
        <w:tc>
          <w:tcPr>
            <w:tcW w:w="1559" w:type="dxa"/>
            <w:tcBorders>
              <w:left w:val="nil"/>
              <w:right w:val="nil"/>
            </w:tcBorders>
            <w:vAlign w:val="center"/>
          </w:tcPr>
          <w:p w14:paraId="09117C24" w14:textId="77777777" w:rsidR="006E095D" w:rsidRPr="00164238" w:rsidRDefault="006E095D"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4</w:t>
            </w:r>
          </w:p>
        </w:tc>
      </w:tr>
      <w:tr w:rsidR="00164238" w:rsidRPr="00164238" w14:paraId="146C7D70" w14:textId="77777777" w:rsidTr="00682CBF">
        <w:tc>
          <w:tcPr>
            <w:tcW w:w="4805" w:type="dxa"/>
            <w:tcBorders>
              <w:left w:val="nil"/>
              <w:right w:val="nil"/>
            </w:tcBorders>
            <w:vAlign w:val="center"/>
          </w:tcPr>
          <w:p w14:paraId="2DEF71B6" w14:textId="77777777" w:rsidR="006E095D" w:rsidRPr="00164238" w:rsidRDefault="006E095D" w:rsidP="00682CBF">
            <w:pPr>
              <w:rPr>
                <w:rFonts w:ascii="Times New Roman" w:hAnsi="Times New Roman" w:cs="Times New Roman"/>
                <w:color w:val="000000" w:themeColor="text1"/>
              </w:rPr>
            </w:pPr>
            <w:r w:rsidRPr="00164238">
              <w:rPr>
                <w:rFonts w:ascii="Times New Roman" w:hAnsi="Times New Roman" w:cs="Times New Roman"/>
                <w:color w:val="000000" w:themeColor="text1"/>
              </w:rPr>
              <w:t>Eğitim, Sağlık, Spor ve Diğer Sosyal Hizmetler</w:t>
            </w:r>
          </w:p>
        </w:tc>
        <w:tc>
          <w:tcPr>
            <w:tcW w:w="1559" w:type="dxa"/>
            <w:tcBorders>
              <w:left w:val="nil"/>
              <w:right w:val="nil"/>
            </w:tcBorders>
            <w:vAlign w:val="center"/>
          </w:tcPr>
          <w:p w14:paraId="55EA3127" w14:textId="77777777" w:rsidR="006E095D" w:rsidRPr="00164238" w:rsidRDefault="006E095D"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1</w:t>
            </w:r>
          </w:p>
        </w:tc>
      </w:tr>
      <w:tr w:rsidR="00164238" w:rsidRPr="00164238" w14:paraId="00E8B263" w14:textId="77777777" w:rsidTr="00682CBF">
        <w:tc>
          <w:tcPr>
            <w:tcW w:w="4805" w:type="dxa"/>
            <w:tcBorders>
              <w:left w:val="nil"/>
              <w:right w:val="nil"/>
            </w:tcBorders>
            <w:vAlign w:val="center"/>
          </w:tcPr>
          <w:p w14:paraId="2114E41E" w14:textId="77777777" w:rsidR="006E095D" w:rsidRPr="00164238" w:rsidRDefault="006E095D" w:rsidP="00682CBF">
            <w:pPr>
              <w:rPr>
                <w:rFonts w:ascii="Times New Roman" w:hAnsi="Times New Roman" w:cs="Times New Roman"/>
                <w:color w:val="000000" w:themeColor="text1"/>
              </w:rPr>
            </w:pPr>
            <w:r w:rsidRPr="00164238">
              <w:rPr>
                <w:rFonts w:ascii="Times New Roman" w:hAnsi="Times New Roman" w:cs="Times New Roman"/>
                <w:color w:val="000000" w:themeColor="text1"/>
              </w:rPr>
              <w:t>Teknoloji</w:t>
            </w:r>
          </w:p>
        </w:tc>
        <w:tc>
          <w:tcPr>
            <w:tcW w:w="1559" w:type="dxa"/>
            <w:tcBorders>
              <w:left w:val="nil"/>
              <w:right w:val="nil"/>
            </w:tcBorders>
            <w:vAlign w:val="center"/>
          </w:tcPr>
          <w:p w14:paraId="39800FBE" w14:textId="77777777" w:rsidR="006E095D" w:rsidRPr="00164238" w:rsidRDefault="006E095D"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3</w:t>
            </w:r>
          </w:p>
        </w:tc>
      </w:tr>
      <w:tr w:rsidR="00164238" w:rsidRPr="00164238" w14:paraId="4CF357D0" w14:textId="77777777" w:rsidTr="00682CBF">
        <w:tc>
          <w:tcPr>
            <w:tcW w:w="4805" w:type="dxa"/>
            <w:tcBorders>
              <w:left w:val="nil"/>
              <w:right w:val="nil"/>
            </w:tcBorders>
            <w:vAlign w:val="center"/>
          </w:tcPr>
          <w:p w14:paraId="7A102294" w14:textId="77777777" w:rsidR="006E095D" w:rsidRPr="00164238" w:rsidRDefault="006E095D" w:rsidP="00682CBF">
            <w:pPr>
              <w:rPr>
                <w:rFonts w:ascii="Times New Roman" w:hAnsi="Times New Roman" w:cs="Times New Roman"/>
                <w:color w:val="000000" w:themeColor="text1"/>
              </w:rPr>
            </w:pPr>
            <w:r w:rsidRPr="00164238">
              <w:rPr>
                <w:rFonts w:ascii="Times New Roman" w:hAnsi="Times New Roman" w:cs="Times New Roman"/>
                <w:color w:val="000000" w:themeColor="text1"/>
              </w:rPr>
              <w:t>Mali Sektör</w:t>
            </w:r>
          </w:p>
        </w:tc>
        <w:tc>
          <w:tcPr>
            <w:tcW w:w="1559" w:type="dxa"/>
            <w:tcBorders>
              <w:left w:val="nil"/>
              <w:right w:val="nil"/>
            </w:tcBorders>
            <w:vAlign w:val="center"/>
          </w:tcPr>
          <w:p w14:paraId="580B84D2" w14:textId="77777777" w:rsidR="006E095D" w:rsidRPr="00164238" w:rsidRDefault="006E095D"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33</w:t>
            </w:r>
          </w:p>
        </w:tc>
      </w:tr>
      <w:tr w:rsidR="00164238" w:rsidRPr="00164238" w14:paraId="49445219" w14:textId="77777777" w:rsidTr="00682CBF">
        <w:tc>
          <w:tcPr>
            <w:tcW w:w="4805" w:type="dxa"/>
            <w:tcBorders>
              <w:left w:val="nil"/>
              <w:right w:val="nil"/>
            </w:tcBorders>
            <w:vAlign w:val="center"/>
          </w:tcPr>
          <w:p w14:paraId="2E7C9324" w14:textId="77777777" w:rsidR="006E095D" w:rsidRPr="00164238" w:rsidRDefault="006E095D" w:rsidP="00682CBF">
            <w:pPr>
              <w:rPr>
                <w:rFonts w:ascii="Times New Roman" w:hAnsi="Times New Roman" w:cs="Times New Roman"/>
                <w:color w:val="000000" w:themeColor="text1"/>
              </w:rPr>
            </w:pPr>
            <w:r w:rsidRPr="00164238">
              <w:rPr>
                <w:rFonts w:ascii="Times New Roman" w:hAnsi="Times New Roman" w:cs="Times New Roman"/>
                <w:color w:val="000000" w:themeColor="text1"/>
              </w:rPr>
              <w:t>Gayrimenkul Faaliyetleri</w:t>
            </w:r>
          </w:p>
        </w:tc>
        <w:tc>
          <w:tcPr>
            <w:tcW w:w="1559" w:type="dxa"/>
            <w:tcBorders>
              <w:left w:val="nil"/>
              <w:right w:val="nil"/>
            </w:tcBorders>
            <w:vAlign w:val="center"/>
          </w:tcPr>
          <w:p w14:paraId="7C2597FA" w14:textId="77777777" w:rsidR="006E095D" w:rsidRPr="00164238" w:rsidRDefault="006E095D"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1</w:t>
            </w:r>
          </w:p>
        </w:tc>
      </w:tr>
      <w:tr w:rsidR="00164238" w:rsidRPr="00164238" w14:paraId="0AD5D5EC" w14:textId="77777777" w:rsidTr="00682CBF">
        <w:tc>
          <w:tcPr>
            <w:tcW w:w="4805" w:type="dxa"/>
            <w:tcBorders>
              <w:top w:val="single" w:sz="4" w:space="0" w:color="auto"/>
              <w:left w:val="nil"/>
              <w:bottom w:val="single" w:sz="4" w:space="0" w:color="auto"/>
              <w:right w:val="nil"/>
            </w:tcBorders>
            <w:vAlign w:val="center"/>
          </w:tcPr>
          <w:p w14:paraId="5D0E61B9" w14:textId="77777777" w:rsidR="006E095D" w:rsidRPr="00164238" w:rsidRDefault="006E095D" w:rsidP="00682CBF">
            <w:pPr>
              <w:rPr>
                <w:rFonts w:ascii="Times New Roman" w:hAnsi="Times New Roman" w:cs="Times New Roman"/>
                <w:color w:val="000000" w:themeColor="text1"/>
              </w:rPr>
            </w:pPr>
            <w:r w:rsidRPr="00164238">
              <w:rPr>
                <w:rFonts w:ascii="Times New Roman" w:hAnsi="Times New Roman" w:cs="Times New Roman"/>
                <w:color w:val="000000" w:themeColor="text1"/>
              </w:rPr>
              <w:t>Toplam</w:t>
            </w:r>
          </w:p>
        </w:tc>
        <w:tc>
          <w:tcPr>
            <w:tcW w:w="1559" w:type="dxa"/>
            <w:tcBorders>
              <w:top w:val="single" w:sz="4" w:space="0" w:color="auto"/>
              <w:left w:val="nil"/>
              <w:bottom w:val="single" w:sz="4" w:space="0" w:color="auto"/>
              <w:right w:val="nil"/>
            </w:tcBorders>
            <w:vAlign w:val="center"/>
          </w:tcPr>
          <w:p w14:paraId="0BC7CB7B" w14:textId="77777777" w:rsidR="006E095D" w:rsidRPr="00164238" w:rsidRDefault="006E095D"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99</w:t>
            </w:r>
          </w:p>
        </w:tc>
      </w:tr>
    </w:tbl>
    <w:p w14:paraId="487C86F7" w14:textId="77777777" w:rsidR="006E095D" w:rsidRPr="00164238" w:rsidRDefault="006E095D" w:rsidP="006E095D">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Tablo 2, veri setinde yer alan BIST 100 işletmelerinin sektörel bazda dağılımını göstermektedir. İmalat ve mali sektörlerde faaliyet gösteren işletmelerin çoğunluğu oluşturduğu görülmektedir.</w:t>
      </w:r>
    </w:p>
    <w:p w14:paraId="6C528F77" w14:textId="77777777" w:rsidR="006E095D" w:rsidRPr="00164238" w:rsidRDefault="006E095D" w:rsidP="006E095D">
      <w:pPr>
        <w:spacing w:before="120" w:after="120" w:line="276" w:lineRule="auto"/>
        <w:ind w:firstLine="567"/>
        <w:jc w:val="both"/>
        <w:rPr>
          <w:rFonts w:ascii="Times New Roman" w:hAnsi="Times New Roman" w:cs="Times New Roman"/>
          <w:color w:val="000000" w:themeColor="text1"/>
        </w:rPr>
      </w:pPr>
    </w:p>
    <w:p w14:paraId="3656AAFD" w14:textId="77777777" w:rsidR="006E095D" w:rsidRPr="00164238" w:rsidRDefault="006E095D" w:rsidP="006E095D">
      <w:pPr>
        <w:spacing w:before="120" w:after="120" w:line="276" w:lineRule="auto"/>
        <w:ind w:firstLine="567"/>
        <w:jc w:val="both"/>
        <w:rPr>
          <w:rFonts w:ascii="Times New Roman" w:hAnsi="Times New Roman" w:cs="Times New Roman"/>
          <w:color w:val="000000" w:themeColor="text1"/>
        </w:rPr>
      </w:pPr>
    </w:p>
    <w:p w14:paraId="35EA6EF9" w14:textId="77777777" w:rsidR="006E095D" w:rsidRPr="00164238" w:rsidRDefault="006E095D" w:rsidP="006E095D">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i/>
          <w:color w:val="000000" w:themeColor="text1"/>
        </w:rPr>
        <w:t>Tablo 3</w:t>
      </w:r>
      <w:r w:rsidRPr="00164238">
        <w:rPr>
          <w:rFonts w:ascii="Times New Roman" w:hAnsi="Times New Roman" w:cs="Times New Roman"/>
          <w:color w:val="000000" w:themeColor="text1"/>
        </w:rPr>
        <w:t>. COVID-19'un İşletme Üzerindeki Etkisi</w:t>
      </w:r>
    </w:p>
    <w:tbl>
      <w:tblPr>
        <w:tblW w:w="0" w:type="auto"/>
        <w:tblLook w:val="04A0" w:firstRow="1" w:lastRow="0" w:firstColumn="1" w:lastColumn="0" w:noHBand="0" w:noVBand="1"/>
      </w:tblPr>
      <w:tblGrid>
        <w:gridCol w:w="1555"/>
        <w:gridCol w:w="3685"/>
        <w:gridCol w:w="1418"/>
      </w:tblGrid>
      <w:tr w:rsidR="00164238" w:rsidRPr="00164238" w14:paraId="6EE09AC8" w14:textId="77777777" w:rsidTr="00682CBF">
        <w:trPr>
          <w:trHeight w:val="275"/>
        </w:trPr>
        <w:tc>
          <w:tcPr>
            <w:tcW w:w="5240" w:type="dxa"/>
            <w:gridSpan w:val="2"/>
            <w:tcBorders>
              <w:top w:val="single" w:sz="4" w:space="0" w:color="auto"/>
              <w:bottom w:val="single" w:sz="4" w:space="0" w:color="auto"/>
            </w:tcBorders>
            <w:vAlign w:val="center"/>
          </w:tcPr>
          <w:p w14:paraId="7DB00FBC" w14:textId="77777777" w:rsidR="006E095D" w:rsidRPr="00164238" w:rsidRDefault="006E095D" w:rsidP="00682CBF">
            <w:pPr>
              <w:rPr>
                <w:rFonts w:ascii="Times New Roman" w:hAnsi="Times New Roman" w:cs="Times New Roman"/>
                <w:color w:val="000000" w:themeColor="text1"/>
              </w:rPr>
            </w:pPr>
            <w:r w:rsidRPr="00164238">
              <w:rPr>
                <w:rFonts w:ascii="Times New Roman" w:hAnsi="Times New Roman" w:cs="Times New Roman"/>
                <w:color w:val="000000" w:themeColor="text1"/>
              </w:rPr>
              <w:t>Açıklama Türü</w:t>
            </w:r>
          </w:p>
        </w:tc>
        <w:tc>
          <w:tcPr>
            <w:tcW w:w="1418" w:type="dxa"/>
            <w:tcBorders>
              <w:top w:val="single" w:sz="4" w:space="0" w:color="auto"/>
              <w:bottom w:val="single" w:sz="4" w:space="0" w:color="auto"/>
            </w:tcBorders>
            <w:vAlign w:val="center"/>
          </w:tcPr>
          <w:p w14:paraId="665891DC" w14:textId="77777777" w:rsidR="006E095D" w:rsidRPr="00164238" w:rsidRDefault="006E095D"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Şirket Sayısı</w:t>
            </w:r>
          </w:p>
        </w:tc>
      </w:tr>
      <w:tr w:rsidR="00164238" w:rsidRPr="00164238" w14:paraId="2976E4E7" w14:textId="77777777" w:rsidTr="00682CBF">
        <w:trPr>
          <w:trHeight w:val="233"/>
        </w:trPr>
        <w:tc>
          <w:tcPr>
            <w:tcW w:w="1555" w:type="dxa"/>
            <w:vMerge w:val="restart"/>
            <w:tcBorders>
              <w:top w:val="single" w:sz="4" w:space="0" w:color="auto"/>
            </w:tcBorders>
            <w:vAlign w:val="center"/>
          </w:tcPr>
          <w:p w14:paraId="399EE025" w14:textId="77777777" w:rsidR="006E095D" w:rsidRPr="00164238" w:rsidRDefault="006E095D" w:rsidP="00682CBF">
            <w:pPr>
              <w:rPr>
                <w:rFonts w:ascii="Times New Roman" w:hAnsi="Times New Roman" w:cs="Times New Roman"/>
                <w:color w:val="000000" w:themeColor="text1"/>
              </w:rPr>
            </w:pPr>
            <w:r w:rsidRPr="00164238">
              <w:rPr>
                <w:rFonts w:ascii="Times New Roman" w:hAnsi="Times New Roman" w:cs="Times New Roman"/>
                <w:color w:val="000000" w:themeColor="text1"/>
              </w:rPr>
              <w:t>Etkili</w:t>
            </w:r>
          </w:p>
        </w:tc>
        <w:tc>
          <w:tcPr>
            <w:tcW w:w="3685" w:type="dxa"/>
            <w:tcBorders>
              <w:top w:val="single" w:sz="4" w:space="0" w:color="auto"/>
            </w:tcBorders>
            <w:vAlign w:val="center"/>
          </w:tcPr>
          <w:p w14:paraId="1F09BE17" w14:textId="77777777" w:rsidR="006E095D" w:rsidRPr="00164238" w:rsidRDefault="006E095D" w:rsidP="00682CBF">
            <w:pPr>
              <w:spacing w:before="240" w:after="40"/>
              <w:rPr>
                <w:rFonts w:ascii="Times New Roman" w:hAnsi="Times New Roman" w:cs="Times New Roman"/>
                <w:color w:val="000000" w:themeColor="text1"/>
              </w:rPr>
            </w:pPr>
            <w:r w:rsidRPr="00164238">
              <w:rPr>
                <w:rFonts w:ascii="Times New Roman" w:hAnsi="Times New Roman" w:cs="Times New Roman"/>
                <w:color w:val="000000" w:themeColor="text1"/>
              </w:rPr>
              <w:t>Etkiyi varlık ve yükümlülüklerle ilişkilendiren</w:t>
            </w:r>
          </w:p>
        </w:tc>
        <w:tc>
          <w:tcPr>
            <w:tcW w:w="1418" w:type="dxa"/>
            <w:tcBorders>
              <w:top w:val="single" w:sz="4" w:space="0" w:color="auto"/>
            </w:tcBorders>
            <w:vAlign w:val="center"/>
          </w:tcPr>
          <w:p w14:paraId="53CE393E" w14:textId="77777777" w:rsidR="006E095D" w:rsidRPr="00164238" w:rsidRDefault="006E095D"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11</w:t>
            </w:r>
          </w:p>
        </w:tc>
      </w:tr>
      <w:tr w:rsidR="00164238" w:rsidRPr="00164238" w14:paraId="5AB1BD99" w14:textId="77777777" w:rsidTr="00682CBF">
        <w:trPr>
          <w:trHeight w:val="494"/>
        </w:trPr>
        <w:tc>
          <w:tcPr>
            <w:tcW w:w="1555" w:type="dxa"/>
            <w:vMerge/>
            <w:vAlign w:val="center"/>
          </w:tcPr>
          <w:p w14:paraId="5138428A" w14:textId="77777777" w:rsidR="006E095D" w:rsidRPr="00164238" w:rsidRDefault="006E095D" w:rsidP="00682CBF">
            <w:pPr>
              <w:rPr>
                <w:rFonts w:ascii="Times New Roman" w:hAnsi="Times New Roman" w:cs="Times New Roman"/>
                <w:color w:val="000000" w:themeColor="text1"/>
              </w:rPr>
            </w:pPr>
          </w:p>
        </w:tc>
        <w:tc>
          <w:tcPr>
            <w:tcW w:w="3685" w:type="dxa"/>
            <w:vAlign w:val="center"/>
          </w:tcPr>
          <w:p w14:paraId="765D930D" w14:textId="77777777" w:rsidR="006E095D" w:rsidRPr="00164238" w:rsidRDefault="006E095D" w:rsidP="00682CBF">
            <w:pPr>
              <w:spacing w:before="40" w:after="40"/>
              <w:rPr>
                <w:rFonts w:ascii="Times New Roman" w:hAnsi="Times New Roman" w:cs="Times New Roman"/>
                <w:color w:val="000000" w:themeColor="text1"/>
              </w:rPr>
            </w:pPr>
            <w:r w:rsidRPr="00164238">
              <w:rPr>
                <w:rFonts w:ascii="Times New Roman" w:hAnsi="Times New Roman" w:cs="Times New Roman"/>
                <w:color w:val="000000" w:themeColor="text1"/>
              </w:rPr>
              <w:t>Beklenen etkinin önemli derecede olmadığını açıklayan</w:t>
            </w:r>
          </w:p>
        </w:tc>
        <w:tc>
          <w:tcPr>
            <w:tcW w:w="1418" w:type="dxa"/>
            <w:vAlign w:val="center"/>
          </w:tcPr>
          <w:p w14:paraId="7EDF61A4" w14:textId="77777777" w:rsidR="006E095D" w:rsidRPr="00164238" w:rsidRDefault="006E095D"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3</w:t>
            </w:r>
          </w:p>
        </w:tc>
      </w:tr>
      <w:tr w:rsidR="00164238" w:rsidRPr="00164238" w14:paraId="55FAEB76" w14:textId="77777777" w:rsidTr="00682CBF">
        <w:trPr>
          <w:trHeight w:val="298"/>
        </w:trPr>
        <w:tc>
          <w:tcPr>
            <w:tcW w:w="1555" w:type="dxa"/>
            <w:vMerge/>
            <w:vAlign w:val="center"/>
          </w:tcPr>
          <w:p w14:paraId="6FC37B82" w14:textId="77777777" w:rsidR="006E095D" w:rsidRPr="00164238" w:rsidRDefault="006E095D" w:rsidP="00682CBF">
            <w:pPr>
              <w:rPr>
                <w:rFonts w:ascii="Times New Roman" w:hAnsi="Times New Roman" w:cs="Times New Roman"/>
                <w:color w:val="000000" w:themeColor="text1"/>
              </w:rPr>
            </w:pPr>
          </w:p>
        </w:tc>
        <w:tc>
          <w:tcPr>
            <w:tcW w:w="3685" w:type="dxa"/>
            <w:vAlign w:val="center"/>
          </w:tcPr>
          <w:p w14:paraId="39661DC4" w14:textId="77777777" w:rsidR="006E095D" w:rsidRPr="00164238" w:rsidRDefault="006E095D" w:rsidP="00682CBF">
            <w:pPr>
              <w:spacing w:before="40" w:after="40"/>
              <w:rPr>
                <w:rFonts w:ascii="Times New Roman" w:hAnsi="Times New Roman" w:cs="Times New Roman"/>
                <w:color w:val="000000" w:themeColor="text1"/>
              </w:rPr>
            </w:pPr>
            <w:r w:rsidRPr="00164238">
              <w:rPr>
                <w:rFonts w:ascii="Times New Roman" w:hAnsi="Times New Roman" w:cs="Times New Roman"/>
                <w:color w:val="000000" w:themeColor="text1"/>
              </w:rPr>
              <w:t>Olumlu yönde etki olduğunu açıklayan</w:t>
            </w:r>
          </w:p>
        </w:tc>
        <w:tc>
          <w:tcPr>
            <w:tcW w:w="1418" w:type="dxa"/>
            <w:vAlign w:val="center"/>
          </w:tcPr>
          <w:p w14:paraId="1D90C5A4" w14:textId="77777777" w:rsidR="006E095D" w:rsidRPr="00164238" w:rsidRDefault="006E095D"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4</w:t>
            </w:r>
          </w:p>
        </w:tc>
      </w:tr>
      <w:tr w:rsidR="00164238" w:rsidRPr="00164238" w14:paraId="0E9D8865" w14:textId="77777777" w:rsidTr="00682CBF">
        <w:trPr>
          <w:trHeight w:val="366"/>
        </w:trPr>
        <w:tc>
          <w:tcPr>
            <w:tcW w:w="5240" w:type="dxa"/>
            <w:gridSpan w:val="2"/>
            <w:vAlign w:val="center"/>
          </w:tcPr>
          <w:p w14:paraId="1627E144" w14:textId="77777777" w:rsidR="006E095D" w:rsidRPr="00164238" w:rsidRDefault="006E095D" w:rsidP="00682CBF">
            <w:pPr>
              <w:rPr>
                <w:rFonts w:ascii="Times New Roman" w:hAnsi="Times New Roman" w:cs="Times New Roman"/>
                <w:color w:val="000000" w:themeColor="text1"/>
              </w:rPr>
            </w:pPr>
            <w:r w:rsidRPr="00164238">
              <w:rPr>
                <w:rFonts w:ascii="Times New Roman" w:hAnsi="Times New Roman" w:cs="Times New Roman"/>
                <w:color w:val="000000" w:themeColor="text1"/>
              </w:rPr>
              <w:t>Etkili değil</w:t>
            </w:r>
          </w:p>
        </w:tc>
        <w:tc>
          <w:tcPr>
            <w:tcW w:w="1418" w:type="dxa"/>
            <w:vAlign w:val="center"/>
          </w:tcPr>
          <w:p w14:paraId="12F9A78D" w14:textId="77777777" w:rsidR="006E095D" w:rsidRPr="00164238" w:rsidRDefault="006E095D"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21</w:t>
            </w:r>
          </w:p>
        </w:tc>
      </w:tr>
      <w:tr w:rsidR="00164238" w:rsidRPr="00164238" w14:paraId="4E21E99E" w14:textId="77777777" w:rsidTr="00682CBF">
        <w:tc>
          <w:tcPr>
            <w:tcW w:w="5240" w:type="dxa"/>
            <w:gridSpan w:val="2"/>
            <w:tcBorders>
              <w:bottom w:val="single" w:sz="4" w:space="0" w:color="auto"/>
            </w:tcBorders>
            <w:vAlign w:val="center"/>
          </w:tcPr>
          <w:p w14:paraId="4C8638B2" w14:textId="77777777" w:rsidR="006E095D" w:rsidRPr="00164238" w:rsidRDefault="006E095D" w:rsidP="00682CBF">
            <w:pPr>
              <w:rPr>
                <w:rFonts w:ascii="Times New Roman" w:hAnsi="Times New Roman" w:cs="Times New Roman"/>
                <w:color w:val="000000" w:themeColor="text1"/>
              </w:rPr>
            </w:pPr>
            <w:r w:rsidRPr="00164238">
              <w:rPr>
                <w:rFonts w:ascii="Times New Roman" w:hAnsi="Times New Roman" w:cs="Times New Roman"/>
                <w:color w:val="000000" w:themeColor="text1"/>
              </w:rPr>
              <w:t>Açıklama yok</w:t>
            </w:r>
          </w:p>
        </w:tc>
        <w:tc>
          <w:tcPr>
            <w:tcW w:w="1418" w:type="dxa"/>
            <w:tcBorders>
              <w:bottom w:val="single" w:sz="4" w:space="0" w:color="auto"/>
            </w:tcBorders>
            <w:vAlign w:val="center"/>
          </w:tcPr>
          <w:p w14:paraId="5439F2BC" w14:textId="77777777" w:rsidR="006E095D" w:rsidRPr="00164238" w:rsidRDefault="006E095D"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56</w:t>
            </w:r>
          </w:p>
        </w:tc>
      </w:tr>
    </w:tbl>
    <w:p w14:paraId="060C2BA4" w14:textId="37FDF8E9" w:rsidR="006E095D" w:rsidRDefault="006E095D" w:rsidP="006E095D">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İşletmeler, COVID-19'un işletme üzerindeki etkisini finansal raporlarında </w:t>
      </w:r>
      <w:r w:rsidRPr="00164238">
        <w:rPr>
          <w:rFonts w:ascii="Times New Roman" w:hAnsi="Times New Roman" w:cs="Times New Roman"/>
          <w:i/>
          <w:color w:val="000000" w:themeColor="text1"/>
        </w:rPr>
        <w:t>Tablo 3</w:t>
      </w:r>
      <w:r w:rsidRPr="00164238">
        <w:rPr>
          <w:rFonts w:ascii="Times New Roman" w:hAnsi="Times New Roman" w:cs="Times New Roman"/>
          <w:color w:val="000000" w:themeColor="text1"/>
        </w:rPr>
        <w:t xml:space="preserve">’te gösterildiği şekilde açıklamışlardır.  Olumlu yönde etki olduğunu açıklayan 4 şirketten 1’i mali sektörde, 1’i toptan ve perakende ticaret, lokanta ve oteller, 2’si ise imalat sektöründe faaliyet göstermektedir. Beklenen etkinin önemli derecede olmadığını açıklayan 3 şirket ise; mali, elektrik gaz ve su, ulaştırma, depolama, haberleşme sektörlerinde yer almaktadır. Etkiyi varlık ve </w:t>
      </w:r>
      <w:r w:rsidRPr="00164238">
        <w:rPr>
          <w:rFonts w:ascii="Times New Roman" w:hAnsi="Times New Roman" w:cs="Times New Roman"/>
          <w:color w:val="000000" w:themeColor="text1"/>
        </w:rPr>
        <w:lastRenderedPageBreak/>
        <w:t>yükümlülüklerle ilişkilendiren 11 şirketin 6’sı mali sektör, 4’ü imalat, 1’i ise ulaştırma, depolama ve haberleşme sektörlerinde faaliyet göstermektedir.</w:t>
      </w:r>
    </w:p>
    <w:p w14:paraId="2542C2DC" w14:textId="77777777" w:rsidR="00E0308F" w:rsidRPr="00164238" w:rsidRDefault="00E0308F" w:rsidP="006E095D">
      <w:pPr>
        <w:spacing w:before="120" w:after="120" w:line="276" w:lineRule="auto"/>
        <w:ind w:firstLine="567"/>
        <w:jc w:val="both"/>
        <w:rPr>
          <w:rFonts w:ascii="Times New Roman" w:hAnsi="Times New Roman" w:cs="Times New Roman"/>
          <w:color w:val="000000" w:themeColor="text1"/>
        </w:rPr>
      </w:pPr>
    </w:p>
    <w:p w14:paraId="1BF2F2DE" w14:textId="77777777" w:rsidR="006E095D" w:rsidRPr="00164238" w:rsidRDefault="006E095D" w:rsidP="006E095D">
      <w:pPr>
        <w:spacing w:before="240"/>
        <w:rPr>
          <w:rFonts w:ascii="Times New Roman" w:hAnsi="Times New Roman" w:cs="Times New Roman"/>
          <w:bCs/>
          <w:color w:val="000000" w:themeColor="text1"/>
        </w:rPr>
      </w:pPr>
      <w:r w:rsidRPr="00164238">
        <w:rPr>
          <w:rFonts w:ascii="Times New Roman" w:hAnsi="Times New Roman" w:cs="Times New Roman"/>
          <w:bCs/>
          <w:i/>
          <w:color w:val="000000" w:themeColor="text1"/>
        </w:rPr>
        <w:t>Tablo 4</w:t>
      </w:r>
      <w:r w:rsidRPr="00164238">
        <w:rPr>
          <w:rFonts w:ascii="Times New Roman" w:hAnsi="Times New Roman" w:cs="Times New Roman"/>
          <w:bCs/>
          <w:color w:val="000000" w:themeColor="text1"/>
        </w:rPr>
        <w:t>. COVID-19'un Kârlılık Üzerindeki Etkisi</w:t>
      </w:r>
    </w:p>
    <w:tbl>
      <w:tblPr>
        <w:tblW w:w="0" w:type="auto"/>
        <w:tblLook w:val="04A0" w:firstRow="1" w:lastRow="0" w:firstColumn="1" w:lastColumn="0" w:noHBand="0" w:noVBand="1"/>
      </w:tblPr>
      <w:tblGrid>
        <w:gridCol w:w="3954"/>
        <w:gridCol w:w="1560"/>
      </w:tblGrid>
      <w:tr w:rsidR="00164238" w:rsidRPr="00164238" w14:paraId="1F2A3C8D" w14:textId="77777777" w:rsidTr="00682CBF">
        <w:tc>
          <w:tcPr>
            <w:tcW w:w="3954" w:type="dxa"/>
            <w:tcBorders>
              <w:top w:val="single" w:sz="4" w:space="0" w:color="auto"/>
              <w:bottom w:val="single" w:sz="4" w:space="0" w:color="auto"/>
            </w:tcBorders>
          </w:tcPr>
          <w:p w14:paraId="525C02A4" w14:textId="77777777" w:rsidR="006E095D" w:rsidRPr="00164238" w:rsidRDefault="006E095D" w:rsidP="00682CBF">
            <w:pPr>
              <w:rPr>
                <w:rFonts w:ascii="Times New Roman" w:hAnsi="Times New Roman" w:cs="Times New Roman"/>
                <w:bCs/>
                <w:color w:val="000000" w:themeColor="text1"/>
              </w:rPr>
            </w:pPr>
            <w:r w:rsidRPr="00164238">
              <w:rPr>
                <w:rFonts w:ascii="Times New Roman" w:hAnsi="Times New Roman" w:cs="Times New Roman"/>
                <w:bCs/>
                <w:color w:val="000000" w:themeColor="text1"/>
              </w:rPr>
              <w:t>Açıklama Türü</w:t>
            </w:r>
          </w:p>
        </w:tc>
        <w:tc>
          <w:tcPr>
            <w:tcW w:w="1560" w:type="dxa"/>
            <w:tcBorders>
              <w:top w:val="single" w:sz="4" w:space="0" w:color="auto"/>
              <w:bottom w:val="single" w:sz="4" w:space="0" w:color="auto"/>
            </w:tcBorders>
            <w:vAlign w:val="center"/>
          </w:tcPr>
          <w:p w14:paraId="2EDE3F2C" w14:textId="77777777" w:rsidR="006E095D" w:rsidRPr="00164238" w:rsidRDefault="006E095D" w:rsidP="00682CBF">
            <w:pPr>
              <w:jc w:val="center"/>
              <w:rPr>
                <w:rFonts w:ascii="Times New Roman" w:hAnsi="Times New Roman" w:cs="Times New Roman"/>
                <w:bCs/>
                <w:color w:val="000000" w:themeColor="text1"/>
              </w:rPr>
            </w:pPr>
            <w:r w:rsidRPr="00164238">
              <w:rPr>
                <w:rFonts w:ascii="Times New Roman" w:hAnsi="Times New Roman" w:cs="Times New Roman"/>
                <w:bCs/>
                <w:color w:val="000000" w:themeColor="text1"/>
              </w:rPr>
              <w:t>Şirket Sayısı</w:t>
            </w:r>
          </w:p>
        </w:tc>
      </w:tr>
      <w:tr w:rsidR="00164238" w:rsidRPr="00164238" w14:paraId="25993A07" w14:textId="77777777" w:rsidTr="00682CBF">
        <w:tc>
          <w:tcPr>
            <w:tcW w:w="3954" w:type="dxa"/>
            <w:tcBorders>
              <w:top w:val="single" w:sz="4" w:space="0" w:color="auto"/>
            </w:tcBorders>
          </w:tcPr>
          <w:p w14:paraId="32619E3A" w14:textId="77777777" w:rsidR="006E095D" w:rsidRPr="00164238" w:rsidRDefault="006E095D" w:rsidP="00682CBF">
            <w:pPr>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Kâr açıklayan </w:t>
            </w:r>
          </w:p>
        </w:tc>
        <w:tc>
          <w:tcPr>
            <w:tcW w:w="1560" w:type="dxa"/>
            <w:tcBorders>
              <w:top w:val="single" w:sz="4" w:space="0" w:color="auto"/>
            </w:tcBorders>
            <w:vAlign w:val="center"/>
          </w:tcPr>
          <w:p w14:paraId="65FFE8F7" w14:textId="77777777" w:rsidR="006E095D" w:rsidRPr="00164238" w:rsidRDefault="006E095D" w:rsidP="00682CBF">
            <w:pPr>
              <w:jc w:val="center"/>
              <w:rPr>
                <w:rFonts w:ascii="Times New Roman" w:hAnsi="Times New Roman" w:cs="Times New Roman"/>
                <w:bCs/>
                <w:color w:val="000000" w:themeColor="text1"/>
              </w:rPr>
            </w:pPr>
            <w:r w:rsidRPr="00164238">
              <w:rPr>
                <w:rFonts w:ascii="Times New Roman" w:hAnsi="Times New Roman" w:cs="Times New Roman"/>
                <w:bCs/>
                <w:color w:val="000000" w:themeColor="text1"/>
              </w:rPr>
              <w:t>87</w:t>
            </w:r>
          </w:p>
        </w:tc>
      </w:tr>
      <w:tr w:rsidR="00164238" w:rsidRPr="00164238" w14:paraId="0B3C8ED0" w14:textId="77777777" w:rsidTr="00682CBF">
        <w:tc>
          <w:tcPr>
            <w:tcW w:w="3954" w:type="dxa"/>
          </w:tcPr>
          <w:p w14:paraId="0253E069" w14:textId="77777777" w:rsidR="006E095D" w:rsidRPr="00164238" w:rsidRDefault="006E095D" w:rsidP="00682CBF">
            <w:pPr>
              <w:rPr>
                <w:rFonts w:ascii="Times New Roman" w:hAnsi="Times New Roman" w:cs="Times New Roman"/>
                <w:bCs/>
                <w:color w:val="000000" w:themeColor="text1"/>
              </w:rPr>
            </w:pPr>
            <w:r w:rsidRPr="00164238">
              <w:rPr>
                <w:rFonts w:ascii="Times New Roman" w:hAnsi="Times New Roman" w:cs="Times New Roman"/>
                <w:bCs/>
                <w:color w:val="000000" w:themeColor="text1"/>
              </w:rPr>
              <w:t>Zarar açıklayan</w:t>
            </w:r>
          </w:p>
        </w:tc>
        <w:tc>
          <w:tcPr>
            <w:tcW w:w="1560" w:type="dxa"/>
            <w:vAlign w:val="center"/>
          </w:tcPr>
          <w:p w14:paraId="66D4C2A8" w14:textId="77777777" w:rsidR="006E095D" w:rsidRPr="00164238" w:rsidRDefault="006E095D" w:rsidP="00682CBF">
            <w:pPr>
              <w:jc w:val="center"/>
              <w:rPr>
                <w:rFonts w:ascii="Times New Roman" w:hAnsi="Times New Roman" w:cs="Times New Roman"/>
                <w:bCs/>
                <w:color w:val="000000" w:themeColor="text1"/>
              </w:rPr>
            </w:pPr>
            <w:r w:rsidRPr="00164238">
              <w:rPr>
                <w:rFonts w:ascii="Times New Roman" w:hAnsi="Times New Roman" w:cs="Times New Roman"/>
                <w:bCs/>
                <w:color w:val="000000" w:themeColor="text1"/>
              </w:rPr>
              <w:t>12</w:t>
            </w:r>
          </w:p>
        </w:tc>
      </w:tr>
      <w:tr w:rsidR="00164238" w:rsidRPr="00164238" w14:paraId="22BA3A1B" w14:textId="77777777" w:rsidTr="00682CBF">
        <w:tc>
          <w:tcPr>
            <w:tcW w:w="3954" w:type="dxa"/>
            <w:tcBorders>
              <w:bottom w:val="single" w:sz="4" w:space="0" w:color="auto"/>
            </w:tcBorders>
          </w:tcPr>
          <w:p w14:paraId="2D3F7BA2" w14:textId="77777777" w:rsidR="006E095D" w:rsidRPr="00164238" w:rsidRDefault="006E095D" w:rsidP="00682CBF">
            <w:pPr>
              <w:rPr>
                <w:rFonts w:ascii="Times New Roman" w:hAnsi="Times New Roman" w:cs="Times New Roman"/>
                <w:bCs/>
                <w:color w:val="000000" w:themeColor="text1"/>
              </w:rPr>
            </w:pPr>
            <w:r w:rsidRPr="00164238">
              <w:rPr>
                <w:rFonts w:ascii="Times New Roman" w:hAnsi="Times New Roman" w:cs="Times New Roman"/>
                <w:bCs/>
                <w:color w:val="000000" w:themeColor="text1"/>
              </w:rPr>
              <w:t>Kâr/zarar ile Covid-19’u ilişkilendiren</w:t>
            </w:r>
          </w:p>
        </w:tc>
        <w:tc>
          <w:tcPr>
            <w:tcW w:w="1560" w:type="dxa"/>
            <w:tcBorders>
              <w:bottom w:val="single" w:sz="4" w:space="0" w:color="auto"/>
            </w:tcBorders>
            <w:vAlign w:val="center"/>
          </w:tcPr>
          <w:p w14:paraId="7776C6EC" w14:textId="77777777" w:rsidR="006E095D" w:rsidRPr="00164238" w:rsidRDefault="006E095D" w:rsidP="00682CBF">
            <w:pPr>
              <w:jc w:val="center"/>
              <w:rPr>
                <w:rFonts w:ascii="Times New Roman" w:hAnsi="Times New Roman" w:cs="Times New Roman"/>
                <w:bCs/>
                <w:color w:val="000000" w:themeColor="text1"/>
              </w:rPr>
            </w:pPr>
            <w:r w:rsidRPr="00164238">
              <w:rPr>
                <w:rFonts w:ascii="Times New Roman" w:hAnsi="Times New Roman" w:cs="Times New Roman"/>
                <w:bCs/>
                <w:color w:val="000000" w:themeColor="text1"/>
              </w:rPr>
              <w:t>4</w:t>
            </w:r>
          </w:p>
        </w:tc>
      </w:tr>
    </w:tbl>
    <w:p w14:paraId="5D53E6B6" w14:textId="77777777" w:rsidR="006E095D" w:rsidRPr="00164238" w:rsidRDefault="006E095D" w:rsidP="006E095D">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COVID-19'un işletmelerin kârlılığı üzerindeki etkisi incelendiğinde iki şirket kârın salgın sebebiyle yüzdesel olarak azaldığını belirtmiştir. Bu şirketlerden biri mali sektörde diğeri de imalat sektöründe faaliyet göstermektedir.  İki işletme de COVID-19’un zarara neden olduğunu finansal raporlarında açıklamıştır. Bu işletmeler de yine mali sektör ve imalat sektöründe yer almaktadır.</w:t>
      </w:r>
    </w:p>
    <w:p w14:paraId="76C6CA33" w14:textId="77777777" w:rsidR="006E095D" w:rsidRPr="00164238" w:rsidRDefault="006E095D" w:rsidP="006E095D">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bCs/>
          <w:i/>
          <w:color w:val="000000" w:themeColor="text1"/>
        </w:rPr>
        <w:t xml:space="preserve">Tablo 5. </w:t>
      </w:r>
      <w:r w:rsidRPr="00164238">
        <w:rPr>
          <w:rFonts w:ascii="Times New Roman" w:hAnsi="Times New Roman" w:cs="Times New Roman"/>
          <w:bCs/>
          <w:color w:val="000000" w:themeColor="text1"/>
        </w:rPr>
        <w:t>COVID-19'un İşletmenin Sürekliliği Üzerindeki Etkisi</w:t>
      </w:r>
    </w:p>
    <w:tbl>
      <w:tblPr>
        <w:tblW w:w="0" w:type="auto"/>
        <w:tblLook w:val="04A0" w:firstRow="1" w:lastRow="0" w:firstColumn="1" w:lastColumn="0" w:noHBand="0" w:noVBand="1"/>
      </w:tblPr>
      <w:tblGrid>
        <w:gridCol w:w="5797"/>
        <w:gridCol w:w="1701"/>
      </w:tblGrid>
      <w:tr w:rsidR="00164238" w:rsidRPr="00164238" w14:paraId="184A05B4" w14:textId="77777777" w:rsidTr="00682CBF">
        <w:trPr>
          <w:trHeight w:val="254"/>
        </w:trPr>
        <w:tc>
          <w:tcPr>
            <w:tcW w:w="5797" w:type="dxa"/>
            <w:tcBorders>
              <w:top w:val="single" w:sz="4" w:space="0" w:color="auto"/>
              <w:bottom w:val="single" w:sz="4" w:space="0" w:color="auto"/>
            </w:tcBorders>
          </w:tcPr>
          <w:p w14:paraId="434810EC" w14:textId="77777777" w:rsidR="006E095D" w:rsidRPr="00164238" w:rsidRDefault="006E095D" w:rsidP="00682CBF">
            <w:pPr>
              <w:spacing w:line="276" w:lineRule="auto"/>
              <w:rPr>
                <w:rFonts w:ascii="Times New Roman" w:hAnsi="Times New Roman" w:cs="Times New Roman"/>
                <w:bCs/>
                <w:color w:val="000000" w:themeColor="text1"/>
              </w:rPr>
            </w:pPr>
            <w:r w:rsidRPr="00164238">
              <w:rPr>
                <w:rFonts w:ascii="Times New Roman" w:hAnsi="Times New Roman" w:cs="Times New Roman"/>
                <w:bCs/>
                <w:color w:val="000000" w:themeColor="text1"/>
              </w:rPr>
              <w:t>Açıklama Türü</w:t>
            </w:r>
          </w:p>
        </w:tc>
        <w:tc>
          <w:tcPr>
            <w:tcW w:w="1701" w:type="dxa"/>
            <w:tcBorders>
              <w:top w:val="single" w:sz="4" w:space="0" w:color="auto"/>
              <w:bottom w:val="single" w:sz="4" w:space="0" w:color="auto"/>
            </w:tcBorders>
            <w:vAlign w:val="center"/>
          </w:tcPr>
          <w:p w14:paraId="3EBDF418" w14:textId="77777777" w:rsidR="006E095D" w:rsidRPr="00164238" w:rsidRDefault="006E095D" w:rsidP="00682CBF">
            <w:pPr>
              <w:spacing w:line="276" w:lineRule="auto"/>
              <w:ind w:firstLine="321"/>
              <w:jc w:val="center"/>
              <w:rPr>
                <w:rFonts w:ascii="Times New Roman" w:hAnsi="Times New Roman" w:cs="Times New Roman"/>
                <w:bCs/>
                <w:color w:val="000000" w:themeColor="text1"/>
              </w:rPr>
            </w:pPr>
            <w:r w:rsidRPr="00164238">
              <w:rPr>
                <w:rFonts w:ascii="Times New Roman" w:hAnsi="Times New Roman" w:cs="Times New Roman"/>
                <w:bCs/>
                <w:color w:val="000000" w:themeColor="text1"/>
              </w:rPr>
              <w:t>Şirket Sayısı</w:t>
            </w:r>
          </w:p>
        </w:tc>
      </w:tr>
      <w:tr w:rsidR="00164238" w:rsidRPr="00164238" w14:paraId="1709E6C6" w14:textId="77777777" w:rsidTr="00682CBF">
        <w:trPr>
          <w:trHeight w:val="142"/>
        </w:trPr>
        <w:tc>
          <w:tcPr>
            <w:tcW w:w="5797" w:type="dxa"/>
            <w:tcBorders>
              <w:top w:val="single" w:sz="4" w:space="0" w:color="auto"/>
            </w:tcBorders>
          </w:tcPr>
          <w:p w14:paraId="6AC97AB8" w14:textId="77777777" w:rsidR="006E095D" w:rsidRPr="00164238" w:rsidRDefault="006E095D" w:rsidP="00682CBF">
            <w:pPr>
              <w:rPr>
                <w:rFonts w:ascii="Times New Roman" w:hAnsi="Times New Roman" w:cs="Times New Roman"/>
                <w:bCs/>
                <w:color w:val="000000" w:themeColor="text1"/>
              </w:rPr>
            </w:pPr>
            <w:r w:rsidRPr="00164238">
              <w:rPr>
                <w:rFonts w:ascii="Times New Roman" w:hAnsi="Times New Roman" w:cs="Times New Roman"/>
                <w:bCs/>
                <w:color w:val="000000" w:themeColor="text1"/>
              </w:rPr>
              <w:t>Sürekliliğe ilişkin açıklama yapan</w:t>
            </w:r>
          </w:p>
        </w:tc>
        <w:tc>
          <w:tcPr>
            <w:tcW w:w="1701" w:type="dxa"/>
            <w:tcBorders>
              <w:top w:val="single" w:sz="4" w:space="0" w:color="auto"/>
            </w:tcBorders>
          </w:tcPr>
          <w:p w14:paraId="4E75C4C0" w14:textId="77777777" w:rsidR="006E095D" w:rsidRPr="00164238" w:rsidRDefault="006E095D" w:rsidP="00682CBF">
            <w:pPr>
              <w:jc w:val="center"/>
              <w:rPr>
                <w:rFonts w:ascii="Times New Roman" w:hAnsi="Times New Roman" w:cs="Times New Roman"/>
                <w:bCs/>
                <w:color w:val="000000" w:themeColor="text1"/>
              </w:rPr>
            </w:pPr>
            <w:r w:rsidRPr="00164238">
              <w:rPr>
                <w:rFonts w:ascii="Times New Roman" w:hAnsi="Times New Roman" w:cs="Times New Roman"/>
                <w:bCs/>
                <w:color w:val="000000" w:themeColor="text1"/>
              </w:rPr>
              <w:t>55</w:t>
            </w:r>
          </w:p>
        </w:tc>
      </w:tr>
      <w:tr w:rsidR="00164238" w:rsidRPr="00164238" w14:paraId="3C718988" w14:textId="77777777" w:rsidTr="00682CBF">
        <w:trPr>
          <w:trHeight w:val="183"/>
        </w:trPr>
        <w:tc>
          <w:tcPr>
            <w:tcW w:w="5797" w:type="dxa"/>
          </w:tcPr>
          <w:p w14:paraId="71E6F86B" w14:textId="77777777" w:rsidR="006E095D" w:rsidRPr="00164238" w:rsidRDefault="006E095D" w:rsidP="00682CBF">
            <w:pPr>
              <w:rPr>
                <w:rFonts w:ascii="Times New Roman" w:hAnsi="Times New Roman" w:cs="Times New Roman"/>
                <w:bCs/>
                <w:color w:val="000000" w:themeColor="text1"/>
              </w:rPr>
            </w:pPr>
            <w:r w:rsidRPr="00164238">
              <w:rPr>
                <w:rFonts w:ascii="Times New Roman" w:hAnsi="Times New Roman" w:cs="Times New Roman"/>
                <w:bCs/>
                <w:color w:val="000000" w:themeColor="text1"/>
              </w:rPr>
              <w:t>Covid-19’un süreklilik üzerinde etkisi olduğunu belirten</w:t>
            </w:r>
          </w:p>
        </w:tc>
        <w:tc>
          <w:tcPr>
            <w:tcW w:w="1701" w:type="dxa"/>
          </w:tcPr>
          <w:p w14:paraId="44D50D71" w14:textId="77777777" w:rsidR="006E095D" w:rsidRPr="00164238" w:rsidRDefault="006E095D" w:rsidP="00682CBF">
            <w:pPr>
              <w:jc w:val="center"/>
              <w:rPr>
                <w:rFonts w:ascii="Times New Roman" w:hAnsi="Times New Roman" w:cs="Times New Roman"/>
                <w:bCs/>
                <w:color w:val="000000" w:themeColor="text1"/>
              </w:rPr>
            </w:pPr>
            <w:r w:rsidRPr="00164238">
              <w:rPr>
                <w:rFonts w:ascii="Times New Roman" w:hAnsi="Times New Roman" w:cs="Times New Roman"/>
                <w:bCs/>
                <w:color w:val="000000" w:themeColor="text1"/>
              </w:rPr>
              <w:t>1</w:t>
            </w:r>
          </w:p>
        </w:tc>
      </w:tr>
      <w:tr w:rsidR="00164238" w:rsidRPr="00164238" w14:paraId="4132D9BC" w14:textId="77777777" w:rsidTr="00682CBF">
        <w:trPr>
          <w:trHeight w:val="216"/>
        </w:trPr>
        <w:tc>
          <w:tcPr>
            <w:tcW w:w="5797" w:type="dxa"/>
          </w:tcPr>
          <w:p w14:paraId="6AB60C4E" w14:textId="77777777" w:rsidR="006E095D" w:rsidRPr="00164238" w:rsidRDefault="006E095D" w:rsidP="00682CBF">
            <w:pPr>
              <w:rPr>
                <w:rFonts w:ascii="Times New Roman" w:hAnsi="Times New Roman" w:cs="Times New Roman"/>
                <w:bCs/>
                <w:color w:val="000000" w:themeColor="text1"/>
              </w:rPr>
            </w:pPr>
            <w:r w:rsidRPr="00164238">
              <w:rPr>
                <w:rFonts w:ascii="Times New Roman" w:hAnsi="Times New Roman" w:cs="Times New Roman"/>
                <w:bCs/>
                <w:color w:val="000000" w:themeColor="text1"/>
              </w:rPr>
              <w:t>Covid-19’un süreklilik üzerinde etkisi olmadığını belirten</w:t>
            </w:r>
          </w:p>
        </w:tc>
        <w:tc>
          <w:tcPr>
            <w:tcW w:w="1701" w:type="dxa"/>
          </w:tcPr>
          <w:p w14:paraId="65030DBC" w14:textId="77777777" w:rsidR="006E095D" w:rsidRPr="00164238" w:rsidRDefault="006E095D" w:rsidP="00682CBF">
            <w:pPr>
              <w:jc w:val="center"/>
              <w:rPr>
                <w:rFonts w:ascii="Times New Roman" w:hAnsi="Times New Roman" w:cs="Times New Roman"/>
                <w:bCs/>
                <w:color w:val="000000" w:themeColor="text1"/>
              </w:rPr>
            </w:pPr>
            <w:r w:rsidRPr="00164238">
              <w:rPr>
                <w:rFonts w:ascii="Times New Roman" w:hAnsi="Times New Roman" w:cs="Times New Roman"/>
                <w:bCs/>
                <w:color w:val="000000" w:themeColor="text1"/>
              </w:rPr>
              <w:t>6</w:t>
            </w:r>
          </w:p>
        </w:tc>
      </w:tr>
      <w:tr w:rsidR="00164238" w:rsidRPr="00164238" w14:paraId="022A8745" w14:textId="77777777" w:rsidTr="00682CBF">
        <w:trPr>
          <w:trHeight w:val="508"/>
        </w:trPr>
        <w:tc>
          <w:tcPr>
            <w:tcW w:w="5797" w:type="dxa"/>
          </w:tcPr>
          <w:p w14:paraId="56D7E57A" w14:textId="77777777" w:rsidR="006E095D" w:rsidRPr="00164238" w:rsidRDefault="006E095D" w:rsidP="00682CBF">
            <w:pPr>
              <w:rPr>
                <w:rFonts w:ascii="Times New Roman" w:hAnsi="Times New Roman" w:cs="Times New Roman"/>
                <w:bCs/>
                <w:color w:val="000000" w:themeColor="text1"/>
              </w:rPr>
            </w:pPr>
            <w:r w:rsidRPr="00164238">
              <w:rPr>
                <w:rFonts w:ascii="Times New Roman" w:hAnsi="Times New Roman" w:cs="Times New Roman"/>
                <w:bCs/>
                <w:color w:val="000000" w:themeColor="text1"/>
              </w:rPr>
              <w:t>Sürekliliğe ilişkin açıklama yapmasına rağmen Covid-19 ile ilgili bir açıklama yapmayan</w:t>
            </w:r>
          </w:p>
        </w:tc>
        <w:tc>
          <w:tcPr>
            <w:tcW w:w="1701" w:type="dxa"/>
          </w:tcPr>
          <w:p w14:paraId="338B4D8A" w14:textId="77777777" w:rsidR="006E095D" w:rsidRPr="00164238" w:rsidRDefault="006E095D" w:rsidP="00682CBF">
            <w:pPr>
              <w:jc w:val="center"/>
              <w:rPr>
                <w:rFonts w:ascii="Times New Roman" w:hAnsi="Times New Roman" w:cs="Times New Roman"/>
                <w:bCs/>
                <w:color w:val="000000" w:themeColor="text1"/>
              </w:rPr>
            </w:pPr>
            <w:r w:rsidRPr="00164238">
              <w:rPr>
                <w:rFonts w:ascii="Times New Roman" w:hAnsi="Times New Roman" w:cs="Times New Roman"/>
                <w:bCs/>
                <w:color w:val="000000" w:themeColor="text1"/>
              </w:rPr>
              <w:t>48</w:t>
            </w:r>
          </w:p>
        </w:tc>
      </w:tr>
      <w:tr w:rsidR="00164238" w:rsidRPr="00164238" w14:paraId="2409B080" w14:textId="77777777" w:rsidTr="00682CBF">
        <w:trPr>
          <w:trHeight w:val="292"/>
        </w:trPr>
        <w:tc>
          <w:tcPr>
            <w:tcW w:w="5797" w:type="dxa"/>
            <w:tcBorders>
              <w:bottom w:val="single" w:sz="4" w:space="0" w:color="auto"/>
            </w:tcBorders>
          </w:tcPr>
          <w:p w14:paraId="34941744" w14:textId="77777777" w:rsidR="006E095D" w:rsidRPr="00164238" w:rsidRDefault="006E095D" w:rsidP="00682CBF">
            <w:pPr>
              <w:rPr>
                <w:rFonts w:ascii="Times New Roman" w:hAnsi="Times New Roman" w:cs="Times New Roman"/>
                <w:bCs/>
                <w:color w:val="000000" w:themeColor="text1"/>
              </w:rPr>
            </w:pPr>
            <w:r w:rsidRPr="00164238">
              <w:rPr>
                <w:rFonts w:ascii="Times New Roman" w:hAnsi="Times New Roman" w:cs="Times New Roman"/>
                <w:bCs/>
                <w:color w:val="000000" w:themeColor="text1"/>
              </w:rPr>
              <w:t>Sürekliliğe ilişkin açıklama yapmayan</w:t>
            </w:r>
          </w:p>
        </w:tc>
        <w:tc>
          <w:tcPr>
            <w:tcW w:w="1701" w:type="dxa"/>
            <w:tcBorders>
              <w:bottom w:val="single" w:sz="4" w:space="0" w:color="auto"/>
            </w:tcBorders>
          </w:tcPr>
          <w:p w14:paraId="304D6432" w14:textId="77777777" w:rsidR="006E095D" w:rsidRPr="00164238" w:rsidRDefault="006E095D" w:rsidP="00682CBF">
            <w:pPr>
              <w:jc w:val="center"/>
              <w:rPr>
                <w:rFonts w:ascii="Times New Roman" w:hAnsi="Times New Roman" w:cs="Times New Roman"/>
                <w:bCs/>
                <w:color w:val="000000" w:themeColor="text1"/>
              </w:rPr>
            </w:pPr>
            <w:r w:rsidRPr="00164238">
              <w:rPr>
                <w:rFonts w:ascii="Times New Roman" w:hAnsi="Times New Roman" w:cs="Times New Roman"/>
                <w:bCs/>
                <w:color w:val="000000" w:themeColor="text1"/>
              </w:rPr>
              <w:t>44</w:t>
            </w:r>
          </w:p>
        </w:tc>
      </w:tr>
    </w:tbl>
    <w:p w14:paraId="22C4EC47" w14:textId="77777777" w:rsidR="006E095D" w:rsidRPr="00164238" w:rsidRDefault="006E095D" w:rsidP="006E095D">
      <w:pPr>
        <w:spacing w:before="120" w:after="120" w:line="276" w:lineRule="auto"/>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COVID-19’un süreklilik üzerinde etkisi olduğunu belirten şirket mali sektörde faaliyet göstermektedir ve bütçe tahminlerinin geçerliliğini yitirdiğini belirtmiştir.</w:t>
      </w:r>
    </w:p>
    <w:p w14:paraId="0DE7AD9D" w14:textId="77777777" w:rsidR="006E095D" w:rsidRPr="00164238" w:rsidRDefault="006E095D" w:rsidP="006E095D">
      <w:pPr>
        <w:spacing w:before="120" w:line="276" w:lineRule="auto"/>
        <w:jc w:val="both"/>
        <w:rPr>
          <w:rFonts w:ascii="Times New Roman" w:hAnsi="Times New Roman" w:cs="Times New Roman"/>
          <w:bCs/>
          <w:color w:val="000000" w:themeColor="text1"/>
        </w:rPr>
      </w:pPr>
      <w:r w:rsidRPr="00164238">
        <w:rPr>
          <w:rFonts w:ascii="Times New Roman" w:hAnsi="Times New Roman" w:cs="Times New Roman"/>
          <w:bCs/>
          <w:i/>
          <w:color w:val="000000" w:themeColor="text1"/>
        </w:rPr>
        <w:t>Tablo 6</w:t>
      </w:r>
      <w:r w:rsidRPr="00164238">
        <w:rPr>
          <w:rFonts w:ascii="Times New Roman" w:hAnsi="Times New Roman" w:cs="Times New Roman"/>
          <w:bCs/>
          <w:color w:val="000000" w:themeColor="text1"/>
        </w:rPr>
        <w:t>. COVID-19'un Muhasebe Tahmin ve Varsayımları Üzerine Etkisi</w:t>
      </w:r>
    </w:p>
    <w:tbl>
      <w:tblPr>
        <w:tblW w:w="0" w:type="auto"/>
        <w:tblLayout w:type="fixed"/>
        <w:tblLook w:val="04A0" w:firstRow="1" w:lastRow="0" w:firstColumn="1" w:lastColumn="0" w:noHBand="0" w:noVBand="1"/>
      </w:tblPr>
      <w:tblGrid>
        <w:gridCol w:w="995"/>
        <w:gridCol w:w="5951"/>
        <w:gridCol w:w="1299"/>
        <w:gridCol w:w="260"/>
      </w:tblGrid>
      <w:tr w:rsidR="006E095D" w:rsidRPr="00164238" w14:paraId="788D3F94" w14:textId="77777777" w:rsidTr="00682CBF">
        <w:tc>
          <w:tcPr>
            <w:tcW w:w="6946" w:type="dxa"/>
            <w:gridSpan w:val="2"/>
            <w:tcBorders>
              <w:top w:val="single" w:sz="4" w:space="0" w:color="auto"/>
              <w:bottom w:val="single" w:sz="4" w:space="0" w:color="auto"/>
            </w:tcBorders>
          </w:tcPr>
          <w:p w14:paraId="0BFC1FF4" w14:textId="77777777" w:rsidR="006E095D" w:rsidRPr="00164238" w:rsidRDefault="006E095D" w:rsidP="001E0B0D">
            <w:pPr>
              <w:spacing w:line="240" w:lineRule="auto"/>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Açıklama Türü</w:t>
            </w:r>
          </w:p>
        </w:tc>
        <w:tc>
          <w:tcPr>
            <w:tcW w:w="1559" w:type="dxa"/>
            <w:gridSpan w:val="2"/>
            <w:tcBorders>
              <w:top w:val="single" w:sz="4" w:space="0" w:color="auto"/>
              <w:bottom w:val="single" w:sz="4" w:space="0" w:color="auto"/>
            </w:tcBorders>
          </w:tcPr>
          <w:p w14:paraId="626284CB" w14:textId="77777777" w:rsidR="006E095D" w:rsidRPr="00164238" w:rsidRDefault="006E095D" w:rsidP="001E0B0D">
            <w:pPr>
              <w:spacing w:line="240" w:lineRule="auto"/>
              <w:jc w:val="center"/>
              <w:rPr>
                <w:rFonts w:ascii="Times New Roman" w:hAnsi="Times New Roman" w:cs="Times New Roman"/>
                <w:bCs/>
                <w:color w:val="000000" w:themeColor="text1"/>
              </w:rPr>
            </w:pPr>
            <w:r w:rsidRPr="00164238">
              <w:rPr>
                <w:rFonts w:ascii="Times New Roman" w:hAnsi="Times New Roman" w:cs="Times New Roman"/>
                <w:bCs/>
                <w:color w:val="000000" w:themeColor="text1"/>
              </w:rPr>
              <w:t>Şirket Sayısı</w:t>
            </w:r>
          </w:p>
        </w:tc>
      </w:tr>
      <w:tr w:rsidR="006E095D" w:rsidRPr="00164238" w14:paraId="0C6D5B7F" w14:textId="77777777" w:rsidTr="00682CBF">
        <w:trPr>
          <w:trHeight w:val="163"/>
        </w:trPr>
        <w:tc>
          <w:tcPr>
            <w:tcW w:w="6946" w:type="dxa"/>
            <w:gridSpan w:val="2"/>
            <w:tcBorders>
              <w:top w:val="single" w:sz="4" w:space="0" w:color="auto"/>
            </w:tcBorders>
          </w:tcPr>
          <w:p w14:paraId="5DCCF6D1" w14:textId="77777777" w:rsidR="006E095D" w:rsidRPr="00164238" w:rsidRDefault="006E095D" w:rsidP="001E0B0D">
            <w:pPr>
              <w:spacing w:line="240" w:lineRule="auto"/>
              <w:jc w:val="both"/>
              <w:rPr>
                <w:rFonts w:ascii="Times New Roman" w:hAnsi="Times New Roman" w:cs="Times New Roman"/>
                <w:b/>
                <w:bCs/>
                <w:color w:val="000000" w:themeColor="text1"/>
              </w:rPr>
            </w:pPr>
            <w:r w:rsidRPr="00164238">
              <w:rPr>
                <w:rFonts w:ascii="Times New Roman" w:hAnsi="Times New Roman" w:cs="Times New Roman"/>
                <w:bCs/>
                <w:color w:val="000000" w:themeColor="text1"/>
              </w:rPr>
              <w:t>Covid-19’un muhasebe tahmin ve varsayımları üzerine etkisi vardır.</w:t>
            </w:r>
          </w:p>
        </w:tc>
        <w:tc>
          <w:tcPr>
            <w:tcW w:w="1559" w:type="dxa"/>
            <w:gridSpan w:val="2"/>
            <w:tcBorders>
              <w:top w:val="single" w:sz="4" w:space="0" w:color="auto"/>
            </w:tcBorders>
          </w:tcPr>
          <w:p w14:paraId="1B25990E" w14:textId="77777777" w:rsidR="006E095D" w:rsidRPr="00164238" w:rsidRDefault="006E095D" w:rsidP="001E0B0D">
            <w:pPr>
              <w:spacing w:line="240" w:lineRule="auto"/>
              <w:jc w:val="center"/>
              <w:rPr>
                <w:rFonts w:ascii="Times New Roman" w:hAnsi="Times New Roman" w:cs="Times New Roman"/>
                <w:bCs/>
                <w:color w:val="000000" w:themeColor="text1"/>
              </w:rPr>
            </w:pPr>
            <w:r w:rsidRPr="00164238">
              <w:rPr>
                <w:rFonts w:ascii="Times New Roman" w:hAnsi="Times New Roman" w:cs="Times New Roman"/>
                <w:bCs/>
                <w:color w:val="000000" w:themeColor="text1"/>
              </w:rPr>
              <w:t>16</w:t>
            </w:r>
          </w:p>
        </w:tc>
      </w:tr>
      <w:tr w:rsidR="006E095D" w:rsidRPr="00164238" w14:paraId="29C9DBE6" w14:textId="77777777" w:rsidTr="00682CBF">
        <w:trPr>
          <w:trHeight w:val="301"/>
        </w:trPr>
        <w:tc>
          <w:tcPr>
            <w:tcW w:w="995" w:type="dxa"/>
            <w:vAlign w:val="center"/>
          </w:tcPr>
          <w:p w14:paraId="5A5BCD75" w14:textId="77777777" w:rsidR="006E095D" w:rsidRPr="00164238" w:rsidRDefault="006E095D" w:rsidP="001E0B0D">
            <w:pPr>
              <w:spacing w:line="240" w:lineRule="auto"/>
              <w:rPr>
                <w:rFonts w:ascii="Times New Roman" w:hAnsi="Times New Roman" w:cs="Times New Roman"/>
                <w:bCs/>
                <w:color w:val="000000" w:themeColor="text1"/>
                <w:u w:val="single"/>
              </w:rPr>
            </w:pPr>
          </w:p>
        </w:tc>
        <w:tc>
          <w:tcPr>
            <w:tcW w:w="5951" w:type="dxa"/>
            <w:vAlign w:val="center"/>
          </w:tcPr>
          <w:p w14:paraId="0EE5F5CC" w14:textId="77777777" w:rsidR="006E095D" w:rsidRPr="00164238" w:rsidRDefault="006E095D" w:rsidP="001E0B0D">
            <w:pPr>
              <w:spacing w:line="240" w:lineRule="auto"/>
              <w:rPr>
                <w:rFonts w:ascii="Times New Roman" w:hAnsi="Times New Roman" w:cs="Times New Roman"/>
                <w:bCs/>
                <w:i/>
                <w:color w:val="000000" w:themeColor="text1"/>
                <w:u w:val="single"/>
              </w:rPr>
            </w:pPr>
            <w:r w:rsidRPr="00164238">
              <w:rPr>
                <w:rFonts w:ascii="Times New Roman" w:hAnsi="Times New Roman" w:cs="Times New Roman"/>
                <w:bCs/>
                <w:i/>
                <w:color w:val="000000" w:themeColor="text1"/>
                <w:u w:val="single"/>
              </w:rPr>
              <w:t>Etki Türü</w:t>
            </w:r>
          </w:p>
        </w:tc>
        <w:tc>
          <w:tcPr>
            <w:tcW w:w="1299" w:type="dxa"/>
          </w:tcPr>
          <w:p w14:paraId="271342FE" w14:textId="77777777" w:rsidR="006E095D" w:rsidRPr="00164238" w:rsidRDefault="006E095D" w:rsidP="001E0B0D">
            <w:pPr>
              <w:spacing w:line="240" w:lineRule="auto"/>
              <w:jc w:val="center"/>
              <w:rPr>
                <w:rFonts w:ascii="Times New Roman" w:hAnsi="Times New Roman" w:cs="Times New Roman"/>
                <w:b/>
                <w:bCs/>
                <w:color w:val="000000" w:themeColor="text1"/>
              </w:rPr>
            </w:pPr>
          </w:p>
        </w:tc>
        <w:tc>
          <w:tcPr>
            <w:tcW w:w="260" w:type="dxa"/>
          </w:tcPr>
          <w:p w14:paraId="28FDC060" w14:textId="77777777" w:rsidR="006E095D" w:rsidRPr="00164238" w:rsidRDefault="006E095D" w:rsidP="001E0B0D">
            <w:pPr>
              <w:spacing w:line="240" w:lineRule="auto"/>
              <w:jc w:val="center"/>
              <w:rPr>
                <w:rFonts w:ascii="Times New Roman" w:hAnsi="Times New Roman" w:cs="Times New Roman"/>
                <w:bCs/>
                <w:color w:val="000000" w:themeColor="text1"/>
              </w:rPr>
            </w:pPr>
          </w:p>
        </w:tc>
      </w:tr>
      <w:tr w:rsidR="006E095D" w:rsidRPr="00164238" w14:paraId="4618C57B" w14:textId="77777777" w:rsidTr="00682CBF">
        <w:trPr>
          <w:trHeight w:val="125"/>
        </w:trPr>
        <w:tc>
          <w:tcPr>
            <w:tcW w:w="995" w:type="dxa"/>
          </w:tcPr>
          <w:p w14:paraId="4005C2CC" w14:textId="77777777" w:rsidR="006E095D" w:rsidRPr="00164238" w:rsidRDefault="006E095D" w:rsidP="001E0B0D">
            <w:pPr>
              <w:spacing w:line="240" w:lineRule="auto"/>
              <w:jc w:val="both"/>
              <w:rPr>
                <w:rFonts w:ascii="Times New Roman" w:hAnsi="Times New Roman" w:cs="Times New Roman"/>
                <w:bCs/>
                <w:color w:val="000000" w:themeColor="text1"/>
              </w:rPr>
            </w:pPr>
          </w:p>
        </w:tc>
        <w:tc>
          <w:tcPr>
            <w:tcW w:w="5951" w:type="dxa"/>
          </w:tcPr>
          <w:p w14:paraId="380EE773" w14:textId="77777777" w:rsidR="006E095D" w:rsidRPr="00164238" w:rsidRDefault="006E095D" w:rsidP="001E0B0D">
            <w:pPr>
              <w:spacing w:line="240" w:lineRule="auto"/>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Duran varlıkların ve şerefiyenin değer düşüklüğü hesaplamasında kullanılan iskonto oranını etkilemiştir.</w:t>
            </w:r>
          </w:p>
        </w:tc>
        <w:tc>
          <w:tcPr>
            <w:tcW w:w="1559" w:type="dxa"/>
            <w:gridSpan w:val="2"/>
          </w:tcPr>
          <w:p w14:paraId="2ED1EA5D" w14:textId="77777777" w:rsidR="006E095D" w:rsidRPr="00164238" w:rsidRDefault="006E095D" w:rsidP="001E0B0D">
            <w:pPr>
              <w:spacing w:line="240" w:lineRule="auto"/>
              <w:jc w:val="center"/>
              <w:rPr>
                <w:rFonts w:ascii="Times New Roman" w:hAnsi="Times New Roman" w:cs="Times New Roman"/>
                <w:bCs/>
                <w:color w:val="000000" w:themeColor="text1"/>
              </w:rPr>
            </w:pPr>
            <w:r w:rsidRPr="00164238">
              <w:rPr>
                <w:rFonts w:ascii="Times New Roman" w:hAnsi="Times New Roman" w:cs="Times New Roman"/>
                <w:bCs/>
                <w:color w:val="000000" w:themeColor="text1"/>
              </w:rPr>
              <w:t>3</w:t>
            </w:r>
          </w:p>
        </w:tc>
      </w:tr>
      <w:tr w:rsidR="006E095D" w:rsidRPr="00164238" w14:paraId="78FAF010" w14:textId="77777777" w:rsidTr="00682CBF">
        <w:trPr>
          <w:trHeight w:val="329"/>
        </w:trPr>
        <w:tc>
          <w:tcPr>
            <w:tcW w:w="995" w:type="dxa"/>
          </w:tcPr>
          <w:p w14:paraId="3F5CD567" w14:textId="77777777" w:rsidR="006E095D" w:rsidRPr="00164238" w:rsidRDefault="006E095D" w:rsidP="001E0B0D">
            <w:pPr>
              <w:spacing w:line="240" w:lineRule="auto"/>
              <w:jc w:val="both"/>
              <w:rPr>
                <w:rFonts w:ascii="Times New Roman" w:hAnsi="Times New Roman" w:cs="Times New Roman"/>
                <w:bCs/>
                <w:color w:val="000000" w:themeColor="text1"/>
              </w:rPr>
            </w:pPr>
          </w:p>
        </w:tc>
        <w:tc>
          <w:tcPr>
            <w:tcW w:w="5951" w:type="dxa"/>
            <w:vAlign w:val="center"/>
          </w:tcPr>
          <w:p w14:paraId="6773A276" w14:textId="77777777" w:rsidR="006E095D" w:rsidRPr="00164238" w:rsidRDefault="006E095D" w:rsidP="001E0B0D">
            <w:pPr>
              <w:spacing w:line="240"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Stokların net gerçekleşebilir değerini etkilemiştir.</w:t>
            </w:r>
          </w:p>
        </w:tc>
        <w:tc>
          <w:tcPr>
            <w:tcW w:w="1559" w:type="dxa"/>
            <w:gridSpan w:val="2"/>
          </w:tcPr>
          <w:p w14:paraId="5A2C8519" w14:textId="77777777" w:rsidR="006E095D" w:rsidRPr="00164238" w:rsidRDefault="006E095D" w:rsidP="001E0B0D">
            <w:pPr>
              <w:spacing w:line="240" w:lineRule="auto"/>
              <w:jc w:val="center"/>
              <w:rPr>
                <w:rFonts w:ascii="Times New Roman" w:hAnsi="Times New Roman" w:cs="Times New Roman"/>
                <w:bCs/>
                <w:color w:val="000000" w:themeColor="text1"/>
              </w:rPr>
            </w:pPr>
            <w:r w:rsidRPr="00164238">
              <w:rPr>
                <w:rFonts w:ascii="Times New Roman" w:hAnsi="Times New Roman" w:cs="Times New Roman"/>
                <w:bCs/>
                <w:color w:val="000000" w:themeColor="text1"/>
              </w:rPr>
              <w:t>1</w:t>
            </w:r>
          </w:p>
        </w:tc>
      </w:tr>
      <w:tr w:rsidR="006E095D" w:rsidRPr="00164238" w14:paraId="4C5038A0" w14:textId="77777777" w:rsidTr="00682CBF">
        <w:trPr>
          <w:trHeight w:val="260"/>
        </w:trPr>
        <w:tc>
          <w:tcPr>
            <w:tcW w:w="995" w:type="dxa"/>
          </w:tcPr>
          <w:p w14:paraId="4DD889CD" w14:textId="77777777" w:rsidR="006E095D" w:rsidRPr="00164238" w:rsidRDefault="006E095D" w:rsidP="001E0B0D">
            <w:pPr>
              <w:spacing w:line="240" w:lineRule="auto"/>
              <w:rPr>
                <w:rFonts w:ascii="Times New Roman" w:hAnsi="Times New Roman" w:cs="Times New Roman"/>
                <w:bCs/>
                <w:color w:val="000000" w:themeColor="text1"/>
              </w:rPr>
            </w:pPr>
          </w:p>
        </w:tc>
        <w:tc>
          <w:tcPr>
            <w:tcW w:w="5951" w:type="dxa"/>
          </w:tcPr>
          <w:p w14:paraId="072B5E35" w14:textId="77777777" w:rsidR="006E095D" w:rsidRPr="00164238" w:rsidRDefault="006E095D" w:rsidP="001E0B0D">
            <w:pPr>
              <w:spacing w:line="240" w:lineRule="auto"/>
              <w:rPr>
                <w:rFonts w:ascii="Times New Roman" w:hAnsi="Times New Roman" w:cs="Times New Roman"/>
                <w:color w:val="000000" w:themeColor="text1"/>
                <w:vertAlign w:val="superscript"/>
              </w:rPr>
            </w:pPr>
            <w:r w:rsidRPr="00164238">
              <w:rPr>
                <w:rFonts w:ascii="Times New Roman" w:hAnsi="Times New Roman" w:cs="Times New Roman"/>
                <w:color w:val="000000" w:themeColor="text1"/>
              </w:rPr>
              <w:t>Beklenen kredi zararlarını etkilemiştir.</w:t>
            </w:r>
            <w:r w:rsidRPr="00164238">
              <w:rPr>
                <w:rFonts w:ascii="Times New Roman" w:hAnsi="Times New Roman" w:cs="Times New Roman"/>
                <w:color w:val="000000" w:themeColor="text1"/>
                <w:vertAlign w:val="superscript"/>
              </w:rPr>
              <w:t>*</w:t>
            </w:r>
          </w:p>
        </w:tc>
        <w:tc>
          <w:tcPr>
            <w:tcW w:w="1559" w:type="dxa"/>
            <w:gridSpan w:val="2"/>
          </w:tcPr>
          <w:p w14:paraId="25C9DDD7" w14:textId="77777777" w:rsidR="006E095D" w:rsidRPr="00164238" w:rsidRDefault="006E095D" w:rsidP="001E0B0D">
            <w:pPr>
              <w:spacing w:line="240" w:lineRule="auto"/>
              <w:jc w:val="center"/>
              <w:rPr>
                <w:rFonts w:ascii="Times New Roman" w:hAnsi="Times New Roman" w:cs="Times New Roman"/>
                <w:bCs/>
                <w:color w:val="000000" w:themeColor="text1"/>
              </w:rPr>
            </w:pPr>
            <w:r w:rsidRPr="00164238">
              <w:rPr>
                <w:rFonts w:ascii="Times New Roman" w:hAnsi="Times New Roman" w:cs="Times New Roman"/>
                <w:bCs/>
                <w:color w:val="000000" w:themeColor="text1"/>
              </w:rPr>
              <w:t>12</w:t>
            </w:r>
          </w:p>
        </w:tc>
      </w:tr>
      <w:tr w:rsidR="006E095D" w:rsidRPr="00164238" w14:paraId="01BA9577" w14:textId="77777777" w:rsidTr="00682CBF">
        <w:tc>
          <w:tcPr>
            <w:tcW w:w="6946" w:type="dxa"/>
            <w:gridSpan w:val="2"/>
            <w:tcBorders>
              <w:bottom w:val="single" w:sz="4" w:space="0" w:color="auto"/>
            </w:tcBorders>
          </w:tcPr>
          <w:p w14:paraId="3C9942D1" w14:textId="77777777" w:rsidR="006E095D" w:rsidRPr="00164238" w:rsidRDefault="006E095D" w:rsidP="001E0B0D">
            <w:pPr>
              <w:spacing w:line="240" w:lineRule="auto"/>
              <w:rPr>
                <w:rFonts w:ascii="Times New Roman" w:hAnsi="Times New Roman" w:cs="Times New Roman"/>
                <w:b/>
                <w:bCs/>
                <w:color w:val="000000" w:themeColor="text1"/>
              </w:rPr>
            </w:pPr>
            <w:r w:rsidRPr="00164238">
              <w:rPr>
                <w:rFonts w:ascii="Times New Roman" w:hAnsi="Times New Roman" w:cs="Times New Roman"/>
                <w:bCs/>
                <w:color w:val="000000" w:themeColor="text1"/>
              </w:rPr>
              <w:t>Covid-19’un muhasebe tahmin ve varsayımları üzerine etkisi yoktur.</w:t>
            </w:r>
          </w:p>
        </w:tc>
        <w:tc>
          <w:tcPr>
            <w:tcW w:w="1559" w:type="dxa"/>
            <w:gridSpan w:val="2"/>
            <w:tcBorders>
              <w:bottom w:val="single" w:sz="4" w:space="0" w:color="auto"/>
            </w:tcBorders>
          </w:tcPr>
          <w:p w14:paraId="5EA52CF5" w14:textId="77777777" w:rsidR="006E095D" w:rsidRPr="00164238" w:rsidRDefault="006E095D" w:rsidP="001E0B0D">
            <w:pPr>
              <w:spacing w:line="240" w:lineRule="auto"/>
              <w:jc w:val="center"/>
              <w:rPr>
                <w:rFonts w:ascii="Times New Roman" w:hAnsi="Times New Roman" w:cs="Times New Roman"/>
                <w:bCs/>
                <w:color w:val="000000" w:themeColor="text1"/>
              </w:rPr>
            </w:pPr>
            <w:r w:rsidRPr="00164238">
              <w:rPr>
                <w:rFonts w:ascii="Times New Roman" w:hAnsi="Times New Roman" w:cs="Times New Roman"/>
                <w:bCs/>
                <w:color w:val="000000" w:themeColor="text1"/>
              </w:rPr>
              <w:t>35</w:t>
            </w:r>
          </w:p>
        </w:tc>
      </w:tr>
    </w:tbl>
    <w:p w14:paraId="6E049D44" w14:textId="77777777" w:rsidR="006E095D" w:rsidRPr="00164238" w:rsidRDefault="006E095D" w:rsidP="006E095D">
      <w:pPr>
        <w:spacing w:before="120" w:after="120" w:line="276" w:lineRule="auto"/>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lastRenderedPageBreak/>
        <w:t>*Beklenen kredi zararlarını etkilediğini belirten şirketlerin 8’i ilgili varlığı, değer düşüklüğüne uğrama riskinde artış kategorisine geçirmiştir.</w:t>
      </w:r>
    </w:p>
    <w:p w14:paraId="42122BE5" w14:textId="77777777" w:rsidR="006E095D" w:rsidRPr="00164238" w:rsidRDefault="006E095D" w:rsidP="006E095D">
      <w:pPr>
        <w:spacing w:before="120" w:after="120" w:line="276" w:lineRule="auto"/>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COVID-19’un stokların net gerçekleşebilir değerini etkilediğini belirten işletme imalat sektöründe faaliyet gösterirken, duran varlıkların ve şerefiyenin değer düşüklüğü hesaplamasında kullanılan iskonto oranını etkilediğini söyleyen işletmelerin 2’si mali sektörde, 1’i ise Ulaştırma, Depolama, Haberleşme sektöründe faaliyet göstermektedir.</w:t>
      </w:r>
    </w:p>
    <w:p w14:paraId="4E2ADA37" w14:textId="77777777" w:rsidR="006E095D" w:rsidRPr="00164238" w:rsidRDefault="006E095D" w:rsidP="006E095D">
      <w:pPr>
        <w:spacing w:before="120" w:after="120" w:line="276" w:lineRule="auto"/>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COVID-19’un beklenen kredi zararlarını etkilediğini açıklayan 12 şirketin 11’i mali sektörde yer alırken 1’i ise Ulaştırma, Depolama, Haberleşme sektöründe yer almaktadır. Etkilendiğini açıklamakla birlikte mali sektörde yer alan 11 işletmenin 9’u bankalar alt sektöründe faaliyet gösterirken 1’i holdingler ve yatırım şirketleri, diğeri ise finansal kiralama ve faktoring sektöründe faaliyet göstermektedir. Genel olarak sektörel dağılıma dikkat edildiğinde BIST 100 endeksi mali sektörünün bankalar alt sektöründe toplamda 12 işletme faaliyet göstermektedir ve bu 12 işletmenin 9’u COVID-19’un beklenen kredi zararlarını etkilediğini açıklamıştır. </w:t>
      </w:r>
    </w:p>
    <w:p w14:paraId="5D024AA4" w14:textId="77777777" w:rsidR="006E095D" w:rsidRPr="00164238" w:rsidRDefault="006E095D" w:rsidP="006E095D">
      <w:pPr>
        <w:spacing w:before="120" w:after="120" w:line="276" w:lineRule="auto"/>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COVID-19’un, gerçeğe uygun değerin tespit edilmesi sürecinde kullanılan varsayımlarda ve kabul edilen değerleme tekniklerinde değişikliklere sebep olduğunu açıklayan sadece bir şirket vardır ve bu şirket mali sektörde (bankalar alt sektöründe) faaliyet göstermektedir. İlgili şirket değişiklikleri ele alan açıklamalarını da tam olarak yapmıştır. 2 şirket ise COVID-19’un gerçeğe uygun değerin tespit edilmesi sürecinde kullanılan varsayımlarda ve kabul edilen değerleme tekniklerinde değişikliklere sebep olmadığını belirtmiştir.</w:t>
      </w:r>
    </w:p>
    <w:p w14:paraId="3BF66D8A" w14:textId="77777777" w:rsidR="006E095D" w:rsidRPr="00164238" w:rsidRDefault="006E095D" w:rsidP="006E095D">
      <w:pPr>
        <w:spacing w:before="120" w:line="276" w:lineRule="auto"/>
        <w:jc w:val="both"/>
        <w:rPr>
          <w:rFonts w:ascii="Times New Roman" w:hAnsi="Times New Roman" w:cs="Times New Roman"/>
          <w:bCs/>
          <w:color w:val="000000" w:themeColor="text1"/>
        </w:rPr>
      </w:pPr>
      <w:r w:rsidRPr="00164238">
        <w:rPr>
          <w:rFonts w:ascii="Times New Roman" w:hAnsi="Times New Roman" w:cs="Times New Roman"/>
          <w:bCs/>
          <w:i/>
          <w:color w:val="000000" w:themeColor="text1"/>
        </w:rPr>
        <w:t xml:space="preserve">Tablo 7. </w:t>
      </w:r>
      <w:r w:rsidRPr="00164238">
        <w:rPr>
          <w:rFonts w:ascii="Times New Roman" w:hAnsi="Times New Roman" w:cs="Times New Roman"/>
          <w:bCs/>
          <w:color w:val="000000" w:themeColor="text1"/>
        </w:rPr>
        <w:t>Kiralama Standardı Kapsamında COVID-19 Sebebiyle Yapılmış Olan Değişikliklerin İşletme Üzerindeki Etkisi</w:t>
      </w:r>
    </w:p>
    <w:tbl>
      <w:tblPr>
        <w:tblW w:w="0" w:type="auto"/>
        <w:tblLook w:val="04A0" w:firstRow="1" w:lastRow="0" w:firstColumn="1" w:lastColumn="0" w:noHBand="0" w:noVBand="1"/>
      </w:tblPr>
      <w:tblGrid>
        <w:gridCol w:w="2803"/>
        <w:gridCol w:w="1577"/>
      </w:tblGrid>
      <w:tr w:rsidR="00164238" w:rsidRPr="00164238" w14:paraId="170F5248" w14:textId="77777777" w:rsidTr="00682CBF">
        <w:trPr>
          <w:trHeight w:val="277"/>
        </w:trPr>
        <w:tc>
          <w:tcPr>
            <w:tcW w:w="2803" w:type="dxa"/>
            <w:tcBorders>
              <w:top w:val="single" w:sz="4" w:space="0" w:color="auto"/>
              <w:bottom w:val="single" w:sz="4" w:space="0" w:color="auto"/>
            </w:tcBorders>
            <w:vAlign w:val="center"/>
          </w:tcPr>
          <w:p w14:paraId="77D5198D" w14:textId="77777777" w:rsidR="006E095D" w:rsidRPr="00164238" w:rsidRDefault="006E095D" w:rsidP="00682CBF">
            <w:pPr>
              <w:spacing w:line="276" w:lineRule="auto"/>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Açıklama Türü</w:t>
            </w:r>
          </w:p>
        </w:tc>
        <w:tc>
          <w:tcPr>
            <w:tcW w:w="1577" w:type="dxa"/>
            <w:tcBorders>
              <w:top w:val="single" w:sz="4" w:space="0" w:color="auto"/>
              <w:bottom w:val="single" w:sz="4" w:space="0" w:color="auto"/>
            </w:tcBorders>
            <w:vAlign w:val="center"/>
          </w:tcPr>
          <w:p w14:paraId="45422EEF" w14:textId="77777777" w:rsidR="006E095D" w:rsidRPr="00164238" w:rsidRDefault="006E095D" w:rsidP="00682CBF">
            <w:pPr>
              <w:spacing w:line="276" w:lineRule="auto"/>
              <w:jc w:val="center"/>
              <w:rPr>
                <w:rFonts w:ascii="Times New Roman" w:hAnsi="Times New Roman" w:cs="Times New Roman"/>
                <w:bCs/>
                <w:color w:val="000000" w:themeColor="text1"/>
              </w:rPr>
            </w:pPr>
            <w:r w:rsidRPr="00164238">
              <w:rPr>
                <w:rFonts w:ascii="Times New Roman" w:hAnsi="Times New Roman" w:cs="Times New Roman"/>
                <w:bCs/>
                <w:color w:val="000000" w:themeColor="text1"/>
              </w:rPr>
              <w:t>Şirket Sayısı</w:t>
            </w:r>
          </w:p>
        </w:tc>
      </w:tr>
      <w:tr w:rsidR="00164238" w:rsidRPr="00164238" w14:paraId="77E0C7FC" w14:textId="77777777" w:rsidTr="00682CBF">
        <w:trPr>
          <w:trHeight w:val="277"/>
        </w:trPr>
        <w:tc>
          <w:tcPr>
            <w:tcW w:w="2803" w:type="dxa"/>
            <w:tcBorders>
              <w:top w:val="single" w:sz="4" w:space="0" w:color="auto"/>
            </w:tcBorders>
            <w:vAlign w:val="center"/>
          </w:tcPr>
          <w:p w14:paraId="41D44443" w14:textId="77777777" w:rsidR="006E095D" w:rsidRPr="00164238" w:rsidRDefault="006E095D" w:rsidP="00682CBF">
            <w:pPr>
              <w:spacing w:line="276" w:lineRule="auto"/>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Etkili</w:t>
            </w:r>
          </w:p>
        </w:tc>
        <w:tc>
          <w:tcPr>
            <w:tcW w:w="1577" w:type="dxa"/>
            <w:tcBorders>
              <w:top w:val="single" w:sz="4" w:space="0" w:color="auto"/>
            </w:tcBorders>
            <w:vAlign w:val="center"/>
          </w:tcPr>
          <w:p w14:paraId="074B8959" w14:textId="77777777" w:rsidR="006E095D" w:rsidRPr="00164238" w:rsidRDefault="006E095D" w:rsidP="00682CBF">
            <w:pPr>
              <w:spacing w:line="276" w:lineRule="auto"/>
              <w:jc w:val="center"/>
              <w:rPr>
                <w:rFonts w:ascii="Times New Roman" w:hAnsi="Times New Roman" w:cs="Times New Roman"/>
                <w:bCs/>
                <w:color w:val="000000" w:themeColor="text1"/>
              </w:rPr>
            </w:pPr>
            <w:r w:rsidRPr="00164238">
              <w:rPr>
                <w:rFonts w:ascii="Times New Roman" w:hAnsi="Times New Roman" w:cs="Times New Roman"/>
                <w:bCs/>
                <w:color w:val="000000" w:themeColor="text1"/>
              </w:rPr>
              <w:t>1</w:t>
            </w:r>
          </w:p>
        </w:tc>
      </w:tr>
      <w:tr w:rsidR="00164238" w:rsidRPr="00164238" w14:paraId="4BA25B10" w14:textId="77777777" w:rsidTr="00682CBF">
        <w:trPr>
          <w:trHeight w:val="242"/>
        </w:trPr>
        <w:tc>
          <w:tcPr>
            <w:tcW w:w="2803" w:type="dxa"/>
            <w:vAlign w:val="center"/>
          </w:tcPr>
          <w:p w14:paraId="056518A5" w14:textId="77777777" w:rsidR="006E095D" w:rsidRPr="00164238" w:rsidRDefault="006E095D" w:rsidP="00682CBF">
            <w:pPr>
              <w:spacing w:line="276" w:lineRule="auto"/>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Etkili değil</w:t>
            </w:r>
          </w:p>
        </w:tc>
        <w:tc>
          <w:tcPr>
            <w:tcW w:w="1577" w:type="dxa"/>
            <w:vAlign w:val="center"/>
          </w:tcPr>
          <w:p w14:paraId="126F1C6E" w14:textId="77777777" w:rsidR="006E095D" w:rsidRPr="00164238" w:rsidRDefault="006E095D" w:rsidP="00682CBF">
            <w:pPr>
              <w:spacing w:line="276" w:lineRule="auto"/>
              <w:jc w:val="center"/>
              <w:rPr>
                <w:rFonts w:ascii="Times New Roman" w:hAnsi="Times New Roman" w:cs="Times New Roman"/>
                <w:bCs/>
                <w:color w:val="000000" w:themeColor="text1"/>
              </w:rPr>
            </w:pPr>
            <w:r w:rsidRPr="00164238">
              <w:rPr>
                <w:rFonts w:ascii="Times New Roman" w:hAnsi="Times New Roman" w:cs="Times New Roman"/>
                <w:bCs/>
                <w:color w:val="000000" w:themeColor="text1"/>
              </w:rPr>
              <w:t>58</w:t>
            </w:r>
          </w:p>
        </w:tc>
      </w:tr>
      <w:tr w:rsidR="00164238" w:rsidRPr="00164238" w14:paraId="349AF3C6" w14:textId="77777777" w:rsidTr="00682CBF">
        <w:trPr>
          <w:trHeight w:val="242"/>
        </w:trPr>
        <w:tc>
          <w:tcPr>
            <w:tcW w:w="2803" w:type="dxa"/>
            <w:tcBorders>
              <w:bottom w:val="single" w:sz="4" w:space="0" w:color="auto"/>
            </w:tcBorders>
            <w:vAlign w:val="center"/>
          </w:tcPr>
          <w:p w14:paraId="2E8C4A02" w14:textId="77777777" w:rsidR="006E095D" w:rsidRPr="00164238" w:rsidRDefault="006E095D" w:rsidP="00682CBF">
            <w:pPr>
              <w:spacing w:line="276" w:lineRule="auto"/>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Açıklama yok</w:t>
            </w:r>
          </w:p>
        </w:tc>
        <w:tc>
          <w:tcPr>
            <w:tcW w:w="1577" w:type="dxa"/>
            <w:tcBorders>
              <w:bottom w:val="single" w:sz="4" w:space="0" w:color="auto"/>
            </w:tcBorders>
            <w:vAlign w:val="center"/>
          </w:tcPr>
          <w:p w14:paraId="56FFF65B" w14:textId="77777777" w:rsidR="006E095D" w:rsidRPr="00164238" w:rsidRDefault="006E095D" w:rsidP="00682CBF">
            <w:pPr>
              <w:spacing w:line="276" w:lineRule="auto"/>
              <w:jc w:val="center"/>
              <w:rPr>
                <w:rFonts w:ascii="Times New Roman" w:hAnsi="Times New Roman" w:cs="Times New Roman"/>
                <w:bCs/>
                <w:color w:val="000000" w:themeColor="text1"/>
              </w:rPr>
            </w:pPr>
            <w:r w:rsidRPr="00164238">
              <w:rPr>
                <w:rFonts w:ascii="Times New Roman" w:hAnsi="Times New Roman" w:cs="Times New Roman"/>
                <w:bCs/>
                <w:color w:val="000000" w:themeColor="text1"/>
              </w:rPr>
              <w:t>40</w:t>
            </w:r>
          </w:p>
        </w:tc>
      </w:tr>
    </w:tbl>
    <w:p w14:paraId="3786D04B" w14:textId="77777777" w:rsidR="006E095D" w:rsidRPr="00164238" w:rsidRDefault="006E095D" w:rsidP="006E095D">
      <w:pPr>
        <w:spacing w:before="120" w:after="120" w:line="276" w:lineRule="auto"/>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Kiralama standardı kapsamında COVID-19 sebebiyle yapılmış olan değişikliklerin işletme üzerindeki etkisi olduğunu belirten işletme mali sektörde faaliyet göstermektedir.</w:t>
      </w:r>
    </w:p>
    <w:p w14:paraId="49F18D29" w14:textId="77777777" w:rsidR="006E095D" w:rsidRPr="00164238" w:rsidRDefault="006E095D" w:rsidP="006E095D">
      <w:pPr>
        <w:spacing w:before="120" w:after="120" w:line="276" w:lineRule="auto"/>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COVID-19 sebebiyle devlet tarafından “Kısa Çalışma Ödeneği” kapsamında verilen teşvikten yararlanan 5 şirket olduğu görülmüştür. Bu şirketlerden 2’si ulaştırma, depolama ve haberleşme, 2’si mali, 1’i ise imalat sektöründe faaliyet göstermektedir.</w:t>
      </w:r>
    </w:p>
    <w:p w14:paraId="52C13569" w14:textId="77777777" w:rsidR="006E095D" w:rsidRPr="00164238" w:rsidRDefault="006E095D" w:rsidP="006E095D">
      <w:pPr>
        <w:spacing w:before="120" w:after="120" w:line="276" w:lineRule="auto"/>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Bağımsız denetim raporlarına istinaden ulaşılan verilere göre sadece 19 şirketin denetlenmesi sürecinde kilit denetim konuları COVID-19’la ilişkilendirilmiştir ve bu şirketlerin tamamı ilgili konularla ilişkin gerekli açıklamaları, finansal tablolarına ilişkin dipnotlarında yapmış bulunmaktadır. Kilit denetim konuları COVID-19’la ilişkilendirilen 19 işletmenin 15’i mali sektör, 2’si imalat sektörü, 1’i Ulaştırma, Depolama ve Haberleşme, 1’i Eğitim, Sağlık, Spor ve Diğer Sosyal Hizmetler sektöründe yer almaktadır. Ayrıca, kilit denetim konuları salgınla ilişkilendirilen işletmelerin tamamı, 2020 yılı finansal raporlarının denetlenmesi sonucunda denetim firmalarından olumlu görüş almıştır.</w:t>
      </w:r>
    </w:p>
    <w:p w14:paraId="592ADCFA" w14:textId="77777777" w:rsidR="006E095D" w:rsidRPr="00164238" w:rsidRDefault="006E095D" w:rsidP="006E095D">
      <w:pPr>
        <w:spacing w:before="120" w:after="120" w:line="276" w:lineRule="auto"/>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lastRenderedPageBreak/>
        <w:t>Genel olarak bakıldığında denetim firmaları, COVID-19’un</w:t>
      </w:r>
    </w:p>
    <w:p w14:paraId="5C6C48DF" w14:textId="77777777" w:rsidR="006E095D" w:rsidRPr="00164238" w:rsidRDefault="006E095D" w:rsidP="007C3550">
      <w:pPr>
        <w:numPr>
          <w:ilvl w:val="0"/>
          <w:numId w:val="15"/>
        </w:numPr>
        <w:spacing w:before="120" w:after="120" w:line="276" w:lineRule="auto"/>
        <w:jc w:val="both"/>
        <w:rPr>
          <w:rFonts w:ascii="Times New Roman" w:hAnsi="Times New Roman" w:cs="Times New Roman"/>
          <w:color w:val="000000" w:themeColor="text1"/>
          <w:sz w:val="20"/>
          <w:szCs w:val="20"/>
          <w:lang w:val="fr-FR"/>
        </w:rPr>
      </w:pPr>
      <w:r w:rsidRPr="00164238">
        <w:rPr>
          <w:rFonts w:ascii="Times New Roman" w:hAnsi="Times New Roman" w:cs="Times New Roman"/>
          <w:color w:val="000000" w:themeColor="text1"/>
          <w:sz w:val="20"/>
          <w:szCs w:val="20"/>
          <w:lang w:val="fr-FR"/>
        </w:rPr>
        <w:t>Beklenen kredi zararları,</w:t>
      </w:r>
    </w:p>
    <w:p w14:paraId="41347BFD" w14:textId="77777777" w:rsidR="006E095D" w:rsidRPr="00164238" w:rsidRDefault="006E095D" w:rsidP="007C3550">
      <w:pPr>
        <w:numPr>
          <w:ilvl w:val="0"/>
          <w:numId w:val="15"/>
        </w:numPr>
        <w:spacing w:before="120" w:after="120" w:line="276" w:lineRule="auto"/>
        <w:jc w:val="both"/>
        <w:rPr>
          <w:rFonts w:ascii="Times New Roman" w:hAnsi="Times New Roman" w:cs="Times New Roman"/>
          <w:color w:val="000000" w:themeColor="text1"/>
          <w:sz w:val="20"/>
          <w:szCs w:val="20"/>
          <w:lang w:val="fr-FR"/>
        </w:rPr>
      </w:pPr>
      <w:r w:rsidRPr="00164238">
        <w:rPr>
          <w:rFonts w:ascii="Times New Roman" w:hAnsi="Times New Roman" w:cs="Times New Roman"/>
          <w:color w:val="000000" w:themeColor="text1"/>
          <w:sz w:val="20"/>
          <w:szCs w:val="20"/>
          <w:lang w:val="fr-FR"/>
        </w:rPr>
        <w:t>Kira kayıpları,</w:t>
      </w:r>
    </w:p>
    <w:p w14:paraId="15855EBF" w14:textId="77777777" w:rsidR="006E095D" w:rsidRPr="00164238" w:rsidRDefault="006E095D" w:rsidP="007C3550">
      <w:pPr>
        <w:numPr>
          <w:ilvl w:val="0"/>
          <w:numId w:val="15"/>
        </w:numPr>
        <w:spacing w:before="120" w:after="120" w:line="276" w:lineRule="auto"/>
        <w:jc w:val="both"/>
        <w:rPr>
          <w:rFonts w:ascii="Times New Roman" w:hAnsi="Times New Roman" w:cs="Times New Roman"/>
          <w:color w:val="000000" w:themeColor="text1"/>
          <w:sz w:val="20"/>
          <w:szCs w:val="20"/>
          <w:lang w:val="fr-FR"/>
        </w:rPr>
      </w:pPr>
      <w:r w:rsidRPr="00164238">
        <w:rPr>
          <w:rFonts w:ascii="Times New Roman" w:hAnsi="Times New Roman" w:cs="Times New Roman"/>
          <w:color w:val="000000" w:themeColor="text1"/>
          <w:sz w:val="20"/>
          <w:szCs w:val="20"/>
          <w:lang w:val="fr-FR"/>
        </w:rPr>
        <w:t>Muhasebe tahmin ve varsayımları,</w:t>
      </w:r>
    </w:p>
    <w:p w14:paraId="389083F4" w14:textId="77777777" w:rsidR="006E095D" w:rsidRPr="00164238" w:rsidRDefault="006E095D" w:rsidP="007C3550">
      <w:pPr>
        <w:numPr>
          <w:ilvl w:val="0"/>
          <w:numId w:val="15"/>
        </w:numPr>
        <w:spacing w:before="120" w:after="120" w:line="276" w:lineRule="auto"/>
        <w:jc w:val="both"/>
        <w:rPr>
          <w:rFonts w:ascii="Times New Roman" w:hAnsi="Times New Roman" w:cs="Times New Roman"/>
          <w:color w:val="000000" w:themeColor="text1"/>
          <w:sz w:val="20"/>
          <w:szCs w:val="20"/>
          <w:lang w:val="fr-FR"/>
        </w:rPr>
      </w:pPr>
      <w:r w:rsidRPr="00164238">
        <w:rPr>
          <w:rFonts w:ascii="Times New Roman" w:hAnsi="Times New Roman" w:cs="Times New Roman"/>
          <w:color w:val="000000" w:themeColor="text1"/>
          <w:sz w:val="20"/>
          <w:szCs w:val="20"/>
          <w:lang w:val="fr-FR"/>
        </w:rPr>
        <w:t>Finansal varlıklara ilişkin değer düşüklükleri,</w:t>
      </w:r>
    </w:p>
    <w:p w14:paraId="1B22F4D2" w14:textId="77777777" w:rsidR="006E095D" w:rsidRPr="00164238" w:rsidRDefault="006E095D" w:rsidP="007C3550">
      <w:pPr>
        <w:numPr>
          <w:ilvl w:val="0"/>
          <w:numId w:val="15"/>
        </w:numPr>
        <w:spacing w:before="120" w:after="120" w:line="276" w:lineRule="auto"/>
        <w:jc w:val="both"/>
        <w:rPr>
          <w:rFonts w:ascii="Times New Roman" w:hAnsi="Times New Roman" w:cs="Times New Roman"/>
          <w:color w:val="000000" w:themeColor="text1"/>
          <w:sz w:val="20"/>
          <w:szCs w:val="20"/>
          <w:lang w:val="fr-FR"/>
        </w:rPr>
      </w:pPr>
      <w:r w:rsidRPr="00164238">
        <w:rPr>
          <w:rFonts w:ascii="Times New Roman" w:hAnsi="Times New Roman" w:cs="Times New Roman"/>
          <w:color w:val="000000" w:themeColor="text1"/>
          <w:sz w:val="20"/>
          <w:szCs w:val="20"/>
          <w:lang w:val="fr-FR"/>
        </w:rPr>
        <w:t>Hasılat ve</w:t>
      </w:r>
    </w:p>
    <w:p w14:paraId="2716D337" w14:textId="77777777" w:rsidR="006E095D" w:rsidRPr="00164238" w:rsidRDefault="006E095D" w:rsidP="007C3550">
      <w:pPr>
        <w:numPr>
          <w:ilvl w:val="0"/>
          <w:numId w:val="15"/>
        </w:numPr>
        <w:spacing w:before="120" w:after="120" w:line="276" w:lineRule="auto"/>
        <w:jc w:val="both"/>
        <w:rPr>
          <w:rFonts w:ascii="Times New Roman" w:hAnsi="Times New Roman" w:cs="Times New Roman"/>
          <w:color w:val="000000" w:themeColor="text1"/>
          <w:sz w:val="20"/>
          <w:szCs w:val="20"/>
          <w:lang w:val="fr-FR"/>
        </w:rPr>
      </w:pPr>
      <w:r w:rsidRPr="00164238">
        <w:rPr>
          <w:rFonts w:ascii="Times New Roman" w:hAnsi="Times New Roman" w:cs="Times New Roman"/>
          <w:color w:val="000000" w:themeColor="text1"/>
          <w:sz w:val="20"/>
          <w:szCs w:val="20"/>
          <w:lang w:val="fr-FR"/>
        </w:rPr>
        <w:t>Gayrimenkul değerleme üzerine etkilerini işletmelerin sektörel ve öznel durumlarına göre kilit denetim konusu olarak belirlemiştir.</w:t>
      </w:r>
    </w:p>
    <w:p w14:paraId="31B19DED" w14:textId="77777777" w:rsidR="006E095D" w:rsidRPr="00164238" w:rsidRDefault="006E095D" w:rsidP="006E095D">
      <w:pPr>
        <w:spacing w:before="120" w:after="120"/>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Tüm bu sonuçlara ek olarak elde edilen bulgulara göre işletmeler, finansal tablolarına ilişkin dipnotlarında COVID-19’u;</w:t>
      </w:r>
    </w:p>
    <w:p w14:paraId="060468BD" w14:textId="77777777" w:rsidR="006E095D" w:rsidRPr="00164238" w:rsidRDefault="006E095D" w:rsidP="007C3550">
      <w:pPr>
        <w:numPr>
          <w:ilvl w:val="0"/>
          <w:numId w:val="15"/>
        </w:numPr>
        <w:spacing w:before="120" w:after="120" w:line="276" w:lineRule="auto"/>
        <w:jc w:val="both"/>
        <w:rPr>
          <w:rFonts w:ascii="Times New Roman" w:hAnsi="Times New Roman" w:cs="Times New Roman"/>
          <w:color w:val="000000" w:themeColor="text1"/>
          <w:sz w:val="20"/>
          <w:lang w:val="fr-FR"/>
        </w:rPr>
      </w:pPr>
      <w:r w:rsidRPr="00164238">
        <w:rPr>
          <w:rFonts w:ascii="Times New Roman" w:hAnsi="Times New Roman" w:cs="Times New Roman"/>
          <w:color w:val="000000" w:themeColor="text1"/>
          <w:sz w:val="20"/>
          <w:lang w:val="fr-FR"/>
        </w:rPr>
        <w:t>Risk türleri,</w:t>
      </w:r>
    </w:p>
    <w:p w14:paraId="7232D3C1" w14:textId="77777777" w:rsidR="006E095D" w:rsidRPr="00164238" w:rsidRDefault="006E095D" w:rsidP="007C3550">
      <w:pPr>
        <w:numPr>
          <w:ilvl w:val="0"/>
          <w:numId w:val="15"/>
        </w:numPr>
        <w:spacing w:before="120" w:after="120" w:line="276" w:lineRule="auto"/>
        <w:jc w:val="both"/>
        <w:rPr>
          <w:rFonts w:ascii="Times New Roman" w:hAnsi="Times New Roman" w:cs="Times New Roman"/>
          <w:color w:val="000000" w:themeColor="text1"/>
          <w:sz w:val="20"/>
          <w:lang w:val="fr-FR"/>
        </w:rPr>
      </w:pPr>
      <w:r w:rsidRPr="00164238">
        <w:rPr>
          <w:rFonts w:ascii="Times New Roman" w:hAnsi="Times New Roman" w:cs="Times New Roman"/>
          <w:color w:val="000000" w:themeColor="text1"/>
          <w:sz w:val="20"/>
          <w:lang w:val="fr-FR"/>
        </w:rPr>
        <w:t>Sözleşmeden doğan yasal zorunluluklarla ilgili karşılıklar,</w:t>
      </w:r>
    </w:p>
    <w:p w14:paraId="22F27CB0" w14:textId="77777777" w:rsidR="006E095D" w:rsidRPr="00164238" w:rsidRDefault="006E095D" w:rsidP="007C3550">
      <w:pPr>
        <w:numPr>
          <w:ilvl w:val="0"/>
          <w:numId w:val="15"/>
        </w:numPr>
        <w:spacing w:before="120" w:after="120" w:line="276" w:lineRule="auto"/>
        <w:jc w:val="both"/>
        <w:rPr>
          <w:rFonts w:ascii="Times New Roman" w:hAnsi="Times New Roman" w:cs="Times New Roman"/>
          <w:color w:val="000000" w:themeColor="text1"/>
          <w:sz w:val="20"/>
          <w:lang w:val="fr-FR"/>
        </w:rPr>
      </w:pPr>
      <w:r w:rsidRPr="00164238">
        <w:rPr>
          <w:rFonts w:ascii="Times New Roman" w:hAnsi="Times New Roman" w:cs="Times New Roman"/>
          <w:color w:val="000000" w:themeColor="text1"/>
          <w:sz w:val="20"/>
          <w:lang w:val="fr-FR"/>
        </w:rPr>
        <w:t>Ertelenmiş vergi varlıklarının geri kazanılabilirliği hakkındaki tahminler,</w:t>
      </w:r>
    </w:p>
    <w:p w14:paraId="4BA6433B" w14:textId="77777777" w:rsidR="006E095D" w:rsidRPr="00164238" w:rsidRDefault="006E095D" w:rsidP="007C3550">
      <w:pPr>
        <w:numPr>
          <w:ilvl w:val="0"/>
          <w:numId w:val="15"/>
        </w:numPr>
        <w:spacing w:before="120" w:after="120" w:line="276" w:lineRule="auto"/>
        <w:jc w:val="both"/>
        <w:rPr>
          <w:rFonts w:ascii="Times New Roman" w:hAnsi="Times New Roman" w:cs="Times New Roman"/>
          <w:color w:val="000000" w:themeColor="text1"/>
          <w:sz w:val="20"/>
          <w:lang w:val="fr-FR"/>
        </w:rPr>
      </w:pPr>
      <w:r w:rsidRPr="00164238">
        <w:rPr>
          <w:rFonts w:ascii="Times New Roman" w:hAnsi="Times New Roman" w:cs="Times New Roman"/>
          <w:color w:val="000000" w:themeColor="text1"/>
          <w:sz w:val="20"/>
          <w:lang w:val="fr-FR"/>
        </w:rPr>
        <w:t>Sigorta hasar talepleri,</w:t>
      </w:r>
    </w:p>
    <w:p w14:paraId="446DF95D" w14:textId="77777777" w:rsidR="006E095D" w:rsidRPr="00164238" w:rsidRDefault="006E095D" w:rsidP="007C3550">
      <w:pPr>
        <w:numPr>
          <w:ilvl w:val="0"/>
          <w:numId w:val="15"/>
        </w:numPr>
        <w:spacing w:before="120" w:after="120" w:line="276" w:lineRule="auto"/>
        <w:jc w:val="both"/>
        <w:rPr>
          <w:rFonts w:ascii="Times New Roman" w:hAnsi="Times New Roman" w:cs="Times New Roman"/>
          <w:color w:val="000000" w:themeColor="text1"/>
          <w:sz w:val="20"/>
          <w:lang w:val="fr-FR"/>
        </w:rPr>
      </w:pPr>
      <w:r w:rsidRPr="00164238">
        <w:rPr>
          <w:rFonts w:ascii="Times New Roman" w:hAnsi="Times New Roman" w:cs="Times New Roman"/>
          <w:color w:val="000000" w:themeColor="text1"/>
          <w:sz w:val="20"/>
          <w:lang w:val="fr-FR"/>
        </w:rPr>
        <w:t>Ertelenmiş vergi varlık ve yükümlülükleri,</w:t>
      </w:r>
    </w:p>
    <w:p w14:paraId="4A0430D6" w14:textId="77777777" w:rsidR="006E095D" w:rsidRPr="00164238" w:rsidRDefault="006E095D" w:rsidP="007C3550">
      <w:pPr>
        <w:numPr>
          <w:ilvl w:val="0"/>
          <w:numId w:val="15"/>
        </w:numPr>
        <w:spacing w:before="120" w:after="120" w:line="276" w:lineRule="auto"/>
        <w:jc w:val="both"/>
        <w:rPr>
          <w:rFonts w:ascii="Times New Roman" w:hAnsi="Times New Roman" w:cs="Times New Roman"/>
          <w:color w:val="000000" w:themeColor="text1"/>
          <w:sz w:val="20"/>
          <w:lang w:val="fr-FR"/>
        </w:rPr>
      </w:pPr>
      <w:r w:rsidRPr="00164238">
        <w:rPr>
          <w:rFonts w:ascii="Times New Roman" w:hAnsi="Times New Roman" w:cs="Times New Roman"/>
          <w:color w:val="000000" w:themeColor="text1"/>
          <w:sz w:val="20"/>
          <w:lang w:val="fr-FR"/>
        </w:rPr>
        <w:t>İştirak ve iş ortaklıklarındaki payların değer düşüklüğü ve</w:t>
      </w:r>
    </w:p>
    <w:p w14:paraId="1DD26998" w14:textId="77777777" w:rsidR="006E095D" w:rsidRPr="00164238" w:rsidRDefault="006E095D" w:rsidP="007C3550">
      <w:pPr>
        <w:numPr>
          <w:ilvl w:val="0"/>
          <w:numId w:val="15"/>
        </w:numPr>
        <w:spacing w:before="120" w:after="120" w:line="276" w:lineRule="auto"/>
        <w:jc w:val="both"/>
        <w:rPr>
          <w:rFonts w:ascii="Times New Roman" w:hAnsi="Times New Roman" w:cs="Times New Roman"/>
          <w:color w:val="000000" w:themeColor="text1"/>
          <w:sz w:val="20"/>
          <w:lang w:val="fr-FR"/>
        </w:rPr>
      </w:pPr>
      <w:r w:rsidRPr="00164238">
        <w:rPr>
          <w:rFonts w:ascii="Times New Roman" w:hAnsi="Times New Roman" w:cs="Times New Roman"/>
          <w:color w:val="000000" w:themeColor="text1"/>
          <w:sz w:val="20"/>
          <w:lang w:val="fr-FR"/>
        </w:rPr>
        <w:t>Raporlama dönemi sonrası olaylara ilişkin açıklamalar ile hiçbir şekilde ilişkilendirmemiştir.</w:t>
      </w:r>
    </w:p>
    <w:p w14:paraId="2C29BC9E" w14:textId="77777777" w:rsidR="006E095D" w:rsidRPr="00164238" w:rsidRDefault="006E095D" w:rsidP="006E095D">
      <w:pPr>
        <w:spacing w:before="120" w:after="120" w:line="276" w:lineRule="auto"/>
        <w:ind w:firstLine="567"/>
        <w:rPr>
          <w:rFonts w:ascii="Times New Roman" w:hAnsi="Times New Roman" w:cs="Times New Roman"/>
          <w:b/>
          <w:bCs/>
          <w:color w:val="000000" w:themeColor="text1"/>
        </w:rPr>
      </w:pPr>
      <w:r w:rsidRPr="00164238">
        <w:rPr>
          <w:rFonts w:ascii="Times New Roman" w:hAnsi="Times New Roman" w:cs="Times New Roman"/>
          <w:b/>
          <w:bCs/>
          <w:color w:val="000000" w:themeColor="text1"/>
        </w:rPr>
        <w:t>TARTIŞMA VE SONUÇ</w:t>
      </w:r>
    </w:p>
    <w:p w14:paraId="5835CF6A" w14:textId="77777777" w:rsidR="006E095D" w:rsidRPr="00164238" w:rsidRDefault="006E095D" w:rsidP="006E095D">
      <w:pPr>
        <w:spacing w:before="120" w:after="120" w:line="276" w:lineRule="auto"/>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BIST 100 endeksinde yer alan işletmelerin finansal raporlarından faydalanarak, COVID-19 salgınının finansal raporlama üzerine etkisi tespit edilmeye çalışıldı. Araştırma sonucunda edindiğimiz bulguların, literatürde yer alan benzer çalışmalarda elde edilen sonuçlarla benzerlik ve farklılık gösteren tarafları bulunmaktadır.</w:t>
      </w:r>
    </w:p>
    <w:p w14:paraId="2363036E" w14:textId="77777777" w:rsidR="006E095D" w:rsidRPr="00164238" w:rsidRDefault="006E095D" w:rsidP="006E095D">
      <w:pPr>
        <w:spacing w:before="120" w:after="120" w:line="276" w:lineRule="auto"/>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Özen (2021), çalışmasında COVID-19 salgınının aynı sektör altında faaliyet gösteren işletmeleri farklı düzeylerde etkilediği sonucuna ulaşmıştır. Yaptığımız çalışma da bu sonucu doğrular niteliktedir. Örneğin, imalat sektöründe faaliyet gösteren işletmelerden bazıları COVID-19’un kendilerini olumlu yönde etkilediğini ifade ederken, bazıları ise beklenen etkinin önemli derecede olmadığını belirtmiştir. Bunlara ek olarak yine imalat sektöründe faaliyet gösteren işletmelerden bazıları da COVID-19’un finansal tablolar üzerindeki etkilerini varlık ve yükümlülükleriyle ilişkilendirerek açıklamıştır. Benzer durumları mali sektörde faaliyet gösteren işletmeler açısından da söyleyebilmek mümkündür. Cavlak (2020) ise yaptığı çalışmada COVID-19 ile hasılat arasında anlamlı bir ilişki tespit edememiştir. Bu durum da çalışmamız sonucunda elde ettiğimiz bulgularla aynı doğrultudadır. Çalışmamız kapsamında yapılan içerik analizinde Tablo 4’te de yer verildiği üzere 87 işletme kâr açıklamış, 12 işletme ise zarar açıklamıştır. Gerek kârı gerekse de zararı COVID-19 salgını ile ilişkilendiren sadece 4 işletme mevcuttur. Bu durum salgının işletmelerin kâr veya zararı üzerinde oransal anlamda etkisinin yüksek olmadığını göstermektedir. Ayrıca Özen (2021), BIST 30’da yer alan işletmelerin salgından beklenildiği kadar çok etkilenmediği sonucuna ulaşmıştır. BIST 100 endeksindeki işletmeler için yaptığımız çalışmamızda Tablo 3’te de görüldüğü gibi 56 işletme COVID-19’un etkisi hakkında açıklama </w:t>
      </w:r>
      <w:r w:rsidRPr="00164238">
        <w:rPr>
          <w:rFonts w:ascii="Times New Roman" w:hAnsi="Times New Roman" w:cs="Times New Roman"/>
          <w:bCs/>
          <w:color w:val="000000" w:themeColor="text1"/>
        </w:rPr>
        <w:lastRenderedPageBreak/>
        <w:t>yapmazken 21 işletme salgının etkili olmadığını söylemiştir. Salgından etkilendiği ifade eden işletmelerden 4’ü olumlu yönde etkilendiği söylerken beklenen etkinin önemsiz derecede olduğunu ifade eden işletme sayısı 3’tür. COVID-19’un etkisini varlık ve yükümlülükleriyle ilişkilendiren işlerime sayısı sadece 11’dir. Ayrıca, bağımsız denetim raporlarından ulaşılan verilere göre sadece 19 şirketin denetlenmesi sürecinde kilit denetim konuları COVID-19’la ilişkilendirilmiştir. Bu bulgular dikkate alınarak COVID-19’un finansal raporlama üzerine etkilerinin oransal olarak yüksek düzeyde olmadığı söylenebilir. Fakat El-Mousawi ve Kanso (2020) tarafından Lübnan’da yapılan çalışmada, çalışmamızın bulgularının aksi yönünde sonuçlar elde edilmiş ve COVID-19 salgınının finansal raporlama üzerinde önemli bir etkiye sahip olduğuna ulaşılmıştır.</w:t>
      </w:r>
    </w:p>
    <w:p w14:paraId="28875859" w14:textId="77777777" w:rsidR="006E095D" w:rsidRPr="00164238" w:rsidRDefault="006E095D" w:rsidP="006E095D">
      <w:pPr>
        <w:spacing w:before="120" w:after="120" w:line="276" w:lineRule="auto"/>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Demir (2020), COVID-19’un işletme sürekliliği üzerindeki etkisine vurgu yapmış ve konu hakkında daha fazla açıklamaya ver verilmesi gerektiğini ifade etmiştir. Cavlak (2020) da bu husus hakkında, BIST 100’de yer alan işletmelerden 40’ının süreklilik kapsamında açıklamada bulunduğunu fakat sadece 6 tanesinin konuyu COVID-19 ile ilişkilendirdiği sonucuna ulaşmış ve bu sebepten ötürü işletmelerin sürekliliğe yeteri kadar önem vermediklerini belirtmiştir. Çalışmamızda elde ettiğimiz bulgular Cavlak (2020) ve Demir’i bu konuda desteklemektedir. Tablo 5’te görüldüğü üzere 55 işletmenin sürekliliğe ilişkin açıklama yapmasına rağmen sürekliliği COVID-19 ile ilişkilendirerek yapılan açıklamaya sadece 7 işletmenin finansal raporlarında rastlanmaktadır. Buna ek olarak COVID-19’un süreklilik üzerinde etkisi olduğunu belirten sadece 1 işletme mevcuttur. Dolasıyla salgının işletme sürekliliği üzerinde ciddi etkilerine rastlanmamıştır. Bu durum Tibiletti vd. (2020)’nin borsada işlem gören 152 İtalyan şirketin finansal raporları üzerine yaptığı çalışmada da görülmektedir. Tibiletti vd. (2020), işletmelerin süreklilik açısından belli sorunlar veya zayıflıklar göstermediklerini ve mali tablolarında bildirilenlerle tutarlı oldukları sonucuna ulaşmıştır. </w:t>
      </w:r>
    </w:p>
    <w:p w14:paraId="6B550973" w14:textId="77777777" w:rsidR="006E095D" w:rsidRPr="00164238" w:rsidRDefault="006E095D" w:rsidP="006E095D">
      <w:pPr>
        <w:spacing w:before="120" w:after="120" w:line="276" w:lineRule="auto"/>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Cavlak (2020), 83 işletmenin muhasebe tahmin ve varsayımları hakkında açıklamalara yer verirken sadece 5 işletmenin tahmin ve varsayımlarını COVID-19 ile ilişkilendirerek açıkladığı bulgularını elde etmiştir. Çalışmamızda ise Tablo 6’da da yer verildiği gibi 16 işletme, muhasebe tahmin ve varsayımlarını salgınla ilişkilendirerek açıklama yapmış, 35 işletme ise COVID-19’un tahmin ve varsayımlar üzerinde etkisinin olmadığını açıklamıştır. Elde ettiğimiz sonuçlar Cavlak (2020)’tan farklılaşmış ve muhasebe tahmin ve varsayımlarına ilişkin açıklama sayısının azaldığı, tahmin ve varsayımları salgın ile ilişkilendiren işletme sayısının ise arttığı görülmüştür. Bu farklılığın sebebi, çalışmamızın yıllık tablolar üzerinden yapılmış olması ve salgının etkilerinin zaman içinde daha belirgin hale gelmesi sebebiyle işletmelerin tahmin ve varsayımlarını COVID-19 ile birlikte değerlendirmeye başlamasından kaynaklanmaktadır. </w:t>
      </w:r>
    </w:p>
    <w:p w14:paraId="385866AE" w14:textId="77777777" w:rsidR="006E095D" w:rsidRPr="00164238" w:rsidRDefault="006E095D" w:rsidP="006E095D">
      <w:pPr>
        <w:spacing w:before="120" w:after="120" w:line="276" w:lineRule="auto"/>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Cavlak (2020), salgınla alakalı en kapsamlı değerlendirmenin bankacılık sektöründe yapıldığını görmüştür ki çalışmamızın sonuçları da bu bilgiyle aynı doğrultudadır. Buna ek olarak bulgularımıza göre bankacılık alanında faaliyet gösteren işletmelerin, salgına ilişkin olarak yaptığı açıklamalarda daha çok beklenen kredi zararları hususu üzerinde yoğunlaştıkları görülmektedir. Cavlak (2020) ayrıca, COVID-19 kapsamında devlet tarafından alınan önlemlerin, verilen teşvik ve yardımların en çok bankaların dipnotlarında açıklandığını, diğer sektörlerin ise konuyla alakalı çok az sayıda açıklamaya yer verdiğini ifade ederken çalışmamız bulgularına göre bu husus ile bankacılık sektörü arasında benzer bir ilişkiye rastlanmamıştır. Fakat Cavlak (2020)’ın bulgularına benzer şekilde, çalışmamız bulgularında ilgili hususa ilişkin açıklama </w:t>
      </w:r>
      <w:r w:rsidRPr="00164238">
        <w:rPr>
          <w:rFonts w:ascii="Times New Roman" w:hAnsi="Times New Roman" w:cs="Times New Roman"/>
          <w:bCs/>
          <w:color w:val="000000" w:themeColor="text1"/>
        </w:rPr>
        <w:lastRenderedPageBreak/>
        <w:t xml:space="preserve">yapan işletme sayısının azlığı dikkat çekmektedir. Salgınla alakalı olarak verilen devlet teşviklerinin daha çok “Kısa Çalışma Ödeneği“ başlığı altında toplandığı görülmektedir ki çalışmamız sonuçlarına göre, kısa çalışma ödeneğinden sadece 5 işletme yararlanmaktadır. </w:t>
      </w:r>
    </w:p>
    <w:p w14:paraId="3267FC40" w14:textId="77777777" w:rsidR="006E095D" w:rsidRPr="00164238" w:rsidRDefault="006E095D" w:rsidP="006E095D">
      <w:pPr>
        <w:spacing w:before="120" w:after="120" w:line="276" w:lineRule="auto"/>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Çalışmamız bulgularında, TFRS 16 Kiralama Standardı kapsamında COVID-19 nedeniyle yapılmış olan değişiklikler hakkında 59 işletmenin açıklama yaptığı, bu işletmelerden sadece 1’inin bu hususun işletme üzerinde etkisi olduğu ve 58’inin ise işletme üzerinde etkisi olmadığını ya da standart kapsamında sunulan imtiyazlardan faydalanmayacaklarını belirttikleri görülmüştür. Cavlak (2020) ise bu hususun işletme üzerindeki etkisini ele alan sadece 3 işletme olduğunu belirtmiştir.</w:t>
      </w:r>
    </w:p>
    <w:p w14:paraId="5A44F153" w14:textId="77777777" w:rsidR="006E095D" w:rsidRPr="00164238" w:rsidRDefault="006E095D" w:rsidP="006E095D">
      <w:pPr>
        <w:spacing w:before="120" w:after="120" w:line="276" w:lineRule="auto"/>
        <w:ind w:firstLine="567"/>
        <w:jc w:val="both"/>
        <w:rPr>
          <w:rFonts w:ascii="Times New Roman" w:hAnsi="Times New Roman" w:cs="Times New Roman"/>
          <w:b/>
          <w:bCs/>
          <w:color w:val="000000" w:themeColor="text1"/>
        </w:rPr>
      </w:pPr>
      <w:r w:rsidRPr="00164238">
        <w:rPr>
          <w:rFonts w:ascii="Times New Roman" w:hAnsi="Times New Roman" w:cs="Times New Roman"/>
          <w:b/>
          <w:bCs/>
          <w:color w:val="000000" w:themeColor="text1"/>
        </w:rPr>
        <w:t>ÖNERİLER</w:t>
      </w:r>
    </w:p>
    <w:p w14:paraId="21EAE155" w14:textId="77777777" w:rsidR="006E095D" w:rsidRPr="00164238" w:rsidRDefault="006E095D" w:rsidP="006E095D">
      <w:pPr>
        <w:spacing w:before="120" w:after="120" w:line="276" w:lineRule="auto"/>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        COVID-19’un finansal raporlama üzerine etkisinin kısa vadede net olarak ortaya konulamayabilecek olması sebebiyle araştırmacılar, BIST 100’de yer alan işletmelerin gelecek yıllarda sunacakları finansal raporları inceleyebilirler ve yıllara ilişkin karşılaştırma yapabilirler. Böylece, COVID-19’un finansal raporlama üzerindeki uzun vadeli etkileri değerlendirilebilir.  Ayrıca, farklı ülkelerin yıllık finansal raporları kıyaslanarak salgının finansal raporlama üzerindeki evrensel etkileri ortaya konulabilir.</w:t>
      </w:r>
    </w:p>
    <w:p w14:paraId="268F1C39" w14:textId="77777777" w:rsidR="00A40273" w:rsidRPr="00164238" w:rsidRDefault="00A40273" w:rsidP="006E095D">
      <w:pPr>
        <w:spacing w:before="120" w:after="120"/>
        <w:ind w:firstLine="567"/>
        <w:jc w:val="both"/>
        <w:rPr>
          <w:rFonts w:ascii="Times New Roman" w:hAnsi="Times New Roman" w:cs="Times New Roman"/>
          <w:b/>
          <w:color w:val="000000" w:themeColor="text1"/>
          <w:highlight w:val="yellow"/>
        </w:rPr>
      </w:pPr>
    </w:p>
    <w:p w14:paraId="67524958" w14:textId="53A127E3" w:rsidR="00E0308F" w:rsidRPr="00E0308F" w:rsidRDefault="00C95516" w:rsidP="00E0308F">
      <w:pPr>
        <w:spacing w:line="276" w:lineRule="auto"/>
        <w:ind w:firstLine="567"/>
        <w:rPr>
          <w:rFonts w:ascii="Times New Roman" w:hAnsi="Times New Roman" w:cs="Times New Roman"/>
          <w:b/>
          <w:color w:val="000000" w:themeColor="text1"/>
        </w:rPr>
      </w:pPr>
      <w:r>
        <w:rPr>
          <w:rFonts w:ascii="Times New Roman" w:hAnsi="Times New Roman" w:cs="Times New Roman"/>
          <w:b/>
          <w:color w:val="000000" w:themeColor="text1"/>
        </w:rPr>
        <w:t>Kaynakça</w:t>
      </w:r>
    </w:p>
    <w:p w14:paraId="15C32AEA" w14:textId="77777777" w:rsidR="006E095D" w:rsidRPr="00164238" w:rsidRDefault="006E095D" w:rsidP="006E095D">
      <w:pPr>
        <w:spacing w:before="120" w:after="120" w:line="276" w:lineRule="auto"/>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1 Nolu Muhasebe Sistemi Uygulama Genel Tebliği. (1992, 26 Aralık). Resmi Gazete (Sayı: Mükerrer 21447). http://www.resmigazete.gov.tr/arsiv/21447_1.pdf/ (Son erişim tarihi: 30.03.2021).</w:t>
      </w:r>
    </w:p>
    <w:p w14:paraId="7B521970" w14:textId="77777777" w:rsidR="006E095D" w:rsidRPr="00164238" w:rsidRDefault="006E095D" w:rsidP="006E095D">
      <w:pPr>
        <w:spacing w:before="120" w:after="120" w:line="276" w:lineRule="auto"/>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Adana, B. A., Özbirecikli, M. (2020). Bağımsız denetim sürecinin Covid-19 salgınının etkileri açısından değerlendirilmesi. </w:t>
      </w:r>
      <w:r w:rsidRPr="00164238">
        <w:rPr>
          <w:rFonts w:ascii="Times New Roman" w:hAnsi="Times New Roman" w:cs="Times New Roman"/>
          <w:bCs/>
          <w:i/>
          <w:color w:val="000000" w:themeColor="text1"/>
        </w:rPr>
        <w:t>İşletme Araştırmaları Dergisi</w:t>
      </w:r>
      <w:r w:rsidRPr="00164238">
        <w:rPr>
          <w:rFonts w:ascii="Times New Roman" w:hAnsi="Times New Roman" w:cs="Times New Roman"/>
          <w:bCs/>
          <w:color w:val="000000" w:themeColor="text1"/>
        </w:rPr>
        <w:t>, 12(2), 2080-2093.</w:t>
      </w:r>
    </w:p>
    <w:p w14:paraId="17A6D401" w14:textId="77777777" w:rsidR="006E095D" w:rsidRPr="00164238" w:rsidRDefault="006E095D" w:rsidP="006E095D">
      <w:pPr>
        <w:spacing w:before="120" w:after="120" w:line="276" w:lineRule="auto"/>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Bilgin, N. (2019). </w:t>
      </w:r>
      <w:r w:rsidRPr="00164238">
        <w:rPr>
          <w:rFonts w:ascii="Times New Roman" w:hAnsi="Times New Roman" w:cs="Times New Roman"/>
          <w:bCs/>
          <w:i/>
          <w:color w:val="000000" w:themeColor="text1"/>
        </w:rPr>
        <w:t>Sosyal bilimlerde içerik analizi: teknikler ve örnekler çalışmalar</w:t>
      </w:r>
      <w:r w:rsidRPr="00164238">
        <w:rPr>
          <w:rFonts w:ascii="Times New Roman" w:hAnsi="Times New Roman" w:cs="Times New Roman"/>
          <w:bCs/>
          <w:color w:val="000000" w:themeColor="text1"/>
        </w:rPr>
        <w:t>. Ankara: Siyasal Kitabevi.</w:t>
      </w:r>
    </w:p>
    <w:p w14:paraId="761FD6A5" w14:textId="77777777" w:rsidR="006E095D" w:rsidRPr="00164238" w:rsidRDefault="006E095D" w:rsidP="006E095D">
      <w:pPr>
        <w:spacing w:before="120" w:after="120" w:line="276" w:lineRule="auto"/>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Cavlak, H. (2020, Ekim 31). Covid-19 pandemisinin finansal raporlama üzerindeki olası etkileri: BİST 100 Endeksi’ndeki işletmelerin ara dönem finansal raporlarının incelenmesi. </w:t>
      </w:r>
      <w:r w:rsidRPr="00164238">
        <w:rPr>
          <w:rFonts w:ascii="Times New Roman" w:hAnsi="Times New Roman" w:cs="Times New Roman"/>
          <w:bCs/>
          <w:i/>
          <w:color w:val="000000" w:themeColor="text1"/>
        </w:rPr>
        <w:t>Gaziantep Unıversity Journal Of Social Sciences</w:t>
      </w:r>
      <w:r w:rsidRPr="00164238">
        <w:rPr>
          <w:rFonts w:ascii="Times New Roman" w:hAnsi="Times New Roman" w:cs="Times New Roman"/>
          <w:bCs/>
          <w:color w:val="000000" w:themeColor="text1"/>
        </w:rPr>
        <w:t>, Cilt 19 COVID-19 Özel Sayısı, 143-168. DOI: 10.21547/jss.755865</w:t>
      </w:r>
    </w:p>
    <w:p w14:paraId="3E7A5F31" w14:textId="77777777" w:rsidR="006E095D" w:rsidRPr="00164238" w:rsidRDefault="006E095D" w:rsidP="006E095D">
      <w:pPr>
        <w:spacing w:before="120" w:after="120" w:line="276" w:lineRule="auto"/>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Demir, Z. (2020). COVID-19’un TFRS kapsamındaki finansal raporlamaya olan etkileri ve TMS kapsamında denetçinin dikkate alması gereken hususların değerlendirilmesi. </w:t>
      </w:r>
      <w:r w:rsidRPr="00164238">
        <w:rPr>
          <w:rFonts w:ascii="Times New Roman" w:hAnsi="Times New Roman" w:cs="Times New Roman"/>
          <w:bCs/>
          <w:i/>
          <w:color w:val="000000" w:themeColor="text1"/>
        </w:rPr>
        <w:t>Muhasebe ve Denetime Bakış, 20</w:t>
      </w:r>
      <w:r w:rsidRPr="00164238">
        <w:rPr>
          <w:rFonts w:ascii="Times New Roman" w:hAnsi="Times New Roman" w:cs="Times New Roman"/>
          <w:bCs/>
          <w:color w:val="000000" w:themeColor="text1"/>
        </w:rPr>
        <w:t>(61), 255-278.</w:t>
      </w:r>
    </w:p>
    <w:p w14:paraId="77A2C053" w14:textId="77777777" w:rsidR="006E095D" w:rsidRPr="00164238" w:rsidRDefault="006E095D" w:rsidP="006E095D">
      <w:pPr>
        <w:spacing w:before="120" w:after="120" w:line="276" w:lineRule="auto"/>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El-Mousawi, H., &amp; Kanso, H. (2020). Impact of COVID-19 outbreak on financial reporting in the light of the international financial reporting standards (IFRS) (An Empirical Study). </w:t>
      </w:r>
      <w:r w:rsidRPr="00164238">
        <w:rPr>
          <w:rFonts w:ascii="Times New Roman" w:hAnsi="Times New Roman" w:cs="Times New Roman"/>
          <w:bCs/>
          <w:i/>
          <w:color w:val="000000" w:themeColor="text1"/>
        </w:rPr>
        <w:t>Research in Economics and Management, 5</w:t>
      </w:r>
      <w:r w:rsidRPr="00164238">
        <w:rPr>
          <w:rFonts w:ascii="Times New Roman" w:hAnsi="Times New Roman" w:cs="Times New Roman"/>
          <w:bCs/>
          <w:color w:val="000000" w:themeColor="text1"/>
        </w:rPr>
        <w:t>(2), 21-38. doi:10.22158/rem.v5n2p21</w:t>
      </w:r>
    </w:p>
    <w:p w14:paraId="39B93513" w14:textId="77777777" w:rsidR="006E095D" w:rsidRPr="00164238" w:rsidRDefault="006E095D" w:rsidP="006E095D">
      <w:pPr>
        <w:spacing w:before="120" w:after="120" w:line="276" w:lineRule="auto"/>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Kamu Gözetimi Muhasebe ve Denetim Standartları Kurumu, Finansal Raporlamaya İlişkin Kavramsal Çerçeve, </w:t>
      </w:r>
      <w:hyperlink r:id="rId123" w:history="1">
        <w:r w:rsidRPr="00164238">
          <w:rPr>
            <w:rStyle w:val="Balk1Char"/>
            <w:rFonts w:ascii="Times New Roman" w:eastAsiaTheme="minorHAnsi" w:hAnsi="Times New Roman" w:cs="Times New Roman"/>
            <w:color w:val="000000" w:themeColor="text1"/>
            <w:sz w:val="22"/>
            <w:szCs w:val="22"/>
          </w:rPr>
          <w:t>https://kgk.gov.tr/Portalv2Uploads/files/Duyurular/v2/TMS/TMS_2020/TMS%201.pdf</w:t>
        </w:r>
      </w:hyperlink>
      <w:r w:rsidRPr="00164238">
        <w:rPr>
          <w:rFonts w:ascii="Times New Roman" w:hAnsi="Times New Roman" w:cs="Times New Roman"/>
          <w:bCs/>
          <w:color w:val="000000" w:themeColor="text1"/>
        </w:rPr>
        <w:t xml:space="preserve"> (Son erişim tarihi: 30.03.2021).</w:t>
      </w:r>
    </w:p>
    <w:p w14:paraId="1135FCBC" w14:textId="77777777" w:rsidR="006E095D" w:rsidRPr="00164238" w:rsidRDefault="006E095D" w:rsidP="006E095D">
      <w:pPr>
        <w:spacing w:before="120" w:after="120" w:line="276" w:lineRule="auto"/>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lastRenderedPageBreak/>
        <w:t xml:space="preserve">Kamu Gözetimi Muhasebe ve Denetim Standartları Kurumu, (2020). TFRS 9 Finansal Araçlar, </w:t>
      </w:r>
      <w:hyperlink r:id="rId124" w:history="1">
        <w:r w:rsidRPr="00164238">
          <w:rPr>
            <w:rStyle w:val="Balk1Char"/>
            <w:rFonts w:ascii="Times New Roman" w:eastAsiaTheme="minorHAnsi" w:hAnsi="Times New Roman" w:cs="Times New Roman"/>
            <w:color w:val="000000" w:themeColor="text1"/>
            <w:sz w:val="22"/>
            <w:szCs w:val="22"/>
          </w:rPr>
          <w:t>https://kgk.gov.tr/Portalv2Uploads/files/Duyurular/v2/TFRS/TFRS_2020/TFRS%209.pdf</w:t>
        </w:r>
      </w:hyperlink>
      <w:r w:rsidRPr="00164238">
        <w:rPr>
          <w:rFonts w:ascii="Times New Roman" w:hAnsi="Times New Roman" w:cs="Times New Roman"/>
          <w:color w:val="000000" w:themeColor="text1"/>
        </w:rPr>
        <w:t xml:space="preserve"> </w:t>
      </w:r>
      <w:r w:rsidRPr="00164238">
        <w:rPr>
          <w:rFonts w:ascii="Times New Roman" w:hAnsi="Times New Roman" w:cs="Times New Roman"/>
          <w:bCs/>
          <w:color w:val="000000" w:themeColor="text1"/>
        </w:rPr>
        <w:t xml:space="preserve"> (Son erişim tarihi: 30.03.2021).</w:t>
      </w:r>
    </w:p>
    <w:p w14:paraId="5F2D822D" w14:textId="77777777" w:rsidR="006E095D" w:rsidRPr="00164238" w:rsidRDefault="006E095D" w:rsidP="006E095D">
      <w:pPr>
        <w:spacing w:before="120" w:after="120" w:line="276" w:lineRule="auto"/>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Kamu Gözetimi Muhasebe ve Denetim Standartları Kurumu, (2020). TFRS 13 Gerçeğe Uygun Değer Ölçümü, </w:t>
      </w:r>
      <w:hyperlink r:id="rId125" w:history="1">
        <w:r w:rsidRPr="00164238">
          <w:rPr>
            <w:rStyle w:val="Balk1Char"/>
            <w:rFonts w:ascii="Times New Roman" w:eastAsiaTheme="minorHAnsi" w:hAnsi="Times New Roman" w:cs="Times New Roman"/>
            <w:color w:val="000000" w:themeColor="text1"/>
            <w:sz w:val="22"/>
            <w:szCs w:val="22"/>
          </w:rPr>
          <w:t>https://kgk.gov.tr/Portalv2Uploads/files/Duyurular/v2/TFRS/TFRS_2020/TFRS%2013.pdf</w:t>
        </w:r>
      </w:hyperlink>
      <w:r w:rsidRPr="00164238">
        <w:rPr>
          <w:rFonts w:ascii="Times New Roman" w:hAnsi="Times New Roman" w:cs="Times New Roman"/>
          <w:color w:val="000000" w:themeColor="text1"/>
        </w:rPr>
        <w:t xml:space="preserve">   </w:t>
      </w:r>
      <w:r w:rsidRPr="00164238">
        <w:rPr>
          <w:rFonts w:ascii="Times New Roman" w:hAnsi="Times New Roman" w:cs="Times New Roman"/>
          <w:bCs/>
          <w:color w:val="000000" w:themeColor="text1"/>
        </w:rPr>
        <w:t>(Son erişim tarihi: 30.03.2021).</w:t>
      </w:r>
    </w:p>
    <w:p w14:paraId="6FE7D5EE" w14:textId="77777777" w:rsidR="006E095D" w:rsidRPr="00164238" w:rsidRDefault="006E095D" w:rsidP="006E095D">
      <w:pPr>
        <w:spacing w:before="120" w:after="120" w:line="276" w:lineRule="auto"/>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Kamu Gözetimi Muhasebe ve Denetim Standartları Kurumu, (2020). TMS 1 Finansal Tabloların Sunuluşu, </w:t>
      </w:r>
      <w:hyperlink r:id="rId126" w:history="1">
        <w:r w:rsidRPr="00164238">
          <w:rPr>
            <w:rStyle w:val="Balk1Char"/>
            <w:rFonts w:ascii="Times New Roman" w:eastAsiaTheme="minorHAnsi" w:hAnsi="Times New Roman" w:cs="Times New Roman"/>
            <w:color w:val="000000" w:themeColor="text1"/>
            <w:sz w:val="22"/>
            <w:szCs w:val="22"/>
          </w:rPr>
          <w:t>https://kgk.gov.tr/Portalv2Uploads/files/Duyurular/v2/TMS/TMS_2020/TMS%201.pdf</w:t>
        </w:r>
      </w:hyperlink>
      <w:r w:rsidRPr="00164238">
        <w:rPr>
          <w:rFonts w:ascii="Times New Roman" w:hAnsi="Times New Roman" w:cs="Times New Roman"/>
          <w:bCs/>
          <w:color w:val="000000" w:themeColor="text1"/>
        </w:rPr>
        <w:t xml:space="preserve"> (Son erişim tarihi: 30.03.2021).</w:t>
      </w:r>
    </w:p>
    <w:p w14:paraId="2C0706A5" w14:textId="77777777" w:rsidR="006E095D" w:rsidRPr="00164238" w:rsidRDefault="006E095D" w:rsidP="006E095D">
      <w:pPr>
        <w:spacing w:before="120" w:after="120" w:line="276" w:lineRule="auto"/>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Kamu Gözetimi Muhasebe ve Denetim Standartları Kurumu, (2020). TMS 20 Devlet Teşviklerinin Muhasebeleştirilmesi ve Devlet Yardımlarının Açıklanması,  </w:t>
      </w:r>
      <w:hyperlink r:id="rId127" w:history="1">
        <w:r w:rsidRPr="00164238">
          <w:rPr>
            <w:rStyle w:val="Balk1Char"/>
            <w:rFonts w:ascii="Times New Roman" w:eastAsiaTheme="minorHAnsi" w:hAnsi="Times New Roman" w:cs="Times New Roman"/>
            <w:color w:val="000000" w:themeColor="text1"/>
            <w:sz w:val="22"/>
            <w:szCs w:val="22"/>
          </w:rPr>
          <w:t>https://kgk.gov.tr/Portalv2Uploads/files/Duyurular/v2/TMS/TMS_2020/TMS%2020.pdf</w:t>
        </w:r>
      </w:hyperlink>
      <w:r w:rsidRPr="00164238">
        <w:rPr>
          <w:rFonts w:ascii="Times New Roman" w:hAnsi="Times New Roman" w:cs="Times New Roman"/>
          <w:bCs/>
          <w:color w:val="000000" w:themeColor="text1"/>
        </w:rPr>
        <w:t xml:space="preserve"> (Son erişim tarihi: 30.03.2021).</w:t>
      </w:r>
    </w:p>
    <w:p w14:paraId="2496B319" w14:textId="77777777" w:rsidR="006E095D" w:rsidRPr="00164238" w:rsidRDefault="006E095D" w:rsidP="006E095D">
      <w:pPr>
        <w:spacing w:before="120" w:after="120" w:line="276" w:lineRule="auto"/>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Kamu Gözetimi Muhasebe ve Denetim Standartları Kurumu, (2020). TMS 36 Varlıklarda Değer Düşüklüğü,  </w:t>
      </w:r>
      <w:hyperlink r:id="rId128" w:history="1">
        <w:r w:rsidRPr="00164238">
          <w:rPr>
            <w:rStyle w:val="Balk1Char"/>
            <w:rFonts w:ascii="Times New Roman" w:eastAsiaTheme="minorHAnsi" w:hAnsi="Times New Roman" w:cs="Times New Roman"/>
            <w:color w:val="000000" w:themeColor="text1"/>
            <w:sz w:val="22"/>
            <w:szCs w:val="22"/>
          </w:rPr>
          <w:t>https://kgk.gov.tr/Portalv2Uploads/files/Duyurular/v2/TMS/TMS_2020/TMS%2036.pdf</w:t>
        </w:r>
      </w:hyperlink>
      <w:r w:rsidRPr="00164238">
        <w:rPr>
          <w:rFonts w:ascii="Times New Roman" w:hAnsi="Times New Roman" w:cs="Times New Roman"/>
          <w:color w:val="000000" w:themeColor="text1"/>
        </w:rPr>
        <w:t xml:space="preserve">  </w:t>
      </w:r>
      <w:r w:rsidRPr="00164238">
        <w:rPr>
          <w:rFonts w:ascii="Times New Roman" w:hAnsi="Times New Roman" w:cs="Times New Roman"/>
          <w:bCs/>
          <w:color w:val="000000" w:themeColor="text1"/>
        </w:rPr>
        <w:t>(Son erişim tarihi: 30.03.2021).</w:t>
      </w:r>
    </w:p>
    <w:p w14:paraId="446180AD" w14:textId="77777777" w:rsidR="006E095D" w:rsidRPr="00164238" w:rsidRDefault="006E095D" w:rsidP="006E095D">
      <w:pPr>
        <w:spacing w:before="120" w:after="120" w:line="276" w:lineRule="auto"/>
        <w:ind w:firstLine="567"/>
        <w:jc w:val="both"/>
        <w:rPr>
          <w:rFonts w:ascii="Times New Roman" w:hAnsi="Times New Roman" w:cs="Times New Roman"/>
          <w:bCs/>
          <w:color w:val="000000" w:themeColor="text1"/>
        </w:rPr>
      </w:pPr>
      <w:r w:rsidRPr="00164238">
        <w:rPr>
          <w:rFonts w:ascii="Times New Roman" w:hAnsi="Times New Roman" w:cs="Times New Roman"/>
          <w:color w:val="000000" w:themeColor="text1"/>
        </w:rPr>
        <w:t xml:space="preserve">Kamuyu Aydınlatma Platformu, </w:t>
      </w:r>
      <w:hyperlink r:id="rId129" w:history="1">
        <w:r w:rsidRPr="00164238">
          <w:rPr>
            <w:rStyle w:val="Balk1Char"/>
            <w:rFonts w:ascii="Times New Roman" w:eastAsiaTheme="minorHAnsi" w:hAnsi="Times New Roman" w:cs="Times New Roman"/>
            <w:color w:val="000000" w:themeColor="text1"/>
            <w:sz w:val="22"/>
            <w:szCs w:val="22"/>
          </w:rPr>
          <w:t>https://www.kap.org.tr/tr/</w:t>
        </w:r>
      </w:hyperlink>
      <w:r w:rsidRPr="00164238">
        <w:rPr>
          <w:rStyle w:val="Balk1Char"/>
          <w:rFonts w:ascii="Times New Roman" w:eastAsiaTheme="minorHAnsi" w:hAnsi="Times New Roman" w:cs="Times New Roman"/>
          <w:color w:val="000000" w:themeColor="text1"/>
          <w:sz w:val="22"/>
          <w:szCs w:val="22"/>
        </w:rPr>
        <w:t xml:space="preserve"> </w:t>
      </w:r>
      <w:r w:rsidRPr="00164238">
        <w:rPr>
          <w:rFonts w:ascii="Times New Roman" w:hAnsi="Times New Roman" w:cs="Times New Roman"/>
          <w:color w:val="000000" w:themeColor="text1"/>
        </w:rPr>
        <w:t>(Son erişim tarihi: 15.04.2021)</w:t>
      </w:r>
    </w:p>
    <w:p w14:paraId="6B924855" w14:textId="77777777" w:rsidR="006E095D" w:rsidRPr="00164238" w:rsidRDefault="006E095D" w:rsidP="006E095D">
      <w:pPr>
        <w:spacing w:before="240" w:after="240"/>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Kartal, M. T. (2019). Finansal tablolarda dipnot okuma ve yorumlama,  Aysel Gündoğdu (Ed.), </w:t>
      </w:r>
      <w:r w:rsidRPr="00164238">
        <w:rPr>
          <w:rFonts w:ascii="Times New Roman" w:hAnsi="Times New Roman" w:cs="Times New Roman"/>
          <w:bCs/>
          <w:i/>
          <w:color w:val="000000" w:themeColor="text1"/>
        </w:rPr>
        <w:t>Uygulamalı finansal tablolar analizi</w:t>
      </w:r>
      <w:r w:rsidRPr="00164238">
        <w:rPr>
          <w:rFonts w:ascii="Times New Roman" w:hAnsi="Times New Roman" w:cs="Times New Roman"/>
          <w:bCs/>
          <w:color w:val="000000" w:themeColor="text1"/>
        </w:rPr>
        <w:t xml:space="preserve"> (279-308). Ankara: Gazi Kitabevi.</w:t>
      </w:r>
    </w:p>
    <w:p w14:paraId="65EDDCC3" w14:textId="77777777" w:rsidR="006E095D" w:rsidRPr="00164238" w:rsidRDefault="006E095D" w:rsidP="006E095D">
      <w:pPr>
        <w:spacing w:before="120" w:after="120" w:line="276" w:lineRule="auto"/>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KPMG, (2020). Covid-19 finansal raporlama üzerindeki potansiyel etkileri, </w:t>
      </w:r>
      <w:hyperlink r:id="rId130" w:history="1">
        <w:r w:rsidRPr="00164238">
          <w:rPr>
            <w:rStyle w:val="Balk1Char"/>
            <w:rFonts w:ascii="Times New Roman" w:eastAsiaTheme="minorHAnsi" w:hAnsi="Times New Roman" w:cs="Times New Roman"/>
            <w:color w:val="000000" w:themeColor="text1"/>
            <w:sz w:val="22"/>
            <w:szCs w:val="22"/>
          </w:rPr>
          <w:t>https://assets.kpmg/content/dam/kpmg/tr/pdf/2020/04/covid19-finansal-raporlama-uzerindeki-potansiyel-etkileri.pdf</w:t>
        </w:r>
      </w:hyperlink>
      <w:r w:rsidRPr="00164238">
        <w:rPr>
          <w:rFonts w:ascii="Times New Roman" w:hAnsi="Times New Roman" w:cs="Times New Roman"/>
          <w:bCs/>
          <w:color w:val="000000" w:themeColor="text1"/>
        </w:rPr>
        <w:t xml:space="preserve"> (Son erişim tarihi: 15.04.2021)</w:t>
      </w:r>
    </w:p>
    <w:p w14:paraId="713B16A7" w14:textId="77777777" w:rsidR="006E095D" w:rsidRPr="00164238" w:rsidRDefault="006E095D" w:rsidP="006E095D">
      <w:pPr>
        <w:spacing w:before="120" w:after="120" w:line="276" w:lineRule="auto"/>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PWC, UFRS / TFRS Bülteni - Mayıs/Haziran 2020, </w:t>
      </w:r>
      <w:hyperlink r:id="rId131" w:history="1">
        <w:r w:rsidRPr="00164238">
          <w:rPr>
            <w:rStyle w:val="Balk1Char"/>
            <w:rFonts w:ascii="Times New Roman" w:eastAsiaTheme="minorHAnsi" w:hAnsi="Times New Roman" w:cs="Times New Roman"/>
            <w:color w:val="000000" w:themeColor="text1"/>
            <w:sz w:val="22"/>
            <w:szCs w:val="22"/>
          </w:rPr>
          <w:t>https://www.pwc.com.tr/tr/hizmetlerimiz/denetim/ufrs-raporlamasi/bultenler/finansal-raporlama-standarti-tfrs-mayis-haziran-2020.html</w:t>
        </w:r>
      </w:hyperlink>
      <w:r w:rsidRPr="00164238">
        <w:rPr>
          <w:rFonts w:ascii="Times New Roman" w:hAnsi="Times New Roman" w:cs="Times New Roman"/>
          <w:bCs/>
          <w:color w:val="000000" w:themeColor="text1"/>
        </w:rPr>
        <w:t xml:space="preserve"> (Son erişim tarihi: 15.04.2021)</w:t>
      </w:r>
    </w:p>
    <w:p w14:paraId="02E10181" w14:textId="77777777" w:rsidR="006E095D" w:rsidRPr="00164238" w:rsidRDefault="006E095D" w:rsidP="006E095D">
      <w:pPr>
        <w:spacing w:before="120" w:after="120" w:line="276" w:lineRule="auto"/>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Özen, İ. (2020). COVID-19’un kâr veya zarar tablosuna etkisi. </w:t>
      </w:r>
      <w:r w:rsidRPr="00164238">
        <w:rPr>
          <w:rFonts w:ascii="Times New Roman" w:hAnsi="Times New Roman" w:cs="Times New Roman"/>
          <w:bCs/>
          <w:i/>
          <w:color w:val="000000" w:themeColor="text1"/>
        </w:rPr>
        <w:t>International Social Mentality and Researcher Thinkers Journal, 6</w:t>
      </w:r>
      <w:r w:rsidRPr="00164238">
        <w:rPr>
          <w:rFonts w:ascii="Times New Roman" w:hAnsi="Times New Roman" w:cs="Times New Roman"/>
          <w:bCs/>
          <w:color w:val="000000" w:themeColor="text1"/>
        </w:rPr>
        <w:t>(38), 2351-2368. doi: http://dx.doi.org/10.31576/smryj.645</w:t>
      </w:r>
    </w:p>
    <w:p w14:paraId="0D0356A8" w14:textId="77777777" w:rsidR="006E095D" w:rsidRPr="00164238" w:rsidRDefault="006E095D" w:rsidP="006E095D">
      <w:pPr>
        <w:spacing w:before="120" w:after="120" w:line="276" w:lineRule="auto"/>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Tibiletti, V., Marchini, P., Gamba, V., &amp; Todaro, D. (2021). The impact of COVID-19 on financial statements results and disclosure: first ınsights from Italian listed companies. </w:t>
      </w:r>
      <w:r w:rsidRPr="00164238">
        <w:rPr>
          <w:rFonts w:ascii="Times New Roman" w:hAnsi="Times New Roman" w:cs="Times New Roman"/>
          <w:bCs/>
          <w:i/>
          <w:color w:val="000000" w:themeColor="text1"/>
        </w:rPr>
        <w:t>Universal Journal of Accounting and Finance, 9</w:t>
      </w:r>
      <w:r w:rsidRPr="00164238">
        <w:rPr>
          <w:rFonts w:ascii="Times New Roman" w:hAnsi="Times New Roman" w:cs="Times New Roman"/>
          <w:bCs/>
          <w:color w:val="000000" w:themeColor="text1"/>
        </w:rPr>
        <w:t>(1), 54-64. doi:10.13189/ujaf.2021.090106</w:t>
      </w:r>
    </w:p>
    <w:p w14:paraId="542025A0" w14:textId="77777777" w:rsidR="006E095D" w:rsidRPr="00164238" w:rsidRDefault="006E095D" w:rsidP="006E095D">
      <w:pPr>
        <w:spacing w:before="120" w:after="120" w:line="276" w:lineRule="auto"/>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Yıldırım, A., Şimşek, H. (2011), </w:t>
      </w:r>
      <w:r w:rsidRPr="00164238">
        <w:rPr>
          <w:rFonts w:ascii="Times New Roman" w:hAnsi="Times New Roman" w:cs="Times New Roman"/>
          <w:bCs/>
          <w:i/>
          <w:color w:val="000000" w:themeColor="text1"/>
        </w:rPr>
        <w:t>Sosyal bilimlerde nitel araştırma yöntemleri.</w:t>
      </w:r>
      <w:r w:rsidRPr="00164238">
        <w:rPr>
          <w:rFonts w:ascii="Times New Roman" w:hAnsi="Times New Roman" w:cs="Times New Roman"/>
          <w:bCs/>
          <w:color w:val="000000" w:themeColor="text1"/>
        </w:rPr>
        <w:t xml:space="preserve"> Ankara: Seçkin Yayıncılık.</w:t>
      </w:r>
    </w:p>
    <w:p w14:paraId="70505D9A" w14:textId="77777777" w:rsidR="006E095D" w:rsidRPr="00164238" w:rsidRDefault="006E095D" w:rsidP="006E095D">
      <w:pPr>
        <w:spacing w:before="120" w:after="120" w:line="276" w:lineRule="auto"/>
        <w:ind w:firstLine="567"/>
        <w:jc w:val="both"/>
        <w:rPr>
          <w:rFonts w:ascii="Times New Roman" w:hAnsi="Times New Roman" w:cs="Times New Roman"/>
          <w:bCs/>
          <w:color w:val="000000" w:themeColor="text1"/>
        </w:rPr>
      </w:pPr>
    </w:p>
    <w:p w14:paraId="5623E2D7" w14:textId="77777777" w:rsidR="006E095D" w:rsidRPr="00164238" w:rsidRDefault="006E095D" w:rsidP="006E095D">
      <w:pPr>
        <w:spacing w:before="120" w:after="120" w:line="276" w:lineRule="auto"/>
        <w:ind w:firstLine="567"/>
        <w:jc w:val="both"/>
        <w:rPr>
          <w:rFonts w:ascii="Times New Roman" w:hAnsi="Times New Roman" w:cs="Times New Roman"/>
          <w:bCs/>
          <w:color w:val="000000" w:themeColor="text1"/>
        </w:rPr>
      </w:pPr>
    </w:p>
    <w:p w14:paraId="5251A5C6" w14:textId="53BD0FE1" w:rsidR="006127D8" w:rsidRPr="00164238" w:rsidRDefault="006127D8" w:rsidP="00F17FEC">
      <w:pPr>
        <w:spacing w:before="120" w:after="120" w:line="360" w:lineRule="auto"/>
        <w:jc w:val="both"/>
        <w:rPr>
          <w:rFonts w:ascii="Times New Roman" w:hAnsi="Times New Roman" w:cs="Times New Roman"/>
          <w:color w:val="000000" w:themeColor="text1"/>
        </w:rPr>
      </w:pPr>
    </w:p>
    <w:p w14:paraId="1716FF69" w14:textId="68511C5C" w:rsidR="006E095D" w:rsidRPr="00164238" w:rsidRDefault="006E095D" w:rsidP="00F17FEC">
      <w:pPr>
        <w:spacing w:before="120" w:after="120" w:line="360" w:lineRule="auto"/>
        <w:jc w:val="both"/>
        <w:rPr>
          <w:rFonts w:ascii="Times New Roman" w:hAnsi="Times New Roman" w:cs="Times New Roman"/>
          <w:color w:val="000000" w:themeColor="text1"/>
        </w:rPr>
      </w:pPr>
    </w:p>
    <w:p w14:paraId="0AB9DEA0" w14:textId="179E5481" w:rsidR="006E095D" w:rsidRPr="00164238" w:rsidRDefault="006E095D" w:rsidP="00F17FEC">
      <w:pPr>
        <w:spacing w:before="120" w:after="120" w:line="360" w:lineRule="auto"/>
        <w:jc w:val="both"/>
        <w:rPr>
          <w:rFonts w:ascii="Times New Roman" w:hAnsi="Times New Roman" w:cs="Times New Roman"/>
          <w:color w:val="000000" w:themeColor="text1"/>
        </w:rPr>
      </w:pPr>
    </w:p>
    <w:p w14:paraId="301C8B11" w14:textId="04A4C38A" w:rsidR="006E095D" w:rsidRPr="00164238" w:rsidRDefault="006E095D" w:rsidP="00F17FEC">
      <w:pPr>
        <w:spacing w:before="120" w:after="120" w:line="360" w:lineRule="auto"/>
        <w:jc w:val="both"/>
        <w:rPr>
          <w:rFonts w:ascii="Times New Roman" w:hAnsi="Times New Roman" w:cs="Times New Roman"/>
          <w:color w:val="000000" w:themeColor="text1"/>
        </w:rPr>
      </w:pPr>
    </w:p>
    <w:p w14:paraId="3FEE3264" w14:textId="2F06C0B3" w:rsidR="00955A3E" w:rsidRPr="00164238" w:rsidRDefault="00955A3E" w:rsidP="00F17FEC">
      <w:pPr>
        <w:spacing w:before="120" w:after="120" w:line="360" w:lineRule="auto"/>
        <w:jc w:val="both"/>
        <w:rPr>
          <w:rFonts w:ascii="Times New Roman" w:hAnsi="Times New Roman" w:cs="Times New Roman"/>
          <w:color w:val="000000" w:themeColor="text1"/>
        </w:rPr>
      </w:pPr>
    </w:p>
    <w:p w14:paraId="311B6287" w14:textId="25BBFD63" w:rsidR="00955A3E" w:rsidRPr="00164238" w:rsidRDefault="00955A3E" w:rsidP="00F17FEC">
      <w:pPr>
        <w:spacing w:before="120" w:after="120" w:line="360" w:lineRule="auto"/>
        <w:jc w:val="both"/>
        <w:rPr>
          <w:rFonts w:ascii="Times New Roman" w:hAnsi="Times New Roman" w:cs="Times New Roman"/>
          <w:color w:val="000000" w:themeColor="text1"/>
        </w:rPr>
      </w:pPr>
    </w:p>
    <w:p w14:paraId="37F48F70" w14:textId="6D12E33E" w:rsidR="00955A3E" w:rsidRPr="00164238" w:rsidRDefault="00955A3E" w:rsidP="00F17FEC">
      <w:pPr>
        <w:spacing w:before="120" w:after="120" w:line="360" w:lineRule="auto"/>
        <w:jc w:val="both"/>
        <w:rPr>
          <w:rFonts w:ascii="Times New Roman" w:hAnsi="Times New Roman" w:cs="Times New Roman"/>
          <w:color w:val="000000" w:themeColor="text1"/>
        </w:rPr>
      </w:pPr>
    </w:p>
    <w:p w14:paraId="08A4B67D" w14:textId="3BF9DE5E" w:rsidR="00955A3E" w:rsidRPr="00164238" w:rsidRDefault="00955A3E" w:rsidP="00F17FEC">
      <w:pPr>
        <w:spacing w:before="120" w:after="120" w:line="360" w:lineRule="auto"/>
        <w:jc w:val="both"/>
        <w:rPr>
          <w:rFonts w:ascii="Times New Roman" w:hAnsi="Times New Roman" w:cs="Times New Roman"/>
          <w:color w:val="000000" w:themeColor="text1"/>
        </w:rPr>
      </w:pPr>
    </w:p>
    <w:p w14:paraId="7BD47D42" w14:textId="1E1757C5" w:rsidR="00955A3E" w:rsidRPr="00164238" w:rsidRDefault="00955A3E" w:rsidP="00F17FEC">
      <w:pPr>
        <w:spacing w:before="120" w:after="120" w:line="360" w:lineRule="auto"/>
        <w:jc w:val="both"/>
        <w:rPr>
          <w:rFonts w:ascii="Times New Roman" w:hAnsi="Times New Roman" w:cs="Times New Roman"/>
          <w:color w:val="000000" w:themeColor="text1"/>
        </w:rPr>
      </w:pPr>
    </w:p>
    <w:p w14:paraId="008EDD0A" w14:textId="6869AB47" w:rsidR="00955A3E" w:rsidRPr="00164238" w:rsidRDefault="00955A3E" w:rsidP="00F17FEC">
      <w:pPr>
        <w:spacing w:before="120" w:after="120" w:line="360" w:lineRule="auto"/>
        <w:jc w:val="both"/>
        <w:rPr>
          <w:rFonts w:ascii="Times New Roman" w:hAnsi="Times New Roman" w:cs="Times New Roman"/>
          <w:color w:val="000000" w:themeColor="text1"/>
        </w:rPr>
      </w:pPr>
    </w:p>
    <w:p w14:paraId="38DCA300" w14:textId="775B5202" w:rsidR="00955A3E" w:rsidRPr="00164238" w:rsidRDefault="00955A3E" w:rsidP="00F17FEC">
      <w:pPr>
        <w:spacing w:before="120" w:after="120" w:line="360" w:lineRule="auto"/>
        <w:jc w:val="both"/>
        <w:rPr>
          <w:rFonts w:ascii="Times New Roman" w:hAnsi="Times New Roman" w:cs="Times New Roman"/>
          <w:color w:val="000000" w:themeColor="text1"/>
        </w:rPr>
      </w:pPr>
    </w:p>
    <w:p w14:paraId="05661CDA" w14:textId="578FDE72" w:rsidR="00955A3E" w:rsidRPr="00164238" w:rsidRDefault="00955A3E" w:rsidP="00F17FEC">
      <w:pPr>
        <w:spacing w:before="120" w:after="120" w:line="360" w:lineRule="auto"/>
        <w:jc w:val="both"/>
        <w:rPr>
          <w:rFonts w:ascii="Times New Roman" w:hAnsi="Times New Roman" w:cs="Times New Roman"/>
          <w:color w:val="000000" w:themeColor="text1"/>
        </w:rPr>
      </w:pPr>
    </w:p>
    <w:p w14:paraId="4555A7FC" w14:textId="391E8083" w:rsidR="00955A3E" w:rsidRPr="00164238" w:rsidRDefault="00955A3E" w:rsidP="00F17FEC">
      <w:pPr>
        <w:spacing w:before="120" w:after="120" w:line="360" w:lineRule="auto"/>
        <w:jc w:val="both"/>
        <w:rPr>
          <w:rFonts w:ascii="Times New Roman" w:hAnsi="Times New Roman" w:cs="Times New Roman"/>
          <w:color w:val="000000" w:themeColor="text1"/>
        </w:rPr>
      </w:pPr>
    </w:p>
    <w:p w14:paraId="6234F489" w14:textId="68BEF551" w:rsidR="00955A3E" w:rsidRDefault="00955A3E" w:rsidP="00F17FEC">
      <w:pPr>
        <w:spacing w:before="120" w:after="120" w:line="360" w:lineRule="auto"/>
        <w:jc w:val="both"/>
        <w:rPr>
          <w:rFonts w:ascii="Times New Roman" w:hAnsi="Times New Roman" w:cs="Times New Roman"/>
          <w:color w:val="000000" w:themeColor="text1"/>
        </w:rPr>
      </w:pPr>
    </w:p>
    <w:p w14:paraId="00D610DA" w14:textId="53E12E4D" w:rsidR="001E0B0D" w:rsidRDefault="001E0B0D" w:rsidP="00F17FEC">
      <w:pPr>
        <w:spacing w:before="120" w:after="120" w:line="360" w:lineRule="auto"/>
        <w:jc w:val="both"/>
        <w:rPr>
          <w:rFonts w:ascii="Times New Roman" w:hAnsi="Times New Roman" w:cs="Times New Roman"/>
          <w:color w:val="000000" w:themeColor="text1"/>
        </w:rPr>
      </w:pPr>
    </w:p>
    <w:p w14:paraId="00BA317E" w14:textId="59CCB7CE" w:rsidR="001E0B0D" w:rsidRDefault="001E0B0D" w:rsidP="00F17FEC">
      <w:pPr>
        <w:spacing w:before="120" w:after="120" w:line="360" w:lineRule="auto"/>
        <w:jc w:val="both"/>
        <w:rPr>
          <w:rFonts w:ascii="Times New Roman" w:hAnsi="Times New Roman" w:cs="Times New Roman"/>
          <w:color w:val="000000" w:themeColor="text1"/>
        </w:rPr>
      </w:pPr>
    </w:p>
    <w:p w14:paraId="1DB436AD" w14:textId="5D6F2D43" w:rsidR="001E0B0D" w:rsidRDefault="001E0B0D" w:rsidP="00F17FEC">
      <w:pPr>
        <w:spacing w:before="120" w:after="120" w:line="360" w:lineRule="auto"/>
        <w:jc w:val="both"/>
        <w:rPr>
          <w:rFonts w:ascii="Times New Roman" w:hAnsi="Times New Roman" w:cs="Times New Roman"/>
          <w:color w:val="000000" w:themeColor="text1"/>
        </w:rPr>
      </w:pPr>
    </w:p>
    <w:p w14:paraId="0D2850F7" w14:textId="1E0AB623" w:rsidR="001E0B0D" w:rsidRDefault="001E0B0D" w:rsidP="00F17FEC">
      <w:pPr>
        <w:spacing w:before="120" w:after="120" w:line="360" w:lineRule="auto"/>
        <w:jc w:val="both"/>
        <w:rPr>
          <w:rFonts w:ascii="Times New Roman" w:hAnsi="Times New Roman" w:cs="Times New Roman"/>
          <w:color w:val="000000" w:themeColor="text1"/>
        </w:rPr>
      </w:pPr>
    </w:p>
    <w:p w14:paraId="1BFA107E" w14:textId="0CEDE127" w:rsidR="001E0B0D" w:rsidRDefault="001E0B0D" w:rsidP="00F17FEC">
      <w:pPr>
        <w:spacing w:before="120" w:after="120" w:line="360" w:lineRule="auto"/>
        <w:jc w:val="both"/>
        <w:rPr>
          <w:rFonts w:ascii="Times New Roman" w:hAnsi="Times New Roman" w:cs="Times New Roman"/>
          <w:color w:val="000000" w:themeColor="text1"/>
        </w:rPr>
      </w:pPr>
    </w:p>
    <w:p w14:paraId="1CE346C6" w14:textId="1EDA1E6A" w:rsidR="001E0B0D" w:rsidRDefault="001E0B0D" w:rsidP="00F17FEC">
      <w:pPr>
        <w:spacing w:before="120" w:after="120" w:line="360" w:lineRule="auto"/>
        <w:jc w:val="both"/>
        <w:rPr>
          <w:rFonts w:ascii="Times New Roman" w:hAnsi="Times New Roman" w:cs="Times New Roman"/>
          <w:color w:val="000000" w:themeColor="text1"/>
        </w:rPr>
      </w:pPr>
    </w:p>
    <w:p w14:paraId="30CD9250" w14:textId="22171C89" w:rsidR="001E0B0D" w:rsidRDefault="001E0B0D" w:rsidP="00F17FEC">
      <w:pPr>
        <w:spacing w:before="120" w:after="120" w:line="360" w:lineRule="auto"/>
        <w:jc w:val="both"/>
        <w:rPr>
          <w:rFonts w:ascii="Times New Roman" w:hAnsi="Times New Roman" w:cs="Times New Roman"/>
          <w:color w:val="000000" w:themeColor="text1"/>
        </w:rPr>
      </w:pPr>
    </w:p>
    <w:p w14:paraId="6BAE78ED" w14:textId="77777777" w:rsidR="001E0B0D" w:rsidRPr="00164238" w:rsidRDefault="001E0B0D" w:rsidP="00F17FEC">
      <w:pPr>
        <w:spacing w:before="120" w:after="120" w:line="360" w:lineRule="auto"/>
        <w:jc w:val="both"/>
        <w:rPr>
          <w:rFonts w:ascii="Times New Roman" w:hAnsi="Times New Roman" w:cs="Times New Roman"/>
          <w:color w:val="000000" w:themeColor="text1"/>
        </w:rPr>
      </w:pPr>
    </w:p>
    <w:p w14:paraId="49494D04" w14:textId="52E6A8B3" w:rsidR="00955A3E" w:rsidRPr="00164238" w:rsidRDefault="00955A3E" w:rsidP="00F17FEC">
      <w:pPr>
        <w:spacing w:before="120" w:after="120" w:line="360" w:lineRule="auto"/>
        <w:jc w:val="both"/>
        <w:rPr>
          <w:rFonts w:ascii="Times New Roman" w:hAnsi="Times New Roman" w:cs="Times New Roman"/>
          <w:color w:val="000000" w:themeColor="text1"/>
        </w:rPr>
      </w:pPr>
    </w:p>
    <w:p w14:paraId="75E2B863" w14:textId="577DFCC4" w:rsidR="00955A3E" w:rsidRDefault="00955A3E" w:rsidP="00F17FEC">
      <w:pPr>
        <w:spacing w:before="120" w:after="120" w:line="360" w:lineRule="auto"/>
        <w:jc w:val="both"/>
        <w:rPr>
          <w:rFonts w:ascii="Times New Roman" w:hAnsi="Times New Roman" w:cs="Times New Roman"/>
          <w:color w:val="000000" w:themeColor="text1"/>
        </w:rPr>
      </w:pPr>
    </w:p>
    <w:p w14:paraId="130D00F1" w14:textId="278EEA48" w:rsidR="00613F62" w:rsidRPr="00164238" w:rsidRDefault="00BA15B0" w:rsidP="00BA15B0">
      <w:pPr>
        <w:pStyle w:val="Balk1"/>
        <w:rPr>
          <w:rFonts w:ascii="Times New Roman" w:hAnsi="Times New Roman" w:cs="Times New Roman"/>
          <w:b/>
          <w:color w:val="000000" w:themeColor="text1"/>
          <w:sz w:val="24"/>
          <w:szCs w:val="24"/>
          <w:lang w:val="en-US"/>
        </w:rPr>
      </w:pPr>
      <w:bookmarkStart w:id="75" w:name="_Toc72961688"/>
      <w:r w:rsidRPr="00164238">
        <w:rPr>
          <w:rStyle w:val="nlmmonth"/>
          <w:rFonts w:ascii="Times New Roman" w:hAnsi="Times New Roman" w:cs="Times New Roman"/>
          <w:b/>
          <w:color w:val="000000" w:themeColor="text1"/>
          <w:sz w:val="24"/>
          <w:szCs w:val="24"/>
          <w:shd w:val="clear" w:color="auto" w:fill="FFFFFF"/>
        </w:rPr>
        <w:lastRenderedPageBreak/>
        <w:t xml:space="preserve">ULUSLARARASI SİSTEMİN YENİ KRİZİ </w:t>
      </w:r>
      <w:r w:rsidRPr="00164238">
        <w:rPr>
          <w:rFonts w:ascii="Times New Roman" w:hAnsi="Times New Roman" w:cs="Times New Roman"/>
          <w:b/>
          <w:color w:val="000000" w:themeColor="text1"/>
          <w:sz w:val="24"/>
          <w:szCs w:val="24"/>
          <w:shd w:val="clear" w:color="auto" w:fill="FFFFFF"/>
          <w:lang w:val="en-US"/>
        </w:rPr>
        <w:t>:</w:t>
      </w:r>
      <w:r w:rsidRPr="00164238">
        <w:rPr>
          <w:rStyle w:val="nlmmonth"/>
          <w:rFonts w:ascii="Times New Roman" w:hAnsi="Times New Roman" w:cs="Times New Roman"/>
          <w:b/>
          <w:color w:val="000000" w:themeColor="text1"/>
          <w:sz w:val="24"/>
          <w:szCs w:val="24"/>
          <w:shd w:val="clear" w:color="auto" w:fill="FFFFFF"/>
        </w:rPr>
        <w:t>COVID-19 PANDEMİSİ</w:t>
      </w:r>
      <w:r w:rsidRPr="00164238">
        <w:rPr>
          <w:rFonts w:ascii="Times New Roman" w:hAnsi="Times New Roman" w:cs="Times New Roman"/>
          <w:b/>
          <w:color w:val="000000" w:themeColor="text1"/>
          <w:sz w:val="24"/>
          <w:szCs w:val="24"/>
          <w:shd w:val="clear" w:color="auto" w:fill="FFFFFF"/>
          <w:lang w:val="en-US"/>
        </w:rPr>
        <w:t xml:space="preserve"> VE AZERBAYCAN</w:t>
      </w:r>
      <w:bookmarkEnd w:id="75"/>
      <w:r w:rsidRPr="00164238">
        <w:rPr>
          <w:rFonts w:ascii="Times New Roman" w:hAnsi="Times New Roman" w:cs="Times New Roman"/>
          <w:b/>
          <w:color w:val="000000" w:themeColor="text1"/>
          <w:sz w:val="24"/>
          <w:szCs w:val="24"/>
          <w:lang w:val="en-US"/>
        </w:rPr>
        <w:t xml:space="preserve"> </w:t>
      </w:r>
    </w:p>
    <w:p w14:paraId="420AAA4E" w14:textId="77777777" w:rsidR="00613F62" w:rsidRPr="00164238" w:rsidRDefault="00613F62" w:rsidP="00613F62">
      <w:pPr>
        <w:spacing w:line="360" w:lineRule="auto"/>
        <w:jc w:val="right"/>
        <w:rPr>
          <w:rFonts w:ascii="Times New Roman" w:hAnsi="Times New Roman" w:cs="Times New Roman"/>
          <w:b/>
          <w:color w:val="000000" w:themeColor="text1"/>
        </w:rPr>
      </w:pPr>
    </w:p>
    <w:p w14:paraId="090CB119" w14:textId="0B0E0227" w:rsidR="00BA15B0" w:rsidRPr="00164238" w:rsidRDefault="00BA15B0" w:rsidP="00445EDA">
      <w:pPr>
        <w:pStyle w:val="Balk2"/>
        <w:rPr>
          <w:rFonts w:ascii="Times New Roman" w:eastAsia="Arial" w:hAnsi="Times New Roman" w:cs="Times New Roman"/>
          <w:b w:val="0"/>
          <w:i w:val="0"/>
          <w:color w:val="000000" w:themeColor="text1"/>
          <w:sz w:val="20"/>
          <w:szCs w:val="20"/>
        </w:rPr>
      </w:pPr>
      <w:bookmarkStart w:id="76" w:name="_Toc72961689"/>
      <w:r w:rsidRPr="00164238">
        <w:rPr>
          <w:rStyle w:val="Balk2Char"/>
          <w:rFonts w:ascii="Times New Roman" w:eastAsiaTheme="minorHAnsi" w:hAnsi="Times New Roman" w:cs="Times New Roman"/>
          <w:i/>
          <w:color w:val="000000" w:themeColor="text1"/>
          <w:sz w:val="20"/>
          <w:szCs w:val="20"/>
        </w:rPr>
        <w:t>Doç.Dr. Murteza   HASANOĞLU</w:t>
      </w:r>
      <w:r w:rsidRPr="00164238">
        <w:rPr>
          <w:rFonts w:ascii="Times New Roman" w:eastAsia="Arial" w:hAnsi="Times New Roman" w:cs="Times New Roman"/>
          <w:color w:val="000000" w:themeColor="text1"/>
          <w:sz w:val="20"/>
          <w:szCs w:val="20"/>
        </w:rPr>
        <w:t xml:space="preserve">, </w:t>
      </w:r>
      <w:r w:rsidRPr="00164238">
        <w:rPr>
          <w:rFonts w:ascii="Times New Roman" w:eastAsia="Arial" w:hAnsi="Times New Roman" w:cs="Times New Roman"/>
          <w:b w:val="0"/>
          <w:i w:val="0"/>
          <w:color w:val="000000" w:themeColor="text1"/>
          <w:sz w:val="20"/>
          <w:szCs w:val="20"/>
        </w:rPr>
        <w:t>Azerbaycan Cumhuriyeti Devlet Başkanlığına Bağlı Devlet İdarecilik Akademisi,</w:t>
      </w:r>
      <w:r w:rsidR="00445EDA" w:rsidRPr="00164238">
        <w:rPr>
          <w:rFonts w:ascii="Times New Roman" w:eastAsia="Arial" w:hAnsi="Times New Roman" w:cs="Times New Roman"/>
          <w:b w:val="0"/>
          <w:i w:val="0"/>
          <w:color w:val="000000" w:themeColor="text1"/>
          <w:sz w:val="20"/>
          <w:szCs w:val="20"/>
        </w:rPr>
        <w:t xml:space="preserve"> Azerbaycan</w:t>
      </w:r>
      <w:bookmarkEnd w:id="76"/>
    </w:p>
    <w:p w14:paraId="46F2C6E7" w14:textId="033AC97D" w:rsidR="00BA15B0" w:rsidRPr="00164238" w:rsidRDefault="00BA15B0" w:rsidP="00BA15B0">
      <w:pPr>
        <w:pStyle w:val="Default"/>
        <w:rPr>
          <w:color w:val="000000" w:themeColor="text1"/>
          <w:sz w:val="20"/>
          <w:szCs w:val="20"/>
        </w:rPr>
      </w:pPr>
      <w:r w:rsidRPr="00164238">
        <w:rPr>
          <w:rFonts w:eastAsia="Arial"/>
          <w:i/>
          <w:color w:val="000000" w:themeColor="text1"/>
          <w:sz w:val="20"/>
          <w:szCs w:val="20"/>
        </w:rPr>
        <w:t>e-mail:</w:t>
      </w:r>
      <w:r w:rsidRPr="00164238">
        <w:rPr>
          <w:color w:val="000000" w:themeColor="text1"/>
          <w:sz w:val="20"/>
          <w:szCs w:val="20"/>
        </w:rPr>
        <w:t xml:space="preserve">  </w:t>
      </w:r>
      <w:r w:rsidRPr="00164238">
        <w:rPr>
          <w:i/>
          <w:iCs/>
          <w:color w:val="000000" w:themeColor="text1"/>
          <w:sz w:val="20"/>
          <w:szCs w:val="20"/>
          <w:u w:val="single"/>
        </w:rPr>
        <w:t>m_hasanoglu@yahoo.com.tr</w:t>
      </w:r>
      <w:r w:rsidR="00445EDA" w:rsidRPr="00164238">
        <w:rPr>
          <w:rFonts w:eastAsia="Arial"/>
          <w:i/>
          <w:color w:val="000000" w:themeColor="text1"/>
          <w:sz w:val="20"/>
          <w:szCs w:val="20"/>
        </w:rPr>
        <w:t xml:space="preserve"> </w:t>
      </w:r>
      <w:r w:rsidRPr="00164238">
        <w:rPr>
          <w:rFonts w:eastAsia="Arial"/>
          <w:i/>
          <w:color w:val="000000" w:themeColor="text1"/>
          <w:sz w:val="20"/>
          <w:szCs w:val="20"/>
        </w:rPr>
        <w:t>ORCID ID:</w:t>
      </w:r>
      <w:r w:rsidRPr="00164238">
        <w:rPr>
          <w:color w:val="000000" w:themeColor="text1"/>
          <w:sz w:val="20"/>
          <w:szCs w:val="20"/>
        </w:rPr>
        <w:t xml:space="preserve"> 0000-0003-3734-4045</w:t>
      </w:r>
    </w:p>
    <w:p w14:paraId="5ED404DD" w14:textId="77777777" w:rsidR="00613F62" w:rsidRPr="00164238" w:rsidRDefault="00613F62" w:rsidP="00613F62">
      <w:pPr>
        <w:tabs>
          <w:tab w:val="center" w:pos="4844"/>
          <w:tab w:val="left" w:pos="8145"/>
        </w:tabs>
        <w:spacing w:after="0" w:line="240" w:lineRule="auto"/>
        <w:textAlignment w:val="baseline"/>
        <w:rPr>
          <w:rFonts w:ascii="Times New Roman" w:hAnsi="Times New Roman" w:cs="Times New Roman"/>
          <w:b/>
          <w:color w:val="000000" w:themeColor="text1"/>
          <w:shd w:val="clear" w:color="auto" w:fill="FFFFFF"/>
        </w:rPr>
      </w:pPr>
      <w:r w:rsidRPr="00164238">
        <w:rPr>
          <w:rFonts w:ascii="Times New Roman" w:hAnsi="Times New Roman" w:cs="Times New Roman"/>
          <w:b/>
          <w:color w:val="000000" w:themeColor="text1"/>
          <w:shd w:val="clear" w:color="auto" w:fill="FFFFFF"/>
        </w:rPr>
        <w:tab/>
      </w:r>
    </w:p>
    <w:p w14:paraId="6C6BBBCB" w14:textId="77777777" w:rsidR="00613F62" w:rsidRPr="00164238" w:rsidRDefault="00613F62" w:rsidP="00613F62">
      <w:pPr>
        <w:spacing w:line="360" w:lineRule="auto"/>
        <w:ind w:firstLine="708"/>
        <w:rPr>
          <w:rFonts w:ascii="Times New Roman" w:hAnsi="Times New Roman" w:cs="Times New Roman"/>
          <w:b/>
          <w:color w:val="000000" w:themeColor="text1"/>
        </w:rPr>
      </w:pPr>
      <w:r w:rsidRPr="00164238">
        <w:rPr>
          <w:rFonts w:ascii="Times New Roman" w:eastAsia="Times New Roman" w:hAnsi="Times New Roman" w:cs="Times New Roman"/>
          <w:b/>
          <w:bCs/>
          <w:color w:val="000000" w:themeColor="text1"/>
          <w:lang w:val="en-US"/>
        </w:rPr>
        <w:t>ÖZET</w:t>
      </w:r>
      <w:r w:rsidRPr="00164238">
        <w:rPr>
          <w:rFonts w:ascii="Times New Roman" w:hAnsi="Times New Roman" w:cs="Times New Roman"/>
          <w:b/>
          <w:color w:val="000000" w:themeColor="text1"/>
        </w:rPr>
        <w:t xml:space="preserve"> </w:t>
      </w:r>
    </w:p>
    <w:p w14:paraId="7C10467D" w14:textId="77777777" w:rsidR="00613F62" w:rsidRPr="00164238" w:rsidRDefault="00613F62" w:rsidP="00613F62">
      <w:pPr>
        <w:spacing w:line="360" w:lineRule="auto"/>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shd w:val="clear" w:color="auto" w:fill="FFFFFF"/>
        </w:rPr>
        <w:t xml:space="preserve">2019 yılının aralık ayında  </w:t>
      </w:r>
      <w:r w:rsidRPr="00164238">
        <w:rPr>
          <w:rFonts w:ascii="Times New Roman" w:hAnsi="Times New Roman" w:cs="Times New Roman"/>
          <w:color w:val="000000" w:themeColor="text1"/>
        </w:rPr>
        <w:t>Çin’in Hubei eyaletinin Vuhan şehrinde</w:t>
      </w:r>
      <w:r w:rsidRPr="00164238">
        <w:rPr>
          <w:rFonts w:ascii="Times New Roman" w:hAnsi="Times New Roman" w:cs="Times New Roman"/>
          <w:color w:val="000000" w:themeColor="text1"/>
          <w:shd w:val="clear" w:color="auto" w:fill="FFFFFF"/>
        </w:rPr>
        <w:t xml:space="preserve"> ortaya çıkan koronavirüs salgını </w:t>
      </w:r>
      <w:r w:rsidRPr="00164238">
        <w:rPr>
          <w:rFonts w:ascii="Times New Roman" w:hAnsi="Times New Roman" w:cs="Times New Roman"/>
          <w:color w:val="000000" w:themeColor="text1"/>
        </w:rPr>
        <w:t>ve ya COVID-19 salgını aylardır tüm dünyayı gergin bir durumda tutuyor. Bu salgın dünya siyasetini kökten değiştirdi ve bazı bölgelerde güç dengesini etkiledi. Sadece birkaç ayda Wuhan'dan (Çin) dünyanın geri kalanına hızla yayılan koronavirüs pandemisine ciddi tıbbi, sosyo-ekonomik ve psikolojik hasar eşlik ediyor. Şubat 2020'de Dünya Sağlık Örgütü (WHO) bu korkutucu hastalığı “2019 koronavirüsü” (COVID19) olarak adlandırdı, 11 Mart 2020'de ise salgın olarak ilan etti. Başka deyimle ifade edersek, 2019 senesinde hayatımıza giren Covid-19 enfeksiyonu, çok geçmeden gezegenin neredeyse tüm ülkelerine sınırsız yayılarak pandemi şeklini aldı.</w:t>
      </w:r>
    </w:p>
    <w:p w14:paraId="176D3168" w14:textId="77777777" w:rsidR="00613F62" w:rsidRPr="00164238" w:rsidRDefault="00613F62" w:rsidP="00613F62">
      <w:pPr>
        <w:spacing w:line="360" w:lineRule="auto"/>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Dünya şu anda koronavirüsten muzdarip durumdadır. Hemen-hemen dünyanın her karışında üzücü ve trajik bir durum hükm etmektedir: çok sayıda insan kaybı var, insanların sağlığı tehlikede, tıbbi güvenlik kötüleşiyor, ülkeler sınırlarını kapatıyor, bilim, kültür, spor, oyun, sanat ve diğer alanlarda gerçekleştirilen etkinlikler ertelendi, ekonomik bağlar sınırlı, turizm sektörü çöktü, </w:t>
      </w:r>
      <w:r w:rsidRPr="00164238">
        <w:rPr>
          <w:rStyle w:val="nlmmonth"/>
          <w:rFonts w:ascii="Times New Roman" w:hAnsi="Times New Roman" w:cs="Times New Roman"/>
          <w:color w:val="000000" w:themeColor="text1"/>
          <w:shd w:val="clear" w:color="auto" w:fill="FFFFFF"/>
        </w:rPr>
        <w:t>eğitim kurumları uzaktan</w:t>
      </w:r>
      <w:r w:rsidRPr="00164238">
        <w:rPr>
          <w:rFonts w:ascii="Times New Roman" w:hAnsi="Times New Roman" w:cs="Times New Roman"/>
          <w:i/>
          <w:color w:val="000000" w:themeColor="text1"/>
          <w:shd w:val="clear" w:color="auto" w:fill="FFFFFF"/>
        </w:rPr>
        <w:t> </w:t>
      </w:r>
      <w:r w:rsidRPr="00164238">
        <w:rPr>
          <w:rFonts w:ascii="Times New Roman" w:hAnsi="Times New Roman" w:cs="Times New Roman"/>
          <w:color w:val="000000" w:themeColor="text1"/>
          <w:shd w:val="clear" w:color="auto" w:fill="FFFFFF"/>
        </w:rPr>
        <w:t>eğitime </w:t>
      </w:r>
      <w:r w:rsidRPr="00164238">
        <w:rPr>
          <w:rStyle w:val="nlmmonth"/>
          <w:rFonts w:ascii="Times New Roman" w:hAnsi="Times New Roman" w:cs="Times New Roman"/>
          <w:color w:val="000000" w:themeColor="text1"/>
          <w:shd w:val="clear" w:color="auto" w:fill="FFFFFF"/>
        </w:rPr>
        <w:t>geç</w:t>
      </w:r>
      <w:r w:rsidRPr="00164238">
        <w:rPr>
          <w:rFonts w:ascii="Times New Roman" w:hAnsi="Times New Roman" w:cs="Times New Roman"/>
          <w:color w:val="000000" w:themeColor="text1"/>
        </w:rPr>
        <w:t>ti</w:t>
      </w:r>
      <w:r w:rsidRPr="00164238">
        <w:rPr>
          <w:rFonts w:ascii="Times New Roman" w:hAnsi="Times New Roman" w:cs="Times New Roman"/>
          <w:i/>
          <w:color w:val="000000" w:themeColor="text1"/>
        </w:rPr>
        <w:t xml:space="preserve">, </w:t>
      </w:r>
      <w:r w:rsidRPr="00164238">
        <w:rPr>
          <w:rFonts w:ascii="Times New Roman" w:hAnsi="Times New Roman" w:cs="Times New Roman"/>
          <w:color w:val="000000" w:themeColor="text1"/>
        </w:rPr>
        <w:t xml:space="preserve"> endüstri risk altında, dünya ekonomisi krizde ve zarar yüz milyarlarca doları aştı.</w:t>
      </w:r>
    </w:p>
    <w:p w14:paraId="530D3055" w14:textId="77777777" w:rsidR="00613F62" w:rsidRPr="00164238" w:rsidRDefault="00613F62" w:rsidP="00613F62">
      <w:pPr>
        <w:spacing w:line="360" w:lineRule="auto"/>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shd w:val="clear" w:color="auto" w:fill="FFFFFF"/>
        </w:rPr>
        <w:t>Azerbaycan</w:t>
      </w:r>
      <w:r w:rsidRPr="00164238">
        <w:rPr>
          <w:rFonts w:ascii="Times New Roman" w:hAnsi="Times New Roman" w:cs="Times New Roman"/>
          <w:color w:val="000000" w:themeColor="text1"/>
        </w:rPr>
        <w:t xml:space="preserve"> Cumhuriyyeti </w:t>
      </w:r>
      <w:r w:rsidRPr="00164238">
        <w:rPr>
          <w:rFonts w:ascii="Times New Roman" w:eastAsia="Times New Roman" w:hAnsi="Times New Roman" w:cs="Times New Roman"/>
          <w:color w:val="000000" w:themeColor="text1"/>
        </w:rPr>
        <w:t xml:space="preserve"> bu mücadelede diğer ülkelere örnek olacak bir yönetim biçimi  göstermiştir.</w:t>
      </w:r>
      <w:r w:rsidRPr="00164238">
        <w:rPr>
          <w:rFonts w:ascii="Times New Roman" w:eastAsia="Times New Roman" w:hAnsi="Times New Roman" w:cs="Times New Roman"/>
          <w:color w:val="000000" w:themeColor="text1"/>
        </w:rPr>
        <w:br/>
      </w:r>
      <w:r w:rsidRPr="00164238">
        <w:rPr>
          <w:rFonts w:ascii="Times New Roman" w:hAnsi="Times New Roman" w:cs="Times New Roman"/>
          <w:color w:val="000000" w:themeColor="text1"/>
        </w:rPr>
        <w:t xml:space="preserve">Bugün, tüm dünya ülkelerinde olduğu gibi Azerbaycan Cumhuriyyeti de Covid-19 pandemisninin zararlarından es geçemedi.  Bu çalışmanın amacı  COVID-19 pandemisinin Azerbaycan Cumhuriyyetini nasıl etkilediğinden, bu bulaşıcı hastalıkla mücadele için ülkede Azerbaycan Cumhuriyeti Cumhurbaşkanı ve Hükümeti düzeyinde ne gibi ciddi ve etkili önlemler alındığından ve gerçekleştirilen çalışmaların belirlenmesidir. </w:t>
      </w:r>
    </w:p>
    <w:p w14:paraId="3C0406A5" w14:textId="77777777" w:rsidR="00613F62" w:rsidRPr="00164238" w:rsidRDefault="00613F62" w:rsidP="00613F62">
      <w:pPr>
        <w:spacing w:line="360" w:lineRule="auto"/>
        <w:jc w:val="both"/>
        <w:rPr>
          <w:rFonts w:ascii="Times New Roman" w:hAnsi="Times New Roman" w:cs="Times New Roman"/>
          <w:color w:val="000000" w:themeColor="text1"/>
          <w:lang w:val="en-US"/>
        </w:rPr>
      </w:pPr>
      <w:r w:rsidRPr="00164238">
        <w:rPr>
          <w:rFonts w:ascii="Times New Roman" w:eastAsia="Times New Roman" w:hAnsi="Times New Roman" w:cs="Times New Roman"/>
          <w:b/>
          <w:bCs/>
          <w:color w:val="000000" w:themeColor="text1"/>
          <w:lang w:val="en-US"/>
        </w:rPr>
        <w:t>Anahtar Kelimeler</w:t>
      </w:r>
      <w:r w:rsidRPr="00164238">
        <w:rPr>
          <w:rFonts w:ascii="Times New Roman" w:eastAsia="Times New Roman" w:hAnsi="Times New Roman" w:cs="Times New Roman"/>
          <w:color w:val="000000" w:themeColor="text1"/>
          <w:lang w:val="en-US"/>
        </w:rPr>
        <w:t xml:space="preserve">: </w:t>
      </w:r>
      <w:r w:rsidRPr="00164238">
        <w:rPr>
          <w:rFonts w:ascii="Times New Roman" w:hAnsi="Times New Roman" w:cs="Times New Roman"/>
          <w:color w:val="000000" w:themeColor="text1"/>
          <w:shd w:val="clear" w:color="auto" w:fill="FFFFFF"/>
          <w:lang w:val="en-US"/>
        </w:rPr>
        <w:t>Azerbaycan</w:t>
      </w:r>
      <w:r w:rsidRPr="00164238">
        <w:rPr>
          <w:rFonts w:ascii="Times New Roman" w:hAnsi="Times New Roman" w:cs="Times New Roman"/>
          <w:i/>
          <w:color w:val="000000" w:themeColor="text1"/>
          <w:lang w:val="en-US"/>
        </w:rPr>
        <w:t xml:space="preserve"> </w:t>
      </w:r>
      <w:r w:rsidRPr="00164238">
        <w:rPr>
          <w:rFonts w:ascii="Times New Roman" w:hAnsi="Times New Roman" w:cs="Times New Roman"/>
          <w:color w:val="000000" w:themeColor="text1"/>
        </w:rPr>
        <w:t>,</w:t>
      </w:r>
      <w:r w:rsidRPr="00164238">
        <w:rPr>
          <w:rFonts w:ascii="Times New Roman" w:eastAsia="Times New Roman" w:hAnsi="Times New Roman" w:cs="Times New Roman"/>
          <w:b/>
          <w:color w:val="000000" w:themeColor="text1"/>
          <w:lang w:val="en-US"/>
        </w:rPr>
        <w:t xml:space="preserve"> </w:t>
      </w:r>
      <w:r w:rsidRPr="00164238">
        <w:rPr>
          <w:rFonts w:ascii="Times New Roman" w:eastAsia="Times New Roman" w:hAnsi="Times New Roman" w:cs="Times New Roman"/>
          <w:color w:val="000000" w:themeColor="text1"/>
          <w:lang w:val="en-US"/>
        </w:rPr>
        <w:t xml:space="preserve">Pandemi </w:t>
      </w:r>
      <w:r w:rsidRPr="00164238">
        <w:rPr>
          <w:rFonts w:ascii="Times New Roman" w:hAnsi="Times New Roman" w:cs="Times New Roman"/>
          <w:color w:val="000000" w:themeColor="text1"/>
        </w:rPr>
        <w:t>,</w:t>
      </w:r>
      <w:r w:rsidRPr="00164238">
        <w:rPr>
          <w:rFonts w:ascii="Times New Roman" w:hAnsi="Times New Roman" w:cs="Times New Roman"/>
          <w:color w:val="000000" w:themeColor="text1"/>
          <w:lang w:val="en-US"/>
        </w:rPr>
        <w:t xml:space="preserve"> </w:t>
      </w:r>
      <w:r w:rsidRPr="00164238">
        <w:rPr>
          <w:rFonts w:ascii="Times New Roman" w:hAnsi="Times New Roman" w:cs="Times New Roman"/>
          <w:color w:val="000000" w:themeColor="text1"/>
        </w:rPr>
        <w:t xml:space="preserve"> </w:t>
      </w:r>
      <w:r w:rsidRPr="00164238">
        <w:rPr>
          <w:rStyle w:val="nlmmonth"/>
          <w:rFonts w:ascii="Times New Roman" w:hAnsi="Times New Roman" w:cs="Times New Roman"/>
          <w:color w:val="000000" w:themeColor="text1"/>
          <w:shd w:val="clear" w:color="auto" w:fill="FFFFFF"/>
        </w:rPr>
        <w:t>Dünya Sağlık Örgütü (</w:t>
      </w:r>
      <w:r w:rsidRPr="00164238">
        <w:rPr>
          <w:rFonts w:ascii="Times New Roman" w:hAnsi="Times New Roman" w:cs="Times New Roman"/>
          <w:color w:val="000000" w:themeColor="text1"/>
          <w:shd w:val="clear" w:color="auto" w:fill="FFFFFF"/>
          <w:lang w:val="en-US"/>
        </w:rPr>
        <w:t>DSÖ)</w:t>
      </w:r>
      <w:r w:rsidRPr="00164238">
        <w:rPr>
          <w:rFonts w:ascii="Times New Roman" w:hAnsi="Times New Roman" w:cs="Times New Roman"/>
          <w:i/>
          <w:color w:val="000000" w:themeColor="text1"/>
          <w:lang w:val="en-US"/>
        </w:rPr>
        <w:t xml:space="preserve"> </w:t>
      </w:r>
      <w:r w:rsidRPr="00164238">
        <w:rPr>
          <w:rFonts w:ascii="Times New Roman" w:hAnsi="Times New Roman" w:cs="Times New Roman"/>
          <w:color w:val="000000" w:themeColor="text1"/>
        </w:rPr>
        <w:t>,</w:t>
      </w:r>
      <w:r w:rsidRPr="00164238">
        <w:rPr>
          <w:rFonts w:ascii="Times New Roman" w:eastAsia="Times New Roman" w:hAnsi="Times New Roman" w:cs="Times New Roman"/>
          <w:b/>
          <w:color w:val="000000" w:themeColor="text1"/>
          <w:lang w:val="en-US"/>
        </w:rPr>
        <w:t xml:space="preserve"> </w:t>
      </w:r>
      <w:r w:rsidRPr="00164238">
        <w:rPr>
          <w:rFonts w:ascii="Times New Roman" w:eastAsia="Times New Roman" w:hAnsi="Times New Roman" w:cs="Times New Roman"/>
          <w:color w:val="000000" w:themeColor="text1"/>
          <w:lang w:val="en-US"/>
        </w:rPr>
        <w:t>COVID-19</w:t>
      </w:r>
      <w:r w:rsidRPr="00164238">
        <w:rPr>
          <w:rFonts w:ascii="Times New Roman" w:hAnsi="Times New Roman" w:cs="Times New Roman"/>
          <w:color w:val="000000" w:themeColor="text1"/>
        </w:rPr>
        <w:t>.</w:t>
      </w:r>
      <w:r w:rsidRPr="00164238">
        <w:rPr>
          <w:rFonts w:ascii="Times New Roman" w:eastAsia="Times New Roman" w:hAnsi="Times New Roman" w:cs="Times New Roman"/>
          <w:color w:val="000000" w:themeColor="text1"/>
          <w:lang w:val="en-US"/>
        </w:rPr>
        <w:t xml:space="preserve">  </w:t>
      </w:r>
    </w:p>
    <w:p w14:paraId="017FB2A6" w14:textId="77777777" w:rsidR="00613F62" w:rsidRPr="00164238" w:rsidRDefault="00613F62" w:rsidP="00613F62">
      <w:pPr>
        <w:spacing w:line="360" w:lineRule="auto"/>
        <w:jc w:val="center"/>
        <w:rPr>
          <w:rFonts w:ascii="Times New Roman" w:hAnsi="Times New Roman" w:cs="Times New Roman"/>
          <w:b/>
          <w:color w:val="000000" w:themeColor="text1"/>
        </w:rPr>
      </w:pPr>
    </w:p>
    <w:p w14:paraId="1066B7C2" w14:textId="54F5ED4B" w:rsidR="00613F62" w:rsidRPr="00164238" w:rsidRDefault="00BA15B0" w:rsidP="00613F62">
      <w:pPr>
        <w:spacing w:line="360" w:lineRule="auto"/>
        <w:jc w:val="center"/>
        <w:rPr>
          <w:rFonts w:ascii="Times New Roman" w:hAnsi="Times New Roman" w:cs="Times New Roman"/>
          <w:b/>
          <w:color w:val="000000" w:themeColor="text1"/>
          <w:sz w:val="24"/>
          <w:szCs w:val="24"/>
        </w:rPr>
      </w:pPr>
      <w:r w:rsidRPr="00164238">
        <w:rPr>
          <w:rFonts w:ascii="Times New Roman" w:hAnsi="Times New Roman" w:cs="Times New Roman"/>
          <w:b/>
          <w:color w:val="000000" w:themeColor="text1"/>
          <w:sz w:val="24"/>
          <w:szCs w:val="24"/>
        </w:rPr>
        <w:lastRenderedPageBreak/>
        <w:t>NEW CRISIS OF INTERNATIONAL SYSTEM: COVID-19 PANDEMIC AND AZERBAIJAN</w:t>
      </w:r>
    </w:p>
    <w:p w14:paraId="4FA45362" w14:textId="77777777" w:rsidR="00613F62" w:rsidRPr="00164238" w:rsidRDefault="00613F62" w:rsidP="00613F62">
      <w:pPr>
        <w:spacing w:line="360" w:lineRule="auto"/>
        <w:ind w:firstLine="708"/>
        <w:rPr>
          <w:rFonts w:ascii="Times New Roman" w:hAnsi="Times New Roman" w:cs="Times New Roman"/>
          <w:b/>
          <w:color w:val="000000" w:themeColor="text1"/>
        </w:rPr>
      </w:pPr>
      <w:r w:rsidRPr="00164238">
        <w:rPr>
          <w:rFonts w:ascii="Times New Roman" w:eastAsia="Times New Roman" w:hAnsi="Times New Roman" w:cs="Times New Roman"/>
          <w:b/>
          <w:bCs/>
          <w:color w:val="000000" w:themeColor="text1"/>
          <w:lang w:val="en-US"/>
        </w:rPr>
        <w:t>ABSTRACT</w:t>
      </w:r>
      <w:r w:rsidRPr="00164238">
        <w:rPr>
          <w:rFonts w:ascii="Times New Roman" w:hAnsi="Times New Roman" w:cs="Times New Roman"/>
          <w:b/>
          <w:color w:val="000000" w:themeColor="text1"/>
        </w:rPr>
        <w:t xml:space="preserve"> </w:t>
      </w:r>
    </w:p>
    <w:p w14:paraId="6E1FC27F" w14:textId="77777777" w:rsidR="00613F62" w:rsidRPr="00164238" w:rsidRDefault="00613F62" w:rsidP="00613F62">
      <w:pPr>
        <w:spacing w:line="360" w:lineRule="auto"/>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The coronavirus pandemic or the COVID-19 outbreak that emerged in 2019 has been keeping the whole world in a tense situation for months. This epidemic has radically changed world politics and affected the balance of power in some regions. The coronavirus pandemic, which is spreading rapidly from Wuhan (China) to the rest of the world in just a few months, is accompanied by severe medical, socio-economic and psychological damage. In February 2020, the World Health Organization (WHO) named this scary disease "2019 coronavirus" (COVID19), and declared it as an epidemic on March 11, 2020. In other words, the Covid-19 infection, which entered our lives in 2019, soon spread to almost all countries of the planet, taking the form of a pandemic.</w:t>
      </w:r>
    </w:p>
    <w:p w14:paraId="5375718E" w14:textId="77777777" w:rsidR="00613F62" w:rsidRPr="00164238" w:rsidRDefault="00613F62" w:rsidP="00613F62">
      <w:pPr>
        <w:spacing w:line="360" w:lineRule="auto"/>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The world is currently suffering from coronavirus. A sad and tragic situation prevails almost everywhere in the world: there is a large number of human losses, people's health is in danger, medical safety is deteriorating, countries are closing their borders, activities in science, culture, sports, games, arts and other fields are postponed, economic ties limited, the tourism industry collapsed, educational institutions suspended, the formative industry at risk, the world economy in crisis, and the loss exceeded hundreds of billions of dollars.</w:t>
      </w:r>
    </w:p>
    <w:p w14:paraId="5B923252" w14:textId="77777777" w:rsidR="00613F62" w:rsidRPr="00164238" w:rsidRDefault="00613F62" w:rsidP="00613F62">
      <w:pPr>
        <w:spacing w:line="360" w:lineRule="auto"/>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Azerbaijan has shown a form of governance that will serve as an example to other countries in this struggle . Today, as in all countries of the world, the Republic of Azerbaijan could not avoid the damages of the Covid-19 pandemic. In our article, we will talk about how this infection affects the Republic of Azerbaijan and what serious and effective measures have been taken in the country at the level of the President and Government of the Azerbaijan Republic to combat this contagious disease.</w:t>
      </w:r>
    </w:p>
    <w:p w14:paraId="12A1568C" w14:textId="77777777" w:rsidR="00613F62" w:rsidRPr="00164238" w:rsidRDefault="00613F62" w:rsidP="00613F62">
      <w:pPr>
        <w:spacing w:line="360" w:lineRule="auto"/>
        <w:ind w:firstLine="708"/>
        <w:jc w:val="both"/>
        <w:rPr>
          <w:rFonts w:ascii="Times New Roman" w:hAnsi="Times New Roman" w:cs="Times New Roman"/>
          <w:color w:val="000000" w:themeColor="text1"/>
          <w:lang w:val="en-US"/>
        </w:rPr>
      </w:pPr>
      <w:r w:rsidRPr="00164238">
        <w:rPr>
          <w:rFonts w:ascii="Times New Roman" w:hAnsi="Times New Roman" w:cs="Times New Roman"/>
          <w:b/>
          <w:bCs/>
          <w:color w:val="000000" w:themeColor="text1"/>
          <w:lang w:val="en-US"/>
        </w:rPr>
        <w:t>Keywords</w:t>
      </w:r>
      <w:r w:rsidRPr="00164238">
        <w:rPr>
          <w:rFonts w:ascii="Times New Roman" w:hAnsi="Times New Roman" w:cs="Times New Roman"/>
          <w:color w:val="000000" w:themeColor="text1"/>
          <w:lang w:val="en-US"/>
        </w:rPr>
        <w:t xml:space="preserve">:  </w:t>
      </w:r>
      <w:r w:rsidRPr="00164238">
        <w:rPr>
          <w:rFonts w:ascii="Times New Roman" w:hAnsi="Times New Roman" w:cs="Times New Roman"/>
          <w:color w:val="000000" w:themeColor="text1"/>
        </w:rPr>
        <w:t xml:space="preserve">Azerbaijan, </w:t>
      </w:r>
      <w:r w:rsidRPr="00164238">
        <w:rPr>
          <w:rFonts w:ascii="Times New Roman" w:eastAsia="Times New Roman" w:hAnsi="Times New Roman" w:cs="Times New Roman"/>
          <w:color w:val="000000" w:themeColor="text1"/>
          <w:lang w:val="en-US"/>
        </w:rPr>
        <w:t>Pandemic</w:t>
      </w:r>
      <w:r w:rsidRPr="00164238">
        <w:rPr>
          <w:rFonts w:ascii="Times New Roman" w:hAnsi="Times New Roman" w:cs="Times New Roman"/>
          <w:color w:val="000000" w:themeColor="text1"/>
          <w:lang w:val="en-US"/>
        </w:rPr>
        <w:t xml:space="preserve"> </w:t>
      </w:r>
      <w:r w:rsidRPr="00164238">
        <w:rPr>
          <w:rFonts w:ascii="Times New Roman" w:hAnsi="Times New Roman" w:cs="Times New Roman"/>
          <w:color w:val="000000" w:themeColor="text1"/>
        </w:rPr>
        <w:t>,</w:t>
      </w:r>
      <w:r w:rsidRPr="00164238">
        <w:rPr>
          <w:rFonts w:ascii="Times New Roman" w:hAnsi="Times New Roman" w:cs="Times New Roman"/>
          <w:color w:val="000000" w:themeColor="text1"/>
          <w:lang w:val="en-US"/>
        </w:rPr>
        <w:t xml:space="preserve"> </w:t>
      </w:r>
      <w:r w:rsidRPr="00164238">
        <w:rPr>
          <w:rFonts w:ascii="Times New Roman" w:hAnsi="Times New Roman" w:cs="Times New Roman"/>
          <w:color w:val="000000" w:themeColor="text1"/>
        </w:rPr>
        <w:t>The World Health Organization (</w:t>
      </w:r>
      <w:r w:rsidRPr="00164238">
        <w:rPr>
          <w:rFonts w:ascii="Times New Roman" w:hAnsi="Times New Roman" w:cs="Times New Roman"/>
          <w:color w:val="000000" w:themeColor="text1"/>
          <w:shd w:val="clear" w:color="auto" w:fill="FFFFFF"/>
          <w:lang w:val="en-US"/>
        </w:rPr>
        <w:t>WHO)</w:t>
      </w:r>
      <w:r w:rsidRPr="00164238">
        <w:rPr>
          <w:rFonts w:ascii="Times New Roman" w:hAnsi="Times New Roman" w:cs="Times New Roman"/>
          <w:color w:val="000000" w:themeColor="text1"/>
        </w:rPr>
        <w:t>,</w:t>
      </w:r>
      <w:r w:rsidRPr="00164238">
        <w:rPr>
          <w:rFonts w:ascii="Times New Roman" w:hAnsi="Times New Roman" w:cs="Times New Roman"/>
          <w:color w:val="000000" w:themeColor="text1"/>
          <w:lang w:val="en-US"/>
        </w:rPr>
        <w:t xml:space="preserve"> COVID-19. </w:t>
      </w:r>
    </w:p>
    <w:p w14:paraId="5281FBC5" w14:textId="77777777" w:rsidR="00613F62" w:rsidRPr="00164238" w:rsidRDefault="00613F62" w:rsidP="00613F62">
      <w:pPr>
        <w:spacing w:after="0" w:line="360" w:lineRule="auto"/>
        <w:ind w:firstLine="709"/>
        <w:jc w:val="both"/>
        <w:rPr>
          <w:rFonts w:ascii="Times New Roman" w:hAnsi="Times New Roman" w:cs="Times New Roman"/>
          <w:b/>
          <w:color w:val="000000" w:themeColor="text1"/>
          <w:sz w:val="24"/>
          <w:szCs w:val="24"/>
        </w:rPr>
      </w:pPr>
    </w:p>
    <w:p w14:paraId="25EC7C56" w14:textId="77777777" w:rsidR="00613F62" w:rsidRPr="00164238" w:rsidRDefault="00613F62" w:rsidP="00613F62">
      <w:pPr>
        <w:spacing w:after="0" w:line="360" w:lineRule="auto"/>
        <w:ind w:firstLine="709"/>
        <w:jc w:val="both"/>
        <w:rPr>
          <w:rFonts w:ascii="Times New Roman" w:hAnsi="Times New Roman" w:cs="Times New Roman"/>
          <w:b/>
          <w:color w:val="000000" w:themeColor="text1"/>
          <w:sz w:val="24"/>
          <w:szCs w:val="24"/>
        </w:rPr>
      </w:pPr>
      <w:r w:rsidRPr="00164238">
        <w:rPr>
          <w:rFonts w:ascii="Times New Roman" w:hAnsi="Times New Roman" w:cs="Times New Roman"/>
          <w:b/>
          <w:color w:val="000000" w:themeColor="text1"/>
          <w:sz w:val="24"/>
          <w:szCs w:val="24"/>
        </w:rPr>
        <w:t>Giriş</w:t>
      </w:r>
    </w:p>
    <w:p w14:paraId="7C6AAA82" w14:textId="77777777" w:rsidR="00613F62" w:rsidRPr="00164238" w:rsidRDefault="00613F62" w:rsidP="00613F62">
      <w:pPr>
        <w:tabs>
          <w:tab w:val="left" w:pos="2097"/>
        </w:tabs>
        <w:spacing w:line="276" w:lineRule="auto"/>
        <w:jc w:val="center"/>
        <w:rPr>
          <w:rFonts w:ascii="Times New Roman" w:hAnsi="Times New Roman" w:cs="Times New Roman"/>
          <w:color w:val="000000" w:themeColor="text1"/>
        </w:rPr>
      </w:pPr>
    </w:p>
    <w:p w14:paraId="231C3111" w14:textId="77777777" w:rsidR="00613F62" w:rsidRPr="00164238" w:rsidRDefault="00613F62" w:rsidP="00613F62">
      <w:pPr>
        <w:tabs>
          <w:tab w:val="left" w:pos="2097"/>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Koronavirus hastalığı ilk olarak Aralık 2019'da Çin'in Hubei eyaletinin başkenti olan Wuhan'da tespit edilmiş ve o zamandan beri başta Avrupa ve Kuzey Amerika olmak üzere tüm </w:t>
      </w:r>
      <w:r w:rsidRPr="00164238">
        <w:rPr>
          <w:rFonts w:ascii="Times New Roman" w:hAnsi="Times New Roman" w:cs="Times New Roman"/>
          <w:color w:val="000000" w:themeColor="text1"/>
        </w:rPr>
        <w:lastRenderedPageBreak/>
        <w:t>dünyayı sarmıştır. Dünya Sağlık Örgütü tarafından COVID-19 (koronavirüs hastalığı 2019) olarak adlandırılan bu salgın sonuc olarak küresel bir felakete yol açtı. Daha önce insanlarda tanımlanmamış SARS-CoV-2 (şiddetli akut solunum sendromu koronavirüs 2) olarak bilinen virüs, yakın zamanda keşfedilen bir koronavirüs sınıfından kaynaklanmaktadır.Koronavirüsler zoonotiktir ve soğuk algınlığından MERS ve SARS gibi daha ciddi hastalıklara kadar çeşitli hastalıklara neden olan geniş bir virüs ailesidir. COVID-19 temelde tek sarmallı bir RNA virüsüdür. SARS-CoV-2 virüsünün viral parçacıkları küreseldir ve yüzeylerinden çıkıntı yapan “sivri uclar” adı verilen ve parçacığa taç benzeri bir görünüm veren mantar şeklinde proteine sahiptir. Sivri uçlar insan hücrelerine bağlanır ve virüsün içeri girmesine izin verir. Yeni korona virüsünün başak proteini, yarasa koronavirüsünün başak proteiniyle %98 sekans özdeşliğini paylaşıyor. Araştırmacılar, SARS-CoV-2'nin başak proteininin, insan hücrelerine giriş noktası olan anjiyotensin dönüştürücü enzim 2 adı verilen hücresel reseptöre bağlandığını buldular. SARS ve MERS ile karşılaştırıldığında, bu iki virüsten farklı olarak COVID-19 daha hızlı bir şekilde neredeyse dünyanın tamamına yayıldı.COVID-19 hakkında organize, sistematik ve bilimsel bilgi eksikliği, dünya çapında görünmeyen bir düşmanla karşı karşıya olan bireyler ve hükümetlerde endişelere neden oldu. Ek olarak, bu salgının ana fenotipi, yüksek yayılma oranı, yaş ve düşük bağışıklığı olan bireylerin artan savunmasızlığı ve farklı iyileşme hızıdır. Bu virus SARS'tan 10 ila 20 kat daha yüksek bağlanma afinitesine sahiptir. Daha yüksek bağlanma afinitesi ise daha yüksek insandan insana bulaşmaya neden oluyor. Virüsün bulaştığı kişi sayısı ve kurbanları hakkında her gün korkunç rakamlar yayınlanıyor. Dünya Sağlık Örgütü'ne (WHO) göre, COVID-19 virüsü ile enfekte olan çoğu insan, hafif ila orta derecede solunum yolu hastalığına sahiptir ve özel tedavi olmaksızın iyileşir. Yaşlıların yanı sıra yüksek tansiyon, kalp hastalığı, diyabet, kronik solunum yolu hastalıkları veya kanser gibi mevcut patolojik durumları olan kişilerin hastalığa yakalanma olasılığı daha yüksektir. Hastalık, yüksek ateş, halsizlik ve kuru öksürük ile karakterizedir. Diğer semptomlar arasında nefes darlığı, boğaz ağrısı bulunur ve bazı hastalarda ishal, mide bulantısı veya burun akıntısı olabilir. COVID-19 virüsü ile enfekte bir kişi öksürdüğünde, önce tükürük damlaları veya burun akıntısı yoluyla yayılır.Dediklerimizin sonucu olarak,koronovirus vakalarında gözlenen semptomları şu şekilde genelleye biliriz:</w:t>
      </w:r>
    </w:p>
    <w:p w14:paraId="0B932C20" w14:textId="77777777" w:rsidR="00613F62" w:rsidRPr="00164238" w:rsidRDefault="00613F62" w:rsidP="007C3550">
      <w:pPr>
        <w:numPr>
          <w:ilvl w:val="0"/>
          <w:numId w:val="20"/>
        </w:numPr>
        <w:tabs>
          <w:tab w:val="left" w:pos="2097"/>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Yüksek ateş;</w:t>
      </w:r>
    </w:p>
    <w:p w14:paraId="28107E06" w14:textId="77777777" w:rsidR="00613F62" w:rsidRPr="00164238" w:rsidRDefault="00613F62" w:rsidP="007C3550">
      <w:pPr>
        <w:numPr>
          <w:ilvl w:val="0"/>
          <w:numId w:val="20"/>
        </w:numPr>
        <w:tabs>
          <w:tab w:val="left" w:pos="2097"/>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Halsizlik;</w:t>
      </w:r>
    </w:p>
    <w:p w14:paraId="1BBF8113" w14:textId="77777777" w:rsidR="00613F62" w:rsidRPr="00164238" w:rsidRDefault="00613F62" w:rsidP="007C3550">
      <w:pPr>
        <w:numPr>
          <w:ilvl w:val="0"/>
          <w:numId w:val="20"/>
        </w:numPr>
        <w:tabs>
          <w:tab w:val="left" w:pos="2097"/>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Titreme;</w:t>
      </w:r>
    </w:p>
    <w:p w14:paraId="1CC78807" w14:textId="77777777" w:rsidR="00613F62" w:rsidRPr="00164238" w:rsidRDefault="00613F62" w:rsidP="007C3550">
      <w:pPr>
        <w:numPr>
          <w:ilvl w:val="0"/>
          <w:numId w:val="20"/>
        </w:numPr>
        <w:tabs>
          <w:tab w:val="left" w:pos="2097"/>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Öksürük, boğaz yanması;</w:t>
      </w:r>
    </w:p>
    <w:p w14:paraId="2DBA2B04" w14:textId="77777777" w:rsidR="00613F62" w:rsidRPr="00164238" w:rsidRDefault="00613F62" w:rsidP="007C3550">
      <w:pPr>
        <w:numPr>
          <w:ilvl w:val="0"/>
          <w:numId w:val="20"/>
        </w:numPr>
        <w:tabs>
          <w:tab w:val="left" w:pos="2097"/>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Solunum yüzeyselleşmesi, nefes darlığı;</w:t>
      </w:r>
    </w:p>
    <w:p w14:paraId="5A111450" w14:textId="77777777" w:rsidR="00613F62" w:rsidRPr="00164238" w:rsidRDefault="00613F62" w:rsidP="007C3550">
      <w:pPr>
        <w:numPr>
          <w:ilvl w:val="0"/>
          <w:numId w:val="20"/>
        </w:numPr>
        <w:tabs>
          <w:tab w:val="left" w:pos="2097"/>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Kas ağrıları;</w:t>
      </w:r>
    </w:p>
    <w:p w14:paraId="5C45356D" w14:textId="77777777" w:rsidR="00613F62" w:rsidRPr="00164238" w:rsidRDefault="00613F62" w:rsidP="007C3550">
      <w:pPr>
        <w:numPr>
          <w:ilvl w:val="0"/>
          <w:numId w:val="20"/>
        </w:numPr>
        <w:tabs>
          <w:tab w:val="left" w:pos="2097"/>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İshal;</w:t>
      </w:r>
    </w:p>
    <w:p w14:paraId="661F73CE" w14:textId="77777777" w:rsidR="00613F62" w:rsidRPr="00164238" w:rsidRDefault="00613F62" w:rsidP="007C3550">
      <w:pPr>
        <w:numPr>
          <w:ilvl w:val="0"/>
          <w:numId w:val="20"/>
        </w:numPr>
        <w:tabs>
          <w:tab w:val="left" w:pos="2097"/>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Burun akıntısı;</w:t>
      </w:r>
    </w:p>
    <w:p w14:paraId="5FAAA48A" w14:textId="77777777" w:rsidR="00613F62" w:rsidRPr="00164238" w:rsidRDefault="00613F62" w:rsidP="007C3550">
      <w:pPr>
        <w:numPr>
          <w:ilvl w:val="0"/>
          <w:numId w:val="20"/>
        </w:numPr>
        <w:tabs>
          <w:tab w:val="left" w:pos="2097"/>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Bulantı, kusma.</w:t>
      </w:r>
    </w:p>
    <w:p w14:paraId="307721E4" w14:textId="77777777" w:rsidR="00613F62" w:rsidRPr="00164238" w:rsidRDefault="00613F62" w:rsidP="00613F62">
      <w:pPr>
        <w:tabs>
          <w:tab w:val="left" w:pos="2097"/>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Peki bu virus hayatımıza nasıl dahil oldu?</w:t>
      </w:r>
    </w:p>
    <w:p w14:paraId="655C06E9" w14:textId="04594F64" w:rsidR="00613F62" w:rsidRPr="00164238" w:rsidRDefault="00613F62" w:rsidP="00613F62">
      <w:pPr>
        <w:tabs>
          <w:tab w:val="left" w:pos="720"/>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lastRenderedPageBreak/>
        <w:tab/>
        <w:t>COVID-19 Koronavirüs Salgını’nın WHO tarafından dünyaya duyurulmasının öncesinde, sürecin özellikle Çin üzerinden ABD başta olmak üzere dünya kanadında bir takım söylentiler ve iddialar ortaya atılmıştır. Şöyle ki, bazı iddialara göre Çin, çok daha önce bu salgının farkında olmuş, fakat gizlemeye, süreci yavaşlatmaya, WHO-dan gizlemeye ve dahası kaynak şaşırtmaya çalışmıştır. Diğer yandan dikkat çeken ikinci bir iddia ise, COVID-19 Koronavirüsü’nü keşfeden ve Çin’deki diğer doktorlara ve ulusal sağlık yetkililerine bildiren Doktor Li Wenliang’ın Çin polisi tarafından “yanlış bilgi yaydığı, hatasını kabul ettiği ve bu konu üzerinde daha fazla durmayacağı” yönünde zorla belge imzalatıldığı iddiasıdır. Bundan baska, ABD Başkanı Donald Trump ve ABD İstihbarat Servisi basına ve yayın kurullarına yaptığı açıklamalarda ise, SARS-CoV-2koronavirüsünün ve COVID-19 hastalığının laboratuvar ortamında hazırlandığı iddia etmişdir. ABD ve diğer bazı batılı devletler başta olmak üzere dünyanın çeşitli yerlerinden birçok devletin siyasileri tarafından Çin’in vaka ve ölüm sayılarını bilerek gizlediği ve dolayısı ile pandemi sürecini manipüle ettiği iddia ediliyordu. Fakat bu açıklamalar kanıtlanamadığı içiniddiadan öteye gidemedi. Öte yandan bu iddialar gerçek olsa da olmasa da, bu süreçte ortaya çıkan diğer bir husus ise, COVID-19 Koronavirüs Pandemisi sürecinin uluslararası sahnede politikacılar tarafından siyasileştirilmeye çalışıldığı durumudur.</w:t>
      </w:r>
    </w:p>
    <w:p w14:paraId="168205BE" w14:textId="1D899099" w:rsidR="00613F62" w:rsidRPr="00164238" w:rsidRDefault="00613F62" w:rsidP="00613F62">
      <w:pPr>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b/>
        <w:t>COVID-19 Koronavirüs Salgını Çin dışında ilk olarak 2020 Ocak ayında Uzak Doğu Asya güneyindeki devletlere yayılmışdır.Sonuç olarak Vietnam ve Tayland’da Çin dışı ilk vakalar yaşanmıştır. COVID-19 Koronavirüsü Salgını’ndan kaynaklı ilk ölüm resmi olarak yine bu süre zarfında Çin’de 10 Ocak 2020 tarihinde gerçekleşmiştir (Buzgan 2020, s. 18). Çin, COVID-19 hastalığı hakkında ilk resmi bulguları ve salgın riskini WHO kayıtlarına7 Ocak 2020’de bildirmiştir. Bu raporlamanın ardından WHO öncelikle COVID-19 Koronavirüs Salgını’nın uluslararası ticarete ve seyahatlere hiç bir engel olmayacağını ve uluslararası bir problem teşkil etmeyeğini bildirmiş olsa da 30 Ocak 2020’de bunu küresel acil durum ilan etti. WHO’nun bu ilanına kadar COVID-19 Uzak Doğu Asya devletleri dışında ulaşım yolları üzerinden ticari ve sosyal etkileşimler aracılığı ile diğer Asya devletleri Rusya, Hindistan ve İran, oradan da İtalya, Fransa ve İngiltere başta olmak üzere birçok Avrupa ülkesine hızlı bir şekilde yayılmaya başladı. Böyle bir durumda WHO küresel acil durum ilan ettikten sonra Çin’de yaklaşık 60 milyon insanın karantina altına alınmış olduğu, yaklaşık sekiz bin COVID-19 Koronavirüsü kayıtlı vakası olduğu ve bu vakalardan da kayıtlı 170 ölümün gerçekleştiği açığa çıktı. Çin’in karantina uygulamalarının salgının yayılmasını sadece aynı evde yaşayan aile bireyleri ile sınırlandırması üzerine WHO tarafından karantina uygulamaları COVID-19 Koronavirüs Salgını için de etkili bir yöntem olarak ilan edilmiştir.</w:t>
      </w:r>
    </w:p>
    <w:p w14:paraId="15230F7C" w14:textId="6990E385" w:rsidR="00613F62" w:rsidRPr="00164238" w:rsidRDefault="00613F62" w:rsidP="00613F62">
      <w:pPr>
        <w:tabs>
          <w:tab w:val="left" w:pos="720"/>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b/>
        <w:t xml:space="preserve">2020 Şubat ayının ortalarında artık batı ülkelerinde de ölümle sonuçlanan vakalar görülmeye başlandı. Avrupa kıtasında ilk ölüm 15 Şubat 2020 tarihinde Fransa’da gerçekleşti. 20 Şubat 2020 tarihinde ise İtalya’da ilk vaka yaşanarak salgın başlamış ve büyük bir hızla artış göstererek İtalya’nı dünya üzerinde en fazla vaka sayısı olan ikinci ülke olarak ilan etmişdir. İspanya, İtalya ve Fransa başta olmak üzere Akdeniz’e kıyısı olan ülkeler, Kıta Avrupası için bu gibi süreçlerde büyük önem taşımaktadır (Clark 2009, s. 35. ; Kılıç 2020, ss. 24-25). Bu gerekçe ile İtalya’da COVID-19 Koronavirüs Salgını’nın ani ve hızlı bir artış göstermesi üzerine diğer Avrupa devletleri İtalya başta olmak üzere İspanya ve Fransa’ya sınırlarını kapatmışlardır. Özellikle Akdeniz’e kıyısı olan bu Avrupa devletlerinin Çin ile doğrudan ve yoğun bir deniz yolu ticaret bağlarına sahip oldukları dikkat çekmektedir. Bu süre zarfında bazı otoriteler ve bilim </w:t>
      </w:r>
      <w:r w:rsidRPr="00164238">
        <w:rPr>
          <w:rFonts w:ascii="Times New Roman" w:hAnsi="Times New Roman" w:cs="Times New Roman"/>
          <w:color w:val="000000" w:themeColor="text1"/>
        </w:rPr>
        <w:lastRenderedPageBreak/>
        <w:t>insanları tarafından geç aksiyon almakla ve etkisiz kalmakla suçlanan WHO tarafından 29 Şubat 2020 tarihinde risk düzeyi nihayet en üst seviye olan “çok yüksek risk düzeyi” olarak güncellenmiştir. Bununla birlikte yine WHO tarafından küresel bir çağrı ile zorunda kalınmadıkça “seyahat etmeme” önerilerini duyurulmaya başlandı. Böylece WHO, 2020 Ocak ayında “COVID-19 Koronavirüs Salgını’nın uluslararası ticarete ve seyahatlere engel olmadığı ve uluslararası bir problem teşkil etmediği” duyurusunu 2020 Şubat ayı sonunda geri çekerek tam aksi yönde güncellemiş oldu.</w:t>
      </w:r>
    </w:p>
    <w:p w14:paraId="7D15CA21" w14:textId="5C8C750A" w:rsidR="00613F62" w:rsidRPr="00164238" w:rsidRDefault="00613F62" w:rsidP="00613F62">
      <w:pPr>
        <w:tabs>
          <w:tab w:val="left" w:pos="720"/>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b/>
        <w:t>2020 Mart ayı başı itibarıyla toplam nüfusu yaklaşık 61 milyon olan İtalya’da yaklaşık 60 milyon insan karantinaya alındı. Neredeyse ülkenin tamamı karantinaya alınan İtalya’da, salgın sürecinde zorunlu durumlarda ihtiyaç duyulan devlet yetkilileri, kolluk kuvvetleri ve sağlık çalışanları karantinaya dâhil edilmemiştir. 11 Mart 2020 tarihinde, COVID-19 Koronavirüs Salgını, WHO tarafından “pandemi” olarak ilan etti ve bununla birlikte COVID-19 Koronavirüs Pandemisi’nin merkez üssü Avrupa olarak açıklandı.</w:t>
      </w:r>
    </w:p>
    <w:p w14:paraId="47F85C22" w14:textId="070E50ED" w:rsidR="00613F62" w:rsidRPr="00164238" w:rsidRDefault="00613F62" w:rsidP="00613F62">
      <w:pPr>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b/>
        <w:t>Kardeş ülke Türkiye’de ilk vaka 2020 Mart ayında görülmüştür. COVID-19 Koronavirüsü’ne bağlı olarak ilk ölüm ise 17 Mart 2020 tarihinde bildirilmiştir.107 Bu tarihte açıklanan resmi verilere göre Türkiye’deki vaka sayısı 98 olarak göösterilmiştir. Sonraki süreçte ise vaka ve ölüm sayıları tüm karantina ve kısıtlayıcı önlemlere rağmen yükselerek devam etmiştir.</w:t>
      </w:r>
    </w:p>
    <w:p w14:paraId="1DF35FD7" w14:textId="055F0E90" w:rsidR="00613F62" w:rsidRPr="00164238" w:rsidRDefault="00613F62" w:rsidP="00613F62">
      <w:pPr>
        <w:tabs>
          <w:tab w:val="left" w:pos="720"/>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b/>
        <w:t>İnsanoğlunun görmüş olduğu tüm virus türlerinden farklı olarak COVID-19 salgınının dünya çapında çok daha hızlı bir şekilde yayılması artık 11 Şubat 2020 tarihinde dünya çapında 1.018 ölümle birlikte, laboratuvar tarafından doğrulanmış 43.118 yeni koronavirüs (2019-nCoV) ile enfekte pnömoni (NCIP) vakası tespitlenmesine neden olmuştur. Genel olarak, 14 Asya ülkesi, dokuz Avrupa ülkesi, iki Kuzey Amerika ülkesi ve Okyanusya'daki bir ülkeden vakalar tesbit edilmişdir. Çin'de 1017, Çin dışında Filipinler'de 1 ölüm kayutlara geçmişdir. Bildirilen tüm vakalar, gerçek zamanlı ters transkriptaz-polimeraz zincir reaksiyonu ile doğrulanmıştır.</w:t>
      </w:r>
    </w:p>
    <w:p w14:paraId="1CB08CA1" w14:textId="77777777" w:rsidR="00613F62" w:rsidRPr="00164238" w:rsidRDefault="00613F62" w:rsidP="00613F62">
      <w:pPr>
        <w:tabs>
          <w:tab w:val="left" w:pos="720"/>
        </w:tabs>
        <w:spacing w:line="276" w:lineRule="auto"/>
        <w:ind w:firstLine="708"/>
        <w:jc w:val="both"/>
        <w:rPr>
          <w:rFonts w:ascii="Times New Roman" w:hAnsi="Times New Roman" w:cs="Times New Roman"/>
          <w:color w:val="000000" w:themeColor="text1"/>
        </w:rPr>
      </w:pPr>
      <w:r w:rsidRPr="00164238">
        <w:rPr>
          <w:rFonts w:ascii="Times New Roman" w:hAnsi="Times New Roman" w:cs="Times New Roman"/>
          <w:noProof/>
          <w:color w:val="000000" w:themeColor="text1"/>
          <w:lang w:val="en-US"/>
        </w:rPr>
        <w:lastRenderedPageBreak/>
        <w:drawing>
          <wp:anchor distT="0" distB="0" distL="114300" distR="114300" simplePos="0" relativeHeight="251687936" behindDoc="0" locked="0" layoutInCell="1" allowOverlap="1" wp14:anchorId="132A4049" wp14:editId="56F0D994">
            <wp:simplePos x="0" y="0"/>
            <wp:positionH relativeFrom="column">
              <wp:posOffset>-35560</wp:posOffset>
            </wp:positionH>
            <wp:positionV relativeFrom="paragraph">
              <wp:posOffset>2192020</wp:posOffset>
            </wp:positionV>
            <wp:extent cx="5873750" cy="2812415"/>
            <wp:effectExtent l="76200" t="76200" r="127000" b="140335"/>
            <wp:wrapSquare wrapText="bothSides"/>
            <wp:docPr id="67" name="Şəkil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png"/>
                    <pic:cNvPicPr/>
                  </pic:nvPicPr>
                  <pic:blipFill rotWithShape="1">
                    <a:blip r:embed="rId132">
                      <a:extLst>
                        <a:ext uri="{28A0092B-C50C-407E-A947-70E740481C1C}">
                          <a14:useLocalDpi xmlns:a14="http://schemas.microsoft.com/office/drawing/2010/main" val="0"/>
                        </a:ext>
                      </a:extLst>
                    </a:blip>
                    <a:srcRect l="4486" t="33753" r="8202" b="7006"/>
                    <a:stretch/>
                  </pic:blipFill>
                  <pic:spPr bwMode="auto">
                    <a:xfrm>
                      <a:off x="0" y="0"/>
                      <a:ext cx="5873750" cy="28124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164238">
        <w:rPr>
          <w:rFonts w:ascii="Times New Roman" w:hAnsi="Times New Roman" w:cs="Times New Roman"/>
          <w:color w:val="000000" w:themeColor="text1"/>
        </w:rPr>
        <w:t>WHO, her ne kadar COVID-19 Koronavirüs Salgını ile ilgili 30 Ocak 2020’de küresel acil durum ilan etmiş olsa da uluslararası ticaret ve seyahatler ile ilgili 2020 Şubat ayı sonuna kadar herhangi bir tedbir önerilerinde bulunmaması dikkat çekmektedir (Buzgan ve Güner 2020, ss. 141-142). Burada WHO’nun COVID-19 Koronavirüsü salgın sürecinin uluslararası ticarete ve seyahatlere engel olmadığı açıklaması ve salgını önleyici tedbir önerilerinde bulunmaması, insandan insana bulaşma riski bu kadar yüksek olan COVID-19 Koronavirüs Salgını’nın yayılma hızını arttırdığı savunulmaktadır (Buzgan ve Güner 2020, ss. 142-143).Bugün toplam küresel COVID-19 vakası sayısı 123,902,242 ve toplam ölüm sayısı ise 2,727,837'dir. COVID-19'un uluslararası önemi haiz bir halk sağlığı acil durumu olarak ilan edilmesinden bu yana, uluslararası trafiğe önemli ölçüde müdahale eden ek sağlık önlemleri uygulayan ülkelerin sayısı artmıştır. Türk dünyasında koronovirus istatistikleri ise 1.1. cedvelde gösterildiği gibidir:</w:t>
      </w:r>
    </w:p>
    <w:p w14:paraId="3C0FC7F1" w14:textId="77777777" w:rsidR="00613F62" w:rsidRPr="00164238" w:rsidRDefault="00613F62" w:rsidP="00613F62">
      <w:pPr>
        <w:tabs>
          <w:tab w:val="left" w:pos="2097"/>
        </w:tabs>
        <w:spacing w:line="276" w:lineRule="auto"/>
        <w:jc w:val="center"/>
        <w:rPr>
          <w:rFonts w:ascii="Times New Roman" w:hAnsi="Times New Roman" w:cs="Times New Roman"/>
          <w:color w:val="000000" w:themeColor="text1"/>
        </w:rPr>
      </w:pPr>
      <w:r w:rsidRPr="00164238">
        <w:rPr>
          <w:rFonts w:ascii="Times New Roman" w:hAnsi="Times New Roman" w:cs="Times New Roman"/>
          <w:color w:val="000000" w:themeColor="text1"/>
        </w:rPr>
        <w:t>(Kaynak: WHO resmi sitesi)</w:t>
      </w:r>
    </w:p>
    <w:p w14:paraId="44763F05" w14:textId="2176666C" w:rsidR="00613F62" w:rsidRPr="00164238" w:rsidRDefault="00613F62" w:rsidP="00613F62">
      <w:pPr>
        <w:tabs>
          <w:tab w:val="left" w:pos="720"/>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b/>
        <w:t>Koronavirüsün (COVID 19) yayılması, bu gün de dünyanın tüm ülkeleri üzerinde çok olumsuz bir etkiye sahiptir ve ciddi sosyal sorunlara neden olmaktadır. Şu anda çeşitli uluslararası kuruluşların olumsuz tahminlerine tanık olmaktayız. Bu tahminler, pandemiden sonra tüm dünyanın çok farklı siyasi, sosyal ve ekonomik koşullarda yaşayacağını gösteriyor. Çünkü virüsün yayılması ülkeleri, halkları ve insanları birbirine karşı daha anlayışlı, sabırlı ve duyarlı olmaya zorladı. Bunun ziyadesinde dünya düzenini bozdu, insanları alışmış odukları yaşam tarzından alı koydu, hayat insanların alışdığından tam farklı bir şekilde-farklı koşullarla devam etmek zorunda kaldı. Bilim insanları, yaşanan bu zorunlu değişimlerden sonra COVID-19 Pandemisinden önce ve Pandemiden sonrakı hayat gibi 2 farklı kavramın olacağı düşüncesindedirler. Virüs, gelişme düzeyine bakılmaksızın dünya çapında sosyal ve ekonomik hayatı da vurdu. Örneğin, Avrupa Komisyonu Başkanı Ursula Vonder-Leyen, COVID-19 salgınıyla ilgili karantina önlemlerinin bir sonucu olarak Avrupa ekonomisinde yaşanan durgunluğun AB tarihindeki gelmiş geçmiş en kötü felaket olduğunu söyledi: "Herkesin yardıma ihtiyacı var ve bu durumda kimse kimseyi suçlayacak değil. Mevcut kriz, sosyal durgunluktan muzdarip herkesi, herşeyi, hatta sağlıklı şirketleri bile etkiliyor."</w:t>
      </w:r>
    </w:p>
    <w:p w14:paraId="075C6DD3" w14:textId="11AD55CC" w:rsidR="00613F62" w:rsidRPr="00164238" w:rsidRDefault="00A40273" w:rsidP="00613F62">
      <w:pPr>
        <w:tabs>
          <w:tab w:val="left" w:pos="720"/>
        </w:tabs>
        <w:spacing w:line="276" w:lineRule="auto"/>
        <w:jc w:val="both"/>
        <w:rPr>
          <w:rFonts w:ascii="Times New Roman" w:hAnsi="Times New Roman" w:cs="Times New Roman"/>
          <w:color w:val="000000" w:themeColor="text1"/>
        </w:rPr>
      </w:pPr>
      <w:r>
        <w:rPr>
          <w:rFonts w:ascii="Times New Roman" w:hAnsi="Times New Roman" w:cs="Times New Roman"/>
          <w:color w:val="000000" w:themeColor="text1"/>
        </w:rPr>
        <w:lastRenderedPageBreak/>
        <w:tab/>
      </w:r>
      <w:r w:rsidR="00613F62" w:rsidRPr="00164238">
        <w:rPr>
          <w:rFonts w:ascii="Times New Roman" w:hAnsi="Times New Roman" w:cs="Times New Roman"/>
          <w:color w:val="000000" w:themeColor="text1"/>
        </w:rPr>
        <w:t>Peki koronovirüsün yayılmaması için yapılması gerekenler nelerdir?Bunun için insanoğlu hangi önlemleri almalıdır?</w:t>
      </w:r>
    </w:p>
    <w:p w14:paraId="7FEDE44E" w14:textId="13453F73" w:rsidR="00613F62" w:rsidRPr="00164238" w:rsidRDefault="00613F62" w:rsidP="00613F62">
      <w:pPr>
        <w:tabs>
          <w:tab w:val="left" w:pos="720"/>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b/>
        <w:t>Koronavirüsün yayılmasının önüne geçilmesi amacıyla WHO tarafından hazırlanan bir dizi önlemler bulunmaktadır. Dünya Sağlık Örgütü tarafından hazırlanan içerikte yapılması gerekenler şu şekilde sıralanmıştır:</w:t>
      </w:r>
    </w:p>
    <w:p w14:paraId="645C8E6D" w14:textId="77777777" w:rsidR="00613F62" w:rsidRPr="00164238" w:rsidRDefault="00613F62" w:rsidP="007C3550">
      <w:pPr>
        <w:numPr>
          <w:ilvl w:val="0"/>
          <w:numId w:val="21"/>
        </w:numPr>
        <w:tabs>
          <w:tab w:val="left" w:pos="2097"/>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Hastalığın bulaşmasını önlemek amacıyla ellerin sık sık ve en az yirmi saniye olmak üzere su ve sabunla yıkanması gerekmektedir. Su ve sabunun tedarik edilemediği durumlarda ise alkol bazlı sterilizasyon solüsyonu kullanılmalıdır.</w:t>
      </w:r>
    </w:p>
    <w:p w14:paraId="4DD0E2CF" w14:textId="77777777" w:rsidR="00613F62" w:rsidRPr="00164238" w:rsidRDefault="00613F62" w:rsidP="007C3550">
      <w:pPr>
        <w:numPr>
          <w:ilvl w:val="0"/>
          <w:numId w:val="21"/>
        </w:numPr>
        <w:tabs>
          <w:tab w:val="left" w:pos="2097"/>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Hasta insanlarla doğrudan temastan kaçınılmalı ve temas halinde eller hiçbir yere dokunulmadan su ve sabunla yıkanmalıdır.</w:t>
      </w:r>
    </w:p>
    <w:p w14:paraId="6199F8A9" w14:textId="77777777" w:rsidR="00613F62" w:rsidRPr="00164238" w:rsidRDefault="00613F62" w:rsidP="007C3550">
      <w:pPr>
        <w:numPr>
          <w:ilvl w:val="0"/>
          <w:numId w:val="21"/>
        </w:numPr>
        <w:tabs>
          <w:tab w:val="left" w:pos="2097"/>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Hayvanlarla korunmasız temasta bulunulmamalıdır. </w:t>
      </w:r>
    </w:p>
    <w:p w14:paraId="6AE566F3" w14:textId="77777777" w:rsidR="00613F62" w:rsidRPr="00164238" w:rsidRDefault="00613F62" w:rsidP="007C3550">
      <w:pPr>
        <w:numPr>
          <w:ilvl w:val="0"/>
          <w:numId w:val="21"/>
        </w:numPr>
        <w:tabs>
          <w:tab w:val="left" w:pos="2097"/>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Hasta kişinin öksürürken veya hapşırırken tek kullanımlık kağıt mendil yardımıyla ağzını kapatması, kağıt mendilin bulunmadığı hallerde ise dirsek içinin kullanılması gerekmektedir.</w:t>
      </w:r>
    </w:p>
    <w:p w14:paraId="7DAB6645" w14:textId="77777777" w:rsidR="00613F62" w:rsidRPr="00164238" w:rsidRDefault="00613F62" w:rsidP="007C3550">
      <w:pPr>
        <w:numPr>
          <w:ilvl w:val="0"/>
          <w:numId w:val="21"/>
        </w:numPr>
        <w:tabs>
          <w:tab w:val="left" w:pos="2097"/>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Kapalı ve kalabalık ortamlarda bulunulmamalı, böyle bir ortama girmek zorunda kalınan durumlarda cerrahi maske kullanılmalıdır.</w:t>
      </w:r>
    </w:p>
    <w:p w14:paraId="337F57C8" w14:textId="77777777" w:rsidR="00613F62" w:rsidRPr="00164238" w:rsidRDefault="00613F62" w:rsidP="007C3550">
      <w:pPr>
        <w:numPr>
          <w:ilvl w:val="0"/>
          <w:numId w:val="21"/>
        </w:numPr>
        <w:tabs>
          <w:tab w:val="left" w:pos="2097"/>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Hayvansal gıdalar iyice pişirilerek tüketilmelidir   </w:t>
      </w:r>
    </w:p>
    <w:p w14:paraId="37577118" w14:textId="77777777" w:rsidR="00613F62" w:rsidRPr="00A40273" w:rsidRDefault="00613F62" w:rsidP="00613F62">
      <w:pPr>
        <w:tabs>
          <w:tab w:val="left" w:pos="2097"/>
        </w:tabs>
        <w:spacing w:line="276" w:lineRule="auto"/>
        <w:jc w:val="both"/>
        <w:rPr>
          <w:rFonts w:ascii="Times New Roman" w:hAnsi="Times New Roman" w:cs="Times New Roman"/>
          <w:color w:val="000000" w:themeColor="text1"/>
        </w:rPr>
      </w:pPr>
      <w:r w:rsidRPr="00A40273">
        <w:rPr>
          <w:rFonts w:ascii="Times New Roman" w:hAnsi="Times New Roman" w:cs="Times New Roman"/>
          <w:color w:val="000000" w:themeColor="text1"/>
        </w:rPr>
        <w:t>(</w:t>
      </w:r>
      <w:hyperlink r:id="rId133" w:history="1">
        <w:r w:rsidRPr="00A40273">
          <w:rPr>
            <w:rStyle w:val="Balk1Char"/>
            <w:rFonts w:ascii="Times New Roman" w:eastAsiaTheme="minorHAnsi" w:hAnsi="Times New Roman" w:cs="Times New Roman"/>
            <w:color w:val="000000" w:themeColor="text1"/>
            <w:sz w:val="22"/>
            <w:szCs w:val="22"/>
          </w:rPr>
          <w:t>https://www.medicalpark.com.tr/coronavirus/hg-2287</w:t>
        </w:r>
      </w:hyperlink>
      <w:r w:rsidRPr="00A40273">
        <w:rPr>
          <w:rFonts w:ascii="Times New Roman" w:hAnsi="Times New Roman" w:cs="Times New Roman"/>
          <w:color w:val="000000" w:themeColor="text1"/>
        </w:rPr>
        <w:t>, 2020).</w:t>
      </w:r>
    </w:p>
    <w:p w14:paraId="309A6C9A" w14:textId="764F6A42" w:rsidR="00613F62" w:rsidRPr="00164238" w:rsidRDefault="00613F62" w:rsidP="00613F62">
      <w:pPr>
        <w:tabs>
          <w:tab w:val="left" w:pos="720"/>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b/>
        <w:t>Koronavirüs salgını bağlamında, hem dünyanın hem de tek-tek ülkelerin ekonomileri zor durumdadır. Bu bağlamda istihdamı ve sosyal refahı destekleyen tedbirlerin alınması çok büyük önem taşıyor.</w:t>
      </w:r>
    </w:p>
    <w:p w14:paraId="2F452358" w14:textId="2DA9E63C" w:rsidR="00613F62" w:rsidRPr="00164238" w:rsidRDefault="00613F62" w:rsidP="00613F62">
      <w:pPr>
        <w:tabs>
          <w:tab w:val="left" w:pos="720"/>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b/>
        <w:t xml:space="preserve">Böylelikle dünyanın tüm ülkelerinde koronavirüs salgınının insanlık üzerindeki sonuçları, insanlar için ciddi sorunların ortaya çıkması büyük endişe yaratmış, neredeyse tüm dünya toplumunu virüse karşı mücadeleye katılmaya seferber etmiştir. Bu pandemi felaketi dünya üzerinden hızla yayəlmakta iken virus Azerbaycandan da es geçmedi. Lakin, küresel salgın bağlamında Cumhurbaşkanı İlham Aliyev ve Cumhurbaşkanı Birinci Yardımcısı Mehriban Aliyeva önderliğinde alınan çok esnek ve zamanında tedbirler neticesinde ülkemizde salgının sonuçları en aza indirilmeyi amaçladı. 30 Ocak 2020'de, dünyada yayılan salgına hazırlık olarak, Bakanlar Kurulu, Azerbaycan Cumhuriyetinde korona hastalığının yayılmasını önlemek için “Eylem Planı" nı kabul ettiğini açıkladı. 27 Şubat 2020 tarihinde, Azerbaycan topraklarındaki durumu izlemek ve önleyici ve acil tedbirlerle koronavirüs hastalığı tehdidini önlemek için ilgili devlet kurum ve kuruluşlarının üst düzey yetkililerinden oluşan Bakanlar Kurulu'na bağlı Operasyonel Karargah kuruldu. Azerbaycan Cumhuriyeti Bakanlar Kurulu bünyesinde, küresel salgının sonuçlarını ortadan kaldırmak için yasal ve idari tedbirleri uygulayacak bir Operasyonel Karargahın başkanı olarak Azerbaycan Cumhuriyyeti Genelkurmay Bakanı seçildi. 28 Şubat 2020'de Bakanlar Kurulu, bulaşıcı, parazitik ve toplu bulaşıcı olmayan hastalıkların ortaya çıkması veya yayılması tehdidi durumunda karantina organizasyonu, önleme ve diğer gerekli tedbirlere ilişkin 73-1 sayılı kararı kabul etti. “Bu iki yürütme kararnamesi, Hükümetin pandemik </w:t>
      </w:r>
      <w:r w:rsidRPr="00164238">
        <w:rPr>
          <w:rFonts w:ascii="Times New Roman" w:hAnsi="Times New Roman" w:cs="Times New Roman"/>
          <w:color w:val="000000" w:themeColor="text1"/>
        </w:rPr>
        <w:lastRenderedPageBreak/>
        <w:t>krize tepkisinin normatif temelini oluşturuyor gibi görünmektedir, ancak yerel insan hakları gruplarına göre, yasaların hiçbiri şu ana kadar kamuya açık değildir; Bakanlar Kurulu, kabul edildikten sonra 72 saat içinde yayınlanacak ve bu, halkın Hükümetin eylemlerini etkili bir şekilde inceleme kabiliyetine ilişkin endişelerini artıracaktır.”</w:t>
      </w:r>
    </w:p>
    <w:p w14:paraId="0A69A0D1" w14:textId="06E2894E" w:rsidR="00613F62" w:rsidRPr="00164238" w:rsidRDefault="00613F62" w:rsidP="00613F62">
      <w:pPr>
        <w:tabs>
          <w:tab w:val="left" w:pos="720"/>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b/>
        <w:t>Ülke liderliğinin koronavirüs salgınının sonuçlarını ortadan kaldırmaya yönelik yasal ve idari önlemlerinden biri de, bir dizi merkezi ve bölgesel sıhhi ve hijyenik önlemleri uygulayan Tıbbi Bölgesel Birimler Yönetim Derneği'nin kurulmasıdır. Söz konusu kuruluşlar, salgının önlenmesi için alınan tedbirler ve atılan adımlar hakkında hemen hemen tüm medya ve bilgi portalları aracılığıyla resmi olarak sürekli kamuoyunu bilgilendirmektedir. Bu kurumların her biri, etkin faaliyetleri, topluma etkin hizmeti ile ülkedeki pandeminin sonuçlarını ortadan kaldırmaya yönelik yasal ve idari önlemlerin önemli bir örneği olarak kendini kanıtlamış ve Cumhuriyet liderliğinin belirlediği görevleri adeta yerine getirmiştir.</w:t>
      </w:r>
    </w:p>
    <w:p w14:paraId="114B2E19" w14:textId="762ABF3E" w:rsidR="00613F62" w:rsidRPr="00164238" w:rsidRDefault="00613F62" w:rsidP="00613F62">
      <w:pPr>
        <w:tabs>
          <w:tab w:val="left" w:pos="720"/>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b/>
        <w:t>Azerbaycan'daki ilk COVID-19 vakası 28 Şubat 2020'de teşhis edildi. Ertesi gün İran'dan gelen birkaç kişiyeCOVID-19 teşhisi konulduktan sonra İran sınırı iki hafta süreyle kapatıldı. Kısa süre sonra Gürcistan, Rusya ve Türkiye ile geçici sınır kapatmaları yapıldı ve 5 Nisan 2020 tarihinden itibaren Azerbaycan Cumhuriyeti topraklarına karayolu ve hava yolu ile giriş ve çıkışlar, kargo taşımacılığı hariç durduruldu. 27 Temmuz 2020 itibariyle, 417 ölüm, 22.000'den fazla iyileşme ve 6949 aktif vaka ile 30.000'den fazla COVID-19 vakası pozitif olarak doğrulandı. Eylem Planı'nın ardından, ülkedeki tüm eğitim kurumlarının faaliyetlerini askıya almak için 3 Mart 2020'de ilk önlemler yapıldı. 14 Mart 2020'de Hükümet, ülkedeki tüm kitlesel etkinliklerin ertelenmesi, sinema, tiyatro ve spor salonları gibi halka açık kapalı alanlardaki faaliyetlerin askıya alınması, düğün ve yas törenlerinin yasaklanması (cenazeler hariç) gibi ek önlemler aldı. Bundan başka, restoranlar, kafeler ve barlar için kesin olarak tanımlanmış çalışma saatleri, sağlık kurumlarında hastaları ziyaret yasakları, yurtdışına iş gezileri kısıtlamaları belirlendi ve devlet görevlilerinin ve sağlık çalışanlarının resmi izin almadan ülkeyi terk etmeleri yasaklandı. 24 Mart 2020'de 'özel bir karantina rejimi' benimseyen Hükümet, nüfusa çok sayıda katı önlem uyguladı, hareket özgürlüğünü ciddi şekilde kısıtladı ve evlerinden ayrılmak isteyen sakinler için zorunlu SMS onay sisteminin uygulanmasının ardından potansiyel gizlilik ihlalleri konusunda soru işaretleri uyandırdı. Salgını farklı dönemlerde yönetmek için, Hükümet ayrıca, 'yaşam ve sağlık için acil tehlike' olmadığı sürece nüfusun büyük şehirlerdeki evlerini terk etmesini engelleyen geçici 'sıkı karantina rejimi' uyguladı.Bu rejim altında Hükümet, başkent Bakü de dahil olmak üzere belirli bölgelere giriş ve çıkışların kısıtlanması, toplu taşımanın askıya alınması, 65 yaşın üstündeki kişilerin evlerini terk etmelerini yasaklanması gibi hareket özgürlüklerini sınırlayan bir dizi kısıtlama uyguladı. 10'dan fazla kişinin halka açık yerlerde toplanmasının yasaklanması (daha sonra 5 kişilik gruplara indirgenmiştir), 2 metrelik sosyal mesafeyi korumaya yönelik bir öneri de yapılarak, yalnızca temel dükkanlar ve tesislerin açık kalmasına izin verildi. Bu yeni rejim, bu düzenlemelere uyulmasını sağlamak için İçişleri Bakanlığı'na yetki verdi.</w:t>
      </w:r>
    </w:p>
    <w:p w14:paraId="0C342317" w14:textId="245C636C" w:rsidR="00613F62" w:rsidRPr="00164238" w:rsidRDefault="00613F62" w:rsidP="00613F62">
      <w:pPr>
        <w:tabs>
          <w:tab w:val="left" w:pos="720"/>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b/>
        <w:t xml:space="preserve">4 Nisan 2020 tarihinden itibaren sağlık, sosyal, perakende ve ulaşım sektörleri gibi belirli sektörlerde çalışan ve özel izinli olanlar dışındaki herkesin evlerinden çıkabilmek için belirlenen numaraya SMS göndermesi kararı alındı. Bu da günde bir kez 2 saat ile sınırlandırılmıştı. Evinden çıkmak isteyenlerin “8103” nolu numaraya kimlik kartının seri numarasını veya geçici veya kalıcı </w:t>
      </w:r>
      <w:r w:rsidRPr="00164238">
        <w:rPr>
          <w:rFonts w:ascii="Times New Roman" w:hAnsi="Times New Roman" w:cs="Times New Roman"/>
          <w:color w:val="000000" w:themeColor="text1"/>
        </w:rPr>
        <w:lastRenderedPageBreak/>
        <w:t>ikamet iznini ve evden çıkış nedenini belirten ilgili kodu içeren bir SMS göndermesi gerekiyordu. Sakinlerin sadece üç durumda böyle bir izin almalarına izin verildi:</w:t>
      </w:r>
    </w:p>
    <w:p w14:paraId="4732F110" w14:textId="77777777" w:rsidR="00613F62" w:rsidRPr="00164238" w:rsidRDefault="00613F62" w:rsidP="007C3550">
      <w:pPr>
        <w:numPr>
          <w:ilvl w:val="0"/>
          <w:numId w:val="22"/>
        </w:numPr>
        <w:tabs>
          <w:tab w:val="left" w:pos="2097"/>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Acil tıbbi gereklilik ve planlı tıbbi randevu durumlarında;</w:t>
      </w:r>
    </w:p>
    <w:p w14:paraId="0856C623" w14:textId="77777777" w:rsidR="00613F62" w:rsidRPr="00164238" w:rsidRDefault="00613F62" w:rsidP="007C3550">
      <w:pPr>
        <w:numPr>
          <w:ilvl w:val="0"/>
          <w:numId w:val="22"/>
        </w:numPr>
        <w:tabs>
          <w:tab w:val="left" w:pos="2097"/>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Yiyecek satın almak ve ilaç, bankacılık veya posta hizmetleri gibi diğer günlük ihtiyaçlar için;</w:t>
      </w:r>
    </w:p>
    <w:p w14:paraId="03FBDF98" w14:textId="77777777" w:rsidR="00613F62" w:rsidRPr="00164238" w:rsidRDefault="00613F62" w:rsidP="007C3550">
      <w:pPr>
        <w:numPr>
          <w:ilvl w:val="0"/>
          <w:numId w:val="22"/>
        </w:numPr>
        <w:tabs>
          <w:tab w:val="left" w:pos="2097"/>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Yakın bir akrabanın cenazesine katılmak için.</w:t>
      </w:r>
    </w:p>
    <w:p w14:paraId="70BD8A81" w14:textId="1442FD9B" w:rsidR="00613F62" w:rsidRPr="00164238" w:rsidRDefault="00613F62" w:rsidP="00613F62">
      <w:pPr>
        <w:tabs>
          <w:tab w:val="left" w:pos="720"/>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b/>
        <w:t>1 Mayıs 2020'de Bakanlar Kurulu, karantina sırasında uygulanacak izolasyon, kendi kendine tecrit, yerleştirme gibi özel kuralları belirleyen 'Azerbaycan Cumhuriyeti topraklarında hava yoluyla bulaşan bulaşıcı hastalıklar durumunda karantina kontrol ve tecrit kurallarını' kabul etti. Bu yönetmeliğin 9 Haziran 2020 tarihli değiştirilmiş versiyonu, kurallara uymayanların idari ve cezai sorumluluk altına alınacağını öngörmektedir.</w:t>
      </w:r>
    </w:p>
    <w:p w14:paraId="32777139" w14:textId="2B918B90" w:rsidR="00613F62" w:rsidRPr="00164238" w:rsidRDefault="00613F62" w:rsidP="00613F62">
      <w:pPr>
        <w:tabs>
          <w:tab w:val="left" w:pos="720"/>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b/>
        <w:t>Haziran 2020'nin başlarında, bazı kısıtlamaların kaldırılması COVID-19 vakalarının sayısının artmasına yol açtığı için, Bakanlar Kurulu, insanların evlerini terk etmelerini yasaklayan "tam kilitleme" olarak da bilinen iki günlük uzun süreli sıkılaştırılmış karantina rejimi başlattı.</w:t>
      </w:r>
    </w:p>
    <w:p w14:paraId="2B3F6303" w14:textId="66CDE93B" w:rsidR="00613F62" w:rsidRPr="00164238" w:rsidRDefault="00613F62" w:rsidP="00613F62">
      <w:pPr>
        <w:tabs>
          <w:tab w:val="left" w:pos="720"/>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b/>
        <w:t>Benzer bir tecrit 21 Haziran - 6 Temmuz dönemi için de uygulanarak Bakü, Sumgayıt, Lenkeran, Yevlakh, Masallı, Celilabad şehirlerinde ve Abşeron semtlerinde yaşayanların sadece yiyecek ve ilaç alışverişi için veya sadece tıbbi nedenlerle yine SMS onayı alındığı taktirde evlerini terk etmelerine izin verildi. Bu tür sıkılaştırılmış düzenleme 5 Ağustos 2020'ye kadar uzatıldı.</w:t>
      </w:r>
    </w:p>
    <w:p w14:paraId="39C6329F" w14:textId="08FF6278" w:rsidR="00613F62" w:rsidRPr="00164238" w:rsidRDefault="00613F62" w:rsidP="00613F62">
      <w:pPr>
        <w:tabs>
          <w:tab w:val="left" w:pos="720"/>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b/>
        <w:t>12 Haziran 2020'de, hafif semptomlar sergileyen virüs için pozitif test edilenlerin evde kendi kendine izole edilmesini ve yetkililerin ikamet yerindeki konumunu doğrulamasını sağlayan bir mobil izleme uygulaması aracılığıyla izlenmeyi taahhüt etmesini gerektiren başka bir düzenleme getirildi.</w:t>
      </w:r>
    </w:p>
    <w:p w14:paraId="0390D103" w14:textId="0CC2EFB0" w:rsidR="00613F62" w:rsidRPr="00164238" w:rsidRDefault="00613F62" w:rsidP="00613F62">
      <w:pPr>
        <w:tabs>
          <w:tab w:val="left" w:pos="720"/>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b/>
        <w:t>Daha önce de belirttiğimiz gibi Azerbaycan'da, COVID-19 ile ilgili bilgilerin yayılması, ülkedeki pandemiyi yönetmek için kurulan Bakanlar Kurulu bünyesindeki Operasyonel Karargah'a bağlıdır. Merkez, bu dönemdeki tıbbi kurumlardaki durum ve sağlık sistemi hakkında , alternatif, bağımsız bilgi veya kamuoyu tartışmaları olmaksızın bilgi sağlayan tek kuruldur.</w:t>
      </w:r>
    </w:p>
    <w:p w14:paraId="65AF0BFF" w14:textId="19024812" w:rsidR="00613F62" w:rsidRPr="00164238" w:rsidRDefault="00613F62" w:rsidP="00613F62">
      <w:pPr>
        <w:tabs>
          <w:tab w:val="left" w:pos="720"/>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b/>
        <w:t>Genel merkez, tıbbi kurumlara COVID-19 hastalarının teşhis ve tedavisi için gerekli olan yeterli kişisel koruyucu donanım ve tıbbi ekipmanın sağlandığını bildirdi. Sağlık çalışanlarının verdiği resmi olmayan bilgilere göre 27 Temmuz 2020 itibariyle Azerbaycan'da COVID-19 nedeniyle 35 tıp uzmanı hayatını kaybetmiştir.</w:t>
      </w:r>
    </w:p>
    <w:p w14:paraId="076C206A" w14:textId="4E062F10" w:rsidR="00613F62" w:rsidRPr="00164238" w:rsidRDefault="00613F62" w:rsidP="00613F62">
      <w:pPr>
        <w:tabs>
          <w:tab w:val="left" w:pos="720"/>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b/>
        <w:t xml:space="preserve">19 Mart 2020'de Cumhurbaşkanı İlham Aliyev, önlemlerin etkinliğini artırmak ve ilgili hizmetleri sağlayan sağlık çalışanlarına maddi destek sağlamak için Koronavirüsle Mücadeleyi Destekleme Fonu'nun oluşturulduğunu duyurdu. Bu yeni yönetmeliğe göre, devlet bütçesinden sağlanan fonlar sağlık çalışanlarının ücretlendirilmesi ve onlara maddi yardım sağlanması, tıbbi kurumların altyapı ve malzeme ve teknik kapasitesinin iyileştirilmesi, kontrol ve izlemenin organizasyonu ve uygulanması, tıp alanındaki araştırmaların finansmanı, tıp alanındaki uzmanların eğitimi, bilinçlendirme ve aydınlanma faaliyetleri, ve koronavirüsle mücadele için </w:t>
      </w:r>
      <w:r w:rsidRPr="00164238">
        <w:rPr>
          <w:rFonts w:ascii="Times New Roman" w:hAnsi="Times New Roman" w:cs="Times New Roman"/>
          <w:color w:val="000000" w:themeColor="text1"/>
        </w:rPr>
        <w:lastRenderedPageBreak/>
        <w:t>alınan diğer önlemler için kullanılacak. Fon ile ilgili olarak kamuoyunun bilgisine sunulan bilgilere göre Fon için 113.698.929 AZN tahsil edilmiştir.</w:t>
      </w:r>
    </w:p>
    <w:p w14:paraId="5A242FC3" w14:textId="10C85883" w:rsidR="00613F62" w:rsidRPr="00164238" w:rsidRDefault="00613F62" w:rsidP="00613F62">
      <w:pPr>
        <w:tabs>
          <w:tab w:val="left" w:pos="720"/>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b/>
        <w:t>7 Nisan 2020'de Cumhurbaşkanı İlham Aliyev, artan tıbbi tesisler ve tıbbi ekipman talebini karşılamak ve COVID-19 ile ilgili sağlık önlemleri çerçevesinde enfekte hastaların tedavisini etkin bir şekilde organize etmek için bir emir yayınladı. Bu emre göre, Hükümet salgınla mücadele için 200 yataklı 6 modüler hastane inşa etti.</w:t>
      </w:r>
    </w:p>
    <w:p w14:paraId="394940F4" w14:textId="605BEFB9" w:rsidR="00613F62" w:rsidRPr="00164238" w:rsidRDefault="00613F62" w:rsidP="00613F62">
      <w:pPr>
        <w:tabs>
          <w:tab w:val="left" w:pos="720"/>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b/>
        <w:t>19 Mart 2020'de Cumhurbaşkanı İlham Aliyev, COVID-19'un ekonomi, makroekonomik istikrar, istihdam ve işletmeler üzerindeki olumsuz etkisini azaltmak için tedbirler belirleyen bir emir yayınladı. İşletmeler üzerindeki olumsuz etkiyi azaltmaya yönelik tedbirleri finanse etmek için bir milyar AZN (yaklaşık 523,5 milyon EUR) tahsis edildi. Hükümet, işletmeleri desteklemenin yanı sıra, ekonomik açıdan en savunmasız vatandaşların sosyal korunmasına 400 milyon AZN (yaklaşık 208.3 milyon EUR) tahsis etti. 9 Nisan'da, sosyal paketin bir parçası olarak Hükümet, ihtiyacı olanlara 190 AZN (99 EUR) toplu ödeme yapacağını açıkladı. Nisan ve Mayıs aylarında 200.000 işsiz vatandaşın bu ödeneği aldığını ve bu sayının 600.000'e çıkacağını bildirdi. Bu tür ödemeler Haziran 2020'de de tekrar yapıldı.İstatistiklere göre, tek seferlik 190 AZN ödemesi alanların %25'i Bakü'de, %4'ü Sumgayit'te, %3'ü Gence'de ve %68'i ülkenin diğer bölgelerinde yaşıyor. %8'i 20 yaş altı, %42'si 20-30 yaş, %25'i 30-40 yaş, %14'ü 40-50 ve %11'i 50 yaşın üzerindedir. Cumhurbaşkanı'nın 19 Mart 2020 tarihli emrinin uygulanmasıyla bağlantılı olarak onaylanan "Eylem Planı", istihdam ve sosyal refahı desteklemeye yönelik 4 alanda 10 önemli tedbir içermektedir. Cumhurbaşkanı tarafından açıklanan yeni destek tedbirleri ile 2,5 milyon vatandaşı kapsayan istihdam ve sosyal yardım için 600 milyon manat tahsis edildi. Önemli olan nokta, ülkenin işlerin ve ücretlerin korunmasına gereken özeni göstermiş olmasıdır. Kamu ve özel sektördeki işleri ve çalışanların gelirini korumak için amaca yönelik çalışmalar yapılmıştır. 1.629 milyon çalışanı (kamu sektöründe 910.000, özel sektörde 719.000) kapsayan elektronik sistem günlük olarak izlendi. Böylelikle iş sözleşmesi sayısında azalma değil artış oldu. Aynı zamanda, Ekonomi Bakanlığı'na göre, 300.000 çalışanın maaşlarının bir kısmı finanse edildi ve yaklaşık 300.000 bireysel girişimci desteklendi. İstihdam fırsatlarının artırılması da odak noktasındadır. İstihdam bürolarının faaliyeti güçlendirildi. DOST İş Merkezi aracılığıyla, salgının devam ettiği Nisan-Mayıs aylarında 50.000 ücretli kamu işi yaratılmış ve bu amaçla 30 milyon manat tahsis edilmiştir. Toplam kamu işi sayısının 90.000'e ulaştığı unutulmamalıdır. Özel karantina rejimine geçilmeden önce 38.000 kişi bu işin içinde yer aldı ve halen çalışıyor. Ülkede koronavirüsün yayılmasının yol açtığı sorunların çözümü kapsamında, özel karantina rejimi nedeniyle işini kaybeden işsiz ve kayıt dışı işçiler, aylık asgari geçim düzeyinde toplu ödeme almaya başladı. Nisan-Mayıs aylarında 600.000 kişiye toplu ödeme yapıldıktan sonra 7 Nisan'da onaylanan kurallara göre çok kısa sürede (2 gün) ödemelere başlandı ve 9 günde (9-17 Nisan) 140.000 işsize toplu ödeme yapıldı. Toplu ödeme yapılırken vatandaşa SMS gönderilerek bildiriliyor. Ödeme, banka şubeleri veya postaneler aracılığıyla şeffaf bir şekilde sağlanmaktadır.</w:t>
      </w:r>
    </w:p>
    <w:p w14:paraId="4A4DA6CF" w14:textId="2365E108" w:rsidR="00613F62" w:rsidRPr="00164238" w:rsidRDefault="00613F62" w:rsidP="00613F62">
      <w:pPr>
        <w:tabs>
          <w:tab w:val="left" w:pos="720"/>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b/>
        <w:t xml:space="preserve">Belirtmekte fayda var ki,ülkede pandeminin başlangıcından bu yana sosyal ödeme - emekli aylıkları, sosyal yardımlar vb. ödemelerde neredeyse hiç bir gecikme olmamıştır. Özel savunmasız grupların sosyal koruma önlemlerini güçlendirmek için Devlet Sosyal Koruma Fonu'nun 2019 yılında oluşturduğu 200 milyon AZN rezervi, nüfusa yapılan sosyal ödemelerin sürdürülebilirliğini sağlamayı amaçlamaktadır. Bundan baska, 2020 yılında 112.000 aile, özel </w:t>
      </w:r>
      <w:r w:rsidRPr="00164238">
        <w:rPr>
          <w:rFonts w:ascii="Times New Roman" w:hAnsi="Times New Roman" w:cs="Times New Roman"/>
          <w:color w:val="000000" w:themeColor="text1"/>
        </w:rPr>
        <w:lastRenderedPageBreak/>
        <w:t>karantina koşulları altında serbest meslek programına dahil edilecekdir. Bu amaçla İşsizlik Sigortası Fonundan 70 milyon manat tahsis edilmiştir. Haydar Aliyev Vakfı Bölgesel Kalkınma Halk Birliği (yılda 250 aile) programı genişletmek için işbirliği yapıyor. Bu alanda bir sıra bankalarla da işbirliği yapılmaktadır.</w:t>
      </w:r>
    </w:p>
    <w:p w14:paraId="200528B2" w14:textId="3F223AAD" w:rsidR="00613F62" w:rsidRPr="00164238" w:rsidRDefault="00613F62" w:rsidP="00613F62">
      <w:pPr>
        <w:tabs>
          <w:tab w:val="left" w:pos="720"/>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b/>
        <w:t>Azerbaycan'da özel karantina rejiminin getirilmesi eğitim politikasını da etkiledi. Şöyle ki, özel karantina rejiminin getirilmesinden sonra, okullar ve üniversitelerin yeni koşullara uyum sağlamaları ve eğitim programlarına çevrimiçi olarak devam etmeleri gerekiyordu. Milli Eğitim Bakanlığı, okullar için günlük eğitim programları sunmak için web sitesini, iki kamu TV kanalını, YouTube, Facebook, Zoom ve diğer platformları kullanmaya başladı. Devlet üniversiteleri bu amaçla çoğunlukla Zoom uygulamalarını kullanmaktaydılar. Lakin, 2020-2021-ci eğitim senesi için neredeyse bütün üniversiteler Microsoft Teams uygulamasına geçiş yaptı. Böylelikle öğrencilerin derslere katılımı için gerekli ortam sağlanmış oldu. Öğrenciler artık ders zamanlarını bu uygulamadan takip ede, ders cetvellerini buradan istedikleri zaman kontrol ede, öğretmenlerden gerekli bilgileri notları buradan alıp, aynı şeilde ödevleri de buraya teslim ede biliyorlardı. Bunların yanı sıra, puan deöerlendirme yapılması için bu uygulama öğretmenlere test sınavı yapmak gibi bir fırsat da tanıyordu. Microsoft Teams online öğrenim hayatını kolaylaştırmakla beraber fakülte dekanlarına öğrencilerin derste devamlılığını bizzat kontrol etmek gibi özellik sunuyordu.</w:t>
      </w:r>
    </w:p>
    <w:p w14:paraId="00F6F1CF" w14:textId="661F179C" w:rsidR="00613F62" w:rsidRPr="00164238" w:rsidRDefault="00613F62" w:rsidP="00613F62">
      <w:pPr>
        <w:tabs>
          <w:tab w:val="left" w:pos="720"/>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b/>
        <w:t>Fakat bunu da belirtmek gerekir ki, bu yeni programın pratik uygulaması sırasında okullar ciddi teknik zorluklarla karşılaştı. Özellikle kırsal alanlardaki birçok öğretmen, teknoloji veya İnternet kullanımı konusunda çok az bilgiye sahiptir. Ayrıca, bu kırsal alanlarda internet kapsama alanı her zaman mevcut değildir. Bu yeni eğitim sistemi, bu tür alanlarda öğretmenler ve öğrenciler için hem mali hem de diğer zorluklara yol açan ek ücrete tabi bir mobil internet paketi edinmeyi gerektirir.</w:t>
      </w:r>
    </w:p>
    <w:p w14:paraId="1CA74E12" w14:textId="189CE054" w:rsidR="00613F62" w:rsidRPr="00164238" w:rsidRDefault="00613F62" w:rsidP="00613F62">
      <w:pPr>
        <w:tabs>
          <w:tab w:val="left" w:pos="720"/>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b/>
        <w:t xml:space="preserve">Sosyal açıdan savunmasız ailelerden gelen öğrencilerin durumu da gözden kaçmıyor. Devlet, bu kategorideki öğrencilerin eğitim ücretini ödedi. Nitekim alınan tedbirler, Cumhurbaşkanı İlham Aliyev'in "Azerbaycan'da izlenen politikanın merkezinde vatandaştır", "Azerbaycan devleti her zaman vatandaşın yanındadır" şeklindeki görüşlerinin açık bir ifadesidir. </w:t>
      </w:r>
    </w:p>
    <w:p w14:paraId="596AC109" w14:textId="078002D6" w:rsidR="00613F62" w:rsidRPr="00164238" w:rsidRDefault="00613F62" w:rsidP="00613F62">
      <w:pPr>
        <w:tabs>
          <w:tab w:val="left" w:pos="720"/>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b/>
        <w:t>Azerbaycan'da küresel koronavirüs salgınının sonuçlarını önlemeye yönelik karmaşık önlemler arasında, kamuoyunu bilinçlendirme önlemleri her zaman öncelikli olmuştur. Ülkede faaliyet gösteren tüm radyo, televizyon, gazete, dergi ve kitle iletişim araçları, pandeminin dehşetini içeren eğitici afişler, sosyal izolasyon ve diğer propaganda araçlarıyla ülkenin şehir ve bölgelerinde bilinçlendirme çalışmaları yürütüyor.</w:t>
      </w:r>
    </w:p>
    <w:p w14:paraId="6F7C59F6" w14:textId="01DBA10B" w:rsidR="00613F62" w:rsidRPr="00164238" w:rsidRDefault="00613F62" w:rsidP="00613F62">
      <w:pPr>
        <w:tabs>
          <w:tab w:val="left" w:pos="720"/>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b/>
        <w:t xml:space="preserve">Koronavirüsün yayılmasının olumsuz sonuçlarına karşı verilen mücadele kapsamında, Azerbaycan devletinin savunmasız gruplar için sosyal koruma önlemlerinin güçlendirilmesi, yaşlılara yönelik sosyal hizmetler ve diğer destek tedbirlerinden bahsetmemek mümkün değil.Hükümet, özel karantina rejiminin bir parçası olarak 65 yaşın üzerindeki kişilerin evlerini terk etmesini yasakladı. Hükümet, Sosyal Hizmetler Kanunu uyarınca yalnız yaşayanlara yiyecek ve ilaç verileceğini açıkladı. Çalışma ve Nüfus Sosyal Güvenlik Bakanlığı, bu hizmetlere erişebilmek için 65 yaş üstü ve yalnız yaşayan vatandaşların Bakanlığın 142 numaralı Çağrı Merkezi'ni arayarak kayıt olmaları gerektiğini, ardından kendilerine gerekli hizmetlerin </w:t>
      </w:r>
      <w:r w:rsidRPr="00164238">
        <w:rPr>
          <w:rFonts w:ascii="Times New Roman" w:hAnsi="Times New Roman" w:cs="Times New Roman"/>
          <w:color w:val="000000" w:themeColor="text1"/>
        </w:rPr>
        <w:lastRenderedPageBreak/>
        <w:t>sağlanacağını bildirdi. Bu koşullarda yaşlılara yardımcı olmak için hem kamu kurumları hem de vatandaş girişimleri tarafından çeşitli gönüllü kampanyalar düzenlenmiştir. Resmi devlet istatistiklerine göre yaklaşık 300.000 Azerbaycanlı 65-69 yaş aralığında ve 420.000 Azerbaycanlı 70 yaş ve üzerindedir. Sosyal hizmetler 65 yaş üstü bekarlara evde, özel bakıma muhtaç kişilere sosyal hizmet kurumlarında sağlanmakta ve 15.000'den fazla bekar kişiye sosyal hizmet verilmektedir. Sosyal ortaklar aracılığıyla, yalnız ve engelli insanlara yaklaşık 17.000 yiyecek tayınları dağıtıldı. Ayrıca şu anda 9 sosyal hizmet kurumunda 1.000'den fazla kişiye yatarak sosyal hizmet verilmektedir.</w:t>
      </w:r>
    </w:p>
    <w:p w14:paraId="109412E1" w14:textId="06FB74F8" w:rsidR="00613F62" w:rsidRPr="00164238" w:rsidRDefault="00613F62" w:rsidP="00613F62">
      <w:pPr>
        <w:tabs>
          <w:tab w:val="left" w:pos="720"/>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b/>
        <w:t>Azerbaycan Cumhuriyeti topraklarında salgının başlangıcından (ilk pozitif COVID-19 vakası 28 Şubat 2020'de ülkede tescil edildi) 15 Ocak 2021'e kadar 226.549 enfeksiyon vakası kaydedildi. Enfekte olanlar arasında hastalığın şiddeti yüzde 6, ölüm oranı ise yüzde 1,1. Ayrıca kronik hastalıkları, zararlı alışkanlıkları olan, 65 yaş üstü, fazla kilolu ve bağışıklık sistemini baskılayıcı ilaç kullanan kişiler vb. bu tür özelliklere sahip bireyler, ağır bir hastalık biçimine ve aralarında yüksek bir ölüm oranına sahiptir. Bu bağlamda, popülasyondaki enfeksiyon düzeyindeki düşüşle birlikte, kritik olarak enfekte olmuş kişilerin sayısını azaltmak önemlidir. Devam eden salgın, COVID-19'un insan sağlığına yönelik tehlikeleri ve küresel sağlık sisteminin karşı karşıya olduğu hayati sorunları ele alma ihtiyacı göz önüne alındığında, WHO, dünya çapında hastalıkla mücadele için oldukça etkili aşılara ihtiyaç olduğunu belirtti.</w:t>
      </w:r>
    </w:p>
    <w:p w14:paraId="1BA4F36B" w14:textId="28ECC991" w:rsidR="00613F62" w:rsidRPr="00164238" w:rsidRDefault="00613F62" w:rsidP="00613F62">
      <w:pPr>
        <w:tabs>
          <w:tab w:val="left" w:pos="720"/>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b/>
        <w:t>Şu anda, bazı ülkelerde yeni geliştirilen aşıların çeşitli klinik deneyleri hakkında gözlemler yapılmaktadır. SARS-CoV-2 virüsünün aşılama sonucunda bulaşma zincirinin bozulmasının, insanlar arasında morbiditede keskin bir azalmaya ve mevcut hastalığın sağlık sistemi üzerindeki olumsuz etkisinin ortadan kaldırılmasına yol açması beklenmektedir. COVID-19'a karşı aşılar, mevcut aşıların aksine, tamamen yeni moleküler teknolojiler temelinde yeni bilimsel platformlarda geliştirilmektedir. Azerbaycan'da immünoprofilaksi alanındaki devlet politikası, bulaşıcı hastalıkların yayılmasını sınırlamayı ve ortadan kaldırmayı, halk arasında morbidite ve mortaliteyi önlemeyi amaçlamaktadır. Mevcut pandemi durumunda, devlet bu yönde çalışıyor. Bunlardan biri, "Azerbaycan Cumhuriyeti'nde 2021-2022 için COVID-19'a Karşı Aşılama Stratejisinin" (bundan sonra - Strateji olarak anılacaktır) kabul edilmesini gerekli kılan, nüfusun planlı aşılamasıdır. Strateji yalnızca devlet tarafından uygulanacak aşılama önlemlerini kapsıyor.</w:t>
      </w:r>
    </w:p>
    <w:p w14:paraId="221B13C2" w14:textId="3E03283A" w:rsidR="00613F62" w:rsidRPr="00164238" w:rsidRDefault="00613F62" w:rsidP="00613F62">
      <w:pPr>
        <w:tabs>
          <w:tab w:val="left" w:pos="630"/>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b/>
        <w:t>Stratejinin amacı, aşılama yoluyla mevcut yaygın COVID-19 hastalığını önlemek ve böylece morbidite ve mortaliteyi azaltmaktır. Stratejinin bir diğer amacı, ilk aşamada Azerbaycan Cumhuriyeti nüfusunun yüksek riskli sosyal ve tıbbi gruplarını ve bir sonraki aşamada diğer nüfus gruplarını aşılamaktır. Stratejinin temel hedefi ise, epidemiyolojik durumu stabilize etmektir.</w:t>
      </w:r>
    </w:p>
    <w:p w14:paraId="03D1C2AF" w14:textId="0F4EC5FA" w:rsidR="00613F62" w:rsidRPr="00164238" w:rsidRDefault="00613F62" w:rsidP="00613F62">
      <w:pPr>
        <w:tabs>
          <w:tab w:val="left" w:pos="720"/>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b/>
        <w:t>COVID-19 aşılamasının başarılı bir şekilde uygulanmasına yönelik Strateji aşağıdaki ilkelere dayanmaktadır:</w:t>
      </w:r>
    </w:p>
    <w:p w14:paraId="212678CF" w14:textId="77777777" w:rsidR="00613F62" w:rsidRPr="00164238" w:rsidRDefault="00613F62" w:rsidP="007C3550">
      <w:pPr>
        <w:numPr>
          <w:ilvl w:val="0"/>
          <w:numId w:val="16"/>
        </w:numPr>
        <w:tabs>
          <w:tab w:val="left" w:pos="2097"/>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Gönüllülük - bir vatandaşın kendi ve başkalarının sağlığını korumak için aşıya gönüllü olarak katılma kararı, mevcut salgın durumu ve enfeksiyonun yayılma tehlikesini tanıması;</w:t>
      </w:r>
    </w:p>
    <w:p w14:paraId="5BF570BE" w14:textId="77777777" w:rsidR="00613F62" w:rsidRPr="00164238" w:rsidRDefault="00613F62" w:rsidP="007C3550">
      <w:pPr>
        <w:numPr>
          <w:ilvl w:val="0"/>
          <w:numId w:val="16"/>
        </w:numPr>
        <w:tabs>
          <w:tab w:val="left" w:pos="2097"/>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Güvenlik - halk sağlığının korunması ve SARS-CoV-2 virüsünün neden olduğu COVID-19'a karşı etkili, yüksek kaliteli ve güvenli bir aşının seçimi;</w:t>
      </w:r>
    </w:p>
    <w:p w14:paraId="71F3172A" w14:textId="77777777" w:rsidR="00613F62" w:rsidRPr="00164238" w:rsidRDefault="00613F62" w:rsidP="007C3550">
      <w:pPr>
        <w:numPr>
          <w:ilvl w:val="0"/>
          <w:numId w:val="16"/>
        </w:numPr>
        <w:tabs>
          <w:tab w:val="left" w:pos="2097"/>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lastRenderedPageBreak/>
        <w:t>Şeffaflık - aşılama sürecinin finansmanı (devlet bütçesi, Koronavirüs Destek Fonu, vb.) Ve uygulanmasına ilişkin bilgilerin şeffaflığı ve erişilebilirliği;</w:t>
      </w:r>
    </w:p>
    <w:p w14:paraId="15CCA6EA" w14:textId="77777777" w:rsidR="00613F62" w:rsidRPr="00164238" w:rsidRDefault="00613F62" w:rsidP="007C3550">
      <w:pPr>
        <w:numPr>
          <w:ilvl w:val="0"/>
          <w:numId w:val="16"/>
        </w:numPr>
        <w:tabs>
          <w:tab w:val="left" w:pos="2097"/>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Aşamalı olması - Stratejinin hazırlık, uygulama ve aşılama sonrası aşamalar şeklinde sıralı uygulanması;</w:t>
      </w:r>
    </w:p>
    <w:p w14:paraId="672C0DD6" w14:textId="77777777" w:rsidR="00613F62" w:rsidRPr="00164238" w:rsidRDefault="00613F62" w:rsidP="007C3550">
      <w:pPr>
        <w:numPr>
          <w:ilvl w:val="0"/>
          <w:numId w:val="16"/>
        </w:numPr>
        <w:tabs>
          <w:tab w:val="left" w:pos="2097"/>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Adalet - pandemiye karşı mücadelede, aşılama gelir düzeyine, ikamet yerine ve diğer ayırt edici özelliklerine bakılmaksızın her birey için adil bir şekilde yapılmalıdır (öncelik risk gruplarına verilir)</w:t>
      </w:r>
    </w:p>
    <w:p w14:paraId="201BB8BD" w14:textId="77777777" w:rsidR="00613F62" w:rsidRPr="00164238" w:rsidRDefault="00613F62" w:rsidP="007C3550">
      <w:pPr>
        <w:numPr>
          <w:ilvl w:val="0"/>
          <w:numId w:val="16"/>
        </w:numPr>
        <w:tabs>
          <w:tab w:val="left" w:pos="2097"/>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Aşılama ile ilgili tüm paydaşların faaliyetleri nüfusun sağlığını ve halkın güvenini doğrudan etkilediği için aşılama programının sorumlu ve zamanında uygulanması;</w:t>
      </w:r>
    </w:p>
    <w:p w14:paraId="628AF703" w14:textId="77777777" w:rsidR="00613F62" w:rsidRPr="00164238" w:rsidRDefault="00613F62" w:rsidP="007C3550">
      <w:pPr>
        <w:numPr>
          <w:ilvl w:val="0"/>
          <w:numId w:val="16"/>
        </w:numPr>
        <w:tabs>
          <w:tab w:val="left" w:pos="2097"/>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İşbirliği - pandemilerle mücadelede uluslararası düzeyde tüm paydaşlarla yapıcı işbirliği oluşturmak.</w:t>
      </w:r>
    </w:p>
    <w:p w14:paraId="08330B74" w14:textId="63F10787" w:rsidR="00613F62" w:rsidRPr="00164238" w:rsidRDefault="00613F62" w:rsidP="00613F62">
      <w:pPr>
        <w:tabs>
          <w:tab w:val="left" w:pos="720"/>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b/>
        <w:t xml:space="preserve">Stratejinin uygulanması, başta sosyal ve tıbbi yüksek risk grupları olmak üzere genel nüfusu kapsamaktadır. </w:t>
      </w:r>
    </w:p>
    <w:p w14:paraId="294B210E" w14:textId="46D40338" w:rsidR="00613F62" w:rsidRPr="00164238" w:rsidRDefault="00613F62" w:rsidP="00613F62">
      <w:pPr>
        <w:tabs>
          <w:tab w:val="left" w:pos="630"/>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b/>
        <w:t>COVID-19'un neden olduğu epidemiyolojik durumu dengelemek ve olumsuz sonuçlarını azaltmak için alınan önlemler arasında sağlık sistemi, aşılama hizmetleri ve ilgili lojistiğin güçlendirilmesi yer alıyor. COVID-19'a karşı aşılamanın, olabildiğince çok sosyal ve tıbbi olarak risk altındaki grubu kademeli olarak kapsaması ve ardından genel nüfusu gönüllü olarak aşılaması amaçlanmaktadır.</w:t>
      </w:r>
    </w:p>
    <w:p w14:paraId="423FED9A" w14:textId="33735054" w:rsidR="00613F62" w:rsidRPr="00164238" w:rsidRDefault="00613F62" w:rsidP="00613F62">
      <w:pPr>
        <w:tabs>
          <w:tab w:val="left" w:pos="720"/>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b/>
        <w:t xml:space="preserve">COVID-19 aşılaması kapsamındaki yüksek riskli popülasyonlar şunlardır: </w:t>
      </w:r>
    </w:p>
    <w:p w14:paraId="298B0CC8" w14:textId="77777777" w:rsidR="00613F62" w:rsidRPr="00164238" w:rsidRDefault="00613F62" w:rsidP="007C3550">
      <w:pPr>
        <w:numPr>
          <w:ilvl w:val="0"/>
          <w:numId w:val="17"/>
        </w:numPr>
        <w:tabs>
          <w:tab w:val="left" w:pos="2097"/>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Sosyal:</w:t>
      </w:r>
    </w:p>
    <w:p w14:paraId="56761458" w14:textId="77777777" w:rsidR="00613F62" w:rsidRPr="00164238" w:rsidRDefault="00613F62" w:rsidP="007C3550">
      <w:pPr>
        <w:numPr>
          <w:ilvl w:val="0"/>
          <w:numId w:val="18"/>
        </w:numPr>
        <w:tabs>
          <w:tab w:val="left" w:pos="2097"/>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sağlık çalışanları (doktorlar, hemşireler, teknisyenler);</w:t>
      </w:r>
    </w:p>
    <w:p w14:paraId="0AF75CF2" w14:textId="77777777" w:rsidR="00613F62" w:rsidRPr="00164238" w:rsidRDefault="00613F62" w:rsidP="007C3550">
      <w:pPr>
        <w:numPr>
          <w:ilvl w:val="0"/>
          <w:numId w:val="18"/>
        </w:numPr>
        <w:tabs>
          <w:tab w:val="left" w:pos="2097"/>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kolluk kuvvetleri;</w:t>
      </w:r>
    </w:p>
    <w:p w14:paraId="4EB575BF" w14:textId="77777777" w:rsidR="00613F62" w:rsidRPr="00164238" w:rsidRDefault="00613F62" w:rsidP="007C3550">
      <w:pPr>
        <w:numPr>
          <w:ilvl w:val="0"/>
          <w:numId w:val="18"/>
        </w:numPr>
        <w:tabs>
          <w:tab w:val="left" w:pos="2097"/>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askeri personel;</w:t>
      </w:r>
    </w:p>
    <w:p w14:paraId="22730551" w14:textId="77777777" w:rsidR="00613F62" w:rsidRPr="00164238" w:rsidRDefault="00613F62" w:rsidP="007C3550">
      <w:pPr>
        <w:numPr>
          <w:ilvl w:val="0"/>
          <w:numId w:val="18"/>
        </w:numPr>
        <w:tabs>
          <w:tab w:val="left" w:pos="2097"/>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gözaltına alınan ve tutuklanan kişiler ve hükümlüler;</w:t>
      </w:r>
    </w:p>
    <w:p w14:paraId="319FC19A" w14:textId="77777777" w:rsidR="00613F62" w:rsidRPr="00164238" w:rsidRDefault="00613F62" w:rsidP="007C3550">
      <w:pPr>
        <w:numPr>
          <w:ilvl w:val="0"/>
          <w:numId w:val="18"/>
        </w:numPr>
        <w:tabs>
          <w:tab w:val="left" w:pos="2097"/>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Eğitim ve sosyal sektörde çalışan çalışanlar, sosyal kurumların daimi sakinleri, ASAN Hizmet ve DOST merkezleri, toplu taşıma sektörü, telekomünikasyon operatörleri ve sağlayıcıları ile posta sektörü ve bankacılık sektöründeki nüfusla doğrudan temas halinde olan çalışanlar nüfusla;</w:t>
      </w:r>
    </w:p>
    <w:p w14:paraId="58D30E3B" w14:textId="77777777" w:rsidR="00613F62" w:rsidRPr="00164238" w:rsidRDefault="00613F62" w:rsidP="007C3550">
      <w:pPr>
        <w:numPr>
          <w:ilvl w:val="0"/>
          <w:numId w:val="17"/>
        </w:numPr>
        <w:tabs>
          <w:tab w:val="left" w:pos="2097"/>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Tıbbi:</w:t>
      </w:r>
    </w:p>
    <w:p w14:paraId="33D5CCBE" w14:textId="77777777" w:rsidR="00613F62" w:rsidRPr="00164238" w:rsidRDefault="00613F62" w:rsidP="007C3550">
      <w:pPr>
        <w:numPr>
          <w:ilvl w:val="0"/>
          <w:numId w:val="19"/>
        </w:numPr>
        <w:tabs>
          <w:tab w:val="left" w:pos="2097"/>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yaşlı nüfus ≥65;</w:t>
      </w:r>
    </w:p>
    <w:p w14:paraId="2C1C70AA" w14:textId="77777777" w:rsidR="00613F62" w:rsidRPr="00164238" w:rsidRDefault="00613F62" w:rsidP="007C3550">
      <w:pPr>
        <w:numPr>
          <w:ilvl w:val="0"/>
          <w:numId w:val="19"/>
        </w:numPr>
        <w:tabs>
          <w:tab w:val="left" w:pos="2097"/>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TSXX, kronik hemodiyaliz hastaları, diabetes mellitus tip II (≥50), obezite (≥18).</w:t>
      </w:r>
    </w:p>
    <w:p w14:paraId="5A1AE2DA" w14:textId="77777777" w:rsidR="00613F62" w:rsidRPr="00164238" w:rsidRDefault="00613F62" w:rsidP="00613F62">
      <w:pPr>
        <w:tabs>
          <w:tab w:val="left" w:pos="2097"/>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NOT: Operasyonel Karargahın son açıklamalarına göre aşılama işleminin gerçekleştirilmesinde öncelik artık sadece 65 yaş üstü olan vatandaşlara değil, aynı zamanda 40 yaş üstü olan vatandaşlara da ait edilmelidir.</w:t>
      </w:r>
    </w:p>
    <w:p w14:paraId="547DAEC5" w14:textId="77777777" w:rsidR="00613F62" w:rsidRPr="00164238" w:rsidRDefault="00613F62" w:rsidP="00613F62">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lastRenderedPageBreak/>
        <w:t>Son olarak kriz sırasında gönüllülüğün önemli rolunu de vurgulamak gerekir. Gönüllüler, COVID-19 salgınına ilk müdahale edenler arasında yer alıyor ve sosyal bağlar oluşturarak marjinalleştirilmiş ve savunmasız gruplara ses veriyorlar. Azerbaycan Cumhurbaşkanı 2020'yi “Gönüllüler Yılı” ilan etti. Azerbaycan Gönüllüleri Koordinasyon Merkezi, özellikle nüfusu eğitmek ve ihtiyaç sahiplerine sosyal hizmet sağlamak amacıyla koronavirüsün yayılmasını ve olası sonuçlarını önlemeye katkı sağlamak amacıyla gönüllü hareket ve kuruluşların girişimiyle kurulmuştur. Yaşlılar, engelliler ve bekar ebeveynler için kırsal kesim de dahil olmak üzere uzak ve ya yakın – heryere bakımın sürekliliğini sağlamak için temel hijyen ve sanitasyon malzemeleri (örneğin tıbbi maskeler, hijyenik pedler, el dezenfektanları, vb.), ilaçlar ve gıda malzemeleri gönüllüler tarafından dağıtılmıştır.</w:t>
      </w:r>
    </w:p>
    <w:p w14:paraId="74A692C8" w14:textId="77777777" w:rsidR="00613F62" w:rsidRPr="00164238" w:rsidRDefault="00613F62" w:rsidP="00613F62">
      <w:pPr>
        <w:ind w:firstLine="708"/>
        <w:jc w:val="both"/>
        <w:rPr>
          <w:rFonts w:ascii="Times New Roman" w:hAnsi="Times New Roman" w:cs="Times New Roman"/>
          <w:color w:val="000000" w:themeColor="text1"/>
        </w:rPr>
      </w:pPr>
      <w:r w:rsidRPr="00164238">
        <w:rPr>
          <w:rFonts w:ascii="Times New Roman" w:hAnsi="Times New Roman" w:cs="Times New Roman"/>
          <w:color w:val="000000" w:themeColor="text1"/>
        </w:rPr>
        <w:t>İnsanları koronavirüse karşı korumak için gönüllüler yetiştirmek, sosyal mesafenin önemini anlatmak için ABD Uluslararası Kalkınma Ajansı'nın (USAID) mali desteği ile UNICEF Azerbaycan ve Bölgesel Kalkınma Halk Birliği tarafından yürütülen proje kapsamında çok sayıda web semineri düzenlendi, karantina sırasında psikolojik destek sağlamak, ebeveynler ve çocuklar için faydalı ipuçları sağlamak, ayrıca internet kaynakları hakkında çeşitli farkındalık artırıcı materyalleri paylaşmak ve bunları ülke genelindeki nüfusa dağıtmak Karantina rejimi süresince 65 yaş üstü yalnız yaşayanlara, düşük gelirli ailelere ve diğer savunmasız aile gruplarına sürekli destek sağlamak için özel bir dijital iletişim platformu oluşturuldu. Bu platform aracılığıyla gönüllüler, bu nüfus kesimleriyle sürekli iletişim halindedir ve onlara çeşitli sosyal hizmetler sağlamaktadırlar.</w:t>
      </w:r>
    </w:p>
    <w:p w14:paraId="55E5296E" w14:textId="3CFB7FD3" w:rsidR="00613F62" w:rsidRPr="00164238" w:rsidRDefault="00613F62" w:rsidP="00613F62">
      <w:pPr>
        <w:tabs>
          <w:tab w:val="left" w:pos="720"/>
        </w:tabs>
        <w:spacing w:line="276" w:lineRule="auto"/>
        <w:rPr>
          <w:rFonts w:ascii="Times New Roman" w:hAnsi="Times New Roman" w:cs="Times New Roman"/>
          <w:b/>
          <w:color w:val="000000" w:themeColor="text1"/>
        </w:rPr>
      </w:pPr>
      <w:r w:rsidRPr="00164238">
        <w:rPr>
          <w:rFonts w:ascii="Times New Roman" w:hAnsi="Times New Roman" w:cs="Times New Roman"/>
          <w:b/>
          <w:color w:val="000000" w:themeColor="text1"/>
        </w:rPr>
        <w:tab/>
        <w:t>Sonuç</w:t>
      </w:r>
    </w:p>
    <w:p w14:paraId="53734F68" w14:textId="0D205096" w:rsidR="00613F62" w:rsidRPr="00164238" w:rsidRDefault="00613F62" w:rsidP="00613F62">
      <w:pPr>
        <w:tabs>
          <w:tab w:val="left" w:pos="720"/>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b/>
        <w:t xml:space="preserve">Geçen yılın sonlarından bu yana tüm dünyada korku ve endişe kaynağı olan yeni koronavirüs enfeksiyonunun yarattığı ciddi tehdit maalesef tam anlamıyla azalmadı. Bazı ülkelerde, bulaşma sayısı arttıkça katı karantina kuralları yeniden yürürlüğe girmiştir. </w:t>
      </w:r>
    </w:p>
    <w:p w14:paraId="09BA1895" w14:textId="1FCCDDC1" w:rsidR="00613F62" w:rsidRPr="00164238" w:rsidRDefault="00613F62" w:rsidP="00613F62">
      <w:pPr>
        <w:tabs>
          <w:tab w:val="left" w:pos="720"/>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b/>
        <w:t>Gezegenimizdeki COVID-19 salgınının ilk günlerinden itibaren halkımızın bilge lideri Cumhurbaşkanı İlham Aliyev liderliğindeki Azerbaycan devleti ve hükümeti, tehdidin boyutunu ve olası sonuçlarını doğru bir şekilde değerlendirdi ve bu zor sorunu çözmek için yeterli önlemler almaya başladı. Azerbaycan, koronavirüsle mücadele için önlem alan ilk ülkeler arasında yer alıyor. Mart ayı başlarında alınan halk sağlığı önlemlerinin bir sonucu olarak, enfeksiyon sayısı giderek azalmaktadır. Ama sonra yazın hızlı bir büyüme yaşadık. Yaz sezonunun sonlarına doğru durum yeniden kontrol altına alındı. Kış aylarında, özellikle son haftalarda enfeksiyon sayısı tekrar yavaş yavaş artmaktadır. Son birkaç gün içinde daha önemli artışlar kaydedildi. Bu durumu önlemek için Operasyon Merkezi, özel karantina rejiminin 1 Haziran'a kadar uzatıldığını duyurdu. Bu nedenle, 1 Haziran'a kadar ülkede hafta sonları toplu taşıma kullanımı yasaklandı. Vatandaşların tıbbi maske kullanmadan evlerinden çıkmalarına izin verilmiyor. Ek olarak, yukarıda belirtilen önlemlerin çoğu yine aynı şekilde kalmaktadır.</w:t>
      </w:r>
    </w:p>
    <w:p w14:paraId="434DD0C3" w14:textId="2B137210" w:rsidR="00613F62" w:rsidRPr="00164238" w:rsidRDefault="00613F62" w:rsidP="00613F62">
      <w:pPr>
        <w:tabs>
          <w:tab w:val="left" w:pos="720"/>
        </w:tabs>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b/>
        <w:t xml:space="preserve">Son olarak belirtmek gerekir ki, dünyayı saran bu büyük pandeminin devlet ve uluslararası örgütler üzerinde siyasi, ekonomik, kültürel vb. bir çok şekilde etkileri olacaktır. Her savaşın barışçıl bir şekilde bitmesi gibi, insanlığın COVID-19 kabusuna karşı mücadelesinin de zaferle sonuçlanacağını umut ediyor ve daha az insan kaybı olmak adına her kesin izolasyon kurallarının ciddiyetini anlayıp, daha dikkatli şekilde - özenle davranmasını </w:t>
      </w:r>
      <w:r w:rsidRPr="00164238">
        <w:rPr>
          <w:rStyle w:val="nlmmonth"/>
          <w:rFonts w:ascii="Times New Roman" w:hAnsi="Times New Roman" w:cs="Times New Roman"/>
          <w:color w:val="000000" w:themeColor="text1"/>
          <w:sz w:val="24"/>
          <w:szCs w:val="24"/>
          <w:shd w:val="clear" w:color="auto" w:fill="FFFFFF"/>
        </w:rPr>
        <w:t>tavsiye</w:t>
      </w:r>
      <w:r w:rsidRPr="00164238">
        <w:rPr>
          <w:rFonts w:ascii="Times New Roman" w:hAnsi="Times New Roman" w:cs="Times New Roman"/>
          <w:color w:val="000000" w:themeColor="text1"/>
        </w:rPr>
        <w:t xml:space="preserve"> ediyoruz.</w:t>
      </w:r>
    </w:p>
    <w:p w14:paraId="1B4EB15E" w14:textId="77777777" w:rsidR="00613F62" w:rsidRPr="00164238" w:rsidRDefault="00613F62" w:rsidP="00613F62">
      <w:pPr>
        <w:tabs>
          <w:tab w:val="left" w:pos="2097"/>
        </w:tabs>
        <w:spacing w:line="276" w:lineRule="auto"/>
        <w:jc w:val="both"/>
        <w:rPr>
          <w:rFonts w:ascii="Times New Roman" w:hAnsi="Times New Roman" w:cs="Times New Roman"/>
          <w:color w:val="000000" w:themeColor="text1"/>
        </w:rPr>
      </w:pPr>
    </w:p>
    <w:p w14:paraId="34F72589" w14:textId="77777777" w:rsidR="00613F62" w:rsidRPr="00164238" w:rsidRDefault="00613F62" w:rsidP="00613F62">
      <w:pPr>
        <w:rPr>
          <w:rFonts w:ascii="Times New Roman" w:hAnsi="Times New Roman" w:cs="Times New Roman"/>
          <w:color w:val="000000" w:themeColor="text1"/>
        </w:rPr>
      </w:pPr>
      <w:r w:rsidRPr="00164238">
        <w:rPr>
          <w:rFonts w:ascii="Times New Roman" w:hAnsi="Times New Roman" w:cs="Times New Roman"/>
          <w:color w:val="000000" w:themeColor="text1"/>
        </w:rPr>
        <w:lastRenderedPageBreak/>
        <w:br w:type="page"/>
      </w:r>
    </w:p>
    <w:p w14:paraId="0867D011" w14:textId="30623919" w:rsidR="00613F62" w:rsidRPr="00164238" w:rsidRDefault="00C95516" w:rsidP="00E0308F">
      <w:pPr>
        <w:tabs>
          <w:tab w:val="left" w:pos="2097"/>
        </w:tabs>
        <w:spacing w:line="276" w:lineRule="auto"/>
        <w:rPr>
          <w:rFonts w:ascii="Times New Roman" w:hAnsi="Times New Roman" w:cs="Times New Roman"/>
          <w:b/>
          <w:color w:val="000000" w:themeColor="text1"/>
        </w:rPr>
      </w:pPr>
      <w:r>
        <w:rPr>
          <w:rFonts w:ascii="Times New Roman" w:hAnsi="Times New Roman" w:cs="Times New Roman"/>
          <w:b/>
          <w:color w:val="000000" w:themeColor="text1"/>
        </w:rPr>
        <w:lastRenderedPageBreak/>
        <w:t>Kaynakça</w:t>
      </w:r>
    </w:p>
    <w:p w14:paraId="11A5C0BE" w14:textId="77777777" w:rsidR="00613F62" w:rsidRPr="00164238" w:rsidRDefault="00613F62" w:rsidP="007C3550">
      <w:pPr>
        <w:numPr>
          <w:ilvl w:val="0"/>
          <w:numId w:val="23"/>
        </w:numPr>
        <w:tabs>
          <w:tab w:val="left" w:pos="2097"/>
        </w:tabs>
        <w:spacing w:line="276" w:lineRule="auto"/>
        <w:rPr>
          <w:rFonts w:ascii="Times New Roman" w:hAnsi="Times New Roman" w:cs="Times New Roman"/>
          <w:color w:val="000000" w:themeColor="text1"/>
        </w:rPr>
      </w:pPr>
      <w:r w:rsidRPr="00164238">
        <w:rPr>
          <w:rFonts w:ascii="Times New Roman" w:hAnsi="Times New Roman" w:cs="Times New Roman"/>
          <w:color w:val="000000" w:themeColor="text1"/>
        </w:rPr>
        <w:t>“ABD istihbarat raporu: Çin, COVID-19 salgınının gerçek verilerini gizledi, örtbas etti.”, https://tr.euro news.com/2020/04/02/abd-istihbarat-raporu-cin-covid-19-salgin-gercek-verileri-gizledi-ortbas-etti-korona virus .</w:t>
      </w:r>
    </w:p>
    <w:p w14:paraId="1EE00514" w14:textId="77777777" w:rsidR="00613F62" w:rsidRPr="00164238" w:rsidRDefault="00613F62" w:rsidP="007C3550">
      <w:pPr>
        <w:numPr>
          <w:ilvl w:val="0"/>
          <w:numId w:val="23"/>
        </w:numPr>
        <w:tabs>
          <w:tab w:val="left" w:pos="2097"/>
        </w:tabs>
        <w:spacing w:line="276" w:lineRule="auto"/>
        <w:rPr>
          <w:rFonts w:ascii="Times New Roman" w:hAnsi="Times New Roman" w:cs="Times New Roman"/>
          <w:color w:val="000000" w:themeColor="text1"/>
        </w:rPr>
      </w:pPr>
      <w:r w:rsidRPr="00164238">
        <w:rPr>
          <w:rFonts w:ascii="Times New Roman" w:hAnsi="Times New Roman" w:cs="Times New Roman"/>
          <w:color w:val="000000" w:themeColor="text1"/>
        </w:rPr>
        <w:t>“China coronavirus: Vietnam flags likely human transmission case of father from Wuhan infecting son”, https://web.archive.org/web/20200214202429/https://www.scmp.com/week-asia/economics/article/ 3048017/china-coronavirus-vietnam-flags-likely-human-transmission-case .</w:t>
      </w:r>
    </w:p>
    <w:p w14:paraId="132F91C2" w14:textId="77777777" w:rsidR="00613F62" w:rsidRPr="00164238" w:rsidRDefault="00613F62" w:rsidP="007C3550">
      <w:pPr>
        <w:numPr>
          <w:ilvl w:val="0"/>
          <w:numId w:val="23"/>
        </w:numPr>
        <w:tabs>
          <w:tab w:val="left" w:pos="2097"/>
        </w:tabs>
        <w:spacing w:line="276" w:lineRule="auto"/>
        <w:rPr>
          <w:rFonts w:ascii="Times New Roman" w:hAnsi="Times New Roman" w:cs="Times New Roman"/>
          <w:color w:val="000000" w:themeColor="text1"/>
        </w:rPr>
      </w:pPr>
      <w:r w:rsidRPr="00164238">
        <w:rPr>
          <w:rFonts w:ascii="Times New Roman" w:hAnsi="Times New Roman" w:cs="Times New Roman"/>
          <w:color w:val="000000" w:themeColor="text1"/>
        </w:rPr>
        <w:t>“Die Rheinpfalz: Çin koronavirüsü gizledi.”, https://www.dw.com/tr/die-rheinpfalz-%C3%A7in-koron avir%C3%BCs%C3%BC-gizledi/a-52250431 .</w:t>
      </w:r>
    </w:p>
    <w:p w14:paraId="22F76983" w14:textId="77777777" w:rsidR="00613F62" w:rsidRPr="00164238" w:rsidRDefault="00613F62" w:rsidP="007C3550">
      <w:pPr>
        <w:numPr>
          <w:ilvl w:val="0"/>
          <w:numId w:val="23"/>
        </w:numPr>
        <w:tabs>
          <w:tab w:val="left" w:pos="2097"/>
        </w:tabs>
        <w:spacing w:line="276" w:lineRule="auto"/>
        <w:rPr>
          <w:rFonts w:ascii="Times New Roman" w:hAnsi="Times New Roman" w:cs="Times New Roman"/>
          <w:color w:val="000000" w:themeColor="text1"/>
        </w:rPr>
      </w:pPr>
      <w:r w:rsidRPr="00164238">
        <w:rPr>
          <w:rFonts w:ascii="Times New Roman" w:hAnsi="Times New Roman" w:cs="Times New Roman"/>
          <w:color w:val="000000" w:themeColor="text1"/>
        </w:rPr>
        <w:t>“Koronavirüs (COVID 19): İtalya ölü sayısında Çin'i geçti.”, https://www.bbc.com/turkce/haberlerdunya-51968693 .</w:t>
      </w:r>
    </w:p>
    <w:p w14:paraId="08979C9C" w14:textId="77777777" w:rsidR="00613F62" w:rsidRPr="00164238" w:rsidRDefault="00613F62" w:rsidP="007C3550">
      <w:pPr>
        <w:numPr>
          <w:ilvl w:val="0"/>
          <w:numId w:val="23"/>
        </w:numPr>
        <w:tabs>
          <w:tab w:val="left" w:pos="2097"/>
        </w:tabs>
        <w:spacing w:line="276" w:lineRule="auto"/>
        <w:rPr>
          <w:rFonts w:ascii="Times New Roman" w:hAnsi="Times New Roman" w:cs="Times New Roman"/>
          <w:color w:val="000000" w:themeColor="text1"/>
        </w:rPr>
      </w:pPr>
      <w:r w:rsidRPr="00164238">
        <w:rPr>
          <w:rFonts w:ascii="Times New Roman" w:hAnsi="Times New Roman" w:cs="Times New Roman"/>
          <w:color w:val="000000" w:themeColor="text1"/>
        </w:rPr>
        <w:t>“Koronavirüs balık pazarından çıkmadı mı? Çin bu bilgiyi sakladı mı? Son araştırmanın tezi farklı.”, https://tr.euronews.com/2020/01/31/koronavirus-salgin-balik-pazarindan-cikmadi-mi-cin-bu-bilgiyi-sakla di-mi-son-arastirma .</w:t>
      </w:r>
    </w:p>
    <w:p w14:paraId="3B5FD43B" w14:textId="77777777" w:rsidR="00613F62" w:rsidRPr="00A40273" w:rsidRDefault="00613F62" w:rsidP="007C3550">
      <w:pPr>
        <w:numPr>
          <w:ilvl w:val="0"/>
          <w:numId w:val="23"/>
        </w:numPr>
        <w:tabs>
          <w:tab w:val="left" w:pos="2097"/>
        </w:tabs>
        <w:spacing w:line="276" w:lineRule="auto"/>
        <w:rPr>
          <w:rFonts w:ascii="Times New Roman" w:hAnsi="Times New Roman" w:cs="Times New Roman"/>
          <w:color w:val="000000" w:themeColor="text1"/>
          <w:sz w:val="20"/>
          <w:szCs w:val="20"/>
        </w:rPr>
      </w:pPr>
      <w:r w:rsidRPr="00164238">
        <w:rPr>
          <w:rFonts w:ascii="Times New Roman" w:hAnsi="Times New Roman" w:cs="Times New Roman"/>
          <w:color w:val="000000" w:themeColor="text1"/>
        </w:rPr>
        <w:t>“Koronavirüs gerçekten Çin'deki bir laboratuvarda mı üretildi?”, https://www.dw.com/tr/koronavir%C 3%BCs-ger%C3%A7ekten-%C3%A7indeki-bir-</w:t>
      </w:r>
      <w:r w:rsidRPr="00A40273">
        <w:rPr>
          <w:rFonts w:ascii="Times New Roman" w:hAnsi="Times New Roman" w:cs="Times New Roman"/>
          <w:color w:val="000000" w:themeColor="text1"/>
          <w:sz w:val="20"/>
          <w:szCs w:val="20"/>
        </w:rPr>
        <w:t>laboratuvarda-m%C4%B1-%C3%BCretildi/a-53180703 .</w:t>
      </w:r>
    </w:p>
    <w:p w14:paraId="665DA0D1" w14:textId="77777777" w:rsidR="00613F62" w:rsidRPr="00A40273" w:rsidRDefault="00613F62" w:rsidP="007C3550">
      <w:pPr>
        <w:numPr>
          <w:ilvl w:val="0"/>
          <w:numId w:val="23"/>
        </w:numPr>
        <w:tabs>
          <w:tab w:val="left" w:pos="2097"/>
        </w:tabs>
        <w:spacing w:line="276" w:lineRule="auto"/>
        <w:rPr>
          <w:rFonts w:ascii="Times New Roman" w:hAnsi="Times New Roman" w:cs="Times New Roman"/>
          <w:color w:val="000000" w:themeColor="text1"/>
          <w:sz w:val="20"/>
          <w:szCs w:val="20"/>
        </w:rPr>
      </w:pPr>
      <w:r w:rsidRPr="00A40273">
        <w:rPr>
          <w:rFonts w:ascii="Times New Roman" w:hAnsi="Times New Roman" w:cs="Times New Roman"/>
          <w:color w:val="000000" w:themeColor="text1"/>
          <w:sz w:val="20"/>
          <w:szCs w:val="20"/>
        </w:rPr>
        <w:t xml:space="preserve">2020, Koronavirüs (Corona virüs) belirtileri nelerdir? Koronavirüs tedavisi nasıl olur? </w:t>
      </w:r>
      <w:hyperlink r:id="rId134" w:history="1">
        <w:r w:rsidRPr="00A40273">
          <w:rPr>
            <w:rStyle w:val="Balk1Char"/>
            <w:rFonts w:ascii="Times New Roman" w:eastAsiaTheme="minorHAnsi" w:hAnsi="Times New Roman" w:cs="Times New Roman"/>
            <w:color w:val="000000" w:themeColor="text1"/>
            <w:sz w:val="20"/>
            <w:szCs w:val="20"/>
          </w:rPr>
          <w:t>https://www.medicalpark.com.tr/coronavirus/hg-2287</w:t>
        </w:r>
      </w:hyperlink>
    </w:p>
    <w:p w14:paraId="30EF5369" w14:textId="77777777" w:rsidR="00613F62" w:rsidRPr="00A40273" w:rsidRDefault="00613F62" w:rsidP="007C3550">
      <w:pPr>
        <w:numPr>
          <w:ilvl w:val="0"/>
          <w:numId w:val="23"/>
        </w:numPr>
        <w:tabs>
          <w:tab w:val="left" w:pos="2097"/>
        </w:tabs>
        <w:spacing w:line="276" w:lineRule="auto"/>
        <w:rPr>
          <w:rFonts w:ascii="Times New Roman" w:hAnsi="Times New Roman" w:cs="Times New Roman"/>
          <w:color w:val="000000" w:themeColor="text1"/>
          <w:sz w:val="20"/>
          <w:szCs w:val="20"/>
        </w:rPr>
      </w:pPr>
      <w:r w:rsidRPr="00A40273">
        <w:rPr>
          <w:rFonts w:ascii="Times New Roman" w:hAnsi="Times New Roman" w:cs="Times New Roman"/>
          <w:color w:val="000000" w:themeColor="text1"/>
          <w:sz w:val="20"/>
          <w:szCs w:val="20"/>
        </w:rPr>
        <w:t xml:space="preserve"> 2020, COVID-19 (Coronavirus) </w:t>
      </w:r>
      <w:hyperlink r:id="rId135" w:history="1">
        <w:r w:rsidRPr="00A40273">
          <w:rPr>
            <w:rStyle w:val="Balk1Char"/>
            <w:rFonts w:ascii="Times New Roman" w:eastAsiaTheme="minorHAnsi" w:hAnsi="Times New Roman" w:cs="Times New Roman"/>
            <w:color w:val="000000" w:themeColor="text1"/>
            <w:sz w:val="20"/>
            <w:szCs w:val="20"/>
          </w:rPr>
          <w:t>https://www.fsai.ie/faq/coronavirus.html</w:t>
        </w:r>
      </w:hyperlink>
    </w:p>
    <w:p w14:paraId="685FA2AE" w14:textId="77777777" w:rsidR="00613F62" w:rsidRPr="00164238" w:rsidRDefault="00613F62" w:rsidP="007C3550">
      <w:pPr>
        <w:numPr>
          <w:ilvl w:val="0"/>
          <w:numId w:val="23"/>
        </w:numPr>
        <w:tabs>
          <w:tab w:val="left" w:pos="2097"/>
        </w:tabs>
        <w:spacing w:line="276" w:lineRule="auto"/>
        <w:rPr>
          <w:rFonts w:ascii="Times New Roman" w:hAnsi="Times New Roman" w:cs="Times New Roman"/>
          <w:color w:val="000000" w:themeColor="text1"/>
        </w:rPr>
      </w:pPr>
      <w:r w:rsidRPr="00A40273">
        <w:rPr>
          <w:rFonts w:ascii="Times New Roman" w:hAnsi="Times New Roman" w:cs="Times New Roman"/>
          <w:color w:val="000000" w:themeColor="text1"/>
          <w:sz w:val="20"/>
          <w:szCs w:val="20"/>
        </w:rPr>
        <w:t>Bernd S. Kamps, Christian Hoffmann ve diğerleri, (2020), COVID Reference, Edition 2020-3,</w:t>
      </w:r>
      <w:r w:rsidRPr="00164238">
        <w:rPr>
          <w:rFonts w:ascii="Times New Roman" w:hAnsi="Times New Roman" w:cs="Times New Roman"/>
          <w:color w:val="000000" w:themeColor="text1"/>
        </w:rPr>
        <w:t xml:space="preserve"> Germany, www.covidreference.com .</w:t>
      </w:r>
    </w:p>
    <w:p w14:paraId="37F0EE9D" w14:textId="77777777" w:rsidR="00613F62" w:rsidRPr="00164238" w:rsidRDefault="00613F62" w:rsidP="007C3550">
      <w:pPr>
        <w:numPr>
          <w:ilvl w:val="0"/>
          <w:numId w:val="23"/>
        </w:numPr>
        <w:tabs>
          <w:tab w:val="left" w:pos="2097"/>
        </w:tabs>
        <w:spacing w:line="276" w:lineRule="auto"/>
        <w:rPr>
          <w:rFonts w:ascii="Times New Roman" w:hAnsi="Times New Roman" w:cs="Times New Roman"/>
          <w:color w:val="000000" w:themeColor="text1"/>
        </w:rPr>
      </w:pPr>
      <w:r w:rsidRPr="00164238">
        <w:rPr>
          <w:rFonts w:ascii="Times New Roman" w:hAnsi="Times New Roman" w:cs="Times New Roman"/>
          <w:color w:val="000000" w:themeColor="text1"/>
        </w:rPr>
        <w:t>Buzgan, T. ve Güner, Ö., (2020), Dünya Sağlık Örgütü’nün pandemilerdeki etkinliği ve post-pandemik dönemdeki geleceği, Küresel Salgının Anatomisi: İnsan ve Toplumun Geleceği, Ankara: TÜBA – Türkiye Bilimler Akademisi, ss. 141-143.</w:t>
      </w:r>
    </w:p>
    <w:p w14:paraId="30FECB1D" w14:textId="77777777" w:rsidR="00613F62" w:rsidRPr="00164238" w:rsidRDefault="00613F62" w:rsidP="007C3550">
      <w:pPr>
        <w:numPr>
          <w:ilvl w:val="0"/>
          <w:numId w:val="23"/>
        </w:numPr>
        <w:tabs>
          <w:tab w:val="left" w:pos="2097"/>
        </w:tabs>
        <w:spacing w:line="276" w:lineRule="auto"/>
        <w:rPr>
          <w:rFonts w:ascii="Times New Roman" w:hAnsi="Times New Roman" w:cs="Times New Roman"/>
          <w:color w:val="000000" w:themeColor="text1"/>
        </w:rPr>
      </w:pPr>
      <w:r w:rsidRPr="00164238">
        <w:rPr>
          <w:rFonts w:ascii="Times New Roman" w:hAnsi="Times New Roman" w:cs="Times New Roman"/>
          <w:color w:val="000000" w:themeColor="text1"/>
        </w:rPr>
        <w:t>Clark, P., (2009), European cities and towns 400-2000, New York: Oxford University Press, s. 35.</w:t>
      </w:r>
    </w:p>
    <w:p w14:paraId="39C2D55A" w14:textId="77777777" w:rsidR="00613F62" w:rsidRPr="00164238" w:rsidRDefault="00613F62" w:rsidP="007C3550">
      <w:pPr>
        <w:numPr>
          <w:ilvl w:val="0"/>
          <w:numId w:val="23"/>
        </w:numPr>
        <w:tabs>
          <w:tab w:val="left" w:pos="2097"/>
        </w:tabs>
        <w:spacing w:line="276" w:lineRule="auto"/>
        <w:rPr>
          <w:rFonts w:ascii="Times New Roman" w:hAnsi="Times New Roman" w:cs="Times New Roman"/>
          <w:color w:val="000000" w:themeColor="text1"/>
        </w:rPr>
      </w:pPr>
      <w:r w:rsidRPr="00164238">
        <w:rPr>
          <w:rFonts w:ascii="Times New Roman" w:hAnsi="Times New Roman" w:cs="Times New Roman"/>
          <w:color w:val="000000" w:themeColor="text1"/>
        </w:rPr>
        <w:t xml:space="preserve">COVID-19 Danışma ve İzleme Kurulu, (2020), “COVID-19 Pandemisi İki Aylık Değerlendirme Raporu”, Türk Tabipler Birliği, s. 16. </w:t>
      </w:r>
    </w:p>
    <w:p w14:paraId="027FB1EB" w14:textId="77777777" w:rsidR="00613F62" w:rsidRPr="00164238" w:rsidRDefault="00613F62" w:rsidP="007C3550">
      <w:pPr>
        <w:numPr>
          <w:ilvl w:val="0"/>
          <w:numId w:val="23"/>
        </w:numPr>
        <w:tabs>
          <w:tab w:val="left" w:pos="2097"/>
        </w:tabs>
        <w:spacing w:line="276" w:lineRule="auto"/>
        <w:rPr>
          <w:rFonts w:ascii="Times New Roman" w:hAnsi="Times New Roman" w:cs="Times New Roman"/>
          <w:color w:val="000000" w:themeColor="text1"/>
        </w:rPr>
      </w:pPr>
      <w:r w:rsidRPr="00164238">
        <w:rPr>
          <w:rFonts w:ascii="Times New Roman" w:hAnsi="Times New Roman" w:cs="Times New Roman"/>
          <w:color w:val="000000" w:themeColor="text1"/>
        </w:rPr>
        <w:t>COVID-19 Danışma ve İzleme Kurulu, (2020), “COVID-19 Pandemisi İki Aylık Değerlendirme Raporu”, Türk Tabipler Birliği, s. 16. 94 “Timeline: WHO's COVID-19 response”, https://www.who.int/emergencies/diseases/novel-coronavirus -2019/interactive-timeline#event-42 .</w:t>
      </w:r>
    </w:p>
    <w:p w14:paraId="77D93E23" w14:textId="77777777" w:rsidR="00613F62" w:rsidRPr="00164238" w:rsidRDefault="00613F62" w:rsidP="007C3550">
      <w:pPr>
        <w:numPr>
          <w:ilvl w:val="0"/>
          <w:numId w:val="23"/>
        </w:numPr>
        <w:tabs>
          <w:tab w:val="left" w:pos="2097"/>
        </w:tabs>
        <w:spacing w:line="276" w:lineRule="auto"/>
        <w:rPr>
          <w:rFonts w:ascii="Times New Roman" w:hAnsi="Times New Roman" w:cs="Times New Roman"/>
          <w:color w:val="000000" w:themeColor="text1"/>
        </w:rPr>
      </w:pPr>
      <w:r w:rsidRPr="00164238">
        <w:rPr>
          <w:rFonts w:ascii="Times New Roman" w:hAnsi="Times New Roman" w:cs="Times New Roman"/>
          <w:color w:val="000000" w:themeColor="text1"/>
        </w:rPr>
        <w:t xml:space="preserve">COVID-19 Danışma ve İzleme Kurulu, (2020), “COVID-19 Pandemisi İki Aylık Değerlendirme Raporu”, Türk Tabipler Birliği, s. 16. </w:t>
      </w:r>
    </w:p>
    <w:p w14:paraId="6431C6A4" w14:textId="77777777" w:rsidR="00613F62" w:rsidRPr="00164238" w:rsidRDefault="00613F62" w:rsidP="007C3550">
      <w:pPr>
        <w:numPr>
          <w:ilvl w:val="0"/>
          <w:numId w:val="23"/>
        </w:numPr>
        <w:tabs>
          <w:tab w:val="left" w:pos="2097"/>
        </w:tabs>
        <w:spacing w:line="276" w:lineRule="auto"/>
        <w:rPr>
          <w:rFonts w:ascii="Times New Roman" w:hAnsi="Times New Roman" w:cs="Times New Roman"/>
          <w:color w:val="000000" w:themeColor="text1"/>
        </w:rPr>
      </w:pPr>
      <w:r w:rsidRPr="00164238">
        <w:rPr>
          <w:rFonts w:ascii="Times New Roman" w:hAnsi="Times New Roman" w:cs="Times New Roman"/>
          <w:color w:val="000000" w:themeColor="text1"/>
        </w:rPr>
        <w:lastRenderedPageBreak/>
        <w:t>COVID-19 response measures in the Republic of Azerbaijan (2020).</w:t>
      </w:r>
    </w:p>
    <w:p w14:paraId="649E7125" w14:textId="77777777" w:rsidR="00613F62" w:rsidRPr="00164238" w:rsidRDefault="00613F62" w:rsidP="007C3550">
      <w:pPr>
        <w:numPr>
          <w:ilvl w:val="0"/>
          <w:numId w:val="23"/>
        </w:numPr>
        <w:tabs>
          <w:tab w:val="left" w:pos="2097"/>
        </w:tabs>
        <w:spacing w:line="276" w:lineRule="auto"/>
        <w:rPr>
          <w:rFonts w:ascii="Times New Roman" w:hAnsi="Times New Roman" w:cs="Times New Roman"/>
          <w:color w:val="000000" w:themeColor="text1"/>
        </w:rPr>
      </w:pPr>
      <w:r w:rsidRPr="00164238">
        <w:rPr>
          <w:rFonts w:ascii="Times New Roman" w:hAnsi="Times New Roman" w:cs="Times New Roman"/>
          <w:color w:val="000000" w:themeColor="text1"/>
        </w:rPr>
        <w:t>International Labour Organisation - The impact of the COVID-19 pandemic on jobs and incomes in G20 economies (2020).</w:t>
      </w:r>
    </w:p>
    <w:p w14:paraId="2D67840A" w14:textId="77777777" w:rsidR="00613F62" w:rsidRPr="00164238" w:rsidRDefault="00613F62" w:rsidP="007C3550">
      <w:pPr>
        <w:numPr>
          <w:ilvl w:val="0"/>
          <w:numId w:val="23"/>
        </w:numPr>
        <w:tabs>
          <w:tab w:val="left" w:pos="2097"/>
        </w:tabs>
        <w:spacing w:line="276" w:lineRule="auto"/>
        <w:rPr>
          <w:rFonts w:ascii="Times New Roman" w:hAnsi="Times New Roman" w:cs="Times New Roman"/>
          <w:color w:val="000000" w:themeColor="text1"/>
        </w:rPr>
      </w:pPr>
      <w:r w:rsidRPr="00164238">
        <w:rPr>
          <w:rFonts w:ascii="Times New Roman" w:hAnsi="Times New Roman" w:cs="Times New Roman"/>
          <w:color w:val="000000" w:themeColor="text1"/>
        </w:rPr>
        <w:t>International Partnership for Human Rights and Baku Human Rights Club - HUMAN RIGHTS IMPACT ASSESSMENT OF THE STATE RESPONSE TO COVID-19 IN AZERBAIJAN (2020).</w:t>
      </w:r>
    </w:p>
    <w:p w14:paraId="7741472D" w14:textId="77777777" w:rsidR="00613F62" w:rsidRPr="00164238" w:rsidRDefault="00613F62" w:rsidP="007C3550">
      <w:pPr>
        <w:numPr>
          <w:ilvl w:val="0"/>
          <w:numId w:val="23"/>
        </w:numPr>
        <w:tabs>
          <w:tab w:val="left" w:pos="2097"/>
        </w:tabs>
        <w:spacing w:line="276" w:lineRule="auto"/>
        <w:rPr>
          <w:rFonts w:ascii="Times New Roman" w:hAnsi="Times New Roman" w:cs="Times New Roman"/>
          <w:color w:val="000000" w:themeColor="text1"/>
        </w:rPr>
      </w:pPr>
      <w:r w:rsidRPr="00164238">
        <w:rPr>
          <w:rFonts w:ascii="Times New Roman" w:hAnsi="Times New Roman" w:cs="Times New Roman"/>
          <w:color w:val="000000" w:themeColor="text1"/>
        </w:rPr>
        <w:t>Kılıç, O., (2020), Tarihte küresel salgın hastalıklar ve toplum hayatına etkileri, Küresel Salgının Anatomisi: İnsan ve Toplumun Geleceği, Ankara: TÜBA – Türkiye Bilimler Akademisi, s. 17, ss. 21-32.</w:t>
      </w:r>
    </w:p>
    <w:p w14:paraId="1E54777F" w14:textId="77777777" w:rsidR="00613F62" w:rsidRPr="00164238" w:rsidRDefault="00613F62" w:rsidP="007C3550">
      <w:pPr>
        <w:numPr>
          <w:ilvl w:val="0"/>
          <w:numId w:val="23"/>
        </w:numPr>
        <w:tabs>
          <w:tab w:val="left" w:pos="2097"/>
        </w:tabs>
        <w:spacing w:line="276" w:lineRule="auto"/>
        <w:rPr>
          <w:rFonts w:ascii="Times New Roman" w:hAnsi="Times New Roman" w:cs="Times New Roman"/>
          <w:color w:val="000000" w:themeColor="text1"/>
        </w:rPr>
      </w:pPr>
      <w:r w:rsidRPr="00164238">
        <w:rPr>
          <w:rFonts w:ascii="Times New Roman" w:hAnsi="Times New Roman" w:cs="Times New Roman"/>
          <w:color w:val="000000" w:themeColor="text1"/>
        </w:rPr>
        <w:t>PwC Legal Team - COVID-19 Azerbaijan Legal Guidebook Key issues to consider (2020)</w:t>
      </w:r>
    </w:p>
    <w:p w14:paraId="2978F737" w14:textId="77777777" w:rsidR="00613F62" w:rsidRPr="00A40273" w:rsidRDefault="00613F62" w:rsidP="007C3550">
      <w:pPr>
        <w:numPr>
          <w:ilvl w:val="0"/>
          <w:numId w:val="23"/>
        </w:numPr>
        <w:tabs>
          <w:tab w:val="left" w:pos="2097"/>
        </w:tabs>
        <w:spacing w:line="276" w:lineRule="auto"/>
        <w:rPr>
          <w:rFonts w:ascii="Times New Roman" w:hAnsi="Times New Roman" w:cs="Times New Roman"/>
          <w:color w:val="000000" w:themeColor="text1"/>
          <w:sz w:val="20"/>
          <w:szCs w:val="20"/>
        </w:rPr>
      </w:pPr>
      <w:r w:rsidRPr="00164238">
        <w:rPr>
          <w:rFonts w:ascii="Times New Roman" w:hAnsi="Times New Roman" w:cs="Times New Roman"/>
          <w:color w:val="000000" w:themeColor="text1"/>
        </w:rPr>
        <w:t xml:space="preserve">UNDP - 2020 </w:t>
      </w:r>
      <w:r w:rsidRPr="00A40273">
        <w:rPr>
          <w:rFonts w:ascii="Times New Roman" w:hAnsi="Times New Roman" w:cs="Times New Roman"/>
          <w:color w:val="000000" w:themeColor="text1"/>
          <w:sz w:val="20"/>
          <w:szCs w:val="20"/>
        </w:rPr>
        <w:t>HUMAN DEVELOPMENT PERSPECTIVES, COVID-19 AND HUMAN DEVELOPMENT: Assessing the Crisis, Envisioning the Recovery (2020).</w:t>
      </w:r>
    </w:p>
    <w:p w14:paraId="20B0B5AD" w14:textId="77777777" w:rsidR="00613F62" w:rsidRPr="00A40273" w:rsidRDefault="00613F62" w:rsidP="007C3550">
      <w:pPr>
        <w:numPr>
          <w:ilvl w:val="0"/>
          <w:numId w:val="23"/>
        </w:numPr>
        <w:tabs>
          <w:tab w:val="left" w:pos="2097"/>
        </w:tabs>
        <w:spacing w:line="276" w:lineRule="auto"/>
        <w:rPr>
          <w:rFonts w:ascii="Times New Roman" w:hAnsi="Times New Roman" w:cs="Times New Roman"/>
          <w:color w:val="000000" w:themeColor="text1"/>
          <w:sz w:val="20"/>
          <w:szCs w:val="20"/>
        </w:rPr>
      </w:pPr>
      <w:r w:rsidRPr="00A40273">
        <w:rPr>
          <w:rFonts w:ascii="Times New Roman" w:hAnsi="Times New Roman" w:cs="Times New Roman"/>
          <w:color w:val="000000" w:themeColor="text1"/>
          <w:sz w:val="20"/>
          <w:szCs w:val="20"/>
        </w:rPr>
        <w:t>United Nations Publication – Impact of COVİD-19 Pandemic on Trade and Development</w:t>
      </w:r>
    </w:p>
    <w:p w14:paraId="36366645" w14:textId="77777777" w:rsidR="00613F62" w:rsidRPr="00A40273" w:rsidRDefault="00613F62" w:rsidP="007C3550">
      <w:pPr>
        <w:numPr>
          <w:ilvl w:val="0"/>
          <w:numId w:val="23"/>
        </w:numPr>
        <w:tabs>
          <w:tab w:val="left" w:pos="2097"/>
        </w:tabs>
        <w:spacing w:line="276" w:lineRule="auto"/>
        <w:rPr>
          <w:rFonts w:ascii="Times New Roman" w:hAnsi="Times New Roman" w:cs="Times New Roman"/>
          <w:color w:val="000000" w:themeColor="text1"/>
          <w:sz w:val="20"/>
          <w:szCs w:val="20"/>
        </w:rPr>
      </w:pPr>
      <w:r w:rsidRPr="00A40273">
        <w:rPr>
          <w:rFonts w:ascii="Times New Roman" w:hAnsi="Times New Roman" w:cs="Times New Roman"/>
          <w:color w:val="000000" w:themeColor="text1"/>
          <w:sz w:val="20"/>
          <w:szCs w:val="20"/>
        </w:rPr>
        <w:t xml:space="preserve">United States Center for Disease Control and Prevention (USCDC). 2020. Coronavirus Disease 2019 (COVID-19). </w:t>
      </w:r>
      <w:hyperlink r:id="rId136" w:history="1">
        <w:r w:rsidRPr="00A40273">
          <w:rPr>
            <w:rStyle w:val="Balk1Char"/>
            <w:rFonts w:ascii="Times New Roman" w:eastAsiaTheme="minorHAnsi" w:hAnsi="Times New Roman" w:cs="Times New Roman"/>
            <w:color w:val="000000" w:themeColor="text1"/>
            <w:sz w:val="20"/>
            <w:szCs w:val="20"/>
          </w:rPr>
          <w:t>https://www.cdc.gov/coronavirus/2019-ncov/dailylife-coping/food-and-COVID-19.html</w:t>
        </w:r>
      </w:hyperlink>
    </w:p>
    <w:p w14:paraId="5FFE3649" w14:textId="77777777" w:rsidR="00613F62" w:rsidRPr="00A40273" w:rsidRDefault="00613F62" w:rsidP="007C3550">
      <w:pPr>
        <w:numPr>
          <w:ilvl w:val="0"/>
          <w:numId w:val="23"/>
        </w:numPr>
        <w:tabs>
          <w:tab w:val="left" w:pos="2097"/>
        </w:tabs>
        <w:spacing w:line="276" w:lineRule="auto"/>
        <w:rPr>
          <w:rFonts w:ascii="Times New Roman" w:hAnsi="Times New Roman" w:cs="Times New Roman"/>
          <w:color w:val="000000" w:themeColor="text1"/>
          <w:sz w:val="20"/>
          <w:szCs w:val="20"/>
        </w:rPr>
      </w:pPr>
      <w:r w:rsidRPr="00A40273">
        <w:rPr>
          <w:rFonts w:ascii="Times New Roman" w:hAnsi="Times New Roman" w:cs="Times New Roman"/>
          <w:color w:val="000000" w:themeColor="text1"/>
          <w:sz w:val="20"/>
          <w:szCs w:val="20"/>
        </w:rPr>
        <w:t>WHO (World Health Organization). 2021 Coronavirus disease 2019 (COVID-19) Situation Report</w:t>
      </w:r>
      <w:hyperlink r:id="rId137" w:history="1">
        <w:r w:rsidRPr="00A40273">
          <w:rPr>
            <w:rStyle w:val="Balk1Char"/>
            <w:rFonts w:ascii="Times New Roman" w:eastAsiaTheme="minorHAnsi" w:hAnsi="Times New Roman" w:cs="Times New Roman"/>
            <w:color w:val="000000" w:themeColor="text1"/>
            <w:sz w:val="20"/>
            <w:szCs w:val="20"/>
          </w:rPr>
          <w:t>https://covid19.who.int/table</w:t>
        </w:r>
      </w:hyperlink>
    </w:p>
    <w:p w14:paraId="36758AD4" w14:textId="77777777" w:rsidR="00613F62" w:rsidRPr="00A40273" w:rsidRDefault="00613F62" w:rsidP="007C3550">
      <w:pPr>
        <w:numPr>
          <w:ilvl w:val="0"/>
          <w:numId w:val="23"/>
        </w:numPr>
        <w:tabs>
          <w:tab w:val="left" w:pos="2097"/>
        </w:tabs>
        <w:spacing w:line="276" w:lineRule="auto"/>
        <w:rPr>
          <w:rFonts w:ascii="Times New Roman" w:hAnsi="Times New Roman" w:cs="Times New Roman"/>
          <w:color w:val="000000" w:themeColor="text1"/>
          <w:sz w:val="20"/>
          <w:szCs w:val="20"/>
        </w:rPr>
      </w:pPr>
      <w:r w:rsidRPr="00A40273">
        <w:rPr>
          <w:rFonts w:ascii="Times New Roman" w:hAnsi="Times New Roman" w:cs="Times New Roman"/>
          <w:color w:val="000000" w:themeColor="text1"/>
          <w:sz w:val="20"/>
          <w:szCs w:val="20"/>
        </w:rPr>
        <w:t>President.az</w:t>
      </w:r>
    </w:p>
    <w:p w14:paraId="565BA79A" w14:textId="77777777" w:rsidR="00613F62" w:rsidRPr="00A40273" w:rsidRDefault="00613F62" w:rsidP="007C3550">
      <w:pPr>
        <w:numPr>
          <w:ilvl w:val="0"/>
          <w:numId w:val="23"/>
        </w:numPr>
        <w:tabs>
          <w:tab w:val="left" w:pos="2097"/>
        </w:tabs>
        <w:spacing w:line="276" w:lineRule="auto"/>
        <w:rPr>
          <w:rFonts w:ascii="Times New Roman" w:hAnsi="Times New Roman" w:cs="Times New Roman"/>
          <w:color w:val="000000" w:themeColor="text1"/>
          <w:sz w:val="20"/>
          <w:szCs w:val="20"/>
        </w:rPr>
      </w:pPr>
      <w:r w:rsidRPr="00A40273">
        <w:rPr>
          <w:rFonts w:ascii="Times New Roman" w:hAnsi="Times New Roman" w:cs="Times New Roman"/>
          <w:color w:val="000000" w:themeColor="text1"/>
          <w:sz w:val="20"/>
          <w:szCs w:val="20"/>
        </w:rPr>
        <w:t>https://nk.gov.az//az/</w:t>
      </w:r>
    </w:p>
    <w:p w14:paraId="1539AED1" w14:textId="77777777" w:rsidR="00613F62" w:rsidRPr="00A40273" w:rsidRDefault="00613F62" w:rsidP="007C3550">
      <w:pPr>
        <w:numPr>
          <w:ilvl w:val="0"/>
          <w:numId w:val="23"/>
        </w:numPr>
        <w:tabs>
          <w:tab w:val="left" w:pos="2097"/>
        </w:tabs>
        <w:spacing w:line="276" w:lineRule="auto"/>
        <w:rPr>
          <w:rFonts w:ascii="Times New Roman" w:hAnsi="Times New Roman" w:cs="Times New Roman"/>
          <w:color w:val="000000" w:themeColor="text1"/>
          <w:sz w:val="20"/>
          <w:szCs w:val="20"/>
        </w:rPr>
      </w:pPr>
      <w:r w:rsidRPr="00A40273">
        <w:rPr>
          <w:rFonts w:ascii="Times New Roman" w:hAnsi="Times New Roman" w:cs="Times New Roman"/>
          <w:color w:val="000000" w:themeColor="text1"/>
          <w:sz w:val="20"/>
          <w:szCs w:val="20"/>
        </w:rPr>
        <w:t>https://koronavirusinfo.az/az</w:t>
      </w:r>
    </w:p>
    <w:p w14:paraId="60F442AB" w14:textId="77777777" w:rsidR="00613F62" w:rsidRPr="00A40273" w:rsidRDefault="00613F62" w:rsidP="007C3550">
      <w:pPr>
        <w:numPr>
          <w:ilvl w:val="0"/>
          <w:numId w:val="23"/>
        </w:numPr>
        <w:tabs>
          <w:tab w:val="left" w:pos="2097"/>
        </w:tabs>
        <w:spacing w:line="276" w:lineRule="auto"/>
        <w:rPr>
          <w:rFonts w:ascii="Times New Roman" w:hAnsi="Times New Roman" w:cs="Times New Roman"/>
          <w:color w:val="000000" w:themeColor="text1"/>
          <w:sz w:val="20"/>
          <w:szCs w:val="20"/>
        </w:rPr>
      </w:pPr>
      <w:r w:rsidRPr="00A40273">
        <w:rPr>
          <w:rFonts w:ascii="Times New Roman" w:hAnsi="Times New Roman" w:cs="Times New Roman"/>
          <w:color w:val="000000" w:themeColor="text1"/>
          <w:sz w:val="20"/>
          <w:szCs w:val="20"/>
        </w:rPr>
        <w:t>https://its.gov.az</w:t>
      </w:r>
    </w:p>
    <w:p w14:paraId="15AE838C" w14:textId="77777777" w:rsidR="00613F62" w:rsidRPr="00A40273" w:rsidRDefault="00613F62" w:rsidP="007C3550">
      <w:pPr>
        <w:numPr>
          <w:ilvl w:val="0"/>
          <w:numId w:val="23"/>
        </w:numPr>
        <w:tabs>
          <w:tab w:val="left" w:pos="2097"/>
        </w:tabs>
        <w:spacing w:line="276" w:lineRule="auto"/>
        <w:rPr>
          <w:rFonts w:ascii="Times New Roman" w:hAnsi="Times New Roman" w:cs="Times New Roman"/>
          <w:color w:val="000000" w:themeColor="text1"/>
          <w:sz w:val="20"/>
          <w:szCs w:val="20"/>
        </w:rPr>
      </w:pPr>
      <w:r w:rsidRPr="00A40273">
        <w:rPr>
          <w:rFonts w:ascii="Times New Roman" w:hAnsi="Times New Roman" w:cs="Times New Roman"/>
          <w:color w:val="000000" w:themeColor="text1"/>
          <w:sz w:val="20"/>
          <w:szCs w:val="20"/>
        </w:rPr>
        <w:t>https://azertag.az</w:t>
      </w:r>
    </w:p>
    <w:p w14:paraId="62F95B23" w14:textId="77777777" w:rsidR="00613F62" w:rsidRPr="00A40273" w:rsidRDefault="00613F62" w:rsidP="007C3550">
      <w:pPr>
        <w:numPr>
          <w:ilvl w:val="0"/>
          <w:numId w:val="23"/>
        </w:numPr>
        <w:tabs>
          <w:tab w:val="left" w:pos="2097"/>
        </w:tabs>
        <w:spacing w:line="276" w:lineRule="auto"/>
        <w:rPr>
          <w:rFonts w:ascii="Times New Roman" w:hAnsi="Times New Roman" w:cs="Times New Roman"/>
          <w:color w:val="000000" w:themeColor="text1"/>
          <w:sz w:val="20"/>
          <w:szCs w:val="20"/>
        </w:rPr>
      </w:pPr>
      <w:r w:rsidRPr="00A40273">
        <w:rPr>
          <w:rFonts w:ascii="Times New Roman" w:hAnsi="Times New Roman" w:cs="Times New Roman"/>
          <w:color w:val="000000" w:themeColor="text1"/>
          <w:sz w:val="20"/>
          <w:szCs w:val="20"/>
        </w:rPr>
        <w:t>http://www.sehiyye.gov.az</w:t>
      </w:r>
    </w:p>
    <w:p w14:paraId="7B7C2C93" w14:textId="52318A9A" w:rsidR="006E095D" w:rsidRPr="00A40273" w:rsidRDefault="006E095D" w:rsidP="00F17FEC">
      <w:pPr>
        <w:spacing w:before="120" w:after="120" w:line="360" w:lineRule="auto"/>
        <w:jc w:val="both"/>
        <w:rPr>
          <w:rFonts w:ascii="Times New Roman" w:hAnsi="Times New Roman" w:cs="Times New Roman"/>
          <w:color w:val="000000" w:themeColor="text1"/>
          <w:sz w:val="20"/>
          <w:szCs w:val="20"/>
        </w:rPr>
      </w:pPr>
    </w:p>
    <w:p w14:paraId="519F2A4F" w14:textId="6226F5E9" w:rsidR="00613F62" w:rsidRPr="00A40273" w:rsidRDefault="00613F62" w:rsidP="00F17FEC">
      <w:pPr>
        <w:spacing w:before="120" w:after="120" w:line="360" w:lineRule="auto"/>
        <w:jc w:val="both"/>
        <w:rPr>
          <w:rFonts w:ascii="Times New Roman" w:hAnsi="Times New Roman" w:cs="Times New Roman"/>
          <w:color w:val="000000" w:themeColor="text1"/>
          <w:sz w:val="20"/>
          <w:szCs w:val="20"/>
        </w:rPr>
      </w:pPr>
    </w:p>
    <w:p w14:paraId="0BB4C3FD" w14:textId="30CF7A4E" w:rsidR="00613F62" w:rsidRPr="00A40273" w:rsidRDefault="00613F62" w:rsidP="00F17FEC">
      <w:pPr>
        <w:spacing w:before="120" w:after="120" w:line="360" w:lineRule="auto"/>
        <w:jc w:val="both"/>
        <w:rPr>
          <w:rFonts w:ascii="Times New Roman" w:hAnsi="Times New Roman" w:cs="Times New Roman"/>
          <w:color w:val="000000" w:themeColor="text1"/>
          <w:sz w:val="20"/>
          <w:szCs w:val="20"/>
        </w:rPr>
      </w:pPr>
    </w:p>
    <w:p w14:paraId="2293E16C" w14:textId="1E3BB2F8" w:rsidR="00613F62" w:rsidRPr="00164238" w:rsidRDefault="00613F62" w:rsidP="00F17FEC">
      <w:pPr>
        <w:spacing w:before="120" w:after="120" w:line="360" w:lineRule="auto"/>
        <w:jc w:val="both"/>
        <w:rPr>
          <w:rFonts w:ascii="Times New Roman" w:hAnsi="Times New Roman" w:cs="Times New Roman"/>
          <w:color w:val="000000" w:themeColor="text1"/>
        </w:rPr>
      </w:pPr>
    </w:p>
    <w:p w14:paraId="734D998D" w14:textId="03089EAD" w:rsidR="00613F62" w:rsidRPr="00164238" w:rsidRDefault="00613F62" w:rsidP="00F17FEC">
      <w:pPr>
        <w:spacing w:before="120" w:after="120" w:line="360" w:lineRule="auto"/>
        <w:jc w:val="both"/>
        <w:rPr>
          <w:rFonts w:ascii="Times New Roman" w:hAnsi="Times New Roman" w:cs="Times New Roman"/>
          <w:color w:val="000000" w:themeColor="text1"/>
        </w:rPr>
      </w:pPr>
    </w:p>
    <w:p w14:paraId="7CBC0E6A" w14:textId="5581E1DC" w:rsidR="00613F62" w:rsidRPr="00164238" w:rsidRDefault="00613F62" w:rsidP="00F17FEC">
      <w:pPr>
        <w:spacing w:before="120" w:after="120" w:line="360" w:lineRule="auto"/>
        <w:jc w:val="both"/>
        <w:rPr>
          <w:rFonts w:ascii="Times New Roman" w:hAnsi="Times New Roman" w:cs="Times New Roman"/>
          <w:color w:val="000000" w:themeColor="text1"/>
        </w:rPr>
      </w:pPr>
    </w:p>
    <w:p w14:paraId="72C28E4F" w14:textId="2CDA614A" w:rsidR="00613F62" w:rsidRPr="00164238" w:rsidRDefault="00613F62" w:rsidP="00F17FEC">
      <w:pPr>
        <w:spacing w:before="120" w:after="120" w:line="360" w:lineRule="auto"/>
        <w:jc w:val="both"/>
        <w:rPr>
          <w:rFonts w:ascii="Times New Roman" w:hAnsi="Times New Roman" w:cs="Times New Roman"/>
          <w:color w:val="000000" w:themeColor="text1"/>
        </w:rPr>
      </w:pPr>
    </w:p>
    <w:p w14:paraId="74FFF3B1" w14:textId="4220A2BB" w:rsidR="00A40273" w:rsidRDefault="00A40273">
      <w:pPr>
        <w:rPr>
          <w:rFonts w:ascii="Times New Roman" w:eastAsiaTheme="majorEastAsia" w:hAnsi="Times New Roman" w:cs="Times New Roman"/>
          <w:b/>
          <w:color w:val="000000" w:themeColor="text1"/>
          <w:sz w:val="24"/>
          <w:szCs w:val="24"/>
          <w:lang w:eastAsia="tr-TR"/>
        </w:rPr>
      </w:pPr>
    </w:p>
    <w:p w14:paraId="0FC8D8B8" w14:textId="2808CF28" w:rsidR="00C54BC9" w:rsidRPr="00164238" w:rsidRDefault="00EF4A33" w:rsidP="00EF4A33">
      <w:pPr>
        <w:pStyle w:val="Balk1"/>
        <w:rPr>
          <w:rFonts w:ascii="Times New Roman" w:hAnsi="Times New Roman" w:cs="Times New Roman"/>
          <w:b/>
          <w:color w:val="000000" w:themeColor="text1"/>
          <w:sz w:val="24"/>
          <w:szCs w:val="24"/>
        </w:rPr>
      </w:pPr>
      <w:bookmarkStart w:id="77" w:name="_Toc72961690"/>
      <w:r w:rsidRPr="00164238">
        <w:rPr>
          <w:rFonts w:ascii="Times New Roman" w:hAnsi="Times New Roman" w:cs="Times New Roman"/>
          <w:b/>
          <w:color w:val="000000" w:themeColor="text1"/>
          <w:sz w:val="24"/>
          <w:szCs w:val="24"/>
        </w:rPr>
        <w:t>IM</w:t>
      </w:r>
      <w:r w:rsidR="00C54BC9" w:rsidRPr="00164238">
        <w:rPr>
          <w:rFonts w:ascii="Times New Roman" w:hAnsi="Times New Roman" w:cs="Times New Roman"/>
          <w:b/>
          <w:color w:val="000000" w:themeColor="text1"/>
          <w:sz w:val="24"/>
          <w:szCs w:val="24"/>
        </w:rPr>
        <w:t>PACT OF COVID-19 PANDEMIC ON THE TURKISH INSURANCE INDUSTRY</w:t>
      </w:r>
      <w:bookmarkEnd w:id="77"/>
    </w:p>
    <w:p w14:paraId="56364679" w14:textId="77777777" w:rsidR="00EF4A33" w:rsidRPr="00164238" w:rsidRDefault="00EF4A33" w:rsidP="00EF4A33">
      <w:pPr>
        <w:pStyle w:val="Balk2"/>
        <w:rPr>
          <w:rFonts w:ascii="Times New Roman" w:eastAsia="Arial" w:hAnsi="Times New Roman" w:cs="Times New Roman"/>
          <w:b w:val="0"/>
          <w:i w:val="0"/>
          <w:color w:val="000000" w:themeColor="text1"/>
          <w:sz w:val="20"/>
          <w:szCs w:val="20"/>
        </w:rPr>
      </w:pPr>
      <w:bookmarkStart w:id="78" w:name="_Toc72961691"/>
      <w:r w:rsidRPr="00164238">
        <w:rPr>
          <w:rStyle w:val="Balk2Char"/>
          <w:rFonts w:ascii="Times New Roman" w:hAnsi="Times New Roman" w:cs="Times New Roman"/>
          <w:color w:val="000000" w:themeColor="text1"/>
          <w:sz w:val="20"/>
          <w:szCs w:val="20"/>
        </w:rPr>
        <w:t>Research Assist.Dr. Isıl GURBUZER YILDIRIM</w:t>
      </w:r>
      <w:r w:rsidRPr="00164238">
        <w:rPr>
          <w:rFonts w:ascii="Times New Roman" w:eastAsia="Arial" w:hAnsi="Times New Roman" w:cs="Times New Roman"/>
          <w:color w:val="000000" w:themeColor="text1"/>
          <w:sz w:val="20"/>
          <w:szCs w:val="20"/>
        </w:rPr>
        <w:t xml:space="preserve">, </w:t>
      </w:r>
      <w:r w:rsidRPr="00164238">
        <w:rPr>
          <w:rFonts w:ascii="Times New Roman" w:eastAsia="Arial" w:hAnsi="Times New Roman" w:cs="Times New Roman"/>
          <w:b w:val="0"/>
          <w:color w:val="000000" w:themeColor="text1"/>
          <w:sz w:val="20"/>
          <w:szCs w:val="20"/>
        </w:rPr>
        <w:t>Ankara Hacı Bayram Veli University, Banking and Insurance College, 06500, Ankara, Turkey</w:t>
      </w:r>
      <w:bookmarkEnd w:id="78"/>
    </w:p>
    <w:p w14:paraId="7B3A7269" w14:textId="77777777" w:rsidR="00EF4A33" w:rsidRPr="00164238" w:rsidRDefault="00EF4A33" w:rsidP="00EF4A33">
      <w:pPr>
        <w:jc w:val="both"/>
        <w:rPr>
          <w:rFonts w:ascii="Times New Roman" w:hAnsi="Times New Roman" w:cs="Times New Roman"/>
          <w:color w:val="000000" w:themeColor="text1"/>
          <w:sz w:val="20"/>
          <w:szCs w:val="20"/>
        </w:rPr>
      </w:pPr>
      <w:r w:rsidRPr="00164238">
        <w:rPr>
          <w:rFonts w:ascii="Times New Roman" w:eastAsia="Arial" w:hAnsi="Times New Roman" w:cs="Times New Roman"/>
          <w:i/>
          <w:color w:val="000000" w:themeColor="text1"/>
          <w:sz w:val="20"/>
          <w:szCs w:val="20"/>
        </w:rPr>
        <w:t>e-mail:</w:t>
      </w:r>
      <w:r w:rsidRPr="00164238">
        <w:rPr>
          <w:rFonts w:ascii="Times New Roman" w:eastAsia="Arial" w:hAnsi="Times New Roman" w:cs="Times New Roman"/>
          <w:color w:val="000000" w:themeColor="text1"/>
          <w:sz w:val="20"/>
          <w:szCs w:val="20"/>
          <w:u w:val="single"/>
        </w:rPr>
        <w:t>isil.gurbuzer@hbv.edu.tr</w:t>
      </w:r>
      <w:r w:rsidRPr="00164238">
        <w:rPr>
          <w:rFonts w:ascii="Times New Roman" w:eastAsia="Arial" w:hAnsi="Times New Roman" w:cs="Times New Roman"/>
          <w:i/>
          <w:color w:val="000000" w:themeColor="text1"/>
          <w:sz w:val="20"/>
          <w:szCs w:val="20"/>
        </w:rPr>
        <w:t xml:space="preserve"> ORCID ID: </w:t>
      </w:r>
      <w:hyperlink r:id="rId138" w:history="1">
        <w:r w:rsidRPr="00164238">
          <w:rPr>
            <w:rStyle w:val="Kpr"/>
            <w:rFonts w:ascii="Times New Roman" w:hAnsi="Times New Roman" w:cs="Times New Roman"/>
            <w:color w:val="000000" w:themeColor="text1"/>
            <w:sz w:val="20"/>
            <w:szCs w:val="20"/>
            <w:u w:val="none"/>
          </w:rPr>
          <w:t>0000-0002-6549-3091</w:t>
        </w:r>
      </w:hyperlink>
    </w:p>
    <w:p w14:paraId="14729F89" w14:textId="77777777" w:rsidR="00C54BC9" w:rsidRPr="00164238" w:rsidRDefault="00C54BC9" w:rsidP="00C54BC9">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 xml:space="preserve"> </w:t>
      </w:r>
    </w:p>
    <w:p w14:paraId="0C5F12EE" w14:textId="77777777" w:rsidR="00C54BC9" w:rsidRPr="00164238" w:rsidRDefault="00C54BC9" w:rsidP="00C54BC9">
      <w:pPr>
        <w:tabs>
          <w:tab w:val="left" w:pos="426"/>
        </w:tabs>
        <w:spacing w:before="120" w:after="120"/>
        <w:ind w:firstLine="567"/>
        <w:rPr>
          <w:rFonts w:ascii="Times New Roman" w:hAnsi="Times New Roman" w:cs="Times New Roman"/>
          <w:b/>
          <w:bCs/>
          <w:color w:val="000000" w:themeColor="text1"/>
        </w:rPr>
      </w:pPr>
      <w:r w:rsidRPr="00164238">
        <w:rPr>
          <w:rFonts w:ascii="Times New Roman" w:hAnsi="Times New Roman" w:cs="Times New Roman"/>
          <w:b/>
          <w:bCs/>
          <w:color w:val="000000" w:themeColor="text1"/>
        </w:rPr>
        <w:t xml:space="preserve">INTRODUCTION </w:t>
      </w:r>
    </w:p>
    <w:p w14:paraId="3665E4DE" w14:textId="77777777" w:rsidR="00C54BC9" w:rsidRPr="00164238" w:rsidRDefault="00C54BC9" w:rsidP="00C54BC9">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The insurance industry plays an important role in economically and psychologically stressful times by helping households and businesses manage their risks and prevent their losses. However, the insurance sector is one of the sectors most affected by crises in the markets due to its position in the financial markets.</w:t>
      </w:r>
    </w:p>
    <w:p w14:paraId="7E09D929" w14:textId="77777777" w:rsidR="00C54BC9" w:rsidRPr="00164238" w:rsidRDefault="00C54BC9" w:rsidP="00C54BC9">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Coronavirus (Covid-19), which is spreading rapidly all over the world, has affected and still affects lives, businesses and economies.</w:t>
      </w:r>
      <w:r w:rsidRPr="00164238">
        <w:rPr>
          <w:rFonts w:ascii="Times New Roman" w:hAnsi="Times New Roman" w:cs="Times New Roman"/>
          <w:color w:val="000000" w:themeColor="text1"/>
        </w:rPr>
        <w:t xml:space="preserve"> </w:t>
      </w:r>
      <w:r w:rsidRPr="00164238">
        <w:rPr>
          <w:rFonts w:ascii="Times New Roman" w:hAnsi="Times New Roman" w:cs="Times New Roman"/>
          <w:color w:val="000000" w:themeColor="text1"/>
          <w:lang w:val="fr-FR"/>
        </w:rPr>
        <w:t>The insurance industry has been affected by the covid-19 pandemic, like all other sectors.</w:t>
      </w:r>
      <w:r w:rsidRPr="00164238">
        <w:rPr>
          <w:rFonts w:ascii="Times New Roman" w:hAnsi="Times New Roman" w:cs="Times New Roman"/>
          <w:color w:val="000000" w:themeColor="text1"/>
        </w:rPr>
        <w:t xml:space="preserve"> </w:t>
      </w:r>
      <w:r w:rsidRPr="00164238">
        <w:rPr>
          <w:rFonts w:ascii="Times New Roman" w:hAnsi="Times New Roman" w:cs="Times New Roman"/>
          <w:color w:val="000000" w:themeColor="text1"/>
          <w:lang w:val="fr-FR"/>
        </w:rPr>
        <w:t>Crises should not always be perceived as negative (World Bank Group, 2020: 2). Every crisis period can be turned into an opportunity as long as it is managed successfully.</w:t>
      </w:r>
      <w:r w:rsidRPr="00164238">
        <w:rPr>
          <w:rFonts w:ascii="Times New Roman" w:hAnsi="Times New Roman" w:cs="Times New Roman"/>
          <w:color w:val="000000" w:themeColor="text1"/>
        </w:rPr>
        <w:t xml:space="preserve"> </w:t>
      </w:r>
      <w:r w:rsidRPr="00164238">
        <w:rPr>
          <w:rFonts w:ascii="Times New Roman" w:hAnsi="Times New Roman" w:cs="Times New Roman"/>
          <w:color w:val="000000" w:themeColor="text1"/>
          <w:lang w:val="fr-FR"/>
        </w:rPr>
        <w:t>If crises like pandemics are managed well, there may be times that can be turned into opportunities for insurance companies.</w:t>
      </w:r>
      <w:r w:rsidRPr="00164238">
        <w:rPr>
          <w:rFonts w:ascii="Times New Roman" w:hAnsi="Times New Roman" w:cs="Times New Roman"/>
          <w:color w:val="000000" w:themeColor="text1"/>
        </w:rPr>
        <w:t xml:space="preserve"> </w:t>
      </w:r>
      <w:r w:rsidRPr="00164238">
        <w:rPr>
          <w:rFonts w:ascii="Times New Roman" w:hAnsi="Times New Roman" w:cs="Times New Roman"/>
          <w:color w:val="000000" w:themeColor="text1"/>
          <w:lang w:val="fr-FR"/>
        </w:rPr>
        <w:t>Therefore, in the case of successful management of the Covid-19 pandemic for the insurance industry, its contributions to the sector can be stated as follows:</w:t>
      </w:r>
    </w:p>
    <w:p w14:paraId="5ADCE2CB" w14:textId="77777777" w:rsidR="00C54BC9" w:rsidRPr="00164238" w:rsidRDefault="00C54BC9" w:rsidP="007C3550">
      <w:pPr>
        <w:numPr>
          <w:ilvl w:val="0"/>
          <w:numId w:val="29"/>
        </w:numPr>
        <w:spacing w:before="120" w:after="120" w:line="276" w:lineRule="auto"/>
        <w:ind w:left="1224"/>
        <w:jc w:val="both"/>
        <w:rPr>
          <w:rFonts w:ascii="Times New Roman" w:hAnsi="Times New Roman" w:cs="Times New Roman"/>
          <w:color w:val="000000" w:themeColor="text1"/>
          <w:sz w:val="20"/>
          <w:lang w:val="fr-FR"/>
        </w:rPr>
      </w:pPr>
      <w:r w:rsidRPr="00164238">
        <w:rPr>
          <w:rFonts w:ascii="Times New Roman" w:hAnsi="Times New Roman" w:cs="Times New Roman"/>
          <w:color w:val="000000" w:themeColor="text1"/>
          <w:sz w:val="20"/>
          <w:lang w:val="fr-FR"/>
        </w:rPr>
        <w:t>To strengthen the trust of the policyholders in the insurance sector,</w:t>
      </w:r>
    </w:p>
    <w:p w14:paraId="66F56AF9" w14:textId="77777777" w:rsidR="00C54BC9" w:rsidRPr="00164238" w:rsidRDefault="00C54BC9" w:rsidP="007C3550">
      <w:pPr>
        <w:numPr>
          <w:ilvl w:val="0"/>
          <w:numId w:val="29"/>
        </w:numPr>
        <w:spacing w:before="120" w:after="120" w:line="276" w:lineRule="auto"/>
        <w:ind w:left="1224"/>
        <w:jc w:val="both"/>
        <w:rPr>
          <w:rFonts w:ascii="Times New Roman" w:hAnsi="Times New Roman" w:cs="Times New Roman"/>
          <w:color w:val="000000" w:themeColor="text1"/>
          <w:sz w:val="20"/>
          <w:lang w:val="fr-FR"/>
        </w:rPr>
      </w:pPr>
      <w:r w:rsidRPr="00164238">
        <w:rPr>
          <w:rFonts w:ascii="Times New Roman" w:hAnsi="Times New Roman" w:cs="Times New Roman"/>
          <w:color w:val="000000" w:themeColor="text1"/>
          <w:sz w:val="20"/>
          <w:lang w:val="fr-FR"/>
        </w:rPr>
        <w:t>Increasing the brand value of insurance companies,</w:t>
      </w:r>
    </w:p>
    <w:p w14:paraId="7015BB81" w14:textId="77777777" w:rsidR="00C54BC9" w:rsidRPr="00164238" w:rsidRDefault="00C54BC9" w:rsidP="007C3550">
      <w:pPr>
        <w:numPr>
          <w:ilvl w:val="0"/>
          <w:numId w:val="29"/>
        </w:numPr>
        <w:spacing w:before="120" w:after="120" w:line="276" w:lineRule="auto"/>
        <w:ind w:left="1224"/>
        <w:jc w:val="both"/>
        <w:rPr>
          <w:rFonts w:ascii="Times New Roman" w:hAnsi="Times New Roman" w:cs="Times New Roman"/>
          <w:color w:val="000000" w:themeColor="text1"/>
          <w:sz w:val="20"/>
          <w:lang w:val="fr-FR"/>
        </w:rPr>
      </w:pPr>
      <w:r w:rsidRPr="00164238">
        <w:rPr>
          <w:rFonts w:ascii="Times New Roman" w:hAnsi="Times New Roman" w:cs="Times New Roman"/>
          <w:color w:val="000000" w:themeColor="text1"/>
          <w:sz w:val="20"/>
          <w:lang w:val="fr-FR"/>
        </w:rPr>
        <w:t>Increasing insurance awareness among policyholders,</w:t>
      </w:r>
    </w:p>
    <w:p w14:paraId="0CC73708" w14:textId="77777777" w:rsidR="00C54BC9" w:rsidRPr="00164238" w:rsidRDefault="00C54BC9" w:rsidP="007C3550">
      <w:pPr>
        <w:numPr>
          <w:ilvl w:val="0"/>
          <w:numId w:val="29"/>
        </w:numPr>
        <w:spacing w:before="120" w:after="120" w:line="276" w:lineRule="auto"/>
        <w:ind w:left="1224"/>
        <w:jc w:val="both"/>
        <w:rPr>
          <w:rFonts w:ascii="Times New Roman" w:hAnsi="Times New Roman" w:cs="Times New Roman"/>
          <w:color w:val="000000" w:themeColor="text1"/>
          <w:sz w:val="20"/>
          <w:lang w:val="fr-FR"/>
        </w:rPr>
      </w:pPr>
      <w:r w:rsidRPr="00164238">
        <w:rPr>
          <w:rFonts w:ascii="Times New Roman" w:hAnsi="Times New Roman" w:cs="Times New Roman"/>
          <w:color w:val="000000" w:themeColor="text1"/>
          <w:sz w:val="20"/>
          <w:lang w:val="fr-FR"/>
        </w:rPr>
        <w:t>To ensure awareness of less known and preferred insurance branches such as critical illness insurances and cyber risk insurances,</w:t>
      </w:r>
    </w:p>
    <w:p w14:paraId="5196E86D" w14:textId="77777777" w:rsidR="00C54BC9" w:rsidRPr="00164238" w:rsidRDefault="00C54BC9" w:rsidP="007C3550">
      <w:pPr>
        <w:numPr>
          <w:ilvl w:val="0"/>
          <w:numId w:val="29"/>
        </w:numPr>
        <w:spacing w:before="120" w:after="120" w:line="276" w:lineRule="auto"/>
        <w:ind w:left="1224"/>
        <w:jc w:val="both"/>
        <w:rPr>
          <w:rFonts w:ascii="Times New Roman" w:hAnsi="Times New Roman" w:cs="Times New Roman"/>
          <w:color w:val="000000" w:themeColor="text1"/>
          <w:sz w:val="20"/>
          <w:lang w:val="fr-FR"/>
        </w:rPr>
      </w:pPr>
      <w:r w:rsidRPr="00164238">
        <w:rPr>
          <w:rFonts w:ascii="Times New Roman" w:hAnsi="Times New Roman" w:cs="Times New Roman"/>
          <w:color w:val="000000" w:themeColor="text1"/>
          <w:sz w:val="20"/>
          <w:lang w:val="fr-FR"/>
        </w:rPr>
        <w:t>Accelerating the transition to digitalization.</w:t>
      </w:r>
    </w:p>
    <w:p w14:paraId="255F721E" w14:textId="77777777" w:rsidR="00C54BC9" w:rsidRPr="00164238" w:rsidRDefault="00C54BC9" w:rsidP="00C54BC9">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As the Covid-19 epidemic started to affect industries, measures have been taken in many sectors.</w:t>
      </w:r>
      <w:r w:rsidRPr="00164238">
        <w:rPr>
          <w:rFonts w:ascii="Times New Roman" w:hAnsi="Times New Roman" w:cs="Times New Roman"/>
          <w:color w:val="000000" w:themeColor="text1"/>
        </w:rPr>
        <w:t xml:space="preserve"> </w:t>
      </w:r>
      <w:r w:rsidRPr="00164238">
        <w:rPr>
          <w:rFonts w:ascii="Times New Roman" w:hAnsi="Times New Roman" w:cs="Times New Roman"/>
          <w:color w:val="000000" w:themeColor="text1"/>
          <w:lang w:val="fr-FR"/>
        </w:rPr>
        <w:t>Similarly, there are measures taken in the insurance sector (Yong, 2020 : 5).</w:t>
      </w:r>
      <w:r w:rsidRPr="00164238">
        <w:rPr>
          <w:rFonts w:ascii="Times New Roman" w:hAnsi="Times New Roman" w:cs="Times New Roman"/>
          <w:color w:val="000000" w:themeColor="text1"/>
        </w:rPr>
        <w:t xml:space="preserve"> </w:t>
      </w:r>
      <w:r w:rsidRPr="00164238">
        <w:rPr>
          <w:rFonts w:ascii="Times New Roman" w:hAnsi="Times New Roman" w:cs="Times New Roman"/>
          <w:color w:val="000000" w:themeColor="text1"/>
          <w:lang w:val="fr-FR"/>
        </w:rPr>
        <w:t>Due to Covid-19 pandemic, T.R. Ministry of Treasury and Finance, General Directorate of Insurance, and Insurance Association of Turkey have regulated various precautionary measures and some facilities for companies in the insurance sector. Some of these measures are (</w:t>
      </w:r>
      <w:r w:rsidRPr="00164238">
        <w:rPr>
          <w:rFonts w:ascii="Times New Roman" w:hAnsi="Times New Roman" w:cs="Times New Roman"/>
          <w:color w:val="000000" w:themeColor="text1"/>
        </w:rPr>
        <w:t>Şenocak &amp; Karakaşlar, 2020: 2-3)</w:t>
      </w:r>
      <w:r w:rsidRPr="00164238">
        <w:rPr>
          <w:rFonts w:ascii="Times New Roman" w:hAnsi="Times New Roman" w:cs="Times New Roman"/>
          <w:color w:val="000000" w:themeColor="text1"/>
          <w:lang w:val="fr-FR"/>
        </w:rPr>
        <w:t>:</w:t>
      </w:r>
    </w:p>
    <w:p w14:paraId="59A9BE8A" w14:textId="77777777" w:rsidR="00C54BC9" w:rsidRPr="00164238" w:rsidRDefault="00C54BC9" w:rsidP="007C3550">
      <w:pPr>
        <w:numPr>
          <w:ilvl w:val="0"/>
          <w:numId w:val="28"/>
        </w:numPr>
        <w:spacing w:before="120" w:after="120" w:line="276" w:lineRule="auto"/>
        <w:ind w:left="1224"/>
        <w:jc w:val="both"/>
        <w:rPr>
          <w:rFonts w:ascii="Times New Roman" w:hAnsi="Times New Roman" w:cs="Times New Roman"/>
          <w:color w:val="000000" w:themeColor="text1"/>
          <w:sz w:val="20"/>
          <w:lang w:val="fr-FR"/>
        </w:rPr>
      </w:pPr>
      <w:r w:rsidRPr="00164238">
        <w:rPr>
          <w:rFonts w:ascii="Times New Roman" w:hAnsi="Times New Roman" w:cs="Times New Roman"/>
          <w:color w:val="000000" w:themeColor="text1"/>
          <w:sz w:val="20"/>
          <w:lang w:val="fr-FR"/>
        </w:rPr>
        <w:t>Performing expertise transactions remotely</w:t>
      </w:r>
    </w:p>
    <w:p w14:paraId="5FFFA593" w14:textId="77777777" w:rsidR="00C54BC9" w:rsidRPr="00164238" w:rsidRDefault="00C54BC9" w:rsidP="007C3550">
      <w:pPr>
        <w:numPr>
          <w:ilvl w:val="0"/>
          <w:numId w:val="28"/>
        </w:numPr>
        <w:spacing w:before="120" w:after="120" w:line="276" w:lineRule="auto"/>
        <w:ind w:left="1224"/>
        <w:jc w:val="both"/>
        <w:rPr>
          <w:rFonts w:ascii="Times New Roman" w:hAnsi="Times New Roman" w:cs="Times New Roman"/>
          <w:color w:val="000000" w:themeColor="text1"/>
          <w:sz w:val="20"/>
          <w:lang w:val="fr-FR"/>
        </w:rPr>
      </w:pPr>
      <w:r w:rsidRPr="00164238">
        <w:rPr>
          <w:rFonts w:ascii="Times New Roman" w:hAnsi="Times New Roman" w:cs="Times New Roman"/>
          <w:color w:val="000000" w:themeColor="text1"/>
          <w:sz w:val="20"/>
          <w:lang w:val="fr-FR"/>
        </w:rPr>
        <w:t>Renewal of traffic insurance policies</w:t>
      </w:r>
    </w:p>
    <w:p w14:paraId="6D7FD264" w14:textId="77777777" w:rsidR="00C54BC9" w:rsidRPr="00164238" w:rsidRDefault="00C54BC9" w:rsidP="007C3550">
      <w:pPr>
        <w:numPr>
          <w:ilvl w:val="0"/>
          <w:numId w:val="28"/>
        </w:numPr>
        <w:spacing w:before="120" w:after="120" w:line="276" w:lineRule="auto"/>
        <w:ind w:left="1224"/>
        <w:jc w:val="both"/>
        <w:rPr>
          <w:rFonts w:ascii="Times New Roman" w:hAnsi="Times New Roman" w:cs="Times New Roman"/>
          <w:color w:val="000000" w:themeColor="text1"/>
          <w:sz w:val="20"/>
          <w:lang w:val="fr-FR"/>
        </w:rPr>
      </w:pPr>
      <w:r w:rsidRPr="00164238">
        <w:rPr>
          <w:rFonts w:ascii="Times New Roman" w:hAnsi="Times New Roman" w:cs="Times New Roman"/>
          <w:color w:val="000000" w:themeColor="text1"/>
          <w:sz w:val="20"/>
          <w:lang w:val="fr-FR"/>
        </w:rPr>
        <w:t>Advice on facilitating the payment of insurance premiums</w:t>
      </w:r>
    </w:p>
    <w:p w14:paraId="5BB725EF" w14:textId="77777777" w:rsidR="00C54BC9" w:rsidRPr="00164238" w:rsidRDefault="00C54BC9" w:rsidP="007C3550">
      <w:pPr>
        <w:numPr>
          <w:ilvl w:val="0"/>
          <w:numId w:val="28"/>
        </w:numPr>
        <w:spacing w:before="120" w:after="120" w:line="276" w:lineRule="auto"/>
        <w:ind w:left="1224"/>
        <w:jc w:val="both"/>
        <w:rPr>
          <w:rFonts w:ascii="Times New Roman" w:hAnsi="Times New Roman" w:cs="Times New Roman"/>
          <w:color w:val="000000" w:themeColor="text1"/>
          <w:sz w:val="20"/>
          <w:lang w:val="fr-FR"/>
        </w:rPr>
      </w:pPr>
      <w:r w:rsidRPr="00164238">
        <w:rPr>
          <w:rFonts w:ascii="Times New Roman" w:hAnsi="Times New Roman" w:cs="Times New Roman"/>
          <w:color w:val="000000" w:themeColor="text1"/>
          <w:sz w:val="20"/>
          <w:lang w:val="fr-FR"/>
        </w:rPr>
        <w:t>Covid-19 Patients‘ Examination and Treatment Expenses</w:t>
      </w:r>
    </w:p>
    <w:p w14:paraId="1C373956" w14:textId="77777777" w:rsidR="00C54BC9" w:rsidRPr="00164238" w:rsidRDefault="00C54BC9" w:rsidP="007C3550">
      <w:pPr>
        <w:numPr>
          <w:ilvl w:val="0"/>
          <w:numId w:val="28"/>
        </w:numPr>
        <w:spacing w:before="120" w:after="120" w:line="276" w:lineRule="auto"/>
        <w:ind w:left="1224"/>
        <w:jc w:val="both"/>
        <w:rPr>
          <w:rFonts w:ascii="Times New Roman" w:hAnsi="Times New Roman" w:cs="Times New Roman"/>
          <w:color w:val="000000" w:themeColor="text1"/>
          <w:sz w:val="20"/>
          <w:lang w:val="fr-FR"/>
        </w:rPr>
      </w:pPr>
      <w:r w:rsidRPr="00164238">
        <w:rPr>
          <w:rFonts w:ascii="Times New Roman" w:hAnsi="Times New Roman" w:cs="Times New Roman"/>
          <w:color w:val="000000" w:themeColor="text1"/>
          <w:sz w:val="20"/>
          <w:lang w:val="fr-FR"/>
        </w:rPr>
        <w:t>New regulations in state-supported trade receivable insurance for SME’s</w:t>
      </w:r>
    </w:p>
    <w:p w14:paraId="0D9F6738" w14:textId="77777777" w:rsidR="00C54BC9" w:rsidRPr="00164238" w:rsidRDefault="00C54BC9" w:rsidP="00C54BC9">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lastRenderedPageBreak/>
        <w:t>In addition, insurance companies have tried to protect their customer portfolios with campaigns such as deferring down payment in many insurance branches, making gift payments for 3 months for a 12-month policy or starting premium payments after 3 months.</w:t>
      </w:r>
      <w:r w:rsidRPr="00164238">
        <w:rPr>
          <w:rFonts w:ascii="Times New Roman" w:hAnsi="Times New Roman" w:cs="Times New Roman"/>
          <w:color w:val="000000" w:themeColor="text1"/>
        </w:rPr>
        <w:t xml:space="preserve"> </w:t>
      </w:r>
      <w:r w:rsidRPr="00164238">
        <w:rPr>
          <w:rFonts w:ascii="Times New Roman" w:hAnsi="Times New Roman" w:cs="Times New Roman"/>
          <w:color w:val="000000" w:themeColor="text1"/>
          <w:lang w:val="fr-FR"/>
        </w:rPr>
        <w:t>Although the impacts of the pandemic are still continuing, more accurate interpretations can be made about the impacts of the pandemic on the insurance sector with the available data, since more than a year has passed.</w:t>
      </w:r>
      <w:r w:rsidRPr="00164238">
        <w:rPr>
          <w:rFonts w:ascii="Times New Roman" w:hAnsi="Times New Roman" w:cs="Times New Roman"/>
          <w:color w:val="000000" w:themeColor="text1"/>
        </w:rPr>
        <w:t xml:space="preserve"> </w:t>
      </w:r>
      <w:r w:rsidRPr="00164238">
        <w:rPr>
          <w:rFonts w:ascii="Times New Roman" w:hAnsi="Times New Roman" w:cs="Times New Roman"/>
          <w:color w:val="000000" w:themeColor="text1"/>
          <w:lang w:val="fr-FR"/>
        </w:rPr>
        <w:t>Knowing the important dates in the one-year period of Covid-19 makes it more meaningful to evaluate the impacts of the pandemic on the insurance sector, such as the premiums and claims generated on the basis of insurance branches, the financial status of insurance companies, and the entry-exit of the participants in the private pension system.</w:t>
      </w:r>
    </w:p>
    <w:p w14:paraId="3747940E" w14:textId="77777777" w:rsidR="00C54BC9" w:rsidRPr="00164238" w:rsidRDefault="00C54BC9" w:rsidP="00C54BC9">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 xml:space="preserve">Some important </w:t>
      </w:r>
      <w:r w:rsidRPr="00164238">
        <w:rPr>
          <w:rFonts w:ascii="Times New Roman" w:hAnsi="Times New Roman" w:cs="Times New Roman"/>
          <w:color w:val="000000" w:themeColor="text1"/>
        </w:rPr>
        <w:t>dates</w:t>
      </w:r>
      <w:r w:rsidRPr="00164238">
        <w:rPr>
          <w:rFonts w:ascii="Times New Roman" w:hAnsi="Times New Roman" w:cs="Times New Roman"/>
          <w:color w:val="000000" w:themeColor="text1"/>
          <w:lang w:val="fr-FR"/>
        </w:rPr>
        <w:t>:</w:t>
      </w:r>
    </w:p>
    <w:p w14:paraId="5007A637" w14:textId="77777777" w:rsidR="00C54BC9" w:rsidRPr="00164238" w:rsidRDefault="00C54BC9" w:rsidP="007C3550">
      <w:pPr>
        <w:numPr>
          <w:ilvl w:val="0"/>
          <w:numId w:val="27"/>
        </w:numPr>
        <w:spacing w:before="120" w:after="120" w:line="276" w:lineRule="auto"/>
        <w:ind w:left="1224"/>
        <w:jc w:val="both"/>
        <w:rPr>
          <w:rFonts w:ascii="Times New Roman" w:hAnsi="Times New Roman" w:cs="Times New Roman"/>
          <w:color w:val="000000" w:themeColor="text1"/>
          <w:sz w:val="20"/>
          <w:lang w:val="fr-FR"/>
        </w:rPr>
      </w:pPr>
      <w:r w:rsidRPr="00164238">
        <w:rPr>
          <w:rFonts w:ascii="Times New Roman" w:hAnsi="Times New Roman" w:cs="Times New Roman"/>
          <w:color w:val="000000" w:themeColor="text1"/>
          <w:sz w:val="20"/>
          <w:lang w:val="fr-FR"/>
        </w:rPr>
        <w:t>31 December 2019: China's declaration of the cases to the World Health Organization (WHO, 2020)</w:t>
      </w:r>
    </w:p>
    <w:p w14:paraId="5080709C" w14:textId="77777777" w:rsidR="00C54BC9" w:rsidRPr="00164238" w:rsidRDefault="00C54BC9" w:rsidP="007C3550">
      <w:pPr>
        <w:numPr>
          <w:ilvl w:val="0"/>
          <w:numId w:val="27"/>
        </w:numPr>
        <w:spacing w:before="120" w:after="120" w:line="276" w:lineRule="auto"/>
        <w:ind w:left="1224"/>
        <w:jc w:val="both"/>
        <w:rPr>
          <w:rFonts w:ascii="Times New Roman" w:hAnsi="Times New Roman" w:cs="Times New Roman"/>
          <w:color w:val="000000" w:themeColor="text1"/>
          <w:sz w:val="20"/>
          <w:lang w:val="fr-FR"/>
        </w:rPr>
      </w:pPr>
      <w:r w:rsidRPr="00164238">
        <w:rPr>
          <w:rFonts w:ascii="Times New Roman" w:hAnsi="Times New Roman" w:cs="Times New Roman"/>
          <w:color w:val="000000" w:themeColor="text1"/>
          <w:sz w:val="20"/>
          <w:lang w:val="fr-FR"/>
        </w:rPr>
        <w:t>28 January 2020: First restriction of flights to China (by British Airways)</w:t>
      </w:r>
    </w:p>
    <w:p w14:paraId="6A6CE856" w14:textId="77777777" w:rsidR="00C54BC9" w:rsidRPr="00164238" w:rsidRDefault="00C54BC9" w:rsidP="007C3550">
      <w:pPr>
        <w:numPr>
          <w:ilvl w:val="0"/>
          <w:numId w:val="27"/>
        </w:numPr>
        <w:spacing w:before="120" w:after="120" w:line="276" w:lineRule="auto"/>
        <w:ind w:left="1224"/>
        <w:jc w:val="both"/>
        <w:rPr>
          <w:rFonts w:ascii="Times New Roman" w:hAnsi="Times New Roman" w:cs="Times New Roman"/>
          <w:color w:val="000000" w:themeColor="text1"/>
          <w:sz w:val="20"/>
          <w:lang w:val="fr-FR"/>
        </w:rPr>
      </w:pPr>
      <w:r w:rsidRPr="00164238">
        <w:rPr>
          <w:rFonts w:ascii="Times New Roman" w:hAnsi="Times New Roman" w:cs="Times New Roman"/>
          <w:color w:val="000000" w:themeColor="text1"/>
          <w:sz w:val="20"/>
          <w:lang w:val="fr-FR"/>
        </w:rPr>
        <w:t>11 March 2020: Declaration of COVID-19 as pandemic by World Health Organization and occurrence of the first cases in Turkey</w:t>
      </w:r>
    </w:p>
    <w:p w14:paraId="6F1A1902" w14:textId="77777777" w:rsidR="00C54BC9" w:rsidRPr="00164238" w:rsidRDefault="00C54BC9" w:rsidP="007C3550">
      <w:pPr>
        <w:numPr>
          <w:ilvl w:val="0"/>
          <w:numId w:val="27"/>
        </w:numPr>
        <w:spacing w:before="120" w:after="120" w:line="276" w:lineRule="auto"/>
        <w:ind w:left="1224"/>
        <w:jc w:val="both"/>
        <w:rPr>
          <w:rFonts w:ascii="Times New Roman" w:hAnsi="Times New Roman" w:cs="Times New Roman"/>
          <w:color w:val="000000" w:themeColor="text1"/>
          <w:sz w:val="20"/>
          <w:lang w:val="fr-FR"/>
        </w:rPr>
      </w:pPr>
      <w:r w:rsidRPr="00164238">
        <w:rPr>
          <w:rFonts w:ascii="Times New Roman" w:hAnsi="Times New Roman" w:cs="Times New Roman"/>
          <w:color w:val="000000" w:themeColor="text1"/>
          <w:sz w:val="20"/>
          <w:lang w:val="fr-FR"/>
        </w:rPr>
        <w:t xml:space="preserve">11 April 2020: Declaration of the first curfew </w:t>
      </w:r>
    </w:p>
    <w:p w14:paraId="573E65E6" w14:textId="77777777" w:rsidR="00C54BC9" w:rsidRPr="00164238" w:rsidRDefault="00C54BC9" w:rsidP="007C3550">
      <w:pPr>
        <w:numPr>
          <w:ilvl w:val="0"/>
          <w:numId w:val="27"/>
        </w:numPr>
        <w:spacing w:before="120" w:after="120" w:line="276" w:lineRule="auto"/>
        <w:ind w:left="1224"/>
        <w:jc w:val="both"/>
        <w:rPr>
          <w:rFonts w:ascii="Times New Roman" w:hAnsi="Times New Roman" w:cs="Times New Roman"/>
          <w:color w:val="000000" w:themeColor="text1"/>
          <w:sz w:val="20"/>
          <w:lang w:val="fr-FR"/>
        </w:rPr>
      </w:pPr>
      <w:r w:rsidRPr="00164238">
        <w:rPr>
          <w:rFonts w:ascii="Times New Roman" w:hAnsi="Times New Roman" w:cs="Times New Roman"/>
          <w:color w:val="000000" w:themeColor="text1"/>
          <w:sz w:val="20"/>
          <w:lang w:val="fr-FR"/>
        </w:rPr>
        <w:t>1 June 2020: Declaration of expiration of restrictions</w:t>
      </w:r>
    </w:p>
    <w:p w14:paraId="0FD81248" w14:textId="77777777" w:rsidR="00C54BC9" w:rsidRPr="00164238" w:rsidRDefault="00C54BC9" w:rsidP="00C54BC9">
      <w:pPr>
        <w:spacing w:before="120" w:after="120"/>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Since the insurance industry interacts with all other sectors and the pandemic affects the sectors to different degrees, it would be a more accurate approach to evaluate the impacts of the pandemic on the insurance industry according to insurance branches. Therefore, in this study, it is aimed to determine the impacts of the pandemic on the insurance sector on the basis of insurance branches. In this direction, firstly, the general view of the insurance industry was discussed in the study. Then, the premium production, nominal-real growth rates and changes in the number of insured in the period January 2019-December 2020 of the insurance branches, which are thought to be the most affected by the epidemic, were evaluated on a monthly basis. Finally, the asset structures and profitability of non-life insurance companies, life and pension companies and reinsurance companies actively operating in the insurance sector were discussed, and the profitability of the insurance sector as a whole was evaluated.</w:t>
      </w:r>
    </w:p>
    <w:p w14:paraId="6F4212F2" w14:textId="77777777" w:rsidR="00C54BC9" w:rsidRPr="00164238" w:rsidRDefault="00C54BC9" w:rsidP="00C54BC9">
      <w:pPr>
        <w:spacing w:before="120" w:after="120" w:line="276" w:lineRule="auto"/>
        <w:ind w:firstLine="567"/>
        <w:jc w:val="both"/>
        <w:rPr>
          <w:rFonts w:ascii="Times New Roman" w:hAnsi="Times New Roman" w:cs="Times New Roman"/>
          <w:b/>
          <w:color w:val="000000" w:themeColor="text1"/>
        </w:rPr>
      </w:pPr>
      <w:r w:rsidRPr="00164238">
        <w:rPr>
          <w:rFonts w:ascii="Times New Roman" w:hAnsi="Times New Roman" w:cs="Times New Roman"/>
          <w:b/>
          <w:color w:val="000000" w:themeColor="text1"/>
        </w:rPr>
        <w:t>METHOD</w:t>
      </w:r>
    </w:p>
    <w:p w14:paraId="54DDAFFF" w14:textId="77777777" w:rsidR="00C54BC9" w:rsidRPr="00164238" w:rsidRDefault="00C54BC9" w:rsidP="00C54BC9">
      <w:pPr>
        <w:spacing w:before="120" w:after="120" w:line="276" w:lineRule="auto"/>
        <w:ind w:firstLine="567"/>
        <w:jc w:val="both"/>
        <w:rPr>
          <w:rFonts w:ascii="Times New Roman" w:hAnsi="Times New Roman" w:cs="Times New Roman"/>
          <w:b/>
          <w:color w:val="000000" w:themeColor="text1"/>
        </w:rPr>
      </w:pPr>
      <w:r w:rsidRPr="00164238">
        <w:rPr>
          <w:rFonts w:ascii="Times New Roman" w:hAnsi="Times New Roman" w:cs="Times New Roman"/>
          <w:color w:val="000000" w:themeColor="text1"/>
        </w:rPr>
        <w:t xml:space="preserve">In this study, information about the current situation of insurance companies and the insurance industry is given by using financial and technical analysis and statistical information. The data used in the study, obtained from Turkey General Directorate of Insurance, Insurance Association of Turkey, Pension Monitoring Center and the insurance companies' balance sheet and income statement. </w:t>
      </w:r>
    </w:p>
    <w:p w14:paraId="57B59AA2" w14:textId="77777777" w:rsidR="00C54BC9" w:rsidRPr="00164238" w:rsidRDefault="00C54BC9" w:rsidP="00C54BC9">
      <w:pPr>
        <w:spacing w:before="120" w:after="120" w:line="276" w:lineRule="auto"/>
        <w:ind w:firstLine="567"/>
        <w:jc w:val="both"/>
        <w:rPr>
          <w:rFonts w:ascii="Times New Roman" w:hAnsi="Times New Roman" w:cs="Times New Roman"/>
          <w:b/>
          <w:color w:val="000000" w:themeColor="text1"/>
        </w:rPr>
      </w:pPr>
      <w:r w:rsidRPr="00164238">
        <w:rPr>
          <w:rFonts w:ascii="Times New Roman" w:hAnsi="Times New Roman" w:cs="Times New Roman"/>
          <w:b/>
          <w:color w:val="000000" w:themeColor="text1"/>
        </w:rPr>
        <w:t>RESULTS</w:t>
      </w:r>
    </w:p>
    <w:p w14:paraId="6CFA2040" w14:textId="77777777" w:rsidR="00C54BC9" w:rsidRPr="00164238" w:rsidRDefault="00C54BC9" w:rsidP="00C54BC9">
      <w:pPr>
        <w:spacing w:before="120" w:after="120" w:line="276" w:lineRule="auto"/>
        <w:ind w:firstLine="567"/>
        <w:jc w:val="both"/>
        <w:rPr>
          <w:rFonts w:ascii="Times New Roman" w:hAnsi="Times New Roman" w:cs="Times New Roman"/>
          <w:b/>
          <w:color w:val="000000" w:themeColor="text1"/>
        </w:rPr>
      </w:pPr>
      <w:r w:rsidRPr="00164238">
        <w:rPr>
          <w:rFonts w:ascii="Times New Roman" w:hAnsi="Times New Roman" w:cs="Times New Roman"/>
          <w:b/>
          <w:color w:val="000000" w:themeColor="text1"/>
        </w:rPr>
        <w:t>General Indicators of Insurance Industry</w:t>
      </w:r>
    </w:p>
    <w:p w14:paraId="52B42A90" w14:textId="77777777" w:rsidR="00C54BC9" w:rsidRPr="00164238" w:rsidRDefault="00C54BC9" w:rsidP="00C54BC9">
      <w:pPr>
        <w:spacing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In this section, the general view of the insurance industry and the insurance branches most affected by the pandemic are discussed. In addition, the impacts of the pandemic on the private pension system are mentioned. </w:t>
      </w:r>
    </w:p>
    <w:p w14:paraId="64D1C521" w14:textId="4570688A" w:rsidR="00C54BC9" w:rsidRDefault="00C54BC9" w:rsidP="00C54BC9">
      <w:pPr>
        <w:spacing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lastRenderedPageBreak/>
        <w:t>Table 1. shows the number of active companies and the total number of employees as of the end of 2020 and 2019.</w:t>
      </w:r>
    </w:p>
    <w:p w14:paraId="1AA177E2" w14:textId="77777777" w:rsidR="00C54BC9" w:rsidRPr="00164238" w:rsidRDefault="00C54BC9" w:rsidP="00C54BC9">
      <w:pPr>
        <w:pStyle w:val="ResimYazs"/>
        <w:keepNext/>
        <w:spacing w:before="120" w:line="276" w:lineRule="auto"/>
        <w:jc w:val="left"/>
        <w:rPr>
          <w:i w:val="0"/>
          <w:color w:val="000000" w:themeColor="text1"/>
          <w:lang w:val="tr-TR"/>
        </w:rPr>
      </w:pPr>
      <w:r w:rsidRPr="00164238">
        <w:rPr>
          <w:color w:val="000000" w:themeColor="text1"/>
          <w:lang w:val="tr-TR"/>
        </w:rPr>
        <w:t>Table 1.</w:t>
      </w:r>
      <w:r w:rsidRPr="00164238">
        <w:rPr>
          <w:i w:val="0"/>
          <w:color w:val="000000" w:themeColor="text1"/>
          <w:lang w:val="tr-TR"/>
        </w:rPr>
        <w:t xml:space="preserve"> Number of Active Company and Total Employee </w:t>
      </w:r>
    </w:p>
    <w:tbl>
      <w:tblPr>
        <w:tblW w:w="5758" w:type="dxa"/>
        <w:tblInd w:w="-10" w:type="dxa"/>
        <w:tblCellMar>
          <w:left w:w="70" w:type="dxa"/>
          <w:right w:w="70" w:type="dxa"/>
        </w:tblCellMar>
        <w:tblLook w:val="0420" w:firstRow="1" w:lastRow="0" w:firstColumn="0" w:lastColumn="0" w:noHBand="0" w:noVBand="1"/>
      </w:tblPr>
      <w:tblGrid>
        <w:gridCol w:w="3468"/>
        <w:gridCol w:w="1186"/>
        <w:gridCol w:w="1104"/>
      </w:tblGrid>
      <w:tr w:rsidR="00164238" w:rsidRPr="00164238" w14:paraId="1A62174E" w14:textId="77777777" w:rsidTr="00682CBF">
        <w:trPr>
          <w:trHeight w:val="20"/>
        </w:trPr>
        <w:tc>
          <w:tcPr>
            <w:tcW w:w="3468" w:type="dxa"/>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3F80DD23" w14:textId="77777777" w:rsidR="00C54BC9" w:rsidRPr="00164238" w:rsidRDefault="00C54BC9" w:rsidP="00682CBF">
            <w:pPr>
              <w:contextualSpacing/>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 </w:t>
            </w:r>
          </w:p>
        </w:tc>
        <w:tc>
          <w:tcPr>
            <w:tcW w:w="1186" w:type="dxa"/>
            <w:tcBorders>
              <w:top w:val="single" w:sz="8" w:space="0" w:color="000000"/>
              <w:left w:val="nil"/>
              <w:bottom w:val="single" w:sz="8" w:space="0" w:color="000000"/>
              <w:right w:val="single" w:sz="8" w:space="0" w:color="000000"/>
            </w:tcBorders>
            <w:shd w:val="clear" w:color="000000" w:fill="FFFFFF"/>
            <w:vAlign w:val="center"/>
            <w:hideMark/>
          </w:tcPr>
          <w:p w14:paraId="4DB05EDB" w14:textId="77777777" w:rsidR="00C54BC9" w:rsidRPr="00164238" w:rsidRDefault="00C54BC9" w:rsidP="00682CBF">
            <w:pPr>
              <w:contextualSpacing/>
              <w:jc w:val="center"/>
              <w:rPr>
                <w:rFonts w:ascii="Times New Roman" w:hAnsi="Times New Roman" w:cs="Times New Roman"/>
                <w:b/>
                <w:bCs/>
                <w:color w:val="000000" w:themeColor="text1"/>
                <w:lang w:eastAsia="tr-TR"/>
              </w:rPr>
            </w:pPr>
            <w:r w:rsidRPr="00164238">
              <w:rPr>
                <w:rFonts w:ascii="Times New Roman" w:hAnsi="Times New Roman" w:cs="Times New Roman"/>
                <w:b/>
                <w:bCs/>
                <w:color w:val="000000" w:themeColor="text1"/>
                <w:lang w:eastAsia="tr-TR"/>
              </w:rPr>
              <w:t>2020-12</w:t>
            </w:r>
          </w:p>
        </w:tc>
        <w:tc>
          <w:tcPr>
            <w:tcW w:w="1104" w:type="dxa"/>
            <w:tcBorders>
              <w:top w:val="single" w:sz="8" w:space="0" w:color="000000"/>
              <w:left w:val="nil"/>
              <w:bottom w:val="single" w:sz="8" w:space="0" w:color="000000"/>
              <w:right w:val="single" w:sz="8" w:space="0" w:color="000000"/>
            </w:tcBorders>
            <w:shd w:val="clear" w:color="000000" w:fill="FFFFFF"/>
            <w:vAlign w:val="center"/>
            <w:hideMark/>
          </w:tcPr>
          <w:p w14:paraId="0233DAEB" w14:textId="77777777" w:rsidR="00C54BC9" w:rsidRPr="00164238" w:rsidRDefault="00C54BC9" w:rsidP="00682CBF">
            <w:pPr>
              <w:contextualSpacing/>
              <w:jc w:val="center"/>
              <w:rPr>
                <w:rFonts w:ascii="Times New Roman" w:hAnsi="Times New Roman" w:cs="Times New Roman"/>
                <w:b/>
                <w:bCs/>
                <w:color w:val="000000" w:themeColor="text1"/>
                <w:lang w:eastAsia="tr-TR"/>
              </w:rPr>
            </w:pPr>
            <w:r w:rsidRPr="00164238">
              <w:rPr>
                <w:rFonts w:ascii="Times New Roman" w:hAnsi="Times New Roman" w:cs="Times New Roman"/>
                <w:b/>
                <w:bCs/>
                <w:color w:val="000000" w:themeColor="text1"/>
                <w:lang w:eastAsia="tr-TR"/>
              </w:rPr>
              <w:t>2019-12</w:t>
            </w:r>
          </w:p>
        </w:tc>
      </w:tr>
      <w:tr w:rsidR="00164238" w:rsidRPr="00164238" w14:paraId="579BE5FC" w14:textId="77777777" w:rsidTr="00682CBF">
        <w:trPr>
          <w:trHeight w:val="20"/>
        </w:trPr>
        <w:tc>
          <w:tcPr>
            <w:tcW w:w="3468" w:type="dxa"/>
            <w:tcBorders>
              <w:top w:val="nil"/>
              <w:left w:val="single" w:sz="8" w:space="0" w:color="000000"/>
              <w:bottom w:val="single" w:sz="8" w:space="0" w:color="000000"/>
              <w:right w:val="single" w:sz="8" w:space="0" w:color="000000"/>
            </w:tcBorders>
            <w:shd w:val="clear" w:color="000000" w:fill="FFFFFF"/>
            <w:vAlign w:val="center"/>
            <w:hideMark/>
          </w:tcPr>
          <w:p w14:paraId="4024CC14" w14:textId="77777777" w:rsidR="00C54BC9" w:rsidRPr="00164238" w:rsidRDefault="00C54BC9" w:rsidP="00682CBF">
            <w:pPr>
              <w:contextualSpacing/>
              <w:rPr>
                <w:rFonts w:ascii="Times New Roman" w:hAnsi="Times New Roman" w:cs="Times New Roman"/>
                <w:b/>
                <w:bCs/>
                <w:color w:val="000000" w:themeColor="text1"/>
                <w:lang w:eastAsia="tr-TR"/>
              </w:rPr>
            </w:pPr>
            <w:r w:rsidRPr="00164238">
              <w:rPr>
                <w:rFonts w:ascii="Times New Roman" w:hAnsi="Times New Roman" w:cs="Times New Roman"/>
                <w:b/>
                <w:bCs/>
                <w:color w:val="000000" w:themeColor="text1"/>
                <w:lang w:eastAsia="tr-TR"/>
              </w:rPr>
              <w:t>Number of  Active Company</w:t>
            </w:r>
          </w:p>
        </w:tc>
        <w:tc>
          <w:tcPr>
            <w:tcW w:w="1186" w:type="dxa"/>
            <w:tcBorders>
              <w:top w:val="nil"/>
              <w:left w:val="nil"/>
              <w:bottom w:val="single" w:sz="8" w:space="0" w:color="000000"/>
              <w:right w:val="single" w:sz="8" w:space="0" w:color="000000"/>
            </w:tcBorders>
            <w:shd w:val="clear" w:color="000000" w:fill="FFFFFF"/>
            <w:vAlign w:val="center"/>
            <w:hideMark/>
          </w:tcPr>
          <w:p w14:paraId="5EB5E358" w14:textId="77777777" w:rsidR="00C54BC9" w:rsidRPr="00164238" w:rsidRDefault="00C54BC9" w:rsidP="00682CBF">
            <w:pPr>
              <w:contextualSpacing/>
              <w:jc w:val="right"/>
              <w:rPr>
                <w:rFonts w:ascii="Times New Roman" w:hAnsi="Times New Roman" w:cs="Times New Roman"/>
                <w:b/>
                <w:bCs/>
                <w:color w:val="000000" w:themeColor="text1"/>
                <w:lang w:eastAsia="tr-TR"/>
              </w:rPr>
            </w:pPr>
            <w:r w:rsidRPr="00164238">
              <w:rPr>
                <w:rFonts w:ascii="Times New Roman" w:hAnsi="Times New Roman" w:cs="Times New Roman"/>
                <w:b/>
                <w:bCs/>
                <w:color w:val="000000" w:themeColor="text1"/>
                <w:lang w:eastAsia="tr-TR"/>
              </w:rPr>
              <w:t>63</w:t>
            </w:r>
          </w:p>
        </w:tc>
        <w:tc>
          <w:tcPr>
            <w:tcW w:w="1104" w:type="dxa"/>
            <w:tcBorders>
              <w:top w:val="nil"/>
              <w:left w:val="nil"/>
              <w:bottom w:val="single" w:sz="8" w:space="0" w:color="000000"/>
              <w:right w:val="single" w:sz="8" w:space="0" w:color="000000"/>
            </w:tcBorders>
            <w:shd w:val="clear" w:color="000000" w:fill="FFFFFF"/>
            <w:vAlign w:val="center"/>
            <w:hideMark/>
          </w:tcPr>
          <w:p w14:paraId="02DF9D22" w14:textId="77777777" w:rsidR="00C54BC9" w:rsidRPr="00164238" w:rsidRDefault="00C54BC9" w:rsidP="00682CBF">
            <w:pPr>
              <w:contextualSpacing/>
              <w:jc w:val="right"/>
              <w:rPr>
                <w:rFonts w:ascii="Times New Roman" w:hAnsi="Times New Roman" w:cs="Times New Roman"/>
                <w:b/>
                <w:bCs/>
                <w:color w:val="000000" w:themeColor="text1"/>
                <w:lang w:eastAsia="tr-TR"/>
              </w:rPr>
            </w:pPr>
            <w:r w:rsidRPr="00164238">
              <w:rPr>
                <w:rFonts w:ascii="Times New Roman" w:hAnsi="Times New Roman" w:cs="Times New Roman"/>
                <w:b/>
                <w:bCs/>
                <w:color w:val="000000" w:themeColor="text1"/>
                <w:lang w:eastAsia="tr-TR"/>
              </w:rPr>
              <w:t>63</w:t>
            </w:r>
          </w:p>
        </w:tc>
      </w:tr>
      <w:tr w:rsidR="00164238" w:rsidRPr="00164238" w14:paraId="69FFFFB5" w14:textId="77777777" w:rsidTr="00682CBF">
        <w:trPr>
          <w:trHeight w:val="20"/>
        </w:trPr>
        <w:tc>
          <w:tcPr>
            <w:tcW w:w="3468" w:type="dxa"/>
            <w:tcBorders>
              <w:top w:val="nil"/>
              <w:left w:val="single" w:sz="8" w:space="0" w:color="000000"/>
              <w:bottom w:val="single" w:sz="8" w:space="0" w:color="000000"/>
              <w:right w:val="single" w:sz="8" w:space="0" w:color="000000"/>
            </w:tcBorders>
            <w:shd w:val="clear" w:color="000000" w:fill="FFFFFF"/>
            <w:vAlign w:val="center"/>
            <w:hideMark/>
          </w:tcPr>
          <w:p w14:paraId="12D2DD14" w14:textId="77777777" w:rsidR="00C54BC9" w:rsidRPr="00164238" w:rsidRDefault="00C54BC9" w:rsidP="00682CBF">
            <w:pPr>
              <w:contextualSpacing/>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 xml:space="preserve">                 Non-Life Insurance</w:t>
            </w:r>
          </w:p>
        </w:tc>
        <w:tc>
          <w:tcPr>
            <w:tcW w:w="1186" w:type="dxa"/>
            <w:tcBorders>
              <w:top w:val="nil"/>
              <w:left w:val="nil"/>
              <w:bottom w:val="single" w:sz="8" w:space="0" w:color="000000"/>
              <w:right w:val="single" w:sz="8" w:space="0" w:color="000000"/>
            </w:tcBorders>
            <w:shd w:val="clear" w:color="000000" w:fill="FFFFFF"/>
            <w:vAlign w:val="center"/>
            <w:hideMark/>
          </w:tcPr>
          <w:p w14:paraId="3E77FB4B" w14:textId="77777777" w:rsidR="00C54BC9" w:rsidRPr="00164238" w:rsidRDefault="00C54BC9" w:rsidP="00682CBF">
            <w:pPr>
              <w:contextualSpacing/>
              <w:jc w:val="center"/>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39</w:t>
            </w:r>
          </w:p>
        </w:tc>
        <w:tc>
          <w:tcPr>
            <w:tcW w:w="1104" w:type="dxa"/>
            <w:tcBorders>
              <w:top w:val="nil"/>
              <w:left w:val="nil"/>
              <w:bottom w:val="single" w:sz="8" w:space="0" w:color="000000"/>
              <w:right w:val="single" w:sz="8" w:space="0" w:color="000000"/>
            </w:tcBorders>
            <w:shd w:val="clear" w:color="000000" w:fill="FFFFFF"/>
            <w:vAlign w:val="center"/>
            <w:hideMark/>
          </w:tcPr>
          <w:p w14:paraId="1BF03A79" w14:textId="77777777" w:rsidR="00C54BC9" w:rsidRPr="00164238" w:rsidRDefault="00C54BC9" w:rsidP="00682CBF">
            <w:pPr>
              <w:contextualSpacing/>
              <w:jc w:val="center"/>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38</w:t>
            </w:r>
          </w:p>
        </w:tc>
      </w:tr>
      <w:tr w:rsidR="00164238" w:rsidRPr="00164238" w14:paraId="114E7CE0" w14:textId="77777777" w:rsidTr="00682CBF">
        <w:trPr>
          <w:trHeight w:val="20"/>
        </w:trPr>
        <w:tc>
          <w:tcPr>
            <w:tcW w:w="3468" w:type="dxa"/>
            <w:tcBorders>
              <w:top w:val="nil"/>
              <w:left w:val="single" w:sz="8" w:space="0" w:color="000000"/>
              <w:bottom w:val="single" w:sz="8" w:space="0" w:color="000000"/>
              <w:right w:val="single" w:sz="8" w:space="0" w:color="000000"/>
            </w:tcBorders>
            <w:shd w:val="clear" w:color="000000" w:fill="FFFFFF"/>
            <w:vAlign w:val="center"/>
            <w:hideMark/>
          </w:tcPr>
          <w:p w14:paraId="1D01B519" w14:textId="77777777" w:rsidR="00C54BC9" w:rsidRPr="00164238" w:rsidRDefault="00C54BC9" w:rsidP="00682CBF">
            <w:pPr>
              <w:contextualSpacing/>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 xml:space="preserve">                 Life-Pension Insurance</w:t>
            </w:r>
          </w:p>
        </w:tc>
        <w:tc>
          <w:tcPr>
            <w:tcW w:w="1186" w:type="dxa"/>
            <w:tcBorders>
              <w:top w:val="nil"/>
              <w:left w:val="nil"/>
              <w:bottom w:val="single" w:sz="8" w:space="0" w:color="000000"/>
              <w:right w:val="single" w:sz="8" w:space="0" w:color="000000"/>
            </w:tcBorders>
            <w:shd w:val="clear" w:color="000000" w:fill="FFFFFF"/>
            <w:vAlign w:val="center"/>
            <w:hideMark/>
          </w:tcPr>
          <w:p w14:paraId="658D3A99" w14:textId="77777777" w:rsidR="00C54BC9" w:rsidRPr="00164238" w:rsidRDefault="00C54BC9" w:rsidP="00682CBF">
            <w:pPr>
              <w:contextualSpacing/>
              <w:jc w:val="center"/>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21</w:t>
            </w:r>
          </w:p>
        </w:tc>
        <w:tc>
          <w:tcPr>
            <w:tcW w:w="1104" w:type="dxa"/>
            <w:tcBorders>
              <w:top w:val="nil"/>
              <w:left w:val="nil"/>
              <w:bottom w:val="single" w:sz="8" w:space="0" w:color="000000"/>
              <w:right w:val="single" w:sz="8" w:space="0" w:color="000000"/>
            </w:tcBorders>
            <w:shd w:val="clear" w:color="000000" w:fill="FFFFFF"/>
            <w:vAlign w:val="center"/>
            <w:hideMark/>
          </w:tcPr>
          <w:p w14:paraId="760DFA76" w14:textId="77777777" w:rsidR="00C54BC9" w:rsidRPr="00164238" w:rsidRDefault="00C54BC9" w:rsidP="00682CBF">
            <w:pPr>
              <w:contextualSpacing/>
              <w:jc w:val="center"/>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22</w:t>
            </w:r>
          </w:p>
        </w:tc>
      </w:tr>
      <w:tr w:rsidR="00164238" w:rsidRPr="00164238" w14:paraId="42B71FEF" w14:textId="77777777" w:rsidTr="00682CBF">
        <w:trPr>
          <w:trHeight w:val="20"/>
        </w:trPr>
        <w:tc>
          <w:tcPr>
            <w:tcW w:w="3468" w:type="dxa"/>
            <w:tcBorders>
              <w:top w:val="nil"/>
              <w:left w:val="single" w:sz="8" w:space="0" w:color="000000"/>
              <w:bottom w:val="single" w:sz="8" w:space="0" w:color="000000"/>
              <w:right w:val="single" w:sz="8" w:space="0" w:color="000000"/>
            </w:tcBorders>
            <w:shd w:val="clear" w:color="000000" w:fill="FFFFFF"/>
            <w:vAlign w:val="center"/>
            <w:hideMark/>
          </w:tcPr>
          <w:p w14:paraId="0B196888" w14:textId="77777777" w:rsidR="00C54BC9" w:rsidRPr="00164238" w:rsidRDefault="00C54BC9" w:rsidP="00682CBF">
            <w:pPr>
              <w:contextualSpacing/>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 xml:space="preserve">                 Reinsurance</w:t>
            </w:r>
          </w:p>
        </w:tc>
        <w:tc>
          <w:tcPr>
            <w:tcW w:w="1186" w:type="dxa"/>
            <w:tcBorders>
              <w:top w:val="nil"/>
              <w:left w:val="nil"/>
              <w:bottom w:val="single" w:sz="8" w:space="0" w:color="000000"/>
              <w:right w:val="single" w:sz="8" w:space="0" w:color="000000"/>
            </w:tcBorders>
            <w:shd w:val="clear" w:color="000000" w:fill="FFFFFF"/>
            <w:vAlign w:val="center"/>
            <w:hideMark/>
          </w:tcPr>
          <w:p w14:paraId="68CBE3FF" w14:textId="77777777" w:rsidR="00C54BC9" w:rsidRPr="00164238" w:rsidRDefault="00C54BC9" w:rsidP="00682CBF">
            <w:pPr>
              <w:contextualSpacing/>
              <w:jc w:val="center"/>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3</w:t>
            </w:r>
          </w:p>
        </w:tc>
        <w:tc>
          <w:tcPr>
            <w:tcW w:w="1104" w:type="dxa"/>
            <w:tcBorders>
              <w:top w:val="nil"/>
              <w:left w:val="nil"/>
              <w:bottom w:val="single" w:sz="8" w:space="0" w:color="000000"/>
              <w:right w:val="single" w:sz="8" w:space="0" w:color="000000"/>
            </w:tcBorders>
            <w:shd w:val="clear" w:color="000000" w:fill="FFFFFF"/>
            <w:vAlign w:val="center"/>
            <w:hideMark/>
          </w:tcPr>
          <w:p w14:paraId="70F6AF7C" w14:textId="77777777" w:rsidR="00C54BC9" w:rsidRPr="00164238" w:rsidRDefault="00C54BC9" w:rsidP="00682CBF">
            <w:pPr>
              <w:contextualSpacing/>
              <w:jc w:val="center"/>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3</w:t>
            </w:r>
          </w:p>
        </w:tc>
      </w:tr>
      <w:tr w:rsidR="00164238" w:rsidRPr="00164238" w14:paraId="115088FE" w14:textId="77777777" w:rsidTr="00682CBF">
        <w:trPr>
          <w:trHeight w:val="20"/>
        </w:trPr>
        <w:tc>
          <w:tcPr>
            <w:tcW w:w="3468" w:type="dxa"/>
            <w:tcBorders>
              <w:top w:val="nil"/>
              <w:left w:val="single" w:sz="8" w:space="0" w:color="000000"/>
              <w:bottom w:val="single" w:sz="8" w:space="0" w:color="000000"/>
              <w:right w:val="single" w:sz="8" w:space="0" w:color="000000"/>
            </w:tcBorders>
            <w:shd w:val="clear" w:color="000000" w:fill="FFFFFF"/>
            <w:vAlign w:val="bottom"/>
            <w:hideMark/>
          </w:tcPr>
          <w:p w14:paraId="0650DF48" w14:textId="77777777" w:rsidR="00C54BC9" w:rsidRPr="00164238" w:rsidRDefault="00C54BC9" w:rsidP="00682CBF">
            <w:pPr>
              <w:contextualSpacing/>
              <w:rPr>
                <w:rFonts w:ascii="Times New Roman" w:hAnsi="Times New Roman" w:cs="Times New Roman"/>
                <w:b/>
                <w:bCs/>
                <w:color w:val="000000" w:themeColor="text1"/>
                <w:lang w:eastAsia="tr-TR"/>
              </w:rPr>
            </w:pPr>
            <w:r w:rsidRPr="00164238">
              <w:rPr>
                <w:rFonts w:ascii="Times New Roman" w:hAnsi="Times New Roman" w:cs="Times New Roman"/>
                <w:b/>
                <w:bCs/>
                <w:color w:val="000000" w:themeColor="text1"/>
                <w:lang w:eastAsia="tr-TR"/>
              </w:rPr>
              <w:t>Total Employee</w:t>
            </w:r>
          </w:p>
        </w:tc>
        <w:tc>
          <w:tcPr>
            <w:tcW w:w="1186" w:type="dxa"/>
            <w:tcBorders>
              <w:top w:val="nil"/>
              <w:left w:val="nil"/>
              <w:bottom w:val="single" w:sz="8" w:space="0" w:color="000000"/>
              <w:right w:val="single" w:sz="8" w:space="0" w:color="000000"/>
            </w:tcBorders>
            <w:shd w:val="clear" w:color="000000" w:fill="FFFFFF"/>
            <w:vAlign w:val="bottom"/>
            <w:hideMark/>
          </w:tcPr>
          <w:p w14:paraId="67927D42" w14:textId="77777777" w:rsidR="00C54BC9" w:rsidRPr="00164238" w:rsidRDefault="00C54BC9" w:rsidP="00682CBF">
            <w:pPr>
              <w:contextualSpacing/>
              <w:jc w:val="right"/>
              <w:rPr>
                <w:rFonts w:ascii="Times New Roman" w:hAnsi="Times New Roman" w:cs="Times New Roman"/>
                <w:b/>
                <w:bCs/>
                <w:color w:val="000000" w:themeColor="text1"/>
                <w:lang w:eastAsia="tr-TR"/>
              </w:rPr>
            </w:pPr>
            <w:r w:rsidRPr="00164238">
              <w:rPr>
                <w:rFonts w:ascii="Times New Roman" w:hAnsi="Times New Roman" w:cs="Times New Roman"/>
                <w:b/>
                <w:bCs/>
                <w:color w:val="000000" w:themeColor="text1"/>
                <w:lang w:eastAsia="tr-TR"/>
              </w:rPr>
              <w:t>20,417</w:t>
            </w:r>
          </w:p>
        </w:tc>
        <w:tc>
          <w:tcPr>
            <w:tcW w:w="1104" w:type="dxa"/>
            <w:tcBorders>
              <w:top w:val="nil"/>
              <w:left w:val="nil"/>
              <w:bottom w:val="single" w:sz="8" w:space="0" w:color="000000"/>
              <w:right w:val="single" w:sz="8" w:space="0" w:color="000000"/>
            </w:tcBorders>
            <w:shd w:val="clear" w:color="000000" w:fill="FFFFFF"/>
            <w:vAlign w:val="bottom"/>
            <w:hideMark/>
          </w:tcPr>
          <w:p w14:paraId="79DC3E57" w14:textId="77777777" w:rsidR="00C54BC9" w:rsidRPr="00164238" w:rsidRDefault="00C54BC9" w:rsidP="00682CBF">
            <w:pPr>
              <w:contextualSpacing/>
              <w:jc w:val="right"/>
              <w:rPr>
                <w:rFonts w:ascii="Times New Roman" w:hAnsi="Times New Roman" w:cs="Times New Roman"/>
                <w:b/>
                <w:bCs/>
                <w:color w:val="000000" w:themeColor="text1"/>
                <w:lang w:eastAsia="tr-TR"/>
              </w:rPr>
            </w:pPr>
            <w:r w:rsidRPr="00164238">
              <w:rPr>
                <w:rFonts w:ascii="Times New Roman" w:hAnsi="Times New Roman" w:cs="Times New Roman"/>
                <w:b/>
                <w:bCs/>
                <w:color w:val="000000" w:themeColor="text1"/>
                <w:lang w:eastAsia="tr-TR"/>
              </w:rPr>
              <w:t>19,554</w:t>
            </w:r>
          </w:p>
        </w:tc>
      </w:tr>
      <w:tr w:rsidR="00164238" w:rsidRPr="00164238" w14:paraId="1B29711E" w14:textId="77777777" w:rsidTr="00682CBF">
        <w:trPr>
          <w:trHeight w:val="20"/>
        </w:trPr>
        <w:tc>
          <w:tcPr>
            <w:tcW w:w="3468" w:type="dxa"/>
            <w:tcBorders>
              <w:top w:val="nil"/>
              <w:left w:val="single" w:sz="8" w:space="0" w:color="000000"/>
              <w:bottom w:val="single" w:sz="8" w:space="0" w:color="000000"/>
              <w:right w:val="single" w:sz="8" w:space="0" w:color="000000"/>
            </w:tcBorders>
            <w:shd w:val="clear" w:color="000000" w:fill="FFFFFF"/>
            <w:vAlign w:val="center"/>
            <w:hideMark/>
          </w:tcPr>
          <w:p w14:paraId="59A435A3" w14:textId="77777777" w:rsidR="00C54BC9" w:rsidRPr="00164238" w:rsidRDefault="00C54BC9" w:rsidP="00682CBF">
            <w:pPr>
              <w:contextualSpacing/>
              <w:rPr>
                <w:rFonts w:ascii="Times New Roman" w:hAnsi="Times New Roman" w:cs="Times New Roman"/>
                <w:i/>
                <w:iCs/>
                <w:color w:val="000000" w:themeColor="text1"/>
                <w:lang w:eastAsia="tr-TR"/>
              </w:rPr>
            </w:pPr>
            <w:r w:rsidRPr="00164238">
              <w:rPr>
                <w:rFonts w:ascii="Times New Roman" w:hAnsi="Times New Roman" w:cs="Times New Roman"/>
                <w:i/>
                <w:iCs/>
                <w:color w:val="000000" w:themeColor="text1"/>
                <w:lang w:eastAsia="tr-TR"/>
              </w:rPr>
              <w:t xml:space="preserve">     Direct Sale Employee</w:t>
            </w:r>
          </w:p>
        </w:tc>
        <w:tc>
          <w:tcPr>
            <w:tcW w:w="1186" w:type="dxa"/>
            <w:tcBorders>
              <w:top w:val="nil"/>
              <w:left w:val="nil"/>
              <w:bottom w:val="single" w:sz="8" w:space="0" w:color="000000"/>
              <w:right w:val="single" w:sz="8" w:space="0" w:color="000000"/>
            </w:tcBorders>
            <w:shd w:val="clear" w:color="000000" w:fill="FFFFFF"/>
            <w:vAlign w:val="bottom"/>
            <w:hideMark/>
          </w:tcPr>
          <w:p w14:paraId="0BAAA55B" w14:textId="77777777" w:rsidR="00C54BC9" w:rsidRPr="00164238" w:rsidRDefault="00C54BC9" w:rsidP="00682CBF">
            <w:pPr>
              <w:contextualSpacing/>
              <w:rPr>
                <w:rFonts w:ascii="Times New Roman" w:hAnsi="Times New Roman" w:cs="Times New Roman"/>
                <w:i/>
                <w:iCs/>
                <w:color w:val="000000" w:themeColor="text1"/>
                <w:lang w:eastAsia="tr-TR"/>
              </w:rPr>
            </w:pPr>
            <w:r w:rsidRPr="00164238">
              <w:rPr>
                <w:rFonts w:ascii="Times New Roman" w:hAnsi="Times New Roman" w:cs="Times New Roman"/>
                <w:i/>
                <w:iCs/>
                <w:color w:val="000000" w:themeColor="text1"/>
                <w:lang w:eastAsia="tr-TR"/>
              </w:rPr>
              <w:t>5,794</w:t>
            </w:r>
          </w:p>
        </w:tc>
        <w:tc>
          <w:tcPr>
            <w:tcW w:w="1104" w:type="dxa"/>
            <w:tcBorders>
              <w:top w:val="nil"/>
              <w:left w:val="nil"/>
              <w:bottom w:val="single" w:sz="8" w:space="0" w:color="000000"/>
              <w:right w:val="single" w:sz="8" w:space="0" w:color="000000"/>
            </w:tcBorders>
            <w:shd w:val="clear" w:color="000000" w:fill="FFFFFF"/>
            <w:vAlign w:val="bottom"/>
            <w:hideMark/>
          </w:tcPr>
          <w:p w14:paraId="2C964031" w14:textId="77777777" w:rsidR="00C54BC9" w:rsidRPr="00164238" w:rsidRDefault="00C54BC9" w:rsidP="00682CBF">
            <w:pPr>
              <w:contextualSpacing/>
              <w:rPr>
                <w:rFonts w:ascii="Times New Roman" w:hAnsi="Times New Roman" w:cs="Times New Roman"/>
                <w:i/>
                <w:iCs/>
                <w:color w:val="000000" w:themeColor="text1"/>
                <w:lang w:eastAsia="tr-TR"/>
              </w:rPr>
            </w:pPr>
            <w:r w:rsidRPr="00164238">
              <w:rPr>
                <w:rFonts w:ascii="Times New Roman" w:hAnsi="Times New Roman" w:cs="Times New Roman"/>
                <w:i/>
                <w:iCs/>
                <w:color w:val="000000" w:themeColor="text1"/>
                <w:lang w:eastAsia="tr-TR"/>
              </w:rPr>
              <w:t>5,326</w:t>
            </w:r>
          </w:p>
        </w:tc>
      </w:tr>
      <w:tr w:rsidR="00164238" w:rsidRPr="00164238" w14:paraId="31FD2E02" w14:textId="77777777" w:rsidTr="00682CBF">
        <w:trPr>
          <w:trHeight w:val="20"/>
        </w:trPr>
        <w:tc>
          <w:tcPr>
            <w:tcW w:w="3468" w:type="dxa"/>
            <w:tcBorders>
              <w:top w:val="nil"/>
              <w:left w:val="single" w:sz="8" w:space="0" w:color="000000"/>
              <w:bottom w:val="single" w:sz="8" w:space="0" w:color="000000"/>
              <w:right w:val="single" w:sz="8" w:space="0" w:color="000000"/>
            </w:tcBorders>
            <w:shd w:val="clear" w:color="000000" w:fill="FFFFFF"/>
            <w:vAlign w:val="center"/>
            <w:hideMark/>
          </w:tcPr>
          <w:p w14:paraId="1FE55328" w14:textId="77777777" w:rsidR="00C54BC9" w:rsidRPr="00164238" w:rsidRDefault="00C54BC9" w:rsidP="00682CBF">
            <w:pPr>
              <w:contextualSpacing/>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 xml:space="preserve">                  Female</w:t>
            </w:r>
          </w:p>
        </w:tc>
        <w:tc>
          <w:tcPr>
            <w:tcW w:w="1186" w:type="dxa"/>
            <w:tcBorders>
              <w:top w:val="nil"/>
              <w:left w:val="nil"/>
              <w:bottom w:val="single" w:sz="8" w:space="0" w:color="000000"/>
              <w:right w:val="single" w:sz="8" w:space="0" w:color="000000"/>
            </w:tcBorders>
            <w:shd w:val="clear" w:color="000000" w:fill="FFFFFF"/>
            <w:vAlign w:val="center"/>
            <w:hideMark/>
          </w:tcPr>
          <w:p w14:paraId="3BB3F568" w14:textId="77777777" w:rsidR="00C54BC9" w:rsidRPr="00164238" w:rsidRDefault="00C54BC9" w:rsidP="00682CBF">
            <w:pPr>
              <w:contextualSpacing/>
              <w:jc w:val="center"/>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3,579</w:t>
            </w:r>
          </w:p>
        </w:tc>
        <w:tc>
          <w:tcPr>
            <w:tcW w:w="1104" w:type="dxa"/>
            <w:tcBorders>
              <w:top w:val="nil"/>
              <w:left w:val="nil"/>
              <w:bottom w:val="single" w:sz="8" w:space="0" w:color="000000"/>
              <w:right w:val="single" w:sz="8" w:space="0" w:color="000000"/>
            </w:tcBorders>
            <w:shd w:val="clear" w:color="000000" w:fill="FFFFFF"/>
            <w:vAlign w:val="center"/>
            <w:hideMark/>
          </w:tcPr>
          <w:p w14:paraId="01DA6263" w14:textId="77777777" w:rsidR="00C54BC9" w:rsidRPr="00164238" w:rsidRDefault="00C54BC9" w:rsidP="00682CBF">
            <w:pPr>
              <w:contextualSpacing/>
              <w:jc w:val="center"/>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3,331</w:t>
            </w:r>
          </w:p>
        </w:tc>
      </w:tr>
      <w:tr w:rsidR="00164238" w:rsidRPr="00164238" w14:paraId="6CE85069" w14:textId="77777777" w:rsidTr="00682CBF">
        <w:trPr>
          <w:trHeight w:val="20"/>
        </w:trPr>
        <w:tc>
          <w:tcPr>
            <w:tcW w:w="3468" w:type="dxa"/>
            <w:tcBorders>
              <w:top w:val="nil"/>
              <w:left w:val="single" w:sz="8" w:space="0" w:color="000000"/>
              <w:bottom w:val="single" w:sz="8" w:space="0" w:color="000000"/>
              <w:right w:val="single" w:sz="8" w:space="0" w:color="000000"/>
            </w:tcBorders>
            <w:shd w:val="clear" w:color="000000" w:fill="FFFFFF"/>
            <w:vAlign w:val="center"/>
            <w:hideMark/>
          </w:tcPr>
          <w:p w14:paraId="58DAC57D" w14:textId="77777777" w:rsidR="00C54BC9" w:rsidRPr="00164238" w:rsidRDefault="00C54BC9" w:rsidP="00682CBF">
            <w:pPr>
              <w:contextualSpacing/>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 xml:space="preserve">                  Male</w:t>
            </w:r>
          </w:p>
        </w:tc>
        <w:tc>
          <w:tcPr>
            <w:tcW w:w="1186" w:type="dxa"/>
            <w:tcBorders>
              <w:top w:val="nil"/>
              <w:left w:val="nil"/>
              <w:bottom w:val="single" w:sz="8" w:space="0" w:color="000000"/>
              <w:right w:val="single" w:sz="8" w:space="0" w:color="000000"/>
            </w:tcBorders>
            <w:shd w:val="clear" w:color="000000" w:fill="FFFFFF"/>
            <w:vAlign w:val="center"/>
            <w:hideMark/>
          </w:tcPr>
          <w:p w14:paraId="5BD7372E" w14:textId="77777777" w:rsidR="00C54BC9" w:rsidRPr="00164238" w:rsidRDefault="00C54BC9" w:rsidP="00682CBF">
            <w:pPr>
              <w:contextualSpacing/>
              <w:jc w:val="center"/>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2,215</w:t>
            </w:r>
          </w:p>
        </w:tc>
        <w:tc>
          <w:tcPr>
            <w:tcW w:w="1104" w:type="dxa"/>
            <w:tcBorders>
              <w:top w:val="nil"/>
              <w:left w:val="nil"/>
              <w:bottom w:val="single" w:sz="8" w:space="0" w:color="000000"/>
              <w:right w:val="single" w:sz="8" w:space="0" w:color="000000"/>
            </w:tcBorders>
            <w:shd w:val="clear" w:color="000000" w:fill="FFFFFF"/>
            <w:vAlign w:val="center"/>
            <w:hideMark/>
          </w:tcPr>
          <w:p w14:paraId="6A6CD9B1" w14:textId="77777777" w:rsidR="00C54BC9" w:rsidRPr="00164238" w:rsidRDefault="00C54BC9" w:rsidP="00682CBF">
            <w:pPr>
              <w:contextualSpacing/>
              <w:jc w:val="center"/>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1,995</w:t>
            </w:r>
          </w:p>
        </w:tc>
      </w:tr>
      <w:tr w:rsidR="00164238" w:rsidRPr="00164238" w14:paraId="57083B55" w14:textId="77777777" w:rsidTr="00682CBF">
        <w:trPr>
          <w:trHeight w:val="20"/>
        </w:trPr>
        <w:tc>
          <w:tcPr>
            <w:tcW w:w="3468" w:type="dxa"/>
            <w:tcBorders>
              <w:top w:val="nil"/>
              <w:left w:val="single" w:sz="8" w:space="0" w:color="000000"/>
              <w:bottom w:val="single" w:sz="8" w:space="0" w:color="000000"/>
              <w:right w:val="single" w:sz="8" w:space="0" w:color="000000"/>
            </w:tcBorders>
            <w:shd w:val="clear" w:color="000000" w:fill="FFFFFF"/>
            <w:vAlign w:val="center"/>
            <w:hideMark/>
          </w:tcPr>
          <w:p w14:paraId="2761C8AD" w14:textId="77777777" w:rsidR="00C54BC9" w:rsidRPr="00164238" w:rsidRDefault="00C54BC9" w:rsidP="00682CBF">
            <w:pPr>
              <w:contextualSpacing/>
              <w:rPr>
                <w:rFonts w:ascii="Times New Roman" w:hAnsi="Times New Roman" w:cs="Times New Roman"/>
                <w:i/>
                <w:iCs/>
                <w:color w:val="000000" w:themeColor="text1"/>
                <w:lang w:eastAsia="tr-TR"/>
              </w:rPr>
            </w:pPr>
            <w:r w:rsidRPr="00164238">
              <w:rPr>
                <w:rFonts w:ascii="Times New Roman" w:hAnsi="Times New Roman" w:cs="Times New Roman"/>
                <w:i/>
                <w:iCs/>
                <w:color w:val="000000" w:themeColor="text1"/>
                <w:lang w:eastAsia="tr-TR"/>
              </w:rPr>
              <w:t xml:space="preserve">      Excluding Direct Sale Employee</w:t>
            </w:r>
          </w:p>
        </w:tc>
        <w:tc>
          <w:tcPr>
            <w:tcW w:w="1186" w:type="dxa"/>
            <w:tcBorders>
              <w:top w:val="nil"/>
              <w:left w:val="nil"/>
              <w:bottom w:val="single" w:sz="8" w:space="0" w:color="000000"/>
              <w:right w:val="single" w:sz="8" w:space="0" w:color="000000"/>
            </w:tcBorders>
            <w:shd w:val="clear" w:color="000000" w:fill="FFFFFF"/>
            <w:vAlign w:val="bottom"/>
            <w:hideMark/>
          </w:tcPr>
          <w:p w14:paraId="6D5C6A7D" w14:textId="77777777" w:rsidR="00C54BC9" w:rsidRPr="00164238" w:rsidRDefault="00C54BC9" w:rsidP="00682CBF">
            <w:pPr>
              <w:contextualSpacing/>
              <w:rPr>
                <w:rFonts w:ascii="Times New Roman" w:hAnsi="Times New Roman" w:cs="Times New Roman"/>
                <w:i/>
                <w:iCs/>
                <w:color w:val="000000" w:themeColor="text1"/>
                <w:lang w:eastAsia="tr-TR"/>
              </w:rPr>
            </w:pPr>
            <w:r w:rsidRPr="00164238">
              <w:rPr>
                <w:rFonts w:ascii="Times New Roman" w:hAnsi="Times New Roman" w:cs="Times New Roman"/>
                <w:i/>
                <w:iCs/>
                <w:color w:val="000000" w:themeColor="text1"/>
                <w:lang w:eastAsia="tr-TR"/>
              </w:rPr>
              <w:t>14,623</w:t>
            </w:r>
          </w:p>
        </w:tc>
        <w:tc>
          <w:tcPr>
            <w:tcW w:w="1104" w:type="dxa"/>
            <w:tcBorders>
              <w:top w:val="nil"/>
              <w:left w:val="nil"/>
              <w:bottom w:val="single" w:sz="8" w:space="0" w:color="000000"/>
              <w:right w:val="single" w:sz="8" w:space="0" w:color="000000"/>
            </w:tcBorders>
            <w:shd w:val="clear" w:color="000000" w:fill="FFFFFF"/>
            <w:vAlign w:val="bottom"/>
            <w:hideMark/>
          </w:tcPr>
          <w:p w14:paraId="0D6E2EDB" w14:textId="77777777" w:rsidR="00C54BC9" w:rsidRPr="00164238" w:rsidRDefault="00C54BC9" w:rsidP="00682CBF">
            <w:pPr>
              <w:contextualSpacing/>
              <w:rPr>
                <w:rFonts w:ascii="Times New Roman" w:hAnsi="Times New Roman" w:cs="Times New Roman"/>
                <w:i/>
                <w:iCs/>
                <w:color w:val="000000" w:themeColor="text1"/>
                <w:lang w:eastAsia="tr-TR"/>
              </w:rPr>
            </w:pPr>
            <w:r w:rsidRPr="00164238">
              <w:rPr>
                <w:rFonts w:ascii="Times New Roman" w:hAnsi="Times New Roman" w:cs="Times New Roman"/>
                <w:i/>
                <w:iCs/>
                <w:color w:val="000000" w:themeColor="text1"/>
                <w:lang w:eastAsia="tr-TR"/>
              </w:rPr>
              <w:t>14,228</w:t>
            </w:r>
          </w:p>
        </w:tc>
      </w:tr>
      <w:tr w:rsidR="00164238" w:rsidRPr="00164238" w14:paraId="55F35D64" w14:textId="77777777" w:rsidTr="00682CBF">
        <w:trPr>
          <w:trHeight w:val="20"/>
        </w:trPr>
        <w:tc>
          <w:tcPr>
            <w:tcW w:w="3468" w:type="dxa"/>
            <w:tcBorders>
              <w:top w:val="nil"/>
              <w:left w:val="single" w:sz="8" w:space="0" w:color="000000"/>
              <w:bottom w:val="single" w:sz="8" w:space="0" w:color="000000"/>
              <w:right w:val="single" w:sz="8" w:space="0" w:color="000000"/>
            </w:tcBorders>
            <w:shd w:val="clear" w:color="000000" w:fill="FFFFFF"/>
            <w:vAlign w:val="center"/>
            <w:hideMark/>
          </w:tcPr>
          <w:p w14:paraId="71D9196C" w14:textId="77777777" w:rsidR="00C54BC9" w:rsidRPr="00164238" w:rsidRDefault="00C54BC9" w:rsidP="00682CBF">
            <w:pPr>
              <w:contextualSpacing/>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 xml:space="preserve">                 Female</w:t>
            </w:r>
          </w:p>
        </w:tc>
        <w:tc>
          <w:tcPr>
            <w:tcW w:w="1186" w:type="dxa"/>
            <w:tcBorders>
              <w:top w:val="nil"/>
              <w:left w:val="nil"/>
              <w:bottom w:val="single" w:sz="8" w:space="0" w:color="000000"/>
              <w:right w:val="single" w:sz="8" w:space="0" w:color="000000"/>
            </w:tcBorders>
            <w:shd w:val="clear" w:color="000000" w:fill="FFFFFF"/>
            <w:vAlign w:val="center"/>
            <w:hideMark/>
          </w:tcPr>
          <w:p w14:paraId="30B13381" w14:textId="77777777" w:rsidR="00C54BC9" w:rsidRPr="00164238" w:rsidRDefault="00C54BC9" w:rsidP="00682CBF">
            <w:pPr>
              <w:contextualSpacing/>
              <w:jc w:val="center"/>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7,582</w:t>
            </w:r>
          </w:p>
        </w:tc>
        <w:tc>
          <w:tcPr>
            <w:tcW w:w="1104" w:type="dxa"/>
            <w:tcBorders>
              <w:top w:val="nil"/>
              <w:left w:val="nil"/>
              <w:bottom w:val="single" w:sz="8" w:space="0" w:color="000000"/>
              <w:right w:val="single" w:sz="8" w:space="0" w:color="000000"/>
            </w:tcBorders>
            <w:shd w:val="clear" w:color="000000" w:fill="FFFFFF"/>
            <w:vAlign w:val="center"/>
            <w:hideMark/>
          </w:tcPr>
          <w:p w14:paraId="1911ABAA" w14:textId="77777777" w:rsidR="00C54BC9" w:rsidRPr="00164238" w:rsidRDefault="00C54BC9" w:rsidP="00682CBF">
            <w:pPr>
              <w:contextualSpacing/>
              <w:jc w:val="center"/>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7,457</w:t>
            </w:r>
          </w:p>
        </w:tc>
      </w:tr>
      <w:tr w:rsidR="00164238" w:rsidRPr="00164238" w14:paraId="630816EC" w14:textId="77777777" w:rsidTr="00682CBF">
        <w:trPr>
          <w:trHeight w:val="20"/>
        </w:trPr>
        <w:tc>
          <w:tcPr>
            <w:tcW w:w="3468" w:type="dxa"/>
            <w:tcBorders>
              <w:top w:val="nil"/>
              <w:left w:val="single" w:sz="8" w:space="0" w:color="000000"/>
              <w:bottom w:val="single" w:sz="8" w:space="0" w:color="000000"/>
              <w:right w:val="single" w:sz="8" w:space="0" w:color="000000"/>
            </w:tcBorders>
            <w:shd w:val="clear" w:color="000000" w:fill="FFFFFF"/>
            <w:vAlign w:val="center"/>
            <w:hideMark/>
          </w:tcPr>
          <w:p w14:paraId="7452ADDA" w14:textId="77777777" w:rsidR="00C54BC9" w:rsidRPr="00164238" w:rsidRDefault="00C54BC9" w:rsidP="00682CBF">
            <w:pPr>
              <w:contextualSpacing/>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 xml:space="preserve">                 Male</w:t>
            </w:r>
          </w:p>
        </w:tc>
        <w:tc>
          <w:tcPr>
            <w:tcW w:w="1186" w:type="dxa"/>
            <w:tcBorders>
              <w:top w:val="nil"/>
              <w:left w:val="nil"/>
              <w:bottom w:val="single" w:sz="8" w:space="0" w:color="000000"/>
              <w:right w:val="single" w:sz="8" w:space="0" w:color="000000"/>
            </w:tcBorders>
            <w:shd w:val="clear" w:color="000000" w:fill="FFFFFF"/>
            <w:vAlign w:val="center"/>
            <w:hideMark/>
          </w:tcPr>
          <w:p w14:paraId="22E46CF2" w14:textId="77777777" w:rsidR="00C54BC9" w:rsidRPr="00164238" w:rsidRDefault="00C54BC9" w:rsidP="00682CBF">
            <w:pPr>
              <w:contextualSpacing/>
              <w:jc w:val="center"/>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7,041</w:t>
            </w:r>
          </w:p>
        </w:tc>
        <w:tc>
          <w:tcPr>
            <w:tcW w:w="1104" w:type="dxa"/>
            <w:tcBorders>
              <w:top w:val="nil"/>
              <w:left w:val="nil"/>
              <w:bottom w:val="single" w:sz="8" w:space="0" w:color="000000"/>
              <w:right w:val="single" w:sz="8" w:space="0" w:color="000000"/>
            </w:tcBorders>
            <w:shd w:val="clear" w:color="000000" w:fill="FFFFFF"/>
            <w:vAlign w:val="center"/>
            <w:hideMark/>
          </w:tcPr>
          <w:p w14:paraId="3034575B" w14:textId="77777777" w:rsidR="00C54BC9" w:rsidRPr="00164238" w:rsidRDefault="00C54BC9" w:rsidP="00682CBF">
            <w:pPr>
              <w:contextualSpacing/>
              <w:jc w:val="center"/>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6,771</w:t>
            </w:r>
          </w:p>
        </w:tc>
      </w:tr>
    </w:tbl>
    <w:p w14:paraId="486445E8" w14:textId="77777777" w:rsidR="00C54BC9" w:rsidRPr="00164238" w:rsidRDefault="00C54BC9" w:rsidP="00C54BC9">
      <w:pPr>
        <w:rPr>
          <w:rFonts w:ascii="Times New Roman" w:hAnsi="Times New Roman" w:cs="Times New Roman"/>
          <w:color w:val="000000" w:themeColor="text1"/>
        </w:rPr>
      </w:pPr>
      <w:r w:rsidRPr="00164238">
        <w:rPr>
          <w:rFonts w:ascii="Times New Roman" w:hAnsi="Times New Roman" w:cs="Times New Roman"/>
          <w:color w:val="000000" w:themeColor="text1"/>
        </w:rPr>
        <w:t>Source: Insurance Association of Turkey</w:t>
      </w:r>
    </w:p>
    <w:p w14:paraId="49DABDE2" w14:textId="77777777" w:rsidR="00C54BC9" w:rsidRPr="00164238" w:rsidRDefault="00C54BC9" w:rsidP="00C54BC9">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As of 2020, there are 63 active companies in the insurance sector, including 39 non-life insurance companies, 21 life and pension companies, and 3 reinsurance companies. While there was a decrease in the number of employees in many sectors, the total number of employees in the insurance sector increased by 4.4% compared to December 2019 and reached 20,417 as of December 2020.</w:t>
      </w:r>
    </w:p>
    <w:p w14:paraId="67B35074" w14:textId="77777777" w:rsidR="00C54BC9" w:rsidRPr="00164238" w:rsidRDefault="00C54BC9" w:rsidP="00C54BC9">
      <w:pPr>
        <w:spacing w:before="120" w:after="120" w:line="276" w:lineRule="auto"/>
        <w:ind w:firstLine="567"/>
        <w:jc w:val="both"/>
        <w:rPr>
          <w:rFonts w:ascii="Times New Roman" w:hAnsi="Times New Roman" w:cs="Times New Roman"/>
          <w:b/>
          <w:color w:val="000000" w:themeColor="text1"/>
        </w:rPr>
      </w:pPr>
      <w:r w:rsidRPr="00164238">
        <w:rPr>
          <w:rFonts w:ascii="Times New Roman" w:hAnsi="Times New Roman" w:cs="Times New Roman"/>
          <w:b/>
          <w:color w:val="000000" w:themeColor="text1"/>
        </w:rPr>
        <w:t>Premium Volume</w:t>
      </w:r>
    </w:p>
    <w:p w14:paraId="65226BAC" w14:textId="77777777" w:rsidR="00C54BC9" w:rsidRPr="00164238" w:rsidRDefault="00C54BC9" w:rsidP="00C54BC9">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The total gross premium and direct premium volume in the insurance sector in 2019 and 2020 are given in figure 2.</w:t>
      </w:r>
    </w:p>
    <w:p w14:paraId="74899726" w14:textId="77777777" w:rsidR="00C54BC9" w:rsidRPr="00164238" w:rsidRDefault="00C54BC9" w:rsidP="00C54BC9">
      <w:pPr>
        <w:spacing w:before="120"/>
        <w:jc w:val="both"/>
        <w:rPr>
          <w:rFonts w:ascii="Times New Roman" w:hAnsi="Times New Roman" w:cs="Times New Roman"/>
          <w:b/>
          <w:color w:val="000000" w:themeColor="text1"/>
        </w:rPr>
      </w:pPr>
      <w:r w:rsidRPr="00164238">
        <w:rPr>
          <w:rFonts w:ascii="Times New Roman" w:hAnsi="Times New Roman" w:cs="Times New Roman"/>
          <w:noProof/>
          <w:color w:val="000000" w:themeColor="text1"/>
          <w:lang w:val="en-US"/>
        </w:rPr>
        <w:drawing>
          <wp:inline distT="0" distB="0" distL="0" distR="0" wp14:anchorId="7186424C" wp14:editId="46AA3FC4">
            <wp:extent cx="5371465" cy="1955800"/>
            <wp:effectExtent l="19050" t="19050" r="19685" b="25400"/>
            <wp:docPr id="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t="2422" b="2541"/>
                    <a:stretch/>
                  </pic:blipFill>
                  <pic:spPr bwMode="auto">
                    <a:xfrm>
                      <a:off x="0" y="0"/>
                      <a:ext cx="5420118" cy="1973515"/>
                    </a:xfrm>
                    <a:prstGeom prst="rect">
                      <a:avLst/>
                    </a:prstGeom>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D787BB2" w14:textId="77777777" w:rsidR="00C54BC9" w:rsidRPr="00164238" w:rsidRDefault="00C54BC9" w:rsidP="00C54BC9">
      <w:pPr>
        <w:spacing w:line="276" w:lineRule="auto"/>
        <w:jc w:val="both"/>
        <w:rPr>
          <w:rFonts w:ascii="Times New Roman" w:hAnsi="Times New Roman" w:cs="Times New Roman"/>
          <w:b/>
          <w:color w:val="000000" w:themeColor="text1"/>
        </w:rPr>
      </w:pPr>
      <w:r w:rsidRPr="00164238">
        <w:rPr>
          <w:rFonts w:ascii="Times New Roman" w:hAnsi="Times New Roman" w:cs="Times New Roman"/>
          <w:i/>
          <w:color w:val="000000" w:themeColor="text1"/>
        </w:rPr>
        <w:t>Figure 1.</w:t>
      </w:r>
      <w:r w:rsidRPr="00164238">
        <w:rPr>
          <w:rFonts w:ascii="Times New Roman" w:hAnsi="Times New Roman" w:cs="Times New Roman"/>
          <w:color w:val="000000" w:themeColor="text1"/>
        </w:rPr>
        <w:t xml:space="preserve"> Gross Premium-Direct Premium Volume in 2019 and 2020</w:t>
      </w:r>
    </w:p>
    <w:p w14:paraId="722E5545" w14:textId="77777777" w:rsidR="00C54BC9" w:rsidRPr="00164238" w:rsidRDefault="00C54BC9" w:rsidP="00C54BC9">
      <w:pPr>
        <w:tabs>
          <w:tab w:val="left" w:pos="6930"/>
        </w:tabs>
        <w:spacing w:after="120" w:line="276" w:lineRule="auto"/>
        <w:rPr>
          <w:rFonts w:ascii="Times New Roman" w:hAnsi="Times New Roman" w:cs="Times New Roman"/>
          <w:color w:val="000000" w:themeColor="text1"/>
        </w:rPr>
      </w:pPr>
      <w:r w:rsidRPr="00164238">
        <w:rPr>
          <w:rFonts w:ascii="Times New Roman" w:hAnsi="Times New Roman" w:cs="Times New Roman"/>
          <w:i/>
          <w:color w:val="000000" w:themeColor="text1"/>
        </w:rPr>
        <w:t>Source:</w:t>
      </w:r>
      <w:r w:rsidRPr="00164238">
        <w:rPr>
          <w:rFonts w:ascii="Times New Roman" w:hAnsi="Times New Roman" w:cs="Times New Roman"/>
          <w:color w:val="000000" w:themeColor="text1"/>
        </w:rPr>
        <w:t xml:space="preserve"> Insurance Association of Turkey</w:t>
      </w:r>
    </w:p>
    <w:p w14:paraId="768A30B3" w14:textId="77777777" w:rsidR="00C54BC9" w:rsidRPr="00164238" w:rsidRDefault="00C54BC9" w:rsidP="00C54BC9">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In Figure 1, it is seen that the total premium production in 2020 increased by 19.3% (4.3% in real terms) to 82,576 million TRY, and the direct premium production increased by 18.8% </w:t>
      </w:r>
      <w:r w:rsidRPr="00164238">
        <w:rPr>
          <w:rFonts w:ascii="Times New Roman" w:hAnsi="Times New Roman" w:cs="Times New Roman"/>
          <w:color w:val="000000" w:themeColor="text1"/>
        </w:rPr>
        <w:lastRenderedPageBreak/>
        <w:t>(3.6% in real terms) to 75,735 million TRY. The premium volume obtained with reinsurance is 6,841 million TRY.</w:t>
      </w:r>
    </w:p>
    <w:p w14:paraId="2E7B2DF4" w14:textId="77777777" w:rsidR="00C54BC9" w:rsidRPr="00164238" w:rsidRDefault="00C54BC9" w:rsidP="00C54BC9">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Figure 2 and figure 3 show gross premium and direct premium volumes in life insurance and non-life insurance branches, respectively.</w:t>
      </w:r>
    </w:p>
    <w:p w14:paraId="469EA4E9" w14:textId="77777777" w:rsidR="00C54BC9" w:rsidRPr="00164238" w:rsidRDefault="00C54BC9" w:rsidP="00C54BC9">
      <w:pPr>
        <w:spacing w:line="276" w:lineRule="auto"/>
        <w:jc w:val="both"/>
        <w:rPr>
          <w:rFonts w:ascii="Times New Roman" w:hAnsi="Times New Roman" w:cs="Times New Roman"/>
          <w:color w:val="000000" w:themeColor="text1"/>
        </w:rPr>
      </w:pPr>
      <w:r w:rsidRPr="00164238">
        <w:rPr>
          <w:rFonts w:ascii="Times New Roman" w:hAnsi="Times New Roman" w:cs="Times New Roman"/>
          <w:noProof/>
          <w:color w:val="000000" w:themeColor="text1"/>
          <w:lang w:val="en-US"/>
        </w:rPr>
        <w:drawing>
          <wp:inline distT="0" distB="0" distL="0" distR="0" wp14:anchorId="0C5D1A3F" wp14:editId="6AC4A6C5">
            <wp:extent cx="5351780" cy="2006600"/>
            <wp:effectExtent l="0" t="0" r="1270" b="0"/>
            <wp:docPr id="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372205" cy="2014258"/>
                    </a:xfrm>
                    <a:prstGeom prst="rect">
                      <a:avLst/>
                    </a:prstGeom>
                    <a:noFill/>
                  </pic:spPr>
                </pic:pic>
              </a:graphicData>
            </a:graphic>
          </wp:inline>
        </w:drawing>
      </w:r>
      <w:r w:rsidRPr="00164238">
        <w:rPr>
          <w:rFonts w:ascii="Times New Roman" w:hAnsi="Times New Roman" w:cs="Times New Roman"/>
          <w:i/>
          <w:color w:val="000000" w:themeColor="text1"/>
        </w:rPr>
        <w:t>Figure 2.</w:t>
      </w:r>
      <w:r w:rsidRPr="00164238">
        <w:rPr>
          <w:rFonts w:ascii="Times New Roman" w:hAnsi="Times New Roman" w:cs="Times New Roman"/>
          <w:color w:val="000000" w:themeColor="text1"/>
        </w:rPr>
        <w:t xml:space="preserve"> Life Insurance and Non-Life Insurance Gross Premium Volume in 2019 and 2020</w:t>
      </w:r>
    </w:p>
    <w:p w14:paraId="4F294C1F" w14:textId="77777777" w:rsidR="00C54BC9" w:rsidRPr="00164238" w:rsidRDefault="00C54BC9" w:rsidP="00C54BC9">
      <w:pPr>
        <w:spacing w:after="120" w:line="276" w:lineRule="auto"/>
        <w:jc w:val="both"/>
        <w:rPr>
          <w:rFonts w:ascii="Times New Roman" w:hAnsi="Times New Roman" w:cs="Times New Roman"/>
          <w:color w:val="000000" w:themeColor="text1"/>
        </w:rPr>
      </w:pPr>
      <w:r w:rsidRPr="00164238">
        <w:rPr>
          <w:rFonts w:ascii="Times New Roman" w:hAnsi="Times New Roman" w:cs="Times New Roman"/>
          <w:i/>
          <w:color w:val="000000" w:themeColor="text1"/>
        </w:rPr>
        <w:t>Source:</w:t>
      </w:r>
      <w:r w:rsidRPr="00164238">
        <w:rPr>
          <w:rFonts w:ascii="Times New Roman" w:hAnsi="Times New Roman" w:cs="Times New Roman"/>
          <w:color w:val="000000" w:themeColor="text1"/>
        </w:rPr>
        <w:t xml:space="preserve"> Insurance Association of Turkey</w:t>
      </w:r>
    </w:p>
    <w:p w14:paraId="7E5A140E" w14:textId="77777777" w:rsidR="00C54BC9" w:rsidRPr="00164238" w:rsidRDefault="00C54BC9" w:rsidP="00C54BC9">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Figure 2 shows that the gross premium volume in non-life insurance branches increased by 17.7% (2.7% in real terms) and reached 68,144 million TRY; It is observed that the gross premium volume in life branches increased by 27% (10.9% in real terms) to TRY 14,432 million.</w:t>
      </w:r>
    </w:p>
    <w:p w14:paraId="60C05246" w14:textId="77777777" w:rsidR="00C54BC9" w:rsidRPr="00164238" w:rsidRDefault="00C54BC9" w:rsidP="00C54BC9">
      <w:pPr>
        <w:spacing w:line="276" w:lineRule="auto"/>
        <w:jc w:val="both"/>
        <w:rPr>
          <w:rFonts w:ascii="Times New Roman" w:hAnsi="Times New Roman" w:cs="Times New Roman"/>
          <w:color w:val="000000" w:themeColor="text1"/>
        </w:rPr>
      </w:pPr>
      <w:r w:rsidRPr="00164238">
        <w:rPr>
          <w:rFonts w:ascii="Times New Roman" w:hAnsi="Times New Roman" w:cs="Times New Roman"/>
          <w:noProof/>
          <w:color w:val="000000" w:themeColor="text1"/>
          <w:lang w:val="en-US"/>
        </w:rPr>
        <w:drawing>
          <wp:inline distT="0" distB="0" distL="0" distR="0" wp14:anchorId="153EC323" wp14:editId="23D0DB07">
            <wp:extent cx="5356691" cy="2038350"/>
            <wp:effectExtent l="0" t="0" r="0" b="0"/>
            <wp:docPr id="7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367995" cy="2042651"/>
                    </a:xfrm>
                    <a:prstGeom prst="rect">
                      <a:avLst/>
                    </a:prstGeom>
                    <a:noFill/>
                  </pic:spPr>
                </pic:pic>
              </a:graphicData>
            </a:graphic>
          </wp:inline>
        </w:drawing>
      </w:r>
    </w:p>
    <w:p w14:paraId="4D212491" w14:textId="77777777" w:rsidR="00C54BC9" w:rsidRPr="00164238" w:rsidRDefault="00C54BC9" w:rsidP="00C54BC9">
      <w:pPr>
        <w:spacing w:line="276" w:lineRule="auto"/>
        <w:jc w:val="both"/>
        <w:rPr>
          <w:rFonts w:ascii="Times New Roman" w:hAnsi="Times New Roman" w:cs="Times New Roman"/>
          <w:color w:val="000000" w:themeColor="text1"/>
        </w:rPr>
      </w:pPr>
      <w:r w:rsidRPr="00164238">
        <w:rPr>
          <w:rFonts w:ascii="Times New Roman" w:hAnsi="Times New Roman" w:cs="Times New Roman"/>
          <w:i/>
          <w:color w:val="000000" w:themeColor="text1"/>
        </w:rPr>
        <w:t>Figure 3.</w:t>
      </w:r>
      <w:r w:rsidRPr="00164238">
        <w:rPr>
          <w:rFonts w:ascii="Times New Roman" w:hAnsi="Times New Roman" w:cs="Times New Roman"/>
          <w:color w:val="000000" w:themeColor="text1"/>
        </w:rPr>
        <w:t xml:space="preserve"> Life Insurance and Non-Life Insurance Direct Premium Volume in 2019 and 2020</w:t>
      </w:r>
    </w:p>
    <w:p w14:paraId="0B84A00D" w14:textId="77777777" w:rsidR="00C54BC9" w:rsidRPr="00164238" w:rsidRDefault="00C54BC9" w:rsidP="00C54BC9">
      <w:pPr>
        <w:spacing w:after="120" w:line="276" w:lineRule="auto"/>
        <w:jc w:val="both"/>
        <w:rPr>
          <w:rFonts w:ascii="Times New Roman" w:hAnsi="Times New Roman" w:cs="Times New Roman"/>
          <w:color w:val="000000" w:themeColor="text1"/>
        </w:rPr>
      </w:pPr>
      <w:r w:rsidRPr="00164238">
        <w:rPr>
          <w:rFonts w:ascii="Times New Roman" w:hAnsi="Times New Roman" w:cs="Times New Roman"/>
          <w:i/>
          <w:color w:val="000000" w:themeColor="text1"/>
        </w:rPr>
        <w:t>Source:</w:t>
      </w:r>
      <w:r w:rsidRPr="00164238">
        <w:rPr>
          <w:rFonts w:ascii="Times New Roman" w:hAnsi="Times New Roman" w:cs="Times New Roman"/>
          <w:color w:val="000000" w:themeColor="text1"/>
        </w:rPr>
        <w:t xml:space="preserve"> Insurance Association of Turkey</w:t>
      </w:r>
    </w:p>
    <w:p w14:paraId="79FCD03C" w14:textId="77777777" w:rsidR="00C54BC9" w:rsidRPr="00164238" w:rsidRDefault="00C54BC9" w:rsidP="00C54BC9">
      <w:pPr>
        <w:spacing w:before="120" w:after="120" w:line="276" w:lineRule="auto"/>
        <w:ind w:firstLine="562"/>
        <w:jc w:val="both"/>
        <w:rPr>
          <w:rFonts w:ascii="Times New Roman" w:hAnsi="Times New Roman" w:cs="Times New Roman"/>
          <w:color w:val="000000" w:themeColor="text1"/>
        </w:rPr>
      </w:pPr>
      <w:r w:rsidRPr="00164238">
        <w:rPr>
          <w:rFonts w:ascii="Times New Roman" w:hAnsi="Times New Roman" w:cs="Times New Roman"/>
          <w:color w:val="000000" w:themeColor="text1"/>
        </w:rPr>
        <w:t>In Figure 3, while direct premium volume in non-life insurance branches increased by 17% (2.7% in real terms) and reached 61,144 million TRY; It is observed that direct premium volume in life insurance branches increased by 27.1% (10.9% in real terms) and reached 14,432 million TRY.</w:t>
      </w:r>
    </w:p>
    <w:p w14:paraId="72CD92DE" w14:textId="10E25F97" w:rsidR="00C54BC9" w:rsidRDefault="00C54BC9" w:rsidP="00C54BC9">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The distribution of insurance branches in the market and the change in premium production are given in Table 2.</w:t>
      </w:r>
    </w:p>
    <w:p w14:paraId="53883F44" w14:textId="77777777" w:rsidR="00C54BC9" w:rsidRPr="00164238" w:rsidRDefault="00C54BC9" w:rsidP="00C54BC9">
      <w:pPr>
        <w:spacing w:before="120" w:line="276" w:lineRule="auto"/>
        <w:jc w:val="both"/>
        <w:rPr>
          <w:rFonts w:ascii="Times New Roman" w:hAnsi="Times New Roman" w:cs="Times New Roman"/>
          <w:color w:val="000000" w:themeColor="text1"/>
        </w:rPr>
      </w:pPr>
      <w:r w:rsidRPr="00164238">
        <w:rPr>
          <w:rFonts w:ascii="Times New Roman" w:hAnsi="Times New Roman" w:cs="Times New Roman"/>
          <w:i/>
          <w:color w:val="000000" w:themeColor="text1"/>
        </w:rPr>
        <w:lastRenderedPageBreak/>
        <w:t>Table 2.</w:t>
      </w:r>
      <w:r w:rsidRPr="00164238">
        <w:rPr>
          <w:rFonts w:ascii="Times New Roman" w:hAnsi="Times New Roman" w:cs="Times New Roman"/>
          <w:color w:val="000000" w:themeColor="text1"/>
        </w:rPr>
        <w:t xml:space="preserve"> Premium volume by line of business</w:t>
      </w:r>
    </w:p>
    <w:tbl>
      <w:tblPr>
        <w:tblW w:w="499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600" w:firstRow="0" w:lastRow="0" w:firstColumn="0" w:lastColumn="0" w:noHBand="1" w:noVBand="1"/>
      </w:tblPr>
      <w:tblGrid>
        <w:gridCol w:w="2694"/>
        <w:gridCol w:w="1261"/>
        <w:gridCol w:w="901"/>
        <w:gridCol w:w="1081"/>
        <w:gridCol w:w="811"/>
        <w:gridCol w:w="899"/>
        <w:gridCol w:w="836"/>
      </w:tblGrid>
      <w:tr w:rsidR="00164238" w:rsidRPr="00164238" w14:paraId="722B87A7" w14:textId="77777777" w:rsidTr="00682CBF">
        <w:trPr>
          <w:trHeight w:val="20"/>
        </w:trPr>
        <w:tc>
          <w:tcPr>
            <w:tcW w:w="1588" w:type="pct"/>
            <w:vMerge w:val="restart"/>
            <w:shd w:val="clear" w:color="auto" w:fill="FFFFFF"/>
            <w:tcMar>
              <w:top w:w="10" w:type="dxa"/>
              <w:left w:w="10" w:type="dxa"/>
              <w:bottom w:w="0" w:type="dxa"/>
              <w:right w:w="10" w:type="dxa"/>
            </w:tcMar>
            <w:vAlign w:val="center"/>
            <w:hideMark/>
          </w:tcPr>
          <w:p w14:paraId="2CEFEDD8" w14:textId="77777777" w:rsidR="00C54BC9" w:rsidRPr="00164238" w:rsidRDefault="00C54BC9" w:rsidP="00682CBF">
            <w:pPr>
              <w:jc w:val="center"/>
              <w:textAlignment w:val="center"/>
              <w:rPr>
                <w:rFonts w:ascii="Times New Roman" w:hAnsi="Times New Roman" w:cs="Times New Roman"/>
                <w:color w:val="000000" w:themeColor="text1"/>
                <w:lang w:eastAsia="tr-TR"/>
              </w:rPr>
            </w:pPr>
            <w:r w:rsidRPr="00164238">
              <w:rPr>
                <w:rFonts w:ascii="Times New Roman" w:hAnsi="Times New Roman" w:cs="Times New Roman"/>
                <w:b/>
                <w:bCs/>
                <w:color w:val="000000" w:themeColor="text1"/>
                <w:kern w:val="24"/>
                <w:lang w:eastAsia="tr-TR"/>
              </w:rPr>
              <w:t>Line of Business</w:t>
            </w:r>
          </w:p>
        </w:tc>
        <w:tc>
          <w:tcPr>
            <w:tcW w:w="1274" w:type="pct"/>
            <w:gridSpan w:val="2"/>
            <w:shd w:val="clear" w:color="auto" w:fill="FFFFFF"/>
            <w:tcMar>
              <w:top w:w="10" w:type="dxa"/>
              <w:left w:w="10" w:type="dxa"/>
              <w:bottom w:w="0" w:type="dxa"/>
              <w:right w:w="10" w:type="dxa"/>
            </w:tcMar>
            <w:vAlign w:val="center"/>
            <w:hideMark/>
          </w:tcPr>
          <w:p w14:paraId="0B843EA7" w14:textId="77777777" w:rsidR="00C54BC9" w:rsidRPr="00164238" w:rsidRDefault="00C54BC9" w:rsidP="00682CBF">
            <w:pPr>
              <w:jc w:val="center"/>
              <w:textAlignment w:val="center"/>
              <w:rPr>
                <w:rFonts w:ascii="Times New Roman" w:hAnsi="Times New Roman" w:cs="Times New Roman"/>
                <w:color w:val="000000" w:themeColor="text1"/>
                <w:lang w:eastAsia="tr-TR"/>
              </w:rPr>
            </w:pPr>
            <w:r w:rsidRPr="00164238">
              <w:rPr>
                <w:rFonts w:ascii="Times New Roman" w:hAnsi="Times New Roman" w:cs="Times New Roman"/>
                <w:b/>
                <w:bCs/>
                <w:color w:val="000000" w:themeColor="text1"/>
                <w:kern w:val="24"/>
                <w:lang w:eastAsia="tr-TR"/>
              </w:rPr>
              <w:t>2020-12</w:t>
            </w:r>
          </w:p>
        </w:tc>
        <w:tc>
          <w:tcPr>
            <w:tcW w:w="1115" w:type="pct"/>
            <w:gridSpan w:val="2"/>
            <w:shd w:val="clear" w:color="auto" w:fill="FFFFFF"/>
            <w:tcMar>
              <w:top w:w="10" w:type="dxa"/>
              <w:left w:w="10" w:type="dxa"/>
              <w:bottom w:w="0" w:type="dxa"/>
              <w:right w:w="10" w:type="dxa"/>
            </w:tcMar>
            <w:vAlign w:val="center"/>
            <w:hideMark/>
          </w:tcPr>
          <w:p w14:paraId="6B645592" w14:textId="77777777" w:rsidR="00C54BC9" w:rsidRPr="00164238" w:rsidRDefault="00C54BC9" w:rsidP="00682CBF">
            <w:pPr>
              <w:jc w:val="center"/>
              <w:textAlignment w:val="center"/>
              <w:rPr>
                <w:rFonts w:ascii="Times New Roman" w:hAnsi="Times New Roman" w:cs="Times New Roman"/>
                <w:color w:val="000000" w:themeColor="text1"/>
                <w:lang w:eastAsia="tr-TR"/>
              </w:rPr>
            </w:pPr>
            <w:r w:rsidRPr="00164238">
              <w:rPr>
                <w:rFonts w:ascii="Times New Roman" w:hAnsi="Times New Roman" w:cs="Times New Roman"/>
                <w:b/>
                <w:bCs/>
                <w:color w:val="000000" w:themeColor="text1"/>
                <w:kern w:val="24"/>
                <w:lang w:eastAsia="tr-TR"/>
              </w:rPr>
              <w:t>2019-12</w:t>
            </w:r>
          </w:p>
        </w:tc>
        <w:tc>
          <w:tcPr>
            <w:tcW w:w="1023" w:type="pct"/>
            <w:gridSpan w:val="2"/>
            <w:shd w:val="clear" w:color="auto" w:fill="FFFFFF"/>
            <w:tcMar>
              <w:top w:w="10" w:type="dxa"/>
              <w:left w:w="10" w:type="dxa"/>
              <w:bottom w:w="0" w:type="dxa"/>
              <w:right w:w="10" w:type="dxa"/>
            </w:tcMar>
            <w:vAlign w:val="center"/>
            <w:hideMark/>
          </w:tcPr>
          <w:p w14:paraId="0333B821" w14:textId="77777777" w:rsidR="00C54BC9" w:rsidRPr="00164238" w:rsidRDefault="00C54BC9" w:rsidP="00682CBF">
            <w:pPr>
              <w:jc w:val="center"/>
              <w:rPr>
                <w:rFonts w:ascii="Times New Roman" w:hAnsi="Times New Roman" w:cs="Times New Roman"/>
                <w:color w:val="000000" w:themeColor="text1"/>
                <w:lang w:eastAsia="tr-TR"/>
              </w:rPr>
            </w:pPr>
          </w:p>
        </w:tc>
      </w:tr>
      <w:tr w:rsidR="00164238" w:rsidRPr="00164238" w14:paraId="29C5475E" w14:textId="77777777" w:rsidTr="00682CBF">
        <w:trPr>
          <w:trHeight w:val="20"/>
        </w:trPr>
        <w:tc>
          <w:tcPr>
            <w:tcW w:w="1588" w:type="pct"/>
            <w:vMerge/>
            <w:vAlign w:val="center"/>
            <w:hideMark/>
          </w:tcPr>
          <w:p w14:paraId="0AFFFE52" w14:textId="77777777" w:rsidR="00C54BC9" w:rsidRPr="00164238" w:rsidRDefault="00C54BC9" w:rsidP="00682CBF">
            <w:pPr>
              <w:jc w:val="center"/>
              <w:rPr>
                <w:rFonts w:ascii="Times New Roman" w:hAnsi="Times New Roman" w:cs="Times New Roman"/>
                <w:color w:val="000000" w:themeColor="text1"/>
                <w:lang w:eastAsia="tr-TR"/>
              </w:rPr>
            </w:pPr>
          </w:p>
        </w:tc>
        <w:tc>
          <w:tcPr>
            <w:tcW w:w="743" w:type="pct"/>
            <w:shd w:val="clear" w:color="auto" w:fill="FFFFFF"/>
            <w:tcMar>
              <w:top w:w="10" w:type="dxa"/>
              <w:left w:w="10" w:type="dxa"/>
              <w:bottom w:w="0" w:type="dxa"/>
              <w:right w:w="10" w:type="dxa"/>
            </w:tcMar>
            <w:vAlign w:val="center"/>
            <w:hideMark/>
          </w:tcPr>
          <w:p w14:paraId="19CC4285" w14:textId="77777777" w:rsidR="00C54BC9" w:rsidRPr="00164238" w:rsidRDefault="00C54BC9" w:rsidP="00682CBF">
            <w:pPr>
              <w:jc w:val="center"/>
              <w:textAlignment w:val="center"/>
              <w:rPr>
                <w:rFonts w:ascii="Times New Roman" w:hAnsi="Times New Roman" w:cs="Times New Roman"/>
                <w:b/>
                <w:bCs/>
                <w:color w:val="000000" w:themeColor="text1"/>
                <w:kern w:val="24"/>
                <w:lang w:eastAsia="tr-TR"/>
              </w:rPr>
            </w:pPr>
            <w:r w:rsidRPr="00164238">
              <w:rPr>
                <w:rFonts w:ascii="Times New Roman" w:hAnsi="Times New Roman" w:cs="Times New Roman"/>
                <w:b/>
                <w:bCs/>
                <w:color w:val="000000" w:themeColor="text1"/>
                <w:kern w:val="24"/>
                <w:lang w:eastAsia="tr-TR"/>
              </w:rPr>
              <w:t xml:space="preserve">Premium Volume </w:t>
            </w:r>
          </w:p>
          <w:p w14:paraId="4C209AAB" w14:textId="77777777" w:rsidR="00C54BC9" w:rsidRPr="00164238" w:rsidRDefault="00C54BC9" w:rsidP="00682CBF">
            <w:pPr>
              <w:jc w:val="center"/>
              <w:textAlignment w:val="center"/>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(mm TRY)</w:t>
            </w:r>
          </w:p>
        </w:tc>
        <w:tc>
          <w:tcPr>
            <w:tcW w:w="531" w:type="pct"/>
            <w:shd w:val="clear" w:color="auto" w:fill="FFFFFF"/>
            <w:tcMar>
              <w:top w:w="10" w:type="dxa"/>
              <w:left w:w="10" w:type="dxa"/>
              <w:bottom w:w="0" w:type="dxa"/>
              <w:right w:w="10" w:type="dxa"/>
            </w:tcMar>
            <w:vAlign w:val="center"/>
            <w:hideMark/>
          </w:tcPr>
          <w:p w14:paraId="19DA6E5C" w14:textId="77777777" w:rsidR="00C54BC9" w:rsidRPr="00164238" w:rsidRDefault="00C54BC9" w:rsidP="00682CBF">
            <w:pPr>
              <w:jc w:val="center"/>
              <w:textAlignment w:val="center"/>
              <w:rPr>
                <w:rFonts w:ascii="Times New Roman" w:hAnsi="Times New Roman" w:cs="Times New Roman"/>
                <w:color w:val="000000" w:themeColor="text1"/>
                <w:lang w:eastAsia="tr-TR"/>
              </w:rPr>
            </w:pPr>
            <w:r w:rsidRPr="00164238">
              <w:rPr>
                <w:rFonts w:ascii="Times New Roman" w:hAnsi="Times New Roman" w:cs="Times New Roman"/>
                <w:b/>
                <w:bCs/>
                <w:color w:val="000000" w:themeColor="text1"/>
                <w:kern w:val="24"/>
                <w:lang w:eastAsia="tr-TR"/>
              </w:rPr>
              <w:t xml:space="preserve">Market Share </w:t>
            </w:r>
            <w:r w:rsidRPr="00164238">
              <w:rPr>
                <w:rFonts w:ascii="Times New Roman" w:hAnsi="Times New Roman" w:cs="Times New Roman"/>
                <w:color w:val="000000" w:themeColor="text1"/>
                <w:kern w:val="24"/>
                <w:lang w:eastAsia="tr-TR"/>
              </w:rPr>
              <w:t>%</w:t>
            </w:r>
          </w:p>
        </w:tc>
        <w:tc>
          <w:tcPr>
            <w:tcW w:w="637" w:type="pct"/>
            <w:shd w:val="clear" w:color="auto" w:fill="FFFFFF"/>
            <w:tcMar>
              <w:top w:w="10" w:type="dxa"/>
              <w:left w:w="10" w:type="dxa"/>
              <w:bottom w:w="0" w:type="dxa"/>
              <w:right w:w="10" w:type="dxa"/>
            </w:tcMar>
            <w:vAlign w:val="center"/>
            <w:hideMark/>
          </w:tcPr>
          <w:p w14:paraId="6BC889E6" w14:textId="77777777" w:rsidR="00C54BC9" w:rsidRPr="00164238" w:rsidRDefault="00C54BC9" w:rsidP="00682CBF">
            <w:pPr>
              <w:jc w:val="center"/>
              <w:textAlignment w:val="center"/>
              <w:rPr>
                <w:rFonts w:ascii="Times New Roman" w:hAnsi="Times New Roman" w:cs="Times New Roman"/>
                <w:b/>
                <w:bCs/>
                <w:color w:val="000000" w:themeColor="text1"/>
                <w:kern w:val="24"/>
                <w:lang w:eastAsia="tr-TR"/>
              </w:rPr>
            </w:pPr>
            <w:r w:rsidRPr="00164238">
              <w:rPr>
                <w:rFonts w:ascii="Times New Roman" w:hAnsi="Times New Roman" w:cs="Times New Roman"/>
                <w:b/>
                <w:bCs/>
                <w:color w:val="000000" w:themeColor="text1"/>
                <w:kern w:val="24"/>
                <w:lang w:eastAsia="tr-TR"/>
              </w:rPr>
              <w:t xml:space="preserve">Premium Volume </w:t>
            </w:r>
          </w:p>
          <w:p w14:paraId="075F2B87" w14:textId="77777777" w:rsidR="00C54BC9" w:rsidRPr="00164238" w:rsidRDefault="00C54BC9" w:rsidP="00682CBF">
            <w:pPr>
              <w:jc w:val="center"/>
              <w:textAlignment w:val="center"/>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(mm TRY)</w:t>
            </w:r>
          </w:p>
        </w:tc>
        <w:tc>
          <w:tcPr>
            <w:tcW w:w="478" w:type="pct"/>
            <w:shd w:val="clear" w:color="auto" w:fill="FFFFFF"/>
            <w:tcMar>
              <w:top w:w="10" w:type="dxa"/>
              <w:left w:w="10" w:type="dxa"/>
              <w:bottom w:w="0" w:type="dxa"/>
              <w:right w:w="10" w:type="dxa"/>
            </w:tcMar>
            <w:vAlign w:val="center"/>
            <w:hideMark/>
          </w:tcPr>
          <w:p w14:paraId="69158DF7" w14:textId="77777777" w:rsidR="00C54BC9" w:rsidRPr="00164238" w:rsidRDefault="00C54BC9" w:rsidP="00682CBF">
            <w:pPr>
              <w:jc w:val="center"/>
              <w:textAlignment w:val="center"/>
              <w:rPr>
                <w:rFonts w:ascii="Times New Roman" w:hAnsi="Times New Roman" w:cs="Times New Roman"/>
                <w:color w:val="000000" w:themeColor="text1"/>
                <w:lang w:eastAsia="tr-TR"/>
              </w:rPr>
            </w:pPr>
            <w:r w:rsidRPr="00164238">
              <w:rPr>
                <w:rFonts w:ascii="Times New Roman" w:hAnsi="Times New Roman" w:cs="Times New Roman"/>
                <w:b/>
                <w:bCs/>
                <w:color w:val="000000" w:themeColor="text1"/>
                <w:kern w:val="24"/>
                <w:lang w:eastAsia="tr-TR"/>
              </w:rPr>
              <w:t xml:space="preserve">Market Share </w:t>
            </w:r>
            <w:r w:rsidRPr="00164238">
              <w:rPr>
                <w:rFonts w:ascii="Times New Roman" w:hAnsi="Times New Roman" w:cs="Times New Roman"/>
                <w:color w:val="000000" w:themeColor="text1"/>
                <w:kern w:val="24"/>
                <w:lang w:eastAsia="tr-TR"/>
              </w:rPr>
              <w:t>%</w:t>
            </w:r>
          </w:p>
        </w:tc>
        <w:tc>
          <w:tcPr>
            <w:tcW w:w="530" w:type="pct"/>
            <w:shd w:val="clear" w:color="auto" w:fill="FFFFFF"/>
            <w:tcMar>
              <w:top w:w="10" w:type="dxa"/>
              <w:left w:w="10" w:type="dxa"/>
              <w:bottom w:w="0" w:type="dxa"/>
              <w:right w:w="10" w:type="dxa"/>
            </w:tcMar>
            <w:vAlign w:val="center"/>
            <w:hideMark/>
          </w:tcPr>
          <w:p w14:paraId="7AF43836" w14:textId="77777777" w:rsidR="00C54BC9" w:rsidRPr="00164238" w:rsidRDefault="00C54BC9" w:rsidP="00682CBF">
            <w:pPr>
              <w:jc w:val="center"/>
              <w:textAlignment w:val="center"/>
              <w:rPr>
                <w:rFonts w:ascii="Times New Roman" w:hAnsi="Times New Roman" w:cs="Times New Roman"/>
                <w:color w:val="000000" w:themeColor="text1"/>
                <w:lang w:eastAsia="tr-TR"/>
              </w:rPr>
            </w:pPr>
            <w:r w:rsidRPr="00164238">
              <w:rPr>
                <w:rFonts w:ascii="Times New Roman" w:hAnsi="Times New Roman" w:cs="Times New Roman"/>
                <w:b/>
                <w:bCs/>
                <w:color w:val="000000" w:themeColor="text1"/>
                <w:kern w:val="24"/>
                <w:lang w:eastAsia="tr-TR"/>
              </w:rPr>
              <w:t xml:space="preserve">Nominal G. </w:t>
            </w:r>
            <w:r w:rsidRPr="00164238">
              <w:rPr>
                <w:rFonts w:ascii="Times New Roman" w:hAnsi="Times New Roman" w:cs="Times New Roman"/>
                <w:bCs/>
                <w:color w:val="000000" w:themeColor="text1"/>
                <w:kern w:val="24"/>
                <w:lang w:eastAsia="tr-TR"/>
              </w:rPr>
              <w:t>%</w:t>
            </w:r>
          </w:p>
        </w:tc>
        <w:tc>
          <w:tcPr>
            <w:tcW w:w="493" w:type="pct"/>
            <w:shd w:val="clear" w:color="auto" w:fill="FFFFFF"/>
            <w:tcMar>
              <w:top w:w="10" w:type="dxa"/>
              <w:left w:w="10" w:type="dxa"/>
              <w:bottom w:w="0" w:type="dxa"/>
              <w:right w:w="10" w:type="dxa"/>
            </w:tcMar>
            <w:vAlign w:val="center"/>
            <w:hideMark/>
          </w:tcPr>
          <w:p w14:paraId="061D56A6" w14:textId="77777777" w:rsidR="00C54BC9" w:rsidRPr="00164238" w:rsidRDefault="00C54BC9" w:rsidP="00682CBF">
            <w:pPr>
              <w:jc w:val="center"/>
              <w:textAlignment w:val="center"/>
              <w:rPr>
                <w:rFonts w:ascii="Times New Roman" w:hAnsi="Times New Roman" w:cs="Times New Roman"/>
                <w:b/>
                <w:bCs/>
                <w:color w:val="000000" w:themeColor="text1"/>
                <w:kern w:val="24"/>
                <w:lang w:eastAsia="tr-TR"/>
              </w:rPr>
            </w:pPr>
            <w:r w:rsidRPr="00164238">
              <w:rPr>
                <w:rFonts w:ascii="Times New Roman" w:hAnsi="Times New Roman" w:cs="Times New Roman"/>
                <w:b/>
                <w:bCs/>
                <w:color w:val="000000" w:themeColor="text1"/>
                <w:kern w:val="24"/>
                <w:lang w:eastAsia="tr-TR"/>
              </w:rPr>
              <w:t xml:space="preserve">Real </w:t>
            </w:r>
          </w:p>
          <w:p w14:paraId="2E91C87E" w14:textId="77777777" w:rsidR="00C54BC9" w:rsidRPr="00164238" w:rsidRDefault="00C54BC9" w:rsidP="00682CBF">
            <w:pPr>
              <w:jc w:val="center"/>
              <w:textAlignment w:val="center"/>
              <w:rPr>
                <w:rFonts w:ascii="Times New Roman" w:hAnsi="Times New Roman" w:cs="Times New Roman"/>
                <w:color w:val="000000" w:themeColor="text1"/>
                <w:lang w:eastAsia="tr-TR"/>
              </w:rPr>
            </w:pPr>
            <w:r w:rsidRPr="00164238">
              <w:rPr>
                <w:rFonts w:ascii="Times New Roman" w:hAnsi="Times New Roman" w:cs="Times New Roman"/>
                <w:b/>
                <w:bCs/>
                <w:color w:val="000000" w:themeColor="text1"/>
                <w:kern w:val="24"/>
                <w:lang w:eastAsia="tr-TR"/>
              </w:rPr>
              <w:t xml:space="preserve">G. </w:t>
            </w:r>
            <w:r w:rsidRPr="00164238">
              <w:rPr>
                <w:rFonts w:ascii="Times New Roman" w:hAnsi="Times New Roman" w:cs="Times New Roman"/>
                <w:color w:val="000000" w:themeColor="text1"/>
                <w:kern w:val="24"/>
                <w:lang w:eastAsia="tr-TR"/>
              </w:rPr>
              <w:t>%</w:t>
            </w:r>
          </w:p>
        </w:tc>
      </w:tr>
      <w:tr w:rsidR="00164238" w:rsidRPr="00164238" w14:paraId="099FD888" w14:textId="77777777" w:rsidTr="00682CBF">
        <w:trPr>
          <w:trHeight w:val="20"/>
        </w:trPr>
        <w:tc>
          <w:tcPr>
            <w:tcW w:w="1588" w:type="pct"/>
            <w:shd w:val="clear" w:color="auto" w:fill="FFFFFF"/>
            <w:tcMar>
              <w:top w:w="10" w:type="dxa"/>
              <w:left w:w="10" w:type="dxa"/>
              <w:bottom w:w="0" w:type="dxa"/>
              <w:right w:w="10" w:type="dxa"/>
            </w:tcMar>
            <w:vAlign w:val="center"/>
            <w:hideMark/>
          </w:tcPr>
          <w:p w14:paraId="104FA077" w14:textId="77777777" w:rsidR="00C54BC9" w:rsidRPr="00164238" w:rsidRDefault="00C54BC9" w:rsidP="00682CBF">
            <w:pP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Casualty</w:t>
            </w:r>
          </w:p>
        </w:tc>
        <w:tc>
          <w:tcPr>
            <w:tcW w:w="743" w:type="pct"/>
            <w:shd w:val="clear" w:color="auto" w:fill="FFFFFF"/>
            <w:tcMar>
              <w:top w:w="10" w:type="dxa"/>
              <w:left w:w="10" w:type="dxa"/>
              <w:bottom w:w="0" w:type="dxa"/>
              <w:right w:w="10" w:type="dxa"/>
            </w:tcMar>
            <w:vAlign w:val="center"/>
            <w:hideMark/>
          </w:tcPr>
          <w:p w14:paraId="59CBBB5D"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2,237.2</w:t>
            </w:r>
          </w:p>
        </w:tc>
        <w:tc>
          <w:tcPr>
            <w:tcW w:w="531" w:type="pct"/>
            <w:shd w:val="clear" w:color="auto" w:fill="FFFFFF"/>
            <w:tcMar>
              <w:top w:w="10" w:type="dxa"/>
              <w:left w:w="10" w:type="dxa"/>
              <w:bottom w:w="0" w:type="dxa"/>
              <w:right w:w="10" w:type="dxa"/>
            </w:tcMar>
            <w:vAlign w:val="center"/>
            <w:hideMark/>
          </w:tcPr>
          <w:p w14:paraId="77DFB938"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3.28%</w:t>
            </w:r>
          </w:p>
        </w:tc>
        <w:tc>
          <w:tcPr>
            <w:tcW w:w="637" w:type="pct"/>
            <w:shd w:val="clear" w:color="auto" w:fill="FFFFFF"/>
            <w:tcMar>
              <w:top w:w="10" w:type="dxa"/>
              <w:left w:w="10" w:type="dxa"/>
              <w:bottom w:w="0" w:type="dxa"/>
              <w:right w:w="10" w:type="dxa"/>
            </w:tcMar>
            <w:vAlign w:val="center"/>
            <w:hideMark/>
          </w:tcPr>
          <w:p w14:paraId="5CD1A2C3"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2,372.7</w:t>
            </w:r>
          </w:p>
        </w:tc>
        <w:tc>
          <w:tcPr>
            <w:tcW w:w="478" w:type="pct"/>
            <w:shd w:val="clear" w:color="auto" w:fill="FFFFFF"/>
            <w:tcMar>
              <w:top w:w="10" w:type="dxa"/>
              <w:left w:w="10" w:type="dxa"/>
              <w:bottom w:w="0" w:type="dxa"/>
              <w:right w:w="10" w:type="dxa"/>
            </w:tcMar>
            <w:vAlign w:val="center"/>
            <w:hideMark/>
          </w:tcPr>
          <w:p w14:paraId="715DF1C5"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4.10%</w:t>
            </w:r>
          </w:p>
        </w:tc>
        <w:tc>
          <w:tcPr>
            <w:tcW w:w="530" w:type="pct"/>
            <w:shd w:val="clear" w:color="auto" w:fill="FFFFFF"/>
            <w:tcMar>
              <w:top w:w="10" w:type="dxa"/>
              <w:left w:w="10" w:type="dxa"/>
              <w:bottom w:w="0" w:type="dxa"/>
              <w:right w:w="10" w:type="dxa"/>
            </w:tcMar>
            <w:vAlign w:val="center"/>
            <w:hideMark/>
          </w:tcPr>
          <w:p w14:paraId="3C111817"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-5.71%</w:t>
            </w:r>
          </w:p>
        </w:tc>
        <w:tc>
          <w:tcPr>
            <w:tcW w:w="493" w:type="pct"/>
            <w:shd w:val="clear" w:color="auto" w:fill="FFFFFF"/>
            <w:tcMar>
              <w:top w:w="10" w:type="dxa"/>
              <w:left w:w="10" w:type="dxa"/>
              <w:bottom w:w="0" w:type="dxa"/>
              <w:right w:w="10" w:type="dxa"/>
            </w:tcMar>
            <w:vAlign w:val="center"/>
            <w:hideMark/>
          </w:tcPr>
          <w:p w14:paraId="76D5F834"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-17.72%</w:t>
            </w:r>
          </w:p>
        </w:tc>
      </w:tr>
      <w:tr w:rsidR="00164238" w:rsidRPr="00164238" w14:paraId="69819EDE" w14:textId="77777777" w:rsidTr="00682CBF">
        <w:trPr>
          <w:trHeight w:val="20"/>
        </w:trPr>
        <w:tc>
          <w:tcPr>
            <w:tcW w:w="1588" w:type="pct"/>
            <w:shd w:val="clear" w:color="auto" w:fill="FFFFFF"/>
            <w:tcMar>
              <w:top w:w="10" w:type="dxa"/>
              <w:left w:w="10" w:type="dxa"/>
              <w:bottom w:w="0" w:type="dxa"/>
              <w:right w:w="10" w:type="dxa"/>
            </w:tcMar>
            <w:vAlign w:val="center"/>
            <w:hideMark/>
          </w:tcPr>
          <w:p w14:paraId="544293C6" w14:textId="77777777" w:rsidR="00C54BC9" w:rsidRPr="00164238" w:rsidRDefault="00C54BC9" w:rsidP="00682CBF">
            <w:pP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Health / Sickness</w:t>
            </w:r>
          </w:p>
        </w:tc>
        <w:tc>
          <w:tcPr>
            <w:tcW w:w="743" w:type="pct"/>
            <w:shd w:val="clear" w:color="auto" w:fill="FFFFFF"/>
            <w:tcMar>
              <w:top w:w="10" w:type="dxa"/>
              <w:left w:w="10" w:type="dxa"/>
              <w:bottom w:w="0" w:type="dxa"/>
              <w:right w:w="10" w:type="dxa"/>
            </w:tcMar>
            <w:vAlign w:val="center"/>
            <w:hideMark/>
          </w:tcPr>
          <w:p w14:paraId="192BFFE1"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10,095.7</w:t>
            </w:r>
          </w:p>
        </w:tc>
        <w:tc>
          <w:tcPr>
            <w:tcW w:w="531" w:type="pct"/>
            <w:shd w:val="clear" w:color="auto" w:fill="FFFFFF"/>
            <w:tcMar>
              <w:top w:w="10" w:type="dxa"/>
              <w:left w:w="10" w:type="dxa"/>
              <w:bottom w:w="0" w:type="dxa"/>
              <w:right w:w="10" w:type="dxa"/>
            </w:tcMar>
            <w:vAlign w:val="center"/>
            <w:hideMark/>
          </w:tcPr>
          <w:p w14:paraId="48041243"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14.82%</w:t>
            </w:r>
          </w:p>
        </w:tc>
        <w:tc>
          <w:tcPr>
            <w:tcW w:w="637" w:type="pct"/>
            <w:shd w:val="clear" w:color="auto" w:fill="FFFFFF"/>
            <w:tcMar>
              <w:top w:w="10" w:type="dxa"/>
              <w:left w:w="10" w:type="dxa"/>
              <w:bottom w:w="0" w:type="dxa"/>
              <w:right w:w="10" w:type="dxa"/>
            </w:tcMar>
            <w:vAlign w:val="center"/>
            <w:hideMark/>
          </w:tcPr>
          <w:p w14:paraId="5F3D5EAB"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8,358.1</w:t>
            </w:r>
          </w:p>
        </w:tc>
        <w:tc>
          <w:tcPr>
            <w:tcW w:w="478" w:type="pct"/>
            <w:shd w:val="clear" w:color="auto" w:fill="FFFFFF"/>
            <w:tcMar>
              <w:top w:w="10" w:type="dxa"/>
              <w:left w:w="10" w:type="dxa"/>
              <w:bottom w:w="0" w:type="dxa"/>
              <w:right w:w="10" w:type="dxa"/>
            </w:tcMar>
            <w:vAlign w:val="center"/>
            <w:hideMark/>
          </w:tcPr>
          <w:p w14:paraId="5065A727"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14.44%</w:t>
            </w:r>
          </w:p>
        </w:tc>
        <w:tc>
          <w:tcPr>
            <w:tcW w:w="530" w:type="pct"/>
            <w:shd w:val="clear" w:color="auto" w:fill="FFFFFF"/>
            <w:tcMar>
              <w:top w:w="10" w:type="dxa"/>
              <w:left w:w="10" w:type="dxa"/>
              <w:bottom w:w="0" w:type="dxa"/>
              <w:right w:w="10" w:type="dxa"/>
            </w:tcMar>
            <w:vAlign w:val="center"/>
            <w:hideMark/>
          </w:tcPr>
          <w:p w14:paraId="66CA659F"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20.79%</w:t>
            </w:r>
          </w:p>
        </w:tc>
        <w:tc>
          <w:tcPr>
            <w:tcW w:w="493" w:type="pct"/>
            <w:shd w:val="clear" w:color="auto" w:fill="FFFFFF"/>
            <w:tcMar>
              <w:top w:w="10" w:type="dxa"/>
              <w:left w:w="10" w:type="dxa"/>
              <w:bottom w:w="0" w:type="dxa"/>
              <w:right w:w="10" w:type="dxa"/>
            </w:tcMar>
            <w:vAlign w:val="center"/>
            <w:hideMark/>
          </w:tcPr>
          <w:p w14:paraId="7DA97886"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5.40%</w:t>
            </w:r>
          </w:p>
        </w:tc>
      </w:tr>
      <w:tr w:rsidR="00164238" w:rsidRPr="00164238" w14:paraId="5F2D525D" w14:textId="77777777" w:rsidTr="00682CBF">
        <w:trPr>
          <w:trHeight w:val="20"/>
        </w:trPr>
        <w:tc>
          <w:tcPr>
            <w:tcW w:w="1588" w:type="pct"/>
            <w:shd w:val="clear" w:color="auto" w:fill="FFFFFF"/>
            <w:tcMar>
              <w:top w:w="10" w:type="dxa"/>
              <w:left w:w="10" w:type="dxa"/>
              <w:bottom w:w="0" w:type="dxa"/>
              <w:right w:w="10" w:type="dxa"/>
            </w:tcMar>
            <w:vAlign w:val="center"/>
            <w:hideMark/>
          </w:tcPr>
          <w:p w14:paraId="2CB8A3F5" w14:textId="77777777" w:rsidR="00C54BC9" w:rsidRPr="00164238" w:rsidRDefault="00C54BC9" w:rsidP="00682CBF">
            <w:pP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 xml:space="preserve">Motor </w:t>
            </w:r>
          </w:p>
        </w:tc>
        <w:tc>
          <w:tcPr>
            <w:tcW w:w="743" w:type="pct"/>
            <w:shd w:val="clear" w:color="auto" w:fill="FFFFFF"/>
            <w:tcMar>
              <w:top w:w="10" w:type="dxa"/>
              <w:left w:w="10" w:type="dxa"/>
              <w:bottom w:w="0" w:type="dxa"/>
              <w:right w:w="10" w:type="dxa"/>
            </w:tcMar>
            <w:vAlign w:val="center"/>
            <w:hideMark/>
          </w:tcPr>
          <w:p w14:paraId="4276CAC4"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10,737.4</w:t>
            </w:r>
          </w:p>
        </w:tc>
        <w:tc>
          <w:tcPr>
            <w:tcW w:w="531" w:type="pct"/>
            <w:shd w:val="clear" w:color="auto" w:fill="FFFFFF"/>
            <w:tcMar>
              <w:top w:w="10" w:type="dxa"/>
              <w:left w:w="10" w:type="dxa"/>
              <w:bottom w:w="0" w:type="dxa"/>
              <w:right w:w="10" w:type="dxa"/>
            </w:tcMar>
            <w:vAlign w:val="center"/>
            <w:hideMark/>
          </w:tcPr>
          <w:p w14:paraId="624D9618"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15.76%</w:t>
            </w:r>
          </w:p>
        </w:tc>
        <w:tc>
          <w:tcPr>
            <w:tcW w:w="637" w:type="pct"/>
            <w:shd w:val="clear" w:color="auto" w:fill="FFFFFF"/>
            <w:tcMar>
              <w:top w:w="10" w:type="dxa"/>
              <w:left w:w="10" w:type="dxa"/>
              <w:bottom w:w="0" w:type="dxa"/>
              <w:right w:w="10" w:type="dxa"/>
            </w:tcMar>
            <w:vAlign w:val="center"/>
            <w:hideMark/>
          </w:tcPr>
          <w:p w14:paraId="55840F34"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9,406.3</w:t>
            </w:r>
          </w:p>
        </w:tc>
        <w:tc>
          <w:tcPr>
            <w:tcW w:w="478" w:type="pct"/>
            <w:shd w:val="clear" w:color="auto" w:fill="FFFFFF"/>
            <w:tcMar>
              <w:top w:w="10" w:type="dxa"/>
              <w:left w:w="10" w:type="dxa"/>
              <w:bottom w:w="0" w:type="dxa"/>
              <w:right w:w="10" w:type="dxa"/>
            </w:tcMar>
            <w:vAlign w:val="center"/>
            <w:hideMark/>
          </w:tcPr>
          <w:p w14:paraId="46481ABA"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16.25%</w:t>
            </w:r>
          </w:p>
        </w:tc>
        <w:tc>
          <w:tcPr>
            <w:tcW w:w="530" w:type="pct"/>
            <w:shd w:val="clear" w:color="auto" w:fill="FFFFFF"/>
            <w:tcMar>
              <w:top w:w="10" w:type="dxa"/>
              <w:left w:w="10" w:type="dxa"/>
              <w:bottom w:w="0" w:type="dxa"/>
              <w:right w:w="10" w:type="dxa"/>
            </w:tcMar>
            <w:vAlign w:val="center"/>
            <w:hideMark/>
          </w:tcPr>
          <w:p w14:paraId="57362D6E"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14.15%</w:t>
            </w:r>
          </w:p>
        </w:tc>
        <w:tc>
          <w:tcPr>
            <w:tcW w:w="493" w:type="pct"/>
            <w:shd w:val="clear" w:color="auto" w:fill="FFFFFF"/>
            <w:tcMar>
              <w:top w:w="10" w:type="dxa"/>
              <w:left w:w="10" w:type="dxa"/>
              <w:bottom w:w="0" w:type="dxa"/>
              <w:right w:w="10" w:type="dxa"/>
            </w:tcMar>
            <w:vAlign w:val="center"/>
            <w:hideMark/>
          </w:tcPr>
          <w:p w14:paraId="5479C953"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-0.39%</w:t>
            </w:r>
          </w:p>
        </w:tc>
      </w:tr>
      <w:tr w:rsidR="00164238" w:rsidRPr="00164238" w14:paraId="04D22713" w14:textId="77777777" w:rsidTr="00682CBF">
        <w:trPr>
          <w:trHeight w:val="20"/>
        </w:trPr>
        <w:tc>
          <w:tcPr>
            <w:tcW w:w="1588" w:type="pct"/>
            <w:shd w:val="clear" w:color="auto" w:fill="FFFFFF"/>
            <w:tcMar>
              <w:top w:w="10" w:type="dxa"/>
              <w:left w:w="10" w:type="dxa"/>
              <w:bottom w:w="0" w:type="dxa"/>
              <w:right w:w="10" w:type="dxa"/>
            </w:tcMar>
            <w:vAlign w:val="center"/>
            <w:hideMark/>
          </w:tcPr>
          <w:p w14:paraId="68BD9220" w14:textId="77777777" w:rsidR="00C54BC9" w:rsidRPr="00164238" w:rsidRDefault="00C54BC9" w:rsidP="00682CBF">
            <w:pP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Railway Vehicles</w:t>
            </w:r>
          </w:p>
        </w:tc>
        <w:tc>
          <w:tcPr>
            <w:tcW w:w="743" w:type="pct"/>
            <w:shd w:val="clear" w:color="auto" w:fill="FFFFFF"/>
            <w:tcMar>
              <w:top w:w="10" w:type="dxa"/>
              <w:left w:w="10" w:type="dxa"/>
              <w:bottom w:w="0" w:type="dxa"/>
              <w:right w:w="10" w:type="dxa"/>
            </w:tcMar>
            <w:vAlign w:val="center"/>
            <w:hideMark/>
          </w:tcPr>
          <w:p w14:paraId="4B9BB562"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0.0</w:t>
            </w:r>
          </w:p>
        </w:tc>
        <w:tc>
          <w:tcPr>
            <w:tcW w:w="531" w:type="pct"/>
            <w:shd w:val="clear" w:color="auto" w:fill="FFFFFF"/>
            <w:tcMar>
              <w:top w:w="10" w:type="dxa"/>
              <w:left w:w="10" w:type="dxa"/>
              <w:bottom w:w="0" w:type="dxa"/>
              <w:right w:w="10" w:type="dxa"/>
            </w:tcMar>
            <w:vAlign w:val="center"/>
            <w:hideMark/>
          </w:tcPr>
          <w:p w14:paraId="2F8A4FB0"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0.00%</w:t>
            </w:r>
          </w:p>
        </w:tc>
        <w:tc>
          <w:tcPr>
            <w:tcW w:w="637" w:type="pct"/>
            <w:shd w:val="clear" w:color="auto" w:fill="FFFFFF"/>
            <w:tcMar>
              <w:top w:w="10" w:type="dxa"/>
              <w:left w:w="10" w:type="dxa"/>
              <w:bottom w:w="0" w:type="dxa"/>
              <w:right w:w="10" w:type="dxa"/>
            </w:tcMar>
            <w:vAlign w:val="center"/>
            <w:hideMark/>
          </w:tcPr>
          <w:p w14:paraId="681FD9AB"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0.0</w:t>
            </w:r>
          </w:p>
        </w:tc>
        <w:tc>
          <w:tcPr>
            <w:tcW w:w="478" w:type="pct"/>
            <w:shd w:val="clear" w:color="auto" w:fill="FFFFFF"/>
            <w:tcMar>
              <w:top w:w="10" w:type="dxa"/>
              <w:left w:w="10" w:type="dxa"/>
              <w:bottom w:w="0" w:type="dxa"/>
              <w:right w:w="10" w:type="dxa"/>
            </w:tcMar>
            <w:vAlign w:val="center"/>
            <w:hideMark/>
          </w:tcPr>
          <w:p w14:paraId="28EE60F2"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0.00%</w:t>
            </w:r>
          </w:p>
        </w:tc>
        <w:tc>
          <w:tcPr>
            <w:tcW w:w="530" w:type="pct"/>
            <w:shd w:val="clear" w:color="auto" w:fill="FFFFFF"/>
            <w:tcMar>
              <w:top w:w="10" w:type="dxa"/>
              <w:left w:w="10" w:type="dxa"/>
              <w:bottom w:w="0" w:type="dxa"/>
              <w:right w:w="10" w:type="dxa"/>
            </w:tcMar>
            <w:vAlign w:val="center"/>
            <w:hideMark/>
          </w:tcPr>
          <w:p w14:paraId="5C09E600"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15.00%</w:t>
            </w:r>
          </w:p>
        </w:tc>
        <w:tc>
          <w:tcPr>
            <w:tcW w:w="493" w:type="pct"/>
            <w:shd w:val="clear" w:color="auto" w:fill="FFFFFF"/>
            <w:tcMar>
              <w:top w:w="10" w:type="dxa"/>
              <w:left w:w="10" w:type="dxa"/>
              <w:bottom w:w="0" w:type="dxa"/>
              <w:right w:w="10" w:type="dxa"/>
            </w:tcMar>
            <w:vAlign w:val="center"/>
            <w:hideMark/>
          </w:tcPr>
          <w:p w14:paraId="02C96FC9"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0.35%</w:t>
            </w:r>
          </w:p>
        </w:tc>
      </w:tr>
      <w:tr w:rsidR="00164238" w:rsidRPr="00164238" w14:paraId="5AF14D5E" w14:textId="77777777" w:rsidTr="00682CBF">
        <w:trPr>
          <w:trHeight w:val="20"/>
        </w:trPr>
        <w:tc>
          <w:tcPr>
            <w:tcW w:w="1588" w:type="pct"/>
            <w:shd w:val="clear" w:color="auto" w:fill="FFFFFF"/>
            <w:tcMar>
              <w:top w:w="10" w:type="dxa"/>
              <w:left w:w="10" w:type="dxa"/>
              <w:bottom w:w="0" w:type="dxa"/>
              <w:right w:w="10" w:type="dxa"/>
            </w:tcMar>
            <w:vAlign w:val="center"/>
            <w:hideMark/>
          </w:tcPr>
          <w:p w14:paraId="0D31A819" w14:textId="77777777" w:rsidR="00C54BC9" w:rsidRPr="00164238" w:rsidRDefault="00C54BC9" w:rsidP="00682CBF">
            <w:pP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Aviation</w:t>
            </w:r>
          </w:p>
        </w:tc>
        <w:tc>
          <w:tcPr>
            <w:tcW w:w="743" w:type="pct"/>
            <w:shd w:val="clear" w:color="auto" w:fill="FFFFFF"/>
            <w:tcMar>
              <w:top w:w="10" w:type="dxa"/>
              <w:left w:w="10" w:type="dxa"/>
              <w:bottom w:w="0" w:type="dxa"/>
              <w:right w:w="10" w:type="dxa"/>
            </w:tcMar>
            <w:vAlign w:val="center"/>
            <w:hideMark/>
          </w:tcPr>
          <w:p w14:paraId="450A8749"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369.7</w:t>
            </w:r>
          </w:p>
        </w:tc>
        <w:tc>
          <w:tcPr>
            <w:tcW w:w="531" w:type="pct"/>
            <w:shd w:val="clear" w:color="auto" w:fill="FFFFFF"/>
            <w:tcMar>
              <w:top w:w="10" w:type="dxa"/>
              <w:left w:w="10" w:type="dxa"/>
              <w:bottom w:w="0" w:type="dxa"/>
              <w:right w:w="10" w:type="dxa"/>
            </w:tcMar>
            <w:vAlign w:val="center"/>
            <w:hideMark/>
          </w:tcPr>
          <w:p w14:paraId="3FF4DFA7"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0.54%</w:t>
            </w:r>
          </w:p>
        </w:tc>
        <w:tc>
          <w:tcPr>
            <w:tcW w:w="637" w:type="pct"/>
            <w:shd w:val="clear" w:color="auto" w:fill="FFFFFF"/>
            <w:tcMar>
              <w:top w:w="10" w:type="dxa"/>
              <w:left w:w="10" w:type="dxa"/>
              <w:bottom w:w="0" w:type="dxa"/>
              <w:right w:w="10" w:type="dxa"/>
            </w:tcMar>
            <w:vAlign w:val="center"/>
            <w:hideMark/>
          </w:tcPr>
          <w:p w14:paraId="3034DE57"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223.9</w:t>
            </w:r>
          </w:p>
        </w:tc>
        <w:tc>
          <w:tcPr>
            <w:tcW w:w="478" w:type="pct"/>
            <w:shd w:val="clear" w:color="auto" w:fill="FFFFFF"/>
            <w:tcMar>
              <w:top w:w="10" w:type="dxa"/>
              <w:left w:w="10" w:type="dxa"/>
              <w:bottom w:w="0" w:type="dxa"/>
              <w:right w:w="10" w:type="dxa"/>
            </w:tcMar>
            <w:vAlign w:val="center"/>
            <w:hideMark/>
          </w:tcPr>
          <w:p w14:paraId="77426CD2"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0.39%</w:t>
            </w:r>
          </w:p>
        </w:tc>
        <w:tc>
          <w:tcPr>
            <w:tcW w:w="530" w:type="pct"/>
            <w:shd w:val="clear" w:color="auto" w:fill="FFFFFF"/>
            <w:tcMar>
              <w:top w:w="10" w:type="dxa"/>
              <w:left w:w="10" w:type="dxa"/>
              <w:bottom w:w="0" w:type="dxa"/>
              <w:right w:w="10" w:type="dxa"/>
            </w:tcMar>
            <w:vAlign w:val="center"/>
            <w:hideMark/>
          </w:tcPr>
          <w:p w14:paraId="4A559D7D"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65.14%</w:t>
            </w:r>
          </w:p>
        </w:tc>
        <w:tc>
          <w:tcPr>
            <w:tcW w:w="493" w:type="pct"/>
            <w:shd w:val="clear" w:color="auto" w:fill="FFFFFF"/>
            <w:tcMar>
              <w:top w:w="10" w:type="dxa"/>
              <w:left w:w="10" w:type="dxa"/>
              <w:bottom w:w="0" w:type="dxa"/>
              <w:right w:w="10" w:type="dxa"/>
            </w:tcMar>
            <w:vAlign w:val="center"/>
            <w:hideMark/>
          </w:tcPr>
          <w:p w14:paraId="51879F26"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44.10%</w:t>
            </w:r>
          </w:p>
        </w:tc>
      </w:tr>
      <w:tr w:rsidR="00164238" w:rsidRPr="00164238" w14:paraId="78475733" w14:textId="77777777" w:rsidTr="00682CBF">
        <w:trPr>
          <w:trHeight w:val="20"/>
        </w:trPr>
        <w:tc>
          <w:tcPr>
            <w:tcW w:w="1588" w:type="pct"/>
            <w:shd w:val="clear" w:color="auto" w:fill="FFFFFF"/>
            <w:tcMar>
              <w:top w:w="10" w:type="dxa"/>
              <w:left w:w="10" w:type="dxa"/>
              <w:bottom w:w="0" w:type="dxa"/>
              <w:right w:w="10" w:type="dxa"/>
            </w:tcMar>
            <w:vAlign w:val="center"/>
            <w:hideMark/>
          </w:tcPr>
          <w:p w14:paraId="763203CF" w14:textId="77777777" w:rsidR="00C54BC9" w:rsidRPr="00164238" w:rsidRDefault="00C54BC9" w:rsidP="00682CBF">
            <w:pP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Hull And Machinery</w:t>
            </w:r>
          </w:p>
        </w:tc>
        <w:tc>
          <w:tcPr>
            <w:tcW w:w="743" w:type="pct"/>
            <w:shd w:val="clear" w:color="auto" w:fill="FFFFFF"/>
            <w:tcMar>
              <w:top w:w="10" w:type="dxa"/>
              <w:left w:w="10" w:type="dxa"/>
              <w:bottom w:w="0" w:type="dxa"/>
              <w:right w:w="10" w:type="dxa"/>
            </w:tcMar>
            <w:vAlign w:val="center"/>
            <w:hideMark/>
          </w:tcPr>
          <w:p w14:paraId="77C91548"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621.7</w:t>
            </w:r>
          </w:p>
        </w:tc>
        <w:tc>
          <w:tcPr>
            <w:tcW w:w="531" w:type="pct"/>
            <w:shd w:val="clear" w:color="auto" w:fill="FFFFFF"/>
            <w:tcMar>
              <w:top w:w="10" w:type="dxa"/>
              <w:left w:w="10" w:type="dxa"/>
              <w:bottom w:w="0" w:type="dxa"/>
              <w:right w:w="10" w:type="dxa"/>
            </w:tcMar>
            <w:vAlign w:val="center"/>
            <w:hideMark/>
          </w:tcPr>
          <w:p w14:paraId="7842595F"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0.91%</w:t>
            </w:r>
          </w:p>
        </w:tc>
        <w:tc>
          <w:tcPr>
            <w:tcW w:w="637" w:type="pct"/>
            <w:shd w:val="clear" w:color="auto" w:fill="FFFFFF"/>
            <w:tcMar>
              <w:top w:w="10" w:type="dxa"/>
              <w:left w:w="10" w:type="dxa"/>
              <w:bottom w:w="0" w:type="dxa"/>
              <w:right w:w="10" w:type="dxa"/>
            </w:tcMar>
            <w:vAlign w:val="center"/>
            <w:hideMark/>
          </w:tcPr>
          <w:p w14:paraId="246B9935"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413.5</w:t>
            </w:r>
          </w:p>
        </w:tc>
        <w:tc>
          <w:tcPr>
            <w:tcW w:w="478" w:type="pct"/>
            <w:shd w:val="clear" w:color="auto" w:fill="FFFFFF"/>
            <w:tcMar>
              <w:top w:w="10" w:type="dxa"/>
              <w:left w:w="10" w:type="dxa"/>
              <w:bottom w:w="0" w:type="dxa"/>
              <w:right w:w="10" w:type="dxa"/>
            </w:tcMar>
            <w:vAlign w:val="center"/>
            <w:hideMark/>
          </w:tcPr>
          <w:p w14:paraId="4EE15E4B"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0.71%</w:t>
            </w:r>
          </w:p>
        </w:tc>
        <w:tc>
          <w:tcPr>
            <w:tcW w:w="530" w:type="pct"/>
            <w:shd w:val="clear" w:color="auto" w:fill="FFFFFF"/>
            <w:tcMar>
              <w:top w:w="10" w:type="dxa"/>
              <w:left w:w="10" w:type="dxa"/>
              <w:bottom w:w="0" w:type="dxa"/>
              <w:right w:w="10" w:type="dxa"/>
            </w:tcMar>
            <w:vAlign w:val="center"/>
            <w:hideMark/>
          </w:tcPr>
          <w:p w14:paraId="36EB4D7F"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50.34%</w:t>
            </w:r>
          </w:p>
        </w:tc>
        <w:tc>
          <w:tcPr>
            <w:tcW w:w="493" w:type="pct"/>
            <w:shd w:val="clear" w:color="auto" w:fill="FFFFFF"/>
            <w:tcMar>
              <w:top w:w="10" w:type="dxa"/>
              <w:left w:w="10" w:type="dxa"/>
              <w:bottom w:w="0" w:type="dxa"/>
              <w:right w:w="10" w:type="dxa"/>
            </w:tcMar>
            <w:vAlign w:val="center"/>
            <w:hideMark/>
          </w:tcPr>
          <w:p w14:paraId="7C08CA57"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31.19%</w:t>
            </w:r>
          </w:p>
        </w:tc>
      </w:tr>
      <w:tr w:rsidR="00164238" w:rsidRPr="00164238" w14:paraId="50670D83" w14:textId="77777777" w:rsidTr="00682CBF">
        <w:trPr>
          <w:trHeight w:val="20"/>
        </w:trPr>
        <w:tc>
          <w:tcPr>
            <w:tcW w:w="1588" w:type="pct"/>
            <w:shd w:val="clear" w:color="auto" w:fill="FFFFFF"/>
            <w:tcMar>
              <w:top w:w="10" w:type="dxa"/>
              <w:left w:w="10" w:type="dxa"/>
              <w:bottom w:w="0" w:type="dxa"/>
              <w:right w:w="10" w:type="dxa"/>
            </w:tcMar>
            <w:vAlign w:val="center"/>
            <w:hideMark/>
          </w:tcPr>
          <w:p w14:paraId="63E9396F" w14:textId="77777777" w:rsidR="00C54BC9" w:rsidRPr="00164238" w:rsidRDefault="00C54BC9" w:rsidP="00682CBF">
            <w:pP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Transport</w:t>
            </w:r>
          </w:p>
        </w:tc>
        <w:tc>
          <w:tcPr>
            <w:tcW w:w="743" w:type="pct"/>
            <w:shd w:val="clear" w:color="auto" w:fill="FFFFFF"/>
            <w:tcMar>
              <w:top w:w="10" w:type="dxa"/>
              <w:left w:w="10" w:type="dxa"/>
              <w:bottom w:w="0" w:type="dxa"/>
              <w:right w:w="10" w:type="dxa"/>
            </w:tcMar>
            <w:vAlign w:val="center"/>
            <w:hideMark/>
          </w:tcPr>
          <w:p w14:paraId="054D458C"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1,204.3</w:t>
            </w:r>
          </w:p>
        </w:tc>
        <w:tc>
          <w:tcPr>
            <w:tcW w:w="531" w:type="pct"/>
            <w:shd w:val="clear" w:color="auto" w:fill="FFFFFF"/>
            <w:tcMar>
              <w:top w:w="10" w:type="dxa"/>
              <w:left w:w="10" w:type="dxa"/>
              <w:bottom w:w="0" w:type="dxa"/>
              <w:right w:w="10" w:type="dxa"/>
            </w:tcMar>
            <w:vAlign w:val="center"/>
            <w:hideMark/>
          </w:tcPr>
          <w:p w14:paraId="0071C6C2"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1.77%</w:t>
            </w:r>
          </w:p>
        </w:tc>
        <w:tc>
          <w:tcPr>
            <w:tcW w:w="637" w:type="pct"/>
            <w:shd w:val="clear" w:color="auto" w:fill="FFFFFF"/>
            <w:tcMar>
              <w:top w:w="10" w:type="dxa"/>
              <w:left w:w="10" w:type="dxa"/>
              <w:bottom w:w="0" w:type="dxa"/>
              <w:right w:w="10" w:type="dxa"/>
            </w:tcMar>
            <w:vAlign w:val="center"/>
            <w:hideMark/>
          </w:tcPr>
          <w:p w14:paraId="27E2AB1D"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950.8</w:t>
            </w:r>
          </w:p>
        </w:tc>
        <w:tc>
          <w:tcPr>
            <w:tcW w:w="478" w:type="pct"/>
            <w:shd w:val="clear" w:color="auto" w:fill="FFFFFF"/>
            <w:tcMar>
              <w:top w:w="10" w:type="dxa"/>
              <w:left w:w="10" w:type="dxa"/>
              <w:bottom w:w="0" w:type="dxa"/>
              <w:right w:w="10" w:type="dxa"/>
            </w:tcMar>
            <w:vAlign w:val="center"/>
            <w:hideMark/>
          </w:tcPr>
          <w:p w14:paraId="3DCB3893"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1.64%</w:t>
            </w:r>
          </w:p>
        </w:tc>
        <w:tc>
          <w:tcPr>
            <w:tcW w:w="530" w:type="pct"/>
            <w:shd w:val="clear" w:color="auto" w:fill="FFFFFF"/>
            <w:tcMar>
              <w:top w:w="10" w:type="dxa"/>
              <w:left w:w="10" w:type="dxa"/>
              <w:bottom w:w="0" w:type="dxa"/>
              <w:right w:w="10" w:type="dxa"/>
            </w:tcMar>
            <w:vAlign w:val="center"/>
            <w:hideMark/>
          </w:tcPr>
          <w:p w14:paraId="384637DB"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26.66%</w:t>
            </w:r>
          </w:p>
        </w:tc>
        <w:tc>
          <w:tcPr>
            <w:tcW w:w="493" w:type="pct"/>
            <w:shd w:val="clear" w:color="auto" w:fill="FFFFFF"/>
            <w:tcMar>
              <w:top w:w="10" w:type="dxa"/>
              <w:left w:w="10" w:type="dxa"/>
              <w:bottom w:w="0" w:type="dxa"/>
              <w:right w:w="10" w:type="dxa"/>
            </w:tcMar>
            <w:vAlign w:val="center"/>
            <w:hideMark/>
          </w:tcPr>
          <w:p w14:paraId="78D9A39F"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10.53%</w:t>
            </w:r>
          </w:p>
        </w:tc>
      </w:tr>
      <w:tr w:rsidR="00164238" w:rsidRPr="00164238" w14:paraId="305E43D1" w14:textId="77777777" w:rsidTr="00682CBF">
        <w:trPr>
          <w:trHeight w:val="20"/>
        </w:trPr>
        <w:tc>
          <w:tcPr>
            <w:tcW w:w="1588" w:type="pct"/>
            <w:shd w:val="clear" w:color="auto" w:fill="FFFFFF"/>
            <w:tcMar>
              <w:top w:w="10" w:type="dxa"/>
              <w:left w:w="10" w:type="dxa"/>
              <w:bottom w:w="0" w:type="dxa"/>
              <w:right w:w="10" w:type="dxa"/>
            </w:tcMar>
            <w:vAlign w:val="center"/>
            <w:hideMark/>
          </w:tcPr>
          <w:p w14:paraId="1C7E3315" w14:textId="77777777" w:rsidR="00C54BC9" w:rsidRPr="00164238" w:rsidRDefault="00C54BC9" w:rsidP="00682CBF">
            <w:pP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Fire and Natural Disasters</w:t>
            </w:r>
          </w:p>
        </w:tc>
        <w:tc>
          <w:tcPr>
            <w:tcW w:w="743" w:type="pct"/>
            <w:shd w:val="clear" w:color="auto" w:fill="FFFFFF"/>
            <w:tcMar>
              <w:top w:w="10" w:type="dxa"/>
              <w:left w:w="10" w:type="dxa"/>
              <w:bottom w:w="0" w:type="dxa"/>
              <w:right w:w="10" w:type="dxa"/>
            </w:tcMar>
            <w:vAlign w:val="center"/>
            <w:hideMark/>
          </w:tcPr>
          <w:p w14:paraId="307A73F6"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10,585.8</w:t>
            </w:r>
          </w:p>
        </w:tc>
        <w:tc>
          <w:tcPr>
            <w:tcW w:w="531" w:type="pct"/>
            <w:shd w:val="clear" w:color="auto" w:fill="FFFFFF"/>
            <w:tcMar>
              <w:top w:w="10" w:type="dxa"/>
              <w:left w:w="10" w:type="dxa"/>
              <w:bottom w:w="0" w:type="dxa"/>
              <w:right w:w="10" w:type="dxa"/>
            </w:tcMar>
            <w:vAlign w:val="center"/>
            <w:hideMark/>
          </w:tcPr>
          <w:p w14:paraId="64BF7B35"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15.53%</w:t>
            </w:r>
          </w:p>
        </w:tc>
        <w:tc>
          <w:tcPr>
            <w:tcW w:w="637" w:type="pct"/>
            <w:shd w:val="clear" w:color="auto" w:fill="FFFFFF"/>
            <w:tcMar>
              <w:top w:w="10" w:type="dxa"/>
              <w:left w:w="10" w:type="dxa"/>
              <w:bottom w:w="0" w:type="dxa"/>
              <w:right w:w="10" w:type="dxa"/>
            </w:tcMar>
            <w:vAlign w:val="center"/>
            <w:hideMark/>
          </w:tcPr>
          <w:p w14:paraId="20E68E1A"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8,447.1</w:t>
            </w:r>
          </w:p>
        </w:tc>
        <w:tc>
          <w:tcPr>
            <w:tcW w:w="478" w:type="pct"/>
            <w:shd w:val="clear" w:color="auto" w:fill="FFFFFF"/>
            <w:tcMar>
              <w:top w:w="10" w:type="dxa"/>
              <w:left w:w="10" w:type="dxa"/>
              <w:bottom w:w="0" w:type="dxa"/>
              <w:right w:w="10" w:type="dxa"/>
            </w:tcMar>
            <w:vAlign w:val="center"/>
            <w:hideMark/>
          </w:tcPr>
          <w:p w14:paraId="47E639DC"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14.59%</w:t>
            </w:r>
          </w:p>
        </w:tc>
        <w:tc>
          <w:tcPr>
            <w:tcW w:w="530" w:type="pct"/>
            <w:shd w:val="clear" w:color="auto" w:fill="FFFFFF"/>
            <w:tcMar>
              <w:top w:w="10" w:type="dxa"/>
              <w:left w:w="10" w:type="dxa"/>
              <w:bottom w:w="0" w:type="dxa"/>
              <w:right w:w="10" w:type="dxa"/>
            </w:tcMar>
            <w:vAlign w:val="center"/>
            <w:hideMark/>
          </w:tcPr>
          <w:p w14:paraId="66469286"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25.32%</w:t>
            </w:r>
          </w:p>
        </w:tc>
        <w:tc>
          <w:tcPr>
            <w:tcW w:w="493" w:type="pct"/>
            <w:shd w:val="clear" w:color="auto" w:fill="FFFFFF"/>
            <w:tcMar>
              <w:top w:w="10" w:type="dxa"/>
              <w:left w:w="10" w:type="dxa"/>
              <w:bottom w:w="0" w:type="dxa"/>
              <w:right w:w="10" w:type="dxa"/>
            </w:tcMar>
            <w:vAlign w:val="center"/>
            <w:hideMark/>
          </w:tcPr>
          <w:p w14:paraId="3C700435"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9.35%</w:t>
            </w:r>
          </w:p>
        </w:tc>
      </w:tr>
      <w:tr w:rsidR="00164238" w:rsidRPr="00164238" w14:paraId="34C13FC8" w14:textId="77777777" w:rsidTr="00682CBF">
        <w:trPr>
          <w:trHeight w:val="20"/>
        </w:trPr>
        <w:tc>
          <w:tcPr>
            <w:tcW w:w="1588" w:type="pct"/>
            <w:shd w:val="clear" w:color="auto" w:fill="FFFFFF"/>
            <w:tcMar>
              <w:top w:w="10" w:type="dxa"/>
              <w:left w:w="10" w:type="dxa"/>
              <w:bottom w:w="0" w:type="dxa"/>
              <w:right w:w="10" w:type="dxa"/>
            </w:tcMar>
            <w:vAlign w:val="center"/>
            <w:hideMark/>
          </w:tcPr>
          <w:p w14:paraId="2B5C653F" w14:textId="77777777" w:rsidR="00C54BC9" w:rsidRPr="00164238" w:rsidRDefault="00C54BC9" w:rsidP="00682CBF">
            <w:pP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General Damages</w:t>
            </w:r>
          </w:p>
        </w:tc>
        <w:tc>
          <w:tcPr>
            <w:tcW w:w="743" w:type="pct"/>
            <w:shd w:val="clear" w:color="auto" w:fill="FFFFFF"/>
            <w:tcMar>
              <w:top w:w="10" w:type="dxa"/>
              <w:left w:w="10" w:type="dxa"/>
              <w:bottom w:w="0" w:type="dxa"/>
              <w:right w:w="10" w:type="dxa"/>
            </w:tcMar>
            <w:vAlign w:val="center"/>
            <w:hideMark/>
          </w:tcPr>
          <w:p w14:paraId="12A4DDD5"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7,962.5</w:t>
            </w:r>
          </w:p>
        </w:tc>
        <w:tc>
          <w:tcPr>
            <w:tcW w:w="531" w:type="pct"/>
            <w:shd w:val="clear" w:color="auto" w:fill="FFFFFF"/>
            <w:tcMar>
              <w:top w:w="10" w:type="dxa"/>
              <w:left w:w="10" w:type="dxa"/>
              <w:bottom w:w="0" w:type="dxa"/>
              <w:right w:w="10" w:type="dxa"/>
            </w:tcMar>
            <w:vAlign w:val="center"/>
            <w:hideMark/>
          </w:tcPr>
          <w:p w14:paraId="59DEF3D8"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11.68%</w:t>
            </w:r>
          </w:p>
        </w:tc>
        <w:tc>
          <w:tcPr>
            <w:tcW w:w="637" w:type="pct"/>
            <w:shd w:val="clear" w:color="auto" w:fill="FFFFFF"/>
            <w:tcMar>
              <w:top w:w="10" w:type="dxa"/>
              <w:left w:w="10" w:type="dxa"/>
              <w:bottom w:w="0" w:type="dxa"/>
              <w:right w:w="10" w:type="dxa"/>
            </w:tcMar>
            <w:vAlign w:val="center"/>
            <w:hideMark/>
          </w:tcPr>
          <w:p w14:paraId="593D7989"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5,876.7</w:t>
            </w:r>
          </w:p>
        </w:tc>
        <w:tc>
          <w:tcPr>
            <w:tcW w:w="478" w:type="pct"/>
            <w:shd w:val="clear" w:color="auto" w:fill="FFFFFF"/>
            <w:tcMar>
              <w:top w:w="10" w:type="dxa"/>
              <w:left w:w="10" w:type="dxa"/>
              <w:bottom w:w="0" w:type="dxa"/>
              <w:right w:w="10" w:type="dxa"/>
            </w:tcMar>
            <w:vAlign w:val="center"/>
            <w:hideMark/>
          </w:tcPr>
          <w:p w14:paraId="266C7555"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10.15%</w:t>
            </w:r>
          </w:p>
        </w:tc>
        <w:tc>
          <w:tcPr>
            <w:tcW w:w="530" w:type="pct"/>
            <w:shd w:val="clear" w:color="auto" w:fill="FFFFFF"/>
            <w:tcMar>
              <w:top w:w="10" w:type="dxa"/>
              <w:left w:w="10" w:type="dxa"/>
              <w:bottom w:w="0" w:type="dxa"/>
              <w:right w:w="10" w:type="dxa"/>
            </w:tcMar>
            <w:vAlign w:val="center"/>
            <w:hideMark/>
          </w:tcPr>
          <w:p w14:paraId="29DDFB52"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35.49%</w:t>
            </w:r>
          </w:p>
        </w:tc>
        <w:tc>
          <w:tcPr>
            <w:tcW w:w="493" w:type="pct"/>
            <w:shd w:val="clear" w:color="auto" w:fill="FFFFFF"/>
            <w:tcMar>
              <w:top w:w="10" w:type="dxa"/>
              <w:left w:w="10" w:type="dxa"/>
              <w:bottom w:w="0" w:type="dxa"/>
              <w:right w:w="10" w:type="dxa"/>
            </w:tcMar>
            <w:vAlign w:val="center"/>
            <w:hideMark/>
          </w:tcPr>
          <w:p w14:paraId="43FF5088"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18.23%</w:t>
            </w:r>
          </w:p>
        </w:tc>
      </w:tr>
      <w:tr w:rsidR="00164238" w:rsidRPr="00164238" w14:paraId="50A79321" w14:textId="77777777" w:rsidTr="00682CBF">
        <w:trPr>
          <w:trHeight w:val="233"/>
        </w:trPr>
        <w:tc>
          <w:tcPr>
            <w:tcW w:w="1588" w:type="pct"/>
            <w:shd w:val="clear" w:color="auto" w:fill="FFFFFF"/>
            <w:tcMar>
              <w:top w:w="10" w:type="dxa"/>
              <w:left w:w="10" w:type="dxa"/>
              <w:bottom w:w="0" w:type="dxa"/>
              <w:right w:w="10" w:type="dxa"/>
            </w:tcMar>
            <w:vAlign w:val="center"/>
            <w:hideMark/>
          </w:tcPr>
          <w:p w14:paraId="74B8B558" w14:textId="77777777" w:rsidR="00C54BC9" w:rsidRPr="00164238" w:rsidRDefault="00C54BC9" w:rsidP="00682CBF">
            <w:pP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Motor Vehicles Liability</w:t>
            </w:r>
          </w:p>
        </w:tc>
        <w:tc>
          <w:tcPr>
            <w:tcW w:w="743" w:type="pct"/>
            <w:shd w:val="clear" w:color="auto" w:fill="FFFFFF"/>
            <w:tcMar>
              <w:top w:w="10" w:type="dxa"/>
              <w:left w:w="10" w:type="dxa"/>
              <w:bottom w:w="0" w:type="dxa"/>
              <w:right w:w="10" w:type="dxa"/>
            </w:tcMar>
            <w:vAlign w:val="center"/>
            <w:hideMark/>
          </w:tcPr>
          <w:p w14:paraId="6D11DB11"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20,487.2</w:t>
            </w:r>
          </w:p>
        </w:tc>
        <w:tc>
          <w:tcPr>
            <w:tcW w:w="531" w:type="pct"/>
            <w:shd w:val="clear" w:color="auto" w:fill="FFFFFF"/>
            <w:tcMar>
              <w:top w:w="10" w:type="dxa"/>
              <w:left w:w="10" w:type="dxa"/>
              <w:bottom w:w="0" w:type="dxa"/>
              <w:right w:w="10" w:type="dxa"/>
            </w:tcMar>
            <w:vAlign w:val="center"/>
            <w:hideMark/>
          </w:tcPr>
          <w:p w14:paraId="610DFCCE"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30.06%</w:t>
            </w:r>
          </w:p>
        </w:tc>
        <w:tc>
          <w:tcPr>
            <w:tcW w:w="637" w:type="pct"/>
            <w:shd w:val="clear" w:color="auto" w:fill="FFFFFF"/>
            <w:tcMar>
              <w:top w:w="10" w:type="dxa"/>
              <w:left w:w="10" w:type="dxa"/>
              <w:bottom w:w="0" w:type="dxa"/>
              <w:right w:w="10" w:type="dxa"/>
            </w:tcMar>
            <w:vAlign w:val="center"/>
            <w:hideMark/>
          </w:tcPr>
          <w:p w14:paraId="70A85EBF"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18,712.2</w:t>
            </w:r>
          </w:p>
        </w:tc>
        <w:tc>
          <w:tcPr>
            <w:tcW w:w="478" w:type="pct"/>
            <w:shd w:val="clear" w:color="auto" w:fill="FFFFFF"/>
            <w:tcMar>
              <w:top w:w="10" w:type="dxa"/>
              <w:left w:w="10" w:type="dxa"/>
              <w:bottom w:w="0" w:type="dxa"/>
              <w:right w:w="10" w:type="dxa"/>
            </w:tcMar>
            <w:vAlign w:val="center"/>
            <w:hideMark/>
          </w:tcPr>
          <w:p w14:paraId="0647C585"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32.33%</w:t>
            </w:r>
          </w:p>
        </w:tc>
        <w:tc>
          <w:tcPr>
            <w:tcW w:w="530" w:type="pct"/>
            <w:shd w:val="clear" w:color="auto" w:fill="FFFFFF"/>
            <w:tcMar>
              <w:top w:w="10" w:type="dxa"/>
              <w:left w:w="10" w:type="dxa"/>
              <w:bottom w:w="0" w:type="dxa"/>
              <w:right w:w="10" w:type="dxa"/>
            </w:tcMar>
            <w:vAlign w:val="center"/>
            <w:hideMark/>
          </w:tcPr>
          <w:p w14:paraId="0A7123CF"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9.49%</w:t>
            </w:r>
          </w:p>
        </w:tc>
        <w:tc>
          <w:tcPr>
            <w:tcW w:w="493" w:type="pct"/>
            <w:shd w:val="clear" w:color="auto" w:fill="FFFFFF"/>
            <w:tcMar>
              <w:top w:w="10" w:type="dxa"/>
              <w:left w:w="10" w:type="dxa"/>
              <w:bottom w:w="0" w:type="dxa"/>
              <w:right w:w="10" w:type="dxa"/>
            </w:tcMar>
            <w:vAlign w:val="center"/>
            <w:hideMark/>
          </w:tcPr>
          <w:p w14:paraId="31778149"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-4.46%</w:t>
            </w:r>
          </w:p>
        </w:tc>
      </w:tr>
      <w:tr w:rsidR="00164238" w:rsidRPr="00164238" w14:paraId="3DB247DF" w14:textId="77777777" w:rsidTr="00682CBF">
        <w:trPr>
          <w:trHeight w:val="20"/>
        </w:trPr>
        <w:tc>
          <w:tcPr>
            <w:tcW w:w="1588" w:type="pct"/>
            <w:shd w:val="clear" w:color="auto" w:fill="FFFFFF"/>
            <w:tcMar>
              <w:top w:w="10" w:type="dxa"/>
              <w:left w:w="10" w:type="dxa"/>
              <w:bottom w:w="0" w:type="dxa"/>
              <w:right w:w="10" w:type="dxa"/>
            </w:tcMar>
            <w:vAlign w:val="center"/>
            <w:hideMark/>
          </w:tcPr>
          <w:p w14:paraId="47C42903" w14:textId="77777777" w:rsidR="00C54BC9" w:rsidRPr="00164238" w:rsidRDefault="00C54BC9" w:rsidP="00682CBF">
            <w:pP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Aviation Liability</w:t>
            </w:r>
          </w:p>
        </w:tc>
        <w:tc>
          <w:tcPr>
            <w:tcW w:w="743" w:type="pct"/>
            <w:shd w:val="clear" w:color="auto" w:fill="FFFFFF"/>
            <w:tcMar>
              <w:top w:w="10" w:type="dxa"/>
              <w:left w:w="10" w:type="dxa"/>
              <w:bottom w:w="0" w:type="dxa"/>
              <w:right w:w="10" w:type="dxa"/>
            </w:tcMar>
            <w:vAlign w:val="center"/>
            <w:hideMark/>
          </w:tcPr>
          <w:p w14:paraId="4B6631A1"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298.5</w:t>
            </w:r>
          </w:p>
        </w:tc>
        <w:tc>
          <w:tcPr>
            <w:tcW w:w="531" w:type="pct"/>
            <w:shd w:val="clear" w:color="auto" w:fill="FFFFFF"/>
            <w:tcMar>
              <w:top w:w="10" w:type="dxa"/>
              <w:left w:w="10" w:type="dxa"/>
              <w:bottom w:w="0" w:type="dxa"/>
              <w:right w:w="10" w:type="dxa"/>
            </w:tcMar>
            <w:vAlign w:val="center"/>
            <w:hideMark/>
          </w:tcPr>
          <w:p w14:paraId="2A8AC9A7"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0.44%</w:t>
            </w:r>
          </w:p>
        </w:tc>
        <w:tc>
          <w:tcPr>
            <w:tcW w:w="637" w:type="pct"/>
            <w:shd w:val="clear" w:color="auto" w:fill="FFFFFF"/>
            <w:tcMar>
              <w:top w:w="10" w:type="dxa"/>
              <w:left w:w="10" w:type="dxa"/>
              <w:bottom w:w="0" w:type="dxa"/>
              <w:right w:w="10" w:type="dxa"/>
            </w:tcMar>
            <w:vAlign w:val="center"/>
            <w:hideMark/>
          </w:tcPr>
          <w:p w14:paraId="2966CF2E"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263.9</w:t>
            </w:r>
          </w:p>
        </w:tc>
        <w:tc>
          <w:tcPr>
            <w:tcW w:w="478" w:type="pct"/>
            <w:shd w:val="clear" w:color="auto" w:fill="FFFFFF"/>
            <w:tcMar>
              <w:top w:w="10" w:type="dxa"/>
              <w:left w:w="10" w:type="dxa"/>
              <w:bottom w:w="0" w:type="dxa"/>
              <w:right w:w="10" w:type="dxa"/>
            </w:tcMar>
            <w:vAlign w:val="center"/>
            <w:hideMark/>
          </w:tcPr>
          <w:p w14:paraId="6826E46F"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0.46%</w:t>
            </w:r>
          </w:p>
        </w:tc>
        <w:tc>
          <w:tcPr>
            <w:tcW w:w="530" w:type="pct"/>
            <w:shd w:val="clear" w:color="auto" w:fill="FFFFFF"/>
            <w:tcMar>
              <w:top w:w="10" w:type="dxa"/>
              <w:left w:w="10" w:type="dxa"/>
              <w:bottom w:w="0" w:type="dxa"/>
              <w:right w:w="10" w:type="dxa"/>
            </w:tcMar>
            <w:vAlign w:val="center"/>
            <w:hideMark/>
          </w:tcPr>
          <w:p w14:paraId="37167687"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13.13%</w:t>
            </w:r>
          </w:p>
        </w:tc>
        <w:tc>
          <w:tcPr>
            <w:tcW w:w="493" w:type="pct"/>
            <w:shd w:val="clear" w:color="auto" w:fill="FFFFFF"/>
            <w:tcMar>
              <w:top w:w="10" w:type="dxa"/>
              <w:left w:w="10" w:type="dxa"/>
              <w:bottom w:w="0" w:type="dxa"/>
              <w:right w:w="10" w:type="dxa"/>
            </w:tcMar>
            <w:vAlign w:val="center"/>
            <w:hideMark/>
          </w:tcPr>
          <w:p w14:paraId="73CDEAB6"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-1.28%</w:t>
            </w:r>
          </w:p>
        </w:tc>
      </w:tr>
      <w:tr w:rsidR="00164238" w:rsidRPr="00164238" w14:paraId="61DA2405" w14:textId="77777777" w:rsidTr="00682CBF">
        <w:trPr>
          <w:trHeight w:val="20"/>
        </w:trPr>
        <w:tc>
          <w:tcPr>
            <w:tcW w:w="1588" w:type="pct"/>
            <w:shd w:val="clear" w:color="auto" w:fill="FFFFFF"/>
            <w:tcMar>
              <w:top w:w="10" w:type="dxa"/>
              <w:left w:w="10" w:type="dxa"/>
              <w:bottom w:w="0" w:type="dxa"/>
              <w:right w:w="10" w:type="dxa"/>
            </w:tcMar>
            <w:vAlign w:val="center"/>
            <w:hideMark/>
          </w:tcPr>
          <w:p w14:paraId="7B7C044F" w14:textId="77777777" w:rsidR="00C54BC9" w:rsidRPr="00164238" w:rsidRDefault="00C54BC9" w:rsidP="00682CBF">
            <w:pP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P&amp;L Liability</w:t>
            </w:r>
          </w:p>
        </w:tc>
        <w:tc>
          <w:tcPr>
            <w:tcW w:w="743" w:type="pct"/>
            <w:shd w:val="clear" w:color="auto" w:fill="FFFFFF"/>
            <w:tcMar>
              <w:top w:w="10" w:type="dxa"/>
              <w:left w:w="10" w:type="dxa"/>
              <w:bottom w:w="0" w:type="dxa"/>
              <w:right w:w="10" w:type="dxa"/>
            </w:tcMar>
            <w:vAlign w:val="center"/>
            <w:hideMark/>
          </w:tcPr>
          <w:p w14:paraId="5FBE43C8"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57.8</w:t>
            </w:r>
          </w:p>
        </w:tc>
        <w:tc>
          <w:tcPr>
            <w:tcW w:w="531" w:type="pct"/>
            <w:shd w:val="clear" w:color="auto" w:fill="FFFFFF"/>
            <w:tcMar>
              <w:top w:w="10" w:type="dxa"/>
              <w:left w:w="10" w:type="dxa"/>
              <w:bottom w:w="0" w:type="dxa"/>
              <w:right w:w="10" w:type="dxa"/>
            </w:tcMar>
            <w:vAlign w:val="center"/>
            <w:hideMark/>
          </w:tcPr>
          <w:p w14:paraId="213B3DE1"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0.08%</w:t>
            </w:r>
          </w:p>
        </w:tc>
        <w:tc>
          <w:tcPr>
            <w:tcW w:w="637" w:type="pct"/>
            <w:shd w:val="clear" w:color="auto" w:fill="FFFFFF"/>
            <w:tcMar>
              <w:top w:w="10" w:type="dxa"/>
              <w:left w:w="10" w:type="dxa"/>
              <w:bottom w:w="0" w:type="dxa"/>
              <w:right w:w="10" w:type="dxa"/>
            </w:tcMar>
            <w:vAlign w:val="center"/>
            <w:hideMark/>
          </w:tcPr>
          <w:p w14:paraId="78C19BA1"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44.7</w:t>
            </w:r>
          </w:p>
        </w:tc>
        <w:tc>
          <w:tcPr>
            <w:tcW w:w="478" w:type="pct"/>
            <w:shd w:val="clear" w:color="auto" w:fill="FFFFFF"/>
            <w:tcMar>
              <w:top w:w="10" w:type="dxa"/>
              <w:left w:w="10" w:type="dxa"/>
              <w:bottom w:w="0" w:type="dxa"/>
              <w:right w:w="10" w:type="dxa"/>
            </w:tcMar>
            <w:vAlign w:val="center"/>
            <w:hideMark/>
          </w:tcPr>
          <w:p w14:paraId="367C66DA"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0.08%</w:t>
            </w:r>
          </w:p>
        </w:tc>
        <w:tc>
          <w:tcPr>
            <w:tcW w:w="530" w:type="pct"/>
            <w:shd w:val="clear" w:color="auto" w:fill="FFFFFF"/>
            <w:tcMar>
              <w:top w:w="10" w:type="dxa"/>
              <w:left w:w="10" w:type="dxa"/>
              <w:bottom w:w="0" w:type="dxa"/>
              <w:right w:w="10" w:type="dxa"/>
            </w:tcMar>
            <w:vAlign w:val="center"/>
            <w:hideMark/>
          </w:tcPr>
          <w:p w14:paraId="5D827A4E"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29.46%</w:t>
            </w:r>
          </w:p>
        </w:tc>
        <w:tc>
          <w:tcPr>
            <w:tcW w:w="493" w:type="pct"/>
            <w:shd w:val="clear" w:color="auto" w:fill="FFFFFF"/>
            <w:tcMar>
              <w:top w:w="10" w:type="dxa"/>
              <w:left w:w="10" w:type="dxa"/>
              <w:bottom w:w="0" w:type="dxa"/>
              <w:right w:w="10" w:type="dxa"/>
            </w:tcMar>
            <w:vAlign w:val="center"/>
            <w:hideMark/>
          </w:tcPr>
          <w:p w14:paraId="719AFC9E"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12.96%</w:t>
            </w:r>
          </w:p>
        </w:tc>
      </w:tr>
      <w:tr w:rsidR="00164238" w:rsidRPr="00164238" w14:paraId="27FA1580" w14:textId="77777777" w:rsidTr="00682CBF">
        <w:trPr>
          <w:trHeight w:val="20"/>
        </w:trPr>
        <w:tc>
          <w:tcPr>
            <w:tcW w:w="1588" w:type="pct"/>
            <w:shd w:val="clear" w:color="auto" w:fill="FFFFFF"/>
            <w:tcMar>
              <w:top w:w="10" w:type="dxa"/>
              <w:left w:w="10" w:type="dxa"/>
              <w:bottom w:w="0" w:type="dxa"/>
              <w:right w:w="10" w:type="dxa"/>
            </w:tcMar>
            <w:vAlign w:val="center"/>
            <w:hideMark/>
          </w:tcPr>
          <w:p w14:paraId="08A4BFF1" w14:textId="77777777" w:rsidR="00C54BC9" w:rsidRPr="00164238" w:rsidRDefault="00C54BC9" w:rsidP="00682CBF">
            <w:pP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General Liability</w:t>
            </w:r>
          </w:p>
        </w:tc>
        <w:tc>
          <w:tcPr>
            <w:tcW w:w="743" w:type="pct"/>
            <w:shd w:val="clear" w:color="auto" w:fill="FFFFFF"/>
            <w:tcMar>
              <w:top w:w="10" w:type="dxa"/>
              <w:left w:w="10" w:type="dxa"/>
              <w:bottom w:w="0" w:type="dxa"/>
              <w:right w:w="10" w:type="dxa"/>
            </w:tcMar>
            <w:vAlign w:val="center"/>
            <w:hideMark/>
          </w:tcPr>
          <w:p w14:paraId="33643826"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2,190.0</w:t>
            </w:r>
          </w:p>
        </w:tc>
        <w:tc>
          <w:tcPr>
            <w:tcW w:w="531" w:type="pct"/>
            <w:shd w:val="clear" w:color="auto" w:fill="FFFFFF"/>
            <w:tcMar>
              <w:top w:w="10" w:type="dxa"/>
              <w:left w:w="10" w:type="dxa"/>
              <w:bottom w:w="0" w:type="dxa"/>
              <w:right w:w="10" w:type="dxa"/>
            </w:tcMar>
            <w:vAlign w:val="center"/>
            <w:hideMark/>
          </w:tcPr>
          <w:p w14:paraId="26CADB1B"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3.21%</w:t>
            </w:r>
          </w:p>
        </w:tc>
        <w:tc>
          <w:tcPr>
            <w:tcW w:w="637" w:type="pct"/>
            <w:shd w:val="clear" w:color="auto" w:fill="FFFFFF"/>
            <w:tcMar>
              <w:top w:w="10" w:type="dxa"/>
              <w:left w:w="10" w:type="dxa"/>
              <w:bottom w:w="0" w:type="dxa"/>
              <w:right w:w="10" w:type="dxa"/>
            </w:tcMar>
            <w:vAlign w:val="center"/>
            <w:hideMark/>
          </w:tcPr>
          <w:p w14:paraId="4F44515B"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1,712.2</w:t>
            </w:r>
          </w:p>
        </w:tc>
        <w:tc>
          <w:tcPr>
            <w:tcW w:w="478" w:type="pct"/>
            <w:shd w:val="clear" w:color="auto" w:fill="FFFFFF"/>
            <w:tcMar>
              <w:top w:w="10" w:type="dxa"/>
              <w:left w:w="10" w:type="dxa"/>
              <w:bottom w:w="0" w:type="dxa"/>
              <w:right w:w="10" w:type="dxa"/>
            </w:tcMar>
            <w:vAlign w:val="center"/>
            <w:hideMark/>
          </w:tcPr>
          <w:p w14:paraId="0AF1F2E4"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2.96%</w:t>
            </w:r>
          </w:p>
        </w:tc>
        <w:tc>
          <w:tcPr>
            <w:tcW w:w="530" w:type="pct"/>
            <w:shd w:val="clear" w:color="auto" w:fill="FFFFFF"/>
            <w:tcMar>
              <w:top w:w="10" w:type="dxa"/>
              <w:left w:w="10" w:type="dxa"/>
              <w:bottom w:w="0" w:type="dxa"/>
              <w:right w:w="10" w:type="dxa"/>
            </w:tcMar>
            <w:vAlign w:val="center"/>
            <w:hideMark/>
          </w:tcPr>
          <w:p w14:paraId="7EFFDEB4"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27.90%</w:t>
            </w:r>
          </w:p>
        </w:tc>
        <w:tc>
          <w:tcPr>
            <w:tcW w:w="493" w:type="pct"/>
            <w:shd w:val="clear" w:color="auto" w:fill="FFFFFF"/>
            <w:tcMar>
              <w:top w:w="10" w:type="dxa"/>
              <w:left w:w="10" w:type="dxa"/>
              <w:bottom w:w="0" w:type="dxa"/>
              <w:right w:w="10" w:type="dxa"/>
            </w:tcMar>
            <w:vAlign w:val="center"/>
            <w:hideMark/>
          </w:tcPr>
          <w:p w14:paraId="390FA357"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11.61%</w:t>
            </w:r>
          </w:p>
        </w:tc>
      </w:tr>
      <w:tr w:rsidR="00164238" w:rsidRPr="00164238" w14:paraId="50545776" w14:textId="77777777" w:rsidTr="00682CBF">
        <w:trPr>
          <w:trHeight w:val="20"/>
        </w:trPr>
        <w:tc>
          <w:tcPr>
            <w:tcW w:w="1588" w:type="pct"/>
            <w:shd w:val="clear" w:color="auto" w:fill="FFFFFF"/>
            <w:tcMar>
              <w:top w:w="10" w:type="dxa"/>
              <w:left w:w="10" w:type="dxa"/>
              <w:bottom w:w="0" w:type="dxa"/>
              <w:right w:w="10" w:type="dxa"/>
            </w:tcMar>
            <w:vAlign w:val="center"/>
            <w:hideMark/>
          </w:tcPr>
          <w:p w14:paraId="4017A19F" w14:textId="77777777" w:rsidR="00C54BC9" w:rsidRPr="00164238" w:rsidRDefault="00C54BC9" w:rsidP="00682CBF">
            <w:pP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Credit</w:t>
            </w:r>
          </w:p>
        </w:tc>
        <w:tc>
          <w:tcPr>
            <w:tcW w:w="743" w:type="pct"/>
            <w:shd w:val="clear" w:color="auto" w:fill="FFFFFF"/>
            <w:tcMar>
              <w:top w:w="10" w:type="dxa"/>
              <w:left w:w="10" w:type="dxa"/>
              <w:bottom w:w="0" w:type="dxa"/>
              <w:right w:w="10" w:type="dxa"/>
            </w:tcMar>
            <w:vAlign w:val="center"/>
            <w:hideMark/>
          </w:tcPr>
          <w:p w14:paraId="65A02D99"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399.1</w:t>
            </w:r>
          </w:p>
        </w:tc>
        <w:tc>
          <w:tcPr>
            <w:tcW w:w="531" w:type="pct"/>
            <w:shd w:val="clear" w:color="auto" w:fill="FFFFFF"/>
            <w:tcMar>
              <w:top w:w="10" w:type="dxa"/>
              <w:left w:w="10" w:type="dxa"/>
              <w:bottom w:w="0" w:type="dxa"/>
              <w:right w:w="10" w:type="dxa"/>
            </w:tcMar>
            <w:vAlign w:val="center"/>
            <w:hideMark/>
          </w:tcPr>
          <w:p w14:paraId="4D022272"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0.59%</w:t>
            </w:r>
          </w:p>
        </w:tc>
        <w:tc>
          <w:tcPr>
            <w:tcW w:w="637" w:type="pct"/>
            <w:shd w:val="clear" w:color="auto" w:fill="FFFFFF"/>
            <w:tcMar>
              <w:top w:w="10" w:type="dxa"/>
              <w:left w:w="10" w:type="dxa"/>
              <w:bottom w:w="0" w:type="dxa"/>
              <w:right w:w="10" w:type="dxa"/>
            </w:tcMar>
            <w:vAlign w:val="center"/>
            <w:hideMark/>
          </w:tcPr>
          <w:p w14:paraId="65F03D6A"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304.3</w:t>
            </w:r>
          </w:p>
        </w:tc>
        <w:tc>
          <w:tcPr>
            <w:tcW w:w="478" w:type="pct"/>
            <w:shd w:val="clear" w:color="auto" w:fill="FFFFFF"/>
            <w:tcMar>
              <w:top w:w="10" w:type="dxa"/>
              <w:left w:w="10" w:type="dxa"/>
              <w:bottom w:w="0" w:type="dxa"/>
              <w:right w:w="10" w:type="dxa"/>
            </w:tcMar>
            <w:vAlign w:val="center"/>
            <w:hideMark/>
          </w:tcPr>
          <w:p w14:paraId="4C70E8B8"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0.53%</w:t>
            </w:r>
          </w:p>
        </w:tc>
        <w:tc>
          <w:tcPr>
            <w:tcW w:w="530" w:type="pct"/>
            <w:shd w:val="clear" w:color="auto" w:fill="FFFFFF"/>
            <w:tcMar>
              <w:top w:w="10" w:type="dxa"/>
              <w:left w:w="10" w:type="dxa"/>
              <w:bottom w:w="0" w:type="dxa"/>
              <w:right w:w="10" w:type="dxa"/>
            </w:tcMar>
            <w:vAlign w:val="center"/>
            <w:hideMark/>
          </w:tcPr>
          <w:p w14:paraId="229CB330"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31.15%</w:t>
            </w:r>
          </w:p>
        </w:tc>
        <w:tc>
          <w:tcPr>
            <w:tcW w:w="493" w:type="pct"/>
            <w:shd w:val="clear" w:color="auto" w:fill="FFFFFF"/>
            <w:tcMar>
              <w:top w:w="10" w:type="dxa"/>
              <w:left w:w="10" w:type="dxa"/>
              <w:bottom w:w="0" w:type="dxa"/>
              <w:right w:w="10" w:type="dxa"/>
            </w:tcMar>
            <w:vAlign w:val="center"/>
            <w:hideMark/>
          </w:tcPr>
          <w:p w14:paraId="7092F1D4"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14.44%</w:t>
            </w:r>
          </w:p>
        </w:tc>
      </w:tr>
      <w:tr w:rsidR="00164238" w:rsidRPr="00164238" w14:paraId="0998BAAC" w14:textId="77777777" w:rsidTr="00682CBF">
        <w:trPr>
          <w:trHeight w:val="20"/>
        </w:trPr>
        <w:tc>
          <w:tcPr>
            <w:tcW w:w="1588" w:type="pct"/>
            <w:shd w:val="clear" w:color="auto" w:fill="FFFFFF"/>
            <w:tcMar>
              <w:top w:w="10" w:type="dxa"/>
              <w:left w:w="10" w:type="dxa"/>
              <w:bottom w:w="0" w:type="dxa"/>
              <w:right w:w="10" w:type="dxa"/>
            </w:tcMar>
            <w:vAlign w:val="center"/>
            <w:hideMark/>
          </w:tcPr>
          <w:p w14:paraId="4EAC370A" w14:textId="77777777" w:rsidR="00C54BC9" w:rsidRPr="00164238" w:rsidRDefault="00C54BC9" w:rsidP="00682CBF">
            <w:pP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Indemnity</w:t>
            </w:r>
          </w:p>
        </w:tc>
        <w:tc>
          <w:tcPr>
            <w:tcW w:w="743" w:type="pct"/>
            <w:shd w:val="clear" w:color="auto" w:fill="FFFFFF"/>
            <w:tcMar>
              <w:top w:w="10" w:type="dxa"/>
              <w:left w:w="10" w:type="dxa"/>
              <w:bottom w:w="0" w:type="dxa"/>
              <w:right w:w="10" w:type="dxa"/>
            </w:tcMar>
            <w:vAlign w:val="center"/>
            <w:hideMark/>
          </w:tcPr>
          <w:p w14:paraId="3FC8470F"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124.0</w:t>
            </w:r>
          </w:p>
        </w:tc>
        <w:tc>
          <w:tcPr>
            <w:tcW w:w="531" w:type="pct"/>
            <w:shd w:val="clear" w:color="auto" w:fill="FFFFFF"/>
            <w:tcMar>
              <w:top w:w="10" w:type="dxa"/>
              <w:left w:w="10" w:type="dxa"/>
              <w:bottom w:w="0" w:type="dxa"/>
              <w:right w:w="10" w:type="dxa"/>
            </w:tcMar>
            <w:vAlign w:val="center"/>
            <w:hideMark/>
          </w:tcPr>
          <w:p w14:paraId="015AEEC8"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0.18%</w:t>
            </w:r>
          </w:p>
        </w:tc>
        <w:tc>
          <w:tcPr>
            <w:tcW w:w="637" w:type="pct"/>
            <w:shd w:val="clear" w:color="auto" w:fill="FFFFFF"/>
            <w:tcMar>
              <w:top w:w="10" w:type="dxa"/>
              <w:left w:w="10" w:type="dxa"/>
              <w:bottom w:w="0" w:type="dxa"/>
              <w:right w:w="10" w:type="dxa"/>
            </w:tcMar>
            <w:vAlign w:val="center"/>
            <w:hideMark/>
          </w:tcPr>
          <w:p w14:paraId="18872A74"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92.2</w:t>
            </w:r>
          </w:p>
        </w:tc>
        <w:tc>
          <w:tcPr>
            <w:tcW w:w="478" w:type="pct"/>
            <w:shd w:val="clear" w:color="auto" w:fill="FFFFFF"/>
            <w:tcMar>
              <w:top w:w="10" w:type="dxa"/>
              <w:left w:w="10" w:type="dxa"/>
              <w:bottom w:w="0" w:type="dxa"/>
              <w:right w:w="10" w:type="dxa"/>
            </w:tcMar>
            <w:vAlign w:val="center"/>
            <w:hideMark/>
          </w:tcPr>
          <w:p w14:paraId="147455AC"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0.16%</w:t>
            </w:r>
          </w:p>
        </w:tc>
        <w:tc>
          <w:tcPr>
            <w:tcW w:w="530" w:type="pct"/>
            <w:shd w:val="clear" w:color="auto" w:fill="FFFFFF"/>
            <w:tcMar>
              <w:top w:w="10" w:type="dxa"/>
              <w:left w:w="10" w:type="dxa"/>
              <w:bottom w:w="0" w:type="dxa"/>
              <w:right w:w="10" w:type="dxa"/>
            </w:tcMar>
            <w:vAlign w:val="center"/>
            <w:hideMark/>
          </w:tcPr>
          <w:p w14:paraId="4E0768EF"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34.47%</w:t>
            </w:r>
          </w:p>
        </w:tc>
        <w:tc>
          <w:tcPr>
            <w:tcW w:w="493" w:type="pct"/>
            <w:shd w:val="clear" w:color="auto" w:fill="FFFFFF"/>
            <w:tcMar>
              <w:top w:w="10" w:type="dxa"/>
              <w:left w:w="10" w:type="dxa"/>
              <w:bottom w:w="0" w:type="dxa"/>
              <w:right w:w="10" w:type="dxa"/>
            </w:tcMar>
            <w:vAlign w:val="center"/>
            <w:hideMark/>
          </w:tcPr>
          <w:p w14:paraId="0D5178EC"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17.34%</w:t>
            </w:r>
          </w:p>
        </w:tc>
      </w:tr>
      <w:tr w:rsidR="00164238" w:rsidRPr="00164238" w14:paraId="502BA605" w14:textId="77777777" w:rsidTr="00682CBF">
        <w:trPr>
          <w:trHeight w:val="20"/>
        </w:trPr>
        <w:tc>
          <w:tcPr>
            <w:tcW w:w="1588" w:type="pct"/>
            <w:shd w:val="clear" w:color="auto" w:fill="FFFFFF"/>
            <w:tcMar>
              <w:top w:w="10" w:type="dxa"/>
              <w:left w:w="10" w:type="dxa"/>
              <w:bottom w:w="0" w:type="dxa"/>
              <w:right w:w="10" w:type="dxa"/>
            </w:tcMar>
            <w:vAlign w:val="center"/>
            <w:hideMark/>
          </w:tcPr>
          <w:p w14:paraId="433E1028" w14:textId="77777777" w:rsidR="00C54BC9" w:rsidRPr="00164238" w:rsidRDefault="00C54BC9" w:rsidP="00682CBF">
            <w:pP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Financial Loss</w:t>
            </w:r>
          </w:p>
        </w:tc>
        <w:tc>
          <w:tcPr>
            <w:tcW w:w="743" w:type="pct"/>
            <w:shd w:val="clear" w:color="auto" w:fill="FFFFFF"/>
            <w:tcMar>
              <w:top w:w="10" w:type="dxa"/>
              <w:left w:w="10" w:type="dxa"/>
              <w:bottom w:w="0" w:type="dxa"/>
              <w:right w:w="10" w:type="dxa"/>
            </w:tcMar>
            <w:vAlign w:val="center"/>
            <w:hideMark/>
          </w:tcPr>
          <w:p w14:paraId="3EFEA6CC"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548.0</w:t>
            </w:r>
          </w:p>
        </w:tc>
        <w:tc>
          <w:tcPr>
            <w:tcW w:w="531" w:type="pct"/>
            <w:shd w:val="clear" w:color="auto" w:fill="FFFFFF"/>
            <w:tcMar>
              <w:top w:w="10" w:type="dxa"/>
              <w:left w:w="10" w:type="dxa"/>
              <w:bottom w:w="0" w:type="dxa"/>
              <w:right w:w="10" w:type="dxa"/>
            </w:tcMar>
            <w:vAlign w:val="center"/>
            <w:hideMark/>
          </w:tcPr>
          <w:p w14:paraId="4A51B8E6"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0.80%</w:t>
            </w:r>
          </w:p>
        </w:tc>
        <w:tc>
          <w:tcPr>
            <w:tcW w:w="637" w:type="pct"/>
            <w:shd w:val="clear" w:color="auto" w:fill="FFFFFF"/>
            <w:tcMar>
              <w:top w:w="10" w:type="dxa"/>
              <w:left w:w="10" w:type="dxa"/>
              <w:bottom w:w="0" w:type="dxa"/>
              <w:right w:w="10" w:type="dxa"/>
            </w:tcMar>
            <w:vAlign w:val="center"/>
            <w:hideMark/>
          </w:tcPr>
          <w:p w14:paraId="3C2F32C3"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505.3</w:t>
            </w:r>
          </w:p>
        </w:tc>
        <w:tc>
          <w:tcPr>
            <w:tcW w:w="478" w:type="pct"/>
            <w:shd w:val="clear" w:color="auto" w:fill="FFFFFF"/>
            <w:tcMar>
              <w:top w:w="10" w:type="dxa"/>
              <w:left w:w="10" w:type="dxa"/>
              <w:bottom w:w="0" w:type="dxa"/>
              <w:right w:w="10" w:type="dxa"/>
            </w:tcMar>
            <w:vAlign w:val="center"/>
            <w:hideMark/>
          </w:tcPr>
          <w:p w14:paraId="79BB2932"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0.87%</w:t>
            </w:r>
          </w:p>
        </w:tc>
        <w:tc>
          <w:tcPr>
            <w:tcW w:w="530" w:type="pct"/>
            <w:shd w:val="clear" w:color="auto" w:fill="FFFFFF"/>
            <w:tcMar>
              <w:top w:w="10" w:type="dxa"/>
              <w:left w:w="10" w:type="dxa"/>
              <w:bottom w:w="0" w:type="dxa"/>
              <w:right w:w="10" w:type="dxa"/>
            </w:tcMar>
            <w:vAlign w:val="center"/>
            <w:hideMark/>
          </w:tcPr>
          <w:p w14:paraId="1C285283"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8.45%</w:t>
            </w:r>
          </w:p>
        </w:tc>
        <w:tc>
          <w:tcPr>
            <w:tcW w:w="493" w:type="pct"/>
            <w:shd w:val="clear" w:color="auto" w:fill="FFFFFF"/>
            <w:tcMar>
              <w:top w:w="10" w:type="dxa"/>
              <w:left w:w="10" w:type="dxa"/>
              <w:bottom w:w="0" w:type="dxa"/>
              <w:right w:w="10" w:type="dxa"/>
            </w:tcMar>
            <w:vAlign w:val="center"/>
            <w:hideMark/>
          </w:tcPr>
          <w:p w14:paraId="51F21C11"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-5.37%</w:t>
            </w:r>
          </w:p>
        </w:tc>
      </w:tr>
      <w:tr w:rsidR="00164238" w:rsidRPr="00164238" w14:paraId="4ED9CC88" w14:textId="77777777" w:rsidTr="00682CBF">
        <w:trPr>
          <w:trHeight w:val="20"/>
        </w:trPr>
        <w:tc>
          <w:tcPr>
            <w:tcW w:w="1588" w:type="pct"/>
            <w:shd w:val="clear" w:color="auto" w:fill="FFFFFF"/>
            <w:tcMar>
              <w:top w:w="10" w:type="dxa"/>
              <w:left w:w="10" w:type="dxa"/>
              <w:bottom w:w="0" w:type="dxa"/>
              <w:right w:w="10" w:type="dxa"/>
            </w:tcMar>
            <w:vAlign w:val="center"/>
            <w:hideMark/>
          </w:tcPr>
          <w:p w14:paraId="358CF299" w14:textId="77777777" w:rsidR="00C54BC9" w:rsidRPr="00164238" w:rsidRDefault="00C54BC9" w:rsidP="00682CBF">
            <w:pP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Legal Expenses</w:t>
            </w:r>
          </w:p>
        </w:tc>
        <w:tc>
          <w:tcPr>
            <w:tcW w:w="743" w:type="pct"/>
            <w:shd w:val="clear" w:color="auto" w:fill="FFFFFF"/>
            <w:tcMar>
              <w:top w:w="10" w:type="dxa"/>
              <w:left w:w="10" w:type="dxa"/>
              <w:bottom w:w="0" w:type="dxa"/>
              <w:right w:w="10" w:type="dxa"/>
            </w:tcMar>
            <w:vAlign w:val="center"/>
            <w:hideMark/>
          </w:tcPr>
          <w:p w14:paraId="7B4396D1"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225.0</w:t>
            </w:r>
          </w:p>
        </w:tc>
        <w:tc>
          <w:tcPr>
            <w:tcW w:w="531" w:type="pct"/>
            <w:shd w:val="clear" w:color="auto" w:fill="FFFFFF"/>
            <w:tcMar>
              <w:top w:w="10" w:type="dxa"/>
              <w:left w:w="10" w:type="dxa"/>
              <w:bottom w:w="0" w:type="dxa"/>
              <w:right w:w="10" w:type="dxa"/>
            </w:tcMar>
            <w:vAlign w:val="center"/>
            <w:hideMark/>
          </w:tcPr>
          <w:p w14:paraId="6AFDDBD1"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0.33%</w:t>
            </w:r>
          </w:p>
        </w:tc>
        <w:tc>
          <w:tcPr>
            <w:tcW w:w="637" w:type="pct"/>
            <w:shd w:val="clear" w:color="auto" w:fill="FFFFFF"/>
            <w:tcMar>
              <w:top w:w="10" w:type="dxa"/>
              <w:left w:w="10" w:type="dxa"/>
              <w:bottom w:w="0" w:type="dxa"/>
              <w:right w:w="10" w:type="dxa"/>
            </w:tcMar>
            <w:vAlign w:val="center"/>
            <w:hideMark/>
          </w:tcPr>
          <w:p w14:paraId="27E6BF90"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198.5</w:t>
            </w:r>
          </w:p>
        </w:tc>
        <w:tc>
          <w:tcPr>
            <w:tcW w:w="478" w:type="pct"/>
            <w:shd w:val="clear" w:color="auto" w:fill="FFFFFF"/>
            <w:tcMar>
              <w:top w:w="10" w:type="dxa"/>
              <w:left w:w="10" w:type="dxa"/>
              <w:bottom w:w="0" w:type="dxa"/>
              <w:right w:w="10" w:type="dxa"/>
            </w:tcMar>
            <w:vAlign w:val="center"/>
            <w:hideMark/>
          </w:tcPr>
          <w:p w14:paraId="5A4FBAAC"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0.34%</w:t>
            </w:r>
          </w:p>
        </w:tc>
        <w:tc>
          <w:tcPr>
            <w:tcW w:w="530" w:type="pct"/>
            <w:shd w:val="clear" w:color="auto" w:fill="FFFFFF"/>
            <w:tcMar>
              <w:top w:w="10" w:type="dxa"/>
              <w:left w:w="10" w:type="dxa"/>
              <w:bottom w:w="0" w:type="dxa"/>
              <w:right w:w="10" w:type="dxa"/>
            </w:tcMar>
            <w:vAlign w:val="center"/>
            <w:hideMark/>
          </w:tcPr>
          <w:p w14:paraId="3FB93DA3"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13.36%</w:t>
            </w:r>
          </w:p>
        </w:tc>
        <w:tc>
          <w:tcPr>
            <w:tcW w:w="493" w:type="pct"/>
            <w:shd w:val="clear" w:color="auto" w:fill="FFFFFF"/>
            <w:tcMar>
              <w:top w:w="10" w:type="dxa"/>
              <w:left w:w="10" w:type="dxa"/>
              <w:bottom w:w="0" w:type="dxa"/>
              <w:right w:w="10" w:type="dxa"/>
            </w:tcMar>
            <w:vAlign w:val="center"/>
            <w:hideMark/>
          </w:tcPr>
          <w:p w14:paraId="407E784C"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-1.09%</w:t>
            </w:r>
          </w:p>
        </w:tc>
      </w:tr>
      <w:tr w:rsidR="00164238" w:rsidRPr="00164238" w14:paraId="1FF4F78D" w14:textId="77777777" w:rsidTr="00682CBF">
        <w:trPr>
          <w:trHeight w:val="20"/>
        </w:trPr>
        <w:tc>
          <w:tcPr>
            <w:tcW w:w="1588" w:type="pct"/>
            <w:shd w:val="clear" w:color="auto" w:fill="FFFFFF"/>
            <w:tcMar>
              <w:top w:w="10" w:type="dxa"/>
              <w:left w:w="10" w:type="dxa"/>
              <w:bottom w:w="0" w:type="dxa"/>
              <w:right w:w="10" w:type="dxa"/>
            </w:tcMar>
            <w:vAlign w:val="center"/>
            <w:hideMark/>
          </w:tcPr>
          <w:p w14:paraId="14885DD8" w14:textId="77777777" w:rsidR="00C54BC9" w:rsidRPr="00164238" w:rsidRDefault="00C54BC9" w:rsidP="00682CBF">
            <w:pPr>
              <w:textAlignment w:val="bottom"/>
              <w:rPr>
                <w:rFonts w:ascii="Times New Roman" w:hAnsi="Times New Roman" w:cs="Times New Roman"/>
                <w:color w:val="000000" w:themeColor="text1"/>
                <w:lang w:eastAsia="tr-TR"/>
              </w:rPr>
            </w:pPr>
            <w:r w:rsidRPr="00164238">
              <w:rPr>
                <w:rFonts w:ascii="Times New Roman" w:hAnsi="Times New Roman" w:cs="Times New Roman"/>
                <w:bCs/>
                <w:color w:val="000000" w:themeColor="text1"/>
                <w:kern w:val="24"/>
                <w:lang w:eastAsia="tr-TR"/>
              </w:rPr>
              <w:t>Support</w:t>
            </w:r>
          </w:p>
        </w:tc>
        <w:tc>
          <w:tcPr>
            <w:tcW w:w="743" w:type="pct"/>
            <w:shd w:val="clear" w:color="auto" w:fill="FFFFFF"/>
            <w:tcMar>
              <w:top w:w="10" w:type="dxa"/>
              <w:left w:w="10" w:type="dxa"/>
              <w:bottom w:w="0" w:type="dxa"/>
              <w:right w:w="10" w:type="dxa"/>
            </w:tcMar>
            <w:vAlign w:val="center"/>
            <w:hideMark/>
          </w:tcPr>
          <w:p w14:paraId="4E84D22D"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0.0</w:t>
            </w:r>
          </w:p>
        </w:tc>
        <w:tc>
          <w:tcPr>
            <w:tcW w:w="531" w:type="pct"/>
            <w:shd w:val="clear" w:color="auto" w:fill="FFFFFF"/>
            <w:tcMar>
              <w:top w:w="10" w:type="dxa"/>
              <w:left w:w="10" w:type="dxa"/>
              <w:bottom w:w="0" w:type="dxa"/>
              <w:right w:w="10" w:type="dxa"/>
            </w:tcMar>
            <w:vAlign w:val="center"/>
            <w:hideMark/>
          </w:tcPr>
          <w:p w14:paraId="587FF6B7"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0.00%</w:t>
            </w:r>
          </w:p>
        </w:tc>
        <w:tc>
          <w:tcPr>
            <w:tcW w:w="637" w:type="pct"/>
            <w:shd w:val="clear" w:color="auto" w:fill="FFFFFF"/>
            <w:tcMar>
              <w:top w:w="10" w:type="dxa"/>
              <w:left w:w="10" w:type="dxa"/>
              <w:bottom w:w="0" w:type="dxa"/>
              <w:right w:w="10" w:type="dxa"/>
            </w:tcMar>
            <w:vAlign w:val="center"/>
            <w:hideMark/>
          </w:tcPr>
          <w:p w14:paraId="4028B9AD"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0.2</w:t>
            </w:r>
          </w:p>
        </w:tc>
        <w:tc>
          <w:tcPr>
            <w:tcW w:w="478" w:type="pct"/>
            <w:shd w:val="clear" w:color="auto" w:fill="FFFFFF"/>
            <w:tcMar>
              <w:top w:w="10" w:type="dxa"/>
              <w:left w:w="10" w:type="dxa"/>
              <w:bottom w:w="0" w:type="dxa"/>
              <w:right w:w="10" w:type="dxa"/>
            </w:tcMar>
            <w:vAlign w:val="center"/>
            <w:hideMark/>
          </w:tcPr>
          <w:p w14:paraId="7567EA9A"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0.00%</w:t>
            </w:r>
          </w:p>
        </w:tc>
        <w:tc>
          <w:tcPr>
            <w:tcW w:w="530" w:type="pct"/>
            <w:shd w:val="clear" w:color="auto" w:fill="FFFFFF"/>
            <w:tcMar>
              <w:top w:w="10" w:type="dxa"/>
              <w:left w:w="10" w:type="dxa"/>
              <w:bottom w:w="0" w:type="dxa"/>
              <w:right w:w="10" w:type="dxa"/>
            </w:tcMar>
            <w:vAlign w:val="center"/>
            <w:hideMark/>
          </w:tcPr>
          <w:p w14:paraId="2E9FFE19"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-98.78%</w:t>
            </w:r>
          </w:p>
        </w:tc>
        <w:tc>
          <w:tcPr>
            <w:tcW w:w="493" w:type="pct"/>
            <w:shd w:val="clear" w:color="auto" w:fill="FFFFFF"/>
            <w:tcMar>
              <w:top w:w="10" w:type="dxa"/>
              <w:left w:w="10" w:type="dxa"/>
              <w:bottom w:w="0" w:type="dxa"/>
              <w:right w:w="10" w:type="dxa"/>
            </w:tcMar>
            <w:vAlign w:val="center"/>
            <w:hideMark/>
          </w:tcPr>
          <w:p w14:paraId="4AE3CB24" w14:textId="77777777" w:rsidR="00C54BC9" w:rsidRPr="00164238" w:rsidRDefault="00C54BC9" w:rsidP="00682CBF">
            <w:pPr>
              <w:jc w:val="center"/>
              <w:textAlignment w:val="bottom"/>
              <w:rPr>
                <w:rFonts w:ascii="Times New Roman" w:hAnsi="Times New Roman" w:cs="Times New Roman"/>
                <w:color w:val="000000" w:themeColor="text1"/>
                <w:lang w:eastAsia="tr-TR"/>
              </w:rPr>
            </w:pPr>
            <w:r w:rsidRPr="00164238">
              <w:rPr>
                <w:rFonts w:ascii="Times New Roman" w:hAnsi="Times New Roman" w:cs="Times New Roman"/>
                <w:color w:val="000000" w:themeColor="text1"/>
                <w:kern w:val="24"/>
                <w:lang w:eastAsia="tr-TR"/>
              </w:rPr>
              <w:t>-98.94%</w:t>
            </w:r>
          </w:p>
        </w:tc>
      </w:tr>
      <w:tr w:rsidR="00164238" w:rsidRPr="00164238" w14:paraId="62377066" w14:textId="77777777" w:rsidTr="00682CBF">
        <w:trPr>
          <w:trHeight w:val="20"/>
        </w:trPr>
        <w:tc>
          <w:tcPr>
            <w:tcW w:w="1588" w:type="pct"/>
            <w:shd w:val="clear" w:color="auto" w:fill="FFFFFF"/>
            <w:tcMar>
              <w:top w:w="10" w:type="dxa"/>
              <w:left w:w="10" w:type="dxa"/>
              <w:bottom w:w="0" w:type="dxa"/>
              <w:right w:w="10" w:type="dxa"/>
            </w:tcMar>
            <w:vAlign w:val="center"/>
            <w:hideMark/>
          </w:tcPr>
          <w:p w14:paraId="13C99D0A" w14:textId="77777777" w:rsidR="00C54BC9" w:rsidRPr="00164238" w:rsidRDefault="00C54BC9" w:rsidP="00682CBF">
            <w:pPr>
              <w:textAlignment w:val="center"/>
              <w:rPr>
                <w:rFonts w:ascii="Times New Roman" w:hAnsi="Times New Roman" w:cs="Times New Roman"/>
                <w:color w:val="000000" w:themeColor="text1"/>
                <w:lang w:eastAsia="tr-TR"/>
              </w:rPr>
            </w:pPr>
            <w:r w:rsidRPr="00164238">
              <w:rPr>
                <w:rFonts w:ascii="Times New Roman" w:hAnsi="Times New Roman" w:cs="Times New Roman"/>
                <w:b/>
                <w:bCs/>
                <w:color w:val="000000" w:themeColor="text1"/>
                <w:kern w:val="24"/>
                <w:lang w:eastAsia="tr-TR"/>
              </w:rPr>
              <w:t>Non-Life Insurance Total</w:t>
            </w:r>
          </w:p>
        </w:tc>
        <w:tc>
          <w:tcPr>
            <w:tcW w:w="743" w:type="pct"/>
            <w:shd w:val="clear" w:color="auto" w:fill="FFFFFF"/>
            <w:tcMar>
              <w:top w:w="10" w:type="dxa"/>
              <w:left w:w="10" w:type="dxa"/>
              <w:bottom w:w="0" w:type="dxa"/>
              <w:right w:w="10" w:type="dxa"/>
            </w:tcMar>
            <w:vAlign w:val="center"/>
            <w:hideMark/>
          </w:tcPr>
          <w:p w14:paraId="389A40AE" w14:textId="77777777" w:rsidR="00C54BC9" w:rsidRPr="00164238" w:rsidRDefault="00C54BC9" w:rsidP="00682CBF">
            <w:pPr>
              <w:jc w:val="center"/>
              <w:textAlignment w:val="bottom"/>
              <w:rPr>
                <w:rFonts w:ascii="Times New Roman" w:hAnsi="Times New Roman" w:cs="Times New Roman"/>
                <w:b/>
                <w:color w:val="000000" w:themeColor="text1"/>
                <w:lang w:eastAsia="tr-TR"/>
              </w:rPr>
            </w:pPr>
            <w:r w:rsidRPr="00164238">
              <w:rPr>
                <w:rFonts w:ascii="Times New Roman" w:hAnsi="Times New Roman" w:cs="Times New Roman"/>
                <w:b/>
                <w:bCs/>
                <w:color w:val="000000" w:themeColor="text1"/>
                <w:kern w:val="24"/>
                <w:lang w:eastAsia="tr-TR"/>
              </w:rPr>
              <w:t>68,143.7</w:t>
            </w:r>
          </w:p>
        </w:tc>
        <w:tc>
          <w:tcPr>
            <w:tcW w:w="531" w:type="pct"/>
            <w:shd w:val="clear" w:color="auto" w:fill="FFFFFF"/>
            <w:tcMar>
              <w:top w:w="10" w:type="dxa"/>
              <w:left w:w="10" w:type="dxa"/>
              <w:bottom w:w="0" w:type="dxa"/>
              <w:right w:w="10" w:type="dxa"/>
            </w:tcMar>
            <w:vAlign w:val="center"/>
            <w:hideMark/>
          </w:tcPr>
          <w:p w14:paraId="10B027F5" w14:textId="77777777" w:rsidR="00C54BC9" w:rsidRPr="00164238" w:rsidRDefault="00C54BC9" w:rsidP="00682CBF">
            <w:pPr>
              <w:jc w:val="center"/>
              <w:textAlignment w:val="bottom"/>
              <w:rPr>
                <w:rFonts w:ascii="Times New Roman" w:hAnsi="Times New Roman" w:cs="Times New Roman"/>
                <w:b/>
                <w:color w:val="000000" w:themeColor="text1"/>
                <w:lang w:eastAsia="tr-TR"/>
              </w:rPr>
            </w:pPr>
            <w:r w:rsidRPr="00164238">
              <w:rPr>
                <w:rFonts w:ascii="Times New Roman" w:hAnsi="Times New Roman" w:cs="Times New Roman"/>
                <w:b/>
                <w:bCs/>
                <w:color w:val="000000" w:themeColor="text1"/>
                <w:kern w:val="24"/>
                <w:lang w:eastAsia="tr-TR"/>
              </w:rPr>
              <w:t>82.52%</w:t>
            </w:r>
          </w:p>
        </w:tc>
        <w:tc>
          <w:tcPr>
            <w:tcW w:w="637" w:type="pct"/>
            <w:shd w:val="clear" w:color="auto" w:fill="FFFFFF"/>
            <w:tcMar>
              <w:top w:w="10" w:type="dxa"/>
              <w:left w:w="10" w:type="dxa"/>
              <w:bottom w:w="0" w:type="dxa"/>
              <w:right w:w="10" w:type="dxa"/>
            </w:tcMar>
            <w:vAlign w:val="center"/>
            <w:hideMark/>
          </w:tcPr>
          <w:p w14:paraId="50F9A630" w14:textId="77777777" w:rsidR="00C54BC9" w:rsidRPr="00164238" w:rsidRDefault="00C54BC9" w:rsidP="00682CBF">
            <w:pPr>
              <w:jc w:val="center"/>
              <w:textAlignment w:val="bottom"/>
              <w:rPr>
                <w:rFonts w:ascii="Times New Roman" w:hAnsi="Times New Roman" w:cs="Times New Roman"/>
                <w:b/>
                <w:color w:val="000000" w:themeColor="text1"/>
                <w:lang w:eastAsia="tr-TR"/>
              </w:rPr>
            </w:pPr>
            <w:r w:rsidRPr="00164238">
              <w:rPr>
                <w:rFonts w:ascii="Times New Roman" w:hAnsi="Times New Roman" w:cs="Times New Roman"/>
                <w:b/>
                <w:color w:val="000000" w:themeColor="text1"/>
                <w:kern w:val="24"/>
                <w:lang w:eastAsia="tr-TR"/>
              </w:rPr>
              <w:t>57,882.5</w:t>
            </w:r>
          </w:p>
        </w:tc>
        <w:tc>
          <w:tcPr>
            <w:tcW w:w="478" w:type="pct"/>
            <w:shd w:val="clear" w:color="auto" w:fill="FFFFFF"/>
            <w:tcMar>
              <w:top w:w="10" w:type="dxa"/>
              <w:left w:w="10" w:type="dxa"/>
              <w:bottom w:w="0" w:type="dxa"/>
              <w:right w:w="10" w:type="dxa"/>
            </w:tcMar>
            <w:vAlign w:val="center"/>
            <w:hideMark/>
          </w:tcPr>
          <w:p w14:paraId="14696485" w14:textId="77777777" w:rsidR="00C54BC9" w:rsidRPr="00164238" w:rsidRDefault="00C54BC9" w:rsidP="00682CBF">
            <w:pPr>
              <w:jc w:val="center"/>
              <w:textAlignment w:val="bottom"/>
              <w:rPr>
                <w:rFonts w:ascii="Times New Roman" w:hAnsi="Times New Roman" w:cs="Times New Roman"/>
                <w:b/>
                <w:color w:val="000000" w:themeColor="text1"/>
                <w:lang w:eastAsia="tr-TR"/>
              </w:rPr>
            </w:pPr>
            <w:r w:rsidRPr="00164238">
              <w:rPr>
                <w:rFonts w:ascii="Times New Roman" w:hAnsi="Times New Roman" w:cs="Times New Roman"/>
                <w:b/>
                <w:color w:val="000000" w:themeColor="text1"/>
                <w:kern w:val="24"/>
                <w:lang w:eastAsia="tr-TR"/>
              </w:rPr>
              <w:t>83.59%</w:t>
            </w:r>
          </w:p>
        </w:tc>
        <w:tc>
          <w:tcPr>
            <w:tcW w:w="530" w:type="pct"/>
            <w:shd w:val="clear" w:color="auto" w:fill="FFFFFF"/>
            <w:tcMar>
              <w:top w:w="10" w:type="dxa"/>
              <w:left w:w="10" w:type="dxa"/>
              <w:bottom w:w="0" w:type="dxa"/>
              <w:right w:w="10" w:type="dxa"/>
            </w:tcMar>
            <w:vAlign w:val="center"/>
            <w:hideMark/>
          </w:tcPr>
          <w:p w14:paraId="2A41F711" w14:textId="77777777" w:rsidR="00C54BC9" w:rsidRPr="00164238" w:rsidRDefault="00C54BC9" w:rsidP="00682CBF">
            <w:pPr>
              <w:jc w:val="center"/>
              <w:textAlignment w:val="bottom"/>
              <w:rPr>
                <w:rFonts w:ascii="Times New Roman" w:hAnsi="Times New Roman" w:cs="Times New Roman"/>
                <w:b/>
                <w:color w:val="000000" w:themeColor="text1"/>
                <w:lang w:eastAsia="tr-TR"/>
              </w:rPr>
            </w:pPr>
            <w:r w:rsidRPr="00164238">
              <w:rPr>
                <w:rFonts w:ascii="Times New Roman" w:hAnsi="Times New Roman" w:cs="Times New Roman"/>
                <w:b/>
                <w:bCs/>
                <w:color w:val="000000" w:themeColor="text1"/>
                <w:kern w:val="24"/>
                <w:lang w:eastAsia="tr-TR"/>
              </w:rPr>
              <w:t>17.73%</w:t>
            </w:r>
          </w:p>
        </w:tc>
        <w:tc>
          <w:tcPr>
            <w:tcW w:w="493" w:type="pct"/>
            <w:shd w:val="clear" w:color="auto" w:fill="FFFFFF"/>
            <w:tcMar>
              <w:top w:w="10" w:type="dxa"/>
              <w:left w:w="10" w:type="dxa"/>
              <w:bottom w:w="0" w:type="dxa"/>
              <w:right w:w="10" w:type="dxa"/>
            </w:tcMar>
            <w:vAlign w:val="center"/>
            <w:hideMark/>
          </w:tcPr>
          <w:p w14:paraId="3FB01C38" w14:textId="77777777" w:rsidR="00C54BC9" w:rsidRPr="00164238" w:rsidRDefault="00C54BC9" w:rsidP="00682CBF">
            <w:pPr>
              <w:jc w:val="center"/>
              <w:textAlignment w:val="bottom"/>
              <w:rPr>
                <w:rFonts w:ascii="Times New Roman" w:hAnsi="Times New Roman" w:cs="Times New Roman"/>
                <w:b/>
                <w:color w:val="000000" w:themeColor="text1"/>
                <w:lang w:eastAsia="tr-TR"/>
              </w:rPr>
            </w:pPr>
            <w:r w:rsidRPr="00164238">
              <w:rPr>
                <w:rFonts w:ascii="Times New Roman" w:hAnsi="Times New Roman" w:cs="Times New Roman"/>
                <w:b/>
                <w:bCs/>
                <w:color w:val="000000" w:themeColor="text1"/>
                <w:kern w:val="24"/>
                <w:lang w:eastAsia="tr-TR"/>
              </w:rPr>
              <w:t>2.73%</w:t>
            </w:r>
          </w:p>
        </w:tc>
      </w:tr>
      <w:tr w:rsidR="00164238" w:rsidRPr="00164238" w14:paraId="75F1B533" w14:textId="77777777" w:rsidTr="00682CBF">
        <w:trPr>
          <w:trHeight w:val="20"/>
        </w:trPr>
        <w:tc>
          <w:tcPr>
            <w:tcW w:w="1588" w:type="pct"/>
            <w:shd w:val="clear" w:color="auto" w:fill="FFFFFF"/>
            <w:tcMar>
              <w:top w:w="10" w:type="dxa"/>
              <w:left w:w="10" w:type="dxa"/>
              <w:bottom w:w="0" w:type="dxa"/>
              <w:right w:w="10" w:type="dxa"/>
            </w:tcMar>
            <w:vAlign w:val="center"/>
            <w:hideMark/>
          </w:tcPr>
          <w:p w14:paraId="03DFF404" w14:textId="77777777" w:rsidR="00C54BC9" w:rsidRPr="00164238" w:rsidRDefault="00C54BC9" w:rsidP="00682CBF">
            <w:pPr>
              <w:textAlignment w:val="center"/>
              <w:rPr>
                <w:rFonts w:ascii="Times New Roman" w:hAnsi="Times New Roman" w:cs="Times New Roman"/>
                <w:color w:val="000000" w:themeColor="text1"/>
                <w:lang w:eastAsia="tr-TR"/>
              </w:rPr>
            </w:pPr>
            <w:r w:rsidRPr="00164238">
              <w:rPr>
                <w:rFonts w:ascii="Times New Roman" w:hAnsi="Times New Roman" w:cs="Times New Roman"/>
                <w:b/>
                <w:bCs/>
                <w:color w:val="000000" w:themeColor="text1"/>
                <w:kern w:val="24"/>
                <w:lang w:eastAsia="tr-TR"/>
              </w:rPr>
              <w:t>Life Insurance Total</w:t>
            </w:r>
          </w:p>
        </w:tc>
        <w:tc>
          <w:tcPr>
            <w:tcW w:w="743" w:type="pct"/>
            <w:shd w:val="clear" w:color="auto" w:fill="FFFFFF"/>
            <w:tcMar>
              <w:top w:w="10" w:type="dxa"/>
              <w:left w:w="10" w:type="dxa"/>
              <w:bottom w:w="0" w:type="dxa"/>
              <w:right w:w="10" w:type="dxa"/>
            </w:tcMar>
            <w:vAlign w:val="center"/>
            <w:hideMark/>
          </w:tcPr>
          <w:p w14:paraId="41A0F3B4" w14:textId="77777777" w:rsidR="00C54BC9" w:rsidRPr="00164238" w:rsidRDefault="00C54BC9" w:rsidP="00682CBF">
            <w:pPr>
              <w:jc w:val="center"/>
              <w:textAlignment w:val="bottom"/>
              <w:rPr>
                <w:rFonts w:ascii="Times New Roman" w:hAnsi="Times New Roman" w:cs="Times New Roman"/>
                <w:b/>
                <w:color w:val="000000" w:themeColor="text1"/>
                <w:lang w:eastAsia="tr-TR"/>
              </w:rPr>
            </w:pPr>
            <w:r w:rsidRPr="00164238">
              <w:rPr>
                <w:rFonts w:ascii="Times New Roman" w:hAnsi="Times New Roman" w:cs="Times New Roman"/>
                <w:b/>
                <w:bCs/>
                <w:color w:val="000000" w:themeColor="text1"/>
                <w:kern w:val="24"/>
                <w:lang w:eastAsia="tr-TR"/>
              </w:rPr>
              <w:t>14,431.9</w:t>
            </w:r>
          </w:p>
        </w:tc>
        <w:tc>
          <w:tcPr>
            <w:tcW w:w="531" w:type="pct"/>
            <w:shd w:val="clear" w:color="auto" w:fill="FFFFFF"/>
            <w:tcMar>
              <w:top w:w="10" w:type="dxa"/>
              <w:left w:w="10" w:type="dxa"/>
              <w:bottom w:w="0" w:type="dxa"/>
              <w:right w:w="10" w:type="dxa"/>
            </w:tcMar>
            <w:vAlign w:val="center"/>
            <w:hideMark/>
          </w:tcPr>
          <w:p w14:paraId="56B20759" w14:textId="77777777" w:rsidR="00C54BC9" w:rsidRPr="00164238" w:rsidRDefault="00C54BC9" w:rsidP="00682CBF">
            <w:pPr>
              <w:jc w:val="center"/>
              <w:textAlignment w:val="bottom"/>
              <w:rPr>
                <w:rFonts w:ascii="Times New Roman" w:hAnsi="Times New Roman" w:cs="Times New Roman"/>
                <w:b/>
                <w:color w:val="000000" w:themeColor="text1"/>
                <w:lang w:eastAsia="tr-TR"/>
              </w:rPr>
            </w:pPr>
            <w:r w:rsidRPr="00164238">
              <w:rPr>
                <w:rFonts w:ascii="Times New Roman" w:hAnsi="Times New Roman" w:cs="Times New Roman"/>
                <w:b/>
                <w:bCs/>
                <w:color w:val="000000" w:themeColor="text1"/>
                <w:kern w:val="24"/>
                <w:lang w:eastAsia="tr-TR"/>
              </w:rPr>
              <w:t>17.48%</w:t>
            </w:r>
          </w:p>
        </w:tc>
        <w:tc>
          <w:tcPr>
            <w:tcW w:w="637" w:type="pct"/>
            <w:shd w:val="clear" w:color="auto" w:fill="FFFFFF"/>
            <w:tcMar>
              <w:top w:w="10" w:type="dxa"/>
              <w:left w:w="10" w:type="dxa"/>
              <w:bottom w:w="0" w:type="dxa"/>
              <w:right w:w="10" w:type="dxa"/>
            </w:tcMar>
            <w:vAlign w:val="center"/>
            <w:hideMark/>
          </w:tcPr>
          <w:p w14:paraId="06D0BBB3" w14:textId="77777777" w:rsidR="00C54BC9" w:rsidRPr="00164238" w:rsidRDefault="00C54BC9" w:rsidP="00682CBF">
            <w:pPr>
              <w:jc w:val="center"/>
              <w:textAlignment w:val="bottom"/>
              <w:rPr>
                <w:rFonts w:ascii="Times New Roman" w:hAnsi="Times New Roman" w:cs="Times New Roman"/>
                <w:b/>
                <w:color w:val="000000" w:themeColor="text1"/>
                <w:lang w:eastAsia="tr-TR"/>
              </w:rPr>
            </w:pPr>
            <w:r w:rsidRPr="00164238">
              <w:rPr>
                <w:rFonts w:ascii="Times New Roman" w:hAnsi="Times New Roman" w:cs="Times New Roman"/>
                <w:b/>
                <w:color w:val="000000" w:themeColor="text1"/>
                <w:kern w:val="24"/>
                <w:lang w:eastAsia="tr-TR"/>
              </w:rPr>
              <w:t>11,359.7</w:t>
            </w:r>
          </w:p>
        </w:tc>
        <w:tc>
          <w:tcPr>
            <w:tcW w:w="478" w:type="pct"/>
            <w:shd w:val="clear" w:color="auto" w:fill="FFFFFF"/>
            <w:tcMar>
              <w:top w:w="10" w:type="dxa"/>
              <w:left w:w="10" w:type="dxa"/>
              <w:bottom w:w="0" w:type="dxa"/>
              <w:right w:w="10" w:type="dxa"/>
            </w:tcMar>
            <w:vAlign w:val="center"/>
            <w:hideMark/>
          </w:tcPr>
          <w:p w14:paraId="10BD77C1" w14:textId="77777777" w:rsidR="00C54BC9" w:rsidRPr="00164238" w:rsidRDefault="00C54BC9" w:rsidP="00682CBF">
            <w:pPr>
              <w:jc w:val="center"/>
              <w:textAlignment w:val="bottom"/>
              <w:rPr>
                <w:rFonts w:ascii="Times New Roman" w:hAnsi="Times New Roman" w:cs="Times New Roman"/>
                <w:b/>
                <w:color w:val="000000" w:themeColor="text1"/>
                <w:lang w:eastAsia="tr-TR"/>
              </w:rPr>
            </w:pPr>
            <w:r w:rsidRPr="00164238">
              <w:rPr>
                <w:rFonts w:ascii="Times New Roman" w:hAnsi="Times New Roman" w:cs="Times New Roman"/>
                <w:b/>
                <w:color w:val="000000" w:themeColor="text1"/>
                <w:kern w:val="24"/>
                <w:lang w:eastAsia="tr-TR"/>
              </w:rPr>
              <w:t>16.41%</w:t>
            </w:r>
          </w:p>
        </w:tc>
        <w:tc>
          <w:tcPr>
            <w:tcW w:w="530" w:type="pct"/>
            <w:shd w:val="clear" w:color="auto" w:fill="FFFFFF"/>
            <w:tcMar>
              <w:top w:w="10" w:type="dxa"/>
              <w:left w:w="10" w:type="dxa"/>
              <w:bottom w:w="0" w:type="dxa"/>
              <w:right w:w="10" w:type="dxa"/>
            </w:tcMar>
            <w:vAlign w:val="center"/>
            <w:hideMark/>
          </w:tcPr>
          <w:p w14:paraId="4FA7E3A8" w14:textId="77777777" w:rsidR="00C54BC9" w:rsidRPr="00164238" w:rsidRDefault="00C54BC9" w:rsidP="00682CBF">
            <w:pPr>
              <w:jc w:val="center"/>
              <w:textAlignment w:val="bottom"/>
              <w:rPr>
                <w:rFonts w:ascii="Times New Roman" w:hAnsi="Times New Roman" w:cs="Times New Roman"/>
                <w:b/>
                <w:color w:val="000000" w:themeColor="text1"/>
                <w:lang w:eastAsia="tr-TR"/>
              </w:rPr>
            </w:pPr>
            <w:r w:rsidRPr="00164238">
              <w:rPr>
                <w:rFonts w:ascii="Times New Roman" w:hAnsi="Times New Roman" w:cs="Times New Roman"/>
                <w:b/>
                <w:bCs/>
                <w:color w:val="000000" w:themeColor="text1"/>
                <w:kern w:val="24"/>
                <w:lang w:eastAsia="tr-TR"/>
              </w:rPr>
              <w:t>27.04%</w:t>
            </w:r>
          </w:p>
        </w:tc>
        <w:tc>
          <w:tcPr>
            <w:tcW w:w="493" w:type="pct"/>
            <w:shd w:val="clear" w:color="auto" w:fill="FFFFFF"/>
            <w:tcMar>
              <w:top w:w="10" w:type="dxa"/>
              <w:left w:w="10" w:type="dxa"/>
              <w:bottom w:w="0" w:type="dxa"/>
              <w:right w:w="10" w:type="dxa"/>
            </w:tcMar>
            <w:vAlign w:val="center"/>
            <w:hideMark/>
          </w:tcPr>
          <w:p w14:paraId="76D574E0" w14:textId="77777777" w:rsidR="00C54BC9" w:rsidRPr="00164238" w:rsidRDefault="00C54BC9" w:rsidP="00682CBF">
            <w:pPr>
              <w:jc w:val="center"/>
              <w:textAlignment w:val="bottom"/>
              <w:rPr>
                <w:rFonts w:ascii="Times New Roman" w:hAnsi="Times New Roman" w:cs="Times New Roman"/>
                <w:b/>
                <w:color w:val="000000" w:themeColor="text1"/>
                <w:lang w:eastAsia="tr-TR"/>
              </w:rPr>
            </w:pPr>
            <w:r w:rsidRPr="00164238">
              <w:rPr>
                <w:rFonts w:ascii="Times New Roman" w:hAnsi="Times New Roman" w:cs="Times New Roman"/>
                <w:b/>
                <w:bCs/>
                <w:color w:val="000000" w:themeColor="text1"/>
                <w:kern w:val="24"/>
                <w:lang w:eastAsia="tr-TR"/>
              </w:rPr>
              <w:t>10.86%</w:t>
            </w:r>
          </w:p>
        </w:tc>
      </w:tr>
      <w:tr w:rsidR="00164238" w:rsidRPr="00164238" w14:paraId="301A7384" w14:textId="77777777" w:rsidTr="00682CBF">
        <w:trPr>
          <w:trHeight w:val="20"/>
        </w:trPr>
        <w:tc>
          <w:tcPr>
            <w:tcW w:w="1588" w:type="pct"/>
            <w:shd w:val="clear" w:color="auto" w:fill="FFFFFF"/>
            <w:tcMar>
              <w:top w:w="10" w:type="dxa"/>
              <w:left w:w="10" w:type="dxa"/>
              <w:bottom w:w="0" w:type="dxa"/>
              <w:right w:w="10" w:type="dxa"/>
            </w:tcMar>
            <w:vAlign w:val="center"/>
            <w:hideMark/>
          </w:tcPr>
          <w:p w14:paraId="54C1613C" w14:textId="77777777" w:rsidR="00C54BC9" w:rsidRPr="00164238" w:rsidRDefault="00C54BC9" w:rsidP="00682CBF">
            <w:pPr>
              <w:textAlignment w:val="center"/>
              <w:rPr>
                <w:rFonts w:ascii="Times New Roman" w:hAnsi="Times New Roman" w:cs="Times New Roman"/>
                <w:color w:val="000000" w:themeColor="text1"/>
                <w:lang w:eastAsia="tr-TR"/>
              </w:rPr>
            </w:pPr>
            <w:r w:rsidRPr="00164238">
              <w:rPr>
                <w:rFonts w:ascii="Times New Roman" w:hAnsi="Times New Roman" w:cs="Times New Roman"/>
                <w:b/>
                <w:bCs/>
                <w:color w:val="000000" w:themeColor="text1"/>
                <w:kern w:val="24"/>
                <w:lang w:eastAsia="tr-TR"/>
              </w:rPr>
              <w:t>Total</w:t>
            </w:r>
          </w:p>
        </w:tc>
        <w:tc>
          <w:tcPr>
            <w:tcW w:w="743" w:type="pct"/>
            <w:shd w:val="clear" w:color="auto" w:fill="FFFFFF"/>
            <w:tcMar>
              <w:top w:w="10" w:type="dxa"/>
              <w:left w:w="10" w:type="dxa"/>
              <w:bottom w:w="0" w:type="dxa"/>
              <w:right w:w="10" w:type="dxa"/>
            </w:tcMar>
            <w:vAlign w:val="center"/>
            <w:hideMark/>
          </w:tcPr>
          <w:p w14:paraId="19BC1071" w14:textId="77777777" w:rsidR="00C54BC9" w:rsidRPr="00164238" w:rsidRDefault="00C54BC9" w:rsidP="00682CBF">
            <w:pPr>
              <w:jc w:val="center"/>
              <w:textAlignment w:val="bottom"/>
              <w:rPr>
                <w:rFonts w:ascii="Times New Roman" w:hAnsi="Times New Roman" w:cs="Times New Roman"/>
                <w:b/>
                <w:color w:val="000000" w:themeColor="text1"/>
                <w:lang w:eastAsia="tr-TR"/>
              </w:rPr>
            </w:pPr>
            <w:r w:rsidRPr="00164238">
              <w:rPr>
                <w:rFonts w:ascii="Times New Roman" w:hAnsi="Times New Roman" w:cs="Times New Roman"/>
                <w:b/>
                <w:bCs/>
                <w:color w:val="000000" w:themeColor="text1"/>
                <w:kern w:val="24"/>
                <w:lang w:eastAsia="tr-TR"/>
              </w:rPr>
              <w:t>82,575.7</w:t>
            </w:r>
          </w:p>
        </w:tc>
        <w:tc>
          <w:tcPr>
            <w:tcW w:w="531" w:type="pct"/>
            <w:shd w:val="clear" w:color="auto" w:fill="FFFFFF"/>
            <w:tcMar>
              <w:top w:w="10" w:type="dxa"/>
              <w:left w:w="10" w:type="dxa"/>
              <w:bottom w:w="0" w:type="dxa"/>
              <w:right w:w="10" w:type="dxa"/>
            </w:tcMar>
            <w:vAlign w:val="center"/>
            <w:hideMark/>
          </w:tcPr>
          <w:p w14:paraId="5ECF8A21" w14:textId="77777777" w:rsidR="00C54BC9" w:rsidRPr="00164238" w:rsidRDefault="00C54BC9" w:rsidP="00682CBF">
            <w:pPr>
              <w:jc w:val="center"/>
              <w:textAlignment w:val="bottom"/>
              <w:rPr>
                <w:rFonts w:ascii="Times New Roman" w:hAnsi="Times New Roman" w:cs="Times New Roman"/>
                <w:b/>
                <w:color w:val="000000" w:themeColor="text1"/>
                <w:lang w:eastAsia="tr-TR"/>
              </w:rPr>
            </w:pPr>
            <w:r w:rsidRPr="00164238">
              <w:rPr>
                <w:rFonts w:ascii="Times New Roman" w:hAnsi="Times New Roman" w:cs="Times New Roman"/>
                <w:b/>
                <w:bCs/>
                <w:color w:val="000000" w:themeColor="text1"/>
                <w:kern w:val="24"/>
                <w:lang w:eastAsia="tr-TR"/>
              </w:rPr>
              <w:t>100.00%</w:t>
            </w:r>
          </w:p>
        </w:tc>
        <w:tc>
          <w:tcPr>
            <w:tcW w:w="637" w:type="pct"/>
            <w:shd w:val="clear" w:color="auto" w:fill="FFFFFF"/>
            <w:tcMar>
              <w:top w:w="10" w:type="dxa"/>
              <w:left w:w="10" w:type="dxa"/>
              <w:bottom w:w="0" w:type="dxa"/>
              <w:right w:w="10" w:type="dxa"/>
            </w:tcMar>
            <w:vAlign w:val="center"/>
            <w:hideMark/>
          </w:tcPr>
          <w:p w14:paraId="5AF2EDFA" w14:textId="77777777" w:rsidR="00C54BC9" w:rsidRPr="00164238" w:rsidRDefault="00C54BC9" w:rsidP="00682CBF">
            <w:pPr>
              <w:jc w:val="center"/>
              <w:textAlignment w:val="bottom"/>
              <w:rPr>
                <w:rFonts w:ascii="Times New Roman" w:hAnsi="Times New Roman" w:cs="Times New Roman"/>
                <w:b/>
                <w:color w:val="000000" w:themeColor="text1"/>
                <w:lang w:eastAsia="tr-TR"/>
              </w:rPr>
            </w:pPr>
            <w:r w:rsidRPr="00164238">
              <w:rPr>
                <w:rFonts w:ascii="Times New Roman" w:hAnsi="Times New Roman" w:cs="Times New Roman"/>
                <w:b/>
                <w:color w:val="000000" w:themeColor="text1"/>
                <w:kern w:val="24"/>
                <w:lang w:eastAsia="tr-TR"/>
              </w:rPr>
              <w:t>69,242.2</w:t>
            </w:r>
          </w:p>
        </w:tc>
        <w:tc>
          <w:tcPr>
            <w:tcW w:w="478" w:type="pct"/>
            <w:shd w:val="clear" w:color="auto" w:fill="FFFFFF"/>
            <w:tcMar>
              <w:top w:w="10" w:type="dxa"/>
              <w:left w:w="10" w:type="dxa"/>
              <w:bottom w:w="0" w:type="dxa"/>
              <w:right w:w="10" w:type="dxa"/>
            </w:tcMar>
            <w:vAlign w:val="center"/>
            <w:hideMark/>
          </w:tcPr>
          <w:p w14:paraId="34A06F6E" w14:textId="77777777" w:rsidR="00C54BC9" w:rsidRPr="00164238" w:rsidRDefault="00C54BC9" w:rsidP="00682CBF">
            <w:pPr>
              <w:jc w:val="center"/>
              <w:textAlignment w:val="bottom"/>
              <w:rPr>
                <w:rFonts w:ascii="Times New Roman" w:hAnsi="Times New Roman" w:cs="Times New Roman"/>
                <w:b/>
                <w:color w:val="000000" w:themeColor="text1"/>
                <w:lang w:eastAsia="tr-TR"/>
              </w:rPr>
            </w:pPr>
            <w:r w:rsidRPr="00164238">
              <w:rPr>
                <w:rFonts w:ascii="Times New Roman" w:hAnsi="Times New Roman" w:cs="Times New Roman"/>
                <w:b/>
                <w:color w:val="000000" w:themeColor="text1"/>
                <w:kern w:val="24"/>
                <w:lang w:eastAsia="tr-TR"/>
              </w:rPr>
              <w:t>100.00%</w:t>
            </w:r>
          </w:p>
        </w:tc>
        <w:tc>
          <w:tcPr>
            <w:tcW w:w="530" w:type="pct"/>
            <w:shd w:val="clear" w:color="auto" w:fill="FFFFFF"/>
            <w:tcMar>
              <w:top w:w="10" w:type="dxa"/>
              <w:left w:w="10" w:type="dxa"/>
              <w:bottom w:w="0" w:type="dxa"/>
              <w:right w:w="10" w:type="dxa"/>
            </w:tcMar>
            <w:vAlign w:val="center"/>
            <w:hideMark/>
          </w:tcPr>
          <w:p w14:paraId="09DFA01D" w14:textId="77777777" w:rsidR="00C54BC9" w:rsidRPr="00164238" w:rsidRDefault="00C54BC9" w:rsidP="00682CBF">
            <w:pPr>
              <w:jc w:val="center"/>
              <w:textAlignment w:val="bottom"/>
              <w:rPr>
                <w:rFonts w:ascii="Times New Roman" w:hAnsi="Times New Roman" w:cs="Times New Roman"/>
                <w:b/>
                <w:color w:val="000000" w:themeColor="text1"/>
                <w:lang w:eastAsia="tr-TR"/>
              </w:rPr>
            </w:pPr>
            <w:r w:rsidRPr="00164238">
              <w:rPr>
                <w:rFonts w:ascii="Times New Roman" w:hAnsi="Times New Roman" w:cs="Times New Roman"/>
                <w:b/>
                <w:bCs/>
                <w:color w:val="000000" w:themeColor="text1"/>
                <w:kern w:val="24"/>
                <w:lang w:eastAsia="tr-TR"/>
              </w:rPr>
              <w:t>19.26%</w:t>
            </w:r>
          </w:p>
        </w:tc>
        <w:tc>
          <w:tcPr>
            <w:tcW w:w="493" w:type="pct"/>
            <w:shd w:val="clear" w:color="auto" w:fill="FFFFFF"/>
            <w:tcMar>
              <w:top w:w="10" w:type="dxa"/>
              <w:left w:w="10" w:type="dxa"/>
              <w:bottom w:w="0" w:type="dxa"/>
              <w:right w:w="10" w:type="dxa"/>
            </w:tcMar>
            <w:vAlign w:val="center"/>
            <w:hideMark/>
          </w:tcPr>
          <w:p w14:paraId="630E2125" w14:textId="77777777" w:rsidR="00C54BC9" w:rsidRPr="00164238" w:rsidRDefault="00C54BC9" w:rsidP="00682CBF">
            <w:pPr>
              <w:jc w:val="center"/>
              <w:textAlignment w:val="bottom"/>
              <w:rPr>
                <w:rFonts w:ascii="Times New Roman" w:hAnsi="Times New Roman" w:cs="Times New Roman"/>
                <w:b/>
                <w:color w:val="000000" w:themeColor="text1"/>
                <w:lang w:eastAsia="tr-TR"/>
              </w:rPr>
            </w:pPr>
            <w:r w:rsidRPr="00164238">
              <w:rPr>
                <w:rFonts w:ascii="Times New Roman" w:hAnsi="Times New Roman" w:cs="Times New Roman"/>
                <w:b/>
                <w:bCs/>
                <w:color w:val="000000" w:themeColor="text1"/>
                <w:kern w:val="24"/>
                <w:lang w:eastAsia="tr-TR"/>
              </w:rPr>
              <w:t>4.06%</w:t>
            </w:r>
          </w:p>
        </w:tc>
      </w:tr>
    </w:tbl>
    <w:p w14:paraId="01CE5816" w14:textId="77777777" w:rsidR="00C54BC9" w:rsidRPr="00164238" w:rsidRDefault="00C54BC9" w:rsidP="00C54BC9">
      <w:pPr>
        <w:spacing w:after="120" w:line="276" w:lineRule="auto"/>
        <w:jc w:val="both"/>
        <w:rPr>
          <w:rFonts w:ascii="Times New Roman" w:hAnsi="Times New Roman" w:cs="Times New Roman"/>
          <w:color w:val="000000" w:themeColor="text1"/>
        </w:rPr>
      </w:pPr>
      <w:r w:rsidRPr="00164238">
        <w:rPr>
          <w:rFonts w:ascii="Times New Roman" w:hAnsi="Times New Roman" w:cs="Times New Roman"/>
          <w:i/>
          <w:color w:val="000000" w:themeColor="text1"/>
        </w:rPr>
        <w:t>Source:</w:t>
      </w:r>
      <w:r w:rsidRPr="00164238">
        <w:rPr>
          <w:rFonts w:ascii="Times New Roman" w:hAnsi="Times New Roman" w:cs="Times New Roman"/>
          <w:color w:val="000000" w:themeColor="text1"/>
        </w:rPr>
        <w:t xml:space="preserve"> Insurance Association of Turkey</w:t>
      </w:r>
    </w:p>
    <w:p w14:paraId="64160241" w14:textId="77777777" w:rsidR="00C54BC9" w:rsidRPr="00164238" w:rsidRDefault="00C54BC9" w:rsidP="00C54BC9">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lastRenderedPageBreak/>
        <w:t>Although the premium volume in life insurances is higher than non-life insurances, the share of non-life insurances in the market is 82.52%, while the share of life insurances in the market is still low at 17.48%.</w:t>
      </w:r>
    </w:p>
    <w:p w14:paraId="3B6175A5" w14:textId="77777777" w:rsidR="00C54BC9" w:rsidRPr="00164238" w:rsidRDefault="00C54BC9" w:rsidP="00C54BC9">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Considering on the basis of insurance branches;</w:t>
      </w:r>
    </w:p>
    <w:p w14:paraId="24EB195A" w14:textId="77777777" w:rsidR="00C54BC9" w:rsidRPr="00164238" w:rsidRDefault="00C54BC9" w:rsidP="007C3550">
      <w:pPr>
        <w:numPr>
          <w:ilvl w:val="0"/>
          <w:numId w:val="28"/>
        </w:numPr>
        <w:spacing w:before="120" w:after="120" w:line="276" w:lineRule="auto"/>
        <w:ind w:left="1224"/>
        <w:jc w:val="both"/>
        <w:rPr>
          <w:rFonts w:ascii="Times New Roman" w:hAnsi="Times New Roman" w:cs="Times New Roman"/>
          <w:color w:val="000000" w:themeColor="text1"/>
          <w:sz w:val="20"/>
        </w:rPr>
      </w:pPr>
      <w:r w:rsidRPr="00164238">
        <w:rPr>
          <w:rFonts w:ascii="Times New Roman" w:hAnsi="Times New Roman" w:cs="Times New Roman"/>
          <w:color w:val="000000" w:themeColor="text1"/>
          <w:sz w:val="20"/>
        </w:rPr>
        <w:t>Fire and natural disasters insurances increased by 25% to 10,585.8 million TRY</w:t>
      </w:r>
    </w:p>
    <w:p w14:paraId="6A386670" w14:textId="77777777" w:rsidR="00C54BC9" w:rsidRPr="00164238" w:rsidRDefault="00C54BC9" w:rsidP="007C3550">
      <w:pPr>
        <w:numPr>
          <w:ilvl w:val="0"/>
          <w:numId w:val="28"/>
        </w:numPr>
        <w:spacing w:before="120" w:after="120" w:line="276" w:lineRule="auto"/>
        <w:ind w:left="1224"/>
        <w:jc w:val="both"/>
        <w:rPr>
          <w:rFonts w:ascii="Times New Roman" w:hAnsi="Times New Roman" w:cs="Times New Roman"/>
          <w:color w:val="000000" w:themeColor="text1"/>
          <w:sz w:val="20"/>
        </w:rPr>
      </w:pPr>
      <w:r w:rsidRPr="00164238">
        <w:rPr>
          <w:rFonts w:ascii="Times New Roman" w:hAnsi="Times New Roman" w:cs="Times New Roman"/>
          <w:color w:val="000000" w:themeColor="text1"/>
          <w:sz w:val="20"/>
        </w:rPr>
        <w:t>Sickness &amp; Health insurances increased by 20.79% to 10,095.7 million TRY</w:t>
      </w:r>
    </w:p>
    <w:p w14:paraId="10BEC13D" w14:textId="77777777" w:rsidR="00C54BC9" w:rsidRPr="00164238" w:rsidRDefault="00C54BC9" w:rsidP="007C3550">
      <w:pPr>
        <w:numPr>
          <w:ilvl w:val="0"/>
          <w:numId w:val="28"/>
        </w:numPr>
        <w:spacing w:before="120" w:after="120" w:line="276" w:lineRule="auto"/>
        <w:ind w:left="1224"/>
        <w:jc w:val="both"/>
        <w:rPr>
          <w:rFonts w:ascii="Times New Roman" w:hAnsi="Times New Roman" w:cs="Times New Roman"/>
          <w:color w:val="000000" w:themeColor="text1"/>
          <w:sz w:val="20"/>
        </w:rPr>
      </w:pPr>
      <w:r w:rsidRPr="00164238">
        <w:rPr>
          <w:rFonts w:ascii="Times New Roman" w:hAnsi="Times New Roman" w:cs="Times New Roman"/>
          <w:color w:val="000000" w:themeColor="text1"/>
          <w:sz w:val="20"/>
        </w:rPr>
        <w:t>Motor (motor own damage) insurance with 14.15% growth (0.4% contraction in real terms) to 10,737.4 million TRY</w:t>
      </w:r>
    </w:p>
    <w:p w14:paraId="0107FFE1" w14:textId="77777777" w:rsidR="00C54BC9" w:rsidRPr="00164238" w:rsidRDefault="00C54BC9" w:rsidP="007C3550">
      <w:pPr>
        <w:numPr>
          <w:ilvl w:val="0"/>
          <w:numId w:val="28"/>
        </w:numPr>
        <w:spacing w:before="120" w:after="120" w:line="276" w:lineRule="auto"/>
        <w:ind w:left="1224"/>
        <w:jc w:val="both"/>
        <w:rPr>
          <w:rFonts w:ascii="Times New Roman" w:hAnsi="Times New Roman" w:cs="Times New Roman"/>
          <w:color w:val="000000" w:themeColor="text1"/>
          <w:sz w:val="20"/>
        </w:rPr>
      </w:pPr>
      <w:r w:rsidRPr="00164238">
        <w:rPr>
          <w:rFonts w:ascii="Times New Roman" w:hAnsi="Times New Roman" w:cs="Times New Roman"/>
          <w:color w:val="000000" w:themeColor="text1"/>
          <w:sz w:val="20"/>
        </w:rPr>
        <w:t xml:space="preserve">Traffic insurance with 9.49% growth (4.46% contraction in real terms) to 20,487.2 million TRY </w:t>
      </w:r>
    </w:p>
    <w:p w14:paraId="2AF00F7D" w14:textId="77777777" w:rsidR="00C54BC9" w:rsidRPr="00164238" w:rsidRDefault="00C54BC9" w:rsidP="00C54BC9">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premium volume is observed.</w:t>
      </w:r>
    </w:p>
    <w:p w14:paraId="568F0374" w14:textId="77777777" w:rsidR="00C54BC9" w:rsidRPr="00164238" w:rsidRDefault="00C54BC9" w:rsidP="00C54BC9">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Considering their shares in the market;</w:t>
      </w:r>
    </w:p>
    <w:p w14:paraId="478464B3" w14:textId="77777777" w:rsidR="00C54BC9" w:rsidRPr="00164238" w:rsidRDefault="00C54BC9" w:rsidP="007C3550">
      <w:pPr>
        <w:numPr>
          <w:ilvl w:val="0"/>
          <w:numId w:val="28"/>
        </w:numPr>
        <w:spacing w:before="120" w:after="120" w:line="276" w:lineRule="auto"/>
        <w:ind w:left="1224"/>
        <w:jc w:val="both"/>
        <w:rPr>
          <w:rFonts w:ascii="Times New Roman" w:hAnsi="Times New Roman" w:cs="Times New Roman"/>
          <w:color w:val="000000" w:themeColor="text1"/>
          <w:sz w:val="20"/>
        </w:rPr>
      </w:pPr>
      <w:r w:rsidRPr="00164238">
        <w:rPr>
          <w:rFonts w:ascii="Times New Roman" w:hAnsi="Times New Roman" w:cs="Times New Roman"/>
          <w:color w:val="000000" w:themeColor="text1"/>
          <w:sz w:val="20"/>
        </w:rPr>
        <w:t>The share of motor and traffic insurances decreased to 30.06% and 15.76%, respectively,</w:t>
      </w:r>
    </w:p>
    <w:p w14:paraId="3D180A3C" w14:textId="77777777" w:rsidR="00C54BC9" w:rsidRPr="00164238" w:rsidRDefault="00C54BC9" w:rsidP="007C3550">
      <w:pPr>
        <w:numPr>
          <w:ilvl w:val="0"/>
          <w:numId w:val="28"/>
        </w:numPr>
        <w:spacing w:before="120" w:after="120" w:line="276" w:lineRule="auto"/>
        <w:ind w:left="1224"/>
        <w:jc w:val="both"/>
        <w:rPr>
          <w:rFonts w:ascii="Times New Roman" w:hAnsi="Times New Roman" w:cs="Times New Roman"/>
          <w:color w:val="000000" w:themeColor="text1"/>
          <w:sz w:val="20"/>
        </w:rPr>
      </w:pPr>
      <w:r w:rsidRPr="00164238">
        <w:rPr>
          <w:rFonts w:ascii="Times New Roman" w:hAnsi="Times New Roman" w:cs="Times New Roman"/>
          <w:color w:val="000000" w:themeColor="text1"/>
          <w:sz w:val="20"/>
        </w:rPr>
        <w:t>The share of fire &amp; natural disasters insurances and sickness &amp; health insurances increased by 15.53% and 14.82%, respectively</w:t>
      </w:r>
    </w:p>
    <w:p w14:paraId="5E4D6627" w14:textId="77777777" w:rsidR="00C54BC9" w:rsidRPr="00164238" w:rsidRDefault="00C54BC9" w:rsidP="00C54BC9">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seems to be.</w:t>
      </w:r>
    </w:p>
    <w:p w14:paraId="5A54D583" w14:textId="77777777" w:rsidR="00C54BC9" w:rsidRPr="00164238" w:rsidRDefault="00C54BC9" w:rsidP="00C54BC9">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Premium volume and change in insurance branches can be seen more clearly in Figure 4.</w:t>
      </w:r>
    </w:p>
    <w:p w14:paraId="038FD949" w14:textId="77777777" w:rsidR="00C54BC9" w:rsidRPr="00164238" w:rsidRDefault="00C54BC9" w:rsidP="00C54BC9">
      <w:pPr>
        <w:spacing w:line="276" w:lineRule="auto"/>
        <w:jc w:val="both"/>
        <w:rPr>
          <w:rFonts w:ascii="Times New Roman" w:hAnsi="Times New Roman" w:cs="Times New Roman"/>
          <w:color w:val="000000" w:themeColor="text1"/>
        </w:rPr>
      </w:pPr>
      <w:r w:rsidRPr="00164238">
        <w:rPr>
          <w:rFonts w:ascii="Times New Roman" w:hAnsi="Times New Roman" w:cs="Times New Roman"/>
          <w:noProof/>
          <w:color w:val="000000" w:themeColor="text1"/>
          <w:lang w:val="en-US"/>
        </w:rPr>
        <w:drawing>
          <wp:inline distT="0" distB="0" distL="0" distR="0" wp14:anchorId="1E6F4FB2" wp14:editId="2F512353">
            <wp:extent cx="5364480" cy="2127250"/>
            <wp:effectExtent l="0" t="0" r="7620" b="6350"/>
            <wp:docPr id="7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390182" cy="2137442"/>
                    </a:xfrm>
                    <a:prstGeom prst="rect">
                      <a:avLst/>
                    </a:prstGeom>
                    <a:noFill/>
                  </pic:spPr>
                </pic:pic>
              </a:graphicData>
            </a:graphic>
          </wp:inline>
        </w:drawing>
      </w:r>
      <w:r w:rsidRPr="00164238">
        <w:rPr>
          <w:rFonts w:ascii="Times New Roman" w:hAnsi="Times New Roman" w:cs="Times New Roman"/>
          <w:i/>
          <w:color w:val="000000" w:themeColor="text1"/>
        </w:rPr>
        <w:t>Figure 4.</w:t>
      </w:r>
      <w:r w:rsidRPr="00164238">
        <w:rPr>
          <w:rFonts w:ascii="Times New Roman" w:hAnsi="Times New Roman" w:cs="Times New Roman"/>
          <w:color w:val="000000" w:themeColor="text1"/>
        </w:rPr>
        <w:t xml:space="preserve"> Premium volume and growth of insurance branches in 2019 and 2020</w:t>
      </w:r>
    </w:p>
    <w:p w14:paraId="408F7F11" w14:textId="77777777" w:rsidR="00C54BC9" w:rsidRPr="00164238" w:rsidRDefault="00C54BC9" w:rsidP="00C54BC9">
      <w:pPr>
        <w:spacing w:after="120" w:line="276" w:lineRule="auto"/>
        <w:rPr>
          <w:rFonts w:ascii="Times New Roman" w:hAnsi="Times New Roman" w:cs="Times New Roman"/>
          <w:color w:val="000000" w:themeColor="text1"/>
        </w:rPr>
      </w:pPr>
      <w:r w:rsidRPr="00164238">
        <w:rPr>
          <w:rFonts w:ascii="Times New Roman" w:hAnsi="Times New Roman" w:cs="Times New Roman"/>
          <w:i/>
          <w:color w:val="000000" w:themeColor="text1"/>
        </w:rPr>
        <w:t>Source:</w:t>
      </w:r>
      <w:r w:rsidRPr="00164238">
        <w:rPr>
          <w:rFonts w:ascii="Times New Roman" w:hAnsi="Times New Roman" w:cs="Times New Roman"/>
          <w:color w:val="000000" w:themeColor="text1"/>
        </w:rPr>
        <w:t xml:space="preserve"> Insurance Association of Turkey</w:t>
      </w:r>
    </w:p>
    <w:p w14:paraId="5C0A75D5" w14:textId="77777777" w:rsidR="00C54BC9" w:rsidRPr="00164238" w:rsidRDefault="00C54BC9" w:rsidP="00C54BC9">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Inter-country and intercity travel restrictions have affected the travel health insurance as well as tourism industry. Figure 5 shows the change in premium volume in travel health insurance for 12 months in 2019 and 2020.</w:t>
      </w:r>
    </w:p>
    <w:p w14:paraId="1857513C" w14:textId="77777777" w:rsidR="00C54BC9" w:rsidRPr="00164238" w:rsidRDefault="00C54BC9" w:rsidP="00C54BC9">
      <w:pPr>
        <w:spacing w:line="276" w:lineRule="auto"/>
        <w:jc w:val="both"/>
        <w:rPr>
          <w:rFonts w:ascii="Times New Roman" w:hAnsi="Times New Roman" w:cs="Times New Roman"/>
          <w:color w:val="000000" w:themeColor="text1"/>
        </w:rPr>
      </w:pPr>
      <w:r w:rsidRPr="00164238">
        <w:rPr>
          <w:rFonts w:ascii="Times New Roman" w:hAnsi="Times New Roman" w:cs="Times New Roman"/>
          <w:noProof/>
          <w:color w:val="000000" w:themeColor="text1"/>
          <w:lang w:val="en-US"/>
        </w:rPr>
        <w:lastRenderedPageBreak/>
        <w:drawing>
          <wp:inline distT="0" distB="0" distL="0" distR="0" wp14:anchorId="56C501D1" wp14:editId="5EE38085">
            <wp:extent cx="5334000" cy="2244361"/>
            <wp:effectExtent l="0" t="0" r="0" b="3810"/>
            <wp:docPr id="7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345901" cy="2249369"/>
                    </a:xfrm>
                    <a:prstGeom prst="rect">
                      <a:avLst/>
                    </a:prstGeom>
                    <a:noFill/>
                  </pic:spPr>
                </pic:pic>
              </a:graphicData>
            </a:graphic>
          </wp:inline>
        </w:drawing>
      </w:r>
      <w:r w:rsidRPr="00164238">
        <w:rPr>
          <w:rFonts w:ascii="Times New Roman" w:hAnsi="Times New Roman" w:cs="Times New Roman"/>
          <w:i/>
          <w:color w:val="000000" w:themeColor="text1"/>
        </w:rPr>
        <w:t>Figure 5.</w:t>
      </w:r>
      <w:r w:rsidRPr="00164238">
        <w:rPr>
          <w:rFonts w:ascii="Times New Roman" w:hAnsi="Times New Roman" w:cs="Times New Roman"/>
          <w:color w:val="000000" w:themeColor="text1"/>
        </w:rPr>
        <w:t xml:space="preserve"> Premium volume and growth of travel insurance in 2019 and 2020</w:t>
      </w:r>
    </w:p>
    <w:p w14:paraId="68D43101" w14:textId="77777777" w:rsidR="00C54BC9" w:rsidRPr="00164238" w:rsidRDefault="00C54BC9" w:rsidP="00C54BC9">
      <w:pPr>
        <w:spacing w:after="120" w:line="276" w:lineRule="auto"/>
        <w:jc w:val="both"/>
        <w:rPr>
          <w:rFonts w:ascii="Times New Roman" w:hAnsi="Times New Roman" w:cs="Times New Roman"/>
          <w:color w:val="000000" w:themeColor="text1"/>
        </w:rPr>
      </w:pPr>
      <w:r w:rsidRPr="00164238">
        <w:rPr>
          <w:rFonts w:ascii="Times New Roman" w:hAnsi="Times New Roman" w:cs="Times New Roman"/>
          <w:i/>
          <w:color w:val="000000" w:themeColor="text1"/>
        </w:rPr>
        <w:t>Source:</w:t>
      </w:r>
      <w:r w:rsidRPr="00164238">
        <w:rPr>
          <w:rFonts w:ascii="Times New Roman" w:hAnsi="Times New Roman" w:cs="Times New Roman"/>
          <w:color w:val="000000" w:themeColor="text1"/>
        </w:rPr>
        <w:t xml:space="preserve"> Insurance Association of Turkey</w:t>
      </w:r>
    </w:p>
    <w:p w14:paraId="2F68D4C5" w14:textId="77777777" w:rsidR="00C54BC9" w:rsidRPr="00164238" w:rsidRDefault="00C54BC9" w:rsidP="00C54BC9">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Figure 5 shows that with the start of travel restrictions at the end of February, the premium volume of travel health insurances decreased rapidly, and the premium volume started to increase again with the termination of travel restrictions as of June.</w:t>
      </w:r>
    </w:p>
    <w:p w14:paraId="63B76880" w14:textId="77777777" w:rsidR="00C54BC9" w:rsidRPr="00164238" w:rsidRDefault="00C54BC9" w:rsidP="00C54BC9">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Another branch of insurance that is most affected by the epidemic is health and sickness insurances. Before WHO declared COVID-19 as a pandemic on March 11, 2020, insurance companies assumed the examination expenses of all insured persons who applied to private health institutions until the diagnosis of COVID-19 and treatment expenses that lasted until the test result was determined. After the pandemic announcement by WHO, insurance companies are not obliged to assume covid-19 treatments. Therefore, if epidemic diseases are not covered in the insurance policy, insurers were not had to assume the treatment expenses of the insured who were diagnosed as positive for COVID-19. However, there are insurance companies that cover COVID-19 treatment for insured who have private health insurance or complementary health insurance, although they are not liable, for an additional premium or under the ex-gratia payments (Aydın &amp; Korkmaz, 2020: 2-3).</w:t>
      </w:r>
    </w:p>
    <w:p w14:paraId="0E30D5AA" w14:textId="77777777" w:rsidR="00C54BC9" w:rsidRPr="00164238" w:rsidRDefault="00C54BC9" w:rsidP="00C54BC9">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Premium volume and growth rates in complementary health insurances in 2019 and 2020 are shown in Figure 6.</w:t>
      </w:r>
    </w:p>
    <w:p w14:paraId="02818219" w14:textId="77777777" w:rsidR="00C54BC9" w:rsidRPr="00164238" w:rsidRDefault="00C54BC9" w:rsidP="00C54BC9">
      <w:pPr>
        <w:spacing w:line="276" w:lineRule="auto"/>
        <w:jc w:val="both"/>
        <w:rPr>
          <w:rFonts w:ascii="Times New Roman" w:hAnsi="Times New Roman" w:cs="Times New Roman"/>
          <w:color w:val="000000" w:themeColor="text1"/>
        </w:rPr>
      </w:pPr>
      <w:r w:rsidRPr="00164238">
        <w:rPr>
          <w:rFonts w:ascii="Times New Roman" w:hAnsi="Times New Roman" w:cs="Times New Roman"/>
          <w:noProof/>
          <w:color w:val="000000" w:themeColor="text1"/>
          <w:lang w:val="en-US"/>
        </w:rPr>
        <w:lastRenderedPageBreak/>
        <w:drawing>
          <wp:inline distT="0" distB="0" distL="0" distR="0" wp14:anchorId="58C6671A" wp14:editId="4E6E22CA">
            <wp:extent cx="5529580" cy="2420620"/>
            <wp:effectExtent l="0" t="0" r="0" b="0"/>
            <wp:docPr id="7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529580" cy="2420620"/>
                    </a:xfrm>
                    <a:prstGeom prst="rect">
                      <a:avLst/>
                    </a:prstGeom>
                    <a:noFill/>
                  </pic:spPr>
                </pic:pic>
              </a:graphicData>
            </a:graphic>
          </wp:inline>
        </w:drawing>
      </w:r>
    </w:p>
    <w:p w14:paraId="3D68BA6C" w14:textId="77777777" w:rsidR="00C54BC9" w:rsidRPr="00164238" w:rsidRDefault="00C54BC9" w:rsidP="00C54BC9">
      <w:pPr>
        <w:spacing w:line="276" w:lineRule="auto"/>
        <w:jc w:val="both"/>
        <w:rPr>
          <w:rFonts w:ascii="Times New Roman" w:hAnsi="Times New Roman" w:cs="Times New Roman"/>
          <w:color w:val="000000" w:themeColor="text1"/>
        </w:rPr>
      </w:pPr>
      <w:r w:rsidRPr="00164238">
        <w:rPr>
          <w:rFonts w:ascii="Times New Roman" w:hAnsi="Times New Roman" w:cs="Times New Roman"/>
          <w:i/>
          <w:color w:val="000000" w:themeColor="text1"/>
        </w:rPr>
        <w:t>Figure 6.</w:t>
      </w:r>
      <w:r w:rsidRPr="00164238">
        <w:rPr>
          <w:rFonts w:ascii="Times New Roman" w:hAnsi="Times New Roman" w:cs="Times New Roman"/>
          <w:color w:val="000000" w:themeColor="text1"/>
        </w:rPr>
        <w:t xml:space="preserve"> Premium volume and growth of complementary health insurance in 2019 and 2020</w:t>
      </w:r>
    </w:p>
    <w:p w14:paraId="75C483B2" w14:textId="77777777" w:rsidR="00C54BC9" w:rsidRPr="00164238" w:rsidRDefault="00C54BC9" w:rsidP="00C54BC9">
      <w:pPr>
        <w:spacing w:after="120" w:line="276" w:lineRule="auto"/>
        <w:jc w:val="both"/>
        <w:rPr>
          <w:rFonts w:ascii="Times New Roman" w:hAnsi="Times New Roman" w:cs="Times New Roman"/>
          <w:color w:val="000000" w:themeColor="text1"/>
        </w:rPr>
      </w:pPr>
      <w:r w:rsidRPr="00164238">
        <w:rPr>
          <w:rFonts w:ascii="Times New Roman" w:hAnsi="Times New Roman" w:cs="Times New Roman"/>
          <w:i/>
          <w:color w:val="000000" w:themeColor="text1"/>
        </w:rPr>
        <w:t>Source:</w:t>
      </w:r>
      <w:r w:rsidRPr="00164238">
        <w:rPr>
          <w:rFonts w:ascii="Times New Roman" w:hAnsi="Times New Roman" w:cs="Times New Roman"/>
          <w:color w:val="000000" w:themeColor="text1"/>
        </w:rPr>
        <w:t xml:space="preserve"> Insurance Association of Turkey</w:t>
      </w:r>
    </w:p>
    <w:p w14:paraId="0EFD38EE" w14:textId="77777777" w:rsidR="00C54BC9" w:rsidRPr="00164238" w:rsidRDefault="00C54BC9" w:rsidP="00C54BC9">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Figure 6 shows that the demand for complementary health insurances has increased since May. It can be said that the coverage of the diagnosis and treatment of COVID-19 by insurance companies and the development of special products for epidemic diseases has increased the awareness of insurance, especially in the field of health. Among the reasons for the increase in demand for complementary health insurance rather than private health insurance, it can be said that the premiums of complementary health insurance products are more affordable and that the insureds can benefit from their policies more easily.</w:t>
      </w:r>
    </w:p>
    <w:p w14:paraId="2397AC83" w14:textId="0EAF1B88" w:rsidR="00452A49" w:rsidRDefault="00C54BC9" w:rsidP="00C54BC9">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The awareness of the private pension system, which contributed significantly to the growth of the insurance sector, also increased during the epidemic period. Both the number of participants and the fund size increased significantly with the state contribution in 2013 and auto enrollment system in 2017. The number of participants and fund sizes in the voluntary individual pension system (Voluntary IPS) and automatic individual pension system (Auto IPS) are given in Table 3.</w:t>
      </w:r>
    </w:p>
    <w:p w14:paraId="5222F2B8" w14:textId="77777777" w:rsidR="00452A49" w:rsidRPr="00164238" w:rsidRDefault="00452A49" w:rsidP="00C54BC9">
      <w:pPr>
        <w:spacing w:before="120" w:after="120" w:line="276" w:lineRule="auto"/>
        <w:ind w:firstLine="720"/>
        <w:jc w:val="both"/>
        <w:rPr>
          <w:rFonts w:ascii="Times New Roman" w:hAnsi="Times New Roman" w:cs="Times New Roman"/>
          <w:color w:val="000000" w:themeColor="text1"/>
        </w:rPr>
      </w:pPr>
    </w:p>
    <w:p w14:paraId="2A463804" w14:textId="77777777" w:rsidR="00C54BC9" w:rsidRPr="00164238" w:rsidRDefault="00C54BC9" w:rsidP="00C54BC9">
      <w:pPr>
        <w:spacing w:before="120" w:line="276" w:lineRule="auto"/>
        <w:jc w:val="both"/>
        <w:rPr>
          <w:rFonts w:ascii="Times New Roman" w:hAnsi="Times New Roman" w:cs="Times New Roman"/>
          <w:color w:val="000000" w:themeColor="text1"/>
        </w:rPr>
      </w:pPr>
      <w:r w:rsidRPr="00164238">
        <w:rPr>
          <w:rFonts w:ascii="Times New Roman" w:hAnsi="Times New Roman" w:cs="Times New Roman"/>
          <w:i/>
          <w:color w:val="000000" w:themeColor="text1"/>
        </w:rPr>
        <w:t>Table 3.</w:t>
      </w:r>
      <w:r w:rsidRPr="00164238">
        <w:rPr>
          <w:rFonts w:ascii="Times New Roman" w:hAnsi="Times New Roman" w:cs="Times New Roman"/>
          <w:color w:val="000000" w:themeColor="text1"/>
        </w:rPr>
        <w:t xml:space="preserve"> Fund Amount and Number of Participant in Individual Pension System</w:t>
      </w:r>
    </w:p>
    <w:tbl>
      <w:tblPr>
        <w:tblW w:w="5000" w:type="pct"/>
        <w:tblLayout w:type="fixed"/>
        <w:tblCellMar>
          <w:left w:w="0" w:type="dxa"/>
          <w:right w:w="0" w:type="dxa"/>
        </w:tblCellMar>
        <w:tblLook w:val="0600" w:firstRow="0" w:lastRow="0" w:firstColumn="0" w:lastColumn="0" w:noHBand="1" w:noVBand="1"/>
      </w:tblPr>
      <w:tblGrid>
        <w:gridCol w:w="3319"/>
        <w:gridCol w:w="899"/>
        <w:gridCol w:w="898"/>
        <w:gridCol w:w="786"/>
        <w:gridCol w:w="845"/>
        <w:gridCol w:w="893"/>
        <w:gridCol w:w="845"/>
      </w:tblGrid>
      <w:tr w:rsidR="00164238" w:rsidRPr="00164238" w14:paraId="2A99B548" w14:textId="77777777" w:rsidTr="00682CBF">
        <w:trPr>
          <w:trHeight w:val="18"/>
        </w:trPr>
        <w:tc>
          <w:tcPr>
            <w:tcW w:w="1956" w:type="pct"/>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82" w:type="dxa"/>
              <w:bottom w:w="15" w:type="dxa"/>
              <w:right w:w="82" w:type="dxa"/>
            </w:tcMar>
            <w:vAlign w:val="center"/>
            <w:hideMark/>
          </w:tcPr>
          <w:p w14:paraId="62DFAB39" w14:textId="77777777" w:rsidR="00C54BC9" w:rsidRPr="00164238" w:rsidRDefault="00C54BC9" w:rsidP="00682CBF">
            <w:pPr>
              <w:jc w:val="center"/>
              <w:rPr>
                <w:rFonts w:ascii="Times New Roman" w:hAnsi="Times New Roman" w:cs="Times New Roman"/>
                <w:color w:val="000000" w:themeColor="text1"/>
              </w:rPr>
            </w:pPr>
          </w:p>
        </w:tc>
        <w:tc>
          <w:tcPr>
            <w:tcW w:w="1522" w:type="pct"/>
            <w:gridSpan w:val="3"/>
            <w:tcBorders>
              <w:top w:val="single" w:sz="8" w:space="0" w:color="000000"/>
              <w:left w:val="single" w:sz="8" w:space="0" w:color="000000"/>
              <w:bottom w:val="single" w:sz="8" w:space="0" w:color="000000"/>
              <w:right w:val="single" w:sz="8" w:space="0" w:color="000000"/>
            </w:tcBorders>
            <w:shd w:val="clear" w:color="auto" w:fill="FFFFFF"/>
            <w:tcMar>
              <w:top w:w="15" w:type="dxa"/>
              <w:left w:w="29" w:type="dxa"/>
              <w:bottom w:w="15" w:type="dxa"/>
              <w:right w:w="29" w:type="dxa"/>
            </w:tcMar>
            <w:vAlign w:val="center"/>
            <w:hideMark/>
          </w:tcPr>
          <w:p w14:paraId="39B88545" w14:textId="77777777" w:rsidR="00C54BC9" w:rsidRPr="00164238" w:rsidRDefault="00C54BC9" w:rsidP="00682CBF">
            <w:pPr>
              <w:contextualSpacing/>
              <w:jc w:val="center"/>
              <w:rPr>
                <w:rFonts w:ascii="Times New Roman" w:hAnsi="Times New Roman" w:cs="Times New Roman"/>
                <w:color w:val="000000" w:themeColor="text1"/>
              </w:rPr>
            </w:pPr>
            <w:r w:rsidRPr="00164238">
              <w:rPr>
                <w:rFonts w:ascii="Times New Roman" w:hAnsi="Times New Roman" w:cs="Times New Roman"/>
                <w:b/>
                <w:bCs/>
                <w:color w:val="000000" w:themeColor="text1"/>
              </w:rPr>
              <w:t>Voluntary IPS</w:t>
            </w:r>
          </w:p>
        </w:tc>
        <w:tc>
          <w:tcPr>
            <w:tcW w:w="1522" w:type="pct"/>
            <w:gridSpan w:val="3"/>
            <w:tcBorders>
              <w:top w:val="single" w:sz="8" w:space="0" w:color="000000"/>
              <w:left w:val="single" w:sz="8" w:space="0" w:color="000000"/>
              <w:bottom w:val="single" w:sz="8" w:space="0" w:color="000000"/>
              <w:right w:val="single" w:sz="8" w:space="0" w:color="000000"/>
            </w:tcBorders>
            <w:shd w:val="clear" w:color="auto" w:fill="FFFFFF"/>
            <w:tcMar>
              <w:top w:w="15" w:type="dxa"/>
              <w:left w:w="29" w:type="dxa"/>
              <w:bottom w:w="15" w:type="dxa"/>
              <w:right w:w="29" w:type="dxa"/>
            </w:tcMar>
            <w:vAlign w:val="center"/>
            <w:hideMark/>
          </w:tcPr>
          <w:p w14:paraId="76DD808E" w14:textId="77777777" w:rsidR="00C54BC9" w:rsidRPr="00164238" w:rsidRDefault="00C54BC9" w:rsidP="00682CBF">
            <w:pPr>
              <w:contextualSpacing/>
              <w:jc w:val="center"/>
              <w:rPr>
                <w:rFonts w:ascii="Times New Roman" w:hAnsi="Times New Roman" w:cs="Times New Roman"/>
                <w:color w:val="000000" w:themeColor="text1"/>
              </w:rPr>
            </w:pPr>
            <w:r w:rsidRPr="00164238">
              <w:rPr>
                <w:rFonts w:ascii="Times New Roman" w:hAnsi="Times New Roman" w:cs="Times New Roman"/>
                <w:b/>
                <w:bCs/>
                <w:color w:val="000000" w:themeColor="text1"/>
              </w:rPr>
              <w:t>Auto IPS</w:t>
            </w:r>
          </w:p>
        </w:tc>
      </w:tr>
      <w:tr w:rsidR="00164238" w:rsidRPr="00164238" w14:paraId="698FD9A3" w14:textId="77777777" w:rsidTr="00682CBF">
        <w:trPr>
          <w:trHeight w:val="226"/>
        </w:trPr>
        <w:tc>
          <w:tcPr>
            <w:tcW w:w="1956" w:type="pct"/>
            <w:vMerge/>
            <w:tcBorders>
              <w:top w:val="single" w:sz="8" w:space="0" w:color="000000"/>
              <w:left w:val="single" w:sz="8" w:space="0" w:color="000000"/>
              <w:bottom w:val="single" w:sz="8" w:space="0" w:color="000000"/>
              <w:right w:val="single" w:sz="8" w:space="0" w:color="000000"/>
            </w:tcBorders>
            <w:vAlign w:val="center"/>
            <w:hideMark/>
          </w:tcPr>
          <w:p w14:paraId="65CC61FF" w14:textId="77777777" w:rsidR="00C54BC9" w:rsidRPr="00164238" w:rsidRDefault="00C54BC9" w:rsidP="00682CBF">
            <w:pPr>
              <w:jc w:val="center"/>
              <w:rPr>
                <w:rFonts w:ascii="Times New Roman" w:hAnsi="Times New Roman" w:cs="Times New Roman"/>
                <w:color w:val="000000" w:themeColor="text1"/>
              </w:rPr>
            </w:pPr>
          </w:p>
        </w:tc>
        <w:tc>
          <w:tcPr>
            <w:tcW w:w="530" w:type="pct"/>
            <w:tcBorders>
              <w:top w:val="single" w:sz="8" w:space="0" w:color="000000"/>
              <w:left w:val="single" w:sz="8" w:space="0" w:color="000000"/>
              <w:bottom w:val="single" w:sz="8" w:space="0" w:color="000000"/>
              <w:right w:val="single" w:sz="8" w:space="0" w:color="000000"/>
            </w:tcBorders>
            <w:shd w:val="clear" w:color="auto" w:fill="FFFFFF"/>
            <w:tcMar>
              <w:top w:w="15" w:type="dxa"/>
              <w:left w:w="29" w:type="dxa"/>
              <w:bottom w:w="15" w:type="dxa"/>
              <w:right w:w="29" w:type="dxa"/>
            </w:tcMar>
            <w:vAlign w:val="center"/>
            <w:hideMark/>
          </w:tcPr>
          <w:p w14:paraId="6CD8617B" w14:textId="77777777" w:rsidR="00C54BC9" w:rsidRPr="00164238" w:rsidRDefault="00C54BC9" w:rsidP="00682CBF">
            <w:pPr>
              <w:jc w:val="center"/>
              <w:rPr>
                <w:rFonts w:ascii="Times New Roman" w:hAnsi="Times New Roman" w:cs="Times New Roman"/>
                <w:color w:val="000000" w:themeColor="text1"/>
              </w:rPr>
            </w:pPr>
            <w:r w:rsidRPr="00164238">
              <w:rPr>
                <w:rFonts w:ascii="Times New Roman" w:hAnsi="Times New Roman" w:cs="Times New Roman"/>
                <w:b/>
                <w:bCs/>
                <w:color w:val="000000" w:themeColor="text1"/>
              </w:rPr>
              <w:t>2020-12</w:t>
            </w:r>
          </w:p>
        </w:tc>
        <w:tc>
          <w:tcPr>
            <w:tcW w:w="529" w:type="pct"/>
            <w:tcBorders>
              <w:top w:val="single" w:sz="8" w:space="0" w:color="000000"/>
              <w:left w:val="single" w:sz="8" w:space="0" w:color="000000"/>
              <w:bottom w:val="single" w:sz="8" w:space="0" w:color="000000"/>
              <w:right w:val="single" w:sz="8" w:space="0" w:color="000000"/>
            </w:tcBorders>
            <w:shd w:val="clear" w:color="auto" w:fill="FFFFFF"/>
            <w:tcMar>
              <w:top w:w="15" w:type="dxa"/>
              <w:left w:w="29" w:type="dxa"/>
              <w:bottom w:w="15" w:type="dxa"/>
              <w:right w:w="29" w:type="dxa"/>
            </w:tcMar>
            <w:vAlign w:val="center"/>
            <w:hideMark/>
          </w:tcPr>
          <w:p w14:paraId="44209076" w14:textId="77777777" w:rsidR="00C54BC9" w:rsidRPr="00164238" w:rsidRDefault="00C54BC9" w:rsidP="00682CBF">
            <w:pPr>
              <w:jc w:val="center"/>
              <w:rPr>
                <w:rFonts w:ascii="Times New Roman" w:hAnsi="Times New Roman" w:cs="Times New Roman"/>
                <w:color w:val="000000" w:themeColor="text1"/>
              </w:rPr>
            </w:pPr>
            <w:r w:rsidRPr="00164238">
              <w:rPr>
                <w:rFonts w:ascii="Times New Roman" w:hAnsi="Times New Roman" w:cs="Times New Roman"/>
                <w:b/>
                <w:bCs/>
                <w:color w:val="000000" w:themeColor="text1"/>
              </w:rPr>
              <w:t>2019-12</w:t>
            </w:r>
          </w:p>
        </w:tc>
        <w:tc>
          <w:tcPr>
            <w:tcW w:w="462" w:type="pct"/>
            <w:tcBorders>
              <w:top w:val="single" w:sz="8" w:space="0" w:color="000000"/>
              <w:left w:val="single" w:sz="8" w:space="0" w:color="000000"/>
              <w:bottom w:val="single" w:sz="8" w:space="0" w:color="000000"/>
              <w:right w:val="single" w:sz="8" w:space="0" w:color="000000"/>
            </w:tcBorders>
            <w:shd w:val="clear" w:color="auto" w:fill="FFFFFF"/>
            <w:tcMar>
              <w:top w:w="15" w:type="dxa"/>
              <w:left w:w="29" w:type="dxa"/>
              <w:bottom w:w="15" w:type="dxa"/>
              <w:right w:w="29" w:type="dxa"/>
            </w:tcMar>
            <w:vAlign w:val="center"/>
            <w:hideMark/>
          </w:tcPr>
          <w:p w14:paraId="3052E48C" w14:textId="77777777" w:rsidR="00C54BC9" w:rsidRPr="00164238" w:rsidRDefault="00C54BC9" w:rsidP="00682CBF">
            <w:pPr>
              <w:jc w:val="center"/>
              <w:rPr>
                <w:rFonts w:ascii="Times New Roman" w:hAnsi="Times New Roman" w:cs="Times New Roman"/>
                <w:color w:val="000000" w:themeColor="text1"/>
              </w:rPr>
            </w:pPr>
            <w:r w:rsidRPr="00164238">
              <w:rPr>
                <w:rFonts w:ascii="Times New Roman" w:hAnsi="Times New Roman" w:cs="Times New Roman"/>
                <w:b/>
                <w:bCs/>
                <w:color w:val="000000" w:themeColor="text1"/>
              </w:rPr>
              <w:t>Growth</w:t>
            </w:r>
          </w:p>
        </w:tc>
        <w:tc>
          <w:tcPr>
            <w:tcW w:w="498" w:type="pct"/>
            <w:tcBorders>
              <w:top w:val="single" w:sz="8" w:space="0" w:color="000000"/>
              <w:left w:val="single" w:sz="8" w:space="0" w:color="000000"/>
              <w:bottom w:val="single" w:sz="8" w:space="0" w:color="000000"/>
              <w:right w:val="single" w:sz="8" w:space="0" w:color="000000"/>
            </w:tcBorders>
            <w:shd w:val="clear" w:color="auto" w:fill="FFFFFF"/>
            <w:tcMar>
              <w:top w:w="15" w:type="dxa"/>
              <w:left w:w="29" w:type="dxa"/>
              <w:bottom w:w="15" w:type="dxa"/>
              <w:right w:w="29" w:type="dxa"/>
            </w:tcMar>
            <w:vAlign w:val="center"/>
            <w:hideMark/>
          </w:tcPr>
          <w:p w14:paraId="771694FD" w14:textId="77777777" w:rsidR="00C54BC9" w:rsidRPr="00164238" w:rsidRDefault="00C54BC9" w:rsidP="00682CBF">
            <w:pPr>
              <w:jc w:val="center"/>
              <w:rPr>
                <w:rFonts w:ascii="Times New Roman" w:hAnsi="Times New Roman" w:cs="Times New Roman"/>
                <w:color w:val="000000" w:themeColor="text1"/>
              </w:rPr>
            </w:pPr>
            <w:r w:rsidRPr="00164238">
              <w:rPr>
                <w:rFonts w:ascii="Times New Roman" w:hAnsi="Times New Roman" w:cs="Times New Roman"/>
                <w:b/>
                <w:bCs/>
                <w:color w:val="000000" w:themeColor="text1"/>
              </w:rPr>
              <w:t>2020-12</w:t>
            </w:r>
          </w:p>
        </w:tc>
        <w:tc>
          <w:tcPr>
            <w:tcW w:w="526" w:type="pct"/>
            <w:tcBorders>
              <w:top w:val="single" w:sz="8" w:space="0" w:color="000000"/>
              <w:left w:val="single" w:sz="8" w:space="0" w:color="000000"/>
              <w:bottom w:val="single" w:sz="8" w:space="0" w:color="000000"/>
              <w:right w:val="single" w:sz="8" w:space="0" w:color="000000"/>
            </w:tcBorders>
            <w:shd w:val="clear" w:color="auto" w:fill="FFFFFF"/>
            <w:tcMar>
              <w:top w:w="15" w:type="dxa"/>
              <w:left w:w="29" w:type="dxa"/>
              <w:bottom w:w="15" w:type="dxa"/>
              <w:right w:w="29" w:type="dxa"/>
            </w:tcMar>
            <w:vAlign w:val="center"/>
            <w:hideMark/>
          </w:tcPr>
          <w:p w14:paraId="385EAEB6" w14:textId="77777777" w:rsidR="00C54BC9" w:rsidRPr="00164238" w:rsidRDefault="00C54BC9" w:rsidP="00682CBF">
            <w:pPr>
              <w:jc w:val="center"/>
              <w:rPr>
                <w:rFonts w:ascii="Times New Roman" w:hAnsi="Times New Roman" w:cs="Times New Roman"/>
                <w:color w:val="000000" w:themeColor="text1"/>
              </w:rPr>
            </w:pPr>
            <w:r w:rsidRPr="00164238">
              <w:rPr>
                <w:rFonts w:ascii="Times New Roman" w:hAnsi="Times New Roman" w:cs="Times New Roman"/>
                <w:b/>
                <w:bCs/>
                <w:color w:val="000000" w:themeColor="text1"/>
              </w:rPr>
              <w:t>2019-12</w:t>
            </w:r>
          </w:p>
        </w:tc>
        <w:tc>
          <w:tcPr>
            <w:tcW w:w="498" w:type="pct"/>
            <w:tcBorders>
              <w:top w:val="single" w:sz="8" w:space="0" w:color="000000"/>
              <w:left w:val="single" w:sz="8" w:space="0" w:color="000000"/>
              <w:bottom w:val="single" w:sz="8" w:space="0" w:color="000000"/>
              <w:right w:val="single" w:sz="8" w:space="0" w:color="000000"/>
            </w:tcBorders>
            <w:shd w:val="clear" w:color="auto" w:fill="FFFFFF"/>
            <w:tcMar>
              <w:top w:w="15" w:type="dxa"/>
              <w:left w:w="29" w:type="dxa"/>
              <w:bottom w:w="15" w:type="dxa"/>
              <w:right w:w="29" w:type="dxa"/>
            </w:tcMar>
            <w:vAlign w:val="center"/>
            <w:hideMark/>
          </w:tcPr>
          <w:p w14:paraId="23615F40" w14:textId="77777777" w:rsidR="00C54BC9" w:rsidRPr="00164238" w:rsidRDefault="00C54BC9" w:rsidP="00682CBF">
            <w:pPr>
              <w:rPr>
                <w:rFonts w:ascii="Times New Roman" w:hAnsi="Times New Roman" w:cs="Times New Roman"/>
                <w:color w:val="000000" w:themeColor="text1"/>
              </w:rPr>
            </w:pPr>
            <w:r w:rsidRPr="00164238">
              <w:rPr>
                <w:rFonts w:ascii="Times New Roman" w:hAnsi="Times New Roman" w:cs="Times New Roman"/>
                <w:b/>
                <w:bCs/>
                <w:color w:val="000000" w:themeColor="text1"/>
              </w:rPr>
              <w:t>Growth</w:t>
            </w:r>
          </w:p>
        </w:tc>
      </w:tr>
      <w:tr w:rsidR="00164238" w:rsidRPr="00164238" w14:paraId="48677D9C" w14:textId="77777777" w:rsidTr="00682CBF">
        <w:trPr>
          <w:trHeight w:val="18"/>
        </w:trPr>
        <w:tc>
          <w:tcPr>
            <w:tcW w:w="1956" w:type="pct"/>
            <w:tcBorders>
              <w:top w:val="single" w:sz="8" w:space="0" w:color="000000"/>
              <w:left w:val="single" w:sz="8" w:space="0" w:color="000000"/>
              <w:bottom w:val="single" w:sz="8" w:space="0" w:color="000000"/>
              <w:right w:val="single" w:sz="8" w:space="0" w:color="000000"/>
            </w:tcBorders>
            <w:shd w:val="clear" w:color="auto" w:fill="FFFFFF"/>
            <w:tcMar>
              <w:top w:w="15" w:type="dxa"/>
              <w:left w:w="82" w:type="dxa"/>
              <w:bottom w:w="15" w:type="dxa"/>
              <w:right w:w="82" w:type="dxa"/>
            </w:tcMar>
            <w:vAlign w:val="center"/>
            <w:hideMark/>
          </w:tcPr>
          <w:p w14:paraId="4E9D35AE" w14:textId="77777777" w:rsidR="00C54BC9" w:rsidRPr="00164238" w:rsidRDefault="00C54BC9" w:rsidP="00682CBF">
            <w:pPr>
              <w:rPr>
                <w:rFonts w:ascii="Times New Roman" w:hAnsi="Times New Roman" w:cs="Times New Roman"/>
                <w:color w:val="000000" w:themeColor="text1"/>
              </w:rPr>
            </w:pPr>
            <w:r w:rsidRPr="00164238">
              <w:rPr>
                <w:rFonts w:ascii="Times New Roman" w:hAnsi="Times New Roman" w:cs="Times New Roman"/>
                <w:b/>
                <w:bCs/>
                <w:color w:val="000000" w:themeColor="text1"/>
              </w:rPr>
              <w:t xml:space="preserve">Participant Fund Amount </w:t>
            </w:r>
            <w:r w:rsidRPr="00164238">
              <w:rPr>
                <w:rFonts w:ascii="Times New Roman" w:hAnsi="Times New Roman" w:cs="Times New Roman"/>
                <w:color w:val="000000" w:themeColor="text1"/>
                <w:sz w:val="18"/>
              </w:rPr>
              <w:t>mm TRY</w:t>
            </w:r>
          </w:p>
        </w:tc>
        <w:tc>
          <w:tcPr>
            <w:tcW w:w="53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00212A88" w14:textId="77777777" w:rsidR="00C54BC9" w:rsidRPr="00164238" w:rsidRDefault="00C54BC9"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137,093.9</w:t>
            </w:r>
          </w:p>
        </w:tc>
        <w:tc>
          <w:tcPr>
            <w:tcW w:w="52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1369607A" w14:textId="77777777" w:rsidR="00C54BC9" w:rsidRPr="00164238" w:rsidRDefault="00C54BC9"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101,883</w:t>
            </w:r>
          </w:p>
        </w:tc>
        <w:tc>
          <w:tcPr>
            <w:tcW w:w="462"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4CA6DD39" w14:textId="77777777" w:rsidR="00C54BC9" w:rsidRPr="00164238" w:rsidRDefault="00C54BC9"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34.6%</w:t>
            </w:r>
          </w:p>
        </w:tc>
        <w:tc>
          <w:tcPr>
            <w:tcW w:w="49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38819EB1" w14:textId="77777777" w:rsidR="00C54BC9" w:rsidRPr="00164238" w:rsidRDefault="00C54BC9"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11,304.1</w:t>
            </w:r>
          </w:p>
        </w:tc>
        <w:tc>
          <w:tcPr>
            <w:tcW w:w="52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5FB1C730" w14:textId="77777777" w:rsidR="00C54BC9" w:rsidRPr="00164238" w:rsidRDefault="00C54BC9"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8,194.4</w:t>
            </w:r>
          </w:p>
        </w:tc>
        <w:tc>
          <w:tcPr>
            <w:tcW w:w="49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423362F1" w14:textId="77777777" w:rsidR="00C54BC9" w:rsidRPr="00164238" w:rsidRDefault="00C54BC9"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37.9%</w:t>
            </w:r>
          </w:p>
        </w:tc>
      </w:tr>
      <w:tr w:rsidR="00164238" w:rsidRPr="00164238" w14:paraId="61D0A530" w14:textId="77777777" w:rsidTr="00682CBF">
        <w:trPr>
          <w:trHeight w:val="18"/>
        </w:trPr>
        <w:tc>
          <w:tcPr>
            <w:tcW w:w="1956" w:type="pct"/>
            <w:tcBorders>
              <w:top w:val="single" w:sz="8" w:space="0" w:color="000000"/>
              <w:left w:val="single" w:sz="8" w:space="0" w:color="000000"/>
              <w:bottom w:val="single" w:sz="8" w:space="0" w:color="000000"/>
              <w:right w:val="single" w:sz="8" w:space="0" w:color="000000"/>
            </w:tcBorders>
            <w:shd w:val="clear" w:color="auto" w:fill="FFFFFF"/>
            <w:tcMar>
              <w:top w:w="15" w:type="dxa"/>
              <w:left w:w="82" w:type="dxa"/>
              <w:bottom w:w="15" w:type="dxa"/>
              <w:right w:w="82" w:type="dxa"/>
            </w:tcMar>
            <w:vAlign w:val="center"/>
          </w:tcPr>
          <w:p w14:paraId="454A9D24" w14:textId="77777777" w:rsidR="00C54BC9" w:rsidRPr="00164238" w:rsidRDefault="00C54BC9" w:rsidP="00682CBF">
            <w:pPr>
              <w:contextualSpacing/>
              <w:rPr>
                <w:rFonts w:ascii="Times New Roman" w:hAnsi="Times New Roman" w:cs="Times New Roman"/>
                <w:color w:val="000000" w:themeColor="text1"/>
              </w:rPr>
            </w:pPr>
            <w:r w:rsidRPr="00164238">
              <w:rPr>
                <w:rFonts w:ascii="Times New Roman" w:hAnsi="Times New Roman" w:cs="Times New Roman"/>
                <w:b/>
                <w:bCs/>
                <w:color w:val="000000" w:themeColor="text1"/>
              </w:rPr>
              <w:t xml:space="preserve">Contribution Amount </w:t>
            </w:r>
            <w:r w:rsidRPr="00164238">
              <w:rPr>
                <w:rFonts w:ascii="Times New Roman" w:hAnsi="Times New Roman" w:cs="Times New Roman"/>
                <w:bCs/>
                <w:color w:val="000000" w:themeColor="text1"/>
                <w:sz w:val="18"/>
              </w:rPr>
              <w:t>(mm. TRY)</w:t>
            </w:r>
          </w:p>
        </w:tc>
        <w:tc>
          <w:tcPr>
            <w:tcW w:w="53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5A7B5541" w14:textId="77777777" w:rsidR="00C54BC9" w:rsidRPr="00164238" w:rsidRDefault="00C54BC9" w:rsidP="00682CBF">
            <w:pPr>
              <w:contextualSpacing/>
              <w:jc w:val="center"/>
              <w:rPr>
                <w:rFonts w:ascii="Times New Roman" w:hAnsi="Times New Roman" w:cs="Times New Roman"/>
                <w:color w:val="000000" w:themeColor="text1"/>
              </w:rPr>
            </w:pPr>
            <w:r w:rsidRPr="00164238">
              <w:rPr>
                <w:rFonts w:ascii="Times New Roman" w:hAnsi="Times New Roman" w:cs="Times New Roman"/>
                <w:color w:val="000000" w:themeColor="text1"/>
              </w:rPr>
              <w:t>82,389.1</w:t>
            </w:r>
          </w:p>
        </w:tc>
        <w:tc>
          <w:tcPr>
            <w:tcW w:w="52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48827D06" w14:textId="77777777" w:rsidR="00C54BC9" w:rsidRPr="00164238" w:rsidRDefault="00C54BC9" w:rsidP="00682CBF">
            <w:pPr>
              <w:contextualSpacing/>
              <w:jc w:val="center"/>
              <w:rPr>
                <w:rFonts w:ascii="Times New Roman" w:hAnsi="Times New Roman" w:cs="Times New Roman"/>
                <w:color w:val="000000" w:themeColor="text1"/>
              </w:rPr>
            </w:pPr>
            <w:r w:rsidRPr="00164238">
              <w:rPr>
                <w:rFonts w:ascii="Times New Roman" w:hAnsi="Times New Roman" w:cs="Times New Roman"/>
                <w:color w:val="000000" w:themeColor="text1"/>
              </w:rPr>
              <w:t>67,818</w:t>
            </w:r>
          </w:p>
        </w:tc>
        <w:tc>
          <w:tcPr>
            <w:tcW w:w="462"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510323EC" w14:textId="77777777" w:rsidR="00C54BC9" w:rsidRPr="00164238" w:rsidRDefault="00C54BC9" w:rsidP="00682CBF">
            <w:pPr>
              <w:contextualSpacing/>
              <w:jc w:val="center"/>
              <w:rPr>
                <w:rFonts w:ascii="Times New Roman" w:hAnsi="Times New Roman" w:cs="Times New Roman"/>
                <w:color w:val="000000" w:themeColor="text1"/>
              </w:rPr>
            </w:pPr>
            <w:r w:rsidRPr="00164238">
              <w:rPr>
                <w:rFonts w:ascii="Times New Roman" w:hAnsi="Times New Roman" w:cs="Times New Roman"/>
                <w:color w:val="000000" w:themeColor="text1"/>
              </w:rPr>
              <w:t>21.5%</w:t>
            </w:r>
          </w:p>
        </w:tc>
        <w:tc>
          <w:tcPr>
            <w:tcW w:w="49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0085FF49" w14:textId="77777777" w:rsidR="00C54BC9" w:rsidRPr="00164238" w:rsidRDefault="00C54BC9" w:rsidP="00682CBF">
            <w:pPr>
              <w:contextualSpacing/>
              <w:jc w:val="center"/>
              <w:rPr>
                <w:rFonts w:ascii="Times New Roman" w:hAnsi="Times New Roman" w:cs="Times New Roman"/>
                <w:color w:val="000000" w:themeColor="text1"/>
              </w:rPr>
            </w:pPr>
            <w:r w:rsidRPr="00164238">
              <w:rPr>
                <w:rFonts w:ascii="Times New Roman" w:hAnsi="Times New Roman" w:cs="Times New Roman"/>
                <w:color w:val="000000" w:themeColor="text1"/>
              </w:rPr>
              <w:t>8,872.8</w:t>
            </w:r>
          </w:p>
        </w:tc>
        <w:tc>
          <w:tcPr>
            <w:tcW w:w="52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2F9F523C" w14:textId="77777777" w:rsidR="00C54BC9" w:rsidRPr="00164238" w:rsidRDefault="00C54BC9" w:rsidP="00682CBF">
            <w:pPr>
              <w:contextualSpacing/>
              <w:jc w:val="center"/>
              <w:rPr>
                <w:rFonts w:ascii="Times New Roman" w:hAnsi="Times New Roman" w:cs="Times New Roman"/>
                <w:color w:val="000000" w:themeColor="text1"/>
              </w:rPr>
            </w:pPr>
            <w:r w:rsidRPr="00164238">
              <w:rPr>
                <w:rFonts w:ascii="Times New Roman" w:hAnsi="Times New Roman" w:cs="Times New Roman"/>
                <w:color w:val="000000" w:themeColor="text1"/>
              </w:rPr>
              <w:t>6,357.5</w:t>
            </w:r>
          </w:p>
        </w:tc>
        <w:tc>
          <w:tcPr>
            <w:tcW w:w="49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0E22A2EA" w14:textId="77777777" w:rsidR="00C54BC9" w:rsidRPr="00164238" w:rsidRDefault="00C54BC9" w:rsidP="00682CBF">
            <w:pPr>
              <w:contextualSpacing/>
              <w:jc w:val="center"/>
              <w:rPr>
                <w:rFonts w:ascii="Times New Roman" w:hAnsi="Times New Roman" w:cs="Times New Roman"/>
                <w:color w:val="000000" w:themeColor="text1"/>
              </w:rPr>
            </w:pPr>
            <w:r w:rsidRPr="00164238">
              <w:rPr>
                <w:rFonts w:ascii="Times New Roman" w:hAnsi="Times New Roman" w:cs="Times New Roman"/>
                <w:color w:val="000000" w:themeColor="text1"/>
              </w:rPr>
              <w:t>39.6%</w:t>
            </w:r>
          </w:p>
        </w:tc>
      </w:tr>
      <w:tr w:rsidR="00164238" w:rsidRPr="00164238" w14:paraId="5C03073C" w14:textId="77777777" w:rsidTr="00682CBF">
        <w:trPr>
          <w:trHeight w:val="18"/>
        </w:trPr>
        <w:tc>
          <w:tcPr>
            <w:tcW w:w="1956" w:type="pct"/>
            <w:tcBorders>
              <w:top w:val="single" w:sz="8" w:space="0" w:color="000000"/>
              <w:left w:val="single" w:sz="8" w:space="0" w:color="000000"/>
              <w:bottom w:val="single" w:sz="8" w:space="0" w:color="000000"/>
              <w:right w:val="single" w:sz="8" w:space="0" w:color="000000"/>
            </w:tcBorders>
            <w:shd w:val="clear" w:color="auto" w:fill="FFFFFF"/>
            <w:tcMar>
              <w:top w:w="15" w:type="dxa"/>
              <w:left w:w="82" w:type="dxa"/>
              <w:bottom w:w="15" w:type="dxa"/>
              <w:right w:w="82" w:type="dxa"/>
            </w:tcMar>
            <w:vAlign w:val="center"/>
          </w:tcPr>
          <w:p w14:paraId="1C5E1126" w14:textId="77777777" w:rsidR="00C54BC9" w:rsidRPr="00164238" w:rsidRDefault="00C54BC9" w:rsidP="00682CBF">
            <w:pPr>
              <w:contextualSpacing/>
              <w:rPr>
                <w:rFonts w:ascii="Times New Roman" w:hAnsi="Times New Roman" w:cs="Times New Roman"/>
                <w:color w:val="000000" w:themeColor="text1"/>
              </w:rPr>
            </w:pPr>
            <w:r w:rsidRPr="00164238">
              <w:rPr>
                <w:rFonts w:ascii="Times New Roman" w:hAnsi="Times New Roman" w:cs="Times New Roman"/>
                <w:b/>
                <w:bCs/>
                <w:color w:val="000000" w:themeColor="text1"/>
              </w:rPr>
              <w:t>Number of Participant</w:t>
            </w:r>
          </w:p>
        </w:tc>
        <w:tc>
          <w:tcPr>
            <w:tcW w:w="53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5FC48D69" w14:textId="77777777" w:rsidR="00C54BC9" w:rsidRPr="00164238" w:rsidRDefault="00C54BC9" w:rsidP="00682CBF">
            <w:pPr>
              <w:contextualSpacing/>
              <w:jc w:val="center"/>
              <w:rPr>
                <w:rFonts w:ascii="Times New Roman" w:hAnsi="Times New Roman" w:cs="Times New Roman"/>
                <w:color w:val="000000" w:themeColor="text1"/>
              </w:rPr>
            </w:pPr>
            <w:r w:rsidRPr="00164238">
              <w:rPr>
                <w:rFonts w:ascii="Times New Roman" w:hAnsi="Times New Roman" w:cs="Times New Roman"/>
                <w:color w:val="000000" w:themeColor="text1"/>
              </w:rPr>
              <w:t>6,900,565</w:t>
            </w:r>
          </w:p>
        </w:tc>
        <w:tc>
          <w:tcPr>
            <w:tcW w:w="52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1271CE3D" w14:textId="77777777" w:rsidR="00C54BC9" w:rsidRPr="00164238" w:rsidRDefault="00C54BC9" w:rsidP="00682CBF">
            <w:pPr>
              <w:contextualSpacing/>
              <w:jc w:val="center"/>
              <w:rPr>
                <w:rFonts w:ascii="Times New Roman" w:hAnsi="Times New Roman" w:cs="Times New Roman"/>
                <w:color w:val="000000" w:themeColor="text1"/>
              </w:rPr>
            </w:pPr>
            <w:r w:rsidRPr="00164238">
              <w:rPr>
                <w:rFonts w:ascii="Times New Roman" w:hAnsi="Times New Roman" w:cs="Times New Roman"/>
                <w:color w:val="000000" w:themeColor="text1"/>
              </w:rPr>
              <w:t>6,871,132</w:t>
            </w:r>
          </w:p>
        </w:tc>
        <w:tc>
          <w:tcPr>
            <w:tcW w:w="462"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3301AC83" w14:textId="77777777" w:rsidR="00C54BC9" w:rsidRPr="00164238" w:rsidRDefault="00C54BC9" w:rsidP="00682CBF">
            <w:pPr>
              <w:contextualSpacing/>
              <w:jc w:val="center"/>
              <w:rPr>
                <w:rFonts w:ascii="Times New Roman" w:hAnsi="Times New Roman" w:cs="Times New Roman"/>
                <w:color w:val="000000" w:themeColor="text1"/>
              </w:rPr>
            </w:pPr>
            <w:r w:rsidRPr="00164238">
              <w:rPr>
                <w:rFonts w:ascii="Times New Roman" w:hAnsi="Times New Roman" w:cs="Times New Roman"/>
                <w:color w:val="000000" w:themeColor="text1"/>
              </w:rPr>
              <w:t>0.4%</w:t>
            </w:r>
          </w:p>
        </w:tc>
        <w:tc>
          <w:tcPr>
            <w:tcW w:w="49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6243F9D3" w14:textId="77777777" w:rsidR="00C54BC9" w:rsidRPr="00164238" w:rsidRDefault="00C54BC9" w:rsidP="00682CBF">
            <w:pPr>
              <w:contextualSpacing/>
              <w:jc w:val="center"/>
              <w:rPr>
                <w:rFonts w:ascii="Times New Roman" w:hAnsi="Times New Roman" w:cs="Times New Roman"/>
                <w:color w:val="000000" w:themeColor="text1"/>
              </w:rPr>
            </w:pPr>
            <w:r w:rsidRPr="00164238">
              <w:rPr>
                <w:rFonts w:ascii="Times New Roman" w:hAnsi="Times New Roman" w:cs="Times New Roman"/>
                <w:color w:val="000000" w:themeColor="text1"/>
              </w:rPr>
              <w:t>5,724,081</w:t>
            </w:r>
          </w:p>
        </w:tc>
        <w:tc>
          <w:tcPr>
            <w:tcW w:w="52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64D4047E" w14:textId="77777777" w:rsidR="00C54BC9" w:rsidRPr="00164238" w:rsidRDefault="00C54BC9" w:rsidP="00682CBF">
            <w:pPr>
              <w:contextualSpacing/>
              <w:jc w:val="center"/>
              <w:rPr>
                <w:rFonts w:ascii="Times New Roman" w:hAnsi="Times New Roman" w:cs="Times New Roman"/>
                <w:color w:val="000000" w:themeColor="text1"/>
              </w:rPr>
            </w:pPr>
            <w:r w:rsidRPr="00164238">
              <w:rPr>
                <w:rFonts w:ascii="Times New Roman" w:hAnsi="Times New Roman" w:cs="Times New Roman"/>
                <w:color w:val="000000" w:themeColor="text1"/>
              </w:rPr>
              <w:t>5,354,242</w:t>
            </w:r>
          </w:p>
        </w:tc>
        <w:tc>
          <w:tcPr>
            <w:tcW w:w="49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34BD44BE" w14:textId="77777777" w:rsidR="00C54BC9" w:rsidRPr="00164238" w:rsidRDefault="00C54BC9" w:rsidP="00682CBF">
            <w:pPr>
              <w:contextualSpacing/>
              <w:jc w:val="center"/>
              <w:rPr>
                <w:rFonts w:ascii="Times New Roman" w:hAnsi="Times New Roman" w:cs="Times New Roman"/>
                <w:color w:val="000000" w:themeColor="text1"/>
              </w:rPr>
            </w:pPr>
            <w:r w:rsidRPr="00164238">
              <w:rPr>
                <w:rFonts w:ascii="Times New Roman" w:hAnsi="Times New Roman" w:cs="Times New Roman"/>
                <w:color w:val="000000" w:themeColor="text1"/>
              </w:rPr>
              <w:t>6.9%</w:t>
            </w:r>
          </w:p>
        </w:tc>
      </w:tr>
    </w:tbl>
    <w:p w14:paraId="7B397D4F" w14:textId="77777777" w:rsidR="00C54BC9" w:rsidRPr="00164238" w:rsidRDefault="00C54BC9" w:rsidP="00C54BC9">
      <w:pPr>
        <w:spacing w:after="120" w:line="276" w:lineRule="auto"/>
        <w:jc w:val="both"/>
        <w:rPr>
          <w:rFonts w:ascii="Times New Roman" w:hAnsi="Times New Roman" w:cs="Times New Roman"/>
          <w:color w:val="000000" w:themeColor="text1"/>
        </w:rPr>
      </w:pPr>
      <w:r w:rsidRPr="00164238">
        <w:rPr>
          <w:rFonts w:ascii="Times New Roman" w:hAnsi="Times New Roman" w:cs="Times New Roman"/>
          <w:i/>
          <w:color w:val="000000" w:themeColor="text1"/>
        </w:rPr>
        <w:t>Source:</w:t>
      </w:r>
      <w:r w:rsidRPr="00164238">
        <w:rPr>
          <w:rFonts w:ascii="Times New Roman" w:hAnsi="Times New Roman" w:cs="Times New Roman"/>
          <w:color w:val="000000" w:themeColor="text1"/>
        </w:rPr>
        <w:t xml:space="preserve"> Pension Monitoring Center</w:t>
      </w:r>
    </w:p>
    <w:p w14:paraId="67892AD8" w14:textId="77777777" w:rsidR="00C54BC9" w:rsidRPr="00164238" w:rsidRDefault="00C54BC9" w:rsidP="00C54BC9">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lastRenderedPageBreak/>
        <w:t>While the fund size of voluntary IPS participants increased by 34.6% to 137,093 million TRY, the number of participants increased by 0.4% to 6,900 million people. In auto IPS participation, the fund size increased by 38% to 11,304 million TRY, while the number of participants in the system increased by 6.9% to 5,724 million people.</w:t>
      </w:r>
    </w:p>
    <w:p w14:paraId="143D9715" w14:textId="77777777" w:rsidR="00C54BC9" w:rsidRPr="00164238" w:rsidRDefault="00C54BC9" w:rsidP="00C54BC9">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The number of contracts included in and exited from the voluntary private pension system in 2019 and 2020 are given in Figure 7 and Figure 8. </w:t>
      </w:r>
    </w:p>
    <w:p w14:paraId="19D9C8B6" w14:textId="77777777" w:rsidR="00C54BC9" w:rsidRPr="00164238" w:rsidRDefault="00C54BC9" w:rsidP="00C54BC9">
      <w:pPr>
        <w:spacing w:line="276" w:lineRule="auto"/>
        <w:jc w:val="both"/>
        <w:rPr>
          <w:rFonts w:ascii="Times New Roman" w:hAnsi="Times New Roman" w:cs="Times New Roman"/>
          <w:color w:val="000000" w:themeColor="text1"/>
        </w:rPr>
      </w:pPr>
      <w:r w:rsidRPr="00164238">
        <w:rPr>
          <w:rFonts w:ascii="Times New Roman" w:hAnsi="Times New Roman" w:cs="Times New Roman"/>
          <w:noProof/>
          <w:color w:val="000000" w:themeColor="text1"/>
          <w:lang w:val="en-US"/>
        </w:rPr>
        <w:drawing>
          <wp:inline distT="0" distB="0" distL="0" distR="0" wp14:anchorId="7239911F" wp14:editId="25814820">
            <wp:extent cx="2665730" cy="1801720"/>
            <wp:effectExtent l="19050" t="19050" r="20320" b="27305"/>
            <wp:docPr id="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145"/>
                    <a:srcRect l="1555" r="1995"/>
                    <a:stretch/>
                  </pic:blipFill>
                  <pic:spPr bwMode="auto">
                    <a:xfrm>
                      <a:off x="0" y="0"/>
                      <a:ext cx="2751821" cy="1859907"/>
                    </a:xfrm>
                    <a:prstGeom prst="rect">
                      <a:avLst/>
                    </a:prstGeom>
                    <a:ln w="952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164238">
        <w:rPr>
          <w:rFonts w:ascii="Times New Roman" w:hAnsi="Times New Roman" w:cs="Times New Roman"/>
          <w:noProof/>
          <w:color w:val="000000" w:themeColor="text1"/>
          <w:lang w:val="en-US"/>
        </w:rPr>
        <w:drawing>
          <wp:inline distT="0" distB="0" distL="0" distR="0" wp14:anchorId="6BB8C2D2" wp14:editId="2A16F245">
            <wp:extent cx="2634581" cy="1812925"/>
            <wp:effectExtent l="19050" t="19050" r="13970" b="15875"/>
            <wp:docPr id="7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146"/>
                    <a:srcRect l="2064" r="2271"/>
                    <a:stretch/>
                  </pic:blipFill>
                  <pic:spPr bwMode="auto">
                    <a:xfrm>
                      <a:off x="0" y="0"/>
                      <a:ext cx="2691607" cy="1852166"/>
                    </a:xfrm>
                    <a:prstGeom prst="rect">
                      <a:avLst/>
                    </a:prstGeom>
                    <a:ln w="9525" cap="flat" cmpd="sng" algn="ctr">
                      <a:solidFill>
                        <a:srgbClr val="7030A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2F5BDEA" w14:textId="77777777" w:rsidR="00C54BC9" w:rsidRPr="00164238" w:rsidRDefault="00C54BC9" w:rsidP="00C54BC9">
      <w:pPr>
        <w:spacing w:line="276" w:lineRule="auto"/>
        <w:rPr>
          <w:rFonts w:ascii="Times New Roman" w:hAnsi="Times New Roman" w:cs="Times New Roman"/>
          <w:noProof/>
          <w:color w:val="000000" w:themeColor="text1"/>
          <w:lang w:eastAsia="tr-TR"/>
        </w:rPr>
      </w:pPr>
      <w:r w:rsidRPr="00164238">
        <w:rPr>
          <w:rFonts w:ascii="Times New Roman" w:hAnsi="Times New Roman" w:cs="Times New Roman"/>
          <w:i/>
          <w:color w:val="000000" w:themeColor="text1"/>
        </w:rPr>
        <w:t>Figure 7.</w:t>
      </w:r>
      <w:r w:rsidRPr="00164238">
        <w:rPr>
          <w:rFonts w:ascii="Times New Roman" w:hAnsi="Times New Roman" w:cs="Times New Roman"/>
          <w:color w:val="000000" w:themeColor="text1"/>
        </w:rPr>
        <w:t xml:space="preserve"> </w:t>
      </w:r>
      <w:r w:rsidRPr="00164238">
        <w:rPr>
          <w:rFonts w:ascii="Times New Roman" w:hAnsi="Times New Roman" w:cs="Times New Roman"/>
          <w:bCs/>
          <w:color w:val="000000" w:themeColor="text1"/>
        </w:rPr>
        <w:t>Participation into voluntary IPS</w:t>
      </w:r>
      <w:r w:rsidRPr="00164238">
        <w:rPr>
          <w:rFonts w:ascii="Times New Roman" w:hAnsi="Times New Roman" w:cs="Times New Roman"/>
          <w:b/>
          <w:color w:val="000000" w:themeColor="text1"/>
        </w:rPr>
        <w:t xml:space="preserve"> </w:t>
      </w:r>
      <w:r w:rsidRPr="00164238">
        <w:rPr>
          <w:rFonts w:ascii="Times New Roman" w:hAnsi="Times New Roman" w:cs="Times New Roman"/>
          <w:b/>
          <w:color w:val="000000" w:themeColor="text1"/>
        </w:rPr>
        <w:tab/>
      </w:r>
      <w:r w:rsidRPr="00164238">
        <w:rPr>
          <w:rFonts w:ascii="Times New Roman" w:hAnsi="Times New Roman" w:cs="Times New Roman"/>
          <w:i/>
          <w:color w:val="000000" w:themeColor="text1"/>
        </w:rPr>
        <w:t>Figure 8.</w:t>
      </w:r>
      <w:r w:rsidRPr="00164238">
        <w:rPr>
          <w:rFonts w:ascii="Times New Roman" w:hAnsi="Times New Roman" w:cs="Times New Roman"/>
          <w:color w:val="000000" w:themeColor="text1"/>
        </w:rPr>
        <w:t xml:space="preserve"> </w:t>
      </w:r>
      <w:r w:rsidRPr="00164238">
        <w:rPr>
          <w:rFonts w:ascii="Times New Roman" w:hAnsi="Times New Roman" w:cs="Times New Roman"/>
          <w:bCs/>
          <w:color w:val="000000" w:themeColor="text1"/>
        </w:rPr>
        <w:t>Leaving the voluntary IPS</w:t>
      </w:r>
      <w:r w:rsidRPr="00164238">
        <w:rPr>
          <w:rFonts w:ascii="Times New Roman" w:hAnsi="Times New Roman" w:cs="Times New Roman"/>
          <w:b/>
          <w:color w:val="000000" w:themeColor="text1"/>
        </w:rPr>
        <w:t xml:space="preserve"> </w:t>
      </w:r>
    </w:p>
    <w:p w14:paraId="3883A502" w14:textId="77777777" w:rsidR="00C54BC9" w:rsidRPr="00164238" w:rsidRDefault="00C54BC9" w:rsidP="00C54BC9">
      <w:pPr>
        <w:spacing w:after="120" w:line="276" w:lineRule="auto"/>
        <w:rPr>
          <w:rFonts w:ascii="Times New Roman" w:hAnsi="Times New Roman" w:cs="Times New Roman"/>
          <w:noProof/>
          <w:color w:val="000000" w:themeColor="text1"/>
          <w:lang w:eastAsia="tr-TR"/>
        </w:rPr>
      </w:pPr>
      <w:r w:rsidRPr="00164238">
        <w:rPr>
          <w:rFonts w:ascii="Times New Roman" w:hAnsi="Times New Roman" w:cs="Times New Roman"/>
          <w:color w:val="000000" w:themeColor="text1"/>
        </w:rPr>
        <w:t>Source: Pension Monitoring Center</w:t>
      </w:r>
      <w:r w:rsidRPr="00164238">
        <w:rPr>
          <w:rFonts w:ascii="Times New Roman" w:hAnsi="Times New Roman" w:cs="Times New Roman"/>
          <w:color w:val="000000" w:themeColor="text1"/>
        </w:rPr>
        <w:tab/>
        <w:t xml:space="preserve">       </w:t>
      </w:r>
      <w:r w:rsidRPr="00164238">
        <w:rPr>
          <w:rFonts w:ascii="Times New Roman" w:hAnsi="Times New Roman" w:cs="Times New Roman"/>
          <w:color w:val="000000" w:themeColor="text1"/>
        </w:rPr>
        <w:tab/>
      </w:r>
      <w:r w:rsidRPr="00164238">
        <w:rPr>
          <w:rFonts w:ascii="Times New Roman" w:hAnsi="Times New Roman" w:cs="Times New Roman"/>
          <w:i/>
          <w:color w:val="000000" w:themeColor="text1"/>
        </w:rPr>
        <w:t>Source:</w:t>
      </w:r>
      <w:r w:rsidRPr="00164238">
        <w:rPr>
          <w:rFonts w:ascii="Times New Roman" w:hAnsi="Times New Roman" w:cs="Times New Roman"/>
          <w:color w:val="000000" w:themeColor="text1"/>
        </w:rPr>
        <w:t xml:space="preserve"> Pension Monitoring Center</w:t>
      </w:r>
    </w:p>
    <w:p w14:paraId="2D5DFFE4" w14:textId="77777777" w:rsidR="00C54BC9" w:rsidRPr="00164238" w:rsidRDefault="00C54BC9" w:rsidP="00C54BC9">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During the pandemic, it is observed that the number of new contracts in the voluntary private pension system decreased rapidly from March to June, and entry into the system accelerated with the normalization process in June. Compared to the same months of 2019, new entries to the system in 2020 were less between March and July, while it is observed that the number of exits from the system was higher in 2019. Therefore, it can be said that awareness has increased in private pension and even in a difficult period such as epidemic, individuals stay in the system and prefer to save.</w:t>
      </w:r>
    </w:p>
    <w:p w14:paraId="0A2E9038" w14:textId="66DB87C5" w:rsidR="00C54BC9" w:rsidRPr="00164238" w:rsidRDefault="00C54BC9" w:rsidP="00C54BC9">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Claims incurred are as important as premiums generated in insurance industry. The increase in the claim ratio brings along the risk of technical loss. In Table 4, the claim ratios on the basis of insurance branches are given.</w:t>
      </w:r>
    </w:p>
    <w:p w14:paraId="0EF48AA1" w14:textId="49F4E99C" w:rsidR="00C54BC9" w:rsidRDefault="00C54BC9" w:rsidP="00C54BC9">
      <w:pPr>
        <w:spacing w:before="120" w:after="120" w:line="276" w:lineRule="auto"/>
        <w:ind w:firstLine="720"/>
        <w:jc w:val="both"/>
        <w:rPr>
          <w:rFonts w:ascii="Times New Roman" w:hAnsi="Times New Roman" w:cs="Times New Roman"/>
          <w:color w:val="000000" w:themeColor="text1"/>
        </w:rPr>
      </w:pPr>
    </w:p>
    <w:p w14:paraId="53B2EB59" w14:textId="6A10D85B" w:rsidR="00452A49" w:rsidRDefault="00452A49" w:rsidP="00C54BC9">
      <w:pPr>
        <w:spacing w:before="120" w:after="120" w:line="276" w:lineRule="auto"/>
        <w:ind w:firstLine="720"/>
        <w:jc w:val="both"/>
        <w:rPr>
          <w:rFonts w:ascii="Times New Roman" w:hAnsi="Times New Roman" w:cs="Times New Roman"/>
          <w:color w:val="000000" w:themeColor="text1"/>
        </w:rPr>
      </w:pPr>
    </w:p>
    <w:p w14:paraId="23490AEE" w14:textId="6AB5312E" w:rsidR="001E0B0D" w:rsidRDefault="001E0B0D" w:rsidP="00C54BC9">
      <w:pPr>
        <w:spacing w:before="120" w:after="120" w:line="276" w:lineRule="auto"/>
        <w:ind w:firstLine="720"/>
        <w:jc w:val="both"/>
        <w:rPr>
          <w:rFonts w:ascii="Times New Roman" w:hAnsi="Times New Roman" w:cs="Times New Roman"/>
          <w:color w:val="000000" w:themeColor="text1"/>
        </w:rPr>
      </w:pPr>
    </w:p>
    <w:p w14:paraId="442CAE04" w14:textId="60A51BD9" w:rsidR="001E0B0D" w:rsidRDefault="001E0B0D" w:rsidP="00C54BC9">
      <w:pPr>
        <w:spacing w:before="120" w:after="120" w:line="276" w:lineRule="auto"/>
        <w:ind w:firstLine="720"/>
        <w:jc w:val="both"/>
        <w:rPr>
          <w:rFonts w:ascii="Times New Roman" w:hAnsi="Times New Roman" w:cs="Times New Roman"/>
          <w:color w:val="000000" w:themeColor="text1"/>
        </w:rPr>
      </w:pPr>
    </w:p>
    <w:p w14:paraId="392A36F7" w14:textId="380BE8B0" w:rsidR="001E0B0D" w:rsidRDefault="001E0B0D" w:rsidP="00C54BC9">
      <w:pPr>
        <w:spacing w:before="120" w:after="120" w:line="276" w:lineRule="auto"/>
        <w:ind w:firstLine="720"/>
        <w:jc w:val="both"/>
        <w:rPr>
          <w:rFonts w:ascii="Times New Roman" w:hAnsi="Times New Roman" w:cs="Times New Roman"/>
          <w:color w:val="000000" w:themeColor="text1"/>
        </w:rPr>
      </w:pPr>
    </w:p>
    <w:p w14:paraId="3BEA7B7C" w14:textId="77777777" w:rsidR="001E0B0D" w:rsidRDefault="001E0B0D" w:rsidP="00C54BC9">
      <w:pPr>
        <w:spacing w:before="120" w:after="120" w:line="276" w:lineRule="auto"/>
        <w:ind w:firstLine="720"/>
        <w:jc w:val="both"/>
        <w:rPr>
          <w:rFonts w:ascii="Times New Roman" w:hAnsi="Times New Roman" w:cs="Times New Roman"/>
          <w:color w:val="000000" w:themeColor="text1"/>
        </w:rPr>
      </w:pPr>
    </w:p>
    <w:p w14:paraId="6BD7F9B4" w14:textId="1639927D" w:rsidR="00452A49" w:rsidRDefault="00452A49" w:rsidP="00C54BC9">
      <w:pPr>
        <w:spacing w:before="120" w:after="120" w:line="276" w:lineRule="auto"/>
        <w:ind w:firstLine="720"/>
        <w:jc w:val="both"/>
        <w:rPr>
          <w:rFonts w:ascii="Times New Roman" w:hAnsi="Times New Roman" w:cs="Times New Roman"/>
          <w:color w:val="000000" w:themeColor="text1"/>
        </w:rPr>
      </w:pPr>
    </w:p>
    <w:p w14:paraId="39B584E0" w14:textId="7F0A09E4" w:rsidR="00452A49" w:rsidRDefault="00452A49" w:rsidP="00C54BC9">
      <w:pPr>
        <w:spacing w:before="120" w:after="120" w:line="276" w:lineRule="auto"/>
        <w:ind w:firstLine="720"/>
        <w:jc w:val="both"/>
        <w:rPr>
          <w:rFonts w:ascii="Times New Roman" w:hAnsi="Times New Roman" w:cs="Times New Roman"/>
          <w:color w:val="000000" w:themeColor="text1"/>
        </w:rPr>
      </w:pPr>
    </w:p>
    <w:p w14:paraId="3F2A6E88" w14:textId="77777777" w:rsidR="00452A49" w:rsidRPr="00164238" w:rsidRDefault="00452A49" w:rsidP="00C54BC9">
      <w:pPr>
        <w:spacing w:before="120" w:after="120" w:line="276" w:lineRule="auto"/>
        <w:ind w:firstLine="720"/>
        <w:jc w:val="both"/>
        <w:rPr>
          <w:rFonts w:ascii="Times New Roman" w:hAnsi="Times New Roman" w:cs="Times New Roman"/>
          <w:color w:val="000000" w:themeColor="text1"/>
        </w:rPr>
      </w:pPr>
    </w:p>
    <w:p w14:paraId="375F6546" w14:textId="77777777" w:rsidR="00C54BC9" w:rsidRPr="00164238" w:rsidRDefault="00C54BC9" w:rsidP="00C54BC9">
      <w:pPr>
        <w:spacing w:line="276" w:lineRule="auto"/>
        <w:jc w:val="both"/>
        <w:rPr>
          <w:rFonts w:ascii="Times New Roman" w:hAnsi="Times New Roman" w:cs="Times New Roman"/>
          <w:color w:val="000000" w:themeColor="text1"/>
        </w:rPr>
      </w:pPr>
      <w:r w:rsidRPr="00164238">
        <w:rPr>
          <w:rFonts w:ascii="Times New Roman" w:hAnsi="Times New Roman" w:cs="Times New Roman"/>
          <w:i/>
          <w:color w:val="000000" w:themeColor="text1"/>
        </w:rPr>
        <w:lastRenderedPageBreak/>
        <w:t>Table 4.</w:t>
      </w:r>
      <w:r w:rsidRPr="00164238">
        <w:rPr>
          <w:rFonts w:ascii="Times New Roman" w:hAnsi="Times New Roman" w:cs="Times New Roman"/>
          <w:color w:val="000000" w:themeColor="text1"/>
        </w:rPr>
        <w:t xml:space="preserve"> Claim Ratio by Line of Business </w:t>
      </w:r>
    </w:p>
    <w:tbl>
      <w:tblPr>
        <w:tblW w:w="5000" w:type="pct"/>
        <w:tblCellMar>
          <w:left w:w="0" w:type="dxa"/>
          <w:right w:w="0" w:type="dxa"/>
        </w:tblCellMar>
        <w:tblLook w:val="0600" w:firstRow="0" w:lastRow="0" w:firstColumn="0" w:lastColumn="0" w:noHBand="1" w:noVBand="1"/>
      </w:tblPr>
      <w:tblGrid>
        <w:gridCol w:w="2334"/>
        <w:gridCol w:w="1079"/>
        <w:gridCol w:w="1078"/>
        <w:gridCol w:w="899"/>
        <w:gridCol w:w="1079"/>
        <w:gridCol w:w="1083"/>
        <w:gridCol w:w="933"/>
      </w:tblGrid>
      <w:tr w:rsidR="00164238" w:rsidRPr="00164238" w14:paraId="69E0F498" w14:textId="77777777" w:rsidTr="00682CBF">
        <w:trPr>
          <w:trHeight w:val="20"/>
        </w:trPr>
        <w:tc>
          <w:tcPr>
            <w:tcW w:w="1375" w:type="pct"/>
            <w:vMerge w:val="restart"/>
            <w:tcBorders>
              <w:top w:val="single" w:sz="8" w:space="0" w:color="000000"/>
              <w:left w:val="single" w:sz="8" w:space="0" w:color="000000"/>
              <w:bottom w:val="single" w:sz="8" w:space="0" w:color="000000"/>
              <w:right w:val="single" w:sz="8" w:space="0" w:color="000000"/>
            </w:tcBorders>
            <w:shd w:val="clear" w:color="auto" w:fill="FFFFFF"/>
            <w:tcMar>
              <w:top w:w="7" w:type="dxa"/>
              <w:left w:w="7" w:type="dxa"/>
              <w:bottom w:w="0" w:type="dxa"/>
              <w:right w:w="7" w:type="dxa"/>
            </w:tcMar>
            <w:vAlign w:val="center"/>
            <w:hideMark/>
          </w:tcPr>
          <w:p w14:paraId="61BCF95B" w14:textId="77777777" w:rsidR="00C54BC9" w:rsidRPr="00164238" w:rsidRDefault="00C54BC9" w:rsidP="00682CBF">
            <w:pPr>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b/>
                <w:bCs/>
                <w:color w:val="000000" w:themeColor="text1"/>
                <w:kern w:val="24"/>
                <w:sz w:val="18"/>
                <w:szCs w:val="18"/>
                <w:lang w:eastAsia="tr-TR"/>
              </w:rPr>
              <w:t>Line of Business</w:t>
            </w:r>
          </w:p>
        </w:tc>
        <w:tc>
          <w:tcPr>
            <w:tcW w:w="1801" w:type="pct"/>
            <w:gridSpan w:val="3"/>
            <w:tcBorders>
              <w:top w:val="single" w:sz="8" w:space="0" w:color="000000"/>
              <w:left w:val="single" w:sz="8" w:space="0" w:color="000000"/>
              <w:bottom w:val="single" w:sz="8" w:space="0" w:color="000000"/>
              <w:right w:val="single" w:sz="8" w:space="0" w:color="000000"/>
            </w:tcBorders>
            <w:shd w:val="clear" w:color="auto" w:fill="FFFFFF"/>
            <w:tcMar>
              <w:top w:w="7" w:type="dxa"/>
              <w:left w:w="7" w:type="dxa"/>
              <w:bottom w:w="0" w:type="dxa"/>
              <w:right w:w="7" w:type="dxa"/>
            </w:tcMar>
            <w:vAlign w:val="center"/>
            <w:hideMark/>
          </w:tcPr>
          <w:p w14:paraId="29B70A7A" w14:textId="77777777" w:rsidR="00C54BC9" w:rsidRPr="00164238" w:rsidRDefault="00C54BC9" w:rsidP="00682CBF">
            <w:pPr>
              <w:jc w:val="center"/>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b/>
                <w:bCs/>
                <w:color w:val="000000" w:themeColor="text1"/>
                <w:kern w:val="24"/>
                <w:sz w:val="18"/>
                <w:szCs w:val="18"/>
                <w:lang w:eastAsia="tr-TR"/>
              </w:rPr>
              <w:t>2020-12</w:t>
            </w:r>
          </w:p>
        </w:tc>
        <w:tc>
          <w:tcPr>
            <w:tcW w:w="1824" w:type="pct"/>
            <w:gridSpan w:val="3"/>
            <w:tcBorders>
              <w:top w:val="single" w:sz="8" w:space="0" w:color="000000"/>
              <w:left w:val="single" w:sz="8" w:space="0" w:color="000000"/>
              <w:bottom w:val="single" w:sz="8" w:space="0" w:color="000000"/>
              <w:right w:val="single" w:sz="8" w:space="0" w:color="000000"/>
            </w:tcBorders>
            <w:shd w:val="clear" w:color="auto" w:fill="FFFFFF"/>
            <w:tcMar>
              <w:top w:w="7" w:type="dxa"/>
              <w:left w:w="7" w:type="dxa"/>
              <w:bottom w:w="0" w:type="dxa"/>
              <w:right w:w="7" w:type="dxa"/>
            </w:tcMar>
            <w:vAlign w:val="center"/>
            <w:hideMark/>
          </w:tcPr>
          <w:p w14:paraId="6E19ABCE" w14:textId="77777777" w:rsidR="00C54BC9" w:rsidRPr="00164238" w:rsidRDefault="00C54BC9" w:rsidP="00682CBF">
            <w:pPr>
              <w:jc w:val="center"/>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b/>
                <w:bCs/>
                <w:color w:val="000000" w:themeColor="text1"/>
                <w:kern w:val="24"/>
                <w:sz w:val="18"/>
                <w:szCs w:val="18"/>
                <w:lang w:eastAsia="tr-TR"/>
              </w:rPr>
              <w:t>2019-12</w:t>
            </w:r>
          </w:p>
        </w:tc>
      </w:tr>
      <w:tr w:rsidR="00164238" w:rsidRPr="00164238" w14:paraId="5EAE9DC9" w14:textId="77777777" w:rsidTr="00682CBF">
        <w:trPr>
          <w:trHeight w:val="20"/>
        </w:trPr>
        <w:tc>
          <w:tcPr>
            <w:tcW w:w="1375" w:type="pct"/>
            <w:vMerge/>
            <w:tcBorders>
              <w:top w:val="single" w:sz="8" w:space="0" w:color="000000"/>
              <w:left w:val="single" w:sz="8" w:space="0" w:color="000000"/>
              <w:bottom w:val="single" w:sz="8" w:space="0" w:color="000000"/>
              <w:right w:val="single" w:sz="8" w:space="0" w:color="000000"/>
            </w:tcBorders>
            <w:vAlign w:val="center"/>
            <w:hideMark/>
          </w:tcPr>
          <w:p w14:paraId="761467AC" w14:textId="77777777" w:rsidR="00C54BC9" w:rsidRPr="00164238" w:rsidRDefault="00C54BC9" w:rsidP="00682CBF">
            <w:pPr>
              <w:rPr>
                <w:rFonts w:ascii="Times New Roman" w:hAnsi="Times New Roman" w:cs="Times New Roman"/>
                <w:color w:val="000000" w:themeColor="text1"/>
                <w:sz w:val="18"/>
                <w:szCs w:val="18"/>
                <w:lang w:eastAsia="tr-TR"/>
              </w:rPr>
            </w:pP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07DA2660" w14:textId="77777777" w:rsidR="00C54BC9" w:rsidRPr="00164238" w:rsidRDefault="00C54BC9" w:rsidP="00682CBF">
            <w:pPr>
              <w:jc w:val="center"/>
              <w:textAlignment w:val="bottom"/>
              <w:rPr>
                <w:rFonts w:ascii="Times New Roman" w:eastAsiaTheme="minorEastAsia" w:hAnsi="Times New Roman" w:cs="Times New Roman"/>
                <w:b/>
                <w:bCs/>
                <w:color w:val="000000" w:themeColor="text1"/>
                <w:kern w:val="24"/>
                <w:sz w:val="18"/>
                <w:szCs w:val="18"/>
                <w:lang w:eastAsia="tr-TR"/>
              </w:rPr>
            </w:pPr>
            <w:r w:rsidRPr="00164238">
              <w:rPr>
                <w:rFonts w:ascii="Times New Roman" w:eastAsiaTheme="minorEastAsia" w:hAnsi="Times New Roman" w:cs="Times New Roman"/>
                <w:b/>
                <w:bCs/>
                <w:color w:val="000000" w:themeColor="text1"/>
                <w:kern w:val="24"/>
                <w:sz w:val="18"/>
                <w:szCs w:val="18"/>
                <w:lang w:eastAsia="tr-TR"/>
              </w:rPr>
              <w:t xml:space="preserve">Earned Premium </w:t>
            </w:r>
          </w:p>
          <w:p w14:paraId="56FEF223" w14:textId="77777777" w:rsidR="00C54BC9" w:rsidRPr="00164238" w:rsidRDefault="00C54BC9" w:rsidP="00682CBF">
            <w:pPr>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mm TRY</w:t>
            </w:r>
          </w:p>
        </w:tc>
        <w:tc>
          <w:tcPr>
            <w:tcW w:w="63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0D9C0A93" w14:textId="77777777" w:rsidR="00C54BC9" w:rsidRPr="00164238" w:rsidRDefault="00C54BC9" w:rsidP="00682CBF">
            <w:pPr>
              <w:jc w:val="center"/>
              <w:textAlignment w:val="bottom"/>
              <w:rPr>
                <w:rFonts w:ascii="Times New Roman" w:eastAsiaTheme="minorEastAsia" w:hAnsi="Times New Roman" w:cs="Times New Roman"/>
                <w:b/>
                <w:bCs/>
                <w:color w:val="000000" w:themeColor="text1"/>
                <w:kern w:val="24"/>
                <w:sz w:val="18"/>
                <w:szCs w:val="18"/>
                <w:lang w:eastAsia="tr-TR"/>
              </w:rPr>
            </w:pPr>
            <w:r w:rsidRPr="00164238">
              <w:rPr>
                <w:rFonts w:ascii="Times New Roman" w:eastAsiaTheme="minorEastAsia" w:hAnsi="Times New Roman" w:cs="Times New Roman"/>
                <w:b/>
                <w:bCs/>
                <w:color w:val="000000" w:themeColor="text1"/>
                <w:kern w:val="24"/>
                <w:sz w:val="18"/>
                <w:szCs w:val="18"/>
                <w:lang w:eastAsia="tr-TR"/>
              </w:rPr>
              <w:t>Claims Incurred</w:t>
            </w:r>
          </w:p>
          <w:p w14:paraId="364E656C" w14:textId="77777777" w:rsidR="00C54BC9" w:rsidRPr="00164238" w:rsidRDefault="00C54BC9" w:rsidP="00682CBF">
            <w:pPr>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mm TRY</w:t>
            </w:r>
          </w:p>
        </w:tc>
        <w:tc>
          <w:tcPr>
            <w:tcW w:w="53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7895A6AA" w14:textId="77777777" w:rsidR="00C54BC9" w:rsidRPr="00164238" w:rsidRDefault="00C54BC9" w:rsidP="00682CBF">
            <w:pPr>
              <w:jc w:val="center"/>
              <w:textAlignment w:val="bottom"/>
              <w:rPr>
                <w:rFonts w:ascii="Times New Roman" w:eastAsiaTheme="minorEastAsia" w:hAnsi="Times New Roman" w:cs="Times New Roman"/>
                <w:b/>
                <w:bCs/>
                <w:color w:val="000000" w:themeColor="text1"/>
                <w:kern w:val="24"/>
                <w:sz w:val="18"/>
                <w:szCs w:val="18"/>
                <w:lang w:eastAsia="tr-TR"/>
              </w:rPr>
            </w:pPr>
            <w:r w:rsidRPr="00164238">
              <w:rPr>
                <w:rFonts w:ascii="Times New Roman" w:eastAsiaTheme="minorEastAsia" w:hAnsi="Times New Roman" w:cs="Times New Roman"/>
                <w:b/>
                <w:bCs/>
                <w:color w:val="000000" w:themeColor="text1"/>
                <w:kern w:val="24"/>
                <w:sz w:val="18"/>
                <w:szCs w:val="18"/>
                <w:lang w:eastAsia="tr-TR"/>
              </w:rPr>
              <w:t xml:space="preserve">Claim </w:t>
            </w:r>
          </w:p>
          <w:p w14:paraId="2027BE12" w14:textId="77777777" w:rsidR="00C54BC9" w:rsidRPr="00164238" w:rsidRDefault="00C54BC9" w:rsidP="00682CBF">
            <w:pPr>
              <w:jc w:val="center"/>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b/>
                <w:bCs/>
                <w:color w:val="000000" w:themeColor="text1"/>
                <w:kern w:val="24"/>
                <w:sz w:val="18"/>
                <w:szCs w:val="18"/>
                <w:lang w:eastAsia="tr-TR"/>
              </w:rPr>
              <w:t xml:space="preserve">Ratio </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2FB38B30" w14:textId="77777777" w:rsidR="00C54BC9" w:rsidRPr="00164238" w:rsidRDefault="00C54BC9" w:rsidP="00682CBF">
            <w:pPr>
              <w:jc w:val="center"/>
              <w:textAlignment w:val="bottom"/>
              <w:rPr>
                <w:rFonts w:ascii="Times New Roman" w:eastAsiaTheme="minorEastAsia" w:hAnsi="Times New Roman" w:cs="Times New Roman"/>
                <w:b/>
                <w:bCs/>
                <w:color w:val="000000" w:themeColor="text1"/>
                <w:kern w:val="24"/>
                <w:sz w:val="18"/>
                <w:szCs w:val="18"/>
                <w:lang w:eastAsia="tr-TR"/>
              </w:rPr>
            </w:pPr>
            <w:r w:rsidRPr="00164238">
              <w:rPr>
                <w:rFonts w:ascii="Times New Roman" w:eastAsiaTheme="minorEastAsia" w:hAnsi="Times New Roman" w:cs="Times New Roman"/>
                <w:b/>
                <w:bCs/>
                <w:color w:val="000000" w:themeColor="text1"/>
                <w:kern w:val="24"/>
                <w:sz w:val="18"/>
                <w:szCs w:val="18"/>
                <w:lang w:eastAsia="tr-TR"/>
              </w:rPr>
              <w:t xml:space="preserve">Earned Premium </w:t>
            </w:r>
          </w:p>
          <w:p w14:paraId="15EF7154" w14:textId="77777777" w:rsidR="00C54BC9" w:rsidRPr="00164238" w:rsidRDefault="00C54BC9" w:rsidP="00682CBF">
            <w:pPr>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mm TRY</w:t>
            </w:r>
          </w:p>
        </w:tc>
        <w:tc>
          <w:tcPr>
            <w:tcW w:w="63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1DDB6288" w14:textId="77777777" w:rsidR="00C54BC9" w:rsidRPr="00164238" w:rsidRDefault="00C54BC9" w:rsidP="00682CBF">
            <w:pPr>
              <w:jc w:val="center"/>
              <w:textAlignment w:val="bottom"/>
              <w:rPr>
                <w:rFonts w:ascii="Times New Roman" w:eastAsiaTheme="minorEastAsia" w:hAnsi="Times New Roman" w:cs="Times New Roman"/>
                <w:b/>
                <w:bCs/>
                <w:color w:val="000000" w:themeColor="text1"/>
                <w:kern w:val="24"/>
                <w:sz w:val="18"/>
                <w:szCs w:val="18"/>
                <w:lang w:eastAsia="tr-TR"/>
              </w:rPr>
            </w:pPr>
            <w:r w:rsidRPr="00164238">
              <w:rPr>
                <w:rFonts w:ascii="Times New Roman" w:eastAsiaTheme="minorEastAsia" w:hAnsi="Times New Roman" w:cs="Times New Roman"/>
                <w:b/>
                <w:bCs/>
                <w:color w:val="000000" w:themeColor="text1"/>
                <w:kern w:val="24"/>
                <w:sz w:val="18"/>
                <w:szCs w:val="18"/>
                <w:lang w:eastAsia="tr-TR"/>
              </w:rPr>
              <w:t xml:space="preserve">Claims Incurred </w:t>
            </w:r>
          </w:p>
          <w:p w14:paraId="045FCC08" w14:textId="77777777" w:rsidR="00C54BC9" w:rsidRPr="00164238" w:rsidRDefault="00C54BC9" w:rsidP="00682CBF">
            <w:pPr>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mm TRY</w:t>
            </w:r>
          </w:p>
        </w:tc>
        <w:tc>
          <w:tcPr>
            <w:tcW w:w="55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6A231377" w14:textId="77777777" w:rsidR="00C54BC9" w:rsidRPr="00164238" w:rsidRDefault="00C54BC9" w:rsidP="00682CBF">
            <w:pPr>
              <w:jc w:val="center"/>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b/>
                <w:bCs/>
                <w:color w:val="000000" w:themeColor="text1"/>
                <w:kern w:val="24"/>
                <w:sz w:val="18"/>
                <w:szCs w:val="18"/>
                <w:lang w:eastAsia="tr-TR"/>
              </w:rPr>
              <w:t xml:space="preserve">Claim Ratio </w:t>
            </w:r>
          </w:p>
        </w:tc>
      </w:tr>
      <w:tr w:rsidR="00164238" w:rsidRPr="00164238" w14:paraId="76B72B11" w14:textId="77777777" w:rsidTr="00682CBF">
        <w:trPr>
          <w:trHeight w:val="20"/>
        </w:trPr>
        <w:tc>
          <w:tcPr>
            <w:tcW w:w="1375" w:type="pct"/>
            <w:tcBorders>
              <w:top w:val="single" w:sz="8" w:space="0" w:color="000000"/>
              <w:left w:val="single" w:sz="8" w:space="0" w:color="000000"/>
              <w:bottom w:val="single" w:sz="8" w:space="0" w:color="000000"/>
              <w:right w:val="single" w:sz="8" w:space="0" w:color="000000"/>
            </w:tcBorders>
            <w:shd w:val="clear" w:color="auto" w:fill="FFFFFF"/>
            <w:tcMar>
              <w:top w:w="7" w:type="dxa"/>
              <w:left w:w="7" w:type="dxa"/>
              <w:bottom w:w="0" w:type="dxa"/>
              <w:right w:w="7" w:type="dxa"/>
            </w:tcMar>
            <w:vAlign w:val="center"/>
            <w:hideMark/>
          </w:tcPr>
          <w:p w14:paraId="6BE814E3" w14:textId="77777777" w:rsidR="00C54BC9" w:rsidRPr="00164238" w:rsidRDefault="00C54BC9" w:rsidP="00682CBF">
            <w:pPr>
              <w:jc w:val="center"/>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color w:val="000000" w:themeColor="text1"/>
                <w:kern w:val="24"/>
                <w:sz w:val="18"/>
                <w:szCs w:val="18"/>
                <w:lang w:eastAsia="tr-TR"/>
              </w:rPr>
              <w:t xml:space="preserve">Casualty </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417645BF"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2,353.2</w:t>
            </w:r>
          </w:p>
        </w:tc>
        <w:tc>
          <w:tcPr>
            <w:tcW w:w="63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715E7ED5"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(203.9)</w:t>
            </w:r>
          </w:p>
        </w:tc>
        <w:tc>
          <w:tcPr>
            <w:tcW w:w="53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5134B866"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8.7%</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6E93072E"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2,058.4</w:t>
            </w:r>
          </w:p>
        </w:tc>
        <w:tc>
          <w:tcPr>
            <w:tcW w:w="63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19875FA8"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(257.4)</w:t>
            </w:r>
          </w:p>
        </w:tc>
        <w:tc>
          <w:tcPr>
            <w:tcW w:w="55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796D71E4"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12.5%</w:t>
            </w:r>
          </w:p>
        </w:tc>
      </w:tr>
      <w:tr w:rsidR="00164238" w:rsidRPr="00164238" w14:paraId="0E31B28E" w14:textId="77777777" w:rsidTr="00682CBF">
        <w:trPr>
          <w:trHeight w:val="20"/>
        </w:trPr>
        <w:tc>
          <w:tcPr>
            <w:tcW w:w="1375" w:type="pct"/>
            <w:tcBorders>
              <w:top w:val="single" w:sz="8" w:space="0" w:color="000000"/>
              <w:left w:val="single" w:sz="8" w:space="0" w:color="000000"/>
              <w:bottom w:val="single" w:sz="8" w:space="0" w:color="000000"/>
              <w:right w:val="single" w:sz="8" w:space="0" w:color="000000"/>
            </w:tcBorders>
            <w:shd w:val="clear" w:color="auto" w:fill="FFFFFF"/>
            <w:tcMar>
              <w:top w:w="7" w:type="dxa"/>
              <w:left w:w="7" w:type="dxa"/>
              <w:bottom w:w="0" w:type="dxa"/>
              <w:right w:w="7" w:type="dxa"/>
            </w:tcMar>
            <w:vAlign w:val="center"/>
            <w:hideMark/>
          </w:tcPr>
          <w:p w14:paraId="6BFC1319" w14:textId="77777777" w:rsidR="00C54BC9" w:rsidRPr="00164238" w:rsidRDefault="00C54BC9" w:rsidP="00682CBF">
            <w:pPr>
              <w:jc w:val="center"/>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color w:val="000000" w:themeColor="text1"/>
                <w:kern w:val="24"/>
                <w:sz w:val="18"/>
                <w:szCs w:val="18"/>
                <w:lang w:eastAsia="tr-TR"/>
              </w:rPr>
              <w:t xml:space="preserve">Health / Sickness </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4075A3E3"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9,192.8</w:t>
            </w:r>
          </w:p>
        </w:tc>
        <w:tc>
          <w:tcPr>
            <w:tcW w:w="63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7C1D1467"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(5,770.7)</w:t>
            </w:r>
          </w:p>
        </w:tc>
        <w:tc>
          <w:tcPr>
            <w:tcW w:w="53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02A4A490"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62.8%</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0149E695"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7,352.0</w:t>
            </w:r>
          </w:p>
        </w:tc>
        <w:tc>
          <w:tcPr>
            <w:tcW w:w="63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0B1F9370"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(5,541.5)</w:t>
            </w:r>
          </w:p>
        </w:tc>
        <w:tc>
          <w:tcPr>
            <w:tcW w:w="55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5567E7BA"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75.4%</w:t>
            </w:r>
          </w:p>
        </w:tc>
      </w:tr>
      <w:tr w:rsidR="00164238" w:rsidRPr="00164238" w14:paraId="46BF1C08" w14:textId="77777777" w:rsidTr="00682CBF">
        <w:trPr>
          <w:trHeight w:val="20"/>
        </w:trPr>
        <w:tc>
          <w:tcPr>
            <w:tcW w:w="1375" w:type="pct"/>
            <w:tcBorders>
              <w:top w:val="single" w:sz="8" w:space="0" w:color="000000"/>
              <w:left w:val="single" w:sz="8" w:space="0" w:color="000000"/>
              <w:bottom w:val="single" w:sz="8" w:space="0" w:color="000000"/>
              <w:right w:val="single" w:sz="8" w:space="0" w:color="000000"/>
            </w:tcBorders>
            <w:shd w:val="clear" w:color="auto" w:fill="FFFFFF"/>
            <w:tcMar>
              <w:top w:w="7" w:type="dxa"/>
              <w:left w:w="7" w:type="dxa"/>
              <w:bottom w:w="0" w:type="dxa"/>
              <w:right w:w="7" w:type="dxa"/>
            </w:tcMar>
            <w:vAlign w:val="center"/>
            <w:hideMark/>
          </w:tcPr>
          <w:p w14:paraId="239BB16D" w14:textId="77777777" w:rsidR="00C54BC9" w:rsidRPr="00164238" w:rsidRDefault="00C54BC9" w:rsidP="00682CBF">
            <w:pPr>
              <w:jc w:val="center"/>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color w:val="000000" w:themeColor="text1"/>
                <w:kern w:val="24"/>
                <w:sz w:val="18"/>
                <w:szCs w:val="18"/>
                <w:lang w:eastAsia="tr-TR"/>
              </w:rPr>
              <w:t>Motor Vehicles</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26F27326"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9,797.4</w:t>
            </w:r>
          </w:p>
        </w:tc>
        <w:tc>
          <w:tcPr>
            <w:tcW w:w="63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3E383665"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(6,292.1)</w:t>
            </w:r>
          </w:p>
        </w:tc>
        <w:tc>
          <w:tcPr>
            <w:tcW w:w="53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0D8BA65F"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64.2%</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417A50A5"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8,603.9</w:t>
            </w:r>
          </w:p>
        </w:tc>
        <w:tc>
          <w:tcPr>
            <w:tcW w:w="63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0C74A462"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(5,766.6)</w:t>
            </w:r>
          </w:p>
        </w:tc>
        <w:tc>
          <w:tcPr>
            <w:tcW w:w="55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71D3004A"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67.0%</w:t>
            </w:r>
          </w:p>
        </w:tc>
      </w:tr>
      <w:tr w:rsidR="00164238" w:rsidRPr="00164238" w14:paraId="59A22EBB" w14:textId="77777777" w:rsidTr="00682CBF">
        <w:trPr>
          <w:trHeight w:val="20"/>
        </w:trPr>
        <w:tc>
          <w:tcPr>
            <w:tcW w:w="1375" w:type="pct"/>
            <w:tcBorders>
              <w:top w:val="single" w:sz="8" w:space="0" w:color="000000"/>
              <w:left w:val="single" w:sz="8" w:space="0" w:color="000000"/>
              <w:bottom w:val="single" w:sz="8" w:space="0" w:color="000000"/>
              <w:right w:val="single" w:sz="8" w:space="0" w:color="000000"/>
            </w:tcBorders>
            <w:shd w:val="clear" w:color="auto" w:fill="FFFFFF"/>
            <w:tcMar>
              <w:top w:w="7" w:type="dxa"/>
              <w:left w:w="7" w:type="dxa"/>
              <w:bottom w:w="0" w:type="dxa"/>
              <w:right w:w="7" w:type="dxa"/>
            </w:tcMar>
            <w:vAlign w:val="center"/>
            <w:hideMark/>
          </w:tcPr>
          <w:p w14:paraId="2CA33034" w14:textId="77777777" w:rsidR="00C54BC9" w:rsidRPr="00164238" w:rsidRDefault="00C54BC9" w:rsidP="00682CBF">
            <w:pPr>
              <w:jc w:val="center"/>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color w:val="000000" w:themeColor="text1"/>
                <w:kern w:val="24"/>
                <w:sz w:val="18"/>
                <w:szCs w:val="18"/>
                <w:lang w:eastAsia="tr-TR"/>
              </w:rPr>
              <w:t>Railway Vehicles</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0B7D17CE"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0.0</w:t>
            </w:r>
          </w:p>
        </w:tc>
        <w:tc>
          <w:tcPr>
            <w:tcW w:w="63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5906F64D"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(0.1)</w:t>
            </w:r>
          </w:p>
        </w:tc>
        <w:tc>
          <w:tcPr>
            <w:tcW w:w="53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7B23D836"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-767.1%</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292A9391"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0.0</w:t>
            </w:r>
          </w:p>
        </w:tc>
        <w:tc>
          <w:tcPr>
            <w:tcW w:w="63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616BF691"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(0.0)</w:t>
            </w:r>
          </w:p>
        </w:tc>
        <w:tc>
          <w:tcPr>
            <w:tcW w:w="55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05DF112A"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88.6%</w:t>
            </w:r>
          </w:p>
        </w:tc>
      </w:tr>
      <w:tr w:rsidR="00164238" w:rsidRPr="00164238" w14:paraId="68CECD92" w14:textId="77777777" w:rsidTr="00682CBF">
        <w:trPr>
          <w:trHeight w:val="20"/>
        </w:trPr>
        <w:tc>
          <w:tcPr>
            <w:tcW w:w="1375" w:type="pct"/>
            <w:tcBorders>
              <w:top w:val="single" w:sz="8" w:space="0" w:color="000000"/>
              <w:left w:val="single" w:sz="8" w:space="0" w:color="000000"/>
              <w:bottom w:val="single" w:sz="8" w:space="0" w:color="000000"/>
              <w:right w:val="single" w:sz="8" w:space="0" w:color="000000"/>
            </w:tcBorders>
            <w:shd w:val="clear" w:color="auto" w:fill="FFFFFF"/>
            <w:tcMar>
              <w:top w:w="7" w:type="dxa"/>
              <w:left w:w="7" w:type="dxa"/>
              <w:bottom w:w="0" w:type="dxa"/>
              <w:right w:w="7" w:type="dxa"/>
            </w:tcMar>
            <w:vAlign w:val="center"/>
            <w:hideMark/>
          </w:tcPr>
          <w:p w14:paraId="3DE797CC" w14:textId="77777777" w:rsidR="00C54BC9" w:rsidRPr="00164238" w:rsidRDefault="00C54BC9" w:rsidP="00682CBF">
            <w:pPr>
              <w:jc w:val="center"/>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color w:val="000000" w:themeColor="text1"/>
                <w:kern w:val="24"/>
                <w:sz w:val="18"/>
                <w:szCs w:val="18"/>
                <w:lang w:eastAsia="tr-TR"/>
              </w:rPr>
              <w:t>Aviation</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78B73B1B"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275.3</w:t>
            </w:r>
          </w:p>
        </w:tc>
        <w:tc>
          <w:tcPr>
            <w:tcW w:w="63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28637E62"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(408.7)</w:t>
            </w:r>
          </w:p>
        </w:tc>
        <w:tc>
          <w:tcPr>
            <w:tcW w:w="53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0BF44DF2"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148.5%</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365EF64F"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178.6</w:t>
            </w:r>
          </w:p>
        </w:tc>
        <w:tc>
          <w:tcPr>
            <w:tcW w:w="63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741C13C8"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(416.0)</w:t>
            </w:r>
          </w:p>
        </w:tc>
        <w:tc>
          <w:tcPr>
            <w:tcW w:w="55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742FCCC0"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232.9%</w:t>
            </w:r>
          </w:p>
        </w:tc>
      </w:tr>
      <w:tr w:rsidR="00164238" w:rsidRPr="00164238" w14:paraId="57458C8D" w14:textId="77777777" w:rsidTr="00682CBF">
        <w:trPr>
          <w:trHeight w:val="20"/>
        </w:trPr>
        <w:tc>
          <w:tcPr>
            <w:tcW w:w="1375" w:type="pct"/>
            <w:tcBorders>
              <w:top w:val="single" w:sz="8" w:space="0" w:color="000000"/>
              <w:left w:val="single" w:sz="8" w:space="0" w:color="000000"/>
              <w:bottom w:val="single" w:sz="8" w:space="0" w:color="000000"/>
              <w:right w:val="single" w:sz="8" w:space="0" w:color="000000"/>
            </w:tcBorders>
            <w:shd w:val="clear" w:color="auto" w:fill="FFFFFF"/>
            <w:tcMar>
              <w:top w:w="7" w:type="dxa"/>
              <w:left w:w="7" w:type="dxa"/>
              <w:bottom w:w="0" w:type="dxa"/>
              <w:right w:w="7" w:type="dxa"/>
            </w:tcMar>
            <w:vAlign w:val="center"/>
            <w:hideMark/>
          </w:tcPr>
          <w:p w14:paraId="60B14290" w14:textId="77777777" w:rsidR="00C54BC9" w:rsidRPr="00164238" w:rsidRDefault="00C54BC9" w:rsidP="00682CBF">
            <w:pPr>
              <w:jc w:val="center"/>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color w:val="000000" w:themeColor="text1"/>
                <w:kern w:val="24"/>
                <w:sz w:val="18"/>
                <w:szCs w:val="18"/>
                <w:lang w:eastAsia="tr-TR"/>
              </w:rPr>
              <w:t>Hull And Machinery</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0B537711"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528.5</w:t>
            </w:r>
          </w:p>
        </w:tc>
        <w:tc>
          <w:tcPr>
            <w:tcW w:w="63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1C0B781B"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(420.5)</w:t>
            </w:r>
          </w:p>
        </w:tc>
        <w:tc>
          <w:tcPr>
            <w:tcW w:w="53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7F0B6EBC"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79.6%</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74A414B6"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327.2</w:t>
            </w:r>
          </w:p>
        </w:tc>
        <w:tc>
          <w:tcPr>
            <w:tcW w:w="63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55BB720B"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(400.1)</w:t>
            </w:r>
          </w:p>
        </w:tc>
        <w:tc>
          <w:tcPr>
            <w:tcW w:w="55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1312E771"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122.3%</w:t>
            </w:r>
          </w:p>
        </w:tc>
      </w:tr>
      <w:tr w:rsidR="00164238" w:rsidRPr="00164238" w14:paraId="506A02F4" w14:textId="77777777" w:rsidTr="00682CBF">
        <w:trPr>
          <w:trHeight w:val="20"/>
        </w:trPr>
        <w:tc>
          <w:tcPr>
            <w:tcW w:w="1375" w:type="pct"/>
            <w:tcBorders>
              <w:top w:val="single" w:sz="8" w:space="0" w:color="000000"/>
              <w:left w:val="single" w:sz="8" w:space="0" w:color="000000"/>
              <w:bottom w:val="single" w:sz="8" w:space="0" w:color="000000"/>
              <w:right w:val="single" w:sz="8" w:space="0" w:color="000000"/>
            </w:tcBorders>
            <w:shd w:val="clear" w:color="auto" w:fill="FFFFFF"/>
            <w:tcMar>
              <w:top w:w="7" w:type="dxa"/>
              <w:left w:w="7" w:type="dxa"/>
              <w:bottom w:w="0" w:type="dxa"/>
              <w:right w:w="7" w:type="dxa"/>
            </w:tcMar>
            <w:vAlign w:val="center"/>
            <w:hideMark/>
          </w:tcPr>
          <w:p w14:paraId="222DE766" w14:textId="77777777" w:rsidR="00C54BC9" w:rsidRPr="00164238" w:rsidRDefault="00C54BC9" w:rsidP="00682CBF">
            <w:pPr>
              <w:jc w:val="center"/>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color w:val="000000" w:themeColor="text1"/>
                <w:kern w:val="24"/>
                <w:sz w:val="18"/>
                <w:szCs w:val="18"/>
                <w:lang w:eastAsia="tr-TR"/>
              </w:rPr>
              <w:t>Transport</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5612F64A"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1,108.2</w:t>
            </w:r>
          </w:p>
        </w:tc>
        <w:tc>
          <w:tcPr>
            <w:tcW w:w="63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307F649A"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(671.5)</w:t>
            </w:r>
          </w:p>
        </w:tc>
        <w:tc>
          <w:tcPr>
            <w:tcW w:w="53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22433B1E"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60.6%</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083FB935"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916.0</w:t>
            </w:r>
          </w:p>
        </w:tc>
        <w:tc>
          <w:tcPr>
            <w:tcW w:w="63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0FB0C86D"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(481.1)</w:t>
            </w:r>
          </w:p>
        </w:tc>
        <w:tc>
          <w:tcPr>
            <w:tcW w:w="55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0C05AA7C"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52.5%</w:t>
            </w:r>
          </w:p>
        </w:tc>
      </w:tr>
      <w:tr w:rsidR="00164238" w:rsidRPr="00164238" w14:paraId="2DD23302" w14:textId="77777777" w:rsidTr="00682CBF">
        <w:trPr>
          <w:trHeight w:val="20"/>
        </w:trPr>
        <w:tc>
          <w:tcPr>
            <w:tcW w:w="1375" w:type="pct"/>
            <w:tcBorders>
              <w:top w:val="single" w:sz="8" w:space="0" w:color="000000"/>
              <w:left w:val="single" w:sz="8" w:space="0" w:color="000000"/>
              <w:bottom w:val="single" w:sz="8" w:space="0" w:color="000000"/>
              <w:right w:val="single" w:sz="8" w:space="0" w:color="000000"/>
            </w:tcBorders>
            <w:shd w:val="clear" w:color="auto" w:fill="FFFFFF"/>
            <w:tcMar>
              <w:top w:w="7" w:type="dxa"/>
              <w:left w:w="7" w:type="dxa"/>
              <w:bottom w:w="0" w:type="dxa"/>
              <w:right w:w="7" w:type="dxa"/>
            </w:tcMar>
            <w:vAlign w:val="center"/>
            <w:hideMark/>
          </w:tcPr>
          <w:p w14:paraId="0E00356B" w14:textId="77777777" w:rsidR="00C54BC9" w:rsidRPr="00164238" w:rsidRDefault="00C54BC9" w:rsidP="00682CBF">
            <w:pPr>
              <w:jc w:val="center"/>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color w:val="000000" w:themeColor="text1"/>
                <w:kern w:val="24"/>
                <w:sz w:val="18"/>
                <w:szCs w:val="18"/>
                <w:lang w:eastAsia="tr-TR"/>
              </w:rPr>
              <w:t xml:space="preserve">Fire and Natural Disasters </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390DF721"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9,343.6</w:t>
            </w:r>
          </w:p>
        </w:tc>
        <w:tc>
          <w:tcPr>
            <w:tcW w:w="63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67CE7BBC"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(4,195.4)</w:t>
            </w:r>
          </w:p>
        </w:tc>
        <w:tc>
          <w:tcPr>
            <w:tcW w:w="53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776DD7D3"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bCs/>
                <w:color w:val="000000" w:themeColor="text1"/>
                <w:kern w:val="24"/>
                <w:sz w:val="18"/>
                <w:szCs w:val="18"/>
                <w:lang w:eastAsia="tr-TR"/>
              </w:rPr>
              <w:t>44.9%</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4BFDB582"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7,815.1</w:t>
            </w:r>
          </w:p>
        </w:tc>
        <w:tc>
          <w:tcPr>
            <w:tcW w:w="63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5F291FCE"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(2,911.1)</w:t>
            </w:r>
          </w:p>
        </w:tc>
        <w:tc>
          <w:tcPr>
            <w:tcW w:w="55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47B60B09"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37.2%</w:t>
            </w:r>
          </w:p>
        </w:tc>
      </w:tr>
      <w:tr w:rsidR="00164238" w:rsidRPr="00164238" w14:paraId="5600F083" w14:textId="77777777" w:rsidTr="00682CBF">
        <w:trPr>
          <w:trHeight w:val="20"/>
        </w:trPr>
        <w:tc>
          <w:tcPr>
            <w:tcW w:w="1375" w:type="pct"/>
            <w:tcBorders>
              <w:top w:val="single" w:sz="8" w:space="0" w:color="000000"/>
              <w:left w:val="single" w:sz="8" w:space="0" w:color="000000"/>
              <w:bottom w:val="single" w:sz="8" w:space="0" w:color="000000"/>
              <w:right w:val="single" w:sz="8" w:space="0" w:color="000000"/>
            </w:tcBorders>
            <w:shd w:val="clear" w:color="auto" w:fill="FFFFFF"/>
            <w:tcMar>
              <w:top w:w="7" w:type="dxa"/>
              <w:left w:w="7" w:type="dxa"/>
              <w:bottom w:w="0" w:type="dxa"/>
              <w:right w:w="7" w:type="dxa"/>
            </w:tcMar>
            <w:vAlign w:val="center"/>
            <w:hideMark/>
          </w:tcPr>
          <w:p w14:paraId="73FBAC4A" w14:textId="77777777" w:rsidR="00C54BC9" w:rsidRPr="00164238" w:rsidRDefault="00C54BC9" w:rsidP="00682CBF">
            <w:pPr>
              <w:jc w:val="center"/>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color w:val="000000" w:themeColor="text1"/>
                <w:kern w:val="24"/>
                <w:sz w:val="18"/>
                <w:szCs w:val="18"/>
                <w:lang w:eastAsia="tr-TR"/>
              </w:rPr>
              <w:t>General Damages</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190D878D"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6,702.4</w:t>
            </w:r>
          </w:p>
        </w:tc>
        <w:tc>
          <w:tcPr>
            <w:tcW w:w="63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3715D8A8"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(2,708.8)</w:t>
            </w:r>
          </w:p>
        </w:tc>
        <w:tc>
          <w:tcPr>
            <w:tcW w:w="53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5C2573DB"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bCs/>
                <w:color w:val="000000" w:themeColor="text1"/>
                <w:kern w:val="24"/>
                <w:sz w:val="18"/>
                <w:szCs w:val="18"/>
                <w:lang w:eastAsia="tr-TR"/>
              </w:rPr>
              <w:t>40.4%</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23DA75B2"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5,597.4</w:t>
            </w:r>
          </w:p>
        </w:tc>
        <w:tc>
          <w:tcPr>
            <w:tcW w:w="63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0EE1FF0A"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(2,163.5)</w:t>
            </w:r>
          </w:p>
        </w:tc>
        <w:tc>
          <w:tcPr>
            <w:tcW w:w="55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0F01E027"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38.7%</w:t>
            </w:r>
          </w:p>
        </w:tc>
      </w:tr>
      <w:tr w:rsidR="00164238" w:rsidRPr="00164238" w14:paraId="73320DDD" w14:textId="77777777" w:rsidTr="00682CBF">
        <w:trPr>
          <w:trHeight w:val="20"/>
        </w:trPr>
        <w:tc>
          <w:tcPr>
            <w:tcW w:w="1375" w:type="pct"/>
            <w:tcBorders>
              <w:top w:val="single" w:sz="8" w:space="0" w:color="000000"/>
              <w:left w:val="single" w:sz="8" w:space="0" w:color="000000"/>
              <w:bottom w:val="single" w:sz="8" w:space="0" w:color="000000"/>
              <w:right w:val="single" w:sz="8" w:space="0" w:color="000000"/>
            </w:tcBorders>
            <w:shd w:val="clear" w:color="auto" w:fill="FFFFFF"/>
            <w:tcMar>
              <w:top w:w="7" w:type="dxa"/>
              <w:left w:w="7" w:type="dxa"/>
              <w:bottom w:w="0" w:type="dxa"/>
              <w:right w:w="7" w:type="dxa"/>
            </w:tcMar>
            <w:vAlign w:val="center"/>
            <w:hideMark/>
          </w:tcPr>
          <w:p w14:paraId="7D17C234" w14:textId="77777777" w:rsidR="00C54BC9" w:rsidRPr="00164238" w:rsidRDefault="00C54BC9" w:rsidP="00682CBF">
            <w:pPr>
              <w:jc w:val="center"/>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color w:val="000000" w:themeColor="text1"/>
                <w:kern w:val="24"/>
                <w:sz w:val="18"/>
                <w:szCs w:val="18"/>
                <w:lang w:eastAsia="tr-TR"/>
              </w:rPr>
              <w:t xml:space="preserve">Motor Vehicles Liability </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13824552"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17,990.6</w:t>
            </w:r>
          </w:p>
        </w:tc>
        <w:tc>
          <w:tcPr>
            <w:tcW w:w="63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07AA1B28"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(15,700.0)</w:t>
            </w:r>
          </w:p>
        </w:tc>
        <w:tc>
          <w:tcPr>
            <w:tcW w:w="53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23E08222"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87.3%</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76ED1975"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15,420.7</w:t>
            </w:r>
          </w:p>
        </w:tc>
        <w:tc>
          <w:tcPr>
            <w:tcW w:w="63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00F685CF"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(15,194.1)</w:t>
            </w:r>
          </w:p>
        </w:tc>
        <w:tc>
          <w:tcPr>
            <w:tcW w:w="55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0C7803AF"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98.5%</w:t>
            </w:r>
          </w:p>
        </w:tc>
      </w:tr>
      <w:tr w:rsidR="00164238" w:rsidRPr="00164238" w14:paraId="04CA8053" w14:textId="77777777" w:rsidTr="00682CBF">
        <w:trPr>
          <w:trHeight w:val="20"/>
        </w:trPr>
        <w:tc>
          <w:tcPr>
            <w:tcW w:w="1375" w:type="pct"/>
            <w:tcBorders>
              <w:top w:val="single" w:sz="8" w:space="0" w:color="000000"/>
              <w:left w:val="single" w:sz="8" w:space="0" w:color="000000"/>
              <w:bottom w:val="single" w:sz="8" w:space="0" w:color="000000"/>
              <w:right w:val="single" w:sz="8" w:space="0" w:color="000000"/>
            </w:tcBorders>
            <w:shd w:val="clear" w:color="auto" w:fill="FFFFFF"/>
            <w:tcMar>
              <w:top w:w="7" w:type="dxa"/>
              <w:left w:w="7" w:type="dxa"/>
              <w:bottom w:w="0" w:type="dxa"/>
              <w:right w:w="7" w:type="dxa"/>
            </w:tcMar>
            <w:vAlign w:val="center"/>
            <w:hideMark/>
          </w:tcPr>
          <w:p w14:paraId="624AD2F4" w14:textId="77777777" w:rsidR="00C54BC9" w:rsidRPr="00164238" w:rsidRDefault="00C54BC9" w:rsidP="00682CBF">
            <w:pPr>
              <w:jc w:val="center"/>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color w:val="000000" w:themeColor="text1"/>
                <w:kern w:val="24"/>
                <w:sz w:val="18"/>
                <w:szCs w:val="18"/>
                <w:lang w:eastAsia="tr-TR"/>
              </w:rPr>
              <w:t xml:space="preserve">Motor TLP Insurance </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6B8BC004"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17,194.1</w:t>
            </w:r>
          </w:p>
        </w:tc>
        <w:tc>
          <w:tcPr>
            <w:tcW w:w="63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6B525070"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(15,078.0)</w:t>
            </w:r>
          </w:p>
        </w:tc>
        <w:tc>
          <w:tcPr>
            <w:tcW w:w="53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4FE4C39C"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bCs/>
                <w:color w:val="000000" w:themeColor="text1"/>
                <w:kern w:val="24"/>
                <w:sz w:val="18"/>
                <w:szCs w:val="18"/>
                <w:lang w:eastAsia="tr-TR"/>
              </w:rPr>
              <w:t>87.7%</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1631194E"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14,800.2</w:t>
            </w:r>
          </w:p>
        </w:tc>
        <w:tc>
          <w:tcPr>
            <w:tcW w:w="63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74A492CF"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(14,701.0)</w:t>
            </w:r>
          </w:p>
        </w:tc>
        <w:tc>
          <w:tcPr>
            <w:tcW w:w="55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68A1085B"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bCs/>
                <w:color w:val="000000" w:themeColor="text1"/>
                <w:kern w:val="24"/>
                <w:sz w:val="18"/>
                <w:szCs w:val="18"/>
                <w:lang w:eastAsia="tr-TR"/>
              </w:rPr>
              <w:t>99.3%</w:t>
            </w:r>
          </w:p>
        </w:tc>
      </w:tr>
      <w:tr w:rsidR="00164238" w:rsidRPr="00164238" w14:paraId="068161B1" w14:textId="77777777" w:rsidTr="00682CBF">
        <w:trPr>
          <w:trHeight w:val="20"/>
        </w:trPr>
        <w:tc>
          <w:tcPr>
            <w:tcW w:w="1375" w:type="pct"/>
            <w:tcBorders>
              <w:top w:val="single" w:sz="8" w:space="0" w:color="000000"/>
              <w:left w:val="single" w:sz="8" w:space="0" w:color="000000"/>
              <w:bottom w:val="single" w:sz="8" w:space="0" w:color="000000"/>
              <w:right w:val="single" w:sz="8" w:space="0" w:color="000000"/>
            </w:tcBorders>
            <w:shd w:val="clear" w:color="auto" w:fill="FFFFFF"/>
            <w:tcMar>
              <w:top w:w="7" w:type="dxa"/>
              <w:left w:w="7" w:type="dxa"/>
              <w:bottom w:w="0" w:type="dxa"/>
              <w:right w:w="7" w:type="dxa"/>
            </w:tcMar>
            <w:vAlign w:val="center"/>
            <w:hideMark/>
          </w:tcPr>
          <w:p w14:paraId="67A9ADE4" w14:textId="77777777" w:rsidR="00C54BC9" w:rsidRPr="00164238" w:rsidRDefault="00C54BC9" w:rsidP="00682CBF">
            <w:pPr>
              <w:jc w:val="center"/>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color w:val="000000" w:themeColor="text1"/>
                <w:kern w:val="24"/>
                <w:sz w:val="18"/>
                <w:szCs w:val="18"/>
                <w:lang w:eastAsia="tr-TR"/>
              </w:rPr>
              <w:t xml:space="preserve">Aviation Liability </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7380F771"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(470.8)</w:t>
            </w:r>
          </w:p>
        </w:tc>
        <w:tc>
          <w:tcPr>
            <w:tcW w:w="63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35A18E4E"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(103.5)</w:t>
            </w:r>
          </w:p>
        </w:tc>
        <w:tc>
          <w:tcPr>
            <w:tcW w:w="53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11DD21AD"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-22.0%</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6B61AD6E"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282.9</w:t>
            </w:r>
          </w:p>
        </w:tc>
        <w:tc>
          <w:tcPr>
            <w:tcW w:w="63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1D474F06"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(69.2)</w:t>
            </w:r>
          </w:p>
        </w:tc>
        <w:tc>
          <w:tcPr>
            <w:tcW w:w="55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53AF489C"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24.5%</w:t>
            </w:r>
          </w:p>
        </w:tc>
      </w:tr>
      <w:tr w:rsidR="00164238" w:rsidRPr="00164238" w14:paraId="4115780A" w14:textId="77777777" w:rsidTr="00682CBF">
        <w:trPr>
          <w:trHeight w:val="20"/>
        </w:trPr>
        <w:tc>
          <w:tcPr>
            <w:tcW w:w="1375" w:type="pct"/>
            <w:tcBorders>
              <w:top w:val="single" w:sz="8" w:space="0" w:color="000000"/>
              <w:left w:val="single" w:sz="8" w:space="0" w:color="000000"/>
              <w:bottom w:val="single" w:sz="8" w:space="0" w:color="000000"/>
              <w:right w:val="single" w:sz="8" w:space="0" w:color="000000"/>
            </w:tcBorders>
            <w:shd w:val="clear" w:color="auto" w:fill="FFFFFF"/>
            <w:tcMar>
              <w:top w:w="7" w:type="dxa"/>
              <w:left w:w="7" w:type="dxa"/>
              <w:bottom w:w="0" w:type="dxa"/>
              <w:right w:w="7" w:type="dxa"/>
            </w:tcMar>
            <w:vAlign w:val="center"/>
            <w:hideMark/>
          </w:tcPr>
          <w:p w14:paraId="2C8D6EB0" w14:textId="77777777" w:rsidR="00C54BC9" w:rsidRPr="00164238" w:rsidRDefault="00C54BC9" w:rsidP="00682CBF">
            <w:pPr>
              <w:jc w:val="center"/>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color w:val="000000" w:themeColor="text1"/>
                <w:kern w:val="24"/>
                <w:sz w:val="18"/>
                <w:szCs w:val="18"/>
                <w:lang w:eastAsia="tr-TR"/>
              </w:rPr>
              <w:t>P&amp;L Liability</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48DC0FEF"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50.4</w:t>
            </w:r>
          </w:p>
        </w:tc>
        <w:tc>
          <w:tcPr>
            <w:tcW w:w="63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3D5C0DEE"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(30.3)</w:t>
            </w:r>
          </w:p>
        </w:tc>
        <w:tc>
          <w:tcPr>
            <w:tcW w:w="53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0F8F2F97"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60.2%</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03217C51"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39.7</w:t>
            </w:r>
          </w:p>
        </w:tc>
        <w:tc>
          <w:tcPr>
            <w:tcW w:w="63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36AAD557"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(34.8)</w:t>
            </w:r>
          </w:p>
        </w:tc>
        <w:tc>
          <w:tcPr>
            <w:tcW w:w="55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52C74100"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87.6%</w:t>
            </w:r>
          </w:p>
        </w:tc>
      </w:tr>
      <w:tr w:rsidR="00164238" w:rsidRPr="00164238" w14:paraId="20C38950" w14:textId="77777777" w:rsidTr="00682CBF">
        <w:trPr>
          <w:trHeight w:val="20"/>
        </w:trPr>
        <w:tc>
          <w:tcPr>
            <w:tcW w:w="1375" w:type="pct"/>
            <w:tcBorders>
              <w:top w:val="single" w:sz="8" w:space="0" w:color="000000"/>
              <w:left w:val="single" w:sz="8" w:space="0" w:color="000000"/>
              <w:bottom w:val="single" w:sz="8" w:space="0" w:color="000000"/>
              <w:right w:val="single" w:sz="8" w:space="0" w:color="000000"/>
            </w:tcBorders>
            <w:shd w:val="clear" w:color="auto" w:fill="FFFFFF"/>
            <w:tcMar>
              <w:top w:w="7" w:type="dxa"/>
              <w:left w:w="7" w:type="dxa"/>
              <w:bottom w:w="0" w:type="dxa"/>
              <w:right w:w="7" w:type="dxa"/>
            </w:tcMar>
            <w:vAlign w:val="center"/>
            <w:hideMark/>
          </w:tcPr>
          <w:p w14:paraId="6FAAE5B5" w14:textId="77777777" w:rsidR="00C54BC9" w:rsidRPr="00164238" w:rsidRDefault="00C54BC9" w:rsidP="00682CBF">
            <w:pPr>
              <w:jc w:val="center"/>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color w:val="000000" w:themeColor="text1"/>
                <w:kern w:val="24"/>
                <w:sz w:val="18"/>
                <w:szCs w:val="18"/>
                <w:lang w:eastAsia="tr-TR"/>
              </w:rPr>
              <w:t xml:space="preserve">General Liability </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0A3B34F0"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1,771.2</w:t>
            </w:r>
          </w:p>
        </w:tc>
        <w:tc>
          <w:tcPr>
            <w:tcW w:w="63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1C6A891F"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(2,357.8)</w:t>
            </w:r>
          </w:p>
        </w:tc>
        <w:tc>
          <w:tcPr>
            <w:tcW w:w="53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3E1B2B00"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133.1%</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334D7671"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1,531.0</w:t>
            </w:r>
          </w:p>
        </w:tc>
        <w:tc>
          <w:tcPr>
            <w:tcW w:w="63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3DC5A5EB"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(2,285.4)</w:t>
            </w:r>
          </w:p>
        </w:tc>
        <w:tc>
          <w:tcPr>
            <w:tcW w:w="55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627AEC2E"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149.3%</w:t>
            </w:r>
          </w:p>
        </w:tc>
      </w:tr>
      <w:tr w:rsidR="00164238" w:rsidRPr="00164238" w14:paraId="6C847CA4" w14:textId="77777777" w:rsidTr="00682CBF">
        <w:trPr>
          <w:trHeight w:val="20"/>
        </w:trPr>
        <w:tc>
          <w:tcPr>
            <w:tcW w:w="1375" w:type="pct"/>
            <w:tcBorders>
              <w:top w:val="single" w:sz="8" w:space="0" w:color="000000"/>
              <w:left w:val="single" w:sz="8" w:space="0" w:color="000000"/>
              <w:bottom w:val="single" w:sz="8" w:space="0" w:color="000000"/>
              <w:right w:val="single" w:sz="8" w:space="0" w:color="000000"/>
            </w:tcBorders>
            <w:shd w:val="clear" w:color="auto" w:fill="FFFFFF"/>
            <w:tcMar>
              <w:top w:w="7" w:type="dxa"/>
              <w:left w:w="7" w:type="dxa"/>
              <w:bottom w:w="0" w:type="dxa"/>
              <w:right w:w="7" w:type="dxa"/>
            </w:tcMar>
            <w:vAlign w:val="center"/>
            <w:hideMark/>
          </w:tcPr>
          <w:p w14:paraId="08778B6C" w14:textId="77777777" w:rsidR="00C54BC9" w:rsidRPr="00164238" w:rsidRDefault="00C54BC9" w:rsidP="00682CBF">
            <w:pPr>
              <w:jc w:val="center"/>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color w:val="000000" w:themeColor="text1"/>
                <w:kern w:val="24"/>
                <w:sz w:val="18"/>
                <w:szCs w:val="18"/>
                <w:lang w:eastAsia="tr-TR"/>
              </w:rPr>
              <w:t>Credit</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6D2C5B0A"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357.2</w:t>
            </w:r>
          </w:p>
        </w:tc>
        <w:tc>
          <w:tcPr>
            <w:tcW w:w="63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59AD804C"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(150.3)</w:t>
            </w:r>
          </w:p>
        </w:tc>
        <w:tc>
          <w:tcPr>
            <w:tcW w:w="53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701FD293"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42.1%</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0FDE51FC"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290.8</w:t>
            </w:r>
          </w:p>
        </w:tc>
        <w:tc>
          <w:tcPr>
            <w:tcW w:w="63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5EFBD855"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(130.5)</w:t>
            </w:r>
          </w:p>
        </w:tc>
        <w:tc>
          <w:tcPr>
            <w:tcW w:w="55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7EA72006"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44.9%</w:t>
            </w:r>
          </w:p>
        </w:tc>
      </w:tr>
      <w:tr w:rsidR="00164238" w:rsidRPr="00164238" w14:paraId="7BCFB36A" w14:textId="77777777" w:rsidTr="00682CBF">
        <w:trPr>
          <w:trHeight w:val="20"/>
        </w:trPr>
        <w:tc>
          <w:tcPr>
            <w:tcW w:w="1375" w:type="pct"/>
            <w:tcBorders>
              <w:top w:val="single" w:sz="8" w:space="0" w:color="000000"/>
              <w:left w:val="single" w:sz="8" w:space="0" w:color="000000"/>
              <w:bottom w:val="single" w:sz="8" w:space="0" w:color="000000"/>
              <w:right w:val="single" w:sz="8" w:space="0" w:color="000000"/>
            </w:tcBorders>
            <w:shd w:val="clear" w:color="auto" w:fill="FFFFFF"/>
            <w:tcMar>
              <w:top w:w="7" w:type="dxa"/>
              <w:left w:w="7" w:type="dxa"/>
              <w:bottom w:w="0" w:type="dxa"/>
              <w:right w:w="7" w:type="dxa"/>
            </w:tcMar>
            <w:vAlign w:val="center"/>
            <w:hideMark/>
          </w:tcPr>
          <w:p w14:paraId="31AE8029" w14:textId="77777777" w:rsidR="00C54BC9" w:rsidRPr="00164238" w:rsidRDefault="00C54BC9" w:rsidP="00682CBF">
            <w:pPr>
              <w:jc w:val="center"/>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color w:val="000000" w:themeColor="text1"/>
                <w:kern w:val="24"/>
                <w:sz w:val="18"/>
                <w:szCs w:val="18"/>
                <w:lang w:eastAsia="tr-TR"/>
              </w:rPr>
              <w:t>Indemnity</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0E7783FB"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59.4</w:t>
            </w:r>
          </w:p>
        </w:tc>
        <w:tc>
          <w:tcPr>
            <w:tcW w:w="63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1A0EFAEB"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(83.0)</w:t>
            </w:r>
          </w:p>
        </w:tc>
        <w:tc>
          <w:tcPr>
            <w:tcW w:w="53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4BBCCED4"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bCs/>
                <w:color w:val="000000" w:themeColor="text1"/>
                <w:kern w:val="24"/>
                <w:sz w:val="18"/>
                <w:szCs w:val="18"/>
                <w:lang w:eastAsia="tr-TR"/>
              </w:rPr>
              <w:t>139.7%</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25578378"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80.8</w:t>
            </w:r>
          </w:p>
        </w:tc>
        <w:tc>
          <w:tcPr>
            <w:tcW w:w="63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295B4E03"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(77.0)</w:t>
            </w:r>
          </w:p>
        </w:tc>
        <w:tc>
          <w:tcPr>
            <w:tcW w:w="55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2ECCA481"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95.3%</w:t>
            </w:r>
          </w:p>
        </w:tc>
      </w:tr>
      <w:tr w:rsidR="00164238" w:rsidRPr="00164238" w14:paraId="20B5590D" w14:textId="77777777" w:rsidTr="00682CBF">
        <w:trPr>
          <w:trHeight w:val="20"/>
        </w:trPr>
        <w:tc>
          <w:tcPr>
            <w:tcW w:w="1375" w:type="pct"/>
            <w:tcBorders>
              <w:top w:val="single" w:sz="8" w:space="0" w:color="000000"/>
              <w:left w:val="single" w:sz="8" w:space="0" w:color="000000"/>
              <w:bottom w:val="single" w:sz="8" w:space="0" w:color="000000"/>
              <w:right w:val="single" w:sz="8" w:space="0" w:color="000000"/>
            </w:tcBorders>
            <w:shd w:val="clear" w:color="auto" w:fill="FFFFFF"/>
            <w:tcMar>
              <w:top w:w="7" w:type="dxa"/>
              <w:left w:w="7" w:type="dxa"/>
              <w:bottom w:w="0" w:type="dxa"/>
              <w:right w:w="7" w:type="dxa"/>
            </w:tcMar>
            <w:vAlign w:val="center"/>
            <w:hideMark/>
          </w:tcPr>
          <w:p w14:paraId="6A22DF71" w14:textId="77777777" w:rsidR="00C54BC9" w:rsidRPr="00164238" w:rsidRDefault="00C54BC9" w:rsidP="00682CBF">
            <w:pPr>
              <w:jc w:val="center"/>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color w:val="000000" w:themeColor="text1"/>
                <w:kern w:val="24"/>
                <w:sz w:val="18"/>
                <w:szCs w:val="18"/>
                <w:lang w:eastAsia="tr-TR"/>
              </w:rPr>
              <w:t>Financial Loss</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56E2EEA8"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461.0</w:t>
            </w:r>
          </w:p>
        </w:tc>
        <w:tc>
          <w:tcPr>
            <w:tcW w:w="63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5AEA7F7E"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(329.5)</w:t>
            </w:r>
          </w:p>
        </w:tc>
        <w:tc>
          <w:tcPr>
            <w:tcW w:w="53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7129E428"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bCs/>
                <w:color w:val="000000" w:themeColor="text1"/>
                <w:kern w:val="24"/>
                <w:sz w:val="18"/>
                <w:szCs w:val="18"/>
                <w:lang w:eastAsia="tr-TR"/>
              </w:rPr>
              <w:t>71.5%</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6F22B522"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483.9</w:t>
            </w:r>
          </w:p>
        </w:tc>
        <w:tc>
          <w:tcPr>
            <w:tcW w:w="63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218BDB0E"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(196.3)</w:t>
            </w:r>
          </w:p>
        </w:tc>
        <w:tc>
          <w:tcPr>
            <w:tcW w:w="55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0D5F6BC0"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40.6%</w:t>
            </w:r>
          </w:p>
        </w:tc>
      </w:tr>
      <w:tr w:rsidR="00164238" w:rsidRPr="00164238" w14:paraId="40B010AD" w14:textId="77777777" w:rsidTr="00682CBF">
        <w:trPr>
          <w:trHeight w:val="20"/>
        </w:trPr>
        <w:tc>
          <w:tcPr>
            <w:tcW w:w="1375" w:type="pct"/>
            <w:tcBorders>
              <w:top w:val="single" w:sz="8" w:space="0" w:color="000000"/>
              <w:left w:val="single" w:sz="8" w:space="0" w:color="000000"/>
              <w:bottom w:val="single" w:sz="8" w:space="0" w:color="000000"/>
              <w:right w:val="single" w:sz="8" w:space="0" w:color="000000"/>
            </w:tcBorders>
            <w:shd w:val="clear" w:color="auto" w:fill="FFFFFF"/>
            <w:tcMar>
              <w:top w:w="7" w:type="dxa"/>
              <w:left w:w="7" w:type="dxa"/>
              <w:bottom w:w="0" w:type="dxa"/>
              <w:right w:w="7" w:type="dxa"/>
            </w:tcMar>
            <w:vAlign w:val="center"/>
            <w:hideMark/>
          </w:tcPr>
          <w:p w14:paraId="68261951" w14:textId="77777777" w:rsidR="00C54BC9" w:rsidRPr="00164238" w:rsidRDefault="00C54BC9" w:rsidP="00682CBF">
            <w:pPr>
              <w:jc w:val="center"/>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color w:val="000000" w:themeColor="text1"/>
                <w:kern w:val="24"/>
                <w:sz w:val="18"/>
                <w:szCs w:val="18"/>
                <w:lang w:eastAsia="tr-TR"/>
              </w:rPr>
              <w:t>Legal Expenses</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18A63137"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210.0</w:t>
            </w:r>
          </w:p>
        </w:tc>
        <w:tc>
          <w:tcPr>
            <w:tcW w:w="63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3ABAB6F7"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(1.5)</w:t>
            </w:r>
          </w:p>
        </w:tc>
        <w:tc>
          <w:tcPr>
            <w:tcW w:w="53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2809ED1C"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0.7%</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1FDA1AAC"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187.4</w:t>
            </w:r>
          </w:p>
        </w:tc>
        <w:tc>
          <w:tcPr>
            <w:tcW w:w="63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0D3E079D"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(6.8)</w:t>
            </w:r>
          </w:p>
        </w:tc>
        <w:tc>
          <w:tcPr>
            <w:tcW w:w="55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1FB6BE52"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3.6%</w:t>
            </w:r>
          </w:p>
        </w:tc>
      </w:tr>
      <w:tr w:rsidR="00164238" w:rsidRPr="00164238" w14:paraId="0DB7B760" w14:textId="77777777" w:rsidTr="00682CBF">
        <w:trPr>
          <w:trHeight w:val="20"/>
        </w:trPr>
        <w:tc>
          <w:tcPr>
            <w:tcW w:w="1375" w:type="pct"/>
            <w:tcBorders>
              <w:top w:val="single" w:sz="8" w:space="0" w:color="000000"/>
              <w:left w:val="single" w:sz="8" w:space="0" w:color="000000"/>
              <w:bottom w:val="single" w:sz="8" w:space="0" w:color="000000"/>
              <w:right w:val="single" w:sz="8" w:space="0" w:color="000000"/>
            </w:tcBorders>
            <w:shd w:val="clear" w:color="auto" w:fill="FFFFFF"/>
            <w:tcMar>
              <w:top w:w="7" w:type="dxa"/>
              <w:left w:w="7" w:type="dxa"/>
              <w:bottom w:w="0" w:type="dxa"/>
              <w:right w:w="7" w:type="dxa"/>
            </w:tcMar>
            <w:vAlign w:val="center"/>
            <w:hideMark/>
          </w:tcPr>
          <w:p w14:paraId="3D7CA23A" w14:textId="77777777" w:rsidR="00C54BC9" w:rsidRPr="00164238" w:rsidRDefault="00C54BC9" w:rsidP="00682CBF">
            <w:pPr>
              <w:jc w:val="center"/>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color w:val="000000" w:themeColor="text1"/>
                <w:kern w:val="24"/>
                <w:sz w:val="18"/>
                <w:szCs w:val="18"/>
                <w:lang w:eastAsia="tr-TR"/>
              </w:rPr>
              <w:t>Support</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71685BB1"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0.0</w:t>
            </w:r>
          </w:p>
        </w:tc>
        <w:tc>
          <w:tcPr>
            <w:tcW w:w="63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4B928039"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 xml:space="preserve">0.0 </w:t>
            </w:r>
          </w:p>
        </w:tc>
        <w:tc>
          <w:tcPr>
            <w:tcW w:w="53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4E4DEC57"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0.0%</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1E709315"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0.2</w:t>
            </w:r>
          </w:p>
        </w:tc>
        <w:tc>
          <w:tcPr>
            <w:tcW w:w="63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5FC75F6C"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(0.0)</w:t>
            </w:r>
          </w:p>
        </w:tc>
        <w:tc>
          <w:tcPr>
            <w:tcW w:w="55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7EA4A76B"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0.0%</w:t>
            </w:r>
          </w:p>
        </w:tc>
      </w:tr>
      <w:tr w:rsidR="00164238" w:rsidRPr="00164238" w14:paraId="71253866" w14:textId="77777777" w:rsidTr="00682CBF">
        <w:trPr>
          <w:trHeight w:val="20"/>
        </w:trPr>
        <w:tc>
          <w:tcPr>
            <w:tcW w:w="1375" w:type="pct"/>
            <w:tcBorders>
              <w:top w:val="single" w:sz="8" w:space="0" w:color="000000"/>
              <w:left w:val="single" w:sz="8" w:space="0" w:color="000000"/>
              <w:bottom w:val="single" w:sz="8" w:space="0" w:color="000000"/>
              <w:right w:val="single" w:sz="8" w:space="0" w:color="000000"/>
            </w:tcBorders>
            <w:shd w:val="clear" w:color="auto" w:fill="FFFFFF"/>
            <w:tcMar>
              <w:top w:w="7" w:type="dxa"/>
              <w:left w:w="7" w:type="dxa"/>
              <w:bottom w:w="0" w:type="dxa"/>
              <w:right w:w="7" w:type="dxa"/>
            </w:tcMar>
            <w:vAlign w:val="center"/>
            <w:hideMark/>
          </w:tcPr>
          <w:p w14:paraId="5C0288F5" w14:textId="77777777" w:rsidR="00C54BC9" w:rsidRPr="00164238" w:rsidRDefault="00C54BC9" w:rsidP="00682CBF">
            <w:pPr>
              <w:jc w:val="center"/>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color w:val="000000" w:themeColor="text1"/>
                <w:kern w:val="24"/>
                <w:sz w:val="18"/>
                <w:szCs w:val="18"/>
                <w:lang w:eastAsia="tr-TR"/>
              </w:rPr>
              <w:t>Subsidized Agricultural Ins.</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684D09D9"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3,692.4</w:t>
            </w:r>
          </w:p>
        </w:tc>
        <w:tc>
          <w:tcPr>
            <w:tcW w:w="63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6E7FCAC8"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(380.1)</w:t>
            </w:r>
          </w:p>
        </w:tc>
        <w:tc>
          <w:tcPr>
            <w:tcW w:w="53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37934BA6"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color w:val="000000" w:themeColor="text1"/>
                <w:kern w:val="24"/>
                <w:sz w:val="18"/>
                <w:szCs w:val="18"/>
                <w:lang w:eastAsia="tr-TR"/>
              </w:rPr>
              <w:t>10.3%</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28C9F5D9"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color w:val="000000" w:themeColor="text1"/>
                <w:kern w:val="24"/>
                <w:sz w:val="18"/>
                <w:szCs w:val="18"/>
                <w:lang w:eastAsia="tr-TR"/>
              </w:rPr>
              <w:t>2,816.7</w:t>
            </w:r>
          </w:p>
        </w:tc>
        <w:tc>
          <w:tcPr>
            <w:tcW w:w="63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66E957CD"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color w:val="000000" w:themeColor="text1"/>
                <w:kern w:val="24"/>
                <w:sz w:val="18"/>
                <w:szCs w:val="18"/>
                <w:lang w:eastAsia="tr-TR"/>
              </w:rPr>
              <w:t>(306.7)</w:t>
            </w:r>
          </w:p>
        </w:tc>
        <w:tc>
          <w:tcPr>
            <w:tcW w:w="55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20DA48BD"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color w:val="000000" w:themeColor="text1"/>
                <w:kern w:val="24"/>
                <w:sz w:val="18"/>
                <w:szCs w:val="18"/>
                <w:lang w:eastAsia="tr-TR"/>
              </w:rPr>
              <w:t>10.9%</w:t>
            </w:r>
          </w:p>
        </w:tc>
      </w:tr>
      <w:tr w:rsidR="00164238" w:rsidRPr="00164238" w14:paraId="4153EAC4" w14:textId="77777777" w:rsidTr="00682CBF">
        <w:trPr>
          <w:trHeight w:val="20"/>
        </w:trPr>
        <w:tc>
          <w:tcPr>
            <w:tcW w:w="1375" w:type="pct"/>
            <w:tcBorders>
              <w:top w:val="single" w:sz="8" w:space="0" w:color="000000"/>
              <w:left w:val="single" w:sz="8" w:space="0" w:color="000000"/>
              <w:bottom w:val="single" w:sz="8" w:space="0" w:color="000000"/>
              <w:right w:val="single" w:sz="8" w:space="0" w:color="000000"/>
            </w:tcBorders>
            <w:shd w:val="clear" w:color="auto" w:fill="FFFFFF"/>
            <w:tcMar>
              <w:top w:w="7" w:type="dxa"/>
              <w:left w:w="7" w:type="dxa"/>
              <w:bottom w:w="0" w:type="dxa"/>
              <w:right w:w="7" w:type="dxa"/>
            </w:tcMar>
            <w:vAlign w:val="center"/>
            <w:hideMark/>
          </w:tcPr>
          <w:p w14:paraId="3BF194AB" w14:textId="77777777" w:rsidR="00C54BC9" w:rsidRPr="00164238" w:rsidRDefault="00C54BC9" w:rsidP="00682CBF">
            <w:pPr>
              <w:jc w:val="center"/>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color w:val="000000" w:themeColor="text1"/>
                <w:kern w:val="24"/>
                <w:sz w:val="18"/>
                <w:szCs w:val="18"/>
                <w:lang w:eastAsia="tr-TR"/>
              </w:rPr>
              <w:t>Engineering Insurance</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3DE14873"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2,495.9</w:t>
            </w:r>
          </w:p>
        </w:tc>
        <w:tc>
          <w:tcPr>
            <w:tcW w:w="63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06A545F0"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(2,112.0)</w:t>
            </w:r>
          </w:p>
        </w:tc>
        <w:tc>
          <w:tcPr>
            <w:tcW w:w="53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0D78B9B8"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color w:val="000000" w:themeColor="text1"/>
                <w:kern w:val="24"/>
                <w:sz w:val="18"/>
                <w:szCs w:val="18"/>
                <w:lang w:eastAsia="tr-TR"/>
              </w:rPr>
              <w:t>84.6%</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6B797DCA"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color w:val="000000" w:themeColor="text1"/>
                <w:kern w:val="24"/>
                <w:sz w:val="18"/>
                <w:szCs w:val="18"/>
                <w:lang w:eastAsia="tr-TR"/>
              </w:rPr>
              <w:t>2,267.4</w:t>
            </w:r>
          </w:p>
        </w:tc>
        <w:tc>
          <w:tcPr>
            <w:tcW w:w="63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2EDBA632"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color w:val="000000" w:themeColor="text1"/>
                <w:kern w:val="24"/>
                <w:sz w:val="18"/>
                <w:szCs w:val="18"/>
                <w:lang w:eastAsia="tr-TR"/>
              </w:rPr>
              <w:t>(1,716.8)</w:t>
            </w:r>
          </w:p>
        </w:tc>
        <w:tc>
          <w:tcPr>
            <w:tcW w:w="55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3B8390B9"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color w:val="000000" w:themeColor="text1"/>
                <w:kern w:val="24"/>
                <w:sz w:val="18"/>
                <w:szCs w:val="18"/>
                <w:lang w:eastAsia="tr-TR"/>
              </w:rPr>
              <w:t>75.7%</w:t>
            </w:r>
          </w:p>
        </w:tc>
      </w:tr>
      <w:tr w:rsidR="00164238" w:rsidRPr="00164238" w14:paraId="7BEB2425" w14:textId="77777777" w:rsidTr="00682CBF">
        <w:trPr>
          <w:trHeight w:val="20"/>
        </w:trPr>
        <w:tc>
          <w:tcPr>
            <w:tcW w:w="137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4B6227B6" w14:textId="77777777" w:rsidR="00C54BC9" w:rsidRPr="00164238" w:rsidRDefault="00C54BC9" w:rsidP="00682CBF">
            <w:pPr>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b/>
                <w:bCs/>
                <w:color w:val="000000" w:themeColor="text1"/>
                <w:kern w:val="24"/>
                <w:sz w:val="18"/>
                <w:szCs w:val="18"/>
                <w:lang w:eastAsia="tr-TR"/>
              </w:rPr>
              <w:t>NON-LIFE TOTAL</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0F9A480A"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59,730.3</w:t>
            </w:r>
          </w:p>
        </w:tc>
        <w:tc>
          <w:tcPr>
            <w:tcW w:w="63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2CCA4FB9"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(39,427.4)</w:t>
            </w:r>
          </w:p>
        </w:tc>
        <w:tc>
          <w:tcPr>
            <w:tcW w:w="53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68612680"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b/>
                <w:bCs/>
                <w:color w:val="000000" w:themeColor="text1"/>
                <w:kern w:val="24"/>
                <w:sz w:val="18"/>
                <w:szCs w:val="18"/>
                <w:lang w:eastAsia="tr-TR"/>
              </w:rPr>
              <w:t>66.0%</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720EE27A"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color w:val="000000" w:themeColor="text1"/>
                <w:kern w:val="24"/>
                <w:sz w:val="18"/>
                <w:szCs w:val="18"/>
                <w:lang w:eastAsia="tr-TR"/>
              </w:rPr>
              <w:t>49,006.6</w:t>
            </w:r>
          </w:p>
        </w:tc>
        <w:tc>
          <w:tcPr>
            <w:tcW w:w="63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40134454"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color w:val="000000" w:themeColor="text1"/>
                <w:kern w:val="24"/>
                <w:sz w:val="18"/>
                <w:szCs w:val="18"/>
                <w:lang w:eastAsia="tr-TR"/>
              </w:rPr>
              <w:t>(34,604.3)</w:t>
            </w:r>
          </w:p>
        </w:tc>
        <w:tc>
          <w:tcPr>
            <w:tcW w:w="55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3E311478"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color w:val="000000" w:themeColor="text1"/>
                <w:kern w:val="24"/>
                <w:sz w:val="18"/>
                <w:szCs w:val="18"/>
                <w:lang w:eastAsia="tr-TR"/>
              </w:rPr>
              <w:t>70.2%</w:t>
            </w:r>
          </w:p>
        </w:tc>
      </w:tr>
      <w:tr w:rsidR="00164238" w:rsidRPr="00164238" w14:paraId="1D37D8AF" w14:textId="77777777" w:rsidTr="00682CBF">
        <w:trPr>
          <w:trHeight w:val="20"/>
        </w:trPr>
        <w:tc>
          <w:tcPr>
            <w:tcW w:w="137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06D69682" w14:textId="77777777" w:rsidR="00C54BC9" w:rsidRPr="00164238" w:rsidRDefault="00C54BC9" w:rsidP="00682CBF">
            <w:pPr>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b/>
                <w:bCs/>
                <w:color w:val="000000" w:themeColor="text1"/>
                <w:kern w:val="24"/>
                <w:sz w:val="18"/>
                <w:szCs w:val="18"/>
                <w:lang w:eastAsia="tr-TR"/>
              </w:rPr>
              <w:t>LIFE TOTAL</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71589E77"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14,261.2</w:t>
            </w:r>
          </w:p>
        </w:tc>
        <w:tc>
          <w:tcPr>
            <w:tcW w:w="63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6FC41FA2"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(4,623.8)</w:t>
            </w:r>
          </w:p>
        </w:tc>
        <w:tc>
          <w:tcPr>
            <w:tcW w:w="53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51FE72FA"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b/>
                <w:bCs/>
                <w:color w:val="000000" w:themeColor="text1"/>
                <w:kern w:val="24"/>
                <w:sz w:val="18"/>
                <w:szCs w:val="18"/>
                <w:lang w:eastAsia="tr-TR"/>
              </w:rPr>
              <w:t>32.4%</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298DB4AB"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color w:val="000000" w:themeColor="text1"/>
                <w:kern w:val="24"/>
                <w:sz w:val="18"/>
                <w:szCs w:val="18"/>
                <w:lang w:eastAsia="tr-TR"/>
              </w:rPr>
              <w:t>11,014.9</w:t>
            </w:r>
          </w:p>
        </w:tc>
        <w:tc>
          <w:tcPr>
            <w:tcW w:w="63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3C58C16A"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color w:val="000000" w:themeColor="text1"/>
                <w:kern w:val="24"/>
                <w:sz w:val="18"/>
                <w:szCs w:val="18"/>
                <w:lang w:eastAsia="tr-TR"/>
              </w:rPr>
              <w:t>(3,635.1)</w:t>
            </w:r>
          </w:p>
        </w:tc>
        <w:tc>
          <w:tcPr>
            <w:tcW w:w="55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3400C950"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color w:val="000000" w:themeColor="text1"/>
                <w:kern w:val="24"/>
                <w:sz w:val="18"/>
                <w:szCs w:val="18"/>
                <w:lang w:eastAsia="tr-TR"/>
              </w:rPr>
              <w:t>33.0%</w:t>
            </w:r>
          </w:p>
        </w:tc>
      </w:tr>
      <w:tr w:rsidR="00164238" w:rsidRPr="00164238" w14:paraId="13DA7976" w14:textId="77777777" w:rsidTr="00682CBF">
        <w:trPr>
          <w:trHeight w:val="20"/>
        </w:trPr>
        <w:tc>
          <w:tcPr>
            <w:tcW w:w="137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02806428" w14:textId="77777777" w:rsidR="00C54BC9" w:rsidRPr="00164238" w:rsidRDefault="00C54BC9" w:rsidP="00682CBF">
            <w:pPr>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b/>
                <w:bCs/>
                <w:color w:val="000000" w:themeColor="text1"/>
                <w:kern w:val="24"/>
                <w:sz w:val="18"/>
                <w:szCs w:val="18"/>
                <w:lang w:eastAsia="tr-TR"/>
              </w:rPr>
              <w:t>PENSION TOTAL</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128EF6F3"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0.0</w:t>
            </w:r>
          </w:p>
        </w:tc>
        <w:tc>
          <w:tcPr>
            <w:tcW w:w="63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11A48666"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 xml:space="preserve">0.0 </w:t>
            </w:r>
          </w:p>
        </w:tc>
        <w:tc>
          <w:tcPr>
            <w:tcW w:w="53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6FC4B16C"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b/>
                <w:bCs/>
                <w:color w:val="000000" w:themeColor="text1"/>
                <w:kern w:val="24"/>
                <w:sz w:val="18"/>
                <w:szCs w:val="18"/>
                <w:lang w:eastAsia="tr-TR"/>
              </w:rPr>
              <w:t> </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67D7692E"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color w:val="000000" w:themeColor="text1"/>
                <w:kern w:val="24"/>
                <w:sz w:val="18"/>
                <w:szCs w:val="18"/>
                <w:lang w:eastAsia="tr-TR"/>
              </w:rPr>
              <w:t>0.0</w:t>
            </w:r>
          </w:p>
        </w:tc>
        <w:tc>
          <w:tcPr>
            <w:tcW w:w="63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4DEAE7BF"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color w:val="000000" w:themeColor="text1"/>
                <w:kern w:val="24"/>
                <w:sz w:val="18"/>
                <w:szCs w:val="18"/>
                <w:lang w:eastAsia="tr-TR"/>
              </w:rPr>
              <w:t xml:space="preserve">0.0 </w:t>
            </w:r>
          </w:p>
        </w:tc>
        <w:tc>
          <w:tcPr>
            <w:tcW w:w="55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47C962A7"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color w:val="000000" w:themeColor="text1"/>
                <w:kern w:val="24"/>
                <w:sz w:val="18"/>
                <w:szCs w:val="18"/>
                <w:lang w:eastAsia="tr-TR"/>
              </w:rPr>
              <w:t> </w:t>
            </w:r>
          </w:p>
        </w:tc>
      </w:tr>
      <w:tr w:rsidR="00164238" w:rsidRPr="00164238" w14:paraId="41ECFA84" w14:textId="77777777" w:rsidTr="00682CBF">
        <w:trPr>
          <w:trHeight w:val="20"/>
        </w:trPr>
        <w:tc>
          <w:tcPr>
            <w:tcW w:w="1375" w:type="pct"/>
            <w:tcBorders>
              <w:top w:val="single" w:sz="8" w:space="0" w:color="000000"/>
              <w:left w:val="single" w:sz="8" w:space="0" w:color="000000"/>
              <w:bottom w:val="single" w:sz="8" w:space="0" w:color="000000"/>
              <w:right w:val="single" w:sz="8" w:space="0" w:color="000000"/>
            </w:tcBorders>
            <w:shd w:val="clear" w:color="auto" w:fill="FFFFFF"/>
            <w:tcMar>
              <w:top w:w="7" w:type="dxa"/>
              <w:left w:w="7" w:type="dxa"/>
              <w:bottom w:w="0" w:type="dxa"/>
              <w:right w:w="7" w:type="dxa"/>
            </w:tcMar>
            <w:vAlign w:val="center"/>
            <w:hideMark/>
          </w:tcPr>
          <w:p w14:paraId="3F7260B6" w14:textId="77777777" w:rsidR="00C54BC9" w:rsidRPr="00164238" w:rsidRDefault="00C54BC9" w:rsidP="00682CBF">
            <w:pPr>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b/>
                <w:bCs/>
                <w:color w:val="000000" w:themeColor="text1"/>
                <w:kern w:val="24"/>
                <w:sz w:val="18"/>
                <w:szCs w:val="18"/>
                <w:lang w:eastAsia="tr-TR"/>
              </w:rPr>
              <w:t>GENERAL TOTAL</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21F4EC7A"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73,991.5</w:t>
            </w:r>
          </w:p>
        </w:tc>
        <w:tc>
          <w:tcPr>
            <w:tcW w:w="63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4C20CD4D"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(44,051.2)</w:t>
            </w:r>
          </w:p>
        </w:tc>
        <w:tc>
          <w:tcPr>
            <w:tcW w:w="53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2170D9AB"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b/>
                <w:bCs/>
                <w:color w:val="000000" w:themeColor="text1"/>
                <w:kern w:val="24"/>
                <w:sz w:val="18"/>
                <w:szCs w:val="18"/>
                <w:lang w:eastAsia="tr-TR"/>
              </w:rPr>
              <w:t>59.5%</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015B2EAC"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color w:val="000000" w:themeColor="text1"/>
                <w:kern w:val="24"/>
                <w:sz w:val="18"/>
                <w:szCs w:val="18"/>
                <w:lang w:eastAsia="tr-TR"/>
              </w:rPr>
              <w:t>62,180.5</w:t>
            </w:r>
          </w:p>
        </w:tc>
        <w:tc>
          <w:tcPr>
            <w:tcW w:w="63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221A1CC8"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color w:val="000000" w:themeColor="text1"/>
                <w:kern w:val="24"/>
                <w:sz w:val="18"/>
                <w:szCs w:val="18"/>
                <w:lang w:eastAsia="tr-TR"/>
              </w:rPr>
              <w:t>(39,566.5)</w:t>
            </w:r>
          </w:p>
        </w:tc>
        <w:tc>
          <w:tcPr>
            <w:tcW w:w="55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5ECEE325" w14:textId="77777777" w:rsidR="00C54BC9" w:rsidRPr="00164238" w:rsidRDefault="00C54BC9" w:rsidP="00682CBF">
            <w:pPr>
              <w:jc w:val="right"/>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color w:val="000000" w:themeColor="text1"/>
                <w:kern w:val="24"/>
                <w:sz w:val="18"/>
                <w:szCs w:val="18"/>
                <w:lang w:eastAsia="tr-TR"/>
              </w:rPr>
              <w:t>63.6%</w:t>
            </w:r>
          </w:p>
        </w:tc>
      </w:tr>
    </w:tbl>
    <w:p w14:paraId="3B5363AF" w14:textId="77777777" w:rsidR="00C54BC9" w:rsidRPr="00164238" w:rsidRDefault="00C54BC9" w:rsidP="00C54BC9">
      <w:pPr>
        <w:spacing w:after="120" w:line="276" w:lineRule="auto"/>
        <w:jc w:val="both"/>
        <w:rPr>
          <w:rFonts w:ascii="Times New Roman" w:hAnsi="Times New Roman" w:cs="Times New Roman"/>
          <w:color w:val="000000" w:themeColor="text1"/>
        </w:rPr>
      </w:pPr>
      <w:r w:rsidRPr="00164238">
        <w:rPr>
          <w:rFonts w:ascii="Times New Roman" w:hAnsi="Times New Roman" w:cs="Times New Roman"/>
          <w:i/>
          <w:color w:val="000000" w:themeColor="text1"/>
        </w:rPr>
        <w:t>Source:</w:t>
      </w:r>
      <w:r w:rsidRPr="00164238">
        <w:rPr>
          <w:rFonts w:ascii="Times New Roman" w:hAnsi="Times New Roman" w:cs="Times New Roman"/>
          <w:color w:val="000000" w:themeColor="text1"/>
        </w:rPr>
        <w:t xml:space="preserve"> Insurance Association of Turkey</w:t>
      </w:r>
    </w:p>
    <w:p w14:paraId="0924003A" w14:textId="77777777" w:rsidR="00C54BC9" w:rsidRPr="00164238" w:rsidRDefault="00C54BC9" w:rsidP="00C54BC9">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lastRenderedPageBreak/>
        <w:t xml:space="preserve">It can be said that the curfew restrictions imposed due to the pandemic contributed to the decrease in traffic accidents and therefore the claim ratios in motor (motor own damage) and traffic insurances. </w:t>
      </w:r>
    </w:p>
    <w:p w14:paraId="452967C5" w14:textId="77777777" w:rsidR="00C54BC9" w:rsidRPr="00164238" w:rsidRDefault="00C54BC9" w:rsidP="00C54BC9">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In Table 4, it is seen that;</w:t>
      </w:r>
    </w:p>
    <w:p w14:paraId="607EBAF8" w14:textId="77777777" w:rsidR="00C54BC9" w:rsidRPr="00164238" w:rsidRDefault="00C54BC9" w:rsidP="007C3550">
      <w:pPr>
        <w:numPr>
          <w:ilvl w:val="0"/>
          <w:numId w:val="30"/>
        </w:numPr>
        <w:spacing w:before="120" w:after="120" w:line="276" w:lineRule="auto"/>
        <w:ind w:left="1224"/>
        <w:jc w:val="both"/>
        <w:rPr>
          <w:rFonts w:ascii="Times New Roman" w:hAnsi="Times New Roman" w:cs="Times New Roman"/>
          <w:color w:val="000000" w:themeColor="text1"/>
          <w:sz w:val="20"/>
        </w:rPr>
      </w:pPr>
      <w:r w:rsidRPr="00164238">
        <w:rPr>
          <w:rFonts w:ascii="Times New Roman" w:hAnsi="Times New Roman" w:cs="Times New Roman"/>
          <w:color w:val="000000" w:themeColor="text1"/>
          <w:sz w:val="20"/>
        </w:rPr>
        <w:t xml:space="preserve">The claim ratio in traffic insurances decreased from 99% to 83%, and the claim ratio in motor insurances from 67% to 64%. </w:t>
      </w:r>
    </w:p>
    <w:p w14:paraId="78D7A417" w14:textId="77777777" w:rsidR="00C54BC9" w:rsidRPr="00164238" w:rsidRDefault="00C54BC9" w:rsidP="007C3550">
      <w:pPr>
        <w:numPr>
          <w:ilvl w:val="0"/>
          <w:numId w:val="30"/>
        </w:numPr>
        <w:spacing w:before="120" w:after="120" w:line="276" w:lineRule="auto"/>
        <w:ind w:left="1224"/>
        <w:jc w:val="both"/>
        <w:rPr>
          <w:rFonts w:ascii="Times New Roman" w:hAnsi="Times New Roman" w:cs="Times New Roman"/>
          <w:color w:val="000000" w:themeColor="text1"/>
          <w:sz w:val="20"/>
        </w:rPr>
      </w:pPr>
      <w:r w:rsidRPr="00164238">
        <w:rPr>
          <w:rFonts w:ascii="Times New Roman" w:hAnsi="Times New Roman" w:cs="Times New Roman"/>
          <w:color w:val="000000" w:themeColor="text1"/>
          <w:sz w:val="20"/>
        </w:rPr>
        <w:t>The claim ratio in health and sickness insurances decreased from 75% to 62%. It can be said that since individuals do not go to the hospital unless urgent and necessary due to fear of the coronavirus, this situation reduced the claim ratio in health and sickness insurances (Allianz, 2020, 38).</w:t>
      </w:r>
    </w:p>
    <w:p w14:paraId="03BF0B0F" w14:textId="77777777" w:rsidR="00C54BC9" w:rsidRPr="00164238" w:rsidRDefault="00C54BC9" w:rsidP="007C3550">
      <w:pPr>
        <w:numPr>
          <w:ilvl w:val="0"/>
          <w:numId w:val="30"/>
        </w:numPr>
        <w:spacing w:before="120" w:after="120" w:line="276" w:lineRule="auto"/>
        <w:ind w:left="1224"/>
        <w:jc w:val="both"/>
        <w:rPr>
          <w:rFonts w:ascii="Times New Roman" w:hAnsi="Times New Roman" w:cs="Times New Roman"/>
          <w:color w:val="000000" w:themeColor="text1"/>
          <w:sz w:val="20"/>
        </w:rPr>
      </w:pPr>
      <w:r w:rsidRPr="00164238">
        <w:rPr>
          <w:rFonts w:ascii="Times New Roman" w:hAnsi="Times New Roman" w:cs="Times New Roman"/>
          <w:color w:val="000000" w:themeColor="text1"/>
          <w:sz w:val="20"/>
        </w:rPr>
        <w:t>The claim ratio in indemnity insurance increased from 95% to 139% and the claim ratio in financial losses insurances increased from 40% to 71%.</w:t>
      </w:r>
    </w:p>
    <w:p w14:paraId="5317E5F0" w14:textId="77777777" w:rsidR="00C54BC9" w:rsidRPr="00164238" w:rsidRDefault="00C54BC9" w:rsidP="00C54BC9">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In general, claim ratios in both life branches (from 33% to 32.4%) and non-life branches (from 70.2% to 66%) have decreased compared to 2019.</w:t>
      </w:r>
    </w:p>
    <w:p w14:paraId="56DCF776" w14:textId="74F7077C" w:rsidR="00C54BC9" w:rsidRDefault="00C54BC9" w:rsidP="00C54BC9">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It is important for insurance companies to identify the insurance branches with high technical profitability. In Table 5, where technical profit ratios on the basis of insurance branches are given, it is seen that technical profitability has increased in insurance branches with the reduced (in Table 4) claim ratio. </w:t>
      </w:r>
    </w:p>
    <w:p w14:paraId="760E4A72" w14:textId="77777777" w:rsidR="00C54BC9" w:rsidRPr="00164238" w:rsidRDefault="00C54BC9" w:rsidP="00C54BC9">
      <w:pPr>
        <w:rPr>
          <w:rFonts w:ascii="Times New Roman" w:hAnsi="Times New Roman" w:cs="Times New Roman"/>
          <w:color w:val="000000" w:themeColor="text1"/>
        </w:rPr>
      </w:pPr>
      <w:r w:rsidRPr="00164238">
        <w:rPr>
          <w:rFonts w:ascii="Times New Roman" w:hAnsi="Times New Roman" w:cs="Times New Roman"/>
          <w:i/>
          <w:color w:val="000000" w:themeColor="text1"/>
        </w:rPr>
        <w:t>Table 5.</w:t>
      </w:r>
      <w:r w:rsidRPr="00164238">
        <w:rPr>
          <w:rFonts w:ascii="Times New Roman" w:hAnsi="Times New Roman" w:cs="Times New Roman"/>
          <w:color w:val="000000" w:themeColor="text1"/>
        </w:rPr>
        <w:t xml:space="preserve"> Technical profit Ratio by Line of Business </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600" w:firstRow="0" w:lastRow="0" w:firstColumn="0" w:lastColumn="0" w:noHBand="1" w:noVBand="1"/>
      </w:tblPr>
      <w:tblGrid>
        <w:gridCol w:w="2329"/>
        <w:gridCol w:w="1081"/>
        <w:gridCol w:w="989"/>
        <w:gridCol w:w="1000"/>
        <w:gridCol w:w="1071"/>
        <w:gridCol w:w="998"/>
        <w:gridCol w:w="1017"/>
      </w:tblGrid>
      <w:tr w:rsidR="00164238" w:rsidRPr="00164238" w14:paraId="5CE31FAD" w14:textId="77777777" w:rsidTr="00682CBF">
        <w:trPr>
          <w:trHeight w:val="20"/>
        </w:trPr>
        <w:tc>
          <w:tcPr>
            <w:tcW w:w="1373" w:type="pct"/>
            <w:vMerge w:val="restart"/>
            <w:shd w:val="clear" w:color="auto" w:fill="FFFFFF"/>
            <w:tcMar>
              <w:top w:w="7" w:type="dxa"/>
              <w:left w:w="7" w:type="dxa"/>
              <w:bottom w:w="0" w:type="dxa"/>
              <w:right w:w="7" w:type="dxa"/>
            </w:tcMar>
            <w:vAlign w:val="center"/>
            <w:hideMark/>
          </w:tcPr>
          <w:p w14:paraId="1D4AFCCA"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t>Line of Business</w:t>
            </w:r>
          </w:p>
        </w:tc>
        <w:tc>
          <w:tcPr>
            <w:tcW w:w="1809" w:type="pct"/>
            <w:gridSpan w:val="3"/>
            <w:shd w:val="clear" w:color="auto" w:fill="FFFFFF"/>
            <w:tcMar>
              <w:top w:w="7" w:type="dxa"/>
              <w:left w:w="7" w:type="dxa"/>
              <w:bottom w:w="0" w:type="dxa"/>
              <w:right w:w="7" w:type="dxa"/>
            </w:tcMar>
            <w:vAlign w:val="center"/>
            <w:hideMark/>
          </w:tcPr>
          <w:p w14:paraId="60D09125"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t>2020-12</w:t>
            </w:r>
          </w:p>
        </w:tc>
        <w:tc>
          <w:tcPr>
            <w:tcW w:w="1818" w:type="pct"/>
            <w:gridSpan w:val="3"/>
            <w:shd w:val="clear" w:color="auto" w:fill="FFFFFF"/>
            <w:tcMar>
              <w:top w:w="7" w:type="dxa"/>
              <w:left w:w="7" w:type="dxa"/>
              <w:bottom w:w="0" w:type="dxa"/>
              <w:right w:w="7" w:type="dxa"/>
            </w:tcMar>
            <w:vAlign w:val="center"/>
            <w:hideMark/>
          </w:tcPr>
          <w:p w14:paraId="3C5D2863"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t>2019-12</w:t>
            </w:r>
          </w:p>
        </w:tc>
      </w:tr>
      <w:tr w:rsidR="00164238" w:rsidRPr="00164238" w14:paraId="4D218DEB" w14:textId="77777777" w:rsidTr="00682CBF">
        <w:trPr>
          <w:trHeight w:val="20"/>
        </w:trPr>
        <w:tc>
          <w:tcPr>
            <w:tcW w:w="1373" w:type="pct"/>
            <w:vMerge/>
            <w:vAlign w:val="center"/>
            <w:hideMark/>
          </w:tcPr>
          <w:p w14:paraId="10431527" w14:textId="77777777" w:rsidR="00C54BC9" w:rsidRPr="00164238" w:rsidRDefault="00C54BC9" w:rsidP="00682CBF">
            <w:pPr>
              <w:jc w:val="center"/>
              <w:rPr>
                <w:rFonts w:ascii="Times New Roman" w:hAnsi="Times New Roman" w:cs="Times New Roman"/>
                <w:color w:val="000000" w:themeColor="text1"/>
                <w:sz w:val="18"/>
              </w:rPr>
            </w:pPr>
          </w:p>
        </w:tc>
        <w:tc>
          <w:tcPr>
            <w:tcW w:w="637" w:type="pct"/>
            <w:shd w:val="clear" w:color="auto" w:fill="FFFFFF"/>
            <w:tcMar>
              <w:top w:w="7" w:type="dxa"/>
              <w:left w:w="7" w:type="dxa"/>
              <w:bottom w:w="0" w:type="dxa"/>
              <w:right w:w="7" w:type="dxa"/>
            </w:tcMar>
            <w:vAlign w:val="center"/>
            <w:hideMark/>
          </w:tcPr>
          <w:p w14:paraId="788F42D2" w14:textId="77777777" w:rsidR="00C54BC9" w:rsidRPr="00164238" w:rsidRDefault="00C54BC9" w:rsidP="00682CBF">
            <w:pPr>
              <w:jc w:val="center"/>
              <w:rPr>
                <w:rFonts w:ascii="Times New Roman" w:hAnsi="Times New Roman" w:cs="Times New Roman"/>
                <w:b/>
                <w:bCs/>
                <w:color w:val="000000" w:themeColor="text1"/>
                <w:sz w:val="18"/>
              </w:rPr>
            </w:pPr>
            <w:r w:rsidRPr="00164238">
              <w:rPr>
                <w:rFonts w:ascii="Times New Roman" w:hAnsi="Times New Roman" w:cs="Times New Roman"/>
                <w:b/>
                <w:bCs/>
                <w:color w:val="000000" w:themeColor="text1"/>
                <w:sz w:val="18"/>
              </w:rPr>
              <w:t>Written Premium</w:t>
            </w:r>
          </w:p>
          <w:p w14:paraId="2B036156"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mm.TRY</w:t>
            </w:r>
          </w:p>
        </w:tc>
        <w:tc>
          <w:tcPr>
            <w:tcW w:w="583" w:type="pct"/>
            <w:shd w:val="clear" w:color="auto" w:fill="FFFFFF"/>
            <w:tcMar>
              <w:top w:w="7" w:type="dxa"/>
              <w:left w:w="7" w:type="dxa"/>
              <w:bottom w:w="0" w:type="dxa"/>
              <w:right w:w="7" w:type="dxa"/>
            </w:tcMar>
            <w:vAlign w:val="center"/>
            <w:hideMark/>
          </w:tcPr>
          <w:p w14:paraId="3BB9DB36"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t>Technical Balance</w:t>
            </w:r>
          </w:p>
          <w:p w14:paraId="641B7E95"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mm. TRY</w:t>
            </w:r>
          </w:p>
        </w:tc>
        <w:tc>
          <w:tcPr>
            <w:tcW w:w="589" w:type="pct"/>
            <w:shd w:val="clear" w:color="auto" w:fill="FFFFFF"/>
            <w:tcMar>
              <w:top w:w="7" w:type="dxa"/>
              <w:left w:w="7" w:type="dxa"/>
              <w:bottom w:w="0" w:type="dxa"/>
              <w:right w:w="7" w:type="dxa"/>
            </w:tcMar>
            <w:vAlign w:val="center"/>
            <w:hideMark/>
          </w:tcPr>
          <w:p w14:paraId="0DD3FD6A"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t>Technical</w:t>
            </w:r>
          </w:p>
          <w:p w14:paraId="18AD7279"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t>Profit Ratio</w:t>
            </w:r>
          </w:p>
        </w:tc>
        <w:tc>
          <w:tcPr>
            <w:tcW w:w="631" w:type="pct"/>
            <w:shd w:val="clear" w:color="auto" w:fill="FFFFFF"/>
            <w:tcMar>
              <w:top w:w="7" w:type="dxa"/>
              <w:left w:w="7" w:type="dxa"/>
              <w:bottom w:w="0" w:type="dxa"/>
              <w:right w:w="7" w:type="dxa"/>
            </w:tcMar>
            <w:vAlign w:val="center"/>
            <w:hideMark/>
          </w:tcPr>
          <w:p w14:paraId="510D50D1"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t>Written Premium</w:t>
            </w:r>
          </w:p>
          <w:p w14:paraId="06E238FF"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mm. TRY</w:t>
            </w:r>
          </w:p>
        </w:tc>
        <w:tc>
          <w:tcPr>
            <w:tcW w:w="588" w:type="pct"/>
            <w:shd w:val="clear" w:color="auto" w:fill="FFFFFF"/>
            <w:tcMar>
              <w:top w:w="7" w:type="dxa"/>
              <w:left w:w="7" w:type="dxa"/>
              <w:bottom w:w="0" w:type="dxa"/>
              <w:right w:w="7" w:type="dxa"/>
            </w:tcMar>
            <w:vAlign w:val="center"/>
            <w:hideMark/>
          </w:tcPr>
          <w:p w14:paraId="2FB144A9"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t>Technical Balance</w:t>
            </w:r>
          </w:p>
          <w:p w14:paraId="3EA3DFCF"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mm. TRY</w:t>
            </w:r>
          </w:p>
        </w:tc>
        <w:tc>
          <w:tcPr>
            <w:tcW w:w="600" w:type="pct"/>
            <w:shd w:val="clear" w:color="auto" w:fill="FFFFFF"/>
            <w:tcMar>
              <w:top w:w="7" w:type="dxa"/>
              <w:left w:w="7" w:type="dxa"/>
              <w:bottom w:w="0" w:type="dxa"/>
              <w:right w:w="7" w:type="dxa"/>
            </w:tcMar>
            <w:vAlign w:val="center"/>
            <w:hideMark/>
          </w:tcPr>
          <w:p w14:paraId="2FCDEEED"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t>Technical</w:t>
            </w:r>
          </w:p>
          <w:p w14:paraId="0A53D510"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t>Profit Ratio</w:t>
            </w:r>
          </w:p>
        </w:tc>
      </w:tr>
      <w:tr w:rsidR="00164238" w:rsidRPr="00164238" w14:paraId="18144BFF" w14:textId="77777777" w:rsidTr="00682CBF">
        <w:trPr>
          <w:trHeight w:val="20"/>
        </w:trPr>
        <w:tc>
          <w:tcPr>
            <w:tcW w:w="1373" w:type="pct"/>
            <w:shd w:val="clear" w:color="auto" w:fill="FFFFFF"/>
            <w:tcMar>
              <w:top w:w="7" w:type="dxa"/>
              <w:left w:w="7" w:type="dxa"/>
              <w:bottom w:w="0" w:type="dxa"/>
              <w:right w:w="7" w:type="dxa"/>
            </w:tcMar>
            <w:vAlign w:val="center"/>
            <w:hideMark/>
          </w:tcPr>
          <w:p w14:paraId="1B4E58AD"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Casualty</w:t>
            </w:r>
          </w:p>
        </w:tc>
        <w:tc>
          <w:tcPr>
            <w:tcW w:w="637" w:type="pct"/>
            <w:shd w:val="clear" w:color="auto" w:fill="FFFFFF"/>
            <w:tcMar>
              <w:top w:w="7" w:type="dxa"/>
              <w:left w:w="7" w:type="dxa"/>
              <w:bottom w:w="0" w:type="dxa"/>
              <w:right w:w="7" w:type="dxa"/>
            </w:tcMar>
            <w:vAlign w:val="center"/>
            <w:hideMark/>
          </w:tcPr>
          <w:p w14:paraId="27AC9255"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2,237.2</w:t>
            </w:r>
          </w:p>
        </w:tc>
        <w:tc>
          <w:tcPr>
            <w:tcW w:w="583" w:type="pct"/>
            <w:shd w:val="clear" w:color="auto" w:fill="FFFFFF"/>
            <w:tcMar>
              <w:top w:w="7" w:type="dxa"/>
              <w:left w:w="7" w:type="dxa"/>
              <w:bottom w:w="0" w:type="dxa"/>
              <w:right w:w="7" w:type="dxa"/>
            </w:tcMar>
            <w:vAlign w:val="center"/>
            <w:hideMark/>
          </w:tcPr>
          <w:p w14:paraId="2276842C"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1,270.1</w:t>
            </w:r>
          </w:p>
        </w:tc>
        <w:tc>
          <w:tcPr>
            <w:tcW w:w="589" w:type="pct"/>
            <w:shd w:val="clear" w:color="auto" w:fill="FFFFFF"/>
            <w:tcMar>
              <w:top w:w="7" w:type="dxa"/>
              <w:left w:w="7" w:type="dxa"/>
              <w:bottom w:w="0" w:type="dxa"/>
              <w:right w:w="7" w:type="dxa"/>
            </w:tcMar>
            <w:vAlign w:val="center"/>
            <w:hideMark/>
          </w:tcPr>
          <w:p w14:paraId="37B955CA"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56.8%</w:t>
            </w:r>
          </w:p>
        </w:tc>
        <w:tc>
          <w:tcPr>
            <w:tcW w:w="631" w:type="pct"/>
            <w:shd w:val="clear" w:color="auto" w:fill="FFFFFF"/>
            <w:tcMar>
              <w:top w:w="7" w:type="dxa"/>
              <w:left w:w="7" w:type="dxa"/>
              <w:bottom w:w="0" w:type="dxa"/>
              <w:right w:w="7" w:type="dxa"/>
            </w:tcMar>
            <w:vAlign w:val="center"/>
            <w:hideMark/>
          </w:tcPr>
          <w:p w14:paraId="5C1CFD00"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2,372.7</w:t>
            </w:r>
          </w:p>
        </w:tc>
        <w:tc>
          <w:tcPr>
            <w:tcW w:w="588" w:type="pct"/>
            <w:shd w:val="clear" w:color="auto" w:fill="FFFFFF"/>
            <w:tcMar>
              <w:top w:w="7" w:type="dxa"/>
              <w:left w:w="7" w:type="dxa"/>
              <w:bottom w:w="0" w:type="dxa"/>
              <w:right w:w="7" w:type="dxa"/>
            </w:tcMar>
            <w:vAlign w:val="center"/>
            <w:hideMark/>
          </w:tcPr>
          <w:p w14:paraId="5F22C1F0"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1,231.7</w:t>
            </w:r>
          </w:p>
        </w:tc>
        <w:tc>
          <w:tcPr>
            <w:tcW w:w="600" w:type="pct"/>
            <w:shd w:val="clear" w:color="auto" w:fill="FFFFFF"/>
            <w:tcMar>
              <w:top w:w="7" w:type="dxa"/>
              <w:left w:w="7" w:type="dxa"/>
              <w:bottom w:w="0" w:type="dxa"/>
              <w:right w:w="7" w:type="dxa"/>
            </w:tcMar>
            <w:vAlign w:val="center"/>
            <w:hideMark/>
          </w:tcPr>
          <w:p w14:paraId="53770554"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51.9%</w:t>
            </w:r>
          </w:p>
        </w:tc>
      </w:tr>
      <w:tr w:rsidR="00164238" w:rsidRPr="00164238" w14:paraId="6B171DF2" w14:textId="77777777" w:rsidTr="00682CBF">
        <w:trPr>
          <w:trHeight w:val="20"/>
        </w:trPr>
        <w:tc>
          <w:tcPr>
            <w:tcW w:w="1373" w:type="pct"/>
            <w:shd w:val="clear" w:color="auto" w:fill="FFFFFF"/>
            <w:tcMar>
              <w:top w:w="7" w:type="dxa"/>
              <w:left w:w="7" w:type="dxa"/>
              <w:bottom w:w="0" w:type="dxa"/>
              <w:right w:w="7" w:type="dxa"/>
            </w:tcMar>
            <w:vAlign w:val="center"/>
            <w:hideMark/>
          </w:tcPr>
          <w:p w14:paraId="5DB43F5D"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Health / Sickness</w:t>
            </w:r>
          </w:p>
        </w:tc>
        <w:tc>
          <w:tcPr>
            <w:tcW w:w="637" w:type="pct"/>
            <w:shd w:val="clear" w:color="auto" w:fill="FFFFFF"/>
            <w:tcMar>
              <w:top w:w="7" w:type="dxa"/>
              <w:left w:w="7" w:type="dxa"/>
              <w:bottom w:w="0" w:type="dxa"/>
              <w:right w:w="7" w:type="dxa"/>
            </w:tcMar>
            <w:vAlign w:val="center"/>
            <w:hideMark/>
          </w:tcPr>
          <w:p w14:paraId="66EFC8CC"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10,096.3</w:t>
            </w:r>
          </w:p>
        </w:tc>
        <w:tc>
          <w:tcPr>
            <w:tcW w:w="583" w:type="pct"/>
            <w:shd w:val="clear" w:color="auto" w:fill="FFFFFF"/>
            <w:tcMar>
              <w:top w:w="7" w:type="dxa"/>
              <w:left w:w="7" w:type="dxa"/>
              <w:bottom w:w="0" w:type="dxa"/>
              <w:right w:w="7" w:type="dxa"/>
            </w:tcMar>
            <w:vAlign w:val="center"/>
            <w:hideMark/>
          </w:tcPr>
          <w:p w14:paraId="17F7172C"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2,012.5</w:t>
            </w:r>
          </w:p>
        </w:tc>
        <w:tc>
          <w:tcPr>
            <w:tcW w:w="589" w:type="pct"/>
            <w:shd w:val="clear" w:color="auto" w:fill="FFFFFF"/>
            <w:tcMar>
              <w:top w:w="7" w:type="dxa"/>
              <w:left w:w="7" w:type="dxa"/>
              <w:bottom w:w="0" w:type="dxa"/>
              <w:right w:w="7" w:type="dxa"/>
            </w:tcMar>
            <w:vAlign w:val="center"/>
            <w:hideMark/>
          </w:tcPr>
          <w:p w14:paraId="7D40BD62"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19.9%</w:t>
            </w:r>
          </w:p>
        </w:tc>
        <w:tc>
          <w:tcPr>
            <w:tcW w:w="631" w:type="pct"/>
            <w:shd w:val="clear" w:color="auto" w:fill="FFFFFF"/>
            <w:tcMar>
              <w:top w:w="7" w:type="dxa"/>
              <w:left w:w="7" w:type="dxa"/>
              <w:bottom w:w="0" w:type="dxa"/>
              <w:right w:w="7" w:type="dxa"/>
            </w:tcMar>
            <w:vAlign w:val="center"/>
            <w:hideMark/>
          </w:tcPr>
          <w:p w14:paraId="37AE66F7"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8,358.9</w:t>
            </w:r>
          </w:p>
        </w:tc>
        <w:tc>
          <w:tcPr>
            <w:tcW w:w="588" w:type="pct"/>
            <w:shd w:val="clear" w:color="auto" w:fill="FFFFFF"/>
            <w:tcMar>
              <w:top w:w="7" w:type="dxa"/>
              <w:left w:w="7" w:type="dxa"/>
              <w:bottom w:w="0" w:type="dxa"/>
              <w:right w:w="7" w:type="dxa"/>
            </w:tcMar>
            <w:vAlign w:val="center"/>
            <w:hideMark/>
          </w:tcPr>
          <w:p w14:paraId="38B0F011"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1,028.3</w:t>
            </w:r>
          </w:p>
        </w:tc>
        <w:tc>
          <w:tcPr>
            <w:tcW w:w="600" w:type="pct"/>
            <w:shd w:val="clear" w:color="auto" w:fill="FFFFFF"/>
            <w:tcMar>
              <w:top w:w="7" w:type="dxa"/>
              <w:left w:w="7" w:type="dxa"/>
              <w:bottom w:w="0" w:type="dxa"/>
              <w:right w:w="7" w:type="dxa"/>
            </w:tcMar>
            <w:vAlign w:val="center"/>
            <w:hideMark/>
          </w:tcPr>
          <w:p w14:paraId="76F689F3"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12.3%</w:t>
            </w:r>
          </w:p>
        </w:tc>
      </w:tr>
      <w:tr w:rsidR="00164238" w:rsidRPr="00164238" w14:paraId="7659761C" w14:textId="77777777" w:rsidTr="00682CBF">
        <w:trPr>
          <w:trHeight w:val="20"/>
        </w:trPr>
        <w:tc>
          <w:tcPr>
            <w:tcW w:w="1373" w:type="pct"/>
            <w:shd w:val="clear" w:color="auto" w:fill="FFFFFF"/>
            <w:tcMar>
              <w:top w:w="7" w:type="dxa"/>
              <w:left w:w="7" w:type="dxa"/>
              <w:bottom w:w="0" w:type="dxa"/>
              <w:right w:w="7" w:type="dxa"/>
            </w:tcMar>
            <w:vAlign w:val="center"/>
            <w:hideMark/>
          </w:tcPr>
          <w:p w14:paraId="70E4B1B1"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Motor Vehicles</w:t>
            </w:r>
          </w:p>
        </w:tc>
        <w:tc>
          <w:tcPr>
            <w:tcW w:w="637" w:type="pct"/>
            <w:shd w:val="clear" w:color="auto" w:fill="FFFFFF"/>
            <w:tcMar>
              <w:top w:w="7" w:type="dxa"/>
              <w:left w:w="7" w:type="dxa"/>
              <w:bottom w:w="0" w:type="dxa"/>
              <w:right w:w="7" w:type="dxa"/>
            </w:tcMar>
            <w:vAlign w:val="center"/>
            <w:hideMark/>
          </w:tcPr>
          <w:p w14:paraId="1081B8FB"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10,738.0</w:t>
            </w:r>
          </w:p>
        </w:tc>
        <w:tc>
          <w:tcPr>
            <w:tcW w:w="583" w:type="pct"/>
            <w:shd w:val="clear" w:color="auto" w:fill="FFFFFF"/>
            <w:tcMar>
              <w:top w:w="7" w:type="dxa"/>
              <w:left w:w="7" w:type="dxa"/>
              <w:bottom w:w="0" w:type="dxa"/>
              <w:right w:w="7" w:type="dxa"/>
            </w:tcMar>
            <w:vAlign w:val="center"/>
            <w:hideMark/>
          </w:tcPr>
          <w:p w14:paraId="5BA23B64"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2,295.1</w:t>
            </w:r>
          </w:p>
        </w:tc>
        <w:tc>
          <w:tcPr>
            <w:tcW w:w="589" w:type="pct"/>
            <w:shd w:val="clear" w:color="auto" w:fill="FFFFFF"/>
            <w:tcMar>
              <w:top w:w="7" w:type="dxa"/>
              <w:left w:w="7" w:type="dxa"/>
              <w:bottom w:w="0" w:type="dxa"/>
              <w:right w:w="7" w:type="dxa"/>
            </w:tcMar>
            <w:vAlign w:val="center"/>
            <w:hideMark/>
          </w:tcPr>
          <w:p w14:paraId="79CD4CBB"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21.4%</w:t>
            </w:r>
          </w:p>
        </w:tc>
        <w:tc>
          <w:tcPr>
            <w:tcW w:w="631" w:type="pct"/>
            <w:shd w:val="clear" w:color="auto" w:fill="FFFFFF"/>
            <w:tcMar>
              <w:top w:w="7" w:type="dxa"/>
              <w:left w:w="7" w:type="dxa"/>
              <w:bottom w:w="0" w:type="dxa"/>
              <w:right w:w="7" w:type="dxa"/>
            </w:tcMar>
            <w:vAlign w:val="center"/>
            <w:hideMark/>
          </w:tcPr>
          <w:p w14:paraId="5405A73B"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9,406.4</w:t>
            </w:r>
          </w:p>
        </w:tc>
        <w:tc>
          <w:tcPr>
            <w:tcW w:w="588" w:type="pct"/>
            <w:shd w:val="clear" w:color="auto" w:fill="FFFFFF"/>
            <w:tcMar>
              <w:top w:w="7" w:type="dxa"/>
              <w:left w:w="7" w:type="dxa"/>
              <w:bottom w:w="0" w:type="dxa"/>
              <w:right w:w="7" w:type="dxa"/>
            </w:tcMar>
            <w:vAlign w:val="center"/>
            <w:hideMark/>
          </w:tcPr>
          <w:p w14:paraId="77ED61AA"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1,866.5</w:t>
            </w:r>
          </w:p>
        </w:tc>
        <w:tc>
          <w:tcPr>
            <w:tcW w:w="600" w:type="pct"/>
            <w:shd w:val="clear" w:color="auto" w:fill="FFFFFF"/>
            <w:tcMar>
              <w:top w:w="7" w:type="dxa"/>
              <w:left w:w="7" w:type="dxa"/>
              <w:bottom w:w="0" w:type="dxa"/>
              <w:right w:w="7" w:type="dxa"/>
            </w:tcMar>
            <w:vAlign w:val="center"/>
            <w:hideMark/>
          </w:tcPr>
          <w:p w14:paraId="68C8B1CA"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19.8%</w:t>
            </w:r>
          </w:p>
        </w:tc>
      </w:tr>
      <w:tr w:rsidR="00164238" w:rsidRPr="00164238" w14:paraId="464A4C49" w14:textId="77777777" w:rsidTr="00682CBF">
        <w:trPr>
          <w:trHeight w:val="20"/>
        </w:trPr>
        <w:tc>
          <w:tcPr>
            <w:tcW w:w="1373" w:type="pct"/>
            <w:shd w:val="clear" w:color="auto" w:fill="FFFFFF"/>
            <w:tcMar>
              <w:top w:w="7" w:type="dxa"/>
              <w:left w:w="7" w:type="dxa"/>
              <w:bottom w:w="0" w:type="dxa"/>
              <w:right w:w="7" w:type="dxa"/>
            </w:tcMar>
            <w:vAlign w:val="center"/>
            <w:hideMark/>
          </w:tcPr>
          <w:p w14:paraId="6115074E"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Railway Vehicles</w:t>
            </w:r>
          </w:p>
        </w:tc>
        <w:tc>
          <w:tcPr>
            <w:tcW w:w="637" w:type="pct"/>
            <w:shd w:val="clear" w:color="auto" w:fill="FFFFFF"/>
            <w:tcMar>
              <w:top w:w="7" w:type="dxa"/>
              <w:left w:w="7" w:type="dxa"/>
              <w:bottom w:w="0" w:type="dxa"/>
              <w:right w:w="7" w:type="dxa"/>
            </w:tcMar>
            <w:vAlign w:val="center"/>
            <w:hideMark/>
          </w:tcPr>
          <w:p w14:paraId="7EC63457"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0.0</w:t>
            </w:r>
          </w:p>
        </w:tc>
        <w:tc>
          <w:tcPr>
            <w:tcW w:w="583" w:type="pct"/>
            <w:shd w:val="clear" w:color="auto" w:fill="FFFFFF"/>
            <w:tcMar>
              <w:top w:w="7" w:type="dxa"/>
              <w:left w:w="7" w:type="dxa"/>
              <w:bottom w:w="0" w:type="dxa"/>
              <w:right w:w="7" w:type="dxa"/>
            </w:tcMar>
            <w:vAlign w:val="center"/>
            <w:hideMark/>
          </w:tcPr>
          <w:p w14:paraId="14D2FB39"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(0.5)</w:t>
            </w:r>
          </w:p>
        </w:tc>
        <w:tc>
          <w:tcPr>
            <w:tcW w:w="589" w:type="pct"/>
            <w:shd w:val="clear" w:color="auto" w:fill="FFFFFF"/>
            <w:tcMar>
              <w:top w:w="7" w:type="dxa"/>
              <w:left w:w="7" w:type="dxa"/>
              <w:bottom w:w="0" w:type="dxa"/>
              <w:right w:w="7" w:type="dxa"/>
            </w:tcMar>
            <w:vAlign w:val="center"/>
            <w:hideMark/>
          </w:tcPr>
          <w:p w14:paraId="7CFC78DE"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-3274.5%</w:t>
            </w:r>
          </w:p>
        </w:tc>
        <w:tc>
          <w:tcPr>
            <w:tcW w:w="631" w:type="pct"/>
            <w:shd w:val="clear" w:color="auto" w:fill="FFFFFF"/>
            <w:tcMar>
              <w:top w:w="7" w:type="dxa"/>
              <w:left w:w="7" w:type="dxa"/>
              <w:bottom w:w="0" w:type="dxa"/>
              <w:right w:w="7" w:type="dxa"/>
            </w:tcMar>
            <w:vAlign w:val="center"/>
            <w:hideMark/>
          </w:tcPr>
          <w:p w14:paraId="7CB5E191"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0.0</w:t>
            </w:r>
          </w:p>
        </w:tc>
        <w:tc>
          <w:tcPr>
            <w:tcW w:w="588" w:type="pct"/>
            <w:shd w:val="clear" w:color="auto" w:fill="FFFFFF"/>
            <w:tcMar>
              <w:top w:w="7" w:type="dxa"/>
              <w:left w:w="7" w:type="dxa"/>
              <w:bottom w:w="0" w:type="dxa"/>
              <w:right w:w="7" w:type="dxa"/>
            </w:tcMar>
            <w:vAlign w:val="center"/>
            <w:hideMark/>
          </w:tcPr>
          <w:p w14:paraId="689B80DE"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0.0</w:t>
            </w:r>
          </w:p>
        </w:tc>
        <w:tc>
          <w:tcPr>
            <w:tcW w:w="600" w:type="pct"/>
            <w:shd w:val="clear" w:color="auto" w:fill="FFFFFF"/>
            <w:tcMar>
              <w:top w:w="7" w:type="dxa"/>
              <w:left w:w="7" w:type="dxa"/>
              <w:bottom w:w="0" w:type="dxa"/>
              <w:right w:w="7" w:type="dxa"/>
            </w:tcMar>
            <w:vAlign w:val="center"/>
            <w:hideMark/>
          </w:tcPr>
          <w:p w14:paraId="30ABB4F8"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39.1%</w:t>
            </w:r>
          </w:p>
        </w:tc>
      </w:tr>
      <w:tr w:rsidR="00164238" w:rsidRPr="00164238" w14:paraId="66502EBD" w14:textId="77777777" w:rsidTr="00682CBF">
        <w:trPr>
          <w:trHeight w:val="20"/>
        </w:trPr>
        <w:tc>
          <w:tcPr>
            <w:tcW w:w="1373" w:type="pct"/>
            <w:shd w:val="clear" w:color="auto" w:fill="FFFFFF"/>
            <w:tcMar>
              <w:top w:w="7" w:type="dxa"/>
              <w:left w:w="7" w:type="dxa"/>
              <w:bottom w:w="0" w:type="dxa"/>
              <w:right w:w="7" w:type="dxa"/>
            </w:tcMar>
            <w:vAlign w:val="center"/>
            <w:hideMark/>
          </w:tcPr>
          <w:p w14:paraId="2B5D5D38"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Aviation</w:t>
            </w:r>
          </w:p>
        </w:tc>
        <w:tc>
          <w:tcPr>
            <w:tcW w:w="637" w:type="pct"/>
            <w:shd w:val="clear" w:color="auto" w:fill="FFFFFF"/>
            <w:tcMar>
              <w:top w:w="7" w:type="dxa"/>
              <w:left w:w="7" w:type="dxa"/>
              <w:bottom w:w="0" w:type="dxa"/>
              <w:right w:w="7" w:type="dxa"/>
            </w:tcMar>
            <w:vAlign w:val="center"/>
            <w:hideMark/>
          </w:tcPr>
          <w:p w14:paraId="37CDF8DF"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369.7</w:t>
            </w:r>
          </w:p>
        </w:tc>
        <w:tc>
          <w:tcPr>
            <w:tcW w:w="583" w:type="pct"/>
            <w:shd w:val="clear" w:color="auto" w:fill="FFFFFF"/>
            <w:tcMar>
              <w:top w:w="7" w:type="dxa"/>
              <w:left w:w="7" w:type="dxa"/>
              <w:bottom w:w="0" w:type="dxa"/>
              <w:right w:w="7" w:type="dxa"/>
            </w:tcMar>
            <w:vAlign w:val="center"/>
            <w:hideMark/>
          </w:tcPr>
          <w:p w14:paraId="73D16072"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6.1</w:t>
            </w:r>
          </w:p>
        </w:tc>
        <w:tc>
          <w:tcPr>
            <w:tcW w:w="589" w:type="pct"/>
            <w:shd w:val="clear" w:color="auto" w:fill="FFFFFF"/>
            <w:tcMar>
              <w:top w:w="7" w:type="dxa"/>
              <w:left w:w="7" w:type="dxa"/>
              <w:bottom w:w="0" w:type="dxa"/>
              <w:right w:w="7" w:type="dxa"/>
            </w:tcMar>
            <w:vAlign w:val="center"/>
            <w:hideMark/>
          </w:tcPr>
          <w:p w14:paraId="426DE2A9"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1.7%</w:t>
            </w:r>
          </w:p>
        </w:tc>
        <w:tc>
          <w:tcPr>
            <w:tcW w:w="631" w:type="pct"/>
            <w:shd w:val="clear" w:color="auto" w:fill="FFFFFF"/>
            <w:tcMar>
              <w:top w:w="7" w:type="dxa"/>
              <w:left w:w="7" w:type="dxa"/>
              <w:bottom w:w="0" w:type="dxa"/>
              <w:right w:w="7" w:type="dxa"/>
            </w:tcMar>
            <w:vAlign w:val="center"/>
            <w:hideMark/>
          </w:tcPr>
          <w:p w14:paraId="0C9D40F1"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223.9</w:t>
            </w:r>
          </w:p>
        </w:tc>
        <w:tc>
          <w:tcPr>
            <w:tcW w:w="588" w:type="pct"/>
            <w:shd w:val="clear" w:color="auto" w:fill="FFFFFF"/>
            <w:tcMar>
              <w:top w:w="7" w:type="dxa"/>
              <w:left w:w="7" w:type="dxa"/>
              <w:bottom w:w="0" w:type="dxa"/>
              <w:right w:w="7" w:type="dxa"/>
            </w:tcMar>
            <w:vAlign w:val="center"/>
            <w:hideMark/>
          </w:tcPr>
          <w:p w14:paraId="07D12556"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(13.0)</w:t>
            </w:r>
          </w:p>
        </w:tc>
        <w:tc>
          <w:tcPr>
            <w:tcW w:w="600" w:type="pct"/>
            <w:shd w:val="clear" w:color="auto" w:fill="FFFFFF"/>
            <w:tcMar>
              <w:top w:w="7" w:type="dxa"/>
              <w:left w:w="7" w:type="dxa"/>
              <w:bottom w:w="0" w:type="dxa"/>
              <w:right w:w="7" w:type="dxa"/>
            </w:tcMar>
            <w:vAlign w:val="center"/>
            <w:hideMark/>
          </w:tcPr>
          <w:p w14:paraId="7D92082A"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-5.8%</w:t>
            </w:r>
          </w:p>
        </w:tc>
      </w:tr>
      <w:tr w:rsidR="00164238" w:rsidRPr="00164238" w14:paraId="27B0FBBE" w14:textId="77777777" w:rsidTr="00682CBF">
        <w:trPr>
          <w:trHeight w:val="20"/>
        </w:trPr>
        <w:tc>
          <w:tcPr>
            <w:tcW w:w="1373" w:type="pct"/>
            <w:shd w:val="clear" w:color="auto" w:fill="FFFFFF"/>
            <w:tcMar>
              <w:top w:w="7" w:type="dxa"/>
              <w:left w:w="7" w:type="dxa"/>
              <w:bottom w:w="0" w:type="dxa"/>
              <w:right w:w="7" w:type="dxa"/>
            </w:tcMar>
            <w:vAlign w:val="center"/>
            <w:hideMark/>
          </w:tcPr>
          <w:p w14:paraId="2D1DEFB0"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Hull And Machinery</w:t>
            </w:r>
          </w:p>
        </w:tc>
        <w:tc>
          <w:tcPr>
            <w:tcW w:w="637" w:type="pct"/>
            <w:shd w:val="clear" w:color="auto" w:fill="FFFFFF"/>
            <w:tcMar>
              <w:top w:w="7" w:type="dxa"/>
              <w:left w:w="7" w:type="dxa"/>
              <w:bottom w:w="0" w:type="dxa"/>
              <w:right w:w="7" w:type="dxa"/>
            </w:tcMar>
            <w:vAlign w:val="center"/>
            <w:hideMark/>
          </w:tcPr>
          <w:p w14:paraId="70810368"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621.7</w:t>
            </w:r>
          </w:p>
        </w:tc>
        <w:tc>
          <w:tcPr>
            <w:tcW w:w="583" w:type="pct"/>
            <w:shd w:val="clear" w:color="auto" w:fill="FFFFFF"/>
            <w:tcMar>
              <w:top w:w="7" w:type="dxa"/>
              <w:left w:w="7" w:type="dxa"/>
              <w:bottom w:w="0" w:type="dxa"/>
              <w:right w:w="7" w:type="dxa"/>
            </w:tcMar>
            <w:vAlign w:val="center"/>
            <w:hideMark/>
          </w:tcPr>
          <w:p w14:paraId="206CB022"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30.8</w:t>
            </w:r>
          </w:p>
        </w:tc>
        <w:tc>
          <w:tcPr>
            <w:tcW w:w="589" w:type="pct"/>
            <w:shd w:val="clear" w:color="auto" w:fill="FFFFFF"/>
            <w:tcMar>
              <w:top w:w="7" w:type="dxa"/>
              <w:left w:w="7" w:type="dxa"/>
              <w:bottom w:w="0" w:type="dxa"/>
              <w:right w:w="7" w:type="dxa"/>
            </w:tcMar>
            <w:vAlign w:val="center"/>
            <w:hideMark/>
          </w:tcPr>
          <w:p w14:paraId="04ADCBDE"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5.0%</w:t>
            </w:r>
          </w:p>
        </w:tc>
        <w:tc>
          <w:tcPr>
            <w:tcW w:w="631" w:type="pct"/>
            <w:shd w:val="clear" w:color="auto" w:fill="FFFFFF"/>
            <w:tcMar>
              <w:top w:w="7" w:type="dxa"/>
              <w:left w:w="7" w:type="dxa"/>
              <w:bottom w:w="0" w:type="dxa"/>
              <w:right w:w="7" w:type="dxa"/>
            </w:tcMar>
            <w:vAlign w:val="center"/>
            <w:hideMark/>
          </w:tcPr>
          <w:p w14:paraId="1A72AA04"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413.3</w:t>
            </w:r>
          </w:p>
        </w:tc>
        <w:tc>
          <w:tcPr>
            <w:tcW w:w="588" w:type="pct"/>
            <w:shd w:val="clear" w:color="auto" w:fill="FFFFFF"/>
            <w:tcMar>
              <w:top w:w="7" w:type="dxa"/>
              <w:left w:w="7" w:type="dxa"/>
              <w:bottom w:w="0" w:type="dxa"/>
              <w:right w:w="7" w:type="dxa"/>
            </w:tcMar>
            <w:vAlign w:val="center"/>
            <w:hideMark/>
          </w:tcPr>
          <w:p w14:paraId="3BF10EEE"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(22.2)</w:t>
            </w:r>
          </w:p>
        </w:tc>
        <w:tc>
          <w:tcPr>
            <w:tcW w:w="600" w:type="pct"/>
            <w:shd w:val="clear" w:color="auto" w:fill="FFFFFF"/>
            <w:tcMar>
              <w:top w:w="7" w:type="dxa"/>
              <w:left w:w="7" w:type="dxa"/>
              <w:bottom w:w="0" w:type="dxa"/>
              <w:right w:w="7" w:type="dxa"/>
            </w:tcMar>
            <w:vAlign w:val="center"/>
            <w:hideMark/>
          </w:tcPr>
          <w:p w14:paraId="29D69222"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-5.4%</w:t>
            </w:r>
          </w:p>
        </w:tc>
      </w:tr>
      <w:tr w:rsidR="00164238" w:rsidRPr="00164238" w14:paraId="464AA4A8" w14:textId="77777777" w:rsidTr="00682CBF">
        <w:trPr>
          <w:trHeight w:val="20"/>
        </w:trPr>
        <w:tc>
          <w:tcPr>
            <w:tcW w:w="1373" w:type="pct"/>
            <w:shd w:val="clear" w:color="auto" w:fill="FFFFFF"/>
            <w:tcMar>
              <w:top w:w="7" w:type="dxa"/>
              <w:left w:w="7" w:type="dxa"/>
              <w:bottom w:w="0" w:type="dxa"/>
              <w:right w:w="7" w:type="dxa"/>
            </w:tcMar>
            <w:vAlign w:val="center"/>
            <w:hideMark/>
          </w:tcPr>
          <w:p w14:paraId="4BB67640"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Transport</w:t>
            </w:r>
          </w:p>
        </w:tc>
        <w:tc>
          <w:tcPr>
            <w:tcW w:w="637" w:type="pct"/>
            <w:shd w:val="clear" w:color="auto" w:fill="FFFFFF"/>
            <w:tcMar>
              <w:top w:w="7" w:type="dxa"/>
              <w:left w:w="7" w:type="dxa"/>
              <w:bottom w:w="0" w:type="dxa"/>
              <w:right w:w="7" w:type="dxa"/>
            </w:tcMar>
            <w:vAlign w:val="center"/>
            <w:hideMark/>
          </w:tcPr>
          <w:p w14:paraId="31E34101"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1,204.3</w:t>
            </w:r>
          </w:p>
        </w:tc>
        <w:tc>
          <w:tcPr>
            <w:tcW w:w="583" w:type="pct"/>
            <w:shd w:val="clear" w:color="auto" w:fill="FFFFFF"/>
            <w:tcMar>
              <w:top w:w="7" w:type="dxa"/>
              <w:left w:w="7" w:type="dxa"/>
              <w:bottom w:w="0" w:type="dxa"/>
              <w:right w:w="7" w:type="dxa"/>
            </w:tcMar>
            <w:vAlign w:val="center"/>
            <w:hideMark/>
          </w:tcPr>
          <w:p w14:paraId="76418F56"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330.5</w:t>
            </w:r>
          </w:p>
        </w:tc>
        <w:tc>
          <w:tcPr>
            <w:tcW w:w="589" w:type="pct"/>
            <w:shd w:val="clear" w:color="auto" w:fill="FFFFFF"/>
            <w:tcMar>
              <w:top w:w="7" w:type="dxa"/>
              <w:left w:w="7" w:type="dxa"/>
              <w:bottom w:w="0" w:type="dxa"/>
              <w:right w:w="7" w:type="dxa"/>
            </w:tcMar>
            <w:vAlign w:val="center"/>
            <w:hideMark/>
          </w:tcPr>
          <w:p w14:paraId="4C24DD7D"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27.4%</w:t>
            </w:r>
          </w:p>
        </w:tc>
        <w:tc>
          <w:tcPr>
            <w:tcW w:w="631" w:type="pct"/>
            <w:shd w:val="clear" w:color="auto" w:fill="FFFFFF"/>
            <w:tcMar>
              <w:top w:w="7" w:type="dxa"/>
              <w:left w:w="7" w:type="dxa"/>
              <w:bottom w:w="0" w:type="dxa"/>
              <w:right w:w="7" w:type="dxa"/>
            </w:tcMar>
            <w:vAlign w:val="center"/>
            <w:hideMark/>
          </w:tcPr>
          <w:p w14:paraId="3D51D901"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950.8</w:t>
            </w:r>
          </w:p>
        </w:tc>
        <w:tc>
          <w:tcPr>
            <w:tcW w:w="588" w:type="pct"/>
            <w:shd w:val="clear" w:color="auto" w:fill="FFFFFF"/>
            <w:tcMar>
              <w:top w:w="7" w:type="dxa"/>
              <w:left w:w="7" w:type="dxa"/>
              <w:bottom w:w="0" w:type="dxa"/>
              <w:right w:w="7" w:type="dxa"/>
            </w:tcMar>
            <w:vAlign w:val="center"/>
            <w:hideMark/>
          </w:tcPr>
          <w:p w14:paraId="07FED7FA"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300.5</w:t>
            </w:r>
          </w:p>
        </w:tc>
        <w:tc>
          <w:tcPr>
            <w:tcW w:w="600" w:type="pct"/>
            <w:shd w:val="clear" w:color="auto" w:fill="FFFFFF"/>
            <w:tcMar>
              <w:top w:w="7" w:type="dxa"/>
              <w:left w:w="7" w:type="dxa"/>
              <w:bottom w:w="0" w:type="dxa"/>
              <w:right w:w="7" w:type="dxa"/>
            </w:tcMar>
            <w:vAlign w:val="center"/>
            <w:hideMark/>
          </w:tcPr>
          <w:p w14:paraId="56B058C7"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31.6%</w:t>
            </w:r>
          </w:p>
        </w:tc>
      </w:tr>
      <w:tr w:rsidR="00164238" w:rsidRPr="00164238" w14:paraId="6AB6E08E" w14:textId="77777777" w:rsidTr="00682CBF">
        <w:trPr>
          <w:trHeight w:val="20"/>
        </w:trPr>
        <w:tc>
          <w:tcPr>
            <w:tcW w:w="1373" w:type="pct"/>
            <w:shd w:val="clear" w:color="auto" w:fill="FFFFFF"/>
            <w:tcMar>
              <w:top w:w="7" w:type="dxa"/>
              <w:left w:w="7" w:type="dxa"/>
              <w:bottom w:w="0" w:type="dxa"/>
              <w:right w:w="7" w:type="dxa"/>
            </w:tcMar>
            <w:vAlign w:val="center"/>
            <w:hideMark/>
          </w:tcPr>
          <w:p w14:paraId="389B9D1E"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Fire and Natural Disasters</w:t>
            </w:r>
          </w:p>
        </w:tc>
        <w:tc>
          <w:tcPr>
            <w:tcW w:w="637" w:type="pct"/>
            <w:shd w:val="clear" w:color="auto" w:fill="FFFFFF"/>
            <w:tcMar>
              <w:top w:w="7" w:type="dxa"/>
              <w:left w:w="7" w:type="dxa"/>
              <w:bottom w:w="0" w:type="dxa"/>
              <w:right w:w="7" w:type="dxa"/>
            </w:tcMar>
            <w:vAlign w:val="center"/>
            <w:hideMark/>
          </w:tcPr>
          <w:p w14:paraId="44E76ACE"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10,585.8</w:t>
            </w:r>
          </w:p>
        </w:tc>
        <w:tc>
          <w:tcPr>
            <w:tcW w:w="583" w:type="pct"/>
            <w:shd w:val="clear" w:color="auto" w:fill="FFFFFF"/>
            <w:tcMar>
              <w:top w:w="7" w:type="dxa"/>
              <w:left w:w="7" w:type="dxa"/>
              <w:bottom w:w="0" w:type="dxa"/>
              <w:right w:w="7" w:type="dxa"/>
            </w:tcMar>
            <w:vAlign w:val="center"/>
            <w:hideMark/>
          </w:tcPr>
          <w:p w14:paraId="7CF931AE"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991.7</w:t>
            </w:r>
          </w:p>
        </w:tc>
        <w:tc>
          <w:tcPr>
            <w:tcW w:w="589" w:type="pct"/>
            <w:shd w:val="clear" w:color="auto" w:fill="FFFFFF"/>
            <w:tcMar>
              <w:top w:w="7" w:type="dxa"/>
              <w:left w:w="7" w:type="dxa"/>
              <w:bottom w:w="0" w:type="dxa"/>
              <w:right w:w="7" w:type="dxa"/>
            </w:tcMar>
            <w:vAlign w:val="center"/>
            <w:hideMark/>
          </w:tcPr>
          <w:p w14:paraId="7EF3E009"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9.4%</w:t>
            </w:r>
          </w:p>
        </w:tc>
        <w:tc>
          <w:tcPr>
            <w:tcW w:w="631" w:type="pct"/>
            <w:shd w:val="clear" w:color="auto" w:fill="FFFFFF"/>
            <w:tcMar>
              <w:top w:w="7" w:type="dxa"/>
              <w:left w:w="7" w:type="dxa"/>
              <w:bottom w:w="0" w:type="dxa"/>
              <w:right w:w="7" w:type="dxa"/>
            </w:tcMar>
            <w:vAlign w:val="center"/>
            <w:hideMark/>
          </w:tcPr>
          <w:p w14:paraId="6CE6B4F9"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8,447.1</w:t>
            </w:r>
          </w:p>
        </w:tc>
        <w:tc>
          <w:tcPr>
            <w:tcW w:w="588" w:type="pct"/>
            <w:shd w:val="clear" w:color="auto" w:fill="FFFFFF"/>
            <w:tcMar>
              <w:top w:w="7" w:type="dxa"/>
              <w:left w:w="7" w:type="dxa"/>
              <w:bottom w:w="0" w:type="dxa"/>
              <w:right w:w="7" w:type="dxa"/>
            </w:tcMar>
            <w:vAlign w:val="center"/>
            <w:hideMark/>
          </w:tcPr>
          <w:p w14:paraId="69B9B076"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835.2</w:t>
            </w:r>
          </w:p>
        </w:tc>
        <w:tc>
          <w:tcPr>
            <w:tcW w:w="600" w:type="pct"/>
            <w:shd w:val="clear" w:color="auto" w:fill="FFFFFF"/>
            <w:tcMar>
              <w:top w:w="7" w:type="dxa"/>
              <w:left w:w="7" w:type="dxa"/>
              <w:bottom w:w="0" w:type="dxa"/>
              <w:right w:w="7" w:type="dxa"/>
            </w:tcMar>
            <w:vAlign w:val="center"/>
            <w:hideMark/>
          </w:tcPr>
          <w:p w14:paraId="13B39063"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9.9%</w:t>
            </w:r>
          </w:p>
        </w:tc>
      </w:tr>
      <w:tr w:rsidR="00164238" w:rsidRPr="00164238" w14:paraId="6954F716" w14:textId="77777777" w:rsidTr="00682CBF">
        <w:trPr>
          <w:trHeight w:val="20"/>
        </w:trPr>
        <w:tc>
          <w:tcPr>
            <w:tcW w:w="1373" w:type="pct"/>
            <w:shd w:val="clear" w:color="auto" w:fill="FFFFFF"/>
            <w:tcMar>
              <w:top w:w="7" w:type="dxa"/>
              <w:left w:w="7" w:type="dxa"/>
              <w:bottom w:w="0" w:type="dxa"/>
              <w:right w:w="7" w:type="dxa"/>
            </w:tcMar>
            <w:vAlign w:val="center"/>
            <w:hideMark/>
          </w:tcPr>
          <w:p w14:paraId="04D1A971"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General Damages</w:t>
            </w:r>
          </w:p>
        </w:tc>
        <w:tc>
          <w:tcPr>
            <w:tcW w:w="637" w:type="pct"/>
            <w:shd w:val="clear" w:color="auto" w:fill="FFFFFF"/>
            <w:tcMar>
              <w:top w:w="7" w:type="dxa"/>
              <w:left w:w="7" w:type="dxa"/>
              <w:bottom w:w="0" w:type="dxa"/>
              <w:right w:w="7" w:type="dxa"/>
            </w:tcMar>
            <w:vAlign w:val="center"/>
            <w:hideMark/>
          </w:tcPr>
          <w:p w14:paraId="7A5DFF35"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7,962.5</w:t>
            </w:r>
          </w:p>
        </w:tc>
        <w:tc>
          <w:tcPr>
            <w:tcW w:w="583" w:type="pct"/>
            <w:shd w:val="clear" w:color="auto" w:fill="FFFFFF"/>
            <w:tcMar>
              <w:top w:w="7" w:type="dxa"/>
              <w:left w:w="7" w:type="dxa"/>
              <w:bottom w:w="0" w:type="dxa"/>
              <w:right w:w="7" w:type="dxa"/>
            </w:tcMar>
            <w:vAlign w:val="center"/>
            <w:hideMark/>
          </w:tcPr>
          <w:p w14:paraId="03148613"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326.8</w:t>
            </w:r>
          </w:p>
        </w:tc>
        <w:tc>
          <w:tcPr>
            <w:tcW w:w="589" w:type="pct"/>
            <w:shd w:val="clear" w:color="auto" w:fill="FFFFFF"/>
            <w:tcMar>
              <w:top w:w="7" w:type="dxa"/>
              <w:left w:w="7" w:type="dxa"/>
              <w:bottom w:w="0" w:type="dxa"/>
              <w:right w:w="7" w:type="dxa"/>
            </w:tcMar>
            <w:vAlign w:val="center"/>
            <w:hideMark/>
          </w:tcPr>
          <w:p w14:paraId="45683715"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4.1%</w:t>
            </w:r>
          </w:p>
        </w:tc>
        <w:tc>
          <w:tcPr>
            <w:tcW w:w="631" w:type="pct"/>
            <w:shd w:val="clear" w:color="auto" w:fill="FFFFFF"/>
            <w:tcMar>
              <w:top w:w="7" w:type="dxa"/>
              <w:left w:w="7" w:type="dxa"/>
              <w:bottom w:w="0" w:type="dxa"/>
              <w:right w:w="7" w:type="dxa"/>
            </w:tcMar>
            <w:vAlign w:val="center"/>
            <w:hideMark/>
          </w:tcPr>
          <w:p w14:paraId="4A15F29A"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5,879.5</w:t>
            </w:r>
          </w:p>
        </w:tc>
        <w:tc>
          <w:tcPr>
            <w:tcW w:w="588" w:type="pct"/>
            <w:shd w:val="clear" w:color="auto" w:fill="FFFFFF"/>
            <w:tcMar>
              <w:top w:w="7" w:type="dxa"/>
              <w:left w:w="7" w:type="dxa"/>
              <w:bottom w:w="0" w:type="dxa"/>
              <w:right w:w="7" w:type="dxa"/>
            </w:tcMar>
            <w:vAlign w:val="center"/>
            <w:hideMark/>
          </w:tcPr>
          <w:p w14:paraId="4708E3D9"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523.1</w:t>
            </w:r>
          </w:p>
        </w:tc>
        <w:tc>
          <w:tcPr>
            <w:tcW w:w="600" w:type="pct"/>
            <w:shd w:val="clear" w:color="auto" w:fill="FFFFFF"/>
            <w:tcMar>
              <w:top w:w="7" w:type="dxa"/>
              <w:left w:w="7" w:type="dxa"/>
              <w:bottom w:w="0" w:type="dxa"/>
              <w:right w:w="7" w:type="dxa"/>
            </w:tcMar>
            <w:vAlign w:val="center"/>
            <w:hideMark/>
          </w:tcPr>
          <w:p w14:paraId="3B19D6DF"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8.9%</w:t>
            </w:r>
          </w:p>
        </w:tc>
      </w:tr>
      <w:tr w:rsidR="00164238" w:rsidRPr="00164238" w14:paraId="4800FB28" w14:textId="77777777" w:rsidTr="00682CBF">
        <w:trPr>
          <w:trHeight w:val="20"/>
        </w:trPr>
        <w:tc>
          <w:tcPr>
            <w:tcW w:w="1373" w:type="pct"/>
            <w:shd w:val="clear" w:color="auto" w:fill="FFFFFF"/>
            <w:tcMar>
              <w:top w:w="7" w:type="dxa"/>
              <w:left w:w="7" w:type="dxa"/>
              <w:bottom w:w="0" w:type="dxa"/>
              <w:right w:w="7" w:type="dxa"/>
            </w:tcMar>
            <w:vAlign w:val="center"/>
            <w:hideMark/>
          </w:tcPr>
          <w:p w14:paraId="7B97EB2B"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Motor Vehicles Liability</w:t>
            </w:r>
          </w:p>
        </w:tc>
        <w:tc>
          <w:tcPr>
            <w:tcW w:w="637" w:type="pct"/>
            <w:shd w:val="clear" w:color="auto" w:fill="FFFFFF"/>
            <w:tcMar>
              <w:top w:w="7" w:type="dxa"/>
              <w:left w:w="7" w:type="dxa"/>
              <w:bottom w:w="0" w:type="dxa"/>
              <w:right w:w="7" w:type="dxa"/>
            </w:tcMar>
            <w:vAlign w:val="center"/>
            <w:hideMark/>
          </w:tcPr>
          <w:p w14:paraId="0E25CB35"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20,494.4</w:t>
            </w:r>
          </w:p>
        </w:tc>
        <w:tc>
          <w:tcPr>
            <w:tcW w:w="583" w:type="pct"/>
            <w:shd w:val="clear" w:color="auto" w:fill="FFFFFF"/>
            <w:tcMar>
              <w:top w:w="7" w:type="dxa"/>
              <w:left w:w="7" w:type="dxa"/>
              <w:bottom w:w="0" w:type="dxa"/>
              <w:right w:w="7" w:type="dxa"/>
            </w:tcMar>
            <w:vAlign w:val="center"/>
            <w:hideMark/>
          </w:tcPr>
          <w:p w14:paraId="5AF16A06"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1,040.3</w:t>
            </w:r>
          </w:p>
        </w:tc>
        <w:tc>
          <w:tcPr>
            <w:tcW w:w="589" w:type="pct"/>
            <w:shd w:val="clear" w:color="auto" w:fill="FFFFFF"/>
            <w:tcMar>
              <w:top w:w="7" w:type="dxa"/>
              <w:left w:w="7" w:type="dxa"/>
              <w:bottom w:w="0" w:type="dxa"/>
              <w:right w:w="7" w:type="dxa"/>
            </w:tcMar>
            <w:vAlign w:val="center"/>
            <w:hideMark/>
          </w:tcPr>
          <w:p w14:paraId="7A7D43BD"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5.1%</w:t>
            </w:r>
          </w:p>
        </w:tc>
        <w:tc>
          <w:tcPr>
            <w:tcW w:w="631" w:type="pct"/>
            <w:shd w:val="clear" w:color="auto" w:fill="FFFFFF"/>
            <w:tcMar>
              <w:top w:w="7" w:type="dxa"/>
              <w:left w:w="7" w:type="dxa"/>
              <w:bottom w:w="0" w:type="dxa"/>
              <w:right w:w="7" w:type="dxa"/>
            </w:tcMar>
            <w:vAlign w:val="center"/>
            <w:hideMark/>
          </w:tcPr>
          <w:p w14:paraId="329CA884"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18,721.5</w:t>
            </w:r>
          </w:p>
        </w:tc>
        <w:tc>
          <w:tcPr>
            <w:tcW w:w="588" w:type="pct"/>
            <w:shd w:val="clear" w:color="auto" w:fill="FFFFFF"/>
            <w:tcMar>
              <w:top w:w="7" w:type="dxa"/>
              <w:left w:w="7" w:type="dxa"/>
              <w:bottom w:w="0" w:type="dxa"/>
              <w:right w:w="7" w:type="dxa"/>
            </w:tcMar>
            <w:vAlign w:val="center"/>
            <w:hideMark/>
          </w:tcPr>
          <w:p w14:paraId="3EF9975C"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(752.5)</w:t>
            </w:r>
          </w:p>
        </w:tc>
        <w:tc>
          <w:tcPr>
            <w:tcW w:w="600" w:type="pct"/>
            <w:shd w:val="clear" w:color="auto" w:fill="FFFFFF"/>
            <w:tcMar>
              <w:top w:w="7" w:type="dxa"/>
              <w:left w:w="7" w:type="dxa"/>
              <w:bottom w:w="0" w:type="dxa"/>
              <w:right w:w="7" w:type="dxa"/>
            </w:tcMar>
            <w:vAlign w:val="center"/>
            <w:hideMark/>
          </w:tcPr>
          <w:p w14:paraId="0830823C"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-4.0%</w:t>
            </w:r>
          </w:p>
        </w:tc>
      </w:tr>
      <w:tr w:rsidR="00164238" w:rsidRPr="00164238" w14:paraId="6F661896" w14:textId="77777777" w:rsidTr="00682CBF">
        <w:trPr>
          <w:trHeight w:val="20"/>
        </w:trPr>
        <w:tc>
          <w:tcPr>
            <w:tcW w:w="1373" w:type="pct"/>
            <w:shd w:val="clear" w:color="auto" w:fill="FFFFFF"/>
            <w:tcMar>
              <w:top w:w="7" w:type="dxa"/>
              <w:left w:w="7" w:type="dxa"/>
              <w:bottom w:w="0" w:type="dxa"/>
              <w:right w:w="7" w:type="dxa"/>
            </w:tcMar>
            <w:vAlign w:val="center"/>
            <w:hideMark/>
          </w:tcPr>
          <w:p w14:paraId="68B012AF"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Motor TLP Insurance</w:t>
            </w:r>
          </w:p>
        </w:tc>
        <w:tc>
          <w:tcPr>
            <w:tcW w:w="637" w:type="pct"/>
            <w:shd w:val="clear" w:color="auto" w:fill="FFFFFF"/>
            <w:tcMar>
              <w:top w:w="7" w:type="dxa"/>
              <w:left w:w="7" w:type="dxa"/>
              <w:bottom w:w="0" w:type="dxa"/>
              <w:right w:w="7" w:type="dxa"/>
            </w:tcMar>
            <w:vAlign w:val="center"/>
            <w:hideMark/>
          </w:tcPr>
          <w:p w14:paraId="45C9A5A8"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19,571.4</w:t>
            </w:r>
          </w:p>
        </w:tc>
        <w:tc>
          <w:tcPr>
            <w:tcW w:w="583" w:type="pct"/>
            <w:shd w:val="clear" w:color="auto" w:fill="FFFFFF"/>
            <w:tcMar>
              <w:top w:w="7" w:type="dxa"/>
              <w:left w:w="7" w:type="dxa"/>
              <w:bottom w:w="0" w:type="dxa"/>
              <w:right w:w="7" w:type="dxa"/>
            </w:tcMar>
            <w:vAlign w:val="center"/>
            <w:hideMark/>
          </w:tcPr>
          <w:p w14:paraId="63E4EEF4"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823.6</w:t>
            </w:r>
          </w:p>
        </w:tc>
        <w:tc>
          <w:tcPr>
            <w:tcW w:w="589" w:type="pct"/>
            <w:shd w:val="clear" w:color="auto" w:fill="FFFFFF"/>
            <w:tcMar>
              <w:top w:w="7" w:type="dxa"/>
              <w:left w:w="7" w:type="dxa"/>
              <w:bottom w:w="0" w:type="dxa"/>
              <w:right w:w="7" w:type="dxa"/>
            </w:tcMar>
            <w:vAlign w:val="center"/>
            <w:hideMark/>
          </w:tcPr>
          <w:p w14:paraId="60AFE712"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4.2%</w:t>
            </w:r>
          </w:p>
        </w:tc>
        <w:tc>
          <w:tcPr>
            <w:tcW w:w="631" w:type="pct"/>
            <w:shd w:val="clear" w:color="auto" w:fill="FFFFFF"/>
            <w:tcMar>
              <w:top w:w="7" w:type="dxa"/>
              <w:left w:w="7" w:type="dxa"/>
              <w:bottom w:w="0" w:type="dxa"/>
              <w:right w:w="7" w:type="dxa"/>
            </w:tcMar>
            <w:vAlign w:val="center"/>
            <w:hideMark/>
          </w:tcPr>
          <w:p w14:paraId="574094F9"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18,018.5</w:t>
            </w:r>
          </w:p>
        </w:tc>
        <w:tc>
          <w:tcPr>
            <w:tcW w:w="588" w:type="pct"/>
            <w:shd w:val="clear" w:color="auto" w:fill="FFFFFF"/>
            <w:tcMar>
              <w:top w:w="7" w:type="dxa"/>
              <w:left w:w="7" w:type="dxa"/>
              <w:bottom w:w="0" w:type="dxa"/>
              <w:right w:w="7" w:type="dxa"/>
            </w:tcMar>
            <w:vAlign w:val="center"/>
            <w:hideMark/>
          </w:tcPr>
          <w:p w14:paraId="63A002D3"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(903.4)</w:t>
            </w:r>
          </w:p>
        </w:tc>
        <w:tc>
          <w:tcPr>
            <w:tcW w:w="600" w:type="pct"/>
            <w:shd w:val="clear" w:color="auto" w:fill="FFFFFF"/>
            <w:tcMar>
              <w:top w:w="7" w:type="dxa"/>
              <w:left w:w="7" w:type="dxa"/>
              <w:bottom w:w="0" w:type="dxa"/>
              <w:right w:w="7" w:type="dxa"/>
            </w:tcMar>
            <w:vAlign w:val="center"/>
            <w:hideMark/>
          </w:tcPr>
          <w:p w14:paraId="0C9947D9"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-5.0%</w:t>
            </w:r>
          </w:p>
        </w:tc>
      </w:tr>
      <w:tr w:rsidR="00164238" w:rsidRPr="00164238" w14:paraId="51EE9EBD" w14:textId="77777777" w:rsidTr="00682CBF">
        <w:trPr>
          <w:trHeight w:val="20"/>
        </w:trPr>
        <w:tc>
          <w:tcPr>
            <w:tcW w:w="1373" w:type="pct"/>
            <w:shd w:val="clear" w:color="auto" w:fill="FFFFFF"/>
            <w:tcMar>
              <w:top w:w="7" w:type="dxa"/>
              <w:left w:w="7" w:type="dxa"/>
              <w:bottom w:w="0" w:type="dxa"/>
              <w:right w:w="7" w:type="dxa"/>
            </w:tcMar>
            <w:vAlign w:val="center"/>
            <w:hideMark/>
          </w:tcPr>
          <w:p w14:paraId="3ACA1AA5"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Aviation Liability</w:t>
            </w:r>
          </w:p>
        </w:tc>
        <w:tc>
          <w:tcPr>
            <w:tcW w:w="637" w:type="pct"/>
            <w:shd w:val="clear" w:color="auto" w:fill="FFFFFF"/>
            <w:tcMar>
              <w:top w:w="7" w:type="dxa"/>
              <w:left w:w="7" w:type="dxa"/>
              <w:bottom w:w="0" w:type="dxa"/>
              <w:right w:w="7" w:type="dxa"/>
            </w:tcMar>
            <w:vAlign w:val="center"/>
            <w:hideMark/>
          </w:tcPr>
          <w:p w14:paraId="766CF1FF"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298.5</w:t>
            </w:r>
          </w:p>
        </w:tc>
        <w:tc>
          <w:tcPr>
            <w:tcW w:w="583" w:type="pct"/>
            <w:shd w:val="clear" w:color="auto" w:fill="FFFFFF"/>
            <w:tcMar>
              <w:top w:w="7" w:type="dxa"/>
              <w:left w:w="7" w:type="dxa"/>
              <w:bottom w:w="0" w:type="dxa"/>
              <w:right w:w="7" w:type="dxa"/>
            </w:tcMar>
            <w:vAlign w:val="center"/>
            <w:hideMark/>
          </w:tcPr>
          <w:p w14:paraId="4C8CBD78"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5.0</w:t>
            </w:r>
          </w:p>
        </w:tc>
        <w:tc>
          <w:tcPr>
            <w:tcW w:w="589" w:type="pct"/>
            <w:shd w:val="clear" w:color="auto" w:fill="FFFFFF"/>
            <w:tcMar>
              <w:top w:w="7" w:type="dxa"/>
              <w:left w:w="7" w:type="dxa"/>
              <w:bottom w:w="0" w:type="dxa"/>
              <w:right w:w="7" w:type="dxa"/>
            </w:tcMar>
            <w:vAlign w:val="center"/>
            <w:hideMark/>
          </w:tcPr>
          <w:p w14:paraId="4E4D8BEB"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1.7%</w:t>
            </w:r>
          </w:p>
        </w:tc>
        <w:tc>
          <w:tcPr>
            <w:tcW w:w="631" w:type="pct"/>
            <w:shd w:val="clear" w:color="auto" w:fill="FFFFFF"/>
            <w:tcMar>
              <w:top w:w="7" w:type="dxa"/>
              <w:left w:w="7" w:type="dxa"/>
              <w:bottom w:w="0" w:type="dxa"/>
              <w:right w:w="7" w:type="dxa"/>
            </w:tcMar>
            <w:vAlign w:val="center"/>
            <w:hideMark/>
          </w:tcPr>
          <w:p w14:paraId="0FFDA2B8"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263.9</w:t>
            </w:r>
          </w:p>
        </w:tc>
        <w:tc>
          <w:tcPr>
            <w:tcW w:w="588" w:type="pct"/>
            <w:shd w:val="clear" w:color="auto" w:fill="FFFFFF"/>
            <w:tcMar>
              <w:top w:w="7" w:type="dxa"/>
              <w:left w:w="7" w:type="dxa"/>
              <w:bottom w:w="0" w:type="dxa"/>
              <w:right w:w="7" w:type="dxa"/>
            </w:tcMar>
            <w:vAlign w:val="center"/>
            <w:hideMark/>
          </w:tcPr>
          <w:p w14:paraId="10583959"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2.8</w:t>
            </w:r>
          </w:p>
        </w:tc>
        <w:tc>
          <w:tcPr>
            <w:tcW w:w="600" w:type="pct"/>
            <w:shd w:val="clear" w:color="auto" w:fill="FFFFFF"/>
            <w:tcMar>
              <w:top w:w="7" w:type="dxa"/>
              <w:left w:w="7" w:type="dxa"/>
              <w:bottom w:w="0" w:type="dxa"/>
              <w:right w:w="7" w:type="dxa"/>
            </w:tcMar>
            <w:vAlign w:val="center"/>
            <w:hideMark/>
          </w:tcPr>
          <w:p w14:paraId="239CD045"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1.1%</w:t>
            </w:r>
          </w:p>
        </w:tc>
      </w:tr>
      <w:tr w:rsidR="00164238" w:rsidRPr="00164238" w14:paraId="2E70D2BA" w14:textId="77777777" w:rsidTr="00682CBF">
        <w:trPr>
          <w:trHeight w:val="20"/>
        </w:trPr>
        <w:tc>
          <w:tcPr>
            <w:tcW w:w="1373" w:type="pct"/>
            <w:shd w:val="clear" w:color="auto" w:fill="FFFFFF"/>
            <w:tcMar>
              <w:top w:w="7" w:type="dxa"/>
              <w:left w:w="7" w:type="dxa"/>
              <w:bottom w:w="0" w:type="dxa"/>
              <w:right w:w="7" w:type="dxa"/>
            </w:tcMar>
            <w:vAlign w:val="center"/>
            <w:hideMark/>
          </w:tcPr>
          <w:p w14:paraId="4A4C90ED"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lastRenderedPageBreak/>
              <w:t>P&amp;L Liability</w:t>
            </w:r>
          </w:p>
        </w:tc>
        <w:tc>
          <w:tcPr>
            <w:tcW w:w="637" w:type="pct"/>
            <w:shd w:val="clear" w:color="auto" w:fill="FFFFFF"/>
            <w:tcMar>
              <w:top w:w="7" w:type="dxa"/>
              <w:left w:w="7" w:type="dxa"/>
              <w:bottom w:w="0" w:type="dxa"/>
              <w:right w:w="7" w:type="dxa"/>
            </w:tcMar>
            <w:vAlign w:val="center"/>
            <w:hideMark/>
          </w:tcPr>
          <w:p w14:paraId="7660ACE2"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57.8</w:t>
            </w:r>
          </w:p>
        </w:tc>
        <w:tc>
          <w:tcPr>
            <w:tcW w:w="583" w:type="pct"/>
            <w:shd w:val="clear" w:color="auto" w:fill="FFFFFF"/>
            <w:tcMar>
              <w:top w:w="7" w:type="dxa"/>
              <w:left w:w="7" w:type="dxa"/>
              <w:bottom w:w="0" w:type="dxa"/>
              <w:right w:w="7" w:type="dxa"/>
            </w:tcMar>
            <w:vAlign w:val="center"/>
            <w:hideMark/>
          </w:tcPr>
          <w:p w14:paraId="75D563AB"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14.5</w:t>
            </w:r>
          </w:p>
        </w:tc>
        <w:tc>
          <w:tcPr>
            <w:tcW w:w="589" w:type="pct"/>
            <w:shd w:val="clear" w:color="auto" w:fill="FFFFFF"/>
            <w:tcMar>
              <w:top w:w="7" w:type="dxa"/>
              <w:left w:w="7" w:type="dxa"/>
              <w:bottom w:w="0" w:type="dxa"/>
              <w:right w:w="7" w:type="dxa"/>
            </w:tcMar>
            <w:vAlign w:val="center"/>
            <w:hideMark/>
          </w:tcPr>
          <w:p w14:paraId="165D83D8"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25.0%</w:t>
            </w:r>
          </w:p>
        </w:tc>
        <w:tc>
          <w:tcPr>
            <w:tcW w:w="631" w:type="pct"/>
            <w:shd w:val="clear" w:color="auto" w:fill="FFFFFF"/>
            <w:tcMar>
              <w:top w:w="7" w:type="dxa"/>
              <w:left w:w="7" w:type="dxa"/>
              <w:bottom w:w="0" w:type="dxa"/>
              <w:right w:w="7" w:type="dxa"/>
            </w:tcMar>
            <w:vAlign w:val="center"/>
            <w:hideMark/>
          </w:tcPr>
          <w:p w14:paraId="1C97BE87"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44.9</w:t>
            </w:r>
          </w:p>
        </w:tc>
        <w:tc>
          <w:tcPr>
            <w:tcW w:w="588" w:type="pct"/>
            <w:shd w:val="clear" w:color="auto" w:fill="FFFFFF"/>
            <w:tcMar>
              <w:top w:w="7" w:type="dxa"/>
              <w:left w:w="7" w:type="dxa"/>
              <w:bottom w:w="0" w:type="dxa"/>
              <w:right w:w="7" w:type="dxa"/>
            </w:tcMar>
            <w:vAlign w:val="center"/>
            <w:hideMark/>
          </w:tcPr>
          <w:p w14:paraId="0474F858"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7.1</w:t>
            </w:r>
          </w:p>
        </w:tc>
        <w:tc>
          <w:tcPr>
            <w:tcW w:w="600" w:type="pct"/>
            <w:shd w:val="clear" w:color="auto" w:fill="FFFFFF"/>
            <w:tcMar>
              <w:top w:w="7" w:type="dxa"/>
              <w:left w:w="7" w:type="dxa"/>
              <w:bottom w:w="0" w:type="dxa"/>
              <w:right w:w="7" w:type="dxa"/>
            </w:tcMar>
            <w:vAlign w:val="center"/>
            <w:hideMark/>
          </w:tcPr>
          <w:p w14:paraId="1667FD65"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15.8%</w:t>
            </w:r>
          </w:p>
        </w:tc>
      </w:tr>
      <w:tr w:rsidR="00164238" w:rsidRPr="00164238" w14:paraId="4C896712" w14:textId="77777777" w:rsidTr="00682CBF">
        <w:trPr>
          <w:trHeight w:val="20"/>
        </w:trPr>
        <w:tc>
          <w:tcPr>
            <w:tcW w:w="1373" w:type="pct"/>
            <w:shd w:val="clear" w:color="auto" w:fill="FFFFFF"/>
            <w:tcMar>
              <w:top w:w="7" w:type="dxa"/>
              <w:left w:w="7" w:type="dxa"/>
              <w:bottom w:w="0" w:type="dxa"/>
              <w:right w:w="7" w:type="dxa"/>
            </w:tcMar>
            <w:vAlign w:val="center"/>
            <w:hideMark/>
          </w:tcPr>
          <w:p w14:paraId="3950E48A"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General Liability</w:t>
            </w:r>
          </w:p>
        </w:tc>
        <w:tc>
          <w:tcPr>
            <w:tcW w:w="637" w:type="pct"/>
            <w:shd w:val="clear" w:color="auto" w:fill="FFFFFF"/>
            <w:tcMar>
              <w:top w:w="7" w:type="dxa"/>
              <w:left w:w="7" w:type="dxa"/>
              <w:bottom w:w="0" w:type="dxa"/>
              <w:right w:w="7" w:type="dxa"/>
            </w:tcMar>
            <w:vAlign w:val="center"/>
            <w:hideMark/>
          </w:tcPr>
          <w:p w14:paraId="6F5C5A19"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2,190.3</w:t>
            </w:r>
          </w:p>
        </w:tc>
        <w:tc>
          <w:tcPr>
            <w:tcW w:w="583" w:type="pct"/>
            <w:shd w:val="clear" w:color="auto" w:fill="FFFFFF"/>
            <w:tcMar>
              <w:top w:w="7" w:type="dxa"/>
              <w:left w:w="7" w:type="dxa"/>
              <w:bottom w:w="0" w:type="dxa"/>
              <w:right w:w="7" w:type="dxa"/>
            </w:tcMar>
            <w:vAlign w:val="center"/>
            <w:hideMark/>
          </w:tcPr>
          <w:p w14:paraId="44F9545D"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(464.7)</w:t>
            </w:r>
          </w:p>
        </w:tc>
        <w:tc>
          <w:tcPr>
            <w:tcW w:w="589" w:type="pct"/>
            <w:shd w:val="clear" w:color="auto" w:fill="FFFFFF"/>
            <w:tcMar>
              <w:top w:w="7" w:type="dxa"/>
              <w:left w:w="7" w:type="dxa"/>
              <w:bottom w:w="0" w:type="dxa"/>
              <w:right w:w="7" w:type="dxa"/>
            </w:tcMar>
            <w:vAlign w:val="center"/>
            <w:hideMark/>
          </w:tcPr>
          <w:p w14:paraId="2C264130"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-21.2%</w:t>
            </w:r>
          </w:p>
        </w:tc>
        <w:tc>
          <w:tcPr>
            <w:tcW w:w="631" w:type="pct"/>
            <w:shd w:val="clear" w:color="auto" w:fill="FFFFFF"/>
            <w:tcMar>
              <w:top w:w="7" w:type="dxa"/>
              <w:left w:w="7" w:type="dxa"/>
              <w:bottom w:w="0" w:type="dxa"/>
              <w:right w:w="7" w:type="dxa"/>
            </w:tcMar>
            <w:vAlign w:val="center"/>
            <w:hideMark/>
          </w:tcPr>
          <w:p w14:paraId="529F9A44"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1,713.1</w:t>
            </w:r>
          </w:p>
        </w:tc>
        <w:tc>
          <w:tcPr>
            <w:tcW w:w="588" w:type="pct"/>
            <w:shd w:val="clear" w:color="auto" w:fill="FFFFFF"/>
            <w:tcMar>
              <w:top w:w="7" w:type="dxa"/>
              <w:left w:w="7" w:type="dxa"/>
              <w:bottom w:w="0" w:type="dxa"/>
              <w:right w:w="7" w:type="dxa"/>
            </w:tcMar>
            <w:vAlign w:val="center"/>
            <w:hideMark/>
          </w:tcPr>
          <w:p w14:paraId="4FEDF5A6"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(259.5)</w:t>
            </w:r>
          </w:p>
        </w:tc>
        <w:tc>
          <w:tcPr>
            <w:tcW w:w="600" w:type="pct"/>
            <w:shd w:val="clear" w:color="auto" w:fill="FFFFFF"/>
            <w:tcMar>
              <w:top w:w="7" w:type="dxa"/>
              <w:left w:w="7" w:type="dxa"/>
              <w:bottom w:w="0" w:type="dxa"/>
              <w:right w:w="7" w:type="dxa"/>
            </w:tcMar>
            <w:vAlign w:val="center"/>
            <w:hideMark/>
          </w:tcPr>
          <w:p w14:paraId="76F5BE10"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-15.1%</w:t>
            </w:r>
          </w:p>
        </w:tc>
      </w:tr>
      <w:tr w:rsidR="00164238" w:rsidRPr="00164238" w14:paraId="16B9E15B" w14:textId="77777777" w:rsidTr="00682CBF">
        <w:trPr>
          <w:trHeight w:val="20"/>
        </w:trPr>
        <w:tc>
          <w:tcPr>
            <w:tcW w:w="1373" w:type="pct"/>
            <w:shd w:val="clear" w:color="auto" w:fill="FFFFFF"/>
            <w:tcMar>
              <w:top w:w="7" w:type="dxa"/>
              <w:left w:w="7" w:type="dxa"/>
              <w:bottom w:w="0" w:type="dxa"/>
              <w:right w:w="7" w:type="dxa"/>
            </w:tcMar>
            <w:vAlign w:val="center"/>
            <w:hideMark/>
          </w:tcPr>
          <w:p w14:paraId="4E43EFBC"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Credit</w:t>
            </w:r>
          </w:p>
        </w:tc>
        <w:tc>
          <w:tcPr>
            <w:tcW w:w="637" w:type="pct"/>
            <w:shd w:val="clear" w:color="auto" w:fill="FFFFFF"/>
            <w:tcMar>
              <w:top w:w="7" w:type="dxa"/>
              <w:left w:w="7" w:type="dxa"/>
              <w:bottom w:w="0" w:type="dxa"/>
              <w:right w:w="7" w:type="dxa"/>
            </w:tcMar>
            <w:vAlign w:val="center"/>
            <w:hideMark/>
          </w:tcPr>
          <w:p w14:paraId="1F50E31B"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390.5</w:t>
            </w:r>
          </w:p>
        </w:tc>
        <w:tc>
          <w:tcPr>
            <w:tcW w:w="583" w:type="pct"/>
            <w:shd w:val="clear" w:color="auto" w:fill="FFFFFF"/>
            <w:tcMar>
              <w:top w:w="7" w:type="dxa"/>
              <w:left w:w="7" w:type="dxa"/>
              <w:bottom w:w="0" w:type="dxa"/>
              <w:right w:w="7" w:type="dxa"/>
            </w:tcMar>
            <w:vAlign w:val="center"/>
            <w:hideMark/>
          </w:tcPr>
          <w:p w14:paraId="7D25342F"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(6.7)</w:t>
            </w:r>
          </w:p>
        </w:tc>
        <w:tc>
          <w:tcPr>
            <w:tcW w:w="589" w:type="pct"/>
            <w:shd w:val="clear" w:color="auto" w:fill="FFFFFF"/>
            <w:tcMar>
              <w:top w:w="7" w:type="dxa"/>
              <w:left w:w="7" w:type="dxa"/>
              <w:bottom w:w="0" w:type="dxa"/>
              <w:right w:w="7" w:type="dxa"/>
            </w:tcMar>
            <w:vAlign w:val="center"/>
            <w:hideMark/>
          </w:tcPr>
          <w:p w14:paraId="174FE3D1"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-1.7%</w:t>
            </w:r>
          </w:p>
        </w:tc>
        <w:tc>
          <w:tcPr>
            <w:tcW w:w="631" w:type="pct"/>
            <w:shd w:val="clear" w:color="auto" w:fill="FFFFFF"/>
            <w:tcMar>
              <w:top w:w="7" w:type="dxa"/>
              <w:left w:w="7" w:type="dxa"/>
              <w:bottom w:w="0" w:type="dxa"/>
              <w:right w:w="7" w:type="dxa"/>
            </w:tcMar>
            <w:vAlign w:val="center"/>
            <w:hideMark/>
          </w:tcPr>
          <w:p w14:paraId="6EE37C66"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304.3</w:t>
            </w:r>
          </w:p>
        </w:tc>
        <w:tc>
          <w:tcPr>
            <w:tcW w:w="588" w:type="pct"/>
            <w:shd w:val="clear" w:color="auto" w:fill="FFFFFF"/>
            <w:tcMar>
              <w:top w:w="7" w:type="dxa"/>
              <w:left w:w="7" w:type="dxa"/>
              <w:bottom w:w="0" w:type="dxa"/>
              <w:right w:w="7" w:type="dxa"/>
            </w:tcMar>
            <w:vAlign w:val="center"/>
            <w:hideMark/>
          </w:tcPr>
          <w:p w14:paraId="28284D17"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11.7</w:t>
            </w:r>
          </w:p>
        </w:tc>
        <w:tc>
          <w:tcPr>
            <w:tcW w:w="600" w:type="pct"/>
            <w:shd w:val="clear" w:color="auto" w:fill="FFFFFF"/>
            <w:tcMar>
              <w:top w:w="7" w:type="dxa"/>
              <w:left w:w="7" w:type="dxa"/>
              <w:bottom w:w="0" w:type="dxa"/>
              <w:right w:w="7" w:type="dxa"/>
            </w:tcMar>
            <w:vAlign w:val="center"/>
            <w:hideMark/>
          </w:tcPr>
          <w:p w14:paraId="2D2244E5"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3.8%</w:t>
            </w:r>
          </w:p>
        </w:tc>
      </w:tr>
      <w:tr w:rsidR="00164238" w:rsidRPr="00164238" w14:paraId="02269C31" w14:textId="77777777" w:rsidTr="00682CBF">
        <w:trPr>
          <w:trHeight w:val="20"/>
        </w:trPr>
        <w:tc>
          <w:tcPr>
            <w:tcW w:w="1373" w:type="pct"/>
            <w:shd w:val="clear" w:color="auto" w:fill="FFFFFF"/>
            <w:tcMar>
              <w:top w:w="7" w:type="dxa"/>
              <w:left w:w="7" w:type="dxa"/>
              <w:bottom w:w="0" w:type="dxa"/>
              <w:right w:w="7" w:type="dxa"/>
            </w:tcMar>
            <w:vAlign w:val="center"/>
            <w:hideMark/>
          </w:tcPr>
          <w:p w14:paraId="74072391"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Indemnity</w:t>
            </w:r>
          </w:p>
        </w:tc>
        <w:tc>
          <w:tcPr>
            <w:tcW w:w="637" w:type="pct"/>
            <w:shd w:val="clear" w:color="auto" w:fill="FFFFFF"/>
            <w:tcMar>
              <w:top w:w="7" w:type="dxa"/>
              <w:left w:w="7" w:type="dxa"/>
              <w:bottom w:w="0" w:type="dxa"/>
              <w:right w:w="7" w:type="dxa"/>
            </w:tcMar>
            <w:vAlign w:val="center"/>
            <w:hideMark/>
          </w:tcPr>
          <w:p w14:paraId="50EC64C4"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124.0</w:t>
            </w:r>
          </w:p>
        </w:tc>
        <w:tc>
          <w:tcPr>
            <w:tcW w:w="583" w:type="pct"/>
            <w:shd w:val="clear" w:color="auto" w:fill="FFFFFF"/>
            <w:tcMar>
              <w:top w:w="7" w:type="dxa"/>
              <w:left w:w="7" w:type="dxa"/>
              <w:bottom w:w="0" w:type="dxa"/>
              <w:right w:w="7" w:type="dxa"/>
            </w:tcMar>
            <w:vAlign w:val="center"/>
            <w:hideMark/>
          </w:tcPr>
          <w:p w14:paraId="17E28D0B"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18.0</w:t>
            </w:r>
          </w:p>
        </w:tc>
        <w:tc>
          <w:tcPr>
            <w:tcW w:w="589" w:type="pct"/>
            <w:shd w:val="clear" w:color="auto" w:fill="FFFFFF"/>
            <w:tcMar>
              <w:top w:w="7" w:type="dxa"/>
              <w:left w:w="7" w:type="dxa"/>
              <w:bottom w:w="0" w:type="dxa"/>
              <w:right w:w="7" w:type="dxa"/>
            </w:tcMar>
            <w:vAlign w:val="center"/>
            <w:hideMark/>
          </w:tcPr>
          <w:p w14:paraId="6949B0AA"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14.5%</w:t>
            </w:r>
          </w:p>
        </w:tc>
        <w:tc>
          <w:tcPr>
            <w:tcW w:w="631" w:type="pct"/>
            <w:shd w:val="clear" w:color="auto" w:fill="FFFFFF"/>
            <w:tcMar>
              <w:top w:w="7" w:type="dxa"/>
              <w:left w:w="7" w:type="dxa"/>
              <w:bottom w:w="0" w:type="dxa"/>
              <w:right w:w="7" w:type="dxa"/>
            </w:tcMar>
            <w:vAlign w:val="center"/>
            <w:hideMark/>
          </w:tcPr>
          <w:p w14:paraId="4B0B6983"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92.2</w:t>
            </w:r>
          </w:p>
        </w:tc>
        <w:tc>
          <w:tcPr>
            <w:tcW w:w="588" w:type="pct"/>
            <w:shd w:val="clear" w:color="auto" w:fill="FFFFFF"/>
            <w:tcMar>
              <w:top w:w="7" w:type="dxa"/>
              <w:left w:w="7" w:type="dxa"/>
              <w:bottom w:w="0" w:type="dxa"/>
              <w:right w:w="7" w:type="dxa"/>
            </w:tcMar>
            <w:vAlign w:val="center"/>
            <w:hideMark/>
          </w:tcPr>
          <w:p w14:paraId="0FDB94D1"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15.3</w:t>
            </w:r>
          </w:p>
        </w:tc>
        <w:tc>
          <w:tcPr>
            <w:tcW w:w="600" w:type="pct"/>
            <w:shd w:val="clear" w:color="auto" w:fill="FFFFFF"/>
            <w:tcMar>
              <w:top w:w="7" w:type="dxa"/>
              <w:left w:w="7" w:type="dxa"/>
              <w:bottom w:w="0" w:type="dxa"/>
              <w:right w:w="7" w:type="dxa"/>
            </w:tcMar>
            <w:vAlign w:val="center"/>
            <w:hideMark/>
          </w:tcPr>
          <w:p w14:paraId="75E8E1AD"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16.6%</w:t>
            </w:r>
          </w:p>
        </w:tc>
      </w:tr>
      <w:tr w:rsidR="00164238" w:rsidRPr="00164238" w14:paraId="5F972326" w14:textId="77777777" w:rsidTr="00682CBF">
        <w:trPr>
          <w:trHeight w:val="20"/>
        </w:trPr>
        <w:tc>
          <w:tcPr>
            <w:tcW w:w="1373" w:type="pct"/>
            <w:shd w:val="clear" w:color="auto" w:fill="FFFFFF"/>
            <w:tcMar>
              <w:top w:w="7" w:type="dxa"/>
              <w:left w:w="7" w:type="dxa"/>
              <w:bottom w:w="0" w:type="dxa"/>
              <w:right w:w="7" w:type="dxa"/>
            </w:tcMar>
            <w:vAlign w:val="center"/>
            <w:hideMark/>
          </w:tcPr>
          <w:p w14:paraId="1E42BE79"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Financial Loss</w:t>
            </w:r>
          </w:p>
        </w:tc>
        <w:tc>
          <w:tcPr>
            <w:tcW w:w="637" w:type="pct"/>
            <w:shd w:val="clear" w:color="auto" w:fill="FFFFFF"/>
            <w:tcMar>
              <w:top w:w="7" w:type="dxa"/>
              <w:left w:w="7" w:type="dxa"/>
              <w:bottom w:w="0" w:type="dxa"/>
              <w:right w:w="7" w:type="dxa"/>
            </w:tcMar>
            <w:vAlign w:val="center"/>
            <w:hideMark/>
          </w:tcPr>
          <w:p w14:paraId="0191E40E"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556.5</w:t>
            </w:r>
          </w:p>
        </w:tc>
        <w:tc>
          <w:tcPr>
            <w:tcW w:w="583" w:type="pct"/>
            <w:shd w:val="clear" w:color="auto" w:fill="FFFFFF"/>
            <w:tcMar>
              <w:top w:w="7" w:type="dxa"/>
              <w:left w:w="7" w:type="dxa"/>
              <w:bottom w:w="0" w:type="dxa"/>
              <w:right w:w="7" w:type="dxa"/>
            </w:tcMar>
            <w:vAlign w:val="center"/>
            <w:hideMark/>
          </w:tcPr>
          <w:p w14:paraId="54E6AB20"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28.2</w:t>
            </w:r>
          </w:p>
        </w:tc>
        <w:tc>
          <w:tcPr>
            <w:tcW w:w="589" w:type="pct"/>
            <w:shd w:val="clear" w:color="auto" w:fill="FFFFFF"/>
            <w:tcMar>
              <w:top w:w="7" w:type="dxa"/>
              <w:left w:w="7" w:type="dxa"/>
              <w:bottom w:w="0" w:type="dxa"/>
              <w:right w:w="7" w:type="dxa"/>
            </w:tcMar>
            <w:vAlign w:val="center"/>
            <w:hideMark/>
          </w:tcPr>
          <w:p w14:paraId="303FD3C0"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5.1%</w:t>
            </w:r>
          </w:p>
        </w:tc>
        <w:tc>
          <w:tcPr>
            <w:tcW w:w="631" w:type="pct"/>
            <w:shd w:val="clear" w:color="auto" w:fill="FFFFFF"/>
            <w:tcMar>
              <w:top w:w="7" w:type="dxa"/>
              <w:left w:w="7" w:type="dxa"/>
              <w:bottom w:w="0" w:type="dxa"/>
              <w:right w:w="7" w:type="dxa"/>
            </w:tcMar>
            <w:vAlign w:val="center"/>
            <w:hideMark/>
          </w:tcPr>
          <w:p w14:paraId="1BAB4BFD"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505.4</w:t>
            </w:r>
          </w:p>
        </w:tc>
        <w:tc>
          <w:tcPr>
            <w:tcW w:w="588" w:type="pct"/>
            <w:shd w:val="clear" w:color="auto" w:fill="FFFFFF"/>
            <w:tcMar>
              <w:top w:w="7" w:type="dxa"/>
              <w:left w:w="7" w:type="dxa"/>
              <w:bottom w:w="0" w:type="dxa"/>
              <w:right w:w="7" w:type="dxa"/>
            </w:tcMar>
            <w:vAlign w:val="center"/>
            <w:hideMark/>
          </w:tcPr>
          <w:p w14:paraId="158ED738"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84.2</w:t>
            </w:r>
          </w:p>
        </w:tc>
        <w:tc>
          <w:tcPr>
            <w:tcW w:w="600" w:type="pct"/>
            <w:shd w:val="clear" w:color="auto" w:fill="FFFFFF"/>
            <w:tcMar>
              <w:top w:w="7" w:type="dxa"/>
              <w:left w:w="7" w:type="dxa"/>
              <w:bottom w:w="0" w:type="dxa"/>
              <w:right w:w="7" w:type="dxa"/>
            </w:tcMar>
            <w:vAlign w:val="center"/>
            <w:hideMark/>
          </w:tcPr>
          <w:p w14:paraId="23E33C90"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16.7%</w:t>
            </w:r>
          </w:p>
        </w:tc>
      </w:tr>
      <w:tr w:rsidR="00164238" w:rsidRPr="00164238" w14:paraId="64FF8289" w14:textId="77777777" w:rsidTr="00682CBF">
        <w:trPr>
          <w:trHeight w:val="20"/>
        </w:trPr>
        <w:tc>
          <w:tcPr>
            <w:tcW w:w="1373" w:type="pct"/>
            <w:shd w:val="clear" w:color="auto" w:fill="FFFFFF"/>
            <w:tcMar>
              <w:top w:w="7" w:type="dxa"/>
              <w:left w:w="7" w:type="dxa"/>
              <w:bottom w:w="0" w:type="dxa"/>
              <w:right w:w="7" w:type="dxa"/>
            </w:tcMar>
            <w:vAlign w:val="center"/>
            <w:hideMark/>
          </w:tcPr>
          <w:p w14:paraId="442C438B"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Legal Expenses</w:t>
            </w:r>
          </w:p>
        </w:tc>
        <w:tc>
          <w:tcPr>
            <w:tcW w:w="637" w:type="pct"/>
            <w:shd w:val="clear" w:color="auto" w:fill="FFFFFF"/>
            <w:tcMar>
              <w:top w:w="7" w:type="dxa"/>
              <w:left w:w="7" w:type="dxa"/>
              <w:bottom w:w="0" w:type="dxa"/>
              <w:right w:w="7" w:type="dxa"/>
            </w:tcMar>
            <w:vAlign w:val="center"/>
            <w:hideMark/>
          </w:tcPr>
          <w:p w14:paraId="7128040F"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225.0</w:t>
            </w:r>
          </w:p>
        </w:tc>
        <w:tc>
          <w:tcPr>
            <w:tcW w:w="583" w:type="pct"/>
            <w:shd w:val="clear" w:color="auto" w:fill="FFFFFF"/>
            <w:tcMar>
              <w:top w:w="7" w:type="dxa"/>
              <w:left w:w="7" w:type="dxa"/>
              <w:bottom w:w="0" w:type="dxa"/>
              <w:right w:w="7" w:type="dxa"/>
            </w:tcMar>
            <w:vAlign w:val="center"/>
            <w:hideMark/>
          </w:tcPr>
          <w:p w14:paraId="2730A81D"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170.0</w:t>
            </w:r>
          </w:p>
        </w:tc>
        <w:tc>
          <w:tcPr>
            <w:tcW w:w="589" w:type="pct"/>
            <w:shd w:val="clear" w:color="auto" w:fill="FFFFFF"/>
            <w:tcMar>
              <w:top w:w="7" w:type="dxa"/>
              <w:left w:w="7" w:type="dxa"/>
              <w:bottom w:w="0" w:type="dxa"/>
              <w:right w:w="7" w:type="dxa"/>
            </w:tcMar>
            <w:vAlign w:val="center"/>
            <w:hideMark/>
          </w:tcPr>
          <w:p w14:paraId="10AE3356"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75.6%</w:t>
            </w:r>
          </w:p>
        </w:tc>
        <w:tc>
          <w:tcPr>
            <w:tcW w:w="631" w:type="pct"/>
            <w:shd w:val="clear" w:color="auto" w:fill="FFFFFF"/>
            <w:tcMar>
              <w:top w:w="7" w:type="dxa"/>
              <w:left w:w="7" w:type="dxa"/>
              <w:bottom w:w="0" w:type="dxa"/>
              <w:right w:w="7" w:type="dxa"/>
            </w:tcMar>
            <w:vAlign w:val="center"/>
            <w:hideMark/>
          </w:tcPr>
          <w:p w14:paraId="05F412B5"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197.8</w:t>
            </w:r>
          </w:p>
        </w:tc>
        <w:tc>
          <w:tcPr>
            <w:tcW w:w="588" w:type="pct"/>
            <w:shd w:val="clear" w:color="auto" w:fill="FFFFFF"/>
            <w:tcMar>
              <w:top w:w="7" w:type="dxa"/>
              <w:left w:w="7" w:type="dxa"/>
              <w:bottom w:w="0" w:type="dxa"/>
              <w:right w:w="7" w:type="dxa"/>
            </w:tcMar>
            <w:vAlign w:val="center"/>
            <w:hideMark/>
          </w:tcPr>
          <w:p w14:paraId="7F7E6086"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167.7</w:t>
            </w:r>
          </w:p>
        </w:tc>
        <w:tc>
          <w:tcPr>
            <w:tcW w:w="600" w:type="pct"/>
            <w:shd w:val="clear" w:color="auto" w:fill="FFFFFF"/>
            <w:tcMar>
              <w:top w:w="7" w:type="dxa"/>
              <w:left w:w="7" w:type="dxa"/>
              <w:bottom w:w="0" w:type="dxa"/>
              <w:right w:w="7" w:type="dxa"/>
            </w:tcMar>
            <w:vAlign w:val="center"/>
            <w:hideMark/>
          </w:tcPr>
          <w:p w14:paraId="2E49EC6B"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84.8%</w:t>
            </w:r>
          </w:p>
        </w:tc>
      </w:tr>
      <w:tr w:rsidR="00164238" w:rsidRPr="00164238" w14:paraId="3C43073A" w14:textId="77777777" w:rsidTr="00682CBF">
        <w:trPr>
          <w:trHeight w:val="20"/>
        </w:trPr>
        <w:tc>
          <w:tcPr>
            <w:tcW w:w="1373" w:type="pct"/>
            <w:shd w:val="clear" w:color="auto" w:fill="FFFFFF"/>
            <w:tcMar>
              <w:top w:w="7" w:type="dxa"/>
              <w:left w:w="7" w:type="dxa"/>
              <w:bottom w:w="0" w:type="dxa"/>
              <w:right w:w="7" w:type="dxa"/>
            </w:tcMar>
            <w:vAlign w:val="center"/>
            <w:hideMark/>
          </w:tcPr>
          <w:p w14:paraId="393FAE6B"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Support</w:t>
            </w:r>
          </w:p>
        </w:tc>
        <w:tc>
          <w:tcPr>
            <w:tcW w:w="637" w:type="pct"/>
            <w:shd w:val="clear" w:color="auto" w:fill="FFFFFF"/>
            <w:tcMar>
              <w:top w:w="7" w:type="dxa"/>
              <w:left w:w="7" w:type="dxa"/>
              <w:bottom w:w="0" w:type="dxa"/>
              <w:right w:w="7" w:type="dxa"/>
            </w:tcMar>
            <w:vAlign w:val="center"/>
            <w:hideMark/>
          </w:tcPr>
          <w:p w14:paraId="5B1300E2"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0.0</w:t>
            </w:r>
          </w:p>
        </w:tc>
        <w:tc>
          <w:tcPr>
            <w:tcW w:w="583" w:type="pct"/>
            <w:shd w:val="clear" w:color="auto" w:fill="FFFFFF"/>
            <w:tcMar>
              <w:top w:w="7" w:type="dxa"/>
              <w:left w:w="7" w:type="dxa"/>
              <w:bottom w:w="0" w:type="dxa"/>
              <w:right w:w="7" w:type="dxa"/>
            </w:tcMar>
            <w:vAlign w:val="center"/>
            <w:hideMark/>
          </w:tcPr>
          <w:p w14:paraId="0315B8EB"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0.0</w:t>
            </w:r>
          </w:p>
        </w:tc>
        <w:tc>
          <w:tcPr>
            <w:tcW w:w="589" w:type="pct"/>
            <w:shd w:val="clear" w:color="auto" w:fill="FFFFFF"/>
            <w:tcMar>
              <w:top w:w="7" w:type="dxa"/>
              <w:left w:w="7" w:type="dxa"/>
              <w:bottom w:w="0" w:type="dxa"/>
              <w:right w:w="7" w:type="dxa"/>
            </w:tcMar>
            <w:vAlign w:val="center"/>
            <w:hideMark/>
          </w:tcPr>
          <w:p w14:paraId="7363C88A"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1436.1%</w:t>
            </w:r>
          </w:p>
        </w:tc>
        <w:tc>
          <w:tcPr>
            <w:tcW w:w="631" w:type="pct"/>
            <w:shd w:val="clear" w:color="auto" w:fill="FFFFFF"/>
            <w:tcMar>
              <w:top w:w="7" w:type="dxa"/>
              <w:left w:w="7" w:type="dxa"/>
              <w:bottom w:w="0" w:type="dxa"/>
              <w:right w:w="7" w:type="dxa"/>
            </w:tcMar>
            <w:vAlign w:val="center"/>
            <w:hideMark/>
          </w:tcPr>
          <w:p w14:paraId="561146AD"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0.2</w:t>
            </w:r>
          </w:p>
        </w:tc>
        <w:tc>
          <w:tcPr>
            <w:tcW w:w="588" w:type="pct"/>
            <w:shd w:val="clear" w:color="auto" w:fill="FFFFFF"/>
            <w:tcMar>
              <w:top w:w="7" w:type="dxa"/>
              <w:left w:w="7" w:type="dxa"/>
              <w:bottom w:w="0" w:type="dxa"/>
              <w:right w:w="7" w:type="dxa"/>
            </w:tcMar>
            <w:vAlign w:val="center"/>
            <w:hideMark/>
          </w:tcPr>
          <w:p w14:paraId="6FD14505"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0.0</w:t>
            </w:r>
          </w:p>
        </w:tc>
        <w:tc>
          <w:tcPr>
            <w:tcW w:w="600" w:type="pct"/>
            <w:shd w:val="clear" w:color="auto" w:fill="FFFFFF"/>
            <w:tcMar>
              <w:top w:w="7" w:type="dxa"/>
              <w:left w:w="7" w:type="dxa"/>
              <w:bottom w:w="0" w:type="dxa"/>
              <w:right w:w="7" w:type="dxa"/>
            </w:tcMar>
            <w:vAlign w:val="center"/>
            <w:hideMark/>
          </w:tcPr>
          <w:p w14:paraId="4A51B96A"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20.0%</w:t>
            </w:r>
          </w:p>
        </w:tc>
      </w:tr>
      <w:tr w:rsidR="00164238" w:rsidRPr="00164238" w14:paraId="12CFB15B" w14:textId="77777777" w:rsidTr="00682CBF">
        <w:trPr>
          <w:trHeight w:val="20"/>
        </w:trPr>
        <w:tc>
          <w:tcPr>
            <w:tcW w:w="1373" w:type="pct"/>
            <w:shd w:val="clear" w:color="auto" w:fill="FFFFFF"/>
            <w:tcMar>
              <w:top w:w="7" w:type="dxa"/>
              <w:left w:w="7" w:type="dxa"/>
              <w:bottom w:w="0" w:type="dxa"/>
              <w:right w:w="7" w:type="dxa"/>
            </w:tcMar>
            <w:vAlign w:val="center"/>
            <w:hideMark/>
          </w:tcPr>
          <w:p w14:paraId="72790F3D"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Subsidized Agricultural Ins.</w:t>
            </w:r>
          </w:p>
        </w:tc>
        <w:tc>
          <w:tcPr>
            <w:tcW w:w="637" w:type="pct"/>
            <w:shd w:val="clear" w:color="auto" w:fill="FFFFFF"/>
            <w:tcMar>
              <w:top w:w="7" w:type="dxa"/>
              <w:left w:w="7" w:type="dxa"/>
              <w:bottom w:w="0" w:type="dxa"/>
              <w:right w:w="7" w:type="dxa"/>
            </w:tcMar>
            <w:vAlign w:val="center"/>
            <w:hideMark/>
          </w:tcPr>
          <w:p w14:paraId="294A88D4"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3,943.1</w:t>
            </w:r>
          </w:p>
        </w:tc>
        <w:tc>
          <w:tcPr>
            <w:tcW w:w="583" w:type="pct"/>
            <w:shd w:val="clear" w:color="auto" w:fill="FFFFFF"/>
            <w:tcMar>
              <w:top w:w="7" w:type="dxa"/>
              <w:left w:w="7" w:type="dxa"/>
              <w:bottom w:w="0" w:type="dxa"/>
              <w:right w:w="7" w:type="dxa"/>
            </w:tcMar>
            <w:vAlign w:val="center"/>
            <w:hideMark/>
          </w:tcPr>
          <w:p w14:paraId="2B6FF59F"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262.0</w:t>
            </w:r>
          </w:p>
        </w:tc>
        <w:tc>
          <w:tcPr>
            <w:tcW w:w="589" w:type="pct"/>
            <w:shd w:val="clear" w:color="auto" w:fill="FFFFFF"/>
            <w:tcMar>
              <w:top w:w="7" w:type="dxa"/>
              <w:left w:w="7" w:type="dxa"/>
              <w:bottom w:w="0" w:type="dxa"/>
              <w:right w:w="7" w:type="dxa"/>
            </w:tcMar>
            <w:vAlign w:val="center"/>
            <w:hideMark/>
          </w:tcPr>
          <w:p w14:paraId="012EAEFB"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6.6%</w:t>
            </w:r>
          </w:p>
        </w:tc>
        <w:tc>
          <w:tcPr>
            <w:tcW w:w="631" w:type="pct"/>
            <w:shd w:val="clear" w:color="auto" w:fill="FFFFFF"/>
            <w:tcMar>
              <w:top w:w="7" w:type="dxa"/>
              <w:left w:w="7" w:type="dxa"/>
              <w:bottom w:w="0" w:type="dxa"/>
              <w:right w:w="7" w:type="dxa"/>
            </w:tcMar>
            <w:vAlign w:val="center"/>
            <w:hideMark/>
          </w:tcPr>
          <w:p w14:paraId="76FB7AF8"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3,026.6</w:t>
            </w:r>
          </w:p>
        </w:tc>
        <w:tc>
          <w:tcPr>
            <w:tcW w:w="588" w:type="pct"/>
            <w:shd w:val="clear" w:color="auto" w:fill="FFFFFF"/>
            <w:tcMar>
              <w:top w:w="7" w:type="dxa"/>
              <w:left w:w="7" w:type="dxa"/>
              <w:bottom w:w="0" w:type="dxa"/>
              <w:right w:w="7" w:type="dxa"/>
            </w:tcMar>
            <w:vAlign w:val="center"/>
            <w:hideMark/>
          </w:tcPr>
          <w:p w14:paraId="28A9673E"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237.5</w:t>
            </w:r>
          </w:p>
        </w:tc>
        <w:tc>
          <w:tcPr>
            <w:tcW w:w="600" w:type="pct"/>
            <w:shd w:val="clear" w:color="auto" w:fill="FFFFFF"/>
            <w:tcMar>
              <w:top w:w="7" w:type="dxa"/>
              <w:left w:w="7" w:type="dxa"/>
              <w:bottom w:w="0" w:type="dxa"/>
              <w:right w:w="7" w:type="dxa"/>
            </w:tcMar>
            <w:vAlign w:val="center"/>
            <w:hideMark/>
          </w:tcPr>
          <w:p w14:paraId="05EA912A"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7.8%</w:t>
            </w:r>
          </w:p>
        </w:tc>
      </w:tr>
      <w:tr w:rsidR="00164238" w:rsidRPr="00164238" w14:paraId="05690243" w14:textId="77777777" w:rsidTr="00682CBF">
        <w:trPr>
          <w:trHeight w:val="20"/>
        </w:trPr>
        <w:tc>
          <w:tcPr>
            <w:tcW w:w="1373" w:type="pct"/>
            <w:shd w:val="clear" w:color="auto" w:fill="FFFFFF"/>
            <w:tcMar>
              <w:top w:w="7" w:type="dxa"/>
              <w:left w:w="7" w:type="dxa"/>
              <w:bottom w:w="0" w:type="dxa"/>
              <w:right w:w="7" w:type="dxa"/>
            </w:tcMar>
            <w:vAlign w:val="center"/>
            <w:hideMark/>
          </w:tcPr>
          <w:p w14:paraId="44D3B345"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Engineering Insurance</w:t>
            </w:r>
          </w:p>
        </w:tc>
        <w:tc>
          <w:tcPr>
            <w:tcW w:w="637" w:type="pct"/>
            <w:shd w:val="clear" w:color="auto" w:fill="FFFFFF"/>
            <w:tcMar>
              <w:top w:w="7" w:type="dxa"/>
              <w:left w:w="7" w:type="dxa"/>
              <w:bottom w:w="0" w:type="dxa"/>
              <w:right w:w="7" w:type="dxa"/>
            </w:tcMar>
            <w:vAlign w:val="center"/>
            <w:hideMark/>
          </w:tcPr>
          <w:p w14:paraId="08913549"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3,507.0</w:t>
            </w:r>
          </w:p>
        </w:tc>
        <w:tc>
          <w:tcPr>
            <w:tcW w:w="583" w:type="pct"/>
            <w:shd w:val="clear" w:color="auto" w:fill="FFFFFF"/>
            <w:tcMar>
              <w:top w:w="7" w:type="dxa"/>
              <w:left w:w="7" w:type="dxa"/>
              <w:bottom w:w="0" w:type="dxa"/>
              <w:right w:w="7" w:type="dxa"/>
            </w:tcMar>
            <w:vAlign w:val="center"/>
            <w:hideMark/>
          </w:tcPr>
          <w:p w14:paraId="45B5F57B"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(84.9)</w:t>
            </w:r>
          </w:p>
        </w:tc>
        <w:tc>
          <w:tcPr>
            <w:tcW w:w="589" w:type="pct"/>
            <w:shd w:val="clear" w:color="auto" w:fill="FFFFFF"/>
            <w:tcMar>
              <w:top w:w="7" w:type="dxa"/>
              <w:left w:w="7" w:type="dxa"/>
              <w:bottom w:w="0" w:type="dxa"/>
              <w:right w:w="7" w:type="dxa"/>
            </w:tcMar>
            <w:vAlign w:val="center"/>
            <w:hideMark/>
          </w:tcPr>
          <w:p w14:paraId="70973FDB"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-2.4%</w:t>
            </w:r>
          </w:p>
        </w:tc>
        <w:tc>
          <w:tcPr>
            <w:tcW w:w="631" w:type="pct"/>
            <w:shd w:val="clear" w:color="auto" w:fill="FFFFFF"/>
            <w:tcMar>
              <w:top w:w="7" w:type="dxa"/>
              <w:left w:w="7" w:type="dxa"/>
              <w:bottom w:w="0" w:type="dxa"/>
              <w:right w:w="7" w:type="dxa"/>
            </w:tcMar>
            <w:vAlign w:val="center"/>
            <w:hideMark/>
          </w:tcPr>
          <w:p w14:paraId="75799C08"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2,302.9</w:t>
            </w:r>
          </w:p>
        </w:tc>
        <w:tc>
          <w:tcPr>
            <w:tcW w:w="588" w:type="pct"/>
            <w:shd w:val="clear" w:color="auto" w:fill="FFFFFF"/>
            <w:tcMar>
              <w:top w:w="7" w:type="dxa"/>
              <w:left w:w="7" w:type="dxa"/>
              <w:bottom w:w="0" w:type="dxa"/>
              <w:right w:w="7" w:type="dxa"/>
            </w:tcMar>
            <w:vAlign w:val="center"/>
            <w:hideMark/>
          </w:tcPr>
          <w:p w14:paraId="5563D943"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88.4</w:t>
            </w:r>
          </w:p>
        </w:tc>
        <w:tc>
          <w:tcPr>
            <w:tcW w:w="600" w:type="pct"/>
            <w:shd w:val="clear" w:color="auto" w:fill="FFFFFF"/>
            <w:tcMar>
              <w:top w:w="7" w:type="dxa"/>
              <w:left w:w="7" w:type="dxa"/>
              <w:bottom w:w="0" w:type="dxa"/>
              <w:right w:w="7" w:type="dxa"/>
            </w:tcMar>
            <w:vAlign w:val="center"/>
            <w:hideMark/>
          </w:tcPr>
          <w:p w14:paraId="7292D101"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3.8%</w:t>
            </w:r>
          </w:p>
        </w:tc>
      </w:tr>
      <w:tr w:rsidR="00164238" w:rsidRPr="00164238" w14:paraId="5E380F51" w14:textId="77777777" w:rsidTr="00682CBF">
        <w:trPr>
          <w:trHeight w:val="20"/>
        </w:trPr>
        <w:tc>
          <w:tcPr>
            <w:tcW w:w="1373" w:type="pct"/>
            <w:shd w:val="clear" w:color="auto" w:fill="FFFFFF"/>
            <w:tcMar>
              <w:top w:w="10" w:type="dxa"/>
              <w:left w:w="10" w:type="dxa"/>
              <w:bottom w:w="0" w:type="dxa"/>
              <w:right w:w="10" w:type="dxa"/>
            </w:tcMar>
            <w:vAlign w:val="center"/>
            <w:hideMark/>
          </w:tcPr>
          <w:p w14:paraId="28887139"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t>NON-LIFE TOTAL</w:t>
            </w:r>
          </w:p>
        </w:tc>
        <w:tc>
          <w:tcPr>
            <w:tcW w:w="637" w:type="pct"/>
            <w:shd w:val="clear" w:color="auto" w:fill="FFFFFF"/>
            <w:tcMar>
              <w:top w:w="7" w:type="dxa"/>
              <w:left w:w="7" w:type="dxa"/>
              <w:bottom w:w="0" w:type="dxa"/>
              <w:right w:w="7" w:type="dxa"/>
            </w:tcMar>
            <w:vAlign w:val="center"/>
            <w:hideMark/>
          </w:tcPr>
          <w:p w14:paraId="156C69FB" w14:textId="77777777" w:rsidR="00C54BC9" w:rsidRPr="00164238" w:rsidRDefault="00C54BC9" w:rsidP="00682CBF">
            <w:pPr>
              <w:jc w:val="center"/>
              <w:rPr>
                <w:rFonts w:ascii="Times New Roman" w:hAnsi="Times New Roman" w:cs="Times New Roman"/>
                <w:b/>
                <w:color w:val="000000" w:themeColor="text1"/>
                <w:sz w:val="18"/>
              </w:rPr>
            </w:pPr>
            <w:r w:rsidRPr="00164238">
              <w:rPr>
                <w:rFonts w:ascii="Times New Roman" w:hAnsi="Times New Roman" w:cs="Times New Roman"/>
                <w:b/>
                <w:color w:val="000000" w:themeColor="text1"/>
                <w:sz w:val="18"/>
              </w:rPr>
              <w:t>68,152.5</w:t>
            </w:r>
          </w:p>
        </w:tc>
        <w:tc>
          <w:tcPr>
            <w:tcW w:w="583" w:type="pct"/>
            <w:shd w:val="clear" w:color="auto" w:fill="FFFFFF"/>
            <w:tcMar>
              <w:top w:w="7" w:type="dxa"/>
              <w:left w:w="7" w:type="dxa"/>
              <w:bottom w:w="0" w:type="dxa"/>
              <w:right w:w="7" w:type="dxa"/>
            </w:tcMar>
            <w:vAlign w:val="center"/>
            <w:hideMark/>
          </w:tcPr>
          <w:p w14:paraId="7B2A8697" w14:textId="77777777" w:rsidR="00C54BC9" w:rsidRPr="00164238" w:rsidRDefault="00C54BC9" w:rsidP="00682CBF">
            <w:pPr>
              <w:jc w:val="center"/>
              <w:rPr>
                <w:rFonts w:ascii="Times New Roman" w:hAnsi="Times New Roman" w:cs="Times New Roman"/>
                <w:b/>
                <w:color w:val="000000" w:themeColor="text1"/>
                <w:sz w:val="18"/>
              </w:rPr>
            </w:pPr>
            <w:r w:rsidRPr="00164238">
              <w:rPr>
                <w:rFonts w:ascii="Times New Roman" w:hAnsi="Times New Roman" w:cs="Times New Roman"/>
                <w:b/>
                <w:color w:val="000000" w:themeColor="text1"/>
                <w:sz w:val="18"/>
              </w:rPr>
              <w:t>8,067.6</w:t>
            </w:r>
          </w:p>
        </w:tc>
        <w:tc>
          <w:tcPr>
            <w:tcW w:w="589" w:type="pct"/>
            <w:shd w:val="clear" w:color="auto" w:fill="FFFFFF"/>
            <w:tcMar>
              <w:top w:w="7" w:type="dxa"/>
              <w:left w:w="7" w:type="dxa"/>
              <w:bottom w:w="0" w:type="dxa"/>
              <w:right w:w="7" w:type="dxa"/>
            </w:tcMar>
            <w:vAlign w:val="center"/>
            <w:hideMark/>
          </w:tcPr>
          <w:p w14:paraId="297A48D7" w14:textId="77777777" w:rsidR="00C54BC9" w:rsidRPr="00164238" w:rsidRDefault="00C54BC9" w:rsidP="00682CBF">
            <w:pPr>
              <w:jc w:val="center"/>
              <w:rPr>
                <w:rFonts w:ascii="Times New Roman" w:hAnsi="Times New Roman" w:cs="Times New Roman"/>
                <w:b/>
                <w:color w:val="000000" w:themeColor="text1"/>
                <w:sz w:val="18"/>
              </w:rPr>
            </w:pPr>
            <w:r w:rsidRPr="00164238">
              <w:rPr>
                <w:rFonts w:ascii="Times New Roman" w:hAnsi="Times New Roman" w:cs="Times New Roman"/>
                <w:b/>
                <w:bCs/>
                <w:color w:val="000000" w:themeColor="text1"/>
                <w:sz w:val="18"/>
              </w:rPr>
              <w:t>11.8%</w:t>
            </w:r>
          </w:p>
        </w:tc>
        <w:tc>
          <w:tcPr>
            <w:tcW w:w="631" w:type="pct"/>
            <w:shd w:val="clear" w:color="auto" w:fill="FFFFFF"/>
            <w:tcMar>
              <w:top w:w="7" w:type="dxa"/>
              <w:left w:w="7" w:type="dxa"/>
              <w:bottom w:w="0" w:type="dxa"/>
              <w:right w:w="7" w:type="dxa"/>
            </w:tcMar>
            <w:vAlign w:val="center"/>
            <w:hideMark/>
          </w:tcPr>
          <w:p w14:paraId="53492EDB" w14:textId="77777777" w:rsidR="00C54BC9" w:rsidRPr="00164238" w:rsidRDefault="00C54BC9" w:rsidP="00682CBF">
            <w:pPr>
              <w:jc w:val="center"/>
              <w:rPr>
                <w:rFonts w:ascii="Times New Roman" w:hAnsi="Times New Roman" w:cs="Times New Roman"/>
                <w:b/>
                <w:color w:val="000000" w:themeColor="text1"/>
                <w:sz w:val="18"/>
              </w:rPr>
            </w:pPr>
            <w:r w:rsidRPr="00164238">
              <w:rPr>
                <w:rFonts w:ascii="Times New Roman" w:hAnsi="Times New Roman" w:cs="Times New Roman"/>
                <w:b/>
                <w:color w:val="000000" w:themeColor="text1"/>
                <w:sz w:val="18"/>
              </w:rPr>
              <w:t>57,896.0</w:t>
            </w:r>
          </w:p>
        </w:tc>
        <w:tc>
          <w:tcPr>
            <w:tcW w:w="588" w:type="pct"/>
            <w:shd w:val="clear" w:color="auto" w:fill="FFFFFF"/>
            <w:tcMar>
              <w:top w:w="7" w:type="dxa"/>
              <w:left w:w="7" w:type="dxa"/>
              <w:bottom w:w="0" w:type="dxa"/>
              <w:right w:w="7" w:type="dxa"/>
            </w:tcMar>
            <w:vAlign w:val="center"/>
            <w:hideMark/>
          </w:tcPr>
          <w:p w14:paraId="39975DBA" w14:textId="77777777" w:rsidR="00C54BC9" w:rsidRPr="00164238" w:rsidRDefault="00C54BC9" w:rsidP="00682CBF">
            <w:pPr>
              <w:jc w:val="center"/>
              <w:rPr>
                <w:rFonts w:ascii="Times New Roman" w:hAnsi="Times New Roman" w:cs="Times New Roman"/>
                <w:b/>
                <w:color w:val="000000" w:themeColor="text1"/>
                <w:sz w:val="18"/>
              </w:rPr>
            </w:pPr>
            <w:r w:rsidRPr="00164238">
              <w:rPr>
                <w:rFonts w:ascii="Times New Roman" w:hAnsi="Times New Roman" w:cs="Times New Roman"/>
                <w:b/>
                <w:color w:val="000000" w:themeColor="text1"/>
                <w:sz w:val="18"/>
              </w:rPr>
              <w:t>5,026.8</w:t>
            </w:r>
          </w:p>
        </w:tc>
        <w:tc>
          <w:tcPr>
            <w:tcW w:w="600" w:type="pct"/>
            <w:shd w:val="clear" w:color="auto" w:fill="FFFFFF"/>
            <w:tcMar>
              <w:top w:w="7" w:type="dxa"/>
              <w:left w:w="7" w:type="dxa"/>
              <w:bottom w:w="0" w:type="dxa"/>
              <w:right w:w="7" w:type="dxa"/>
            </w:tcMar>
            <w:vAlign w:val="center"/>
            <w:hideMark/>
          </w:tcPr>
          <w:p w14:paraId="7EF37E0F" w14:textId="77777777" w:rsidR="00C54BC9" w:rsidRPr="00164238" w:rsidRDefault="00C54BC9" w:rsidP="00682CBF">
            <w:pPr>
              <w:jc w:val="center"/>
              <w:rPr>
                <w:rFonts w:ascii="Times New Roman" w:hAnsi="Times New Roman" w:cs="Times New Roman"/>
                <w:b/>
                <w:color w:val="000000" w:themeColor="text1"/>
                <w:sz w:val="18"/>
              </w:rPr>
            </w:pPr>
            <w:r w:rsidRPr="00164238">
              <w:rPr>
                <w:rFonts w:ascii="Times New Roman" w:hAnsi="Times New Roman" w:cs="Times New Roman"/>
                <w:b/>
                <w:color w:val="000000" w:themeColor="text1"/>
                <w:sz w:val="18"/>
              </w:rPr>
              <w:t>8.7%</w:t>
            </w:r>
          </w:p>
        </w:tc>
      </w:tr>
      <w:tr w:rsidR="00164238" w:rsidRPr="00164238" w14:paraId="6AEFC62F" w14:textId="77777777" w:rsidTr="00682CBF">
        <w:trPr>
          <w:trHeight w:val="20"/>
        </w:trPr>
        <w:tc>
          <w:tcPr>
            <w:tcW w:w="1373" w:type="pct"/>
            <w:shd w:val="clear" w:color="auto" w:fill="FFFFFF"/>
            <w:tcMar>
              <w:top w:w="10" w:type="dxa"/>
              <w:left w:w="10" w:type="dxa"/>
              <w:bottom w:w="0" w:type="dxa"/>
              <w:right w:w="10" w:type="dxa"/>
            </w:tcMar>
            <w:vAlign w:val="center"/>
            <w:hideMark/>
          </w:tcPr>
          <w:p w14:paraId="27B078A9"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t>LIFE TOTAL</w:t>
            </w:r>
          </w:p>
        </w:tc>
        <w:tc>
          <w:tcPr>
            <w:tcW w:w="637" w:type="pct"/>
            <w:shd w:val="clear" w:color="auto" w:fill="FFFFFF"/>
            <w:tcMar>
              <w:top w:w="7" w:type="dxa"/>
              <w:left w:w="7" w:type="dxa"/>
              <w:bottom w:w="0" w:type="dxa"/>
              <w:right w:w="7" w:type="dxa"/>
            </w:tcMar>
            <w:vAlign w:val="center"/>
            <w:hideMark/>
          </w:tcPr>
          <w:p w14:paraId="3811A3E4" w14:textId="77777777" w:rsidR="00C54BC9" w:rsidRPr="00164238" w:rsidRDefault="00C54BC9" w:rsidP="00682CBF">
            <w:pPr>
              <w:jc w:val="center"/>
              <w:rPr>
                <w:rFonts w:ascii="Times New Roman" w:hAnsi="Times New Roman" w:cs="Times New Roman"/>
                <w:b/>
                <w:color w:val="000000" w:themeColor="text1"/>
                <w:sz w:val="18"/>
              </w:rPr>
            </w:pPr>
            <w:r w:rsidRPr="00164238">
              <w:rPr>
                <w:rFonts w:ascii="Times New Roman" w:hAnsi="Times New Roman" w:cs="Times New Roman"/>
                <w:b/>
                <w:color w:val="000000" w:themeColor="text1"/>
                <w:sz w:val="18"/>
              </w:rPr>
              <w:t>14,431.3</w:t>
            </w:r>
          </w:p>
        </w:tc>
        <w:tc>
          <w:tcPr>
            <w:tcW w:w="583" w:type="pct"/>
            <w:shd w:val="clear" w:color="auto" w:fill="FFFFFF"/>
            <w:tcMar>
              <w:top w:w="7" w:type="dxa"/>
              <w:left w:w="7" w:type="dxa"/>
              <w:bottom w:w="0" w:type="dxa"/>
              <w:right w:w="7" w:type="dxa"/>
            </w:tcMar>
            <w:vAlign w:val="center"/>
            <w:hideMark/>
          </w:tcPr>
          <w:p w14:paraId="17C93A06" w14:textId="77777777" w:rsidR="00C54BC9" w:rsidRPr="00164238" w:rsidRDefault="00C54BC9" w:rsidP="00682CBF">
            <w:pPr>
              <w:jc w:val="center"/>
              <w:rPr>
                <w:rFonts w:ascii="Times New Roman" w:hAnsi="Times New Roman" w:cs="Times New Roman"/>
                <w:b/>
                <w:color w:val="000000" w:themeColor="text1"/>
                <w:sz w:val="18"/>
              </w:rPr>
            </w:pPr>
            <w:r w:rsidRPr="00164238">
              <w:rPr>
                <w:rFonts w:ascii="Times New Roman" w:hAnsi="Times New Roman" w:cs="Times New Roman"/>
                <w:b/>
                <w:color w:val="000000" w:themeColor="text1"/>
                <w:sz w:val="18"/>
              </w:rPr>
              <w:t>2,575.2</w:t>
            </w:r>
          </w:p>
        </w:tc>
        <w:tc>
          <w:tcPr>
            <w:tcW w:w="589" w:type="pct"/>
            <w:shd w:val="clear" w:color="auto" w:fill="FFFFFF"/>
            <w:tcMar>
              <w:top w:w="7" w:type="dxa"/>
              <w:left w:w="7" w:type="dxa"/>
              <w:bottom w:w="0" w:type="dxa"/>
              <w:right w:w="7" w:type="dxa"/>
            </w:tcMar>
            <w:vAlign w:val="center"/>
            <w:hideMark/>
          </w:tcPr>
          <w:p w14:paraId="1DC3A3A4" w14:textId="77777777" w:rsidR="00C54BC9" w:rsidRPr="00164238" w:rsidRDefault="00C54BC9" w:rsidP="00682CBF">
            <w:pPr>
              <w:jc w:val="center"/>
              <w:rPr>
                <w:rFonts w:ascii="Times New Roman" w:hAnsi="Times New Roman" w:cs="Times New Roman"/>
                <w:b/>
                <w:color w:val="000000" w:themeColor="text1"/>
                <w:sz w:val="18"/>
              </w:rPr>
            </w:pPr>
            <w:r w:rsidRPr="00164238">
              <w:rPr>
                <w:rFonts w:ascii="Times New Roman" w:hAnsi="Times New Roman" w:cs="Times New Roman"/>
                <w:b/>
                <w:bCs/>
                <w:color w:val="000000" w:themeColor="text1"/>
                <w:sz w:val="18"/>
              </w:rPr>
              <w:t>17.8%</w:t>
            </w:r>
          </w:p>
        </w:tc>
        <w:tc>
          <w:tcPr>
            <w:tcW w:w="631" w:type="pct"/>
            <w:shd w:val="clear" w:color="auto" w:fill="FFFFFF"/>
            <w:tcMar>
              <w:top w:w="7" w:type="dxa"/>
              <w:left w:w="7" w:type="dxa"/>
              <w:bottom w:w="0" w:type="dxa"/>
              <w:right w:w="7" w:type="dxa"/>
            </w:tcMar>
            <w:vAlign w:val="center"/>
            <w:hideMark/>
          </w:tcPr>
          <w:p w14:paraId="75698B8A" w14:textId="77777777" w:rsidR="00C54BC9" w:rsidRPr="00164238" w:rsidRDefault="00C54BC9" w:rsidP="00682CBF">
            <w:pPr>
              <w:jc w:val="center"/>
              <w:rPr>
                <w:rFonts w:ascii="Times New Roman" w:hAnsi="Times New Roman" w:cs="Times New Roman"/>
                <w:b/>
                <w:color w:val="000000" w:themeColor="text1"/>
                <w:sz w:val="18"/>
              </w:rPr>
            </w:pPr>
            <w:r w:rsidRPr="00164238">
              <w:rPr>
                <w:rFonts w:ascii="Times New Roman" w:hAnsi="Times New Roman" w:cs="Times New Roman"/>
                <w:b/>
                <w:color w:val="000000" w:themeColor="text1"/>
                <w:sz w:val="18"/>
              </w:rPr>
              <w:t>11,358.9</w:t>
            </w:r>
          </w:p>
        </w:tc>
        <w:tc>
          <w:tcPr>
            <w:tcW w:w="588" w:type="pct"/>
            <w:shd w:val="clear" w:color="auto" w:fill="FFFFFF"/>
            <w:tcMar>
              <w:top w:w="7" w:type="dxa"/>
              <w:left w:w="7" w:type="dxa"/>
              <w:bottom w:w="0" w:type="dxa"/>
              <w:right w:w="7" w:type="dxa"/>
            </w:tcMar>
            <w:vAlign w:val="center"/>
            <w:hideMark/>
          </w:tcPr>
          <w:p w14:paraId="6D1B197A" w14:textId="77777777" w:rsidR="00C54BC9" w:rsidRPr="00164238" w:rsidRDefault="00C54BC9" w:rsidP="00682CBF">
            <w:pPr>
              <w:jc w:val="center"/>
              <w:rPr>
                <w:rFonts w:ascii="Times New Roman" w:hAnsi="Times New Roman" w:cs="Times New Roman"/>
                <w:b/>
                <w:color w:val="000000" w:themeColor="text1"/>
                <w:sz w:val="18"/>
              </w:rPr>
            </w:pPr>
            <w:r w:rsidRPr="00164238">
              <w:rPr>
                <w:rFonts w:ascii="Times New Roman" w:hAnsi="Times New Roman" w:cs="Times New Roman"/>
                <w:b/>
                <w:color w:val="000000" w:themeColor="text1"/>
                <w:sz w:val="18"/>
              </w:rPr>
              <w:t>2,251.5</w:t>
            </w:r>
          </w:p>
        </w:tc>
        <w:tc>
          <w:tcPr>
            <w:tcW w:w="600" w:type="pct"/>
            <w:shd w:val="clear" w:color="auto" w:fill="FFFFFF"/>
            <w:tcMar>
              <w:top w:w="7" w:type="dxa"/>
              <w:left w:w="7" w:type="dxa"/>
              <w:bottom w:w="0" w:type="dxa"/>
              <w:right w:w="7" w:type="dxa"/>
            </w:tcMar>
            <w:vAlign w:val="center"/>
            <w:hideMark/>
          </w:tcPr>
          <w:p w14:paraId="43AD5056" w14:textId="77777777" w:rsidR="00C54BC9" w:rsidRPr="00164238" w:rsidRDefault="00C54BC9" w:rsidP="00682CBF">
            <w:pPr>
              <w:jc w:val="center"/>
              <w:rPr>
                <w:rFonts w:ascii="Times New Roman" w:hAnsi="Times New Roman" w:cs="Times New Roman"/>
                <w:b/>
                <w:color w:val="000000" w:themeColor="text1"/>
                <w:sz w:val="18"/>
              </w:rPr>
            </w:pPr>
            <w:r w:rsidRPr="00164238">
              <w:rPr>
                <w:rFonts w:ascii="Times New Roman" w:hAnsi="Times New Roman" w:cs="Times New Roman"/>
                <w:b/>
                <w:color w:val="000000" w:themeColor="text1"/>
                <w:sz w:val="18"/>
              </w:rPr>
              <w:t>19.8%</w:t>
            </w:r>
          </w:p>
        </w:tc>
      </w:tr>
      <w:tr w:rsidR="00164238" w:rsidRPr="00164238" w14:paraId="0FF8618B" w14:textId="77777777" w:rsidTr="00682CBF">
        <w:trPr>
          <w:trHeight w:val="20"/>
        </w:trPr>
        <w:tc>
          <w:tcPr>
            <w:tcW w:w="1373" w:type="pct"/>
            <w:shd w:val="clear" w:color="auto" w:fill="FFFFFF"/>
            <w:tcMar>
              <w:top w:w="10" w:type="dxa"/>
              <w:left w:w="10" w:type="dxa"/>
              <w:bottom w:w="0" w:type="dxa"/>
              <w:right w:w="10" w:type="dxa"/>
            </w:tcMar>
            <w:vAlign w:val="center"/>
            <w:hideMark/>
          </w:tcPr>
          <w:p w14:paraId="0B92FC34"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t>PENSION TOTAL</w:t>
            </w:r>
          </w:p>
        </w:tc>
        <w:tc>
          <w:tcPr>
            <w:tcW w:w="637" w:type="pct"/>
            <w:shd w:val="clear" w:color="auto" w:fill="FFFFFF"/>
            <w:tcMar>
              <w:top w:w="7" w:type="dxa"/>
              <w:left w:w="7" w:type="dxa"/>
              <w:bottom w:w="0" w:type="dxa"/>
              <w:right w:w="7" w:type="dxa"/>
            </w:tcMar>
            <w:vAlign w:val="center"/>
            <w:hideMark/>
          </w:tcPr>
          <w:p w14:paraId="20E20593" w14:textId="77777777" w:rsidR="00C54BC9" w:rsidRPr="00164238" w:rsidRDefault="00C54BC9" w:rsidP="00682CBF">
            <w:pPr>
              <w:jc w:val="center"/>
              <w:rPr>
                <w:rFonts w:ascii="Times New Roman" w:hAnsi="Times New Roman" w:cs="Times New Roman"/>
                <w:b/>
                <w:color w:val="000000" w:themeColor="text1"/>
                <w:sz w:val="18"/>
              </w:rPr>
            </w:pPr>
            <w:r w:rsidRPr="00164238">
              <w:rPr>
                <w:rFonts w:ascii="Times New Roman" w:hAnsi="Times New Roman" w:cs="Times New Roman"/>
                <w:b/>
                <w:color w:val="000000" w:themeColor="text1"/>
                <w:sz w:val="18"/>
              </w:rPr>
              <w:t>0.0</w:t>
            </w:r>
          </w:p>
        </w:tc>
        <w:tc>
          <w:tcPr>
            <w:tcW w:w="583" w:type="pct"/>
            <w:shd w:val="clear" w:color="auto" w:fill="FFFFFF"/>
            <w:tcMar>
              <w:top w:w="7" w:type="dxa"/>
              <w:left w:w="7" w:type="dxa"/>
              <w:bottom w:w="0" w:type="dxa"/>
              <w:right w:w="7" w:type="dxa"/>
            </w:tcMar>
            <w:vAlign w:val="center"/>
            <w:hideMark/>
          </w:tcPr>
          <w:p w14:paraId="19FC921A" w14:textId="77777777" w:rsidR="00C54BC9" w:rsidRPr="00164238" w:rsidRDefault="00C54BC9" w:rsidP="00682CBF">
            <w:pPr>
              <w:jc w:val="center"/>
              <w:rPr>
                <w:rFonts w:ascii="Times New Roman" w:hAnsi="Times New Roman" w:cs="Times New Roman"/>
                <w:b/>
                <w:color w:val="000000" w:themeColor="text1"/>
                <w:sz w:val="18"/>
              </w:rPr>
            </w:pPr>
            <w:r w:rsidRPr="00164238">
              <w:rPr>
                <w:rFonts w:ascii="Times New Roman" w:hAnsi="Times New Roman" w:cs="Times New Roman"/>
                <w:b/>
                <w:color w:val="000000" w:themeColor="text1"/>
                <w:sz w:val="18"/>
              </w:rPr>
              <w:t>623.7</w:t>
            </w:r>
          </w:p>
        </w:tc>
        <w:tc>
          <w:tcPr>
            <w:tcW w:w="589" w:type="pct"/>
            <w:shd w:val="clear" w:color="auto" w:fill="FFFFFF"/>
            <w:tcMar>
              <w:top w:w="7" w:type="dxa"/>
              <w:left w:w="7" w:type="dxa"/>
              <w:bottom w:w="0" w:type="dxa"/>
              <w:right w:w="7" w:type="dxa"/>
            </w:tcMar>
            <w:vAlign w:val="center"/>
            <w:hideMark/>
          </w:tcPr>
          <w:p w14:paraId="097D9DAE" w14:textId="77777777" w:rsidR="00C54BC9" w:rsidRPr="00164238" w:rsidRDefault="00C54BC9" w:rsidP="00682CBF">
            <w:pPr>
              <w:jc w:val="center"/>
              <w:rPr>
                <w:rFonts w:ascii="Times New Roman" w:hAnsi="Times New Roman" w:cs="Times New Roman"/>
                <w:b/>
                <w:color w:val="000000" w:themeColor="text1"/>
                <w:sz w:val="18"/>
              </w:rPr>
            </w:pPr>
          </w:p>
        </w:tc>
        <w:tc>
          <w:tcPr>
            <w:tcW w:w="631" w:type="pct"/>
            <w:shd w:val="clear" w:color="auto" w:fill="FFFFFF"/>
            <w:tcMar>
              <w:top w:w="7" w:type="dxa"/>
              <w:left w:w="7" w:type="dxa"/>
              <w:bottom w:w="0" w:type="dxa"/>
              <w:right w:w="7" w:type="dxa"/>
            </w:tcMar>
            <w:vAlign w:val="center"/>
            <w:hideMark/>
          </w:tcPr>
          <w:p w14:paraId="3316D276" w14:textId="77777777" w:rsidR="00C54BC9" w:rsidRPr="00164238" w:rsidRDefault="00C54BC9" w:rsidP="00682CBF">
            <w:pPr>
              <w:jc w:val="center"/>
              <w:rPr>
                <w:rFonts w:ascii="Times New Roman" w:hAnsi="Times New Roman" w:cs="Times New Roman"/>
                <w:b/>
                <w:color w:val="000000" w:themeColor="text1"/>
                <w:sz w:val="18"/>
              </w:rPr>
            </w:pPr>
            <w:r w:rsidRPr="00164238">
              <w:rPr>
                <w:rFonts w:ascii="Times New Roman" w:hAnsi="Times New Roman" w:cs="Times New Roman"/>
                <w:b/>
                <w:color w:val="000000" w:themeColor="text1"/>
                <w:sz w:val="18"/>
              </w:rPr>
              <w:t>0.0</w:t>
            </w:r>
          </w:p>
        </w:tc>
        <w:tc>
          <w:tcPr>
            <w:tcW w:w="588" w:type="pct"/>
            <w:shd w:val="clear" w:color="auto" w:fill="FFFFFF"/>
            <w:tcMar>
              <w:top w:w="7" w:type="dxa"/>
              <w:left w:w="7" w:type="dxa"/>
              <w:bottom w:w="0" w:type="dxa"/>
              <w:right w:w="7" w:type="dxa"/>
            </w:tcMar>
            <w:vAlign w:val="center"/>
            <w:hideMark/>
          </w:tcPr>
          <w:p w14:paraId="0D94BFD4" w14:textId="77777777" w:rsidR="00C54BC9" w:rsidRPr="00164238" w:rsidRDefault="00C54BC9" w:rsidP="00682CBF">
            <w:pPr>
              <w:jc w:val="center"/>
              <w:rPr>
                <w:rFonts w:ascii="Times New Roman" w:hAnsi="Times New Roman" w:cs="Times New Roman"/>
                <w:b/>
                <w:color w:val="000000" w:themeColor="text1"/>
                <w:sz w:val="18"/>
              </w:rPr>
            </w:pPr>
            <w:r w:rsidRPr="00164238">
              <w:rPr>
                <w:rFonts w:ascii="Times New Roman" w:hAnsi="Times New Roman" w:cs="Times New Roman"/>
                <w:b/>
                <w:color w:val="000000" w:themeColor="text1"/>
                <w:sz w:val="18"/>
              </w:rPr>
              <w:t>468.1</w:t>
            </w:r>
          </w:p>
        </w:tc>
        <w:tc>
          <w:tcPr>
            <w:tcW w:w="600" w:type="pct"/>
            <w:shd w:val="clear" w:color="auto" w:fill="FFFFFF"/>
            <w:tcMar>
              <w:top w:w="7" w:type="dxa"/>
              <w:left w:w="7" w:type="dxa"/>
              <w:bottom w:w="0" w:type="dxa"/>
              <w:right w:w="7" w:type="dxa"/>
            </w:tcMar>
            <w:vAlign w:val="center"/>
            <w:hideMark/>
          </w:tcPr>
          <w:p w14:paraId="1E8FDC05" w14:textId="77777777" w:rsidR="00C54BC9" w:rsidRPr="00164238" w:rsidRDefault="00C54BC9" w:rsidP="00682CBF">
            <w:pPr>
              <w:jc w:val="center"/>
              <w:rPr>
                <w:rFonts w:ascii="Times New Roman" w:hAnsi="Times New Roman" w:cs="Times New Roman"/>
                <w:b/>
                <w:color w:val="000000" w:themeColor="text1"/>
                <w:sz w:val="18"/>
              </w:rPr>
            </w:pPr>
          </w:p>
        </w:tc>
      </w:tr>
      <w:tr w:rsidR="00164238" w:rsidRPr="00164238" w14:paraId="1A9BE888" w14:textId="77777777" w:rsidTr="00682CBF">
        <w:trPr>
          <w:trHeight w:val="20"/>
        </w:trPr>
        <w:tc>
          <w:tcPr>
            <w:tcW w:w="1373" w:type="pct"/>
            <w:shd w:val="clear" w:color="auto" w:fill="FFFFFF"/>
            <w:tcMar>
              <w:top w:w="7" w:type="dxa"/>
              <w:left w:w="7" w:type="dxa"/>
              <w:bottom w:w="0" w:type="dxa"/>
              <w:right w:w="7" w:type="dxa"/>
            </w:tcMar>
            <w:vAlign w:val="center"/>
            <w:hideMark/>
          </w:tcPr>
          <w:p w14:paraId="46C2CE0A" w14:textId="77777777" w:rsidR="00C54BC9" w:rsidRPr="00164238" w:rsidRDefault="00C54BC9" w:rsidP="00682CBF">
            <w:pPr>
              <w:jc w:val="center"/>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t>GENERAL TOTAL</w:t>
            </w:r>
          </w:p>
        </w:tc>
        <w:tc>
          <w:tcPr>
            <w:tcW w:w="637" w:type="pct"/>
            <w:shd w:val="clear" w:color="auto" w:fill="FFFFFF"/>
            <w:tcMar>
              <w:top w:w="7" w:type="dxa"/>
              <w:left w:w="7" w:type="dxa"/>
              <w:bottom w:w="0" w:type="dxa"/>
              <w:right w:w="7" w:type="dxa"/>
            </w:tcMar>
            <w:vAlign w:val="center"/>
            <w:hideMark/>
          </w:tcPr>
          <w:p w14:paraId="3A67267B" w14:textId="77777777" w:rsidR="00C54BC9" w:rsidRPr="00164238" w:rsidRDefault="00C54BC9" w:rsidP="00682CBF">
            <w:pPr>
              <w:jc w:val="center"/>
              <w:rPr>
                <w:rFonts w:ascii="Times New Roman" w:hAnsi="Times New Roman" w:cs="Times New Roman"/>
                <w:b/>
                <w:color w:val="000000" w:themeColor="text1"/>
                <w:sz w:val="18"/>
              </w:rPr>
            </w:pPr>
            <w:r w:rsidRPr="00164238">
              <w:rPr>
                <w:rFonts w:ascii="Times New Roman" w:hAnsi="Times New Roman" w:cs="Times New Roman"/>
                <w:b/>
                <w:color w:val="000000" w:themeColor="text1"/>
                <w:sz w:val="18"/>
              </w:rPr>
              <w:t>82,583.8</w:t>
            </w:r>
          </w:p>
        </w:tc>
        <w:tc>
          <w:tcPr>
            <w:tcW w:w="583" w:type="pct"/>
            <w:shd w:val="clear" w:color="auto" w:fill="FFFFFF"/>
            <w:tcMar>
              <w:top w:w="7" w:type="dxa"/>
              <w:left w:w="7" w:type="dxa"/>
              <w:bottom w:w="0" w:type="dxa"/>
              <w:right w:w="7" w:type="dxa"/>
            </w:tcMar>
            <w:vAlign w:val="center"/>
            <w:hideMark/>
          </w:tcPr>
          <w:p w14:paraId="223C1626" w14:textId="77777777" w:rsidR="00C54BC9" w:rsidRPr="00164238" w:rsidRDefault="00C54BC9" w:rsidP="00682CBF">
            <w:pPr>
              <w:jc w:val="center"/>
              <w:rPr>
                <w:rFonts w:ascii="Times New Roman" w:hAnsi="Times New Roman" w:cs="Times New Roman"/>
                <w:b/>
                <w:color w:val="000000" w:themeColor="text1"/>
                <w:sz w:val="18"/>
              </w:rPr>
            </w:pPr>
            <w:r w:rsidRPr="00164238">
              <w:rPr>
                <w:rFonts w:ascii="Times New Roman" w:hAnsi="Times New Roman" w:cs="Times New Roman"/>
                <w:b/>
                <w:color w:val="000000" w:themeColor="text1"/>
                <w:sz w:val="18"/>
              </w:rPr>
              <w:t>11,266.5</w:t>
            </w:r>
          </w:p>
        </w:tc>
        <w:tc>
          <w:tcPr>
            <w:tcW w:w="589" w:type="pct"/>
            <w:shd w:val="clear" w:color="auto" w:fill="FFFFFF"/>
            <w:tcMar>
              <w:top w:w="7" w:type="dxa"/>
              <w:left w:w="7" w:type="dxa"/>
              <w:bottom w:w="0" w:type="dxa"/>
              <w:right w:w="7" w:type="dxa"/>
            </w:tcMar>
            <w:vAlign w:val="center"/>
            <w:hideMark/>
          </w:tcPr>
          <w:p w14:paraId="762A84FF" w14:textId="77777777" w:rsidR="00C54BC9" w:rsidRPr="00164238" w:rsidRDefault="00C54BC9" w:rsidP="00682CBF">
            <w:pPr>
              <w:jc w:val="center"/>
              <w:rPr>
                <w:rFonts w:ascii="Times New Roman" w:hAnsi="Times New Roman" w:cs="Times New Roman"/>
                <w:b/>
                <w:color w:val="000000" w:themeColor="text1"/>
                <w:sz w:val="18"/>
              </w:rPr>
            </w:pPr>
            <w:r w:rsidRPr="00164238">
              <w:rPr>
                <w:rFonts w:ascii="Times New Roman" w:hAnsi="Times New Roman" w:cs="Times New Roman"/>
                <w:b/>
                <w:bCs/>
                <w:color w:val="000000" w:themeColor="text1"/>
                <w:sz w:val="18"/>
              </w:rPr>
              <w:t>13.6%</w:t>
            </w:r>
          </w:p>
        </w:tc>
        <w:tc>
          <w:tcPr>
            <w:tcW w:w="631" w:type="pct"/>
            <w:shd w:val="clear" w:color="auto" w:fill="FFFFFF"/>
            <w:tcMar>
              <w:top w:w="7" w:type="dxa"/>
              <w:left w:w="7" w:type="dxa"/>
              <w:bottom w:w="0" w:type="dxa"/>
              <w:right w:w="7" w:type="dxa"/>
            </w:tcMar>
            <w:vAlign w:val="center"/>
            <w:hideMark/>
          </w:tcPr>
          <w:p w14:paraId="583D18A1" w14:textId="77777777" w:rsidR="00C54BC9" w:rsidRPr="00164238" w:rsidRDefault="00C54BC9" w:rsidP="00682CBF">
            <w:pPr>
              <w:jc w:val="center"/>
              <w:rPr>
                <w:rFonts w:ascii="Times New Roman" w:hAnsi="Times New Roman" w:cs="Times New Roman"/>
                <w:b/>
                <w:color w:val="000000" w:themeColor="text1"/>
                <w:sz w:val="18"/>
              </w:rPr>
            </w:pPr>
            <w:r w:rsidRPr="00164238">
              <w:rPr>
                <w:rFonts w:ascii="Times New Roman" w:hAnsi="Times New Roman" w:cs="Times New Roman"/>
                <w:b/>
                <w:color w:val="000000" w:themeColor="text1"/>
                <w:sz w:val="18"/>
              </w:rPr>
              <w:t>69,254.9</w:t>
            </w:r>
          </w:p>
        </w:tc>
        <w:tc>
          <w:tcPr>
            <w:tcW w:w="588" w:type="pct"/>
            <w:shd w:val="clear" w:color="auto" w:fill="FFFFFF"/>
            <w:tcMar>
              <w:top w:w="7" w:type="dxa"/>
              <w:left w:w="7" w:type="dxa"/>
              <w:bottom w:w="0" w:type="dxa"/>
              <w:right w:w="7" w:type="dxa"/>
            </w:tcMar>
            <w:vAlign w:val="center"/>
            <w:hideMark/>
          </w:tcPr>
          <w:p w14:paraId="3AE6CB34" w14:textId="77777777" w:rsidR="00C54BC9" w:rsidRPr="00164238" w:rsidRDefault="00C54BC9" w:rsidP="00682CBF">
            <w:pPr>
              <w:jc w:val="center"/>
              <w:rPr>
                <w:rFonts w:ascii="Times New Roman" w:hAnsi="Times New Roman" w:cs="Times New Roman"/>
                <w:b/>
                <w:color w:val="000000" w:themeColor="text1"/>
                <w:sz w:val="18"/>
              </w:rPr>
            </w:pPr>
            <w:r w:rsidRPr="00164238">
              <w:rPr>
                <w:rFonts w:ascii="Times New Roman" w:hAnsi="Times New Roman" w:cs="Times New Roman"/>
                <w:b/>
                <w:color w:val="000000" w:themeColor="text1"/>
                <w:sz w:val="18"/>
              </w:rPr>
              <w:t>7,746.4</w:t>
            </w:r>
          </w:p>
        </w:tc>
        <w:tc>
          <w:tcPr>
            <w:tcW w:w="600" w:type="pct"/>
            <w:shd w:val="clear" w:color="auto" w:fill="FFFFFF"/>
            <w:tcMar>
              <w:top w:w="7" w:type="dxa"/>
              <w:left w:w="7" w:type="dxa"/>
              <w:bottom w:w="0" w:type="dxa"/>
              <w:right w:w="7" w:type="dxa"/>
            </w:tcMar>
            <w:vAlign w:val="center"/>
            <w:hideMark/>
          </w:tcPr>
          <w:p w14:paraId="430E6740" w14:textId="77777777" w:rsidR="00C54BC9" w:rsidRPr="00164238" w:rsidRDefault="00C54BC9" w:rsidP="00682CBF">
            <w:pPr>
              <w:jc w:val="center"/>
              <w:rPr>
                <w:rFonts w:ascii="Times New Roman" w:hAnsi="Times New Roman" w:cs="Times New Roman"/>
                <w:b/>
                <w:color w:val="000000" w:themeColor="text1"/>
                <w:sz w:val="18"/>
              </w:rPr>
            </w:pPr>
            <w:r w:rsidRPr="00164238">
              <w:rPr>
                <w:rFonts w:ascii="Times New Roman" w:hAnsi="Times New Roman" w:cs="Times New Roman"/>
                <w:b/>
                <w:color w:val="000000" w:themeColor="text1"/>
                <w:sz w:val="18"/>
              </w:rPr>
              <w:t>11.2%</w:t>
            </w:r>
          </w:p>
        </w:tc>
      </w:tr>
    </w:tbl>
    <w:p w14:paraId="6A345A8F" w14:textId="77777777" w:rsidR="00C54BC9" w:rsidRPr="00164238" w:rsidRDefault="00C54BC9" w:rsidP="00C54BC9">
      <w:pPr>
        <w:spacing w:after="120" w:line="276" w:lineRule="auto"/>
        <w:jc w:val="both"/>
        <w:rPr>
          <w:rFonts w:ascii="Times New Roman" w:hAnsi="Times New Roman" w:cs="Times New Roman"/>
          <w:color w:val="000000" w:themeColor="text1"/>
        </w:rPr>
      </w:pPr>
      <w:r w:rsidRPr="00164238">
        <w:rPr>
          <w:rFonts w:ascii="Times New Roman" w:hAnsi="Times New Roman" w:cs="Times New Roman"/>
          <w:i/>
          <w:color w:val="000000" w:themeColor="text1"/>
        </w:rPr>
        <w:t>Source:</w:t>
      </w:r>
      <w:r w:rsidRPr="00164238">
        <w:rPr>
          <w:rFonts w:ascii="Times New Roman" w:hAnsi="Times New Roman" w:cs="Times New Roman"/>
          <w:color w:val="000000" w:themeColor="text1"/>
        </w:rPr>
        <w:t xml:space="preserve"> Insurance Association of Turkey</w:t>
      </w:r>
    </w:p>
    <w:p w14:paraId="7582FFC8" w14:textId="77777777" w:rsidR="00C54BC9" w:rsidRPr="00164238" w:rsidRDefault="00C54BC9" w:rsidP="00C54BC9">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It is seen in the Table 5 that the technical profitability in non-life branches increased by 11.8% and the technical profitability in life branches decreased by 17.8% in 2020 compared to the previous year. It can be said that the increase in technical profitability in the non-life insurance branches was due to the technical profit (4.2%) of traffic insurances, which was in technical losses (-5%) in 2019, and the increase in technical profitability in motor (motor own damage) insurance (21.4%) and sickness &amp; health insurances (19.9%).</w:t>
      </w:r>
    </w:p>
    <w:p w14:paraId="3D9B81B6" w14:textId="77777777" w:rsidR="00C54BC9" w:rsidRPr="00164238" w:rsidRDefault="00C54BC9" w:rsidP="00C54BC9">
      <w:pPr>
        <w:spacing w:before="120" w:after="120" w:line="276" w:lineRule="auto"/>
        <w:ind w:firstLine="720"/>
        <w:jc w:val="both"/>
        <w:rPr>
          <w:rFonts w:ascii="Times New Roman" w:hAnsi="Times New Roman" w:cs="Times New Roman"/>
          <w:b/>
          <w:color w:val="000000" w:themeColor="text1"/>
        </w:rPr>
      </w:pPr>
      <w:r w:rsidRPr="00164238">
        <w:rPr>
          <w:rFonts w:ascii="Times New Roman" w:hAnsi="Times New Roman" w:cs="Times New Roman"/>
          <w:b/>
          <w:color w:val="000000" w:themeColor="text1"/>
        </w:rPr>
        <w:t>Financial Indicators</w:t>
      </w:r>
    </w:p>
    <w:p w14:paraId="11CBE5E2" w14:textId="77777777" w:rsidR="00C54BC9" w:rsidRPr="00164238" w:rsidRDefault="00C54BC9" w:rsidP="00C54BC9">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While non-life and reinsurance companies buy the risks of their customers; life and pension companies aim for their customers to gain profits with their mutual funds (Berkdemir ve Altun, 2018: 76). Therefore, it would be more meaningful to examine the total assets, liabilities and profitability of the insurance industry on company basis.</w:t>
      </w:r>
    </w:p>
    <w:p w14:paraId="563EBC82" w14:textId="77777777" w:rsidR="00C54BC9" w:rsidRPr="00164238" w:rsidRDefault="00C54BC9" w:rsidP="00C54BC9">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The total assets and growth rates of non-life insurance companies, life insurance companies and reinsurance companies are given in Table 6.</w:t>
      </w:r>
    </w:p>
    <w:p w14:paraId="3FD2A3EA" w14:textId="77777777" w:rsidR="00C54BC9" w:rsidRPr="00164238" w:rsidRDefault="00C54BC9" w:rsidP="00C54BC9">
      <w:pPr>
        <w:rPr>
          <w:rFonts w:ascii="Times New Roman" w:hAnsi="Times New Roman" w:cs="Times New Roman"/>
          <w:bCs/>
          <w:color w:val="000000" w:themeColor="text1"/>
        </w:rPr>
      </w:pPr>
      <w:r w:rsidRPr="00164238">
        <w:rPr>
          <w:rFonts w:ascii="Times New Roman" w:hAnsi="Times New Roman" w:cs="Times New Roman"/>
          <w:i/>
          <w:color w:val="000000" w:themeColor="text1"/>
        </w:rPr>
        <w:t>Table 6.</w:t>
      </w:r>
      <w:r w:rsidRPr="00164238">
        <w:rPr>
          <w:rFonts w:ascii="Times New Roman" w:hAnsi="Times New Roman" w:cs="Times New Roman"/>
          <w:color w:val="000000" w:themeColor="text1"/>
        </w:rPr>
        <w:t xml:space="preserve"> </w:t>
      </w:r>
      <w:r w:rsidRPr="00164238">
        <w:rPr>
          <w:rFonts w:ascii="Times New Roman" w:hAnsi="Times New Roman" w:cs="Times New Roman"/>
          <w:bCs/>
          <w:color w:val="000000" w:themeColor="text1"/>
          <w:kern w:val="24"/>
          <w:lang w:eastAsia="tr-TR"/>
        </w:rPr>
        <w:t xml:space="preserve">Distribution of Companies’ Total Assets </w:t>
      </w:r>
    </w:p>
    <w:tbl>
      <w:tblPr>
        <w:tblW w:w="5000" w:type="pct"/>
        <w:tblCellMar>
          <w:left w:w="0" w:type="dxa"/>
          <w:right w:w="0" w:type="dxa"/>
        </w:tblCellMar>
        <w:tblLook w:val="0600" w:firstRow="0" w:lastRow="0" w:firstColumn="0" w:lastColumn="0" w:noHBand="1" w:noVBand="1"/>
      </w:tblPr>
      <w:tblGrid>
        <w:gridCol w:w="1856"/>
        <w:gridCol w:w="1017"/>
        <w:gridCol w:w="898"/>
        <w:gridCol w:w="1349"/>
        <w:gridCol w:w="894"/>
        <w:gridCol w:w="1186"/>
        <w:gridCol w:w="1285"/>
      </w:tblGrid>
      <w:tr w:rsidR="00164238" w:rsidRPr="00164238" w14:paraId="38979C99" w14:textId="77777777" w:rsidTr="00682CBF">
        <w:trPr>
          <w:trHeight w:val="20"/>
        </w:trPr>
        <w:tc>
          <w:tcPr>
            <w:tcW w:w="1094" w:type="pct"/>
            <w:vMerge w:val="restar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0EE715F0" w14:textId="77777777" w:rsidR="00C54BC9" w:rsidRPr="00164238" w:rsidRDefault="00C54BC9" w:rsidP="00682CBF">
            <w:pPr>
              <w:contextualSpacing/>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Million TRY</w:t>
            </w:r>
          </w:p>
        </w:tc>
        <w:tc>
          <w:tcPr>
            <w:tcW w:w="2450" w:type="pct"/>
            <w:gridSpan w:val="4"/>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52414811" w14:textId="77777777" w:rsidR="00C54BC9" w:rsidRPr="00164238" w:rsidRDefault="00C54BC9" w:rsidP="00682CBF">
            <w:pPr>
              <w:contextualSpacing/>
              <w:jc w:val="center"/>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t>Assets</w:t>
            </w:r>
          </w:p>
        </w:tc>
        <w:tc>
          <w:tcPr>
            <w:tcW w:w="1456" w:type="pct"/>
            <w:gridSpan w:val="2"/>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2D7690A4" w14:textId="77777777" w:rsidR="00C54BC9" w:rsidRPr="00164238" w:rsidRDefault="00C54BC9" w:rsidP="00682CBF">
            <w:pPr>
              <w:contextualSpacing/>
              <w:jc w:val="center"/>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t>Total Asset Distribution%</w:t>
            </w:r>
          </w:p>
        </w:tc>
      </w:tr>
      <w:tr w:rsidR="00164238" w:rsidRPr="00164238" w14:paraId="1F1FBB5D" w14:textId="77777777" w:rsidTr="00682CBF">
        <w:trPr>
          <w:trHeight w:val="20"/>
        </w:trPr>
        <w:tc>
          <w:tcPr>
            <w:tcW w:w="1094" w:type="pct"/>
            <w:vMerge/>
            <w:tcBorders>
              <w:top w:val="single" w:sz="8" w:space="0" w:color="000000"/>
              <w:left w:val="single" w:sz="8" w:space="0" w:color="000000"/>
              <w:bottom w:val="single" w:sz="8" w:space="0" w:color="000000"/>
              <w:right w:val="single" w:sz="8" w:space="0" w:color="000000"/>
            </w:tcBorders>
            <w:vAlign w:val="center"/>
            <w:hideMark/>
          </w:tcPr>
          <w:p w14:paraId="2B5F7C30" w14:textId="77777777" w:rsidR="00C54BC9" w:rsidRPr="00164238" w:rsidRDefault="00C54BC9" w:rsidP="00682CBF">
            <w:pPr>
              <w:contextualSpacing/>
              <w:rPr>
                <w:rFonts w:ascii="Times New Roman" w:hAnsi="Times New Roman" w:cs="Times New Roman"/>
                <w:color w:val="000000" w:themeColor="text1"/>
                <w:sz w:val="18"/>
              </w:rPr>
            </w:pPr>
          </w:p>
        </w:tc>
        <w:tc>
          <w:tcPr>
            <w:tcW w:w="59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092C18C7" w14:textId="77777777" w:rsidR="00C54BC9" w:rsidRPr="00164238" w:rsidRDefault="00C54BC9" w:rsidP="00682CBF">
            <w:pPr>
              <w:contextualSpacing/>
              <w:jc w:val="center"/>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t>2020-12</w:t>
            </w:r>
          </w:p>
        </w:tc>
        <w:tc>
          <w:tcPr>
            <w:tcW w:w="52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7BBF4DE0" w14:textId="77777777" w:rsidR="00C54BC9" w:rsidRPr="00164238" w:rsidRDefault="00C54BC9" w:rsidP="00682CBF">
            <w:pPr>
              <w:contextualSpacing/>
              <w:jc w:val="center"/>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t>2019-12</w:t>
            </w:r>
          </w:p>
        </w:tc>
        <w:tc>
          <w:tcPr>
            <w:tcW w:w="79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751B846E" w14:textId="77777777" w:rsidR="00C54BC9" w:rsidRPr="00164238" w:rsidRDefault="00C54BC9" w:rsidP="00682CBF">
            <w:pPr>
              <w:contextualSpacing/>
              <w:jc w:val="center"/>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t>Nominal G.%</w:t>
            </w:r>
          </w:p>
        </w:tc>
        <w:tc>
          <w:tcPr>
            <w:tcW w:w="52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3BB46C1E" w14:textId="77777777" w:rsidR="00C54BC9" w:rsidRPr="00164238" w:rsidRDefault="00C54BC9" w:rsidP="00682CBF">
            <w:pPr>
              <w:contextualSpacing/>
              <w:jc w:val="center"/>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t>Real G.%</w:t>
            </w:r>
          </w:p>
        </w:tc>
        <w:tc>
          <w:tcPr>
            <w:tcW w:w="69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13A493FE" w14:textId="77777777" w:rsidR="00C54BC9" w:rsidRPr="00164238" w:rsidRDefault="00C54BC9" w:rsidP="00682CBF">
            <w:pPr>
              <w:contextualSpacing/>
              <w:jc w:val="center"/>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t>2020-12</w:t>
            </w:r>
          </w:p>
        </w:tc>
        <w:tc>
          <w:tcPr>
            <w:tcW w:w="75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2BCE29A0" w14:textId="77777777" w:rsidR="00C54BC9" w:rsidRPr="00164238" w:rsidRDefault="00C54BC9" w:rsidP="00682CBF">
            <w:pPr>
              <w:contextualSpacing/>
              <w:jc w:val="center"/>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t>2019-12</w:t>
            </w:r>
          </w:p>
        </w:tc>
      </w:tr>
      <w:tr w:rsidR="00164238" w:rsidRPr="00164238" w14:paraId="078D192B" w14:textId="77777777" w:rsidTr="00682CBF">
        <w:trPr>
          <w:trHeight w:val="20"/>
        </w:trPr>
        <w:tc>
          <w:tcPr>
            <w:tcW w:w="109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1F63A944" w14:textId="77777777" w:rsidR="00C54BC9" w:rsidRPr="00164238" w:rsidRDefault="00C54BC9" w:rsidP="00682CBF">
            <w:pPr>
              <w:contextualSpacing/>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t>Non-life Comp.</w:t>
            </w:r>
          </w:p>
        </w:tc>
        <w:tc>
          <w:tcPr>
            <w:tcW w:w="59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4D615E4F" w14:textId="77777777" w:rsidR="00C54BC9" w:rsidRPr="00164238" w:rsidRDefault="00C54BC9" w:rsidP="00682CBF">
            <w:pPr>
              <w:contextualSpacing/>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95,540</w:t>
            </w:r>
          </w:p>
        </w:tc>
        <w:tc>
          <w:tcPr>
            <w:tcW w:w="52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2B6BD6EA" w14:textId="77777777" w:rsidR="00C54BC9" w:rsidRPr="00164238" w:rsidRDefault="00C54BC9" w:rsidP="00682CBF">
            <w:pPr>
              <w:contextualSpacing/>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77,242</w:t>
            </w:r>
          </w:p>
        </w:tc>
        <w:tc>
          <w:tcPr>
            <w:tcW w:w="79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63209D28" w14:textId="77777777" w:rsidR="00C54BC9" w:rsidRPr="00164238" w:rsidRDefault="00C54BC9" w:rsidP="00682CBF">
            <w:pPr>
              <w:contextualSpacing/>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23.7%</w:t>
            </w:r>
          </w:p>
        </w:tc>
        <w:tc>
          <w:tcPr>
            <w:tcW w:w="52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7539F2AD" w14:textId="77777777" w:rsidR="00C54BC9" w:rsidRPr="00164238" w:rsidRDefault="00C54BC9" w:rsidP="00682CBF">
            <w:pPr>
              <w:contextualSpacing/>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7.9%</w:t>
            </w:r>
          </w:p>
        </w:tc>
        <w:tc>
          <w:tcPr>
            <w:tcW w:w="69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4B1FCD4F" w14:textId="77777777" w:rsidR="00C54BC9" w:rsidRPr="00164238" w:rsidRDefault="00C54BC9" w:rsidP="00682CBF">
            <w:pPr>
              <w:contextualSpacing/>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31.0%</w:t>
            </w:r>
          </w:p>
        </w:tc>
        <w:tc>
          <w:tcPr>
            <w:tcW w:w="75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1E143049" w14:textId="77777777" w:rsidR="00C54BC9" w:rsidRPr="00164238" w:rsidRDefault="00C54BC9" w:rsidP="00682CBF">
            <w:pPr>
              <w:contextualSpacing/>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32.6%</w:t>
            </w:r>
          </w:p>
        </w:tc>
      </w:tr>
      <w:tr w:rsidR="00164238" w:rsidRPr="00164238" w14:paraId="1C546FD9" w14:textId="77777777" w:rsidTr="00682CBF">
        <w:trPr>
          <w:trHeight w:val="20"/>
        </w:trPr>
        <w:tc>
          <w:tcPr>
            <w:tcW w:w="109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4B0B4662" w14:textId="77777777" w:rsidR="00C54BC9" w:rsidRPr="00164238" w:rsidRDefault="00C54BC9" w:rsidP="00682CBF">
            <w:pPr>
              <w:contextualSpacing/>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t>Life-Pension Comp.</w:t>
            </w:r>
          </w:p>
        </w:tc>
        <w:tc>
          <w:tcPr>
            <w:tcW w:w="59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0A980D8C" w14:textId="77777777" w:rsidR="00C54BC9" w:rsidRPr="00164238" w:rsidRDefault="00C54BC9" w:rsidP="00682CBF">
            <w:pPr>
              <w:contextualSpacing/>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205,496</w:t>
            </w:r>
          </w:p>
        </w:tc>
        <w:tc>
          <w:tcPr>
            <w:tcW w:w="52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064C7593" w14:textId="77777777" w:rsidR="00C54BC9" w:rsidRPr="00164238" w:rsidRDefault="00C54BC9" w:rsidP="00682CBF">
            <w:pPr>
              <w:contextualSpacing/>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154,478</w:t>
            </w:r>
          </w:p>
        </w:tc>
        <w:tc>
          <w:tcPr>
            <w:tcW w:w="79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3E474758" w14:textId="77777777" w:rsidR="00C54BC9" w:rsidRPr="00164238" w:rsidRDefault="00C54BC9" w:rsidP="00682CBF">
            <w:pPr>
              <w:contextualSpacing/>
              <w:jc w:val="center"/>
              <w:rPr>
                <w:rFonts w:ascii="Times New Roman" w:hAnsi="Times New Roman" w:cs="Times New Roman"/>
                <w:color w:val="000000" w:themeColor="text1"/>
                <w:sz w:val="18"/>
              </w:rPr>
            </w:pPr>
            <w:r w:rsidRPr="00164238">
              <w:rPr>
                <w:rFonts w:ascii="Times New Roman" w:hAnsi="Times New Roman" w:cs="Times New Roman"/>
                <w:bCs/>
                <w:color w:val="000000" w:themeColor="text1"/>
                <w:sz w:val="18"/>
              </w:rPr>
              <w:t>33.0%</w:t>
            </w:r>
          </w:p>
        </w:tc>
        <w:tc>
          <w:tcPr>
            <w:tcW w:w="52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4F88C49F" w14:textId="77777777" w:rsidR="00C54BC9" w:rsidRPr="00164238" w:rsidRDefault="00C54BC9" w:rsidP="00682CBF">
            <w:pPr>
              <w:contextualSpacing/>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16.1%</w:t>
            </w:r>
          </w:p>
        </w:tc>
        <w:tc>
          <w:tcPr>
            <w:tcW w:w="69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4CEBF6CE" w14:textId="77777777" w:rsidR="00C54BC9" w:rsidRPr="00164238" w:rsidRDefault="00C54BC9" w:rsidP="00682CBF">
            <w:pPr>
              <w:contextualSpacing/>
              <w:jc w:val="center"/>
              <w:rPr>
                <w:rFonts w:ascii="Times New Roman" w:hAnsi="Times New Roman" w:cs="Times New Roman"/>
                <w:color w:val="000000" w:themeColor="text1"/>
                <w:sz w:val="18"/>
              </w:rPr>
            </w:pPr>
            <w:r w:rsidRPr="00164238">
              <w:rPr>
                <w:rFonts w:ascii="Times New Roman" w:hAnsi="Times New Roman" w:cs="Times New Roman"/>
                <w:bCs/>
                <w:color w:val="000000" w:themeColor="text1"/>
                <w:sz w:val="18"/>
              </w:rPr>
              <w:t>66.8%</w:t>
            </w:r>
          </w:p>
        </w:tc>
        <w:tc>
          <w:tcPr>
            <w:tcW w:w="75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13681E05" w14:textId="77777777" w:rsidR="00C54BC9" w:rsidRPr="00164238" w:rsidRDefault="00C54BC9" w:rsidP="00682CBF">
            <w:pPr>
              <w:contextualSpacing/>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65.3%</w:t>
            </w:r>
          </w:p>
        </w:tc>
      </w:tr>
      <w:tr w:rsidR="00164238" w:rsidRPr="00164238" w14:paraId="4087EB8D" w14:textId="77777777" w:rsidTr="00682CBF">
        <w:trPr>
          <w:trHeight w:val="20"/>
        </w:trPr>
        <w:tc>
          <w:tcPr>
            <w:tcW w:w="109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6E539CFD" w14:textId="77777777" w:rsidR="00C54BC9" w:rsidRPr="00164238" w:rsidRDefault="00C54BC9" w:rsidP="00682CBF">
            <w:pPr>
              <w:contextualSpacing/>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t>Reinsurance Comp.</w:t>
            </w:r>
          </w:p>
        </w:tc>
        <w:tc>
          <w:tcPr>
            <w:tcW w:w="59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18BA88DA" w14:textId="77777777" w:rsidR="00C54BC9" w:rsidRPr="00164238" w:rsidRDefault="00C54BC9" w:rsidP="00682CBF">
            <w:pPr>
              <w:contextualSpacing/>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6,810</w:t>
            </w:r>
          </w:p>
        </w:tc>
        <w:tc>
          <w:tcPr>
            <w:tcW w:w="52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4720DF3F" w14:textId="77777777" w:rsidR="00C54BC9" w:rsidRPr="00164238" w:rsidRDefault="00C54BC9" w:rsidP="00682CBF">
            <w:pPr>
              <w:contextualSpacing/>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4,904</w:t>
            </w:r>
          </w:p>
        </w:tc>
        <w:tc>
          <w:tcPr>
            <w:tcW w:w="79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53215BBD" w14:textId="77777777" w:rsidR="00C54BC9" w:rsidRPr="00164238" w:rsidRDefault="00C54BC9" w:rsidP="00682CBF">
            <w:pPr>
              <w:contextualSpacing/>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38.8%</w:t>
            </w:r>
          </w:p>
        </w:tc>
        <w:tc>
          <w:tcPr>
            <w:tcW w:w="52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41C9320F" w14:textId="77777777" w:rsidR="00C54BC9" w:rsidRPr="00164238" w:rsidRDefault="00C54BC9" w:rsidP="00682CBF">
            <w:pPr>
              <w:contextualSpacing/>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21.2%</w:t>
            </w:r>
          </w:p>
        </w:tc>
        <w:tc>
          <w:tcPr>
            <w:tcW w:w="69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5E923F77" w14:textId="77777777" w:rsidR="00C54BC9" w:rsidRPr="00164238" w:rsidRDefault="00C54BC9" w:rsidP="00682CBF">
            <w:pPr>
              <w:contextualSpacing/>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2.2%</w:t>
            </w:r>
          </w:p>
        </w:tc>
        <w:tc>
          <w:tcPr>
            <w:tcW w:w="75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2B99A627" w14:textId="77777777" w:rsidR="00C54BC9" w:rsidRPr="00164238" w:rsidRDefault="00C54BC9" w:rsidP="00682CBF">
            <w:pPr>
              <w:contextualSpacing/>
              <w:jc w:val="center"/>
              <w:rPr>
                <w:rFonts w:ascii="Times New Roman" w:hAnsi="Times New Roman" w:cs="Times New Roman"/>
                <w:color w:val="000000" w:themeColor="text1"/>
                <w:sz w:val="18"/>
              </w:rPr>
            </w:pPr>
            <w:r w:rsidRPr="00164238">
              <w:rPr>
                <w:rFonts w:ascii="Times New Roman" w:hAnsi="Times New Roman" w:cs="Times New Roman"/>
                <w:color w:val="000000" w:themeColor="text1"/>
                <w:sz w:val="18"/>
              </w:rPr>
              <w:t>2.1%</w:t>
            </w:r>
          </w:p>
        </w:tc>
      </w:tr>
      <w:tr w:rsidR="00164238" w:rsidRPr="00164238" w14:paraId="0DCE0749" w14:textId="77777777" w:rsidTr="00682CBF">
        <w:trPr>
          <w:trHeight w:val="20"/>
        </w:trPr>
        <w:tc>
          <w:tcPr>
            <w:tcW w:w="109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396461B5" w14:textId="77777777" w:rsidR="00C54BC9" w:rsidRPr="00164238" w:rsidRDefault="00C54BC9" w:rsidP="00682CBF">
            <w:pPr>
              <w:contextualSpacing/>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t>Total</w:t>
            </w:r>
          </w:p>
        </w:tc>
        <w:tc>
          <w:tcPr>
            <w:tcW w:w="59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5B051C4B" w14:textId="77777777" w:rsidR="00C54BC9" w:rsidRPr="00164238" w:rsidRDefault="00C54BC9" w:rsidP="00682CBF">
            <w:pPr>
              <w:contextualSpacing/>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t xml:space="preserve">307,846 </w:t>
            </w:r>
          </w:p>
        </w:tc>
        <w:tc>
          <w:tcPr>
            <w:tcW w:w="52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6E1B4448" w14:textId="77777777" w:rsidR="00C54BC9" w:rsidRPr="00164238" w:rsidRDefault="00C54BC9" w:rsidP="00682CBF">
            <w:pPr>
              <w:contextualSpacing/>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t xml:space="preserve">236,624 </w:t>
            </w:r>
          </w:p>
        </w:tc>
        <w:tc>
          <w:tcPr>
            <w:tcW w:w="79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27177299" w14:textId="77777777" w:rsidR="00C54BC9" w:rsidRPr="00164238" w:rsidRDefault="00C54BC9" w:rsidP="00682CBF">
            <w:pPr>
              <w:contextualSpacing/>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t>30.1%</w:t>
            </w:r>
          </w:p>
        </w:tc>
        <w:tc>
          <w:tcPr>
            <w:tcW w:w="52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4994158C" w14:textId="77777777" w:rsidR="00C54BC9" w:rsidRPr="00164238" w:rsidRDefault="00C54BC9" w:rsidP="00682CBF">
            <w:pPr>
              <w:contextualSpacing/>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t>13.5%</w:t>
            </w:r>
          </w:p>
        </w:tc>
        <w:tc>
          <w:tcPr>
            <w:tcW w:w="69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510B7E04" w14:textId="77777777" w:rsidR="00C54BC9" w:rsidRPr="00164238" w:rsidRDefault="00C54BC9" w:rsidP="00682CBF">
            <w:pPr>
              <w:contextualSpacing/>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t>100.0%</w:t>
            </w:r>
          </w:p>
        </w:tc>
        <w:tc>
          <w:tcPr>
            <w:tcW w:w="75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40EE3758" w14:textId="77777777" w:rsidR="00C54BC9" w:rsidRPr="00164238" w:rsidRDefault="00C54BC9" w:rsidP="00682CBF">
            <w:pPr>
              <w:contextualSpacing/>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t>100.0%</w:t>
            </w:r>
          </w:p>
        </w:tc>
      </w:tr>
    </w:tbl>
    <w:p w14:paraId="33FA269B" w14:textId="77777777" w:rsidR="00C54BC9" w:rsidRPr="00164238" w:rsidRDefault="00C54BC9" w:rsidP="00C54BC9">
      <w:pPr>
        <w:spacing w:after="120" w:line="276" w:lineRule="auto"/>
        <w:jc w:val="both"/>
        <w:rPr>
          <w:rFonts w:ascii="Times New Roman" w:hAnsi="Times New Roman" w:cs="Times New Roman"/>
          <w:color w:val="000000" w:themeColor="text1"/>
        </w:rPr>
      </w:pPr>
      <w:r w:rsidRPr="00164238">
        <w:rPr>
          <w:rFonts w:ascii="Times New Roman" w:hAnsi="Times New Roman" w:cs="Times New Roman"/>
          <w:i/>
          <w:color w:val="000000" w:themeColor="text1"/>
        </w:rPr>
        <w:t>Source:</w:t>
      </w:r>
      <w:r w:rsidRPr="00164238">
        <w:rPr>
          <w:rFonts w:ascii="Times New Roman" w:hAnsi="Times New Roman" w:cs="Times New Roman"/>
          <w:color w:val="000000" w:themeColor="text1"/>
        </w:rPr>
        <w:t xml:space="preserve"> Insurance Association of Turkey</w:t>
      </w:r>
    </w:p>
    <w:p w14:paraId="1EA7CCCC" w14:textId="77777777" w:rsidR="00C54BC9" w:rsidRPr="00164238" w:rsidRDefault="00C54BC9" w:rsidP="00C54BC9">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lastRenderedPageBreak/>
        <w:t xml:space="preserve">The total assets of the insurance sector have increased by 30.1% compared to the previous year and reached to 307,846 million TRY. While the highest increase in asset size is in reinsurance companies with 38%, the asset size of life and pension companies is 205,496 million TRY with 66.8% of the the sector. </w:t>
      </w:r>
    </w:p>
    <w:p w14:paraId="26686256" w14:textId="7F2B459F" w:rsidR="00C54BC9" w:rsidRDefault="00C54BC9" w:rsidP="00C54BC9">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The distribution of the assets of the sector is given in Table 7 in detail.</w:t>
      </w:r>
    </w:p>
    <w:p w14:paraId="3A1AD1EF" w14:textId="221780DC" w:rsidR="00452A49" w:rsidRDefault="00452A49" w:rsidP="00C54BC9">
      <w:pPr>
        <w:spacing w:before="120" w:after="120" w:line="276" w:lineRule="auto"/>
        <w:ind w:firstLine="720"/>
        <w:jc w:val="both"/>
        <w:rPr>
          <w:rFonts w:ascii="Times New Roman" w:hAnsi="Times New Roman" w:cs="Times New Roman"/>
          <w:color w:val="000000" w:themeColor="text1"/>
        </w:rPr>
      </w:pPr>
    </w:p>
    <w:p w14:paraId="7AB74AF0" w14:textId="46A22DCB" w:rsidR="00452A49" w:rsidRDefault="00452A49" w:rsidP="00C54BC9">
      <w:pPr>
        <w:spacing w:before="120" w:after="120" w:line="276" w:lineRule="auto"/>
        <w:ind w:firstLine="720"/>
        <w:jc w:val="both"/>
        <w:rPr>
          <w:rFonts w:ascii="Times New Roman" w:hAnsi="Times New Roman" w:cs="Times New Roman"/>
          <w:color w:val="000000" w:themeColor="text1"/>
        </w:rPr>
      </w:pPr>
    </w:p>
    <w:p w14:paraId="56C38F4C" w14:textId="77777777" w:rsidR="00452A49" w:rsidRPr="00164238" w:rsidRDefault="00452A49" w:rsidP="00C54BC9">
      <w:pPr>
        <w:spacing w:before="120" w:after="120" w:line="276" w:lineRule="auto"/>
        <w:ind w:firstLine="720"/>
        <w:jc w:val="both"/>
        <w:rPr>
          <w:rFonts w:ascii="Times New Roman" w:hAnsi="Times New Roman" w:cs="Times New Roman"/>
          <w:color w:val="000000" w:themeColor="text1"/>
        </w:rPr>
      </w:pPr>
    </w:p>
    <w:p w14:paraId="0D9147E0" w14:textId="77777777" w:rsidR="00C54BC9" w:rsidRPr="00164238" w:rsidRDefault="00C54BC9" w:rsidP="00C54BC9">
      <w:pPr>
        <w:rPr>
          <w:rFonts w:ascii="Times New Roman" w:hAnsi="Times New Roman" w:cs="Times New Roman"/>
          <w:bCs/>
          <w:color w:val="000000" w:themeColor="text1"/>
        </w:rPr>
      </w:pPr>
      <w:r w:rsidRPr="00164238">
        <w:rPr>
          <w:rFonts w:ascii="Times New Roman" w:hAnsi="Times New Roman" w:cs="Times New Roman"/>
          <w:i/>
          <w:color w:val="000000" w:themeColor="text1"/>
        </w:rPr>
        <w:t>Table 7.</w:t>
      </w:r>
      <w:r w:rsidRPr="00164238">
        <w:rPr>
          <w:rFonts w:ascii="Times New Roman" w:hAnsi="Times New Roman" w:cs="Times New Roman"/>
          <w:color w:val="000000" w:themeColor="text1"/>
        </w:rPr>
        <w:t xml:space="preserve"> </w:t>
      </w:r>
      <w:r w:rsidRPr="00164238">
        <w:rPr>
          <w:rFonts w:ascii="Times New Roman" w:hAnsi="Times New Roman" w:cs="Times New Roman"/>
          <w:bCs/>
          <w:color w:val="000000" w:themeColor="text1"/>
          <w:kern w:val="24"/>
          <w:lang w:eastAsia="tr-TR"/>
        </w:rPr>
        <w:t xml:space="preserve">Distribution of Total Assets </w:t>
      </w:r>
    </w:p>
    <w:tbl>
      <w:tblPr>
        <w:tblW w:w="5000" w:type="pct"/>
        <w:tblLayout w:type="fixed"/>
        <w:tblCellMar>
          <w:left w:w="0" w:type="dxa"/>
          <w:right w:w="0" w:type="dxa"/>
        </w:tblCellMar>
        <w:tblLook w:val="0600" w:firstRow="0" w:lastRow="0" w:firstColumn="0" w:lastColumn="0" w:noHBand="1" w:noVBand="1"/>
      </w:tblPr>
      <w:tblGrid>
        <w:gridCol w:w="2872"/>
        <w:gridCol w:w="900"/>
        <w:gridCol w:w="900"/>
        <w:gridCol w:w="1080"/>
        <w:gridCol w:w="809"/>
        <w:gridCol w:w="989"/>
        <w:gridCol w:w="935"/>
      </w:tblGrid>
      <w:tr w:rsidR="00164238" w:rsidRPr="00164238" w14:paraId="519B11EF" w14:textId="77777777" w:rsidTr="00682CBF">
        <w:trPr>
          <w:trHeight w:val="20"/>
        </w:trPr>
        <w:tc>
          <w:tcPr>
            <w:tcW w:w="1692" w:type="pct"/>
            <w:vMerge w:val="restar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197F0C8E"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Million TRY </w:t>
            </w:r>
            <w:r w:rsidRPr="00164238">
              <w:rPr>
                <w:rFonts w:ascii="Times New Roman" w:hAnsi="Times New Roman" w:cs="Times New Roman"/>
                <w:b/>
                <w:bCs/>
                <w:color w:val="000000" w:themeColor="text1"/>
                <w:kern w:val="24"/>
                <w:sz w:val="18"/>
                <w:lang w:eastAsia="tr-TR"/>
              </w:rPr>
              <w:t> </w:t>
            </w:r>
          </w:p>
        </w:tc>
        <w:tc>
          <w:tcPr>
            <w:tcW w:w="2173" w:type="pct"/>
            <w:gridSpan w:val="4"/>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3A11758F"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eastAsiaTheme="minorEastAsia" w:hAnsi="Times New Roman" w:cs="Times New Roman"/>
                <w:b/>
                <w:bCs/>
                <w:color w:val="000000" w:themeColor="text1"/>
                <w:kern w:val="24"/>
                <w:sz w:val="18"/>
                <w:lang w:eastAsia="tr-TR"/>
              </w:rPr>
              <w:t>Total Assets</w:t>
            </w:r>
          </w:p>
        </w:tc>
        <w:tc>
          <w:tcPr>
            <w:tcW w:w="1134" w:type="pct"/>
            <w:gridSpan w:val="2"/>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4AD7BDD9"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eastAsiaTheme="minorEastAsia" w:hAnsi="Times New Roman" w:cs="Times New Roman"/>
                <w:b/>
                <w:bCs/>
                <w:color w:val="000000" w:themeColor="text1"/>
                <w:kern w:val="24"/>
                <w:sz w:val="18"/>
                <w:lang w:eastAsia="tr-TR"/>
              </w:rPr>
              <w:t>Asset Distribution%</w:t>
            </w:r>
          </w:p>
        </w:tc>
      </w:tr>
      <w:tr w:rsidR="00164238" w:rsidRPr="00164238" w14:paraId="1E27896C" w14:textId="77777777" w:rsidTr="00682CBF">
        <w:trPr>
          <w:trHeight w:val="20"/>
        </w:trPr>
        <w:tc>
          <w:tcPr>
            <w:tcW w:w="1692" w:type="pct"/>
            <w:vMerge/>
            <w:tcBorders>
              <w:top w:val="single" w:sz="8" w:space="0" w:color="000000"/>
              <w:left w:val="single" w:sz="8" w:space="0" w:color="000000"/>
              <w:bottom w:val="single" w:sz="8" w:space="0" w:color="000000"/>
              <w:right w:val="single" w:sz="8" w:space="0" w:color="000000"/>
            </w:tcBorders>
            <w:vAlign w:val="center"/>
            <w:hideMark/>
          </w:tcPr>
          <w:p w14:paraId="450BF170" w14:textId="77777777" w:rsidR="00C54BC9" w:rsidRPr="00164238" w:rsidRDefault="00C54BC9" w:rsidP="00682CBF">
            <w:pPr>
              <w:rPr>
                <w:rFonts w:ascii="Times New Roman" w:hAnsi="Times New Roman" w:cs="Times New Roman"/>
                <w:color w:val="000000" w:themeColor="text1"/>
                <w:sz w:val="18"/>
                <w:lang w:eastAsia="tr-TR"/>
              </w:rPr>
            </w:pPr>
          </w:p>
        </w:tc>
        <w:tc>
          <w:tcPr>
            <w:tcW w:w="53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763A39F0"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b/>
                <w:bCs/>
                <w:color w:val="000000" w:themeColor="text1"/>
                <w:kern w:val="24"/>
                <w:sz w:val="18"/>
                <w:lang w:eastAsia="tr-TR"/>
              </w:rPr>
              <w:t>2020-12</w:t>
            </w:r>
          </w:p>
        </w:tc>
        <w:tc>
          <w:tcPr>
            <w:tcW w:w="53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32CDADBD"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eastAsiaTheme="minorEastAsia" w:hAnsi="Times New Roman" w:cs="Times New Roman"/>
                <w:b/>
                <w:bCs/>
                <w:color w:val="000000" w:themeColor="text1"/>
                <w:kern w:val="24"/>
                <w:sz w:val="18"/>
                <w:lang w:eastAsia="tr-TR"/>
              </w:rPr>
              <w:t>2019-12</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178F07C0"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eastAsiaTheme="minorEastAsia" w:hAnsi="Times New Roman" w:cs="Times New Roman"/>
                <w:b/>
                <w:bCs/>
                <w:color w:val="000000" w:themeColor="text1"/>
                <w:kern w:val="24"/>
                <w:sz w:val="18"/>
                <w:lang w:eastAsia="tr-TR"/>
              </w:rPr>
              <w:t>Nominal %</w:t>
            </w:r>
          </w:p>
        </w:tc>
        <w:tc>
          <w:tcPr>
            <w:tcW w:w="47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65290D4A"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eastAsiaTheme="minorEastAsia" w:hAnsi="Times New Roman" w:cs="Times New Roman"/>
                <w:b/>
                <w:bCs/>
                <w:color w:val="000000" w:themeColor="text1"/>
                <w:kern w:val="24"/>
                <w:sz w:val="18"/>
                <w:lang w:eastAsia="tr-TR"/>
              </w:rPr>
              <w:t>Real %</w:t>
            </w:r>
          </w:p>
        </w:tc>
        <w:tc>
          <w:tcPr>
            <w:tcW w:w="583"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72EFC717"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eastAsiaTheme="minorEastAsia" w:hAnsi="Times New Roman" w:cs="Times New Roman"/>
                <w:b/>
                <w:bCs/>
                <w:color w:val="000000" w:themeColor="text1"/>
                <w:kern w:val="24"/>
                <w:sz w:val="18"/>
                <w:lang w:eastAsia="tr-TR"/>
              </w:rPr>
              <w:t>2020-12</w:t>
            </w:r>
          </w:p>
        </w:tc>
        <w:tc>
          <w:tcPr>
            <w:tcW w:w="551"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73B5BD2E"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eastAsiaTheme="minorEastAsia" w:hAnsi="Times New Roman" w:cs="Times New Roman"/>
                <w:b/>
                <w:bCs/>
                <w:color w:val="000000" w:themeColor="text1"/>
                <w:kern w:val="24"/>
                <w:sz w:val="18"/>
                <w:lang w:eastAsia="tr-TR"/>
              </w:rPr>
              <w:t>2019-12</w:t>
            </w:r>
          </w:p>
        </w:tc>
      </w:tr>
      <w:tr w:rsidR="00164238" w:rsidRPr="00164238" w14:paraId="1DB16BDD" w14:textId="77777777" w:rsidTr="00682CBF">
        <w:trPr>
          <w:trHeight w:val="20"/>
        </w:trPr>
        <w:tc>
          <w:tcPr>
            <w:tcW w:w="1692"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6DCFA383" w14:textId="77777777" w:rsidR="00C54BC9" w:rsidRPr="00164238" w:rsidRDefault="00C54BC9" w:rsidP="00682CBF">
            <w:pPr>
              <w:textAlignment w:val="bottom"/>
              <w:rPr>
                <w:rFonts w:ascii="Times New Roman" w:hAnsi="Times New Roman" w:cs="Times New Roman"/>
                <w:color w:val="000000" w:themeColor="text1"/>
                <w:sz w:val="18"/>
                <w:lang w:eastAsia="tr-TR"/>
              </w:rPr>
            </w:pPr>
            <w:r w:rsidRPr="00164238">
              <w:rPr>
                <w:rFonts w:ascii="Times New Roman" w:eastAsiaTheme="minorEastAsia" w:hAnsi="Times New Roman" w:cs="Times New Roman"/>
                <w:b/>
                <w:bCs/>
                <w:color w:val="000000" w:themeColor="text1"/>
                <w:kern w:val="24"/>
                <w:sz w:val="18"/>
                <w:lang w:eastAsia="tr-TR"/>
              </w:rPr>
              <w:t>Cash and Cash Equivalents</w:t>
            </w:r>
          </w:p>
        </w:tc>
        <w:tc>
          <w:tcPr>
            <w:tcW w:w="53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51C0CA08" w14:textId="77777777" w:rsidR="00C54BC9" w:rsidRPr="00164238" w:rsidRDefault="00C54BC9" w:rsidP="00682CBF">
            <w:pPr>
              <w:jc w:val="right"/>
              <w:textAlignment w:val="bottom"/>
              <w:rPr>
                <w:rFonts w:ascii="Times New Roman" w:hAnsi="Times New Roman" w:cs="Times New Roman"/>
                <w:color w:val="000000" w:themeColor="text1"/>
                <w:sz w:val="18"/>
                <w:lang w:eastAsia="tr-TR"/>
              </w:rPr>
            </w:pPr>
            <w:r w:rsidRPr="00164238">
              <w:rPr>
                <w:rFonts w:ascii="Times New Roman" w:eastAsiaTheme="minorEastAsia" w:hAnsi="Times New Roman" w:cs="Times New Roman"/>
                <w:color w:val="000000" w:themeColor="text1"/>
                <w:kern w:val="24"/>
                <w:sz w:val="18"/>
                <w:lang w:eastAsia="tr-TR"/>
              </w:rPr>
              <w:t xml:space="preserve">52,696 </w:t>
            </w:r>
          </w:p>
        </w:tc>
        <w:tc>
          <w:tcPr>
            <w:tcW w:w="53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6C136F0B" w14:textId="77777777" w:rsidR="00C54BC9" w:rsidRPr="00164238" w:rsidRDefault="00C54BC9" w:rsidP="00682CBF">
            <w:pPr>
              <w:jc w:val="right"/>
              <w:textAlignment w:val="bottom"/>
              <w:rPr>
                <w:rFonts w:ascii="Times New Roman" w:hAnsi="Times New Roman" w:cs="Times New Roman"/>
                <w:color w:val="000000" w:themeColor="text1"/>
                <w:sz w:val="18"/>
                <w:lang w:eastAsia="tr-TR"/>
              </w:rPr>
            </w:pPr>
            <w:r w:rsidRPr="00164238">
              <w:rPr>
                <w:rFonts w:ascii="Times New Roman" w:eastAsiaTheme="minorEastAsia" w:hAnsi="Times New Roman" w:cs="Times New Roman"/>
                <w:color w:val="000000" w:themeColor="text1"/>
                <w:kern w:val="24"/>
                <w:sz w:val="18"/>
                <w:lang w:eastAsia="tr-TR"/>
              </w:rPr>
              <w:t xml:space="preserve">47,280 </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4097E68B" w14:textId="77777777" w:rsidR="00C54BC9" w:rsidRPr="00164238" w:rsidRDefault="00C54BC9" w:rsidP="00682CBF">
            <w:pPr>
              <w:jc w:val="right"/>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11.5%</w:t>
            </w:r>
          </w:p>
        </w:tc>
        <w:tc>
          <w:tcPr>
            <w:tcW w:w="47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1E742B8E" w14:textId="77777777" w:rsidR="00C54BC9" w:rsidRPr="00164238" w:rsidRDefault="00C54BC9" w:rsidP="00682CBF">
            <w:pPr>
              <w:jc w:val="right"/>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-2.7%</w:t>
            </w:r>
          </w:p>
        </w:tc>
        <w:tc>
          <w:tcPr>
            <w:tcW w:w="583"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69B79DE1" w14:textId="77777777" w:rsidR="00C54BC9" w:rsidRPr="00164238" w:rsidRDefault="00C54BC9" w:rsidP="00682CBF">
            <w:pPr>
              <w:jc w:val="right"/>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17.1%</w:t>
            </w:r>
          </w:p>
        </w:tc>
        <w:tc>
          <w:tcPr>
            <w:tcW w:w="551"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4430C2E4" w14:textId="77777777" w:rsidR="00C54BC9" w:rsidRPr="00164238" w:rsidRDefault="00C54BC9" w:rsidP="00682CBF">
            <w:pPr>
              <w:jc w:val="right"/>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20.0%</w:t>
            </w:r>
          </w:p>
        </w:tc>
      </w:tr>
      <w:tr w:rsidR="00164238" w:rsidRPr="00164238" w14:paraId="272FD09B" w14:textId="77777777" w:rsidTr="00682CBF">
        <w:trPr>
          <w:trHeight w:val="20"/>
        </w:trPr>
        <w:tc>
          <w:tcPr>
            <w:tcW w:w="1692"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3A83B841" w14:textId="77777777" w:rsidR="00C54BC9" w:rsidRPr="00164238" w:rsidRDefault="00C54BC9" w:rsidP="00682CBF">
            <w:pPr>
              <w:textAlignment w:val="bottom"/>
              <w:rPr>
                <w:rFonts w:ascii="Times New Roman" w:hAnsi="Times New Roman" w:cs="Times New Roman"/>
                <w:color w:val="000000" w:themeColor="text1"/>
                <w:sz w:val="18"/>
                <w:lang w:eastAsia="tr-TR"/>
              </w:rPr>
            </w:pPr>
            <w:r w:rsidRPr="00164238">
              <w:rPr>
                <w:rFonts w:ascii="Times New Roman" w:eastAsiaTheme="minorEastAsia" w:hAnsi="Times New Roman" w:cs="Times New Roman"/>
                <w:b/>
                <w:bCs/>
                <w:color w:val="000000" w:themeColor="text1"/>
                <w:kern w:val="24"/>
                <w:sz w:val="18"/>
                <w:lang w:eastAsia="tr-TR"/>
              </w:rPr>
              <w:t>Financial Assets</w:t>
            </w:r>
          </w:p>
        </w:tc>
        <w:tc>
          <w:tcPr>
            <w:tcW w:w="53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6A406D94" w14:textId="77777777" w:rsidR="00C54BC9" w:rsidRPr="00164238" w:rsidRDefault="00C54BC9" w:rsidP="00682CBF">
            <w:pPr>
              <w:jc w:val="right"/>
              <w:textAlignment w:val="bottom"/>
              <w:rPr>
                <w:rFonts w:ascii="Times New Roman" w:hAnsi="Times New Roman" w:cs="Times New Roman"/>
                <w:color w:val="000000" w:themeColor="text1"/>
                <w:sz w:val="18"/>
                <w:lang w:eastAsia="tr-TR"/>
              </w:rPr>
            </w:pPr>
            <w:r w:rsidRPr="00164238">
              <w:rPr>
                <w:rFonts w:ascii="Times New Roman" w:eastAsiaTheme="minorEastAsia" w:hAnsi="Times New Roman" w:cs="Times New Roman"/>
                <w:color w:val="000000" w:themeColor="text1"/>
                <w:kern w:val="24"/>
                <w:sz w:val="18"/>
                <w:lang w:eastAsia="tr-TR"/>
              </w:rPr>
              <w:t xml:space="preserve">51,010 </w:t>
            </w:r>
          </w:p>
        </w:tc>
        <w:tc>
          <w:tcPr>
            <w:tcW w:w="53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44B8AA0C" w14:textId="77777777" w:rsidR="00C54BC9" w:rsidRPr="00164238" w:rsidRDefault="00C54BC9" w:rsidP="00682CBF">
            <w:pPr>
              <w:jc w:val="right"/>
              <w:textAlignment w:val="bottom"/>
              <w:rPr>
                <w:rFonts w:ascii="Times New Roman" w:hAnsi="Times New Roman" w:cs="Times New Roman"/>
                <w:color w:val="000000" w:themeColor="text1"/>
                <w:sz w:val="18"/>
                <w:lang w:eastAsia="tr-TR"/>
              </w:rPr>
            </w:pPr>
            <w:r w:rsidRPr="00164238">
              <w:rPr>
                <w:rFonts w:ascii="Times New Roman" w:eastAsiaTheme="minorEastAsia" w:hAnsi="Times New Roman" w:cs="Times New Roman"/>
                <w:color w:val="000000" w:themeColor="text1"/>
                <w:kern w:val="24"/>
                <w:sz w:val="18"/>
                <w:lang w:eastAsia="tr-TR"/>
              </w:rPr>
              <w:t xml:space="preserve">36,167 </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7B605BAF" w14:textId="77777777" w:rsidR="00C54BC9" w:rsidRPr="00164238" w:rsidRDefault="00C54BC9" w:rsidP="00682CBF">
            <w:pPr>
              <w:jc w:val="right"/>
              <w:textAlignment w:val="bottom"/>
              <w:rPr>
                <w:rFonts w:ascii="Times New Roman" w:hAnsi="Times New Roman" w:cs="Times New Roman"/>
                <w:color w:val="000000" w:themeColor="text1"/>
                <w:sz w:val="18"/>
                <w:lang w:eastAsia="tr-TR"/>
              </w:rPr>
            </w:pPr>
            <w:r w:rsidRPr="00164238">
              <w:rPr>
                <w:rFonts w:ascii="Times New Roman" w:hAnsi="Times New Roman" w:cs="Times New Roman"/>
                <w:bCs/>
                <w:color w:val="000000" w:themeColor="text1"/>
                <w:kern w:val="24"/>
                <w:sz w:val="18"/>
                <w:lang w:eastAsia="tr-TR"/>
              </w:rPr>
              <w:t>41.0%</w:t>
            </w:r>
          </w:p>
        </w:tc>
        <w:tc>
          <w:tcPr>
            <w:tcW w:w="47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3AAA33CC" w14:textId="77777777" w:rsidR="00C54BC9" w:rsidRPr="00164238" w:rsidRDefault="00C54BC9" w:rsidP="00682CBF">
            <w:pPr>
              <w:jc w:val="right"/>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23.1%</w:t>
            </w:r>
          </w:p>
        </w:tc>
        <w:tc>
          <w:tcPr>
            <w:tcW w:w="583"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2E91F041" w14:textId="77777777" w:rsidR="00C54BC9" w:rsidRPr="00164238" w:rsidRDefault="00C54BC9" w:rsidP="00682CBF">
            <w:pPr>
              <w:jc w:val="right"/>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16.6%</w:t>
            </w:r>
          </w:p>
        </w:tc>
        <w:tc>
          <w:tcPr>
            <w:tcW w:w="551"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2FBAAA9B" w14:textId="77777777" w:rsidR="00C54BC9" w:rsidRPr="00164238" w:rsidRDefault="00C54BC9" w:rsidP="00682CBF">
            <w:pPr>
              <w:jc w:val="right"/>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15.3%</w:t>
            </w:r>
          </w:p>
        </w:tc>
      </w:tr>
      <w:tr w:rsidR="00164238" w:rsidRPr="00164238" w14:paraId="3A925831" w14:textId="77777777" w:rsidTr="00682CBF">
        <w:trPr>
          <w:trHeight w:val="20"/>
        </w:trPr>
        <w:tc>
          <w:tcPr>
            <w:tcW w:w="1692"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70628B0B" w14:textId="77777777" w:rsidR="00C54BC9" w:rsidRPr="00164238" w:rsidRDefault="00C54BC9" w:rsidP="00682CBF">
            <w:pPr>
              <w:textAlignment w:val="bottom"/>
              <w:rPr>
                <w:rFonts w:ascii="Times New Roman" w:hAnsi="Times New Roman" w:cs="Times New Roman"/>
                <w:color w:val="000000" w:themeColor="text1"/>
                <w:sz w:val="18"/>
                <w:lang w:eastAsia="tr-TR"/>
              </w:rPr>
            </w:pPr>
            <w:r w:rsidRPr="00164238">
              <w:rPr>
                <w:rFonts w:ascii="Times New Roman" w:eastAsiaTheme="minorEastAsia" w:hAnsi="Times New Roman" w:cs="Times New Roman"/>
                <w:b/>
                <w:bCs/>
                <w:color w:val="000000" w:themeColor="text1"/>
                <w:kern w:val="24"/>
                <w:sz w:val="18"/>
                <w:lang w:eastAsia="tr-TR"/>
              </w:rPr>
              <w:t>Receivables From Technical Oprt.</w:t>
            </w:r>
          </w:p>
        </w:tc>
        <w:tc>
          <w:tcPr>
            <w:tcW w:w="53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0F7D22CE" w14:textId="77777777" w:rsidR="00C54BC9" w:rsidRPr="00164238" w:rsidRDefault="00C54BC9" w:rsidP="00682CBF">
            <w:pPr>
              <w:jc w:val="right"/>
              <w:textAlignment w:val="bottom"/>
              <w:rPr>
                <w:rFonts w:ascii="Times New Roman" w:hAnsi="Times New Roman" w:cs="Times New Roman"/>
                <w:color w:val="000000" w:themeColor="text1"/>
                <w:sz w:val="18"/>
                <w:lang w:eastAsia="tr-TR"/>
              </w:rPr>
            </w:pPr>
            <w:r w:rsidRPr="00164238">
              <w:rPr>
                <w:rFonts w:ascii="Times New Roman" w:eastAsiaTheme="minorEastAsia" w:hAnsi="Times New Roman" w:cs="Times New Roman"/>
                <w:color w:val="000000" w:themeColor="text1"/>
                <w:kern w:val="24"/>
                <w:sz w:val="18"/>
                <w:lang w:eastAsia="tr-TR"/>
              </w:rPr>
              <w:t xml:space="preserve">189,379 </w:t>
            </w:r>
          </w:p>
        </w:tc>
        <w:tc>
          <w:tcPr>
            <w:tcW w:w="53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4EACEB69" w14:textId="77777777" w:rsidR="00C54BC9" w:rsidRPr="00164238" w:rsidRDefault="00C54BC9" w:rsidP="00682CBF">
            <w:pPr>
              <w:jc w:val="right"/>
              <w:textAlignment w:val="bottom"/>
              <w:rPr>
                <w:rFonts w:ascii="Times New Roman" w:hAnsi="Times New Roman" w:cs="Times New Roman"/>
                <w:color w:val="000000" w:themeColor="text1"/>
                <w:sz w:val="18"/>
                <w:lang w:eastAsia="tr-TR"/>
              </w:rPr>
            </w:pPr>
            <w:r w:rsidRPr="00164238">
              <w:rPr>
                <w:rFonts w:ascii="Times New Roman" w:eastAsiaTheme="minorEastAsia" w:hAnsi="Times New Roman" w:cs="Times New Roman"/>
                <w:color w:val="000000" w:themeColor="text1"/>
                <w:kern w:val="24"/>
                <w:sz w:val="18"/>
                <w:lang w:eastAsia="tr-TR"/>
              </w:rPr>
              <w:t xml:space="preserve">141,652 </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5AD00C49" w14:textId="77777777" w:rsidR="00C54BC9" w:rsidRPr="00164238" w:rsidRDefault="00C54BC9" w:rsidP="00682CBF">
            <w:pPr>
              <w:jc w:val="right"/>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33.7%</w:t>
            </w:r>
          </w:p>
        </w:tc>
        <w:tc>
          <w:tcPr>
            <w:tcW w:w="47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7A7430FF" w14:textId="77777777" w:rsidR="00C54BC9" w:rsidRPr="00164238" w:rsidRDefault="00C54BC9" w:rsidP="00682CBF">
            <w:pPr>
              <w:jc w:val="right"/>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16.7%</w:t>
            </w:r>
          </w:p>
        </w:tc>
        <w:tc>
          <w:tcPr>
            <w:tcW w:w="583"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568896BA" w14:textId="77777777" w:rsidR="00C54BC9" w:rsidRPr="00164238" w:rsidRDefault="00C54BC9" w:rsidP="00682CBF">
            <w:pPr>
              <w:jc w:val="right"/>
              <w:textAlignment w:val="bottom"/>
              <w:rPr>
                <w:rFonts w:ascii="Times New Roman" w:hAnsi="Times New Roman" w:cs="Times New Roman"/>
                <w:color w:val="000000" w:themeColor="text1"/>
                <w:sz w:val="18"/>
                <w:lang w:eastAsia="tr-TR"/>
              </w:rPr>
            </w:pPr>
            <w:r w:rsidRPr="00164238">
              <w:rPr>
                <w:rFonts w:ascii="Times New Roman" w:hAnsi="Times New Roman" w:cs="Times New Roman"/>
                <w:bCs/>
                <w:color w:val="000000" w:themeColor="text1"/>
                <w:kern w:val="24"/>
                <w:sz w:val="18"/>
                <w:lang w:eastAsia="tr-TR"/>
              </w:rPr>
              <w:t>61.5%</w:t>
            </w:r>
          </w:p>
        </w:tc>
        <w:tc>
          <w:tcPr>
            <w:tcW w:w="551"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510B5395" w14:textId="77777777" w:rsidR="00C54BC9" w:rsidRPr="00164238" w:rsidRDefault="00C54BC9" w:rsidP="00682CBF">
            <w:pPr>
              <w:jc w:val="right"/>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59.9%</w:t>
            </w:r>
          </w:p>
        </w:tc>
      </w:tr>
      <w:tr w:rsidR="00164238" w:rsidRPr="00164238" w14:paraId="65960DB3" w14:textId="77777777" w:rsidTr="00682CBF">
        <w:trPr>
          <w:trHeight w:val="20"/>
        </w:trPr>
        <w:tc>
          <w:tcPr>
            <w:tcW w:w="1692"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1B4E1A35" w14:textId="77777777" w:rsidR="00C54BC9" w:rsidRPr="00164238" w:rsidRDefault="00C54BC9" w:rsidP="00682CBF">
            <w:pPr>
              <w:textAlignment w:val="bottom"/>
              <w:rPr>
                <w:rFonts w:ascii="Times New Roman" w:hAnsi="Times New Roman" w:cs="Times New Roman"/>
                <w:color w:val="000000" w:themeColor="text1"/>
                <w:sz w:val="18"/>
                <w:lang w:eastAsia="tr-TR"/>
              </w:rPr>
            </w:pPr>
            <w:r w:rsidRPr="00164238">
              <w:rPr>
                <w:rFonts w:ascii="Times New Roman" w:eastAsiaTheme="minorEastAsia" w:hAnsi="Times New Roman" w:cs="Times New Roman"/>
                <w:b/>
                <w:bCs/>
                <w:color w:val="000000" w:themeColor="text1"/>
                <w:kern w:val="24"/>
                <w:sz w:val="18"/>
                <w:lang w:eastAsia="tr-TR"/>
              </w:rPr>
              <w:t>Other</w:t>
            </w:r>
          </w:p>
        </w:tc>
        <w:tc>
          <w:tcPr>
            <w:tcW w:w="53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1E5024E5" w14:textId="77777777" w:rsidR="00C54BC9" w:rsidRPr="00164238" w:rsidRDefault="00C54BC9" w:rsidP="00682CBF">
            <w:pPr>
              <w:jc w:val="right"/>
              <w:textAlignment w:val="bottom"/>
              <w:rPr>
                <w:rFonts w:ascii="Times New Roman" w:hAnsi="Times New Roman" w:cs="Times New Roman"/>
                <w:color w:val="000000" w:themeColor="text1"/>
                <w:sz w:val="18"/>
                <w:lang w:eastAsia="tr-TR"/>
              </w:rPr>
            </w:pPr>
            <w:r w:rsidRPr="00164238">
              <w:rPr>
                <w:rFonts w:ascii="Times New Roman" w:eastAsiaTheme="minorEastAsia" w:hAnsi="Times New Roman" w:cs="Times New Roman"/>
                <w:color w:val="000000" w:themeColor="text1"/>
                <w:kern w:val="24"/>
                <w:sz w:val="18"/>
                <w:lang w:eastAsia="tr-TR"/>
              </w:rPr>
              <w:t xml:space="preserve">14,761 </w:t>
            </w:r>
          </w:p>
        </w:tc>
        <w:tc>
          <w:tcPr>
            <w:tcW w:w="53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03A41D2B" w14:textId="77777777" w:rsidR="00C54BC9" w:rsidRPr="00164238" w:rsidRDefault="00C54BC9" w:rsidP="00682CBF">
            <w:pPr>
              <w:jc w:val="right"/>
              <w:textAlignment w:val="bottom"/>
              <w:rPr>
                <w:rFonts w:ascii="Times New Roman" w:hAnsi="Times New Roman" w:cs="Times New Roman"/>
                <w:color w:val="000000" w:themeColor="text1"/>
                <w:sz w:val="18"/>
                <w:lang w:eastAsia="tr-TR"/>
              </w:rPr>
            </w:pPr>
            <w:r w:rsidRPr="00164238">
              <w:rPr>
                <w:rFonts w:ascii="Times New Roman" w:eastAsiaTheme="minorEastAsia" w:hAnsi="Times New Roman" w:cs="Times New Roman"/>
                <w:color w:val="000000" w:themeColor="text1"/>
                <w:kern w:val="24"/>
                <w:sz w:val="18"/>
                <w:lang w:eastAsia="tr-TR"/>
              </w:rPr>
              <w:t xml:space="preserve">11,525 </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49FFA208" w14:textId="77777777" w:rsidR="00C54BC9" w:rsidRPr="00164238" w:rsidRDefault="00C54BC9" w:rsidP="00682CBF">
            <w:pPr>
              <w:jc w:val="right"/>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28.1%</w:t>
            </w:r>
          </w:p>
        </w:tc>
        <w:tc>
          <w:tcPr>
            <w:tcW w:w="47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6EF7FB93" w14:textId="77777777" w:rsidR="00C54BC9" w:rsidRPr="00164238" w:rsidRDefault="00C54BC9" w:rsidP="00682CBF">
            <w:pPr>
              <w:jc w:val="right"/>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11.8%</w:t>
            </w:r>
          </w:p>
        </w:tc>
        <w:tc>
          <w:tcPr>
            <w:tcW w:w="583"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3A7B1B1B" w14:textId="77777777" w:rsidR="00C54BC9" w:rsidRPr="00164238" w:rsidRDefault="00C54BC9" w:rsidP="00682CBF">
            <w:pPr>
              <w:jc w:val="right"/>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4.8%</w:t>
            </w:r>
          </w:p>
        </w:tc>
        <w:tc>
          <w:tcPr>
            <w:tcW w:w="551"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1FCBB972" w14:textId="77777777" w:rsidR="00C54BC9" w:rsidRPr="00164238" w:rsidRDefault="00C54BC9" w:rsidP="00682CBF">
            <w:pPr>
              <w:jc w:val="right"/>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4.9%</w:t>
            </w:r>
          </w:p>
        </w:tc>
      </w:tr>
      <w:tr w:rsidR="00164238" w:rsidRPr="00164238" w14:paraId="42B3A20C" w14:textId="77777777" w:rsidTr="00682CBF">
        <w:trPr>
          <w:trHeight w:val="20"/>
        </w:trPr>
        <w:tc>
          <w:tcPr>
            <w:tcW w:w="1692"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48986A36" w14:textId="77777777" w:rsidR="00C54BC9" w:rsidRPr="00164238" w:rsidRDefault="00C54BC9" w:rsidP="00682CBF">
            <w:pPr>
              <w:textAlignment w:val="bottom"/>
              <w:rPr>
                <w:rFonts w:ascii="Times New Roman" w:hAnsi="Times New Roman" w:cs="Times New Roman"/>
                <w:color w:val="000000" w:themeColor="text1"/>
                <w:sz w:val="18"/>
                <w:lang w:eastAsia="tr-TR"/>
              </w:rPr>
            </w:pPr>
            <w:r w:rsidRPr="00164238">
              <w:rPr>
                <w:rFonts w:ascii="Times New Roman" w:eastAsiaTheme="minorEastAsia" w:hAnsi="Times New Roman" w:cs="Times New Roman"/>
                <w:b/>
                <w:bCs/>
                <w:color w:val="000000" w:themeColor="text1"/>
                <w:kern w:val="24"/>
                <w:sz w:val="18"/>
                <w:lang w:eastAsia="tr-TR"/>
              </w:rPr>
              <w:t>Total Asset</w:t>
            </w:r>
          </w:p>
        </w:tc>
        <w:tc>
          <w:tcPr>
            <w:tcW w:w="53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1A2F7FD2" w14:textId="77777777" w:rsidR="00C54BC9" w:rsidRPr="00164238" w:rsidRDefault="00C54BC9" w:rsidP="00682CBF">
            <w:pPr>
              <w:jc w:val="right"/>
              <w:textAlignment w:val="bottom"/>
              <w:rPr>
                <w:rFonts w:ascii="Times New Roman" w:hAnsi="Times New Roman" w:cs="Times New Roman"/>
                <w:color w:val="000000" w:themeColor="text1"/>
                <w:sz w:val="18"/>
                <w:lang w:eastAsia="tr-TR"/>
              </w:rPr>
            </w:pPr>
            <w:r w:rsidRPr="00164238">
              <w:rPr>
                <w:rFonts w:ascii="Times New Roman" w:eastAsiaTheme="minorEastAsia" w:hAnsi="Times New Roman" w:cs="Times New Roman"/>
                <w:b/>
                <w:bCs/>
                <w:color w:val="000000" w:themeColor="text1"/>
                <w:kern w:val="24"/>
                <w:sz w:val="18"/>
                <w:lang w:eastAsia="tr-TR"/>
              </w:rPr>
              <w:t xml:space="preserve">307,846 </w:t>
            </w:r>
          </w:p>
        </w:tc>
        <w:tc>
          <w:tcPr>
            <w:tcW w:w="53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2B476BD7" w14:textId="77777777" w:rsidR="00C54BC9" w:rsidRPr="00164238" w:rsidRDefault="00C54BC9" w:rsidP="00682CBF">
            <w:pPr>
              <w:jc w:val="right"/>
              <w:textAlignment w:val="bottom"/>
              <w:rPr>
                <w:rFonts w:ascii="Times New Roman" w:hAnsi="Times New Roman" w:cs="Times New Roman"/>
                <w:color w:val="000000" w:themeColor="text1"/>
                <w:sz w:val="18"/>
                <w:lang w:eastAsia="tr-TR"/>
              </w:rPr>
            </w:pPr>
            <w:r w:rsidRPr="00164238">
              <w:rPr>
                <w:rFonts w:ascii="Times New Roman" w:eastAsiaTheme="minorEastAsia" w:hAnsi="Times New Roman" w:cs="Times New Roman"/>
                <w:b/>
                <w:bCs/>
                <w:color w:val="000000" w:themeColor="text1"/>
                <w:kern w:val="24"/>
                <w:sz w:val="18"/>
                <w:lang w:eastAsia="tr-TR"/>
              </w:rPr>
              <w:t xml:space="preserve">236,624 </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6E00D4B2"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b/>
                <w:bCs/>
                <w:color w:val="000000" w:themeColor="text1"/>
                <w:kern w:val="24"/>
                <w:sz w:val="18"/>
                <w:lang w:eastAsia="tr-TR"/>
              </w:rPr>
              <w:t>30.1%</w:t>
            </w:r>
          </w:p>
        </w:tc>
        <w:tc>
          <w:tcPr>
            <w:tcW w:w="47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30EC9658"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b/>
                <w:bCs/>
                <w:color w:val="000000" w:themeColor="text1"/>
                <w:kern w:val="24"/>
                <w:sz w:val="18"/>
                <w:lang w:eastAsia="tr-TR"/>
              </w:rPr>
              <w:t>13.5%</w:t>
            </w:r>
          </w:p>
        </w:tc>
        <w:tc>
          <w:tcPr>
            <w:tcW w:w="583"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7F50742C"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b/>
                <w:bCs/>
                <w:color w:val="000000" w:themeColor="text1"/>
                <w:kern w:val="24"/>
                <w:sz w:val="18"/>
                <w:lang w:eastAsia="tr-TR"/>
              </w:rPr>
              <w:t>100.0%</w:t>
            </w:r>
          </w:p>
        </w:tc>
        <w:tc>
          <w:tcPr>
            <w:tcW w:w="551"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4C85C3C1"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b/>
                <w:bCs/>
                <w:color w:val="000000" w:themeColor="text1"/>
                <w:kern w:val="24"/>
                <w:sz w:val="18"/>
                <w:lang w:eastAsia="tr-TR"/>
              </w:rPr>
              <w:t>100.0%</w:t>
            </w:r>
          </w:p>
        </w:tc>
      </w:tr>
    </w:tbl>
    <w:p w14:paraId="005C8586" w14:textId="77777777" w:rsidR="00C54BC9" w:rsidRPr="00164238" w:rsidRDefault="00C54BC9" w:rsidP="00C54BC9">
      <w:pPr>
        <w:spacing w:after="120" w:line="276" w:lineRule="auto"/>
        <w:jc w:val="both"/>
        <w:rPr>
          <w:rFonts w:ascii="Times New Roman" w:hAnsi="Times New Roman" w:cs="Times New Roman"/>
          <w:color w:val="000000" w:themeColor="text1"/>
        </w:rPr>
      </w:pPr>
      <w:r w:rsidRPr="00164238">
        <w:rPr>
          <w:rFonts w:ascii="Times New Roman" w:hAnsi="Times New Roman" w:cs="Times New Roman"/>
          <w:i/>
          <w:color w:val="000000" w:themeColor="text1"/>
        </w:rPr>
        <w:t>Source:</w:t>
      </w:r>
      <w:r w:rsidRPr="00164238">
        <w:rPr>
          <w:rFonts w:ascii="Times New Roman" w:hAnsi="Times New Roman" w:cs="Times New Roman"/>
          <w:color w:val="000000" w:themeColor="text1"/>
        </w:rPr>
        <w:t xml:space="preserve"> Insurance Association of Turkey</w:t>
      </w:r>
    </w:p>
    <w:p w14:paraId="787B0D04" w14:textId="77777777" w:rsidR="00C54BC9" w:rsidRPr="00164238" w:rsidRDefault="00C54BC9" w:rsidP="00C54BC9">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It is seen in Table 7 that the “receivables from t</w:t>
      </w:r>
      <w:r w:rsidRPr="00164238">
        <w:rPr>
          <w:rFonts w:ascii="Times New Roman" w:eastAsiaTheme="minorEastAsia" w:hAnsi="Times New Roman" w:cs="Times New Roman"/>
          <w:bCs/>
          <w:color w:val="000000" w:themeColor="text1"/>
          <w:kern w:val="24"/>
          <w:lang w:eastAsia="tr-TR"/>
        </w:rPr>
        <w:t>echnical operations”</w:t>
      </w:r>
      <w:r w:rsidRPr="00164238">
        <w:rPr>
          <w:rFonts w:ascii="Times New Roman" w:hAnsi="Times New Roman" w:cs="Times New Roman"/>
          <w:color w:val="000000" w:themeColor="text1"/>
        </w:rPr>
        <w:t xml:space="preserve"> account increased by 33% and reached 189,379 million TRY and has a share of 61.5% in the total assets at the end of 2020. In addition to the growth in funds in the private pension system, the state contribution and auto IPS also increase the share of the receivables from technical operations account in the sector assets.</w:t>
      </w:r>
    </w:p>
    <w:p w14:paraId="23AF3A28" w14:textId="30B67CB0" w:rsidR="00C54BC9" w:rsidRDefault="00C54BC9" w:rsidP="00C54BC9">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Short-term, long-term liabilities and shareholders' equity amounts of non-life insurance companies, life insurance companies and reinsurance companies are given in Table 8.</w:t>
      </w:r>
    </w:p>
    <w:p w14:paraId="1456E162" w14:textId="77777777" w:rsidR="00C54BC9" w:rsidRPr="00164238" w:rsidRDefault="00C54BC9" w:rsidP="00C54BC9">
      <w:pPr>
        <w:jc w:val="both"/>
        <w:rPr>
          <w:rFonts w:ascii="Times New Roman" w:hAnsi="Times New Roman" w:cs="Times New Roman"/>
          <w:bCs/>
          <w:color w:val="000000" w:themeColor="text1"/>
        </w:rPr>
      </w:pPr>
      <w:r w:rsidRPr="00164238">
        <w:rPr>
          <w:rFonts w:ascii="Times New Roman" w:hAnsi="Times New Roman" w:cs="Times New Roman"/>
          <w:i/>
          <w:color w:val="000000" w:themeColor="text1"/>
        </w:rPr>
        <w:t>Table 8.</w:t>
      </w:r>
      <w:r w:rsidRPr="00164238">
        <w:rPr>
          <w:rFonts w:ascii="Times New Roman" w:hAnsi="Times New Roman" w:cs="Times New Roman"/>
          <w:b/>
          <w:bCs/>
          <w:color w:val="000000" w:themeColor="text1"/>
          <w:kern w:val="24"/>
          <w:lang w:eastAsia="tr-TR"/>
        </w:rPr>
        <w:t xml:space="preserve"> </w:t>
      </w:r>
      <w:r w:rsidRPr="00164238">
        <w:rPr>
          <w:rFonts w:ascii="Times New Roman" w:hAnsi="Times New Roman" w:cs="Times New Roman"/>
          <w:bCs/>
          <w:color w:val="000000" w:themeColor="text1"/>
          <w:kern w:val="24"/>
          <w:lang w:eastAsia="tr-TR"/>
        </w:rPr>
        <w:t>Distribution of Companies’ Short Term, Long Term Liabilities and Shareholders’ Equity</w:t>
      </w:r>
    </w:p>
    <w:tbl>
      <w:tblPr>
        <w:tblW w:w="5000" w:type="pct"/>
        <w:tblCellMar>
          <w:left w:w="0" w:type="dxa"/>
          <w:right w:w="0" w:type="dxa"/>
        </w:tblCellMar>
        <w:tblLook w:val="0600" w:firstRow="0" w:lastRow="0" w:firstColumn="0" w:lastColumn="0" w:noHBand="1" w:noVBand="1"/>
      </w:tblPr>
      <w:tblGrid>
        <w:gridCol w:w="2199"/>
        <w:gridCol w:w="1285"/>
        <w:gridCol w:w="1519"/>
        <w:gridCol w:w="1897"/>
        <w:gridCol w:w="1585"/>
      </w:tblGrid>
      <w:tr w:rsidR="00164238" w:rsidRPr="00164238" w14:paraId="0C5E0924" w14:textId="77777777" w:rsidTr="00682CBF">
        <w:trPr>
          <w:trHeight w:val="20"/>
        </w:trPr>
        <w:tc>
          <w:tcPr>
            <w:tcW w:w="1296" w:type="pct"/>
            <w:tcBorders>
              <w:top w:val="single" w:sz="8" w:space="0" w:color="000000"/>
              <w:left w:val="single" w:sz="8" w:space="0" w:color="000000"/>
              <w:bottom w:val="single" w:sz="8" w:space="0" w:color="000000"/>
              <w:right w:val="single" w:sz="8" w:space="0" w:color="000000"/>
            </w:tcBorders>
            <w:vAlign w:val="center"/>
            <w:hideMark/>
          </w:tcPr>
          <w:p w14:paraId="64111FB3" w14:textId="77777777" w:rsidR="00C54BC9" w:rsidRPr="00164238" w:rsidRDefault="00C54BC9" w:rsidP="00682CBF">
            <w:pPr>
              <w:contextualSpacing/>
              <w:rPr>
                <w:rFonts w:ascii="Times New Roman" w:hAnsi="Times New Roman" w:cs="Times New Roman"/>
                <w:b/>
                <w:color w:val="000000" w:themeColor="text1"/>
                <w:sz w:val="18"/>
                <w:lang w:eastAsia="tr-TR"/>
              </w:rPr>
            </w:pPr>
            <w:r w:rsidRPr="00164238">
              <w:rPr>
                <w:rFonts w:ascii="Times New Roman" w:hAnsi="Times New Roman" w:cs="Times New Roman"/>
                <w:b/>
                <w:color w:val="000000" w:themeColor="text1"/>
                <w:kern w:val="24"/>
                <w:sz w:val="18"/>
                <w:lang w:eastAsia="tr-TR"/>
              </w:rPr>
              <w:t>Company (mm. TRY) </w:t>
            </w:r>
          </w:p>
        </w:tc>
        <w:tc>
          <w:tcPr>
            <w:tcW w:w="75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7FFA1195" w14:textId="77777777" w:rsidR="00C54BC9" w:rsidRPr="00164238" w:rsidRDefault="00C54BC9" w:rsidP="00682CBF">
            <w:pPr>
              <w:contextualSpacing/>
              <w:jc w:val="center"/>
              <w:textAlignment w:val="bottom"/>
              <w:rPr>
                <w:rFonts w:ascii="Times New Roman" w:hAnsi="Times New Roman" w:cs="Times New Roman"/>
                <w:b/>
                <w:color w:val="000000" w:themeColor="text1"/>
                <w:sz w:val="18"/>
                <w:lang w:eastAsia="tr-TR"/>
              </w:rPr>
            </w:pPr>
            <w:r w:rsidRPr="00164238">
              <w:rPr>
                <w:rFonts w:ascii="Times New Roman" w:hAnsi="Times New Roman" w:cs="Times New Roman"/>
                <w:b/>
                <w:color w:val="000000" w:themeColor="text1"/>
                <w:kern w:val="24"/>
                <w:sz w:val="18"/>
                <w:lang w:eastAsia="tr-TR"/>
              </w:rPr>
              <w:t>2020-12</w:t>
            </w:r>
          </w:p>
        </w:tc>
        <w:tc>
          <w:tcPr>
            <w:tcW w:w="89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37816F20" w14:textId="77777777" w:rsidR="00C54BC9" w:rsidRPr="00164238" w:rsidRDefault="00C54BC9" w:rsidP="00682CBF">
            <w:pPr>
              <w:contextualSpacing/>
              <w:jc w:val="center"/>
              <w:textAlignment w:val="bottom"/>
              <w:rPr>
                <w:rFonts w:ascii="Times New Roman" w:hAnsi="Times New Roman" w:cs="Times New Roman"/>
                <w:b/>
                <w:color w:val="000000" w:themeColor="text1"/>
                <w:sz w:val="18"/>
                <w:lang w:eastAsia="tr-TR"/>
              </w:rPr>
            </w:pPr>
            <w:r w:rsidRPr="00164238">
              <w:rPr>
                <w:rFonts w:ascii="Times New Roman" w:hAnsi="Times New Roman" w:cs="Times New Roman"/>
                <w:b/>
                <w:color w:val="000000" w:themeColor="text1"/>
                <w:kern w:val="24"/>
                <w:sz w:val="18"/>
                <w:lang w:eastAsia="tr-TR"/>
              </w:rPr>
              <w:t>2019-12</w:t>
            </w:r>
          </w:p>
        </w:tc>
        <w:tc>
          <w:tcPr>
            <w:tcW w:w="111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7B90EAF9" w14:textId="77777777" w:rsidR="00C54BC9" w:rsidRPr="00164238" w:rsidRDefault="00C54BC9" w:rsidP="00682CBF">
            <w:pPr>
              <w:contextualSpacing/>
              <w:jc w:val="center"/>
              <w:textAlignment w:val="bottom"/>
              <w:rPr>
                <w:rFonts w:ascii="Times New Roman" w:hAnsi="Times New Roman" w:cs="Times New Roman"/>
                <w:b/>
                <w:color w:val="000000" w:themeColor="text1"/>
                <w:sz w:val="18"/>
                <w:lang w:eastAsia="tr-TR"/>
              </w:rPr>
            </w:pPr>
            <w:r w:rsidRPr="00164238">
              <w:rPr>
                <w:rFonts w:ascii="Times New Roman" w:hAnsi="Times New Roman" w:cs="Times New Roman"/>
                <w:b/>
                <w:color w:val="000000" w:themeColor="text1"/>
                <w:kern w:val="24"/>
                <w:sz w:val="18"/>
                <w:lang w:eastAsia="tr-TR"/>
              </w:rPr>
              <w:t>Nominal G.%</w:t>
            </w:r>
          </w:p>
        </w:tc>
        <w:tc>
          <w:tcPr>
            <w:tcW w:w="93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0193562F" w14:textId="77777777" w:rsidR="00C54BC9" w:rsidRPr="00164238" w:rsidRDefault="00C54BC9" w:rsidP="00682CBF">
            <w:pPr>
              <w:contextualSpacing/>
              <w:jc w:val="center"/>
              <w:textAlignment w:val="bottom"/>
              <w:rPr>
                <w:rFonts w:ascii="Times New Roman" w:hAnsi="Times New Roman" w:cs="Times New Roman"/>
                <w:b/>
                <w:color w:val="000000" w:themeColor="text1"/>
                <w:sz w:val="18"/>
                <w:lang w:eastAsia="tr-TR"/>
              </w:rPr>
            </w:pPr>
            <w:r w:rsidRPr="00164238">
              <w:rPr>
                <w:rFonts w:ascii="Times New Roman" w:hAnsi="Times New Roman" w:cs="Times New Roman"/>
                <w:b/>
                <w:color w:val="000000" w:themeColor="text1"/>
                <w:kern w:val="24"/>
                <w:sz w:val="18"/>
                <w:lang w:eastAsia="tr-TR"/>
              </w:rPr>
              <w:t>Real G.%</w:t>
            </w:r>
          </w:p>
        </w:tc>
      </w:tr>
      <w:tr w:rsidR="00164238" w:rsidRPr="00164238" w14:paraId="7B7C79B6" w14:textId="77777777" w:rsidTr="00682CBF">
        <w:trPr>
          <w:trHeight w:val="20"/>
        </w:trPr>
        <w:tc>
          <w:tcPr>
            <w:tcW w:w="5000" w:type="pct"/>
            <w:gridSpan w:val="5"/>
            <w:tcBorders>
              <w:top w:val="single" w:sz="8" w:space="0" w:color="000000"/>
              <w:left w:val="single" w:sz="8" w:space="0" w:color="000000"/>
              <w:bottom w:val="single" w:sz="8" w:space="0" w:color="000000"/>
              <w:right w:val="single" w:sz="8" w:space="0" w:color="000000"/>
            </w:tcBorders>
            <w:vAlign w:val="center"/>
          </w:tcPr>
          <w:p w14:paraId="0E91692C" w14:textId="77777777" w:rsidR="00C54BC9" w:rsidRPr="00164238" w:rsidRDefault="00C54BC9" w:rsidP="00682CBF">
            <w:pPr>
              <w:contextualSpacing/>
              <w:jc w:val="center"/>
              <w:textAlignment w:val="bottom"/>
              <w:rPr>
                <w:rFonts w:ascii="Times New Roman" w:hAnsi="Times New Roman" w:cs="Times New Roman"/>
                <w:color w:val="000000" w:themeColor="text1"/>
                <w:kern w:val="24"/>
                <w:sz w:val="18"/>
                <w:lang w:eastAsia="tr-TR"/>
              </w:rPr>
            </w:pPr>
            <w:r w:rsidRPr="00164238">
              <w:rPr>
                <w:rFonts w:ascii="Times New Roman" w:hAnsi="Times New Roman" w:cs="Times New Roman"/>
                <w:b/>
                <w:bCs/>
                <w:color w:val="000000" w:themeColor="text1"/>
                <w:kern w:val="24"/>
                <w:sz w:val="18"/>
                <w:lang w:eastAsia="tr-TR"/>
              </w:rPr>
              <w:t>Short Term Liabilities</w:t>
            </w:r>
          </w:p>
        </w:tc>
      </w:tr>
      <w:tr w:rsidR="00164238" w:rsidRPr="00164238" w14:paraId="32C752BC" w14:textId="77777777" w:rsidTr="00682CBF">
        <w:trPr>
          <w:trHeight w:val="20"/>
        </w:trPr>
        <w:tc>
          <w:tcPr>
            <w:tcW w:w="129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71563091" w14:textId="77777777" w:rsidR="00C54BC9" w:rsidRPr="00164238" w:rsidRDefault="00C54BC9" w:rsidP="00682CBF">
            <w:pPr>
              <w:contextualSpacing/>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t>Non-life Comp.</w:t>
            </w:r>
          </w:p>
        </w:tc>
        <w:tc>
          <w:tcPr>
            <w:tcW w:w="75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12920D0F" w14:textId="77777777" w:rsidR="00C54BC9" w:rsidRPr="00164238" w:rsidRDefault="00C54BC9" w:rsidP="00682CBF">
            <w:pPr>
              <w:contextualSpacing/>
              <w:jc w:val="center"/>
              <w:textAlignment w:val="bottom"/>
              <w:rPr>
                <w:rFonts w:ascii="Times New Roman" w:hAnsi="Times New Roman" w:cs="Times New Roman"/>
                <w:color w:val="000000" w:themeColor="text1"/>
                <w:sz w:val="18"/>
                <w:lang w:eastAsia="tr-TR"/>
              </w:rPr>
            </w:pPr>
            <w:r w:rsidRPr="00164238">
              <w:rPr>
                <w:rFonts w:ascii="Times New Roman" w:eastAsiaTheme="minorEastAsia" w:hAnsi="Times New Roman" w:cs="Times New Roman"/>
                <w:color w:val="000000" w:themeColor="text1"/>
                <w:kern w:val="24"/>
                <w:sz w:val="18"/>
                <w:lang w:eastAsia="tr-TR"/>
              </w:rPr>
              <w:t>68,613.9</w:t>
            </w:r>
          </w:p>
        </w:tc>
        <w:tc>
          <w:tcPr>
            <w:tcW w:w="89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080BBEF6" w14:textId="77777777" w:rsidR="00C54BC9" w:rsidRPr="00164238" w:rsidRDefault="00C54BC9" w:rsidP="00682CBF">
            <w:pPr>
              <w:contextualSpacing/>
              <w:jc w:val="center"/>
              <w:textAlignment w:val="bottom"/>
              <w:rPr>
                <w:rFonts w:ascii="Times New Roman" w:hAnsi="Times New Roman" w:cs="Times New Roman"/>
                <w:color w:val="000000" w:themeColor="text1"/>
                <w:sz w:val="18"/>
                <w:lang w:eastAsia="tr-TR"/>
              </w:rPr>
            </w:pPr>
            <w:r w:rsidRPr="00164238">
              <w:rPr>
                <w:rFonts w:ascii="Times New Roman" w:eastAsiaTheme="minorEastAsia" w:hAnsi="Times New Roman" w:cs="Times New Roman"/>
                <w:color w:val="000000" w:themeColor="text1"/>
                <w:kern w:val="24"/>
                <w:sz w:val="18"/>
                <w:lang w:eastAsia="tr-TR"/>
              </w:rPr>
              <w:t>56,245.3</w:t>
            </w:r>
          </w:p>
        </w:tc>
        <w:tc>
          <w:tcPr>
            <w:tcW w:w="111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45A993EC" w14:textId="77777777" w:rsidR="00C54BC9" w:rsidRPr="00164238" w:rsidRDefault="00C54BC9" w:rsidP="00682CBF">
            <w:pPr>
              <w:contextualSpacing/>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22.0%</w:t>
            </w:r>
          </w:p>
        </w:tc>
        <w:tc>
          <w:tcPr>
            <w:tcW w:w="93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159C9330" w14:textId="77777777" w:rsidR="00C54BC9" w:rsidRPr="00164238" w:rsidRDefault="00C54BC9" w:rsidP="00682CBF">
            <w:pPr>
              <w:contextualSpacing/>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6.4%</w:t>
            </w:r>
          </w:p>
        </w:tc>
      </w:tr>
      <w:tr w:rsidR="00164238" w:rsidRPr="00164238" w14:paraId="37E9E028" w14:textId="77777777" w:rsidTr="00682CBF">
        <w:trPr>
          <w:trHeight w:val="20"/>
        </w:trPr>
        <w:tc>
          <w:tcPr>
            <w:tcW w:w="129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23BDB5EA" w14:textId="77777777" w:rsidR="00C54BC9" w:rsidRPr="00164238" w:rsidRDefault="00C54BC9" w:rsidP="00682CBF">
            <w:pPr>
              <w:contextualSpacing/>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t>Life-Pension Comp.</w:t>
            </w:r>
          </w:p>
        </w:tc>
        <w:tc>
          <w:tcPr>
            <w:tcW w:w="75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3FF88DA7" w14:textId="77777777" w:rsidR="00C54BC9" w:rsidRPr="00164238" w:rsidRDefault="00C54BC9" w:rsidP="00682CBF">
            <w:pPr>
              <w:contextualSpacing/>
              <w:jc w:val="center"/>
              <w:textAlignment w:val="bottom"/>
              <w:rPr>
                <w:rFonts w:ascii="Times New Roman" w:hAnsi="Times New Roman" w:cs="Times New Roman"/>
                <w:color w:val="000000" w:themeColor="text1"/>
                <w:sz w:val="18"/>
                <w:lang w:eastAsia="tr-TR"/>
              </w:rPr>
            </w:pPr>
            <w:r w:rsidRPr="00164238">
              <w:rPr>
                <w:rFonts w:ascii="Times New Roman" w:eastAsiaTheme="minorEastAsia" w:hAnsi="Times New Roman" w:cs="Times New Roman"/>
                <w:color w:val="000000" w:themeColor="text1"/>
                <w:kern w:val="24"/>
                <w:sz w:val="18"/>
                <w:lang w:eastAsia="tr-TR"/>
              </w:rPr>
              <w:t>69,483.8</w:t>
            </w:r>
          </w:p>
        </w:tc>
        <w:tc>
          <w:tcPr>
            <w:tcW w:w="89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3D5F099F" w14:textId="77777777" w:rsidR="00C54BC9" w:rsidRPr="00164238" w:rsidRDefault="00C54BC9" w:rsidP="00682CBF">
            <w:pPr>
              <w:contextualSpacing/>
              <w:jc w:val="center"/>
              <w:textAlignment w:val="bottom"/>
              <w:rPr>
                <w:rFonts w:ascii="Times New Roman" w:hAnsi="Times New Roman" w:cs="Times New Roman"/>
                <w:color w:val="000000" w:themeColor="text1"/>
                <w:sz w:val="18"/>
                <w:lang w:eastAsia="tr-TR"/>
              </w:rPr>
            </w:pPr>
            <w:r w:rsidRPr="00164238">
              <w:rPr>
                <w:rFonts w:ascii="Times New Roman" w:eastAsiaTheme="minorEastAsia" w:hAnsi="Times New Roman" w:cs="Times New Roman"/>
                <w:color w:val="000000" w:themeColor="text1"/>
                <w:kern w:val="24"/>
                <w:sz w:val="18"/>
                <w:lang w:eastAsia="tr-TR"/>
              </w:rPr>
              <w:t>52,278.0</w:t>
            </w:r>
          </w:p>
        </w:tc>
        <w:tc>
          <w:tcPr>
            <w:tcW w:w="111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0200FD52" w14:textId="77777777" w:rsidR="00C54BC9" w:rsidRPr="00164238" w:rsidRDefault="00C54BC9" w:rsidP="00682CBF">
            <w:pPr>
              <w:contextualSpacing/>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32.9%</w:t>
            </w:r>
          </w:p>
        </w:tc>
        <w:tc>
          <w:tcPr>
            <w:tcW w:w="93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7B02DD1F" w14:textId="77777777" w:rsidR="00C54BC9" w:rsidRPr="00164238" w:rsidRDefault="00C54BC9" w:rsidP="00682CBF">
            <w:pPr>
              <w:contextualSpacing/>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16.0%</w:t>
            </w:r>
          </w:p>
        </w:tc>
      </w:tr>
      <w:tr w:rsidR="00164238" w:rsidRPr="00164238" w14:paraId="20128D71" w14:textId="77777777" w:rsidTr="00682CBF">
        <w:trPr>
          <w:trHeight w:val="20"/>
        </w:trPr>
        <w:tc>
          <w:tcPr>
            <w:tcW w:w="129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22492CAF" w14:textId="77777777" w:rsidR="00C54BC9" w:rsidRPr="00164238" w:rsidRDefault="00C54BC9" w:rsidP="00682CBF">
            <w:pPr>
              <w:contextualSpacing/>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t>Reinsurance Comp.</w:t>
            </w:r>
          </w:p>
        </w:tc>
        <w:tc>
          <w:tcPr>
            <w:tcW w:w="75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6C43FA5B" w14:textId="77777777" w:rsidR="00C54BC9" w:rsidRPr="00164238" w:rsidRDefault="00C54BC9" w:rsidP="00682CBF">
            <w:pPr>
              <w:contextualSpacing/>
              <w:jc w:val="center"/>
              <w:textAlignment w:val="bottom"/>
              <w:rPr>
                <w:rFonts w:ascii="Times New Roman" w:hAnsi="Times New Roman" w:cs="Times New Roman"/>
                <w:color w:val="000000" w:themeColor="text1"/>
                <w:sz w:val="18"/>
                <w:lang w:eastAsia="tr-TR"/>
              </w:rPr>
            </w:pPr>
            <w:r w:rsidRPr="00164238">
              <w:rPr>
                <w:rFonts w:ascii="Times New Roman" w:eastAsiaTheme="minorEastAsia" w:hAnsi="Times New Roman" w:cs="Times New Roman"/>
                <w:color w:val="000000" w:themeColor="text1"/>
                <w:kern w:val="24"/>
                <w:sz w:val="18"/>
                <w:lang w:eastAsia="tr-TR"/>
              </w:rPr>
              <w:t>3,295.1</w:t>
            </w:r>
          </w:p>
        </w:tc>
        <w:tc>
          <w:tcPr>
            <w:tcW w:w="89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06E86B86" w14:textId="77777777" w:rsidR="00C54BC9" w:rsidRPr="00164238" w:rsidRDefault="00C54BC9" w:rsidP="00682CBF">
            <w:pPr>
              <w:contextualSpacing/>
              <w:jc w:val="center"/>
              <w:textAlignment w:val="bottom"/>
              <w:rPr>
                <w:rFonts w:ascii="Times New Roman" w:hAnsi="Times New Roman" w:cs="Times New Roman"/>
                <w:color w:val="000000" w:themeColor="text1"/>
                <w:sz w:val="18"/>
                <w:lang w:eastAsia="tr-TR"/>
              </w:rPr>
            </w:pPr>
            <w:r w:rsidRPr="00164238">
              <w:rPr>
                <w:rFonts w:ascii="Times New Roman" w:eastAsiaTheme="minorEastAsia" w:hAnsi="Times New Roman" w:cs="Times New Roman"/>
                <w:color w:val="000000" w:themeColor="text1"/>
                <w:kern w:val="24"/>
                <w:sz w:val="18"/>
                <w:lang w:eastAsia="tr-TR"/>
              </w:rPr>
              <w:t>2,290.6</w:t>
            </w:r>
          </w:p>
        </w:tc>
        <w:tc>
          <w:tcPr>
            <w:tcW w:w="111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1D71ADE7" w14:textId="77777777" w:rsidR="00C54BC9" w:rsidRPr="00164238" w:rsidRDefault="00C54BC9" w:rsidP="00682CBF">
            <w:pPr>
              <w:contextualSpacing/>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43.9%</w:t>
            </w:r>
          </w:p>
        </w:tc>
        <w:tc>
          <w:tcPr>
            <w:tcW w:w="93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2D292F91" w14:textId="77777777" w:rsidR="00C54BC9" w:rsidRPr="00164238" w:rsidRDefault="00C54BC9" w:rsidP="00682CBF">
            <w:pPr>
              <w:contextualSpacing/>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25.5%</w:t>
            </w:r>
          </w:p>
        </w:tc>
      </w:tr>
      <w:tr w:rsidR="00164238" w:rsidRPr="00164238" w14:paraId="09D6D4B7" w14:textId="77777777" w:rsidTr="00682CBF">
        <w:trPr>
          <w:trHeight w:val="20"/>
        </w:trPr>
        <w:tc>
          <w:tcPr>
            <w:tcW w:w="129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02C8F1A2" w14:textId="77777777" w:rsidR="00C54BC9" w:rsidRPr="00164238" w:rsidRDefault="00C54BC9" w:rsidP="00682CBF">
            <w:pPr>
              <w:contextualSpacing/>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t>Total</w:t>
            </w:r>
          </w:p>
        </w:tc>
        <w:tc>
          <w:tcPr>
            <w:tcW w:w="75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71EA9590" w14:textId="77777777" w:rsidR="00C54BC9" w:rsidRPr="00164238" w:rsidRDefault="00C54BC9" w:rsidP="00682CBF">
            <w:pPr>
              <w:contextualSpacing/>
              <w:jc w:val="center"/>
              <w:textAlignment w:val="bottom"/>
              <w:rPr>
                <w:rFonts w:ascii="Times New Roman" w:hAnsi="Times New Roman" w:cs="Times New Roman"/>
                <w:color w:val="000000" w:themeColor="text1"/>
                <w:sz w:val="18"/>
                <w:lang w:eastAsia="tr-TR"/>
              </w:rPr>
            </w:pPr>
            <w:r w:rsidRPr="00164238">
              <w:rPr>
                <w:rFonts w:ascii="Times New Roman" w:eastAsiaTheme="minorEastAsia" w:hAnsi="Times New Roman" w:cs="Times New Roman"/>
                <w:b/>
                <w:bCs/>
                <w:color w:val="000000" w:themeColor="text1"/>
                <w:kern w:val="24"/>
                <w:sz w:val="18"/>
                <w:lang w:eastAsia="tr-TR"/>
              </w:rPr>
              <w:t>141,392.9</w:t>
            </w:r>
          </w:p>
        </w:tc>
        <w:tc>
          <w:tcPr>
            <w:tcW w:w="89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4F789A9E" w14:textId="77777777" w:rsidR="00C54BC9" w:rsidRPr="00164238" w:rsidRDefault="00C54BC9" w:rsidP="00682CBF">
            <w:pPr>
              <w:contextualSpacing/>
              <w:jc w:val="center"/>
              <w:textAlignment w:val="bottom"/>
              <w:rPr>
                <w:rFonts w:ascii="Times New Roman" w:hAnsi="Times New Roman" w:cs="Times New Roman"/>
                <w:color w:val="000000" w:themeColor="text1"/>
                <w:sz w:val="18"/>
                <w:lang w:eastAsia="tr-TR"/>
              </w:rPr>
            </w:pPr>
            <w:r w:rsidRPr="00164238">
              <w:rPr>
                <w:rFonts w:ascii="Times New Roman" w:eastAsiaTheme="minorEastAsia" w:hAnsi="Times New Roman" w:cs="Times New Roman"/>
                <w:b/>
                <w:bCs/>
                <w:color w:val="000000" w:themeColor="text1"/>
                <w:kern w:val="24"/>
                <w:sz w:val="18"/>
                <w:lang w:eastAsia="tr-TR"/>
              </w:rPr>
              <w:t>110,813.9</w:t>
            </w:r>
          </w:p>
        </w:tc>
        <w:tc>
          <w:tcPr>
            <w:tcW w:w="111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60D08021" w14:textId="77777777" w:rsidR="00C54BC9" w:rsidRPr="00164238" w:rsidRDefault="00C54BC9" w:rsidP="00682CBF">
            <w:pPr>
              <w:contextualSpacing/>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b/>
                <w:bCs/>
                <w:color w:val="000000" w:themeColor="text1"/>
                <w:kern w:val="24"/>
                <w:sz w:val="18"/>
                <w:lang w:eastAsia="tr-TR"/>
              </w:rPr>
              <w:t>27.6%</w:t>
            </w:r>
          </w:p>
        </w:tc>
        <w:tc>
          <w:tcPr>
            <w:tcW w:w="93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39D05EEF" w14:textId="77777777" w:rsidR="00C54BC9" w:rsidRPr="00164238" w:rsidRDefault="00C54BC9" w:rsidP="00682CBF">
            <w:pPr>
              <w:contextualSpacing/>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b/>
                <w:bCs/>
                <w:color w:val="000000" w:themeColor="text1"/>
                <w:kern w:val="24"/>
                <w:sz w:val="18"/>
                <w:lang w:eastAsia="tr-TR"/>
              </w:rPr>
              <w:t>11.3%</w:t>
            </w:r>
          </w:p>
        </w:tc>
      </w:tr>
      <w:tr w:rsidR="00164238" w:rsidRPr="00164238" w14:paraId="6B3C3A72" w14:textId="77777777" w:rsidTr="00682CBF">
        <w:trPr>
          <w:trHeight w:val="20"/>
        </w:trPr>
        <w:tc>
          <w:tcPr>
            <w:tcW w:w="5000" w:type="pct"/>
            <w:gridSpan w:val="5"/>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tcPr>
          <w:p w14:paraId="11AB1473" w14:textId="77777777" w:rsidR="00C54BC9" w:rsidRPr="00164238" w:rsidRDefault="00C54BC9" w:rsidP="00682CBF">
            <w:pPr>
              <w:contextualSpacing/>
              <w:jc w:val="center"/>
              <w:textAlignment w:val="bottom"/>
              <w:rPr>
                <w:rFonts w:ascii="Times New Roman" w:hAnsi="Times New Roman" w:cs="Times New Roman"/>
                <w:b/>
                <w:bCs/>
                <w:color w:val="000000" w:themeColor="text1"/>
                <w:kern w:val="24"/>
                <w:sz w:val="18"/>
                <w:lang w:eastAsia="tr-TR"/>
              </w:rPr>
            </w:pPr>
            <w:r w:rsidRPr="00164238">
              <w:rPr>
                <w:rFonts w:ascii="Times New Roman" w:hAnsi="Times New Roman" w:cs="Times New Roman"/>
                <w:b/>
                <w:bCs/>
                <w:color w:val="000000" w:themeColor="text1"/>
                <w:kern w:val="24"/>
                <w:sz w:val="18"/>
                <w:lang w:eastAsia="tr-TR"/>
              </w:rPr>
              <w:t>Long Term Liabilities</w:t>
            </w:r>
          </w:p>
        </w:tc>
      </w:tr>
      <w:tr w:rsidR="00164238" w:rsidRPr="00164238" w14:paraId="1842A02D" w14:textId="77777777" w:rsidTr="00682CBF">
        <w:trPr>
          <w:trHeight w:val="20"/>
        </w:trPr>
        <w:tc>
          <w:tcPr>
            <w:tcW w:w="129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tcPr>
          <w:p w14:paraId="009B09E0" w14:textId="77777777" w:rsidR="00C54BC9" w:rsidRPr="00164238" w:rsidRDefault="00C54BC9" w:rsidP="00682CBF">
            <w:pPr>
              <w:contextualSpacing/>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t>Non-life Comp.</w:t>
            </w:r>
          </w:p>
        </w:tc>
        <w:tc>
          <w:tcPr>
            <w:tcW w:w="75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56D67D90" w14:textId="77777777" w:rsidR="00C54BC9" w:rsidRPr="00164238" w:rsidRDefault="00C54BC9" w:rsidP="00682CBF">
            <w:pPr>
              <w:contextualSpacing/>
              <w:jc w:val="center"/>
              <w:textAlignment w:val="bottom"/>
              <w:rPr>
                <w:rFonts w:ascii="Times New Roman" w:eastAsiaTheme="minorEastAsia" w:hAnsi="Times New Roman" w:cs="Times New Roman"/>
                <w:color w:val="000000" w:themeColor="text1"/>
                <w:kern w:val="24"/>
                <w:sz w:val="18"/>
                <w:lang w:eastAsia="tr-TR"/>
              </w:rPr>
            </w:pPr>
            <w:r w:rsidRPr="00164238">
              <w:rPr>
                <w:rFonts w:ascii="Times New Roman" w:eastAsiaTheme="minorEastAsia" w:hAnsi="Times New Roman" w:cs="Times New Roman"/>
                <w:color w:val="000000" w:themeColor="text1"/>
                <w:kern w:val="24"/>
                <w:sz w:val="18"/>
                <w:lang w:eastAsia="tr-TR"/>
              </w:rPr>
              <w:t>2,743.0</w:t>
            </w:r>
          </w:p>
        </w:tc>
        <w:tc>
          <w:tcPr>
            <w:tcW w:w="89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7D9BD713" w14:textId="77777777" w:rsidR="00C54BC9" w:rsidRPr="00164238" w:rsidRDefault="00C54BC9" w:rsidP="00682CBF">
            <w:pPr>
              <w:contextualSpacing/>
              <w:jc w:val="center"/>
              <w:textAlignment w:val="bottom"/>
              <w:rPr>
                <w:rFonts w:ascii="Times New Roman" w:eastAsiaTheme="minorEastAsia" w:hAnsi="Times New Roman" w:cs="Times New Roman"/>
                <w:color w:val="000000" w:themeColor="text1"/>
                <w:kern w:val="24"/>
                <w:sz w:val="18"/>
                <w:lang w:eastAsia="tr-TR"/>
              </w:rPr>
            </w:pPr>
            <w:r w:rsidRPr="00164238">
              <w:rPr>
                <w:rFonts w:ascii="Times New Roman" w:eastAsiaTheme="minorEastAsia" w:hAnsi="Times New Roman" w:cs="Times New Roman"/>
                <w:color w:val="000000" w:themeColor="text1"/>
                <w:kern w:val="24"/>
                <w:sz w:val="18"/>
                <w:lang w:eastAsia="tr-TR"/>
              </w:rPr>
              <w:t>2,189.5</w:t>
            </w:r>
          </w:p>
        </w:tc>
        <w:tc>
          <w:tcPr>
            <w:tcW w:w="111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5E96F06E" w14:textId="77777777" w:rsidR="00C54BC9" w:rsidRPr="00164238" w:rsidRDefault="00C54BC9" w:rsidP="00682CBF">
            <w:pPr>
              <w:contextualSpacing/>
              <w:jc w:val="center"/>
              <w:textAlignment w:val="bottom"/>
              <w:rPr>
                <w:rFonts w:ascii="Times New Roman" w:eastAsiaTheme="minorEastAsia" w:hAnsi="Times New Roman" w:cs="Times New Roman"/>
                <w:color w:val="000000" w:themeColor="text1"/>
                <w:kern w:val="24"/>
                <w:sz w:val="18"/>
                <w:lang w:eastAsia="tr-TR"/>
              </w:rPr>
            </w:pPr>
            <w:r w:rsidRPr="00164238">
              <w:rPr>
                <w:rFonts w:ascii="Times New Roman" w:eastAsiaTheme="minorEastAsia" w:hAnsi="Times New Roman" w:cs="Times New Roman"/>
                <w:color w:val="000000" w:themeColor="text1"/>
                <w:kern w:val="24"/>
                <w:sz w:val="18"/>
                <w:lang w:eastAsia="tr-TR"/>
              </w:rPr>
              <w:t>25.3%</w:t>
            </w:r>
          </w:p>
        </w:tc>
        <w:tc>
          <w:tcPr>
            <w:tcW w:w="93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5F92A7F7" w14:textId="77777777" w:rsidR="00C54BC9" w:rsidRPr="00164238" w:rsidRDefault="00C54BC9" w:rsidP="00682CBF">
            <w:pPr>
              <w:contextualSpacing/>
              <w:jc w:val="center"/>
              <w:textAlignment w:val="bottom"/>
              <w:rPr>
                <w:rFonts w:ascii="Times New Roman" w:eastAsiaTheme="minorEastAsia" w:hAnsi="Times New Roman" w:cs="Times New Roman"/>
                <w:color w:val="000000" w:themeColor="text1"/>
                <w:kern w:val="24"/>
                <w:sz w:val="18"/>
                <w:lang w:eastAsia="tr-TR"/>
              </w:rPr>
            </w:pPr>
            <w:r w:rsidRPr="00164238">
              <w:rPr>
                <w:rFonts w:ascii="Times New Roman" w:eastAsiaTheme="minorEastAsia" w:hAnsi="Times New Roman" w:cs="Times New Roman"/>
                <w:color w:val="000000" w:themeColor="text1"/>
                <w:kern w:val="24"/>
                <w:sz w:val="18"/>
                <w:lang w:eastAsia="tr-TR"/>
              </w:rPr>
              <w:t>9.3%</w:t>
            </w:r>
          </w:p>
        </w:tc>
      </w:tr>
      <w:tr w:rsidR="00164238" w:rsidRPr="00164238" w14:paraId="45F1D90C" w14:textId="77777777" w:rsidTr="00682CBF">
        <w:trPr>
          <w:trHeight w:val="20"/>
        </w:trPr>
        <w:tc>
          <w:tcPr>
            <w:tcW w:w="129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tcPr>
          <w:p w14:paraId="4F0791F9" w14:textId="77777777" w:rsidR="00C54BC9" w:rsidRPr="00164238" w:rsidRDefault="00C54BC9" w:rsidP="00682CBF">
            <w:pPr>
              <w:contextualSpacing/>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t>Life-Pension Comp.</w:t>
            </w:r>
          </w:p>
        </w:tc>
        <w:tc>
          <w:tcPr>
            <w:tcW w:w="75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7077DD10" w14:textId="77777777" w:rsidR="00C54BC9" w:rsidRPr="00164238" w:rsidRDefault="00C54BC9" w:rsidP="00682CBF">
            <w:pPr>
              <w:contextualSpacing/>
              <w:jc w:val="center"/>
              <w:textAlignment w:val="bottom"/>
              <w:rPr>
                <w:rFonts w:ascii="Times New Roman" w:eastAsiaTheme="minorEastAsia" w:hAnsi="Times New Roman" w:cs="Times New Roman"/>
                <w:color w:val="000000" w:themeColor="text1"/>
                <w:kern w:val="24"/>
                <w:sz w:val="18"/>
                <w:lang w:eastAsia="tr-TR"/>
              </w:rPr>
            </w:pPr>
            <w:r w:rsidRPr="00164238">
              <w:rPr>
                <w:rFonts w:ascii="Times New Roman" w:eastAsiaTheme="minorEastAsia" w:hAnsi="Times New Roman" w:cs="Times New Roman"/>
                <w:color w:val="000000" w:themeColor="text1"/>
                <w:kern w:val="24"/>
                <w:sz w:val="18"/>
                <w:lang w:eastAsia="tr-TR"/>
              </w:rPr>
              <w:t>124,880.2</w:t>
            </w:r>
          </w:p>
        </w:tc>
        <w:tc>
          <w:tcPr>
            <w:tcW w:w="89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4168A653" w14:textId="77777777" w:rsidR="00C54BC9" w:rsidRPr="00164238" w:rsidRDefault="00C54BC9" w:rsidP="00682CBF">
            <w:pPr>
              <w:contextualSpacing/>
              <w:jc w:val="center"/>
              <w:textAlignment w:val="bottom"/>
              <w:rPr>
                <w:rFonts w:ascii="Times New Roman" w:eastAsiaTheme="minorEastAsia" w:hAnsi="Times New Roman" w:cs="Times New Roman"/>
                <w:color w:val="000000" w:themeColor="text1"/>
                <w:kern w:val="24"/>
                <w:sz w:val="18"/>
                <w:lang w:eastAsia="tr-TR"/>
              </w:rPr>
            </w:pPr>
            <w:r w:rsidRPr="00164238">
              <w:rPr>
                <w:rFonts w:ascii="Times New Roman" w:eastAsiaTheme="minorEastAsia" w:hAnsi="Times New Roman" w:cs="Times New Roman"/>
                <w:color w:val="000000" w:themeColor="text1"/>
                <w:kern w:val="24"/>
                <w:sz w:val="18"/>
                <w:lang w:eastAsia="tr-TR"/>
              </w:rPr>
              <w:t>92,570.6</w:t>
            </w:r>
          </w:p>
        </w:tc>
        <w:tc>
          <w:tcPr>
            <w:tcW w:w="111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66C18D33" w14:textId="77777777" w:rsidR="00C54BC9" w:rsidRPr="00164238" w:rsidRDefault="00C54BC9" w:rsidP="00682CBF">
            <w:pPr>
              <w:contextualSpacing/>
              <w:jc w:val="center"/>
              <w:textAlignment w:val="bottom"/>
              <w:rPr>
                <w:rFonts w:ascii="Times New Roman" w:eastAsiaTheme="minorEastAsia" w:hAnsi="Times New Roman" w:cs="Times New Roman"/>
                <w:color w:val="000000" w:themeColor="text1"/>
                <w:kern w:val="24"/>
                <w:sz w:val="18"/>
                <w:lang w:eastAsia="tr-TR"/>
              </w:rPr>
            </w:pPr>
            <w:r w:rsidRPr="00164238">
              <w:rPr>
                <w:rFonts w:ascii="Times New Roman" w:eastAsiaTheme="minorEastAsia" w:hAnsi="Times New Roman" w:cs="Times New Roman"/>
                <w:color w:val="000000" w:themeColor="text1"/>
                <w:kern w:val="24"/>
                <w:sz w:val="18"/>
                <w:lang w:eastAsia="tr-TR"/>
              </w:rPr>
              <w:t>34.9%</w:t>
            </w:r>
          </w:p>
        </w:tc>
        <w:tc>
          <w:tcPr>
            <w:tcW w:w="93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2A52CF92" w14:textId="77777777" w:rsidR="00C54BC9" w:rsidRPr="00164238" w:rsidRDefault="00C54BC9" w:rsidP="00682CBF">
            <w:pPr>
              <w:contextualSpacing/>
              <w:jc w:val="center"/>
              <w:textAlignment w:val="bottom"/>
              <w:rPr>
                <w:rFonts w:ascii="Times New Roman" w:eastAsiaTheme="minorEastAsia" w:hAnsi="Times New Roman" w:cs="Times New Roman"/>
                <w:color w:val="000000" w:themeColor="text1"/>
                <w:kern w:val="24"/>
                <w:sz w:val="18"/>
                <w:lang w:eastAsia="tr-TR"/>
              </w:rPr>
            </w:pPr>
            <w:r w:rsidRPr="00164238">
              <w:rPr>
                <w:rFonts w:ascii="Times New Roman" w:eastAsiaTheme="minorEastAsia" w:hAnsi="Times New Roman" w:cs="Times New Roman"/>
                <w:color w:val="000000" w:themeColor="text1"/>
                <w:kern w:val="24"/>
                <w:sz w:val="18"/>
                <w:lang w:eastAsia="tr-TR"/>
              </w:rPr>
              <w:t>17.7%</w:t>
            </w:r>
          </w:p>
        </w:tc>
      </w:tr>
      <w:tr w:rsidR="00164238" w:rsidRPr="00164238" w14:paraId="27A33C10" w14:textId="77777777" w:rsidTr="00682CBF">
        <w:trPr>
          <w:trHeight w:val="20"/>
        </w:trPr>
        <w:tc>
          <w:tcPr>
            <w:tcW w:w="129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tcPr>
          <w:p w14:paraId="6A20865C" w14:textId="77777777" w:rsidR="00C54BC9" w:rsidRPr="00164238" w:rsidRDefault="00C54BC9" w:rsidP="00682CBF">
            <w:pPr>
              <w:contextualSpacing/>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t>Reinsurance Comp.</w:t>
            </w:r>
          </w:p>
        </w:tc>
        <w:tc>
          <w:tcPr>
            <w:tcW w:w="75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7CCF71ED" w14:textId="77777777" w:rsidR="00C54BC9" w:rsidRPr="00164238" w:rsidRDefault="00C54BC9" w:rsidP="00682CBF">
            <w:pPr>
              <w:contextualSpacing/>
              <w:jc w:val="center"/>
              <w:textAlignment w:val="bottom"/>
              <w:rPr>
                <w:rFonts w:ascii="Times New Roman" w:eastAsiaTheme="minorEastAsia" w:hAnsi="Times New Roman" w:cs="Times New Roman"/>
                <w:color w:val="000000" w:themeColor="text1"/>
                <w:kern w:val="24"/>
                <w:sz w:val="18"/>
                <w:lang w:eastAsia="tr-TR"/>
              </w:rPr>
            </w:pPr>
            <w:r w:rsidRPr="00164238">
              <w:rPr>
                <w:rFonts w:ascii="Times New Roman" w:eastAsiaTheme="minorEastAsia" w:hAnsi="Times New Roman" w:cs="Times New Roman"/>
                <w:color w:val="000000" w:themeColor="text1"/>
                <w:kern w:val="24"/>
                <w:sz w:val="18"/>
                <w:lang w:eastAsia="tr-TR"/>
              </w:rPr>
              <w:t>306.1</w:t>
            </w:r>
          </w:p>
        </w:tc>
        <w:tc>
          <w:tcPr>
            <w:tcW w:w="89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3D5290A0" w14:textId="77777777" w:rsidR="00C54BC9" w:rsidRPr="00164238" w:rsidRDefault="00C54BC9" w:rsidP="00682CBF">
            <w:pPr>
              <w:contextualSpacing/>
              <w:jc w:val="center"/>
              <w:textAlignment w:val="bottom"/>
              <w:rPr>
                <w:rFonts w:ascii="Times New Roman" w:eastAsiaTheme="minorEastAsia" w:hAnsi="Times New Roman" w:cs="Times New Roman"/>
                <w:color w:val="000000" w:themeColor="text1"/>
                <w:kern w:val="24"/>
                <w:sz w:val="18"/>
                <w:lang w:eastAsia="tr-TR"/>
              </w:rPr>
            </w:pPr>
            <w:r w:rsidRPr="00164238">
              <w:rPr>
                <w:rFonts w:ascii="Times New Roman" w:eastAsiaTheme="minorEastAsia" w:hAnsi="Times New Roman" w:cs="Times New Roman"/>
                <w:color w:val="000000" w:themeColor="text1"/>
                <w:kern w:val="24"/>
                <w:sz w:val="18"/>
                <w:lang w:eastAsia="tr-TR"/>
              </w:rPr>
              <w:t>234.2</w:t>
            </w:r>
          </w:p>
        </w:tc>
        <w:tc>
          <w:tcPr>
            <w:tcW w:w="111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238329F6" w14:textId="77777777" w:rsidR="00C54BC9" w:rsidRPr="00164238" w:rsidRDefault="00C54BC9" w:rsidP="00682CBF">
            <w:pPr>
              <w:contextualSpacing/>
              <w:jc w:val="center"/>
              <w:textAlignment w:val="bottom"/>
              <w:rPr>
                <w:rFonts w:ascii="Times New Roman" w:eastAsiaTheme="minorEastAsia" w:hAnsi="Times New Roman" w:cs="Times New Roman"/>
                <w:color w:val="000000" w:themeColor="text1"/>
                <w:kern w:val="24"/>
                <w:sz w:val="18"/>
                <w:lang w:eastAsia="tr-TR"/>
              </w:rPr>
            </w:pPr>
            <w:r w:rsidRPr="00164238">
              <w:rPr>
                <w:rFonts w:ascii="Times New Roman" w:eastAsiaTheme="minorEastAsia" w:hAnsi="Times New Roman" w:cs="Times New Roman"/>
                <w:color w:val="000000" w:themeColor="text1"/>
                <w:kern w:val="24"/>
                <w:sz w:val="18"/>
                <w:lang w:eastAsia="tr-TR"/>
              </w:rPr>
              <w:t>30.7%</w:t>
            </w:r>
          </w:p>
        </w:tc>
        <w:tc>
          <w:tcPr>
            <w:tcW w:w="93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79ED820E" w14:textId="77777777" w:rsidR="00C54BC9" w:rsidRPr="00164238" w:rsidRDefault="00C54BC9" w:rsidP="00682CBF">
            <w:pPr>
              <w:contextualSpacing/>
              <w:jc w:val="center"/>
              <w:textAlignment w:val="bottom"/>
              <w:rPr>
                <w:rFonts w:ascii="Times New Roman" w:eastAsiaTheme="minorEastAsia" w:hAnsi="Times New Roman" w:cs="Times New Roman"/>
                <w:color w:val="000000" w:themeColor="text1"/>
                <w:kern w:val="24"/>
                <w:sz w:val="18"/>
                <w:lang w:eastAsia="tr-TR"/>
              </w:rPr>
            </w:pPr>
            <w:r w:rsidRPr="00164238">
              <w:rPr>
                <w:rFonts w:ascii="Times New Roman" w:eastAsiaTheme="minorEastAsia" w:hAnsi="Times New Roman" w:cs="Times New Roman"/>
                <w:color w:val="000000" w:themeColor="text1"/>
                <w:kern w:val="24"/>
                <w:sz w:val="18"/>
                <w:lang w:eastAsia="tr-TR"/>
              </w:rPr>
              <w:t>14.0%</w:t>
            </w:r>
          </w:p>
        </w:tc>
      </w:tr>
      <w:tr w:rsidR="00164238" w:rsidRPr="00164238" w14:paraId="3929DD7F" w14:textId="77777777" w:rsidTr="00682CBF">
        <w:trPr>
          <w:trHeight w:val="20"/>
        </w:trPr>
        <w:tc>
          <w:tcPr>
            <w:tcW w:w="129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tcPr>
          <w:p w14:paraId="3C43F7B9" w14:textId="77777777" w:rsidR="00C54BC9" w:rsidRPr="00164238" w:rsidRDefault="00C54BC9" w:rsidP="00682CBF">
            <w:pPr>
              <w:contextualSpacing/>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t>Total</w:t>
            </w:r>
          </w:p>
        </w:tc>
        <w:tc>
          <w:tcPr>
            <w:tcW w:w="75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168339BE" w14:textId="77777777" w:rsidR="00C54BC9" w:rsidRPr="00164238" w:rsidRDefault="00C54BC9" w:rsidP="00682CBF">
            <w:pPr>
              <w:contextualSpacing/>
              <w:jc w:val="center"/>
              <w:textAlignment w:val="bottom"/>
              <w:rPr>
                <w:rFonts w:ascii="Times New Roman" w:eastAsiaTheme="minorEastAsia" w:hAnsi="Times New Roman" w:cs="Times New Roman"/>
                <w:b/>
                <w:bCs/>
                <w:color w:val="000000" w:themeColor="text1"/>
                <w:kern w:val="24"/>
                <w:sz w:val="18"/>
                <w:lang w:eastAsia="tr-TR"/>
              </w:rPr>
            </w:pPr>
            <w:r w:rsidRPr="00164238">
              <w:rPr>
                <w:rFonts w:ascii="Times New Roman" w:eastAsiaTheme="minorEastAsia" w:hAnsi="Times New Roman" w:cs="Times New Roman"/>
                <w:b/>
                <w:bCs/>
                <w:color w:val="000000" w:themeColor="text1"/>
                <w:kern w:val="24"/>
                <w:sz w:val="18"/>
                <w:lang w:eastAsia="tr-TR"/>
              </w:rPr>
              <w:t>127,929.3</w:t>
            </w:r>
          </w:p>
        </w:tc>
        <w:tc>
          <w:tcPr>
            <w:tcW w:w="89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434AF714" w14:textId="77777777" w:rsidR="00C54BC9" w:rsidRPr="00164238" w:rsidRDefault="00C54BC9" w:rsidP="00682CBF">
            <w:pPr>
              <w:contextualSpacing/>
              <w:jc w:val="center"/>
              <w:textAlignment w:val="bottom"/>
              <w:rPr>
                <w:rFonts w:ascii="Times New Roman" w:eastAsiaTheme="minorEastAsia" w:hAnsi="Times New Roman" w:cs="Times New Roman"/>
                <w:b/>
                <w:bCs/>
                <w:color w:val="000000" w:themeColor="text1"/>
                <w:kern w:val="24"/>
                <w:sz w:val="18"/>
                <w:lang w:eastAsia="tr-TR"/>
              </w:rPr>
            </w:pPr>
            <w:r w:rsidRPr="00164238">
              <w:rPr>
                <w:rFonts w:ascii="Times New Roman" w:eastAsiaTheme="minorEastAsia" w:hAnsi="Times New Roman" w:cs="Times New Roman"/>
                <w:b/>
                <w:bCs/>
                <w:color w:val="000000" w:themeColor="text1"/>
                <w:kern w:val="24"/>
                <w:sz w:val="18"/>
                <w:lang w:eastAsia="tr-TR"/>
              </w:rPr>
              <w:t>94,994.3</w:t>
            </w:r>
          </w:p>
        </w:tc>
        <w:tc>
          <w:tcPr>
            <w:tcW w:w="111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2DF597ED" w14:textId="77777777" w:rsidR="00C54BC9" w:rsidRPr="00164238" w:rsidRDefault="00C54BC9" w:rsidP="00682CBF">
            <w:pPr>
              <w:contextualSpacing/>
              <w:jc w:val="center"/>
              <w:textAlignment w:val="bottom"/>
              <w:rPr>
                <w:rFonts w:ascii="Times New Roman" w:eastAsiaTheme="minorEastAsia" w:hAnsi="Times New Roman" w:cs="Times New Roman"/>
                <w:b/>
                <w:bCs/>
                <w:color w:val="000000" w:themeColor="text1"/>
                <w:kern w:val="24"/>
                <w:sz w:val="18"/>
                <w:lang w:eastAsia="tr-TR"/>
              </w:rPr>
            </w:pPr>
            <w:r w:rsidRPr="00164238">
              <w:rPr>
                <w:rFonts w:ascii="Times New Roman" w:eastAsiaTheme="minorEastAsia" w:hAnsi="Times New Roman" w:cs="Times New Roman"/>
                <w:b/>
                <w:bCs/>
                <w:color w:val="000000" w:themeColor="text1"/>
                <w:kern w:val="24"/>
                <w:sz w:val="18"/>
                <w:lang w:eastAsia="tr-TR"/>
              </w:rPr>
              <w:t>34.7%</w:t>
            </w:r>
          </w:p>
        </w:tc>
        <w:tc>
          <w:tcPr>
            <w:tcW w:w="93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41D23AE3" w14:textId="77777777" w:rsidR="00C54BC9" w:rsidRPr="00164238" w:rsidRDefault="00C54BC9" w:rsidP="00682CBF">
            <w:pPr>
              <w:contextualSpacing/>
              <w:jc w:val="center"/>
              <w:textAlignment w:val="bottom"/>
              <w:rPr>
                <w:rFonts w:ascii="Times New Roman" w:eastAsiaTheme="minorEastAsia" w:hAnsi="Times New Roman" w:cs="Times New Roman"/>
                <w:b/>
                <w:bCs/>
                <w:color w:val="000000" w:themeColor="text1"/>
                <w:kern w:val="24"/>
                <w:sz w:val="18"/>
                <w:lang w:eastAsia="tr-TR"/>
              </w:rPr>
            </w:pPr>
            <w:r w:rsidRPr="00164238">
              <w:rPr>
                <w:rFonts w:ascii="Times New Roman" w:eastAsiaTheme="minorEastAsia" w:hAnsi="Times New Roman" w:cs="Times New Roman"/>
                <w:b/>
                <w:bCs/>
                <w:color w:val="000000" w:themeColor="text1"/>
                <w:kern w:val="24"/>
                <w:sz w:val="18"/>
                <w:lang w:eastAsia="tr-TR"/>
              </w:rPr>
              <w:t>17.5%</w:t>
            </w:r>
          </w:p>
        </w:tc>
      </w:tr>
      <w:tr w:rsidR="00164238" w:rsidRPr="00164238" w14:paraId="5F53FD8F" w14:textId="77777777" w:rsidTr="00682CBF">
        <w:trPr>
          <w:trHeight w:val="20"/>
        </w:trPr>
        <w:tc>
          <w:tcPr>
            <w:tcW w:w="5000" w:type="pct"/>
            <w:gridSpan w:val="5"/>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tcPr>
          <w:p w14:paraId="16233279" w14:textId="77777777" w:rsidR="00C54BC9" w:rsidRPr="00164238" w:rsidRDefault="00C54BC9" w:rsidP="00682CBF">
            <w:pPr>
              <w:contextualSpacing/>
              <w:jc w:val="center"/>
              <w:textAlignment w:val="bottom"/>
              <w:rPr>
                <w:rFonts w:ascii="Times New Roman" w:eastAsiaTheme="minorEastAsia" w:hAnsi="Times New Roman" w:cs="Times New Roman"/>
                <w:b/>
                <w:bCs/>
                <w:color w:val="000000" w:themeColor="text1"/>
                <w:kern w:val="24"/>
                <w:sz w:val="18"/>
                <w:lang w:eastAsia="tr-TR"/>
              </w:rPr>
            </w:pPr>
            <w:r w:rsidRPr="00164238">
              <w:rPr>
                <w:rFonts w:ascii="Times New Roman" w:eastAsiaTheme="minorEastAsia" w:hAnsi="Times New Roman" w:cs="Times New Roman"/>
                <w:b/>
                <w:bCs/>
                <w:color w:val="000000" w:themeColor="text1"/>
                <w:kern w:val="24"/>
                <w:sz w:val="18"/>
                <w:lang w:eastAsia="tr-TR"/>
              </w:rPr>
              <w:t>Shareholders’ Equity</w:t>
            </w:r>
          </w:p>
        </w:tc>
      </w:tr>
      <w:tr w:rsidR="00164238" w:rsidRPr="00164238" w14:paraId="5E356639" w14:textId="77777777" w:rsidTr="00682CBF">
        <w:trPr>
          <w:trHeight w:val="20"/>
        </w:trPr>
        <w:tc>
          <w:tcPr>
            <w:tcW w:w="129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tcPr>
          <w:p w14:paraId="34333A3B" w14:textId="77777777" w:rsidR="00C54BC9" w:rsidRPr="00164238" w:rsidRDefault="00C54BC9" w:rsidP="00682CBF">
            <w:pPr>
              <w:contextualSpacing/>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t>Non-life Comp.</w:t>
            </w:r>
          </w:p>
        </w:tc>
        <w:tc>
          <w:tcPr>
            <w:tcW w:w="75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2C4DB6C3" w14:textId="77777777" w:rsidR="00C54BC9" w:rsidRPr="00164238" w:rsidRDefault="00C54BC9" w:rsidP="00682CBF">
            <w:pPr>
              <w:pStyle w:val="TableFigureHeader"/>
              <w:spacing w:before="0" w:after="0"/>
              <w:textAlignment w:val="bottom"/>
              <w:rPr>
                <w:rFonts w:ascii="Times New Roman" w:eastAsiaTheme="minorEastAsia" w:hAnsi="Times New Roman" w:cs="Times New Roman"/>
                <w:color w:val="000000" w:themeColor="text1"/>
                <w:kern w:val="24"/>
                <w:sz w:val="18"/>
              </w:rPr>
            </w:pPr>
            <w:r w:rsidRPr="00164238">
              <w:rPr>
                <w:rFonts w:ascii="Times New Roman" w:eastAsiaTheme="minorEastAsia" w:hAnsi="Times New Roman" w:cs="Times New Roman"/>
                <w:color w:val="000000" w:themeColor="text1"/>
                <w:kern w:val="24"/>
                <w:sz w:val="18"/>
              </w:rPr>
              <w:t>24,183.4</w:t>
            </w:r>
          </w:p>
        </w:tc>
        <w:tc>
          <w:tcPr>
            <w:tcW w:w="89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3C691BB3" w14:textId="77777777" w:rsidR="00C54BC9" w:rsidRPr="00164238" w:rsidRDefault="00C54BC9" w:rsidP="00682CBF">
            <w:pPr>
              <w:pStyle w:val="TableFigureHeader"/>
              <w:spacing w:before="0" w:after="0"/>
              <w:textAlignment w:val="bottom"/>
              <w:rPr>
                <w:rFonts w:ascii="Times New Roman" w:eastAsiaTheme="minorEastAsia" w:hAnsi="Times New Roman" w:cs="Times New Roman"/>
                <w:color w:val="000000" w:themeColor="text1"/>
                <w:kern w:val="24"/>
                <w:sz w:val="18"/>
              </w:rPr>
            </w:pPr>
            <w:r w:rsidRPr="00164238">
              <w:rPr>
                <w:rFonts w:ascii="Times New Roman" w:eastAsiaTheme="minorEastAsia" w:hAnsi="Times New Roman" w:cs="Times New Roman"/>
                <w:color w:val="000000" w:themeColor="text1"/>
                <w:kern w:val="24"/>
                <w:sz w:val="18"/>
              </w:rPr>
              <w:t>18,807.3</w:t>
            </w:r>
          </w:p>
        </w:tc>
        <w:tc>
          <w:tcPr>
            <w:tcW w:w="111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27587919" w14:textId="77777777" w:rsidR="00C54BC9" w:rsidRPr="00164238" w:rsidRDefault="00C54BC9" w:rsidP="00682CBF">
            <w:pPr>
              <w:pStyle w:val="TableFigureHeader"/>
              <w:spacing w:before="0" w:after="0"/>
              <w:textAlignment w:val="bottom"/>
              <w:rPr>
                <w:rFonts w:ascii="Times New Roman" w:eastAsiaTheme="minorEastAsia" w:hAnsi="Times New Roman" w:cs="Times New Roman"/>
                <w:color w:val="000000" w:themeColor="text1"/>
                <w:kern w:val="24"/>
                <w:sz w:val="18"/>
              </w:rPr>
            </w:pPr>
            <w:r w:rsidRPr="00164238">
              <w:rPr>
                <w:rFonts w:ascii="Times New Roman" w:eastAsiaTheme="minorEastAsia" w:hAnsi="Times New Roman" w:cs="Times New Roman"/>
                <w:color w:val="000000" w:themeColor="text1"/>
                <w:kern w:val="24"/>
                <w:sz w:val="18"/>
              </w:rPr>
              <w:t>28.6%</w:t>
            </w:r>
          </w:p>
        </w:tc>
        <w:tc>
          <w:tcPr>
            <w:tcW w:w="93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082A6A1C" w14:textId="77777777" w:rsidR="00C54BC9" w:rsidRPr="00164238" w:rsidRDefault="00C54BC9" w:rsidP="00682CBF">
            <w:pPr>
              <w:pStyle w:val="TableFigureHeader"/>
              <w:spacing w:before="0" w:after="0"/>
              <w:textAlignment w:val="bottom"/>
              <w:rPr>
                <w:rFonts w:ascii="Times New Roman" w:eastAsiaTheme="minorEastAsia" w:hAnsi="Times New Roman" w:cs="Times New Roman"/>
                <w:color w:val="000000" w:themeColor="text1"/>
                <w:kern w:val="24"/>
                <w:sz w:val="18"/>
              </w:rPr>
            </w:pPr>
            <w:r w:rsidRPr="00164238">
              <w:rPr>
                <w:rFonts w:ascii="Times New Roman" w:eastAsiaTheme="minorEastAsia" w:hAnsi="Times New Roman" w:cs="Times New Roman"/>
                <w:color w:val="000000" w:themeColor="text1"/>
                <w:kern w:val="24"/>
                <w:sz w:val="18"/>
              </w:rPr>
              <w:t>12.2%</w:t>
            </w:r>
          </w:p>
        </w:tc>
      </w:tr>
      <w:tr w:rsidR="00164238" w:rsidRPr="00164238" w14:paraId="41F4C486" w14:textId="77777777" w:rsidTr="00682CBF">
        <w:trPr>
          <w:trHeight w:val="20"/>
        </w:trPr>
        <w:tc>
          <w:tcPr>
            <w:tcW w:w="129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tcPr>
          <w:p w14:paraId="419F7F6F" w14:textId="77777777" w:rsidR="00C54BC9" w:rsidRPr="00164238" w:rsidRDefault="00C54BC9" w:rsidP="00682CBF">
            <w:pPr>
              <w:contextualSpacing/>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lastRenderedPageBreak/>
              <w:t>Life-Pension Comp.</w:t>
            </w:r>
          </w:p>
        </w:tc>
        <w:tc>
          <w:tcPr>
            <w:tcW w:w="75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1EE8A04A" w14:textId="77777777" w:rsidR="00C54BC9" w:rsidRPr="00164238" w:rsidRDefault="00C54BC9" w:rsidP="00682CBF">
            <w:pPr>
              <w:pStyle w:val="TableFigureHeader"/>
              <w:spacing w:before="0" w:after="0"/>
              <w:textAlignment w:val="bottom"/>
              <w:rPr>
                <w:rFonts w:ascii="Times New Roman" w:eastAsiaTheme="minorEastAsia" w:hAnsi="Times New Roman" w:cs="Times New Roman"/>
                <w:color w:val="000000" w:themeColor="text1"/>
                <w:kern w:val="24"/>
                <w:sz w:val="18"/>
              </w:rPr>
            </w:pPr>
            <w:r w:rsidRPr="00164238">
              <w:rPr>
                <w:rFonts w:ascii="Times New Roman" w:eastAsiaTheme="minorEastAsia" w:hAnsi="Times New Roman" w:cs="Times New Roman"/>
                <w:color w:val="000000" w:themeColor="text1"/>
                <w:kern w:val="24"/>
                <w:sz w:val="18"/>
              </w:rPr>
              <w:t>11,132.0</w:t>
            </w:r>
          </w:p>
        </w:tc>
        <w:tc>
          <w:tcPr>
            <w:tcW w:w="89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5D59FDFD" w14:textId="77777777" w:rsidR="00C54BC9" w:rsidRPr="00164238" w:rsidRDefault="00C54BC9" w:rsidP="00682CBF">
            <w:pPr>
              <w:pStyle w:val="TableFigureHeader"/>
              <w:spacing w:before="0" w:after="0"/>
              <w:textAlignment w:val="bottom"/>
              <w:rPr>
                <w:rFonts w:ascii="Times New Roman" w:eastAsiaTheme="minorEastAsia" w:hAnsi="Times New Roman" w:cs="Times New Roman"/>
                <w:color w:val="000000" w:themeColor="text1"/>
                <w:kern w:val="24"/>
                <w:sz w:val="18"/>
              </w:rPr>
            </w:pPr>
            <w:r w:rsidRPr="00164238">
              <w:rPr>
                <w:rFonts w:ascii="Times New Roman" w:eastAsiaTheme="minorEastAsia" w:hAnsi="Times New Roman" w:cs="Times New Roman"/>
                <w:color w:val="000000" w:themeColor="text1"/>
                <w:kern w:val="24"/>
                <w:sz w:val="18"/>
              </w:rPr>
              <w:t>9,629.3</w:t>
            </w:r>
          </w:p>
        </w:tc>
        <w:tc>
          <w:tcPr>
            <w:tcW w:w="111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6071BB35" w14:textId="77777777" w:rsidR="00C54BC9" w:rsidRPr="00164238" w:rsidRDefault="00C54BC9" w:rsidP="00682CBF">
            <w:pPr>
              <w:pStyle w:val="TableFigureHeader"/>
              <w:spacing w:before="0" w:after="0"/>
              <w:textAlignment w:val="bottom"/>
              <w:rPr>
                <w:rFonts w:ascii="Times New Roman" w:eastAsiaTheme="minorEastAsia" w:hAnsi="Times New Roman" w:cs="Times New Roman"/>
                <w:color w:val="000000" w:themeColor="text1"/>
                <w:kern w:val="24"/>
                <w:sz w:val="18"/>
              </w:rPr>
            </w:pPr>
            <w:r w:rsidRPr="00164238">
              <w:rPr>
                <w:rFonts w:ascii="Times New Roman" w:eastAsiaTheme="minorEastAsia" w:hAnsi="Times New Roman" w:cs="Times New Roman"/>
                <w:color w:val="000000" w:themeColor="text1"/>
                <w:kern w:val="24"/>
                <w:sz w:val="18"/>
              </w:rPr>
              <w:t>15.6%</w:t>
            </w:r>
          </w:p>
        </w:tc>
        <w:tc>
          <w:tcPr>
            <w:tcW w:w="93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0627DA77" w14:textId="77777777" w:rsidR="00C54BC9" w:rsidRPr="00164238" w:rsidRDefault="00C54BC9" w:rsidP="00682CBF">
            <w:pPr>
              <w:pStyle w:val="TableFigureHeader"/>
              <w:spacing w:before="0" w:after="0"/>
              <w:textAlignment w:val="bottom"/>
              <w:rPr>
                <w:rFonts w:ascii="Times New Roman" w:eastAsiaTheme="minorEastAsia" w:hAnsi="Times New Roman" w:cs="Times New Roman"/>
                <w:color w:val="000000" w:themeColor="text1"/>
                <w:kern w:val="24"/>
                <w:sz w:val="18"/>
              </w:rPr>
            </w:pPr>
            <w:r w:rsidRPr="00164238">
              <w:rPr>
                <w:rFonts w:ascii="Times New Roman" w:eastAsiaTheme="minorEastAsia" w:hAnsi="Times New Roman" w:cs="Times New Roman"/>
                <w:color w:val="000000" w:themeColor="text1"/>
                <w:kern w:val="24"/>
                <w:sz w:val="18"/>
              </w:rPr>
              <w:t>0.9%</w:t>
            </w:r>
          </w:p>
        </w:tc>
      </w:tr>
      <w:tr w:rsidR="00164238" w:rsidRPr="00164238" w14:paraId="2C13A83B" w14:textId="77777777" w:rsidTr="00682CBF">
        <w:trPr>
          <w:trHeight w:val="20"/>
        </w:trPr>
        <w:tc>
          <w:tcPr>
            <w:tcW w:w="129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tcPr>
          <w:p w14:paraId="6624127B" w14:textId="77777777" w:rsidR="00C54BC9" w:rsidRPr="00164238" w:rsidRDefault="00C54BC9" w:rsidP="00682CBF">
            <w:pPr>
              <w:contextualSpacing/>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t>Reinsurance Comp.</w:t>
            </w:r>
          </w:p>
        </w:tc>
        <w:tc>
          <w:tcPr>
            <w:tcW w:w="75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10E5F5AB" w14:textId="77777777" w:rsidR="00C54BC9" w:rsidRPr="00164238" w:rsidRDefault="00C54BC9" w:rsidP="00682CBF">
            <w:pPr>
              <w:pStyle w:val="TableFigureHeader"/>
              <w:spacing w:before="0" w:after="0"/>
              <w:textAlignment w:val="bottom"/>
              <w:rPr>
                <w:rFonts w:ascii="Times New Roman" w:eastAsiaTheme="minorEastAsia" w:hAnsi="Times New Roman" w:cs="Times New Roman"/>
                <w:color w:val="000000" w:themeColor="text1"/>
                <w:kern w:val="24"/>
                <w:sz w:val="18"/>
              </w:rPr>
            </w:pPr>
            <w:r w:rsidRPr="00164238">
              <w:rPr>
                <w:rFonts w:ascii="Times New Roman" w:eastAsiaTheme="minorEastAsia" w:hAnsi="Times New Roman" w:cs="Times New Roman"/>
                <w:color w:val="000000" w:themeColor="text1"/>
                <w:kern w:val="24"/>
                <w:sz w:val="18"/>
              </w:rPr>
              <w:t>3,208.4</w:t>
            </w:r>
          </w:p>
        </w:tc>
        <w:tc>
          <w:tcPr>
            <w:tcW w:w="89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610E53B2" w14:textId="77777777" w:rsidR="00C54BC9" w:rsidRPr="00164238" w:rsidRDefault="00C54BC9" w:rsidP="00682CBF">
            <w:pPr>
              <w:pStyle w:val="TableFigureHeader"/>
              <w:spacing w:before="0" w:after="0"/>
              <w:textAlignment w:val="bottom"/>
              <w:rPr>
                <w:rFonts w:ascii="Times New Roman" w:eastAsiaTheme="minorEastAsia" w:hAnsi="Times New Roman" w:cs="Times New Roman"/>
                <w:color w:val="000000" w:themeColor="text1"/>
                <w:kern w:val="24"/>
                <w:sz w:val="18"/>
              </w:rPr>
            </w:pPr>
            <w:r w:rsidRPr="00164238">
              <w:rPr>
                <w:rFonts w:ascii="Times New Roman" w:eastAsiaTheme="minorEastAsia" w:hAnsi="Times New Roman" w:cs="Times New Roman"/>
                <w:color w:val="000000" w:themeColor="text1"/>
                <w:kern w:val="24"/>
                <w:sz w:val="18"/>
              </w:rPr>
              <w:t>2,379.6</w:t>
            </w:r>
          </w:p>
        </w:tc>
        <w:tc>
          <w:tcPr>
            <w:tcW w:w="111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7DADC4CD" w14:textId="77777777" w:rsidR="00C54BC9" w:rsidRPr="00164238" w:rsidRDefault="00C54BC9" w:rsidP="00682CBF">
            <w:pPr>
              <w:pStyle w:val="TableFigureHeader"/>
              <w:spacing w:before="0" w:after="0"/>
              <w:textAlignment w:val="bottom"/>
              <w:rPr>
                <w:rFonts w:ascii="Times New Roman" w:eastAsiaTheme="minorEastAsia" w:hAnsi="Times New Roman" w:cs="Times New Roman"/>
                <w:color w:val="000000" w:themeColor="text1"/>
                <w:kern w:val="24"/>
                <w:sz w:val="18"/>
              </w:rPr>
            </w:pPr>
            <w:r w:rsidRPr="00164238">
              <w:rPr>
                <w:rFonts w:ascii="Times New Roman" w:eastAsiaTheme="minorEastAsia" w:hAnsi="Times New Roman" w:cs="Times New Roman"/>
                <w:color w:val="000000" w:themeColor="text1"/>
                <w:kern w:val="24"/>
                <w:sz w:val="18"/>
              </w:rPr>
              <w:t>34.8%</w:t>
            </w:r>
          </w:p>
        </w:tc>
        <w:tc>
          <w:tcPr>
            <w:tcW w:w="93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0E63F751" w14:textId="77777777" w:rsidR="00C54BC9" w:rsidRPr="00164238" w:rsidRDefault="00C54BC9" w:rsidP="00682CBF">
            <w:pPr>
              <w:pStyle w:val="TableFigureHeader"/>
              <w:spacing w:before="0" w:after="0"/>
              <w:textAlignment w:val="bottom"/>
              <w:rPr>
                <w:rFonts w:ascii="Times New Roman" w:eastAsiaTheme="minorEastAsia" w:hAnsi="Times New Roman" w:cs="Times New Roman"/>
                <w:color w:val="000000" w:themeColor="text1"/>
                <w:kern w:val="24"/>
                <w:sz w:val="18"/>
              </w:rPr>
            </w:pPr>
            <w:r w:rsidRPr="00164238">
              <w:rPr>
                <w:rFonts w:ascii="Times New Roman" w:eastAsiaTheme="minorEastAsia" w:hAnsi="Times New Roman" w:cs="Times New Roman"/>
                <w:color w:val="000000" w:themeColor="text1"/>
                <w:kern w:val="24"/>
                <w:sz w:val="18"/>
              </w:rPr>
              <w:t>17.7%</w:t>
            </w:r>
          </w:p>
        </w:tc>
      </w:tr>
      <w:tr w:rsidR="00164238" w:rsidRPr="00164238" w14:paraId="0772A5D6" w14:textId="77777777" w:rsidTr="00682CBF">
        <w:trPr>
          <w:trHeight w:val="20"/>
        </w:trPr>
        <w:tc>
          <w:tcPr>
            <w:tcW w:w="129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tcPr>
          <w:p w14:paraId="0929B60E" w14:textId="77777777" w:rsidR="00C54BC9" w:rsidRPr="00164238" w:rsidRDefault="00C54BC9" w:rsidP="00682CBF">
            <w:pPr>
              <w:contextualSpacing/>
              <w:rPr>
                <w:rFonts w:ascii="Times New Roman" w:hAnsi="Times New Roman" w:cs="Times New Roman"/>
                <w:color w:val="000000" w:themeColor="text1"/>
                <w:sz w:val="18"/>
              </w:rPr>
            </w:pPr>
            <w:r w:rsidRPr="00164238">
              <w:rPr>
                <w:rFonts w:ascii="Times New Roman" w:hAnsi="Times New Roman" w:cs="Times New Roman"/>
                <w:b/>
                <w:bCs/>
                <w:color w:val="000000" w:themeColor="text1"/>
                <w:sz w:val="18"/>
              </w:rPr>
              <w:t>Total</w:t>
            </w:r>
          </w:p>
        </w:tc>
        <w:tc>
          <w:tcPr>
            <w:tcW w:w="75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2039E9AA" w14:textId="77777777" w:rsidR="00C54BC9" w:rsidRPr="00164238" w:rsidRDefault="00C54BC9" w:rsidP="00682CBF">
            <w:pPr>
              <w:pStyle w:val="TableFigureHeader"/>
              <w:spacing w:before="0" w:after="0"/>
              <w:textAlignment w:val="bottom"/>
              <w:rPr>
                <w:rFonts w:ascii="Times New Roman" w:eastAsiaTheme="minorEastAsia" w:hAnsi="Times New Roman" w:cs="Times New Roman"/>
                <w:b/>
                <w:color w:val="000000" w:themeColor="text1"/>
                <w:kern w:val="24"/>
                <w:sz w:val="18"/>
              </w:rPr>
            </w:pPr>
            <w:r w:rsidRPr="00164238">
              <w:rPr>
                <w:rFonts w:ascii="Times New Roman" w:eastAsiaTheme="minorEastAsia" w:hAnsi="Times New Roman" w:cs="Times New Roman"/>
                <w:b/>
                <w:color w:val="000000" w:themeColor="text1"/>
                <w:kern w:val="24"/>
                <w:sz w:val="18"/>
              </w:rPr>
              <w:t>38,523.9</w:t>
            </w:r>
          </w:p>
        </w:tc>
        <w:tc>
          <w:tcPr>
            <w:tcW w:w="89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68C5E989" w14:textId="77777777" w:rsidR="00C54BC9" w:rsidRPr="00164238" w:rsidRDefault="00C54BC9" w:rsidP="00682CBF">
            <w:pPr>
              <w:pStyle w:val="TableFigureHeader"/>
              <w:spacing w:before="0" w:after="0"/>
              <w:textAlignment w:val="bottom"/>
              <w:rPr>
                <w:rFonts w:ascii="Times New Roman" w:eastAsiaTheme="minorEastAsia" w:hAnsi="Times New Roman" w:cs="Times New Roman"/>
                <w:b/>
                <w:color w:val="000000" w:themeColor="text1"/>
                <w:kern w:val="24"/>
                <w:sz w:val="18"/>
              </w:rPr>
            </w:pPr>
            <w:r w:rsidRPr="00164238">
              <w:rPr>
                <w:rFonts w:ascii="Times New Roman" w:eastAsiaTheme="minorEastAsia" w:hAnsi="Times New Roman" w:cs="Times New Roman"/>
                <w:b/>
                <w:color w:val="000000" w:themeColor="text1"/>
                <w:kern w:val="24"/>
                <w:sz w:val="18"/>
              </w:rPr>
              <w:t>30,816.2</w:t>
            </w:r>
          </w:p>
        </w:tc>
        <w:tc>
          <w:tcPr>
            <w:tcW w:w="111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0B9D1140" w14:textId="77777777" w:rsidR="00C54BC9" w:rsidRPr="00164238" w:rsidRDefault="00C54BC9" w:rsidP="00682CBF">
            <w:pPr>
              <w:pStyle w:val="TableFigureHeader"/>
              <w:spacing w:before="0" w:after="0"/>
              <w:textAlignment w:val="bottom"/>
              <w:rPr>
                <w:rFonts w:ascii="Times New Roman" w:eastAsiaTheme="minorEastAsia" w:hAnsi="Times New Roman" w:cs="Times New Roman"/>
                <w:b/>
                <w:color w:val="000000" w:themeColor="text1"/>
                <w:kern w:val="24"/>
                <w:sz w:val="18"/>
              </w:rPr>
            </w:pPr>
            <w:r w:rsidRPr="00164238">
              <w:rPr>
                <w:rFonts w:ascii="Times New Roman" w:eastAsiaTheme="minorEastAsia" w:hAnsi="Times New Roman" w:cs="Times New Roman"/>
                <w:b/>
                <w:color w:val="000000" w:themeColor="text1"/>
                <w:kern w:val="24"/>
                <w:sz w:val="18"/>
              </w:rPr>
              <w:t>25.0%</w:t>
            </w:r>
          </w:p>
        </w:tc>
        <w:tc>
          <w:tcPr>
            <w:tcW w:w="93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23AB8DFB" w14:textId="77777777" w:rsidR="00C54BC9" w:rsidRPr="00164238" w:rsidRDefault="00C54BC9" w:rsidP="00682CBF">
            <w:pPr>
              <w:pStyle w:val="TableFigureHeader"/>
              <w:spacing w:before="0" w:after="0"/>
              <w:textAlignment w:val="bottom"/>
              <w:rPr>
                <w:rFonts w:ascii="Times New Roman" w:eastAsiaTheme="minorEastAsia" w:hAnsi="Times New Roman" w:cs="Times New Roman"/>
                <w:b/>
                <w:color w:val="000000" w:themeColor="text1"/>
                <w:kern w:val="24"/>
                <w:sz w:val="18"/>
              </w:rPr>
            </w:pPr>
            <w:r w:rsidRPr="00164238">
              <w:rPr>
                <w:rFonts w:ascii="Times New Roman" w:eastAsiaTheme="minorEastAsia" w:hAnsi="Times New Roman" w:cs="Times New Roman"/>
                <w:b/>
                <w:color w:val="000000" w:themeColor="text1"/>
                <w:kern w:val="24"/>
                <w:sz w:val="18"/>
              </w:rPr>
              <w:t>9.1%</w:t>
            </w:r>
          </w:p>
        </w:tc>
      </w:tr>
    </w:tbl>
    <w:p w14:paraId="5450B970" w14:textId="77777777" w:rsidR="00C54BC9" w:rsidRPr="00164238" w:rsidRDefault="00C54BC9" w:rsidP="00C54BC9">
      <w:pPr>
        <w:spacing w:after="120" w:line="276" w:lineRule="auto"/>
        <w:jc w:val="both"/>
        <w:rPr>
          <w:rFonts w:ascii="Times New Roman" w:hAnsi="Times New Roman" w:cs="Times New Roman"/>
          <w:color w:val="000000" w:themeColor="text1"/>
        </w:rPr>
      </w:pPr>
      <w:r w:rsidRPr="00164238">
        <w:rPr>
          <w:rFonts w:ascii="Times New Roman" w:hAnsi="Times New Roman" w:cs="Times New Roman"/>
          <w:i/>
          <w:color w:val="000000" w:themeColor="text1"/>
        </w:rPr>
        <w:t>Source:</w:t>
      </w:r>
      <w:r w:rsidRPr="00164238">
        <w:rPr>
          <w:rFonts w:ascii="Times New Roman" w:hAnsi="Times New Roman" w:cs="Times New Roman"/>
          <w:color w:val="000000" w:themeColor="text1"/>
        </w:rPr>
        <w:t xml:space="preserve"> Insurance Association of Turkey</w:t>
      </w:r>
    </w:p>
    <w:p w14:paraId="37E6EE75" w14:textId="3F4DB096" w:rsidR="00C54BC9" w:rsidRDefault="00C54BC9" w:rsidP="00C54BC9">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While the increase in short-term liabilities and shareholders’ equity is more in reinsurance companies, it is seen in Table 8 that the increase in long-term debts is more in life and pension companies. The distribution of liabilities is given in Table 9 in detail.</w:t>
      </w:r>
    </w:p>
    <w:p w14:paraId="5DF4C926" w14:textId="77777777" w:rsidR="00452A49" w:rsidRPr="00164238" w:rsidRDefault="00452A49" w:rsidP="00C54BC9">
      <w:pPr>
        <w:spacing w:before="120" w:after="120" w:line="276" w:lineRule="auto"/>
        <w:ind w:firstLine="720"/>
        <w:jc w:val="both"/>
        <w:rPr>
          <w:rFonts w:ascii="Times New Roman" w:hAnsi="Times New Roman" w:cs="Times New Roman"/>
          <w:color w:val="000000" w:themeColor="text1"/>
        </w:rPr>
      </w:pPr>
    </w:p>
    <w:p w14:paraId="3156C024" w14:textId="77777777" w:rsidR="00C54BC9" w:rsidRPr="00164238" w:rsidRDefault="00C54BC9" w:rsidP="00C54BC9">
      <w:pPr>
        <w:spacing w:line="276" w:lineRule="auto"/>
        <w:jc w:val="both"/>
        <w:rPr>
          <w:rFonts w:ascii="Times New Roman" w:hAnsi="Times New Roman" w:cs="Times New Roman"/>
          <w:color w:val="000000" w:themeColor="text1"/>
        </w:rPr>
      </w:pPr>
      <w:r w:rsidRPr="00164238">
        <w:rPr>
          <w:rFonts w:ascii="Times New Roman" w:hAnsi="Times New Roman" w:cs="Times New Roman"/>
          <w:i/>
          <w:color w:val="000000" w:themeColor="text1"/>
        </w:rPr>
        <w:t>Table.9.</w:t>
      </w:r>
      <w:r w:rsidRPr="00164238">
        <w:rPr>
          <w:rFonts w:ascii="Times New Roman" w:hAnsi="Times New Roman" w:cs="Times New Roman"/>
          <w:b/>
          <w:bCs/>
          <w:color w:val="000000" w:themeColor="text1"/>
          <w:kern w:val="24"/>
          <w:lang w:eastAsia="tr-TR"/>
        </w:rPr>
        <w:t xml:space="preserve"> </w:t>
      </w:r>
      <w:r w:rsidRPr="00164238">
        <w:rPr>
          <w:rFonts w:ascii="Times New Roman" w:hAnsi="Times New Roman" w:cs="Times New Roman"/>
          <w:bCs/>
          <w:color w:val="000000" w:themeColor="text1"/>
        </w:rPr>
        <w:t>Distribution of Liabilities</w:t>
      </w:r>
    </w:p>
    <w:tbl>
      <w:tblPr>
        <w:tblW w:w="5000" w:type="pct"/>
        <w:tblLayout w:type="fixed"/>
        <w:tblCellMar>
          <w:left w:w="0" w:type="dxa"/>
          <w:right w:w="0" w:type="dxa"/>
        </w:tblCellMar>
        <w:tblLook w:val="0600" w:firstRow="0" w:lastRow="0" w:firstColumn="0" w:lastColumn="0" w:noHBand="1" w:noVBand="1"/>
      </w:tblPr>
      <w:tblGrid>
        <w:gridCol w:w="2870"/>
        <w:gridCol w:w="809"/>
        <w:gridCol w:w="809"/>
        <w:gridCol w:w="993"/>
        <w:gridCol w:w="813"/>
        <w:gridCol w:w="1079"/>
        <w:gridCol w:w="1112"/>
      </w:tblGrid>
      <w:tr w:rsidR="00164238" w:rsidRPr="00164238" w14:paraId="73569A5A" w14:textId="77777777" w:rsidTr="00682CBF">
        <w:trPr>
          <w:trHeight w:val="20"/>
        </w:trPr>
        <w:tc>
          <w:tcPr>
            <w:tcW w:w="1691" w:type="pct"/>
            <w:vMerge w:val="restar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68160369"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b/>
                <w:bCs/>
                <w:color w:val="000000" w:themeColor="text1"/>
                <w:kern w:val="24"/>
                <w:sz w:val="18"/>
                <w:lang w:eastAsia="tr-TR"/>
              </w:rPr>
              <w:t xml:space="preserve">Liabilities </w:t>
            </w:r>
            <w:r w:rsidRPr="00164238">
              <w:rPr>
                <w:rFonts w:ascii="Times New Roman" w:hAnsi="Times New Roman" w:cs="Times New Roman"/>
                <w:color w:val="000000" w:themeColor="text1"/>
                <w:kern w:val="24"/>
                <w:sz w:val="18"/>
                <w:lang w:eastAsia="tr-TR"/>
              </w:rPr>
              <w:t>(Million TRY)</w:t>
            </w:r>
          </w:p>
        </w:tc>
        <w:tc>
          <w:tcPr>
            <w:tcW w:w="2018" w:type="pct"/>
            <w:gridSpan w:val="4"/>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2F8DC749"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b/>
                <w:bCs/>
                <w:color w:val="000000" w:themeColor="text1"/>
                <w:kern w:val="24"/>
                <w:sz w:val="18"/>
                <w:lang w:eastAsia="tr-TR"/>
              </w:rPr>
              <w:t>Total Liabilities</w:t>
            </w:r>
          </w:p>
        </w:tc>
        <w:tc>
          <w:tcPr>
            <w:tcW w:w="1291" w:type="pct"/>
            <w:gridSpan w:val="2"/>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6D2303D3" w14:textId="77777777" w:rsidR="00C54BC9" w:rsidRPr="00164238" w:rsidRDefault="00C54BC9" w:rsidP="00682CBF">
            <w:pPr>
              <w:textAlignment w:val="bottom"/>
              <w:rPr>
                <w:rFonts w:ascii="Times New Roman" w:hAnsi="Times New Roman" w:cs="Times New Roman"/>
                <w:color w:val="000000" w:themeColor="text1"/>
                <w:sz w:val="18"/>
                <w:lang w:eastAsia="tr-TR"/>
              </w:rPr>
            </w:pPr>
            <w:r w:rsidRPr="00164238">
              <w:rPr>
                <w:rFonts w:ascii="Times New Roman" w:hAnsi="Times New Roman" w:cs="Times New Roman"/>
                <w:b/>
                <w:bCs/>
                <w:color w:val="000000" w:themeColor="text1"/>
                <w:kern w:val="24"/>
                <w:sz w:val="18"/>
                <w:lang w:eastAsia="tr-TR"/>
              </w:rPr>
              <w:t>Liabilities Distribution%</w:t>
            </w:r>
          </w:p>
        </w:tc>
      </w:tr>
      <w:tr w:rsidR="00164238" w:rsidRPr="00164238" w14:paraId="6D0E3BA7" w14:textId="77777777" w:rsidTr="00682CBF">
        <w:trPr>
          <w:trHeight w:val="20"/>
        </w:trPr>
        <w:tc>
          <w:tcPr>
            <w:tcW w:w="1691" w:type="pct"/>
            <w:vMerge/>
            <w:tcBorders>
              <w:top w:val="single" w:sz="8" w:space="0" w:color="000000"/>
              <w:left w:val="single" w:sz="8" w:space="0" w:color="000000"/>
              <w:bottom w:val="single" w:sz="8" w:space="0" w:color="000000"/>
              <w:right w:val="single" w:sz="8" w:space="0" w:color="000000"/>
            </w:tcBorders>
            <w:vAlign w:val="center"/>
            <w:hideMark/>
          </w:tcPr>
          <w:p w14:paraId="5C6C73B1" w14:textId="77777777" w:rsidR="00C54BC9" w:rsidRPr="00164238" w:rsidRDefault="00C54BC9" w:rsidP="00682CBF">
            <w:pPr>
              <w:rPr>
                <w:rFonts w:ascii="Times New Roman" w:hAnsi="Times New Roman" w:cs="Times New Roman"/>
                <w:color w:val="000000" w:themeColor="text1"/>
                <w:sz w:val="18"/>
                <w:lang w:eastAsia="tr-TR"/>
              </w:rPr>
            </w:pPr>
          </w:p>
        </w:tc>
        <w:tc>
          <w:tcPr>
            <w:tcW w:w="47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479F3706" w14:textId="77777777" w:rsidR="00C54BC9" w:rsidRPr="00164238" w:rsidRDefault="00C54BC9" w:rsidP="00682CBF">
            <w:pPr>
              <w:jc w:val="center"/>
              <w:textAlignment w:val="bottom"/>
              <w:rPr>
                <w:rFonts w:ascii="Times New Roman" w:hAnsi="Times New Roman" w:cs="Times New Roman"/>
                <w:b/>
                <w:color w:val="000000" w:themeColor="text1"/>
                <w:sz w:val="18"/>
                <w:lang w:eastAsia="tr-TR"/>
              </w:rPr>
            </w:pPr>
            <w:r w:rsidRPr="00164238">
              <w:rPr>
                <w:rFonts w:ascii="Times New Roman" w:hAnsi="Times New Roman" w:cs="Times New Roman"/>
                <w:b/>
                <w:color w:val="000000" w:themeColor="text1"/>
                <w:kern w:val="24"/>
                <w:sz w:val="18"/>
                <w:lang w:eastAsia="tr-TR"/>
              </w:rPr>
              <w:t>2020-12</w:t>
            </w:r>
          </w:p>
        </w:tc>
        <w:tc>
          <w:tcPr>
            <w:tcW w:w="47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420EC655" w14:textId="77777777" w:rsidR="00C54BC9" w:rsidRPr="00164238" w:rsidRDefault="00C54BC9" w:rsidP="00682CBF">
            <w:pPr>
              <w:jc w:val="center"/>
              <w:textAlignment w:val="bottom"/>
              <w:rPr>
                <w:rFonts w:ascii="Times New Roman" w:hAnsi="Times New Roman" w:cs="Times New Roman"/>
                <w:b/>
                <w:color w:val="000000" w:themeColor="text1"/>
                <w:sz w:val="18"/>
                <w:lang w:eastAsia="tr-TR"/>
              </w:rPr>
            </w:pPr>
            <w:r w:rsidRPr="00164238">
              <w:rPr>
                <w:rFonts w:ascii="Times New Roman" w:hAnsi="Times New Roman" w:cs="Times New Roman"/>
                <w:b/>
                <w:color w:val="000000" w:themeColor="text1"/>
                <w:kern w:val="24"/>
                <w:sz w:val="18"/>
                <w:lang w:eastAsia="tr-TR"/>
              </w:rPr>
              <w:t>2019-12</w:t>
            </w:r>
          </w:p>
        </w:tc>
        <w:tc>
          <w:tcPr>
            <w:tcW w:w="58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4BDB8CF6" w14:textId="77777777" w:rsidR="00C54BC9" w:rsidRPr="00164238" w:rsidRDefault="00C54BC9" w:rsidP="00682CBF">
            <w:pPr>
              <w:jc w:val="center"/>
              <w:textAlignment w:val="bottom"/>
              <w:rPr>
                <w:rFonts w:ascii="Times New Roman" w:hAnsi="Times New Roman" w:cs="Times New Roman"/>
                <w:b/>
                <w:color w:val="000000" w:themeColor="text1"/>
                <w:sz w:val="18"/>
                <w:lang w:eastAsia="tr-TR"/>
              </w:rPr>
            </w:pPr>
            <w:r w:rsidRPr="00164238">
              <w:rPr>
                <w:rFonts w:ascii="Times New Roman" w:hAnsi="Times New Roman" w:cs="Times New Roman"/>
                <w:b/>
                <w:color w:val="000000" w:themeColor="text1"/>
                <w:kern w:val="24"/>
                <w:sz w:val="18"/>
                <w:lang w:eastAsia="tr-TR"/>
              </w:rPr>
              <w:t>Nominal%</w:t>
            </w:r>
          </w:p>
        </w:tc>
        <w:tc>
          <w:tcPr>
            <w:tcW w:w="47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40BB8A4A" w14:textId="77777777" w:rsidR="00C54BC9" w:rsidRPr="00164238" w:rsidRDefault="00C54BC9" w:rsidP="00682CBF">
            <w:pPr>
              <w:jc w:val="center"/>
              <w:textAlignment w:val="bottom"/>
              <w:rPr>
                <w:rFonts w:ascii="Times New Roman" w:hAnsi="Times New Roman" w:cs="Times New Roman"/>
                <w:b/>
                <w:color w:val="000000" w:themeColor="text1"/>
                <w:sz w:val="18"/>
                <w:lang w:eastAsia="tr-TR"/>
              </w:rPr>
            </w:pPr>
            <w:r w:rsidRPr="00164238">
              <w:rPr>
                <w:rFonts w:ascii="Times New Roman" w:hAnsi="Times New Roman" w:cs="Times New Roman"/>
                <w:b/>
                <w:color w:val="000000" w:themeColor="text1"/>
                <w:kern w:val="24"/>
                <w:sz w:val="18"/>
                <w:lang w:eastAsia="tr-TR"/>
              </w:rPr>
              <w:t>Real%</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75B51950" w14:textId="77777777" w:rsidR="00C54BC9" w:rsidRPr="00164238" w:rsidRDefault="00C54BC9" w:rsidP="00682CBF">
            <w:pPr>
              <w:jc w:val="center"/>
              <w:textAlignment w:val="bottom"/>
              <w:rPr>
                <w:rFonts w:ascii="Times New Roman" w:hAnsi="Times New Roman" w:cs="Times New Roman"/>
                <w:b/>
                <w:color w:val="000000" w:themeColor="text1"/>
                <w:sz w:val="18"/>
                <w:lang w:eastAsia="tr-TR"/>
              </w:rPr>
            </w:pPr>
            <w:r w:rsidRPr="00164238">
              <w:rPr>
                <w:rFonts w:ascii="Times New Roman" w:hAnsi="Times New Roman" w:cs="Times New Roman"/>
                <w:b/>
                <w:color w:val="000000" w:themeColor="text1"/>
                <w:kern w:val="24"/>
                <w:sz w:val="18"/>
                <w:lang w:eastAsia="tr-TR"/>
              </w:rPr>
              <w:t>2020-12</w:t>
            </w:r>
          </w:p>
        </w:tc>
        <w:tc>
          <w:tcPr>
            <w:tcW w:w="65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3F990980" w14:textId="77777777" w:rsidR="00C54BC9" w:rsidRPr="00164238" w:rsidRDefault="00C54BC9" w:rsidP="00682CBF">
            <w:pPr>
              <w:jc w:val="center"/>
              <w:textAlignment w:val="bottom"/>
              <w:rPr>
                <w:rFonts w:ascii="Times New Roman" w:hAnsi="Times New Roman" w:cs="Times New Roman"/>
                <w:b/>
                <w:color w:val="000000" w:themeColor="text1"/>
                <w:sz w:val="18"/>
                <w:lang w:eastAsia="tr-TR"/>
              </w:rPr>
            </w:pPr>
            <w:r w:rsidRPr="00164238">
              <w:rPr>
                <w:rFonts w:ascii="Times New Roman" w:hAnsi="Times New Roman" w:cs="Times New Roman"/>
                <w:b/>
                <w:color w:val="000000" w:themeColor="text1"/>
                <w:kern w:val="24"/>
                <w:sz w:val="18"/>
                <w:lang w:eastAsia="tr-TR"/>
              </w:rPr>
              <w:t>2019-12</w:t>
            </w:r>
          </w:p>
        </w:tc>
      </w:tr>
      <w:tr w:rsidR="00164238" w:rsidRPr="00164238" w14:paraId="055BC85E" w14:textId="77777777" w:rsidTr="00682CBF">
        <w:trPr>
          <w:trHeight w:val="20"/>
        </w:trPr>
        <w:tc>
          <w:tcPr>
            <w:tcW w:w="1691"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561372CC" w14:textId="77777777" w:rsidR="00C54BC9" w:rsidRPr="00164238" w:rsidRDefault="00C54BC9" w:rsidP="00682CBF">
            <w:pPr>
              <w:textAlignment w:val="bottom"/>
              <w:rPr>
                <w:rFonts w:ascii="Times New Roman" w:hAnsi="Times New Roman" w:cs="Times New Roman"/>
                <w:color w:val="000000" w:themeColor="text1"/>
                <w:sz w:val="18"/>
                <w:lang w:eastAsia="tr-TR"/>
              </w:rPr>
            </w:pPr>
            <w:r w:rsidRPr="00164238">
              <w:rPr>
                <w:rFonts w:ascii="Times New Roman" w:hAnsi="Times New Roman" w:cs="Times New Roman"/>
                <w:b/>
                <w:bCs/>
                <w:color w:val="000000" w:themeColor="text1"/>
                <w:kern w:val="24"/>
                <w:sz w:val="18"/>
                <w:lang w:eastAsia="tr-TR"/>
              </w:rPr>
              <w:t>Payables Due to Main Operations</w:t>
            </w:r>
          </w:p>
        </w:tc>
        <w:tc>
          <w:tcPr>
            <w:tcW w:w="47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4327E323"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179,706</w:t>
            </w:r>
          </w:p>
        </w:tc>
        <w:tc>
          <w:tcPr>
            <w:tcW w:w="47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6C41862F"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134,619</w:t>
            </w:r>
          </w:p>
        </w:tc>
        <w:tc>
          <w:tcPr>
            <w:tcW w:w="58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28C5BC6D"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33.5%</w:t>
            </w:r>
          </w:p>
        </w:tc>
        <w:tc>
          <w:tcPr>
            <w:tcW w:w="47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44DA651C"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16.5%</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0965AFE7"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58.4%</w:t>
            </w:r>
          </w:p>
        </w:tc>
        <w:tc>
          <w:tcPr>
            <w:tcW w:w="65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1D19E465"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56.9%</w:t>
            </w:r>
          </w:p>
        </w:tc>
      </w:tr>
      <w:tr w:rsidR="00164238" w:rsidRPr="00164238" w14:paraId="5C75D1FE" w14:textId="77777777" w:rsidTr="00682CBF">
        <w:trPr>
          <w:trHeight w:val="20"/>
        </w:trPr>
        <w:tc>
          <w:tcPr>
            <w:tcW w:w="1691"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2D22712D" w14:textId="77777777" w:rsidR="00C54BC9" w:rsidRPr="00164238" w:rsidRDefault="00C54BC9" w:rsidP="00682CBF">
            <w:pPr>
              <w:textAlignment w:val="bottom"/>
              <w:rPr>
                <w:rFonts w:ascii="Times New Roman" w:hAnsi="Times New Roman" w:cs="Times New Roman"/>
                <w:color w:val="000000" w:themeColor="text1"/>
                <w:sz w:val="18"/>
                <w:lang w:eastAsia="tr-TR"/>
              </w:rPr>
            </w:pPr>
            <w:r w:rsidRPr="00164238">
              <w:rPr>
                <w:rFonts w:ascii="Times New Roman" w:hAnsi="Times New Roman" w:cs="Times New Roman"/>
                <w:b/>
                <w:bCs/>
                <w:color w:val="000000" w:themeColor="text1"/>
                <w:kern w:val="24"/>
                <w:sz w:val="18"/>
                <w:lang w:eastAsia="tr-TR"/>
              </w:rPr>
              <w:t xml:space="preserve">Technical Provisions </w:t>
            </w:r>
          </w:p>
        </w:tc>
        <w:tc>
          <w:tcPr>
            <w:tcW w:w="47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1D5C9993"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79,847</w:t>
            </w:r>
          </w:p>
        </w:tc>
        <w:tc>
          <w:tcPr>
            <w:tcW w:w="47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047C6829"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63,531</w:t>
            </w:r>
          </w:p>
        </w:tc>
        <w:tc>
          <w:tcPr>
            <w:tcW w:w="58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33B49282"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25.7%</w:t>
            </w:r>
          </w:p>
        </w:tc>
        <w:tc>
          <w:tcPr>
            <w:tcW w:w="47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3165661C"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9.7%</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1A0B14B2"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25.9%</w:t>
            </w:r>
          </w:p>
        </w:tc>
        <w:tc>
          <w:tcPr>
            <w:tcW w:w="65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36259FF2"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26.8%</w:t>
            </w:r>
          </w:p>
        </w:tc>
      </w:tr>
      <w:tr w:rsidR="00164238" w:rsidRPr="00164238" w14:paraId="54BDFC39" w14:textId="77777777" w:rsidTr="00682CBF">
        <w:trPr>
          <w:trHeight w:val="20"/>
        </w:trPr>
        <w:tc>
          <w:tcPr>
            <w:tcW w:w="1691"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2F05D744" w14:textId="77777777" w:rsidR="00C54BC9" w:rsidRPr="00164238" w:rsidRDefault="00C54BC9" w:rsidP="00682CBF">
            <w:pPr>
              <w:textAlignment w:val="bottom"/>
              <w:rPr>
                <w:rFonts w:ascii="Times New Roman" w:hAnsi="Times New Roman" w:cs="Times New Roman"/>
                <w:color w:val="000000" w:themeColor="text1"/>
                <w:sz w:val="18"/>
                <w:lang w:eastAsia="tr-TR"/>
              </w:rPr>
            </w:pPr>
            <w:r w:rsidRPr="00164238">
              <w:rPr>
                <w:rFonts w:ascii="Times New Roman" w:hAnsi="Times New Roman" w:cs="Times New Roman"/>
                <w:b/>
                <w:bCs/>
                <w:color w:val="000000" w:themeColor="text1"/>
                <w:kern w:val="24"/>
                <w:sz w:val="18"/>
                <w:lang w:eastAsia="tr-TR"/>
              </w:rPr>
              <w:t>Shareholders’ Equity</w:t>
            </w:r>
          </w:p>
        </w:tc>
        <w:tc>
          <w:tcPr>
            <w:tcW w:w="47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0E2004F4"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38,523</w:t>
            </w:r>
          </w:p>
        </w:tc>
        <w:tc>
          <w:tcPr>
            <w:tcW w:w="47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7D6AAF6C"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30,816</w:t>
            </w:r>
          </w:p>
        </w:tc>
        <w:tc>
          <w:tcPr>
            <w:tcW w:w="58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00D8B794"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25.0%</w:t>
            </w:r>
          </w:p>
        </w:tc>
        <w:tc>
          <w:tcPr>
            <w:tcW w:w="47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15074744"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9.1%</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5345AC68"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12.5%</w:t>
            </w:r>
          </w:p>
        </w:tc>
        <w:tc>
          <w:tcPr>
            <w:tcW w:w="65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32F3F9AC"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13.0%</w:t>
            </w:r>
          </w:p>
        </w:tc>
      </w:tr>
      <w:tr w:rsidR="00164238" w:rsidRPr="00164238" w14:paraId="377F56DF" w14:textId="77777777" w:rsidTr="00682CBF">
        <w:trPr>
          <w:trHeight w:val="20"/>
        </w:trPr>
        <w:tc>
          <w:tcPr>
            <w:tcW w:w="1691"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1781EE27" w14:textId="77777777" w:rsidR="00C54BC9" w:rsidRPr="00164238" w:rsidRDefault="00C54BC9" w:rsidP="00682CBF">
            <w:pPr>
              <w:textAlignment w:val="bottom"/>
              <w:rPr>
                <w:rFonts w:ascii="Times New Roman" w:hAnsi="Times New Roman" w:cs="Times New Roman"/>
                <w:color w:val="000000" w:themeColor="text1"/>
                <w:sz w:val="18"/>
                <w:lang w:eastAsia="tr-TR"/>
              </w:rPr>
            </w:pPr>
            <w:r w:rsidRPr="00164238">
              <w:rPr>
                <w:rFonts w:ascii="Times New Roman" w:hAnsi="Times New Roman" w:cs="Times New Roman"/>
                <w:b/>
                <w:bCs/>
                <w:color w:val="000000" w:themeColor="text1"/>
                <w:kern w:val="24"/>
                <w:sz w:val="18"/>
                <w:lang w:eastAsia="tr-TR"/>
              </w:rPr>
              <w:t xml:space="preserve">Other </w:t>
            </w:r>
          </w:p>
        </w:tc>
        <w:tc>
          <w:tcPr>
            <w:tcW w:w="47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6E9A00AB"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9,768</w:t>
            </w:r>
          </w:p>
        </w:tc>
        <w:tc>
          <w:tcPr>
            <w:tcW w:w="47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25188A4C"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7,656</w:t>
            </w:r>
          </w:p>
        </w:tc>
        <w:tc>
          <w:tcPr>
            <w:tcW w:w="58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397E47EC"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27.6%</w:t>
            </w:r>
          </w:p>
        </w:tc>
        <w:tc>
          <w:tcPr>
            <w:tcW w:w="47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3C99F90F"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11.3%</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79F4837F"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3.2%</w:t>
            </w:r>
          </w:p>
        </w:tc>
        <w:tc>
          <w:tcPr>
            <w:tcW w:w="65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3465912E"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3.2%</w:t>
            </w:r>
          </w:p>
        </w:tc>
      </w:tr>
      <w:tr w:rsidR="00164238" w:rsidRPr="00164238" w14:paraId="675673AE" w14:textId="77777777" w:rsidTr="00682CBF">
        <w:trPr>
          <w:trHeight w:val="20"/>
        </w:trPr>
        <w:tc>
          <w:tcPr>
            <w:tcW w:w="1691"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2B347597" w14:textId="77777777" w:rsidR="00C54BC9" w:rsidRPr="00164238" w:rsidRDefault="00C54BC9" w:rsidP="00682CBF">
            <w:pPr>
              <w:textAlignment w:val="bottom"/>
              <w:rPr>
                <w:rFonts w:ascii="Times New Roman" w:hAnsi="Times New Roman" w:cs="Times New Roman"/>
                <w:color w:val="000000" w:themeColor="text1"/>
                <w:sz w:val="18"/>
                <w:lang w:eastAsia="tr-TR"/>
              </w:rPr>
            </w:pPr>
            <w:r w:rsidRPr="00164238">
              <w:rPr>
                <w:rFonts w:ascii="Times New Roman" w:hAnsi="Times New Roman" w:cs="Times New Roman"/>
                <w:b/>
                <w:bCs/>
                <w:color w:val="000000" w:themeColor="text1"/>
                <w:kern w:val="24"/>
                <w:sz w:val="18"/>
                <w:lang w:eastAsia="tr-TR"/>
              </w:rPr>
              <w:t xml:space="preserve">Total </w:t>
            </w:r>
          </w:p>
        </w:tc>
        <w:tc>
          <w:tcPr>
            <w:tcW w:w="47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168FEDC3"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b/>
                <w:bCs/>
                <w:color w:val="000000" w:themeColor="text1"/>
                <w:kern w:val="24"/>
                <w:sz w:val="18"/>
                <w:lang w:eastAsia="tr-TR"/>
              </w:rPr>
              <w:t>307,846</w:t>
            </w:r>
          </w:p>
        </w:tc>
        <w:tc>
          <w:tcPr>
            <w:tcW w:w="47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2AA10564"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b/>
                <w:bCs/>
                <w:color w:val="000000" w:themeColor="text1"/>
                <w:kern w:val="24"/>
                <w:sz w:val="18"/>
                <w:lang w:eastAsia="tr-TR"/>
              </w:rPr>
              <w:t>236,624</w:t>
            </w:r>
          </w:p>
        </w:tc>
        <w:tc>
          <w:tcPr>
            <w:tcW w:w="58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7E58A5F7"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b/>
                <w:bCs/>
                <w:color w:val="000000" w:themeColor="text1"/>
                <w:kern w:val="24"/>
                <w:sz w:val="18"/>
                <w:lang w:eastAsia="tr-TR"/>
              </w:rPr>
              <w:t>30.1%</w:t>
            </w:r>
          </w:p>
        </w:tc>
        <w:tc>
          <w:tcPr>
            <w:tcW w:w="47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29E3F05D"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b/>
                <w:bCs/>
                <w:color w:val="000000" w:themeColor="text1"/>
                <w:kern w:val="24"/>
                <w:sz w:val="18"/>
                <w:lang w:eastAsia="tr-TR"/>
              </w:rPr>
              <w:t>13.5%</w:t>
            </w:r>
          </w:p>
        </w:tc>
        <w:tc>
          <w:tcPr>
            <w:tcW w:w="63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2888EE89"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b/>
                <w:bCs/>
                <w:color w:val="000000" w:themeColor="text1"/>
                <w:kern w:val="24"/>
                <w:sz w:val="18"/>
                <w:lang w:eastAsia="tr-TR"/>
              </w:rPr>
              <w:t>100.0%</w:t>
            </w:r>
          </w:p>
        </w:tc>
        <w:tc>
          <w:tcPr>
            <w:tcW w:w="65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2833D3F0"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b/>
                <w:bCs/>
                <w:color w:val="000000" w:themeColor="text1"/>
                <w:kern w:val="24"/>
                <w:sz w:val="18"/>
                <w:lang w:eastAsia="tr-TR"/>
              </w:rPr>
              <w:t>100.0%</w:t>
            </w:r>
          </w:p>
        </w:tc>
      </w:tr>
    </w:tbl>
    <w:p w14:paraId="7AA0BDB6" w14:textId="77777777" w:rsidR="00C54BC9" w:rsidRPr="00164238" w:rsidRDefault="00C54BC9" w:rsidP="00C54BC9">
      <w:pPr>
        <w:spacing w:after="120" w:line="276" w:lineRule="auto"/>
        <w:jc w:val="both"/>
        <w:rPr>
          <w:rFonts w:ascii="Times New Roman" w:hAnsi="Times New Roman" w:cs="Times New Roman"/>
          <w:color w:val="000000" w:themeColor="text1"/>
        </w:rPr>
      </w:pPr>
      <w:r w:rsidRPr="00164238">
        <w:rPr>
          <w:rFonts w:ascii="Times New Roman" w:hAnsi="Times New Roman" w:cs="Times New Roman"/>
          <w:i/>
          <w:color w:val="000000" w:themeColor="text1"/>
        </w:rPr>
        <w:t>Source:</w:t>
      </w:r>
      <w:r w:rsidRPr="00164238">
        <w:rPr>
          <w:rFonts w:ascii="Times New Roman" w:hAnsi="Times New Roman" w:cs="Times New Roman"/>
          <w:color w:val="000000" w:themeColor="text1"/>
        </w:rPr>
        <w:t xml:space="preserve"> Insurance Association of Turkey</w:t>
      </w:r>
    </w:p>
    <w:p w14:paraId="039AF7B7" w14:textId="77777777" w:rsidR="00C54BC9" w:rsidRPr="00164238" w:rsidRDefault="00C54BC9" w:rsidP="00C54BC9">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In Table 9, it is seen that the “Payables Due to Main Operations” account increased by 33% to 179,706 million TRY, and the shareholders’ equity account increased by 25% to 38,523 million TRY. While the share of total debts in total liabilities is 87.5%, the share of shareholders’ equity has decreased to 12.5%.</w:t>
      </w:r>
    </w:p>
    <w:p w14:paraId="6B1DE00D" w14:textId="2131740F" w:rsidR="00C54BC9" w:rsidRDefault="00C54BC9" w:rsidP="00C54BC9">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The technical provisions that non-life insurance companies, life &amp; pension companies and reinsurance companies have to reserve for their liabilities arising from insurance contracts are given in Table 10.</w:t>
      </w:r>
    </w:p>
    <w:p w14:paraId="013E313B" w14:textId="0F32B990" w:rsidR="00E0308F" w:rsidRDefault="00E0308F" w:rsidP="00C54BC9">
      <w:pPr>
        <w:spacing w:before="120" w:after="120" w:line="276" w:lineRule="auto"/>
        <w:ind w:firstLine="720"/>
        <w:jc w:val="both"/>
        <w:rPr>
          <w:rFonts w:ascii="Times New Roman" w:hAnsi="Times New Roman" w:cs="Times New Roman"/>
          <w:color w:val="000000" w:themeColor="text1"/>
        </w:rPr>
      </w:pPr>
    </w:p>
    <w:p w14:paraId="280574C6" w14:textId="1F16C36B" w:rsidR="001E0B0D" w:rsidRDefault="001E0B0D" w:rsidP="00C54BC9">
      <w:pPr>
        <w:spacing w:before="120" w:after="120" w:line="276" w:lineRule="auto"/>
        <w:ind w:firstLine="720"/>
        <w:jc w:val="both"/>
        <w:rPr>
          <w:rFonts w:ascii="Times New Roman" w:hAnsi="Times New Roman" w:cs="Times New Roman"/>
          <w:color w:val="000000" w:themeColor="text1"/>
        </w:rPr>
      </w:pPr>
    </w:p>
    <w:p w14:paraId="4753A09C" w14:textId="374A08D6" w:rsidR="001E0B0D" w:rsidRDefault="001E0B0D" w:rsidP="00C54BC9">
      <w:pPr>
        <w:spacing w:before="120" w:after="120" w:line="276" w:lineRule="auto"/>
        <w:ind w:firstLine="720"/>
        <w:jc w:val="both"/>
        <w:rPr>
          <w:rFonts w:ascii="Times New Roman" w:hAnsi="Times New Roman" w:cs="Times New Roman"/>
          <w:color w:val="000000" w:themeColor="text1"/>
        </w:rPr>
      </w:pPr>
    </w:p>
    <w:p w14:paraId="2E41D05C" w14:textId="2ADBDB06" w:rsidR="001E0B0D" w:rsidRDefault="001E0B0D" w:rsidP="00C54BC9">
      <w:pPr>
        <w:spacing w:before="120" w:after="120" w:line="276" w:lineRule="auto"/>
        <w:ind w:firstLine="720"/>
        <w:jc w:val="both"/>
        <w:rPr>
          <w:rFonts w:ascii="Times New Roman" w:hAnsi="Times New Roman" w:cs="Times New Roman"/>
          <w:color w:val="000000" w:themeColor="text1"/>
        </w:rPr>
      </w:pPr>
    </w:p>
    <w:p w14:paraId="4F6E41AE" w14:textId="125075B9" w:rsidR="001E0B0D" w:rsidRDefault="001E0B0D" w:rsidP="00C54BC9">
      <w:pPr>
        <w:spacing w:before="120" w:after="120" w:line="276" w:lineRule="auto"/>
        <w:ind w:firstLine="720"/>
        <w:jc w:val="both"/>
        <w:rPr>
          <w:rFonts w:ascii="Times New Roman" w:hAnsi="Times New Roman" w:cs="Times New Roman"/>
          <w:color w:val="000000" w:themeColor="text1"/>
        </w:rPr>
      </w:pPr>
    </w:p>
    <w:p w14:paraId="33C107D5" w14:textId="4B2597A3" w:rsidR="001E0B0D" w:rsidRDefault="001E0B0D" w:rsidP="00C54BC9">
      <w:pPr>
        <w:spacing w:before="120" w:after="120" w:line="276" w:lineRule="auto"/>
        <w:ind w:firstLine="720"/>
        <w:jc w:val="both"/>
        <w:rPr>
          <w:rFonts w:ascii="Times New Roman" w:hAnsi="Times New Roman" w:cs="Times New Roman"/>
          <w:color w:val="000000" w:themeColor="text1"/>
        </w:rPr>
      </w:pPr>
    </w:p>
    <w:p w14:paraId="7C372007" w14:textId="7EC5E4BE" w:rsidR="001E0B0D" w:rsidRDefault="001E0B0D" w:rsidP="00C54BC9">
      <w:pPr>
        <w:spacing w:before="120" w:after="120" w:line="276" w:lineRule="auto"/>
        <w:ind w:firstLine="720"/>
        <w:jc w:val="both"/>
        <w:rPr>
          <w:rFonts w:ascii="Times New Roman" w:hAnsi="Times New Roman" w:cs="Times New Roman"/>
          <w:color w:val="000000" w:themeColor="text1"/>
        </w:rPr>
      </w:pPr>
    </w:p>
    <w:p w14:paraId="08E54D88" w14:textId="33AC15E7" w:rsidR="001E0B0D" w:rsidRDefault="001E0B0D" w:rsidP="00C54BC9">
      <w:pPr>
        <w:spacing w:before="120" w:after="120" w:line="276" w:lineRule="auto"/>
        <w:ind w:firstLine="720"/>
        <w:jc w:val="both"/>
        <w:rPr>
          <w:rFonts w:ascii="Times New Roman" w:hAnsi="Times New Roman" w:cs="Times New Roman"/>
          <w:color w:val="000000" w:themeColor="text1"/>
        </w:rPr>
      </w:pPr>
    </w:p>
    <w:p w14:paraId="6BD117DB" w14:textId="77777777" w:rsidR="001E0B0D" w:rsidRDefault="001E0B0D" w:rsidP="00C54BC9">
      <w:pPr>
        <w:spacing w:before="120" w:after="120" w:line="276" w:lineRule="auto"/>
        <w:ind w:firstLine="720"/>
        <w:jc w:val="both"/>
        <w:rPr>
          <w:rFonts w:ascii="Times New Roman" w:hAnsi="Times New Roman" w:cs="Times New Roman"/>
          <w:color w:val="000000" w:themeColor="text1"/>
        </w:rPr>
      </w:pPr>
    </w:p>
    <w:p w14:paraId="742931E1" w14:textId="77777777" w:rsidR="00C54BC9" w:rsidRPr="00164238" w:rsidRDefault="00C54BC9" w:rsidP="00C54BC9">
      <w:pPr>
        <w:spacing w:line="276" w:lineRule="auto"/>
        <w:jc w:val="both"/>
        <w:rPr>
          <w:rFonts w:ascii="Times New Roman" w:hAnsi="Times New Roman" w:cs="Times New Roman"/>
          <w:color w:val="000000" w:themeColor="text1"/>
        </w:rPr>
      </w:pPr>
      <w:r w:rsidRPr="00164238">
        <w:rPr>
          <w:rFonts w:ascii="Times New Roman" w:hAnsi="Times New Roman" w:cs="Times New Roman"/>
          <w:i/>
          <w:color w:val="000000" w:themeColor="text1"/>
        </w:rPr>
        <w:lastRenderedPageBreak/>
        <w:t>Table 10.</w:t>
      </w:r>
      <w:r w:rsidRPr="00164238">
        <w:rPr>
          <w:rFonts w:ascii="Times New Roman" w:hAnsi="Times New Roman" w:cs="Times New Roman"/>
          <w:b/>
          <w:bCs/>
          <w:color w:val="000000" w:themeColor="text1"/>
          <w:kern w:val="24"/>
          <w:lang w:eastAsia="tr-TR"/>
        </w:rPr>
        <w:t xml:space="preserve"> </w:t>
      </w:r>
      <w:r w:rsidRPr="00164238">
        <w:rPr>
          <w:rFonts w:ascii="Times New Roman" w:hAnsi="Times New Roman" w:cs="Times New Roman"/>
          <w:bCs/>
          <w:color w:val="000000" w:themeColor="text1"/>
        </w:rPr>
        <w:t>Distribution of Technical Provisions</w:t>
      </w:r>
    </w:p>
    <w:tbl>
      <w:tblPr>
        <w:tblW w:w="5000" w:type="pct"/>
        <w:tblLayout w:type="fixed"/>
        <w:tblCellMar>
          <w:left w:w="0" w:type="dxa"/>
          <w:right w:w="0" w:type="dxa"/>
        </w:tblCellMar>
        <w:tblLook w:val="0600" w:firstRow="0" w:lastRow="0" w:firstColumn="0" w:lastColumn="0" w:noHBand="1" w:noVBand="1"/>
      </w:tblPr>
      <w:tblGrid>
        <w:gridCol w:w="2960"/>
        <w:gridCol w:w="991"/>
        <w:gridCol w:w="809"/>
        <w:gridCol w:w="991"/>
        <w:gridCol w:w="809"/>
        <w:gridCol w:w="981"/>
        <w:gridCol w:w="944"/>
      </w:tblGrid>
      <w:tr w:rsidR="00164238" w:rsidRPr="00164238" w14:paraId="2C5D45A1" w14:textId="77777777" w:rsidTr="00682CBF">
        <w:trPr>
          <w:trHeight w:val="20"/>
        </w:trPr>
        <w:tc>
          <w:tcPr>
            <w:tcW w:w="1744" w:type="pct"/>
            <w:vMerge w:val="restar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6B6B78F3"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b/>
                <w:bCs/>
                <w:color w:val="000000" w:themeColor="text1"/>
                <w:kern w:val="24"/>
                <w:sz w:val="18"/>
                <w:lang w:eastAsia="tr-TR"/>
              </w:rPr>
              <w:t xml:space="preserve">Technical Provisions </w:t>
            </w:r>
            <w:r w:rsidRPr="00164238">
              <w:rPr>
                <w:rFonts w:ascii="Times New Roman" w:hAnsi="Times New Roman" w:cs="Times New Roman"/>
                <w:color w:val="000000" w:themeColor="text1"/>
                <w:kern w:val="24"/>
                <w:sz w:val="18"/>
                <w:lang w:eastAsia="tr-TR"/>
              </w:rPr>
              <w:t>(mm. TRY)</w:t>
            </w:r>
          </w:p>
        </w:tc>
        <w:tc>
          <w:tcPr>
            <w:tcW w:w="2122" w:type="pct"/>
            <w:gridSpan w:val="4"/>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150BF7FE"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b/>
                <w:bCs/>
                <w:color w:val="000000" w:themeColor="text1"/>
                <w:kern w:val="24"/>
                <w:sz w:val="18"/>
                <w:lang w:eastAsia="tr-TR"/>
              </w:rPr>
              <w:t>Distribution Of Technical Provisions (Net)</w:t>
            </w:r>
          </w:p>
        </w:tc>
        <w:tc>
          <w:tcPr>
            <w:tcW w:w="1134" w:type="pct"/>
            <w:gridSpan w:val="2"/>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07358C8A"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b/>
                <w:bCs/>
                <w:color w:val="000000" w:themeColor="text1"/>
                <w:kern w:val="24"/>
                <w:sz w:val="18"/>
                <w:lang w:eastAsia="tr-TR"/>
              </w:rPr>
              <w:t>Technical Provisions Distribution%</w:t>
            </w:r>
          </w:p>
        </w:tc>
      </w:tr>
      <w:tr w:rsidR="00164238" w:rsidRPr="00164238" w14:paraId="7EBA2FE6" w14:textId="77777777" w:rsidTr="00682CBF">
        <w:trPr>
          <w:trHeight w:val="20"/>
        </w:trPr>
        <w:tc>
          <w:tcPr>
            <w:tcW w:w="1744" w:type="pct"/>
            <w:vMerge/>
            <w:tcBorders>
              <w:top w:val="single" w:sz="8" w:space="0" w:color="000000"/>
              <w:left w:val="single" w:sz="8" w:space="0" w:color="000000"/>
              <w:bottom w:val="single" w:sz="8" w:space="0" w:color="000000"/>
              <w:right w:val="single" w:sz="8" w:space="0" w:color="000000"/>
            </w:tcBorders>
            <w:vAlign w:val="center"/>
            <w:hideMark/>
          </w:tcPr>
          <w:p w14:paraId="1144ED82" w14:textId="77777777" w:rsidR="00C54BC9" w:rsidRPr="00164238" w:rsidRDefault="00C54BC9" w:rsidP="00682CBF">
            <w:pPr>
              <w:rPr>
                <w:rFonts w:ascii="Times New Roman" w:hAnsi="Times New Roman" w:cs="Times New Roman"/>
                <w:color w:val="000000" w:themeColor="text1"/>
                <w:sz w:val="18"/>
                <w:lang w:eastAsia="tr-TR"/>
              </w:rPr>
            </w:pPr>
          </w:p>
        </w:tc>
        <w:tc>
          <w:tcPr>
            <w:tcW w:w="58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1C585AA9" w14:textId="77777777" w:rsidR="00C54BC9" w:rsidRPr="00164238" w:rsidRDefault="00C54BC9" w:rsidP="00682CBF">
            <w:pPr>
              <w:jc w:val="center"/>
              <w:textAlignment w:val="bottom"/>
              <w:rPr>
                <w:rFonts w:ascii="Times New Roman" w:hAnsi="Times New Roman" w:cs="Times New Roman"/>
                <w:b/>
                <w:color w:val="000000" w:themeColor="text1"/>
                <w:sz w:val="18"/>
                <w:lang w:eastAsia="tr-TR"/>
              </w:rPr>
            </w:pPr>
            <w:r w:rsidRPr="00164238">
              <w:rPr>
                <w:rFonts w:ascii="Times New Roman" w:hAnsi="Times New Roman" w:cs="Times New Roman"/>
                <w:b/>
                <w:color w:val="000000" w:themeColor="text1"/>
                <w:kern w:val="24"/>
                <w:sz w:val="18"/>
                <w:lang w:eastAsia="tr-TR"/>
              </w:rPr>
              <w:t>2020-12</w:t>
            </w:r>
          </w:p>
        </w:tc>
        <w:tc>
          <w:tcPr>
            <w:tcW w:w="47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049AD559" w14:textId="77777777" w:rsidR="00C54BC9" w:rsidRPr="00164238" w:rsidRDefault="00C54BC9" w:rsidP="00682CBF">
            <w:pPr>
              <w:jc w:val="center"/>
              <w:textAlignment w:val="bottom"/>
              <w:rPr>
                <w:rFonts w:ascii="Times New Roman" w:hAnsi="Times New Roman" w:cs="Times New Roman"/>
                <w:b/>
                <w:color w:val="000000" w:themeColor="text1"/>
                <w:sz w:val="18"/>
                <w:lang w:eastAsia="tr-TR"/>
              </w:rPr>
            </w:pPr>
            <w:r w:rsidRPr="00164238">
              <w:rPr>
                <w:rFonts w:ascii="Times New Roman" w:hAnsi="Times New Roman" w:cs="Times New Roman"/>
                <w:b/>
                <w:color w:val="000000" w:themeColor="text1"/>
                <w:kern w:val="24"/>
                <w:sz w:val="18"/>
                <w:lang w:eastAsia="tr-TR"/>
              </w:rPr>
              <w:t>2019-12</w:t>
            </w:r>
          </w:p>
        </w:tc>
        <w:tc>
          <w:tcPr>
            <w:tcW w:w="58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42F7638A" w14:textId="77777777" w:rsidR="00C54BC9" w:rsidRPr="00164238" w:rsidRDefault="00C54BC9" w:rsidP="00682CBF">
            <w:pPr>
              <w:jc w:val="center"/>
              <w:textAlignment w:val="bottom"/>
              <w:rPr>
                <w:rFonts w:ascii="Times New Roman" w:hAnsi="Times New Roman" w:cs="Times New Roman"/>
                <w:b/>
                <w:color w:val="000000" w:themeColor="text1"/>
                <w:sz w:val="18"/>
                <w:lang w:eastAsia="tr-TR"/>
              </w:rPr>
            </w:pPr>
            <w:r w:rsidRPr="00164238">
              <w:rPr>
                <w:rFonts w:ascii="Times New Roman" w:hAnsi="Times New Roman" w:cs="Times New Roman"/>
                <w:b/>
                <w:color w:val="000000" w:themeColor="text1"/>
                <w:kern w:val="24"/>
                <w:sz w:val="18"/>
                <w:lang w:eastAsia="tr-TR"/>
              </w:rPr>
              <w:t>Nominal%</w:t>
            </w:r>
          </w:p>
        </w:tc>
        <w:tc>
          <w:tcPr>
            <w:tcW w:w="47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27B2856B" w14:textId="77777777" w:rsidR="00C54BC9" w:rsidRPr="00164238" w:rsidRDefault="00C54BC9" w:rsidP="00682CBF">
            <w:pPr>
              <w:jc w:val="center"/>
              <w:textAlignment w:val="bottom"/>
              <w:rPr>
                <w:rFonts w:ascii="Times New Roman" w:hAnsi="Times New Roman" w:cs="Times New Roman"/>
                <w:b/>
                <w:color w:val="000000" w:themeColor="text1"/>
                <w:sz w:val="18"/>
                <w:lang w:eastAsia="tr-TR"/>
              </w:rPr>
            </w:pPr>
            <w:r w:rsidRPr="00164238">
              <w:rPr>
                <w:rFonts w:ascii="Times New Roman" w:hAnsi="Times New Roman" w:cs="Times New Roman"/>
                <w:b/>
                <w:color w:val="000000" w:themeColor="text1"/>
                <w:kern w:val="24"/>
                <w:sz w:val="18"/>
                <w:lang w:eastAsia="tr-TR"/>
              </w:rPr>
              <w:t>Real%</w:t>
            </w:r>
          </w:p>
        </w:tc>
        <w:tc>
          <w:tcPr>
            <w:tcW w:w="57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06B51D03" w14:textId="77777777" w:rsidR="00C54BC9" w:rsidRPr="00164238" w:rsidRDefault="00C54BC9" w:rsidP="00682CBF">
            <w:pPr>
              <w:jc w:val="center"/>
              <w:textAlignment w:val="bottom"/>
              <w:rPr>
                <w:rFonts w:ascii="Times New Roman" w:hAnsi="Times New Roman" w:cs="Times New Roman"/>
                <w:b/>
                <w:color w:val="000000" w:themeColor="text1"/>
                <w:sz w:val="18"/>
                <w:lang w:eastAsia="tr-TR"/>
              </w:rPr>
            </w:pPr>
            <w:r w:rsidRPr="00164238">
              <w:rPr>
                <w:rFonts w:ascii="Times New Roman" w:hAnsi="Times New Roman" w:cs="Times New Roman"/>
                <w:b/>
                <w:color w:val="000000" w:themeColor="text1"/>
                <w:kern w:val="24"/>
                <w:sz w:val="18"/>
                <w:lang w:eastAsia="tr-TR"/>
              </w:rPr>
              <w:t>2020-12</w:t>
            </w:r>
          </w:p>
        </w:tc>
        <w:tc>
          <w:tcPr>
            <w:tcW w:w="55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6D26A5F9" w14:textId="77777777" w:rsidR="00C54BC9" w:rsidRPr="00164238" w:rsidRDefault="00C54BC9" w:rsidP="00682CBF">
            <w:pPr>
              <w:jc w:val="center"/>
              <w:textAlignment w:val="bottom"/>
              <w:rPr>
                <w:rFonts w:ascii="Times New Roman" w:hAnsi="Times New Roman" w:cs="Times New Roman"/>
                <w:b/>
                <w:color w:val="000000" w:themeColor="text1"/>
                <w:sz w:val="18"/>
                <w:lang w:eastAsia="tr-TR"/>
              </w:rPr>
            </w:pPr>
            <w:r w:rsidRPr="00164238">
              <w:rPr>
                <w:rFonts w:ascii="Times New Roman" w:hAnsi="Times New Roman" w:cs="Times New Roman"/>
                <w:b/>
                <w:color w:val="000000" w:themeColor="text1"/>
                <w:kern w:val="24"/>
                <w:sz w:val="18"/>
                <w:lang w:eastAsia="tr-TR"/>
              </w:rPr>
              <w:t>2019-12</w:t>
            </w:r>
          </w:p>
        </w:tc>
      </w:tr>
      <w:tr w:rsidR="00164238" w:rsidRPr="00164238" w14:paraId="168903A1" w14:textId="77777777" w:rsidTr="00682CBF">
        <w:trPr>
          <w:trHeight w:val="20"/>
        </w:trPr>
        <w:tc>
          <w:tcPr>
            <w:tcW w:w="174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47CC80DE" w14:textId="77777777" w:rsidR="00C54BC9" w:rsidRPr="00164238" w:rsidRDefault="00C54BC9" w:rsidP="00682CBF">
            <w:pPr>
              <w:textAlignment w:val="bottom"/>
              <w:rPr>
                <w:rFonts w:ascii="Times New Roman" w:hAnsi="Times New Roman" w:cs="Times New Roman"/>
                <w:color w:val="000000" w:themeColor="text1"/>
                <w:sz w:val="18"/>
                <w:lang w:eastAsia="tr-TR"/>
              </w:rPr>
            </w:pPr>
            <w:r w:rsidRPr="00164238">
              <w:rPr>
                <w:rFonts w:ascii="Times New Roman" w:hAnsi="Times New Roman" w:cs="Times New Roman"/>
                <w:b/>
                <w:bCs/>
                <w:color w:val="000000" w:themeColor="text1"/>
                <w:kern w:val="24"/>
                <w:sz w:val="18"/>
                <w:lang w:eastAsia="tr-TR"/>
              </w:rPr>
              <w:t>Unearned Premiums Reserve</w:t>
            </w:r>
          </w:p>
        </w:tc>
        <w:tc>
          <w:tcPr>
            <w:tcW w:w="58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0B78974C"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26,127.1</w:t>
            </w:r>
          </w:p>
        </w:tc>
        <w:tc>
          <w:tcPr>
            <w:tcW w:w="47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2C50FF80"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22,218.5</w:t>
            </w:r>
          </w:p>
        </w:tc>
        <w:tc>
          <w:tcPr>
            <w:tcW w:w="58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3A669084"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17.6%</w:t>
            </w:r>
          </w:p>
        </w:tc>
        <w:tc>
          <w:tcPr>
            <w:tcW w:w="47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0BC2E894"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2.6%</w:t>
            </w:r>
          </w:p>
        </w:tc>
        <w:tc>
          <w:tcPr>
            <w:tcW w:w="57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4F613A53"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32.7%</w:t>
            </w:r>
          </w:p>
        </w:tc>
        <w:tc>
          <w:tcPr>
            <w:tcW w:w="55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600763B5"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35.0%</w:t>
            </w:r>
          </w:p>
        </w:tc>
      </w:tr>
      <w:tr w:rsidR="00164238" w:rsidRPr="00164238" w14:paraId="617AA4DE" w14:textId="77777777" w:rsidTr="00682CBF">
        <w:trPr>
          <w:trHeight w:val="20"/>
        </w:trPr>
        <w:tc>
          <w:tcPr>
            <w:tcW w:w="174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215CE80B" w14:textId="77777777" w:rsidR="00C54BC9" w:rsidRPr="00164238" w:rsidRDefault="00C54BC9" w:rsidP="00682CBF">
            <w:pPr>
              <w:textAlignment w:val="bottom"/>
              <w:rPr>
                <w:rFonts w:ascii="Times New Roman" w:hAnsi="Times New Roman" w:cs="Times New Roman"/>
                <w:color w:val="000000" w:themeColor="text1"/>
                <w:sz w:val="18"/>
                <w:lang w:eastAsia="tr-TR"/>
              </w:rPr>
            </w:pPr>
            <w:r w:rsidRPr="00164238">
              <w:rPr>
                <w:rFonts w:ascii="Times New Roman" w:hAnsi="Times New Roman" w:cs="Times New Roman"/>
                <w:b/>
                <w:bCs/>
                <w:color w:val="000000" w:themeColor="text1"/>
                <w:kern w:val="24"/>
                <w:sz w:val="18"/>
                <w:lang w:eastAsia="tr-TR"/>
              </w:rPr>
              <w:t>Additional Unexpired Risk Reserve</w:t>
            </w:r>
          </w:p>
        </w:tc>
        <w:tc>
          <w:tcPr>
            <w:tcW w:w="58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043EBC73"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581.3</w:t>
            </w:r>
          </w:p>
        </w:tc>
        <w:tc>
          <w:tcPr>
            <w:tcW w:w="47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75D04212"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453.7</w:t>
            </w:r>
          </w:p>
        </w:tc>
        <w:tc>
          <w:tcPr>
            <w:tcW w:w="58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51839284"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28.1%</w:t>
            </w:r>
          </w:p>
        </w:tc>
        <w:tc>
          <w:tcPr>
            <w:tcW w:w="47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3F98B409"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11.8%</w:t>
            </w:r>
          </w:p>
        </w:tc>
        <w:tc>
          <w:tcPr>
            <w:tcW w:w="57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603F8E31"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0.7%</w:t>
            </w:r>
          </w:p>
        </w:tc>
        <w:tc>
          <w:tcPr>
            <w:tcW w:w="55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013ECE3D"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0.7%</w:t>
            </w:r>
          </w:p>
        </w:tc>
      </w:tr>
      <w:tr w:rsidR="00164238" w:rsidRPr="00164238" w14:paraId="46533118" w14:textId="77777777" w:rsidTr="00682CBF">
        <w:trPr>
          <w:trHeight w:val="20"/>
        </w:trPr>
        <w:tc>
          <w:tcPr>
            <w:tcW w:w="174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3913C705" w14:textId="77777777" w:rsidR="00C54BC9" w:rsidRPr="00164238" w:rsidRDefault="00C54BC9" w:rsidP="00682CBF">
            <w:pPr>
              <w:textAlignment w:val="bottom"/>
              <w:rPr>
                <w:rFonts w:ascii="Times New Roman" w:hAnsi="Times New Roman" w:cs="Times New Roman"/>
                <w:color w:val="000000" w:themeColor="text1"/>
                <w:sz w:val="18"/>
                <w:lang w:eastAsia="tr-TR"/>
              </w:rPr>
            </w:pPr>
            <w:r w:rsidRPr="00164238">
              <w:rPr>
                <w:rFonts w:ascii="Times New Roman" w:hAnsi="Times New Roman" w:cs="Times New Roman"/>
                <w:b/>
                <w:bCs/>
                <w:color w:val="000000" w:themeColor="text1"/>
                <w:kern w:val="24"/>
                <w:sz w:val="18"/>
                <w:lang w:eastAsia="tr-TR"/>
              </w:rPr>
              <w:t>Profit Loaded Actuarial Reserve</w:t>
            </w:r>
          </w:p>
        </w:tc>
        <w:tc>
          <w:tcPr>
            <w:tcW w:w="58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46C6DF1C"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13,871.3</w:t>
            </w:r>
          </w:p>
        </w:tc>
        <w:tc>
          <w:tcPr>
            <w:tcW w:w="47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566A1C46"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10,054.6</w:t>
            </w:r>
          </w:p>
        </w:tc>
        <w:tc>
          <w:tcPr>
            <w:tcW w:w="58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3FCB80DF"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25.0%</w:t>
            </w:r>
          </w:p>
        </w:tc>
        <w:tc>
          <w:tcPr>
            <w:tcW w:w="47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7D1BC3E0"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20.4%</w:t>
            </w:r>
          </w:p>
        </w:tc>
        <w:tc>
          <w:tcPr>
            <w:tcW w:w="57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2D36528D"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17.4%</w:t>
            </w:r>
          </w:p>
        </w:tc>
        <w:tc>
          <w:tcPr>
            <w:tcW w:w="55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1809AD89"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15.8%</w:t>
            </w:r>
          </w:p>
        </w:tc>
      </w:tr>
      <w:tr w:rsidR="00164238" w:rsidRPr="00164238" w14:paraId="24540F2F" w14:textId="77777777" w:rsidTr="00682CBF">
        <w:trPr>
          <w:trHeight w:val="20"/>
        </w:trPr>
        <w:tc>
          <w:tcPr>
            <w:tcW w:w="174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008F34C6" w14:textId="77777777" w:rsidR="00C54BC9" w:rsidRPr="00164238" w:rsidRDefault="00C54BC9" w:rsidP="00682CBF">
            <w:pPr>
              <w:textAlignment w:val="bottom"/>
              <w:rPr>
                <w:rFonts w:ascii="Times New Roman" w:hAnsi="Times New Roman" w:cs="Times New Roman"/>
                <w:color w:val="000000" w:themeColor="text1"/>
                <w:sz w:val="18"/>
                <w:lang w:eastAsia="tr-TR"/>
              </w:rPr>
            </w:pPr>
            <w:r w:rsidRPr="00164238">
              <w:rPr>
                <w:rFonts w:ascii="Times New Roman" w:hAnsi="Times New Roman" w:cs="Times New Roman"/>
                <w:b/>
                <w:bCs/>
                <w:color w:val="000000" w:themeColor="text1"/>
                <w:kern w:val="24"/>
                <w:sz w:val="18"/>
                <w:lang w:eastAsia="tr-TR"/>
              </w:rPr>
              <w:t>Outstanding Claims Provisions</w:t>
            </w:r>
          </w:p>
        </w:tc>
        <w:tc>
          <w:tcPr>
            <w:tcW w:w="58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10E8353F"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36,325.6</w:t>
            </w:r>
          </w:p>
        </w:tc>
        <w:tc>
          <w:tcPr>
            <w:tcW w:w="47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374F76E6"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28,628.3</w:t>
            </w:r>
          </w:p>
        </w:tc>
        <w:tc>
          <w:tcPr>
            <w:tcW w:w="58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7E911FB1"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26.9%</w:t>
            </w:r>
          </w:p>
        </w:tc>
        <w:tc>
          <w:tcPr>
            <w:tcW w:w="47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2079D26C"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10.7%</w:t>
            </w:r>
          </w:p>
        </w:tc>
        <w:tc>
          <w:tcPr>
            <w:tcW w:w="57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7C8A3C4B"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45.5%</w:t>
            </w:r>
          </w:p>
        </w:tc>
        <w:tc>
          <w:tcPr>
            <w:tcW w:w="55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5E37F8E3"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45.1%</w:t>
            </w:r>
          </w:p>
        </w:tc>
      </w:tr>
      <w:tr w:rsidR="00164238" w:rsidRPr="00164238" w14:paraId="4A42805C" w14:textId="77777777" w:rsidTr="00682CBF">
        <w:trPr>
          <w:trHeight w:val="20"/>
        </w:trPr>
        <w:tc>
          <w:tcPr>
            <w:tcW w:w="174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47D73512" w14:textId="77777777" w:rsidR="00C54BC9" w:rsidRPr="00164238" w:rsidRDefault="00C54BC9" w:rsidP="00682CBF">
            <w:pPr>
              <w:textAlignment w:val="bottom"/>
              <w:rPr>
                <w:rFonts w:ascii="Times New Roman" w:hAnsi="Times New Roman" w:cs="Times New Roman"/>
                <w:color w:val="000000" w:themeColor="text1"/>
                <w:sz w:val="18"/>
                <w:lang w:eastAsia="tr-TR"/>
              </w:rPr>
            </w:pPr>
            <w:r w:rsidRPr="00164238">
              <w:rPr>
                <w:rFonts w:ascii="Times New Roman" w:hAnsi="Times New Roman" w:cs="Times New Roman"/>
                <w:b/>
                <w:bCs/>
                <w:color w:val="000000" w:themeColor="text1"/>
                <w:kern w:val="24"/>
                <w:sz w:val="18"/>
                <w:lang w:eastAsia="tr-TR"/>
              </w:rPr>
              <w:t>Provision for Bonuses and Rebates</w:t>
            </w:r>
          </w:p>
        </w:tc>
        <w:tc>
          <w:tcPr>
            <w:tcW w:w="58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261BD9D1"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336.2</w:t>
            </w:r>
          </w:p>
        </w:tc>
        <w:tc>
          <w:tcPr>
            <w:tcW w:w="47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157FFE72"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102.1</w:t>
            </w:r>
          </w:p>
        </w:tc>
        <w:tc>
          <w:tcPr>
            <w:tcW w:w="58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6A5114E2"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229.3%</w:t>
            </w:r>
          </w:p>
        </w:tc>
        <w:tc>
          <w:tcPr>
            <w:tcW w:w="47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439B0827"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187.3%</w:t>
            </w:r>
          </w:p>
        </w:tc>
        <w:tc>
          <w:tcPr>
            <w:tcW w:w="57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2D94A925"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0.4%</w:t>
            </w:r>
          </w:p>
        </w:tc>
        <w:tc>
          <w:tcPr>
            <w:tcW w:w="55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3B29B646"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0.2%</w:t>
            </w:r>
          </w:p>
        </w:tc>
      </w:tr>
      <w:tr w:rsidR="00164238" w:rsidRPr="00164238" w14:paraId="521AC808" w14:textId="77777777" w:rsidTr="00682CBF">
        <w:trPr>
          <w:trHeight w:val="20"/>
        </w:trPr>
        <w:tc>
          <w:tcPr>
            <w:tcW w:w="174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74431698" w14:textId="77777777" w:rsidR="00C54BC9" w:rsidRPr="00164238" w:rsidRDefault="00C54BC9" w:rsidP="00682CBF">
            <w:pPr>
              <w:textAlignment w:val="bottom"/>
              <w:rPr>
                <w:rFonts w:ascii="Times New Roman" w:hAnsi="Times New Roman" w:cs="Times New Roman"/>
                <w:color w:val="000000" w:themeColor="text1"/>
                <w:sz w:val="18"/>
                <w:lang w:eastAsia="tr-TR"/>
              </w:rPr>
            </w:pPr>
            <w:r w:rsidRPr="00164238">
              <w:rPr>
                <w:rFonts w:ascii="Times New Roman" w:hAnsi="Times New Roman" w:cs="Times New Roman"/>
                <w:b/>
                <w:bCs/>
                <w:color w:val="000000" w:themeColor="text1"/>
                <w:kern w:val="24"/>
                <w:sz w:val="18"/>
                <w:lang w:eastAsia="tr-TR"/>
              </w:rPr>
              <w:t>Other Technical Provisions</w:t>
            </w:r>
          </w:p>
        </w:tc>
        <w:tc>
          <w:tcPr>
            <w:tcW w:w="58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4CC6C8DE"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2,605.7</w:t>
            </w:r>
          </w:p>
        </w:tc>
        <w:tc>
          <w:tcPr>
            <w:tcW w:w="47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0114CC09"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2,074.5</w:t>
            </w:r>
          </w:p>
        </w:tc>
        <w:tc>
          <w:tcPr>
            <w:tcW w:w="58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15E43184"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25.6%</w:t>
            </w:r>
          </w:p>
        </w:tc>
        <w:tc>
          <w:tcPr>
            <w:tcW w:w="47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6E4C49ED"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9.6%</w:t>
            </w:r>
          </w:p>
        </w:tc>
        <w:tc>
          <w:tcPr>
            <w:tcW w:w="57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7FBCFE8B"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3.3%</w:t>
            </w:r>
          </w:p>
        </w:tc>
        <w:tc>
          <w:tcPr>
            <w:tcW w:w="55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107E233E"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color w:val="000000" w:themeColor="text1"/>
                <w:kern w:val="24"/>
                <w:sz w:val="18"/>
                <w:lang w:eastAsia="tr-TR"/>
              </w:rPr>
              <w:t>3.3%</w:t>
            </w:r>
          </w:p>
        </w:tc>
      </w:tr>
      <w:tr w:rsidR="00164238" w:rsidRPr="00164238" w14:paraId="3FFC48D0" w14:textId="77777777" w:rsidTr="00682CBF">
        <w:trPr>
          <w:trHeight w:val="20"/>
        </w:trPr>
        <w:tc>
          <w:tcPr>
            <w:tcW w:w="174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6878B1D2" w14:textId="77777777" w:rsidR="00C54BC9" w:rsidRPr="00164238" w:rsidRDefault="00C54BC9" w:rsidP="00682CBF">
            <w:pPr>
              <w:textAlignment w:val="bottom"/>
              <w:rPr>
                <w:rFonts w:ascii="Times New Roman" w:hAnsi="Times New Roman" w:cs="Times New Roman"/>
                <w:color w:val="000000" w:themeColor="text1"/>
                <w:sz w:val="18"/>
                <w:lang w:eastAsia="tr-TR"/>
              </w:rPr>
            </w:pPr>
            <w:r w:rsidRPr="00164238">
              <w:rPr>
                <w:rFonts w:ascii="Times New Roman" w:hAnsi="Times New Roman" w:cs="Times New Roman"/>
                <w:b/>
                <w:bCs/>
                <w:color w:val="000000" w:themeColor="text1"/>
                <w:kern w:val="24"/>
                <w:sz w:val="18"/>
                <w:lang w:eastAsia="tr-TR"/>
              </w:rPr>
              <w:t>Total</w:t>
            </w:r>
          </w:p>
        </w:tc>
        <w:tc>
          <w:tcPr>
            <w:tcW w:w="58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794ABA19"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b/>
                <w:bCs/>
                <w:color w:val="000000" w:themeColor="text1"/>
                <w:kern w:val="24"/>
                <w:sz w:val="18"/>
                <w:lang w:eastAsia="tr-TR"/>
              </w:rPr>
              <w:t>79,847.2</w:t>
            </w:r>
          </w:p>
        </w:tc>
        <w:tc>
          <w:tcPr>
            <w:tcW w:w="47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42D2581A"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b/>
                <w:bCs/>
                <w:color w:val="000000" w:themeColor="text1"/>
                <w:kern w:val="24"/>
                <w:sz w:val="18"/>
                <w:lang w:eastAsia="tr-TR"/>
              </w:rPr>
              <w:t>63,531.7</w:t>
            </w:r>
          </w:p>
        </w:tc>
        <w:tc>
          <w:tcPr>
            <w:tcW w:w="58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1A8AC393"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b/>
                <w:bCs/>
                <w:color w:val="000000" w:themeColor="text1"/>
                <w:kern w:val="24"/>
                <w:sz w:val="18"/>
                <w:lang w:eastAsia="tr-TR"/>
              </w:rPr>
              <w:t>25.7%</w:t>
            </w:r>
          </w:p>
        </w:tc>
        <w:tc>
          <w:tcPr>
            <w:tcW w:w="477"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587DA7FB"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b/>
                <w:bCs/>
                <w:color w:val="000000" w:themeColor="text1"/>
                <w:kern w:val="24"/>
                <w:sz w:val="18"/>
                <w:lang w:eastAsia="tr-TR"/>
              </w:rPr>
              <w:t>9.7%</w:t>
            </w:r>
          </w:p>
        </w:tc>
        <w:tc>
          <w:tcPr>
            <w:tcW w:w="57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67A23042"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b/>
                <w:bCs/>
                <w:color w:val="000000" w:themeColor="text1"/>
                <w:kern w:val="24"/>
                <w:sz w:val="18"/>
                <w:lang w:eastAsia="tr-TR"/>
              </w:rPr>
              <w:t>100.0%</w:t>
            </w:r>
          </w:p>
        </w:tc>
        <w:tc>
          <w:tcPr>
            <w:tcW w:w="55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54223947" w14:textId="77777777" w:rsidR="00C54BC9" w:rsidRPr="00164238" w:rsidRDefault="00C54BC9" w:rsidP="00682CBF">
            <w:pPr>
              <w:jc w:val="center"/>
              <w:textAlignment w:val="bottom"/>
              <w:rPr>
                <w:rFonts w:ascii="Times New Roman" w:hAnsi="Times New Roman" w:cs="Times New Roman"/>
                <w:color w:val="000000" w:themeColor="text1"/>
                <w:sz w:val="18"/>
                <w:lang w:eastAsia="tr-TR"/>
              </w:rPr>
            </w:pPr>
            <w:r w:rsidRPr="00164238">
              <w:rPr>
                <w:rFonts w:ascii="Times New Roman" w:hAnsi="Times New Roman" w:cs="Times New Roman"/>
                <w:b/>
                <w:bCs/>
                <w:color w:val="000000" w:themeColor="text1"/>
                <w:kern w:val="24"/>
                <w:sz w:val="18"/>
                <w:lang w:eastAsia="tr-TR"/>
              </w:rPr>
              <w:t>100.0%</w:t>
            </w:r>
          </w:p>
        </w:tc>
      </w:tr>
    </w:tbl>
    <w:p w14:paraId="4C821C3E" w14:textId="77777777" w:rsidR="00C54BC9" w:rsidRPr="00164238" w:rsidRDefault="00C54BC9" w:rsidP="00C54BC9">
      <w:pPr>
        <w:spacing w:after="120" w:line="276" w:lineRule="auto"/>
        <w:jc w:val="both"/>
        <w:rPr>
          <w:rFonts w:ascii="Times New Roman" w:hAnsi="Times New Roman" w:cs="Times New Roman"/>
          <w:color w:val="000000" w:themeColor="text1"/>
        </w:rPr>
      </w:pPr>
      <w:r w:rsidRPr="00164238">
        <w:rPr>
          <w:rFonts w:ascii="Times New Roman" w:hAnsi="Times New Roman" w:cs="Times New Roman"/>
          <w:i/>
          <w:color w:val="000000" w:themeColor="text1"/>
        </w:rPr>
        <w:t>Source:</w:t>
      </w:r>
      <w:r w:rsidRPr="00164238">
        <w:rPr>
          <w:rFonts w:ascii="Times New Roman" w:hAnsi="Times New Roman" w:cs="Times New Roman"/>
          <w:color w:val="000000" w:themeColor="text1"/>
        </w:rPr>
        <w:t xml:space="preserve"> Insurance Association of Turkey</w:t>
      </w:r>
    </w:p>
    <w:p w14:paraId="368257B5" w14:textId="77777777" w:rsidR="00C54BC9" w:rsidRPr="00164238" w:rsidRDefault="00C54BC9" w:rsidP="00C54BC9">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While the highest share in technical provisions was the “Outstanding Claims Provisions” with 45.5%, the highest increase was in “Provision for Bonuses and Rebates” account with 230%. The advantages provided by insurance companies to their insureds due to the pandemic has increased the provision for bonuses and rebates account. In particular, in health &amp; sickness insurances, the compensations arising from the treatments which were postponed due to the epidemic by the insureds caused an increase in the outstanding claims provisions account (Allianz, 2020: 38).</w:t>
      </w:r>
    </w:p>
    <w:p w14:paraId="416B84C9" w14:textId="77777777" w:rsidR="00C54BC9" w:rsidRPr="00164238" w:rsidRDefault="00C54BC9" w:rsidP="00C54BC9">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The profitability rates of non-life insurance companies, life &amp; pension companies and reinsurance companies are given in Table 11.</w:t>
      </w:r>
    </w:p>
    <w:p w14:paraId="54D1D82D" w14:textId="77777777" w:rsidR="00C54BC9" w:rsidRPr="00164238" w:rsidRDefault="00C54BC9" w:rsidP="00C54BC9">
      <w:pPr>
        <w:rPr>
          <w:rFonts w:ascii="Times New Roman" w:hAnsi="Times New Roman" w:cs="Times New Roman"/>
          <w:bCs/>
          <w:color w:val="000000" w:themeColor="text1"/>
        </w:rPr>
      </w:pPr>
      <w:r w:rsidRPr="00164238">
        <w:rPr>
          <w:rFonts w:ascii="Times New Roman" w:hAnsi="Times New Roman" w:cs="Times New Roman"/>
          <w:i/>
          <w:color w:val="000000" w:themeColor="text1"/>
        </w:rPr>
        <w:t>Table 11.</w:t>
      </w:r>
      <w:r w:rsidRPr="00164238">
        <w:rPr>
          <w:rFonts w:ascii="Times New Roman" w:hAnsi="Times New Roman" w:cs="Times New Roman"/>
          <w:b/>
          <w:bCs/>
          <w:color w:val="000000" w:themeColor="text1"/>
          <w:kern w:val="24"/>
          <w:lang w:eastAsia="tr-TR"/>
        </w:rPr>
        <w:t xml:space="preserve"> </w:t>
      </w:r>
      <w:r w:rsidRPr="00164238">
        <w:rPr>
          <w:rFonts w:ascii="Times New Roman" w:hAnsi="Times New Roman" w:cs="Times New Roman"/>
          <w:bCs/>
          <w:color w:val="000000" w:themeColor="text1"/>
        </w:rPr>
        <w:t>Profitability of Non-life, Life/Pension, Reinsurance Companies</w:t>
      </w:r>
    </w:p>
    <w:tbl>
      <w:tblPr>
        <w:tblW w:w="5011" w:type="pct"/>
        <w:tblLayout w:type="fixed"/>
        <w:tblCellMar>
          <w:left w:w="0" w:type="dxa"/>
          <w:right w:w="0" w:type="dxa"/>
        </w:tblCellMar>
        <w:tblLook w:val="0600" w:firstRow="0" w:lastRow="0" w:firstColumn="0" w:lastColumn="0" w:noHBand="1" w:noVBand="1"/>
      </w:tblPr>
      <w:tblGrid>
        <w:gridCol w:w="1702"/>
        <w:gridCol w:w="808"/>
        <w:gridCol w:w="721"/>
        <w:gridCol w:w="810"/>
        <w:gridCol w:w="719"/>
        <w:gridCol w:w="740"/>
        <w:gridCol w:w="762"/>
        <w:gridCol w:w="764"/>
        <w:gridCol w:w="702"/>
        <w:gridCol w:w="776"/>
      </w:tblGrid>
      <w:tr w:rsidR="00164238" w:rsidRPr="00164238" w14:paraId="58EDAA93" w14:textId="77777777" w:rsidTr="00682CBF">
        <w:trPr>
          <w:trHeight w:val="20"/>
        </w:trPr>
        <w:tc>
          <w:tcPr>
            <w:tcW w:w="1001" w:type="pct"/>
            <w:vMerge w:val="restart"/>
            <w:tcBorders>
              <w:top w:val="single" w:sz="8" w:space="0" w:color="000000"/>
              <w:left w:val="single" w:sz="8" w:space="0" w:color="000000"/>
              <w:right w:val="single" w:sz="8" w:space="0" w:color="000000"/>
            </w:tcBorders>
            <w:shd w:val="clear" w:color="auto" w:fill="FFFFFF"/>
            <w:tcMar>
              <w:top w:w="10" w:type="dxa"/>
              <w:left w:w="10" w:type="dxa"/>
              <w:bottom w:w="0" w:type="dxa"/>
              <w:right w:w="10" w:type="dxa"/>
            </w:tcMar>
            <w:vAlign w:val="center"/>
          </w:tcPr>
          <w:p w14:paraId="115F294A" w14:textId="77777777" w:rsidR="00C54BC9" w:rsidRPr="00164238" w:rsidRDefault="00C54BC9" w:rsidP="00A40273">
            <w:pPr>
              <w:spacing w:after="120" w:line="240" w:lineRule="auto"/>
              <w:jc w:val="center"/>
              <w:rPr>
                <w:rFonts w:ascii="Times New Roman" w:hAnsi="Times New Roman" w:cs="Times New Roman"/>
                <w:color w:val="000000" w:themeColor="text1"/>
                <w:sz w:val="18"/>
                <w:szCs w:val="18"/>
                <w:lang w:eastAsia="tr-TR"/>
              </w:rPr>
            </w:pPr>
          </w:p>
        </w:tc>
        <w:tc>
          <w:tcPr>
            <w:tcW w:w="1375" w:type="pct"/>
            <w:gridSpan w:val="3"/>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tcPr>
          <w:p w14:paraId="0ABFC7CA" w14:textId="77777777" w:rsidR="00C54BC9" w:rsidRPr="00164238" w:rsidRDefault="00C54BC9" w:rsidP="00A40273">
            <w:pPr>
              <w:spacing w:after="120" w:line="240" w:lineRule="auto"/>
              <w:jc w:val="center"/>
              <w:textAlignment w:val="bottom"/>
              <w:rPr>
                <w:rFonts w:ascii="Times New Roman" w:eastAsiaTheme="minorEastAsia" w:hAnsi="Times New Roman" w:cs="Times New Roman"/>
                <w:b/>
                <w:bCs/>
                <w:color w:val="000000" w:themeColor="text1"/>
                <w:kern w:val="24"/>
                <w:sz w:val="18"/>
                <w:szCs w:val="18"/>
                <w:lang w:eastAsia="tr-TR"/>
              </w:rPr>
            </w:pPr>
            <w:r w:rsidRPr="00164238">
              <w:rPr>
                <w:rFonts w:ascii="Times New Roman" w:eastAsiaTheme="minorEastAsia" w:hAnsi="Times New Roman" w:cs="Times New Roman"/>
                <w:b/>
                <w:bCs/>
                <w:color w:val="000000" w:themeColor="text1"/>
                <w:kern w:val="24"/>
                <w:sz w:val="18"/>
                <w:szCs w:val="18"/>
                <w:lang w:eastAsia="tr-TR"/>
              </w:rPr>
              <w:t>Non-Life Companies</w:t>
            </w:r>
          </w:p>
        </w:tc>
        <w:tc>
          <w:tcPr>
            <w:tcW w:w="1306" w:type="pct"/>
            <w:gridSpan w:val="3"/>
            <w:tcBorders>
              <w:top w:val="single" w:sz="8" w:space="0" w:color="000000"/>
              <w:left w:val="single" w:sz="8" w:space="0" w:color="000000"/>
              <w:bottom w:val="single" w:sz="8" w:space="0" w:color="000000"/>
              <w:right w:val="single" w:sz="8" w:space="0" w:color="000000"/>
            </w:tcBorders>
            <w:shd w:val="clear" w:color="auto" w:fill="FFFFFF"/>
            <w:vAlign w:val="center"/>
          </w:tcPr>
          <w:p w14:paraId="7A6043EE" w14:textId="77777777" w:rsidR="00C54BC9" w:rsidRPr="00164238" w:rsidRDefault="00C54BC9" w:rsidP="00A40273">
            <w:pPr>
              <w:pStyle w:val="TableFigureHeader"/>
              <w:spacing w:before="0" w:after="120"/>
              <w:rPr>
                <w:rFonts w:ascii="Times New Roman" w:hAnsi="Times New Roman" w:cs="Times New Roman"/>
                <w:b/>
                <w:bCs/>
                <w:color w:val="000000" w:themeColor="text1"/>
                <w:kern w:val="24"/>
                <w:sz w:val="18"/>
                <w:szCs w:val="18"/>
              </w:rPr>
            </w:pPr>
            <w:r w:rsidRPr="00164238">
              <w:rPr>
                <w:rFonts w:ascii="Times New Roman" w:hAnsi="Times New Roman" w:cs="Times New Roman"/>
                <w:b/>
                <w:bCs/>
                <w:color w:val="000000" w:themeColor="text1"/>
                <w:kern w:val="24"/>
                <w:sz w:val="18"/>
                <w:szCs w:val="18"/>
              </w:rPr>
              <w:t>Life/Pension Companies</w:t>
            </w:r>
          </w:p>
        </w:tc>
        <w:tc>
          <w:tcPr>
            <w:tcW w:w="1318" w:type="pct"/>
            <w:gridSpan w:val="3"/>
            <w:tcBorders>
              <w:top w:val="single" w:sz="8" w:space="0" w:color="000000"/>
              <w:left w:val="single" w:sz="8" w:space="0" w:color="000000"/>
              <w:bottom w:val="single" w:sz="8" w:space="0" w:color="000000"/>
              <w:right w:val="single" w:sz="8" w:space="0" w:color="000000"/>
            </w:tcBorders>
            <w:shd w:val="clear" w:color="auto" w:fill="FFFFFF"/>
            <w:vAlign w:val="center"/>
          </w:tcPr>
          <w:p w14:paraId="5A1B0077" w14:textId="77777777" w:rsidR="00C54BC9" w:rsidRPr="00164238" w:rsidRDefault="00C54BC9" w:rsidP="00A40273">
            <w:pPr>
              <w:pStyle w:val="TableFigureHeader"/>
              <w:spacing w:before="0" w:after="120"/>
              <w:rPr>
                <w:rFonts w:ascii="Times New Roman" w:eastAsiaTheme="minorEastAsia" w:hAnsi="Times New Roman" w:cs="Times New Roman"/>
                <w:b/>
                <w:bCs/>
                <w:color w:val="000000" w:themeColor="text1"/>
                <w:kern w:val="24"/>
                <w:sz w:val="18"/>
                <w:szCs w:val="18"/>
              </w:rPr>
            </w:pPr>
            <w:r w:rsidRPr="00164238">
              <w:rPr>
                <w:rFonts w:ascii="Times New Roman" w:eastAsiaTheme="minorEastAsia" w:hAnsi="Times New Roman" w:cs="Times New Roman"/>
                <w:b/>
                <w:bCs/>
                <w:color w:val="000000" w:themeColor="text1"/>
                <w:kern w:val="24"/>
                <w:sz w:val="18"/>
                <w:szCs w:val="18"/>
              </w:rPr>
              <w:t>Reinsurance</w:t>
            </w:r>
            <w:r w:rsidRPr="00164238">
              <w:rPr>
                <w:rFonts w:ascii="Times New Roman" w:hAnsi="Times New Roman" w:cs="Times New Roman"/>
                <w:b/>
                <w:bCs/>
                <w:color w:val="000000" w:themeColor="text1"/>
                <w:kern w:val="24"/>
                <w:sz w:val="18"/>
                <w:szCs w:val="18"/>
              </w:rPr>
              <w:t xml:space="preserve"> Companies</w:t>
            </w:r>
          </w:p>
        </w:tc>
      </w:tr>
      <w:tr w:rsidR="00164238" w:rsidRPr="00164238" w14:paraId="320A2B58" w14:textId="77777777" w:rsidTr="00682CBF">
        <w:trPr>
          <w:trHeight w:val="20"/>
        </w:trPr>
        <w:tc>
          <w:tcPr>
            <w:tcW w:w="1001" w:type="pct"/>
            <w:vMerge/>
            <w:tcBorders>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30B59EF9" w14:textId="77777777" w:rsidR="00C54BC9" w:rsidRPr="00164238" w:rsidRDefault="00C54BC9" w:rsidP="00A40273">
            <w:pPr>
              <w:spacing w:after="120" w:line="240" w:lineRule="auto"/>
              <w:jc w:val="center"/>
              <w:rPr>
                <w:rFonts w:ascii="Times New Roman" w:hAnsi="Times New Roman" w:cs="Times New Roman"/>
                <w:color w:val="000000" w:themeColor="text1"/>
                <w:sz w:val="18"/>
                <w:szCs w:val="18"/>
                <w:lang w:eastAsia="tr-TR"/>
              </w:rPr>
            </w:pPr>
          </w:p>
        </w:tc>
        <w:tc>
          <w:tcPr>
            <w:tcW w:w="47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42A07A91"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b/>
                <w:bCs/>
                <w:color w:val="000000" w:themeColor="text1"/>
                <w:kern w:val="24"/>
                <w:sz w:val="18"/>
                <w:szCs w:val="18"/>
                <w:lang w:eastAsia="tr-TR"/>
              </w:rPr>
              <w:t>2020-12</w:t>
            </w:r>
          </w:p>
          <w:p w14:paraId="218AEACA" w14:textId="77777777" w:rsidR="00C54BC9" w:rsidRPr="00164238" w:rsidRDefault="00C54BC9" w:rsidP="00A40273">
            <w:pPr>
              <w:spacing w:after="120" w:line="240" w:lineRule="auto"/>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mmTRY</w:t>
            </w:r>
          </w:p>
        </w:tc>
        <w:tc>
          <w:tcPr>
            <w:tcW w:w="42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695E0040"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b/>
                <w:bCs/>
                <w:color w:val="000000" w:themeColor="text1"/>
                <w:kern w:val="24"/>
                <w:sz w:val="18"/>
                <w:szCs w:val="18"/>
                <w:lang w:eastAsia="tr-TR"/>
              </w:rPr>
              <w:t>2019-12</w:t>
            </w:r>
          </w:p>
          <w:p w14:paraId="563C9248"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mmTRY</w:t>
            </w:r>
          </w:p>
        </w:tc>
        <w:tc>
          <w:tcPr>
            <w:tcW w:w="47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6CC4B7BC"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eastAsiaTheme="minorEastAsia" w:hAnsi="Times New Roman" w:cs="Times New Roman"/>
                <w:b/>
                <w:bCs/>
                <w:color w:val="000000" w:themeColor="text1"/>
                <w:kern w:val="24"/>
                <w:sz w:val="18"/>
                <w:szCs w:val="18"/>
                <w:lang w:eastAsia="tr-TR"/>
              </w:rPr>
              <w:t>Nominal</w:t>
            </w:r>
          </w:p>
        </w:tc>
        <w:tc>
          <w:tcPr>
            <w:tcW w:w="423"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51C9907F"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b/>
                <w:bCs/>
                <w:color w:val="000000" w:themeColor="text1"/>
                <w:kern w:val="24"/>
                <w:sz w:val="18"/>
                <w:szCs w:val="18"/>
              </w:rPr>
              <w:t>2020-12</w:t>
            </w:r>
          </w:p>
          <w:p w14:paraId="3CB932E0"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mmTRY</w:t>
            </w:r>
          </w:p>
        </w:tc>
        <w:tc>
          <w:tcPr>
            <w:tcW w:w="435"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27E193F1"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b/>
                <w:bCs/>
                <w:color w:val="000000" w:themeColor="text1"/>
                <w:kern w:val="24"/>
                <w:sz w:val="18"/>
                <w:szCs w:val="18"/>
              </w:rPr>
              <w:t>2019-12</w:t>
            </w:r>
          </w:p>
          <w:p w14:paraId="13F552DB"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mmTRY</w:t>
            </w:r>
          </w:p>
        </w:tc>
        <w:tc>
          <w:tcPr>
            <w:tcW w:w="448"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457847EB"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b/>
                <w:bCs/>
                <w:color w:val="000000" w:themeColor="text1"/>
                <w:kern w:val="24"/>
                <w:sz w:val="18"/>
                <w:szCs w:val="18"/>
              </w:rPr>
              <w:t>Nominal</w:t>
            </w:r>
          </w:p>
        </w:tc>
        <w:tc>
          <w:tcPr>
            <w:tcW w:w="449"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326BCA3A"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b/>
                <w:bCs/>
                <w:color w:val="000000" w:themeColor="text1"/>
                <w:kern w:val="24"/>
                <w:sz w:val="18"/>
                <w:szCs w:val="18"/>
              </w:rPr>
              <w:t>2020-12</w:t>
            </w:r>
          </w:p>
          <w:p w14:paraId="6C39F453"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mmTRY</w:t>
            </w:r>
          </w:p>
        </w:tc>
        <w:tc>
          <w:tcPr>
            <w:tcW w:w="413"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065F0B84"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b/>
                <w:bCs/>
                <w:color w:val="000000" w:themeColor="text1"/>
                <w:kern w:val="24"/>
                <w:sz w:val="18"/>
                <w:szCs w:val="18"/>
              </w:rPr>
              <w:t>2019-12</w:t>
            </w:r>
          </w:p>
          <w:p w14:paraId="07498812"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mmTRY</w:t>
            </w:r>
          </w:p>
        </w:tc>
        <w:tc>
          <w:tcPr>
            <w:tcW w:w="456"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2AF5C819"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eastAsiaTheme="minorEastAsia" w:hAnsi="Times New Roman" w:cs="Times New Roman"/>
                <w:b/>
                <w:bCs/>
                <w:color w:val="000000" w:themeColor="text1"/>
                <w:kern w:val="24"/>
                <w:sz w:val="18"/>
                <w:szCs w:val="18"/>
              </w:rPr>
              <w:t>Nominal</w:t>
            </w:r>
          </w:p>
        </w:tc>
      </w:tr>
      <w:tr w:rsidR="00164238" w:rsidRPr="00164238" w14:paraId="7AD3E7F9" w14:textId="77777777" w:rsidTr="00682CBF">
        <w:trPr>
          <w:trHeight w:val="20"/>
        </w:trPr>
        <w:tc>
          <w:tcPr>
            <w:tcW w:w="1001"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4B2D94A7"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bCs/>
                <w:color w:val="000000" w:themeColor="text1"/>
                <w:kern w:val="24"/>
                <w:sz w:val="18"/>
                <w:szCs w:val="18"/>
                <w:lang w:eastAsia="tr-TR"/>
              </w:rPr>
              <w:t>Total Premium</w:t>
            </w:r>
          </w:p>
        </w:tc>
        <w:tc>
          <w:tcPr>
            <w:tcW w:w="47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2EACA1A9"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65,451</w:t>
            </w:r>
          </w:p>
        </w:tc>
        <w:tc>
          <w:tcPr>
            <w:tcW w:w="42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2FC2A5D0"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55,452</w:t>
            </w:r>
          </w:p>
        </w:tc>
        <w:tc>
          <w:tcPr>
            <w:tcW w:w="47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595FF919"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18.0%</w:t>
            </w:r>
          </w:p>
        </w:tc>
        <w:tc>
          <w:tcPr>
            <w:tcW w:w="423"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51E41A6F"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17,132</w:t>
            </w:r>
          </w:p>
        </w:tc>
        <w:tc>
          <w:tcPr>
            <w:tcW w:w="435"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36D6F2CF"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13,802</w:t>
            </w:r>
          </w:p>
        </w:tc>
        <w:tc>
          <w:tcPr>
            <w:tcW w:w="448"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6F2DCAE9"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24.1%</w:t>
            </w:r>
          </w:p>
        </w:tc>
        <w:tc>
          <w:tcPr>
            <w:tcW w:w="449"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4ACE3312"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3,023</w:t>
            </w:r>
          </w:p>
        </w:tc>
        <w:tc>
          <w:tcPr>
            <w:tcW w:w="413"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638A1F11"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1,753</w:t>
            </w:r>
          </w:p>
        </w:tc>
        <w:tc>
          <w:tcPr>
            <w:tcW w:w="456"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44D6ADBC"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72.4%</w:t>
            </w:r>
          </w:p>
        </w:tc>
      </w:tr>
      <w:tr w:rsidR="00164238" w:rsidRPr="00164238" w14:paraId="222E77D9" w14:textId="77777777" w:rsidTr="00682CBF">
        <w:trPr>
          <w:trHeight w:val="20"/>
        </w:trPr>
        <w:tc>
          <w:tcPr>
            <w:tcW w:w="1001"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2E774421"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bCs/>
                <w:color w:val="000000" w:themeColor="text1"/>
                <w:kern w:val="24"/>
                <w:sz w:val="18"/>
                <w:szCs w:val="18"/>
                <w:lang w:eastAsia="tr-TR"/>
              </w:rPr>
              <w:t>Technical Profit</w:t>
            </w:r>
          </w:p>
        </w:tc>
        <w:tc>
          <w:tcPr>
            <w:tcW w:w="47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307D6574"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7,532</w:t>
            </w:r>
          </w:p>
        </w:tc>
        <w:tc>
          <w:tcPr>
            <w:tcW w:w="42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55A9E736"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4,666</w:t>
            </w:r>
          </w:p>
        </w:tc>
        <w:tc>
          <w:tcPr>
            <w:tcW w:w="47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7217D4D0"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61.4%</w:t>
            </w:r>
          </w:p>
        </w:tc>
        <w:tc>
          <w:tcPr>
            <w:tcW w:w="423"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174C135F"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3,733</w:t>
            </w:r>
          </w:p>
        </w:tc>
        <w:tc>
          <w:tcPr>
            <w:tcW w:w="435"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5C8FD4E3"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3,080</w:t>
            </w:r>
          </w:p>
        </w:tc>
        <w:tc>
          <w:tcPr>
            <w:tcW w:w="448"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14E6FD35"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21.2%</w:t>
            </w:r>
          </w:p>
        </w:tc>
        <w:tc>
          <w:tcPr>
            <w:tcW w:w="449"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7C8C8D94"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156.7</w:t>
            </w:r>
          </w:p>
        </w:tc>
        <w:tc>
          <w:tcPr>
            <w:tcW w:w="413"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372050DD"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79.3</w:t>
            </w:r>
          </w:p>
        </w:tc>
        <w:tc>
          <w:tcPr>
            <w:tcW w:w="456"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6DCB0FEA"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97.5%</w:t>
            </w:r>
          </w:p>
        </w:tc>
      </w:tr>
      <w:tr w:rsidR="00164238" w:rsidRPr="00164238" w14:paraId="119E656B" w14:textId="77777777" w:rsidTr="00682CBF">
        <w:trPr>
          <w:trHeight w:val="20"/>
        </w:trPr>
        <w:tc>
          <w:tcPr>
            <w:tcW w:w="1001"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6BB892C6"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b/>
                <w:bCs/>
                <w:color w:val="000000" w:themeColor="text1"/>
                <w:kern w:val="24"/>
                <w:sz w:val="18"/>
                <w:szCs w:val="18"/>
                <w:lang w:eastAsia="tr-TR"/>
              </w:rPr>
              <w:t>Technical Profitability</w:t>
            </w:r>
          </w:p>
        </w:tc>
        <w:tc>
          <w:tcPr>
            <w:tcW w:w="47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22E3B90E"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b/>
                <w:bCs/>
                <w:color w:val="000000" w:themeColor="text1"/>
                <w:kern w:val="24"/>
                <w:sz w:val="18"/>
                <w:szCs w:val="18"/>
                <w:lang w:eastAsia="tr-TR"/>
              </w:rPr>
              <w:t>11.5%</w:t>
            </w:r>
          </w:p>
        </w:tc>
        <w:tc>
          <w:tcPr>
            <w:tcW w:w="42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153F2322"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8.4%</w:t>
            </w:r>
          </w:p>
        </w:tc>
        <w:tc>
          <w:tcPr>
            <w:tcW w:w="47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3233890C"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p>
        </w:tc>
        <w:tc>
          <w:tcPr>
            <w:tcW w:w="423"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7E1D65F3" w14:textId="77777777" w:rsidR="00C54BC9" w:rsidRPr="00164238" w:rsidRDefault="00C54BC9" w:rsidP="00A40273">
            <w:pPr>
              <w:pStyle w:val="TableFigureHeader"/>
              <w:spacing w:before="0" w:after="120"/>
              <w:textAlignment w:val="bottom"/>
              <w:rPr>
                <w:rFonts w:ascii="Times New Roman" w:hAnsi="Times New Roman" w:cs="Times New Roman"/>
                <w:b/>
                <w:color w:val="000000" w:themeColor="text1"/>
                <w:sz w:val="18"/>
                <w:szCs w:val="18"/>
              </w:rPr>
            </w:pPr>
            <w:r w:rsidRPr="00164238">
              <w:rPr>
                <w:rFonts w:ascii="Times New Roman" w:hAnsi="Times New Roman" w:cs="Times New Roman"/>
                <w:b/>
                <w:color w:val="000000" w:themeColor="text1"/>
                <w:kern w:val="24"/>
                <w:sz w:val="18"/>
                <w:szCs w:val="18"/>
              </w:rPr>
              <w:t>21.8%</w:t>
            </w:r>
          </w:p>
        </w:tc>
        <w:tc>
          <w:tcPr>
            <w:tcW w:w="435"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48DD1E40"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22.3%</w:t>
            </w:r>
          </w:p>
        </w:tc>
        <w:tc>
          <w:tcPr>
            <w:tcW w:w="448"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65DE6A92"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p>
        </w:tc>
        <w:tc>
          <w:tcPr>
            <w:tcW w:w="449"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20AB3D68"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b/>
                <w:bCs/>
                <w:color w:val="000000" w:themeColor="text1"/>
                <w:kern w:val="24"/>
                <w:sz w:val="18"/>
                <w:szCs w:val="18"/>
              </w:rPr>
              <w:t>5.2%</w:t>
            </w:r>
          </w:p>
        </w:tc>
        <w:tc>
          <w:tcPr>
            <w:tcW w:w="413"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645F7481"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4.5%</w:t>
            </w:r>
          </w:p>
        </w:tc>
        <w:tc>
          <w:tcPr>
            <w:tcW w:w="456"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3D055BC5"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p>
        </w:tc>
      </w:tr>
      <w:tr w:rsidR="00164238" w:rsidRPr="00164238" w14:paraId="131FE250" w14:textId="77777777" w:rsidTr="00682CBF">
        <w:trPr>
          <w:trHeight w:val="20"/>
        </w:trPr>
        <w:tc>
          <w:tcPr>
            <w:tcW w:w="1001"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04A56CFA"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bCs/>
                <w:color w:val="000000" w:themeColor="text1"/>
                <w:kern w:val="24"/>
                <w:sz w:val="18"/>
                <w:szCs w:val="18"/>
                <w:lang w:eastAsia="tr-TR"/>
              </w:rPr>
              <w:t>Earned Premium</w:t>
            </w:r>
          </w:p>
        </w:tc>
        <w:tc>
          <w:tcPr>
            <w:tcW w:w="47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595261A6"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57,077</w:t>
            </w:r>
          </w:p>
        </w:tc>
        <w:tc>
          <w:tcPr>
            <w:tcW w:w="42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48790B4D"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49,006</w:t>
            </w:r>
          </w:p>
        </w:tc>
        <w:tc>
          <w:tcPr>
            <w:tcW w:w="47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66B35553"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16.5%</w:t>
            </w:r>
          </w:p>
        </w:tc>
        <w:tc>
          <w:tcPr>
            <w:tcW w:w="423"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08DD2E84"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16,913.7</w:t>
            </w:r>
          </w:p>
        </w:tc>
        <w:tc>
          <w:tcPr>
            <w:tcW w:w="435"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284E3DDE"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13,173.9</w:t>
            </w:r>
          </w:p>
        </w:tc>
        <w:tc>
          <w:tcPr>
            <w:tcW w:w="448"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5CA8452A"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28.4%</w:t>
            </w:r>
          </w:p>
        </w:tc>
        <w:tc>
          <w:tcPr>
            <w:tcW w:w="449"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3E723C17"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2,499.6</w:t>
            </w:r>
          </w:p>
        </w:tc>
        <w:tc>
          <w:tcPr>
            <w:tcW w:w="413"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3F782468"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1,572.2</w:t>
            </w:r>
          </w:p>
        </w:tc>
        <w:tc>
          <w:tcPr>
            <w:tcW w:w="456"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7F1992C1"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59.0%</w:t>
            </w:r>
          </w:p>
        </w:tc>
      </w:tr>
      <w:tr w:rsidR="00164238" w:rsidRPr="00164238" w14:paraId="523AB04B" w14:textId="77777777" w:rsidTr="00682CBF">
        <w:trPr>
          <w:trHeight w:val="20"/>
        </w:trPr>
        <w:tc>
          <w:tcPr>
            <w:tcW w:w="1001"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4939D5A1"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bCs/>
                <w:color w:val="000000" w:themeColor="text1"/>
                <w:kern w:val="24"/>
                <w:sz w:val="18"/>
                <w:szCs w:val="18"/>
                <w:lang w:eastAsia="tr-TR"/>
              </w:rPr>
              <w:t>Claims Incurred</w:t>
            </w:r>
          </w:p>
        </w:tc>
        <w:tc>
          <w:tcPr>
            <w:tcW w:w="47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4AC54EAA"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(38,074)</w:t>
            </w:r>
          </w:p>
        </w:tc>
        <w:tc>
          <w:tcPr>
            <w:tcW w:w="42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0E67AD0C"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(34,604)</w:t>
            </w:r>
          </w:p>
        </w:tc>
        <w:tc>
          <w:tcPr>
            <w:tcW w:w="47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3A665E4E"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10.0%</w:t>
            </w:r>
          </w:p>
        </w:tc>
        <w:tc>
          <w:tcPr>
            <w:tcW w:w="423"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043CB1FA"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(5,977.2)</w:t>
            </w:r>
          </w:p>
        </w:tc>
        <w:tc>
          <w:tcPr>
            <w:tcW w:w="435"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27847CEB"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(4,962)</w:t>
            </w:r>
          </w:p>
        </w:tc>
        <w:tc>
          <w:tcPr>
            <w:tcW w:w="448"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20B90696"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20.5%</w:t>
            </w:r>
          </w:p>
        </w:tc>
        <w:tc>
          <w:tcPr>
            <w:tcW w:w="449"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753E5958"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(1,754.6)</w:t>
            </w:r>
          </w:p>
        </w:tc>
        <w:tc>
          <w:tcPr>
            <w:tcW w:w="413"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73F66F4A"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(1,284)</w:t>
            </w:r>
          </w:p>
        </w:tc>
        <w:tc>
          <w:tcPr>
            <w:tcW w:w="456"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5018607E"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36.6%</w:t>
            </w:r>
          </w:p>
        </w:tc>
      </w:tr>
      <w:tr w:rsidR="00164238" w:rsidRPr="00164238" w14:paraId="76BE0491" w14:textId="77777777" w:rsidTr="00682CBF">
        <w:trPr>
          <w:trHeight w:val="20"/>
        </w:trPr>
        <w:tc>
          <w:tcPr>
            <w:tcW w:w="1001"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308A0404" w14:textId="77777777" w:rsidR="00C54BC9" w:rsidRPr="00164238" w:rsidRDefault="00C54BC9" w:rsidP="00A40273">
            <w:pPr>
              <w:spacing w:after="120" w:line="240" w:lineRule="auto"/>
              <w:jc w:val="center"/>
              <w:textAlignment w:val="bottom"/>
              <w:rPr>
                <w:rFonts w:ascii="Times New Roman" w:hAnsi="Times New Roman" w:cs="Times New Roman"/>
                <w:b/>
                <w:bCs/>
                <w:color w:val="000000" w:themeColor="text1"/>
                <w:kern w:val="24"/>
                <w:sz w:val="18"/>
                <w:szCs w:val="18"/>
                <w:lang w:eastAsia="tr-TR"/>
              </w:rPr>
            </w:pPr>
            <w:r w:rsidRPr="00164238">
              <w:rPr>
                <w:rFonts w:ascii="Times New Roman" w:hAnsi="Times New Roman" w:cs="Times New Roman"/>
                <w:b/>
                <w:bCs/>
                <w:color w:val="000000" w:themeColor="text1"/>
                <w:kern w:val="24"/>
                <w:sz w:val="18"/>
                <w:szCs w:val="18"/>
                <w:lang w:eastAsia="tr-TR"/>
              </w:rPr>
              <w:t xml:space="preserve">Claim </w:t>
            </w:r>
          </w:p>
          <w:p w14:paraId="39C8CDF8"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b/>
                <w:bCs/>
                <w:color w:val="000000" w:themeColor="text1"/>
                <w:kern w:val="24"/>
                <w:sz w:val="18"/>
                <w:szCs w:val="18"/>
                <w:lang w:eastAsia="tr-TR"/>
              </w:rPr>
              <w:t>Ratio</w:t>
            </w:r>
          </w:p>
        </w:tc>
        <w:tc>
          <w:tcPr>
            <w:tcW w:w="47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679265A1"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b/>
                <w:bCs/>
                <w:color w:val="000000" w:themeColor="text1"/>
                <w:kern w:val="24"/>
                <w:sz w:val="18"/>
                <w:szCs w:val="18"/>
                <w:lang w:eastAsia="tr-TR"/>
              </w:rPr>
              <w:t>66.7%</w:t>
            </w:r>
          </w:p>
        </w:tc>
        <w:tc>
          <w:tcPr>
            <w:tcW w:w="42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7651B6B7"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70.6%</w:t>
            </w:r>
          </w:p>
        </w:tc>
        <w:tc>
          <w:tcPr>
            <w:tcW w:w="47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37DB7388"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p>
        </w:tc>
        <w:tc>
          <w:tcPr>
            <w:tcW w:w="423"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78EBF55B"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b/>
                <w:bCs/>
                <w:color w:val="000000" w:themeColor="text1"/>
                <w:kern w:val="24"/>
                <w:sz w:val="18"/>
                <w:szCs w:val="18"/>
              </w:rPr>
              <w:t>35.3%</w:t>
            </w:r>
          </w:p>
        </w:tc>
        <w:tc>
          <w:tcPr>
            <w:tcW w:w="435"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0F3092CE"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37.7%</w:t>
            </w:r>
          </w:p>
        </w:tc>
        <w:tc>
          <w:tcPr>
            <w:tcW w:w="448"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557CAE4B"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p>
        </w:tc>
        <w:tc>
          <w:tcPr>
            <w:tcW w:w="449"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2B375BB3"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b/>
                <w:bCs/>
                <w:color w:val="000000" w:themeColor="text1"/>
                <w:kern w:val="24"/>
                <w:sz w:val="18"/>
                <w:szCs w:val="18"/>
              </w:rPr>
              <w:t>70.2%</w:t>
            </w:r>
          </w:p>
        </w:tc>
        <w:tc>
          <w:tcPr>
            <w:tcW w:w="413"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05C59D73"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81.7%</w:t>
            </w:r>
          </w:p>
        </w:tc>
        <w:tc>
          <w:tcPr>
            <w:tcW w:w="456"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0935F9D5"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p>
        </w:tc>
      </w:tr>
      <w:tr w:rsidR="00164238" w:rsidRPr="00164238" w14:paraId="52F9F507" w14:textId="77777777" w:rsidTr="00682CBF">
        <w:trPr>
          <w:trHeight w:val="20"/>
        </w:trPr>
        <w:tc>
          <w:tcPr>
            <w:tcW w:w="1001"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72C2249C"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bCs/>
                <w:color w:val="000000" w:themeColor="text1"/>
                <w:kern w:val="24"/>
                <w:sz w:val="18"/>
                <w:szCs w:val="18"/>
                <w:lang w:eastAsia="tr-TR"/>
              </w:rPr>
              <w:t>Financial Profit</w:t>
            </w:r>
          </w:p>
        </w:tc>
        <w:tc>
          <w:tcPr>
            <w:tcW w:w="47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1D037148"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87.0</w:t>
            </w:r>
          </w:p>
        </w:tc>
        <w:tc>
          <w:tcPr>
            <w:tcW w:w="42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281D8D55"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600.5</w:t>
            </w:r>
          </w:p>
        </w:tc>
        <w:tc>
          <w:tcPr>
            <w:tcW w:w="47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10C3B5DF"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-85.5%</w:t>
            </w:r>
          </w:p>
        </w:tc>
        <w:tc>
          <w:tcPr>
            <w:tcW w:w="423"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3F24E422"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1,546.5</w:t>
            </w:r>
          </w:p>
        </w:tc>
        <w:tc>
          <w:tcPr>
            <w:tcW w:w="435"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0550C811"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1,687.7</w:t>
            </w:r>
          </w:p>
        </w:tc>
        <w:tc>
          <w:tcPr>
            <w:tcW w:w="448"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0717F43E"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-8.4%</w:t>
            </w:r>
          </w:p>
        </w:tc>
        <w:tc>
          <w:tcPr>
            <w:tcW w:w="449"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3D01AD9D"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351.4</w:t>
            </w:r>
          </w:p>
        </w:tc>
        <w:tc>
          <w:tcPr>
            <w:tcW w:w="413"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046E37A1"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282.2</w:t>
            </w:r>
          </w:p>
        </w:tc>
        <w:tc>
          <w:tcPr>
            <w:tcW w:w="456"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1358DBEE"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bCs/>
                <w:color w:val="000000" w:themeColor="text1"/>
                <w:kern w:val="24"/>
                <w:sz w:val="18"/>
                <w:szCs w:val="18"/>
              </w:rPr>
              <w:t>24.5%</w:t>
            </w:r>
          </w:p>
        </w:tc>
      </w:tr>
      <w:tr w:rsidR="00164238" w:rsidRPr="00164238" w14:paraId="77BA304D" w14:textId="77777777" w:rsidTr="00682CBF">
        <w:trPr>
          <w:trHeight w:val="20"/>
        </w:trPr>
        <w:tc>
          <w:tcPr>
            <w:tcW w:w="1001"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5A39F6E4"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b/>
                <w:bCs/>
                <w:color w:val="000000" w:themeColor="text1"/>
                <w:kern w:val="24"/>
                <w:sz w:val="18"/>
                <w:szCs w:val="18"/>
                <w:lang w:eastAsia="tr-TR"/>
              </w:rPr>
              <w:t>Financial Profitability</w:t>
            </w:r>
          </w:p>
        </w:tc>
        <w:tc>
          <w:tcPr>
            <w:tcW w:w="47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7CC17180" w14:textId="77777777" w:rsidR="00C54BC9" w:rsidRPr="00164238" w:rsidRDefault="00C54BC9" w:rsidP="00A40273">
            <w:pPr>
              <w:spacing w:after="120" w:line="240" w:lineRule="auto"/>
              <w:jc w:val="center"/>
              <w:textAlignment w:val="bottom"/>
              <w:rPr>
                <w:rFonts w:ascii="Times New Roman" w:hAnsi="Times New Roman" w:cs="Times New Roman"/>
                <w:b/>
                <w:color w:val="000000" w:themeColor="text1"/>
                <w:sz w:val="18"/>
                <w:szCs w:val="18"/>
                <w:lang w:eastAsia="tr-TR"/>
              </w:rPr>
            </w:pPr>
            <w:r w:rsidRPr="00164238">
              <w:rPr>
                <w:rFonts w:ascii="Times New Roman" w:hAnsi="Times New Roman" w:cs="Times New Roman"/>
                <w:b/>
                <w:color w:val="000000" w:themeColor="text1"/>
                <w:kern w:val="24"/>
                <w:sz w:val="18"/>
                <w:szCs w:val="18"/>
                <w:lang w:eastAsia="tr-TR"/>
              </w:rPr>
              <w:t>0.1%</w:t>
            </w:r>
          </w:p>
        </w:tc>
        <w:tc>
          <w:tcPr>
            <w:tcW w:w="42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242C3230"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1.0%</w:t>
            </w:r>
          </w:p>
        </w:tc>
        <w:tc>
          <w:tcPr>
            <w:tcW w:w="47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4E8E2A7C" w14:textId="77777777" w:rsidR="00C54BC9" w:rsidRPr="00164238" w:rsidRDefault="00C54BC9" w:rsidP="00A40273">
            <w:pPr>
              <w:spacing w:after="120" w:line="240" w:lineRule="auto"/>
              <w:jc w:val="center"/>
              <w:rPr>
                <w:rFonts w:ascii="Times New Roman" w:hAnsi="Times New Roman" w:cs="Times New Roman"/>
                <w:color w:val="000000" w:themeColor="text1"/>
                <w:sz w:val="18"/>
                <w:szCs w:val="18"/>
                <w:lang w:eastAsia="tr-TR"/>
              </w:rPr>
            </w:pPr>
          </w:p>
        </w:tc>
        <w:tc>
          <w:tcPr>
            <w:tcW w:w="423"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3F00C917" w14:textId="77777777" w:rsidR="00C54BC9" w:rsidRPr="00164238" w:rsidRDefault="00C54BC9" w:rsidP="00A40273">
            <w:pPr>
              <w:pStyle w:val="TableFigureHeader"/>
              <w:spacing w:before="0" w:after="120"/>
              <w:textAlignment w:val="bottom"/>
              <w:rPr>
                <w:rFonts w:ascii="Times New Roman" w:hAnsi="Times New Roman" w:cs="Times New Roman"/>
                <w:b/>
                <w:color w:val="000000" w:themeColor="text1"/>
                <w:sz w:val="18"/>
                <w:szCs w:val="18"/>
              </w:rPr>
            </w:pPr>
            <w:r w:rsidRPr="00164238">
              <w:rPr>
                <w:rFonts w:ascii="Times New Roman" w:hAnsi="Times New Roman" w:cs="Times New Roman"/>
                <w:b/>
                <w:color w:val="000000" w:themeColor="text1"/>
                <w:kern w:val="24"/>
                <w:sz w:val="18"/>
                <w:szCs w:val="18"/>
              </w:rPr>
              <w:t>9.0%</w:t>
            </w:r>
          </w:p>
        </w:tc>
        <w:tc>
          <w:tcPr>
            <w:tcW w:w="435"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1C2F3C5E"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12.2%</w:t>
            </w:r>
          </w:p>
        </w:tc>
        <w:tc>
          <w:tcPr>
            <w:tcW w:w="448"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5B2BA0CA"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p>
        </w:tc>
        <w:tc>
          <w:tcPr>
            <w:tcW w:w="449"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33C43987" w14:textId="77777777" w:rsidR="00C54BC9" w:rsidRPr="00164238" w:rsidRDefault="00C54BC9" w:rsidP="00A40273">
            <w:pPr>
              <w:pStyle w:val="TableFigureHeader"/>
              <w:spacing w:before="0" w:after="120"/>
              <w:textAlignment w:val="bottom"/>
              <w:rPr>
                <w:rFonts w:ascii="Times New Roman" w:hAnsi="Times New Roman" w:cs="Times New Roman"/>
                <w:b/>
                <w:color w:val="000000" w:themeColor="text1"/>
                <w:sz w:val="18"/>
                <w:szCs w:val="18"/>
              </w:rPr>
            </w:pPr>
            <w:r w:rsidRPr="00164238">
              <w:rPr>
                <w:rFonts w:ascii="Times New Roman" w:hAnsi="Times New Roman" w:cs="Times New Roman"/>
                <w:b/>
                <w:color w:val="000000" w:themeColor="text1"/>
                <w:kern w:val="24"/>
                <w:sz w:val="18"/>
                <w:szCs w:val="18"/>
              </w:rPr>
              <w:t>11.6%</w:t>
            </w:r>
          </w:p>
        </w:tc>
        <w:tc>
          <w:tcPr>
            <w:tcW w:w="413"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09DFC936"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16.1%</w:t>
            </w:r>
          </w:p>
        </w:tc>
        <w:tc>
          <w:tcPr>
            <w:tcW w:w="456"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6936D5EF" w14:textId="77777777" w:rsidR="00C54BC9" w:rsidRPr="00164238" w:rsidRDefault="00C54BC9" w:rsidP="00A40273">
            <w:pPr>
              <w:spacing w:after="120" w:line="240" w:lineRule="auto"/>
              <w:jc w:val="center"/>
              <w:rPr>
                <w:rFonts w:ascii="Times New Roman" w:hAnsi="Times New Roman" w:cs="Times New Roman"/>
                <w:color w:val="000000" w:themeColor="text1"/>
                <w:sz w:val="18"/>
                <w:szCs w:val="18"/>
              </w:rPr>
            </w:pPr>
          </w:p>
        </w:tc>
      </w:tr>
      <w:tr w:rsidR="00164238" w:rsidRPr="00164238" w14:paraId="5ACBE19D" w14:textId="77777777" w:rsidTr="00682CBF">
        <w:trPr>
          <w:trHeight w:val="20"/>
        </w:trPr>
        <w:tc>
          <w:tcPr>
            <w:tcW w:w="1001"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3CDBEB31"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bCs/>
                <w:color w:val="000000" w:themeColor="text1"/>
                <w:kern w:val="24"/>
                <w:sz w:val="18"/>
                <w:szCs w:val="18"/>
                <w:lang w:eastAsia="tr-TR"/>
              </w:rPr>
              <w:lastRenderedPageBreak/>
              <w:t xml:space="preserve">Balance Sheet Profit </w:t>
            </w:r>
          </w:p>
        </w:tc>
        <w:tc>
          <w:tcPr>
            <w:tcW w:w="47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5BDA7BF5"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5,971.2</w:t>
            </w:r>
          </w:p>
        </w:tc>
        <w:tc>
          <w:tcPr>
            <w:tcW w:w="42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67D258F1"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3,778.8</w:t>
            </w:r>
          </w:p>
        </w:tc>
        <w:tc>
          <w:tcPr>
            <w:tcW w:w="47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0BAB07D2"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58.0%</w:t>
            </w:r>
          </w:p>
        </w:tc>
        <w:tc>
          <w:tcPr>
            <w:tcW w:w="423"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3B57B6D7"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4,083.8</w:t>
            </w:r>
          </w:p>
        </w:tc>
        <w:tc>
          <w:tcPr>
            <w:tcW w:w="435"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2F0E2EBF"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3,637.5</w:t>
            </w:r>
          </w:p>
        </w:tc>
        <w:tc>
          <w:tcPr>
            <w:tcW w:w="448"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4E242AA8"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12.3%</w:t>
            </w:r>
          </w:p>
        </w:tc>
        <w:tc>
          <w:tcPr>
            <w:tcW w:w="449"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5C853DA1"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450.1</w:t>
            </w:r>
          </w:p>
        </w:tc>
        <w:tc>
          <w:tcPr>
            <w:tcW w:w="413"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7E9A3814"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321.7</w:t>
            </w:r>
          </w:p>
        </w:tc>
        <w:tc>
          <w:tcPr>
            <w:tcW w:w="456"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7D665B5C"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39.9%</w:t>
            </w:r>
          </w:p>
        </w:tc>
      </w:tr>
      <w:tr w:rsidR="00164238" w:rsidRPr="00164238" w14:paraId="1E0F082A" w14:textId="77777777" w:rsidTr="00682CBF">
        <w:trPr>
          <w:trHeight w:val="20"/>
        </w:trPr>
        <w:tc>
          <w:tcPr>
            <w:tcW w:w="1001"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5A9B345A"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b/>
                <w:bCs/>
                <w:color w:val="000000" w:themeColor="text1"/>
                <w:kern w:val="24"/>
                <w:sz w:val="18"/>
                <w:szCs w:val="18"/>
                <w:lang w:eastAsia="tr-TR"/>
              </w:rPr>
              <w:t>Balance Sheet Profitability</w:t>
            </w:r>
          </w:p>
        </w:tc>
        <w:tc>
          <w:tcPr>
            <w:tcW w:w="47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0F344541"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b/>
                <w:bCs/>
                <w:color w:val="000000" w:themeColor="text1"/>
                <w:kern w:val="24"/>
                <w:sz w:val="18"/>
                <w:szCs w:val="18"/>
                <w:lang w:eastAsia="tr-TR"/>
              </w:rPr>
              <w:t>9.1%</w:t>
            </w:r>
          </w:p>
        </w:tc>
        <w:tc>
          <w:tcPr>
            <w:tcW w:w="42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635178F2"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6.8%</w:t>
            </w:r>
          </w:p>
        </w:tc>
        <w:tc>
          <w:tcPr>
            <w:tcW w:w="47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4799CDCE" w14:textId="77777777" w:rsidR="00C54BC9" w:rsidRPr="00164238" w:rsidRDefault="00C54BC9" w:rsidP="00A40273">
            <w:pPr>
              <w:spacing w:after="120" w:line="240" w:lineRule="auto"/>
              <w:jc w:val="center"/>
              <w:rPr>
                <w:rFonts w:ascii="Times New Roman" w:hAnsi="Times New Roman" w:cs="Times New Roman"/>
                <w:color w:val="000000" w:themeColor="text1"/>
                <w:sz w:val="18"/>
                <w:szCs w:val="18"/>
                <w:lang w:eastAsia="tr-TR"/>
              </w:rPr>
            </w:pPr>
          </w:p>
        </w:tc>
        <w:tc>
          <w:tcPr>
            <w:tcW w:w="423"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72793545" w14:textId="77777777" w:rsidR="00C54BC9" w:rsidRPr="00164238" w:rsidRDefault="00C54BC9" w:rsidP="00A40273">
            <w:pPr>
              <w:pStyle w:val="TableFigureHeader"/>
              <w:spacing w:before="0" w:after="120"/>
              <w:textAlignment w:val="bottom"/>
              <w:rPr>
                <w:rFonts w:ascii="Times New Roman" w:hAnsi="Times New Roman" w:cs="Times New Roman"/>
                <w:b/>
                <w:color w:val="000000" w:themeColor="text1"/>
                <w:sz w:val="18"/>
                <w:szCs w:val="18"/>
              </w:rPr>
            </w:pPr>
            <w:r w:rsidRPr="00164238">
              <w:rPr>
                <w:rFonts w:ascii="Times New Roman" w:hAnsi="Times New Roman" w:cs="Times New Roman"/>
                <w:b/>
                <w:color w:val="000000" w:themeColor="text1"/>
                <w:kern w:val="24"/>
                <w:sz w:val="18"/>
                <w:szCs w:val="18"/>
              </w:rPr>
              <w:t>23.8%</w:t>
            </w:r>
          </w:p>
        </w:tc>
        <w:tc>
          <w:tcPr>
            <w:tcW w:w="435"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2EFD8550"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26.4%</w:t>
            </w:r>
          </w:p>
        </w:tc>
        <w:tc>
          <w:tcPr>
            <w:tcW w:w="448"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4EF0219B" w14:textId="77777777" w:rsidR="00C54BC9" w:rsidRPr="00164238" w:rsidRDefault="00C54BC9" w:rsidP="00A40273">
            <w:pPr>
              <w:spacing w:after="120" w:line="240" w:lineRule="auto"/>
              <w:jc w:val="center"/>
              <w:rPr>
                <w:rFonts w:ascii="Times New Roman" w:hAnsi="Times New Roman" w:cs="Times New Roman"/>
                <w:color w:val="000000" w:themeColor="text1"/>
                <w:sz w:val="18"/>
                <w:szCs w:val="18"/>
              </w:rPr>
            </w:pPr>
          </w:p>
        </w:tc>
        <w:tc>
          <w:tcPr>
            <w:tcW w:w="449"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6D462573" w14:textId="77777777" w:rsidR="00C54BC9" w:rsidRPr="00164238" w:rsidRDefault="00C54BC9" w:rsidP="00A40273">
            <w:pPr>
              <w:pStyle w:val="TableFigureHeader"/>
              <w:spacing w:before="0" w:after="120"/>
              <w:textAlignment w:val="bottom"/>
              <w:rPr>
                <w:rFonts w:ascii="Times New Roman" w:hAnsi="Times New Roman" w:cs="Times New Roman"/>
                <w:b/>
                <w:color w:val="000000" w:themeColor="text1"/>
                <w:sz w:val="18"/>
                <w:szCs w:val="18"/>
              </w:rPr>
            </w:pPr>
            <w:r w:rsidRPr="00164238">
              <w:rPr>
                <w:rFonts w:ascii="Times New Roman" w:hAnsi="Times New Roman" w:cs="Times New Roman"/>
                <w:b/>
                <w:color w:val="000000" w:themeColor="text1"/>
                <w:kern w:val="24"/>
                <w:sz w:val="18"/>
                <w:szCs w:val="18"/>
              </w:rPr>
              <w:t>14.9%</w:t>
            </w:r>
          </w:p>
        </w:tc>
        <w:tc>
          <w:tcPr>
            <w:tcW w:w="413"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3717AD6E"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18.4%</w:t>
            </w:r>
          </w:p>
        </w:tc>
        <w:tc>
          <w:tcPr>
            <w:tcW w:w="456"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22652A28" w14:textId="77777777" w:rsidR="00C54BC9" w:rsidRPr="00164238" w:rsidRDefault="00C54BC9" w:rsidP="00A40273">
            <w:pPr>
              <w:spacing w:after="120" w:line="240" w:lineRule="auto"/>
              <w:jc w:val="center"/>
              <w:rPr>
                <w:rFonts w:ascii="Times New Roman" w:hAnsi="Times New Roman" w:cs="Times New Roman"/>
                <w:color w:val="000000" w:themeColor="text1"/>
                <w:sz w:val="18"/>
                <w:szCs w:val="18"/>
              </w:rPr>
            </w:pPr>
          </w:p>
        </w:tc>
      </w:tr>
      <w:tr w:rsidR="00164238" w:rsidRPr="00164238" w14:paraId="59C57CE8" w14:textId="77777777" w:rsidTr="00682CBF">
        <w:trPr>
          <w:trHeight w:val="20"/>
        </w:trPr>
        <w:tc>
          <w:tcPr>
            <w:tcW w:w="1001"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41B8FF9C"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bCs/>
                <w:color w:val="000000" w:themeColor="text1"/>
                <w:kern w:val="24"/>
                <w:sz w:val="18"/>
                <w:szCs w:val="18"/>
                <w:lang w:eastAsia="tr-TR"/>
              </w:rPr>
              <w:t>Shareholders’ Equity</w:t>
            </w:r>
          </w:p>
        </w:tc>
        <w:tc>
          <w:tcPr>
            <w:tcW w:w="47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7132E108"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24,183</w:t>
            </w:r>
          </w:p>
        </w:tc>
        <w:tc>
          <w:tcPr>
            <w:tcW w:w="42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47EFD62F"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18,807</w:t>
            </w:r>
          </w:p>
        </w:tc>
        <w:tc>
          <w:tcPr>
            <w:tcW w:w="47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56F8A0AA"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28.6%</w:t>
            </w:r>
          </w:p>
        </w:tc>
        <w:tc>
          <w:tcPr>
            <w:tcW w:w="423"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1B388090"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11,132.0</w:t>
            </w:r>
          </w:p>
        </w:tc>
        <w:tc>
          <w:tcPr>
            <w:tcW w:w="435"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61A8CFE1"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9,629.3</w:t>
            </w:r>
          </w:p>
        </w:tc>
        <w:tc>
          <w:tcPr>
            <w:tcW w:w="448"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243BD417"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15.6%</w:t>
            </w:r>
          </w:p>
        </w:tc>
        <w:tc>
          <w:tcPr>
            <w:tcW w:w="449"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264438AB"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3,208.4</w:t>
            </w:r>
          </w:p>
        </w:tc>
        <w:tc>
          <w:tcPr>
            <w:tcW w:w="413"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223EC872"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2,379.6</w:t>
            </w:r>
          </w:p>
        </w:tc>
        <w:tc>
          <w:tcPr>
            <w:tcW w:w="456"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5D9C8C76"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34.8%</w:t>
            </w:r>
          </w:p>
        </w:tc>
      </w:tr>
      <w:tr w:rsidR="00164238" w:rsidRPr="00164238" w14:paraId="510EF4EB" w14:textId="77777777" w:rsidTr="00682CBF">
        <w:trPr>
          <w:trHeight w:val="20"/>
        </w:trPr>
        <w:tc>
          <w:tcPr>
            <w:tcW w:w="1001"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0855BBA8" w14:textId="77777777" w:rsidR="00C54BC9" w:rsidRPr="00164238" w:rsidRDefault="00C54BC9" w:rsidP="00A40273">
            <w:pPr>
              <w:spacing w:after="120" w:line="240" w:lineRule="auto"/>
              <w:jc w:val="center"/>
              <w:textAlignment w:val="bottom"/>
              <w:rPr>
                <w:rFonts w:ascii="Times New Roman" w:hAnsi="Times New Roman" w:cs="Times New Roman"/>
                <w:b/>
                <w:bCs/>
                <w:color w:val="000000" w:themeColor="text1"/>
                <w:kern w:val="24"/>
                <w:sz w:val="18"/>
                <w:szCs w:val="18"/>
                <w:lang w:eastAsia="tr-TR"/>
              </w:rPr>
            </w:pPr>
            <w:r w:rsidRPr="00164238">
              <w:rPr>
                <w:rFonts w:ascii="Times New Roman" w:hAnsi="Times New Roman" w:cs="Times New Roman"/>
                <w:b/>
                <w:bCs/>
                <w:color w:val="000000" w:themeColor="text1"/>
                <w:kern w:val="24"/>
                <w:sz w:val="18"/>
                <w:szCs w:val="18"/>
                <w:lang w:eastAsia="tr-TR"/>
              </w:rPr>
              <w:t xml:space="preserve">Equity </w:t>
            </w:r>
          </w:p>
          <w:p w14:paraId="5C0CDAAB"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b/>
                <w:bCs/>
                <w:color w:val="000000" w:themeColor="text1"/>
                <w:kern w:val="24"/>
                <w:sz w:val="18"/>
                <w:szCs w:val="18"/>
                <w:lang w:eastAsia="tr-TR"/>
              </w:rPr>
              <w:t>Profitability</w:t>
            </w:r>
          </w:p>
        </w:tc>
        <w:tc>
          <w:tcPr>
            <w:tcW w:w="47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742DCCA0"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b/>
                <w:bCs/>
                <w:color w:val="000000" w:themeColor="text1"/>
                <w:kern w:val="24"/>
                <w:sz w:val="18"/>
                <w:szCs w:val="18"/>
                <w:lang w:eastAsia="tr-TR"/>
              </w:rPr>
              <w:t>24.7%</w:t>
            </w:r>
          </w:p>
        </w:tc>
        <w:tc>
          <w:tcPr>
            <w:tcW w:w="42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1C1015A8"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20.1%</w:t>
            </w:r>
          </w:p>
        </w:tc>
        <w:tc>
          <w:tcPr>
            <w:tcW w:w="47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301B8781" w14:textId="77777777" w:rsidR="00C54BC9" w:rsidRPr="00164238" w:rsidRDefault="00C54BC9" w:rsidP="00A40273">
            <w:pPr>
              <w:spacing w:after="120" w:line="240" w:lineRule="auto"/>
              <w:jc w:val="center"/>
              <w:rPr>
                <w:rFonts w:ascii="Times New Roman" w:hAnsi="Times New Roman" w:cs="Times New Roman"/>
                <w:color w:val="000000" w:themeColor="text1"/>
                <w:sz w:val="18"/>
                <w:szCs w:val="18"/>
                <w:lang w:eastAsia="tr-TR"/>
              </w:rPr>
            </w:pPr>
          </w:p>
        </w:tc>
        <w:tc>
          <w:tcPr>
            <w:tcW w:w="423"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2B2A1F8E" w14:textId="77777777" w:rsidR="00C54BC9" w:rsidRPr="00164238" w:rsidRDefault="00C54BC9" w:rsidP="00A40273">
            <w:pPr>
              <w:pStyle w:val="TableFigureHeader"/>
              <w:spacing w:before="0" w:after="120"/>
              <w:textAlignment w:val="bottom"/>
              <w:rPr>
                <w:rFonts w:ascii="Times New Roman" w:hAnsi="Times New Roman" w:cs="Times New Roman"/>
                <w:b/>
                <w:color w:val="000000" w:themeColor="text1"/>
                <w:sz w:val="18"/>
                <w:szCs w:val="18"/>
              </w:rPr>
            </w:pPr>
            <w:r w:rsidRPr="00164238">
              <w:rPr>
                <w:rFonts w:ascii="Times New Roman" w:hAnsi="Times New Roman" w:cs="Times New Roman"/>
                <w:b/>
                <w:color w:val="000000" w:themeColor="text1"/>
                <w:kern w:val="24"/>
                <w:sz w:val="18"/>
                <w:szCs w:val="18"/>
              </w:rPr>
              <w:t>36.7%</w:t>
            </w:r>
          </w:p>
        </w:tc>
        <w:tc>
          <w:tcPr>
            <w:tcW w:w="435"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0A094D33"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37.8%</w:t>
            </w:r>
          </w:p>
        </w:tc>
        <w:tc>
          <w:tcPr>
            <w:tcW w:w="448"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21E3635D" w14:textId="77777777" w:rsidR="00C54BC9" w:rsidRPr="00164238" w:rsidRDefault="00C54BC9" w:rsidP="00A40273">
            <w:pPr>
              <w:spacing w:after="120" w:line="240" w:lineRule="auto"/>
              <w:jc w:val="center"/>
              <w:rPr>
                <w:rFonts w:ascii="Times New Roman" w:hAnsi="Times New Roman" w:cs="Times New Roman"/>
                <w:color w:val="000000" w:themeColor="text1"/>
                <w:sz w:val="18"/>
                <w:szCs w:val="18"/>
              </w:rPr>
            </w:pPr>
          </w:p>
        </w:tc>
        <w:tc>
          <w:tcPr>
            <w:tcW w:w="449"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2B67A55A"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b/>
                <w:bCs/>
                <w:color w:val="000000" w:themeColor="text1"/>
                <w:kern w:val="24"/>
                <w:sz w:val="18"/>
                <w:szCs w:val="18"/>
              </w:rPr>
              <w:t>14.0%</w:t>
            </w:r>
          </w:p>
        </w:tc>
        <w:tc>
          <w:tcPr>
            <w:tcW w:w="413"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423F3ADF"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13.5%</w:t>
            </w:r>
          </w:p>
        </w:tc>
        <w:tc>
          <w:tcPr>
            <w:tcW w:w="456"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0EC25A4D" w14:textId="77777777" w:rsidR="00C54BC9" w:rsidRPr="00164238" w:rsidRDefault="00C54BC9" w:rsidP="00A40273">
            <w:pPr>
              <w:spacing w:after="120" w:line="240" w:lineRule="auto"/>
              <w:jc w:val="center"/>
              <w:rPr>
                <w:rFonts w:ascii="Times New Roman" w:hAnsi="Times New Roman" w:cs="Times New Roman"/>
                <w:color w:val="000000" w:themeColor="text1"/>
                <w:sz w:val="18"/>
                <w:szCs w:val="18"/>
              </w:rPr>
            </w:pPr>
          </w:p>
        </w:tc>
      </w:tr>
      <w:tr w:rsidR="00164238" w:rsidRPr="00164238" w14:paraId="3BD7E6DF" w14:textId="77777777" w:rsidTr="00682CBF">
        <w:trPr>
          <w:trHeight w:val="20"/>
        </w:trPr>
        <w:tc>
          <w:tcPr>
            <w:tcW w:w="1001"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45D6B702"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bCs/>
                <w:color w:val="000000" w:themeColor="text1"/>
                <w:kern w:val="24"/>
                <w:sz w:val="18"/>
                <w:szCs w:val="18"/>
                <w:lang w:eastAsia="tr-TR"/>
              </w:rPr>
              <w:t>Total Asset</w:t>
            </w:r>
          </w:p>
        </w:tc>
        <w:tc>
          <w:tcPr>
            <w:tcW w:w="47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5937A72F"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95,540</w:t>
            </w:r>
          </w:p>
        </w:tc>
        <w:tc>
          <w:tcPr>
            <w:tcW w:w="42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47159FA6"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77,242</w:t>
            </w:r>
          </w:p>
        </w:tc>
        <w:tc>
          <w:tcPr>
            <w:tcW w:w="47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239A7A86"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23.7%</w:t>
            </w:r>
          </w:p>
        </w:tc>
        <w:tc>
          <w:tcPr>
            <w:tcW w:w="423"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785B2AA3"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205,496</w:t>
            </w:r>
          </w:p>
        </w:tc>
        <w:tc>
          <w:tcPr>
            <w:tcW w:w="435"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5C7FA5C0"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154,477</w:t>
            </w:r>
          </w:p>
        </w:tc>
        <w:tc>
          <w:tcPr>
            <w:tcW w:w="448"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28069E61"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33.0%</w:t>
            </w:r>
          </w:p>
        </w:tc>
        <w:tc>
          <w:tcPr>
            <w:tcW w:w="449"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20F6AABC"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6,809.6</w:t>
            </w:r>
          </w:p>
        </w:tc>
        <w:tc>
          <w:tcPr>
            <w:tcW w:w="413"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3200AA51"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4,904.5</w:t>
            </w:r>
          </w:p>
        </w:tc>
        <w:tc>
          <w:tcPr>
            <w:tcW w:w="456"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5E92ABDB"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38.8%</w:t>
            </w:r>
          </w:p>
        </w:tc>
      </w:tr>
      <w:tr w:rsidR="00164238" w:rsidRPr="00164238" w14:paraId="1974AAF5" w14:textId="77777777" w:rsidTr="00682CBF">
        <w:trPr>
          <w:trHeight w:val="30"/>
        </w:trPr>
        <w:tc>
          <w:tcPr>
            <w:tcW w:w="1001"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64C0CB95" w14:textId="77777777" w:rsidR="00C54BC9" w:rsidRPr="00164238" w:rsidRDefault="00C54BC9" w:rsidP="00A40273">
            <w:pPr>
              <w:spacing w:after="120" w:line="240" w:lineRule="auto"/>
              <w:jc w:val="center"/>
              <w:textAlignment w:val="bottom"/>
              <w:rPr>
                <w:rFonts w:ascii="Times New Roman" w:hAnsi="Times New Roman" w:cs="Times New Roman"/>
                <w:b/>
                <w:bCs/>
                <w:color w:val="000000" w:themeColor="text1"/>
                <w:kern w:val="24"/>
                <w:sz w:val="18"/>
                <w:szCs w:val="18"/>
                <w:lang w:eastAsia="tr-TR"/>
              </w:rPr>
            </w:pPr>
            <w:r w:rsidRPr="00164238">
              <w:rPr>
                <w:rFonts w:ascii="Times New Roman" w:hAnsi="Times New Roman" w:cs="Times New Roman"/>
                <w:b/>
                <w:bCs/>
                <w:color w:val="000000" w:themeColor="text1"/>
                <w:kern w:val="24"/>
                <w:sz w:val="18"/>
                <w:szCs w:val="18"/>
                <w:lang w:eastAsia="tr-TR"/>
              </w:rPr>
              <w:t xml:space="preserve">Asset </w:t>
            </w:r>
          </w:p>
          <w:p w14:paraId="534EF369"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b/>
                <w:bCs/>
                <w:color w:val="000000" w:themeColor="text1"/>
                <w:kern w:val="24"/>
                <w:sz w:val="18"/>
                <w:szCs w:val="18"/>
                <w:lang w:eastAsia="tr-TR"/>
              </w:rPr>
              <w:t>Profitability</w:t>
            </w:r>
          </w:p>
        </w:tc>
        <w:tc>
          <w:tcPr>
            <w:tcW w:w="475"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16DCECA5"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b/>
                <w:bCs/>
                <w:color w:val="000000" w:themeColor="text1"/>
                <w:kern w:val="24"/>
                <w:sz w:val="18"/>
                <w:szCs w:val="18"/>
                <w:lang w:eastAsia="tr-TR"/>
              </w:rPr>
              <w:t>6.2%</w:t>
            </w:r>
          </w:p>
        </w:tc>
        <w:tc>
          <w:tcPr>
            <w:tcW w:w="42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346F4631" w14:textId="77777777" w:rsidR="00C54BC9" w:rsidRPr="00164238" w:rsidRDefault="00C54BC9" w:rsidP="00A40273">
            <w:pPr>
              <w:spacing w:after="120" w:line="240" w:lineRule="auto"/>
              <w:jc w:val="center"/>
              <w:textAlignment w:val="bottom"/>
              <w:rPr>
                <w:rFonts w:ascii="Times New Roman" w:hAnsi="Times New Roman" w:cs="Times New Roman"/>
                <w:color w:val="000000" w:themeColor="text1"/>
                <w:sz w:val="18"/>
                <w:szCs w:val="18"/>
                <w:lang w:eastAsia="tr-TR"/>
              </w:rPr>
            </w:pPr>
            <w:r w:rsidRPr="00164238">
              <w:rPr>
                <w:rFonts w:ascii="Times New Roman" w:hAnsi="Times New Roman" w:cs="Times New Roman"/>
                <w:color w:val="000000" w:themeColor="text1"/>
                <w:kern w:val="24"/>
                <w:sz w:val="18"/>
                <w:szCs w:val="18"/>
                <w:lang w:eastAsia="tr-TR"/>
              </w:rPr>
              <w:t>4.9%</w:t>
            </w:r>
          </w:p>
        </w:tc>
        <w:tc>
          <w:tcPr>
            <w:tcW w:w="476"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2BE48DE2" w14:textId="77777777" w:rsidR="00C54BC9" w:rsidRPr="00164238" w:rsidRDefault="00C54BC9" w:rsidP="00A40273">
            <w:pPr>
              <w:spacing w:after="120" w:line="240" w:lineRule="auto"/>
              <w:jc w:val="center"/>
              <w:rPr>
                <w:rFonts w:ascii="Times New Roman" w:hAnsi="Times New Roman" w:cs="Times New Roman"/>
                <w:color w:val="000000" w:themeColor="text1"/>
                <w:sz w:val="18"/>
                <w:szCs w:val="18"/>
                <w:lang w:eastAsia="tr-TR"/>
              </w:rPr>
            </w:pPr>
          </w:p>
        </w:tc>
        <w:tc>
          <w:tcPr>
            <w:tcW w:w="423"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7A23E6E6" w14:textId="77777777" w:rsidR="00C54BC9" w:rsidRPr="00164238" w:rsidRDefault="00C54BC9" w:rsidP="00A40273">
            <w:pPr>
              <w:pStyle w:val="TableFigureHeader"/>
              <w:spacing w:before="0" w:after="120"/>
              <w:textAlignment w:val="bottom"/>
              <w:rPr>
                <w:rFonts w:ascii="Times New Roman" w:hAnsi="Times New Roman" w:cs="Times New Roman"/>
                <w:b/>
                <w:color w:val="000000" w:themeColor="text1"/>
                <w:sz w:val="18"/>
                <w:szCs w:val="18"/>
              </w:rPr>
            </w:pPr>
            <w:r w:rsidRPr="00164238">
              <w:rPr>
                <w:rFonts w:ascii="Times New Roman" w:hAnsi="Times New Roman" w:cs="Times New Roman"/>
                <w:b/>
                <w:color w:val="000000" w:themeColor="text1"/>
                <w:kern w:val="24"/>
                <w:sz w:val="18"/>
                <w:szCs w:val="18"/>
              </w:rPr>
              <w:t>2.0%</w:t>
            </w:r>
          </w:p>
        </w:tc>
        <w:tc>
          <w:tcPr>
            <w:tcW w:w="435"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4E5DF08D"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2.4%</w:t>
            </w:r>
          </w:p>
        </w:tc>
        <w:tc>
          <w:tcPr>
            <w:tcW w:w="448"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04E239C0" w14:textId="77777777" w:rsidR="00C54BC9" w:rsidRPr="00164238" w:rsidRDefault="00C54BC9" w:rsidP="00A40273">
            <w:pPr>
              <w:spacing w:after="120" w:line="240" w:lineRule="auto"/>
              <w:jc w:val="center"/>
              <w:rPr>
                <w:rFonts w:ascii="Times New Roman" w:hAnsi="Times New Roman" w:cs="Times New Roman"/>
                <w:color w:val="000000" w:themeColor="text1"/>
                <w:sz w:val="18"/>
                <w:szCs w:val="18"/>
              </w:rPr>
            </w:pPr>
          </w:p>
        </w:tc>
        <w:tc>
          <w:tcPr>
            <w:tcW w:w="449"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75CE3D22" w14:textId="77777777" w:rsidR="00C54BC9" w:rsidRPr="00164238" w:rsidRDefault="00C54BC9" w:rsidP="00A40273">
            <w:pPr>
              <w:pStyle w:val="TableFigureHeader"/>
              <w:spacing w:before="0" w:after="120"/>
              <w:textAlignment w:val="bottom"/>
              <w:rPr>
                <w:rFonts w:ascii="Times New Roman" w:hAnsi="Times New Roman" w:cs="Times New Roman"/>
                <w:b/>
                <w:color w:val="000000" w:themeColor="text1"/>
                <w:sz w:val="18"/>
                <w:szCs w:val="18"/>
              </w:rPr>
            </w:pPr>
            <w:r w:rsidRPr="00164238">
              <w:rPr>
                <w:rFonts w:ascii="Times New Roman" w:hAnsi="Times New Roman" w:cs="Times New Roman"/>
                <w:b/>
                <w:color w:val="000000" w:themeColor="text1"/>
                <w:kern w:val="24"/>
                <w:sz w:val="18"/>
                <w:szCs w:val="18"/>
              </w:rPr>
              <w:t>6.6%</w:t>
            </w:r>
          </w:p>
        </w:tc>
        <w:tc>
          <w:tcPr>
            <w:tcW w:w="413"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040C3F03" w14:textId="77777777" w:rsidR="00C54BC9" w:rsidRPr="00164238" w:rsidRDefault="00C54BC9" w:rsidP="00A40273">
            <w:pPr>
              <w:pStyle w:val="TableFigureHeader"/>
              <w:spacing w:before="0" w:after="120"/>
              <w:textAlignment w:val="bottom"/>
              <w:rPr>
                <w:rFonts w:ascii="Times New Roman" w:hAnsi="Times New Roman" w:cs="Times New Roman"/>
                <w:color w:val="000000" w:themeColor="text1"/>
                <w:sz w:val="18"/>
                <w:szCs w:val="18"/>
              </w:rPr>
            </w:pPr>
            <w:r w:rsidRPr="00164238">
              <w:rPr>
                <w:rFonts w:ascii="Times New Roman" w:hAnsi="Times New Roman" w:cs="Times New Roman"/>
                <w:color w:val="000000" w:themeColor="text1"/>
                <w:kern w:val="24"/>
                <w:sz w:val="18"/>
                <w:szCs w:val="18"/>
              </w:rPr>
              <w:t>6.6%</w:t>
            </w:r>
          </w:p>
        </w:tc>
        <w:tc>
          <w:tcPr>
            <w:tcW w:w="456"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64D9FABA" w14:textId="77777777" w:rsidR="00C54BC9" w:rsidRPr="00164238" w:rsidRDefault="00C54BC9" w:rsidP="00A40273">
            <w:pPr>
              <w:spacing w:after="120" w:line="240" w:lineRule="auto"/>
              <w:jc w:val="center"/>
              <w:rPr>
                <w:rFonts w:ascii="Times New Roman" w:hAnsi="Times New Roman" w:cs="Times New Roman"/>
                <w:color w:val="000000" w:themeColor="text1"/>
                <w:sz w:val="18"/>
                <w:szCs w:val="18"/>
              </w:rPr>
            </w:pPr>
          </w:p>
        </w:tc>
      </w:tr>
    </w:tbl>
    <w:p w14:paraId="2BCF365F" w14:textId="77777777" w:rsidR="00C54BC9" w:rsidRPr="00164238" w:rsidRDefault="00C54BC9" w:rsidP="00C54BC9">
      <w:pPr>
        <w:spacing w:after="120" w:line="276" w:lineRule="auto"/>
        <w:jc w:val="both"/>
        <w:rPr>
          <w:rFonts w:ascii="Times New Roman" w:hAnsi="Times New Roman" w:cs="Times New Roman"/>
          <w:color w:val="000000" w:themeColor="text1"/>
        </w:rPr>
      </w:pPr>
      <w:r w:rsidRPr="00164238">
        <w:rPr>
          <w:rFonts w:ascii="Times New Roman" w:hAnsi="Times New Roman" w:cs="Times New Roman"/>
          <w:i/>
          <w:color w:val="000000" w:themeColor="text1"/>
        </w:rPr>
        <w:t>Source:</w:t>
      </w:r>
      <w:r w:rsidRPr="00164238">
        <w:rPr>
          <w:rFonts w:ascii="Times New Roman" w:hAnsi="Times New Roman" w:cs="Times New Roman"/>
          <w:color w:val="000000" w:themeColor="text1"/>
        </w:rPr>
        <w:t xml:space="preserve"> Insurance Association of Turkey</w:t>
      </w:r>
    </w:p>
    <w:p w14:paraId="4765AB49" w14:textId="77777777" w:rsidR="00C54BC9" w:rsidRPr="00164238" w:rsidRDefault="00C54BC9" w:rsidP="00C54BC9">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In Table 11;</w:t>
      </w:r>
    </w:p>
    <w:p w14:paraId="2268E205" w14:textId="77777777" w:rsidR="00C54BC9" w:rsidRPr="00164238" w:rsidRDefault="00C54BC9" w:rsidP="007C3550">
      <w:pPr>
        <w:numPr>
          <w:ilvl w:val="0"/>
          <w:numId w:val="31"/>
        </w:numPr>
        <w:spacing w:before="120" w:after="120" w:line="276" w:lineRule="auto"/>
        <w:ind w:left="1224"/>
        <w:jc w:val="both"/>
        <w:rPr>
          <w:rFonts w:ascii="Times New Roman" w:hAnsi="Times New Roman" w:cs="Times New Roman"/>
          <w:color w:val="000000" w:themeColor="text1"/>
          <w:sz w:val="20"/>
        </w:rPr>
      </w:pPr>
      <w:r w:rsidRPr="00164238">
        <w:rPr>
          <w:rFonts w:ascii="Times New Roman" w:hAnsi="Times New Roman" w:cs="Times New Roman"/>
          <w:color w:val="000000" w:themeColor="text1"/>
          <w:sz w:val="20"/>
        </w:rPr>
        <w:t>Although there is a decrease in the claim ratio of life &amp; pension companies, it is seen that the technical, financial and balance sheet profitabilities have also decreased compared to 2019. In addition, equity profitability and asset profitability have decreased too.</w:t>
      </w:r>
    </w:p>
    <w:p w14:paraId="2CB38CC5" w14:textId="77777777" w:rsidR="00C54BC9" w:rsidRPr="00164238" w:rsidRDefault="00C54BC9" w:rsidP="007C3550">
      <w:pPr>
        <w:numPr>
          <w:ilvl w:val="0"/>
          <w:numId w:val="31"/>
        </w:numPr>
        <w:spacing w:before="120" w:after="120" w:line="276" w:lineRule="auto"/>
        <w:ind w:left="1224"/>
        <w:jc w:val="both"/>
        <w:rPr>
          <w:rFonts w:ascii="Times New Roman" w:hAnsi="Times New Roman" w:cs="Times New Roman"/>
          <w:color w:val="000000" w:themeColor="text1"/>
          <w:sz w:val="20"/>
        </w:rPr>
      </w:pPr>
      <w:r w:rsidRPr="00164238">
        <w:rPr>
          <w:rFonts w:ascii="Times New Roman" w:hAnsi="Times New Roman" w:cs="Times New Roman"/>
          <w:color w:val="000000" w:themeColor="text1"/>
          <w:sz w:val="20"/>
        </w:rPr>
        <w:t>It is seen that the claim ratio of non-life insurance companies decreased, while their technical, balance sheet, equity and asset profitabilities increased, their financial profitability decreased.</w:t>
      </w:r>
    </w:p>
    <w:p w14:paraId="7F2C28D2" w14:textId="77777777" w:rsidR="00C54BC9" w:rsidRPr="00164238" w:rsidRDefault="00C54BC9" w:rsidP="007C3550">
      <w:pPr>
        <w:numPr>
          <w:ilvl w:val="0"/>
          <w:numId w:val="31"/>
        </w:numPr>
        <w:spacing w:before="120" w:after="120" w:line="276" w:lineRule="auto"/>
        <w:ind w:left="1224"/>
        <w:jc w:val="both"/>
        <w:rPr>
          <w:rFonts w:ascii="Times New Roman" w:hAnsi="Times New Roman" w:cs="Times New Roman"/>
          <w:color w:val="000000" w:themeColor="text1"/>
          <w:sz w:val="20"/>
        </w:rPr>
      </w:pPr>
      <w:r w:rsidRPr="00164238">
        <w:rPr>
          <w:rFonts w:ascii="Times New Roman" w:hAnsi="Times New Roman" w:cs="Times New Roman"/>
          <w:color w:val="000000" w:themeColor="text1"/>
          <w:sz w:val="20"/>
        </w:rPr>
        <w:t>It is seen that the claim ratio of reinsurance companies decreased, while their technical profitability and equity profitability increased, their financial and balance sheet profitability decreased, and there was no change in asset profitability.</w:t>
      </w:r>
    </w:p>
    <w:p w14:paraId="5C26F686" w14:textId="47D87B5C" w:rsidR="00C54BC9" w:rsidRDefault="00C54BC9" w:rsidP="00C54BC9">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The profitability of the insurance industry is given in Table 12.</w:t>
      </w:r>
    </w:p>
    <w:p w14:paraId="5701546F" w14:textId="0F5FA0E7" w:rsidR="00452A49" w:rsidRDefault="00452A49" w:rsidP="00C54BC9">
      <w:pPr>
        <w:spacing w:before="120" w:after="120" w:line="276" w:lineRule="auto"/>
        <w:ind w:firstLine="720"/>
        <w:jc w:val="both"/>
        <w:rPr>
          <w:rFonts w:ascii="Times New Roman" w:hAnsi="Times New Roman" w:cs="Times New Roman"/>
          <w:color w:val="000000" w:themeColor="text1"/>
        </w:rPr>
      </w:pPr>
    </w:p>
    <w:p w14:paraId="5DCC64CB" w14:textId="77777777" w:rsidR="00C54BC9" w:rsidRPr="00164238" w:rsidRDefault="00C54BC9" w:rsidP="00C54BC9">
      <w:pPr>
        <w:spacing w:line="276" w:lineRule="auto"/>
        <w:jc w:val="both"/>
        <w:rPr>
          <w:rFonts w:ascii="Times New Roman" w:hAnsi="Times New Roman" w:cs="Times New Roman"/>
          <w:color w:val="000000" w:themeColor="text1"/>
        </w:rPr>
      </w:pPr>
      <w:r w:rsidRPr="00164238">
        <w:rPr>
          <w:rFonts w:ascii="Times New Roman" w:hAnsi="Times New Roman" w:cs="Times New Roman"/>
          <w:i/>
          <w:color w:val="000000" w:themeColor="text1"/>
        </w:rPr>
        <w:t>Table 12.</w:t>
      </w:r>
      <w:r w:rsidRPr="00164238">
        <w:rPr>
          <w:rFonts w:ascii="Times New Roman" w:hAnsi="Times New Roman" w:cs="Times New Roman"/>
          <w:b/>
          <w:bCs/>
          <w:color w:val="000000" w:themeColor="text1"/>
          <w:kern w:val="24"/>
          <w:lang w:eastAsia="tr-TR"/>
        </w:rPr>
        <w:t xml:space="preserve"> </w:t>
      </w:r>
      <w:r w:rsidRPr="00164238">
        <w:rPr>
          <w:rFonts w:ascii="Times New Roman" w:hAnsi="Times New Roman" w:cs="Times New Roman"/>
          <w:bCs/>
          <w:color w:val="000000" w:themeColor="text1"/>
        </w:rPr>
        <w:t>Profitability of the Insurance Sector</w:t>
      </w:r>
    </w:p>
    <w:tbl>
      <w:tblPr>
        <w:tblW w:w="5000" w:type="pct"/>
        <w:tblCellMar>
          <w:left w:w="0" w:type="dxa"/>
          <w:right w:w="0" w:type="dxa"/>
        </w:tblCellMar>
        <w:tblLook w:val="0600" w:firstRow="0" w:lastRow="0" w:firstColumn="0" w:lastColumn="0" w:noHBand="1" w:noVBand="1"/>
      </w:tblPr>
      <w:tblGrid>
        <w:gridCol w:w="2874"/>
        <w:gridCol w:w="1695"/>
        <w:gridCol w:w="1526"/>
        <w:gridCol w:w="1358"/>
        <w:gridCol w:w="1032"/>
      </w:tblGrid>
      <w:tr w:rsidR="00164238" w:rsidRPr="00164238" w14:paraId="564EC347" w14:textId="77777777" w:rsidTr="00682CBF">
        <w:trPr>
          <w:trHeight w:val="20"/>
        </w:trPr>
        <w:tc>
          <w:tcPr>
            <w:tcW w:w="169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0543B217" w14:textId="77777777" w:rsidR="00C54BC9" w:rsidRPr="00164238" w:rsidRDefault="00C54BC9" w:rsidP="00682CBF">
            <w:pPr>
              <w:rPr>
                <w:rFonts w:ascii="Times New Roman" w:hAnsi="Times New Roman" w:cs="Times New Roman"/>
                <w:color w:val="000000" w:themeColor="text1"/>
                <w:sz w:val="18"/>
                <w:szCs w:val="18"/>
              </w:rPr>
            </w:pPr>
          </w:p>
        </w:tc>
        <w:tc>
          <w:tcPr>
            <w:tcW w:w="99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1113D6E1" w14:textId="77777777" w:rsidR="00C54BC9" w:rsidRPr="00164238" w:rsidRDefault="00C54BC9" w:rsidP="00682CBF">
            <w:pPr>
              <w:jc w:val="center"/>
              <w:rPr>
                <w:rFonts w:ascii="Times New Roman" w:hAnsi="Times New Roman" w:cs="Times New Roman"/>
                <w:color w:val="000000" w:themeColor="text1"/>
                <w:sz w:val="18"/>
                <w:szCs w:val="18"/>
              </w:rPr>
            </w:pPr>
            <w:r w:rsidRPr="00164238">
              <w:rPr>
                <w:rFonts w:ascii="Times New Roman" w:hAnsi="Times New Roman" w:cs="Times New Roman"/>
                <w:b/>
                <w:bCs/>
                <w:color w:val="000000" w:themeColor="text1"/>
                <w:sz w:val="18"/>
                <w:szCs w:val="18"/>
              </w:rPr>
              <w:t>2020 (mm. TRY)</w:t>
            </w:r>
          </w:p>
        </w:tc>
        <w:tc>
          <w:tcPr>
            <w:tcW w:w="89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412723E5" w14:textId="77777777" w:rsidR="00C54BC9" w:rsidRPr="00164238" w:rsidRDefault="00C54BC9" w:rsidP="00682CBF">
            <w:pPr>
              <w:jc w:val="center"/>
              <w:rPr>
                <w:rFonts w:ascii="Times New Roman" w:hAnsi="Times New Roman" w:cs="Times New Roman"/>
                <w:color w:val="000000" w:themeColor="text1"/>
                <w:sz w:val="18"/>
                <w:szCs w:val="18"/>
              </w:rPr>
            </w:pPr>
            <w:r w:rsidRPr="00164238">
              <w:rPr>
                <w:rFonts w:ascii="Times New Roman" w:hAnsi="Times New Roman" w:cs="Times New Roman"/>
                <w:b/>
                <w:bCs/>
                <w:color w:val="000000" w:themeColor="text1"/>
                <w:sz w:val="18"/>
                <w:szCs w:val="18"/>
              </w:rPr>
              <w:t>2019 (mm. TRY)</w:t>
            </w:r>
          </w:p>
        </w:tc>
        <w:tc>
          <w:tcPr>
            <w:tcW w:w="80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1598DDD6" w14:textId="77777777" w:rsidR="00C54BC9" w:rsidRPr="00164238" w:rsidRDefault="00C54BC9" w:rsidP="00682CBF">
            <w:pPr>
              <w:jc w:val="center"/>
              <w:rPr>
                <w:rFonts w:ascii="Times New Roman" w:hAnsi="Times New Roman" w:cs="Times New Roman"/>
                <w:color w:val="000000" w:themeColor="text1"/>
                <w:sz w:val="18"/>
                <w:szCs w:val="18"/>
              </w:rPr>
            </w:pPr>
            <w:r w:rsidRPr="00164238">
              <w:rPr>
                <w:rFonts w:ascii="Times New Roman" w:hAnsi="Times New Roman" w:cs="Times New Roman"/>
                <w:b/>
                <w:bCs/>
                <w:color w:val="000000" w:themeColor="text1"/>
                <w:sz w:val="18"/>
                <w:szCs w:val="18"/>
              </w:rPr>
              <w:t>Nominal G.%</w:t>
            </w:r>
          </w:p>
        </w:tc>
        <w:tc>
          <w:tcPr>
            <w:tcW w:w="60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248325D3" w14:textId="77777777" w:rsidR="00C54BC9" w:rsidRPr="00164238" w:rsidRDefault="00C54BC9" w:rsidP="00682CBF">
            <w:pPr>
              <w:jc w:val="center"/>
              <w:rPr>
                <w:rFonts w:ascii="Times New Roman" w:hAnsi="Times New Roman" w:cs="Times New Roman"/>
                <w:color w:val="000000" w:themeColor="text1"/>
                <w:sz w:val="18"/>
                <w:szCs w:val="18"/>
              </w:rPr>
            </w:pPr>
            <w:r w:rsidRPr="00164238">
              <w:rPr>
                <w:rFonts w:ascii="Times New Roman" w:hAnsi="Times New Roman" w:cs="Times New Roman"/>
                <w:b/>
                <w:bCs/>
                <w:color w:val="000000" w:themeColor="text1"/>
                <w:sz w:val="18"/>
                <w:szCs w:val="18"/>
              </w:rPr>
              <w:t>Real G.%</w:t>
            </w:r>
          </w:p>
        </w:tc>
      </w:tr>
      <w:tr w:rsidR="00164238" w:rsidRPr="00164238" w14:paraId="3A6046A6" w14:textId="77777777" w:rsidTr="00682CBF">
        <w:trPr>
          <w:trHeight w:val="20"/>
        </w:trPr>
        <w:tc>
          <w:tcPr>
            <w:tcW w:w="169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26A65A67" w14:textId="77777777" w:rsidR="00C54BC9" w:rsidRPr="00164238" w:rsidRDefault="00C54BC9" w:rsidP="00682CBF">
            <w:pPr>
              <w:rPr>
                <w:rFonts w:ascii="Times New Roman" w:hAnsi="Times New Roman" w:cs="Times New Roman"/>
                <w:color w:val="000000" w:themeColor="text1"/>
                <w:sz w:val="18"/>
                <w:szCs w:val="18"/>
              </w:rPr>
            </w:pPr>
            <w:r w:rsidRPr="00164238">
              <w:rPr>
                <w:rFonts w:ascii="Times New Roman" w:hAnsi="Times New Roman" w:cs="Times New Roman"/>
                <w:bCs/>
                <w:color w:val="000000" w:themeColor="text1"/>
                <w:sz w:val="18"/>
                <w:szCs w:val="18"/>
              </w:rPr>
              <w:t>Total Premium</w:t>
            </w:r>
          </w:p>
        </w:tc>
        <w:tc>
          <w:tcPr>
            <w:tcW w:w="99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56E6F290" w14:textId="77777777" w:rsidR="00C54BC9" w:rsidRPr="00164238" w:rsidRDefault="00C54BC9" w:rsidP="00682CBF">
            <w:pPr>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85,607.1</w:t>
            </w:r>
          </w:p>
        </w:tc>
        <w:tc>
          <w:tcPr>
            <w:tcW w:w="89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74F473A6" w14:textId="77777777" w:rsidR="00C54BC9" w:rsidRPr="00164238" w:rsidRDefault="00C54BC9" w:rsidP="00682CBF">
            <w:pPr>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71,008.1</w:t>
            </w:r>
          </w:p>
        </w:tc>
        <w:tc>
          <w:tcPr>
            <w:tcW w:w="80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61059260" w14:textId="77777777" w:rsidR="00C54BC9" w:rsidRPr="00164238" w:rsidRDefault="00C54BC9" w:rsidP="00682CBF">
            <w:pPr>
              <w:jc w:val="center"/>
              <w:rPr>
                <w:rFonts w:ascii="Times New Roman" w:hAnsi="Times New Roman" w:cs="Times New Roman"/>
                <w:color w:val="000000" w:themeColor="text1"/>
                <w:sz w:val="18"/>
                <w:szCs w:val="18"/>
              </w:rPr>
            </w:pPr>
            <w:r w:rsidRPr="00164238">
              <w:rPr>
                <w:rFonts w:ascii="Times New Roman" w:hAnsi="Times New Roman" w:cs="Times New Roman"/>
                <w:bCs/>
                <w:color w:val="000000" w:themeColor="text1"/>
                <w:sz w:val="18"/>
                <w:szCs w:val="18"/>
              </w:rPr>
              <w:t>20.6%</w:t>
            </w:r>
          </w:p>
        </w:tc>
        <w:tc>
          <w:tcPr>
            <w:tcW w:w="60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2DCD5C72" w14:textId="77777777" w:rsidR="00C54BC9" w:rsidRPr="00164238" w:rsidRDefault="00C54BC9" w:rsidP="00682CBF">
            <w:pPr>
              <w:jc w:val="center"/>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5.2%</w:t>
            </w:r>
          </w:p>
        </w:tc>
      </w:tr>
      <w:tr w:rsidR="00164238" w:rsidRPr="00164238" w14:paraId="26DB571F" w14:textId="77777777" w:rsidTr="00682CBF">
        <w:trPr>
          <w:trHeight w:val="20"/>
        </w:trPr>
        <w:tc>
          <w:tcPr>
            <w:tcW w:w="169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1A8321DA" w14:textId="77777777" w:rsidR="00C54BC9" w:rsidRPr="00164238" w:rsidRDefault="00C54BC9" w:rsidP="00682CBF">
            <w:pPr>
              <w:rPr>
                <w:rFonts w:ascii="Times New Roman" w:hAnsi="Times New Roman" w:cs="Times New Roman"/>
                <w:color w:val="000000" w:themeColor="text1"/>
                <w:sz w:val="18"/>
                <w:szCs w:val="18"/>
              </w:rPr>
            </w:pPr>
            <w:r w:rsidRPr="00164238">
              <w:rPr>
                <w:rFonts w:ascii="Times New Roman" w:hAnsi="Times New Roman" w:cs="Times New Roman"/>
                <w:bCs/>
                <w:color w:val="000000" w:themeColor="text1"/>
                <w:sz w:val="18"/>
                <w:szCs w:val="18"/>
              </w:rPr>
              <w:t>Technical Profit</w:t>
            </w:r>
          </w:p>
        </w:tc>
        <w:tc>
          <w:tcPr>
            <w:tcW w:w="99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33B66FFA" w14:textId="77777777" w:rsidR="00C54BC9" w:rsidRPr="00164238" w:rsidRDefault="00C54BC9" w:rsidP="00682CBF">
            <w:pPr>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11,423.2</w:t>
            </w:r>
          </w:p>
        </w:tc>
        <w:tc>
          <w:tcPr>
            <w:tcW w:w="89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78F2A41B" w14:textId="77777777" w:rsidR="00C54BC9" w:rsidRPr="00164238" w:rsidRDefault="00C54BC9" w:rsidP="00682CBF">
            <w:pPr>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7,825.8</w:t>
            </w:r>
          </w:p>
        </w:tc>
        <w:tc>
          <w:tcPr>
            <w:tcW w:w="80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0F8E9B4B" w14:textId="77777777" w:rsidR="00C54BC9" w:rsidRPr="00164238" w:rsidRDefault="00C54BC9" w:rsidP="00682CBF">
            <w:pPr>
              <w:jc w:val="center"/>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46.0%</w:t>
            </w:r>
          </w:p>
        </w:tc>
        <w:tc>
          <w:tcPr>
            <w:tcW w:w="60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6CE84CE8" w14:textId="77777777" w:rsidR="00C54BC9" w:rsidRPr="00164238" w:rsidRDefault="00C54BC9" w:rsidP="00682CBF">
            <w:pPr>
              <w:jc w:val="center"/>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27.4%</w:t>
            </w:r>
          </w:p>
        </w:tc>
      </w:tr>
      <w:tr w:rsidR="00164238" w:rsidRPr="00164238" w14:paraId="1DBAE6DD" w14:textId="77777777" w:rsidTr="00682CBF">
        <w:trPr>
          <w:trHeight w:val="20"/>
        </w:trPr>
        <w:tc>
          <w:tcPr>
            <w:tcW w:w="169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47A9F709" w14:textId="77777777" w:rsidR="00C54BC9" w:rsidRPr="00164238" w:rsidRDefault="00C54BC9" w:rsidP="00682CBF">
            <w:pPr>
              <w:jc w:val="right"/>
              <w:rPr>
                <w:rFonts w:ascii="Times New Roman" w:hAnsi="Times New Roman" w:cs="Times New Roman"/>
                <w:color w:val="000000" w:themeColor="text1"/>
                <w:sz w:val="18"/>
                <w:szCs w:val="18"/>
              </w:rPr>
            </w:pPr>
            <w:r w:rsidRPr="00164238">
              <w:rPr>
                <w:rFonts w:ascii="Times New Roman" w:hAnsi="Times New Roman" w:cs="Times New Roman"/>
                <w:b/>
                <w:bCs/>
                <w:color w:val="000000" w:themeColor="text1"/>
                <w:sz w:val="18"/>
                <w:szCs w:val="18"/>
              </w:rPr>
              <w:t>Technical Profitability</w:t>
            </w:r>
          </w:p>
        </w:tc>
        <w:tc>
          <w:tcPr>
            <w:tcW w:w="99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5E76E5A4" w14:textId="77777777" w:rsidR="00C54BC9" w:rsidRPr="00164238" w:rsidRDefault="00C54BC9" w:rsidP="00682CBF">
            <w:pPr>
              <w:jc w:val="center"/>
              <w:rPr>
                <w:rFonts w:ascii="Times New Roman" w:hAnsi="Times New Roman" w:cs="Times New Roman"/>
                <w:b/>
                <w:color w:val="000000" w:themeColor="text1"/>
                <w:sz w:val="18"/>
                <w:szCs w:val="18"/>
              </w:rPr>
            </w:pPr>
            <w:r w:rsidRPr="00164238">
              <w:rPr>
                <w:rFonts w:ascii="Times New Roman" w:hAnsi="Times New Roman" w:cs="Times New Roman"/>
                <w:b/>
                <w:color w:val="000000" w:themeColor="text1"/>
                <w:sz w:val="18"/>
                <w:szCs w:val="18"/>
              </w:rPr>
              <w:t>13.3%</w:t>
            </w:r>
          </w:p>
        </w:tc>
        <w:tc>
          <w:tcPr>
            <w:tcW w:w="89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1254A876" w14:textId="77777777" w:rsidR="00C54BC9" w:rsidRPr="00164238" w:rsidRDefault="00C54BC9" w:rsidP="00682CBF">
            <w:pPr>
              <w:jc w:val="center"/>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11.0%</w:t>
            </w:r>
          </w:p>
        </w:tc>
        <w:tc>
          <w:tcPr>
            <w:tcW w:w="80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54CF6F36" w14:textId="77777777" w:rsidR="00C54BC9" w:rsidRPr="00164238" w:rsidRDefault="00C54BC9" w:rsidP="00682CBF">
            <w:pPr>
              <w:jc w:val="center"/>
              <w:rPr>
                <w:rFonts w:ascii="Times New Roman" w:hAnsi="Times New Roman" w:cs="Times New Roman"/>
                <w:color w:val="000000" w:themeColor="text1"/>
                <w:sz w:val="18"/>
                <w:szCs w:val="18"/>
              </w:rPr>
            </w:pPr>
          </w:p>
        </w:tc>
        <w:tc>
          <w:tcPr>
            <w:tcW w:w="60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34EA5B3C" w14:textId="77777777" w:rsidR="00C54BC9" w:rsidRPr="00164238" w:rsidRDefault="00C54BC9" w:rsidP="00682CBF">
            <w:pPr>
              <w:jc w:val="center"/>
              <w:rPr>
                <w:rFonts w:ascii="Times New Roman" w:hAnsi="Times New Roman" w:cs="Times New Roman"/>
                <w:color w:val="000000" w:themeColor="text1"/>
                <w:sz w:val="18"/>
                <w:szCs w:val="18"/>
              </w:rPr>
            </w:pPr>
          </w:p>
        </w:tc>
      </w:tr>
      <w:tr w:rsidR="00164238" w:rsidRPr="00164238" w14:paraId="16653EA1" w14:textId="77777777" w:rsidTr="00682CBF">
        <w:trPr>
          <w:trHeight w:val="20"/>
        </w:trPr>
        <w:tc>
          <w:tcPr>
            <w:tcW w:w="169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26376C80" w14:textId="77777777" w:rsidR="00C54BC9" w:rsidRPr="00164238" w:rsidRDefault="00C54BC9" w:rsidP="00682CBF">
            <w:pPr>
              <w:rPr>
                <w:rFonts w:ascii="Times New Roman" w:hAnsi="Times New Roman" w:cs="Times New Roman"/>
                <w:color w:val="000000" w:themeColor="text1"/>
                <w:sz w:val="18"/>
                <w:szCs w:val="18"/>
              </w:rPr>
            </w:pPr>
            <w:r w:rsidRPr="00164238">
              <w:rPr>
                <w:rFonts w:ascii="Times New Roman" w:hAnsi="Times New Roman" w:cs="Times New Roman"/>
                <w:bCs/>
                <w:color w:val="000000" w:themeColor="text1"/>
                <w:sz w:val="18"/>
                <w:szCs w:val="18"/>
              </w:rPr>
              <w:t>Earned Premium (Gross)</w:t>
            </w:r>
          </w:p>
        </w:tc>
        <w:tc>
          <w:tcPr>
            <w:tcW w:w="99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374A3787" w14:textId="77777777" w:rsidR="00C54BC9" w:rsidRPr="00164238" w:rsidRDefault="00C54BC9" w:rsidP="00682CBF">
            <w:pPr>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76,491.1</w:t>
            </w:r>
          </w:p>
        </w:tc>
        <w:tc>
          <w:tcPr>
            <w:tcW w:w="89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35410565" w14:textId="77777777" w:rsidR="00C54BC9" w:rsidRPr="00164238" w:rsidRDefault="00C54BC9" w:rsidP="00682CBF">
            <w:pPr>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63,752.7</w:t>
            </w:r>
          </w:p>
        </w:tc>
        <w:tc>
          <w:tcPr>
            <w:tcW w:w="80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1A78B4E2" w14:textId="77777777" w:rsidR="00C54BC9" w:rsidRPr="00164238" w:rsidRDefault="00C54BC9" w:rsidP="00682CBF">
            <w:pPr>
              <w:jc w:val="center"/>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20.0%</w:t>
            </w:r>
          </w:p>
        </w:tc>
        <w:tc>
          <w:tcPr>
            <w:tcW w:w="60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23BFF6A1" w14:textId="77777777" w:rsidR="00C54BC9" w:rsidRPr="00164238" w:rsidRDefault="00C54BC9" w:rsidP="00682CBF">
            <w:pPr>
              <w:jc w:val="center"/>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4.7%</w:t>
            </w:r>
          </w:p>
        </w:tc>
      </w:tr>
      <w:tr w:rsidR="00164238" w:rsidRPr="00164238" w14:paraId="1E537379" w14:textId="77777777" w:rsidTr="00682CBF">
        <w:trPr>
          <w:trHeight w:val="20"/>
        </w:trPr>
        <w:tc>
          <w:tcPr>
            <w:tcW w:w="169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45206C8C" w14:textId="77777777" w:rsidR="00C54BC9" w:rsidRPr="00164238" w:rsidRDefault="00C54BC9" w:rsidP="00682CBF">
            <w:pPr>
              <w:rPr>
                <w:rFonts w:ascii="Times New Roman" w:hAnsi="Times New Roman" w:cs="Times New Roman"/>
                <w:color w:val="000000" w:themeColor="text1"/>
                <w:sz w:val="18"/>
                <w:szCs w:val="18"/>
              </w:rPr>
            </w:pPr>
            <w:r w:rsidRPr="00164238">
              <w:rPr>
                <w:rFonts w:ascii="Times New Roman" w:hAnsi="Times New Roman" w:cs="Times New Roman"/>
                <w:bCs/>
                <w:color w:val="000000" w:themeColor="text1"/>
                <w:sz w:val="18"/>
                <w:szCs w:val="18"/>
              </w:rPr>
              <w:t xml:space="preserve">Claims Incurred (Gross) </w:t>
            </w:r>
          </w:p>
        </w:tc>
        <w:tc>
          <w:tcPr>
            <w:tcW w:w="99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07F10A55" w14:textId="77777777" w:rsidR="00C54BC9" w:rsidRPr="00164238" w:rsidRDefault="00C54BC9" w:rsidP="00682CBF">
            <w:pPr>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(45,805.8)</w:t>
            </w:r>
          </w:p>
        </w:tc>
        <w:tc>
          <w:tcPr>
            <w:tcW w:w="89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45261FB1" w14:textId="77777777" w:rsidR="00C54BC9" w:rsidRPr="00164238" w:rsidRDefault="00C54BC9" w:rsidP="00682CBF">
            <w:pPr>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(40,851.2)</w:t>
            </w:r>
          </w:p>
        </w:tc>
        <w:tc>
          <w:tcPr>
            <w:tcW w:w="80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629AA7B5" w14:textId="77777777" w:rsidR="00C54BC9" w:rsidRPr="00164238" w:rsidRDefault="00C54BC9" w:rsidP="00682CBF">
            <w:pPr>
              <w:jc w:val="center"/>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12.1%</w:t>
            </w:r>
          </w:p>
        </w:tc>
        <w:tc>
          <w:tcPr>
            <w:tcW w:w="60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6220C5DC" w14:textId="77777777" w:rsidR="00C54BC9" w:rsidRPr="00164238" w:rsidRDefault="00C54BC9" w:rsidP="00682CBF">
            <w:pPr>
              <w:jc w:val="center"/>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-2.2%</w:t>
            </w:r>
          </w:p>
        </w:tc>
      </w:tr>
      <w:tr w:rsidR="00164238" w:rsidRPr="00164238" w14:paraId="0B0C5C0A" w14:textId="77777777" w:rsidTr="00682CBF">
        <w:trPr>
          <w:trHeight w:val="20"/>
        </w:trPr>
        <w:tc>
          <w:tcPr>
            <w:tcW w:w="169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0281A7AD" w14:textId="77777777" w:rsidR="00C54BC9" w:rsidRPr="00164238" w:rsidRDefault="00C54BC9" w:rsidP="00682CBF">
            <w:pPr>
              <w:jc w:val="right"/>
              <w:rPr>
                <w:rFonts w:ascii="Times New Roman" w:hAnsi="Times New Roman" w:cs="Times New Roman"/>
                <w:color w:val="000000" w:themeColor="text1"/>
                <w:sz w:val="18"/>
                <w:szCs w:val="18"/>
              </w:rPr>
            </w:pPr>
            <w:r w:rsidRPr="00164238">
              <w:rPr>
                <w:rFonts w:ascii="Times New Roman" w:hAnsi="Times New Roman" w:cs="Times New Roman"/>
                <w:b/>
                <w:bCs/>
                <w:color w:val="000000" w:themeColor="text1"/>
                <w:sz w:val="18"/>
                <w:szCs w:val="18"/>
              </w:rPr>
              <w:t>Claim Ratio (Gross)</w:t>
            </w:r>
          </w:p>
        </w:tc>
        <w:tc>
          <w:tcPr>
            <w:tcW w:w="99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430A4C99" w14:textId="77777777" w:rsidR="00C54BC9" w:rsidRPr="00164238" w:rsidRDefault="00C54BC9" w:rsidP="00682CBF">
            <w:pPr>
              <w:jc w:val="center"/>
              <w:rPr>
                <w:rFonts w:ascii="Times New Roman" w:hAnsi="Times New Roman" w:cs="Times New Roman"/>
                <w:b/>
                <w:color w:val="000000" w:themeColor="text1"/>
                <w:sz w:val="18"/>
                <w:szCs w:val="18"/>
              </w:rPr>
            </w:pPr>
            <w:r w:rsidRPr="00164238">
              <w:rPr>
                <w:rFonts w:ascii="Times New Roman" w:hAnsi="Times New Roman" w:cs="Times New Roman"/>
                <w:b/>
                <w:color w:val="000000" w:themeColor="text1"/>
                <w:sz w:val="18"/>
                <w:szCs w:val="18"/>
              </w:rPr>
              <w:t>59.9%</w:t>
            </w:r>
          </w:p>
        </w:tc>
        <w:tc>
          <w:tcPr>
            <w:tcW w:w="89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7D295EA0" w14:textId="77777777" w:rsidR="00C54BC9" w:rsidRPr="00164238" w:rsidRDefault="00C54BC9" w:rsidP="00682CBF">
            <w:pPr>
              <w:jc w:val="center"/>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64.1%</w:t>
            </w:r>
          </w:p>
        </w:tc>
        <w:tc>
          <w:tcPr>
            <w:tcW w:w="80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37201730" w14:textId="77777777" w:rsidR="00C54BC9" w:rsidRPr="00164238" w:rsidRDefault="00C54BC9" w:rsidP="00682CBF">
            <w:pPr>
              <w:jc w:val="center"/>
              <w:rPr>
                <w:rFonts w:ascii="Times New Roman" w:hAnsi="Times New Roman" w:cs="Times New Roman"/>
                <w:color w:val="000000" w:themeColor="text1"/>
                <w:sz w:val="18"/>
                <w:szCs w:val="18"/>
              </w:rPr>
            </w:pPr>
          </w:p>
        </w:tc>
        <w:tc>
          <w:tcPr>
            <w:tcW w:w="60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6526580A" w14:textId="77777777" w:rsidR="00C54BC9" w:rsidRPr="00164238" w:rsidRDefault="00C54BC9" w:rsidP="00682CBF">
            <w:pPr>
              <w:jc w:val="center"/>
              <w:rPr>
                <w:rFonts w:ascii="Times New Roman" w:hAnsi="Times New Roman" w:cs="Times New Roman"/>
                <w:color w:val="000000" w:themeColor="text1"/>
                <w:sz w:val="18"/>
                <w:szCs w:val="18"/>
              </w:rPr>
            </w:pPr>
          </w:p>
        </w:tc>
      </w:tr>
      <w:tr w:rsidR="00164238" w:rsidRPr="00164238" w14:paraId="41632D23" w14:textId="77777777" w:rsidTr="00682CBF">
        <w:trPr>
          <w:trHeight w:val="20"/>
        </w:trPr>
        <w:tc>
          <w:tcPr>
            <w:tcW w:w="169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7433AE64" w14:textId="77777777" w:rsidR="00C54BC9" w:rsidRPr="00164238" w:rsidRDefault="00C54BC9" w:rsidP="00682CBF">
            <w:pPr>
              <w:rPr>
                <w:rFonts w:ascii="Times New Roman" w:hAnsi="Times New Roman" w:cs="Times New Roman"/>
                <w:color w:val="000000" w:themeColor="text1"/>
                <w:sz w:val="18"/>
                <w:szCs w:val="18"/>
              </w:rPr>
            </w:pPr>
            <w:r w:rsidRPr="00164238">
              <w:rPr>
                <w:rFonts w:ascii="Times New Roman" w:hAnsi="Times New Roman" w:cs="Times New Roman"/>
                <w:bCs/>
                <w:color w:val="000000" w:themeColor="text1"/>
                <w:sz w:val="18"/>
                <w:szCs w:val="18"/>
              </w:rPr>
              <w:t>Financial Profit</w:t>
            </w:r>
          </w:p>
        </w:tc>
        <w:tc>
          <w:tcPr>
            <w:tcW w:w="99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7DB62C75" w14:textId="77777777" w:rsidR="00C54BC9" w:rsidRPr="00164238" w:rsidRDefault="00C54BC9" w:rsidP="00682CBF">
            <w:pPr>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1,985.0</w:t>
            </w:r>
          </w:p>
        </w:tc>
        <w:tc>
          <w:tcPr>
            <w:tcW w:w="89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50D487B4" w14:textId="77777777" w:rsidR="00C54BC9" w:rsidRPr="00164238" w:rsidRDefault="00C54BC9" w:rsidP="00682CBF">
            <w:pPr>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2,570.4</w:t>
            </w:r>
          </w:p>
        </w:tc>
        <w:tc>
          <w:tcPr>
            <w:tcW w:w="80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0466E055" w14:textId="77777777" w:rsidR="00C54BC9" w:rsidRPr="00164238" w:rsidRDefault="00C54BC9" w:rsidP="00682CBF">
            <w:pPr>
              <w:jc w:val="center"/>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-22.8%</w:t>
            </w:r>
          </w:p>
        </w:tc>
        <w:tc>
          <w:tcPr>
            <w:tcW w:w="60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79B8CB7B" w14:textId="77777777" w:rsidR="00C54BC9" w:rsidRPr="00164238" w:rsidRDefault="00C54BC9" w:rsidP="00682CBF">
            <w:pPr>
              <w:jc w:val="center"/>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-32.6%</w:t>
            </w:r>
          </w:p>
        </w:tc>
      </w:tr>
      <w:tr w:rsidR="00164238" w:rsidRPr="00164238" w14:paraId="5850B4C6" w14:textId="77777777" w:rsidTr="00682CBF">
        <w:trPr>
          <w:trHeight w:val="20"/>
        </w:trPr>
        <w:tc>
          <w:tcPr>
            <w:tcW w:w="169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14C77082" w14:textId="77777777" w:rsidR="00C54BC9" w:rsidRPr="00164238" w:rsidRDefault="00C54BC9" w:rsidP="00682CBF">
            <w:pPr>
              <w:jc w:val="right"/>
              <w:rPr>
                <w:rFonts w:ascii="Times New Roman" w:hAnsi="Times New Roman" w:cs="Times New Roman"/>
                <w:color w:val="000000" w:themeColor="text1"/>
                <w:sz w:val="18"/>
                <w:szCs w:val="18"/>
              </w:rPr>
            </w:pPr>
            <w:r w:rsidRPr="00164238">
              <w:rPr>
                <w:rFonts w:ascii="Times New Roman" w:hAnsi="Times New Roman" w:cs="Times New Roman"/>
                <w:b/>
                <w:bCs/>
                <w:color w:val="000000" w:themeColor="text1"/>
                <w:sz w:val="18"/>
                <w:szCs w:val="18"/>
              </w:rPr>
              <w:t>Financial Profitability</w:t>
            </w:r>
          </w:p>
        </w:tc>
        <w:tc>
          <w:tcPr>
            <w:tcW w:w="99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4233E812" w14:textId="77777777" w:rsidR="00C54BC9" w:rsidRPr="00164238" w:rsidRDefault="00C54BC9" w:rsidP="00682CBF">
            <w:pPr>
              <w:jc w:val="center"/>
              <w:rPr>
                <w:rFonts w:ascii="Times New Roman" w:hAnsi="Times New Roman" w:cs="Times New Roman"/>
                <w:b/>
                <w:color w:val="000000" w:themeColor="text1"/>
                <w:sz w:val="18"/>
                <w:szCs w:val="18"/>
              </w:rPr>
            </w:pPr>
            <w:r w:rsidRPr="00164238">
              <w:rPr>
                <w:rFonts w:ascii="Times New Roman" w:hAnsi="Times New Roman" w:cs="Times New Roman"/>
                <w:b/>
                <w:color w:val="000000" w:themeColor="text1"/>
                <w:sz w:val="18"/>
                <w:szCs w:val="18"/>
              </w:rPr>
              <w:t>2.3%</w:t>
            </w:r>
          </w:p>
        </w:tc>
        <w:tc>
          <w:tcPr>
            <w:tcW w:w="89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5C5AC0E5" w14:textId="77777777" w:rsidR="00C54BC9" w:rsidRPr="00164238" w:rsidRDefault="00C54BC9" w:rsidP="00682CBF">
            <w:pPr>
              <w:jc w:val="center"/>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3.6%</w:t>
            </w:r>
          </w:p>
        </w:tc>
        <w:tc>
          <w:tcPr>
            <w:tcW w:w="80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20A70089" w14:textId="77777777" w:rsidR="00C54BC9" w:rsidRPr="00164238" w:rsidRDefault="00C54BC9" w:rsidP="00682CBF">
            <w:pPr>
              <w:jc w:val="center"/>
              <w:rPr>
                <w:rFonts w:ascii="Times New Roman" w:hAnsi="Times New Roman" w:cs="Times New Roman"/>
                <w:color w:val="000000" w:themeColor="text1"/>
                <w:sz w:val="18"/>
                <w:szCs w:val="18"/>
              </w:rPr>
            </w:pPr>
          </w:p>
        </w:tc>
        <w:tc>
          <w:tcPr>
            <w:tcW w:w="60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41CC5E76" w14:textId="77777777" w:rsidR="00C54BC9" w:rsidRPr="00164238" w:rsidRDefault="00C54BC9" w:rsidP="00682CBF">
            <w:pPr>
              <w:jc w:val="center"/>
              <w:rPr>
                <w:rFonts w:ascii="Times New Roman" w:hAnsi="Times New Roman" w:cs="Times New Roman"/>
                <w:color w:val="000000" w:themeColor="text1"/>
                <w:sz w:val="18"/>
                <w:szCs w:val="18"/>
              </w:rPr>
            </w:pPr>
          </w:p>
        </w:tc>
      </w:tr>
      <w:tr w:rsidR="00164238" w:rsidRPr="00164238" w14:paraId="4B40F482" w14:textId="77777777" w:rsidTr="00682CBF">
        <w:trPr>
          <w:trHeight w:val="20"/>
        </w:trPr>
        <w:tc>
          <w:tcPr>
            <w:tcW w:w="169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2B33FCF4" w14:textId="77777777" w:rsidR="00C54BC9" w:rsidRPr="00164238" w:rsidRDefault="00C54BC9" w:rsidP="00682CBF">
            <w:pPr>
              <w:rPr>
                <w:rFonts w:ascii="Times New Roman" w:hAnsi="Times New Roman" w:cs="Times New Roman"/>
                <w:color w:val="000000" w:themeColor="text1"/>
                <w:sz w:val="18"/>
                <w:szCs w:val="18"/>
              </w:rPr>
            </w:pPr>
            <w:r w:rsidRPr="00164238">
              <w:rPr>
                <w:rFonts w:ascii="Times New Roman" w:hAnsi="Times New Roman" w:cs="Times New Roman"/>
                <w:bCs/>
                <w:color w:val="000000" w:themeColor="text1"/>
                <w:sz w:val="18"/>
                <w:szCs w:val="18"/>
              </w:rPr>
              <w:t>Balance Sheet Profit (after tax)</w:t>
            </w:r>
          </w:p>
        </w:tc>
        <w:tc>
          <w:tcPr>
            <w:tcW w:w="99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047BDB23" w14:textId="77777777" w:rsidR="00C54BC9" w:rsidRPr="00164238" w:rsidRDefault="00C54BC9" w:rsidP="00682CBF">
            <w:pPr>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10,505.2</w:t>
            </w:r>
          </w:p>
        </w:tc>
        <w:tc>
          <w:tcPr>
            <w:tcW w:w="89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1E926D90" w14:textId="77777777" w:rsidR="00C54BC9" w:rsidRPr="00164238" w:rsidRDefault="00C54BC9" w:rsidP="00682CBF">
            <w:pPr>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7,738.1</w:t>
            </w:r>
          </w:p>
        </w:tc>
        <w:tc>
          <w:tcPr>
            <w:tcW w:w="80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7281E85A" w14:textId="77777777" w:rsidR="00C54BC9" w:rsidRPr="00164238" w:rsidRDefault="00C54BC9" w:rsidP="00682CBF">
            <w:pPr>
              <w:jc w:val="center"/>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35.8%</w:t>
            </w:r>
          </w:p>
        </w:tc>
        <w:tc>
          <w:tcPr>
            <w:tcW w:w="60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7CBBC9FD" w14:textId="77777777" w:rsidR="00C54BC9" w:rsidRPr="00164238" w:rsidRDefault="00C54BC9" w:rsidP="00682CBF">
            <w:pPr>
              <w:jc w:val="center"/>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18.5%</w:t>
            </w:r>
          </w:p>
        </w:tc>
      </w:tr>
      <w:tr w:rsidR="00164238" w:rsidRPr="00164238" w14:paraId="03BF401C" w14:textId="77777777" w:rsidTr="00682CBF">
        <w:trPr>
          <w:trHeight w:val="20"/>
        </w:trPr>
        <w:tc>
          <w:tcPr>
            <w:tcW w:w="169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15F0F3F9" w14:textId="77777777" w:rsidR="00C54BC9" w:rsidRPr="00164238" w:rsidRDefault="00C54BC9" w:rsidP="00682CBF">
            <w:pPr>
              <w:jc w:val="right"/>
              <w:rPr>
                <w:rFonts w:ascii="Times New Roman" w:hAnsi="Times New Roman" w:cs="Times New Roman"/>
                <w:color w:val="000000" w:themeColor="text1"/>
                <w:sz w:val="18"/>
                <w:szCs w:val="18"/>
              </w:rPr>
            </w:pPr>
            <w:r w:rsidRPr="00164238">
              <w:rPr>
                <w:rFonts w:ascii="Times New Roman" w:hAnsi="Times New Roman" w:cs="Times New Roman"/>
                <w:b/>
                <w:bCs/>
                <w:color w:val="000000" w:themeColor="text1"/>
                <w:sz w:val="18"/>
                <w:szCs w:val="18"/>
              </w:rPr>
              <w:t>Balance Sheet Profitability</w:t>
            </w:r>
          </w:p>
        </w:tc>
        <w:tc>
          <w:tcPr>
            <w:tcW w:w="99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57CC5BA4" w14:textId="77777777" w:rsidR="00C54BC9" w:rsidRPr="00164238" w:rsidRDefault="00C54BC9" w:rsidP="00682CBF">
            <w:pPr>
              <w:jc w:val="center"/>
              <w:rPr>
                <w:rFonts w:ascii="Times New Roman" w:hAnsi="Times New Roman" w:cs="Times New Roman"/>
                <w:b/>
                <w:color w:val="000000" w:themeColor="text1"/>
                <w:sz w:val="18"/>
                <w:szCs w:val="18"/>
              </w:rPr>
            </w:pPr>
            <w:r w:rsidRPr="00164238">
              <w:rPr>
                <w:rFonts w:ascii="Times New Roman" w:hAnsi="Times New Roman" w:cs="Times New Roman"/>
                <w:b/>
                <w:color w:val="000000" w:themeColor="text1"/>
                <w:sz w:val="18"/>
                <w:szCs w:val="18"/>
              </w:rPr>
              <w:t>12.3%</w:t>
            </w:r>
          </w:p>
        </w:tc>
        <w:tc>
          <w:tcPr>
            <w:tcW w:w="89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55E487A8" w14:textId="77777777" w:rsidR="00C54BC9" w:rsidRPr="00164238" w:rsidRDefault="00C54BC9" w:rsidP="00682CBF">
            <w:pPr>
              <w:jc w:val="center"/>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10.9%</w:t>
            </w:r>
          </w:p>
        </w:tc>
        <w:tc>
          <w:tcPr>
            <w:tcW w:w="80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3B351325" w14:textId="77777777" w:rsidR="00C54BC9" w:rsidRPr="00164238" w:rsidRDefault="00C54BC9" w:rsidP="00682CBF">
            <w:pPr>
              <w:jc w:val="center"/>
              <w:rPr>
                <w:rFonts w:ascii="Times New Roman" w:hAnsi="Times New Roman" w:cs="Times New Roman"/>
                <w:color w:val="000000" w:themeColor="text1"/>
                <w:sz w:val="18"/>
                <w:szCs w:val="18"/>
              </w:rPr>
            </w:pPr>
          </w:p>
        </w:tc>
        <w:tc>
          <w:tcPr>
            <w:tcW w:w="60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7E2C477B" w14:textId="77777777" w:rsidR="00C54BC9" w:rsidRPr="00164238" w:rsidRDefault="00C54BC9" w:rsidP="00682CBF">
            <w:pPr>
              <w:jc w:val="center"/>
              <w:rPr>
                <w:rFonts w:ascii="Times New Roman" w:hAnsi="Times New Roman" w:cs="Times New Roman"/>
                <w:color w:val="000000" w:themeColor="text1"/>
                <w:sz w:val="18"/>
                <w:szCs w:val="18"/>
              </w:rPr>
            </w:pPr>
          </w:p>
        </w:tc>
      </w:tr>
      <w:tr w:rsidR="00164238" w:rsidRPr="00164238" w14:paraId="57FDF20C" w14:textId="77777777" w:rsidTr="00682CBF">
        <w:trPr>
          <w:trHeight w:val="20"/>
        </w:trPr>
        <w:tc>
          <w:tcPr>
            <w:tcW w:w="169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5B0B208D" w14:textId="77777777" w:rsidR="00C54BC9" w:rsidRPr="00164238" w:rsidRDefault="00C54BC9" w:rsidP="00682CBF">
            <w:pPr>
              <w:rPr>
                <w:rFonts w:ascii="Times New Roman" w:hAnsi="Times New Roman" w:cs="Times New Roman"/>
                <w:color w:val="000000" w:themeColor="text1"/>
                <w:sz w:val="18"/>
                <w:szCs w:val="18"/>
              </w:rPr>
            </w:pPr>
            <w:r w:rsidRPr="00164238">
              <w:rPr>
                <w:rFonts w:ascii="Times New Roman" w:hAnsi="Times New Roman" w:cs="Times New Roman"/>
                <w:bCs/>
                <w:color w:val="000000" w:themeColor="text1"/>
                <w:sz w:val="18"/>
                <w:szCs w:val="18"/>
              </w:rPr>
              <w:t>Shareholders’ Equity</w:t>
            </w:r>
          </w:p>
        </w:tc>
        <w:tc>
          <w:tcPr>
            <w:tcW w:w="99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54ECABC5" w14:textId="77777777" w:rsidR="00C54BC9" w:rsidRPr="00164238" w:rsidRDefault="00C54BC9" w:rsidP="00682CBF">
            <w:pPr>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38,523.9</w:t>
            </w:r>
          </w:p>
        </w:tc>
        <w:tc>
          <w:tcPr>
            <w:tcW w:w="89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168689A6" w14:textId="77777777" w:rsidR="00C54BC9" w:rsidRPr="00164238" w:rsidRDefault="00C54BC9" w:rsidP="00682CBF">
            <w:pPr>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30,816.2</w:t>
            </w:r>
          </w:p>
        </w:tc>
        <w:tc>
          <w:tcPr>
            <w:tcW w:w="80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425B5A0E" w14:textId="77777777" w:rsidR="00C54BC9" w:rsidRPr="00164238" w:rsidRDefault="00C54BC9" w:rsidP="00682CBF">
            <w:pPr>
              <w:jc w:val="center"/>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25.0%</w:t>
            </w:r>
          </w:p>
        </w:tc>
        <w:tc>
          <w:tcPr>
            <w:tcW w:w="60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459AA021" w14:textId="77777777" w:rsidR="00C54BC9" w:rsidRPr="00164238" w:rsidRDefault="00C54BC9" w:rsidP="00682CBF">
            <w:pPr>
              <w:jc w:val="center"/>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9.1%</w:t>
            </w:r>
          </w:p>
        </w:tc>
      </w:tr>
      <w:tr w:rsidR="00164238" w:rsidRPr="00164238" w14:paraId="70199CC4" w14:textId="77777777" w:rsidTr="00682CBF">
        <w:trPr>
          <w:trHeight w:val="20"/>
        </w:trPr>
        <w:tc>
          <w:tcPr>
            <w:tcW w:w="169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443B8AF4" w14:textId="77777777" w:rsidR="00C54BC9" w:rsidRPr="00164238" w:rsidRDefault="00C54BC9" w:rsidP="00682CBF">
            <w:pPr>
              <w:jc w:val="right"/>
              <w:rPr>
                <w:rFonts w:ascii="Times New Roman" w:hAnsi="Times New Roman" w:cs="Times New Roman"/>
                <w:color w:val="000000" w:themeColor="text1"/>
                <w:sz w:val="18"/>
                <w:szCs w:val="18"/>
              </w:rPr>
            </w:pPr>
            <w:r w:rsidRPr="00164238">
              <w:rPr>
                <w:rFonts w:ascii="Times New Roman" w:hAnsi="Times New Roman" w:cs="Times New Roman"/>
                <w:b/>
                <w:bCs/>
                <w:color w:val="000000" w:themeColor="text1"/>
                <w:sz w:val="18"/>
                <w:szCs w:val="18"/>
              </w:rPr>
              <w:lastRenderedPageBreak/>
              <w:t>Equity Profitability</w:t>
            </w:r>
          </w:p>
        </w:tc>
        <w:tc>
          <w:tcPr>
            <w:tcW w:w="99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3B4E8F41" w14:textId="77777777" w:rsidR="00C54BC9" w:rsidRPr="00164238" w:rsidRDefault="00C54BC9" w:rsidP="00682CBF">
            <w:pPr>
              <w:jc w:val="center"/>
              <w:rPr>
                <w:rFonts w:ascii="Times New Roman" w:hAnsi="Times New Roman" w:cs="Times New Roman"/>
                <w:b/>
                <w:color w:val="000000" w:themeColor="text1"/>
                <w:sz w:val="18"/>
                <w:szCs w:val="18"/>
              </w:rPr>
            </w:pPr>
            <w:r w:rsidRPr="00164238">
              <w:rPr>
                <w:rFonts w:ascii="Times New Roman" w:hAnsi="Times New Roman" w:cs="Times New Roman"/>
                <w:b/>
                <w:color w:val="000000" w:themeColor="text1"/>
                <w:sz w:val="18"/>
                <w:szCs w:val="18"/>
              </w:rPr>
              <w:t>27.3%</w:t>
            </w:r>
          </w:p>
        </w:tc>
        <w:tc>
          <w:tcPr>
            <w:tcW w:w="89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4FDA7792" w14:textId="77777777" w:rsidR="00C54BC9" w:rsidRPr="00164238" w:rsidRDefault="00C54BC9" w:rsidP="00682CBF">
            <w:pPr>
              <w:jc w:val="center"/>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25.1%</w:t>
            </w:r>
          </w:p>
        </w:tc>
        <w:tc>
          <w:tcPr>
            <w:tcW w:w="80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0B29F668" w14:textId="77777777" w:rsidR="00C54BC9" w:rsidRPr="00164238" w:rsidRDefault="00C54BC9" w:rsidP="00682CBF">
            <w:pPr>
              <w:jc w:val="center"/>
              <w:rPr>
                <w:rFonts w:ascii="Times New Roman" w:hAnsi="Times New Roman" w:cs="Times New Roman"/>
                <w:color w:val="000000" w:themeColor="text1"/>
                <w:sz w:val="18"/>
                <w:szCs w:val="18"/>
              </w:rPr>
            </w:pPr>
          </w:p>
        </w:tc>
        <w:tc>
          <w:tcPr>
            <w:tcW w:w="60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63DEA981" w14:textId="77777777" w:rsidR="00C54BC9" w:rsidRPr="00164238" w:rsidRDefault="00C54BC9" w:rsidP="00682CBF">
            <w:pPr>
              <w:jc w:val="center"/>
              <w:rPr>
                <w:rFonts w:ascii="Times New Roman" w:hAnsi="Times New Roman" w:cs="Times New Roman"/>
                <w:color w:val="000000" w:themeColor="text1"/>
                <w:sz w:val="18"/>
                <w:szCs w:val="18"/>
              </w:rPr>
            </w:pPr>
          </w:p>
        </w:tc>
      </w:tr>
      <w:tr w:rsidR="00164238" w:rsidRPr="00164238" w14:paraId="46485EE2" w14:textId="77777777" w:rsidTr="00682CBF">
        <w:trPr>
          <w:trHeight w:val="20"/>
        </w:trPr>
        <w:tc>
          <w:tcPr>
            <w:tcW w:w="169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21A0026B" w14:textId="77777777" w:rsidR="00C54BC9" w:rsidRPr="00164238" w:rsidRDefault="00C54BC9" w:rsidP="00682CBF">
            <w:pPr>
              <w:rPr>
                <w:rFonts w:ascii="Times New Roman" w:hAnsi="Times New Roman" w:cs="Times New Roman"/>
                <w:color w:val="000000" w:themeColor="text1"/>
                <w:sz w:val="18"/>
                <w:szCs w:val="18"/>
              </w:rPr>
            </w:pPr>
            <w:r w:rsidRPr="00164238">
              <w:rPr>
                <w:rFonts w:ascii="Times New Roman" w:hAnsi="Times New Roman" w:cs="Times New Roman"/>
                <w:bCs/>
                <w:color w:val="000000" w:themeColor="text1"/>
                <w:sz w:val="18"/>
                <w:szCs w:val="18"/>
              </w:rPr>
              <w:t>Total Asset</w:t>
            </w:r>
          </w:p>
        </w:tc>
        <w:tc>
          <w:tcPr>
            <w:tcW w:w="99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1289760D" w14:textId="77777777" w:rsidR="00C54BC9" w:rsidRPr="00164238" w:rsidRDefault="00C54BC9" w:rsidP="00682CBF">
            <w:pPr>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307,846.1</w:t>
            </w:r>
          </w:p>
        </w:tc>
        <w:tc>
          <w:tcPr>
            <w:tcW w:w="89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bottom"/>
            <w:hideMark/>
          </w:tcPr>
          <w:p w14:paraId="3E828686" w14:textId="77777777" w:rsidR="00C54BC9" w:rsidRPr="00164238" w:rsidRDefault="00C54BC9" w:rsidP="00682CBF">
            <w:pPr>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236,624.4</w:t>
            </w:r>
          </w:p>
        </w:tc>
        <w:tc>
          <w:tcPr>
            <w:tcW w:w="80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306F8631" w14:textId="77777777" w:rsidR="00C54BC9" w:rsidRPr="00164238" w:rsidRDefault="00C54BC9" w:rsidP="00682CBF">
            <w:pPr>
              <w:jc w:val="center"/>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30.1%</w:t>
            </w:r>
          </w:p>
        </w:tc>
        <w:tc>
          <w:tcPr>
            <w:tcW w:w="60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417BD287" w14:textId="77777777" w:rsidR="00C54BC9" w:rsidRPr="00164238" w:rsidRDefault="00C54BC9" w:rsidP="00682CBF">
            <w:pPr>
              <w:jc w:val="center"/>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13.5%</w:t>
            </w:r>
          </w:p>
        </w:tc>
      </w:tr>
      <w:tr w:rsidR="00164238" w:rsidRPr="00164238" w14:paraId="3965EC51" w14:textId="77777777" w:rsidTr="00682CBF">
        <w:trPr>
          <w:trHeight w:val="20"/>
        </w:trPr>
        <w:tc>
          <w:tcPr>
            <w:tcW w:w="1694"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616CD5C6" w14:textId="77777777" w:rsidR="00C54BC9" w:rsidRPr="00164238" w:rsidRDefault="00C54BC9" w:rsidP="00682CBF">
            <w:pPr>
              <w:jc w:val="right"/>
              <w:rPr>
                <w:rFonts w:ascii="Times New Roman" w:hAnsi="Times New Roman" w:cs="Times New Roman"/>
                <w:color w:val="000000" w:themeColor="text1"/>
                <w:sz w:val="18"/>
                <w:szCs w:val="18"/>
              </w:rPr>
            </w:pPr>
            <w:r w:rsidRPr="00164238">
              <w:rPr>
                <w:rFonts w:ascii="Times New Roman" w:hAnsi="Times New Roman" w:cs="Times New Roman"/>
                <w:b/>
                <w:bCs/>
                <w:color w:val="000000" w:themeColor="text1"/>
                <w:sz w:val="18"/>
                <w:szCs w:val="18"/>
              </w:rPr>
              <w:t>Asset Profitability</w:t>
            </w:r>
          </w:p>
        </w:tc>
        <w:tc>
          <w:tcPr>
            <w:tcW w:w="99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2751E652" w14:textId="77777777" w:rsidR="00C54BC9" w:rsidRPr="00164238" w:rsidRDefault="00C54BC9" w:rsidP="00682CBF">
            <w:pPr>
              <w:jc w:val="center"/>
              <w:rPr>
                <w:rFonts w:ascii="Times New Roman" w:hAnsi="Times New Roman" w:cs="Times New Roman"/>
                <w:b/>
                <w:color w:val="000000" w:themeColor="text1"/>
                <w:sz w:val="18"/>
                <w:szCs w:val="18"/>
              </w:rPr>
            </w:pPr>
            <w:r w:rsidRPr="00164238">
              <w:rPr>
                <w:rFonts w:ascii="Times New Roman" w:hAnsi="Times New Roman" w:cs="Times New Roman"/>
                <w:b/>
                <w:color w:val="000000" w:themeColor="text1"/>
                <w:sz w:val="18"/>
                <w:szCs w:val="18"/>
              </w:rPr>
              <w:t>3.4%</w:t>
            </w:r>
          </w:p>
        </w:tc>
        <w:tc>
          <w:tcPr>
            <w:tcW w:w="899"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0BFDA605" w14:textId="77777777" w:rsidR="00C54BC9" w:rsidRPr="00164238" w:rsidRDefault="00C54BC9" w:rsidP="00682CBF">
            <w:pPr>
              <w:jc w:val="center"/>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3.3%</w:t>
            </w:r>
          </w:p>
        </w:tc>
        <w:tc>
          <w:tcPr>
            <w:tcW w:w="800"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1CD6B335" w14:textId="77777777" w:rsidR="00C54BC9" w:rsidRPr="00164238" w:rsidRDefault="00C54BC9" w:rsidP="00682CBF">
            <w:pPr>
              <w:rPr>
                <w:rFonts w:ascii="Times New Roman" w:hAnsi="Times New Roman" w:cs="Times New Roman"/>
                <w:color w:val="000000" w:themeColor="text1"/>
                <w:sz w:val="18"/>
                <w:szCs w:val="18"/>
              </w:rPr>
            </w:pPr>
          </w:p>
        </w:tc>
        <w:tc>
          <w:tcPr>
            <w:tcW w:w="608" w:type="pct"/>
            <w:tcBorders>
              <w:top w:val="single" w:sz="8" w:space="0" w:color="000000"/>
              <w:left w:val="single" w:sz="8" w:space="0" w:color="000000"/>
              <w:bottom w:val="single" w:sz="8" w:space="0" w:color="000000"/>
              <w:right w:val="single" w:sz="8" w:space="0" w:color="000000"/>
            </w:tcBorders>
            <w:shd w:val="clear" w:color="auto" w:fill="FFFFFF"/>
            <w:tcMar>
              <w:top w:w="10" w:type="dxa"/>
              <w:left w:w="10" w:type="dxa"/>
              <w:bottom w:w="0" w:type="dxa"/>
              <w:right w:w="10" w:type="dxa"/>
            </w:tcMar>
            <w:vAlign w:val="center"/>
            <w:hideMark/>
          </w:tcPr>
          <w:p w14:paraId="73A5C43A" w14:textId="77777777" w:rsidR="00C54BC9" w:rsidRPr="00164238" w:rsidRDefault="00C54BC9" w:rsidP="00682CBF">
            <w:pPr>
              <w:rPr>
                <w:rFonts w:ascii="Times New Roman" w:hAnsi="Times New Roman" w:cs="Times New Roman"/>
                <w:color w:val="000000" w:themeColor="text1"/>
                <w:sz w:val="18"/>
                <w:szCs w:val="18"/>
              </w:rPr>
            </w:pPr>
          </w:p>
        </w:tc>
      </w:tr>
    </w:tbl>
    <w:p w14:paraId="1627B406" w14:textId="77777777" w:rsidR="00C54BC9" w:rsidRPr="00164238" w:rsidRDefault="00C54BC9" w:rsidP="00C54BC9">
      <w:pPr>
        <w:spacing w:after="120" w:line="276" w:lineRule="auto"/>
        <w:jc w:val="both"/>
        <w:rPr>
          <w:rFonts w:ascii="Times New Roman" w:hAnsi="Times New Roman" w:cs="Times New Roman"/>
          <w:color w:val="000000" w:themeColor="text1"/>
        </w:rPr>
      </w:pPr>
      <w:r w:rsidRPr="00164238">
        <w:rPr>
          <w:rFonts w:ascii="Times New Roman" w:hAnsi="Times New Roman" w:cs="Times New Roman"/>
          <w:i/>
          <w:color w:val="000000" w:themeColor="text1"/>
        </w:rPr>
        <w:t>Source:</w:t>
      </w:r>
      <w:r w:rsidRPr="00164238">
        <w:rPr>
          <w:rFonts w:ascii="Times New Roman" w:hAnsi="Times New Roman" w:cs="Times New Roman"/>
          <w:color w:val="000000" w:themeColor="text1"/>
        </w:rPr>
        <w:t xml:space="preserve"> Insurance Association of Turkey</w:t>
      </w:r>
    </w:p>
    <w:p w14:paraId="0C32006E" w14:textId="77777777" w:rsidR="00C54BC9" w:rsidRPr="00164238" w:rsidRDefault="00C54BC9" w:rsidP="00C54BC9">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When evaluated together with the reinsurance companies, the gross premium volume in the insurance industry is 85,607 million TRY with an increase of 20.6% (5.2% in real terms). In Table 12, it is seen that the claim ratio of the insurance industry decreased from 64% to 59%. While the technical, balance sheet, equity and asset profitability of the sector increased, it is seen that the financial profitability decreased from 3.6% to 2.3%, compared to 2019.</w:t>
      </w:r>
    </w:p>
    <w:p w14:paraId="754742EA" w14:textId="77777777" w:rsidR="00C54BC9" w:rsidRPr="00164238" w:rsidRDefault="00C54BC9" w:rsidP="00C54BC9">
      <w:pPr>
        <w:pStyle w:val="GvdeMetni2"/>
        <w:spacing w:line="276" w:lineRule="auto"/>
        <w:ind w:firstLine="567"/>
        <w:jc w:val="both"/>
        <w:rPr>
          <w:b/>
          <w:color w:val="000000" w:themeColor="text1"/>
        </w:rPr>
      </w:pPr>
      <w:r w:rsidRPr="00164238">
        <w:rPr>
          <w:b/>
          <w:color w:val="000000" w:themeColor="text1"/>
        </w:rPr>
        <w:t>CONCLUSION AND DISCUSSION</w:t>
      </w:r>
    </w:p>
    <w:p w14:paraId="49DF0BBC" w14:textId="77777777" w:rsidR="00C54BC9" w:rsidRPr="00164238" w:rsidRDefault="00C54BC9" w:rsidP="00C54BC9">
      <w:pPr>
        <w:pStyle w:val="GvdeMetni2"/>
        <w:spacing w:before="120" w:line="276" w:lineRule="auto"/>
        <w:ind w:firstLine="562"/>
        <w:jc w:val="both"/>
        <w:rPr>
          <w:color w:val="000000" w:themeColor="text1"/>
        </w:rPr>
      </w:pPr>
      <w:r w:rsidRPr="00164238">
        <w:rPr>
          <w:color w:val="000000" w:themeColor="text1"/>
        </w:rPr>
        <w:t>While the uncertainty environment caused by the coronavirus has made a large part of the society insecure, it has forced insurance companies to take important duties and responsibilities. Insurance companies have been affected by the pandemic process in terms of claims processes, results and development of their portfolios. Insurance companies that successfully manage this process can gain the trust of individuals and create a loyal customer portfolio. The impact of the epidemic on individuals and companies has once again demonstrated the importance of life and property insurance, especially with the impact of the Izmir earthquake that occurred during the pandemic period.</w:t>
      </w:r>
    </w:p>
    <w:p w14:paraId="0CD20789" w14:textId="77777777" w:rsidR="00C54BC9" w:rsidRPr="00164238" w:rsidRDefault="00C54BC9" w:rsidP="00C54BC9">
      <w:pPr>
        <w:pStyle w:val="GvdeMetni2"/>
        <w:spacing w:before="120" w:line="276" w:lineRule="auto"/>
        <w:ind w:firstLine="562"/>
        <w:jc w:val="both"/>
        <w:rPr>
          <w:color w:val="000000" w:themeColor="text1"/>
        </w:rPr>
      </w:pPr>
      <w:r w:rsidRPr="00164238">
        <w:rPr>
          <w:color w:val="000000" w:themeColor="text1"/>
        </w:rPr>
        <w:t>According to the results, it was observed that in the forth quarter of 2020, while the technical, balance sheet, equity and asset profitability ratios of the insurance industry have increased compared to the forth quarter of 2019, the financial profitability ratio has decreased. Although the increase in the total of gross premium was 19.3%, the real growth was 4.3%, and claim rate decreased from 63.6% to 59.5%. While the real growth in direct premium volume in travel health insurance and motor insurance has been decreasing since March 2020; there has been an increase in complementary health insurances and subsidized receivables insurances. It was also observed that the number of employees in the industry increased by 4% at the end of 2020 to 20.417 people.</w:t>
      </w:r>
    </w:p>
    <w:p w14:paraId="7077DD3F" w14:textId="77777777" w:rsidR="00C54BC9" w:rsidRPr="00164238" w:rsidRDefault="00C54BC9" w:rsidP="00C54BC9">
      <w:pPr>
        <w:pStyle w:val="GvdeMetni2"/>
        <w:spacing w:before="120" w:line="276" w:lineRule="auto"/>
        <w:ind w:firstLine="562"/>
        <w:jc w:val="both"/>
        <w:rPr>
          <w:color w:val="000000" w:themeColor="text1"/>
        </w:rPr>
      </w:pPr>
      <w:r w:rsidRPr="00164238">
        <w:rPr>
          <w:color w:val="000000" w:themeColor="text1"/>
        </w:rPr>
        <w:t>The fact that the insureds postponed their non-urgent treatment or did not have routine check-ups because they were afraid of infection, reduced compensation payments in health &amp; sickness insurances (Mercer Marsh Benefits, 2020: 33). However, it should be kept in mind that delayed treatments will result in higher compensation in the future. Similarly, when there are curfews, the decrease in traffic accidents caused a significant decrease in the claim ratios in motor and traffic insurances. In addition to the overall growth in premium volume, perhaps the more important factor, the decrease in claim ratio, has increased the profitability of insurance companies. Therefore, while the impacts of the COVID-19 pandemic are still ongoing, based on the increase in the technical, balance sheet, equity and asset profitability and the decrease in claim rates of the insurance industry compared to 2019, it can be said that, the Turkish insurance industry has performed well in the one-year period.</w:t>
      </w:r>
    </w:p>
    <w:p w14:paraId="416FA8DB" w14:textId="77777777" w:rsidR="00C54BC9" w:rsidRPr="00164238" w:rsidRDefault="00C54BC9" w:rsidP="00C54BC9">
      <w:pPr>
        <w:pStyle w:val="GvdeMetni2"/>
        <w:spacing w:before="120" w:line="276" w:lineRule="auto"/>
        <w:ind w:firstLine="562"/>
        <w:jc w:val="both"/>
        <w:rPr>
          <w:color w:val="000000" w:themeColor="text1"/>
        </w:rPr>
      </w:pPr>
      <w:r w:rsidRPr="00164238">
        <w:rPr>
          <w:color w:val="000000" w:themeColor="text1"/>
        </w:rPr>
        <w:t>During the Covid-19 period, the possibility of being exposed to cyber attacks has increased with the decision of many sectors to work remotely. It can be said that this situation increases the demands to the cyber risk insurances in order to protect the personal data of individuals and to prevent the risks of business interruption due to cyber attacks. Therefore, the pandemic contributed to the increase in product diversity and demand in the field of insurance. In addition, with the increase in insurance awareness, it can be said that individuals and companies will continue their demands for insurance in the future.</w:t>
      </w:r>
    </w:p>
    <w:p w14:paraId="73ADB3D8" w14:textId="77777777" w:rsidR="00C54BC9" w:rsidRPr="00164238" w:rsidRDefault="00C54BC9" w:rsidP="00C54BC9">
      <w:pPr>
        <w:pStyle w:val="GvdeMetni2"/>
        <w:spacing w:before="120" w:line="276" w:lineRule="auto"/>
        <w:ind w:firstLine="562"/>
        <w:jc w:val="both"/>
        <w:rPr>
          <w:color w:val="000000" w:themeColor="text1"/>
        </w:rPr>
      </w:pPr>
      <w:r w:rsidRPr="00164238">
        <w:rPr>
          <w:color w:val="000000" w:themeColor="text1"/>
        </w:rPr>
        <w:t xml:space="preserve">The insurance industry is both a sector that can develop depending on the growth of other sectors and a leading sector for the growth of other sectors and the country's economy. The development of other </w:t>
      </w:r>
      <w:r w:rsidRPr="00164238">
        <w:rPr>
          <w:color w:val="000000" w:themeColor="text1"/>
        </w:rPr>
        <w:lastRenderedPageBreak/>
        <w:t>sectors will also increase the values to be insured. In addition, the development of the insurance system will contribute to the development of the country's economy by reducing some of the burdens on the public such as health expenses, loans receivable and profit losses. Therefore, for a healthy country economy, insurance awareness and the number of insured individuals should increase.</w:t>
      </w:r>
    </w:p>
    <w:p w14:paraId="69D960F3" w14:textId="2CD2A40F" w:rsidR="00C54BC9" w:rsidRPr="00164238" w:rsidRDefault="00C54BC9" w:rsidP="00C54BC9">
      <w:pPr>
        <w:spacing w:before="120"/>
        <w:ind w:firstLine="567"/>
        <w:jc w:val="both"/>
        <w:rPr>
          <w:rFonts w:ascii="Times New Roman" w:hAnsi="Times New Roman" w:cs="Times New Roman"/>
          <w:b/>
          <w:color w:val="000000" w:themeColor="text1"/>
        </w:rPr>
      </w:pPr>
      <w:r w:rsidRPr="00164238">
        <w:rPr>
          <w:rFonts w:ascii="Times New Roman" w:hAnsi="Times New Roman" w:cs="Times New Roman"/>
          <w:b/>
          <w:color w:val="000000" w:themeColor="text1"/>
        </w:rPr>
        <w:t>R</w:t>
      </w:r>
      <w:r w:rsidR="00E0308F">
        <w:rPr>
          <w:rFonts w:ascii="Times New Roman" w:hAnsi="Times New Roman" w:cs="Times New Roman"/>
          <w:b/>
          <w:color w:val="000000" w:themeColor="text1"/>
        </w:rPr>
        <w:t>eferences</w:t>
      </w:r>
    </w:p>
    <w:p w14:paraId="5369314E" w14:textId="77777777" w:rsidR="00C54BC9" w:rsidRPr="00164238" w:rsidRDefault="00C54BC9" w:rsidP="00C54BC9">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Allianz Sigorta A.Ş. (2020). </w:t>
      </w:r>
      <w:r w:rsidRPr="00164238">
        <w:rPr>
          <w:rFonts w:ascii="Times New Roman" w:hAnsi="Times New Roman" w:cs="Times New Roman"/>
          <w:i/>
          <w:color w:val="000000" w:themeColor="text1"/>
        </w:rPr>
        <w:t>1 Ocak-31 Aralık 2020 Konsolide Finansal Tablolar ve Bağımsız Denetim Raporu</w:t>
      </w:r>
      <w:r w:rsidRPr="00164238">
        <w:rPr>
          <w:rFonts w:ascii="Times New Roman" w:hAnsi="Times New Roman" w:cs="Times New Roman"/>
          <w:color w:val="000000" w:themeColor="text1"/>
        </w:rPr>
        <w:t xml:space="preserve">. </w:t>
      </w:r>
    </w:p>
    <w:p w14:paraId="05954DD0" w14:textId="77777777" w:rsidR="00C54BC9" w:rsidRPr="00164238" w:rsidRDefault="00C54BC9" w:rsidP="00C54BC9">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Aydın, E., &amp; Korkmaz, Y. (2020). </w:t>
      </w:r>
      <w:r w:rsidRPr="00164238">
        <w:rPr>
          <w:rFonts w:ascii="Times New Roman" w:hAnsi="Times New Roman" w:cs="Times New Roman"/>
          <w:i/>
          <w:color w:val="000000" w:themeColor="text1"/>
        </w:rPr>
        <w:t>COVID-19 Salgınının Özel Sağlık Sigortaları Kapsamında Değerlendirilmesi</w:t>
      </w:r>
      <w:r w:rsidRPr="00164238">
        <w:rPr>
          <w:rFonts w:ascii="Times New Roman" w:hAnsi="Times New Roman" w:cs="Times New Roman"/>
          <w:color w:val="000000" w:themeColor="text1"/>
        </w:rPr>
        <w:t>. sen.bn.0018/2020/16.04.</w:t>
      </w:r>
    </w:p>
    <w:p w14:paraId="4BD6DB2F" w14:textId="77777777" w:rsidR="00C54BC9" w:rsidRPr="00164238" w:rsidRDefault="00C54BC9" w:rsidP="00C54BC9">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Berkdemir, S. &amp; Altun, N. (2018). </w:t>
      </w:r>
      <w:r w:rsidRPr="00164238">
        <w:rPr>
          <w:rFonts w:ascii="Times New Roman" w:hAnsi="Times New Roman" w:cs="Times New Roman"/>
          <w:i/>
          <w:color w:val="000000" w:themeColor="text1"/>
        </w:rPr>
        <w:t>Sigorta Sektöründe Oran Analizi ve Puanlama Yöntemi</w:t>
      </w:r>
      <w:r w:rsidRPr="00164238">
        <w:rPr>
          <w:rFonts w:ascii="Times New Roman" w:hAnsi="Times New Roman" w:cs="Times New Roman"/>
          <w:color w:val="000000" w:themeColor="text1"/>
        </w:rPr>
        <w:t>. Sakarya İktisat Dergisi Cilt 7, Sayı 1, 2018, 70-91.</w:t>
      </w:r>
    </w:p>
    <w:p w14:paraId="0CA383E0" w14:textId="77777777" w:rsidR="00C54BC9" w:rsidRPr="00164238" w:rsidRDefault="00C54BC9" w:rsidP="00C54BC9">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Mercer Marsh Benefits. (2020). </w:t>
      </w:r>
      <w:r w:rsidRPr="00164238">
        <w:rPr>
          <w:rFonts w:ascii="Times New Roman" w:hAnsi="Times New Roman" w:cs="Times New Roman"/>
          <w:i/>
          <w:color w:val="000000" w:themeColor="text1"/>
        </w:rPr>
        <w:t>Benefits That Truly Benefit: Insurer Perspective.</w:t>
      </w:r>
      <w:r w:rsidRPr="00164238">
        <w:rPr>
          <w:rFonts w:ascii="Times New Roman" w:hAnsi="Times New Roman" w:cs="Times New Roman"/>
          <w:color w:val="000000" w:themeColor="text1"/>
        </w:rPr>
        <w:t xml:space="preserve"> MMB Health Trends: 2020 Insurer Survey.</w:t>
      </w:r>
    </w:p>
    <w:p w14:paraId="7806EE21" w14:textId="77777777" w:rsidR="00C54BC9" w:rsidRPr="00164238" w:rsidRDefault="00C54BC9" w:rsidP="00C54BC9">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Şenocak, A., &amp; Karakaşlar, M. (2020). </w:t>
      </w:r>
      <w:r w:rsidRPr="00164238">
        <w:rPr>
          <w:rFonts w:ascii="Times New Roman" w:hAnsi="Times New Roman" w:cs="Times New Roman"/>
          <w:i/>
          <w:color w:val="000000" w:themeColor="text1"/>
        </w:rPr>
        <w:t>Sigortacılık Sektöründe Covıd-19 Salgını İle Bağlantılı Güncel Gelişmeler</w:t>
      </w:r>
      <w:r w:rsidRPr="00164238">
        <w:rPr>
          <w:rFonts w:ascii="Times New Roman" w:hAnsi="Times New Roman" w:cs="Times New Roman"/>
          <w:color w:val="000000" w:themeColor="text1"/>
        </w:rPr>
        <w:t>, Gıde Loyrette Nouel Danışmanlık Hizmetleri Avukatlık Ortaklığı.</w:t>
      </w:r>
    </w:p>
    <w:p w14:paraId="3CEA6C50" w14:textId="77777777" w:rsidR="00C54BC9" w:rsidRPr="00164238" w:rsidRDefault="00C54BC9" w:rsidP="00C54BC9">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Türkiye Sigorta ve Reasürans Şirketleri Birliği. (</w:t>
      </w:r>
      <w:hyperlink r:id="rId147" w:history="1">
        <w:r w:rsidRPr="00164238">
          <w:rPr>
            <w:rStyle w:val="Balk1Char"/>
            <w:rFonts w:ascii="Times New Roman" w:eastAsiaTheme="minorHAnsi" w:hAnsi="Times New Roman" w:cs="Times New Roman"/>
            <w:color w:val="000000" w:themeColor="text1"/>
            <w:sz w:val="22"/>
            <w:szCs w:val="22"/>
          </w:rPr>
          <w:t>http://www.tsb.org.tr/</w:t>
        </w:r>
      </w:hyperlink>
      <w:r w:rsidRPr="00164238">
        <w:rPr>
          <w:rFonts w:ascii="Times New Roman" w:hAnsi="Times New Roman" w:cs="Times New Roman"/>
          <w:color w:val="000000" w:themeColor="text1"/>
        </w:rPr>
        <w:t>) (Accessed on 20 March 2021).</w:t>
      </w:r>
    </w:p>
    <w:p w14:paraId="084A0A83" w14:textId="77777777" w:rsidR="00C54BC9" w:rsidRPr="00164238" w:rsidRDefault="00C54BC9" w:rsidP="00C54BC9">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World Bank Group. (2020). </w:t>
      </w:r>
      <w:r w:rsidRPr="00164238">
        <w:rPr>
          <w:rFonts w:ascii="Times New Roman" w:hAnsi="Times New Roman" w:cs="Times New Roman"/>
          <w:i/>
          <w:color w:val="000000" w:themeColor="text1"/>
        </w:rPr>
        <w:t>COVID-19 Outbreak: Insurance Implications and Response.</w:t>
      </w:r>
      <w:r w:rsidRPr="00164238">
        <w:rPr>
          <w:rFonts w:ascii="Times New Roman" w:hAnsi="Times New Roman" w:cs="Times New Roman"/>
          <w:color w:val="000000" w:themeColor="text1"/>
        </w:rPr>
        <w:t xml:space="preserve"> Equitable Growth, Finance and Instituations, Covid-19 Notes, Financial Series. </w:t>
      </w:r>
    </w:p>
    <w:p w14:paraId="1B820814" w14:textId="77777777" w:rsidR="00C54BC9" w:rsidRPr="00164238" w:rsidRDefault="00C54BC9" w:rsidP="00C54BC9">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World Health Organization - WHO. </w:t>
      </w:r>
      <w:r w:rsidRPr="00164238">
        <w:rPr>
          <w:rFonts w:ascii="Times New Roman" w:hAnsi="Times New Roman" w:cs="Times New Roman"/>
          <w:i/>
          <w:color w:val="000000" w:themeColor="text1"/>
        </w:rPr>
        <w:t>Coronavirus Disease (COVID-19) Dashboard</w:t>
      </w:r>
      <w:r w:rsidRPr="00164238">
        <w:rPr>
          <w:rFonts w:ascii="Times New Roman" w:hAnsi="Times New Roman" w:cs="Times New Roman"/>
          <w:color w:val="000000" w:themeColor="text1"/>
        </w:rPr>
        <w:t>. (Accessed on 20 March 2021).</w:t>
      </w:r>
    </w:p>
    <w:p w14:paraId="5565FB67" w14:textId="77777777" w:rsidR="00C54BC9" w:rsidRPr="00164238" w:rsidRDefault="00C54BC9" w:rsidP="00C54BC9">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Yong, J,. (2020). </w:t>
      </w:r>
      <w:r w:rsidRPr="00164238">
        <w:rPr>
          <w:rFonts w:ascii="Times New Roman" w:hAnsi="Times New Roman" w:cs="Times New Roman"/>
          <w:i/>
          <w:color w:val="000000" w:themeColor="text1"/>
        </w:rPr>
        <w:t>Insurance regulatory measures in response to Covid-19.</w:t>
      </w:r>
      <w:r w:rsidRPr="00164238">
        <w:rPr>
          <w:rFonts w:ascii="Times New Roman" w:hAnsi="Times New Roman" w:cs="Times New Roman"/>
          <w:color w:val="000000" w:themeColor="text1"/>
        </w:rPr>
        <w:t xml:space="preserve"> BIS, Financial Stability Institute. </w:t>
      </w:r>
    </w:p>
    <w:p w14:paraId="446A74F6" w14:textId="77777777" w:rsidR="00C54BC9" w:rsidRPr="00164238" w:rsidRDefault="00E839E1" w:rsidP="00C54BC9">
      <w:pPr>
        <w:autoSpaceDE w:val="0"/>
        <w:autoSpaceDN w:val="0"/>
        <w:adjustRightInd w:val="0"/>
        <w:spacing w:before="120"/>
        <w:ind w:left="567" w:hanging="567"/>
        <w:jc w:val="both"/>
        <w:rPr>
          <w:rFonts w:ascii="Times New Roman" w:hAnsi="Times New Roman" w:cs="Times New Roman"/>
          <w:color w:val="000000" w:themeColor="text1"/>
        </w:rPr>
      </w:pPr>
      <w:hyperlink r:id="rId148" w:history="1">
        <w:bookmarkStart w:id="79" w:name="_Toc72352758"/>
        <w:bookmarkStart w:id="80" w:name="_Toc72961692"/>
        <w:r w:rsidR="00C54BC9" w:rsidRPr="00164238">
          <w:rPr>
            <w:rStyle w:val="Balk1Char"/>
            <w:rFonts w:ascii="Times New Roman" w:eastAsiaTheme="minorHAnsi" w:hAnsi="Times New Roman" w:cs="Times New Roman"/>
            <w:color w:val="000000" w:themeColor="text1"/>
            <w:sz w:val="22"/>
            <w:szCs w:val="22"/>
          </w:rPr>
          <w:t>https://www.who.int/emergencies/diseases/novel-coronavirus-2019/interactive-timeline</w:t>
        </w:r>
        <w:bookmarkEnd w:id="79"/>
        <w:bookmarkEnd w:id="80"/>
      </w:hyperlink>
      <w:r w:rsidR="00C54BC9" w:rsidRPr="00164238">
        <w:rPr>
          <w:rFonts w:ascii="Times New Roman" w:hAnsi="Times New Roman" w:cs="Times New Roman"/>
          <w:color w:val="000000" w:themeColor="text1"/>
        </w:rPr>
        <w:t xml:space="preserve"> (Accessed on 10 April 2021).</w:t>
      </w:r>
    </w:p>
    <w:p w14:paraId="4315D357" w14:textId="77777777" w:rsidR="00C54BC9" w:rsidRPr="00164238" w:rsidRDefault="00E839E1" w:rsidP="00C54BC9">
      <w:pPr>
        <w:autoSpaceDE w:val="0"/>
        <w:autoSpaceDN w:val="0"/>
        <w:adjustRightInd w:val="0"/>
        <w:spacing w:before="120"/>
        <w:ind w:left="567" w:hanging="567"/>
        <w:jc w:val="both"/>
        <w:rPr>
          <w:rFonts w:ascii="Times New Roman" w:hAnsi="Times New Roman" w:cs="Times New Roman"/>
          <w:color w:val="000000" w:themeColor="text1"/>
        </w:rPr>
      </w:pPr>
      <w:hyperlink r:id="rId149" w:history="1">
        <w:bookmarkStart w:id="81" w:name="_Toc72352759"/>
        <w:bookmarkStart w:id="82" w:name="_Toc72961693"/>
        <w:r w:rsidR="00C54BC9" w:rsidRPr="00164238">
          <w:rPr>
            <w:rStyle w:val="Balk1Char"/>
            <w:rFonts w:ascii="Times New Roman" w:eastAsiaTheme="minorHAnsi" w:hAnsi="Times New Roman" w:cs="Times New Roman"/>
            <w:color w:val="000000" w:themeColor="text1"/>
            <w:sz w:val="22"/>
            <w:szCs w:val="22"/>
          </w:rPr>
          <w:t>https://www.egm.org.tr/data-center/statistics/ips-statistics/summary-ips-data/</w:t>
        </w:r>
        <w:bookmarkEnd w:id="81"/>
        <w:bookmarkEnd w:id="82"/>
      </w:hyperlink>
      <w:r w:rsidR="00C54BC9" w:rsidRPr="00164238">
        <w:rPr>
          <w:rFonts w:ascii="Times New Roman" w:hAnsi="Times New Roman" w:cs="Times New Roman"/>
          <w:color w:val="000000" w:themeColor="text1"/>
        </w:rPr>
        <w:t xml:space="preserve"> (Accessed on 20 March 2021).</w:t>
      </w:r>
    </w:p>
    <w:p w14:paraId="37597F81" w14:textId="09ACF422" w:rsidR="00C54BC9" w:rsidRDefault="00C54BC9" w:rsidP="00C54BC9">
      <w:pPr>
        <w:autoSpaceDE w:val="0"/>
        <w:autoSpaceDN w:val="0"/>
        <w:adjustRightInd w:val="0"/>
        <w:spacing w:before="120"/>
        <w:ind w:left="567" w:hanging="567"/>
        <w:jc w:val="both"/>
        <w:rPr>
          <w:rFonts w:ascii="Times New Roman" w:hAnsi="Times New Roman" w:cs="Times New Roman"/>
          <w:color w:val="000000" w:themeColor="text1"/>
        </w:rPr>
      </w:pPr>
    </w:p>
    <w:p w14:paraId="4B1E7107" w14:textId="1E953EF6" w:rsidR="00E0308F" w:rsidRDefault="00E0308F" w:rsidP="00C54BC9">
      <w:pPr>
        <w:autoSpaceDE w:val="0"/>
        <w:autoSpaceDN w:val="0"/>
        <w:adjustRightInd w:val="0"/>
        <w:spacing w:before="120"/>
        <w:ind w:left="567" w:hanging="567"/>
        <w:jc w:val="both"/>
        <w:rPr>
          <w:rFonts w:ascii="Times New Roman" w:hAnsi="Times New Roman" w:cs="Times New Roman"/>
          <w:color w:val="000000" w:themeColor="text1"/>
        </w:rPr>
      </w:pPr>
    </w:p>
    <w:p w14:paraId="5E9D3676" w14:textId="1B7EC115" w:rsidR="001E0B0D" w:rsidRDefault="001E0B0D" w:rsidP="00C54BC9">
      <w:pPr>
        <w:autoSpaceDE w:val="0"/>
        <w:autoSpaceDN w:val="0"/>
        <w:adjustRightInd w:val="0"/>
        <w:spacing w:before="120"/>
        <w:ind w:left="567" w:hanging="567"/>
        <w:jc w:val="both"/>
        <w:rPr>
          <w:rFonts w:ascii="Times New Roman" w:hAnsi="Times New Roman" w:cs="Times New Roman"/>
          <w:color w:val="000000" w:themeColor="text1"/>
        </w:rPr>
      </w:pPr>
    </w:p>
    <w:p w14:paraId="68C20D41" w14:textId="1DD2C0E3" w:rsidR="001E0B0D" w:rsidRDefault="001E0B0D" w:rsidP="00C54BC9">
      <w:pPr>
        <w:autoSpaceDE w:val="0"/>
        <w:autoSpaceDN w:val="0"/>
        <w:adjustRightInd w:val="0"/>
        <w:spacing w:before="120"/>
        <w:ind w:left="567" w:hanging="567"/>
        <w:jc w:val="both"/>
        <w:rPr>
          <w:rFonts w:ascii="Times New Roman" w:hAnsi="Times New Roman" w:cs="Times New Roman"/>
          <w:color w:val="000000" w:themeColor="text1"/>
        </w:rPr>
      </w:pPr>
    </w:p>
    <w:p w14:paraId="393E92D7" w14:textId="2EDB5140" w:rsidR="001E0B0D" w:rsidRDefault="001E0B0D" w:rsidP="00C54BC9">
      <w:pPr>
        <w:autoSpaceDE w:val="0"/>
        <w:autoSpaceDN w:val="0"/>
        <w:adjustRightInd w:val="0"/>
        <w:spacing w:before="120"/>
        <w:ind w:left="567" w:hanging="567"/>
        <w:jc w:val="both"/>
        <w:rPr>
          <w:rFonts w:ascii="Times New Roman" w:hAnsi="Times New Roman" w:cs="Times New Roman"/>
          <w:color w:val="000000" w:themeColor="text1"/>
        </w:rPr>
      </w:pPr>
    </w:p>
    <w:p w14:paraId="2EC8C61D" w14:textId="77777777" w:rsidR="001E0B0D" w:rsidRDefault="001E0B0D" w:rsidP="00C54BC9">
      <w:pPr>
        <w:autoSpaceDE w:val="0"/>
        <w:autoSpaceDN w:val="0"/>
        <w:adjustRightInd w:val="0"/>
        <w:spacing w:before="120"/>
        <w:ind w:left="567" w:hanging="567"/>
        <w:jc w:val="both"/>
        <w:rPr>
          <w:rFonts w:ascii="Times New Roman" w:hAnsi="Times New Roman" w:cs="Times New Roman"/>
          <w:color w:val="000000" w:themeColor="text1"/>
        </w:rPr>
      </w:pPr>
    </w:p>
    <w:p w14:paraId="15555A64" w14:textId="5CD4C4B4" w:rsidR="00C54BC9" w:rsidRPr="00164238" w:rsidRDefault="00C54BC9" w:rsidP="00EF4A33">
      <w:pPr>
        <w:pStyle w:val="Balk1"/>
        <w:rPr>
          <w:rFonts w:ascii="Times New Roman" w:hAnsi="Times New Roman" w:cs="Times New Roman"/>
          <w:b/>
          <w:bCs/>
          <w:color w:val="000000" w:themeColor="text1"/>
          <w:sz w:val="24"/>
          <w:szCs w:val="24"/>
        </w:rPr>
      </w:pPr>
      <w:bookmarkStart w:id="83" w:name="_Toc72961694"/>
      <w:r w:rsidRPr="00164238">
        <w:rPr>
          <w:rFonts w:ascii="Times New Roman" w:hAnsi="Times New Roman" w:cs="Times New Roman"/>
          <w:b/>
          <w:bCs/>
          <w:color w:val="000000" w:themeColor="text1"/>
          <w:sz w:val="24"/>
          <w:szCs w:val="24"/>
        </w:rPr>
        <w:lastRenderedPageBreak/>
        <w:t>COVID-19 SONRASI TÜRK İMALAT SANAYİİNİN MEVCUT DURUMU VE REKABET GÜCÜ ANALİZİ</w:t>
      </w:r>
      <w:bookmarkEnd w:id="83"/>
    </w:p>
    <w:p w14:paraId="07DC5536" w14:textId="77777777" w:rsidR="00EF4A33" w:rsidRPr="00164238" w:rsidRDefault="00EF4A33" w:rsidP="008F79A8">
      <w:pPr>
        <w:pStyle w:val="Balk2"/>
        <w:rPr>
          <w:rFonts w:ascii="Times New Roman" w:eastAsia="Arial" w:hAnsi="Times New Roman" w:cs="Times New Roman"/>
          <w:i w:val="0"/>
          <w:color w:val="000000" w:themeColor="text1"/>
          <w:sz w:val="20"/>
          <w:szCs w:val="20"/>
        </w:rPr>
      </w:pPr>
      <w:bookmarkStart w:id="84" w:name="_Toc72961695"/>
      <w:r w:rsidRPr="00164238">
        <w:rPr>
          <w:rStyle w:val="Balk2Char"/>
          <w:rFonts w:ascii="Times New Roman" w:hAnsi="Times New Roman" w:cs="Times New Roman"/>
          <w:color w:val="000000" w:themeColor="text1"/>
          <w:sz w:val="20"/>
          <w:szCs w:val="20"/>
        </w:rPr>
        <w:t>Serdar ÖZÖZEN</w:t>
      </w:r>
      <w:r w:rsidRPr="00164238">
        <w:rPr>
          <w:rFonts w:ascii="Times New Roman" w:eastAsia="Arial" w:hAnsi="Times New Roman" w:cs="Times New Roman"/>
          <w:color w:val="000000" w:themeColor="text1"/>
          <w:sz w:val="20"/>
          <w:szCs w:val="20"/>
        </w:rPr>
        <w:t xml:space="preserve">, </w:t>
      </w:r>
      <w:r w:rsidRPr="00164238">
        <w:rPr>
          <w:rFonts w:ascii="Times New Roman" w:eastAsia="Arial" w:hAnsi="Times New Roman" w:cs="Times New Roman"/>
          <w:b w:val="0"/>
          <w:color w:val="000000" w:themeColor="text1"/>
          <w:sz w:val="20"/>
          <w:szCs w:val="20"/>
        </w:rPr>
        <w:t>Uludağ Üniversitesi, Sosyal Bilimler Enstitüsü, 16059, Bursa, Türkiye</w:t>
      </w:r>
      <w:bookmarkEnd w:id="84"/>
    </w:p>
    <w:p w14:paraId="2ABDB995" w14:textId="77777777" w:rsidR="00EF4A33" w:rsidRPr="00164238" w:rsidRDefault="00EF4A33" w:rsidP="00EF4A33">
      <w:pPr>
        <w:jc w:val="both"/>
        <w:rPr>
          <w:rFonts w:ascii="Times New Roman" w:hAnsi="Times New Roman" w:cs="Times New Roman"/>
          <w:color w:val="000000" w:themeColor="text1"/>
          <w:sz w:val="20"/>
          <w:szCs w:val="20"/>
        </w:rPr>
      </w:pPr>
      <w:r w:rsidRPr="00164238">
        <w:rPr>
          <w:rFonts w:ascii="Times New Roman" w:eastAsia="Arial" w:hAnsi="Times New Roman" w:cs="Times New Roman"/>
          <w:i/>
          <w:color w:val="000000" w:themeColor="text1"/>
          <w:sz w:val="20"/>
          <w:szCs w:val="20"/>
        </w:rPr>
        <w:t>e-mail:</w:t>
      </w:r>
      <w:r w:rsidRPr="00164238">
        <w:rPr>
          <w:rFonts w:ascii="Times New Roman" w:eastAsia="BookAntiqua-Identity-H" w:hAnsi="Times New Roman" w:cs="Times New Roman"/>
          <w:color w:val="000000" w:themeColor="text1"/>
          <w:sz w:val="20"/>
          <w:szCs w:val="20"/>
        </w:rPr>
        <w:t xml:space="preserve"> </w:t>
      </w:r>
      <w:hyperlink r:id="rId150" w:history="1">
        <w:r w:rsidRPr="00164238">
          <w:rPr>
            <w:rStyle w:val="Kpr"/>
            <w:rFonts w:ascii="Times New Roman" w:eastAsia="BookAntiqua-Identity-H" w:hAnsi="Times New Roman" w:cs="Times New Roman"/>
            <w:color w:val="000000" w:themeColor="text1"/>
            <w:sz w:val="20"/>
            <w:szCs w:val="20"/>
          </w:rPr>
          <w:t>711411004@ogr.uludag.edu.tr</w:t>
        </w:r>
      </w:hyperlink>
      <w:r w:rsidRPr="00164238">
        <w:rPr>
          <w:rFonts w:ascii="Times New Roman" w:eastAsia="BookAntiqua-Identity-H" w:hAnsi="Times New Roman" w:cs="Times New Roman"/>
          <w:color w:val="000000" w:themeColor="text1"/>
          <w:sz w:val="20"/>
          <w:szCs w:val="20"/>
        </w:rPr>
        <w:t xml:space="preserve"> </w:t>
      </w:r>
      <w:r w:rsidRPr="00164238">
        <w:rPr>
          <w:rFonts w:ascii="Times New Roman" w:eastAsia="Arial" w:hAnsi="Times New Roman" w:cs="Times New Roman"/>
          <w:i/>
          <w:color w:val="000000" w:themeColor="text1"/>
          <w:sz w:val="20"/>
          <w:szCs w:val="20"/>
        </w:rPr>
        <w:t>ORCID ID:</w:t>
      </w:r>
      <w:r w:rsidRPr="00164238">
        <w:rPr>
          <w:rStyle w:val="Balk2Char"/>
          <w:rFonts w:ascii="Times New Roman" w:eastAsiaTheme="minorHAnsi" w:hAnsi="Times New Roman" w:cs="Times New Roman"/>
          <w:color w:val="000000" w:themeColor="text1"/>
          <w:sz w:val="20"/>
          <w:szCs w:val="20"/>
        </w:rPr>
        <w:t xml:space="preserve"> </w:t>
      </w:r>
      <w:r w:rsidRPr="00164238">
        <w:rPr>
          <w:rStyle w:val="orcid-id-https"/>
          <w:rFonts w:ascii="Times New Roman" w:hAnsi="Times New Roman" w:cs="Times New Roman"/>
          <w:color w:val="000000" w:themeColor="text1"/>
          <w:sz w:val="20"/>
          <w:szCs w:val="20"/>
        </w:rPr>
        <w:t>0000-0001-5089-6069</w:t>
      </w:r>
    </w:p>
    <w:p w14:paraId="6C02DA3E" w14:textId="77777777" w:rsidR="00C54BC9" w:rsidRPr="00164238" w:rsidRDefault="00C54BC9" w:rsidP="00C54BC9">
      <w:pPr>
        <w:spacing w:before="120" w:after="120" w:line="360" w:lineRule="auto"/>
        <w:ind w:firstLine="562"/>
        <w:jc w:val="both"/>
        <w:rPr>
          <w:rStyle w:val="A0"/>
          <w:rFonts w:ascii="Times New Roman" w:hAnsi="Times New Roman" w:cs="Times New Roman"/>
          <w:b/>
          <w:bCs/>
          <w:color w:val="000000" w:themeColor="text1"/>
          <w:sz w:val="20"/>
          <w:szCs w:val="20"/>
        </w:rPr>
      </w:pPr>
      <w:r w:rsidRPr="00164238">
        <w:rPr>
          <w:rStyle w:val="A0"/>
          <w:rFonts w:ascii="Times New Roman" w:hAnsi="Times New Roman" w:cs="Times New Roman"/>
          <w:b/>
          <w:bCs/>
          <w:color w:val="000000" w:themeColor="text1"/>
          <w:sz w:val="20"/>
          <w:szCs w:val="20"/>
        </w:rPr>
        <w:t xml:space="preserve">Giriş </w:t>
      </w:r>
    </w:p>
    <w:p w14:paraId="447B77A1" w14:textId="77777777" w:rsidR="00C54BC9" w:rsidRPr="00164238" w:rsidRDefault="00C54BC9" w:rsidP="00C54BC9">
      <w:pPr>
        <w:spacing w:before="120" w:after="120" w:line="360" w:lineRule="auto"/>
        <w:ind w:firstLine="562"/>
        <w:jc w:val="both"/>
        <w:rPr>
          <w:rStyle w:val="A0"/>
          <w:rFonts w:ascii="Times New Roman" w:hAnsi="Times New Roman" w:cs="Times New Roman"/>
          <w:color w:val="000000" w:themeColor="text1"/>
          <w:sz w:val="20"/>
          <w:szCs w:val="20"/>
        </w:rPr>
      </w:pPr>
      <w:r w:rsidRPr="00164238">
        <w:rPr>
          <w:rStyle w:val="A0"/>
          <w:rFonts w:ascii="Times New Roman" w:hAnsi="Times New Roman" w:cs="Times New Roman"/>
          <w:color w:val="000000" w:themeColor="text1"/>
          <w:sz w:val="20"/>
          <w:szCs w:val="20"/>
        </w:rPr>
        <w:t xml:space="preserve">2019 yılının Aralık ayında Çin’in Wuhan kentinde ortaya çıkan Covid 19, kısa sürede başta Avrupa olmak üzere tüm dünya’ya yayılmıştır. Covid 19, Dünya Sağlık Örgütü tarafından 11 Mart 2020 tarihinde pandemi olarak ilan edilmiştir. Aynı tarihte Türkiye’de ise ilk vaka tespit edilmiştir. Türkiye’de 12 Mart 2020 tarihinde kısıtlamaya yönelik ilk tedbirler açıklanmış ve uygulanmaya başlamıştır. Türkiye’de Covid 19 pandemisinin zamanla yayılması ile bu kısıtlayıcı tedbirler kademeli bir şekilde arttırılmıştır. 10 Nisan 2020 tarihinde ise, birçok ili kapsayacak şekilde sokağa çıkma yasağı ilan edilmiş, kısıtlamaların kapsamı genişletilmiştir. Covid 19 vakalarında yaşanan gerileme ile birlikte Mayıs ayından itibaren kademeli bir şekilde kısıtlamalar azaltılmış, Haziran ayı ile birlikte sokağa çıkma ve seyahat yasağı kaldırılmıştır. 2020 yılının üçüncü çeyreğinde ekonomik faaliyetlerde artış gözlemlenmiştir.    </w:t>
      </w:r>
    </w:p>
    <w:p w14:paraId="4FA9461C" w14:textId="77777777" w:rsidR="00C54BC9" w:rsidRPr="00164238" w:rsidRDefault="00C54BC9" w:rsidP="00C54BC9">
      <w:pPr>
        <w:spacing w:before="120" w:after="120" w:line="360" w:lineRule="auto"/>
        <w:ind w:firstLine="562"/>
        <w:jc w:val="both"/>
        <w:rPr>
          <w:rStyle w:val="A0"/>
          <w:rFonts w:ascii="Times New Roman" w:hAnsi="Times New Roman" w:cs="Times New Roman"/>
          <w:color w:val="000000" w:themeColor="text1"/>
          <w:sz w:val="20"/>
          <w:szCs w:val="20"/>
        </w:rPr>
      </w:pPr>
      <w:r w:rsidRPr="00164238">
        <w:rPr>
          <w:rStyle w:val="A0"/>
          <w:rFonts w:ascii="Times New Roman" w:hAnsi="Times New Roman" w:cs="Times New Roman"/>
          <w:color w:val="000000" w:themeColor="text1"/>
          <w:sz w:val="20"/>
          <w:szCs w:val="20"/>
        </w:rPr>
        <w:t xml:space="preserve">Dünya ekonomisinin büyümede lokomotifi olan Çin ekonomisi 2020 yılının başlarında yani yılın ilk çeyreğinde daralma yaşarken, yılın ikinci çeyreğinden itibaren toparlanmış ve ekonomik büyüme devam etmiştir. Ekonominin tekrar büyümeye geçmesinde pandeminin kontrol altına alınmasının etkisi olmuştur. </w:t>
      </w:r>
    </w:p>
    <w:p w14:paraId="2BF38C38" w14:textId="77777777" w:rsidR="00C54BC9" w:rsidRPr="00164238" w:rsidRDefault="00C54BC9" w:rsidP="00C54BC9">
      <w:pPr>
        <w:spacing w:before="120" w:after="120" w:line="360" w:lineRule="auto"/>
        <w:ind w:firstLine="562"/>
        <w:jc w:val="both"/>
        <w:rPr>
          <w:rStyle w:val="A0"/>
          <w:rFonts w:ascii="Times New Roman" w:hAnsi="Times New Roman" w:cs="Times New Roman"/>
          <w:color w:val="000000" w:themeColor="text1"/>
          <w:sz w:val="20"/>
          <w:szCs w:val="20"/>
        </w:rPr>
      </w:pPr>
      <w:r w:rsidRPr="00164238">
        <w:rPr>
          <w:rStyle w:val="A0"/>
          <w:rFonts w:ascii="Times New Roman" w:hAnsi="Times New Roman" w:cs="Times New Roman"/>
          <w:color w:val="000000" w:themeColor="text1"/>
          <w:sz w:val="20"/>
          <w:szCs w:val="20"/>
        </w:rPr>
        <w:t xml:space="preserve">Dünya’nın diğer ülkeleri için durum farklı gelişmiştir. Pandeminin oldukça yüksek seviyelerde olması, kontrol altına alınamaması sonucu Avrupa’da başta İtalya olmak üzere, Avrupa Birliği ülkeleri, İngiltere, ABD gibi birçok ülkede üretim, istihdam, dış ticaret olumsuz etkilenmiştir. Covid 19 pandemi sonrasında tedarik zincirinde aksamalar ortaya çıkmıştır. Bu durum üretimde aksamalara neden olmuştur. İhracatının yarısını Avrupa Birliğine yapan Türkiye ekonomisi bu gelişmelerden olumsuz etkilenmiştir. </w:t>
      </w:r>
    </w:p>
    <w:p w14:paraId="39571756" w14:textId="719888FF" w:rsidR="00C54BC9" w:rsidRPr="00164238" w:rsidRDefault="00C54BC9" w:rsidP="00C54BC9">
      <w:pPr>
        <w:spacing w:before="120" w:after="120" w:line="360" w:lineRule="auto"/>
        <w:ind w:firstLine="562"/>
        <w:jc w:val="both"/>
        <w:rPr>
          <w:rStyle w:val="A0"/>
          <w:rFonts w:ascii="Times New Roman" w:hAnsi="Times New Roman" w:cs="Times New Roman"/>
          <w:color w:val="000000" w:themeColor="text1"/>
          <w:sz w:val="20"/>
          <w:szCs w:val="20"/>
        </w:rPr>
      </w:pPr>
      <w:r w:rsidRPr="00164238">
        <w:rPr>
          <w:rStyle w:val="A0"/>
          <w:rFonts w:ascii="Times New Roman" w:hAnsi="Times New Roman" w:cs="Times New Roman"/>
          <w:color w:val="000000" w:themeColor="text1"/>
          <w:sz w:val="20"/>
          <w:szCs w:val="20"/>
        </w:rPr>
        <w:t xml:space="preserve">Covid 19 pandemisi sonrasında dünya’da reel sektörden finansal sektörüne kadar geniş bir alanda değişimlerin yaşanacağı yeni bir dönem başlamıştır.  Bütün bu gelişmeler ışığında  pandeminin etkileri ve sonrasında yaşayacak gelişmeler hakkında öngörülerde bulunma gereği ortaya çıkmıştır. Bu gelişmelerden yola çıkarak, bu çalışmada, Covid 19’un  Türk imalat sanayiinin üretim, istihdam, ihracat gibi temel ekonomik göstergelerindeki etkisi incelenecektir. Pandemi ile birlikte Türk imalat sektörünün Dünya, AB-27 ve Birleşik Krallık pazarındaki rekabet gücünde bir değişiklik olup olmadığı ortaya konulacaktır. Ayrıca, Covid 19 sonrası yeni normal olarak adlandırılan bu dönemde her alanda olduğu gibi ekonomi alanında köklü değişiklerin kaçınılmaz olarak yaşanacağı bir döneme girildiğinden, Türk imalat sanayii için önerilere yer verilecektir. </w:t>
      </w:r>
    </w:p>
    <w:p w14:paraId="5D2713A9" w14:textId="77777777" w:rsidR="00C54BC9" w:rsidRPr="00164238" w:rsidRDefault="00C54BC9" w:rsidP="00C54BC9">
      <w:pPr>
        <w:spacing w:before="120" w:after="120" w:line="240" w:lineRule="auto"/>
        <w:ind w:firstLine="562"/>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 xml:space="preserve">Covid 19 Sonrası İmalat Sanayii Temel Göstergeleri </w:t>
      </w:r>
    </w:p>
    <w:p w14:paraId="3F2A16EE" w14:textId="77777777" w:rsidR="00C54BC9" w:rsidRPr="00164238" w:rsidRDefault="00C54BC9" w:rsidP="00C54BC9">
      <w:pPr>
        <w:spacing w:before="120" w:after="120" w:line="360" w:lineRule="auto"/>
        <w:ind w:firstLine="562"/>
        <w:jc w:val="both"/>
        <w:rPr>
          <w:rFonts w:ascii="Times New Roman" w:hAnsi="Times New Roman" w:cs="Times New Roman"/>
          <w:b/>
          <w:bCs/>
          <w:color w:val="000000" w:themeColor="text1"/>
          <w:sz w:val="20"/>
          <w:szCs w:val="20"/>
        </w:rPr>
      </w:pPr>
      <w:r w:rsidRPr="00164238">
        <w:rPr>
          <w:rFonts w:ascii="Times New Roman" w:hAnsi="Times New Roman" w:cs="Times New Roman"/>
          <w:color w:val="000000" w:themeColor="text1"/>
          <w:sz w:val="20"/>
          <w:szCs w:val="20"/>
        </w:rPr>
        <w:t xml:space="preserve">İmalat sanayii temel göstergelerinden üretim, kapasite kullanımı, isihdam ve ihracatın Covid 19 dönemindeki seyri ayrıntılı bir şekilde analiz edilmiştir. </w:t>
      </w:r>
    </w:p>
    <w:p w14:paraId="4CBE8ED0" w14:textId="77777777" w:rsidR="00C54BC9" w:rsidRPr="00164238" w:rsidRDefault="00C54BC9" w:rsidP="00C54BC9">
      <w:pPr>
        <w:spacing w:before="120" w:after="120" w:line="240" w:lineRule="auto"/>
        <w:ind w:firstLine="562"/>
        <w:jc w:val="both"/>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Üretim</w:t>
      </w:r>
    </w:p>
    <w:p w14:paraId="4579A00C" w14:textId="77777777" w:rsidR="00C54BC9" w:rsidRPr="00164238" w:rsidRDefault="00C54BC9" w:rsidP="00452A49">
      <w:pPr>
        <w:spacing w:before="120" w:after="120" w:line="276" w:lineRule="auto"/>
        <w:ind w:firstLine="562"/>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lastRenderedPageBreak/>
        <w:t>Covid 19 sonrası yeni siparişlerdeki yavaşlama, tedarik zincirindeki aksamalar, hammadde arzındaki sorunlar nedeniyle hammadde temininde yaşanan zorluklar, nakliye konteynırlarına erişimde yaşanan sıkıntılar, nakliye maliyetlerinin artması, tedarikçilerin teslim sürelerinin uzaması, girdi stoklarının azalması ile birleşerek üretimin azalmasına yol açmıştır (</w:t>
      </w:r>
      <w:hyperlink r:id="rId151" w:history="1">
        <w:r w:rsidRPr="00164238">
          <w:rPr>
            <w:rStyle w:val="Balk1Char"/>
            <w:rFonts w:ascii="Times New Roman" w:eastAsiaTheme="minorHAnsi" w:hAnsi="Times New Roman" w:cs="Times New Roman"/>
            <w:color w:val="000000" w:themeColor="text1"/>
            <w:sz w:val="20"/>
            <w:szCs w:val="20"/>
          </w:rPr>
          <w:t>https://www.iso.org.tr/projeler/iso-turkiye-imalat-pmi/Subat 2021.pdf</w:t>
        </w:r>
      </w:hyperlink>
      <w:r w:rsidRPr="00164238">
        <w:rPr>
          <w:rFonts w:ascii="Times New Roman" w:hAnsi="Times New Roman" w:cs="Times New Roman"/>
          <w:color w:val="000000" w:themeColor="text1"/>
          <w:sz w:val="20"/>
          <w:szCs w:val="20"/>
        </w:rPr>
        <w:t>).</w:t>
      </w:r>
    </w:p>
    <w:p w14:paraId="65FDC812" w14:textId="77777777" w:rsidR="00C54BC9" w:rsidRPr="00164238" w:rsidRDefault="00C54BC9" w:rsidP="00452A49">
      <w:pPr>
        <w:spacing w:before="120" w:after="120" w:line="276" w:lineRule="auto"/>
        <w:ind w:firstLine="562"/>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Tablo 1’de 2019-2020 dönemine ait imalat sanayii ve alt sektörlerine ait üretim endeksi verileri gösterilmiştir. Üretim endeksinde 2020 yılı ikinci çeyreğinde belirgin bir şekilde azalma olduğu gözlemlenmiştir. 2020 yılı ikinci çeyreğinde geçen yılın aynı dönemine göre üretim endeksi en çok düşen alt sektörler sırasıyla motorlu kara taşıtı (treyler ve yarı treyler dahil) (-%44.50), deri ve ilgili ürünleri (-%39.86), diğer ulaşım araçları (-%36.46), giyim eşyası (-%35.30), tekstil ürünleri (-%29.87), mobilya (27.44) ve elektrikli teçhizat (-20.92) sektörlerinin olduğu tespit edilmiştir. İmalat sanayii üretim endeksinin 2019 yılı ikinci çeyreğine göre 2020 ikinci çeyreğinde % 17.28 oranında azaldığı tespit edilmiştir. Covid 19 sonrası üretim endeksinin 2020 yılının üçüncü çeyreğinden itibaren yükselmeye başladığı görülmüştür. Yılın tamamı değerlendirildiğinde, 2020 yılında imalat sanayiinde ve imalat sanayii tüm alt sektörlerinde üretim endeksinin 2019 yılına göre arttığı görülmüştür. Bir önceki yıla göre 2020 yılında üretim endeksi en çok artan imalat sanayii alt sektörleri sırasıyla motorlu kara taşıtı, treyler (römork) ve yarı treyler (yarı römork) imalatı (+%6.12), tekstil ürünleri imalatı (+%4.75), giyim eşyası imalatı (+%4.53), deri ve ilgili ürünlerin imalatı (+%4.44), bilgisayarların, elektronik ve optik ürünlerin imalatı (+%4.33) olduğu gözlemlenmiştir.</w:t>
      </w:r>
    </w:p>
    <w:p w14:paraId="27ACE385" w14:textId="77777777" w:rsidR="00C54BC9" w:rsidRPr="00E0308F" w:rsidRDefault="00C54BC9" w:rsidP="00C54BC9">
      <w:pPr>
        <w:spacing w:after="0" w:line="240" w:lineRule="auto"/>
        <w:rPr>
          <w:rFonts w:ascii="Times New Roman" w:hAnsi="Times New Roman" w:cs="Times New Roman"/>
          <w:b/>
          <w:bCs/>
          <w:color w:val="000000" w:themeColor="text1"/>
          <w:sz w:val="20"/>
          <w:szCs w:val="20"/>
        </w:rPr>
      </w:pPr>
      <w:r w:rsidRPr="00E0308F">
        <w:rPr>
          <w:rFonts w:ascii="Times New Roman" w:hAnsi="Times New Roman" w:cs="Times New Roman"/>
          <w:b/>
          <w:bCs/>
          <w:color w:val="000000" w:themeColor="text1"/>
          <w:sz w:val="20"/>
          <w:szCs w:val="20"/>
        </w:rPr>
        <w:t xml:space="preserve">Tablo 1: İmalat Sanayii Üretim Endeksi (Nace Rev.2) (2015=100) </w:t>
      </w:r>
    </w:p>
    <w:tbl>
      <w:tblPr>
        <w:tblW w:w="9282" w:type="dxa"/>
        <w:tblCellMar>
          <w:left w:w="70" w:type="dxa"/>
          <w:right w:w="70" w:type="dxa"/>
        </w:tblCellMar>
        <w:tblLook w:val="04A0" w:firstRow="1" w:lastRow="0" w:firstColumn="1" w:lastColumn="0" w:noHBand="0" w:noVBand="1"/>
      </w:tblPr>
      <w:tblGrid>
        <w:gridCol w:w="825"/>
        <w:gridCol w:w="1020"/>
        <w:gridCol w:w="1020"/>
        <w:gridCol w:w="1020"/>
        <w:gridCol w:w="1020"/>
        <w:gridCol w:w="959"/>
        <w:gridCol w:w="963"/>
        <w:gridCol w:w="963"/>
        <w:gridCol w:w="642"/>
        <w:gridCol w:w="850"/>
      </w:tblGrid>
      <w:tr w:rsidR="00164238" w:rsidRPr="00E0308F" w14:paraId="5A25AC7B" w14:textId="77777777" w:rsidTr="00682CBF">
        <w:trPr>
          <w:trHeight w:val="300"/>
        </w:trPr>
        <w:tc>
          <w:tcPr>
            <w:tcW w:w="8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A13B56"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Ürün Kodları</w:t>
            </w:r>
          </w:p>
        </w:tc>
        <w:tc>
          <w:tcPr>
            <w:tcW w:w="102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7A6E19CC"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2019-2.Q Ortalama</w:t>
            </w:r>
          </w:p>
        </w:tc>
        <w:tc>
          <w:tcPr>
            <w:tcW w:w="1020" w:type="dxa"/>
            <w:tcBorders>
              <w:top w:val="single" w:sz="4" w:space="0" w:color="auto"/>
              <w:left w:val="nil"/>
              <w:bottom w:val="single" w:sz="4" w:space="0" w:color="auto"/>
              <w:right w:val="single" w:sz="4" w:space="0" w:color="auto"/>
            </w:tcBorders>
            <w:shd w:val="clear" w:color="auto" w:fill="auto"/>
            <w:noWrap/>
            <w:vAlign w:val="center"/>
            <w:hideMark/>
          </w:tcPr>
          <w:p w14:paraId="6CE092DB"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2020-1.Q</w:t>
            </w:r>
          </w:p>
          <w:p w14:paraId="7E6EBD30"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Ortalama</w:t>
            </w:r>
          </w:p>
        </w:tc>
        <w:tc>
          <w:tcPr>
            <w:tcW w:w="102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795CCE59"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2020-2.Q Ortalama</w:t>
            </w:r>
          </w:p>
        </w:tc>
        <w:tc>
          <w:tcPr>
            <w:tcW w:w="1020" w:type="dxa"/>
            <w:tcBorders>
              <w:top w:val="single" w:sz="4" w:space="0" w:color="auto"/>
              <w:left w:val="nil"/>
              <w:bottom w:val="single" w:sz="4" w:space="0" w:color="auto"/>
              <w:right w:val="single" w:sz="4" w:space="0" w:color="auto"/>
            </w:tcBorders>
            <w:shd w:val="clear" w:color="auto" w:fill="auto"/>
            <w:noWrap/>
            <w:vAlign w:val="center"/>
            <w:hideMark/>
          </w:tcPr>
          <w:p w14:paraId="78652C88"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2020-3.Q Ortalama</w:t>
            </w:r>
          </w:p>
        </w:tc>
        <w:tc>
          <w:tcPr>
            <w:tcW w:w="959" w:type="dxa"/>
            <w:tcBorders>
              <w:top w:val="single" w:sz="4" w:space="0" w:color="auto"/>
              <w:left w:val="nil"/>
              <w:bottom w:val="single" w:sz="4" w:space="0" w:color="auto"/>
              <w:right w:val="single" w:sz="4" w:space="0" w:color="auto"/>
            </w:tcBorders>
            <w:shd w:val="clear" w:color="auto" w:fill="auto"/>
            <w:noWrap/>
            <w:vAlign w:val="center"/>
            <w:hideMark/>
          </w:tcPr>
          <w:p w14:paraId="5C6A5584"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2020.4Q</w:t>
            </w:r>
          </w:p>
          <w:p w14:paraId="765F8962"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Ortalama</w:t>
            </w:r>
          </w:p>
        </w:tc>
        <w:tc>
          <w:tcPr>
            <w:tcW w:w="963"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4A266C09"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2019 Yıllık Ortalama</w:t>
            </w:r>
          </w:p>
        </w:tc>
        <w:tc>
          <w:tcPr>
            <w:tcW w:w="963"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3F0B83CA"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2020 Yıllık Ortalama</w:t>
            </w:r>
          </w:p>
        </w:tc>
        <w:tc>
          <w:tcPr>
            <w:tcW w:w="642" w:type="dxa"/>
            <w:tcBorders>
              <w:top w:val="single" w:sz="4" w:space="0" w:color="auto"/>
              <w:left w:val="nil"/>
              <w:bottom w:val="single" w:sz="4" w:space="0" w:color="auto"/>
              <w:right w:val="single" w:sz="4" w:space="0" w:color="auto"/>
            </w:tcBorders>
            <w:shd w:val="clear" w:color="auto" w:fill="FFE599" w:themeFill="accent4" w:themeFillTint="66"/>
            <w:vAlign w:val="center"/>
          </w:tcPr>
          <w:p w14:paraId="37CBB327"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w:t>
            </w:r>
          </w:p>
          <w:p w14:paraId="1CA49FAF"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20/19</w:t>
            </w:r>
          </w:p>
        </w:tc>
        <w:tc>
          <w:tcPr>
            <w:tcW w:w="850" w:type="dxa"/>
            <w:tcBorders>
              <w:top w:val="single" w:sz="4" w:space="0" w:color="auto"/>
              <w:left w:val="nil"/>
              <w:bottom w:val="single" w:sz="4" w:space="0" w:color="auto"/>
              <w:right w:val="single" w:sz="4" w:space="0" w:color="auto"/>
            </w:tcBorders>
            <w:shd w:val="clear" w:color="auto" w:fill="FFE599" w:themeFill="accent4" w:themeFillTint="66"/>
          </w:tcPr>
          <w:p w14:paraId="728EBF1C"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w:t>
            </w:r>
          </w:p>
          <w:p w14:paraId="69467A66" w14:textId="77777777" w:rsidR="00C54BC9" w:rsidRPr="00E0308F" w:rsidRDefault="00C54BC9" w:rsidP="006963C3">
            <w:pPr>
              <w:spacing w:after="0" w:line="240" w:lineRule="auto"/>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20-2.Q</w:t>
            </w:r>
          </w:p>
          <w:p w14:paraId="4FD2842E" w14:textId="77777777" w:rsidR="00C54BC9" w:rsidRPr="00E0308F" w:rsidRDefault="00C54BC9" w:rsidP="006963C3">
            <w:pPr>
              <w:spacing w:after="0" w:line="240" w:lineRule="auto"/>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/19-2.Q</w:t>
            </w:r>
          </w:p>
        </w:tc>
      </w:tr>
      <w:tr w:rsidR="00164238" w:rsidRPr="00E0308F" w14:paraId="468121D0" w14:textId="77777777" w:rsidTr="00682CBF">
        <w:trPr>
          <w:trHeight w:val="300"/>
        </w:trPr>
        <w:tc>
          <w:tcPr>
            <w:tcW w:w="825" w:type="dxa"/>
            <w:tcBorders>
              <w:top w:val="nil"/>
              <w:left w:val="single" w:sz="4" w:space="0" w:color="auto"/>
              <w:bottom w:val="single" w:sz="4" w:space="0" w:color="auto"/>
              <w:right w:val="single" w:sz="4" w:space="0" w:color="auto"/>
            </w:tcBorders>
            <w:shd w:val="clear" w:color="auto" w:fill="auto"/>
            <w:noWrap/>
            <w:vAlign w:val="center"/>
            <w:hideMark/>
          </w:tcPr>
          <w:p w14:paraId="7256C75E"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10</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062B5571"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112,10</w:t>
            </w:r>
          </w:p>
        </w:tc>
        <w:tc>
          <w:tcPr>
            <w:tcW w:w="1020" w:type="dxa"/>
            <w:tcBorders>
              <w:top w:val="nil"/>
              <w:left w:val="nil"/>
              <w:bottom w:val="single" w:sz="4" w:space="0" w:color="auto"/>
              <w:right w:val="single" w:sz="4" w:space="0" w:color="auto"/>
            </w:tcBorders>
            <w:shd w:val="clear" w:color="auto" w:fill="auto"/>
            <w:noWrap/>
            <w:vAlign w:val="center"/>
            <w:hideMark/>
          </w:tcPr>
          <w:p w14:paraId="47797FEE"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116,5</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1B2DA9ED" w14:textId="77777777" w:rsidR="00C54BC9" w:rsidRPr="00E0308F" w:rsidRDefault="00C54BC9" w:rsidP="006963C3">
            <w:pPr>
              <w:spacing w:after="0" w:line="240" w:lineRule="auto"/>
              <w:jc w:val="center"/>
              <w:rPr>
                <w:rFonts w:ascii="Times New Roman" w:eastAsia="Times New Roman" w:hAnsi="Times New Roman" w:cs="Times New Roman"/>
                <w:b/>
                <w:bCs/>
                <w:color w:val="000000" w:themeColor="text1"/>
                <w:sz w:val="20"/>
                <w:szCs w:val="20"/>
                <w:lang w:eastAsia="tr-TR"/>
              </w:rPr>
            </w:pPr>
            <w:r w:rsidRPr="00E0308F">
              <w:rPr>
                <w:rFonts w:ascii="Times New Roman" w:eastAsia="Times New Roman" w:hAnsi="Times New Roman" w:cs="Times New Roman"/>
                <w:b/>
                <w:bCs/>
                <w:color w:val="000000" w:themeColor="text1"/>
                <w:sz w:val="20"/>
                <w:szCs w:val="20"/>
                <w:lang w:eastAsia="tr-TR"/>
              </w:rPr>
              <w:t>105,6</w:t>
            </w:r>
          </w:p>
        </w:tc>
        <w:tc>
          <w:tcPr>
            <w:tcW w:w="1020" w:type="dxa"/>
            <w:tcBorders>
              <w:top w:val="nil"/>
              <w:left w:val="nil"/>
              <w:bottom w:val="single" w:sz="4" w:space="0" w:color="auto"/>
              <w:right w:val="single" w:sz="4" w:space="0" w:color="auto"/>
            </w:tcBorders>
            <w:shd w:val="clear" w:color="auto" w:fill="auto"/>
            <w:noWrap/>
            <w:vAlign w:val="center"/>
            <w:hideMark/>
          </w:tcPr>
          <w:p w14:paraId="41DCA21E"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121,3</w:t>
            </w:r>
          </w:p>
        </w:tc>
        <w:tc>
          <w:tcPr>
            <w:tcW w:w="959" w:type="dxa"/>
            <w:tcBorders>
              <w:top w:val="nil"/>
              <w:left w:val="nil"/>
              <w:bottom w:val="single" w:sz="4" w:space="0" w:color="auto"/>
              <w:right w:val="single" w:sz="4" w:space="0" w:color="auto"/>
            </w:tcBorders>
            <w:shd w:val="clear" w:color="auto" w:fill="auto"/>
            <w:noWrap/>
            <w:vAlign w:val="center"/>
            <w:hideMark/>
          </w:tcPr>
          <w:p w14:paraId="48443B81"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144,9</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7CAB9F33"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123,9</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5F075179"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125,6</w:t>
            </w:r>
          </w:p>
        </w:tc>
        <w:tc>
          <w:tcPr>
            <w:tcW w:w="642" w:type="dxa"/>
            <w:tcBorders>
              <w:top w:val="nil"/>
              <w:left w:val="nil"/>
              <w:bottom w:val="single" w:sz="4" w:space="0" w:color="auto"/>
              <w:right w:val="single" w:sz="4" w:space="0" w:color="auto"/>
            </w:tcBorders>
            <w:shd w:val="clear" w:color="auto" w:fill="FFE599" w:themeFill="accent4" w:themeFillTint="66"/>
            <w:vAlign w:val="center"/>
          </w:tcPr>
          <w:p w14:paraId="36CD892A"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1,34</w:t>
            </w:r>
          </w:p>
        </w:tc>
        <w:tc>
          <w:tcPr>
            <w:tcW w:w="850" w:type="dxa"/>
            <w:tcBorders>
              <w:top w:val="nil"/>
              <w:left w:val="nil"/>
              <w:bottom w:val="single" w:sz="4" w:space="0" w:color="auto"/>
              <w:right w:val="single" w:sz="4" w:space="0" w:color="auto"/>
            </w:tcBorders>
            <w:shd w:val="clear" w:color="auto" w:fill="FFE599" w:themeFill="accent4" w:themeFillTint="66"/>
            <w:vAlign w:val="center"/>
          </w:tcPr>
          <w:p w14:paraId="0613F3EB" w14:textId="77777777" w:rsidR="00C54BC9" w:rsidRPr="00E0308F" w:rsidRDefault="00C54BC9" w:rsidP="006963C3">
            <w:pPr>
              <w:spacing w:after="0" w:line="240" w:lineRule="auto"/>
              <w:jc w:val="right"/>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t>-5,77</w:t>
            </w:r>
          </w:p>
        </w:tc>
      </w:tr>
      <w:tr w:rsidR="00164238" w:rsidRPr="00E0308F" w14:paraId="299AAA48" w14:textId="77777777" w:rsidTr="00682CBF">
        <w:trPr>
          <w:trHeight w:val="300"/>
        </w:trPr>
        <w:tc>
          <w:tcPr>
            <w:tcW w:w="825" w:type="dxa"/>
            <w:tcBorders>
              <w:top w:val="nil"/>
              <w:left w:val="single" w:sz="4" w:space="0" w:color="auto"/>
              <w:bottom w:val="single" w:sz="4" w:space="0" w:color="auto"/>
              <w:right w:val="single" w:sz="4" w:space="0" w:color="auto"/>
            </w:tcBorders>
            <w:shd w:val="clear" w:color="auto" w:fill="auto"/>
            <w:noWrap/>
            <w:vAlign w:val="center"/>
            <w:hideMark/>
          </w:tcPr>
          <w:p w14:paraId="62FAFF2E"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11</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521C60A6"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135,80</w:t>
            </w:r>
          </w:p>
        </w:tc>
        <w:tc>
          <w:tcPr>
            <w:tcW w:w="1020" w:type="dxa"/>
            <w:tcBorders>
              <w:top w:val="nil"/>
              <w:left w:val="nil"/>
              <w:bottom w:val="single" w:sz="4" w:space="0" w:color="auto"/>
              <w:right w:val="single" w:sz="4" w:space="0" w:color="auto"/>
            </w:tcBorders>
            <w:shd w:val="clear" w:color="auto" w:fill="auto"/>
            <w:noWrap/>
            <w:vAlign w:val="center"/>
            <w:hideMark/>
          </w:tcPr>
          <w:p w14:paraId="25B4B173"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97,2</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200846E5" w14:textId="77777777" w:rsidR="00C54BC9" w:rsidRPr="00E0308F" w:rsidRDefault="00C54BC9" w:rsidP="006963C3">
            <w:pPr>
              <w:spacing w:after="0" w:line="240" w:lineRule="auto"/>
              <w:jc w:val="center"/>
              <w:rPr>
                <w:rFonts w:ascii="Times New Roman" w:eastAsia="Times New Roman" w:hAnsi="Times New Roman" w:cs="Times New Roman"/>
                <w:b/>
                <w:bCs/>
                <w:color w:val="000000" w:themeColor="text1"/>
                <w:sz w:val="20"/>
                <w:szCs w:val="20"/>
                <w:lang w:eastAsia="tr-TR"/>
              </w:rPr>
            </w:pPr>
            <w:r w:rsidRPr="00E0308F">
              <w:rPr>
                <w:rFonts w:ascii="Times New Roman" w:eastAsia="Times New Roman" w:hAnsi="Times New Roman" w:cs="Times New Roman"/>
                <w:b/>
                <w:bCs/>
                <w:color w:val="000000" w:themeColor="text1"/>
                <w:sz w:val="20"/>
                <w:szCs w:val="20"/>
                <w:lang w:eastAsia="tr-TR"/>
              </w:rPr>
              <w:t>109,3</w:t>
            </w:r>
          </w:p>
        </w:tc>
        <w:tc>
          <w:tcPr>
            <w:tcW w:w="1020" w:type="dxa"/>
            <w:tcBorders>
              <w:top w:val="nil"/>
              <w:left w:val="nil"/>
              <w:bottom w:val="single" w:sz="4" w:space="0" w:color="auto"/>
              <w:right w:val="single" w:sz="4" w:space="0" w:color="auto"/>
            </w:tcBorders>
            <w:shd w:val="clear" w:color="auto" w:fill="auto"/>
            <w:noWrap/>
            <w:vAlign w:val="center"/>
            <w:hideMark/>
          </w:tcPr>
          <w:p w14:paraId="789488EB"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144,3</w:t>
            </w:r>
          </w:p>
        </w:tc>
        <w:tc>
          <w:tcPr>
            <w:tcW w:w="959" w:type="dxa"/>
            <w:tcBorders>
              <w:top w:val="nil"/>
              <w:left w:val="nil"/>
              <w:bottom w:val="single" w:sz="4" w:space="0" w:color="auto"/>
              <w:right w:val="single" w:sz="4" w:space="0" w:color="auto"/>
            </w:tcBorders>
            <w:shd w:val="clear" w:color="auto" w:fill="auto"/>
            <w:noWrap/>
            <w:vAlign w:val="center"/>
            <w:hideMark/>
          </w:tcPr>
          <w:p w14:paraId="75559561"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108,8</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6F50ADBC"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120,8</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0525FD1C"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124,1</w:t>
            </w:r>
          </w:p>
        </w:tc>
        <w:tc>
          <w:tcPr>
            <w:tcW w:w="642" w:type="dxa"/>
            <w:tcBorders>
              <w:top w:val="nil"/>
              <w:left w:val="nil"/>
              <w:bottom w:val="single" w:sz="4" w:space="0" w:color="auto"/>
              <w:right w:val="single" w:sz="4" w:space="0" w:color="auto"/>
            </w:tcBorders>
            <w:shd w:val="clear" w:color="auto" w:fill="FFE599" w:themeFill="accent4" w:themeFillTint="66"/>
            <w:vAlign w:val="center"/>
          </w:tcPr>
          <w:p w14:paraId="1D6BDFBC"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2,77</w:t>
            </w:r>
          </w:p>
        </w:tc>
        <w:tc>
          <w:tcPr>
            <w:tcW w:w="850" w:type="dxa"/>
            <w:tcBorders>
              <w:top w:val="nil"/>
              <w:left w:val="nil"/>
              <w:bottom w:val="single" w:sz="4" w:space="0" w:color="auto"/>
              <w:right w:val="single" w:sz="4" w:space="0" w:color="auto"/>
            </w:tcBorders>
            <w:shd w:val="clear" w:color="auto" w:fill="FFE599" w:themeFill="accent4" w:themeFillTint="66"/>
            <w:vAlign w:val="center"/>
          </w:tcPr>
          <w:p w14:paraId="4E72EA7D" w14:textId="77777777" w:rsidR="00C54BC9" w:rsidRPr="00E0308F" w:rsidRDefault="00C54BC9" w:rsidP="006963C3">
            <w:pPr>
              <w:spacing w:after="0" w:line="240" w:lineRule="auto"/>
              <w:jc w:val="right"/>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t>-19,49</w:t>
            </w:r>
          </w:p>
        </w:tc>
      </w:tr>
      <w:tr w:rsidR="00164238" w:rsidRPr="00E0308F" w14:paraId="20EE9E30" w14:textId="77777777" w:rsidTr="00682CBF">
        <w:trPr>
          <w:trHeight w:val="300"/>
        </w:trPr>
        <w:tc>
          <w:tcPr>
            <w:tcW w:w="825" w:type="dxa"/>
            <w:tcBorders>
              <w:top w:val="nil"/>
              <w:left w:val="single" w:sz="4" w:space="0" w:color="auto"/>
              <w:bottom w:val="single" w:sz="4" w:space="0" w:color="auto"/>
              <w:right w:val="single" w:sz="4" w:space="0" w:color="auto"/>
            </w:tcBorders>
            <w:shd w:val="clear" w:color="auto" w:fill="auto"/>
            <w:noWrap/>
            <w:vAlign w:val="center"/>
            <w:hideMark/>
          </w:tcPr>
          <w:p w14:paraId="2D836313"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12</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247C9E5B"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109,90</w:t>
            </w:r>
          </w:p>
        </w:tc>
        <w:tc>
          <w:tcPr>
            <w:tcW w:w="1020" w:type="dxa"/>
            <w:tcBorders>
              <w:top w:val="nil"/>
              <w:left w:val="nil"/>
              <w:bottom w:val="single" w:sz="4" w:space="0" w:color="auto"/>
              <w:right w:val="single" w:sz="4" w:space="0" w:color="auto"/>
            </w:tcBorders>
            <w:shd w:val="clear" w:color="auto" w:fill="auto"/>
            <w:noWrap/>
            <w:vAlign w:val="center"/>
            <w:hideMark/>
          </w:tcPr>
          <w:p w14:paraId="5BD3C35A"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98,6</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65FA39AC" w14:textId="77777777" w:rsidR="00C54BC9" w:rsidRPr="00E0308F" w:rsidRDefault="00C54BC9" w:rsidP="006963C3">
            <w:pPr>
              <w:spacing w:after="0" w:line="240" w:lineRule="auto"/>
              <w:jc w:val="center"/>
              <w:rPr>
                <w:rFonts w:ascii="Times New Roman" w:eastAsia="Times New Roman" w:hAnsi="Times New Roman" w:cs="Times New Roman"/>
                <w:b/>
                <w:bCs/>
                <w:color w:val="000000" w:themeColor="text1"/>
                <w:sz w:val="20"/>
                <w:szCs w:val="20"/>
                <w:lang w:eastAsia="tr-TR"/>
              </w:rPr>
            </w:pPr>
            <w:r w:rsidRPr="00E0308F">
              <w:rPr>
                <w:rFonts w:ascii="Times New Roman" w:eastAsia="Times New Roman" w:hAnsi="Times New Roman" w:cs="Times New Roman"/>
                <w:b/>
                <w:bCs/>
                <w:color w:val="000000" w:themeColor="text1"/>
                <w:sz w:val="20"/>
                <w:szCs w:val="20"/>
                <w:lang w:eastAsia="tr-TR"/>
              </w:rPr>
              <w:t>100,6</w:t>
            </w:r>
          </w:p>
        </w:tc>
        <w:tc>
          <w:tcPr>
            <w:tcW w:w="1020" w:type="dxa"/>
            <w:tcBorders>
              <w:top w:val="nil"/>
              <w:left w:val="nil"/>
              <w:bottom w:val="single" w:sz="4" w:space="0" w:color="auto"/>
              <w:right w:val="single" w:sz="4" w:space="0" w:color="auto"/>
            </w:tcBorders>
            <w:shd w:val="clear" w:color="auto" w:fill="auto"/>
            <w:noWrap/>
            <w:vAlign w:val="center"/>
            <w:hideMark/>
          </w:tcPr>
          <w:p w14:paraId="4B835D7D"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112,9</w:t>
            </w:r>
          </w:p>
        </w:tc>
        <w:tc>
          <w:tcPr>
            <w:tcW w:w="959" w:type="dxa"/>
            <w:tcBorders>
              <w:top w:val="nil"/>
              <w:left w:val="nil"/>
              <w:bottom w:val="single" w:sz="4" w:space="0" w:color="auto"/>
              <w:right w:val="single" w:sz="4" w:space="0" w:color="auto"/>
            </w:tcBorders>
            <w:shd w:val="clear" w:color="auto" w:fill="auto"/>
            <w:noWrap/>
            <w:vAlign w:val="center"/>
            <w:hideMark/>
          </w:tcPr>
          <w:p w14:paraId="09A674BB"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105,2</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51D8E820"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106,2</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094DE454"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106,8</w:t>
            </w:r>
          </w:p>
        </w:tc>
        <w:tc>
          <w:tcPr>
            <w:tcW w:w="642" w:type="dxa"/>
            <w:tcBorders>
              <w:top w:val="nil"/>
              <w:left w:val="nil"/>
              <w:bottom w:val="single" w:sz="4" w:space="0" w:color="auto"/>
              <w:right w:val="single" w:sz="4" w:space="0" w:color="auto"/>
            </w:tcBorders>
            <w:shd w:val="clear" w:color="auto" w:fill="FFE599" w:themeFill="accent4" w:themeFillTint="66"/>
            <w:vAlign w:val="center"/>
          </w:tcPr>
          <w:p w14:paraId="0C3D0FAF"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0,56</w:t>
            </w:r>
          </w:p>
        </w:tc>
        <w:tc>
          <w:tcPr>
            <w:tcW w:w="850" w:type="dxa"/>
            <w:tcBorders>
              <w:top w:val="nil"/>
              <w:left w:val="nil"/>
              <w:bottom w:val="single" w:sz="4" w:space="0" w:color="auto"/>
              <w:right w:val="single" w:sz="4" w:space="0" w:color="auto"/>
            </w:tcBorders>
            <w:shd w:val="clear" w:color="auto" w:fill="FFE599" w:themeFill="accent4" w:themeFillTint="66"/>
            <w:vAlign w:val="center"/>
          </w:tcPr>
          <w:p w14:paraId="1D8F63A6" w14:textId="77777777" w:rsidR="00C54BC9" w:rsidRPr="00E0308F" w:rsidRDefault="00C54BC9" w:rsidP="006963C3">
            <w:pPr>
              <w:spacing w:after="0" w:line="240" w:lineRule="auto"/>
              <w:jc w:val="right"/>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t>-8,46</w:t>
            </w:r>
          </w:p>
        </w:tc>
      </w:tr>
      <w:tr w:rsidR="00164238" w:rsidRPr="00E0308F" w14:paraId="26F8BFBD" w14:textId="77777777" w:rsidTr="00682CBF">
        <w:trPr>
          <w:trHeight w:val="300"/>
        </w:trPr>
        <w:tc>
          <w:tcPr>
            <w:tcW w:w="825" w:type="dxa"/>
            <w:tcBorders>
              <w:top w:val="nil"/>
              <w:left w:val="single" w:sz="4" w:space="0" w:color="auto"/>
              <w:bottom w:val="single" w:sz="4" w:space="0" w:color="auto"/>
              <w:right w:val="single" w:sz="4" w:space="0" w:color="auto"/>
            </w:tcBorders>
            <w:shd w:val="clear" w:color="auto" w:fill="auto"/>
            <w:noWrap/>
            <w:vAlign w:val="center"/>
            <w:hideMark/>
          </w:tcPr>
          <w:p w14:paraId="7D376AD4"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13</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520A4D96"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109,70</w:t>
            </w:r>
          </w:p>
        </w:tc>
        <w:tc>
          <w:tcPr>
            <w:tcW w:w="1020" w:type="dxa"/>
            <w:tcBorders>
              <w:top w:val="nil"/>
              <w:left w:val="nil"/>
              <w:bottom w:val="single" w:sz="4" w:space="0" w:color="auto"/>
              <w:right w:val="single" w:sz="4" w:space="0" w:color="auto"/>
            </w:tcBorders>
            <w:shd w:val="clear" w:color="auto" w:fill="auto"/>
            <w:noWrap/>
            <w:vAlign w:val="center"/>
            <w:hideMark/>
          </w:tcPr>
          <w:p w14:paraId="704F5605"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116,1</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2EA3F88D" w14:textId="77777777" w:rsidR="00C54BC9" w:rsidRPr="00E0308F" w:rsidRDefault="00C54BC9" w:rsidP="006963C3">
            <w:pPr>
              <w:spacing w:after="0" w:line="240" w:lineRule="auto"/>
              <w:jc w:val="center"/>
              <w:rPr>
                <w:rFonts w:ascii="Times New Roman" w:eastAsia="Times New Roman" w:hAnsi="Times New Roman" w:cs="Times New Roman"/>
                <w:b/>
                <w:bCs/>
                <w:color w:val="000000" w:themeColor="text1"/>
                <w:sz w:val="20"/>
                <w:szCs w:val="20"/>
                <w:lang w:eastAsia="tr-TR"/>
              </w:rPr>
            </w:pPr>
            <w:r w:rsidRPr="00E0308F">
              <w:rPr>
                <w:rFonts w:ascii="Times New Roman" w:eastAsia="Times New Roman" w:hAnsi="Times New Roman" w:cs="Times New Roman"/>
                <w:b/>
                <w:bCs/>
                <w:color w:val="000000" w:themeColor="text1"/>
                <w:sz w:val="20"/>
                <w:szCs w:val="20"/>
                <w:lang w:eastAsia="tr-TR"/>
              </w:rPr>
              <w:t>76,9</w:t>
            </w:r>
          </w:p>
        </w:tc>
        <w:tc>
          <w:tcPr>
            <w:tcW w:w="1020" w:type="dxa"/>
            <w:tcBorders>
              <w:top w:val="nil"/>
              <w:left w:val="nil"/>
              <w:bottom w:val="single" w:sz="4" w:space="0" w:color="auto"/>
              <w:right w:val="single" w:sz="4" w:space="0" w:color="auto"/>
            </w:tcBorders>
            <w:shd w:val="clear" w:color="auto" w:fill="auto"/>
            <w:noWrap/>
            <w:vAlign w:val="center"/>
            <w:hideMark/>
          </w:tcPr>
          <w:p w14:paraId="63830114"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122,5</w:t>
            </w:r>
          </w:p>
        </w:tc>
        <w:tc>
          <w:tcPr>
            <w:tcW w:w="959" w:type="dxa"/>
            <w:tcBorders>
              <w:top w:val="nil"/>
              <w:left w:val="nil"/>
              <w:bottom w:val="single" w:sz="4" w:space="0" w:color="auto"/>
              <w:right w:val="single" w:sz="4" w:space="0" w:color="auto"/>
            </w:tcBorders>
            <w:shd w:val="clear" w:color="auto" w:fill="auto"/>
            <w:noWrap/>
            <w:vAlign w:val="center"/>
            <w:hideMark/>
          </w:tcPr>
          <w:p w14:paraId="33CD3D86"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138,5</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63BE0EAD"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112,7</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0D45EA41"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118,0</w:t>
            </w:r>
          </w:p>
        </w:tc>
        <w:tc>
          <w:tcPr>
            <w:tcW w:w="642" w:type="dxa"/>
            <w:tcBorders>
              <w:top w:val="nil"/>
              <w:left w:val="nil"/>
              <w:bottom w:val="single" w:sz="4" w:space="0" w:color="auto"/>
              <w:right w:val="single" w:sz="4" w:space="0" w:color="auto"/>
            </w:tcBorders>
            <w:shd w:val="clear" w:color="auto" w:fill="FFE599" w:themeFill="accent4" w:themeFillTint="66"/>
            <w:vAlign w:val="center"/>
          </w:tcPr>
          <w:p w14:paraId="4E386633" w14:textId="77777777" w:rsidR="00C54BC9" w:rsidRPr="00E0308F" w:rsidRDefault="00C54BC9" w:rsidP="006963C3">
            <w:pPr>
              <w:spacing w:after="0" w:line="240" w:lineRule="auto"/>
              <w:jc w:val="center"/>
              <w:rPr>
                <w:rFonts w:ascii="Times New Roman" w:eastAsia="Times New Roman" w:hAnsi="Times New Roman" w:cs="Times New Roman"/>
                <w:b/>
                <w:bCs/>
                <w:color w:val="000000" w:themeColor="text1"/>
                <w:sz w:val="20"/>
                <w:szCs w:val="20"/>
                <w:lang w:eastAsia="tr-TR"/>
              </w:rPr>
            </w:pPr>
            <w:r w:rsidRPr="00E0308F">
              <w:rPr>
                <w:rFonts w:ascii="Times New Roman" w:hAnsi="Times New Roman" w:cs="Times New Roman"/>
                <w:b/>
                <w:bCs/>
                <w:color w:val="000000" w:themeColor="text1"/>
                <w:sz w:val="20"/>
                <w:szCs w:val="20"/>
              </w:rPr>
              <w:t>4,75</w:t>
            </w:r>
          </w:p>
        </w:tc>
        <w:tc>
          <w:tcPr>
            <w:tcW w:w="850" w:type="dxa"/>
            <w:tcBorders>
              <w:top w:val="nil"/>
              <w:left w:val="nil"/>
              <w:bottom w:val="single" w:sz="4" w:space="0" w:color="auto"/>
              <w:right w:val="single" w:sz="4" w:space="0" w:color="auto"/>
            </w:tcBorders>
            <w:shd w:val="clear" w:color="auto" w:fill="FFE599" w:themeFill="accent4" w:themeFillTint="66"/>
            <w:vAlign w:val="center"/>
          </w:tcPr>
          <w:p w14:paraId="64B5A145" w14:textId="77777777" w:rsidR="00C54BC9" w:rsidRPr="00E0308F" w:rsidRDefault="00C54BC9" w:rsidP="006963C3">
            <w:pPr>
              <w:spacing w:after="0" w:line="240" w:lineRule="auto"/>
              <w:jc w:val="right"/>
              <w:rPr>
                <w:rFonts w:ascii="Times New Roman" w:hAnsi="Times New Roman" w:cs="Times New Roman"/>
                <w:b/>
                <w:bCs/>
                <w:color w:val="000000" w:themeColor="text1"/>
                <w:sz w:val="20"/>
                <w:szCs w:val="20"/>
              </w:rPr>
            </w:pPr>
            <w:r w:rsidRPr="00E0308F">
              <w:rPr>
                <w:rFonts w:ascii="Times New Roman" w:hAnsi="Times New Roman" w:cs="Times New Roman"/>
                <w:b/>
                <w:bCs/>
                <w:color w:val="000000" w:themeColor="text1"/>
                <w:sz w:val="20"/>
                <w:szCs w:val="20"/>
              </w:rPr>
              <w:t>-29,87</w:t>
            </w:r>
          </w:p>
        </w:tc>
      </w:tr>
      <w:tr w:rsidR="00164238" w:rsidRPr="00E0308F" w14:paraId="43667EA2" w14:textId="77777777" w:rsidTr="00682CBF">
        <w:trPr>
          <w:trHeight w:val="300"/>
        </w:trPr>
        <w:tc>
          <w:tcPr>
            <w:tcW w:w="825" w:type="dxa"/>
            <w:tcBorders>
              <w:top w:val="nil"/>
              <w:left w:val="single" w:sz="4" w:space="0" w:color="auto"/>
              <w:bottom w:val="single" w:sz="4" w:space="0" w:color="auto"/>
              <w:right w:val="single" w:sz="4" w:space="0" w:color="auto"/>
            </w:tcBorders>
            <w:shd w:val="clear" w:color="auto" w:fill="auto"/>
            <w:noWrap/>
            <w:vAlign w:val="center"/>
            <w:hideMark/>
          </w:tcPr>
          <w:p w14:paraId="2FE0902D"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14</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5507D202"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115,40</w:t>
            </w:r>
          </w:p>
        </w:tc>
        <w:tc>
          <w:tcPr>
            <w:tcW w:w="1020" w:type="dxa"/>
            <w:tcBorders>
              <w:top w:val="nil"/>
              <w:left w:val="nil"/>
              <w:bottom w:val="single" w:sz="4" w:space="0" w:color="auto"/>
              <w:right w:val="single" w:sz="4" w:space="0" w:color="auto"/>
            </w:tcBorders>
            <w:shd w:val="clear" w:color="auto" w:fill="auto"/>
            <w:noWrap/>
            <w:vAlign w:val="center"/>
            <w:hideMark/>
          </w:tcPr>
          <w:p w14:paraId="28107164"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118,1</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19DADAED" w14:textId="77777777" w:rsidR="00C54BC9" w:rsidRPr="00E0308F" w:rsidRDefault="00C54BC9" w:rsidP="006963C3">
            <w:pPr>
              <w:spacing w:after="0" w:line="240" w:lineRule="auto"/>
              <w:jc w:val="center"/>
              <w:rPr>
                <w:rFonts w:ascii="Times New Roman" w:eastAsia="Times New Roman" w:hAnsi="Times New Roman" w:cs="Times New Roman"/>
                <w:b/>
                <w:bCs/>
                <w:color w:val="000000" w:themeColor="text1"/>
                <w:sz w:val="20"/>
                <w:szCs w:val="20"/>
                <w:lang w:eastAsia="tr-TR"/>
              </w:rPr>
            </w:pPr>
            <w:r w:rsidRPr="00E0308F">
              <w:rPr>
                <w:rFonts w:ascii="Times New Roman" w:eastAsia="Times New Roman" w:hAnsi="Times New Roman" w:cs="Times New Roman"/>
                <w:b/>
                <w:bCs/>
                <w:color w:val="000000" w:themeColor="text1"/>
                <w:sz w:val="20"/>
                <w:szCs w:val="20"/>
                <w:lang w:eastAsia="tr-TR"/>
              </w:rPr>
              <w:t>74,7</w:t>
            </w:r>
          </w:p>
        </w:tc>
        <w:tc>
          <w:tcPr>
            <w:tcW w:w="1020" w:type="dxa"/>
            <w:tcBorders>
              <w:top w:val="nil"/>
              <w:left w:val="nil"/>
              <w:bottom w:val="single" w:sz="4" w:space="0" w:color="auto"/>
              <w:right w:val="single" w:sz="4" w:space="0" w:color="auto"/>
            </w:tcBorders>
            <w:shd w:val="clear" w:color="auto" w:fill="auto"/>
            <w:noWrap/>
            <w:vAlign w:val="center"/>
            <w:hideMark/>
          </w:tcPr>
          <w:p w14:paraId="7C0D8884"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129,4</w:t>
            </w:r>
          </w:p>
        </w:tc>
        <w:tc>
          <w:tcPr>
            <w:tcW w:w="959" w:type="dxa"/>
            <w:tcBorders>
              <w:top w:val="nil"/>
              <w:left w:val="nil"/>
              <w:bottom w:val="single" w:sz="4" w:space="0" w:color="auto"/>
              <w:right w:val="single" w:sz="4" w:space="0" w:color="auto"/>
            </w:tcBorders>
            <w:shd w:val="clear" w:color="auto" w:fill="auto"/>
            <w:noWrap/>
            <w:vAlign w:val="center"/>
            <w:hideMark/>
          </w:tcPr>
          <w:p w14:paraId="2E3B28AA"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128,2</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2E93CD36"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110,8</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77346715"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115,8</w:t>
            </w:r>
          </w:p>
        </w:tc>
        <w:tc>
          <w:tcPr>
            <w:tcW w:w="642" w:type="dxa"/>
            <w:tcBorders>
              <w:top w:val="nil"/>
              <w:left w:val="nil"/>
              <w:bottom w:val="single" w:sz="4" w:space="0" w:color="auto"/>
              <w:right w:val="single" w:sz="4" w:space="0" w:color="auto"/>
            </w:tcBorders>
            <w:shd w:val="clear" w:color="auto" w:fill="FFE599" w:themeFill="accent4" w:themeFillTint="66"/>
            <w:vAlign w:val="center"/>
          </w:tcPr>
          <w:p w14:paraId="306381FF" w14:textId="77777777" w:rsidR="00C54BC9" w:rsidRPr="00E0308F" w:rsidRDefault="00C54BC9" w:rsidP="006963C3">
            <w:pPr>
              <w:spacing w:after="0" w:line="240" w:lineRule="auto"/>
              <w:jc w:val="center"/>
              <w:rPr>
                <w:rFonts w:ascii="Times New Roman" w:eastAsia="Times New Roman" w:hAnsi="Times New Roman" w:cs="Times New Roman"/>
                <w:b/>
                <w:bCs/>
                <w:color w:val="000000" w:themeColor="text1"/>
                <w:sz w:val="20"/>
                <w:szCs w:val="20"/>
                <w:lang w:eastAsia="tr-TR"/>
              </w:rPr>
            </w:pPr>
            <w:r w:rsidRPr="00E0308F">
              <w:rPr>
                <w:rFonts w:ascii="Times New Roman" w:hAnsi="Times New Roman" w:cs="Times New Roman"/>
                <w:b/>
                <w:bCs/>
                <w:color w:val="000000" w:themeColor="text1"/>
                <w:sz w:val="20"/>
                <w:szCs w:val="20"/>
              </w:rPr>
              <w:t>4,53</w:t>
            </w:r>
          </w:p>
        </w:tc>
        <w:tc>
          <w:tcPr>
            <w:tcW w:w="850" w:type="dxa"/>
            <w:tcBorders>
              <w:top w:val="nil"/>
              <w:left w:val="nil"/>
              <w:bottom w:val="single" w:sz="4" w:space="0" w:color="auto"/>
              <w:right w:val="single" w:sz="4" w:space="0" w:color="auto"/>
            </w:tcBorders>
            <w:shd w:val="clear" w:color="auto" w:fill="FFE599" w:themeFill="accent4" w:themeFillTint="66"/>
            <w:vAlign w:val="center"/>
          </w:tcPr>
          <w:p w14:paraId="747EE6BB" w14:textId="77777777" w:rsidR="00C54BC9" w:rsidRPr="00E0308F" w:rsidRDefault="00C54BC9" w:rsidP="006963C3">
            <w:pPr>
              <w:spacing w:after="0" w:line="240" w:lineRule="auto"/>
              <w:jc w:val="right"/>
              <w:rPr>
                <w:rFonts w:ascii="Times New Roman" w:hAnsi="Times New Roman" w:cs="Times New Roman"/>
                <w:b/>
                <w:bCs/>
                <w:color w:val="000000" w:themeColor="text1"/>
                <w:sz w:val="20"/>
                <w:szCs w:val="20"/>
              </w:rPr>
            </w:pPr>
            <w:r w:rsidRPr="00E0308F">
              <w:rPr>
                <w:rFonts w:ascii="Times New Roman" w:hAnsi="Times New Roman" w:cs="Times New Roman"/>
                <w:b/>
                <w:bCs/>
                <w:color w:val="000000" w:themeColor="text1"/>
                <w:sz w:val="20"/>
                <w:szCs w:val="20"/>
              </w:rPr>
              <w:t>-35,30</w:t>
            </w:r>
          </w:p>
        </w:tc>
      </w:tr>
      <w:tr w:rsidR="00164238" w:rsidRPr="00E0308F" w14:paraId="4383327D" w14:textId="77777777" w:rsidTr="00682CBF">
        <w:trPr>
          <w:trHeight w:val="300"/>
        </w:trPr>
        <w:tc>
          <w:tcPr>
            <w:tcW w:w="825" w:type="dxa"/>
            <w:tcBorders>
              <w:top w:val="nil"/>
              <w:left w:val="single" w:sz="4" w:space="0" w:color="auto"/>
              <w:bottom w:val="single" w:sz="4" w:space="0" w:color="auto"/>
              <w:right w:val="single" w:sz="4" w:space="0" w:color="auto"/>
            </w:tcBorders>
            <w:shd w:val="clear" w:color="auto" w:fill="auto"/>
            <w:noWrap/>
            <w:vAlign w:val="center"/>
            <w:hideMark/>
          </w:tcPr>
          <w:p w14:paraId="4E14D981"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15</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10E8FCBD"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118,50</w:t>
            </w:r>
          </w:p>
        </w:tc>
        <w:tc>
          <w:tcPr>
            <w:tcW w:w="1020" w:type="dxa"/>
            <w:tcBorders>
              <w:top w:val="nil"/>
              <w:left w:val="nil"/>
              <w:bottom w:val="single" w:sz="4" w:space="0" w:color="auto"/>
              <w:right w:val="single" w:sz="4" w:space="0" w:color="auto"/>
            </w:tcBorders>
            <w:shd w:val="clear" w:color="auto" w:fill="auto"/>
            <w:noWrap/>
            <w:vAlign w:val="center"/>
            <w:hideMark/>
          </w:tcPr>
          <w:p w14:paraId="55348E17"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122,2</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5C3BE15E" w14:textId="77777777" w:rsidR="00C54BC9" w:rsidRPr="00E0308F" w:rsidRDefault="00C54BC9" w:rsidP="006963C3">
            <w:pPr>
              <w:spacing w:after="0" w:line="240" w:lineRule="auto"/>
              <w:jc w:val="center"/>
              <w:rPr>
                <w:rFonts w:ascii="Times New Roman" w:eastAsia="Times New Roman" w:hAnsi="Times New Roman" w:cs="Times New Roman"/>
                <w:b/>
                <w:bCs/>
                <w:color w:val="000000" w:themeColor="text1"/>
                <w:sz w:val="20"/>
                <w:szCs w:val="20"/>
                <w:lang w:eastAsia="tr-TR"/>
              </w:rPr>
            </w:pPr>
            <w:r w:rsidRPr="00E0308F">
              <w:rPr>
                <w:rFonts w:ascii="Times New Roman" w:eastAsia="Times New Roman" w:hAnsi="Times New Roman" w:cs="Times New Roman"/>
                <w:b/>
                <w:bCs/>
                <w:color w:val="000000" w:themeColor="text1"/>
                <w:sz w:val="20"/>
                <w:szCs w:val="20"/>
                <w:lang w:eastAsia="tr-TR"/>
              </w:rPr>
              <w:t>71,3</w:t>
            </w:r>
          </w:p>
        </w:tc>
        <w:tc>
          <w:tcPr>
            <w:tcW w:w="1020" w:type="dxa"/>
            <w:tcBorders>
              <w:top w:val="nil"/>
              <w:left w:val="nil"/>
              <w:bottom w:val="single" w:sz="4" w:space="0" w:color="auto"/>
              <w:right w:val="single" w:sz="4" w:space="0" w:color="auto"/>
            </w:tcBorders>
            <w:shd w:val="clear" w:color="auto" w:fill="auto"/>
            <w:noWrap/>
            <w:vAlign w:val="center"/>
            <w:hideMark/>
          </w:tcPr>
          <w:p w14:paraId="0041CB43"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113,1</w:t>
            </w:r>
          </w:p>
        </w:tc>
        <w:tc>
          <w:tcPr>
            <w:tcW w:w="959" w:type="dxa"/>
            <w:tcBorders>
              <w:top w:val="nil"/>
              <w:left w:val="nil"/>
              <w:bottom w:val="single" w:sz="4" w:space="0" w:color="auto"/>
              <w:right w:val="single" w:sz="4" w:space="0" w:color="auto"/>
            </w:tcBorders>
            <w:shd w:val="clear" w:color="auto" w:fill="auto"/>
            <w:noWrap/>
            <w:vAlign w:val="center"/>
            <w:hideMark/>
          </w:tcPr>
          <w:p w14:paraId="771F8355"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118,6</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0EFE445A"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101,0</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4B90E4EC"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105,5</w:t>
            </w:r>
          </w:p>
        </w:tc>
        <w:tc>
          <w:tcPr>
            <w:tcW w:w="642" w:type="dxa"/>
            <w:tcBorders>
              <w:top w:val="nil"/>
              <w:left w:val="nil"/>
              <w:bottom w:val="single" w:sz="4" w:space="0" w:color="auto"/>
              <w:right w:val="single" w:sz="4" w:space="0" w:color="auto"/>
            </w:tcBorders>
            <w:shd w:val="clear" w:color="auto" w:fill="FFE599" w:themeFill="accent4" w:themeFillTint="66"/>
            <w:vAlign w:val="center"/>
          </w:tcPr>
          <w:p w14:paraId="10AAFC5E" w14:textId="77777777" w:rsidR="00C54BC9" w:rsidRPr="00E0308F" w:rsidRDefault="00C54BC9" w:rsidP="006963C3">
            <w:pPr>
              <w:spacing w:after="0" w:line="240" w:lineRule="auto"/>
              <w:jc w:val="center"/>
              <w:rPr>
                <w:rFonts w:ascii="Times New Roman" w:eastAsia="Times New Roman" w:hAnsi="Times New Roman" w:cs="Times New Roman"/>
                <w:b/>
                <w:bCs/>
                <w:color w:val="000000" w:themeColor="text1"/>
                <w:sz w:val="20"/>
                <w:szCs w:val="20"/>
                <w:lang w:eastAsia="tr-TR"/>
              </w:rPr>
            </w:pPr>
            <w:r w:rsidRPr="00E0308F">
              <w:rPr>
                <w:rFonts w:ascii="Times New Roman" w:hAnsi="Times New Roman" w:cs="Times New Roman"/>
                <w:b/>
                <w:bCs/>
                <w:color w:val="000000" w:themeColor="text1"/>
                <w:sz w:val="20"/>
                <w:szCs w:val="20"/>
              </w:rPr>
              <w:t>4,44</w:t>
            </w:r>
          </w:p>
        </w:tc>
        <w:tc>
          <w:tcPr>
            <w:tcW w:w="850" w:type="dxa"/>
            <w:tcBorders>
              <w:top w:val="nil"/>
              <w:left w:val="nil"/>
              <w:bottom w:val="single" w:sz="4" w:space="0" w:color="auto"/>
              <w:right w:val="single" w:sz="4" w:space="0" w:color="auto"/>
            </w:tcBorders>
            <w:shd w:val="clear" w:color="auto" w:fill="FFE599" w:themeFill="accent4" w:themeFillTint="66"/>
            <w:vAlign w:val="center"/>
          </w:tcPr>
          <w:p w14:paraId="0AA05255" w14:textId="77777777" w:rsidR="00C54BC9" w:rsidRPr="00E0308F" w:rsidRDefault="00C54BC9" w:rsidP="006963C3">
            <w:pPr>
              <w:spacing w:after="0" w:line="240" w:lineRule="auto"/>
              <w:jc w:val="right"/>
              <w:rPr>
                <w:rFonts w:ascii="Times New Roman" w:hAnsi="Times New Roman" w:cs="Times New Roman"/>
                <w:b/>
                <w:bCs/>
                <w:color w:val="000000" w:themeColor="text1"/>
                <w:sz w:val="20"/>
                <w:szCs w:val="20"/>
              </w:rPr>
            </w:pPr>
            <w:r w:rsidRPr="00E0308F">
              <w:rPr>
                <w:rFonts w:ascii="Times New Roman" w:hAnsi="Times New Roman" w:cs="Times New Roman"/>
                <w:b/>
                <w:bCs/>
                <w:color w:val="000000" w:themeColor="text1"/>
                <w:sz w:val="20"/>
                <w:szCs w:val="20"/>
              </w:rPr>
              <w:t>-39,86</w:t>
            </w:r>
          </w:p>
        </w:tc>
      </w:tr>
      <w:tr w:rsidR="00164238" w:rsidRPr="00E0308F" w14:paraId="09899910" w14:textId="77777777" w:rsidTr="00682CBF">
        <w:trPr>
          <w:trHeight w:val="300"/>
        </w:trPr>
        <w:tc>
          <w:tcPr>
            <w:tcW w:w="825" w:type="dxa"/>
            <w:tcBorders>
              <w:top w:val="nil"/>
              <w:left w:val="single" w:sz="4" w:space="0" w:color="auto"/>
              <w:bottom w:val="single" w:sz="4" w:space="0" w:color="auto"/>
              <w:right w:val="single" w:sz="4" w:space="0" w:color="auto"/>
            </w:tcBorders>
            <w:shd w:val="clear" w:color="auto" w:fill="auto"/>
            <w:noWrap/>
            <w:vAlign w:val="center"/>
            <w:hideMark/>
          </w:tcPr>
          <w:p w14:paraId="1B34B450"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16</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4FF61ECE"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97,07</w:t>
            </w:r>
          </w:p>
        </w:tc>
        <w:tc>
          <w:tcPr>
            <w:tcW w:w="1020" w:type="dxa"/>
            <w:tcBorders>
              <w:top w:val="nil"/>
              <w:left w:val="nil"/>
              <w:bottom w:val="single" w:sz="4" w:space="0" w:color="auto"/>
              <w:right w:val="single" w:sz="4" w:space="0" w:color="auto"/>
            </w:tcBorders>
            <w:shd w:val="clear" w:color="auto" w:fill="auto"/>
            <w:noWrap/>
            <w:vAlign w:val="center"/>
            <w:hideMark/>
          </w:tcPr>
          <w:p w14:paraId="30089217"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98,1</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53D93A3F" w14:textId="77777777" w:rsidR="00C54BC9" w:rsidRPr="00E0308F" w:rsidRDefault="00C54BC9" w:rsidP="006963C3">
            <w:pPr>
              <w:spacing w:after="0" w:line="240" w:lineRule="auto"/>
              <w:jc w:val="center"/>
              <w:rPr>
                <w:rFonts w:ascii="Times New Roman" w:eastAsia="Times New Roman" w:hAnsi="Times New Roman" w:cs="Times New Roman"/>
                <w:b/>
                <w:bCs/>
                <w:color w:val="000000" w:themeColor="text1"/>
                <w:sz w:val="20"/>
                <w:szCs w:val="20"/>
                <w:lang w:eastAsia="tr-TR"/>
              </w:rPr>
            </w:pPr>
            <w:r w:rsidRPr="00E0308F">
              <w:rPr>
                <w:rFonts w:ascii="Times New Roman" w:eastAsia="Times New Roman" w:hAnsi="Times New Roman" w:cs="Times New Roman"/>
                <w:b/>
                <w:bCs/>
                <w:color w:val="000000" w:themeColor="text1"/>
                <w:sz w:val="20"/>
                <w:szCs w:val="20"/>
                <w:lang w:eastAsia="tr-TR"/>
              </w:rPr>
              <w:t>90,5</w:t>
            </w:r>
          </w:p>
        </w:tc>
        <w:tc>
          <w:tcPr>
            <w:tcW w:w="1020" w:type="dxa"/>
            <w:tcBorders>
              <w:top w:val="nil"/>
              <w:left w:val="nil"/>
              <w:bottom w:val="single" w:sz="4" w:space="0" w:color="auto"/>
              <w:right w:val="single" w:sz="4" w:space="0" w:color="auto"/>
            </w:tcBorders>
            <w:shd w:val="clear" w:color="auto" w:fill="auto"/>
            <w:noWrap/>
            <w:vAlign w:val="center"/>
            <w:hideMark/>
          </w:tcPr>
          <w:p w14:paraId="4F9C5E13"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119,2</w:t>
            </w:r>
          </w:p>
        </w:tc>
        <w:tc>
          <w:tcPr>
            <w:tcW w:w="959" w:type="dxa"/>
            <w:tcBorders>
              <w:top w:val="nil"/>
              <w:left w:val="nil"/>
              <w:bottom w:val="single" w:sz="4" w:space="0" w:color="auto"/>
              <w:right w:val="single" w:sz="4" w:space="0" w:color="auto"/>
            </w:tcBorders>
            <w:shd w:val="clear" w:color="auto" w:fill="auto"/>
            <w:noWrap/>
            <w:vAlign w:val="center"/>
            <w:hideMark/>
          </w:tcPr>
          <w:p w14:paraId="3CD1DAEA"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135,4</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59C81EF2"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115,0</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6D57FEE1"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118,1</w:t>
            </w:r>
          </w:p>
        </w:tc>
        <w:tc>
          <w:tcPr>
            <w:tcW w:w="642" w:type="dxa"/>
            <w:tcBorders>
              <w:top w:val="nil"/>
              <w:left w:val="nil"/>
              <w:bottom w:val="single" w:sz="4" w:space="0" w:color="auto"/>
              <w:right w:val="single" w:sz="4" w:space="0" w:color="auto"/>
            </w:tcBorders>
            <w:shd w:val="clear" w:color="auto" w:fill="FFE599" w:themeFill="accent4" w:themeFillTint="66"/>
            <w:vAlign w:val="center"/>
          </w:tcPr>
          <w:p w14:paraId="63D9FD30"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2,68</w:t>
            </w:r>
          </w:p>
        </w:tc>
        <w:tc>
          <w:tcPr>
            <w:tcW w:w="850" w:type="dxa"/>
            <w:tcBorders>
              <w:top w:val="nil"/>
              <w:left w:val="nil"/>
              <w:bottom w:val="single" w:sz="4" w:space="0" w:color="auto"/>
              <w:right w:val="single" w:sz="4" w:space="0" w:color="auto"/>
            </w:tcBorders>
            <w:shd w:val="clear" w:color="auto" w:fill="FFE599" w:themeFill="accent4" w:themeFillTint="66"/>
            <w:vAlign w:val="center"/>
          </w:tcPr>
          <w:p w14:paraId="3CD31997" w14:textId="77777777" w:rsidR="00C54BC9" w:rsidRPr="00E0308F" w:rsidRDefault="00C54BC9" w:rsidP="006963C3">
            <w:pPr>
              <w:spacing w:after="0" w:line="240" w:lineRule="auto"/>
              <w:jc w:val="right"/>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t>-6,73</w:t>
            </w:r>
          </w:p>
        </w:tc>
      </w:tr>
      <w:tr w:rsidR="00164238" w:rsidRPr="00E0308F" w14:paraId="241FB13D" w14:textId="77777777" w:rsidTr="00682CBF">
        <w:trPr>
          <w:trHeight w:val="300"/>
        </w:trPr>
        <w:tc>
          <w:tcPr>
            <w:tcW w:w="825" w:type="dxa"/>
            <w:tcBorders>
              <w:top w:val="nil"/>
              <w:left w:val="single" w:sz="4" w:space="0" w:color="auto"/>
              <w:bottom w:val="single" w:sz="4" w:space="0" w:color="auto"/>
              <w:right w:val="single" w:sz="4" w:space="0" w:color="auto"/>
            </w:tcBorders>
            <w:shd w:val="clear" w:color="auto" w:fill="auto"/>
            <w:noWrap/>
            <w:vAlign w:val="center"/>
            <w:hideMark/>
          </w:tcPr>
          <w:p w14:paraId="7EC1C12B"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17</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6A1C7DF6"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113,60</w:t>
            </w:r>
          </w:p>
        </w:tc>
        <w:tc>
          <w:tcPr>
            <w:tcW w:w="1020" w:type="dxa"/>
            <w:tcBorders>
              <w:top w:val="nil"/>
              <w:left w:val="nil"/>
              <w:bottom w:val="single" w:sz="4" w:space="0" w:color="auto"/>
              <w:right w:val="single" w:sz="4" w:space="0" w:color="auto"/>
            </w:tcBorders>
            <w:shd w:val="clear" w:color="auto" w:fill="auto"/>
            <w:noWrap/>
            <w:vAlign w:val="center"/>
            <w:hideMark/>
          </w:tcPr>
          <w:p w14:paraId="62194392"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119,9</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7E4225E1" w14:textId="77777777" w:rsidR="00C54BC9" w:rsidRPr="00E0308F" w:rsidRDefault="00C54BC9" w:rsidP="006963C3">
            <w:pPr>
              <w:spacing w:after="0" w:line="240" w:lineRule="auto"/>
              <w:jc w:val="center"/>
              <w:rPr>
                <w:rFonts w:ascii="Times New Roman" w:eastAsia="Times New Roman" w:hAnsi="Times New Roman" w:cs="Times New Roman"/>
                <w:b/>
                <w:bCs/>
                <w:color w:val="000000" w:themeColor="text1"/>
                <w:sz w:val="20"/>
                <w:szCs w:val="20"/>
                <w:lang w:eastAsia="tr-TR"/>
              </w:rPr>
            </w:pPr>
            <w:r w:rsidRPr="00E0308F">
              <w:rPr>
                <w:rFonts w:ascii="Times New Roman" w:eastAsia="Times New Roman" w:hAnsi="Times New Roman" w:cs="Times New Roman"/>
                <w:b/>
                <w:bCs/>
                <w:color w:val="000000" w:themeColor="text1"/>
                <w:sz w:val="20"/>
                <w:szCs w:val="20"/>
                <w:lang w:eastAsia="tr-TR"/>
              </w:rPr>
              <w:t>112,9</w:t>
            </w:r>
          </w:p>
        </w:tc>
        <w:tc>
          <w:tcPr>
            <w:tcW w:w="1020" w:type="dxa"/>
            <w:tcBorders>
              <w:top w:val="nil"/>
              <w:left w:val="nil"/>
              <w:bottom w:val="single" w:sz="4" w:space="0" w:color="auto"/>
              <w:right w:val="single" w:sz="4" w:space="0" w:color="auto"/>
            </w:tcBorders>
            <w:shd w:val="clear" w:color="auto" w:fill="auto"/>
            <w:noWrap/>
            <w:vAlign w:val="center"/>
            <w:hideMark/>
          </w:tcPr>
          <w:p w14:paraId="4AB433E1"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121,5</w:t>
            </w:r>
          </w:p>
        </w:tc>
        <w:tc>
          <w:tcPr>
            <w:tcW w:w="959" w:type="dxa"/>
            <w:tcBorders>
              <w:top w:val="nil"/>
              <w:left w:val="nil"/>
              <w:bottom w:val="single" w:sz="4" w:space="0" w:color="auto"/>
              <w:right w:val="single" w:sz="4" w:space="0" w:color="auto"/>
            </w:tcBorders>
            <w:shd w:val="clear" w:color="auto" w:fill="auto"/>
            <w:noWrap/>
            <w:vAlign w:val="center"/>
            <w:hideMark/>
          </w:tcPr>
          <w:p w14:paraId="7E37246A"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132,0</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247CE302"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122,2</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661D77CD"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122,9</w:t>
            </w:r>
          </w:p>
        </w:tc>
        <w:tc>
          <w:tcPr>
            <w:tcW w:w="642" w:type="dxa"/>
            <w:tcBorders>
              <w:top w:val="nil"/>
              <w:left w:val="nil"/>
              <w:bottom w:val="single" w:sz="4" w:space="0" w:color="auto"/>
              <w:right w:val="single" w:sz="4" w:space="0" w:color="auto"/>
            </w:tcBorders>
            <w:shd w:val="clear" w:color="auto" w:fill="FFE599" w:themeFill="accent4" w:themeFillTint="66"/>
            <w:vAlign w:val="center"/>
          </w:tcPr>
          <w:p w14:paraId="1389D688"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0,60</w:t>
            </w:r>
          </w:p>
        </w:tc>
        <w:tc>
          <w:tcPr>
            <w:tcW w:w="850" w:type="dxa"/>
            <w:tcBorders>
              <w:top w:val="nil"/>
              <w:left w:val="nil"/>
              <w:bottom w:val="single" w:sz="4" w:space="0" w:color="auto"/>
              <w:right w:val="single" w:sz="4" w:space="0" w:color="auto"/>
            </w:tcBorders>
            <w:shd w:val="clear" w:color="auto" w:fill="FFE599" w:themeFill="accent4" w:themeFillTint="66"/>
            <w:vAlign w:val="center"/>
          </w:tcPr>
          <w:p w14:paraId="29F7D7D4" w14:textId="77777777" w:rsidR="00C54BC9" w:rsidRPr="00E0308F" w:rsidRDefault="00C54BC9" w:rsidP="006963C3">
            <w:pPr>
              <w:spacing w:after="0" w:line="240" w:lineRule="auto"/>
              <w:jc w:val="right"/>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t>-0,59</w:t>
            </w:r>
          </w:p>
        </w:tc>
      </w:tr>
      <w:tr w:rsidR="00164238" w:rsidRPr="00E0308F" w14:paraId="694298E4" w14:textId="77777777" w:rsidTr="00682CBF">
        <w:trPr>
          <w:trHeight w:val="300"/>
        </w:trPr>
        <w:tc>
          <w:tcPr>
            <w:tcW w:w="825" w:type="dxa"/>
            <w:tcBorders>
              <w:top w:val="nil"/>
              <w:left w:val="single" w:sz="4" w:space="0" w:color="auto"/>
              <w:bottom w:val="single" w:sz="4" w:space="0" w:color="auto"/>
              <w:right w:val="single" w:sz="4" w:space="0" w:color="auto"/>
            </w:tcBorders>
            <w:shd w:val="clear" w:color="auto" w:fill="auto"/>
            <w:noWrap/>
            <w:vAlign w:val="center"/>
            <w:hideMark/>
          </w:tcPr>
          <w:p w14:paraId="6EDF471A"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18</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06B79767"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82,67</w:t>
            </w:r>
          </w:p>
        </w:tc>
        <w:tc>
          <w:tcPr>
            <w:tcW w:w="1020" w:type="dxa"/>
            <w:tcBorders>
              <w:top w:val="nil"/>
              <w:left w:val="nil"/>
              <w:bottom w:val="single" w:sz="4" w:space="0" w:color="auto"/>
              <w:right w:val="single" w:sz="4" w:space="0" w:color="auto"/>
            </w:tcBorders>
            <w:shd w:val="clear" w:color="auto" w:fill="auto"/>
            <w:noWrap/>
            <w:vAlign w:val="center"/>
            <w:hideMark/>
          </w:tcPr>
          <w:p w14:paraId="4C37EDB5"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90,2</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18A727CD" w14:textId="77777777" w:rsidR="00C54BC9" w:rsidRPr="00E0308F" w:rsidRDefault="00C54BC9" w:rsidP="006963C3">
            <w:pPr>
              <w:spacing w:after="0" w:line="240" w:lineRule="auto"/>
              <w:jc w:val="center"/>
              <w:rPr>
                <w:rFonts w:ascii="Times New Roman" w:eastAsia="Times New Roman" w:hAnsi="Times New Roman" w:cs="Times New Roman"/>
                <w:b/>
                <w:bCs/>
                <w:color w:val="000000" w:themeColor="text1"/>
                <w:sz w:val="20"/>
                <w:szCs w:val="20"/>
                <w:lang w:eastAsia="tr-TR"/>
              </w:rPr>
            </w:pPr>
            <w:r w:rsidRPr="00E0308F">
              <w:rPr>
                <w:rFonts w:ascii="Times New Roman" w:eastAsia="Times New Roman" w:hAnsi="Times New Roman" w:cs="Times New Roman"/>
                <w:b/>
                <w:bCs/>
                <w:color w:val="000000" w:themeColor="text1"/>
                <w:sz w:val="20"/>
                <w:szCs w:val="20"/>
                <w:lang w:eastAsia="tr-TR"/>
              </w:rPr>
              <w:t>76,8</w:t>
            </w:r>
          </w:p>
        </w:tc>
        <w:tc>
          <w:tcPr>
            <w:tcW w:w="1020" w:type="dxa"/>
            <w:tcBorders>
              <w:top w:val="nil"/>
              <w:left w:val="nil"/>
              <w:bottom w:val="single" w:sz="4" w:space="0" w:color="auto"/>
              <w:right w:val="single" w:sz="4" w:space="0" w:color="auto"/>
            </w:tcBorders>
            <w:shd w:val="clear" w:color="auto" w:fill="auto"/>
            <w:noWrap/>
            <w:vAlign w:val="center"/>
            <w:hideMark/>
          </w:tcPr>
          <w:p w14:paraId="5FAE9E4A"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109,1</w:t>
            </w:r>
          </w:p>
        </w:tc>
        <w:tc>
          <w:tcPr>
            <w:tcW w:w="959" w:type="dxa"/>
            <w:tcBorders>
              <w:top w:val="nil"/>
              <w:left w:val="nil"/>
              <w:bottom w:val="single" w:sz="4" w:space="0" w:color="auto"/>
              <w:right w:val="single" w:sz="4" w:space="0" w:color="auto"/>
            </w:tcBorders>
            <w:shd w:val="clear" w:color="auto" w:fill="auto"/>
            <w:noWrap/>
            <w:vAlign w:val="center"/>
            <w:hideMark/>
          </w:tcPr>
          <w:p w14:paraId="48FB6D46"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110,0</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709C01F3"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98,6</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2C03BA38"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101,0</w:t>
            </w:r>
          </w:p>
        </w:tc>
        <w:tc>
          <w:tcPr>
            <w:tcW w:w="642" w:type="dxa"/>
            <w:tcBorders>
              <w:top w:val="nil"/>
              <w:left w:val="nil"/>
              <w:bottom w:val="single" w:sz="4" w:space="0" w:color="auto"/>
              <w:right w:val="single" w:sz="4" w:space="0" w:color="auto"/>
            </w:tcBorders>
            <w:shd w:val="clear" w:color="auto" w:fill="FFE599" w:themeFill="accent4" w:themeFillTint="66"/>
            <w:vAlign w:val="center"/>
          </w:tcPr>
          <w:p w14:paraId="260BC266"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2,44</w:t>
            </w:r>
          </w:p>
        </w:tc>
        <w:tc>
          <w:tcPr>
            <w:tcW w:w="850" w:type="dxa"/>
            <w:tcBorders>
              <w:top w:val="nil"/>
              <w:left w:val="nil"/>
              <w:bottom w:val="single" w:sz="4" w:space="0" w:color="auto"/>
              <w:right w:val="single" w:sz="4" w:space="0" w:color="auto"/>
            </w:tcBorders>
            <w:shd w:val="clear" w:color="auto" w:fill="FFE599" w:themeFill="accent4" w:themeFillTint="66"/>
            <w:vAlign w:val="center"/>
          </w:tcPr>
          <w:p w14:paraId="2C2D848B" w14:textId="77777777" w:rsidR="00C54BC9" w:rsidRPr="00E0308F" w:rsidRDefault="00C54BC9" w:rsidP="006963C3">
            <w:pPr>
              <w:spacing w:after="0" w:line="240" w:lineRule="auto"/>
              <w:jc w:val="right"/>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t>-7,06</w:t>
            </w:r>
          </w:p>
        </w:tc>
      </w:tr>
      <w:tr w:rsidR="00164238" w:rsidRPr="00E0308F" w14:paraId="6CC1C5CD" w14:textId="77777777" w:rsidTr="00682CBF">
        <w:trPr>
          <w:trHeight w:val="300"/>
        </w:trPr>
        <w:tc>
          <w:tcPr>
            <w:tcW w:w="825" w:type="dxa"/>
            <w:tcBorders>
              <w:top w:val="nil"/>
              <w:left w:val="single" w:sz="4" w:space="0" w:color="auto"/>
              <w:bottom w:val="single" w:sz="4" w:space="0" w:color="auto"/>
              <w:right w:val="single" w:sz="4" w:space="0" w:color="auto"/>
            </w:tcBorders>
            <w:shd w:val="clear" w:color="auto" w:fill="auto"/>
            <w:noWrap/>
            <w:vAlign w:val="center"/>
            <w:hideMark/>
          </w:tcPr>
          <w:p w14:paraId="3AF05F36"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19</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3281622D"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107,50</w:t>
            </w:r>
          </w:p>
        </w:tc>
        <w:tc>
          <w:tcPr>
            <w:tcW w:w="1020" w:type="dxa"/>
            <w:tcBorders>
              <w:top w:val="nil"/>
              <w:left w:val="nil"/>
              <w:bottom w:val="single" w:sz="4" w:space="0" w:color="auto"/>
              <w:right w:val="single" w:sz="4" w:space="0" w:color="auto"/>
            </w:tcBorders>
            <w:shd w:val="clear" w:color="auto" w:fill="auto"/>
            <w:noWrap/>
            <w:vAlign w:val="center"/>
            <w:hideMark/>
          </w:tcPr>
          <w:p w14:paraId="28A01DBC"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111,4</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21A1706B" w14:textId="77777777" w:rsidR="00C54BC9" w:rsidRPr="00E0308F" w:rsidRDefault="00C54BC9" w:rsidP="006963C3">
            <w:pPr>
              <w:spacing w:after="0" w:line="240" w:lineRule="auto"/>
              <w:jc w:val="center"/>
              <w:rPr>
                <w:rFonts w:ascii="Times New Roman" w:eastAsia="Times New Roman" w:hAnsi="Times New Roman" w:cs="Times New Roman"/>
                <w:b/>
                <w:bCs/>
                <w:color w:val="000000" w:themeColor="text1"/>
                <w:sz w:val="20"/>
                <w:szCs w:val="20"/>
                <w:lang w:eastAsia="tr-TR"/>
              </w:rPr>
            </w:pPr>
            <w:r w:rsidRPr="00E0308F">
              <w:rPr>
                <w:rFonts w:ascii="Times New Roman" w:eastAsia="Times New Roman" w:hAnsi="Times New Roman" w:cs="Times New Roman"/>
                <w:b/>
                <w:bCs/>
                <w:color w:val="000000" w:themeColor="text1"/>
                <w:sz w:val="20"/>
                <w:szCs w:val="20"/>
                <w:lang w:eastAsia="tr-TR"/>
              </w:rPr>
              <w:t>94,0</w:t>
            </w:r>
          </w:p>
        </w:tc>
        <w:tc>
          <w:tcPr>
            <w:tcW w:w="1020" w:type="dxa"/>
            <w:tcBorders>
              <w:top w:val="nil"/>
              <w:left w:val="nil"/>
              <w:bottom w:val="single" w:sz="4" w:space="0" w:color="auto"/>
              <w:right w:val="single" w:sz="4" w:space="0" w:color="auto"/>
            </w:tcBorders>
            <w:shd w:val="clear" w:color="auto" w:fill="auto"/>
            <w:noWrap/>
            <w:vAlign w:val="center"/>
            <w:hideMark/>
          </w:tcPr>
          <w:p w14:paraId="49627869"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121,8</w:t>
            </w:r>
          </w:p>
        </w:tc>
        <w:tc>
          <w:tcPr>
            <w:tcW w:w="959" w:type="dxa"/>
            <w:tcBorders>
              <w:top w:val="nil"/>
              <w:left w:val="nil"/>
              <w:bottom w:val="single" w:sz="4" w:space="0" w:color="auto"/>
              <w:right w:val="single" w:sz="4" w:space="0" w:color="auto"/>
            </w:tcBorders>
            <w:shd w:val="clear" w:color="auto" w:fill="auto"/>
            <w:noWrap/>
            <w:vAlign w:val="center"/>
            <w:hideMark/>
          </w:tcPr>
          <w:p w14:paraId="61B22F2E"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118,6</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0BC8EC27"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111,4</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361851FC"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113,1</w:t>
            </w:r>
          </w:p>
        </w:tc>
        <w:tc>
          <w:tcPr>
            <w:tcW w:w="642" w:type="dxa"/>
            <w:tcBorders>
              <w:top w:val="nil"/>
              <w:left w:val="nil"/>
              <w:bottom w:val="single" w:sz="4" w:space="0" w:color="auto"/>
              <w:right w:val="single" w:sz="4" w:space="0" w:color="auto"/>
            </w:tcBorders>
            <w:shd w:val="clear" w:color="auto" w:fill="FFE599" w:themeFill="accent4" w:themeFillTint="66"/>
            <w:vAlign w:val="center"/>
          </w:tcPr>
          <w:p w14:paraId="5E0E04C4"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1,45</w:t>
            </w:r>
          </w:p>
        </w:tc>
        <w:tc>
          <w:tcPr>
            <w:tcW w:w="850" w:type="dxa"/>
            <w:tcBorders>
              <w:top w:val="nil"/>
              <w:left w:val="nil"/>
              <w:bottom w:val="single" w:sz="4" w:space="0" w:color="auto"/>
              <w:right w:val="single" w:sz="4" w:space="0" w:color="auto"/>
            </w:tcBorders>
            <w:shd w:val="clear" w:color="auto" w:fill="FFE599" w:themeFill="accent4" w:themeFillTint="66"/>
            <w:vAlign w:val="center"/>
          </w:tcPr>
          <w:p w14:paraId="5AD9B356" w14:textId="77777777" w:rsidR="00C54BC9" w:rsidRPr="00E0308F" w:rsidRDefault="00C54BC9" w:rsidP="006963C3">
            <w:pPr>
              <w:spacing w:after="0" w:line="240" w:lineRule="auto"/>
              <w:jc w:val="right"/>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t>-12,59</w:t>
            </w:r>
          </w:p>
        </w:tc>
      </w:tr>
      <w:tr w:rsidR="00164238" w:rsidRPr="00E0308F" w14:paraId="21207546" w14:textId="77777777" w:rsidTr="00682CBF">
        <w:trPr>
          <w:trHeight w:val="300"/>
        </w:trPr>
        <w:tc>
          <w:tcPr>
            <w:tcW w:w="825" w:type="dxa"/>
            <w:tcBorders>
              <w:top w:val="nil"/>
              <w:left w:val="single" w:sz="4" w:space="0" w:color="auto"/>
              <w:bottom w:val="single" w:sz="4" w:space="0" w:color="auto"/>
              <w:right w:val="single" w:sz="4" w:space="0" w:color="auto"/>
            </w:tcBorders>
            <w:shd w:val="clear" w:color="auto" w:fill="auto"/>
            <w:noWrap/>
            <w:vAlign w:val="center"/>
            <w:hideMark/>
          </w:tcPr>
          <w:p w14:paraId="60CE4853"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20</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64B985EC"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115,57</w:t>
            </w:r>
          </w:p>
        </w:tc>
        <w:tc>
          <w:tcPr>
            <w:tcW w:w="1020" w:type="dxa"/>
            <w:tcBorders>
              <w:top w:val="nil"/>
              <w:left w:val="nil"/>
              <w:bottom w:val="single" w:sz="4" w:space="0" w:color="auto"/>
              <w:right w:val="single" w:sz="4" w:space="0" w:color="auto"/>
            </w:tcBorders>
            <w:shd w:val="clear" w:color="auto" w:fill="auto"/>
            <w:noWrap/>
            <w:vAlign w:val="center"/>
            <w:hideMark/>
          </w:tcPr>
          <w:p w14:paraId="3C538C8C"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121,8</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6C439A38" w14:textId="77777777" w:rsidR="00C54BC9" w:rsidRPr="00E0308F" w:rsidRDefault="00C54BC9" w:rsidP="006963C3">
            <w:pPr>
              <w:spacing w:after="0" w:line="240" w:lineRule="auto"/>
              <w:jc w:val="center"/>
              <w:rPr>
                <w:rFonts w:ascii="Times New Roman" w:eastAsia="Times New Roman" w:hAnsi="Times New Roman" w:cs="Times New Roman"/>
                <w:b/>
                <w:bCs/>
                <w:color w:val="000000" w:themeColor="text1"/>
                <w:sz w:val="20"/>
                <w:szCs w:val="20"/>
                <w:lang w:eastAsia="tr-TR"/>
              </w:rPr>
            </w:pPr>
            <w:r w:rsidRPr="00E0308F">
              <w:rPr>
                <w:rFonts w:ascii="Times New Roman" w:eastAsia="Times New Roman" w:hAnsi="Times New Roman" w:cs="Times New Roman"/>
                <w:b/>
                <w:bCs/>
                <w:color w:val="000000" w:themeColor="text1"/>
                <w:sz w:val="20"/>
                <w:szCs w:val="20"/>
                <w:lang w:eastAsia="tr-TR"/>
              </w:rPr>
              <w:t>106,1</w:t>
            </w:r>
          </w:p>
        </w:tc>
        <w:tc>
          <w:tcPr>
            <w:tcW w:w="1020" w:type="dxa"/>
            <w:tcBorders>
              <w:top w:val="nil"/>
              <w:left w:val="nil"/>
              <w:bottom w:val="single" w:sz="4" w:space="0" w:color="auto"/>
              <w:right w:val="single" w:sz="4" w:space="0" w:color="auto"/>
            </w:tcBorders>
            <w:shd w:val="clear" w:color="auto" w:fill="auto"/>
            <w:noWrap/>
            <w:vAlign w:val="center"/>
            <w:hideMark/>
          </w:tcPr>
          <w:p w14:paraId="78803B7E"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127,0</w:t>
            </w:r>
          </w:p>
        </w:tc>
        <w:tc>
          <w:tcPr>
            <w:tcW w:w="959" w:type="dxa"/>
            <w:tcBorders>
              <w:top w:val="nil"/>
              <w:left w:val="nil"/>
              <w:bottom w:val="single" w:sz="4" w:space="0" w:color="auto"/>
              <w:right w:val="single" w:sz="4" w:space="0" w:color="auto"/>
            </w:tcBorders>
            <w:shd w:val="clear" w:color="auto" w:fill="auto"/>
            <w:noWrap/>
            <w:vAlign w:val="center"/>
            <w:hideMark/>
          </w:tcPr>
          <w:p w14:paraId="6A77595E"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134,1</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7FAC4A14"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122,4</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0FA2E6CB"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124,3</w:t>
            </w:r>
          </w:p>
        </w:tc>
        <w:tc>
          <w:tcPr>
            <w:tcW w:w="642" w:type="dxa"/>
            <w:tcBorders>
              <w:top w:val="nil"/>
              <w:left w:val="nil"/>
              <w:bottom w:val="single" w:sz="4" w:space="0" w:color="auto"/>
              <w:right w:val="single" w:sz="4" w:space="0" w:color="auto"/>
            </w:tcBorders>
            <w:shd w:val="clear" w:color="auto" w:fill="FFE599" w:themeFill="accent4" w:themeFillTint="66"/>
            <w:vAlign w:val="center"/>
          </w:tcPr>
          <w:p w14:paraId="777CA13B"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1,56</w:t>
            </w:r>
          </w:p>
        </w:tc>
        <w:tc>
          <w:tcPr>
            <w:tcW w:w="850" w:type="dxa"/>
            <w:tcBorders>
              <w:top w:val="nil"/>
              <w:left w:val="nil"/>
              <w:bottom w:val="single" w:sz="4" w:space="0" w:color="auto"/>
              <w:right w:val="single" w:sz="4" w:space="0" w:color="auto"/>
            </w:tcBorders>
            <w:shd w:val="clear" w:color="auto" w:fill="FFE599" w:themeFill="accent4" w:themeFillTint="66"/>
            <w:vAlign w:val="center"/>
          </w:tcPr>
          <w:p w14:paraId="03424A13" w14:textId="77777777" w:rsidR="00C54BC9" w:rsidRPr="00E0308F" w:rsidRDefault="00C54BC9" w:rsidP="006963C3">
            <w:pPr>
              <w:spacing w:after="0" w:line="240" w:lineRule="auto"/>
              <w:jc w:val="right"/>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t>-8,22</w:t>
            </w:r>
          </w:p>
        </w:tc>
      </w:tr>
      <w:tr w:rsidR="00164238" w:rsidRPr="00E0308F" w14:paraId="3F2573C9" w14:textId="77777777" w:rsidTr="00682CBF">
        <w:trPr>
          <w:trHeight w:val="300"/>
        </w:trPr>
        <w:tc>
          <w:tcPr>
            <w:tcW w:w="825" w:type="dxa"/>
            <w:tcBorders>
              <w:top w:val="nil"/>
              <w:left w:val="single" w:sz="4" w:space="0" w:color="auto"/>
              <w:bottom w:val="single" w:sz="4" w:space="0" w:color="auto"/>
              <w:right w:val="single" w:sz="4" w:space="0" w:color="auto"/>
            </w:tcBorders>
            <w:shd w:val="clear" w:color="auto" w:fill="auto"/>
            <w:noWrap/>
            <w:vAlign w:val="center"/>
            <w:hideMark/>
          </w:tcPr>
          <w:p w14:paraId="753FC503"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21</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2A75F8FB"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132,47</w:t>
            </w:r>
          </w:p>
        </w:tc>
        <w:tc>
          <w:tcPr>
            <w:tcW w:w="1020" w:type="dxa"/>
            <w:tcBorders>
              <w:top w:val="nil"/>
              <w:left w:val="nil"/>
              <w:bottom w:val="single" w:sz="4" w:space="0" w:color="auto"/>
              <w:right w:val="single" w:sz="4" w:space="0" w:color="auto"/>
            </w:tcBorders>
            <w:shd w:val="clear" w:color="auto" w:fill="auto"/>
            <w:noWrap/>
            <w:vAlign w:val="center"/>
            <w:hideMark/>
          </w:tcPr>
          <w:p w14:paraId="0ADD7673"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157,9</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6D15D545"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133,2</w:t>
            </w:r>
          </w:p>
        </w:tc>
        <w:tc>
          <w:tcPr>
            <w:tcW w:w="1020" w:type="dxa"/>
            <w:tcBorders>
              <w:top w:val="nil"/>
              <w:left w:val="nil"/>
              <w:bottom w:val="single" w:sz="4" w:space="0" w:color="auto"/>
              <w:right w:val="single" w:sz="4" w:space="0" w:color="auto"/>
            </w:tcBorders>
            <w:shd w:val="clear" w:color="auto" w:fill="auto"/>
            <w:noWrap/>
            <w:vAlign w:val="center"/>
            <w:hideMark/>
          </w:tcPr>
          <w:p w14:paraId="79A39A72"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129,7</w:t>
            </w:r>
          </w:p>
        </w:tc>
        <w:tc>
          <w:tcPr>
            <w:tcW w:w="959" w:type="dxa"/>
            <w:tcBorders>
              <w:top w:val="nil"/>
              <w:left w:val="nil"/>
              <w:bottom w:val="single" w:sz="4" w:space="0" w:color="auto"/>
              <w:right w:val="single" w:sz="4" w:space="0" w:color="auto"/>
            </w:tcBorders>
            <w:shd w:val="clear" w:color="auto" w:fill="auto"/>
            <w:noWrap/>
            <w:vAlign w:val="center"/>
            <w:hideMark/>
          </w:tcPr>
          <w:p w14:paraId="1468F44A"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191,6</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19706B84"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151,5</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08D95603"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152,8</w:t>
            </w:r>
          </w:p>
        </w:tc>
        <w:tc>
          <w:tcPr>
            <w:tcW w:w="642" w:type="dxa"/>
            <w:tcBorders>
              <w:top w:val="nil"/>
              <w:left w:val="nil"/>
              <w:bottom w:val="single" w:sz="4" w:space="0" w:color="auto"/>
              <w:right w:val="single" w:sz="4" w:space="0" w:color="auto"/>
            </w:tcBorders>
            <w:shd w:val="clear" w:color="auto" w:fill="FFE599" w:themeFill="accent4" w:themeFillTint="66"/>
            <w:vAlign w:val="center"/>
          </w:tcPr>
          <w:p w14:paraId="14C56744"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0,86</w:t>
            </w:r>
          </w:p>
        </w:tc>
        <w:tc>
          <w:tcPr>
            <w:tcW w:w="850" w:type="dxa"/>
            <w:tcBorders>
              <w:top w:val="nil"/>
              <w:left w:val="nil"/>
              <w:bottom w:val="single" w:sz="4" w:space="0" w:color="auto"/>
              <w:right w:val="single" w:sz="4" w:space="0" w:color="auto"/>
            </w:tcBorders>
            <w:shd w:val="clear" w:color="auto" w:fill="FFE599" w:themeFill="accent4" w:themeFillTint="66"/>
            <w:vAlign w:val="center"/>
          </w:tcPr>
          <w:p w14:paraId="74175BB0" w14:textId="77777777" w:rsidR="00C54BC9" w:rsidRPr="00E0308F" w:rsidRDefault="00C54BC9" w:rsidP="006963C3">
            <w:pPr>
              <w:spacing w:after="0" w:line="240" w:lineRule="auto"/>
              <w:jc w:val="right"/>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t>0,58</w:t>
            </w:r>
          </w:p>
        </w:tc>
      </w:tr>
      <w:tr w:rsidR="00164238" w:rsidRPr="00E0308F" w14:paraId="5418BA1A" w14:textId="77777777" w:rsidTr="00682CBF">
        <w:trPr>
          <w:trHeight w:val="300"/>
        </w:trPr>
        <w:tc>
          <w:tcPr>
            <w:tcW w:w="825" w:type="dxa"/>
            <w:tcBorders>
              <w:top w:val="nil"/>
              <w:left w:val="single" w:sz="4" w:space="0" w:color="auto"/>
              <w:bottom w:val="single" w:sz="4" w:space="0" w:color="auto"/>
              <w:right w:val="single" w:sz="4" w:space="0" w:color="auto"/>
            </w:tcBorders>
            <w:shd w:val="clear" w:color="auto" w:fill="auto"/>
            <w:noWrap/>
            <w:vAlign w:val="center"/>
            <w:hideMark/>
          </w:tcPr>
          <w:p w14:paraId="1AD7C1CF"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22</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6232E93B"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111,63</w:t>
            </w:r>
          </w:p>
        </w:tc>
        <w:tc>
          <w:tcPr>
            <w:tcW w:w="1020" w:type="dxa"/>
            <w:tcBorders>
              <w:top w:val="nil"/>
              <w:left w:val="nil"/>
              <w:bottom w:val="single" w:sz="4" w:space="0" w:color="auto"/>
              <w:right w:val="single" w:sz="4" w:space="0" w:color="auto"/>
            </w:tcBorders>
            <w:shd w:val="clear" w:color="auto" w:fill="auto"/>
            <w:noWrap/>
            <w:vAlign w:val="center"/>
            <w:hideMark/>
          </w:tcPr>
          <w:p w14:paraId="562A5DC4"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113,3</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325C002C" w14:textId="77777777" w:rsidR="00C54BC9" w:rsidRPr="00E0308F" w:rsidRDefault="00C54BC9" w:rsidP="006963C3">
            <w:pPr>
              <w:spacing w:after="0" w:line="240" w:lineRule="auto"/>
              <w:jc w:val="center"/>
              <w:rPr>
                <w:rFonts w:ascii="Times New Roman" w:eastAsia="Times New Roman" w:hAnsi="Times New Roman" w:cs="Times New Roman"/>
                <w:b/>
                <w:bCs/>
                <w:color w:val="000000" w:themeColor="text1"/>
                <w:sz w:val="20"/>
                <w:szCs w:val="20"/>
                <w:lang w:eastAsia="tr-TR"/>
              </w:rPr>
            </w:pPr>
            <w:r w:rsidRPr="00E0308F">
              <w:rPr>
                <w:rFonts w:ascii="Times New Roman" w:eastAsia="Times New Roman" w:hAnsi="Times New Roman" w:cs="Times New Roman"/>
                <w:b/>
                <w:bCs/>
                <w:color w:val="000000" w:themeColor="text1"/>
                <w:sz w:val="20"/>
                <w:szCs w:val="20"/>
                <w:lang w:eastAsia="tr-TR"/>
              </w:rPr>
              <w:t>95,3</w:t>
            </w:r>
          </w:p>
        </w:tc>
        <w:tc>
          <w:tcPr>
            <w:tcW w:w="1020" w:type="dxa"/>
            <w:tcBorders>
              <w:top w:val="nil"/>
              <w:left w:val="nil"/>
              <w:bottom w:val="single" w:sz="4" w:space="0" w:color="auto"/>
              <w:right w:val="single" w:sz="4" w:space="0" w:color="auto"/>
            </w:tcBorders>
            <w:shd w:val="clear" w:color="auto" w:fill="auto"/>
            <w:noWrap/>
            <w:vAlign w:val="center"/>
            <w:hideMark/>
          </w:tcPr>
          <w:p w14:paraId="0E7F54E8"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125,3</w:t>
            </w:r>
          </w:p>
        </w:tc>
        <w:tc>
          <w:tcPr>
            <w:tcW w:w="959" w:type="dxa"/>
            <w:tcBorders>
              <w:top w:val="nil"/>
              <w:left w:val="nil"/>
              <w:bottom w:val="single" w:sz="4" w:space="0" w:color="auto"/>
              <w:right w:val="single" w:sz="4" w:space="0" w:color="auto"/>
            </w:tcBorders>
            <w:shd w:val="clear" w:color="auto" w:fill="auto"/>
            <w:noWrap/>
            <w:vAlign w:val="center"/>
            <w:hideMark/>
          </w:tcPr>
          <w:p w14:paraId="45E8EF3E"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140,0</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142F08C0"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120,2</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6B6F5E73"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123,6</w:t>
            </w:r>
          </w:p>
        </w:tc>
        <w:tc>
          <w:tcPr>
            <w:tcW w:w="642" w:type="dxa"/>
            <w:tcBorders>
              <w:top w:val="nil"/>
              <w:left w:val="nil"/>
              <w:bottom w:val="single" w:sz="4" w:space="0" w:color="auto"/>
              <w:right w:val="single" w:sz="4" w:space="0" w:color="auto"/>
            </w:tcBorders>
            <w:shd w:val="clear" w:color="auto" w:fill="FFE599" w:themeFill="accent4" w:themeFillTint="66"/>
            <w:vAlign w:val="center"/>
          </w:tcPr>
          <w:p w14:paraId="2A876487"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2,82</w:t>
            </w:r>
          </w:p>
        </w:tc>
        <w:tc>
          <w:tcPr>
            <w:tcW w:w="850" w:type="dxa"/>
            <w:tcBorders>
              <w:top w:val="nil"/>
              <w:left w:val="nil"/>
              <w:bottom w:val="single" w:sz="4" w:space="0" w:color="auto"/>
              <w:right w:val="single" w:sz="4" w:space="0" w:color="auto"/>
            </w:tcBorders>
            <w:shd w:val="clear" w:color="auto" w:fill="FFE599" w:themeFill="accent4" w:themeFillTint="66"/>
            <w:vAlign w:val="center"/>
          </w:tcPr>
          <w:p w14:paraId="27286789" w14:textId="77777777" w:rsidR="00C54BC9" w:rsidRPr="00E0308F" w:rsidRDefault="00C54BC9" w:rsidP="006963C3">
            <w:pPr>
              <w:spacing w:after="0" w:line="240" w:lineRule="auto"/>
              <w:jc w:val="right"/>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t>-14,60</w:t>
            </w:r>
          </w:p>
        </w:tc>
      </w:tr>
      <w:tr w:rsidR="00164238" w:rsidRPr="00E0308F" w14:paraId="0F36B175" w14:textId="77777777" w:rsidTr="00682CBF">
        <w:trPr>
          <w:trHeight w:val="300"/>
        </w:trPr>
        <w:tc>
          <w:tcPr>
            <w:tcW w:w="825" w:type="dxa"/>
            <w:tcBorders>
              <w:top w:val="nil"/>
              <w:left w:val="single" w:sz="4" w:space="0" w:color="auto"/>
              <w:bottom w:val="single" w:sz="4" w:space="0" w:color="auto"/>
              <w:right w:val="single" w:sz="4" w:space="0" w:color="auto"/>
            </w:tcBorders>
            <w:shd w:val="clear" w:color="auto" w:fill="auto"/>
            <w:noWrap/>
            <w:vAlign w:val="center"/>
            <w:hideMark/>
          </w:tcPr>
          <w:p w14:paraId="53A84E49"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23</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7AD0345C"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93,20</w:t>
            </w:r>
          </w:p>
        </w:tc>
        <w:tc>
          <w:tcPr>
            <w:tcW w:w="1020" w:type="dxa"/>
            <w:tcBorders>
              <w:top w:val="nil"/>
              <w:left w:val="nil"/>
              <w:bottom w:val="single" w:sz="4" w:space="0" w:color="auto"/>
              <w:right w:val="single" w:sz="4" w:space="0" w:color="auto"/>
            </w:tcBorders>
            <w:shd w:val="clear" w:color="auto" w:fill="auto"/>
            <w:noWrap/>
            <w:vAlign w:val="center"/>
            <w:hideMark/>
          </w:tcPr>
          <w:p w14:paraId="2075B891"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88,8</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5F3651FD" w14:textId="77777777" w:rsidR="00C54BC9" w:rsidRPr="00E0308F" w:rsidRDefault="00C54BC9" w:rsidP="006963C3">
            <w:pPr>
              <w:spacing w:after="0" w:line="240" w:lineRule="auto"/>
              <w:jc w:val="center"/>
              <w:rPr>
                <w:rFonts w:ascii="Times New Roman" w:eastAsia="Times New Roman" w:hAnsi="Times New Roman" w:cs="Times New Roman"/>
                <w:b/>
                <w:bCs/>
                <w:color w:val="000000" w:themeColor="text1"/>
                <w:sz w:val="20"/>
                <w:szCs w:val="20"/>
                <w:lang w:eastAsia="tr-TR"/>
              </w:rPr>
            </w:pPr>
            <w:r w:rsidRPr="00E0308F">
              <w:rPr>
                <w:rFonts w:ascii="Times New Roman" w:eastAsia="Times New Roman" w:hAnsi="Times New Roman" w:cs="Times New Roman"/>
                <w:b/>
                <w:bCs/>
                <w:color w:val="000000" w:themeColor="text1"/>
                <w:sz w:val="20"/>
                <w:szCs w:val="20"/>
                <w:lang w:eastAsia="tr-TR"/>
              </w:rPr>
              <w:t>88,3</w:t>
            </w:r>
          </w:p>
        </w:tc>
        <w:tc>
          <w:tcPr>
            <w:tcW w:w="1020" w:type="dxa"/>
            <w:tcBorders>
              <w:top w:val="nil"/>
              <w:left w:val="nil"/>
              <w:bottom w:val="single" w:sz="4" w:space="0" w:color="auto"/>
              <w:right w:val="single" w:sz="4" w:space="0" w:color="auto"/>
            </w:tcBorders>
            <w:shd w:val="clear" w:color="auto" w:fill="auto"/>
            <w:noWrap/>
            <w:vAlign w:val="center"/>
            <w:hideMark/>
          </w:tcPr>
          <w:p w14:paraId="41F44368"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116,8</w:t>
            </w:r>
          </w:p>
        </w:tc>
        <w:tc>
          <w:tcPr>
            <w:tcW w:w="959" w:type="dxa"/>
            <w:tcBorders>
              <w:top w:val="nil"/>
              <w:left w:val="nil"/>
              <w:bottom w:val="single" w:sz="4" w:space="0" w:color="auto"/>
              <w:right w:val="single" w:sz="4" w:space="0" w:color="auto"/>
            </w:tcBorders>
            <w:shd w:val="clear" w:color="auto" w:fill="auto"/>
            <w:noWrap/>
            <w:vAlign w:val="center"/>
            <w:hideMark/>
          </w:tcPr>
          <w:p w14:paraId="52CAC738"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124,9</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48499266"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110,0</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498231D7"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112,7</w:t>
            </w:r>
          </w:p>
        </w:tc>
        <w:tc>
          <w:tcPr>
            <w:tcW w:w="642" w:type="dxa"/>
            <w:tcBorders>
              <w:top w:val="nil"/>
              <w:left w:val="nil"/>
              <w:bottom w:val="single" w:sz="4" w:space="0" w:color="auto"/>
              <w:right w:val="single" w:sz="4" w:space="0" w:color="auto"/>
            </w:tcBorders>
            <w:shd w:val="clear" w:color="auto" w:fill="FFE599" w:themeFill="accent4" w:themeFillTint="66"/>
            <w:vAlign w:val="center"/>
          </w:tcPr>
          <w:p w14:paraId="22BED654"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2,45</w:t>
            </w:r>
          </w:p>
        </w:tc>
        <w:tc>
          <w:tcPr>
            <w:tcW w:w="850" w:type="dxa"/>
            <w:tcBorders>
              <w:top w:val="nil"/>
              <w:left w:val="nil"/>
              <w:bottom w:val="single" w:sz="4" w:space="0" w:color="auto"/>
              <w:right w:val="single" w:sz="4" w:space="0" w:color="auto"/>
            </w:tcBorders>
            <w:shd w:val="clear" w:color="auto" w:fill="FFE599" w:themeFill="accent4" w:themeFillTint="66"/>
            <w:vAlign w:val="center"/>
          </w:tcPr>
          <w:p w14:paraId="0E312A76" w14:textId="77777777" w:rsidR="00C54BC9" w:rsidRPr="00E0308F" w:rsidRDefault="00C54BC9" w:rsidP="006963C3">
            <w:pPr>
              <w:spacing w:after="0" w:line="240" w:lineRule="auto"/>
              <w:jc w:val="right"/>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t>-5,22</w:t>
            </w:r>
          </w:p>
        </w:tc>
      </w:tr>
      <w:tr w:rsidR="00164238" w:rsidRPr="00E0308F" w14:paraId="26F3F298" w14:textId="77777777" w:rsidTr="00682CBF">
        <w:trPr>
          <w:trHeight w:val="300"/>
        </w:trPr>
        <w:tc>
          <w:tcPr>
            <w:tcW w:w="825" w:type="dxa"/>
            <w:tcBorders>
              <w:top w:val="nil"/>
              <w:left w:val="single" w:sz="4" w:space="0" w:color="auto"/>
              <w:bottom w:val="single" w:sz="4" w:space="0" w:color="auto"/>
              <w:right w:val="single" w:sz="4" w:space="0" w:color="auto"/>
            </w:tcBorders>
            <w:shd w:val="clear" w:color="auto" w:fill="auto"/>
            <w:noWrap/>
            <w:vAlign w:val="center"/>
            <w:hideMark/>
          </w:tcPr>
          <w:p w14:paraId="40429F02"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24</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56DAF0D5"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96,37</w:t>
            </w:r>
          </w:p>
        </w:tc>
        <w:tc>
          <w:tcPr>
            <w:tcW w:w="1020" w:type="dxa"/>
            <w:tcBorders>
              <w:top w:val="nil"/>
              <w:left w:val="nil"/>
              <w:bottom w:val="single" w:sz="4" w:space="0" w:color="auto"/>
              <w:right w:val="single" w:sz="4" w:space="0" w:color="auto"/>
            </w:tcBorders>
            <w:shd w:val="clear" w:color="auto" w:fill="auto"/>
            <w:noWrap/>
            <w:vAlign w:val="center"/>
            <w:hideMark/>
          </w:tcPr>
          <w:p w14:paraId="285604CE"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94,8</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07031C1F" w14:textId="77777777" w:rsidR="00C54BC9" w:rsidRPr="00E0308F" w:rsidRDefault="00C54BC9" w:rsidP="006963C3">
            <w:pPr>
              <w:spacing w:after="0" w:line="240" w:lineRule="auto"/>
              <w:jc w:val="center"/>
              <w:rPr>
                <w:rFonts w:ascii="Times New Roman" w:eastAsia="Times New Roman" w:hAnsi="Times New Roman" w:cs="Times New Roman"/>
                <w:b/>
                <w:bCs/>
                <w:color w:val="000000" w:themeColor="text1"/>
                <w:sz w:val="20"/>
                <w:szCs w:val="20"/>
                <w:lang w:eastAsia="tr-TR"/>
              </w:rPr>
            </w:pPr>
            <w:r w:rsidRPr="00E0308F">
              <w:rPr>
                <w:rFonts w:ascii="Times New Roman" w:eastAsia="Times New Roman" w:hAnsi="Times New Roman" w:cs="Times New Roman"/>
                <w:b/>
                <w:bCs/>
                <w:color w:val="000000" w:themeColor="text1"/>
                <w:sz w:val="20"/>
                <w:szCs w:val="20"/>
                <w:lang w:eastAsia="tr-TR"/>
              </w:rPr>
              <w:t>81,8</w:t>
            </w:r>
          </w:p>
        </w:tc>
        <w:tc>
          <w:tcPr>
            <w:tcW w:w="1020" w:type="dxa"/>
            <w:tcBorders>
              <w:top w:val="nil"/>
              <w:left w:val="nil"/>
              <w:bottom w:val="single" w:sz="4" w:space="0" w:color="auto"/>
              <w:right w:val="single" w:sz="4" w:space="0" w:color="auto"/>
            </w:tcBorders>
            <w:shd w:val="clear" w:color="auto" w:fill="auto"/>
            <w:noWrap/>
            <w:vAlign w:val="center"/>
            <w:hideMark/>
          </w:tcPr>
          <w:p w14:paraId="1D5A771A"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100,8</w:t>
            </w:r>
          </w:p>
        </w:tc>
        <w:tc>
          <w:tcPr>
            <w:tcW w:w="959" w:type="dxa"/>
            <w:tcBorders>
              <w:top w:val="nil"/>
              <w:left w:val="nil"/>
              <w:bottom w:val="single" w:sz="4" w:space="0" w:color="auto"/>
              <w:right w:val="single" w:sz="4" w:space="0" w:color="auto"/>
            </w:tcBorders>
            <w:shd w:val="clear" w:color="auto" w:fill="auto"/>
            <w:noWrap/>
            <w:vAlign w:val="center"/>
            <w:hideMark/>
          </w:tcPr>
          <w:p w14:paraId="3297EFDF"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109,8</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09DA062C"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97,5</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0C2B7664"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99,5</w:t>
            </w:r>
          </w:p>
        </w:tc>
        <w:tc>
          <w:tcPr>
            <w:tcW w:w="642" w:type="dxa"/>
            <w:tcBorders>
              <w:top w:val="nil"/>
              <w:left w:val="nil"/>
              <w:bottom w:val="single" w:sz="4" w:space="0" w:color="auto"/>
              <w:right w:val="single" w:sz="4" w:space="0" w:color="auto"/>
            </w:tcBorders>
            <w:shd w:val="clear" w:color="auto" w:fill="FFE599" w:themeFill="accent4" w:themeFillTint="66"/>
            <w:vAlign w:val="center"/>
          </w:tcPr>
          <w:p w14:paraId="7A699AD7"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2,07</w:t>
            </w:r>
          </w:p>
        </w:tc>
        <w:tc>
          <w:tcPr>
            <w:tcW w:w="850" w:type="dxa"/>
            <w:tcBorders>
              <w:top w:val="nil"/>
              <w:left w:val="nil"/>
              <w:bottom w:val="single" w:sz="4" w:space="0" w:color="auto"/>
              <w:right w:val="single" w:sz="4" w:space="0" w:color="auto"/>
            </w:tcBorders>
            <w:shd w:val="clear" w:color="auto" w:fill="FFE599" w:themeFill="accent4" w:themeFillTint="66"/>
            <w:vAlign w:val="center"/>
          </w:tcPr>
          <w:p w14:paraId="40661301" w14:textId="77777777" w:rsidR="00C54BC9" w:rsidRPr="00E0308F" w:rsidRDefault="00C54BC9" w:rsidP="006963C3">
            <w:pPr>
              <w:spacing w:after="0" w:line="240" w:lineRule="auto"/>
              <w:jc w:val="right"/>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t>-15,08</w:t>
            </w:r>
          </w:p>
        </w:tc>
      </w:tr>
      <w:tr w:rsidR="00164238" w:rsidRPr="00E0308F" w14:paraId="7D93B4E2" w14:textId="77777777" w:rsidTr="00682CBF">
        <w:trPr>
          <w:trHeight w:val="300"/>
        </w:trPr>
        <w:tc>
          <w:tcPr>
            <w:tcW w:w="825" w:type="dxa"/>
            <w:tcBorders>
              <w:top w:val="nil"/>
              <w:left w:val="single" w:sz="4" w:space="0" w:color="auto"/>
              <w:bottom w:val="single" w:sz="4" w:space="0" w:color="auto"/>
              <w:right w:val="single" w:sz="4" w:space="0" w:color="auto"/>
            </w:tcBorders>
            <w:shd w:val="clear" w:color="auto" w:fill="auto"/>
            <w:noWrap/>
            <w:vAlign w:val="center"/>
            <w:hideMark/>
          </w:tcPr>
          <w:p w14:paraId="77AE73E7"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25</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7AA15814"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108,47</w:t>
            </w:r>
          </w:p>
        </w:tc>
        <w:tc>
          <w:tcPr>
            <w:tcW w:w="1020" w:type="dxa"/>
            <w:tcBorders>
              <w:top w:val="nil"/>
              <w:left w:val="nil"/>
              <w:bottom w:val="single" w:sz="4" w:space="0" w:color="auto"/>
              <w:right w:val="single" w:sz="4" w:space="0" w:color="auto"/>
            </w:tcBorders>
            <w:shd w:val="clear" w:color="auto" w:fill="auto"/>
            <w:noWrap/>
            <w:vAlign w:val="center"/>
            <w:hideMark/>
          </w:tcPr>
          <w:p w14:paraId="1ABCFE84"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112,9</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5F7CBC2F" w14:textId="77777777" w:rsidR="00C54BC9" w:rsidRPr="00E0308F" w:rsidRDefault="00C54BC9" w:rsidP="006963C3">
            <w:pPr>
              <w:spacing w:after="0" w:line="240" w:lineRule="auto"/>
              <w:jc w:val="center"/>
              <w:rPr>
                <w:rFonts w:ascii="Times New Roman" w:eastAsia="Times New Roman" w:hAnsi="Times New Roman" w:cs="Times New Roman"/>
                <w:b/>
                <w:bCs/>
                <w:color w:val="000000" w:themeColor="text1"/>
                <w:sz w:val="20"/>
                <w:szCs w:val="20"/>
                <w:lang w:eastAsia="tr-TR"/>
              </w:rPr>
            </w:pPr>
            <w:r w:rsidRPr="00E0308F">
              <w:rPr>
                <w:rFonts w:ascii="Times New Roman" w:eastAsia="Times New Roman" w:hAnsi="Times New Roman" w:cs="Times New Roman"/>
                <w:b/>
                <w:bCs/>
                <w:color w:val="000000" w:themeColor="text1"/>
                <w:sz w:val="20"/>
                <w:szCs w:val="20"/>
                <w:lang w:eastAsia="tr-TR"/>
              </w:rPr>
              <w:t>94,3</w:t>
            </w:r>
          </w:p>
        </w:tc>
        <w:tc>
          <w:tcPr>
            <w:tcW w:w="1020" w:type="dxa"/>
            <w:tcBorders>
              <w:top w:val="nil"/>
              <w:left w:val="nil"/>
              <w:bottom w:val="single" w:sz="4" w:space="0" w:color="auto"/>
              <w:right w:val="single" w:sz="4" w:space="0" w:color="auto"/>
            </w:tcBorders>
            <w:shd w:val="clear" w:color="auto" w:fill="auto"/>
            <w:noWrap/>
            <w:vAlign w:val="center"/>
            <w:hideMark/>
          </w:tcPr>
          <w:p w14:paraId="4F4C33AF"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127,0</w:t>
            </w:r>
          </w:p>
        </w:tc>
        <w:tc>
          <w:tcPr>
            <w:tcW w:w="959" w:type="dxa"/>
            <w:tcBorders>
              <w:top w:val="nil"/>
              <w:left w:val="nil"/>
              <w:bottom w:val="single" w:sz="4" w:space="0" w:color="auto"/>
              <w:right w:val="single" w:sz="4" w:space="0" w:color="auto"/>
            </w:tcBorders>
            <w:shd w:val="clear" w:color="auto" w:fill="auto"/>
            <w:noWrap/>
            <w:vAlign w:val="center"/>
            <w:hideMark/>
          </w:tcPr>
          <w:p w14:paraId="3967ADE5"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148,6</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5987048E"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123,3</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2BC697AD"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126,9</w:t>
            </w:r>
          </w:p>
        </w:tc>
        <w:tc>
          <w:tcPr>
            <w:tcW w:w="642" w:type="dxa"/>
            <w:tcBorders>
              <w:top w:val="nil"/>
              <w:left w:val="nil"/>
              <w:bottom w:val="single" w:sz="4" w:space="0" w:color="auto"/>
              <w:right w:val="single" w:sz="4" w:space="0" w:color="auto"/>
            </w:tcBorders>
            <w:shd w:val="clear" w:color="auto" w:fill="FFE599" w:themeFill="accent4" w:themeFillTint="66"/>
            <w:vAlign w:val="center"/>
          </w:tcPr>
          <w:p w14:paraId="7CB58463"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2,87</w:t>
            </w:r>
          </w:p>
        </w:tc>
        <w:tc>
          <w:tcPr>
            <w:tcW w:w="850" w:type="dxa"/>
            <w:tcBorders>
              <w:top w:val="nil"/>
              <w:left w:val="nil"/>
              <w:bottom w:val="single" w:sz="4" w:space="0" w:color="auto"/>
              <w:right w:val="single" w:sz="4" w:space="0" w:color="auto"/>
            </w:tcBorders>
            <w:shd w:val="clear" w:color="auto" w:fill="FFE599" w:themeFill="accent4" w:themeFillTint="66"/>
            <w:vAlign w:val="center"/>
          </w:tcPr>
          <w:p w14:paraId="5AA4C12D" w14:textId="77777777" w:rsidR="00C54BC9" w:rsidRPr="00E0308F" w:rsidRDefault="00C54BC9" w:rsidP="006963C3">
            <w:pPr>
              <w:spacing w:after="0" w:line="240" w:lineRule="auto"/>
              <w:jc w:val="right"/>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t>-13,03</w:t>
            </w:r>
          </w:p>
        </w:tc>
      </w:tr>
      <w:tr w:rsidR="00164238" w:rsidRPr="00E0308F" w14:paraId="5733471E" w14:textId="77777777" w:rsidTr="00682CBF">
        <w:trPr>
          <w:trHeight w:val="300"/>
        </w:trPr>
        <w:tc>
          <w:tcPr>
            <w:tcW w:w="825" w:type="dxa"/>
            <w:tcBorders>
              <w:top w:val="nil"/>
              <w:left w:val="single" w:sz="4" w:space="0" w:color="auto"/>
              <w:bottom w:val="single" w:sz="4" w:space="0" w:color="auto"/>
              <w:right w:val="single" w:sz="4" w:space="0" w:color="auto"/>
            </w:tcBorders>
            <w:shd w:val="clear" w:color="auto" w:fill="auto"/>
            <w:noWrap/>
            <w:vAlign w:val="center"/>
            <w:hideMark/>
          </w:tcPr>
          <w:p w14:paraId="268F44A1"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26</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61489826"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136,23</w:t>
            </w:r>
          </w:p>
        </w:tc>
        <w:tc>
          <w:tcPr>
            <w:tcW w:w="1020" w:type="dxa"/>
            <w:tcBorders>
              <w:top w:val="nil"/>
              <w:left w:val="nil"/>
              <w:bottom w:val="single" w:sz="4" w:space="0" w:color="auto"/>
              <w:right w:val="single" w:sz="4" w:space="0" w:color="auto"/>
            </w:tcBorders>
            <w:shd w:val="clear" w:color="auto" w:fill="auto"/>
            <w:noWrap/>
            <w:vAlign w:val="center"/>
            <w:hideMark/>
          </w:tcPr>
          <w:p w14:paraId="3901C478"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119,3</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13DB0132"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131,6</w:t>
            </w:r>
          </w:p>
        </w:tc>
        <w:tc>
          <w:tcPr>
            <w:tcW w:w="1020" w:type="dxa"/>
            <w:tcBorders>
              <w:top w:val="nil"/>
              <w:left w:val="nil"/>
              <w:bottom w:val="single" w:sz="4" w:space="0" w:color="auto"/>
              <w:right w:val="single" w:sz="4" w:space="0" w:color="auto"/>
            </w:tcBorders>
            <w:shd w:val="clear" w:color="auto" w:fill="auto"/>
            <w:noWrap/>
            <w:vAlign w:val="center"/>
            <w:hideMark/>
          </w:tcPr>
          <w:p w14:paraId="53C98739"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174,2</w:t>
            </w:r>
          </w:p>
        </w:tc>
        <w:tc>
          <w:tcPr>
            <w:tcW w:w="959" w:type="dxa"/>
            <w:tcBorders>
              <w:top w:val="nil"/>
              <w:left w:val="nil"/>
              <w:bottom w:val="single" w:sz="4" w:space="0" w:color="auto"/>
              <w:right w:val="single" w:sz="4" w:space="0" w:color="auto"/>
            </w:tcBorders>
            <w:shd w:val="clear" w:color="auto" w:fill="auto"/>
            <w:noWrap/>
            <w:vAlign w:val="center"/>
            <w:hideMark/>
          </w:tcPr>
          <w:p w14:paraId="7555680D"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255,7</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6885AC76"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187,2</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6B3620E0"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195,3</w:t>
            </w:r>
          </w:p>
        </w:tc>
        <w:tc>
          <w:tcPr>
            <w:tcW w:w="642" w:type="dxa"/>
            <w:tcBorders>
              <w:top w:val="nil"/>
              <w:left w:val="nil"/>
              <w:bottom w:val="single" w:sz="4" w:space="0" w:color="auto"/>
              <w:right w:val="single" w:sz="4" w:space="0" w:color="auto"/>
            </w:tcBorders>
            <w:shd w:val="clear" w:color="auto" w:fill="FFE599" w:themeFill="accent4" w:themeFillTint="66"/>
            <w:vAlign w:val="center"/>
          </w:tcPr>
          <w:p w14:paraId="169834CD" w14:textId="77777777" w:rsidR="00C54BC9" w:rsidRPr="00E0308F" w:rsidRDefault="00C54BC9" w:rsidP="006963C3">
            <w:pPr>
              <w:spacing w:after="0" w:line="240" w:lineRule="auto"/>
              <w:jc w:val="center"/>
              <w:rPr>
                <w:rFonts w:ascii="Times New Roman" w:eastAsia="Times New Roman" w:hAnsi="Times New Roman" w:cs="Times New Roman"/>
                <w:b/>
                <w:bCs/>
                <w:color w:val="000000" w:themeColor="text1"/>
                <w:sz w:val="20"/>
                <w:szCs w:val="20"/>
                <w:lang w:eastAsia="tr-TR"/>
              </w:rPr>
            </w:pPr>
            <w:r w:rsidRPr="00E0308F">
              <w:rPr>
                <w:rFonts w:ascii="Times New Roman" w:hAnsi="Times New Roman" w:cs="Times New Roman"/>
                <w:b/>
                <w:bCs/>
                <w:color w:val="000000" w:themeColor="text1"/>
                <w:sz w:val="20"/>
                <w:szCs w:val="20"/>
              </w:rPr>
              <w:t>4,33</w:t>
            </w:r>
          </w:p>
        </w:tc>
        <w:tc>
          <w:tcPr>
            <w:tcW w:w="850" w:type="dxa"/>
            <w:tcBorders>
              <w:top w:val="nil"/>
              <w:left w:val="nil"/>
              <w:bottom w:val="single" w:sz="4" w:space="0" w:color="auto"/>
              <w:right w:val="single" w:sz="4" w:space="0" w:color="auto"/>
            </w:tcBorders>
            <w:shd w:val="clear" w:color="auto" w:fill="FFE599" w:themeFill="accent4" w:themeFillTint="66"/>
            <w:vAlign w:val="center"/>
          </w:tcPr>
          <w:p w14:paraId="682E6706" w14:textId="77777777" w:rsidR="00C54BC9" w:rsidRPr="00E0308F" w:rsidRDefault="00C54BC9" w:rsidP="006963C3">
            <w:pPr>
              <w:spacing w:after="0" w:line="240" w:lineRule="auto"/>
              <w:jc w:val="right"/>
              <w:rPr>
                <w:rFonts w:ascii="Times New Roman" w:hAnsi="Times New Roman" w:cs="Times New Roman"/>
                <w:b/>
                <w:bCs/>
                <w:color w:val="000000" w:themeColor="text1"/>
                <w:sz w:val="20"/>
                <w:szCs w:val="20"/>
              </w:rPr>
            </w:pPr>
            <w:r w:rsidRPr="00E0308F">
              <w:rPr>
                <w:rFonts w:ascii="Times New Roman" w:hAnsi="Times New Roman" w:cs="Times New Roman"/>
                <w:color w:val="000000" w:themeColor="text1"/>
                <w:sz w:val="20"/>
                <w:szCs w:val="20"/>
              </w:rPr>
              <w:t>-3,43</w:t>
            </w:r>
          </w:p>
        </w:tc>
      </w:tr>
      <w:tr w:rsidR="00164238" w:rsidRPr="00E0308F" w14:paraId="6BD13AF4" w14:textId="77777777" w:rsidTr="00682CBF">
        <w:trPr>
          <w:trHeight w:val="300"/>
        </w:trPr>
        <w:tc>
          <w:tcPr>
            <w:tcW w:w="825" w:type="dxa"/>
            <w:tcBorders>
              <w:top w:val="nil"/>
              <w:left w:val="single" w:sz="4" w:space="0" w:color="auto"/>
              <w:bottom w:val="single" w:sz="4" w:space="0" w:color="auto"/>
              <w:right w:val="single" w:sz="4" w:space="0" w:color="auto"/>
            </w:tcBorders>
            <w:shd w:val="clear" w:color="auto" w:fill="auto"/>
            <w:noWrap/>
            <w:vAlign w:val="center"/>
            <w:hideMark/>
          </w:tcPr>
          <w:p w14:paraId="653C1FFD"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27</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4EA421CC"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102,93</w:t>
            </w:r>
          </w:p>
        </w:tc>
        <w:tc>
          <w:tcPr>
            <w:tcW w:w="1020" w:type="dxa"/>
            <w:tcBorders>
              <w:top w:val="nil"/>
              <w:left w:val="nil"/>
              <w:bottom w:val="single" w:sz="4" w:space="0" w:color="auto"/>
              <w:right w:val="single" w:sz="4" w:space="0" w:color="auto"/>
            </w:tcBorders>
            <w:shd w:val="clear" w:color="auto" w:fill="auto"/>
            <w:noWrap/>
            <w:vAlign w:val="center"/>
            <w:hideMark/>
          </w:tcPr>
          <w:p w14:paraId="09B176BD"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99,7</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7824EC26" w14:textId="77777777" w:rsidR="00C54BC9" w:rsidRPr="00E0308F" w:rsidRDefault="00C54BC9" w:rsidP="006963C3">
            <w:pPr>
              <w:spacing w:after="0" w:line="240" w:lineRule="auto"/>
              <w:jc w:val="center"/>
              <w:rPr>
                <w:rFonts w:ascii="Times New Roman" w:eastAsia="Times New Roman" w:hAnsi="Times New Roman" w:cs="Times New Roman"/>
                <w:b/>
                <w:bCs/>
                <w:color w:val="000000" w:themeColor="text1"/>
                <w:sz w:val="20"/>
                <w:szCs w:val="20"/>
                <w:lang w:eastAsia="tr-TR"/>
              </w:rPr>
            </w:pPr>
            <w:r w:rsidRPr="00E0308F">
              <w:rPr>
                <w:rFonts w:ascii="Times New Roman" w:eastAsia="Times New Roman" w:hAnsi="Times New Roman" w:cs="Times New Roman"/>
                <w:b/>
                <w:bCs/>
                <w:color w:val="000000" w:themeColor="text1"/>
                <w:sz w:val="20"/>
                <w:szCs w:val="20"/>
                <w:lang w:eastAsia="tr-TR"/>
              </w:rPr>
              <w:t>81,4</w:t>
            </w:r>
          </w:p>
        </w:tc>
        <w:tc>
          <w:tcPr>
            <w:tcW w:w="1020" w:type="dxa"/>
            <w:tcBorders>
              <w:top w:val="nil"/>
              <w:left w:val="nil"/>
              <w:bottom w:val="single" w:sz="4" w:space="0" w:color="auto"/>
              <w:right w:val="single" w:sz="4" w:space="0" w:color="auto"/>
            </w:tcBorders>
            <w:shd w:val="clear" w:color="auto" w:fill="auto"/>
            <w:noWrap/>
            <w:vAlign w:val="center"/>
            <w:hideMark/>
          </w:tcPr>
          <w:p w14:paraId="3B84768D"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114,3</w:t>
            </w:r>
          </w:p>
        </w:tc>
        <w:tc>
          <w:tcPr>
            <w:tcW w:w="959" w:type="dxa"/>
            <w:tcBorders>
              <w:top w:val="nil"/>
              <w:left w:val="nil"/>
              <w:bottom w:val="single" w:sz="4" w:space="0" w:color="auto"/>
              <w:right w:val="single" w:sz="4" w:space="0" w:color="auto"/>
            </w:tcBorders>
            <w:shd w:val="clear" w:color="auto" w:fill="auto"/>
            <w:noWrap/>
            <w:vAlign w:val="center"/>
            <w:hideMark/>
          </w:tcPr>
          <w:p w14:paraId="63C4C5BA"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132,6</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0EE26DDB"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109,4</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1F9D12A6"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113,3</w:t>
            </w:r>
          </w:p>
        </w:tc>
        <w:tc>
          <w:tcPr>
            <w:tcW w:w="642" w:type="dxa"/>
            <w:tcBorders>
              <w:top w:val="nil"/>
              <w:left w:val="nil"/>
              <w:bottom w:val="single" w:sz="4" w:space="0" w:color="auto"/>
              <w:right w:val="single" w:sz="4" w:space="0" w:color="auto"/>
            </w:tcBorders>
            <w:shd w:val="clear" w:color="auto" w:fill="FFE599" w:themeFill="accent4" w:themeFillTint="66"/>
            <w:vAlign w:val="center"/>
          </w:tcPr>
          <w:p w14:paraId="67E12499"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3,56</w:t>
            </w:r>
          </w:p>
        </w:tc>
        <w:tc>
          <w:tcPr>
            <w:tcW w:w="850" w:type="dxa"/>
            <w:tcBorders>
              <w:top w:val="nil"/>
              <w:left w:val="nil"/>
              <w:bottom w:val="single" w:sz="4" w:space="0" w:color="auto"/>
              <w:right w:val="single" w:sz="4" w:space="0" w:color="auto"/>
            </w:tcBorders>
            <w:shd w:val="clear" w:color="auto" w:fill="FFE599" w:themeFill="accent4" w:themeFillTint="66"/>
            <w:vAlign w:val="center"/>
          </w:tcPr>
          <w:p w14:paraId="4345E78F" w14:textId="77777777" w:rsidR="00C54BC9" w:rsidRPr="00E0308F" w:rsidRDefault="00C54BC9" w:rsidP="006963C3">
            <w:pPr>
              <w:spacing w:after="0" w:line="240" w:lineRule="auto"/>
              <w:jc w:val="right"/>
              <w:rPr>
                <w:rFonts w:ascii="Times New Roman" w:hAnsi="Times New Roman" w:cs="Times New Roman"/>
                <w:b/>
                <w:bCs/>
                <w:color w:val="000000" w:themeColor="text1"/>
                <w:sz w:val="20"/>
                <w:szCs w:val="20"/>
              </w:rPr>
            </w:pPr>
            <w:r w:rsidRPr="00E0308F">
              <w:rPr>
                <w:rFonts w:ascii="Times New Roman" w:hAnsi="Times New Roman" w:cs="Times New Roman"/>
                <w:b/>
                <w:bCs/>
                <w:color w:val="000000" w:themeColor="text1"/>
                <w:sz w:val="20"/>
                <w:szCs w:val="20"/>
              </w:rPr>
              <w:t>-20,92</w:t>
            </w:r>
          </w:p>
        </w:tc>
      </w:tr>
      <w:tr w:rsidR="00164238" w:rsidRPr="00E0308F" w14:paraId="0CE35C2E" w14:textId="77777777" w:rsidTr="00682CBF">
        <w:trPr>
          <w:trHeight w:val="300"/>
        </w:trPr>
        <w:tc>
          <w:tcPr>
            <w:tcW w:w="825" w:type="dxa"/>
            <w:tcBorders>
              <w:top w:val="nil"/>
              <w:left w:val="single" w:sz="4" w:space="0" w:color="auto"/>
              <w:bottom w:val="single" w:sz="4" w:space="0" w:color="auto"/>
              <w:right w:val="single" w:sz="4" w:space="0" w:color="auto"/>
            </w:tcBorders>
            <w:shd w:val="clear" w:color="auto" w:fill="auto"/>
            <w:noWrap/>
            <w:vAlign w:val="center"/>
            <w:hideMark/>
          </w:tcPr>
          <w:p w14:paraId="54CF92F5"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28</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3A45A5A2"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101,20</w:t>
            </w:r>
          </w:p>
        </w:tc>
        <w:tc>
          <w:tcPr>
            <w:tcW w:w="1020" w:type="dxa"/>
            <w:tcBorders>
              <w:top w:val="nil"/>
              <w:left w:val="nil"/>
              <w:bottom w:val="single" w:sz="4" w:space="0" w:color="auto"/>
              <w:right w:val="single" w:sz="4" w:space="0" w:color="auto"/>
            </w:tcBorders>
            <w:shd w:val="clear" w:color="auto" w:fill="auto"/>
            <w:noWrap/>
            <w:vAlign w:val="center"/>
            <w:hideMark/>
          </w:tcPr>
          <w:p w14:paraId="1CF00F85"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103,9</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409028B9" w14:textId="77777777" w:rsidR="00C54BC9" w:rsidRPr="00E0308F" w:rsidRDefault="00C54BC9" w:rsidP="006963C3">
            <w:pPr>
              <w:spacing w:after="0" w:line="240" w:lineRule="auto"/>
              <w:jc w:val="center"/>
              <w:rPr>
                <w:rFonts w:ascii="Times New Roman" w:eastAsia="Times New Roman" w:hAnsi="Times New Roman" w:cs="Times New Roman"/>
                <w:b/>
                <w:bCs/>
                <w:color w:val="000000" w:themeColor="text1"/>
                <w:sz w:val="20"/>
                <w:szCs w:val="20"/>
                <w:lang w:eastAsia="tr-TR"/>
              </w:rPr>
            </w:pPr>
            <w:r w:rsidRPr="00E0308F">
              <w:rPr>
                <w:rFonts w:ascii="Times New Roman" w:eastAsia="Times New Roman" w:hAnsi="Times New Roman" w:cs="Times New Roman"/>
                <w:b/>
                <w:bCs/>
                <w:color w:val="000000" w:themeColor="text1"/>
                <w:sz w:val="20"/>
                <w:szCs w:val="20"/>
                <w:lang w:eastAsia="tr-TR"/>
              </w:rPr>
              <w:t>89,2</w:t>
            </w:r>
          </w:p>
        </w:tc>
        <w:tc>
          <w:tcPr>
            <w:tcW w:w="1020" w:type="dxa"/>
            <w:tcBorders>
              <w:top w:val="nil"/>
              <w:left w:val="nil"/>
              <w:bottom w:val="single" w:sz="4" w:space="0" w:color="auto"/>
              <w:right w:val="single" w:sz="4" w:space="0" w:color="auto"/>
            </w:tcBorders>
            <w:shd w:val="clear" w:color="auto" w:fill="auto"/>
            <w:noWrap/>
            <w:vAlign w:val="center"/>
            <w:hideMark/>
          </w:tcPr>
          <w:p w14:paraId="75771F04"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116,7</w:t>
            </w:r>
          </w:p>
        </w:tc>
        <w:tc>
          <w:tcPr>
            <w:tcW w:w="959" w:type="dxa"/>
            <w:tcBorders>
              <w:top w:val="nil"/>
              <w:left w:val="nil"/>
              <w:bottom w:val="single" w:sz="4" w:space="0" w:color="auto"/>
              <w:right w:val="single" w:sz="4" w:space="0" w:color="auto"/>
            </w:tcBorders>
            <w:shd w:val="clear" w:color="auto" w:fill="auto"/>
            <w:noWrap/>
            <w:vAlign w:val="center"/>
            <w:hideMark/>
          </w:tcPr>
          <w:p w14:paraId="75EDC62D"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140,4</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3DD89194"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115,4</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38559D87"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118,5</w:t>
            </w:r>
          </w:p>
        </w:tc>
        <w:tc>
          <w:tcPr>
            <w:tcW w:w="642" w:type="dxa"/>
            <w:tcBorders>
              <w:top w:val="nil"/>
              <w:left w:val="nil"/>
              <w:bottom w:val="single" w:sz="4" w:space="0" w:color="auto"/>
              <w:right w:val="single" w:sz="4" w:space="0" w:color="auto"/>
            </w:tcBorders>
            <w:shd w:val="clear" w:color="auto" w:fill="FFE599" w:themeFill="accent4" w:themeFillTint="66"/>
            <w:vAlign w:val="center"/>
          </w:tcPr>
          <w:p w14:paraId="478917D0"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2,71</w:t>
            </w:r>
          </w:p>
        </w:tc>
        <w:tc>
          <w:tcPr>
            <w:tcW w:w="850" w:type="dxa"/>
            <w:tcBorders>
              <w:top w:val="nil"/>
              <w:left w:val="nil"/>
              <w:bottom w:val="single" w:sz="4" w:space="0" w:color="auto"/>
              <w:right w:val="single" w:sz="4" w:space="0" w:color="auto"/>
            </w:tcBorders>
            <w:shd w:val="clear" w:color="auto" w:fill="FFE599" w:themeFill="accent4" w:themeFillTint="66"/>
            <w:vAlign w:val="center"/>
          </w:tcPr>
          <w:p w14:paraId="7163633F" w14:textId="77777777" w:rsidR="00C54BC9" w:rsidRPr="00E0308F" w:rsidRDefault="00C54BC9" w:rsidP="006963C3">
            <w:pPr>
              <w:spacing w:after="0" w:line="240" w:lineRule="auto"/>
              <w:jc w:val="right"/>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t>-11,89</w:t>
            </w:r>
          </w:p>
        </w:tc>
      </w:tr>
      <w:tr w:rsidR="00164238" w:rsidRPr="00E0308F" w14:paraId="34A26686" w14:textId="77777777" w:rsidTr="00682CBF">
        <w:trPr>
          <w:trHeight w:val="300"/>
        </w:trPr>
        <w:tc>
          <w:tcPr>
            <w:tcW w:w="825" w:type="dxa"/>
            <w:tcBorders>
              <w:top w:val="nil"/>
              <w:left w:val="single" w:sz="4" w:space="0" w:color="auto"/>
              <w:bottom w:val="single" w:sz="4" w:space="0" w:color="auto"/>
              <w:right w:val="single" w:sz="4" w:space="0" w:color="auto"/>
            </w:tcBorders>
            <w:shd w:val="clear" w:color="auto" w:fill="auto"/>
            <w:noWrap/>
            <w:vAlign w:val="center"/>
            <w:hideMark/>
          </w:tcPr>
          <w:p w14:paraId="09540098"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29</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76A77D50"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114,90</w:t>
            </w:r>
          </w:p>
        </w:tc>
        <w:tc>
          <w:tcPr>
            <w:tcW w:w="1020" w:type="dxa"/>
            <w:tcBorders>
              <w:top w:val="nil"/>
              <w:left w:val="nil"/>
              <w:bottom w:val="single" w:sz="4" w:space="0" w:color="auto"/>
              <w:right w:val="single" w:sz="4" w:space="0" w:color="auto"/>
            </w:tcBorders>
            <w:shd w:val="clear" w:color="auto" w:fill="auto"/>
            <w:noWrap/>
            <w:vAlign w:val="center"/>
            <w:hideMark/>
          </w:tcPr>
          <w:p w14:paraId="127F6BD0"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110,1</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3D57C6E1" w14:textId="77777777" w:rsidR="00C54BC9" w:rsidRPr="00E0308F" w:rsidRDefault="00C54BC9" w:rsidP="006963C3">
            <w:pPr>
              <w:spacing w:after="0" w:line="240" w:lineRule="auto"/>
              <w:jc w:val="center"/>
              <w:rPr>
                <w:rFonts w:ascii="Times New Roman" w:eastAsia="Times New Roman" w:hAnsi="Times New Roman" w:cs="Times New Roman"/>
                <w:b/>
                <w:bCs/>
                <w:color w:val="000000" w:themeColor="text1"/>
                <w:sz w:val="20"/>
                <w:szCs w:val="20"/>
                <w:lang w:eastAsia="tr-TR"/>
              </w:rPr>
            </w:pPr>
            <w:r w:rsidRPr="00E0308F">
              <w:rPr>
                <w:rFonts w:ascii="Times New Roman" w:eastAsia="Times New Roman" w:hAnsi="Times New Roman" w:cs="Times New Roman"/>
                <w:b/>
                <w:bCs/>
                <w:color w:val="000000" w:themeColor="text1"/>
                <w:sz w:val="20"/>
                <w:szCs w:val="20"/>
                <w:lang w:eastAsia="tr-TR"/>
              </w:rPr>
              <w:t>63,8</w:t>
            </w:r>
          </w:p>
        </w:tc>
        <w:tc>
          <w:tcPr>
            <w:tcW w:w="1020" w:type="dxa"/>
            <w:tcBorders>
              <w:top w:val="nil"/>
              <w:left w:val="nil"/>
              <w:bottom w:val="single" w:sz="4" w:space="0" w:color="auto"/>
              <w:right w:val="single" w:sz="4" w:space="0" w:color="auto"/>
            </w:tcBorders>
            <w:shd w:val="clear" w:color="auto" w:fill="auto"/>
            <w:noWrap/>
            <w:vAlign w:val="center"/>
            <w:hideMark/>
          </w:tcPr>
          <w:p w14:paraId="6B75880B"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111,2</w:t>
            </w:r>
          </w:p>
        </w:tc>
        <w:tc>
          <w:tcPr>
            <w:tcW w:w="959" w:type="dxa"/>
            <w:tcBorders>
              <w:top w:val="nil"/>
              <w:left w:val="nil"/>
              <w:bottom w:val="single" w:sz="4" w:space="0" w:color="auto"/>
              <w:right w:val="single" w:sz="4" w:space="0" w:color="auto"/>
            </w:tcBorders>
            <w:shd w:val="clear" w:color="auto" w:fill="auto"/>
            <w:noWrap/>
            <w:vAlign w:val="center"/>
            <w:hideMark/>
          </w:tcPr>
          <w:p w14:paraId="16F0F3D4"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142,6</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34C6B9CC"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105,9</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46D2A046"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112,3</w:t>
            </w:r>
          </w:p>
        </w:tc>
        <w:tc>
          <w:tcPr>
            <w:tcW w:w="642" w:type="dxa"/>
            <w:tcBorders>
              <w:top w:val="nil"/>
              <w:left w:val="nil"/>
              <w:bottom w:val="single" w:sz="4" w:space="0" w:color="auto"/>
              <w:right w:val="single" w:sz="4" w:space="0" w:color="auto"/>
            </w:tcBorders>
            <w:shd w:val="clear" w:color="auto" w:fill="FFE599" w:themeFill="accent4" w:themeFillTint="66"/>
            <w:vAlign w:val="center"/>
          </w:tcPr>
          <w:p w14:paraId="195B7D1E" w14:textId="77777777" w:rsidR="00C54BC9" w:rsidRPr="00E0308F" w:rsidRDefault="00C54BC9" w:rsidP="006963C3">
            <w:pPr>
              <w:spacing w:after="0" w:line="240" w:lineRule="auto"/>
              <w:jc w:val="center"/>
              <w:rPr>
                <w:rFonts w:ascii="Times New Roman" w:eastAsia="Times New Roman" w:hAnsi="Times New Roman" w:cs="Times New Roman"/>
                <w:b/>
                <w:bCs/>
                <w:color w:val="000000" w:themeColor="text1"/>
                <w:sz w:val="20"/>
                <w:szCs w:val="20"/>
                <w:lang w:eastAsia="tr-TR"/>
              </w:rPr>
            </w:pPr>
            <w:r w:rsidRPr="00E0308F">
              <w:rPr>
                <w:rFonts w:ascii="Times New Roman" w:hAnsi="Times New Roman" w:cs="Times New Roman"/>
                <w:b/>
                <w:bCs/>
                <w:color w:val="000000" w:themeColor="text1"/>
                <w:sz w:val="20"/>
                <w:szCs w:val="20"/>
              </w:rPr>
              <w:t>6,12</w:t>
            </w:r>
          </w:p>
        </w:tc>
        <w:tc>
          <w:tcPr>
            <w:tcW w:w="850" w:type="dxa"/>
            <w:tcBorders>
              <w:top w:val="nil"/>
              <w:left w:val="nil"/>
              <w:bottom w:val="single" w:sz="4" w:space="0" w:color="auto"/>
              <w:right w:val="single" w:sz="4" w:space="0" w:color="auto"/>
            </w:tcBorders>
            <w:shd w:val="clear" w:color="auto" w:fill="FFE599" w:themeFill="accent4" w:themeFillTint="66"/>
            <w:vAlign w:val="center"/>
          </w:tcPr>
          <w:p w14:paraId="65DB99A6" w14:textId="77777777" w:rsidR="00C54BC9" w:rsidRPr="00E0308F" w:rsidRDefault="00C54BC9" w:rsidP="006963C3">
            <w:pPr>
              <w:spacing w:after="0" w:line="240" w:lineRule="auto"/>
              <w:jc w:val="right"/>
              <w:rPr>
                <w:rFonts w:ascii="Times New Roman" w:hAnsi="Times New Roman" w:cs="Times New Roman"/>
                <w:b/>
                <w:bCs/>
                <w:color w:val="000000" w:themeColor="text1"/>
                <w:sz w:val="20"/>
                <w:szCs w:val="20"/>
              </w:rPr>
            </w:pPr>
            <w:r w:rsidRPr="00E0308F">
              <w:rPr>
                <w:rFonts w:ascii="Times New Roman" w:hAnsi="Times New Roman" w:cs="Times New Roman"/>
                <w:b/>
                <w:bCs/>
                <w:color w:val="000000" w:themeColor="text1"/>
                <w:sz w:val="20"/>
                <w:szCs w:val="20"/>
              </w:rPr>
              <w:t>-44,50</w:t>
            </w:r>
          </w:p>
        </w:tc>
      </w:tr>
      <w:tr w:rsidR="00164238" w:rsidRPr="00E0308F" w14:paraId="75A0CDC2" w14:textId="77777777" w:rsidTr="00682CBF">
        <w:trPr>
          <w:trHeight w:val="300"/>
        </w:trPr>
        <w:tc>
          <w:tcPr>
            <w:tcW w:w="825" w:type="dxa"/>
            <w:tcBorders>
              <w:top w:val="nil"/>
              <w:left w:val="single" w:sz="4" w:space="0" w:color="auto"/>
              <w:bottom w:val="single" w:sz="4" w:space="0" w:color="auto"/>
              <w:right w:val="single" w:sz="4" w:space="0" w:color="auto"/>
            </w:tcBorders>
            <w:shd w:val="clear" w:color="auto" w:fill="auto"/>
            <w:noWrap/>
            <w:vAlign w:val="center"/>
            <w:hideMark/>
          </w:tcPr>
          <w:p w14:paraId="5543E7C3"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30</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291F0FD0"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191,60</w:t>
            </w:r>
          </w:p>
        </w:tc>
        <w:tc>
          <w:tcPr>
            <w:tcW w:w="1020" w:type="dxa"/>
            <w:tcBorders>
              <w:top w:val="nil"/>
              <w:left w:val="nil"/>
              <w:bottom w:val="single" w:sz="4" w:space="0" w:color="auto"/>
              <w:right w:val="single" w:sz="4" w:space="0" w:color="auto"/>
            </w:tcBorders>
            <w:shd w:val="clear" w:color="auto" w:fill="auto"/>
            <w:noWrap/>
            <w:vAlign w:val="center"/>
            <w:hideMark/>
          </w:tcPr>
          <w:p w14:paraId="27AE6E96"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166,4</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69D54A07"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121,7</w:t>
            </w:r>
          </w:p>
        </w:tc>
        <w:tc>
          <w:tcPr>
            <w:tcW w:w="1020" w:type="dxa"/>
            <w:tcBorders>
              <w:top w:val="nil"/>
              <w:left w:val="nil"/>
              <w:bottom w:val="single" w:sz="4" w:space="0" w:color="auto"/>
              <w:right w:val="single" w:sz="4" w:space="0" w:color="auto"/>
            </w:tcBorders>
            <w:shd w:val="clear" w:color="auto" w:fill="auto"/>
            <w:noWrap/>
            <w:vAlign w:val="center"/>
            <w:hideMark/>
          </w:tcPr>
          <w:p w14:paraId="3685F112"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158,0</w:t>
            </w:r>
          </w:p>
        </w:tc>
        <w:tc>
          <w:tcPr>
            <w:tcW w:w="959" w:type="dxa"/>
            <w:tcBorders>
              <w:top w:val="nil"/>
              <w:left w:val="nil"/>
              <w:bottom w:val="single" w:sz="4" w:space="0" w:color="auto"/>
              <w:right w:val="single" w:sz="4" w:space="0" w:color="auto"/>
            </w:tcBorders>
            <w:shd w:val="clear" w:color="auto" w:fill="auto"/>
            <w:noWrap/>
            <w:vAlign w:val="center"/>
            <w:hideMark/>
          </w:tcPr>
          <w:p w14:paraId="4B7E030D"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181,6</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3C47D673"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153,8</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2AFAD39E"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158,1</w:t>
            </w:r>
          </w:p>
        </w:tc>
        <w:tc>
          <w:tcPr>
            <w:tcW w:w="642" w:type="dxa"/>
            <w:tcBorders>
              <w:top w:val="nil"/>
              <w:left w:val="nil"/>
              <w:bottom w:val="single" w:sz="4" w:space="0" w:color="auto"/>
              <w:right w:val="single" w:sz="4" w:space="0" w:color="auto"/>
            </w:tcBorders>
            <w:shd w:val="clear" w:color="auto" w:fill="FFE599" w:themeFill="accent4" w:themeFillTint="66"/>
            <w:vAlign w:val="center"/>
          </w:tcPr>
          <w:p w14:paraId="73952611"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2,83</w:t>
            </w:r>
          </w:p>
        </w:tc>
        <w:tc>
          <w:tcPr>
            <w:tcW w:w="850" w:type="dxa"/>
            <w:tcBorders>
              <w:top w:val="nil"/>
              <w:left w:val="nil"/>
              <w:bottom w:val="single" w:sz="4" w:space="0" w:color="auto"/>
              <w:right w:val="single" w:sz="4" w:space="0" w:color="auto"/>
            </w:tcBorders>
            <w:shd w:val="clear" w:color="auto" w:fill="FFE599" w:themeFill="accent4" w:themeFillTint="66"/>
            <w:vAlign w:val="center"/>
          </w:tcPr>
          <w:p w14:paraId="3BE259EE" w14:textId="77777777" w:rsidR="00C54BC9" w:rsidRPr="00E0308F" w:rsidRDefault="00C54BC9" w:rsidP="006963C3">
            <w:pPr>
              <w:spacing w:after="0" w:line="240" w:lineRule="auto"/>
              <w:jc w:val="right"/>
              <w:rPr>
                <w:rFonts w:ascii="Times New Roman" w:hAnsi="Times New Roman" w:cs="Times New Roman"/>
                <w:b/>
                <w:bCs/>
                <w:color w:val="000000" w:themeColor="text1"/>
                <w:sz w:val="20"/>
                <w:szCs w:val="20"/>
              </w:rPr>
            </w:pPr>
            <w:r w:rsidRPr="00E0308F">
              <w:rPr>
                <w:rFonts w:ascii="Times New Roman" w:hAnsi="Times New Roman" w:cs="Times New Roman"/>
                <w:b/>
                <w:bCs/>
                <w:color w:val="000000" w:themeColor="text1"/>
                <w:sz w:val="20"/>
                <w:szCs w:val="20"/>
              </w:rPr>
              <w:t>-36,46</w:t>
            </w:r>
          </w:p>
        </w:tc>
      </w:tr>
      <w:tr w:rsidR="00164238" w:rsidRPr="00E0308F" w14:paraId="38CD2183" w14:textId="77777777" w:rsidTr="00682CBF">
        <w:trPr>
          <w:trHeight w:val="300"/>
        </w:trPr>
        <w:tc>
          <w:tcPr>
            <w:tcW w:w="825" w:type="dxa"/>
            <w:tcBorders>
              <w:top w:val="nil"/>
              <w:left w:val="single" w:sz="4" w:space="0" w:color="auto"/>
              <w:bottom w:val="single" w:sz="4" w:space="0" w:color="auto"/>
              <w:right w:val="single" w:sz="4" w:space="0" w:color="auto"/>
            </w:tcBorders>
            <w:shd w:val="clear" w:color="auto" w:fill="auto"/>
            <w:noWrap/>
            <w:vAlign w:val="center"/>
            <w:hideMark/>
          </w:tcPr>
          <w:p w14:paraId="35028490"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lastRenderedPageBreak/>
              <w:t>31</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3CA4502B"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107,37</w:t>
            </w:r>
          </w:p>
        </w:tc>
        <w:tc>
          <w:tcPr>
            <w:tcW w:w="1020" w:type="dxa"/>
            <w:tcBorders>
              <w:top w:val="nil"/>
              <w:left w:val="nil"/>
              <w:bottom w:val="single" w:sz="4" w:space="0" w:color="auto"/>
              <w:right w:val="single" w:sz="4" w:space="0" w:color="auto"/>
            </w:tcBorders>
            <w:shd w:val="clear" w:color="auto" w:fill="auto"/>
            <w:noWrap/>
            <w:vAlign w:val="center"/>
            <w:hideMark/>
          </w:tcPr>
          <w:p w14:paraId="06A462E2"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91,7</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6B7222BC" w14:textId="77777777" w:rsidR="00C54BC9" w:rsidRPr="00E0308F" w:rsidRDefault="00C54BC9" w:rsidP="006963C3">
            <w:pPr>
              <w:spacing w:after="0" w:line="240" w:lineRule="auto"/>
              <w:jc w:val="center"/>
              <w:rPr>
                <w:rFonts w:ascii="Times New Roman" w:eastAsia="Times New Roman" w:hAnsi="Times New Roman" w:cs="Times New Roman"/>
                <w:b/>
                <w:bCs/>
                <w:color w:val="000000" w:themeColor="text1"/>
                <w:sz w:val="20"/>
                <w:szCs w:val="20"/>
                <w:lang w:eastAsia="tr-TR"/>
              </w:rPr>
            </w:pPr>
            <w:r w:rsidRPr="00E0308F">
              <w:rPr>
                <w:rFonts w:ascii="Times New Roman" w:eastAsia="Times New Roman" w:hAnsi="Times New Roman" w:cs="Times New Roman"/>
                <w:b/>
                <w:bCs/>
                <w:color w:val="000000" w:themeColor="text1"/>
                <w:sz w:val="20"/>
                <w:szCs w:val="20"/>
                <w:lang w:eastAsia="tr-TR"/>
              </w:rPr>
              <w:t>77,9</w:t>
            </w:r>
          </w:p>
        </w:tc>
        <w:tc>
          <w:tcPr>
            <w:tcW w:w="1020" w:type="dxa"/>
            <w:tcBorders>
              <w:top w:val="nil"/>
              <w:left w:val="nil"/>
              <w:bottom w:val="single" w:sz="4" w:space="0" w:color="auto"/>
              <w:right w:val="single" w:sz="4" w:space="0" w:color="auto"/>
            </w:tcBorders>
            <w:shd w:val="clear" w:color="auto" w:fill="auto"/>
            <w:noWrap/>
            <w:vAlign w:val="center"/>
            <w:hideMark/>
          </w:tcPr>
          <w:p w14:paraId="14AB6DB3"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112,6</w:t>
            </w:r>
          </w:p>
        </w:tc>
        <w:tc>
          <w:tcPr>
            <w:tcW w:w="959" w:type="dxa"/>
            <w:tcBorders>
              <w:top w:val="nil"/>
              <w:left w:val="nil"/>
              <w:bottom w:val="single" w:sz="4" w:space="0" w:color="auto"/>
              <w:right w:val="single" w:sz="4" w:space="0" w:color="auto"/>
            </w:tcBorders>
            <w:shd w:val="clear" w:color="auto" w:fill="auto"/>
            <w:noWrap/>
            <w:vAlign w:val="center"/>
            <w:hideMark/>
          </w:tcPr>
          <w:p w14:paraId="0F9C38FB"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132,1</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7742BD90"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107,6</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566F28FC"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111,4</w:t>
            </w:r>
          </w:p>
        </w:tc>
        <w:tc>
          <w:tcPr>
            <w:tcW w:w="642" w:type="dxa"/>
            <w:tcBorders>
              <w:top w:val="nil"/>
              <w:left w:val="nil"/>
              <w:bottom w:val="single" w:sz="4" w:space="0" w:color="auto"/>
              <w:right w:val="single" w:sz="4" w:space="0" w:color="auto"/>
            </w:tcBorders>
            <w:shd w:val="clear" w:color="auto" w:fill="FFE599" w:themeFill="accent4" w:themeFillTint="66"/>
            <w:vAlign w:val="center"/>
          </w:tcPr>
          <w:p w14:paraId="01842624"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3,59</w:t>
            </w:r>
          </w:p>
        </w:tc>
        <w:tc>
          <w:tcPr>
            <w:tcW w:w="850" w:type="dxa"/>
            <w:tcBorders>
              <w:top w:val="nil"/>
              <w:left w:val="nil"/>
              <w:bottom w:val="single" w:sz="4" w:space="0" w:color="auto"/>
              <w:right w:val="single" w:sz="4" w:space="0" w:color="auto"/>
            </w:tcBorders>
            <w:shd w:val="clear" w:color="auto" w:fill="FFE599" w:themeFill="accent4" w:themeFillTint="66"/>
            <w:vAlign w:val="center"/>
          </w:tcPr>
          <w:p w14:paraId="45B7D758" w14:textId="77777777" w:rsidR="00C54BC9" w:rsidRPr="00E0308F" w:rsidRDefault="00C54BC9" w:rsidP="006963C3">
            <w:pPr>
              <w:spacing w:after="0" w:line="240" w:lineRule="auto"/>
              <w:jc w:val="right"/>
              <w:rPr>
                <w:rFonts w:ascii="Times New Roman" w:hAnsi="Times New Roman" w:cs="Times New Roman"/>
                <w:b/>
                <w:bCs/>
                <w:color w:val="000000" w:themeColor="text1"/>
                <w:sz w:val="20"/>
                <w:szCs w:val="20"/>
              </w:rPr>
            </w:pPr>
            <w:r w:rsidRPr="00E0308F">
              <w:rPr>
                <w:rFonts w:ascii="Times New Roman" w:hAnsi="Times New Roman" w:cs="Times New Roman"/>
                <w:b/>
                <w:bCs/>
                <w:color w:val="000000" w:themeColor="text1"/>
                <w:sz w:val="20"/>
                <w:szCs w:val="20"/>
              </w:rPr>
              <w:t>-27,44</w:t>
            </w:r>
          </w:p>
        </w:tc>
      </w:tr>
      <w:tr w:rsidR="00164238" w:rsidRPr="00E0308F" w14:paraId="7128772B" w14:textId="77777777" w:rsidTr="00682CBF">
        <w:trPr>
          <w:trHeight w:val="300"/>
        </w:trPr>
        <w:tc>
          <w:tcPr>
            <w:tcW w:w="825" w:type="dxa"/>
            <w:tcBorders>
              <w:top w:val="nil"/>
              <w:left w:val="single" w:sz="4" w:space="0" w:color="auto"/>
              <w:bottom w:val="single" w:sz="4" w:space="0" w:color="auto"/>
              <w:right w:val="single" w:sz="4" w:space="0" w:color="auto"/>
            </w:tcBorders>
            <w:shd w:val="clear" w:color="auto" w:fill="auto"/>
            <w:noWrap/>
            <w:vAlign w:val="center"/>
            <w:hideMark/>
          </w:tcPr>
          <w:p w14:paraId="308B7C07"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32</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7221DF6C"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92,93</w:t>
            </w:r>
          </w:p>
        </w:tc>
        <w:tc>
          <w:tcPr>
            <w:tcW w:w="1020" w:type="dxa"/>
            <w:tcBorders>
              <w:top w:val="nil"/>
              <w:left w:val="nil"/>
              <w:bottom w:val="single" w:sz="4" w:space="0" w:color="auto"/>
              <w:right w:val="single" w:sz="4" w:space="0" w:color="auto"/>
            </w:tcBorders>
            <w:shd w:val="clear" w:color="auto" w:fill="auto"/>
            <w:noWrap/>
            <w:vAlign w:val="center"/>
            <w:hideMark/>
          </w:tcPr>
          <w:p w14:paraId="18852BFF"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96,4</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47F58F8E" w14:textId="77777777" w:rsidR="00C54BC9" w:rsidRPr="00E0308F" w:rsidRDefault="00C54BC9" w:rsidP="006963C3">
            <w:pPr>
              <w:spacing w:after="0" w:line="240" w:lineRule="auto"/>
              <w:jc w:val="center"/>
              <w:rPr>
                <w:rFonts w:ascii="Times New Roman" w:eastAsia="Times New Roman" w:hAnsi="Times New Roman" w:cs="Times New Roman"/>
                <w:b/>
                <w:bCs/>
                <w:color w:val="000000" w:themeColor="text1"/>
                <w:sz w:val="20"/>
                <w:szCs w:val="20"/>
                <w:lang w:eastAsia="tr-TR"/>
              </w:rPr>
            </w:pPr>
            <w:r w:rsidRPr="00E0308F">
              <w:rPr>
                <w:rFonts w:ascii="Times New Roman" w:eastAsia="Times New Roman" w:hAnsi="Times New Roman" w:cs="Times New Roman"/>
                <w:b/>
                <w:bCs/>
                <w:color w:val="000000" w:themeColor="text1"/>
                <w:sz w:val="20"/>
                <w:szCs w:val="20"/>
                <w:lang w:eastAsia="tr-TR"/>
              </w:rPr>
              <w:t>88,2</w:t>
            </w:r>
          </w:p>
        </w:tc>
        <w:tc>
          <w:tcPr>
            <w:tcW w:w="1020" w:type="dxa"/>
            <w:tcBorders>
              <w:top w:val="nil"/>
              <w:left w:val="nil"/>
              <w:bottom w:val="single" w:sz="4" w:space="0" w:color="auto"/>
              <w:right w:val="single" w:sz="4" w:space="0" w:color="auto"/>
            </w:tcBorders>
            <w:shd w:val="clear" w:color="auto" w:fill="auto"/>
            <w:noWrap/>
            <w:vAlign w:val="center"/>
            <w:hideMark/>
          </w:tcPr>
          <w:p w14:paraId="32912416"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110,9</w:t>
            </w:r>
          </w:p>
        </w:tc>
        <w:tc>
          <w:tcPr>
            <w:tcW w:w="959" w:type="dxa"/>
            <w:tcBorders>
              <w:top w:val="nil"/>
              <w:left w:val="nil"/>
              <w:bottom w:val="single" w:sz="4" w:space="0" w:color="auto"/>
              <w:right w:val="single" w:sz="4" w:space="0" w:color="auto"/>
            </w:tcBorders>
            <w:shd w:val="clear" w:color="auto" w:fill="auto"/>
            <w:noWrap/>
            <w:vAlign w:val="center"/>
            <w:hideMark/>
          </w:tcPr>
          <w:p w14:paraId="0522303F"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126,1</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0BA1829C"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108,4</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4E1C441B"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111,6</w:t>
            </w:r>
          </w:p>
        </w:tc>
        <w:tc>
          <w:tcPr>
            <w:tcW w:w="642" w:type="dxa"/>
            <w:tcBorders>
              <w:top w:val="nil"/>
              <w:left w:val="nil"/>
              <w:bottom w:val="single" w:sz="4" w:space="0" w:color="auto"/>
              <w:right w:val="single" w:sz="4" w:space="0" w:color="auto"/>
            </w:tcBorders>
            <w:shd w:val="clear" w:color="auto" w:fill="FFE599" w:themeFill="accent4" w:themeFillTint="66"/>
            <w:vAlign w:val="center"/>
          </w:tcPr>
          <w:p w14:paraId="2D6DAACF"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2,93</w:t>
            </w:r>
          </w:p>
        </w:tc>
        <w:tc>
          <w:tcPr>
            <w:tcW w:w="850" w:type="dxa"/>
            <w:tcBorders>
              <w:top w:val="nil"/>
              <w:left w:val="nil"/>
              <w:bottom w:val="single" w:sz="4" w:space="0" w:color="auto"/>
              <w:right w:val="single" w:sz="4" w:space="0" w:color="auto"/>
            </w:tcBorders>
            <w:shd w:val="clear" w:color="auto" w:fill="FFE599" w:themeFill="accent4" w:themeFillTint="66"/>
            <w:vAlign w:val="center"/>
          </w:tcPr>
          <w:p w14:paraId="633E895C" w14:textId="77777777" w:rsidR="00C54BC9" w:rsidRPr="00E0308F" w:rsidRDefault="00C54BC9" w:rsidP="006963C3">
            <w:pPr>
              <w:spacing w:after="0" w:line="240" w:lineRule="auto"/>
              <w:jc w:val="right"/>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t>-5,13</w:t>
            </w:r>
          </w:p>
        </w:tc>
      </w:tr>
      <w:tr w:rsidR="00164238" w:rsidRPr="00E0308F" w14:paraId="5EDC27E2" w14:textId="77777777" w:rsidTr="00682CBF">
        <w:trPr>
          <w:trHeight w:val="300"/>
        </w:trPr>
        <w:tc>
          <w:tcPr>
            <w:tcW w:w="825" w:type="dxa"/>
            <w:tcBorders>
              <w:top w:val="nil"/>
              <w:left w:val="single" w:sz="4" w:space="0" w:color="auto"/>
              <w:bottom w:val="single" w:sz="4" w:space="0" w:color="auto"/>
              <w:right w:val="single" w:sz="4" w:space="0" w:color="auto"/>
            </w:tcBorders>
            <w:shd w:val="clear" w:color="auto" w:fill="auto"/>
            <w:noWrap/>
            <w:vAlign w:val="center"/>
            <w:hideMark/>
          </w:tcPr>
          <w:p w14:paraId="3870AA47"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33</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554130CC"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112,80</w:t>
            </w:r>
          </w:p>
        </w:tc>
        <w:tc>
          <w:tcPr>
            <w:tcW w:w="1020" w:type="dxa"/>
            <w:tcBorders>
              <w:top w:val="nil"/>
              <w:left w:val="nil"/>
              <w:bottom w:val="single" w:sz="4" w:space="0" w:color="auto"/>
              <w:right w:val="single" w:sz="4" w:space="0" w:color="auto"/>
            </w:tcBorders>
            <w:shd w:val="clear" w:color="auto" w:fill="auto"/>
            <w:noWrap/>
            <w:vAlign w:val="center"/>
            <w:hideMark/>
          </w:tcPr>
          <w:p w14:paraId="40F9D521"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122,3</w:t>
            </w:r>
          </w:p>
        </w:tc>
        <w:tc>
          <w:tcPr>
            <w:tcW w:w="1020" w:type="dxa"/>
            <w:tcBorders>
              <w:top w:val="nil"/>
              <w:left w:val="nil"/>
              <w:bottom w:val="single" w:sz="4" w:space="0" w:color="auto"/>
              <w:right w:val="single" w:sz="4" w:space="0" w:color="auto"/>
            </w:tcBorders>
            <w:shd w:val="clear" w:color="auto" w:fill="FFE599" w:themeFill="accent4" w:themeFillTint="66"/>
            <w:noWrap/>
            <w:vAlign w:val="center"/>
            <w:hideMark/>
          </w:tcPr>
          <w:p w14:paraId="4B7236B8" w14:textId="77777777" w:rsidR="00C54BC9" w:rsidRPr="00E0308F" w:rsidRDefault="00C54BC9" w:rsidP="006963C3">
            <w:pPr>
              <w:spacing w:after="0" w:line="240" w:lineRule="auto"/>
              <w:jc w:val="center"/>
              <w:rPr>
                <w:rFonts w:ascii="Times New Roman" w:eastAsia="Times New Roman" w:hAnsi="Times New Roman" w:cs="Times New Roman"/>
                <w:b/>
                <w:bCs/>
                <w:color w:val="000000" w:themeColor="text1"/>
                <w:sz w:val="20"/>
                <w:szCs w:val="20"/>
                <w:lang w:eastAsia="tr-TR"/>
              </w:rPr>
            </w:pPr>
            <w:r w:rsidRPr="00E0308F">
              <w:rPr>
                <w:rFonts w:ascii="Times New Roman" w:eastAsia="Times New Roman" w:hAnsi="Times New Roman" w:cs="Times New Roman"/>
                <w:b/>
                <w:bCs/>
                <w:color w:val="000000" w:themeColor="text1"/>
                <w:sz w:val="20"/>
                <w:szCs w:val="20"/>
                <w:lang w:eastAsia="tr-TR"/>
              </w:rPr>
              <w:t>98,5</w:t>
            </w:r>
          </w:p>
        </w:tc>
        <w:tc>
          <w:tcPr>
            <w:tcW w:w="1020" w:type="dxa"/>
            <w:tcBorders>
              <w:top w:val="nil"/>
              <w:left w:val="nil"/>
              <w:bottom w:val="single" w:sz="4" w:space="0" w:color="auto"/>
              <w:right w:val="single" w:sz="4" w:space="0" w:color="auto"/>
            </w:tcBorders>
            <w:shd w:val="clear" w:color="auto" w:fill="auto"/>
            <w:noWrap/>
            <w:vAlign w:val="center"/>
            <w:hideMark/>
          </w:tcPr>
          <w:p w14:paraId="77AA019D"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129,7</w:t>
            </w:r>
          </w:p>
        </w:tc>
        <w:tc>
          <w:tcPr>
            <w:tcW w:w="959" w:type="dxa"/>
            <w:tcBorders>
              <w:top w:val="nil"/>
              <w:left w:val="nil"/>
              <w:bottom w:val="single" w:sz="4" w:space="0" w:color="auto"/>
              <w:right w:val="single" w:sz="4" w:space="0" w:color="auto"/>
            </w:tcBorders>
            <w:shd w:val="clear" w:color="auto" w:fill="auto"/>
            <w:noWrap/>
            <w:vAlign w:val="center"/>
            <w:hideMark/>
          </w:tcPr>
          <w:p w14:paraId="500CDCE5"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141,2</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18831695"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123,2</w:t>
            </w:r>
          </w:p>
        </w:tc>
        <w:tc>
          <w:tcPr>
            <w:tcW w:w="963" w:type="dxa"/>
            <w:tcBorders>
              <w:top w:val="nil"/>
              <w:left w:val="nil"/>
              <w:bottom w:val="single" w:sz="4" w:space="0" w:color="auto"/>
              <w:right w:val="single" w:sz="4" w:space="0" w:color="auto"/>
            </w:tcBorders>
            <w:shd w:val="clear" w:color="auto" w:fill="FFE599" w:themeFill="accent4" w:themeFillTint="66"/>
            <w:noWrap/>
            <w:vAlign w:val="center"/>
            <w:hideMark/>
          </w:tcPr>
          <w:p w14:paraId="7806205A"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126,0</w:t>
            </w:r>
          </w:p>
        </w:tc>
        <w:tc>
          <w:tcPr>
            <w:tcW w:w="642" w:type="dxa"/>
            <w:tcBorders>
              <w:top w:val="nil"/>
              <w:left w:val="nil"/>
              <w:bottom w:val="single" w:sz="4" w:space="0" w:color="auto"/>
              <w:right w:val="single" w:sz="4" w:space="0" w:color="auto"/>
            </w:tcBorders>
            <w:shd w:val="clear" w:color="auto" w:fill="FFE599" w:themeFill="accent4" w:themeFillTint="66"/>
            <w:vAlign w:val="center"/>
          </w:tcPr>
          <w:p w14:paraId="1E140ED0"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2,30</w:t>
            </w:r>
          </w:p>
        </w:tc>
        <w:tc>
          <w:tcPr>
            <w:tcW w:w="850" w:type="dxa"/>
            <w:tcBorders>
              <w:top w:val="nil"/>
              <w:left w:val="nil"/>
              <w:bottom w:val="single" w:sz="4" w:space="0" w:color="auto"/>
              <w:right w:val="single" w:sz="4" w:space="0" w:color="auto"/>
            </w:tcBorders>
            <w:shd w:val="clear" w:color="auto" w:fill="FFE599" w:themeFill="accent4" w:themeFillTint="66"/>
            <w:vAlign w:val="center"/>
          </w:tcPr>
          <w:p w14:paraId="02890D9E" w14:textId="77777777" w:rsidR="00C54BC9" w:rsidRPr="00E0308F" w:rsidRDefault="00C54BC9" w:rsidP="006963C3">
            <w:pPr>
              <w:spacing w:after="0" w:line="240" w:lineRule="auto"/>
              <w:jc w:val="right"/>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t>-12,65</w:t>
            </w:r>
          </w:p>
        </w:tc>
      </w:tr>
      <w:tr w:rsidR="00164238" w:rsidRPr="00E0308F" w14:paraId="5DC78D01" w14:textId="77777777" w:rsidTr="00682CBF">
        <w:trPr>
          <w:trHeight w:val="300"/>
        </w:trPr>
        <w:tc>
          <w:tcPr>
            <w:tcW w:w="825" w:type="dxa"/>
            <w:tcBorders>
              <w:top w:val="single" w:sz="4" w:space="0" w:color="auto"/>
              <w:left w:val="single" w:sz="4" w:space="0" w:color="auto"/>
              <w:bottom w:val="single" w:sz="4" w:space="0" w:color="auto"/>
              <w:right w:val="single" w:sz="4" w:space="0" w:color="auto"/>
            </w:tcBorders>
            <w:shd w:val="clear" w:color="auto" w:fill="FFE599" w:themeFill="accent4" w:themeFillTint="66"/>
            <w:noWrap/>
            <w:vAlign w:val="center"/>
            <w:hideMark/>
          </w:tcPr>
          <w:p w14:paraId="3EF2FFDE"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Toplam İmalat</w:t>
            </w:r>
          </w:p>
        </w:tc>
        <w:tc>
          <w:tcPr>
            <w:tcW w:w="102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0B4EAE4F"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110,37</w:t>
            </w:r>
          </w:p>
        </w:tc>
        <w:tc>
          <w:tcPr>
            <w:tcW w:w="102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481CB30"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111,6</w:t>
            </w:r>
          </w:p>
        </w:tc>
        <w:tc>
          <w:tcPr>
            <w:tcW w:w="102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625CDD02" w14:textId="77777777" w:rsidR="00C54BC9" w:rsidRPr="00E0308F" w:rsidRDefault="00C54BC9" w:rsidP="006963C3">
            <w:pPr>
              <w:spacing w:after="0" w:line="240" w:lineRule="auto"/>
              <w:jc w:val="center"/>
              <w:rPr>
                <w:rFonts w:ascii="Times New Roman" w:eastAsia="Times New Roman" w:hAnsi="Times New Roman" w:cs="Times New Roman"/>
                <w:b/>
                <w:bCs/>
                <w:color w:val="000000" w:themeColor="text1"/>
                <w:sz w:val="20"/>
                <w:szCs w:val="20"/>
                <w:lang w:eastAsia="tr-TR"/>
              </w:rPr>
            </w:pPr>
            <w:r w:rsidRPr="00E0308F">
              <w:rPr>
                <w:rFonts w:ascii="Times New Roman" w:eastAsia="Times New Roman" w:hAnsi="Times New Roman" w:cs="Times New Roman"/>
                <w:b/>
                <w:bCs/>
                <w:color w:val="000000" w:themeColor="text1"/>
                <w:sz w:val="20"/>
                <w:szCs w:val="20"/>
                <w:lang w:eastAsia="tr-TR"/>
              </w:rPr>
              <w:t>91,3</w:t>
            </w:r>
          </w:p>
        </w:tc>
        <w:tc>
          <w:tcPr>
            <w:tcW w:w="102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F977723"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121,9</w:t>
            </w:r>
          </w:p>
        </w:tc>
        <w:tc>
          <w:tcPr>
            <w:tcW w:w="959"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0C2324A"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138,5</w:t>
            </w:r>
          </w:p>
        </w:tc>
        <w:tc>
          <w:tcPr>
            <w:tcW w:w="963"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050FF9AF"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117,2</w:t>
            </w:r>
          </w:p>
        </w:tc>
        <w:tc>
          <w:tcPr>
            <w:tcW w:w="963"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50EA55E9"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eastAsia="Times New Roman" w:hAnsi="Times New Roman" w:cs="Times New Roman"/>
                <w:color w:val="000000" w:themeColor="text1"/>
                <w:sz w:val="20"/>
                <w:szCs w:val="20"/>
                <w:lang w:eastAsia="tr-TR"/>
              </w:rPr>
              <w:t>120,6</w:t>
            </w:r>
          </w:p>
        </w:tc>
        <w:tc>
          <w:tcPr>
            <w:tcW w:w="642" w:type="dxa"/>
            <w:tcBorders>
              <w:top w:val="single" w:sz="4" w:space="0" w:color="auto"/>
              <w:left w:val="nil"/>
              <w:bottom w:val="single" w:sz="4" w:space="0" w:color="auto"/>
              <w:right w:val="single" w:sz="4" w:space="0" w:color="auto"/>
            </w:tcBorders>
            <w:shd w:val="clear" w:color="auto" w:fill="FFE599" w:themeFill="accent4" w:themeFillTint="66"/>
            <w:vAlign w:val="center"/>
          </w:tcPr>
          <w:p w14:paraId="48EEB358" w14:textId="77777777" w:rsidR="00C54BC9" w:rsidRPr="00E0308F" w:rsidRDefault="00C54BC9" w:rsidP="006963C3">
            <w:pPr>
              <w:spacing w:after="0" w:line="240" w:lineRule="auto"/>
              <w:jc w:val="center"/>
              <w:rPr>
                <w:rFonts w:ascii="Times New Roman" w:eastAsia="Times New Roman" w:hAnsi="Times New Roman" w:cs="Times New Roman"/>
                <w:color w:val="000000" w:themeColor="text1"/>
                <w:sz w:val="20"/>
                <w:szCs w:val="20"/>
                <w:lang w:eastAsia="tr-TR"/>
              </w:rPr>
            </w:pPr>
            <w:r w:rsidRPr="00E0308F">
              <w:rPr>
                <w:rFonts w:ascii="Times New Roman" w:hAnsi="Times New Roman" w:cs="Times New Roman"/>
                <w:color w:val="000000" w:themeColor="text1"/>
                <w:sz w:val="20"/>
                <w:szCs w:val="20"/>
              </w:rPr>
              <w:t>2,90</w:t>
            </w:r>
          </w:p>
        </w:tc>
        <w:tc>
          <w:tcPr>
            <w:tcW w:w="850" w:type="dxa"/>
            <w:tcBorders>
              <w:top w:val="single" w:sz="4" w:space="0" w:color="auto"/>
              <w:left w:val="nil"/>
              <w:bottom w:val="single" w:sz="4" w:space="0" w:color="auto"/>
              <w:right w:val="single" w:sz="4" w:space="0" w:color="auto"/>
            </w:tcBorders>
            <w:shd w:val="clear" w:color="auto" w:fill="FFE599" w:themeFill="accent4" w:themeFillTint="66"/>
            <w:vAlign w:val="center"/>
          </w:tcPr>
          <w:p w14:paraId="08631FCC" w14:textId="77777777" w:rsidR="00C54BC9" w:rsidRPr="00E0308F" w:rsidRDefault="00C54BC9" w:rsidP="006963C3">
            <w:pPr>
              <w:spacing w:after="0" w:line="240" w:lineRule="auto"/>
              <w:jc w:val="right"/>
              <w:rPr>
                <w:rFonts w:ascii="Times New Roman" w:hAnsi="Times New Roman" w:cs="Times New Roman"/>
                <w:color w:val="000000" w:themeColor="text1"/>
                <w:sz w:val="20"/>
                <w:szCs w:val="20"/>
              </w:rPr>
            </w:pPr>
            <w:r w:rsidRPr="00E0308F">
              <w:rPr>
                <w:rFonts w:ascii="Times New Roman" w:hAnsi="Times New Roman" w:cs="Times New Roman"/>
                <w:color w:val="000000" w:themeColor="text1"/>
                <w:sz w:val="20"/>
                <w:szCs w:val="20"/>
              </w:rPr>
              <w:t>-17,28</w:t>
            </w:r>
          </w:p>
        </w:tc>
      </w:tr>
    </w:tbl>
    <w:p w14:paraId="4B794C89" w14:textId="77777777" w:rsidR="00C54BC9" w:rsidRPr="00164238" w:rsidRDefault="00C54BC9" w:rsidP="00C54BC9">
      <w:pPr>
        <w:spacing w:after="0" w:line="360" w:lineRule="auto"/>
        <w:rPr>
          <w:rFonts w:ascii="Times New Roman" w:hAnsi="Times New Roman" w:cs="Times New Roman"/>
          <w:color w:val="000000" w:themeColor="text1"/>
        </w:rPr>
      </w:pPr>
      <w:r w:rsidRPr="00164238">
        <w:rPr>
          <w:rFonts w:ascii="Times New Roman" w:hAnsi="Times New Roman" w:cs="Times New Roman"/>
          <w:b/>
          <w:bCs/>
          <w:color w:val="000000" w:themeColor="text1"/>
        </w:rPr>
        <w:t xml:space="preserve">Kaynak: </w:t>
      </w:r>
      <w:r w:rsidRPr="00164238">
        <w:rPr>
          <w:rFonts w:ascii="Times New Roman" w:hAnsi="Times New Roman" w:cs="Times New Roman"/>
          <w:color w:val="000000" w:themeColor="text1"/>
        </w:rPr>
        <w:t>TÜİK verileri derlenerek yazar tarafından oluşturulmuştur.</w:t>
      </w:r>
    </w:p>
    <w:p w14:paraId="0779F033" w14:textId="77777777" w:rsidR="00C54BC9" w:rsidRPr="00164238" w:rsidRDefault="00C54BC9" w:rsidP="00C54BC9">
      <w:pPr>
        <w:spacing w:before="120" w:after="120" w:line="360" w:lineRule="auto"/>
        <w:ind w:firstLine="567"/>
        <w:jc w:val="both"/>
        <w:rPr>
          <w:rFonts w:ascii="Times New Roman" w:hAnsi="Times New Roman" w:cs="Times New Roman"/>
          <w:color w:val="000000" w:themeColor="text1"/>
          <w:sz w:val="20"/>
          <w:szCs w:val="20"/>
          <w:u w:val="single"/>
        </w:rPr>
      </w:pPr>
      <w:r w:rsidRPr="00164238">
        <w:rPr>
          <w:rFonts w:ascii="Times New Roman" w:hAnsi="Times New Roman" w:cs="Times New Roman"/>
          <w:color w:val="000000" w:themeColor="text1"/>
          <w:sz w:val="20"/>
          <w:szCs w:val="20"/>
        </w:rPr>
        <w:t xml:space="preserve">Grafik 1’de imalat sanayiini de içine alan sanayi üretim endeksinin 2019-2020 dönemi içindeki seyri gösterilmiştir. Buna göre, sanayi üretim endeksi bir önceki yılın aynı ayına göre 2020 yılında Mart’da %2, Nisan’da %31.4, Mayıs’da 19.9 düşmüş, Haziran’da ise %0.1 artmıştır. Haziran ayından itibaren sanayi üretim endeksinin bir önceki yılın aynı ayına göre yükseliş eğilimine geçtiği anlaşılmaktadır </w:t>
      </w:r>
      <w:r w:rsidRPr="00164238">
        <w:rPr>
          <w:rFonts w:ascii="Times New Roman" w:hAnsi="Times New Roman" w:cs="Times New Roman"/>
          <w:color w:val="000000" w:themeColor="text1"/>
          <w:sz w:val="20"/>
          <w:szCs w:val="20"/>
          <w:u w:val="single"/>
        </w:rPr>
        <w:t>(</w:t>
      </w:r>
      <w:hyperlink r:id="rId152" w:history="1">
        <w:r w:rsidRPr="00164238">
          <w:rPr>
            <w:rStyle w:val="Balk1Char"/>
            <w:rFonts w:ascii="Times New Roman" w:eastAsiaTheme="minorHAnsi" w:hAnsi="Times New Roman" w:cs="Times New Roman"/>
            <w:color w:val="000000" w:themeColor="text1"/>
            <w:sz w:val="20"/>
            <w:szCs w:val="20"/>
          </w:rPr>
          <w:t>https://tuikweb.tuik.gov.tr/OncekiHBArama.do</w:t>
        </w:r>
      </w:hyperlink>
      <w:r w:rsidRPr="00164238">
        <w:rPr>
          <w:rFonts w:ascii="Times New Roman" w:hAnsi="Times New Roman" w:cs="Times New Roman"/>
          <w:color w:val="000000" w:themeColor="text1"/>
          <w:sz w:val="20"/>
          <w:szCs w:val="20"/>
          <w:u w:val="single"/>
        </w:rPr>
        <w:t>, Mart-Haziran 2020 Sanayi Üretim Endeksi Raporları).</w:t>
      </w:r>
    </w:p>
    <w:p w14:paraId="18A139D4" w14:textId="77777777" w:rsidR="00C54BC9" w:rsidRPr="00164238" w:rsidRDefault="00C54BC9" w:rsidP="00C54BC9">
      <w:pPr>
        <w:spacing w:after="0" w:line="240" w:lineRule="auto"/>
        <w:jc w:val="both"/>
        <w:rPr>
          <w:rFonts w:ascii="Times New Roman" w:hAnsi="Times New Roman" w:cs="Times New Roman"/>
          <w:color w:val="000000" w:themeColor="text1"/>
        </w:rPr>
      </w:pPr>
      <w:r w:rsidRPr="00164238">
        <w:rPr>
          <w:rFonts w:ascii="Times New Roman" w:hAnsi="Times New Roman" w:cs="Times New Roman"/>
          <w:b/>
          <w:bCs/>
          <w:color w:val="000000" w:themeColor="text1"/>
        </w:rPr>
        <w:t xml:space="preserve">      Grafik 1: Sanayi Üretim Endeksi (2015=100)</w:t>
      </w:r>
      <w:r w:rsidRPr="00164238">
        <w:rPr>
          <w:rFonts w:ascii="Times New Roman" w:hAnsi="Times New Roman" w:cs="Times New Roman"/>
          <w:noProof/>
          <w:color w:val="000000" w:themeColor="text1"/>
          <w:bdr w:val="single" w:sz="4" w:space="0" w:color="auto"/>
          <w:lang w:val="en-US"/>
        </w:rPr>
        <w:drawing>
          <wp:anchor distT="0" distB="0" distL="114300" distR="114300" simplePos="0" relativeHeight="251689984" behindDoc="0" locked="0" layoutInCell="1" allowOverlap="1" wp14:anchorId="276FFA20" wp14:editId="0DDB5766">
            <wp:simplePos x="0" y="0"/>
            <wp:positionH relativeFrom="column">
              <wp:posOffset>223520</wp:posOffset>
            </wp:positionH>
            <wp:positionV relativeFrom="paragraph">
              <wp:posOffset>179705</wp:posOffset>
            </wp:positionV>
            <wp:extent cx="5097145" cy="2515870"/>
            <wp:effectExtent l="19050" t="19050" r="19050" b="17780"/>
            <wp:wrapTopAndBottom/>
            <wp:docPr id="76" name="Resi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extLst>
                        <a:ext uri="{28A0092B-C50C-407E-A947-70E740481C1C}">
                          <a14:useLocalDpi xmlns:a14="http://schemas.microsoft.com/office/drawing/2010/main" val="0"/>
                        </a:ext>
                      </a:extLst>
                    </a:blip>
                    <a:srcRect t="9378" b="-447"/>
                    <a:stretch/>
                  </pic:blipFill>
                  <pic:spPr bwMode="auto">
                    <a:xfrm>
                      <a:off x="0" y="0"/>
                      <a:ext cx="5097145" cy="2515870"/>
                    </a:xfrm>
                    <a:prstGeom prst="rect">
                      <a:avLst/>
                    </a:prstGeom>
                    <a:ln>
                      <a:solidFill>
                        <a:schemeClr val="tx1"/>
                      </a:solidFill>
                      <a:prstDash val="soli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343B20" w14:textId="77777777" w:rsidR="00C54BC9" w:rsidRPr="00164238" w:rsidRDefault="00C54BC9" w:rsidP="00C54BC9">
      <w:pPr>
        <w:spacing w:after="120" w:line="360" w:lineRule="auto"/>
        <w:rPr>
          <w:rFonts w:ascii="Times New Roman" w:hAnsi="Times New Roman" w:cs="Times New Roman"/>
          <w:color w:val="000000" w:themeColor="text1"/>
        </w:rPr>
      </w:pPr>
      <w:r w:rsidRPr="00164238">
        <w:rPr>
          <w:rFonts w:ascii="Times New Roman" w:hAnsi="Times New Roman" w:cs="Times New Roman"/>
          <w:b/>
          <w:bCs/>
          <w:color w:val="000000" w:themeColor="text1"/>
        </w:rPr>
        <w:t xml:space="preserve">      Kaynak: </w:t>
      </w:r>
      <w:r w:rsidRPr="00164238">
        <w:rPr>
          <w:rFonts w:ascii="Times New Roman" w:hAnsi="Times New Roman" w:cs="Times New Roman"/>
          <w:color w:val="000000" w:themeColor="text1"/>
        </w:rPr>
        <w:t>TÜİK</w:t>
      </w:r>
    </w:p>
    <w:p w14:paraId="7ACD34E8" w14:textId="77777777" w:rsidR="00C54BC9" w:rsidRPr="00164238" w:rsidRDefault="00C54BC9" w:rsidP="00C54BC9">
      <w:pPr>
        <w:spacing w:before="120" w:after="120" w:line="360" w:lineRule="auto"/>
        <w:ind w:firstLine="567"/>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Kapasite Kullanımı</w:t>
      </w:r>
    </w:p>
    <w:p w14:paraId="522F6E83" w14:textId="77777777" w:rsidR="00452A49" w:rsidRDefault="00C54BC9" w:rsidP="00452A49">
      <w:pPr>
        <w:spacing w:before="120" w:after="120" w:line="240" w:lineRule="auto"/>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Covid 19 sonrasında üretimde yaşanan aksamalar sonucunda kapasite kullanım oranlarında belirgin bir düşüş yaşanmıştır. Grafik 2’de bu durum net bir şekilde gösterilmiştir. İmalat sanayii kapasite kulanım oranlarının gösterildiği Grafik 2’de 2020 yılının Mart ayında 74,30 olan kapasite kullanım oranının Nisan ayında 61,60 seviyesine düştüğü görülmektedir. Nisan-Haziran döneminde kapasite kullanım oranlarının 70,00 seviyesinin altında kaldığı Temmuz ayı ile birlikte imalat sanayiinde kapasite kullanım oranının tekrar 70,00 ve üstü seviyelerde bir seyir izlediği görülmektedir.</w:t>
      </w:r>
    </w:p>
    <w:p w14:paraId="7A572197" w14:textId="13E9AE6C" w:rsidR="00C54BC9" w:rsidRPr="00164238" w:rsidRDefault="00C54BC9" w:rsidP="00452A49">
      <w:pPr>
        <w:spacing w:before="120" w:after="120" w:line="360" w:lineRule="auto"/>
        <w:ind w:firstLine="567"/>
        <w:rPr>
          <w:rFonts w:ascii="Times New Roman" w:hAnsi="Times New Roman" w:cs="Times New Roman"/>
          <w:b/>
          <w:bCs/>
          <w:color w:val="000000" w:themeColor="text1"/>
        </w:rPr>
      </w:pPr>
      <w:r w:rsidRPr="00164238">
        <w:rPr>
          <w:rFonts w:ascii="Times New Roman" w:hAnsi="Times New Roman" w:cs="Times New Roman"/>
          <w:b/>
          <w:bCs/>
          <w:color w:val="000000" w:themeColor="text1"/>
        </w:rPr>
        <w:lastRenderedPageBreak/>
        <w:t xml:space="preserve">            Grafik 2: İmalat Sanayii Kapasite Kullanım Oranı</w:t>
      </w:r>
      <w:r w:rsidRPr="00164238">
        <w:rPr>
          <w:rFonts w:ascii="Times New Roman" w:hAnsi="Times New Roman" w:cs="Times New Roman"/>
          <w:noProof/>
          <w:color w:val="000000" w:themeColor="text1"/>
          <w:lang w:val="en-US"/>
        </w:rPr>
        <w:drawing>
          <wp:inline distT="0" distB="0" distL="0" distR="0" wp14:anchorId="32B49941" wp14:editId="61789A67">
            <wp:extent cx="4886325" cy="2962275"/>
            <wp:effectExtent l="0" t="0" r="9525" b="9525"/>
            <wp:docPr id="77" name="Grafik 77">
              <a:extLst xmlns:a="http://schemas.openxmlformats.org/drawingml/2006/main">
                <a:ext uri="{FF2B5EF4-FFF2-40B4-BE49-F238E27FC236}">
                  <a16:creationId xmlns:a16="http://schemas.microsoft.com/office/drawing/2014/main" id="{6BC5A837-B576-4786-BD50-62441919E9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14:paraId="7BB09583" w14:textId="77777777" w:rsidR="00C54BC9" w:rsidRPr="00452A49" w:rsidRDefault="00C54BC9" w:rsidP="00C54BC9">
      <w:pPr>
        <w:spacing w:after="0" w:line="240" w:lineRule="auto"/>
        <w:rPr>
          <w:rFonts w:ascii="Times New Roman" w:hAnsi="Times New Roman" w:cs="Times New Roman"/>
          <w:color w:val="000000" w:themeColor="text1"/>
          <w:sz w:val="20"/>
          <w:szCs w:val="20"/>
        </w:rPr>
      </w:pPr>
      <w:r w:rsidRPr="00452A49">
        <w:rPr>
          <w:rFonts w:ascii="Times New Roman" w:hAnsi="Times New Roman" w:cs="Times New Roman"/>
          <w:b/>
          <w:bCs/>
          <w:color w:val="000000" w:themeColor="text1"/>
          <w:sz w:val="20"/>
          <w:szCs w:val="20"/>
        </w:rPr>
        <w:t xml:space="preserve">             Kaynak: </w:t>
      </w:r>
      <w:r w:rsidRPr="00452A49">
        <w:rPr>
          <w:rFonts w:ascii="Times New Roman" w:hAnsi="Times New Roman" w:cs="Times New Roman"/>
          <w:color w:val="000000" w:themeColor="text1"/>
          <w:sz w:val="20"/>
          <w:szCs w:val="20"/>
        </w:rPr>
        <w:t xml:space="preserve">TCMB verileri derlenerek yazar tarafından oluşturulmuştur. </w:t>
      </w:r>
    </w:p>
    <w:p w14:paraId="4064C5F0" w14:textId="77777777" w:rsidR="00C54BC9" w:rsidRPr="00164238" w:rsidRDefault="00C54BC9" w:rsidP="00C54BC9">
      <w:pPr>
        <w:spacing w:before="120" w:after="120" w:line="360" w:lineRule="auto"/>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Tablo 2’de 2019-2020 yıllarında imalat sanayii alt sektörlerine ait kapasite kullanım oranları gösterilmiştir. 2019 yılına göre 2020 yılında kapasite kullanım oranı artan imalat sanayii alt sektörlerinin sırasıyla ağaç, ağaç ürünleri ve mantar ürünleri imalatı (mobilya hariç) (+%7.26), bilgisayarların, elektronik ve optik ürünlerin imalatı (+%4.07), diğer metalik olmayan mineral ürünlerin imalatı (+%2.36), kağıt ve kağıt ürünleri imalatı (+%1.46) olduğu görülmüştür. Geriye kalan tüm alt sektörlerin yıllık kapasite kullanım oranları düşmüştür. Türkiye’de Covid 19 vakasının ilk tespit edildiği Mart ayını kapsayan ikinci çeyrekte üretimin yavaşlaması ile birlikte kapasite kullanım oranlarında dikkat çekici bir şekilde azalma olduğu anlaşılmaktadır. 2020 yılında bir önceki yıla göre kapasite kullanım oranı en fazla azalan sektörler içinde sırasıyla giyim eşyası (-%20.05), içecek sektörü (-%17,05), mobilya sektörü (-%13.11), tekstil sektörü (-%12.21), motorlu kara taşıtları (yarı treyler ve treyler dahil) (-%10.86),  deri ve ilgili ürünleri  (-%10.24) sektörlerinin olduğu gözlemlenmiştir. 2020 yılının üçüncü çeyreğinde üretimin artması ile birlikte kapasite kulanım oranlarında artış eğilimi görülmüştür.</w:t>
      </w:r>
    </w:p>
    <w:p w14:paraId="750A720F" w14:textId="77777777" w:rsidR="00C54BC9" w:rsidRPr="00164238" w:rsidRDefault="00C54BC9" w:rsidP="00C54BC9">
      <w:pPr>
        <w:spacing w:after="0" w:line="240" w:lineRule="auto"/>
        <w:rPr>
          <w:rFonts w:ascii="Times New Roman" w:hAnsi="Times New Roman" w:cs="Times New Roman"/>
          <w:b/>
          <w:bCs/>
          <w:color w:val="000000" w:themeColor="text1"/>
        </w:rPr>
      </w:pPr>
      <w:r w:rsidRPr="00164238">
        <w:rPr>
          <w:rFonts w:ascii="Times New Roman" w:hAnsi="Times New Roman" w:cs="Times New Roman"/>
          <w:b/>
          <w:bCs/>
          <w:color w:val="000000" w:themeColor="text1"/>
        </w:rPr>
        <w:t>Tablo 2: İmalat Sanayii Alt Sektörlerinde Kapasite Kullanım Oranları (NACE Rev.2)</w:t>
      </w:r>
    </w:p>
    <w:tbl>
      <w:tblPr>
        <w:tblW w:w="9067" w:type="dxa"/>
        <w:tblCellMar>
          <w:left w:w="70" w:type="dxa"/>
          <w:right w:w="70" w:type="dxa"/>
        </w:tblCellMar>
        <w:tblLook w:val="04A0" w:firstRow="1" w:lastRow="0" w:firstColumn="1" w:lastColumn="0" w:noHBand="0" w:noVBand="1"/>
      </w:tblPr>
      <w:tblGrid>
        <w:gridCol w:w="1331"/>
        <w:gridCol w:w="954"/>
        <w:gridCol w:w="955"/>
        <w:gridCol w:w="955"/>
        <w:gridCol w:w="955"/>
        <w:gridCol w:w="955"/>
        <w:gridCol w:w="1071"/>
        <w:gridCol w:w="1071"/>
        <w:gridCol w:w="820"/>
      </w:tblGrid>
      <w:tr w:rsidR="00164238" w:rsidRPr="00164238" w14:paraId="0F935FCE" w14:textId="77777777" w:rsidTr="00682CBF">
        <w:trPr>
          <w:trHeight w:val="300"/>
        </w:trPr>
        <w:tc>
          <w:tcPr>
            <w:tcW w:w="133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CC69C8A"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Ürün Kodları</w:t>
            </w:r>
          </w:p>
        </w:tc>
        <w:tc>
          <w:tcPr>
            <w:tcW w:w="954" w:type="dxa"/>
            <w:tcBorders>
              <w:top w:val="single" w:sz="4" w:space="0" w:color="auto"/>
              <w:left w:val="nil"/>
              <w:bottom w:val="single" w:sz="4" w:space="0" w:color="auto"/>
              <w:right w:val="single" w:sz="4" w:space="0" w:color="auto"/>
            </w:tcBorders>
            <w:shd w:val="clear" w:color="000000" w:fill="FFFFFF"/>
            <w:noWrap/>
            <w:vAlign w:val="center"/>
            <w:hideMark/>
          </w:tcPr>
          <w:p w14:paraId="5A7033F8"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2019-Q4</w:t>
            </w:r>
          </w:p>
        </w:tc>
        <w:tc>
          <w:tcPr>
            <w:tcW w:w="955" w:type="dxa"/>
            <w:tcBorders>
              <w:top w:val="single" w:sz="4" w:space="0" w:color="auto"/>
              <w:left w:val="nil"/>
              <w:bottom w:val="single" w:sz="4" w:space="0" w:color="auto"/>
              <w:right w:val="single" w:sz="4" w:space="0" w:color="auto"/>
            </w:tcBorders>
            <w:shd w:val="clear" w:color="000000" w:fill="FFFFFF"/>
            <w:noWrap/>
            <w:vAlign w:val="center"/>
            <w:hideMark/>
          </w:tcPr>
          <w:p w14:paraId="1D86A922"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2020-Q1</w:t>
            </w:r>
          </w:p>
        </w:tc>
        <w:tc>
          <w:tcPr>
            <w:tcW w:w="955" w:type="dxa"/>
            <w:tcBorders>
              <w:top w:val="single" w:sz="4" w:space="0" w:color="auto"/>
              <w:left w:val="nil"/>
              <w:bottom w:val="single" w:sz="4" w:space="0" w:color="auto"/>
              <w:right w:val="single" w:sz="4" w:space="0" w:color="auto"/>
            </w:tcBorders>
            <w:shd w:val="clear" w:color="000000" w:fill="FFFFFF"/>
            <w:noWrap/>
            <w:vAlign w:val="center"/>
            <w:hideMark/>
          </w:tcPr>
          <w:p w14:paraId="52133061"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2020-Q2</w:t>
            </w:r>
          </w:p>
        </w:tc>
        <w:tc>
          <w:tcPr>
            <w:tcW w:w="955" w:type="dxa"/>
            <w:tcBorders>
              <w:top w:val="single" w:sz="4" w:space="0" w:color="auto"/>
              <w:left w:val="nil"/>
              <w:bottom w:val="single" w:sz="4" w:space="0" w:color="auto"/>
              <w:right w:val="single" w:sz="4" w:space="0" w:color="auto"/>
            </w:tcBorders>
            <w:shd w:val="clear" w:color="000000" w:fill="FFFFFF"/>
            <w:noWrap/>
            <w:vAlign w:val="center"/>
            <w:hideMark/>
          </w:tcPr>
          <w:p w14:paraId="4533C777"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2020-Q3</w:t>
            </w:r>
          </w:p>
        </w:tc>
        <w:tc>
          <w:tcPr>
            <w:tcW w:w="955" w:type="dxa"/>
            <w:tcBorders>
              <w:top w:val="single" w:sz="4" w:space="0" w:color="auto"/>
              <w:left w:val="nil"/>
              <w:bottom w:val="single" w:sz="4" w:space="0" w:color="auto"/>
              <w:right w:val="single" w:sz="4" w:space="0" w:color="auto"/>
            </w:tcBorders>
            <w:shd w:val="clear" w:color="000000" w:fill="FFFFFF"/>
            <w:noWrap/>
            <w:vAlign w:val="center"/>
            <w:hideMark/>
          </w:tcPr>
          <w:p w14:paraId="6E77EBFB"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2020-Q4</w:t>
            </w:r>
          </w:p>
        </w:tc>
        <w:tc>
          <w:tcPr>
            <w:tcW w:w="1071"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09A4EE87"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2019 Yıllık</w:t>
            </w:r>
          </w:p>
        </w:tc>
        <w:tc>
          <w:tcPr>
            <w:tcW w:w="1071"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175F6BB7"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2020 Yıllık</w:t>
            </w:r>
          </w:p>
        </w:tc>
        <w:tc>
          <w:tcPr>
            <w:tcW w:w="820" w:type="dxa"/>
            <w:tcBorders>
              <w:top w:val="single" w:sz="4" w:space="0" w:color="auto"/>
              <w:left w:val="nil"/>
              <w:bottom w:val="single" w:sz="4" w:space="0" w:color="auto"/>
              <w:right w:val="single" w:sz="4" w:space="0" w:color="auto"/>
            </w:tcBorders>
            <w:shd w:val="clear" w:color="auto" w:fill="FFE599" w:themeFill="accent4" w:themeFillTint="66"/>
            <w:vAlign w:val="center"/>
          </w:tcPr>
          <w:p w14:paraId="42B40793"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 20/19</w:t>
            </w:r>
          </w:p>
        </w:tc>
      </w:tr>
      <w:tr w:rsidR="00164238" w:rsidRPr="00164238" w14:paraId="5B5DE1A2" w14:textId="77777777" w:rsidTr="00682CBF">
        <w:trPr>
          <w:trHeight w:val="300"/>
        </w:trPr>
        <w:tc>
          <w:tcPr>
            <w:tcW w:w="1331" w:type="dxa"/>
            <w:tcBorders>
              <w:top w:val="nil"/>
              <w:left w:val="single" w:sz="4" w:space="0" w:color="auto"/>
              <w:bottom w:val="single" w:sz="4" w:space="0" w:color="auto"/>
              <w:right w:val="single" w:sz="4" w:space="0" w:color="auto"/>
            </w:tcBorders>
            <w:shd w:val="clear" w:color="000000" w:fill="FFFFFF"/>
            <w:noWrap/>
            <w:vAlign w:val="center"/>
            <w:hideMark/>
          </w:tcPr>
          <w:p w14:paraId="23CF2DAA"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10</w:t>
            </w:r>
          </w:p>
        </w:tc>
        <w:tc>
          <w:tcPr>
            <w:tcW w:w="954" w:type="dxa"/>
            <w:tcBorders>
              <w:top w:val="nil"/>
              <w:left w:val="nil"/>
              <w:bottom w:val="single" w:sz="4" w:space="0" w:color="auto"/>
              <w:right w:val="single" w:sz="4" w:space="0" w:color="auto"/>
            </w:tcBorders>
            <w:shd w:val="clear" w:color="000000" w:fill="FFFFFF"/>
            <w:noWrap/>
            <w:vAlign w:val="center"/>
            <w:hideMark/>
          </w:tcPr>
          <w:p w14:paraId="5E17A5B4"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73,9</w:t>
            </w:r>
          </w:p>
        </w:tc>
        <w:tc>
          <w:tcPr>
            <w:tcW w:w="955" w:type="dxa"/>
            <w:tcBorders>
              <w:top w:val="nil"/>
              <w:left w:val="nil"/>
              <w:bottom w:val="single" w:sz="4" w:space="0" w:color="auto"/>
              <w:right w:val="single" w:sz="4" w:space="0" w:color="auto"/>
            </w:tcBorders>
            <w:shd w:val="clear" w:color="000000" w:fill="FFFFFF"/>
            <w:noWrap/>
            <w:vAlign w:val="center"/>
            <w:hideMark/>
          </w:tcPr>
          <w:p w14:paraId="4C3CC727"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72,6</w:t>
            </w:r>
          </w:p>
        </w:tc>
        <w:tc>
          <w:tcPr>
            <w:tcW w:w="955" w:type="dxa"/>
            <w:tcBorders>
              <w:top w:val="nil"/>
              <w:left w:val="nil"/>
              <w:bottom w:val="single" w:sz="4" w:space="0" w:color="auto"/>
              <w:right w:val="single" w:sz="4" w:space="0" w:color="auto"/>
            </w:tcBorders>
            <w:shd w:val="clear" w:color="000000" w:fill="FFFFFF"/>
            <w:noWrap/>
            <w:vAlign w:val="center"/>
            <w:hideMark/>
          </w:tcPr>
          <w:p w14:paraId="52B0F810"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70,8</w:t>
            </w:r>
          </w:p>
        </w:tc>
        <w:tc>
          <w:tcPr>
            <w:tcW w:w="955" w:type="dxa"/>
            <w:tcBorders>
              <w:top w:val="nil"/>
              <w:left w:val="nil"/>
              <w:bottom w:val="single" w:sz="4" w:space="0" w:color="auto"/>
              <w:right w:val="single" w:sz="4" w:space="0" w:color="auto"/>
            </w:tcBorders>
            <w:shd w:val="clear" w:color="000000" w:fill="FFFFFF"/>
            <w:noWrap/>
            <w:vAlign w:val="center"/>
            <w:hideMark/>
          </w:tcPr>
          <w:p w14:paraId="6A294FEF"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70,8</w:t>
            </w:r>
          </w:p>
        </w:tc>
        <w:tc>
          <w:tcPr>
            <w:tcW w:w="955" w:type="dxa"/>
            <w:tcBorders>
              <w:top w:val="nil"/>
              <w:left w:val="nil"/>
              <w:bottom w:val="single" w:sz="4" w:space="0" w:color="auto"/>
              <w:right w:val="single" w:sz="4" w:space="0" w:color="auto"/>
            </w:tcBorders>
            <w:shd w:val="clear" w:color="000000" w:fill="FFFFFF"/>
            <w:noWrap/>
            <w:vAlign w:val="center"/>
            <w:hideMark/>
          </w:tcPr>
          <w:p w14:paraId="4DEC60A9"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72,4</w:t>
            </w:r>
          </w:p>
        </w:tc>
        <w:tc>
          <w:tcPr>
            <w:tcW w:w="1071" w:type="dxa"/>
            <w:tcBorders>
              <w:top w:val="nil"/>
              <w:left w:val="nil"/>
              <w:bottom w:val="single" w:sz="4" w:space="0" w:color="auto"/>
              <w:right w:val="single" w:sz="4" w:space="0" w:color="auto"/>
            </w:tcBorders>
            <w:shd w:val="clear" w:color="auto" w:fill="FFE599" w:themeFill="accent4" w:themeFillTint="66"/>
            <w:noWrap/>
            <w:vAlign w:val="center"/>
            <w:hideMark/>
          </w:tcPr>
          <w:p w14:paraId="00450F43"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72,5</w:t>
            </w:r>
          </w:p>
        </w:tc>
        <w:tc>
          <w:tcPr>
            <w:tcW w:w="1071" w:type="dxa"/>
            <w:tcBorders>
              <w:top w:val="nil"/>
              <w:left w:val="nil"/>
              <w:bottom w:val="single" w:sz="4" w:space="0" w:color="auto"/>
              <w:right w:val="single" w:sz="4" w:space="0" w:color="auto"/>
            </w:tcBorders>
            <w:shd w:val="clear" w:color="auto" w:fill="FFE599" w:themeFill="accent4" w:themeFillTint="66"/>
            <w:noWrap/>
            <w:vAlign w:val="center"/>
            <w:hideMark/>
          </w:tcPr>
          <w:p w14:paraId="746724F9"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71,6</w:t>
            </w:r>
          </w:p>
        </w:tc>
        <w:tc>
          <w:tcPr>
            <w:tcW w:w="820" w:type="dxa"/>
            <w:tcBorders>
              <w:top w:val="nil"/>
              <w:left w:val="nil"/>
              <w:bottom w:val="single" w:sz="4" w:space="0" w:color="auto"/>
              <w:right w:val="single" w:sz="4" w:space="0" w:color="auto"/>
            </w:tcBorders>
            <w:shd w:val="clear" w:color="auto" w:fill="FFE599" w:themeFill="accent4" w:themeFillTint="66"/>
            <w:vAlign w:val="center"/>
          </w:tcPr>
          <w:p w14:paraId="3402680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-1,24 </w:t>
            </w:r>
          </w:p>
        </w:tc>
      </w:tr>
      <w:tr w:rsidR="00164238" w:rsidRPr="00164238" w14:paraId="605EEA23" w14:textId="77777777" w:rsidTr="00682CBF">
        <w:trPr>
          <w:trHeight w:val="300"/>
        </w:trPr>
        <w:tc>
          <w:tcPr>
            <w:tcW w:w="1331" w:type="dxa"/>
            <w:tcBorders>
              <w:top w:val="nil"/>
              <w:left w:val="single" w:sz="4" w:space="0" w:color="auto"/>
              <w:bottom w:val="single" w:sz="4" w:space="0" w:color="auto"/>
              <w:right w:val="single" w:sz="4" w:space="0" w:color="auto"/>
            </w:tcBorders>
            <w:shd w:val="clear" w:color="000000" w:fill="FFFFFF"/>
            <w:noWrap/>
            <w:vAlign w:val="center"/>
            <w:hideMark/>
          </w:tcPr>
          <w:p w14:paraId="3BA5DED1"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11</w:t>
            </w:r>
          </w:p>
        </w:tc>
        <w:tc>
          <w:tcPr>
            <w:tcW w:w="954" w:type="dxa"/>
            <w:tcBorders>
              <w:top w:val="nil"/>
              <w:left w:val="nil"/>
              <w:bottom w:val="single" w:sz="4" w:space="0" w:color="auto"/>
              <w:right w:val="single" w:sz="4" w:space="0" w:color="auto"/>
            </w:tcBorders>
            <w:shd w:val="clear" w:color="000000" w:fill="FFFFFF"/>
            <w:noWrap/>
            <w:vAlign w:val="center"/>
            <w:hideMark/>
          </w:tcPr>
          <w:p w14:paraId="6561BF08"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70,3</w:t>
            </w:r>
          </w:p>
        </w:tc>
        <w:tc>
          <w:tcPr>
            <w:tcW w:w="955" w:type="dxa"/>
            <w:tcBorders>
              <w:top w:val="nil"/>
              <w:left w:val="nil"/>
              <w:bottom w:val="single" w:sz="4" w:space="0" w:color="auto"/>
              <w:right w:val="single" w:sz="4" w:space="0" w:color="auto"/>
            </w:tcBorders>
            <w:shd w:val="clear" w:color="auto" w:fill="FFE599" w:themeFill="accent4" w:themeFillTint="66"/>
            <w:noWrap/>
            <w:vAlign w:val="center"/>
            <w:hideMark/>
          </w:tcPr>
          <w:p w14:paraId="71EA7E34"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59,6</w:t>
            </w:r>
          </w:p>
        </w:tc>
        <w:tc>
          <w:tcPr>
            <w:tcW w:w="955" w:type="dxa"/>
            <w:tcBorders>
              <w:top w:val="nil"/>
              <w:left w:val="nil"/>
              <w:bottom w:val="single" w:sz="4" w:space="0" w:color="auto"/>
              <w:right w:val="single" w:sz="4" w:space="0" w:color="auto"/>
            </w:tcBorders>
            <w:shd w:val="clear" w:color="auto" w:fill="FFE599" w:themeFill="accent4" w:themeFillTint="66"/>
            <w:noWrap/>
            <w:vAlign w:val="center"/>
            <w:hideMark/>
          </w:tcPr>
          <w:p w14:paraId="4BF88B19"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49,8</w:t>
            </w:r>
          </w:p>
        </w:tc>
        <w:tc>
          <w:tcPr>
            <w:tcW w:w="955" w:type="dxa"/>
            <w:tcBorders>
              <w:top w:val="nil"/>
              <w:left w:val="nil"/>
              <w:bottom w:val="single" w:sz="4" w:space="0" w:color="auto"/>
              <w:right w:val="single" w:sz="4" w:space="0" w:color="auto"/>
            </w:tcBorders>
            <w:shd w:val="clear" w:color="000000" w:fill="FFFFFF"/>
            <w:noWrap/>
            <w:vAlign w:val="center"/>
            <w:hideMark/>
          </w:tcPr>
          <w:p w14:paraId="18FD21D0"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66,7</w:t>
            </w:r>
          </w:p>
        </w:tc>
        <w:tc>
          <w:tcPr>
            <w:tcW w:w="955" w:type="dxa"/>
            <w:tcBorders>
              <w:top w:val="nil"/>
              <w:left w:val="nil"/>
              <w:bottom w:val="single" w:sz="4" w:space="0" w:color="auto"/>
              <w:right w:val="single" w:sz="4" w:space="0" w:color="auto"/>
            </w:tcBorders>
            <w:shd w:val="clear" w:color="000000" w:fill="FFFFFF"/>
            <w:noWrap/>
            <w:vAlign w:val="center"/>
            <w:hideMark/>
          </w:tcPr>
          <w:p w14:paraId="4206F956"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57,6</w:t>
            </w:r>
          </w:p>
        </w:tc>
        <w:tc>
          <w:tcPr>
            <w:tcW w:w="1071" w:type="dxa"/>
            <w:tcBorders>
              <w:top w:val="nil"/>
              <w:left w:val="nil"/>
              <w:bottom w:val="single" w:sz="4" w:space="0" w:color="auto"/>
              <w:right w:val="single" w:sz="4" w:space="0" w:color="auto"/>
            </w:tcBorders>
            <w:shd w:val="clear" w:color="auto" w:fill="FFE599" w:themeFill="accent4" w:themeFillTint="66"/>
            <w:noWrap/>
            <w:vAlign w:val="center"/>
            <w:hideMark/>
          </w:tcPr>
          <w:p w14:paraId="20982ABE"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70,4</w:t>
            </w:r>
          </w:p>
        </w:tc>
        <w:tc>
          <w:tcPr>
            <w:tcW w:w="1071" w:type="dxa"/>
            <w:tcBorders>
              <w:top w:val="nil"/>
              <w:left w:val="nil"/>
              <w:bottom w:val="single" w:sz="4" w:space="0" w:color="auto"/>
              <w:right w:val="single" w:sz="4" w:space="0" w:color="auto"/>
            </w:tcBorders>
            <w:shd w:val="clear" w:color="auto" w:fill="FFE599" w:themeFill="accent4" w:themeFillTint="66"/>
            <w:noWrap/>
            <w:vAlign w:val="center"/>
            <w:hideMark/>
          </w:tcPr>
          <w:p w14:paraId="08AC6DFA"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58,4</w:t>
            </w:r>
          </w:p>
        </w:tc>
        <w:tc>
          <w:tcPr>
            <w:tcW w:w="820" w:type="dxa"/>
            <w:tcBorders>
              <w:top w:val="nil"/>
              <w:left w:val="nil"/>
              <w:bottom w:val="single" w:sz="4" w:space="0" w:color="auto"/>
              <w:right w:val="single" w:sz="4" w:space="0" w:color="auto"/>
            </w:tcBorders>
            <w:shd w:val="clear" w:color="auto" w:fill="FFE599" w:themeFill="accent4" w:themeFillTint="66"/>
            <w:vAlign w:val="center"/>
          </w:tcPr>
          <w:p w14:paraId="5A03D713" w14:textId="77777777" w:rsidR="00C54BC9" w:rsidRPr="00164238" w:rsidRDefault="00C54BC9" w:rsidP="00682CBF">
            <w:pPr>
              <w:spacing w:after="0" w:line="240" w:lineRule="auto"/>
              <w:jc w:val="right"/>
              <w:rPr>
                <w:rFonts w:ascii="Times New Roman" w:eastAsia="Times New Roman" w:hAnsi="Times New Roman" w:cs="Times New Roman"/>
                <w:b/>
                <w:bCs/>
                <w:color w:val="000000" w:themeColor="text1"/>
                <w:lang w:eastAsia="tr-TR"/>
              </w:rPr>
            </w:pPr>
            <w:r w:rsidRPr="00164238">
              <w:rPr>
                <w:rFonts w:ascii="Times New Roman" w:hAnsi="Times New Roman" w:cs="Times New Roman"/>
                <w:color w:val="000000" w:themeColor="text1"/>
              </w:rPr>
              <w:t xml:space="preserve">-17,05 </w:t>
            </w:r>
          </w:p>
        </w:tc>
      </w:tr>
      <w:tr w:rsidR="00164238" w:rsidRPr="00164238" w14:paraId="6306DD73" w14:textId="77777777" w:rsidTr="00682CBF">
        <w:trPr>
          <w:trHeight w:val="300"/>
        </w:trPr>
        <w:tc>
          <w:tcPr>
            <w:tcW w:w="1331" w:type="dxa"/>
            <w:tcBorders>
              <w:top w:val="nil"/>
              <w:left w:val="single" w:sz="4" w:space="0" w:color="auto"/>
              <w:bottom w:val="single" w:sz="4" w:space="0" w:color="auto"/>
              <w:right w:val="single" w:sz="4" w:space="0" w:color="auto"/>
            </w:tcBorders>
            <w:shd w:val="clear" w:color="000000" w:fill="FFFFFF"/>
            <w:noWrap/>
            <w:vAlign w:val="center"/>
            <w:hideMark/>
          </w:tcPr>
          <w:p w14:paraId="344932AF"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12</w:t>
            </w:r>
          </w:p>
        </w:tc>
        <w:tc>
          <w:tcPr>
            <w:tcW w:w="954" w:type="dxa"/>
            <w:tcBorders>
              <w:top w:val="nil"/>
              <w:left w:val="nil"/>
              <w:bottom w:val="single" w:sz="4" w:space="0" w:color="auto"/>
              <w:right w:val="single" w:sz="4" w:space="0" w:color="auto"/>
            </w:tcBorders>
            <w:shd w:val="clear" w:color="000000" w:fill="FFFFFF"/>
            <w:noWrap/>
            <w:vAlign w:val="center"/>
            <w:hideMark/>
          </w:tcPr>
          <w:p w14:paraId="772A219D"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66,1</w:t>
            </w:r>
          </w:p>
        </w:tc>
        <w:tc>
          <w:tcPr>
            <w:tcW w:w="955" w:type="dxa"/>
            <w:tcBorders>
              <w:top w:val="nil"/>
              <w:left w:val="nil"/>
              <w:bottom w:val="single" w:sz="4" w:space="0" w:color="auto"/>
              <w:right w:val="single" w:sz="4" w:space="0" w:color="auto"/>
            </w:tcBorders>
            <w:shd w:val="clear" w:color="000000" w:fill="FFFFFF"/>
            <w:noWrap/>
            <w:vAlign w:val="center"/>
            <w:hideMark/>
          </w:tcPr>
          <w:p w14:paraId="26586D29"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69,7</w:t>
            </w:r>
          </w:p>
        </w:tc>
        <w:tc>
          <w:tcPr>
            <w:tcW w:w="955" w:type="dxa"/>
            <w:tcBorders>
              <w:top w:val="nil"/>
              <w:left w:val="nil"/>
              <w:bottom w:val="single" w:sz="4" w:space="0" w:color="auto"/>
              <w:right w:val="single" w:sz="4" w:space="0" w:color="auto"/>
            </w:tcBorders>
            <w:shd w:val="clear" w:color="000000" w:fill="FFFFFF"/>
            <w:noWrap/>
            <w:vAlign w:val="center"/>
            <w:hideMark/>
          </w:tcPr>
          <w:p w14:paraId="296091BE"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68,4</w:t>
            </w:r>
          </w:p>
        </w:tc>
        <w:tc>
          <w:tcPr>
            <w:tcW w:w="955" w:type="dxa"/>
            <w:tcBorders>
              <w:top w:val="nil"/>
              <w:left w:val="nil"/>
              <w:bottom w:val="single" w:sz="4" w:space="0" w:color="auto"/>
              <w:right w:val="single" w:sz="4" w:space="0" w:color="auto"/>
            </w:tcBorders>
            <w:shd w:val="clear" w:color="000000" w:fill="FFFFFF"/>
            <w:noWrap/>
            <w:vAlign w:val="center"/>
            <w:hideMark/>
          </w:tcPr>
          <w:p w14:paraId="78C3E350"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68,4</w:t>
            </w:r>
          </w:p>
        </w:tc>
        <w:tc>
          <w:tcPr>
            <w:tcW w:w="955" w:type="dxa"/>
            <w:tcBorders>
              <w:top w:val="nil"/>
              <w:left w:val="nil"/>
              <w:bottom w:val="single" w:sz="4" w:space="0" w:color="auto"/>
              <w:right w:val="single" w:sz="4" w:space="0" w:color="auto"/>
            </w:tcBorders>
            <w:shd w:val="clear" w:color="000000" w:fill="FFFFFF"/>
            <w:noWrap/>
            <w:vAlign w:val="center"/>
            <w:hideMark/>
          </w:tcPr>
          <w:p w14:paraId="0DF4643C"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66,6</w:t>
            </w:r>
          </w:p>
        </w:tc>
        <w:tc>
          <w:tcPr>
            <w:tcW w:w="1071" w:type="dxa"/>
            <w:tcBorders>
              <w:top w:val="nil"/>
              <w:left w:val="nil"/>
              <w:bottom w:val="single" w:sz="4" w:space="0" w:color="auto"/>
              <w:right w:val="single" w:sz="4" w:space="0" w:color="auto"/>
            </w:tcBorders>
            <w:shd w:val="clear" w:color="auto" w:fill="FFE599" w:themeFill="accent4" w:themeFillTint="66"/>
            <w:noWrap/>
            <w:vAlign w:val="center"/>
            <w:hideMark/>
          </w:tcPr>
          <w:p w14:paraId="73B6021F"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72,8</w:t>
            </w:r>
          </w:p>
        </w:tc>
        <w:tc>
          <w:tcPr>
            <w:tcW w:w="1071" w:type="dxa"/>
            <w:tcBorders>
              <w:top w:val="nil"/>
              <w:left w:val="nil"/>
              <w:bottom w:val="single" w:sz="4" w:space="0" w:color="auto"/>
              <w:right w:val="single" w:sz="4" w:space="0" w:color="auto"/>
            </w:tcBorders>
            <w:shd w:val="clear" w:color="auto" w:fill="FFE599" w:themeFill="accent4" w:themeFillTint="66"/>
            <w:noWrap/>
            <w:vAlign w:val="center"/>
            <w:hideMark/>
          </w:tcPr>
          <w:p w14:paraId="287C6589"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68,3</w:t>
            </w:r>
          </w:p>
        </w:tc>
        <w:tc>
          <w:tcPr>
            <w:tcW w:w="820" w:type="dxa"/>
            <w:tcBorders>
              <w:top w:val="nil"/>
              <w:left w:val="nil"/>
              <w:bottom w:val="single" w:sz="4" w:space="0" w:color="auto"/>
              <w:right w:val="single" w:sz="4" w:space="0" w:color="auto"/>
            </w:tcBorders>
            <w:shd w:val="clear" w:color="auto" w:fill="FFE599" w:themeFill="accent4" w:themeFillTint="66"/>
            <w:vAlign w:val="center"/>
          </w:tcPr>
          <w:p w14:paraId="474FFF6D" w14:textId="77777777" w:rsidR="00C54BC9" w:rsidRPr="00164238" w:rsidRDefault="00C54BC9" w:rsidP="00682CBF">
            <w:pPr>
              <w:spacing w:after="0" w:line="240" w:lineRule="auto"/>
              <w:jc w:val="right"/>
              <w:rPr>
                <w:rFonts w:ascii="Times New Roman" w:eastAsia="Times New Roman" w:hAnsi="Times New Roman" w:cs="Times New Roman"/>
                <w:b/>
                <w:bCs/>
                <w:color w:val="000000" w:themeColor="text1"/>
                <w:lang w:eastAsia="tr-TR"/>
              </w:rPr>
            </w:pPr>
            <w:r w:rsidRPr="00164238">
              <w:rPr>
                <w:rFonts w:ascii="Times New Roman" w:hAnsi="Times New Roman" w:cs="Times New Roman"/>
                <w:color w:val="000000" w:themeColor="text1"/>
              </w:rPr>
              <w:t xml:space="preserve">-6,18 </w:t>
            </w:r>
          </w:p>
        </w:tc>
      </w:tr>
      <w:tr w:rsidR="00164238" w:rsidRPr="00164238" w14:paraId="792C06AC" w14:textId="77777777" w:rsidTr="00682CBF">
        <w:trPr>
          <w:trHeight w:val="300"/>
        </w:trPr>
        <w:tc>
          <w:tcPr>
            <w:tcW w:w="1331" w:type="dxa"/>
            <w:tcBorders>
              <w:top w:val="nil"/>
              <w:left w:val="single" w:sz="4" w:space="0" w:color="auto"/>
              <w:bottom w:val="single" w:sz="4" w:space="0" w:color="auto"/>
              <w:right w:val="single" w:sz="4" w:space="0" w:color="auto"/>
            </w:tcBorders>
            <w:shd w:val="clear" w:color="000000" w:fill="FFFFFF"/>
            <w:noWrap/>
            <w:vAlign w:val="center"/>
            <w:hideMark/>
          </w:tcPr>
          <w:p w14:paraId="196A715A"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13</w:t>
            </w:r>
          </w:p>
        </w:tc>
        <w:tc>
          <w:tcPr>
            <w:tcW w:w="954" w:type="dxa"/>
            <w:tcBorders>
              <w:top w:val="nil"/>
              <w:left w:val="nil"/>
              <w:bottom w:val="single" w:sz="4" w:space="0" w:color="auto"/>
              <w:right w:val="single" w:sz="4" w:space="0" w:color="auto"/>
            </w:tcBorders>
            <w:shd w:val="clear" w:color="000000" w:fill="FFFFFF"/>
            <w:noWrap/>
            <w:vAlign w:val="center"/>
            <w:hideMark/>
          </w:tcPr>
          <w:p w14:paraId="238B44BE"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79,4</w:t>
            </w:r>
          </w:p>
        </w:tc>
        <w:tc>
          <w:tcPr>
            <w:tcW w:w="955" w:type="dxa"/>
            <w:tcBorders>
              <w:top w:val="nil"/>
              <w:left w:val="nil"/>
              <w:bottom w:val="single" w:sz="4" w:space="0" w:color="auto"/>
              <w:right w:val="single" w:sz="4" w:space="0" w:color="auto"/>
            </w:tcBorders>
            <w:shd w:val="clear" w:color="000000" w:fill="FFFFFF"/>
            <w:noWrap/>
            <w:vAlign w:val="center"/>
            <w:hideMark/>
          </w:tcPr>
          <w:p w14:paraId="30D8E598"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78,8</w:t>
            </w:r>
          </w:p>
        </w:tc>
        <w:tc>
          <w:tcPr>
            <w:tcW w:w="955" w:type="dxa"/>
            <w:tcBorders>
              <w:top w:val="nil"/>
              <w:left w:val="nil"/>
              <w:bottom w:val="single" w:sz="4" w:space="0" w:color="auto"/>
              <w:right w:val="single" w:sz="4" w:space="0" w:color="auto"/>
            </w:tcBorders>
            <w:shd w:val="clear" w:color="auto" w:fill="FFE599" w:themeFill="accent4" w:themeFillTint="66"/>
            <w:noWrap/>
            <w:vAlign w:val="center"/>
            <w:hideMark/>
          </w:tcPr>
          <w:p w14:paraId="0BECD762"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49,4</w:t>
            </w:r>
          </w:p>
        </w:tc>
        <w:tc>
          <w:tcPr>
            <w:tcW w:w="955" w:type="dxa"/>
            <w:tcBorders>
              <w:top w:val="nil"/>
              <w:left w:val="nil"/>
              <w:bottom w:val="single" w:sz="4" w:space="0" w:color="auto"/>
              <w:right w:val="single" w:sz="4" w:space="0" w:color="auto"/>
            </w:tcBorders>
            <w:shd w:val="clear" w:color="000000" w:fill="FFFFFF"/>
            <w:noWrap/>
            <w:vAlign w:val="center"/>
            <w:hideMark/>
          </w:tcPr>
          <w:p w14:paraId="180F71F1"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71,3</w:t>
            </w:r>
          </w:p>
        </w:tc>
        <w:tc>
          <w:tcPr>
            <w:tcW w:w="955" w:type="dxa"/>
            <w:tcBorders>
              <w:top w:val="nil"/>
              <w:left w:val="nil"/>
              <w:bottom w:val="single" w:sz="4" w:space="0" w:color="auto"/>
              <w:right w:val="single" w:sz="4" w:space="0" w:color="auto"/>
            </w:tcBorders>
            <w:shd w:val="clear" w:color="000000" w:fill="FFFFFF"/>
            <w:noWrap/>
            <w:vAlign w:val="center"/>
            <w:hideMark/>
          </w:tcPr>
          <w:p w14:paraId="2392EBE4"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76,7</w:t>
            </w:r>
          </w:p>
        </w:tc>
        <w:tc>
          <w:tcPr>
            <w:tcW w:w="1071" w:type="dxa"/>
            <w:tcBorders>
              <w:top w:val="nil"/>
              <w:left w:val="nil"/>
              <w:bottom w:val="single" w:sz="4" w:space="0" w:color="auto"/>
              <w:right w:val="single" w:sz="4" w:space="0" w:color="auto"/>
            </w:tcBorders>
            <w:shd w:val="clear" w:color="auto" w:fill="FFE599" w:themeFill="accent4" w:themeFillTint="66"/>
            <w:noWrap/>
            <w:vAlign w:val="center"/>
            <w:hideMark/>
          </w:tcPr>
          <w:p w14:paraId="56704C4A"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78,6</w:t>
            </w:r>
          </w:p>
        </w:tc>
        <w:tc>
          <w:tcPr>
            <w:tcW w:w="1071" w:type="dxa"/>
            <w:tcBorders>
              <w:top w:val="nil"/>
              <w:left w:val="nil"/>
              <w:bottom w:val="single" w:sz="4" w:space="0" w:color="auto"/>
              <w:right w:val="single" w:sz="4" w:space="0" w:color="auto"/>
            </w:tcBorders>
            <w:shd w:val="clear" w:color="auto" w:fill="FFE599" w:themeFill="accent4" w:themeFillTint="66"/>
            <w:noWrap/>
            <w:vAlign w:val="center"/>
            <w:hideMark/>
          </w:tcPr>
          <w:p w14:paraId="2D2B9125"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69,0</w:t>
            </w:r>
          </w:p>
        </w:tc>
        <w:tc>
          <w:tcPr>
            <w:tcW w:w="820" w:type="dxa"/>
            <w:tcBorders>
              <w:top w:val="nil"/>
              <w:left w:val="nil"/>
              <w:bottom w:val="single" w:sz="4" w:space="0" w:color="auto"/>
              <w:right w:val="single" w:sz="4" w:space="0" w:color="auto"/>
            </w:tcBorders>
            <w:shd w:val="clear" w:color="auto" w:fill="FFE599" w:themeFill="accent4" w:themeFillTint="66"/>
            <w:vAlign w:val="center"/>
          </w:tcPr>
          <w:p w14:paraId="7B6BFF3F" w14:textId="77777777" w:rsidR="00C54BC9" w:rsidRPr="00164238" w:rsidRDefault="00C54BC9" w:rsidP="00682CBF">
            <w:pPr>
              <w:spacing w:after="0" w:line="240" w:lineRule="auto"/>
              <w:jc w:val="right"/>
              <w:rPr>
                <w:rFonts w:ascii="Times New Roman" w:eastAsia="Times New Roman" w:hAnsi="Times New Roman" w:cs="Times New Roman"/>
                <w:b/>
                <w:bCs/>
                <w:color w:val="000000" w:themeColor="text1"/>
                <w:lang w:eastAsia="tr-TR"/>
              </w:rPr>
            </w:pPr>
            <w:r w:rsidRPr="00164238">
              <w:rPr>
                <w:rFonts w:ascii="Times New Roman" w:hAnsi="Times New Roman" w:cs="Times New Roman"/>
                <w:color w:val="000000" w:themeColor="text1"/>
              </w:rPr>
              <w:t xml:space="preserve">-12,21 </w:t>
            </w:r>
          </w:p>
        </w:tc>
      </w:tr>
      <w:tr w:rsidR="00164238" w:rsidRPr="00164238" w14:paraId="3D4D49E0" w14:textId="77777777" w:rsidTr="00682CBF">
        <w:trPr>
          <w:trHeight w:val="300"/>
        </w:trPr>
        <w:tc>
          <w:tcPr>
            <w:tcW w:w="1331" w:type="dxa"/>
            <w:tcBorders>
              <w:top w:val="nil"/>
              <w:left w:val="single" w:sz="4" w:space="0" w:color="auto"/>
              <w:bottom w:val="single" w:sz="4" w:space="0" w:color="auto"/>
              <w:right w:val="single" w:sz="4" w:space="0" w:color="auto"/>
            </w:tcBorders>
            <w:shd w:val="clear" w:color="000000" w:fill="FFFFFF"/>
            <w:noWrap/>
            <w:vAlign w:val="center"/>
            <w:hideMark/>
          </w:tcPr>
          <w:p w14:paraId="2908FF2E"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14</w:t>
            </w:r>
          </w:p>
        </w:tc>
        <w:tc>
          <w:tcPr>
            <w:tcW w:w="954" w:type="dxa"/>
            <w:tcBorders>
              <w:top w:val="nil"/>
              <w:left w:val="nil"/>
              <w:bottom w:val="single" w:sz="4" w:space="0" w:color="auto"/>
              <w:right w:val="single" w:sz="4" w:space="0" w:color="auto"/>
            </w:tcBorders>
            <w:shd w:val="clear" w:color="000000" w:fill="FFFFFF"/>
            <w:noWrap/>
            <w:vAlign w:val="center"/>
            <w:hideMark/>
          </w:tcPr>
          <w:p w14:paraId="59324394"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84,8</w:t>
            </w:r>
          </w:p>
        </w:tc>
        <w:tc>
          <w:tcPr>
            <w:tcW w:w="955" w:type="dxa"/>
            <w:tcBorders>
              <w:top w:val="nil"/>
              <w:left w:val="nil"/>
              <w:bottom w:val="single" w:sz="4" w:space="0" w:color="auto"/>
              <w:right w:val="single" w:sz="4" w:space="0" w:color="auto"/>
            </w:tcBorders>
            <w:shd w:val="clear" w:color="000000" w:fill="FFFFFF"/>
            <w:noWrap/>
            <w:vAlign w:val="center"/>
            <w:hideMark/>
          </w:tcPr>
          <w:p w14:paraId="7857639F"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84,3</w:t>
            </w:r>
          </w:p>
        </w:tc>
        <w:tc>
          <w:tcPr>
            <w:tcW w:w="955" w:type="dxa"/>
            <w:tcBorders>
              <w:top w:val="nil"/>
              <w:left w:val="nil"/>
              <w:bottom w:val="single" w:sz="4" w:space="0" w:color="auto"/>
              <w:right w:val="single" w:sz="4" w:space="0" w:color="auto"/>
            </w:tcBorders>
            <w:shd w:val="clear" w:color="auto" w:fill="FFE599" w:themeFill="accent4" w:themeFillTint="66"/>
            <w:noWrap/>
            <w:vAlign w:val="center"/>
            <w:hideMark/>
          </w:tcPr>
          <w:p w14:paraId="4B95C951"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44,4</w:t>
            </w:r>
          </w:p>
        </w:tc>
        <w:tc>
          <w:tcPr>
            <w:tcW w:w="955" w:type="dxa"/>
            <w:tcBorders>
              <w:top w:val="nil"/>
              <w:left w:val="nil"/>
              <w:bottom w:val="single" w:sz="4" w:space="0" w:color="auto"/>
              <w:right w:val="single" w:sz="4" w:space="0" w:color="auto"/>
            </w:tcBorders>
            <w:shd w:val="clear" w:color="000000" w:fill="FFFFFF"/>
            <w:noWrap/>
            <w:vAlign w:val="center"/>
            <w:hideMark/>
          </w:tcPr>
          <w:p w14:paraId="4C58FA52"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67,0</w:t>
            </w:r>
          </w:p>
        </w:tc>
        <w:tc>
          <w:tcPr>
            <w:tcW w:w="955" w:type="dxa"/>
            <w:tcBorders>
              <w:top w:val="nil"/>
              <w:left w:val="nil"/>
              <w:bottom w:val="single" w:sz="4" w:space="0" w:color="auto"/>
              <w:right w:val="single" w:sz="4" w:space="0" w:color="auto"/>
            </w:tcBorders>
            <w:shd w:val="clear" w:color="000000" w:fill="FFFFFF"/>
            <w:noWrap/>
            <w:vAlign w:val="center"/>
            <w:hideMark/>
          </w:tcPr>
          <w:p w14:paraId="0C880A16"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72,2</w:t>
            </w:r>
          </w:p>
        </w:tc>
        <w:tc>
          <w:tcPr>
            <w:tcW w:w="1071" w:type="dxa"/>
            <w:tcBorders>
              <w:top w:val="nil"/>
              <w:left w:val="nil"/>
              <w:bottom w:val="single" w:sz="4" w:space="0" w:color="auto"/>
              <w:right w:val="single" w:sz="4" w:space="0" w:color="auto"/>
            </w:tcBorders>
            <w:shd w:val="clear" w:color="auto" w:fill="FFE599" w:themeFill="accent4" w:themeFillTint="66"/>
            <w:noWrap/>
            <w:vAlign w:val="center"/>
            <w:hideMark/>
          </w:tcPr>
          <w:p w14:paraId="59F7AFDA"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83,8</w:t>
            </w:r>
          </w:p>
        </w:tc>
        <w:tc>
          <w:tcPr>
            <w:tcW w:w="1071" w:type="dxa"/>
            <w:tcBorders>
              <w:top w:val="nil"/>
              <w:left w:val="nil"/>
              <w:bottom w:val="single" w:sz="4" w:space="0" w:color="auto"/>
              <w:right w:val="single" w:sz="4" w:space="0" w:color="auto"/>
            </w:tcBorders>
            <w:shd w:val="clear" w:color="auto" w:fill="FFE599" w:themeFill="accent4" w:themeFillTint="66"/>
            <w:noWrap/>
            <w:vAlign w:val="center"/>
            <w:hideMark/>
          </w:tcPr>
          <w:p w14:paraId="0E223170"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67,0</w:t>
            </w:r>
          </w:p>
        </w:tc>
        <w:tc>
          <w:tcPr>
            <w:tcW w:w="820" w:type="dxa"/>
            <w:tcBorders>
              <w:top w:val="nil"/>
              <w:left w:val="nil"/>
              <w:bottom w:val="single" w:sz="4" w:space="0" w:color="auto"/>
              <w:right w:val="single" w:sz="4" w:space="0" w:color="auto"/>
            </w:tcBorders>
            <w:shd w:val="clear" w:color="auto" w:fill="FFE599" w:themeFill="accent4" w:themeFillTint="66"/>
            <w:vAlign w:val="center"/>
          </w:tcPr>
          <w:p w14:paraId="50CF5719" w14:textId="77777777" w:rsidR="00C54BC9" w:rsidRPr="00164238" w:rsidRDefault="00C54BC9" w:rsidP="00682CBF">
            <w:pPr>
              <w:spacing w:after="0" w:line="240" w:lineRule="auto"/>
              <w:jc w:val="right"/>
              <w:rPr>
                <w:rFonts w:ascii="Times New Roman" w:eastAsia="Times New Roman" w:hAnsi="Times New Roman" w:cs="Times New Roman"/>
                <w:b/>
                <w:bCs/>
                <w:color w:val="000000" w:themeColor="text1"/>
                <w:lang w:eastAsia="tr-TR"/>
              </w:rPr>
            </w:pPr>
            <w:r w:rsidRPr="00164238">
              <w:rPr>
                <w:rFonts w:ascii="Times New Roman" w:hAnsi="Times New Roman" w:cs="Times New Roman"/>
                <w:color w:val="000000" w:themeColor="text1"/>
              </w:rPr>
              <w:t xml:space="preserve">-20,05 </w:t>
            </w:r>
          </w:p>
        </w:tc>
      </w:tr>
      <w:tr w:rsidR="00164238" w:rsidRPr="00164238" w14:paraId="2F7B796F" w14:textId="77777777" w:rsidTr="00682CBF">
        <w:trPr>
          <w:trHeight w:val="300"/>
        </w:trPr>
        <w:tc>
          <w:tcPr>
            <w:tcW w:w="1331" w:type="dxa"/>
            <w:tcBorders>
              <w:top w:val="nil"/>
              <w:left w:val="single" w:sz="4" w:space="0" w:color="auto"/>
              <w:bottom w:val="single" w:sz="4" w:space="0" w:color="auto"/>
              <w:right w:val="single" w:sz="4" w:space="0" w:color="auto"/>
            </w:tcBorders>
            <w:shd w:val="clear" w:color="000000" w:fill="FFFFFF"/>
            <w:noWrap/>
            <w:vAlign w:val="center"/>
            <w:hideMark/>
          </w:tcPr>
          <w:p w14:paraId="5917F083"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15</w:t>
            </w:r>
          </w:p>
        </w:tc>
        <w:tc>
          <w:tcPr>
            <w:tcW w:w="954" w:type="dxa"/>
            <w:tcBorders>
              <w:top w:val="nil"/>
              <w:left w:val="nil"/>
              <w:bottom w:val="single" w:sz="4" w:space="0" w:color="auto"/>
              <w:right w:val="single" w:sz="4" w:space="0" w:color="auto"/>
            </w:tcBorders>
            <w:shd w:val="clear" w:color="000000" w:fill="FFFFFF"/>
            <w:noWrap/>
            <w:vAlign w:val="center"/>
            <w:hideMark/>
          </w:tcPr>
          <w:p w14:paraId="0672BF24"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63,3</w:t>
            </w:r>
          </w:p>
        </w:tc>
        <w:tc>
          <w:tcPr>
            <w:tcW w:w="955" w:type="dxa"/>
            <w:tcBorders>
              <w:top w:val="nil"/>
              <w:left w:val="nil"/>
              <w:bottom w:val="single" w:sz="4" w:space="0" w:color="auto"/>
              <w:right w:val="single" w:sz="4" w:space="0" w:color="auto"/>
            </w:tcBorders>
            <w:shd w:val="clear" w:color="000000" w:fill="FFFFFF"/>
            <w:noWrap/>
            <w:vAlign w:val="center"/>
            <w:hideMark/>
          </w:tcPr>
          <w:p w14:paraId="7B1B6A9E"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65,2</w:t>
            </w:r>
          </w:p>
        </w:tc>
        <w:tc>
          <w:tcPr>
            <w:tcW w:w="955" w:type="dxa"/>
            <w:tcBorders>
              <w:top w:val="nil"/>
              <w:left w:val="nil"/>
              <w:bottom w:val="single" w:sz="4" w:space="0" w:color="auto"/>
              <w:right w:val="single" w:sz="4" w:space="0" w:color="auto"/>
            </w:tcBorders>
            <w:shd w:val="clear" w:color="auto" w:fill="FFE599" w:themeFill="accent4" w:themeFillTint="66"/>
            <w:noWrap/>
            <w:vAlign w:val="center"/>
            <w:hideMark/>
          </w:tcPr>
          <w:p w14:paraId="65D6257C"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38,8</w:t>
            </w:r>
          </w:p>
        </w:tc>
        <w:tc>
          <w:tcPr>
            <w:tcW w:w="955" w:type="dxa"/>
            <w:tcBorders>
              <w:top w:val="nil"/>
              <w:left w:val="nil"/>
              <w:bottom w:val="single" w:sz="4" w:space="0" w:color="auto"/>
              <w:right w:val="single" w:sz="4" w:space="0" w:color="auto"/>
            </w:tcBorders>
            <w:shd w:val="clear" w:color="000000" w:fill="FFFFFF"/>
            <w:noWrap/>
            <w:vAlign w:val="center"/>
            <w:hideMark/>
          </w:tcPr>
          <w:p w14:paraId="6368EA13"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56,4</w:t>
            </w:r>
          </w:p>
        </w:tc>
        <w:tc>
          <w:tcPr>
            <w:tcW w:w="955" w:type="dxa"/>
            <w:tcBorders>
              <w:top w:val="nil"/>
              <w:left w:val="nil"/>
              <w:bottom w:val="single" w:sz="4" w:space="0" w:color="auto"/>
              <w:right w:val="single" w:sz="4" w:space="0" w:color="auto"/>
            </w:tcBorders>
            <w:shd w:val="clear" w:color="000000" w:fill="FFFFFF"/>
            <w:noWrap/>
            <w:vAlign w:val="center"/>
            <w:hideMark/>
          </w:tcPr>
          <w:p w14:paraId="4AE8C78C"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60,5</w:t>
            </w:r>
          </w:p>
        </w:tc>
        <w:tc>
          <w:tcPr>
            <w:tcW w:w="1071" w:type="dxa"/>
            <w:tcBorders>
              <w:top w:val="nil"/>
              <w:left w:val="nil"/>
              <w:bottom w:val="single" w:sz="4" w:space="0" w:color="auto"/>
              <w:right w:val="single" w:sz="4" w:space="0" w:color="auto"/>
            </w:tcBorders>
            <w:shd w:val="clear" w:color="auto" w:fill="FFE599" w:themeFill="accent4" w:themeFillTint="66"/>
            <w:noWrap/>
            <w:vAlign w:val="center"/>
            <w:hideMark/>
          </w:tcPr>
          <w:p w14:paraId="5F3C2E3C"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61,5</w:t>
            </w:r>
          </w:p>
        </w:tc>
        <w:tc>
          <w:tcPr>
            <w:tcW w:w="1071" w:type="dxa"/>
            <w:tcBorders>
              <w:top w:val="nil"/>
              <w:left w:val="nil"/>
              <w:bottom w:val="single" w:sz="4" w:space="0" w:color="auto"/>
              <w:right w:val="single" w:sz="4" w:space="0" w:color="auto"/>
            </w:tcBorders>
            <w:shd w:val="clear" w:color="auto" w:fill="FFE599" w:themeFill="accent4" w:themeFillTint="66"/>
            <w:noWrap/>
            <w:vAlign w:val="center"/>
            <w:hideMark/>
          </w:tcPr>
          <w:p w14:paraId="22C68E9D"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55,2</w:t>
            </w:r>
          </w:p>
        </w:tc>
        <w:tc>
          <w:tcPr>
            <w:tcW w:w="820" w:type="dxa"/>
            <w:tcBorders>
              <w:top w:val="nil"/>
              <w:left w:val="nil"/>
              <w:bottom w:val="single" w:sz="4" w:space="0" w:color="auto"/>
              <w:right w:val="single" w:sz="4" w:space="0" w:color="auto"/>
            </w:tcBorders>
            <w:shd w:val="clear" w:color="auto" w:fill="FFE599" w:themeFill="accent4" w:themeFillTint="66"/>
            <w:vAlign w:val="center"/>
          </w:tcPr>
          <w:p w14:paraId="3659D635" w14:textId="77777777" w:rsidR="00C54BC9" w:rsidRPr="00164238" w:rsidRDefault="00C54BC9" w:rsidP="00682CBF">
            <w:pPr>
              <w:spacing w:after="0" w:line="240" w:lineRule="auto"/>
              <w:jc w:val="right"/>
              <w:rPr>
                <w:rFonts w:ascii="Times New Roman" w:eastAsia="Times New Roman" w:hAnsi="Times New Roman" w:cs="Times New Roman"/>
                <w:b/>
                <w:bCs/>
                <w:color w:val="000000" w:themeColor="text1"/>
                <w:lang w:eastAsia="tr-TR"/>
              </w:rPr>
            </w:pPr>
            <w:r w:rsidRPr="00164238">
              <w:rPr>
                <w:rFonts w:ascii="Times New Roman" w:hAnsi="Times New Roman" w:cs="Times New Roman"/>
                <w:color w:val="000000" w:themeColor="text1"/>
              </w:rPr>
              <w:t xml:space="preserve">-10,24 </w:t>
            </w:r>
          </w:p>
        </w:tc>
      </w:tr>
      <w:tr w:rsidR="00164238" w:rsidRPr="00164238" w14:paraId="26CA6324" w14:textId="77777777" w:rsidTr="00682CBF">
        <w:trPr>
          <w:trHeight w:val="300"/>
        </w:trPr>
        <w:tc>
          <w:tcPr>
            <w:tcW w:w="1331" w:type="dxa"/>
            <w:tcBorders>
              <w:top w:val="nil"/>
              <w:left w:val="single" w:sz="4" w:space="0" w:color="auto"/>
              <w:bottom w:val="single" w:sz="4" w:space="0" w:color="auto"/>
              <w:right w:val="single" w:sz="4" w:space="0" w:color="auto"/>
            </w:tcBorders>
            <w:shd w:val="clear" w:color="000000" w:fill="FFFFFF"/>
            <w:noWrap/>
            <w:vAlign w:val="center"/>
            <w:hideMark/>
          </w:tcPr>
          <w:p w14:paraId="2EEE6A6C"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16</w:t>
            </w:r>
          </w:p>
        </w:tc>
        <w:tc>
          <w:tcPr>
            <w:tcW w:w="954" w:type="dxa"/>
            <w:tcBorders>
              <w:top w:val="nil"/>
              <w:left w:val="nil"/>
              <w:bottom w:val="single" w:sz="4" w:space="0" w:color="auto"/>
              <w:right w:val="single" w:sz="4" w:space="0" w:color="auto"/>
            </w:tcBorders>
            <w:shd w:val="clear" w:color="000000" w:fill="FFFFFF"/>
            <w:noWrap/>
            <w:vAlign w:val="center"/>
            <w:hideMark/>
          </w:tcPr>
          <w:p w14:paraId="0B757593"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79,1</w:t>
            </w:r>
          </w:p>
        </w:tc>
        <w:tc>
          <w:tcPr>
            <w:tcW w:w="955" w:type="dxa"/>
            <w:tcBorders>
              <w:top w:val="nil"/>
              <w:left w:val="nil"/>
              <w:bottom w:val="single" w:sz="4" w:space="0" w:color="auto"/>
              <w:right w:val="single" w:sz="4" w:space="0" w:color="auto"/>
            </w:tcBorders>
            <w:shd w:val="clear" w:color="000000" w:fill="FFFFFF"/>
            <w:noWrap/>
            <w:vAlign w:val="center"/>
            <w:hideMark/>
          </w:tcPr>
          <w:p w14:paraId="342C2EB1"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81,6</w:t>
            </w:r>
          </w:p>
        </w:tc>
        <w:tc>
          <w:tcPr>
            <w:tcW w:w="955" w:type="dxa"/>
            <w:tcBorders>
              <w:top w:val="nil"/>
              <w:left w:val="nil"/>
              <w:bottom w:val="single" w:sz="4" w:space="0" w:color="auto"/>
              <w:right w:val="single" w:sz="4" w:space="0" w:color="auto"/>
            </w:tcBorders>
            <w:shd w:val="clear" w:color="auto" w:fill="FFE599" w:themeFill="accent4" w:themeFillTint="66"/>
            <w:noWrap/>
            <w:vAlign w:val="center"/>
            <w:hideMark/>
          </w:tcPr>
          <w:p w14:paraId="1E080F2D"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72,1</w:t>
            </w:r>
          </w:p>
        </w:tc>
        <w:tc>
          <w:tcPr>
            <w:tcW w:w="955" w:type="dxa"/>
            <w:tcBorders>
              <w:top w:val="nil"/>
              <w:left w:val="nil"/>
              <w:bottom w:val="single" w:sz="4" w:space="0" w:color="auto"/>
              <w:right w:val="single" w:sz="4" w:space="0" w:color="auto"/>
            </w:tcBorders>
            <w:shd w:val="clear" w:color="000000" w:fill="FFFFFF"/>
            <w:noWrap/>
            <w:vAlign w:val="center"/>
            <w:hideMark/>
          </w:tcPr>
          <w:p w14:paraId="363AE0C7"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82,4</w:t>
            </w:r>
          </w:p>
        </w:tc>
        <w:tc>
          <w:tcPr>
            <w:tcW w:w="955" w:type="dxa"/>
            <w:tcBorders>
              <w:top w:val="nil"/>
              <w:left w:val="nil"/>
              <w:bottom w:val="single" w:sz="4" w:space="0" w:color="auto"/>
              <w:right w:val="single" w:sz="4" w:space="0" w:color="auto"/>
            </w:tcBorders>
            <w:shd w:val="clear" w:color="000000" w:fill="FFFFFF"/>
            <w:noWrap/>
            <w:vAlign w:val="center"/>
            <w:hideMark/>
          </w:tcPr>
          <w:p w14:paraId="0BCE0B50"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83,1</w:t>
            </w:r>
          </w:p>
        </w:tc>
        <w:tc>
          <w:tcPr>
            <w:tcW w:w="1071" w:type="dxa"/>
            <w:tcBorders>
              <w:top w:val="nil"/>
              <w:left w:val="nil"/>
              <w:bottom w:val="single" w:sz="4" w:space="0" w:color="auto"/>
              <w:right w:val="single" w:sz="4" w:space="0" w:color="auto"/>
            </w:tcBorders>
            <w:shd w:val="clear" w:color="auto" w:fill="FFF2CC" w:themeFill="accent4" w:themeFillTint="33"/>
            <w:noWrap/>
            <w:vAlign w:val="center"/>
            <w:hideMark/>
          </w:tcPr>
          <w:p w14:paraId="7A94A771"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74,4</w:t>
            </w:r>
          </w:p>
        </w:tc>
        <w:tc>
          <w:tcPr>
            <w:tcW w:w="1071" w:type="dxa"/>
            <w:tcBorders>
              <w:top w:val="nil"/>
              <w:left w:val="nil"/>
              <w:bottom w:val="single" w:sz="4" w:space="0" w:color="auto"/>
              <w:right w:val="single" w:sz="4" w:space="0" w:color="auto"/>
            </w:tcBorders>
            <w:shd w:val="clear" w:color="auto" w:fill="FFF2CC" w:themeFill="accent4" w:themeFillTint="33"/>
            <w:noWrap/>
            <w:vAlign w:val="center"/>
            <w:hideMark/>
          </w:tcPr>
          <w:p w14:paraId="33E8A0C6"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79,8</w:t>
            </w:r>
          </w:p>
        </w:tc>
        <w:tc>
          <w:tcPr>
            <w:tcW w:w="820" w:type="dxa"/>
            <w:tcBorders>
              <w:top w:val="nil"/>
              <w:left w:val="nil"/>
              <w:bottom w:val="single" w:sz="4" w:space="0" w:color="auto"/>
              <w:right w:val="single" w:sz="4" w:space="0" w:color="auto"/>
            </w:tcBorders>
            <w:shd w:val="clear" w:color="auto" w:fill="FFF2CC" w:themeFill="accent4" w:themeFillTint="33"/>
            <w:vAlign w:val="center"/>
          </w:tcPr>
          <w:p w14:paraId="7E6C962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7,26 </w:t>
            </w:r>
          </w:p>
        </w:tc>
      </w:tr>
      <w:tr w:rsidR="00164238" w:rsidRPr="00164238" w14:paraId="26643F31" w14:textId="77777777" w:rsidTr="00682CBF">
        <w:trPr>
          <w:trHeight w:val="300"/>
        </w:trPr>
        <w:tc>
          <w:tcPr>
            <w:tcW w:w="1331" w:type="dxa"/>
            <w:tcBorders>
              <w:top w:val="nil"/>
              <w:left w:val="single" w:sz="4" w:space="0" w:color="auto"/>
              <w:bottom w:val="single" w:sz="4" w:space="0" w:color="auto"/>
              <w:right w:val="single" w:sz="4" w:space="0" w:color="auto"/>
            </w:tcBorders>
            <w:shd w:val="clear" w:color="000000" w:fill="FFFFFF"/>
            <w:noWrap/>
            <w:vAlign w:val="center"/>
            <w:hideMark/>
          </w:tcPr>
          <w:p w14:paraId="3D4A1C71"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lastRenderedPageBreak/>
              <w:t>17</w:t>
            </w:r>
          </w:p>
        </w:tc>
        <w:tc>
          <w:tcPr>
            <w:tcW w:w="954" w:type="dxa"/>
            <w:tcBorders>
              <w:top w:val="nil"/>
              <w:left w:val="nil"/>
              <w:bottom w:val="single" w:sz="4" w:space="0" w:color="auto"/>
              <w:right w:val="single" w:sz="4" w:space="0" w:color="auto"/>
            </w:tcBorders>
            <w:shd w:val="clear" w:color="000000" w:fill="FFFFFF"/>
            <w:noWrap/>
            <w:vAlign w:val="center"/>
            <w:hideMark/>
          </w:tcPr>
          <w:p w14:paraId="5F31F603"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84,9</w:t>
            </w:r>
          </w:p>
        </w:tc>
        <w:tc>
          <w:tcPr>
            <w:tcW w:w="955" w:type="dxa"/>
            <w:tcBorders>
              <w:top w:val="nil"/>
              <w:left w:val="nil"/>
              <w:bottom w:val="single" w:sz="4" w:space="0" w:color="auto"/>
              <w:right w:val="single" w:sz="4" w:space="0" w:color="auto"/>
            </w:tcBorders>
            <w:shd w:val="clear" w:color="000000" w:fill="FFFFFF"/>
            <w:noWrap/>
            <w:vAlign w:val="center"/>
            <w:hideMark/>
          </w:tcPr>
          <w:p w14:paraId="1AB7BE90"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83,7</w:t>
            </w:r>
          </w:p>
        </w:tc>
        <w:tc>
          <w:tcPr>
            <w:tcW w:w="955" w:type="dxa"/>
            <w:tcBorders>
              <w:top w:val="nil"/>
              <w:left w:val="nil"/>
              <w:bottom w:val="single" w:sz="4" w:space="0" w:color="auto"/>
              <w:right w:val="single" w:sz="4" w:space="0" w:color="auto"/>
            </w:tcBorders>
            <w:shd w:val="clear" w:color="000000" w:fill="FFFFFF"/>
            <w:noWrap/>
            <w:vAlign w:val="center"/>
            <w:hideMark/>
          </w:tcPr>
          <w:p w14:paraId="16165C41"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84,7</w:t>
            </w:r>
          </w:p>
        </w:tc>
        <w:tc>
          <w:tcPr>
            <w:tcW w:w="955" w:type="dxa"/>
            <w:tcBorders>
              <w:top w:val="nil"/>
              <w:left w:val="nil"/>
              <w:bottom w:val="single" w:sz="4" w:space="0" w:color="auto"/>
              <w:right w:val="single" w:sz="4" w:space="0" w:color="auto"/>
            </w:tcBorders>
            <w:shd w:val="clear" w:color="000000" w:fill="FFFFFF"/>
            <w:noWrap/>
            <w:vAlign w:val="center"/>
            <w:hideMark/>
          </w:tcPr>
          <w:p w14:paraId="72DDD718"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82,2</w:t>
            </w:r>
          </w:p>
        </w:tc>
        <w:tc>
          <w:tcPr>
            <w:tcW w:w="955" w:type="dxa"/>
            <w:tcBorders>
              <w:top w:val="nil"/>
              <w:left w:val="nil"/>
              <w:bottom w:val="single" w:sz="4" w:space="0" w:color="auto"/>
              <w:right w:val="single" w:sz="4" w:space="0" w:color="auto"/>
            </w:tcBorders>
            <w:shd w:val="clear" w:color="000000" w:fill="FFFFFF"/>
            <w:noWrap/>
            <w:vAlign w:val="center"/>
            <w:hideMark/>
          </w:tcPr>
          <w:p w14:paraId="43919760"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83,4</w:t>
            </w:r>
          </w:p>
        </w:tc>
        <w:tc>
          <w:tcPr>
            <w:tcW w:w="1071" w:type="dxa"/>
            <w:tcBorders>
              <w:top w:val="nil"/>
              <w:left w:val="nil"/>
              <w:bottom w:val="single" w:sz="4" w:space="0" w:color="auto"/>
              <w:right w:val="single" w:sz="4" w:space="0" w:color="auto"/>
            </w:tcBorders>
            <w:shd w:val="clear" w:color="auto" w:fill="FFF2CC" w:themeFill="accent4" w:themeFillTint="33"/>
            <w:noWrap/>
            <w:vAlign w:val="center"/>
            <w:hideMark/>
          </w:tcPr>
          <w:p w14:paraId="436907D4"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82,3</w:t>
            </w:r>
          </w:p>
        </w:tc>
        <w:tc>
          <w:tcPr>
            <w:tcW w:w="1071" w:type="dxa"/>
            <w:tcBorders>
              <w:top w:val="nil"/>
              <w:left w:val="nil"/>
              <w:bottom w:val="single" w:sz="4" w:space="0" w:color="auto"/>
              <w:right w:val="single" w:sz="4" w:space="0" w:color="auto"/>
            </w:tcBorders>
            <w:shd w:val="clear" w:color="auto" w:fill="FFF2CC" w:themeFill="accent4" w:themeFillTint="33"/>
            <w:noWrap/>
            <w:vAlign w:val="center"/>
            <w:hideMark/>
          </w:tcPr>
          <w:p w14:paraId="2F5E3492"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83,5</w:t>
            </w:r>
          </w:p>
        </w:tc>
        <w:tc>
          <w:tcPr>
            <w:tcW w:w="820" w:type="dxa"/>
            <w:tcBorders>
              <w:top w:val="nil"/>
              <w:left w:val="nil"/>
              <w:bottom w:val="single" w:sz="4" w:space="0" w:color="auto"/>
              <w:right w:val="single" w:sz="4" w:space="0" w:color="auto"/>
            </w:tcBorders>
            <w:shd w:val="clear" w:color="auto" w:fill="FFF2CC" w:themeFill="accent4" w:themeFillTint="33"/>
            <w:vAlign w:val="center"/>
          </w:tcPr>
          <w:p w14:paraId="4C1395B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1,46 </w:t>
            </w:r>
          </w:p>
        </w:tc>
      </w:tr>
      <w:tr w:rsidR="00164238" w:rsidRPr="00164238" w14:paraId="2C278603" w14:textId="77777777" w:rsidTr="00682CBF">
        <w:trPr>
          <w:trHeight w:val="300"/>
        </w:trPr>
        <w:tc>
          <w:tcPr>
            <w:tcW w:w="1331" w:type="dxa"/>
            <w:tcBorders>
              <w:top w:val="nil"/>
              <w:left w:val="single" w:sz="4" w:space="0" w:color="auto"/>
              <w:bottom w:val="single" w:sz="4" w:space="0" w:color="auto"/>
              <w:right w:val="single" w:sz="4" w:space="0" w:color="auto"/>
            </w:tcBorders>
            <w:shd w:val="clear" w:color="000000" w:fill="FFFFFF"/>
            <w:noWrap/>
            <w:vAlign w:val="center"/>
            <w:hideMark/>
          </w:tcPr>
          <w:p w14:paraId="6ED8F1DF"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18</w:t>
            </w:r>
          </w:p>
        </w:tc>
        <w:tc>
          <w:tcPr>
            <w:tcW w:w="954" w:type="dxa"/>
            <w:tcBorders>
              <w:top w:val="nil"/>
              <w:left w:val="nil"/>
              <w:bottom w:val="single" w:sz="4" w:space="0" w:color="auto"/>
              <w:right w:val="single" w:sz="4" w:space="0" w:color="auto"/>
            </w:tcBorders>
            <w:shd w:val="clear" w:color="000000" w:fill="FFFFFF"/>
            <w:noWrap/>
            <w:vAlign w:val="center"/>
            <w:hideMark/>
          </w:tcPr>
          <w:p w14:paraId="13C3E543"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66,6</w:t>
            </w:r>
          </w:p>
        </w:tc>
        <w:tc>
          <w:tcPr>
            <w:tcW w:w="955" w:type="dxa"/>
            <w:tcBorders>
              <w:top w:val="nil"/>
              <w:left w:val="nil"/>
              <w:bottom w:val="single" w:sz="4" w:space="0" w:color="auto"/>
              <w:right w:val="single" w:sz="4" w:space="0" w:color="auto"/>
            </w:tcBorders>
            <w:shd w:val="clear" w:color="000000" w:fill="FFFFFF"/>
            <w:noWrap/>
            <w:vAlign w:val="center"/>
            <w:hideMark/>
          </w:tcPr>
          <w:p w14:paraId="5D3EE885"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65,7</w:t>
            </w:r>
          </w:p>
        </w:tc>
        <w:tc>
          <w:tcPr>
            <w:tcW w:w="955" w:type="dxa"/>
            <w:tcBorders>
              <w:top w:val="nil"/>
              <w:left w:val="nil"/>
              <w:bottom w:val="single" w:sz="4" w:space="0" w:color="auto"/>
              <w:right w:val="single" w:sz="4" w:space="0" w:color="auto"/>
            </w:tcBorders>
            <w:shd w:val="clear" w:color="000000" w:fill="FFFFFF"/>
            <w:noWrap/>
            <w:vAlign w:val="center"/>
            <w:hideMark/>
          </w:tcPr>
          <w:p w14:paraId="516B2476"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65,8</w:t>
            </w:r>
          </w:p>
        </w:tc>
        <w:tc>
          <w:tcPr>
            <w:tcW w:w="955" w:type="dxa"/>
            <w:tcBorders>
              <w:top w:val="nil"/>
              <w:left w:val="nil"/>
              <w:bottom w:val="single" w:sz="4" w:space="0" w:color="auto"/>
              <w:right w:val="single" w:sz="4" w:space="0" w:color="auto"/>
            </w:tcBorders>
            <w:shd w:val="clear" w:color="000000" w:fill="FFFFFF"/>
            <w:noWrap/>
            <w:vAlign w:val="center"/>
            <w:hideMark/>
          </w:tcPr>
          <w:p w14:paraId="16629D29"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68,7</w:t>
            </w:r>
          </w:p>
        </w:tc>
        <w:tc>
          <w:tcPr>
            <w:tcW w:w="955" w:type="dxa"/>
            <w:tcBorders>
              <w:top w:val="nil"/>
              <w:left w:val="nil"/>
              <w:bottom w:val="single" w:sz="4" w:space="0" w:color="auto"/>
              <w:right w:val="single" w:sz="4" w:space="0" w:color="auto"/>
            </w:tcBorders>
            <w:shd w:val="clear" w:color="000000" w:fill="FFFFFF"/>
            <w:noWrap/>
            <w:vAlign w:val="center"/>
            <w:hideMark/>
          </w:tcPr>
          <w:p w14:paraId="6033DCA6"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67,4</w:t>
            </w:r>
          </w:p>
        </w:tc>
        <w:tc>
          <w:tcPr>
            <w:tcW w:w="1071" w:type="dxa"/>
            <w:tcBorders>
              <w:top w:val="nil"/>
              <w:left w:val="nil"/>
              <w:bottom w:val="single" w:sz="4" w:space="0" w:color="auto"/>
              <w:right w:val="single" w:sz="4" w:space="0" w:color="auto"/>
            </w:tcBorders>
            <w:shd w:val="clear" w:color="auto" w:fill="FFE599" w:themeFill="accent4" w:themeFillTint="66"/>
            <w:noWrap/>
            <w:vAlign w:val="center"/>
            <w:hideMark/>
          </w:tcPr>
          <w:p w14:paraId="40A4B355"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68,2</w:t>
            </w:r>
          </w:p>
        </w:tc>
        <w:tc>
          <w:tcPr>
            <w:tcW w:w="1071" w:type="dxa"/>
            <w:tcBorders>
              <w:top w:val="nil"/>
              <w:left w:val="nil"/>
              <w:bottom w:val="single" w:sz="4" w:space="0" w:color="auto"/>
              <w:right w:val="single" w:sz="4" w:space="0" w:color="auto"/>
            </w:tcBorders>
            <w:shd w:val="clear" w:color="auto" w:fill="FFE599" w:themeFill="accent4" w:themeFillTint="66"/>
            <w:noWrap/>
            <w:vAlign w:val="center"/>
            <w:hideMark/>
          </w:tcPr>
          <w:p w14:paraId="0980945B"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66,9</w:t>
            </w:r>
          </w:p>
        </w:tc>
        <w:tc>
          <w:tcPr>
            <w:tcW w:w="820" w:type="dxa"/>
            <w:tcBorders>
              <w:top w:val="nil"/>
              <w:left w:val="nil"/>
              <w:bottom w:val="single" w:sz="4" w:space="0" w:color="auto"/>
              <w:right w:val="single" w:sz="4" w:space="0" w:color="auto"/>
            </w:tcBorders>
            <w:shd w:val="clear" w:color="auto" w:fill="FFE599" w:themeFill="accent4" w:themeFillTint="66"/>
            <w:vAlign w:val="center"/>
          </w:tcPr>
          <w:p w14:paraId="24C81DAF" w14:textId="77777777" w:rsidR="00C54BC9" w:rsidRPr="00164238" w:rsidRDefault="00C54BC9" w:rsidP="00682CBF">
            <w:pPr>
              <w:spacing w:after="0" w:line="240" w:lineRule="auto"/>
              <w:jc w:val="right"/>
              <w:rPr>
                <w:rFonts w:ascii="Times New Roman" w:eastAsia="Times New Roman" w:hAnsi="Times New Roman" w:cs="Times New Roman"/>
                <w:b/>
                <w:bCs/>
                <w:color w:val="000000" w:themeColor="text1"/>
                <w:lang w:eastAsia="tr-TR"/>
              </w:rPr>
            </w:pPr>
            <w:r w:rsidRPr="00164238">
              <w:rPr>
                <w:rFonts w:ascii="Times New Roman" w:hAnsi="Times New Roman" w:cs="Times New Roman"/>
                <w:color w:val="000000" w:themeColor="text1"/>
              </w:rPr>
              <w:t xml:space="preserve">-1,91 </w:t>
            </w:r>
          </w:p>
        </w:tc>
      </w:tr>
      <w:tr w:rsidR="00164238" w:rsidRPr="00164238" w14:paraId="46A58754" w14:textId="77777777" w:rsidTr="00682CBF">
        <w:trPr>
          <w:trHeight w:val="300"/>
        </w:trPr>
        <w:tc>
          <w:tcPr>
            <w:tcW w:w="1331" w:type="dxa"/>
            <w:tcBorders>
              <w:top w:val="nil"/>
              <w:left w:val="single" w:sz="4" w:space="0" w:color="auto"/>
              <w:bottom w:val="single" w:sz="4" w:space="0" w:color="auto"/>
              <w:right w:val="single" w:sz="4" w:space="0" w:color="auto"/>
            </w:tcBorders>
            <w:shd w:val="clear" w:color="000000" w:fill="FFFFFF"/>
            <w:noWrap/>
            <w:vAlign w:val="center"/>
            <w:hideMark/>
          </w:tcPr>
          <w:p w14:paraId="034CE6DA"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19</w:t>
            </w:r>
          </w:p>
        </w:tc>
        <w:tc>
          <w:tcPr>
            <w:tcW w:w="954" w:type="dxa"/>
            <w:tcBorders>
              <w:top w:val="nil"/>
              <w:left w:val="nil"/>
              <w:bottom w:val="single" w:sz="4" w:space="0" w:color="auto"/>
              <w:right w:val="single" w:sz="4" w:space="0" w:color="auto"/>
            </w:tcBorders>
            <w:shd w:val="clear" w:color="000000" w:fill="FFFFFF"/>
            <w:noWrap/>
            <w:vAlign w:val="center"/>
            <w:hideMark/>
          </w:tcPr>
          <w:p w14:paraId="3840F0CB"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na</w:t>
            </w:r>
          </w:p>
        </w:tc>
        <w:tc>
          <w:tcPr>
            <w:tcW w:w="955" w:type="dxa"/>
            <w:tcBorders>
              <w:top w:val="nil"/>
              <w:left w:val="nil"/>
              <w:bottom w:val="single" w:sz="4" w:space="0" w:color="auto"/>
              <w:right w:val="single" w:sz="4" w:space="0" w:color="auto"/>
            </w:tcBorders>
            <w:shd w:val="clear" w:color="000000" w:fill="FFFFFF"/>
            <w:noWrap/>
            <w:vAlign w:val="center"/>
            <w:hideMark/>
          </w:tcPr>
          <w:p w14:paraId="2E626D0C"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na</w:t>
            </w:r>
          </w:p>
        </w:tc>
        <w:tc>
          <w:tcPr>
            <w:tcW w:w="955" w:type="dxa"/>
            <w:tcBorders>
              <w:top w:val="nil"/>
              <w:left w:val="nil"/>
              <w:bottom w:val="single" w:sz="4" w:space="0" w:color="auto"/>
              <w:right w:val="single" w:sz="4" w:space="0" w:color="auto"/>
            </w:tcBorders>
            <w:shd w:val="clear" w:color="000000" w:fill="FFFFFF"/>
            <w:noWrap/>
            <w:vAlign w:val="center"/>
            <w:hideMark/>
          </w:tcPr>
          <w:p w14:paraId="10FE32EA"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na</w:t>
            </w:r>
          </w:p>
        </w:tc>
        <w:tc>
          <w:tcPr>
            <w:tcW w:w="955" w:type="dxa"/>
            <w:tcBorders>
              <w:top w:val="nil"/>
              <w:left w:val="nil"/>
              <w:bottom w:val="single" w:sz="4" w:space="0" w:color="auto"/>
              <w:right w:val="single" w:sz="4" w:space="0" w:color="auto"/>
            </w:tcBorders>
            <w:shd w:val="clear" w:color="000000" w:fill="FFFFFF"/>
            <w:noWrap/>
            <w:vAlign w:val="center"/>
            <w:hideMark/>
          </w:tcPr>
          <w:p w14:paraId="02F3EE6A"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na</w:t>
            </w:r>
          </w:p>
        </w:tc>
        <w:tc>
          <w:tcPr>
            <w:tcW w:w="955" w:type="dxa"/>
            <w:tcBorders>
              <w:top w:val="nil"/>
              <w:left w:val="nil"/>
              <w:bottom w:val="single" w:sz="4" w:space="0" w:color="auto"/>
              <w:right w:val="single" w:sz="4" w:space="0" w:color="auto"/>
            </w:tcBorders>
            <w:shd w:val="clear" w:color="000000" w:fill="FFFFFF"/>
            <w:noWrap/>
            <w:vAlign w:val="center"/>
            <w:hideMark/>
          </w:tcPr>
          <w:p w14:paraId="630DFCD9"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na</w:t>
            </w:r>
          </w:p>
        </w:tc>
        <w:tc>
          <w:tcPr>
            <w:tcW w:w="1071" w:type="dxa"/>
            <w:tcBorders>
              <w:top w:val="nil"/>
              <w:left w:val="nil"/>
              <w:bottom w:val="single" w:sz="4" w:space="0" w:color="auto"/>
              <w:right w:val="single" w:sz="4" w:space="0" w:color="auto"/>
            </w:tcBorders>
            <w:shd w:val="clear" w:color="auto" w:fill="FFE599" w:themeFill="accent4" w:themeFillTint="66"/>
            <w:noWrap/>
            <w:vAlign w:val="center"/>
            <w:hideMark/>
          </w:tcPr>
          <w:p w14:paraId="2AA9EE59"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na</w:t>
            </w:r>
          </w:p>
        </w:tc>
        <w:tc>
          <w:tcPr>
            <w:tcW w:w="1071" w:type="dxa"/>
            <w:tcBorders>
              <w:top w:val="nil"/>
              <w:left w:val="nil"/>
              <w:bottom w:val="single" w:sz="4" w:space="0" w:color="auto"/>
              <w:right w:val="single" w:sz="4" w:space="0" w:color="auto"/>
            </w:tcBorders>
            <w:shd w:val="clear" w:color="auto" w:fill="FFE599" w:themeFill="accent4" w:themeFillTint="66"/>
            <w:noWrap/>
            <w:vAlign w:val="center"/>
            <w:hideMark/>
          </w:tcPr>
          <w:p w14:paraId="54298AD2"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na</w:t>
            </w:r>
          </w:p>
        </w:tc>
        <w:tc>
          <w:tcPr>
            <w:tcW w:w="820" w:type="dxa"/>
            <w:tcBorders>
              <w:top w:val="nil"/>
              <w:left w:val="nil"/>
              <w:bottom w:val="single" w:sz="4" w:space="0" w:color="auto"/>
              <w:right w:val="single" w:sz="4" w:space="0" w:color="auto"/>
            </w:tcBorders>
            <w:shd w:val="clear" w:color="auto" w:fill="FFE599" w:themeFill="accent4" w:themeFillTint="66"/>
            <w:vAlign w:val="center"/>
          </w:tcPr>
          <w:p w14:paraId="58BF86D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na</w:t>
            </w:r>
          </w:p>
        </w:tc>
      </w:tr>
      <w:tr w:rsidR="00164238" w:rsidRPr="00164238" w14:paraId="26D4E870" w14:textId="77777777" w:rsidTr="00682CBF">
        <w:trPr>
          <w:trHeight w:val="300"/>
        </w:trPr>
        <w:tc>
          <w:tcPr>
            <w:tcW w:w="1331" w:type="dxa"/>
            <w:tcBorders>
              <w:top w:val="nil"/>
              <w:left w:val="single" w:sz="4" w:space="0" w:color="auto"/>
              <w:bottom w:val="single" w:sz="4" w:space="0" w:color="auto"/>
              <w:right w:val="single" w:sz="4" w:space="0" w:color="auto"/>
            </w:tcBorders>
            <w:shd w:val="clear" w:color="000000" w:fill="FFFFFF"/>
            <w:noWrap/>
            <w:vAlign w:val="center"/>
            <w:hideMark/>
          </w:tcPr>
          <w:p w14:paraId="57458073"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20</w:t>
            </w:r>
          </w:p>
        </w:tc>
        <w:tc>
          <w:tcPr>
            <w:tcW w:w="954" w:type="dxa"/>
            <w:tcBorders>
              <w:top w:val="nil"/>
              <w:left w:val="nil"/>
              <w:bottom w:val="single" w:sz="4" w:space="0" w:color="auto"/>
              <w:right w:val="single" w:sz="4" w:space="0" w:color="auto"/>
            </w:tcBorders>
            <w:shd w:val="clear" w:color="000000" w:fill="FFFFFF"/>
            <w:noWrap/>
            <w:vAlign w:val="center"/>
            <w:hideMark/>
          </w:tcPr>
          <w:p w14:paraId="205D9AF0"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75,6</w:t>
            </w:r>
          </w:p>
        </w:tc>
        <w:tc>
          <w:tcPr>
            <w:tcW w:w="955" w:type="dxa"/>
            <w:tcBorders>
              <w:top w:val="nil"/>
              <w:left w:val="nil"/>
              <w:bottom w:val="single" w:sz="4" w:space="0" w:color="auto"/>
              <w:right w:val="single" w:sz="4" w:space="0" w:color="auto"/>
            </w:tcBorders>
            <w:shd w:val="clear" w:color="000000" w:fill="FFFFFF"/>
            <w:noWrap/>
            <w:vAlign w:val="center"/>
            <w:hideMark/>
          </w:tcPr>
          <w:p w14:paraId="420DB6E3"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77,2</w:t>
            </w:r>
          </w:p>
        </w:tc>
        <w:tc>
          <w:tcPr>
            <w:tcW w:w="955" w:type="dxa"/>
            <w:tcBorders>
              <w:top w:val="nil"/>
              <w:left w:val="nil"/>
              <w:bottom w:val="single" w:sz="4" w:space="0" w:color="auto"/>
              <w:right w:val="single" w:sz="4" w:space="0" w:color="auto"/>
            </w:tcBorders>
            <w:shd w:val="clear" w:color="auto" w:fill="FFE599" w:themeFill="accent4" w:themeFillTint="66"/>
            <w:noWrap/>
            <w:vAlign w:val="center"/>
            <w:hideMark/>
          </w:tcPr>
          <w:p w14:paraId="232E0A2B"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67,5</w:t>
            </w:r>
          </w:p>
        </w:tc>
        <w:tc>
          <w:tcPr>
            <w:tcW w:w="955" w:type="dxa"/>
            <w:tcBorders>
              <w:top w:val="nil"/>
              <w:left w:val="nil"/>
              <w:bottom w:val="single" w:sz="4" w:space="0" w:color="auto"/>
              <w:right w:val="single" w:sz="4" w:space="0" w:color="auto"/>
            </w:tcBorders>
            <w:shd w:val="clear" w:color="000000" w:fill="FFFFFF"/>
            <w:noWrap/>
            <w:vAlign w:val="center"/>
            <w:hideMark/>
          </w:tcPr>
          <w:p w14:paraId="3848D615"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75,3</w:t>
            </w:r>
          </w:p>
        </w:tc>
        <w:tc>
          <w:tcPr>
            <w:tcW w:w="955" w:type="dxa"/>
            <w:tcBorders>
              <w:top w:val="nil"/>
              <w:left w:val="nil"/>
              <w:bottom w:val="single" w:sz="4" w:space="0" w:color="auto"/>
              <w:right w:val="single" w:sz="4" w:space="0" w:color="auto"/>
            </w:tcBorders>
            <w:shd w:val="clear" w:color="000000" w:fill="FFFFFF"/>
            <w:noWrap/>
            <w:vAlign w:val="center"/>
            <w:hideMark/>
          </w:tcPr>
          <w:p w14:paraId="5D49C1E3"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77,1</w:t>
            </w:r>
          </w:p>
        </w:tc>
        <w:tc>
          <w:tcPr>
            <w:tcW w:w="1071" w:type="dxa"/>
            <w:tcBorders>
              <w:top w:val="nil"/>
              <w:left w:val="nil"/>
              <w:bottom w:val="single" w:sz="4" w:space="0" w:color="auto"/>
              <w:right w:val="single" w:sz="4" w:space="0" w:color="auto"/>
            </w:tcBorders>
            <w:shd w:val="clear" w:color="auto" w:fill="FFE599" w:themeFill="accent4" w:themeFillTint="66"/>
            <w:noWrap/>
            <w:vAlign w:val="center"/>
            <w:hideMark/>
          </w:tcPr>
          <w:p w14:paraId="71A00EA2"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76,4</w:t>
            </w:r>
          </w:p>
        </w:tc>
        <w:tc>
          <w:tcPr>
            <w:tcW w:w="1071" w:type="dxa"/>
            <w:tcBorders>
              <w:top w:val="nil"/>
              <w:left w:val="nil"/>
              <w:bottom w:val="single" w:sz="4" w:space="0" w:color="auto"/>
              <w:right w:val="single" w:sz="4" w:space="0" w:color="auto"/>
            </w:tcBorders>
            <w:shd w:val="clear" w:color="auto" w:fill="FFE599" w:themeFill="accent4" w:themeFillTint="66"/>
            <w:noWrap/>
            <w:vAlign w:val="center"/>
            <w:hideMark/>
          </w:tcPr>
          <w:p w14:paraId="245E4FA5"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74,3</w:t>
            </w:r>
          </w:p>
        </w:tc>
        <w:tc>
          <w:tcPr>
            <w:tcW w:w="820" w:type="dxa"/>
            <w:tcBorders>
              <w:top w:val="nil"/>
              <w:left w:val="nil"/>
              <w:bottom w:val="single" w:sz="4" w:space="0" w:color="auto"/>
              <w:right w:val="single" w:sz="4" w:space="0" w:color="auto"/>
            </w:tcBorders>
            <w:shd w:val="clear" w:color="auto" w:fill="FFE599" w:themeFill="accent4" w:themeFillTint="66"/>
            <w:vAlign w:val="center"/>
          </w:tcPr>
          <w:p w14:paraId="51222AE8" w14:textId="77777777" w:rsidR="00C54BC9" w:rsidRPr="00164238" w:rsidRDefault="00C54BC9" w:rsidP="00682CBF">
            <w:pPr>
              <w:spacing w:after="0" w:line="240" w:lineRule="auto"/>
              <w:jc w:val="right"/>
              <w:rPr>
                <w:rFonts w:ascii="Times New Roman" w:eastAsia="Times New Roman" w:hAnsi="Times New Roman" w:cs="Times New Roman"/>
                <w:b/>
                <w:bCs/>
                <w:color w:val="000000" w:themeColor="text1"/>
                <w:lang w:eastAsia="tr-TR"/>
              </w:rPr>
            </w:pPr>
            <w:r w:rsidRPr="00164238">
              <w:rPr>
                <w:rFonts w:ascii="Times New Roman" w:hAnsi="Times New Roman" w:cs="Times New Roman"/>
                <w:color w:val="000000" w:themeColor="text1"/>
              </w:rPr>
              <w:t xml:space="preserve">-2,75 </w:t>
            </w:r>
          </w:p>
        </w:tc>
      </w:tr>
      <w:tr w:rsidR="00164238" w:rsidRPr="006A4DC2" w14:paraId="64CB5672" w14:textId="77777777" w:rsidTr="00682CBF">
        <w:trPr>
          <w:trHeight w:val="300"/>
        </w:trPr>
        <w:tc>
          <w:tcPr>
            <w:tcW w:w="1331" w:type="dxa"/>
            <w:tcBorders>
              <w:top w:val="nil"/>
              <w:left w:val="single" w:sz="4" w:space="0" w:color="auto"/>
              <w:bottom w:val="single" w:sz="4" w:space="0" w:color="auto"/>
              <w:right w:val="single" w:sz="4" w:space="0" w:color="auto"/>
            </w:tcBorders>
            <w:shd w:val="clear" w:color="000000" w:fill="FFFFFF"/>
            <w:noWrap/>
            <w:vAlign w:val="center"/>
            <w:hideMark/>
          </w:tcPr>
          <w:p w14:paraId="50E5E894"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21</w:t>
            </w:r>
          </w:p>
        </w:tc>
        <w:tc>
          <w:tcPr>
            <w:tcW w:w="954" w:type="dxa"/>
            <w:tcBorders>
              <w:top w:val="nil"/>
              <w:left w:val="nil"/>
              <w:bottom w:val="single" w:sz="4" w:space="0" w:color="auto"/>
              <w:right w:val="single" w:sz="4" w:space="0" w:color="auto"/>
            </w:tcBorders>
            <w:shd w:val="clear" w:color="000000" w:fill="FFFFFF"/>
            <w:noWrap/>
            <w:vAlign w:val="center"/>
            <w:hideMark/>
          </w:tcPr>
          <w:p w14:paraId="1F185214"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71,3</w:t>
            </w:r>
          </w:p>
        </w:tc>
        <w:tc>
          <w:tcPr>
            <w:tcW w:w="955" w:type="dxa"/>
            <w:tcBorders>
              <w:top w:val="nil"/>
              <w:left w:val="nil"/>
              <w:bottom w:val="single" w:sz="4" w:space="0" w:color="auto"/>
              <w:right w:val="single" w:sz="4" w:space="0" w:color="auto"/>
            </w:tcBorders>
            <w:shd w:val="clear" w:color="000000" w:fill="FFFFFF"/>
            <w:noWrap/>
            <w:vAlign w:val="center"/>
            <w:hideMark/>
          </w:tcPr>
          <w:p w14:paraId="03119AB7"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71,6</w:t>
            </w:r>
          </w:p>
        </w:tc>
        <w:tc>
          <w:tcPr>
            <w:tcW w:w="955" w:type="dxa"/>
            <w:tcBorders>
              <w:top w:val="nil"/>
              <w:left w:val="nil"/>
              <w:bottom w:val="single" w:sz="4" w:space="0" w:color="auto"/>
              <w:right w:val="single" w:sz="4" w:space="0" w:color="auto"/>
            </w:tcBorders>
            <w:shd w:val="clear" w:color="000000" w:fill="FFFFFF"/>
            <w:noWrap/>
            <w:vAlign w:val="center"/>
            <w:hideMark/>
          </w:tcPr>
          <w:p w14:paraId="556922F7"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71,4</w:t>
            </w:r>
          </w:p>
        </w:tc>
        <w:tc>
          <w:tcPr>
            <w:tcW w:w="955" w:type="dxa"/>
            <w:tcBorders>
              <w:top w:val="nil"/>
              <w:left w:val="nil"/>
              <w:bottom w:val="single" w:sz="4" w:space="0" w:color="auto"/>
              <w:right w:val="single" w:sz="4" w:space="0" w:color="auto"/>
            </w:tcBorders>
            <w:shd w:val="clear" w:color="000000" w:fill="FFFFFF"/>
            <w:noWrap/>
            <w:vAlign w:val="center"/>
            <w:hideMark/>
          </w:tcPr>
          <w:p w14:paraId="3D6F3852"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67,3</w:t>
            </w:r>
          </w:p>
        </w:tc>
        <w:tc>
          <w:tcPr>
            <w:tcW w:w="955" w:type="dxa"/>
            <w:tcBorders>
              <w:top w:val="nil"/>
              <w:left w:val="nil"/>
              <w:bottom w:val="single" w:sz="4" w:space="0" w:color="auto"/>
              <w:right w:val="single" w:sz="4" w:space="0" w:color="auto"/>
            </w:tcBorders>
            <w:shd w:val="clear" w:color="000000" w:fill="FFFFFF"/>
            <w:noWrap/>
            <w:vAlign w:val="center"/>
            <w:hideMark/>
          </w:tcPr>
          <w:p w14:paraId="6ED0836B"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69,3</w:t>
            </w:r>
          </w:p>
        </w:tc>
        <w:tc>
          <w:tcPr>
            <w:tcW w:w="1071" w:type="dxa"/>
            <w:tcBorders>
              <w:top w:val="nil"/>
              <w:left w:val="nil"/>
              <w:bottom w:val="single" w:sz="4" w:space="0" w:color="auto"/>
              <w:right w:val="single" w:sz="4" w:space="0" w:color="auto"/>
            </w:tcBorders>
            <w:shd w:val="clear" w:color="auto" w:fill="FFE599" w:themeFill="accent4" w:themeFillTint="66"/>
            <w:noWrap/>
            <w:vAlign w:val="center"/>
            <w:hideMark/>
          </w:tcPr>
          <w:p w14:paraId="504E93B6"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70,9</w:t>
            </w:r>
          </w:p>
        </w:tc>
        <w:tc>
          <w:tcPr>
            <w:tcW w:w="1071" w:type="dxa"/>
            <w:tcBorders>
              <w:top w:val="nil"/>
              <w:left w:val="nil"/>
              <w:bottom w:val="single" w:sz="4" w:space="0" w:color="auto"/>
              <w:right w:val="single" w:sz="4" w:space="0" w:color="auto"/>
            </w:tcBorders>
            <w:shd w:val="clear" w:color="auto" w:fill="FFE599" w:themeFill="accent4" w:themeFillTint="66"/>
            <w:noWrap/>
            <w:vAlign w:val="center"/>
            <w:hideMark/>
          </w:tcPr>
          <w:p w14:paraId="7185800F"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69,9</w:t>
            </w:r>
          </w:p>
        </w:tc>
        <w:tc>
          <w:tcPr>
            <w:tcW w:w="820" w:type="dxa"/>
            <w:tcBorders>
              <w:top w:val="nil"/>
              <w:left w:val="nil"/>
              <w:bottom w:val="single" w:sz="4" w:space="0" w:color="auto"/>
              <w:right w:val="single" w:sz="4" w:space="0" w:color="auto"/>
            </w:tcBorders>
            <w:shd w:val="clear" w:color="auto" w:fill="FFE599" w:themeFill="accent4" w:themeFillTint="66"/>
            <w:vAlign w:val="center"/>
          </w:tcPr>
          <w:p w14:paraId="298EC293" w14:textId="77777777" w:rsidR="00C54BC9" w:rsidRPr="006A4DC2" w:rsidRDefault="00C54BC9" w:rsidP="00682CBF">
            <w:pPr>
              <w:spacing w:after="0" w:line="240" w:lineRule="auto"/>
              <w:jc w:val="right"/>
              <w:rPr>
                <w:rFonts w:ascii="Times New Roman" w:eastAsia="Times New Roman" w:hAnsi="Times New Roman" w:cs="Times New Roman"/>
                <w:b/>
                <w:bCs/>
                <w:color w:val="000000" w:themeColor="text1"/>
                <w:sz w:val="20"/>
                <w:szCs w:val="20"/>
                <w:lang w:eastAsia="tr-TR"/>
              </w:rPr>
            </w:pPr>
            <w:r w:rsidRPr="006A4DC2">
              <w:rPr>
                <w:rFonts w:ascii="Times New Roman" w:hAnsi="Times New Roman" w:cs="Times New Roman"/>
                <w:color w:val="000000" w:themeColor="text1"/>
                <w:sz w:val="20"/>
                <w:szCs w:val="20"/>
              </w:rPr>
              <w:t xml:space="preserve">-1,41 </w:t>
            </w:r>
          </w:p>
        </w:tc>
      </w:tr>
      <w:tr w:rsidR="00164238" w:rsidRPr="006A4DC2" w14:paraId="360793C8" w14:textId="77777777" w:rsidTr="00682CBF">
        <w:trPr>
          <w:trHeight w:val="300"/>
        </w:trPr>
        <w:tc>
          <w:tcPr>
            <w:tcW w:w="1331" w:type="dxa"/>
            <w:tcBorders>
              <w:top w:val="nil"/>
              <w:left w:val="single" w:sz="4" w:space="0" w:color="auto"/>
              <w:bottom w:val="single" w:sz="4" w:space="0" w:color="auto"/>
              <w:right w:val="single" w:sz="4" w:space="0" w:color="auto"/>
            </w:tcBorders>
            <w:shd w:val="clear" w:color="000000" w:fill="FFFFFF"/>
            <w:noWrap/>
            <w:vAlign w:val="center"/>
            <w:hideMark/>
          </w:tcPr>
          <w:p w14:paraId="67C03378"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22</w:t>
            </w:r>
          </w:p>
        </w:tc>
        <w:tc>
          <w:tcPr>
            <w:tcW w:w="954" w:type="dxa"/>
            <w:tcBorders>
              <w:top w:val="nil"/>
              <w:left w:val="nil"/>
              <w:bottom w:val="single" w:sz="4" w:space="0" w:color="auto"/>
              <w:right w:val="single" w:sz="4" w:space="0" w:color="auto"/>
            </w:tcBorders>
            <w:shd w:val="clear" w:color="000000" w:fill="FFFFFF"/>
            <w:noWrap/>
            <w:vAlign w:val="center"/>
            <w:hideMark/>
          </w:tcPr>
          <w:p w14:paraId="53837D8D"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73,8</w:t>
            </w:r>
          </w:p>
        </w:tc>
        <w:tc>
          <w:tcPr>
            <w:tcW w:w="955" w:type="dxa"/>
            <w:tcBorders>
              <w:top w:val="nil"/>
              <w:left w:val="nil"/>
              <w:bottom w:val="single" w:sz="4" w:space="0" w:color="auto"/>
              <w:right w:val="single" w:sz="4" w:space="0" w:color="auto"/>
            </w:tcBorders>
            <w:shd w:val="clear" w:color="000000" w:fill="FFFFFF"/>
            <w:noWrap/>
            <w:vAlign w:val="center"/>
            <w:hideMark/>
          </w:tcPr>
          <w:p w14:paraId="767466D5"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72,1</w:t>
            </w:r>
          </w:p>
        </w:tc>
        <w:tc>
          <w:tcPr>
            <w:tcW w:w="955" w:type="dxa"/>
            <w:tcBorders>
              <w:top w:val="nil"/>
              <w:left w:val="nil"/>
              <w:bottom w:val="single" w:sz="4" w:space="0" w:color="auto"/>
              <w:right w:val="single" w:sz="4" w:space="0" w:color="auto"/>
            </w:tcBorders>
            <w:shd w:val="clear" w:color="auto" w:fill="FFE599" w:themeFill="accent4" w:themeFillTint="66"/>
            <w:noWrap/>
            <w:vAlign w:val="center"/>
            <w:hideMark/>
          </w:tcPr>
          <w:p w14:paraId="6A99E6B2"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64,9</w:t>
            </w:r>
          </w:p>
        </w:tc>
        <w:tc>
          <w:tcPr>
            <w:tcW w:w="955" w:type="dxa"/>
            <w:tcBorders>
              <w:top w:val="nil"/>
              <w:left w:val="nil"/>
              <w:bottom w:val="single" w:sz="4" w:space="0" w:color="auto"/>
              <w:right w:val="single" w:sz="4" w:space="0" w:color="auto"/>
            </w:tcBorders>
            <w:shd w:val="clear" w:color="000000" w:fill="FFFFFF"/>
            <w:noWrap/>
            <w:vAlign w:val="center"/>
            <w:hideMark/>
          </w:tcPr>
          <w:p w14:paraId="2D343B78"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71,5</w:t>
            </w:r>
          </w:p>
        </w:tc>
        <w:tc>
          <w:tcPr>
            <w:tcW w:w="955" w:type="dxa"/>
            <w:tcBorders>
              <w:top w:val="nil"/>
              <w:left w:val="nil"/>
              <w:bottom w:val="single" w:sz="4" w:space="0" w:color="auto"/>
              <w:right w:val="single" w:sz="4" w:space="0" w:color="auto"/>
            </w:tcBorders>
            <w:shd w:val="clear" w:color="000000" w:fill="FFFFFF"/>
            <w:noWrap/>
            <w:vAlign w:val="center"/>
            <w:hideMark/>
          </w:tcPr>
          <w:p w14:paraId="47DA2749"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75,0</w:t>
            </w:r>
          </w:p>
        </w:tc>
        <w:tc>
          <w:tcPr>
            <w:tcW w:w="1071" w:type="dxa"/>
            <w:tcBorders>
              <w:top w:val="nil"/>
              <w:left w:val="nil"/>
              <w:bottom w:val="single" w:sz="4" w:space="0" w:color="auto"/>
              <w:right w:val="single" w:sz="4" w:space="0" w:color="auto"/>
            </w:tcBorders>
            <w:shd w:val="clear" w:color="auto" w:fill="FFE599" w:themeFill="accent4" w:themeFillTint="66"/>
            <w:noWrap/>
            <w:vAlign w:val="center"/>
            <w:hideMark/>
          </w:tcPr>
          <w:p w14:paraId="1721FA4E"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72,7</w:t>
            </w:r>
          </w:p>
        </w:tc>
        <w:tc>
          <w:tcPr>
            <w:tcW w:w="1071" w:type="dxa"/>
            <w:tcBorders>
              <w:top w:val="nil"/>
              <w:left w:val="nil"/>
              <w:bottom w:val="single" w:sz="4" w:space="0" w:color="auto"/>
              <w:right w:val="single" w:sz="4" w:space="0" w:color="auto"/>
            </w:tcBorders>
            <w:shd w:val="clear" w:color="auto" w:fill="FFE599" w:themeFill="accent4" w:themeFillTint="66"/>
            <w:noWrap/>
            <w:vAlign w:val="center"/>
            <w:hideMark/>
          </w:tcPr>
          <w:p w14:paraId="0D8C5390"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70,9</w:t>
            </w:r>
          </w:p>
        </w:tc>
        <w:tc>
          <w:tcPr>
            <w:tcW w:w="820" w:type="dxa"/>
            <w:tcBorders>
              <w:top w:val="nil"/>
              <w:left w:val="nil"/>
              <w:bottom w:val="single" w:sz="4" w:space="0" w:color="auto"/>
              <w:right w:val="single" w:sz="4" w:space="0" w:color="auto"/>
            </w:tcBorders>
            <w:shd w:val="clear" w:color="auto" w:fill="FFE599" w:themeFill="accent4" w:themeFillTint="66"/>
            <w:vAlign w:val="center"/>
          </w:tcPr>
          <w:p w14:paraId="5B6E6AE4" w14:textId="77777777" w:rsidR="00C54BC9" w:rsidRPr="006A4DC2" w:rsidRDefault="00C54BC9" w:rsidP="00682CBF">
            <w:pPr>
              <w:spacing w:after="0" w:line="240" w:lineRule="auto"/>
              <w:jc w:val="right"/>
              <w:rPr>
                <w:rFonts w:ascii="Times New Roman" w:eastAsia="Times New Roman" w:hAnsi="Times New Roman" w:cs="Times New Roman"/>
                <w:b/>
                <w:bCs/>
                <w:color w:val="000000" w:themeColor="text1"/>
                <w:sz w:val="20"/>
                <w:szCs w:val="20"/>
                <w:lang w:eastAsia="tr-TR"/>
              </w:rPr>
            </w:pPr>
            <w:r w:rsidRPr="006A4DC2">
              <w:rPr>
                <w:rFonts w:ascii="Times New Roman" w:hAnsi="Times New Roman" w:cs="Times New Roman"/>
                <w:color w:val="000000" w:themeColor="text1"/>
                <w:sz w:val="20"/>
                <w:szCs w:val="20"/>
              </w:rPr>
              <w:t xml:space="preserve">-2,48 </w:t>
            </w:r>
          </w:p>
        </w:tc>
      </w:tr>
      <w:tr w:rsidR="00164238" w:rsidRPr="006A4DC2" w14:paraId="3D8A81F0" w14:textId="77777777" w:rsidTr="00682CBF">
        <w:trPr>
          <w:trHeight w:val="300"/>
        </w:trPr>
        <w:tc>
          <w:tcPr>
            <w:tcW w:w="1331" w:type="dxa"/>
            <w:tcBorders>
              <w:top w:val="nil"/>
              <w:left w:val="single" w:sz="4" w:space="0" w:color="auto"/>
              <w:bottom w:val="single" w:sz="4" w:space="0" w:color="auto"/>
              <w:right w:val="single" w:sz="4" w:space="0" w:color="auto"/>
            </w:tcBorders>
            <w:shd w:val="clear" w:color="000000" w:fill="FFFFFF"/>
            <w:noWrap/>
            <w:vAlign w:val="center"/>
            <w:hideMark/>
          </w:tcPr>
          <w:p w14:paraId="5BBD2929"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23</w:t>
            </w:r>
          </w:p>
        </w:tc>
        <w:tc>
          <w:tcPr>
            <w:tcW w:w="954" w:type="dxa"/>
            <w:tcBorders>
              <w:top w:val="nil"/>
              <w:left w:val="nil"/>
              <w:bottom w:val="single" w:sz="4" w:space="0" w:color="auto"/>
              <w:right w:val="single" w:sz="4" w:space="0" w:color="auto"/>
            </w:tcBorders>
            <w:shd w:val="clear" w:color="000000" w:fill="FFFFFF"/>
            <w:noWrap/>
            <w:vAlign w:val="center"/>
            <w:hideMark/>
          </w:tcPr>
          <w:p w14:paraId="02E0EB01"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69,7</w:t>
            </w:r>
          </w:p>
        </w:tc>
        <w:tc>
          <w:tcPr>
            <w:tcW w:w="955" w:type="dxa"/>
            <w:tcBorders>
              <w:top w:val="nil"/>
              <w:left w:val="nil"/>
              <w:bottom w:val="single" w:sz="4" w:space="0" w:color="auto"/>
              <w:right w:val="single" w:sz="4" w:space="0" w:color="auto"/>
            </w:tcBorders>
            <w:shd w:val="clear" w:color="000000" w:fill="FFFFFF"/>
            <w:noWrap/>
            <w:vAlign w:val="center"/>
            <w:hideMark/>
          </w:tcPr>
          <w:p w14:paraId="09A4486E"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69,1</w:t>
            </w:r>
          </w:p>
        </w:tc>
        <w:tc>
          <w:tcPr>
            <w:tcW w:w="955" w:type="dxa"/>
            <w:tcBorders>
              <w:top w:val="nil"/>
              <w:left w:val="nil"/>
              <w:bottom w:val="single" w:sz="4" w:space="0" w:color="auto"/>
              <w:right w:val="single" w:sz="4" w:space="0" w:color="auto"/>
            </w:tcBorders>
            <w:shd w:val="clear" w:color="auto" w:fill="FFE599" w:themeFill="accent4" w:themeFillTint="66"/>
            <w:noWrap/>
            <w:vAlign w:val="center"/>
            <w:hideMark/>
          </w:tcPr>
          <w:p w14:paraId="7E7B46E0"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61,3</w:t>
            </w:r>
          </w:p>
        </w:tc>
        <w:tc>
          <w:tcPr>
            <w:tcW w:w="955" w:type="dxa"/>
            <w:tcBorders>
              <w:top w:val="nil"/>
              <w:left w:val="nil"/>
              <w:bottom w:val="single" w:sz="4" w:space="0" w:color="auto"/>
              <w:right w:val="single" w:sz="4" w:space="0" w:color="auto"/>
            </w:tcBorders>
            <w:shd w:val="clear" w:color="000000" w:fill="FFFFFF"/>
            <w:noWrap/>
            <w:vAlign w:val="center"/>
            <w:hideMark/>
          </w:tcPr>
          <w:p w14:paraId="5A5B08EF"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72,2</w:t>
            </w:r>
          </w:p>
        </w:tc>
        <w:tc>
          <w:tcPr>
            <w:tcW w:w="955" w:type="dxa"/>
            <w:tcBorders>
              <w:top w:val="nil"/>
              <w:left w:val="nil"/>
              <w:bottom w:val="single" w:sz="4" w:space="0" w:color="auto"/>
              <w:right w:val="single" w:sz="4" w:space="0" w:color="auto"/>
            </w:tcBorders>
            <w:shd w:val="clear" w:color="000000" w:fill="FFFFFF"/>
            <w:noWrap/>
            <w:vAlign w:val="center"/>
            <w:hideMark/>
          </w:tcPr>
          <w:p w14:paraId="71729668"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75,2</w:t>
            </w:r>
          </w:p>
        </w:tc>
        <w:tc>
          <w:tcPr>
            <w:tcW w:w="1071" w:type="dxa"/>
            <w:tcBorders>
              <w:top w:val="nil"/>
              <w:left w:val="nil"/>
              <w:bottom w:val="single" w:sz="4" w:space="0" w:color="auto"/>
              <w:right w:val="single" w:sz="4" w:space="0" w:color="auto"/>
            </w:tcBorders>
            <w:shd w:val="clear" w:color="auto" w:fill="FFF2CC" w:themeFill="accent4" w:themeFillTint="33"/>
            <w:noWrap/>
            <w:vAlign w:val="center"/>
            <w:hideMark/>
          </w:tcPr>
          <w:p w14:paraId="54010EF6"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67,9</w:t>
            </w:r>
          </w:p>
        </w:tc>
        <w:tc>
          <w:tcPr>
            <w:tcW w:w="1071" w:type="dxa"/>
            <w:tcBorders>
              <w:top w:val="nil"/>
              <w:left w:val="nil"/>
              <w:bottom w:val="single" w:sz="4" w:space="0" w:color="auto"/>
              <w:right w:val="single" w:sz="4" w:space="0" w:color="auto"/>
            </w:tcBorders>
            <w:shd w:val="clear" w:color="auto" w:fill="FFF2CC" w:themeFill="accent4" w:themeFillTint="33"/>
            <w:noWrap/>
            <w:vAlign w:val="center"/>
            <w:hideMark/>
          </w:tcPr>
          <w:p w14:paraId="47A7E4E2"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69,5</w:t>
            </w:r>
          </w:p>
        </w:tc>
        <w:tc>
          <w:tcPr>
            <w:tcW w:w="820" w:type="dxa"/>
            <w:tcBorders>
              <w:top w:val="nil"/>
              <w:left w:val="nil"/>
              <w:bottom w:val="single" w:sz="4" w:space="0" w:color="auto"/>
              <w:right w:val="single" w:sz="4" w:space="0" w:color="auto"/>
            </w:tcBorders>
            <w:shd w:val="clear" w:color="auto" w:fill="FFF2CC" w:themeFill="accent4" w:themeFillTint="33"/>
            <w:vAlign w:val="center"/>
          </w:tcPr>
          <w:p w14:paraId="0F049310" w14:textId="77777777" w:rsidR="00C54BC9" w:rsidRPr="006A4DC2" w:rsidRDefault="00C54BC9" w:rsidP="00682CBF">
            <w:pPr>
              <w:spacing w:after="0" w:line="240" w:lineRule="auto"/>
              <w:jc w:val="right"/>
              <w:rPr>
                <w:rFonts w:ascii="Times New Roman" w:eastAsia="Times New Roman" w:hAnsi="Times New Roman" w:cs="Times New Roman"/>
                <w:color w:val="000000" w:themeColor="text1"/>
                <w:sz w:val="20"/>
                <w:szCs w:val="20"/>
                <w:lang w:eastAsia="tr-TR"/>
              </w:rPr>
            </w:pPr>
            <w:r w:rsidRPr="006A4DC2">
              <w:rPr>
                <w:rFonts w:ascii="Times New Roman" w:hAnsi="Times New Roman" w:cs="Times New Roman"/>
                <w:color w:val="000000" w:themeColor="text1"/>
                <w:sz w:val="20"/>
                <w:szCs w:val="20"/>
              </w:rPr>
              <w:t xml:space="preserve"> 2,36 </w:t>
            </w:r>
          </w:p>
        </w:tc>
      </w:tr>
      <w:tr w:rsidR="00164238" w:rsidRPr="006A4DC2" w14:paraId="0291CD54" w14:textId="77777777" w:rsidTr="00682CBF">
        <w:trPr>
          <w:trHeight w:val="300"/>
        </w:trPr>
        <w:tc>
          <w:tcPr>
            <w:tcW w:w="1331" w:type="dxa"/>
            <w:tcBorders>
              <w:top w:val="nil"/>
              <w:left w:val="single" w:sz="4" w:space="0" w:color="auto"/>
              <w:bottom w:val="single" w:sz="4" w:space="0" w:color="auto"/>
              <w:right w:val="single" w:sz="4" w:space="0" w:color="auto"/>
            </w:tcBorders>
            <w:shd w:val="clear" w:color="000000" w:fill="FFFFFF"/>
            <w:noWrap/>
            <w:vAlign w:val="center"/>
            <w:hideMark/>
          </w:tcPr>
          <w:p w14:paraId="05A7A5B7"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24</w:t>
            </w:r>
          </w:p>
        </w:tc>
        <w:tc>
          <w:tcPr>
            <w:tcW w:w="954" w:type="dxa"/>
            <w:tcBorders>
              <w:top w:val="nil"/>
              <w:left w:val="nil"/>
              <w:bottom w:val="single" w:sz="4" w:space="0" w:color="auto"/>
              <w:right w:val="single" w:sz="4" w:space="0" w:color="auto"/>
            </w:tcBorders>
            <w:shd w:val="clear" w:color="000000" w:fill="FFFFFF"/>
            <w:noWrap/>
            <w:vAlign w:val="center"/>
            <w:hideMark/>
          </w:tcPr>
          <w:p w14:paraId="0B8D0293"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76,7</w:t>
            </w:r>
          </w:p>
        </w:tc>
        <w:tc>
          <w:tcPr>
            <w:tcW w:w="955" w:type="dxa"/>
            <w:tcBorders>
              <w:top w:val="nil"/>
              <w:left w:val="nil"/>
              <w:bottom w:val="single" w:sz="4" w:space="0" w:color="auto"/>
              <w:right w:val="single" w:sz="4" w:space="0" w:color="auto"/>
            </w:tcBorders>
            <w:shd w:val="clear" w:color="000000" w:fill="FFFFFF"/>
            <w:noWrap/>
            <w:vAlign w:val="center"/>
            <w:hideMark/>
          </w:tcPr>
          <w:p w14:paraId="3BA87182"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75,5</w:t>
            </w:r>
          </w:p>
        </w:tc>
        <w:tc>
          <w:tcPr>
            <w:tcW w:w="955" w:type="dxa"/>
            <w:tcBorders>
              <w:top w:val="nil"/>
              <w:left w:val="nil"/>
              <w:bottom w:val="single" w:sz="4" w:space="0" w:color="auto"/>
              <w:right w:val="single" w:sz="4" w:space="0" w:color="auto"/>
            </w:tcBorders>
            <w:shd w:val="clear" w:color="000000" w:fill="FFFFFF"/>
            <w:noWrap/>
            <w:vAlign w:val="center"/>
            <w:hideMark/>
          </w:tcPr>
          <w:p w14:paraId="4817533B"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71,2</w:t>
            </w:r>
          </w:p>
        </w:tc>
        <w:tc>
          <w:tcPr>
            <w:tcW w:w="955" w:type="dxa"/>
            <w:tcBorders>
              <w:top w:val="nil"/>
              <w:left w:val="nil"/>
              <w:bottom w:val="single" w:sz="4" w:space="0" w:color="auto"/>
              <w:right w:val="single" w:sz="4" w:space="0" w:color="auto"/>
            </w:tcBorders>
            <w:shd w:val="clear" w:color="000000" w:fill="FFFFFF"/>
            <w:noWrap/>
            <w:vAlign w:val="center"/>
            <w:hideMark/>
          </w:tcPr>
          <w:p w14:paraId="41E0D174"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79,3</w:t>
            </w:r>
          </w:p>
        </w:tc>
        <w:tc>
          <w:tcPr>
            <w:tcW w:w="955" w:type="dxa"/>
            <w:tcBorders>
              <w:top w:val="nil"/>
              <w:left w:val="nil"/>
              <w:bottom w:val="single" w:sz="4" w:space="0" w:color="auto"/>
              <w:right w:val="single" w:sz="4" w:space="0" w:color="auto"/>
            </w:tcBorders>
            <w:shd w:val="clear" w:color="000000" w:fill="FFFFFF"/>
            <w:noWrap/>
            <w:vAlign w:val="center"/>
            <w:hideMark/>
          </w:tcPr>
          <w:p w14:paraId="68D032DE"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80,1</w:t>
            </w:r>
          </w:p>
        </w:tc>
        <w:tc>
          <w:tcPr>
            <w:tcW w:w="1071" w:type="dxa"/>
            <w:tcBorders>
              <w:top w:val="nil"/>
              <w:left w:val="nil"/>
              <w:bottom w:val="single" w:sz="4" w:space="0" w:color="auto"/>
              <w:right w:val="single" w:sz="4" w:space="0" w:color="auto"/>
            </w:tcBorders>
            <w:shd w:val="clear" w:color="auto" w:fill="FFE599" w:themeFill="accent4" w:themeFillTint="66"/>
            <w:noWrap/>
            <w:vAlign w:val="center"/>
            <w:hideMark/>
          </w:tcPr>
          <w:p w14:paraId="163C65CA"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76,8</w:t>
            </w:r>
          </w:p>
        </w:tc>
        <w:tc>
          <w:tcPr>
            <w:tcW w:w="1071" w:type="dxa"/>
            <w:tcBorders>
              <w:top w:val="nil"/>
              <w:left w:val="nil"/>
              <w:bottom w:val="single" w:sz="4" w:space="0" w:color="auto"/>
              <w:right w:val="single" w:sz="4" w:space="0" w:color="auto"/>
            </w:tcBorders>
            <w:shd w:val="clear" w:color="auto" w:fill="FFE599" w:themeFill="accent4" w:themeFillTint="66"/>
            <w:noWrap/>
            <w:vAlign w:val="center"/>
            <w:hideMark/>
          </w:tcPr>
          <w:p w14:paraId="2619A284"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76,5</w:t>
            </w:r>
          </w:p>
        </w:tc>
        <w:tc>
          <w:tcPr>
            <w:tcW w:w="820" w:type="dxa"/>
            <w:tcBorders>
              <w:top w:val="nil"/>
              <w:left w:val="nil"/>
              <w:bottom w:val="single" w:sz="4" w:space="0" w:color="auto"/>
              <w:right w:val="single" w:sz="4" w:space="0" w:color="auto"/>
            </w:tcBorders>
            <w:shd w:val="clear" w:color="auto" w:fill="FFE599" w:themeFill="accent4" w:themeFillTint="66"/>
            <w:vAlign w:val="center"/>
          </w:tcPr>
          <w:p w14:paraId="407C7B45" w14:textId="77777777" w:rsidR="00C54BC9" w:rsidRPr="006A4DC2" w:rsidRDefault="00C54BC9" w:rsidP="00682CBF">
            <w:pPr>
              <w:spacing w:after="0" w:line="240" w:lineRule="auto"/>
              <w:jc w:val="right"/>
              <w:rPr>
                <w:rFonts w:ascii="Times New Roman" w:eastAsia="Times New Roman" w:hAnsi="Times New Roman" w:cs="Times New Roman"/>
                <w:color w:val="000000" w:themeColor="text1"/>
                <w:sz w:val="20"/>
                <w:szCs w:val="20"/>
                <w:lang w:eastAsia="tr-TR"/>
              </w:rPr>
            </w:pPr>
            <w:r w:rsidRPr="006A4DC2">
              <w:rPr>
                <w:rFonts w:ascii="Times New Roman" w:hAnsi="Times New Roman" w:cs="Times New Roman"/>
                <w:color w:val="000000" w:themeColor="text1"/>
                <w:sz w:val="20"/>
                <w:szCs w:val="20"/>
              </w:rPr>
              <w:t xml:space="preserve">-0,39 </w:t>
            </w:r>
          </w:p>
        </w:tc>
      </w:tr>
      <w:tr w:rsidR="00164238" w:rsidRPr="006A4DC2" w14:paraId="35D53E9B" w14:textId="77777777" w:rsidTr="00682CBF">
        <w:trPr>
          <w:trHeight w:val="300"/>
        </w:trPr>
        <w:tc>
          <w:tcPr>
            <w:tcW w:w="1331" w:type="dxa"/>
            <w:tcBorders>
              <w:top w:val="nil"/>
              <w:left w:val="single" w:sz="4" w:space="0" w:color="auto"/>
              <w:bottom w:val="single" w:sz="4" w:space="0" w:color="auto"/>
              <w:right w:val="single" w:sz="4" w:space="0" w:color="auto"/>
            </w:tcBorders>
            <w:shd w:val="clear" w:color="000000" w:fill="FFFFFF"/>
            <w:noWrap/>
            <w:vAlign w:val="center"/>
            <w:hideMark/>
          </w:tcPr>
          <w:p w14:paraId="2E7EB907"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25</w:t>
            </w:r>
          </w:p>
        </w:tc>
        <w:tc>
          <w:tcPr>
            <w:tcW w:w="954" w:type="dxa"/>
            <w:tcBorders>
              <w:top w:val="nil"/>
              <w:left w:val="nil"/>
              <w:bottom w:val="single" w:sz="4" w:space="0" w:color="auto"/>
              <w:right w:val="single" w:sz="4" w:space="0" w:color="auto"/>
            </w:tcBorders>
            <w:shd w:val="clear" w:color="000000" w:fill="FFFFFF"/>
            <w:noWrap/>
            <w:vAlign w:val="center"/>
            <w:hideMark/>
          </w:tcPr>
          <w:p w14:paraId="4E8D0D26"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72,3</w:t>
            </w:r>
          </w:p>
        </w:tc>
        <w:tc>
          <w:tcPr>
            <w:tcW w:w="955" w:type="dxa"/>
            <w:tcBorders>
              <w:top w:val="nil"/>
              <w:left w:val="nil"/>
              <w:bottom w:val="single" w:sz="4" w:space="0" w:color="auto"/>
              <w:right w:val="single" w:sz="4" w:space="0" w:color="auto"/>
            </w:tcBorders>
            <w:shd w:val="clear" w:color="000000" w:fill="FFFFFF"/>
            <w:noWrap/>
            <w:vAlign w:val="center"/>
            <w:hideMark/>
          </w:tcPr>
          <w:p w14:paraId="143E3FDA"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71,8</w:t>
            </w:r>
          </w:p>
        </w:tc>
        <w:tc>
          <w:tcPr>
            <w:tcW w:w="955" w:type="dxa"/>
            <w:tcBorders>
              <w:top w:val="nil"/>
              <w:left w:val="nil"/>
              <w:bottom w:val="single" w:sz="4" w:space="0" w:color="auto"/>
              <w:right w:val="single" w:sz="4" w:space="0" w:color="auto"/>
            </w:tcBorders>
            <w:shd w:val="clear" w:color="auto" w:fill="FFE599" w:themeFill="accent4" w:themeFillTint="66"/>
            <w:noWrap/>
            <w:vAlign w:val="center"/>
            <w:hideMark/>
          </w:tcPr>
          <w:p w14:paraId="332447E4"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61,8</w:t>
            </w:r>
          </w:p>
        </w:tc>
        <w:tc>
          <w:tcPr>
            <w:tcW w:w="955" w:type="dxa"/>
            <w:tcBorders>
              <w:top w:val="nil"/>
              <w:left w:val="nil"/>
              <w:bottom w:val="single" w:sz="4" w:space="0" w:color="auto"/>
              <w:right w:val="single" w:sz="4" w:space="0" w:color="auto"/>
            </w:tcBorders>
            <w:shd w:val="clear" w:color="000000" w:fill="FFFFFF"/>
            <w:noWrap/>
            <w:vAlign w:val="center"/>
            <w:hideMark/>
          </w:tcPr>
          <w:p w14:paraId="11E6CA6D"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72,1</w:t>
            </w:r>
          </w:p>
        </w:tc>
        <w:tc>
          <w:tcPr>
            <w:tcW w:w="955" w:type="dxa"/>
            <w:tcBorders>
              <w:top w:val="nil"/>
              <w:left w:val="nil"/>
              <w:bottom w:val="single" w:sz="4" w:space="0" w:color="auto"/>
              <w:right w:val="single" w:sz="4" w:space="0" w:color="auto"/>
            </w:tcBorders>
            <w:shd w:val="clear" w:color="000000" w:fill="FFFFFF"/>
            <w:noWrap/>
            <w:vAlign w:val="center"/>
            <w:hideMark/>
          </w:tcPr>
          <w:p w14:paraId="5DF06DD8"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74,5</w:t>
            </w:r>
          </w:p>
        </w:tc>
        <w:tc>
          <w:tcPr>
            <w:tcW w:w="1071" w:type="dxa"/>
            <w:tcBorders>
              <w:top w:val="nil"/>
              <w:left w:val="nil"/>
              <w:bottom w:val="single" w:sz="4" w:space="0" w:color="auto"/>
              <w:right w:val="single" w:sz="4" w:space="0" w:color="auto"/>
            </w:tcBorders>
            <w:shd w:val="clear" w:color="auto" w:fill="FFE599" w:themeFill="accent4" w:themeFillTint="66"/>
            <w:noWrap/>
            <w:vAlign w:val="center"/>
            <w:hideMark/>
          </w:tcPr>
          <w:p w14:paraId="6BB2E4C9"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70,6</w:t>
            </w:r>
          </w:p>
        </w:tc>
        <w:tc>
          <w:tcPr>
            <w:tcW w:w="1071" w:type="dxa"/>
            <w:tcBorders>
              <w:top w:val="nil"/>
              <w:left w:val="nil"/>
              <w:bottom w:val="single" w:sz="4" w:space="0" w:color="auto"/>
              <w:right w:val="single" w:sz="4" w:space="0" w:color="auto"/>
            </w:tcBorders>
            <w:shd w:val="clear" w:color="auto" w:fill="FFE599" w:themeFill="accent4" w:themeFillTint="66"/>
            <w:noWrap/>
            <w:vAlign w:val="center"/>
            <w:hideMark/>
          </w:tcPr>
          <w:p w14:paraId="48FFF3BF"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70,1</w:t>
            </w:r>
          </w:p>
        </w:tc>
        <w:tc>
          <w:tcPr>
            <w:tcW w:w="820" w:type="dxa"/>
            <w:tcBorders>
              <w:top w:val="nil"/>
              <w:left w:val="nil"/>
              <w:bottom w:val="single" w:sz="4" w:space="0" w:color="auto"/>
              <w:right w:val="single" w:sz="4" w:space="0" w:color="auto"/>
            </w:tcBorders>
            <w:shd w:val="clear" w:color="auto" w:fill="FFE599" w:themeFill="accent4" w:themeFillTint="66"/>
            <w:vAlign w:val="center"/>
          </w:tcPr>
          <w:p w14:paraId="1E36C2A0" w14:textId="77777777" w:rsidR="00C54BC9" w:rsidRPr="006A4DC2" w:rsidRDefault="00C54BC9" w:rsidP="00682CBF">
            <w:pPr>
              <w:spacing w:after="0" w:line="240" w:lineRule="auto"/>
              <w:jc w:val="right"/>
              <w:rPr>
                <w:rFonts w:ascii="Times New Roman" w:eastAsia="Times New Roman" w:hAnsi="Times New Roman" w:cs="Times New Roman"/>
                <w:color w:val="000000" w:themeColor="text1"/>
                <w:sz w:val="20"/>
                <w:szCs w:val="20"/>
                <w:lang w:eastAsia="tr-TR"/>
              </w:rPr>
            </w:pPr>
            <w:r w:rsidRPr="006A4DC2">
              <w:rPr>
                <w:rFonts w:ascii="Times New Roman" w:hAnsi="Times New Roman" w:cs="Times New Roman"/>
                <w:color w:val="000000" w:themeColor="text1"/>
                <w:sz w:val="20"/>
                <w:szCs w:val="20"/>
              </w:rPr>
              <w:t xml:space="preserve">-0,71 </w:t>
            </w:r>
          </w:p>
        </w:tc>
      </w:tr>
      <w:tr w:rsidR="00164238" w:rsidRPr="006A4DC2" w14:paraId="6BBE6793" w14:textId="77777777" w:rsidTr="00682CBF">
        <w:trPr>
          <w:trHeight w:val="300"/>
        </w:trPr>
        <w:tc>
          <w:tcPr>
            <w:tcW w:w="1331" w:type="dxa"/>
            <w:tcBorders>
              <w:top w:val="nil"/>
              <w:left w:val="single" w:sz="4" w:space="0" w:color="auto"/>
              <w:bottom w:val="single" w:sz="4" w:space="0" w:color="auto"/>
              <w:right w:val="single" w:sz="4" w:space="0" w:color="auto"/>
            </w:tcBorders>
            <w:shd w:val="clear" w:color="000000" w:fill="FFFFFF"/>
            <w:noWrap/>
            <w:vAlign w:val="center"/>
            <w:hideMark/>
          </w:tcPr>
          <w:p w14:paraId="50CF88EA"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26</w:t>
            </w:r>
          </w:p>
        </w:tc>
        <w:tc>
          <w:tcPr>
            <w:tcW w:w="954" w:type="dxa"/>
            <w:tcBorders>
              <w:top w:val="nil"/>
              <w:left w:val="nil"/>
              <w:bottom w:val="single" w:sz="4" w:space="0" w:color="auto"/>
              <w:right w:val="single" w:sz="4" w:space="0" w:color="auto"/>
            </w:tcBorders>
            <w:shd w:val="clear" w:color="000000" w:fill="FFFFFF"/>
            <w:noWrap/>
            <w:vAlign w:val="center"/>
            <w:hideMark/>
          </w:tcPr>
          <w:p w14:paraId="44C45339"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77,8</w:t>
            </w:r>
          </w:p>
        </w:tc>
        <w:tc>
          <w:tcPr>
            <w:tcW w:w="955" w:type="dxa"/>
            <w:tcBorders>
              <w:top w:val="nil"/>
              <w:left w:val="nil"/>
              <w:bottom w:val="single" w:sz="4" w:space="0" w:color="auto"/>
              <w:right w:val="single" w:sz="4" w:space="0" w:color="auto"/>
            </w:tcBorders>
            <w:shd w:val="clear" w:color="000000" w:fill="FFFFFF"/>
            <w:noWrap/>
            <w:vAlign w:val="center"/>
            <w:hideMark/>
          </w:tcPr>
          <w:p w14:paraId="3AB97FDC"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76,5</w:t>
            </w:r>
          </w:p>
        </w:tc>
        <w:tc>
          <w:tcPr>
            <w:tcW w:w="955" w:type="dxa"/>
            <w:tcBorders>
              <w:top w:val="nil"/>
              <w:left w:val="nil"/>
              <w:bottom w:val="single" w:sz="4" w:space="0" w:color="auto"/>
              <w:right w:val="single" w:sz="4" w:space="0" w:color="auto"/>
            </w:tcBorders>
            <w:shd w:val="clear" w:color="000000" w:fill="FFFFFF"/>
            <w:noWrap/>
            <w:vAlign w:val="center"/>
            <w:hideMark/>
          </w:tcPr>
          <w:p w14:paraId="796ADFB4"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77,2</w:t>
            </w:r>
          </w:p>
        </w:tc>
        <w:tc>
          <w:tcPr>
            <w:tcW w:w="955" w:type="dxa"/>
            <w:tcBorders>
              <w:top w:val="nil"/>
              <w:left w:val="nil"/>
              <w:bottom w:val="single" w:sz="4" w:space="0" w:color="auto"/>
              <w:right w:val="single" w:sz="4" w:space="0" w:color="auto"/>
            </w:tcBorders>
            <w:shd w:val="clear" w:color="000000" w:fill="FFFFFF"/>
            <w:noWrap/>
            <w:vAlign w:val="center"/>
            <w:hideMark/>
          </w:tcPr>
          <w:p w14:paraId="1414F2DB"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80,3</w:t>
            </w:r>
          </w:p>
        </w:tc>
        <w:tc>
          <w:tcPr>
            <w:tcW w:w="955" w:type="dxa"/>
            <w:tcBorders>
              <w:top w:val="nil"/>
              <w:left w:val="nil"/>
              <w:bottom w:val="single" w:sz="4" w:space="0" w:color="auto"/>
              <w:right w:val="single" w:sz="4" w:space="0" w:color="auto"/>
            </w:tcBorders>
            <w:shd w:val="clear" w:color="000000" w:fill="FFFFFF"/>
            <w:noWrap/>
            <w:vAlign w:val="center"/>
            <w:hideMark/>
          </w:tcPr>
          <w:p w14:paraId="02B575C8"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82,8</w:t>
            </w:r>
          </w:p>
        </w:tc>
        <w:tc>
          <w:tcPr>
            <w:tcW w:w="1071" w:type="dxa"/>
            <w:tcBorders>
              <w:top w:val="nil"/>
              <w:left w:val="nil"/>
              <w:bottom w:val="single" w:sz="4" w:space="0" w:color="auto"/>
              <w:right w:val="single" w:sz="4" w:space="0" w:color="auto"/>
            </w:tcBorders>
            <w:shd w:val="clear" w:color="auto" w:fill="FFF2CC" w:themeFill="accent4" w:themeFillTint="33"/>
            <w:noWrap/>
            <w:vAlign w:val="center"/>
            <w:hideMark/>
          </w:tcPr>
          <w:p w14:paraId="0674324E"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76,1</w:t>
            </w:r>
          </w:p>
        </w:tc>
        <w:tc>
          <w:tcPr>
            <w:tcW w:w="1071" w:type="dxa"/>
            <w:tcBorders>
              <w:top w:val="nil"/>
              <w:left w:val="nil"/>
              <w:bottom w:val="single" w:sz="4" w:space="0" w:color="auto"/>
              <w:right w:val="single" w:sz="4" w:space="0" w:color="auto"/>
            </w:tcBorders>
            <w:shd w:val="clear" w:color="auto" w:fill="FFF2CC" w:themeFill="accent4" w:themeFillTint="33"/>
            <w:noWrap/>
            <w:vAlign w:val="center"/>
            <w:hideMark/>
          </w:tcPr>
          <w:p w14:paraId="32BA9A1A"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79,2</w:t>
            </w:r>
          </w:p>
        </w:tc>
        <w:tc>
          <w:tcPr>
            <w:tcW w:w="820" w:type="dxa"/>
            <w:tcBorders>
              <w:top w:val="nil"/>
              <w:left w:val="nil"/>
              <w:bottom w:val="single" w:sz="4" w:space="0" w:color="auto"/>
              <w:right w:val="single" w:sz="4" w:space="0" w:color="auto"/>
            </w:tcBorders>
            <w:shd w:val="clear" w:color="auto" w:fill="FFF2CC" w:themeFill="accent4" w:themeFillTint="33"/>
            <w:vAlign w:val="center"/>
          </w:tcPr>
          <w:p w14:paraId="3BB6B805" w14:textId="77777777" w:rsidR="00C54BC9" w:rsidRPr="006A4DC2" w:rsidRDefault="00C54BC9" w:rsidP="00682CBF">
            <w:pPr>
              <w:spacing w:after="0" w:line="240" w:lineRule="auto"/>
              <w:jc w:val="right"/>
              <w:rPr>
                <w:rFonts w:ascii="Times New Roman" w:eastAsia="Times New Roman" w:hAnsi="Times New Roman" w:cs="Times New Roman"/>
                <w:color w:val="000000" w:themeColor="text1"/>
                <w:sz w:val="20"/>
                <w:szCs w:val="20"/>
                <w:lang w:eastAsia="tr-TR"/>
              </w:rPr>
            </w:pPr>
            <w:r w:rsidRPr="006A4DC2">
              <w:rPr>
                <w:rFonts w:ascii="Times New Roman" w:hAnsi="Times New Roman" w:cs="Times New Roman"/>
                <w:color w:val="000000" w:themeColor="text1"/>
                <w:sz w:val="20"/>
                <w:szCs w:val="20"/>
              </w:rPr>
              <w:t xml:space="preserve"> 4,07 </w:t>
            </w:r>
          </w:p>
        </w:tc>
      </w:tr>
      <w:tr w:rsidR="00164238" w:rsidRPr="006A4DC2" w14:paraId="5E548519" w14:textId="77777777" w:rsidTr="00682CBF">
        <w:trPr>
          <w:trHeight w:val="300"/>
        </w:trPr>
        <w:tc>
          <w:tcPr>
            <w:tcW w:w="1331" w:type="dxa"/>
            <w:tcBorders>
              <w:top w:val="nil"/>
              <w:left w:val="single" w:sz="4" w:space="0" w:color="auto"/>
              <w:bottom w:val="single" w:sz="4" w:space="0" w:color="auto"/>
              <w:right w:val="single" w:sz="4" w:space="0" w:color="auto"/>
            </w:tcBorders>
            <w:shd w:val="clear" w:color="000000" w:fill="FFFFFF"/>
            <w:noWrap/>
            <w:vAlign w:val="center"/>
            <w:hideMark/>
          </w:tcPr>
          <w:p w14:paraId="02986D24"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27</w:t>
            </w:r>
          </w:p>
        </w:tc>
        <w:tc>
          <w:tcPr>
            <w:tcW w:w="954" w:type="dxa"/>
            <w:tcBorders>
              <w:top w:val="nil"/>
              <w:left w:val="nil"/>
              <w:bottom w:val="single" w:sz="4" w:space="0" w:color="auto"/>
              <w:right w:val="single" w:sz="4" w:space="0" w:color="auto"/>
            </w:tcBorders>
            <w:shd w:val="clear" w:color="000000" w:fill="FFFFFF"/>
            <w:noWrap/>
            <w:vAlign w:val="center"/>
            <w:hideMark/>
          </w:tcPr>
          <w:p w14:paraId="2C9F9F93"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74,1</w:t>
            </w:r>
          </w:p>
        </w:tc>
        <w:tc>
          <w:tcPr>
            <w:tcW w:w="955" w:type="dxa"/>
            <w:tcBorders>
              <w:top w:val="nil"/>
              <w:left w:val="nil"/>
              <w:bottom w:val="single" w:sz="4" w:space="0" w:color="auto"/>
              <w:right w:val="single" w:sz="4" w:space="0" w:color="auto"/>
            </w:tcBorders>
            <w:shd w:val="clear" w:color="000000" w:fill="FFFFFF"/>
            <w:noWrap/>
            <w:vAlign w:val="center"/>
            <w:hideMark/>
          </w:tcPr>
          <w:p w14:paraId="02B9854D"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72,7</w:t>
            </w:r>
          </w:p>
        </w:tc>
        <w:tc>
          <w:tcPr>
            <w:tcW w:w="955" w:type="dxa"/>
            <w:tcBorders>
              <w:top w:val="nil"/>
              <w:left w:val="nil"/>
              <w:bottom w:val="single" w:sz="4" w:space="0" w:color="auto"/>
              <w:right w:val="single" w:sz="4" w:space="0" w:color="auto"/>
            </w:tcBorders>
            <w:shd w:val="clear" w:color="auto" w:fill="FFD966" w:themeFill="accent4" w:themeFillTint="99"/>
            <w:noWrap/>
            <w:vAlign w:val="center"/>
            <w:hideMark/>
          </w:tcPr>
          <w:p w14:paraId="223B9C9D"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58,1</w:t>
            </w:r>
          </w:p>
        </w:tc>
        <w:tc>
          <w:tcPr>
            <w:tcW w:w="955" w:type="dxa"/>
            <w:tcBorders>
              <w:top w:val="nil"/>
              <w:left w:val="nil"/>
              <w:bottom w:val="single" w:sz="4" w:space="0" w:color="auto"/>
              <w:right w:val="single" w:sz="4" w:space="0" w:color="auto"/>
            </w:tcBorders>
            <w:shd w:val="clear" w:color="000000" w:fill="FFFFFF"/>
            <w:noWrap/>
            <w:vAlign w:val="center"/>
            <w:hideMark/>
          </w:tcPr>
          <w:p w14:paraId="63F3EB02"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75,8</w:t>
            </w:r>
          </w:p>
        </w:tc>
        <w:tc>
          <w:tcPr>
            <w:tcW w:w="955" w:type="dxa"/>
            <w:tcBorders>
              <w:top w:val="nil"/>
              <w:left w:val="nil"/>
              <w:bottom w:val="single" w:sz="4" w:space="0" w:color="auto"/>
              <w:right w:val="single" w:sz="4" w:space="0" w:color="auto"/>
            </w:tcBorders>
            <w:shd w:val="clear" w:color="000000" w:fill="FFFFFF"/>
            <w:noWrap/>
            <w:vAlign w:val="center"/>
            <w:hideMark/>
          </w:tcPr>
          <w:p w14:paraId="1F8B9082"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77,5</w:t>
            </w:r>
          </w:p>
        </w:tc>
        <w:tc>
          <w:tcPr>
            <w:tcW w:w="1071" w:type="dxa"/>
            <w:tcBorders>
              <w:top w:val="nil"/>
              <w:left w:val="nil"/>
              <w:bottom w:val="single" w:sz="4" w:space="0" w:color="auto"/>
              <w:right w:val="single" w:sz="4" w:space="0" w:color="auto"/>
            </w:tcBorders>
            <w:shd w:val="clear" w:color="auto" w:fill="FFE599" w:themeFill="accent4" w:themeFillTint="66"/>
            <w:noWrap/>
            <w:vAlign w:val="center"/>
            <w:hideMark/>
          </w:tcPr>
          <w:p w14:paraId="48338A77"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73,7</w:t>
            </w:r>
          </w:p>
        </w:tc>
        <w:tc>
          <w:tcPr>
            <w:tcW w:w="1071" w:type="dxa"/>
            <w:tcBorders>
              <w:top w:val="nil"/>
              <w:left w:val="nil"/>
              <w:bottom w:val="single" w:sz="4" w:space="0" w:color="auto"/>
              <w:right w:val="single" w:sz="4" w:space="0" w:color="auto"/>
            </w:tcBorders>
            <w:shd w:val="clear" w:color="auto" w:fill="FFE599" w:themeFill="accent4" w:themeFillTint="66"/>
            <w:noWrap/>
            <w:vAlign w:val="center"/>
            <w:hideMark/>
          </w:tcPr>
          <w:p w14:paraId="7C53DCC1"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71,0</w:t>
            </w:r>
          </w:p>
        </w:tc>
        <w:tc>
          <w:tcPr>
            <w:tcW w:w="820" w:type="dxa"/>
            <w:tcBorders>
              <w:top w:val="nil"/>
              <w:left w:val="nil"/>
              <w:bottom w:val="single" w:sz="4" w:space="0" w:color="auto"/>
              <w:right w:val="single" w:sz="4" w:space="0" w:color="auto"/>
            </w:tcBorders>
            <w:shd w:val="clear" w:color="auto" w:fill="FFE599" w:themeFill="accent4" w:themeFillTint="66"/>
            <w:vAlign w:val="center"/>
          </w:tcPr>
          <w:p w14:paraId="3848DD09" w14:textId="77777777" w:rsidR="00C54BC9" w:rsidRPr="006A4DC2" w:rsidRDefault="00C54BC9" w:rsidP="00682CBF">
            <w:pPr>
              <w:spacing w:after="0" w:line="240" w:lineRule="auto"/>
              <w:jc w:val="right"/>
              <w:rPr>
                <w:rFonts w:ascii="Times New Roman" w:eastAsia="Times New Roman" w:hAnsi="Times New Roman" w:cs="Times New Roman"/>
                <w:b/>
                <w:bCs/>
                <w:color w:val="000000" w:themeColor="text1"/>
                <w:sz w:val="20"/>
                <w:szCs w:val="20"/>
                <w:lang w:eastAsia="tr-TR"/>
              </w:rPr>
            </w:pPr>
            <w:r w:rsidRPr="006A4DC2">
              <w:rPr>
                <w:rFonts w:ascii="Times New Roman" w:hAnsi="Times New Roman" w:cs="Times New Roman"/>
                <w:color w:val="000000" w:themeColor="text1"/>
                <w:sz w:val="20"/>
                <w:szCs w:val="20"/>
              </w:rPr>
              <w:t xml:space="preserve">-3,66 </w:t>
            </w:r>
          </w:p>
        </w:tc>
      </w:tr>
      <w:tr w:rsidR="00164238" w:rsidRPr="006A4DC2" w14:paraId="257B035A" w14:textId="77777777" w:rsidTr="00682CBF">
        <w:trPr>
          <w:trHeight w:val="300"/>
        </w:trPr>
        <w:tc>
          <w:tcPr>
            <w:tcW w:w="1331" w:type="dxa"/>
            <w:tcBorders>
              <w:top w:val="nil"/>
              <w:left w:val="single" w:sz="4" w:space="0" w:color="auto"/>
              <w:bottom w:val="single" w:sz="4" w:space="0" w:color="auto"/>
              <w:right w:val="single" w:sz="4" w:space="0" w:color="auto"/>
            </w:tcBorders>
            <w:shd w:val="clear" w:color="000000" w:fill="FFFFFF"/>
            <w:noWrap/>
            <w:vAlign w:val="center"/>
            <w:hideMark/>
          </w:tcPr>
          <w:p w14:paraId="6B830053"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28</w:t>
            </w:r>
          </w:p>
        </w:tc>
        <w:tc>
          <w:tcPr>
            <w:tcW w:w="954" w:type="dxa"/>
            <w:tcBorders>
              <w:top w:val="nil"/>
              <w:left w:val="nil"/>
              <w:bottom w:val="single" w:sz="4" w:space="0" w:color="auto"/>
              <w:right w:val="single" w:sz="4" w:space="0" w:color="auto"/>
            </w:tcBorders>
            <w:shd w:val="clear" w:color="000000" w:fill="FFFFFF"/>
            <w:noWrap/>
            <w:vAlign w:val="center"/>
            <w:hideMark/>
          </w:tcPr>
          <w:p w14:paraId="1BB04DBE"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68,1</w:t>
            </w:r>
          </w:p>
        </w:tc>
        <w:tc>
          <w:tcPr>
            <w:tcW w:w="955" w:type="dxa"/>
            <w:tcBorders>
              <w:top w:val="nil"/>
              <w:left w:val="nil"/>
              <w:bottom w:val="single" w:sz="4" w:space="0" w:color="auto"/>
              <w:right w:val="single" w:sz="4" w:space="0" w:color="auto"/>
            </w:tcBorders>
            <w:shd w:val="clear" w:color="000000" w:fill="FFFFFF"/>
            <w:noWrap/>
            <w:vAlign w:val="center"/>
            <w:hideMark/>
          </w:tcPr>
          <w:p w14:paraId="55A3208E"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69,4</w:t>
            </w:r>
          </w:p>
        </w:tc>
        <w:tc>
          <w:tcPr>
            <w:tcW w:w="955" w:type="dxa"/>
            <w:tcBorders>
              <w:top w:val="nil"/>
              <w:left w:val="nil"/>
              <w:bottom w:val="single" w:sz="4" w:space="0" w:color="auto"/>
              <w:right w:val="single" w:sz="4" w:space="0" w:color="auto"/>
            </w:tcBorders>
            <w:shd w:val="clear" w:color="auto" w:fill="FFD966" w:themeFill="accent4" w:themeFillTint="99"/>
            <w:noWrap/>
            <w:vAlign w:val="center"/>
            <w:hideMark/>
          </w:tcPr>
          <w:p w14:paraId="6E24B9B4"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56,0</w:t>
            </w:r>
          </w:p>
        </w:tc>
        <w:tc>
          <w:tcPr>
            <w:tcW w:w="955" w:type="dxa"/>
            <w:tcBorders>
              <w:top w:val="nil"/>
              <w:left w:val="nil"/>
              <w:bottom w:val="single" w:sz="4" w:space="0" w:color="auto"/>
              <w:right w:val="single" w:sz="4" w:space="0" w:color="auto"/>
            </w:tcBorders>
            <w:shd w:val="clear" w:color="000000" w:fill="FFFFFF"/>
            <w:noWrap/>
            <w:vAlign w:val="center"/>
            <w:hideMark/>
          </w:tcPr>
          <w:p w14:paraId="11F53198"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66,7</w:t>
            </w:r>
          </w:p>
        </w:tc>
        <w:tc>
          <w:tcPr>
            <w:tcW w:w="955" w:type="dxa"/>
            <w:tcBorders>
              <w:top w:val="nil"/>
              <w:left w:val="nil"/>
              <w:bottom w:val="single" w:sz="4" w:space="0" w:color="auto"/>
              <w:right w:val="single" w:sz="4" w:space="0" w:color="auto"/>
            </w:tcBorders>
            <w:shd w:val="clear" w:color="000000" w:fill="FFFFFF"/>
            <w:noWrap/>
            <w:vAlign w:val="center"/>
            <w:hideMark/>
          </w:tcPr>
          <w:p w14:paraId="067C49CC"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71,5</w:t>
            </w:r>
          </w:p>
        </w:tc>
        <w:tc>
          <w:tcPr>
            <w:tcW w:w="1071" w:type="dxa"/>
            <w:tcBorders>
              <w:top w:val="nil"/>
              <w:left w:val="nil"/>
              <w:bottom w:val="single" w:sz="4" w:space="0" w:color="auto"/>
              <w:right w:val="single" w:sz="4" w:space="0" w:color="auto"/>
            </w:tcBorders>
            <w:shd w:val="clear" w:color="auto" w:fill="FFE599" w:themeFill="accent4" w:themeFillTint="66"/>
            <w:noWrap/>
            <w:vAlign w:val="center"/>
            <w:hideMark/>
          </w:tcPr>
          <w:p w14:paraId="6927C5B6"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68,1</w:t>
            </w:r>
          </w:p>
        </w:tc>
        <w:tc>
          <w:tcPr>
            <w:tcW w:w="1071" w:type="dxa"/>
            <w:tcBorders>
              <w:top w:val="nil"/>
              <w:left w:val="nil"/>
              <w:bottom w:val="single" w:sz="4" w:space="0" w:color="auto"/>
              <w:right w:val="single" w:sz="4" w:space="0" w:color="auto"/>
            </w:tcBorders>
            <w:shd w:val="clear" w:color="auto" w:fill="FFE599" w:themeFill="accent4" w:themeFillTint="66"/>
            <w:noWrap/>
            <w:vAlign w:val="center"/>
            <w:hideMark/>
          </w:tcPr>
          <w:p w14:paraId="35D8D692"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65,9</w:t>
            </w:r>
          </w:p>
        </w:tc>
        <w:tc>
          <w:tcPr>
            <w:tcW w:w="820" w:type="dxa"/>
            <w:tcBorders>
              <w:top w:val="nil"/>
              <w:left w:val="nil"/>
              <w:bottom w:val="single" w:sz="4" w:space="0" w:color="auto"/>
              <w:right w:val="single" w:sz="4" w:space="0" w:color="auto"/>
            </w:tcBorders>
            <w:shd w:val="clear" w:color="auto" w:fill="FFE599" w:themeFill="accent4" w:themeFillTint="66"/>
            <w:vAlign w:val="center"/>
          </w:tcPr>
          <w:p w14:paraId="5AAC77C1" w14:textId="77777777" w:rsidR="00C54BC9" w:rsidRPr="006A4DC2" w:rsidRDefault="00C54BC9" w:rsidP="00682CBF">
            <w:pPr>
              <w:spacing w:after="0" w:line="240" w:lineRule="auto"/>
              <w:jc w:val="right"/>
              <w:rPr>
                <w:rFonts w:ascii="Times New Roman" w:eastAsia="Times New Roman" w:hAnsi="Times New Roman" w:cs="Times New Roman"/>
                <w:b/>
                <w:bCs/>
                <w:color w:val="000000" w:themeColor="text1"/>
                <w:sz w:val="20"/>
                <w:szCs w:val="20"/>
                <w:lang w:eastAsia="tr-TR"/>
              </w:rPr>
            </w:pPr>
            <w:r w:rsidRPr="006A4DC2">
              <w:rPr>
                <w:rFonts w:ascii="Times New Roman" w:hAnsi="Times New Roman" w:cs="Times New Roman"/>
                <w:color w:val="000000" w:themeColor="text1"/>
                <w:sz w:val="20"/>
                <w:szCs w:val="20"/>
              </w:rPr>
              <w:t xml:space="preserve">-3,23 </w:t>
            </w:r>
          </w:p>
        </w:tc>
      </w:tr>
      <w:tr w:rsidR="00164238" w:rsidRPr="006A4DC2" w14:paraId="32F1B884" w14:textId="77777777" w:rsidTr="00682CBF">
        <w:trPr>
          <w:trHeight w:val="300"/>
        </w:trPr>
        <w:tc>
          <w:tcPr>
            <w:tcW w:w="1331" w:type="dxa"/>
            <w:tcBorders>
              <w:top w:val="nil"/>
              <w:left w:val="single" w:sz="4" w:space="0" w:color="auto"/>
              <w:bottom w:val="single" w:sz="4" w:space="0" w:color="auto"/>
              <w:right w:val="single" w:sz="4" w:space="0" w:color="auto"/>
            </w:tcBorders>
            <w:shd w:val="clear" w:color="000000" w:fill="FFFFFF"/>
            <w:noWrap/>
            <w:vAlign w:val="center"/>
            <w:hideMark/>
          </w:tcPr>
          <w:p w14:paraId="7B3C5E2C"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29</w:t>
            </w:r>
          </w:p>
        </w:tc>
        <w:tc>
          <w:tcPr>
            <w:tcW w:w="954" w:type="dxa"/>
            <w:tcBorders>
              <w:top w:val="nil"/>
              <w:left w:val="nil"/>
              <w:bottom w:val="single" w:sz="4" w:space="0" w:color="auto"/>
              <w:right w:val="single" w:sz="4" w:space="0" w:color="auto"/>
            </w:tcBorders>
            <w:shd w:val="clear" w:color="000000" w:fill="FFFFFF"/>
            <w:noWrap/>
            <w:vAlign w:val="center"/>
            <w:hideMark/>
          </w:tcPr>
          <w:p w14:paraId="55F5ACF4"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81,0</w:t>
            </w:r>
          </w:p>
        </w:tc>
        <w:tc>
          <w:tcPr>
            <w:tcW w:w="955" w:type="dxa"/>
            <w:tcBorders>
              <w:top w:val="nil"/>
              <w:left w:val="nil"/>
              <w:bottom w:val="single" w:sz="4" w:space="0" w:color="auto"/>
              <w:right w:val="single" w:sz="4" w:space="0" w:color="auto"/>
            </w:tcBorders>
            <w:shd w:val="clear" w:color="000000" w:fill="FFFFFF"/>
            <w:noWrap/>
            <w:vAlign w:val="center"/>
            <w:hideMark/>
          </w:tcPr>
          <w:p w14:paraId="4CF8E6EE"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79,6</w:t>
            </w:r>
          </w:p>
        </w:tc>
        <w:tc>
          <w:tcPr>
            <w:tcW w:w="955" w:type="dxa"/>
            <w:tcBorders>
              <w:top w:val="nil"/>
              <w:left w:val="nil"/>
              <w:bottom w:val="single" w:sz="4" w:space="0" w:color="auto"/>
              <w:right w:val="single" w:sz="4" w:space="0" w:color="auto"/>
            </w:tcBorders>
            <w:shd w:val="clear" w:color="auto" w:fill="FFD966" w:themeFill="accent4" w:themeFillTint="99"/>
            <w:noWrap/>
            <w:vAlign w:val="center"/>
            <w:hideMark/>
          </w:tcPr>
          <w:p w14:paraId="03C00D95"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59,0</w:t>
            </w:r>
          </w:p>
        </w:tc>
        <w:tc>
          <w:tcPr>
            <w:tcW w:w="955" w:type="dxa"/>
            <w:tcBorders>
              <w:top w:val="nil"/>
              <w:left w:val="nil"/>
              <w:bottom w:val="single" w:sz="4" w:space="0" w:color="auto"/>
              <w:right w:val="single" w:sz="4" w:space="0" w:color="auto"/>
            </w:tcBorders>
            <w:shd w:val="clear" w:color="000000" w:fill="FFFFFF"/>
            <w:noWrap/>
            <w:vAlign w:val="center"/>
            <w:hideMark/>
          </w:tcPr>
          <w:p w14:paraId="79D5CDCA"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71,5</w:t>
            </w:r>
          </w:p>
        </w:tc>
        <w:tc>
          <w:tcPr>
            <w:tcW w:w="955" w:type="dxa"/>
            <w:tcBorders>
              <w:top w:val="nil"/>
              <w:left w:val="nil"/>
              <w:bottom w:val="single" w:sz="4" w:space="0" w:color="auto"/>
              <w:right w:val="single" w:sz="4" w:space="0" w:color="auto"/>
            </w:tcBorders>
            <w:shd w:val="clear" w:color="000000" w:fill="FFFFFF"/>
            <w:noWrap/>
            <w:vAlign w:val="center"/>
            <w:hideMark/>
          </w:tcPr>
          <w:p w14:paraId="1A44B539"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75,4</w:t>
            </w:r>
          </w:p>
        </w:tc>
        <w:tc>
          <w:tcPr>
            <w:tcW w:w="1071" w:type="dxa"/>
            <w:tcBorders>
              <w:top w:val="nil"/>
              <w:left w:val="nil"/>
              <w:bottom w:val="single" w:sz="4" w:space="0" w:color="auto"/>
              <w:right w:val="single" w:sz="4" w:space="0" w:color="auto"/>
            </w:tcBorders>
            <w:shd w:val="clear" w:color="auto" w:fill="FFE599" w:themeFill="accent4" w:themeFillTint="66"/>
            <w:noWrap/>
            <w:vAlign w:val="center"/>
            <w:hideMark/>
          </w:tcPr>
          <w:p w14:paraId="58E9027A"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80,1</w:t>
            </w:r>
          </w:p>
        </w:tc>
        <w:tc>
          <w:tcPr>
            <w:tcW w:w="1071" w:type="dxa"/>
            <w:tcBorders>
              <w:top w:val="nil"/>
              <w:left w:val="nil"/>
              <w:bottom w:val="single" w:sz="4" w:space="0" w:color="auto"/>
              <w:right w:val="single" w:sz="4" w:space="0" w:color="auto"/>
            </w:tcBorders>
            <w:shd w:val="clear" w:color="auto" w:fill="FFE599" w:themeFill="accent4" w:themeFillTint="66"/>
            <w:noWrap/>
            <w:vAlign w:val="center"/>
            <w:hideMark/>
          </w:tcPr>
          <w:p w14:paraId="7E10FA0D"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71,4</w:t>
            </w:r>
          </w:p>
        </w:tc>
        <w:tc>
          <w:tcPr>
            <w:tcW w:w="820" w:type="dxa"/>
            <w:tcBorders>
              <w:top w:val="nil"/>
              <w:left w:val="nil"/>
              <w:bottom w:val="single" w:sz="4" w:space="0" w:color="auto"/>
              <w:right w:val="single" w:sz="4" w:space="0" w:color="auto"/>
            </w:tcBorders>
            <w:shd w:val="clear" w:color="auto" w:fill="FFE599" w:themeFill="accent4" w:themeFillTint="66"/>
            <w:vAlign w:val="center"/>
          </w:tcPr>
          <w:p w14:paraId="6C55CEF7" w14:textId="77777777" w:rsidR="00C54BC9" w:rsidRPr="006A4DC2" w:rsidRDefault="00C54BC9" w:rsidP="00682CBF">
            <w:pPr>
              <w:spacing w:after="0" w:line="240" w:lineRule="auto"/>
              <w:jc w:val="right"/>
              <w:rPr>
                <w:rFonts w:ascii="Times New Roman" w:eastAsia="Times New Roman" w:hAnsi="Times New Roman" w:cs="Times New Roman"/>
                <w:b/>
                <w:bCs/>
                <w:color w:val="000000" w:themeColor="text1"/>
                <w:sz w:val="20"/>
                <w:szCs w:val="20"/>
                <w:lang w:eastAsia="tr-TR"/>
              </w:rPr>
            </w:pPr>
            <w:r w:rsidRPr="006A4DC2">
              <w:rPr>
                <w:rFonts w:ascii="Times New Roman" w:hAnsi="Times New Roman" w:cs="Times New Roman"/>
                <w:color w:val="000000" w:themeColor="text1"/>
                <w:sz w:val="20"/>
                <w:szCs w:val="20"/>
              </w:rPr>
              <w:t xml:space="preserve">-10,86 </w:t>
            </w:r>
          </w:p>
        </w:tc>
      </w:tr>
      <w:tr w:rsidR="00164238" w:rsidRPr="006A4DC2" w14:paraId="6B024699" w14:textId="77777777" w:rsidTr="00682CBF">
        <w:trPr>
          <w:trHeight w:val="300"/>
        </w:trPr>
        <w:tc>
          <w:tcPr>
            <w:tcW w:w="1331" w:type="dxa"/>
            <w:tcBorders>
              <w:top w:val="nil"/>
              <w:left w:val="single" w:sz="4" w:space="0" w:color="auto"/>
              <w:bottom w:val="single" w:sz="4" w:space="0" w:color="auto"/>
              <w:right w:val="single" w:sz="4" w:space="0" w:color="auto"/>
            </w:tcBorders>
            <w:shd w:val="clear" w:color="000000" w:fill="FFFFFF"/>
            <w:noWrap/>
            <w:vAlign w:val="center"/>
            <w:hideMark/>
          </w:tcPr>
          <w:p w14:paraId="7E40713F"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30</w:t>
            </w:r>
          </w:p>
        </w:tc>
        <w:tc>
          <w:tcPr>
            <w:tcW w:w="954" w:type="dxa"/>
            <w:tcBorders>
              <w:top w:val="nil"/>
              <w:left w:val="nil"/>
              <w:bottom w:val="single" w:sz="4" w:space="0" w:color="auto"/>
              <w:right w:val="single" w:sz="4" w:space="0" w:color="auto"/>
            </w:tcBorders>
            <w:shd w:val="clear" w:color="000000" w:fill="FFFFFF"/>
            <w:noWrap/>
            <w:vAlign w:val="center"/>
            <w:hideMark/>
          </w:tcPr>
          <w:p w14:paraId="0945812A"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78,7</w:t>
            </w:r>
          </w:p>
        </w:tc>
        <w:tc>
          <w:tcPr>
            <w:tcW w:w="955" w:type="dxa"/>
            <w:tcBorders>
              <w:top w:val="nil"/>
              <w:left w:val="nil"/>
              <w:bottom w:val="single" w:sz="4" w:space="0" w:color="auto"/>
              <w:right w:val="single" w:sz="4" w:space="0" w:color="auto"/>
            </w:tcBorders>
            <w:shd w:val="clear" w:color="000000" w:fill="FFFFFF"/>
            <w:noWrap/>
            <w:vAlign w:val="center"/>
            <w:hideMark/>
          </w:tcPr>
          <w:p w14:paraId="4A78E4BA"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78,1</w:t>
            </w:r>
          </w:p>
        </w:tc>
        <w:tc>
          <w:tcPr>
            <w:tcW w:w="955" w:type="dxa"/>
            <w:tcBorders>
              <w:top w:val="nil"/>
              <w:left w:val="nil"/>
              <w:bottom w:val="single" w:sz="4" w:space="0" w:color="auto"/>
              <w:right w:val="single" w:sz="4" w:space="0" w:color="auto"/>
            </w:tcBorders>
            <w:shd w:val="clear" w:color="auto" w:fill="FFD966" w:themeFill="accent4" w:themeFillTint="99"/>
            <w:noWrap/>
            <w:vAlign w:val="center"/>
            <w:hideMark/>
          </w:tcPr>
          <w:p w14:paraId="1AEB7D74"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69,8</w:t>
            </w:r>
          </w:p>
        </w:tc>
        <w:tc>
          <w:tcPr>
            <w:tcW w:w="955" w:type="dxa"/>
            <w:tcBorders>
              <w:top w:val="nil"/>
              <w:left w:val="nil"/>
              <w:bottom w:val="single" w:sz="4" w:space="0" w:color="auto"/>
              <w:right w:val="single" w:sz="4" w:space="0" w:color="auto"/>
            </w:tcBorders>
            <w:shd w:val="clear" w:color="000000" w:fill="FFFFFF"/>
            <w:noWrap/>
            <w:vAlign w:val="center"/>
            <w:hideMark/>
          </w:tcPr>
          <w:p w14:paraId="5738825D"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72,4</w:t>
            </w:r>
          </w:p>
        </w:tc>
        <w:tc>
          <w:tcPr>
            <w:tcW w:w="955" w:type="dxa"/>
            <w:tcBorders>
              <w:top w:val="nil"/>
              <w:left w:val="nil"/>
              <w:bottom w:val="single" w:sz="4" w:space="0" w:color="auto"/>
              <w:right w:val="single" w:sz="4" w:space="0" w:color="auto"/>
            </w:tcBorders>
            <w:shd w:val="clear" w:color="000000" w:fill="FFFFFF"/>
            <w:noWrap/>
            <w:vAlign w:val="center"/>
            <w:hideMark/>
          </w:tcPr>
          <w:p w14:paraId="2DEDFE9B"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73,6</w:t>
            </w:r>
          </w:p>
        </w:tc>
        <w:tc>
          <w:tcPr>
            <w:tcW w:w="1071" w:type="dxa"/>
            <w:tcBorders>
              <w:top w:val="nil"/>
              <w:left w:val="nil"/>
              <w:bottom w:val="single" w:sz="4" w:space="0" w:color="auto"/>
              <w:right w:val="single" w:sz="4" w:space="0" w:color="auto"/>
            </w:tcBorders>
            <w:shd w:val="clear" w:color="auto" w:fill="FFE599" w:themeFill="accent4" w:themeFillTint="66"/>
            <w:noWrap/>
            <w:vAlign w:val="center"/>
            <w:hideMark/>
          </w:tcPr>
          <w:p w14:paraId="1E4D4B77"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78,5</w:t>
            </w:r>
          </w:p>
        </w:tc>
        <w:tc>
          <w:tcPr>
            <w:tcW w:w="1071" w:type="dxa"/>
            <w:tcBorders>
              <w:top w:val="nil"/>
              <w:left w:val="nil"/>
              <w:bottom w:val="single" w:sz="4" w:space="0" w:color="auto"/>
              <w:right w:val="single" w:sz="4" w:space="0" w:color="auto"/>
            </w:tcBorders>
            <w:shd w:val="clear" w:color="auto" w:fill="FFE599" w:themeFill="accent4" w:themeFillTint="66"/>
            <w:noWrap/>
            <w:vAlign w:val="center"/>
            <w:hideMark/>
          </w:tcPr>
          <w:p w14:paraId="1654CED4"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73,4</w:t>
            </w:r>
          </w:p>
        </w:tc>
        <w:tc>
          <w:tcPr>
            <w:tcW w:w="820" w:type="dxa"/>
            <w:tcBorders>
              <w:top w:val="nil"/>
              <w:left w:val="nil"/>
              <w:bottom w:val="single" w:sz="4" w:space="0" w:color="auto"/>
              <w:right w:val="single" w:sz="4" w:space="0" w:color="auto"/>
            </w:tcBorders>
            <w:shd w:val="clear" w:color="auto" w:fill="FFE599" w:themeFill="accent4" w:themeFillTint="66"/>
            <w:vAlign w:val="center"/>
          </w:tcPr>
          <w:p w14:paraId="4E8F5024" w14:textId="77777777" w:rsidR="00C54BC9" w:rsidRPr="006A4DC2" w:rsidRDefault="00C54BC9" w:rsidP="00682CBF">
            <w:pPr>
              <w:spacing w:after="0" w:line="240" w:lineRule="auto"/>
              <w:jc w:val="right"/>
              <w:rPr>
                <w:rFonts w:ascii="Times New Roman" w:eastAsia="Times New Roman" w:hAnsi="Times New Roman" w:cs="Times New Roman"/>
                <w:b/>
                <w:bCs/>
                <w:color w:val="000000" w:themeColor="text1"/>
                <w:sz w:val="20"/>
                <w:szCs w:val="20"/>
                <w:lang w:eastAsia="tr-TR"/>
              </w:rPr>
            </w:pPr>
            <w:r w:rsidRPr="006A4DC2">
              <w:rPr>
                <w:rFonts w:ascii="Times New Roman" w:hAnsi="Times New Roman" w:cs="Times New Roman"/>
                <w:color w:val="000000" w:themeColor="text1"/>
                <w:sz w:val="20"/>
                <w:szCs w:val="20"/>
              </w:rPr>
              <w:t xml:space="preserve">-6,50 </w:t>
            </w:r>
          </w:p>
        </w:tc>
      </w:tr>
      <w:tr w:rsidR="00164238" w:rsidRPr="006A4DC2" w14:paraId="3FACDC45" w14:textId="77777777" w:rsidTr="00682CBF">
        <w:trPr>
          <w:trHeight w:val="300"/>
        </w:trPr>
        <w:tc>
          <w:tcPr>
            <w:tcW w:w="1331" w:type="dxa"/>
            <w:tcBorders>
              <w:top w:val="nil"/>
              <w:left w:val="single" w:sz="4" w:space="0" w:color="auto"/>
              <w:bottom w:val="single" w:sz="4" w:space="0" w:color="auto"/>
              <w:right w:val="single" w:sz="4" w:space="0" w:color="auto"/>
            </w:tcBorders>
            <w:shd w:val="clear" w:color="000000" w:fill="FFFFFF"/>
            <w:noWrap/>
            <w:vAlign w:val="center"/>
            <w:hideMark/>
          </w:tcPr>
          <w:p w14:paraId="515B4D66"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31</w:t>
            </w:r>
          </w:p>
        </w:tc>
        <w:tc>
          <w:tcPr>
            <w:tcW w:w="954" w:type="dxa"/>
            <w:tcBorders>
              <w:top w:val="nil"/>
              <w:left w:val="nil"/>
              <w:bottom w:val="single" w:sz="4" w:space="0" w:color="auto"/>
              <w:right w:val="single" w:sz="4" w:space="0" w:color="auto"/>
            </w:tcBorders>
            <w:shd w:val="clear" w:color="000000" w:fill="FFFFFF"/>
            <w:noWrap/>
            <w:vAlign w:val="center"/>
            <w:hideMark/>
          </w:tcPr>
          <w:p w14:paraId="36B51899"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76,3</w:t>
            </w:r>
          </w:p>
        </w:tc>
        <w:tc>
          <w:tcPr>
            <w:tcW w:w="955" w:type="dxa"/>
            <w:tcBorders>
              <w:top w:val="nil"/>
              <w:left w:val="nil"/>
              <w:bottom w:val="single" w:sz="4" w:space="0" w:color="auto"/>
              <w:right w:val="single" w:sz="4" w:space="0" w:color="auto"/>
            </w:tcBorders>
            <w:shd w:val="clear" w:color="000000" w:fill="FFFFFF"/>
            <w:noWrap/>
            <w:vAlign w:val="center"/>
            <w:hideMark/>
          </w:tcPr>
          <w:p w14:paraId="5C7D778D"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75,5</w:t>
            </w:r>
          </w:p>
        </w:tc>
        <w:tc>
          <w:tcPr>
            <w:tcW w:w="955" w:type="dxa"/>
            <w:tcBorders>
              <w:top w:val="nil"/>
              <w:left w:val="nil"/>
              <w:bottom w:val="single" w:sz="4" w:space="0" w:color="auto"/>
              <w:right w:val="single" w:sz="4" w:space="0" w:color="auto"/>
            </w:tcBorders>
            <w:shd w:val="clear" w:color="auto" w:fill="FFD966" w:themeFill="accent4" w:themeFillTint="99"/>
            <w:noWrap/>
            <w:vAlign w:val="center"/>
            <w:hideMark/>
          </w:tcPr>
          <w:p w14:paraId="5460517C"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51,3</w:t>
            </w:r>
          </w:p>
        </w:tc>
        <w:tc>
          <w:tcPr>
            <w:tcW w:w="955" w:type="dxa"/>
            <w:tcBorders>
              <w:top w:val="nil"/>
              <w:left w:val="nil"/>
              <w:bottom w:val="single" w:sz="4" w:space="0" w:color="auto"/>
              <w:right w:val="single" w:sz="4" w:space="0" w:color="auto"/>
            </w:tcBorders>
            <w:shd w:val="clear" w:color="000000" w:fill="FFFFFF"/>
            <w:noWrap/>
            <w:vAlign w:val="center"/>
            <w:hideMark/>
          </w:tcPr>
          <w:p w14:paraId="0E22E628"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67,0</w:t>
            </w:r>
          </w:p>
        </w:tc>
        <w:tc>
          <w:tcPr>
            <w:tcW w:w="955" w:type="dxa"/>
            <w:tcBorders>
              <w:top w:val="nil"/>
              <w:left w:val="nil"/>
              <w:bottom w:val="single" w:sz="4" w:space="0" w:color="auto"/>
              <w:right w:val="single" w:sz="4" w:space="0" w:color="auto"/>
            </w:tcBorders>
            <w:shd w:val="clear" w:color="000000" w:fill="FFFFFF"/>
            <w:noWrap/>
            <w:vAlign w:val="center"/>
            <w:hideMark/>
          </w:tcPr>
          <w:p w14:paraId="6BE4336B"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68,6</w:t>
            </w:r>
          </w:p>
        </w:tc>
        <w:tc>
          <w:tcPr>
            <w:tcW w:w="1071" w:type="dxa"/>
            <w:tcBorders>
              <w:top w:val="nil"/>
              <w:left w:val="nil"/>
              <w:bottom w:val="single" w:sz="4" w:space="0" w:color="auto"/>
              <w:right w:val="single" w:sz="4" w:space="0" w:color="auto"/>
            </w:tcBorders>
            <w:shd w:val="clear" w:color="auto" w:fill="FFE599" w:themeFill="accent4" w:themeFillTint="66"/>
            <w:noWrap/>
            <w:vAlign w:val="center"/>
            <w:hideMark/>
          </w:tcPr>
          <w:p w14:paraId="2C957420"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75,5</w:t>
            </w:r>
          </w:p>
        </w:tc>
        <w:tc>
          <w:tcPr>
            <w:tcW w:w="1071" w:type="dxa"/>
            <w:tcBorders>
              <w:top w:val="nil"/>
              <w:left w:val="nil"/>
              <w:bottom w:val="single" w:sz="4" w:space="0" w:color="auto"/>
              <w:right w:val="single" w:sz="4" w:space="0" w:color="auto"/>
            </w:tcBorders>
            <w:shd w:val="clear" w:color="auto" w:fill="FFE599" w:themeFill="accent4" w:themeFillTint="66"/>
            <w:noWrap/>
            <w:vAlign w:val="center"/>
            <w:hideMark/>
          </w:tcPr>
          <w:p w14:paraId="7C94CAF6"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65,6</w:t>
            </w:r>
          </w:p>
        </w:tc>
        <w:tc>
          <w:tcPr>
            <w:tcW w:w="820" w:type="dxa"/>
            <w:tcBorders>
              <w:top w:val="nil"/>
              <w:left w:val="nil"/>
              <w:bottom w:val="single" w:sz="4" w:space="0" w:color="auto"/>
              <w:right w:val="single" w:sz="4" w:space="0" w:color="auto"/>
            </w:tcBorders>
            <w:shd w:val="clear" w:color="auto" w:fill="FFE599" w:themeFill="accent4" w:themeFillTint="66"/>
            <w:vAlign w:val="center"/>
          </w:tcPr>
          <w:p w14:paraId="733B2950" w14:textId="77777777" w:rsidR="00C54BC9" w:rsidRPr="006A4DC2" w:rsidRDefault="00C54BC9" w:rsidP="00682CBF">
            <w:pPr>
              <w:spacing w:after="0" w:line="240" w:lineRule="auto"/>
              <w:jc w:val="right"/>
              <w:rPr>
                <w:rFonts w:ascii="Times New Roman" w:eastAsia="Times New Roman" w:hAnsi="Times New Roman" w:cs="Times New Roman"/>
                <w:b/>
                <w:bCs/>
                <w:color w:val="000000" w:themeColor="text1"/>
                <w:sz w:val="20"/>
                <w:szCs w:val="20"/>
                <w:lang w:eastAsia="tr-TR"/>
              </w:rPr>
            </w:pPr>
            <w:r w:rsidRPr="006A4DC2">
              <w:rPr>
                <w:rFonts w:ascii="Times New Roman" w:hAnsi="Times New Roman" w:cs="Times New Roman"/>
                <w:color w:val="000000" w:themeColor="text1"/>
                <w:sz w:val="20"/>
                <w:szCs w:val="20"/>
              </w:rPr>
              <w:t xml:space="preserve">-13,11 </w:t>
            </w:r>
          </w:p>
        </w:tc>
      </w:tr>
      <w:tr w:rsidR="00164238" w:rsidRPr="006A4DC2" w14:paraId="5BCBEA8C" w14:textId="77777777" w:rsidTr="00682CBF">
        <w:trPr>
          <w:trHeight w:val="300"/>
        </w:trPr>
        <w:tc>
          <w:tcPr>
            <w:tcW w:w="1331" w:type="dxa"/>
            <w:tcBorders>
              <w:top w:val="nil"/>
              <w:left w:val="single" w:sz="4" w:space="0" w:color="auto"/>
              <w:bottom w:val="single" w:sz="4" w:space="0" w:color="auto"/>
              <w:right w:val="single" w:sz="4" w:space="0" w:color="auto"/>
            </w:tcBorders>
            <w:shd w:val="clear" w:color="000000" w:fill="FFFFFF"/>
            <w:noWrap/>
            <w:vAlign w:val="center"/>
            <w:hideMark/>
          </w:tcPr>
          <w:p w14:paraId="658B26CB"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32</w:t>
            </w:r>
          </w:p>
        </w:tc>
        <w:tc>
          <w:tcPr>
            <w:tcW w:w="954" w:type="dxa"/>
            <w:tcBorders>
              <w:top w:val="nil"/>
              <w:left w:val="nil"/>
              <w:bottom w:val="single" w:sz="4" w:space="0" w:color="auto"/>
              <w:right w:val="single" w:sz="4" w:space="0" w:color="auto"/>
            </w:tcBorders>
            <w:shd w:val="clear" w:color="000000" w:fill="FFFFFF"/>
            <w:noWrap/>
            <w:vAlign w:val="center"/>
            <w:hideMark/>
          </w:tcPr>
          <w:p w14:paraId="265C30E2"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72,5</w:t>
            </w:r>
          </w:p>
        </w:tc>
        <w:tc>
          <w:tcPr>
            <w:tcW w:w="955" w:type="dxa"/>
            <w:tcBorders>
              <w:top w:val="nil"/>
              <w:left w:val="nil"/>
              <w:bottom w:val="single" w:sz="4" w:space="0" w:color="auto"/>
              <w:right w:val="single" w:sz="4" w:space="0" w:color="auto"/>
            </w:tcBorders>
            <w:shd w:val="clear" w:color="000000" w:fill="FFFFFF"/>
            <w:noWrap/>
            <w:vAlign w:val="center"/>
            <w:hideMark/>
          </w:tcPr>
          <w:p w14:paraId="39CC2099"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72,7</w:t>
            </w:r>
          </w:p>
        </w:tc>
        <w:tc>
          <w:tcPr>
            <w:tcW w:w="955" w:type="dxa"/>
            <w:tcBorders>
              <w:top w:val="nil"/>
              <w:left w:val="nil"/>
              <w:bottom w:val="single" w:sz="4" w:space="0" w:color="auto"/>
              <w:right w:val="single" w:sz="4" w:space="0" w:color="auto"/>
            </w:tcBorders>
            <w:shd w:val="clear" w:color="auto" w:fill="FFD966" w:themeFill="accent4" w:themeFillTint="99"/>
            <w:noWrap/>
            <w:vAlign w:val="center"/>
            <w:hideMark/>
          </w:tcPr>
          <w:p w14:paraId="670B66E5"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51,1</w:t>
            </w:r>
          </w:p>
        </w:tc>
        <w:tc>
          <w:tcPr>
            <w:tcW w:w="955" w:type="dxa"/>
            <w:tcBorders>
              <w:top w:val="nil"/>
              <w:left w:val="nil"/>
              <w:bottom w:val="single" w:sz="4" w:space="0" w:color="auto"/>
              <w:right w:val="single" w:sz="4" w:space="0" w:color="auto"/>
            </w:tcBorders>
            <w:shd w:val="clear" w:color="000000" w:fill="FFFFFF"/>
            <w:noWrap/>
            <w:vAlign w:val="center"/>
            <w:hideMark/>
          </w:tcPr>
          <w:p w14:paraId="3B774CD0"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60,7</w:t>
            </w:r>
          </w:p>
        </w:tc>
        <w:tc>
          <w:tcPr>
            <w:tcW w:w="955" w:type="dxa"/>
            <w:tcBorders>
              <w:top w:val="nil"/>
              <w:left w:val="nil"/>
              <w:bottom w:val="single" w:sz="4" w:space="0" w:color="auto"/>
              <w:right w:val="single" w:sz="4" w:space="0" w:color="auto"/>
            </w:tcBorders>
            <w:shd w:val="clear" w:color="000000" w:fill="FFFFFF"/>
            <w:noWrap/>
            <w:vAlign w:val="center"/>
            <w:hideMark/>
          </w:tcPr>
          <w:p w14:paraId="6ACA976F"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64,0</w:t>
            </w:r>
          </w:p>
        </w:tc>
        <w:tc>
          <w:tcPr>
            <w:tcW w:w="1071" w:type="dxa"/>
            <w:tcBorders>
              <w:top w:val="nil"/>
              <w:left w:val="nil"/>
              <w:bottom w:val="single" w:sz="4" w:space="0" w:color="auto"/>
              <w:right w:val="single" w:sz="4" w:space="0" w:color="auto"/>
            </w:tcBorders>
            <w:shd w:val="clear" w:color="auto" w:fill="FFE599" w:themeFill="accent4" w:themeFillTint="66"/>
            <w:noWrap/>
            <w:vAlign w:val="center"/>
            <w:hideMark/>
          </w:tcPr>
          <w:p w14:paraId="79206F49"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68,7</w:t>
            </w:r>
          </w:p>
        </w:tc>
        <w:tc>
          <w:tcPr>
            <w:tcW w:w="1071" w:type="dxa"/>
            <w:tcBorders>
              <w:top w:val="nil"/>
              <w:left w:val="nil"/>
              <w:bottom w:val="single" w:sz="4" w:space="0" w:color="auto"/>
              <w:right w:val="single" w:sz="4" w:space="0" w:color="auto"/>
            </w:tcBorders>
            <w:shd w:val="clear" w:color="auto" w:fill="FFE599" w:themeFill="accent4" w:themeFillTint="66"/>
            <w:noWrap/>
            <w:vAlign w:val="center"/>
            <w:hideMark/>
          </w:tcPr>
          <w:p w14:paraId="6C5A4E5C"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62,1</w:t>
            </w:r>
          </w:p>
        </w:tc>
        <w:tc>
          <w:tcPr>
            <w:tcW w:w="820" w:type="dxa"/>
            <w:tcBorders>
              <w:top w:val="nil"/>
              <w:left w:val="nil"/>
              <w:bottom w:val="single" w:sz="4" w:space="0" w:color="auto"/>
              <w:right w:val="single" w:sz="4" w:space="0" w:color="auto"/>
            </w:tcBorders>
            <w:shd w:val="clear" w:color="auto" w:fill="FFE599" w:themeFill="accent4" w:themeFillTint="66"/>
            <w:vAlign w:val="center"/>
          </w:tcPr>
          <w:p w14:paraId="5F7D0F97" w14:textId="77777777" w:rsidR="00C54BC9" w:rsidRPr="006A4DC2" w:rsidRDefault="00C54BC9" w:rsidP="00682CBF">
            <w:pPr>
              <w:spacing w:after="0" w:line="240" w:lineRule="auto"/>
              <w:jc w:val="right"/>
              <w:rPr>
                <w:rFonts w:ascii="Times New Roman" w:eastAsia="Times New Roman" w:hAnsi="Times New Roman" w:cs="Times New Roman"/>
                <w:b/>
                <w:bCs/>
                <w:color w:val="000000" w:themeColor="text1"/>
                <w:sz w:val="20"/>
                <w:szCs w:val="20"/>
                <w:lang w:eastAsia="tr-TR"/>
              </w:rPr>
            </w:pPr>
            <w:r w:rsidRPr="006A4DC2">
              <w:rPr>
                <w:rFonts w:ascii="Times New Roman" w:hAnsi="Times New Roman" w:cs="Times New Roman"/>
                <w:color w:val="000000" w:themeColor="text1"/>
                <w:sz w:val="20"/>
                <w:szCs w:val="20"/>
              </w:rPr>
              <w:t xml:space="preserve">-9,61 </w:t>
            </w:r>
          </w:p>
        </w:tc>
      </w:tr>
      <w:tr w:rsidR="00164238" w:rsidRPr="006A4DC2" w14:paraId="78BDDED4" w14:textId="77777777" w:rsidTr="00682CBF">
        <w:trPr>
          <w:trHeight w:val="300"/>
        </w:trPr>
        <w:tc>
          <w:tcPr>
            <w:tcW w:w="1331" w:type="dxa"/>
            <w:tcBorders>
              <w:top w:val="nil"/>
              <w:left w:val="single" w:sz="4" w:space="0" w:color="auto"/>
              <w:bottom w:val="single" w:sz="4" w:space="0" w:color="auto"/>
              <w:right w:val="single" w:sz="4" w:space="0" w:color="auto"/>
            </w:tcBorders>
            <w:shd w:val="clear" w:color="000000" w:fill="FFFFFF"/>
            <w:noWrap/>
            <w:vAlign w:val="center"/>
            <w:hideMark/>
          </w:tcPr>
          <w:p w14:paraId="38F1DCC5"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33</w:t>
            </w:r>
          </w:p>
        </w:tc>
        <w:tc>
          <w:tcPr>
            <w:tcW w:w="954" w:type="dxa"/>
            <w:tcBorders>
              <w:top w:val="nil"/>
              <w:left w:val="nil"/>
              <w:bottom w:val="single" w:sz="4" w:space="0" w:color="auto"/>
              <w:right w:val="single" w:sz="4" w:space="0" w:color="auto"/>
            </w:tcBorders>
            <w:shd w:val="clear" w:color="000000" w:fill="FFFFFF"/>
            <w:noWrap/>
            <w:vAlign w:val="center"/>
            <w:hideMark/>
          </w:tcPr>
          <w:p w14:paraId="31AF383A"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76,1</w:t>
            </w:r>
          </w:p>
        </w:tc>
        <w:tc>
          <w:tcPr>
            <w:tcW w:w="955" w:type="dxa"/>
            <w:tcBorders>
              <w:top w:val="nil"/>
              <w:left w:val="nil"/>
              <w:bottom w:val="single" w:sz="4" w:space="0" w:color="auto"/>
              <w:right w:val="single" w:sz="4" w:space="0" w:color="auto"/>
            </w:tcBorders>
            <w:shd w:val="clear" w:color="000000" w:fill="FFFFFF"/>
            <w:noWrap/>
            <w:vAlign w:val="center"/>
            <w:hideMark/>
          </w:tcPr>
          <w:p w14:paraId="2A0CC790"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78,0</w:t>
            </w:r>
          </w:p>
        </w:tc>
        <w:tc>
          <w:tcPr>
            <w:tcW w:w="955" w:type="dxa"/>
            <w:tcBorders>
              <w:top w:val="nil"/>
              <w:left w:val="nil"/>
              <w:bottom w:val="single" w:sz="4" w:space="0" w:color="auto"/>
              <w:right w:val="single" w:sz="4" w:space="0" w:color="auto"/>
            </w:tcBorders>
            <w:shd w:val="clear" w:color="auto" w:fill="FFD966" w:themeFill="accent4" w:themeFillTint="99"/>
            <w:noWrap/>
            <w:vAlign w:val="center"/>
            <w:hideMark/>
          </w:tcPr>
          <w:p w14:paraId="4750A585"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64,5</w:t>
            </w:r>
          </w:p>
        </w:tc>
        <w:tc>
          <w:tcPr>
            <w:tcW w:w="955" w:type="dxa"/>
            <w:tcBorders>
              <w:top w:val="nil"/>
              <w:left w:val="nil"/>
              <w:bottom w:val="single" w:sz="4" w:space="0" w:color="auto"/>
              <w:right w:val="single" w:sz="4" w:space="0" w:color="auto"/>
            </w:tcBorders>
            <w:shd w:val="clear" w:color="000000" w:fill="FFFFFF"/>
            <w:noWrap/>
            <w:vAlign w:val="center"/>
            <w:hideMark/>
          </w:tcPr>
          <w:p w14:paraId="7BEAC0B8"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66,3</w:t>
            </w:r>
          </w:p>
        </w:tc>
        <w:tc>
          <w:tcPr>
            <w:tcW w:w="955" w:type="dxa"/>
            <w:tcBorders>
              <w:top w:val="nil"/>
              <w:left w:val="nil"/>
              <w:bottom w:val="single" w:sz="4" w:space="0" w:color="auto"/>
              <w:right w:val="single" w:sz="4" w:space="0" w:color="auto"/>
            </w:tcBorders>
            <w:shd w:val="clear" w:color="000000" w:fill="FFFFFF"/>
            <w:noWrap/>
            <w:vAlign w:val="center"/>
            <w:hideMark/>
          </w:tcPr>
          <w:p w14:paraId="77F05823"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66,9</w:t>
            </w:r>
          </w:p>
        </w:tc>
        <w:tc>
          <w:tcPr>
            <w:tcW w:w="1071" w:type="dxa"/>
            <w:tcBorders>
              <w:top w:val="nil"/>
              <w:left w:val="nil"/>
              <w:bottom w:val="single" w:sz="4" w:space="0" w:color="auto"/>
              <w:right w:val="single" w:sz="4" w:space="0" w:color="auto"/>
            </w:tcBorders>
            <w:shd w:val="clear" w:color="auto" w:fill="FFE599" w:themeFill="accent4" w:themeFillTint="66"/>
            <w:noWrap/>
            <w:vAlign w:val="center"/>
            <w:hideMark/>
          </w:tcPr>
          <w:p w14:paraId="5A723C50"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74,5</w:t>
            </w:r>
          </w:p>
        </w:tc>
        <w:tc>
          <w:tcPr>
            <w:tcW w:w="1071" w:type="dxa"/>
            <w:tcBorders>
              <w:top w:val="nil"/>
              <w:left w:val="nil"/>
              <w:bottom w:val="single" w:sz="4" w:space="0" w:color="auto"/>
              <w:right w:val="single" w:sz="4" w:space="0" w:color="auto"/>
            </w:tcBorders>
            <w:shd w:val="clear" w:color="auto" w:fill="FFE599" w:themeFill="accent4" w:themeFillTint="66"/>
            <w:noWrap/>
            <w:vAlign w:val="center"/>
            <w:hideMark/>
          </w:tcPr>
          <w:p w14:paraId="6B809DCE"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68,9</w:t>
            </w:r>
          </w:p>
        </w:tc>
        <w:tc>
          <w:tcPr>
            <w:tcW w:w="820" w:type="dxa"/>
            <w:tcBorders>
              <w:top w:val="nil"/>
              <w:left w:val="nil"/>
              <w:bottom w:val="single" w:sz="4" w:space="0" w:color="auto"/>
              <w:right w:val="single" w:sz="4" w:space="0" w:color="auto"/>
            </w:tcBorders>
            <w:shd w:val="clear" w:color="auto" w:fill="FFE599" w:themeFill="accent4" w:themeFillTint="66"/>
            <w:vAlign w:val="center"/>
          </w:tcPr>
          <w:p w14:paraId="4032D262" w14:textId="77777777" w:rsidR="00C54BC9" w:rsidRPr="006A4DC2" w:rsidRDefault="00C54BC9" w:rsidP="00682CBF">
            <w:pPr>
              <w:spacing w:after="0" w:line="240" w:lineRule="auto"/>
              <w:jc w:val="right"/>
              <w:rPr>
                <w:rFonts w:ascii="Times New Roman" w:eastAsia="Times New Roman" w:hAnsi="Times New Roman" w:cs="Times New Roman"/>
                <w:b/>
                <w:bCs/>
                <w:color w:val="000000" w:themeColor="text1"/>
                <w:sz w:val="20"/>
                <w:szCs w:val="20"/>
                <w:lang w:eastAsia="tr-TR"/>
              </w:rPr>
            </w:pPr>
            <w:r w:rsidRPr="006A4DC2">
              <w:rPr>
                <w:rFonts w:ascii="Times New Roman" w:hAnsi="Times New Roman" w:cs="Times New Roman"/>
                <w:color w:val="000000" w:themeColor="text1"/>
                <w:sz w:val="20"/>
                <w:szCs w:val="20"/>
              </w:rPr>
              <w:t xml:space="preserve">-7,52 </w:t>
            </w:r>
          </w:p>
        </w:tc>
      </w:tr>
    </w:tbl>
    <w:p w14:paraId="271A5411" w14:textId="77777777" w:rsidR="00C54BC9" w:rsidRPr="006A4DC2" w:rsidRDefault="00C54BC9" w:rsidP="00C54BC9">
      <w:pPr>
        <w:spacing w:after="0" w:line="240" w:lineRule="auto"/>
        <w:rPr>
          <w:rFonts w:ascii="Times New Roman" w:hAnsi="Times New Roman" w:cs="Times New Roman"/>
          <w:color w:val="000000" w:themeColor="text1"/>
          <w:sz w:val="20"/>
          <w:szCs w:val="20"/>
        </w:rPr>
      </w:pPr>
      <w:r w:rsidRPr="006A4DC2">
        <w:rPr>
          <w:rFonts w:ascii="Times New Roman" w:hAnsi="Times New Roman" w:cs="Times New Roman"/>
          <w:b/>
          <w:bCs/>
          <w:color w:val="000000" w:themeColor="text1"/>
          <w:sz w:val="20"/>
          <w:szCs w:val="20"/>
        </w:rPr>
        <w:t xml:space="preserve">Kaynak: </w:t>
      </w:r>
      <w:r w:rsidRPr="006A4DC2">
        <w:rPr>
          <w:rFonts w:ascii="Times New Roman" w:hAnsi="Times New Roman" w:cs="Times New Roman"/>
          <w:color w:val="000000" w:themeColor="text1"/>
          <w:sz w:val="20"/>
          <w:szCs w:val="20"/>
        </w:rPr>
        <w:t xml:space="preserve">TCMB verileri derlenerek yazar tarafından oluşturulmuştur. </w:t>
      </w:r>
    </w:p>
    <w:p w14:paraId="068B035F" w14:textId="00ED8666" w:rsidR="00C54BC9" w:rsidRPr="00164238" w:rsidRDefault="006A4DC2" w:rsidP="006A4DC2">
      <w:pPr>
        <w:spacing w:before="120" w:after="120" w:line="360" w:lineRule="auto"/>
        <w:ind w:firstLine="567"/>
        <w:jc w:val="both"/>
        <w:rPr>
          <w:rFonts w:ascii="Times New Roman" w:hAnsi="Times New Roman" w:cs="Times New Roman"/>
          <w:b/>
          <w:bCs/>
          <w:color w:val="000000" w:themeColor="text1"/>
          <w:sz w:val="20"/>
          <w:szCs w:val="20"/>
        </w:rPr>
      </w:pPr>
      <w:r>
        <w:rPr>
          <w:rFonts w:ascii="Times New Roman" w:hAnsi="Times New Roman" w:cs="Times New Roman"/>
          <w:b/>
          <w:bCs/>
          <w:color w:val="000000" w:themeColor="text1"/>
          <w:sz w:val="20"/>
          <w:szCs w:val="20"/>
        </w:rPr>
        <w:t>İ</w:t>
      </w:r>
      <w:r w:rsidR="00C54BC9" w:rsidRPr="00164238">
        <w:rPr>
          <w:rFonts w:ascii="Times New Roman" w:hAnsi="Times New Roman" w:cs="Times New Roman"/>
          <w:b/>
          <w:bCs/>
          <w:color w:val="000000" w:themeColor="text1"/>
          <w:sz w:val="20"/>
          <w:szCs w:val="20"/>
        </w:rPr>
        <w:t>stihdam</w:t>
      </w:r>
    </w:p>
    <w:p w14:paraId="1E0D18D3" w14:textId="77777777" w:rsidR="00C54BC9" w:rsidRPr="00164238" w:rsidRDefault="00C54BC9" w:rsidP="006A4DC2">
      <w:pPr>
        <w:spacing w:before="120" w:after="120" w:line="276" w:lineRule="auto"/>
        <w:ind w:firstLine="567"/>
        <w:jc w:val="both"/>
        <w:rPr>
          <w:rFonts w:ascii="Times New Roman" w:hAnsi="Times New Roman" w:cs="Times New Roman"/>
          <w:color w:val="000000" w:themeColor="text1"/>
          <w:sz w:val="20"/>
          <w:szCs w:val="20"/>
        </w:rPr>
      </w:pPr>
      <w:bookmarkStart w:id="85" w:name="_Hlk68864725"/>
      <w:r w:rsidRPr="00164238">
        <w:rPr>
          <w:rFonts w:ascii="Times New Roman" w:hAnsi="Times New Roman" w:cs="Times New Roman"/>
          <w:color w:val="000000" w:themeColor="text1"/>
          <w:sz w:val="20"/>
          <w:szCs w:val="20"/>
        </w:rPr>
        <w:t xml:space="preserve">Covid 19 vakasının ülkemizde resmi olarak tespit edildiği ve açıklandığı 2020 yılı Mart ayından  itibaren kısıtlamalara gidilmesi ile birlikte talebin azalması, üretimin yavaşlaması istihdamı olumsuz etkilemiştir. 2020 yılı Mart ayında başlayan kısmi kısıtlama önlemleri ile sanayi istihdam endeksi bir önceki yılın aynı ayına göre düşmeye başlamış, kısıtlamaların kapsamının genişletilmesi ve tam kapanma ile birlikte 2020 yılı Nisan ayında sanayi istihdam endeksi keskin bir şekilde düşmüş ve bu durum 2020 Mayıs ayında da devam etmiştir. Kısıtlamaların gevşetilmesi ile birlikte 2020 Haziran ayından itibaren sanayi istihdam endeksi yükselmeye başlamıştır. </w:t>
      </w:r>
      <w:bookmarkEnd w:id="85"/>
    </w:p>
    <w:p w14:paraId="2F0182A2" w14:textId="77777777" w:rsidR="006A4DC2" w:rsidRDefault="00C54BC9" w:rsidP="006A4DC2">
      <w:pPr>
        <w:spacing w:before="120" w:after="120" w:line="276" w:lineRule="auto"/>
        <w:ind w:firstLine="567"/>
        <w:jc w:val="both"/>
        <w:rPr>
          <w:rFonts w:ascii="Times New Roman" w:hAnsi="Times New Roman" w:cs="Times New Roman"/>
          <w:b/>
          <w:bCs/>
          <w:color w:val="000000" w:themeColor="text1"/>
        </w:rPr>
      </w:pPr>
      <w:r w:rsidRPr="00164238">
        <w:rPr>
          <w:rFonts w:ascii="Times New Roman" w:hAnsi="Times New Roman" w:cs="Times New Roman"/>
          <w:color w:val="000000" w:themeColor="text1"/>
          <w:sz w:val="20"/>
          <w:szCs w:val="20"/>
        </w:rPr>
        <w:t>İmalat sanayiinin de içinde yer aldığı sanayi istihdam endeksinin gösterildiği Tablo 3’de 2019 ile 2020 yılları arasında sanayi istihdam endeksinin 2020 yılı içerisinde geçen yılın aynı ayına göre Mart, Nisan, Mayıs ve Temmuz aylarında düşüş gösterdiği görülmüştür. 2020 yılı içerisinde 2015 yılı (=100) referans değerine göre istihdam endeksi Mart ayında 78.2, Nisan ayında ise 84.1 olmuştur. Toplam sanayi endeksinin bir önceki yılın aynı ayına göre en fazla düştüğü aylar sırasıyla %31,16 ile Nisan ve %30,50 ile Mayıs ayları olduğu görülmüştür.</w:t>
      </w:r>
      <w:r w:rsidRPr="00164238">
        <w:rPr>
          <w:rFonts w:ascii="Times New Roman" w:hAnsi="Times New Roman" w:cs="Times New Roman"/>
          <w:b/>
          <w:bCs/>
          <w:color w:val="000000" w:themeColor="text1"/>
        </w:rPr>
        <w:t xml:space="preserve">    </w:t>
      </w:r>
    </w:p>
    <w:p w14:paraId="3971447F" w14:textId="1509AB68" w:rsidR="00C54BC9" w:rsidRPr="00164238" w:rsidRDefault="00C54BC9" w:rsidP="006A4DC2">
      <w:pPr>
        <w:spacing w:before="120" w:after="120" w:line="360" w:lineRule="auto"/>
        <w:ind w:firstLine="567"/>
        <w:jc w:val="both"/>
        <w:rPr>
          <w:rFonts w:ascii="Times New Roman" w:hAnsi="Times New Roman" w:cs="Times New Roman"/>
          <w:b/>
          <w:bCs/>
          <w:color w:val="000000" w:themeColor="text1"/>
        </w:rPr>
      </w:pPr>
      <w:r w:rsidRPr="006A4DC2">
        <w:rPr>
          <w:rFonts w:ascii="Times New Roman" w:hAnsi="Times New Roman" w:cs="Times New Roman"/>
          <w:b/>
          <w:bCs/>
          <w:color w:val="000000" w:themeColor="text1"/>
          <w:sz w:val="20"/>
          <w:szCs w:val="20"/>
        </w:rPr>
        <w:t>Tablo 3: Toplam Sanayii İstihdam Endeksi (Nace Rev.2) (2015=100</w:t>
      </w:r>
      <w:r w:rsidRPr="00164238">
        <w:rPr>
          <w:rFonts w:ascii="Times New Roman" w:hAnsi="Times New Roman" w:cs="Times New Roman"/>
          <w:b/>
          <w:bCs/>
          <w:color w:val="000000" w:themeColor="text1"/>
        </w:rPr>
        <w:t>)</w:t>
      </w:r>
    </w:p>
    <w:tbl>
      <w:tblPr>
        <w:tblW w:w="8563" w:type="dxa"/>
        <w:jc w:val="center"/>
        <w:tblCellMar>
          <w:left w:w="70" w:type="dxa"/>
          <w:right w:w="70" w:type="dxa"/>
        </w:tblCellMar>
        <w:tblLook w:val="04A0" w:firstRow="1" w:lastRow="0" w:firstColumn="1" w:lastColumn="0" w:noHBand="0" w:noVBand="1"/>
      </w:tblPr>
      <w:tblGrid>
        <w:gridCol w:w="1701"/>
        <w:gridCol w:w="1191"/>
        <w:gridCol w:w="1191"/>
        <w:gridCol w:w="1191"/>
        <w:gridCol w:w="1191"/>
        <w:gridCol w:w="1191"/>
        <w:gridCol w:w="907"/>
      </w:tblGrid>
      <w:tr w:rsidR="00164238" w:rsidRPr="006A4DC2" w14:paraId="16B5CC3A" w14:textId="77777777" w:rsidTr="00682CBF">
        <w:trPr>
          <w:trHeight w:val="300"/>
          <w:jc w:val="center"/>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5D96E0"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p>
        </w:tc>
        <w:tc>
          <w:tcPr>
            <w:tcW w:w="1191" w:type="dxa"/>
            <w:tcBorders>
              <w:top w:val="single" w:sz="4" w:space="0" w:color="auto"/>
              <w:left w:val="nil"/>
              <w:bottom w:val="single" w:sz="4" w:space="0" w:color="auto"/>
              <w:right w:val="single" w:sz="4" w:space="0" w:color="auto"/>
            </w:tcBorders>
            <w:shd w:val="clear" w:color="auto" w:fill="auto"/>
            <w:noWrap/>
            <w:vAlign w:val="center"/>
            <w:hideMark/>
          </w:tcPr>
          <w:p w14:paraId="2671E7F1"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2016</w:t>
            </w:r>
          </w:p>
        </w:tc>
        <w:tc>
          <w:tcPr>
            <w:tcW w:w="1191" w:type="dxa"/>
            <w:tcBorders>
              <w:top w:val="single" w:sz="4" w:space="0" w:color="auto"/>
              <w:left w:val="nil"/>
              <w:bottom w:val="single" w:sz="4" w:space="0" w:color="auto"/>
              <w:right w:val="single" w:sz="4" w:space="0" w:color="auto"/>
            </w:tcBorders>
            <w:shd w:val="clear" w:color="auto" w:fill="auto"/>
            <w:noWrap/>
            <w:vAlign w:val="center"/>
            <w:hideMark/>
          </w:tcPr>
          <w:p w14:paraId="7ADBD6D9"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2017</w:t>
            </w:r>
          </w:p>
        </w:tc>
        <w:tc>
          <w:tcPr>
            <w:tcW w:w="1191" w:type="dxa"/>
            <w:tcBorders>
              <w:top w:val="single" w:sz="4" w:space="0" w:color="auto"/>
              <w:left w:val="nil"/>
              <w:bottom w:val="single" w:sz="4" w:space="0" w:color="auto"/>
              <w:right w:val="single" w:sz="4" w:space="0" w:color="auto"/>
            </w:tcBorders>
            <w:shd w:val="clear" w:color="auto" w:fill="auto"/>
            <w:noWrap/>
            <w:vAlign w:val="center"/>
            <w:hideMark/>
          </w:tcPr>
          <w:p w14:paraId="5ECE3BEA"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2018</w:t>
            </w:r>
          </w:p>
        </w:tc>
        <w:tc>
          <w:tcPr>
            <w:tcW w:w="1191" w:type="dxa"/>
            <w:tcBorders>
              <w:top w:val="single" w:sz="4" w:space="0" w:color="auto"/>
              <w:left w:val="nil"/>
              <w:bottom w:val="single" w:sz="4" w:space="0" w:color="auto"/>
              <w:right w:val="single" w:sz="4" w:space="0" w:color="auto"/>
            </w:tcBorders>
            <w:shd w:val="clear" w:color="auto" w:fill="auto"/>
            <w:noWrap/>
            <w:vAlign w:val="center"/>
            <w:hideMark/>
          </w:tcPr>
          <w:p w14:paraId="28DD6E3B"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2019</w:t>
            </w:r>
          </w:p>
        </w:tc>
        <w:tc>
          <w:tcPr>
            <w:tcW w:w="1191" w:type="dxa"/>
            <w:tcBorders>
              <w:top w:val="single" w:sz="4" w:space="0" w:color="auto"/>
              <w:left w:val="nil"/>
              <w:bottom w:val="single" w:sz="4" w:space="0" w:color="auto"/>
              <w:right w:val="single" w:sz="4" w:space="0" w:color="auto"/>
            </w:tcBorders>
            <w:shd w:val="clear" w:color="auto" w:fill="auto"/>
            <w:noWrap/>
            <w:vAlign w:val="center"/>
            <w:hideMark/>
          </w:tcPr>
          <w:p w14:paraId="51DA8854"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2020</w:t>
            </w:r>
          </w:p>
        </w:tc>
        <w:tc>
          <w:tcPr>
            <w:tcW w:w="907" w:type="dxa"/>
            <w:tcBorders>
              <w:top w:val="single" w:sz="4" w:space="0" w:color="auto"/>
              <w:left w:val="nil"/>
              <w:bottom w:val="single" w:sz="4" w:space="0" w:color="auto"/>
              <w:right w:val="single" w:sz="4" w:space="0" w:color="auto"/>
            </w:tcBorders>
            <w:vAlign w:val="center"/>
          </w:tcPr>
          <w:p w14:paraId="47ACCF83"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w:t>
            </w:r>
          </w:p>
          <w:p w14:paraId="4BA1BBFE"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20/19</w:t>
            </w:r>
          </w:p>
        </w:tc>
      </w:tr>
      <w:tr w:rsidR="00164238" w:rsidRPr="006A4DC2" w14:paraId="488FB2A3" w14:textId="77777777" w:rsidTr="00682CBF">
        <w:trPr>
          <w:trHeight w:val="30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7689573"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Ocak</w:t>
            </w:r>
          </w:p>
        </w:tc>
        <w:tc>
          <w:tcPr>
            <w:tcW w:w="1191" w:type="dxa"/>
            <w:tcBorders>
              <w:top w:val="nil"/>
              <w:left w:val="nil"/>
              <w:bottom w:val="single" w:sz="4" w:space="0" w:color="auto"/>
              <w:right w:val="single" w:sz="4" w:space="0" w:color="auto"/>
            </w:tcBorders>
            <w:shd w:val="clear" w:color="auto" w:fill="auto"/>
            <w:noWrap/>
            <w:vAlign w:val="center"/>
            <w:hideMark/>
          </w:tcPr>
          <w:p w14:paraId="623A4873"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91,3</w:t>
            </w:r>
          </w:p>
        </w:tc>
        <w:tc>
          <w:tcPr>
            <w:tcW w:w="1191" w:type="dxa"/>
            <w:tcBorders>
              <w:top w:val="nil"/>
              <w:left w:val="nil"/>
              <w:bottom w:val="single" w:sz="4" w:space="0" w:color="auto"/>
              <w:right w:val="single" w:sz="4" w:space="0" w:color="auto"/>
            </w:tcBorders>
            <w:shd w:val="clear" w:color="auto" w:fill="auto"/>
            <w:noWrap/>
            <w:vAlign w:val="center"/>
            <w:hideMark/>
          </w:tcPr>
          <w:p w14:paraId="70FA3E4A"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97,1</w:t>
            </w:r>
          </w:p>
        </w:tc>
        <w:tc>
          <w:tcPr>
            <w:tcW w:w="1191" w:type="dxa"/>
            <w:tcBorders>
              <w:top w:val="nil"/>
              <w:left w:val="nil"/>
              <w:bottom w:val="single" w:sz="4" w:space="0" w:color="auto"/>
              <w:right w:val="single" w:sz="4" w:space="0" w:color="auto"/>
            </w:tcBorders>
            <w:shd w:val="clear" w:color="auto" w:fill="auto"/>
            <w:noWrap/>
            <w:vAlign w:val="center"/>
            <w:hideMark/>
          </w:tcPr>
          <w:p w14:paraId="4B3486E8"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109,2</w:t>
            </w:r>
          </w:p>
        </w:tc>
        <w:tc>
          <w:tcPr>
            <w:tcW w:w="1191" w:type="dxa"/>
            <w:tcBorders>
              <w:top w:val="nil"/>
              <w:left w:val="nil"/>
              <w:bottom w:val="single" w:sz="4" w:space="0" w:color="auto"/>
              <w:right w:val="single" w:sz="4" w:space="0" w:color="auto"/>
            </w:tcBorders>
            <w:shd w:val="clear" w:color="auto" w:fill="FFE599" w:themeFill="accent4" w:themeFillTint="66"/>
            <w:noWrap/>
            <w:vAlign w:val="center"/>
            <w:hideMark/>
          </w:tcPr>
          <w:p w14:paraId="39284D05"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101,0</w:t>
            </w:r>
          </w:p>
        </w:tc>
        <w:tc>
          <w:tcPr>
            <w:tcW w:w="1191" w:type="dxa"/>
            <w:tcBorders>
              <w:top w:val="nil"/>
              <w:left w:val="nil"/>
              <w:bottom w:val="single" w:sz="4" w:space="0" w:color="auto"/>
              <w:right w:val="single" w:sz="4" w:space="0" w:color="auto"/>
            </w:tcBorders>
            <w:shd w:val="clear" w:color="auto" w:fill="FFE599" w:themeFill="accent4" w:themeFillTint="66"/>
            <w:noWrap/>
            <w:vAlign w:val="center"/>
            <w:hideMark/>
          </w:tcPr>
          <w:p w14:paraId="5A1F9161"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108,7</w:t>
            </w:r>
          </w:p>
        </w:tc>
        <w:tc>
          <w:tcPr>
            <w:tcW w:w="907" w:type="dxa"/>
            <w:tcBorders>
              <w:top w:val="nil"/>
              <w:left w:val="nil"/>
              <w:bottom w:val="single" w:sz="4" w:space="0" w:color="auto"/>
              <w:right w:val="single" w:sz="4" w:space="0" w:color="auto"/>
            </w:tcBorders>
            <w:shd w:val="clear" w:color="auto" w:fill="FFE599" w:themeFill="accent4" w:themeFillTint="66"/>
            <w:vAlign w:val="center"/>
          </w:tcPr>
          <w:p w14:paraId="08192AE8"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hAnsi="Times New Roman" w:cs="Times New Roman"/>
                <w:color w:val="000000" w:themeColor="text1"/>
                <w:sz w:val="20"/>
                <w:szCs w:val="20"/>
              </w:rPr>
              <w:t>7,62</w:t>
            </w:r>
          </w:p>
        </w:tc>
      </w:tr>
      <w:tr w:rsidR="00164238" w:rsidRPr="006A4DC2" w14:paraId="5D2300B6" w14:textId="77777777" w:rsidTr="00682CBF">
        <w:trPr>
          <w:trHeight w:val="300"/>
          <w:jc w:val="center"/>
        </w:trPr>
        <w:tc>
          <w:tcPr>
            <w:tcW w:w="1701" w:type="dxa"/>
            <w:tcBorders>
              <w:top w:val="nil"/>
              <w:left w:val="single" w:sz="4" w:space="0" w:color="auto"/>
              <w:bottom w:val="single" w:sz="4" w:space="0" w:color="auto"/>
              <w:right w:val="single" w:sz="4" w:space="0" w:color="auto"/>
            </w:tcBorders>
            <w:shd w:val="clear" w:color="auto" w:fill="auto"/>
            <w:noWrap/>
            <w:vAlign w:val="center"/>
          </w:tcPr>
          <w:p w14:paraId="4BC5056F"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Şubat</w:t>
            </w:r>
          </w:p>
        </w:tc>
        <w:tc>
          <w:tcPr>
            <w:tcW w:w="1191" w:type="dxa"/>
            <w:tcBorders>
              <w:top w:val="nil"/>
              <w:left w:val="nil"/>
              <w:bottom w:val="single" w:sz="4" w:space="0" w:color="auto"/>
              <w:right w:val="single" w:sz="4" w:space="0" w:color="auto"/>
            </w:tcBorders>
            <w:shd w:val="clear" w:color="auto" w:fill="auto"/>
            <w:noWrap/>
            <w:vAlign w:val="center"/>
            <w:hideMark/>
          </w:tcPr>
          <w:p w14:paraId="606E5494"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95,8</w:t>
            </w:r>
          </w:p>
        </w:tc>
        <w:tc>
          <w:tcPr>
            <w:tcW w:w="1191" w:type="dxa"/>
            <w:tcBorders>
              <w:top w:val="nil"/>
              <w:left w:val="nil"/>
              <w:bottom w:val="single" w:sz="4" w:space="0" w:color="auto"/>
              <w:right w:val="single" w:sz="4" w:space="0" w:color="auto"/>
            </w:tcBorders>
            <w:shd w:val="clear" w:color="auto" w:fill="auto"/>
            <w:noWrap/>
            <w:vAlign w:val="center"/>
            <w:hideMark/>
          </w:tcPr>
          <w:p w14:paraId="03AFA921"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96,2</w:t>
            </w:r>
          </w:p>
        </w:tc>
        <w:tc>
          <w:tcPr>
            <w:tcW w:w="1191" w:type="dxa"/>
            <w:tcBorders>
              <w:top w:val="nil"/>
              <w:left w:val="nil"/>
              <w:bottom w:val="single" w:sz="4" w:space="0" w:color="auto"/>
              <w:right w:val="single" w:sz="4" w:space="0" w:color="auto"/>
            </w:tcBorders>
            <w:shd w:val="clear" w:color="auto" w:fill="auto"/>
            <w:noWrap/>
            <w:vAlign w:val="center"/>
            <w:hideMark/>
          </w:tcPr>
          <w:p w14:paraId="04F81808"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105,3</w:t>
            </w:r>
          </w:p>
        </w:tc>
        <w:tc>
          <w:tcPr>
            <w:tcW w:w="1191" w:type="dxa"/>
            <w:tcBorders>
              <w:top w:val="nil"/>
              <w:left w:val="nil"/>
              <w:bottom w:val="single" w:sz="4" w:space="0" w:color="auto"/>
              <w:right w:val="single" w:sz="4" w:space="0" w:color="auto"/>
            </w:tcBorders>
            <w:shd w:val="clear" w:color="auto" w:fill="FFE599" w:themeFill="accent4" w:themeFillTint="66"/>
            <w:noWrap/>
            <w:vAlign w:val="center"/>
            <w:hideMark/>
          </w:tcPr>
          <w:p w14:paraId="3CBE917F"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100,1</w:t>
            </w:r>
          </w:p>
        </w:tc>
        <w:tc>
          <w:tcPr>
            <w:tcW w:w="1191" w:type="dxa"/>
            <w:tcBorders>
              <w:top w:val="nil"/>
              <w:left w:val="nil"/>
              <w:bottom w:val="single" w:sz="4" w:space="0" w:color="auto"/>
              <w:right w:val="single" w:sz="4" w:space="0" w:color="auto"/>
            </w:tcBorders>
            <w:shd w:val="clear" w:color="auto" w:fill="FFE599" w:themeFill="accent4" w:themeFillTint="66"/>
            <w:noWrap/>
            <w:vAlign w:val="center"/>
            <w:hideMark/>
          </w:tcPr>
          <w:p w14:paraId="75E07D84"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111,4</w:t>
            </w:r>
          </w:p>
        </w:tc>
        <w:tc>
          <w:tcPr>
            <w:tcW w:w="907" w:type="dxa"/>
            <w:tcBorders>
              <w:top w:val="nil"/>
              <w:left w:val="nil"/>
              <w:bottom w:val="single" w:sz="4" w:space="0" w:color="auto"/>
              <w:right w:val="single" w:sz="4" w:space="0" w:color="auto"/>
            </w:tcBorders>
            <w:shd w:val="clear" w:color="auto" w:fill="FFE599" w:themeFill="accent4" w:themeFillTint="66"/>
            <w:vAlign w:val="center"/>
          </w:tcPr>
          <w:p w14:paraId="403C1CA0"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hAnsi="Times New Roman" w:cs="Times New Roman"/>
                <w:color w:val="000000" w:themeColor="text1"/>
                <w:sz w:val="20"/>
                <w:szCs w:val="20"/>
              </w:rPr>
              <w:t>11,29</w:t>
            </w:r>
          </w:p>
        </w:tc>
      </w:tr>
      <w:tr w:rsidR="00164238" w:rsidRPr="006A4DC2" w14:paraId="628620BE" w14:textId="77777777" w:rsidTr="00682CBF">
        <w:trPr>
          <w:trHeight w:val="300"/>
          <w:jc w:val="center"/>
        </w:trPr>
        <w:tc>
          <w:tcPr>
            <w:tcW w:w="1701" w:type="dxa"/>
            <w:tcBorders>
              <w:top w:val="nil"/>
              <w:left w:val="single" w:sz="4" w:space="0" w:color="auto"/>
              <w:bottom w:val="single" w:sz="4" w:space="0" w:color="auto"/>
              <w:right w:val="single" w:sz="4" w:space="0" w:color="auto"/>
            </w:tcBorders>
            <w:shd w:val="clear" w:color="auto" w:fill="auto"/>
            <w:noWrap/>
            <w:vAlign w:val="center"/>
          </w:tcPr>
          <w:p w14:paraId="22DF371C"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Mart</w:t>
            </w:r>
          </w:p>
        </w:tc>
        <w:tc>
          <w:tcPr>
            <w:tcW w:w="1191" w:type="dxa"/>
            <w:tcBorders>
              <w:top w:val="nil"/>
              <w:left w:val="nil"/>
              <w:bottom w:val="single" w:sz="4" w:space="0" w:color="auto"/>
              <w:right w:val="single" w:sz="4" w:space="0" w:color="auto"/>
            </w:tcBorders>
            <w:shd w:val="clear" w:color="auto" w:fill="auto"/>
            <w:noWrap/>
            <w:vAlign w:val="center"/>
            <w:hideMark/>
          </w:tcPr>
          <w:p w14:paraId="685203B6"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106,4</w:t>
            </w:r>
          </w:p>
        </w:tc>
        <w:tc>
          <w:tcPr>
            <w:tcW w:w="1191" w:type="dxa"/>
            <w:tcBorders>
              <w:top w:val="nil"/>
              <w:left w:val="nil"/>
              <w:bottom w:val="single" w:sz="4" w:space="0" w:color="auto"/>
              <w:right w:val="single" w:sz="4" w:space="0" w:color="auto"/>
            </w:tcBorders>
            <w:shd w:val="clear" w:color="auto" w:fill="auto"/>
            <w:noWrap/>
            <w:vAlign w:val="center"/>
            <w:hideMark/>
          </w:tcPr>
          <w:p w14:paraId="2D655574"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113,2</w:t>
            </w:r>
          </w:p>
        </w:tc>
        <w:tc>
          <w:tcPr>
            <w:tcW w:w="1191" w:type="dxa"/>
            <w:tcBorders>
              <w:top w:val="nil"/>
              <w:left w:val="nil"/>
              <w:bottom w:val="single" w:sz="4" w:space="0" w:color="auto"/>
              <w:right w:val="single" w:sz="4" w:space="0" w:color="auto"/>
            </w:tcBorders>
            <w:shd w:val="clear" w:color="auto" w:fill="auto"/>
            <w:noWrap/>
            <w:vAlign w:val="center"/>
            <w:hideMark/>
          </w:tcPr>
          <w:p w14:paraId="238C120B"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120,7</w:t>
            </w:r>
          </w:p>
        </w:tc>
        <w:tc>
          <w:tcPr>
            <w:tcW w:w="1191" w:type="dxa"/>
            <w:tcBorders>
              <w:top w:val="nil"/>
              <w:left w:val="nil"/>
              <w:bottom w:val="single" w:sz="4" w:space="0" w:color="auto"/>
              <w:right w:val="single" w:sz="4" w:space="0" w:color="auto"/>
            </w:tcBorders>
            <w:shd w:val="clear" w:color="auto" w:fill="FFE599" w:themeFill="accent4" w:themeFillTint="66"/>
            <w:noWrap/>
            <w:vAlign w:val="center"/>
            <w:hideMark/>
          </w:tcPr>
          <w:p w14:paraId="4F9CEDBD"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115,1</w:t>
            </w:r>
          </w:p>
        </w:tc>
        <w:tc>
          <w:tcPr>
            <w:tcW w:w="1191" w:type="dxa"/>
            <w:tcBorders>
              <w:top w:val="nil"/>
              <w:left w:val="nil"/>
              <w:bottom w:val="single" w:sz="4" w:space="0" w:color="auto"/>
              <w:right w:val="single" w:sz="4" w:space="0" w:color="auto"/>
            </w:tcBorders>
            <w:shd w:val="clear" w:color="auto" w:fill="FFE599" w:themeFill="accent4" w:themeFillTint="66"/>
            <w:noWrap/>
            <w:vAlign w:val="center"/>
            <w:hideMark/>
          </w:tcPr>
          <w:p w14:paraId="525938E9"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114,0</w:t>
            </w:r>
          </w:p>
        </w:tc>
        <w:tc>
          <w:tcPr>
            <w:tcW w:w="907" w:type="dxa"/>
            <w:tcBorders>
              <w:top w:val="nil"/>
              <w:left w:val="nil"/>
              <w:bottom w:val="single" w:sz="4" w:space="0" w:color="auto"/>
              <w:right w:val="single" w:sz="4" w:space="0" w:color="auto"/>
            </w:tcBorders>
            <w:shd w:val="clear" w:color="auto" w:fill="FFF2CC" w:themeFill="accent4" w:themeFillTint="33"/>
            <w:vAlign w:val="center"/>
          </w:tcPr>
          <w:p w14:paraId="43E926E6"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hAnsi="Times New Roman" w:cs="Times New Roman"/>
                <w:color w:val="000000" w:themeColor="text1"/>
                <w:sz w:val="20"/>
                <w:szCs w:val="20"/>
              </w:rPr>
              <w:t>-0,96</w:t>
            </w:r>
          </w:p>
        </w:tc>
      </w:tr>
      <w:tr w:rsidR="00164238" w:rsidRPr="006A4DC2" w14:paraId="6A86E34D" w14:textId="77777777" w:rsidTr="00682CBF">
        <w:trPr>
          <w:trHeight w:val="300"/>
          <w:jc w:val="center"/>
        </w:trPr>
        <w:tc>
          <w:tcPr>
            <w:tcW w:w="1701" w:type="dxa"/>
            <w:tcBorders>
              <w:top w:val="nil"/>
              <w:left w:val="single" w:sz="4" w:space="0" w:color="auto"/>
              <w:bottom w:val="single" w:sz="4" w:space="0" w:color="auto"/>
              <w:right w:val="single" w:sz="4" w:space="0" w:color="auto"/>
            </w:tcBorders>
            <w:shd w:val="clear" w:color="auto" w:fill="auto"/>
            <w:noWrap/>
            <w:vAlign w:val="center"/>
          </w:tcPr>
          <w:p w14:paraId="4EA2F509"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Nisan</w:t>
            </w:r>
          </w:p>
        </w:tc>
        <w:tc>
          <w:tcPr>
            <w:tcW w:w="1191" w:type="dxa"/>
            <w:tcBorders>
              <w:top w:val="nil"/>
              <w:left w:val="nil"/>
              <w:bottom w:val="single" w:sz="4" w:space="0" w:color="auto"/>
              <w:right w:val="single" w:sz="4" w:space="0" w:color="auto"/>
            </w:tcBorders>
            <w:shd w:val="clear" w:color="auto" w:fill="auto"/>
            <w:noWrap/>
            <w:vAlign w:val="center"/>
            <w:hideMark/>
          </w:tcPr>
          <w:p w14:paraId="5C9F3635"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102,7</w:t>
            </w:r>
          </w:p>
        </w:tc>
        <w:tc>
          <w:tcPr>
            <w:tcW w:w="1191" w:type="dxa"/>
            <w:tcBorders>
              <w:top w:val="nil"/>
              <w:left w:val="nil"/>
              <w:bottom w:val="single" w:sz="4" w:space="0" w:color="auto"/>
              <w:right w:val="single" w:sz="4" w:space="0" w:color="auto"/>
            </w:tcBorders>
            <w:shd w:val="clear" w:color="auto" w:fill="auto"/>
            <w:noWrap/>
            <w:vAlign w:val="center"/>
            <w:hideMark/>
          </w:tcPr>
          <w:p w14:paraId="62EF6439"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110,2</w:t>
            </w:r>
          </w:p>
        </w:tc>
        <w:tc>
          <w:tcPr>
            <w:tcW w:w="1191" w:type="dxa"/>
            <w:tcBorders>
              <w:top w:val="nil"/>
              <w:left w:val="nil"/>
              <w:bottom w:val="single" w:sz="4" w:space="0" w:color="auto"/>
              <w:right w:val="single" w:sz="4" w:space="0" w:color="auto"/>
            </w:tcBorders>
            <w:shd w:val="clear" w:color="auto" w:fill="auto"/>
            <w:noWrap/>
            <w:vAlign w:val="center"/>
            <w:hideMark/>
          </w:tcPr>
          <w:p w14:paraId="14E4B7CD"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114,9</w:t>
            </w:r>
          </w:p>
        </w:tc>
        <w:tc>
          <w:tcPr>
            <w:tcW w:w="1191" w:type="dxa"/>
            <w:tcBorders>
              <w:top w:val="nil"/>
              <w:left w:val="nil"/>
              <w:bottom w:val="single" w:sz="4" w:space="0" w:color="auto"/>
              <w:right w:val="single" w:sz="4" w:space="0" w:color="auto"/>
            </w:tcBorders>
            <w:shd w:val="clear" w:color="auto" w:fill="FFE599" w:themeFill="accent4" w:themeFillTint="66"/>
            <w:noWrap/>
            <w:vAlign w:val="center"/>
            <w:hideMark/>
          </w:tcPr>
          <w:p w14:paraId="256BE5D4"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113,6</w:t>
            </w:r>
          </w:p>
        </w:tc>
        <w:tc>
          <w:tcPr>
            <w:tcW w:w="1191" w:type="dxa"/>
            <w:tcBorders>
              <w:top w:val="nil"/>
              <w:left w:val="nil"/>
              <w:bottom w:val="single" w:sz="4" w:space="0" w:color="auto"/>
              <w:right w:val="single" w:sz="4" w:space="0" w:color="auto"/>
            </w:tcBorders>
            <w:shd w:val="clear" w:color="auto" w:fill="FFF2CC" w:themeFill="accent4" w:themeFillTint="33"/>
            <w:noWrap/>
            <w:vAlign w:val="center"/>
            <w:hideMark/>
          </w:tcPr>
          <w:p w14:paraId="375CABE4"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78,2</w:t>
            </w:r>
          </w:p>
        </w:tc>
        <w:tc>
          <w:tcPr>
            <w:tcW w:w="907" w:type="dxa"/>
            <w:tcBorders>
              <w:top w:val="nil"/>
              <w:left w:val="nil"/>
              <w:bottom w:val="single" w:sz="4" w:space="0" w:color="auto"/>
              <w:right w:val="single" w:sz="4" w:space="0" w:color="auto"/>
            </w:tcBorders>
            <w:shd w:val="clear" w:color="auto" w:fill="FFF2CC" w:themeFill="accent4" w:themeFillTint="33"/>
            <w:vAlign w:val="center"/>
          </w:tcPr>
          <w:p w14:paraId="793B144E"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hAnsi="Times New Roman" w:cs="Times New Roman"/>
                <w:color w:val="000000" w:themeColor="text1"/>
                <w:sz w:val="20"/>
                <w:szCs w:val="20"/>
              </w:rPr>
              <w:t>-31,16</w:t>
            </w:r>
          </w:p>
        </w:tc>
      </w:tr>
      <w:tr w:rsidR="00164238" w:rsidRPr="006A4DC2" w14:paraId="6CD236B5" w14:textId="77777777" w:rsidTr="00682CBF">
        <w:trPr>
          <w:trHeight w:val="300"/>
          <w:jc w:val="center"/>
        </w:trPr>
        <w:tc>
          <w:tcPr>
            <w:tcW w:w="1701" w:type="dxa"/>
            <w:tcBorders>
              <w:top w:val="nil"/>
              <w:left w:val="single" w:sz="4" w:space="0" w:color="auto"/>
              <w:bottom w:val="single" w:sz="4" w:space="0" w:color="auto"/>
              <w:right w:val="single" w:sz="4" w:space="0" w:color="auto"/>
            </w:tcBorders>
            <w:shd w:val="clear" w:color="auto" w:fill="auto"/>
            <w:noWrap/>
            <w:vAlign w:val="center"/>
          </w:tcPr>
          <w:p w14:paraId="53CB01A0"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 xml:space="preserve">Mayıs </w:t>
            </w:r>
          </w:p>
        </w:tc>
        <w:tc>
          <w:tcPr>
            <w:tcW w:w="1191" w:type="dxa"/>
            <w:tcBorders>
              <w:top w:val="nil"/>
              <w:left w:val="nil"/>
              <w:bottom w:val="single" w:sz="4" w:space="0" w:color="auto"/>
              <w:right w:val="single" w:sz="4" w:space="0" w:color="auto"/>
            </w:tcBorders>
            <w:shd w:val="clear" w:color="auto" w:fill="auto"/>
            <w:noWrap/>
            <w:vAlign w:val="center"/>
            <w:hideMark/>
          </w:tcPr>
          <w:p w14:paraId="2E0A2C3F"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107,1</w:t>
            </w:r>
          </w:p>
        </w:tc>
        <w:tc>
          <w:tcPr>
            <w:tcW w:w="1191" w:type="dxa"/>
            <w:tcBorders>
              <w:top w:val="nil"/>
              <w:left w:val="nil"/>
              <w:bottom w:val="single" w:sz="4" w:space="0" w:color="auto"/>
              <w:right w:val="single" w:sz="4" w:space="0" w:color="auto"/>
            </w:tcBorders>
            <w:shd w:val="clear" w:color="auto" w:fill="auto"/>
            <w:noWrap/>
            <w:vAlign w:val="center"/>
            <w:hideMark/>
          </w:tcPr>
          <w:p w14:paraId="57502D8C"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113,7</w:t>
            </w:r>
          </w:p>
        </w:tc>
        <w:tc>
          <w:tcPr>
            <w:tcW w:w="1191" w:type="dxa"/>
            <w:tcBorders>
              <w:top w:val="nil"/>
              <w:left w:val="nil"/>
              <w:bottom w:val="single" w:sz="4" w:space="0" w:color="auto"/>
              <w:right w:val="single" w:sz="4" w:space="0" w:color="auto"/>
            </w:tcBorders>
            <w:shd w:val="clear" w:color="auto" w:fill="auto"/>
            <w:noWrap/>
            <w:vAlign w:val="center"/>
            <w:hideMark/>
          </w:tcPr>
          <w:p w14:paraId="39F04AB2"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121,1</w:t>
            </w:r>
          </w:p>
        </w:tc>
        <w:tc>
          <w:tcPr>
            <w:tcW w:w="1191" w:type="dxa"/>
            <w:tcBorders>
              <w:top w:val="nil"/>
              <w:left w:val="nil"/>
              <w:bottom w:val="single" w:sz="4" w:space="0" w:color="auto"/>
              <w:right w:val="single" w:sz="4" w:space="0" w:color="auto"/>
            </w:tcBorders>
            <w:shd w:val="clear" w:color="auto" w:fill="FFE599" w:themeFill="accent4" w:themeFillTint="66"/>
            <w:noWrap/>
            <w:vAlign w:val="center"/>
            <w:hideMark/>
          </w:tcPr>
          <w:p w14:paraId="526E6BA6"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121,0</w:t>
            </w:r>
          </w:p>
        </w:tc>
        <w:tc>
          <w:tcPr>
            <w:tcW w:w="1191" w:type="dxa"/>
            <w:tcBorders>
              <w:top w:val="nil"/>
              <w:left w:val="nil"/>
              <w:bottom w:val="single" w:sz="4" w:space="0" w:color="auto"/>
              <w:right w:val="single" w:sz="4" w:space="0" w:color="auto"/>
            </w:tcBorders>
            <w:shd w:val="clear" w:color="auto" w:fill="FFF2CC" w:themeFill="accent4" w:themeFillTint="33"/>
            <w:noWrap/>
            <w:vAlign w:val="center"/>
            <w:hideMark/>
          </w:tcPr>
          <w:p w14:paraId="7124A91A"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84,1</w:t>
            </w:r>
          </w:p>
        </w:tc>
        <w:tc>
          <w:tcPr>
            <w:tcW w:w="907" w:type="dxa"/>
            <w:tcBorders>
              <w:top w:val="nil"/>
              <w:left w:val="nil"/>
              <w:bottom w:val="single" w:sz="4" w:space="0" w:color="auto"/>
              <w:right w:val="single" w:sz="4" w:space="0" w:color="auto"/>
            </w:tcBorders>
            <w:shd w:val="clear" w:color="auto" w:fill="FFF2CC" w:themeFill="accent4" w:themeFillTint="33"/>
            <w:vAlign w:val="center"/>
          </w:tcPr>
          <w:p w14:paraId="26783692"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hAnsi="Times New Roman" w:cs="Times New Roman"/>
                <w:color w:val="000000" w:themeColor="text1"/>
                <w:sz w:val="20"/>
                <w:szCs w:val="20"/>
              </w:rPr>
              <w:t>-30,50</w:t>
            </w:r>
          </w:p>
        </w:tc>
      </w:tr>
      <w:tr w:rsidR="00164238" w:rsidRPr="006A4DC2" w14:paraId="0F3BAE95" w14:textId="77777777" w:rsidTr="00682CBF">
        <w:trPr>
          <w:trHeight w:val="300"/>
          <w:jc w:val="center"/>
        </w:trPr>
        <w:tc>
          <w:tcPr>
            <w:tcW w:w="1701" w:type="dxa"/>
            <w:tcBorders>
              <w:top w:val="nil"/>
              <w:left w:val="single" w:sz="4" w:space="0" w:color="auto"/>
              <w:bottom w:val="single" w:sz="4" w:space="0" w:color="auto"/>
              <w:right w:val="single" w:sz="4" w:space="0" w:color="auto"/>
            </w:tcBorders>
            <w:shd w:val="clear" w:color="auto" w:fill="auto"/>
            <w:noWrap/>
            <w:vAlign w:val="center"/>
          </w:tcPr>
          <w:p w14:paraId="5789BC62"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Haziran</w:t>
            </w:r>
          </w:p>
        </w:tc>
        <w:tc>
          <w:tcPr>
            <w:tcW w:w="1191" w:type="dxa"/>
            <w:tcBorders>
              <w:top w:val="nil"/>
              <w:left w:val="nil"/>
              <w:bottom w:val="single" w:sz="4" w:space="0" w:color="auto"/>
              <w:right w:val="single" w:sz="4" w:space="0" w:color="auto"/>
            </w:tcBorders>
            <w:shd w:val="clear" w:color="auto" w:fill="auto"/>
            <w:noWrap/>
            <w:vAlign w:val="center"/>
            <w:hideMark/>
          </w:tcPr>
          <w:p w14:paraId="5A0CD48A"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107,4</w:t>
            </w:r>
          </w:p>
        </w:tc>
        <w:tc>
          <w:tcPr>
            <w:tcW w:w="1191" w:type="dxa"/>
            <w:tcBorders>
              <w:top w:val="nil"/>
              <w:left w:val="nil"/>
              <w:bottom w:val="single" w:sz="4" w:space="0" w:color="auto"/>
              <w:right w:val="single" w:sz="4" w:space="0" w:color="auto"/>
            </w:tcBorders>
            <w:shd w:val="clear" w:color="auto" w:fill="auto"/>
            <w:noWrap/>
            <w:vAlign w:val="center"/>
            <w:hideMark/>
          </w:tcPr>
          <w:p w14:paraId="3942A346"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105,1</w:t>
            </w:r>
          </w:p>
        </w:tc>
        <w:tc>
          <w:tcPr>
            <w:tcW w:w="1191" w:type="dxa"/>
            <w:tcBorders>
              <w:top w:val="nil"/>
              <w:left w:val="nil"/>
              <w:bottom w:val="single" w:sz="4" w:space="0" w:color="auto"/>
              <w:right w:val="single" w:sz="4" w:space="0" w:color="auto"/>
            </w:tcBorders>
            <w:shd w:val="clear" w:color="auto" w:fill="auto"/>
            <w:noWrap/>
            <w:vAlign w:val="center"/>
            <w:hideMark/>
          </w:tcPr>
          <w:p w14:paraId="4C7E98E8"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107,2</w:t>
            </w:r>
          </w:p>
        </w:tc>
        <w:tc>
          <w:tcPr>
            <w:tcW w:w="1191" w:type="dxa"/>
            <w:tcBorders>
              <w:top w:val="nil"/>
              <w:left w:val="nil"/>
              <w:bottom w:val="single" w:sz="4" w:space="0" w:color="auto"/>
              <w:right w:val="single" w:sz="4" w:space="0" w:color="auto"/>
            </w:tcBorders>
            <w:shd w:val="clear" w:color="auto" w:fill="FFE599" w:themeFill="accent4" w:themeFillTint="66"/>
            <w:noWrap/>
            <w:vAlign w:val="center"/>
            <w:hideMark/>
          </w:tcPr>
          <w:p w14:paraId="2FBCEC60"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97,0</w:t>
            </w:r>
          </w:p>
        </w:tc>
        <w:tc>
          <w:tcPr>
            <w:tcW w:w="1191" w:type="dxa"/>
            <w:tcBorders>
              <w:top w:val="nil"/>
              <w:left w:val="nil"/>
              <w:bottom w:val="single" w:sz="4" w:space="0" w:color="auto"/>
              <w:right w:val="single" w:sz="4" w:space="0" w:color="auto"/>
            </w:tcBorders>
            <w:shd w:val="clear" w:color="auto" w:fill="FFE599" w:themeFill="accent4" w:themeFillTint="66"/>
            <w:noWrap/>
            <w:vAlign w:val="center"/>
            <w:hideMark/>
          </w:tcPr>
          <w:p w14:paraId="7DC4EE85"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114,1</w:t>
            </w:r>
          </w:p>
        </w:tc>
        <w:tc>
          <w:tcPr>
            <w:tcW w:w="907" w:type="dxa"/>
            <w:tcBorders>
              <w:top w:val="nil"/>
              <w:left w:val="nil"/>
              <w:bottom w:val="single" w:sz="4" w:space="0" w:color="auto"/>
              <w:right w:val="single" w:sz="4" w:space="0" w:color="auto"/>
            </w:tcBorders>
            <w:shd w:val="clear" w:color="auto" w:fill="FFE599" w:themeFill="accent4" w:themeFillTint="66"/>
            <w:vAlign w:val="center"/>
          </w:tcPr>
          <w:p w14:paraId="06FF67BF"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hAnsi="Times New Roman" w:cs="Times New Roman"/>
                <w:color w:val="000000" w:themeColor="text1"/>
                <w:sz w:val="20"/>
                <w:szCs w:val="20"/>
              </w:rPr>
              <w:t>17,63</w:t>
            </w:r>
          </w:p>
        </w:tc>
      </w:tr>
      <w:tr w:rsidR="00164238" w:rsidRPr="006A4DC2" w14:paraId="14A49FEF" w14:textId="77777777" w:rsidTr="00682CBF">
        <w:trPr>
          <w:trHeight w:val="300"/>
          <w:jc w:val="center"/>
        </w:trPr>
        <w:tc>
          <w:tcPr>
            <w:tcW w:w="1701" w:type="dxa"/>
            <w:tcBorders>
              <w:top w:val="nil"/>
              <w:left w:val="single" w:sz="4" w:space="0" w:color="auto"/>
              <w:bottom w:val="single" w:sz="4" w:space="0" w:color="auto"/>
              <w:right w:val="single" w:sz="4" w:space="0" w:color="auto"/>
            </w:tcBorders>
            <w:shd w:val="clear" w:color="auto" w:fill="auto"/>
            <w:noWrap/>
            <w:vAlign w:val="center"/>
          </w:tcPr>
          <w:p w14:paraId="7FA53356"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lastRenderedPageBreak/>
              <w:t>Temmuz</w:t>
            </w:r>
          </w:p>
        </w:tc>
        <w:tc>
          <w:tcPr>
            <w:tcW w:w="1191" w:type="dxa"/>
            <w:tcBorders>
              <w:top w:val="nil"/>
              <w:left w:val="nil"/>
              <w:bottom w:val="single" w:sz="4" w:space="0" w:color="auto"/>
              <w:right w:val="single" w:sz="4" w:space="0" w:color="auto"/>
            </w:tcBorders>
            <w:shd w:val="clear" w:color="auto" w:fill="auto"/>
            <w:noWrap/>
            <w:vAlign w:val="center"/>
            <w:hideMark/>
          </w:tcPr>
          <w:p w14:paraId="7FAF66B2"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86,9</w:t>
            </w:r>
          </w:p>
        </w:tc>
        <w:tc>
          <w:tcPr>
            <w:tcW w:w="1191" w:type="dxa"/>
            <w:tcBorders>
              <w:top w:val="nil"/>
              <w:left w:val="nil"/>
              <w:bottom w:val="single" w:sz="4" w:space="0" w:color="auto"/>
              <w:right w:val="single" w:sz="4" w:space="0" w:color="auto"/>
            </w:tcBorders>
            <w:shd w:val="clear" w:color="auto" w:fill="auto"/>
            <w:noWrap/>
            <w:vAlign w:val="center"/>
            <w:hideMark/>
          </w:tcPr>
          <w:p w14:paraId="0703AFA2"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112,5</w:t>
            </w:r>
          </w:p>
        </w:tc>
        <w:tc>
          <w:tcPr>
            <w:tcW w:w="1191" w:type="dxa"/>
            <w:tcBorders>
              <w:top w:val="nil"/>
              <w:left w:val="nil"/>
              <w:bottom w:val="single" w:sz="4" w:space="0" w:color="auto"/>
              <w:right w:val="single" w:sz="4" w:space="0" w:color="auto"/>
            </w:tcBorders>
            <w:shd w:val="clear" w:color="auto" w:fill="auto"/>
            <w:noWrap/>
            <w:vAlign w:val="center"/>
            <w:hideMark/>
          </w:tcPr>
          <w:p w14:paraId="33757BCC"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120,9</w:t>
            </w:r>
          </w:p>
        </w:tc>
        <w:tc>
          <w:tcPr>
            <w:tcW w:w="1191" w:type="dxa"/>
            <w:tcBorders>
              <w:top w:val="nil"/>
              <w:left w:val="nil"/>
              <w:bottom w:val="single" w:sz="4" w:space="0" w:color="auto"/>
              <w:right w:val="single" w:sz="4" w:space="0" w:color="auto"/>
            </w:tcBorders>
            <w:shd w:val="clear" w:color="auto" w:fill="FFE599" w:themeFill="accent4" w:themeFillTint="66"/>
            <w:noWrap/>
            <w:vAlign w:val="center"/>
            <w:hideMark/>
          </w:tcPr>
          <w:p w14:paraId="3D1AFF73"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120,4</w:t>
            </w:r>
          </w:p>
        </w:tc>
        <w:tc>
          <w:tcPr>
            <w:tcW w:w="1191" w:type="dxa"/>
            <w:tcBorders>
              <w:top w:val="nil"/>
              <w:left w:val="nil"/>
              <w:bottom w:val="single" w:sz="4" w:space="0" w:color="auto"/>
              <w:right w:val="single" w:sz="4" w:space="0" w:color="auto"/>
            </w:tcBorders>
            <w:shd w:val="clear" w:color="auto" w:fill="FFE599" w:themeFill="accent4" w:themeFillTint="66"/>
            <w:noWrap/>
            <w:vAlign w:val="center"/>
            <w:hideMark/>
          </w:tcPr>
          <w:p w14:paraId="4FC6BD69"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119,6</w:t>
            </w:r>
          </w:p>
        </w:tc>
        <w:tc>
          <w:tcPr>
            <w:tcW w:w="907" w:type="dxa"/>
            <w:tcBorders>
              <w:top w:val="nil"/>
              <w:left w:val="nil"/>
              <w:bottom w:val="single" w:sz="4" w:space="0" w:color="auto"/>
              <w:right w:val="single" w:sz="4" w:space="0" w:color="auto"/>
            </w:tcBorders>
            <w:shd w:val="clear" w:color="auto" w:fill="FFF2CC" w:themeFill="accent4" w:themeFillTint="33"/>
            <w:vAlign w:val="center"/>
          </w:tcPr>
          <w:p w14:paraId="165D4ECC"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hAnsi="Times New Roman" w:cs="Times New Roman"/>
                <w:color w:val="000000" w:themeColor="text1"/>
                <w:sz w:val="20"/>
                <w:szCs w:val="20"/>
              </w:rPr>
              <w:t>-0,66</w:t>
            </w:r>
          </w:p>
        </w:tc>
      </w:tr>
      <w:tr w:rsidR="00164238" w:rsidRPr="006A4DC2" w14:paraId="13093E0A" w14:textId="77777777" w:rsidTr="00682CBF">
        <w:trPr>
          <w:trHeight w:val="300"/>
          <w:jc w:val="center"/>
        </w:trPr>
        <w:tc>
          <w:tcPr>
            <w:tcW w:w="1701" w:type="dxa"/>
            <w:tcBorders>
              <w:top w:val="nil"/>
              <w:left w:val="single" w:sz="4" w:space="0" w:color="auto"/>
              <w:bottom w:val="single" w:sz="4" w:space="0" w:color="auto"/>
              <w:right w:val="single" w:sz="4" w:space="0" w:color="auto"/>
            </w:tcBorders>
            <w:shd w:val="clear" w:color="auto" w:fill="auto"/>
            <w:noWrap/>
            <w:vAlign w:val="center"/>
          </w:tcPr>
          <w:p w14:paraId="0A9853AB"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Ağustos</w:t>
            </w:r>
          </w:p>
        </w:tc>
        <w:tc>
          <w:tcPr>
            <w:tcW w:w="1191" w:type="dxa"/>
            <w:tcBorders>
              <w:top w:val="nil"/>
              <w:left w:val="nil"/>
              <w:bottom w:val="single" w:sz="4" w:space="0" w:color="auto"/>
              <w:right w:val="single" w:sz="4" w:space="0" w:color="auto"/>
            </w:tcBorders>
            <w:shd w:val="clear" w:color="auto" w:fill="auto"/>
            <w:noWrap/>
            <w:vAlign w:val="center"/>
            <w:hideMark/>
          </w:tcPr>
          <w:p w14:paraId="10CE714F"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105,5</w:t>
            </w:r>
          </w:p>
        </w:tc>
        <w:tc>
          <w:tcPr>
            <w:tcW w:w="1191" w:type="dxa"/>
            <w:tcBorders>
              <w:top w:val="nil"/>
              <w:left w:val="nil"/>
              <w:bottom w:val="single" w:sz="4" w:space="0" w:color="auto"/>
              <w:right w:val="single" w:sz="4" w:space="0" w:color="auto"/>
            </w:tcBorders>
            <w:shd w:val="clear" w:color="auto" w:fill="auto"/>
            <w:noWrap/>
            <w:vAlign w:val="center"/>
            <w:hideMark/>
          </w:tcPr>
          <w:p w14:paraId="5ADDA14A"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113,7</w:t>
            </w:r>
          </w:p>
        </w:tc>
        <w:tc>
          <w:tcPr>
            <w:tcW w:w="1191" w:type="dxa"/>
            <w:tcBorders>
              <w:top w:val="nil"/>
              <w:left w:val="nil"/>
              <w:bottom w:val="single" w:sz="4" w:space="0" w:color="auto"/>
              <w:right w:val="single" w:sz="4" w:space="0" w:color="auto"/>
            </w:tcBorders>
            <w:shd w:val="clear" w:color="auto" w:fill="auto"/>
            <w:noWrap/>
            <w:vAlign w:val="center"/>
            <w:hideMark/>
          </w:tcPr>
          <w:p w14:paraId="03817991"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100,8</w:t>
            </w:r>
          </w:p>
        </w:tc>
        <w:tc>
          <w:tcPr>
            <w:tcW w:w="1191" w:type="dxa"/>
            <w:tcBorders>
              <w:top w:val="nil"/>
              <w:left w:val="nil"/>
              <w:bottom w:val="single" w:sz="4" w:space="0" w:color="auto"/>
              <w:right w:val="single" w:sz="4" w:space="0" w:color="auto"/>
            </w:tcBorders>
            <w:shd w:val="clear" w:color="auto" w:fill="FFE599" w:themeFill="accent4" w:themeFillTint="66"/>
            <w:noWrap/>
            <w:vAlign w:val="center"/>
            <w:hideMark/>
          </w:tcPr>
          <w:p w14:paraId="19214F73"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99,1</w:t>
            </w:r>
          </w:p>
        </w:tc>
        <w:tc>
          <w:tcPr>
            <w:tcW w:w="1191" w:type="dxa"/>
            <w:tcBorders>
              <w:top w:val="nil"/>
              <w:left w:val="nil"/>
              <w:bottom w:val="single" w:sz="4" w:space="0" w:color="auto"/>
              <w:right w:val="single" w:sz="4" w:space="0" w:color="auto"/>
            </w:tcBorders>
            <w:shd w:val="clear" w:color="auto" w:fill="FFE599" w:themeFill="accent4" w:themeFillTint="66"/>
            <w:noWrap/>
            <w:vAlign w:val="center"/>
            <w:hideMark/>
          </w:tcPr>
          <w:p w14:paraId="2DF1A2DB"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115,2</w:t>
            </w:r>
          </w:p>
        </w:tc>
        <w:tc>
          <w:tcPr>
            <w:tcW w:w="907" w:type="dxa"/>
            <w:tcBorders>
              <w:top w:val="nil"/>
              <w:left w:val="nil"/>
              <w:bottom w:val="single" w:sz="4" w:space="0" w:color="auto"/>
              <w:right w:val="single" w:sz="4" w:space="0" w:color="auto"/>
            </w:tcBorders>
            <w:shd w:val="clear" w:color="auto" w:fill="FFE599" w:themeFill="accent4" w:themeFillTint="66"/>
            <w:vAlign w:val="center"/>
          </w:tcPr>
          <w:p w14:paraId="2A016841"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hAnsi="Times New Roman" w:cs="Times New Roman"/>
                <w:color w:val="000000" w:themeColor="text1"/>
                <w:sz w:val="20"/>
                <w:szCs w:val="20"/>
              </w:rPr>
              <w:t>16,25</w:t>
            </w:r>
          </w:p>
        </w:tc>
      </w:tr>
      <w:tr w:rsidR="00164238" w:rsidRPr="006A4DC2" w14:paraId="18F5528C" w14:textId="77777777" w:rsidTr="00682CBF">
        <w:trPr>
          <w:trHeight w:val="300"/>
          <w:jc w:val="center"/>
        </w:trPr>
        <w:tc>
          <w:tcPr>
            <w:tcW w:w="1701" w:type="dxa"/>
            <w:tcBorders>
              <w:top w:val="nil"/>
              <w:left w:val="single" w:sz="4" w:space="0" w:color="auto"/>
              <w:bottom w:val="single" w:sz="4" w:space="0" w:color="auto"/>
              <w:right w:val="single" w:sz="4" w:space="0" w:color="auto"/>
            </w:tcBorders>
            <w:shd w:val="clear" w:color="auto" w:fill="auto"/>
            <w:noWrap/>
            <w:vAlign w:val="center"/>
          </w:tcPr>
          <w:p w14:paraId="649DB07D"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Eylül</w:t>
            </w:r>
          </w:p>
        </w:tc>
        <w:tc>
          <w:tcPr>
            <w:tcW w:w="1191" w:type="dxa"/>
            <w:tcBorders>
              <w:top w:val="nil"/>
              <w:left w:val="nil"/>
              <w:bottom w:val="single" w:sz="4" w:space="0" w:color="auto"/>
              <w:right w:val="single" w:sz="4" w:space="0" w:color="auto"/>
            </w:tcBorders>
            <w:shd w:val="clear" w:color="auto" w:fill="auto"/>
            <w:noWrap/>
            <w:vAlign w:val="center"/>
            <w:hideMark/>
          </w:tcPr>
          <w:p w14:paraId="1088A7B8"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93,5</w:t>
            </w:r>
          </w:p>
        </w:tc>
        <w:tc>
          <w:tcPr>
            <w:tcW w:w="1191" w:type="dxa"/>
            <w:tcBorders>
              <w:top w:val="nil"/>
              <w:left w:val="nil"/>
              <w:bottom w:val="single" w:sz="4" w:space="0" w:color="auto"/>
              <w:right w:val="single" w:sz="4" w:space="0" w:color="auto"/>
            </w:tcBorders>
            <w:shd w:val="clear" w:color="auto" w:fill="auto"/>
            <w:noWrap/>
            <w:vAlign w:val="center"/>
            <w:hideMark/>
          </w:tcPr>
          <w:p w14:paraId="6596FE6E"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110,6</w:t>
            </w:r>
          </w:p>
        </w:tc>
        <w:tc>
          <w:tcPr>
            <w:tcW w:w="1191" w:type="dxa"/>
            <w:tcBorders>
              <w:top w:val="nil"/>
              <w:left w:val="nil"/>
              <w:bottom w:val="single" w:sz="4" w:space="0" w:color="auto"/>
              <w:right w:val="single" w:sz="4" w:space="0" w:color="auto"/>
            </w:tcBorders>
            <w:shd w:val="clear" w:color="auto" w:fill="auto"/>
            <w:noWrap/>
            <w:vAlign w:val="center"/>
            <w:hideMark/>
          </w:tcPr>
          <w:p w14:paraId="6CABB1D4"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114,8</w:t>
            </w:r>
          </w:p>
        </w:tc>
        <w:tc>
          <w:tcPr>
            <w:tcW w:w="1191" w:type="dxa"/>
            <w:tcBorders>
              <w:top w:val="nil"/>
              <w:left w:val="nil"/>
              <w:bottom w:val="single" w:sz="4" w:space="0" w:color="auto"/>
              <w:right w:val="single" w:sz="4" w:space="0" w:color="auto"/>
            </w:tcBorders>
            <w:shd w:val="clear" w:color="auto" w:fill="FFE599" w:themeFill="accent4" w:themeFillTint="66"/>
            <w:noWrap/>
            <w:vAlign w:val="center"/>
            <w:hideMark/>
          </w:tcPr>
          <w:p w14:paraId="11D1F320"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119,5</w:t>
            </w:r>
          </w:p>
        </w:tc>
        <w:tc>
          <w:tcPr>
            <w:tcW w:w="1191" w:type="dxa"/>
            <w:tcBorders>
              <w:top w:val="nil"/>
              <w:left w:val="nil"/>
              <w:bottom w:val="single" w:sz="4" w:space="0" w:color="auto"/>
              <w:right w:val="single" w:sz="4" w:space="0" w:color="auto"/>
            </w:tcBorders>
            <w:shd w:val="clear" w:color="auto" w:fill="FFE599" w:themeFill="accent4" w:themeFillTint="66"/>
            <w:noWrap/>
            <w:vAlign w:val="center"/>
            <w:hideMark/>
          </w:tcPr>
          <w:p w14:paraId="3E68D5B0"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133,1</w:t>
            </w:r>
          </w:p>
        </w:tc>
        <w:tc>
          <w:tcPr>
            <w:tcW w:w="907" w:type="dxa"/>
            <w:tcBorders>
              <w:top w:val="nil"/>
              <w:left w:val="nil"/>
              <w:bottom w:val="single" w:sz="4" w:space="0" w:color="auto"/>
              <w:right w:val="single" w:sz="4" w:space="0" w:color="auto"/>
            </w:tcBorders>
            <w:shd w:val="clear" w:color="auto" w:fill="FFE599" w:themeFill="accent4" w:themeFillTint="66"/>
            <w:vAlign w:val="center"/>
          </w:tcPr>
          <w:p w14:paraId="56DA8A37"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hAnsi="Times New Roman" w:cs="Times New Roman"/>
                <w:color w:val="000000" w:themeColor="text1"/>
                <w:sz w:val="20"/>
                <w:szCs w:val="20"/>
              </w:rPr>
              <w:t>11,38</w:t>
            </w:r>
          </w:p>
        </w:tc>
      </w:tr>
      <w:tr w:rsidR="00164238" w:rsidRPr="006A4DC2" w14:paraId="78CF963D" w14:textId="77777777" w:rsidTr="00682CBF">
        <w:trPr>
          <w:trHeight w:val="300"/>
          <w:jc w:val="center"/>
        </w:trPr>
        <w:tc>
          <w:tcPr>
            <w:tcW w:w="1701" w:type="dxa"/>
            <w:tcBorders>
              <w:top w:val="nil"/>
              <w:left w:val="single" w:sz="4" w:space="0" w:color="auto"/>
              <w:bottom w:val="single" w:sz="4" w:space="0" w:color="auto"/>
              <w:right w:val="single" w:sz="4" w:space="0" w:color="auto"/>
            </w:tcBorders>
            <w:shd w:val="clear" w:color="auto" w:fill="auto"/>
            <w:noWrap/>
            <w:vAlign w:val="center"/>
          </w:tcPr>
          <w:p w14:paraId="166C9449"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Ekim</w:t>
            </w:r>
          </w:p>
        </w:tc>
        <w:tc>
          <w:tcPr>
            <w:tcW w:w="1191" w:type="dxa"/>
            <w:tcBorders>
              <w:top w:val="nil"/>
              <w:left w:val="nil"/>
              <w:bottom w:val="single" w:sz="4" w:space="0" w:color="auto"/>
              <w:right w:val="single" w:sz="4" w:space="0" w:color="auto"/>
            </w:tcBorders>
            <w:shd w:val="clear" w:color="auto" w:fill="auto"/>
            <w:noWrap/>
            <w:vAlign w:val="center"/>
            <w:hideMark/>
          </w:tcPr>
          <w:p w14:paraId="5E817CAD"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113,0</w:t>
            </w:r>
          </w:p>
        </w:tc>
        <w:tc>
          <w:tcPr>
            <w:tcW w:w="1191" w:type="dxa"/>
            <w:tcBorders>
              <w:top w:val="nil"/>
              <w:left w:val="nil"/>
              <w:bottom w:val="single" w:sz="4" w:space="0" w:color="auto"/>
              <w:right w:val="single" w:sz="4" w:space="0" w:color="auto"/>
            </w:tcBorders>
            <w:shd w:val="clear" w:color="auto" w:fill="auto"/>
            <w:noWrap/>
            <w:vAlign w:val="center"/>
            <w:hideMark/>
          </w:tcPr>
          <w:p w14:paraId="2898CF9E"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125,9</w:t>
            </w:r>
          </w:p>
        </w:tc>
        <w:tc>
          <w:tcPr>
            <w:tcW w:w="1191" w:type="dxa"/>
            <w:tcBorders>
              <w:top w:val="nil"/>
              <w:left w:val="nil"/>
              <w:bottom w:val="single" w:sz="4" w:space="0" w:color="auto"/>
              <w:right w:val="single" w:sz="4" w:space="0" w:color="auto"/>
            </w:tcBorders>
            <w:shd w:val="clear" w:color="auto" w:fill="auto"/>
            <w:noWrap/>
            <w:vAlign w:val="center"/>
            <w:hideMark/>
          </w:tcPr>
          <w:p w14:paraId="0961A0EA"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119,8</w:t>
            </w:r>
          </w:p>
        </w:tc>
        <w:tc>
          <w:tcPr>
            <w:tcW w:w="1191" w:type="dxa"/>
            <w:tcBorders>
              <w:top w:val="nil"/>
              <w:left w:val="nil"/>
              <w:bottom w:val="single" w:sz="4" w:space="0" w:color="auto"/>
              <w:right w:val="single" w:sz="4" w:space="0" w:color="auto"/>
            </w:tcBorders>
            <w:shd w:val="clear" w:color="auto" w:fill="FFE599" w:themeFill="accent4" w:themeFillTint="66"/>
            <w:noWrap/>
            <w:vAlign w:val="center"/>
            <w:hideMark/>
          </w:tcPr>
          <w:p w14:paraId="0166F38C"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123,1</w:t>
            </w:r>
          </w:p>
        </w:tc>
        <w:tc>
          <w:tcPr>
            <w:tcW w:w="1191" w:type="dxa"/>
            <w:tcBorders>
              <w:top w:val="nil"/>
              <w:left w:val="nil"/>
              <w:bottom w:val="single" w:sz="4" w:space="0" w:color="auto"/>
              <w:right w:val="single" w:sz="4" w:space="0" w:color="auto"/>
            </w:tcBorders>
            <w:shd w:val="clear" w:color="auto" w:fill="FFE599" w:themeFill="accent4" w:themeFillTint="66"/>
            <w:noWrap/>
            <w:vAlign w:val="center"/>
            <w:hideMark/>
          </w:tcPr>
          <w:p w14:paraId="659A00B9"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135,0</w:t>
            </w:r>
          </w:p>
        </w:tc>
        <w:tc>
          <w:tcPr>
            <w:tcW w:w="907" w:type="dxa"/>
            <w:tcBorders>
              <w:top w:val="nil"/>
              <w:left w:val="nil"/>
              <w:bottom w:val="single" w:sz="4" w:space="0" w:color="auto"/>
              <w:right w:val="single" w:sz="4" w:space="0" w:color="auto"/>
            </w:tcBorders>
            <w:shd w:val="clear" w:color="auto" w:fill="FFE599" w:themeFill="accent4" w:themeFillTint="66"/>
            <w:vAlign w:val="center"/>
          </w:tcPr>
          <w:p w14:paraId="601AA242"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hAnsi="Times New Roman" w:cs="Times New Roman"/>
                <w:color w:val="000000" w:themeColor="text1"/>
                <w:sz w:val="20"/>
                <w:szCs w:val="20"/>
              </w:rPr>
              <w:t>9,67</w:t>
            </w:r>
          </w:p>
        </w:tc>
      </w:tr>
      <w:tr w:rsidR="00164238" w:rsidRPr="006A4DC2" w14:paraId="22D35D37" w14:textId="77777777" w:rsidTr="00682CBF">
        <w:trPr>
          <w:trHeight w:val="300"/>
          <w:jc w:val="center"/>
        </w:trPr>
        <w:tc>
          <w:tcPr>
            <w:tcW w:w="1701" w:type="dxa"/>
            <w:tcBorders>
              <w:top w:val="nil"/>
              <w:left w:val="single" w:sz="4" w:space="0" w:color="auto"/>
              <w:bottom w:val="single" w:sz="4" w:space="0" w:color="auto"/>
              <w:right w:val="single" w:sz="4" w:space="0" w:color="auto"/>
            </w:tcBorders>
            <w:shd w:val="clear" w:color="auto" w:fill="auto"/>
            <w:noWrap/>
            <w:vAlign w:val="center"/>
          </w:tcPr>
          <w:p w14:paraId="4EC3A150"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Kasım</w:t>
            </w:r>
          </w:p>
        </w:tc>
        <w:tc>
          <w:tcPr>
            <w:tcW w:w="1191" w:type="dxa"/>
            <w:tcBorders>
              <w:top w:val="nil"/>
              <w:left w:val="nil"/>
              <w:bottom w:val="single" w:sz="4" w:space="0" w:color="auto"/>
              <w:right w:val="single" w:sz="4" w:space="0" w:color="auto"/>
            </w:tcBorders>
            <w:shd w:val="clear" w:color="auto" w:fill="auto"/>
            <w:noWrap/>
            <w:vAlign w:val="center"/>
            <w:hideMark/>
          </w:tcPr>
          <w:p w14:paraId="42105D58"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113,7</w:t>
            </w:r>
          </w:p>
        </w:tc>
        <w:tc>
          <w:tcPr>
            <w:tcW w:w="1191" w:type="dxa"/>
            <w:tcBorders>
              <w:top w:val="nil"/>
              <w:left w:val="nil"/>
              <w:bottom w:val="single" w:sz="4" w:space="0" w:color="auto"/>
              <w:right w:val="single" w:sz="4" w:space="0" w:color="auto"/>
            </w:tcBorders>
            <w:shd w:val="clear" w:color="auto" w:fill="auto"/>
            <w:noWrap/>
            <w:vAlign w:val="center"/>
            <w:hideMark/>
          </w:tcPr>
          <w:p w14:paraId="08D9C64C"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125,0</w:t>
            </w:r>
          </w:p>
        </w:tc>
        <w:tc>
          <w:tcPr>
            <w:tcW w:w="1191" w:type="dxa"/>
            <w:tcBorders>
              <w:top w:val="nil"/>
              <w:left w:val="nil"/>
              <w:bottom w:val="single" w:sz="4" w:space="0" w:color="auto"/>
              <w:right w:val="single" w:sz="4" w:space="0" w:color="auto"/>
            </w:tcBorders>
            <w:shd w:val="clear" w:color="auto" w:fill="auto"/>
            <w:noWrap/>
            <w:vAlign w:val="center"/>
            <w:hideMark/>
          </w:tcPr>
          <w:p w14:paraId="25991678"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116,2</w:t>
            </w:r>
          </w:p>
        </w:tc>
        <w:tc>
          <w:tcPr>
            <w:tcW w:w="1191" w:type="dxa"/>
            <w:tcBorders>
              <w:top w:val="nil"/>
              <w:left w:val="nil"/>
              <w:bottom w:val="single" w:sz="4" w:space="0" w:color="auto"/>
              <w:right w:val="single" w:sz="4" w:space="0" w:color="auto"/>
            </w:tcBorders>
            <w:shd w:val="clear" w:color="auto" w:fill="FFE599" w:themeFill="accent4" w:themeFillTint="66"/>
            <w:noWrap/>
            <w:vAlign w:val="center"/>
            <w:hideMark/>
          </w:tcPr>
          <w:p w14:paraId="7CFFD0A8"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121,0</w:t>
            </w:r>
          </w:p>
        </w:tc>
        <w:tc>
          <w:tcPr>
            <w:tcW w:w="1191" w:type="dxa"/>
            <w:tcBorders>
              <w:top w:val="nil"/>
              <w:left w:val="nil"/>
              <w:bottom w:val="single" w:sz="4" w:space="0" w:color="auto"/>
              <w:right w:val="single" w:sz="4" w:space="0" w:color="auto"/>
            </w:tcBorders>
            <w:shd w:val="clear" w:color="auto" w:fill="FFE599" w:themeFill="accent4" w:themeFillTint="66"/>
            <w:noWrap/>
            <w:vAlign w:val="center"/>
            <w:hideMark/>
          </w:tcPr>
          <w:p w14:paraId="7CF4BFC7"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131,5</w:t>
            </w:r>
          </w:p>
        </w:tc>
        <w:tc>
          <w:tcPr>
            <w:tcW w:w="907" w:type="dxa"/>
            <w:tcBorders>
              <w:top w:val="nil"/>
              <w:left w:val="nil"/>
              <w:bottom w:val="single" w:sz="4" w:space="0" w:color="auto"/>
              <w:right w:val="single" w:sz="4" w:space="0" w:color="auto"/>
            </w:tcBorders>
            <w:shd w:val="clear" w:color="auto" w:fill="FFE599" w:themeFill="accent4" w:themeFillTint="66"/>
            <w:vAlign w:val="center"/>
          </w:tcPr>
          <w:p w14:paraId="546E3425"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hAnsi="Times New Roman" w:cs="Times New Roman"/>
                <w:color w:val="000000" w:themeColor="text1"/>
                <w:sz w:val="20"/>
                <w:szCs w:val="20"/>
              </w:rPr>
              <w:t>8,68</w:t>
            </w:r>
          </w:p>
        </w:tc>
      </w:tr>
      <w:tr w:rsidR="00164238" w:rsidRPr="006A4DC2" w14:paraId="1F089D14" w14:textId="77777777" w:rsidTr="00682CBF">
        <w:trPr>
          <w:trHeight w:val="300"/>
          <w:jc w:val="center"/>
        </w:trPr>
        <w:tc>
          <w:tcPr>
            <w:tcW w:w="1701" w:type="dxa"/>
            <w:tcBorders>
              <w:top w:val="nil"/>
              <w:left w:val="single" w:sz="4" w:space="0" w:color="auto"/>
              <w:bottom w:val="single" w:sz="4" w:space="0" w:color="auto"/>
              <w:right w:val="single" w:sz="4" w:space="0" w:color="auto"/>
            </w:tcBorders>
            <w:shd w:val="clear" w:color="auto" w:fill="auto"/>
            <w:noWrap/>
            <w:vAlign w:val="center"/>
          </w:tcPr>
          <w:p w14:paraId="21ABBE6E"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Aralık</w:t>
            </w:r>
          </w:p>
        </w:tc>
        <w:tc>
          <w:tcPr>
            <w:tcW w:w="1191" w:type="dxa"/>
            <w:tcBorders>
              <w:top w:val="nil"/>
              <w:left w:val="nil"/>
              <w:bottom w:val="single" w:sz="4" w:space="0" w:color="auto"/>
              <w:right w:val="single" w:sz="4" w:space="0" w:color="auto"/>
            </w:tcBorders>
            <w:shd w:val="clear" w:color="auto" w:fill="auto"/>
            <w:noWrap/>
            <w:vAlign w:val="center"/>
            <w:hideMark/>
          </w:tcPr>
          <w:p w14:paraId="54B54552"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117,6</w:t>
            </w:r>
          </w:p>
        </w:tc>
        <w:tc>
          <w:tcPr>
            <w:tcW w:w="1191" w:type="dxa"/>
            <w:tcBorders>
              <w:top w:val="nil"/>
              <w:left w:val="nil"/>
              <w:bottom w:val="single" w:sz="4" w:space="0" w:color="auto"/>
              <w:right w:val="single" w:sz="4" w:space="0" w:color="auto"/>
            </w:tcBorders>
            <w:shd w:val="clear" w:color="auto" w:fill="auto"/>
            <w:noWrap/>
            <w:vAlign w:val="center"/>
            <w:hideMark/>
          </w:tcPr>
          <w:p w14:paraId="49313FF1"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130,2</w:t>
            </w:r>
          </w:p>
        </w:tc>
        <w:tc>
          <w:tcPr>
            <w:tcW w:w="1191" w:type="dxa"/>
            <w:tcBorders>
              <w:top w:val="nil"/>
              <w:left w:val="nil"/>
              <w:bottom w:val="single" w:sz="4" w:space="0" w:color="auto"/>
              <w:right w:val="single" w:sz="4" w:space="0" w:color="auto"/>
            </w:tcBorders>
            <w:shd w:val="clear" w:color="auto" w:fill="auto"/>
            <w:noWrap/>
            <w:vAlign w:val="center"/>
            <w:hideMark/>
          </w:tcPr>
          <w:p w14:paraId="016EE2A3"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117,2</w:t>
            </w:r>
          </w:p>
        </w:tc>
        <w:tc>
          <w:tcPr>
            <w:tcW w:w="1191" w:type="dxa"/>
            <w:tcBorders>
              <w:top w:val="nil"/>
              <w:left w:val="nil"/>
              <w:bottom w:val="single" w:sz="4" w:space="0" w:color="auto"/>
              <w:right w:val="single" w:sz="4" w:space="0" w:color="auto"/>
            </w:tcBorders>
            <w:shd w:val="clear" w:color="auto" w:fill="FFE599" w:themeFill="accent4" w:themeFillTint="66"/>
            <w:noWrap/>
            <w:vAlign w:val="center"/>
            <w:hideMark/>
          </w:tcPr>
          <w:p w14:paraId="15F931C7"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128,9</w:t>
            </w:r>
          </w:p>
        </w:tc>
        <w:tc>
          <w:tcPr>
            <w:tcW w:w="1191" w:type="dxa"/>
            <w:tcBorders>
              <w:top w:val="nil"/>
              <w:left w:val="nil"/>
              <w:bottom w:val="single" w:sz="4" w:space="0" w:color="auto"/>
              <w:right w:val="single" w:sz="4" w:space="0" w:color="auto"/>
            </w:tcBorders>
            <w:shd w:val="clear" w:color="auto" w:fill="FFE599" w:themeFill="accent4" w:themeFillTint="66"/>
            <w:noWrap/>
            <w:vAlign w:val="center"/>
            <w:hideMark/>
          </w:tcPr>
          <w:p w14:paraId="13F7595E"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144,8</w:t>
            </w:r>
          </w:p>
        </w:tc>
        <w:tc>
          <w:tcPr>
            <w:tcW w:w="907" w:type="dxa"/>
            <w:tcBorders>
              <w:top w:val="nil"/>
              <w:left w:val="nil"/>
              <w:bottom w:val="single" w:sz="4" w:space="0" w:color="auto"/>
              <w:right w:val="single" w:sz="4" w:space="0" w:color="auto"/>
            </w:tcBorders>
            <w:shd w:val="clear" w:color="auto" w:fill="FFE599" w:themeFill="accent4" w:themeFillTint="66"/>
            <w:vAlign w:val="center"/>
          </w:tcPr>
          <w:p w14:paraId="132C215D"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hAnsi="Times New Roman" w:cs="Times New Roman"/>
                <w:color w:val="000000" w:themeColor="text1"/>
                <w:sz w:val="20"/>
                <w:szCs w:val="20"/>
              </w:rPr>
              <w:t>12,34</w:t>
            </w:r>
          </w:p>
        </w:tc>
      </w:tr>
      <w:tr w:rsidR="00164238" w:rsidRPr="006A4DC2" w14:paraId="4B6BBB48" w14:textId="77777777" w:rsidTr="00682CBF">
        <w:trPr>
          <w:trHeight w:val="30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287ED183" w14:textId="77777777" w:rsidR="00C54BC9" w:rsidRPr="006A4DC2" w:rsidRDefault="00C54BC9" w:rsidP="00682CBF">
            <w:pPr>
              <w:spacing w:after="0" w:line="240" w:lineRule="auto"/>
              <w:jc w:val="center"/>
              <w:rPr>
                <w:rFonts w:ascii="Times New Roman" w:eastAsia="Times New Roman" w:hAnsi="Times New Roman" w:cs="Times New Roman"/>
                <w:b/>
                <w:bCs/>
                <w:color w:val="000000" w:themeColor="text1"/>
                <w:sz w:val="20"/>
                <w:szCs w:val="20"/>
                <w:lang w:eastAsia="tr-TR"/>
              </w:rPr>
            </w:pPr>
            <w:r w:rsidRPr="006A4DC2">
              <w:rPr>
                <w:rFonts w:ascii="Times New Roman" w:eastAsia="Times New Roman" w:hAnsi="Times New Roman" w:cs="Times New Roman"/>
                <w:b/>
                <w:bCs/>
                <w:color w:val="000000" w:themeColor="text1"/>
                <w:sz w:val="20"/>
                <w:szCs w:val="20"/>
                <w:lang w:eastAsia="tr-TR"/>
              </w:rPr>
              <w:t>Yıllık Ortalama</w:t>
            </w:r>
          </w:p>
        </w:tc>
        <w:tc>
          <w:tcPr>
            <w:tcW w:w="1191" w:type="dxa"/>
            <w:tcBorders>
              <w:top w:val="nil"/>
              <w:left w:val="nil"/>
              <w:bottom w:val="single" w:sz="4" w:space="0" w:color="auto"/>
              <w:right w:val="single" w:sz="4" w:space="0" w:color="auto"/>
            </w:tcBorders>
            <w:shd w:val="clear" w:color="auto" w:fill="auto"/>
            <w:noWrap/>
            <w:vAlign w:val="center"/>
            <w:hideMark/>
          </w:tcPr>
          <w:p w14:paraId="24384421"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103,4</w:t>
            </w:r>
          </w:p>
        </w:tc>
        <w:tc>
          <w:tcPr>
            <w:tcW w:w="1191" w:type="dxa"/>
            <w:tcBorders>
              <w:top w:val="nil"/>
              <w:left w:val="nil"/>
              <w:bottom w:val="single" w:sz="4" w:space="0" w:color="auto"/>
              <w:right w:val="single" w:sz="4" w:space="0" w:color="auto"/>
            </w:tcBorders>
            <w:shd w:val="clear" w:color="auto" w:fill="auto"/>
            <w:noWrap/>
            <w:vAlign w:val="center"/>
            <w:hideMark/>
          </w:tcPr>
          <w:p w14:paraId="1D9A644B"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112,8</w:t>
            </w:r>
          </w:p>
        </w:tc>
        <w:tc>
          <w:tcPr>
            <w:tcW w:w="1191" w:type="dxa"/>
            <w:tcBorders>
              <w:top w:val="nil"/>
              <w:left w:val="nil"/>
              <w:bottom w:val="single" w:sz="4" w:space="0" w:color="auto"/>
              <w:right w:val="single" w:sz="4" w:space="0" w:color="auto"/>
            </w:tcBorders>
            <w:shd w:val="clear" w:color="auto" w:fill="auto"/>
            <w:noWrap/>
            <w:vAlign w:val="center"/>
            <w:hideMark/>
          </w:tcPr>
          <w:p w14:paraId="47065937"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114,0</w:t>
            </w:r>
          </w:p>
        </w:tc>
        <w:tc>
          <w:tcPr>
            <w:tcW w:w="1191" w:type="dxa"/>
            <w:tcBorders>
              <w:top w:val="nil"/>
              <w:left w:val="nil"/>
              <w:bottom w:val="single" w:sz="4" w:space="0" w:color="auto"/>
              <w:right w:val="single" w:sz="4" w:space="0" w:color="auto"/>
            </w:tcBorders>
            <w:shd w:val="clear" w:color="auto" w:fill="FFE599" w:themeFill="accent4" w:themeFillTint="66"/>
            <w:noWrap/>
            <w:vAlign w:val="center"/>
            <w:hideMark/>
          </w:tcPr>
          <w:p w14:paraId="59996B82"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113,3</w:t>
            </w:r>
          </w:p>
        </w:tc>
        <w:tc>
          <w:tcPr>
            <w:tcW w:w="1191" w:type="dxa"/>
            <w:tcBorders>
              <w:top w:val="nil"/>
              <w:left w:val="nil"/>
              <w:bottom w:val="single" w:sz="4" w:space="0" w:color="auto"/>
              <w:right w:val="single" w:sz="4" w:space="0" w:color="auto"/>
            </w:tcBorders>
            <w:shd w:val="clear" w:color="auto" w:fill="FFE599" w:themeFill="accent4" w:themeFillTint="66"/>
            <w:noWrap/>
            <w:vAlign w:val="center"/>
            <w:hideMark/>
          </w:tcPr>
          <w:p w14:paraId="6DBE382F"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eastAsia="Times New Roman" w:hAnsi="Times New Roman" w:cs="Times New Roman"/>
                <w:color w:val="000000" w:themeColor="text1"/>
                <w:sz w:val="20"/>
                <w:szCs w:val="20"/>
                <w:lang w:eastAsia="tr-TR"/>
              </w:rPr>
              <w:t>115,8</w:t>
            </w:r>
          </w:p>
        </w:tc>
        <w:tc>
          <w:tcPr>
            <w:tcW w:w="907" w:type="dxa"/>
            <w:tcBorders>
              <w:top w:val="nil"/>
              <w:left w:val="nil"/>
              <w:bottom w:val="single" w:sz="4" w:space="0" w:color="auto"/>
              <w:right w:val="single" w:sz="4" w:space="0" w:color="auto"/>
            </w:tcBorders>
            <w:shd w:val="clear" w:color="auto" w:fill="FFE599" w:themeFill="accent4" w:themeFillTint="66"/>
            <w:vAlign w:val="center"/>
          </w:tcPr>
          <w:p w14:paraId="357E5ABC" w14:textId="77777777" w:rsidR="00C54BC9" w:rsidRPr="006A4DC2" w:rsidRDefault="00C54BC9" w:rsidP="00682CBF">
            <w:pPr>
              <w:spacing w:after="0" w:line="240" w:lineRule="auto"/>
              <w:jc w:val="center"/>
              <w:rPr>
                <w:rFonts w:ascii="Times New Roman" w:eastAsia="Times New Roman" w:hAnsi="Times New Roman" w:cs="Times New Roman"/>
                <w:color w:val="000000" w:themeColor="text1"/>
                <w:sz w:val="20"/>
                <w:szCs w:val="20"/>
                <w:lang w:eastAsia="tr-TR"/>
              </w:rPr>
            </w:pPr>
            <w:r w:rsidRPr="006A4DC2">
              <w:rPr>
                <w:rFonts w:ascii="Times New Roman" w:hAnsi="Times New Roman" w:cs="Times New Roman"/>
                <w:color w:val="000000" w:themeColor="text1"/>
                <w:sz w:val="20"/>
                <w:szCs w:val="20"/>
              </w:rPr>
              <w:t>2,21</w:t>
            </w:r>
          </w:p>
        </w:tc>
      </w:tr>
    </w:tbl>
    <w:p w14:paraId="7EFCA2F4" w14:textId="77777777" w:rsidR="00C54BC9" w:rsidRPr="00164238" w:rsidRDefault="00C54BC9" w:rsidP="00C54BC9">
      <w:pPr>
        <w:spacing w:after="0" w:line="240" w:lineRule="auto"/>
        <w:rPr>
          <w:rFonts w:ascii="Times New Roman" w:hAnsi="Times New Roman" w:cs="Times New Roman"/>
          <w:color w:val="000000" w:themeColor="text1"/>
        </w:rPr>
      </w:pPr>
      <w:r w:rsidRPr="00164238">
        <w:rPr>
          <w:rFonts w:ascii="Times New Roman" w:hAnsi="Times New Roman" w:cs="Times New Roman"/>
          <w:b/>
          <w:bCs/>
          <w:color w:val="000000" w:themeColor="text1"/>
        </w:rPr>
        <w:t xml:space="preserve">    Kaynak: </w:t>
      </w:r>
      <w:r w:rsidRPr="00164238">
        <w:rPr>
          <w:rFonts w:ascii="Times New Roman" w:hAnsi="Times New Roman" w:cs="Times New Roman"/>
          <w:color w:val="000000" w:themeColor="text1"/>
        </w:rPr>
        <w:t>TÜİK verileri derlenerek yazar tarafından oluşturulmuştur.</w:t>
      </w:r>
    </w:p>
    <w:p w14:paraId="3D0456C3" w14:textId="77777777" w:rsidR="00C54BC9" w:rsidRPr="00164238" w:rsidRDefault="00C54BC9" w:rsidP="00C54BC9">
      <w:pPr>
        <w:spacing w:after="0" w:line="240" w:lineRule="auto"/>
        <w:rPr>
          <w:rFonts w:ascii="Times New Roman" w:hAnsi="Times New Roman" w:cs="Times New Roman"/>
          <w:color w:val="000000" w:themeColor="text1"/>
        </w:rPr>
      </w:pPr>
    </w:p>
    <w:p w14:paraId="6A8154DF" w14:textId="77777777" w:rsidR="00C54BC9" w:rsidRPr="00164238" w:rsidRDefault="00C54BC9" w:rsidP="00C54BC9">
      <w:pPr>
        <w:spacing w:before="120" w:after="120" w:line="360" w:lineRule="auto"/>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İmalat sanayii ve alt sektörlerinde istihdam endeksinin seyrinin gösterildiği Tablo 4’de, 2020 yılının birinci çeyreğine göre yılın ikinci çeyreğinde imalat sanayii ve alt sektörlerin büyük kısmında istihdam endeksinde düşüş olduğu görülmüştür. Yılın üçüncü ve dördüncü çeyreğinde ise istihdam endeksinde artış eğilimi saptanmıştır. Yıllık bazda değerlendirme yapıldığında 2019 yılına göre 2020 yılında imalat sanayii ve alt sektörlerin çoğunluğunda istihdam endeksinde düşüş gözlemlenmiştir.</w:t>
      </w:r>
    </w:p>
    <w:p w14:paraId="2526855F" w14:textId="77777777" w:rsidR="00C54BC9" w:rsidRPr="00164238" w:rsidRDefault="00C54BC9" w:rsidP="00C54BC9">
      <w:pPr>
        <w:spacing w:after="0" w:line="240" w:lineRule="auto"/>
        <w:rPr>
          <w:rFonts w:ascii="Times New Roman" w:hAnsi="Times New Roman" w:cs="Times New Roman"/>
          <w:color w:val="000000" w:themeColor="text1"/>
        </w:rPr>
      </w:pPr>
      <w:r w:rsidRPr="00164238">
        <w:rPr>
          <w:rFonts w:ascii="Times New Roman" w:hAnsi="Times New Roman" w:cs="Times New Roman"/>
          <w:b/>
          <w:bCs/>
          <w:color w:val="000000" w:themeColor="text1"/>
        </w:rPr>
        <w:t xml:space="preserve">          Tablo 4: Toplam İmalat Sanayii İstihdam Endeksi (Nace Rev.2) (2015=100)</w:t>
      </w:r>
    </w:p>
    <w:tbl>
      <w:tblPr>
        <w:tblW w:w="8034" w:type="dxa"/>
        <w:jc w:val="center"/>
        <w:tblCellMar>
          <w:left w:w="70" w:type="dxa"/>
          <w:right w:w="70" w:type="dxa"/>
        </w:tblCellMar>
        <w:tblLook w:val="04A0" w:firstRow="1" w:lastRow="0" w:firstColumn="1" w:lastColumn="0" w:noHBand="0" w:noVBand="1"/>
      </w:tblPr>
      <w:tblGrid>
        <w:gridCol w:w="800"/>
        <w:gridCol w:w="1020"/>
        <w:gridCol w:w="1020"/>
        <w:gridCol w:w="1020"/>
        <w:gridCol w:w="1020"/>
        <w:gridCol w:w="1134"/>
        <w:gridCol w:w="1134"/>
        <w:gridCol w:w="886"/>
      </w:tblGrid>
      <w:tr w:rsidR="00164238" w:rsidRPr="00164238" w14:paraId="769D031D" w14:textId="77777777" w:rsidTr="00682CBF">
        <w:trPr>
          <w:trHeight w:val="255"/>
          <w:jc w:val="center"/>
        </w:trPr>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D74A6D"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 </w:t>
            </w:r>
          </w:p>
        </w:tc>
        <w:tc>
          <w:tcPr>
            <w:tcW w:w="1020" w:type="dxa"/>
            <w:tcBorders>
              <w:top w:val="single" w:sz="4" w:space="0" w:color="auto"/>
              <w:left w:val="nil"/>
              <w:bottom w:val="single" w:sz="4" w:space="0" w:color="auto"/>
              <w:right w:val="single" w:sz="4" w:space="0" w:color="auto"/>
            </w:tcBorders>
            <w:shd w:val="clear" w:color="auto" w:fill="auto"/>
            <w:noWrap/>
            <w:vAlign w:val="center"/>
            <w:hideMark/>
          </w:tcPr>
          <w:p w14:paraId="4B4F2B49"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2020 Q-1</w:t>
            </w:r>
          </w:p>
        </w:tc>
        <w:tc>
          <w:tcPr>
            <w:tcW w:w="102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373C7ABE"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2020 Q-2</w:t>
            </w:r>
          </w:p>
        </w:tc>
        <w:tc>
          <w:tcPr>
            <w:tcW w:w="1020" w:type="dxa"/>
            <w:tcBorders>
              <w:top w:val="single" w:sz="4" w:space="0" w:color="auto"/>
              <w:left w:val="nil"/>
              <w:bottom w:val="single" w:sz="4" w:space="0" w:color="auto"/>
              <w:right w:val="single" w:sz="4" w:space="0" w:color="auto"/>
            </w:tcBorders>
            <w:shd w:val="clear" w:color="auto" w:fill="auto"/>
            <w:noWrap/>
            <w:vAlign w:val="center"/>
            <w:hideMark/>
          </w:tcPr>
          <w:p w14:paraId="263DA218"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2020 Q-3</w:t>
            </w:r>
          </w:p>
        </w:tc>
        <w:tc>
          <w:tcPr>
            <w:tcW w:w="1020" w:type="dxa"/>
            <w:tcBorders>
              <w:top w:val="single" w:sz="4" w:space="0" w:color="auto"/>
              <w:left w:val="nil"/>
              <w:bottom w:val="single" w:sz="4" w:space="0" w:color="auto"/>
              <w:right w:val="single" w:sz="4" w:space="0" w:color="auto"/>
            </w:tcBorders>
            <w:shd w:val="clear" w:color="auto" w:fill="auto"/>
            <w:noWrap/>
            <w:vAlign w:val="center"/>
            <w:hideMark/>
          </w:tcPr>
          <w:p w14:paraId="258028BE"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2020 Q-4</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0A7D970"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2020 Yılı Ortalama</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024D846B"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2019 Yılı Ortalama</w:t>
            </w:r>
          </w:p>
        </w:tc>
        <w:tc>
          <w:tcPr>
            <w:tcW w:w="886"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72DDB178"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 xml:space="preserve">20/19 </w:t>
            </w:r>
          </w:p>
          <w:p w14:paraId="3DEE3611"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Değişim (%)</w:t>
            </w:r>
          </w:p>
        </w:tc>
      </w:tr>
      <w:tr w:rsidR="00164238" w:rsidRPr="00164238" w14:paraId="13476B75" w14:textId="77777777" w:rsidTr="00682CBF">
        <w:trPr>
          <w:trHeight w:val="255"/>
          <w:jc w:val="center"/>
        </w:trPr>
        <w:tc>
          <w:tcPr>
            <w:tcW w:w="800" w:type="dxa"/>
            <w:tcBorders>
              <w:top w:val="nil"/>
              <w:left w:val="single" w:sz="4" w:space="0" w:color="auto"/>
              <w:bottom w:val="single" w:sz="4" w:space="0" w:color="auto"/>
              <w:right w:val="single" w:sz="4" w:space="0" w:color="auto"/>
            </w:tcBorders>
            <w:shd w:val="clear" w:color="auto" w:fill="auto"/>
            <w:noWrap/>
            <w:vAlign w:val="bottom"/>
            <w:hideMark/>
          </w:tcPr>
          <w:p w14:paraId="008D60AE"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w:t>
            </w:r>
          </w:p>
        </w:tc>
        <w:tc>
          <w:tcPr>
            <w:tcW w:w="1020" w:type="dxa"/>
            <w:tcBorders>
              <w:top w:val="nil"/>
              <w:left w:val="nil"/>
              <w:bottom w:val="single" w:sz="4" w:space="0" w:color="auto"/>
              <w:right w:val="single" w:sz="4" w:space="0" w:color="auto"/>
            </w:tcBorders>
            <w:shd w:val="clear" w:color="auto" w:fill="auto"/>
            <w:noWrap/>
            <w:vAlign w:val="bottom"/>
            <w:hideMark/>
          </w:tcPr>
          <w:p w14:paraId="4AC2B17A"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105,00</w:t>
            </w:r>
          </w:p>
        </w:tc>
        <w:tc>
          <w:tcPr>
            <w:tcW w:w="1020" w:type="dxa"/>
            <w:tcBorders>
              <w:top w:val="nil"/>
              <w:left w:val="nil"/>
              <w:bottom w:val="single" w:sz="4" w:space="0" w:color="auto"/>
              <w:right w:val="single" w:sz="4" w:space="0" w:color="auto"/>
            </w:tcBorders>
            <w:shd w:val="clear" w:color="auto" w:fill="FFE599" w:themeFill="accent4" w:themeFillTint="66"/>
            <w:noWrap/>
            <w:vAlign w:val="bottom"/>
            <w:hideMark/>
          </w:tcPr>
          <w:p w14:paraId="2A1F6CFD"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105,40</w:t>
            </w:r>
          </w:p>
        </w:tc>
        <w:tc>
          <w:tcPr>
            <w:tcW w:w="1020" w:type="dxa"/>
            <w:tcBorders>
              <w:top w:val="nil"/>
              <w:left w:val="nil"/>
              <w:bottom w:val="single" w:sz="4" w:space="0" w:color="auto"/>
              <w:right w:val="single" w:sz="4" w:space="0" w:color="auto"/>
            </w:tcBorders>
            <w:shd w:val="clear" w:color="auto" w:fill="auto"/>
            <w:noWrap/>
            <w:vAlign w:val="bottom"/>
            <w:hideMark/>
          </w:tcPr>
          <w:p w14:paraId="12A4F8C9"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111,60</w:t>
            </w:r>
          </w:p>
        </w:tc>
        <w:tc>
          <w:tcPr>
            <w:tcW w:w="1020" w:type="dxa"/>
            <w:tcBorders>
              <w:top w:val="nil"/>
              <w:left w:val="nil"/>
              <w:bottom w:val="single" w:sz="4" w:space="0" w:color="auto"/>
              <w:right w:val="single" w:sz="4" w:space="0" w:color="auto"/>
            </w:tcBorders>
            <w:shd w:val="clear" w:color="auto" w:fill="auto"/>
            <w:noWrap/>
            <w:vAlign w:val="bottom"/>
            <w:hideMark/>
          </w:tcPr>
          <w:p w14:paraId="5DE8E673"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112,70</w:t>
            </w:r>
          </w:p>
        </w:tc>
        <w:tc>
          <w:tcPr>
            <w:tcW w:w="1134" w:type="dxa"/>
            <w:tcBorders>
              <w:top w:val="nil"/>
              <w:left w:val="nil"/>
              <w:bottom w:val="single" w:sz="4" w:space="0" w:color="auto"/>
              <w:right w:val="single" w:sz="4" w:space="0" w:color="auto"/>
            </w:tcBorders>
            <w:shd w:val="clear" w:color="auto" w:fill="auto"/>
            <w:noWrap/>
            <w:vAlign w:val="center"/>
            <w:hideMark/>
          </w:tcPr>
          <w:p w14:paraId="4ADDA2CB"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108,68</w:t>
            </w:r>
          </w:p>
        </w:tc>
        <w:tc>
          <w:tcPr>
            <w:tcW w:w="1134" w:type="dxa"/>
            <w:tcBorders>
              <w:top w:val="nil"/>
              <w:left w:val="nil"/>
              <w:bottom w:val="single" w:sz="4" w:space="0" w:color="auto"/>
              <w:right w:val="single" w:sz="4" w:space="0" w:color="auto"/>
            </w:tcBorders>
            <w:shd w:val="clear" w:color="auto" w:fill="auto"/>
            <w:noWrap/>
            <w:vAlign w:val="center"/>
            <w:hideMark/>
          </w:tcPr>
          <w:p w14:paraId="33BB177E"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109,59</w:t>
            </w:r>
          </w:p>
        </w:tc>
        <w:tc>
          <w:tcPr>
            <w:tcW w:w="886" w:type="dxa"/>
            <w:tcBorders>
              <w:top w:val="nil"/>
              <w:left w:val="nil"/>
              <w:bottom w:val="single" w:sz="4" w:space="0" w:color="auto"/>
              <w:right w:val="single" w:sz="4" w:space="0" w:color="auto"/>
            </w:tcBorders>
            <w:shd w:val="clear" w:color="auto" w:fill="FFE599" w:themeFill="accent4" w:themeFillTint="66"/>
            <w:noWrap/>
            <w:vAlign w:val="center"/>
            <w:hideMark/>
          </w:tcPr>
          <w:p w14:paraId="2B811D22" w14:textId="77777777" w:rsidR="00C54BC9" w:rsidRPr="00164238" w:rsidRDefault="00C54BC9" w:rsidP="00682CBF">
            <w:pPr>
              <w:spacing w:after="0" w:line="240" w:lineRule="auto"/>
              <w:jc w:val="right"/>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-0,84</w:t>
            </w:r>
          </w:p>
        </w:tc>
      </w:tr>
      <w:tr w:rsidR="00164238" w:rsidRPr="00164238" w14:paraId="25FE41A8" w14:textId="77777777" w:rsidTr="00682CBF">
        <w:trPr>
          <w:trHeight w:val="255"/>
          <w:jc w:val="center"/>
        </w:trPr>
        <w:tc>
          <w:tcPr>
            <w:tcW w:w="800" w:type="dxa"/>
            <w:tcBorders>
              <w:top w:val="nil"/>
              <w:left w:val="single" w:sz="4" w:space="0" w:color="auto"/>
              <w:bottom w:val="single" w:sz="4" w:space="0" w:color="auto"/>
              <w:right w:val="single" w:sz="4" w:space="0" w:color="auto"/>
            </w:tcBorders>
            <w:shd w:val="clear" w:color="auto" w:fill="auto"/>
            <w:noWrap/>
            <w:vAlign w:val="bottom"/>
            <w:hideMark/>
          </w:tcPr>
          <w:p w14:paraId="35F233A2"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w:t>
            </w:r>
          </w:p>
        </w:tc>
        <w:tc>
          <w:tcPr>
            <w:tcW w:w="1020" w:type="dxa"/>
            <w:tcBorders>
              <w:top w:val="nil"/>
              <w:left w:val="nil"/>
              <w:bottom w:val="single" w:sz="4" w:space="0" w:color="auto"/>
              <w:right w:val="single" w:sz="4" w:space="0" w:color="auto"/>
            </w:tcBorders>
            <w:shd w:val="clear" w:color="auto" w:fill="auto"/>
            <w:noWrap/>
            <w:vAlign w:val="bottom"/>
            <w:hideMark/>
          </w:tcPr>
          <w:p w14:paraId="27B3964F"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107,30</w:t>
            </w:r>
          </w:p>
        </w:tc>
        <w:tc>
          <w:tcPr>
            <w:tcW w:w="1020" w:type="dxa"/>
            <w:tcBorders>
              <w:top w:val="nil"/>
              <w:left w:val="nil"/>
              <w:bottom w:val="single" w:sz="4" w:space="0" w:color="auto"/>
              <w:right w:val="single" w:sz="4" w:space="0" w:color="auto"/>
            </w:tcBorders>
            <w:shd w:val="clear" w:color="auto" w:fill="FFE599" w:themeFill="accent4" w:themeFillTint="66"/>
            <w:noWrap/>
            <w:vAlign w:val="bottom"/>
            <w:hideMark/>
          </w:tcPr>
          <w:p w14:paraId="2F9A20FA"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109,90</w:t>
            </w:r>
          </w:p>
        </w:tc>
        <w:tc>
          <w:tcPr>
            <w:tcW w:w="1020" w:type="dxa"/>
            <w:tcBorders>
              <w:top w:val="nil"/>
              <w:left w:val="nil"/>
              <w:bottom w:val="single" w:sz="4" w:space="0" w:color="auto"/>
              <w:right w:val="single" w:sz="4" w:space="0" w:color="auto"/>
            </w:tcBorders>
            <w:shd w:val="clear" w:color="auto" w:fill="auto"/>
            <w:noWrap/>
            <w:vAlign w:val="bottom"/>
            <w:hideMark/>
          </w:tcPr>
          <w:p w14:paraId="46EFED36"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115,50</w:t>
            </w:r>
          </w:p>
        </w:tc>
        <w:tc>
          <w:tcPr>
            <w:tcW w:w="1020" w:type="dxa"/>
            <w:tcBorders>
              <w:top w:val="nil"/>
              <w:left w:val="nil"/>
              <w:bottom w:val="single" w:sz="4" w:space="0" w:color="auto"/>
              <w:right w:val="single" w:sz="4" w:space="0" w:color="auto"/>
            </w:tcBorders>
            <w:shd w:val="clear" w:color="auto" w:fill="auto"/>
            <w:noWrap/>
            <w:vAlign w:val="bottom"/>
            <w:hideMark/>
          </w:tcPr>
          <w:p w14:paraId="7D6C1B03"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110,30</w:t>
            </w:r>
          </w:p>
        </w:tc>
        <w:tc>
          <w:tcPr>
            <w:tcW w:w="1134" w:type="dxa"/>
            <w:tcBorders>
              <w:top w:val="nil"/>
              <w:left w:val="nil"/>
              <w:bottom w:val="single" w:sz="4" w:space="0" w:color="auto"/>
              <w:right w:val="single" w:sz="4" w:space="0" w:color="auto"/>
            </w:tcBorders>
            <w:shd w:val="clear" w:color="auto" w:fill="auto"/>
            <w:noWrap/>
            <w:vAlign w:val="center"/>
            <w:hideMark/>
          </w:tcPr>
          <w:p w14:paraId="37553F98"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110,75</w:t>
            </w:r>
          </w:p>
        </w:tc>
        <w:tc>
          <w:tcPr>
            <w:tcW w:w="1134" w:type="dxa"/>
            <w:tcBorders>
              <w:top w:val="nil"/>
              <w:left w:val="nil"/>
              <w:bottom w:val="single" w:sz="4" w:space="0" w:color="auto"/>
              <w:right w:val="single" w:sz="4" w:space="0" w:color="auto"/>
            </w:tcBorders>
            <w:shd w:val="clear" w:color="auto" w:fill="auto"/>
            <w:noWrap/>
            <w:vAlign w:val="center"/>
            <w:hideMark/>
          </w:tcPr>
          <w:p w14:paraId="5C758DA6"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111,61</w:t>
            </w:r>
          </w:p>
        </w:tc>
        <w:tc>
          <w:tcPr>
            <w:tcW w:w="886" w:type="dxa"/>
            <w:tcBorders>
              <w:top w:val="nil"/>
              <w:left w:val="nil"/>
              <w:bottom w:val="single" w:sz="4" w:space="0" w:color="auto"/>
              <w:right w:val="single" w:sz="4" w:space="0" w:color="auto"/>
            </w:tcBorders>
            <w:shd w:val="clear" w:color="auto" w:fill="FFE599" w:themeFill="accent4" w:themeFillTint="66"/>
            <w:noWrap/>
            <w:vAlign w:val="center"/>
            <w:hideMark/>
          </w:tcPr>
          <w:p w14:paraId="24C7F492" w14:textId="77777777" w:rsidR="00C54BC9" w:rsidRPr="00164238" w:rsidRDefault="00C54BC9" w:rsidP="00682CBF">
            <w:pPr>
              <w:spacing w:after="0" w:line="240" w:lineRule="auto"/>
              <w:jc w:val="right"/>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-0,77</w:t>
            </w:r>
          </w:p>
        </w:tc>
      </w:tr>
      <w:tr w:rsidR="00164238" w:rsidRPr="00164238" w14:paraId="7839BF20" w14:textId="77777777" w:rsidTr="00682CBF">
        <w:trPr>
          <w:trHeight w:val="255"/>
          <w:jc w:val="center"/>
        </w:trPr>
        <w:tc>
          <w:tcPr>
            <w:tcW w:w="800" w:type="dxa"/>
            <w:tcBorders>
              <w:top w:val="nil"/>
              <w:left w:val="single" w:sz="4" w:space="0" w:color="auto"/>
              <w:bottom w:val="single" w:sz="4" w:space="0" w:color="auto"/>
              <w:right w:val="single" w:sz="4" w:space="0" w:color="auto"/>
            </w:tcBorders>
            <w:shd w:val="clear" w:color="auto" w:fill="auto"/>
            <w:noWrap/>
            <w:vAlign w:val="bottom"/>
            <w:hideMark/>
          </w:tcPr>
          <w:p w14:paraId="2629A1D9"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12</w:t>
            </w:r>
          </w:p>
        </w:tc>
        <w:tc>
          <w:tcPr>
            <w:tcW w:w="1020" w:type="dxa"/>
            <w:tcBorders>
              <w:top w:val="nil"/>
              <w:left w:val="nil"/>
              <w:bottom w:val="single" w:sz="4" w:space="0" w:color="auto"/>
              <w:right w:val="single" w:sz="4" w:space="0" w:color="auto"/>
            </w:tcBorders>
            <w:shd w:val="clear" w:color="auto" w:fill="auto"/>
            <w:noWrap/>
            <w:vAlign w:val="bottom"/>
            <w:hideMark/>
          </w:tcPr>
          <w:p w14:paraId="2632D72D"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134,50</w:t>
            </w:r>
          </w:p>
        </w:tc>
        <w:tc>
          <w:tcPr>
            <w:tcW w:w="1020" w:type="dxa"/>
            <w:tcBorders>
              <w:top w:val="nil"/>
              <w:left w:val="nil"/>
              <w:bottom w:val="single" w:sz="4" w:space="0" w:color="auto"/>
              <w:right w:val="single" w:sz="4" w:space="0" w:color="auto"/>
            </w:tcBorders>
            <w:shd w:val="clear" w:color="auto" w:fill="FFE599" w:themeFill="accent4" w:themeFillTint="66"/>
            <w:noWrap/>
            <w:vAlign w:val="bottom"/>
            <w:hideMark/>
          </w:tcPr>
          <w:p w14:paraId="0775AEEB"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139,90</w:t>
            </w:r>
          </w:p>
        </w:tc>
        <w:tc>
          <w:tcPr>
            <w:tcW w:w="1020" w:type="dxa"/>
            <w:tcBorders>
              <w:top w:val="nil"/>
              <w:left w:val="nil"/>
              <w:bottom w:val="single" w:sz="4" w:space="0" w:color="auto"/>
              <w:right w:val="single" w:sz="4" w:space="0" w:color="auto"/>
            </w:tcBorders>
            <w:shd w:val="clear" w:color="auto" w:fill="auto"/>
            <w:noWrap/>
            <w:vAlign w:val="bottom"/>
            <w:hideMark/>
          </w:tcPr>
          <w:p w14:paraId="48C4317B"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146,20</w:t>
            </w:r>
          </w:p>
        </w:tc>
        <w:tc>
          <w:tcPr>
            <w:tcW w:w="1020" w:type="dxa"/>
            <w:tcBorders>
              <w:top w:val="nil"/>
              <w:left w:val="nil"/>
              <w:bottom w:val="single" w:sz="4" w:space="0" w:color="auto"/>
              <w:right w:val="single" w:sz="4" w:space="0" w:color="auto"/>
            </w:tcBorders>
            <w:shd w:val="clear" w:color="auto" w:fill="auto"/>
            <w:noWrap/>
            <w:vAlign w:val="bottom"/>
            <w:hideMark/>
          </w:tcPr>
          <w:p w14:paraId="29AB19CC"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166,10</w:t>
            </w:r>
          </w:p>
        </w:tc>
        <w:tc>
          <w:tcPr>
            <w:tcW w:w="1134" w:type="dxa"/>
            <w:tcBorders>
              <w:top w:val="nil"/>
              <w:left w:val="nil"/>
              <w:bottom w:val="single" w:sz="4" w:space="0" w:color="auto"/>
              <w:right w:val="single" w:sz="4" w:space="0" w:color="auto"/>
            </w:tcBorders>
            <w:shd w:val="clear" w:color="auto" w:fill="auto"/>
            <w:noWrap/>
            <w:vAlign w:val="center"/>
            <w:hideMark/>
          </w:tcPr>
          <w:p w14:paraId="24095FFB"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146,68</w:t>
            </w:r>
          </w:p>
        </w:tc>
        <w:tc>
          <w:tcPr>
            <w:tcW w:w="1134" w:type="dxa"/>
            <w:tcBorders>
              <w:top w:val="nil"/>
              <w:left w:val="nil"/>
              <w:bottom w:val="single" w:sz="4" w:space="0" w:color="auto"/>
              <w:right w:val="single" w:sz="4" w:space="0" w:color="auto"/>
            </w:tcBorders>
            <w:shd w:val="clear" w:color="auto" w:fill="auto"/>
            <w:noWrap/>
            <w:vAlign w:val="center"/>
            <w:hideMark/>
          </w:tcPr>
          <w:p w14:paraId="16B3F4DB"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149,72</w:t>
            </w:r>
          </w:p>
        </w:tc>
        <w:tc>
          <w:tcPr>
            <w:tcW w:w="886" w:type="dxa"/>
            <w:tcBorders>
              <w:top w:val="nil"/>
              <w:left w:val="nil"/>
              <w:bottom w:val="single" w:sz="4" w:space="0" w:color="auto"/>
              <w:right w:val="single" w:sz="4" w:space="0" w:color="auto"/>
            </w:tcBorders>
            <w:shd w:val="clear" w:color="auto" w:fill="FFE599" w:themeFill="accent4" w:themeFillTint="66"/>
            <w:noWrap/>
            <w:vAlign w:val="center"/>
            <w:hideMark/>
          </w:tcPr>
          <w:p w14:paraId="10C532C7" w14:textId="77777777" w:rsidR="00C54BC9" w:rsidRPr="00164238" w:rsidRDefault="00C54BC9" w:rsidP="00682CBF">
            <w:pPr>
              <w:spacing w:after="0" w:line="240" w:lineRule="auto"/>
              <w:jc w:val="right"/>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-2,03</w:t>
            </w:r>
          </w:p>
        </w:tc>
      </w:tr>
      <w:tr w:rsidR="00164238" w:rsidRPr="00164238" w14:paraId="5F9E297A" w14:textId="77777777" w:rsidTr="00682CBF">
        <w:trPr>
          <w:trHeight w:val="255"/>
          <w:jc w:val="center"/>
        </w:trPr>
        <w:tc>
          <w:tcPr>
            <w:tcW w:w="800" w:type="dxa"/>
            <w:tcBorders>
              <w:top w:val="nil"/>
              <w:left w:val="single" w:sz="4" w:space="0" w:color="auto"/>
              <w:bottom w:val="single" w:sz="4" w:space="0" w:color="auto"/>
              <w:right w:val="single" w:sz="4" w:space="0" w:color="auto"/>
            </w:tcBorders>
            <w:shd w:val="clear" w:color="auto" w:fill="auto"/>
            <w:noWrap/>
            <w:vAlign w:val="bottom"/>
            <w:hideMark/>
          </w:tcPr>
          <w:p w14:paraId="5A662FBA"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13</w:t>
            </w:r>
          </w:p>
        </w:tc>
        <w:tc>
          <w:tcPr>
            <w:tcW w:w="1020" w:type="dxa"/>
            <w:tcBorders>
              <w:top w:val="nil"/>
              <w:left w:val="nil"/>
              <w:bottom w:val="single" w:sz="4" w:space="0" w:color="auto"/>
              <w:right w:val="single" w:sz="4" w:space="0" w:color="auto"/>
            </w:tcBorders>
            <w:shd w:val="clear" w:color="auto" w:fill="auto"/>
            <w:noWrap/>
            <w:vAlign w:val="bottom"/>
            <w:hideMark/>
          </w:tcPr>
          <w:p w14:paraId="1D41CB37"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106,30</w:t>
            </w:r>
          </w:p>
        </w:tc>
        <w:tc>
          <w:tcPr>
            <w:tcW w:w="1020" w:type="dxa"/>
            <w:tcBorders>
              <w:top w:val="nil"/>
              <w:left w:val="nil"/>
              <w:bottom w:val="single" w:sz="4" w:space="0" w:color="auto"/>
              <w:right w:val="single" w:sz="4" w:space="0" w:color="auto"/>
            </w:tcBorders>
            <w:shd w:val="clear" w:color="auto" w:fill="FFE599" w:themeFill="accent4" w:themeFillTint="66"/>
            <w:noWrap/>
            <w:vAlign w:val="bottom"/>
            <w:hideMark/>
          </w:tcPr>
          <w:p w14:paraId="001DABE4"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102,70</w:t>
            </w:r>
          </w:p>
        </w:tc>
        <w:tc>
          <w:tcPr>
            <w:tcW w:w="1020" w:type="dxa"/>
            <w:tcBorders>
              <w:top w:val="nil"/>
              <w:left w:val="nil"/>
              <w:bottom w:val="single" w:sz="4" w:space="0" w:color="auto"/>
              <w:right w:val="single" w:sz="4" w:space="0" w:color="auto"/>
            </w:tcBorders>
            <w:shd w:val="clear" w:color="auto" w:fill="auto"/>
            <w:noWrap/>
            <w:vAlign w:val="bottom"/>
            <w:hideMark/>
          </w:tcPr>
          <w:p w14:paraId="0D57F211"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107,60</w:t>
            </w:r>
          </w:p>
        </w:tc>
        <w:tc>
          <w:tcPr>
            <w:tcW w:w="1020" w:type="dxa"/>
            <w:tcBorders>
              <w:top w:val="nil"/>
              <w:left w:val="nil"/>
              <w:bottom w:val="single" w:sz="4" w:space="0" w:color="auto"/>
              <w:right w:val="single" w:sz="4" w:space="0" w:color="auto"/>
            </w:tcBorders>
            <w:shd w:val="clear" w:color="auto" w:fill="auto"/>
            <w:noWrap/>
            <w:vAlign w:val="bottom"/>
            <w:hideMark/>
          </w:tcPr>
          <w:p w14:paraId="01EE3E6A"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112,30</w:t>
            </w:r>
          </w:p>
        </w:tc>
        <w:tc>
          <w:tcPr>
            <w:tcW w:w="1134" w:type="dxa"/>
            <w:tcBorders>
              <w:top w:val="nil"/>
              <w:left w:val="nil"/>
              <w:bottom w:val="single" w:sz="4" w:space="0" w:color="auto"/>
              <w:right w:val="single" w:sz="4" w:space="0" w:color="auto"/>
            </w:tcBorders>
            <w:shd w:val="clear" w:color="auto" w:fill="auto"/>
            <w:noWrap/>
            <w:vAlign w:val="center"/>
            <w:hideMark/>
          </w:tcPr>
          <w:p w14:paraId="2BDD07E8"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107,23</w:t>
            </w:r>
          </w:p>
        </w:tc>
        <w:tc>
          <w:tcPr>
            <w:tcW w:w="1134" w:type="dxa"/>
            <w:tcBorders>
              <w:top w:val="nil"/>
              <w:left w:val="nil"/>
              <w:bottom w:val="single" w:sz="4" w:space="0" w:color="auto"/>
              <w:right w:val="single" w:sz="4" w:space="0" w:color="auto"/>
            </w:tcBorders>
            <w:shd w:val="clear" w:color="auto" w:fill="auto"/>
            <w:noWrap/>
            <w:vAlign w:val="center"/>
            <w:hideMark/>
          </w:tcPr>
          <w:p w14:paraId="598506E1"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107,46</w:t>
            </w:r>
          </w:p>
        </w:tc>
        <w:tc>
          <w:tcPr>
            <w:tcW w:w="886" w:type="dxa"/>
            <w:tcBorders>
              <w:top w:val="nil"/>
              <w:left w:val="nil"/>
              <w:bottom w:val="single" w:sz="4" w:space="0" w:color="auto"/>
              <w:right w:val="single" w:sz="4" w:space="0" w:color="auto"/>
            </w:tcBorders>
            <w:shd w:val="clear" w:color="auto" w:fill="FFE599" w:themeFill="accent4" w:themeFillTint="66"/>
            <w:noWrap/>
            <w:vAlign w:val="center"/>
            <w:hideMark/>
          </w:tcPr>
          <w:p w14:paraId="5F65CE09" w14:textId="77777777" w:rsidR="00C54BC9" w:rsidRPr="00164238" w:rsidRDefault="00C54BC9" w:rsidP="00682CBF">
            <w:pPr>
              <w:spacing w:after="0" w:line="240" w:lineRule="auto"/>
              <w:jc w:val="right"/>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-0,22</w:t>
            </w:r>
          </w:p>
        </w:tc>
      </w:tr>
      <w:tr w:rsidR="00164238" w:rsidRPr="00164238" w14:paraId="1A14DE9E" w14:textId="77777777" w:rsidTr="00682CBF">
        <w:trPr>
          <w:trHeight w:val="255"/>
          <w:jc w:val="center"/>
        </w:trPr>
        <w:tc>
          <w:tcPr>
            <w:tcW w:w="800" w:type="dxa"/>
            <w:tcBorders>
              <w:top w:val="nil"/>
              <w:left w:val="single" w:sz="4" w:space="0" w:color="auto"/>
              <w:bottom w:val="single" w:sz="4" w:space="0" w:color="auto"/>
              <w:right w:val="single" w:sz="4" w:space="0" w:color="auto"/>
            </w:tcBorders>
            <w:shd w:val="clear" w:color="auto" w:fill="auto"/>
            <w:noWrap/>
            <w:vAlign w:val="bottom"/>
            <w:hideMark/>
          </w:tcPr>
          <w:p w14:paraId="51AA10F9"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14</w:t>
            </w:r>
          </w:p>
        </w:tc>
        <w:tc>
          <w:tcPr>
            <w:tcW w:w="1020" w:type="dxa"/>
            <w:tcBorders>
              <w:top w:val="nil"/>
              <w:left w:val="nil"/>
              <w:bottom w:val="single" w:sz="4" w:space="0" w:color="auto"/>
              <w:right w:val="single" w:sz="4" w:space="0" w:color="auto"/>
            </w:tcBorders>
            <w:shd w:val="clear" w:color="auto" w:fill="auto"/>
            <w:noWrap/>
            <w:vAlign w:val="bottom"/>
            <w:hideMark/>
          </w:tcPr>
          <w:p w14:paraId="045A10A1"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118,70</w:t>
            </w:r>
          </w:p>
        </w:tc>
        <w:tc>
          <w:tcPr>
            <w:tcW w:w="1020" w:type="dxa"/>
            <w:tcBorders>
              <w:top w:val="nil"/>
              <w:left w:val="nil"/>
              <w:bottom w:val="single" w:sz="4" w:space="0" w:color="auto"/>
              <w:right w:val="single" w:sz="4" w:space="0" w:color="auto"/>
            </w:tcBorders>
            <w:shd w:val="clear" w:color="auto" w:fill="FFE599" w:themeFill="accent4" w:themeFillTint="66"/>
            <w:noWrap/>
            <w:vAlign w:val="bottom"/>
            <w:hideMark/>
          </w:tcPr>
          <w:p w14:paraId="0E3CA0BF"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113,50</w:t>
            </w:r>
          </w:p>
        </w:tc>
        <w:tc>
          <w:tcPr>
            <w:tcW w:w="1020" w:type="dxa"/>
            <w:tcBorders>
              <w:top w:val="nil"/>
              <w:left w:val="nil"/>
              <w:bottom w:val="single" w:sz="4" w:space="0" w:color="auto"/>
              <w:right w:val="single" w:sz="4" w:space="0" w:color="auto"/>
            </w:tcBorders>
            <w:shd w:val="clear" w:color="auto" w:fill="auto"/>
            <w:noWrap/>
            <w:vAlign w:val="bottom"/>
            <w:hideMark/>
          </w:tcPr>
          <w:p w14:paraId="46EF71F7"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118,70</w:t>
            </w:r>
          </w:p>
        </w:tc>
        <w:tc>
          <w:tcPr>
            <w:tcW w:w="1020" w:type="dxa"/>
            <w:tcBorders>
              <w:top w:val="nil"/>
              <w:left w:val="nil"/>
              <w:bottom w:val="single" w:sz="4" w:space="0" w:color="auto"/>
              <w:right w:val="single" w:sz="4" w:space="0" w:color="auto"/>
            </w:tcBorders>
            <w:shd w:val="clear" w:color="auto" w:fill="auto"/>
            <w:noWrap/>
            <w:vAlign w:val="bottom"/>
            <w:hideMark/>
          </w:tcPr>
          <w:p w14:paraId="6AF3DB82"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120,90</w:t>
            </w:r>
          </w:p>
        </w:tc>
        <w:tc>
          <w:tcPr>
            <w:tcW w:w="1134" w:type="dxa"/>
            <w:tcBorders>
              <w:top w:val="nil"/>
              <w:left w:val="nil"/>
              <w:bottom w:val="single" w:sz="4" w:space="0" w:color="auto"/>
              <w:right w:val="single" w:sz="4" w:space="0" w:color="auto"/>
            </w:tcBorders>
            <w:shd w:val="clear" w:color="auto" w:fill="auto"/>
            <w:noWrap/>
            <w:vAlign w:val="center"/>
            <w:hideMark/>
          </w:tcPr>
          <w:p w14:paraId="2838EEB5"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117,95</w:t>
            </w:r>
          </w:p>
        </w:tc>
        <w:tc>
          <w:tcPr>
            <w:tcW w:w="1134" w:type="dxa"/>
            <w:tcBorders>
              <w:top w:val="nil"/>
              <w:left w:val="nil"/>
              <w:bottom w:val="single" w:sz="4" w:space="0" w:color="auto"/>
              <w:right w:val="single" w:sz="4" w:space="0" w:color="auto"/>
            </w:tcBorders>
            <w:shd w:val="clear" w:color="auto" w:fill="auto"/>
            <w:noWrap/>
            <w:vAlign w:val="center"/>
            <w:hideMark/>
          </w:tcPr>
          <w:p w14:paraId="2B2A5F8F"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117,76</w:t>
            </w:r>
          </w:p>
        </w:tc>
        <w:tc>
          <w:tcPr>
            <w:tcW w:w="886" w:type="dxa"/>
            <w:tcBorders>
              <w:top w:val="nil"/>
              <w:left w:val="nil"/>
              <w:bottom w:val="single" w:sz="4" w:space="0" w:color="auto"/>
              <w:right w:val="single" w:sz="4" w:space="0" w:color="auto"/>
            </w:tcBorders>
            <w:shd w:val="clear" w:color="auto" w:fill="FFE599" w:themeFill="accent4" w:themeFillTint="66"/>
            <w:noWrap/>
            <w:vAlign w:val="center"/>
            <w:hideMark/>
          </w:tcPr>
          <w:p w14:paraId="13A0C79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0,16</w:t>
            </w:r>
          </w:p>
        </w:tc>
      </w:tr>
      <w:tr w:rsidR="00164238" w:rsidRPr="00164238" w14:paraId="4264426D" w14:textId="77777777" w:rsidTr="00682CBF">
        <w:trPr>
          <w:trHeight w:val="255"/>
          <w:jc w:val="center"/>
        </w:trPr>
        <w:tc>
          <w:tcPr>
            <w:tcW w:w="800" w:type="dxa"/>
            <w:tcBorders>
              <w:top w:val="nil"/>
              <w:left w:val="single" w:sz="4" w:space="0" w:color="auto"/>
              <w:bottom w:val="single" w:sz="4" w:space="0" w:color="auto"/>
              <w:right w:val="single" w:sz="4" w:space="0" w:color="auto"/>
            </w:tcBorders>
            <w:shd w:val="clear" w:color="auto" w:fill="auto"/>
            <w:noWrap/>
            <w:vAlign w:val="bottom"/>
            <w:hideMark/>
          </w:tcPr>
          <w:p w14:paraId="2DAD1E2E"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15</w:t>
            </w:r>
          </w:p>
        </w:tc>
        <w:tc>
          <w:tcPr>
            <w:tcW w:w="1020" w:type="dxa"/>
            <w:tcBorders>
              <w:top w:val="nil"/>
              <w:left w:val="nil"/>
              <w:bottom w:val="single" w:sz="4" w:space="0" w:color="auto"/>
              <w:right w:val="single" w:sz="4" w:space="0" w:color="auto"/>
            </w:tcBorders>
            <w:shd w:val="clear" w:color="auto" w:fill="auto"/>
            <w:noWrap/>
            <w:vAlign w:val="bottom"/>
            <w:hideMark/>
          </w:tcPr>
          <w:p w14:paraId="656B88D3"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105,70</w:t>
            </w:r>
          </w:p>
        </w:tc>
        <w:tc>
          <w:tcPr>
            <w:tcW w:w="1020" w:type="dxa"/>
            <w:tcBorders>
              <w:top w:val="nil"/>
              <w:left w:val="nil"/>
              <w:bottom w:val="single" w:sz="4" w:space="0" w:color="auto"/>
              <w:right w:val="single" w:sz="4" w:space="0" w:color="auto"/>
            </w:tcBorders>
            <w:shd w:val="clear" w:color="auto" w:fill="FFE599" w:themeFill="accent4" w:themeFillTint="66"/>
            <w:noWrap/>
            <w:vAlign w:val="bottom"/>
            <w:hideMark/>
          </w:tcPr>
          <w:p w14:paraId="696CF6BE"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98,50</w:t>
            </w:r>
          </w:p>
        </w:tc>
        <w:tc>
          <w:tcPr>
            <w:tcW w:w="1020" w:type="dxa"/>
            <w:tcBorders>
              <w:top w:val="nil"/>
              <w:left w:val="nil"/>
              <w:bottom w:val="single" w:sz="4" w:space="0" w:color="auto"/>
              <w:right w:val="single" w:sz="4" w:space="0" w:color="auto"/>
            </w:tcBorders>
            <w:shd w:val="clear" w:color="auto" w:fill="auto"/>
            <w:noWrap/>
            <w:vAlign w:val="bottom"/>
            <w:hideMark/>
          </w:tcPr>
          <w:p w14:paraId="1442CD0A"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101,80</w:t>
            </w:r>
          </w:p>
        </w:tc>
        <w:tc>
          <w:tcPr>
            <w:tcW w:w="1020" w:type="dxa"/>
            <w:tcBorders>
              <w:top w:val="nil"/>
              <w:left w:val="nil"/>
              <w:bottom w:val="single" w:sz="4" w:space="0" w:color="auto"/>
              <w:right w:val="single" w:sz="4" w:space="0" w:color="auto"/>
            </w:tcBorders>
            <w:shd w:val="clear" w:color="auto" w:fill="auto"/>
            <w:noWrap/>
            <w:vAlign w:val="bottom"/>
            <w:hideMark/>
          </w:tcPr>
          <w:p w14:paraId="61C0AF54"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103,70</w:t>
            </w:r>
          </w:p>
        </w:tc>
        <w:tc>
          <w:tcPr>
            <w:tcW w:w="1134" w:type="dxa"/>
            <w:tcBorders>
              <w:top w:val="nil"/>
              <w:left w:val="nil"/>
              <w:bottom w:val="single" w:sz="4" w:space="0" w:color="auto"/>
              <w:right w:val="single" w:sz="4" w:space="0" w:color="auto"/>
            </w:tcBorders>
            <w:shd w:val="clear" w:color="auto" w:fill="auto"/>
            <w:noWrap/>
            <w:vAlign w:val="center"/>
            <w:hideMark/>
          </w:tcPr>
          <w:p w14:paraId="38131A49"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102,43</w:t>
            </w:r>
          </w:p>
        </w:tc>
        <w:tc>
          <w:tcPr>
            <w:tcW w:w="1134" w:type="dxa"/>
            <w:tcBorders>
              <w:top w:val="nil"/>
              <w:left w:val="nil"/>
              <w:bottom w:val="single" w:sz="4" w:space="0" w:color="auto"/>
              <w:right w:val="single" w:sz="4" w:space="0" w:color="auto"/>
            </w:tcBorders>
            <w:shd w:val="clear" w:color="auto" w:fill="auto"/>
            <w:noWrap/>
            <w:vAlign w:val="center"/>
            <w:hideMark/>
          </w:tcPr>
          <w:p w14:paraId="4FE42428"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101,61</w:t>
            </w:r>
          </w:p>
        </w:tc>
        <w:tc>
          <w:tcPr>
            <w:tcW w:w="886" w:type="dxa"/>
            <w:tcBorders>
              <w:top w:val="nil"/>
              <w:left w:val="nil"/>
              <w:bottom w:val="single" w:sz="4" w:space="0" w:color="auto"/>
              <w:right w:val="single" w:sz="4" w:space="0" w:color="auto"/>
            </w:tcBorders>
            <w:shd w:val="clear" w:color="auto" w:fill="FFE599" w:themeFill="accent4" w:themeFillTint="66"/>
            <w:noWrap/>
            <w:vAlign w:val="center"/>
            <w:hideMark/>
          </w:tcPr>
          <w:p w14:paraId="7E4BF0D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0,81</w:t>
            </w:r>
          </w:p>
        </w:tc>
      </w:tr>
      <w:tr w:rsidR="00164238" w:rsidRPr="00164238" w14:paraId="5D5012C4" w14:textId="77777777" w:rsidTr="00682CBF">
        <w:trPr>
          <w:trHeight w:val="255"/>
          <w:jc w:val="center"/>
        </w:trPr>
        <w:tc>
          <w:tcPr>
            <w:tcW w:w="800" w:type="dxa"/>
            <w:tcBorders>
              <w:top w:val="nil"/>
              <w:left w:val="single" w:sz="4" w:space="0" w:color="auto"/>
              <w:bottom w:val="single" w:sz="4" w:space="0" w:color="auto"/>
              <w:right w:val="single" w:sz="4" w:space="0" w:color="auto"/>
            </w:tcBorders>
            <w:shd w:val="clear" w:color="auto" w:fill="auto"/>
            <w:noWrap/>
            <w:vAlign w:val="bottom"/>
            <w:hideMark/>
          </w:tcPr>
          <w:p w14:paraId="1B55180E"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16</w:t>
            </w:r>
          </w:p>
        </w:tc>
        <w:tc>
          <w:tcPr>
            <w:tcW w:w="1020" w:type="dxa"/>
            <w:tcBorders>
              <w:top w:val="nil"/>
              <w:left w:val="nil"/>
              <w:bottom w:val="single" w:sz="4" w:space="0" w:color="auto"/>
              <w:right w:val="single" w:sz="4" w:space="0" w:color="auto"/>
            </w:tcBorders>
            <w:shd w:val="clear" w:color="auto" w:fill="auto"/>
            <w:noWrap/>
            <w:vAlign w:val="bottom"/>
            <w:hideMark/>
          </w:tcPr>
          <w:p w14:paraId="2A889D5D"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94,00</w:t>
            </w:r>
          </w:p>
        </w:tc>
        <w:tc>
          <w:tcPr>
            <w:tcW w:w="1020" w:type="dxa"/>
            <w:tcBorders>
              <w:top w:val="nil"/>
              <w:left w:val="nil"/>
              <w:bottom w:val="single" w:sz="4" w:space="0" w:color="auto"/>
              <w:right w:val="single" w:sz="4" w:space="0" w:color="auto"/>
            </w:tcBorders>
            <w:shd w:val="clear" w:color="auto" w:fill="FFE599" w:themeFill="accent4" w:themeFillTint="66"/>
            <w:noWrap/>
            <w:vAlign w:val="bottom"/>
            <w:hideMark/>
          </w:tcPr>
          <w:p w14:paraId="5609CF2D"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92,80</w:t>
            </w:r>
          </w:p>
        </w:tc>
        <w:tc>
          <w:tcPr>
            <w:tcW w:w="1020" w:type="dxa"/>
            <w:tcBorders>
              <w:top w:val="nil"/>
              <w:left w:val="nil"/>
              <w:bottom w:val="single" w:sz="4" w:space="0" w:color="auto"/>
              <w:right w:val="single" w:sz="4" w:space="0" w:color="auto"/>
            </w:tcBorders>
            <w:shd w:val="clear" w:color="auto" w:fill="auto"/>
            <w:noWrap/>
            <w:vAlign w:val="bottom"/>
            <w:hideMark/>
          </w:tcPr>
          <w:p w14:paraId="515DDBBF"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97,50</w:t>
            </w:r>
          </w:p>
        </w:tc>
        <w:tc>
          <w:tcPr>
            <w:tcW w:w="1020" w:type="dxa"/>
            <w:tcBorders>
              <w:top w:val="nil"/>
              <w:left w:val="nil"/>
              <w:bottom w:val="single" w:sz="4" w:space="0" w:color="auto"/>
              <w:right w:val="single" w:sz="4" w:space="0" w:color="auto"/>
            </w:tcBorders>
            <w:shd w:val="clear" w:color="auto" w:fill="auto"/>
            <w:noWrap/>
            <w:vAlign w:val="bottom"/>
            <w:hideMark/>
          </w:tcPr>
          <w:p w14:paraId="18C40588"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103,50</w:t>
            </w:r>
          </w:p>
        </w:tc>
        <w:tc>
          <w:tcPr>
            <w:tcW w:w="1134" w:type="dxa"/>
            <w:tcBorders>
              <w:top w:val="nil"/>
              <w:left w:val="nil"/>
              <w:bottom w:val="single" w:sz="4" w:space="0" w:color="auto"/>
              <w:right w:val="single" w:sz="4" w:space="0" w:color="auto"/>
            </w:tcBorders>
            <w:shd w:val="clear" w:color="auto" w:fill="auto"/>
            <w:noWrap/>
            <w:vAlign w:val="center"/>
            <w:hideMark/>
          </w:tcPr>
          <w:p w14:paraId="3314EF66"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96,95</w:t>
            </w:r>
          </w:p>
        </w:tc>
        <w:tc>
          <w:tcPr>
            <w:tcW w:w="1134" w:type="dxa"/>
            <w:tcBorders>
              <w:top w:val="nil"/>
              <w:left w:val="nil"/>
              <w:bottom w:val="single" w:sz="4" w:space="0" w:color="auto"/>
              <w:right w:val="single" w:sz="4" w:space="0" w:color="auto"/>
            </w:tcBorders>
            <w:shd w:val="clear" w:color="auto" w:fill="auto"/>
            <w:noWrap/>
            <w:vAlign w:val="center"/>
            <w:hideMark/>
          </w:tcPr>
          <w:p w14:paraId="4530F059"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97,69</w:t>
            </w:r>
          </w:p>
        </w:tc>
        <w:tc>
          <w:tcPr>
            <w:tcW w:w="886" w:type="dxa"/>
            <w:tcBorders>
              <w:top w:val="nil"/>
              <w:left w:val="nil"/>
              <w:bottom w:val="single" w:sz="4" w:space="0" w:color="auto"/>
              <w:right w:val="single" w:sz="4" w:space="0" w:color="auto"/>
            </w:tcBorders>
            <w:shd w:val="clear" w:color="auto" w:fill="FFE599" w:themeFill="accent4" w:themeFillTint="66"/>
            <w:noWrap/>
            <w:vAlign w:val="center"/>
            <w:hideMark/>
          </w:tcPr>
          <w:p w14:paraId="01816D70" w14:textId="77777777" w:rsidR="00C54BC9" w:rsidRPr="00164238" w:rsidRDefault="00C54BC9" w:rsidP="00682CBF">
            <w:pPr>
              <w:spacing w:after="0" w:line="240" w:lineRule="auto"/>
              <w:jc w:val="right"/>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-0,75</w:t>
            </w:r>
          </w:p>
        </w:tc>
      </w:tr>
      <w:tr w:rsidR="00164238" w:rsidRPr="00164238" w14:paraId="4DFC6434" w14:textId="77777777" w:rsidTr="00682CBF">
        <w:trPr>
          <w:trHeight w:val="255"/>
          <w:jc w:val="center"/>
        </w:trPr>
        <w:tc>
          <w:tcPr>
            <w:tcW w:w="800" w:type="dxa"/>
            <w:tcBorders>
              <w:top w:val="nil"/>
              <w:left w:val="single" w:sz="4" w:space="0" w:color="auto"/>
              <w:bottom w:val="single" w:sz="4" w:space="0" w:color="auto"/>
              <w:right w:val="single" w:sz="4" w:space="0" w:color="auto"/>
            </w:tcBorders>
            <w:shd w:val="clear" w:color="auto" w:fill="auto"/>
            <w:noWrap/>
            <w:vAlign w:val="bottom"/>
            <w:hideMark/>
          </w:tcPr>
          <w:p w14:paraId="63ECC211"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17</w:t>
            </w:r>
          </w:p>
        </w:tc>
        <w:tc>
          <w:tcPr>
            <w:tcW w:w="1020" w:type="dxa"/>
            <w:tcBorders>
              <w:top w:val="nil"/>
              <w:left w:val="nil"/>
              <w:bottom w:val="single" w:sz="4" w:space="0" w:color="auto"/>
              <w:right w:val="single" w:sz="4" w:space="0" w:color="auto"/>
            </w:tcBorders>
            <w:shd w:val="clear" w:color="auto" w:fill="auto"/>
            <w:noWrap/>
            <w:vAlign w:val="bottom"/>
            <w:hideMark/>
          </w:tcPr>
          <w:p w14:paraId="0CDDFBD1"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116,80</w:t>
            </w:r>
          </w:p>
        </w:tc>
        <w:tc>
          <w:tcPr>
            <w:tcW w:w="1020" w:type="dxa"/>
            <w:tcBorders>
              <w:top w:val="nil"/>
              <w:left w:val="nil"/>
              <w:bottom w:val="single" w:sz="4" w:space="0" w:color="auto"/>
              <w:right w:val="single" w:sz="4" w:space="0" w:color="auto"/>
            </w:tcBorders>
            <w:shd w:val="clear" w:color="auto" w:fill="FFE599" w:themeFill="accent4" w:themeFillTint="66"/>
            <w:noWrap/>
            <w:vAlign w:val="bottom"/>
            <w:hideMark/>
          </w:tcPr>
          <w:p w14:paraId="3B123B25"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116,90</w:t>
            </w:r>
          </w:p>
        </w:tc>
        <w:tc>
          <w:tcPr>
            <w:tcW w:w="1020" w:type="dxa"/>
            <w:tcBorders>
              <w:top w:val="nil"/>
              <w:left w:val="nil"/>
              <w:bottom w:val="single" w:sz="4" w:space="0" w:color="auto"/>
              <w:right w:val="single" w:sz="4" w:space="0" w:color="auto"/>
            </w:tcBorders>
            <w:shd w:val="clear" w:color="auto" w:fill="auto"/>
            <w:noWrap/>
            <w:vAlign w:val="bottom"/>
            <w:hideMark/>
          </w:tcPr>
          <w:p w14:paraId="4573D973"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121,20</w:t>
            </w:r>
          </w:p>
        </w:tc>
        <w:tc>
          <w:tcPr>
            <w:tcW w:w="1020" w:type="dxa"/>
            <w:tcBorders>
              <w:top w:val="nil"/>
              <w:left w:val="nil"/>
              <w:bottom w:val="single" w:sz="4" w:space="0" w:color="auto"/>
              <w:right w:val="single" w:sz="4" w:space="0" w:color="auto"/>
            </w:tcBorders>
            <w:shd w:val="clear" w:color="auto" w:fill="auto"/>
            <w:noWrap/>
            <w:vAlign w:val="bottom"/>
            <w:hideMark/>
          </w:tcPr>
          <w:p w14:paraId="0869F6E9"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124,80</w:t>
            </w:r>
          </w:p>
        </w:tc>
        <w:tc>
          <w:tcPr>
            <w:tcW w:w="1134" w:type="dxa"/>
            <w:tcBorders>
              <w:top w:val="nil"/>
              <w:left w:val="nil"/>
              <w:bottom w:val="single" w:sz="4" w:space="0" w:color="auto"/>
              <w:right w:val="single" w:sz="4" w:space="0" w:color="auto"/>
            </w:tcBorders>
            <w:shd w:val="clear" w:color="auto" w:fill="auto"/>
            <w:noWrap/>
            <w:vAlign w:val="center"/>
            <w:hideMark/>
          </w:tcPr>
          <w:p w14:paraId="6431EBDC"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119,93</w:t>
            </w:r>
          </w:p>
        </w:tc>
        <w:tc>
          <w:tcPr>
            <w:tcW w:w="1134" w:type="dxa"/>
            <w:tcBorders>
              <w:top w:val="nil"/>
              <w:left w:val="nil"/>
              <w:bottom w:val="single" w:sz="4" w:space="0" w:color="auto"/>
              <w:right w:val="single" w:sz="4" w:space="0" w:color="auto"/>
            </w:tcBorders>
            <w:shd w:val="clear" w:color="auto" w:fill="auto"/>
            <w:noWrap/>
            <w:vAlign w:val="center"/>
            <w:hideMark/>
          </w:tcPr>
          <w:p w14:paraId="6A323EFF"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120,71</w:t>
            </w:r>
          </w:p>
        </w:tc>
        <w:tc>
          <w:tcPr>
            <w:tcW w:w="886" w:type="dxa"/>
            <w:tcBorders>
              <w:top w:val="nil"/>
              <w:left w:val="nil"/>
              <w:bottom w:val="single" w:sz="4" w:space="0" w:color="auto"/>
              <w:right w:val="single" w:sz="4" w:space="0" w:color="auto"/>
            </w:tcBorders>
            <w:shd w:val="clear" w:color="auto" w:fill="FFE599" w:themeFill="accent4" w:themeFillTint="66"/>
            <w:noWrap/>
            <w:vAlign w:val="center"/>
            <w:hideMark/>
          </w:tcPr>
          <w:p w14:paraId="24A7A1F1" w14:textId="77777777" w:rsidR="00C54BC9" w:rsidRPr="00164238" w:rsidRDefault="00C54BC9" w:rsidP="00682CBF">
            <w:pPr>
              <w:spacing w:after="0" w:line="240" w:lineRule="auto"/>
              <w:jc w:val="right"/>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-0,65</w:t>
            </w:r>
          </w:p>
        </w:tc>
      </w:tr>
      <w:tr w:rsidR="00164238" w:rsidRPr="00164238" w14:paraId="7BF6DA2E" w14:textId="77777777" w:rsidTr="00682CBF">
        <w:trPr>
          <w:trHeight w:val="255"/>
          <w:jc w:val="center"/>
        </w:trPr>
        <w:tc>
          <w:tcPr>
            <w:tcW w:w="800" w:type="dxa"/>
            <w:tcBorders>
              <w:top w:val="nil"/>
              <w:left w:val="single" w:sz="4" w:space="0" w:color="auto"/>
              <w:bottom w:val="single" w:sz="4" w:space="0" w:color="auto"/>
              <w:right w:val="single" w:sz="4" w:space="0" w:color="auto"/>
            </w:tcBorders>
            <w:shd w:val="clear" w:color="auto" w:fill="auto"/>
            <w:noWrap/>
            <w:vAlign w:val="bottom"/>
            <w:hideMark/>
          </w:tcPr>
          <w:p w14:paraId="669D0DEF"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18</w:t>
            </w:r>
          </w:p>
        </w:tc>
        <w:tc>
          <w:tcPr>
            <w:tcW w:w="1020" w:type="dxa"/>
            <w:tcBorders>
              <w:top w:val="nil"/>
              <w:left w:val="nil"/>
              <w:bottom w:val="single" w:sz="4" w:space="0" w:color="auto"/>
              <w:right w:val="single" w:sz="4" w:space="0" w:color="auto"/>
            </w:tcBorders>
            <w:shd w:val="clear" w:color="auto" w:fill="auto"/>
            <w:noWrap/>
            <w:vAlign w:val="bottom"/>
            <w:hideMark/>
          </w:tcPr>
          <w:p w14:paraId="322C6B02"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87,10</w:t>
            </w:r>
          </w:p>
        </w:tc>
        <w:tc>
          <w:tcPr>
            <w:tcW w:w="1020" w:type="dxa"/>
            <w:tcBorders>
              <w:top w:val="nil"/>
              <w:left w:val="nil"/>
              <w:bottom w:val="single" w:sz="4" w:space="0" w:color="auto"/>
              <w:right w:val="single" w:sz="4" w:space="0" w:color="auto"/>
            </w:tcBorders>
            <w:shd w:val="clear" w:color="auto" w:fill="FFE599" w:themeFill="accent4" w:themeFillTint="66"/>
            <w:noWrap/>
            <w:vAlign w:val="bottom"/>
            <w:hideMark/>
          </w:tcPr>
          <w:p w14:paraId="6D11F5C1"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84,80</w:t>
            </w:r>
          </w:p>
        </w:tc>
        <w:tc>
          <w:tcPr>
            <w:tcW w:w="1020" w:type="dxa"/>
            <w:tcBorders>
              <w:top w:val="nil"/>
              <w:left w:val="nil"/>
              <w:bottom w:val="single" w:sz="4" w:space="0" w:color="auto"/>
              <w:right w:val="single" w:sz="4" w:space="0" w:color="auto"/>
            </w:tcBorders>
            <w:shd w:val="clear" w:color="auto" w:fill="auto"/>
            <w:noWrap/>
            <w:vAlign w:val="bottom"/>
            <w:hideMark/>
          </w:tcPr>
          <w:p w14:paraId="650DD8A2"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87,30</w:t>
            </w:r>
          </w:p>
        </w:tc>
        <w:tc>
          <w:tcPr>
            <w:tcW w:w="1020" w:type="dxa"/>
            <w:tcBorders>
              <w:top w:val="nil"/>
              <w:left w:val="nil"/>
              <w:bottom w:val="single" w:sz="4" w:space="0" w:color="auto"/>
              <w:right w:val="single" w:sz="4" w:space="0" w:color="auto"/>
            </w:tcBorders>
            <w:shd w:val="clear" w:color="auto" w:fill="auto"/>
            <w:noWrap/>
            <w:vAlign w:val="bottom"/>
            <w:hideMark/>
          </w:tcPr>
          <w:p w14:paraId="5F3CB1DD"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88,90</w:t>
            </w:r>
          </w:p>
        </w:tc>
        <w:tc>
          <w:tcPr>
            <w:tcW w:w="1134" w:type="dxa"/>
            <w:tcBorders>
              <w:top w:val="nil"/>
              <w:left w:val="nil"/>
              <w:bottom w:val="single" w:sz="4" w:space="0" w:color="auto"/>
              <w:right w:val="single" w:sz="4" w:space="0" w:color="auto"/>
            </w:tcBorders>
            <w:shd w:val="clear" w:color="auto" w:fill="auto"/>
            <w:noWrap/>
            <w:vAlign w:val="center"/>
            <w:hideMark/>
          </w:tcPr>
          <w:p w14:paraId="36806485"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87,03</w:t>
            </w:r>
          </w:p>
        </w:tc>
        <w:tc>
          <w:tcPr>
            <w:tcW w:w="1134" w:type="dxa"/>
            <w:tcBorders>
              <w:top w:val="nil"/>
              <w:left w:val="nil"/>
              <w:bottom w:val="single" w:sz="4" w:space="0" w:color="auto"/>
              <w:right w:val="single" w:sz="4" w:space="0" w:color="auto"/>
            </w:tcBorders>
            <w:shd w:val="clear" w:color="auto" w:fill="auto"/>
            <w:noWrap/>
            <w:vAlign w:val="center"/>
            <w:hideMark/>
          </w:tcPr>
          <w:p w14:paraId="769D181B"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87,01</w:t>
            </w:r>
          </w:p>
        </w:tc>
        <w:tc>
          <w:tcPr>
            <w:tcW w:w="886" w:type="dxa"/>
            <w:tcBorders>
              <w:top w:val="nil"/>
              <w:left w:val="nil"/>
              <w:bottom w:val="single" w:sz="4" w:space="0" w:color="auto"/>
              <w:right w:val="single" w:sz="4" w:space="0" w:color="auto"/>
            </w:tcBorders>
            <w:shd w:val="clear" w:color="auto" w:fill="FFE599" w:themeFill="accent4" w:themeFillTint="66"/>
            <w:noWrap/>
            <w:vAlign w:val="center"/>
            <w:hideMark/>
          </w:tcPr>
          <w:p w14:paraId="03B2C33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0,02</w:t>
            </w:r>
          </w:p>
        </w:tc>
      </w:tr>
      <w:tr w:rsidR="00164238" w:rsidRPr="00164238" w14:paraId="7EB70FD8" w14:textId="77777777" w:rsidTr="00682CBF">
        <w:trPr>
          <w:trHeight w:val="255"/>
          <w:jc w:val="center"/>
        </w:trPr>
        <w:tc>
          <w:tcPr>
            <w:tcW w:w="800" w:type="dxa"/>
            <w:tcBorders>
              <w:top w:val="nil"/>
              <w:left w:val="single" w:sz="4" w:space="0" w:color="auto"/>
              <w:bottom w:val="single" w:sz="4" w:space="0" w:color="auto"/>
              <w:right w:val="single" w:sz="4" w:space="0" w:color="auto"/>
            </w:tcBorders>
            <w:shd w:val="clear" w:color="auto" w:fill="auto"/>
            <w:noWrap/>
            <w:vAlign w:val="bottom"/>
            <w:hideMark/>
          </w:tcPr>
          <w:p w14:paraId="481D1D6F"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19</w:t>
            </w:r>
          </w:p>
        </w:tc>
        <w:tc>
          <w:tcPr>
            <w:tcW w:w="1020" w:type="dxa"/>
            <w:tcBorders>
              <w:top w:val="nil"/>
              <w:left w:val="nil"/>
              <w:bottom w:val="single" w:sz="4" w:space="0" w:color="auto"/>
              <w:right w:val="single" w:sz="4" w:space="0" w:color="auto"/>
            </w:tcBorders>
            <w:shd w:val="clear" w:color="auto" w:fill="auto"/>
            <w:noWrap/>
            <w:vAlign w:val="bottom"/>
            <w:hideMark/>
          </w:tcPr>
          <w:p w14:paraId="1FFEF595"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118,60</w:t>
            </w:r>
          </w:p>
        </w:tc>
        <w:tc>
          <w:tcPr>
            <w:tcW w:w="1020" w:type="dxa"/>
            <w:tcBorders>
              <w:top w:val="nil"/>
              <w:left w:val="nil"/>
              <w:bottom w:val="single" w:sz="4" w:space="0" w:color="auto"/>
              <w:right w:val="single" w:sz="4" w:space="0" w:color="auto"/>
            </w:tcBorders>
            <w:shd w:val="clear" w:color="auto" w:fill="FFE599" w:themeFill="accent4" w:themeFillTint="66"/>
            <w:noWrap/>
            <w:vAlign w:val="bottom"/>
            <w:hideMark/>
          </w:tcPr>
          <w:p w14:paraId="132008D5"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118,20</w:t>
            </w:r>
          </w:p>
        </w:tc>
        <w:tc>
          <w:tcPr>
            <w:tcW w:w="1020" w:type="dxa"/>
            <w:tcBorders>
              <w:top w:val="nil"/>
              <w:left w:val="nil"/>
              <w:bottom w:val="single" w:sz="4" w:space="0" w:color="auto"/>
              <w:right w:val="single" w:sz="4" w:space="0" w:color="auto"/>
            </w:tcBorders>
            <w:shd w:val="clear" w:color="auto" w:fill="auto"/>
            <w:noWrap/>
            <w:vAlign w:val="bottom"/>
            <w:hideMark/>
          </w:tcPr>
          <w:p w14:paraId="4EFF9398"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119,10</w:t>
            </w:r>
          </w:p>
        </w:tc>
        <w:tc>
          <w:tcPr>
            <w:tcW w:w="1020" w:type="dxa"/>
            <w:tcBorders>
              <w:top w:val="nil"/>
              <w:left w:val="nil"/>
              <w:bottom w:val="single" w:sz="4" w:space="0" w:color="auto"/>
              <w:right w:val="single" w:sz="4" w:space="0" w:color="auto"/>
            </w:tcBorders>
            <w:shd w:val="clear" w:color="auto" w:fill="auto"/>
            <w:noWrap/>
            <w:vAlign w:val="bottom"/>
            <w:hideMark/>
          </w:tcPr>
          <w:p w14:paraId="3DCDFB3F"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120,50</w:t>
            </w:r>
          </w:p>
        </w:tc>
        <w:tc>
          <w:tcPr>
            <w:tcW w:w="1134" w:type="dxa"/>
            <w:tcBorders>
              <w:top w:val="nil"/>
              <w:left w:val="nil"/>
              <w:bottom w:val="single" w:sz="4" w:space="0" w:color="auto"/>
              <w:right w:val="single" w:sz="4" w:space="0" w:color="auto"/>
            </w:tcBorders>
            <w:shd w:val="clear" w:color="auto" w:fill="auto"/>
            <w:noWrap/>
            <w:vAlign w:val="center"/>
            <w:hideMark/>
          </w:tcPr>
          <w:p w14:paraId="222C6F3D"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119,10</w:t>
            </w:r>
          </w:p>
        </w:tc>
        <w:tc>
          <w:tcPr>
            <w:tcW w:w="1134" w:type="dxa"/>
            <w:tcBorders>
              <w:top w:val="nil"/>
              <w:left w:val="nil"/>
              <w:bottom w:val="single" w:sz="4" w:space="0" w:color="auto"/>
              <w:right w:val="single" w:sz="4" w:space="0" w:color="auto"/>
            </w:tcBorders>
            <w:shd w:val="clear" w:color="auto" w:fill="auto"/>
            <w:noWrap/>
            <w:vAlign w:val="center"/>
            <w:hideMark/>
          </w:tcPr>
          <w:p w14:paraId="1DB4385A"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119,23</w:t>
            </w:r>
          </w:p>
        </w:tc>
        <w:tc>
          <w:tcPr>
            <w:tcW w:w="886" w:type="dxa"/>
            <w:tcBorders>
              <w:top w:val="nil"/>
              <w:left w:val="nil"/>
              <w:bottom w:val="single" w:sz="4" w:space="0" w:color="auto"/>
              <w:right w:val="single" w:sz="4" w:space="0" w:color="auto"/>
            </w:tcBorders>
            <w:shd w:val="clear" w:color="auto" w:fill="FFE599" w:themeFill="accent4" w:themeFillTint="66"/>
            <w:noWrap/>
            <w:vAlign w:val="center"/>
            <w:hideMark/>
          </w:tcPr>
          <w:p w14:paraId="25E28939" w14:textId="77777777" w:rsidR="00C54BC9" w:rsidRPr="00164238" w:rsidRDefault="00C54BC9" w:rsidP="00682CBF">
            <w:pPr>
              <w:spacing w:after="0" w:line="240" w:lineRule="auto"/>
              <w:jc w:val="right"/>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-0,10</w:t>
            </w:r>
          </w:p>
        </w:tc>
      </w:tr>
      <w:tr w:rsidR="00164238" w:rsidRPr="00164238" w14:paraId="1A13DDC9" w14:textId="77777777" w:rsidTr="00682CBF">
        <w:trPr>
          <w:trHeight w:val="255"/>
          <w:jc w:val="center"/>
        </w:trPr>
        <w:tc>
          <w:tcPr>
            <w:tcW w:w="800" w:type="dxa"/>
            <w:tcBorders>
              <w:top w:val="nil"/>
              <w:left w:val="single" w:sz="4" w:space="0" w:color="auto"/>
              <w:bottom w:val="single" w:sz="4" w:space="0" w:color="auto"/>
              <w:right w:val="single" w:sz="4" w:space="0" w:color="auto"/>
            </w:tcBorders>
            <w:shd w:val="clear" w:color="auto" w:fill="auto"/>
            <w:noWrap/>
            <w:vAlign w:val="bottom"/>
            <w:hideMark/>
          </w:tcPr>
          <w:p w14:paraId="4FE7BDE4"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20</w:t>
            </w:r>
          </w:p>
        </w:tc>
        <w:tc>
          <w:tcPr>
            <w:tcW w:w="1020" w:type="dxa"/>
            <w:tcBorders>
              <w:top w:val="nil"/>
              <w:left w:val="nil"/>
              <w:bottom w:val="single" w:sz="4" w:space="0" w:color="auto"/>
              <w:right w:val="single" w:sz="4" w:space="0" w:color="auto"/>
            </w:tcBorders>
            <w:shd w:val="clear" w:color="auto" w:fill="auto"/>
            <w:noWrap/>
            <w:vAlign w:val="bottom"/>
            <w:hideMark/>
          </w:tcPr>
          <w:p w14:paraId="086CA760"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120,20</w:t>
            </w:r>
          </w:p>
        </w:tc>
        <w:tc>
          <w:tcPr>
            <w:tcW w:w="1020" w:type="dxa"/>
            <w:tcBorders>
              <w:top w:val="nil"/>
              <w:left w:val="nil"/>
              <w:bottom w:val="single" w:sz="4" w:space="0" w:color="auto"/>
              <w:right w:val="single" w:sz="4" w:space="0" w:color="auto"/>
            </w:tcBorders>
            <w:shd w:val="clear" w:color="auto" w:fill="FFE599" w:themeFill="accent4" w:themeFillTint="66"/>
            <w:noWrap/>
            <w:vAlign w:val="bottom"/>
            <w:hideMark/>
          </w:tcPr>
          <w:p w14:paraId="4B5DD5A8"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122,20</w:t>
            </w:r>
          </w:p>
        </w:tc>
        <w:tc>
          <w:tcPr>
            <w:tcW w:w="1020" w:type="dxa"/>
            <w:tcBorders>
              <w:top w:val="nil"/>
              <w:left w:val="nil"/>
              <w:bottom w:val="single" w:sz="4" w:space="0" w:color="auto"/>
              <w:right w:val="single" w:sz="4" w:space="0" w:color="auto"/>
            </w:tcBorders>
            <w:shd w:val="clear" w:color="auto" w:fill="auto"/>
            <w:noWrap/>
            <w:vAlign w:val="bottom"/>
            <w:hideMark/>
          </w:tcPr>
          <w:p w14:paraId="69DA6851"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127,20</w:t>
            </w:r>
          </w:p>
        </w:tc>
        <w:tc>
          <w:tcPr>
            <w:tcW w:w="1020" w:type="dxa"/>
            <w:tcBorders>
              <w:top w:val="nil"/>
              <w:left w:val="nil"/>
              <w:bottom w:val="single" w:sz="4" w:space="0" w:color="auto"/>
              <w:right w:val="single" w:sz="4" w:space="0" w:color="auto"/>
            </w:tcBorders>
            <w:shd w:val="clear" w:color="auto" w:fill="auto"/>
            <w:noWrap/>
            <w:vAlign w:val="bottom"/>
            <w:hideMark/>
          </w:tcPr>
          <w:p w14:paraId="7AE0E6E8"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132,10</w:t>
            </w:r>
          </w:p>
        </w:tc>
        <w:tc>
          <w:tcPr>
            <w:tcW w:w="1134" w:type="dxa"/>
            <w:tcBorders>
              <w:top w:val="nil"/>
              <w:left w:val="nil"/>
              <w:bottom w:val="single" w:sz="4" w:space="0" w:color="auto"/>
              <w:right w:val="single" w:sz="4" w:space="0" w:color="auto"/>
            </w:tcBorders>
            <w:shd w:val="clear" w:color="auto" w:fill="auto"/>
            <w:noWrap/>
            <w:vAlign w:val="center"/>
            <w:hideMark/>
          </w:tcPr>
          <w:p w14:paraId="2107394F"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125,43</w:t>
            </w:r>
          </w:p>
        </w:tc>
        <w:tc>
          <w:tcPr>
            <w:tcW w:w="1134" w:type="dxa"/>
            <w:tcBorders>
              <w:top w:val="nil"/>
              <w:left w:val="nil"/>
              <w:bottom w:val="single" w:sz="4" w:space="0" w:color="auto"/>
              <w:right w:val="single" w:sz="4" w:space="0" w:color="auto"/>
            </w:tcBorders>
            <w:shd w:val="clear" w:color="auto" w:fill="auto"/>
            <w:noWrap/>
            <w:vAlign w:val="center"/>
            <w:hideMark/>
          </w:tcPr>
          <w:p w14:paraId="2D2E5C40"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126,73</w:t>
            </w:r>
          </w:p>
        </w:tc>
        <w:tc>
          <w:tcPr>
            <w:tcW w:w="886" w:type="dxa"/>
            <w:tcBorders>
              <w:top w:val="nil"/>
              <w:left w:val="nil"/>
              <w:bottom w:val="single" w:sz="4" w:space="0" w:color="auto"/>
              <w:right w:val="single" w:sz="4" w:space="0" w:color="auto"/>
            </w:tcBorders>
            <w:shd w:val="clear" w:color="auto" w:fill="FFE599" w:themeFill="accent4" w:themeFillTint="66"/>
            <w:noWrap/>
            <w:vAlign w:val="center"/>
            <w:hideMark/>
          </w:tcPr>
          <w:p w14:paraId="6695C0D7" w14:textId="77777777" w:rsidR="00C54BC9" w:rsidRPr="00164238" w:rsidRDefault="00C54BC9" w:rsidP="00682CBF">
            <w:pPr>
              <w:spacing w:after="0" w:line="240" w:lineRule="auto"/>
              <w:jc w:val="right"/>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-1,03</w:t>
            </w:r>
          </w:p>
        </w:tc>
      </w:tr>
      <w:tr w:rsidR="00164238" w:rsidRPr="00164238" w14:paraId="2D01BAF5" w14:textId="77777777" w:rsidTr="00682CBF">
        <w:trPr>
          <w:trHeight w:val="255"/>
          <w:jc w:val="center"/>
        </w:trPr>
        <w:tc>
          <w:tcPr>
            <w:tcW w:w="800" w:type="dxa"/>
            <w:tcBorders>
              <w:top w:val="nil"/>
              <w:left w:val="single" w:sz="4" w:space="0" w:color="auto"/>
              <w:bottom w:val="single" w:sz="4" w:space="0" w:color="auto"/>
              <w:right w:val="single" w:sz="4" w:space="0" w:color="auto"/>
            </w:tcBorders>
            <w:shd w:val="clear" w:color="auto" w:fill="auto"/>
            <w:noWrap/>
            <w:vAlign w:val="bottom"/>
            <w:hideMark/>
          </w:tcPr>
          <w:p w14:paraId="07302E28"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21</w:t>
            </w:r>
          </w:p>
        </w:tc>
        <w:tc>
          <w:tcPr>
            <w:tcW w:w="1020" w:type="dxa"/>
            <w:tcBorders>
              <w:top w:val="nil"/>
              <w:left w:val="nil"/>
              <w:bottom w:val="single" w:sz="4" w:space="0" w:color="auto"/>
              <w:right w:val="single" w:sz="4" w:space="0" w:color="auto"/>
            </w:tcBorders>
            <w:shd w:val="clear" w:color="auto" w:fill="auto"/>
            <w:noWrap/>
            <w:vAlign w:val="bottom"/>
            <w:hideMark/>
          </w:tcPr>
          <w:p w14:paraId="5E67689B"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125,00</w:t>
            </w:r>
          </w:p>
        </w:tc>
        <w:tc>
          <w:tcPr>
            <w:tcW w:w="1020" w:type="dxa"/>
            <w:tcBorders>
              <w:top w:val="nil"/>
              <w:left w:val="nil"/>
              <w:bottom w:val="single" w:sz="4" w:space="0" w:color="auto"/>
              <w:right w:val="single" w:sz="4" w:space="0" w:color="auto"/>
            </w:tcBorders>
            <w:shd w:val="clear" w:color="auto" w:fill="FFE599" w:themeFill="accent4" w:themeFillTint="66"/>
            <w:noWrap/>
            <w:vAlign w:val="bottom"/>
            <w:hideMark/>
          </w:tcPr>
          <w:p w14:paraId="4024E55D"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126,10</w:t>
            </w:r>
          </w:p>
        </w:tc>
        <w:tc>
          <w:tcPr>
            <w:tcW w:w="1020" w:type="dxa"/>
            <w:tcBorders>
              <w:top w:val="nil"/>
              <w:left w:val="nil"/>
              <w:bottom w:val="single" w:sz="4" w:space="0" w:color="auto"/>
              <w:right w:val="single" w:sz="4" w:space="0" w:color="auto"/>
            </w:tcBorders>
            <w:shd w:val="clear" w:color="auto" w:fill="auto"/>
            <w:noWrap/>
            <w:vAlign w:val="bottom"/>
            <w:hideMark/>
          </w:tcPr>
          <w:p w14:paraId="627FFF91"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127,50</w:t>
            </w:r>
          </w:p>
        </w:tc>
        <w:tc>
          <w:tcPr>
            <w:tcW w:w="1020" w:type="dxa"/>
            <w:tcBorders>
              <w:top w:val="nil"/>
              <w:left w:val="nil"/>
              <w:bottom w:val="single" w:sz="4" w:space="0" w:color="auto"/>
              <w:right w:val="single" w:sz="4" w:space="0" w:color="auto"/>
            </w:tcBorders>
            <w:shd w:val="clear" w:color="auto" w:fill="auto"/>
            <w:noWrap/>
            <w:vAlign w:val="bottom"/>
            <w:hideMark/>
          </w:tcPr>
          <w:p w14:paraId="637C5542"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129,60</w:t>
            </w:r>
          </w:p>
        </w:tc>
        <w:tc>
          <w:tcPr>
            <w:tcW w:w="1134" w:type="dxa"/>
            <w:tcBorders>
              <w:top w:val="nil"/>
              <w:left w:val="nil"/>
              <w:bottom w:val="single" w:sz="4" w:space="0" w:color="auto"/>
              <w:right w:val="single" w:sz="4" w:space="0" w:color="auto"/>
            </w:tcBorders>
            <w:shd w:val="clear" w:color="auto" w:fill="auto"/>
            <w:noWrap/>
            <w:vAlign w:val="center"/>
            <w:hideMark/>
          </w:tcPr>
          <w:p w14:paraId="33DFC149"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127,05</w:t>
            </w:r>
          </w:p>
        </w:tc>
        <w:tc>
          <w:tcPr>
            <w:tcW w:w="1134" w:type="dxa"/>
            <w:tcBorders>
              <w:top w:val="nil"/>
              <w:left w:val="nil"/>
              <w:bottom w:val="single" w:sz="4" w:space="0" w:color="auto"/>
              <w:right w:val="single" w:sz="4" w:space="0" w:color="auto"/>
            </w:tcBorders>
            <w:shd w:val="clear" w:color="auto" w:fill="auto"/>
            <w:noWrap/>
            <w:vAlign w:val="center"/>
            <w:hideMark/>
          </w:tcPr>
          <w:p w14:paraId="2A06CE1C"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127,56</w:t>
            </w:r>
          </w:p>
        </w:tc>
        <w:tc>
          <w:tcPr>
            <w:tcW w:w="886" w:type="dxa"/>
            <w:tcBorders>
              <w:top w:val="nil"/>
              <w:left w:val="nil"/>
              <w:bottom w:val="single" w:sz="4" w:space="0" w:color="auto"/>
              <w:right w:val="single" w:sz="4" w:space="0" w:color="auto"/>
            </w:tcBorders>
            <w:shd w:val="clear" w:color="auto" w:fill="FFE599" w:themeFill="accent4" w:themeFillTint="66"/>
            <w:noWrap/>
            <w:vAlign w:val="center"/>
            <w:hideMark/>
          </w:tcPr>
          <w:p w14:paraId="621DD1AD" w14:textId="77777777" w:rsidR="00C54BC9" w:rsidRPr="00164238" w:rsidRDefault="00C54BC9" w:rsidP="00682CBF">
            <w:pPr>
              <w:spacing w:after="0" w:line="240" w:lineRule="auto"/>
              <w:jc w:val="right"/>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-0,40</w:t>
            </w:r>
          </w:p>
        </w:tc>
      </w:tr>
      <w:tr w:rsidR="00164238" w:rsidRPr="00164238" w14:paraId="6D7C0BBA" w14:textId="77777777" w:rsidTr="00682CBF">
        <w:trPr>
          <w:trHeight w:val="255"/>
          <w:jc w:val="center"/>
        </w:trPr>
        <w:tc>
          <w:tcPr>
            <w:tcW w:w="800" w:type="dxa"/>
            <w:tcBorders>
              <w:top w:val="nil"/>
              <w:left w:val="single" w:sz="4" w:space="0" w:color="auto"/>
              <w:bottom w:val="single" w:sz="4" w:space="0" w:color="auto"/>
              <w:right w:val="single" w:sz="4" w:space="0" w:color="auto"/>
            </w:tcBorders>
            <w:shd w:val="clear" w:color="auto" w:fill="auto"/>
            <w:noWrap/>
            <w:vAlign w:val="bottom"/>
            <w:hideMark/>
          </w:tcPr>
          <w:p w14:paraId="366E0C11"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22</w:t>
            </w:r>
          </w:p>
        </w:tc>
        <w:tc>
          <w:tcPr>
            <w:tcW w:w="1020" w:type="dxa"/>
            <w:tcBorders>
              <w:top w:val="nil"/>
              <w:left w:val="nil"/>
              <w:bottom w:val="single" w:sz="4" w:space="0" w:color="auto"/>
              <w:right w:val="single" w:sz="4" w:space="0" w:color="auto"/>
            </w:tcBorders>
            <w:shd w:val="clear" w:color="auto" w:fill="auto"/>
            <w:noWrap/>
            <w:vAlign w:val="bottom"/>
            <w:hideMark/>
          </w:tcPr>
          <w:p w14:paraId="36D1B175"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106,00</w:t>
            </w:r>
          </w:p>
        </w:tc>
        <w:tc>
          <w:tcPr>
            <w:tcW w:w="1020" w:type="dxa"/>
            <w:tcBorders>
              <w:top w:val="nil"/>
              <w:left w:val="nil"/>
              <w:bottom w:val="single" w:sz="4" w:space="0" w:color="auto"/>
              <w:right w:val="single" w:sz="4" w:space="0" w:color="auto"/>
            </w:tcBorders>
            <w:shd w:val="clear" w:color="auto" w:fill="FFE599" w:themeFill="accent4" w:themeFillTint="66"/>
            <w:noWrap/>
            <w:vAlign w:val="bottom"/>
            <w:hideMark/>
          </w:tcPr>
          <w:p w14:paraId="2591A1B5"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105,60</w:t>
            </w:r>
          </w:p>
        </w:tc>
        <w:tc>
          <w:tcPr>
            <w:tcW w:w="1020" w:type="dxa"/>
            <w:tcBorders>
              <w:top w:val="nil"/>
              <w:left w:val="nil"/>
              <w:bottom w:val="single" w:sz="4" w:space="0" w:color="auto"/>
              <w:right w:val="single" w:sz="4" w:space="0" w:color="auto"/>
            </w:tcBorders>
            <w:shd w:val="clear" w:color="auto" w:fill="auto"/>
            <w:noWrap/>
            <w:vAlign w:val="bottom"/>
            <w:hideMark/>
          </w:tcPr>
          <w:p w14:paraId="5EF56C2D"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111,10</w:t>
            </w:r>
          </w:p>
        </w:tc>
        <w:tc>
          <w:tcPr>
            <w:tcW w:w="1020" w:type="dxa"/>
            <w:tcBorders>
              <w:top w:val="nil"/>
              <w:left w:val="nil"/>
              <w:bottom w:val="single" w:sz="4" w:space="0" w:color="auto"/>
              <w:right w:val="single" w:sz="4" w:space="0" w:color="auto"/>
            </w:tcBorders>
            <w:shd w:val="clear" w:color="auto" w:fill="auto"/>
            <w:noWrap/>
            <w:vAlign w:val="bottom"/>
            <w:hideMark/>
          </w:tcPr>
          <w:p w14:paraId="0843E8DF"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115,10</w:t>
            </w:r>
          </w:p>
        </w:tc>
        <w:tc>
          <w:tcPr>
            <w:tcW w:w="1134" w:type="dxa"/>
            <w:tcBorders>
              <w:top w:val="nil"/>
              <w:left w:val="nil"/>
              <w:bottom w:val="single" w:sz="4" w:space="0" w:color="auto"/>
              <w:right w:val="single" w:sz="4" w:space="0" w:color="auto"/>
            </w:tcBorders>
            <w:shd w:val="clear" w:color="auto" w:fill="auto"/>
            <w:noWrap/>
            <w:vAlign w:val="center"/>
            <w:hideMark/>
          </w:tcPr>
          <w:p w14:paraId="3049636B"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109,45</w:t>
            </w:r>
          </w:p>
        </w:tc>
        <w:tc>
          <w:tcPr>
            <w:tcW w:w="1134" w:type="dxa"/>
            <w:tcBorders>
              <w:top w:val="nil"/>
              <w:left w:val="nil"/>
              <w:bottom w:val="single" w:sz="4" w:space="0" w:color="auto"/>
              <w:right w:val="single" w:sz="4" w:space="0" w:color="auto"/>
            </w:tcBorders>
            <w:shd w:val="clear" w:color="auto" w:fill="auto"/>
            <w:noWrap/>
            <w:vAlign w:val="center"/>
            <w:hideMark/>
          </w:tcPr>
          <w:p w14:paraId="0A77C063"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110,31</w:t>
            </w:r>
          </w:p>
        </w:tc>
        <w:tc>
          <w:tcPr>
            <w:tcW w:w="886" w:type="dxa"/>
            <w:tcBorders>
              <w:top w:val="nil"/>
              <w:left w:val="nil"/>
              <w:bottom w:val="single" w:sz="4" w:space="0" w:color="auto"/>
              <w:right w:val="single" w:sz="4" w:space="0" w:color="auto"/>
            </w:tcBorders>
            <w:shd w:val="clear" w:color="auto" w:fill="FFE599" w:themeFill="accent4" w:themeFillTint="66"/>
            <w:noWrap/>
            <w:vAlign w:val="center"/>
            <w:hideMark/>
          </w:tcPr>
          <w:p w14:paraId="2F1C5881" w14:textId="77777777" w:rsidR="00C54BC9" w:rsidRPr="00164238" w:rsidRDefault="00C54BC9" w:rsidP="00682CBF">
            <w:pPr>
              <w:spacing w:after="0" w:line="240" w:lineRule="auto"/>
              <w:jc w:val="right"/>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-0,78</w:t>
            </w:r>
          </w:p>
        </w:tc>
      </w:tr>
      <w:tr w:rsidR="00164238" w:rsidRPr="00164238" w14:paraId="487BE944" w14:textId="77777777" w:rsidTr="00682CBF">
        <w:trPr>
          <w:trHeight w:val="255"/>
          <w:jc w:val="center"/>
        </w:trPr>
        <w:tc>
          <w:tcPr>
            <w:tcW w:w="800" w:type="dxa"/>
            <w:tcBorders>
              <w:top w:val="nil"/>
              <w:left w:val="single" w:sz="4" w:space="0" w:color="auto"/>
              <w:bottom w:val="single" w:sz="4" w:space="0" w:color="auto"/>
              <w:right w:val="single" w:sz="4" w:space="0" w:color="auto"/>
            </w:tcBorders>
            <w:shd w:val="clear" w:color="auto" w:fill="auto"/>
            <w:noWrap/>
            <w:vAlign w:val="bottom"/>
            <w:hideMark/>
          </w:tcPr>
          <w:p w14:paraId="4ADAC79F"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23</w:t>
            </w:r>
          </w:p>
        </w:tc>
        <w:tc>
          <w:tcPr>
            <w:tcW w:w="1020" w:type="dxa"/>
            <w:tcBorders>
              <w:top w:val="nil"/>
              <w:left w:val="nil"/>
              <w:bottom w:val="single" w:sz="4" w:space="0" w:color="auto"/>
              <w:right w:val="single" w:sz="4" w:space="0" w:color="auto"/>
            </w:tcBorders>
            <w:shd w:val="clear" w:color="auto" w:fill="auto"/>
            <w:noWrap/>
            <w:vAlign w:val="bottom"/>
            <w:hideMark/>
          </w:tcPr>
          <w:p w14:paraId="4628EBB7"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86,80</w:t>
            </w:r>
          </w:p>
        </w:tc>
        <w:tc>
          <w:tcPr>
            <w:tcW w:w="1020" w:type="dxa"/>
            <w:tcBorders>
              <w:top w:val="nil"/>
              <w:left w:val="nil"/>
              <w:bottom w:val="single" w:sz="4" w:space="0" w:color="auto"/>
              <w:right w:val="single" w:sz="4" w:space="0" w:color="auto"/>
            </w:tcBorders>
            <w:shd w:val="clear" w:color="auto" w:fill="FFE599" w:themeFill="accent4" w:themeFillTint="66"/>
            <w:noWrap/>
            <w:vAlign w:val="bottom"/>
            <w:hideMark/>
          </w:tcPr>
          <w:p w14:paraId="2AE793DD"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89,50</w:t>
            </w:r>
          </w:p>
        </w:tc>
        <w:tc>
          <w:tcPr>
            <w:tcW w:w="1020" w:type="dxa"/>
            <w:tcBorders>
              <w:top w:val="nil"/>
              <w:left w:val="nil"/>
              <w:bottom w:val="single" w:sz="4" w:space="0" w:color="auto"/>
              <w:right w:val="single" w:sz="4" w:space="0" w:color="auto"/>
            </w:tcBorders>
            <w:shd w:val="clear" w:color="auto" w:fill="auto"/>
            <w:noWrap/>
            <w:vAlign w:val="bottom"/>
            <w:hideMark/>
          </w:tcPr>
          <w:p w14:paraId="11204A99"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96,60</w:t>
            </w:r>
          </w:p>
        </w:tc>
        <w:tc>
          <w:tcPr>
            <w:tcW w:w="1020" w:type="dxa"/>
            <w:tcBorders>
              <w:top w:val="nil"/>
              <w:left w:val="nil"/>
              <w:bottom w:val="single" w:sz="4" w:space="0" w:color="auto"/>
              <w:right w:val="single" w:sz="4" w:space="0" w:color="auto"/>
            </w:tcBorders>
            <w:shd w:val="clear" w:color="auto" w:fill="auto"/>
            <w:noWrap/>
            <w:vAlign w:val="bottom"/>
            <w:hideMark/>
          </w:tcPr>
          <w:p w14:paraId="1EDA83BC"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102,70</w:t>
            </w:r>
          </w:p>
        </w:tc>
        <w:tc>
          <w:tcPr>
            <w:tcW w:w="1134" w:type="dxa"/>
            <w:tcBorders>
              <w:top w:val="nil"/>
              <w:left w:val="nil"/>
              <w:bottom w:val="single" w:sz="4" w:space="0" w:color="auto"/>
              <w:right w:val="single" w:sz="4" w:space="0" w:color="auto"/>
            </w:tcBorders>
            <w:shd w:val="clear" w:color="auto" w:fill="auto"/>
            <w:noWrap/>
            <w:vAlign w:val="center"/>
            <w:hideMark/>
          </w:tcPr>
          <w:p w14:paraId="3FFC86F5"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93,90</w:t>
            </w:r>
          </w:p>
        </w:tc>
        <w:tc>
          <w:tcPr>
            <w:tcW w:w="1134" w:type="dxa"/>
            <w:tcBorders>
              <w:top w:val="nil"/>
              <w:left w:val="nil"/>
              <w:bottom w:val="single" w:sz="4" w:space="0" w:color="auto"/>
              <w:right w:val="single" w:sz="4" w:space="0" w:color="auto"/>
            </w:tcBorders>
            <w:shd w:val="clear" w:color="auto" w:fill="auto"/>
            <w:noWrap/>
            <w:vAlign w:val="center"/>
            <w:hideMark/>
          </w:tcPr>
          <w:p w14:paraId="55D23FAB"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95,68</w:t>
            </w:r>
          </w:p>
        </w:tc>
        <w:tc>
          <w:tcPr>
            <w:tcW w:w="886" w:type="dxa"/>
            <w:tcBorders>
              <w:top w:val="nil"/>
              <w:left w:val="nil"/>
              <w:bottom w:val="single" w:sz="4" w:space="0" w:color="auto"/>
              <w:right w:val="single" w:sz="4" w:space="0" w:color="auto"/>
            </w:tcBorders>
            <w:shd w:val="clear" w:color="auto" w:fill="FFE599" w:themeFill="accent4" w:themeFillTint="66"/>
            <w:noWrap/>
            <w:vAlign w:val="center"/>
            <w:hideMark/>
          </w:tcPr>
          <w:p w14:paraId="7DE154B7" w14:textId="77777777" w:rsidR="00C54BC9" w:rsidRPr="00164238" w:rsidRDefault="00C54BC9" w:rsidP="00682CBF">
            <w:pPr>
              <w:spacing w:after="0" w:line="240" w:lineRule="auto"/>
              <w:jc w:val="right"/>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-1,86</w:t>
            </w:r>
          </w:p>
        </w:tc>
      </w:tr>
      <w:tr w:rsidR="00164238" w:rsidRPr="00164238" w14:paraId="240E7790" w14:textId="77777777" w:rsidTr="00682CBF">
        <w:trPr>
          <w:trHeight w:val="255"/>
          <w:jc w:val="center"/>
        </w:trPr>
        <w:tc>
          <w:tcPr>
            <w:tcW w:w="800" w:type="dxa"/>
            <w:tcBorders>
              <w:top w:val="nil"/>
              <w:left w:val="single" w:sz="4" w:space="0" w:color="auto"/>
              <w:bottom w:val="single" w:sz="4" w:space="0" w:color="auto"/>
              <w:right w:val="single" w:sz="4" w:space="0" w:color="auto"/>
            </w:tcBorders>
            <w:shd w:val="clear" w:color="auto" w:fill="auto"/>
            <w:noWrap/>
            <w:vAlign w:val="bottom"/>
            <w:hideMark/>
          </w:tcPr>
          <w:p w14:paraId="54B0A80C"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24</w:t>
            </w:r>
          </w:p>
        </w:tc>
        <w:tc>
          <w:tcPr>
            <w:tcW w:w="1020" w:type="dxa"/>
            <w:tcBorders>
              <w:top w:val="nil"/>
              <w:left w:val="nil"/>
              <w:bottom w:val="single" w:sz="4" w:space="0" w:color="auto"/>
              <w:right w:val="single" w:sz="4" w:space="0" w:color="auto"/>
            </w:tcBorders>
            <w:shd w:val="clear" w:color="auto" w:fill="auto"/>
            <w:noWrap/>
            <w:vAlign w:val="bottom"/>
            <w:hideMark/>
          </w:tcPr>
          <w:p w14:paraId="182BC61A"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106,50</w:t>
            </w:r>
          </w:p>
        </w:tc>
        <w:tc>
          <w:tcPr>
            <w:tcW w:w="1020" w:type="dxa"/>
            <w:tcBorders>
              <w:top w:val="nil"/>
              <w:left w:val="nil"/>
              <w:bottom w:val="single" w:sz="4" w:space="0" w:color="auto"/>
              <w:right w:val="single" w:sz="4" w:space="0" w:color="auto"/>
            </w:tcBorders>
            <w:shd w:val="clear" w:color="auto" w:fill="FFE599" w:themeFill="accent4" w:themeFillTint="66"/>
            <w:noWrap/>
            <w:vAlign w:val="bottom"/>
            <w:hideMark/>
          </w:tcPr>
          <w:p w14:paraId="625BA2F1"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105,40</w:t>
            </w:r>
          </w:p>
        </w:tc>
        <w:tc>
          <w:tcPr>
            <w:tcW w:w="1020" w:type="dxa"/>
            <w:tcBorders>
              <w:top w:val="nil"/>
              <w:left w:val="nil"/>
              <w:bottom w:val="single" w:sz="4" w:space="0" w:color="auto"/>
              <w:right w:val="single" w:sz="4" w:space="0" w:color="auto"/>
            </w:tcBorders>
            <w:shd w:val="clear" w:color="auto" w:fill="auto"/>
            <w:noWrap/>
            <w:vAlign w:val="bottom"/>
            <w:hideMark/>
          </w:tcPr>
          <w:p w14:paraId="7086ED09"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109,70</w:t>
            </w:r>
          </w:p>
        </w:tc>
        <w:tc>
          <w:tcPr>
            <w:tcW w:w="1020" w:type="dxa"/>
            <w:tcBorders>
              <w:top w:val="nil"/>
              <w:left w:val="nil"/>
              <w:bottom w:val="single" w:sz="4" w:space="0" w:color="auto"/>
              <w:right w:val="single" w:sz="4" w:space="0" w:color="auto"/>
            </w:tcBorders>
            <w:shd w:val="clear" w:color="auto" w:fill="auto"/>
            <w:noWrap/>
            <w:vAlign w:val="bottom"/>
            <w:hideMark/>
          </w:tcPr>
          <w:p w14:paraId="03406B48"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114,50</w:t>
            </w:r>
          </w:p>
        </w:tc>
        <w:tc>
          <w:tcPr>
            <w:tcW w:w="1134" w:type="dxa"/>
            <w:tcBorders>
              <w:top w:val="nil"/>
              <w:left w:val="nil"/>
              <w:bottom w:val="single" w:sz="4" w:space="0" w:color="auto"/>
              <w:right w:val="single" w:sz="4" w:space="0" w:color="auto"/>
            </w:tcBorders>
            <w:shd w:val="clear" w:color="auto" w:fill="auto"/>
            <w:noWrap/>
            <w:vAlign w:val="center"/>
            <w:hideMark/>
          </w:tcPr>
          <w:p w14:paraId="59606A1E"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109,03</w:t>
            </w:r>
          </w:p>
        </w:tc>
        <w:tc>
          <w:tcPr>
            <w:tcW w:w="1134" w:type="dxa"/>
            <w:tcBorders>
              <w:top w:val="nil"/>
              <w:left w:val="nil"/>
              <w:bottom w:val="single" w:sz="4" w:space="0" w:color="auto"/>
              <w:right w:val="single" w:sz="4" w:space="0" w:color="auto"/>
            </w:tcBorders>
            <w:shd w:val="clear" w:color="auto" w:fill="auto"/>
            <w:noWrap/>
            <w:vAlign w:val="center"/>
            <w:hideMark/>
          </w:tcPr>
          <w:p w14:paraId="62D3ED3F"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109,66</w:t>
            </w:r>
          </w:p>
        </w:tc>
        <w:tc>
          <w:tcPr>
            <w:tcW w:w="886" w:type="dxa"/>
            <w:tcBorders>
              <w:top w:val="nil"/>
              <w:left w:val="nil"/>
              <w:bottom w:val="single" w:sz="4" w:space="0" w:color="auto"/>
              <w:right w:val="single" w:sz="4" w:space="0" w:color="auto"/>
            </w:tcBorders>
            <w:shd w:val="clear" w:color="auto" w:fill="FFE599" w:themeFill="accent4" w:themeFillTint="66"/>
            <w:noWrap/>
            <w:vAlign w:val="center"/>
            <w:hideMark/>
          </w:tcPr>
          <w:p w14:paraId="77416D63" w14:textId="77777777" w:rsidR="00C54BC9" w:rsidRPr="00164238" w:rsidRDefault="00C54BC9" w:rsidP="00682CBF">
            <w:pPr>
              <w:spacing w:after="0" w:line="240" w:lineRule="auto"/>
              <w:jc w:val="right"/>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-0,58</w:t>
            </w:r>
          </w:p>
        </w:tc>
      </w:tr>
      <w:tr w:rsidR="00164238" w:rsidRPr="00164238" w14:paraId="5DCB7FB7" w14:textId="77777777" w:rsidTr="00682CBF">
        <w:trPr>
          <w:trHeight w:val="255"/>
          <w:jc w:val="center"/>
        </w:trPr>
        <w:tc>
          <w:tcPr>
            <w:tcW w:w="800" w:type="dxa"/>
            <w:tcBorders>
              <w:top w:val="nil"/>
              <w:left w:val="single" w:sz="4" w:space="0" w:color="auto"/>
              <w:bottom w:val="single" w:sz="4" w:space="0" w:color="auto"/>
              <w:right w:val="single" w:sz="4" w:space="0" w:color="auto"/>
            </w:tcBorders>
            <w:shd w:val="clear" w:color="auto" w:fill="auto"/>
            <w:noWrap/>
            <w:vAlign w:val="bottom"/>
            <w:hideMark/>
          </w:tcPr>
          <w:p w14:paraId="5A0D87E2"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25</w:t>
            </w:r>
          </w:p>
        </w:tc>
        <w:tc>
          <w:tcPr>
            <w:tcW w:w="1020" w:type="dxa"/>
            <w:tcBorders>
              <w:top w:val="nil"/>
              <w:left w:val="nil"/>
              <w:bottom w:val="single" w:sz="4" w:space="0" w:color="auto"/>
              <w:right w:val="single" w:sz="4" w:space="0" w:color="auto"/>
            </w:tcBorders>
            <w:shd w:val="clear" w:color="auto" w:fill="auto"/>
            <w:noWrap/>
            <w:vAlign w:val="bottom"/>
            <w:hideMark/>
          </w:tcPr>
          <w:p w14:paraId="5422C842"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99,80</w:t>
            </w:r>
          </w:p>
        </w:tc>
        <w:tc>
          <w:tcPr>
            <w:tcW w:w="1020" w:type="dxa"/>
            <w:tcBorders>
              <w:top w:val="nil"/>
              <w:left w:val="nil"/>
              <w:bottom w:val="single" w:sz="4" w:space="0" w:color="auto"/>
              <w:right w:val="single" w:sz="4" w:space="0" w:color="auto"/>
            </w:tcBorders>
            <w:shd w:val="clear" w:color="auto" w:fill="FFE599" w:themeFill="accent4" w:themeFillTint="66"/>
            <w:noWrap/>
            <w:vAlign w:val="bottom"/>
            <w:hideMark/>
          </w:tcPr>
          <w:p w14:paraId="5569800A"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97,50</w:t>
            </w:r>
          </w:p>
        </w:tc>
        <w:tc>
          <w:tcPr>
            <w:tcW w:w="1020" w:type="dxa"/>
            <w:tcBorders>
              <w:top w:val="nil"/>
              <w:left w:val="nil"/>
              <w:bottom w:val="single" w:sz="4" w:space="0" w:color="auto"/>
              <w:right w:val="single" w:sz="4" w:space="0" w:color="auto"/>
            </w:tcBorders>
            <w:shd w:val="clear" w:color="auto" w:fill="auto"/>
            <w:noWrap/>
            <w:vAlign w:val="bottom"/>
            <w:hideMark/>
          </w:tcPr>
          <w:p w14:paraId="4B61E755"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103,30</w:t>
            </w:r>
          </w:p>
        </w:tc>
        <w:tc>
          <w:tcPr>
            <w:tcW w:w="1020" w:type="dxa"/>
            <w:tcBorders>
              <w:top w:val="nil"/>
              <w:left w:val="nil"/>
              <w:bottom w:val="single" w:sz="4" w:space="0" w:color="auto"/>
              <w:right w:val="single" w:sz="4" w:space="0" w:color="auto"/>
            </w:tcBorders>
            <w:shd w:val="clear" w:color="auto" w:fill="auto"/>
            <w:noWrap/>
            <w:vAlign w:val="bottom"/>
            <w:hideMark/>
          </w:tcPr>
          <w:p w14:paraId="05F490B5"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107,90</w:t>
            </w:r>
          </w:p>
        </w:tc>
        <w:tc>
          <w:tcPr>
            <w:tcW w:w="1134" w:type="dxa"/>
            <w:tcBorders>
              <w:top w:val="nil"/>
              <w:left w:val="nil"/>
              <w:bottom w:val="single" w:sz="4" w:space="0" w:color="auto"/>
              <w:right w:val="single" w:sz="4" w:space="0" w:color="auto"/>
            </w:tcBorders>
            <w:shd w:val="clear" w:color="auto" w:fill="auto"/>
            <w:noWrap/>
            <w:vAlign w:val="center"/>
            <w:hideMark/>
          </w:tcPr>
          <w:p w14:paraId="126027A7"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102,13</w:t>
            </w:r>
          </w:p>
        </w:tc>
        <w:tc>
          <w:tcPr>
            <w:tcW w:w="1134" w:type="dxa"/>
            <w:tcBorders>
              <w:top w:val="nil"/>
              <w:left w:val="nil"/>
              <w:bottom w:val="single" w:sz="4" w:space="0" w:color="auto"/>
              <w:right w:val="single" w:sz="4" w:space="0" w:color="auto"/>
            </w:tcBorders>
            <w:shd w:val="clear" w:color="auto" w:fill="auto"/>
            <w:noWrap/>
            <w:vAlign w:val="center"/>
            <w:hideMark/>
          </w:tcPr>
          <w:p w14:paraId="0DDDF87B"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102,71</w:t>
            </w:r>
          </w:p>
        </w:tc>
        <w:tc>
          <w:tcPr>
            <w:tcW w:w="886" w:type="dxa"/>
            <w:tcBorders>
              <w:top w:val="nil"/>
              <w:left w:val="nil"/>
              <w:bottom w:val="single" w:sz="4" w:space="0" w:color="auto"/>
              <w:right w:val="single" w:sz="4" w:space="0" w:color="auto"/>
            </w:tcBorders>
            <w:shd w:val="clear" w:color="auto" w:fill="FFE599" w:themeFill="accent4" w:themeFillTint="66"/>
            <w:noWrap/>
            <w:vAlign w:val="center"/>
            <w:hideMark/>
          </w:tcPr>
          <w:p w14:paraId="17922CC0" w14:textId="77777777" w:rsidR="00C54BC9" w:rsidRPr="00164238" w:rsidRDefault="00C54BC9" w:rsidP="00682CBF">
            <w:pPr>
              <w:spacing w:after="0" w:line="240" w:lineRule="auto"/>
              <w:jc w:val="right"/>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-0,57</w:t>
            </w:r>
          </w:p>
        </w:tc>
      </w:tr>
      <w:tr w:rsidR="00164238" w:rsidRPr="00164238" w14:paraId="4342D48E" w14:textId="77777777" w:rsidTr="00682CBF">
        <w:trPr>
          <w:trHeight w:val="255"/>
          <w:jc w:val="center"/>
        </w:trPr>
        <w:tc>
          <w:tcPr>
            <w:tcW w:w="800" w:type="dxa"/>
            <w:tcBorders>
              <w:top w:val="nil"/>
              <w:left w:val="single" w:sz="4" w:space="0" w:color="auto"/>
              <w:bottom w:val="single" w:sz="4" w:space="0" w:color="auto"/>
              <w:right w:val="single" w:sz="4" w:space="0" w:color="auto"/>
            </w:tcBorders>
            <w:shd w:val="clear" w:color="auto" w:fill="auto"/>
            <w:noWrap/>
            <w:vAlign w:val="bottom"/>
            <w:hideMark/>
          </w:tcPr>
          <w:p w14:paraId="62EF71A2"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26</w:t>
            </w:r>
          </w:p>
        </w:tc>
        <w:tc>
          <w:tcPr>
            <w:tcW w:w="1020" w:type="dxa"/>
            <w:tcBorders>
              <w:top w:val="nil"/>
              <w:left w:val="nil"/>
              <w:bottom w:val="single" w:sz="4" w:space="0" w:color="auto"/>
              <w:right w:val="single" w:sz="4" w:space="0" w:color="auto"/>
            </w:tcBorders>
            <w:shd w:val="clear" w:color="auto" w:fill="auto"/>
            <w:noWrap/>
            <w:vAlign w:val="bottom"/>
            <w:hideMark/>
          </w:tcPr>
          <w:p w14:paraId="16E7521C"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124,20</w:t>
            </w:r>
          </w:p>
        </w:tc>
        <w:tc>
          <w:tcPr>
            <w:tcW w:w="1020" w:type="dxa"/>
            <w:tcBorders>
              <w:top w:val="nil"/>
              <w:left w:val="nil"/>
              <w:bottom w:val="single" w:sz="4" w:space="0" w:color="auto"/>
              <w:right w:val="single" w:sz="4" w:space="0" w:color="auto"/>
            </w:tcBorders>
            <w:shd w:val="clear" w:color="auto" w:fill="FFE599" w:themeFill="accent4" w:themeFillTint="66"/>
            <w:noWrap/>
            <w:vAlign w:val="bottom"/>
            <w:hideMark/>
          </w:tcPr>
          <w:p w14:paraId="4345B21F"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122,90</w:t>
            </w:r>
          </w:p>
        </w:tc>
        <w:tc>
          <w:tcPr>
            <w:tcW w:w="1020" w:type="dxa"/>
            <w:tcBorders>
              <w:top w:val="nil"/>
              <w:left w:val="nil"/>
              <w:bottom w:val="single" w:sz="4" w:space="0" w:color="auto"/>
              <w:right w:val="single" w:sz="4" w:space="0" w:color="auto"/>
            </w:tcBorders>
            <w:shd w:val="clear" w:color="auto" w:fill="auto"/>
            <w:noWrap/>
            <w:vAlign w:val="bottom"/>
            <w:hideMark/>
          </w:tcPr>
          <w:p w14:paraId="63CF20B5"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129,40</w:t>
            </w:r>
          </w:p>
        </w:tc>
        <w:tc>
          <w:tcPr>
            <w:tcW w:w="1020" w:type="dxa"/>
            <w:tcBorders>
              <w:top w:val="nil"/>
              <w:left w:val="nil"/>
              <w:bottom w:val="single" w:sz="4" w:space="0" w:color="auto"/>
              <w:right w:val="single" w:sz="4" w:space="0" w:color="auto"/>
            </w:tcBorders>
            <w:shd w:val="clear" w:color="auto" w:fill="auto"/>
            <w:noWrap/>
            <w:vAlign w:val="bottom"/>
            <w:hideMark/>
          </w:tcPr>
          <w:p w14:paraId="1C26AA9B"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137,90</w:t>
            </w:r>
          </w:p>
        </w:tc>
        <w:tc>
          <w:tcPr>
            <w:tcW w:w="1134" w:type="dxa"/>
            <w:tcBorders>
              <w:top w:val="nil"/>
              <w:left w:val="nil"/>
              <w:bottom w:val="single" w:sz="4" w:space="0" w:color="auto"/>
              <w:right w:val="single" w:sz="4" w:space="0" w:color="auto"/>
            </w:tcBorders>
            <w:shd w:val="clear" w:color="auto" w:fill="auto"/>
            <w:noWrap/>
            <w:vAlign w:val="center"/>
            <w:hideMark/>
          </w:tcPr>
          <w:p w14:paraId="126BB089"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128,60</w:t>
            </w:r>
          </w:p>
        </w:tc>
        <w:tc>
          <w:tcPr>
            <w:tcW w:w="1134" w:type="dxa"/>
            <w:tcBorders>
              <w:top w:val="nil"/>
              <w:left w:val="nil"/>
              <w:bottom w:val="single" w:sz="4" w:space="0" w:color="auto"/>
              <w:right w:val="single" w:sz="4" w:space="0" w:color="auto"/>
            </w:tcBorders>
            <w:shd w:val="clear" w:color="auto" w:fill="auto"/>
            <w:noWrap/>
            <w:vAlign w:val="center"/>
            <w:hideMark/>
          </w:tcPr>
          <w:p w14:paraId="48604266"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129,70</w:t>
            </w:r>
          </w:p>
        </w:tc>
        <w:tc>
          <w:tcPr>
            <w:tcW w:w="886" w:type="dxa"/>
            <w:tcBorders>
              <w:top w:val="nil"/>
              <w:left w:val="nil"/>
              <w:bottom w:val="single" w:sz="4" w:space="0" w:color="auto"/>
              <w:right w:val="single" w:sz="4" w:space="0" w:color="auto"/>
            </w:tcBorders>
            <w:shd w:val="clear" w:color="auto" w:fill="FFE599" w:themeFill="accent4" w:themeFillTint="66"/>
            <w:noWrap/>
            <w:vAlign w:val="center"/>
            <w:hideMark/>
          </w:tcPr>
          <w:p w14:paraId="2FE01999" w14:textId="77777777" w:rsidR="00C54BC9" w:rsidRPr="00164238" w:rsidRDefault="00C54BC9" w:rsidP="00682CBF">
            <w:pPr>
              <w:spacing w:after="0" w:line="240" w:lineRule="auto"/>
              <w:jc w:val="right"/>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-0,85</w:t>
            </w:r>
          </w:p>
        </w:tc>
      </w:tr>
      <w:tr w:rsidR="00164238" w:rsidRPr="00164238" w14:paraId="5921377E" w14:textId="77777777" w:rsidTr="00682CBF">
        <w:trPr>
          <w:trHeight w:val="255"/>
          <w:jc w:val="center"/>
        </w:trPr>
        <w:tc>
          <w:tcPr>
            <w:tcW w:w="800" w:type="dxa"/>
            <w:tcBorders>
              <w:top w:val="nil"/>
              <w:left w:val="single" w:sz="4" w:space="0" w:color="auto"/>
              <w:bottom w:val="single" w:sz="4" w:space="0" w:color="auto"/>
              <w:right w:val="single" w:sz="4" w:space="0" w:color="auto"/>
            </w:tcBorders>
            <w:shd w:val="clear" w:color="auto" w:fill="auto"/>
            <w:noWrap/>
            <w:vAlign w:val="bottom"/>
            <w:hideMark/>
          </w:tcPr>
          <w:p w14:paraId="75E11A7C"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27</w:t>
            </w:r>
          </w:p>
        </w:tc>
        <w:tc>
          <w:tcPr>
            <w:tcW w:w="1020" w:type="dxa"/>
            <w:tcBorders>
              <w:top w:val="nil"/>
              <w:left w:val="nil"/>
              <w:bottom w:val="single" w:sz="4" w:space="0" w:color="auto"/>
              <w:right w:val="single" w:sz="4" w:space="0" w:color="auto"/>
            </w:tcBorders>
            <w:shd w:val="clear" w:color="auto" w:fill="auto"/>
            <w:noWrap/>
            <w:vAlign w:val="bottom"/>
            <w:hideMark/>
          </w:tcPr>
          <w:p w14:paraId="57C1EB26"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106,30</w:t>
            </w:r>
          </w:p>
        </w:tc>
        <w:tc>
          <w:tcPr>
            <w:tcW w:w="1020" w:type="dxa"/>
            <w:tcBorders>
              <w:top w:val="nil"/>
              <w:left w:val="nil"/>
              <w:bottom w:val="single" w:sz="4" w:space="0" w:color="auto"/>
              <w:right w:val="single" w:sz="4" w:space="0" w:color="auto"/>
            </w:tcBorders>
            <w:shd w:val="clear" w:color="auto" w:fill="FFE599" w:themeFill="accent4" w:themeFillTint="66"/>
            <w:noWrap/>
            <w:vAlign w:val="bottom"/>
            <w:hideMark/>
          </w:tcPr>
          <w:p w14:paraId="4567046B"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105,30</w:t>
            </w:r>
          </w:p>
        </w:tc>
        <w:tc>
          <w:tcPr>
            <w:tcW w:w="1020" w:type="dxa"/>
            <w:tcBorders>
              <w:top w:val="nil"/>
              <w:left w:val="nil"/>
              <w:bottom w:val="single" w:sz="4" w:space="0" w:color="auto"/>
              <w:right w:val="single" w:sz="4" w:space="0" w:color="auto"/>
            </w:tcBorders>
            <w:shd w:val="clear" w:color="auto" w:fill="auto"/>
            <w:noWrap/>
            <w:vAlign w:val="bottom"/>
            <w:hideMark/>
          </w:tcPr>
          <w:p w14:paraId="1C216121"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113,80</w:t>
            </w:r>
          </w:p>
        </w:tc>
        <w:tc>
          <w:tcPr>
            <w:tcW w:w="1020" w:type="dxa"/>
            <w:tcBorders>
              <w:top w:val="nil"/>
              <w:left w:val="nil"/>
              <w:bottom w:val="single" w:sz="4" w:space="0" w:color="auto"/>
              <w:right w:val="single" w:sz="4" w:space="0" w:color="auto"/>
            </w:tcBorders>
            <w:shd w:val="clear" w:color="auto" w:fill="auto"/>
            <w:noWrap/>
            <w:vAlign w:val="bottom"/>
            <w:hideMark/>
          </w:tcPr>
          <w:p w14:paraId="4797E3D0"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121,00</w:t>
            </w:r>
          </w:p>
        </w:tc>
        <w:tc>
          <w:tcPr>
            <w:tcW w:w="1134" w:type="dxa"/>
            <w:tcBorders>
              <w:top w:val="nil"/>
              <w:left w:val="nil"/>
              <w:bottom w:val="single" w:sz="4" w:space="0" w:color="auto"/>
              <w:right w:val="single" w:sz="4" w:space="0" w:color="auto"/>
            </w:tcBorders>
            <w:shd w:val="clear" w:color="auto" w:fill="auto"/>
            <w:noWrap/>
            <w:vAlign w:val="center"/>
            <w:hideMark/>
          </w:tcPr>
          <w:p w14:paraId="290B7E93"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111,60</w:t>
            </w:r>
          </w:p>
        </w:tc>
        <w:tc>
          <w:tcPr>
            <w:tcW w:w="1134" w:type="dxa"/>
            <w:tcBorders>
              <w:top w:val="nil"/>
              <w:left w:val="nil"/>
              <w:bottom w:val="single" w:sz="4" w:space="0" w:color="auto"/>
              <w:right w:val="single" w:sz="4" w:space="0" w:color="auto"/>
            </w:tcBorders>
            <w:shd w:val="clear" w:color="auto" w:fill="auto"/>
            <w:noWrap/>
            <w:vAlign w:val="center"/>
            <w:hideMark/>
          </w:tcPr>
          <w:p w14:paraId="3903A957"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112,93</w:t>
            </w:r>
          </w:p>
        </w:tc>
        <w:tc>
          <w:tcPr>
            <w:tcW w:w="886" w:type="dxa"/>
            <w:tcBorders>
              <w:top w:val="nil"/>
              <w:left w:val="nil"/>
              <w:bottom w:val="single" w:sz="4" w:space="0" w:color="auto"/>
              <w:right w:val="single" w:sz="4" w:space="0" w:color="auto"/>
            </w:tcBorders>
            <w:shd w:val="clear" w:color="auto" w:fill="FFE599" w:themeFill="accent4" w:themeFillTint="66"/>
            <w:noWrap/>
            <w:vAlign w:val="center"/>
            <w:hideMark/>
          </w:tcPr>
          <w:p w14:paraId="5C844393" w14:textId="77777777" w:rsidR="00C54BC9" w:rsidRPr="00164238" w:rsidRDefault="00C54BC9" w:rsidP="00682CBF">
            <w:pPr>
              <w:spacing w:after="0" w:line="240" w:lineRule="auto"/>
              <w:jc w:val="right"/>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-1,17</w:t>
            </w:r>
          </w:p>
        </w:tc>
      </w:tr>
      <w:tr w:rsidR="00164238" w:rsidRPr="00164238" w14:paraId="6D4F9E31" w14:textId="77777777" w:rsidTr="00682CBF">
        <w:trPr>
          <w:trHeight w:val="255"/>
          <w:jc w:val="center"/>
        </w:trPr>
        <w:tc>
          <w:tcPr>
            <w:tcW w:w="800" w:type="dxa"/>
            <w:tcBorders>
              <w:top w:val="nil"/>
              <w:left w:val="single" w:sz="4" w:space="0" w:color="auto"/>
              <w:bottom w:val="single" w:sz="4" w:space="0" w:color="auto"/>
              <w:right w:val="single" w:sz="4" w:space="0" w:color="auto"/>
            </w:tcBorders>
            <w:shd w:val="clear" w:color="auto" w:fill="auto"/>
            <w:noWrap/>
            <w:vAlign w:val="bottom"/>
            <w:hideMark/>
          </w:tcPr>
          <w:p w14:paraId="6A5AB57C"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28</w:t>
            </w:r>
          </w:p>
        </w:tc>
        <w:tc>
          <w:tcPr>
            <w:tcW w:w="1020" w:type="dxa"/>
            <w:tcBorders>
              <w:top w:val="nil"/>
              <w:left w:val="nil"/>
              <w:bottom w:val="single" w:sz="4" w:space="0" w:color="auto"/>
              <w:right w:val="single" w:sz="4" w:space="0" w:color="auto"/>
            </w:tcBorders>
            <w:shd w:val="clear" w:color="auto" w:fill="auto"/>
            <w:noWrap/>
            <w:vAlign w:val="bottom"/>
            <w:hideMark/>
          </w:tcPr>
          <w:p w14:paraId="34F158A6"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108,90</w:t>
            </w:r>
          </w:p>
        </w:tc>
        <w:tc>
          <w:tcPr>
            <w:tcW w:w="1020" w:type="dxa"/>
            <w:tcBorders>
              <w:top w:val="nil"/>
              <w:left w:val="nil"/>
              <w:bottom w:val="single" w:sz="4" w:space="0" w:color="auto"/>
              <w:right w:val="single" w:sz="4" w:space="0" w:color="auto"/>
            </w:tcBorders>
            <w:shd w:val="clear" w:color="auto" w:fill="FFE599" w:themeFill="accent4" w:themeFillTint="66"/>
            <w:noWrap/>
            <w:vAlign w:val="bottom"/>
            <w:hideMark/>
          </w:tcPr>
          <w:p w14:paraId="29E2A2C9"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107,50</w:t>
            </w:r>
          </w:p>
        </w:tc>
        <w:tc>
          <w:tcPr>
            <w:tcW w:w="1020" w:type="dxa"/>
            <w:tcBorders>
              <w:top w:val="nil"/>
              <w:left w:val="nil"/>
              <w:bottom w:val="single" w:sz="4" w:space="0" w:color="auto"/>
              <w:right w:val="single" w:sz="4" w:space="0" w:color="auto"/>
            </w:tcBorders>
            <w:shd w:val="clear" w:color="auto" w:fill="auto"/>
            <w:noWrap/>
            <w:vAlign w:val="bottom"/>
            <w:hideMark/>
          </w:tcPr>
          <w:p w14:paraId="768BC19F"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112,70</w:t>
            </w:r>
          </w:p>
        </w:tc>
        <w:tc>
          <w:tcPr>
            <w:tcW w:w="1020" w:type="dxa"/>
            <w:tcBorders>
              <w:top w:val="nil"/>
              <w:left w:val="nil"/>
              <w:bottom w:val="single" w:sz="4" w:space="0" w:color="auto"/>
              <w:right w:val="single" w:sz="4" w:space="0" w:color="auto"/>
            </w:tcBorders>
            <w:shd w:val="clear" w:color="auto" w:fill="auto"/>
            <w:noWrap/>
            <w:vAlign w:val="bottom"/>
            <w:hideMark/>
          </w:tcPr>
          <w:p w14:paraId="6A8FF156"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117,80</w:t>
            </w:r>
          </w:p>
        </w:tc>
        <w:tc>
          <w:tcPr>
            <w:tcW w:w="1134" w:type="dxa"/>
            <w:tcBorders>
              <w:top w:val="nil"/>
              <w:left w:val="nil"/>
              <w:bottom w:val="single" w:sz="4" w:space="0" w:color="auto"/>
              <w:right w:val="single" w:sz="4" w:space="0" w:color="auto"/>
            </w:tcBorders>
            <w:shd w:val="clear" w:color="auto" w:fill="auto"/>
            <w:noWrap/>
            <w:vAlign w:val="center"/>
            <w:hideMark/>
          </w:tcPr>
          <w:p w14:paraId="2F2A64C2"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111,73</w:t>
            </w:r>
          </w:p>
        </w:tc>
        <w:tc>
          <w:tcPr>
            <w:tcW w:w="1134" w:type="dxa"/>
            <w:tcBorders>
              <w:top w:val="nil"/>
              <w:left w:val="nil"/>
              <w:bottom w:val="single" w:sz="4" w:space="0" w:color="auto"/>
              <w:right w:val="single" w:sz="4" w:space="0" w:color="auto"/>
            </w:tcBorders>
            <w:shd w:val="clear" w:color="auto" w:fill="auto"/>
            <w:noWrap/>
            <w:vAlign w:val="center"/>
            <w:hideMark/>
          </w:tcPr>
          <w:p w14:paraId="08682B44"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112,43</w:t>
            </w:r>
          </w:p>
        </w:tc>
        <w:tc>
          <w:tcPr>
            <w:tcW w:w="886" w:type="dxa"/>
            <w:tcBorders>
              <w:top w:val="nil"/>
              <w:left w:val="nil"/>
              <w:bottom w:val="single" w:sz="4" w:space="0" w:color="auto"/>
              <w:right w:val="single" w:sz="4" w:space="0" w:color="auto"/>
            </w:tcBorders>
            <w:shd w:val="clear" w:color="auto" w:fill="FFE599" w:themeFill="accent4" w:themeFillTint="66"/>
            <w:noWrap/>
            <w:vAlign w:val="center"/>
            <w:hideMark/>
          </w:tcPr>
          <w:p w14:paraId="1F507971" w14:textId="77777777" w:rsidR="00C54BC9" w:rsidRPr="00164238" w:rsidRDefault="00C54BC9" w:rsidP="00682CBF">
            <w:pPr>
              <w:spacing w:after="0" w:line="240" w:lineRule="auto"/>
              <w:jc w:val="right"/>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-0,63</w:t>
            </w:r>
          </w:p>
        </w:tc>
      </w:tr>
      <w:tr w:rsidR="00164238" w:rsidRPr="00164238" w14:paraId="4F28ACCF" w14:textId="77777777" w:rsidTr="00682CBF">
        <w:trPr>
          <w:trHeight w:val="255"/>
          <w:jc w:val="center"/>
        </w:trPr>
        <w:tc>
          <w:tcPr>
            <w:tcW w:w="800" w:type="dxa"/>
            <w:tcBorders>
              <w:top w:val="nil"/>
              <w:left w:val="single" w:sz="4" w:space="0" w:color="auto"/>
              <w:bottom w:val="single" w:sz="4" w:space="0" w:color="auto"/>
              <w:right w:val="single" w:sz="4" w:space="0" w:color="auto"/>
            </w:tcBorders>
            <w:shd w:val="clear" w:color="auto" w:fill="auto"/>
            <w:noWrap/>
            <w:vAlign w:val="bottom"/>
            <w:hideMark/>
          </w:tcPr>
          <w:p w14:paraId="2274BC35"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29</w:t>
            </w:r>
          </w:p>
        </w:tc>
        <w:tc>
          <w:tcPr>
            <w:tcW w:w="1020" w:type="dxa"/>
            <w:tcBorders>
              <w:top w:val="nil"/>
              <w:left w:val="nil"/>
              <w:bottom w:val="single" w:sz="4" w:space="0" w:color="auto"/>
              <w:right w:val="single" w:sz="4" w:space="0" w:color="auto"/>
            </w:tcBorders>
            <w:shd w:val="clear" w:color="auto" w:fill="auto"/>
            <w:noWrap/>
            <w:vAlign w:val="bottom"/>
            <w:hideMark/>
          </w:tcPr>
          <w:p w14:paraId="73650136"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112,70</w:t>
            </w:r>
          </w:p>
        </w:tc>
        <w:tc>
          <w:tcPr>
            <w:tcW w:w="1020" w:type="dxa"/>
            <w:tcBorders>
              <w:top w:val="nil"/>
              <w:left w:val="nil"/>
              <w:bottom w:val="single" w:sz="4" w:space="0" w:color="auto"/>
              <w:right w:val="single" w:sz="4" w:space="0" w:color="auto"/>
            </w:tcBorders>
            <w:shd w:val="clear" w:color="auto" w:fill="FFE599" w:themeFill="accent4" w:themeFillTint="66"/>
            <w:noWrap/>
            <w:vAlign w:val="bottom"/>
            <w:hideMark/>
          </w:tcPr>
          <w:p w14:paraId="04EC6B28"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111,30</w:t>
            </w:r>
          </w:p>
        </w:tc>
        <w:tc>
          <w:tcPr>
            <w:tcW w:w="1020" w:type="dxa"/>
            <w:tcBorders>
              <w:top w:val="nil"/>
              <w:left w:val="nil"/>
              <w:bottom w:val="single" w:sz="4" w:space="0" w:color="auto"/>
              <w:right w:val="single" w:sz="4" w:space="0" w:color="auto"/>
            </w:tcBorders>
            <w:shd w:val="clear" w:color="auto" w:fill="auto"/>
            <w:noWrap/>
            <w:vAlign w:val="bottom"/>
            <w:hideMark/>
          </w:tcPr>
          <w:p w14:paraId="7CD79ECA"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114,60</w:t>
            </w:r>
          </w:p>
        </w:tc>
        <w:tc>
          <w:tcPr>
            <w:tcW w:w="1020" w:type="dxa"/>
            <w:tcBorders>
              <w:top w:val="nil"/>
              <w:left w:val="nil"/>
              <w:bottom w:val="single" w:sz="4" w:space="0" w:color="auto"/>
              <w:right w:val="single" w:sz="4" w:space="0" w:color="auto"/>
            </w:tcBorders>
            <w:shd w:val="clear" w:color="auto" w:fill="auto"/>
            <w:noWrap/>
            <w:vAlign w:val="bottom"/>
            <w:hideMark/>
          </w:tcPr>
          <w:p w14:paraId="76F3B399"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119,50</w:t>
            </w:r>
          </w:p>
        </w:tc>
        <w:tc>
          <w:tcPr>
            <w:tcW w:w="1134" w:type="dxa"/>
            <w:tcBorders>
              <w:top w:val="nil"/>
              <w:left w:val="nil"/>
              <w:bottom w:val="single" w:sz="4" w:space="0" w:color="auto"/>
              <w:right w:val="single" w:sz="4" w:space="0" w:color="auto"/>
            </w:tcBorders>
            <w:shd w:val="clear" w:color="auto" w:fill="auto"/>
            <w:noWrap/>
            <w:vAlign w:val="center"/>
            <w:hideMark/>
          </w:tcPr>
          <w:p w14:paraId="7E3DFD79"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114,53</w:t>
            </w:r>
          </w:p>
        </w:tc>
        <w:tc>
          <w:tcPr>
            <w:tcW w:w="1134" w:type="dxa"/>
            <w:tcBorders>
              <w:top w:val="nil"/>
              <w:left w:val="nil"/>
              <w:bottom w:val="single" w:sz="4" w:space="0" w:color="auto"/>
              <w:right w:val="single" w:sz="4" w:space="0" w:color="auto"/>
            </w:tcBorders>
            <w:shd w:val="clear" w:color="auto" w:fill="auto"/>
            <w:noWrap/>
            <w:vAlign w:val="center"/>
            <w:hideMark/>
          </w:tcPr>
          <w:p w14:paraId="2B3205C4"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114,98</w:t>
            </w:r>
          </w:p>
        </w:tc>
        <w:tc>
          <w:tcPr>
            <w:tcW w:w="886" w:type="dxa"/>
            <w:tcBorders>
              <w:top w:val="nil"/>
              <w:left w:val="nil"/>
              <w:bottom w:val="single" w:sz="4" w:space="0" w:color="auto"/>
              <w:right w:val="single" w:sz="4" w:space="0" w:color="auto"/>
            </w:tcBorders>
            <w:shd w:val="clear" w:color="auto" w:fill="FFE599" w:themeFill="accent4" w:themeFillTint="66"/>
            <w:noWrap/>
            <w:vAlign w:val="center"/>
            <w:hideMark/>
          </w:tcPr>
          <w:p w14:paraId="3913FEF4" w14:textId="77777777" w:rsidR="00C54BC9" w:rsidRPr="00164238" w:rsidRDefault="00C54BC9" w:rsidP="00682CBF">
            <w:pPr>
              <w:spacing w:after="0" w:line="240" w:lineRule="auto"/>
              <w:jc w:val="right"/>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-0,40</w:t>
            </w:r>
          </w:p>
        </w:tc>
      </w:tr>
      <w:tr w:rsidR="00164238" w:rsidRPr="00164238" w14:paraId="3DA2A86C" w14:textId="77777777" w:rsidTr="00682CBF">
        <w:trPr>
          <w:trHeight w:val="255"/>
          <w:jc w:val="center"/>
        </w:trPr>
        <w:tc>
          <w:tcPr>
            <w:tcW w:w="800" w:type="dxa"/>
            <w:tcBorders>
              <w:top w:val="nil"/>
              <w:left w:val="single" w:sz="4" w:space="0" w:color="auto"/>
              <w:bottom w:val="single" w:sz="4" w:space="0" w:color="auto"/>
              <w:right w:val="single" w:sz="4" w:space="0" w:color="auto"/>
            </w:tcBorders>
            <w:shd w:val="clear" w:color="auto" w:fill="auto"/>
            <w:noWrap/>
            <w:vAlign w:val="bottom"/>
            <w:hideMark/>
          </w:tcPr>
          <w:p w14:paraId="667A56B1"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30</w:t>
            </w:r>
          </w:p>
        </w:tc>
        <w:tc>
          <w:tcPr>
            <w:tcW w:w="1020" w:type="dxa"/>
            <w:tcBorders>
              <w:top w:val="nil"/>
              <w:left w:val="nil"/>
              <w:bottom w:val="single" w:sz="4" w:space="0" w:color="auto"/>
              <w:right w:val="single" w:sz="4" w:space="0" w:color="auto"/>
            </w:tcBorders>
            <w:shd w:val="clear" w:color="auto" w:fill="auto"/>
            <w:noWrap/>
            <w:vAlign w:val="bottom"/>
            <w:hideMark/>
          </w:tcPr>
          <w:p w14:paraId="7E5CA7CD"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160,30</w:t>
            </w:r>
          </w:p>
        </w:tc>
        <w:tc>
          <w:tcPr>
            <w:tcW w:w="1020" w:type="dxa"/>
            <w:tcBorders>
              <w:top w:val="nil"/>
              <w:left w:val="nil"/>
              <w:bottom w:val="single" w:sz="4" w:space="0" w:color="auto"/>
              <w:right w:val="single" w:sz="4" w:space="0" w:color="auto"/>
            </w:tcBorders>
            <w:shd w:val="clear" w:color="auto" w:fill="FFE599" w:themeFill="accent4" w:themeFillTint="66"/>
            <w:noWrap/>
            <w:vAlign w:val="bottom"/>
            <w:hideMark/>
          </w:tcPr>
          <w:p w14:paraId="439E6C11"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157,80</w:t>
            </w:r>
          </w:p>
        </w:tc>
        <w:tc>
          <w:tcPr>
            <w:tcW w:w="1020" w:type="dxa"/>
            <w:tcBorders>
              <w:top w:val="nil"/>
              <w:left w:val="nil"/>
              <w:bottom w:val="single" w:sz="4" w:space="0" w:color="auto"/>
              <w:right w:val="single" w:sz="4" w:space="0" w:color="auto"/>
            </w:tcBorders>
            <w:shd w:val="clear" w:color="auto" w:fill="auto"/>
            <w:noWrap/>
            <w:vAlign w:val="bottom"/>
            <w:hideMark/>
          </w:tcPr>
          <w:p w14:paraId="2FA4A71C"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165,40</w:t>
            </w:r>
          </w:p>
        </w:tc>
        <w:tc>
          <w:tcPr>
            <w:tcW w:w="1020" w:type="dxa"/>
            <w:tcBorders>
              <w:top w:val="nil"/>
              <w:left w:val="nil"/>
              <w:bottom w:val="single" w:sz="4" w:space="0" w:color="auto"/>
              <w:right w:val="single" w:sz="4" w:space="0" w:color="auto"/>
            </w:tcBorders>
            <w:shd w:val="clear" w:color="auto" w:fill="auto"/>
            <w:noWrap/>
            <w:vAlign w:val="bottom"/>
            <w:hideMark/>
          </w:tcPr>
          <w:p w14:paraId="5AABBC54"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170,40</w:t>
            </w:r>
          </w:p>
        </w:tc>
        <w:tc>
          <w:tcPr>
            <w:tcW w:w="1134" w:type="dxa"/>
            <w:tcBorders>
              <w:top w:val="nil"/>
              <w:left w:val="nil"/>
              <w:bottom w:val="single" w:sz="4" w:space="0" w:color="auto"/>
              <w:right w:val="single" w:sz="4" w:space="0" w:color="auto"/>
            </w:tcBorders>
            <w:shd w:val="clear" w:color="auto" w:fill="auto"/>
            <w:noWrap/>
            <w:vAlign w:val="center"/>
            <w:hideMark/>
          </w:tcPr>
          <w:p w14:paraId="0964D695"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163,48</w:t>
            </w:r>
          </w:p>
        </w:tc>
        <w:tc>
          <w:tcPr>
            <w:tcW w:w="1134" w:type="dxa"/>
            <w:tcBorders>
              <w:top w:val="nil"/>
              <w:left w:val="nil"/>
              <w:bottom w:val="single" w:sz="4" w:space="0" w:color="auto"/>
              <w:right w:val="single" w:sz="4" w:space="0" w:color="auto"/>
            </w:tcBorders>
            <w:shd w:val="clear" w:color="auto" w:fill="auto"/>
            <w:noWrap/>
            <w:vAlign w:val="center"/>
            <w:hideMark/>
          </w:tcPr>
          <w:p w14:paraId="7C88D377"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164,27</w:t>
            </w:r>
          </w:p>
        </w:tc>
        <w:tc>
          <w:tcPr>
            <w:tcW w:w="886" w:type="dxa"/>
            <w:tcBorders>
              <w:top w:val="nil"/>
              <w:left w:val="nil"/>
              <w:bottom w:val="single" w:sz="4" w:space="0" w:color="auto"/>
              <w:right w:val="single" w:sz="4" w:space="0" w:color="auto"/>
            </w:tcBorders>
            <w:shd w:val="clear" w:color="auto" w:fill="FFE599" w:themeFill="accent4" w:themeFillTint="66"/>
            <w:noWrap/>
            <w:vAlign w:val="center"/>
            <w:hideMark/>
          </w:tcPr>
          <w:p w14:paraId="2825650F" w14:textId="77777777" w:rsidR="00C54BC9" w:rsidRPr="00164238" w:rsidRDefault="00C54BC9" w:rsidP="00682CBF">
            <w:pPr>
              <w:spacing w:after="0" w:line="240" w:lineRule="auto"/>
              <w:jc w:val="right"/>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-0,48</w:t>
            </w:r>
          </w:p>
        </w:tc>
      </w:tr>
      <w:tr w:rsidR="00164238" w:rsidRPr="00164238" w14:paraId="6F966DD0" w14:textId="77777777" w:rsidTr="00682CBF">
        <w:trPr>
          <w:trHeight w:val="255"/>
          <w:jc w:val="center"/>
        </w:trPr>
        <w:tc>
          <w:tcPr>
            <w:tcW w:w="800" w:type="dxa"/>
            <w:tcBorders>
              <w:top w:val="nil"/>
              <w:left w:val="single" w:sz="4" w:space="0" w:color="auto"/>
              <w:bottom w:val="single" w:sz="4" w:space="0" w:color="auto"/>
              <w:right w:val="single" w:sz="4" w:space="0" w:color="auto"/>
            </w:tcBorders>
            <w:shd w:val="clear" w:color="auto" w:fill="auto"/>
            <w:noWrap/>
            <w:vAlign w:val="bottom"/>
            <w:hideMark/>
          </w:tcPr>
          <w:p w14:paraId="24240503"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31</w:t>
            </w:r>
          </w:p>
        </w:tc>
        <w:tc>
          <w:tcPr>
            <w:tcW w:w="1020" w:type="dxa"/>
            <w:tcBorders>
              <w:top w:val="nil"/>
              <w:left w:val="nil"/>
              <w:bottom w:val="single" w:sz="4" w:space="0" w:color="auto"/>
              <w:right w:val="single" w:sz="4" w:space="0" w:color="auto"/>
            </w:tcBorders>
            <w:shd w:val="clear" w:color="auto" w:fill="auto"/>
            <w:noWrap/>
            <w:vAlign w:val="bottom"/>
            <w:hideMark/>
          </w:tcPr>
          <w:p w14:paraId="14E10C66"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94,80</w:t>
            </w:r>
          </w:p>
        </w:tc>
        <w:tc>
          <w:tcPr>
            <w:tcW w:w="1020" w:type="dxa"/>
            <w:tcBorders>
              <w:top w:val="nil"/>
              <w:left w:val="nil"/>
              <w:bottom w:val="single" w:sz="4" w:space="0" w:color="auto"/>
              <w:right w:val="single" w:sz="4" w:space="0" w:color="auto"/>
            </w:tcBorders>
            <w:shd w:val="clear" w:color="auto" w:fill="FFE599" w:themeFill="accent4" w:themeFillTint="66"/>
            <w:noWrap/>
            <w:vAlign w:val="bottom"/>
            <w:hideMark/>
          </w:tcPr>
          <w:p w14:paraId="18A56366"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91,50</w:t>
            </w:r>
          </w:p>
        </w:tc>
        <w:tc>
          <w:tcPr>
            <w:tcW w:w="1020" w:type="dxa"/>
            <w:tcBorders>
              <w:top w:val="nil"/>
              <w:left w:val="nil"/>
              <w:bottom w:val="single" w:sz="4" w:space="0" w:color="auto"/>
              <w:right w:val="single" w:sz="4" w:space="0" w:color="auto"/>
            </w:tcBorders>
            <w:shd w:val="clear" w:color="auto" w:fill="auto"/>
            <w:noWrap/>
            <w:vAlign w:val="bottom"/>
            <w:hideMark/>
          </w:tcPr>
          <w:p w14:paraId="1BE2F854"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97,00</w:t>
            </w:r>
          </w:p>
        </w:tc>
        <w:tc>
          <w:tcPr>
            <w:tcW w:w="1020" w:type="dxa"/>
            <w:tcBorders>
              <w:top w:val="nil"/>
              <w:left w:val="nil"/>
              <w:bottom w:val="single" w:sz="4" w:space="0" w:color="auto"/>
              <w:right w:val="single" w:sz="4" w:space="0" w:color="auto"/>
            </w:tcBorders>
            <w:shd w:val="clear" w:color="auto" w:fill="auto"/>
            <w:noWrap/>
            <w:vAlign w:val="bottom"/>
            <w:hideMark/>
          </w:tcPr>
          <w:p w14:paraId="6D5D71CC"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101,70</w:t>
            </w:r>
          </w:p>
        </w:tc>
        <w:tc>
          <w:tcPr>
            <w:tcW w:w="1134" w:type="dxa"/>
            <w:tcBorders>
              <w:top w:val="nil"/>
              <w:left w:val="nil"/>
              <w:bottom w:val="single" w:sz="4" w:space="0" w:color="auto"/>
              <w:right w:val="single" w:sz="4" w:space="0" w:color="auto"/>
            </w:tcBorders>
            <w:shd w:val="clear" w:color="auto" w:fill="auto"/>
            <w:noWrap/>
            <w:vAlign w:val="center"/>
            <w:hideMark/>
          </w:tcPr>
          <w:p w14:paraId="34E3A3A9"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96,25</w:t>
            </w:r>
          </w:p>
        </w:tc>
        <w:tc>
          <w:tcPr>
            <w:tcW w:w="1134" w:type="dxa"/>
            <w:tcBorders>
              <w:top w:val="nil"/>
              <w:left w:val="nil"/>
              <w:bottom w:val="single" w:sz="4" w:space="0" w:color="auto"/>
              <w:right w:val="single" w:sz="4" w:space="0" w:color="auto"/>
            </w:tcBorders>
            <w:shd w:val="clear" w:color="auto" w:fill="auto"/>
            <w:noWrap/>
            <w:vAlign w:val="center"/>
            <w:hideMark/>
          </w:tcPr>
          <w:p w14:paraId="1C0A4A50"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96,61</w:t>
            </w:r>
          </w:p>
        </w:tc>
        <w:tc>
          <w:tcPr>
            <w:tcW w:w="886" w:type="dxa"/>
            <w:tcBorders>
              <w:top w:val="nil"/>
              <w:left w:val="nil"/>
              <w:bottom w:val="single" w:sz="4" w:space="0" w:color="auto"/>
              <w:right w:val="single" w:sz="4" w:space="0" w:color="auto"/>
            </w:tcBorders>
            <w:shd w:val="clear" w:color="auto" w:fill="FFE599" w:themeFill="accent4" w:themeFillTint="66"/>
            <w:noWrap/>
            <w:vAlign w:val="center"/>
            <w:hideMark/>
          </w:tcPr>
          <w:p w14:paraId="51D19037" w14:textId="77777777" w:rsidR="00C54BC9" w:rsidRPr="00164238" w:rsidRDefault="00C54BC9" w:rsidP="00682CBF">
            <w:pPr>
              <w:spacing w:after="0" w:line="240" w:lineRule="auto"/>
              <w:jc w:val="right"/>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-0,38</w:t>
            </w:r>
          </w:p>
        </w:tc>
      </w:tr>
      <w:tr w:rsidR="00164238" w:rsidRPr="00164238" w14:paraId="4D20D3E6" w14:textId="77777777" w:rsidTr="00682CBF">
        <w:trPr>
          <w:trHeight w:val="255"/>
          <w:jc w:val="center"/>
        </w:trPr>
        <w:tc>
          <w:tcPr>
            <w:tcW w:w="800" w:type="dxa"/>
            <w:tcBorders>
              <w:top w:val="nil"/>
              <w:left w:val="single" w:sz="4" w:space="0" w:color="auto"/>
              <w:bottom w:val="single" w:sz="4" w:space="0" w:color="auto"/>
              <w:right w:val="single" w:sz="4" w:space="0" w:color="auto"/>
            </w:tcBorders>
            <w:shd w:val="clear" w:color="auto" w:fill="auto"/>
            <w:noWrap/>
            <w:vAlign w:val="bottom"/>
            <w:hideMark/>
          </w:tcPr>
          <w:p w14:paraId="78FFAA9D"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32</w:t>
            </w:r>
          </w:p>
        </w:tc>
        <w:tc>
          <w:tcPr>
            <w:tcW w:w="1020" w:type="dxa"/>
            <w:tcBorders>
              <w:top w:val="nil"/>
              <w:left w:val="nil"/>
              <w:bottom w:val="single" w:sz="4" w:space="0" w:color="auto"/>
              <w:right w:val="single" w:sz="4" w:space="0" w:color="auto"/>
            </w:tcBorders>
            <w:shd w:val="clear" w:color="auto" w:fill="auto"/>
            <w:noWrap/>
            <w:vAlign w:val="bottom"/>
            <w:hideMark/>
          </w:tcPr>
          <w:p w14:paraId="0341322A"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111,40</w:t>
            </w:r>
          </w:p>
        </w:tc>
        <w:tc>
          <w:tcPr>
            <w:tcW w:w="1020" w:type="dxa"/>
            <w:tcBorders>
              <w:top w:val="nil"/>
              <w:left w:val="nil"/>
              <w:bottom w:val="single" w:sz="4" w:space="0" w:color="auto"/>
              <w:right w:val="single" w:sz="4" w:space="0" w:color="auto"/>
            </w:tcBorders>
            <w:shd w:val="clear" w:color="auto" w:fill="FFE599" w:themeFill="accent4" w:themeFillTint="66"/>
            <w:noWrap/>
            <w:vAlign w:val="bottom"/>
            <w:hideMark/>
          </w:tcPr>
          <w:p w14:paraId="772E22BC"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109,50</w:t>
            </w:r>
          </w:p>
        </w:tc>
        <w:tc>
          <w:tcPr>
            <w:tcW w:w="1020" w:type="dxa"/>
            <w:tcBorders>
              <w:top w:val="nil"/>
              <w:left w:val="nil"/>
              <w:bottom w:val="single" w:sz="4" w:space="0" w:color="auto"/>
              <w:right w:val="single" w:sz="4" w:space="0" w:color="auto"/>
            </w:tcBorders>
            <w:shd w:val="clear" w:color="auto" w:fill="auto"/>
            <w:noWrap/>
            <w:vAlign w:val="bottom"/>
            <w:hideMark/>
          </w:tcPr>
          <w:p w14:paraId="3FF79051"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113,50</w:t>
            </w:r>
          </w:p>
        </w:tc>
        <w:tc>
          <w:tcPr>
            <w:tcW w:w="1020" w:type="dxa"/>
            <w:tcBorders>
              <w:top w:val="nil"/>
              <w:left w:val="nil"/>
              <w:bottom w:val="single" w:sz="4" w:space="0" w:color="auto"/>
              <w:right w:val="single" w:sz="4" w:space="0" w:color="auto"/>
            </w:tcBorders>
            <w:shd w:val="clear" w:color="auto" w:fill="auto"/>
            <w:noWrap/>
            <w:vAlign w:val="bottom"/>
            <w:hideMark/>
          </w:tcPr>
          <w:p w14:paraId="17685450"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115,30</w:t>
            </w:r>
          </w:p>
        </w:tc>
        <w:tc>
          <w:tcPr>
            <w:tcW w:w="1134" w:type="dxa"/>
            <w:tcBorders>
              <w:top w:val="nil"/>
              <w:left w:val="nil"/>
              <w:bottom w:val="single" w:sz="4" w:space="0" w:color="auto"/>
              <w:right w:val="single" w:sz="4" w:space="0" w:color="auto"/>
            </w:tcBorders>
            <w:shd w:val="clear" w:color="auto" w:fill="auto"/>
            <w:noWrap/>
            <w:vAlign w:val="center"/>
            <w:hideMark/>
          </w:tcPr>
          <w:p w14:paraId="18772F39"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112,43</w:t>
            </w:r>
          </w:p>
        </w:tc>
        <w:tc>
          <w:tcPr>
            <w:tcW w:w="1134" w:type="dxa"/>
            <w:tcBorders>
              <w:top w:val="nil"/>
              <w:left w:val="nil"/>
              <w:bottom w:val="single" w:sz="4" w:space="0" w:color="auto"/>
              <w:right w:val="single" w:sz="4" w:space="0" w:color="auto"/>
            </w:tcBorders>
            <w:shd w:val="clear" w:color="auto" w:fill="auto"/>
            <w:noWrap/>
            <w:vAlign w:val="center"/>
            <w:hideMark/>
          </w:tcPr>
          <w:p w14:paraId="2F5B4CFD"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112,68</w:t>
            </w:r>
          </w:p>
        </w:tc>
        <w:tc>
          <w:tcPr>
            <w:tcW w:w="886" w:type="dxa"/>
            <w:tcBorders>
              <w:top w:val="nil"/>
              <w:left w:val="nil"/>
              <w:bottom w:val="single" w:sz="4" w:space="0" w:color="auto"/>
              <w:right w:val="single" w:sz="4" w:space="0" w:color="auto"/>
            </w:tcBorders>
            <w:shd w:val="clear" w:color="auto" w:fill="FFE599" w:themeFill="accent4" w:themeFillTint="66"/>
            <w:noWrap/>
            <w:vAlign w:val="center"/>
            <w:hideMark/>
          </w:tcPr>
          <w:p w14:paraId="5CA550FD" w14:textId="77777777" w:rsidR="00C54BC9" w:rsidRPr="00164238" w:rsidRDefault="00C54BC9" w:rsidP="00682CBF">
            <w:pPr>
              <w:spacing w:after="0" w:line="240" w:lineRule="auto"/>
              <w:jc w:val="right"/>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-0,23</w:t>
            </w:r>
          </w:p>
        </w:tc>
      </w:tr>
      <w:tr w:rsidR="00164238" w:rsidRPr="00164238" w14:paraId="40EC1288" w14:textId="77777777" w:rsidTr="00682CBF">
        <w:trPr>
          <w:trHeight w:val="255"/>
          <w:jc w:val="center"/>
        </w:trPr>
        <w:tc>
          <w:tcPr>
            <w:tcW w:w="800" w:type="dxa"/>
            <w:tcBorders>
              <w:top w:val="nil"/>
              <w:left w:val="single" w:sz="4" w:space="0" w:color="auto"/>
              <w:bottom w:val="single" w:sz="4" w:space="0" w:color="auto"/>
              <w:right w:val="single" w:sz="4" w:space="0" w:color="auto"/>
            </w:tcBorders>
            <w:shd w:val="clear" w:color="auto" w:fill="auto"/>
            <w:noWrap/>
            <w:vAlign w:val="bottom"/>
            <w:hideMark/>
          </w:tcPr>
          <w:p w14:paraId="7F6DFE29"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33</w:t>
            </w:r>
          </w:p>
        </w:tc>
        <w:tc>
          <w:tcPr>
            <w:tcW w:w="1020" w:type="dxa"/>
            <w:tcBorders>
              <w:top w:val="nil"/>
              <w:left w:val="nil"/>
              <w:bottom w:val="single" w:sz="4" w:space="0" w:color="auto"/>
              <w:right w:val="single" w:sz="4" w:space="0" w:color="auto"/>
            </w:tcBorders>
            <w:shd w:val="clear" w:color="auto" w:fill="auto"/>
            <w:noWrap/>
            <w:vAlign w:val="bottom"/>
            <w:hideMark/>
          </w:tcPr>
          <w:p w14:paraId="39BC6268"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127,40</w:t>
            </w:r>
          </w:p>
        </w:tc>
        <w:tc>
          <w:tcPr>
            <w:tcW w:w="1020" w:type="dxa"/>
            <w:tcBorders>
              <w:top w:val="nil"/>
              <w:left w:val="nil"/>
              <w:bottom w:val="single" w:sz="4" w:space="0" w:color="auto"/>
              <w:right w:val="single" w:sz="4" w:space="0" w:color="auto"/>
            </w:tcBorders>
            <w:shd w:val="clear" w:color="auto" w:fill="FFE599" w:themeFill="accent4" w:themeFillTint="66"/>
            <w:noWrap/>
            <w:vAlign w:val="bottom"/>
            <w:hideMark/>
          </w:tcPr>
          <w:p w14:paraId="0B17FED6"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119,90</w:t>
            </w:r>
          </w:p>
        </w:tc>
        <w:tc>
          <w:tcPr>
            <w:tcW w:w="1020" w:type="dxa"/>
            <w:tcBorders>
              <w:top w:val="nil"/>
              <w:left w:val="nil"/>
              <w:bottom w:val="single" w:sz="4" w:space="0" w:color="auto"/>
              <w:right w:val="single" w:sz="4" w:space="0" w:color="auto"/>
            </w:tcBorders>
            <w:shd w:val="clear" w:color="auto" w:fill="auto"/>
            <w:noWrap/>
            <w:vAlign w:val="bottom"/>
            <w:hideMark/>
          </w:tcPr>
          <w:p w14:paraId="3297FD0F"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129,80</w:t>
            </w:r>
          </w:p>
        </w:tc>
        <w:tc>
          <w:tcPr>
            <w:tcW w:w="1020" w:type="dxa"/>
            <w:tcBorders>
              <w:top w:val="nil"/>
              <w:left w:val="nil"/>
              <w:bottom w:val="single" w:sz="4" w:space="0" w:color="auto"/>
              <w:right w:val="single" w:sz="4" w:space="0" w:color="auto"/>
            </w:tcBorders>
            <w:shd w:val="clear" w:color="auto" w:fill="auto"/>
            <w:noWrap/>
            <w:vAlign w:val="bottom"/>
            <w:hideMark/>
          </w:tcPr>
          <w:p w14:paraId="0BD3ED76"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136,50</w:t>
            </w:r>
          </w:p>
        </w:tc>
        <w:tc>
          <w:tcPr>
            <w:tcW w:w="1134" w:type="dxa"/>
            <w:tcBorders>
              <w:top w:val="nil"/>
              <w:left w:val="nil"/>
              <w:bottom w:val="single" w:sz="4" w:space="0" w:color="auto"/>
              <w:right w:val="single" w:sz="4" w:space="0" w:color="auto"/>
            </w:tcBorders>
            <w:shd w:val="clear" w:color="auto" w:fill="auto"/>
            <w:noWrap/>
            <w:vAlign w:val="center"/>
            <w:hideMark/>
          </w:tcPr>
          <w:p w14:paraId="5C498681"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128,40</w:t>
            </w:r>
          </w:p>
        </w:tc>
        <w:tc>
          <w:tcPr>
            <w:tcW w:w="1134" w:type="dxa"/>
            <w:tcBorders>
              <w:top w:val="nil"/>
              <w:left w:val="nil"/>
              <w:bottom w:val="single" w:sz="4" w:space="0" w:color="auto"/>
              <w:right w:val="single" w:sz="4" w:space="0" w:color="auto"/>
            </w:tcBorders>
            <w:shd w:val="clear" w:color="auto" w:fill="auto"/>
            <w:noWrap/>
            <w:vAlign w:val="center"/>
            <w:hideMark/>
          </w:tcPr>
          <w:p w14:paraId="0BB9FD60"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128,65</w:t>
            </w:r>
          </w:p>
        </w:tc>
        <w:tc>
          <w:tcPr>
            <w:tcW w:w="886" w:type="dxa"/>
            <w:tcBorders>
              <w:top w:val="nil"/>
              <w:left w:val="nil"/>
              <w:bottom w:val="single" w:sz="4" w:space="0" w:color="auto"/>
              <w:right w:val="single" w:sz="4" w:space="0" w:color="auto"/>
            </w:tcBorders>
            <w:shd w:val="clear" w:color="auto" w:fill="FFE599" w:themeFill="accent4" w:themeFillTint="66"/>
            <w:noWrap/>
            <w:vAlign w:val="center"/>
            <w:hideMark/>
          </w:tcPr>
          <w:p w14:paraId="7939FEAC" w14:textId="77777777" w:rsidR="00C54BC9" w:rsidRPr="00164238" w:rsidRDefault="00C54BC9" w:rsidP="00682CBF">
            <w:pPr>
              <w:spacing w:after="0" w:line="240" w:lineRule="auto"/>
              <w:jc w:val="right"/>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-0,19</w:t>
            </w:r>
          </w:p>
        </w:tc>
      </w:tr>
      <w:tr w:rsidR="00164238" w:rsidRPr="00164238" w14:paraId="4DD1195D" w14:textId="77777777" w:rsidTr="00682CBF">
        <w:trPr>
          <w:trHeight w:val="255"/>
          <w:jc w:val="center"/>
        </w:trPr>
        <w:tc>
          <w:tcPr>
            <w:tcW w:w="8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8FC399"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Tüm İmalat Sanayii</w:t>
            </w:r>
          </w:p>
        </w:tc>
        <w:tc>
          <w:tcPr>
            <w:tcW w:w="1020" w:type="dxa"/>
            <w:tcBorders>
              <w:top w:val="single" w:sz="4" w:space="0" w:color="auto"/>
              <w:left w:val="nil"/>
              <w:bottom w:val="single" w:sz="4" w:space="0" w:color="auto"/>
              <w:right w:val="single" w:sz="4" w:space="0" w:color="auto"/>
            </w:tcBorders>
            <w:shd w:val="clear" w:color="auto" w:fill="auto"/>
            <w:noWrap/>
            <w:vAlign w:val="center"/>
          </w:tcPr>
          <w:p w14:paraId="154F9668"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107,30</w:t>
            </w:r>
          </w:p>
        </w:tc>
        <w:tc>
          <w:tcPr>
            <w:tcW w:w="1020" w:type="dxa"/>
            <w:tcBorders>
              <w:top w:val="single" w:sz="4" w:space="0" w:color="auto"/>
              <w:left w:val="nil"/>
              <w:bottom w:val="single" w:sz="4" w:space="0" w:color="auto"/>
              <w:right w:val="single" w:sz="4" w:space="0" w:color="auto"/>
            </w:tcBorders>
            <w:shd w:val="clear" w:color="auto" w:fill="FFE599" w:themeFill="accent4" w:themeFillTint="66"/>
            <w:noWrap/>
            <w:vAlign w:val="center"/>
          </w:tcPr>
          <w:p w14:paraId="2949D4BF"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b/>
                <w:bCs/>
                <w:color w:val="000000" w:themeColor="text1"/>
              </w:rPr>
              <w:t>105,40</w:t>
            </w:r>
          </w:p>
        </w:tc>
        <w:tc>
          <w:tcPr>
            <w:tcW w:w="1020" w:type="dxa"/>
            <w:tcBorders>
              <w:top w:val="single" w:sz="4" w:space="0" w:color="auto"/>
              <w:left w:val="nil"/>
              <w:bottom w:val="single" w:sz="4" w:space="0" w:color="auto"/>
              <w:right w:val="single" w:sz="4" w:space="0" w:color="auto"/>
            </w:tcBorders>
            <w:shd w:val="clear" w:color="auto" w:fill="auto"/>
            <w:noWrap/>
            <w:vAlign w:val="center"/>
          </w:tcPr>
          <w:p w14:paraId="1073695F"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110,90</w:t>
            </w:r>
          </w:p>
        </w:tc>
        <w:tc>
          <w:tcPr>
            <w:tcW w:w="1020" w:type="dxa"/>
            <w:tcBorders>
              <w:top w:val="single" w:sz="4" w:space="0" w:color="auto"/>
              <w:left w:val="nil"/>
              <w:bottom w:val="single" w:sz="4" w:space="0" w:color="auto"/>
              <w:right w:val="single" w:sz="4" w:space="0" w:color="auto"/>
            </w:tcBorders>
            <w:shd w:val="clear" w:color="auto" w:fill="auto"/>
            <w:noWrap/>
            <w:vAlign w:val="center"/>
          </w:tcPr>
          <w:p w14:paraId="369E2E04"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114,90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D581462"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b/>
                <w:bCs/>
                <w:color w:val="000000" w:themeColor="text1"/>
              </w:rPr>
              <w:t>109,63</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712F7FF"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b/>
                <w:bCs/>
                <w:color w:val="000000" w:themeColor="text1"/>
              </w:rPr>
              <w:t>110,21</w:t>
            </w:r>
          </w:p>
        </w:tc>
        <w:tc>
          <w:tcPr>
            <w:tcW w:w="886" w:type="dxa"/>
            <w:tcBorders>
              <w:top w:val="single" w:sz="4" w:space="0" w:color="auto"/>
              <w:left w:val="nil"/>
              <w:bottom w:val="single" w:sz="4" w:space="0" w:color="auto"/>
              <w:right w:val="single" w:sz="4" w:space="0" w:color="auto"/>
            </w:tcBorders>
            <w:shd w:val="clear" w:color="auto" w:fill="FFE599" w:themeFill="accent4" w:themeFillTint="66"/>
            <w:noWrap/>
            <w:vAlign w:val="center"/>
          </w:tcPr>
          <w:p w14:paraId="5DC0F057"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b/>
                <w:bCs/>
                <w:color w:val="000000" w:themeColor="text1"/>
              </w:rPr>
              <w:t>-0,53</w:t>
            </w:r>
          </w:p>
        </w:tc>
      </w:tr>
    </w:tbl>
    <w:p w14:paraId="69C6E3DE" w14:textId="77777777" w:rsidR="00C54BC9" w:rsidRPr="00164238" w:rsidRDefault="00C54BC9" w:rsidP="00C54BC9">
      <w:pPr>
        <w:spacing w:after="0" w:line="240" w:lineRule="auto"/>
        <w:rPr>
          <w:rFonts w:ascii="Times New Roman" w:hAnsi="Times New Roman" w:cs="Times New Roman"/>
          <w:b/>
          <w:bCs/>
          <w:color w:val="000000" w:themeColor="text1"/>
        </w:rPr>
      </w:pPr>
      <w:r w:rsidRPr="00164238">
        <w:rPr>
          <w:rFonts w:ascii="Times New Roman" w:hAnsi="Times New Roman" w:cs="Times New Roman"/>
          <w:b/>
          <w:bCs/>
          <w:color w:val="000000" w:themeColor="text1"/>
        </w:rPr>
        <w:lastRenderedPageBreak/>
        <w:t xml:space="preserve">          Kaynak: </w:t>
      </w:r>
      <w:r w:rsidRPr="00164238">
        <w:rPr>
          <w:rFonts w:ascii="Times New Roman" w:hAnsi="Times New Roman" w:cs="Times New Roman"/>
          <w:color w:val="000000" w:themeColor="text1"/>
        </w:rPr>
        <w:t>TÜİK verileri derlenerek yazar tarafından oluşturulmuştur.</w:t>
      </w:r>
    </w:p>
    <w:p w14:paraId="0E20A8BF" w14:textId="77777777" w:rsidR="00C54BC9" w:rsidRPr="00164238" w:rsidRDefault="00C54BC9" w:rsidP="00C54BC9">
      <w:pPr>
        <w:spacing w:before="120" w:after="120" w:line="360" w:lineRule="auto"/>
        <w:ind w:firstLine="567"/>
        <w:jc w:val="both"/>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İhracat</w:t>
      </w:r>
    </w:p>
    <w:p w14:paraId="15F66CD9" w14:textId="77777777" w:rsidR="00C54BC9" w:rsidRPr="00164238" w:rsidRDefault="00C54BC9" w:rsidP="00C54BC9">
      <w:pPr>
        <w:spacing w:before="120" w:after="120" w:line="360" w:lineRule="auto"/>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Türkiye’nin ihracatında yer alan ilk 10 sektör imalat sanayii içinde yer almaktadır. Türkiye ihracatında yer alan bu ilk 10 ihracatçı sektörün toplam ihracat içindeki payları ortalama 2019 yılında %79, 2020 yılında ise %80’dir. Tablo 4’de Türkiye’nin ihracatında yer alan ilk 10 sektör gösterilmiştir. Buna göre, ihracatçı ilk 10 sektör içinde 2019 yılından 2020 yılına ihracatını arttıran sektörlerin sırasıyla gıda sektörü (+%4.23), kimya sektörü (+%2.98), makine ve teçhizat hariç, fabrikasyon metal ürünleri sektörü (+%1.54) ve kauçuk ve plastik sektörünün (+%0.84) olduğu görülmüştür. İhracatçı ilk 10 sektör içinde ihracatı en çok azalan sektör motor taşıtları sektörü (-%17.3) olmuştur. Ardından giyim sektörü (-%6,92), başka yerde sınıflandırılmamış makine ve teçhizat  (-4,98) ve ana metal sanayii (-2,52) olmuştur. İmalat sektörü ihracatı ise %6.56 azalarak 2019 yılında 171,2 milyar dolardan 160,0 milyar dolara gerilemiştir.</w:t>
      </w:r>
    </w:p>
    <w:p w14:paraId="733D5326" w14:textId="77777777" w:rsidR="00C54BC9" w:rsidRPr="00164238" w:rsidRDefault="00C54BC9" w:rsidP="00C54BC9">
      <w:pPr>
        <w:tabs>
          <w:tab w:val="left" w:pos="1425"/>
        </w:tabs>
        <w:spacing w:after="0" w:line="240" w:lineRule="auto"/>
        <w:rPr>
          <w:rFonts w:ascii="Times New Roman" w:hAnsi="Times New Roman" w:cs="Times New Roman"/>
          <w:b/>
          <w:bCs/>
          <w:color w:val="000000" w:themeColor="text1"/>
        </w:rPr>
      </w:pPr>
      <w:r w:rsidRPr="00164238">
        <w:rPr>
          <w:rFonts w:ascii="Times New Roman" w:hAnsi="Times New Roman" w:cs="Times New Roman"/>
          <w:b/>
          <w:bCs/>
          <w:color w:val="000000" w:themeColor="text1"/>
        </w:rPr>
        <w:t>Tablo 5: Türkiye’nin İhracatında İlk 10 Sektör (2019-2020) (Bin $)</w:t>
      </w:r>
    </w:p>
    <w:tbl>
      <w:tblPr>
        <w:tblW w:w="9219" w:type="dxa"/>
        <w:tblCellMar>
          <w:left w:w="70" w:type="dxa"/>
          <w:right w:w="70" w:type="dxa"/>
        </w:tblCellMar>
        <w:tblLook w:val="04A0" w:firstRow="1" w:lastRow="0" w:firstColumn="1" w:lastColumn="0" w:noHBand="0" w:noVBand="1"/>
      </w:tblPr>
      <w:tblGrid>
        <w:gridCol w:w="363"/>
        <w:gridCol w:w="454"/>
        <w:gridCol w:w="5046"/>
        <w:gridCol w:w="1253"/>
        <w:gridCol w:w="1253"/>
        <w:gridCol w:w="850"/>
      </w:tblGrid>
      <w:tr w:rsidR="00164238" w:rsidRPr="00164238" w14:paraId="6549C7F4" w14:textId="77777777" w:rsidTr="00682CBF">
        <w:trPr>
          <w:trHeight w:val="255"/>
        </w:trPr>
        <w:tc>
          <w:tcPr>
            <w:tcW w:w="3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ABDA95"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p>
        </w:tc>
        <w:tc>
          <w:tcPr>
            <w:tcW w:w="454" w:type="dxa"/>
            <w:tcBorders>
              <w:top w:val="single" w:sz="4" w:space="0" w:color="auto"/>
              <w:left w:val="nil"/>
              <w:bottom w:val="single" w:sz="4" w:space="0" w:color="auto"/>
              <w:right w:val="single" w:sz="4" w:space="0" w:color="auto"/>
            </w:tcBorders>
            <w:shd w:val="clear" w:color="auto" w:fill="auto"/>
            <w:noWrap/>
            <w:vAlign w:val="center"/>
            <w:hideMark/>
          </w:tcPr>
          <w:p w14:paraId="65ED50AE"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p>
        </w:tc>
        <w:tc>
          <w:tcPr>
            <w:tcW w:w="5046" w:type="dxa"/>
            <w:tcBorders>
              <w:top w:val="single" w:sz="4" w:space="0" w:color="auto"/>
              <w:left w:val="nil"/>
              <w:bottom w:val="single" w:sz="4" w:space="0" w:color="auto"/>
              <w:right w:val="single" w:sz="4" w:space="0" w:color="auto"/>
            </w:tcBorders>
            <w:shd w:val="clear" w:color="auto" w:fill="auto"/>
            <w:noWrap/>
            <w:vAlign w:val="center"/>
            <w:hideMark/>
          </w:tcPr>
          <w:p w14:paraId="5C3D1926"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ISIC Rev.4</w:t>
            </w:r>
          </w:p>
        </w:tc>
        <w:tc>
          <w:tcPr>
            <w:tcW w:w="1253" w:type="dxa"/>
            <w:tcBorders>
              <w:top w:val="single" w:sz="4" w:space="0" w:color="auto"/>
              <w:left w:val="nil"/>
              <w:bottom w:val="single" w:sz="4" w:space="0" w:color="auto"/>
              <w:right w:val="single" w:sz="4" w:space="0" w:color="auto"/>
            </w:tcBorders>
            <w:shd w:val="clear" w:color="auto" w:fill="auto"/>
            <w:noWrap/>
            <w:vAlign w:val="center"/>
            <w:hideMark/>
          </w:tcPr>
          <w:p w14:paraId="2EFA9CE6"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2019</w:t>
            </w:r>
          </w:p>
        </w:tc>
        <w:tc>
          <w:tcPr>
            <w:tcW w:w="1253" w:type="dxa"/>
            <w:tcBorders>
              <w:top w:val="single" w:sz="4" w:space="0" w:color="auto"/>
              <w:left w:val="nil"/>
              <w:bottom w:val="single" w:sz="4" w:space="0" w:color="auto"/>
              <w:right w:val="single" w:sz="4" w:space="0" w:color="auto"/>
            </w:tcBorders>
            <w:shd w:val="clear" w:color="auto" w:fill="auto"/>
            <w:noWrap/>
            <w:vAlign w:val="center"/>
            <w:hideMark/>
          </w:tcPr>
          <w:p w14:paraId="5F61F214"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2020</w:t>
            </w:r>
          </w:p>
        </w:tc>
        <w:tc>
          <w:tcPr>
            <w:tcW w:w="85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4B90D0E4"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w:t>
            </w:r>
          </w:p>
          <w:p w14:paraId="0DAA9CB0"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20/19</w:t>
            </w:r>
          </w:p>
        </w:tc>
      </w:tr>
      <w:tr w:rsidR="00164238" w:rsidRPr="00164238" w14:paraId="07099857" w14:textId="77777777" w:rsidTr="00682CBF">
        <w:trPr>
          <w:trHeight w:val="283"/>
        </w:trPr>
        <w:tc>
          <w:tcPr>
            <w:tcW w:w="363" w:type="dxa"/>
            <w:tcBorders>
              <w:top w:val="nil"/>
              <w:left w:val="single" w:sz="4" w:space="0" w:color="auto"/>
              <w:bottom w:val="single" w:sz="4" w:space="0" w:color="auto"/>
              <w:right w:val="single" w:sz="4" w:space="0" w:color="auto"/>
            </w:tcBorders>
            <w:shd w:val="clear" w:color="auto" w:fill="auto"/>
            <w:noWrap/>
            <w:vAlign w:val="center"/>
            <w:hideMark/>
          </w:tcPr>
          <w:p w14:paraId="5A88C86F"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p>
        </w:tc>
        <w:tc>
          <w:tcPr>
            <w:tcW w:w="454" w:type="dxa"/>
            <w:tcBorders>
              <w:top w:val="nil"/>
              <w:left w:val="nil"/>
              <w:bottom w:val="single" w:sz="4" w:space="0" w:color="auto"/>
              <w:right w:val="single" w:sz="4" w:space="0" w:color="auto"/>
            </w:tcBorders>
            <w:shd w:val="clear" w:color="auto" w:fill="auto"/>
            <w:noWrap/>
            <w:vAlign w:val="center"/>
            <w:hideMark/>
          </w:tcPr>
          <w:p w14:paraId="4C7E40A3"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p>
        </w:tc>
        <w:tc>
          <w:tcPr>
            <w:tcW w:w="5046" w:type="dxa"/>
            <w:tcBorders>
              <w:top w:val="nil"/>
              <w:left w:val="nil"/>
              <w:bottom w:val="single" w:sz="4" w:space="0" w:color="auto"/>
              <w:right w:val="single" w:sz="4" w:space="0" w:color="auto"/>
            </w:tcBorders>
            <w:shd w:val="clear" w:color="auto" w:fill="auto"/>
            <w:vAlign w:val="center"/>
            <w:hideMark/>
          </w:tcPr>
          <w:p w14:paraId="22827FCA"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İmalat sanayii</w:t>
            </w:r>
          </w:p>
        </w:tc>
        <w:tc>
          <w:tcPr>
            <w:tcW w:w="1253" w:type="dxa"/>
            <w:tcBorders>
              <w:top w:val="nil"/>
              <w:left w:val="nil"/>
              <w:bottom w:val="single" w:sz="4" w:space="0" w:color="auto"/>
              <w:right w:val="single" w:sz="4" w:space="0" w:color="auto"/>
            </w:tcBorders>
            <w:shd w:val="clear" w:color="auto" w:fill="auto"/>
            <w:noWrap/>
            <w:vAlign w:val="center"/>
            <w:hideMark/>
          </w:tcPr>
          <w:p w14:paraId="036D224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171.218.582</w:t>
            </w:r>
          </w:p>
        </w:tc>
        <w:tc>
          <w:tcPr>
            <w:tcW w:w="1253" w:type="dxa"/>
            <w:tcBorders>
              <w:top w:val="nil"/>
              <w:left w:val="nil"/>
              <w:bottom w:val="single" w:sz="4" w:space="0" w:color="auto"/>
              <w:right w:val="single" w:sz="4" w:space="0" w:color="auto"/>
            </w:tcBorders>
            <w:shd w:val="clear" w:color="auto" w:fill="auto"/>
            <w:noWrap/>
            <w:vAlign w:val="center"/>
            <w:hideMark/>
          </w:tcPr>
          <w:p w14:paraId="0CC9CD7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159.982.412</w:t>
            </w:r>
          </w:p>
        </w:tc>
        <w:tc>
          <w:tcPr>
            <w:tcW w:w="850" w:type="dxa"/>
            <w:tcBorders>
              <w:top w:val="nil"/>
              <w:left w:val="nil"/>
              <w:bottom w:val="single" w:sz="4" w:space="0" w:color="auto"/>
              <w:right w:val="single" w:sz="4" w:space="0" w:color="auto"/>
            </w:tcBorders>
            <w:shd w:val="clear" w:color="auto" w:fill="FFE599" w:themeFill="accent4" w:themeFillTint="66"/>
            <w:noWrap/>
            <w:vAlign w:val="center"/>
            <w:hideMark/>
          </w:tcPr>
          <w:p w14:paraId="34DC6B3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   6,56</w:t>
            </w:r>
          </w:p>
        </w:tc>
      </w:tr>
      <w:tr w:rsidR="00164238" w:rsidRPr="00164238" w14:paraId="4FB57299" w14:textId="77777777" w:rsidTr="00682CBF">
        <w:trPr>
          <w:trHeight w:val="283"/>
        </w:trPr>
        <w:tc>
          <w:tcPr>
            <w:tcW w:w="363" w:type="dxa"/>
            <w:tcBorders>
              <w:top w:val="nil"/>
              <w:left w:val="single" w:sz="4" w:space="0" w:color="auto"/>
              <w:bottom w:val="single" w:sz="4" w:space="0" w:color="auto"/>
              <w:right w:val="single" w:sz="4" w:space="0" w:color="auto"/>
            </w:tcBorders>
            <w:shd w:val="clear" w:color="auto" w:fill="auto"/>
            <w:noWrap/>
            <w:vAlign w:val="center"/>
            <w:hideMark/>
          </w:tcPr>
          <w:p w14:paraId="1625EB0B"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w:t>
            </w:r>
          </w:p>
        </w:tc>
        <w:tc>
          <w:tcPr>
            <w:tcW w:w="454" w:type="dxa"/>
            <w:tcBorders>
              <w:top w:val="nil"/>
              <w:left w:val="nil"/>
              <w:bottom w:val="single" w:sz="4" w:space="0" w:color="auto"/>
              <w:right w:val="single" w:sz="4" w:space="0" w:color="auto"/>
            </w:tcBorders>
            <w:shd w:val="clear" w:color="auto" w:fill="auto"/>
            <w:noWrap/>
            <w:vAlign w:val="center"/>
            <w:hideMark/>
          </w:tcPr>
          <w:p w14:paraId="47B6C9A1"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29</w:t>
            </w:r>
          </w:p>
        </w:tc>
        <w:tc>
          <w:tcPr>
            <w:tcW w:w="5046" w:type="dxa"/>
            <w:tcBorders>
              <w:top w:val="nil"/>
              <w:left w:val="nil"/>
              <w:bottom w:val="single" w:sz="4" w:space="0" w:color="auto"/>
              <w:right w:val="single" w:sz="4" w:space="0" w:color="auto"/>
            </w:tcBorders>
            <w:shd w:val="clear" w:color="auto" w:fill="auto"/>
            <w:vAlign w:val="center"/>
            <w:hideMark/>
          </w:tcPr>
          <w:p w14:paraId="4A620E03"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Motorlu kara taşıtı, treyler (römork) ve yarı treyler (yarı römork) imalatı</w:t>
            </w:r>
          </w:p>
        </w:tc>
        <w:tc>
          <w:tcPr>
            <w:tcW w:w="1253" w:type="dxa"/>
            <w:tcBorders>
              <w:top w:val="nil"/>
              <w:left w:val="nil"/>
              <w:bottom w:val="single" w:sz="4" w:space="0" w:color="auto"/>
              <w:right w:val="single" w:sz="4" w:space="0" w:color="auto"/>
            </w:tcBorders>
            <w:shd w:val="clear" w:color="auto" w:fill="auto"/>
            <w:noWrap/>
            <w:vAlign w:val="center"/>
            <w:hideMark/>
          </w:tcPr>
          <w:p w14:paraId="2EC071D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28.655.915</w:t>
            </w:r>
          </w:p>
        </w:tc>
        <w:tc>
          <w:tcPr>
            <w:tcW w:w="1253" w:type="dxa"/>
            <w:tcBorders>
              <w:top w:val="nil"/>
              <w:left w:val="nil"/>
              <w:bottom w:val="single" w:sz="4" w:space="0" w:color="auto"/>
              <w:right w:val="single" w:sz="4" w:space="0" w:color="auto"/>
            </w:tcBorders>
            <w:shd w:val="clear" w:color="auto" w:fill="auto"/>
            <w:noWrap/>
            <w:vAlign w:val="center"/>
            <w:hideMark/>
          </w:tcPr>
          <w:p w14:paraId="27DC1C6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23.698.333</w:t>
            </w:r>
          </w:p>
        </w:tc>
        <w:tc>
          <w:tcPr>
            <w:tcW w:w="850" w:type="dxa"/>
            <w:tcBorders>
              <w:top w:val="nil"/>
              <w:left w:val="nil"/>
              <w:bottom w:val="single" w:sz="4" w:space="0" w:color="auto"/>
              <w:right w:val="single" w:sz="4" w:space="0" w:color="auto"/>
            </w:tcBorders>
            <w:shd w:val="clear" w:color="auto" w:fill="FFE599" w:themeFill="accent4" w:themeFillTint="66"/>
            <w:noWrap/>
            <w:vAlign w:val="center"/>
            <w:hideMark/>
          </w:tcPr>
          <w:p w14:paraId="423A3FF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  17,30</w:t>
            </w:r>
          </w:p>
        </w:tc>
      </w:tr>
      <w:tr w:rsidR="00164238" w:rsidRPr="00164238" w14:paraId="0651AFEB" w14:textId="77777777" w:rsidTr="00682CBF">
        <w:trPr>
          <w:trHeight w:val="283"/>
        </w:trPr>
        <w:tc>
          <w:tcPr>
            <w:tcW w:w="363" w:type="dxa"/>
            <w:tcBorders>
              <w:top w:val="nil"/>
              <w:left w:val="single" w:sz="4" w:space="0" w:color="auto"/>
              <w:bottom w:val="single" w:sz="4" w:space="0" w:color="auto"/>
              <w:right w:val="single" w:sz="4" w:space="0" w:color="auto"/>
            </w:tcBorders>
            <w:shd w:val="clear" w:color="auto" w:fill="auto"/>
            <w:noWrap/>
            <w:vAlign w:val="center"/>
            <w:hideMark/>
          </w:tcPr>
          <w:p w14:paraId="7EFA3F6E"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w:t>
            </w:r>
          </w:p>
        </w:tc>
        <w:tc>
          <w:tcPr>
            <w:tcW w:w="454" w:type="dxa"/>
            <w:tcBorders>
              <w:top w:val="nil"/>
              <w:left w:val="nil"/>
              <w:bottom w:val="single" w:sz="4" w:space="0" w:color="auto"/>
              <w:right w:val="single" w:sz="4" w:space="0" w:color="auto"/>
            </w:tcBorders>
            <w:shd w:val="clear" w:color="auto" w:fill="auto"/>
            <w:noWrap/>
            <w:vAlign w:val="center"/>
            <w:hideMark/>
          </w:tcPr>
          <w:p w14:paraId="616055B8"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24</w:t>
            </w:r>
          </w:p>
        </w:tc>
        <w:tc>
          <w:tcPr>
            <w:tcW w:w="5046" w:type="dxa"/>
            <w:tcBorders>
              <w:top w:val="nil"/>
              <w:left w:val="nil"/>
              <w:bottom w:val="single" w:sz="4" w:space="0" w:color="auto"/>
              <w:right w:val="single" w:sz="4" w:space="0" w:color="auto"/>
            </w:tcBorders>
            <w:shd w:val="clear" w:color="auto" w:fill="auto"/>
            <w:vAlign w:val="center"/>
            <w:hideMark/>
          </w:tcPr>
          <w:p w14:paraId="47C5704D"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Ana metal sanayii</w:t>
            </w:r>
          </w:p>
        </w:tc>
        <w:tc>
          <w:tcPr>
            <w:tcW w:w="1253" w:type="dxa"/>
            <w:tcBorders>
              <w:top w:val="nil"/>
              <w:left w:val="nil"/>
              <w:bottom w:val="single" w:sz="4" w:space="0" w:color="auto"/>
              <w:right w:val="single" w:sz="4" w:space="0" w:color="auto"/>
            </w:tcBorders>
            <w:shd w:val="clear" w:color="auto" w:fill="auto"/>
            <w:noWrap/>
            <w:vAlign w:val="center"/>
            <w:hideMark/>
          </w:tcPr>
          <w:p w14:paraId="7C72087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16.892.668</w:t>
            </w:r>
          </w:p>
        </w:tc>
        <w:tc>
          <w:tcPr>
            <w:tcW w:w="1253" w:type="dxa"/>
            <w:tcBorders>
              <w:top w:val="nil"/>
              <w:left w:val="nil"/>
              <w:bottom w:val="single" w:sz="4" w:space="0" w:color="auto"/>
              <w:right w:val="single" w:sz="4" w:space="0" w:color="auto"/>
            </w:tcBorders>
            <w:shd w:val="clear" w:color="auto" w:fill="auto"/>
            <w:noWrap/>
            <w:vAlign w:val="center"/>
            <w:hideMark/>
          </w:tcPr>
          <w:p w14:paraId="3DBCD7C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16.467.591</w:t>
            </w:r>
          </w:p>
        </w:tc>
        <w:tc>
          <w:tcPr>
            <w:tcW w:w="850" w:type="dxa"/>
            <w:tcBorders>
              <w:top w:val="nil"/>
              <w:left w:val="nil"/>
              <w:bottom w:val="single" w:sz="4" w:space="0" w:color="auto"/>
              <w:right w:val="single" w:sz="4" w:space="0" w:color="auto"/>
            </w:tcBorders>
            <w:shd w:val="clear" w:color="auto" w:fill="FFE599" w:themeFill="accent4" w:themeFillTint="66"/>
            <w:noWrap/>
            <w:vAlign w:val="center"/>
            <w:hideMark/>
          </w:tcPr>
          <w:p w14:paraId="10AE35C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   2,52</w:t>
            </w:r>
          </w:p>
        </w:tc>
      </w:tr>
      <w:tr w:rsidR="00164238" w:rsidRPr="00164238" w14:paraId="0E64DAFD" w14:textId="77777777" w:rsidTr="00682CBF">
        <w:trPr>
          <w:trHeight w:val="283"/>
        </w:trPr>
        <w:tc>
          <w:tcPr>
            <w:tcW w:w="363" w:type="dxa"/>
            <w:tcBorders>
              <w:top w:val="nil"/>
              <w:left w:val="single" w:sz="4" w:space="0" w:color="auto"/>
              <w:bottom w:val="single" w:sz="4" w:space="0" w:color="auto"/>
              <w:right w:val="single" w:sz="4" w:space="0" w:color="auto"/>
            </w:tcBorders>
            <w:shd w:val="clear" w:color="auto" w:fill="auto"/>
            <w:noWrap/>
            <w:vAlign w:val="center"/>
            <w:hideMark/>
          </w:tcPr>
          <w:p w14:paraId="06D68CB0"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3</w:t>
            </w:r>
          </w:p>
        </w:tc>
        <w:tc>
          <w:tcPr>
            <w:tcW w:w="454" w:type="dxa"/>
            <w:tcBorders>
              <w:top w:val="nil"/>
              <w:left w:val="nil"/>
              <w:bottom w:val="single" w:sz="4" w:space="0" w:color="auto"/>
              <w:right w:val="single" w:sz="4" w:space="0" w:color="auto"/>
            </w:tcBorders>
            <w:shd w:val="clear" w:color="auto" w:fill="auto"/>
            <w:noWrap/>
            <w:vAlign w:val="center"/>
            <w:hideMark/>
          </w:tcPr>
          <w:p w14:paraId="6FDFE5E5"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14</w:t>
            </w:r>
          </w:p>
        </w:tc>
        <w:tc>
          <w:tcPr>
            <w:tcW w:w="5046" w:type="dxa"/>
            <w:tcBorders>
              <w:top w:val="nil"/>
              <w:left w:val="nil"/>
              <w:bottom w:val="single" w:sz="4" w:space="0" w:color="auto"/>
              <w:right w:val="single" w:sz="4" w:space="0" w:color="auto"/>
            </w:tcBorders>
            <w:shd w:val="clear" w:color="auto" w:fill="auto"/>
            <w:vAlign w:val="center"/>
            <w:hideMark/>
          </w:tcPr>
          <w:p w14:paraId="7B83779A"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Giyim eşyalarının imalatı</w:t>
            </w:r>
          </w:p>
        </w:tc>
        <w:tc>
          <w:tcPr>
            <w:tcW w:w="1253" w:type="dxa"/>
            <w:tcBorders>
              <w:top w:val="nil"/>
              <w:left w:val="nil"/>
              <w:bottom w:val="single" w:sz="4" w:space="0" w:color="auto"/>
              <w:right w:val="single" w:sz="4" w:space="0" w:color="auto"/>
            </w:tcBorders>
            <w:shd w:val="clear" w:color="auto" w:fill="auto"/>
            <w:noWrap/>
            <w:vAlign w:val="center"/>
            <w:hideMark/>
          </w:tcPr>
          <w:p w14:paraId="7D90410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16.353.673</w:t>
            </w:r>
          </w:p>
        </w:tc>
        <w:tc>
          <w:tcPr>
            <w:tcW w:w="1253" w:type="dxa"/>
            <w:tcBorders>
              <w:top w:val="nil"/>
              <w:left w:val="nil"/>
              <w:bottom w:val="single" w:sz="4" w:space="0" w:color="auto"/>
              <w:right w:val="single" w:sz="4" w:space="0" w:color="auto"/>
            </w:tcBorders>
            <w:shd w:val="clear" w:color="auto" w:fill="auto"/>
            <w:noWrap/>
            <w:vAlign w:val="center"/>
            <w:hideMark/>
          </w:tcPr>
          <w:p w14:paraId="221CCED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15.221.491</w:t>
            </w:r>
          </w:p>
        </w:tc>
        <w:tc>
          <w:tcPr>
            <w:tcW w:w="850" w:type="dxa"/>
            <w:tcBorders>
              <w:top w:val="nil"/>
              <w:left w:val="nil"/>
              <w:bottom w:val="single" w:sz="4" w:space="0" w:color="auto"/>
              <w:right w:val="single" w:sz="4" w:space="0" w:color="auto"/>
            </w:tcBorders>
            <w:shd w:val="clear" w:color="auto" w:fill="FFE599" w:themeFill="accent4" w:themeFillTint="66"/>
            <w:noWrap/>
            <w:vAlign w:val="center"/>
            <w:hideMark/>
          </w:tcPr>
          <w:p w14:paraId="4638DC3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   6,92</w:t>
            </w:r>
          </w:p>
        </w:tc>
      </w:tr>
      <w:tr w:rsidR="00164238" w:rsidRPr="00164238" w14:paraId="767AA0D6" w14:textId="77777777" w:rsidTr="00682CBF">
        <w:trPr>
          <w:trHeight w:val="283"/>
        </w:trPr>
        <w:tc>
          <w:tcPr>
            <w:tcW w:w="363" w:type="dxa"/>
            <w:tcBorders>
              <w:top w:val="nil"/>
              <w:left w:val="single" w:sz="4" w:space="0" w:color="auto"/>
              <w:bottom w:val="single" w:sz="4" w:space="0" w:color="auto"/>
              <w:right w:val="single" w:sz="4" w:space="0" w:color="auto"/>
            </w:tcBorders>
            <w:shd w:val="clear" w:color="auto" w:fill="auto"/>
            <w:noWrap/>
            <w:vAlign w:val="center"/>
            <w:hideMark/>
          </w:tcPr>
          <w:p w14:paraId="4E31C771"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4</w:t>
            </w:r>
          </w:p>
        </w:tc>
        <w:tc>
          <w:tcPr>
            <w:tcW w:w="454" w:type="dxa"/>
            <w:tcBorders>
              <w:top w:val="nil"/>
              <w:left w:val="nil"/>
              <w:bottom w:val="single" w:sz="4" w:space="0" w:color="auto"/>
              <w:right w:val="single" w:sz="4" w:space="0" w:color="auto"/>
            </w:tcBorders>
            <w:shd w:val="clear" w:color="auto" w:fill="auto"/>
            <w:noWrap/>
            <w:vAlign w:val="center"/>
            <w:hideMark/>
          </w:tcPr>
          <w:p w14:paraId="66BD2858"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10</w:t>
            </w:r>
          </w:p>
        </w:tc>
        <w:tc>
          <w:tcPr>
            <w:tcW w:w="5046" w:type="dxa"/>
            <w:tcBorders>
              <w:top w:val="nil"/>
              <w:left w:val="nil"/>
              <w:bottom w:val="single" w:sz="4" w:space="0" w:color="auto"/>
              <w:right w:val="single" w:sz="4" w:space="0" w:color="auto"/>
            </w:tcBorders>
            <w:shd w:val="clear" w:color="auto" w:fill="auto"/>
            <w:vAlign w:val="center"/>
            <w:hideMark/>
          </w:tcPr>
          <w:p w14:paraId="01C1A033"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Gıda ürünlerinin imalatı</w:t>
            </w:r>
          </w:p>
        </w:tc>
        <w:tc>
          <w:tcPr>
            <w:tcW w:w="1253" w:type="dxa"/>
            <w:tcBorders>
              <w:top w:val="nil"/>
              <w:left w:val="nil"/>
              <w:bottom w:val="single" w:sz="4" w:space="0" w:color="auto"/>
              <w:right w:val="single" w:sz="4" w:space="0" w:color="auto"/>
            </w:tcBorders>
            <w:shd w:val="clear" w:color="auto" w:fill="auto"/>
            <w:noWrap/>
            <w:vAlign w:val="center"/>
            <w:hideMark/>
          </w:tcPr>
          <w:p w14:paraId="7C2B6B0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13.436.543</w:t>
            </w:r>
          </w:p>
        </w:tc>
        <w:tc>
          <w:tcPr>
            <w:tcW w:w="1253" w:type="dxa"/>
            <w:tcBorders>
              <w:top w:val="nil"/>
              <w:left w:val="nil"/>
              <w:bottom w:val="single" w:sz="4" w:space="0" w:color="auto"/>
              <w:right w:val="single" w:sz="4" w:space="0" w:color="auto"/>
            </w:tcBorders>
            <w:shd w:val="clear" w:color="auto" w:fill="auto"/>
            <w:noWrap/>
            <w:vAlign w:val="center"/>
            <w:hideMark/>
          </w:tcPr>
          <w:p w14:paraId="28B6466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14.004.321</w:t>
            </w:r>
          </w:p>
        </w:tc>
        <w:tc>
          <w:tcPr>
            <w:tcW w:w="850" w:type="dxa"/>
            <w:tcBorders>
              <w:top w:val="nil"/>
              <w:left w:val="nil"/>
              <w:bottom w:val="single" w:sz="4" w:space="0" w:color="auto"/>
              <w:right w:val="single" w:sz="4" w:space="0" w:color="auto"/>
            </w:tcBorders>
            <w:shd w:val="clear" w:color="auto" w:fill="FFF2CC" w:themeFill="accent4" w:themeFillTint="33"/>
            <w:noWrap/>
            <w:vAlign w:val="center"/>
            <w:hideMark/>
          </w:tcPr>
          <w:p w14:paraId="73B80A9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4,23</w:t>
            </w:r>
          </w:p>
        </w:tc>
      </w:tr>
      <w:tr w:rsidR="00164238" w:rsidRPr="00164238" w14:paraId="7D3CA754" w14:textId="77777777" w:rsidTr="00682CBF">
        <w:trPr>
          <w:trHeight w:val="283"/>
        </w:trPr>
        <w:tc>
          <w:tcPr>
            <w:tcW w:w="363" w:type="dxa"/>
            <w:tcBorders>
              <w:top w:val="nil"/>
              <w:left w:val="single" w:sz="4" w:space="0" w:color="auto"/>
              <w:bottom w:val="single" w:sz="4" w:space="0" w:color="auto"/>
              <w:right w:val="single" w:sz="4" w:space="0" w:color="auto"/>
            </w:tcBorders>
            <w:shd w:val="clear" w:color="auto" w:fill="auto"/>
            <w:noWrap/>
            <w:vAlign w:val="center"/>
            <w:hideMark/>
          </w:tcPr>
          <w:p w14:paraId="59792043"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5</w:t>
            </w:r>
          </w:p>
        </w:tc>
        <w:tc>
          <w:tcPr>
            <w:tcW w:w="454" w:type="dxa"/>
            <w:tcBorders>
              <w:top w:val="nil"/>
              <w:left w:val="nil"/>
              <w:bottom w:val="single" w:sz="4" w:space="0" w:color="auto"/>
              <w:right w:val="single" w:sz="4" w:space="0" w:color="auto"/>
            </w:tcBorders>
            <w:shd w:val="clear" w:color="auto" w:fill="auto"/>
            <w:noWrap/>
            <w:vAlign w:val="center"/>
            <w:hideMark/>
          </w:tcPr>
          <w:p w14:paraId="16D7812F"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13</w:t>
            </w:r>
          </w:p>
        </w:tc>
        <w:tc>
          <w:tcPr>
            <w:tcW w:w="5046" w:type="dxa"/>
            <w:tcBorders>
              <w:top w:val="nil"/>
              <w:left w:val="nil"/>
              <w:bottom w:val="single" w:sz="4" w:space="0" w:color="auto"/>
              <w:right w:val="single" w:sz="4" w:space="0" w:color="auto"/>
            </w:tcBorders>
            <w:shd w:val="clear" w:color="auto" w:fill="auto"/>
            <w:vAlign w:val="center"/>
            <w:hideMark/>
          </w:tcPr>
          <w:p w14:paraId="6483AF8E"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Tekstil ürünlerinin imalatı</w:t>
            </w:r>
          </w:p>
        </w:tc>
        <w:tc>
          <w:tcPr>
            <w:tcW w:w="1253" w:type="dxa"/>
            <w:tcBorders>
              <w:top w:val="nil"/>
              <w:left w:val="nil"/>
              <w:bottom w:val="single" w:sz="4" w:space="0" w:color="auto"/>
              <w:right w:val="single" w:sz="4" w:space="0" w:color="auto"/>
            </w:tcBorders>
            <w:shd w:val="clear" w:color="auto" w:fill="auto"/>
            <w:noWrap/>
            <w:vAlign w:val="center"/>
            <w:hideMark/>
          </w:tcPr>
          <w:p w14:paraId="2AF2BF5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11.505.824</w:t>
            </w:r>
          </w:p>
        </w:tc>
        <w:tc>
          <w:tcPr>
            <w:tcW w:w="1253" w:type="dxa"/>
            <w:tcBorders>
              <w:top w:val="nil"/>
              <w:left w:val="nil"/>
              <w:bottom w:val="single" w:sz="4" w:space="0" w:color="auto"/>
              <w:right w:val="single" w:sz="4" w:space="0" w:color="auto"/>
            </w:tcBorders>
            <w:shd w:val="clear" w:color="auto" w:fill="auto"/>
            <w:noWrap/>
            <w:vAlign w:val="center"/>
            <w:hideMark/>
          </w:tcPr>
          <w:p w14:paraId="3DA4386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11.486.673</w:t>
            </w:r>
          </w:p>
        </w:tc>
        <w:tc>
          <w:tcPr>
            <w:tcW w:w="850" w:type="dxa"/>
            <w:tcBorders>
              <w:top w:val="nil"/>
              <w:left w:val="nil"/>
              <w:bottom w:val="single" w:sz="4" w:space="0" w:color="auto"/>
              <w:right w:val="single" w:sz="4" w:space="0" w:color="auto"/>
            </w:tcBorders>
            <w:shd w:val="clear" w:color="auto" w:fill="FFE599" w:themeFill="accent4" w:themeFillTint="66"/>
            <w:noWrap/>
            <w:vAlign w:val="center"/>
            <w:hideMark/>
          </w:tcPr>
          <w:p w14:paraId="6014137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   0,17</w:t>
            </w:r>
          </w:p>
        </w:tc>
      </w:tr>
      <w:tr w:rsidR="00164238" w:rsidRPr="00164238" w14:paraId="0AD9C85A" w14:textId="77777777" w:rsidTr="00682CBF">
        <w:trPr>
          <w:trHeight w:val="283"/>
        </w:trPr>
        <w:tc>
          <w:tcPr>
            <w:tcW w:w="363" w:type="dxa"/>
            <w:tcBorders>
              <w:top w:val="nil"/>
              <w:left w:val="single" w:sz="4" w:space="0" w:color="auto"/>
              <w:bottom w:val="single" w:sz="4" w:space="0" w:color="auto"/>
              <w:right w:val="single" w:sz="4" w:space="0" w:color="auto"/>
            </w:tcBorders>
            <w:shd w:val="clear" w:color="auto" w:fill="auto"/>
            <w:noWrap/>
            <w:vAlign w:val="center"/>
            <w:hideMark/>
          </w:tcPr>
          <w:p w14:paraId="1AEC4A90"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6</w:t>
            </w:r>
          </w:p>
        </w:tc>
        <w:tc>
          <w:tcPr>
            <w:tcW w:w="454" w:type="dxa"/>
            <w:tcBorders>
              <w:top w:val="nil"/>
              <w:left w:val="nil"/>
              <w:bottom w:val="single" w:sz="4" w:space="0" w:color="auto"/>
              <w:right w:val="single" w:sz="4" w:space="0" w:color="auto"/>
            </w:tcBorders>
            <w:shd w:val="clear" w:color="auto" w:fill="auto"/>
            <w:noWrap/>
            <w:vAlign w:val="center"/>
            <w:hideMark/>
          </w:tcPr>
          <w:p w14:paraId="75F53254"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27</w:t>
            </w:r>
          </w:p>
        </w:tc>
        <w:tc>
          <w:tcPr>
            <w:tcW w:w="5046" w:type="dxa"/>
            <w:tcBorders>
              <w:top w:val="nil"/>
              <w:left w:val="nil"/>
              <w:bottom w:val="single" w:sz="4" w:space="0" w:color="auto"/>
              <w:right w:val="single" w:sz="4" w:space="0" w:color="auto"/>
            </w:tcBorders>
            <w:shd w:val="clear" w:color="auto" w:fill="auto"/>
            <w:vAlign w:val="center"/>
            <w:hideMark/>
          </w:tcPr>
          <w:p w14:paraId="5A98AD4F"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Elektrikli teçhizat imalatı</w:t>
            </w:r>
          </w:p>
        </w:tc>
        <w:tc>
          <w:tcPr>
            <w:tcW w:w="1253" w:type="dxa"/>
            <w:tcBorders>
              <w:top w:val="nil"/>
              <w:left w:val="nil"/>
              <w:bottom w:val="single" w:sz="4" w:space="0" w:color="auto"/>
              <w:right w:val="single" w:sz="4" w:space="0" w:color="auto"/>
            </w:tcBorders>
            <w:shd w:val="clear" w:color="auto" w:fill="auto"/>
            <w:noWrap/>
            <w:vAlign w:val="center"/>
            <w:hideMark/>
          </w:tcPr>
          <w:p w14:paraId="2E3DA60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11.304.696</w:t>
            </w:r>
          </w:p>
        </w:tc>
        <w:tc>
          <w:tcPr>
            <w:tcW w:w="1253" w:type="dxa"/>
            <w:tcBorders>
              <w:top w:val="nil"/>
              <w:left w:val="nil"/>
              <w:bottom w:val="single" w:sz="4" w:space="0" w:color="auto"/>
              <w:right w:val="single" w:sz="4" w:space="0" w:color="auto"/>
            </w:tcBorders>
            <w:shd w:val="clear" w:color="auto" w:fill="auto"/>
            <w:noWrap/>
            <w:vAlign w:val="center"/>
            <w:hideMark/>
          </w:tcPr>
          <w:p w14:paraId="0E1693A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11.295.232</w:t>
            </w:r>
          </w:p>
        </w:tc>
        <w:tc>
          <w:tcPr>
            <w:tcW w:w="850" w:type="dxa"/>
            <w:tcBorders>
              <w:top w:val="nil"/>
              <w:left w:val="nil"/>
              <w:bottom w:val="single" w:sz="4" w:space="0" w:color="auto"/>
              <w:right w:val="single" w:sz="4" w:space="0" w:color="auto"/>
            </w:tcBorders>
            <w:shd w:val="clear" w:color="auto" w:fill="FFE599" w:themeFill="accent4" w:themeFillTint="66"/>
            <w:noWrap/>
            <w:vAlign w:val="center"/>
            <w:hideMark/>
          </w:tcPr>
          <w:p w14:paraId="132B9AA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   0,08</w:t>
            </w:r>
          </w:p>
        </w:tc>
      </w:tr>
      <w:tr w:rsidR="00164238" w:rsidRPr="00164238" w14:paraId="3D99B0A5" w14:textId="77777777" w:rsidTr="00682CBF">
        <w:trPr>
          <w:trHeight w:val="283"/>
        </w:trPr>
        <w:tc>
          <w:tcPr>
            <w:tcW w:w="363" w:type="dxa"/>
            <w:tcBorders>
              <w:top w:val="nil"/>
              <w:left w:val="single" w:sz="4" w:space="0" w:color="auto"/>
              <w:bottom w:val="single" w:sz="4" w:space="0" w:color="auto"/>
              <w:right w:val="single" w:sz="4" w:space="0" w:color="auto"/>
            </w:tcBorders>
            <w:shd w:val="clear" w:color="auto" w:fill="auto"/>
            <w:noWrap/>
            <w:vAlign w:val="center"/>
            <w:hideMark/>
          </w:tcPr>
          <w:p w14:paraId="5FE7CE94"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7</w:t>
            </w:r>
          </w:p>
        </w:tc>
        <w:tc>
          <w:tcPr>
            <w:tcW w:w="454" w:type="dxa"/>
            <w:tcBorders>
              <w:top w:val="nil"/>
              <w:left w:val="nil"/>
              <w:bottom w:val="single" w:sz="4" w:space="0" w:color="auto"/>
              <w:right w:val="single" w:sz="4" w:space="0" w:color="auto"/>
            </w:tcBorders>
            <w:shd w:val="clear" w:color="auto" w:fill="auto"/>
            <w:noWrap/>
            <w:vAlign w:val="center"/>
            <w:hideMark/>
          </w:tcPr>
          <w:p w14:paraId="5AECF235"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28</w:t>
            </w:r>
          </w:p>
        </w:tc>
        <w:tc>
          <w:tcPr>
            <w:tcW w:w="5046" w:type="dxa"/>
            <w:tcBorders>
              <w:top w:val="nil"/>
              <w:left w:val="nil"/>
              <w:bottom w:val="single" w:sz="4" w:space="0" w:color="auto"/>
              <w:right w:val="single" w:sz="4" w:space="0" w:color="auto"/>
            </w:tcBorders>
            <w:shd w:val="clear" w:color="auto" w:fill="auto"/>
            <w:vAlign w:val="center"/>
            <w:hideMark/>
          </w:tcPr>
          <w:p w14:paraId="4F14D16A"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Başka yerde sınıflandırılmamış makine ve teçhizat imalatı</w:t>
            </w:r>
          </w:p>
        </w:tc>
        <w:tc>
          <w:tcPr>
            <w:tcW w:w="1253" w:type="dxa"/>
            <w:tcBorders>
              <w:top w:val="nil"/>
              <w:left w:val="nil"/>
              <w:bottom w:val="single" w:sz="4" w:space="0" w:color="auto"/>
              <w:right w:val="single" w:sz="4" w:space="0" w:color="auto"/>
            </w:tcBorders>
            <w:shd w:val="clear" w:color="auto" w:fill="auto"/>
            <w:noWrap/>
            <w:vAlign w:val="center"/>
            <w:hideMark/>
          </w:tcPr>
          <w:p w14:paraId="6CB2BA8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11.155.544</w:t>
            </w:r>
          </w:p>
        </w:tc>
        <w:tc>
          <w:tcPr>
            <w:tcW w:w="1253" w:type="dxa"/>
            <w:tcBorders>
              <w:top w:val="nil"/>
              <w:left w:val="nil"/>
              <w:bottom w:val="single" w:sz="4" w:space="0" w:color="auto"/>
              <w:right w:val="single" w:sz="4" w:space="0" w:color="auto"/>
            </w:tcBorders>
            <w:shd w:val="clear" w:color="auto" w:fill="auto"/>
            <w:noWrap/>
            <w:vAlign w:val="center"/>
            <w:hideMark/>
          </w:tcPr>
          <w:p w14:paraId="1FA9CF6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10.599.888</w:t>
            </w:r>
          </w:p>
        </w:tc>
        <w:tc>
          <w:tcPr>
            <w:tcW w:w="850" w:type="dxa"/>
            <w:tcBorders>
              <w:top w:val="nil"/>
              <w:left w:val="nil"/>
              <w:bottom w:val="single" w:sz="4" w:space="0" w:color="auto"/>
              <w:right w:val="single" w:sz="4" w:space="0" w:color="auto"/>
            </w:tcBorders>
            <w:shd w:val="clear" w:color="auto" w:fill="FFE599" w:themeFill="accent4" w:themeFillTint="66"/>
            <w:noWrap/>
            <w:vAlign w:val="center"/>
            <w:hideMark/>
          </w:tcPr>
          <w:p w14:paraId="5085F1C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   4,98</w:t>
            </w:r>
          </w:p>
        </w:tc>
      </w:tr>
      <w:tr w:rsidR="00164238" w:rsidRPr="00164238" w14:paraId="3A5A937A" w14:textId="77777777" w:rsidTr="00682CBF">
        <w:trPr>
          <w:trHeight w:val="283"/>
        </w:trPr>
        <w:tc>
          <w:tcPr>
            <w:tcW w:w="363" w:type="dxa"/>
            <w:tcBorders>
              <w:top w:val="nil"/>
              <w:left w:val="single" w:sz="4" w:space="0" w:color="auto"/>
              <w:bottom w:val="single" w:sz="4" w:space="0" w:color="auto"/>
              <w:right w:val="single" w:sz="4" w:space="0" w:color="auto"/>
            </w:tcBorders>
            <w:shd w:val="clear" w:color="auto" w:fill="auto"/>
            <w:noWrap/>
            <w:vAlign w:val="center"/>
            <w:hideMark/>
          </w:tcPr>
          <w:p w14:paraId="4C1A70C0"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8</w:t>
            </w:r>
          </w:p>
        </w:tc>
        <w:tc>
          <w:tcPr>
            <w:tcW w:w="454" w:type="dxa"/>
            <w:tcBorders>
              <w:top w:val="nil"/>
              <w:left w:val="nil"/>
              <w:bottom w:val="single" w:sz="4" w:space="0" w:color="auto"/>
              <w:right w:val="single" w:sz="4" w:space="0" w:color="auto"/>
            </w:tcBorders>
            <w:shd w:val="clear" w:color="auto" w:fill="auto"/>
            <w:noWrap/>
            <w:vAlign w:val="center"/>
            <w:hideMark/>
          </w:tcPr>
          <w:p w14:paraId="2D64422E"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20</w:t>
            </w:r>
          </w:p>
        </w:tc>
        <w:tc>
          <w:tcPr>
            <w:tcW w:w="5046" w:type="dxa"/>
            <w:tcBorders>
              <w:top w:val="nil"/>
              <w:left w:val="nil"/>
              <w:bottom w:val="single" w:sz="4" w:space="0" w:color="auto"/>
              <w:right w:val="single" w:sz="4" w:space="0" w:color="auto"/>
            </w:tcBorders>
            <w:shd w:val="clear" w:color="auto" w:fill="auto"/>
            <w:vAlign w:val="center"/>
            <w:hideMark/>
          </w:tcPr>
          <w:p w14:paraId="7A4B9CAC"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Kimyasalların ve kimyasal ürünlerin imalatı</w:t>
            </w:r>
          </w:p>
        </w:tc>
        <w:tc>
          <w:tcPr>
            <w:tcW w:w="1253" w:type="dxa"/>
            <w:tcBorders>
              <w:top w:val="nil"/>
              <w:left w:val="nil"/>
              <w:bottom w:val="single" w:sz="4" w:space="0" w:color="auto"/>
              <w:right w:val="single" w:sz="4" w:space="0" w:color="auto"/>
            </w:tcBorders>
            <w:shd w:val="clear" w:color="auto" w:fill="auto"/>
            <w:noWrap/>
            <w:vAlign w:val="center"/>
            <w:hideMark/>
          </w:tcPr>
          <w:p w14:paraId="41C67B0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9.420.531</w:t>
            </w:r>
          </w:p>
        </w:tc>
        <w:tc>
          <w:tcPr>
            <w:tcW w:w="1253" w:type="dxa"/>
            <w:tcBorders>
              <w:top w:val="nil"/>
              <w:left w:val="nil"/>
              <w:bottom w:val="single" w:sz="4" w:space="0" w:color="auto"/>
              <w:right w:val="single" w:sz="4" w:space="0" w:color="auto"/>
            </w:tcBorders>
            <w:shd w:val="clear" w:color="auto" w:fill="auto"/>
            <w:noWrap/>
            <w:vAlign w:val="center"/>
            <w:hideMark/>
          </w:tcPr>
          <w:p w14:paraId="7669AD6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9.701.102</w:t>
            </w:r>
          </w:p>
        </w:tc>
        <w:tc>
          <w:tcPr>
            <w:tcW w:w="850" w:type="dxa"/>
            <w:tcBorders>
              <w:top w:val="nil"/>
              <w:left w:val="nil"/>
              <w:bottom w:val="single" w:sz="4" w:space="0" w:color="auto"/>
              <w:right w:val="single" w:sz="4" w:space="0" w:color="auto"/>
            </w:tcBorders>
            <w:shd w:val="clear" w:color="auto" w:fill="FFF2CC" w:themeFill="accent4" w:themeFillTint="33"/>
            <w:noWrap/>
            <w:vAlign w:val="center"/>
            <w:hideMark/>
          </w:tcPr>
          <w:p w14:paraId="4F2E32A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2,98</w:t>
            </w:r>
          </w:p>
        </w:tc>
      </w:tr>
      <w:tr w:rsidR="00164238" w:rsidRPr="00164238" w14:paraId="7B7FEF80" w14:textId="77777777" w:rsidTr="00682CBF">
        <w:trPr>
          <w:trHeight w:val="283"/>
        </w:trPr>
        <w:tc>
          <w:tcPr>
            <w:tcW w:w="363" w:type="dxa"/>
            <w:tcBorders>
              <w:top w:val="nil"/>
              <w:left w:val="single" w:sz="4" w:space="0" w:color="auto"/>
              <w:bottom w:val="single" w:sz="4" w:space="0" w:color="auto"/>
              <w:right w:val="single" w:sz="4" w:space="0" w:color="auto"/>
            </w:tcBorders>
            <w:shd w:val="clear" w:color="auto" w:fill="auto"/>
            <w:noWrap/>
            <w:vAlign w:val="center"/>
            <w:hideMark/>
          </w:tcPr>
          <w:p w14:paraId="3FD8827E"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9</w:t>
            </w:r>
          </w:p>
        </w:tc>
        <w:tc>
          <w:tcPr>
            <w:tcW w:w="454" w:type="dxa"/>
            <w:tcBorders>
              <w:top w:val="nil"/>
              <w:left w:val="nil"/>
              <w:bottom w:val="single" w:sz="4" w:space="0" w:color="auto"/>
              <w:right w:val="single" w:sz="4" w:space="0" w:color="auto"/>
            </w:tcBorders>
            <w:shd w:val="clear" w:color="auto" w:fill="auto"/>
            <w:noWrap/>
            <w:vAlign w:val="center"/>
            <w:hideMark/>
          </w:tcPr>
          <w:p w14:paraId="7012E713"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25</w:t>
            </w:r>
          </w:p>
        </w:tc>
        <w:tc>
          <w:tcPr>
            <w:tcW w:w="5046" w:type="dxa"/>
            <w:tcBorders>
              <w:top w:val="nil"/>
              <w:left w:val="nil"/>
              <w:bottom w:val="single" w:sz="4" w:space="0" w:color="auto"/>
              <w:right w:val="single" w:sz="4" w:space="0" w:color="auto"/>
            </w:tcBorders>
            <w:shd w:val="clear" w:color="auto" w:fill="auto"/>
            <w:vAlign w:val="center"/>
            <w:hideMark/>
          </w:tcPr>
          <w:p w14:paraId="2037B2CC"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Makine ve teçhizat hariç, fabrikasyon metal ürünleri imalatı</w:t>
            </w:r>
          </w:p>
        </w:tc>
        <w:tc>
          <w:tcPr>
            <w:tcW w:w="1253" w:type="dxa"/>
            <w:tcBorders>
              <w:top w:val="nil"/>
              <w:left w:val="nil"/>
              <w:bottom w:val="single" w:sz="4" w:space="0" w:color="auto"/>
              <w:right w:val="single" w:sz="4" w:space="0" w:color="auto"/>
            </w:tcBorders>
            <w:shd w:val="clear" w:color="auto" w:fill="auto"/>
            <w:noWrap/>
            <w:vAlign w:val="center"/>
            <w:hideMark/>
          </w:tcPr>
          <w:p w14:paraId="13D30F5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8.723.474</w:t>
            </w:r>
          </w:p>
        </w:tc>
        <w:tc>
          <w:tcPr>
            <w:tcW w:w="1253" w:type="dxa"/>
            <w:tcBorders>
              <w:top w:val="nil"/>
              <w:left w:val="nil"/>
              <w:bottom w:val="single" w:sz="4" w:space="0" w:color="auto"/>
              <w:right w:val="single" w:sz="4" w:space="0" w:color="auto"/>
            </w:tcBorders>
            <w:shd w:val="clear" w:color="auto" w:fill="auto"/>
            <w:noWrap/>
            <w:vAlign w:val="center"/>
            <w:hideMark/>
          </w:tcPr>
          <w:p w14:paraId="2300E85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8.857.991</w:t>
            </w:r>
          </w:p>
        </w:tc>
        <w:tc>
          <w:tcPr>
            <w:tcW w:w="850" w:type="dxa"/>
            <w:tcBorders>
              <w:top w:val="nil"/>
              <w:left w:val="nil"/>
              <w:bottom w:val="single" w:sz="4" w:space="0" w:color="auto"/>
              <w:right w:val="single" w:sz="4" w:space="0" w:color="auto"/>
            </w:tcBorders>
            <w:shd w:val="clear" w:color="auto" w:fill="FFF2CC" w:themeFill="accent4" w:themeFillTint="33"/>
            <w:noWrap/>
            <w:vAlign w:val="center"/>
            <w:hideMark/>
          </w:tcPr>
          <w:p w14:paraId="74DDC94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1,54</w:t>
            </w:r>
          </w:p>
        </w:tc>
      </w:tr>
      <w:tr w:rsidR="00164238" w:rsidRPr="00164238" w14:paraId="7201C671" w14:textId="77777777" w:rsidTr="00682CBF">
        <w:trPr>
          <w:trHeight w:val="283"/>
        </w:trPr>
        <w:tc>
          <w:tcPr>
            <w:tcW w:w="363" w:type="dxa"/>
            <w:tcBorders>
              <w:top w:val="nil"/>
              <w:left w:val="single" w:sz="4" w:space="0" w:color="auto"/>
              <w:bottom w:val="single" w:sz="4" w:space="0" w:color="auto"/>
              <w:right w:val="single" w:sz="4" w:space="0" w:color="auto"/>
            </w:tcBorders>
            <w:shd w:val="clear" w:color="auto" w:fill="auto"/>
            <w:noWrap/>
            <w:vAlign w:val="center"/>
            <w:hideMark/>
          </w:tcPr>
          <w:p w14:paraId="7613F69C"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w:t>
            </w:r>
          </w:p>
        </w:tc>
        <w:tc>
          <w:tcPr>
            <w:tcW w:w="454" w:type="dxa"/>
            <w:tcBorders>
              <w:top w:val="nil"/>
              <w:left w:val="nil"/>
              <w:bottom w:val="single" w:sz="4" w:space="0" w:color="auto"/>
              <w:right w:val="single" w:sz="4" w:space="0" w:color="auto"/>
            </w:tcBorders>
            <w:shd w:val="clear" w:color="auto" w:fill="auto"/>
            <w:noWrap/>
            <w:vAlign w:val="center"/>
            <w:hideMark/>
          </w:tcPr>
          <w:p w14:paraId="76E8BB46"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22</w:t>
            </w:r>
          </w:p>
        </w:tc>
        <w:tc>
          <w:tcPr>
            <w:tcW w:w="5046" w:type="dxa"/>
            <w:tcBorders>
              <w:top w:val="nil"/>
              <w:left w:val="nil"/>
              <w:bottom w:val="single" w:sz="4" w:space="0" w:color="auto"/>
              <w:right w:val="single" w:sz="4" w:space="0" w:color="auto"/>
            </w:tcBorders>
            <w:shd w:val="clear" w:color="auto" w:fill="auto"/>
            <w:vAlign w:val="center"/>
            <w:hideMark/>
          </w:tcPr>
          <w:p w14:paraId="59656F54"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Kauçuk ve plastik ürünlerin imalatı</w:t>
            </w:r>
          </w:p>
        </w:tc>
        <w:tc>
          <w:tcPr>
            <w:tcW w:w="1253" w:type="dxa"/>
            <w:tcBorders>
              <w:top w:val="nil"/>
              <w:left w:val="nil"/>
              <w:bottom w:val="single" w:sz="4" w:space="0" w:color="auto"/>
              <w:right w:val="single" w:sz="4" w:space="0" w:color="auto"/>
            </w:tcBorders>
            <w:shd w:val="clear" w:color="auto" w:fill="auto"/>
            <w:noWrap/>
            <w:vAlign w:val="center"/>
            <w:hideMark/>
          </w:tcPr>
          <w:p w14:paraId="236CCFF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7.981.718</w:t>
            </w:r>
          </w:p>
        </w:tc>
        <w:tc>
          <w:tcPr>
            <w:tcW w:w="1253" w:type="dxa"/>
            <w:tcBorders>
              <w:top w:val="nil"/>
              <w:left w:val="nil"/>
              <w:bottom w:val="single" w:sz="4" w:space="0" w:color="auto"/>
              <w:right w:val="single" w:sz="4" w:space="0" w:color="auto"/>
            </w:tcBorders>
            <w:shd w:val="clear" w:color="auto" w:fill="auto"/>
            <w:noWrap/>
            <w:vAlign w:val="center"/>
            <w:hideMark/>
          </w:tcPr>
          <w:p w14:paraId="2072360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8.048.613</w:t>
            </w:r>
          </w:p>
        </w:tc>
        <w:tc>
          <w:tcPr>
            <w:tcW w:w="850" w:type="dxa"/>
            <w:tcBorders>
              <w:top w:val="nil"/>
              <w:left w:val="nil"/>
              <w:bottom w:val="single" w:sz="4" w:space="0" w:color="auto"/>
              <w:right w:val="single" w:sz="4" w:space="0" w:color="auto"/>
            </w:tcBorders>
            <w:shd w:val="clear" w:color="auto" w:fill="FFF2CC" w:themeFill="accent4" w:themeFillTint="33"/>
            <w:noWrap/>
            <w:vAlign w:val="center"/>
            <w:hideMark/>
          </w:tcPr>
          <w:p w14:paraId="588E9BF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0,84</w:t>
            </w:r>
          </w:p>
        </w:tc>
      </w:tr>
    </w:tbl>
    <w:p w14:paraId="4926BEFB" w14:textId="77777777" w:rsidR="00C54BC9" w:rsidRPr="00164238" w:rsidRDefault="00C54BC9" w:rsidP="00C54BC9">
      <w:pPr>
        <w:tabs>
          <w:tab w:val="left" w:pos="1425"/>
        </w:tabs>
        <w:spacing w:after="0" w:line="240" w:lineRule="auto"/>
        <w:rPr>
          <w:rFonts w:ascii="Times New Roman" w:hAnsi="Times New Roman" w:cs="Times New Roman"/>
          <w:color w:val="000000" w:themeColor="text1"/>
        </w:rPr>
      </w:pPr>
      <w:r w:rsidRPr="00164238">
        <w:rPr>
          <w:rFonts w:ascii="Times New Roman" w:hAnsi="Times New Roman" w:cs="Times New Roman"/>
          <w:b/>
          <w:bCs/>
          <w:color w:val="000000" w:themeColor="text1"/>
        </w:rPr>
        <w:t xml:space="preserve">Kaynak: </w:t>
      </w:r>
      <w:r w:rsidRPr="00164238">
        <w:rPr>
          <w:rFonts w:ascii="Times New Roman" w:hAnsi="Times New Roman" w:cs="Times New Roman"/>
          <w:color w:val="000000" w:themeColor="text1"/>
        </w:rPr>
        <w:t xml:space="preserve">TÜİK verileri derlenerek yazar tarafından oluşturulmuştur. </w:t>
      </w:r>
    </w:p>
    <w:p w14:paraId="6E798C9B" w14:textId="77777777" w:rsidR="00C54BC9" w:rsidRPr="00164238" w:rsidRDefault="00C54BC9" w:rsidP="00C54BC9">
      <w:pPr>
        <w:tabs>
          <w:tab w:val="left" w:pos="1425"/>
        </w:tabs>
        <w:spacing w:after="0" w:line="240" w:lineRule="auto"/>
        <w:rPr>
          <w:rFonts w:ascii="Times New Roman" w:hAnsi="Times New Roman" w:cs="Times New Roman"/>
          <w:color w:val="000000" w:themeColor="text1"/>
        </w:rPr>
      </w:pPr>
    </w:p>
    <w:p w14:paraId="481405F4" w14:textId="549DF422" w:rsidR="00C54BC9" w:rsidRPr="00164238" w:rsidRDefault="00C54BC9" w:rsidP="00C54BC9">
      <w:pPr>
        <w:tabs>
          <w:tab w:val="left" w:pos="1425"/>
        </w:tabs>
        <w:spacing w:before="120" w:after="120" w:line="360" w:lineRule="auto"/>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İmalat sanayii genelinde ihracatın seyri Grafik 3’de gösterilmiştir. Grafik 3’e göre, imalat sanayii ihracatının 2020 Mart ayında düşüşe geçtiği, Nisan ayında ise en düşük seviyeye indikten sonra yükselişe geçtiği görülmüştür. </w:t>
      </w:r>
    </w:p>
    <w:p w14:paraId="4AAB9C42" w14:textId="77777777" w:rsidR="00C54BC9" w:rsidRPr="00164238" w:rsidRDefault="00C54BC9" w:rsidP="00C54BC9">
      <w:pPr>
        <w:tabs>
          <w:tab w:val="left" w:pos="1425"/>
        </w:tabs>
        <w:spacing w:before="120" w:after="120" w:line="360" w:lineRule="auto"/>
        <w:ind w:firstLine="567"/>
        <w:jc w:val="both"/>
        <w:rPr>
          <w:rFonts w:ascii="Times New Roman" w:hAnsi="Times New Roman" w:cs="Times New Roman"/>
          <w:color w:val="000000" w:themeColor="text1"/>
          <w:sz w:val="20"/>
          <w:szCs w:val="20"/>
        </w:rPr>
      </w:pPr>
    </w:p>
    <w:p w14:paraId="43352DFE" w14:textId="77777777" w:rsidR="00C54BC9" w:rsidRPr="00164238" w:rsidRDefault="00C54BC9" w:rsidP="00C54BC9">
      <w:pPr>
        <w:tabs>
          <w:tab w:val="left" w:pos="1425"/>
        </w:tabs>
        <w:spacing w:after="0" w:line="240" w:lineRule="auto"/>
        <w:rPr>
          <w:rFonts w:ascii="Times New Roman" w:hAnsi="Times New Roman" w:cs="Times New Roman"/>
          <w:b/>
          <w:bCs/>
          <w:color w:val="000000" w:themeColor="text1"/>
        </w:rPr>
      </w:pPr>
      <w:r w:rsidRPr="00164238">
        <w:rPr>
          <w:rFonts w:ascii="Times New Roman" w:hAnsi="Times New Roman" w:cs="Times New Roman"/>
          <w:b/>
          <w:bCs/>
          <w:color w:val="000000" w:themeColor="text1"/>
        </w:rPr>
        <w:t>Grafik 3: Türk İmalat Sanayii İhracatı (Aylık) (Değer: Bin USD)</w:t>
      </w:r>
    </w:p>
    <w:p w14:paraId="6A3246A2" w14:textId="77777777" w:rsidR="00C54BC9" w:rsidRPr="00164238" w:rsidRDefault="00C54BC9" w:rsidP="00C54BC9">
      <w:pPr>
        <w:tabs>
          <w:tab w:val="left" w:pos="1425"/>
        </w:tabs>
        <w:spacing w:after="0" w:line="240" w:lineRule="auto"/>
        <w:rPr>
          <w:rFonts w:ascii="Times New Roman" w:hAnsi="Times New Roman" w:cs="Times New Roman"/>
          <w:color w:val="000000" w:themeColor="text1"/>
        </w:rPr>
      </w:pPr>
      <w:r w:rsidRPr="00164238">
        <w:rPr>
          <w:rFonts w:ascii="Times New Roman" w:hAnsi="Times New Roman" w:cs="Times New Roman"/>
          <w:noProof/>
          <w:color w:val="000000" w:themeColor="text1"/>
          <w:lang w:val="en-US"/>
        </w:rPr>
        <w:lastRenderedPageBreak/>
        <w:drawing>
          <wp:inline distT="0" distB="0" distL="0" distR="0" wp14:anchorId="184A7225" wp14:editId="7B09A5EB">
            <wp:extent cx="5829300" cy="2247900"/>
            <wp:effectExtent l="0" t="0" r="0" b="0"/>
            <wp:docPr id="78" name="Grafik 78">
              <a:extLst xmlns:a="http://schemas.openxmlformats.org/drawingml/2006/main">
                <a:ext uri="{FF2B5EF4-FFF2-40B4-BE49-F238E27FC236}">
                  <a16:creationId xmlns:a16="http://schemas.microsoft.com/office/drawing/2014/main" id="{59EA4F52-528F-4203-A7FB-CE681DC1C3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14:paraId="25CC9B21" w14:textId="77777777" w:rsidR="00C54BC9" w:rsidRPr="00164238" w:rsidRDefault="00C54BC9" w:rsidP="00C54BC9">
      <w:pPr>
        <w:tabs>
          <w:tab w:val="left" w:pos="1425"/>
        </w:tabs>
        <w:spacing w:after="0" w:line="240" w:lineRule="auto"/>
        <w:rPr>
          <w:rFonts w:ascii="Times New Roman" w:hAnsi="Times New Roman" w:cs="Times New Roman"/>
          <w:color w:val="000000" w:themeColor="text1"/>
        </w:rPr>
      </w:pPr>
      <w:r w:rsidRPr="00164238">
        <w:rPr>
          <w:rFonts w:ascii="Times New Roman" w:hAnsi="Times New Roman" w:cs="Times New Roman"/>
          <w:b/>
          <w:bCs/>
          <w:color w:val="000000" w:themeColor="text1"/>
        </w:rPr>
        <w:t xml:space="preserve">Kaynak: </w:t>
      </w:r>
      <w:r w:rsidRPr="00164238">
        <w:rPr>
          <w:rFonts w:ascii="Times New Roman" w:hAnsi="Times New Roman" w:cs="Times New Roman"/>
          <w:color w:val="000000" w:themeColor="text1"/>
        </w:rPr>
        <w:t>TÜİK verileri derlenerek yazar tarafından oluşturulmuştur.</w:t>
      </w:r>
    </w:p>
    <w:p w14:paraId="35681881" w14:textId="77777777" w:rsidR="00C54BC9" w:rsidRPr="00164238" w:rsidRDefault="00C54BC9" w:rsidP="00C54BC9">
      <w:pPr>
        <w:tabs>
          <w:tab w:val="left" w:pos="1425"/>
        </w:tabs>
        <w:spacing w:after="0" w:line="240" w:lineRule="auto"/>
        <w:rPr>
          <w:rFonts w:ascii="Times New Roman" w:hAnsi="Times New Roman" w:cs="Times New Roman"/>
          <w:color w:val="000000" w:themeColor="text1"/>
        </w:rPr>
      </w:pPr>
    </w:p>
    <w:p w14:paraId="7580ECB2" w14:textId="77777777" w:rsidR="00C54BC9" w:rsidRPr="00164238" w:rsidRDefault="00C54BC9" w:rsidP="00C54BC9">
      <w:pPr>
        <w:tabs>
          <w:tab w:val="left" w:pos="1425"/>
        </w:tabs>
        <w:spacing w:before="120" w:after="120" w:line="360" w:lineRule="auto"/>
        <w:ind w:firstLine="567"/>
        <w:jc w:val="both"/>
        <w:rPr>
          <w:rFonts w:ascii="Times New Roman" w:hAnsi="Times New Roman" w:cs="Times New Roman"/>
          <w:color w:val="000000" w:themeColor="text1"/>
          <w:sz w:val="20"/>
          <w:szCs w:val="20"/>
        </w:rPr>
      </w:pPr>
      <w:bookmarkStart w:id="86" w:name="_Hlk68501702"/>
      <w:r w:rsidRPr="00164238">
        <w:rPr>
          <w:rFonts w:ascii="Times New Roman" w:hAnsi="Times New Roman" w:cs="Times New Roman"/>
          <w:color w:val="000000" w:themeColor="text1"/>
          <w:sz w:val="20"/>
          <w:szCs w:val="20"/>
        </w:rPr>
        <w:t xml:space="preserve">Türkiye’nin ihracatında ilk 10’da yer alt sektörlerin Covid 19 sonrası dönemdeki seyri aşağıda gösterilmiştir. Buna göre, alt sektörler içinde motorlu taşıtlar, ana metal sanayii (Grafik 4), giyim eşyası, tekstil (Grafik 5), elektrikli teçhizat ile kauçuk ve plastik sektörü (Grafik 6) ihracatlarının 2020 yılı Nisan ayında en düşük seviyeye indiği saptanmıştır. Bu sektörlerde ihracatın Nisan ayından sonra yükselişe geçmiştir. Aynı zamanda bu sektörlerde 2020 Aralık ayı ihracat rakamlarının geçen yılın aynı ayındaki ihracat rakamlarının üzerine çıktığı gözlemlenmiştir. </w:t>
      </w:r>
    </w:p>
    <w:p w14:paraId="6E054EB7" w14:textId="6DB24C80" w:rsidR="00C54BC9" w:rsidRDefault="00C54BC9" w:rsidP="00C54BC9">
      <w:pPr>
        <w:tabs>
          <w:tab w:val="left" w:pos="1425"/>
        </w:tabs>
        <w:spacing w:before="120" w:after="120" w:line="360" w:lineRule="auto"/>
        <w:ind w:firstLine="567"/>
        <w:jc w:val="both"/>
        <w:rPr>
          <w:rFonts w:ascii="Times New Roman" w:hAnsi="Times New Roman" w:cs="Times New Roman"/>
          <w:color w:val="000000" w:themeColor="text1"/>
        </w:rPr>
      </w:pPr>
    </w:p>
    <w:p w14:paraId="6C2DB532" w14:textId="2B12C039" w:rsidR="00452A49" w:rsidRDefault="00452A49" w:rsidP="00C54BC9">
      <w:pPr>
        <w:tabs>
          <w:tab w:val="left" w:pos="1425"/>
        </w:tabs>
        <w:spacing w:before="120" w:after="120" w:line="360" w:lineRule="auto"/>
        <w:ind w:firstLine="567"/>
        <w:jc w:val="both"/>
        <w:rPr>
          <w:rFonts w:ascii="Times New Roman" w:hAnsi="Times New Roman" w:cs="Times New Roman"/>
          <w:color w:val="000000" w:themeColor="text1"/>
        </w:rPr>
      </w:pPr>
    </w:p>
    <w:p w14:paraId="09651FAE" w14:textId="788878E3" w:rsidR="00452A49" w:rsidRDefault="00452A49" w:rsidP="00C54BC9">
      <w:pPr>
        <w:tabs>
          <w:tab w:val="left" w:pos="1425"/>
        </w:tabs>
        <w:spacing w:before="120" w:after="120" w:line="360" w:lineRule="auto"/>
        <w:ind w:firstLine="567"/>
        <w:jc w:val="both"/>
        <w:rPr>
          <w:rFonts w:ascii="Times New Roman" w:hAnsi="Times New Roman" w:cs="Times New Roman"/>
          <w:color w:val="000000" w:themeColor="text1"/>
        </w:rPr>
      </w:pPr>
    </w:p>
    <w:p w14:paraId="2692879D" w14:textId="0CC47D5A" w:rsidR="00452A49" w:rsidRDefault="00452A49" w:rsidP="00C54BC9">
      <w:pPr>
        <w:tabs>
          <w:tab w:val="left" w:pos="1425"/>
        </w:tabs>
        <w:spacing w:before="120" w:after="120" w:line="360" w:lineRule="auto"/>
        <w:ind w:firstLine="567"/>
        <w:jc w:val="both"/>
        <w:rPr>
          <w:rFonts w:ascii="Times New Roman" w:hAnsi="Times New Roman" w:cs="Times New Roman"/>
          <w:color w:val="000000" w:themeColor="text1"/>
        </w:rPr>
      </w:pPr>
    </w:p>
    <w:p w14:paraId="6909B09F" w14:textId="5628BF18" w:rsidR="00452A49" w:rsidRDefault="00452A49" w:rsidP="00C54BC9">
      <w:pPr>
        <w:tabs>
          <w:tab w:val="left" w:pos="1425"/>
        </w:tabs>
        <w:spacing w:before="120" w:after="120" w:line="360" w:lineRule="auto"/>
        <w:ind w:firstLine="567"/>
        <w:jc w:val="both"/>
        <w:rPr>
          <w:rFonts w:ascii="Times New Roman" w:hAnsi="Times New Roman" w:cs="Times New Roman"/>
          <w:color w:val="000000" w:themeColor="text1"/>
        </w:rPr>
      </w:pPr>
    </w:p>
    <w:p w14:paraId="7437EF8E" w14:textId="40D7E440" w:rsidR="00452A49" w:rsidRDefault="00452A49" w:rsidP="00C54BC9">
      <w:pPr>
        <w:tabs>
          <w:tab w:val="left" w:pos="1425"/>
        </w:tabs>
        <w:spacing w:before="120" w:after="120" w:line="360" w:lineRule="auto"/>
        <w:ind w:firstLine="567"/>
        <w:jc w:val="both"/>
        <w:rPr>
          <w:rFonts w:ascii="Times New Roman" w:hAnsi="Times New Roman" w:cs="Times New Roman"/>
          <w:color w:val="000000" w:themeColor="text1"/>
        </w:rPr>
      </w:pPr>
    </w:p>
    <w:p w14:paraId="355C4790" w14:textId="1B594742" w:rsidR="00452A49" w:rsidRDefault="00452A49" w:rsidP="00C54BC9">
      <w:pPr>
        <w:tabs>
          <w:tab w:val="left" w:pos="1425"/>
        </w:tabs>
        <w:spacing w:before="120" w:after="120" w:line="360" w:lineRule="auto"/>
        <w:ind w:firstLine="567"/>
        <w:jc w:val="both"/>
        <w:rPr>
          <w:rFonts w:ascii="Times New Roman" w:hAnsi="Times New Roman" w:cs="Times New Roman"/>
          <w:color w:val="000000" w:themeColor="text1"/>
        </w:rPr>
      </w:pPr>
    </w:p>
    <w:p w14:paraId="4B0F7B7A" w14:textId="7E08A94F" w:rsidR="00452A49" w:rsidRDefault="00452A49" w:rsidP="00C54BC9">
      <w:pPr>
        <w:tabs>
          <w:tab w:val="left" w:pos="1425"/>
        </w:tabs>
        <w:spacing w:before="120" w:after="120" w:line="360" w:lineRule="auto"/>
        <w:ind w:firstLine="567"/>
        <w:jc w:val="both"/>
        <w:rPr>
          <w:rFonts w:ascii="Times New Roman" w:hAnsi="Times New Roman" w:cs="Times New Roman"/>
          <w:color w:val="000000" w:themeColor="text1"/>
        </w:rPr>
      </w:pPr>
    </w:p>
    <w:p w14:paraId="2D543FB9" w14:textId="77777777" w:rsidR="00452A49" w:rsidRDefault="00452A49" w:rsidP="00C54BC9">
      <w:pPr>
        <w:tabs>
          <w:tab w:val="left" w:pos="1425"/>
        </w:tabs>
        <w:spacing w:before="120" w:after="120" w:line="360" w:lineRule="auto"/>
        <w:ind w:firstLine="567"/>
        <w:jc w:val="both"/>
        <w:rPr>
          <w:rFonts w:ascii="Times New Roman" w:hAnsi="Times New Roman" w:cs="Times New Roman"/>
          <w:color w:val="000000" w:themeColor="text1"/>
        </w:rPr>
      </w:pPr>
    </w:p>
    <w:p w14:paraId="31B95A7A" w14:textId="77777777" w:rsidR="006A4DC2" w:rsidRPr="00164238" w:rsidRDefault="006A4DC2" w:rsidP="00C54BC9">
      <w:pPr>
        <w:tabs>
          <w:tab w:val="left" w:pos="1425"/>
        </w:tabs>
        <w:spacing w:before="120" w:after="120" w:line="360" w:lineRule="auto"/>
        <w:ind w:firstLine="567"/>
        <w:jc w:val="both"/>
        <w:rPr>
          <w:rFonts w:ascii="Times New Roman" w:hAnsi="Times New Roman" w:cs="Times New Roman"/>
          <w:color w:val="000000" w:themeColor="text1"/>
        </w:rPr>
      </w:pPr>
    </w:p>
    <w:bookmarkEnd w:id="86"/>
    <w:p w14:paraId="5CA9AB9A" w14:textId="77777777" w:rsidR="00C54BC9" w:rsidRPr="00164238" w:rsidRDefault="00C54BC9" w:rsidP="00C54BC9">
      <w:pPr>
        <w:tabs>
          <w:tab w:val="left" w:pos="1425"/>
        </w:tabs>
        <w:spacing w:after="0" w:line="240" w:lineRule="auto"/>
        <w:rPr>
          <w:rFonts w:ascii="Times New Roman" w:hAnsi="Times New Roman" w:cs="Times New Roman"/>
          <w:b/>
          <w:bCs/>
          <w:color w:val="000000" w:themeColor="text1"/>
        </w:rPr>
      </w:pPr>
      <w:r w:rsidRPr="00164238">
        <w:rPr>
          <w:rFonts w:ascii="Times New Roman" w:hAnsi="Times New Roman" w:cs="Times New Roman"/>
          <w:b/>
          <w:bCs/>
          <w:color w:val="000000" w:themeColor="text1"/>
        </w:rPr>
        <w:t>Grafik 4: (Değer: Bin USD)</w:t>
      </w:r>
    </w:p>
    <w:p w14:paraId="74292D27" w14:textId="77777777" w:rsidR="00C54BC9" w:rsidRPr="00164238" w:rsidRDefault="00C54BC9" w:rsidP="00C54BC9">
      <w:pPr>
        <w:tabs>
          <w:tab w:val="left" w:pos="1425"/>
        </w:tabs>
        <w:spacing w:after="0" w:line="240" w:lineRule="auto"/>
        <w:rPr>
          <w:rFonts w:ascii="Times New Roman" w:hAnsi="Times New Roman" w:cs="Times New Roman"/>
          <w:b/>
          <w:bCs/>
          <w:color w:val="000000" w:themeColor="text1"/>
        </w:rPr>
      </w:pPr>
      <w:r w:rsidRPr="00164238">
        <w:rPr>
          <w:rFonts w:ascii="Times New Roman" w:hAnsi="Times New Roman" w:cs="Times New Roman"/>
          <w:noProof/>
          <w:color w:val="000000" w:themeColor="text1"/>
          <w:lang w:val="en-US"/>
        </w:rPr>
        <w:lastRenderedPageBreak/>
        <w:drawing>
          <wp:inline distT="0" distB="0" distL="0" distR="0" wp14:anchorId="3C2F1637" wp14:editId="757420E8">
            <wp:extent cx="2809875" cy="3362325"/>
            <wp:effectExtent l="0" t="0" r="9525" b="9525"/>
            <wp:docPr id="79" name="Grafik 79">
              <a:extLst xmlns:a="http://schemas.openxmlformats.org/drawingml/2006/main">
                <a:ext uri="{FF2B5EF4-FFF2-40B4-BE49-F238E27FC236}">
                  <a16:creationId xmlns:a16="http://schemas.microsoft.com/office/drawing/2014/main" id="{6A1933D9-FB59-4E61-BA7F-2C667C3364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r w:rsidRPr="00164238">
        <w:rPr>
          <w:rFonts w:ascii="Times New Roman" w:hAnsi="Times New Roman" w:cs="Times New Roman"/>
          <w:noProof/>
          <w:color w:val="000000" w:themeColor="text1"/>
          <w:lang w:val="en-US"/>
        </w:rPr>
        <w:drawing>
          <wp:inline distT="0" distB="0" distL="0" distR="0" wp14:anchorId="031F57D3" wp14:editId="6478F0B9">
            <wp:extent cx="2905125" cy="3362325"/>
            <wp:effectExtent l="0" t="0" r="9525" b="9525"/>
            <wp:docPr id="80" name="Grafik 80">
              <a:extLst xmlns:a="http://schemas.openxmlformats.org/drawingml/2006/main">
                <a:ext uri="{FF2B5EF4-FFF2-40B4-BE49-F238E27FC236}">
                  <a16:creationId xmlns:a16="http://schemas.microsoft.com/office/drawing/2014/main" id="{3D01F00E-8FAD-4605-A639-46356B43DA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14:paraId="6AB614D2" w14:textId="3C0748E4" w:rsidR="00C54BC9" w:rsidRPr="00164238" w:rsidRDefault="00C54BC9" w:rsidP="00C54BC9">
      <w:pPr>
        <w:spacing w:after="0" w:line="240" w:lineRule="auto"/>
        <w:rPr>
          <w:rFonts w:ascii="Times New Roman" w:hAnsi="Times New Roman" w:cs="Times New Roman"/>
          <w:color w:val="000000" w:themeColor="text1"/>
        </w:rPr>
      </w:pPr>
      <w:r w:rsidRPr="00164238">
        <w:rPr>
          <w:rFonts w:ascii="Times New Roman" w:hAnsi="Times New Roman" w:cs="Times New Roman"/>
          <w:b/>
          <w:bCs/>
          <w:color w:val="000000" w:themeColor="text1"/>
        </w:rPr>
        <w:t xml:space="preserve">Kaynak: </w:t>
      </w:r>
      <w:r w:rsidRPr="00164238">
        <w:rPr>
          <w:rFonts w:ascii="Times New Roman" w:hAnsi="Times New Roman" w:cs="Times New Roman"/>
          <w:color w:val="000000" w:themeColor="text1"/>
        </w:rPr>
        <w:t>TÜİK verileri derlenerek yazar tarafından oluşturulmuştur.</w:t>
      </w:r>
    </w:p>
    <w:p w14:paraId="7E8431D5" w14:textId="3078C4DF" w:rsidR="00C54BC9" w:rsidRPr="00164238" w:rsidRDefault="00C54BC9" w:rsidP="00C54BC9">
      <w:pPr>
        <w:spacing w:after="0" w:line="240" w:lineRule="auto"/>
        <w:rPr>
          <w:rFonts w:ascii="Times New Roman" w:hAnsi="Times New Roman" w:cs="Times New Roman"/>
          <w:color w:val="000000" w:themeColor="text1"/>
        </w:rPr>
      </w:pPr>
    </w:p>
    <w:p w14:paraId="242568AB" w14:textId="77777777" w:rsidR="00C54BC9" w:rsidRPr="00164238" w:rsidRDefault="00C54BC9" w:rsidP="00C54BC9">
      <w:pPr>
        <w:spacing w:after="0" w:line="240" w:lineRule="auto"/>
        <w:rPr>
          <w:rFonts w:ascii="Times New Roman" w:hAnsi="Times New Roman" w:cs="Times New Roman"/>
          <w:color w:val="000000" w:themeColor="text1"/>
        </w:rPr>
      </w:pPr>
    </w:p>
    <w:p w14:paraId="6649AC9B" w14:textId="77777777" w:rsidR="00C54BC9" w:rsidRPr="00164238" w:rsidRDefault="00C54BC9" w:rsidP="00C54BC9">
      <w:pPr>
        <w:tabs>
          <w:tab w:val="left" w:pos="1425"/>
        </w:tabs>
        <w:spacing w:after="0" w:line="240" w:lineRule="auto"/>
        <w:rPr>
          <w:rFonts w:ascii="Times New Roman" w:hAnsi="Times New Roman" w:cs="Times New Roman"/>
          <w:b/>
          <w:bCs/>
          <w:color w:val="000000" w:themeColor="text1"/>
        </w:rPr>
      </w:pPr>
    </w:p>
    <w:p w14:paraId="336F9ADD" w14:textId="77777777" w:rsidR="00C54BC9" w:rsidRPr="00164238" w:rsidRDefault="00C54BC9" w:rsidP="00C54BC9">
      <w:pPr>
        <w:tabs>
          <w:tab w:val="left" w:pos="1425"/>
        </w:tabs>
        <w:spacing w:after="0" w:line="240" w:lineRule="auto"/>
        <w:rPr>
          <w:rFonts w:ascii="Times New Roman" w:hAnsi="Times New Roman" w:cs="Times New Roman"/>
          <w:b/>
          <w:bCs/>
          <w:color w:val="000000" w:themeColor="text1"/>
        </w:rPr>
      </w:pPr>
      <w:r w:rsidRPr="00164238">
        <w:rPr>
          <w:rFonts w:ascii="Times New Roman" w:hAnsi="Times New Roman" w:cs="Times New Roman"/>
          <w:b/>
          <w:bCs/>
          <w:color w:val="000000" w:themeColor="text1"/>
        </w:rPr>
        <w:t>Grafik 5: (Değer: Bin USD)</w:t>
      </w:r>
    </w:p>
    <w:p w14:paraId="5B94E0FB" w14:textId="77777777" w:rsidR="00C54BC9" w:rsidRPr="00164238" w:rsidRDefault="00C54BC9" w:rsidP="00C54BC9">
      <w:pPr>
        <w:spacing w:after="0" w:line="240" w:lineRule="auto"/>
        <w:rPr>
          <w:rFonts w:ascii="Times New Roman" w:hAnsi="Times New Roman" w:cs="Times New Roman"/>
          <w:color w:val="000000" w:themeColor="text1"/>
        </w:rPr>
      </w:pPr>
      <w:r w:rsidRPr="00164238">
        <w:rPr>
          <w:rFonts w:ascii="Times New Roman" w:hAnsi="Times New Roman" w:cs="Times New Roman"/>
          <w:noProof/>
          <w:color w:val="000000" w:themeColor="text1"/>
          <w:lang w:val="en-US"/>
        </w:rPr>
        <w:lastRenderedPageBreak/>
        <w:drawing>
          <wp:inline distT="0" distB="0" distL="0" distR="0" wp14:anchorId="0EB7D675" wp14:editId="3DAB0A8A">
            <wp:extent cx="2876550" cy="3143250"/>
            <wp:effectExtent l="0" t="0" r="0" b="0"/>
            <wp:docPr id="81" name="Grafik 81">
              <a:extLst xmlns:a="http://schemas.openxmlformats.org/drawingml/2006/main">
                <a:ext uri="{FF2B5EF4-FFF2-40B4-BE49-F238E27FC236}">
                  <a16:creationId xmlns:a16="http://schemas.microsoft.com/office/drawing/2014/main" id="{8C7DD2AA-4D36-4BBB-AA5C-BA3FAA9329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r w:rsidRPr="00164238">
        <w:rPr>
          <w:rFonts w:ascii="Times New Roman" w:hAnsi="Times New Roman" w:cs="Times New Roman"/>
          <w:noProof/>
          <w:color w:val="000000" w:themeColor="text1"/>
          <w:lang w:val="en-US"/>
        </w:rPr>
        <w:drawing>
          <wp:inline distT="0" distB="0" distL="0" distR="0" wp14:anchorId="65C02746" wp14:editId="17AF8BCA">
            <wp:extent cx="2838450" cy="3143250"/>
            <wp:effectExtent l="0" t="0" r="0" b="0"/>
            <wp:docPr id="82" name="Grafik 82">
              <a:extLst xmlns:a="http://schemas.openxmlformats.org/drawingml/2006/main">
                <a:ext uri="{FF2B5EF4-FFF2-40B4-BE49-F238E27FC236}">
                  <a16:creationId xmlns:a16="http://schemas.microsoft.com/office/drawing/2014/main" id="{48A56678-05EE-4156-A1B1-CED2D5B017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r w:rsidRPr="00164238">
        <w:rPr>
          <w:rFonts w:ascii="Times New Roman" w:hAnsi="Times New Roman" w:cs="Times New Roman"/>
          <w:b/>
          <w:bCs/>
          <w:color w:val="000000" w:themeColor="text1"/>
        </w:rPr>
        <w:t xml:space="preserve">Kaynak: </w:t>
      </w:r>
      <w:r w:rsidRPr="00164238">
        <w:rPr>
          <w:rFonts w:ascii="Times New Roman" w:hAnsi="Times New Roman" w:cs="Times New Roman"/>
          <w:color w:val="000000" w:themeColor="text1"/>
        </w:rPr>
        <w:t>TÜİK verileri derlenerek yazar tarafından oluşturulmuştur.</w:t>
      </w:r>
    </w:p>
    <w:p w14:paraId="7987EF12" w14:textId="77777777" w:rsidR="00C54BC9" w:rsidRPr="00164238" w:rsidRDefault="00C54BC9" w:rsidP="00C54BC9">
      <w:pPr>
        <w:spacing w:after="0" w:line="240" w:lineRule="auto"/>
        <w:rPr>
          <w:rFonts w:ascii="Times New Roman" w:hAnsi="Times New Roman" w:cs="Times New Roman"/>
          <w:color w:val="000000" w:themeColor="text1"/>
        </w:rPr>
      </w:pPr>
    </w:p>
    <w:p w14:paraId="6EEB8956" w14:textId="77777777" w:rsidR="00C54BC9" w:rsidRPr="00164238" w:rsidRDefault="00C54BC9" w:rsidP="00C54BC9">
      <w:pPr>
        <w:spacing w:after="0" w:line="240" w:lineRule="auto"/>
        <w:rPr>
          <w:rFonts w:ascii="Times New Roman" w:hAnsi="Times New Roman" w:cs="Times New Roman"/>
          <w:color w:val="000000" w:themeColor="text1"/>
        </w:rPr>
      </w:pPr>
    </w:p>
    <w:p w14:paraId="5D009590" w14:textId="77777777" w:rsidR="00C54BC9" w:rsidRPr="00164238" w:rsidRDefault="00C54BC9" w:rsidP="00C54BC9">
      <w:pPr>
        <w:spacing w:after="0" w:line="240" w:lineRule="auto"/>
        <w:rPr>
          <w:rFonts w:ascii="Times New Roman" w:hAnsi="Times New Roman" w:cs="Times New Roman"/>
          <w:color w:val="000000" w:themeColor="text1"/>
        </w:rPr>
      </w:pPr>
    </w:p>
    <w:p w14:paraId="7A768FBF" w14:textId="77777777" w:rsidR="00C54BC9" w:rsidRPr="00164238" w:rsidRDefault="00C54BC9" w:rsidP="00C54BC9">
      <w:pPr>
        <w:spacing w:after="0" w:line="240" w:lineRule="auto"/>
        <w:rPr>
          <w:rFonts w:ascii="Times New Roman" w:hAnsi="Times New Roman" w:cs="Times New Roman"/>
          <w:color w:val="000000" w:themeColor="text1"/>
        </w:rPr>
      </w:pPr>
    </w:p>
    <w:p w14:paraId="31759BCE" w14:textId="77777777" w:rsidR="00C54BC9" w:rsidRPr="00164238" w:rsidRDefault="00C54BC9" w:rsidP="00C54BC9">
      <w:pPr>
        <w:spacing w:after="0" w:line="240" w:lineRule="auto"/>
        <w:rPr>
          <w:rFonts w:ascii="Times New Roman" w:hAnsi="Times New Roman" w:cs="Times New Roman"/>
          <w:color w:val="000000" w:themeColor="text1"/>
        </w:rPr>
      </w:pPr>
    </w:p>
    <w:p w14:paraId="07E70CC6" w14:textId="77777777" w:rsidR="00C54BC9" w:rsidRPr="00164238" w:rsidRDefault="00C54BC9" w:rsidP="00C54BC9">
      <w:pPr>
        <w:spacing w:after="0" w:line="240" w:lineRule="auto"/>
        <w:rPr>
          <w:rFonts w:ascii="Times New Roman" w:hAnsi="Times New Roman" w:cs="Times New Roman"/>
          <w:color w:val="000000" w:themeColor="text1"/>
        </w:rPr>
      </w:pPr>
    </w:p>
    <w:p w14:paraId="45E1C0BA" w14:textId="77777777" w:rsidR="00C54BC9" w:rsidRPr="00164238" w:rsidRDefault="00C54BC9" w:rsidP="00C54BC9">
      <w:pPr>
        <w:spacing w:after="0" w:line="240" w:lineRule="auto"/>
        <w:rPr>
          <w:rFonts w:ascii="Times New Roman" w:hAnsi="Times New Roman" w:cs="Times New Roman"/>
          <w:color w:val="000000" w:themeColor="text1"/>
        </w:rPr>
      </w:pPr>
    </w:p>
    <w:p w14:paraId="00AB6D46" w14:textId="77777777" w:rsidR="00C54BC9" w:rsidRPr="00164238" w:rsidRDefault="00C54BC9" w:rsidP="00C54BC9">
      <w:pPr>
        <w:spacing w:after="0" w:line="240" w:lineRule="auto"/>
        <w:rPr>
          <w:rFonts w:ascii="Times New Roman" w:hAnsi="Times New Roman" w:cs="Times New Roman"/>
          <w:color w:val="000000" w:themeColor="text1"/>
        </w:rPr>
      </w:pPr>
    </w:p>
    <w:p w14:paraId="4B8BD7C4" w14:textId="77777777" w:rsidR="00C54BC9" w:rsidRPr="00164238" w:rsidRDefault="00C54BC9" w:rsidP="00C54BC9">
      <w:pPr>
        <w:tabs>
          <w:tab w:val="left" w:pos="1425"/>
        </w:tabs>
        <w:spacing w:after="0" w:line="240" w:lineRule="auto"/>
        <w:rPr>
          <w:rFonts w:ascii="Times New Roman" w:hAnsi="Times New Roman" w:cs="Times New Roman"/>
          <w:b/>
          <w:bCs/>
          <w:color w:val="000000" w:themeColor="text1"/>
        </w:rPr>
      </w:pPr>
      <w:r w:rsidRPr="00164238">
        <w:rPr>
          <w:rFonts w:ascii="Times New Roman" w:hAnsi="Times New Roman" w:cs="Times New Roman"/>
          <w:b/>
          <w:bCs/>
          <w:color w:val="000000" w:themeColor="text1"/>
        </w:rPr>
        <w:t>Grafik 6: (Değer: Bin USD)</w:t>
      </w:r>
    </w:p>
    <w:p w14:paraId="4EE16307" w14:textId="77777777" w:rsidR="00C54BC9" w:rsidRPr="00164238" w:rsidRDefault="00C54BC9" w:rsidP="00C54BC9">
      <w:pPr>
        <w:spacing w:after="0" w:line="240" w:lineRule="auto"/>
        <w:rPr>
          <w:rFonts w:ascii="Times New Roman" w:hAnsi="Times New Roman" w:cs="Times New Roman"/>
          <w:color w:val="000000" w:themeColor="text1"/>
        </w:rPr>
      </w:pPr>
      <w:r w:rsidRPr="00164238">
        <w:rPr>
          <w:rFonts w:ascii="Times New Roman" w:hAnsi="Times New Roman" w:cs="Times New Roman"/>
          <w:noProof/>
          <w:color w:val="000000" w:themeColor="text1"/>
          <w:lang w:val="en-US"/>
        </w:rPr>
        <w:lastRenderedPageBreak/>
        <w:drawing>
          <wp:inline distT="0" distB="0" distL="0" distR="0" wp14:anchorId="44927250" wp14:editId="41384E2A">
            <wp:extent cx="2838450" cy="3133725"/>
            <wp:effectExtent l="0" t="0" r="0" b="9525"/>
            <wp:docPr id="83" name="Grafik 83">
              <a:extLst xmlns:a="http://schemas.openxmlformats.org/drawingml/2006/main">
                <a:ext uri="{FF2B5EF4-FFF2-40B4-BE49-F238E27FC236}">
                  <a16:creationId xmlns:a16="http://schemas.microsoft.com/office/drawing/2014/main" id="{8CD187DC-D4DA-4EF4-BB0A-24DD131362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r w:rsidRPr="00164238">
        <w:rPr>
          <w:rFonts w:ascii="Times New Roman" w:hAnsi="Times New Roman" w:cs="Times New Roman"/>
          <w:noProof/>
          <w:color w:val="000000" w:themeColor="text1"/>
          <w:lang w:val="en-US"/>
        </w:rPr>
        <w:drawing>
          <wp:inline distT="0" distB="0" distL="0" distR="0" wp14:anchorId="281B78B3" wp14:editId="40F243E4">
            <wp:extent cx="2876550" cy="3143250"/>
            <wp:effectExtent l="0" t="0" r="0" b="0"/>
            <wp:docPr id="84" name="Grafik 84">
              <a:extLst xmlns:a="http://schemas.openxmlformats.org/drawingml/2006/main">
                <a:ext uri="{FF2B5EF4-FFF2-40B4-BE49-F238E27FC236}">
                  <a16:creationId xmlns:a16="http://schemas.microsoft.com/office/drawing/2014/main" id="{A5DC982A-C6BE-458B-A4B9-94D7A13D57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r w:rsidRPr="00164238">
        <w:rPr>
          <w:rFonts w:ascii="Times New Roman" w:hAnsi="Times New Roman" w:cs="Times New Roman"/>
          <w:b/>
          <w:bCs/>
          <w:color w:val="000000" w:themeColor="text1"/>
        </w:rPr>
        <w:t xml:space="preserve">Kaynak: </w:t>
      </w:r>
      <w:r w:rsidRPr="00164238">
        <w:rPr>
          <w:rFonts w:ascii="Times New Roman" w:hAnsi="Times New Roman" w:cs="Times New Roman"/>
          <w:color w:val="000000" w:themeColor="text1"/>
        </w:rPr>
        <w:t>TÜİK verileri derlenerek yazar tarafından oluşturulmuştur.</w:t>
      </w:r>
    </w:p>
    <w:p w14:paraId="37A0ED45" w14:textId="77777777" w:rsidR="00C54BC9" w:rsidRPr="00164238" w:rsidRDefault="00C54BC9" w:rsidP="00C54BC9">
      <w:pPr>
        <w:tabs>
          <w:tab w:val="left" w:pos="1425"/>
        </w:tabs>
        <w:spacing w:after="0" w:line="360" w:lineRule="auto"/>
        <w:ind w:firstLine="709"/>
        <w:jc w:val="both"/>
        <w:rPr>
          <w:rFonts w:ascii="Times New Roman" w:hAnsi="Times New Roman" w:cs="Times New Roman"/>
          <w:color w:val="000000" w:themeColor="text1"/>
        </w:rPr>
      </w:pPr>
    </w:p>
    <w:p w14:paraId="33BB2EDB" w14:textId="324194C2" w:rsidR="00C54BC9" w:rsidRDefault="00C54BC9" w:rsidP="00C54BC9">
      <w:pPr>
        <w:tabs>
          <w:tab w:val="left" w:pos="1425"/>
        </w:tabs>
        <w:spacing w:before="120" w:after="120" w:line="360" w:lineRule="auto"/>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Grafk 7’de gıda ürünleri ve başka yerde sınıflandırılmamış makine ve teçhizat ihracatı ile Grafik 8’de kimyasallar ve kimyasal ürünler ile fabrikasyon metal ürünlerin (makine ve teçhizat hariç) ihracatındaki değişim aylık olarak gösterilmiştir. Gıda ürünleri, başka yerde sınıflandırılmamış makine ve teçhizat (Grafik 7), kimyasallar ve kimyasal ürünler ile makine ve teçhizat hariç, fabrikasyon metal ürünleri (Grafik 8) ihracatlarının 2020 yılı Mart ayında düşüşe geçtiği ve Mayıs ayında en düşük seviyeye indiği saptanmıştır. Bu sektörlerde ihracatın Mayıs ayından sonra yükselişe geçtiği görülmüştür. Aynı zamanda </w:t>
      </w:r>
      <w:r w:rsidRPr="00164238">
        <w:rPr>
          <w:rFonts w:ascii="Times New Roman" w:hAnsi="Times New Roman" w:cs="Times New Roman"/>
          <w:color w:val="000000" w:themeColor="text1"/>
          <w:sz w:val="20"/>
          <w:szCs w:val="20"/>
        </w:rPr>
        <w:lastRenderedPageBreak/>
        <w:t xml:space="preserve">bu sektörlerde 2020 Aralık ayı ihracat rakamlarının 2019 yılının Aralık ayındaki ihracat rakamlarının üzerine çıktığı gözlemlenmiştir. </w:t>
      </w:r>
    </w:p>
    <w:p w14:paraId="3FCDFF6F" w14:textId="77777777" w:rsidR="00C54BC9" w:rsidRPr="00164238" w:rsidRDefault="00C54BC9" w:rsidP="00C54BC9">
      <w:pPr>
        <w:tabs>
          <w:tab w:val="left" w:pos="1425"/>
        </w:tabs>
        <w:spacing w:after="0" w:line="240" w:lineRule="auto"/>
        <w:rPr>
          <w:rFonts w:ascii="Times New Roman" w:hAnsi="Times New Roman" w:cs="Times New Roman"/>
          <w:b/>
          <w:bCs/>
          <w:color w:val="000000" w:themeColor="text1"/>
        </w:rPr>
      </w:pPr>
      <w:r w:rsidRPr="00164238">
        <w:rPr>
          <w:rFonts w:ascii="Times New Roman" w:hAnsi="Times New Roman" w:cs="Times New Roman"/>
          <w:b/>
          <w:bCs/>
          <w:color w:val="000000" w:themeColor="text1"/>
        </w:rPr>
        <w:t>Grafik 7: (Değer: Bin USD)</w:t>
      </w:r>
    </w:p>
    <w:p w14:paraId="5CCD1439" w14:textId="77777777" w:rsidR="00C54BC9" w:rsidRPr="00164238" w:rsidRDefault="00C54BC9" w:rsidP="00C54BC9">
      <w:pPr>
        <w:tabs>
          <w:tab w:val="left" w:pos="1425"/>
        </w:tabs>
        <w:spacing w:after="0" w:line="240" w:lineRule="auto"/>
        <w:rPr>
          <w:rFonts w:ascii="Times New Roman" w:hAnsi="Times New Roman" w:cs="Times New Roman"/>
          <w:b/>
          <w:bCs/>
          <w:color w:val="000000" w:themeColor="text1"/>
        </w:rPr>
      </w:pPr>
      <w:r w:rsidRPr="00164238">
        <w:rPr>
          <w:rFonts w:ascii="Times New Roman" w:hAnsi="Times New Roman" w:cs="Times New Roman"/>
          <w:noProof/>
          <w:color w:val="000000" w:themeColor="text1"/>
          <w:lang w:val="en-US"/>
        </w:rPr>
        <w:drawing>
          <wp:inline distT="0" distB="0" distL="0" distR="0" wp14:anchorId="29236C01" wp14:editId="4EF32499">
            <wp:extent cx="2857500" cy="3705225"/>
            <wp:effectExtent l="0" t="0" r="0" b="9525"/>
            <wp:docPr id="85" name="Grafik 85">
              <a:extLst xmlns:a="http://schemas.openxmlformats.org/drawingml/2006/main">
                <a:ext uri="{FF2B5EF4-FFF2-40B4-BE49-F238E27FC236}">
                  <a16:creationId xmlns:a16="http://schemas.microsoft.com/office/drawing/2014/main" id="{C1DA4D41-0231-4A8E-B523-7429F57C3C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r w:rsidRPr="00164238">
        <w:rPr>
          <w:rFonts w:ascii="Times New Roman" w:hAnsi="Times New Roman" w:cs="Times New Roman"/>
          <w:noProof/>
          <w:color w:val="000000" w:themeColor="text1"/>
          <w:lang w:val="en-US"/>
        </w:rPr>
        <w:drawing>
          <wp:inline distT="0" distB="0" distL="0" distR="0" wp14:anchorId="60CFF14C" wp14:editId="2468EA25">
            <wp:extent cx="2886075" cy="3705225"/>
            <wp:effectExtent l="0" t="0" r="9525" b="9525"/>
            <wp:docPr id="86" name="Grafik 86">
              <a:extLst xmlns:a="http://schemas.openxmlformats.org/drawingml/2006/main">
                <a:ext uri="{FF2B5EF4-FFF2-40B4-BE49-F238E27FC236}">
                  <a16:creationId xmlns:a16="http://schemas.microsoft.com/office/drawing/2014/main" id="{CAD10D82-E73F-477F-BB47-8F58E7F8D6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14:paraId="428DB2D0" w14:textId="77777777" w:rsidR="00C54BC9" w:rsidRPr="00164238" w:rsidRDefault="00C54BC9" w:rsidP="00C54BC9">
      <w:pPr>
        <w:spacing w:after="0" w:line="240" w:lineRule="auto"/>
        <w:rPr>
          <w:rFonts w:ascii="Times New Roman" w:hAnsi="Times New Roman" w:cs="Times New Roman"/>
          <w:color w:val="000000" w:themeColor="text1"/>
        </w:rPr>
      </w:pPr>
      <w:r w:rsidRPr="00164238">
        <w:rPr>
          <w:rFonts w:ascii="Times New Roman" w:hAnsi="Times New Roman" w:cs="Times New Roman"/>
          <w:b/>
          <w:bCs/>
          <w:color w:val="000000" w:themeColor="text1"/>
        </w:rPr>
        <w:lastRenderedPageBreak/>
        <w:t xml:space="preserve">Kaynak: </w:t>
      </w:r>
      <w:r w:rsidRPr="00164238">
        <w:rPr>
          <w:rFonts w:ascii="Times New Roman" w:hAnsi="Times New Roman" w:cs="Times New Roman"/>
          <w:color w:val="000000" w:themeColor="text1"/>
        </w:rPr>
        <w:t>TÜİK verileri derlenerek yazar tarafından oluşturulmuştur.</w:t>
      </w:r>
    </w:p>
    <w:p w14:paraId="5111A2D0" w14:textId="77777777" w:rsidR="00C54BC9" w:rsidRPr="00164238" w:rsidRDefault="00C54BC9" w:rsidP="00C54BC9">
      <w:pPr>
        <w:tabs>
          <w:tab w:val="left" w:pos="1425"/>
        </w:tabs>
        <w:spacing w:after="0" w:line="240" w:lineRule="auto"/>
        <w:rPr>
          <w:rFonts w:ascii="Times New Roman" w:hAnsi="Times New Roman" w:cs="Times New Roman"/>
          <w:b/>
          <w:bCs/>
          <w:color w:val="000000" w:themeColor="text1"/>
        </w:rPr>
      </w:pPr>
    </w:p>
    <w:p w14:paraId="2C9FE9D1" w14:textId="3195406F" w:rsidR="00C54BC9" w:rsidRPr="00164238" w:rsidRDefault="00C54BC9" w:rsidP="00C54BC9">
      <w:pPr>
        <w:tabs>
          <w:tab w:val="left" w:pos="1425"/>
        </w:tabs>
        <w:spacing w:after="0" w:line="240" w:lineRule="auto"/>
        <w:rPr>
          <w:rFonts w:ascii="Times New Roman" w:hAnsi="Times New Roman" w:cs="Times New Roman"/>
          <w:b/>
          <w:bCs/>
          <w:color w:val="000000" w:themeColor="text1"/>
        </w:rPr>
      </w:pPr>
    </w:p>
    <w:p w14:paraId="0DD9D21E" w14:textId="77777777" w:rsidR="00C54BC9" w:rsidRPr="00164238" w:rsidRDefault="00C54BC9" w:rsidP="00C54BC9">
      <w:pPr>
        <w:tabs>
          <w:tab w:val="left" w:pos="1425"/>
        </w:tabs>
        <w:spacing w:after="0" w:line="240" w:lineRule="auto"/>
        <w:rPr>
          <w:rFonts w:ascii="Times New Roman" w:hAnsi="Times New Roman" w:cs="Times New Roman"/>
          <w:b/>
          <w:bCs/>
          <w:color w:val="000000" w:themeColor="text1"/>
        </w:rPr>
      </w:pPr>
      <w:r w:rsidRPr="00164238">
        <w:rPr>
          <w:rFonts w:ascii="Times New Roman" w:hAnsi="Times New Roman" w:cs="Times New Roman"/>
          <w:b/>
          <w:bCs/>
          <w:color w:val="000000" w:themeColor="text1"/>
        </w:rPr>
        <w:t>Grafik 8: (Değer: Bin USD)</w:t>
      </w:r>
    </w:p>
    <w:p w14:paraId="785E7E8B" w14:textId="77777777" w:rsidR="00C54BC9" w:rsidRPr="00164238" w:rsidRDefault="00C54BC9" w:rsidP="00C54BC9">
      <w:pPr>
        <w:tabs>
          <w:tab w:val="left" w:pos="6379"/>
        </w:tabs>
        <w:spacing w:after="0" w:line="240" w:lineRule="auto"/>
        <w:rPr>
          <w:rFonts w:ascii="Times New Roman" w:hAnsi="Times New Roman" w:cs="Times New Roman"/>
          <w:noProof/>
          <w:color w:val="000000" w:themeColor="text1"/>
        </w:rPr>
      </w:pPr>
      <w:r w:rsidRPr="00164238">
        <w:rPr>
          <w:rFonts w:ascii="Times New Roman" w:hAnsi="Times New Roman" w:cs="Times New Roman"/>
          <w:noProof/>
          <w:color w:val="000000" w:themeColor="text1"/>
          <w:lang w:val="en-US"/>
        </w:rPr>
        <w:drawing>
          <wp:inline distT="0" distB="0" distL="0" distR="0" wp14:anchorId="67EB58BE" wp14:editId="4AB85FEB">
            <wp:extent cx="2867025" cy="3495675"/>
            <wp:effectExtent l="0" t="0" r="9525" b="9525"/>
            <wp:docPr id="87" name="Grafik 87">
              <a:extLst xmlns:a="http://schemas.openxmlformats.org/drawingml/2006/main">
                <a:ext uri="{FF2B5EF4-FFF2-40B4-BE49-F238E27FC236}">
                  <a16:creationId xmlns:a16="http://schemas.microsoft.com/office/drawing/2014/main" id="{CFD24003-5DEE-4052-949A-F264101562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r w:rsidRPr="00164238">
        <w:rPr>
          <w:rFonts w:ascii="Times New Roman" w:hAnsi="Times New Roman" w:cs="Times New Roman"/>
          <w:noProof/>
          <w:color w:val="000000" w:themeColor="text1"/>
          <w:lang w:val="en-US"/>
        </w:rPr>
        <w:drawing>
          <wp:inline distT="0" distB="0" distL="0" distR="0" wp14:anchorId="1E448D9E" wp14:editId="46F9B8AB">
            <wp:extent cx="2857500" cy="3505200"/>
            <wp:effectExtent l="0" t="0" r="0" b="0"/>
            <wp:docPr id="88" name="Grafik 88">
              <a:extLst xmlns:a="http://schemas.openxmlformats.org/drawingml/2006/main">
                <a:ext uri="{FF2B5EF4-FFF2-40B4-BE49-F238E27FC236}">
                  <a16:creationId xmlns:a16="http://schemas.microsoft.com/office/drawing/2014/main" id="{48C6AE13-ADD0-43F1-B650-920326D7DD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14:paraId="5C299CCC" w14:textId="77777777" w:rsidR="00C54BC9" w:rsidRPr="00164238" w:rsidRDefault="00C54BC9" w:rsidP="00C54BC9">
      <w:pPr>
        <w:spacing w:after="0" w:line="240" w:lineRule="auto"/>
        <w:rPr>
          <w:rFonts w:ascii="Times New Roman" w:hAnsi="Times New Roman" w:cs="Times New Roman"/>
          <w:color w:val="000000" w:themeColor="text1"/>
        </w:rPr>
      </w:pPr>
      <w:r w:rsidRPr="00164238">
        <w:rPr>
          <w:rFonts w:ascii="Times New Roman" w:hAnsi="Times New Roman" w:cs="Times New Roman"/>
          <w:b/>
          <w:bCs/>
          <w:color w:val="000000" w:themeColor="text1"/>
        </w:rPr>
        <w:t xml:space="preserve">Kaynak: </w:t>
      </w:r>
      <w:r w:rsidRPr="00164238">
        <w:rPr>
          <w:rFonts w:ascii="Times New Roman" w:hAnsi="Times New Roman" w:cs="Times New Roman"/>
          <w:color w:val="000000" w:themeColor="text1"/>
        </w:rPr>
        <w:t>TÜİK verileri derlenerek yazar tarafından oluşturulmuştur.</w:t>
      </w:r>
    </w:p>
    <w:p w14:paraId="43711327" w14:textId="77777777" w:rsidR="00C54BC9" w:rsidRPr="00164238" w:rsidRDefault="00C54BC9" w:rsidP="00C54BC9">
      <w:pPr>
        <w:spacing w:after="0" w:line="240" w:lineRule="auto"/>
        <w:rPr>
          <w:rFonts w:ascii="Times New Roman" w:hAnsi="Times New Roman" w:cs="Times New Roman"/>
          <w:color w:val="000000" w:themeColor="text1"/>
        </w:rPr>
      </w:pPr>
    </w:p>
    <w:p w14:paraId="63F89F39" w14:textId="77777777" w:rsidR="00C54BC9" w:rsidRPr="00164238" w:rsidRDefault="00C54BC9" w:rsidP="00C54BC9">
      <w:pPr>
        <w:spacing w:after="0" w:line="240" w:lineRule="auto"/>
        <w:rPr>
          <w:rFonts w:ascii="Times New Roman" w:hAnsi="Times New Roman" w:cs="Times New Roman"/>
          <w:color w:val="000000" w:themeColor="text1"/>
        </w:rPr>
      </w:pPr>
    </w:p>
    <w:p w14:paraId="511FC7AF" w14:textId="77777777" w:rsidR="006A4DC2" w:rsidRDefault="006A4DC2" w:rsidP="00C54BC9">
      <w:pPr>
        <w:spacing w:before="120" w:after="120" w:line="360" w:lineRule="auto"/>
        <w:ind w:firstLine="567"/>
        <w:jc w:val="both"/>
        <w:rPr>
          <w:rFonts w:ascii="Times New Roman" w:hAnsi="Times New Roman" w:cs="Times New Roman"/>
          <w:b/>
          <w:bCs/>
          <w:color w:val="000000" w:themeColor="text1"/>
          <w:sz w:val="20"/>
          <w:szCs w:val="20"/>
        </w:rPr>
      </w:pPr>
    </w:p>
    <w:p w14:paraId="540148AA" w14:textId="461FE84E" w:rsidR="00C54BC9" w:rsidRPr="00164238" w:rsidRDefault="00C54BC9" w:rsidP="00C54BC9">
      <w:pPr>
        <w:spacing w:before="120" w:after="120" w:line="360" w:lineRule="auto"/>
        <w:ind w:firstLine="567"/>
        <w:jc w:val="both"/>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Yöntem</w:t>
      </w:r>
    </w:p>
    <w:p w14:paraId="504D7E5E" w14:textId="77777777" w:rsidR="00C54BC9" w:rsidRPr="00164238" w:rsidRDefault="00C54BC9" w:rsidP="00C54BC9">
      <w:pPr>
        <w:spacing w:before="120" w:after="120" w:line="360" w:lineRule="auto"/>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Covid 19 sonrası dönemde Türk imalat sanayiinin rekabet gücünün ölçüldüğü bu alt başlıkta analizde kullanılan yöntem açıklanacaktır. Ardından elde edilen bulgular aracılığıyla Covid 19’un Türk İmalat Sanayii’nin Dünya, AB 27 ve Birleşik Krallık pazarında rekabet gücü ve net dış ticaret dengesinde bir etkiye sahip olup olmadığı analiz edilecektir. </w:t>
      </w:r>
    </w:p>
    <w:p w14:paraId="47F5C978" w14:textId="77777777" w:rsidR="00C54BC9" w:rsidRPr="00164238" w:rsidRDefault="00C54BC9" w:rsidP="00C54BC9">
      <w:pPr>
        <w:spacing w:before="120" w:after="120" w:line="360" w:lineRule="auto"/>
        <w:ind w:firstLine="567"/>
        <w:jc w:val="both"/>
        <w:rPr>
          <w:rFonts w:ascii="Times New Roman" w:hAnsi="Times New Roman" w:cs="Times New Roman"/>
          <w:b/>
          <w:bCs/>
          <w:color w:val="000000" w:themeColor="text1"/>
          <w:sz w:val="20"/>
          <w:szCs w:val="20"/>
        </w:rPr>
      </w:pPr>
      <w:r w:rsidRPr="00164238">
        <w:rPr>
          <w:rFonts w:ascii="Times New Roman" w:hAnsi="Times New Roman" w:cs="Times New Roman"/>
          <w:color w:val="000000" w:themeColor="text1"/>
          <w:sz w:val="20"/>
          <w:szCs w:val="20"/>
        </w:rPr>
        <w:t>Rekabet analizinde Karşılaştırmalı Açıklanmış Üstünlükler Endeksi ve Ticaret Dengesi Endeksi kullanılmıştır.</w:t>
      </w:r>
    </w:p>
    <w:p w14:paraId="3B3EDAF5" w14:textId="77777777" w:rsidR="00C54BC9" w:rsidRPr="00164238" w:rsidRDefault="00C54BC9" w:rsidP="00C54BC9">
      <w:pPr>
        <w:spacing w:before="120" w:after="120" w:line="360" w:lineRule="auto"/>
        <w:ind w:firstLine="567"/>
        <w:jc w:val="both"/>
        <w:rPr>
          <w:rFonts w:ascii="Times New Roman" w:hAnsi="Times New Roman" w:cs="Times New Roman"/>
          <w:b/>
          <w:color w:val="000000" w:themeColor="text1"/>
          <w:sz w:val="20"/>
          <w:szCs w:val="20"/>
        </w:rPr>
      </w:pPr>
      <w:r w:rsidRPr="00164238">
        <w:rPr>
          <w:rFonts w:ascii="Times New Roman" w:hAnsi="Times New Roman" w:cs="Times New Roman"/>
          <w:b/>
          <w:color w:val="000000" w:themeColor="text1"/>
          <w:sz w:val="20"/>
          <w:szCs w:val="20"/>
        </w:rPr>
        <w:t>Açıklanmış Karşılaştırmalı Üstünlükler Endeksi (RCA)</w:t>
      </w:r>
    </w:p>
    <w:p w14:paraId="7562C516" w14:textId="77777777" w:rsidR="00C54BC9" w:rsidRPr="00164238" w:rsidRDefault="00C54BC9" w:rsidP="00C54BC9">
      <w:pPr>
        <w:spacing w:before="120" w:after="120" w:line="360" w:lineRule="auto"/>
        <w:ind w:firstLine="567"/>
        <w:jc w:val="both"/>
        <w:rPr>
          <w:rFonts w:ascii="Times New Roman" w:hAnsi="Times New Roman" w:cs="Times New Roman"/>
          <w:b/>
          <w:bCs/>
          <w:color w:val="000000" w:themeColor="text1"/>
          <w:sz w:val="20"/>
          <w:szCs w:val="20"/>
        </w:rPr>
      </w:pPr>
      <w:r w:rsidRPr="00164238">
        <w:rPr>
          <w:rFonts w:ascii="Times New Roman" w:hAnsi="Times New Roman" w:cs="Times New Roman"/>
          <w:color w:val="000000" w:themeColor="text1"/>
          <w:sz w:val="20"/>
          <w:szCs w:val="20"/>
        </w:rPr>
        <w:t xml:space="preserve">Balassa (1965) tarafından geliştirilen Açıklanmış Karşılaştırmalı Üstünlükler Endeksi (RCA) bir ülkenin bir ürün/ürün grubunda rekabet üstünlüğünün olup olmadığını göstermektedir. Analizde, Balassa’nın Açıklanmış Karşılaştırmalı Üstünlükler Endeksinde sadece ihracat verilerini dikkate alan endeksi yerine hem ihracat hem de ithalat değerlerini alan logaritmik formülü kullanılmıştır. Endeks şu şekilde formülize edilmektedir:  </w:t>
      </w:r>
    </w:p>
    <w:p w14:paraId="692FE642" w14:textId="77777777" w:rsidR="00C54BC9" w:rsidRPr="00164238" w:rsidRDefault="00C54BC9" w:rsidP="00C54BC9">
      <w:pPr>
        <w:spacing w:before="240" w:after="240" w:line="360" w:lineRule="auto"/>
        <w:ind w:firstLine="709"/>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                                           R</w:t>
      </w:r>
      <w:r w:rsidRPr="00164238">
        <w:rPr>
          <w:rFonts w:ascii="Times New Roman" w:eastAsiaTheme="minorEastAsia" w:hAnsi="Times New Roman" w:cs="Times New Roman"/>
          <w:color w:val="000000" w:themeColor="text1"/>
          <w:sz w:val="20"/>
          <w:szCs w:val="20"/>
        </w:rPr>
        <w:t>CA</w:t>
      </w:r>
      <w:r w:rsidRPr="00164238">
        <w:rPr>
          <w:rFonts w:ascii="Times New Roman" w:eastAsiaTheme="minorEastAsia" w:hAnsi="Times New Roman" w:cs="Times New Roman"/>
          <w:color w:val="000000" w:themeColor="text1"/>
          <w:sz w:val="20"/>
          <w:szCs w:val="20"/>
          <w:vertAlign w:val="subscript"/>
        </w:rPr>
        <w:t>ij</w:t>
      </w:r>
      <w:r w:rsidRPr="00164238">
        <w:rPr>
          <w:rFonts w:ascii="Times New Roman" w:hAnsi="Times New Roman" w:cs="Times New Roman"/>
          <w:color w:val="000000" w:themeColor="text1"/>
          <w:sz w:val="20"/>
          <w:szCs w:val="20"/>
        </w:rPr>
        <w:t xml:space="preserve">= </w:t>
      </w:r>
      <w:r w:rsidRPr="00164238">
        <w:rPr>
          <w:rFonts w:ascii="Times New Roman" w:hAnsi="Times New Roman" w:cs="Times New Roman"/>
          <w:color w:val="000000" w:themeColor="text1"/>
          <w:position w:val="-14"/>
          <w:sz w:val="20"/>
          <w:szCs w:val="20"/>
        </w:rPr>
        <w:object w:dxaOrig="2320" w:dyaOrig="380" w14:anchorId="1FA3D86D">
          <v:shape id="_x0000_i1026" type="#_x0000_t75" style="width:115.5pt;height:21.75pt" o:ole="">
            <v:imagedata r:id="rId166" o:title=""/>
          </v:shape>
          <o:OLEObject Type="Embed" ProgID="Equation.3" ShapeID="_x0000_i1026" DrawAspect="Content" ObjectID="_1683575703" r:id="rId167"/>
        </w:object>
      </w:r>
    </w:p>
    <w:p w14:paraId="6DA1692F" w14:textId="77777777" w:rsidR="00C54BC9" w:rsidRPr="00164238" w:rsidRDefault="00C54BC9" w:rsidP="00C54BC9">
      <w:pPr>
        <w:autoSpaceDE w:val="0"/>
        <w:autoSpaceDN w:val="0"/>
        <w:adjustRightInd w:val="0"/>
        <w:spacing w:before="240" w:after="240" w:line="360" w:lineRule="auto"/>
        <w:ind w:firstLine="567"/>
        <w:rPr>
          <w:rFonts w:ascii="Times New Roman" w:eastAsiaTheme="minorEastAsia" w:hAnsi="Times New Roman" w:cs="Times New Roman"/>
          <w:color w:val="000000" w:themeColor="text1"/>
          <w:sz w:val="20"/>
          <w:szCs w:val="20"/>
        </w:rPr>
      </w:pPr>
      <w:r w:rsidRPr="00164238">
        <w:rPr>
          <w:rFonts w:ascii="Times New Roman" w:eastAsiaTheme="minorEastAsia" w:hAnsi="Times New Roman" w:cs="Times New Roman"/>
          <w:color w:val="000000" w:themeColor="text1"/>
          <w:sz w:val="20"/>
          <w:szCs w:val="20"/>
        </w:rPr>
        <w:t>RCA</w:t>
      </w:r>
      <w:r w:rsidRPr="00164238">
        <w:rPr>
          <w:rFonts w:ascii="Times New Roman" w:eastAsiaTheme="minorEastAsia" w:hAnsi="Times New Roman" w:cs="Times New Roman"/>
          <w:color w:val="000000" w:themeColor="text1"/>
          <w:sz w:val="20"/>
          <w:szCs w:val="20"/>
          <w:vertAlign w:val="subscript"/>
        </w:rPr>
        <w:t>ij</w:t>
      </w:r>
      <w:r w:rsidRPr="00164238">
        <w:rPr>
          <w:rFonts w:ascii="Times New Roman" w:eastAsiaTheme="minorEastAsia" w:hAnsi="Times New Roman" w:cs="Times New Roman"/>
          <w:color w:val="000000" w:themeColor="text1"/>
          <w:sz w:val="20"/>
          <w:szCs w:val="20"/>
        </w:rPr>
        <w:t>= i ülkesinin j ürünü için açıklanmış karşılaştırmalı üstünlükler endeksi</w:t>
      </w:r>
    </w:p>
    <w:p w14:paraId="644D2FE6" w14:textId="77777777" w:rsidR="00C54BC9" w:rsidRPr="00164238" w:rsidRDefault="00C54BC9" w:rsidP="00C54BC9">
      <w:pPr>
        <w:autoSpaceDE w:val="0"/>
        <w:autoSpaceDN w:val="0"/>
        <w:adjustRightInd w:val="0"/>
        <w:spacing w:before="240" w:after="240" w:line="360" w:lineRule="auto"/>
        <w:ind w:firstLine="567"/>
        <w:rPr>
          <w:rFonts w:ascii="Times New Roman" w:eastAsiaTheme="minorEastAsia" w:hAnsi="Times New Roman" w:cs="Times New Roman"/>
          <w:color w:val="000000" w:themeColor="text1"/>
          <w:sz w:val="20"/>
          <w:szCs w:val="20"/>
        </w:rPr>
      </w:pPr>
      <w:r w:rsidRPr="00164238">
        <w:rPr>
          <w:rFonts w:ascii="Times New Roman" w:eastAsiaTheme="minorEastAsia" w:hAnsi="Times New Roman" w:cs="Times New Roman"/>
          <w:color w:val="000000" w:themeColor="text1"/>
          <w:sz w:val="20"/>
          <w:szCs w:val="20"/>
        </w:rPr>
        <w:t>X</w:t>
      </w:r>
      <w:r w:rsidRPr="00164238">
        <w:rPr>
          <w:rFonts w:ascii="Times New Roman" w:eastAsiaTheme="minorEastAsia" w:hAnsi="Times New Roman" w:cs="Times New Roman"/>
          <w:color w:val="000000" w:themeColor="text1"/>
          <w:sz w:val="20"/>
          <w:szCs w:val="20"/>
          <w:vertAlign w:val="subscript"/>
        </w:rPr>
        <w:t>ij</w:t>
      </w:r>
      <w:r w:rsidRPr="00164238">
        <w:rPr>
          <w:rFonts w:ascii="Times New Roman" w:eastAsiaTheme="minorEastAsia" w:hAnsi="Times New Roman" w:cs="Times New Roman"/>
          <w:color w:val="000000" w:themeColor="text1"/>
          <w:sz w:val="20"/>
          <w:szCs w:val="20"/>
        </w:rPr>
        <w:t>= i ülkesinin ilgili pazarda j ürün/ürün grubu ihracatı</w:t>
      </w:r>
    </w:p>
    <w:p w14:paraId="00338644" w14:textId="77777777" w:rsidR="00C54BC9" w:rsidRPr="00164238" w:rsidRDefault="00C54BC9" w:rsidP="00C54BC9">
      <w:pPr>
        <w:autoSpaceDE w:val="0"/>
        <w:autoSpaceDN w:val="0"/>
        <w:adjustRightInd w:val="0"/>
        <w:spacing w:before="240" w:after="240" w:line="360" w:lineRule="auto"/>
        <w:ind w:firstLine="567"/>
        <w:rPr>
          <w:rFonts w:ascii="Times New Roman" w:eastAsiaTheme="minorEastAsia" w:hAnsi="Times New Roman" w:cs="Times New Roman"/>
          <w:color w:val="000000" w:themeColor="text1"/>
          <w:sz w:val="20"/>
          <w:szCs w:val="20"/>
        </w:rPr>
      </w:pPr>
      <w:r w:rsidRPr="00164238">
        <w:rPr>
          <w:rFonts w:ascii="Times New Roman" w:eastAsiaTheme="minorEastAsia" w:hAnsi="Times New Roman" w:cs="Times New Roman"/>
          <w:color w:val="000000" w:themeColor="text1"/>
          <w:sz w:val="20"/>
          <w:szCs w:val="20"/>
        </w:rPr>
        <w:t>X</w:t>
      </w:r>
      <w:r w:rsidRPr="00164238">
        <w:rPr>
          <w:rFonts w:ascii="Times New Roman" w:eastAsiaTheme="minorEastAsia" w:hAnsi="Times New Roman" w:cs="Times New Roman"/>
          <w:color w:val="000000" w:themeColor="text1"/>
          <w:sz w:val="20"/>
          <w:szCs w:val="20"/>
          <w:vertAlign w:val="subscript"/>
        </w:rPr>
        <w:t>it</w:t>
      </w:r>
      <w:r w:rsidRPr="00164238">
        <w:rPr>
          <w:rFonts w:ascii="Times New Roman" w:eastAsiaTheme="minorEastAsia" w:hAnsi="Times New Roman" w:cs="Times New Roman"/>
          <w:color w:val="000000" w:themeColor="text1"/>
          <w:sz w:val="20"/>
          <w:szCs w:val="20"/>
        </w:rPr>
        <w:t>= i ülkesinin ilgili pazarda toplam ihracatı</w:t>
      </w:r>
    </w:p>
    <w:p w14:paraId="53B28DE8" w14:textId="77777777" w:rsidR="00C54BC9" w:rsidRPr="00164238" w:rsidRDefault="00C54BC9" w:rsidP="00C54BC9">
      <w:pPr>
        <w:autoSpaceDE w:val="0"/>
        <w:autoSpaceDN w:val="0"/>
        <w:adjustRightInd w:val="0"/>
        <w:spacing w:before="240" w:after="240" w:line="360" w:lineRule="auto"/>
        <w:ind w:firstLine="567"/>
        <w:rPr>
          <w:rFonts w:ascii="Times New Roman" w:eastAsiaTheme="minorEastAsia" w:hAnsi="Times New Roman" w:cs="Times New Roman"/>
          <w:color w:val="000000" w:themeColor="text1"/>
          <w:sz w:val="20"/>
          <w:szCs w:val="20"/>
        </w:rPr>
      </w:pPr>
      <w:r w:rsidRPr="00164238">
        <w:rPr>
          <w:rFonts w:ascii="Times New Roman" w:eastAsiaTheme="minorEastAsia" w:hAnsi="Times New Roman" w:cs="Times New Roman"/>
          <w:color w:val="000000" w:themeColor="text1"/>
          <w:sz w:val="20"/>
          <w:szCs w:val="20"/>
        </w:rPr>
        <w:t>M</w:t>
      </w:r>
      <w:r w:rsidRPr="00164238">
        <w:rPr>
          <w:rFonts w:ascii="Times New Roman" w:eastAsiaTheme="minorEastAsia" w:hAnsi="Times New Roman" w:cs="Times New Roman"/>
          <w:color w:val="000000" w:themeColor="text1"/>
          <w:sz w:val="20"/>
          <w:szCs w:val="20"/>
          <w:vertAlign w:val="subscript"/>
        </w:rPr>
        <w:t>ij</w:t>
      </w:r>
      <w:r w:rsidRPr="00164238">
        <w:rPr>
          <w:rFonts w:ascii="Times New Roman" w:eastAsiaTheme="minorEastAsia" w:hAnsi="Times New Roman" w:cs="Times New Roman"/>
          <w:color w:val="000000" w:themeColor="text1"/>
          <w:sz w:val="20"/>
          <w:szCs w:val="20"/>
        </w:rPr>
        <w:t>= i ülkesinin ilgili pazarda j ürün/ürün grubu ithalatı</w:t>
      </w:r>
    </w:p>
    <w:p w14:paraId="03FAE7C3" w14:textId="77777777" w:rsidR="00C54BC9" w:rsidRPr="00164238" w:rsidRDefault="00C54BC9" w:rsidP="00C54BC9">
      <w:pPr>
        <w:autoSpaceDE w:val="0"/>
        <w:autoSpaceDN w:val="0"/>
        <w:adjustRightInd w:val="0"/>
        <w:spacing w:before="240" w:after="240" w:line="360" w:lineRule="auto"/>
        <w:ind w:firstLine="567"/>
        <w:rPr>
          <w:rFonts w:ascii="Times New Roman" w:eastAsiaTheme="minorEastAsia" w:hAnsi="Times New Roman" w:cs="Times New Roman"/>
          <w:color w:val="000000" w:themeColor="text1"/>
          <w:sz w:val="20"/>
          <w:szCs w:val="20"/>
        </w:rPr>
      </w:pPr>
      <w:r w:rsidRPr="00164238">
        <w:rPr>
          <w:rFonts w:ascii="Times New Roman" w:eastAsiaTheme="minorEastAsia" w:hAnsi="Times New Roman" w:cs="Times New Roman"/>
          <w:color w:val="000000" w:themeColor="text1"/>
          <w:sz w:val="20"/>
          <w:szCs w:val="20"/>
        </w:rPr>
        <w:t>M</w:t>
      </w:r>
      <w:r w:rsidRPr="00164238">
        <w:rPr>
          <w:rFonts w:ascii="Times New Roman" w:eastAsiaTheme="minorEastAsia" w:hAnsi="Times New Roman" w:cs="Times New Roman"/>
          <w:color w:val="000000" w:themeColor="text1"/>
          <w:sz w:val="20"/>
          <w:szCs w:val="20"/>
          <w:vertAlign w:val="subscript"/>
        </w:rPr>
        <w:t>it</w:t>
      </w:r>
      <w:r w:rsidRPr="00164238">
        <w:rPr>
          <w:rFonts w:ascii="Times New Roman" w:eastAsiaTheme="minorEastAsia" w:hAnsi="Times New Roman" w:cs="Times New Roman"/>
          <w:color w:val="000000" w:themeColor="text1"/>
          <w:sz w:val="20"/>
          <w:szCs w:val="20"/>
        </w:rPr>
        <w:t>= i ülkesinin ilgili pazarda toplam ithalatı</w:t>
      </w:r>
    </w:p>
    <w:p w14:paraId="4B99C39C" w14:textId="77777777" w:rsidR="00C54BC9" w:rsidRPr="00164238" w:rsidRDefault="00C54BC9" w:rsidP="00C54BC9">
      <w:pPr>
        <w:autoSpaceDE w:val="0"/>
        <w:autoSpaceDN w:val="0"/>
        <w:adjustRightInd w:val="0"/>
        <w:spacing w:before="240" w:after="240" w:line="360" w:lineRule="auto"/>
        <w:ind w:firstLine="567"/>
        <w:rPr>
          <w:rFonts w:ascii="Times New Roman" w:eastAsiaTheme="minorEastAsia" w:hAnsi="Times New Roman" w:cs="Times New Roman"/>
          <w:color w:val="000000" w:themeColor="text1"/>
          <w:sz w:val="20"/>
          <w:szCs w:val="20"/>
        </w:rPr>
      </w:pPr>
      <w:r w:rsidRPr="00164238">
        <w:rPr>
          <w:rFonts w:ascii="Times New Roman" w:eastAsiaTheme="minorEastAsia" w:hAnsi="Times New Roman" w:cs="Times New Roman"/>
          <w:color w:val="000000" w:themeColor="text1"/>
          <w:sz w:val="20"/>
          <w:szCs w:val="20"/>
        </w:rPr>
        <w:t xml:space="preserve">RCA endeksi ise şu şekilde yorumlanmaktadır: </w:t>
      </w:r>
    </w:p>
    <w:p w14:paraId="64F2121C" w14:textId="77777777" w:rsidR="00C54BC9" w:rsidRPr="00164238" w:rsidRDefault="00C54BC9" w:rsidP="00C54BC9">
      <w:pPr>
        <w:autoSpaceDE w:val="0"/>
        <w:autoSpaceDN w:val="0"/>
        <w:adjustRightInd w:val="0"/>
        <w:spacing w:before="240" w:after="240" w:line="360" w:lineRule="auto"/>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RCA &gt;  0,5 ise i ülkesinin j sektör/ürün grubunda karşılaştırmalı üstünlüğünün yüksek ya da rekabet avantajı olduğu,</w:t>
      </w:r>
    </w:p>
    <w:p w14:paraId="35AD9F3A" w14:textId="77777777" w:rsidR="00C54BC9" w:rsidRPr="00164238" w:rsidRDefault="00C54BC9" w:rsidP="00C54BC9">
      <w:pPr>
        <w:autoSpaceDE w:val="0"/>
        <w:autoSpaceDN w:val="0"/>
        <w:adjustRightInd w:val="0"/>
        <w:spacing w:before="240" w:after="240" w:line="360" w:lineRule="auto"/>
        <w:ind w:firstLine="567"/>
        <w:jc w:val="both"/>
        <w:rPr>
          <w:rFonts w:ascii="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lang w:eastAsia="tr-TR"/>
        </w:rPr>
        <w:t>-0,5 &lt;</w:t>
      </w:r>
      <w:r w:rsidRPr="00164238">
        <w:rPr>
          <w:rFonts w:ascii="Times New Roman" w:hAnsi="Times New Roman" w:cs="Times New Roman"/>
          <w:color w:val="000000" w:themeColor="text1"/>
          <w:sz w:val="20"/>
          <w:szCs w:val="20"/>
        </w:rPr>
        <w:t xml:space="preserve">RCA  </w:t>
      </w:r>
      <w:r w:rsidRPr="00164238">
        <w:rPr>
          <w:rFonts w:ascii="Times New Roman" w:eastAsia="Times New Roman" w:hAnsi="Times New Roman" w:cs="Times New Roman"/>
          <w:color w:val="000000" w:themeColor="text1"/>
          <w:sz w:val="20"/>
          <w:szCs w:val="20"/>
          <w:lang w:eastAsia="tr-TR"/>
        </w:rPr>
        <w:t>&lt;</w:t>
      </w:r>
      <w:r w:rsidRPr="00164238">
        <w:rPr>
          <w:rFonts w:ascii="Times New Roman" w:hAnsi="Times New Roman" w:cs="Times New Roman"/>
          <w:color w:val="000000" w:themeColor="text1"/>
          <w:sz w:val="20"/>
          <w:szCs w:val="20"/>
        </w:rPr>
        <w:t xml:space="preserve"> 0,5 ise i ülkesinin j sektör/ürün grubunda karşılaştırmalı üstünlüğünün marjinal sınırda olduğu,</w:t>
      </w:r>
    </w:p>
    <w:p w14:paraId="60C252DA" w14:textId="77777777" w:rsidR="00C54BC9" w:rsidRPr="00164238" w:rsidRDefault="00C54BC9" w:rsidP="00C54BC9">
      <w:pPr>
        <w:autoSpaceDE w:val="0"/>
        <w:autoSpaceDN w:val="0"/>
        <w:adjustRightInd w:val="0"/>
        <w:spacing w:before="240" w:after="240" w:line="360" w:lineRule="auto"/>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RCA </w:t>
      </w:r>
      <w:r w:rsidRPr="00164238">
        <w:rPr>
          <w:rFonts w:ascii="Times New Roman" w:eastAsia="Times New Roman" w:hAnsi="Times New Roman" w:cs="Times New Roman"/>
          <w:color w:val="000000" w:themeColor="text1"/>
          <w:sz w:val="20"/>
          <w:szCs w:val="20"/>
          <w:lang w:eastAsia="tr-TR"/>
        </w:rPr>
        <w:t>&lt; -</w:t>
      </w:r>
      <w:r w:rsidRPr="00164238">
        <w:rPr>
          <w:rFonts w:ascii="Times New Roman" w:hAnsi="Times New Roman" w:cs="Times New Roman"/>
          <w:color w:val="000000" w:themeColor="text1"/>
          <w:sz w:val="20"/>
          <w:szCs w:val="20"/>
        </w:rPr>
        <w:t xml:space="preserve"> 0,5 ise i ülkesinin j sektör/ürün grubunda karşılaştırmalı üstünlüğünün düşük ya da  rekabet dezavantajının olduğu şeklinde yorumlanır (Altay, 2008:223-225; Kösekahyaoğlu ve Sarıçoban,2017:431-432).</w:t>
      </w:r>
    </w:p>
    <w:p w14:paraId="5DE70A99" w14:textId="77777777" w:rsidR="00C54BC9" w:rsidRPr="00164238" w:rsidRDefault="00C54BC9" w:rsidP="00C54BC9">
      <w:pPr>
        <w:spacing w:before="120" w:after="120" w:line="360" w:lineRule="auto"/>
        <w:ind w:firstLine="567"/>
        <w:jc w:val="both"/>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rPr>
        <w:lastRenderedPageBreak/>
        <w:t>Ticaret Dengesi Endeksi (TBI)</w:t>
      </w:r>
    </w:p>
    <w:p w14:paraId="038E768A" w14:textId="77777777" w:rsidR="00C54BC9" w:rsidRPr="00164238" w:rsidRDefault="00C54BC9" w:rsidP="00C54BC9">
      <w:pPr>
        <w:autoSpaceDE w:val="0"/>
        <w:autoSpaceDN w:val="0"/>
        <w:adjustRightInd w:val="0"/>
        <w:spacing w:before="120" w:after="120" w:line="360" w:lineRule="auto"/>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Lafay (1992) tarafından geliştirilen Ticaret Dengesi Endeksi (TBI) bir ülkenin bir ürün/ürün grubunda net ihracatçı ya da net ithalatçı olduğu göstermektedir. Endeks şu şekilde formülize edilmektedir:  </w:t>
      </w:r>
    </w:p>
    <w:p w14:paraId="0B662F47" w14:textId="77777777" w:rsidR="00C54BC9" w:rsidRPr="00164238" w:rsidRDefault="00C54BC9" w:rsidP="00C54BC9">
      <w:pPr>
        <w:autoSpaceDE w:val="0"/>
        <w:autoSpaceDN w:val="0"/>
        <w:adjustRightInd w:val="0"/>
        <w:spacing w:before="240" w:after="240" w:line="360" w:lineRule="auto"/>
        <w:ind w:firstLine="709"/>
        <w:jc w:val="center"/>
        <w:rPr>
          <w:rFonts w:ascii="Times New Roman" w:eastAsiaTheme="minorEastAsia" w:hAnsi="Times New Roman" w:cs="Times New Roman"/>
          <w:color w:val="000000" w:themeColor="text1"/>
          <w:sz w:val="20"/>
          <w:szCs w:val="20"/>
        </w:rPr>
      </w:pPr>
      <w:r w:rsidRPr="00164238">
        <w:rPr>
          <w:rFonts w:ascii="Times New Roman" w:eastAsiaTheme="minorEastAsia" w:hAnsi="Times New Roman" w:cs="Times New Roman"/>
          <w:color w:val="000000" w:themeColor="text1"/>
          <w:sz w:val="20"/>
          <w:szCs w:val="20"/>
        </w:rPr>
        <w:t>TBIij=</w:t>
      </w:r>
      <w:r w:rsidRPr="00164238">
        <w:rPr>
          <w:rFonts w:ascii="Times New Roman" w:hAnsi="Times New Roman" w:cs="Times New Roman"/>
          <w:color w:val="000000" w:themeColor="text1"/>
          <w:position w:val="-14"/>
          <w:sz w:val="20"/>
          <w:szCs w:val="20"/>
        </w:rPr>
        <w:object w:dxaOrig="2320" w:dyaOrig="380" w14:anchorId="6BB288F0">
          <v:shape id="_x0000_i1027" type="#_x0000_t75" style="width:115.5pt;height:21.75pt" o:ole="">
            <v:imagedata r:id="rId168" o:title=""/>
          </v:shape>
          <o:OLEObject Type="Embed" ProgID="Equation.3" ShapeID="_x0000_i1027" DrawAspect="Content" ObjectID="_1683575704" r:id="rId169"/>
        </w:object>
      </w:r>
    </w:p>
    <w:p w14:paraId="6A307189" w14:textId="77777777" w:rsidR="00C54BC9" w:rsidRPr="00164238" w:rsidRDefault="00C54BC9" w:rsidP="00C54BC9">
      <w:pPr>
        <w:autoSpaceDE w:val="0"/>
        <w:autoSpaceDN w:val="0"/>
        <w:adjustRightInd w:val="0"/>
        <w:spacing w:before="240" w:after="240" w:line="360" w:lineRule="auto"/>
        <w:ind w:firstLine="567"/>
        <w:rPr>
          <w:rFonts w:ascii="Times New Roman" w:eastAsiaTheme="minorEastAsia" w:hAnsi="Times New Roman" w:cs="Times New Roman"/>
          <w:color w:val="000000" w:themeColor="text1"/>
          <w:sz w:val="20"/>
          <w:szCs w:val="20"/>
        </w:rPr>
      </w:pPr>
      <w:r w:rsidRPr="00164238">
        <w:rPr>
          <w:rFonts w:ascii="Times New Roman" w:eastAsiaTheme="minorEastAsia" w:hAnsi="Times New Roman" w:cs="Times New Roman"/>
          <w:color w:val="000000" w:themeColor="text1"/>
          <w:sz w:val="20"/>
          <w:szCs w:val="20"/>
        </w:rPr>
        <w:t>X</w:t>
      </w:r>
      <w:r w:rsidRPr="00164238">
        <w:rPr>
          <w:rFonts w:ascii="Times New Roman" w:eastAsiaTheme="minorEastAsia" w:hAnsi="Times New Roman" w:cs="Times New Roman"/>
          <w:color w:val="000000" w:themeColor="text1"/>
          <w:sz w:val="20"/>
          <w:szCs w:val="20"/>
          <w:vertAlign w:val="subscript"/>
        </w:rPr>
        <w:t>ij</w:t>
      </w:r>
      <w:r w:rsidRPr="00164238">
        <w:rPr>
          <w:rFonts w:ascii="Times New Roman" w:eastAsiaTheme="minorEastAsia" w:hAnsi="Times New Roman" w:cs="Times New Roman"/>
          <w:color w:val="000000" w:themeColor="text1"/>
          <w:sz w:val="20"/>
          <w:szCs w:val="20"/>
        </w:rPr>
        <w:t>= i ülkesinin j malı ihracatı</w:t>
      </w:r>
    </w:p>
    <w:p w14:paraId="5F807E31" w14:textId="77777777" w:rsidR="00C54BC9" w:rsidRPr="00164238" w:rsidRDefault="00C54BC9" w:rsidP="00C54BC9">
      <w:pPr>
        <w:autoSpaceDE w:val="0"/>
        <w:autoSpaceDN w:val="0"/>
        <w:adjustRightInd w:val="0"/>
        <w:spacing w:before="240" w:after="240" w:line="360" w:lineRule="auto"/>
        <w:ind w:firstLine="567"/>
        <w:rPr>
          <w:rFonts w:ascii="Times New Roman" w:eastAsiaTheme="minorEastAsia" w:hAnsi="Times New Roman" w:cs="Times New Roman"/>
          <w:color w:val="000000" w:themeColor="text1"/>
          <w:sz w:val="20"/>
          <w:szCs w:val="20"/>
        </w:rPr>
      </w:pPr>
      <w:r w:rsidRPr="00164238">
        <w:rPr>
          <w:rFonts w:ascii="Times New Roman" w:eastAsiaTheme="minorEastAsia" w:hAnsi="Times New Roman" w:cs="Times New Roman"/>
          <w:color w:val="000000" w:themeColor="text1"/>
          <w:sz w:val="20"/>
          <w:szCs w:val="20"/>
        </w:rPr>
        <w:t>M</w:t>
      </w:r>
      <w:r w:rsidRPr="00164238">
        <w:rPr>
          <w:rFonts w:ascii="Times New Roman" w:eastAsiaTheme="minorEastAsia" w:hAnsi="Times New Roman" w:cs="Times New Roman"/>
          <w:color w:val="000000" w:themeColor="text1"/>
          <w:sz w:val="20"/>
          <w:szCs w:val="20"/>
          <w:vertAlign w:val="subscript"/>
        </w:rPr>
        <w:t>ij</w:t>
      </w:r>
      <w:r w:rsidRPr="00164238">
        <w:rPr>
          <w:rFonts w:ascii="Times New Roman" w:eastAsiaTheme="minorEastAsia" w:hAnsi="Times New Roman" w:cs="Times New Roman"/>
          <w:color w:val="000000" w:themeColor="text1"/>
          <w:sz w:val="20"/>
          <w:szCs w:val="20"/>
        </w:rPr>
        <w:t>= i ülkesinin j malı ithalatını gösterir.</w:t>
      </w:r>
    </w:p>
    <w:p w14:paraId="4510438C" w14:textId="77777777" w:rsidR="006A4DC2" w:rsidRDefault="00C54BC9" w:rsidP="006A4DC2">
      <w:pPr>
        <w:autoSpaceDE w:val="0"/>
        <w:autoSpaceDN w:val="0"/>
        <w:adjustRightInd w:val="0"/>
        <w:spacing w:beforeLines="120" w:before="288" w:afterLines="120" w:after="288" w:line="240" w:lineRule="auto"/>
        <w:ind w:firstLine="567"/>
        <w:jc w:val="both"/>
        <w:rPr>
          <w:rFonts w:ascii="Times New Roman" w:eastAsiaTheme="minorEastAsia" w:hAnsi="Times New Roman" w:cs="Times New Roman"/>
          <w:color w:val="000000" w:themeColor="text1"/>
          <w:sz w:val="20"/>
          <w:szCs w:val="20"/>
        </w:rPr>
      </w:pPr>
      <w:r w:rsidRPr="00164238">
        <w:rPr>
          <w:rFonts w:ascii="Times New Roman" w:eastAsiaTheme="minorEastAsia" w:hAnsi="Times New Roman" w:cs="Times New Roman"/>
          <w:color w:val="000000" w:themeColor="text1"/>
          <w:sz w:val="20"/>
          <w:szCs w:val="20"/>
        </w:rPr>
        <w:t>-1 ile +1 arasında değer alan TBI endeks değerinin 0’dan küçük (TBIij</w:t>
      </w:r>
      <w:r w:rsidRPr="00164238">
        <w:rPr>
          <w:rFonts w:ascii="Times New Roman" w:eastAsia="Times New Roman" w:hAnsi="Times New Roman" w:cs="Times New Roman"/>
          <w:color w:val="000000" w:themeColor="text1"/>
          <w:sz w:val="20"/>
          <w:szCs w:val="20"/>
          <w:lang w:eastAsia="tr-TR"/>
        </w:rPr>
        <w:t>&lt;</w:t>
      </w:r>
      <w:r w:rsidRPr="00164238">
        <w:rPr>
          <w:rFonts w:ascii="Times New Roman" w:hAnsi="Times New Roman" w:cs="Times New Roman"/>
          <w:color w:val="000000" w:themeColor="text1"/>
          <w:sz w:val="20"/>
          <w:szCs w:val="20"/>
        </w:rPr>
        <w:t xml:space="preserve"> 0) </w:t>
      </w:r>
      <w:r w:rsidRPr="00164238">
        <w:rPr>
          <w:rFonts w:ascii="Times New Roman" w:eastAsiaTheme="minorEastAsia" w:hAnsi="Times New Roman" w:cs="Times New Roman"/>
          <w:color w:val="000000" w:themeColor="text1"/>
          <w:sz w:val="20"/>
          <w:szCs w:val="20"/>
        </w:rPr>
        <w:t>yani negatif olması ilgili ülkenin ürün/ürün grubunda net ithalatçı, endeks değeri 0’dan büyük (TBIij</w:t>
      </w:r>
      <w:r w:rsidRPr="00164238">
        <w:rPr>
          <w:rFonts w:ascii="Times New Roman" w:hAnsi="Times New Roman" w:cs="Times New Roman"/>
          <w:color w:val="000000" w:themeColor="text1"/>
          <w:sz w:val="20"/>
          <w:szCs w:val="20"/>
        </w:rPr>
        <w:t xml:space="preserve">&gt;  0) </w:t>
      </w:r>
      <w:r w:rsidRPr="00164238">
        <w:rPr>
          <w:rFonts w:ascii="Times New Roman" w:eastAsiaTheme="minorEastAsia" w:hAnsi="Times New Roman" w:cs="Times New Roman"/>
          <w:color w:val="000000" w:themeColor="text1"/>
          <w:sz w:val="20"/>
          <w:szCs w:val="20"/>
        </w:rPr>
        <w:t>yani pozitif olması ise ilgili ülkenin ürün/ürün grubunda net ihracatçı olduğunu göstermektedir.</w:t>
      </w:r>
    </w:p>
    <w:p w14:paraId="4EEE9A9E" w14:textId="3FAF59AE" w:rsidR="00C54BC9" w:rsidRPr="00164238" w:rsidRDefault="00C54BC9" w:rsidP="006A4DC2">
      <w:pPr>
        <w:autoSpaceDE w:val="0"/>
        <w:autoSpaceDN w:val="0"/>
        <w:adjustRightInd w:val="0"/>
        <w:spacing w:beforeLines="120" w:before="288" w:afterLines="120" w:after="288" w:line="240" w:lineRule="auto"/>
        <w:ind w:firstLine="567"/>
        <w:jc w:val="both"/>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Veri</w:t>
      </w:r>
    </w:p>
    <w:p w14:paraId="32AE6ED3" w14:textId="77777777" w:rsidR="00C54BC9" w:rsidRPr="00164238" w:rsidRDefault="00C54BC9" w:rsidP="006A4DC2">
      <w:pPr>
        <w:spacing w:before="120" w:after="120" w:line="240" w:lineRule="auto"/>
        <w:ind w:firstLine="567"/>
        <w:jc w:val="both"/>
        <w:rPr>
          <w:rFonts w:ascii="Times New Roman" w:hAnsi="Times New Roman" w:cs="Times New Roman"/>
          <w:b/>
          <w:bCs/>
          <w:color w:val="000000" w:themeColor="text1"/>
          <w:sz w:val="20"/>
          <w:szCs w:val="20"/>
        </w:rPr>
      </w:pPr>
      <w:r w:rsidRPr="00164238">
        <w:rPr>
          <w:rFonts w:ascii="Times New Roman" w:hAnsi="Times New Roman" w:cs="Times New Roman"/>
          <w:color w:val="000000" w:themeColor="text1"/>
          <w:sz w:val="20"/>
          <w:szCs w:val="20"/>
        </w:rPr>
        <w:t>Analizdeki veriler Türkiye İstatistik veri tabanından elde edilmiştir. 2013-2020 döneminde imalat sanayii ISIC Rev.4’e göre, 2 haneli 23 alt sektör esas alınarak incelenmiştir.</w:t>
      </w:r>
    </w:p>
    <w:p w14:paraId="68DE5CCE" w14:textId="77777777" w:rsidR="00C54BC9" w:rsidRPr="00164238" w:rsidRDefault="00C54BC9" w:rsidP="00C54BC9">
      <w:pPr>
        <w:spacing w:before="120" w:after="120" w:line="360" w:lineRule="auto"/>
        <w:ind w:firstLine="567"/>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Bulgular</w:t>
      </w:r>
    </w:p>
    <w:p w14:paraId="359B47F8" w14:textId="77777777" w:rsidR="00C54BC9" w:rsidRPr="00164238" w:rsidRDefault="00C54BC9" w:rsidP="00C54BC9">
      <w:pPr>
        <w:spacing w:before="120" w:after="120" w:line="360" w:lineRule="auto"/>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Bu alt başlıkta Türkiye’nin imalat sanayii alt ürün gruplarında Dünya, AB 27 ve Birleşik Krallık pazarındaki rekabet gücü ve ticaret dengesi Açıklanmış Karşılaştırmalı Üstünlükler Endeksi ve Ticaret Dengesi Endeksi hesaplamaları sonucu elde edilen endeks değerlerine göre karşılaştırmalı olarak analiz edilmiştir.</w:t>
      </w:r>
    </w:p>
    <w:p w14:paraId="5EC98B51" w14:textId="77777777" w:rsidR="00C54BC9" w:rsidRPr="00164238" w:rsidRDefault="00C54BC9" w:rsidP="00C54BC9">
      <w:pPr>
        <w:spacing w:after="0" w:line="240" w:lineRule="auto"/>
        <w:rPr>
          <w:rFonts w:ascii="Times New Roman" w:hAnsi="Times New Roman" w:cs="Times New Roman"/>
          <w:b/>
          <w:bCs/>
          <w:color w:val="000000" w:themeColor="text1"/>
        </w:rPr>
      </w:pPr>
      <w:bookmarkStart w:id="87" w:name="_Hlk68360634"/>
      <w:r w:rsidRPr="00164238">
        <w:rPr>
          <w:rFonts w:ascii="Times New Roman" w:hAnsi="Times New Roman" w:cs="Times New Roman"/>
          <w:b/>
          <w:bCs/>
          <w:color w:val="000000" w:themeColor="text1"/>
        </w:rPr>
        <w:t>Tablo 6: Türk İmalat Sanayii’nin Dünya Pazarında Rekabet Gücü Endeksi</w:t>
      </w:r>
    </w:p>
    <w:tbl>
      <w:tblPr>
        <w:tblW w:w="8388" w:type="dxa"/>
        <w:tblCellMar>
          <w:left w:w="70" w:type="dxa"/>
          <w:right w:w="70" w:type="dxa"/>
        </w:tblCellMar>
        <w:tblLook w:val="04A0" w:firstRow="1" w:lastRow="0" w:firstColumn="1" w:lastColumn="0" w:noHBand="0" w:noVBand="1"/>
      </w:tblPr>
      <w:tblGrid>
        <w:gridCol w:w="1191"/>
        <w:gridCol w:w="680"/>
        <w:gridCol w:w="680"/>
        <w:gridCol w:w="680"/>
        <w:gridCol w:w="680"/>
        <w:gridCol w:w="680"/>
        <w:gridCol w:w="680"/>
        <w:gridCol w:w="680"/>
        <w:gridCol w:w="680"/>
        <w:gridCol w:w="1757"/>
      </w:tblGrid>
      <w:tr w:rsidR="00164238" w:rsidRPr="00164238" w14:paraId="3C656C6C" w14:textId="77777777" w:rsidTr="00682CBF">
        <w:trPr>
          <w:trHeight w:val="300"/>
        </w:trPr>
        <w:tc>
          <w:tcPr>
            <w:tcW w:w="11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bookmarkEnd w:id="87"/>
          <w:p w14:paraId="74F27884"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ISIC Rev.4</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150654D8"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2013</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2EF1A3BC"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2014</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07231ECB"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2015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69610DC3"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2016</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4B59DEA3"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2017</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1BEE32A"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2018</w:t>
            </w:r>
          </w:p>
        </w:tc>
        <w:tc>
          <w:tcPr>
            <w:tcW w:w="68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231D94D5"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2019</w:t>
            </w:r>
          </w:p>
        </w:tc>
        <w:tc>
          <w:tcPr>
            <w:tcW w:w="68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40E3694C"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2020</w:t>
            </w:r>
          </w:p>
        </w:tc>
        <w:tc>
          <w:tcPr>
            <w:tcW w:w="1757" w:type="dxa"/>
            <w:tcBorders>
              <w:top w:val="single" w:sz="4" w:space="0" w:color="auto"/>
              <w:left w:val="nil"/>
              <w:bottom w:val="single" w:sz="4" w:space="0" w:color="auto"/>
              <w:right w:val="single" w:sz="4" w:space="0" w:color="auto"/>
            </w:tcBorders>
            <w:vAlign w:val="center"/>
          </w:tcPr>
          <w:p w14:paraId="6F4B721B"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RCA</w:t>
            </w:r>
          </w:p>
        </w:tc>
      </w:tr>
      <w:tr w:rsidR="00164238" w:rsidRPr="00164238" w14:paraId="320C3E3C"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19FD3365"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w:t>
            </w:r>
          </w:p>
        </w:tc>
        <w:tc>
          <w:tcPr>
            <w:tcW w:w="680" w:type="dxa"/>
            <w:tcBorders>
              <w:top w:val="nil"/>
              <w:left w:val="nil"/>
              <w:bottom w:val="single" w:sz="4" w:space="0" w:color="auto"/>
              <w:right w:val="single" w:sz="4" w:space="0" w:color="auto"/>
            </w:tcBorders>
            <w:shd w:val="clear" w:color="auto" w:fill="auto"/>
            <w:noWrap/>
            <w:vAlign w:val="center"/>
            <w:hideMark/>
          </w:tcPr>
          <w:p w14:paraId="21A95A1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1,12</w:t>
            </w:r>
          </w:p>
        </w:tc>
        <w:tc>
          <w:tcPr>
            <w:tcW w:w="680" w:type="dxa"/>
            <w:tcBorders>
              <w:top w:val="nil"/>
              <w:left w:val="nil"/>
              <w:bottom w:val="single" w:sz="4" w:space="0" w:color="auto"/>
              <w:right w:val="single" w:sz="4" w:space="0" w:color="auto"/>
            </w:tcBorders>
            <w:shd w:val="clear" w:color="auto" w:fill="auto"/>
            <w:noWrap/>
            <w:vAlign w:val="center"/>
            <w:hideMark/>
          </w:tcPr>
          <w:p w14:paraId="78F2319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1,08</w:t>
            </w:r>
          </w:p>
        </w:tc>
        <w:tc>
          <w:tcPr>
            <w:tcW w:w="680" w:type="dxa"/>
            <w:tcBorders>
              <w:top w:val="nil"/>
              <w:left w:val="nil"/>
              <w:bottom w:val="single" w:sz="4" w:space="0" w:color="auto"/>
              <w:right w:val="single" w:sz="4" w:space="0" w:color="auto"/>
            </w:tcBorders>
            <w:shd w:val="clear" w:color="auto" w:fill="auto"/>
            <w:noWrap/>
            <w:vAlign w:val="center"/>
            <w:hideMark/>
          </w:tcPr>
          <w:p w14:paraId="7E657D1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1,11</w:t>
            </w:r>
          </w:p>
        </w:tc>
        <w:tc>
          <w:tcPr>
            <w:tcW w:w="680" w:type="dxa"/>
            <w:tcBorders>
              <w:top w:val="nil"/>
              <w:left w:val="nil"/>
              <w:bottom w:val="single" w:sz="4" w:space="0" w:color="auto"/>
              <w:right w:val="single" w:sz="4" w:space="0" w:color="auto"/>
            </w:tcBorders>
            <w:shd w:val="clear" w:color="auto" w:fill="auto"/>
            <w:noWrap/>
            <w:vAlign w:val="center"/>
            <w:hideMark/>
          </w:tcPr>
          <w:p w14:paraId="167DCD2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1,02</w:t>
            </w:r>
          </w:p>
        </w:tc>
        <w:tc>
          <w:tcPr>
            <w:tcW w:w="680" w:type="dxa"/>
            <w:tcBorders>
              <w:top w:val="nil"/>
              <w:left w:val="nil"/>
              <w:bottom w:val="single" w:sz="4" w:space="0" w:color="auto"/>
              <w:right w:val="single" w:sz="4" w:space="0" w:color="auto"/>
            </w:tcBorders>
            <w:shd w:val="clear" w:color="auto" w:fill="auto"/>
            <w:noWrap/>
            <w:vAlign w:val="center"/>
            <w:hideMark/>
          </w:tcPr>
          <w:p w14:paraId="73332DB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1,10</w:t>
            </w:r>
          </w:p>
        </w:tc>
        <w:tc>
          <w:tcPr>
            <w:tcW w:w="680" w:type="dxa"/>
            <w:tcBorders>
              <w:top w:val="nil"/>
              <w:left w:val="nil"/>
              <w:bottom w:val="single" w:sz="4" w:space="0" w:color="auto"/>
              <w:right w:val="single" w:sz="4" w:space="0" w:color="auto"/>
            </w:tcBorders>
            <w:shd w:val="clear" w:color="auto" w:fill="auto"/>
            <w:noWrap/>
            <w:vAlign w:val="center"/>
            <w:hideMark/>
          </w:tcPr>
          <w:p w14:paraId="0D6EF28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1,08</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745AB52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1,02</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56E4750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1,09</w:t>
            </w:r>
          </w:p>
        </w:tc>
        <w:tc>
          <w:tcPr>
            <w:tcW w:w="1757" w:type="dxa"/>
            <w:tcBorders>
              <w:top w:val="nil"/>
              <w:left w:val="nil"/>
              <w:bottom w:val="single" w:sz="4" w:space="0" w:color="auto"/>
              <w:right w:val="single" w:sz="4" w:space="0" w:color="auto"/>
            </w:tcBorders>
            <w:vAlign w:val="center"/>
          </w:tcPr>
          <w:p w14:paraId="156A820F"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Advantajlı</w:t>
            </w:r>
          </w:p>
        </w:tc>
      </w:tr>
      <w:tr w:rsidR="00164238" w:rsidRPr="00164238" w14:paraId="4CA5C4B4"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1ABC53E6"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w:t>
            </w:r>
          </w:p>
        </w:tc>
        <w:tc>
          <w:tcPr>
            <w:tcW w:w="680" w:type="dxa"/>
            <w:tcBorders>
              <w:top w:val="nil"/>
              <w:left w:val="nil"/>
              <w:bottom w:val="single" w:sz="4" w:space="0" w:color="auto"/>
              <w:right w:val="single" w:sz="4" w:space="0" w:color="auto"/>
            </w:tcBorders>
            <w:shd w:val="clear" w:color="auto" w:fill="auto"/>
            <w:noWrap/>
            <w:vAlign w:val="center"/>
            <w:hideMark/>
          </w:tcPr>
          <w:p w14:paraId="45EB58B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-0,16</w:t>
            </w:r>
          </w:p>
        </w:tc>
        <w:tc>
          <w:tcPr>
            <w:tcW w:w="680" w:type="dxa"/>
            <w:tcBorders>
              <w:top w:val="nil"/>
              <w:left w:val="nil"/>
              <w:bottom w:val="single" w:sz="4" w:space="0" w:color="auto"/>
              <w:right w:val="single" w:sz="4" w:space="0" w:color="auto"/>
            </w:tcBorders>
            <w:shd w:val="clear" w:color="auto" w:fill="auto"/>
            <w:noWrap/>
            <w:vAlign w:val="center"/>
            <w:hideMark/>
          </w:tcPr>
          <w:p w14:paraId="70B6A31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-0,07</w:t>
            </w:r>
          </w:p>
        </w:tc>
        <w:tc>
          <w:tcPr>
            <w:tcW w:w="680" w:type="dxa"/>
            <w:tcBorders>
              <w:top w:val="nil"/>
              <w:left w:val="nil"/>
              <w:bottom w:val="single" w:sz="4" w:space="0" w:color="auto"/>
              <w:right w:val="single" w:sz="4" w:space="0" w:color="auto"/>
            </w:tcBorders>
            <w:shd w:val="clear" w:color="auto" w:fill="auto"/>
            <w:noWrap/>
            <w:vAlign w:val="center"/>
            <w:hideMark/>
          </w:tcPr>
          <w:p w14:paraId="299AAD6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-0,12</w:t>
            </w:r>
          </w:p>
        </w:tc>
        <w:tc>
          <w:tcPr>
            <w:tcW w:w="680" w:type="dxa"/>
            <w:tcBorders>
              <w:top w:val="nil"/>
              <w:left w:val="nil"/>
              <w:bottom w:val="single" w:sz="4" w:space="0" w:color="auto"/>
              <w:right w:val="single" w:sz="4" w:space="0" w:color="auto"/>
            </w:tcBorders>
            <w:shd w:val="clear" w:color="auto" w:fill="auto"/>
            <w:noWrap/>
            <w:vAlign w:val="center"/>
            <w:hideMark/>
          </w:tcPr>
          <w:p w14:paraId="2DFBF7F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-0,37</w:t>
            </w:r>
          </w:p>
        </w:tc>
        <w:tc>
          <w:tcPr>
            <w:tcW w:w="680" w:type="dxa"/>
            <w:tcBorders>
              <w:top w:val="nil"/>
              <w:left w:val="nil"/>
              <w:bottom w:val="single" w:sz="4" w:space="0" w:color="auto"/>
              <w:right w:val="single" w:sz="4" w:space="0" w:color="auto"/>
            </w:tcBorders>
            <w:shd w:val="clear" w:color="auto" w:fill="auto"/>
            <w:noWrap/>
            <w:vAlign w:val="center"/>
            <w:hideMark/>
          </w:tcPr>
          <w:p w14:paraId="36641ED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-0,46</w:t>
            </w:r>
          </w:p>
        </w:tc>
        <w:tc>
          <w:tcPr>
            <w:tcW w:w="680" w:type="dxa"/>
            <w:tcBorders>
              <w:top w:val="nil"/>
              <w:left w:val="nil"/>
              <w:bottom w:val="single" w:sz="4" w:space="0" w:color="auto"/>
              <w:right w:val="single" w:sz="4" w:space="0" w:color="auto"/>
            </w:tcBorders>
            <w:shd w:val="clear" w:color="auto" w:fill="auto"/>
            <w:noWrap/>
            <w:vAlign w:val="center"/>
            <w:hideMark/>
          </w:tcPr>
          <w:p w14:paraId="39FEDCD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-0,34</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016BF92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-0,35</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26432CF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-0,36</w:t>
            </w:r>
          </w:p>
        </w:tc>
        <w:tc>
          <w:tcPr>
            <w:tcW w:w="1757" w:type="dxa"/>
            <w:tcBorders>
              <w:top w:val="nil"/>
              <w:left w:val="nil"/>
              <w:bottom w:val="single" w:sz="4" w:space="0" w:color="auto"/>
              <w:right w:val="single" w:sz="4" w:space="0" w:color="auto"/>
            </w:tcBorders>
            <w:vAlign w:val="center"/>
          </w:tcPr>
          <w:p w14:paraId="7A208546"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Marjinal Sınırda</w:t>
            </w:r>
          </w:p>
        </w:tc>
      </w:tr>
      <w:tr w:rsidR="00164238" w:rsidRPr="00164238" w14:paraId="1DCA660C"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0E780FC6"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12</w:t>
            </w:r>
          </w:p>
        </w:tc>
        <w:tc>
          <w:tcPr>
            <w:tcW w:w="680" w:type="dxa"/>
            <w:tcBorders>
              <w:top w:val="nil"/>
              <w:left w:val="nil"/>
              <w:bottom w:val="single" w:sz="4" w:space="0" w:color="auto"/>
              <w:right w:val="single" w:sz="4" w:space="0" w:color="auto"/>
            </w:tcBorders>
            <w:shd w:val="clear" w:color="auto" w:fill="auto"/>
            <w:noWrap/>
            <w:vAlign w:val="center"/>
            <w:hideMark/>
          </w:tcPr>
          <w:p w14:paraId="2F01E55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-0,08</w:t>
            </w:r>
          </w:p>
        </w:tc>
        <w:tc>
          <w:tcPr>
            <w:tcW w:w="680" w:type="dxa"/>
            <w:tcBorders>
              <w:top w:val="nil"/>
              <w:left w:val="nil"/>
              <w:bottom w:val="single" w:sz="4" w:space="0" w:color="auto"/>
              <w:right w:val="single" w:sz="4" w:space="0" w:color="auto"/>
            </w:tcBorders>
            <w:shd w:val="clear" w:color="auto" w:fill="auto"/>
            <w:noWrap/>
            <w:vAlign w:val="center"/>
            <w:hideMark/>
          </w:tcPr>
          <w:p w14:paraId="76C8F0B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0,10</w:t>
            </w:r>
          </w:p>
        </w:tc>
        <w:tc>
          <w:tcPr>
            <w:tcW w:w="680" w:type="dxa"/>
            <w:tcBorders>
              <w:top w:val="nil"/>
              <w:left w:val="nil"/>
              <w:bottom w:val="single" w:sz="4" w:space="0" w:color="auto"/>
              <w:right w:val="single" w:sz="4" w:space="0" w:color="auto"/>
            </w:tcBorders>
            <w:shd w:val="clear" w:color="auto" w:fill="auto"/>
            <w:noWrap/>
            <w:vAlign w:val="center"/>
            <w:hideMark/>
          </w:tcPr>
          <w:p w14:paraId="15C82ED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0,05</w:t>
            </w:r>
          </w:p>
        </w:tc>
        <w:tc>
          <w:tcPr>
            <w:tcW w:w="680" w:type="dxa"/>
            <w:tcBorders>
              <w:top w:val="nil"/>
              <w:left w:val="nil"/>
              <w:bottom w:val="single" w:sz="4" w:space="0" w:color="auto"/>
              <w:right w:val="single" w:sz="4" w:space="0" w:color="auto"/>
            </w:tcBorders>
            <w:shd w:val="clear" w:color="auto" w:fill="auto"/>
            <w:noWrap/>
            <w:vAlign w:val="center"/>
            <w:hideMark/>
          </w:tcPr>
          <w:p w14:paraId="3BBADB1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0,16</w:t>
            </w:r>
          </w:p>
        </w:tc>
        <w:tc>
          <w:tcPr>
            <w:tcW w:w="680" w:type="dxa"/>
            <w:tcBorders>
              <w:top w:val="nil"/>
              <w:left w:val="nil"/>
              <w:bottom w:val="single" w:sz="4" w:space="0" w:color="auto"/>
              <w:right w:val="single" w:sz="4" w:space="0" w:color="auto"/>
            </w:tcBorders>
            <w:shd w:val="clear" w:color="auto" w:fill="auto"/>
            <w:noWrap/>
            <w:vAlign w:val="center"/>
            <w:hideMark/>
          </w:tcPr>
          <w:p w14:paraId="0A7385B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0,24</w:t>
            </w:r>
          </w:p>
        </w:tc>
        <w:tc>
          <w:tcPr>
            <w:tcW w:w="680" w:type="dxa"/>
            <w:tcBorders>
              <w:top w:val="nil"/>
              <w:left w:val="nil"/>
              <w:bottom w:val="single" w:sz="4" w:space="0" w:color="auto"/>
              <w:right w:val="single" w:sz="4" w:space="0" w:color="auto"/>
            </w:tcBorders>
            <w:shd w:val="clear" w:color="auto" w:fill="auto"/>
            <w:noWrap/>
            <w:vAlign w:val="center"/>
            <w:hideMark/>
          </w:tcPr>
          <w:p w14:paraId="0CDD126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0,12</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18179BE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0,02</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5CC41C3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0,24</w:t>
            </w:r>
          </w:p>
        </w:tc>
        <w:tc>
          <w:tcPr>
            <w:tcW w:w="1757" w:type="dxa"/>
            <w:tcBorders>
              <w:top w:val="nil"/>
              <w:left w:val="nil"/>
              <w:bottom w:val="single" w:sz="4" w:space="0" w:color="auto"/>
              <w:right w:val="single" w:sz="4" w:space="0" w:color="auto"/>
            </w:tcBorders>
            <w:vAlign w:val="center"/>
          </w:tcPr>
          <w:p w14:paraId="6A7B787E"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Marjinal Sınırda</w:t>
            </w:r>
          </w:p>
        </w:tc>
      </w:tr>
      <w:tr w:rsidR="00164238" w:rsidRPr="00164238" w14:paraId="294DCA33"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78B99FE4"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13</w:t>
            </w:r>
          </w:p>
        </w:tc>
        <w:tc>
          <w:tcPr>
            <w:tcW w:w="680" w:type="dxa"/>
            <w:tcBorders>
              <w:top w:val="nil"/>
              <w:left w:val="nil"/>
              <w:bottom w:val="single" w:sz="4" w:space="0" w:color="auto"/>
              <w:right w:val="single" w:sz="4" w:space="0" w:color="auto"/>
            </w:tcBorders>
            <w:shd w:val="clear" w:color="auto" w:fill="auto"/>
            <w:noWrap/>
            <w:vAlign w:val="center"/>
            <w:hideMark/>
          </w:tcPr>
          <w:p w14:paraId="0437DD4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1,24</w:t>
            </w:r>
          </w:p>
        </w:tc>
        <w:tc>
          <w:tcPr>
            <w:tcW w:w="680" w:type="dxa"/>
            <w:tcBorders>
              <w:top w:val="nil"/>
              <w:left w:val="nil"/>
              <w:bottom w:val="single" w:sz="4" w:space="0" w:color="auto"/>
              <w:right w:val="single" w:sz="4" w:space="0" w:color="auto"/>
            </w:tcBorders>
            <w:shd w:val="clear" w:color="auto" w:fill="auto"/>
            <w:noWrap/>
            <w:vAlign w:val="center"/>
            <w:hideMark/>
          </w:tcPr>
          <w:p w14:paraId="6E2F979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1,19</w:t>
            </w:r>
          </w:p>
        </w:tc>
        <w:tc>
          <w:tcPr>
            <w:tcW w:w="680" w:type="dxa"/>
            <w:tcBorders>
              <w:top w:val="nil"/>
              <w:left w:val="nil"/>
              <w:bottom w:val="single" w:sz="4" w:space="0" w:color="auto"/>
              <w:right w:val="single" w:sz="4" w:space="0" w:color="auto"/>
            </w:tcBorders>
            <w:shd w:val="clear" w:color="auto" w:fill="auto"/>
            <w:noWrap/>
            <w:vAlign w:val="center"/>
            <w:hideMark/>
          </w:tcPr>
          <w:p w14:paraId="32D8918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1,18</w:t>
            </w:r>
          </w:p>
        </w:tc>
        <w:tc>
          <w:tcPr>
            <w:tcW w:w="680" w:type="dxa"/>
            <w:tcBorders>
              <w:top w:val="nil"/>
              <w:left w:val="nil"/>
              <w:bottom w:val="single" w:sz="4" w:space="0" w:color="auto"/>
              <w:right w:val="single" w:sz="4" w:space="0" w:color="auto"/>
            </w:tcBorders>
            <w:shd w:val="clear" w:color="auto" w:fill="auto"/>
            <w:noWrap/>
            <w:vAlign w:val="center"/>
            <w:hideMark/>
          </w:tcPr>
          <w:p w14:paraId="39535E6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1,18</w:t>
            </w:r>
          </w:p>
        </w:tc>
        <w:tc>
          <w:tcPr>
            <w:tcW w:w="680" w:type="dxa"/>
            <w:tcBorders>
              <w:top w:val="nil"/>
              <w:left w:val="nil"/>
              <w:bottom w:val="single" w:sz="4" w:space="0" w:color="auto"/>
              <w:right w:val="single" w:sz="4" w:space="0" w:color="auto"/>
            </w:tcBorders>
            <w:shd w:val="clear" w:color="auto" w:fill="auto"/>
            <w:noWrap/>
            <w:vAlign w:val="center"/>
            <w:hideMark/>
          </w:tcPr>
          <w:p w14:paraId="4E58788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1,16</w:t>
            </w:r>
          </w:p>
        </w:tc>
        <w:tc>
          <w:tcPr>
            <w:tcW w:w="680" w:type="dxa"/>
            <w:tcBorders>
              <w:top w:val="nil"/>
              <w:left w:val="nil"/>
              <w:bottom w:val="single" w:sz="4" w:space="0" w:color="auto"/>
              <w:right w:val="single" w:sz="4" w:space="0" w:color="auto"/>
            </w:tcBorders>
            <w:shd w:val="clear" w:color="auto" w:fill="auto"/>
            <w:noWrap/>
            <w:vAlign w:val="center"/>
            <w:hideMark/>
          </w:tcPr>
          <w:p w14:paraId="3314528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1,14</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2DAE87B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1,07</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1B9A4C2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1,31</w:t>
            </w:r>
          </w:p>
        </w:tc>
        <w:tc>
          <w:tcPr>
            <w:tcW w:w="1757" w:type="dxa"/>
            <w:tcBorders>
              <w:top w:val="nil"/>
              <w:left w:val="nil"/>
              <w:bottom w:val="single" w:sz="4" w:space="0" w:color="auto"/>
              <w:right w:val="single" w:sz="4" w:space="0" w:color="auto"/>
            </w:tcBorders>
            <w:vAlign w:val="center"/>
          </w:tcPr>
          <w:p w14:paraId="0969577B"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Advantajlı</w:t>
            </w:r>
          </w:p>
        </w:tc>
      </w:tr>
      <w:tr w:rsidR="00164238" w:rsidRPr="00164238" w14:paraId="5A6A7AD6"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2852C911"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14</w:t>
            </w:r>
          </w:p>
        </w:tc>
        <w:tc>
          <w:tcPr>
            <w:tcW w:w="680" w:type="dxa"/>
            <w:tcBorders>
              <w:top w:val="nil"/>
              <w:left w:val="nil"/>
              <w:bottom w:val="single" w:sz="4" w:space="0" w:color="auto"/>
              <w:right w:val="single" w:sz="4" w:space="0" w:color="auto"/>
            </w:tcBorders>
            <w:shd w:val="clear" w:color="auto" w:fill="auto"/>
            <w:noWrap/>
            <w:vAlign w:val="center"/>
            <w:hideMark/>
          </w:tcPr>
          <w:p w14:paraId="0AF8500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2,23</w:t>
            </w:r>
          </w:p>
        </w:tc>
        <w:tc>
          <w:tcPr>
            <w:tcW w:w="680" w:type="dxa"/>
            <w:tcBorders>
              <w:top w:val="nil"/>
              <w:left w:val="nil"/>
              <w:bottom w:val="single" w:sz="4" w:space="0" w:color="auto"/>
              <w:right w:val="single" w:sz="4" w:space="0" w:color="auto"/>
            </w:tcBorders>
            <w:shd w:val="clear" w:color="auto" w:fill="auto"/>
            <w:noWrap/>
            <w:vAlign w:val="center"/>
            <w:hideMark/>
          </w:tcPr>
          <w:p w14:paraId="732378A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2,24</w:t>
            </w:r>
          </w:p>
        </w:tc>
        <w:tc>
          <w:tcPr>
            <w:tcW w:w="680" w:type="dxa"/>
            <w:tcBorders>
              <w:top w:val="nil"/>
              <w:left w:val="nil"/>
              <w:bottom w:val="single" w:sz="4" w:space="0" w:color="auto"/>
              <w:right w:val="single" w:sz="4" w:space="0" w:color="auto"/>
            </w:tcBorders>
            <w:shd w:val="clear" w:color="auto" w:fill="auto"/>
            <w:noWrap/>
            <w:vAlign w:val="center"/>
            <w:hideMark/>
          </w:tcPr>
          <w:p w14:paraId="32D99E6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2,18</w:t>
            </w:r>
          </w:p>
        </w:tc>
        <w:tc>
          <w:tcPr>
            <w:tcW w:w="680" w:type="dxa"/>
            <w:tcBorders>
              <w:top w:val="nil"/>
              <w:left w:val="nil"/>
              <w:bottom w:val="single" w:sz="4" w:space="0" w:color="auto"/>
              <w:right w:val="single" w:sz="4" w:space="0" w:color="auto"/>
            </w:tcBorders>
            <w:shd w:val="clear" w:color="auto" w:fill="auto"/>
            <w:noWrap/>
            <w:vAlign w:val="center"/>
            <w:hideMark/>
          </w:tcPr>
          <w:p w14:paraId="619DA9C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2,20</w:t>
            </w:r>
          </w:p>
        </w:tc>
        <w:tc>
          <w:tcPr>
            <w:tcW w:w="680" w:type="dxa"/>
            <w:tcBorders>
              <w:top w:val="nil"/>
              <w:left w:val="nil"/>
              <w:bottom w:val="single" w:sz="4" w:space="0" w:color="auto"/>
              <w:right w:val="single" w:sz="4" w:space="0" w:color="auto"/>
            </w:tcBorders>
            <w:shd w:val="clear" w:color="auto" w:fill="auto"/>
            <w:noWrap/>
            <w:vAlign w:val="center"/>
            <w:hideMark/>
          </w:tcPr>
          <w:p w14:paraId="78864BF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2,38</w:t>
            </w:r>
          </w:p>
        </w:tc>
        <w:tc>
          <w:tcPr>
            <w:tcW w:w="680" w:type="dxa"/>
            <w:tcBorders>
              <w:top w:val="nil"/>
              <w:left w:val="nil"/>
              <w:bottom w:val="single" w:sz="4" w:space="0" w:color="auto"/>
              <w:right w:val="single" w:sz="4" w:space="0" w:color="auto"/>
            </w:tcBorders>
            <w:shd w:val="clear" w:color="auto" w:fill="auto"/>
            <w:noWrap/>
            <w:vAlign w:val="center"/>
            <w:hideMark/>
          </w:tcPr>
          <w:p w14:paraId="531E4B4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2,39</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4C3AD44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2,49</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07EFBBA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2,69</w:t>
            </w:r>
          </w:p>
        </w:tc>
        <w:tc>
          <w:tcPr>
            <w:tcW w:w="1757" w:type="dxa"/>
            <w:tcBorders>
              <w:top w:val="nil"/>
              <w:left w:val="nil"/>
              <w:bottom w:val="single" w:sz="4" w:space="0" w:color="auto"/>
              <w:right w:val="single" w:sz="4" w:space="0" w:color="auto"/>
            </w:tcBorders>
            <w:vAlign w:val="center"/>
          </w:tcPr>
          <w:p w14:paraId="12FEF786"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Advantajlı</w:t>
            </w:r>
          </w:p>
        </w:tc>
      </w:tr>
      <w:tr w:rsidR="00164238" w:rsidRPr="00164238" w14:paraId="2E273E11"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41F7558F"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15</w:t>
            </w:r>
          </w:p>
        </w:tc>
        <w:tc>
          <w:tcPr>
            <w:tcW w:w="680" w:type="dxa"/>
            <w:tcBorders>
              <w:top w:val="nil"/>
              <w:left w:val="nil"/>
              <w:bottom w:val="single" w:sz="4" w:space="0" w:color="auto"/>
              <w:right w:val="single" w:sz="4" w:space="0" w:color="auto"/>
            </w:tcBorders>
            <w:shd w:val="clear" w:color="auto" w:fill="auto"/>
            <w:noWrap/>
            <w:vAlign w:val="center"/>
            <w:hideMark/>
          </w:tcPr>
          <w:p w14:paraId="489A256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0,03</w:t>
            </w:r>
          </w:p>
        </w:tc>
        <w:tc>
          <w:tcPr>
            <w:tcW w:w="680" w:type="dxa"/>
            <w:tcBorders>
              <w:top w:val="nil"/>
              <w:left w:val="nil"/>
              <w:bottom w:val="single" w:sz="4" w:space="0" w:color="auto"/>
              <w:right w:val="single" w:sz="4" w:space="0" w:color="auto"/>
            </w:tcBorders>
            <w:shd w:val="clear" w:color="auto" w:fill="auto"/>
            <w:noWrap/>
            <w:vAlign w:val="center"/>
            <w:hideMark/>
          </w:tcPr>
          <w:p w14:paraId="5C9A44D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0,03</w:t>
            </w:r>
          </w:p>
        </w:tc>
        <w:tc>
          <w:tcPr>
            <w:tcW w:w="680" w:type="dxa"/>
            <w:tcBorders>
              <w:top w:val="nil"/>
              <w:left w:val="nil"/>
              <w:bottom w:val="single" w:sz="4" w:space="0" w:color="auto"/>
              <w:right w:val="single" w:sz="4" w:space="0" w:color="auto"/>
            </w:tcBorders>
            <w:shd w:val="clear" w:color="auto" w:fill="auto"/>
            <w:noWrap/>
            <w:vAlign w:val="center"/>
            <w:hideMark/>
          </w:tcPr>
          <w:p w14:paraId="2551186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0,07</w:t>
            </w:r>
          </w:p>
        </w:tc>
        <w:tc>
          <w:tcPr>
            <w:tcW w:w="680" w:type="dxa"/>
            <w:tcBorders>
              <w:top w:val="nil"/>
              <w:left w:val="nil"/>
              <w:bottom w:val="single" w:sz="4" w:space="0" w:color="auto"/>
              <w:right w:val="single" w:sz="4" w:space="0" w:color="auto"/>
            </w:tcBorders>
            <w:shd w:val="clear" w:color="auto" w:fill="auto"/>
            <w:noWrap/>
            <w:vAlign w:val="center"/>
            <w:hideMark/>
          </w:tcPr>
          <w:p w14:paraId="3321BE6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0,18</w:t>
            </w:r>
          </w:p>
        </w:tc>
        <w:tc>
          <w:tcPr>
            <w:tcW w:w="680" w:type="dxa"/>
            <w:tcBorders>
              <w:top w:val="nil"/>
              <w:left w:val="nil"/>
              <w:bottom w:val="single" w:sz="4" w:space="0" w:color="auto"/>
              <w:right w:val="single" w:sz="4" w:space="0" w:color="auto"/>
            </w:tcBorders>
            <w:shd w:val="clear" w:color="auto" w:fill="auto"/>
            <w:noWrap/>
            <w:vAlign w:val="center"/>
            <w:hideMark/>
          </w:tcPr>
          <w:p w14:paraId="3093060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0,41</w:t>
            </w:r>
          </w:p>
        </w:tc>
        <w:tc>
          <w:tcPr>
            <w:tcW w:w="680" w:type="dxa"/>
            <w:tcBorders>
              <w:top w:val="nil"/>
              <w:left w:val="nil"/>
              <w:bottom w:val="single" w:sz="4" w:space="0" w:color="auto"/>
              <w:right w:val="single" w:sz="4" w:space="0" w:color="auto"/>
            </w:tcBorders>
            <w:shd w:val="clear" w:color="auto" w:fill="auto"/>
            <w:noWrap/>
            <w:vAlign w:val="center"/>
            <w:hideMark/>
          </w:tcPr>
          <w:p w14:paraId="135A4D3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0,43</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0A515D0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0,49</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6E6A766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0,57</w:t>
            </w:r>
          </w:p>
        </w:tc>
        <w:tc>
          <w:tcPr>
            <w:tcW w:w="1757" w:type="dxa"/>
            <w:tcBorders>
              <w:top w:val="nil"/>
              <w:left w:val="nil"/>
              <w:bottom w:val="single" w:sz="4" w:space="0" w:color="auto"/>
              <w:right w:val="single" w:sz="4" w:space="0" w:color="auto"/>
            </w:tcBorders>
            <w:vAlign w:val="center"/>
          </w:tcPr>
          <w:p w14:paraId="054E7691"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Advantajlı</w:t>
            </w:r>
          </w:p>
        </w:tc>
      </w:tr>
      <w:tr w:rsidR="00164238" w:rsidRPr="00164238" w14:paraId="6AB9D080"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3284DE27"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16</w:t>
            </w:r>
          </w:p>
        </w:tc>
        <w:tc>
          <w:tcPr>
            <w:tcW w:w="680" w:type="dxa"/>
            <w:tcBorders>
              <w:top w:val="nil"/>
              <w:left w:val="nil"/>
              <w:bottom w:val="single" w:sz="4" w:space="0" w:color="auto"/>
              <w:right w:val="single" w:sz="4" w:space="0" w:color="auto"/>
            </w:tcBorders>
            <w:shd w:val="clear" w:color="auto" w:fill="auto"/>
            <w:noWrap/>
            <w:vAlign w:val="center"/>
            <w:hideMark/>
          </w:tcPr>
          <w:p w14:paraId="2E4B5F0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-0,20</w:t>
            </w:r>
          </w:p>
        </w:tc>
        <w:tc>
          <w:tcPr>
            <w:tcW w:w="680" w:type="dxa"/>
            <w:tcBorders>
              <w:top w:val="nil"/>
              <w:left w:val="nil"/>
              <w:bottom w:val="single" w:sz="4" w:space="0" w:color="auto"/>
              <w:right w:val="single" w:sz="4" w:space="0" w:color="auto"/>
            </w:tcBorders>
            <w:shd w:val="clear" w:color="auto" w:fill="auto"/>
            <w:noWrap/>
            <w:vAlign w:val="center"/>
            <w:hideMark/>
          </w:tcPr>
          <w:p w14:paraId="1C8A4A3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-0,05</w:t>
            </w:r>
          </w:p>
        </w:tc>
        <w:tc>
          <w:tcPr>
            <w:tcW w:w="680" w:type="dxa"/>
            <w:tcBorders>
              <w:top w:val="nil"/>
              <w:left w:val="nil"/>
              <w:bottom w:val="single" w:sz="4" w:space="0" w:color="auto"/>
              <w:right w:val="single" w:sz="4" w:space="0" w:color="auto"/>
            </w:tcBorders>
            <w:shd w:val="clear" w:color="auto" w:fill="auto"/>
            <w:noWrap/>
            <w:vAlign w:val="center"/>
            <w:hideMark/>
          </w:tcPr>
          <w:p w14:paraId="004F022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-0,26</w:t>
            </w:r>
          </w:p>
        </w:tc>
        <w:tc>
          <w:tcPr>
            <w:tcW w:w="680" w:type="dxa"/>
            <w:tcBorders>
              <w:top w:val="nil"/>
              <w:left w:val="nil"/>
              <w:bottom w:val="single" w:sz="4" w:space="0" w:color="auto"/>
              <w:right w:val="single" w:sz="4" w:space="0" w:color="auto"/>
            </w:tcBorders>
            <w:shd w:val="clear" w:color="auto" w:fill="auto"/>
            <w:noWrap/>
            <w:vAlign w:val="center"/>
            <w:hideMark/>
          </w:tcPr>
          <w:p w14:paraId="7212F6B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-0,21</w:t>
            </w:r>
          </w:p>
        </w:tc>
        <w:tc>
          <w:tcPr>
            <w:tcW w:w="680" w:type="dxa"/>
            <w:tcBorders>
              <w:top w:val="nil"/>
              <w:left w:val="nil"/>
              <w:bottom w:val="single" w:sz="4" w:space="0" w:color="auto"/>
              <w:right w:val="single" w:sz="4" w:space="0" w:color="auto"/>
            </w:tcBorders>
            <w:shd w:val="clear" w:color="auto" w:fill="auto"/>
            <w:noWrap/>
            <w:vAlign w:val="center"/>
            <w:hideMark/>
          </w:tcPr>
          <w:p w14:paraId="5C8F0B0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0,06</w:t>
            </w:r>
          </w:p>
        </w:tc>
        <w:tc>
          <w:tcPr>
            <w:tcW w:w="680" w:type="dxa"/>
            <w:tcBorders>
              <w:top w:val="nil"/>
              <w:left w:val="nil"/>
              <w:bottom w:val="single" w:sz="4" w:space="0" w:color="auto"/>
              <w:right w:val="single" w:sz="4" w:space="0" w:color="auto"/>
            </w:tcBorders>
            <w:shd w:val="clear" w:color="auto" w:fill="auto"/>
            <w:noWrap/>
            <w:vAlign w:val="center"/>
            <w:hideMark/>
          </w:tcPr>
          <w:p w14:paraId="76A6868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0,33</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6D8395F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0,98</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6C1E573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1,09</w:t>
            </w:r>
          </w:p>
        </w:tc>
        <w:tc>
          <w:tcPr>
            <w:tcW w:w="1757" w:type="dxa"/>
            <w:tcBorders>
              <w:top w:val="nil"/>
              <w:left w:val="nil"/>
              <w:bottom w:val="single" w:sz="4" w:space="0" w:color="auto"/>
              <w:right w:val="single" w:sz="4" w:space="0" w:color="auto"/>
            </w:tcBorders>
            <w:vAlign w:val="center"/>
          </w:tcPr>
          <w:p w14:paraId="6305A5E3"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Advantajlı</w:t>
            </w:r>
          </w:p>
        </w:tc>
      </w:tr>
      <w:tr w:rsidR="00164238" w:rsidRPr="00164238" w14:paraId="3835AE80"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7580B2F0"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17</w:t>
            </w:r>
          </w:p>
        </w:tc>
        <w:tc>
          <w:tcPr>
            <w:tcW w:w="680" w:type="dxa"/>
            <w:tcBorders>
              <w:top w:val="nil"/>
              <w:left w:val="nil"/>
              <w:bottom w:val="single" w:sz="4" w:space="0" w:color="auto"/>
              <w:right w:val="single" w:sz="4" w:space="0" w:color="auto"/>
            </w:tcBorders>
            <w:shd w:val="clear" w:color="auto" w:fill="auto"/>
            <w:noWrap/>
            <w:vAlign w:val="center"/>
            <w:hideMark/>
          </w:tcPr>
          <w:p w14:paraId="655D855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-0,19</w:t>
            </w:r>
          </w:p>
        </w:tc>
        <w:tc>
          <w:tcPr>
            <w:tcW w:w="680" w:type="dxa"/>
            <w:tcBorders>
              <w:top w:val="nil"/>
              <w:left w:val="nil"/>
              <w:bottom w:val="single" w:sz="4" w:space="0" w:color="auto"/>
              <w:right w:val="single" w:sz="4" w:space="0" w:color="auto"/>
            </w:tcBorders>
            <w:shd w:val="clear" w:color="auto" w:fill="auto"/>
            <w:noWrap/>
            <w:vAlign w:val="center"/>
            <w:hideMark/>
          </w:tcPr>
          <w:p w14:paraId="4FD23B7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-0,26</w:t>
            </w:r>
          </w:p>
        </w:tc>
        <w:tc>
          <w:tcPr>
            <w:tcW w:w="680" w:type="dxa"/>
            <w:tcBorders>
              <w:top w:val="nil"/>
              <w:left w:val="nil"/>
              <w:bottom w:val="single" w:sz="4" w:space="0" w:color="auto"/>
              <w:right w:val="single" w:sz="4" w:space="0" w:color="auto"/>
            </w:tcBorders>
            <w:shd w:val="clear" w:color="auto" w:fill="auto"/>
            <w:noWrap/>
            <w:vAlign w:val="center"/>
            <w:hideMark/>
          </w:tcPr>
          <w:p w14:paraId="4F3F452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-0,32</w:t>
            </w:r>
          </w:p>
        </w:tc>
        <w:tc>
          <w:tcPr>
            <w:tcW w:w="680" w:type="dxa"/>
            <w:tcBorders>
              <w:top w:val="nil"/>
              <w:left w:val="nil"/>
              <w:bottom w:val="single" w:sz="4" w:space="0" w:color="auto"/>
              <w:right w:val="single" w:sz="4" w:space="0" w:color="auto"/>
            </w:tcBorders>
            <w:shd w:val="clear" w:color="auto" w:fill="auto"/>
            <w:noWrap/>
            <w:vAlign w:val="center"/>
            <w:hideMark/>
          </w:tcPr>
          <w:p w14:paraId="494CC09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-0,31</w:t>
            </w:r>
          </w:p>
        </w:tc>
        <w:tc>
          <w:tcPr>
            <w:tcW w:w="680" w:type="dxa"/>
            <w:tcBorders>
              <w:top w:val="nil"/>
              <w:left w:val="nil"/>
              <w:bottom w:val="single" w:sz="4" w:space="0" w:color="auto"/>
              <w:right w:val="single" w:sz="4" w:space="0" w:color="auto"/>
            </w:tcBorders>
            <w:shd w:val="clear" w:color="auto" w:fill="auto"/>
            <w:noWrap/>
            <w:vAlign w:val="center"/>
            <w:hideMark/>
          </w:tcPr>
          <w:p w14:paraId="2085F98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-0,15</w:t>
            </w:r>
          </w:p>
        </w:tc>
        <w:tc>
          <w:tcPr>
            <w:tcW w:w="680" w:type="dxa"/>
            <w:tcBorders>
              <w:top w:val="nil"/>
              <w:left w:val="nil"/>
              <w:bottom w:val="single" w:sz="4" w:space="0" w:color="auto"/>
              <w:right w:val="single" w:sz="4" w:space="0" w:color="auto"/>
            </w:tcBorders>
            <w:shd w:val="clear" w:color="auto" w:fill="auto"/>
            <w:noWrap/>
            <w:vAlign w:val="center"/>
            <w:hideMark/>
          </w:tcPr>
          <w:p w14:paraId="4EC2E6F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-0,20</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2622942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-0,16</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179A658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-0,01</w:t>
            </w:r>
          </w:p>
        </w:tc>
        <w:tc>
          <w:tcPr>
            <w:tcW w:w="1757" w:type="dxa"/>
            <w:tcBorders>
              <w:top w:val="nil"/>
              <w:left w:val="nil"/>
              <w:bottom w:val="single" w:sz="4" w:space="0" w:color="auto"/>
              <w:right w:val="single" w:sz="4" w:space="0" w:color="auto"/>
            </w:tcBorders>
            <w:vAlign w:val="center"/>
          </w:tcPr>
          <w:p w14:paraId="193598DA"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Marjinal Sınırda</w:t>
            </w:r>
          </w:p>
        </w:tc>
      </w:tr>
      <w:tr w:rsidR="00164238" w:rsidRPr="00164238" w14:paraId="0279571B"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7E742D07"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18</w:t>
            </w:r>
          </w:p>
        </w:tc>
        <w:tc>
          <w:tcPr>
            <w:tcW w:w="680" w:type="dxa"/>
            <w:tcBorders>
              <w:top w:val="nil"/>
              <w:left w:val="nil"/>
              <w:bottom w:val="single" w:sz="4" w:space="0" w:color="auto"/>
              <w:right w:val="single" w:sz="4" w:space="0" w:color="auto"/>
            </w:tcBorders>
            <w:shd w:val="clear" w:color="auto" w:fill="auto"/>
            <w:noWrap/>
            <w:vAlign w:val="center"/>
            <w:hideMark/>
          </w:tcPr>
          <w:p w14:paraId="49F05F2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-0,62</w:t>
            </w:r>
          </w:p>
        </w:tc>
        <w:tc>
          <w:tcPr>
            <w:tcW w:w="680" w:type="dxa"/>
            <w:tcBorders>
              <w:top w:val="nil"/>
              <w:left w:val="nil"/>
              <w:bottom w:val="single" w:sz="4" w:space="0" w:color="auto"/>
              <w:right w:val="single" w:sz="4" w:space="0" w:color="auto"/>
            </w:tcBorders>
            <w:shd w:val="clear" w:color="auto" w:fill="auto"/>
            <w:noWrap/>
            <w:vAlign w:val="center"/>
            <w:hideMark/>
          </w:tcPr>
          <w:p w14:paraId="257F2D8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-0,59</w:t>
            </w:r>
          </w:p>
        </w:tc>
        <w:tc>
          <w:tcPr>
            <w:tcW w:w="680" w:type="dxa"/>
            <w:tcBorders>
              <w:top w:val="nil"/>
              <w:left w:val="nil"/>
              <w:bottom w:val="single" w:sz="4" w:space="0" w:color="auto"/>
              <w:right w:val="single" w:sz="4" w:space="0" w:color="auto"/>
            </w:tcBorders>
            <w:shd w:val="clear" w:color="auto" w:fill="auto"/>
            <w:noWrap/>
            <w:vAlign w:val="center"/>
            <w:hideMark/>
          </w:tcPr>
          <w:p w14:paraId="1B01EC5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-0,56</w:t>
            </w:r>
          </w:p>
        </w:tc>
        <w:tc>
          <w:tcPr>
            <w:tcW w:w="680" w:type="dxa"/>
            <w:tcBorders>
              <w:top w:val="nil"/>
              <w:left w:val="nil"/>
              <w:bottom w:val="single" w:sz="4" w:space="0" w:color="auto"/>
              <w:right w:val="single" w:sz="4" w:space="0" w:color="auto"/>
            </w:tcBorders>
            <w:shd w:val="clear" w:color="auto" w:fill="auto"/>
            <w:noWrap/>
            <w:vAlign w:val="center"/>
            <w:hideMark/>
          </w:tcPr>
          <w:p w14:paraId="33D4486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-0,83</w:t>
            </w:r>
          </w:p>
        </w:tc>
        <w:tc>
          <w:tcPr>
            <w:tcW w:w="680" w:type="dxa"/>
            <w:tcBorders>
              <w:top w:val="nil"/>
              <w:left w:val="nil"/>
              <w:bottom w:val="single" w:sz="4" w:space="0" w:color="auto"/>
              <w:right w:val="single" w:sz="4" w:space="0" w:color="auto"/>
            </w:tcBorders>
            <w:shd w:val="clear" w:color="auto" w:fill="auto"/>
            <w:noWrap/>
            <w:vAlign w:val="center"/>
            <w:hideMark/>
          </w:tcPr>
          <w:p w14:paraId="71E9805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-0,46</w:t>
            </w:r>
          </w:p>
        </w:tc>
        <w:tc>
          <w:tcPr>
            <w:tcW w:w="680" w:type="dxa"/>
            <w:tcBorders>
              <w:top w:val="nil"/>
              <w:left w:val="nil"/>
              <w:bottom w:val="single" w:sz="4" w:space="0" w:color="auto"/>
              <w:right w:val="single" w:sz="4" w:space="0" w:color="auto"/>
            </w:tcBorders>
            <w:shd w:val="clear" w:color="auto" w:fill="auto"/>
            <w:noWrap/>
            <w:vAlign w:val="center"/>
            <w:hideMark/>
          </w:tcPr>
          <w:p w14:paraId="25EE426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0,21</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40775D4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-0,45</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3E42A5D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-0,40</w:t>
            </w:r>
          </w:p>
        </w:tc>
        <w:tc>
          <w:tcPr>
            <w:tcW w:w="1757" w:type="dxa"/>
            <w:tcBorders>
              <w:top w:val="nil"/>
              <w:left w:val="nil"/>
              <w:bottom w:val="single" w:sz="4" w:space="0" w:color="auto"/>
              <w:right w:val="single" w:sz="4" w:space="0" w:color="auto"/>
            </w:tcBorders>
            <w:vAlign w:val="center"/>
          </w:tcPr>
          <w:p w14:paraId="1DE20227"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Marjinal Sınırda</w:t>
            </w:r>
          </w:p>
        </w:tc>
      </w:tr>
      <w:tr w:rsidR="00164238" w:rsidRPr="00164238" w14:paraId="3038B24C"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040F5E7C"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19</w:t>
            </w:r>
          </w:p>
        </w:tc>
        <w:tc>
          <w:tcPr>
            <w:tcW w:w="680" w:type="dxa"/>
            <w:tcBorders>
              <w:top w:val="nil"/>
              <w:left w:val="nil"/>
              <w:bottom w:val="single" w:sz="4" w:space="0" w:color="auto"/>
              <w:right w:val="single" w:sz="4" w:space="0" w:color="auto"/>
            </w:tcBorders>
            <w:shd w:val="clear" w:color="auto" w:fill="auto"/>
            <w:noWrap/>
            <w:vAlign w:val="center"/>
            <w:hideMark/>
          </w:tcPr>
          <w:p w14:paraId="5CA86CF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-0,29</w:t>
            </w:r>
          </w:p>
        </w:tc>
        <w:tc>
          <w:tcPr>
            <w:tcW w:w="680" w:type="dxa"/>
            <w:tcBorders>
              <w:top w:val="nil"/>
              <w:left w:val="nil"/>
              <w:bottom w:val="single" w:sz="4" w:space="0" w:color="auto"/>
              <w:right w:val="single" w:sz="4" w:space="0" w:color="auto"/>
            </w:tcBorders>
            <w:shd w:val="clear" w:color="auto" w:fill="auto"/>
            <w:noWrap/>
            <w:vAlign w:val="center"/>
            <w:hideMark/>
          </w:tcPr>
          <w:p w14:paraId="4468961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-0,63</w:t>
            </w:r>
          </w:p>
        </w:tc>
        <w:tc>
          <w:tcPr>
            <w:tcW w:w="680" w:type="dxa"/>
            <w:tcBorders>
              <w:top w:val="nil"/>
              <w:left w:val="nil"/>
              <w:bottom w:val="single" w:sz="4" w:space="0" w:color="auto"/>
              <w:right w:val="single" w:sz="4" w:space="0" w:color="auto"/>
            </w:tcBorders>
            <w:shd w:val="clear" w:color="auto" w:fill="auto"/>
            <w:noWrap/>
            <w:vAlign w:val="center"/>
            <w:hideMark/>
          </w:tcPr>
          <w:p w14:paraId="7B51AEA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-0,56</w:t>
            </w:r>
          </w:p>
        </w:tc>
        <w:tc>
          <w:tcPr>
            <w:tcW w:w="680" w:type="dxa"/>
            <w:tcBorders>
              <w:top w:val="nil"/>
              <w:left w:val="nil"/>
              <w:bottom w:val="single" w:sz="4" w:space="0" w:color="auto"/>
              <w:right w:val="single" w:sz="4" w:space="0" w:color="auto"/>
            </w:tcBorders>
            <w:shd w:val="clear" w:color="auto" w:fill="auto"/>
            <w:noWrap/>
            <w:vAlign w:val="center"/>
            <w:hideMark/>
          </w:tcPr>
          <w:p w14:paraId="07A69B3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-0,77</w:t>
            </w:r>
          </w:p>
        </w:tc>
        <w:tc>
          <w:tcPr>
            <w:tcW w:w="680" w:type="dxa"/>
            <w:tcBorders>
              <w:top w:val="nil"/>
              <w:left w:val="nil"/>
              <w:bottom w:val="single" w:sz="4" w:space="0" w:color="auto"/>
              <w:right w:val="single" w:sz="4" w:space="0" w:color="auto"/>
            </w:tcBorders>
            <w:shd w:val="clear" w:color="auto" w:fill="auto"/>
            <w:noWrap/>
            <w:vAlign w:val="center"/>
            <w:hideMark/>
          </w:tcPr>
          <w:p w14:paraId="1D9D060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-0,67</w:t>
            </w:r>
          </w:p>
        </w:tc>
        <w:tc>
          <w:tcPr>
            <w:tcW w:w="680" w:type="dxa"/>
            <w:tcBorders>
              <w:top w:val="nil"/>
              <w:left w:val="nil"/>
              <w:bottom w:val="single" w:sz="4" w:space="0" w:color="auto"/>
              <w:right w:val="single" w:sz="4" w:space="0" w:color="auto"/>
            </w:tcBorders>
            <w:shd w:val="clear" w:color="auto" w:fill="auto"/>
            <w:noWrap/>
            <w:vAlign w:val="center"/>
            <w:hideMark/>
          </w:tcPr>
          <w:p w14:paraId="2BFC7F0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-0,82</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10A2E70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-0,25</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548587B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-0,41</w:t>
            </w:r>
          </w:p>
        </w:tc>
        <w:tc>
          <w:tcPr>
            <w:tcW w:w="1757" w:type="dxa"/>
            <w:tcBorders>
              <w:top w:val="nil"/>
              <w:left w:val="nil"/>
              <w:bottom w:val="single" w:sz="4" w:space="0" w:color="auto"/>
              <w:right w:val="single" w:sz="4" w:space="0" w:color="auto"/>
            </w:tcBorders>
            <w:vAlign w:val="center"/>
          </w:tcPr>
          <w:p w14:paraId="21B4CD67"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Marjinal Sınırda</w:t>
            </w:r>
          </w:p>
        </w:tc>
      </w:tr>
      <w:tr w:rsidR="00164238" w:rsidRPr="00164238" w14:paraId="3B7FC450"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0A1CEB33"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20</w:t>
            </w:r>
          </w:p>
        </w:tc>
        <w:tc>
          <w:tcPr>
            <w:tcW w:w="680" w:type="dxa"/>
            <w:tcBorders>
              <w:top w:val="nil"/>
              <w:left w:val="nil"/>
              <w:bottom w:val="single" w:sz="4" w:space="0" w:color="auto"/>
              <w:right w:val="single" w:sz="4" w:space="0" w:color="auto"/>
            </w:tcBorders>
            <w:shd w:val="clear" w:color="auto" w:fill="auto"/>
            <w:noWrap/>
            <w:vAlign w:val="center"/>
            <w:hideMark/>
          </w:tcPr>
          <w:p w14:paraId="1277B1F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-0,94</w:t>
            </w:r>
          </w:p>
        </w:tc>
        <w:tc>
          <w:tcPr>
            <w:tcW w:w="680" w:type="dxa"/>
            <w:tcBorders>
              <w:top w:val="nil"/>
              <w:left w:val="nil"/>
              <w:bottom w:val="single" w:sz="4" w:space="0" w:color="auto"/>
              <w:right w:val="single" w:sz="4" w:space="0" w:color="auto"/>
            </w:tcBorders>
            <w:shd w:val="clear" w:color="auto" w:fill="auto"/>
            <w:noWrap/>
            <w:vAlign w:val="center"/>
            <w:hideMark/>
          </w:tcPr>
          <w:p w14:paraId="14F3DBB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-1,01</w:t>
            </w:r>
          </w:p>
        </w:tc>
        <w:tc>
          <w:tcPr>
            <w:tcW w:w="680" w:type="dxa"/>
            <w:tcBorders>
              <w:top w:val="nil"/>
              <w:left w:val="nil"/>
              <w:bottom w:val="single" w:sz="4" w:space="0" w:color="auto"/>
              <w:right w:val="single" w:sz="4" w:space="0" w:color="auto"/>
            </w:tcBorders>
            <w:shd w:val="clear" w:color="auto" w:fill="auto"/>
            <w:noWrap/>
            <w:vAlign w:val="center"/>
            <w:hideMark/>
          </w:tcPr>
          <w:p w14:paraId="6A4042F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-0,98</w:t>
            </w:r>
          </w:p>
        </w:tc>
        <w:tc>
          <w:tcPr>
            <w:tcW w:w="680" w:type="dxa"/>
            <w:tcBorders>
              <w:top w:val="nil"/>
              <w:left w:val="nil"/>
              <w:bottom w:val="single" w:sz="4" w:space="0" w:color="auto"/>
              <w:right w:val="single" w:sz="4" w:space="0" w:color="auto"/>
            </w:tcBorders>
            <w:shd w:val="clear" w:color="auto" w:fill="auto"/>
            <w:noWrap/>
            <w:vAlign w:val="center"/>
            <w:hideMark/>
          </w:tcPr>
          <w:p w14:paraId="3E56990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-1,05</w:t>
            </w:r>
          </w:p>
        </w:tc>
        <w:tc>
          <w:tcPr>
            <w:tcW w:w="680" w:type="dxa"/>
            <w:tcBorders>
              <w:top w:val="nil"/>
              <w:left w:val="nil"/>
              <w:bottom w:val="single" w:sz="4" w:space="0" w:color="auto"/>
              <w:right w:val="single" w:sz="4" w:space="0" w:color="auto"/>
            </w:tcBorders>
            <w:shd w:val="clear" w:color="auto" w:fill="auto"/>
            <w:noWrap/>
            <w:vAlign w:val="center"/>
            <w:hideMark/>
          </w:tcPr>
          <w:p w14:paraId="1B39BFC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-0,99</w:t>
            </w:r>
          </w:p>
        </w:tc>
        <w:tc>
          <w:tcPr>
            <w:tcW w:w="680" w:type="dxa"/>
            <w:tcBorders>
              <w:top w:val="nil"/>
              <w:left w:val="nil"/>
              <w:bottom w:val="single" w:sz="4" w:space="0" w:color="auto"/>
              <w:right w:val="single" w:sz="4" w:space="0" w:color="auto"/>
            </w:tcBorders>
            <w:shd w:val="clear" w:color="auto" w:fill="auto"/>
            <w:noWrap/>
            <w:vAlign w:val="center"/>
            <w:hideMark/>
          </w:tcPr>
          <w:p w14:paraId="117F9A3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-0,95</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674B6CF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-0,93</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53A13DA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-0,75</w:t>
            </w:r>
          </w:p>
        </w:tc>
        <w:tc>
          <w:tcPr>
            <w:tcW w:w="1757" w:type="dxa"/>
            <w:tcBorders>
              <w:top w:val="nil"/>
              <w:left w:val="nil"/>
              <w:bottom w:val="single" w:sz="4" w:space="0" w:color="auto"/>
              <w:right w:val="single" w:sz="4" w:space="0" w:color="auto"/>
            </w:tcBorders>
            <w:vAlign w:val="center"/>
          </w:tcPr>
          <w:p w14:paraId="6BC68F99"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Dezavantajlı</w:t>
            </w:r>
          </w:p>
        </w:tc>
      </w:tr>
      <w:tr w:rsidR="00164238" w:rsidRPr="00164238" w14:paraId="4BF6A00C"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2F9B01E9"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21</w:t>
            </w:r>
          </w:p>
        </w:tc>
        <w:tc>
          <w:tcPr>
            <w:tcW w:w="680" w:type="dxa"/>
            <w:tcBorders>
              <w:top w:val="nil"/>
              <w:left w:val="nil"/>
              <w:bottom w:val="single" w:sz="4" w:space="0" w:color="auto"/>
              <w:right w:val="single" w:sz="4" w:space="0" w:color="auto"/>
            </w:tcBorders>
            <w:shd w:val="clear" w:color="auto" w:fill="auto"/>
            <w:noWrap/>
            <w:vAlign w:val="center"/>
            <w:hideMark/>
          </w:tcPr>
          <w:p w14:paraId="68A5211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-1,02</w:t>
            </w:r>
          </w:p>
        </w:tc>
        <w:tc>
          <w:tcPr>
            <w:tcW w:w="680" w:type="dxa"/>
            <w:tcBorders>
              <w:top w:val="nil"/>
              <w:left w:val="nil"/>
              <w:bottom w:val="single" w:sz="4" w:space="0" w:color="auto"/>
              <w:right w:val="single" w:sz="4" w:space="0" w:color="auto"/>
            </w:tcBorders>
            <w:shd w:val="clear" w:color="auto" w:fill="auto"/>
            <w:noWrap/>
            <w:vAlign w:val="center"/>
            <w:hideMark/>
          </w:tcPr>
          <w:p w14:paraId="21F4045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-1,12</w:t>
            </w:r>
          </w:p>
        </w:tc>
        <w:tc>
          <w:tcPr>
            <w:tcW w:w="680" w:type="dxa"/>
            <w:tcBorders>
              <w:top w:val="nil"/>
              <w:left w:val="nil"/>
              <w:bottom w:val="single" w:sz="4" w:space="0" w:color="auto"/>
              <w:right w:val="single" w:sz="4" w:space="0" w:color="auto"/>
            </w:tcBorders>
            <w:shd w:val="clear" w:color="auto" w:fill="auto"/>
            <w:noWrap/>
            <w:vAlign w:val="center"/>
            <w:hideMark/>
          </w:tcPr>
          <w:p w14:paraId="295851C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-1,11</w:t>
            </w:r>
          </w:p>
        </w:tc>
        <w:tc>
          <w:tcPr>
            <w:tcW w:w="680" w:type="dxa"/>
            <w:tcBorders>
              <w:top w:val="nil"/>
              <w:left w:val="nil"/>
              <w:bottom w:val="single" w:sz="4" w:space="0" w:color="auto"/>
              <w:right w:val="single" w:sz="4" w:space="0" w:color="auto"/>
            </w:tcBorders>
            <w:shd w:val="clear" w:color="auto" w:fill="auto"/>
            <w:noWrap/>
            <w:vAlign w:val="center"/>
            <w:hideMark/>
          </w:tcPr>
          <w:p w14:paraId="3C46320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-1,24</w:t>
            </w:r>
          </w:p>
        </w:tc>
        <w:tc>
          <w:tcPr>
            <w:tcW w:w="680" w:type="dxa"/>
            <w:tcBorders>
              <w:top w:val="nil"/>
              <w:left w:val="nil"/>
              <w:bottom w:val="single" w:sz="4" w:space="0" w:color="auto"/>
              <w:right w:val="single" w:sz="4" w:space="0" w:color="auto"/>
            </w:tcBorders>
            <w:shd w:val="clear" w:color="auto" w:fill="auto"/>
            <w:noWrap/>
            <w:vAlign w:val="center"/>
            <w:hideMark/>
          </w:tcPr>
          <w:p w14:paraId="6BF9541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-1,19</w:t>
            </w:r>
          </w:p>
        </w:tc>
        <w:tc>
          <w:tcPr>
            <w:tcW w:w="680" w:type="dxa"/>
            <w:tcBorders>
              <w:top w:val="nil"/>
              <w:left w:val="nil"/>
              <w:bottom w:val="single" w:sz="4" w:space="0" w:color="auto"/>
              <w:right w:val="single" w:sz="4" w:space="0" w:color="auto"/>
            </w:tcBorders>
            <w:shd w:val="clear" w:color="auto" w:fill="auto"/>
            <w:noWrap/>
            <w:vAlign w:val="center"/>
            <w:hideMark/>
          </w:tcPr>
          <w:p w14:paraId="571BB64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-1,04</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5D2C4CA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-1,14</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0785AFD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-0,81</w:t>
            </w:r>
          </w:p>
        </w:tc>
        <w:tc>
          <w:tcPr>
            <w:tcW w:w="1757" w:type="dxa"/>
            <w:tcBorders>
              <w:top w:val="nil"/>
              <w:left w:val="nil"/>
              <w:bottom w:val="single" w:sz="4" w:space="0" w:color="auto"/>
              <w:right w:val="single" w:sz="4" w:space="0" w:color="auto"/>
            </w:tcBorders>
            <w:vAlign w:val="center"/>
          </w:tcPr>
          <w:p w14:paraId="2EB76050"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Dezavantajlı</w:t>
            </w:r>
          </w:p>
        </w:tc>
      </w:tr>
      <w:tr w:rsidR="00164238" w:rsidRPr="00164238" w14:paraId="77C3154F"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4F66D509"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22</w:t>
            </w:r>
          </w:p>
        </w:tc>
        <w:tc>
          <w:tcPr>
            <w:tcW w:w="680" w:type="dxa"/>
            <w:tcBorders>
              <w:top w:val="nil"/>
              <w:left w:val="nil"/>
              <w:bottom w:val="single" w:sz="4" w:space="0" w:color="auto"/>
              <w:right w:val="single" w:sz="4" w:space="0" w:color="auto"/>
            </w:tcBorders>
            <w:shd w:val="clear" w:color="auto" w:fill="auto"/>
            <w:noWrap/>
            <w:vAlign w:val="center"/>
            <w:hideMark/>
          </w:tcPr>
          <w:p w14:paraId="37078A9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-0,09</w:t>
            </w:r>
          </w:p>
        </w:tc>
        <w:tc>
          <w:tcPr>
            <w:tcW w:w="680" w:type="dxa"/>
            <w:tcBorders>
              <w:top w:val="nil"/>
              <w:left w:val="nil"/>
              <w:bottom w:val="single" w:sz="4" w:space="0" w:color="auto"/>
              <w:right w:val="single" w:sz="4" w:space="0" w:color="auto"/>
            </w:tcBorders>
            <w:shd w:val="clear" w:color="auto" w:fill="auto"/>
            <w:noWrap/>
            <w:vAlign w:val="center"/>
            <w:hideMark/>
          </w:tcPr>
          <w:p w14:paraId="375CB84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-0,10</w:t>
            </w:r>
          </w:p>
        </w:tc>
        <w:tc>
          <w:tcPr>
            <w:tcW w:w="680" w:type="dxa"/>
            <w:tcBorders>
              <w:top w:val="nil"/>
              <w:left w:val="nil"/>
              <w:bottom w:val="single" w:sz="4" w:space="0" w:color="auto"/>
              <w:right w:val="single" w:sz="4" w:space="0" w:color="auto"/>
            </w:tcBorders>
            <w:shd w:val="clear" w:color="auto" w:fill="auto"/>
            <w:noWrap/>
            <w:vAlign w:val="center"/>
            <w:hideMark/>
          </w:tcPr>
          <w:p w14:paraId="7B15FAB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-0,13</w:t>
            </w:r>
          </w:p>
        </w:tc>
        <w:tc>
          <w:tcPr>
            <w:tcW w:w="680" w:type="dxa"/>
            <w:tcBorders>
              <w:top w:val="nil"/>
              <w:left w:val="nil"/>
              <w:bottom w:val="single" w:sz="4" w:space="0" w:color="auto"/>
              <w:right w:val="single" w:sz="4" w:space="0" w:color="auto"/>
            </w:tcBorders>
            <w:shd w:val="clear" w:color="auto" w:fill="auto"/>
            <w:noWrap/>
            <w:vAlign w:val="center"/>
            <w:hideMark/>
          </w:tcPr>
          <w:p w14:paraId="1541366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-0,16</w:t>
            </w:r>
          </w:p>
        </w:tc>
        <w:tc>
          <w:tcPr>
            <w:tcW w:w="680" w:type="dxa"/>
            <w:tcBorders>
              <w:top w:val="nil"/>
              <w:left w:val="nil"/>
              <w:bottom w:val="single" w:sz="4" w:space="0" w:color="auto"/>
              <w:right w:val="single" w:sz="4" w:space="0" w:color="auto"/>
            </w:tcBorders>
            <w:shd w:val="clear" w:color="auto" w:fill="auto"/>
            <w:noWrap/>
            <w:vAlign w:val="center"/>
            <w:hideMark/>
          </w:tcPr>
          <w:p w14:paraId="01D0A5C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-0,18</w:t>
            </w:r>
          </w:p>
        </w:tc>
        <w:tc>
          <w:tcPr>
            <w:tcW w:w="680" w:type="dxa"/>
            <w:tcBorders>
              <w:top w:val="nil"/>
              <w:left w:val="nil"/>
              <w:bottom w:val="single" w:sz="4" w:space="0" w:color="auto"/>
              <w:right w:val="single" w:sz="4" w:space="0" w:color="auto"/>
            </w:tcBorders>
            <w:shd w:val="clear" w:color="auto" w:fill="auto"/>
            <w:noWrap/>
            <w:vAlign w:val="center"/>
            <w:hideMark/>
          </w:tcPr>
          <w:p w14:paraId="3C7451A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-0,09</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556E554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-0,21</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04C995A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-0,07</w:t>
            </w:r>
          </w:p>
        </w:tc>
        <w:tc>
          <w:tcPr>
            <w:tcW w:w="1757" w:type="dxa"/>
            <w:tcBorders>
              <w:top w:val="nil"/>
              <w:left w:val="nil"/>
              <w:bottom w:val="single" w:sz="4" w:space="0" w:color="auto"/>
              <w:right w:val="single" w:sz="4" w:space="0" w:color="auto"/>
            </w:tcBorders>
            <w:vAlign w:val="center"/>
          </w:tcPr>
          <w:p w14:paraId="447FD960"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Marjinal Sınırda</w:t>
            </w:r>
          </w:p>
        </w:tc>
      </w:tr>
      <w:tr w:rsidR="00164238" w:rsidRPr="00164238" w14:paraId="04625FFC"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121564F3"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lastRenderedPageBreak/>
              <w:t>23</w:t>
            </w:r>
          </w:p>
        </w:tc>
        <w:tc>
          <w:tcPr>
            <w:tcW w:w="680" w:type="dxa"/>
            <w:tcBorders>
              <w:top w:val="nil"/>
              <w:left w:val="nil"/>
              <w:bottom w:val="single" w:sz="4" w:space="0" w:color="auto"/>
              <w:right w:val="single" w:sz="4" w:space="0" w:color="auto"/>
            </w:tcBorders>
            <w:shd w:val="clear" w:color="auto" w:fill="auto"/>
            <w:noWrap/>
            <w:vAlign w:val="center"/>
            <w:hideMark/>
          </w:tcPr>
          <w:p w14:paraId="59CE6B7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1,20</w:t>
            </w:r>
          </w:p>
        </w:tc>
        <w:tc>
          <w:tcPr>
            <w:tcW w:w="680" w:type="dxa"/>
            <w:tcBorders>
              <w:top w:val="nil"/>
              <w:left w:val="nil"/>
              <w:bottom w:val="single" w:sz="4" w:space="0" w:color="auto"/>
              <w:right w:val="single" w:sz="4" w:space="0" w:color="auto"/>
            </w:tcBorders>
            <w:shd w:val="clear" w:color="auto" w:fill="auto"/>
            <w:noWrap/>
            <w:vAlign w:val="center"/>
            <w:hideMark/>
          </w:tcPr>
          <w:p w14:paraId="5EFD55A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1,07</w:t>
            </w:r>
          </w:p>
        </w:tc>
        <w:tc>
          <w:tcPr>
            <w:tcW w:w="680" w:type="dxa"/>
            <w:tcBorders>
              <w:top w:val="nil"/>
              <w:left w:val="nil"/>
              <w:bottom w:val="single" w:sz="4" w:space="0" w:color="auto"/>
              <w:right w:val="single" w:sz="4" w:space="0" w:color="auto"/>
            </w:tcBorders>
            <w:shd w:val="clear" w:color="auto" w:fill="auto"/>
            <w:noWrap/>
            <w:vAlign w:val="center"/>
            <w:hideMark/>
          </w:tcPr>
          <w:p w14:paraId="37CB9B9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1,03</w:t>
            </w:r>
          </w:p>
        </w:tc>
        <w:tc>
          <w:tcPr>
            <w:tcW w:w="680" w:type="dxa"/>
            <w:tcBorders>
              <w:top w:val="nil"/>
              <w:left w:val="nil"/>
              <w:bottom w:val="single" w:sz="4" w:space="0" w:color="auto"/>
              <w:right w:val="single" w:sz="4" w:space="0" w:color="auto"/>
            </w:tcBorders>
            <w:shd w:val="clear" w:color="auto" w:fill="auto"/>
            <w:noWrap/>
            <w:vAlign w:val="center"/>
            <w:hideMark/>
          </w:tcPr>
          <w:p w14:paraId="191CEB5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0,99</w:t>
            </w:r>
          </w:p>
        </w:tc>
        <w:tc>
          <w:tcPr>
            <w:tcW w:w="680" w:type="dxa"/>
            <w:tcBorders>
              <w:top w:val="nil"/>
              <w:left w:val="nil"/>
              <w:bottom w:val="single" w:sz="4" w:space="0" w:color="auto"/>
              <w:right w:val="single" w:sz="4" w:space="0" w:color="auto"/>
            </w:tcBorders>
            <w:shd w:val="clear" w:color="auto" w:fill="auto"/>
            <w:noWrap/>
            <w:vAlign w:val="center"/>
            <w:hideMark/>
          </w:tcPr>
          <w:p w14:paraId="057D294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1,05</w:t>
            </w:r>
          </w:p>
        </w:tc>
        <w:tc>
          <w:tcPr>
            <w:tcW w:w="680" w:type="dxa"/>
            <w:tcBorders>
              <w:top w:val="nil"/>
              <w:left w:val="nil"/>
              <w:bottom w:val="single" w:sz="4" w:space="0" w:color="auto"/>
              <w:right w:val="single" w:sz="4" w:space="0" w:color="auto"/>
            </w:tcBorders>
            <w:shd w:val="clear" w:color="auto" w:fill="auto"/>
            <w:noWrap/>
            <w:vAlign w:val="center"/>
            <w:hideMark/>
          </w:tcPr>
          <w:p w14:paraId="2DA50C8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1,10</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2FDEE71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1,24</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155553B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1,33</w:t>
            </w:r>
          </w:p>
        </w:tc>
        <w:tc>
          <w:tcPr>
            <w:tcW w:w="1757" w:type="dxa"/>
            <w:tcBorders>
              <w:top w:val="nil"/>
              <w:left w:val="nil"/>
              <w:bottom w:val="single" w:sz="4" w:space="0" w:color="auto"/>
              <w:right w:val="single" w:sz="4" w:space="0" w:color="auto"/>
            </w:tcBorders>
            <w:vAlign w:val="center"/>
          </w:tcPr>
          <w:p w14:paraId="0578BFCA"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Advantajlı</w:t>
            </w:r>
          </w:p>
        </w:tc>
      </w:tr>
      <w:tr w:rsidR="00164238" w:rsidRPr="00164238" w14:paraId="08B0E31B"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4D08F17B"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24</w:t>
            </w:r>
          </w:p>
        </w:tc>
        <w:tc>
          <w:tcPr>
            <w:tcW w:w="680" w:type="dxa"/>
            <w:tcBorders>
              <w:top w:val="nil"/>
              <w:left w:val="nil"/>
              <w:bottom w:val="single" w:sz="4" w:space="0" w:color="auto"/>
              <w:right w:val="single" w:sz="4" w:space="0" w:color="auto"/>
            </w:tcBorders>
            <w:shd w:val="clear" w:color="auto" w:fill="auto"/>
            <w:noWrap/>
            <w:vAlign w:val="center"/>
            <w:hideMark/>
          </w:tcPr>
          <w:p w14:paraId="6B24D89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-0,24</w:t>
            </w:r>
          </w:p>
        </w:tc>
        <w:tc>
          <w:tcPr>
            <w:tcW w:w="680" w:type="dxa"/>
            <w:tcBorders>
              <w:top w:val="nil"/>
              <w:left w:val="nil"/>
              <w:bottom w:val="single" w:sz="4" w:space="0" w:color="auto"/>
              <w:right w:val="single" w:sz="4" w:space="0" w:color="auto"/>
            </w:tcBorders>
            <w:shd w:val="clear" w:color="auto" w:fill="auto"/>
            <w:noWrap/>
            <w:vAlign w:val="center"/>
            <w:hideMark/>
          </w:tcPr>
          <w:p w14:paraId="7F96220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-0,09</w:t>
            </w:r>
          </w:p>
        </w:tc>
        <w:tc>
          <w:tcPr>
            <w:tcW w:w="680" w:type="dxa"/>
            <w:tcBorders>
              <w:top w:val="nil"/>
              <w:left w:val="nil"/>
              <w:bottom w:val="single" w:sz="4" w:space="0" w:color="auto"/>
              <w:right w:val="single" w:sz="4" w:space="0" w:color="auto"/>
            </w:tcBorders>
            <w:shd w:val="clear" w:color="auto" w:fill="auto"/>
            <w:noWrap/>
            <w:vAlign w:val="center"/>
            <w:hideMark/>
          </w:tcPr>
          <w:p w14:paraId="3DA516A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0,12</w:t>
            </w:r>
          </w:p>
        </w:tc>
        <w:tc>
          <w:tcPr>
            <w:tcW w:w="680" w:type="dxa"/>
            <w:tcBorders>
              <w:top w:val="nil"/>
              <w:left w:val="nil"/>
              <w:bottom w:val="single" w:sz="4" w:space="0" w:color="auto"/>
              <w:right w:val="single" w:sz="4" w:space="0" w:color="auto"/>
            </w:tcBorders>
            <w:shd w:val="clear" w:color="auto" w:fill="auto"/>
            <w:noWrap/>
            <w:vAlign w:val="center"/>
            <w:hideMark/>
          </w:tcPr>
          <w:p w14:paraId="0163CF7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0,07</w:t>
            </w:r>
          </w:p>
        </w:tc>
        <w:tc>
          <w:tcPr>
            <w:tcW w:w="680" w:type="dxa"/>
            <w:tcBorders>
              <w:top w:val="nil"/>
              <w:left w:val="nil"/>
              <w:bottom w:val="single" w:sz="4" w:space="0" w:color="auto"/>
              <w:right w:val="single" w:sz="4" w:space="0" w:color="auto"/>
            </w:tcBorders>
            <w:shd w:val="clear" w:color="auto" w:fill="auto"/>
            <w:noWrap/>
            <w:vAlign w:val="center"/>
            <w:hideMark/>
          </w:tcPr>
          <w:p w14:paraId="6D1B52F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-0,28</w:t>
            </w:r>
          </w:p>
        </w:tc>
        <w:tc>
          <w:tcPr>
            <w:tcW w:w="680" w:type="dxa"/>
            <w:tcBorders>
              <w:top w:val="nil"/>
              <w:left w:val="nil"/>
              <w:bottom w:val="single" w:sz="4" w:space="0" w:color="auto"/>
              <w:right w:val="single" w:sz="4" w:space="0" w:color="auto"/>
            </w:tcBorders>
            <w:shd w:val="clear" w:color="auto" w:fill="auto"/>
            <w:noWrap/>
            <w:vAlign w:val="center"/>
            <w:hideMark/>
          </w:tcPr>
          <w:p w14:paraId="4C4B7B5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-0,26</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06C6BBD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-0,40</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1121637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-0,69</w:t>
            </w:r>
          </w:p>
        </w:tc>
        <w:tc>
          <w:tcPr>
            <w:tcW w:w="1757" w:type="dxa"/>
            <w:tcBorders>
              <w:top w:val="nil"/>
              <w:left w:val="nil"/>
              <w:bottom w:val="single" w:sz="4" w:space="0" w:color="auto"/>
              <w:right w:val="single" w:sz="4" w:space="0" w:color="auto"/>
            </w:tcBorders>
            <w:vAlign w:val="center"/>
          </w:tcPr>
          <w:p w14:paraId="48F20B86"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Dezavantajlı</w:t>
            </w:r>
          </w:p>
        </w:tc>
      </w:tr>
      <w:tr w:rsidR="00164238" w:rsidRPr="00164238" w14:paraId="0C01CFA0"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05054AF8"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25</w:t>
            </w:r>
          </w:p>
        </w:tc>
        <w:tc>
          <w:tcPr>
            <w:tcW w:w="680" w:type="dxa"/>
            <w:tcBorders>
              <w:top w:val="nil"/>
              <w:left w:val="nil"/>
              <w:bottom w:val="single" w:sz="4" w:space="0" w:color="auto"/>
              <w:right w:val="single" w:sz="4" w:space="0" w:color="auto"/>
            </w:tcBorders>
            <w:shd w:val="clear" w:color="auto" w:fill="auto"/>
            <w:noWrap/>
            <w:vAlign w:val="center"/>
            <w:hideMark/>
          </w:tcPr>
          <w:p w14:paraId="3719BC8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0,79</w:t>
            </w:r>
          </w:p>
        </w:tc>
        <w:tc>
          <w:tcPr>
            <w:tcW w:w="680" w:type="dxa"/>
            <w:tcBorders>
              <w:top w:val="nil"/>
              <w:left w:val="nil"/>
              <w:bottom w:val="single" w:sz="4" w:space="0" w:color="auto"/>
              <w:right w:val="single" w:sz="4" w:space="0" w:color="auto"/>
            </w:tcBorders>
            <w:shd w:val="clear" w:color="auto" w:fill="auto"/>
            <w:noWrap/>
            <w:vAlign w:val="center"/>
            <w:hideMark/>
          </w:tcPr>
          <w:p w14:paraId="71613B0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0,90</w:t>
            </w:r>
          </w:p>
        </w:tc>
        <w:tc>
          <w:tcPr>
            <w:tcW w:w="680" w:type="dxa"/>
            <w:tcBorders>
              <w:top w:val="nil"/>
              <w:left w:val="nil"/>
              <w:bottom w:val="single" w:sz="4" w:space="0" w:color="auto"/>
              <w:right w:val="single" w:sz="4" w:space="0" w:color="auto"/>
            </w:tcBorders>
            <w:shd w:val="clear" w:color="auto" w:fill="auto"/>
            <w:noWrap/>
            <w:vAlign w:val="center"/>
            <w:hideMark/>
          </w:tcPr>
          <w:p w14:paraId="3A21CAF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0,71</w:t>
            </w:r>
          </w:p>
        </w:tc>
        <w:tc>
          <w:tcPr>
            <w:tcW w:w="680" w:type="dxa"/>
            <w:tcBorders>
              <w:top w:val="nil"/>
              <w:left w:val="nil"/>
              <w:bottom w:val="single" w:sz="4" w:space="0" w:color="auto"/>
              <w:right w:val="single" w:sz="4" w:space="0" w:color="auto"/>
            </w:tcBorders>
            <w:shd w:val="clear" w:color="auto" w:fill="auto"/>
            <w:noWrap/>
            <w:vAlign w:val="center"/>
            <w:hideMark/>
          </w:tcPr>
          <w:p w14:paraId="3D75312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0,59</w:t>
            </w:r>
          </w:p>
        </w:tc>
        <w:tc>
          <w:tcPr>
            <w:tcW w:w="680" w:type="dxa"/>
            <w:tcBorders>
              <w:top w:val="nil"/>
              <w:left w:val="nil"/>
              <w:bottom w:val="single" w:sz="4" w:space="0" w:color="auto"/>
              <w:right w:val="single" w:sz="4" w:space="0" w:color="auto"/>
            </w:tcBorders>
            <w:shd w:val="clear" w:color="auto" w:fill="auto"/>
            <w:noWrap/>
            <w:vAlign w:val="center"/>
            <w:hideMark/>
          </w:tcPr>
          <w:p w14:paraId="53EAF4C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0,77</w:t>
            </w:r>
          </w:p>
        </w:tc>
        <w:tc>
          <w:tcPr>
            <w:tcW w:w="680" w:type="dxa"/>
            <w:tcBorders>
              <w:top w:val="nil"/>
              <w:left w:val="nil"/>
              <w:bottom w:val="single" w:sz="4" w:space="0" w:color="auto"/>
              <w:right w:val="single" w:sz="4" w:space="0" w:color="auto"/>
            </w:tcBorders>
            <w:shd w:val="clear" w:color="auto" w:fill="auto"/>
            <w:noWrap/>
            <w:vAlign w:val="center"/>
            <w:hideMark/>
          </w:tcPr>
          <w:p w14:paraId="77BCD00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0,79</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2184972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0,82</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76A8408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0,93</w:t>
            </w:r>
          </w:p>
        </w:tc>
        <w:tc>
          <w:tcPr>
            <w:tcW w:w="1757" w:type="dxa"/>
            <w:tcBorders>
              <w:top w:val="nil"/>
              <w:left w:val="nil"/>
              <w:bottom w:val="single" w:sz="4" w:space="0" w:color="auto"/>
              <w:right w:val="single" w:sz="4" w:space="0" w:color="auto"/>
            </w:tcBorders>
            <w:vAlign w:val="center"/>
          </w:tcPr>
          <w:p w14:paraId="2FC0A189"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Advantajlı</w:t>
            </w:r>
          </w:p>
        </w:tc>
      </w:tr>
      <w:tr w:rsidR="00164238" w:rsidRPr="00164238" w14:paraId="24BA4C72"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3C86F236"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26</w:t>
            </w:r>
          </w:p>
        </w:tc>
        <w:tc>
          <w:tcPr>
            <w:tcW w:w="680" w:type="dxa"/>
            <w:tcBorders>
              <w:top w:val="nil"/>
              <w:left w:val="nil"/>
              <w:bottom w:val="single" w:sz="4" w:space="0" w:color="auto"/>
              <w:right w:val="single" w:sz="4" w:space="0" w:color="auto"/>
            </w:tcBorders>
            <w:shd w:val="clear" w:color="auto" w:fill="auto"/>
            <w:noWrap/>
            <w:vAlign w:val="center"/>
            <w:hideMark/>
          </w:tcPr>
          <w:p w14:paraId="2006C73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-1,07</w:t>
            </w:r>
          </w:p>
        </w:tc>
        <w:tc>
          <w:tcPr>
            <w:tcW w:w="680" w:type="dxa"/>
            <w:tcBorders>
              <w:top w:val="nil"/>
              <w:left w:val="nil"/>
              <w:bottom w:val="single" w:sz="4" w:space="0" w:color="auto"/>
              <w:right w:val="single" w:sz="4" w:space="0" w:color="auto"/>
            </w:tcBorders>
            <w:shd w:val="clear" w:color="auto" w:fill="auto"/>
            <w:noWrap/>
            <w:vAlign w:val="center"/>
            <w:hideMark/>
          </w:tcPr>
          <w:p w14:paraId="3F15CC1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-1,09</w:t>
            </w:r>
          </w:p>
        </w:tc>
        <w:tc>
          <w:tcPr>
            <w:tcW w:w="680" w:type="dxa"/>
            <w:tcBorders>
              <w:top w:val="nil"/>
              <w:left w:val="nil"/>
              <w:bottom w:val="single" w:sz="4" w:space="0" w:color="auto"/>
              <w:right w:val="single" w:sz="4" w:space="0" w:color="auto"/>
            </w:tcBorders>
            <w:shd w:val="clear" w:color="auto" w:fill="auto"/>
            <w:noWrap/>
            <w:vAlign w:val="center"/>
            <w:hideMark/>
          </w:tcPr>
          <w:p w14:paraId="42438E4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-1,22</w:t>
            </w:r>
          </w:p>
        </w:tc>
        <w:tc>
          <w:tcPr>
            <w:tcW w:w="680" w:type="dxa"/>
            <w:tcBorders>
              <w:top w:val="nil"/>
              <w:left w:val="nil"/>
              <w:bottom w:val="single" w:sz="4" w:space="0" w:color="auto"/>
              <w:right w:val="single" w:sz="4" w:space="0" w:color="auto"/>
            </w:tcBorders>
            <w:shd w:val="clear" w:color="auto" w:fill="auto"/>
            <w:noWrap/>
            <w:vAlign w:val="center"/>
            <w:hideMark/>
          </w:tcPr>
          <w:p w14:paraId="34B5562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-1,48</w:t>
            </w:r>
          </w:p>
        </w:tc>
        <w:tc>
          <w:tcPr>
            <w:tcW w:w="680" w:type="dxa"/>
            <w:tcBorders>
              <w:top w:val="nil"/>
              <w:left w:val="nil"/>
              <w:bottom w:val="single" w:sz="4" w:space="0" w:color="auto"/>
              <w:right w:val="single" w:sz="4" w:space="0" w:color="auto"/>
            </w:tcBorders>
            <w:shd w:val="clear" w:color="auto" w:fill="auto"/>
            <w:noWrap/>
            <w:vAlign w:val="center"/>
            <w:hideMark/>
          </w:tcPr>
          <w:p w14:paraId="2BB6669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-1,47</w:t>
            </w:r>
          </w:p>
        </w:tc>
        <w:tc>
          <w:tcPr>
            <w:tcW w:w="680" w:type="dxa"/>
            <w:tcBorders>
              <w:top w:val="nil"/>
              <w:left w:val="nil"/>
              <w:bottom w:val="single" w:sz="4" w:space="0" w:color="auto"/>
              <w:right w:val="single" w:sz="4" w:space="0" w:color="auto"/>
            </w:tcBorders>
            <w:shd w:val="clear" w:color="auto" w:fill="auto"/>
            <w:noWrap/>
            <w:vAlign w:val="center"/>
            <w:hideMark/>
          </w:tcPr>
          <w:p w14:paraId="0F8A7B9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-1,28</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4EB3DCF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-1,32</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6530E7C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-1,49</w:t>
            </w:r>
          </w:p>
        </w:tc>
        <w:tc>
          <w:tcPr>
            <w:tcW w:w="1757" w:type="dxa"/>
            <w:tcBorders>
              <w:top w:val="nil"/>
              <w:left w:val="nil"/>
              <w:bottom w:val="single" w:sz="4" w:space="0" w:color="auto"/>
              <w:right w:val="single" w:sz="4" w:space="0" w:color="auto"/>
            </w:tcBorders>
            <w:vAlign w:val="center"/>
          </w:tcPr>
          <w:p w14:paraId="20382398"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Dezavantajlı</w:t>
            </w:r>
          </w:p>
        </w:tc>
      </w:tr>
      <w:tr w:rsidR="00164238" w:rsidRPr="00164238" w14:paraId="3DE00B4A"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1A137D2B"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27</w:t>
            </w:r>
          </w:p>
        </w:tc>
        <w:tc>
          <w:tcPr>
            <w:tcW w:w="680" w:type="dxa"/>
            <w:tcBorders>
              <w:top w:val="nil"/>
              <w:left w:val="nil"/>
              <w:bottom w:val="single" w:sz="4" w:space="0" w:color="auto"/>
              <w:right w:val="single" w:sz="4" w:space="0" w:color="auto"/>
            </w:tcBorders>
            <w:shd w:val="clear" w:color="auto" w:fill="auto"/>
            <w:noWrap/>
            <w:vAlign w:val="center"/>
            <w:hideMark/>
          </w:tcPr>
          <w:p w14:paraId="78B5A69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0,56</w:t>
            </w:r>
          </w:p>
        </w:tc>
        <w:tc>
          <w:tcPr>
            <w:tcW w:w="680" w:type="dxa"/>
            <w:tcBorders>
              <w:top w:val="nil"/>
              <w:left w:val="nil"/>
              <w:bottom w:val="single" w:sz="4" w:space="0" w:color="auto"/>
              <w:right w:val="single" w:sz="4" w:space="0" w:color="auto"/>
            </w:tcBorders>
            <w:shd w:val="clear" w:color="auto" w:fill="auto"/>
            <w:noWrap/>
            <w:vAlign w:val="center"/>
            <w:hideMark/>
          </w:tcPr>
          <w:p w14:paraId="6BC51C7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0,56</w:t>
            </w:r>
          </w:p>
        </w:tc>
        <w:tc>
          <w:tcPr>
            <w:tcW w:w="680" w:type="dxa"/>
            <w:tcBorders>
              <w:top w:val="nil"/>
              <w:left w:val="nil"/>
              <w:bottom w:val="single" w:sz="4" w:space="0" w:color="auto"/>
              <w:right w:val="single" w:sz="4" w:space="0" w:color="auto"/>
            </w:tcBorders>
            <w:shd w:val="clear" w:color="auto" w:fill="auto"/>
            <w:noWrap/>
            <w:vAlign w:val="center"/>
            <w:hideMark/>
          </w:tcPr>
          <w:p w14:paraId="03E1D5D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0,41</w:t>
            </w:r>
          </w:p>
        </w:tc>
        <w:tc>
          <w:tcPr>
            <w:tcW w:w="680" w:type="dxa"/>
            <w:tcBorders>
              <w:top w:val="nil"/>
              <w:left w:val="nil"/>
              <w:bottom w:val="single" w:sz="4" w:space="0" w:color="auto"/>
              <w:right w:val="single" w:sz="4" w:space="0" w:color="auto"/>
            </w:tcBorders>
            <w:shd w:val="clear" w:color="auto" w:fill="auto"/>
            <w:noWrap/>
            <w:vAlign w:val="center"/>
            <w:hideMark/>
          </w:tcPr>
          <w:p w14:paraId="09D4DC5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0,34</w:t>
            </w:r>
          </w:p>
        </w:tc>
        <w:tc>
          <w:tcPr>
            <w:tcW w:w="680" w:type="dxa"/>
            <w:tcBorders>
              <w:top w:val="nil"/>
              <w:left w:val="nil"/>
              <w:bottom w:val="single" w:sz="4" w:space="0" w:color="auto"/>
              <w:right w:val="single" w:sz="4" w:space="0" w:color="auto"/>
            </w:tcBorders>
            <w:shd w:val="clear" w:color="auto" w:fill="auto"/>
            <w:noWrap/>
            <w:vAlign w:val="center"/>
            <w:hideMark/>
          </w:tcPr>
          <w:p w14:paraId="4615C38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0,45</w:t>
            </w:r>
          </w:p>
        </w:tc>
        <w:tc>
          <w:tcPr>
            <w:tcW w:w="680" w:type="dxa"/>
            <w:tcBorders>
              <w:top w:val="nil"/>
              <w:left w:val="nil"/>
              <w:bottom w:val="single" w:sz="4" w:space="0" w:color="auto"/>
              <w:right w:val="single" w:sz="4" w:space="0" w:color="auto"/>
            </w:tcBorders>
            <w:shd w:val="clear" w:color="auto" w:fill="auto"/>
            <w:noWrap/>
            <w:vAlign w:val="center"/>
            <w:hideMark/>
          </w:tcPr>
          <w:p w14:paraId="4BFB0EA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0,44</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796DD2C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0,45</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053B889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0,46</w:t>
            </w:r>
          </w:p>
        </w:tc>
        <w:tc>
          <w:tcPr>
            <w:tcW w:w="1757" w:type="dxa"/>
            <w:tcBorders>
              <w:top w:val="nil"/>
              <w:left w:val="nil"/>
              <w:bottom w:val="single" w:sz="4" w:space="0" w:color="auto"/>
              <w:right w:val="single" w:sz="4" w:space="0" w:color="auto"/>
            </w:tcBorders>
            <w:vAlign w:val="center"/>
          </w:tcPr>
          <w:p w14:paraId="57F3C52C"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Marjinal Sınırda</w:t>
            </w:r>
          </w:p>
        </w:tc>
      </w:tr>
      <w:tr w:rsidR="00164238" w:rsidRPr="00164238" w14:paraId="1766D9DA"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571DFBB6"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28</w:t>
            </w:r>
          </w:p>
        </w:tc>
        <w:tc>
          <w:tcPr>
            <w:tcW w:w="680" w:type="dxa"/>
            <w:tcBorders>
              <w:top w:val="nil"/>
              <w:left w:val="nil"/>
              <w:bottom w:val="single" w:sz="4" w:space="0" w:color="auto"/>
              <w:right w:val="single" w:sz="4" w:space="0" w:color="auto"/>
            </w:tcBorders>
            <w:shd w:val="clear" w:color="auto" w:fill="auto"/>
            <w:noWrap/>
            <w:vAlign w:val="center"/>
            <w:hideMark/>
          </w:tcPr>
          <w:p w14:paraId="344E493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-0,52</w:t>
            </w:r>
          </w:p>
        </w:tc>
        <w:tc>
          <w:tcPr>
            <w:tcW w:w="680" w:type="dxa"/>
            <w:tcBorders>
              <w:top w:val="nil"/>
              <w:left w:val="nil"/>
              <w:bottom w:val="single" w:sz="4" w:space="0" w:color="auto"/>
              <w:right w:val="single" w:sz="4" w:space="0" w:color="auto"/>
            </w:tcBorders>
            <w:shd w:val="clear" w:color="auto" w:fill="auto"/>
            <w:noWrap/>
            <w:vAlign w:val="center"/>
            <w:hideMark/>
          </w:tcPr>
          <w:p w14:paraId="3A5A88A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-0,45</w:t>
            </w:r>
          </w:p>
        </w:tc>
        <w:tc>
          <w:tcPr>
            <w:tcW w:w="680" w:type="dxa"/>
            <w:tcBorders>
              <w:top w:val="nil"/>
              <w:left w:val="nil"/>
              <w:bottom w:val="single" w:sz="4" w:space="0" w:color="auto"/>
              <w:right w:val="single" w:sz="4" w:space="0" w:color="auto"/>
            </w:tcBorders>
            <w:shd w:val="clear" w:color="auto" w:fill="auto"/>
            <w:noWrap/>
            <w:vAlign w:val="center"/>
            <w:hideMark/>
          </w:tcPr>
          <w:p w14:paraId="3E3892A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-0,57</w:t>
            </w:r>
          </w:p>
        </w:tc>
        <w:tc>
          <w:tcPr>
            <w:tcW w:w="680" w:type="dxa"/>
            <w:tcBorders>
              <w:top w:val="nil"/>
              <w:left w:val="nil"/>
              <w:bottom w:val="single" w:sz="4" w:space="0" w:color="auto"/>
              <w:right w:val="single" w:sz="4" w:space="0" w:color="auto"/>
            </w:tcBorders>
            <w:shd w:val="clear" w:color="auto" w:fill="auto"/>
            <w:noWrap/>
            <w:vAlign w:val="center"/>
            <w:hideMark/>
          </w:tcPr>
          <w:p w14:paraId="1B5F0EC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-0,70</w:t>
            </w:r>
          </w:p>
        </w:tc>
        <w:tc>
          <w:tcPr>
            <w:tcW w:w="680" w:type="dxa"/>
            <w:tcBorders>
              <w:top w:val="nil"/>
              <w:left w:val="nil"/>
              <w:bottom w:val="single" w:sz="4" w:space="0" w:color="auto"/>
              <w:right w:val="single" w:sz="4" w:space="0" w:color="auto"/>
            </w:tcBorders>
            <w:shd w:val="clear" w:color="auto" w:fill="auto"/>
            <w:noWrap/>
            <w:vAlign w:val="center"/>
            <w:hideMark/>
          </w:tcPr>
          <w:p w14:paraId="28C6904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-0,46</w:t>
            </w:r>
          </w:p>
        </w:tc>
        <w:tc>
          <w:tcPr>
            <w:tcW w:w="680" w:type="dxa"/>
            <w:tcBorders>
              <w:top w:val="nil"/>
              <w:left w:val="nil"/>
              <w:bottom w:val="single" w:sz="4" w:space="0" w:color="auto"/>
              <w:right w:val="single" w:sz="4" w:space="0" w:color="auto"/>
            </w:tcBorders>
            <w:shd w:val="clear" w:color="auto" w:fill="auto"/>
            <w:noWrap/>
            <w:vAlign w:val="center"/>
            <w:hideMark/>
          </w:tcPr>
          <w:p w14:paraId="649ADA0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-0,33</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23AB024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-0,13</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72833F6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-0,25</w:t>
            </w:r>
          </w:p>
        </w:tc>
        <w:tc>
          <w:tcPr>
            <w:tcW w:w="1757" w:type="dxa"/>
            <w:tcBorders>
              <w:top w:val="nil"/>
              <w:left w:val="nil"/>
              <w:bottom w:val="single" w:sz="4" w:space="0" w:color="auto"/>
              <w:right w:val="single" w:sz="4" w:space="0" w:color="auto"/>
            </w:tcBorders>
            <w:vAlign w:val="center"/>
          </w:tcPr>
          <w:p w14:paraId="30250613"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Marjinal Sınırda</w:t>
            </w:r>
          </w:p>
        </w:tc>
      </w:tr>
      <w:tr w:rsidR="00164238" w:rsidRPr="00164238" w14:paraId="2E774FA0"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5FC03697"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29</w:t>
            </w:r>
          </w:p>
        </w:tc>
        <w:tc>
          <w:tcPr>
            <w:tcW w:w="680" w:type="dxa"/>
            <w:tcBorders>
              <w:top w:val="nil"/>
              <w:left w:val="nil"/>
              <w:bottom w:val="single" w:sz="4" w:space="0" w:color="auto"/>
              <w:right w:val="single" w:sz="4" w:space="0" w:color="auto"/>
            </w:tcBorders>
            <w:shd w:val="clear" w:color="auto" w:fill="auto"/>
            <w:noWrap/>
            <w:vAlign w:val="center"/>
            <w:hideMark/>
          </w:tcPr>
          <w:p w14:paraId="6BFB3A1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0,43</w:t>
            </w:r>
          </w:p>
        </w:tc>
        <w:tc>
          <w:tcPr>
            <w:tcW w:w="680" w:type="dxa"/>
            <w:tcBorders>
              <w:top w:val="nil"/>
              <w:left w:val="nil"/>
              <w:bottom w:val="single" w:sz="4" w:space="0" w:color="auto"/>
              <w:right w:val="single" w:sz="4" w:space="0" w:color="auto"/>
            </w:tcBorders>
            <w:shd w:val="clear" w:color="auto" w:fill="auto"/>
            <w:noWrap/>
            <w:vAlign w:val="center"/>
            <w:hideMark/>
          </w:tcPr>
          <w:p w14:paraId="1FF13CA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0,47</w:t>
            </w:r>
          </w:p>
        </w:tc>
        <w:tc>
          <w:tcPr>
            <w:tcW w:w="680" w:type="dxa"/>
            <w:tcBorders>
              <w:top w:val="nil"/>
              <w:left w:val="nil"/>
              <w:bottom w:val="single" w:sz="4" w:space="0" w:color="auto"/>
              <w:right w:val="single" w:sz="4" w:space="0" w:color="auto"/>
            </w:tcBorders>
            <w:shd w:val="clear" w:color="auto" w:fill="auto"/>
            <w:noWrap/>
            <w:vAlign w:val="center"/>
            <w:hideMark/>
          </w:tcPr>
          <w:p w14:paraId="04B0D5D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0,29</w:t>
            </w:r>
          </w:p>
        </w:tc>
        <w:tc>
          <w:tcPr>
            <w:tcW w:w="680" w:type="dxa"/>
            <w:tcBorders>
              <w:top w:val="nil"/>
              <w:left w:val="nil"/>
              <w:bottom w:val="single" w:sz="4" w:space="0" w:color="auto"/>
              <w:right w:val="single" w:sz="4" w:space="0" w:color="auto"/>
            </w:tcBorders>
            <w:shd w:val="clear" w:color="auto" w:fill="auto"/>
            <w:noWrap/>
            <w:vAlign w:val="center"/>
            <w:hideMark/>
          </w:tcPr>
          <w:p w14:paraId="0F09818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0,34</w:t>
            </w:r>
          </w:p>
        </w:tc>
        <w:tc>
          <w:tcPr>
            <w:tcW w:w="680" w:type="dxa"/>
            <w:tcBorders>
              <w:top w:val="nil"/>
              <w:left w:val="nil"/>
              <w:bottom w:val="single" w:sz="4" w:space="0" w:color="auto"/>
              <w:right w:val="single" w:sz="4" w:space="0" w:color="auto"/>
            </w:tcBorders>
            <w:shd w:val="clear" w:color="auto" w:fill="auto"/>
            <w:noWrap/>
            <w:vAlign w:val="center"/>
            <w:hideMark/>
          </w:tcPr>
          <w:p w14:paraId="7ABA4C9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0,58</w:t>
            </w:r>
          </w:p>
        </w:tc>
        <w:tc>
          <w:tcPr>
            <w:tcW w:w="680" w:type="dxa"/>
            <w:tcBorders>
              <w:top w:val="nil"/>
              <w:left w:val="nil"/>
              <w:bottom w:val="single" w:sz="4" w:space="0" w:color="auto"/>
              <w:right w:val="single" w:sz="4" w:space="0" w:color="auto"/>
            </w:tcBorders>
            <w:shd w:val="clear" w:color="auto" w:fill="auto"/>
            <w:noWrap/>
            <w:vAlign w:val="center"/>
            <w:hideMark/>
          </w:tcPr>
          <w:p w14:paraId="58191A1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0,73</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5609D68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0,86</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527765B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0,48</w:t>
            </w:r>
          </w:p>
        </w:tc>
        <w:tc>
          <w:tcPr>
            <w:tcW w:w="1757" w:type="dxa"/>
            <w:tcBorders>
              <w:top w:val="nil"/>
              <w:left w:val="nil"/>
              <w:bottom w:val="single" w:sz="4" w:space="0" w:color="auto"/>
              <w:right w:val="single" w:sz="4" w:space="0" w:color="auto"/>
            </w:tcBorders>
            <w:vAlign w:val="center"/>
          </w:tcPr>
          <w:p w14:paraId="4985D633"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Marjinal Sınırda</w:t>
            </w:r>
          </w:p>
        </w:tc>
      </w:tr>
      <w:tr w:rsidR="00164238" w:rsidRPr="00164238" w14:paraId="0F463667"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32367296"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30</w:t>
            </w:r>
          </w:p>
        </w:tc>
        <w:tc>
          <w:tcPr>
            <w:tcW w:w="680" w:type="dxa"/>
            <w:tcBorders>
              <w:top w:val="nil"/>
              <w:left w:val="nil"/>
              <w:bottom w:val="single" w:sz="4" w:space="0" w:color="auto"/>
              <w:right w:val="single" w:sz="4" w:space="0" w:color="auto"/>
            </w:tcBorders>
            <w:shd w:val="clear" w:color="auto" w:fill="auto"/>
            <w:noWrap/>
            <w:vAlign w:val="center"/>
            <w:hideMark/>
          </w:tcPr>
          <w:p w14:paraId="6DD6A69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0,04</w:t>
            </w:r>
          </w:p>
        </w:tc>
        <w:tc>
          <w:tcPr>
            <w:tcW w:w="680" w:type="dxa"/>
            <w:tcBorders>
              <w:top w:val="nil"/>
              <w:left w:val="nil"/>
              <w:bottom w:val="single" w:sz="4" w:space="0" w:color="auto"/>
              <w:right w:val="single" w:sz="4" w:space="0" w:color="auto"/>
            </w:tcBorders>
            <w:shd w:val="clear" w:color="auto" w:fill="auto"/>
            <w:noWrap/>
            <w:vAlign w:val="center"/>
            <w:hideMark/>
          </w:tcPr>
          <w:p w14:paraId="5EC15D8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0,00</w:t>
            </w:r>
          </w:p>
        </w:tc>
        <w:tc>
          <w:tcPr>
            <w:tcW w:w="680" w:type="dxa"/>
            <w:tcBorders>
              <w:top w:val="nil"/>
              <w:left w:val="nil"/>
              <w:bottom w:val="single" w:sz="4" w:space="0" w:color="auto"/>
              <w:right w:val="single" w:sz="4" w:space="0" w:color="auto"/>
            </w:tcBorders>
            <w:shd w:val="clear" w:color="auto" w:fill="auto"/>
            <w:noWrap/>
            <w:vAlign w:val="center"/>
            <w:hideMark/>
          </w:tcPr>
          <w:p w14:paraId="3B2E9F5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-0,42</w:t>
            </w:r>
          </w:p>
        </w:tc>
        <w:tc>
          <w:tcPr>
            <w:tcW w:w="680" w:type="dxa"/>
            <w:tcBorders>
              <w:top w:val="nil"/>
              <w:left w:val="nil"/>
              <w:bottom w:val="single" w:sz="4" w:space="0" w:color="auto"/>
              <w:right w:val="single" w:sz="4" w:space="0" w:color="auto"/>
            </w:tcBorders>
            <w:shd w:val="clear" w:color="auto" w:fill="auto"/>
            <w:noWrap/>
            <w:vAlign w:val="center"/>
            <w:hideMark/>
          </w:tcPr>
          <w:p w14:paraId="06A3EAD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-0,56</w:t>
            </w:r>
          </w:p>
        </w:tc>
        <w:tc>
          <w:tcPr>
            <w:tcW w:w="680" w:type="dxa"/>
            <w:tcBorders>
              <w:top w:val="nil"/>
              <w:left w:val="nil"/>
              <w:bottom w:val="single" w:sz="4" w:space="0" w:color="auto"/>
              <w:right w:val="single" w:sz="4" w:space="0" w:color="auto"/>
            </w:tcBorders>
            <w:shd w:val="clear" w:color="auto" w:fill="auto"/>
            <w:noWrap/>
            <w:vAlign w:val="center"/>
            <w:hideMark/>
          </w:tcPr>
          <w:p w14:paraId="59759F0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-0,22</w:t>
            </w:r>
          </w:p>
        </w:tc>
        <w:tc>
          <w:tcPr>
            <w:tcW w:w="680" w:type="dxa"/>
            <w:tcBorders>
              <w:top w:val="nil"/>
              <w:left w:val="nil"/>
              <w:bottom w:val="single" w:sz="4" w:space="0" w:color="auto"/>
              <w:right w:val="single" w:sz="4" w:space="0" w:color="auto"/>
            </w:tcBorders>
            <w:shd w:val="clear" w:color="auto" w:fill="auto"/>
            <w:noWrap/>
            <w:vAlign w:val="center"/>
            <w:hideMark/>
          </w:tcPr>
          <w:p w14:paraId="10620C8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-0,26</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1C8894F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-0,32</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3EC727A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-0,28</w:t>
            </w:r>
          </w:p>
        </w:tc>
        <w:tc>
          <w:tcPr>
            <w:tcW w:w="1757" w:type="dxa"/>
            <w:tcBorders>
              <w:top w:val="nil"/>
              <w:left w:val="nil"/>
              <w:bottom w:val="single" w:sz="4" w:space="0" w:color="auto"/>
              <w:right w:val="single" w:sz="4" w:space="0" w:color="auto"/>
            </w:tcBorders>
            <w:vAlign w:val="center"/>
          </w:tcPr>
          <w:p w14:paraId="7949621F"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Marjinal Sınırda</w:t>
            </w:r>
          </w:p>
        </w:tc>
      </w:tr>
      <w:tr w:rsidR="00164238" w:rsidRPr="00164238" w14:paraId="7F17B75F"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13A1B9B4"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31</w:t>
            </w:r>
          </w:p>
        </w:tc>
        <w:tc>
          <w:tcPr>
            <w:tcW w:w="680" w:type="dxa"/>
            <w:tcBorders>
              <w:top w:val="nil"/>
              <w:left w:val="nil"/>
              <w:bottom w:val="single" w:sz="4" w:space="0" w:color="auto"/>
              <w:right w:val="single" w:sz="4" w:space="0" w:color="auto"/>
            </w:tcBorders>
            <w:shd w:val="clear" w:color="auto" w:fill="auto"/>
            <w:noWrap/>
            <w:vAlign w:val="center"/>
            <w:hideMark/>
          </w:tcPr>
          <w:p w14:paraId="3E5DEF4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1,41</w:t>
            </w:r>
          </w:p>
        </w:tc>
        <w:tc>
          <w:tcPr>
            <w:tcW w:w="680" w:type="dxa"/>
            <w:tcBorders>
              <w:top w:val="nil"/>
              <w:left w:val="nil"/>
              <w:bottom w:val="single" w:sz="4" w:space="0" w:color="auto"/>
              <w:right w:val="single" w:sz="4" w:space="0" w:color="auto"/>
            </w:tcBorders>
            <w:shd w:val="clear" w:color="auto" w:fill="auto"/>
            <w:noWrap/>
            <w:vAlign w:val="center"/>
            <w:hideMark/>
          </w:tcPr>
          <w:p w14:paraId="34B15C2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1,41</w:t>
            </w:r>
          </w:p>
        </w:tc>
        <w:tc>
          <w:tcPr>
            <w:tcW w:w="680" w:type="dxa"/>
            <w:tcBorders>
              <w:top w:val="nil"/>
              <w:left w:val="nil"/>
              <w:bottom w:val="single" w:sz="4" w:space="0" w:color="auto"/>
              <w:right w:val="single" w:sz="4" w:space="0" w:color="auto"/>
            </w:tcBorders>
            <w:shd w:val="clear" w:color="auto" w:fill="auto"/>
            <w:noWrap/>
            <w:vAlign w:val="center"/>
            <w:hideMark/>
          </w:tcPr>
          <w:p w14:paraId="1329D49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1,41</w:t>
            </w:r>
          </w:p>
        </w:tc>
        <w:tc>
          <w:tcPr>
            <w:tcW w:w="680" w:type="dxa"/>
            <w:tcBorders>
              <w:top w:val="nil"/>
              <w:left w:val="nil"/>
              <w:bottom w:val="single" w:sz="4" w:space="0" w:color="auto"/>
              <w:right w:val="single" w:sz="4" w:space="0" w:color="auto"/>
            </w:tcBorders>
            <w:shd w:val="clear" w:color="auto" w:fill="auto"/>
            <w:noWrap/>
            <w:vAlign w:val="center"/>
            <w:hideMark/>
          </w:tcPr>
          <w:p w14:paraId="46CE293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1,67</w:t>
            </w:r>
          </w:p>
        </w:tc>
        <w:tc>
          <w:tcPr>
            <w:tcW w:w="680" w:type="dxa"/>
            <w:tcBorders>
              <w:top w:val="nil"/>
              <w:left w:val="nil"/>
              <w:bottom w:val="single" w:sz="4" w:space="0" w:color="auto"/>
              <w:right w:val="single" w:sz="4" w:space="0" w:color="auto"/>
            </w:tcBorders>
            <w:shd w:val="clear" w:color="auto" w:fill="auto"/>
            <w:noWrap/>
            <w:vAlign w:val="center"/>
            <w:hideMark/>
          </w:tcPr>
          <w:p w14:paraId="6E109DF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1,78</w:t>
            </w:r>
          </w:p>
        </w:tc>
        <w:tc>
          <w:tcPr>
            <w:tcW w:w="680" w:type="dxa"/>
            <w:tcBorders>
              <w:top w:val="nil"/>
              <w:left w:val="nil"/>
              <w:bottom w:val="single" w:sz="4" w:space="0" w:color="auto"/>
              <w:right w:val="single" w:sz="4" w:space="0" w:color="auto"/>
            </w:tcBorders>
            <w:shd w:val="clear" w:color="auto" w:fill="auto"/>
            <w:noWrap/>
            <w:vAlign w:val="center"/>
            <w:hideMark/>
          </w:tcPr>
          <w:p w14:paraId="0E89DFC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1,90</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5A5AD2A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2,02</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694FFFB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2,22</w:t>
            </w:r>
          </w:p>
        </w:tc>
        <w:tc>
          <w:tcPr>
            <w:tcW w:w="1757" w:type="dxa"/>
            <w:tcBorders>
              <w:top w:val="nil"/>
              <w:left w:val="nil"/>
              <w:bottom w:val="single" w:sz="4" w:space="0" w:color="auto"/>
              <w:right w:val="single" w:sz="4" w:space="0" w:color="auto"/>
            </w:tcBorders>
            <w:vAlign w:val="center"/>
          </w:tcPr>
          <w:p w14:paraId="3D1238BE"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Advantajlı</w:t>
            </w:r>
          </w:p>
        </w:tc>
      </w:tr>
      <w:tr w:rsidR="00164238" w:rsidRPr="00164238" w14:paraId="7767B12F"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4BE2BC5C"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32</w:t>
            </w:r>
          </w:p>
        </w:tc>
        <w:tc>
          <w:tcPr>
            <w:tcW w:w="680" w:type="dxa"/>
            <w:tcBorders>
              <w:top w:val="nil"/>
              <w:left w:val="nil"/>
              <w:bottom w:val="single" w:sz="4" w:space="0" w:color="auto"/>
              <w:right w:val="single" w:sz="4" w:space="0" w:color="auto"/>
            </w:tcBorders>
            <w:shd w:val="clear" w:color="auto" w:fill="auto"/>
            <w:noWrap/>
            <w:vAlign w:val="center"/>
            <w:hideMark/>
          </w:tcPr>
          <w:p w14:paraId="5460F13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0,57</w:t>
            </w:r>
          </w:p>
        </w:tc>
        <w:tc>
          <w:tcPr>
            <w:tcW w:w="680" w:type="dxa"/>
            <w:tcBorders>
              <w:top w:val="nil"/>
              <w:left w:val="nil"/>
              <w:bottom w:val="single" w:sz="4" w:space="0" w:color="auto"/>
              <w:right w:val="single" w:sz="4" w:space="0" w:color="auto"/>
            </w:tcBorders>
            <w:shd w:val="clear" w:color="auto" w:fill="auto"/>
            <w:noWrap/>
            <w:vAlign w:val="center"/>
            <w:hideMark/>
          </w:tcPr>
          <w:p w14:paraId="26126BA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0,73</w:t>
            </w:r>
          </w:p>
        </w:tc>
        <w:tc>
          <w:tcPr>
            <w:tcW w:w="680" w:type="dxa"/>
            <w:tcBorders>
              <w:top w:val="nil"/>
              <w:left w:val="nil"/>
              <w:bottom w:val="single" w:sz="4" w:space="0" w:color="auto"/>
              <w:right w:val="single" w:sz="4" w:space="0" w:color="auto"/>
            </w:tcBorders>
            <w:shd w:val="clear" w:color="auto" w:fill="auto"/>
            <w:noWrap/>
            <w:vAlign w:val="center"/>
            <w:hideMark/>
          </w:tcPr>
          <w:p w14:paraId="2BB8A0A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0,66</w:t>
            </w:r>
          </w:p>
        </w:tc>
        <w:tc>
          <w:tcPr>
            <w:tcW w:w="680" w:type="dxa"/>
            <w:tcBorders>
              <w:top w:val="nil"/>
              <w:left w:val="nil"/>
              <w:bottom w:val="single" w:sz="4" w:space="0" w:color="auto"/>
              <w:right w:val="single" w:sz="4" w:space="0" w:color="auto"/>
            </w:tcBorders>
            <w:shd w:val="clear" w:color="auto" w:fill="auto"/>
            <w:noWrap/>
            <w:vAlign w:val="center"/>
            <w:hideMark/>
          </w:tcPr>
          <w:p w14:paraId="64F7652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0,63</w:t>
            </w:r>
          </w:p>
        </w:tc>
        <w:tc>
          <w:tcPr>
            <w:tcW w:w="680" w:type="dxa"/>
            <w:tcBorders>
              <w:top w:val="nil"/>
              <w:left w:val="nil"/>
              <w:bottom w:val="single" w:sz="4" w:space="0" w:color="auto"/>
              <w:right w:val="single" w:sz="4" w:space="0" w:color="auto"/>
            </w:tcBorders>
            <w:shd w:val="clear" w:color="auto" w:fill="auto"/>
            <w:noWrap/>
            <w:vAlign w:val="center"/>
            <w:hideMark/>
          </w:tcPr>
          <w:p w14:paraId="01F178F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0,75</w:t>
            </w:r>
          </w:p>
        </w:tc>
        <w:tc>
          <w:tcPr>
            <w:tcW w:w="680" w:type="dxa"/>
            <w:tcBorders>
              <w:top w:val="nil"/>
              <w:left w:val="nil"/>
              <w:bottom w:val="single" w:sz="4" w:space="0" w:color="auto"/>
              <w:right w:val="single" w:sz="4" w:space="0" w:color="auto"/>
            </w:tcBorders>
            <w:shd w:val="clear" w:color="auto" w:fill="auto"/>
            <w:noWrap/>
            <w:vAlign w:val="center"/>
            <w:hideMark/>
          </w:tcPr>
          <w:p w14:paraId="27BB759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0,67</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5D9B59C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0,61</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2BD121E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0,73</w:t>
            </w:r>
          </w:p>
        </w:tc>
        <w:tc>
          <w:tcPr>
            <w:tcW w:w="1757" w:type="dxa"/>
            <w:tcBorders>
              <w:top w:val="nil"/>
              <w:left w:val="nil"/>
              <w:bottom w:val="single" w:sz="4" w:space="0" w:color="auto"/>
              <w:right w:val="single" w:sz="4" w:space="0" w:color="auto"/>
            </w:tcBorders>
            <w:vAlign w:val="center"/>
          </w:tcPr>
          <w:p w14:paraId="110E949B"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Advantajlı</w:t>
            </w:r>
          </w:p>
        </w:tc>
      </w:tr>
      <w:tr w:rsidR="00164238" w:rsidRPr="00164238" w14:paraId="7B6058B4"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60053EB9"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Tüm İmalat</w:t>
            </w:r>
          </w:p>
        </w:tc>
        <w:tc>
          <w:tcPr>
            <w:tcW w:w="680" w:type="dxa"/>
            <w:tcBorders>
              <w:top w:val="nil"/>
              <w:left w:val="nil"/>
              <w:bottom w:val="single" w:sz="4" w:space="0" w:color="auto"/>
              <w:right w:val="single" w:sz="4" w:space="0" w:color="auto"/>
            </w:tcBorders>
            <w:shd w:val="clear" w:color="auto" w:fill="auto"/>
            <w:noWrap/>
            <w:vAlign w:val="center"/>
            <w:hideMark/>
          </w:tcPr>
          <w:p w14:paraId="444439B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0,17</w:t>
            </w:r>
          </w:p>
        </w:tc>
        <w:tc>
          <w:tcPr>
            <w:tcW w:w="680" w:type="dxa"/>
            <w:tcBorders>
              <w:top w:val="nil"/>
              <w:left w:val="nil"/>
              <w:bottom w:val="single" w:sz="4" w:space="0" w:color="auto"/>
              <w:right w:val="single" w:sz="4" w:space="0" w:color="auto"/>
            </w:tcBorders>
            <w:shd w:val="clear" w:color="auto" w:fill="auto"/>
            <w:noWrap/>
            <w:vAlign w:val="center"/>
            <w:hideMark/>
          </w:tcPr>
          <w:p w14:paraId="0866FAA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0,18</w:t>
            </w:r>
          </w:p>
        </w:tc>
        <w:tc>
          <w:tcPr>
            <w:tcW w:w="680" w:type="dxa"/>
            <w:tcBorders>
              <w:top w:val="nil"/>
              <w:left w:val="nil"/>
              <w:bottom w:val="single" w:sz="4" w:space="0" w:color="auto"/>
              <w:right w:val="single" w:sz="4" w:space="0" w:color="auto"/>
            </w:tcBorders>
            <w:shd w:val="clear" w:color="auto" w:fill="auto"/>
            <w:noWrap/>
            <w:vAlign w:val="center"/>
            <w:hideMark/>
          </w:tcPr>
          <w:p w14:paraId="71AA6B9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0,15</w:t>
            </w:r>
          </w:p>
        </w:tc>
        <w:tc>
          <w:tcPr>
            <w:tcW w:w="680" w:type="dxa"/>
            <w:tcBorders>
              <w:top w:val="nil"/>
              <w:left w:val="nil"/>
              <w:bottom w:val="single" w:sz="4" w:space="0" w:color="auto"/>
              <w:right w:val="single" w:sz="4" w:space="0" w:color="auto"/>
            </w:tcBorders>
            <w:shd w:val="clear" w:color="auto" w:fill="auto"/>
            <w:noWrap/>
            <w:vAlign w:val="center"/>
            <w:hideMark/>
          </w:tcPr>
          <w:p w14:paraId="31EFB13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0,11</w:t>
            </w:r>
          </w:p>
        </w:tc>
        <w:tc>
          <w:tcPr>
            <w:tcW w:w="680" w:type="dxa"/>
            <w:tcBorders>
              <w:top w:val="nil"/>
              <w:left w:val="nil"/>
              <w:bottom w:val="single" w:sz="4" w:space="0" w:color="auto"/>
              <w:right w:val="single" w:sz="4" w:space="0" w:color="auto"/>
            </w:tcBorders>
            <w:shd w:val="clear" w:color="auto" w:fill="auto"/>
            <w:noWrap/>
            <w:vAlign w:val="center"/>
            <w:hideMark/>
          </w:tcPr>
          <w:p w14:paraId="536F626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0,14</w:t>
            </w:r>
          </w:p>
        </w:tc>
        <w:tc>
          <w:tcPr>
            <w:tcW w:w="680" w:type="dxa"/>
            <w:tcBorders>
              <w:top w:val="nil"/>
              <w:left w:val="nil"/>
              <w:bottom w:val="single" w:sz="4" w:space="0" w:color="auto"/>
              <w:right w:val="single" w:sz="4" w:space="0" w:color="auto"/>
            </w:tcBorders>
            <w:shd w:val="clear" w:color="auto" w:fill="auto"/>
            <w:noWrap/>
            <w:vAlign w:val="center"/>
            <w:hideMark/>
          </w:tcPr>
          <w:p w14:paraId="731DE85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0,17</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5D667DC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0,21</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3FF371F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0,14</w:t>
            </w:r>
          </w:p>
        </w:tc>
        <w:tc>
          <w:tcPr>
            <w:tcW w:w="1757" w:type="dxa"/>
            <w:tcBorders>
              <w:top w:val="nil"/>
              <w:left w:val="nil"/>
              <w:bottom w:val="single" w:sz="4" w:space="0" w:color="auto"/>
              <w:right w:val="single" w:sz="4" w:space="0" w:color="auto"/>
            </w:tcBorders>
            <w:vAlign w:val="center"/>
          </w:tcPr>
          <w:p w14:paraId="7966E4B1"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Marjinal Sınırda</w:t>
            </w:r>
          </w:p>
        </w:tc>
      </w:tr>
    </w:tbl>
    <w:p w14:paraId="3A37DBB7" w14:textId="77777777" w:rsidR="00C54BC9" w:rsidRPr="00164238" w:rsidRDefault="00C54BC9" w:rsidP="00C54BC9">
      <w:pPr>
        <w:spacing w:line="360" w:lineRule="auto"/>
        <w:rPr>
          <w:rFonts w:ascii="Times New Roman" w:hAnsi="Times New Roman" w:cs="Times New Roman"/>
          <w:color w:val="000000" w:themeColor="text1"/>
        </w:rPr>
      </w:pPr>
      <w:r w:rsidRPr="00164238">
        <w:rPr>
          <w:rFonts w:ascii="Times New Roman" w:hAnsi="Times New Roman" w:cs="Times New Roman"/>
          <w:b/>
          <w:bCs/>
          <w:color w:val="000000" w:themeColor="text1"/>
        </w:rPr>
        <w:t xml:space="preserve">Kaynak: </w:t>
      </w:r>
      <w:r w:rsidRPr="00164238">
        <w:rPr>
          <w:rFonts w:ascii="Times New Roman" w:hAnsi="Times New Roman" w:cs="Times New Roman"/>
          <w:color w:val="000000" w:themeColor="text1"/>
        </w:rPr>
        <w:t>TÜİK verileri derlenerek yazar tarafından oluşturulmuştur.</w:t>
      </w:r>
    </w:p>
    <w:p w14:paraId="0BF4CBBB" w14:textId="77777777" w:rsidR="00C54BC9" w:rsidRPr="00164238" w:rsidRDefault="00C54BC9" w:rsidP="00C54BC9">
      <w:pPr>
        <w:autoSpaceDE w:val="0"/>
        <w:autoSpaceDN w:val="0"/>
        <w:adjustRightInd w:val="0"/>
        <w:spacing w:before="120" w:after="120" w:line="360" w:lineRule="auto"/>
        <w:ind w:firstLine="567"/>
        <w:jc w:val="both"/>
        <w:rPr>
          <w:rFonts w:ascii="Times New Roman" w:hAnsi="Times New Roman" w:cs="Times New Roman"/>
          <w:color w:val="000000" w:themeColor="text1"/>
          <w:sz w:val="20"/>
          <w:szCs w:val="20"/>
        </w:rPr>
      </w:pPr>
      <w:bookmarkStart w:id="88" w:name="_Hlk68675495"/>
      <w:r w:rsidRPr="00164238">
        <w:rPr>
          <w:rFonts w:ascii="Times New Roman" w:hAnsi="Times New Roman" w:cs="Times New Roman"/>
          <w:color w:val="000000" w:themeColor="text1"/>
          <w:sz w:val="20"/>
          <w:szCs w:val="20"/>
        </w:rPr>
        <w:t>Dünya pazarında Türk imalat sanayii ve alt sektörlerinin rekabet gücünün gösterildiği Tablo 5’e göre, 2019-2020 yılları arasında Türk imalat sanayii ve 20 alt sektörün mevcut rekabet gücünde bir değişiklik olmadığı görülmüştür.</w:t>
      </w:r>
      <w:bookmarkEnd w:id="88"/>
      <w:r w:rsidRPr="00164238">
        <w:rPr>
          <w:rFonts w:ascii="Times New Roman" w:hAnsi="Times New Roman" w:cs="Times New Roman"/>
          <w:color w:val="000000" w:themeColor="text1"/>
          <w:sz w:val="20"/>
          <w:szCs w:val="20"/>
        </w:rPr>
        <w:t xml:space="preserve"> Geriye kalan 3 alt sektörden Türkiye’nin deri ve ilgili ürünler ile ana metal sanayiinde marjinal sınırda olan rekabet gücünün, deri ve ilgili ürünler için yüksek, ana metal sanayii için düşük çıktığı görülürken, motorlu kara taşıtlarında (yarı treyler ve treyler dahil) yüksek olan rekabet gücünün marjinal sınırda kaldığı tespit edilmiştir. Dünya pazarında motorlu kara taşıtları (yarı treyler ve treyler dahil) ile ana metal sanayiinin rekabet gücünde düşüş saptanmıştır. </w:t>
      </w:r>
    </w:p>
    <w:p w14:paraId="17DEC56A" w14:textId="77777777" w:rsidR="00C54BC9" w:rsidRPr="00164238" w:rsidRDefault="00C54BC9" w:rsidP="00C54BC9">
      <w:pPr>
        <w:spacing w:after="0" w:line="240" w:lineRule="auto"/>
        <w:rPr>
          <w:rFonts w:ascii="Times New Roman" w:hAnsi="Times New Roman" w:cs="Times New Roman"/>
          <w:b/>
          <w:bCs/>
          <w:color w:val="000000" w:themeColor="text1"/>
        </w:rPr>
      </w:pPr>
      <w:r w:rsidRPr="00164238">
        <w:rPr>
          <w:rFonts w:ascii="Times New Roman" w:hAnsi="Times New Roman" w:cs="Times New Roman"/>
          <w:b/>
          <w:bCs/>
          <w:color w:val="000000" w:themeColor="text1"/>
        </w:rPr>
        <w:t>Tablo 7: Türk İmalat Sanayii’nin Dünya Pazarında Ticaret Dengesi Endeksi</w:t>
      </w:r>
    </w:p>
    <w:tbl>
      <w:tblPr>
        <w:tblW w:w="8388" w:type="dxa"/>
        <w:tblCellMar>
          <w:left w:w="70" w:type="dxa"/>
          <w:right w:w="70" w:type="dxa"/>
        </w:tblCellMar>
        <w:tblLook w:val="04A0" w:firstRow="1" w:lastRow="0" w:firstColumn="1" w:lastColumn="0" w:noHBand="0" w:noVBand="1"/>
      </w:tblPr>
      <w:tblGrid>
        <w:gridCol w:w="1191"/>
        <w:gridCol w:w="680"/>
        <w:gridCol w:w="680"/>
        <w:gridCol w:w="680"/>
        <w:gridCol w:w="680"/>
        <w:gridCol w:w="680"/>
        <w:gridCol w:w="680"/>
        <w:gridCol w:w="680"/>
        <w:gridCol w:w="680"/>
        <w:gridCol w:w="1757"/>
      </w:tblGrid>
      <w:tr w:rsidR="00164238" w:rsidRPr="00164238" w14:paraId="6293323B" w14:textId="77777777" w:rsidTr="00682CBF">
        <w:trPr>
          <w:trHeight w:val="300"/>
        </w:trPr>
        <w:tc>
          <w:tcPr>
            <w:tcW w:w="1191" w:type="dxa"/>
            <w:tcBorders>
              <w:top w:val="single" w:sz="4" w:space="0" w:color="auto"/>
              <w:left w:val="single" w:sz="4" w:space="0" w:color="auto"/>
              <w:bottom w:val="single" w:sz="4" w:space="0" w:color="auto"/>
              <w:right w:val="single" w:sz="4" w:space="0" w:color="auto"/>
            </w:tcBorders>
            <w:shd w:val="clear" w:color="auto" w:fill="auto"/>
            <w:noWrap/>
            <w:hideMark/>
          </w:tcPr>
          <w:p w14:paraId="584835E5"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6548697B"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2013</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260384FA"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2014</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701136DF"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2015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F72F0DC"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2016</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78F1ED5"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2017</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289EB556"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2018</w:t>
            </w:r>
          </w:p>
        </w:tc>
        <w:tc>
          <w:tcPr>
            <w:tcW w:w="68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6B9F638E"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2019</w:t>
            </w:r>
          </w:p>
        </w:tc>
        <w:tc>
          <w:tcPr>
            <w:tcW w:w="68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5CBB2B15"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2020</w:t>
            </w:r>
          </w:p>
        </w:tc>
        <w:tc>
          <w:tcPr>
            <w:tcW w:w="1757" w:type="dxa"/>
            <w:tcBorders>
              <w:top w:val="single" w:sz="4" w:space="0" w:color="auto"/>
              <w:left w:val="nil"/>
              <w:bottom w:val="single" w:sz="4" w:space="0" w:color="auto"/>
              <w:right w:val="single" w:sz="4" w:space="0" w:color="auto"/>
            </w:tcBorders>
            <w:vAlign w:val="center"/>
          </w:tcPr>
          <w:p w14:paraId="13709F12"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TBI</w:t>
            </w:r>
          </w:p>
        </w:tc>
      </w:tr>
      <w:tr w:rsidR="00164238" w:rsidRPr="00164238" w14:paraId="2CF285A4"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43FAE038"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10</w:t>
            </w:r>
          </w:p>
        </w:tc>
        <w:tc>
          <w:tcPr>
            <w:tcW w:w="680" w:type="dxa"/>
            <w:tcBorders>
              <w:top w:val="nil"/>
              <w:left w:val="nil"/>
              <w:bottom w:val="single" w:sz="4" w:space="0" w:color="auto"/>
              <w:right w:val="single" w:sz="4" w:space="0" w:color="auto"/>
            </w:tcBorders>
            <w:shd w:val="clear" w:color="auto" w:fill="auto"/>
            <w:noWrap/>
            <w:vAlign w:val="center"/>
            <w:hideMark/>
          </w:tcPr>
          <w:p w14:paraId="0A78959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1,90 </w:t>
            </w:r>
          </w:p>
        </w:tc>
        <w:tc>
          <w:tcPr>
            <w:tcW w:w="680" w:type="dxa"/>
            <w:tcBorders>
              <w:top w:val="nil"/>
              <w:left w:val="nil"/>
              <w:bottom w:val="single" w:sz="4" w:space="0" w:color="auto"/>
              <w:right w:val="single" w:sz="4" w:space="0" w:color="auto"/>
            </w:tcBorders>
            <w:shd w:val="clear" w:color="auto" w:fill="auto"/>
            <w:noWrap/>
            <w:vAlign w:val="center"/>
            <w:hideMark/>
          </w:tcPr>
          <w:p w14:paraId="4F0EB19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1,96 </w:t>
            </w:r>
          </w:p>
        </w:tc>
        <w:tc>
          <w:tcPr>
            <w:tcW w:w="680" w:type="dxa"/>
            <w:tcBorders>
              <w:top w:val="nil"/>
              <w:left w:val="nil"/>
              <w:bottom w:val="single" w:sz="4" w:space="0" w:color="auto"/>
              <w:right w:val="single" w:sz="4" w:space="0" w:color="auto"/>
            </w:tcBorders>
            <w:shd w:val="clear" w:color="auto" w:fill="auto"/>
            <w:noWrap/>
            <w:vAlign w:val="center"/>
            <w:hideMark/>
          </w:tcPr>
          <w:p w14:paraId="01C0E15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2,13 </w:t>
            </w:r>
          </w:p>
        </w:tc>
        <w:tc>
          <w:tcPr>
            <w:tcW w:w="680" w:type="dxa"/>
            <w:tcBorders>
              <w:top w:val="nil"/>
              <w:left w:val="nil"/>
              <w:bottom w:val="single" w:sz="4" w:space="0" w:color="auto"/>
              <w:right w:val="single" w:sz="4" w:space="0" w:color="auto"/>
            </w:tcBorders>
            <w:shd w:val="clear" w:color="auto" w:fill="auto"/>
            <w:noWrap/>
            <w:vAlign w:val="center"/>
            <w:hideMark/>
          </w:tcPr>
          <w:p w14:paraId="5F92033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2,06 </w:t>
            </w:r>
          </w:p>
        </w:tc>
        <w:tc>
          <w:tcPr>
            <w:tcW w:w="680" w:type="dxa"/>
            <w:tcBorders>
              <w:top w:val="nil"/>
              <w:left w:val="nil"/>
              <w:bottom w:val="single" w:sz="4" w:space="0" w:color="auto"/>
              <w:right w:val="single" w:sz="4" w:space="0" w:color="auto"/>
            </w:tcBorders>
            <w:shd w:val="clear" w:color="auto" w:fill="auto"/>
            <w:noWrap/>
            <w:vAlign w:val="center"/>
            <w:hideMark/>
          </w:tcPr>
          <w:p w14:paraId="7F919CA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2,06 </w:t>
            </w:r>
          </w:p>
        </w:tc>
        <w:tc>
          <w:tcPr>
            <w:tcW w:w="680" w:type="dxa"/>
            <w:tcBorders>
              <w:top w:val="nil"/>
              <w:left w:val="nil"/>
              <w:bottom w:val="single" w:sz="4" w:space="0" w:color="auto"/>
              <w:right w:val="single" w:sz="4" w:space="0" w:color="auto"/>
            </w:tcBorders>
            <w:shd w:val="clear" w:color="auto" w:fill="auto"/>
            <w:noWrap/>
            <w:vAlign w:val="center"/>
            <w:hideMark/>
          </w:tcPr>
          <w:p w14:paraId="1032F34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2,26 </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0DABD18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2,38 </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1391B64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2,29 </w:t>
            </w:r>
          </w:p>
        </w:tc>
        <w:tc>
          <w:tcPr>
            <w:tcW w:w="1757" w:type="dxa"/>
            <w:tcBorders>
              <w:top w:val="nil"/>
              <w:left w:val="nil"/>
              <w:bottom w:val="single" w:sz="4" w:space="0" w:color="auto"/>
              <w:right w:val="single" w:sz="4" w:space="0" w:color="auto"/>
            </w:tcBorders>
            <w:vAlign w:val="center"/>
          </w:tcPr>
          <w:p w14:paraId="580AAF43"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Net İhracatçı</w:t>
            </w:r>
          </w:p>
        </w:tc>
      </w:tr>
      <w:tr w:rsidR="00164238" w:rsidRPr="00164238" w14:paraId="2D3EAAEC"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6EFDB86C"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11</w:t>
            </w:r>
          </w:p>
        </w:tc>
        <w:tc>
          <w:tcPr>
            <w:tcW w:w="680" w:type="dxa"/>
            <w:tcBorders>
              <w:top w:val="nil"/>
              <w:left w:val="nil"/>
              <w:bottom w:val="single" w:sz="4" w:space="0" w:color="auto"/>
              <w:right w:val="single" w:sz="4" w:space="0" w:color="auto"/>
            </w:tcBorders>
            <w:shd w:val="clear" w:color="auto" w:fill="auto"/>
            <w:noWrap/>
            <w:vAlign w:val="center"/>
            <w:hideMark/>
          </w:tcPr>
          <w:p w14:paraId="1698EAE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-0,31 </w:t>
            </w:r>
          </w:p>
        </w:tc>
        <w:tc>
          <w:tcPr>
            <w:tcW w:w="680" w:type="dxa"/>
            <w:tcBorders>
              <w:top w:val="nil"/>
              <w:left w:val="nil"/>
              <w:bottom w:val="single" w:sz="4" w:space="0" w:color="auto"/>
              <w:right w:val="single" w:sz="4" w:space="0" w:color="auto"/>
            </w:tcBorders>
            <w:shd w:val="clear" w:color="auto" w:fill="auto"/>
            <w:noWrap/>
            <w:vAlign w:val="center"/>
            <w:hideMark/>
          </w:tcPr>
          <w:p w14:paraId="0377F6C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-0,24 </w:t>
            </w:r>
          </w:p>
        </w:tc>
        <w:tc>
          <w:tcPr>
            <w:tcW w:w="680" w:type="dxa"/>
            <w:tcBorders>
              <w:top w:val="nil"/>
              <w:left w:val="nil"/>
              <w:bottom w:val="single" w:sz="4" w:space="0" w:color="auto"/>
              <w:right w:val="single" w:sz="4" w:space="0" w:color="auto"/>
            </w:tcBorders>
            <w:shd w:val="clear" w:color="auto" w:fill="auto"/>
            <w:noWrap/>
            <w:vAlign w:val="center"/>
            <w:hideMark/>
          </w:tcPr>
          <w:p w14:paraId="2C433B3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-0,23 </w:t>
            </w:r>
          </w:p>
        </w:tc>
        <w:tc>
          <w:tcPr>
            <w:tcW w:w="680" w:type="dxa"/>
            <w:tcBorders>
              <w:top w:val="nil"/>
              <w:left w:val="nil"/>
              <w:bottom w:val="single" w:sz="4" w:space="0" w:color="auto"/>
              <w:right w:val="single" w:sz="4" w:space="0" w:color="auto"/>
            </w:tcBorders>
            <w:shd w:val="clear" w:color="auto" w:fill="auto"/>
            <w:noWrap/>
            <w:vAlign w:val="center"/>
            <w:hideMark/>
          </w:tcPr>
          <w:p w14:paraId="2A43575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-0,32 </w:t>
            </w:r>
          </w:p>
        </w:tc>
        <w:tc>
          <w:tcPr>
            <w:tcW w:w="680" w:type="dxa"/>
            <w:tcBorders>
              <w:top w:val="nil"/>
              <w:left w:val="nil"/>
              <w:bottom w:val="single" w:sz="4" w:space="0" w:color="auto"/>
              <w:right w:val="single" w:sz="4" w:space="0" w:color="auto"/>
            </w:tcBorders>
            <w:shd w:val="clear" w:color="auto" w:fill="auto"/>
            <w:noWrap/>
            <w:vAlign w:val="center"/>
            <w:hideMark/>
          </w:tcPr>
          <w:p w14:paraId="747989F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-0,39 </w:t>
            </w:r>
          </w:p>
        </w:tc>
        <w:tc>
          <w:tcPr>
            <w:tcW w:w="680" w:type="dxa"/>
            <w:tcBorders>
              <w:top w:val="nil"/>
              <w:left w:val="nil"/>
              <w:bottom w:val="single" w:sz="4" w:space="0" w:color="auto"/>
              <w:right w:val="single" w:sz="4" w:space="0" w:color="auto"/>
            </w:tcBorders>
            <w:shd w:val="clear" w:color="auto" w:fill="auto"/>
            <w:noWrap/>
            <w:vAlign w:val="center"/>
            <w:hideMark/>
          </w:tcPr>
          <w:p w14:paraId="75AE331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-0,29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36EA4D3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-0,24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55A15E2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-0,30 </w:t>
            </w:r>
          </w:p>
        </w:tc>
        <w:tc>
          <w:tcPr>
            <w:tcW w:w="1757" w:type="dxa"/>
            <w:tcBorders>
              <w:top w:val="nil"/>
              <w:left w:val="nil"/>
              <w:bottom w:val="single" w:sz="4" w:space="0" w:color="auto"/>
              <w:right w:val="single" w:sz="4" w:space="0" w:color="auto"/>
            </w:tcBorders>
            <w:vAlign w:val="center"/>
          </w:tcPr>
          <w:p w14:paraId="2AA59480"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Net İthalatçı</w:t>
            </w:r>
          </w:p>
        </w:tc>
      </w:tr>
      <w:tr w:rsidR="00164238" w:rsidRPr="00164238" w14:paraId="3A6E43E3"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582FF0F5"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12</w:t>
            </w:r>
          </w:p>
        </w:tc>
        <w:tc>
          <w:tcPr>
            <w:tcW w:w="680" w:type="dxa"/>
            <w:tcBorders>
              <w:top w:val="nil"/>
              <w:left w:val="nil"/>
              <w:bottom w:val="single" w:sz="4" w:space="0" w:color="auto"/>
              <w:right w:val="single" w:sz="4" w:space="0" w:color="auto"/>
            </w:tcBorders>
            <w:shd w:val="clear" w:color="auto" w:fill="auto"/>
            <w:noWrap/>
            <w:vAlign w:val="center"/>
            <w:hideMark/>
          </w:tcPr>
          <w:p w14:paraId="423BBCF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-0,27 </w:t>
            </w:r>
          </w:p>
        </w:tc>
        <w:tc>
          <w:tcPr>
            <w:tcW w:w="680" w:type="dxa"/>
            <w:tcBorders>
              <w:top w:val="nil"/>
              <w:left w:val="nil"/>
              <w:bottom w:val="single" w:sz="4" w:space="0" w:color="auto"/>
              <w:right w:val="single" w:sz="4" w:space="0" w:color="auto"/>
            </w:tcBorders>
            <w:shd w:val="clear" w:color="auto" w:fill="auto"/>
            <w:noWrap/>
            <w:vAlign w:val="center"/>
            <w:hideMark/>
          </w:tcPr>
          <w:p w14:paraId="08CC76D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-0,15 </w:t>
            </w:r>
          </w:p>
        </w:tc>
        <w:tc>
          <w:tcPr>
            <w:tcW w:w="680" w:type="dxa"/>
            <w:tcBorders>
              <w:top w:val="nil"/>
              <w:left w:val="nil"/>
              <w:bottom w:val="single" w:sz="4" w:space="0" w:color="auto"/>
              <w:right w:val="single" w:sz="4" w:space="0" w:color="auto"/>
            </w:tcBorders>
            <w:shd w:val="clear" w:color="auto" w:fill="auto"/>
            <w:noWrap/>
            <w:vAlign w:val="center"/>
            <w:hideMark/>
          </w:tcPr>
          <w:p w14:paraId="26F8EC2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-0,15 </w:t>
            </w:r>
          </w:p>
        </w:tc>
        <w:tc>
          <w:tcPr>
            <w:tcW w:w="680" w:type="dxa"/>
            <w:tcBorders>
              <w:top w:val="nil"/>
              <w:left w:val="nil"/>
              <w:bottom w:val="single" w:sz="4" w:space="0" w:color="auto"/>
              <w:right w:val="single" w:sz="4" w:space="0" w:color="auto"/>
            </w:tcBorders>
            <w:shd w:val="clear" w:color="auto" w:fill="auto"/>
            <w:noWrap/>
            <w:vAlign w:val="center"/>
            <w:hideMark/>
          </w:tcPr>
          <w:p w14:paraId="3688754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-0,07 </w:t>
            </w:r>
          </w:p>
        </w:tc>
        <w:tc>
          <w:tcPr>
            <w:tcW w:w="680" w:type="dxa"/>
            <w:tcBorders>
              <w:top w:val="nil"/>
              <w:left w:val="nil"/>
              <w:bottom w:val="single" w:sz="4" w:space="0" w:color="auto"/>
              <w:right w:val="single" w:sz="4" w:space="0" w:color="auto"/>
            </w:tcBorders>
            <w:shd w:val="clear" w:color="auto" w:fill="auto"/>
            <w:noWrap/>
            <w:vAlign w:val="center"/>
            <w:hideMark/>
          </w:tcPr>
          <w:p w14:paraId="2C07E7D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-0,06 </w:t>
            </w:r>
          </w:p>
        </w:tc>
        <w:tc>
          <w:tcPr>
            <w:tcW w:w="680" w:type="dxa"/>
            <w:tcBorders>
              <w:top w:val="nil"/>
              <w:left w:val="nil"/>
              <w:bottom w:val="single" w:sz="4" w:space="0" w:color="auto"/>
              <w:right w:val="single" w:sz="4" w:space="0" w:color="auto"/>
            </w:tcBorders>
            <w:shd w:val="clear" w:color="auto" w:fill="auto"/>
            <w:noWrap/>
            <w:vAlign w:val="center"/>
            <w:hideMark/>
          </w:tcPr>
          <w:p w14:paraId="465685D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-0,07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0059555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-0,07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7E2A871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-0,01 </w:t>
            </w:r>
          </w:p>
        </w:tc>
        <w:tc>
          <w:tcPr>
            <w:tcW w:w="1757" w:type="dxa"/>
            <w:tcBorders>
              <w:top w:val="nil"/>
              <w:left w:val="nil"/>
              <w:bottom w:val="single" w:sz="4" w:space="0" w:color="auto"/>
              <w:right w:val="single" w:sz="4" w:space="0" w:color="auto"/>
            </w:tcBorders>
            <w:vAlign w:val="center"/>
          </w:tcPr>
          <w:p w14:paraId="408E9EC8"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Net İthalatçı</w:t>
            </w:r>
          </w:p>
        </w:tc>
      </w:tr>
      <w:tr w:rsidR="00164238" w:rsidRPr="00164238" w14:paraId="41EEC2EE"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332F1E27"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13</w:t>
            </w:r>
          </w:p>
        </w:tc>
        <w:tc>
          <w:tcPr>
            <w:tcW w:w="680" w:type="dxa"/>
            <w:tcBorders>
              <w:top w:val="nil"/>
              <w:left w:val="nil"/>
              <w:bottom w:val="single" w:sz="4" w:space="0" w:color="auto"/>
              <w:right w:val="single" w:sz="4" w:space="0" w:color="auto"/>
            </w:tcBorders>
            <w:shd w:val="clear" w:color="auto" w:fill="auto"/>
            <w:noWrap/>
            <w:vAlign w:val="center"/>
            <w:hideMark/>
          </w:tcPr>
          <w:p w14:paraId="31A48AF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0,36 </w:t>
            </w:r>
          </w:p>
        </w:tc>
        <w:tc>
          <w:tcPr>
            <w:tcW w:w="680" w:type="dxa"/>
            <w:tcBorders>
              <w:top w:val="nil"/>
              <w:left w:val="nil"/>
              <w:bottom w:val="single" w:sz="4" w:space="0" w:color="auto"/>
              <w:right w:val="single" w:sz="4" w:space="0" w:color="auto"/>
            </w:tcBorders>
            <w:shd w:val="clear" w:color="auto" w:fill="auto"/>
            <w:noWrap/>
            <w:vAlign w:val="center"/>
            <w:hideMark/>
          </w:tcPr>
          <w:p w14:paraId="10742CE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0,37 </w:t>
            </w:r>
          </w:p>
        </w:tc>
        <w:tc>
          <w:tcPr>
            <w:tcW w:w="680" w:type="dxa"/>
            <w:tcBorders>
              <w:top w:val="nil"/>
              <w:left w:val="nil"/>
              <w:bottom w:val="single" w:sz="4" w:space="0" w:color="auto"/>
              <w:right w:val="single" w:sz="4" w:space="0" w:color="auto"/>
            </w:tcBorders>
            <w:shd w:val="clear" w:color="auto" w:fill="auto"/>
            <w:noWrap/>
            <w:vAlign w:val="center"/>
            <w:hideMark/>
          </w:tcPr>
          <w:p w14:paraId="53EB677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0,39 </w:t>
            </w:r>
          </w:p>
        </w:tc>
        <w:tc>
          <w:tcPr>
            <w:tcW w:w="680" w:type="dxa"/>
            <w:tcBorders>
              <w:top w:val="nil"/>
              <w:left w:val="nil"/>
              <w:bottom w:val="single" w:sz="4" w:space="0" w:color="auto"/>
              <w:right w:val="single" w:sz="4" w:space="0" w:color="auto"/>
            </w:tcBorders>
            <w:shd w:val="clear" w:color="auto" w:fill="auto"/>
            <w:noWrap/>
            <w:vAlign w:val="center"/>
            <w:hideMark/>
          </w:tcPr>
          <w:p w14:paraId="08ED405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0,41 </w:t>
            </w:r>
          </w:p>
        </w:tc>
        <w:tc>
          <w:tcPr>
            <w:tcW w:w="680" w:type="dxa"/>
            <w:tcBorders>
              <w:top w:val="nil"/>
              <w:left w:val="nil"/>
              <w:bottom w:val="single" w:sz="4" w:space="0" w:color="auto"/>
              <w:right w:val="single" w:sz="4" w:space="0" w:color="auto"/>
            </w:tcBorders>
            <w:shd w:val="clear" w:color="auto" w:fill="auto"/>
            <w:noWrap/>
            <w:vAlign w:val="center"/>
            <w:hideMark/>
          </w:tcPr>
          <w:p w14:paraId="10CAD42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0,37 </w:t>
            </w:r>
          </w:p>
        </w:tc>
        <w:tc>
          <w:tcPr>
            <w:tcW w:w="680" w:type="dxa"/>
            <w:tcBorders>
              <w:top w:val="nil"/>
              <w:left w:val="nil"/>
              <w:bottom w:val="single" w:sz="4" w:space="0" w:color="auto"/>
              <w:right w:val="single" w:sz="4" w:space="0" w:color="auto"/>
            </w:tcBorders>
            <w:shd w:val="clear" w:color="auto" w:fill="auto"/>
            <w:noWrap/>
            <w:vAlign w:val="center"/>
            <w:hideMark/>
          </w:tcPr>
          <w:p w14:paraId="5038AD2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0,41 </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2956E59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0,43 </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05B1BAF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0,48 </w:t>
            </w:r>
          </w:p>
        </w:tc>
        <w:tc>
          <w:tcPr>
            <w:tcW w:w="1757" w:type="dxa"/>
            <w:tcBorders>
              <w:top w:val="nil"/>
              <w:left w:val="nil"/>
              <w:bottom w:val="single" w:sz="4" w:space="0" w:color="auto"/>
              <w:right w:val="single" w:sz="4" w:space="0" w:color="auto"/>
            </w:tcBorders>
          </w:tcPr>
          <w:p w14:paraId="0E5DDCDD"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Net İhracatçı</w:t>
            </w:r>
          </w:p>
        </w:tc>
      </w:tr>
      <w:tr w:rsidR="00164238" w:rsidRPr="00164238" w14:paraId="7A4D2D04"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7FB90A96"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14</w:t>
            </w:r>
          </w:p>
        </w:tc>
        <w:tc>
          <w:tcPr>
            <w:tcW w:w="680" w:type="dxa"/>
            <w:tcBorders>
              <w:top w:val="nil"/>
              <w:left w:val="nil"/>
              <w:bottom w:val="single" w:sz="4" w:space="0" w:color="auto"/>
              <w:right w:val="single" w:sz="4" w:space="0" w:color="auto"/>
            </w:tcBorders>
            <w:shd w:val="clear" w:color="auto" w:fill="auto"/>
            <w:noWrap/>
            <w:vAlign w:val="center"/>
            <w:hideMark/>
          </w:tcPr>
          <w:p w14:paraId="78D80C6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5,77</w:t>
            </w:r>
          </w:p>
        </w:tc>
        <w:tc>
          <w:tcPr>
            <w:tcW w:w="680" w:type="dxa"/>
            <w:tcBorders>
              <w:top w:val="nil"/>
              <w:left w:val="nil"/>
              <w:bottom w:val="single" w:sz="4" w:space="0" w:color="auto"/>
              <w:right w:val="single" w:sz="4" w:space="0" w:color="auto"/>
            </w:tcBorders>
            <w:shd w:val="clear" w:color="auto" w:fill="auto"/>
            <w:noWrap/>
            <w:vAlign w:val="center"/>
            <w:hideMark/>
          </w:tcPr>
          <w:p w14:paraId="1361E68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6,21</w:t>
            </w:r>
          </w:p>
        </w:tc>
        <w:tc>
          <w:tcPr>
            <w:tcW w:w="680" w:type="dxa"/>
            <w:tcBorders>
              <w:top w:val="nil"/>
              <w:left w:val="nil"/>
              <w:bottom w:val="single" w:sz="4" w:space="0" w:color="auto"/>
              <w:right w:val="single" w:sz="4" w:space="0" w:color="auto"/>
            </w:tcBorders>
            <w:shd w:val="clear" w:color="auto" w:fill="auto"/>
            <w:noWrap/>
            <w:vAlign w:val="center"/>
            <w:hideMark/>
          </w:tcPr>
          <w:p w14:paraId="2DD67C2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6,23</w:t>
            </w:r>
          </w:p>
        </w:tc>
        <w:tc>
          <w:tcPr>
            <w:tcW w:w="680" w:type="dxa"/>
            <w:tcBorders>
              <w:top w:val="nil"/>
              <w:left w:val="nil"/>
              <w:bottom w:val="single" w:sz="4" w:space="0" w:color="auto"/>
              <w:right w:val="single" w:sz="4" w:space="0" w:color="auto"/>
            </w:tcBorders>
            <w:shd w:val="clear" w:color="auto" w:fill="auto"/>
            <w:noWrap/>
            <w:vAlign w:val="center"/>
            <w:hideMark/>
          </w:tcPr>
          <w:p w14:paraId="186692B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6,69</w:t>
            </w:r>
          </w:p>
        </w:tc>
        <w:tc>
          <w:tcPr>
            <w:tcW w:w="680" w:type="dxa"/>
            <w:tcBorders>
              <w:top w:val="nil"/>
              <w:left w:val="nil"/>
              <w:bottom w:val="single" w:sz="4" w:space="0" w:color="auto"/>
              <w:right w:val="single" w:sz="4" w:space="0" w:color="auto"/>
            </w:tcBorders>
            <w:shd w:val="clear" w:color="auto" w:fill="auto"/>
            <w:noWrap/>
            <w:vAlign w:val="center"/>
            <w:hideMark/>
          </w:tcPr>
          <w:p w14:paraId="3217D53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7,43</w:t>
            </w:r>
          </w:p>
        </w:tc>
        <w:tc>
          <w:tcPr>
            <w:tcW w:w="680" w:type="dxa"/>
            <w:tcBorders>
              <w:top w:val="nil"/>
              <w:left w:val="nil"/>
              <w:bottom w:val="single" w:sz="4" w:space="0" w:color="auto"/>
              <w:right w:val="single" w:sz="4" w:space="0" w:color="auto"/>
            </w:tcBorders>
            <w:shd w:val="clear" w:color="auto" w:fill="auto"/>
            <w:noWrap/>
            <w:vAlign w:val="center"/>
            <w:hideMark/>
          </w:tcPr>
          <w:p w14:paraId="575C860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8,38</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138EF14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10,40</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6DCBA4E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11,43</w:t>
            </w:r>
          </w:p>
        </w:tc>
        <w:tc>
          <w:tcPr>
            <w:tcW w:w="1757" w:type="dxa"/>
            <w:tcBorders>
              <w:top w:val="nil"/>
              <w:left w:val="nil"/>
              <w:bottom w:val="single" w:sz="4" w:space="0" w:color="auto"/>
              <w:right w:val="single" w:sz="4" w:space="0" w:color="auto"/>
            </w:tcBorders>
          </w:tcPr>
          <w:p w14:paraId="3882503E"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Net İhracatçı</w:t>
            </w:r>
          </w:p>
        </w:tc>
      </w:tr>
      <w:tr w:rsidR="00164238" w:rsidRPr="00164238" w14:paraId="5EDC0367"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7DC4F221"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b/>
                <w:bCs/>
                <w:color w:val="000000" w:themeColor="text1"/>
              </w:rPr>
              <w:t>15</w:t>
            </w:r>
          </w:p>
        </w:tc>
        <w:tc>
          <w:tcPr>
            <w:tcW w:w="680" w:type="dxa"/>
            <w:tcBorders>
              <w:top w:val="nil"/>
              <w:left w:val="nil"/>
              <w:bottom w:val="single" w:sz="4" w:space="0" w:color="auto"/>
              <w:right w:val="single" w:sz="4" w:space="0" w:color="auto"/>
            </w:tcBorders>
            <w:shd w:val="clear" w:color="auto" w:fill="auto"/>
            <w:noWrap/>
            <w:vAlign w:val="center"/>
            <w:hideMark/>
          </w:tcPr>
          <w:p w14:paraId="0789C99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-0,22 </w:t>
            </w:r>
          </w:p>
        </w:tc>
        <w:tc>
          <w:tcPr>
            <w:tcW w:w="680" w:type="dxa"/>
            <w:tcBorders>
              <w:top w:val="nil"/>
              <w:left w:val="nil"/>
              <w:bottom w:val="single" w:sz="4" w:space="0" w:color="auto"/>
              <w:right w:val="single" w:sz="4" w:space="0" w:color="auto"/>
            </w:tcBorders>
            <w:shd w:val="clear" w:color="auto" w:fill="auto"/>
            <w:noWrap/>
            <w:vAlign w:val="center"/>
            <w:hideMark/>
          </w:tcPr>
          <w:p w14:paraId="4C08359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-0,19 </w:t>
            </w:r>
          </w:p>
        </w:tc>
        <w:tc>
          <w:tcPr>
            <w:tcW w:w="680" w:type="dxa"/>
            <w:tcBorders>
              <w:top w:val="nil"/>
              <w:left w:val="nil"/>
              <w:bottom w:val="single" w:sz="4" w:space="0" w:color="auto"/>
              <w:right w:val="single" w:sz="4" w:space="0" w:color="auto"/>
            </w:tcBorders>
            <w:shd w:val="clear" w:color="auto" w:fill="auto"/>
            <w:noWrap/>
            <w:vAlign w:val="center"/>
            <w:hideMark/>
          </w:tcPr>
          <w:p w14:paraId="71FDE75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-0,14 </w:t>
            </w:r>
          </w:p>
        </w:tc>
        <w:tc>
          <w:tcPr>
            <w:tcW w:w="680" w:type="dxa"/>
            <w:tcBorders>
              <w:top w:val="nil"/>
              <w:left w:val="nil"/>
              <w:bottom w:val="single" w:sz="4" w:space="0" w:color="auto"/>
              <w:right w:val="single" w:sz="4" w:space="0" w:color="auto"/>
            </w:tcBorders>
            <w:shd w:val="clear" w:color="auto" w:fill="auto"/>
            <w:noWrap/>
            <w:vAlign w:val="center"/>
            <w:hideMark/>
          </w:tcPr>
          <w:p w14:paraId="34A0882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-0,06 </w:t>
            </w:r>
          </w:p>
        </w:tc>
        <w:tc>
          <w:tcPr>
            <w:tcW w:w="680" w:type="dxa"/>
            <w:tcBorders>
              <w:top w:val="nil"/>
              <w:left w:val="nil"/>
              <w:bottom w:val="single" w:sz="4" w:space="0" w:color="auto"/>
              <w:right w:val="single" w:sz="4" w:space="0" w:color="auto"/>
            </w:tcBorders>
            <w:shd w:val="clear" w:color="auto" w:fill="auto"/>
            <w:noWrap/>
            <w:vAlign w:val="center"/>
            <w:hideMark/>
          </w:tcPr>
          <w:p w14:paraId="0D94767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0,02 </w:t>
            </w:r>
          </w:p>
        </w:tc>
        <w:tc>
          <w:tcPr>
            <w:tcW w:w="680" w:type="dxa"/>
            <w:tcBorders>
              <w:top w:val="nil"/>
              <w:left w:val="nil"/>
              <w:bottom w:val="single" w:sz="4" w:space="0" w:color="auto"/>
              <w:right w:val="single" w:sz="4" w:space="0" w:color="auto"/>
            </w:tcBorders>
            <w:shd w:val="clear" w:color="auto" w:fill="auto"/>
            <w:noWrap/>
            <w:vAlign w:val="center"/>
            <w:hideMark/>
          </w:tcPr>
          <w:p w14:paraId="1391B0D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0,08 </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5738DF8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0,17 </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3BE3E7D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0,16 </w:t>
            </w:r>
          </w:p>
        </w:tc>
        <w:tc>
          <w:tcPr>
            <w:tcW w:w="1757" w:type="dxa"/>
            <w:tcBorders>
              <w:top w:val="nil"/>
              <w:left w:val="nil"/>
              <w:bottom w:val="single" w:sz="4" w:space="0" w:color="auto"/>
              <w:right w:val="single" w:sz="4" w:space="0" w:color="auto"/>
            </w:tcBorders>
          </w:tcPr>
          <w:p w14:paraId="31427DAC"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color w:val="000000" w:themeColor="text1"/>
              </w:rPr>
              <w:t>Net İhracatçı</w:t>
            </w:r>
          </w:p>
        </w:tc>
      </w:tr>
      <w:tr w:rsidR="00164238" w:rsidRPr="00164238" w14:paraId="2EBA4D6F"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397B710B"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b/>
                <w:bCs/>
                <w:color w:val="000000" w:themeColor="text1"/>
              </w:rPr>
              <w:t>16</w:t>
            </w:r>
          </w:p>
        </w:tc>
        <w:tc>
          <w:tcPr>
            <w:tcW w:w="680" w:type="dxa"/>
            <w:tcBorders>
              <w:top w:val="nil"/>
              <w:left w:val="nil"/>
              <w:bottom w:val="single" w:sz="4" w:space="0" w:color="auto"/>
              <w:right w:val="single" w:sz="4" w:space="0" w:color="auto"/>
            </w:tcBorders>
            <w:shd w:val="clear" w:color="auto" w:fill="auto"/>
            <w:noWrap/>
            <w:vAlign w:val="center"/>
            <w:hideMark/>
          </w:tcPr>
          <w:p w14:paraId="4FAC78A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-0,33 </w:t>
            </w:r>
          </w:p>
        </w:tc>
        <w:tc>
          <w:tcPr>
            <w:tcW w:w="680" w:type="dxa"/>
            <w:tcBorders>
              <w:top w:val="nil"/>
              <w:left w:val="nil"/>
              <w:bottom w:val="single" w:sz="4" w:space="0" w:color="auto"/>
              <w:right w:val="single" w:sz="4" w:space="0" w:color="auto"/>
            </w:tcBorders>
            <w:shd w:val="clear" w:color="auto" w:fill="auto"/>
            <w:noWrap/>
            <w:vAlign w:val="center"/>
            <w:hideMark/>
          </w:tcPr>
          <w:p w14:paraId="269E823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-0,23 </w:t>
            </w:r>
          </w:p>
        </w:tc>
        <w:tc>
          <w:tcPr>
            <w:tcW w:w="680" w:type="dxa"/>
            <w:tcBorders>
              <w:top w:val="nil"/>
              <w:left w:val="nil"/>
              <w:bottom w:val="single" w:sz="4" w:space="0" w:color="auto"/>
              <w:right w:val="single" w:sz="4" w:space="0" w:color="auto"/>
            </w:tcBorders>
            <w:shd w:val="clear" w:color="auto" w:fill="auto"/>
            <w:noWrap/>
            <w:vAlign w:val="center"/>
            <w:hideMark/>
          </w:tcPr>
          <w:p w14:paraId="29F5DA5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-0,30 </w:t>
            </w:r>
          </w:p>
        </w:tc>
        <w:tc>
          <w:tcPr>
            <w:tcW w:w="680" w:type="dxa"/>
            <w:tcBorders>
              <w:top w:val="nil"/>
              <w:left w:val="nil"/>
              <w:bottom w:val="single" w:sz="4" w:space="0" w:color="auto"/>
              <w:right w:val="single" w:sz="4" w:space="0" w:color="auto"/>
            </w:tcBorders>
            <w:shd w:val="clear" w:color="auto" w:fill="auto"/>
            <w:noWrap/>
            <w:vAlign w:val="center"/>
            <w:hideMark/>
          </w:tcPr>
          <w:p w14:paraId="57C4E53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-0,25 </w:t>
            </w:r>
          </w:p>
        </w:tc>
        <w:tc>
          <w:tcPr>
            <w:tcW w:w="680" w:type="dxa"/>
            <w:tcBorders>
              <w:top w:val="nil"/>
              <w:left w:val="nil"/>
              <w:bottom w:val="single" w:sz="4" w:space="0" w:color="auto"/>
              <w:right w:val="single" w:sz="4" w:space="0" w:color="auto"/>
            </w:tcBorders>
            <w:shd w:val="clear" w:color="auto" w:fill="auto"/>
            <w:noWrap/>
            <w:vAlign w:val="center"/>
            <w:hideMark/>
          </w:tcPr>
          <w:p w14:paraId="379B152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-0,16 </w:t>
            </w:r>
          </w:p>
        </w:tc>
        <w:tc>
          <w:tcPr>
            <w:tcW w:w="680" w:type="dxa"/>
            <w:tcBorders>
              <w:top w:val="nil"/>
              <w:left w:val="nil"/>
              <w:bottom w:val="single" w:sz="4" w:space="0" w:color="auto"/>
              <w:right w:val="single" w:sz="4" w:space="0" w:color="auto"/>
            </w:tcBorders>
            <w:shd w:val="clear" w:color="auto" w:fill="auto"/>
            <w:noWrap/>
            <w:vAlign w:val="center"/>
            <w:hideMark/>
          </w:tcPr>
          <w:p w14:paraId="5387314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0,03 </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047ABF9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0,39 </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741510A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0,39 </w:t>
            </w:r>
          </w:p>
        </w:tc>
        <w:tc>
          <w:tcPr>
            <w:tcW w:w="1757" w:type="dxa"/>
            <w:tcBorders>
              <w:top w:val="nil"/>
              <w:left w:val="nil"/>
              <w:bottom w:val="single" w:sz="4" w:space="0" w:color="auto"/>
              <w:right w:val="single" w:sz="4" w:space="0" w:color="auto"/>
            </w:tcBorders>
          </w:tcPr>
          <w:p w14:paraId="672C6F64"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Net İhracatçı</w:t>
            </w:r>
          </w:p>
        </w:tc>
      </w:tr>
      <w:tr w:rsidR="00164238" w:rsidRPr="00164238" w14:paraId="09BE898E"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3C3969B3"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17</w:t>
            </w:r>
          </w:p>
        </w:tc>
        <w:tc>
          <w:tcPr>
            <w:tcW w:w="680" w:type="dxa"/>
            <w:tcBorders>
              <w:top w:val="nil"/>
              <w:left w:val="nil"/>
              <w:bottom w:val="single" w:sz="4" w:space="0" w:color="auto"/>
              <w:right w:val="single" w:sz="4" w:space="0" w:color="auto"/>
            </w:tcBorders>
            <w:shd w:val="clear" w:color="auto" w:fill="auto"/>
            <w:noWrap/>
            <w:vAlign w:val="center"/>
            <w:hideMark/>
          </w:tcPr>
          <w:p w14:paraId="0198D1B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-0,32 </w:t>
            </w:r>
          </w:p>
        </w:tc>
        <w:tc>
          <w:tcPr>
            <w:tcW w:w="680" w:type="dxa"/>
            <w:tcBorders>
              <w:top w:val="nil"/>
              <w:left w:val="nil"/>
              <w:bottom w:val="single" w:sz="4" w:space="0" w:color="auto"/>
              <w:right w:val="single" w:sz="4" w:space="0" w:color="auto"/>
            </w:tcBorders>
            <w:shd w:val="clear" w:color="auto" w:fill="auto"/>
            <w:noWrap/>
            <w:vAlign w:val="center"/>
            <w:hideMark/>
          </w:tcPr>
          <w:p w14:paraId="5EB2439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-0,33 </w:t>
            </w:r>
          </w:p>
        </w:tc>
        <w:tc>
          <w:tcPr>
            <w:tcW w:w="680" w:type="dxa"/>
            <w:tcBorders>
              <w:top w:val="nil"/>
              <w:left w:val="nil"/>
              <w:bottom w:val="single" w:sz="4" w:space="0" w:color="auto"/>
              <w:right w:val="single" w:sz="4" w:space="0" w:color="auto"/>
            </w:tcBorders>
            <w:shd w:val="clear" w:color="auto" w:fill="auto"/>
            <w:noWrap/>
            <w:vAlign w:val="center"/>
            <w:hideMark/>
          </w:tcPr>
          <w:p w14:paraId="77D7666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-0,32 </w:t>
            </w:r>
          </w:p>
        </w:tc>
        <w:tc>
          <w:tcPr>
            <w:tcW w:w="680" w:type="dxa"/>
            <w:tcBorders>
              <w:top w:val="nil"/>
              <w:left w:val="nil"/>
              <w:bottom w:val="single" w:sz="4" w:space="0" w:color="auto"/>
              <w:right w:val="single" w:sz="4" w:space="0" w:color="auto"/>
            </w:tcBorders>
            <w:shd w:val="clear" w:color="auto" w:fill="auto"/>
            <w:noWrap/>
            <w:vAlign w:val="center"/>
            <w:hideMark/>
          </w:tcPr>
          <w:p w14:paraId="1D802FF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-0,30 </w:t>
            </w:r>
          </w:p>
        </w:tc>
        <w:tc>
          <w:tcPr>
            <w:tcW w:w="680" w:type="dxa"/>
            <w:tcBorders>
              <w:top w:val="nil"/>
              <w:left w:val="nil"/>
              <w:bottom w:val="single" w:sz="4" w:space="0" w:color="auto"/>
              <w:right w:val="single" w:sz="4" w:space="0" w:color="auto"/>
            </w:tcBorders>
            <w:shd w:val="clear" w:color="auto" w:fill="auto"/>
            <w:noWrap/>
            <w:vAlign w:val="center"/>
            <w:hideMark/>
          </w:tcPr>
          <w:p w14:paraId="59BE147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-0,26 </w:t>
            </w:r>
          </w:p>
        </w:tc>
        <w:tc>
          <w:tcPr>
            <w:tcW w:w="680" w:type="dxa"/>
            <w:tcBorders>
              <w:top w:val="nil"/>
              <w:left w:val="nil"/>
              <w:bottom w:val="single" w:sz="4" w:space="0" w:color="auto"/>
              <w:right w:val="single" w:sz="4" w:space="0" w:color="auto"/>
            </w:tcBorders>
            <w:shd w:val="clear" w:color="auto" w:fill="auto"/>
            <w:noWrap/>
            <w:vAlign w:val="center"/>
            <w:hideMark/>
          </w:tcPr>
          <w:p w14:paraId="6C24EAD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-0,23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5F52BF8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-0,15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048A948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-0,13 </w:t>
            </w:r>
          </w:p>
        </w:tc>
        <w:tc>
          <w:tcPr>
            <w:tcW w:w="1757" w:type="dxa"/>
            <w:tcBorders>
              <w:top w:val="nil"/>
              <w:left w:val="nil"/>
              <w:bottom w:val="single" w:sz="4" w:space="0" w:color="auto"/>
              <w:right w:val="single" w:sz="4" w:space="0" w:color="auto"/>
            </w:tcBorders>
            <w:vAlign w:val="center"/>
          </w:tcPr>
          <w:p w14:paraId="536FF95F"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Net İthalatçı</w:t>
            </w:r>
          </w:p>
        </w:tc>
      </w:tr>
      <w:tr w:rsidR="00164238" w:rsidRPr="00164238" w14:paraId="47D24B8B"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6DAFD078"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color w:val="000000" w:themeColor="text1"/>
              </w:rPr>
              <w:t>18</w:t>
            </w:r>
          </w:p>
        </w:tc>
        <w:tc>
          <w:tcPr>
            <w:tcW w:w="680" w:type="dxa"/>
            <w:tcBorders>
              <w:top w:val="nil"/>
              <w:left w:val="nil"/>
              <w:bottom w:val="single" w:sz="4" w:space="0" w:color="auto"/>
              <w:right w:val="single" w:sz="4" w:space="0" w:color="auto"/>
            </w:tcBorders>
            <w:shd w:val="clear" w:color="auto" w:fill="auto"/>
            <w:noWrap/>
            <w:vAlign w:val="center"/>
            <w:hideMark/>
          </w:tcPr>
          <w:p w14:paraId="0CDD7B2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-0,50 </w:t>
            </w:r>
          </w:p>
        </w:tc>
        <w:tc>
          <w:tcPr>
            <w:tcW w:w="680" w:type="dxa"/>
            <w:tcBorders>
              <w:top w:val="nil"/>
              <w:left w:val="nil"/>
              <w:bottom w:val="single" w:sz="4" w:space="0" w:color="auto"/>
              <w:right w:val="single" w:sz="4" w:space="0" w:color="auto"/>
            </w:tcBorders>
            <w:shd w:val="clear" w:color="auto" w:fill="auto"/>
            <w:noWrap/>
            <w:vAlign w:val="center"/>
            <w:hideMark/>
          </w:tcPr>
          <w:p w14:paraId="27CABF9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-0,46 </w:t>
            </w:r>
          </w:p>
        </w:tc>
        <w:tc>
          <w:tcPr>
            <w:tcW w:w="680" w:type="dxa"/>
            <w:tcBorders>
              <w:top w:val="nil"/>
              <w:left w:val="nil"/>
              <w:bottom w:val="single" w:sz="4" w:space="0" w:color="auto"/>
              <w:right w:val="single" w:sz="4" w:space="0" w:color="auto"/>
            </w:tcBorders>
            <w:shd w:val="clear" w:color="auto" w:fill="auto"/>
            <w:noWrap/>
            <w:vAlign w:val="center"/>
            <w:hideMark/>
          </w:tcPr>
          <w:p w14:paraId="2823F83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-0,42 </w:t>
            </w:r>
          </w:p>
        </w:tc>
        <w:tc>
          <w:tcPr>
            <w:tcW w:w="680" w:type="dxa"/>
            <w:tcBorders>
              <w:top w:val="nil"/>
              <w:left w:val="nil"/>
              <w:bottom w:val="single" w:sz="4" w:space="0" w:color="auto"/>
              <w:right w:val="single" w:sz="4" w:space="0" w:color="auto"/>
            </w:tcBorders>
            <w:shd w:val="clear" w:color="auto" w:fill="auto"/>
            <w:noWrap/>
            <w:vAlign w:val="center"/>
            <w:hideMark/>
          </w:tcPr>
          <w:p w14:paraId="06F5337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-0,51 </w:t>
            </w:r>
          </w:p>
        </w:tc>
        <w:tc>
          <w:tcPr>
            <w:tcW w:w="680" w:type="dxa"/>
            <w:tcBorders>
              <w:top w:val="nil"/>
              <w:left w:val="nil"/>
              <w:bottom w:val="single" w:sz="4" w:space="0" w:color="auto"/>
              <w:right w:val="single" w:sz="4" w:space="0" w:color="auto"/>
            </w:tcBorders>
            <w:shd w:val="clear" w:color="auto" w:fill="auto"/>
            <w:noWrap/>
            <w:vAlign w:val="center"/>
            <w:hideMark/>
          </w:tcPr>
          <w:p w14:paraId="07C4108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-0,39 </w:t>
            </w:r>
          </w:p>
        </w:tc>
        <w:tc>
          <w:tcPr>
            <w:tcW w:w="680" w:type="dxa"/>
            <w:tcBorders>
              <w:top w:val="nil"/>
              <w:left w:val="nil"/>
              <w:bottom w:val="single" w:sz="4" w:space="0" w:color="auto"/>
              <w:right w:val="single" w:sz="4" w:space="0" w:color="auto"/>
            </w:tcBorders>
            <w:shd w:val="clear" w:color="auto" w:fill="auto"/>
            <w:noWrap/>
            <w:vAlign w:val="center"/>
            <w:hideMark/>
          </w:tcPr>
          <w:p w14:paraId="07BB030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-0,03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2C6F0FC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-0,29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3BBD645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-0,32 </w:t>
            </w:r>
          </w:p>
        </w:tc>
        <w:tc>
          <w:tcPr>
            <w:tcW w:w="1757" w:type="dxa"/>
            <w:tcBorders>
              <w:top w:val="nil"/>
              <w:left w:val="nil"/>
              <w:bottom w:val="single" w:sz="4" w:space="0" w:color="auto"/>
              <w:right w:val="single" w:sz="4" w:space="0" w:color="auto"/>
            </w:tcBorders>
            <w:vAlign w:val="center"/>
          </w:tcPr>
          <w:p w14:paraId="6BC03586"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Net İthalatçı</w:t>
            </w:r>
          </w:p>
        </w:tc>
      </w:tr>
      <w:tr w:rsidR="00164238" w:rsidRPr="00164238" w14:paraId="32CCC61C"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69A8E2B1"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color w:val="000000" w:themeColor="text1"/>
              </w:rPr>
              <w:t>19</w:t>
            </w:r>
          </w:p>
        </w:tc>
        <w:tc>
          <w:tcPr>
            <w:tcW w:w="680" w:type="dxa"/>
            <w:tcBorders>
              <w:top w:val="nil"/>
              <w:left w:val="nil"/>
              <w:bottom w:val="single" w:sz="4" w:space="0" w:color="auto"/>
              <w:right w:val="single" w:sz="4" w:space="0" w:color="auto"/>
            </w:tcBorders>
            <w:shd w:val="clear" w:color="auto" w:fill="auto"/>
            <w:noWrap/>
            <w:vAlign w:val="center"/>
            <w:hideMark/>
          </w:tcPr>
          <w:p w14:paraId="0F0DA04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-0,36 </w:t>
            </w:r>
          </w:p>
        </w:tc>
        <w:tc>
          <w:tcPr>
            <w:tcW w:w="680" w:type="dxa"/>
            <w:tcBorders>
              <w:top w:val="nil"/>
              <w:left w:val="nil"/>
              <w:bottom w:val="single" w:sz="4" w:space="0" w:color="auto"/>
              <w:right w:val="single" w:sz="4" w:space="0" w:color="auto"/>
            </w:tcBorders>
            <w:shd w:val="clear" w:color="auto" w:fill="auto"/>
            <w:noWrap/>
            <w:vAlign w:val="center"/>
            <w:hideMark/>
          </w:tcPr>
          <w:p w14:paraId="18CAA6E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-0,48 </w:t>
            </w:r>
          </w:p>
        </w:tc>
        <w:tc>
          <w:tcPr>
            <w:tcW w:w="680" w:type="dxa"/>
            <w:tcBorders>
              <w:top w:val="nil"/>
              <w:left w:val="nil"/>
              <w:bottom w:val="single" w:sz="4" w:space="0" w:color="auto"/>
              <w:right w:val="single" w:sz="4" w:space="0" w:color="auto"/>
            </w:tcBorders>
            <w:shd w:val="clear" w:color="auto" w:fill="auto"/>
            <w:noWrap/>
            <w:vAlign w:val="center"/>
            <w:hideMark/>
          </w:tcPr>
          <w:p w14:paraId="3172917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-0,42 </w:t>
            </w:r>
          </w:p>
        </w:tc>
        <w:tc>
          <w:tcPr>
            <w:tcW w:w="680" w:type="dxa"/>
            <w:tcBorders>
              <w:top w:val="nil"/>
              <w:left w:val="nil"/>
              <w:bottom w:val="single" w:sz="4" w:space="0" w:color="auto"/>
              <w:right w:val="single" w:sz="4" w:space="0" w:color="auto"/>
            </w:tcBorders>
            <w:shd w:val="clear" w:color="auto" w:fill="auto"/>
            <w:noWrap/>
            <w:vAlign w:val="center"/>
            <w:hideMark/>
          </w:tcPr>
          <w:p w14:paraId="1344358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-0,49 </w:t>
            </w:r>
          </w:p>
        </w:tc>
        <w:tc>
          <w:tcPr>
            <w:tcW w:w="680" w:type="dxa"/>
            <w:tcBorders>
              <w:top w:val="nil"/>
              <w:left w:val="nil"/>
              <w:bottom w:val="single" w:sz="4" w:space="0" w:color="auto"/>
              <w:right w:val="single" w:sz="4" w:space="0" w:color="auto"/>
            </w:tcBorders>
            <w:shd w:val="clear" w:color="auto" w:fill="auto"/>
            <w:noWrap/>
            <w:vAlign w:val="center"/>
            <w:hideMark/>
          </w:tcPr>
          <w:p w14:paraId="3AC5B8E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-0,48 </w:t>
            </w:r>
          </w:p>
        </w:tc>
        <w:tc>
          <w:tcPr>
            <w:tcW w:w="680" w:type="dxa"/>
            <w:tcBorders>
              <w:top w:val="nil"/>
              <w:left w:val="nil"/>
              <w:bottom w:val="single" w:sz="4" w:space="0" w:color="auto"/>
              <w:right w:val="single" w:sz="4" w:space="0" w:color="auto"/>
            </w:tcBorders>
            <w:shd w:val="clear" w:color="auto" w:fill="auto"/>
            <w:noWrap/>
            <w:vAlign w:val="center"/>
            <w:hideMark/>
          </w:tcPr>
          <w:p w14:paraId="4E537FB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-0,50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7457446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-0,20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52E7203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-0,32 </w:t>
            </w:r>
          </w:p>
        </w:tc>
        <w:tc>
          <w:tcPr>
            <w:tcW w:w="1757" w:type="dxa"/>
            <w:tcBorders>
              <w:top w:val="nil"/>
              <w:left w:val="nil"/>
              <w:bottom w:val="single" w:sz="4" w:space="0" w:color="auto"/>
              <w:right w:val="single" w:sz="4" w:space="0" w:color="auto"/>
            </w:tcBorders>
            <w:vAlign w:val="center"/>
          </w:tcPr>
          <w:p w14:paraId="07CBDC3D"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Net İthalatçı</w:t>
            </w:r>
          </w:p>
        </w:tc>
      </w:tr>
      <w:tr w:rsidR="00164238" w:rsidRPr="00164238" w14:paraId="6349DA2D"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74D8F19E"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w:t>
            </w:r>
          </w:p>
        </w:tc>
        <w:tc>
          <w:tcPr>
            <w:tcW w:w="680" w:type="dxa"/>
            <w:tcBorders>
              <w:top w:val="nil"/>
              <w:left w:val="nil"/>
              <w:bottom w:val="single" w:sz="4" w:space="0" w:color="auto"/>
              <w:right w:val="single" w:sz="4" w:space="0" w:color="auto"/>
            </w:tcBorders>
            <w:shd w:val="clear" w:color="auto" w:fill="auto"/>
            <w:noWrap/>
            <w:vAlign w:val="center"/>
            <w:hideMark/>
          </w:tcPr>
          <w:p w14:paraId="41BA253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-0,61 </w:t>
            </w:r>
          </w:p>
        </w:tc>
        <w:tc>
          <w:tcPr>
            <w:tcW w:w="680" w:type="dxa"/>
            <w:tcBorders>
              <w:top w:val="nil"/>
              <w:left w:val="nil"/>
              <w:bottom w:val="single" w:sz="4" w:space="0" w:color="auto"/>
              <w:right w:val="single" w:sz="4" w:space="0" w:color="auto"/>
            </w:tcBorders>
            <w:shd w:val="clear" w:color="auto" w:fill="auto"/>
            <w:noWrap/>
            <w:vAlign w:val="center"/>
            <w:hideMark/>
          </w:tcPr>
          <w:p w14:paraId="1D33BCA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-0,61 </w:t>
            </w:r>
          </w:p>
        </w:tc>
        <w:tc>
          <w:tcPr>
            <w:tcW w:w="680" w:type="dxa"/>
            <w:tcBorders>
              <w:top w:val="nil"/>
              <w:left w:val="nil"/>
              <w:bottom w:val="single" w:sz="4" w:space="0" w:color="auto"/>
              <w:right w:val="single" w:sz="4" w:space="0" w:color="auto"/>
            </w:tcBorders>
            <w:shd w:val="clear" w:color="auto" w:fill="auto"/>
            <w:noWrap/>
            <w:vAlign w:val="center"/>
            <w:hideMark/>
          </w:tcPr>
          <w:p w14:paraId="64D81EB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-0,58 </w:t>
            </w:r>
          </w:p>
        </w:tc>
        <w:tc>
          <w:tcPr>
            <w:tcW w:w="680" w:type="dxa"/>
            <w:tcBorders>
              <w:top w:val="nil"/>
              <w:left w:val="nil"/>
              <w:bottom w:val="single" w:sz="4" w:space="0" w:color="auto"/>
              <w:right w:val="single" w:sz="4" w:space="0" w:color="auto"/>
            </w:tcBorders>
            <w:shd w:val="clear" w:color="auto" w:fill="auto"/>
            <w:noWrap/>
            <w:vAlign w:val="center"/>
            <w:hideMark/>
          </w:tcPr>
          <w:p w14:paraId="521E3A9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-0,59 </w:t>
            </w:r>
          </w:p>
        </w:tc>
        <w:tc>
          <w:tcPr>
            <w:tcW w:w="680" w:type="dxa"/>
            <w:tcBorders>
              <w:top w:val="nil"/>
              <w:left w:val="nil"/>
              <w:bottom w:val="single" w:sz="4" w:space="0" w:color="auto"/>
              <w:right w:val="single" w:sz="4" w:space="0" w:color="auto"/>
            </w:tcBorders>
            <w:shd w:val="clear" w:color="auto" w:fill="auto"/>
            <w:noWrap/>
            <w:vAlign w:val="center"/>
            <w:hideMark/>
          </w:tcPr>
          <w:p w14:paraId="6CBAF8A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-0,59 </w:t>
            </w:r>
          </w:p>
        </w:tc>
        <w:tc>
          <w:tcPr>
            <w:tcW w:w="680" w:type="dxa"/>
            <w:tcBorders>
              <w:top w:val="nil"/>
              <w:left w:val="nil"/>
              <w:bottom w:val="single" w:sz="4" w:space="0" w:color="auto"/>
              <w:right w:val="single" w:sz="4" w:space="0" w:color="auto"/>
            </w:tcBorders>
            <w:shd w:val="clear" w:color="auto" w:fill="auto"/>
            <w:noWrap/>
            <w:vAlign w:val="center"/>
            <w:hideMark/>
          </w:tcPr>
          <w:p w14:paraId="5BE27FF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-0,54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1B547B2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-0,49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13055F2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-0,47 </w:t>
            </w:r>
          </w:p>
        </w:tc>
        <w:tc>
          <w:tcPr>
            <w:tcW w:w="1757" w:type="dxa"/>
            <w:tcBorders>
              <w:top w:val="nil"/>
              <w:left w:val="nil"/>
              <w:bottom w:val="single" w:sz="4" w:space="0" w:color="auto"/>
              <w:right w:val="single" w:sz="4" w:space="0" w:color="auto"/>
            </w:tcBorders>
            <w:vAlign w:val="center"/>
          </w:tcPr>
          <w:p w14:paraId="501F7EA2"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Net İthalatçı</w:t>
            </w:r>
          </w:p>
        </w:tc>
      </w:tr>
      <w:tr w:rsidR="00164238" w:rsidRPr="00164238" w14:paraId="61137F04"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2343DB92"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21</w:t>
            </w:r>
          </w:p>
        </w:tc>
        <w:tc>
          <w:tcPr>
            <w:tcW w:w="680" w:type="dxa"/>
            <w:tcBorders>
              <w:top w:val="nil"/>
              <w:left w:val="nil"/>
              <w:bottom w:val="single" w:sz="4" w:space="0" w:color="auto"/>
              <w:right w:val="single" w:sz="4" w:space="0" w:color="auto"/>
            </w:tcBorders>
            <w:shd w:val="clear" w:color="auto" w:fill="auto"/>
            <w:noWrap/>
            <w:vAlign w:val="center"/>
            <w:hideMark/>
          </w:tcPr>
          <w:p w14:paraId="7D4B471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-0,64 </w:t>
            </w:r>
          </w:p>
        </w:tc>
        <w:tc>
          <w:tcPr>
            <w:tcW w:w="680" w:type="dxa"/>
            <w:tcBorders>
              <w:top w:val="nil"/>
              <w:left w:val="nil"/>
              <w:bottom w:val="single" w:sz="4" w:space="0" w:color="auto"/>
              <w:right w:val="single" w:sz="4" w:space="0" w:color="auto"/>
            </w:tcBorders>
            <w:shd w:val="clear" w:color="auto" w:fill="auto"/>
            <w:noWrap/>
            <w:vAlign w:val="center"/>
            <w:hideMark/>
          </w:tcPr>
          <w:p w14:paraId="4BF3B33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-0,64 </w:t>
            </w:r>
          </w:p>
        </w:tc>
        <w:tc>
          <w:tcPr>
            <w:tcW w:w="680" w:type="dxa"/>
            <w:tcBorders>
              <w:top w:val="nil"/>
              <w:left w:val="nil"/>
              <w:bottom w:val="single" w:sz="4" w:space="0" w:color="auto"/>
              <w:right w:val="single" w:sz="4" w:space="0" w:color="auto"/>
            </w:tcBorders>
            <w:shd w:val="clear" w:color="auto" w:fill="auto"/>
            <w:noWrap/>
            <w:vAlign w:val="center"/>
            <w:hideMark/>
          </w:tcPr>
          <w:p w14:paraId="5F2E5DA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-0,62 </w:t>
            </w:r>
          </w:p>
        </w:tc>
        <w:tc>
          <w:tcPr>
            <w:tcW w:w="680" w:type="dxa"/>
            <w:tcBorders>
              <w:top w:val="nil"/>
              <w:left w:val="nil"/>
              <w:bottom w:val="single" w:sz="4" w:space="0" w:color="auto"/>
              <w:right w:val="single" w:sz="4" w:space="0" w:color="auto"/>
            </w:tcBorders>
            <w:shd w:val="clear" w:color="auto" w:fill="auto"/>
            <w:noWrap/>
            <w:vAlign w:val="center"/>
            <w:hideMark/>
          </w:tcPr>
          <w:p w14:paraId="10CBBD5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-0,65 </w:t>
            </w:r>
          </w:p>
        </w:tc>
        <w:tc>
          <w:tcPr>
            <w:tcW w:w="680" w:type="dxa"/>
            <w:tcBorders>
              <w:top w:val="nil"/>
              <w:left w:val="nil"/>
              <w:bottom w:val="single" w:sz="4" w:space="0" w:color="auto"/>
              <w:right w:val="single" w:sz="4" w:space="0" w:color="auto"/>
            </w:tcBorders>
            <w:shd w:val="clear" w:color="auto" w:fill="auto"/>
            <w:noWrap/>
            <w:vAlign w:val="center"/>
            <w:hideMark/>
          </w:tcPr>
          <w:p w14:paraId="732C6FA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-0,65 </w:t>
            </w:r>
          </w:p>
        </w:tc>
        <w:tc>
          <w:tcPr>
            <w:tcW w:w="680" w:type="dxa"/>
            <w:tcBorders>
              <w:top w:val="nil"/>
              <w:left w:val="nil"/>
              <w:bottom w:val="single" w:sz="4" w:space="0" w:color="auto"/>
              <w:right w:val="single" w:sz="4" w:space="0" w:color="auto"/>
            </w:tcBorders>
            <w:shd w:val="clear" w:color="auto" w:fill="auto"/>
            <w:noWrap/>
            <w:vAlign w:val="center"/>
            <w:hideMark/>
          </w:tcPr>
          <w:p w14:paraId="0AC33AF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-0,57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7EBA210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-0,57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4591B05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-0,49 </w:t>
            </w:r>
          </w:p>
        </w:tc>
        <w:tc>
          <w:tcPr>
            <w:tcW w:w="1757" w:type="dxa"/>
            <w:tcBorders>
              <w:top w:val="nil"/>
              <w:left w:val="nil"/>
              <w:bottom w:val="single" w:sz="4" w:space="0" w:color="auto"/>
              <w:right w:val="single" w:sz="4" w:space="0" w:color="auto"/>
            </w:tcBorders>
            <w:vAlign w:val="center"/>
          </w:tcPr>
          <w:p w14:paraId="01277080"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Net İthalatçı</w:t>
            </w:r>
          </w:p>
        </w:tc>
      </w:tr>
      <w:tr w:rsidR="00164238" w:rsidRPr="00164238" w14:paraId="7383E97F"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43FCB636"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22</w:t>
            </w:r>
          </w:p>
        </w:tc>
        <w:tc>
          <w:tcPr>
            <w:tcW w:w="680" w:type="dxa"/>
            <w:tcBorders>
              <w:top w:val="nil"/>
              <w:left w:val="nil"/>
              <w:bottom w:val="single" w:sz="4" w:space="0" w:color="auto"/>
              <w:right w:val="single" w:sz="4" w:space="0" w:color="auto"/>
            </w:tcBorders>
            <w:shd w:val="clear" w:color="auto" w:fill="auto"/>
            <w:noWrap/>
            <w:vAlign w:val="center"/>
            <w:hideMark/>
          </w:tcPr>
          <w:p w14:paraId="50E7214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0,15 </w:t>
            </w:r>
          </w:p>
        </w:tc>
        <w:tc>
          <w:tcPr>
            <w:tcW w:w="680" w:type="dxa"/>
            <w:tcBorders>
              <w:top w:val="nil"/>
              <w:left w:val="nil"/>
              <w:bottom w:val="single" w:sz="4" w:space="0" w:color="auto"/>
              <w:right w:val="single" w:sz="4" w:space="0" w:color="auto"/>
            </w:tcBorders>
            <w:shd w:val="clear" w:color="auto" w:fill="auto"/>
            <w:noWrap/>
            <w:vAlign w:val="center"/>
            <w:hideMark/>
          </w:tcPr>
          <w:p w14:paraId="4DF4EE6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0,17 </w:t>
            </w:r>
          </w:p>
        </w:tc>
        <w:tc>
          <w:tcPr>
            <w:tcW w:w="680" w:type="dxa"/>
            <w:tcBorders>
              <w:top w:val="nil"/>
              <w:left w:val="nil"/>
              <w:bottom w:val="single" w:sz="4" w:space="0" w:color="auto"/>
              <w:right w:val="single" w:sz="4" w:space="0" w:color="auto"/>
            </w:tcBorders>
            <w:shd w:val="clear" w:color="auto" w:fill="auto"/>
            <w:noWrap/>
            <w:vAlign w:val="center"/>
            <w:hideMark/>
          </w:tcPr>
          <w:p w14:paraId="486A82B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0,14 </w:t>
            </w:r>
          </w:p>
        </w:tc>
        <w:tc>
          <w:tcPr>
            <w:tcW w:w="680" w:type="dxa"/>
            <w:tcBorders>
              <w:top w:val="nil"/>
              <w:left w:val="nil"/>
              <w:bottom w:val="single" w:sz="4" w:space="0" w:color="auto"/>
              <w:right w:val="single" w:sz="4" w:space="0" w:color="auto"/>
            </w:tcBorders>
            <w:shd w:val="clear" w:color="auto" w:fill="auto"/>
            <w:noWrap/>
            <w:vAlign w:val="center"/>
            <w:hideMark/>
          </w:tcPr>
          <w:p w14:paraId="3925812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0,11 </w:t>
            </w:r>
          </w:p>
        </w:tc>
        <w:tc>
          <w:tcPr>
            <w:tcW w:w="680" w:type="dxa"/>
            <w:tcBorders>
              <w:top w:val="nil"/>
              <w:left w:val="nil"/>
              <w:bottom w:val="single" w:sz="4" w:space="0" w:color="auto"/>
              <w:right w:val="single" w:sz="4" w:space="0" w:color="auto"/>
            </w:tcBorders>
            <w:shd w:val="clear" w:color="auto" w:fill="auto"/>
            <w:noWrap/>
            <w:vAlign w:val="center"/>
            <w:hideMark/>
          </w:tcPr>
          <w:p w14:paraId="6ED83A0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0,12 </w:t>
            </w:r>
          </w:p>
        </w:tc>
        <w:tc>
          <w:tcPr>
            <w:tcW w:w="680" w:type="dxa"/>
            <w:tcBorders>
              <w:top w:val="nil"/>
              <w:left w:val="nil"/>
              <w:bottom w:val="single" w:sz="4" w:space="0" w:color="auto"/>
              <w:right w:val="single" w:sz="4" w:space="0" w:color="auto"/>
            </w:tcBorders>
            <w:shd w:val="clear" w:color="auto" w:fill="auto"/>
            <w:noWrap/>
            <w:vAlign w:val="center"/>
            <w:hideMark/>
          </w:tcPr>
          <w:p w14:paraId="7837640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0,20 </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00063F7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0,26 </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0ABC50C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0,24 </w:t>
            </w:r>
          </w:p>
        </w:tc>
        <w:tc>
          <w:tcPr>
            <w:tcW w:w="1757" w:type="dxa"/>
            <w:tcBorders>
              <w:top w:val="nil"/>
              <w:left w:val="nil"/>
              <w:bottom w:val="single" w:sz="4" w:space="0" w:color="auto"/>
              <w:right w:val="single" w:sz="4" w:space="0" w:color="auto"/>
            </w:tcBorders>
            <w:vAlign w:val="center"/>
          </w:tcPr>
          <w:p w14:paraId="7573B8C2"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Net İhracatçı</w:t>
            </w:r>
          </w:p>
        </w:tc>
      </w:tr>
      <w:tr w:rsidR="00164238" w:rsidRPr="00164238" w14:paraId="56BC975B"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26A1A10D"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23</w:t>
            </w:r>
          </w:p>
        </w:tc>
        <w:tc>
          <w:tcPr>
            <w:tcW w:w="680" w:type="dxa"/>
            <w:tcBorders>
              <w:top w:val="nil"/>
              <w:left w:val="nil"/>
              <w:bottom w:val="single" w:sz="4" w:space="0" w:color="auto"/>
              <w:right w:val="single" w:sz="4" w:space="0" w:color="auto"/>
            </w:tcBorders>
            <w:shd w:val="clear" w:color="auto" w:fill="auto"/>
            <w:noWrap/>
            <w:vAlign w:val="center"/>
            <w:hideMark/>
          </w:tcPr>
          <w:p w14:paraId="21AC499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-0,64</w:t>
            </w:r>
          </w:p>
        </w:tc>
        <w:tc>
          <w:tcPr>
            <w:tcW w:w="680" w:type="dxa"/>
            <w:tcBorders>
              <w:top w:val="nil"/>
              <w:left w:val="nil"/>
              <w:bottom w:val="single" w:sz="4" w:space="0" w:color="auto"/>
              <w:right w:val="single" w:sz="4" w:space="0" w:color="auto"/>
            </w:tcBorders>
            <w:shd w:val="clear" w:color="auto" w:fill="auto"/>
            <w:noWrap/>
            <w:vAlign w:val="center"/>
            <w:hideMark/>
          </w:tcPr>
          <w:p w14:paraId="698EEAF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-0,64</w:t>
            </w:r>
          </w:p>
        </w:tc>
        <w:tc>
          <w:tcPr>
            <w:tcW w:w="680" w:type="dxa"/>
            <w:tcBorders>
              <w:top w:val="nil"/>
              <w:left w:val="nil"/>
              <w:bottom w:val="single" w:sz="4" w:space="0" w:color="auto"/>
              <w:right w:val="single" w:sz="4" w:space="0" w:color="auto"/>
            </w:tcBorders>
            <w:shd w:val="clear" w:color="auto" w:fill="auto"/>
            <w:noWrap/>
            <w:vAlign w:val="center"/>
            <w:hideMark/>
          </w:tcPr>
          <w:p w14:paraId="2AD99EF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-0,62</w:t>
            </w:r>
          </w:p>
        </w:tc>
        <w:tc>
          <w:tcPr>
            <w:tcW w:w="680" w:type="dxa"/>
            <w:tcBorders>
              <w:top w:val="nil"/>
              <w:left w:val="nil"/>
              <w:bottom w:val="single" w:sz="4" w:space="0" w:color="auto"/>
              <w:right w:val="single" w:sz="4" w:space="0" w:color="auto"/>
            </w:tcBorders>
            <w:shd w:val="clear" w:color="auto" w:fill="auto"/>
            <w:noWrap/>
            <w:vAlign w:val="center"/>
            <w:hideMark/>
          </w:tcPr>
          <w:p w14:paraId="79B32B6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-0,65</w:t>
            </w:r>
          </w:p>
        </w:tc>
        <w:tc>
          <w:tcPr>
            <w:tcW w:w="680" w:type="dxa"/>
            <w:tcBorders>
              <w:top w:val="nil"/>
              <w:left w:val="nil"/>
              <w:bottom w:val="single" w:sz="4" w:space="0" w:color="auto"/>
              <w:right w:val="single" w:sz="4" w:space="0" w:color="auto"/>
            </w:tcBorders>
            <w:shd w:val="clear" w:color="auto" w:fill="auto"/>
            <w:noWrap/>
            <w:vAlign w:val="center"/>
            <w:hideMark/>
          </w:tcPr>
          <w:p w14:paraId="69954D4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-0,65</w:t>
            </w:r>
          </w:p>
        </w:tc>
        <w:tc>
          <w:tcPr>
            <w:tcW w:w="680" w:type="dxa"/>
            <w:tcBorders>
              <w:top w:val="nil"/>
              <w:left w:val="nil"/>
              <w:bottom w:val="single" w:sz="4" w:space="0" w:color="auto"/>
              <w:right w:val="single" w:sz="4" w:space="0" w:color="auto"/>
            </w:tcBorders>
            <w:shd w:val="clear" w:color="auto" w:fill="auto"/>
            <w:noWrap/>
            <w:vAlign w:val="center"/>
            <w:hideMark/>
          </w:tcPr>
          <w:p w14:paraId="1FC1CF6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-0,57</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693E172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-0,57</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0E0C101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-0,49</w:t>
            </w:r>
          </w:p>
        </w:tc>
        <w:tc>
          <w:tcPr>
            <w:tcW w:w="1757" w:type="dxa"/>
            <w:tcBorders>
              <w:top w:val="nil"/>
              <w:left w:val="nil"/>
              <w:bottom w:val="single" w:sz="4" w:space="0" w:color="auto"/>
              <w:right w:val="single" w:sz="4" w:space="0" w:color="auto"/>
            </w:tcBorders>
            <w:vAlign w:val="center"/>
          </w:tcPr>
          <w:p w14:paraId="7FD2D830"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Net İthalatçı</w:t>
            </w:r>
          </w:p>
        </w:tc>
      </w:tr>
      <w:tr w:rsidR="00164238" w:rsidRPr="00164238" w14:paraId="772F6A0C"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1C0769E2"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24</w:t>
            </w:r>
          </w:p>
        </w:tc>
        <w:tc>
          <w:tcPr>
            <w:tcW w:w="680" w:type="dxa"/>
            <w:tcBorders>
              <w:top w:val="nil"/>
              <w:left w:val="nil"/>
              <w:bottom w:val="single" w:sz="4" w:space="0" w:color="auto"/>
              <w:right w:val="single" w:sz="4" w:space="0" w:color="auto"/>
            </w:tcBorders>
            <w:shd w:val="clear" w:color="auto" w:fill="auto"/>
            <w:noWrap/>
            <w:vAlign w:val="center"/>
            <w:hideMark/>
          </w:tcPr>
          <w:p w14:paraId="6375C53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-0,34 </w:t>
            </w:r>
          </w:p>
        </w:tc>
        <w:tc>
          <w:tcPr>
            <w:tcW w:w="680" w:type="dxa"/>
            <w:tcBorders>
              <w:top w:val="nil"/>
              <w:left w:val="nil"/>
              <w:bottom w:val="single" w:sz="4" w:space="0" w:color="auto"/>
              <w:right w:val="single" w:sz="4" w:space="0" w:color="auto"/>
            </w:tcBorders>
            <w:shd w:val="clear" w:color="auto" w:fill="auto"/>
            <w:noWrap/>
            <w:vAlign w:val="center"/>
            <w:hideMark/>
          </w:tcPr>
          <w:p w14:paraId="381AA43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-0,24 </w:t>
            </w:r>
          </w:p>
        </w:tc>
        <w:tc>
          <w:tcPr>
            <w:tcW w:w="680" w:type="dxa"/>
            <w:tcBorders>
              <w:top w:val="nil"/>
              <w:left w:val="nil"/>
              <w:bottom w:val="single" w:sz="4" w:space="0" w:color="auto"/>
              <w:right w:val="single" w:sz="4" w:space="0" w:color="auto"/>
            </w:tcBorders>
            <w:shd w:val="clear" w:color="auto" w:fill="auto"/>
            <w:noWrap/>
            <w:vAlign w:val="center"/>
            <w:hideMark/>
          </w:tcPr>
          <w:p w14:paraId="711AD3C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-0,11 </w:t>
            </w:r>
          </w:p>
        </w:tc>
        <w:tc>
          <w:tcPr>
            <w:tcW w:w="680" w:type="dxa"/>
            <w:tcBorders>
              <w:top w:val="nil"/>
              <w:left w:val="nil"/>
              <w:bottom w:val="single" w:sz="4" w:space="0" w:color="auto"/>
              <w:right w:val="single" w:sz="4" w:space="0" w:color="auto"/>
            </w:tcBorders>
            <w:shd w:val="clear" w:color="auto" w:fill="auto"/>
            <w:noWrap/>
            <w:vAlign w:val="center"/>
            <w:hideMark/>
          </w:tcPr>
          <w:p w14:paraId="2D3A840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-0,12 </w:t>
            </w:r>
          </w:p>
        </w:tc>
        <w:tc>
          <w:tcPr>
            <w:tcW w:w="680" w:type="dxa"/>
            <w:tcBorders>
              <w:top w:val="nil"/>
              <w:left w:val="nil"/>
              <w:bottom w:val="single" w:sz="4" w:space="0" w:color="auto"/>
              <w:right w:val="single" w:sz="4" w:space="0" w:color="auto"/>
            </w:tcBorders>
            <w:shd w:val="clear" w:color="auto" w:fill="auto"/>
            <w:noWrap/>
            <w:vAlign w:val="center"/>
            <w:hideMark/>
          </w:tcPr>
          <w:p w14:paraId="38E7F68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-0,32 </w:t>
            </w:r>
          </w:p>
        </w:tc>
        <w:tc>
          <w:tcPr>
            <w:tcW w:w="680" w:type="dxa"/>
            <w:tcBorders>
              <w:top w:val="nil"/>
              <w:left w:val="nil"/>
              <w:bottom w:val="single" w:sz="4" w:space="0" w:color="auto"/>
              <w:right w:val="single" w:sz="4" w:space="0" w:color="auto"/>
            </w:tcBorders>
            <w:shd w:val="clear" w:color="auto" w:fill="auto"/>
            <w:noWrap/>
            <w:vAlign w:val="center"/>
            <w:hideMark/>
          </w:tcPr>
          <w:p w14:paraId="35EA82A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-0,26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00A2E4B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-0,27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042CDBC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-0,44 </w:t>
            </w:r>
          </w:p>
        </w:tc>
        <w:tc>
          <w:tcPr>
            <w:tcW w:w="1757" w:type="dxa"/>
            <w:tcBorders>
              <w:top w:val="nil"/>
              <w:left w:val="nil"/>
              <w:bottom w:val="single" w:sz="4" w:space="0" w:color="auto"/>
              <w:right w:val="single" w:sz="4" w:space="0" w:color="auto"/>
            </w:tcBorders>
            <w:vAlign w:val="center"/>
          </w:tcPr>
          <w:p w14:paraId="47F75973"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color w:val="000000" w:themeColor="text1"/>
                <w:lang w:eastAsia="tr-TR"/>
              </w:rPr>
              <w:t>Net İthalatçı</w:t>
            </w:r>
          </w:p>
        </w:tc>
      </w:tr>
      <w:tr w:rsidR="00164238" w:rsidRPr="00164238" w14:paraId="2F9E5051"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71044412"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lastRenderedPageBreak/>
              <w:t>25</w:t>
            </w:r>
          </w:p>
        </w:tc>
        <w:tc>
          <w:tcPr>
            <w:tcW w:w="680" w:type="dxa"/>
            <w:tcBorders>
              <w:top w:val="nil"/>
              <w:left w:val="nil"/>
              <w:bottom w:val="single" w:sz="4" w:space="0" w:color="auto"/>
              <w:right w:val="single" w:sz="4" w:space="0" w:color="auto"/>
            </w:tcBorders>
            <w:shd w:val="clear" w:color="auto" w:fill="auto"/>
            <w:noWrap/>
            <w:vAlign w:val="center"/>
            <w:hideMark/>
          </w:tcPr>
          <w:p w14:paraId="4BB44E2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0,16 </w:t>
            </w:r>
          </w:p>
        </w:tc>
        <w:tc>
          <w:tcPr>
            <w:tcW w:w="680" w:type="dxa"/>
            <w:tcBorders>
              <w:top w:val="nil"/>
              <w:left w:val="nil"/>
              <w:bottom w:val="single" w:sz="4" w:space="0" w:color="auto"/>
              <w:right w:val="single" w:sz="4" w:space="0" w:color="auto"/>
            </w:tcBorders>
            <w:shd w:val="clear" w:color="auto" w:fill="auto"/>
            <w:noWrap/>
            <w:vAlign w:val="center"/>
            <w:hideMark/>
          </w:tcPr>
          <w:p w14:paraId="5F27833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0,24 </w:t>
            </w:r>
          </w:p>
        </w:tc>
        <w:tc>
          <w:tcPr>
            <w:tcW w:w="680" w:type="dxa"/>
            <w:tcBorders>
              <w:top w:val="nil"/>
              <w:left w:val="nil"/>
              <w:bottom w:val="single" w:sz="4" w:space="0" w:color="auto"/>
              <w:right w:val="single" w:sz="4" w:space="0" w:color="auto"/>
            </w:tcBorders>
            <w:shd w:val="clear" w:color="auto" w:fill="auto"/>
            <w:noWrap/>
            <w:vAlign w:val="center"/>
            <w:hideMark/>
          </w:tcPr>
          <w:p w14:paraId="09E0B1C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0,18 </w:t>
            </w:r>
          </w:p>
        </w:tc>
        <w:tc>
          <w:tcPr>
            <w:tcW w:w="680" w:type="dxa"/>
            <w:tcBorders>
              <w:top w:val="nil"/>
              <w:left w:val="nil"/>
              <w:bottom w:val="single" w:sz="4" w:space="0" w:color="auto"/>
              <w:right w:val="single" w:sz="4" w:space="0" w:color="auto"/>
            </w:tcBorders>
            <w:shd w:val="clear" w:color="auto" w:fill="auto"/>
            <w:noWrap/>
            <w:vAlign w:val="center"/>
            <w:hideMark/>
          </w:tcPr>
          <w:p w14:paraId="0C1154B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0,14 </w:t>
            </w:r>
          </w:p>
        </w:tc>
        <w:tc>
          <w:tcPr>
            <w:tcW w:w="680" w:type="dxa"/>
            <w:tcBorders>
              <w:top w:val="nil"/>
              <w:left w:val="nil"/>
              <w:bottom w:val="single" w:sz="4" w:space="0" w:color="auto"/>
              <w:right w:val="single" w:sz="4" w:space="0" w:color="auto"/>
            </w:tcBorders>
            <w:shd w:val="clear" w:color="auto" w:fill="auto"/>
            <w:noWrap/>
            <w:vAlign w:val="center"/>
            <w:hideMark/>
          </w:tcPr>
          <w:p w14:paraId="0FEB00F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0,20 </w:t>
            </w:r>
          </w:p>
        </w:tc>
        <w:tc>
          <w:tcPr>
            <w:tcW w:w="680" w:type="dxa"/>
            <w:tcBorders>
              <w:top w:val="nil"/>
              <w:left w:val="nil"/>
              <w:bottom w:val="single" w:sz="4" w:space="0" w:color="auto"/>
              <w:right w:val="single" w:sz="4" w:space="0" w:color="auto"/>
            </w:tcBorders>
            <w:shd w:val="clear" w:color="auto" w:fill="auto"/>
            <w:noWrap/>
            <w:vAlign w:val="center"/>
            <w:hideMark/>
          </w:tcPr>
          <w:p w14:paraId="4591B8F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0,25 </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0271810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0,32 </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57706E5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0,32 </w:t>
            </w:r>
          </w:p>
        </w:tc>
        <w:tc>
          <w:tcPr>
            <w:tcW w:w="1757" w:type="dxa"/>
            <w:tcBorders>
              <w:top w:val="nil"/>
              <w:left w:val="nil"/>
              <w:bottom w:val="single" w:sz="4" w:space="0" w:color="auto"/>
              <w:right w:val="single" w:sz="4" w:space="0" w:color="auto"/>
            </w:tcBorders>
            <w:vAlign w:val="center"/>
          </w:tcPr>
          <w:p w14:paraId="0F46F128"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Net İhracatçı</w:t>
            </w:r>
          </w:p>
        </w:tc>
      </w:tr>
      <w:tr w:rsidR="00164238" w:rsidRPr="00164238" w14:paraId="236914EE"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677C0386"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26</w:t>
            </w:r>
          </w:p>
        </w:tc>
        <w:tc>
          <w:tcPr>
            <w:tcW w:w="680" w:type="dxa"/>
            <w:tcBorders>
              <w:top w:val="nil"/>
              <w:left w:val="nil"/>
              <w:bottom w:val="single" w:sz="4" w:space="0" w:color="auto"/>
              <w:right w:val="single" w:sz="4" w:space="0" w:color="auto"/>
            </w:tcBorders>
            <w:shd w:val="clear" w:color="auto" w:fill="auto"/>
            <w:noWrap/>
            <w:vAlign w:val="center"/>
            <w:hideMark/>
          </w:tcPr>
          <w:p w14:paraId="1BA00C3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-0,65 </w:t>
            </w:r>
          </w:p>
        </w:tc>
        <w:tc>
          <w:tcPr>
            <w:tcW w:w="680" w:type="dxa"/>
            <w:tcBorders>
              <w:top w:val="nil"/>
              <w:left w:val="nil"/>
              <w:bottom w:val="single" w:sz="4" w:space="0" w:color="auto"/>
              <w:right w:val="single" w:sz="4" w:space="0" w:color="auto"/>
            </w:tcBorders>
            <w:shd w:val="clear" w:color="auto" w:fill="auto"/>
            <w:noWrap/>
            <w:vAlign w:val="center"/>
            <w:hideMark/>
          </w:tcPr>
          <w:p w14:paraId="6600657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-0,64 </w:t>
            </w:r>
          </w:p>
        </w:tc>
        <w:tc>
          <w:tcPr>
            <w:tcW w:w="680" w:type="dxa"/>
            <w:tcBorders>
              <w:top w:val="nil"/>
              <w:left w:val="nil"/>
              <w:bottom w:val="single" w:sz="4" w:space="0" w:color="auto"/>
              <w:right w:val="single" w:sz="4" w:space="0" w:color="auto"/>
            </w:tcBorders>
            <w:shd w:val="clear" w:color="auto" w:fill="auto"/>
            <w:noWrap/>
            <w:vAlign w:val="center"/>
            <w:hideMark/>
          </w:tcPr>
          <w:p w14:paraId="3841E39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-0,66 </w:t>
            </w:r>
          </w:p>
        </w:tc>
        <w:tc>
          <w:tcPr>
            <w:tcW w:w="680" w:type="dxa"/>
            <w:tcBorders>
              <w:top w:val="nil"/>
              <w:left w:val="nil"/>
              <w:bottom w:val="single" w:sz="4" w:space="0" w:color="auto"/>
              <w:right w:val="single" w:sz="4" w:space="0" w:color="auto"/>
            </w:tcBorders>
            <w:shd w:val="clear" w:color="auto" w:fill="auto"/>
            <w:noWrap/>
            <w:vAlign w:val="center"/>
            <w:hideMark/>
          </w:tcPr>
          <w:p w14:paraId="52C4213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-0,71 </w:t>
            </w:r>
          </w:p>
        </w:tc>
        <w:tc>
          <w:tcPr>
            <w:tcW w:w="680" w:type="dxa"/>
            <w:tcBorders>
              <w:top w:val="nil"/>
              <w:left w:val="nil"/>
              <w:bottom w:val="single" w:sz="4" w:space="0" w:color="auto"/>
              <w:right w:val="single" w:sz="4" w:space="0" w:color="auto"/>
            </w:tcBorders>
            <w:shd w:val="clear" w:color="auto" w:fill="auto"/>
            <w:noWrap/>
            <w:vAlign w:val="center"/>
            <w:hideMark/>
          </w:tcPr>
          <w:p w14:paraId="493C331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-0,73 </w:t>
            </w:r>
          </w:p>
        </w:tc>
        <w:tc>
          <w:tcPr>
            <w:tcW w:w="680" w:type="dxa"/>
            <w:tcBorders>
              <w:top w:val="nil"/>
              <w:left w:val="nil"/>
              <w:bottom w:val="single" w:sz="4" w:space="0" w:color="auto"/>
              <w:right w:val="single" w:sz="4" w:space="0" w:color="auto"/>
            </w:tcBorders>
            <w:shd w:val="clear" w:color="auto" w:fill="auto"/>
            <w:noWrap/>
            <w:vAlign w:val="center"/>
            <w:hideMark/>
          </w:tcPr>
          <w:p w14:paraId="2581FFC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-0,65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073F6FF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-0,63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27B7CA7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-0,70 </w:t>
            </w:r>
          </w:p>
        </w:tc>
        <w:tc>
          <w:tcPr>
            <w:tcW w:w="1757" w:type="dxa"/>
            <w:tcBorders>
              <w:top w:val="nil"/>
              <w:left w:val="nil"/>
              <w:bottom w:val="single" w:sz="4" w:space="0" w:color="auto"/>
              <w:right w:val="single" w:sz="4" w:space="0" w:color="auto"/>
            </w:tcBorders>
            <w:vAlign w:val="center"/>
          </w:tcPr>
          <w:p w14:paraId="50DF5913"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Net İthalatçı</w:t>
            </w:r>
          </w:p>
        </w:tc>
      </w:tr>
      <w:tr w:rsidR="00164238" w:rsidRPr="00164238" w14:paraId="409FC6DB"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1154BEF0"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27</w:t>
            </w:r>
          </w:p>
        </w:tc>
        <w:tc>
          <w:tcPr>
            <w:tcW w:w="680" w:type="dxa"/>
            <w:tcBorders>
              <w:top w:val="nil"/>
              <w:left w:val="nil"/>
              <w:bottom w:val="single" w:sz="4" w:space="0" w:color="auto"/>
              <w:right w:val="single" w:sz="4" w:space="0" w:color="auto"/>
            </w:tcBorders>
            <w:shd w:val="clear" w:color="auto" w:fill="auto"/>
            <w:noWrap/>
            <w:vAlign w:val="center"/>
            <w:hideMark/>
          </w:tcPr>
          <w:p w14:paraId="7B2DB3C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0,04 </w:t>
            </w:r>
          </w:p>
        </w:tc>
        <w:tc>
          <w:tcPr>
            <w:tcW w:w="680" w:type="dxa"/>
            <w:tcBorders>
              <w:top w:val="nil"/>
              <w:left w:val="nil"/>
              <w:bottom w:val="single" w:sz="4" w:space="0" w:color="auto"/>
              <w:right w:val="single" w:sz="4" w:space="0" w:color="auto"/>
            </w:tcBorders>
            <w:shd w:val="clear" w:color="auto" w:fill="auto"/>
            <w:noWrap/>
            <w:vAlign w:val="center"/>
            <w:hideMark/>
          </w:tcPr>
          <w:p w14:paraId="2357F60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0,08 </w:t>
            </w:r>
          </w:p>
        </w:tc>
        <w:tc>
          <w:tcPr>
            <w:tcW w:w="680" w:type="dxa"/>
            <w:tcBorders>
              <w:top w:val="nil"/>
              <w:left w:val="nil"/>
              <w:bottom w:val="single" w:sz="4" w:space="0" w:color="auto"/>
              <w:right w:val="single" w:sz="4" w:space="0" w:color="auto"/>
            </w:tcBorders>
            <w:shd w:val="clear" w:color="auto" w:fill="auto"/>
            <w:noWrap/>
            <w:vAlign w:val="center"/>
            <w:hideMark/>
          </w:tcPr>
          <w:p w14:paraId="008523C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0,03 </w:t>
            </w:r>
          </w:p>
        </w:tc>
        <w:tc>
          <w:tcPr>
            <w:tcW w:w="680" w:type="dxa"/>
            <w:tcBorders>
              <w:top w:val="nil"/>
              <w:left w:val="nil"/>
              <w:bottom w:val="single" w:sz="4" w:space="0" w:color="auto"/>
              <w:right w:val="single" w:sz="4" w:space="0" w:color="auto"/>
            </w:tcBorders>
            <w:shd w:val="clear" w:color="auto" w:fill="auto"/>
            <w:noWrap/>
            <w:vAlign w:val="center"/>
            <w:hideMark/>
          </w:tcPr>
          <w:p w14:paraId="0EB9A77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0,02 </w:t>
            </w:r>
          </w:p>
        </w:tc>
        <w:tc>
          <w:tcPr>
            <w:tcW w:w="680" w:type="dxa"/>
            <w:tcBorders>
              <w:top w:val="nil"/>
              <w:left w:val="nil"/>
              <w:bottom w:val="single" w:sz="4" w:space="0" w:color="auto"/>
              <w:right w:val="single" w:sz="4" w:space="0" w:color="auto"/>
            </w:tcBorders>
            <w:shd w:val="clear" w:color="auto" w:fill="auto"/>
            <w:noWrap/>
            <w:vAlign w:val="center"/>
            <w:hideMark/>
          </w:tcPr>
          <w:p w14:paraId="035944F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0,04 </w:t>
            </w:r>
          </w:p>
        </w:tc>
        <w:tc>
          <w:tcPr>
            <w:tcW w:w="680" w:type="dxa"/>
            <w:tcBorders>
              <w:top w:val="nil"/>
              <w:left w:val="nil"/>
              <w:bottom w:val="single" w:sz="4" w:space="0" w:color="auto"/>
              <w:right w:val="single" w:sz="4" w:space="0" w:color="auto"/>
            </w:tcBorders>
            <w:shd w:val="clear" w:color="auto" w:fill="auto"/>
            <w:noWrap/>
            <w:vAlign w:val="center"/>
            <w:hideMark/>
          </w:tcPr>
          <w:p w14:paraId="12B85FF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0,09 </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46462B7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0,15 </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0CFEFE5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0,10 </w:t>
            </w:r>
          </w:p>
        </w:tc>
        <w:tc>
          <w:tcPr>
            <w:tcW w:w="1757" w:type="dxa"/>
            <w:tcBorders>
              <w:top w:val="nil"/>
              <w:left w:val="nil"/>
              <w:bottom w:val="single" w:sz="4" w:space="0" w:color="auto"/>
              <w:right w:val="single" w:sz="4" w:space="0" w:color="auto"/>
            </w:tcBorders>
            <w:vAlign w:val="center"/>
          </w:tcPr>
          <w:p w14:paraId="2D7019F0"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Net İhracatçı</w:t>
            </w:r>
          </w:p>
        </w:tc>
      </w:tr>
      <w:tr w:rsidR="00164238" w:rsidRPr="00164238" w14:paraId="091B0362"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4C9CA204"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color w:val="000000" w:themeColor="text1"/>
              </w:rPr>
              <w:t>28</w:t>
            </w:r>
          </w:p>
        </w:tc>
        <w:tc>
          <w:tcPr>
            <w:tcW w:w="680" w:type="dxa"/>
            <w:tcBorders>
              <w:top w:val="nil"/>
              <w:left w:val="nil"/>
              <w:bottom w:val="single" w:sz="4" w:space="0" w:color="auto"/>
              <w:right w:val="single" w:sz="4" w:space="0" w:color="auto"/>
            </w:tcBorders>
            <w:shd w:val="clear" w:color="auto" w:fill="auto"/>
            <w:noWrap/>
            <w:vAlign w:val="center"/>
            <w:hideMark/>
          </w:tcPr>
          <w:p w14:paraId="300040D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-0,46 </w:t>
            </w:r>
          </w:p>
        </w:tc>
        <w:tc>
          <w:tcPr>
            <w:tcW w:w="680" w:type="dxa"/>
            <w:tcBorders>
              <w:top w:val="nil"/>
              <w:left w:val="nil"/>
              <w:bottom w:val="single" w:sz="4" w:space="0" w:color="auto"/>
              <w:right w:val="single" w:sz="4" w:space="0" w:color="auto"/>
            </w:tcBorders>
            <w:shd w:val="clear" w:color="auto" w:fill="auto"/>
            <w:noWrap/>
            <w:vAlign w:val="center"/>
            <w:hideMark/>
          </w:tcPr>
          <w:p w14:paraId="14C4DD6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-0,41 </w:t>
            </w:r>
          </w:p>
        </w:tc>
        <w:tc>
          <w:tcPr>
            <w:tcW w:w="680" w:type="dxa"/>
            <w:tcBorders>
              <w:top w:val="nil"/>
              <w:left w:val="nil"/>
              <w:bottom w:val="single" w:sz="4" w:space="0" w:color="auto"/>
              <w:right w:val="single" w:sz="4" w:space="0" w:color="auto"/>
            </w:tcBorders>
            <w:shd w:val="clear" w:color="auto" w:fill="auto"/>
            <w:noWrap/>
            <w:vAlign w:val="center"/>
            <w:hideMark/>
          </w:tcPr>
          <w:p w14:paraId="5F6DF1E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-0,43 </w:t>
            </w:r>
          </w:p>
        </w:tc>
        <w:tc>
          <w:tcPr>
            <w:tcW w:w="680" w:type="dxa"/>
            <w:tcBorders>
              <w:top w:val="nil"/>
              <w:left w:val="nil"/>
              <w:bottom w:val="single" w:sz="4" w:space="0" w:color="auto"/>
              <w:right w:val="single" w:sz="4" w:space="0" w:color="auto"/>
            </w:tcBorders>
            <w:shd w:val="clear" w:color="auto" w:fill="auto"/>
            <w:noWrap/>
            <w:vAlign w:val="center"/>
            <w:hideMark/>
          </w:tcPr>
          <w:p w14:paraId="17E6546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-0,46 </w:t>
            </w:r>
          </w:p>
        </w:tc>
        <w:tc>
          <w:tcPr>
            <w:tcW w:w="680" w:type="dxa"/>
            <w:tcBorders>
              <w:top w:val="nil"/>
              <w:left w:val="nil"/>
              <w:bottom w:val="single" w:sz="4" w:space="0" w:color="auto"/>
              <w:right w:val="single" w:sz="4" w:space="0" w:color="auto"/>
            </w:tcBorders>
            <w:shd w:val="clear" w:color="auto" w:fill="auto"/>
            <w:noWrap/>
            <w:vAlign w:val="center"/>
            <w:hideMark/>
          </w:tcPr>
          <w:p w14:paraId="7A40EEA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-0,40 </w:t>
            </w:r>
          </w:p>
        </w:tc>
        <w:tc>
          <w:tcPr>
            <w:tcW w:w="680" w:type="dxa"/>
            <w:tcBorders>
              <w:top w:val="nil"/>
              <w:left w:val="nil"/>
              <w:bottom w:val="single" w:sz="4" w:space="0" w:color="auto"/>
              <w:right w:val="single" w:sz="4" w:space="0" w:color="auto"/>
            </w:tcBorders>
            <w:shd w:val="clear" w:color="auto" w:fill="auto"/>
            <w:noWrap/>
            <w:vAlign w:val="center"/>
            <w:hideMark/>
          </w:tcPr>
          <w:p w14:paraId="281134F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-0,29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3729EAE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-0,14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5E26885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-0,25 </w:t>
            </w:r>
          </w:p>
        </w:tc>
        <w:tc>
          <w:tcPr>
            <w:tcW w:w="1757" w:type="dxa"/>
            <w:tcBorders>
              <w:top w:val="nil"/>
              <w:left w:val="nil"/>
              <w:bottom w:val="single" w:sz="4" w:space="0" w:color="auto"/>
              <w:right w:val="single" w:sz="4" w:space="0" w:color="auto"/>
            </w:tcBorders>
            <w:vAlign w:val="center"/>
          </w:tcPr>
          <w:p w14:paraId="0748A628"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Net İthalatçı</w:t>
            </w:r>
          </w:p>
        </w:tc>
      </w:tr>
      <w:tr w:rsidR="00164238" w:rsidRPr="00164238" w14:paraId="7499BBAB"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6C5D7894"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b/>
                <w:bCs/>
                <w:color w:val="000000" w:themeColor="text1"/>
              </w:rPr>
              <w:t>29</w:t>
            </w:r>
          </w:p>
        </w:tc>
        <w:tc>
          <w:tcPr>
            <w:tcW w:w="680" w:type="dxa"/>
            <w:tcBorders>
              <w:top w:val="nil"/>
              <w:left w:val="nil"/>
              <w:bottom w:val="single" w:sz="4" w:space="0" w:color="auto"/>
              <w:right w:val="single" w:sz="4" w:space="0" w:color="auto"/>
            </w:tcBorders>
            <w:shd w:val="clear" w:color="auto" w:fill="auto"/>
            <w:noWrap/>
            <w:vAlign w:val="center"/>
            <w:hideMark/>
          </w:tcPr>
          <w:p w14:paraId="58E7A58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-0,02 </w:t>
            </w:r>
          </w:p>
        </w:tc>
        <w:tc>
          <w:tcPr>
            <w:tcW w:w="680" w:type="dxa"/>
            <w:tcBorders>
              <w:top w:val="nil"/>
              <w:left w:val="nil"/>
              <w:bottom w:val="single" w:sz="4" w:space="0" w:color="auto"/>
              <w:right w:val="single" w:sz="4" w:space="0" w:color="auto"/>
            </w:tcBorders>
            <w:shd w:val="clear" w:color="auto" w:fill="auto"/>
            <w:noWrap/>
            <w:vAlign w:val="center"/>
            <w:hideMark/>
          </w:tcPr>
          <w:p w14:paraId="49C5E4E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0,03 </w:t>
            </w:r>
          </w:p>
        </w:tc>
        <w:tc>
          <w:tcPr>
            <w:tcW w:w="680" w:type="dxa"/>
            <w:tcBorders>
              <w:top w:val="nil"/>
              <w:left w:val="nil"/>
              <w:bottom w:val="single" w:sz="4" w:space="0" w:color="auto"/>
              <w:right w:val="single" w:sz="4" w:space="0" w:color="auto"/>
            </w:tcBorders>
            <w:shd w:val="clear" w:color="auto" w:fill="auto"/>
            <w:noWrap/>
            <w:vAlign w:val="center"/>
            <w:hideMark/>
          </w:tcPr>
          <w:p w14:paraId="47EBB9A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-0,03 </w:t>
            </w:r>
          </w:p>
        </w:tc>
        <w:tc>
          <w:tcPr>
            <w:tcW w:w="680" w:type="dxa"/>
            <w:tcBorders>
              <w:top w:val="nil"/>
              <w:left w:val="nil"/>
              <w:bottom w:val="single" w:sz="4" w:space="0" w:color="auto"/>
              <w:right w:val="single" w:sz="4" w:space="0" w:color="auto"/>
            </w:tcBorders>
            <w:shd w:val="clear" w:color="auto" w:fill="auto"/>
            <w:noWrap/>
            <w:vAlign w:val="center"/>
            <w:hideMark/>
          </w:tcPr>
          <w:p w14:paraId="393F056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0,02 </w:t>
            </w:r>
          </w:p>
        </w:tc>
        <w:tc>
          <w:tcPr>
            <w:tcW w:w="680" w:type="dxa"/>
            <w:tcBorders>
              <w:top w:val="nil"/>
              <w:left w:val="nil"/>
              <w:bottom w:val="single" w:sz="4" w:space="0" w:color="auto"/>
              <w:right w:val="single" w:sz="4" w:space="0" w:color="auto"/>
            </w:tcBorders>
            <w:shd w:val="clear" w:color="auto" w:fill="auto"/>
            <w:noWrap/>
            <w:vAlign w:val="center"/>
            <w:hideMark/>
          </w:tcPr>
          <w:p w14:paraId="41C00FC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0,10 </w:t>
            </w:r>
          </w:p>
        </w:tc>
        <w:tc>
          <w:tcPr>
            <w:tcW w:w="680" w:type="dxa"/>
            <w:tcBorders>
              <w:top w:val="nil"/>
              <w:left w:val="nil"/>
              <w:bottom w:val="single" w:sz="4" w:space="0" w:color="auto"/>
              <w:right w:val="single" w:sz="4" w:space="0" w:color="auto"/>
            </w:tcBorders>
            <w:shd w:val="clear" w:color="auto" w:fill="auto"/>
            <w:noWrap/>
            <w:vAlign w:val="center"/>
            <w:hideMark/>
          </w:tcPr>
          <w:p w14:paraId="002ADFD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0,23 </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07DA606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0,34 </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5FB0F75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0,11 </w:t>
            </w:r>
          </w:p>
        </w:tc>
        <w:tc>
          <w:tcPr>
            <w:tcW w:w="1757" w:type="dxa"/>
            <w:tcBorders>
              <w:top w:val="nil"/>
              <w:left w:val="nil"/>
              <w:bottom w:val="single" w:sz="4" w:space="0" w:color="auto"/>
              <w:right w:val="single" w:sz="4" w:space="0" w:color="auto"/>
            </w:tcBorders>
            <w:vAlign w:val="center"/>
          </w:tcPr>
          <w:p w14:paraId="230E3F29"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Net İhracatçı</w:t>
            </w:r>
          </w:p>
        </w:tc>
      </w:tr>
      <w:tr w:rsidR="00164238" w:rsidRPr="00164238" w14:paraId="7902CD77"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48C17CAB"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color w:val="000000" w:themeColor="text1"/>
              </w:rPr>
              <w:t>30</w:t>
            </w:r>
          </w:p>
        </w:tc>
        <w:tc>
          <w:tcPr>
            <w:tcW w:w="680" w:type="dxa"/>
            <w:tcBorders>
              <w:top w:val="nil"/>
              <w:left w:val="nil"/>
              <w:bottom w:val="single" w:sz="4" w:space="0" w:color="auto"/>
              <w:right w:val="single" w:sz="4" w:space="0" w:color="auto"/>
            </w:tcBorders>
            <w:shd w:val="clear" w:color="auto" w:fill="auto"/>
            <w:noWrap/>
            <w:vAlign w:val="center"/>
            <w:hideMark/>
          </w:tcPr>
          <w:p w14:paraId="41D8752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-0,22 </w:t>
            </w:r>
          </w:p>
        </w:tc>
        <w:tc>
          <w:tcPr>
            <w:tcW w:w="680" w:type="dxa"/>
            <w:tcBorders>
              <w:top w:val="nil"/>
              <w:left w:val="nil"/>
              <w:bottom w:val="single" w:sz="4" w:space="0" w:color="auto"/>
              <w:right w:val="single" w:sz="4" w:space="0" w:color="auto"/>
            </w:tcBorders>
            <w:shd w:val="clear" w:color="auto" w:fill="auto"/>
            <w:noWrap/>
            <w:vAlign w:val="center"/>
            <w:hideMark/>
          </w:tcPr>
          <w:p w14:paraId="28141D0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-0,20 </w:t>
            </w:r>
          </w:p>
        </w:tc>
        <w:tc>
          <w:tcPr>
            <w:tcW w:w="680" w:type="dxa"/>
            <w:tcBorders>
              <w:top w:val="nil"/>
              <w:left w:val="nil"/>
              <w:bottom w:val="single" w:sz="4" w:space="0" w:color="auto"/>
              <w:right w:val="single" w:sz="4" w:space="0" w:color="auto"/>
            </w:tcBorders>
            <w:shd w:val="clear" w:color="auto" w:fill="auto"/>
            <w:noWrap/>
            <w:vAlign w:val="center"/>
            <w:hideMark/>
          </w:tcPr>
          <w:p w14:paraId="26A9B18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-0,37 </w:t>
            </w:r>
          </w:p>
        </w:tc>
        <w:tc>
          <w:tcPr>
            <w:tcW w:w="680" w:type="dxa"/>
            <w:tcBorders>
              <w:top w:val="nil"/>
              <w:left w:val="nil"/>
              <w:bottom w:val="single" w:sz="4" w:space="0" w:color="auto"/>
              <w:right w:val="single" w:sz="4" w:space="0" w:color="auto"/>
            </w:tcBorders>
            <w:shd w:val="clear" w:color="auto" w:fill="auto"/>
            <w:noWrap/>
            <w:vAlign w:val="center"/>
            <w:hideMark/>
          </w:tcPr>
          <w:p w14:paraId="570BDBF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-0,41 </w:t>
            </w:r>
          </w:p>
        </w:tc>
        <w:tc>
          <w:tcPr>
            <w:tcW w:w="680" w:type="dxa"/>
            <w:tcBorders>
              <w:top w:val="nil"/>
              <w:left w:val="nil"/>
              <w:bottom w:val="single" w:sz="4" w:space="0" w:color="auto"/>
              <w:right w:val="single" w:sz="4" w:space="0" w:color="auto"/>
            </w:tcBorders>
            <w:shd w:val="clear" w:color="auto" w:fill="auto"/>
            <w:noWrap/>
            <w:vAlign w:val="center"/>
            <w:hideMark/>
          </w:tcPr>
          <w:p w14:paraId="7D0333E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-0,29 </w:t>
            </w:r>
          </w:p>
        </w:tc>
        <w:tc>
          <w:tcPr>
            <w:tcW w:w="680" w:type="dxa"/>
            <w:tcBorders>
              <w:top w:val="nil"/>
              <w:left w:val="nil"/>
              <w:bottom w:val="single" w:sz="4" w:space="0" w:color="auto"/>
              <w:right w:val="single" w:sz="4" w:space="0" w:color="auto"/>
            </w:tcBorders>
            <w:shd w:val="clear" w:color="auto" w:fill="auto"/>
            <w:noWrap/>
            <w:vAlign w:val="center"/>
            <w:hideMark/>
          </w:tcPr>
          <w:p w14:paraId="7EEA16B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-0,26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7575DAD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-0,23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455885A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-0,26 </w:t>
            </w:r>
          </w:p>
        </w:tc>
        <w:tc>
          <w:tcPr>
            <w:tcW w:w="1757" w:type="dxa"/>
            <w:tcBorders>
              <w:top w:val="nil"/>
              <w:left w:val="nil"/>
              <w:bottom w:val="single" w:sz="4" w:space="0" w:color="auto"/>
              <w:right w:val="single" w:sz="4" w:space="0" w:color="auto"/>
            </w:tcBorders>
            <w:vAlign w:val="center"/>
          </w:tcPr>
          <w:p w14:paraId="700B3525"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Net İthalatçı</w:t>
            </w:r>
          </w:p>
        </w:tc>
      </w:tr>
      <w:tr w:rsidR="00164238" w:rsidRPr="00164238" w14:paraId="197908FF"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7B914656"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31</w:t>
            </w:r>
          </w:p>
        </w:tc>
        <w:tc>
          <w:tcPr>
            <w:tcW w:w="680" w:type="dxa"/>
            <w:tcBorders>
              <w:top w:val="nil"/>
              <w:left w:val="nil"/>
              <w:bottom w:val="single" w:sz="4" w:space="0" w:color="auto"/>
              <w:right w:val="single" w:sz="4" w:space="0" w:color="auto"/>
            </w:tcBorders>
            <w:shd w:val="clear" w:color="auto" w:fill="auto"/>
            <w:noWrap/>
            <w:vAlign w:val="center"/>
            <w:hideMark/>
          </w:tcPr>
          <w:p w14:paraId="0F44580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0,43 </w:t>
            </w:r>
          </w:p>
        </w:tc>
        <w:tc>
          <w:tcPr>
            <w:tcW w:w="680" w:type="dxa"/>
            <w:tcBorders>
              <w:top w:val="nil"/>
              <w:left w:val="nil"/>
              <w:bottom w:val="single" w:sz="4" w:space="0" w:color="auto"/>
              <w:right w:val="single" w:sz="4" w:space="0" w:color="auto"/>
            </w:tcBorders>
            <w:shd w:val="clear" w:color="auto" w:fill="auto"/>
            <w:noWrap/>
            <w:vAlign w:val="center"/>
            <w:hideMark/>
          </w:tcPr>
          <w:p w14:paraId="4BF248C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0,46 </w:t>
            </w:r>
          </w:p>
        </w:tc>
        <w:tc>
          <w:tcPr>
            <w:tcW w:w="680" w:type="dxa"/>
            <w:tcBorders>
              <w:top w:val="nil"/>
              <w:left w:val="nil"/>
              <w:bottom w:val="single" w:sz="4" w:space="0" w:color="auto"/>
              <w:right w:val="single" w:sz="4" w:space="0" w:color="auto"/>
            </w:tcBorders>
            <w:shd w:val="clear" w:color="auto" w:fill="auto"/>
            <w:noWrap/>
            <w:vAlign w:val="center"/>
            <w:hideMark/>
          </w:tcPr>
          <w:p w14:paraId="28DEEFA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0,49 </w:t>
            </w:r>
          </w:p>
        </w:tc>
        <w:tc>
          <w:tcPr>
            <w:tcW w:w="680" w:type="dxa"/>
            <w:tcBorders>
              <w:top w:val="nil"/>
              <w:left w:val="nil"/>
              <w:bottom w:val="single" w:sz="4" w:space="0" w:color="auto"/>
              <w:right w:val="single" w:sz="4" w:space="0" w:color="auto"/>
            </w:tcBorders>
            <w:shd w:val="clear" w:color="auto" w:fill="auto"/>
            <w:noWrap/>
            <w:vAlign w:val="center"/>
            <w:hideMark/>
          </w:tcPr>
          <w:p w14:paraId="0B9BDE9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0,59 </w:t>
            </w:r>
          </w:p>
        </w:tc>
        <w:tc>
          <w:tcPr>
            <w:tcW w:w="680" w:type="dxa"/>
            <w:tcBorders>
              <w:top w:val="nil"/>
              <w:left w:val="nil"/>
              <w:bottom w:val="single" w:sz="4" w:space="0" w:color="auto"/>
              <w:right w:val="single" w:sz="4" w:space="0" w:color="auto"/>
            </w:tcBorders>
            <w:shd w:val="clear" w:color="auto" w:fill="auto"/>
            <w:noWrap/>
            <w:vAlign w:val="center"/>
            <w:hideMark/>
          </w:tcPr>
          <w:p w14:paraId="75B6037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0,61 </w:t>
            </w:r>
          </w:p>
        </w:tc>
        <w:tc>
          <w:tcPr>
            <w:tcW w:w="680" w:type="dxa"/>
            <w:tcBorders>
              <w:top w:val="nil"/>
              <w:left w:val="nil"/>
              <w:bottom w:val="single" w:sz="4" w:space="0" w:color="auto"/>
              <w:right w:val="single" w:sz="4" w:space="0" w:color="auto"/>
            </w:tcBorders>
            <w:shd w:val="clear" w:color="auto" w:fill="auto"/>
            <w:noWrap/>
            <w:vAlign w:val="center"/>
            <w:hideMark/>
          </w:tcPr>
          <w:p w14:paraId="62AEEAA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0,67 </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6B6DECF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0,73 </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73281B0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0,75 </w:t>
            </w:r>
          </w:p>
        </w:tc>
        <w:tc>
          <w:tcPr>
            <w:tcW w:w="1757" w:type="dxa"/>
            <w:tcBorders>
              <w:top w:val="nil"/>
              <w:left w:val="nil"/>
              <w:bottom w:val="single" w:sz="4" w:space="0" w:color="auto"/>
              <w:right w:val="single" w:sz="4" w:space="0" w:color="auto"/>
            </w:tcBorders>
            <w:vAlign w:val="center"/>
          </w:tcPr>
          <w:p w14:paraId="64A1424A"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Net İhracatçı</w:t>
            </w:r>
          </w:p>
        </w:tc>
      </w:tr>
      <w:tr w:rsidR="00164238" w:rsidRPr="00164238" w14:paraId="08A55486"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535AD8A1"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32</w:t>
            </w:r>
          </w:p>
        </w:tc>
        <w:tc>
          <w:tcPr>
            <w:tcW w:w="680" w:type="dxa"/>
            <w:tcBorders>
              <w:top w:val="nil"/>
              <w:left w:val="nil"/>
              <w:bottom w:val="single" w:sz="4" w:space="0" w:color="auto"/>
              <w:right w:val="single" w:sz="4" w:space="0" w:color="auto"/>
            </w:tcBorders>
            <w:shd w:val="clear" w:color="auto" w:fill="auto"/>
            <w:noWrap/>
            <w:vAlign w:val="center"/>
            <w:hideMark/>
          </w:tcPr>
          <w:p w14:paraId="5F3588F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0,05 </w:t>
            </w:r>
          </w:p>
        </w:tc>
        <w:tc>
          <w:tcPr>
            <w:tcW w:w="680" w:type="dxa"/>
            <w:tcBorders>
              <w:top w:val="nil"/>
              <w:left w:val="nil"/>
              <w:bottom w:val="single" w:sz="4" w:space="0" w:color="auto"/>
              <w:right w:val="single" w:sz="4" w:space="0" w:color="auto"/>
            </w:tcBorders>
            <w:shd w:val="clear" w:color="auto" w:fill="auto"/>
            <w:noWrap/>
            <w:vAlign w:val="center"/>
            <w:hideMark/>
          </w:tcPr>
          <w:p w14:paraId="23D3EB2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0,16 </w:t>
            </w:r>
          </w:p>
        </w:tc>
        <w:tc>
          <w:tcPr>
            <w:tcW w:w="680" w:type="dxa"/>
            <w:tcBorders>
              <w:top w:val="nil"/>
              <w:left w:val="nil"/>
              <w:bottom w:val="single" w:sz="4" w:space="0" w:color="auto"/>
              <w:right w:val="single" w:sz="4" w:space="0" w:color="auto"/>
            </w:tcBorders>
            <w:shd w:val="clear" w:color="auto" w:fill="auto"/>
            <w:noWrap/>
            <w:vAlign w:val="center"/>
            <w:hideMark/>
          </w:tcPr>
          <w:p w14:paraId="13F03FC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0,16 </w:t>
            </w:r>
          </w:p>
        </w:tc>
        <w:tc>
          <w:tcPr>
            <w:tcW w:w="680" w:type="dxa"/>
            <w:tcBorders>
              <w:top w:val="nil"/>
              <w:left w:val="nil"/>
              <w:bottom w:val="single" w:sz="4" w:space="0" w:color="auto"/>
              <w:right w:val="single" w:sz="4" w:space="0" w:color="auto"/>
            </w:tcBorders>
            <w:shd w:val="clear" w:color="auto" w:fill="auto"/>
            <w:noWrap/>
            <w:vAlign w:val="center"/>
            <w:hideMark/>
          </w:tcPr>
          <w:p w14:paraId="02CCB47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0,16 </w:t>
            </w:r>
          </w:p>
        </w:tc>
        <w:tc>
          <w:tcPr>
            <w:tcW w:w="680" w:type="dxa"/>
            <w:tcBorders>
              <w:top w:val="nil"/>
              <w:left w:val="nil"/>
              <w:bottom w:val="single" w:sz="4" w:space="0" w:color="auto"/>
              <w:right w:val="single" w:sz="4" w:space="0" w:color="auto"/>
            </w:tcBorders>
            <w:shd w:val="clear" w:color="auto" w:fill="auto"/>
            <w:noWrap/>
            <w:vAlign w:val="center"/>
            <w:hideMark/>
          </w:tcPr>
          <w:p w14:paraId="023482B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0,19 </w:t>
            </w:r>
          </w:p>
        </w:tc>
        <w:tc>
          <w:tcPr>
            <w:tcW w:w="680" w:type="dxa"/>
            <w:tcBorders>
              <w:top w:val="nil"/>
              <w:left w:val="nil"/>
              <w:bottom w:val="single" w:sz="4" w:space="0" w:color="auto"/>
              <w:right w:val="single" w:sz="4" w:space="0" w:color="auto"/>
            </w:tcBorders>
            <w:shd w:val="clear" w:color="auto" w:fill="auto"/>
            <w:noWrap/>
            <w:vAlign w:val="center"/>
            <w:hideMark/>
          </w:tcPr>
          <w:p w14:paraId="33876A8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0,20 </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6D0E381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0,23 </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558AC35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0,23 </w:t>
            </w:r>
          </w:p>
        </w:tc>
        <w:tc>
          <w:tcPr>
            <w:tcW w:w="1757" w:type="dxa"/>
            <w:tcBorders>
              <w:top w:val="nil"/>
              <w:left w:val="nil"/>
              <w:bottom w:val="single" w:sz="4" w:space="0" w:color="auto"/>
              <w:right w:val="single" w:sz="4" w:space="0" w:color="auto"/>
            </w:tcBorders>
            <w:vAlign w:val="center"/>
          </w:tcPr>
          <w:p w14:paraId="4775AE1C"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Net İhracatçı</w:t>
            </w:r>
          </w:p>
        </w:tc>
      </w:tr>
      <w:tr w:rsidR="00164238" w:rsidRPr="00164238" w14:paraId="3D8D6FEE"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49A83ED1"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Tüm İmalat</w:t>
            </w:r>
          </w:p>
        </w:tc>
        <w:tc>
          <w:tcPr>
            <w:tcW w:w="680" w:type="dxa"/>
            <w:tcBorders>
              <w:top w:val="nil"/>
              <w:left w:val="nil"/>
              <w:bottom w:val="single" w:sz="4" w:space="0" w:color="auto"/>
              <w:right w:val="single" w:sz="4" w:space="0" w:color="auto"/>
            </w:tcBorders>
            <w:shd w:val="clear" w:color="auto" w:fill="auto"/>
            <w:noWrap/>
            <w:vAlign w:val="center"/>
            <w:hideMark/>
          </w:tcPr>
          <w:p w14:paraId="567EC33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0,73 </w:t>
            </w:r>
          </w:p>
        </w:tc>
        <w:tc>
          <w:tcPr>
            <w:tcW w:w="680" w:type="dxa"/>
            <w:tcBorders>
              <w:top w:val="nil"/>
              <w:left w:val="nil"/>
              <w:bottom w:val="single" w:sz="4" w:space="0" w:color="auto"/>
              <w:right w:val="single" w:sz="4" w:space="0" w:color="auto"/>
            </w:tcBorders>
            <w:shd w:val="clear" w:color="auto" w:fill="auto"/>
            <w:noWrap/>
            <w:vAlign w:val="center"/>
            <w:hideMark/>
          </w:tcPr>
          <w:p w14:paraId="58143FB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0,80 </w:t>
            </w:r>
          </w:p>
        </w:tc>
        <w:tc>
          <w:tcPr>
            <w:tcW w:w="680" w:type="dxa"/>
            <w:tcBorders>
              <w:top w:val="nil"/>
              <w:left w:val="nil"/>
              <w:bottom w:val="single" w:sz="4" w:space="0" w:color="auto"/>
              <w:right w:val="single" w:sz="4" w:space="0" w:color="auto"/>
            </w:tcBorders>
            <w:shd w:val="clear" w:color="auto" w:fill="auto"/>
            <w:noWrap/>
            <w:vAlign w:val="center"/>
            <w:hideMark/>
          </w:tcPr>
          <w:p w14:paraId="1BDE344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0,82 </w:t>
            </w:r>
          </w:p>
        </w:tc>
        <w:tc>
          <w:tcPr>
            <w:tcW w:w="680" w:type="dxa"/>
            <w:tcBorders>
              <w:top w:val="nil"/>
              <w:left w:val="nil"/>
              <w:bottom w:val="single" w:sz="4" w:space="0" w:color="auto"/>
              <w:right w:val="single" w:sz="4" w:space="0" w:color="auto"/>
            </w:tcBorders>
            <w:shd w:val="clear" w:color="auto" w:fill="auto"/>
            <w:noWrap/>
            <w:vAlign w:val="center"/>
            <w:hideMark/>
          </w:tcPr>
          <w:p w14:paraId="3688D3A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0,82 </w:t>
            </w:r>
          </w:p>
        </w:tc>
        <w:tc>
          <w:tcPr>
            <w:tcW w:w="680" w:type="dxa"/>
            <w:tcBorders>
              <w:top w:val="nil"/>
              <w:left w:val="nil"/>
              <w:bottom w:val="single" w:sz="4" w:space="0" w:color="auto"/>
              <w:right w:val="single" w:sz="4" w:space="0" w:color="auto"/>
            </w:tcBorders>
            <w:shd w:val="clear" w:color="auto" w:fill="auto"/>
            <w:noWrap/>
            <w:vAlign w:val="center"/>
            <w:hideMark/>
          </w:tcPr>
          <w:p w14:paraId="3A2D50B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0,79 </w:t>
            </w:r>
          </w:p>
        </w:tc>
        <w:tc>
          <w:tcPr>
            <w:tcW w:w="680" w:type="dxa"/>
            <w:tcBorders>
              <w:top w:val="nil"/>
              <w:left w:val="nil"/>
              <w:bottom w:val="single" w:sz="4" w:space="0" w:color="auto"/>
              <w:right w:val="single" w:sz="4" w:space="0" w:color="auto"/>
            </w:tcBorders>
            <w:shd w:val="clear" w:color="auto" w:fill="auto"/>
            <w:noWrap/>
            <w:vAlign w:val="center"/>
            <w:hideMark/>
          </w:tcPr>
          <w:p w14:paraId="777D5CA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0,91 </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1F58886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1,06 </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2274A1B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0,89 </w:t>
            </w:r>
          </w:p>
        </w:tc>
        <w:tc>
          <w:tcPr>
            <w:tcW w:w="1757" w:type="dxa"/>
            <w:tcBorders>
              <w:top w:val="nil"/>
              <w:left w:val="nil"/>
              <w:bottom w:val="single" w:sz="4" w:space="0" w:color="auto"/>
              <w:right w:val="single" w:sz="4" w:space="0" w:color="auto"/>
            </w:tcBorders>
            <w:vAlign w:val="center"/>
          </w:tcPr>
          <w:p w14:paraId="6F6CD753"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Net İhracatçı</w:t>
            </w:r>
          </w:p>
        </w:tc>
      </w:tr>
    </w:tbl>
    <w:p w14:paraId="760BE323" w14:textId="77777777" w:rsidR="00C54BC9" w:rsidRPr="00164238" w:rsidRDefault="00C54BC9" w:rsidP="00C54BC9">
      <w:pPr>
        <w:spacing w:after="0" w:line="360" w:lineRule="auto"/>
        <w:rPr>
          <w:rFonts w:ascii="Times New Roman" w:hAnsi="Times New Roman" w:cs="Times New Roman"/>
          <w:color w:val="000000" w:themeColor="text1"/>
        </w:rPr>
      </w:pPr>
      <w:r w:rsidRPr="00164238">
        <w:rPr>
          <w:rFonts w:ascii="Times New Roman" w:hAnsi="Times New Roman" w:cs="Times New Roman"/>
          <w:b/>
          <w:bCs/>
          <w:color w:val="000000" w:themeColor="text1"/>
        </w:rPr>
        <w:t xml:space="preserve">Kaynak: </w:t>
      </w:r>
      <w:r w:rsidRPr="00164238">
        <w:rPr>
          <w:rFonts w:ascii="Times New Roman" w:hAnsi="Times New Roman" w:cs="Times New Roman"/>
          <w:color w:val="000000" w:themeColor="text1"/>
        </w:rPr>
        <w:t>TÜİK verileri derlenerek yazar tarafından oluşturulmuştur.</w:t>
      </w:r>
    </w:p>
    <w:p w14:paraId="4115A236" w14:textId="5BC840A3" w:rsidR="00C54BC9" w:rsidRDefault="00C54BC9" w:rsidP="00C54BC9">
      <w:pPr>
        <w:spacing w:before="120" w:after="120" w:line="360" w:lineRule="auto"/>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Dünya pazarında Türk imalat sanayiinin net ticaret dengesinin gösterildiği Tablo 6’ya göre, 2019-2020 yılları arasında Türkiye’nin  imalat sanayiinde net ihracatçı ve  imalat sanayii içinde yer alan 23 alt sektörden 11 sektörde net ihracatçı, 12 sektörde net ithalatçı olduğu tespit edilmiştir. 2019-2020 yılları arasında Türkiye’nin imalat sanayii ve alt sektörlerinde ticaret dengesinde durumun değişmediği görülmüştür.</w:t>
      </w:r>
    </w:p>
    <w:p w14:paraId="2C64A76D" w14:textId="77777777" w:rsidR="006A4DC2" w:rsidRPr="00164238" w:rsidRDefault="006A4DC2" w:rsidP="00C54BC9">
      <w:pPr>
        <w:spacing w:before="120" w:after="120" w:line="360" w:lineRule="auto"/>
        <w:ind w:firstLine="567"/>
        <w:jc w:val="both"/>
        <w:rPr>
          <w:rFonts w:ascii="Times New Roman" w:hAnsi="Times New Roman" w:cs="Times New Roman"/>
          <w:color w:val="000000" w:themeColor="text1"/>
          <w:sz w:val="20"/>
          <w:szCs w:val="20"/>
        </w:rPr>
      </w:pPr>
    </w:p>
    <w:p w14:paraId="6FD4B696" w14:textId="77777777" w:rsidR="00C54BC9" w:rsidRPr="00164238" w:rsidRDefault="00C54BC9" w:rsidP="00C54BC9">
      <w:pPr>
        <w:spacing w:after="0" w:line="240" w:lineRule="auto"/>
        <w:rPr>
          <w:rFonts w:ascii="Times New Roman" w:hAnsi="Times New Roman" w:cs="Times New Roman"/>
          <w:b/>
          <w:bCs/>
          <w:color w:val="000000" w:themeColor="text1"/>
        </w:rPr>
      </w:pPr>
      <w:r w:rsidRPr="00164238">
        <w:rPr>
          <w:rFonts w:ascii="Times New Roman" w:hAnsi="Times New Roman" w:cs="Times New Roman"/>
          <w:b/>
          <w:bCs/>
          <w:color w:val="000000" w:themeColor="text1"/>
        </w:rPr>
        <w:t>Tablo 8: Türk İmalat Sanayii’nin AB (27) Pazarında Rekabet Gücü Endeksi</w:t>
      </w:r>
    </w:p>
    <w:tbl>
      <w:tblPr>
        <w:tblW w:w="8388" w:type="dxa"/>
        <w:tblCellMar>
          <w:left w:w="70" w:type="dxa"/>
          <w:right w:w="70" w:type="dxa"/>
        </w:tblCellMar>
        <w:tblLook w:val="04A0" w:firstRow="1" w:lastRow="0" w:firstColumn="1" w:lastColumn="0" w:noHBand="0" w:noVBand="1"/>
      </w:tblPr>
      <w:tblGrid>
        <w:gridCol w:w="1191"/>
        <w:gridCol w:w="680"/>
        <w:gridCol w:w="680"/>
        <w:gridCol w:w="680"/>
        <w:gridCol w:w="680"/>
        <w:gridCol w:w="680"/>
        <w:gridCol w:w="680"/>
        <w:gridCol w:w="680"/>
        <w:gridCol w:w="680"/>
        <w:gridCol w:w="1757"/>
      </w:tblGrid>
      <w:tr w:rsidR="00164238" w:rsidRPr="00164238" w14:paraId="67D24DBA" w14:textId="77777777" w:rsidTr="00682CBF">
        <w:trPr>
          <w:trHeight w:val="300"/>
        </w:trPr>
        <w:tc>
          <w:tcPr>
            <w:tcW w:w="11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6D9180"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C73C2D3"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2013</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600604FF"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2014</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61FA9D80"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2015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667922CC"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2016</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5038CA25"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2017</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2DAFC5B5"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2018</w:t>
            </w:r>
          </w:p>
        </w:tc>
        <w:tc>
          <w:tcPr>
            <w:tcW w:w="68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4B40898B"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2019</w:t>
            </w:r>
          </w:p>
        </w:tc>
        <w:tc>
          <w:tcPr>
            <w:tcW w:w="68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05E97CB4"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2020</w:t>
            </w:r>
          </w:p>
        </w:tc>
        <w:tc>
          <w:tcPr>
            <w:tcW w:w="1757" w:type="dxa"/>
            <w:tcBorders>
              <w:top w:val="single" w:sz="4" w:space="0" w:color="auto"/>
              <w:left w:val="nil"/>
              <w:bottom w:val="single" w:sz="4" w:space="0" w:color="auto"/>
              <w:right w:val="single" w:sz="4" w:space="0" w:color="auto"/>
            </w:tcBorders>
            <w:vAlign w:val="center"/>
          </w:tcPr>
          <w:p w14:paraId="6961CBBF"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RCA</w:t>
            </w:r>
          </w:p>
        </w:tc>
      </w:tr>
      <w:tr w:rsidR="00164238" w:rsidRPr="00164238" w14:paraId="1746A611"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09FCD5A1"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10</w:t>
            </w:r>
          </w:p>
        </w:tc>
        <w:tc>
          <w:tcPr>
            <w:tcW w:w="680" w:type="dxa"/>
            <w:tcBorders>
              <w:top w:val="nil"/>
              <w:left w:val="nil"/>
              <w:bottom w:val="single" w:sz="4" w:space="0" w:color="auto"/>
              <w:right w:val="single" w:sz="4" w:space="0" w:color="auto"/>
            </w:tcBorders>
            <w:shd w:val="clear" w:color="auto" w:fill="auto"/>
            <w:noWrap/>
            <w:vAlign w:val="center"/>
            <w:hideMark/>
          </w:tcPr>
          <w:p w14:paraId="439C3B0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1,09 </w:t>
            </w:r>
          </w:p>
        </w:tc>
        <w:tc>
          <w:tcPr>
            <w:tcW w:w="680" w:type="dxa"/>
            <w:tcBorders>
              <w:top w:val="nil"/>
              <w:left w:val="nil"/>
              <w:bottom w:val="single" w:sz="4" w:space="0" w:color="auto"/>
              <w:right w:val="single" w:sz="4" w:space="0" w:color="auto"/>
            </w:tcBorders>
            <w:shd w:val="clear" w:color="auto" w:fill="auto"/>
            <w:noWrap/>
            <w:vAlign w:val="center"/>
            <w:hideMark/>
          </w:tcPr>
          <w:p w14:paraId="5B918EE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1,18 </w:t>
            </w:r>
          </w:p>
        </w:tc>
        <w:tc>
          <w:tcPr>
            <w:tcW w:w="680" w:type="dxa"/>
            <w:tcBorders>
              <w:top w:val="nil"/>
              <w:left w:val="nil"/>
              <w:bottom w:val="single" w:sz="4" w:space="0" w:color="auto"/>
              <w:right w:val="single" w:sz="4" w:space="0" w:color="auto"/>
            </w:tcBorders>
            <w:shd w:val="clear" w:color="auto" w:fill="auto"/>
            <w:noWrap/>
            <w:vAlign w:val="center"/>
            <w:hideMark/>
          </w:tcPr>
          <w:p w14:paraId="7A24FEF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1,20 </w:t>
            </w:r>
          </w:p>
        </w:tc>
        <w:tc>
          <w:tcPr>
            <w:tcW w:w="680" w:type="dxa"/>
            <w:tcBorders>
              <w:top w:val="nil"/>
              <w:left w:val="nil"/>
              <w:bottom w:val="single" w:sz="4" w:space="0" w:color="auto"/>
              <w:right w:val="single" w:sz="4" w:space="0" w:color="auto"/>
            </w:tcBorders>
            <w:shd w:val="clear" w:color="auto" w:fill="auto"/>
            <w:noWrap/>
            <w:vAlign w:val="center"/>
            <w:hideMark/>
          </w:tcPr>
          <w:p w14:paraId="78559CD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1,01 </w:t>
            </w:r>
          </w:p>
        </w:tc>
        <w:tc>
          <w:tcPr>
            <w:tcW w:w="680" w:type="dxa"/>
            <w:tcBorders>
              <w:top w:val="nil"/>
              <w:left w:val="nil"/>
              <w:bottom w:val="single" w:sz="4" w:space="0" w:color="auto"/>
              <w:right w:val="single" w:sz="4" w:space="0" w:color="auto"/>
            </w:tcBorders>
            <w:shd w:val="clear" w:color="auto" w:fill="auto"/>
            <w:noWrap/>
            <w:vAlign w:val="center"/>
            <w:hideMark/>
          </w:tcPr>
          <w:p w14:paraId="076F125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0,87 </w:t>
            </w:r>
          </w:p>
        </w:tc>
        <w:tc>
          <w:tcPr>
            <w:tcW w:w="680" w:type="dxa"/>
            <w:tcBorders>
              <w:top w:val="nil"/>
              <w:left w:val="nil"/>
              <w:bottom w:val="single" w:sz="4" w:space="0" w:color="auto"/>
              <w:right w:val="single" w:sz="4" w:space="0" w:color="auto"/>
            </w:tcBorders>
            <w:shd w:val="clear" w:color="auto" w:fill="auto"/>
            <w:noWrap/>
            <w:vAlign w:val="center"/>
            <w:hideMark/>
          </w:tcPr>
          <w:p w14:paraId="4B1E6D0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0,56 </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6949FAA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0,66 </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56212F8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0,84 </w:t>
            </w:r>
          </w:p>
        </w:tc>
        <w:tc>
          <w:tcPr>
            <w:tcW w:w="1757" w:type="dxa"/>
            <w:tcBorders>
              <w:top w:val="nil"/>
              <w:left w:val="nil"/>
              <w:bottom w:val="single" w:sz="4" w:space="0" w:color="auto"/>
              <w:right w:val="single" w:sz="4" w:space="0" w:color="auto"/>
            </w:tcBorders>
            <w:vAlign w:val="center"/>
          </w:tcPr>
          <w:p w14:paraId="522958F6"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Advantajlı</w:t>
            </w:r>
          </w:p>
        </w:tc>
      </w:tr>
      <w:tr w:rsidR="00164238" w:rsidRPr="00164238" w14:paraId="646B27E9"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0C5DA5B5"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11</w:t>
            </w:r>
          </w:p>
        </w:tc>
        <w:tc>
          <w:tcPr>
            <w:tcW w:w="680" w:type="dxa"/>
            <w:tcBorders>
              <w:top w:val="nil"/>
              <w:left w:val="nil"/>
              <w:bottom w:val="single" w:sz="4" w:space="0" w:color="auto"/>
              <w:right w:val="single" w:sz="4" w:space="0" w:color="auto"/>
            </w:tcBorders>
            <w:shd w:val="clear" w:color="auto" w:fill="auto"/>
            <w:noWrap/>
            <w:vAlign w:val="center"/>
            <w:hideMark/>
          </w:tcPr>
          <w:p w14:paraId="7FAAC7D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-0,58 </w:t>
            </w:r>
          </w:p>
        </w:tc>
        <w:tc>
          <w:tcPr>
            <w:tcW w:w="680" w:type="dxa"/>
            <w:tcBorders>
              <w:top w:val="nil"/>
              <w:left w:val="nil"/>
              <w:bottom w:val="single" w:sz="4" w:space="0" w:color="auto"/>
              <w:right w:val="single" w:sz="4" w:space="0" w:color="auto"/>
            </w:tcBorders>
            <w:shd w:val="clear" w:color="auto" w:fill="auto"/>
            <w:noWrap/>
            <w:vAlign w:val="center"/>
            <w:hideMark/>
          </w:tcPr>
          <w:p w14:paraId="55C0D6E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-0,54 </w:t>
            </w:r>
          </w:p>
        </w:tc>
        <w:tc>
          <w:tcPr>
            <w:tcW w:w="680" w:type="dxa"/>
            <w:tcBorders>
              <w:top w:val="nil"/>
              <w:left w:val="nil"/>
              <w:bottom w:val="single" w:sz="4" w:space="0" w:color="auto"/>
              <w:right w:val="single" w:sz="4" w:space="0" w:color="auto"/>
            </w:tcBorders>
            <w:shd w:val="clear" w:color="auto" w:fill="auto"/>
            <w:noWrap/>
            <w:vAlign w:val="center"/>
            <w:hideMark/>
          </w:tcPr>
          <w:p w14:paraId="6201091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-0,73 </w:t>
            </w:r>
          </w:p>
        </w:tc>
        <w:tc>
          <w:tcPr>
            <w:tcW w:w="680" w:type="dxa"/>
            <w:tcBorders>
              <w:top w:val="nil"/>
              <w:left w:val="nil"/>
              <w:bottom w:val="single" w:sz="4" w:space="0" w:color="auto"/>
              <w:right w:val="single" w:sz="4" w:space="0" w:color="auto"/>
            </w:tcBorders>
            <w:shd w:val="clear" w:color="auto" w:fill="auto"/>
            <w:noWrap/>
            <w:vAlign w:val="center"/>
            <w:hideMark/>
          </w:tcPr>
          <w:p w14:paraId="5CC6F23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-0,64 </w:t>
            </w:r>
          </w:p>
        </w:tc>
        <w:tc>
          <w:tcPr>
            <w:tcW w:w="680" w:type="dxa"/>
            <w:tcBorders>
              <w:top w:val="nil"/>
              <w:left w:val="nil"/>
              <w:bottom w:val="single" w:sz="4" w:space="0" w:color="auto"/>
              <w:right w:val="single" w:sz="4" w:space="0" w:color="auto"/>
            </w:tcBorders>
            <w:shd w:val="clear" w:color="auto" w:fill="auto"/>
            <w:noWrap/>
            <w:vAlign w:val="center"/>
            <w:hideMark/>
          </w:tcPr>
          <w:p w14:paraId="5747755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-0,69 </w:t>
            </w:r>
          </w:p>
        </w:tc>
        <w:tc>
          <w:tcPr>
            <w:tcW w:w="680" w:type="dxa"/>
            <w:tcBorders>
              <w:top w:val="nil"/>
              <w:left w:val="nil"/>
              <w:bottom w:val="single" w:sz="4" w:space="0" w:color="auto"/>
              <w:right w:val="single" w:sz="4" w:space="0" w:color="auto"/>
            </w:tcBorders>
            <w:shd w:val="clear" w:color="auto" w:fill="auto"/>
            <w:noWrap/>
            <w:vAlign w:val="center"/>
            <w:hideMark/>
          </w:tcPr>
          <w:p w14:paraId="6B6E1F8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-0,74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7ABCD82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-0,98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39BD6D7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-0,63 </w:t>
            </w:r>
          </w:p>
        </w:tc>
        <w:tc>
          <w:tcPr>
            <w:tcW w:w="1757" w:type="dxa"/>
            <w:tcBorders>
              <w:top w:val="nil"/>
              <w:left w:val="nil"/>
              <w:bottom w:val="single" w:sz="4" w:space="0" w:color="auto"/>
              <w:right w:val="single" w:sz="4" w:space="0" w:color="auto"/>
            </w:tcBorders>
            <w:vAlign w:val="center"/>
          </w:tcPr>
          <w:p w14:paraId="331C6C15"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Dezavantajlı</w:t>
            </w:r>
          </w:p>
        </w:tc>
      </w:tr>
      <w:tr w:rsidR="00164238" w:rsidRPr="00164238" w14:paraId="403A8BC2"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7DE6FE04"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12</w:t>
            </w:r>
          </w:p>
        </w:tc>
        <w:tc>
          <w:tcPr>
            <w:tcW w:w="680" w:type="dxa"/>
            <w:tcBorders>
              <w:top w:val="nil"/>
              <w:left w:val="nil"/>
              <w:bottom w:val="single" w:sz="4" w:space="0" w:color="auto"/>
              <w:right w:val="single" w:sz="4" w:space="0" w:color="auto"/>
            </w:tcBorders>
            <w:shd w:val="clear" w:color="auto" w:fill="auto"/>
            <w:noWrap/>
            <w:vAlign w:val="center"/>
            <w:hideMark/>
          </w:tcPr>
          <w:p w14:paraId="21ABE0A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-3,36 </w:t>
            </w:r>
          </w:p>
        </w:tc>
        <w:tc>
          <w:tcPr>
            <w:tcW w:w="680" w:type="dxa"/>
            <w:tcBorders>
              <w:top w:val="nil"/>
              <w:left w:val="nil"/>
              <w:bottom w:val="single" w:sz="4" w:space="0" w:color="auto"/>
              <w:right w:val="single" w:sz="4" w:space="0" w:color="auto"/>
            </w:tcBorders>
            <w:shd w:val="clear" w:color="auto" w:fill="auto"/>
            <w:noWrap/>
            <w:vAlign w:val="center"/>
            <w:hideMark/>
          </w:tcPr>
          <w:p w14:paraId="59D5600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-2,23 </w:t>
            </w:r>
          </w:p>
        </w:tc>
        <w:tc>
          <w:tcPr>
            <w:tcW w:w="680" w:type="dxa"/>
            <w:tcBorders>
              <w:top w:val="nil"/>
              <w:left w:val="nil"/>
              <w:bottom w:val="single" w:sz="4" w:space="0" w:color="auto"/>
              <w:right w:val="single" w:sz="4" w:space="0" w:color="auto"/>
            </w:tcBorders>
            <w:shd w:val="clear" w:color="auto" w:fill="auto"/>
            <w:noWrap/>
            <w:vAlign w:val="center"/>
            <w:hideMark/>
          </w:tcPr>
          <w:p w14:paraId="69D1905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-2,24 </w:t>
            </w:r>
          </w:p>
        </w:tc>
        <w:tc>
          <w:tcPr>
            <w:tcW w:w="680" w:type="dxa"/>
            <w:tcBorders>
              <w:top w:val="nil"/>
              <w:left w:val="nil"/>
              <w:bottom w:val="single" w:sz="4" w:space="0" w:color="auto"/>
              <w:right w:val="single" w:sz="4" w:space="0" w:color="auto"/>
            </w:tcBorders>
            <w:shd w:val="clear" w:color="auto" w:fill="auto"/>
            <w:noWrap/>
            <w:vAlign w:val="center"/>
            <w:hideMark/>
          </w:tcPr>
          <w:p w14:paraId="279BEC8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-1,65 </w:t>
            </w:r>
          </w:p>
        </w:tc>
        <w:tc>
          <w:tcPr>
            <w:tcW w:w="680" w:type="dxa"/>
            <w:tcBorders>
              <w:top w:val="nil"/>
              <w:left w:val="nil"/>
              <w:bottom w:val="single" w:sz="4" w:space="0" w:color="auto"/>
              <w:right w:val="single" w:sz="4" w:space="0" w:color="auto"/>
            </w:tcBorders>
            <w:shd w:val="clear" w:color="auto" w:fill="auto"/>
            <w:noWrap/>
            <w:vAlign w:val="center"/>
            <w:hideMark/>
          </w:tcPr>
          <w:p w14:paraId="23CD6EA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-1,34 </w:t>
            </w:r>
          </w:p>
        </w:tc>
        <w:tc>
          <w:tcPr>
            <w:tcW w:w="680" w:type="dxa"/>
            <w:tcBorders>
              <w:top w:val="nil"/>
              <w:left w:val="nil"/>
              <w:bottom w:val="single" w:sz="4" w:space="0" w:color="auto"/>
              <w:right w:val="single" w:sz="4" w:space="0" w:color="auto"/>
            </w:tcBorders>
            <w:shd w:val="clear" w:color="auto" w:fill="auto"/>
            <w:noWrap/>
            <w:vAlign w:val="center"/>
            <w:hideMark/>
          </w:tcPr>
          <w:p w14:paraId="1B1AC95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-1,54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6DAA21A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-1,25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32DA263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-0,55 </w:t>
            </w:r>
          </w:p>
        </w:tc>
        <w:tc>
          <w:tcPr>
            <w:tcW w:w="1757" w:type="dxa"/>
            <w:tcBorders>
              <w:top w:val="nil"/>
              <w:left w:val="nil"/>
              <w:bottom w:val="single" w:sz="4" w:space="0" w:color="auto"/>
              <w:right w:val="single" w:sz="4" w:space="0" w:color="auto"/>
            </w:tcBorders>
            <w:vAlign w:val="center"/>
          </w:tcPr>
          <w:p w14:paraId="75F7D886"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Dezavantajlı</w:t>
            </w:r>
          </w:p>
        </w:tc>
      </w:tr>
      <w:tr w:rsidR="00164238" w:rsidRPr="00164238" w14:paraId="3E6CFF0E"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21106DB7"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13</w:t>
            </w:r>
          </w:p>
        </w:tc>
        <w:tc>
          <w:tcPr>
            <w:tcW w:w="680" w:type="dxa"/>
            <w:tcBorders>
              <w:top w:val="nil"/>
              <w:left w:val="nil"/>
              <w:bottom w:val="single" w:sz="4" w:space="0" w:color="auto"/>
              <w:right w:val="single" w:sz="4" w:space="0" w:color="auto"/>
            </w:tcBorders>
            <w:shd w:val="clear" w:color="auto" w:fill="auto"/>
            <w:noWrap/>
            <w:vAlign w:val="center"/>
            <w:hideMark/>
          </w:tcPr>
          <w:p w14:paraId="0E4DCFF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1,64 </w:t>
            </w:r>
          </w:p>
        </w:tc>
        <w:tc>
          <w:tcPr>
            <w:tcW w:w="680" w:type="dxa"/>
            <w:tcBorders>
              <w:top w:val="nil"/>
              <w:left w:val="nil"/>
              <w:bottom w:val="single" w:sz="4" w:space="0" w:color="auto"/>
              <w:right w:val="single" w:sz="4" w:space="0" w:color="auto"/>
            </w:tcBorders>
            <w:shd w:val="clear" w:color="auto" w:fill="auto"/>
            <w:noWrap/>
            <w:vAlign w:val="center"/>
            <w:hideMark/>
          </w:tcPr>
          <w:p w14:paraId="5A2FD8F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1,63 </w:t>
            </w:r>
          </w:p>
        </w:tc>
        <w:tc>
          <w:tcPr>
            <w:tcW w:w="680" w:type="dxa"/>
            <w:tcBorders>
              <w:top w:val="nil"/>
              <w:left w:val="nil"/>
              <w:bottom w:val="single" w:sz="4" w:space="0" w:color="auto"/>
              <w:right w:val="single" w:sz="4" w:space="0" w:color="auto"/>
            </w:tcBorders>
            <w:shd w:val="clear" w:color="auto" w:fill="auto"/>
            <w:noWrap/>
            <w:vAlign w:val="center"/>
            <w:hideMark/>
          </w:tcPr>
          <w:p w14:paraId="78A3A2A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1,63 </w:t>
            </w:r>
          </w:p>
        </w:tc>
        <w:tc>
          <w:tcPr>
            <w:tcW w:w="680" w:type="dxa"/>
            <w:tcBorders>
              <w:top w:val="nil"/>
              <w:left w:val="nil"/>
              <w:bottom w:val="single" w:sz="4" w:space="0" w:color="auto"/>
              <w:right w:val="single" w:sz="4" w:space="0" w:color="auto"/>
            </w:tcBorders>
            <w:shd w:val="clear" w:color="auto" w:fill="auto"/>
            <w:noWrap/>
            <w:vAlign w:val="center"/>
            <w:hideMark/>
          </w:tcPr>
          <w:p w14:paraId="38A46EA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1,65 </w:t>
            </w:r>
          </w:p>
        </w:tc>
        <w:tc>
          <w:tcPr>
            <w:tcW w:w="680" w:type="dxa"/>
            <w:tcBorders>
              <w:top w:val="nil"/>
              <w:left w:val="nil"/>
              <w:bottom w:val="single" w:sz="4" w:space="0" w:color="auto"/>
              <w:right w:val="single" w:sz="4" w:space="0" w:color="auto"/>
            </w:tcBorders>
            <w:shd w:val="clear" w:color="auto" w:fill="auto"/>
            <w:noWrap/>
            <w:vAlign w:val="center"/>
            <w:hideMark/>
          </w:tcPr>
          <w:p w14:paraId="1735281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1,59 </w:t>
            </w:r>
          </w:p>
        </w:tc>
        <w:tc>
          <w:tcPr>
            <w:tcW w:w="680" w:type="dxa"/>
            <w:tcBorders>
              <w:top w:val="nil"/>
              <w:left w:val="nil"/>
              <w:bottom w:val="single" w:sz="4" w:space="0" w:color="auto"/>
              <w:right w:val="single" w:sz="4" w:space="0" w:color="auto"/>
            </w:tcBorders>
            <w:shd w:val="clear" w:color="auto" w:fill="auto"/>
            <w:noWrap/>
            <w:vAlign w:val="center"/>
            <w:hideMark/>
          </w:tcPr>
          <w:p w14:paraId="6D4F37F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1,35 </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1323017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1,19 </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40FCA42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1,45 </w:t>
            </w:r>
          </w:p>
        </w:tc>
        <w:tc>
          <w:tcPr>
            <w:tcW w:w="1757" w:type="dxa"/>
            <w:tcBorders>
              <w:top w:val="nil"/>
              <w:left w:val="nil"/>
              <w:bottom w:val="single" w:sz="4" w:space="0" w:color="auto"/>
              <w:right w:val="single" w:sz="4" w:space="0" w:color="auto"/>
            </w:tcBorders>
            <w:vAlign w:val="center"/>
          </w:tcPr>
          <w:p w14:paraId="373319AE"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Advantajlı</w:t>
            </w:r>
          </w:p>
        </w:tc>
      </w:tr>
      <w:tr w:rsidR="00164238" w:rsidRPr="00164238" w14:paraId="42287406"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76818391"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14</w:t>
            </w:r>
          </w:p>
        </w:tc>
        <w:tc>
          <w:tcPr>
            <w:tcW w:w="680" w:type="dxa"/>
            <w:tcBorders>
              <w:top w:val="nil"/>
              <w:left w:val="nil"/>
              <w:bottom w:val="single" w:sz="4" w:space="0" w:color="auto"/>
              <w:right w:val="single" w:sz="4" w:space="0" w:color="auto"/>
            </w:tcBorders>
            <w:shd w:val="clear" w:color="auto" w:fill="auto"/>
            <w:noWrap/>
            <w:vAlign w:val="center"/>
            <w:hideMark/>
          </w:tcPr>
          <w:p w14:paraId="61A1367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3,53 </w:t>
            </w:r>
          </w:p>
        </w:tc>
        <w:tc>
          <w:tcPr>
            <w:tcW w:w="680" w:type="dxa"/>
            <w:tcBorders>
              <w:top w:val="nil"/>
              <w:left w:val="nil"/>
              <w:bottom w:val="single" w:sz="4" w:space="0" w:color="auto"/>
              <w:right w:val="single" w:sz="4" w:space="0" w:color="auto"/>
            </w:tcBorders>
            <w:shd w:val="clear" w:color="auto" w:fill="auto"/>
            <w:noWrap/>
            <w:vAlign w:val="center"/>
            <w:hideMark/>
          </w:tcPr>
          <w:p w14:paraId="00B2E5D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3,42 </w:t>
            </w:r>
          </w:p>
        </w:tc>
        <w:tc>
          <w:tcPr>
            <w:tcW w:w="680" w:type="dxa"/>
            <w:tcBorders>
              <w:top w:val="nil"/>
              <w:left w:val="nil"/>
              <w:bottom w:val="single" w:sz="4" w:space="0" w:color="auto"/>
              <w:right w:val="single" w:sz="4" w:space="0" w:color="auto"/>
            </w:tcBorders>
            <w:shd w:val="clear" w:color="auto" w:fill="auto"/>
            <w:noWrap/>
            <w:vAlign w:val="center"/>
            <w:hideMark/>
          </w:tcPr>
          <w:p w14:paraId="6A276F6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3,41 </w:t>
            </w:r>
          </w:p>
        </w:tc>
        <w:tc>
          <w:tcPr>
            <w:tcW w:w="680" w:type="dxa"/>
            <w:tcBorders>
              <w:top w:val="nil"/>
              <w:left w:val="nil"/>
              <w:bottom w:val="single" w:sz="4" w:space="0" w:color="auto"/>
              <w:right w:val="single" w:sz="4" w:space="0" w:color="auto"/>
            </w:tcBorders>
            <w:shd w:val="clear" w:color="auto" w:fill="auto"/>
            <w:noWrap/>
            <w:vAlign w:val="center"/>
            <w:hideMark/>
          </w:tcPr>
          <w:p w14:paraId="05EA5CA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3,36 </w:t>
            </w:r>
          </w:p>
        </w:tc>
        <w:tc>
          <w:tcPr>
            <w:tcW w:w="680" w:type="dxa"/>
            <w:tcBorders>
              <w:top w:val="nil"/>
              <w:left w:val="nil"/>
              <w:bottom w:val="single" w:sz="4" w:space="0" w:color="auto"/>
              <w:right w:val="single" w:sz="4" w:space="0" w:color="auto"/>
            </w:tcBorders>
            <w:shd w:val="clear" w:color="auto" w:fill="auto"/>
            <w:noWrap/>
            <w:vAlign w:val="center"/>
            <w:hideMark/>
          </w:tcPr>
          <w:p w14:paraId="0AF2210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3,30 </w:t>
            </w:r>
          </w:p>
        </w:tc>
        <w:tc>
          <w:tcPr>
            <w:tcW w:w="680" w:type="dxa"/>
            <w:tcBorders>
              <w:top w:val="nil"/>
              <w:left w:val="nil"/>
              <w:bottom w:val="single" w:sz="4" w:space="0" w:color="auto"/>
              <w:right w:val="single" w:sz="4" w:space="0" w:color="auto"/>
            </w:tcBorders>
            <w:shd w:val="clear" w:color="auto" w:fill="auto"/>
            <w:noWrap/>
            <w:vAlign w:val="center"/>
            <w:hideMark/>
          </w:tcPr>
          <w:p w14:paraId="05E8FA2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3,18 </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55D0AAD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3,11 </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4137C92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3,47 </w:t>
            </w:r>
          </w:p>
        </w:tc>
        <w:tc>
          <w:tcPr>
            <w:tcW w:w="1757" w:type="dxa"/>
            <w:tcBorders>
              <w:top w:val="nil"/>
              <w:left w:val="nil"/>
              <w:bottom w:val="single" w:sz="4" w:space="0" w:color="auto"/>
              <w:right w:val="single" w:sz="4" w:space="0" w:color="auto"/>
            </w:tcBorders>
            <w:vAlign w:val="center"/>
          </w:tcPr>
          <w:p w14:paraId="142DF54E"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Advantajlı</w:t>
            </w:r>
          </w:p>
        </w:tc>
      </w:tr>
      <w:tr w:rsidR="00164238" w:rsidRPr="00164238" w14:paraId="015EE49B"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24F7D6FC"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15</w:t>
            </w:r>
          </w:p>
        </w:tc>
        <w:tc>
          <w:tcPr>
            <w:tcW w:w="680" w:type="dxa"/>
            <w:tcBorders>
              <w:top w:val="nil"/>
              <w:left w:val="nil"/>
              <w:bottom w:val="single" w:sz="4" w:space="0" w:color="auto"/>
              <w:right w:val="single" w:sz="4" w:space="0" w:color="auto"/>
            </w:tcBorders>
            <w:shd w:val="clear" w:color="auto" w:fill="auto"/>
            <w:noWrap/>
            <w:vAlign w:val="center"/>
            <w:hideMark/>
          </w:tcPr>
          <w:p w14:paraId="52FF3BF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0,08 </w:t>
            </w:r>
          </w:p>
        </w:tc>
        <w:tc>
          <w:tcPr>
            <w:tcW w:w="680" w:type="dxa"/>
            <w:tcBorders>
              <w:top w:val="nil"/>
              <w:left w:val="nil"/>
              <w:bottom w:val="single" w:sz="4" w:space="0" w:color="auto"/>
              <w:right w:val="single" w:sz="4" w:space="0" w:color="auto"/>
            </w:tcBorders>
            <w:shd w:val="clear" w:color="auto" w:fill="auto"/>
            <w:noWrap/>
            <w:vAlign w:val="center"/>
            <w:hideMark/>
          </w:tcPr>
          <w:p w14:paraId="24AD4CD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0,12 </w:t>
            </w:r>
          </w:p>
        </w:tc>
        <w:tc>
          <w:tcPr>
            <w:tcW w:w="680" w:type="dxa"/>
            <w:tcBorders>
              <w:top w:val="nil"/>
              <w:left w:val="nil"/>
              <w:bottom w:val="single" w:sz="4" w:space="0" w:color="auto"/>
              <w:right w:val="single" w:sz="4" w:space="0" w:color="auto"/>
            </w:tcBorders>
            <w:shd w:val="clear" w:color="auto" w:fill="auto"/>
            <w:noWrap/>
            <w:vAlign w:val="center"/>
            <w:hideMark/>
          </w:tcPr>
          <w:p w14:paraId="2769146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0,19 </w:t>
            </w:r>
          </w:p>
        </w:tc>
        <w:tc>
          <w:tcPr>
            <w:tcW w:w="680" w:type="dxa"/>
            <w:tcBorders>
              <w:top w:val="nil"/>
              <w:left w:val="nil"/>
              <w:bottom w:val="single" w:sz="4" w:space="0" w:color="auto"/>
              <w:right w:val="single" w:sz="4" w:space="0" w:color="auto"/>
            </w:tcBorders>
            <w:shd w:val="clear" w:color="auto" w:fill="auto"/>
            <w:noWrap/>
            <w:vAlign w:val="center"/>
            <w:hideMark/>
          </w:tcPr>
          <w:p w14:paraId="0541179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0,31 </w:t>
            </w:r>
          </w:p>
        </w:tc>
        <w:tc>
          <w:tcPr>
            <w:tcW w:w="680" w:type="dxa"/>
            <w:tcBorders>
              <w:top w:val="nil"/>
              <w:left w:val="nil"/>
              <w:bottom w:val="single" w:sz="4" w:space="0" w:color="auto"/>
              <w:right w:val="single" w:sz="4" w:space="0" w:color="auto"/>
            </w:tcBorders>
            <w:shd w:val="clear" w:color="auto" w:fill="auto"/>
            <w:noWrap/>
            <w:vAlign w:val="center"/>
            <w:hideMark/>
          </w:tcPr>
          <w:p w14:paraId="2D323FE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0,32 </w:t>
            </w:r>
          </w:p>
        </w:tc>
        <w:tc>
          <w:tcPr>
            <w:tcW w:w="680" w:type="dxa"/>
            <w:tcBorders>
              <w:top w:val="nil"/>
              <w:left w:val="nil"/>
              <w:bottom w:val="single" w:sz="4" w:space="0" w:color="auto"/>
              <w:right w:val="single" w:sz="4" w:space="0" w:color="auto"/>
            </w:tcBorders>
            <w:shd w:val="clear" w:color="auto" w:fill="auto"/>
            <w:noWrap/>
            <w:vAlign w:val="center"/>
            <w:hideMark/>
          </w:tcPr>
          <w:p w14:paraId="7BCAC1D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0,13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2C7BE43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0,10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27EE32E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0,32 </w:t>
            </w:r>
          </w:p>
        </w:tc>
        <w:tc>
          <w:tcPr>
            <w:tcW w:w="1757" w:type="dxa"/>
            <w:tcBorders>
              <w:top w:val="nil"/>
              <w:left w:val="nil"/>
              <w:bottom w:val="single" w:sz="4" w:space="0" w:color="auto"/>
              <w:right w:val="single" w:sz="4" w:space="0" w:color="auto"/>
            </w:tcBorders>
            <w:vAlign w:val="center"/>
          </w:tcPr>
          <w:p w14:paraId="78236822"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color w:val="000000" w:themeColor="text1"/>
              </w:rPr>
              <w:t>Marjinal Sınırda</w:t>
            </w:r>
          </w:p>
        </w:tc>
      </w:tr>
      <w:tr w:rsidR="00164238" w:rsidRPr="00164238" w14:paraId="3274E1B7"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3074B25A"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b/>
                <w:bCs/>
                <w:color w:val="000000" w:themeColor="text1"/>
              </w:rPr>
              <w:t>16</w:t>
            </w:r>
          </w:p>
        </w:tc>
        <w:tc>
          <w:tcPr>
            <w:tcW w:w="680" w:type="dxa"/>
            <w:tcBorders>
              <w:top w:val="nil"/>
              <w:left w:val="nil"/>
              <w:bottom w:val="single" w:sz="4" w:space="0" w:color="auto"/>
              <w:right w:val="single" w:sz="4" w:space="0" w:color="auto"/>
            </w:tcBorders>
            <w:shd w:val="clear" w:color="auto" w:fill="auto"/>
            <w:noWrap/>
            <w:vAlign w:val="center"/>
            <w:hideMark/>
          </w:tcPr>
          <w:p w14:paraId="07EAE85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-2,28 </w:t>
            </w:r>
          </w:p>
        </w:tc>
        <w:tc>
          <w:tcPr>
            <w:tcW w:w="680" w:type="dxa"/>
            <w:tcBorders>
              <w:top w:val="nil"/>
              <w:left w:val="nil"/>
              <w:bottom w:val="single" w:sz="4" w:space="0" w:color="auto"/>
              <w:right w:val="single" w:sz="4" w:space="0" w:color="auto"/>
            </w:tcBorders>
            <w:shd w:val="clear" w:color="auto" w:fill="auto"/>
            <w:noWrap/>
            <w:vAlign w:val="center"/>
            <w:hideMark/>
          </w:tcPr>
          <w:p w14:paraId="59DFEEB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-1,91 </w:t>
            </w:r>
          </w:p>
        </w:tc>
        <w:tc>
          <w:tcPr>
            <w:tcW w:w="680" w:type="dxa"/>
            <w:tcBorders>
              <w:top w:val="nil"/>
              <w:left w:val="nil"/>
              <w:bottom w:val="single" w:sz="4" w:space="0" w:color="auto"/>
              <w:right w:val="single" w:sz="4" w:space="0" w:color="auto"/>
            </w:tcBorders>
            <w:shd w:val="clear" w:color="auto" w:fill="auto"/>
            <w:noWrap/>
            <w:vAlign w:val="center"/>
            <w:hideMark/>
          </w:tcPr>
          <w:p w14:paraId="7ED5BEE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-1,75 </w:t>
            </w:r>
          </w:p>
        </w:tc>
        <w:tc>
          <w:tcPr>
            <w:tcW w:w="680" w:type="dxa"/>
            <w:tcBorders>
              <w:top w:val="nil"/>
              <w:left w:val="nil"/>
              <w:bottom w:val="single" w:sz="4" w:space="0" w:color="auto"/>
              <w:right w:val="single" w:sz="4" w:space="0" w:color="auto"/>
            </w:tcBorders>
            <w:shd w:val="clear" w:color="auto" w:fill="auto"/>
            <w:noWrap/>
            <w:vAlign w:val="center"/>
            <w:hideMark/>
          </w:tcPr>
          <w:p w14:paraId="690992F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-1,45 </w:t>
            </w:r>
          </w:p>
        </w:tc>
        <w:tc>
          <w:tcPr>
            <w:tcW w:w="680" w:type="dxa"/>
            <w:tcBorders>
              <w:top w:val="nil"/>
              <w:left w:val="nil"/>
              <w:bottom w:val="single" w:sz="4" w:space="0" w:color="auto"/>
              <w:right w:val="single" w:sz="4" w:space="0" w:color="auto"/>
            </w:tcBorders>
            <w:shd w:val="clear" w:color="auto" w:fill="auto"/>
            <w:noWrap/>
            <w:vAlign w:val="center"/>
            <w:hideMark/>
          </w:tcPr>
          <w:p w14:paraId="2F57C8B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-1,30 </w:t>
            </w:r>
          </w:p>
        </w:tc>
        <w:tc>
          <w:tcPr>
            <w:tcW w:w="680" w:type="dxa"/>
            <w:tcBorders>
              <w:top w:val="nil"/>
              <w:left w:val="nil"/>
              <w:bottom w:val="single" w:sz="4" w:space="0" w:color="auto"/>
              <w:right w:val="single" w:sz="4" w:space="0" w:color="auto"/>
            </w:tcBorders>
            <w:shd w:val="clear" w:color="auto" w:fill="auto"/>
            <w:noWrap/>
            <w:vAlign w:val="center"/>
            <w:hideMark/>
          </w:tcPr>
          <w:p w14:paraId="55BB52F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-0,80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0E6BBD8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-0,44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5653BDE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-0,29 </w:t>
            </w:r>
          </w:p>
        </w:tc>
        <w:tc>
          <w:tcPr>
            <w:tcW w:w="1757" w:type="dxa"/>
            <w:tcBorders>
              <w:top w:val="nil"/>
              <w:left w:val="nil"/>
              <w:bottom w:val="single" w:sz="4" w:space="0" w:color="auto"/>
              <w:right w:val="single" w:sz="4" w:space="0" w:color="auto"/>
            </w:tcBorders>
            <w:vAlign w:val="center"/>
          </w:tcPr>
          <w:p w14:paraId="65A97EDD"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Marjinal Sınırda</w:t>
            </w:r>
          </w:p>
        </w:tc>
      </w:tr>
      <w:tr w:rsidR="00164238" w:rsidRPr="00164238" w14:paraId="467E2376"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490405DE"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17</w:t>
            </w:r>
          </w:p>
        </w:tc>
        <w:tc>
          <w:tcPr>
            <w:tcW w:w="680" w:type="dxa"/>
            <w:tcBorders>
              <w:top w:val="nil"/>
              <w:left w:val="nil"/>
              <w:bottom w:val="single" w:sz="4" w:space="0" w:color="auto"/>
              <w:right w:val="single" w:sz="4" w:space="0" w:color="auto"/>
            </w:tcBorders>
            <w:shd w:val="clear" w:color="auto" w:fill="auto"/>
            <w:noWrap/>
            <w:vAlign w:val="center"/>
            <w:hideMark/>
          </w:tcPr>
          <w:p w14:paraId="3A61EE1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-1,51</w:t>
            </w:r>
          </w:p>
        </w:tc>
        <w:tc>
          <w:tcPr>
            <w:tcW w:w="680" w:type="dxa"/>
            <w:tcBorders>
              <w:top w:val="nil"/>
              <w:left w:val="nil"/>
              <w:bottom w:val="single" w:sz="4" w:space="0" w:color="auto"/>
              <w:right w:val="single" w:sz="4" w:space="0" w:color="auto"/>
            </w:tcBorders>
            <w:shd w:val="clear" w:color="auto" w:fill="auto"/>
            <w:noWrap/>
            <w:vAlign w:val="center"/>
            <w:hideMark/>
          </w:tcPr>
          <w:p w14:paraId="59F6C28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-1,59</w:t>
            </w:r>
          </w:p>
        </w:tc>
        <w:tc>
          <w:tcPr>
            <w:tcW w:w="680" w:type="dxa"/>
            <w:tcBorders>
              <w:top w:val="nil"/>
              <w:left w:val="nil"/>
              <w:bottom w:val="single" w:sz="4" w:space="0" w:color="auto"/>
              <w:right w:val="single" w:sz="4" w:space="0" w:color="auto"/>
            </w:tcBorders>
            <w:shd w:val="clear" w:color="auto" w:fill="auto"/>
            <w:noWrap/>
            <w:vAlign w:val="center"/>
            <w:hideMark/>
          </w:tcPr>
          <w:p w14:paraId="6A92031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-1,44</w:t>
            </w:r>
          </w:p>
        </w:tc>
        <w:tc>
          <w:tcPr>
            <w:tcW w:w="680" w:type="dxa"/>
            <w:tcBorders>
              <w:top w:val="nil"/>
              <w:left w:val="nil"/>
              <w:bottom w:val="single" w:sz="4" w:space="0" w:color="auto"/>
              <w:right w:val="single" w:sz="4" w:space="0" w:color="auto"/>
            </w:tcBorders>
            <w:shd w:val="clear" w:color="auto" w:fill="auto"/>
            <w:noWrap/>
            <w:vAlign w:val="center"/>
            <w:hideMark/>
          </w:tcPr>
          <w:p w14:paraId="7E8D9D2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-1,37</w:t>
            </w:r>
          </w:p>
        </w:tc>
        <w:tc>
          <w:tcPr>
            <w:tcW w:w="680" w:type="dxa"/>
            <w:tcBorders>
              <w:top w:val="nil"/>
              <w:left w:val="nil"/>
              <w:bottom w:val="single" w:sz="4" w:space="0" w:color="auto"/>
              <w:right w:val="single" w:sz="4" w:space="0" w:color="auto"/>
            </w:tcBorders>
            <w:shd w:val="clear" w:color="auto" w:fill="auto"/>
            <w:noWrap/>
            <w:vAlign w:val="center"/>
            <w:hideMark/>
          </w:tcPr>
          <w:p w14:paraId="19D422B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-1,40</w:t>
            </w:r>
          </w:p>
        </w:tc>
        <w:tc>
          <w:tcPr>
            <w:tcW w:w="680" w:type="dxa"/>
            <w:tcBorders>
              <w:top w:val="nil"/>
              <w:left w:val="nil"/>
              <w:bottom w:val="single" w:sz="4" w:space="0" w:color="auto"/>
              <w:right w:val="single" w:sz="4" w:space="0" w:color="auto"/>
            </w:tcBorders>
            <w:shd w:val="clear" w:color="auto" w:fill="auto"/>
            <w:noWrap/>
            <w:vAlign w:val="center"/>
            <w:hideMark/>
          </w:tcPr>
          <w:p w14:paraId="7A45808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-1,38</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575FB88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-1,57</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0E36904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-1,33</w:t>
            </w:r>
          </w:p>
        </w:tc>
        <w:tc>
          <w:tcPr>
            <w:tcW w:w="1757" w:type="dxa"/>
            <w:tcBorders>
              <w:top w:val="nil"/>
              <w:left w:val="nil"/>
              <w:bottom w:val="single" w:sz="4" w:space="0" w:color="auto"/>
              <w:right w:val="single" w:sz="4" w:space="0" w:color="auto"/>
            </w:tcBorders>
            <w:vAlign w:val="center"/>
          </w:tcPr>
          <w:p w14:paraId="5E498B9E"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Dezavantajlı</w:t>
            </w:r>
          </w:p>
        </w:tc>
      </w:tr>
      <w:tr w:rsidR="00164238" w:rsidRPr="00164238" w14:paraId="6016B8B3"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70233164"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b/>
                <w:bCs/>
                <w:color w:val="000000" w:themeColor="text1"/>
              </w:rPr>
              <w:t>18</w:t>
            </w:r>
          </w:p>
        </w:tc>
        <w:tc>
          <w:tcPr>
            <w:tcW w:w="680" w:type="dxa"/>
            <w:tcBorders>
              <w:top w:val="nil"/>
              <w:left w:val="nil"/>
              <w:bottom w:val="single" w:sz="4" w:space="0" w:color="auto"/>
              <w:right w:val="single" w:sz="4" w:space="0" w:color="auto"/>
            </w:tcBorders>
            <w:shd w:val="clear" w:color="auto" w:fill="auto"/>
            <w:noWrap/>
            <w:vAlign w:val="center"/>
            <w:hideMark/>
          </w:tcPr>
          <w:p w14:paraId="112ACD2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-1,45 </w:t>
            </w:r>
          </w:p>
        </w:tc>
        <w:tc>
          <w:tcPr>
            <w:tcW w:w="680" w:type="dxa"/>
            <w:tcBorders>
              <w:top w:val="nil"/>
              <w:left w:val="nil"/>
              <w:bottom w:val="single" w:sz="4" w:space="0" w:color="auto"/>
              <w:right w:val="single" w:sz="4" w:space="0" w:color="auto"/>
            </w:tcBorders>
            <w:shd w:val="clear" w:color="auto" w:fill="auto"/>
            <w:noWrap/>
            <w:vAlign w:val="center"/>
            <w:hideMark/>
          </w:tcPr>
          <w:p w14:paraId="320C31F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-0,87 </w:t>
            </w:r>
          </w:p>
        </w:tc>
        <w:tc>
          <w:tcPr>
            <w:tcW w:w="680" w:type="dxa"/>
            <w:tcBorders>
              <w:top w:val="nil"/>
              <w:left w:val="nil"/>
              <w:bottom w:val="single" w:sz="4" w:space="0" w:color="auto"/>
              <w:right w:val="single" w:sz="4" w:space="0" w:color="auto"/>
            </w:tcBorders>
            <w:shd w:val="clear" w:color="auto" w:fill="auto"/>
            <w:noWrap/>
            <w:vAlign w:val="center"/>
            <w:hideMark/>
          </w:tcPr>
          <w:p w14:paraId="18E4EB4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-0,73 </w:t>
            </w:r>
          </w:p>
        </w:tc>
        <w:tc>
          <w:tcPr>
            <w:tcW w:w="680" w:type="dxa"/>
            <w:tcBorders>
              <w:top w:val="nil"/>
              <w:left w:val="nil"/>
              <w:bottom w:val="single" w:sz="4" w:space="0" w:color="auto"/>
              <w:right w:val="single" w:sz="4" w:space="0" w:color="auto"/>
            </w:tcBorders>
            <w:shd w:val="clear" w:color="auto" w:fill="auto"/>
            <w:noWrap/>
            <w:vAlign w:val="center"/>
            <w:hideMark/>
          </w:tcPr>
          <w:p w14:paraId="2122DEE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-0,87 </w:t>
            </w:r>
          </w:p>
        </w:tc>
        <w:tc>
          <w:tcPr>
            <w:tcW w:w="680" w:type="dxa"/>
            <w:tcBorders>
              <w:top w:val="nil"/>
              <w:left w:val="nil"/>
              <w:bottom w:val="single" w:sz="4" w:space="0" w:color="auto"/>
              <w:right w:val="single" w:sz="4" w:space="0" w:color="auto"/>
            </w:tcBorders>
            <w:shd w:val="clear" w:color="auto" w:fill="auto"/>
            <w:noWrap/>
            <w:vAlign w:val="center"/>
            <w:hideMark/>
          </w:tcPr>
          <w:p w14:paraId="51CD40A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-0,54 </w:t>
            </w:r>
          </w:p>
        </w:tc>
        <w:tc>
          <w:tcPr>
            <w:tcW w:w="680" w:type="dxa"/>
            <w:tcBorders>
              <w:top w:val="nil"/>
              <w:left w:val="nil"/>
              <w:bottom w:val="single" w:sz="4" w:space="0" w:color="auto"/>
              <w:right w:val="single" w:sz="4" w:space="0" w:color="auto"/>
            </w:tcBorders>
            <w:shd w:val="clear" w:color="auto" w:fill="auto"/>
            <w:noWrap/>
            <w:vAlign w:val="center"/>
            <w:hideMark/>
          </w:tcPr>
          <w:p w14:paraId="4A35CAC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-0,72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0CB180D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-0,69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10A8DA0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-0,43 </w:t>
            </w:r>
          </w:p>
        </w:tc>
        <w:tc>
          <w:tcPr>
            <w:tcW w:w="1757" w:type="dxa"/>
            <w:tcBorders>
              <w:top w:val="nil"/>
              <w:left w:val="nil"/>
              <w:bottom w:val="single" w:sz="4" w:space="0" w:color="auto"/>
              <w:right w:val="single" w:sz="4" w:space="0" w:color="auto"/>
            </w:tcBorders>
            <w:vAlign w:val="center"/>
          </w:tcPr>
          <w:p w14:paraId="38C1062D"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b/>
                <w:bCs/>
                <w:color w:val="000000" w:themeColor="text1"/>
              </w:rPr>
              <w:t>Marjinal Sınırda</w:t>
            </w:r>
          </w:p>
        </w:tc>
      </w:tr>
      <w:tr w:rsidR="00164238" w:rsidRPr="00164238" w14:paraId="597A60FE"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62B88863"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b/>
                <w:bCs/>
                <w:color w:val="000000" w:themeColor="text1"/>
              </w:rPr>
              <w:t>19</w:t>
            </w:r>
          </w:p>
        </w:tc>
        <w:tc>
          <w:tcPr>
            <w:tcW w:w="680" w:type="dxa"/>
            <w:tcBorders>
              <w:top w:val="nil"/>
              <w:left w:val="nil"/>
              <w:bottom w:val="single" w:sz="4" w:space="0" w:color="auto"/>
              <w:right w:val="single" w:sz="4" w:space="0" w:color="auto"/>
            </w:tcBorders>
            <w:shd w:val="clear" w:color="auto" w:fill="auto"/>
            <w:noWrap/>
            <w:vAlign w:val="center"/>
            <w:hideMark/>
          </w:tcPr>
          <w:p w14:paraId="5C55243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-0,41 </w:t>
            </w:r>
          </w:p>
        </w:tc>
        <w:tc>
          <w:tcPr>
            <w:tcW w:w="680" w:type="dxa"/>
            <w:tcBorders>
              <w:top w:val="nil"/>
              <w:left w:val="nil"/>
              <w:bottom w:val="single" w:sz="4" w:space="0" w:color="auto"/>
              <w:right w:val="single" w:sz="4" w:space="0" w:color="auto"/>
            </w:tcBorders>
            <w:shd w:val="clear" w:color="auto" w:fill="auto"/>
            <w:noWrap/>
            <w:vAlign w:val="center"/>
            <w:hideMark/>
          </w:tcPr>
          <w:p w14:paraId="495C360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-0,98 </w:t>
            </w:r>
          </w:p>
        </w:tc>
        <w:tc>
          <w:tcPr>
            <w:tcW w:w="680" w:type="dxa"/>
            <w:tcBorders>
              <w:top w:val="nil"/>
              <w:left w:val="nil"/>
              <w:bottom w:val="single" w:sz="4" w:space="0" w:color="auto"/>
              <w:right w:val="single" w:sz="4" w:space="0" w:color="auto"/>
            </w:tcBorders>
            <w:shd w:val="clear" w:color="auto" w:fill="auto"/>
            <w:noWrap/>
            <w:vAlign w:val="center"/>
            <w:hideMark/>
          </w:tcPr>
          <w:p w14:paraId="7191FD7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-0,82 </w:t>
            </w:r>
          </w:p>
        </w:tc>
        <w:tc>
          <w:tcPr>
            <w:tcW w:w="680" w:type="dxa"/>
            <w:tcBorders>
              <w:top w:val="nil"/>
              <w:left w:val="nil"/>
              <w:bottom w:val="single" w:sz="4" w:space="0" w:color="auto"/>
              <w:right w:val="single" w:sz="4" w:space="0" w:color="auto"/>
            </w:tcBorders>
            <w:shd w:val="clear" w:color="auto" w:fill="auto"/>
            <w:noWrap/>
            <w:vAlign w:val="center"/>
            <w:hideMark/>
          </w:tcPr>
          <w:p w14:paraId="08B5A44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-1,12 </w:t>
            </w:r>
          </w:p>
        </w:tc>
        <w:tc>
          <w:tcPr>
            <w:tcW w:w="680" w:type="dxa"/>
            <w:tcBorders>
              <w:top w:val="nil"/>
              <w:left w:val="nil"/>
              <w:bottom w:val="single" w:sz="4" w:space="0" w:color="auto"/>
              <w:right w:val="single" w:sz="4" w:space="0" w:color="auto"/>
            </w:tcBorders>
            <w:shd w:val="clear" w:color="auto" w:fill="auto"/>
            <w:noWrap/>
            <w:vAlign w:val="center"/>
            <w:hideMark/>
          </w:tcPr>
          <w:p w14:paraId="3B6C474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-1,08 </w:t>
            </w:r>
          </w:p>
        </w:tc>
        <w:tc>
          <w:tcPr>
            <w:tcW w:w="680" w:type="dxa"/>
            <w:tcBorders>
              <w:top w:val="nil"/>
              <w:left w:val="nil"/>
              <w:bottom w:val="single" w:sz="4" w:space="0" w:color="auto"/>
              <w:right w:val="single" w:sz="4" w:space="0" w:color="auto"/>
            </w:tcBorders>
            <w:shd w:val="clear" w:color="auto" w:fill="auto"/>
            <w:noWrap/>
            <w:vAlign w:val="center"/>
            <w:hideMark/>
          </w:tcPr>
          <w:p w14:paraId="43F768E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-0,56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058128C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0,28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470674F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0,04 </w:t>
            </w:r>
          </w:p>
        </w:tc>
        <w:tc>
          <w:tcPr>
            <w:tcW w:w="1757" w:type="dxa"/>
            <w:tcBorders>
              <w:top w:val="nil"/>
              <w:left w:val="nil"/>
              <w:bottom w:val="single" w:sz="4" w:space="0" w:color="auto"/>
              <w:right w:val="single" w:sz="4" w:space="0" w:color="auto"/>
            </w:tcBorders>
            <w:vAlign w:val="center"/>
          </w:tcPr>
          <w:p w14:paraId="5DC13E28"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Marjinal Sınırda</w:t>
            </w:r>
          </w:p>
        </w:tc>
      </w:tr>
      <w:tr w:rsidR="00164238" w:rsidRPr="00164238" w14:paraId="079E7230"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46E7CFA8"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w:t>
            </w:r>
          </w:p>
        </w:tc>
        <w:tc>
          <w:tcPr>
            <w:tcW w:w="680" w:type="dxa"/>
            <w:tcBorders>
              <w:top w:val="nil"/>
              <w:left w:val="nil"/>
              <w:bottom w:val="single" w:sz="4" w:space="0" w:color="auto"/>
              <w:right w:val="single" w:sz="4" w:space="0" w:color="auto"/>
            </w:tcBorders>
            <w:shd w:val="clear" w:color="auto" w:fill="auto"/>
            <w:noWrap/>
            <w:vAlign w:val="center"/>
            <w:hideMark/>
          </w:tcPr>
          <w:p w14:paraId="461642A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-1,38 </w:t>
            </w:r>
          </w:p>
        </w:tc>
        <w:tc>
          <w:tcPr>
            <w:tcW w:w="680" w:type="dxa"/>
            <w:tcBorders>
              <w:top w:val="nil"/>
              <w:left w:val="nil"/>
              <w:bottom w:val="single" w:sz="4" w:space="0" w:color="auto"/>
              <w:right w:val="single" w:sz="4" w:space="0" w:color="auto"/>
            </w:tcBorders>
            <w:shd w:val="clear" w:color="auto" w:fill="auto"/>
            <w:noWrap/>
            <w:vAlign w:val="center"/>
            <w:hideMark/>
          </w:tcPr>
          <w:p w14:paraId="5F07428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-1,40 </w:t>
            </w:r>
          </w:p>
        </w:tc>
        <w:tc>
          <w:tcPr>
            <w:tcW w:w="680" w:type="dxa"/>
            <w:tcBorders>
              <w:top w:val="nil"/>
              <w:left w:val="nil"/>
              <w:bottom w:val="single" w:sz="4" w:space="0" w:color="auto"/>
              <w:right w:val="single" w:sz="4" w:space="0" w:color="auto"/>
            </w:tcBorders>
            <w:shd w:val="clear" w:color="auto" w:fill="auto"/>
            <w:noWrap/>
            <w:vAlign w:val="center"/>
            <w:hideMark/>
          </w:tcPr>
          <w:p w14:paraId="3491052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-1,29 </w:t>
            </w:r>
          </w:p>
        </w:tc>
        <w:tc>
          <w:tcPr>
            <w:tcW w:w="680" w:type="dxa"/>
            <w:tcBorders>
              <w:top w:val="nil"/>
              <w:left w:val="nil"/>
              <w:bottom w:val="single" w:sz="4" w:space="0" w:color="auto"/>
              <w:right w:val="single" w:sz="4" w:space="0" w:color="auto"/>
            </w:tcBorders>
            <w:shd w:val="clear" w:color="auto" w:fill="auto"/>
            <w:noWrap/>
            <w:vAlign w:val="center"/>
            <w:hideMark/>
          </w:tcPr>
          <w:p w14:paraId="3A803CA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-1,40 </w:t>
            </w:r>
          </w:p>
        </w:tc>
        <w:tc>
          <w:tcPr>
            <w:tcW w:w="680" w:type="dxa"/>
            <w:tcBorders>
              <w:top w:val="nil"/>
              <w:left w:val="nil"/>
              <w:bottom w:val="single" w:sz="4" w:space="0" w:color="auto"/>
              <w:right w:val="single" w:sz="4" w:space="0" w:color="auto"/>
            </w:tcBorders>
            <w:shd w:val="clear" w:color="auto" w:fill="auto"/>
            <w:noWrap/>
            <w:vAlign w:val="center"/>
            <w:hideMark/>
          </w:tcPr>
          <w:p w14:paraId="64A4B4E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-1,40 </w:t>
            </w:r>
          </w:p>
        </w:tc>
        <w:tc>
          <w:tcPr>
            <w:tcW w:w="680" w:type="dxa"/>
            <w:tcBorders>
              <w:top w:val="nil"/>
              <w:left w:val="nil"/>
              <w:bottom w:val="single" w:sz="4" w:space="0" w:color="auto"/>
              <w:right w:val="single" w:sz="4" w:space="0" w:color="auto"/>
            </w:tcBorders>
            <w:shd w:val="clear" w:color="auto" w:fill="auto"/>
            <w:noWrap/>
            <w:vAlign w:val="center"/>
            <w:hideMark/>
          </w:tcPr>
          <w:p w14:paraId="1DBDE08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-1,45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185AB11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-1,39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6A48C5B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-1,21 </w:t>
            </w:r>
          </w:p>
        </w:tc>
        <w:tc>
          <w:tcPr>
            <w:tcW w:w="1757" w:type="dxa"/>
            <w:tcBorders>
              <w:top w:val="nil"/>
              <w:left w:val="nil"/>
              <w:bottom w:val="single" w:sz="4" w:space="0" w:color="auto"/>
              <w:right w:val="single" w:sz="4" w:space="0" w:color="auto"/>
            </w:tcBorders>
            <w:vAlign w:val="center"/>
          </w:tcPr>
          <w:p w14:paraId="04D55805"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Dezavantajlı</w:t>
            </w:r>
          </w:p>
        </w:tc>
      </w:tr>
      <w:tr w:rsidR="00164238" w:rsidRPr="00164238" w14:paraId="3EAED945"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648F6205"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21</w:t>
            </w:r>
          </w:p>
        </w:tc>
        <w:tc>
          <w:tcPr>
            <w:tcW w:w="680" w:type="dxa"/>
            <w:tcBorders>
              <w:top w:val="nil"/>
              <w:left w:val="nil"/>
              <w:bottom w:val="single" w:sz="4" w:space="0" w:color="auto"/>
              <w:right w:val="single" w:sz="4" w:space="0" w:color="auto"/>
            </w:tcBorders>
            <w:shd w:val="clear" w:color="auto" w:fill="auto"/>
            <w:noWrap/>
            <w:vAlign w:val="center"/>
            <w:hideMark/>
          </w:tcPr>
          <w:p w14:paraId="6BB037B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-2,44 </w:t>
            </w:r>
          </w:p>
        </w:tc>
        <w:tc>
          <w:tcPr>
            <w:tcW w:w="680" w:type="dxa"/>
            <w:tcBorders>
              <w:top w:val="nil"/>
              <w:left w:val="nil"/>
              <w:bottom w:val="single" w:sz="4" w:space="0" w:color="auto"/>
              <w:right w:val="single" w:sz="4" w:space="0" w:color="auto"/>
            </w:tcBorders>
            <w:shd w:val="clear" w:color="auto" w:fill="auto"/>
            <w:noWrap/>
            <w:vAlign w:val="center"/>
            <w:hideMark/>
          </w:tcPr>
          <w:p w14:paraId="6255BEB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-2,66 </w:t>
            </w:r>
          </w:p>
        </w:tc>
        <w:tc>
          <w:tcPr>
            <w:tcW w:w="680" w:type="dxa"/>
            <w:tcBorders>
              <w:top w:val="nil"/>
              <w:left w:val="nil"/>
              <w:bottom w:val="single" w:sz="4" w:space="0" w:color="auto"/>
              <w:right w:val="single" w:sz="4" w:space="0" w:color="auto"/>
            </w:tcBorders>
            <w:shd w:val="clear" w:color="auto" w:fill="auto"/>
            <w:noWrap/>
            <w:vAlign w:val="center"/>
            <w:hideMark/>
          </w:tcPr>
          <w:p w14:paraId="0E8279E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-2,68 </w:t>
            </w:r>
          </w:p>
        </w:tc>
        <w:tc>
          <w:tcPr>
            <w:tcW w:w="680" w:type="dxa"/>
            <w:tcBorders>
              <w:top w:val="nil"/>
              <w:left w:val="nil"/>
              <w:bottom w:val="single" w:sz="4" w:space="0" w:color="auto"/>
              <w:right w:val="single" w:sz="4" w:space="0" w:color="auto"/>
            </w:tcBorders>
            <w:shd w:val="clear" w:color="auto" w:fill="auto"/>
            <w:noWrap/>
            <w:vAlign w:val="center"/>
            <w:hideMark/>
          </w:tcPr>
          <w:p w14:paraId="3E8A68D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-2,72 </w:t>
            </w:r>
          </w:p>
        </w:tc>
        <w:tc>
          <w:tcPr>
            <w:tcW w:w="680" w:type="dxa"/>
            <w:tcBorders>
              <w:top w:val="nil"/>
              <w:left w:val="nil"/>
              <w:bottom w:val="single" w:sz="4" w:space="0" w:color="auto"/>
              <w:right w:val="single" w:sz="4" w:space="0" w:color="auto"/>
            </w:tcBorders>
            <w:shd w:val="clear" w:color="auto" w:fill="auto"/>
            <w:noWrap/>
            <w:vAlign w:val="center"/>
            <w:hideMark/>
          </w:tcPr>
          <w:p w14:paraId="5EE480C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-2,77 </w:t>
            </w:r>
          </w:p>
        </w:tc>
        <w:tc>
          <w:tcPr>
            <w:tcW w:w="680" w:type="dxa"/>
            <w:tcBorders>
              <w:top w:val="nil"/>
              <w:left w:val="nil"/>
              <w:bottom w:val="single" w:sz="4" w:space="0" w:color="auto"/>
              <w:right w:val="single" w:sz="4" w:space="0" w:color="auto"/>
            </w:tcBorders>
            <w:shd w:val="clear" w:color="auto" w:fill="auto"/>
            <w:noWrap/>
            <w:vAlign w:val="center"/>
            <w:hideMark/>
          </w:tcPr>
          <w:p w14:paraId="7F2D447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-2,78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06A91BF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-2,83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20A3BC1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-2,48 </w:t>
            </w:r>
          </w:p>
        </w:tc>
        <w:tc>
          <w:tcPr>
            <w:tcW w:w="1757" w:type="dxa"/>
            <w:tcBorders>
              <w:top w:val="nil"/>
              <w:left w:val="nil"/>
              <w:bottom w:val="single" w:sz="4" w:space="0" w:color="auto"/>
              <w:right w:val="single" w:sz="4" w:space="0" w:color="auto"/>
            </w:tcBorders>
            <w:vAlign w:val="center"/>
          </w:tcPr>
          <w:p w14:paraId="44745A09"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Dezavantajlı</w:t>
            </w:r>
          </w:p>
        </w:tc>
      </w:tr>
      <w:tr w:rsidR="00164238" w:rsidRPr="00164238" w14:paraId="46CD4B82"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54D20947"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22</w:t>
            </w:r>
          </w:p>
        </w:tc>
        <w:tc>
          <w:tcPr>
            <w:tcW w:w="680" w:type="dxa"/>
            <w:tcBorders>
              <w:top w:val="nil"/>
              <w:left w:val="nil"/>
              <w:bottom w:val="single" w:sz="4" w:space="0" w:color="auto"/>
              <w:right w:val="single" w:sz="4" w:space="0" w:color="auto"/>
            </w:tcBorders>
            <w:shd w:val="clear" w:color="auto" w:fill="auto"/>
            <w:noWrap/>
            <w:vAlign w:val="center"/>
            <w:hideMark/>
          </w:tcPr>
          <w:p w14:paraId="18BAC12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0,43 </w:t>
            </w:r>
          </w:p>
        </w:tc>
        <w:tc>
          <w:tcPr>
            <w:tcW w:w="680" w:type="dxa"/>
            <w:tcBorders>
              <w:top w:val="nil"/>
              <w:left w:val="nil"/>
              <w:bottom w:val="single" w:sz="4" w:space="0" w:color="auto"/>
              <w:right w:val="single" w:sz="4" w:space="0" w:color="auto"/>
            </w:tcBorders>
            <w:shd w:val="clear" w:color="auto" w:fill="auto"/>
            <w:noWrap/>
            <w:vAlign w:val="center"/>
            <w:hideMark/>
          </w:tcPr>
          <w:p w14:paraId="4F90151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0,42 </w:t>
            </w:r>
          </w:p>
        </w:tc>
        <w:tc>
          <w:tcPr>
            <w:tcW w:w="680" w:type="dxa"/>
            <w:tcBorders>
              <w:top w:val="nil"/>
              <w:left w:val="nil"/>
              <w:bottom w:val="single" w:sz="4" w:space="0" w:color="auto"/>
              <w:right w:val="single" w:sz="4" w:space="0" w:color="auto"/>
            </w:tcBorders>
            <w:shd w:val="clear" w:color="auto" w:fill="auto"/>
            <w:noWrap/>
            <w:vAlign w:val="center"/>
            <w:hideMark/>
          </w:tcPr>
          <w:p w14:paraId="6586B24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0,34 </w:t>
            </w:r>
          </w:p>
        </w:tc>
        <w:tc>
          <w:tcPr>
            <w:tcW w:w="680" w:type="dxa"/>
            <w:tcBorders>
              <w:top w:val="nil"/>
              <w:left w:val="nil"/>
              <w:bottom w:val="single" w:sz="4" w:space="0" w:color="auto"/>
              <w:right w:val="single" w:sz="4" w:space="0" w:color="auto"/>
            </w:tcBorders>
            <w:shd w:val="clear" w:color="auto" w:fill="auto"/>
            <w:noWrap/>
            <w:vAlign w:val="center"/>
            <w:hideMark/>
          </w:tcPr>
          <w:p w14:paraId="7B7154B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0,29 </w:t>
            </w:r>
          </w:p>
        </w:tc>
        <w:tc>
          <w:tcPr>
            <w:tcW w:w="680" w:type="dxa"/>
            <w:tcBorders>
              <w:top w:val="nil"/>
              <w:left w:val="nil"/>
              <w:bottom w:val="single" w:sz="4" w:space="0" w:color="auto"/>
              <w:right w:val="single" w:sz="4" w:space="0" w:color="auto"/>
            </w:tcBorders>
            <w:shd w:val="clear" w:color="auto" w:fill="auto"/>
            <w:noWrap/>
            <w:vAlign w:val="center"/>
            <w:hideMark/>
          </w:tcPr>
          <w:p w14:paraId="45CB8F9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0,26 </w:t>
            </w:r>
          </w:p>
        </w:tc>
        <w:tc>
          <w:tcPr>
            <w:tcW w:w="680" w:type="dxa"/>
            <w:tcBorders>
              <w:top w:val="nil"/>
              <w:left w:val="nil"/>
              <w:bottom w:val="single" w:sz="4" w:space="0" w:color="auto"/>
              <w:right w:val="single" w:sz="4" w:space="0" w:color="auto"/>
            </w:tcBorders>
            <w:shd w:val="clear" w:color="auto" w:fill="auto"/>
            <w:noWrap/>
            <w:vAlign w:val="center"/>
            <w:hideMark/>
          </w:tcPr>
          <w:p w14:paraId="2D4FE2E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0,21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6CC186D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0,12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575F0A1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0,29 </w:t>
            </w:r>
          </w:p>
        </w:tc>
        <w:tc>
          <w:tcPr>
            <w:tcW w:w="1757" w:type="dxa"/>
            <w:tcBorders>
              <w:top w:val="nil"/>
              <w:left w:val="nil"/>
              <w:bottom w:val="single" w:sz="4" w:space="0" w:color="auto"/>
              <w:right w:val="single" w:sz="4" w:space="0" w:color="auto"/>
            </w:tcBorders>
            <w:vAlign w:val="center"/>
          </w:tcPr>
          <w:p w14:paraId="741438A0"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Marjinal Sınırda</w:t>
            </w:r>
          </w:p>
        </w:tc>
      </w:tr>
      <w:tr w:rsidR="00164238" w:rsidRPr="00164238" w14:paraId="56C40D9E"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4CD69DF5"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b/>
                <w:bCs/>
                <w:color w:val="000000" w:themeColor="text1"/>
              </w:rPr>
              <w:t>23</w:t>
            </w:r>
          </w:p>
        </w:tc>
        <w:tc>
          <w:tcPr>
            <w:tcW w:w="680" w:type="dxa"/>
            <w:tcBorders>
              <w:top w:val="nil"/>
              <w:left w:val="nil"/>
              <w:bottom w:val="single" w:sz="4" w:space="0" w:color="auto"/>
              <w:right w:val="single" w:sz="4" w:space="0" w:color="auto"/>
            </w:tcBorders>
            <w:shd w:val="clear" w:color="auto" w:fill="auto"/>
            <w:noWrap/>
            <w:vAlign w:val="center"/>
            <w:hideMark/>
          </w:tcPr>
          <w:p w14:paraId="607690C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0,55 </w:t>
            </w:r>
          </w:p>
        </w:tc>
        <w:tc>
          <w:tcPr>
            <w:tcW w:w="680" w:type="dxa"/>
            <w:tcBorders>
              <w:top w:val="nil"/>
              <w:left w:val="nil"/>
              <w:bottom w:val="single" w:sz="4" w:space="0" w:color="auto"/>
              <w:right w:val="single" w:sz="4" w:space="0" w:color="auto"/>
            </w:tcBorders>
            <w:shd w:val="clear" w:color="auto" w:fill="auto"/>
            <w:noWrap/>
            <w:vAlign w:val="center"/>
            <w:hideMark/>
          </w:tcPr>
          <w:p w14:paraId="3F9CF4C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0,45 </w:t>
            </w:r>
          </w:p>
        </w:tc>
        <w:tc>
          <w:tcPr>
            <w:tcW w:w="680" w:type="dxa"/>
            <w:tcBorders>
              <w:top w:val="nil"/>
              <w:left w:val="nil"/>
              <w:bottom w:val="single" w:sz="4" w:space="0" w:color="auto"/>
              <w:right w:val="single" w:sz="4" w:space="0" w:color="auto"/>
            </w:tcBorders>
            <w:shd w:val="clear" w:color="auto" w:fill="auto"/>
            <w:noWrap/>
            <w:vAlign w:val="center"/>
            <w:hideMark/>
          </w:tcPr>
          <w:p w14:paraId="0367C2B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0,53 </w:t>
            </w:r>
          </w:p>
        </w:tc>
        <w:tc>
          <w:tcPr>
            <w:tcW w:w="680" w:type="dxa"/>
            <w:tcBorders>
              <w:top w:val="nil"/>
              <w:left w:val="nil"/>
              <w:bottom w:val="single" w:sz="4" w:space="0" w:color="auto"/>
              <w:right w:val="single" w:sz="4" w:space="0" w:color="auto"/>
            </w:tcBorders>
            <w:shd w:val="clear" w:color="auto" w:fill="auto"/>
            <w:noWrap/>
            <w:vAlign w:val="center"/>
            <w:hideMark/>
          </w:tcPr>
          <w:p w14:paraId="3EA5144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0,47 </w:t>
            </w:r>
          </w:p>
        </w:tc>
        <w:tc>
          <w:tcPr>
            <w:tcW w:w="680" w:type="dxa"/>
            <w:tcBorders>
              <w:top w:val="nil"/>
              <w:left w:val="nil"/>
              <w:bottom w:val="single" w:sz="4" w:space="0" w:color="auto"/>
              <w:right w:val="single" w:sz="4" w:space="0" w:color="auto"/>
            </w:tcBorders>
            <w:shd w:val="clear" w:color="auto" w:fill="auto"/>
            <w:noWrap/>
            <w:vAlign w:val="center"/>
            <w:hideMark/>
          </w:tcPr>
          <w:p w14:paraId="5E08046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0,35 </w:t>
            </w:r>
          </w:p>
        </w:tc>
        <w:tc>
          <w:tcPr>
            <w:tcW w:w="680" w:type="dxa"/>
            <w:tcBorders>
              <w:top w:val="nil"/>
              <w:left w:val="nil"/>
              <w:bottom w:val="single" w:sz="4" w:space="0" w:color="auto"/>
              <w:right w:val="single" w:sz="4" w:space="0" w:color="auto"/>
            </w:tcBorders>
            <w:shd w:val="clear" w:color="auto" w:fill="auto"/>
            <w:noWrap/>
            <w:vAlign w:val="center"/>
            <w:hideMark/>
          </w:tcPr>
          <w:p w14:paraId="749D624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0,32 </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54D0BBA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0,43 </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66BBB86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0,55 </w:t>
            </w:r>
          </w:p>
        </w:tc>
        <w:tc>
          <w:tcPr>
            <w:tcW w:w="1757" w:type="dxa"/>
            <w:tcBorders>
              <w:top w:val="nil"/>
              <w:left w:val="nil"/>
              <w:bottom w:val="single" w:sz="4" w:space="0" w:color="auto"/>
              <w:right w:val="single" w:sz="4" w:space="0" w:color="auto"/>
            </w:tcBorders>
            <w:vAlign w:val="center"/>
          </w:tcPr>
          <w:p w14:paraId="4A9F27BB"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Advantajlı</w:t>
            </w:r>
          </w:p>
        </w:tc>
      </w:tr>
      <w:tr w:rsidR="00164238" w:rsidRPr="00164238" w14:paraId="1287DF2D"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3A4B5AB0"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24</w:t>
            </w:r>
          </w:p>
        </w:tc>
        <w:tc>
          <w:tcPr>
            <w:tcW w:w="680" w:type="dxa"/>
            <w:tcBorders>
              <w:top w:val="nil"/>
              <w:left w:val="nil"/>
              <w:bottom w:val="single" w:sz="4" w:space="0" w:color="auto"/>
              <w:right w:val="single" w:sz="4" w:space="0" w:color="auto"/>
            </w:tcBorders>
            <w:shd w:val="clear" w:color="auto" w:fill="auto"/>
            <w:noWrap/>
            <w:vAlign w:val="center"/>
            <w:hideMark/>
          </w:tcPr>
          <w:p w14:paraId="77E2E82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-0,34 </w:t>
            </w:r>
          </w:p>
        </w:tc>
        <w:tc>
          <w:tcPr>
            <w:tcW w:w="680" w:type="dxa"/>
            <w:tcBorders>
              <w:top w:val="nil"/>
              <w:left w:val="nil"/>
              <w:bottom w:val="single" w:sz="4" w:space="0" w:color="auto"/>
              <w:right w:val="single" w:sz="4" w:space="0" w:color="auto"/>
            </w:tcBorders>
            <w:shd w:val="clear" w:color="auto" w:fill="auto"/>
            <w:noWrap/>
            <w:vAlign w:val="center"/>
            <w:hideMark/>
          </w:tcPr>
          <w:p w14:paraId="56F2092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-0,42 </w:t>
            </w:r>
          </w:p>
        </w:tc>
        <w:tc>
          <w:tcPr>
            <w:tcW w:w="680" w:type="dxa"/>
            <w:tcBorders>
              <w:top w:val="nil"/>
              <w:left w:val="nil"/>
              <w:bottom w:val="single" w:sz="4" w:space="0" w:color="auto"/>
              <w:right w:val="single" w:sz="4" w:space="0" w:color="auto"/>
            </w:tcBorders>
            <w:shd w:val="clear" w:color="auto" w:fill="auto"/>
            <w:noWrap/>
            <w:vAlign w:val="center"/>
            <w:hideMark/>
          </w:tcPr>
          <w:p w14:paraId="1E56BC8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-0,36 </w:t>
            </w:r>
          </w:p>
        </w:tc>
        <w:tc>
          <w:tcPr>
            <w:tcW w:w="680" w:type="dxa"/>
            <w:tcBorders>
              <w:top w:val="nil"/>
              <w:left w:val="nil"/>
              <w:bottom w:val="single" w:sz="4" w:space="0" w:color="auto"/>
              <w:right w:val="single" w:sz="4" w:space="0" w:color="auto"/>
            </w:tcBorders>
            <w:shd w:val="clear" w:color="auto" w:fill="auto"/>
            <w:noWrap/>
            <w:vAlign w:val="center"/>
            <w:hideMark/>
          </w:tcPr>
          <w:p w14:paraId="008B048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-0,29 </w:t>
            </w:r>
          </w:p>
        </w:tc>
        <w:tc>
          <w:tcPr>
            <w:tcW w:w="680" w:type="dxa"/>
            <w:tcBorders>
              <w:top w:val="nil"/>
              <w:left w:val="nil"/>
              <w:bottom w:val="single" w:sz="4" w:space="0" w:color="auto"/>
              <w:right w:val="single" w:sz="4" w:space="0" w:color="auto"/>
            </w:tcBorders>
            <w:shd w:val="clear" w:color="auto" w:fill="auto"/>
            <w:noWrap/>
            <w:vAlign w:val="center"/>
            <w:hideMark/>
          </w:tcPr>
          <w:p w14:paraId="70384F3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-0,16 </w:t>
            </w:r>
          </w:p>
        </w:tc>
        <w:tc>
          <w:tcPr>
            <w:tcW w:w="680" w:type="dxa"/>
            <w:tcBorders>
              <w:top w:val="nil"/>
              <w:left w:val="nil"/>
              <w:bottom w:val="single" w:sz="4" w:space="0" w:color="auto"/>
              <w:right w:val="single" w:sz="4" w:space="0" w:color="auto"/>
            </w:tcBorders>
            <w:shd w:val="clear" w:color="auto" w:fill="auto"/>
            <w:noWrap/>
            <w:vAlign w:val="center"/>
            <w:hideMark/>
          </w:tcPr>
          <w:p w14:paraId="3B44752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0,10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4C4E718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-0,24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7866B35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-0,24 </w:t>
            </w:r>
          </w:p>
        </w:tc>
        <w:tc>
          <w:tcPr>
            <w:tcW w:w="1757" w:type="dxa"/>
            <w:tcBorders>
              <w:top w:val="nil"/>
              <w:left w:val="nil"/>
              <w:bottom w:val="single" w:sz="4" w:space="0" w:color="auto"/>
              <w:right w:val="single" w:sz="4" w:space="0" w:color="auto"/>
            </w:tcBorders>
            <w:vAlign w:val="center"/>
          </w:tcPr>
          <w:p w14:paraId="16FA11C1"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Marjinal Sınırda</w:t>
            </w:r>
          </w:p>
        </w:tc>
      </w:tr>
      <w:tr w:rsidR="00164238" w:rsidRPr="00164238" w14:paraId="43D9DEF9"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01896E75"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b/>
                <w:bCs/>
                <w:color w:val="000000" w:themeColor="text1"/>
              </w:rPr>
              <w:t>25</w:t>
            </w:r>
          </w:p>
        </w:tc>
        <w:tc>
          <w:tcPr>
            <w:tcW w:w="680" w:type="dxa"/>
            <w:tcBorders>
              <w:top w:val="nil"/>
              <w:left w:val="nil"/>
              <w:bottom w:val="single" w:sz="4" w:space="0" w:color="auto"/>
              <w:right w:val="single" w:sz="4" w:space="0" w:color="auto"/>
            </w:tcBorders>
            <w:shd w:val="clear" w:color="auto" w:fill="auto"/>
            <w:noWrap/>
            <w:vAlign w:val="center"/>
            <w:hideMark/>
          </w:tcPr>
          <w:p w14:paraId="105F3F5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0,32 </w:t>
            </w:r>
          </w:p>
        </w:tc>
        <w:tc>
          <w:tcPr>
            <w:tcW w:w="680" w:type="dxa"/>
            <w:tcBorders>
              <w:top w:val="nil"/>
              <w:left w:val="nil"/>
              <w:bottom w:val="single" w:sz="4" w:space="0" w:color="auto"/>
              <w:right w:val="single" w:sz="4" w:space="0" w:color="auto"/>
            </w:tcBorders>
            <w:shd w:val="clear" w:color="auto" w:fill="auto"/>
            <w:noWrap/>
            <w:vAlign w:val="center"/>
            <w:hideMark/>
          </w:tcPr>
          <w:p w14:paraId="310CE4D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0,42 </w:t>
            </w:r>
          </w:p>
        </w:tc>
        <w:tc>
          <w:tcPr>
            <w:tcW w:w="680" w:type="dxa"/>
            <w:tcBorders>
              <w:top w:val="nil"/>
              <w:left w:val="nil"/>
              <w:bottom w:val="single" w:sz="4" w:space="0" w:color="auto"/>
              <w:right w:val="single" w:sz="4" w:space="0" w:color="auto"/>
            </w:tcBorders>
            <w:shd w:val="clear" w:color="auto" w:fill="auto"/>
            <w:noWrap/>
            <w:vAlign w:val="center"/>
            <w:hideMark/>
          </w:tcPr>
          <w:p w14:paraId="56B3C5F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0,38 </w:t>
            </w:r>
          </w:p>
        </w:tc>
        <w:tc>
          <w:tcPr>
            <w:tcW w:w="680" w:type="dxa"/>
            <w:tcBorders>
              <w:top w:val="nil"/>
              <w:left w:val="nil"/>
              <w:bottom w:val="single" w:sz="4" w:space="0" w:color="auto"/>
              <w:right w:val="single" w:sz="4" w:space="0" w:color="auto"/>
            </w:tcBorders>
            <w:shd w:val="clear" w:color="auto" w:fill="auto"/>
            <w:noWrap/>
            <w:vAlign w:val="center"/>
            <w:hideMark/>
          </w:tcPr>
          <w:p w14:paraId="49BF4DB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0,29 </w:t>
            </w:r>
          </w:p>
        </w:tc>
        <w:tc>
          <w:tcPr>
            <w:tcW w:w="680" w:type="dxa"/>
            <w:tcBorders>
              <w:top w:val="nil"/>
              <w:left w:val="nil"/>
              <w:bottom w:val="single" w:sz="4" w:space="0" w:color="auto"/>
              <w:right w:val="single" w:sz="4" w:space="0" w:color="auto"/>
            </w:tcBorders>
            <w:shd w:val="clear" w:color="auto" w:fill="auto"/>
            <w:noWrap/>
            <w:vAlign w:val="center"/>
            <w:hideMark/>
          </w:tcPr>
          <w:p w14:paraId="4B16577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0,41 </w:t>
            </w:r>
          </w:p>
        </w:tc>
        <w:tc>
          <w:tcPr>
            <w:tcW w:w="680" w:type="dxa"/>
            <w:tcBorders>
              <w:top w:val="nil"/>
              <w:left w:val="nil"/>
              <w:bottom w:val="single" w:sz="4" w:space="0" w:color="auto"/>
              <w:right w:val="single" w:sz="4" w:space="0" w:color="auto"/>
            </w:tcBorders>
            <w:shd w:val="clear" w:color="auto" w:fill="auto"/>
            <w:noWrap/>
            <w:vAlign w:val="center"/>
            <w:hideMark/>
          </w:tcPr>
          <w:p w14:paraId="3326BAE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0,27 </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6FDD637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0,22 </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1B3CEE5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0,53 </w:t>
            </w:r>
          </w:p>
        </w:tc>
        <w:tc>
          <w:tcPr>
            <w:tcW w:w="1757" w:type="dxa"/>
            <w:tcBorders>
              <w:top w:val="nil"/>
              <w:left w:val="nil"/>
              <w:bottom w:val="single" w:sz="4" w:space="0" w:color="auto"/>
              <w:right w:val="single" w:sz="4" w:space="0" w:color="auto"/>
            </w:tcBorders>
            <w:vAlign w:val="center"/>
          </w:tcPr>
          <w:p w14:paraId="0B908F65"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Advantatajlı</w:t>
            </w:r>
          </w:p>
        </w:tc>
      </w:tr>
      <w:tr w:rsidR="00164238" w:rsidRPr="00164238" w14:paraId="23BF43D7"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184BC2A9"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b/>
                <w:bCs/>
                <w:color w:val="000000" w:themeColor="text1"/>
              </w:rPr>
              <w:t>26</w:t>
            </w:r>
          </w:p>
        </w:tc>
        <w:tc>
          <w:tcPr>
            <w:tcW w:w="680" w:type="dxa"/>
            <w:tcBorders>
              <w:top w:val="nil"/>
              <w:left w:val="nil"/>
              <w:bottom w:val="single" w:sz="4" w:space="0" w:color="auto"/>
              <w:right w:val="single" w:sz="4" w:space="0" w:color="auto"/>
            </w:tcBorders>
            <w:shd w:val="clear" w:color="auto" w:fill="auto"/>
            <w:noWrap/>
            <w:vAlign w:val="center"/>
            <w:hideMark/>
          </w:tcPr>
          <w:p w14:paraId="2D779CD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-0,29 </w:t>
            </w:r>
          </w:p>
        </w:tc>
        <w:tc>
          <w:tcPr>
            <w:tcW w:w="680" w:type="dxa"/>
            <w:tcBorders>
              <w:top w:val="nil"/>
              <w:left w:val="nil"/>
              <w:bottom w:val="single" w:sz="4" w:space="0" w:color="auto"/>
              <w:right w:val="single" w:sz="4" w:space="0" w:color="auto"/>
            </w:tcBorders>
            <w:shd w:val="clear" w:color="auto" w:fill="auto"/>
            <w:noWrap/>
            <w:vAlign w:val="center"/>
            <w:hideMark/>
          </w:tcPr>
          <w:p w14:paraId="60C7EC7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-0,30 </w:t>
            </w:r>
          </w:p>
        </w:tc>
        <w:tc>
          <w:tcPr>
            <w:tcW w:w="680" w:type="dxa"/>
            <w:tcBorders>
              <w:top w:val="nil"/>
              <w:left w:val="nil"/>
              <w:bottom w:val="single" w:sz="4" w:space="0" w:color="auto"/>
              <w:right w:val="single" w:sz="4" w:space="0" w:color="auto"/>
            </w:tcBorders>
            <w:shd w:val="clear" w:color="auto" w:fill="auto"/>
            <w:noWrap/>
            <w:vAlign w:val="center"/>
            <w:hideMark/>
          </w:tcPr>
          <w:p w14:paraId="70C6A82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-0,46 </w:t>
            </w:r>
          </w:p>
        </w:tc>
        <w:tc>
          <w:tcPr>
            <w:tcW w:w="680" w:type="dxa"/>
            <w:tcBorders>
              <w:top w:val="nil"/>
              <w:left w:val="nil"/>
              <w:bottom w:val="single" w:sz="4" w:space="0" w:color="auto"/>
              <w:right w:val="single" w:sz="4" w:space="0" w:color="auto"/>
            </w:tcBorders>
            <w:shd w:val="clear" w:color="auto" w:fill="auto"/>
            <w:noWrap/>
            <w:vAlign w:val="center"/>
            <w:hideMark/>
          </w:tcPr>
          <w:p w14:paraId="102ED39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-0,63 </w:t>
            </w:r>
          </w:p>
        </w:tc>
        <w:tc>
          <w:tcPr>
            <w:tcW w:w="680" w:type="dxa"/>
            <w:tcBorders>
              <w:top w:val="nil"/>
              <w:left w:val="nil"/>
              <w:bottom w:val="single" w:sz="4" w:space="0" w:color="auto"/>
              <w:right w:val="single" w:sz="4" w:space="0" w:color="auto"/>
            </w:tcBorders>
            <w:shd w:val="clear" w:color="auto" w:fill="auto"/>
            <w:noWrap/>
            <w:vAlign w:val="center"/>
            <w:hideMark/>
          </w:tcPr>
          <w:p w14:paraId="6F780A7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-0,83 </w:t>
            </w:r>
          </w:p>
        </w:tc>
        <w:tc>
          <w:tcPr>
            <w:tcW w:w="680" w:type="dxa"/>
            <w:tcBorders>
              <w:top w:val="nil"/>
              <w:left w:val="nil"/>
              <w:bottom w:val="single" w:sz="4" w:space="0" w:color="auto"/>
              <w:right w:val="single" w:sz="4" w:space="0" w:color="auto"/>
            </w:tcBorders>
            <w:shd w:val="clear" w:color="auto" w:fill="auto"/>
            <w:noWrap/>
            <w:vAlign w:val="center"/>
            <w:hideMark/>
          </w:tcPr>
          <w:p w14:paraId="6B36636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-0,86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2091318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-0,98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7D25D54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-0,99 </w:t>
            </w:r>
          </w:p>
        </w:tc>
        <w:tc>
          <w:tcPr>
            <w:tcW w:w="1757" w:type="dxa"/>
            <w:tcBorders>
              <w:top w:val="nil"/>
              <w:left w:val="nil"/>
              <w:bottom w:val="single" w:sz="4" w:space="0" w:color="auto"/>
              <w:right w:val="single" w:sz="4" w:space="0" w:color="auto"/>
            </w:tcBorders>
            <w:vAlign w:val="center"/>
          </w:tcPr>
          <w:p w14:paraId="2F748280"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Dezavantajlı</w:t>
            </w:r>
          </w:p>
        </w:tc>
      </w:tr>
      <w:tr w:rsidR="00164238" w:rsidRPr="00164238" w14:paraId="0F5CFF59"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7B9A52B0"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27</w:t>
            </w:r>
          </w:p>
        </w:tc>
        <w:tc>
          <w:tcPr>
            <w:tcW w:w="680" w:type="dxa"/>
            <w:tcBorders>
              <w:top w:val="nil"/>
              <w:left w:val="nil"/>
              <w:bottom w:val="single" w:sz="4" w:space="0" w:color="auto"/>
              <w:right w:val="single" w:sz="4" w:space="0" w:color="auto"/>
            </w:tcBorders>
            <w:shd w:val="clear" w:color="auto" w:fill="auto"/>
            <w:noWrap/>
            <w:vAlign w:val="center"/>
            <w:hideMark/>
          </w:tcPr>
          <w:p w14:paraId="6A6323F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0,06 </w:t>
            </w:r>
          </w:p>
        </w:tc>
        <w:tc>
          <w:tcPr>
            <w:tcW w:w="680" w:type="dxa"/>
            <w:tcBorders>
              <w:top w:val="nil"/>
              <w:left w:val="nil"/>
              <w:bottom w:val="single" w:sz="4" w:space="0" w:color="auto"/>
              <w:right w:val="single" w:sz="4" w:space="0" w:color="auto"/>
            </w:tcBorders>
            <w:shd w:val="clear" w:color="auto" w:fill="auto"/>
            <w:noWrap/>
            <w:vAlign w:val="center"/>
            <w:hideMark/>
          </w:tcPr>
          <w:p w14:paraId="7868C36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0,12 </w:t>
            </w:r>
          </w:p>
        </w:tc>
        <w:tc>
          <w:tcPr>
            <w:tcW w:w="680" w:type="dxa"/>
            <w:tcBorders>
              <w:top w:val="nil"/>
              <w:left w:val="nil"/>
              <w:bottom w:val="single" w:sz="4" w:space="0" w:color="auto"/>
              <w:right w:val="single" w:sz="4" w:space="0" w:color="auto"/>
            </w:tcBorders>
            <w:shd w:val="clear" w:color="auto" w:fill="auto"/>
            <w:noWrap/>
            <w:vAlign w:val="center"/>
            <w:hideMark/>
          </w:tcPr>
          <w:p w14:paraId="661E2BF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0,06 </w:t>
            </w:r>
          </w:p>
        </w:tc>
        <w:tc>
          <w:tcPr>
            <w:tcW w:w="680" w:type="dxa"/>
            <w:tcBorders>
              <w:top w:val="nil"/>
              <w:left w:val="nil"/>
              <w:bottom w:val="single" w:sz="4" w:space="0" w:color="auto"/>
              <w:right w:val="single" w:sz="4" w:space="0" w:color="auto"/>
            </w:tcBorders>
            <w:shd w:val="clear" w:color="auto" w:fill="auto"/>
            <w:noWrap/>
            <w:vAlign w:val="center"/>
            <w:hideMark/>
          </w:tcPr>
          <w:p w14:paraId="2E89E79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-0,05 </w:t>
            </w:r>
          </w:p>
        </w:tc>
        <w:tc>
          <w:tcPr>
            <w:tcW w:w="680" w:type="dxa"/>
            <w:tcBorders>
              <w:top w:val="nil"/>
              <w:left w:val="nil"/>
              <w:bottom w:val="single" w:sz="4" w:space="0" w:color="auto"/>
              <w:right w:val="single" w:sz="4" w:space="0" w:color="auto"/>
            </w:tcBorders>
            <w:shd w:val="clear" w:color="auto" w:fill="auto"/>
            <w:noWrap/>
            <w:vAlign w:val="center"/>
            <w:hideMark/>
          </w:tcPr>
          <w:p w14:paraId="7B85860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0,09 </w:t>
            </w:r>
          </w:p>
        </w:tc>
        <w:tc>
          <w:tcPr>
            <w:tcW w:w="680" w:type="dxa"/>
            <w:tcBorders>
              <w:top w:val="nil"/>
              <w:left w:val="nil"/>
              <w:bottom w:val="single" w:sz="4" w:space="0" w:color="auto"/>
              <w:right w:val="single" w:sz="4" w:space="0" w:color="auto"/>
            </w:tcBorders>
            <w:shd w:val="clear" w:color="auto" w:fill="auto"/>
            <w:noWrap/>
            <w:vAlign w:val="center"/>
            <w:hideMark/>
          </w:tcPr>
          <w:p w14:paraId="4C73D16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0,05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12341C1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0,10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7425FAB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0,17 </w:t>
            </w:r>
          </w:p>
        </w:tc>
        <w:tc>
          <w:tcPr>
            <w:tcW w:w="1757" w:type="dxa"/>
            <w:tcBorders>
              <w:top w:val="nil"/>
              <w:left w:val="nil"/>
              <w:bottom w:val="single" w:sz="4" w:space="0" w:color="auto"/>
              <w:right w:val="single" w:sz="4" w:space="0" w:color="auto"/>
            </w:tcBorders>
            <w:vAlign w:val="center"/>
          </w:tcPr>
          <w:p w14:paraId="700F2074"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Marjinal Sınırda</w:t>
            </w:r>
          </w:p>
        </w:tc>
      </w:tr>
      <w:tr w:rsidR="00164238" w:rsidRPr="00164238" w14:paraId="5571A1FB"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7DBCC0E3"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color w:val="000000" w:themeColor="text1"/>
              </w:rPr>
              <w:lastRenderedPageBreak/>
              <w:t>28</w:t>
            </w:r>
          </w:p>
        </w:tc>
        <w:tc>
          <w:tcPr>
            <w:tcW w:w="680" w:type="dxa"/>
            <w:tcBorders>
              <w:top w:val="nil"/>
              <w:left w:val="nil"/>
              <w:bottom w:val="single" w:sz="4" w:space="0" w:color="auto"/>
              <w:right w:val="single" w:sz="4" w:space="0" w:color="auto"/>
            </w:tcBorders>
            <w:shd w:val="clear" w:color="auto" w:fill="auto"/>
            <w:noWrap/>
            <w:vAlign w:val="center"/>
            <w:hideMark/>
          </w:tcPr>
          <w:p w14:paraId="4D40B03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-1,29 </w:t>
            </w:r>
          </w:p>
        </w:tc>
        <w:tc>
          <w:tcPr>
            <w:tcW w:w="680" w:type="dxa"/>
            <w:tcBorders>
              <w:top w:val="nil"/>
              <w:left w:val="nil"/>
              <w:bottom w:val="single" w:sz="4" w:space="0" w:color="auto"/>
              <w:right w:val="single" w:sz="4" w:space="0" w:color="auto"/>
            </w:tcBorders>
            <w:shd w:val="clear" w:color="auto" w:fill="auto"/>
            <w:noWrap/>
            <w:vAlign w:val="center"/>
            <w:hideMark/>
          </w:tcPr>
          <w:p w14:paraId="45B4E94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-1,17 </w:t>
            </w:r>
          </w:p>
        </w:tc>
        <w:tc>
          <w:tcPr>
            <w:tcW w:w="680" w:type="dxa"/>
            <w:tcBorders>
              <w:top w:val="nil"/>
              <w:left w:val="nil"/>
              <w:bottom w:val="single" w:sz="4" w:space="0" w:color="auto"/>
              <w:right w:val="single" w:sz="4" w:space="0" w:color="auto"/>
            </w:tcBorders>
            <w:shd w:val="clear" w:color="auto" w:fill="auto"/>
            <w:noWrap/>
            <w:vAlign w:val="center"/>
            <w:hideMark/>
          </w:tcPr>
          <w:p w14:paraId="486509B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-1,17 </w:t>
            </w:r>
          </w:p>
        </w:tc>
        <w:tc>
          <w:tcPr>
            <w:tcW w:w="680" w:type="dxa"/>
            <w:tcBorders>
              <w:top w:val="nil"/>
              <w:left w:val="nil"/>
              <w:bottom w:val="single" w:sz="4" w:space="0" w:color="auto"/>
              <w:right w:val="single" w:sz="4" w:space="0" w:color="auto"/>
            </w:tcBorders>
            <w:shd w:val="clear" w:color="auto" w:fill="auto"/>
            <w:noWrap/>
            <w:vAlign w:val="center"/>
            <w:hideMark/>
          </w:tcPr>
          <w:p w14:paraId="6732F75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-1,21 </w:t>
            </w:r>
          </w:p>
        </w:tc>
        <w:tc>
          <w:tcPr>
            <w:tcW w:w="680" w:type="dxa"/>
            <w:tcBorders>
              <w:top w:val="nil"/>
              <w:left w:val="nil"/>
              <w:bottom w:val="single" w:sz="4" w:space="0" w:color="auto"/>
              <w:right w:val="single" w:sz="4" w:space="0" w:color="auto"/>
            </w:tcBorders>
            <w:shd w:val="clear" w:color="auto" w:fill="auto"/>
            <w:noWrap/>
            <w:vAlign w:val="center"/>
            <w:hideMark/>
          </w:tcPr>
          <w:p w14:paraId="29489FF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-1,13 </w:t>
            </w:r>
          </w:p>
        </w:tc>
        <w:tc>
          <w:tcPr>
            <w:tcW w:w="680" w:type="dxa"/>
            <w:tcBorders>
              <w:top w:val="nil"/>
              <w:left w:val="nil"/>
              <w:bottom w:val="single" w:sz="4" w:space="0" w:color="auto"/>
              <w:right w:val="single" w:sz="4" w:space="0" w:color="auto"/>
            </w:tcBorders>
            <w:shd w:val="clear" w:color="auto" w:fill="auto"/>
            <w:noWrap/>
            <w:vAlign w:val="center"/>
            <w:hideMark/>
          </w:tcPr>
          <w:p w14:paraId="622DF09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-0,99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1773C89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-0,83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4FE32CB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-0,87 </w:t>
            </w:r>
          </w:p>
        </w:tc>
        <w:tc>
          <w:tcPr>
            <w:tcW w:w="1757" w:type="dxa"/>
            <w:tcBorders>
              <w:top w:val="nil"/>
              <w:left w:val="nil"/>
              <w:bottom w:val="single" w:sz="4" w:space="0" w:color="auto"/>
              <w:right w:val="single" w:sz="4" w:space="0" w:color="auto"/>
            </w:tcBorders>
            <w:vAlign w:val="center"/>
          </w:tcPr>
          <w:p w14:paraId="59380701"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Dezavantajlı</w:t>
            </w:r>
          </w:p>
        </w:tc>
      </w:tr>
      <w:tr w:rsidR="00164238" w:rsidRPr="00164238" w14:paraId="65108834"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035FF440"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b/>
                <w:bCs/>
                <w:color w:val="000000" w:themeColor="text1"/>
              </w:rPr>
              <w:t>29</w:t>
            </w:r>
          </w:p>
        </w:tc>
        <w:tc>
          <w:tcPr>
            <w:tcW w:w="680" w:type="dxa"/>
            <w:tcBorders>
              <w:top w:val="nil"/>
              <w:left w:val="nil"/>
              <w:bottom w:val="single" w:sz="4" w:space="0" w:color="auto"/>
              <w:right w:val="single" w:sz="4" w:space="0" w:color="auto"/>
            </w:tcBorders>
            <w:shd w:val="clear" w:color="auto" w:fill="auto"/>
            <w:noWrap/>
            <w:vAlign w:val="center"/>
            <w:hideMark/>
          </w:tcPr>
          <w:p w14:paraId="1329FB7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0,20 </w:t>
            </w:r>
          </w:p>
        </w:tc>
        <w:tc>
          <w:tcPr>
            <w:tcW w:w="680" w:type="dxa"/>
            <w:tcBorders>
              <w:top w:val="nil"/>
              <w:left w:val="nil"/>
              <w:bottom w:val="single" w:sz="4" w:space="0" w:color="auto"/>
              <w:right w:val="single" w:sz="4" w:space="0" w:color="auto"/>
            </w:tcBorders>
            <w:shd w:val="clear" w:color="auto" w:fill="auto"/>
            <w:noWrap/>
            <w:vAlign w:val="center"/>
            <w:hideMark/>
          </w:tcPr>
          <w:p w14:paraId="4CA0D14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0,28 </w:t>
            </w:r>
          </w:p>
        </w:tc>
        <w:tc>
          <w:tcPr>
            <w:tcW w:w="680" w:type="dxa"/>
            <w:tcBorders>
              <w:top w:val="nil"/>
              <w:left w:val="nil"/>
              <w:bottom w:val="single" w:sz="4" w:space="0" w:color="auto"/>
              <w:right w:val="single" w:sz="4" w:space="0" w:color="auto"/>
            </w:tcBorders>
            <w:shd w:val="clear" w:color="auto" w:fill="auto"/>
            <w:noWrap/>
            <w:vAlign w:val="center"/>
            <w:hideMark/>
          </w:tcPr>
          <w:p w14:paraId="5088A05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0,12 </w:t>
            </w:r>
          </w:p>
        </w:tc>
        <w:tc>
          <w:tcPr>
            <w:tcW w:w="680" w:type="dxa"/>
            <w:tcBorders>
              <w:top w:val="nil"/>
              <w:left w:val="nil"/>
              <w:bottom w:val="single" w:sz="4" w:space="0" w:color="auto"/>
              <w:right w:val="single" w:sz="4" w:space="0" w:color="auto"/>
            </w:tcBorders>
            <w:shd w:val="clear" w:color="auto" w:fill="auto"/>
            <w:noWrap/>
            <w:vAlign w:val="center"/>
            <w:hideMark/>
          </w:tcPr>
          <w:p w14:paraId="247B77B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0,29 </w:t>
            </w:r>
          </w:p>
        </w:tc>
        <w:tc>
          <w:tcPr>
            <w:tcW w:w="680" w:type="dxa"/>
            <w:tcBorders>
              <w:top w:val="nil"/>
              <w:left w:val="nil"/>
              <w:bottom w:val="single" w:sz="4" w:space="0" w:color="auto"/>
              <w:right w:val="single" w:sz="4" w:space="0" w:color="auto"/>
            </w:tcBorders>
            <w:shd w:val="clear" w:color="auto" w:fill="auto"/>
            <w:noWrap/>
            <w:vAlign w:val="center"/>
            <w:hideMark/>
          </w:tcPr>
          <w:p w14:paraId="2FAC0F4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0,43 </w:t>
            </w:r>
          </w:p>
        </w:tc>
        <w:tc>
          <w:tcPr>
            <w:tcW w:w="680" w:type="dxa"/>
            <w:tcBorders>
              <w:top w:val="nil"/>
              <w:left w:val="nil"/>
              <w:bottom w:val="single" w:sz="4" w:space="0" w:color="auto"/>
              <w:right w:val="single" w:sz="4" w:space="0" w:color="auto"/>
            </w:tcBorders>
            <w:shd w:val="clear" w:color="auto" w:fill="auto"/>
            <w:noWrap/>
            <w:vAlign w:val="center"/>
            <w:hideMark/>
          </w:tcPr>
          <w:p w14:paraId="76D2FD4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0,53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174C12A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0,65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5C74FDA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0,21 </w:t>
            </w:r>
          </w:p>
        </w:tc>
        <w:tc>
          <w:tcPr>
            <w:tcW w:w="1757" w:type="dxa"/>
            <w:tcBorders>
              <w:top w:val="nil"/>
              <w:left w:val="nil"/>
              <w:bottom w:val="single" w:sz="4" w:space="0" w:color="auto"/>
              <w:right w:val="single" w:sz="4" w:space="0" w:color="auto"/>
            </w:tcBorders>
            <w:vAlign w:val="center"/>
          </w:tcPr>
          <w:p w14:paraId="0F3450E8"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b/>
                <w:bCs/>
                <w:color w:val="000000" w:themeColor="text1"/>
              </w:rPr>
              <w:t>Marjinal Sınırda</w:t>
            </w:r>
          </w:p>
        </w:tc>
      </w:tr>
      <w:tr w:rsidR="00164238" w:rsidRPr="00164238" w14:paraId="1F6A2A98"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46462E5F"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b/>
                <w:bCs/>
                <w:color w:val="000000" w:themeColor="text1"/>
              </w:rPr>
              <w:t>30</w:t>
            </w:r>
          </w:p>
        </w:tc>
        <w:tc>
          <w:tcPr>
            <w:tcW w:w="680" w:type="dxa"/>
            <w:tcBorders>
              <w:top w:val="nil"/>
              <w:left w:val="nil"/>
              <w:bottom w:val="single" w:sz="4" w:space="0" w:color="auto"/>
              <w:right w:val="single" w:sz="4" w:space="0" w:color="auto"/>
            </w:tcBorders>
            <w:shd w:val="clear" w:color="auto" w:fill="auto"/>
            <w:noWrap/>
            <w:vAlign w:val="center"/>
            <w:hideMark/>
          </w:tcPr>
          <w:p w14:paraId="0D6DD98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-0,52 </w:t>
            </w:r>
          </w:p>
        </w:tc>
        <w:tc>
          <w:tcPr>
            <w:tcW w:w="680" w:type="dxa"/>
            <w:tcBorders>
              <w:top w:val="nil"/>
              <w:left w:val="nil"/>
              <w:bottom w:val="single" w:sz="4" w:space="0" w:color="auto"/>
              <w:right w:val="single" w:sz="4" w:space="0" w:color="auto"/>
            </w:tcBorders>
            <w:shd w:val="clear" w:color="auto" w:fill="auto"/>
            <w:noWrap/>
            <w:vAlign w:val="center"/>
            <w:hideMark/>
          </w:tcPr>
          <w:p w14:paraId="4A3F539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-0,47 </w:t>
            </w:r>
          </w:p>
        </w:tc>
        <w:tc>
          <w:tcPr>
            <w:tcW w:w="680" w:type="dxa"/>
            <w:tcBorders>
              <w:top w:val="nil"/>
              <w:left w:val="nil"/>
              <w:bottom w:val="single" w:sz="4" w:space="0" w:color="auto"/>
              <w:right w:val="single" w:sz="4" w:space="0" w:color="auto"/>
            </w:tcBorders>
            <w:shd w:val="clear" w:color="auto" w:fill="auto"/>
            <w:noWrap/>
            <w:vAlign w:val="center"/>
            <w:hideMark/>
          </w:tcPr>
          <w:p w14:paraId="7A773E4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-1,06 </w:t>
            </w:r>
          </w:p>
        </w:tc>
        <w:tc>
          <w:tcPr>
            <w:tcW w:w="680" w:type="dxa"/>
            <w:tcBorders>
              <w:top w:val="nil"/>
              <w:left w:val="nil"/>
              <w:bottom w:val="single" w:sz="4" w:space="0" w:color="auto"/>
              <w:right w:val="single" w:sz="4" w:space="0" w:color="auto"/>
            </w:tcBorders>
            <w:shd w:val="clear" w:color="auto" w:fill="auto"/>
            <w:noWrap/>
            <w:vAlign w:val="center"/>
            <w:hideMark/>
          </w:tcPr>
          <w:p w14:paraId="4B9DAD0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-1,18 </w:t>
            </w:r>
          </w:p>
        </w:tc>
        <w:tc>
          <w:tcPr>
            <w:tcW w:w="680" w:type="dxa"/>
            <w:tcBorders>
              <w:top w:val="nil"/>
              <w:left w:val="nil"/>
              <w:bottom w:val="single" w:sz="4" w:space="0" w:color="auto"/>
              <w:right w:val="single" w:sz="4" w:space="0" w:color="auto"/>
            </w:tcBorders>
            <w:shd w:val="clear" w:color="auto" w:fill="auto"/>
            <w:noWrap/>
            <w:vAlign w:val="center"/>
            <w:hideMark/>
          </w:tcPr>
          <w:p w14:paraId="7B046B1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-0,89 </w:t>
            </w:r>
          </w:p>
        </w:tc>
        <w:tc>
          <w:tcPr>
            <w:tcW w:w="680" w:type="dxa"/>
            <w:tcBorders>
              <w:top w:val="nil"/>
              <w:left w:val="nil"/>
              <w:bottom w:val="single" w:sz="4" w:space="0" w:color="auto"/>
              <w:right w:val="single" w:sz="4" w:space="0" w:color="auto"/>
            </w:tcBorders>
            <w:shd w:val="clear" w:color="auto" w:fill="auto"/>
            <w:noWrap/>
            <w:vAlign w:val="center"/>
            <w:hideMark/>
          </w:tcPr>
          <w:p w14:paraId="738E3BD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-0,68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329B385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-0,98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07CE591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-0,97 </w:t>
            </w:r>
          </w:p>
        </w:tc>
        <w:tc>
          <w:tcPr>
            <w:tcW w:w="1757" w:type="dxa"/>
            <w:tcBorders>
              <w:top w:val="nil"/>
              <w:left w:val="nil"/>
              <w:bottom w:val="single" w:sz="4" w:space="0" w:color="auto"/>
              <w:right w:val="single" w:sz="4" w:space="0" w:color="auto"/>
            </w:tcBorders>
            <w:vAlign w:val="center"/>
          </w:tcPr>
          <w:p w14:paraId="123BE919"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Dezavantajlı</w:t>
            </w:r>
          </w:p>
        </w:tc>
      </w:tr>
      <w:tr w:rsidR="00164238" w:rsidRPr="00164238" w14:paraId="475B169B"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46F0B9C6"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b/>
                <w:bCs/>
                <w:color w:val="000000" w:themeColor="text1"/>
              </w:rPr>
              <w:t>31</w:t>
            </w:r>
          </w:p>
        </w:tc>
        <w:tc>
          <w:tcPr>
            <w:tcW w:w="680" w:type="dxa"/>
            <w:tcBorders>
              <w:top w:val="nil"/>
              <w:left w:val="nil"/>
              <w:bottom w:val="single" w:sz="4" w:space="0" w:color="auto"/>
              <w:right w:val="single" w:sz="4" w:space="0" w:color="auto"/>
            </w:tcBorders>
            <w:shd w:val="clear" w:color="auto" w:fill="auto"/>
            <w:noWrap/>
            <w:vAlign w:val="center"/>
            <w:hideMark/>
          </w:tcPr>
          <w:p w14:paraId="1C13AF6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0,47 </w:t>
            </w:r>
          </w:p>
        </w:tc>
        <w:tc>
          <w:tcPr>
            <w:tcW w:w="680" w:type="dxa"/>
            <w:tcBorders>
              <w:top w:val="nil"/>
              <w:left w:val="nil"/>
              <w:bottom w:val="single" w:sz="4" w:space="0" w:color="auto"/>
              <w:right w:val="single" w:sz="4" w:space="0" w:color="auto"/>
            </w:tcBorders>
            <w:shd w:val="clear" w:color="auto" w:fill="auto"/>
            <w:noWrap/>
            <w:vAlign w:val="center"/>
            <w:hideMark/>
          </w:tcPr>
          <w:p w14:paraId="3A3BFCE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0,57 </w:t>
            </w:r>
          </w:p>
        </w:tc>
        <w:tc>
          <w:tcPr>
            <w:tcW w:w="680" w:type="dxa"/>
            <w:tcBorders>
              <w:top w:val="nil"/>
              <w:left w:val="nil"/>
              <w:bottom w:val="single" w:sz="4" w:space="0" w:color="auto"/>
              <w:right w:val="single" w:sz="4" w:space="0" w:color="auto"/>
            </w:tcBorders>
            <w:shd w:val="clear" w:color="auto" w:fill="auto"/>
            <w:noWrap/>
            <w:vAlign w:val="center"/>
            <w:hideMark/>
          </w:tcPr>
          <w:p w14:paraId="2A61C32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0,68 </w:t>
            </w:r>
          </w:p>
        </w:tc>
        <w:tc>
          <w:tcPr>
            <w:tcW w:w="680" w:type="dxa"/>
            <w:tcBorders>
              <w:top w:val="nil"/>
              <w:left w:val="nil"/>
              <w:bottom w:val="single" w:sz="4" w:space="0" w:color="auto"/>
              <w:right w:val="single" w:sz="4" w:space="0" w:color="auto"/>
            </w:tcBorders>
            <w:shd w:val="clear" w:color="auto" w:fill="auto"/>
            <w:noWrap/>
            <w:vAlign w:val="center"/>
            <w:hideMark/>
          </w:tcPr>
          <w:p w14:paraId="03892AA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0,77 </w:t>
            </w:r>
          </w:p>
        </w:tc>
        <w:tc>
          <w:tcPr>
            <w:tcW w:w="680" w:type="dxa"/>
            <w:tcBorders>
              <w:top w:val="nil"/>
              <w:left w:val="nil"/>
              <w:bottom w:val="single" w:sz="4" w:space="0" w:color="auto"/>
              <w:right w:val="single" w:sz="4" w:space="0" w:color="auto"/>
            </w:tcBorders>
            <w:shd w:val="clear" w:color="auto" w:fill="auto"/>
            <w:noWrap/>
            <w:vAlign w:val="center"/>
            <w:hideMark/>
          </w:tcPr>
          <w:p w14:paraId="40352C7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0,78 </w:t>
            </w:r>
          </w:p>
        </w:tc>
        <w:tc>
          <w:tcPr>
            <w:tcW w:w="680" w:type="dxa"/>
            <w:tcBorders>
              <w:top w:val="nil"/>
              <w:left w:val="nil"/>
              <w:bottom w:val="single" w:sz="4" w:space="0" w:color="auto"/>
              <w:right w:val="single" w:sz="4" w:space="0" w:color="auto"/>
            </w:tcBorders>
            <w:shd w:val="clear" w:color="auto" w:fill="auto"/>
            <w:noWrap/>
            <w:vAlign w:val="center"/>
            <w:hideMark/>
          </w:tcPr>
          <w:p w14:paraId="52F6CF9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1,08 </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61873E0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1,14 </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1C629E4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1,42 </w:t>
            </w:r>
          </w:p>
        </w:tc>
        <w:tc>
          <w:tcPr>
            <w:tcW w:w="1757" w:type="dxa"/>
            <w:tcBorders>
              <w:top w:val="nil"/>
              <w:left w:val="nil"/>
              <w:bottom w:val="single" w:sz="4" w:space="0" w:color="auto"/>
              <w:right w:val="single" w:sz="4" w:space="0" w:color="auto"/>
            </w:tcBorders>
            <w:vAlign w:val="center"/>
          </w:tcPr>
          <w:p w14:paraId="0E5E010D"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Advantajlı</w:t>
            </w:r>
          </w:p>
        </w:tc>
      </w:tr>
      <w:tr w:rsidR="00164238" w:rsidRPr="00164238" w14:paraId="19D6840A"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0C7F0BB5"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32</w:t>
            </w:r>
          </w:p>
        </w:tc>
        <w:tc>
          <w:tcPr>
            <w:tcW w:w="680" w:type="dxa"/>
            <w:tcBorders>
              <w:top w:val="nil"/>
              <w:left w:val="nil"/>
              <w:bottom w:val="single" w:sz="4" w:space="0" w:color="auto"/>
              <w:right w:val="single" w:sz="4" w:space="0" w:color="auto"/>
            </w:tcBorders>
            <w:shd w:val="clear" w:color="auto" w:fill="auto"/>
            <w:noWrap/>
            <w:vAlign w:val="center"/>
            <w:hideMark/>
          </w:tcPr>
          <w:p w14:paraId="00F0D89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0,00 </w:t>
            </w:r>
          </w:p>
        </w:tc>
        <w:tc>
          <w:tcPr>
            <w:tcW w:w="680" w:type="dxa"/>
            <w:tcBorders>
              <w:top w:val="nil"/>
              <w:left w:val="nil"/>
              <w:bottom w:val="single" w:sz="4" w:space="0" w:color="auto"/>
              <w:right w:val="single" w:sz="4" w:space="0" w:color="auto"/>
            </w:tcBorders>
            <w:shd w:val="clear" w:color="auto" w:fill="auto"/>
            <w:noWrap/>
            <w:vAlign w:val="center"/>
            <w:hideMark/>
          </w:tcPr>
          <w:p w14:paraId="32B2481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0,00 </w:t>
            </w:r>
          </w:p>
        </w:tc>
        <w:tc>
          <w:tcPr>
            <w:tcW w:w="680" w:type="dxa"/>
            <w:tcBorders>
              <w:top w:val="nil"/>
              <w:left w:val="nil"/>
              <w:bottom w:val="single" w:sz="4" w:space="0" w:color="auto"/>
              <w:right w:val="single" w:sz="4" w:space="0" w:color="auto"/>
            </w:tcBorders>
            <w:shd w:val="clear" w:color="auto" w:fill="auto"/>
            <w:noWrap/>
            <w:vAlign w:val="center"/>
            <w:hideMark/>
          </w:tcPr>
          <w:p w14:paraId="7C8554E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-0,07 </w:t>
            </w:r>
          </w:p>
        </w:tc>
        <w:tc>
          <w:tcPr>
            <w:tcW w:w="680" w:type="dxa"/>
            <w:tcBorders>
              <w:top w:val="nil"/>
              <w:left w:val="nil"/>
              <w:bottom w:val="single" w:sz="4" w:space="0" w:color="auto"/>
              <w:right w:val="single" w:sz="4" w:space="0" w:color="auto"/>
            </w:tcBorders>
            <w:shd w:val="clear" w:color="auto" w:fill="auto"/>
            <w:noWrap/>
            <w:vAlign w:val="center"/>
            <w:hideMark/>
          </w:tcPr>
          <w:p w14:paraId="22171B7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-0,03 </w:t>
            </w:r>
          </w:p>
        </w:tc>
        <w:tc>
          <w:tcPr>
            <w:tcW w:w="680" w:type="dxa"/>
            <w:tcBorders>
              <w:top w:val="nil"/>
              <w:left w:val="nil"/>
              <w:bottom w:val="single" w:sz="4" w:space="0" w:color="auto"/>
              <w:right w:val="single" w:sz="4" w:space="0" w:color="auto"/>
            </w:tcBorders>
            <w:shd w:val="clear" w:color="auto" w:fill="auto"/>
            <w:noWrap/>
            <w:vAlign w:val="center"/>
            <w:hideMark/>
          </w:tcPr>
          <w:p w14:paraId="6B866C7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0,09 </w:t>
            </w:r>
          </w:p>
        </w:tc>
        <w:tc>
          <w:tcPr>
            <w:tcW w:w="680" w:type="dxa"/>
            <w:tcBorders>
              <w:top w:val="nil"/>
              <w:left w:val="nil"/>
              <w:bottom w:val="single" w:sz="4" w:space="0" w:color="auto"/>
              <w:right w:val="single" w:sz="4" w:space="0" w:color="auto"/>
            </w:tcBorders>
            <w:shd w:val="clear" w:color="auto" w:fill="auto"/>
            <w:noWrap/>
            <w:vAlign w:val="center"/>
            <w:hideMark/>
          </w:tcPr>
          <w:p w14:paraId="1EFCEEB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-0,07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685E031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0,05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79A9A72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0,41 </w:t>
            </w:r>
          </w:p>
        </w:tc>
        <w:tc>
          <w:tcPr>
            <w:tcW w:w="1757" w:type="dxa"/>
            <w:tcBorders>
              <w:top w:val="nil"/>
              <w:left w:val="nil"/>
              <w:bottom w:val="single" w:sz="4" w:space="0" w:color="auto"/>
              <w:right w:val="single" w:sz="4" w:space="0" w:color="auto"/>
            </w:tcBorders>
            <w:vAlign w:val="center"/>
          </w:tcPr>
          <w:p w14:paraId="7C7E7189"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Marjinal Sınırda</w:t>
            </w:r>
          </w:p>
        </w:tc>
      </w:tr>
      <w:tr w:rsidR="00164238" w:rsidRPr="00164238" w14:paraId="3CB594A2"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5594436E"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Tüm İmalat</w:t>
            </w:r>
          </w:p>
        </w:tc>
        <w:tc>
          <w:tcPr>
            <w:tcW w:w="680" w:type="dxa"/>
            <w:tcBorders>
              <w:top w:val="nil"/>
              <w:left w:val="nil"/>
              <w:bottom w:val="single" w:sz="4" w:space="0" w:color="auto"/>
              <w:right w:val="single" w:sz="4" w:space="0" w:color="auto"/>
            </w:tcBorders>
            <w:shd w:val="clear" w:color="auto" w:fill="auto"/>
            <w:noWrap/>
            <w:vAlign w:val="center"/>
            <w:hideMark/>
          </w:tcPr>
          <w:p w14:paraId="33EBBDF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0,02 </w:t>
            </w:r>
          </w:p>
        </w:tc>
        <w:tc>
          <w:tcPr>
            <w:tcW w:w="680" w:type="dxa"/>
            <w:tcBorders>
              <w:top w:val="nil"/>
              <w:left w:val="nil"/>
              <w:bottom w:val="single" w:sz="4" w:space="0" w:color="auto"/>
              <w:right w:val="single" w:sz="4" w:space="0" w:color="auto"/>
            </w:tcBorders>
            <w:shd w:val="clear" w:color="auto" w:fill="auto"/>
            <w:noWrap/>
            <w:vAlign w:val="center"/>
            <w:hideMark/>
          </w:tcPr>
          <w:p w14:paraId="75E3488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0,01 </w:t>
            </w:r>
          </w:p>
        </w:tc>
        <w:tc>
          <w:tcPr>
            <w:tcW w:w="680" w:type="dxa"/>
            <w:tcBorders>
              <w:top w:val="nil"/>
              <w:left w:val="nil"/>
              <w:bottom w:val="single" w:sz="4" w:space="0" w:color="auto"/>
              <w:right w:val="single" w:sz="4" w:space="0" w:color="auto"/>
            </w:tcBorders>
            <w:shd w:val="clear" w:color="auto" w:fill="auto"/>
            <w:noWrap/>
            <w:vAlign w:val="center"/>
            <w:hideMark/>
          </w:tcPr>
          <w:p w14:paraId="2B624BC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0,00 </w:t>
            </w:r>
          </w:p>
        </w:tc>
        <w:tc>
          <w:tcPr>
            <w:tcW w:w="680" w:type="dxa"/>
            <w:tcBorders>
              <w:top w:val="nil"/>
              <w:left w:val="nil"/>
              <w:bottom w:val="single" w:sz="4" w:space="0" w:color="auto"/>
              <w:right w:val="single" w:sz="4" w:space="0" w:color="auto"/>
            </w:tcBorders>
            <w:shd w:val="clear" w:color="auto" w:fill="auto"/>
            <w:noWrap/>
            <w:vAlign w:val="center"/>
            <w:hideMark/>
          </w:tcPr>
          <w:p w14:paraId="7502822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0,01 </w:t>
            </w:r>
          </w:p>
        </w:tc>
        <w:tc>
          <w:tcPr>
            <w:tcW w:w="680" w:type="dxa"/>
            <w:tcBorders>
              <w:top w:val="nil"/>
              <w:left w:val="nil"/>
              <w:bottom w:val="single" w:sz="4" w:space="0" w:color="auto"/>
              <w:right w:val="single" w:sz="4" w:space="0" w:color="auto"/>
            </w:tcBorders>
            <w:shd w:val="clear" w:color="auto" w:fill="auto"/>
            <w:noWrap/>
            <w:vAlign w:val="center"/>
            <w:hideMark/>
          </w:tcPr>
          <w:p w14:paraId="7C49444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0,02 </w:t>
            </w:r>
          </w:p>
        </w:tc>
        <w:tc>
          <w:tcPr>
            <w:tcW w:w="680" w:type="dxa"/>
            <w:tcBorders>
              <w:top w:val="nil"/>
              <w:left w:val="nil"/>
              <w:bottom w:val="single" w:sz="4" w:space="0" w:color="auto"/>
              <w:right w:val="single" w:sz="4" w:space="0" w:color="auto"/>
            </w:tcBorders>
            <w:shd w:val="clear" w:color="auto" w:fill="auto"/>
            <w:noWrap/>
            <w:vAlign w:val="center"/>
            <w:hideMark/>
          </w:tcPr>
          <w:p w14:paraId="21CE284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0,03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7CECBBD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0,04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20EFAF0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0,03 </w:t>
            </w:r>
          </w:p>
        </w:tc>
        <w:tc>
          <w:tcPr>
            <w:tcW w:w="1757" w:type="dxa"/>
            <w:tcBorders>
              <w:top w:val="nil"/>
              <w:left w:val="nil"/>
              <w:bottom w:val="single" w:sz="4" w:space="0" w:color="auto"/>
              <w:right w:val="single" w:sz="4" w:space="0" w:color="auto"/>
            </w:tcBorders>
            <w:vAlign w:val="center"/>
          </w:tcPr>
          <w:p w14:paraId="26198950"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Marjinal Sınırda</w:t>
            </w:r>
          </w:p>
        </w:tc>
      </w:tr>
    </w:tbl>
    <w:p w14:paraId="1D13EB23" w14:textId="77777777" w:rsidR="00C54BC9" w:rsidRPr="00164238" w:rsidRDefault="00C54BC9" w:rsidP="00C54BC9">
      <w:pPr>
        <w:spacing w:after="0" w:line="360" w:lineRule="auto"/>
        <w:rPr>
          <w:rFonts w:ascii="Times New Roman" w:hAnsi="Times New Roman" w:cs="Times New Roman"/>
          <w:color w:val="000000" w:themeColor="text1"/>
        </w:rPr>
      </w:pPr>
      <w:r w:rsidRPr="00164238">
        <w:rPr>
          <w:rFonts w:ascii="Times New Roman" w:hAnsi="Times New Roman" w:cs="Times New Roman"/>
          <w:b/>
          <w:bCs/>
          <w:color w:val="000000" w:themeColor="text1"/>
        </w:rPr>
        <w:t xml:space="preserve">Kaynak: </w:t>
      </w:r>
      <w:r w:rsidRPr="00164238">
        <w:rPr>
          <w:rFonts w:ascii="Times New Roman" w:hAnsi="Times New Roman" w:cs="Times New Roman"/>
          <w:color w:val="000000" w:themeColor="text1"/>
        </w:rPr>
        <w:t>TÜİK verileri derlenerek yazar tarafından oluşturulmuştur.</w:t>
      </w:r>
    </w:p>
    <w:p w14:paraId="203060DA" w14:textId="2C75D81E" w:rsidR="00C54BC9" w:rsidRDefault="00C54BC9" w:rsidP="00C54BC9">
      <w:pPr>
        <w:spacing w:before="120" w:after="120" w:line="360"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sz w:val="20"/>
          <w:szCs w:val="20"/>
        </w:rPr>
        <w:t>Türk imalat sanayii’nin AB 27 pazarında rekabet gücünün gösterildiği Tablo 7’de 2019 yılından 2020 yılına  k</w:t>
      </w:r>
      <w:r w:rsidRPr="00164238">
        <w:rPr>
          <w:rFonts w:ascii="Times New Roman" w:eastAsia="Times New Roman" w:hAnsi="Times New Roman" w:cs="Times New Roman"/>
          <w:color w:val="000000" w:themeColor="text1"/>
          <w:sz w:val="20"/>
          <w:szCs w:val="20"/>
          <w:lang w:eastAsia="tr-TR"/>
        </w:rPr>
        <w:t>ayıtlı medyanın basılması ve çoğaltılması; diğer metalik olmayan mineral ürünleri; m</w:t>
      </w:r>
      <w:r w:rsidRPr="00164238">
        <w:rPr>
          <w:rFonts w:ascii="Times New Roman" w:hAnsi="Times New Roman" w:cs="Times New Roman"/>
          <w:color w:val="000000" w:themeColor="text1"/>
          <w:sz w:val="20"/>
          <w:szCs w:val="20"/>
        </w:rPr>
        <w:t xml:space="preserve">akine ve teçhizat hariç, fabrikasyon metal ürünleri; motorlu kara taşıtı, treyler (römork) ve yarı treyler (yarı römork) olmak 4 alt sektörün rekabet gücünde değişim olduğu görülmüştür. Bu alt sektörlerden motorlu kara taşıtı, treyler (römork) ve yarı treyler (yarı römork) alt sektöründe 2019 yılında rekabet gücü yüksek bulunurken, 2020 yılında rekabet gücünün marjinal sınırda kaldığı tespit edilmiştir. Motorlu kara taşıtları (yarı treyler ve treyler dahil) dışında rekabet gücünde değişim tespit edilen diğer alt sektörlerde rekabet gücünde bir gerileme olmadığı, rekabet gücünde bir üst seviye yakalandığı görülmüştür. Türk imalat sanayii ana sektörü ve dört alt sektör dışında geriye kalan alt sektörlerde ise 2019-2020 döneminde rekabet gücünde bir değişim olmadığı görülmüştür. Buradan tüm alt sektörler içinde sadece motorlu kara taşıtı, treyler ve yarı treyler sektörünün rekabet gücünde </w:t>
      </w:r>
      <w:r w:rsidRPr="00164238">
        <w:rPr>
          <w:rFonts w:ascii="Times New Roman" w:hAnsi="Times New Roman" w:cs="Times New Roman"/>
          <w:color w:val="000000" w:themeColor="text1"/>
        </w:rPr>
        <w:t xml:space="preserve">bir gerileme olduğu anlaşılmıştır. </w:t>
      </w:r>
    </w:p>
    <w:p w14:paraId="3FF0D190" w14:textId="77777777" w:rsidR="006A4DC2" w:rsidRPr="00164238" w:rsidRDefault="006A4DC2" w:rsidP="00C54BC9">
      <w:pPr>
        <w:spacing w:before="120" w:after="120" w:line="360" w:lineRule="auto"/>
        <w:ind w:firstLine="567"/>
        <w:jc w:val="both"/>
        <w:rPr>
          <w:rFonts w:ascii="Times New Roman" w:hAnsi="Times New Roman" w:cs="Times New Roman"/>
          <w:color w:val="000000" w:themeColor="text1"/>
        </w:rPr>
      </w:pPr>
    </w:p>
    <w:p w14:paraId="7B005B71" w14:textId="77777777" w:rsidR="00C54BC9" w:rsidRPr="00164238" w:rsidRDefault="00C54BC9" w:rsidP="00C54BC9">
      <w:pPr>
        <w:spacing w:after="0" w:line="240" w:lineRule="auto"/>
        <w:rPr>
          <w:rFonts w:ascii="Times New Roman" w:hAnsi="Times New Roman" w:cs="Times New Roman"/>
          <w:b/>
          <w:bCs/>
          <w:color w:val="000000" w:themeColor="text1"/>
        </w:rPr>
      </w:pPr>
      <w:r w:rsidRPr="00164238">
        <w:rPr>
          <w:rFonts w:ascii="Times New Roman" w:hAnsi="Times New Roman" w:cs="Times New Roman"/>
          <w:b/>
          <w:bCs/>
          <w:color w:val="000000" w:themeColor="text1"/>
        </w:rPr>
        <w:t>Tablo 9: Türk İmalat Sanayii’nin AB (27) Pazarında Ticaret Dengesi Endeksi</w:t>
      </w:r>
    </w:p>
    <w:tbl>
      <w:tblPr>
        <w:tblW w:w="8444" w:type="dxa"/>
        <w:tblCellMar>
          <w:left w:w="70" w:type="dxa"/>
          <w:right w:w="70" w:type="dxa"/>
        </w:tblCellMar>
        <w:tblLook w:val="04A0" w:firstRow="1" w:lastRow="0" w:firstColumn="1" w:lastColumn="0" w:noHBand="0" w:noVBand="1"/>
      </w:tblPr>
      <w:tblGrid>
        <w:gridCol w:w="1247"/>
        <w:gridCol w:w="680"/>
        <w:gridCol w:w="680"/>
        <w:gridCol w:w="680"/>
        <w:gridCol w:w="680"/>
        <w:gridCol w:w="680"/>
        <w:gridCol w:w="680"/>
        <w:gridCol w:w="680"/>
        <w:gridCol w:w="680"/>
        <w:gridCol w:w="1757"/>
      </w:tblGrid>
      <w:tr w:rsidR="00164238" w:rsidRPr="00164238" w14:paraId="76E978FD" w14:textId="77777777" w:rsidTr="00682CBF">
        <w:trPr>
          <w:trHeight w:val="340"/>
        </w:trPr>
        <w:tc>
          <w:tcPr>
            <w:tcW w:w="1247" w:type="dxa"/>
            <w:tcBorders>
              <w:top w:val="single" w:sz="4" w:space="0" w:color="auto"/>
              <w:left w:val="single" w:sz="4" w:space="0" w:color="auto"/>
              <w:bottom w:val="single" w:sz="4" w:space="0" w:color="auto"/>
              <w:right w:val="single" w:sz="4" w:space="0" w:color="auto"/>
            </w:tcBorders>
            <w:shd w:val="clear" w:color="auto" w:fill="auto"/>
            <w:noWrap/>
            <w:hideMark/>
          </w:tcPr>
          <w:p w14:paraId="57C0EC7E"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1F3D9416"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2013</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1866E291"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2014</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3E0E8E99"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2015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4F8146B8"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2016</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2D82D118"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2017</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0E9C4DCE"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2018</w:t>
            </w:r>
          </w:p>
        </w:tc>
        <w:tc>
          <w:tcPr>
            <w:tcW w:w="68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1D618146"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2019</w:t>
            </w:r>
          </w:p>
        </w:tc>
        <w:tc>
          <w:tcPr>
            <w:tcW w:w="68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40A91F10"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2020</w:t>
            </w:r>
          </w:p>
        </w:tc>
        <w:tc>
          <w:tcPr>
            <w:tcW w:w="1757" w:type="dxa"/>
            <w:tcBorders>
              <w:top w:val="single" w:sz="4" w:space="0" w:color="auto"/>
              <w:left w:val="nil"/>
              <w:bottom w:val="single" w:sz="4" w:space="0" w:color="auto"/>
              <w:right w:val="single" w:sz="4" w:space="0" w:color="auto"/>
            </w:tcBorders>
            <w:vAlign w:val="center"/>
          </w:tcPr>
          <w:p w14:paraId="33199157"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TBI</w:t>
            </w:r>
          </w:p>
        </w:tc>
      </w:tr>
      <w:tr w:rsidR="00164238" w:rsidRPr="00164238" w14:paraId="4782F31B"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75D37F90"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10</w:t>
            </w:r>
          </w:p>
        </w:tc>
        <w:tc>
          <w:tcPr>
            <w:tcW w:w="680" w:type="dxa"/>
            <w:tcBorders>
              <w:top w:val="nil"/>
              <w:left w:val="nil"/>
              <w:bottom w:val="single" w:sz="4" w:space="0" w:color="auto"/>
              <w:right w:val="single" w:sz="4" w:space="0" w:color="auto"/>
            </w:tcBorders>
            <w:shd w:val="clear" w:color="auto" w:fill="auto"/>
            <w:noWrap/>
            <w:vAlign w:val="center"/>
            <w:hideMark/>
          </w:tcPr>
          <w:p w14:paraId="4DD1A8A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0,31 </w:t>
            </w:r>
          </w:p>
        </w:tc>
        <w:tc>
          <w:tcPr>
            <w:tcW w:w="680" w:type="dxa"/>
            <w:tcBorders>
              <w:top w:val="nil"/>
              <w:left w:val="nil"/>
              <w:bottom w:val="single" w:sz="4" w:space="0" w:color="auto"/>
              <w:right w:val="single" w:sz="4" w:space="0" w:color="auto"/>
            </w:tcBorders>
            <w:shd w:val="clear" w:color="auto" w:fill="auto"/>
            <w:noWrap/>
            <w:vAlign w:val="center"/>
            <w:hideMark/>
          </w:tcPr>
          <w:p w14:paraId="7F40EE4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0,40 </w:t>
            </w:r>
          </w:p>
        </w:tc>
        <w:tc>
          <w:tcPr>
            <w:tcW w:w="680" w:type="dxa"/>
            <w:tcBorders>
              <w:top w:val="nil"/>
              <w:left w:val="nil"/>
              <w:bottom w:val="single" w:sz="4" w:space="0" w:color="auto"/>
              <w:right w:val="single" w:sz="4" w:space="0" w:color="auto"/>
            </w:tcBorders>
            <w:shd w:val="clear" w:color="auto" w:fill="auto"/>
            <w:noWrap/>
            <w:vAlign w:val="center"/>
            <w:hideMark/>
          </w:tcPr>
          <w:p w14:paraId="7903110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0,42 </w:t>
            </w:r>
          </w:p>
        </w:tc>
        <w:tc>
          <w:tcPr>
            <w:tcW w:w="680" w:type="dxa"/>
            <w:tcBorders>
              <w:top w:val="nil"/>
              <w:left w:val="nil"/>
              <w:bottom w:val="single" w:sz="4" w:space="0" w:color="auto"/>
              <w:right w:val="single" w:sz="4" w:space="0" w:color="auto"/>
            </w:tcBorders>
            <w:shd w:val="clear" w:color="auto" w:fill="auto"/>
            <w:noWrap/>
            <w:vAlign w:val="center"/>
            <w:hideMark/>
          </w:tcPr>
          <w:p w14:paraId="05B152E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0,37 </w:t>
            </w:r>
          </w:p>
        </w:tc>
        <w:tc>
          <w:tcPr>
            <w:tcW w:w="680" w:type="dxa"/>
            <w:tcBorders>
              <w:top w:val="nil"/>
              <w:left w:val="nil"/>
              <w:bottom w:val="single" w:sz="4" w:space="0" w:color="auto"/>
              <w:right w:val="single" w:sz="4" w:space="0" w:color="auto"/>
            </w:tcBorders>
            <w:shd w:val="clear" w:color="auto" w:fill="auto"/>
            <w:noWrap/>
            <w:vAlign w:val="center"/>
            <w:hideMark/>
          </w:tcPr>
          <w:p w14:paraId="7EC6FAA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0,33 </w:t>
            </w:r>
          </w:p>
        </w:tc>
        <w:tc>
          <w:tcPr>
            <w:tcW w:w="680" w:type="dxa"/>
            <w:tcBorders>
              <w:top w:val="nil"/>
              <w:left w:val="nil"/>
              <w:bottom w:val="single" w:sz="4" w:space="0" w:color="auto"/>
              <w:right w:val="single" w:sz="4" w:space="0" w:color="auto"/>
            </w:tcBorders>
            <w:shd w:val="clear" w:color="auto" w:fill="auto"/>
            <w:noWrap/>
            <w:vAlign w:val="center"/>
            <w:hideMark/>
          </w:tcPr>
          <w:p w14:paraId="328BC1F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0,27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369D428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0,37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4A0D088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0,38 </w:t>
            </w:r>
          </w:p>
        </w:tc>
        <w:tc>
          <w:tcPr>
            <w:tcW w:w="1757" w:type="dxa"/>
            <w:tcBorders>
              <w:top w:val="nil"/>
              <w:left w:val="nil"/>
              <w:bottom w:val="single" w:sz="4" w:space="0" w:color="auto"/>
              <w:right w:val="single" w:sz="4" w:space="0" w:color="auto"/>
            </w:tcBorders>
            <w:vAlign w:val="center"/>
          </w:tcPr>
          <w:p w14:paraId="710E2A8A"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Net İhracatçı</w:t>
            </w:r>
          </w:p>
        </w:tc>
      </w:tr>
      <w:tr w:rsidR="00164238" w:rsidRPr="00164238" w14:paraId="7270D56C"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05B54022"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11</w:t>
            </w:r>
          </w:p>
        </w:tc>
        <w:tc>
          <w:tcPr>
            <w:tcW w:w="680" w:type="dxa"/>
            <w:tcBorders>
              <w:top w:val="nil"/>
              <w:left w:val="nil"/>
              <w:bottom w:val="single" w:sz="4" w:space="0" w:color="auto"/>
              <w:right w:val="single" w:sz="4" w:space="0" w:color="auto"/>
            </w:tcBorders>
            <w:shd w:val="clear" w:color="auto" w:fill="auto"/>
            <w:noWrap/>
            <w:vAlign w:val="center"/>
            <w:hideMark/>
          </w:tcPr>
          <w:p w14:paraId="156A0C5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-0,47 </w:t>
            </w:r>
          </w:p>
        </w:tc>
        <w:tc>
          <w:tcPr>
            <w:tcW w:w="680" w:type="dxa"/>
            <w:tcBorders>
              <w:top w:val="nil"/>
              <w:left w:val="nil"/>
              <w:bottom w:val="single" w:sz="4" w:space="0" w:color="auto"/>
              <w:right w:val="single" w:sz="4" w:space="0" w:color="auto"/>
            </w:tcBorders>
            <w:shd w:val="clear" w:color="auto" w:fill="auto"/>
            <w:noWrap/>
            <w:vAlign w:val="center"/>
            <w:hideMark/>
          </w:tcPr>
          <w:p w14:paraId="2068B4C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-0,41 </w:t>
            </w:r>
          </w:p>
        </w:tc>
        <w:tc>
          <w:tcPr>
            <w:tcW w:w="680" w:type="dxa"/>
            <w:tcBorders>
              <w:top w:val="nil"/>
              <w:left w:val="nil"/>
              <w:bottom w:val="single" w:sz="4" w:space="0" w:color="auto"/>
              <w:right w:val="single" w:sz="4" w:space="0" w:color="auto"/>
            </w:tcBorders>
            <w:shd w:val="clear" w:color="auto" w:fill="auto"/>
            <w:noWrap/>
            <w:vAlign w:val="center"/>
            <w:hideMark/>
          </w:tcPr>
          <w:p w14:paraId="6BEC3F8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-0,48 </w:t>
            </w:r>
          </w:p>
        </w:tc>
        <w:tc>
          <w:tcPr>
            <w:tcW w:w="680" w:type="dxa"/>
            <w:tcBorders>
              <w:top w:val="nil"/>
              <w:left w:val="nil"/>
              <w:bottom w:val="single" w:sz="4" w:space="0" w:color="auto"/>
              <w:right w:val="single" w:sz="4" w:space="0" w:color="auto"/>
            </w:tcBorders>
            <w:shd w:val="clear" w:color="auto" w:fill="auto"/>
            <w:noWrap/>
            <w:vAlign w:val="center"/>
            <w:hideMark/>
          </w:tcPr>
          <w:p w14:paraId="614F482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-0,41 </w:t>
            </w:r>
          </w:p>
        </w:tc>
        <w:tc>
          <w:tcPr>
            <w:tcW w:w="680" w:type="dxa"/>
            <w:tcBorders>
              <w:top w:val="nil"/>
              <w:left w:val="nil"/>
              <w:bottom w:val="single" w:sz="4" w:space="0" w:color="auto"/>
              <w:right w:val="single" w:sz="4" w:space="0" w:color="auto"/>
            </w:tcBorders>
            <w:shd w:val="clear" w:color="auto" w:fill="auto"/>
            <w:noWrap/>
            <w:vAlign w:val="center"/>
            <w:hideMark/>
          </w:tcPr>
          <w:p w14:paraId="3990266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-0,41 </w:t>
            </w:r>
          </w:p>
        </w:tc>
        <w:tc>
          <w:tcPr>
            <w:tcW w:w="680" w:type="dxa"/>
            <w:tcBorders>
              <w:top w:val="nil"/>
              <w:left w:val="nil"/>
              <w:bottom w:val="single" w:sz="4" w:space="0" w:color="auto"/>
              <w:right w:val="single" w:sz="4" w:space="0" w:color="auto"/>
            </w:tcBorders>
            <w:shd w:val="clear" w:color="auto" w:fill="auto"/>
            <w:noWrap/>
            <w:vAlign w:val="center"/>
            <w:hideMark/>
          </w:tcPr>
          <w:p w14:paraId="6A1F4C7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-0,35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4DC61AE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-0,40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44039C7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-0,33 </w:t>
            </w:r>
          </w:p>
        </w:tc>
        <w:tc>
          <w:tcPr>
            <w:tcW w:w="1757" w:type="dxa"/>
            <w:tcBorders>
              <w:top w:val="nil"/>
              <w:left w:val="nil"/>
              <w:bottom w:val="single" w:sz="4" w:space="0" w:color="auto"/>
              <w:right w:val="single" w:sz="4" w:space="0" w:color="auto"/>
            </w:tcBorders>
            <w:vAlign w:val="center"/>
          </w:tcPr>
          <w:p w14:paraId="599634B4"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Net İthalatçı</w:t>
            </w:r>
          </w:p>
        </w:tc>
      </w:tr>
      <w:tr w:rsidR="00164238" w:rsidRPr="00164238" w14:paraId="3541C537"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6DB88FFC"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12</w:t>
            </w:r>
          </w:p>
        </w:tc>
        <w:tc>
          <w:tcPr>
            <w:tcW w:w="680" w:type="dxa"/>
            <w:tcBorders>
              <w:top w:val="nil"/>
              <w:left w:val="nil"/>
              <w:bottom w:val="single" w:sz="4" w:space="0" w:color="auto"/>
              <w:right w:val="single" w:sz="4" w:space="0" w:color="auto"/>
            </w:tcBorders>
            <w:shd w:val="clear" w:color="auto" w:fill="auto"/>
            <w:noWrap/>
            <w:vAlign w:val="center"/>
            <w:hideMark/>
          </w:tcPr>
          <w:p w14:paraId="5C78AB3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-0,96 </w:t>
            </w:r>
          </w:p>
        </w:tc>
        <w:tc>
          <w:tcPr>
            <w:tcW w:w="680" w:type="dxa"/>
            <w:tcBorders>
              <w:top w:val="nil"/>
              <w:left w:val="nil"/>
              <w:bottom w:val="single" w:sz="4" w:space="0" w:color="auto"/>
              <w:right w:val="single" w:sz="4" w:space="0" w:color="auto"/>
            </w:tcBorders>
            <w:shd w:val="clear" w:color="auto" w:fill="auto"/>
            <w:noWrap/>
            <w:vAlign w:val="center"/>
            <w:hideMark/>
          </w:tcPr>
          <w:p w14:paraId="1C4D096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-0,86 </w:t>
            </w:r>
          </w:p>
        </w:tc>
        <w:tc>
          <w:tcPr>
            <w:tcW w:w="680" w:type="dxa"/>
            <w:tcBorders>
              <w:top w:val="nil"/>
              <w:left w:val="nil"/>
              <w:bottom w:val="single" w:sz="4" w:space="0" w:color="auto"/>
              <w:right w:val="single" w:sz="4" w:space="0" w:color="auto"/>
            </w:tcBorders>
            <w:shd w:val="clear" w:color="auto" w:fill="auto"/>
            <w:noWrap/>
            <w:vAlign w:val="center"/>
            <w:hideMark/>
          </w:tcPr>
          <w:p w14:paraId="526EF65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-0,85 </w:t>
            </w:r>
          </w:p>
        </w:tc>
        <w:tc>
          <w:tcPr>
            <w:tcW w:w="680" w:type="dxa"/>
            <w:tcBorders>
              <w:top w:val="nil"/>
              <w:left w:val="nil"/>
              <w:bottom w:val="single" w:sz="4" w:space="0" w:color="auto"/>
              <w:right w:val="single" w:sz="4" w:space="0" w:color="auto"/>
            </w:tcBorders>
            <w:shd w:val="clear" w:color="auto" w:fill="auto"/>
            <w:noWrap/>
            <w:vAlign w:val="center"/>
            <w:hideMark/>
          </w:tcPr>
          <w:p w14:paraId="05ECF80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-0,74 </w:t>
            </w:r>
          </w:p>
        </w:tc>
        <w:tc>
          <w:tcPr>
            <w:tcW w:w="680" w:type="dxa"/>
            <w:tcBorders>
              <w:top w:val="nil"/>
              <w:left w:val="nil"/>
              <w:bottom w:val="single" w:sz="4" w:space="0" w:color="auto"/>
              <w:right w:val="single" w:sz="4" w:space="0" w:color="auto"/>
            </w:tcBorders>
            <w:shd w:val="clear" w:color="auto" w:fill="auto"/>
            <w:noWrap/>
            <w:vAlign w:val="center"/>
            <w:hideMark/>
          </w:tcPr>
          <w:p w14:paraId="6EF382D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-0,64 </w:t>
            </w:r>
          </w:p>
        </w:tc>
        <w:tc>
          <w:tcPr>
            <w:tcW w:w="680" w:type="dxa"/>
            <w:tcBorders>
              <w:top w:val="nil"/>
              <w:left w:val="nil"/>
              <w:bottom w:val="single" w:sz="4" w:space="0" w:color="auto"/>
              <w:right w:val="single" w:sz="4" w:space="0" w:color="auto"/>
            </w:tcBorders>
            <w:shd w:val="clear" w:color="auto" w:fill="auto"/>
            <w:noWrap/>
            <w:vAlign w:val="center"/>
            <w:hideMark/>
          </w:tcPr>
          <w:p w14:paraId="0EEEBC8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-0,65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77C38C3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-0,51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23E6050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-0,29 </w:t>
            </w:r>
          </w:p>
        </w:tc>
        <w:tc>
          <w:tcPr>
            <w:tcW w:w="1757" w:type="dxa"/>
            <w:tcBorders>
              <w:top w:val="nil"/>
              <w:left w:val="nil"/>
              <w:bottom w:val="single" w:sz="4" w:space="0" w:color="auto"/>
              <w:right w:val="single" w:sz="4" w:space="0" w:color="auto"/>
            </w:tcBorders>
            <w:vAlign w:val="center"/>
          </w:tcPr>
          <w:p w14:paraId="4A5B8D1F"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Net İthalatçı</w:t>
            </w:r>
          </w:p>
        </w:tc>
      </w:tr>
      <w:tr w:rsidR="00164238" w:rsidRPr="00164238" w14:paraId="16D180B6"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3737987C"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13</w:t>
            </w:r>
          </w:p>
        </w:tc>
        <w:tc>
          <w:tcPr>
            <w:tcW w:w="680" w:type="dxa"/>
            <w:tcBorders>
              <w:top w:val="nil"/>
              <w:left w:val="nil"/>
              <w:bottom w:val="single" w:sz="4" w:space="0" w:color="auto"/>
              <w:right w:val="single" w:sz="4" w:space="0" w:color="auto"/>
            </w:tcBorders>
            <w:shd w:val="clear" w:color="auto" w:fill="auto"/>
            <w:noWrap/>
            <w:vAlign w:val="center"/>
            <w:hideMark/>
          </w:tcPr>
          <w:p w14:paraId="6AE1AE2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0,54 </w:t>
            </w:r>
          </w:p>
        </w:tc>
        <w:tc>
          <w:tcPr>
            <w:tcW w:w="680" w:type="dxa"/>
            <w:tcBorders>
              <w:top w:val="nil"/>
              <w:left w:val="nil"/>
              <w:bottom w:val="single" w:sz="4" w:space="0" w:color="auto"/>
              <w:right w:val="single" w:sz="4" w:space="0" w:color="auto"/>
            </w:tcBorders>
            <w:shd w:val="clear" w:color="auto" w:fill="auto"/>
            <w:noWrap/>
            <w:vAlign w:val="center"/>
            <w:hideMark/>
          </w:tcPr>
          <w:p w14:paraId="6EE2F79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0,57 </w:t>
            </w:r>
          </w:p>
        </w:tc>
        <w:tc>
          <w:tcPr>
            <w:tcW w:w="680" w:type="dxa"/>
            <w:tcBorders>
              <w:top w:val="nil"/>
              <w:left w:val="nil"/>
              <w:bottom w:val="single" w:sz="4" w:space="0" w:color="auto"/>
              <w:right w:val="single" w:sz="4" w:space="0" w:color="auto"/>
            </w:tcBorders>
            <w:shd w:val="clear" w:color="auto" w:fill="auto"/>
            <w:noWrap/>
            <w:vAlign w:val="center"/>
            <w:hideMark/>
          </w:tcPr>
          <w:p w14:paraId="14414B9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0,58 </w:t>
            </w:r>
          </w:p>
        </w:tc>
        <w:tc>
          <w:tcPr>
            <w:tcW w:w="680" w:type="dxa"/>
            <w:tcBorders>
              <w:top w:val="nil"/>
              <w:left w:val="nil"/>
              <w:bottom w:val="single" w:sz="4" w:space="0" w:color="auto"/>
              <w:right w:val="single" w:sz="4" w:space="0" w:color="auto"/>
            </w:tcBorders>
            <w:shd w:val="clear" w:color="auto" w:fill="auto"/>
            <w:noWrap/>
            <w:vAlign w:val="center"/>
            <w:hideMark/>
          </w:tcPr>
          <w:p w14:paraId="27FD19A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0,61 </w:t>
            </w:r>
          </w:p>
        </w:tc>
        <w:tc>
          <w:tcPr>
            <w:tcW w:w="680" w:type="dxa"/>
            <w:tcBorders>
              <w:top w:val="nil"/>
              <w:left w:val="nil"/>
              <w:bottom w:val="single" w:sz="4" w:space="0" w:color="auto"/>
              <w:right w:val="single" w:sz="4" w:space="0" w:color="auto"/>
            </w:tcBorders>
            <w:shd w:val="clear" w:color="auto" w:fill="auto"/>
            <w:noWrap/>
            <w:vAlign w:val="center"/>
            <w:hideMark/>
          </w:tcPr>
          <w:p w14:paraId="33CDC79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0,60 </w:t>
            </w:r>
          </w:p>
        </w:tc>
        <w:tc>
          <w:tcPr>
            <w:tcW w:w="680" w:type="dxa"/>
            <w:tcBorders>
              <w:top w:val="nil"/>
              <w:left w:val="nil"/>
              <w:bottom w:val="single" w:sz="4" w:space="0" w:color="auto"/>
              <w:right w:val="single" w:sz="4" w:space="0" w:color="auto"/>
            </w:tcBorders>
            <w:shd w:val="clear" w:color="auto" w:fill="auto"/>
            <w:noWrap/>
            <w:vAlign w:val="center"/>
            <w:hideMark/>
          </w:tcPr>
          <w:p w14:paraId="786E3D2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0,59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382DBAF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0,58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4D6A8AD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0,60 </w:t>
            </w:r>
          </w:p>
        </w:tc>
        <w:tc>
          <w:tcPr>
            <w:tcW w:w="1757" w:type="dxa"/>
            <w:tcBorders>
              <w:top w:val="nil"/>
              <w:left w:val="nil"/>
              <w:bottom w:val="single" w:sz="4" w:space="0" w:color="auto"/>
              <w:right w:val="single" w:sz="4" w:space="0" w:color="auto"/>
            </w:tcBorders>
            <w:vAlign w:val="center"/>
          </w:tcPr>
          <w:p w14:paraId="0B5D56A4"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Net İhracatçı</w:t>
            </w:r>
          </w:p>
        </w:tc>
      </w:tr>
      <w:tr w:rsidR="00164238" w:rsidRPr="00164238" w14:paraId="3147DEC5"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7E438341"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14</w:t>
            </w:r>
          </w:p>
        </w:tc>
        <w:tc>
          <w:tcPr>
            <w:tcW w:w="680" w:type="dxa"/>
            <w:tcBorders>
              <w:top w:val="nil"/>
              <w:left w:val="nil"/>
              <w:bottom w:val="single" w:sz="4" w:space="0" w:color="auto"/>
              <w:right w:val="single" w:sz="4" w:space="0" w:color="auto"/>
            </w:tcBorders>
            <w:shd w:val="clear" w:color="auto" w:fill="auto"/>
            <w:noWrap/>
            <w:vAlign w:val="center"/>
            <w:hideMark/>
          </w:tcPr>
          <w:p w14:paraId="7F0F5D3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0,91 </w:t>
            </w:r>
          </w:p>
        </w:tc>
        <w:tc>
          <w:tcPr>
            <w:tcW w:w="680" w:type="dxa"/>
            <w:tcBorders>
              <w:top w:val="nil"/>
              <w:left w:val="nil"/>
              <w:bottom w:val="single" w:sz="4" w:space="0" w:color="auto"/>
              <w:right w:val="single" w:sz="4" w:space="0" w:color="auto"/>
            </w:tcBorders>
            <w:shd w:val="clear" w:color="auto" w:fill="auto"/>
            <w:noWrap/>
            <w:vAlign w:val="center"/>
            <w:hideMark/>
          </w:tcPr>
          <w:p w14:paraId="0B77993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0,91 </w:t>
            </w:r>
          </w:p>
        </w:tc>
        <w:tc>
          <w:tcPr>
            <w:tcW w:w="680" w:type="dxa"/>
            <w:tcBorders>
              <w:top w:val="nil"/>
              <w:left w:val="nil"/>
              <w:bottom w:val="single" w:sz="4" w:space="0" w:color="auto"/>
              <w:right w:val="single" w:sz="4" w:space="0" w:color="auto"/>
            </w:tcBorders>
            <w:shd w:val="clear" w:color="auto" w:fill="auto"/>
            <w:noWrap/>
            <w:vAlign w:val="center"/>
            <w:hideMark/>
          </w:tcPr>
          <w:p w14:paraId="063CA5A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0,91 </w:t>
            </w:r>
          </w:p>
        </w:tc>
        <w:tc>
          <w:tcPr>
            <w:tcW w:w="680" w:type="dxa"/>
            <w:tcBorders>
              <w:top w:val="nil"/>
              <w:left w:val="nil"/>
              <w:bottom w:val="single" w:sz="4" w:space="0" w:color="auto"/>
              <w:right w:val="single" w:sz="4" w:space="0" w:color="auto"/>
            </w:tcBorders>
            <w:shd w:val="clear" w:color="auto" w:fill="auto"/>
            <w:noWrap/>
            <w:vAlign w:val="center"/>
            <w:hideMark/>
          </w:tcPr>
          <w:p w14:paraId="5FAC8C2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0,92 </w:t>
            </w:r>
          </w:p>
        </w:tc>
        <w:tc>
          <w:tcPr>
            <w:tcW w:w="680" w:type="dxa"/>
            <w:tcBorders>
              <w:top w:val="nil"/>
              <w:left w:val="nil"/>
              <w:bottom w:val="single" w:sz="4" w:space="0" w:color="auto"/>
              <w:right w:val="single" w:sz="4" w:space="0" w:color="auto"/>
            </w:tcBorders>
            <w:shd w:val="clear" w:color="auto" w:fill="auto"/>
            <w:noWrap/>
            <w:vAlign w:val="center"/>
            <w:hideMark/>
          </w:tcPr>
          <w:p w14:paraId="798997B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0,92 </w:t>
            </w:r>
          </w:p>
        </w:tc>
        <w:tc>
          <w:tcPr>
            <w:tcW w:w="680" w:type="dxa"/>
            <w:tcBorders>
              <w:top w:val="nil"/>
              <w:left w:val="nil"/>
              <w:bottom w:val="single" w:sz="4" w:space="0" w:color="auto"/>
              <w:right w:val="single" w:sz="4" w:space="0" w:color="auto"/>
            </w:tcBorders>
            <w:shd w:val="clear" w:color="auto" w:fill="auto"/>
            <w:noWrap/>
            <w:vAlign w:val="center"/>
            <w:hideMark/>
          </w:tcPr>
          <w:p w14:paraId="2E8F639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0,92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4DEC4C3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0,92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7D354BF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0,94 </w:t>
            </w:r>
          </w:p>
        </w:tc>
        <w:tc>
          <w:tcPr>
            <w:tcW w:w="1757" w:type="dxa"/>
            <w:tcBorders>
              <w:top w:val="nil"/>
              <w:left w:val="nil"/>
              <w:bottom w:val="single" w:sz="4" w:space="0" w:color="auto"/>
              <w:right w:val="single" w:sz="4" w:space="0" w:color="auto"/>
            </w:tcBorders>
            <w:vAlign w:val="center"/>
          </w:tcPr>
          <w:p w14:paraId="00B16A4E"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Net İhracatçı</w:t>
            </w:r>
          </w:p>
        </w:tc>
      </w:tr>
      <w:tr w:rsidR="00164238" w:rsidRPr="00164238" w14:paraId="00BF59CD"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2D39FA65"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b/>
                <w:bCs/>
                <w:color w:val="000000" w:themeColor="text1"/>
              </w:rPr>
              <w:t>15</w:t>
            </w:r>
          </w:p>
        </w:tc>
        <w:tc>
          <w:tcPr>
            <w:tcW w:w="680" w:type="dxa"/>
            <w:tcBorders>
              <w:top w:val="nil"/>
              <w:left w:val="nil"/>
              <w:bottom w:val="single" w:sz="4" w:space="0" w:color="auto"/>
              <w:right w:val="single" w:sz="4" w:space="0" w:color="auto"/>
            </w:tcBorders>
            <w:shd w:val="clear" w:color="auto" w:fill="auto"/>
            <w:noWrap/>
            <w:vAlign w:val="center"/>
            <w:hideMark/>
          </w:tcPr>
          <w:p w14:paraId="2447B6F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-0,18 </w:t>
            </w:r>
          </w:p>
        </w:tc>
        <w:tc>
          <w:tcPr>
            <w:tcW w:w="680" w:type="dxa"/>
            <w:tcBorders>
              <w:top w:val="nil"/>
              <w:left w:val="nil"/>
              <w:bottom w:val="single" w:sz="4" w:space="0" w:color="auto"/>
              <w:right w:val="single" w:sz="4" w:space="0" w:color="auto"/>
            </w:tcBorders>
            <w:shd w:val="clear" w:color="auto" w:fill="auto"/>
            <w:noWrap/>
            <w:vAlign w:val="center"/>
            <w:hideMark/>
          </w:tcPr>
          <w:p w14:paraId="6E4301C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-0,11 </w:t>
            </w:r>
          </w:p>
        </w:tc>
        <w:tc>
          <w:tcPr>
            <w:tcW w:w="680" w:type="dxa"/>
            <w:tcBorders>
              <w:top w:val="nil"/>
              <w:left w:val="nil"/>
              <w:bottom w:val="single" w:sz="4" w:space="0" w:color="auto"/>
              <w:right w:val="single" w:sz="4" w:space="0" w:color="auto"/>
            </w:tcBorders>
            <w:shd w:val="clear" w:color="auto" w:fill="auto"/>
            <w:noWrap/>
            <w:vAlign w:val="center"/>
            <w:hideMark/>
          </w:tcPr>
          <w:p w14:paraId="1BA7070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-0,06 </w:t>
            </w:r>
          </w:p>
        </w:tc>
        <w:tc>
          <w:tcPr>
            <w:tcW w:w="680" w:type="dxa"/>
            <w:tcBorders>
              <w:top w:val="nil"/>
              <w:left w:val="nil"/>
              <w:bottom w:val="single" w:sz="4" w:space="0" w:color="auto"/>
              <w:right w:val="single" w:sz="4" w:space="0" w:color="auto"/>
            </w:tcBorders>
            <w:shd w:val="clear" w:color="auto" w:fill="auto"/>
            <w:noWrap/>
            <w:vAlign w:val="center"/>
            <w:hideMark/>
          </w:tcPr>
          <w:p w14:paraId="71C5FC9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0,04 </w:t>
            </w:r>
          </w:p>
        </w:tc>
        <w:tc>
          <w:tcPr>
            <w:tcW w:w="680" w:type="dxa"/>
            <w:tcBorders>
              <w:top w:val="nil"/>
              <w:left w:val="nil"/>
              <w:bottom w:val="single" w:sz="4" w:space="0" w:color="auto"/>
              <w:right w:val="single" w:sz="4" w:space="0" w:color="auto"/>
            </w:tcBorders>
            <w:shd w:val="clear" w:color="auto" w:fill="auto"/>
            <w:noWrap/>
            <w:vAlign w:val="center"/>
            <w:hideMark/>
          </w:tcPr>
          <w:p w14:paraId="53785DF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0,07 </w:t>
            </w:r>
          </w:p>
        </w:tc>
        <w:tc>
          <w:tcPr>
            <w:tcW w:w="680" w:type="dxa"/>
            <w:tcBorders>
              <w:top w:val="nil"/>
              <w:left w:val="nil"/>
              <w:bottom w:val="single" w:sz="4" w:space="0" w:color="auto"/>
              <w:right w:val="single" w:sz="4" w:space="0" w:color="auto"/>
            </w:tcBorders>
            <w:shd w:val="clear" w:color="auto" w:fill="auto"/>
            <w:noWrap/>
            <w:vAlign w:val="center"/>
            <w:hideMark/>
          </w:tcPr>
          <w:p w14:paraId="4BBA75A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0,07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4B411B4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0,11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1BBF694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0,14 </w:t>
            </w:r>
          </w:p>
        </w:tc>
        <w:tc>
          <w:tcPr>
            <w:tcW w:w="1757" w:type="dxa"/>
            <w:tcBorders>
              <w:top w:val="nil"/>
              <w:left w:val="nil"/>
              <w:bottom w:val="single" w:sz="4" w:space="0" w:color="auto"/>
              <w:right w:val="single" w:sz="4" w:space="0" w:color="auto"/>
            </w:tcBorders>
            <w:vAlign w:val="center"/>
          </w:tcPr>
          <w:p w14:paraId="19377CE7"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color w:val="000000" w:themeColor="text1"/>
              </w:rPr>
              <w:t>Net İhracatçı</w:t>
            </w:r>
          </w:p>
        </w:tc>
      </w:tr>
      <w:tr w:rsidR="00164238" w:rsidRPr="00164238" w14:paraId="2D6F99CA"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47E4C392"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color w:val="000000" w:themeColor="text1"/>
              </w:rPr>
              <w:t>16</w:t>
            </w:r>
          </w:p>
        </w:tc>
        <w:tc>
          <w:tcPr>
            <w:tcW w:w="680" w:type="dxa"/>
            <w:tcBorders>
              <w:top w:val="nil"/>
              <w:left w:val="nil"/>
              <w:bottom w:val="single" w:sz="4" w:space="0" w:color="auto"/>
              <w:right w:val="single" w:sz="4" w:space="0" w:color="auto"/>
            </w:tcBorders>
            <w:shd w:val="clear" w:color="auto" w:fill="auto"/>
            <w:noWrap/>
            <w:vAlign w:val="center"/>
            <w:hideMark/>
          </w:tcPr>
          <w:p w14:paraId="2E2F976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-0,88 </w:t>
            </w:r>
          </w:p>
        </w:tc>
        <w:tc>
          <w:tcPr>
            <w:tcW w:w="680" w:type="dxa"/>
            <w:tcBorders>
              <w:top w:val="nil"/>
              <w:left w:val="nil"/>
              <w:bottom w:val="single" w:sz="4" w:space="0" w:color="auto"/>
              <w:right w:val="single" w:sz="4" w:space="0" w:color="auto"/>
            </w:tcBorders>
            <w:shd w:val="clear" w:color="auto" w:fill="auto"/>
            <w:noWrap/>
            <w:vAlign w:val="center"/>
            <w:hideMark/>
          </w:tcPr>
          <w:p w14:paraId="72D0F84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-0,81 </w:t>
            </w:r>
          </w:p>
        </w:tc>
        <w:tc>
          <w:tcPr>
            <w:tcW w:w="680" w:type="dxa"/>
            <w:tcBorders>
              <w:top w:val="nil"/>
              <w:left w:val="nil"/>
              <w:bottom w:val="single" w:sz="4" w:space="0" w:color="auto"/>
              <w:right w:val="single" w:sz="4" w:space="0" w:color="auto"/>
            </w:tcBorders>
            <w:shd w:val="clear" w:color="auto" w:fill="auto"/>
            <w:noWrap/>
            <w:vAlign w:val="center"/>
            <w:hideMark/>
          </w:tcPr>
          <w:p w14:paraId="55D29BA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-0,77 </w:t>
            </w:r>
          </w:p>
        </w:tc>
        <w:tc>
          <w:tcPr>
            <w:tcW w:w="680" w:type="dxa"/>
            <w:tcBorders>
              <w:top w:val="nil"/>
              <w:left w:val="nil"/>
              <w:bottom w:val="single" w:sz="4" w:space="0" w:color="auto"/>
              <w:right w:val="single" w:sz="4" w:space="0" w:color="auto"/>
            </w:tcBorders>
            <w:shd w:val="clear" w:color="auto" w:fill="auto"/>
            <w:noWrap/>
            <w:vAlign w:val="center"/>
            <w:hideMark/>
          </w:tcPr>
          <w:p w14:paraId="0BAA554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-0,68 </w:t>
            </w:r>
          </w:p>
        </w:tc>
        <w:tc>
          <w:tcPr>
            <w:tcW w:w="680" w:type="dxa"/>
            <w:tcBorders>
              <w:top w:val="nil"/>
              <w:left w:val="nil"/>
              <w:bottom w:val="single" w:sz="4" w:space="0" w:color="auto"/>
              <w:right w:val="single" w:sz="4" w:space="0" w:color="auto"/>
            </w:tcBorders>
            <w:shd w:val="clear" w:color="auto" w:fill="auto"/>
            <w:noWrap/>
            <w:vAlign w:val="center"/>
            <w:hideMark/>
          </w:tcPr>
          <w:p w14:paraId="20961EB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-0,63 </w:t>
            </w:r>
          </w:p>
        </w:tc>
        <w:tc>
          <w:tcPr>
            <w:tcW w:w="680" w:type="dxa"/>
            <w:tcBorders>
              <w:top w:val="nil"/>
              <w:left w:val="nil"/>
              <w:bottom w:val="single" w:sz="4" w:space="0" w:color="auto"/>
              <w:right w:val="single" w:sz="4" w:space="0" w:color="auto"/>
            </w:tcBorders>
            <w:shd w:val="clear" w:color="auto" w:fill="auto"/>
            <w:noWrap/>
            <w:vAlign w:val="center"/>
            <w:hideMark/>
          </w:tcPr>
          <w:p w14:paraId="3A254CD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-0,38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44019F5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-0,16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0D4A67C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-0,16 </w:t>
            </w:r>
          </w:p>
        </w:tc>
        <w:tc>
          <w:tcPr>
            <w:tcW w:w="1757" w:type="dxa"/>
            <w:tcBorders>
              <w:top w:val="nil"/>
              <w:left w:val="nil"/>
              <w:bottom w:val="single" w:sz="4" w:space="0" w:color="auto"/>
              <w:right w:val="single" w:sz="4" w:space="0" w:color="auto"/>
            </w:tcBorders>
            <w:vAlign w:val="center"/>
          </w:tcPr>
          <w:p w14:paraId="7A7D2133"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Net İthalatçı</w:t>
            </w:r>
          </w:p>
        </w:tc>
      </w:tr>
      <w:tr w:rsidR="00164238" w:rsidRPr="00164238" w14:paraId="08FD91C2"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2D6BA264"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17</w:t>
            </w:r>
          </w:p>
        </w:tc>
        <w:tc>
          <w:tcPr>
            <w:tcW w:w="680" w:type="dxa"/>
            <w:tcBorders>
              <w:top w:val="nil"/>
              <w:left w:val="nil"/>
              <w:bottom w:val="single" w:sz="4" w:space="0" w:color="auto"/>
              <w:right w:val="single" w:sz="4" w:space="0" w:color="auto"/>
            </w:tcBorders>
            <w:shd w:val="clear" w:color="auto" w:fill="auto"/>
            <w:noWrap/>
            <w:vAlign w:val="center"/>
            <w:hideMark/>
          </w:tcPr>
          <w:p w14:paraId="15419F2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-0,75 </w:t>
            </w:r>
          </w:p>
        </w:tc>
        <w:tc>
          <w:tcPr>
            <w:tcW w:w="680" w:type="dxa"/>
            <w:tcBorders>
              <w:top w:val="nil"/>
              <w:left w:val="nil"/>
              <w:bottom w:val="single" w:sz="4" w:space="0" w:color="auto"/>
              <w:right w:val="single" w:sz="4" w:space="0" w:color="auto"/>
            </w:tcBorders>
            <w:shd w:val="clear" w:color="auto" w:fill="auto"/>
            <w:noWrap/>
            <w:vAlign w:val="center"/>
            <w:hideMark/>
          </w:tcPr>
          <w:p w14:paraId="1183B0A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-0,75 </w:t>
            </w:r>
          </w:p>
        </w:tc>
        <w:tc>
          <w:tcPr>
            <w:tcW w:w="680" w:type="dxa"/>
            <w:tcBorders>
              <w:top w:val="nil"/>
              <w:left w:val="nil"/>
              <w:bottom w:val="single" w:sz="4" w:space="0" w:color="auto"/>
              <w:right w:val="single" w:sz="4" w:space="0" w:color="auto"/>
            </w:tcBorders>
            <w:shd w:val="clear" w:color="auto" w:fill="auto"/>
            <w:noWrap/>
            <w:vAlign w:val="center"/>
            <w:hideMark/>
          </w:tcPr>
          <w:p w14:paraId="041CB87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-0,70 </w:t>
            </w:r>
          </w:p>
        </w:tc>
        <w:tc>
          <w:tcPr>
            <w:tcW w:w="680" w:type="dxa"/>
            <w:tcBorders>
              <w:top w:val="nil"/>
              <w:left w:val="nil"/>
              <w:bottom w:val="single" w:sz="4" w:space="0" w:color="auto"/>
              <w:right w:val="single" w:sz="4" w:space="0" w:color="auto"/>
            </w:tcBorders>
            <w:shd w:val="clear" w:color="auto" w:fill="auto"/>
            <w:noWrap/>
            <w:vAlign w:val="center"/>
            <w:hideMark/>
          </w:tcPr>
          <w:p w14:paraId="5CDD266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-0,66 </w:t>
            </w:r>
          </w:p>
        </w:tc>
        <w:tc>
          <w:tcPr>
            <w:tcW w:w="680" w:type="dxa"/>
            <w:tcBorders>
              <w:top w:val="nil"/>
              <w:left w:val="nil"/>
              <w:bottom w:val="single" w:sz="4" w:space="0" w:color="auto"/>
              <w:right w:val="single" w:sz="4" w:space="0" w:color="auto"/>
            </w:tcBorders>
            <w:shd w:val="clear" w:color="auto" w:fill="auto"/>
            <w:noWrap/>
            <w:vAlign w:val="center"/>
            <w:hideMark/>
          </w:tcPr>
          <w:p w14:paraId="2B17760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-0,66 </w:t>
            </w:r>
          </w:p>
        </w:tc>
        <w:tc>
          <w:tcPr>
            <w:tcW w:w="680" w:type="dxa"/>
            <w:tcBorders>
              <w:top w:val="nil"/>
              <w:left w:val="nil"/>
              <w:bottom w:val="single" w:sz="4" w:space="0" w:color="auto"/>
              <w:right w:val="single" w:sz="4" w:space="0" w:color="auto"/>
            </w:tcBorders>
            <w:shd w:val="clear" w:color="auto" w:fill="auto"/>
            <w:noWrap/>
            <w:vAlign w:val="center"/>
            <w:hideMark/>
          </w:tcPr>
          <w:p w14:paraId="3E184D0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-0,60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4550C96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-0,62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474A906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-0,60 </w:t>
            </w:r>
          </w:p>
        </w:tc>
        <w:tc>
          <w:tcPr>
            <w:tcW w:w="1757" w:type="dxa"/>
            <w:tcBorders>
              <w:top w:val="nil"/>
              <w:left w:val="nil"/>
              <w:bottom w:val="single" w:sz="4" w:space="0" w:color="auto"/>
              <w:right w:val="single" w:sz="4" w:space="0" w:color="auto"/>
            </w:tcBorders>
            <w:vAlign w:val="center"/>
          </w:tcPr>
          <w:p w14:paraId="1292135D"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Net İthalatçı</w:t>
            </w:r>
          </w:p>
        </w:tc>
      </w:tr>
      <w:tr w:rsidR="00164238" w:rsidRPr="00164238" w14:paraId="59D73B76"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02CD7115"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color w:val="000000" w:themeColor="text1"/>
              </w:rPr>
              <w:t>18</w:t>
            </w:r>
          </w:p>
        </w:tc>
        <w:tc>
          <w:tcPr>
            <w:tcW w:w="680" w:type="dxa"/>
            <w:tcBorders>
              <w:top w:val="nil"/>
              <w:left w:val="nil"/>
              <w:bottom w:val="single" w:sz="4" w:space="0" w:color="auto"/>
              <w:right w:val="single" w:sz="4" w:space="0" w:color="auto"/>
            </w:tcBorders>
            <w:shd w:val="clear" w:color="auto" w:fill="auto"/>
            <w:noWrap/>
            <w:vAlign w:val="center"/>
            <w:hideMark/>
          </w:tcPr>
          <w:p w14:paraId="1E77EF8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-0,74 </w:t>
            </w:r>
          </w:p>
        </w:tc>
        <w:tc>
          <w:tcPr>
            <w:tcW w:w="680" w:type="dxa"/>
            <w:tcBorders>
              <w:top w:val="nil"/>
              <w:left w:val="nil"/>
              <w:bottom w:val="single" w:sz="4" w:space="0" w:color="auto"/>
              <w:right w:val="single" w:sz="4" w:space="0" w:color="auto"/>
            </w:tcBorders>
            <w:shd w:val="clear" w:color="auto" w:fill="auto"/>
            <w:noWrap/>
            <w:vAlign w:val="center"/>
            <w:hideMark/>
          </w:tcPr>
          <w:p w14:paraId="7A2D9B2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-0,54 </w:t>
            </w:r>
          </w:p>
        </w:tc>
        <w:tc>
          <w:tcPr>
            <w:tcW w:w="680" w:type="dxa"/>
            <w:tcBorders>
              <w:top w:val="nil"/>
              <w:left w:val="nil"/>
              <w:bottom w:val="single" w:sz="4" w:space="0" w:color="auto"/>
              <w:right w:val="single" w:sz="4" w:space="0" w:color="auto"/>
            </w:tcBorders>
            <w:shd w:val="clear" w:color="auto" w:fill="auto"/>
            <w:noWrap/>
            <w:vAlign w:val="center"/>
            <w:hideMark/>
          </w:tcPr>
          <w:p w14:paraId="42A75C4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-0,48 </w:t>
            </w:r>
          </w:p>
        </w:tc>
        <w:tc>
          <w:tcPr>
            <w:tcW w:w="680" w:type="dxa"/>
            <w:tcBorders>
              <w:top w:val="nil"/>
              <w:left w:val="nil"/>
              <w:bottom w:val="single" w:sz="4" w:space="0" w:color="auto"/>
              <w:right w:val="single" w:sz="4" w:space="0" w:color="auto"/>
            </w:tcBorders>
            <w:shd w:val="clear" w:color="auto" w:fill="auto"/>
            <w:noWrap/>
            <w:vAlign w:val="center"/>
            <w:hideMark/>
          </w:tcPr>
          <w:p w14:paraId="298CC42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-0,50 </w:t>
            </w:r>
          </w:p>
        </w:tc>
        <w:tc>
          <w:tcPr>
            <w:tcW w:w="680" w:type="dxa"/>
            <w:tcBorders>
              <w:top w:val="nil"/>
              <w:left w:val="nil"/>
              <w:bottom w:val="single" w:sz="4" w:space="0" w:color="auto"/>
              <w:right w:val="single" w:sz="4" w:space="0" w:color="auto"/>
            </w:tcBorders>
            <w:shd w:val="clear" w:color="auto" w:fill="auto"/>
            <w:noWrap/>
            <w:vAlign w:val="center"/>
            <w:hideMark/>
          </w:tcPr>
          <w:p w14:paraId="184CC46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-0,35 </w:t>
            </w:r>
          </w:p>
        </w:tc>
        <w:tc>
          <w:tcPr>
            <w:tcW w:w="680" w:type="dxa"/>
            <w:tcBorders>
              <w:top w:val="nil"/>
              <w:left w:val="nil"/>
              <w:bottom w:val="single" w:sz="4" w:space="0" w:color="auto"/>
              <w:right w:val="single" w:sz="4" w:space="0" w:color="auto"/>
            </w:tcBorders>
            <w:shd w:val="clear" w:color="auto" w:fill="auto"/>
            <w:noWrap/>
            <w:vAlign w:val="center"/>
            <w:hideMark/>
          </w:tcPr>
          <w:p w14:paraId="5417C03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-0,34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2E36EB0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-0,28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0BE369F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-0,24 </w:t>
            </w:r>
          </w:p>
        </w:tc>
        <w:tc>
          <w:tcPr>
            <w:tcW w:w="1757" w:type="dxa"/>
            <w:tcBorders>
              <w:top w:val="nil"/>
              <w:left w:val="nil"/>
              <w:bottom w:val="single" w:sz="4" w:space="0" w:color="auto"/>
              <w:right w:val="single" w:sz="4" w:space="0" w:color="auto"/>
            </w:tcBorders>
            <w:vAlign w:val="center"/>
          </w:tcPr>
          <w:p w14:paraId="2E64532A"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Net İthalatçı</w:t>
            </w:r>
          </w:p>
        </w:tc>
      </w:tr>
      <w:tr w:rsidR="00164238" w:rsidRPr="00164238" w14:paraId="78C79AF2"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31110977"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b/>
                <w:bCs/>
                <w:color w:val="000000" w:themeColor="text1"/>
              </w:rPr>
              <w:t>19</w:t>
            </w:r>
          </w:p>
        </w:tc>
        <w:tc>
          <w:tcPr>
            <w:tcW w:w="680" w:type="dxa"/>
            <w:tcBorders>
              <w:top w:val="nil"/>
              <w:left w:val="nil"/>
              <w:bottom w:val="single" w:sz="4" w:space="0" w:color="auto"/>
              <w:right w:val="single" w:sz="4" w:space="0" w:color="auto"/>
            </w:tcBorders>
            <w:shd w:val="clear" w:color="auto" w:fill="auto"/>
            <w:noWrap/>
            <w:vAlign w:val="center"/>
            <w:hideMark/>
          </w:tcPr>
          <w:p w14:paraId="75A4EDC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-0,40</w:t>
            </w:r>
          </w:p>
        </w:tc>
        <w:tc>
          <w:tcPr>
            <w:tcW w:w="680" w:type="dxa"/>
            <w:tcBorders>
              <w:top w:val="nil"/>
              <w:left w:val="nil"/>
              <w:bottom w:val="single" w:sz="4" w:space="0" w:color="auto"/>
              <w:right w:val="single" w:sz="4" w:space="0" w:color="auto"/>
            </w:tcBorders>
            <w:shd w:val="clear" w:color="auto" w:fill="auto"/>
            <w:noWrap/>
            <w:vAlign w:val="center"/>
            <w:hideMark/>
          </w:tcPr>
          <w:p w14:paraId="5342B31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-0,58</w:t>
            </w:r>
          </w:p>
        </w:tc>
        <w:tc>
          <w:tcPr>
            <w:tcW w:w="680" w:type="dxa"/>
            <w:tcBorders>
              <w:top w:val="nil"/>
              <w:left w:val="nil"/>
              <w:bottom w:val="single" w:sz="4" w:space="0" w:color="auto"/>
              <w:right w:val="single" w:sz="4" w:space="0" w:color="auto"/>
            </w:tcBorders>
            <w:shd w:val="clear" w:color="auto" w:fill="auto"/>
            <w:noWrap/>
            <w:vAlign w:val="center"/>
            <w:hideMark/>
          </w:tcPr>
          <w:p w14:paraId="40DCBA5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-0,51</w:t>
            </w:r>
          </w:p>
        </w:tc>
        <w:tc>
          <w:tcPr>
            <w:tcW w:w="680" w:type="dxa"/>
            <w:tcBorders>
              <w:top w:val="nil"/>
              <w:left w:val="nil"/>
              <w:bottom w:val="single" w:sz="4" w:space="0" w:color="auto"/>
              <w:right w:val="single" w:sz="4" w:space="0" w:color="auto"/>
            </w:tcBorders>
            <w:shd w:val="clear" w:color="auto" w:fill="auto"/>
            <w:noWrap/>
            <w:vAlign w:val="center"/>
            <w:hideMark/>
          </w:tcPr>
          <w:p w14:paraId="6EE57EA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-0,59</w:t>
            </w:r>
          </w:p>
        </w:tc>
        <w:tc>
          <w:tcPr>
            <w:tcW w:w="680" w:type="dxa"/>
            <w:tcBorders>
              <w:top w:val="nil"/>
              <w:left w:val="nil"/>
              <w:bottom w:val="single" w:sz="4" w:space="0" w:color="auto"/>
              <w:right w:val="single" w:sz="4" w:space="0" w:color="auto"/>
            </w:tcBorders>
            <w:shd w:val="clear" w:color="auto" w:fill="auto"/>
            <w:noWrap/>
            <w:vAlign w:val="center"/>
            <w:hideMark/>
          </w:tcPr>
          <w:p w14:paraId="7538F82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-0,56</w:t>
            </w:r>
          </w:p>
        </w:tc>
        <w:tc>
          <w:tcPr>
            <w:tcW w:w="680" w:type="dxa"/>
            <w:tcBorders>
              <w:top w:val="nil"/>
              <w:left w:val="nil"/>
              <w:bottom w:val="single" w:sz="4" w:space="0" w:color="auto"/>
              <w:right w:val="single" w:sz="4" w:space="0" w:color="auto"/>
            </w:tcBorders>
            <w:shd w:val="clear" w:color="auto" w:fill="auto"/>
            <w:noWrap/>
            <w:vAlign w:val="center"/>
            <w:hideMark/>
          </w:tcPr>
          <w:p w14:paraId="2595CE0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-0,27</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7F0CFFB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0,20</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30BAD2E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0,01</w:t>
            </w:r>
          </w:p>
        </w:tc>
        <w:tc>
          <w:tcPr>
            <w:tcW w:w="1757" w:type="dxa"/>
            <w:tcBorders>
              <w:top w:val="nil"/>
              <w:left w:val="nil"/>
              <w:bottom w:val="single" w:sz="4" w:space="0" w:color="auto"/>
              <w:right w:val="single" w:sz="4" w:space="0" w:color="auto"/>
            </w:tcBorders>
            <w:vAlign w:val="center"/>
          </w:tcPr>
          <w:p w14:paraId="0A3A4722"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Net İhracatçı</w:t>
            </w:r>
          </w:p>
        </w:tc>
      </w:tr>
      <w:tr w:rsidR="00164238" w:rsidRPr="00164238" w14:paraId="39F620FE"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1C902D94"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w:t>
            </w:r>
          </w:p>
        </w:tc>
        <w:tc>
          <w:tcPr>
            <w:tcW w:w="680" w:type="dxa"/>
            <w:tcBorders>
              <w:top w:val="nil"/>
              <w:left w:val="nil"/>
              <w:bottom w:val="single" w:sz="4" w:space="0" w:color="auto"/>
              <w:right w:val="single" w:sz="4" w:space="0" w:color="auto"/>
            </w:tcBorders>
            <w:shd w:val="clear" w:color="auto" w:fill="auto"/>
            <w:noWrap/>
            <w:vAlign w:val="center"/>
            <w:hideMark/>
          </w:tcPr>
          <w:p w14:paraId="62313D6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-0,72 </w:t>
            </w:r>
          </w:p>
        </w:tc>
        <w:tc>
          <w:tcPr>
            <w:tcW w:w="680" w:type="dxa"/>
            <w:tcBorders>
              <w:top w:val="nil"/>
              <w:left w:val="nil"/>
              <w:bottom w:val="single" w:sz="4" w:space="0" w:color="auto"/>
              <w:right w:val="single" w:sz="4" w:space="0" w:color="auto"/>
            </w:tcBorders>
            <w:shd w:val="clear" w:color="auto" w:fill="auto"/>
            <w:noWrap/>
            <w:vAlign w:val="center"/>
            <w:hideMark/>
          </w:tcPr>
          <w:p w14:paraId="160CE8C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-0,70 </w:t>
            </w:r>
          </w:p>
        </w:tc>
        <w:tc>
          <w:tcPr>
            <w:tcW w:w="680" w:type="dxa"/>
            <w:tcBorders>
              <w:top w:val="nil"/>
              <w:left w:val="nil"/>
              <w:bottom w:val="single" w:sz="4" w:space="0" w:color="auto"/>
              <w:right w:val="single" w:sz="4" w:space="0" w:color="auto"/>
            </w:tcBorders>
            <w:shd w:val="clear" w:color="auto" w:fill="auto"/>
            <w:noWrap/>
            <w:vAlign w:val="center"/>
            <w:hideMark/>
          </w:tcPr>
          <w:p w14:paraId="084A6CF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-0,66 </w:t>
            </w:r>
          </w:p>
        </w:tc>
        <w:tc>
          <w:tcPr>
            <w:tcW w:w="680" w:type="dxa"/>
            <w:tcBorders>
              <w:top w:val="nil"/>
              <w:left w:val="nil"/>
              <w:bottom w:val="single" w:sz="4" w:space="0" w:color="auto"/>
              <w:right w:val="single" w:sz="4" w:space="0" w:color="auto"/>
            </w:tcBorders>
            <w:shd w:val="clear" w:color="auto" w:fill="auto"/>
            <w:noWrap/>
            <w:vAlign w:val="center"/>
            <w:hideMark/>
          </w:tcPr>
          <w:p w14:paraId="2A42F75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-0,67 </w:t>
            </w:r>
          </w:p>
        </w:tc>
        <w:tc>
          <w:tcPr>
            <w:tcW w:w="680" w:type="dxa"/>
            <w:tcBorders>
              <w:top w:val="nil"/>
              <w:left w:val="nil"/>
              <w:bottom w:val="single" w:sz="4" w:space="0" w:color="auto"/>
              <w:right w:val="single" w:sz="4" w:space="0" w:color="auto"/>
            </w:tcBorders>
            <w:shd w:val="clear" w:color="auto" w:fill="auto"/>
            <w:noWrap/>
            <w:vAlign w:val="center"/>
            <w:hideMark/>
          </w:tcPr>
          <w:p w14:paraId="661722D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-0,66 </w:t>
            </w:r>
          </w:p>
        </w:tc>
        <w:tc>
          <w:tcPr>
            <w:tcW w:w="680" w:type="dxa"/>
            <w:tcBorders>
              <w:top w:val="nil"/>
              <w:left w:val="nil"/>
              <w:bottom w:val="single" w:sz="4" w:space="0" w:color="auto"/>
              <w:right w:val="single" w:sz="4" w:space="0" w:color="auto"/>
            </w:tcBorders>
            <w:shd w:val="clear" w:color="auto" w:fill="auto"/>
            <w:noWrap/>
            <w:vAlign w:val="center"/>
            <w:hideMark/>
          </w:tcPr>
          <w:p w14:paraId="209F627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-0,62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1D919EC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-0,56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7685754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-0,56 </w:t>
            </w:r>
          </w:p>
        </w:tc>
        <w:tc>
          <w:tcPr>
            <w:tcW w:w="1757" w:type="dxa"/>
            <w:tcBorders>
              <w:top w:val="nil"/>
              <w:left w:val="nil"/>
              <w:bottom w:val="single" w:sz="4" w:space="0" w:color="auto"/>
              <w:right w:val="single" w:sz="4" w:space="0" w:color="auto"/>
            </w:tcBorders>
            <w:vAlign w:val="center"/>
          </w:tcPr>
          <w:p w14:paraId="78F068EC"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Net İthalatçı</w:t>
            </w:r>
          </w:p>
        </w:tc>
      </w:tr>
      <w:tr w:rsidR="00164238" w:rsidRPr="00164238" w14:paraId="41DA4403"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325C8279"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21</w:t>
            </w:r>
          </w:p>
        </w:tc>
        <w:tc>
          <w:tcPr>
            <w:tcW w:w="680" w:type="dxa"/>
            <w:tcBorders>
              <w:top w:val="nil"/>
              <w:left w:val="nil"/>
              <w:bottom w:val="single" w:sz="4" w:space="0" w:color="auto"/>
              <w:right w:val="single" w:sz="4" w:space="0" w:color="auto"/>
            </w:tcBorders>
            <w:shd w:val="clear" w:color="auto" w:fill="auto"/>
            <w:noWrap/>
            <w:vAlign w:val="center"/>
            <w:hideMark/>
          </w:tcPr>
          <w:p w14:paraId="2206196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-0,89 </w:t>
            </w:r>
          </w:p>
        </w:tc>
        <w:tc>
          <w:tcPr>
            <w:tcW w:w="680" w:type="dxa"/>
            <w:tcBorders>
              <w:top w:val="nil"/>
              <w:left w:val="nil"/>
              <w:bottom w:val="single" w:sz="4" w:space="0" w:color="auto"/>
              <w:right w:val="single" w:sz="4" w:space="0" w:color="auto"/>
            </w:tcBorders>
            <w:shd w:val="clear" w:color="auto" w:fill="auto"/>
            <w:noWrap/>
            <w:vAlign w:val="center"/>
            <w:hideMark/>
          </w:tcPr>
          <w:p w14:paraId="5F0935C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-0,91 </w:t>
            </w:r>
          </w:p>
        </w:tc>
        <w:tc>
          <w:tcPr>
            <w:tcW w:w="680" w:type="dxa"/>
            <w:tcBorders>
              <w:top w:val="nil"/>
              <w:left w:val="nil"/>
              <w:bottom w:val="single" w:sz="4" w:space="0" w:color="auto"/>
              <w:right w:val="single" w:sz="4" w:space="0" w:color="auto"/>
            </w:tcBorders>
            <w:shd w:val="clear" w:color="auto" w:fill="auto"/>
            <w:noWrap/>
            <w:vAlign w:val="center"/>
            <w:hideMark/>
          </w:tcPr>
          <w:p w14:paraId="7F61A17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-0,90 </w:t>
            </w:r>
          </w:p>
        </w:tc>
        <w:tc>
          <w:tcPr>
            <w:tcW w:w="680" w:type="dxa"/>
            <w:tcBorders>
              <w:top w:val="nil"/>
              <w:left w:val="nil"/>
              <w:bottom w:val="single" w:sz="4" w:space="0" w:color="auto"/>
              <w:right w:val="single" w:sz="4" w:space="0" w:color="auto"/>
            </w:tcBorders>
            <w:shd w:val="clear" w:color="auto" w:fill="auto"/>
            <w:noWrap/>
            <w:vAlign w:val="center"/>
            <w:hideMark/>
          </w:tcPr>
          <w:p w14:paraId="5F7CEBB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-0,90 </w:t>
            </w:r>
          </w:p>
        </w:tc>
        <w:tc>
          <w:tcPr>
            <w:tcW w:w="680" w:type="dxa"/>
            <w:tcBorders>
              <w:top w:val="nil"/>
              <w:left w:val="nil"/>
              <w:bottom w:val="single" w:sz="4" w:space="0" w:color="auto"/>
              <w:right w:val="single" w:sz="4" w:space="0" w:color="auto"/>
            </w:tcBorders>
            <w:shd w:val="clear" w:color="auto" w:fill="auto"/>
            <w:noWrap/>
            <w:vAlign w:val="center"/>
            <w:hideMark/>
          </w:tcPr>
          <w:p w14:paraId="566C757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-0,90 </w:t>
            </w:r>
          </w:p>
        </w:tc>
        <w:tc>
          <w:tcPr>
            <w:tcW w:w="680" w:type="dxa"/>
            <w:tcBorders>
              <w:top w:val="nil"/>
              <w:left w:val="nil"/>
              <w:bottom w:val="single" w:sz="4" w:space="0" w:color="auto"/>
              <w:right w:val="single" w:sz="4" w:space="0" w:color="auto"/>
            </w:tcBorders>
            <w:shd w:val="clear" w:color="auto" w:fill="auto"/>
            <w:noWrap/>
            <w:vAlign w:val="center"/>
            <w:hideMark/>
          </w:tcPr>
          <w:p w14:paraId="19E3653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-0,88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43ADF88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-0,88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0423D97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-0,85 </w:t>
            </w:r>
          </w:p>
        </w:tc>
        <w:tc>
          <w:tcPr>
            <w:tcW w:w="1757" w:type="dxa"/>
            <w:tcBorders>
              <w:top w:val="nil"/>
              <w:left w:val="nil"/>
              <w:bottom w:val="single" w:sz="4" w:space="0" w:color="auto"/>
              <w:right w:val="single" w:sz="4" w:space="0" w:color="auto"/>
            </w:tcBorders>
            <w:vAlign w:val="center"/>
          </w:tcPr>
          <w:p w14:paraId="6E5B5BB6"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Net İthalatçı</w:t>
            </w:r>
          </w:p>
        </w:tc>
      </w:tr>
      <w:tr w:rsidR="00164238" w:rsidRPr="00164238" w14:paraId="366CA4AF"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6D6FFA55"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22</w:t>
            </w:r>
          </w:p>
        </w:tc>
        <w:tc>
          <w:tcPr>
            <w:tcW w:w="680" w:type="dxa"/>
            <w:tcBorders>
              <w:top w:val="nil"/>
              <w:left w:val="nil"/>
              <w:bottom w:val="single" w:sz="4" w:space="0" w:color="auto"/>
              <w:right w:val="single" w:sz="4" w:space="0" w:color="auto"/>
            </w:tcBorders>
            <w:shd w:val="clear" w:color="auto" w:fill="auto"/>
            <w:noWrap/>
            <w:vAlign w:val="center"/>
            <w:hideMark/>
          </w:tcPr>
          <w:p w14:paraId="7BE3878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0,00</w:t>
            </w:r>
          </w:p>
        </w:tc>
        <w:tc>
          <w:tcPr>
            <w:tcW w:w="680" w:type="dxa"/>
            <w:tcBorders>
              <w:top w:val="nil"/>
              <w:left w:val="nil"/>
              <w:bottom w:val="single" w:sz="4" w:space="0" w:color="auto"/>
              <w:right w:val="single" w:sz="4" w:space="0" w:color="auto"/>
            </w:tcBorders>
            <w:shd w:val="clear" w:color="auto" w:fill="auto"/>
            <w:noWrap/>
            <w:vAlign w:val="center"/>
            <w:hideMark/>
          </w:tcPr>
          <w:p w14:paraId="62D2978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0,04</w:t>
            </w:r>
          </w:p>
        </w:tc>
        <w:tc>
          <w:tcPr>
            <w:tcW w:w="680" w:type="dxa"/>
            <w:tcBorders>
              <w:top w:val="nil"/>
              <w:left w:val="nil"/>
              <w:bottom w:val="single" w:sz="4" w:space="0" w:color="auto"/>
              <w:right w:val="single" w:sz="4" w:space="0" w:color="auto"/>
            </w:tcBorders>
            <w:shd w:val="clear" w:color="auto" w:fill="auto"/>
            <w:noWrap/>
            <w:vAlign w:val="center"/>
            <w:hideMark/>
          </w:tcPr>
          <w:p w14:paraId="440B5E3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0,02</w:t>
            </w:r>
          </w:p>
        </w:tc>
        <w:tc>
          <w:tcPr>
            <w:tcW w:w="680" w:type="dxa"/>
            <w:tcBorders>
              <w:top w:val="nil"/>
              <w:left w:val="nil"/>
              <w:bottom w:val="single" w:sz="4" w:space="0" w:color="auto"/>
              <w:right w:val="single" w:sz="4" w:space="0" w:color="auto"/>
            </w:tcBorders>
            <w:shd w:val="clear" w:color="auto" w:fill="auto"/>
            <w:noWrap/>
            <w:vAlign w:val="center"/>
            <w:hideMark/>
          </w:tcPr>
          <w:p w14:paraId="032A7E3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0,03</w:t>
            </w:r>
          </w:p>
        </w:tc>
        <w:tc>
          <w:tcPr>
            <w:tcW w:w="680" w:type="dxa"/>
            <w:tcBorders>
              <w:top w:val="nil"/>
              <w:left w:val="nil"/>
              <w:bottom w:val="single" w:sz="4" w:space="0" w:color="auto"/>
              <w:right w:val="single" w:sz="4" w:space="0" w:color="auto"/>
            </w:tcBorders>
            <w:shd w:val="clear" w:color="auto" w:fill="auto"/>
            <w:noWrap/>
            <w:vAlign w:val="center"/>
            <w:hideMark/>
          </w:tcPr>
          <w:p w14:paraId="1037A3E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0,04</w:t>
            </w:r>
          </w:p>
        </w:tc>
        <w:tc>
          <w:tcPr>
            <w:tcW w:w="680" w:type="dxa"/>
            <w:tcBorders>
              <w:top w:val="nil"/>
              <w:left w:val="nil"/>
              <w:bottom w:val="single" w:sz="4" w:space="0" w:color="auto"/>
              <w:right w:val="single" w:sz="4" w:space="0" w:color="auto"/>
            </w:tcBorders>
            <w:shd w:val="clear" w:color="auto" w:fill="auto"/>
            <w:noWrap/>
            <w:vAlign w:val="center"/>
            <w:hideMark/>
          </w:tcPr>
          <w:p w14:paraId="419670D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0,10</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4373B5E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0,12</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4915676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0,12</w:t>
            </w:r>
          </w:p>
        </w:tc>
        <w:tc>
          <w:tcPr>
            <w:tcW w:w="1757" w:type="dxa"/>
            <w:tcBorders>
              <w:top w:val="nil"/>
              <w:left w:val="nil"/>
              <w:bottom w:val="single" w:sz="4" w:space="0" w:color="auto"/>
              <w:right w:val="single" w:sz="4" w:space="0" w:color="auto"/>
            </w:tcBorders>
            <w:vAlign w:val="center"/>
          </w:tcPr>
          <w:p w14:paraId="552CE57C"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Net İhracatçı</w:t>
            </w:r>
          </w:p>
        </w:tc>
      </w:tr>
      <w:tr w:rsidR="00164238" w:rsidRPr="00164238" w14:paraId="1020C420"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00F690DD"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23</w:t>
            </w:r>
          </w:p>
        </w:tc>
        <w:tc>
          <w:tcPr>
            <w:tcW w:w="680" w:type="dxa"/>
            <w:tcBorders>
              <w:top w:val="nil"/>
              <w:left w:val="nil"/>
              <w:bottom w:val="single" w:sz="4" w:space="0" w:color="auto"/>
              <w:right w:val="single" w:sz="4" w:space="0" w:color="auto"/>
            </w:tcBorders>
            <w:shd w:val="clear" w:color="auto" w:fill="auto"/>
            <w:noWrap/>
            <w:vAlign w:val="center"/>
            <w:hideMark/>
          </w:tcPr>
          <w:p w14:paraId="0E20261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0,06 </w:t>
            </w:r>
          </w:p>
        </w:tc>
        <w:tc>
          <w:tcPr>
            <w:tcW w:w="680" w:type="dxa"/>
            <w:tcBorders>
              <w:top w:val="nil"/>
              <w:left w:val="nil"/>
              <w:bottom w:val="single" w:sz="4" w:space="0" w:color="auto"/>
              <w:right w:val="single" w:sz="4" w:space="0" w:color="auto"/>
            </w:tcBorders>
            <w:shd w:val="clear" w:color="auto" w:fill="auto"/>
            <w:noWrap/>
            <w:vAlign w:val="center"/>
            <w:hideMark/>
          </w:tcPr>
          <w:p w14:paraId="0262C00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0,06 </w:t>
            </w:r>
          </w:p>
        </w:tc>
        <w:tc>
          <w:tcPr>
            <w:tcW w:w="680" w:type="dxa"/>
            <w:tcBorders>
              <w:top w:val="nil"/>
              <w:left w:val="nil"/>
              <w:bottom w:val="single" w:sz="4" w:space="0" w:color="auto"/>
              <w:right w:val="single" w:sz="4" w:space="0" w:color="auto"/>
            </w:tcBorders>
            <w:shd w:val="clear" w:color="auto" w:fill="auto"/>
            <w:noWrap/>
            <w:vAlign w:val="center"/>
            <w:hideMark/>
          </w:tcPr>
          <w:p w14:paraId="216D0F2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0,11 </w:t>
            </w:r>
          </w:p>
        </w:tc>
        <w:tc>
          <w:tcPr>
            <w:tcW w:w="680" w:type="dxa"/>
            <w:tcBorders>
              <w:top w:val="nil"/>
              <w:left w:val="nil"/>
              <w:bottom w:val="single" w:sz="4" w:space="0" w:color="auto"/>
              <w:right w:val="single" w:sz="4" w:space="0" w:color="auto"/>
            </w:tcBorders>
            <w:shd w:val="clear" w:color="auto" w:fill="auto"/>
            <w:noWrap/>
            <w:vAlign w:val="center"/>
            <w:hideMark/>
          </w:tcPr>
          <w:p w14:paraId="6FEAA45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0,12 </w:t>
            </w:r>
          </w:p>
        </w:tc>
        <w:tc>
          <w:tcPr>
            <w:tcW w:w="680" w:type="dxa"/>
            <w:tcBorders>
              <w:top w:val="nil"/>
              <w:left w:val="nil"/>
              <w:bottom w:val="single" w:sz="4" w:space="0" w:color="auto"/>
              <w:right w:val="single" w:sz="4" w:space="0" w:color="auto"/>
            </w:tcBorders>
            <w:shd w:val="clear" w:color="auto" w:fill="auto"/>
            <w:noWrap/>
            <w:vAlign w:val="center"/>
            <w:hideMark/>
          </w:tcPr>
          <w:p w14:paraId="17AEB48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0,08 </w:t>
            </w:r>
          </w:p>
        </w:tc>
        <w:tc>
          <w:tcPr>
            <w:tcW w:w="680" w:type="dxa"/>
            <w:tcBorders>
              <w:top w:val="nil"/>
              <w:left w:val="nil"/>
              <w:bottom w:val="single" w:sz="4" w:space="0" w:color="auto"/>
              <w:right w:val="single" w:sz="4" w:space="0" w:color="auto"/>
            </w:tcBorders>
            <w:shd w:val="clear" w:color="auto" w:fill="auto"/>
            <w:noWrap/>
            <w:vAlign w:val="center"/>
            <w:hideMark/>
          </w:tcPr>
          <w:p w14:paraId="2450229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0,16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314ADCC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0,27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2003CE4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0,25 </w:t>
            </w:r>
          </w:p>
        </w:tc>
        <w:tc>
          <w:tcPr>
            <w:tcW w:w="1757" w:type="dxa"/>
            <w:tcBorders>
              <w:top w:val="nil"/>
              <w:left w:val="nil"/>
              <w:bottom w:val="single" w:sz="4" w:space="0" w:color="auto"/>
              <w:right w:val="single" w:sz="4" w:space="0" w:color="auto"/>
            </w:tcBorders>
            <w:vAlign w:val="center"/>
          </w:tcPr>
          <w:p w14:paraId="4D0D3E6D"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Net İhracatçı</w:t>
            </w:r>
          </w:p>
        </w:tc>
      </w:tr>
      <w:tr w:rsidR="00164238" w:rsidRPr="00164238" w14:paraId="1A0A709C"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5410C203"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b/>
                <w:bCs/>
                <w:color w:val="000000" w:themeColor="text1"/>
              </w:rPr>
              <w:lastRenderedPageBreak/>
              <w:t>24</w:t>
            </w:r>
          </w:p>
        </w:tc>
        <w:tc>
          <w:tcPr>
            <w:tcW w:w="680" w:type="dxa"/>
            <w:tcBorders>
              <w:top w:val="nil"/>
              <w:left w:val="nil"/>
              <w:bottom w:val="single" w:sz="4" w:space="0" w:color="auto"/>
              <w:right w:val="single" w:sz="4" w:space="0" w:color="auto"/>
            </w:tcBorders>
            <w:shd w:val="clear" w:color="auto" w:fill="auto"/>
            <w:noWrap/>
            <w:vAlign w:val="center"/>
            <w:hideMark/>
          </w:tcPr>
          <w:p w14:paraId="21EFC46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-0,37 </w:t>
            </w:r>
          </w:p>
        </w:tc>
        <w:tc>
          <w:tcPr>
            <w:tcW w:w="680" w:type="dxa"/>
            <w:tcBorders>
              <w:top w:val="nil"/>
              <w:left w:val="nil"/>
              <w:bottom w:val="single" w:sz="4" w:space="0" w:color="auto"/>
              <w:right w:val="single" w:sz="4" w:space="0" w:color="auto"/>
            </w:tcBorders>
            <w:shd w:val="clear" w:color="auto" w:fill="auto"/>
            <w:noWrap/>
            <w:vAlign w:val="center"/>
            <w:hideMark/>
          </w:tcPr>
          <w:p w14:paraId="064DAE8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-0,36 </w:t>
            </w:r>
          </w:p>
        </w:tc>
        <w:tc>
          <w:tcPr>
            <w:tcW w:w="680" w:type="dxa"/>
            <w:tcBorders>
              <w:top w:val="nil"/>
              <w:left w:val="nil"/>
              <w:bottom w:val="single" w:sz="4" w:space="0" w:color="auto"/>
              <w:right w:val="single" w:sz="4" w:space="0" w:color="auto"/>
            </w:tcBorders>
            <w:shd w:val="clear" w:color="auto" w:fill="auto"/>
            <w:noWrap/>
            <w:vAlign w:val="center"/>
            <w:hideMark/>
          </w:tcPr>
          <w:p w14:paraId="6D2D637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-0,32 </w:t>
            </w:r>
          </w:p>
        </w:tc>
        <w:tc>
          <w:tcPr>
            <w:tcW w:w="680" w:type="dxa"/>
            <w:tcBorders>
              <w:top w:val="nil"/>
              <w:left w:val="nil"/>
              <w:bottom w:val="single" w:sz="4" w:space="0" w:color="auto"/>
              <w:right w:val="single" w:sz="4" w:space="0" w:color="auto"/>
            </w:tcBorders>
            <w:shd w:val="clear" w:color="auto" w:fill="auto"/>
            <w:noWrap/>
            <w:vAlign w:val="center"/>
            <w:hideMark/>
          </w:tcPr>
          <w:p w14:paraId="014D675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-0,25 </w:t>
            </w:r>
          </w:p>
        </w:tc>
        <w:tc>
          <w:tcPr>
            <w:tcW w:w="680" w:type="dxa"/>
            <w:tcBorders>
              <w:top w:val="nil"/>
              <w:left w:val="nil"/>
              <w:bottom w:val="single" w:sz="4" w:space="0" w:color="auto"/>
              <w:right w:val="single" w:sz="4" w:space="0" w:color="auto"/>
            </w:tcBorders>
            <w:shd w:val="clear" w:color="auto" w:fill="auto"/>
            <w:noWrap/>
            <w:vAlign w:val="center"/>
            <w:hideMark/>
          </w:tcPr>
          <w:p w14:paraId="1182DE9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-0,17 </w:t>
            </w:r>
          </w:p>
        </w:tc>
        <w:tc>
          <w:tcPr>
            <w:tcW w:w="680" w:type="dxa"/>
            <w:tcBorders>
              <w:top w:val="nil"/>
              <w:left w:val="nil"/>
              <w:bottom w:val="single" w:sz="4" w:space="0" w:color="auto"/>
              <w:right w:val="single" w:sz="4" w:space="0" w:color="auto"/>
            </w:tcBorders>
            <w:shd w:val="clear" w:color="auto" w:fill="auto"/>
            <w:noWrap/>
            <w:vAlign w:val="center"/>
            <w:hideMark/>
          </w:tcPr>
          <w:p w14:paraId="64A2C44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0,05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53502F8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-0,06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463BD62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-0,14 </w:t>
            </w:r>
          </w:p>
        </w:tc>
        <w:tc>
          <w:tcPr>
            <w:tcW w:w="1757" w:type="dxa"/>
            <w:tcBorders>
              <w:top w:val="nil"/>
              <w:left w:val="nil"/>
              <w:bottom w:val="single" w:sz="4" w:space="0" w:color="auto"/>
              <w:right w:val="single" w:sz="4" w:space="0" w:color="auto"/>
            </w:tcBorders>
            <w:vAlign w:val="center"/>
          </w:tcPr>
          <w:p w14:paraId="0092C7DF"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color w:val="000000" w:themeColor="text1"/>
                <w:lang w:eastAsia="tr-TR"/>
              </w:rPr>
              <w:t>Net İthalatçı</w:t>
            </w:r>
          </w:p>
        </w:tc>
      </w:tr>
      <w:tr w:rsidR="00164238" w:rsidRPr="00164238" w14:paraId="63DC92DB"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1D8EC5CD"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b/>
                <w:bCs/>
                <w:color w:val="000000" w:themeColor="text1"/>
              </w:rPr>
              <w:t>25</w:t>
            </w:r>
          </w:p>
        </w:tc>
        <w:tc>
          <w:tcPr>
            <w:tcW w:w="680" w:type="dxa"/>
            <w:tcBorders>
              <w:top w:val="nil"/>
              <w:left w:val="nil"/>
              <w:bottom w:val="single" w:sz="4" w:space="0" w:color="auto"/>
              <w:right w:val="single" w:sz="4" w:space="0" w:color="auto"/>
            </w:tcBorders>
            <w:shd w:val="clear" w:color="auto" w:fill="auto"/>
            <w:noWrap/>
            <w:vAlign w:val="center"/>
            <w:hideMark/>
          </w:tcPr>
          <w:p w14:paraId="0947002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-0,06 </w:t>
            </w:r>
          </w:p>
        </w:tc>
        <w:tc>
          <w:tcPr>
            <w:tcW w:w="680" w:type="dxa"/>
            <w:tcBorders>
              <w:top w:val="nil"/>
              <w:left w:val="nil"/>
              <w:bottom w:val="single" w:sz="4" w:space="0" w:color="auto"/>
              <w:right w:val="single" w:sz="4" w:space="0" w:color="auto"/>
            </w:tcBorders>
            <w:shd w:val="clear" w:color="auto" w:fill="auto"/>
            <w:noWrap/>
            <w:vAlign w:val="center"/>
            <w:hideMark/>
          </w:tcPr>
          <w:p w14:paraId="03DCF27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0,04 </w:t>
            </w:r>
          </w:p>
        </w:tc>
        <w:tc>
          <w:tcPr>
            <w:tcW w:w="680" w:type="dxa"/>
            <w:tcBorders>
              <w:top w:val="nil"/>
              <w:left w:val="nil"/>
              <w:bottom w:val="single" w:sz="4" w:space="0" w:color="auto"/>
              <w:right w:val="single" w:sz="4" w:space="0" w:color="auto"/>
            </w:tcBorders>
            <w:shd w:val="clear" w:color="auto" w:fill="auto"/>
            <w:noWrap/>
            <w:vAlign w:val="center"/>
            <w:hideMark/>
          </w:tcPr>
          <w:p w14:paraId="4E4E230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0,04 </w:t>
            </w:r>
          </w:p>
        </w:tc>
        <w:tc>
          <w:tcPr>
            <w:tcW w:w="680" w:type="dxa"/>
            <w:tcBorders>
              <w:top w:val="nil"/>
              <w:left w:val="nil"/>
              <w:bottom w:val="single" w:sz="4" w:space="0" w:color="auto"/>
              <w:right w:val="single" w:sz="4" w:space="0" w:color="auto"/>
            </w:tcBorders>
            <w:shd w:val="clear" w:color="auto" w:fill="auto"/>
            <w:noWrap/>
            <w:vAlign w:val="center"/>
            <w:hideMark/>
          </w:tcPr>
          <w:p w14:paraId="26A254F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0,03 </w:t>
            </w:r>
          </w:p>
        </w:tc>
        <w:tc>
          <w:tcPr>
            <w:tcW w:w="680" w:type="dxa"/>
            <w:tcBorders>
              <w:top w:val="nil"/>
              <w:left w:val="nil"/>
              <w:bottom w:val="single" w:sz="4" w:space="0" w:color="auto"/>
              <w:right w:val="single" w:sz="4" w:space="0" w:color="auto"/>
            </w:tcBorders>
            <w:shd w:val="clear" w:color="auto" w:fill="auto"/>
            <w:noWrap/>
            <w:vAlign w:val="center"/>
            <w:hideMark/>
          </w:tcPr>
          <w:p w14:paraId="3CA2574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0,11 </w:t>
            </w:r>
          </w:p>
        </w:tc>
        <w:tc>
          <w:tcPr>
            <w:tcW w:w="680" w:type="dxa"/>
            <w:tcBorders>
              <w:top w:val="nil"/>
              <w:left w:val="nil"/>
              <w:bottom w:val="single" w:sz="4" w:space="0" w:color="auto"/>
              <w:right w:val="single" w:sz="4" w:space="0" w:color="auto"/>
            </w:tcBorders>
            <w:shd w:val="clear" w:color="auto" w:fill="auto"/>
            <w:noWrap/>
            <w:vAlign w:val="center"/>
            <w:hideMark/>
          </w:tcPr>
          <w:p w14:paraId="3AFC216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0,14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759B477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0,17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611247A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0,24 </w:t>
            </w:r>
          </w:p>
        </w:tc>
        <w:tc>
          <w:tcPr>
            <w:tcW w:w="1757" w:type="dxa"/>
            <w:tcBorders>
              <w:top w:val="nil"/>
              <w:left w:val="nil"/>
              <w:bottom w:val="single" w:sz="4" w:space="0" w:color="auto"/>
              <w:right w:val="single" w:sz="4" w:space="0" w:color="auto"/>
            </w:tcBorders>
            <w:vAlign w:val="center"/>
          </w:tcPr>
          <w:p w14:paraId="1554736B"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Net İhracatçı</w:t>
            </w:r>
          </w:p>
        </w:tc>
      </w:tr>
      <w:tr w:rsidR="00164238" w:rsidRPr="00164238" w14:paraId="3003C78E"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1FFAC43C"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26</w:t>
            </w:r>
          </w:p>
        </w:tc>
        <w:tc>
          <w:tcPr>
            <w:tcW w:w="680" w:type="dxa"/>
            <w:tcBorders>
              <w:top w:val="nil"/>
              <w:left w:val="nil"/>
              <w:bottom w:val="single" w:sz="4" w:space="0" w:color="auto"/>
              <w:right w:val="single" w:sz="4" w:space="0" w:color="auto"/>
            </w:tcBorders>
            <w:shd w:val="clear" w:color="auto" w:fill="auto"/>
            <w:noWrap/>
            <w:vAlign w:val="center"/>
            <w:hideMark/>
          </w:tcPr>
          <w:p w14:paraId="7247021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-0,35 </w:t>
            </w:r>
          </w:p>
        </w:tc>
        <w:tc>
          <w:tcPr>
            <w:tcW w:w="680" w:type="dxa"/>
            <w:tcBorders>
              <w:top w:val="nil"/>
              <w:left w:val="nil"/>
              <w:bottom w:val="single" w:sz="4" w:space="0" w:color="auto"/>
              <w:right w:val="single" w:sz="4" w:space="0" w:color="auto"/>
            </w:tcBorders>
            <w:shd w:val="clear" w:color="auto" w:fill="auto"/>
            <w:noWrap/>
            <w:vAlign w:val="center"/>
            <w:hideMark/>
          </w:tcPr>
          <w:p w14:paraId="29292E5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-0,31 </w:t>
            </w:r>
          </w:p>
        </w:tc>
        <w:tc>
          <w:tcPr>
            <w:tcW w:w="680" w:type="dxa"/>
            <w:tcBorders>
              <w:top w:val="nil"/>
              <w:left w:val="nil"/>
              <w:bottom w:val="single" w:sz="4" w:space="0" w:color="auto"/>
              <w:right w:val="single" w:sz="4" w:space="0" w:color="auto"/>
            </w:tcBorders>
            <w:shd w:val="clear" w:color="auto" w:fill="auto"/>
            <w:noWrap/>
            <w:vAlign w:val="center"/>
            <w:hideMark/>
          </w:tcPr>
          <w:p w14:paraId="2BE27ED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-0,36 </w:t>
            </w:r>
          </w:p>
        </w:tc>
        <w:tc>
          <w:tcPr>
            <w:tcW w:w="680" w:type="dxa"/>
            <w:tcBorders>
              <w:top w:val="nil"/>
              <w:left w:val="nil"/>
              <w:bottom w:val="single" w:sz="4" w:space="0" w:color="auto"/>
              <w:right w:val="single" w:sz="4" w:space="0" w:color="auto"/>
            </w:tcBorders>
            <w:shd w:val="clear" w:color="auto" w:fill="auto"/>
            <w:noWrap/>
            <w:vAlign w:val="center"/>
            <w:hideMark/>
          </w:tcPr>
          <w:p w14:paraId="2B27E3E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-0,40 </w:t>
            </w:r>
          </w:p>
        </w:tc>
        <w:tc>
          <w:tcPr>
            <w:tcW w:w="680" w:type="dxa"/>
            <w:tcBorders>
              <w:top w:val="nil"/>
              <w:left w:val="nil"/>
              <w:bottom w:val="single" w:sz="4" w:space="0" w:color="auto"/>
              <w:right w:val="single" w:sz="4" w:space="0" w:color="auto"/>
            </w:tcBorders>
            <w:shd w:val="clear" w:color="auto" w:fill="auto"/>
            <w:noWrap/>
            <w:vAlign w:val="center"/>
            <w:hideMark/>
          </w:tcPr>
          <w:p w14:paraId="345EF5C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-0,47 </w:t>
            </w:r>
          </w:p>
        </w:tc>
        <w:tc>
          <w:tcPr>
            <w:tcW w:w="680" w:type="dxa"/>
            <w:tcBorders>
              <w:top w:val="nil"/>
              <w:left w:val="nil"/>
              <w:bottom w:val="single" w:sz="4" w:space="0" w:color="auto"/>
              <w:right w:val="single" w:sz="4" w:space="0" w:color="auto"/>
            </w:tcBorders>
            <w:shd w:val="clear" w:color="auto" w:fill="auto"/>
            <w:noWrap/>
            <w:vAlign w:val="center"/>
            <w:hideMark/>
          </w:tcPr>
          <w:p w14:paraId="3A088DF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-0,40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753C1EE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-0,41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1E7AE87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-0,48 </w:t>
            </w:r>
          </w:p>
        </w:tc>
        <w:tc>
          <w:tcPr>
            <w:tcW w:w="1757" w:type="dxa"/>
            <w:tcBorders>
              <w:top w:val="nil"/>
              <w:left w:val="nil"/>
              <w:bottom w:val="single" w:sz="4" w:space="0" w:color="auto"/>
              <w:right w:val="single" w:sz="4" w:space="0" w:color="auto"/>
            </w:tcBorders>
            <w:vAlign w:val="center"/>
          </w:tcPr>
          <w:p w14:paraId="6C345DEA"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Net İthalatçı</w:t>
            </w:r>
          </w:p>
        </w:tc>
      </w:tr>
      <w:tr w:rsidR="00164238" w:rsidRPr="00164238" w14:paraId="7F180616"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1C0B5BA5"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b/>
                <w:bCs/>
                <w:color w:val="000000" w:themeColor="text1"/>
              </w:rPr>
              <w:t>27</w:t>
            </w:r>
          </w:p>
        </w:tc>
        <w:tc>
          <w:tcPr>
            <w:tcW w:w="680" w:type="dxa"/>
            <w:tcBorders>
              <w:top w:val="nil"/>
              <w:left w:val="nil"/>
              <w:bottom w:val="single" w:sz="4" w:space="0" w:color="auto"/>
              <w:right w:val="single" w:sz="4" w:space="0" w:color="auto"/>
            </w:tcBorders>
            <w:shd w:val="clear" w:color="auto" w:fill="auto"/>
            <w:noWrap/>
            <w:vAlign w:val="center"/>
            <w:hideMark/>
          </w:tcPr>
          <w:p w14:paraId="7AC7803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-0,19 </w:t>
            </w:r>
          </w:p>
        </w:tc>
        <w:tc>
          <w:tcPr>
            <w:tcW w:w="680" w:type="dxa"/>
            <w:tcBorders>
              <w:top w:val="nil"/>
              <w:left w:val="nil"/>
              <w:bottom w:val="single" w:sz="4" w:space="0" w:color="auto"/>
              <w:right w:val="single" w:sz="4" w:space="0" w:color="auto"/>
            </w:tcBorders>
            <w:shd w:val="clear" w:color="auto" w:fill="auto"/>
            <w:noWrap/>
            <w:vAlign w:val="center"/>
            <w:hideMark/>
          </w:tcPr>
          <w:p w14:paraId="528F7FF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-0,11 </w:t>
            </w:r>
          </w:p>
        </w:tc>
        <w:tc>
          <w:tcPr>
            <w:tcW w:w="680" w:type="dxa"/>
            <w:tcBorders>
              <w:top w:val="nil"/>
              <w:left w:val="nil"/>
              <w:bottom w:val="single" w:sz="4" w:space="0" w:color="auto"/>
              <w:right w:val="single" w:sz="4" w:space="0" w:color="auto"/>
            </w:tcBorders>
            <w:shd w:val="clear" w:color="auto" w:fill="auto"/>
            <w:noWrap/>
            <w:vAlign w:val="center"/>
            <w:hideMark/>
          </w:tcPr>
          <w:p w14:paraId="662C546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-0,13 </w:t>
            </w:r>
          </w:p>
        </w:tc>
        <w:tc>
          <w:tcPr>
            <w:tcW w:w="680" w:type="dxa"/>
            <w:tcBorders>
              <w:top w:val="nil"/>
              <w:left w:val="nil"/>
              <w:bottom w:val="single" w:sz="4" w:space="0" w:color="auto"/>
              <w:right w:val="single" w:sz="4" w:space="0" w:color="auto"/>
            </w:tcBorders>
            <w:shd w:val="clear" w:color="auto" w:fill="auto"/>
            <w:noWrap/>
            <w:vAlign w:val="center"/>
            <w:hideMark/>
          </w:tcPr>
          <w:p w14:paraId="4DAE1BE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-0,14 </w:t>
            </w:r>
          </w:p>
        </w:tc>
        <w:tc>
          <w:tcPr>
            <w:tcW w:w="680" w:type="dxa"/>
            <w:tcBorders>
              <w:top w:val="nil"/>
              <w:left w:val="nil"/>
              <w:bottom w:val="single" w:sz="4" w:space="0" w:color="auto"/>
              <w:right w:val="single" w:sz="4" w:space="0" w:color="auto"/>
            </w:tcBorders>
            <w:shd w:val="clear" w:color="auto" w:fill="auto"/>
            <w:noWrap/>
            <w:vAlign w:val="center"/>
            <w:hideMark/>
          </w:tcPr>
          <w:p w14:paraId="2B7140C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-0,05 </w:t>
            </w:r>
          </w:p>
        </w:tc>
        <w:tc>
          <w:tcPr>
            <w:tcW w:w="680" w:type="dxa"/>
            <w:tcBorders>
              <w:top w:val="nil"/>
              <w:left w:val="nil"/>
              <w:bottom w:val="single" w:sz="4" w:space="0" w:color="auto"/>
              <w:right w:val="single" w:sz="4" w:space="0" w:color="auto"/>
            </w:tcBorders>
            <w:shd w:val="clear" w:color="auto" w:fill="auto"/>
            <w:noWrap/>
            <w:vAlign w:val="center"/>
            <w:hideMark/>
          </w:tcPr>
          <w:p w14:paraId="32CE5C7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0,03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31BF3DF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0,11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10B81D2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0,06 </w:t>
            </w:r>
          </w:p>
        </w:tc>
        <w:tc>
          <w:tcPr>
            <w:tcW w:w="1757" w:type="dxa"/>
            <w:tcBorders>
              <w:top w:val="nil"/>
              <w:left w:val="nil"/>
              <w:bottom w:val="single" w:sz="4" w:space="0" w:color="auto"/>
              <w:right w:val="single" w:sz="4" w:space="0" w:color="auto"/>
            </w:tcBorders>
            <w:vAlign w:val="center"/>
          </w:tcPr>
          <w:p w14:paraId="0243D391"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Net İhracatçı</w:t>
            </w:r>
          </w:p>
        </w:tc>
      </w:tr>
      <w:tr w:rsidR="00164238" w:rsidRPr="00164238" w14:paraId="6A38DE0E"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57AE84D6"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color w:val="000000" w:themeColor="text1"/>
              </w:rPr>
              <w:t>28</w:t>
            </w:r>
          </w:p>
        </w:tc>
        <w:tc>
          <w:tcPr>
            <w:tcW w:w="680" w:type="dxa"/>
            <w:tcBorders>
              <w:top w:val="nil"/>
              <w:left w:val="nil"/>
              <w:bottom w:val="single" w:sz="4" w:space="0" w:color="auto"/>
              <w:right w:val="single" w:sz="4" w:space="0" w:color="auto"/>
            </w:tcBorders>
            <w:shd w:val="clear" w:color="auto" w:fill="auto"/>
            <w:noWrap/>
            <w:vAlign w:val="center"/>
            <w:hideMark/>
          </w:tcPr>
          <w:p w14:paraId="5D2AE67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-0,70 </w:t>
            </w:r>
          </w:p>
        </w:tc>
        <w:tc>
          <w:tcPr>
            <w:tcW w:w="680" w:type="dxa"/>
            <w:tcBorders>
              <w:top w:val="nil"/>
              <w:left w:val="nil"/>
              <w:bottom w:val="single" w:sz="4" w:space="0" w:color="auto"/>
              <w:right w:val="single" w:sz="4" w:space="0" w:color="auto"/>
            </w:tcBorders>
            <w:shd w:val="clear" w:color="auto" w:fill="auto"/>
            <w:noWrap/>
            <w:vAlign w:val="center"/>
            <w:hideMark/>
          </w:tcPr>
          <w:p w14:paraId="51D89CE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-0,64 </w:t>
            </w:r>
          </w:p>
        </w:tc>
        <w:tc>
          <w:tcPr>
            <w:tcW w:w="680" w:type="dxa"/>
            <w:tcBorders>
              <w:top w:val="nil"/>
              <w:left w:val="nil"/>
              <w:bottom w:val="single" w:sz="4" w:space="0" w:color="auto"/>
              <w:right w:val="single" w:sz="4" w:space="0" w:color="auto"/>
            </w:tcBorders>
            <w:shd w:val="clear" w:color="auto" w:fill="auto"/>
            <w:noWrap/>
            <w:vAlign w:val="center"/>
            <w:hideMark/>
          </w:tcPr>
          <w:p w14:paraId="7E0827C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-0,63 </w:t>
            </w:r>
          </w:p>
        </w:tc>
        <w:tc>
          <w:tcPr>
            <w:tcW w:w="680" w:type="dxa"/>
            <w:tcBorders>
              <w:top w:val="nil"/>
              <w:left w:val="nil"/>
              <w:bottom w:val="single" w:sz="4" w:space="0" w:color="auto"/>
              <w:right w:val="single" w:sz="4" w:space="0" w:color="auto"/>
            </w:tcBorders>
            <w:shd w:val="clear" w:color="auto" w:fill="auto"/>
            <w:noWrap/>
            <w:vAlign w:val="center"/>
            <w:hideMark/>
          </w:tcPr>
          <w:p w14:paraId="19EBD42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-0,62 </w:t>
            </w:r>
          </w:p>
        </w:tc>
        <w:tc>
          <w:tcPr>
            <w:tcW w:w="680" w:type="dxa"/>
            <w:tcBorders>
              <w:top w:val="nil"/>
              <w:left w:val="nil"/>
              <w:bottom w:val="single" w:sz="4" w:space="0" w:color="auto"/>
              <w:right w:val="single" w:sz="4" w:space="0" w:color="auto"/>
            </w:tcBorders>
            <w:shd w:val="clear" w:color="auto" w:fill="auto"/>
            <w:noWrap/>
            <w:vAlign w:val="center"/>
            <w:hideMark/>
          </w:tcPr>
          <w:p w14:paraId="0737304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-0,58 </w:t>
            </w:r>
          </w:p>
        </w:tc>
        <w:tc>
          <w:tcPr>
            <w:tcW w:w="680" w:type="dxa"/>
            <w:tcBorders>
              <w:top w:val="nil"/>
              <w:left w:val="nil"/>
              <w:bottom w:val="single" w:sz="4" w:space="0" w:color="auto"/>
              <w:right w:val="single" w:sz="4" w:space="0" w:color="auto"/>
            </w:tcBorders>
            <w:shd w:val="clear" w:color="auto" w:fill="auto"/>
            <w:noWrap/>
            <w:vAlign w:val="center"/>
            <w:hideMark/>
          </w:tcPr>
          <w:p w14:paraId="6B44695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-0,45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3A89FC0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-0,34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5A95A4A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-0,43 </w:t>
            </w:r>
          </w:p>
        </w:tc>
        <w:tc>
          <w:tcPr>
            <w:tcW w:w="1757" w:type="dxa"/>
            <w:tcBorders>
              <w:top w:val="nil"/>
              <w:left w:val="nil"/>
              <w:bottom w:val="single" w:sz="4" w:space="0" w:color="auto"/>
              <w:right w:val="single" w:sz="4" w:space="0" w:color="auto"/>
            </w:tcBorders>
            <w:vAlign w:val="center"/>
          </w:tcPr>
          <w:p w14:paraId="39D98E67"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Net İthalatçı</w:t>
            </w:r>
          </w:p>
        </w:tc>
      </w:tr>
      <w:tr w:rsidR="00164238" w:rsidRPr="00164238" w14:paraId="44FCA02F"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22ABBAB8"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b/>
                <w:bCs/>
                <w:color w:val="000000" w:themeColor="text1"/>
              </w:rPr>
              <w:t>29</w:t>
            </w:r>
          </w:p>
        </w:tc>
        <w:tc>
          <w:tcPr>
            <w:tcW w:w="680" w:type="dxa"/>
            <w:tcBorders>
              <w:top w:val="nil"/>
              <w:left w:val="nil"/>
              <w:bottom w:val="single" w:sz="4" w:space="0" w:color="auto"/>
              <w:right w:val="single" w:sz="4" w:space="0" w:color="auto"/>
            </w:tcBorders>
            <w:shd w:val="clear" w:color="auto" w:fill="auto"/>
            <w:noWrap/>
            <w:vAlign w:val="center"/>
            <w:hideMark/>
          </w:tcPr>
          <w:p w14:paraId="3126F37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-0,12 </w:t>
            </w:r>
          </w:p>
        </w:tc>
        <w:tc>
          <w:tcPr>
            <w:tcW w:w="680" w:type="dxa"/>
            <w:tcBorders>
              <w:top w:val="nil"/>
              <w:left w:val="nil"/>
              <w:bottom w:val="single" w:sz="4" w:space="0" w:color="auto"/>
              <w:right w:val="single" w:sz="4" w:space="0" w:color="auto"/>
            </w:tcBorders>
            <w:shd w:val="clear" w:color="auto" w:fill="auto"/>
            <w:noWrap/>
            <w:vAlign w:val="center"/>
            <w:hideMark/>
          </w:tcPr>
          <w:p w14:paraId="3E5624A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-0,03 </w:t>
            </w:r>
          </w:p>
        </w:tc>
        <w:tc>
          <w:tcPr>
            <w:tcW w:w="680" w:type="dxa"/>
            <w:tcBorders>
              <w:top w:val="nil"/>
              <w:left w:val="nil"/>
              <w:bottom w:val="single" w:sz="4" w:space="0" w:color="auto"/>
              <w:right w:val="single" w:sz="4" w:space="0" w:color="auto"/>
            </w:tcBorders>
            <w:shd w:val="clear" w:color="auto" w:fill="auto"/>
            <w:noWrap/>
            <w:vAlign w:val="center"/>
            <w:hideMark/>
          </w:tcPr>
          <w:p w14:paraId="09C8ABA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-0,09 </w:t>
            </w:r>
          </w:p>
        </w:tc>
        <w:tc>
          <w:tcPr>
            <w:tcW w:w="680" w:type="dxa"/>
            <w:tcBorders>
              <w:top w:val="nil"/>
              <w:left w:val="nil"/>
              <w:bottom w:val="single" w:sz="4" w:space="0" w:color="auto"/>
              <w:right w:val="single" w:sz="4" w:space="0" w:color="auto"/>
            </w:tcBorders>
            <w:shd w:val="clear" w:color="auto" w:fill="auto"/>
            <w:noWrap/>
            <w:vAlign w:val="center"/>
            <w:hideMark/>
          </w:tcPr>
          <w:p w14:paraId="726EEE9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0,03 </w:t>
            </w:r>
          </w:p>
        </w:tc>
        <w:tc>
          <w:tcPr>
            <w:tcW w:w="680" w:type="dxa"/>
            <w:tcBorders>
              <w:top w:val="nil"/>
              <w:left w:val="nil"/>
              <w:bottom w:val="single" w:sz="4" w:space="0" w:color="auto"/>
              <w:right w:val="single" w:sz="4" w:space="0" w:color="auto"/>
            </w:tcBorders>
            <w:shd w:val="clear" w:color="auto" w:fill="auto"/>
            <w:noWrap/>
            <w:vAlign w:val="center"/>
            <w:hideMark/>
          </w:tcPr>
          <w:p w14:paraId="24C4733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0,12 </w:t>
            </w:r>
          </w:p>
        </w:tc>
        <w:tc>
          <w:tcPr>
            <w:tcW w:w="680" w:type="dxa"/>
            <w:tcBorders>
              <w:top w:val="nil"/>
              <w:left w:val="nil"/>
              <w:bottom w:val="single" w:sz="4" w:space="0" w:color="auto"/>
              <w:right w:val="single" w:sz="4" w:space="0" w:color="auto"/>
            </w:tcBorders>
            <w:shd w:val="clear" w:color="auto" w:fill="auto"/>
            <w:noWrap/>
            <w:vAlign w:val="center"/>
            <w:hideMark/>
          </w:tcPr>
          <w:p w14:paraId="1F850D2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0,26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4E55600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0,37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3C522A3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0,08 </w:t>
            </w:r>
          </w:p>
        </w:tc>
        <w:tc>
          <w:tcPr>
            <w:tcW w:w="1757" w:type="dxa"/>
            <w:tcBorders>
              <w:top w:val="nil"/>
              <w:left w:val="nil"/>
              <w:bottom w:val="single" w:sz="4" w:space="0" w:color="auto"/>
              <w:right w:val="single" w:sz="4" w:space="0" w:color="auto"/>
            </w:tcBorders>
            <w:vAlign w:val="center"/>
          </w:tcPr>
          <w:p w14:paraId="37294303"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Net İhracatçı</w:t>
            </w:r>
          </w:p>
        </w:tc>
      </w:tr>
      <w:tr w:rsidR="00164238" w:rsidRPr="00164238" w14:paraId="36E01E1A"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2A99F99A"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color w:val="000000" w:themeColor="text1"/>
              </w:rPr>
              <w:t>30</w:t>
            </w:r>
          </w:p>
        </w:tc>
        <w:tc>
          <w:tcPr>
            <w:tcW w:w="680" w:type="dxa"/>
            <w:tcBorders>
              <w:top w:val="nil"/>
              <w:left w:val="nil"/>
              <w:bottom w:val="single" w:sz="4" w:space="0" w:color="auto"/>
              <w:right w:val="single" w:sz="4" w:space="0" w:color="auto"/>
            </w:tcBorders>
            <w:shd w:val="clear" w:color="auto" w:fill="auto"/>
            <w:noWrap/>
            <w:vAlign w:val="center"/>
            <w:hideMark/>
          </w:tcPr>
          <w:p w14:paraId="70094A3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-0,45 </w:t>
            </w:r>
          </w:p>
        </w:tc>
        <w:tc>
          <w:tcPr>
            <w:tcW w:w="680" w:type="dxa"/>
            <w:tcBorders>
              <w:top w:val="nil"/>
              <w:left w:val="nil"/>
              <w:bottom w:val="single" w:sz="4" w:space="0" w:color="auto"/>
              <w:right w:val="single" w:sz="4" w:space="0" w:color="auto"/>
            </w:tcBorders>
            <w:shd w:val="clear" w:color="auto" w:fill="auto"/>
            <w:noWrap/>
            <w:vAlign w:val="center"/>
            <w:hideMark/>
          </w:tcPr>
          <w:p w14:paraId="2F70B51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-0,38 </w:t>
            </w:r>
          </w:p>
        </w:tc>
        <w:tc>
          <w:tcPr>
            <w:tcW w:w="680" w:type="dxa"/>
            <w:tcBorders>
              <w:top w:val="nil"/>
              <w:left w:val="nil"/>
              <w:bottom w:val="single" w:sz="4" w:space="0" w:color="auto"/>
              <w:right w:val="single" w:sz="4" w:space="0" w:color="auto"/>
            </w:tcBorders>
            <w:shd w:val="clear" w:color="auto" w:fill="auto"/>
            <w:noWrap/>
            <w:vAlign w:val="center"/>
            <w:hideMark/>
          </w:tcPr>
          <w:p w14:paraId="11E0D5B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-0,60 </w:t>
            </w:r>
          </w:p>
        </w:tc>
        <w:tc>
          <w:tcPr>
            <w:tcW w:w="680" w:type="dxa"/>
            <w:tcBorders>
              <w:top w:val="nil"/>
              <w:left w:val="nil"/>
              <w:bottom w:val="single" w:sz="4" w:space="0" w:color="auto"/>
              <w:right w:val="single" w:sz="4" w:space="0" w:color="auto"/>
            </w:tcBorders>
            <w:shd w:val="clear" w:color="auto" w:fill="auto"/>
            <w:noWrap/>
            <w:vAlign w:val="center"/>
            <w:hideMark/>
          </w:tcPr>
          <w:p w14:paraId="79732EC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-0,61 </w:t>
            </w:r>
          </w:p>
        </w:tc>
        <w:tc>
          <w:tcPr>
            <w:tcW w:w="680" w:type="dxa"/>
            <w:tcBorders>
              <w:top w:val="nil"/>
              <w:left w:val="nil"/>
              <w:bottom w:val="single" w:sz="4" w:space="0" w:color="auto"/>
              <w:right w:val="single" w:sz="4" w:space="0" w:color="auto"/>
            </w:tcBorders>
            <w:shd w:val="clear" w:color="auto" w:fill="auto"/>
            <w:noWrap/>
            <w:vAlign w:val="center"/>
            <w:hideMark/>
          </w:tcPr>
          <w:p w14:paraId="52D5B68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-0,49 </w:t>
            </w:r>
          </w:p>
        </w:tc>
        <w:tc>
          <w:tcPr>
            <w:tcW w:w="680" w:type="dxa"/>
            <w:tcBorders>
              <w:top w:val="nil"/>
              <w:left w:val="nil"/>
              <w:bottom w:val="single" w:sz="4" w:space="0" w:color="auto"/>
              <w:right w:val="single" w:sz="4" w:space="0" w:color="auto"/>
            </w:tcBorders>
            <w:shd w:val="clear" w:color="auto" w:fill="auto"/>
            <w:noWrap/>
            <w:vAlign w:val="center"/>
            <w:hideMark/>
          </w:tcPr>
          <w:p w14:paraId="6BC8EC4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-0,33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161C59D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-0,40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58AEAFD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-0,47 </w:t>
            </w:r>
          </w:p>
        </w:tc>
        <w:tc>
          <w:tcPr>
            <w:tcW w:w="1757" w:type="dxa"/>
            <w:tcBorders>
              <w:top w:val="nil"/>
              <w:left w:val="nil"/>
              <w:bottom w:val="single" w:sz="4" w:space="0" w:color="auto"/>
              <w:right w:val="single" w:sz="4" w:space="0" w:color="auto"/>
            </w:tcBorders>
            <w:vAlign w:val="center"/>
          </w:tcPr>
          <w:p w14:paraId="409BDFA9"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Net İthalatçı</w:t>
            </w:r>
          </w:p>
        </w:tc>
      </w:tr>
      <w:tr w:rsidR="00164238" w:rsidRPr="00164238" w14:paraId="2358AB12"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4EEF9EC4"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31</w:t>
            </w:r>
          </w:p>
        </w:tc>
        <w:tc>
          <w:tcPr>
            <w:tcW w:w="680" w:type="dxa"/>
            <w:tcBorders>
              <w:top w:val="nil"/>
              <w:left w:val="nil"/>
              <w:bottom w:val="single" w:sz="4" w:space="0" w:color="auto"/>
              <w:right w:val="single" w:sz="4" w:space="0" w:color="auto"/>
            </w:tcBorders>
            <w:shd w:val="clear" w:color="auto" w:fill="auto"/>
            <w:noWrap/>
            <w:vAlign w:val="center"/>
            <w:hideMark/>
          </w:tcPr>
          <w:p w14:paraId="59AA9E7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0,01 </w:t>
            </w:r>
          </w:p>
        </w:tc>
        <w:tc>
          <w:tcPr>
            <w:tcW w:w="680" w:type="dxa"/>
            <w:tcBorders>
              <w:top w:val="nil"/>
              <w:left w:val="nil"/>
              <w:bottom w:val="single" w:sz="4" w:space="0" w:color="auto"/>
              <w:right w:val="single" w:sz="4" w:space="0" w:color="auto"/>
            </w:tcBorders>
            <w:shd w:val="clear" w:color="auto" w:fill="auto"/>
            <w:noWrap/>
            <w:vAlign w:val="center"/>
            <w:hideMark/>
          </w:tcPr>
          <w:p w14:paraId="018D3BB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0,11 </w:t>
            </w:r>
          </w:p>
        </w:tc>
        <w:tc>
          <w:tcPr>
            <w:tcW w:w="680" w:type="dxa"/>
            <w:tcBorders>
              <w:top w:val="nil"/>
              <w:left w:val="nil"/>
              <w:bottom w:val="single" w:sz="4" w:space="0" w:color="auto"/>
              <w:right w:val="single" w:sz="4" w:space="0" w:color="auto"/>
            </w:tcBorders>
            <w:shd w:val="clear" w:color="auto" w:fill="auto"/>
            <w:noWrap/>
            <w:vAlign w:val="center"/>
            <w:hideMark/>
          </w:tcPr>
          <w:p w14:paraId="22383C6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0,19 </w:t>
            </w:r>
          </w:p>
        </w:tc>
        <w:tc>
          <w:tcPr>
            <w:tcW w:w="680" w:type="dxa"/>
            <w:tcBorders>
              <w:top w:val="nil"/>
              <w:left w:val="nil"/>
              <w:bottom w:val="single" w:sz="4" w:space="0" w:color="auto"/>
              <w:right w:val="single" w:sz="4" w:space="0" w:color="auto"/>
            </w:tcBorders>
            <w:shd w:val="clear" w:color="auto" w:fill="auto"/>
            <w:noWrap/>
            <w:vAlign w:val="center"/>
            <w:hideMark/>
          </w:tcPr>
          <w:p w14:paraId="62716D3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0,27 </w:t>
            </w:r>
          </w:p>
        </w:tc>
        <w:tc>
          <w:tcPr>
            <w:tcW w:w="680" w:type="dxa"/>
            <w:tcBorders>
              <w:top w:val="nil"/>
              <w:left w:val="nil"/>
              <w:bottom w:val="single" w:sz="4" w:space="0" w:color="auto"/>
              <w:right w:val="single" w:sz="4" w:space="0" w:color="auto"/>
            </w:tcBorders>
            <w:shd w:val="clear" w:color="auto" w:fill="auto"/>
            <w:noWrap/>
            <w:vAlign w:val="center"/>
            <w:hideMark/>
          </w:tcPr>
          <w:p w14:paraId="3476E43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0,29 </w:t>
            </w:r>
          </w:p>
        </w:tc>
        <w:tc>
          <w:tcPr>
            <w:tcW w:w="680" w:type="dxa"/>
            <w:tcBorders>
              <w:top w:val="nil"/>
              <w:left w:val="nil"/>
              <w:bottom w:val="single" w:sz="4" w:space="0" w:color="auto"/>
              <w:right w:val="single" w:sz="4" w:space="0" w:color="auto"/>
            </w:tcBorders>
            <w:shd w:val="clear" w:color="auto" w:fill="auto"/>
            <w:noWrap/>
            <w:vAlign w:val="center"/>
            <w:hideMark/>
          </w:tcPr>
          <w:p w14:paraId="501E6B1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0,49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3A006D3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0,56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3D6B82F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0,60 </w:t>
            </w:r>
          </w:p>
        </w:tc>
        <w:tc>
          <w:tcPr>
            <w:tcW w:w="1757" w:type="dxa"/>
            <w:tcBorders>
              <w:top w:val="nil"/>
              <w:left w:val="nil"/>
              <w:bottom w:val="single" w:sz="4" w:space="0" w:color="auto"/>
              <w:right w:val="single" w:sz="4" w:space="0" w:color="auto"/>
            </w:tcBorders>
            <w:vAlign w:val="center"/>
          </w:tcPr>
          <w:p w14:paraId="608D2F33"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Net İhracatçı</w:t>
            </w:r>
          </w:p>
        </w:tc>
      </w:tr>
      <w:tr w:rsidR="00164238" w:rsidRPr="00164238" w14:paraId="1C87B3B5"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1BA78877"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b/>
                <w:bCs/>
                <w:color w:val="000000" w:themeColor="text1"/>
              </w:rPr>
              <w:t>32</w:t>
            </w:r>
          </w:p>
        </w:tc>
        <w:tc>
          <w:tcPr>
            <w:tcW w:w="680" w:type="dxa"/>
            <w:tcBorders>
              <w:top w:val="nil"/>
              <w:left w:val="nil"/>
              <w:bottom w:val="single" w:sz="4" w:space="0" w:color="auto"/>
              <w:right w:val="single" w:sz="4" w:space="0" w:color="auto"/>
            </w:tcBorders>
            <w:shd w:val="clear" w:color="auto" w:fill="auto"/>
            <w:noWrap/>
            <w:vAlign w:val="center"/>
            <w:hideMark/>
          </w:tcPr>
          <w:p w14:paraId="052AF62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-0,21 </w:t>
            </w:r>
          </w:p>
        </w:tc>
        <w:tc>
          <w:tcPr>
            <w:tcW w:w="680" w:type="dxa"/>
            <w:tcBorders>
              <w:top w:val="nil"/>
              <w:left w:val="nil"/>
              <w:bottom w:val="single" w:sz="4" w:space="0" w:color="auto"/>
              <w:right w:val="single" w:sz="4" w:space="0" w:color="auto"/>
            </w:tcBorders>
            <w:shd w:val="clear" w:color="auto" w:fill="auto"/>
            <w:noWrap/>
            <w:vAlign w:val="center"/>
            <w:hideMark/>
          </w:tcPr>
          <w:p w14:paraId="5C32F7F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-0,17 </w:t>
            </w:r>
          </w:p>
        </w:tc>
        <w:tc>
          <w:tcPr>
            <w:tcW w:w="680" w:type="dxa"/>
            <w:tcBorders>
              <w:top w:val="nil"/>
              <w:left w:val="nil"/>
              <w:bottom w:val="single" w:sz="4" w:space="0" w:color="auto"/>
              <w:right w:val="single" w:sz="4" w:space="0" w:color="auto"/>
            </w:tcBorders>
            <w:shd w:val="clear" w:color="auto" w:fill="auto"/>
            <w:noWrap/>
            <w:vAlign w:val="center"/>
            <w:hideMark/>
          </w:tcPr>
          <w:p w14:paraId="2A605E0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-0,18 </w:t>
            </w:r>
          </w:p>
        </w:tc>
        <w:tc>
          <w:tcPr>
            <w:tcW w:w="680" w:type="dxa"/>
            <w:tcBorders>
              <w:top w:val="nil"/>
              <w:left w:val="nil"/>
              <w:bottom w:val="single" w:sz="4" w:space="0" w:color="auto"/>
              <w:right w:val="single" w:sz="4" w:space="0" w:color="auto"/>
            </w:tcBorders>
            <w:shd w:val="clear" w:color="auto" w:fill="auto"/>
            <w:noWrap/>
            <w:vAlign w:val="center"/>
            <w:hideMark/>
          </w:tcPr>
          <w:p w14:paraId="4E0335F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-0,13 </w:t>
            </w:r>
          </w:p>
        </w:tc>
        <w:tc>
          <w:tcPr>
            <w:tcW w:w="680" w:type="dxa"/>
            <w:tcBorders>
              <w:top w:val="nil"/>
              <w:left w:val="nil"/>
              <w:bottom w:val="single" w:sz="4" w:space="0" w:color="auto"/>
              <w:right w:val="single" w:sz="4" w:space="0" w:color="auto"/>
            </w:tcBorders>
            <w:shd w:val="clear" w:color="auto" w:fill="auto"/>
            <w:noWrap/>
            <w:vAlign w:val="center"/>
            <w:hideMark/>
          </w:tcPr>
          <w:p w14:paraId="6C390F6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-0,05 </w:t>
            </w:r>
          </w:p>
        </w:tc>
        <w:tc>
          <w:tcPr>
            <w:tcW w:w="680" w:type="dxa"/>
            <w:tcBorders>
              <w:top w:val="nil"/>
              <w:left w:val="nil"/>
              <w:bottom w:val="single" w:sz="4" w:space="0" w:color="auto"/>
              <w:right w:val="single" w:sz="4" w:space="0" w:color="auto"/>
            </w:tcBorders>
            <w:shd w:val="clear" w:color="auto" w:fill="auto"/>
            <w:noWrap/>
            <w:vAlign w:val="center"/>
            <w:hideMark/>
          </w:tcPr>
          <w:p w14:paraId="6410CCB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-0,03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738B654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0,08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45B8F68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0,18 </w:t>
            </w:r>
          </w:p>
        </w:tc>
        <w:tc>
          <w:tcPr>
            <w:tcW w:w="1757" w:type="dxa"/>
            <w:tcBorders>
              <w:top w:val="nil"/>
              <w:left w:val="nil"/>
              <w:bottom w:val="single" w:sz="4" w:space="0" w:color="auto"/>
              <w:right w:val="single" w:sz="4" w:space="0" w:color="auto"/>
            </w:tcBorders>
            <w:vAlign w:val="center"/>
          </w:tcPr>
          <w:p w14:paraId="63D5CF89"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Net İhracatçı</w:t>
            </w:r>
          </w:p>
        </w:tc>
      </w:tr>
      <w:tr w:rsidR="00164238" w:rsidRPr="00164238" w14:paraId="33A134E0"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1D05E0AD"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b/>
                <w:bCs/>
                <w:color w:val="000000" w:themeColor="text1"/>
              </w:rPr>
              <w:t>Tüm İmalat</w:t>
            </w:r>
          </w:p>
        </w:tc>
        <w:tc>
          <w:tcPr>
            <w:tcW w:w="680" w:type="dxa"/>
            <w:tcBorders>
              <w:top w:val="nil"/>
              <w:left w:val="nil"/>
              <w:bottom w:val="single" w:sz="4" w:space="0" w:color="auto"/>
              <w:right w:val="single" w:sz="4" w:space="0" w:color="auto"/>
            </w:tcBorders>
            <w:shd w:val="clear" w:color="auto" w:fill="auto"/>
            <w:noWrap/>
            <w:vAlign w:val="center"/>
            <w:hideMark/>
          </w:tcPr>
          <w:p w14:paraId="05890FF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-0,21 </w:t>
            </w:r>
          </w:p>
        </w:tc>
        <w:tc>
          <w:tcPr>
            <w:tcW w:w="680" w:type="dxa"/>
            <w:tcBorders>
              <w:top w:val="nil"/>
              <w:left w:val="nil"/>
              <w:bottom w:val="single" w:sz="4" w:space="0" w:color="auto"/>
              <w:right w:val="single" w:sz="4" w:space="0" w:color="auto"/>
            </w:tcBorders>
            <w:shd w:val="clear" w:color="auto" w:fill="auto"/>
            <w:noWrap/>
            <w:vAlign w:val="center"/>
            <w:hideMark/>
          </w:tcPr>
          <w:p w14:paraId="763706C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-0,16 </w:t>
            </w:r>
          </w:p>
        </w:tc>
        <w:tc>
          <w:tcPr>
            <w:tcW w:w="680" w:type="dxa"/>
            <w:tcBorders>
              <w:top w:val="nil"/>
              <w:left w:val="nil"/>
              <w:bottom w:val="single" w:sz="4" w:space="0" w:color="auto"/>
              <w:right w:val="single" w:sz="4" w:space="0" w:color="auto"/>
            </w:tcBorders>
            <w:shd w:val="clear" w:color="auto" w:fill="auto"/>
            <w:noWrap/>
            <w:vAlign w:val="center"/>
            <w:hideMark/>
          </w:tcPr>
          <w:p w14:paraId="380C883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-0,15 </w:t>
            </w:r>
          </w:p>
        </w:tc>
        <w:tc>
          <w:tcPr>
            <w:tcW w:w="680" w:type="dxa"/>
            <w:tcBorders>
              <w:top w:val="nil"/>
              <w:left w:val="nil"/>
              <w:bottom w:val="single" w:sz="4" w:space="0" w:color="auto"/>
              <w:right w:val="single" w:sz="4" w:space="0" w:color="auto"/>
            </w:tcBorders>
            <w:shd w:val="clear" w:color="auto" w:fill="auto"/>
            <w:noWrap/>
            <w:vAlign w:val="center"/>
            <w:hideMark/>
          </w:tcPr>
          <w:p w14:paraId="53D18FC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-0,11 </w:t>
            </w:r>
          </w:p>
        </w:tc>
        <w:tc>
          <w:tcPr>
            <w:tcW w:w="680" w:type="dxa"/>
            <w:tcBorders>
              <w:top w:val="nil"/>
              <w:left w:val="nil"/>
              <w:bottom w:val="single" w:sz="4" w:space="0" w:color="auto"/>
              <w:right w:val="single" w:sz="4" w:space="0" w:color="auto"/>
            </w:tcBorders>
            <w:shd w:val="clear" w:color="auto" w:fill="auto"/>
            <w:noWrap/>
            <w:vAlign w:val="center"/>
            <w:hideMark/>
          </w:tcPr>
          <w:p w14:paraId="29848B5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-0,08 </w:t>
            </w:r>
          </w:p>
        </w:tc>
        <w:tc>
          <w:tcPr>
            <w:tcW w:w="680" w:type="dxa"/>
            <w:tcBorders>
              <w:top w:val="nil"/>
              <w:left w:val="nil"/>
              <w:bottom w:val="single" w:sz="4" w:space="0" w:color="auto"/>
              <w:right w:val="single" w:sz="4" w:space="0" w:color="auto"/>
            </w:tcBorders>
            <w:shd w:val="clear" w:color="auto" w:fill="auto"/>
            <w:noWrap/>
            <w:vAlign w:val="center"/>
            <w:hideMark/>
          </w:tcPr>
          <w:p w14:paraId="5CE1A91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0,02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5820010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0,08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5ED4ACE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-0,01 </w:t>
            </w:r>
          </w:p>
        </w:tc>
        <w:tc>
          <w:tcPr>
            <w:tcW w:w="1757" w:type="dxa"/>
            <w:tcBorders>
              <w:top w:val="nil"/>
              <w:left w:val="nil"/>
              <w:bottom w:val="single" w:sz="4" w:space="0" w:color="auto"/>
              <w:right w:val="single" w:sz="4" w:space="0" w:color="auto"/>
            </w:tcBorders>
            <w:vAlign w:val="center"/>
          </w:tcPr>
          <w:p w14:paraId="1FF9222F"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color w:val="000000" w:themeColor="text1"/>
                <w:lang w:eastAsia="tr-TR"/>
              </w:rPr>
              <w:t>Net İthalatçı</w:t>
            </w:r>
          </w:p>
        </w:tc>
      </w:tr>
    </w:tbl>
    <w:p w14:paraId="4A763A02" w14:textId="77777777" w:rsidR="00C54BC9" w:rsidRPr="00164238" w:rsidRDefault="00C54BC9" w:rsidP="00C54BC9">
      <w:pPr>
        <w:spacing w:after="0" w:line="360" w:lineRule="auto"/>
        <w:rPr>
          <w:rFonts w:ascii="Times New Roman" w:hAnsi="Times New Roman" w:cs="Times New Roman"/>
          <w:color w:val="000000" w:themeColor="text1"/>
        </w:rPr>
      </w:pPr>
      <w:r w:rsidRPr="00164238">
        <w:rPr>
          <w:rFonts w:ascii="Times New Roman" w:hAnsi="Times New Roman" w:cs="Times New Roman"/>
          <w:b/>
          <w:bCs/>
          <w:color w:val="000000" w:themeColor="text1"/>
        </w:rPr>
        <w:t xml:space="preserve">Kaynak: </w:t>
      </w:r>
      <w:r w:rsidRPr="00164238">
        <w:rPr>
          <w:rFonts w:ascii="Times New Roman" w:hAnsi="Times New Roman" w:cs="Times New Roman"/>
          <w:color w:val="000000" w:themeColor="text1"/>
        </w:rPr>
        <w:t>TÜİK verileri derlenerek yazar tarafından oluşturulmuştur.</w:t>
      </w:r>
    </w:p>
    <w:p w14:paraId="349C4741" w14:textId="130EE4CC" w:rsidR="00C54BC9" w:rsidRDefault="00C54BC9" w:rsidP="00C54BC9">
      <w:pPr>
        <w:spacing w:before="120" w:after="120" w:line="360" w:lineRule="auto"/>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AB 27 pazarında Türk imalat sektörü’nün 2019-2020 yılları arasında 23 alt ürün grubundan 12 ürün grubunda net ihracatçı, 11 ürün grubunda net ithalatçı olduğu tespit edilmiştir. 2019-2020 yıllarında Türkiye’nin imalat sanayii tüm alt ürün gruplarından ticaret dengesi durumunun değişmediği anlaşılmıştır. </w:t>
      </w:r>
    </w:p>
    <w:p w14:paraId="3D6C13D1" w14:textId="0E3EAE57" w:rsidR="006A4DC2" w:rsidRDefault="006A4DC2" w:rsidP="00C54BC9">
      <w:pPr>
        <w:spacing w:before="120" w:after="120" w:line="360" w:lineRule="auto"/>
        <w:ind w:firstLine="567"/>
        <w:jc w:val="both"/>
        <w:rPr>
          <w:rFonts w:ascii="Times New Roman" w:hAnsi="Times New Roman" w:cs="Times New Roman"/>
          <w:color w:val="000000" w:themeColor="text1"/>
          <w:sz w:val="20"/>
          <w:szCs w:val="20"/>
        </w:rPr>
      </w:pPr>
    </w:p>
    <w:p w14:paraId="15B30165" w14:textId="49A71EC6" w:rsidR="006A4DC2" w:rsidRDefault="006A4DC2" w:rsidP="00C54BC9">
      <w:pPr>
        <w:spacing w:before="120" w:after="120" w:line="360" w:lineRule="auto"/>
        <w:ind w:firstLine="567"/>
        <w:jc w:val="both"/>
        <w:rPr>
          <w:rFonts w:ascii="Times New Roman" w:hAnsi="Times New Roman" w:cs="Times New Roman"/>
          <w:color w:val="000000" w:themeColor="text1"/>
          <w:sz w:val="20"/>
          <w:szCs w:val="20"/>
        </w:rPr>
      </w:pPr>
    </w:p>
    <w:p w14:paraId="2B547F54" w14:textId="4651F144" w:rsidR="006A4DC2" w:rsidRDefault="006A4DC2" w:rsidP="00C54BC9">
      <w:pPr>
        <w:spacing w:before="120" w:after="120" w:line="360" w:lineRule="auto"/>
        <w:ind w:firstLine="567"/>
        <w:jc w:val="both"/>
        <w:rPr>
          <w:rFonts w:ascii="Times New Roman" w:hAnsi="Times New Roman" w:cs="Times New Roman"/>
          <w:color w:val="000000" w:themeColor="text1"/>
          <w:sz w:val="20"/>
          <w:szCs w:val="20"/>
        </w:rPr>
      </w:pPr>
    </w:p>
    <w:p w14:paraId="50A18928" w14:textId="4158C1EC" w:rsidR="006A4DC2" w:rsidRDefault="006A4DC2" w:rsidP="00C54BC9">
      <w:pPr>
        <w:spacing w:before="120" w:after="120" w:line="360" w:lineRule="auto"/>
        <w:ind w:firstLine="567"/>
        <w:jc w:val="both"/>
        <w:rPr>
          <w:rFonts w:ascii="Times New Roman" w:hAnsi="Times New Roman" w:cs="Times New Roman"/>
          <w:color w:val="000000" w:themeColor="text1"/>
          <w:sz w:val="20"/>
          <w:szCs w:val="20"/>
        </w:rPr>
      </w:pPr>
    </w:p>
    <w:p w14:paraId="0514467E" w14:textId="5A52E98B" w:rsidR="006A4DC2" w:rsidRDefault="006A4DC2" w:rsidP="00C54BC9">
      <w:pPr>
        <w:spacing w:before="120" w:after="120" w:line="360" w:lineRule="auto"/>
        <w:ind w:firstLine="567"/>
        <w:jc w:val="both"/>
        <w:rPr>
          <w:rFonts w:ascii="Times New Roman" w:hAnsi="Times New Roman" w:cs="Times New Roman"/>
          <w:color w:val="000000" w:themeColor="text1"/>
          <w:sz w:val="20"/>
          <w:szCs w:val="20"/>
        </w:rPr>
      </w:pPr>
    </w:p>
    <w:p w14:paraId="39D670DC" w14:textId="77777777" w:rsidR="006A4DC2" w:rsidRPr="00164238" w:rsidRDefault="006A4DC2" w:rsidP="00C54BC9">
      <w:pPr>
        <w:spacing w:before="120" w:after="120" w:line="360" w:lineRule="auto"/>
        <w:ind w:firstLine="567"/>
        <w:jc w:val="both"/>
        <w:rPr>
          <w:rFonts w:ascii="Times New Roman" w:hAnsi="Times New Roman" w:cs="Times New Roman"/>
          <w:color w:val="000000" w:themeColor="text1"/>
          <w:sz w:val="20"/>
          <w:szCs w:val="20"/>
        </w:rPr>
      </w:pPr>
    </w:p>
    <w:p w14:paraId="59BBB50B" w14:textId="77777777" w:rsidR="00C54BC9" w:rsidRPr="00164238" w:rsidRDefault="00C54BC9" w:rsidP="00C54BC9">
      <w:pPr>
        <w:spacing w:after="0" w:line="240" w:lineRule="auto"/>
        <w:rPr>
          <w:rFonts w:ascii="Times New Roman" w:hAnsi="Times New Roman" w:cs="Times New Roman"/>
          <w:b/>
          <w:bCs/>
          <w:color w:val="000000" w:themeColor="text1"/>
        </w:rPr>
      </w:pPr>
      <w:r w:rsidRPr="00164238">
        <w:rPr>
          <w:rFonts w:ascii="Times New Roman" w:hAnsi="Times New Roman" w:cs="Times New Roman"/>
          <w:b/>
          <w:bCs/>
          <w:color w:val="000000" w:themeColor="text1"/>
        </w:rPr>
        <w:t xml:space="preserve">Tablo 10: Türk İmalat Sanayii’nin Birleşik Krallık Pazarında Rekabet Gücü Endeksi </w:t>
      </w:r>
    </w:p>
    <w:tbl>
      <w:tblPr>
        <w:tblW w:w="8730" w:type="dxa"/>
        <w:tblCellMar>
          <w:left w:w="70" w:type="dxa"/>
          <w:right w:w="70" w:type="dxa"/>
        </w:tblCellMar>
        <w:tblLook w:val="04A0" w:firstRow="1" w:lastRow="0" w:firstColumn="1" w:lastColumn="0" w:noHBand="0" w:noVBand="1"/>
      </w:tblPr>
      <w:tblGrid>
        <w:gridCol w:w="1191"/>
        <w:gridCol w:w="680"/>
        <w:gridCol w:w="794"/>
        <w:gridCol w:w="794"/>
        <w:gridCol w:w="680"/>
        <w:gridCol w:w="680"/>
        <w:gridCol w:w="680"/>
        <w:gridCol w:w="680"/>
        <w:gridCol w:w="680"/>
        <w:gridCol w:w="1871"/>
      </w:tblGrid>
      <w:tr w:rsidR="00164238" w:rsidRPr="00164238" w14:paraId="16F05CAC" w14:textId="77777777" w:rsidTr="00682CBF">
        <w:trPr>
          <w:trHeight w:val="300"/>
        </w:trPr>
        <w:tc>
          <w:tcPr>
            <w:tcW w:w="1191" w:type="dxa"/>
            <w:tcBorders>
              <w:top w:val="single" w:sz="4" w:space="0" w:color="auto"/>
              <w:left w:val="single" w:sz="4" w:space="0" w:color="auto"/>
              <w:bottom w:val="single" w:sz="4" w:space="0" w:color="auto"/>
              <w:right w:val="single" w:sz="4" w:space="0" w:color="auto"/>
            </w:tcBorders>
            <w:shd w:val="clear" w:color="auto" w:fill="auto"/>
            <w:noWrap/>
            <w:hideMark/>
          </w:tcPr>
          <w:p w14:paraId="111D53A5"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2D1EA2F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2013</w:t>
            </w:r>
          </w:p>
        </w:tc>
        <w:tc>
          <w:tcPr>
            <w:tcW w:w="794" w:type="dxa"/>
            <w:tcBorders>
              <w:top w:val="single" w:sz="4" w:space="0" w:color="auto"/>
              <w:left w:val="nil"/>
              <w:bottom w:val="single" w:sz="4" w:space="0" w:color="auto"/>
              <w:right w:val="single" w:sz="4" w:space="0" w:color="auto"/>
            </w:tcBorders>
            <w:shd w:val="clear" w:color="auto" w:fill="auto"/>
            <w:noWrap/>
            <w:vAlign w:val="center"/>
            <w:hideMark/>
          </w:tcPr>
          <w:p w14:paraId="0B5E457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2014</w:t>
            </w:r>
          </w:p>
        </w:tc>
        <w:tc>
          <w:tcPr>
            <w:tcW w:w="794" w:type="dxa"/>
            <w:tcBorders>
              <w:top w:val="single" w:sz="4" w:space="0" w:color="auto"/>
              <w:left w:val="nil"/>
              <w:bottom w:val="single" w:sz="4" w:space="0" w:color="auto"/>
              <w:right w:val="single" w:sz="4" w:space="0" w:color="auto"/>
            </w:tcBorders>
            <w:shd w:val="clear" w:color="auto" w:fill="auto"/>
            <w:noWrap/>
            <w:vAlign w:val="center"/>
            <w:hideMark/>
          </w:tcPr>
          <w:p w14:paraId="3A9B52A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2015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73BF810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2016</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14C5BCA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2017</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00E2A3F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2018</w:t>
            </w:r>
          </w:p>
        </w:tc>
        <w:tc>
          <w:tcPr>
            <w:tcW w:w="680"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11B9F48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2019</w:t>
            </w:r>
          </w:p>
        </w:tc>
        <w:tc>
          <w:tcPr>
            <w:tcW w:w="680"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25E6D42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2020</w:t>
            </w:r>
          </w:p>
        </w:tc>
        <w:tc>
          <w:tcPr>
            <w:tcW w:w="1871" w:type="dxa"/>
            <w:tcBorders>
              <w:top w:val="single" w:sz="4" w:space="0" w:color="auto"/>
              <w:left w:val="nil"/>
              <w:bottom w:val="single" w:sz="4" w:space="0" w:color="auto"/>
              <w:right w:val="single" w:sz="4" w:space="0" w:color="auto"/>
            </w:tcBorders>
            <w:vAlign w:val="center"/>
          </w:tcPr>
          <w:p w14:paraId="2365E434"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RCA</w:t>
            </w:r>
          </w:p>
        </w:tc>
      </w:tr>
      <w:tr w:rsidR="00164238" w:rsidRPr="00164238" w14:paraId="16038B9A"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1E1FF00A"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10</w:t>
            </w:r>
          </w:p>
        </w:tc>
        <w:tc>
          <w:tcPr>
            <w:tcW w:w="680" w:type="dxa"/>
            <w:tcBorders>
              <w:top w:val="nil"/>
              <w:left w:val="nil"/>
              <w:bottom w:val="single" w:sz="4" w:space="0" w:color="auto"/>
              <w:right w:val="single" w:sz="4" w:space="0" w:color="auto"/>
            </w:tcBorders>
            <w:shd w:val="clear" w:color="auto" w:fill="auto"/>
            <w:noWrap/>
            <w:vAlign w:val="center"/>
            <w:hideMark/>
          </w:tcPr>
          <w:p w14:paraId="4A487EA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1,48</w:t>
            </w:r>
          </w:p>
        </w:tc>
        <w:tc>
          <w:tcPr>
            <w:tcW w:w="794" w:type="dxa"/>
            <w:tcBorders>
              <w:top w:val="nil"/>
              <w:left w:val="nil"/>
              <w:bottom w:val="single" w:sz="4" w:space="0" w:color="auto"/>
              <w:right w:val="single" w:sz="4" w:space="0" w:color="auto"/>
            </w:tcBorders>
            <w:shd w:val="clear" w:color="auto" w:fill="auto"/>
            <w:noWrap/>
            <w:vAlign w:val="center"/>
            <w:hideMark/>
          </w:tcPr>
          <w:p w14:paraId="5A2F5B5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1,63</w:t>
            </w:r>
          </w:p>
        </w:tc>
        <w:tc>
          <w:tcPr>
            <w:tcW w:w="794" w:type="dxa"/>
            <w:tcBorders>
              <w:top w:val="nil"/>
              <w:left w:val="nil"/>
              <w:bottom w:val="single" w:sz="4" w:space="0" w:color="auto"/>
              <w:right w:val="single" w:sz="4" w:space="0" w:color="auto"/>
            </w:tcBorders>
            <w:shd w:val="clear" w:color="auto" w:fill="auto"/>
            <w:noWrap/>
            <w:vAlign w:val="center"/>
            <w:hideMark/>
          </w:tcPr>
          <w:p w14:paraId="65CF0CA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1,67</w:t>
            </w:r>
          </w:p>
        </w:tc>
        <w:tc>
          <w:tcPr>
            <w:tcW w:w="680" w:type="dxa"/>
            <w:tcBorders>
              <w:top w:val="nil"/>
              <w:left w:val="nil"/>
              <w:bottom w:val="single" w:sz="4" w:space="0" w:color="auto"/>
              <w:right w:val="single" w:sz="4" w:space="0" w:color="auto"/>
            </w:tcBorders>
            <w:shd w:val="clear" w:color="auto" w:fill="auto"/>
            <w:noWrap/>
            <w:vAlign w:val="center"/>
            <w:hideMark/>
          </w:tcPr>
          <w:p w14:paraId="5324BDB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1,74</w:t>
            </w:r>
          </w:p>
        </w:tc>
        <w:tc>
          <w:tcPr>
            <w:tcW w:w="680" w:type="dxa"/>
            <w:tcBorders>
              <w:top w:val="nil"/>
              <w:left w:val="nil"/>
              <w:bottom w:val="single" w:sz="4" w:space="0" w:color="auto"/>
              <w:right w:val="single" w:sz="4" w:space="0" w:color="auto"/>
            </w:tcBorders>
            <w:shd w:val="clear" w:color="auto" w:fill="auto"/>
            <w:noWrap/>
            <w:vAlign w:val="center"/>
            <w:hideMark/>
          </w:tcPr>
          <w:p w14:paraId="438F73B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1,65</w:t>
            </w:r>
          </w:p>
        </w:tc>
        <w:tc>
          <w:tcPr>
            <w:tcW w:w="680" w:type="dxa"/>
            <w:tcBorders>
              <w:top w:val="nil"/>
              <w:left w:val="nil"/>
              <w:bottom w:val="single" w:sz="4" w:space="0" w:color="auto"/>
              <w:right w:val="single" w:sz="4" w:space="0" w:color="auto"/>
            </w:tcBorders>
            <w:shd w:val="clear" w:color="auto" w:fill="auto"/>
            <w:noWrap/>
            <w:vAlign w:val="center"/>
            <w:hideMark/>
          </w:tcPr>
          <w:p w14:paraId="715729F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1,63</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37F0E30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1,76</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2F438E7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1,81</w:t>
            </w:r>
          </w:p>
        </w:tc>
        <w:tc>
          <w:tcPr>
            <w:tcW w:w="1871" w:type="dxa"/>
            <w:tcBorders>
              <w:top w:val="nil"/>
              <w:left w:val="nil"/>
              <w:bottom w:val="single" w:sz="4" w:space="0" w:color="auto"/>
              <w:right w:val="single" w:sz="4" w:space="0" w:color="auto"/>
            </w:tcBorders>
            <w:vAlign w:val="center"/>
          </w:tcPr>
          <w:p w14:paraId="4DBE3BA8"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Advantajlı</w:t>
            </w:r>
          </w:p>
        </w:tc>
      </w:tr>
      <w:tr w:rsidR="00164238" w:rsidRPr="00164238" w14:paraId="6F388298"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210F582E"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11</w:t>
            </w:r>
          </w:p>
        </w:tc>
        <w:tc>
          <w:tcPr>
            <w:tcW w:w="680" w:type="dxa"/>
            <w:tcBorders>
              <w:top w:val="nil"/>
              <w:left w:val="nil"/>
              <w:bottom w:val="single" w:sz="4" w:space="0" w:color="auto"/>
              <w:right w:val="single" w:sz="4" w:space="0" w:color="auto"/>
            </w:tcBorders>
            <w:shd w:val="clear" w:color="auto" w:fill="auto"/>
            <w:noWrap/>
            <w:vAlign w:val="center"/>
            <w:hideMark/>
          </w:tcPr>
          <w:p w14:paraId="64B6B04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-2,71</w:t>
            </w:r>
          </w:p>
        </w:tc>
        <w:tc>
          <w:tcPr>
            <w:tcW w:w="794" w:type="dxa"/>
            <w:tcBorders>
              <w:top w:val="nil"/>
              <w:left w:val="nil"/>
              <w:bottom w:val="single" w:sz="4" w:space="0" w:color="auto"/>
              <w:right w:val="single" w:sz="4" w:space="0" w:color="auto"/>
            </w:tcBorders>
            <w:shd w:val="clear" w:color="auto" w:fill="auto"/>
            <w:noWrap/>
            <w:vAlign w:val="center"/>
            <w:hideMark/>
          </w:tcPr>
          <w:p w14:paraId="4F949BC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-3,01</w:t>
            </w:r>
          </w:p>
        </w:tc>
        <w:tc>
          <w:tcPr>
            <w:tcW w:w="794" w:type="dxa"/>
            <w:tcBorders>
              <w:top w:val="nil"/>
              <w:left w:val="nil"/>
              <w:bottom w:val="single" w:sz="4" w:space="0" w:color="auto"/>
              <w:right w:val="single" w:sz="4" w:space="0" w:color="auto"/>
            </w:tcBorders>
            <w:shd w:val="clear" w:color="auto" w:fill="auto"/>
            <w:noWrap/>
            <w:vAlign w:val="center"/>
            <w:hideMark/>
          </w:tcPr>
          <w:p w14:paraId="13283BC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-2,59</w:t>
            </w:r>
          </w:p>
        </w:tc>
        <w:tc>
          <w:tcPr>
            <w:tcW w:w="680" w:type="dxa"/>
            <w:tcBorders>
              <w:top w:val="nil"/>
              <w:left w:val="nil"/>
              <w:bottom w:val="single" w:sz="4" w:space="0" w:color="auto"/>
              <w:right w:val="single" w:sz="4" w:space="0" w:color="auto"/>
            </w:tcBorders>
            <w:shd w:val="clear" w:color="auto" w:fill="auto"/>
            <w:noWrap/>
            <w:vAlign w:val="center"/>
            <w:hideMark/>
          </w:tcPr>
          <w:p w14:paraId="0989A35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-2,72</w:t>
            </w:r>
          </w:p>
        </w:tc>
        <w:tc>
          <w:tcPr>
            <w:tcW w:w="680" w:type="dxa"/>
            <w:tcBorders>
              <w:top w:val="nil"/>
              <w:left w:val="nil"/>
              <w:bottom w:val="single" w:sz="4" w:space="0" w:color="auto"/>
              <w:right w:val="single" w:sz="4" w:space="0" w:color="auto"/>
            </w:tcBorders>
            <w:shd w:val="clear" w:color="auto" w:fill="auto"/>
            <w:noWrap/>
            <w:vAlign w:val="center"/>
            <w:hideMark/>
          </w:tcPr>
          <w:p w14:paraId="004B67D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-2,20</w:t>
            </w:r>
          </w:p>
        </w:tc>
        <w:tc>
          <w:tcPr>
            <w:tcW w:w="680" w:type="dxa"/>
            <w:tcBorders>
              <w:top w:val="nil"/>
              <w:left w:val="nil"/>
              <w:bottom w:val="single" w:sz="4" w:space="0" w:color="auto"/>
              <w:right w:val="single" w:sz="4" w:space="0" w:color="auto"/>
            </w:tcBorders>
            <w:shd w:val="clear" w:color="auto" w:fill="auto"/>
            <w:noWrap/>
            <w:vAlign w:val="center"/>
            <w:hideMark/>
          </w:tcPr>
          <w:p w14:paraId="67DA8D6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-1,77</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466F5F0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-2,31</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399DFAD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-2,33</w:t>
            </w:r>
          </w:p>
        </w:tc>
        <w:tc>
          <w:tcPr>
            <w:tcW w:w="1871" w:type="dxa"/>
            <w:tcBorders>
              <w:top w:val="nil"/>
              <w:left w:val="nil"/>
              <w:bottom w:val="single" w:sz="4" w:space="0" w:color="auto"/>
              <w:right w:val="single" w:sz="4" w:space="0" w:color="auto"/>
            </w:tcBorders>
            <w:vAlign w:val="center"/>
          </w:tcPr>
          <w:p w14:paraId="7CAC0B40"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Dezavantajlı</w:t>
            </w:r>
          </w:p>
        </w:tc>
      </w:tr>
      <w:tr w:rsidR="00164238" w:rsidRPr="00164238" w14:paraId="61FAFF87"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65F6F43B"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b/>
                <w:bCs/>
                <w:color w:val="000000" w:themeColor="text1"/>
              </w:rPr>
              <w:t>12</w:t>
            </w:r>
          </w:p>
        </w:tc>
        <w:tc>
          <w:tcPr>
            <w:tcW w:w="680" w:type="dxa"/>
            <w:tcBorders>
              <w:top w:val="nil"/>
              <w:left w:val="nil"/>
              <w:bottom w:val="single" w:sz="4" w:space="0" w:color="auto"/>
              <w:right w:val="single" w:sz="4" w:space="0" w:color="auto"/>
            </w:tcBorders>
            <w:shd w:val="clear" w:color="auto" w:fill="auto"/>
            <w:noWrap/>
            <w:vAlign w:val="center"/>
            <w:hideMark/>
          </w:tcPr>
          <w:p w14:paraId="4E0474B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-9,70</w:t>
            </w:r>
          </w:p>
        </w:tc>
        <w:tc>
          <w:tcPr>
            <w:tcW w:w="794" w:type="dxa"/>
            <w:tcBorders>
              <w:top w:val="nil"/>
              <w:left w:val="nil"/>
              <w:bottom w:val="single" w:sz="4" w:space="0" w:color="auto"/>
              <w:right w:val="single" w:sz="4" w:space="0" w:color="auto"/>
            </w:tcBorders>
            <w:shd w:val="clear" w:color="auto" w:fill="auto"/>
            <w:noWrap/>
            <w:vAlign w:val="center"/>
            <w:hideMark/>
          </w:tcPr>
          <w:p w14:paraId="1BFF79C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-10,60</w:t>
            </w:r>
          </w:p>
        </w:tc>
        <w:tc>
          <w:tcPr>
            <w:tcW w:w="794" w:type="dxa"/>
            <w:tcBorders>
              <w:top w:val="nil"/>
              <w:left w:val="nil"/>
              <w:bottom w:val="single" w:sz="4" w:space="0" w:color="auto"/>
              <w:right w:val="single" w:sz="4" w:space="0" w:color="auto"/>
            </w:tcBorders>
            <w:shd w:val="clear" w:color="auto" w:fill="auto"/>
            <w:noWrap/>
            <w:vAlign w:val="center"/>
            <w:hideMark/>
          </w:tcPr>
          <w:p w14:paraId="32EFE8E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-10,85</w:t>
            </w:r>
          </w:p>
        </w:tc>
        <w:tc>
          <w:tcPr>
            <w:tcW w:w="680" w:type="dxa"/>
            <w:tcBorders>
              <w:top w:val="nil"/>
              <w:left w:val="nil"/>
              <w:bottom w:val="single" w:sz="4" w:space="0" w:color="auto"/>
              <w:right w:val="single" w:sz="4" w:space="0" w:color="auto"/>
            </w:tcBorders>
            <w:shd w:val="clear" w:color="auto" w:fill="auto"/>
            <w:noWrap/>
            <w:vAlign w:val="center"/>
            <w:hideMark/>
          </w:tcPr>
          <w:p w14:paraId="38C72B2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-2,17</w:t>
            </w:r>
          </w:p>
        </w:tc>
        <w:tc>
          <w:tcPr>
            <w:tcW w:w="680" w:type="dxa"/>
            <w:tcBorders>
              <w:top w:val="nil"/>
              <w:left w:val="nil"/>
              <w:bottom w:val="single" w:sz="4" w:space="0" w:color="auto"/>
              <w:right w:val="single" w:sz="4" w:space="0" w:color="auto"/>
            </w:tcBorders>
            <w:shd w:val="clear" w:color="auto" w:fill="auto"/>
            <w:noWrap/>
            <w:vAlign w:val="center"/>
            <w:hideMark/>
          </w:tcPr>
          <w:p w14:paraId="4BCE6DD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-2,40</w:t>
            </w:r>
          </w:p>
        </w:tc>
        <w:tc>
          <w:tcPr>
            <w:tcW w:w="680" w:type="dxa"/>
            <w:tcBorders>
              <w:top w:val="nil"/>
              <w:left w:val="nil"/>
              <w:bottom w:val="single" w:sz="4" w:space="0" w:color="auto"/>
              <w:right w:val="single" w:sz="4" w:space="0" w:color="auto"/>
            </w:tcBorders>
            <w:shd w:val="clear" w:color="auto" w:fill="auto"/>
            <w:noWrap/>
            <w:vAlign w:val="center"/>
            <w:hideMark/>
          </w:tcPr>
          <w:p w14:paraId="4958138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-1,70</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52F17CF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-1,19</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155379D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1,31</w:t>
            </w:r>
          </w:p>
        </w:tc>
        <w:tc>
          <w:tcPr>
            <w:tcW w:w="1871" w:type="dxa"/>
            <w:tcBorders>
              <w:top w:val="nil"/>
              <w:left w:val="nil"/>
              <w:bottom w:val="single" w:sz="4" w:space="0" w:color="auto"/>
              <w:right w:val="single" w:sz="4" w:space="0" w:color="auto"/>
            </w:tcBorders>
            <w:vAlign w:val="center"/>
          </w:tcPr>
          <w:p w14:paraId="3E767889"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Advantajlı</w:t>
            </w:r>
          </w:p>
        </w:tc>
      </w:tr>
      <w:tr w:rsidR="00164238" w:rsidRPr="00164238" w14:paraId="788872D4"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7529BD20"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13</w:t>
            </w:r>
          </w:p>
        </w:tc>
        <w:tc>
          <w:tcPr>
            <w:tcW w:w="680" w:type="dxa"/>
            <w:tcBorders>
              <w:top w:val="nil"/>
              <w:left w:val="nil"/>
              <w:bottom w:val="single" w:sz="4" w:space="0" w:color="auto"/>
              <w:right w:val="single" w:sz="4" w:space="0" w:color="auto"/>
            </w:tcBorders>
            <w:shd w:val="clear" w:color="auto" w:fill="auto"/>
            <w:noWrap/>
            <w:vAlign w:val="center"/>
            <w:hideMark/>
          </w:tcPr>
          <w:p w14:paraId="5D4961B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1,64</w:t>
            </w:r>
          </w:p>
        </w:tc>
        <w:tc>
          <w:tcPr>
            <w:tcW w:w="794" w:type="dxa"/>
            <w:tcBorders>
              <w:top w:val="nil"/>
              <w:left w:val="nil"/>
              <w:bottom w:val="single" w:sz="4" w:space="0" w:color="auto"/>
              <w:right w:val="single" w:sz="4" w:space="0" w:color="auto"/>
            </w:tcBorders>
            <w:shd w:val="clear" w:color="auto" w:fill="auto"/>
            <w:noWrap/>
            <w:vAlign w:val="center"/>
            <w:hideMark/>
          </w:tcPr>
          <w:p w14:paraId="6336BBA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1,67</w:t>
            </w:r>
          </w:p>
        </w:tc>
        <w:tc>
          <w:tcPr>
            <w:tcW w:w="794" w:type="dxa"/>
            <w:tcBorders>
              <w:top w:val="nil"/>
              <w:left w:val="nil"/>
              <w:bottom w:val="single" w:sz="4" w:space="0" w:color="auto"/>
              <w:right w:val="single" w:sz="4" w:space="0" w:color="auto"/>
            </w:tcBorders>
            <w:shd w:val="clear" w:color="auto" w:fill="auto"/>
            <w:noWrap/>
            <w:vAlign w:val="center"/>
            <w:hideMark/>
          </w:tcPr>
          <w:p w14:paraId="45CA513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1,65</w:t>
            </w:r>
          </w:p>
        </w:tc>
        <w:tc>
          <w:tcPr>
            <w:tcW w:w="680" w:type="dxa"/>
            <w:tcBorders>
              <w:top w:val="nil"/>
              <w:left w:val="nil"/>
              <w:bottom w:val="single" w:sz="4" w:space="0" w:color="auto"/>
              <w:right w:val="single" w:sz="4" w:space="0" w:color="auto"/>
            </w:tcBorders>
            <w:shd w:val="clear" w:color="auto" w:fill="auto"/>
            <w:noWrap/>
            <w:vAlign w:val="center"/>
            <w:hideMark/>
          </w:tcPr>
          <w:p w14:paraId="7D9A400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1,61</w:t>
            </w:r>
          </w:p>
        </w:tc>
        <w:tc>
          <w:tcPr>
            <w:tcW w:w="680" w:type="dxa"/>
            <w:tcBorders>
              <w:top w:val="nil"/>
              <w:left w:val="nil"/>
              <w:bottom w:val="single" w:sz="4" w:space="0" w:color="auto"/>
              <w:right w:val="single" w:sz="4" w:space="0" w:color="auto"/>
            </w:tcBorders>
            <w:shd w:val="clear" w:color="auto" w:fill="auto"/>
            <w:noWrap/>
            <w:vAlign w:val="center"/>
            <w:hideMark/>
          </w:tcPr>
          <w:p w14:paraId="219774A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2,03</w:t>
            </w:r>
          </w:p>
        </w:tc>
        <w:tc>
          <w:tcPr>
            <w:tcW w:w="680" w:type="dxa"/>
            <w:tcBorders>
              <w:top w:val="nil"/>
              <w:left w:val="nil"/>
              <w:bottom w:val="single" w:sz="4" w:space="0" w:color="auto"/>
              <w:right w:val="single" w:sz="4" w:space="0" w:color="auto"/>
            </w:tcBorders>
            <w:shd w:val="clear" w:color="auto" w:fill="auto"/>
            <w:noWrap/>
            <w:vAlign w:val="center"/>
            <w:hideMark/>
          </w:tcPr>
          <w:p w14:paraId="4A64282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2,09</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7F64498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1,77</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4566EF6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2,29</w:t>
            </w:r>
          </w:p>
        </w:tc>
        <w:tc>
          <w:tcPr>
            <w:tcW w:w="1871" w:type="dxa"/>
            <w:tcBorders>
              <w:top w:val="nil"/>
              <w:left w:val="nil"/>
              <w:bottom w:val="single" w:sz="4" w:space="0" w:color="auto"/>
              <w:right w:val="single" w:sz="4" w:space="0" w:color="auto"/>
            </w:tcBorders>
            <w:vAlign w:val="center"/>
          </w:tcPr>
          <w:p w14:paraId="18FB3762"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Advantajlı</w:t>
            </w:r>
          </w:p>
        </w:tc>
      </w:tr>
      <w:tr w:rsidR="00164238" w:rsidRPr="00164238" w14:paraId="0C6D88F9"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25AA331E"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14</w:t>
            </w:r>
          </w:p>
        </w:tc>
        <w:tc>
          <w:tcPr>
            <w:tcW w:w="680" w:type="dxa"/>
            <w:tcBorders>
              <w:top w:val="nil"/>
              <w:left w:val="nil"/>
              <w:bottom w:val="single" w:sz="4" w:space="0" w:color="auto"/>
              <w:right w:val="single" w:sz="4" w:space="0" w:color="auto"/>
            </w:tcBorders>
            <w:shd w:val="clear" w:color="auto" w:fill="auto"/>
            <w:noWrap/>
            <w:vAlign w:val="center"/>
            <w:hideMark/>
          </w:tcPr>
          <w:p w14:paraId="0D77C25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4,39</w:t>
            </w:r>
          </w:p>
        </w:tc>
        <w:tc>
          <w:tcPr>
            <w:tcW w:w="794" w:type="dxa"/>
            <w:tcBorders>
              <w:top w:val="nil"/>
              <w:left w:val="nil"/>
              <w:bottom w:val="single" w:sz="4" w:space="0" w:color="auto"/>
              <w:right w:val="single" w:sz="4" w:space="0" w:color="auto"/>
            </w:tcBorders>
            <w:shd w:val="clear" w:color="auto" w:fill="auto"/>
            <w:noWrap/>
            <w:vAlign w:val="center"/>
            <w:hideMark/>
          </w:tcPr>
          <w:p w14:paraId="46685A0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4,41</w:t>
            </w:r>
          </w:p>
        </w:tc>
        <w:tc>
          <w:tcPr>
            <w:tcW w:w="794" w:type="dxa"/>
            <w:tcBorders>
              <w:top w:val="nil"/>
              <w:left w:val="nil"/>
              <w:bottom w:val="single" w:sz="4" w:space="0" w:color="auto"/>
              <w:right w:val="single" w:sz="4" w:space="0" w:color="auto"/>
            </w:tcBorders>
            <w:shd w:val="clear" w:color="auto" w:fill="auto"/>
            <w:noWrap/>
            <w:vAlign w:val="center"/>
            <w:hideMark/>
          </w:tcPr>
          <w:p w14:paraId="2C529C2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4,25</w:t>
            </w:r>
          </w:p>
        </w:tc>
        <w:tc>
          <w:tcPr>
            <w:tcW w:w="680" w:type="dxa"/>
            <w:tcBorders>
              <w:top w:val="nil"/>
              <w:left w:val="nil"/>
              <w:bottom w:val="single" w:sz="4" w:space="0" w:color="auto"/>
              <w:right w:val="single" w:sz="4" w:space="0" w:color="auto"/>
            </w:tcBorders>
            <w:shd w:val="clear" w:color="auto" w:fill="auto"/>
            <w:noWrap/>
            <w:vAlign w:val="center"/>
            <w:hideMark/>
          </w:tcPr>
          <w:p w14:paraId="783C72C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4,19</w:t>
            </w:r>
          </w:p>
        </w:tc>
        <w:tc>
          <w:tcPr>
            <w:tcW w:w="680" w:type="dxa"/>
            <w:tcBorders>
              <w:top w:val="nil"/>
              <w:left w:val="nil"/>
              <w:bottom w:val="single" w:sz="4" w:space="0" w:color="auto"/>
              <w:right w:val="single" w:sz="4" w:space="0" w:color="auto"/>
            </w:tcBorders>
            <w:shd w:val="clear" w:color="auto" w:fill="auto"/>
            <w:noWrap/>
            <w:vAlign w:val="center"/>
            <w:hideMark/>
          </w:tcPr>
          <w:p w14:paraId="420D3A5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4,86</w:t>
            </w:r>
          </w:p>
        </w:tc>
        <w:tc>
          <w:tcPr>
            <w:tcW w:w="680" w:type="dxa"/>
            <w:tcBorders>
              <w:top w:val="nil"/>
              <w:left w:val="nil"/>
              <w:bottom w:val="single" w:sz="4" w:space="0" w:color="auto"/>
              <w:right w:val="single" w:sz="4" w:space="0" w:color="auto"/>
            </w:tcBorders>
            <w:shd w:val="clear" w:color="auto" w:fill="auto"/>
            <w:noWrap/>
            <w:vAlign w:val="center"/>
            <w:hideMark/>
          </w:tcPr>
          <w:p w14:paraId="10846FB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4,93</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43BF150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4,55</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14967AF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4,52</w:t>
            </w:r>
          </w:p>
        </w:tc>
        <w:tc>
          <w:tcPr>
            <w:tcW w:w="1871" w:type="dxa"/>
            <w:tcBorders>
              <w:top w:val="nil"/>
              <w:left w:val="nil"/>
              <w:bottom w:val="single" w:sz="4" w:space="0" w:color="auto"/>
              <w:right w:val="single" w:sz="4" w:space="0" w:color="auto"/>
            </w:tcBorders>
            <w:vAlign w:val="center"/>
          </w:tcPr>
          <w:p w14:paraId="6BF761BD"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Advantajlı</w:t>
            </w:r>
          </w:p>
        </w:tc>
      </w:tr>
      <w:tr w:rsidR="00164238" w:rsidRPr="00164238" w14:paraId="6EED7680"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612C6EEE"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15</w:t>
            </w:r>
          </w:p>
        </w:tc>
        <w:tc>
          <w:tcPr>
            <w:tcW w:w="680" w:type="dxa"/>
            <w:tcBorders>
              <w:top w:val="nil"/>
              <w:left w:val="nil"/>
              <w:bottom w:val="single" w:sz="4" w:space="0" w:color="auto"/>
              <w:right w:val="single" w:sz="4" w:space="0" w:color="auto"/>
            </w:tcBorders>
            <w:shd w:val="clear" w:color="auto" w:fill="auto"/>
            <w:noWrap/>
            <w:vAlign w:val="center"/>
            <w:hideMark/>
          </w:tcPr>
          <w:p w14:paraId="00A87C5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1,51</w:t>
            </w:r>
          </w:p>
        </w:tc>
        <w:tc>
          <w:tcPr>
            <w:tcW w:w="794" w:type="dxa"/>
            <w:tcBorders>
              <w:top w:val="nil"/>
              <w:left w:val="nil"/>
              <w:bottom w:val="single" w:sz="4" w:space="0" w:color="auto"/>
              <w:right w:val="single" w:sz="4" w:space="0" w:color="auto"/>
            </w:tcBorders>
            <w:shd w:val="clear" w:color="auto" w:fill="auto"/>
            <w:noWrap/>
            <w:vAlign w:val="center"/>
            <w:hideMark/>
          </w:tcPr>
          <w:p w14:paraId="5AB64A2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1,54</w:t>
            </w:r>
          </w:p>
        </w:tc>
        <w:tc>
          <w:tcPr>
            <w:tcW w:w="794" w:type="dxa"/>
            <w:tcBorders>
              <w:top w:val="nil"/>
              <w:left w:val="nil"/>
              <w:bottom w:val="single" w:sz="4" w:space="0" w:color="auto"/>
              <w:right w:val="single" w:sz="4" w:space="0" w:color="auto"/>
            </w:tcBorders>
            <w:shd w:val="clear" w:color="auto" w:fill="auto"/>
            <w:noWrap/>
            <w:vAlign w:val="center"/>
            <w:hideMark/>
          </w:tcPr>
          <w:p w14:paraId="1E47976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1,20</w:t>
            </w:r>
          </w:p>
        </w:tc>
        <w:tc>
          <w:tcPr>
            <w:tcW w:w="680" w:type="dxa"/>
            <w:tcBorders>
              <w:top w:val="nil"/>
              <w:left w:val="nil"/>
              <w:bottom w:val="single" w:sz="4" w:space="0" w:color="auto"/>
              <w:right w:val="single" w:sz="4" w:space="0" w:color="auto"/>
            </w:tcBorders>
            <w:shd w:val="clear" w:color="auto" w:fill="auto"/>
            <w:noWrap/>
            <w:vAlign w:val="center"/>
            <w:hideMark/>
          </w:tcPr>
          <w:p w14:paraId="3B87480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0,63</w:t>
            </w:r>
          </w:p>
        </w:tc>
        <w:tc>
          <w:tcPr>
            <w:tcW w:w="680" w:type="dxa"/>
            <w:tcBorders>
              <w:top w:val="nil"/>
              <w:left w:val="nil"/>
              <w:bottom w:val="single" w:sz="4" w:space="0" w:color="auto"/>
              <w:right w:val="single" w:sz="4" w:space="0" w:color="auto"/>
            </w:tcBorders>
            <w:shd w:val="clear" w:color="auto" w:fill="auto"/>
            <w:noWrap/>
            <w:vAlign w:val="center"/>
            <w:hideMark/>
          </w:tcPr>
          <w:p w14:paraId="4FE3A5B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1,44</w:t>
            </w:r>
          </w:p>
        </w:tc>
        <w:tc>
          <w:tcPr>
            <w:tcW w:w="680" w:type="dxa"/>
            <w:tcBorders>
              <w:top w:val="nil"/>
              <w:left w:val="nil"/>
              <w:bottom w:val="single" w:sz="4" w:space="0" w:color="auto"/>
              <w:right w:val="single" w:sz="4" w:space="0" w:color="auto"/>
            </w:tcBorders>
            <w:shd w:val="clear" w:color="auto" w:fill="auto"/>
            <w:noWrap/>
            <w:vAlign w:val="center"/>
            <w:hideMark/>
          </w:tcPr>
          <w:p w14:paraId="6B5A120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1,33</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7972BCF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1,87</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41C7ED2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1,90</w:t>
            </w:r>
          </w:p>
        </w:tc>
        <w:tc>
          <w:tcPr>
            <w:tcW w:w="1871" w:type="dxa"/>
            <w:tcBorders>
              <w:top w:val="nil"/>
              <w:left w:val="nil"/>
              <w:bottom w:val="single" w:sz="4" w:space="0" w:color="auto"/>
              <w:right w:val="single" w:sz="4" w:space="0" w:color="auto"/>
            </w:tcBorders>
            <w:vAlign w:val="center"/>
          </w:tcPr>
          <w:p w14:paraId="2DE2C006"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color w:val="000000" w:themeColor="text1"/>
              </w:rPr>
              <w:t>Advantajlı</w:t>
            </w:r>
          </w:p>
        </w:tc>
      </w:tr>
      <w:tr w:rsidR="00164238" w:rsidRPr="00164238" w14:paraId="6A51B8BC"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26E801EA"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b/>
                <w:bCs/>
                <w:color w:val="000000" w:themeColor="text1"/>
              </w:rPr>
              <w:t>16</w:t>
            </w:r>
          </w:p>
        </w:tc>
        <w:tc>
          <w:tcPr>
            <w:tcW w:w="680" w:type="dxa"/>
            <w:tcBorders>
              <w:top w:val="nil"/>
              <w:left w:val="nil"/>
              <w:bottom w:val="single" w:sz="4" w:space="0" w:color="auto"/>
              <w:right w:val="single" w:sz="4" w:space="0" w:color="auto"/>
            </w:tcBorders>
            <w:shd w:val="clear" w:color="auto" w:fill="auto"/>
            <w:noWrap/>
            <w:vAlign w:val="center"/>
            <w:hideMark/>
          </w:tcPr>
          <w:p w14:paraId="2D9E39C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-0,32</w:t>
            </w:r>
          </w:p>
        </w:tc>
        <w:tc>
          <w:tcPr>
            <w:tcW w:w="794" w:type="dxa"/>
            <w:tcBorders>
              <w:top w:val="nil"/>
              <w:left w:val="nil"/>
              <w:bottom w:val="single" w:sz="4" w:space="0" w:color="auto"/>
              <w:right w:val="single" w:sz="4" w:space="0" w:color="auto"/>
            </w:tcBorders>
            <w:shd w:val="clear" w:color="auto" w:fill="auto"/>
            <w:noWrap/>
            <w:vAlign w:val="center"/>
            <w:hideMark/>
          </w:tcPr>
          <w:p w14:paraId="2A1AB9D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-0,27</w:t>
            </w:r>
          </w:p>
        </w:tc>
        <w:tc>
          <w:tcPr>
            <w:tcW w:w="794" w:type="dxa"/>
            <w:tcBorders>
              <w:top w:val="nil"/>
              <w:left w:val="nil"/>
              <w:bottom w:val="single" w:sz="4" w:space="0" w:color="auto"/>
              <w:right w:val="single" w:sz="4" w:space="0" w:color="auto"/>
            </w:tcBorders>
            <w:shd w:val="clear" w:color="auto" w:fill="auto"/>
            <w:noWrap/>
            <w:vAlign w:val="center"/>
            <w:hideMark/>
          </w:tcPr>
          <w:p w14:paraId="5E5767C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0,77</w:t>
            </w:r>
          </w:p>
        </w:tc>
        <w:tc>
          <w:tcPr>
            <w:tcW w:w="680" w:type="dxa"/>
            <w:tcBorders>
              <w:top w:val="nil"/>
              <w:left w:val="nil"/>
              <w:bottom w:val="single" w:sz="4" w:space="0" w:color="auto"/>
              <w:right w:val="single" w:sz="4" w:space="0" w:color="auto"/>
            </w:tcBorders>
            <w:shd w:val="clear" w:color="auto" w:fill="auto"/>
            <w:noWrap/>
            <w:vAlign w:val="center"/>
            <w:hideMark/>
          </w:tcPr>
          <w:p w14:paraId="5A3644B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0,86</w:t>
            </w:r>
          </w:p>
        </w:tc>
        <w:tc>
          <w:tcPr>
            <w:tcW w:w="680" w:type="dxa"/>
            <w:tcBorders>
              <w:top w:val="nil"/>
              <w:left w:val="nil"/>
              <w:bottom w:val="single" w:sz="4" w:space="0" w:color="auto"/>
              <w:right w:val="single" w:sz="4" w:space="0" w:color="auto"/>
            </w:tcBorders>
            <w:shd w:val="clear" w:color="auto" w:fill="auto"/>
            <w:noWrap/>
            <w:vAlign w:val="center"/>
            <w:hideMark/>
          </w:tcPr>
          <w:p w14:paraId="6EF71C7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1,76</w:t>
            </w:r>
          </w:p>
        </w:tc>
        <w:tc>
          <w:tcPr>
            <w:tcW w:w="680" w:type="dxa"/>
            <w:tcBorders>
              <w:top w:val="nil"/>
              <w:left w:val="nil"/>
              <w:bottom w:val="single" w:sz="4" w:space="0" w:color="auto"/>
              <w:right w:val="single" w:sz="4" w:space="0" w:color="auto"/>
            </w:tcBorders>
            <w:shd w:val="clear" w:color="auto" w:fill="auto"/>
            <w:noWrap/>
            <w:vAlign w:val="center"/>
            <w:hideMark/>
          </w:tcPr>
          <w:p w14:paraId="190CB27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1,63</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17283F8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2,45</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7E1ACB6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2,85</w:t>
            </w:r>
          </w:p>
        </w:tc>
        <w:tc>
          <w:tcPr>
            <w:tcW w:w="1871" w:type="dxa"/>
            <w:tcBorders>
              <w:top w:val="nil"/>
              <w:left w:val="nil"/>
              <w:bottom w:val="single" w:sz="4" w:space="0" w:color="auto"/>
              <w:right w:val="single" w:sz="4" w:space="0" w:color="auto"/>
            </w:tcBorders>
            <w:vAlign w:val="center"/>
          </w:tcPr>
          <w:p w14:paraId="64FA1DAF"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Advantajlı</w:t>
            </w:r>
          </w:p>
        </w:tc>
      </w:tr>
      <w:tr w:rsidR="00164238" w:rsidRPr="00164238" w14:paraId="6A0CFEC0"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5C28EF4B"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b/>
                <w:bCs/>
                <w:color w:val="000000" w:themeColor="text1"/>
              </w:rPr>
              <w:t>17</w:t>
            </w:r>
          </w:p>
        </w:tc>
        <w:tc>
          <w:tcPr>
            <w:tcW w:w="680" w:type="dxa"/>
            <w:tcBorders>
              <w:top w:val="nil"/>
              <w:left w:val="nil"/>
              <w:bottom w:val="single" w:sz="4" w:space="0" w:color="auto"/>
              <w:right w:val="single" w:sz="4" w:space="0" w:color="auto"/>
            </w:tcBorders>
            <w:shd w:val="clear" w:color="auto" w:fill="auto"/>
            <w:noWrap/>
            <w:vAlign w:val="center"/>
            <w:hideMark/>
          </w:tcPr>
          <w:p w14:paraId="2970F8C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0,83</w:t>
            </w:r>
          </w:p>
        </w:tc>
        <w:tc>
          <w:tcPr>
            <w:tcW w:w="794" w:type="dxa"/>
            <w:tcBorders>
              <w:top w:val="nil"/>
              <w:left w:val="nil"/>
              <w:bottom w:val="single" w:sz="4" w:space="0" w:color="auto"/>
              <w:right w:val="single" w:sz="4" w:space="0" w:color="auto"/>
            </w:tcBorders>
            <w:shd w:val="clear" w:color="auto" w:fill="auto"/>
            <w:noWrap/>
            <w:vAlign w:val="center"/>
            <w:hideMark/>
          </w:tcPr>
          <w:p w14:paraId="6E04865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0,75</w:t>
            </w:r>
          </w:p>
        </w:tc>
        <w:tc>
          <w:tcPr>
            <w:tcW w:w="794" w:type="dxa"/>
            <w:tcBorders>
              <w:top w:val="nil"/>
              <w:left w:val="nil"/>
              <w:bottom w:val="single" w:sz="4" w:space="0" w:color="auto"/>
              <w:right w:val="single" w:sz="4" w:space="0" w:color="auto"/>
            </w:tcBorders>
            <w:shd w:val="clear" w:color="auto" w:fill="auto"/>
            <w:noWrap/>
            <w:vAlign w:val="center"/>
            <w:hideMark/>
          </w:tcPr>
          <w:p w14:paraId="3EA1A8B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0,63</w:t>
            </w:r>
          </w:p>
        </w:tc>
        <w:tc>
          <w:tcPr>
            <w:tcW w:w="680" w:type="dxa"/>
            <w:tcBorders>
              <w:top w:val="nil"/>
              <w:left w:val="nil"/>
              <w:bottom w:val="single" w:sz="4" w:space="0" w:color="auto"/>
              <w:right w:val="single" w:sz="4" w:space="0" w:color="auto"/>
            </w:tcBorders>
            <w:shd w:val="clear" w:color="auto" w:fill="auto"/>
            <w:noWrap/>
            <w:vAlign w:val="center"/>
            <w:hideMark/>
          </w:tcPr>
          <w:p w14:paraId="5AD265D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0,26</w:t>
            </w:r>
          </w:p>
        </w:tc>
        <w:tc>
          <w:tcPr>
            <w:tcW w:w="680" w:type="dxa"/>
            <w:tcBorders>
              <w:top w:val="nil"/>
              <w:left w:val="nil"/>
              <w:bottom w:val="single" w:sz="4" w:space="0" w:color="auto"/>
              <w:right w:val="single" w:sz="4" w:space="0" w:color="auto"/>
            </w:tcBorders>
            <w:shd w:val="clear" w:color="auto" w:fill="auto"/>
            <w:noWrap/>
            <w:vAlign w:val="center"/>
            <w:hideMark/>
          </w:tcPr>
          <w:p w14:paraId="549A08D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0,74</w:t>
            </w:r>
          </w:p>
        </w:tc>
        <w:tc>
          <w:tcPr>
            <w:tcW w:w="680" w:type="dxa"/>
            <w:tcBorders>
              <w:top w:val="nil"/>
              <w:left w:val="nil"/>
              <w:bottom w:val="single" w:sz="4" w:space="0" w:color="auto"/>
              <w:right w:val="single" w:sz="4" w:space="0" w:color="auto"/>
            </w:tcBorders>
            <w:shd w:val="clear" w:color="auto" w:fill="auto"/>
            <w:noWrap/>
            <w:vAlign w:val="center"/>
            <w:hideMark/>
          </w:tcPr>
          <w:p w14:paraId="345276E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0,79</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5AA932D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0,64</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2811678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0,87</w:t>
            </w:r>
          </w:p>
        </w:tc>
        <w:tc>
          <w:tcPr>
            <w:tcW w:w="1871" w:type="dxa"/>
            <w:tcBorders>
              <w:top w:val="nil"/>
              <w:left w:val="nil"/>
              <w:bottom w:val="single" w:sz="4" w:space="0" w:color="auto"/>
              <w:right w:val="single" w:sz="4" w:space="0" w:color="auto"/>
            </w:tcBorders>
            <w:vAlign w:val="center"/>
          </w:tcPr>
          <w:p w14:paraId="3EBCBF8B"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Advantajlı</w:t>
            </w:r>
          </w:p>
        </w:tc>
      </w:tr>
      <w:tr w:rsidR="00164238" w:rsidRPr="00164238" w14:paraId="6D1EB650"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0F9601FD"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color w:val="000000" w:themeColor="text1"/>
              </w:rPr>
              <w:t>18</w:t>
            </w:r>
          </w:p>
        </w:tc>
        <w:tc>
          <w:tcPr>
            <w:tcW w:w="680" w:type="dxa"/>
            <w:tcBorders>
              <w:top w:val="nil"/>
              <w:left w:val="nil"/>
              <w:bottom w:val="single" w:sz="4" w:space="0" w:color="auto"/>
              <w:right w:val="single" w:sz="4" w:space="0" w:color="auto"/>
            </w:tcBorders>
            <w:shd w:val="clear" w:color="auto" w:fill="auto"/>
            <w:noWrap/>
            <w:vAlign w:val="center"/>
            <w:hideMark/>
          </w:tcPr>
          <w:p w14:paraId="08D7128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-3,77</w:t>
            </w:r>
          </w:p>
        </w:tc>
        <w:tc>
          <w:tcPr>
            <w:tcW w:w="794" w:type="dxa"/>
            <w:tcBorders>
              <w:top w:val="nil"/>
              <w:left w:val="nil"/>
              <w:bottom w:val="single" w:sz="4" w:space="0" w:color="auto"/>
              <w:right w:val="single" w:sz="4" w:space="0" w:color="auto"/>
            </w:tcBorders>
            <w:shd w:val="clear" w:color="auto" w:fill="auto"/>
            <w:noWrap/>
            <w:vAlign w:val="center"/>
            <w:hideMark/>
          </w:tcPr>
          <w:p w14:paraId="3DEE0FF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-4,00</w:t>
            </w:r>
          </w:p>
        </w:tc>
        <w:tc>
          <w:tcPr>
            <w:tcW w:w="794" w:type="dxa"/>
            <w:tcBorders>
              <w:top w:val="nil"/>
              <w:left w:val="nil"/>
              <w:bottom w:val="single" w:sz="4" w:space="0" w:color="auto"/>
              <w:right w:val="single" w:sz="4" w:space="0" w:color="auto"/>
            </w:tcBorders>
            <w:shd w:val="clear" w:color="auto" w:fill="auto"/>
            <w:noWrap/>
            <w:vAlign w:val="center"/>
            <w:hideMark/>
          </w:tcPr>
          <w:p w14:paraId="70E86C6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-2,78</w:t>
            </w:r>
          </w:p>
        </w:tc>
        <w:tc>
          <w:tcPr>
            <w:tcW w:w="680" w:type="dxa"/>
            <w:tcBorders>
              <w:top w:val="nil"/>
              <w:left w:val="nil"/>
              <w:bottom w:val="single" w:sz="4" w:space="0" w:color="auto"/>
              <w:right w:val="single" w:sz="4" w:space="0" w:color="auto"/>
            </w:tcBorders>
            <w:shd w:val="clear" w:color="auto" w:fill="auto"/>
            <w:noWrap/>
            <w:vAlign w:val="center"/>
            <w:hideMark/>
          </w:tcPr>
          <w:p w14:paraId="1F9358D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-3,61</w:t>
            </w:r>
          </w:p>
        </w:tc>
        <w:tc>
          <w:tcPr>
            <w:tcW w:w="680" w:type="dxa"/>
            <w:tcBorders>
              <w:top w:val="nil"/>
              <w:left w:val="nil"/>
              <w:bottom w:val="single" w:sz="4" w:space="0" w:color="auto"/>
              <w:right w:val="single" w:sz="4" w:space="0" w:color="auto"/>
            </w:tcBorders>
            <w:shd w:val="clear" w:color="auto" w:fill="auto"/>
            <w:noWrap/>
            <w:vAlign w:val="center"/>
            <w:hideMark/>
          </w:tcPr>
          <w:p w14:paraId="72C3737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-2,19</w:t>
            </w:r>
          </w:p>
        </w:tc>
        <w:tc>
          <w:tcPr>
            <w:tcW w:w="680" w:type="dxa"/>
            <w:tcBorders>
              <w:top w:val="nil"/>
              <w:left w:val="nil"/>
              <w:bottom w:val="single" w:sz="4" w:space="0" w:color="auto"/>
              <w:right w:val="single" w:sz="4" w:space="0" w:color="auto"/>
            </w:tcBorders>
            <w:shd w:val="clear" w:color="auto" w:fill="auto"/>
            <w:noWrap/>
            <w:vAlign w:val="center"/>
            <w:hideMark/>
          </w:tcPr>
          <w:p w14:paraId="4F325E4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-2,85</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5A57719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-2,62</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67AD25E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-3,57</w:t>
            </w:r>
          </w:p>
        </w:tc>
        <w:tc>
          <w:tcPr>
            <w:tcW w:w="1871" w:type="dxa"/>
            <w:tcBorders>
              <w:top w:val="nil"/>
              <w:left w:val="nil"/>
              <w:bottom w:val="single" w:sz="4" w:space="0" w:color="auto"/>
              <w:right w:val="single" w:sz="4" w:space="0" w:color="auto"/>
            </w:tcBorders>
            <w:vAlign w:val="center"/>
          </w:tcPr>
          <w:p w14:paraId="7894521A"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Dezavantajlı</w:t>
            </w:r>
          </w:p>
        </w:tc>
      </w:tr>
      <w:tr w:rsidR="00164238" w:rsidRPr="00164238" w14:paraId="53487A0E"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4E451977"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b/>
                <w:bCs/>
                <w:color w:val="000000" w:themeColor="text1"/>
              </w:rPr>
              <w:t>19</w:t>
            </w:r>
          </w:p>
        </w:tc>
        <w:tc>
          <w:tcPr>
            <w:tcW w:w="680" w:type="dxa"/>
            <w:tcBorders>
              <w:top w:val="nil"/>
              <w:left w:val="nil"/>
              <w:bottom w:val="single" w:sz="4" w:space="0" w:color="auto"/>
              <w:right w:val="single" w:sz="4" w:space="0" w:color="auto"/>
            </w:tcBorders>
            <w:shd w:val="clear" w:color="auto" w:fill="auto"/>
            <w:noWrap/>
            <w:vAlign w:val="center"/>
            <w:hideMark/>
          </w:tcPr>
          <w:p w14:paraId="4BEED48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2,27</w:t>
            </w:r>
          </w:p>
        </w:tc>
        <w:tc>
          <w:tcPr>
            <w:tcW w:w="794" w:type="dxa"/>
            <w:tcBorders>
              <w:top w:val="nil"/>
              <w:left w:val="nil"/>
              <w:bottom w:val="single" w:sz="4" w:space="0" w:color="auto"/>
              <w:right w:val="single" w:sz="4" w:space="0" w:color="auto"/>
            </w:tcBorders>
            <w:shd w:val="clear" w:color="auto" w:fill="auto"/>
            <w:noWrap/>
            <w:vAlign w:val="center"/>
            <w:hideMark/>
          </w:tcPr>
          <w:p w14:paraId="245D1BC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1,25</w:t>
            </w:r>
          </w:p>
        </w:tc>
        <w:tc>
          <w:tcPr>
            <w:tcW w:w="794" w:type="dxa"/>
            <w:tcBorders>
              <w:top w:val="nil"/>
              <w:left w:val="nil"/>
              <w:bottom w:val="single" w:sz="4" w:space="0" w:color="auto"/>
              <w:right w:val="single" w:sz="4" w:space="0" w:color="auto"/>
            </w:tcBorders>
            <w:shd w:val="clear" w:color="auto" w:fill="auto"/>
            <w:noWrap/>
            <w:vAlign w:val="center"/>
            <w:hideMark/>
          </w:tcPr>
          <w:p w14:paraId="22FEC8F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0,04</w:t>
            </w:r>
          </w:p>
        </w:tc>
        <w:tc>
          <w:tcPr>
            <w:tcW w:w="680" w:type="dxa"/>
            <w:tcBorders>
              <w:top w:val="nil"/>
              <w:left w:val="nil"/>
              <w:bottom w:val="single" w:sz="4" w:space="0" w:color="auto"/>
              <w:right w:val="single" w:sz="4" w:space="0" w:color="auto"/>
            </w:tcBorders>
            <w:shd w:val="clear" w:color="auto" w:fill="auto"/>
            <w:noWrap/>
            <w:vAlign w:val="center"/>
            <w:hideMark/>
          </w:tcPr>
          <w:p w14:paraId="23700C9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1,18</w:t>
            </w:r>
          </w:p>
        </w:tc>
        <w:tc>
          <w:tcPr>
            <w:tcW w:w="680" w:type="dxa"/>
            <w:tcBorders>
              <w:top w:val="nil"/>
              <w:left w:val="nil"/>
              <w:bottom w:val="single" w:sz="4" w:space="0" w:color="auto"/>
              <w:right w:val="single" w:sz="4" w:space="0" w:color="auto"/>
            </w:tcBorders>
            <w:shd w:val="clear" w:color="auto" w:fill="auto"/>
            <w:noWrap/>
            <w:vAlign w:val="center"/>
            <w:hideMark/>
          </w:tcPr>
          <w:p w14:paraId="1C9EB49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0,06</w:t>
            </w:r>
          </w:p>
        </w:tc>
        <w:tc>
          <w:tcPr>
            <w:tcW w:w="680" w:type="dxa"/>
            <w:tcBorders>
              <w:top w:val="nil"/>
              <w:left w:val="nil"/>
              <w:bottom w:val="single" w:sz="4" w:space="0" w:color="auto"/>
              <w:right w:val="single" w:sz="4" w:space="0" w:color="auto"/>
            </w:tcBorders>
            <w:shd w:val="clear" w:color="auto" w:fill="auto"/>
            <w:noWrap/>
            <w:vAlign w:val="center"/>
            <w:hideMark/>
          </w:tcPr>
          <w:p w14:paraId="0F82311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0,53</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10A1EFF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-0,44</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2F806BF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-1,41</w:t>
            </w:r>
          </w:p>
        </w:tc>
        <w:tc>
          <w:tcPr>
            <w:tcW w:w="1871" w:type="dxa"/>
            <w:tcBorders>
              <w:top w:val="nil"/>
              <w:left w:val="nil"/>
              <w:bottom w:val="single" w:sz="4" w:space="0" w:color="auto"/>
              <w:right w:val="single" w:sz="4" w:space="0" w:color="auto"/>
            </w:tcBorders>
            <w:vAlign w:val="center"/>
          </w:tcPr>
          <w:p w14:paraId="6CBABF44"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b/>
                <w:bCs/>
                <w:color w:val="000000" w:themeColor="text1"/>
              </w:rPr>
              <w:t>Dezavantajlı</w:t>
            </w:r>
          </w:p>
        </w:tc>
      </w:tr>
      <w:tr w:rsidR="00164238" w:rsidRPr="00164238" w14:paraId="51D1C770"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1E7F49B9"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w:t>
            </w:r>
          </w:p>
        </w:tc>
        <w:tc>
          <w:tcPr>
            <w:tcW w:w="680" w:type="dxa"/>
            <w:tcBorders>
              <w:top w:val="nil"/>
              <w:left w:val="nil"/>
              <w:bottom w:val="single" w:sz="4" w:space="0" w:color="auto"/>
              <w:right w:val="single" w:sz="4" w:space="0" w:color="auto"/>
            </w:tcBorders>
            <w:shd w:val="clear" w:color="auto" w:fill="auto"/>
            <w:noWrap/>
            <w:vAlign w:val="center"/>
            <w:hideMark/>
          </w:tcPr>
          <w:p w14:paraId="143C017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-2,34</w:t>
            </w:r>
          </w:p>
        </w:tc>
        <w:tc>
          <w:tcPr>
            <w:tcW w:w="794" w:type="dxa"/>
            <w:tcBorders>
              <w:top w:val="nil"/>
              <w:left w:val="nil"/>
              <w:bottom w:val="single" w:sz="4" w:space="0" w:color="auto"/>
              <w:right w:val="single" w:sz="4" w:space="0" w:color="auto"/>
            </w:tcBorders>
            <w:shd w:val="clear" w:color="auto" w:fill="auto"/>
            <w:noWrap/>
            <w:vAlign w:val="center"/>
            <w:hideMark/>
          </w:tcPr>
          <w:p w14:paraId="5D121CF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-2,26</w:t>
            </w:r>
          </w:p>
        </w:tc>
        <w:tc>
          <w:tcPr>
            <w:tcW w:w="794" w:type="dxa"/>
            <w:tcBorders>
              <w:top w:val="nil"/>
              <w:left w:val="nil"/>
              <w:bottom w:val="single" w:sz="4" w:space="0" w:color="auto"/>
              <w:right w:val="single" w:sz="4" w:space="0" w:color="auto"/>
            </w:tcBorders>
            <w:shd w:val="clear" w:color="auto" w:fill="auto"/>
            <w:noWrap/>
            <w:vAlign w:val="center"/>
            <w:hideMark/>
          </w:tcPr>
          <w:p w14:paraId="1AEDC93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-2,20</w:t>
            </w:r>
          </w:p>
        </w:tc>
        <w:tc>
          <w:tcPr>
            <w:tcW w:w="680" w:type="dxa"/>
            <w:tcBorders>
              <w:top w:val="nil"/>
              <w:left w:val="nil"/>
              <w:bottom w:val="single" w:sz="4" w:space="0" w:color="auto"/>
              <w:right w:val="single" w:sz="4" w:space="0" w:color="auto"/>
            </w:tcBorders>
            <w:shd w:val="clear" w:color="auto" w:fill="auto"/>
            <w:noWrap/>
            <w:vAlign w:val="center"/>
            <w:hideMark/>
          </w:tcPr>
          <w:p w14:paraId="2F4CC6C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-2,21</w:t>
            </w:r>
          </w:p>
        </w:tc>
        <w:tc>
          <w:tcPr>
            <w:tcW w:w="680" w:type="dxa"/>
            <w:tcBorders>
              <w:top w:val="nil"/>
              <w:left w:val="nil"/>
              <w:bottom w:val="single" w:sz="4" w:space="0" w:color="auto"/>
              <w:right w:val="single" w:sz="4" w:space="0" w:color="auto"/>
            </w:tcBorders>
            <w:shd w:val="clear" w:color="auto" w:fill="auto"/>
            <w:noWrap/>
            <w:vAlign w:val="center"/>
            <w:hideMark/>
          </w:tcPr>
          <w:p w14:paraId="2F738A6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-1,69</w:t>
            </w:r>
          </w:p>
        </w:tc>
        <w:tc>
          <w:tcPr>
            <w:tcW w:w="680" w:type="dxa"/>
            <w:tcBorders>
              <w:top w:val="nil"/>
              <w:left w:val="nil"/>
              <w:bottom w:val="single" w:sz="4" w:space="0" w:color="auto"/>
              <w:right w:val="single" w:sz="4" w:space="0" w:color="auto"/>
            </w:tcBorders>
            <w:shd w:val="clear" w:color="auto" w:fill="auto"/>
            <w:noWrap/>
            <w:vAlign w:val="center"/>
            <w:hideMark/>
          </w:tcPr>
          <w:p w14:paraId="7E925D4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-1,46</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501132E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-1,62</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3EDB888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-1,35</w:t>
            </w:r>
          </w:p>
        </w:tc>
        <w:tc>
          <w:tcPr>
            <w:tcW w:w="1871" w:type="dxa"/>
            <w:tcBorders>
              <w:top w:val="nil"/>
              <w:left w:val="nil"/>
              <w:bottom w:val="single" w:sz="4" w:space="0" w:color="auto"/>
              <w:right w:val="single" w:sz="4" w:space="0" w:color="auto"/>
            </w:tcBorders>
            <w:vAlign w:val="center"/>
          </w:tcPr>
          <w:p w14:paraId="0711D2D4"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Dezavantajlı</w:t>
            </w:r>
          </w:p>
        </w:tc>
      </w:tr>
      <w:tr w:rsidR="00164238" w:rsidRPr="00164238" w14:paraId="12DC4A98"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77DCE4E8"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21</w:t>
            </w:r>
          </w:p>
        </w:tc>
        <w:tc>
          <w:tcPr>
            <w:tcW w:w="680" w:type="dxa"/>
            <w:tcBorders>
              <w:top w:val="nil"/>
              <w:left w:val="nil"/>
              <w:bottom w:val="single" w:sz="4" w:space="0" w:color="auto"/>
              <w:right w:val="single" w:sz="4" w:space="0" w:color="auto"/>
            </w:tcBorders>
            <w:shd w:val="clear" w:color="auto" w:fill="auto"/>
            <w:noWrap/>
            <w:vAlign w:val="center"/>
            <w:hideMark/>
          </w:tcPr>
          <w:p w14:paraId="7046949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-2,50</w:t>
            </w:r>
          </w:p>
        </w:tc>
        <w:tc>
          <w:tcPr>
            <w:tcW w:w="794" w:type="dxa"/>
            <w:tcBorders>
              <w:top w:val="nil"/>
              <w:left w:val="nil"/>
              <w:bottom w:val="single" w:sz="4" w:space="0" w:color="auto"/>
              <w:right w:val="single" w:sz="4" w:space="0" w:color="auto"/>
            </w:tcBorders>
            <w:shd w:val="clear" w:color="auto" w:fill="auto"/>
            <w:noWrap/>
            <w:vAlign w:val="center"/>
            <w:hideMark/>
          </w:tcPr>
          <w:p w14:paraId="5EBF258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-3,22</w:t>
            </w:r>
          </w:p>
        </w:tc>
        <w:tc>
          <w:tcPr>
            <w:tcW w:w="794" w:type="dxa"/>
            <w:tcBorders>
              <w:top w:val="nil"/>
              <w:left w:val="nil"/>
              <w:bottom w:val="single" w:sz="4" w:space="0" w:color="auto"/>
              <w:right w:val="single" w:sz="4" w:space="0" w:color="auto"/>
            </w:tcBorders>
            <w:shd w:val="clear" w:color="auto" w:fill="auto"/>
            <w:noWrap/>
            <w:vAlign w:val="center"/>
            <w:hideMark/>
          </w:tcPr>
          <w:p w14:paraId="660F2FD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-3,51</w:t>
            </w:r>
          </w:p>
        </w:tc>
        <w:tc>
          <w:tcPr>
            <w:tcW w:w="680" w:type="dxa"/>
            <w:tcBorders>
              <w:top w:val="nil"/>
              <w:left w:val="nil"/>
              <w:bottom w:val="single" w:sz="4" w:space="0" w:color="auto"/>
              <w:right w:val="single" w:sz="4" w:space="0" w:color="auto"/>
            </w:tcBorders>
            <w:shd w:val="clear" w:color="auto" w:fill="auto"/>
            <w:noWrap/>
            <w:vAlign w:val="center"/>
            <w:hideMark/>
          </w:tcPr>
          <w:p w14:paraId="6FAC153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-3,62</w:t>
            </w:r>
          </w:p>
        </w:tc>
        <w:tc>
          <w:tcPr>
            <w:tcW w:w="680" w:type="dxa"/>
            <w:tcBorders>
              <w:top w:val="nil"/>
              <w:left w:val="nil"/>
              <w:bottom w:val="single" w:sz="4" w:space="0" w:color="auto"/>
              <w:right w:val="single" w:sz="4" w:space="0" w:color="auto"/>
            </w:tcBorders>
            <w:shd w:val="clear" w:color="auto" w:fill="auto"/>
            <w:noWrap/>
            <w:vAlign w:val="center"/>
            <w:hideMark/>
          </w:tcPr>
          <w:p w14:paraId="37B7AAD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-3,60</w:t>
            </w:r>
          </w:p>
        </w:tc>
        <w:tc>
          <w:tcPr>
            <w:tcW w:w="680" w:type="dxa"/>
            <w:tcBorders>
              <w:top w:val="nil"/>
              <w:left w:val="nil"/>
              <w:bottom w:val="single" w:sz="4" w:space="0" w:color="auto"/>
              <w:right w:val="single" w:sz="4" w:space="0" w:color="auto"/>
            </w:tcBorders>
            <w:shd w:val="clear" w:color="auto" w:fill="auto"/>
            <w:noWrap/>
            <w:vAlign w:val="center"/>
            <w:hideMark/>
          </w:tcPr>
          <w:p w14:paraId="1C21C05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-3,14</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55DB9E7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-2,91</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655B408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-3,32</w:t>
            </w:r>
          </w:p>
        </w:tc>
        <w:tc>
          <w:tcPr>
            <w:tcW w:w="1871" w:type="dxa"/>
            <w:tcBorders>
              <w:top w:val="nil"/>
              <w:left w:val="nil"/>
              <w:bottom w:val="single" w:sz="4" w:space="0" w:color="auto"/>
              <w:right w:val="single" w:sz="4" w:space="0" w:color="auto"/>
            </w:tcBorders>
            <w:vAlign w:val="center"/>
          </w:tcPr>
          <w:p w14:paraId="78C75A33"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Dezavantajlı</w:t>
            </w:r>
          </w:p>
        </w:tc>
      </w:tr>
      <w:tr w:rsidR="00164238" w:rsidRPr="00164238" w14:paraId="282B8C8B"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28266AA2"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b/>
                <w:bCs/>
                <w:color w:val="000000" w:themeColor="text1"/>
              </w:rPr>
              <w:lastRenderedPageBreak/>
              <w:t>22</w:t>
            </w:r>
          </w:p>
        </w:tc>
        <w:tc>
          <w:tcPr>
            <w:tcW w:w="680" w:type="dxa"/>
            <w:tcBorders>
              <w:top w:val="nil"/>
              <w:left w:val="nil"/>
              <w:bottom w:val="single" w:sz="4" w:space="0" w:color="auto"/>
              <w:right w:val="single" w:sz="4" w:space="0" w:color="auto"/>
            </w:tcBorders>
            <w:shd w:val="clear" w:color="auto" w:fill="auto"/>
            <w:noWrap/>
            <w:vAlign w:val="center"/>
            <w:hideMark/>
          </w:tcPr>
          <w:p w14:paraId="64D5924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0,25</w:t>
            </w:r>
          </w:p>
        </w:tc>
        <w:tc>
          <w:tcPr>
            <w:tcW w:w="794" w:type="dxa"/>
            <w:tcBorders>
              <w:top w:val="nil"/>
              <w:left w:val="nil"/>
              <w:bottom w:val="single" w:sz="4" w:space="0" w:color="auto"/>
              <w:right w:val="single" w:sz="4" w:space="0" w:color="auto"/>
            </w:tcBorders>
            <w:shd w:val="clear" w:color="auto" w:fill="auto"/>
            <w:noWrap/>
            <w:vAlign w:val="center"/>
            <w:hideMark/>
          </w:tcPr>
          <w:p w14:paraId="7059AE4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0,16</w:t>
            </w:r>
          </w:p>
        </w:tc>
        <w:tc>
          <w:tcPr>
            <w:tcW w:w="794" w:type="dxa"/>
            <w:tcBorders>
              <w:top w:val="nil"/>
              <w:left w:val="nil"/>
              <w:bottom w:val="single" w:sz="4" w:space="0" w:color="auto"/>
              <w:right w:val="single" w:sz="4" w:space="0" w:color="auto"/>
            </w:tcBorders>
            <w:shd w:val="clear" w:color="auto" w:fill="auto"/>
            <w:noWrap/>
            <w:vAlign w:val="center"/>
            <w:hideMark/>
          </w:tcPr>
          <w:p w14:paraId="3B8060C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0,02</w:t>
            </w:r>
          </w:p>
        </w:tc>
        <w:tc>
          <w:tcPr>
            <w:tcW w:w="680" w:type="dxa"/>
            <w:tcBorders>
              <w:top w:val="nil"/>
              <w:left w:val="nil"/>
              <w:bottom w:val="single" w:sz="4" w:space="0" w:color="auto"/>
              <w:right w:val="single" w:sz="4" w:space="0" w:color="auto"/>
            </w:tcBorders>
            <w:shd w:val="clear" w:color="auto" w:fill="auto"/>
            <w:noWrap/>
            <w:vAlign w:val="center"/>
            <w:hideMark/>
          </w:tcPr>
          <w:p w14:paraId="470E14C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-0,11</w:t>
            </w:r>
          </w:p>
        </w:tc>
        <w:tc>
          <w:tcPr>
            <w:tcW w:w="680" w:type="dxa"/>
            <w:tcBorders>
              <w:top w:val="nil"/>
              <w:left w:val="nil"/>
              <w:bottom w:val="single" w:sz="4" w:space="0" w:color="auto"/>
              <w:right w:val="single" w:sz="4" w:space="0" w:color="auto"/>
            </w:tcBorders>
            <w:shd w:val="clear" w:color="auto" w:fill="auto"/>
            <w:noWrap/>
            <w:vAlign w:val="center"/>
            <w:hideMark/>
          </w:tcPr>
          <w:p w14:paraId="0240DA2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0,20</w:t>
            </w:r>
          </w:p>
        </w:tc>
        <w:tc>
          <w:tcPr>
            <w:tcW w:w="680" w:type="dxa"/>
            <w:tcBorders>
              <w:top w:val="nil"/>
              <w:left w:val="nil"/>
              <w:bottom w:val="single" w:sz="4" w:space="0" w:color="auto"/>
              <w:right w:val="single" w:sz="4" w:space="0" w:color="auto"/>
            </w:tcBorders>
            <w:shd w:val="clear" w:color="auto" w:fill="auto"/>
            <w:noWrap/>
            <w:vAlign w:val="center"/>
            <w:hideMark/>
          </w:tcPr>
          <w:p w14:paraId="0CFD262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0,50</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66ACFA1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0,53</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1503FC8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0,68</w:t>
            </w:r>
          </w:p>
        </w:tc>
        <w:tc>
          <w:tcPr>
            <w:tcW w:w="1871" w:type="dxa"/>
            <w:tcBorders>
              <w:top w:val="nil"/>
              <w:left w:val="nil"/>
              <w:bottom w:val="single" w:sz="4" w:space="0" w:color="auto"/>
              <w:right w:val="single" w:sz="4" w:space="0" w:color="auto"/>
            </w:tcBorders>
            <w:vAlign w:val="center"/>
          </w:tcPr>
          <w:p w14:paraId="54FA7A1D"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Advantajlı</w:t>
            </w:r>
          </w:p>
        </w:tc>
      </w:tr>
      <w:tr w:rsidR="00164238" w:rsidRPr="00164238" w14:paraId="6DCF37B6"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29BB7A74"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b/>
                <w:bCs/>
                <w:color w:val="000000" w:themeColor="text1"/>
              </w:rPr>
              <w:t>23</w:t>
            </w:r>
          </w:p>
        </w:tc>
        <w:tc>
          <w:tcPr>
            <w:tcW w:w="680" w:type="dxa"/>
            <w:tcBorders>
              <w:top w:val="nil"/>
              <w:left w:val="nil"/>
              <w:bottom w:val="single" w:sz="4" w:space="0" w:color="auto"/>
              <w:right w:val="single" w:sz="4" w:space="0" w:color="auto"/>
            </w:tcBorders>
            <w:shd w:val="clear" w:color="auto" w:fill="auto"/>
            <w:noWrap/>
            <w:vAlign w:val="center"/>
            <w:hideMark/>
          </w:tcPr>
          <w:p w14:paraId="1855725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0,62</w:t>
            </w:r>
          </w:p>
        </w:tc>
        <w:tc>
          <w:tcPr>
            <w:tcW w:w="794" w:type="dxa"/>
            <w:tcBorders>
              <w:top w:val="nil"/>
              <w:left w:val="nil"/>
              <w:bottom w:val="single" w:sz="4" w:space="0" w:color="auto"/>
              <w:right w:val="single" w:sz="4" w:space="0" w:color="auto"/>
            </w:tcBorders>
            <w:shd w:val="clear" w:color="auto" w:fill="auto"/>
            <w:noWrap/>
            <w:vAlign w:val="center"/>
            <w:hideMark/>
          </w:tcPr>
          <w:p w14:paraId="210FF79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0,63</w:t>
            </w:r>
          </w:p>
        </w:tc>
        <w:tc>
          <w:tcPr>
            <w:tcW w:w="794" w:type="dxa"/>
            <w:tcBorders>
              <w:top w:val="nil"/>
              <w:left w:val="nil"/>
              <w:bottom w:val="single" w:sz="4" w:space="0" w:color="auto"/>
              <w:right w:val="single" w:sz="4" w:space="0" w:color="auto"/>
            </w:tcBorders>
            <w:shd w:val="clear" w:color="auto" w:fill="auto"/>
            <w:noWrap/>
            <w:vAlign w:val="center"/>
            <w:hideMark/>
          </w:tcPr>
          <w:p w14:paraId="7C99B44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0,73</w:t>
            </w:r>
          </w:p>
        </w:tc>
        <w:tc>
          <w:tcPr>
            <w:tcW w:w="680" w:type="dxa"/>
            <w:tcBorders>
              <w:top w:val="nil"/>
              <w:left w:val="nil"/>
              <w:bottom w:val="single" w:sz="4" w:space="0" w:color="auto"/>
              <w:right w:val="single" w:sz="4" w:space="0" w:color="auto"/>
            </w:tcBorders>
            <w:shd w:val="clear" w:color="auto" w:fill="auto"/>
            <w:noWrap/>
            <w:vAlign w:val="center"/>
            <w:hideMark/>
          </w:tcPr>
          <w:p w14:paraId="2FA67EA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0,45</w:t>
            </w:r>
          </w:p>
        </w:tc>
        <w:tc>
          <w:tcPr>
            <w:tcW w:w="680" w:type="dxa"/>
            <w:tcBorders>
              <w:top w:val="nil"/>
              <w:left w:val="nil"/>
              <w:bottom w:val="single" w:sz="4" w:space="0" w:color="auto"/>
              <w:right w:val="single" w:sz="4" w:space="0" w:color="auto"/>
            </w:tcBorders>
            <w:shd w:val="clear" w:color="auto" w:fill="auto"/>
            <w:noWrap/>
            <w:vAlign w:val="center"/>
            <w:hideMark/>
          </w:tcPr>
          <w:p w14:paraId="2156C68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0,58</w:t>
            </w:r>
          </w:p>
        </w:tc>
        <w:tc>
          <w:tcPr>
            <w:tcW w:w="680" w:type="dxa"/>
            <w:tcBorders>
              <w:top w:val="nil"/>
              <w:left w:val="nil"/>
              <w:bottom w:val="single" w:sz="4" w:space="0" w:color="auto"/>
              <w:right w:val="single" w:sz="4" w:space="0" w:color="auto"/>
            </w:tcBorders>
            <w:shd w:val="clear" w:color="auto" w:fill="auto"/>
            <w:noWrap/>
            <w:vAlign w:val="center"/>
            <w:hideMark/>
          </w:tcPr>
          <w:p w14:paraId="190B29C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0,67</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5C4E46A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0,69</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41F9579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0,97</w:t>
            </w:r>
          </w:p>
        </w:tc>
        <w:tc>
          <w:tcPr>
            <w:tcW w:w="1871" w:type="dxa"/>
            <w:tcBorders>
              <w:top w:val="nil"/>
              <w:left w:val="nil"/>
              <w:bottom w:val="single" w:sz="4" w:space="0" w:color="auto"/>
              <w:right w:val="single" w:sz="4" w:space="0" w:color="auto"/>
            </w:tcBorders>
            <w:vAlign w:val="center"/>
          </w:tcPr>
          <w:p w14:paraId="15A17341"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color w:val="000000" w:themeColor="text1"/>
              </w:rPr>
              <w:t>Advantajlı</w:t>
            </w:r>
          </w:p>
        </w:tc>
      </w:tr>
      <w:tr w:rsidR="00164238" w:rsidRPr="00164238" w14:paraId="499C2990"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41993CAD"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b/>
                <w:bCs/>
                <w:color w:val="000000" w:themeColor="text1"/>
              </w:rPr>
              <w:t>24</w:t>
            </w:r>
          </w:p>
        </w:tc>
        <w:tc>
          <w:tcPr>
            <w:tcW w:w="680" w:type="dxa"/>
            <w:tcBorders>
              <w:top w:val="nil"/>
              <w:left w:val="nil"/>
              <w:bottom w:val="single" w:sz="4" w:space="0" w:color="auto"/>
              <w:right w:val="single" w:sz="4" w:space="0" w:color="auto"/>
            </w:tcBorders>
            <w:shd w:val="clear" w:color="auto" w:fill="auto"/>
            <w:noWrap/>
            <w:vAlign w:val="center"/>
            <w:hideMark/>
          </w:tcPr>
          <w:p w14:paraId="2EB9808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-0,72</w:t>
            </w:r>
          </w:p>
        </w:tc>
        <w:tc>
          <w:tcPr>
            <w:tcW w:w="794" w:type="dxa"/>
            <w:tcBorders>
              <w:top w:val="nil"/>
              <w:left w:val="nil"/>
              <w:bottom w:val="single" w:sz="4" w:space="0" w:color="auto"/>
              <w:right w:val="single" w:sz="4" w:space="0" w:color="auto"/>
            </w:tcBorders>
            <w:shd w:val="clear" w:color="auto" w:fill="auto"/>
            <w:noWrap/>
            <w:vAlign w:val="center"/>
            <w:hideMark/>
          </w:tcPr>
          <w:p w14:paraId="1D859AE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-0,76</w:t>
            </w:r>
          </w:p>
        </w:tc>
        <w:tc>
          <w:tcPr>
            <w:tcW w:w="794" w:type="dxa"/>
            <w:tcBorders>
              <w:top w:val="nil"/>
              <w:left w:val="nil"/>
              <w:bottom w:val="single" w:sz="4" w:space="0" w:color="auto"/>
              <w:right w:val="single" w:sz="4" w:space="0" w:color="auto"/>
            </w:tcBorders>
            <w:shd w:val="clear" w:color="auto" w:fill="auto"/>
            <w:noWrap/>
            <w:vAlign w:val="center"/>
            <w:hideMark/>
          </w:tcPr>
          <w:p w14:paraId="29948F8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0,39</w:t>
            </w:r>
          </w:p>
        </w:tc>
        <w:tc>
          <w:tcPr>
            <w:tcW w:w="680" w:type="dxa"/>
            <w:tcBorders>
              <w:top w:val="nil"/>
              <w:left w:val="nil"/>
              <w:bottom w:val="single" w:sz="4" w:space="0" w:color="auto"/>
              <w:right w:val="single" w:sz="4" w:space="0" w:color="auto"/>
            </w:tcBorders>
            <w:shd w:val="clear" w:color="auto" w:fill="auto"/>
            <w:noWrap/>
            <w:vAlign w:val="center"/>
            <w:hideMark/>
          </w:tcPr>
          <w:p w14:paraId="4352C7F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1,69</w:t>
            </w:r>
          </w:p>
        </w:tc>
        <w:tc>
          <w:tcPr>
            <w:tcW w:w="680" w:type="dxa"/>
            <w:tcBorders>
              <w:top w:val="nil"/>
              <w:left w:val="nil"/>
              <w:bottom w:val="single" w:sz="4" w:space="0" w:color="auto"/>
              <w:right w:val="single" w:sz="4" w:space="0" w:color="auto"/>
            </w:tcBorders>
            <w:shd w:val="clear" w:color="auto" w:fill="auto"/>
            <w:noWrap/>
            <w:vAlign w:val="center"/>
            <w:hideMark/>
          </w:tcPr>
          <w:p w14:paraId="59CE491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0,27</w:t>
            </w:r>
          </w:p>
        </w:tc>
        <w:tc>
          <w:tcPr>
            <w:tcW w:w="680" w:type="dxa"/>
            <w:tcBorders>
              <w:top w:val="nil"/>
              <w:left w:val="nil"/>
              <w:bottom w:val="single" w:sz="4" w:space="0" w:color="auto"/>
              <w:right w:val="single" w:sz="4" w:space="0" w:color="auto"/>
            </w:tcBorders>
            <w:shd w:val="clear" w:color="auto" w:fill="auto"/>
            <w:noWrap/>
            <w:vAlign w:val="center"/>
            <w:hideMark/>
          </w:tcPr>
          <w:p w14:paraId="59D6C29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-0,74</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1EF3B60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0,08</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069C0E7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0,02</w:t>
            </w:r>
          </w:p>
        </w:tc>
        <w:tc>
          <w:tcPr>
            <w:tcW w:w="1871" w:type="dxa"/>
            <w:tcBorders>
              <w:top w:val="nil"/>
              <w:left w:val="nil"/>
              <w:bottom w:val="single" w:sz="4" w:space="0" w:color="auto"/>
              <w:right w:val="single" w:sz="4" w:space="0" w:color="auto"/>
            </w:tcBorders>
            <w:vAlign w:val="center"/>
          </w:tcPr>
          <w:p w14:paraId="2BE34A0A"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Marjinal Sınırda</w:t>
            </w:r>
          </w:p>
        </w:tc>
      </w:tr>
      <w:tr w:rsidR="00164238" w:rsidRPr="00164238" w14:paraId="55092C03"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06F3618B"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color w:val="000000" w:themeColor="text1"/>
              </w:rPr>
              <w:t>25</w:t>
            </w:r>
          </w:p>
        </w:tc>
        <w:tc>
          <w:tcPr>
            <w:tcW w:w="680" w:type="dxa"/>
            <w:tcBorders>
              <w:top w:val="nil"/>
              <w:left w:val="nil"/>
              <w:bottom w:val="single" w:sz="4" w:space="0" w:color="auto"/>
              <w:right w:val="single" w:sz="4" w:space="0" w:color="auto"/>
            </w:tcBorders>
            <w:shd w:val="clear" w:color="auto" w:fill="auto"/>
            <w:noWrap/>
            <w:vAlign w:val="center"/>
            <w:hideMark/>
          </w:tcPr>
          <w:p w14:paraId="41F1B80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1,11</w:t>
            </w:r>
          </w:p>
        </w:tc>
        <w:tc>
          <w:tcPr>
            <w:tcW w:w="794" w:type="dxa"/>
            <w:tcBorders>
              <w:top w:val="nil"/>
              <w:left w:val="nil"/>
              <w:bottom w:val="single" w:sz="4" w:space="0" w:color="auto"/>
              <w:right w:val="single" w:sz="4" w:space="0" w:color="auto"/>
            </w:tcBorders>
            <w:shd w:val="clear" w:color="auto" w:fill="auto"/>
            <w:noWrap/>
            <w:vAlign w:val="center"/>
            <w:hideMark/>
          </w:tcPr>
          <w:p w14:paraId="712D0C8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1,03</w:t>
            </w:r>
          </w:p>
        </w:tc>
        <w:tc>
          <w:tcPr>
            <w:tcW w:w="794" w:type="dxa"/>
            <w:tcBorders>
              <w:top w:val="nil"/>
              <w:left w:val="nil"/>
              <w:bottom w:val="single" w:sz="4" w:space="0" w:color="auto"/>
              <w:right w:val="single" w:sz="4" w:space="0" w:color="auto"/>
            </w:tcBorders>
            <w:shd w:val="clear" w:color="auto" w:fill="auto"/>
            <w:noWrap/>
            <w:vAlign w:val="center"/>
            <w:hideMark/>
          </w:tcPr>
          <w:p w14:paraId="68457A4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0,71</w:t>
            </w:r>
          </w:p>
        </w:tc>
        <w:tc>
          <w:tcPr>
            <w:tcW w:w="680" w:type="dxa"/>
            <w:tcBorders>
              <w:top w:val="nil"/>
              <w:left w:val="nil"/>
              <w:bottom w:val="single" w:sz="4" w:space="0" w:color="auto"/>
              <w:right w:val="single" w:sz="4" w:space="0" w:color="auto"/>
            </w:tcBorders>
            <w:shd w:val="clear" w:color="auto" w:fill="auto"/>
            <w:noWrap/>
            <w:vAlign w:val="center"/>
            <w:hideMark/>
          </w:tcPr>
          <w:p w14:paraId="4C71696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0,71</w:t>
            </w:r>
          </w:p>
        </w:tc>
        <w:tc>
          <w:tcPr>
            <w:tcW w:w="680" w:type="dxa"/>
            <w:tcBorders>
              <w:top w:val="nil"/>
              <w:left w:val="nil"/>
              <w:bottom w:val="single" w:sz="4" w:space="0" w:color="auto"/>
              <w:right w:val="single" w:sz="4" w:space="0" w:color="auto"/>
            </w:tcBorders>
            <w:shd w:val="clear" w:color="auto" w:fill="auto"/>
            <w:noWrap/>
            <w:vAlign w:val="center"/>
            <w:hideMark/>
          </w:tcPr>
          <w:p w14:paraId="35E4C22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0,89</w:t>
            </w:r>
          </w:p>
        </w:tc>
        <w:tc>
          <w:tcPr>
            <w:tcW w:w="680" w:type="dxa"/>
            <w:tcBorders>
              <w:top w:val="nil"/>
              <w:left w:val="nil"/>
              <w:bottom w:val="single" w:sz="4" w:space="0" w:color="auto"/>
              <w:right w:val="single" w:sz="4" w:space="0" w:color="auto"/>
            </w:tcBorders>
            <w:shd w:val="clear" w:color="auto" w:fill="auto"/>
            <w:noWrap/>
            <w:vAlign w:val="center"/>
            <w:hideMark/>
          </w:tcPr>
          <w:p w14:paraId="23F8F4B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0,98</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20D0B9D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0,97</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0276512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1,17</w:t>
            </w:r>
          </w:p>
        </w:tc>
        <w:tc>
          <w:tcPr>
            <w:tcW w:w="1871" w:type="dxa"/>
            <w:tcBorders>
              <w:top w:val="nil"/>
              <w:left w:val="nil"/>
              <w:bottom w:val="single" w:sz="4" w:space="0" w:color="auto"/>
              <w:right w:val="single" w:sz="4" w:space="0" w:color="auto"/>
            </w:tcBorders>
            <w:vAlign w:val="center"/>
          </w:tcPr>
          <w:p w14:paraId="10137200"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Advantajlı</w:t>
            </w:r>
          </w:p>
        </w:tc>
      </w:tr>
      <w:tr w:rsidR="00164238" w:rsidRPr="00164238" w14:paraId="20E55CDB"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5BEA60E8"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color w:val="000000" w:themeColor="text1"/>
              </w:rPr>
              <w:t>26</w:t>
            </w:r>
          </w:p>
        </w:tc>
        <w:tc>
          <w:tcPr>
            <w:tcW w:w="680" w:type="dxa"/>
            <w:tcBorders>
              <w:top w:val="nil"/>
              <w:left w:val="nil"/>
              <w:bottom w:val="single" w:sz="4" w:space="0" w:color="auto"/>
              <w:right w:val="single" w:sz="4" w:space="0" w:color="auto"/>
            </w:tcBorders>
            <w:shd w:val="clear" w:color="auto" w:fill="auto"/>
            <w:noWrap/>
            <w:vAlign w:val="center"/>
            <w:hideMark/>
          </w:tcPr>
          <w:p w14:paraId="49947AC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0,21</w:t>
            </w:r>
          </w:p>
        </w:tc>
        <w:tc>
          <w:tcPr>
            <w:tcW w:w="794" w:type="dxa"/>
            <w:tcBorders>
              <w:top w:val="nil"/>
              <w:left w:val="nil"/>
              <w:bottom w:val="single" w:sz="4" w:space="0" w:color="auto"/>
              <w:right w:val="single" w:sz="4" w:space="0" w:color="auto"/>
            </w:tcBorders>
            <w:shd w:val="clear" w:color="auto" w:fill="auto"/>
            <w:noWrap/>
            <w:vAlign w:val="center"/>
            <w:hideMark/>
          </w:tcPr>
          <w:p w14:paraId="6035E2C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0,37</w:t>
            </w:r>
          </w:p>
        </w:tc>
        <w:tc>
          <w:tcPr>
            <w:tcW w:w="794" w:type="dxa"/>
            <w:tcBorders>
              <w:top w:val="nil"/>
              <w:left w:val="nil"/>
              <w:bottom w:val="single" w:sz="4" w:space="0" w:color="auto"/>
              <w:right w:val="single" w:sz="4" w:space="0" w:color="auto"/>
            </w:tcBorders>
            <w:shd w:val="clear" w:color="auto" w:fill="auto"/>
            <w:noWrap/>
            <w:vAlign w:val="center"/>
            <w:hideMark/>
          </w:tcPr>
          <w:p w14:paraId="0E48D92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0,33</w:t>
            </w:r>
          </w:p>
        </w:tc>
        <w:tc>
          <w:tcPr>
            <w:tcW w:w="680" w:type="dxa"/>
            <w:tcBorders>
              <w:top w:val="nil"/>
              <w:left w:val="nil"/>
              <w:bottom w:val="single" w:sz="4" w:space="0" w:color="auto"/>
              <w:right w:val="single" w:sz="4" w:space="0" w:color="auto"/>
            </w:tcBorders>
            <w:shd w:val="clear" w:color="auto" w:fill="auto"/>
            <w:noWrap/>
            <w:vAlign w:val="center"/>
            <w:hideMark/>
          </w:tcPr>
          <w:p w14:paraId="1BBED11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-0,12</w:t>
            </w:r>
          </w:p>
        </w:tc>
        <w:tc>
          <w:tcPr>
            <w:tcW w:w="680" w:type="dxa"/>
            <w:tcBorders>
              <w:top w:val="nil"/>
              <w:left w:val="nil"/>
              <w:bottom w:val="single" w:sz="4" w:space="0" w:color="auto"/>
              <w:right w:val="single" w:sz="4" w:space="0" w:color="auto"/>
            </w:tcBorders>
            <w:shd w:val="clear" w:color="auto" w:fill="auto"/>
            <w:noWrap/>
            <w:vAlign w:val="center"/>
            <w:hideMark/>
          </w:tcPr>
          <w:p w14:paraId="0267E36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0,22</w:t>
            </w:r>
          </w:p>
        </w:tc>
        <w:tc>
          <w:tcPr>
            <w:tcW w:w="680" w:type="dxa"/>
            <w:tcBorders>
              <w:top w:val="nil"/>
              <w:left w:val="nil"/>
              <w:bottom w:val="single" w:sz="4" w:space="0" w:color="auto"/>
              <w:right w:val="single" w:sz="4" w:space="0" w:color="auto"/>
            </w:tcBorders>
            <w:shd w:val="clear" w:color="auto" w:fill="auto"/>
            <w:noWrap/>
            <w:vAlign w:val="center"/>
            <w:hideMark/>
          </w:tcPr>
          <w:p w14:paraId="668BB8E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0,43</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1941C25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0,24</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0AC8C86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0,19</w:t>
            </w:r>
          </w:p>
        </w:tc>
        <w:tc>
          <w:tcPr>
            <w:tcW w:w="1871" w:type="dxa"/>
            <w:tcBorders>
              <w:top w:val="nil"/>
              <w:left w:val="nil"/>
              <w:bottom w:val="single" w:sz="4" w:space="0" w:color="auto"/>
              <w:right w:val="single" w:sz="4" w:space="0" w:color="auto"/>
            </w:tcBorders>
            <w:vAlign w:val="center"/>
          </w:tcPr>
          <w:p w14:paraId="53BD5150"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Marjinal Sınırda</w:t>
            </w:r>
          </w:p>
        </w:tc>
      </w:tr>
      <w:tr w:rsidR="00164238" w:rsidRPr="00164238" w14:paraId="45A3A24B"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1A27FB87"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27</w:t>
            </w:r>
          </w:p>
        </w:tc>
        <w:tc>
          <w:tcPr>
            <w:tcW w:w="680" w:type="dxa"/>
            <w:tcBorders>
              <w:top w:val="nil"/>
              <w:left w:val="nil"/>
              <w:bottom w:val="single" w:sz="4" w:space="0" w:color="auto"/>
              <w:right w:val="single" w:sz="4" w:space="0" w:color="auto"/>
            </w:tcBorders>
            <w:shd w:val="clear" w:color="auto" w:fill="auto"/>
            <w:noWrap/>
            <w:vAlign w:val="center"/>
            <w:hideMark/>
          </w:tcPr>
          <w:p w14:paraId="0AE925D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1,41</w:t>
            </w:r>
          </w:p>
        </w:tc>
        <w:tc>
          <w:tcPr>
            <w:tcW w:w="794" w:type="dxa"/>
            <w:tcBorders>
              <w:top w:val="nil"/>
              <w:left w:val="nil"/>
              <w:bottom w:val="single" w:sz="4" w:space="0" w:color="auto"/>
              <w:right w:val="single" w:sz="4" w:space="0" w:color="auto"/>
            </w:tcBorders>
            <w:shd w:val="clear" w:color="auto" w:fill="auto"/>
            <w:noWrap/>
            <w:vAlign w:val="center"/>
            <w:hideMark/>
          </w:tcPr>
          <w:p w14:paraId="2D5D5AA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1,54</w:t>
            </w:r>
          </w:p>
        </w:tc>
        <w:tc>
          <w:tcPr>
            <w:tcW w:w="794" w:type="dxa"/>
            <w:tcBorders>
              <w:top w:val="nil"/>
              <w:left w:val="nil"/>
              <w:bottom w:val="single" w:sz="4" w:space="0" w:color="auto"/>
              <w:right w:val="single" w:sz="4" w:space="0" w:color="auto"/>
            </w:tcBorders>
            <w:shd w:val="clear" w:color="auto" w:fill="auto"/>
            <w:noWrap/>
            <w:vAlign w:val="center"/>
            <w:hideMark/>
          </w:tcPr>
          <w:p w14:paraId="716AD52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1,24</w:t>
            </w:r>
          </w:p>
        </w:tc>
        <w:tc>
          <w:tcPr>
            <w:tcW w:w="680" w:type="dxa"/>
            <w:tcBorders>
              <w:top w:val="nil"/>
              <w:left w:val="nil"/>
              <w:bottom w:val="single" w:sz="4" w:space="0" w:color="auto"/>
              <w:right w:val="single" w:sz="4" w:space="0" w:color="auto"/>
            </w:tcBorders>
            <w:shd w:val="clear" w:color="auto" w:fill="auto"/>
            <w:noWrap/>
            <w:vAlign w:val="center"/>
            <w:hideMark/>
          </w:tcPr>
          <w:p w14:paraId="2A807DB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1,09</w:t>
            </w:r>
          </w:p>
        </w:tc>
        <w:tc>
          <w:tcPr>
            <w:tcW w:w="680" w:type="dxa"/>
            <w:tcBorders>
              <w:top w:val="nil"/>
              <w:left w:val="nil"/>
              <w:bottom w:val="single" w:sz="4" w:space="0" w:color="auto"/>
              <w:right w:val="single" w:sz="4" w:space="0" w:color="auto"/>
            </w:tcBorders>
            <w:shd w:val="clear" w:color="auto" w:fill="auto"/>
            <w:noWrap/>
            <w:vAlign w:val="center"/>
            <w:hideMark/>
          </w:tcPr>
          <w:p w14:paraId="1E634D5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1,37</w:t>
            </w:r>
          </w:p>
        </w:tc>
        <w:tc>
          <w:tcPr>
            <w:tcW w:w="680" w:type="dxa"/>
            <w:tcBorders>
              <w:top w:val="nil"/>
              <w:left w:val="nil"/>
              <w:bottom w:val="single" w:sz="4" w:space="0" w:color="auto"/>
              <w:right w:val="single" w:sz="4" w:space="0" w:color="auto"/>
            </w:tcBorders>
            <w:shd w:val="clear" w:color="auto" w:fill="auto"/>
            <w:noWrap/>
            <w:vAlign w:val="center"/>
            <w:hideMark/>
          </w:tcPr>
          <w:p w14:paraId="6299D79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1,49</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42F1B54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1,33</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4DC3EEF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1,37</w:t>
            </w:r>
          </w:p>
        </w:tc>
        <w:tc>
          <w:tcPr>
            <w:tcW w:w="1871" w:type="dxa"/>
            <w:tcBorders>
              <w:top w:val="nil"/>
              <w:left w:val="nil"/>
              <w:bottom w:val="single" w:sz="4" w:space="0" w:color="auto"/>
              <w:right w:val="single" w:sz="4" w:space="0" w:color="auto"/>
            </w:tcBorders>
            <w:vAlign w:val="center"/>
          </w:tcPr>
          <w:p w14:paraId="70B407FF"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Advantajlı</w:t>
            </w:r>
          </w:p>
        </w:tc>
      </w:tr>
      <w:tr w:rsidR="00164238" w:rsidRPr="00164238" w14:paraId="6CBE9662"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3195FD60"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color w:val="000000" w:themeColor="text1"/>
              </w:rPr>
              <w:t>28</w:t>
            </w:r>
          </w:p>
        </w:tc>
        <w:tc>
          <w:tcPr>
            <w:tcW w:w="680" w:type="dxa"/>
            <w:tcBorders>
              <w:top w:val="nil"/>
              <w:left w:val="nil"/>
              <w:bottom w:val="single" w:sz="4" w:space="0" w:color="auto"/>
              <w:right w:val="single" w:sz="4" w:space="0" w:color="auto"/>
            </w:tcBorders>
            <w:shd w:val="clear" w:color="auto" w:fill="auto"/>
            <w:noWrap/>
            <w:vAlign w:val="center"/>
            <w:hideMark/>
          </w:tcPr>
          <w:p w14:paraId="6226157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-1,40</w:t>
            </w:r>
          </w:p>
        </w:tc>
        <w:tc>
          <w:tcPr>
            <w:tcW w:w="794" w:type="dxa"/>
            <w:tcBorders>
              <w:top w:val="nil"/>
              <w:left w:val="nil"/>
              <w:bottom w:val="single" w:sz="4" w:space="0" w:color="auto"/>
              <w:right w:val="single" w:sz="4" w:space="0" w:color="auto"/>
            </w:tcBorders>
            <w:shd w:val="clear" w:color="auto" w:fill="auto"/>
            <w:noWrap/>
            <w:vAlign w:val="center"/>
            <w:hideMark/>
          </w:tcPr>
          <w:p w14:paraId="6A11EB3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-1,38</w:t>
            </w:r>
          </w:p>
        </w:tc>
        <w:tc>
          <w:tcPr>
            <w:tcW w:w="794" w:type="dxa"/>
            <w:tcBorders>
              <w:top w:val="nil"/>
              <w:left w:val="nil"/>
              <w:bottom w:val="single" w:sz="4" w:space="0" w:color="auto"/>
              <w:right w:val="single" w:sz="4" w:space="0" w:color="auto"/>
            </w:tcBorders>
            <w:shd w:val="clear" w:color="auto" w:fill="auto"/>
            <w:noWrap/>
            <w:vAlign w:val="center"/>
            <w:hideMark/>
          </w:tcPr>
          <w:p w14:paraId="4C79824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-1,69</w:t>
            </w:r>
          </w:p>
        </w:tc>
        <w:tc>
          <w:tcPr>
            <w:tcW w:w="680" w:type="dxa"/>
            <w:tcBorders>
              <w:top w:val="nil"/>
              <w:left w:val="nil"/>
              <w:bottom w:val="single" w:sz="4" w:space="0" w:color="auto"/>
              <w:right w:val="single" w:sz="4" w:space="0" w:color="auto"/>
            </w:tcBorders>
            <w:shd w:val="clear" w:color="auto" w:fill="auto"/>
            <w:noWrap/>
            <w:vAlign w:val="center"/>
            <w:hideMark/>
          </w:tcPr>
          <w:p w14:paraId="6C87F42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-1,88</w:t>
            </w:r>
          </w:p>
        </w:tc>
        <w:tc>
          <w:tcPr>
            <w:tcW w:w="680" w:type="dxa"/>
            <w:tcBorders>
              <w:top w:val="nil"/>
              <w:left w:val="nil"/>
              <w:bottom w:val="single" w:sz="4" w:space="0" w:color="auto"/>
              <w:right w:val="single" w:sz="4" w:space="0" w:color="auto"/>
            </w:tcBorders>
            <w:shd w:val="clear" w:color="auto" w:fill="auto"/>
            <w:noWrap/>
            <w:vAlign w:val="center"/>
            <w:hideMark/>
          </w:tcPr>
          <w:p w14:paraId="36AF2B0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-1,34</w:t>
            </w:r>
          </w:p>
        </w:tc>
        <w:tc>
          <w:tcPr>
            <w:tcW w:w="680" w:type="dxa"/>
            <w:tcBorders>
              <w:top w:val="nil"/>
              <w:left w:val="nil"/>
              <w:bottom w:val="single" w:sz="4" w:space="0" w:color="auto"/>
              <w:right w:val="single" w:sz="4" w:space="0" w:color="auto"/>
            </w:tcBorders>
            <w:shd w:val="clear" w:color="auto" w:fill="auto"/>
            <w:noWrap/>
            <w:vAlign w:val="center"/>
            <w:hideMark/>
          </w:tcPr>
          <w:p w14:paraId="79128CD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-0,95</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57B3455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-1,12</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1377FE0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-1,16</w:t>
            </w:r>
          </w:p>
        </w:tc>
        <w:tc>
          <w:tcPr>
            <w:tcW w:w="1871" w:type="dxa"/>
            <w:tcBorders>
              <w:top w:val="nil"/>
              <w:left w:val="nil"/>
              <w:bottom w:val="single" w:sz="4" w:space="0" w:color="auto"/>
              <w:right w:val="single" w:sz="4" w:space="0" w:color="auto"/>
            </w:tcBorders>
            <w:vAlign w:val="center"/>
          </w:tcPr>
          <w:p w14:paraId="7D597A87"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Dezavantajlı</w:t>
            </w:r>
          </w:p>
        </w:tc>
      </w:tr>
      <w:tr w:rsidR="00164238" w:rsidRPr="00164238" w14:paraId="4F2160B8"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669C2BDB"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b/>
                <w:bCs/>
                <w:color w:val="000000" w:themeColor="text1"/>
              </w:rPr>
              <w:t>29</w:t>
            </w:r>
          </w:p>
        </w:tc>
        <w:tc>
          <w:tcPr>
            <w:tcW w:w="680" w:type="dxa"/>
            <w:tcBorders>
              <w:top w:val="nil"/>
              <w:left w:val="nil"/>
              <w:bottom w:val="single" w:sz="4" w:space="0" w:color="auto"/>
              <w:right w:val="single" w:sz="4" w:space="0" w:color="auto"/>
            </w:tcBorders>
            <w:shd w:val="clear" w:color="auto" w:fill="auto"/>
            <w:noWrap/>
            <w:vAlign w:val="center"/>
            <w:hideMark/>
          </w:tcPr>
          <w:p w14:paraId="104B4CF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-0,13</w:t>
            </w:r>
          </w:p>
        </w:tc>
        <w:tc>
          <w:tcPr>
            <w:tcW w:w="794" w:type="dxa"/>
            <w:tcBorders>
              <w:top w:val="nil"/>
              <w:left w:val="nil"/>
              <w:bottom w:val="single" w:sz="4" w:space="0" w:color="auto"/>
              <w:right w:val="single" w:sz="4" w:space="0" w:color="auto"/>
            </w:tcBorders>
            <w:shd w:val="clear" w:color="auto" w:fill="auto"/>
            <w:noWrap/>
            <w:vAlign w:val="center"/>
            <w:hideMark/>
          </w:tcPr>
          <w:p w14:paraId="33D3B85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-0,01</w:t>
            </w:r>
          </w:p>
        </w:tc>
        <w:tc>
          <w:tcPr>
            <w:tcW w:w="794" w:type="dxa"/>
            <w:tcBorders>
              <w:top w:val="nil"/>
              <w:left w:val="nil"/>
              <w:bottom w:val="single" w:sz="4" w:space="0" w:color="auto"/>
              <w:right w:val="single" w:sz="4" w:space="0" w:color="auto"/>
            </w:tcBorders>
            <w:shd w:val="clear" w:color="auto" w:fill="auto"/>
            <w:noWrap/>
            <w:vAlign w:val="center"/>
            <w:hideMark/>
          </w:tcPr>
          <w:p w14:paraId="5C53553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-0,18</w:t>
            </w:r>
          </w:p>
        </w:tc>
        <w:tc>
          <w:tcPr>
            <w:tcW w:w="680" w:type="dxa"/>
            <w:tcBorders>
              <w:top w:val="nil"/>
              <w:left w:val="nil"/>
              <w:bottom w:val="single" w:sz="4" w:space="0" w:color="auto"/>
              <w:right w:val="single" w:sz="4" w:space="0" w:color="auto"/>
            </w:tcBorders>
            <w:shd w:val="clear" w:color="auto" w:fill="auto"/>
            <w:noWrap/>
            <w:vAlign w:val="center"/>
            <w:hideMark/>
          </w:tcPr>
          <w:p w14:paraId="03FA067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-0,61</w:t>
            </w:r>
          </w:p>
        </w:tc>
        <w:tc>
          <w:tcPr>
            <w:tcW w:w="680" w:type="dxa"/>
            <w:tcBorders>
              <w:top w:val="nil"/>
              <w:left w:val="nil"/>
              <w:bottom w:val="single" w:sz="4" w:space="0" w:color="auto"/>
              <w:right w:val="single" w:sz="4" w:space="0" w:color="auto"/>
            </w:tcBorders>
            <w:shd w:val="clear" w:color="auto" w:fill="auto"/>
            <w:noWrap/>
            <w:vAlign w:val="center"/>
            <w:hideMark/>
          </w:tcPr>
          <w:p w14:paraId="29D7B08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-0,11</w:t>
            </w:r>
          </w:p>
        </w:tc>
        <w:tc>
          <w:tcPr>
            <w:tcW w:w="680" w:type="dxa"/>
            <w:tcBorders>
              <w:top w:val="nil"/>
              <w:left w:val="nil"/>
              <w:bottom w:val="single" w:sz="4" w:space="0" w:color="auto"/>
              <w:right w:val="single" w:sz="4" w:space="0" w:color="auto"/>
            </w:tcBorders>
            <w:shd w:val="clear" w:color="auto" w:fill="auto"/>
            <w:noWrap/>
            <w:vAlign w:val="center"/>
            <w:hideMark/>
          </w:tcPr>
          <w:p w14:paraId="529BA04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-0,04</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375FB17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-0,24</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6D27B92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-0,44</w:t>
            </w:r>
          </w:p>
        </w:tc>
        <w:tc>
          <w:tcPr>
            <w:tcW w:w="1871" w:type="dxa"/>
            <w:tcBorders>
              <w:top w:val="nil"/>
              <w:left w:val="nil"/>
              <w:bottom w:val="single" w:sz="4" w:space="0" w:color="auto"/>
              <w:right w:val="single" w:sz="4" w:space="0" w:color="auto"/>
            </w:tcBorders>
            <w:vAlign w:val="center"/>
          </w:tcPr>
          <w:p w14:paraId="27F723B3"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Marjinal Sınırda</w:t>
            </w:r>
          </w:p>
        </w:tc>
      </w:tr>
      <w:tr w:rsidR="00164238" w:rsidRPr="00164238" w14:paraId="7003133B"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4E8852C0"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b/>
                <w:bCs/>
                <w:color w:val="000000" w:themeColor="text1"/>
              </w:rPr>
              <w:t>30</w:t>
            </w:r>
          </w:p>
        </w:tc>
        <w:tc>
          <w:tcPr>
            <w:tcW w:w="680" w:type="dxa"/>
            <w:tcBorders>
              <w:top w:val="nil"/>
              <w:left w:val="nil"/>
              <w:bottom w:val="single" w:sz="4" w:space="0" w:color="auto"/>
              <w:right w:val="single" w:sz="4" w:space="0" w:color="auto"/>
            </w:tcBorders>
            <w:shd w:val="clear" w:color="auto" w:fill="auto"/>
            <w:noWrap/>
            <w:vAlign w:val="center"/>
            <w:hideMark/>
          </w:tcPr>
          <w:p w14:paraId="5EDB7CC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0,51</w:t>
            </w:r>
          </w:p>
        </w:tc>
        <w:tc>
          <w:tcPr>
            <w:tcW w:w="794" w:type="dxa"/>
            <w:tcBorders>
              <w:top w:val="nil"/>
              <w:left w:val="nil"/>
              <w:bottom w:val="single" w:sz="4" w:space="0" w:color="auto"/>
              <w:right w:val="single" w:sz="4" w:space="0" w:color="auto"/>
            </w:tcBorders>
            <w:shd w:val="clear" w:color="auto" w:fill="auto"/>
            <w:noWrap/>
            <w:vAlign w:val="center"/>
            <w:hideMark/>
          </w:tcPr>
          <w:p w14:paraId="254E766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-0,88</w:t>
            </w:r>
          </w:p>
        </w:tc>
        <w:tc>
          <w:tcPr>
            <w:tcW w:w="794" w:type="dxa"/>
            <w:tcBorders>
              <w:top w:val="nil"/>
              <w:left w:val="nil"/>
              <w:bottom w:val="single" w:sz="4" w:space="0" w:color="auto"/>
              <w:right w:val="single" w:sz="4" w:space="0" w:color="auto"/>
            </w:tcBorders>
            <w:shd w:val="clear" w:color="auto" w:fill="auto"/>
            <w:noWrap/>
            <w:vAlign w:val="center"/>
            <w:hideMark/>
          </w:tcPr>
          <w:p w14:paraId="4E21D37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-0,60</w:t>
            </w:r>
          </w:p>
        </w:tc>
        <w:tc>
          <w:tcPr>
            <w:tcW w:w="680" w:type="dxa"/>
            <w:tcBorders>
              <w:top w:val="nil"/>
              <w:left w:val="nil"/>
              <w:bottom w:val="single" w:sz="4" w:space="0" w:color="auto"/>
              <w:right w:val="single" w:sz="4" w:space="0" w:color="auto"/>
            </w:tcBorders>
            <w:shd w:val="clear" w:color="auto" w:fill="auto"/>
            <w:noWrap/>
            <w:vAlign w:val="center"/>
            <w:hideMark/>
          </w:tcPr>
          <w:p w14:paraId="02B9777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-1,30</w:t>
            </w:r>
          </w:p>
        </w:tc>
        <w:tc>
          <w:tcPr>
            <w:tcW w:w="680" w:type="dxa"/>
            <w:tcBorders>
              <w:top w:val="nil"/>
              <w:left w:val="nil"/>
              <w:bottom w:val="single" w:sz="4" w:space="0" w:color="auto"/>
              <w:right w:val="single" w:sz="4" w:space="0" w:color="auto"/>
            </w:tcBorders>
            <w:shd w:val="clear" w:color="auto" w:fill="auto"/>
            <w:noWrap/>
            <w:vAlign w:val="center"/>
            <w:hideMark/>
          </w:tcPr>
          <w:p w14:paraId="2028A27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-1,54</w:t>
            </w:r>
          </w:p>
        </w:tc>
        <w:tc>
          <w:tcPr>
            <w:tcW w:w="680" w:type="dxa"/>
            <w:tcBorders>
              <w:top w:val="nil"/>
              <w:left w:val="nil"/>
              <w:bottom w:val="single" w:sz="4" w:space="0" w:color="auto"/>
              <w:right w:val="single" w:sz="4" w:space="0" w:color="auto"/>
            </w:tcBorders>
            <w:shd w:val="clear" w:color="auto" w:fill="auto"/>
            <w:noWrap/>
            <w:vAlign w:val="center"/>
            <w:hideMark/>
          </w:tcPr>
          <w:p w14:paraId="51EC81D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-0,82</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793E468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-1,40</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6524D46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-0,92</w:t>
            </w:r>
          </w:p>
        </w:tc>
        <w:tc>
          <w:tcPr>
            <w:tcW w:w="1871" w:type="dxa"/>
            <w:tcBorders>
              <w:top w:val="nil"/>
              <w:left w:val="nil"/>
              <w:bottom w:val="single" w:sz="4" w:space="0" w:color="auto"/>
              <w:right w:val="single" w:sz="4" w:space="0" w:color="auto"/>
            </w:tcBorders>
            <w:vAlign w:val="center"/>
          </w:tcPr>
          <w:p w14:paraId="50F55D24"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Dezavantajlı</w:t>
            </w:r>
          </w:p>
        </w:tc>
      </w:tr>
      <w:tr w:rsidR="00164238" w:rsidRPr="00164238" w14:paraId="46FAFC71"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4105A084"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color w:val="000000" w:themeColor="text1"/>
              </w:rPr>
              <w:t>31</w:t>
            </w:r>
          </w:p>
        </w:tc>
        <w:tc>
          <w:tcPr>
            <w:tcW w:w="680" w:type="dxa"/>
            <w:tcBorders>
              <w:top w:val="nil"/>
              <w:left w:val="nil"/>
              <w:bottom w:val="single" w:sz="4" w:space="0" w:color="auto"/>
              <w:right w:val="single" w:sz="4" w:space="0" w:color="auto"/>
            </w:tcBorders>
            <w:shd w:val="clear" w:color="auto" w:fill="auto"/>
            <w:noWrap/>
            <w:vAlign w:val="center"/>
            <w:hideMark/>
          </w:tcPr>
          <w:p w14:paraId="0FEBB8F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1,58</w:t>
            </w:r>
          </w:p>
        </w:tc>
        <w:tc>
          <w:tcPr>
            <w:tcW w:w="794" w:type="dxa"/>
            <w:tcBorders>
              <w:top w:val="nil"/>
              <w:left w:val="nil"/>
              <w:bottom w:val="single" w:sz="4" w:space="0" w:color="auto"/>
              <w:right w:val="single" w:sz="4" w:space="0" w:color="auto"/>
            </w:tcBorders>
            <w:shd w:val="clear" w:color="auto" w:fill="auto"/>
            <w:noWrap/>
            <w:vAlign w:val="center"/>
            <w:hideMark/>
          </w:tcPr>
          <w:p w14:paraId="612329A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1,46</w:t>
            </w:r>
          </w:p>
        </w:tc>
        <w:tc>
          <w:tcPr>
            <w:tcW w:w="794" w:type="dxa"/>
            <w:tcBorders>
              <w:top w:val="nil"/>
              <w:left w:val="nil"/>
              <w:bottom w:val="single" w:sz="4" w:space="0" w:color="auto"/>
              <w:right w:val="single" w:sz="4" w:space="0" w:color="auto"/>
            </w:tcBorders>
            <w:shd w:val="clear" w:color="auto" w:fill="auto"/>
            <w:noWrap/>
            <w:vAlign w:val="center"/>
            <w:hideMark/>
          </w:tcPr>
          <w:p w14:paraId="1D02C52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1,43</w:t>
            </w:r>
          </w:p>
        </w:tc>
        <w:tc>
          <w:tcPr>
            <w:tcW w:w="680" w:type="dxa"/>
            <w:tcBorders>
              <w:top w:val="nil"/>
              <w:left w:val="nil"/>
              <w:bottom w:val="single" w:sz="4" w:space="0" w:color="auto"/>
              <w:right w:val="single" w:sz="4" w:space="0" w:color="auto"/>
            </w:tcBorders>
            <w:shd w:val="clear" w:color="auto" w:fill="auto"/>
            <w:noWrap/>
            <w:vAlign w:val="center"/>
            <w:hideMark/>
          </w:tcPr>
          <w:p w14:paraId="0E52A4A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1,30</w:t>
            </w:r>
          </w:p>
        </w:tc>
        <w:tc>
          <w:tcPr>
            <w:tcW w:w="680" w:type="dxa"/>
            <w:tcBorders>
              <w:top w:val="nil"/>
              <w:left w:val="nil"/>
              <w:bottom w:val="single" w:sz="4" w:space="0" w:color="auto"/>
              <w:right w:val="single" w:sz="4" w:space="0" w:color="auto"/>
            </w:tcBorders>
            <w:shd w:val="clear" w:color="auto" w:fill="auto"/>
            <w:noWrap/>
            <w:vAlign w:val="center"/>
            <w:hideMark/>
          </w:tcPr>
          <w:p w14:paraId="1382ECE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1,83</w:t>
            </w:r>
          </w:p>
        </w:tc>
        <w:tc>
          <w:tcPr>
            <w:tcW w:w="680" w:type="dxa"/>
            <w:tcBorders>
              <w:top w:val="nil"/>
              <w:left w:val="nil"/>
              <w:bottom w:val="single" w:sz="4" w:space="0" w:color="auto"/>
              <w:right w:val="single" w:sz="4" w:space="0" w:color="auto"/>
            </w:tcBorders>
            <w:shd w:val="clear" w:color="auto" w:fill="auto"/>
            <w:noWrap/>
            <w:vAlign w:val="center"/>
            <w:hideMark/>
          </w:tcPr>
          <w:p w14:paraId="20C69AF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1,89</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7E3452D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1,34</w:t>
            </w:r>
          </w:p>
        </w:tc>
        <w:tc>
          <w:tcPr>
            <w:tcW w:w="680" w:type="dxa"/>
            <w:tcBorders>
              <w:top w:val="nil"/>
              <w:left w:val="nil"/>
              <w:bottom w:val="single" w:sz="4" w:space="0" w:color="auto"/>
              <w:right w:val="single" w:sz="4" w:space="0" w:color="auto"/>
            </w:tcBorders>
            <w:shd w:val="clear" w:color="auto" w:fill="FFF2CC" w:themeFill="accent4" w:themeFillTint="33"/>
            <w:noWrap/>
            <w:vAlign w:val="center"/>
            <w:hideMark/>
          </w:tcPr>
          <w:p w14:paraId="385B032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1,98</w:t>
            </w:r>
          </w:p>
        </w:tc>
        <w:tc>
          <w:tcPr>
            <w:tcW w:w="1871" w:type="dxa"/>
            <w:tcBorders>
              <w:top w:val="nil"/>
              <w:left w:val="nil"/>
              <w:bottom w:val="single" w:sz="4" w:space="0" w:color="auto"/>
              <w:right w:val="single" w:sz="4" w:space="0" w:color="auto"/>
            </w:tcBorders>
            <w:vAlign w:val="center"/>
          </w:tcPr>
          <w:p w14:paraId="1694011A"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Advantajlı</w:t>
            </w:r>
          </w:p>
        </w:tc>
      </w:tr>
      <w:tr w:rsidR="00164238" w:rsidRPr="00164238" w14:paraId="48068510"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25B34528"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b/>
                <w:bCs/>
                <w:color w:val="000000" w:themeColor="text1"/>
              </w:rPr>
              <w:t>32</w:t>
            </w:r>
          </w:p>
        </w:tc>
        <w:tc>
          <w:tcPr>
            <w:tcW w:w="680" w:type="dxa"/>
            <w:tcBorders>
              <w:top w:val="nil"/>
              <w:left w:val="nil"/>
              <w:bottom w:val="single" w:sz="4" w:space="0" w:color="auto"/>
              <w:right w:val="single" w:sz="4" w:space="0" w:color="auto"/>
            </w:tcBorders>
            <w:shd w:val="clear" w:color="auto" w:fill="auto"/>
            <w:noWrap/>
            <w:vAlign w:val="center"/>
            <w:hideMark/>
          </w:tcPr>
          <w:p w14:paraId="6970DBA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-0,93</w:t>
            </w:r>
          </w:p>
        </w:tc>
        <w:tc>
          <w:tcPr>
            <w:tcW w:w="794" w:type="dxa"/>
            <w:tcBorders>
              <w:top w:val="nil"/>
              <w:left w:val="nil"/>
              <w:bottom w:val="single" w:sz="4" w:space="0" w:color="auto"/>
              <w:right w:val="single" w:sz="4" w:space="0" w:color="auto"/>
            </w:tcBorders>
            <w:shd w:val="clear" w:color="auto" w:fill="auto"/>
            <w:noWrap/>
            <w:vAlign w:val="center"/>
            <w:hideMark/>
          </w:tcPr>
          <w:p w14:paraId="29A7AAD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-0,76</w:t>
            </w:r>
          </w:p>
        </w:tc>
        <w:tc>
          <w:tcPr>
            <w:tcW w:w="794" w:type="dxa"/>
            <w:tcBorders>
              <w:top w:val="nil"/>
              <w:left w:val="nil"/>
              <w:bottom w:val="single" w:sz="4" w:space="0" w:color="auto"/>
              <w:right w:val="single" w:sz="4" w:space="0" w:color="auto"/>
            </w:tcBorders>
            <w:shd w:val="clear" w:color="auto" w:fill="auto"/>
            <w:noWrap/>
            <w:vAlign w:val="center"/>
            <w:hideMark/>
          </w:tcPr>
          <w:p w14:paraId="2052397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-0,99</w:t>
            </w:r>
          </w:p>
        </w:tc>
        <w:tc>
          <w:tcPr>
            <w:tcW w:w="680" w:type="dxa"/>
            <w:tcBorders>
              <w:top w:val="nil"/>
              <w:left w:val="nil"/>
              <w:bottom w:val="single" w:sz="4" w:space="0" w:color="auto"/>
              <w:right w:val="single" w:sz="4" w:space="0" w:color="auto"/>
            </w:tcBorders>
            <w:shd w:val="clear" w:color="auto" w:fill="auto"/>
            <w:noWrap/>
            <w:vAlign w:val="center"/>
            <w:hideMark/>
          </w:tcPr>
          <w:p w14:paraId="0D73AD5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-1,02</w:t>
            </w:r>
          </w:p>
        </w:tc>
        <w:tc>
          <w:tcPr>
            <w:tcW w:w="680" w:type="dxa"/>
            <w:tcBorders>
              <w:top w:val="nil"/>
              <w:left w:val="nil"/>
              <w:bottom w:val="single" w:sz="4" w:space="0" w:color="auto"/>
              <w:right w:val="single" w:sz="4" w:space="0" w:color="auto"/>
            </w:tcBorders>
            <w:shd w:val="clear" w:color="auto" w:fill="auto"/>
            <w:noWrap/>
            <w:vAlign w:val="center"/>
            <w:hideMark/>
          </w:tcPr>
          <w:p w14:paraId="29CE19B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-0,22</w:t>
            </w:r>
          </w:p>
        </w:tc>
        <w:tc>
          <w:tcPr>
            <w:tcW w:w="680" w:type="dxa"/>
            <w:tcBorders>
              <w:top w:val="nil"/>
              <w:left w:val="nil"/>
              <w:bottom w:val="single" w:sz="4" w:space="0" w:color="auto"/>
              <w:right w:val="single" w:sz="4" w:space="0" w:color="auto"/>
            </w:tcBorders>
            <w:shd w:val="clear" w:color="auto" w:fill="auto"/>
            <w:noWrap/>
            <w:vAlign w:val="center"/>
            <w:hideMark/>
          </w:tcPr>
          <w:p w14:paraId="62BDF21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0,07</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2BFCA64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-0,19</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1683064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-0,03</w:t>
            </w:r>
          </w:p>
        </w:tc>
        <w:tc>
          <w:tcPr>
            <w:tcW w:w="1871" w:type="dxa"/>
            <w:tcBorders>
              <w:top w:val="nil"/>
              <w:left w:val="nil"/>
              <w:bottom w:val="single" w:sz="4" w:space="0" w:color="auto"/>
              <w:right w:val="single" w:sz="4" w:space="0" w:color="auto"/>
            </w:tcBorders>
            <w:vAlign w:val="center"/>
          </w:tcPr>
          <w:p w14:paraId="3B946C2B"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Marjiinal Sınırda</w:t>
            </w:r>
          </w:p>
        </w:tc>
      </w:tr>
      <w:tr w:rsidR="00164238" w:rsidRPr="00164238" w14:paraId="25292524" w14:textId="77777777" w:rsidTr="00682CBF">
        <w:trPr>
          <w:trHeight w:val="340"/>
        </w:trPr>
        <w:tc>
          <w:tcPr>
            <w:tcW w:w="1191" w:type="dxa"/>
            <w:tcBorders>
              <w:top w:val="nil"/>
              <w:left w:val="single" w:sz="4" w:space="0" w:color="auto"/>
              <w:bottom w:val="single" w:sz="4" w:space="0" w:color="auto"/>
              <w:right w:val="single" w:sz="4" w:space="0" w:color="auto"/>
            </w:tcBorders>
            <w:shd w:val="clear" w:color="auto" w:fill="auto"/>
            <w:noWrap/>
            <w:vAlign w:val="center"/>
            <w:hideMark/>
          </w:tcPr>
          <w:p w14:paraId="3D2B8FAE"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Tüm İmalat</w:t>
            </w:r>
          </w:p>
        </w:tc>
        <w:tc>
          <w:tcPr>
            <w:tcW w:w="680" w:type="dxa"/>
            <w:tcBorders>
              <w:top w:val="nil"/>
              <w:left w:val="nil"/>
              <w:bottom w:val="single" w:sz="4" w:space="0" w:color="auto"/>
              <w:right w:val="single" w:sz="4" w:space="0" w:color="auto"/>
            </w:tcBorders>
            <w:shd w:val="clear" w:color="auto" w:fill="auto"/>
            <w:noWrap/>
            <w:vAlign w:val="center"/>
            <w:hideMark/>
          </w:tcPr>
          <w:p w14:paraId="4B33CA0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0,16</w:t>
            </w:r>
          </w:p>
        </w:tc>
        <w:tc>
          <w:tcPr>
            <w:tcW w:w="794" w:type="dxa"/>
            <w:tcBorders>
              <w:top w:val="nil"/>
              <w:left w:val="nil"/>
              <w:bottom w:val="single" w:sz="4" w:space="0" w:color="auto"/>
              <w:right w:val="single" w:sz="4" w:space="0" w:color="auto"/>
            </w:tcBorders>
            <w:shd w:val="clear" w:color="auto" w:fill="auto"/>
            <w:noWrap/>
            <w:vAlign w:val="center"/>
            <w:hideMark/>
          </w:tcPr>
          <w:p w14:paraId="1CDA0A6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0,15</w:t>
            </w:r>
          </w:p>
        </w:tc>
        <w:tc>
          <w:tcPr>
            <w:tcW w:w="794" w:type="dxa"/>
            <w:tcBorders>
              <w:top w:val="nil"/>
              <w:left w:val="nil"/>
              <w:bottom w:val="single" w:sz="4" w:space="0" w:color="auto"/>
              <w:right w:val="single" w:sz="4" w:space="0" w:color="auto"/>
            </w:tcBorders>
            <w:shd w:val="clear" w:color="auto" w:fill="auto"/>
            <w:noWrap/>
            <w:vAlign w:val="center"/>
            <w:hideMark/>
          </w:tcPr>
          <w:p w14:paraId="73CE743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0,13</w:t>
            </w:r>
          </w:p>
        </w:tc>
        <w:tc>
          <w:tcPr>
            <w:tcW w:w="680" w:type="dxa"/>
            <w:tcBorders>
              <w:top w:val="nil"/>
              <w:left w:val="nil"/>
              <w:bottom w:val="single" w:sz="4" w:space="0" w:color="auto"/>
              <w:right w:val="single" w:sz="4" w:space="0" w:color="auto"/>
            </w:tcBorders>
            <w:shd w:val="clear" w:color="auto" w:fill="auto"/>
            <w:noWrap/>
            <w:vAlign w:val="center"/>
            <w:hideMark/>
          </w:tcPr>
          <w:p w14:paraId="524DA83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0,11</w:t>
            </w:r>
          </w:p>
        </w:tc>
        <w:tc>
          <w:tcPr>
            <w:tcW w:w="680" w:type="dxa"/>
            <w:tcBorders>
              <w:top w:val="nil"/>
              <w:left w:val="nil"/>
              <w:bottom w:val="single" w:sz="4" w:space="0" w:color="auto"/>
              <w:right w:val="single" w:sz="4" w:space="0" w:color="auto"/>
            </w:tcBorders>
            <w:shd w:val="clear" w:color="auto" w:fill="auto"/>
            <w:noWrap/>
            <w:vAlign w:val="center"/>
            <w:hideMark/>
          </w:tcPr>
          <w:p w14:paraId="083C1DF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0,15</w:t>
            </w:r>
          </w:p>
        </w:tc>
        <w:tc>
          <w:tcPr>
            <w:tcW w:w="680" w:type="dxa"/>
            <w:tcBorders>
              <w:top w:val="nil"/>
              <w:left w:val="nil"/>
              <w:bottom w:val="single" w:sz="4" w:space="0" w:color="auto"/>
              <w:right w:val="single" w:sz="4" w:space="0" w:color="auto"/>
            </w:tcBorders>
            <w:shd w:val="clear" w:color="auto" w:fill="auto"/>
            <w:noWrap/>
            <w:vAlign w:val="center"/>
            <w:hideMark/>
          </w:tcPr>
          <w:p w14:paraId="0556D64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0,13</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6F679FE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0,14</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756D9A7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0,14</w:t>
            </w:r>
          </w:p>
        </w:tc>
        <w:tc>
          <w:tcPr>
            <w:tcW w:w="1871" w:type="dxa"/>
            <w:tcBorders>
              <w:top w:val="nil"/>
              <w:left w:val="nil"/>
              <w:bottom w:val="single" w:sz="4" w:space="0" w:color="auto"/>
              <w:right w:val="single" w:sz="4" w:space="0" w:color="auto"/>
            </w:tcBorders>
            <w:vAlign w:val="center"/>
          </w:tcPr>
          <w:p w14:paraId="08CC6AC8"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Marjinal Sınırda</w:t>
            </w:r>
          </w:p>
        </w:tc>
      </w:tr>
    </w:tbl>
    <w:p w14:paraId="3682AF8B" w14:textId="77777777" w:rsidR="00C54BC9" w:rsidRPr="00164238" w:rsidRDefault="00C54BC9" w:rsidP="00C54BC9">
      <w:pPr>
        <w:spacing w:after="0" w:line="360" w:lineRule="auto"/>
        <w:rPr>
          <w:rFonts w:ascii="Times New Roman" w:hAnsi="Times New Roman" w:cs="Times New Roman"/>
          <w:color w:val="000000" w:themeColor="text1"/>
        </w:rPr>
      </w:pPr>
      <w:r w:rsidRPr="00164238">
        <w:rPr>
          <w:rFonts w:ascii="Times New Roman" w:hAnsi="Times New Roman" w:cs="Times New Roman"/>
          <w:b/>
          <w:bCs/>
          <w:color w:val="000000" w:themeColor="text1"/>
        </w:rPr>
        <w:t xml:space="preserve">Kaynak: </w:t>
      </w:r>
      <w:r w:rsidRPr="00164238">
        <w:rPr>
          <w:rFonts w:ascii="Times New Roman" w:hAnsi="Times New Roman" w:cs="Times New Roman"/>
          <w:color w:val="000000" w:themeColor="text1"/>
        </w:rPr>
        <w:t>TÜİK verileri derlenerek yazar tarafından oluşturulmuştur.</w:t>
      </w:r>
    </w:p>
    <w:p w14:paraId="4E953CB0" w14:textId="77777777" w:rsidR="00C54BC9" w:rsidRPr="00164238" w:rsidRDefault="00C54BC9" w:rsidP="00C54BC9">
      <w:pPr>
        <w:spacing w:before="120" w:after="120" w:line="360" w:lineRule="auto"/>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Tablo 9’da Birleşik Krallık pazarında Türk imalat sanayii ve alt sektörlerinin rekabet gücü düzeyi analiz edilmiştir. Tablo 9’a göre, 2019-2020 yılları arasında Türk imalat sanayiinin Birleşik Krallık pazarında rekabet gücünün değişmediği gözlemlenmiştir. Alt sektörler içinde tütün ürünleri ile kok kömürü ve rafine edilmiş petrol ürünleri dışında alt sektörlerde rekabet gücünde bir değişiklik saptanmamıştır. 2019 yılında tütün ürünlerinde rekabet gücü düşük, kok kömürü ve rafine edilmiş petrol ürünlerinde rekabet gücünün marjinal sınırda olduğu görülürken, 2020 yılında bu iki sektörün rekabet gücünün yüksek olduğu görülmüştür.</w:t>
      </w:r>
    </w:p>
    <w:p w14:paraId="2044172F" w14:textId="3F75B81A" w:rsidR="00C54BC9" w:rsidRPr="00164238" w:rsidRDefault="00452A49" w:rsidP="00C54BC9">
      <w:pPr>
        <w:spacing w:after="0" w:line="240" w:lineRule="auto"/>
        <w:rPr>
          <w:rFonts w:ascii="Times New Roman" w:hAnsi="Times New Roman" w:cs="Times New Roman"/>
          <w:b/>
          <w:bCs/>
          <w:color w:val="000000" w:themeColor="text1"/>
        </w:rPr>
      </w:pPr>
      <w:r>
        <w:rPr>
          <w:rFonts w:ascii="Times New Roman" w:hAnsi="Times New Roman" w:cs="Times New Roman"/>
          <w:b/>
          <w:bCs/>
          <w:color w:val="000000" w:themeColor="text1"/>
        </w:rPr>
        <w:t>T</w:t>
      </w:r>
      <w:r w:rsidR="00C54BC9" w:rsidRPr="00164238">
        <w:rPr>
          <w:rFonts w:ascii="Times New Roman" w:hAnsi="Times New Roman" w:cs="Times New Roman"/>
          <w:b/>
          <w:bCs/>
          <w:color w:val="000000" w:themeColor="text1"/>
        </w:rPr>
        <w:t xml:space="preserve">ablo 11: Türk İmalat Sanayii’nin Birleşik Krallık Pazarında Ticaret Dengesi Endeksi </w:t>
      </w:r>
    </w:p>
    <w:tbl>
      <w:tblPr>
        <w:tblW w:w="8926" w:type="dxa"/>
        <w:tblCellMar>
          <w:left w:w="70" w:type="dxa"/>
          <w:right w:w="70" w:type="dxa"/>
        </w:tblCellMar>
        <w:tblLook w:val="04A0" w:firstRow="1" w:lastRow="0" w:firstColumn="1" w:lastColumn="0" w:noHBand="0" w:noVBand="1"/>
      </w:tblPr>
      <w:tblGrid>
        <w:gridCol w:w="1247"/>
        <w:gridCol w:w="680"/>
        <w:gridCol w:w="680"/>
        <w:gridCol w:w="680"/>
        <w:gridCol w:w="680"/>
        <w:gridCol w:w="680"/>
        <w:gridCol w:w="680"/>
        <w:gridCol w:w="680"/>
        <w:gridCol w:w="680"/>
        <w:gridCol w:w="2239"/>
      </w:tblGrid>
      <w:tr w:rsidR="00164238" w:rsidRPr="00164238" w14:paraId="56B5C8E2" w14:textId="77777777" w:rsidTr="00682CBF">
        <w:trPr>
          <w:trHeight w:val="340"/>
        </w:trPr>
        <w:tc>
          <w:tcPr>
            <w:tcW w:w="1247" w:type="dxa"/>
            <w:tcBorders>
              <w:top w:val="single" w:sz="4" w:space="0" w:color="auto"/>
              <w:left w:val="single" w:sz="4" w:space="0" w:color="auto"/>
              <w:bottom w:val="single" w:sz="4" w:space="0" w:color="auto"/>
              <w:right w:val="single" w:sz="4" w:space="0" w:color="auto"/>
            </w:tcBorders>
            <w:shd w:val="clear" w:color="auto" w:fill="auto"/>
            <w:noWrap/>
            <w:hideMark/>
          </w:tcPr>
          <w:p w14:paraId="6F3A2529"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24B093DA"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2013</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2524D2B6"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2014</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10B452A8"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2015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70D3B5E5"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2016</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04F5FB3F"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2017</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6BB44679"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2018</w:t>
            </w:r>
          </w:p>
        </w:tc>
        <w:tc>
          <w:tcPr>
            <w:tcW w:w="68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7E007EB3"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2019</w:t>
            </w:r>
          </w:p>
        </w:tc>
        <w:tc>
          <w:tcPr>
            <w:tcW w:w="680"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740984D9"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2020</w:t>
            </w:r>
          </w:p>
        </w:tc>
        <w:tc>
          <w:tcPr>
            <w:tcW w:w="2239" w:type="dxa"/>
            <w:tcBorders>
              <w:top w:val="single" w:sz="4" w:space="0" w:color="auto"/>
              <w:left w:val="nil"/>
              <w:bottom w:val="single" w:sz="4" w:space="0" w:color="auto"/>
              <w:right w:val="single" w:sz="4" w:space="0" w:color="auto"/>
            </w:tcBorders>
            <w:vAlign w:val="center"/>
          </w:tcPr>
          <w:p w14:paraId="2C3A615C"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TBI</w:t>
            </w:r>
          </w:p>
        </w:tc>
      </w:tr>
      <w:tr w:rsidR="00164238" w:rsidRPr="00164238" w14:paraId="1B04DAC1"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16E8645D"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10</w:t>
            </w:r>
          </w:p>
        </w:tc>
        <w:tc>
          <w:tcPr>
            <w:tcW w:w="680" w:type="dxa"/>
            <w:tcBorders>
              <w:top w:val="nil"/>
              <w:left w:val="nil"/>
              <w:bottom w:val="single" w:sz="4" w:space="0" w:color="auto"/>
              <w:right w:val="single" w:sz="4" w:space="0" w:color="auto"/>
            </w:tcBorders>
            <w:shd w:val="clear" w:color="auto" w:fill="auto"/>
            <w:noWrap/>
            <w:vAlign w:val="center"/>
            <w:hideMark/>
          </w:tcPr>
          <w:p w14:paraId="6C5F0A9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0,63 </w:t>
            </w:r>
          </w:p>
        </w:tc>
        <w:tc>
          <w:tcPr>
            <w:tcW w:w="680" w:type="dxa"/>
            <w:tcBorders>
              <w:top w:val="nil"/>
              <w:left w:val="nil"/>
              <w:bottom w:val="single" w:sz="4" w:space="0" w:color="auto"/>
              <w:right w:val="single" w:sz="4" w:space="0" w:color="auto"/>
            </w:tcBorders>
            <w:shd w:val="clear" w:color="auto" w:fill="auto"/>
            <w:noWrap/>
            <w:vAlign w:val="center"/>
            <w:hideMark/>
          </w:tcPr>
          <w:p w14:paraId="152635A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0,67 </w:t>
            </w:r>
          </w:p>
        </w:tc>
        <w:tc>
          <w:tcPr>
            <w:tcW w:w="680" w:type="dxa"/>
            <w:tcBorders>
              <w:top w:val="nil"/>
              <w:left w:val="nil"/>
              <w:bottom w:val="single" w:sz="4" w:space="0" w:color="auto"/>
              <w:right w:val="single" w:sz="4" w:space="0" w:color="auto"/>
            </w:tcBorders>
            <w:shd w:val="clear" w:color="auto" w:fill="auto"/>
            <w:noWrap/>
            <w:vAlign w:val="center"/>
            <w:hideMark/>
          </w:tcPr>
          <w:p w14:paraId="75E4DF4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0,68 </w:t>
            </w:r>
          </w:p>
        </w:tc>
        <w:tc>
          <w:tcPr>
            <w:tcW w:w="680" w:type="dxa"/>
            <w:tcBorders>
              <w:top w:val="nil"/>
              <w:left w:val="nil"/>
              <w:bottom w:val="single" w:sz="4" w:space="0" w:color="auto"/>
              <w:right w:val="single" w:sz="4" w:space="0" w:color="auto"/>
            </w:tcBorders>
            <w:shd w:val="clear" w:color="auto" w:fill="auto"/>
            <w:noWrap/>
            <w:vAlign w:val="center"/>
            <w:hideMark/>
          </w:tcPr>
          <w:p w14:paraId="68563C3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0,70 </w:t>
            </w:r>
          </w:p>
        </w:tc>
        <w:tc>
          <w:tcPr>
            <w:tcW w:w="680" w:type="dxa"/>
            <w:tcBorders>
              <w:top w:val="nil"/>
              <w:left w:val="nil"/>
              <w:bottom w:val="single" w:sz="4" w:space="0" w:color="auto"/>
              <w:right w:val="single" w:sz="4" w:space="0" w:color="auto"/>
            </w:tcBorders>
            <w:shd w:val="clear" w:color="auto" w:fill="auto"/>
            <w:noWrap/>
            <w:vAlign w:val="center"/>
            <w:hideMark/>
          </w:tcPr>
          <w:p w14:paraId="4F512EB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0,68 </w:t>
            </w:r>
          </w:p>
        </w:tc>
        <w:tc>
          <w:tcPr>
            <w:tcW w:w="680" w:type="dxa"/>
            <w:tcBorders>
              <w:top w:val="nil"/>
              <w:left w:val="nil"/>
              <w:bottom w:val="single" w:sz="4" w:space="0" w:color="auto"/>
              <w:right w:val="single" w:sz="4" w:space="0" w:color="auto"/>
            </w:tcBorders>
            <w:shd w:val="clear" w:color="auto" w:fill="auto"/>
            <w:noWrap/>
            <w:vAlign w:val="center"/>
            <w:hideMark/>
          </w:tcPr>
          <w:p w14:paraId="787B3FA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0,67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2B45196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0,71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14ED098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0,72 </w:t>
            </w:r>
          </w:p>
        </w:tc>
        <w:tc>
          <w:tcPr>
            <w:tcW w:w="2239" w:type="dxa"/>
            <w:tcBorders>
              <w:top w:val="nil"/>
              <w:left w:val="nil"/>
              <w:bottom w:val="single" w:sz="4" w:space="0" w:color="auto"/>
              <w:right w:val="single" w:sz="4" w:space="0" w:color="auto"/>
            </w:tcBorders>
            <w:vAlign w:val="center"/>
          </w:tcPr>
          <w:p w14:paraId="6493F402"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Net İhracatçı</w:t>
            </w:r>
          </w:p>
        </w:tc>
      </w:tr>
      <w:tr w:rsidR="00164238" w:rsidRPr="00164238" w14:paraId="75F14CAB"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2448D26A"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11</w:t>
            </w:r>
          </w:p>
        </w:tc>
        <w:tc>
          <w:tcPr>
            <w:tcW w:w="680" w:type="dxa"/>
            <w:tcBorders>
              <w:top w:val="nil"/>
              <w:left w:val="nil"/>
              <w:bottom w:val="single" w:sz="4" w:space="0" w:color="auto"/>
              <w:right w:val="single" w:sz="4" w:space="0" w:color="auto"/>
            </w:tcBorders>
            <w:shd w:val="clear" w:color="auto" w:fill="auto"/>
            <w:noWrap/>
            <w:vAlign w:val="center"/>
            <w:hideMark/>
          </w:tcPr>
          <w:p w14:paraId="18BCFE1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-0,83 </w:t>
            </w:r>
          </w:p>
        </w:tc>
        <w:tc>
          <w:tcPr>
            <w:tcW w:w="680" w:type="dxa"/>
            <w:tcBorders>
              <w:top w:val="nil"/>
              <w:left w:val="nil"/>
              <w:bottom w:val="single" w:sz="4" w:space="0" w:color="auto"/>
              <w:right w:val="single" w:sz="4" w:space="0" w:color="auto"/>
            </w:tcBorders>
            <w:shd w:val="clear" w:color="auto" w:fill="auto"/>
            <w:noWrap/>
            <w:vAlign w:val="center"/>
            <w:hideMark/>
          </w:tcPr>
          <w:p w14:paraId="256D243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-0,85 </w:t>
            </w:r>
          </w:p>
        </w:tc>
        <w:tc>
          <w:tcPr>
            <w:tcW w:w="680" w:type="dxa"/>
            <w:tcBorders>
              <w:top w:val="nil"/>
              <w:left w:val="nil"/>
              <w:bottom w:val="single" w:sz="4" w:space="0" w:color="auto"/>
              <w:right w:val="single" w:sz="4" w:space="0" w:color="auto"/>
            </w:tcBorders>
            <w:shd w:val="clear" w:color="auto" w:fill="auto"/>
            <w:noWrap/>
            <w:vAlign w:val="center"/>
            <w:hideMark/>
          </w:tcPr>
          <w:p w14:paraId="6713BDC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-0,75 </w:t>
            </w:r>
          </w:p>
        </w:tc>
        <w:tc>
          <w:tcPr>
            <w:tcW w:w="680" w:type="dxa"/>
            <w:tcBorders>
              <w:top w:val="nil"/>
              <w:left w:val="nil"/>
              <w:bottom w:val="single" w:sz="4" w:space="0" w:color="auto"/>
              <w:right w:val="single" w:sz="4" w:space="0" w:color="auto"/>
            </w:tcBorders>
            <w:shd w:val="clear" w:color="auto" w:fill="auto"/>
            <w:noWrap/>
            <w:vAlign w:val="center"/>
            <w:hideMark/>
          </w:tcPr>
          <w:p w14:paraId="7B646D0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-0,75 </w:t>
            </w:r>
          </w:p>
        </w:tc>
        <w:tc>
          <w:tcPr>
            <w:tcW w:w="680" w:type="dxa"/>
            <w:tcBorders>
              <w:top w:val="nil"/>
              <w:left w:val="nil"/>
              <w:bottom w:val="single" w:sz="4" w:space="0" w:color="auto"/>
              <w:right w:val="single" w:sz="4" w:space="0" w:color="auto"/>
            </w:tcBorders>
            <w:shd w:val="clear" w:color="auto" w:fill="auto"/>
            <w:noWrap/>
            <w:vAlign w:val="center"/>
            <w:hideMark/>
          </w:tcPr>
          <w:p w14:paraId="56B7C1C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-0,72 </w:t>
            </w:r>
          </w:p>
        </w:tc>
        <w:tc>
          <w:tcPr>
            <w:tcW w:w="680" w:type="dxa"/>
            <w:tcBorders>
              <w:top w:val="nil"/>
              <w:left w:val="nil"/>
              <w:bottom w:val="single" w:sz="4" w:space="0" w:color="auto"/>
              <w:right w:val="single" w:sz="4" w:space="0" w:color="auto"/>
            </w:tcBorders>
            <w:shd w:val="clear" w:color="auto" w:fill="auto"/>
            <w:noWrap/>
            <w:vAlign w:val="center"/>
            <w:hideMark/>
          </w:tcPr>
          <w:p w14:paraId="629171C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-0,59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00C645D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-0,67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5171460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-0,67 </w:t>
            </w:r>
          </w:p>
        </w:tc>
        <w:tc>
          <w:tcPr>
            <w:tcW w:w="2239" w:type="dxa"/>
            <w:tcBorders>
              <w:top w:val="nil"/>
              <w:left w:val="nil"/>
              <w:bottom w:val="single" w:sz="4" w:space="0" w:color="auto"/>
              <w:right w:val="single" w:sz="4" w:space="0" w:color="auto"/>
            </w:tcBorders>
            <w:vAlign w:val="center"/>
          </w:tcPr>
          <w:p w14:paraId="01996CD8"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Net İthalatçı</w:t>
            </w:r>
          </w:p>
        </w:tc>
      </w:tr>
      <w:tr w:rsidR="00164238" w:rsidRPr="00164238" w14:paraId="0F7FCC09"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451730C9"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b/>
                <w:bCs/>
                <w:color w:val="000000" w:themeColor="text1"/>
              </w:rPr>
              <w:t>12</w:t>
            </w:r>
          </w:p>
        </w:tc>
        <w:tc>
          <w:tcPr>
            <w:tcW w:w="680" w:type="dxa"/>
            <w:tcBorders>
              <w:top w:val="nil"/>
              <w:left w:val="nil"/>
              <w:bottom w:val="single" w:sz="4" w:space="0" w:color="auto"/>
              <w:right w:val="single" w:sz="4" w:space="0" w:color="auto"/>
            </w:tcBorders>
            <w:shd w:val="clear" w:color="auto" w:fill="auto"/>
            <w:noWrap/>
            <w:vAlign w:val="center"/>
            <w:hideMark/>
          </w:tcPr>
          <w:p w14:paraId="25B76D5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-1,00 </w:t>
            </w:r>
          </w:p>
        </w:tc>
        <w:tc>
          <w:tcPr>
            <w:tcW w:w="680" w:type="dxa"/>
            <w:tcBorders>
              <w:top w:val="nil"/>
              <w:left w:val="nil"/>
              <w:bottom w:val="single" w:sz="4" w:space="0" w:color="auto"/>
              <w:right w:val="single" w:sz="4" w:space="0" w:color="auto"/>
            </w:tcBorders>
            <w:shd w:val="clear" w:color="auto" w:fill="auto"/>
            <w:noWrap/>
            <w:vAlign w:val="center"/>
            <w:hideMark/>
          </w:tcPr>
          <w:p w14:paraId="08EB09D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-1,00 </w:t>
            </w:r>
          </w:p>
        </w:tc>
        <w:tc>
          <w:tcPr>
            <w:tcW w:w="680" w:type="dxa"/>
            <w:tcBorders>
              <w:top w:val="nil"/>
              <w:left w:val="nil"/>
              <w:bottom w:val="single" w:sz="4" w:space="0" w:color="auto"/>
              <w:right w:val="single" w:sz="4" w:space="0" w:color="auto"/>
            </w:tcBorders>
            <w:shd w:val="clear" w:color="auto" w:fill="auto"/>
            <w:noWrap/>
            <w:vAlign w:val="center"/>
            <w:hideMark/>
          </w:tcPr>
          <w:p w14:paraId="3BE51F0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-1,00 </w:t>
            </w:r>
          </w:p>
        </w:tc>
        <w:tc>
          <w:tcPr>
            <w:tcW w:w="680" w:type="dxa"/>
            <w:tcBorders>
              <w:top w:val="nil"/>
              <w:left w:val="nil"/>
              <w:bottom w:val="single" w:sz="4" w:space="0" w:color="auto"/>
              <w:right w:val="single" w:sz="4" w:space="0" w:color="auto"/>
            </w:tcBorders>
            <w:shd w:val="clear" w:color="auto" w:fill="auto"/>
            <w:noWrap/>
            <w:vAlign w:val="center"/>
            <w:hideMark/>
          </w:tcPr>
          <w:p w14:paraId="5FE4F41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-0,60 </w:t>
            </w:r>
          </w:p>
        </w:tc>
        <w:tc>
          <w:tcPr>
            <w:tcW w:w="680" w:type="dxa"/>
            <w:tcBorders>
              <w:top w:val="nil"/>
              <w:left w:val="nil"/>
              <w:bottom w:val="single" w:sz="4" w:space="0" w:color="auto"/>
              <w:right w:val="single" w:sz="4" w:space="0" w:color="auto"/>
            </w:tcBorders>
            <w:shd w:val="clear" w:color="auto" w:fill="auto"/>
            <w:noWrap/>
            <w:vAlign w:val="center"/>
            <w:hideMark/>
          </w:tcPr>
          <w:p w14:paraId="6D73E87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-0,77 </w:t>
            </w:r>
          </w:p>
        </w:tc>
        <w:tc>
          <w:tcPr>
            <w:tcW w:w="680" w:type="dxa"/>
            <w:tcBorders>
              <w:top w:val="nil"/>
              <w:left w:val="nil"/>
              <w:bottom w:val="single" w:sz="4" w:space="0" w:color="auto"/>
              <w:right w:val="single" w:sz="4" w:space="0" w:color="auto"/>
            </w:tcBorders>
            <w:shd w:val="clear" w:color="auto" w:fill="auto"/>
            <w:noWrap/>
            <w:vAlign w:val="center"/>
            <w:hideMark/>
          </w:tcPr>
          <w:p w14:paraId="12A9471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-0,57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03180F2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-0,24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4D09F29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0,76 </w:t>
            </w:r>
          </w:p>
        </w:tc>
        <w:tc>
          <w:tcPr>
            <w:tcW w:w="2239" w:type="dxa"/>
            <w:tcBorders>
              <w:top w:val="nil"/>
              <w:left w:val="nil"/>
              <w:bottom w:val="single" w:sz="4" w:space="0" w:color="auto"/>
              <w:right w:val="single" w:sz="4" w:space="0" w:color="auto"/>
            </w:tcBorders>
            <w:vAlign w:val="center"/>
          </w:tcPr>
          <w:p w14:paraId="11AC0671"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Net İhracatçı</w:t>
            </w:r>
          </w:p>
        </w:tc>
      </w:tr>
      <w:tr w:rsidR="00164238" w:rsidRPr="00164238" w14:paraId="3B6A3CFB"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34C3247A"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13</w:t>
            </w:r>
          </w:p>
        </w:tc>
        <w:tc>
          <w:tcPr>
            <w:tcW w:w="680" w:type="dxa"/>
            <w:tcBorders>
              <w:top w:val="nil"/>
              <w:left w:val="nil"/>
              <w:bottom w:val="single" w:sz="4" w:space="0" w:color="auto"/>
              <w:right w:val="single" w:sz="4" w:space="0" w:color="auto"/>
            </w:tcBorders>
            <w:shd w:val="clear" w:color="auto" w:fill="auto"/>
            <w:noWrap/>
            <w:vAlign w:val="center"/>
            <w:hideMark/>
          </w:tcPr>
          <w:p w14:paraId="3D5B206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0,75 </w:t>
            </w:r>
          </w:p>
        </w:tc>
        <w:tc>
          <w:tcPr>
            <w:tcW w:w="680" w:type="dxa"/>
            <w:tcBorders>
              <w:top w:val="nil"/>
              <w:left w:val="nil"/>
              <w:bottom w:val="single" w:sz="4" w:space="0" w:color="auto"/>
              <w:right w:val="single" w:sz="4" w:space="0" w:color="auto"/>
            </w:tcBorders>
            <w:shd w:val="clear" w:color="auto" w:fill="auto"/>
            <w:noWrap/>
            <w:vAlign w:val="center"/>
            <w:hideMark/>
          </w:tcPr>
          <w:p w14:paraId="6BF7FA1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0,79 </w:t>
            </w:r>
          </w:p>
        </w:tc>
        <w:tc>
          <w:tcPr>
            <w:tcW w:w="680" w:type="dxa"/>
            <w:tcBorders>
              <w:top w:val="nil"/>
              <w:left w:val="nil"/>
              <w:bottom w:val="single" w:sz="4" w:space="0" w:color="auto"/>
              <w:right w:val="single" w:sz="4" w:space="0" w:color="auto"/>
            </w:tcBorders>
            <w:shd w:val="clear" w:color="auto" w:fill="auto"/>
            <w:noWrap/>
            <w:vAlign w:val="center"/>
            <w:hideMark/>
          </w:tcPr>
          <w:p w14:paraId="234163C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0,81 </w:t>
            </w:r>
          </w:p>
        </w:tc>
        <w:tc>
          <w:tcPr>
            <w:tcW w:w="680" w:type="dxa"/>
            <w:tcBorders>
              <w:top w:val="nil"/>
              <w:left w:val="nil"/>
              <w:bottom w:val="single" w:sz="4" w:space="0" w:color="auto"/>
              <w:right w:val="single" w:sz="4" w:space="0" w:color="auto"/>
            </w:tcBorders>
            <w:shd w:val="clear" w:color="auto" w:fill="auto"/>
            <w:noWrap/>
            <w:vAlign w:val="center"/>
            <w:hideMark/>
          </w:tcPr>
          <w:p w14:paraId="1E9D77A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0,83 </w:t>
            </w:r>
          </w:p>
        </w:tc>
        <w:tc>
          <w:tcPr>
            <w:tcW w:w="680" w:type="dxa"/>
            <w:tcBorders>
              <w:top w:val="nil"/>
              <w:left w:val="nil"/>
              <w:bottom w:val="single" w:sz="4" w:space="0" w:color="auto"/>
              <w:right w:val="single" w:sz="4" w:space="0" w:color="auto"/>
            </w:tcBorders>
            <w:shd w:val="clear" w:color="auto" w:fill="auto"/>
            <w:noWrap/>
            <w:vAlign w:val="center"/>
            <w:hideMark/>
          </w:tcPr>
          <w:p w14:paraId="1A04EC0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0,83 </w:t>
            </w:r>
          </w:p>
        </w:tc>
        <w:tc>
          <w:tcPr>
            <w:tcW w:w="680" w:type="dxa"/>
            <w:tcBorders>
              <w:top w:val="nil"/>
              <w:left w:val="nil"/>
              <w:bottom w:val="single" w:sz="4" w:space="0" w:color="auto"/>
              <w:right w:val="single" w:sz="4" w:space="0" w:color="auto"/>
            </w:tcBorders>
            <w:shd w:val="clear" w:color="auto" w:fill="auto"/>
            <w:noWrap/>
            <w:vAlign w:val="center"/>
            <w:hideMark/>
          </w:tcPr>
          <w:p w14:paraId="49DFD3F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0,85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2AD445A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0,84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2C81397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0,90 </w:t>
            </w:r>
          </w:p>
        </w:tc>
        <w:tc>
          <w:tcPr>
            <w:tcW w:w="2239" w:type="dxa"/>
            <w:tcBorders>
              <w:top w:val="nil"/>
              <w:left w:val="nil"/>
              <w:bottom w:val="single" w:sz="4" w:space="0" w:color="auto"/>
              <w:right w:val="single" w:sz="4" w:space="0" w:color="auto"/>
            </w:tcBorders>
            <w:vAlign w:val="center"/>
          </w:tcPr>
          <w:p w14:paraId="74855DBE"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Net İhracatçı</w:t>
            </w:r>
          </w:p>
        </w:tc>
      </w:tr>
      <w:tr w:rsidR="00164238" w:rsidRPr="00164238" w14:paraId="3F8EB088"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75B245DE"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14</w:t>
            </w:r>
          </w:p>
        </w:tc>
        <w:tc>
          <w:tcPr>
            <w:tcW w:w="680" w:type="dxa"/>
            <w:tcBorders>
              <w:top w:val="nil"/>
              <w:left w:val="nil"/>
              <w:bottom w:val="single" w:sz="4" w:space="0" w:color="auto"/>
              <w:right w:val="single" w:sz="4" w:space="0" w:color="auto"/>
            </w:tcBorders>
            <w:shd w:val="clear" w:color="auto" w:fill="auto"/>
            <w:noWrap/>
            <w:vAlign w:val="center"/>
            <w:hideMark/>
          </w:tcPr>
          <w:p w14:paraId="532F49F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0,98 </w:t>
            </w:r>
          </w:p>
        </w:tc>
        <w:tc>
          <w:tcPr>
            <w:tcW w:w="680" w:type="dxa"/>
            <w:tcBorders>
              <w:top w:val="nil"/>
              <w:left w:val="nil"/>
              <w:bottom w:val="single" w:sz="4" w:space="0" w:color="auto"/>
              <w:right w:val="single" w:sz="4" w:space="0" w:color="auto"/>
            </w:tcBorders>
            <w:shd w:val="clear" w:color="auto" w:fill="auto"/>
            <w:noWrap/>
            <w:vAlign w:val="center"/>
            <w:hideMark/>
          </w:tcPr>
          <w:p w14:paraId="5834526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0,99 </w:t>
            </w:r>
          </w:p>
        </w:tc>
        <w:tc>
          <w:tcPr>
            <w:tcW w:w="680" w:type="dxa"/>
            <w:tcBorders>
              <w:top w:val="nil"/>
              <w:left w:val="nil"/>
              <w:bottom w:val="single" w:sz="4" w:space="0" w:color="auto"/>
              <w:right w:val="single" w:sz="4" w:space="0" w:color="auto"/>
            </w:tcBorders>
            <w:shd w:val="clear" w:color="auto" w:fill="auto"/>
            <w:noWrap/>
            <w:vAlign w:val="center"/>
            <w:hideMark/>
          </w:tcPr>
          <w:p w14:paraId="6A4B226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0,98 </w:t>
            </w:r>
          </w:p>
        </w:tc>
        <w:tc>
          <w:tcPr>
            <w:tcW w:w="680" w:type="dxa"/>
            <w:tcBorders>
              <w:top w:val="nil"/>
              <w:left w:val="nil"/>
              <w:bottom w:val="single" w:sz="4" w:space="0" w:color="auto"/>
              <w:right w:val="single" w:sz="4" w:space="0" w:color="auto"/>
            </w:tcBorders>
            <w:shd w:val="clear" w:color="auto" w:fill="auto"/>
            <w:noWrap/>
            <w:vAlign w:val="center"/>
            <w:hideMark/>
          </w:tcPr>
          <w:p w14:paraId="5F74689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0,99 </w:t>
            </w:r>
          </w:p>
        </w:tc>
        <w:tc>
          <w:tcPr>
            <w:tcW w:w="680" w:type="dxa"/>
            <w:tcBorders>
              <w:top w:val="nil"/>
              <w:left w:val="nil"/>
              <w:bottom w:val="single" w:sz="4" w:space="0" w:color="auto"/>
              <w:right w:val="single" w:sz="4" w:space="0" w:color="auto"/>
            </w:tcBorders>
            <w:shd w:val="clear" w:color="auto" w:fill="auto"/>
            <w:noWrap/>
            <w:vAlign w:val="center"/>
            <w:hideMark/>
          </w:tcPr>
          <w:p w14:paraId="0FDE580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0,99 </w:t>
            </w:r>
          </w:p>
        </w:tc>
        <w:tc>
          <w:tcPr>
            <w:tcW w:w="680" w:type="dxa"/>
            <w:tcBorders>
              <w:top w:val="nil"/>
              <w:left w:val="nil"/>
              <w:bottom w:val="single" w:sz="4" w:space="0" w:color="auto"/>
              <w:right w:val="single" w:sz="4" w:space="0" w:color="auto"/>
            </w:tcBorders>
            <w:shd w:val="clear" w:color="auto" w:fill="auto"/>
            <w:noWrap/>
            <w:vAlign w:val="center"/>
            <w:hideMark/>
          </w:tcPr>
          <w:p w14:paraId="5FE2F9B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0,99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219231F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0,99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0094178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0,99 </w:t>
            </w:r>
          </w:p>
        </w:tc>
        <w:tc>
          <w:tcPr>
            <w:tcW w:w="2239" w:type="dxa"/>
            <w:tcBorders>
              <w:top w:val="nil"/>
              <w:left w:val="nil"/>
              <w:bottom w:val="single" w:sz="4" w:space="0" w:color="auto"/>
              <w:right w:val="single" w:sz="4" w:space="0" w:color="auto"/>
            </w:tcBorders>
            <w:vAlign w:val="center"/>
          </w:tcPr>
          <w:p w14:paraId="4C56F8AC"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Net İhracatçı</w:t>
            </w:r>
          </w:p>
        </w:tc>
      </w:tr>
      <w:tr w:rsidR="00164238" w:rsidRPr="00164238" w14:paraId="141E1651"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601732BD"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color w:val="000000" w:themeColor="text1"/>
              </w:rPr>
              <w:t>15</w:t>
            </w:r>
          </w:p>
        </w:tc>
        <w:tc>
          <w:tcPr>
            <w:tcW w:w="680" w:type="dxa"/>
            <w:tcBorders>
              <w:top w:val="nil"/>
              <w:left w:val="nil"/>
              <w:bottom w:val="single" w:sz="4" w:space="0" w:color="auto"/>
              <w:right w:val="single" w:sz="4" w:space="0" w:color="auto"/>
            </w:tcBorders>
            <w:shd w:val="clear" w:color="auto" w:fill="auto"/>
            <w:noWrap/>
            <w:vAlign w:val="center"/>
            <w:hideMark/>
          </w:tcPr>
          <w:p w14:paraId="750254A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0,72 </w:t>
            </w:r>
          </w:p>
        </w:tc>
        <w:tc>
          <w:tcPr>
            <w:tcW w:w="680" w:type="dxa"/>
            <w:tcBorders>
              <w:top w:val="nil"/>
              <w:left w:val="nil"/>
              <w:bottom w:val="single" w:sz="4" w:space="0" w:color="auto"/>
              <w:right w:val="single" w:sz="4" w:space="0" w:color="auto"/>
            </w:tcBorders>
            <w:shd w:val="clear" w:color="auto" w:fill="auto"/>
            <w:noWrap/>
            <w:vAlign w:val="center"/>
            <w:hideMark/>
          </w:tcPr>
          <w:p w14:paraId="7575616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0,77 </w:t>
            </w:r>
          </w:p>
        </w:tc>
        <w:tc>
          <w:tcPr>
            <w:tcW w:w="680" w:type="dxa"/>
            <w:tcBorders>
              <w:top w:val="nil"/>
              <w:left w:val="nil"/>
              <w:bottom w:val="single" w:sz="4" w:space="0" w:color="auto"/>
              <w:right w:val="single" w:sz="4" w:space="0" w:color="auto"/>
            </w:tcBorders>
            <w:shd w:val="clear" w:color="auto" w:fill="auto"/>
            <w:noWrap/>
            <w:vAlign w:val="center"/>
            <w:hideMark/>
          </w:tcPr>
          <w:p w14:paraId="3326A02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0,72 </w:t>
            </w:r>
          </w:p>
        </w:tc>
        <w:tc>
          <w:tcPr>
            <w:tcW w:w="680" w:type="dxa"/>
            <w:tcBorders>
              <w:top w:val="nil"/>
              <w:left w:val="nil"/>
              <w:bottom w:val="single" w:sz="4" w:space="0" w:color="auto"/>
              <w:right w:val="single" w:sz="4" w:space="0" w:color="auto"/>
            </w:tcBorders>
            <w:shd w:val="clear" w:color="auto" w:fill="auto"/>
            <w:noWrap/>
            <w:vAlign w:val="center"/>
            <w:hideMark/>
          </w:tcPr>
          <w:p w14:paraId="6BDBF6F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0,61 </w:t>
            </w:r>
          </w:p>
        </w:tc>
        <w:tc>
          <w:tcPr>
            <w:tcW w:w="680" w:type="dxa"/>
            <w:tcBorders>
              <w:top w:val="nil"/>
              <w:left w:val="nil"/>
              <w:bottom w:val="single" w:sz="4" w:space="0" w:color="auto"/>
              <w:right w:val="single" w:sz="4" w:space="0" w:color="auto"/>
            </w:tcBorders>
            <w:shd w:val="clear" w:color="auto" w:fill="auto"/>
            <w:noWrap/>
            <w:vAlign w:val="center"/>
            <w:hideMark/>
          </w:tcPr>
          <w:p w14:paraId="709EAEB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0,72 </w:t>
            </w:r>
          </w:p>
        </w:tc>
        <w:tc>
          <w:tcPr>
            <w:tcW w:w="680" w:type="dxa"/>
            <w:tcBorders>
              <w:top w:val="nil"/>
              <w:left w:val="nil"/>
              <w:bottom w:val="single" w:sz="4" w:space="0" w:color="auto"/>
              <w:right w:val="single" w:sz="4" w:space="0" w:color="auto"/>
            </w:tcBorders>
            <w:shd w:val="clear" w:color="auto" w:fill="auto"/>
            <w:noWrap/>
            <w:vAlign w:val="center"/>
            <w:hideMark/>
          </w:tcPr>
          <w:p w14:paraId="12A23AF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0,70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74BBDE8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0,86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6654DCF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0,86 </w:t>
            </w:r>
          </w:p>
        </w:tc>
        <w:tc>
          <w:tcPr>
            <w:tcW w:w="2239" w:type="dxa"/>
            <w:tcBorders>
              <w:top w:val="nil"/>
              <w:left w:val="nil"/>
              <w:bottom w:val="single" w:sz="4" w:space="0" w:color="auto"/>
              <w:right w:val="single" w:sz="4" w:space="0" w:color="auto"/>
            </w:tcBorders>
            <w:vAlign w:val="center"/>
          </w:tcPr>
          <w:p w14:paraId="60AE2714"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color w:val="000000" w:themeColor="text1"/>
              </w:rPr>
              <w:t>Net İhracatçı</w:t>
            </w:r>
          </w:p>
        </w:tc>
      </w:tr>
      <w:tr w:rsidR="00164238" w:rsidRPr="00164238" w14:paraId="633375EE"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614AD20D"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color w:val="000000" w:themeColor="text1"/>
              </w:rPr>
              <w:t>16</w:t>
            </w:r>
          </w:p>
        </w:tc>
        <w:tc>
          <w:tcPr>
            <w:tcW w:w="680" w:type="dxa"/>
            <w:tcBorders>
              <w:top w:val="nil"/>
              <w:left w:val="nil"/>
              <w:bottom w:val="single" w:sz="4" w:space="0" w:color="auto"/>
              <w:right w:val="single" w:sz="4" w:space="0" w:color="auto"/>
            </w:tcBorders>
            <w:shd w:val="clear" w:color="auto" w:fill="auto"/>
            <w:noWrap/>
            <w:vAlign w:val="center"/>
            <w:hideMark/>
          </w:tcPr>
          <w:p w14:paraId="0E69388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0,00 </w:t>
            </w:r>
          </w:p>
        </w:tc>
        <w:tc>
          <w:tcPr>
            <w:tcW w:w="680" w:type="dxa"/>
            <w:tcBorders>
              <w:top w:val="nil"/>
              <w:left w:val="nil"/>
              <w:bottom w:val="single" w:sz="4" w:space="0" w:color="auto"/>
              <w:right w:val="single" w:sz="4" w:space="0" w:color="auto"/>
            </w:tcBorders>
            <w:shd w:val="clear" w:color="auto" w:fill="auto"/>
            <w:noWrap/>
            <w:vAlign w:val="center"/>
            <w:hideMark/>
          </w:tcPr>
          <w:p w14:paraId="75A9896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0,11 </w:t>
            </w:r>
          </w:p>
        </w:tc>
        <w:tc>
          <w:tcPr>
            <w:tcW w:w="680" w:type="dxa"/>
            <w:tcBorders>
              <w:top w:val="nil"/>
              <w:left w:val="nil"/>
              <w:bottom w:val="single" w:sz="4" w:space="0" w:color="auto"/>
              <w:right w:val="single" w:sz="4" w:space="0" w:color="auto"/>
            </w:tcBorders>
            <w:shd w:val="clear" w:color="auto" w:fill="auto"/>
            <w:noWrap/>
            <w:vAlign w:val="center"/>
            <w:hideMark/>
          </w:tcPr>
          <w:p w14:paraId="0408F46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0,60 </w:t>
            </w:r>
          </w:p>
        </w:tc>
        <w:tc>
          <w:tcPr>
            <w:tcW w:w="680" w:type="dxa"/>
            <w:tcBorders>
              <w:top w:val="nil"/>
              <w:left w:val="nil"/>
              <w:bottom w:val="single" w:sz="4" w:space="0" w:color="auto"/>
              <w:right w:val="single" w:sz="4" w:space="0" w:color="auto"/>
            </w:tcBorders>
            <w:shd w:val="clear" w:color="auto" w:fill="auto"/>
            <w:noWrap/>
            <w:vAlign w:val="center"/>
            <w:hideMark/>
          </w:tcPr>
          <w:p w14:paraId="6695186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0,68 </w:t>
            </w:r>
          </w:p>
        </w:tc>
        <w:tc>
          <w:tcPr>
            <w:tcW w:w="680" w:type="dxa"/>
            <w:tcBorders>
              <w:top w:val="nil"/>
              <w:left w:val="nil"/>
              <w:bottom w:val="single" w:sz="4" w:space="0" w:color="auto"/>
              <w:right w:val="single" w:sz="4" w:space="0" w:color="auto"/>
            </w:tcBorders>
            <w:shd w:val="clear" w:color="auto" w:fill="auto"/>
            <w:noWrap/>
            <w:vAlign w:val="center"/>
            <w:hideMark/>
          </w:tcPr>
          <w:p w14:paraId="00D6842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0,79 </w:t>
            </w:r>
          </w:p>
        </w:tc>
        <w:tc>
          <w:tcPr>
            <w:tcW w:w="680" w:type="dxa"/>
            <w:tcBorders>
              <w:top w:val="nil"/>
              <w:left w:val="nil"/>
              <w:bottom w:val="single" w:sz="4" w:space="0" w:color="auto"/>
              <w:right w:val="single" w:sz="4" w:space="0" w:color="auto"/>
            </w:tcBorders>
            <w:shd w:val="clear" w:color="auto" w:fill="auto"/>
            <w:noWrap/>
            <w:vAlign w:val="center"/>
            <w:hideMark/>
          </w:tcPr>
          <w:p w14:paraId="4098D0B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0,77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418BE2A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0,92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2E842F9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0,94 </w:t>
            </w:r>
          </w:p>
        </w:tc>
        <w:tc>
          <w:tcPr>
            <w:tcW w:w="2239" w:type="dxa"/>
            <w:tcBorders>
              <w:top w:val="nil"/>
              <w:left w:val="nil"/>
              <w:bottom w:val="single" w:sz="4" w:space="0" w:color="auto"/>
              <w:right w:val="single" w:sz="4" w:space="0" w:color="auto"/>
            </w:tcBorders>
            <w:vAlign w:val="center"/>
          </w:tcPr>
          <w:p w14:paraId="2022696E"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Net İhracatçı</w:t>
            </w:r>
          </w:p>
        </w:tc>
      </w:tr>
      <w:tr w:rsidR="00164238" w:rsidRPr="00164238" w14:paraId="62CD94AA"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4840048D"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17</w:t>
            </w:r>
          </w:p>
        </w:tc>
        <w:tc>
          <w:tcPr>
            <w:tcW w:w="680" w:type="dxa"/>
            <w:tcBorders>
              <w:top w:val="nil"/>
              <w:left w:val="nil"/>
              <w:bottom w:val="single" w:sz="4" w:space="0" w:color="auto"/>
              <w:right w:val="single" w:sz="4" w:space="0" w:color="auto"/>
            </w:tcBorders>
            <w:shd w:val="clear" w:color="auto" w:fill="auto"/>
            <w:noWrap/>
            <w:vAlign w:val="center"/>
            <w:hideMark/>
          </w:tcPr>
          <w:p w14:paraId="5AFB6DF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0,52 </w:t>
            </w:r>
          </w:p>
        </w:tc>
        <w:tc>
          <w:tcPr>
            <w:tcW w:w="680" w:type="dxa"/>
            <w:tcBorders>
              <w:top w:val="nil"/>
              <w:left w:val="nil"/>
              <w:bottom w:val="single" w:sz="4" w:space="0" w:color="auto"/>
              <w:right w:val="single" w:sz="4" w:space="0" w:color="auto"/>
            </w:tcBorders>
            <w:shd w:val="clear" w:color="auto" w:fill="auto"/>
            <w:noWrap/>
            <w:vAlign w:val="center"/>
            <w:hideMark/>
          </w:tcPr>
          <w:p w14:paraId="7AB56C6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0,56 </w:t>
            </w:r>
          </w:p>
        </w:tc>
        <w:tc>
          <w:tcPr>
            <w:tcW w:w="680" w:type="dxa"/>
            <w:tcBorders>
              <w:top w:val="nil"/>
              <w:left w:val="nil"/>
              <w:bottom w:val="single" w:sz="4" w:space="0" w:color="auto"/>
              <w:right w:val="single" w:sz="4" w:space="0" w:color="auto"/>
            </w:tcBorders>
            <w:shd w:val="clear" w:color="auto" w:fill="auto"/>
            <w:noWrap/>
            <w:vAlign w:val="center"/>
            <w:hideMark/>
          </w:tcPr>
          <w:p w14:paraId="1D0D5C1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0,56 </w:t>
            </w:r>
          </w:p>
        </w:tc>
        <w:tc>
          <w:tcPr>
            <w:tcW w:w="680" w:type="dxa"/>
            <w:tcBorders>
              <w:top w:val="nil"/>
              <w:left w:val="nil"/>
              <w:bottom w:val="single" w:sz="4" w:space="0" w:color="auto"/>
              <w:right w:val="single" w:sz="4" w:space="0" w:color="auto"/>
            </w:tcBorders>
            <w:shd w:val="clear" w:color="auto" w:fill="auto"/>
            <w:noWrap/>
            <w:vAlign w:val="center"/>
            <w:hideMark/>
          </w:tcPr>
          <w:p w14:paraId="2492340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0,48 </w:t>
            </w:r>
          </w:p>
        </w:tc>
        <w:tc>
          <w:tcPr>
            <w:tcW w:w="680" w:type="dxa"/>
            <w:tcBorders>
              <w:top w:val="nil"/>
              <w:left w:val="nil"/>
              <w:bottom w:val="single" w:sz="4" w:space="0" w:color="auto"/>
              <w:right w:val="single" w:sz="4" w:space="0" w:color="auto"/>
            </w:tcBorders>
            <w:shd w:val="clear" w:color="auto" w:fill="auto"/>
            <w:noWrap/>
            <w:vAlign w:val="center"/>
            <w:hideMark/>
          </w:tcPr>
          <w:p w14:paraId="17E28BF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0,51 </w:t>
            </w:r>
          </w:p>
        </w:tc>
        <w:tc>
          <w:tcPr>
            <w:tcW w:w="680" w:type="dxa"/>
            <w:tcBorders>
              <w:top w:val="nil"/>
              <w:left w:val="nil"/>
              <w:bottom w:val="single" w:sz="4" w:space="0" w:color="auto"/>
              <w:right w:val="single" w:sz="4" w:space="0" w:color="auto"/>
            </w:tcBorders>
            <w:shd w:val="clear" w:color="auto" w:fill="auto"/>
            <w:noWrap/>
            <w:vAlign w:val="center"/>
            <w:hideMark/>
          </w:tcPr>
          <w:p w14:paraId="69206F0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0,53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1C4F3EE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0,58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272CC69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0,65 </w:t>
            </w:r>
          </w:p>
        </w:tc>
        <w:tc>
          <w:tcPr>
            <w:tcW w:w="2239" w:type="dxa"/>
            <w:tcBorders>
              <w:top w:val="nil"/>
              <w:left w:val="nil"/>
              <w:bottom w:val="single" w:sz="4" w:space="0" w:color="auto"/>
              <w:right w:val="single" w:sz="4" w:space="0" w:color="auto"/>
            </w:tcBorders>
            <w:vAlign w:val="center"/>
          </w:tcPr>
          <w:p w14:paraId="7BCC2C54"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Net İhracatçı</w:t>
            </w:r>
          </w:p>
        </w:tc>
      </w:tr>
      <w:tr w:rsidR="00164238" w:rsidRPr="00164238" w14:paraId="649CF81F"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03CD2B3B"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color w:val="000000" w:themeColor="text1"/>
              </w:rPr>
              <w:t>18</w:t>
            </w:r>
          </w:p>
        </w:tc>
        <w:tc>
          <w:tcPr>
            <w:tcW w:w="680" w:type="dxa"/>
            <w:tcBorders>
              <w:top w:val="nil"/>
              <w:left w:val="nil"/>
              <w:bottom w:val="single" w:sz="4" w:space="0" w:color="auto"/>
              <w:right w:val="single" w:sz="4" w:space="0" w:color="auto"/>
            </w:tcBorders>
            <w:shd w:val="clear" w:color="auto" w:fill="auto"/>
            <w:noWrap/>
            <w:vAlign w:val="center"/>
            <w:hideMark/>
          </w:tcPr>
          <w:p w14:paraId="7100385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-0,94 </w:t>
            </w:r>
          </w:p>
        </w:tc>
        <w:tc>
          <w:tcPr>
            <w:tcW w:w="680" w:type="dxa"/>
            <w:tcBorders>
              <w:top w:val="nil"/>
              <w:left w:val="nil"/>
              <w:bottom w:val="single" w:sz="4" w:space="0" w:color="auto"/>
              <w:right w:val="single" w:sz="4" w:space="0" w:color="auto"/>
            </w:tcBorders>
            <w:shd w:val="clear" w:color="auto" w:fill="auto"/>
            <w:noWrap/>
            <w:vAlign w:val="center"/>
            <w:hideMark/>
          </w:tcPr>
          <w:p w14:paraId="307F685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-0,94 </w:t>
            </w:r>
          </w:p>
        </w:tc>
        <w:tc>
          <w:tcPr>
            <w:tcW w:w="680" w:type="dxa"/>
            <w:tcBorders>
              <w:top w:val="nil"/>
              <w:left w:val="nil"/>
              <w:bottom w:val="single" w:sz="4" w:space="0" w:color="auto"/>
              <w:right w:val="single" w:sz="4" w:space="0" w:color="auto"/>
            </w:tcBorders>
            <w:shd w:val="clear" w:color="auto" w:fill="auto"/>
            <w:noWrap/>
            <w:vAlign w:val="center"/>
            <w:hideMark/>
          </w:tcPr>
          <w:p w14:paraId="22D34EC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-0,79 </w:t>
            </w:r>
          </w:p>
        </w:tc>
        <w:tc>
          <w:tcPr>
            <w:tcW w:w="680" w:type="dxa"/>
            <w:tcBorders>
              <w:top w:val="nil"/>
              <w:left w:val="nil"/>
              <w:bottom w:val="single" w:sz="4" w:space="0" w:color="auto"/>
              <w:right w:val="single" w:sz="4" w:space="0" w:color="auto"/>
            </w:tcBorders>
            <w:shd w:val="clear" w:color="auto" w:fill="auto"/>
            <w:noWrap/>
            <w:vAlign w:val="center"/>
            <w:hideMark/>
          </w:tcPr>
          <w:p w14:paraId="1F826C2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-0,89 </w:t>
            </w:r>
          </w:p>
        </w:tc>
        <w:tc>
          <w:tcPr>
            <w:tcW w:w="680" w:type="dxa"/>
            <w:tcBorders>
              <w:top w:val="nil"/>
              <w:left w:val="nil"/>
              <w:bottom w:val="single" w:sz="4" w:space="0" w:color="auto"/>
              <w:right w:val="single" w:sz="4" w:space="0" w:color="auto"/>
            </w:tcBorders>
            <w:shd w:val="clear" w:color="auto" w:fill="auto"/>
            <w:noWrap/>
            <w:vAlign w:val="center"/>
            <w:hideMark/>
          </w:tcPr>
          <w:p w14:paraId="697C0D0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-0,72 </w:t>
            </w:r>
          </w:p>
        </w:tc>
        <w:tc>
          <w:tcPr>
            <w:tcW w:w="680" w:type="dxa"/>
            <w:tcBorders>
              <w:top w:val="nil"/>
              <w:left w:val="nil"/>
              <w:bottom w:val="single" w:sz="4" w:space="0" w:color="auto"/>
              <w:right w:val="single" w:sz="4" w:space="0" w:color="auto"/>
            </w:tcBorders>
            <w:shd w:val="clear" w:color="auto" w:fill="auto"/>
            <w:noWrap/>
            <w:vAlign w:val="center"/>
            <w:hideMark/>
          </w:tcPr>
          <w:p w14:paraId="570C9ED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-0,84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1A37252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-0,75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509A259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-0,89 </w:t>
            </w:r>
          </w:p>
        </w:tc>
        <w:tc>
          <w:tcPr>
            <w:tcW w:w="2239" w:type="dxa"/>
            <w:tcBorders>
              <w:top w:val="nil"/>
              <w:left w:val="nil"/>
              <w:bottom w:val="single" w:sz="4" w:space="0" w:color="auto"/>
              <w:right w:val="single" w:sz="4" w:space="0" w:color="auto"/>
            </w:tcBorders>
            <w:vAlign w:val="center"/>
          </w:tcPr>
          <w:p w14:paraId="44A0B718"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Net İthalatçı</w:t>
            </w:r>
          </w:p>
        </w:tc>
      </w:tr>
      <w:tr w:rsidR="00164238" w:rsidRPr="00164238" w14:paraId="3AFEDE16"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74E7A662"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b/>
                <w:bCs/>
                <w:color w:val="000000" w:themeColor="text1"/>
              </w:rPr>
              <w:t>19</w:t>
            </w:r>
          </w:p>
        </w:tc>
        <w:tc>
          <w:tcPr>
            <w:tcW w:w="680" w:type="dxa"/>
            <w:tcBorders>
              <w:top w:val="nil"/>
              <w:left w:val="nil"/>
              <w:bottom w:val="single" w:sz="4" w:space="0" w:color="auto"/>
              <w:right w:val="single" w:sz="4" w:space="0" w:color="auto"/>
            </w:tcBorders>
            <w:shd w:val="clear" w:color="auto" w:fill="auto"/>
            <w:noWrap/>
            <w:vAlign w:val="center"/>
            <w:hideMark/>
          </w:tcPr>
          <w:p w14:paraId="75E6F7B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0,86 </w:t>
            </w:r>
          </w:p>
        </w:tc>
        <w:tc>
          <w:tcPr>
            <w:tcW w:w="680" w:type="dxa"/>
            <w:tcBorders>
              <w:top w:val="nil"/>
              <w:left w:val="nil"/>
              <w:bottom w:val="single" w:sz="4" w:space="0" w:color="auto"/>
              <w:right w:val="single" w:sz="4" w:space="0" w:color="auto"/>
            </w:tcBorders>
            <w:shd w:val="clear" w:color="auto" w:fill="auto"/>
            <w:noWrap/>
            <w:vAlign w:val="center"/>
            <w:hideMark/>
          </w:tcPr>
          <w:p w14:paraId="38BAC42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0,70 </w:t>
            </w:r>
          </w:p>
        </w:tc>
        <w:tc>
          <w:tcPr>
            <w:tcW w:w="680" w:type="dxa"/>
            <w:tcBorders>
              <w:top w:val="nil"/>
              <w:left w:val="nil"/>
              <w:bottom w:val="single" w:sz="4" w:space="0" w:color="auto"/>
              <w:right w:val="single" w:sz="4" w:space="0" w:color="auto"/>
            </w:tcBorders>
            <w:shd w:val="clear" w:color="auto" w:fill="auto"/>
            <w:noWrap/>
            <w:vAlign w:val="center"/>
            <w:hideMark/>
          </w:tcPr>
          <w:p w14:paraId="7003284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0,32 </w:t>
            </w:r>
          </w:p>
        </w:tc>
        <w:tc>
          <w:tcPr>
            <w:tcW w:w="680" w:type="dxa"/>
            <w:tcBorders>
              <w:top w:val="nil"/>
              <w:left w:val="nil"/>
              <w:bottom w:val="single" w:sz="4" w:space="0" w:color="auto"/>
              <w:right w:val="single" w:sz="4" w:space="0" w:color="auto"/>
            </w:tcBorders>
            <w:shd w:val="clear" w:color="auto" w:fill="auto"/>
            <w:noWrap/>
            <w:vAlign w:val="center"/>
            <w:hideMark/>
          </w:tcPr>
          <w:p w14:paraId="442D73D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0,75 </w:t>
            </w:r>
          </w:p>
        </w:tc>
        <w:tc>
          <w:tcPr>
            <w:tcW w:w="680" w:type="dxa"/>
            <w:tcBorders>
              <w:top w:val="nil"/>
              <w:left w:val="nil"/>
              <w:bottom w:val="single" w:sz="4" w:space="0" w:color="auto"/>
              <w:right w:val="single" w:sz="4" w:space="0" w:color="auto"/>
            </w:tcBorders>
            <w:shd w:val="clear" w:color="auto" w:fill="auto"/>
            <w:noWrap/>
            <w:vAlign w:val="center"/>
            <w:hideMark/>
          </w:tcPr>
          <w:p w14:paraId="1EC24B7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0,22 </w:t>
            </w:r>
          </w:p>
        </w:tc>
        <w:tc>
          <w:tcPr>
            <w:tcW w:w="680" w:type="dxa"/>
            <w:tcBorders>
              <w:top w:val="nil"/>
              <w:left w:val="nil"/>
              <w:bottom w:val="single" w:sz="4" w:space="0" w:color="auto"/>
              <w:right w:val="single" w:sz="4" w:space="0" w:color="auto"/>
            </w:tcBorders>
            <w:shd w:val="clear" w:color="auto" w:fill="auto"/>
            <w:noWrap/>
            <w:vAlign w:val="center"/>
            <w:hideMark/>
          </w:tcPr>
          <w:p w14:paraId="1ED4C7F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0,43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640895D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0,12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38683E2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-0,34 </w:t>
            </w:r>
          </w:p>
        </w:tc>
        <w:tc>
          <w:tcPr>
            <w:tcW w:w="2239" w:type="dxa"/>
            <w:tcBorders>
              <w:top w:val="nil"/>
              <w:left w:val="nil"/>
              <w:bottom w:val="single" w:sz="4" w:space="0" w:color="auto"/>
              <w:right w:val="single" w:sz="4" w:space="0" w:color="auto"/>
            </w:tcBorders>
            <w:vAlign w:val="center"/>
          </w:tcPr>
          <w:p w14:paraId="12254619"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b/>
                <w:bCs/>
                <w:color w:val="000000" w:themeColor="text1"/>
              </w:rPr>
              <w:t>Net İthalatçı</w:t>
            </w:r>
          </w:p>
        </w:tc>
      </w:tr>
      <w:tr w:rsidR="00164238" w:rsidRPr="00164238" w14:paraId="6DF5A6A0"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5E9AC3E3"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20</w:t>
            </w:r>
          </w:p>
        </w:tc>
        <w:tc>
          <w:tcPr>
            <w:tcW w:w="680" w:type="dxa"/>
            <w:tcBorders>
              <w:top w:val="nil"/>
              <w:left w:val="nil"/>
              <w:bottom w:val="single" w:sz="4" w:space="0" w:color="auto"/>
              <w:right w:val="single" w:sz="4" w:space="0" w:color="auto"/>
            </w:tcBorders>
            <w:shd w:val="clear" w:color="auto" w:fill="auto"/>
            <w:noWrap/>
            <w:vAlign w:val="center"/>
            <w:hideMark/>
          </w:tcPr>
          <w:p w14:paraId="7259C9C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-0,76 </w:t>
            </w:r>
          </w:p>
        </w:tc>
        <w:tc>
          <w:tcPr>
            <w:tcW w:w="680" w:type="dxa"/>
            <w:tcBorders>
              <w:top w:val="nil"/>
              <w:left w:val="nil"/>
              <w:bottom w:val="single" w:sz="4" w:space="0" w:color="auto"/>
              <w:right w:val="single" w:sz="4" w:space="0" w:color="auto"/>
            </w:tcBorders>
            <w:shd w:val="clear" w:color="auto" w:fill="auto"/>
            <w:noWrap/>
            <w:vAlign w:val="center"/>
            <w:hideMark/>
          </w:tcPr>
          <w:p w14:paraId="799DFFB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-0,71 </w:t>
            </w:r>
          </w:p>
        </w:tc>
        <w:tc>
          <w:tcPr>
            <w:tcW w:w="680" w:type="dxa"/>
            <w:tcBorders>
              <w:top w:val="nil"/>
              <w:left w:val="nil"/>
              <w:bottom w:val="single" w:sz="4" w:space="0" w:color="auto"/>
              <w:right w:val="single" w:sz="4" w:space="0" w:color="auto"/>
            </w:tcBorders>
            <w:shd w:val="clear" w:color="auto" w:fill="auto"/>
            <w:noWrap/>
            <w:vAlign w:val="center"/>
            <w:hideMark/>
          </w:tcPr>
          <w:p w14:paraId="3D67695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-0,66 </w:t>
            </w:r>
          </w:p>
        </w:tc>
        <w:tc>
          <w:tcPr>
            <w:tcW w:w="680" w:type="dxa"/>
            <w:tcBorders>
              <w:top w:val="nil"/>
              <w:left w:val="nil"/>
              <w:bottom w:val="single" w:sz="4" w:space="0" w:color="auto"/>
              <w:right w:val="single" w:sz="4" w:space="0" w:color="auto"/>
            </w:tcBorders>
            <w:shd w:val="clear" w:color="auto" w:fill="auto"/>
            <w:noWrap/>
            <w:vAlign w:val="center"/>
            <w:hideMark/>
          </w:tcPr>
          <w:p w14:paraId="43411D6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-0,61 </w:t>
            </w:r>
          </w:p>
        </w:tc>
        <w:tc>
          <w:tcPr>
            <w:tcW w:w="680" w:type="dxa"/>
            <w:tcBorders>
              <w:top w:val="nil"/>
              <w:left w:val="nil"/>
              <w:bottom w:val="single" w:sz="4" w:space="0" w:color="auto"/>
              <w:right w:val="single" w:sz="4" w:space="0" w:color="auto"/>
            </w:tcBorders>
            <w:shd w:val="clear" w:color="auto" w:fill="auto"/>
            <w:noWrap/>
            <w:vAlign w:val="center"/>
            <w:hideMark/>
          </w:tcPr>
          <w:p w14:paraId="3412AAE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-0,57 </w:t>
            </w:r>
          </w:p>
        </w:tc>
        <w:tc>
          <w:tcPr>
            <w:tcW w:w="680" w:type="dxa"/>
            <w:tcBorders>
              <w:top w:val="nil"/>
              <w:left w:val="nil"/>
              <w:bottom w:val="single" w:sz="4" w:space="0" w:color="auto"/>
              <w:right w:val="single" w:sz="4" w:space="0" w:color="auto"/>
            </w:tcBorders>
            <w:shd w:val="clear" w:color="auto" w:fill="auto"/>
            <w:noWrap/>
            <w:vAlign w:val="center"/>
            <w:hideMark/>
          </w:tcPr>
          <w:p w14:paraId="4B3229C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-0,48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5E792E9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-0,43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69FDA11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-0,31 </w:t>
            </w:r>
          </w:p>
        </w:tc>
        <w:tc>
          <w:tcPr>
            <w:tcW w:w="2239" w:type="dxa"/>
            <w:tcBorders>
              <w:top w:val="nil"/>
              <w:left w:val="nil"/>
              <w:bottom w:val="single" w:sz="4" w:space="0" w:color="auto"/>
              <w:right w:val="single" w:sz="4" w:space="0" w:color="auto"/>
            </w:tcBorders>
            <w:vAlign w:val="center"/>
          </w:tcPr>
          <w:p w14:paraId="4219AC59"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Net İthalatçı</w:t>
            </w:r>
          </w:p>
        </w:tc>
      </w:tr>
      <w:tr w:rsidR="00164238" w:rsidRPr="00164238" w14:paraId="3CC1523C"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04062F3B"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21</w:t>
            </w:r>
          </w:p>
        </w:tc>
        <w:tc>
          <w:tcPr>
            <w:tcW w:w="680" w:type="dxa"/>
            <w:tcBorders>
              <w:top w:val="nil"/>
              <w:left w:val="nil"/>
              <w:bottom w:val="single" w:sz="4" w:space="0" w:color="auto"/>
              <w:right w:val="single" w:sz="4" w:space="0" w:color="auto"/>
            </w:tcBorders>
            <w:shd w:val="clear" w:color="auto" w:fill="auto"/>
            <w:noWrap/>
            <w:vAlign w:val="center"/>
            <w:hideMark/>
          </w:tcPr>
          <w:p w14:paraId="7C4E9B8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-0,80 </w:t>
            </w:r>
          </w:p>
        </w:tc>
        <w:tc>
          <w:tcPr>
            <w:tcW w:w="680" w:type="dxa"/>
            <w:tcBorders>
              <w:top w:val="nil"/>
              <w:left w:val="nil"/>
              <w:bottom w:val="single" w:sz="4" w:space="0" w:color="auto"/>
              <w:right w:val="single" w:sz="4" w:space="0" w:color="auto"/>
            </w:tcBorders>
            <w:shd w:val="clear" w:color="auto" w:fill="auto"/>
            <w:noWrap/>
            <w:vAlign w:val="center"/>
            <w:hideMark/>
          </w:tcPr>
          <w:p w14:paraId="6EB0C97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-0,88 </w:t>
            </w:r>
          </w:p>
        </w:tc>
        <w:tc>
          <w:tcPr>
            <w:tcW w:w="680" w:type="dxa"/>
            <w:tcBorders>
              <w:top w:val="nil"/>
              <w:left w:val="nil"/>
              <w:bottom w:val="single" w:sz="4" w:space="0" w:color="auto"/>
              <w:right w:val="single" w:sz="4" w:space="0" w:color="auto"/>
            </w:tcBorders>
            <w:shd w:val="clear" w:color="auto" w:fill="auto"/>
            <w:noWrap/>
            <w:vAlign w:val="center"/>
            <w:hideMark/>
          </w:tcPr>
          <w:p w14:paraId="0F2D517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-0,89 </w:t>
            </w:r>
          </w:p>
        </w:tc>
        <w:tc>
          <w:tcPr>
            <w:tcW w:w="680" w:type="dxa"/>
            <w:tcBorders>
              <w:top w:val="nil"/>
              <w:left w:val="nil"/>
              <w:bottom w:val="single" w:sz="4" w:space="0" w:color="auto"/>
              <w:right w:val="single" w:sz="4" w:space="0" w:color="auto"/>
            </w:tcBorders>
            <w:shd w:val="clear" w:color="auto" w:fill="auto"/>
            <w:noWrap/>
            <w:vAlign w:val="center"/>
            <w:hideMark/>
          </w:tcPr>
          <w:p w14:paraId="589B127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-0,89 </w:t>
            </w:r>
          </w:p>
        </w:tc>
        <w:tc>
          <w:tcPr>
            <w:tcW w:w="680" w:type="dxa"/>
            <w:tcBorders>
              <w:top w:val="nil"/>
              <w:left w:val="nil"/>
              <w:bottom w:val="single" w:sz="4" w:space="0" w:color="auto"/>
              <w:right w:val="single" w:sz="4" w:space="0" w:color="auto"/>
            </w:tcBorders>
            <w:shd w:val="clear" w:color="auto" w:fill="auto"/>
            <w:noWrap/>
            <w:vAlign w:val="center"/>
            <w:hideMark/>
          </w:tcPr>
          <w:p w14:paraId="5020C0C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-0,92 </w:t>
            </w:r>
          </w:p>
        </w:tc>
        <w:tc>
          <w:tcPr>
            <w:tcW w:w="680" w:type="dxa"/>
            <w:tcBorders>
              <w:top w:val="nil"/>
              <w:left w:val="nil"/>
              <w:bottom w:val="single" w:sz="4" w:space="0" w:color="auto"/>
              <w:right w:val="single" w:sz="4" w:space="0" w:color="auto"/>
            </w:tcBorders>
            <w:shd w:val="clear" w:color="auto" w:fill="auto"/>
            <w:noWrap/>
            <w:vAlign w:val="center"/>
            <w:hideMark/>
          </w:tcPr>
          <w:p w14:paraId="138FEF0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-0,88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13D0BE0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-0,80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4A15C82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-0,86 </w:t>
            </w:r>
          </w:p>
        </w:tc>
        <w:tc>
          <w:tcPr>
            <w:tcW w:w="2239" w:type="dxa"/>
            <w:tcBorders>
              <w:top w:val="nil"/>
              <w:left w:val="nil"/>
              <w:bottom w:val="single" w:sz="4" w:space="0" w:color="auto"/>
              <w:right w:val="single" w:sz="4" w:space="0" w:color="auto"/>
            </w:tcBorders>
            <w:vAlign w:val="center"/>
          </w:tcPr>
          <w:p w14:paraId="40ACB5A5"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Net İthalatçı</w:t>
            </w:r>
          </w:p>
        </w:tc>
      </w:tr>
      <w:tr w:rsidR="00164238" w:rsidRPr="00164238" w14:paraId="4753895C"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5F7C92B9"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22</w:t>
            </w:r>
          </w:p>
        </w:tc>
        <w:tc>
          <w:tcPr>
            <w:tcW w:w="680" w:type="dxa"/>
            <w:tcBorders>
              <w:top w:val="nil"/>
              <w:left w:val="nil"/>
              <w:bottom w:val="single" w:sz="4" w:space="0" w:color="auto"/>
              <w:right w:val="single" w:sz="4" w:space="0" w:color="auto"/>
            </w:tcBorders>
            <w:shd w:val="clear" w:color="auto" w:fill="auto"/>
            <w:noWrap/>
            <w:vAlign w:val="center"/>
            <w:hideMark/>
          </w:tcPr>
          <w:p w14:paraId="4915B59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0,28 </w:t>
            </w:r>
          </w:p>
        </w:tc>
        <w:tc>
          <w:tcPr>
            <w:tcW w:w="680" w:type="dxa"/>
            <w:tcBorders>
              <w:top w:val="nil"/>
              <w:left w:val="nil"/>
              <w:bottom w:val="single" w:sz="4" w:space="0" w:color="auto"/>
              <w:right w:val="single" w:sz="4" w:space="0" w:color="auto"/>
            </w:tcBorders>
            <w:shd w:val="clear" w:color="auto" w:fill="auto"/>
            <w:noWrap/>
            <w:vAlign w:val="center"/>
            <w:hideMark/>
          </w:tcPr>
          <w:p w14:paraId="60E57C9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0,32 </w:t>
            </w:r>
          </w:p>
        </w:tc>
        <w:tc>
          <w:tcPr>
            <w:tcW w:w="680" w:type="dxa"/>
            <w:tcBorders>
              <w:top w:val="nil"/>
              <w:left w:val="nil"/>
              <w:bottom w:val="single" w:sz="4" w:space="0" w:color="auto"/>
              <w:right w:val="single" w:sz="4" w:space="0" w:color="auto"/>
            </w:tcBorders>
            <w:shd w:val="clear" w:color="auto" w:fill="auto"/>
            <w:noWrap/>
            <w:vAlign w:val="center"/>
            <w:hideMark/>
          </w:tcPr>
          <w:p w14:paraId="5EEA636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0,31 </w:t>
            </w:r>
          </w:p>
        </w:tc>
        <w:tc>
          <w:tcPr>
            <w:tcW w:w="680" w:type="dxa"/>
            <w:tcBorders>
              <w:top w:val="nil"/>
              <w:left w:val="nil"/>
              <w:bottom w:val="single" w:sz="4" w:space="0" w:color="auto"/>
              <w:right w:val="single" w:sz="4" w:space="0" w:color="auto"/>
            </w:tcBorders>
            <w:shd w:val="clear" w:color="auto" w:fill="auto"/>
            <w:noWrap/>
            <w:vAlign w:val="center"/>
            <w:hideMark/>
          </w:tcPr>
          <w:p w14:paraId="60F56F5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0,32 </w:t>
            </w:r>
          </w:p>
        </w:tc>
        <w:tc>
          <w:tcPr>
            <w:tcW w:w="680" w:type="dxa"/>
            <w:tcBorders>
              <w:top w:val="nil"/>
              <w:left w:val="nil"/>
              <w:bottom w:val="single" w:sz="4" w:space="0" w:color="auto"/>
              <w:right w:val="single" w:sz="4" w:space="0" w:color="auto"/>
            </w:tcBorders>
            <w:shd w:val="clear" w:color="auto" w:fill="auto"/>
            <w:noWrap/>
            <w:vAlign w:val="center"/>
            <w:hideMark/>
          </w:tcPr>
          <w:p w14:paraId="42BD4A8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0,28 </w:t>
            </w:r>
          </w:p>
        </w:tc>
        <w:tc>
          <w:tcPr>
            <w:tcW w:w="680" w:type="dxa"/>
            <w:tcBorders>
              <w:top w:val="nil"/>
              <w:left w:val="nil"/>
              <w:bottom w:val="single" w:sz="4" w:space="0" w:color="auto"/>
              <w:right w:val="single" w:sz="4" w:space="0" w:color="auto"/>
            </w:tcBorders>
            <w:shd w:val="clear" w:color="auto" w:fill="auto"/>
            <w:noWrap/>
            <w:vAlign w:val="center"/>
            <w:hideMark/>
          </w:tcPr>
          <w:p w14:paraId="72E0E26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0,42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385B511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0,54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2242523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0,60 </w:t>
            </w:r>
          </w:p>
        </w:tc>
        <w:tc>
          <w:tcPr>
            <w:tcW w:w="2239" w:type="dxa"/>
            <w:tcBorders>
              <w:top w:val="nil"/>
              <w:left w:val="nil"/>
              <w:bottom w:val="single" w:sz="4" w:space="0" w:color="auto"/>
              <w:right w:val="single" w:sz="4" w:space="0" w:color="auto"/>
            </w:tcBorders>
            <w:vAlign w:val="center"/>
          </w:tcPr>
          <w:p w14:paraId="6559F687"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Net İhracatçı</w:t>
            </w:r>
          </w:p>
        </w:tc>
      </w:tr>
      <w:tr w:rsidR="00164238" w:rsidRPr="00164238" w14:paraId="329843EF"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6AC972F9"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23</w:t>
            </w:r>
          </w:p>
        </w:tc>
        <w:tc>
          <w:tcPr>
            <w:tcW w:w="680" w:type="dxa"/>
            <w:tcBorders>
              <w:top w:val="nil"/>
              <w:left w:val="nil"/>
              <w:bottom w:val="single" w:sz="4" w:space="0" w:color="auto"/>
              <w:right w:val="single" w:sz="4" w:space="0" w:color="auto"/>
            </w:tcBorders>
            <w:shd w:val="clear" w:color="auto" w:fill="auto"/>
            <w:noWrap/>
            <w:vAlign w:val="center"/>
            <w:hideMark/>
          </w:tcPr>
          <w:p w14:paraId="4D4CB18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0,44 </w:t>
            </w:r>
          </w:p>
        </w:tc>
        <w:tc>
          <w:tcPr>
            <w:tcW w:w="680" w:type="dxa"/>
            <w:tcBorders>
              <w:top w:val="nil"/>
              <w:left w:val="nil"/>
              <w:bottom w:val="single" w:sz="4" w:space="0" w:color="auto"/>
              <w:right w:val="single" w:sz="4" w:space="0" w:color="auto"/>
            </w:tcBorders>
            <w:shd w:val="clear" w:color="auto" w:fill="auto"/>
            <w:noWrap/>
            <w:vAlign w:val="center"/>
            <w:hideMark/>
          </w:tcPr>
          <w:p w14:paraId="124306E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0,51 </w:t>
            </w:r>
          </w:p>
        </w:tc>
        <w:tc>
          <w:tcPr>
            <w:tcW w:w="680" w:type="dxa"/>
            <w:tcBorders>
              <w:top w:val="nil"/>
              <w:left w:val="nil"/>
              <w:bottom w:val="single" w:sz="4" w:space="0" w:color="auto"/>
              <w:right w:val="single" w:sz="4" w:space="0" w:color="auto"/>
            </w:tcBorders>
            <w:shd w:val="clear" w:color="auto" w:fill="auto"/>
            <w:noWrap/>
            <w:vAlign w:val="center"/>
            <w:hideMark/>
          </w:tcPr>
          <w:p w14:paraId="306D49C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0,59 </w:t>
            </w:r>
          </w:p>
        </w:tc>
        <w:tc>
          <w:tcPr>
            <w:tcW w:w="680" w:type="dxa"/>
            <w:tcBorders>
              <w:top w:val="nil"/>
              <w:left w:val="nil"/>
              <w:bottom w:val="single" w:sz="4" w:space="0" w:color="auto"/>
              <w:right w:val="single" w:sz="4" w:space="0" w:color="auto"/>
            </w:tcBorders>
            <w:shd w:val="clear" w:color="auto" w:fill="auto"/>
            <w:noWrap/>
            <w:vAlign w:val="center"/>
            <w:hideMark/>
          </w:tcPr>
          <w:p w14:paraId="6BB41A0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0,55 </w:t>
            </w:r>
          </w:p>
        </w:tc>
        <w:tc>
          <w:tcPr>
            <w:tcW w:w="680" w:type="dxa"/>
            <w:tcBorders>
              <w:top w:val="nil"/>
              <w:left w:val="nil"/>
              <w:bottom w:val="single" w:sz="4" w:space="0" w:color="auto"/>
              <w:right w:val="single" w:sz="4" w:space="0" w:color="auto"/>
            </w:tcBorders>
            <w:shd w:val="clear" w:color="auto" w:fill="auto"/>
            <w:noWrap/>
            <w:vAlign w:val="center"/>
            <w:hideMark/>
          </w:tcPr>
          <w:p w14:paraId="77585ED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0,45 </w:t>
            </w:r>
          </w:p>
        </w:tc>
        <w:tc>
          <w:tcPr>
            <w:tcW w:w="680" w:type="dxa"/>
            <w:tcBorders>
              <w:top w:val="nil"/>
              <w:left w:val="nil"/>
              <w:bottom w:val="single" w:sz="4" w:space="0" w:color="auto"/>
              <w:right w:val="single" w:sz="4" w:space="0" w:color="auto"/>
            </w:tcBorders>
            <w:shd w:val="clear" w:color="auto" w:fill="auto"/>
            <w:noWrap/>
            <w:vAlign w:val="center"/>
            <w:hideMark/>
          </w:tcPr>
          <w:p w14:paraId="143BD46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0,49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565002A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0,60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5681AF7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0,68 </w:t>
            </w:r>
          </w:p>
        </w:tc>
        <w:tc>
          <w:tcPr>
            <w:tcW w:w="2239" w:type="dxa"/>
            <w:tcBorders>
              <w:top w:val="nil"/>
              <w:left w:val="nil"/>
              <w:bottom w:val="single" w:sz="4" w:space="0" w:color="auto"/>
              <w:right w:val="single" w:sz="4" w:space="0" w:color="auto"/>
            </w:tcBorders>
            <w:vAlign w:val="center"/>
          </w:tcPr>
          <w:p w14:paraId="4834F498"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Net İhracatçı</w:t>
            </w:r>
          </w:p>
        </w:tc>
      </w:tr>
      <w:tr w:rsidR="00164238" w:rsidRPr="00164238" w14:paraId="290AC7F7"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16730410"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b/>
                <w:bCs/>
                <w:color w:val="000000" w:themeColor="text1"/>
              </w:rPr>
              <w:lastRenderedPageBreak/>
              <w:t>24</w:t>
            </w:r>
          </w:p>
        </w:tc>
        <w:tc>
          <w:tcPr>
            <w:tcW w:w="680" w:type="dxa"/>
            <w:tcBorders>
              <w:top w:val="nil"/>
              <w:left w:val="nil"/>
              <w:bottom w:val="single" w:sz="4" w:space="0" w:color="auto"/>
              <w:right w:val="single" w:sz="4" w:space="0" w:color="auto"/>
            </w:tcBorders>
            <w:shd w:val="clear" w:color="auto" w:fill="auto"/>
            <w:noWrap/>
            <w:vAlign w:val="center"/>
            <w:hideMark/>
          </w:tcPr>
          <w:p w14:paraId="556FA44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-0,19 </w:t>
            </w:r>
          </w:p>
        </w:tc>
        <w:tc>
          <w:tcPr>
            <w:tcW w:w="680" w:type="dxa"/>
            <w:tcBorders>
              <w:top w:val="nil"/>
              <w:left w:val="nil"/>
              <w:bottom w:val="single" w:sz="4" w:space="0" w:color="auto"/>
              <w:right w:val="single" w:sz="4" w:space="0" w:color="auto"/>
            </w:tcBorders>
            <w:shd w:val="clear" w:color="auto" w:fill="auto"/>
            <w:noWrap/>
            <w:vAlign w:val="center"/>
            <w:hideMark/>
          </w:tcPr>
          <w:p w14:paraId="36FE99D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-0,13 </w:t>
            </w:r>
          </w:p>
        </w:tc>
        <w:tc>
          <w:tcPr>
            <w:tcW w:w="680" w:type="dxa"/>
            <w:tcBorders>
              <w:top w:val="nil"/>
              <w:left w:val="nil"/>
              <w:bottom w:val="single" w:sz="4" w:space="0" w:color="auto"/>
              <w:right w:val="single" w:sz="4" w:space="0" w:color="auto"/>
            </w:tcBorders>
            <w:shd w:val="clear" w:color="auto" w:fill="auto"/>
            <w:noWrap/>
            <w:vAlign w:val="center"/>
            <w:hideMark/>
          </w:tcPr>
          <w:p w14:paraId="60611A6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0,47 </w:t>
            </w:r>
          </w:p>
        </w:tc>
        <w:tc>
          <w:tcPr>
            <w:tcW w:w="680" w:type="dxa"/>
            <w:tcBorders>
              <w:top w:val="nil"/>
              <w:left w:val="nil"/>
              <w:bottom w:val="single" w:sz="4" w:space="0" w:color="auto"/>
              <w:right w:val="single" w:sz="4" w:space="0" w:color="auto"/>
            </w:tcBorders>
            <w:shd w:val="clear" w:color="auto" w:fill="auto"/>
            <w:noWrap/>
            <w:vAlign w:val="center"/>
            <w:hideMark/>
          </w:tcPr>
          <w:p w14:paraId="083EFC4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0,84 </w:t>
            </w:r>
          </w:p>
        </w:tc>
        <w:tc>
          <w:tcPr>
            <w:tcW w:w="680" w:type="dxa"/>
            <w:tcBorders>
              <w:top w:val="nil"/>
              <w:left w:val="nil"/>
              <w:bottom w:val="single" w:sz="4" w:space="0" w:color="auto"/>
              <w:right w:val="single" w:sz="4" w:space="0" w:color="auto"/>
            </w:tcBorders>
            <w:shd w:val="clear" w:color="auto" w:fill="auto"/>
            <w:noWrap/>
            <w:vAlign w:val="center"/>
            <w:hideMark/>
          </w:tcPr>
          <w:p w14:paraId="7361B46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0,31 </w:t>
            </w:r>
          </w:p>
        </w:tc>
        <w:tc>
          <w:tcPr>
            <w:tcW w:w="680" w:type="dxa"/>
            <w:tcBorders>
              <w:top w:val="nil"/>
              <w:left w:val="nil"/>
              <w:bottom w:val="single" w:sz="4" w:space="0" w:color="auto"/>
              <w:right w:val="single" w:sz="4" w:space="0" w:color="auto"/>
            </w:tcBorders>
            <w:shd w:val="clear" w:color="auto" w:fill="auto"/>
            <w:noWrap/>
            <w:vAlign w:val="center"/>
            <w:hideMark/>
          </w:tcPr>
          <w:p w14:paraId="065256C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-0,17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1FD863F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0,37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4B7FD9B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0,35 </w:t>
            </w:r>
          </w:p>
        </w:tc>
        <w:tc>
          <w:tcPr>
            <w:tcW w:w="2239" w:type="dxa"/>
            <w:tcBorders>
              <w:top w:val="nil"/>
              <w:left w:val="nil"/>
              <w:bottom w:val="single" w:sz="4" w:space="0" w:color="auto"/>
              <w:right w:val="single" w:sz="4" w:space="0" w:color="auto"/>
            </w:tcBorders>
            <w:vAlign w:val="center"/>
          </w:tcPr>
          <w:p w14:paraId="02D10DCB"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color w:val="000000" w:themeColor="text1"/>
              </w:rPr>
              <w:t>Net İhracatçı</w:t>
            </w:r>
          </w:p>
        </w:tc>
      </w:tr>
      <w:tr w:rsidR="00164238" w:rsidRPr="00164238" w14:paraId="6724ADEF"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1DA61073"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color w:val="000000" w:themeColor="text1"/>
              </w:rPr>
              <w:t>25</w:t>
            </w:r>
          </w:p>
        </w:tc>
        <w:tc>
          <w:tcPr>
            <w:tcW w:w="680" w:type="dxa"/>
            <w:tcBorders>
              <w:top w:val="nil"/>
              <w:left w:val="nil"/>
              <w:bottom w:val="single" w:sz="4" w:space="0" w:color="auto"/>
              <w:right w:val="single" w:sz="4" w:space="0" w:color="auto"/>
            </w:tcBorders>
            <w:shd w:val="clear" w:color="auto" w:fill="auto"/>
            <w:noWrap/>
            <w:vAlign w:val="center"/>
            <w:hideMark/>
          </w:tcPr>
          <w:p w14:paraId="06D1BB5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0,62 </w:t>
            </w:r>
          </w:p>
        </w:tc>
        <w:tc>
          <w:tcPr>
            <w:tcW w:w="680" w:type="dxa"/>
            <w:tcBorders>
              <w:top w:val="nil"/>
              <w:left w:val="nil"/>
              <w:bottom w:val="single" w:sz="4" w:space="0" w:color="auto"/>
              <w:right w:val="single" w:sz="4" w:space="0" w:color="auto"/>
            </w:tcBorders>
            <w:shd w:val="clear" w:color="auto" w:fill="auto"/>
            <w:noWrap/>
            <w:vAlign w:val="center"/>
            <w:hideMark/>
          </w:tcPr>
          <w:p w14:paraId="370D790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0,64 </w:t>
            </w:r>
          </w:p>
        </w:tc>
        <w:tc>
          <w:tcPr>
            <w:tcW w:w="680" w:type="dxa"/>
            <w:tcBorders>
              <w:top w:val="nil"/>
              <w:left w:val="nil"/>
              <w:bottom w:val="single" w:sz="4" w:space="0" w:color="auto"/>
              <w:right w:val="single" w:sz="4" w:space="0" w:color="auto"/>
            </w:tcBorders>
            <w:shd w:val="clear" w:color="auto" w:fill="auto"/>
            <w:noWrap/>
            <w:vAlign w:val="center"/>
            <w:hideMark/>
          </w:tcPr>
          <w:p w14:paraId="1AE8319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0,58 </w:t>
            </w:r>
          </w:p>
        </w:tc>
        <w:tc>
          <w:tcPr>
            <w:tcW w:w="680" w:type="dxa"/>
            <w:tcBorders>
              <w:top w:val="nil"/>
              <w:left w:val="nil"/>
              <w:bottom w:val="single" w:sz="4" w:space="0" w:color="auto"/>
              <w:right w:val="single" w:sz="4" w:space="0" w:color="auto"/>
            </w:tcBorders>
            <w:shd w:val="clear" w:color="auto" w:fill="auto"/>
            <w:noWrap/>
            <w:vAlign w:val="center"/>
            <w:hideMark/>
          </w:tcPr>
          <w:p w14:paraId="58C3755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0,63 </w:t>
            </w:r>
          </w:p>
        </w:tc>
        <w:tc>
          <w:tcPr>
            <w:tcW w:w="680" w:type="dxa"/>
            <w:tcBorders>
              <w:top w:val="nil"/>
              <w:left w:val="nil"/>
              <w:bottom w:val="single" w:sz="4" w:space="0" w:color="auto"/>
              <w:right w:val="single" w:sz="4" w:space="0" w:color="auto"/>
            </w:tcBorders>
            <w:shd w:val="clear" w:color="auto" w:fill="auto"/>
            <w:noWrap/>
            <w:vAlign w:val="center"/>
            <w:hideMark/>
          </w:tcPr>
          <w:p w14:paraId="5D78DA9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0,56 </w:t>
            </w:r>
          </w:p>
        </w:tc>
        <w:tc>
          <w:tcPr>
            <w:tcW w:w="680" w:type="dxa"/>
            <w:tcBorders>
              <w:top w:val="nil"/>
              <w:left w:val="nil"/>
              <w:bottom w:val="single" w:sz="4" w:space="0" w:color="auto"/>
              <w:right w:val="single" w:sz="4" w:space="0" w:color="auto"/>
            </w:tcBorders>
            <w:shd w:val="clear" w:color="auto" w:fill="auto"/>
            <w:noWrap/>
            <w:vAlign w:val="center"/>
            <w:hideMark/>
          </w:tcPr>
          <w:p w14:paraId="0066290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0,60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6A417D8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0,68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6D7ACCB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0,73 </w:t>
            </w:r>
          </w:p>
        </w:tc>
        <w:tc>
          <w:tcPr>
            <w:tcW w:w="2239" w:type="dxa"/>
            <w:tcBorders>
              <w:top w:val="nil"/>
              <w:left w:val="nil"/>
              <w:bottom w:val="single" w:sz="4" w:space="0" w:color="auto"/>
              <w:right w:val="single" w:sz="4" w:space="0" w:color="auto"/>
            </w:tcBorders>
            <w:vAlign w:val="center"/>
          </w:tcPr>
          <w:p w14:paraId="1B0D4534"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Net İhracatçı</w:t>
            </w:r>
          </w:p>
        </w:tc>
      </w:tr>
      <w:tr w:rsidR="00164238" w:rsidRPr="00164238" w14:paraId="6833A945"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0531A60F"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26</w:t>
            </w:r>
          </w:p>
        </w:tc>
        <w:tc>
          <w:tcPr>
            <w:tcW w:w="680" w:type="dxa"/>
            <w:tcBorders>
              <w:top w:val="nil"/>
              <w:left w:val="nil"/>
              <w:bottom w:val="single" w:sz="4" w:space="0" w:color="auto"/>
              <w:right w:val="single" w:sz="4" w:space="0" w:color="auto"/>
            </w:tcBorders>
            <w:shd w:val="clear" w:color="auto" w:fill="auto"/>
            <w:noWrap/>
            <w:vAlign w:val="center"/>
            <w:hideMark/>
          </w:tcPr>
          <w:p w14:paraId="5CBC471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0,26 </w:t>
            </w:r>
          </w:p>
        </w:tc>
        <w:tc>
          <w:tcPr>
            <w:tcW w:w="680" w:type="dxa"/>
            <w:tcBorders>
              <w:top w:val="nil"/>
              <w:left w:val="nil"/>
              <w:bottom w:val="single" w:sz="4" w:space="0" w:color="auto"/>
              <w:right w:val="single" w:sz="4" w:space="0" w:color="auto"/>
            </w:tcBorders>
            <w:shd w:val="clear" w:color="auto" w:fill="auto"/>
            <w:noWrap/>
            <w:vAlign w:val="center"/>
            <w:hideMark/>
          </w:tcPr>
          <w:p w14:paraId="3DFF4B2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0,41 </w:t>
            </w:r>
          </w:p>
        </w:tc>
        <w:tc>
          <w:tcPr>
            <w:tcW w:w="680" w:type="dxa"/>
            <w:tcBorders>
              <w:top w:val="nil"/>
              <w:left w:val="nil"/>
              <w:bottom w:val="single" w:sz="4" w:space="0" w:color="auto"/>
              <w:right w:val="single" w:sz="4" w:space="0" w:color="auto"/>
            </w:tcBorders>
            <w:shd w:val="clear" w:color="auto" w:fill="auto"/>
            <w:noWrap/>
            <w:vAlign w:val="center"/>
            <w:hideMark/>
          </w:tcPr>
          <w:p w14:paraId="05F36AF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0,45 </w:t>
            </w:r>
          </w:p>
        </w:tc>
        <w:tc>
          <w:tcPr>
            <w:tcW w:w="680" w:type="dxa"/>
            <w:tcBorders>
              <w:top w:val="nil"/>
              <w:left w:val="nil"/>
              <w:bottom w:val="single" w:sz="4" w:space="0" w:color="auto"/>
              <w:right w:val="single" w:sz="4" w:space="0" w:color="auto"/>
            </w:tcBorders>
            <w:shd w:val="clear" w:color="auto" w:fill="auto"/>
            <w:noWrap/>
            <w:vAlign w:val="center"/>
            <w:hideMark/>
          </w:tcPr>
          <w:p w14:paraId="665C58D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0,32 </w:t>
            </w:r>
          </w:p>
        </w:tc>
        <w:tc>
          <w:tcPr>
            <w:tcW w:w="680" w:type="dxa"/>
            <w:tcBorders>
              <w:top w:val="nil"/>
              <w:left w:val="nil"/>
              <w:bottom w:val="single" w:sz="4" w:space="0" w:color="auto"/>
              <w:right w:val="single" w:sz="4" w:space="0" w:color="auto"/>
            </w:tcBorders>
            <w:shd w:val="clear" w:color="auto" w:fill="auto"/>
            <w:noWrap/>
            <w:vAlign w:val="center"/>
            <w:hideMark/>
          </w:tcPr>
          <w:p w14:paraId="7FC9A77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0,29 </w:t>
            </w:r>
          </w:p>
        </w:tc>
        <w:tc>
          <w:tcPr>
            <w:tcW w:w="680" w:type="dxa"/>
            <w:tcBorders>
              <w:top w:val="nil"/>
              <w:left w:val="nil"/>
              <w:bottom w:val="single" w:sz="4" w:space="0" w:color="auto"/>
              <w:right w:val="single" w:sz="4" w:space="0" w:color="auto"/>
            </w:tcBorders>
            <w:shd w:val="clear" w:color="auto" w:fill="auto"/>
            <w:noWrap/>
            <w:vAlign w:val="center"/>
            <w:hideMark/>
          </w:tcPr>
          <w:p w14:paraId="76298AB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0,39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32BC7C0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0,43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03F0079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0,42 </w:t>
            </w:r>
          </w:p>
        </w:tc>
        <w:tc>
          <w:tcPr>
            <w:tcW w:w="2239" w:type="dxa"/>
            <w:tcBorders>
              <w:top w:val="nil"/>
              <w:left w:val="nil"/>
              <w:bottom w:val="single" w:sz="4" w:space="0" w:color="auto"/>
              <w:right w:val="single" w:sz="4" w:space="0" w:color="auto"/>
            </w:tcBorders>
            <w:vAlign w:val="center"/>
          </w:tcPr>
          <w:p w14:paraId="2A610CC5"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Net İhracatçı</w:t>
            </w:r>
          </w:p>
        </w:tc>
      </w:tr>
      <w:tr w:rsidR="00164238" w:rsidRPr="00164238" w14:paraId="07C558BB"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20F1B5C1"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color w:val="000000" w:themeColor="text1"/>
              </w:rPr>
              <w:t>27</w:t>
            </w:r>
          </w:p>
        </w:tc>
        <w:tc>
          <w:tcPr>
            <w:tcW w:w="680" w:type="dxa"/>
            <w:tcBorders>
              <w:top w:val="nil"/>
              <w:left w:val="nil"/>
              <w:bottom w:val="single" w:sz="4" w:space="0" w:color="auto"/>
              <w:right w:val="single" w:sz="4" w:space="0" w:color="auto"/>
            </w:tcBorders>
            <w:shd w:val="clear" w:color="auto" w:fill="auto"/>
            <w:noWrap/>
            <w:vAlign w:val="center"/>
            <w:hideMark/>
          </w:tcPr>
          <w:p w14:paraId="73D65FF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0,70 </w:t>
            </w:r>
          </w:p>
        </w:tc>
        <w:tc>
          <w:tcPr>
            <w:tcW w:w="680" w:type="dxa"/>
            <w:tcBorders>
              <w:top w:val="nil"/>
              <w:left w:val="nil"/>
              <w:bottom w:val="single" w:sz="4" w:space="0" w:color="auto"/>
              <w:right w:val="single" w:sz="4" w:space="0" w:color="auto"/>
            </w:tcBorders>
            <w:shd w:val="clear" w:color="auto" w:fill="auto"/>
            <w:noWrap/>
            <w:vAlign w:val="center"/>
            <w:hideMark/>
          </w:tcPr>
          <w:p w14:paraId="022D539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0,77 </w:t>
            </w:r>
          </w:p>
        </w:tc>
        <w:tc>
          <w:tcPr>
            <w:tcW w:w="680" w:type="dxa"/>
            <w:tcBorders>
              <w:top w:val="nil"/>
              <w:left w:val="nil"/>
              <w:bottom w:val="single" w:sz="4" w:space="0" w:color="auto"/>
              <w:right w:val="single" w:sz="4" w:space="0" w:color="auto"/>
            </w:tcBorders>
            <w:shd w:val="clear" w:color="auto" w:fill="auto"/>
            <w:noWrap/>
            <w:vAlign w:val="center"/>
            <w:hideMark/>
          </w:tcPr>
          <w:p w14:paraId="1FEB8F7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0,73 </w:t>
            </w:r>
          </w:p>
        </w:tc>
        <w:tc>
          <w:tcPr>
            <w:tcW w:w="680" w:type="dxa"/>
            <w:tcBorders>
              <w:top w:val="nil"/>
              <w:left w:val="nil"/>
              <w:bottom w:val="single" w:sz="4" w:space="0" w:color="auto"/>
              <w:right w:val="single" w:sz="4" w:space="0" w:color="auto"/>
            </w:tcBorders>
            <w:shd w:val="clear" w:color="auto" w:fill="auto"/>
            <w:noWrap/>
            <w:vAlign w:val="center"/>
            <w:hideMark/>
          </w:tcPr>
          <w:p w14:paraId="2AEB54A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0,73 </w:t>
            </w:r>
          </w:p>
        </w:tc>
        <w:tc>
          <w:tcPr>
            <w:tcW w:w="680" w:type="dxa"/>
            <w:tcBorders>
              <w:top w:val="nil"/>
              <w:left w:val="nil"/>
              <w:bottom w:val="single" w:sz="4" w:space="0" w:color="auto"/>
              <w:right w:val="single" w:sz="4" w:space="0" w:color="auto"/>
            </w:tcBorders>
            <w:shd w:val="clear" w:color="auto" w:fill="auto"/>
            <w:noWrap/>
            <w:vAlign w:val="center"/>
            <w:hideMark/>
          </w:tcPr>
          <w:p w14:paraId="211C1AC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0,70 </w:t>
            </w:r>
          </w:p>
        </w:tc>
        <w:tc>
          <w:tcPr>
            <w:tcW w:w="680" w:type="dxa"/>
            <w:tcBorders>
              <w:top w:val="nil"/>
              <w:left w:val="nil"/>
              <w:bottom w:val="single" w:sz="4" w:space="0" w:color="auto"/>
              <w:right w:val="single" w:sz="4" w:space="0" w:color="auto"/>
            </w:tcBorders>
            <w:shd w:val="clear" w:color="auto" w:fill="auto"/>
            <w:noWrap/>
            <w:vAlign w:val="center"/>
            <w:hideMark/>
          </w:tcPr>
          <w:p w14:paraId="4E3D463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0,74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1FBCD0E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0,77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29A7FF7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0,78 </w:t>
            </w:r>
          </w:p>
        </w:tc>
        <w:tc>
          <w:tcPr>
            <w:tcW w:w="2239" w:type="dxa"/>
            <w:tcBorders>
              <w:top w:val="nil"/>
              <w:left w:val="nil"/>
              <w:bottom w:val="single" w:sz="4" w:space="0" w:color="auto"/>
              <w:right w:val="single" w:sz="4" w:space="0" w:color="auto"/>
            </w:tcBorders>
            <w:vAlign w:val="center"/>
          </w:tcPr>
          <w:p w14:paraId="2D008399"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Net İhracatçı</w:t>
            </w:r>
          </w:p>
        </w:tc>
      </w:tr>
      <w:tr w:rsidR="00164238" w:rsidRPr="00164238" w14:paraId="0C6D98ED"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38E9B0BC"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color w:val="000000" w:themeColor="text1"/>
              </w:rPr>
              <w:t>28</w:t>
            </w:r>
          </w:p>
        </w:tc>
        <w:tc>
          <w:tcPr>
            <w:tcW w:w="680" w:type="dxa"/>
            <w:tcBorders>
              <w:top w:val="nil"/>
              <w:left w:val="nil"/>
              <w:bottom w:val="single" w:sz="4" w:space="0" w:color="auto"/>
              <w:right w:val="single" w:sz="4" w:space="0" w:color="auto"/>
            </w:tcBorders>
            <w:shd w:val="clear" w:color="auto" w:fill="auto"/>
            <w:noWrap/>
            <w:vAlign w:val="center"/>
            <w:hideMark/>
          </w:tcPr>
          <w:p w14:paraId="782DFBF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-0,49 </w:t>
            </w:r>
          </w:p>
        </w:tc>
        <w:tc>
          <w:tcPr>
            <w:tcW w:w="680" w:type="dxa"/>
            <w:tcBorders>
              <w:top w:val="nil"/>
              <w:left w:val="nil"/>
              <w:bottom w:val="single" w:sz="4" w:space="0" w:color="auto"/>
              <w:right w:val="single" w:sz="4" w:space="0" w:color="auto"/>
            </w:tcBorders>
            <w:shd w:val="clear" w:color="auto" w:fill="auto"/>
            <w:noWrap/>
            <w:vAlign w:val="center"/>
            <w:hideMark/>
          </w:tcPr>
          <w:p w14:paraId="1728A44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-0,41 </w:t>
            </w:r>
          </w:p>
        </w:tc>
        <w:tc>
          <w:tcPr>
            <w:tcW w:w="680" w:type="dxa"/>
            <w:tcBorders>
              <w:top w:val="nil"/>
              <w:left w:val="nil"/>
              <w:bottom w:val="single" w:sz="4" w:space="0" w:color="auto"/>
              <w:right w:val="single" w:sz="4" w:space="0" w:color="auto"/>
            </w:tcBorders>
            <w:shd w:val="clear" w:color="auto" w:fill="auto"/>
            <w:noWrap/>
            <w:vAlign w:val="center"/>
            <w:hideMark/>
          </w:tcPr>
          <w:p w14:paraId="0D33E8D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-0,49 </w:t>
            </w:r>
          </w:p>
        </w:tc>
        <w:tc>
          <w:tcPr>
            <w:tcW w:w="680" w:type="dxa"/>
            <w:tcBorders>
              <w:top w:val="nil"/>
              <w:left w:val="nil"/>
              <w:bottom w:val="single" w:sz="4" w:space="0" w:color="auto"/>
              <w:right w:val="single" w:sz="4" w:space="0" w:color="auto"/>
            </w:tcBorders>
            <w:shd w:val="clear" w:color="auto" w:fill="auto"/>
            <w:noWrap/>
            <w:vAlign w:val="center"/>
            <w:hideMark/>
          </w:tcPr>
          <w:p w14:paraId="1B77D21A"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-0,50 </w:t>
            </w:r>
          </w:p>
        </w:tc>
        <w:tc>
          <w:tcPr>
            <w:tcW w:w="680" w:type="dxa"/>
            <w:tcBorders>
              <w:top w:val="nil"/>
              <w:left w:val="nil"/>
              <w:bottom w:val="single" w:sz="4" w:space="0" w:color="auto"/>
              <w:right w:val="single" w:sz="4" w:space="0" w:color="auto"/>
            </w:tcBorders>
            <w:shd w:val="clear" w:color="auto" w:fill="auto"/>
            <w:noWrap/>
            <w:vAlign w:val="center"/>
            <w:hideMark/>
          </w:tcPr>
          <w:p w14:paraId="5EC3F50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-0,45 </w:t>
            </w:r>
          </w:p>
        </w:tc>
        <w:tc>
          <w:tcPr>
            <w:tcW w:w="680" w:type="dxa"/>
            <w:tcBorders>
              <w:top w:val="nil"/>
              <w:left w:val="nil"/>
              <w:bottom w:val="single" w:sz="4" w:space="0" w:color="auto"/>
              <w:right w:val="single" w:sz="4" w:space="0" w:color="auto"/>
            </w:tcBorders>
            <w:shd w:val="clear" w:color="auto" w:fill="auto"/>
            <w:noWrap/>
            <w:vAlign w:val="center"/>
            <w:hideMark/>
          </w:tcPr>
          <w:p w14:paraId="1E9CEA1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-0,27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04CE0DB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-0,21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6FF0DB4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-0,22 </w:t>
            </w:r>
          </w:p>
        </w:tc>
        <w:tc>
          <w:tcPr>
            <w:tcW w:w="2239" w:type="dxa"/>
            <w:tcBorders>
              <w:top w:val="nil"/>
              <w:left w:val="nil"/>
              <w:bottom w:val="single" w:sz="4" w:space="0" w:color="auto"/>
              <w:right w:val="single" w:sz="4" w:space="0" w:color="auto"/>
            </w:tcBorders>
            <w:vAlign w:val="center"/>
          </w:tcPr>
          <w:p w14:paraId="06191CAC"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Net İthalatçı</w:t>
            </w:r>
          </w:p>
        </w:tc>
      </w:tr>
      <w:tr w:rsidR="00164238" w:rsidRPr="00164238" w14:paraId="6559C411"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6390768A"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color w:val="000000" w:themeColor="text1"/>
              </w:rPr>
              <w:t>29</w:t>
            </w:r>
          </w:p>
        </w:tc>
        <w:tc>
          <w:tcPr>
            <w:tcW w:w="680" w:type="dxa"/>
            <w:tcBorders>
              <w:top w:val="nil"/>
              <w:left w:val="nil"/>
              <w:bottom w:val="single" w:sz="4" w:space="0" w:color="auto"/>
              <w:right w:val="single" w:sz="4" w:space="0" w:color="auto"/>
            </w:tcBorders>
            <w:shd w:val="clear" w:color="auto" w:fill="auto"/>
            <w:noWrap/>
            <w:vAlign w:val="center"/>
            <w:hideMark/>
          </w:tcPr>
          <w:p w14:paraId="3820800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0,10 </w:t>
            </w:r>
          </w:p>
        </w:tc>
        <w:tc>
          <w:tcPr>
            <w:tcW w:w="680" w:type="dxa"/>
            <w:tcBorders>
              <w:top w:val="nil"/>
              <w:left w:val="nil"/>
              <w:bottom w:val="single" w:sz="4" w:space="0" w:color="auto"/>
              <w:right w:val="single" w:sz="4" w:space="0" w:color="auto"/>
            </w:tcBorders>
            <w:shd w:val="clear" w:color="auto" w:fill="auto"/>
            <w:noWrap/>
            <w:vAlign w:val="center"/>
            <w:hideMark/>
          </w:tcPr>
          <w:p w14:paraId="51DD261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0,24 </w:t>
            </w:r>
          </w:p>
        </w:tc>
        <w:tc>
          <w:tcPr>
            <w:tcW w:w="680" w:type="dxa"/>
            <w:tcBorders>
              <w:top w:val="nil"/>
              <w:left w:val="nil"/>
              <w:bottom w:val="single" w:sz="4" w:space="0" w:color="auto"/>
              <w:right w:val="single" w:sz="4" w:space="0" w:color="auto"/>
            </w:tcBorders>
            <w:shd w:val="clear" w:color="auto" w:fill="auto"/>
            <w:noWrap/>
            <w:vAlign w:val="center"/>
            <w:hideMark/>
          </w:tcPr>
          <w:p w14:paraId="2C0C645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0,22 </w:t>
            </w:r>
          </w:p>
        </w:tc>
        <w:tc>
          <w:tcPr>
            <w:tcW w:w="680" w:type="dxa"/>
            <w:tcBorders>
              <w:top w:val="nil"/>
              <w:left w:val="nil"/>
              <w:bottom w:val="single" w:sz="4" w:space="0" w:color="auto"/>
              <w:right w:val="single" w:sz="4" w:space="0" w:color="auto"/>
            </w:tcBorders>
            <w:shd w:val="clear" w:color="auto" w:fill="auto"/>
            <w:noWrap/>
            <w:vAlign w:val="center"/>
            <w:hideMark/>
          </w:tcPr>
          <w:p w14:paraId="7271C80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0,08 </w:t>
            </w:r>
          </w:p>
        </w:tc>
        <w:tc>
          <w:tcPr>
            <w:tcW w:w="680" w:type="dxa"/>
            <w:tcBorders>
              <w:top w:val="nil"/>
              <w:left w:val="nil"/>
              <w:bottom w:val="single" w:sz="4" w:space="0" w:color="auto"/>
              <w:right w:val="single" w:sz="4" w:space="0" w:color="auto"/>
            </w:tcBorders>
            <w:shd w:val="clear" w:color="auto" w:fill="auto"/>
            <w:noWrap/>
            <w:vAlign w:val="center"/>
            <w:hideMark/>
          </w:tcPr>
          <w:p w14:paraId="1213826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0,13 </w:t>
            </w:r>
          </w:p>
        </w:tc>
        <w:tc>
          <w:tcPr>
            <w:tcW w:w="680" w:type="dxa"/>
            <w:tcBorders>
              <w:top w:val="nil"/>
              <w:left w:val="nil"/>
              <w:bottom w:val="single" w:sz="4" w:space="0" w:color="auto"/>
              <w:right w:val="single" w:sz="4" w:space="0" w:color="auto"/>
            </w:tcBorders>
            <w:shd w:val="clear" w:color="auto" w:fill="auto"/>
            <w:noWrap/>
            <w:vAlign w:val="center"/>
            <w:hideMark/>
          </w:tcPr>
          <w:p w14:paraId="117E2C0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0,18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306C632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0,22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4925DCF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0,13 </w:t>
            </w:r>
          </w:p>
        </w:tc>
        <w:tc>
          <w:tcPr>
            <w:tcW w:w="2239" w:type="dxa"/>
            <w:tcBorders>
              <w:top w:val="nil"/>
              <w:left w:val="nil"/>
              <w:bottom w:val="single" w:sz="4" w:space="0" w:color="auto"/>
              <w:right w:val="single" w:sz="4" w:space="0" w:color="auto"/>
            </w:tcBorders>
            <w:vAlign w:val="center"/>
          </w:tcPr>
          <w:p w14:paraId="4C9AAFDE"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Net İhracatçı</w:t>
            </w:r>
          </w:p>
        </w:tc>
      </w:tr>
      <w:tr w:rsidR="00164238" w:rsidRPr="00164238" w14:paraId="6014B819"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3FC3BA02"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b/>
                <w:bCs/>
                <w:color w:val="000000" w:themeColor="text1"/>
              </w:rPr>
              <w:t>30</w:t>
            </w:r>
          </w:p>
        </w:tc>
        <w:tc>
          <w:tcPr>
            <w:tcW w:w="680" w:type="dxa"/>
            <w:tcBorders>
              <w:top w:val="nil"/>
              <w:left w:val="nil"/>
              <w:bottom w:val="single" w:sz="4" w:space="0" w:color="auto"/>
              <w:right w:val="single" w:sz="4" w:space="0" w:color="auto"/>
            </w:tcBorders>
            <w:shd w:val="clear" w:color="auto" w:fill="auto"/>
            <w:noWrap/>
            <w:vAlign w:val="center"/>
            <w:hideMark/>
          </w:tcPr>
          <w:p w14:paraId="52C3C5E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0,40 </w:t>
            </w:r>
          </w:p>
        </w:tc>
        <w:tc>
          <w:tcPr>
            <w:tcW w:w="680" w:type="dxa"/>
            <w:tcBorders>
              <w:top w:val="nil"/>
              <w:left w:val="nil"/>
              <w:bottom w:val="single" w:sz="4" w:space="0" w:color="auto"/>
              <w:right w:val="single" w:sz="4" w:space="0" w:color="auto"/>
            </w:tcBorders>
            <w:shd w:val="clear" w:color="auto" w:fill="auto"/>
            <w:noWrap/>
            <w:vAlign w:val="center"/>
            <w:hideMark/>
          </w:tcPr>
          <w:p w14:paraId="3B8C0D54"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-0,19 </w:t>
            </w:r>
          </w:p>
        </w:tc>
        <w:tc>
          <w:tcPr>
            <w:tcW w:w="680" w:type="dxa"/>
            <w:tcBorders>
              <w:top w:val="nil"/>
              <w:left w:val="nil"/>
              <w:bottom w:val="single" w:sz="4" w:space="0" w:color="auto"/>
              <w:right w:val="single" w:sz="4" w:space="0" w:color="auto"/>
            </w:tcBorders>
            <w:shd w:val="clear" w:color="auto" w:fill="auto"/>
            <w:noWrap/>
            <w:vAlign w:val="center"/>
            <w:hideMark/>
          </w:tcPr>
          <w:p w14:paraId="06E8244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0,01 </w:t>
            </w:r>
          </w:p>
        </w:tc>
        <w:tc>
          <w:tcPr>
            <w:tcW w:w="680" w:type="dxa"/>
            <w:tcBorders>
              <w:top w:val="nil"/>
              <w:left w:val="nil"/>
              <w:bottom w:val="single" w:sz="4" w:space="0" w:color="auto"/>
              <w:right w:val="single" w:sz="4" w:space="0" w:color="auto"/>
            </w:tcBorders>
            <w:shd w:val="clear" w:color="auto" w:fill="auto"/>
            <w:noWrap/>
            <w:vAlign w:val="center"/>
            <w:hideMark/>
          </w:tcPr>
          <w:p w14:paraId="12C3E28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-0,25 </w:t>
            </w:r>
          </w:p>
        </w:tc>
        <w:tc>
          <w:tcPr>
            <w:tcW w:w="680" w:type="dxa"/>
            <w:tcBorders>
              <w:top w:val="nil"/>
              <w:left w:val="nil"/>
              <w:bottom w:val="single" w:sz="4" w:space="0" w:color="auto"/>
              <w:right w:val="single" w:sz="4" w:space="0" w:color="auto"/>
            </w:tcBorders>
            <w:shd w:val="clear" w:color="auto" w:fill="auto"/>
            <w:noWrap/>
            <w:vAlign w:val="center"/>
            <w:hideMark/>
          </w:tcPr>
          <w:p w14:paraId="7FD613C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-0,52 </w:t>
            </w:r>
          </w:p>
        </w:tc>
        <w:tc>
          <w:tcPr>
            <w:tcW w:w="680" w:type="dxa"/>
            <w:tcBorders>
              <w:top w:val="nil"/>
              <w:left w:val="nil"/>
              <w:bottom w:val="single" w:sz="4" w:space="0" w:color="auto"/>
              <w:right w:val="single" w:sz="4" w:space="0" w:color="auto"/>
            </w:tcBorders>
            <w:shd w:val="clear" w:color="auto" w:fill="auto"/>
            <w:noWrap/>
            <w:vAlign w:val="center"/>
            <w:hideMark/>
          </w:tcPr>
          <w:p w14:paraId="52C0D49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-0,20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4AA879E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-0,34 </w:t>
            </w:r>
          </w:p>
        </w:tc>
        <w:tc>
          <w:tcPr>
            <w:tcW w:w="680" w:type="dxa"/>
            <w:tcBorders>
              <w:top w:val="nil"/>
              <w:left w:val="nil"/>
              <w:bottom w:val="single" w:sz="4" w:space="0" w:color="auto"/>
              <w:right w:val="single" w:sz="4" w:space="0" w:color="auto"/>
            </w:tcBorders>
            <w:shd w:val="clear" w:color="auto" w:fill="FFD966" w:themeFill="accent4" w:themeFillTint="99"/>
            <w:noWrap/>
            <w:vAlign w:val="center"/>
            <w:hideMark/>
          </w:tcPr>
          <w:p w14:paraId="3C594C9D"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-0,11 </w:t>
            </w:r>
          </w:p>
        </w:tc>
        <w:tc>
          <w:tcPr>
            <w:tcW w:w="2239" w:type="dxa"/>
            <w:tcBorders>
              <w:top w:val="nil"/>
              <w:left w:val="nil"/>
              <w:bottom w:val="single" w:sz="4" w:space="0" w:color="auto"/>
              <w:right w:val="single" w:sz="4" w:space="0" w:color="auto"/>
            </w:tcBorders>
            <w:vAlign w:val="center"/>
          </w:tcPr>
          <w:p w14:paraId="48DCF7A1"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Net İthalatçı</w:t>
            </w:r>
          </w:p>
        </w:tc>
      </w:tr>
      <w:tr w:rsidR="00164238" w:rsidRPr="00164238" w14:paraId="6416B227"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15E78468"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31</w:t>
            </w:r>
          </w:p>
        </w:tc>
        <w:tc>
          <w:tcPr>
            <w:tcW w:w="680" w:type="dxa"/>
            <w:tcBorders>
              <w:top w:val="nil"/>
              <w:left w:val="nil"/>
              <w:bottom w:val="single" w:sz="4" w:space="0" w:color="auto"/>
              <w:right w:val="single" w:sz="4" w:space="0" w:color="auto"/>
            </w:tcBorders>
            <w:shd w:val="clear" w:color="auto" w:fill="auto"/>
            <w:noWrap/>
            <w:vAlign w:val="center"/>
            <w:hideMark/>
          </w:tcPr>
          <w:p w14:paraId="6DCF3DC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0,74 </w:t>
            </w:r>
          </w:p>
        </w:tc>
        <w:tc>
          <w:tcPr>
            <w:tcW w:w="680" w:type="dxa"/>
            <w:tcBorders>
              <w:top w:val="nil"/>
              <w:left w:val="nil"/>
              <w:bottom w:val="single" w:sz="4" w:space="0" w:color="auto"/>
              <w:right w:val="single" w:sz="4" w:space="0" w:color="auto"/>
            </w:tcBorders>
            <w:shd w:val="clear" w:color="auto" w:fill="auto"/>
            <w:noWrap/>
            <w:vAlign w:val="center"/>
            <w:hideMark/>
          </w:tcPr>
          <w:p w14:paraId="4281FDB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0,75 </w:t>
            </w:r>
          </w:p>
        </w:tc>
        <w:tc>
          <w:tcPr>
            <w:tcW w:w="680" w:type="dxa"/>
            <w:tcBorders>
              <w:top w:val="nil"/>
              <w:left w:val="nil"/>
              <w:bottom w:val="single" w:sz="4" w:space="0" w:color="auto"/>
              <w:right w:val="single" w:sz="4" w:space="0" w:color="auto"/>
            </w:tcBorders>
            <w:shd w:val="clear" w:color="auto" w:fill="auto"/>
            <w:noWrap/>
            <w:vAlign w:val="center"/>
            <w:hideMark/>
          </w:tcPr>
          <w:p w14:paraId="0FF0450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0,77 </w:t>
            </w:r>
          </w:p>
        </w:tc>
        <w:tc>
          <w:tcPr>
            <w:tcW w:w="680" w:type="dxa"/>
            <w:tcBorders>
              <w:top w:val="nil"/>
              <w:left w:val="nil"/>
              <w:bottom w:val="single" w:sz="4" w:space="0" w:color="auto"/>
              <w:right w:val="single" w:sz="4" w:space="0" w:color="auto"/>
            </w:tcBorders>
            <w:shd w:val="clear" w:color="auto" w:fill="auto"/>
            <w:noWrap/>
            <w:vAlign w:val="center"/>
            <w:hideMark/>
          </w:tcPr>
          <w:p w14:paraId="0F940F2F"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0,78 </w:t>
            </w:r>
          </w:p>
        </w:tc>
        <w:tc>
          <w:tcPr>
            <w:tcW w:w="680" w:type="dxa"/>
            <w:tcBorders>
              <w:top w:val="nil"/>
              <w:left w:val="nil"/>
              <w:bottom w:val="single" w:sz="4" w:space="0" w:color="auto"/>
              <w:right w:val="single" w:sz="4" w:space="0" w:color="auto"/>
            </w:tcBorders>
            <w:shd w:val="clear" w:color="auto" w:fill="auto"/>
            <w:noWrap/>
            <w:vAlign w:val="center"/>
            <w:hideMark/>
          </w:tcPr>
          <w:p w14:paraId="3E172D0E"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0,80 </w:t>
            </w:r>
          </w:p>
        </w:tc>
        <w:tc>
          <w:tcPr>
            <w:tcW w:w="680" w:type="dxa"/>
            <w:tcBorders>
              <w:top w:val="nil"/>
              <w:left w:val="nil"/>
              <w:bottom w:val="single" w:sz="4" w:space="0" w:color="auto"/>
              <w:right w:val="single" w:sz="4" w:space="0" w:color="auto"/>
            </w:tcBorders>
            <w:shd w:val="clear" w:color="auto" w:fill="auto"/>
            <w:noWrap/>
            <w:vAlign w:val="center"/>
            <w:hideMark/>
          </w:tcPr>
          <w:p w14:paraId="1A2847A8"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0,82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1651BC2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0,77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58AB8F30"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0,87 </w:t>
            </w:r>
          </w:p>
        </w:tc>
        <w:tc>
          <w:tcPr>
            <w:tcW w:w="2239" w:type="dxa"/>
            <w:tcBorders>
              <w:top w:val="nil"/>
              <w:left w:val="nil"/>
              <w:bottom w:val="single" w:sz="4" w:space="0" w:color="auto"/>
              <w:right w:val="single" w:sz="4" w:space="0" w:color="auto"/>
            </w:tcBorders>
            <w:vAlign w:val="center"/>
          </w:tcPr>
          <w:p w14:paraId="48A103AC"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Net İhracatçı</w:t>
            </w:r>
          </w:p>
        </w:tc>
      </w:tr>
      <w:tr w:rsidR="00164238" w:rsidRPr="00164238" w14:paraId="3CE72075"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55BD65BF"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b/>
                <w:bCs/>
                <w:color w:val="000000" w:themeColor="text1"/>
              </w:rPr>
              <w:t>32</w:t>
            </w:r>
          </w:p>
        </w:tc>
        <w:tc>
          <w:tcPr>
            <w:tcW w:w="680" w:type="dxa"/>
            <w:tcBorders>
              <w:top w:val="nil"/>
              <w:left w:val="nil"/>
              <w:bottom w:val="single" w:sz="4" w:space="0" w:color="auto"/>
              <w:right w:val="single" w:sz="4" w:space="0" w:color="auto"/>
            </w:tcBorders>
            <w:shd w:val="clear" w:color="auto" w:fill="auto"/>
            <w:noWrap/>
            <w:vAlign w:val="center"/>
            <w:hideMark/>
          </w:tcPr>
          <w:p w14:paraId="5DF5399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-0,29 </w:t>
            </w:r>
          </w:p>
        </w:tc>
        <w:tc>
          <w:tcPr>
            <w:tcW w:w="680" w:type="dxa"/>
            <w:tcBorders>
              <w:top w:val="nil"/>
              <w:left w:val="nil"/>
              <w:bottom w:val="single" w:sz="4" w:space="0" w:color="auto"/>
              <w:right w:val="single" w:sz="4" w:space="0" w:color="auto"/>
            </w:tcBorders>
            <w:shd w:val="clear" w:color="auto" w:fill="auto"/>
            <w:noWrap/>
            <w:vAlign w:val="center"/>
            <w:hideMark/>
          </w:tcPr>
          <w:p w14:paraId="23AF0A3B"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-0,13 </w:t>
            </w:r>
          </w:p>
        </w:tc>
        <w:tc>
          <w:tcPr>
            <w:tcW w:w="680" w:type="dxa"/>
            <w:tcBorders>
              <w:top w:val="nil"/>
              <w:left w:val="nil"/>
              <w:bottom w:val="single" w:sz="4" w:space="0" w:color="auto"/>
              <w:right w:val="single" w:sz="4" w:space="0" w:color="auto"/>
            </w:tcBorders>
            <w:shd w:val="clear" w:color="auto" w:fill="auto"/>
            <w:noWrap/>
            <w:vAlign w:val="center"/>
            <w:hideMark/>
          </w:tcPr>
          <w:p w14:paraId="0D28520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-0,18 </w:t>
            </w:r>
          </w:p>
        </w:tc>
        <w:tc>
          <w:tcPr>
            <w:tcW w:w="680" w:type="dxa"/>
            <w:tcBorders>
              <w:top w:val="nil"/>
              <w:left w:val="nil"/>
              <w:bottom w:val="single" w:sz="4" w:space="0" w:color="auto"/>
              <w:right w:val="single" w:sz="4" w:space="0" w:color="auto"/>
            </w:tcBorders>
            <w:shd w:val="clear" w:color="auto" w:fill="auto"/>
            <w:noWrap/>
            <w:vAlign w:val="center"/>
            <w:hideMark/>
          </w:tcPr>
          <w:p w14:paraId="5EDE984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-0,12 </w:t>
            </w:r>
          </w:p>
        </w:tc>
        <w:tc>
          <w:tcPr>
            <w:tcW w:w="680" w:type="dxa"/>
            <w:tcBorders>
              <w:top w:val="nil"/>
              <w:left w:val="nil"/>
              <w:bottom w:val="single" w:sz="4" w:space="0" w:color="auto"/>
              <w:right w:val="single" w:sz="4" w:space="0" w:color="auto"/>
            </w:tcBorders>
            <w:shd w:val="clear" w:color="auto" w:fill="auto"/>
            <w:noWrap/>
            <w:vAlign w:val="center"/>
            <w:hideMark/>
          </w:tcPr>
          <w:p w14:paraId="1C8594B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0,08 </w:t>
            </w:r>
          </w:p>
        </w:tc>
        <w:tc>
          <w:tcPr>
            <w:tcW w:w="680" w:type="dxa"/>
            <w:tcBorders>
              <w:top w:val="nil"/>
              <w:left w:val="nil"/>
              <w:bottom w:val="single" w:sz="4" w:space="0" w:color="auto"/>
              <w:right w:val="single" w:sz="4" w:space="0" w:color="auto"/>
            </w:tcBorders>
            <w:shd w:val="clear" w:color="auto" w:fill="auto"/>
            <w:noWrap/>
            <w:vAlign w:val="center"/>
            <w:hideMark/>
          </w:tcPr>
          <w:p w14:paraId="4BA63885"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0,23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42D32793"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0,25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39A20367"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0,32 </w:t>
            </w:r>
          </w:p>
        </w:tc>
        <w:tc>
          <w:tcPr>
            <w:tcW w:w="2239" w:type="dxa"/>
            <w:tcBorders>
              <w:top w:val="nil"/>
              <w:left w:val="nil"/>
              <w:bottom w:val="single" w:sz="4" w:space="0" w:color="auto"/>
              <w:right w:val="single" w:sz="4" w:space="0" w:color="auto"/>
            </w:tcBorders>
            <w:vAlign w:val="center"/>
          </w:tcPr>
          <w:p w14:paraId="17694775"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Net İhracatçı</w:t>
            </w:r>
          </w:p>
        </w:tc>
      </w:tr>
      <w:tr w:rsidR="00164238" w:rsidRPr="00164238" w14:paraId="4C23ECB8" w14:textId="77777777" w:rsidTr="00682CBF">
        <w:trPr>
          <w:trHeight w:val="340"/>
        </w:trPr>
        <w:tc>
          <w:tcPr>
            <w:tcW w:w="1247" w:type="dxa"/>
            <w:tcBorders>
              <w:top w:val="nil"/>
              <w:left w:val="single" w:sz="4" w:space="0" w:color="auto"/>
              <w:bottom w:val="single" w:sz="4" w:space="0" w:color="auto"/>
              <w:right w:val="single" w:sz="4" w:space="0" w:color="auto"/>
            </w:tcBorders>
            <w:shd w:val="clear" w:color="auto" w:fill="auto"/>
            <w:noWrap/>
            <w:vAlign w:val="center"/>
            <w:hideMark/>
          </w:tcPr>
          <w:p w14:paraId="09D4F0E3"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hAnsi="Times New Roman" w:cs="Times New Roman"/>
                <w:color w:val="000000" w:themeColor="text1"/>
              </w:rPr>
              <w:t>Tüm İmalat</w:t>
            </w:r>
          </w:p>
        </w:tc>
        <w:tc>
          <w:tcPr>
            <w:tcW w:w="680" w:type="dxa"/>
            <w:tcBorders>
              <w:top w:val="nil"/>
              <w:left w:val="nil"/>
              <w:bottom w:val="single" w:sz="4" w:space="0" w:color="auto"/>
              <w:right w:val="single" w:sz="4" w:space="0" w:color="auto"/>
            </w:tcBorders>
            <w:shd w:val="clear" w:color="auto" w:fill="auto"/>
            <w:noWrap/>
            <w:vAlign w:val="center"/>
            <w:hideMark/>
          </w:tcPr>
          <w:p w14:paraId="4929F9C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0,24 </w:t>
            </w:r>
          </w:p>
        </w:tc>
        <w:tc>
          <w:tcPr>
            <w:tcW w:w="680" w:type="dxa"/>
            <w:tcBorders>
              <w:top w:val="nil"/>
              <w:left w:val="nil"/>
              <w:bottom w:val="single" w:sz="4" w:space="0" w:color="auto"/>
              <w:right w:val="single" w:sz="4" w:space="0" w:color="auto"/>
            </w:tcBorders>
            <w:shd w:val="clear" w:color="auto" w:fill="auto"/>
            <w:noWrap/>
            <w:vAlign w:val="center"/>
            <w:hideMark/>
          </w:tcPr>
          <w:p w14:paraId="6A5FFB71"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0,31 </w:t>
            </w:r>
          </w:p>
        </w:tc>
        <w:tc>
          <w:tcPr>
            <w:tcW w:w="680" w:type="dxa"/>
            <w:tcBorders>
              <w:top w:val="nil"/>
              <w:left w:val="nil"/>
              <w:bottom w:val="single" w:sz="4" w:space="0" w:color="auto"/>
              <w:right w:val="single" w:sz="4" w:space="0" w:color="auto"/>
            </w:tcBorders>
            <w:shd w:val="clear" w:color="auto" w:fill="auto"/>
            <w:noWrap/>
            <w:vAlign w:val="center"/>
            <w:hideMark/>
          </w:tcPr>
          <w:p w14:paraId="7F3E081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0,36 </w:t>
            </w:r>
          </w:p>
        </w:tc>
        <w:tc>
          <w:tcPr>
            <w:tcW w:w="680" w:type="dxa"/>
            <w:tcBorders>
              <w:top w:val="nil"/>
              <w:left w:val="nil"/>
              <w:bottom w:val="single" w:sz="4" w:space="0" w:color="auto"/>
              <w:right w:val="single" w:sz="4" w:space="0" w:color="auto"/>
            </w:tcBorders>
            <w:shd w:val="clear" w:color="auto" w:fill="auto"/>
            <w:noWrap/>
            <w:vAlign w:val="center"/>
            <w:hideMark/>
          </w:tcPr>
          <w:p w14:paraId="09C89B92"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0,42 </w:t>
            </w:r>
          </w:p>
        </w:tc>
        <w:tc>
          <w:tcPr>
            <w:tcW w:w="680" w:type="dxa"/>
            <w:tcBorders>
              <w:top w:val="nil"/>
              <w:left w:val="nil"/>
              <w:bottom w:val="single" w:sz="4" w:space="0" w:color="auto"/>
              <w:right w:val="single" w:sz="4" w:space="0" w:color="auto"/>
            </w:tcBorders>
            <w:shd w:val="clear" w:color="auto" w:fill="auto"/>
            <w:noWrap/>
            <w:vAlign w:val="center"/>
            <w:hideMark/>
          </w:tcPr>
          <w:p w14:paraId="7004DB6C"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0,26 </w:t>
            </w:r>
          </w:p>
        </w:tc>
        <w:tc>
          <w:tcPr>
            <w:tcW w:w="680" w:type="dxa"/>
            <w:tcBorders>
              <w:top w:val="nil"/>
              <w:left w:val="nil"/>
              <w:bottom w:val="single" w:sz="4" w:space="0" w:color="auto"/>
              <w:right w:val="single" w:sz="4" w:space="0" w:color="auto"/>
            </w:tcBorders>
            <w:shd w:val="clear" w:color="auto" w:fill="auto"/>
            <w:noWrap/>
            <w:vAlign w:val="center"/>
            <w:hideMark/>
          </w:tcPr>
          <w:p w14:paraId="05629E9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0,26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336AF779"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0,39 </w:t>
            </w:r>
          </w:p>
        </w:tc>
        <w:tc>
          <w:tcPr>
            <w:tcW w:w="680" w:type="dxa"/>
            <w:tcBorders>
              <w:top w:val="nil"/>
              <w:left w:val="nil"/>
              <w:bottom w:val="single" w:sz="4" w:space="0" w:color="auto"/>
              <w:right w:val="single" w:sz="4" w:space="0" w:color="auto"/>
            </w:tcBorders>
            <w:shd w:val="clear" w:color="auto" w:fill="FFE599" w:themeFill="accent4" w:themeFillTint="66"/>
            <w:noWrap/>
            <w:vAlign w:val="center"/>
            <w:hideMark/>
          </w:tcPr>
          <w:p w14:paraId="29A4B706" w14:textId="77777777" w:rsidR="00C54BC9" w:rsidRPr="00164238" w:rsidRDefault="00C54BC9" w:rsidP="00682CBF">
            <w:pPr>
              <w:spacing w:after="0" w:line="240" w:lineRule="auto"/>
              <w:jc w:val="right"/>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 xml:space="preserve"> 0,40 </w:t>
            </w:r>
          </w:p>
        </w:tc>
        <w:tc>
          <w:tcPr>
            <w:tcW w:w="2239" w:type="dxa"/>
            <w:tcBorders>
              <w:top w:val="nil"/>
              <w:left w:val="nil"/>
              <w:bottom w:val="single" w:sz="4" w:space="0" w:color="auto"/>
              <w:right w:val="single" w:sz="4" w:space="0" w:color="auto"/>
            </w:tcBorders>
            <w:vAlign w:val="center"/>
          </w:tcPr>
          <w:p w14:paraId="2F0E2165"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hAnsi="Times New Roman" w:cs="Times New Roman"/>
                <w:color w:val="000000" w:themeColor="text1"/>
              </w:rPr>
              <w:t>Net İhracatçı</w:t>
            </w:r>
          </w:p>
        </w:tc>
      </w:tr>
    </w:tbl>
    <w:p w14:paraId="193D1E32" w14:textId="77777777" w:rsidR="00C54BC9" w:rsidRPr="00164238" w:rsidRDefault="00C54BC9" w:rsidP="00C54BC9">
      <w:pPr>
        <w:spacing w:after="0" w:line="360" w:lineRule="auto"/>
        <w:rPr>
          <w:rFonts w:ascii="Times New Roman" w:hAnsi="Times New Roman" w:cs="Times New Roman"/>
          <w:color w:val="000000" w:themeColor="text1"/>
        </w:rPr>
      </w:pPr>
      <w:r w:rsidRPr="00164238">
        <w:rPr>
          <w:rFonts w:ascii="Times New Roman" w:hAnsi="Times New Roman" w:cs="Times New Roman"/>
          <w:b/>
          <w:bCs/>
          <w:color w:val="000000" w:themeColor="text1"/>
        </w:rPr>
        <w:t xml:space="preserve">Kaynak: </w:t>
      </w:r>
      <w:r w:rsidRPr="00164238">
        <w:rPr>
          <w:rFonts w:ascii="Times New Roman" w:hAnsi="Times New Roman" w:cs="Times New Roman"/>
          <w:color w:val="000000" w:themeColor="text1"/>
        </w:rPr>
        <w:t>TÜİK verileri derlenerek yazar tarafından oluşturulmuştur.</w:t>
      </w:r>
    </w:p>
    <w:p w14:paraId="58BC255A" w14:textId="77777777" w:rsidR="00C54BC9" w:rsidRPr="00164238" w:rsidRDefault="00C54BC9" w:rsidP="00C54BC9">
      <w:pPr>
        <w:spacing w:before="120" w:after="120" w:line="360" w:lineRule="auto"/>
        <w:ind w:firstLine="567"/>
        <w:jc w:val="both"/>
        <w:rPr>
          <w:rFonts w:ascii="Times New Roman" w:hAnsi="Times New Roman" w:cs="Times New Roman"/>
          <w:color w:val="000000" w:themeColor="text1"/>
          <w:sz w:val="20"/>
          <w:szCs w:val="20"/>
        </w:rPr>
      </w:pPr>
      <w:bookmarkStart w:id="89" w:name="_Hlk69302472"/>
      <w:r w:rsidRPr="00164238">
        <w:rPr>
          <w:rFonts w:ascii="Times New Roman" w:hAnsi="Times New Roman" w:cs="Times New Roman"/>
          <w:color w:val="000000" w:themeColor="text1"/>
          <w:sz w:val="20"/>
          <w:szCs w:val="20"/>
        </w:rPr>
        <w:t>Tablo 10’da Birleşik Krallık pazarında Türk imalat sanayii ve alt sektörlerin net dış ticaret dengesi görülmektedir. Tablo 10’a göre, Birleşik Krallık pazarında Türk imalat sanayinin net dış ticaret dengesi değişmemiştir. Alt sektörler incelendiğinde, 2020 yılında Türkiye’nin 23 alt sektörden 16 sektörde net ihracatçı, 7 sektörde net ithalatçı olduğu tespit edilmiştir</w:t>
      </w:r>
      <w:bookmarkEnd w:id="89"/>
      <w:r w:rsidRPr="00164238">
        <w:rPr>
          <w:rFonts w:ascii="Times New Roman" w:hAnsi="Times New Roman" w:cs="Times New Roman"/>
          <w:color w:val="000000" w:themeColor="text1"/>
          <w:sz w:val="20"/>
          <w:szCs w:val="20"/>
        </w:rPr>
        <w:t>. 2019-2020 yılları arasında alt sektörlerden 2’sinde  net dış ticaret dengesinin değiştiği görülmüştür. 2019 yılından 2020 yılına gelindiğinde Türkiye’nin ticaret dengesinde,</w:t>
      </w:r>
    </w:p>
    <w:p w14:paraId="44F1C895" w14:textId="77777777" w:rsidR="00C54BC9" w:rsidRPr="00164238" w:rsidRDefault="00C54BC9" w:rsidP="007C3550">
      <w:pPr>
        <w:numPr>
          <w:ilvl w:val="0"/>
          <w:numId w:val="32"/>
        </w:numPr>
        <w:spacing w:before="120" w:after="120" w:line="360" w:lineRule="auto"/>
        <w:ind w:left="0"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Tütün ürünlerinde net ithalatçı iken, net ihracatçı,</w:t>
      </w:r>
    </w:p>
    <w:p w14:paraId="0AA8E2A2" w14:textId="77777777" w:rsidR="00C54BC9" w:rsidRPr="00164238" w:rsidRDefault="00C54BC9" w:rsidP="00C54BC9">
      <w:pPr>
        <w:spacing w:before="120" w:after="120" w:line="360" w:lineRule="auto"/>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 Kok kömürü ve rafine edilmiş petrol ürünlerinde ise net ihracatçı iken, net ithalatçı olduğu görülmüştür. </w:t>
      </w:r>
    </w:p>
    <w:p w14:paraId="22E08C1E" w14:textId="57469772" w:rsidR="00C54BC9" w:rsidRPr="00164238" w:rsidRDefault="001E0B0D" w:rsidP="00C54BC9">
      <w:pPr>
        <w:spacing w:before="120" w:after="120" w:line="360" w:lineRule="auto"/>
        <w:ind w:firstLine="567"/>
        <w:jc w:val="both"/>
        <w:rPr>
          <w:rFonts w:ascii="Times New Roman" w:hAnsi="Times New Roman" w:cs="Times New Roman"/>
          <w:b/>
          <w:bCs/>
          <w:color w:val="000000" w:themeColor="text1"/>
          <w:sz w:val="20"/>
          <w:szCs w:val="20"/>
        </w:rPr>
      </w:pPr>
      <w:r>
        <w:rPr>
          <w:rFonts w:ascii="Times New Roman" w:hAnsi="Times New Roman" w:cs="Times New Roman"/>
          <w:b/>
          <w:bCs/>
          <w:color w:val="000000" w:themeColor="text1"/>
          <w:sz w:val="20"/>
          <w:szCs w:val="20"/>
        </w:rPr>
        <w:t>S</w:t>
      </w:r>
      <w:r w:rsidR="00C54BC9" w:rsidRPr="00164238">
        <w:rPr>
          <w:rFonts w:ascii="Times New Roman" w:hAnsi="Times New Roman" w:cs="Times New Roman"/>
          <w:b/>
          <w:bCs/>
          <w:color w:val="000000" w:themeColor="text1"/>
          <w:sz w:val="20"/>
          <w:szCs w:val="20"/>
        </w:rPr>
        <w:t xml:space="preserve">onuç </w:t>
      </w:r>
    </w:p>
    <w:p w14:paraId="1B6C1BB7" w14:textId="77777777" w:rsidR="00C54BC9" w:rsidRPr="00164238" w:rsidRDefault="00C54BC9" w:rsidP="00C54BC9">
      <w:pPr>
        <w:spacing w:before="120" w:after="120" w:line="360" w:lineRule="auto"/>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Covid 19 sonrası pandeminin Türk imalat sanayii ve alt sektörlerinin temel göstergelerinden üretim, kapasite kullanımı, istihdam ve ihracatını etkileyip etkilemediği, aynı zamanda üç büyük pazarda Türk imalat sanayii ve alt sektörlerinin rekabet gücü ve ticaret dengesinde bir değişim olup olmadığının araştırıldığı bu çalışmanın sonuçları iki ayrı açıdan değerlendirilmiştir. Temel göstergeler, rekabet gücü ve ticaret dengesi açısından değerlendirmeler 2019-2020 dönemini kapsayacak şekilde yapılmıştır. </w:t>
      </w:r>
    </w:p>
    <w:p w14:paraId="1D6FF387" w14:textId="77777777" w:rsidR="00C54BC9" w:rsidRPr="00164238" w:rsidRDefault="00C54BC9" w:rsidP="00C54BC9">
      <w:pPr>
        <w:spacing w:before="120" w:after="120" w:line="360" w:lineRule="auto"/>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Buna göre, temel göstergeler açısından Türkiye’de Covid 19 vakasının resmi olarak açıklandığı Mart ayından başlamak üzere özellikle Nisan ve Mayıs aylarında pandeminin etkilerinin görüldüğü anlaşılmıştır. Haziran ayından ise ekonomide bir toparlanma yaşandığı yılın diğer yarısında bu toparlanmanın genel olarak devam ettiği görülmüştür. </w:t>
      </w:r>
    </w:p>
    <w:p w14:paraId="6ADE56C9" w14:textId="77777777" w:rsidR="00C54BC9" w:rsidRPr="00164238" w:rsidRDefault="00C54BC9" w:rsidP="00C54BC9">
      <w:pPr>
        <w:spacing w:before="120" w:after="120" w:line="360" w:lineRule="auto"/>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Dünya, AB 27 ve Birleşik Krallık pazarında Türk imalat sanayii ve alt sektörleri için rekabet gücü açısından genel bir durum değerlendirmesi yapıldığında, Türk imalat sanayii rekabet gücünde bir değişiklik olmadığı görülmüştür. 2019-2020 yılları için alt sektörler incelendiğinde, 23 alt sektör içinde Dünya pazarında 3, AB (27) pazarında 4, Birleşik Krallık pazarında ise 2 alt sektörün rekabet gücünde değişiklik olduğu saptanmıştır. Dünya pazarında 2019 yılında ana metal sanayiinin marjinal sınırda olan rekabet </w:t>
      </w:r>
      <w:r w:rsidRPr="00164238">
        <w:rPr>
          <w:rFonts w:ascii="Times New Roman" w:hAnsi="Times New Roman" w:cs="Times New Roman"/>
          <w:color w:val="000000" w:themeColor="text1"/>
          <w:sz w:val="20"/>
          <w:szCs w:val="20"/>
        </w:rPr>
        <w:lastRenderedPageBreak/>
        <w:t>gücünün 2020 yılında düşük olduğu saptanmıştır. Dünya ve AB (27) pazarında motorlu kara taşıtlarında (yarı treyler ve treyler dahil) mevcut rekabet gücünün düştüğü söylenebilir. Şöyle ki, 2019 yılında, Dünya ve AB (27) pazarında motorlu kara taşıtları (yarı treyler ve treyler dahil) alt sektöründe rekabet gücü yüksek iken, 2020 yılında bu alt sektörün rekabet gücünün marjinal sınırda kaldığı görülmüştür. Birleşik Krallık pazarında ise 2019 yılında kok kömürü ve rafine edilmiş petrol ürünlerinde marjinal sınırda olan rekabet gücünün 2020 yılında düşük olduğu saptanmıştır.  Diğer değişiklik saptanan imalat sanayii alt sektörlerinde ise rekabet gücünde gerileme olmadığı rekabet gücünde bir üst seviyeye çıkıldığı gözlemlenmiştir.</w:t>
      </w:r>
    </w:p>
    <w:p w14:paraId="6EB44791" w14:textId="77777777" w:rsidR="00C54BC9" w:rsidRPr="00164238" w:rsidRDefault="00C54BC9" w:rsidP="00C54BC9">
      <w:pPr>
        <w:spacing w:before="120" w:after="120" w:line="360" w:lineRule="auto"/>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Dünya pazarında Türk imalat sanayii ve alt sektörlerinde net dış ticaret dengesi açısından bir değişiklik olmadığı görülmüştür. AB 27 pazarında imalat sanayiinin 2019 yılında net ihracatçı iken 2020 yılında net ithalatçı olduğu tespit edilmiştir. Alt sektörlerin tümünde net dış ticaret dengesinde değişiklik olmadığı saptanmıştır. Birleşik Krallık pazarında ise imalat sanayiinde net dış ticaret dengesinde değişiklik olmadığı anlaşılmıştır. 2019 yılından 2020 yılına alt sektörler içinde net ithalatçı olan kok kömürü ve rafine edilmiş petrol ürünleri ve tütün sektörlerinin net ihracatçı olduğu gözlemlenmiştir. Geriye kalan alt sektörlerin net dış ticaret dengesinde bir değişiklik olmadığı görülmüştür. </w:t>
      </w:r>
    </w:p>
    <w:p w14:paraId="152A6AE8" w14:textId="77777777" w:rsidR="00C54BC9" w:rsidRPr="00164238" w:rsidRDefault="00C54BC9" w:rsidP="00C54BC9">
      <w:pPr>
        <w:spacing w:before="120" w:after="120" w:line="360" w:lineRule="auto"/>
        <w:ind w:firstLine="567"/>
        <w:jc w:val="both"/>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Öneriler</w:t>
      </w:r>
    </w:p>
    <w:p w14:paraId="1754090C" w14:textId="77777777" w:rsidR="00C54BC9" w:rsidRPr="00164238" w:rsidRDefault="00C54BC9" w:rsidP="00C54BC9">
      <w:pPr>
        <w:spacing w:before="120" w:after="120" w:line="360" w:lineRule="auto"/>
        <w:ind w:firstLine="567"/>
        <w:jc w:val="both"/>
        <w:rPr>
          <w:rStyle w:val="A0"/>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Covid 19 ile birlikte üretim, istihdam, tedarik, sürdürülebilirlik, dijitalleşme gibi birçok konuda yeni dönemin gereklerine uygun politikalar geliştirilmesi gerekliliği ortaya çıkmıştır</w:t>
      </w:r>
      <w:r w:rsidRPr="00164238">
        <w:rPr>
          <w:rStyle w:val="A0"/>
          <w:rFonts w:ascii="Times New Roman" w:hAnsi="Times New Roman" w:cs="Times New Roman"/>
          <w:color w:val="000000" w:themeColor="text1"/>
          <w:sz w:val="20"/>
          <w:szCs w:val="20"/>
        </w:rPr>
        <w:t xml:space="preserve">. Buna göre, küresel ekonomide dijitalleşmenin hızlı bir şekilde artması ile dijital altyapıya yatırım yapılmalıdır. İstihdamda dijitalleşmenin gereklerine uygun nitelikli insan kaynağı yetiştirilmesini sağlayacak projeksiyonlara gidilmelidir. Küresel ekonomide tartışılan sürdürülebilirlik kavramı içinde yer alan çevre-doğaya önem veren bir üretim şekli için önümüzdeki dönemde projeler geliştirilmelidir. Tedarik zincirinde yaşanan aksamaların sonucunda tedarik politikalarında değişim ortaya çıkmıştır. Yeni normal dönemde üretimin sürekliliği açısından tedarik politikalarının yeni dönemin şartlarına uygun bir şekilde yeniden ele alınması gerekmektedir. </w:t>
      </w:r>
    </w:p>
    <w:p w14:paraId="0DEBBEC5" w14:textId="77777777" w:rsidR="00C54BC9" w:rsidRPr="00164238" w:rsidRDefault="00C54BC9" w:rsidP="00C54BC9">
      <w:pPr>
        <w:spacing w:before="120" w:after="120" w:line="360" w:lineRule="auto"/>
        <w:ind w:firstLine="567"/>
        <w:jc w:val="both"/>
        <w:rPr>
          <w:rStyle w:val="A0"/>
          <w:rFonts w:ascii="Times New Roman" w:hAnsi="Times New Roman" w:cs="Times New Roman"/>
          <w:color w:val="000000" w:themeColor="text1"/>
          <w:sz w:val="20"/>
          <w:szCs w:val="20"/>
        </w:rPr>
      </w:pPr>
      <w:r w:rsidRPr="00164238">
        <w:rPr>
          <w:rStyle w:val="A0"/>
          <w:rFonts w:ascii="Times New Roman" w:hAnsi="Times New Roman" w:cs="Times New Roman"/>
          <w:color w:val="000000" w:themeColor="text1"/>
          <w:sz w:val="20"/>
          <w:szCs w:val="20"/>
        </w:rPr>
        <w:t>Türk imalat sanayii’nin rekabet gücünün arttırılması için dijital teknolojilere yatırım yapılması, araştırma gelişme ve yenilikçilik kapasitesinin arttırılması, katma değeri yüksek ürünlerin üretimine ağırlık verilmesi gerekmektedir.</w:t>
      </w:r>
    </w:p>
    <w:p w14:paraId="3C7AAEB7" w14:textId="6E23921A" w:rsidR="00C54BC9" w:rsidRPr="00164238" w:rsidRDefault="00C95516" w:rsidP="00C54BC9">
      <w:pPr>
        <w:spacing w:before="120" w:after="120" w:line="360" w:lineRule="auto"/>
        <w:jc w:val="both"/>
        <w:rPr>
          <w:rFonts w:ascii="Times New Roman" w:hAnsi="Times New Roman" w:cs="Times New Roman"/>
          <w:b/>
          <w:bCs/>
          <w:color w:val="000000" w:themeColor="text1"/>
          <w:sz w:val="20"/>
          <w:szCs w:val="20"/>
          <w:lang w:val="en-US"/>
        </w:rPr>
      </w:pPr>
      <w:r>
        <w:rPr>
          <w:rFonts w:ascii="Times New Roman" w:hAnsi="Times New Roman" w:cs="Times New Roman"/>
          <w:b/>
          <w:bCs/>
          <w:color w:val="000000" w:themeColor="text1"/>
          <w:sz w:val="20"/>
          <w:szCs w:val="20"/>
          <w:lang w:val="en-US"/>
        </w:rPr>
        <w:t>Kaynakça</w:t>
      </w:r>
    </w:p>
    <w:p w14:paraId="498D6817" w14:textId="77777777" w:rsidR="00C54BC9" w:rsidRPr="00164238" w:rsidRDefault="00C54BC9" w:rsidP="00C54BC9">
      <w:pPr>
        <w:spacing w:before="120" w:after="120" w:line="360" w:lineRule="auto"/>
        <w:ind w:left="709" w:hanging="709"/>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Altay, H. (2008). Karşılaştırmalı Üstünlükler Teorisi Kapsamında Türk Endüstrilerinin Avrupa Birliği (15) Pazarındaki Rekabet Gücü Düzeylerinin İncelenmesi: 1995-2007. Dumlupınar Üniversitesi Sosyal Bilimler Dergisi, 0(21),215-239.</w:t>
      </w:r>
    </w:p>
    <w:p w14:paraId="50DF0A61" w14:textId="77777777" w:rsidR="00C54BC9" w:rsidRPr="00164238" w:rsidRDefault="00C54BC9" w:rsidP="00C54BC9">
      <w:pPr>
        <w:spacing w:before="120" w:after="120" w:line="360" w:lineRule="auto"/>
        <w:ind w:left="709" w:hanging="709"/>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Balassa, B. (1965). Trade Liberalization and Revealed Comparative Advantage, Manchester School, Vol. 33 (2), 99-123.</w:t>
      </w:r>
    </w:p>
    <w:p w14:paraId="179E04C8" w14:textId="77777777" w:rsidR="00C54BC9" w:rsidRPr="00164238" w:rsidRDefault="00C54BC9" w:rsidP="00C54BC9">
      <w:pPr>
        <w:spacing w:before="120" w:after="120" w:line="360" w:lineRule="auto"/>
        <w:ind w:left="709" w:hanging="709"/>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lastRenderedPageBreak/>
        <w:t>Lafay, G. (1992). The Measurement of Revealed Comparative Advantages, in M.G. Dagenais and P.A. Muet (eds.), International Trade Modeling, London: Chapman &amp; Hill.</w:t>
      </w:r>
    </w:p>
    <w:p w14:paraId="242A2275" w14:textId="77777777" w:rsidR="00C54BC9" w:rsidRPr="00164238" w:rsidRDefault="00C54BC9" w:rsidP="00C54BC9">
      <w:pPr>
        <w:spacing w:before="120" w:after="120" w:line="360" w:lineRule="auto"/>
        <w:ind w:left="709" w:hanging="709"/>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Sarıçoban. K. &amp; Kösekahyaoğlu, L. (2017). Ticaret Sonrası Verilerle Rekabet Gücünün Ölçülmesinde Kullanılan İndeksler Üzerine Bir Literatür Taraması, Akademik Sosyal Araştırmalar Dergisi, 5(47), 424-444.</w:t>
      </w:r>
    </w:p>
    <w:p w14:paraId="7F78A603" w14:textId="77777777" w:rsidR="00C54BC9" w:rsidRPr="00164238" w:rsidRDefault="00C54BC9" w:rsidP="00C54BC9">
      <w:pPr>
        <w:spacing w:before="120" w:after="120" w:line="360" w:lineRule="auto"/>
        <w:ind w:left="709" w:hanging="709"/>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 xml:space="preserve">İSO, Türkiye PMI İmalat Sanayi Şubat 2021 Raporu, </w:t>
      </w:r>
      <w:hyperlink r:id="rId170" w:history="1">
        <w:r w:rsidRPr="00164238">
          <w:rPr>
            <w:rStyle w:val="Balk1Char"/>
            <w:rFonts w:ascii="Times New Roman" w:eastAsiaTheme="minorHAnsi" w:hAnsi="Times New Roman" w:cs="Times New Roman"/>
            <w:color w:val="000000" w:themeColor="text1"/>
            <w:sz w:val="20"/>
            <w:szCs w:val="20"/>
          </w:rPr>
          <w:t>https://www.iso.org.tr/projeler/iso-turkiye-imalat-pmi/pdf</w:t>
        </w:r>
      </w:hyperlink>
      <w:r w:rsidRPr="00164238">
        <w:rPr>
          <w:rFonts w:ascii="Times New Roman" w:hAnsi="Times New Roman" w:cs="Times New Roman"/>
          <w:color w:val="000000" w:themeColor="text1"/>
          <w:sz w:val="20"/>
          <w:szCs w:val="20"/>
          <w:lang w:val="en-US"/>
        </w:rPr>
        <w:t xml:space="preserve">., ( </w:t>
      </w:r>
      <w:r w:rsidRPr="00164238">
        <w:rPr>
          <w:rFonts w:ascii="Times New Roman" w:hAnsi="Times New Roman" w:cs="Times New Roman"/>
          <w:color w:val="000000" w:themeColor="text1"/>
          <w:sz w:val="20"/>
          <w:szCs w:val="20"/>
          <w:shd w:val="clear" w:color="auto" w:fill="FFFFFF"/>
        </w:rPr>
        <w:t>Erişim Tarihi: 21.03.2021).</w:t>
      </w:r>
    </w:p>
    <w:p w14:paraId="5285B42E" w14:textId="77777777" w:rsidR="00C54BC9" w:rsidRPr="00164238" w:rsidRDefault="00C54BC9" w:rsidP="00C54BC9">
      <w:pPr>
        <w:spacing w:before="120" w:after="120" w:line="360" w:lineRule="auto"/>
        <w:ind w:left="709" w:hanging="709"/>
        <w:jc w:val="both"/>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color w:val="000000" w:themeColor="text1"/>
          <w:sz w:val="20"/>
          <w:szCs w:val="20"/>
          <w:shd w:val="clear" w:color="auto" w:fill="FFFFFF"/>
          <w:lang w:val="en-US"/>
        </w:rPr>
        <w:t xml:space="preserve">TCMB. İmalat Sanayii Kapasite Kullanım Oranı. </w:t>
      </w:r>
      <w:hyperlink r:id="rId171" w:history="1">
        <w:r w:rsidRPr="00164238">
          <w:rPr>
            <w:rStyle w:val="Balk1Char"/>
            <w:rFonts w:ascii="Times New Roman" w:eastAsiaTheme="minorHAnsi" w:hAnsi="Times New Roman" w:cs="Times New Roman"/>
            <w:color w:val="000000" w:themeColor="text1"/>
            <w:sz w:val="20"/>
            <w:szCs w:val="20"/>
            <w:shd w:val="clear" w:color="auto" w:fill="FFFFFF"/>
          </w:rPr>
          <w:t>https://evds2.tcmb.gov.tr/index.php?/evds/serieMarket/collapse_21/6007/DataGroup/turkish/bie_kko2/</w:t>
        </w:r>
      </w:hyperlink>
      <w:r w:rsidRPr="00164238">
        <w:rPr>
          <w:rFonts w:ascii="Times New Roman" w:hAnsi="Times New Roman" w:cs="Times New Roman"/>
          <w:color w:val="000000" w:themeColor="text1"/>
          <w:sz w:val="20"/>
          <w:szCs w:val="20"/>
          <w:shd w:val="clear" w:color="auto" w:fill="FFFFFF"/>
          <w:lang w:val="en-US"/>
        </w:rPr>
        <w:t xml:space="preserve">, </w:t>
      </w:r>
      <w:r w:rsidRPr="00164238">
        <w:rPr>
          <w:rFonts w:ascii="Times New Roman" w:hAnsi="Times New Roman" w:cs="Times New Roman"/>
          <w:color w:val="000000" w:themeColor="text1"/>
          <w:sz w:val="20"/>
          <w:szCs w:val="20"/>
          <w:shd w:val="clear" w:color="auto" w:fill="FFFFFF"/>
        </w:rPr>
        <w:t>(Erişim Tarihi: 13.03.2021).</w:t>
      </w:r>
    </w:p>
    <w:p w14:paraId="6E5E228C" w14:textId="77777777" w:rsidR="00C54BC9" w:rsidRPr="00164238" w:rsidRDefault="00C54BC9" w:rsidP="00C54BC9">
      <w:pPr>
        <w:spacing w:before="120" w:after="120" w:line="360" w:lineRule="auto"/>
        <w:ind w:left="709" w:hanging="709"/>
        <w:jc w:val="both"/>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color w:val="000000" w:themeColor="text1"/>
          <w:sz w:val="20"/>
          <w:szCs w:val="20"/>
          <w:shd w:val="clear" w:color="auto" w:fill="FFFFFF"/>
          <w:lang w:val="en-US"/>
        </w:rPr>
        <w:t xml:space="preserve">TÜİK. Dış Ticaret İstatistikleri </w:t>
      </w:r>
      <w:hyperlink r:id="rId172" w:anchor="/showcase/SC-2851FY777F34D2R?token=8d79727fff862a891ce574d27220bfebbf66fecd" w:history="1">
        <w:r w:rsidRPr="00164238">
          <w:rPr>
            <w:rStyle w:val="Balk1Char"/>
            <w:rFonts w:ascii="Times New Roman" w:eastAsiaTheme="minorHAnsi" w:hAnsi="Times New Roman" w:cs="Times New Roman"/>
            <w:color w:val="000000" w:themeColor="text1"/>
            <w:sz w:val="20"/>
            <w:szCs w:val="20"/>
            <w:shd w:val="clear" w:color="auto" w:fill="FFFFFF"/>
          </w:rPr>
          <w:t>https://iz.tuik.gov.tr/#/showcase/SC-2851FY777F34D2R?token=8d79727fff862a891ce574d27220bfebbf66fecd</w:t>
        </w:r>
      </w:hyperlink>
      <w:r w:rsidRPr="00164238">
        <w:rPr>
          <w:rFonts w:ascii="Times New Roman" w:hAnsi="Times New Roman" w:cs="Times New Roman"/>
          <w:color w:val="000000" w:themeColor="text1"/>
          <w:sz w:val="20"/>
          <w:szCs w:val="20"/>
          <w:shd w:val="clear" w:color="auto" w:fill="FFFFFF"/>
          <w:lang w:val="en-US"/>
        </w:rPr>
        <w:t xml:space="preserve">, </w:t>
      </w:r>
      <w:r w:rsidRPr="00164238">
        <w:rPr>
          <w:rFonts w:ascii="Times New Roman" w:hAnsi="Times New Roman" w:cs="Times New Roman"/>
          <w:color w:val="000000" w:themeColor="text1"/>
          <w:sz w:val="20"/>
          <w:szCs w:val="20"/>
          <w:shd w:val="clear" w:color="auto" w:fill="FFFFFF"/>
        </w:rPr>
        <w:t>(Erişim Tarihi: 17.03.2021 ).</w:t>
      </w:r>
    </w:p>
    <w:p w14:paraId="2C604CE5" w14:textId="77777777" w:rsidR="00C54BC9" w:rsidRPr="00164238" w:rsidRDefault="00C54BC9" w:rsidP="00C54BC9">
      <w:pPr>
        <w:spacing w:before="120" w:after="120" w:line="360" w:lineRule="auto"/>
        <w:ind w:left="709" w:hanging="709"/>
        <w:jc w:val="both"/>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color w:val="000000" w:themeColor="text1"/>
          <w:sz w:val="20"/>
          <w:szCs w:val="20"/>
          <w:shd w:val="clear" w:color="auto" w:fill="FFFFFF"/>
          <w:lang w:val="en-US"/>
        </w:rPr>
        <w:t xml:space="preserve">TÜİK. Sanayi İstihdam Endeksi. </w:t>
      </w:r>
      <w:hyperlink r:id="rId173" w:history="1">
        <w:r w:rsidRPr="00164238">
          <w:rPr>
            <w:rStyle w:val="Balk1Char"/>
            <w:rFonts w:ascii="Times New Roman" w:eastAsiaTheme="minorHAnsi" w:hAnsi="Times New Roman" w:cs="Times New Roman"/>
            <w:color w:val="000000" w:themeColor="text1"/>
            <w:sz w:val="20"/>
            <w:szCs w:val="20"/>
            <w:shd w:val="clear" w:color="auto" w:fill="FFFFFF"/>
          </w:rPr>
          <w:t>https://biruni.tuik.gov.tr/medas/?kn=144&amp;locale=tr</w:t>
        </w:r>
      </w:hyperlink>
      <w:r w:rsidRPr="00164238">
        <w:rPr>
          <w:rFonts w:ascii="Times New Roman" w:hAnsi="Times New Roman" w:cs="Times New Roman"/>
          <w:color w:val="000000" w:themeColor="text1"/>
          <w:sz w:val="20"/>
          <w:szCs w:val="20"/>
          <w:shd w:val="clear" w:color="auto" w:fill="FFFFFF"/>
          <w:lang w:val="en-US"/>
        </w:rPr>
        <w:t xml:space="preserve">, </w:t>
      </w:r>
      <w:r w:rsidRPr="00164238">
        <w:rPr>
          <w:rFonts w:ascii="Times New Roman" w:hAnsi="Times New Roman" w:cs="Times New Roman"/>
          <w:color w:val="000000" w:themeColor="text1"/>
          <w:sz w:val="20"/>
          <w:szCs w:val="20"/>
          <w:shd w:val="clear" w:color="auto" w:fill="FFFFFF"/>
        </w:rPr>
        <w:t>(Erişim Tarihi: 13.03.2021).</w:t>
      </w:r>
    </w:p>
    <w:p w14:paraId="0572C6BC" w14:textId="77777777" w:rsidR="00C54BC9" w:rsidRPr="00164238" w:rsidRDefault="00C54BC9" w:rsidP="00C54BC9">
      <w:pPr>
        <w:spacing w:before="120" w:after="120" w:line="360" w:lineRule="auto"/>
        <w:ind w:left="709" w:hanging="709"/>
        <w:jc w:val="both"/>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color w:val="000000" w:themeColor="text1"/>
          <w:sz w:val="20"/>
          <w:szCs w:val="20"/>
          <w:shd w:val="clear" w:color="auto" w:fill="FFFFFF"/>
          <w:lang w:val="en-US"/>
        </w:rPr>
        <w:t xml:space="preserve">TÜİK. Sanayi Üretim Endeksi, </w:t>
      </w:r>
      <w:hyperlink r:id="rId174" w:history="1">
        <w:r w:rsidRPr="00164238">
          <w:rPr>
            <w:rStyle w:val="Balk1Char"/>
            <w:rFonts w:ascii="Times New Roman" w:eastAsiaTheme="minorHAnsi" w:hAnsi="Times New Roman" w:cs="Times New Roman"/>
            <w:color w:val="000000" w:themeColor="text1"/>
            <w:sz w:val="20"/>
            <w:szCs w:val="20"/>
            <w:shd w:val="clear" w:color="auto" w:fill="FFFFFF"/>
          </w:rPr>
          <w:t>https://biruni.tuik.gov.tr/medas/?kn=67&amp;locale=tr</w:t>
        </w:r>
      </w:hyperlink>
      <w:r w:rsidRPr="00164238">
        <w:rPr>
          <w:rFonts w:ascii="Times New Roman" w:hAnsi="Times New Roman" w:cs="Times New Roman"/>
          <w:color w:val="000000" w:themeColor="text1"/>
          <w:sz w:val="20"/>
          <w:szCs w:val="20"/>
          <w:shd w:val="clear" w:color="auto" w:fill="FFFFFF"/>
          <w:lang w:val="en-US"/>
        </w:rPr>
        <w:t xml:space="preserve">, </w:t>
      </w:r>
      <w:r w:rsidRPr="00164238">
        <w:rPr>
          <w:rFonts w:ascii="Times New Roman" w:hAnsi="Times New Roman" w:cs="Times New Roman"/>
          <w:color w:val="000000" w:themeColor="text1"/>
          <w:sz w:val="20"/>
          <w:szCs w:val="20"/>
          <w:shd w:val="clear" w:color="auto" w:fill="FFFFFF"/>
        </w:rPr>
        <w:t>(Erişim Tarihi:05.04.2021).</w:t>
      </w:r>
    </w:p>
    <w:p w14:paraId="1F3ED019" w14:textId="77777777" w:rsidR="00C54BC9" w:rsidRPr="00164238" w:rsidRDefault="00C54BC9" w:rsidP="00C54BC9">
      <w:pPr>
        <w:spacing w:before="120" w:after="120" w:line="360" w:lineRule="auto"/>
        <w:ind w:left="709" w:hanging="709"/>
        <w:jc w:val="both"/>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color w:val="000000" w:themeColor="text1"/>
          <w:sz w:val="20"/>
          <w:szCs w:val="20"/>
          <w:shd w:val="clear" w:color="auto" w:fill="FFFFFF"/>
          <w:lang w:val="en-US"/>
        </w:rPr>
        <w:t>TÜİK. Sanayi Üretim Endeksi Mart 2020 Bülteni,</w:t>
      </w:r>
      <w:r w:rsidRPr="00164238">
        <w:rPr>
          <w:rFonts w:ascii="Times New Roman" w:hAnsi="Times New Roman" w:cs="Times New Roman"/>
          <w:color w:val="000000" w:themeColor="text1"/>
          <w:sz w:val="20"/>
          <w:szCs w:val="20"/>
        </w:rPr>
        <w:t xml:space="preserve"> </w:t>
      </w:r>
      <w:hyperlink r:id="rId175" w:history="1">
        <w:r w:rsidRPr="00164238">
          <w:rPr>
            <w:rStyle w:val="Balk1Char"/>
            <w:rFonts w:ascii="Times New Roman" w:eastAsiaTheme="minorHAnsi" w:hAnsi="Times New Roman" w:cs="Times New Roman"/>
            <w:color w:val="000000" w:themeColor="text1"/>
            <w:sz w:val="20"/>
            <w:szCs w:val="20"/>
            <w:shd w:val="clear" w:color="auto" w:fill="FFFFFF"/>
          </w:rPr>
          <w:t>https://tuikweb.tuik.gov.tr/HbPrint.do?id=33798</w:t>
        </w:r>
      </w:hyperlink>
      <w:r w:rsidRPr="00164238">
        <w:rPr>
          <w:rFonts w:ascii="Times New Roman" w:hAnsi="Times New Roman" w:cs="Times New Roman"/>
          <w:color w:val="000000" w:themeColor="text1"/>
          <w:sz w:val="20"/>
          <w:szCs w:val="20"/>
          <w:shd w:val="clear" w:color="auto" w:fill="FFFFFF"/>
          <w:lang w:val="en-US"/>
        </w:rPr>
        <w:t xml:space="preserve">, </w:t>
      </w:r>
      <w:r w:rsidRPr="00164238">
        <w:rPr>
          <w:rFonts w:ascii="Times New Roman" w:hAnsi="Times New Roman" w:cs="Times New Roman"/>
          <w:color w:val="000000" w:themeColor="text1"/>
          <w:sz w:val="20"/>
          <w:szCs w:val="20"/>
          <w:shd w:val="clear" w:color="auto" w:fill="FFFFFF"/>
        </w:rPr>
        <w:t>(Erişim Tarihi: 05.04.2021 ).</w:t>
      </w:r>
    </w:p>
    <w:p w14:paraId="47C21298" w14:textId="77777777" w:rsidR="00C54BC9" w:rsidRPr="00164238" w:rsidRDefault="00C54BC9" w:rsidP="00C54BC9">
      <w:pPr>
        <w:spacing w:before="120" w:after="120" w:line="360" w:lineRule="auto"/>
        <w:ind w:left="709" w:hanging="709"/>
        <w:jc w:val="both"/>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color w:val="000000" w:themeColor="text1"/>
          <w:sz w:val="20"/>
          <w:szCs w:val="20"/>
          <w:shd w:val="clear" w:color="auto" w:fill="FFFFFF"/>
          <w:lang w:val="en-US"/>
        </w:rPr>
        <w:t xml:space="preserve">TÜİK. Sanayi Üretim Endeksi Nisan 2020 Bülteni, </w:t>
      </w:r>
      <w:hyperlink r:id="rId176" w:history="1">
        <w:r w:rsidRPr="00164238">
          <w:rPr>
            <w:rStyle w:val="Balk1Char"/>
            <w:rFonts w:ascii="Times New Roman" w:eastAsiaTheme="minorHAnsi" w:hAnsi="Times New Roman" w:cs="Times New Roman"/>
            <w:color w:val="000000" w:themeColor="text1"/>
            <w:sz w:val="20"/>
            <w:szCs w:val="20"/>
            <w:shd w:val="clear" w:color="auto" w:fill="FFFFFF"/>
          </w:rPr>
          <w:t>https://tuikweb.tuik.gov.tr/HbPrint.do?id=33799</w:t>
        </w:r>
      </w:hyperlink>
      <w:r w:rsidRPr="00164238">
        <w:rPr>
          <w:rFonts w:ascii="Times New Roman" w:hAnsi="Times New Roman" w:cs="Times New Roman"/>
          <w:color w:val="000000" w:themeColor="text1"/>
          <w:sz w:val="20"/>
          <w:szCs w:val="20"/>
          <w:shd w:val="clear" w:color="auto" w:fill="FFFFFF"/>
          <w:lang w:val="en-US"/>
        </w:rPr>
        <w:t xml:space="preserve">, </w:t>
      </w:r>
      <w:r w:rsidRPr="00164238">
        <w:rPr>
          <w:rFonts w:ascii="Times New Roman" w:hAnsi="Times New Roman" w:cs="Times New Roman"/>
          <w:color w:val="000000" w:themeColor="text1"/>
          <w:sz w:val="20"/>
          <w:szCs w:val="20"/>
          <w:shd w:val="clear" w:color="auto" w:fill="FFFFFF"/>
        </w:rPr>
        <w:t>(Erişim Tarihi: 05.04.2021).</w:t>
      </w:r>
    </w:p>
    <w:p w14:paraId="7B501DF1" w14:textId="77777777" w:rsidR="00C54BC9" w:rsidRPr="00164238" w:rsidRDefault="00C54BC9" w:rsidP="00C54BC9">
      <w:pPr>
        <w:spacing w:before="120" w:after="120" w:line="360" w:lineRule="auto"/>
        <w:ind w:left="709" w:hanging="709"/>
        <w:jc w:val="both"/>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color w:val="000000" w:themeColor="text1"/>
          <w:sz w:val="20"/>
          <w:szCs w:val="20"/>
          <w:shd w:val="clear" w:color="auto" w:fill="FFFFFF"/>
          <w:lang w:val="en-US"/>
        </w:rPr>
        <w:t>TÜİK Sanayi Üretim Endeksi Mayıs 2020 Bülteni,</w:t>
      </w:r>
      <w:r w:rsidRPr="00164238">
        <w:rPr>
          <w:rFonts w:ascii="Times New Roman" w:hAnsi="Times New Roman" w:cs="Times New Roman"/>
          <w:color w:val="000000" w:themeColor="text1"/>
          <w:sz w:val="20"/>
          <w:szCs w:val="20"/>
        </w:rPr>
        <w:t xml:space="preserve"> </w:t>
      </w:r>
      <w:hyperlink r:id="rId177" w:history="1">
        <w:r w:rsidRPr="00164238">
          <w:rPr>
            <w:rStyle w:val="Balk1Char"/>
            <w:rFonts w:ascii="Times New Roman" w:eastAsiaTheme="minorHAnsi" w:hAnsi="Times New Roman" w:cs="Times New Roman"/>
            <w:color w:val="000000" w:themeColor="text1"/>
            <w:sz w:val="20"/>
            <w:szCs w:val="20"/>
            <w:shd w:val="clear" w:color="auto" w:fill="FFFFFF"/>
          </w:rPr>
          <w:t>https://tuikweb.tuik.gov.tr/HbPrint.do?id=33800</w:t>
        </w:r>
      </w:hyperlink>
      <w:r w:rsidRPr="00164238">
        <w:rPr>
          <w:rFonts w:ascii="Times New Roman" w:hAnsi="Times New Roman" w:cs="Times New Roman"/>
          <w:color w:val="000000" w:themeColor="text1"/>
          <w:sz w:val="20"/>
          <w:szCs w:val="20"/>
          <w:shd w:val="clear" w:color="auto" w:fill="FFFFFF"/>
          <w:lang w:val="en-US"/>
        </w:rPr>
        <w:t xml:space="preserve">, </w:t>
      </w:r>
      <w:r w:rsidRPr="00164238">
        <w:rPr>
          <w:rFonts w:ascii="Times New Roman" w:hAnsi="Times New Roman" w:cs="Times New Roman"/>
          <w:color w:val="000000" w:themeColor="text1"/>
          <w:sz w:val="20"/>
          <w:szCs w:val="20"/>
          <w:shd w:val="clear" w:color="auto" w:fill="FFFFFF"/>
        </w:rPr>
        <w:t>(Erişim Tarihi: 05.04.2021).</w:t>
      </w:r>
    </w:p>
    <w:p w14:paraId="4B99A6C1" w14:textId="77777777" w:rsidR="00C54BC9" w:rsidRPr="00164238" w:rsidRDefault="00C54BC9" w:rsidP="00C54BC9">
      <w:pPr>
        <w:spacing w:before="120" w:after="120" w:line="360" w:lineRule="auto"/>
        <w:ind w:left="709" w:hanging="709"/>
        <w:jc w:val="both"/>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color w:val="000000" w:themeColor="text1"/>
          <w:sz w:val="20"/>
          <w:szCs w:val="20"/>
          <w:shd w:val="clear" w:color="auto" w:fill="FFFFFF"/>
          <w:lang w:val="en-US"/>
        </w:rPr>
        <w:t xml:space="preserve">TÜİK Sanayi Üretim Endeksi Haziran 2020 Bülteni, </w:t>
      </w:r>
      <w:hyperlink r:id="rId178" w:history="1">
        <w:r w:rsidRPr="00164238">
          <w:rPr>
            <w:rStyle w:val="Balk1Char"/>
            <w:rFonts w:ascii="Times New Roman" w:eastAsiaTheme="minorHAnsi" w:hAnsi="Times New Roman" w:cs="Times New Roman"/>
            <w:color w:val="000000" w:themeColor="text1"/>
            <w:sz w:val="20"/>
            <w:szCs w:val="20"/>
            <w:shd w:val="clear" w:color="auto" w:fill="FFFFFF"/>
          </w:rPr>
          <w:t>https://tuikweb.tuik.gov.tr/HbPrint.do?id=33801</w:t>
        </w:r>
      </w:hyperlink>
      <w:r w:rsidRPr="00164238">
        <w:rPr>
          <w:rFonts w:ascii="Times New Roman" w:hAnsi="Times New Roman" w:cs="Times New Roman"/>
          <w:color w:val="000000" w:themeColor="text1"/>
          <w:sz w:val="20"/>
          <w:szCs w:val="20"/>
          <w:shd w:val="clear" w:color="auto" w:fill="FFFFFF"/>
          <w:lang w:val="en-US"/>
        </w:rPr>
        <w:t xml:space="preserve">, </w:t>
      </w:r>
      <w:r w:rsidRPr="00164238">
        <w:rPr>
          <w:rFonts w:ascii="Times New Roman" w:hAnsi="Times New Roman" w:cs="Times New Roman"/>
          <w:color w:val="000000" w:themeColor="text1"/>
          <w:sz w:val="20"/>
          <w:szCs w:val="20"/>
          <w:shd w:val="clear" w:color="auto" w:fill="FFFFFF"/>
        </w:rPr>
        <w:t>(Erişim Tarihi:05.04.2021).</w:t>
      </w:r>
    </w:p>
    <w:p w14:paraId="609F0BDC" w14:textId="77777777" w:rsidR="00C54BC9" w:rsidRPr="00164238" w:rsidRDefault="00C54BC9" w:rsidP="00C54BC9">
      <w:pPr>
        <w:spacing w:before="120" w:after="120" w:line="360" w:lineRule="auto"/>
        <w:ind w:left="709" w:hanging="709"/>
        <w:rPr>
          <w:rFonts w:ascii="Times New Roman" w:hAnsi="Times New Roman" w:cs="Times New Roman"/>
          <w:color w:val="000000" w:themeColor="text1"/>
          <w:sz w:val="20"/>
          <w:szCs w:val="20"/>
          <w:shd w:val="clear" w:color="auto" w:fill="FFFFFF"/>
        </w:rPr>
      </w:pPr>
      <w:r w:rsidRPr="00164238">
        <w:rPr>
          <w:rFonts w:ascii="Times New Roman" w:hAnsi="Times New Roman" w:cs="Times New Roman"/>
          <w:color w:val="000000" w:themeColor="text1"/>
          <w:sz w:val="20"/>
          <w:szCs w:val="20"/>
          <w:shd w:val="clear" w:color="auto" w:fill="FFFFFF"/>
          <w:lang w:val="en-US"/>
        </w:rPr>
        <w:t xml:space="preserve">TÜİK. Sanayi Üretim Endeksi Aralık 2020 Bülteni, </w:t>
      </w:r>
      <w:hyperlink r:id="rId179" w:history="1">
        <w:r w:rsidRPr="00164238">
          <w:rPr>
            <w:rStyle w:val="Balk1Char"/>
            <w:rFonts w:ascii="Times New Roman" w:eastAsiaTheme="minorHAnsi" w:hAnsi="Times New Roman" w:cs="Times New Roman"/>
            <w:color w:val="000000" w:themeColor="text1"/>
            <w:sz w:val="20"/>
            <w:szCs w:val="20"/>
            <w:shd w:val="clear" w:color="auto" w:fill="FFFFFF"/>
          </w:rPr>
          <w:t>https://data.tuik.gov.tr/Bulten/GetBPdf?id=37295</w:t>
        </w:r>
      </w:hyperlink>
      <w:r w:rsidRPr="00164238">
        <w:rPr>
          <w:rFonts w:ascii="Times New Roman" w:hAnsi="Times New Roman" w:cs="Times New Roman"/>
          <w:color w:val="000000" w:themeColor="text1"/>
          <w:sz w:val="20"/>
          <w:szCs w:val="20"/>
          <w:shd w:val="clear" w:color="auto" w:fill="FFFFFF"/>
        </w:rPr>
        <w:t xml:space="preserve"> </w:t>
      </w:r>
      <w:bookmarkStart w:id="90" w:name="_Hlk69390178"/>
      <w:r w:rsidRPr="00164238">
        <w:rPr>
          <w:rFonts w:ascii="Times New Roman" w:hAnsi="Times New Roman" w:cs="Times New Roman"/>
          <w:color w:val="000000" w:themeColor="text1"/>
          <w:sz w:val="20"/>
          <w:szCs w:val="20"/>
          <w:shd w:val="clear" w:color="auto" w:fill="FFFFFF"/>
        </w:rPr>
        <w:t>(Erişim Tarihi: 05.04.2021)</w:t>
      </w:r>
      <w:bookmarkEnd w:id="90"/>
      <w:r w:rsidRPr="00164238">
        <w:rPr>
          <w:rFonts w:ascii="Times New Roman" w:hAnsi="Times New Roman" w:cs="Times New Roman"/>
          <w:color w:val="000000" w:themeColor="text1"/>
          <w:sz w:val="20"/>
          <w:szCs w:val="20"/>
          <w:shd w:val="clear" w:color="auto" w:fill="FFFFFF"/>
        </w:rPr>
        <w:t>.</w:t>
      </w:r>
    </w:p>
    <w:p w14:paraId="35ACCE1E" w14:textId="77777777" w:rsidR="00254933" w:rsidRPr="00164238" w:rsidRDefault="00C54BC9" w:rsidP="00254933">
      <w:pPr>
        <w:spacing w:before="120" w:after="120" w:line="360" w:lineRule="auto"/>
        <w:ind w:left="709" w:hanging="709"/>
        <w:jc w:val="both"/>
        <w:rPr>
          <w:rFonts w:ascii="Times New Roman" w:hAnsi="Times New Roman" w:cs="Times New Roman"/>
          <w:color w:val="000000" w:themeColor="text1"/>
          <w:sz w:val="20"/>
          <w:szCs w:val="20"/>
          <w:shd w:val="clear" w:color="auto" w:fill="FFFFFF"/>
        </w:rPr>
      </w:pPr>
      <w:r w:rsidRPr="00164238">
        <w:rPr>
          <w:rFonts w:ascii="Times New Roman" w:hAnsi="Times New Roman" w:cs="Times New Roman"/>
          <w:color w:val="000000" w:themeColor="text1"/>
          <w:sz w:val="20"/>
          <w:szCs w:val="20"/>
          <w:shd w:val="clear" w:color="auto" w:fill="FFFFFF"/>
          <w:lang w:val="en-US"/>
        </w:rPr>
        <w:t xml:space="preserve">TÜİK. Tüm Ekonomik Faaliyetlerin Uluslararası Standart Sanayi Sınıflamas, ISIC Rev.4,  </w:t>
      </w:r>
      <w:hyperlink r:id="rId180" w:history="1">
        <w:r w:rsidRPr="00164238">
          <w:rPr>
            <w:rStyle w:val="Balk1Char"/>
            <w:rFonts w:ascii="Times New Roman" w:eastAsiaTheme="minorHAnsi" w:hAnsi="Times New Roman" w:cs="Times New Roman"/>
            <w:color w:val="000000" w:themeColor="text1"/>
            <w:sz w:val="20"/>
            <w:szCs w:val="20"/>
            <w:shd w:val="clear" w:color="auto" w:fill="FFFFFF"/>
          </w:rPr>
          <w:t>https://biruni.tuik.gov.tr/DIESS/SiniflamaSurumDetayAction.do?surumId=198&amp;turId=1&amp;turAdi=%201.%20Faaliyet%20S%C4%B1n%C4%B1flamalar%C4%B1</w:t>
        </w:r>
      </w:hyperlink>
      <w:r w:rsidRPr="00164238">
        <w:rPr>
          <w:rFonts w:ascii="Times New Roman" w:hAnsi="Times New Roman" w:cs="Times New Roman"/>
          <w:color w:val="000000" w:themeColor="text1"/>
          <w:sz w:val="20"/>
          <w:szCs w:val="20"/>
          <w:shd w:val="clear" w:color="auto" w:fill="FFFFFF"/>
          <w:lang w:val="en-US"/>
        </w:rPr>
        <w:t xml:space="preserve"> </w:t>
      </w:r>
      <w:r w:rsidRPr="00164238">
        <w:rPr>
          <w:rFonts w:ascii="Times New Roman" w:hAnsi="Times New Roman" w:cs="Times New Roman"/>
          <w:color w:val="000000" w:themeColor="text1"/>
          <w:sz w:val="20"/>
          <w:szCs w:val="20"/>
          <w:shd w:val="clear" w:color="auto" w:fill="FFFFFF"/>
        </w:rPr>
        <w:t>(Erişim Tarihi: 03.04.2021 ).</w:t>
      </w:r>
    </w:p>
    <w:p w14:paraId="7E45B0BC" w14:textId="59FEB61A" w:rsidR="00EF4A33" w:rsidRPr="00164238" w:rsidRDefault="00EF4A33" w:rsidP="00254933">
      <w:pPr>
        <w:spacing w:before="120" w:after="120" w:line="360" w:lineRule="auto"/>
        <w:ind w:left="709" w:hanging="709"/>
        <w:jc w:val="both"/>
        <w:rPr>
          <w:rFonts w:ascii="Times New Roman" w:hAnsi="Times New Roman" w:cs="Times New Roman"/>
          <w:b/>
          <w:bCs/>
          <w:color w:val="000000" w:themeColor="text1"/>
        </w:rPr>
      </w:pPr>
    </w:p>
    <w:p w14:paraId="1B9CD9EA" w14:textId="0ACACA64" w:rsidR="00EF4A33" w:rsidRPr="00164238" w:rsidRDefault="00EF4A33" w:rsidP="00254933">
      <w:pPr>
        <w:spacing w:before="120" w:after="120" w:line="360" w:lineRule="auto"/>
        <w:ind w:left="709" w:hanging="709"/>
        <w:jc w:val="both"/>
        <w:rPr>
          <w:rFonts w:ascii="Times New Roman" w:hAnsi="Times New Roman" w:cs="Times New Roman"/>
          <w:b/>
          <w:bCs/>
          <w:color w:val="000000" w:themeColor="text1"/>
        </w:rPr>
      </w:pPr>
    </w:p>
    <w:p w14:paraId="20C31F98" w14:textId="7F2C5BB8" w:rsidR="00EF4A33" w:rsidRPr="00164238" w:rsidRDefault="00EF4A33" w:rsidP="00254933">
      <w:pPr>
        <w:spacing w:before="120" w:after="120" w:line="360" w:lineRule="auto"/>
        <w:ind w:left="709" w:hanging="709"/>
        <w:jc w:val="both"/>
        <w:rPr>
          <w:rFonts w:ascii="Times New Roman" w:hAnsi="Times New Roman" w:cs="Times New Roman"/>
          <w:b/>
          <w:bCs/>
          <w:color w:val="000000" w:themeColor="text1"/>
        </w:rPr>
      </w:pPr>
    </w:p>
    <w:p w14:paraId="0FDFE90D" w14:textId="46FAF88A" w:rsidR="00C54BC9" w:rsidRPr="00164238" w:rsidRDefault="00C54BC9" w:rsidP="00254933">
      <w:pPr>
        <w:spacing w:before="120" w:after="120" w:line="360" w:lineRule="auto"/>
        <w:ind w:left="709" w:hanging="709"/>
        <w:jc w:val="both"/>
        <w:rPr>
          <w:rFonts w:ascii="Times New Roman" w:hAnsi="Times New Roman" w:cs="Times New Roman"/>
          <w:b/>
          <w:bCs/>
          <w:color w:val="000000" w:themeColor="text1"/>
        </w:rPr>
      </w:pPr>
      <w:r w:rsidRPr="00164238">
        <w:rPr>
          <w:rFonts w:ascii="Times New Roman" w:hAnsi="Times New Roman" w:cs="Times New Roman"/>
          <w:b/>
          <w:bCs/>
          <w:color w:val="000000" w:themeColor="text1"/>
        </w:rPr>
        <w:t>Ek:</w:t>
      </w:r>
      <w:r w:rsidR="00254933" w:rsidRPr="00164238">
        <w:rPr>
          <w:rFonts w:ascii="Times New Roman" w:hAnsi="Times New Roman" w:cs="Times New Roman"/>
          <w:b/>
          <w:bCs/>
          <w:color w:val="000000" w:themeColor="text1"/>
        </w:rPr>
        <w:t xml:space="preserve"> </w:t>
      </w:r>
      <w:r w:rsidRPr="00164238">
        <w:rPr>
          <w:rFonts w:ascii="Times New Roman" w:hAnsi="Times New Roman" w:cs="Times New Roman"/>
          <w:b/>
          <w:bCs/>
          <w:color w:val="000000" w:themeColor="text1"/>
        </w:rPr>
        <w:t>İmalat Sanayii Alt Sektörleri (ISIC Rev.4)</w:t>
      </w:r>
    </w:p>
    <w:tbl>
      <w:tblPr>
        <w:tblW w:w="8561" w:type="dxa"/>
        <w:tblCellMar>
          <w:left w:w="70" w:type="dxa"/>
          <w:right w:w="70" w:type="dxa"/>
        </w:tblCellMar>
        <w:tblLook w:val="04A0" w:firstRow="1" w:lastRow="0" w:firstColumn="1" w:lastColumn="0" w:noHBand="0" w:noVBand="1"/>
      </w:tblPr>
      <w:tblGrid>
        <w:gridCol w:w="737"/>
        <w:gridCol w:w="7824"/>
      </w:tblGrid>
      <w:tr w:rsidR="00164238" w:rsidRPr="00164238" w14:paraId="2FCE929E" w14:textId="77777777" w:rsidTr="00682CBF">
        <w:trPr>
          <w:trHeight w:val="300"/>
        </w:trPr>
        <w:tc>
          <w:tcPr>
            <w:tcW w:w="737" w:type="dxa"/>
            <w:tcBorders>
              <w:top w:val="single" w:sz="4" w:space="0" w:color="auto"/>
              <w:left w:val="single" w:sz="4" w:space="0" w:color="auto"/>
              <w:bottom w:val="single" w:sz="4" w:space="0" w:color="auto"/>
              <w:right w:val="single" w:sz="4" w:space="0" w:color="auto"/>
            </w:tcBorders>
            <w:shd w:val="clear" w:color="auto" w:fill="auto"/>
            <w:noWrap/>
            <w:hideMark/>
          </w:tcPr>
          <w:p w14:paraId="1BFC6414"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 Kod No</w:t>
            </w:r>
          </w:p>
        </w:tc>
        <w:tc>
          <w:tcPr>
            <w:tcW w:w="7824" w:type="dxa"/>
            <w:tcBorders>
              <w:top w:val="single" w:sz="4" w:space="0" w:color="auto"/>
              <w:left w:val="nil"/>
              <w:bottom w:val="single" w:sz="4" w:space="0" w:color="auto"/>
              <w:right w:val="single" w:sz="4" w:space="0" w:color="auto"/>
            </w:tcBorders>
            <w:shd w:val="clear" w:color="auto" w:fill="auto"/>
            <w:vAlign w:val="center"/>
            <w:hideMark/>
          </w:tcPr>
          <w:p w14:paraId="3C980A43" w14:textId="77777777" w:rsidR="00C54BC9" w:rsidRPr="00164238" w:rsidRDefault="00C54BC9" w:rsidP="00682CBF">
            <w:pPr>
              <w:spacing w:after="0" w:line="240" w:lineRule="auto"/>
              <w:jc w:val="center"/>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 xml:space="preserve">İmalat Sanayii </w:t>
            </w:r>
          </w:p>
        </w:tc>
      </w:tr>
      <w:tr w:rsidR="00164238" w:rsidRPr="00164238" w14:paraId="016FCC29" w14:textId="77777777" w:rsidTr="00682CBF">
        <w:trPr>
          <w:trHeight w:val="300"/>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22DB8EEB"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10</w:t>
            </w:r>
          </w:p>
        </w:tc>
        <w:tc>
          <w:tcPr>
            <w:tcW w:w="7824" w:type="dxa"/>
            <w:tcBorders>
              <w:top w:val="nil"/>
              <w:left w:val="nil"/>
              <w:bottom w:val="single" w:sz="4" w:space="0" w:color="auto"/>
              <w:right w:val="single" w:sz="4" w:space="0" w:color="auto"/>
            </w:tcBorders>
            <w:shd w:val="clear" w:color="auto" w:fill="auto"/>
            <w:vAlign w:val="center"/>
            <w:hideMark/>
          </w:tcPr>
          <w:p w14:paraId="5C0686D7"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 xml:space="preserve">Gıda ürünlerinin imalatı </w:t>
            </w:r>
          </w:p>
        </w:tc>
      </w:tr>
      <w:tr w:rsidR="00164238" w:rsidRPr="00164238" w14:paraId="515E27D7" w14:textId="77777777" w:rsidTr="00682CBF">
        <w:trPr>
          <w:trHeight w:val="300"/>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38F80382"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11</w:t>
            </w:r>
          </w:p>
        </w:tc>
        <w:tc>
          <w:tcPr>
            <w:tcW w:w="7824" w:type="dxa"/>
            <w:tcBorders>
              <w:top w:val="nil"/>
              <w:left w:val="nil"/>
              <w:bottom w:val="single" w:sz="4" w:space="0" w:color="auto"/>
              <w:right w:val="single" w:sz="4" w:space="0" w:color="auto"/>
            </w:tcBorders>
            <w:shd w:val="clear" w:color="auto" w:fill="auto"/>
            <w:vAlign w:val="center"/>
            <w:hideMark/>
          </w:tcPr>
          <w:p w14:paraId="1DAB5810"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 xml:space="preserve">İçeceklerin imalatı </w:t>
            </w:r>
          </w:p>
        </w:tc>
      </w:tr>
      <w:tr w:rsidR="00164238" w:rsidRPr="00164238" w14:paraId="033DAF15" w14:textId="77777777" w:rsidTr="00682CBF">
        <w:trPr>
          <w:trHeight w:val="300"/>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242B4EA1"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12</w:t>
            </w:r>
          </w:p>
        </w:tc>
        <w:tc>
          <w:tcPr>
            <w:tcW w:w="7824" w:type="dxa"/>
            <w:tcBorders>
              <w:top w:val="nil"/>
              <w:left w:val="nil"/>
              <w:bottom w:val="single" w:sz="4" w:space="0" w:color="auto"/>
              <w:right w:val="single" w:sz="4" w:space="0" w:color="auto"/>
            </w:tcBorders>
            <w:shd w:val="clear" w:color="auto" w:fill="auto"/>
            <w:vAlign w:val="center"/>
            <w:hideMark/>
          </w:tcPr>
          <w:p w14:paraId="2C744311"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 xml:space="preserve">Tütün ürünleri imalatı </w:t>
            </w:r>
          </w:p>
        </w:tc>
      </w:tr>
      <w:tr w:rsidR="00164238" w:rsidRPr="00164238" w14:paraId="36E6DDF8" w14:textId="77777777" w:rsidTr="00682CBF">
        <w:trPr>
          <w:trHeight w:val="300"/>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70726C2D"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13</w:t>
            </w:r>
          </w:p>
        </w:tc>
        <w:tc>
          <w:tcPr>
            <w:tcW w:w="7824" w:type="dxa"/>
            <w:tcBorders>
              <w:top w:val="nil"/>
              <w:left w:val="nil"/>
              <w:bottom w:val="single" w:sz="4" w:space="0" w:color="auto"/>
              <w:right w:val="single" w:sz="4" w:space="0" w:color="auto"/>
            </w:tcBorders>
            <w:shd w:val="clear" w:color="auto" w:fill="auto"/>
            <w:vAlign w:val="center"/>
            <w:hideMark/>
          </w:tcPr>
          <w:p w14:paraId="70ACF95A"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 xml:space="preserve">Tekstil ürünlerinin imalatı </w:t>
            </w:r>
          </w:p>
        </w:tc>
      </w:tr>
      <w:tr w:rsidR="00164238" w:rsidRPr="00164238" w14:paraId="7F38B90B" w14:textId="77777777" w:rsidTr="00682CBF">
        <w:trPr>
          <w:trHeight w:val="300"/>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51DE38B4"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14</w:t>
            </w:r>
          </w:p>
        </w:tc>
        <w:tc>
          <w:tcPr>
            <w:tcW w:w="7824" w:type="dxa"/>
            <w:tcBorders>
              <w:top w:val="nil"/>
              <w:left w:val="nil"/>
              <w:bottom w:val="single" w:sz="4" w:space="0" w:color="auto"/>
              <w:right w:val="single" w:sz="4" w:space="0" w:color="auto"/>
            </w:tcBorders>
            <w:shd w:val="clear" w:color="auto" w:fill="auto"/>
            <w:vAlign w:val="center"/>
            <w:hideMark/>
          </w:tcPr>
          <w:p w14:paraId="5532216A"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Giyim eşyalarının imalatı</w:t>
            </w:r>
          </w:p>
        </w:tc>
      </w:tr>
      <w:tr w:rsidR="00164238" w:rsidRPr="00164238" w14:paraId="0645E146" w14:textId="77777777" w:rsidTr="00682CBF">
        <w:trPr>
          <w:trHeight w:val="300"/>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3E1FDD86"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15</w:t>
            </w:r>
          </w:p>
        </w:tc>
        <w:tc>
          <w:tcPr>
            <w:tcW w:w="7824" w:type="dxa"/>
            <w:tcBorders>
              <w:top w:val="nil"/>
              <w:left w:val="nil"/>
              <w:bottom w:val="single" w:sz="4" w:space="0" w:color="auto"/>
              <w:right w:val="single" w:sz="4" w:space="0" w:color="auto"/>
            </w:tcBorders>
            <w:shd w:val="clear" w:color="auto" w:fill="auto"/>
            <w:vAlign w:val="center"/>
            <w:hideMark/>
          </w:tcPr>
          <w:p w14:paraId="67822156"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 xml:space="preserve">Deri ve ilgili  ürünlerin imalatı </w:t>
            </w:r>
          </w:p>
        </w:tc>
      </w:tr>
      <w:tr w:rsidR="00164238" w:rsidRPr="00164238" w14:paraId="07212010" w14:textId="77777777" w:rsidTr="00682CBF">
        <w:trPr>
          <w:trHeight w:val="300"/>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41DFE5AA"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16</w:t>
            </w:r>
          </w:p>
        </w:tc>
        <w:tc>
          <w:tcPr>
            <w:tcW w:w="7824" w:type="dxa"/>
            <w:tcBorders>
              <w:top w:val="nil"/>
              <w:left w:val="nil"/>
              <w:bottom w:val="single" w:sz="4" w:space="0" w:color="auto"/>
              <w:right w:val="single" w:sz="4" w:space="0" w:color="auto"/>
            </w:tcBorders>
            <w:shd w:val="clear" w:color="auto" w:fill="auto"/>
            <w:vAlign w:val="center"/>
            <w:hideMark/>
          </w:tcPr>
          <w:p w14:paraId="457A7D2E"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Ağaç, ağaç ürünleri ve mantar ürünleri imalatı (mobilya hariç); saz, saman ve benzeri malzemelerden örülerek eşya imalatı</w:t>
            </w:r>
          </w:p>
        </w:tc>
      </w:tr>
      <w:tr w:rsidR="00164238" w:rsidRPr="00164238" w14:paraId="4C20D514" w14:textId="77777777" w:rsidTr="00682CBF">
        <w:trPr>
          <w:trHeight w:val="300"/>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1CD7AAD4"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17</w:t>
            </w:r>
          </w:p>
        </w:tc>
        <w:tc>
          <w:tcPr>
            <w:tcW w:w="7824" w:type="dxa"/>
            <w:tcBorders>
              <w:top w:val="nil"/>
              <w:left w:val="nil"/>
              <w:bottom w:val="single" w:sz="4" w:space="0" w:color="auto"/>
              <w:right w:val="single" w:sz="4" w:space="0" w:color="auto"/>
            </w:tcBorders>
            <w:shd w:val="clear" w:color="auto" w:fill="auto"/>
            <w:vAlign w:val="center"/>
            <w:hideMark/>
          </w:tcPr>
          <w:p w14:paraId="18C15684"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Kağıt ve kağıt ürünlerinin imalatı</w:t>
            </w:r>
          </w:p>
        </w:tc>
      </w:tr>
      <w:tr w:rsidR="00164238" w:rsidRPr="00164238" w14:paraId="22586592" w14:textId="77777777" w:rsidTr="00682CBF">
        <w:trPr>
          <w:trHeight w:val="300"/>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229B32EA"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18</w:t>
            </w:r>
          </w:p>
        </w:tc>
        <w:tc>
          <w:tcPr>
            <w:tcW w:w="7824" w:type="dxa"/>
            <w:tcBorders>
              <w:top w:val="nil"/>
              <w:left w:val="nil"/>
              <w:bottom w:val="single" w:sz="4" w:space="0" w:color="auto"/>
              <w:right w:val="single" w:sz="4" w:space="0" w:color="auto"/>
            </w:tcBorders>
            <w:shd w:val="clear" w:color="auto" w:fill="auto"/>
            <w:vAlign w:val="center"/>
            <w:hideMark/>
          </w:tcPr>
          <w:p w14:paraId="36FCFBE6"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 xml:space="preserve">Kayıtlı medyanın basılması ve çoğaltılması </w:t>
            </w:r>
          </w:p>
        </w:tc>
      </w:tr>
      <w:tr w:rsidR="00164238" w:rsidRPr="00164238" w14:paraId="18BD7CFC" w14:textId="77777777" w:rsidTr="00682CBF">
        <w:trPr>
          <w:trHeight w:val="300"/>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343D62AA"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19</w:t>
            </w:r>
          </w:p>
        </w:tc>
        <w:tc>
          <w:tcPr>
            <w:tcW w:w="7824" w:type="dxa"/>
            <w:tcBorders>
              <w:top w:val="nil"/>
              <w:left w:val="nil"/>
              <w:bottom w:val="single" w:sz="4" w:space="0" w:color="auto"/>
              <w:right w:val="single" w:sz="4" w:space="0" w:color="auto"/>
            </w:tcBorders>
            <w:shd w:val="clear" w:color="auto" w:fill="auto"/>
            <w:vAlign w:val="center"/>
            <w:hideMark/>
          </w:tcPr>
          <w:p w14:paraId="31FED852"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Kok kömürü ve rafine edilmiş petrol ürünleri imalatı</w:t>
            </w:r>
          </w:p>
        </w:tc>
      </w:tr>
      <w:tr w:rsidR="00164238" w:rsidRPr="00164238" w14:paraId="003DEAD1" w14:textId="77777777" w:rsidTr="00682CBF">
        <w:trPr>
          <w:trHeight w:val="300"/>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3870960E"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20</w:t>
            </w:r>
          </w:p>
        </w:tc>
        <w:tc>
          <w:tcPr>
            <w:tcW w:w="7824" w:type="dxa"/>
            <w:tcBorders>
              <w:top w:val="nil"/>
              <w:left w:val="nil"/>
              <w:bottom w:val="single" w:sz="4" w:space="0" w:color="auto"/>
              <w:right w:val="single" w:sz="4" w:space="0" w:color="auto"/>
            </w:tcBorders>
            <w:shd w:val="clear" w:color="auto" w:fill="auto"/>
            <w:vAlign w:val="center"/>
            <w:hideMark/>
          </w:tcPr>
          <w:p w14:paraId="52396E01"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Kimyasalların ve kimyasal ürünlerin imalatı</w:t>
            </w:r>
          </w:p>
        </w:tc>
      </w:tr>
      <w:tr w:rsidR="00164238" w:rsidRPr="00164238" w14:paraId="27481A2F" w14:textId="77777777" w:rsidTr="00682CBF">
        <w:trPr>
          <w:trHeight w:val="300"/>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62660E38"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21</w:t>
            </w:r>
          </w:p>
        </w:tc>
        <w:tc>
          <w:tcPr>
            <w:tcW w:w="7824" w:type="dxa"/>
            <w:tcBorders>
              <w:top w:val="nil"/>
              <w:left w:val="nil"/>
              <w:bottom w:val="single" w:sz="4" w:space="0" w:color="auto"/>
              <w:right w:val="single" w:sz="4" w:space="0" w:color="auto"/>
            </w:tcBorders>
            <w:shd w:val="clear" w:color="auto" w:fill="auto"/>
            <w:vAlign w:val="center"/>
            <w:hideMark/>
          </w:tcPr>
          <w:p w14:paraId="003C6054"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 xml:space="preserve">Temel eczacılık ürünlerinin ve eczacılığa ait malzemelerin imalatı </w:t>
            </w:r>
          </w:p>
        </w:tc>
      </w:tr>
      <w:tr w:rsidR="00164238" w:rsidRPr="00164238" w14:paraId="4A0049F2" w14:textId="77777777" w:rsidTr="00682CBF">
        <w:trPr>
          <w:trHeight w:val="300"/>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1421423D"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22</w:t>
            </w:r>
          </w:p>
        </w:tc>
        <w:tc>
          <w:tcPr>
            <w:tcW w:w="7824" w:type="dxa"/>
            <w:tcBorders>
              <w:top w:val="nil"/>
              <w:left w:val="nil"/>
              <w:bottom w:val="single" w:sz="4" w:space="0" w:color="auto"/>
              <w:right w:val="single" w:sz="4" w:space="0" w:color="auto"/>
            </w:tcBorders>
            <w:shd w:val="clear" w:color="auto" w:fill="auto"/>
            <w:vAlign w:val="center"/>
            <w:hideMark/>
          </w:tcPr>
          <w:p w14:paraId="5AF6D2C2"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 xml:space="preserve">Kauçuk ve plastik ürünlerin imalatı </w:t>
            </w:r>
          </w:p>
        </w:tc>
      </w:tr>
      <w:tr w:rsidR="00164238" w:rsidRPr="00164238" w14:paraId="637AA84E" w14:textId="77777777" w:rsidTr="00682CBF">
        <w:trPr>
          <w:trHeight w:val="300"/>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0821B138"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23</w:t>
            </w:r>
          </w:p>
        </w:tc>
        <w:tc>
          <w:tcPr>
            <w:tcW w:w="7824" w:type="dxa"/>
            <w:tcBorders>
              <w:top w:val="nil"/>
              <w:left w:val="nil"/>
              <w:bottom w:val="single" w:sz="4" w:space="0" w:color="auto"/>
              <w:right w:val="single" w:sz="4" w:space="0" w:color="auto"/>
            </w:tcBorders>
            <w:shd w:val="clear" w:color="auto" w:fill="auto"/>
            <w:vAlign w:val="center"/>
            <w:hideMark/>
          </w:tcPr>
          <w:p w14:paraId="0F985ED4"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 xml:space="preserve">Diğer metalik olmayan mineral ürünlerin imalatı </w:t>
            </w:r>
          </w:p>
        </w:tc>
      </w:tr>
      <w:tr w:rsidR="00164238" w:rsidRPr="00164238" w14:paraId="4D4BCE9F" w14:textId="77777777" w:rsidTr="00682CBF">
        <w:trPr>
          <w:trHeight w:val="300"/>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7397A880"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24</w:t>
            </w:r>
          </w:p>
        </w:tc>
        <w:tc>
          <w:tcPr>
            <w:tcW w:w="7824" w:type="dxa"/>
            <w:tcBorders>
              <w:top w:val="nil"/>
              <w:left w:val="nil"/>
              <w:bottom w:val="single" w:sz="4" w:space="0" w:color="auto"/>
              <w:right w:val="single" w:sz="4" w:space="0" w:color="auto"/>
            </w:tcBorders>
            <w:shd w:val="clear" w:color="auto" w:fill="auto"/>
            <w:vAlign w:val="center"/>
            <w:hideMark/>
          </w:tcPr>
          <w:p w14:paraId="1C28337C"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 xml:space="preserve">Ana metal sanayii </w:t>
            </w:r>
          </w:p>
        </w:tc>
      </w:tr>
      <w:tr w:rsidR="00164238" w:rsidRPr="00164238" w14:paraId="3EA736DC" w14:textId="77777777" w:rsidTr="00682CBF">
        <w:trPr>
          <w:trHeight w:val="300"/>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70429AE7"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bookmarkStart w:id="91" w:name="_Hlk69240704"/>
            <w:r w:rsidRPr="00164238">
              <w:rPr>
                <w:rFonts w:ascii="Times New Roman" w:eastAsia="Times New Roman" w:hAnsi="Times New Roman" w:cs="Times New Roman"/>
                <w:b/>
                <w:bCs/>
                <w:color w:val="000000" w:themeColor="text1"/>
                <w:lang w:eastAsia="tr-TR"/>
              </w:rPr>
              <w:t>25</w:t>
            </w:r>
          </w:p>
        </w:tc>
        <w:tc>
          <w:tcPr>
            <w:tcW w:w="7824" w:type="dxa"/>
            <w:tcBorders>
              <w:top w:val="nil"/>
              <w:left w:val="nil"/>
              <w:bottom w:val="single" w:sz="4" w:space="0" w:color="auto"/>
              <w:right w:val="single" w:sz="4" w:space="0" w:color="auto"/>
            </w:tcBorders>
            <w:shd w:val="clear" w:color="auto" w:fill="auto"/>
            <w:vAlign w:val="center"/>
            <w:hideMark/>
          </w:tcPr>
          <w:p w14:paraId="463D7466"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 xml:space="preserve">Makine ve teçhizat hariç, fabrikasyon metal ürünleri imalatı </w:t>
            </w:r>
          </w:p>
        </w:tc>
      </w:tr>
      <w:bookmarkEnd w:id="91"/>
      <w:tr w:rsidR="00164238" w:rsidRPr="00164238" w14:paraId="27C87AAF" w14:textId="77777777" w:rsidTr="00682CBF">
        <w:trPr>
          <w:trHeight w:val="300"/>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2FF06C8A"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26</w:t>
            </w:r>
          </w:p>
        </w:tc>
        <w:tc>
          <w:tcPr>
            <w:tcW w:w="7824" w:type="dxa"/>
            <w:tcBorders>
              <w:top w:val="nil"/>
              <w:left w:val="nil"/>
              <w:bottom w:val="single" w:sz="4" w:space="0" w:color="auto"/>
              <w:right w:val="single" w:sz="4" w:space="0" w:color="auto"/>
            </w:tcBorders>
            <w:shd w:val="clear" w:color="auto" w:fill="auto"/>
            <w:vAlign w:val="center"/>
            <w:hideMark/>
          </w:tcPr>
          <w:p w14:paraId="3580C313"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 xml:space="preserve">Bilgisayarların, elektronik ve optik ürünlerin imalatı </w:t>
            </w:r>
          </w:p>
        </w:tc>
      </w:tr>
      <w:tr w:rsidR="00164238" w:rsidRPr="00164238" w14:paraId="2163638F" w14:textId="77777777" w:rsidTr="00682CBF">
        <w:trPr>
          <w:trHeight w:val="300"/>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511749B0"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27</w:t>
            </w:r>
          </w:p>
        </w:tc>
        <w:tc>
          <w:tcPr>
            <w:tcW w:w="7824" w:type="dxa"/>
            <w:tcBorders>
              <w:top w:val="nil"/>
              <w:left w:val="nil"/>
              <w:bottom w:val="single" w:sz="4" w:space="0" w:color="auto"/>
              <w:right w:val="single" w:sz="4" w:space="0" w:color="auto"/>
            </w:tcBorders>
            <w:shd w:val="clear" w:color="auto" w:fill="auto"/>
            <w:vAlign w:val="center"/>
            <w:hideMark/>
          </w:tcPr>
          <w:p w14:paraId="0572D509"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 xml:space="preserve">Elektrikli teçhizat imalatı </w:t>
            </w:r>
          </w:p>
        </w:tc>
      </w:tr>
      <w:tr w:rsidR="00164238" w:rsidRPr="00164238" w14:paraId="52BDFCD4" w14:textId="77777777" w:rsidTr="00682CBF">
        <w:trPr>
          <w:trHeight w:val="300"/>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7CEF1BA5"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28</w:t>
            </w:r>
          </w:p>
        </w:tc>
        <w:tc>
          <w:tcPr>
            <w:tcW w:w="7824" w:type="dxa"/>
            <w:tcBorders>
              <w:top w:val="nil"/>
              <w:left w:val="nil"/>
              <w:bottom w:val="single" w:sz="4" w:space="0" w:color="auto"/>
              <w:right w:val="single" w:sz="4" w:space="0" w:color="auto"/>
            </w:tcBorders>
            <w:shd w:val="clear" w:color="auto" w:fill="auto"/>
            <w:vAlign w:val="center"/>
            <w:hideMark/>
          </w:tcPr>
          <w:p w14:paraId="7C0479B5"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 xml:space="preserve">Başka yerde sınıflandırılmamış makine ve teçhizat imalatı </w:t>
            </w:r>
          </w:p>
        </w:tc>
      </w:tr>
      <w:tr w:rsidR="00164238" w:rsidRPr="00164238" w14:paraId="7E7B94FB" w14:textId="77777777" w:rsidTr="00682CBF">
        <w:trPr>
          <w:trHeight w:val="300"/>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5D993664"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29</w:t>
            </w:r>
          </w:p>
        </w:tc>
        <w:tc>
          <w:tcPr>
            <w:tcW w:w="7824" w:type="dxa"/>
            <w:tcBorders>
              <w:top w:val="nil"/>
              <w:left w:val="nil"/>
              <w:bottom w:val="single" w:sz="4" w:space="0" w:color="auto"/>
              <w:right w:val="single" w:sz="4" w:space="0" w:color="auto"/>
            </w:tcBorders>
            <w:shd w:val="clear" w:color="auto" w:fill="auto"/>
            <w:vAlign w:val="center"/>
            <w:hideMark/>
          </w:tcPr>
          <w:p w14:paraId="59C89150"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bookmarkStart w:id="92" w:name="_Hlk69240739"/>
            <w:r w:rsidRPr="00164238">
              <w:rPr>
                <w:rFonts w:ascii="Times New Roman" w:eastAsia="Times New Roman" w:hAnsi="Times New Roman" w:cs="Times New Roman"/>
                <w:color w:val="000000" w:themeColor="text1"/>
                <w:lang w:eastAsia="tr-TR"/>
              </w:rPr>
              <w:t xml:space="preserve">Motorlu kara taşıtı, treyler (römork) ve yarı treyler (yarı römork) imalatı </w:t>
            </w:r>
            <w:bookmarkEnd w:id="92"/>
          </w:p>
        </w:tc>
      </w:tr>
      <w:tr w:rsidR="00164238" w:rsidRPr="00164238" w14:paraId="49057515" w14:textId="77777777" w:rsidTr="00682CBF">
        <w:trPr>
          <w:trHeight w:val="300"/>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660F691A"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30</w:t>
            </w:r>
          </w:p>
        </w:tc>
        <w:tc>
          <w:tcPr>
            <w:tcW w:w="7824" w:type="dxa"/>
            <w:tcBorders>
              <w:top w:val="nil"/>
              <w:left w:val="nil"/>
              <w:bottom w:val="single" w:sz="4" w:space="0" w:color="auto"/>
              <w:right w:val="single" w:sz="4" w:space="0" w:color="auto"/>
            </w:tcBorders>
            <w:shd w:val="clear" w:color="auto" w:fill="auto"/>
            <w:vAlign w:val="center"/>
            <w:hideMark/>
          </w:tcPr>
          <w:p w14:paraId="783FF776"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 xml:space="preserve">Diğer ulaşım araçlarının imalatı </w:t>
            </w:r>
          </w:p>
        </w:tc>
      </w:tr>
      <w:tr w:rsidR="00164238" w:rsidRPr="00164238" w14:paraId="045B3FB2" w14:textId="77777777" w:rsidTr="00682CBF">
        <w:trPr>
          <w:trHeight w:val="300"/>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71699359"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31</w:t>
            </w:r>
          </w:p>
        </w:tc>
        <w:tc>
          <w:tcPr>
            <w:tcW w:w="7824" w:type="dxa"/>
            <w:tcBorders>
              <w:top w:val="nil"/>
              <w:left w:val="nil"/>
              <w:bottom w:val="single" w:sz="4" w:space="0" w:color="auto"/>
              <w:right w:val="single" w:sz="4" w:space="0" w:color="auto"/>
            </w:tcBorders>
            <w:shd w:val="clear" w:color="auto" w:fill="auto"/>
            <w:vAlign w:val="center"/>
            <w:hideMark/>
          </w:tcPr>
          <w:p w14:paraId="7A46ACAC"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 xml:space="preserve">Mobilya imalatı </w:t>
            </w:r>
          </w:p>
        </w:tc>
      </w:tr>
      <w:tr w:rsidR="00164238" w:rsidRPr="00164238" w14:paraId="5978EAD1" w14:textId="77777777" w:rsidTr="00682CBF">
        <w:trPr>
          <w:trHeight w:val="300"/>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3BA730DC"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32</w:t>
            </w:r>
          </w:p>
        </w:tc>
        <w:tc>
          <w:tcPr>
            <w:tcW w:w="7824" w:type="dxa"/>
            <w:tcBorders>
              <w:top w:val="nil"/>
              <w:left w:val="nil"/>
              <w:bottom w:val="single" w:sz="4" w:space="0" w:color="auto"/>
              <w:right w:val="single" w:sz="4" w:space="0" w:color="auto"/>
            </w:tcBorders>
            <w:shd w:val="clear" w:color="auto" w:fill="auto"/>
            <w:vAlign w:val="center"/>
            <w:hideMark/>
          </w:tcPr>
          <w:p w14:paraId="180A2D4F"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 xml:space="preserve">Diğer imalatlar </w:t>
            </w:r>
          </w:p>
        </w:tc>
      </w:tr>
      <w:tr w:rsidR="00164238" w:rsidRPr="00164238" w14:paraId="3183C82A" w14:textId="77777777" w:rsidTr="00682CBF">
        <w:trPr>
          <w:trHeight w:val="300"/>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0ED539D5" w14:textId="77777777" w:rsidR="00C54BC9" w:rsidRPr="00164238" w:rsidRDefault="00C54BC9" w:rsidP="00682CBF">
            <w:pPr>
              <w:spacing w:after="0" w:line="240" w:lineRule="auto"/>
              <w:jc w:val="center"/>
              <w:rPr>
                <w:rFonts w:ascii="Times New Roman" w:eastAsia="Times New Roman" w:hAnsi="Times New Roman" w:cs="Times New Roman"/>
                <w:b/>
                <w:bCs/>
                <w:color w:val="000000" w:themeColor="text1"/>
                <w:lang w:eastAsia="tr-TR"/>
              </w:rPr>
            </w:pPr>
            <w:r w:rsidRPr="00164238">
              <w:rPr>
                <w:rFonts w:ascii="Times New Roman" w:eastAsia="Times New Roman" w:hAnsi="Times New Roman" w:cs="Times New Roman"/>
                <w:b/>
                <w:bCs/>
                <w:color w:val="000000" w:themeColor="text1"/>
                <w:lang w:eastAsia="tr-TR"/>
              </w:rPr>
              <w:t>33</w:t>
            </w:r>
          </w:p>
        </w:tc>
        <w:tc>
          <w:tcPr>
            <w:tcW w:w="7824" w:type="dxa"/>
            <w:tcBorders>
              <w:top w:val="nil"/>
              <w:left w:val="nil"/>
              <w:bottom w:val="single" w:sz="4" w:space="0" w:color="auto"/>
              <w:right w:val="single" w:sz="4" w:space="0" w:color="auto"/>
            </w:tcBorders>
            <w:shd w:val="clear" w:color="auto" w:fill="auto"/>
            <w:vAlign w:val="center"/>
            <w:hideMark/>
          </w:tcPr>
          <w:p w14:paraId="2518550E" w14:textId="77777777" w:rsidR="00C54BC9" w:rsidRPr="00164238" w:rsidRDefault="00C54BC9" w:rsidP="00682CBF">
            <w:pPr>
              <w:spacing w:after="0" w:line="240" w:lineRule="auto"/>
              <w:rPr>
                <w:rFonts w:ascii="Times New Roman" w:eastAsia="Times New Roman" w:hAnsi="Times New Roman" w:cs="Times New Roman"/>
                <w:color w:val="000000" w:themeColor="text1"/>
                <w:lang w:eastAsia="tr-TR"/>
              </w:rPr>
            </w:pPr>
            <w:r w:rsidRPr="00164238">
              <w:rPr>
                <w:rFonts w:ascii="Times New Roman" w:eastAsia="Times New Roman" w:hAnsi="Times New Roman" w:cs="Times New Roman"/>
                <w:color w:val="000000" w:themeColor="text1"/>
                <w:lang w:eastAsia="tr-TR"/>
              </w:rPr>
              <w:t xml:space="preserve">Makine ve donanımların kurulumu ve onarımı </w:t>
            </w:r>
          </w:p>
        </w:tc>
      </w:tr>
    </w:tbl>
    <w:p w14:paraId="27A2B113" w14:textId="097B1BB2" w:rsidR="00C54BC9" w:rsidRPr="00164238" w:rsidRDefault="00C54BC9" w:rsidP="00C54BC9">
      <w:pPr>
        <w:spacing w:line="720" w:lineRule="auto"/>
        <w:rPr>
          <w:rFonts w:ascii="Times New Roman" w:hAnsi="Times New Roman" w:cs="Times New Roman"/>
          <w:color w:val="000000" w:themeColor="text1"/>
        </w:rPr>
      </w:pPr>
      <w:r w:rsidRPr="00164238">
        <w:rPr>
          <w:rFonts w:ascii="Times New Roman" w:hAnsi="Times New Roman" w:cs="Times New Roman"/>
          <w:b/>
          <w:bCs/>
          <w:color w:val="000000" w:themeColor="text1"/>
        </w:rPr>
        <w:t>Kaynak:</w:t>
      </w:r>
      <w:r w:rsidRPr="00164238">
        <w:rPr>
          <w:rFonts w:ascii="Times New Roman" w:hAnsi="Times New Roman" w:cs="Times New Roman"/>
          <w:color w:val="000000" w:themeColor="text1"/>
        </w:rPr>
        <w:t xml:space="preserve"> TÜİK</w:t>
      </w:r>
    </w:p>
    <w:p w14:paraId="52E23E0D" w14:textId="4C735004" w:rsidR="00254933" w:rsidRPr="00164238" w:rsidRDefault="00254933" w:rsidP="00C54BC9">
      <w:pPr>
        <w:spacing w:line="720" w:lineRule="auto"/>
        <w:rPr>
          <w:rFonts w:ascii="Times New Roman" w:hAnsi="Times New Roman" w:cs="Times New Roman"/>
          <w:color w:val="000000" w:themeColor="text1"/>
        </w:rPr>
      </w:pPr>
    </w:p>
    <w:p w14:paraId="7ED17461" w14:textId="446A9FA7" w:rsidR="00254933" w:rsidRPr="00164238" w:rsidRDefault="00254933" w:rsidP="00C54BC9">
      <w:pPr>
        <w:spacing w:line="720" w:lineRule="auto"/>
        <w:rPr>
          <w:rFonts w:ascii="Times New Roman" w:hAnsi="Times New Roman" w:cs="Times New Roman"/>
          <w:color w:val="000000" w:themeColor="text1"/>
        </w:rPr>
      </w:pPr>
    </w:p>
    <w:p w14:paraId="73A17B41" w14:textId="4D5E8EA2" w:rsidR="00254933" w:rsidRPr="00164238" w:rsidRDefault="00452A49" w:rsidP="00EF4A33">
      <w:pPr>
        <w:pStyle w:val="KonuBal"/>
        <w:spacing w:before="1440" w:after="600"/>
        <w:outlineLvl w:val="0"/>
        <w:rPr>
          <w:color w:val="000000" w:themeColor="text1"/>
          <w:szCs w:val="20"/>
          <w:lang w:val="tr-TR"/>
        </w:rPr>
      </w:pPr>
      <w:bookmarkStart w:id="93" w:name="_Toc72961696"/>
      <w:r>
        <w:rPr>
          <w:color w:val="000000" w:themeColor="text1"/>
          <w:lang w:val="tr-TR"/>
        </w:rPr>
        <w:lastRenderedPageBreak/>
        <w:t>K</w:t>
      </w:r>
      <w:r w:rsidR="008F79A8" w:rsidRPr="00164238">
        <w:rPr>
          <w:color w:val="000000" w:themeColor="text1"/>
        </w:rPr>
        <w:t>ORONAV</w:t>
      </w:r>
      <w:r w:rsidR="008F79A8" w:rsidRPr="00164238">
        <w:rPr>
          <w:color w:val="000000" w:themeColor="text1"/>
          <w:lang w:val="tr-TR"/>
        </w:rPr>
        <w:t>İ</w:t>
      </w:r>
      <w:r w:rsidR="008F79A8" w:rsidRPr="00164238">
        <w:rPr>
          <w:color w:val="000000" w:themeColor="text1"/>
        </w:rPr>
        <w:t>RÜS PANDEM</w:t>
      </w:r>
      <w:r w:rsidR="008F79A8" w:rsidRPr="00164238">
        <w:rPr>
          <w:color w:val="000000" w:themeColor="text1"/>
          <w:lang w:val="tr-TR"/>
        </w:rPr>
        <w:t>İ</w:t>
      </w:r>
      <w:r w:rsidR="008F79A8" w:rsidRPr="00164238">
        <w:rPr>
          <w:color w:val="000000" w:themeColor="text1"/>
        </w:rPr>
        <w:t>S</w:t>
      </w:r>
      <w:r w:rsidR="008F79A8" w:rsidRPr="00164238">
        <w:rPr>
          <w:color w:val="000000" w:themeColor="text1"/>
          <w:lang w:val="tr-TR"/>
        </w:rPr>
        <w:t>İ</w:t>
      </w:r>
      <w:r w:rsidR="008F79A8" w:rsidRPr="00164238">
        <w:rPr>
          <w:color w:val="000000" w:themeColor="text1"/>
        </w:rPr>
        <w:t xml:space="preserve"> DÖNEM</w:t>
      </w:r>
      <w:r w:rsidR="008F79A8" w:rsidRPr="00164238">
        <w:rPr>
          <w:color w:val="000000" w:themeColor="text1"/>
          <w:lang w:val="tr-TR"/>
        </w:rPr>
        <w:t>İ</w:t>
      </w:r>
      <w:r w:rsidR="008F79A8" w:rsidRPr="00164238">
        <w:rPr>
          <w:color w:val="000000" w:themeColor="text1"/>
        </w:rPr>
        <w:t>NDE TÜKET</w:t>
      </w:r>
      <w:r w:rsidR="008F79A8" w:rsidRPr="00164238">
        <w:rPr>
          <w:color w:val="000000" w:themeColor="text1"/>
          <w:lang w:val="tr-TR"/>
        </w:rPr>
        <w:t>İ</w:t>
      </w:r>
      <w:r w:rsidR="008F79A8" w:rsidRPr="00164238">
        <w:rPr>
          <w:color w:val="000000" w:themeColor="text1"/>
        </w:rPr>
        <w:t>C</w:t>
      </w:r>
      <w:r w:rsidR="008F79A8" w:rsidRPr="00164238">
        <w:rPr>
          <w:color w:val="000000" w:themeColor="text1"/>
          <w:lang w:val="tr-TR"/>
        </w:rPr>
        <w:t>İ</w:t>
      </w:r>
      <w:r w:rsidR="008F79A8" w:rsidRPr="00164238">
        <w:rPr>
          <w:color w:val="000000" w:themeColor="text1"/>
        </w:rPr>
        <w:t xml:space="preserve"> KRED</w:t>
      </w:r>
      <w:r w:rsidR="008F79A8" w:rsidRPr="00164238">
        <w:rPr>
          <w:color w:val="000000" w:themeColor="text1"/>
          <w:lang w:val="tr-TR"/>
        </w:rPr>
        <w:t>İ</w:t>
      </w:r>
      <w:r w:rsidR="008F79A8" w:rsidRPr="00164238">
        <w:rPr>
          <w:color w:val="000000" w:themeColor="text1"/>
        </w:rPr>
        <w:t xml:space="preserve"> FA</w:t>
      </w:r>
      <w:r w:rsidR="008F79A8" w:rsidRPr="00164238">
        <w:rPr>
          <w:color w:val="000000" w:themeColor="text1"/>
          <w:lang w:val="tr-TR"/>
        </w:rPr>
        <w:t>İ</w:t>
      </w:r>
      <w:r w:rsidR="008F79A8" w:rsidRPr="00164238">
        <w:rPr>
          <w:color w:val="000000" w:themeColor="text1"/>
        </w:rPr>
        <w:t>Z ORANININ YAPAY S</w:t>
      </w:r>
      <w:r w:rsidR="008F79A8" w:rsidRPr="00164238">
        <w:rPr>
          <w:color w:val="000000" w:themeColor="text1"/>
          <w:lang w:val="tr-TR"/>
        </w:rPr>
        <w:t>İ</w:t>
      </w:r>
      <w:r w:rsidR="008F79A8" w:rsidRPr="00164238">
        <w:rPr>
          <w:color w:val="000000" w:themeColor="text1"/>
        </w:rPr>
        <w:t>N</w:t>
      </w:r>
      <w:r w:rsidR="008F79A8" w:rsidRPr="00164238">
        <w:rPr>
          <w:color w:val="000000" w:themeColor="text1"/>
          <w:lang w:val="tr-TR"/>
        </w:rPr>
        <w:t>İ</w:t>
      </w:r>
      <w:r w:rsidR="008F79A8" w:rsidRPr="00164238">
        <w:rPr>
          <w:color w:val="000000" w:themeColor="text1"/>
        </w:rPr>
        <w:t xml:space="preserve">R AĞLARI </w:t>
      </w:r>
      <w:r w:rsidR="008F79A8" w:rsidRPr="00164238">
        <w:rPr>
          <w:color w:val="000000" w:themeColor="text1"/>
          <w:lang w:val="tr-TR"/>
        </w:rPr>
        <w:t>İ</w:t>
      </w:r>
      <w:r w:rsidR="008F79A8" w:rsidRPr="00164238">
        <w:rPr>
          <w:color w:val="000000" w:themeColor="text1"/>
        </w:rPr>
        <w:t>LE ÖNGÖRÜLMES</w:t>
      </w:r>
      <w:r w:rsidR="008F79A8" w:rsidRPr="00164238">
        <w:rPr>
          <w:color w:val="000000" w:themeColor="text1"/>
          <w:lang w:val="tr-TR"/>
        </w:rPr>
        <w:t>İ</w:t>
      </w:r>
      <w:bookmarkEnd w:id="93"/>
      <w:r w:rsidR="008F79A8" w:rsidRPr="00164238">
        <w:rPr>
          <w:color w:val="000000" w:themeColor="text1"/>
          <w:szCs w:val="20"/>
          <w:lang w:val="tr-TR"/>
        </w:rPr>
        <w:t xml:space="preserve"> </w:t>
      </w:r>
    </w:p>
    <w:p w14:paraId="79E89AD5" w14:textId="4F276679" w:rsidR="00EF4A33" w:rsidRPr="00164238" w:rsidRDefault="00EF4A33" w:rsidP="00EF4A33">
      <w:pPr>
        <w:pStyle w:val="Balk2"/>
        <w:rPr>
          <w:rFonts w:ascii="Times New Roman" w:eastAsia="Arial" w:hAnsi="Times New Roman" w:cs="Times New Roman"/>
          <w:b w:val="0"/>
          <w:i w:val="0"/>
          <w:color w:val="000000" w:themeColor="text1"/>
          <w:sz w:val="20"/>
          <w:szCs w:val="20"/>
        </w:rPr>
      </w:pPr>
      <w:bookmarkStart w:id="94" w:name="_Toc72961697"/>
      <w:r w:rsidRPr="00164238">
        <w:rPr>
          <w:rFonts w:ascii="Times New Roman" w:eastAsia="Arial" w:hAnsi="Times New Roman" w:cs="Times New Roman"/>
          <w:b w:val="0"/>
          <w:i w:val="0"/>
          <w:color w:val="000000" w:themeColor="text1"/>
          <w:sz w:val="20"/>
          <w:szCs w:val="20"/>
        </w:rPr>
        <w:t>Dr. Doğan Yıldız</w:t>
      </w:r>
      <w:r w:rsidRPr="00164238">
        <w:rPr>
          <w:rFonts w:ascii="Times New Roman" w:eastAsia="Arial" w:hAnsi="Times New Roman" w:cs="Times New Roman"/>
          <w:b w:val="0"/>
          <w:color w:val="000000" w:themeColor="text1"/>
          <w:sz w:val="20"/>
          <w:szCs w:val="20"/>
        </w:rPr>
        <w:t>, TUSAŞ, Ankara</w:t>
      </w:r>
      <w:bookmarkEnd w:id="94"/>
    </w:p>
    <w:p w14:paraId="6B88E812" w14:textId="77777777" w:rsidR="00EF4A33" w:rsidRPr="00164238" w:rsidRDefault="00EF4A33" w:rsidP="00EF4A33">
      <w:pPr>
        <w:spacing w:before="120" w:after="120"/>
        <w:rPr>
          <w:rFonts w:ascii="Times New Roman" w:hAnsi="Times New Roman" w:cs="Times New Roman"/>
          <w:color w:val="000000" w:themeColor="text1"/>
          <w:sz w:val="20"/>
          <w:szCs w:val="20"/>
        </w:rPr>
      </w:pPr>
      <w:r w:rsidRPr="00164238">
        <w:rPr>
          <w:rFonts w:ascii="Times New Roman" w:hAnsi="Times New Roman" w:cs="Times New Roman"/>
          <w:i/>
          <w:color w:val="000000" w:themeColor="text1"/>
          <w:sz w:val="20"/>
          <w:szCs w:val="20"/>
        </w:rPr>
        <w:t>e-mail</w:t>
      </w:r>
      <w:r w:rsidRPr="00164238">
        <w:rPr>
          <w:rFonts w:ascii="Times New Roman" w:hAnsi="Times New Roman" w:cs="Times New Roman"/>
          <w:color w:val="000000" w:themeColor="text1"/>
          <w:sz w:val="20"/>
          <w:szCs w:val="20"/>
        </w:rPr>
        <w:t xml:space="preserve">: </w:t>
      </w:r>
      <w:hyperlink r:id="rId181" w:history="1">
        <w:r w:rsidRPr="00164238">
          <w:rPr>
            <w:rStyle w:val="Kpr"/>
            <w:rFonts w:ascii="Times New Roman" w:hAnsi="Times New Roman" w:cs="Times New Roman"/>
            <w:color w:val="000000" w:themeColor="text1"/>
            <w:sz w:val="20"/>
            <w:szCs w:val="20"/>
          </w:rPr>
          <w:t>dyildiz2000@gmail.com</w:t>
        </w:r>
      </w:hyperlink>
      <w:r w:rsidRPr="00164238">
        <w:rPr>
          <w:rStyle w:val="Kpr"/>
          <w:rFonts w:ascii="Times New Roman" w:hAnsi="Times New Roman" w:cs="Times New Roman"/>
          <w:color w:val="000000" w:themeColor="text1"/>
          <w:sz w:val="20"/>
          <w:szCs w:val="20"/>
        </w:rPr>
        <w:t xml:space="preserve"> </w:t>
      </w:r>
      <w:r w:rsidRPr="00164238">
        <w:rPr>
          <w:rFonts w:ascii="Times New Roman" w:hAnsi="Times New Roman" w:cs="Times New Roman"/>
          <w:i/>
          <w:color w:val="000000" w:themeColor="text1"/>
          <w:sz w:val="20"/>
          <w:szCs w:val="20"/>
        </w:rPr>
        <w:t>ORCID ID</w:t>
      </w:r>
      <w:r w:rsidRPr="00164238">
        <w:rPr>
          <w:rFonts w:ascii="Times New Roman" w:hAnsi="Times New Roman" w:cs="Times New Roman"/>
          <w:color w:val="000000" w:themeColor="text1"/>
          <w:sz w:val="20"/>
          <w:szCs w:val="20"/>
        </w:rPr>
        <w:t xml:space="preserve"> : 0000-0002-0946-7251</w:t>
      </w:r>
    </w:p>
    <w:p w14:paraId="180F30FF" w14:textId="77777777" w:rsidR="00254933" w:rsidRPr="00164238" w:rsidRDefault="00254933" w:rsidP="00254933">
      <w:pPr>
        <w:spacing w:after="360"/>
        <w:jc w:val="center"/>
        <w:rPr>
          <w:rFonts w:ascii="Times New Roman" w:hAnsi="Times New Roman" w:cs="Times New Roman"/>
          <w:color w:val="000000" w:themeColor="text1"/>
        </w:rPr>
      </w:pPr>
    </w:p>
    <w:p w14:paraId="19D76714" w14:textId="77777777" w:rsidR="00254933" w:rsidRPr="00164238" w:rsidRDefault="00254933" w:rsidP="00254933">
      <w:pPr>
        <w:tabs>
          <w:tab w:val="left" w:pos="426"/>
        </w:tabs>
        <w:spacing w:before="120" w:after="120"/>
        <w:ind w:firstLine="567"/>
        <w:rPr>
          <w:rFonts w:ascii="Times New Roman" w:hAnsi="Times New Roman" w:cs="Times New Roman"/>
          <w:b/>
          <w:bCs/>
          <w:color w:val="000000" w:themeColor="text1"/>
        </w:rPr>
      </w:pPr>
      <w:r w:rsidRPr="00164238">
        <w:rPr>
          <w:rFonts w:ascii="Times New Roman" w:hAnsi="Times New Roman" w:cs="Times New Roman"/>
          <w:b/>
          <w:bCs/>
          <w:color w:val="000000" w:themeColor="text1"/>
        </w:rPr>
        <w:t>GİRİŞ</w:t>
      </w:r>
    </w:p>
    <w:p w14:paraId="779A25D5"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 xml:space="preserve">Gelecek ile ilgili bilinmeyenleri şimdiden öngörebilmek günümüzde çok önemli bir kazançtır. Özellikle pandemi dönemindeki belirsizlik daha fazladır ve bu durumda insanlar belirsizlikten kurtularak gelecek ile ilgili öngörüde bulunmak ister. Bu bakış açısı ile baktığımızda, belirsizliği ortadan kaldırmak ve öngörüde bulunabilmek için modeller kurulmakta ve en iyi öngörü modeli ile gerçeğe en yakın tahmin yapılmak istenmektedir. Öngörü modellemesi geçmişteki verilerden yararlanarak gelecek hakkında bir tahmin yapmaya dayanmaktadır. Geçmişte oluşan veriler, oluşturulan modele göre farklı parametrelerin etkisi altında oluşmaktadır. Aynı parametreler ile gelecekte de geçmişin benzer olacağı düşüncesi ile model kurulur ve gelecek tahmin edilmeye çalışılır. Faiz oranları da ekonomide çok büyük bir öneme sahip olup belirsizlik içeren bir değişkendir.  Hem yatırımcılar hem de tasarruf sahipleri faiz oranlarını bilerek yatırımlarının veya tasarruflarının yönüne karar vermektedirler. Bundan dolayı faiz oranlarının önceden öngörülebilmesi ayrı bir öneme sahiptir. Özellikle para politikasını belirleyen kamu otoritelerinin reel kesim ile veya tam tersi bakış açısı ile reel kesimin para otoritereleri ile bağlantı noktası faiz oranlarıdır. Faiz oranlarını iki kısıma ayıracak olursak yatırım veya harcama yapacaklar için kullanılacak olan tüketici kredisi faiz oranları ve bunun tam tersi durumda olan elinde tasarrufu olan kesime sunulan mevduat faizdir. Bu çalışma kapsamında tüketici kredi faiz oranı üzerinde durulmuştur. </w:t>
      </w:r>
    </w:p>
    <w:p w14:paraId="6FAA45BA"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Tüketici kredisi ise, tüketicilerin bir mal veya hizmet edinmek amacıyla kredi verenden nakit olarak aldıkları kredidir. Tüketici kredileri tüketicilerin tüketim taleplerini gerçekleştirilmesini sağlayan bir finansman kaynağıdır. Kredi kullananlar aslında tüketici kredisi kullanarak gelecekte yapabilecekleri harcamaları öne çekmektedirler. Bu kaynağı sağlayan bankalar ise kredi kullananlara bu fonları sağlayıp kazanç elde etmektedir. Bu şekilde bir kredi piyasası oluşmaktadır. Tüketici kredileri üç gruba ayrılmaktadır. Bunlar; konut, taşıt ve ihtiyaç kredileridir.</w:t>
      </w:r>
    </w:p>
    <w:p w14:paraId="7241D964"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 xml:space="preserve">Özellikle pandemi döneminde yaşanan belirsizlikten dolayı tüketicinin nasıl davranış gösterdiğini ve ayrıca tüketicinin ihtiyaçlarını karşılayabilmesi için elinde herhangi bir tasarrufu yok ise kullanacağı kredi faiz oranını tahmin etmesi ve ileride nasıl bir ekonomik durum ile karşılaşacağına bağlı olarak önemlidir. </w:t>
      </w:r>
    </w:p>
    <w:p w14:paraId="633DD606"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 xml:space="preserve">Yapay sinir ağları günümüzde çok farklı öngörü modellerinde ve özellikle finans sektöründe yaygın bir şekilde kullanılmaktadır. Doğrusal olmayan serilerde diğer klasik öngörü modellerine göre yapay sinir ağlarının çok daha başarılı sonuçlar verdiği görülmektedir. Özellikle yapay sinir ağları yeni durumlara karşın kendi ağırlıklarını değiştirerek öğrenebilme yeteneği </w:t>
      </w:r>
      <w:r w:rsidRPr="00164238">
        <w:rPr>
          <w:rFonts w:ascii="Times New Roman" w:hAnsi="Times New Roman" w:cs="Times New Roman"/>
          <w:color w:val="000000" w:themeColor="text1"/>
          <w:lang w:val="fr-FR"/>
        </w:rPr>
        <w:lastRenderedPageBreak/>
        <w:t xml:space="preserve">nedeni ile farklı veri setlerine uygun olabilmektedir. Yapay sinir ağı eğitildikten sonra bir uzman gibi yeni gelen durumlarda geçmişteki elde edindiği bilgi birikiminden, ağırlıklarını değiştirdiğinden dolayı, daha doğru bir karar almada yardımcı olmaktadır. </w:t>
      </w:r>
    </w:p>
    <w:p w14:paraId="56489864"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 xml:space="preserve">Bu çalışmada, Ocak 2012 – Şubat 2021 arasındaki aylık veriler ile tüketici kredi faiz oranı yapay sinir ağı ile tahmin edilmeye çalışılmıştır. Çalışmanın literatür kısmında ele alınan konu ile ilgili geçmişte yapılan çalışmalara yer verilmiştir. Yöntem kısmında kullanılan model hakkında teorik bilgiler sunulmuş, uygulama kısmında ise tahmin edilmek istenen tüketici kredi faiz oranının tahmini yapılmıştır. Son kısımda da elde edilen sonuçlar hakkında genel değerlendirme yapılmış ve gelecek çalışmalar ile ilgili önerilerde bulunulmuştur. </w:t>
      </w:r>
    </w:p>
    <w:p w14:paraId="3A0B29F7"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Yapay sinir ağları ile öngörü üzerine literatürde yapılmış birçok çalışma yer almaktadır. Bu bölümde özellikle çalışma kapsamındaki yapay sinir ağı modelinde kullanılan parametreler ve yapay sinir ağının öngörü modellemesinde kullanımı ile ilgili olanlar üzerinde durulmuştur. Literatürdeki çalışmalar ile ilgili olarak çalışmaların parametreleri ve sonuçları hakkında bilgi sunulmuştur.</w:t>
      </w:r>
    </w:p>
    <w:p w14:paraId="5955C950"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 xml:space="preserve">Öztürk ve Durgut (2011), yaptıkları çalışmada reel para arzı, kamu iç borç stoku, fiyatlar genel düzeyi, reel döviz kuru ve libor oranlarının faiz oranlarını nasıl etkilediğini incelediklerinde iç borç stoku, libor oranı, döviz kurları ile pozitif, para arzı ve fiyatlar düzeyi ile negatif yönlü bir ilişki tespit etmişlerdir. Demirgil ve Türkay (2017) çalışmalarında faiz oranlarını etkileyen faktörler olarak para arzı, kamu iç borç stoku, döviz kuru, enflasyon, libor faiz oranı ve tüketici güven endeksini alarak sınır (ARDL) testi yapmışlar ve uzun vadede ilişkisinin olduğu sonucuna varmışlardır. Turgut ve Gücün (2020), tarafından gerçekleştirilen çalışmada ise faiz oranını etkileyen para arzı, kamu borç stoku, döviz kuru, enflasyon ve libor üzerinde analiz yapmışlar ve sonuçta döviz kuru, para arzı, Tüketici Fiyatları Endeksi (TÜFE) ve kamu borç stokunda yaşanan şoka faizin pozitif tepki verdiğini görmüşlerdir. </w:t>
      </w:r>
    </w:p>
    <w:p w14:paraId="4B18E112"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 xml:space="preserve">İbicioğlu ve Karan (2009), yaptıkları çalışmada faiz oranlarındaki değişmenin tüketici kredilerine etkisini incelemişlerdir. Sonuçta, tüketici kredi talebinin faiz oranlarındaki değişime karşı duyarlı olduğu, bunun yanında diğer değişkenler olan tüketici güven endeksi ve İstanbul Menkul Kıymetler Borsası (IMKB) ulusal endeksinin tüketici kredilerindeki değişimi açıklamada anlamlı bir katkısının olmadığını görmüşlerdir. Arısoy ve Aytun (2014), çalışmalarında ise tüketici güven endeksi, tüketim harcamaları, faiz oranı ve tüketim kredileri arasındaki ilişkiyi regresyon analizi sonucunda tüketici güven endeksi, tüketim kredileri ve tüketim harcamaları arasında istatistiksel olarak pozitif yönlü ve anlamlı bir ilişki olduğunu ortaya koymuşlardır. Nalın ve Taşdelen, (2016) tarafından yapılan çalışmada ise kredi hacmi ile kredi kullandırma kapasitesi arasında pozitif, kredi hacmi ile merkez bankası faiz gelirleri, reeskont gelirleri, tüketici kredisi faiz oranı arasında ise negatif yönlü bir ilişki olduğu sonucunu elde etmişlerdir. Ünal ve Ocak (2020), tüketici kredi hacmini etkileyen faktörler üzerine bir araştırma yapmışlardır. Buna göre işsizlik, enflasyon, faiz ve ekonomik büyümenin etkisine bakmışlar ve sonuçta faiz oranlarının ters yönlü etkisi olduğunu açıklamışlardır. </w:t>
      </w:r>
    </w:p>
    <w:p w14:paraId="147F55AB"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 xml:space="preserve">Ertuğrul ve Özçil (2017), çalışmalarında bireysel ihtiyaç kredisi tahminini hem yapay sinir ağı hem de vektör otoregrasyon yöntemlerini kullanarak tahmin etmeye çalışmışlar ve sonuçta yapay sinir ağlarının daha başarılı sonuç verdiğini görmüşlerdir. Yapay sinir ağı modelinde tüketici güven endeksi, toplam mevduat miktarı, petrol fiyatı, Devlet İç Borçlanma Senedi </w:t>
      </w:r>
      <w:r w:rsidRPr="00164238">
        <w:rPr>
          <w:rFonts w:ascii="Times New Roman" w:hAnsi="Times New Roman" w:cs="Times New Roman"/>
          <w:color w:val="000000" w:themeColor="text1"/>
          <w:lang w:val="fr-FR"/>
        </w:rPr>
        <w:lastRenderedPageBreak/>
        <w:t xml:space="preserve">(DİBS), altın fiyatı, dolar ve euro kurunu kullanmışlardır. Karaatlı, Demirci ve Baykaldı (2020), çalışmalarında ise ticari kredi faiz oranlarının yapay sinir ağları, doğrusal olmayan dışsal girdili otoregresif ağ ve vektör otoregresif modelleri ile öngörmeye amaçladıkları bir çalışma gerçekleştirmişlerdir. Bu çalışmada kullanılan bağımsız değişkenler kredi temerrüt swapları, tahvil faizi, üretici fiyat endeksi, para arzı, döviz kuru sepeti ve kredi hacmidir.  Bağımlı değişken olarak ise ticari kredi faiz oranı olarak belirlenmiştir. Sonuçta yapay sinir ağlarının daha iyi sonuç verdiğini belirlemişlerdir. </w:t>
      </w:r>
    </w:p>
    <w:p w14:paraId="74064AB3"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 xml:space="preserve">Odom ve Sharda (1990), çalışmalarında farklı firmaların finansal verilerini kullanarak iflas etme durumlarını hem çok değişkenli diskiriminat analizi hem de yapay sinir ağları ile incelemişler ve yapay sinir ağlarının daha iyi sonuç verdiğine tespit etmişlerdir. Çoğu çalışma yapay sinir ağlarının daha başarılı olduğunu göstermesine rağmen bazı durumlarda da klasik yöntemlerin daha başarılı sonuçlar verdiği de görülmüştür. Benli ve Yıldız (2014), çalışmalarında altın fiyatının tahmininde yapay sinir ağı modelinin değişen varyans sorununa bir çözüm bulamaması nedeni ile ARIMA modelinin daha başarılı bir tahmin ortaya koyduğunu belirlemişlerdir. Bunun dışında Yıldız ve Yıldız (2014), ARIMA ve Yapay Sinir Ağlarına Dayalı Karma Yöntemle BIST 100 Endeks Öngörüsü üzerine yaptıkları çalışmada ise her iki yöntemin karması bir yöntem ile yapay sinir ağları ve klasik yöntemleri karşılaştırmış ve karma yöntemin daha başarılı bir sonuç verdiğini aktarmışlardır. </w:t>
      </w:r>
    </w:p>
    <w:p w14:paraId="306C9D1B"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Sharma ve Chopra (2013), yapay sinir ağlarının satış ve pazarlama, finans ve muhasebe, üretim ve imalat, stratejik yönetim ve işletme politikalarında farklı problem tipleri için kullanıldığını ve yapay sinir ağlarının regresyon modellerine kıyasla oldukça doğru sonuçlar sağlayabildiğini ifade etmişlerdir.  Bu modellerin doğruluğunun, geleneksel istatistiksel ölçüler kullanılarak değerlendirilebildiği, bu modellerin değişken etkileşimlerini otomatik olarak ele aldığı, kolaylıkla güncellenebildiği ve bu nedenle dinamik ortama uygun olduğu, ilişkilendirme yeteneği sonucunda geliştirildikten sonra eksik veya yanlış veriler olsa bile ilişki kurabildiği, ayrıca ilişki kalitesinin belirleyicilerini tahmin etmek için güvenilir bir araç olduğunu aktarmışlardır. Ancak bunun yanında yapay sinir ağlarının bağımsız girdilerin önemini belirlemek için henüz hiçbir yöntem tasarlanmadığı, sonuçları basit ve kesin analitik model şeklinde ifade etmenin zor olduğu, öğrenme sürecinin çok zaman alabildiği, ayrıca ortam değişirse ağın yeniden yapılandırılması gerektiği gibi zorlukları olduğunu belirtmişlerdir.</w:t>
      </w:r>
    </w:p>
    <w:p w14:paraId="51D3D3D3"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2020 yılından beri içinde bulunduğumuz kovid-19 pandemi döneminde de yapay sinir ağını kullanarak birçok çalışma yapılmıştır. Bu yöntem özellikle kovid -19 tanısının konulması ve öngörü modellemesi için kullanılmıştır. Hamadneh, Khan, Ashraf, Atawneh, Khan ve Hamadneh (2021), çalışmalarında Suudi Arabistan’da kovid 19 vakalarının tahmin edilmesi için yapay sinir ağına dayalı bir model kurmuşlar ve çok başarılı sonuçlar elde etmişlerdir. Jena, Majhi, Kalli, Managi ve Majhi (2021), çalışmalarında ise kovid 19 pandemi döneminde Amerika Birleşik Devletleri, Meksika, İtalya, Almanya, İspanya, Fransa, Japonya ve Hindistan’ın gayrisafi yurtiçi hasılalarını yapay sinir ağı ile tahmin etmeye çalışmışlar ve gelecek yıl bu ülkelerin gayrisafi yurtiçi hasılalarında ciddi düşüşlerin olacağını belirlemişlerdir. Nayak, Nayak, Sinha, Arora, Pachori (2021) ise sekiz adet yapay sinir ağı modelini kovid- 19 göğüs filminden kovid -19 tanısını koymak için karşılaştırmışlar ve içlerinden bir tanesi olan resnet-34, yüzde 98,33 oranında başarı göstermiştir.</w:t>
      </w:r>
    </w:p>
    <w:p w14:paraId="46721646"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lastRenderedPageBreak/>
        <w:t>Tüketici kredisi ile ilgili çalışmaların büyük bir kısmı pandemi öncesini kapsamaktadır. Bu çalışma tüketici kredisi faiz oranını kovid -19 pandemisi zamanında tahmin etmeye çalışmasından dolayı diğer çalışmalardan farklıdır. Dolayısı ile pandemi dönemindeki belirsizlik durumunda öngörü modellemesi ve tüketici kredi faiz oranının seyrinin tahmin edilmesi çalışma yapan araştırmacılara fikir vermesi açısından faydalı olacağı düşünülmektedir.</w:t>
      </w:r>
    </w:p>
    <w:p w14:paraId="21CD665B" w14:textId="77777777" w:rsidR="00254933" w:rsidRPr="00164238" w:rsidRDefault="00254933" w:rsidP="00254933">
      <w:pPr>
        <w:spacing w:before="120" w:after="120" w:line="276" w:lineRule="auto"/>
        <w:ind w:firstLine="567"/>
        <w:jc w:val="both"/>
        <w:rPr>
          <w:rFonts w:ascii="Times New Roman" w:hAnsi="Times New Roman" w:cs="Times New Roman"/>
          <w:b/>
          <w:color w:val="000000" w:themeColor="text1"/>
        </w:rPr>
      </w:pPr>
      <w:r w:rsidRPr="00164238">
        <w:rPr>
          <w:rFonts w:ascii="Times New Roman" w:hAnsi="Times New Roman" w:cs="Times New Roman"/>
          <w:b/>
          <w:color w:val="000000" w:themeColor="text1"/>
        </w:rPr>
        <w:t>YÖNTEM</w:t>
      </w:r>
    </w:p>
    <w:p w14:paraId="5FDC6C40"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Çalışmanın bundan sonraki bölümünde tüketici kredi faiz oranını tahmin edebilmek için kullanılan yapay sinir ağı hakkında bilgilere yer verilmiştir.</w:t>
      </w:r>
    </w:p>
    <w:p w14:paraId="2631C01F"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Yapay sinir ağları insan beynindeki sinir hücrelerinin birbirleriyle oluşturdukları bağlar vasıtası ile çıktı üretmesine benzer bir şekilde girdi katmanından girdileri alıp, ara katmanda birbirleri ile iletişim içinde olmaları ve çıktı katmanında da bir değer üretmesi şeklinde çalışmaktadır.</w:t>
      </w:r>
    </w:p>
    <w:p w14:paraId="5DA43C2D"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Yapay sinir ağının oluşturulma süreci aşağıda yer almaktadır.</w:t>
      </w:r>
    </w:p>
    <w:p w14:paraId="00A57F2A"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Veri ile ağı eğitecek ve test edecek setin belirlenmesi: Bu aşamada modelde yer alacak olan veri ve bu veriden ağı eğitmek için ne kadarlık kısmının eğitim ne kadarlık kısmının test için ayrılacağı belirlenmektedir.</w:t>
      </w:r>
    </w:p>
    <w:p w14:paraId="680C288D"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Ağın oluşturulması: Girdi, gizli katman sayısı ve çıktı katmanı ile gizli katmanda yer alacak olan nöron sayısı belirlenmektedir. Aktivasyon ile öğrenme ve momentum katsayıları bu aşamada tayin edilmektedir.</w:t>
      </w:r>
    </w:p>
    <w:p w14:paraId="357C8F34"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 xml:space="preserve">Ağın eğitilmesi: Ağ, belirlenen mimari ve eğitim seti ile eğitilmekte, sonuçlara göre ağ mimarisi değiştirilmektedir. </w:t>
      </w:r>
    </w:p>
    <w:p w14:paraId="068E8500"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 xml:space="preserve">Ağın kullanılması: Eğitimi tamamlanmış olan ağ, bu aşamada test verisi ile teste tabi tutulmakta ve ardından gerçek ortamda kullanılmaya başlanmaktadır. </w:t>
      </w:r>
    </w:p>
    <w:p w14:paraId="249112F0"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 xml:space="preserve">Tahmin için kullanılacak olan yapay sinir ağının bir gizli katman olması durumundaki matematiksel ifadesi aşağıdaki (1) nolu eşitlikte yer almaktadır. </w:t>
      </w:r>
    </w:p>
    <w:p w14:paraId="6C905508"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ab/>
      </w:r>
      <w:r w:rsidRPr="00164238">
        <w:rPr>
          <w:rFonts w:ascii="Times New Roman" w:hAnsi="Times New Roman" w:cs="Times New Roman"/>
          <w:color w:val="000000" w:themeColor="text1"/>
          <w:lang w:val="fr-FR"/>
        </w:rPr>
        <w:object w:dxaOrig="3720" w:dyaOrig="720" w14:anchorId="07742A11">
          <v:shape id="_x0000_i1028" type="#_x0000_t75" style="width:186.75pt;height:36pt" o:ole="">
            <v:imagedata r:id="rId182" o:title=""/>
          </v:shape>
          <o:OLEObject Type="Embed" ProgID="Equation.3" ShapeID="_x0000_i1028" DrawAspect="Content" ObjectID="_1683575705" r:id="rId183"/>
        </w:object>
      </w:r>
      <w:r w:rsidRPr="00164238">
        <w:rPr>
          <w:rFonts w:ascii="Times New Roman" w:hAnsi="Times New Roman" w:cs="Times New Roman"/>
          <w:color w:val="000000" w:themeColor="text1"/>
          <w:lang w:val="fr-FR"/>
        </w:rPr>
        <w:tab/>
      </w:r>
      <w:r w:rsidRPr="00164238">
        <w:rPr>
          <w:rFonts w:ascii="Times New Roman" w:hAnsi="Times New Roman" w:cs="Times New Roman"/>
          <w:color w:val="000000" w:themeColor="text1"/>
          <w:lang w:val="fr-FR"/>
        </w:rPr>
        <w:tab/>
        <w:t>(1)</w:t>
      </w:r>
      <w:r w:rsidRPr="00164238">
        <w:rPr>
          <w:rFonts w:ascii="Times New Roman" w:hAnsi="Times New Roman" w:cs="Times New Roman"/>
          <w:color w:val="000000" w:themeColor="text1"/>
          <w:lang w:val="fr-FR"/>
        </w:rPr>
        <w:tab/>
      </w:r>
    </w:p>
    <w:p w14:paraId="781AF78F"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ab/>
      </w:r>
      <w:r w:rsidRPr="00164238">
        <w:rPr>
          <w:rFonts w:ascii="Times New Roman" w:hAnsi="Times New Roman" w:cs="Times New Roman"/>
          <w:color w:val="000000" w:themeColor="text1"/>
          <w:lang w:val="fr-FR"/>
        </w:rPr>
        <w:object w:dxaOrig="279" w:dyaOrig="360" w14:anchorId="0E7E7764">
          <v:shape id="_x0000_i1029" type="#_x0000_t75" style="width:14.25pt;height:21.75pt" o:ole="">
            <v:imagedata r:id="rId184" o:title=""/>
          </v:shape>
          <o:OLEObject Type="Embed" ProgID="Equation.3" ShapeID="_x0000_i1029" DrawAspect="Content" ObjectID="_1683575706" r:id="rId185"/>
        </w:object>
      </w:r>
      <w:r w:rsidRPr="00164238">
        <w:rPr>
          <w:rFonts w:ascii="Times New Roman" w:hAnsi="Times New Roman" w:cs="Times New Roman"/>
          <w:color w:val="000000" w:themeColor="text1"/>
          <w:lang w:val="fr-FR"/>
        </w:rPr>
        <w:t xml:space="preserve"> : Çıktı değeri</w:t>
      </w:r>
    </w:p>
    <w:p w14:paraId="3D981944"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ab/>
      </w:r>
      <w:r w:rsidRPr="00164238">
        <w:rPr>
          <w:rFonts w:ascii="Times New Roman" w:hAnsi="Times New Roman" w:cs="Times New Roman"/>
          <w:color w:val="000000" w:themeColor="text1"/>
          <w:lang w:val="fr-FR"/>
        </w:rPr>
        <w:object w:dxaOrig="279" w:dyaOrig="360" w14:anchorId="24B6E70F">
          <v:shape id="_x0000_i1030" type="#_x0000_t75" style="width:14.25pt;height:21.75pt" o:ole="">
            <v:imagedata r:id="rId186" o:title=""/>
          </v:shape>
          <o:OLEObject Type="Embed" ProgID="Equation.3" ShapeID="_x0000_i1030" DrawAspect="Content" ObjectID="_1683575707" r:id="rId187"/>
        </w:object>
      </w:r>
      <w:r w:rsidRPr="00164238">
        <w:rPr>
          <w:rFonts w:ascii="Times New Roman" w:hAnsi="Times New Roman" w:cs="Times New Roman"/>
          <w:color w:val="000000" w:themeColor="text1"/>
          <w:lang w:val="fr-FR"/>
        </w:rPr>
        <w:t xml:space="preserve"> : Çıktı tabakası transfer fonksiyonu</w:t>
      </w:r>
    </w:p>
    <w:p w14:paraId="0F0E2A56"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ab/>
      </w:r>
      <w:r w:rsidRPr="00164238">
        <w:rPr>
          <w:rFonts w:ascii="Times New Roman" w:hAnsi="Times New Roman" w:cs="Times New Roman"/>
          <w:color w:val="000000" w:themeColor="text1"/>
          <w:lang w:val="fr-FR"/>
        </w:rPr>
        <w:object w:dxaOrig="300" w:dyaOrig="360" w14:anchorId="17CAF8FA">
          <v:shape id="_x0000_i1031" type="#_x0000_t75" style="width:14.25pt;height:21.75pt" o:ole="">
            <v:imagedata r:id="rId188" o:title=""/>
          </v:shape>
          <o:OLEObject Type="Embed" ProgID="Equation.3" ShapeID="_x0000_i1031" DrawAspect="Content" ObjectID="_1683575708" r:id="rId189"/>
        </w:object>
      </w:r>
      <w:r w:rsidRPr="00164238">
        <w:rPr>
          <w:rFonts w:ascii="Times New Roman" w:hAnsi="Times New Roman" w:cs="Times New Roman"/>
          <w:color w:val="000000" w:themeColor="text1"/>
          <w:lang w:val="fr-FR"/>
        </w:rPr>
        <w:t xml:space="preserve"> : Çıktı tabakasına ait sapma değeri</w:t>
      </w:r>
    </w:p>
    <w:p w14:paraId="2D7AD68C"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ab/>
      </w:r>
      <w:r w:rsidRPr="00164238">
        <w:rPr>
          <w:rFonts w:ascii="Times New Roman" w:hAnsi="Times New Roman" w:cs="Times New Roman"/>
          <w:color w:val="000000" w:themeColor="text1"/>
          <w:lang w:val="fr-FR"/>
        </w:rPr>
        <w:object w:dxaOrig="300" w:dyaOrig="380" w14:anchorId="60BE5015">
          <v:shape id="_x0000_i1032" type="#_x0000_t75" style="width:14.25pt;height:21.75pt" o:ole="">
            <v:imagedata r:id="rId190" o:title=""/>
          </v:shape>
          <o:OLEObject Type="Embed" ProgID="Equation.3" ShapeID="_x0000_i1032" DrawAspect="Content" ObjectID="_1683575709" r:id="rId191"/>
        </w:object>
      </w:r>
      <w:r w:rsidRPr="00164238">
        <w:rPr>
          <w:rFonts w:ascii="Times New Roman" w:hAnsi="Times New Roman" w:cs="Times New Roman"/>
          <w:color w:val="000000" w:themeColor="text1"/>
          <w:lang w:val="fr-FR"/>
        </w:rPr>
        <w:t xml:space="preserve"> : Çıktı tabakasına ait ağırlıkları</w:t>
      </w:r>
    </w:p>
    <w:p w14:paraId="5C858044"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ab/>
      </w:r>
      <w:r w:rsidRPr="00164238">
        <w:rPr>
          <w:rFonts w:ascii="Times New Roman" w:hAnsi="Times New Roman" w:cs="Times New Roman"/>
          <w:color w:val="000000" w:themeColor="text1"/>
          <w:lang w:val="fr-FR"/>
        </w:rPr>
        <w:object w:dxaOrig="279" w:dyaOrig="380" w14:anchorId="0013177D">
          <v:shape id="_x0000_i1033" type="#_x0000_t75" style="width:14.25pt;height:21.75pt" o:ole="">
            <v:imagedata r:id="rId192" o:title=""/>
          </v:shape>
          <o:OLEObject Type="Embed" ProgID="Equation.3" ShapeID="_x0000_i1033" DrawAspect="Content" ObjectID="_1683575710" r:id="rId193"/>
        </w:object>
      </w:r>
      <w:r w:rsidRPr="00164238">
        <w:rPr>
          <w:rFonts w:ascii="Times New Roman" w:hAnsi="Times New Roman" w:cs="Times New Roman"/>
          <w:color w:val="000000" w:themeColor="text1"/>
          <w:lang w:val="fr-FR"/>
        </w:rPr>
        <w:t xml:space="preserve"> : Gizli tabakaya ait transfer fonksiyonu</w:t>
      </w:r>
    </w:p>
    <w:p w14:paraId="08968E84"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lastRenderedPageBreak/>
        <w:tab/>
      </w:r>
      <w:r w:rsidRPr="00164238">
        <w:rPr>
          <w:rFonts w:ascii="Times New Roman" w:hAnsi="Times New Roman" w:cs="Times New Roman"/>
          <w:color w:val="000000" w:themeColor="text1"/>
          <w:lang w:val="fr-FR"/>
        </w:rPr>
        <w:object w:dxaOrig="300" w:dyaOrig="380" w14:anchorId="7778D26D">
          <v:shape id="_x0000_i1034" type="#_x0000_t75" style="width:14.25pt;height:21.75pt" o:ole="">
            <v:imagedata r:id="rId194" o:title=""/>
          </v:shape>
          <o:OLEObject Type="Embed" ProgID="Equation.3" ShapeID="_x0000_i1034" DrawAspect="Content" ObjectID="_1683575711" r:id="rId195"/>
        </w:object>
      </w:r>
      <w:r w:rsidRPr="00164238">
        <w:rPr>
          <w:rFonts w:ascii="Times New Roman" w:hAnsi="Times New Roman" w:cs="Times New Roman"/>
          <w:color w:val="000000" w:themeColor="text1"/>
          <w:lang w:val="fr-FR"/>
        </w:rPr>
        <w:t xml:space="preserve"> : Gizli tabakaya ait sapma değeri</w:t>
      </w:r>
    </w:p>
    <w:p w14:paraId="12E62151"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ab/>
      </w:r>
      <w:r w:rsidRPr="00164238">
        <w:rPr>
          <w:rFonts w:ascii="Times New Roman" w:hAnsi="Times New Roman" w:cs="Times New Roman"/>
          <w:color w:val="000000" w:themeColor="text1"/>
          <w:lang w:val="fr-FR"/>
        </w:rPr>
        <w:object w:dxaOrig="279" w:dyaOrig="380" w14:anchorId="712D8C64">
          <v:shape id="_x0000_i1035" type="#_x0000_t75" style="width:14.25pt;height:21.75pt" o:ole="">
            <v:imagedata r:id="rId196" o:title=""/>
          </v:shape>
          <o:OLEObject Type="Embed" ProgID="Equation.3" ShapeID="_x0000_i1035" DrawAspect="Content" ObjectID="_1683575712" r:id="rId197"/>
        </w:object>
      </w:r>
      <w:r w:rsidRPr="00164238">
        <w:rPr>
          <w:rFonts w:ascii="Times New Roman" w:hAnsi="Times New Roman" w:cs="Times New Roman"/>
          <w:color w:val="000000" w:themeColor="text1"/>
          <w:lang w:val="fr-FR"/>
        </w:rPr>
        <w:t>: Girdi değerleri</w:t>
      </w:r>
    </w:p>
    <w:p w14:paraId="2198DF38"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ab/>
      </w:r>
      <w:r w:rsidRPr="00164238">
        <w:rPr>
          <w:rFonts w:ascii="Times New Roman" w:hAnsi="Times New Roman" w:cs="Times New Roman"/>
          <w:color w:val="000000" w:themeColor="text1"/>
          <w:lang w:val="fr-FR"/>
        </w:rPr>
        <w:object w:dxaOrig="320" w:dyaOrig="380" w14:anchorId="7B6FDC6C">
          <v:shape id="_x0000_i1036" type="#_x0000_t75" style="width:14.25pt;height:21.75pt" o:ole="">
            <v:imagedata r:id="rId198" o:title=""/>
          </v:shape>
          <o:OLEObject Type="Embed" ProgID="Equation.3" ShapeID="_x0000_i1036" DrawAspect="Content" ObjectID="_1683575713" r:id="rId199"/>
        </w:object>
      </w:r>
      <w:r w:rsidRPr="00164238">
        <w:rPr>
          <w:rFonts w:ascii="Times New Roman" w:hAnsi="Times New Roman" w:cs="Times New Roman"/>
          <w:color w:val="000000" w:themeColor="text1"/>
          <w:lang w:val="fr-FR"/>
        </w:rPr>
        <w:t xml:space="preserve"> : Girdi katmanı ile gizli katman arasındaki hücre ağırlık değeri</w:t>
      </w:r>
    </w:p>
    <w:p w14:paraId="00B82311"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Yapay sinir ağlarında öngörü hatalarının hesaplanması aşağıdaki (2) nolu eşitlik ile yapılmaktadır. Bu kapsamda hatayı hesaplarken hata karelerinin ortalaması, hataların mutlak değerlerinin ortalaması, hata yüzdelerinin ortalaması ve son olarak da hataların mutlak değerlerinin yüzdelerinin ortalaması kullanılabilmektedir.</w:t>
      </w:r>
    </w:p>
    <w:p w14:paraId="3325EDBC"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object w:dxaOrig="1060" w:dyaOrig="499" w14:anchorId="0D68246E">
          <v:shape id="_x0000_i1037" type="#_x0000_t75" style="width:50.25pt;height:21.75pt" o:ole="">
            <v:imagedata r:id="rId200" o:title=""/>
          </v:shape>
          <o:OLEObject Type="Embed" ProgID="Equation.3" ShapeID="_x0000_i1037" DrawAspect="Content" ObjectID="_1683575714" r:id="rId201"/>
        </w:object>
      </w:r>
      <w:r w:rsidRPr="00164238">
        <w:rPr>
          <w:rFonts w:ascii="Times New Roman" w:hAnsi="Times New Roman" w:cs="Times New Roman"/>
          <w:color w:val="000000" w:themeColor="text1"/>
          <w:lang w:val="fr-FR"/>
        </w:rPr>
        <w:t xml:space="preserve"> </w:t>
      </w:r>
      <w:r w:rsidRPr="00164238">
        <w:rPr>
          <w:rFonts w:ascii="Times New Roman" w:hAnsi="Times New Roman" w:cs="Times New Roman"/>
          <w:color w:val="000000" w:themeColor="text1"/>
          <w:lang w:val="fr-FR"/>
        </w:rPr>
        <w:tab/>
      </w:r>
      <w:r w:rsidRPr="00164238">
        <w:rPr>
          <w:rFonts w:ascii="Times New Roman" w:hAnsi="Times New Roman" w:cs="Times New Roman"/>
          <w:color w:val="000000" w:themeColor="text1"/>
          <w:lang w:val="fr-FR"/>
        </w:rPr>
        <w:tab/>
      </w:r>
      <w:r w:rsidRPr="00164238">
        <w:rPr>
          <w:rFonts w:ascii="Times New Roman" w:hAnsi="Times New Roman" w:cs="Times New Roman"/>
          <w:color w:val="000000" w:themeColor="text1"/>
          <w:lang w:val="fr-FR"/>
        </w:rPr>
        <w:tab/>
      </w:r>
      <w:r w:rsidRPr="00164238">
        <w:rPr>
          <w:rFonts w:ascii="Times New Roman" w:hAnsi="Times New Roman" w:cs="Times New Roman"/>
          <w:color w:val="000000" w:themeColor="text1"/>
          <w:lang w:val="fr-FR"/>
        </w:rPr>
        <w:tab/>
      </w:r>
      <w:r w:rsidRPr="00164238">
        <w:rPr>
          <w:rFonts w:ascii="Times New Roman" w:hAnsi="Times New Roman" w:cs="Times New Roman"/>
          <w:color w:val="000000" w:themeColor="text1"/>
          <w:lang w:val="fr-FR"/>
        </w:rPr>
        <w:tab/>
      </w:r>
      <w:r w:rsidRPr="00164238">
        <w:rPr>
          <w:rFonts w:ascii="Times New Roman" w:hAnsi="Times New Roman" w:cs="Times New Roman"/>
          <w:color w:val="000000" w:themeColor="text1"/>
          <w:lang w:val="fr-FR"/>
        </w:rPr>
        <w:tab/>
        <w:t>(2)</w:t>
      </w:r>
    </w:p>
    <w:p w14:paraId="511E25BB"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object w:dxaOrig="220" w:dyaOrig="360" w14:anchorId="6F4A59EA">
          <v:shape id="_x0000_i1038" type="#_x0000_t75" style="width:7.5pt;height:21.75pt" o:ole="">
            <v:imagedata r:id="rId202" o:title=""/>
          </v:shape>
          <o:OLEObject Type="Embed" ProgID="Equation.3" ShapeID="_x0000_i1038" DrawAspect="Content" ObjectID="_1683575715" r:id="rId203"/>
        </w:object>
      </w:r>
      <w:r w:rsidRPr="00164238">
        <w:rPr>
          <w:rFonts w:ascii="Times New Roman" w:hAnsi="Times New Roman" w:cs="Times New Roman"/>
          <w:color w:val="000000" w:themeColor="text1"/>
          <w:lang w:val="fr-FR"/>
        </w:rPr>
        <w:t xml:space="preserve"> : Öngörü hatası, </w:t>
      </w:r>
    </w:p>
    <w:p w14:paraId="0C9A5383"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object w:dxaOrig="240" w:dyaOrig="360" w14:anchorId="12684A91">
          <v:shape id="_x0000_i1039" type="#_x0000_t75" style="width:14.25pt;height:21.75pt" o:ole="">
            <v:imagedata r:id="rId204" o:title=""/>
          </v:shape>
          <o:OLEObject Type="Embed" ProgID="Equation.3" ShapeID="_x0000_i1039" DrawAspect="Content" ObjectID="_1683575716" r:id="rId205"/>
        </w:object>
      </w:r>
      <w:r w:rsidRPr="00164238">
        <w:rPr>
          <w:rFonts w:ascii="Times New Roman" w:hAnsi="Times New Roman" w:cs="Times New Roman"/>
          <w:color w:val="000000" w:themeColor="text1"/>
          <w:lang w:val="fr-FR"/>
        </w:rPr>
        <w:t xml:space="preserve"> : Gerçek değer, </w:t>
      </w:r>
    </w:p>
    <w:p w14:paraId="178278D9"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object w:dxaOrig="260" w:dyaOrig="499" w14:anchorId="46014729">
          <v:shape id="_x0000_i1040" type="#_x0000_t75" style="width:14.25pt;height:21.75pt" o:ole="">
            <v:imagedata r:id="rId206" o:title=""/>
          </v:shape>
          <o:OLEObject Type="Embed" ProgID="Equation.3" ShapeID="_x0000_i1040" DrawAspect="Content" ObjectID="_1683575717" r:id="rId207"/>
        </w:object>
      </w:r>
      <w:r w:rsidRPr="00164238">
        <w:rPr>
          <w:rFonts w:ascii="Times New Roman" w:hAnsi="Times New Roman" w:cs="Times New Roman"/>
          <w:color w:val="000000" w:themeColor="text1"/>
          <w:lang w:val="fr-FR"/>
        </w:rPr>
        <w:t xml:space="preserve"> : Öngörülen değer</w:t>
      </w:r>
    </w:p>
    <w:p w14:paraId="0362CF6A"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 xml:space="preserve">Yapay sinir ağlarının en çok kullanılan modeli çok katmanlı yapay sinir ağıdır. Tek katmanlı yapay sinir ağı girdi ve çıktı katmanından oluşmaktadır. Tek katmanlı yapay sinir ağları, doğrusal olmayan problemleri çözememesinden dolayı çok katmanlı yapay sinir ağları ortaya konulmuştur. Tek katmanlı yapay sinir ağına bir de orta katman(lar) eklenmiştir. Şekil 1’de çok katmanlı bir yapay sinir ağı yapısı yer almaktadır. Ara katman ve ara katmanda yer alacak olan nöron sayısı, modeli kuran uzmanın bilgi, beceri ve modeldeki parametrelere göre değişmektedir. Ne çok fazla olması ne de çok az olması istenmemektedir. Bu durum, uzmanın deneyimi ile modeli çalıştırıp sonuçlarına bakması ve ona göre ara katman sayısını belirlemesi en uygun çalışma şekli olduğu belirtilmektedir. Gradojevic ve Yang (2000), çalışmalarında ara katmanlar girdi katmanı ile çıktı katmanı arasında yer alır ve birden fazla gizli katman olabilir. Beyindeki interneuron’lara benzerler ve burada girdi ve çıktı verisi arasındaki ilişki ortaya konulur. Bu sayede ağ, ağa sunulan yeni girdilere, önceden öğrenilmiş gerçekleri öğretmesi, uyarlama yapması ve genelleme yapmasına izin verir. Her bir girdi seti ağa sunulduğunda iç eşleştirme ile ağın gizli katmanında kaydolunur. Diğer klasik istatistik metotlarının tersine bu durum, sisteme sezgisel tahmin edebilme, zeka verir. Gizli katman sayısı ağın sezgisel kabiliyeti ile verimliliği arasında yapılacak olan değiş tokuş ile belirlenir. Optimum gizli katman sayısı net değildir. Çok fazla gizli katman bazı problemlere neden olur. Bunlar; ağın fazla eğitilmesi veya fazla uygun halde olmasıdır. Bu durumlar ağın genel çözümü öğrenmesini engeller. Bunun yanında az ara katman olması ise girdi ve çıktı arasındaki desenin öğrenilmesini engeller. Genel olarak gizli katman ve gizli katmandaki hücre sayısının sayıları deneyim ile belirlenir. Yıldız (2009), ara katmanda, başlangıçta üç veya dört tane hücre olması tasarımcılar tarafından tavsiye edilmektedir. Ara katmanda yer alacak olan hücre sayısı iki farklı yöntem ile belirlenebilmektedir. Bunlardan ilkinde ağın eğitimine yüksek sayıda hücre ile başlamak ve giderek azaltmak diğeri ise tam tersi düşük sayıda hücre ile başlamak ve eğitim sırasında hücre sayısını arttırmaktır. Ara katmanda yer </w:t>
      </w:r>
      <w:r w:rsidRPr="00164238">
        <w:rPr>
          <w:rFonts w:ascii="Times New Roman" w:hAnsi="Times New Roman" w:cs="Times New Roman"/>
          <w:color w:val="000000" w:themeColor="text1"/>
          <w:lang w:val="fr-FR"/>
        </w:rPr>
        <w:lastRenderedPageBreak/>
        <w:t>alan hücre sayısı çok fazla olması durumunda fazla uygun (over fit) sorunu ortaya çıkabilmektedir. Bu durumda ağ veriyi ezberlemiş ve veri içerisinde yer alan gizli dinamikleri çözememiştir. Bu durumda ağ, genelleme becerisini kaybetmiştir ve kendisine gösterilecek olan yeni veri setine uygun olmayan sonuçlar üretebilir. Bunun yanında kaç tane ara katman olacağı da aynı yöntem ile belirlenebilmektedir.</w:t>
      </w:r>
    </w:p>
    <w:p w14:paraId="00BBB9ED"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p>
    <w:p w14:paraId="3CD87737" w14:textId="77777777" w:rsidR="00254933" w:rsidRPr="00164238" w:rsidRDefault="00254933" w:rsidP="00254933">
      <w:pPr>
        <w:pStyle w:val="ResimYazs"/>
        <w:keepNext/>
        <w:spacing w:before="120" w:line="276" w:lineRule="auto"/>
        <w:rPr>
          <w:color w:val="000000" w:themeColor="text1"/>
          <w:lang w:val="fr-FR"/>
        </w:rPr>
      </w:pPr>
      <w:r w:rsidRPr="00164238">
        <w:rPr>
          <w:noProof/>
          <w:color w:val="000000" w:themeColor="text1"/>
        </w:rPr>
        <w:drawing>
          <wp:anchor distT="0" distB="0" distL="114300" distR="114300" simplePos="0" relativeHeight="251692032" behindDoc="0" locked="0" layoutInCell="1" allowOverlap="1" wp14:anchorId="62523C4F" wp14:editId="07E08A1B">
            <wp:simplePos x="0" y="0"/>
            <wp:positionH relativeFrom="margin">
              <wp:align>center</wp:align>
            </wp:positionH>
            <wp:positionV relativeFrom="paragraph">
              <wp:posOffset>244258</wp:posOffset>
            </wp:positionV>
            <wp:extent cx="3277870" cy="2275840"/>
            <wp:effectExtent l="0" t="0" r="0" b="0"/>
            <wp:wrapTopAndBottom/>
            <wp:docPr id="8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277870" cy="2275840"/>
                    </a:xfrm>
                    <a:prstGeom prst="rect">
                      <a:avLst/>
                    </a:prstGeom>
                    <a:noFill/>
                  </pic:spPr>
                </pic:pic>
              </a:graphicData>
            </a:graphic>
          </wp:anchor>
        </w:drawing>
      </w:r>
      <w:r w:rsidRPr="00164238">
        <w:rPr>
          <w:color w:val="000000" w:themeColor="text1"/>
          <w:lang w:val="tr-TR"/>
        </w:rPr>
        <w:t xml:space="preserve">Şekil 1. </w:t>
      </w:r>
      <w:r w:rsidRPr="00164238">
        <w:rPr>
          <w:i w:val="0"/>
          <w:color w:val="000000" w:themeColor="text1"/>
          <w:lang w:val="tr-TR"/>
        </w:rPr>
        <w:t>Çok Katmanlı Yapay Sinir Ağı</w:t>
      </w:r>
    </w:p>
    <w:p w14:paraId="576242B6"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p>
    <w:p w14:paraId="6FA61B3A"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 xml:space="preserve">Şekil 1’de yer alan çok katmanlı yapay sinir ağında yer alan yapay sinir hücresi Şekil 2’de görüleceği üzere girişler, ağırlıklar, toplama işlevi, etkinlik işlevi ve çıkıştan oluşmaktadır. </w:t>
      </w:r>
    </w:p>
    <w:p w14:paraId="526F7B7A" w14:textId="77777777" w:rsidR="00254933" w:rsidRPr="00164238" w:rsidRDefault="00254933" w:rsidP="00254933">
      <w:pPr>
        <w:pStyle w:val="ResimYazs"/>
        <w:keepNext/>
        <w:spacing w:before="120" w:line="276" w:lineRule="auto"/>
        <w:rPr>
          <w:i w:val="0"/>
          <w:color w:val="000000" w:themeColor="text1"/>
          <w:lang w:val="tr-TR"/>
        </w:rPr>
      </w:pPr>
      <w:r w:rsidRPr="00164238">
        <w:rPr>
          <w:color w:val="000000" w:themeColor="text1"/>
          <w:lang w:val="tr-TR"/>
        </w:rPr>
        <w:t xml:space="preserve">Şekil 2. </w:t>
      </w:r>
      <w:r w:rsidRPr="00164238">
        <w:rPr>
          <w:i w:val="0"/>
          <w:color w:val="000000" w:themeColor="text1"/>
          <w:lang w:val="tr-TR"/>
        </w:rPr>
        <w:t xml:space="preserve">Yapay Sinir Hücresi </w:t>
      </w:r>
      <w:r w:rsidRPr="00164238">
        <w:rPr>
          <w:i w:val="0"/>
          <w:noProof/>
          <w:color w:val="000000" w:themeColor="text1"/>
        </w:rPr>
        <w:drawing>
          <wp:anchor distT="0" distB="0" distL="114300" distR="114300" simplePos="0" relativeHeight="251693056" behindDoc="0" locked="0" layoutInCell="1" allowOverlap="1" wp14:anchorId="4C1ED465" wp14:editId="55C7156F">
            <wp:simplePos x="0" y="0"/>
            <wp:positionH relativeFrom="margin">
              <wp:posOffset>1522095</wp:posOffset>
            </wp:positionH>
            <wp:positionV relativeFrom="paragraph">
              <wp:posOffset>169204</wp:posOffset>
            </wp:positionV>
            <wp:extent cx="2586990" cy="1107440"/>
            <wp:effectExtent l="0" t="0" r="3810" b="0"/>
            <wp:wrapTopAndBottom/>
            <wp:docPr id="9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b="29113"/>
                    <a:stretch/>
                  </pic:blipFill>
                  <pic:spPr bwMode="auto">
                    <a:xfrm>
                      <a:off x="0" y="0"/>
                      <a:ext cx="2586990" cy="1107440"/>
                    </a:xfrm>
                    <a:prstGeom prst="rect">
                      <a:avLst/>
                    </a:prstGeom>
                    <a:noFill/>
                    <a:ln>
                      <a:noFill/>
                    </a:ln>
                    <a:extLst>
                      <a:ext uri="{53640926-AAD7-44D8-BBD7-CCE9431645EC}">
                        <a14:shadowObscured xmlns:a14="http://schemas.microsoft.com/office/drawing/2010/main"/>
                      </a:ext>
                    </a:extLst>
                  </pic:spPr>
                </pic:pic>
              </a:graphicData>
            </a:graphic>
          </wp:anchor>
        </w:drawing>
      </w:r>
    </w:p>
    <w:p w14:paraId="19E0D775"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Girişler: Yapay sinir ağı hücresine dışarıdan, diğer yapay sinir hücresinden veya kendisinden gelen bilgilerdir. Bazen giriş değerleri aynı düzlemde değil ise aşağıdaki (3) nolu eşitlik yardımı ile girdiler  0-1 aralığına dönüştürülebilir.</w:t>
      </w:r>
    </w:p>
    <w:p w14:paraId="61B658B4"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 xml:space="preserve">Xı = </w:t>
      </w:r>
      <w:r w:rsidRPr="00164238">
        <w:rPr>
          <w:rFonts w:ascii="Times New Roman" w:hAnsi="Times New Roman" w:cs="Times New Roman"/>
          <w:color w:val="000000" w:themeColor="text1"/>
          <w:lang w:val="fr-FR"/>
        </w:rPr>
        <w:object w:dxaOrig="1280" w:dyaOrig="700" w14:anchorId="3A13C95C">
          <v:shape id="_x0000_i1041" type="#_x0000_t75" style="width:64.5pt;height:36pt" o:ole="">
            <v:imagedata r:id="rId210" o:title=""/>
          </v:shape>
          <o:OLEObject Type="Embed" ProgID="Equation.3" ShapeID="_x0000_i1041" DrawAspect="Content" ObjectID="_1683575718" r:id="rId211"/>
        </w:object>
      </w:r>
      <w:r w:rsidRPr="00164238">
        <w:rPr>
          <w:rFonts w:ascii="Times New Roman" w:hAnsi="Times New Roman" w:cs="Times New Roman"/>
          <w:color w:val="000000" w:themeColor="text1"/>
          <w:lang w:val="fr-FR"/>
        </w:rPr>
        <w:tab/>
      </w:r>
      <w:r w:rsidRPr="00164238">
        <w:rPr>
          <w:rFonts w:ascii="Times New Roman" w:hAnsi="Times New Roman" w:cs="Times New Roman"/>
          <w:color w:val="000000" w:themeColor="text1"/>
          <w:lang w:val="fr-FR"/>
        </w:rPr>
        <w:tab/>
      </w:r>
      <w:r w:rsidRPr="00164238">
        <w:rPr>
          <w:rFonts w:ascii="Times New Roman" w:hAnsi="Times New Roman" w:cs="Times New Roman"/>
          <w:color w:val="000000" w:themeColor="text1"/>
          <w:lang w:val="fr-FR"/>
        </w:rPr>
        <w:tab/>
      </w:r>
      <w:r w:rsidRPr="00164238">
        <w:rPr>
          <w:rFonts w:ascii="Times New Roman" w:hAnsi="Times New Roman" w:cs="Times New Roman"/>
          <w:color w:val="000000" w:themeColor="text1"/>
          <w:lang w:val="fr-FR"/>
        </w:rPr>
        <w:tab/>
      </w:r>
      <w:r w:rsidRPr="00164238">
        <w:rPr>
          <w:rFonts w:ascii="Times New Roman" w:hAnsi="Times New Roman" w:cs="Times New Roman"/>
          <w:color w:val="000000" w:themeColor="text1"/>
          <w:lang w:val="fr-FR"/>
        </w:rPr>
        <w:tab/>
        <w:t>(3)</w:t>
      </w:r>
      <w:r w:rsidRPr="00164238">
        <w:rPr>
          <w:rFonts w:ascii="Times New Roman" w:hAnsi="Times New Roman" w:cs="Times New Roman"/>
          <w:color w:val="000000" w:themeColor="text1"/>
          <w:lang w:val="fr-FR"/>
        </w:rPr>
        <w:tab/>
      </w:r>
      <w:r w:rsidRPr="00164238">
        <w:rPr>
          <w:rFonts w:ascii="Times New Roman" w:hAnsi="Times New Roman" w:cs="Times New Roman"/>
          <w:color w:val="000000" w:themeColor="text1"/>
          <w:lang w:val="fr-FR"/>
        </w:rPr>
        <w:tab/>
      </w:r>
    </w:p>
    <w:p w14:paraId="2B75C9E2"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Xı : dönüştürülmüş yeni girdi değeri</w:t>
      </w:r>
    </w:p>
    <w:p w14:paraId="60CEAA6E"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Xmin : girdi setindeki en küçük değer</w:t>
      </w:r>
    </w:p>
    <w:p w14:paraId="736D3B2A"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Xmax : girdi setindeki en büyük değer</w:t>
      </w:r>
    </w:p>
    <w:p w14:paraId="4083A81A"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X : girdi değeri</w:t>
      </w:r>
    </w:p>
    <w:p w14:paraId="15D4D260"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lastRenderedPageBreak/>
        <w:t>Ağırlıklar: Ağırlıklar bir yapay sinir ağı hücresine gelen girdinin hücre üzerinde ne kadar etkili olduğunu göstermektedir. Ağırlıklar eksi, artı veya sıfır değerini alabilir. Warner ve Misra (1996), eserlerinde ağırlığın değerinin negatif olmasının dizginleyici bir etki yarattığını, çünkü net girdiyi düşürdüğünü aktarmışlarıdır. Eğer ağırlığın değeri pozitif olursa artırıcı bir etki yaratır çünkü net girdi artmaktadır. Öztemel (2003), yapay sinir ağlarında bilginin ağın bağlantılarının sahip olduğu ağırlık değerlerinde saklandığını ifade etmiştir. Diğer bir deyişle, bir yapay sinir ağının zekası ağın bağlantılarının sahip olduğu ağırlık değerlerinde saklıdır. Ağın sahip olduğu ağırlık değerleri ne kadar doğru ise ağın performansıda o kadar yüksek olur. Ağırlık değerleri bütün ağa yayılmış olduğundan ağın belleğide dağıtık bir hafızadır. O nedenle tek bir ağırlık değeri bir anlam ifade etmemektedir. Bilginin dağıtılmış olması bazı ağırlık değerlerinin o veya bu şekilde kaybolması durumunda dahi ağın çalışmasını sürdürmesine neden olmaktadır.</w:t>
      </w:r>
    </w:p>
    <w:p w14:paraId="20977A0E"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Toplama Fonksiyonu: Farklı fonksiyonlar bu aşamada kullanılmakla beraber en çok kullanılan ağırlıklı toplamı bulma şeklindedir. Bu aşamada eşik değer dışarıdan eklenen eksi veya artı bir değerdir. Bu aktivasyon fonksiyonunun girdisini azaltması veya yükseltmesi anlamına gelmektedir.</w:t>
      </w:r>
    </w:p>
    <w:p w14:paraId="6E322202"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Aktivasyon fonksiyonu: Aktivasyon fonksiyonu yapay sinir hücresine gelen girdiyi işleyerek hücrenin bu girdiye karşılık olarak üreteceği çıktıyı belirlemesidir. Aktivasyon fonksiyonu olarak sigmoid, lineer, hiperbolik tanjant, eşik değer, sinüs, step, gauss aktivasyon fonksiyonları kullanılmaktadır. Eşitlik (4)’te sigmoid ve hiperbolik tanjant aktivasyon fonksiyonu formülasyonu yer almaktadır. Kaastra, Iebeling ve Boyd (1996), çalışmalarında transfer fonksiyonunun amacını, çıktıların çok büyük değerlere ulaşmasını engellemek şeklinde aktarmışlardır. Eğer çıktılar çok büyük değerlere ulaşır ise ağ felç olur ve ağın eğitimi engellenmiş olur.</w:t>
      </w:r>
    </w:p>
    <w:p w14:paraId="144F860A"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ab/>
        <w:t xml:space="preserve">ƒ (net) = </w:t>
      </w:r>
      <w:r w:rsidRPr="00164238">
        <w:rPr>
          <w:rFonts w:ascii="Times New Roman" w:hAnsi="Times New Roman" w:cs="Times New Roman"/>
          <w:color w:val="000000" w:themeColor="text1"/>
          <w:lang w:val="fr-FR"/>
        </w:rPr>
        <w:object w:dxaOrig="840" w:dyaOrig="620" w14:anchorId="2420A39E">
          <v:shape id="_x0000_i1042" type="#_x0000_t75" style="width:43.5pt;height:28.5pt" o:ole="">
            <v:imagedata r:id="rId212" o:title=""/>
          </v:shape>
          <o:OLEObject Type="Embed" ProgID="Equation.3" ShapeID="_x0000_i1042" DrawAspect="Content" ObjectID="_1683575719" r:id="rId213"/>
        </w:object>
      </w:r>
      <w:r w:rsidRPr="00164238">
        <w:rPr>
          <w:rFonts w:ascii="Times New Roman" w:hAnsi="Times New Roman" w:cs="Times New Roman"/>
          <w:color w:val="000000" w:themeColor="text1"/>
          <w:lang w:val="fr-FR"/>
        </w:rPr>
        <w:t xml:space="preserve">    ,    ƒ (net) = </w:t>
      </w:r>
      <w:r w:rsidRPr="00164238">
        <w:rPr>
          <w:rFonts w:ascii="Times New Roman" w:hAnsi="Times New Roman" w:cs="Times New Roman"/>
          <w:color w:val="000000" w:themeColor="text1"/>
          <w:lang w:val="fr-FR"/>
        </w:rPr>
        <w:object w:dxaOrig="1260" w:dyaOrig="720" w14:anchorId="1331AC08">
          <v:shape id="_x0000_i1043" type="#_x0000_t75" style="width:64.5pt;height:36pt" o:ole="">
            <v:imagedata r:id="rId214" o:title=""/>
          </v:shape>
          <o:OLEObject Type="Embed" ProgID="Equation.3" ShapeID="_x0000_i1043" DrawAspect="Content" ObjectID="_1683575720" r:id="rId215"/>
        </w:object>
      </w:r>
      <w:r w:rsidRPr="00164238">
        <w:rPr>
          <w:rFonts w:ascii="Times New Roman" w:hAnsi="Times New Roman" w:cs="Times New Roman"/>
          <w:color w:val="000000" w:themeColor="text1"/>
          <w:lang w:val="fr-FR"/>
        </w:rPr>
        <w:tab/>
      </w:r>
      <w:r w:rsidRPr="00164238">
        <w:rPr>
          <w:rFonts w:ascii="Times New Roman" w:hAnsi="Times New Roman" w:cs="Times New Roman"/>
          <w:color w:val="000000" w:themeColor="text1"/>
          <w:lang w:val="fr-FR"/>
        </w:rPr>
        <w:tab/>
      </w:r>
      <w:r w:rsidRPr="00164238">
        <w:rPr>
          <w:rFonts w:ascii="Times New Roman" w:hAnsi="Times New Roman" w:cs="Times New Roman"/>
          <w:color w:val="000000" w:themeColor="text1"/>
          <w:lang w:val="fr-FR"/>
        </w:rPr>
        <w:tab/>
        <w:t>(4)</w:t>
      </w:r>
    </w:p>
    <w:p w14:paraId="49D5E2E8"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p>
    <w:p w14:paraId="2D6EBDBE"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Çıkışlar: Yapay sinir hücresinin birden fazla girdisi olmasına karşın tek bir çıktısı vardır. Bu çıktı dışarıya, diğer yapay sinir hücresine ve kendisine girdi olarak girebilir.</w:t>
      </w:r>
    </w:p>
    <w:p w14:paraId="0C71E53D"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 xml:space="preserve">Yapay sinir ağlarının diğer modellerden ayıran en büyük özelliği öğrenmesidir. Bu da hücreler arasındaki ağırlıkların değiştirilmesi ile olabilmektedir. Ağırlıklar, yeni bağlantılar ile veya mevcut bağlantıları azaltarak veya ağırlıkların değiştirilmesi ile sağlanmaktadır. İlk aşamada ağırlıklar rastgele atanmaktadır. En sonunda ağ genelleme yapabiliyor ise bu yapay sinir ağı öğrenme yetisine kavuşmuş olmaktadır. Ağ, bu öğrenme sürecini eğitim seti verisi ile sağlamaktadır. Ardından bu eğitimin başarılı olup olmadığı test veri seti ile sağlanabilmektedir. Öğrenme kuralı olarak Hebb, Hopfield, Delta veya Kohonen kuralı kullanılmaktadır. Ağın eğitilmesi, en az hataya ulaşana kadar ileri ve geri doğru beslenmesi ile yapılmaktadır. Öğrenme türü olarak ise öğretmenli öğrenme veya öğretmensiz öğrenme kullanılmaktadır. Haykin (1999), eserinde hafıza ve öğrenmenin anlaşılmaz bir şekilde birbirine bağlı olduğunu ve bir şey öğrenildiğinde beyinde saklandığı ve daha sonra ihtiyaç olduğunda kullanım için geri çağrıldığını aktarmıştır. Efe ve Kaynak (2004), çalışmalarında ise eğer sinir ağı, verilen noktalarda sıfıra çok yakın bir toplam karesel hata elde edilecek biçimde eğitilmişse, eğitim çiftleri kümesinde </w:t>
      </w:r>
      <w:r w:rsidRPr="00164238">
        <w:rPr>
          <w:rFonts w:ascii="Times New Roman" w:hAnsi="Times New Roman" w:cs="Times New Roman"/>
          <w:color w:val="000000" w:themeColor="text1"/>
          <w:lang w:val="fr-FR"/>
        </w:rPr>
        <w:lastRenderedPageBreak/>
        <w:t>bulunmayan ancak aynı sürekli yüzey denklemlerinden elde edilen bir başka noktada büyük hata içeren bir cevap üretmesi olası bir durumdur. Bu nedenle, eğitim çiftleri kümesinin yanında test çiftleri kümesi de oluşturulmalı ve bu iki küme, mümkün olduğunca az sayıda özdeş eleman bulundurmalıdır. Eğitim esnasında eğitim çiftlerine göre parametre güncellemesi yapılırken test çiftleri kümesi içinde gözlemlenen toplam karesel hata kontrol edilmelidir. Her iki büyüklüğünde azalma gösterdiği süre boyunca genelleme mantığına uygun bir öğrenme gerçekleşmektedir. Bir süre sonra eğitim çiftleri için hata azalmaya devam ederken test çiftleri için hata artmaya başlayacaktır. Bu anda eğitime son verilmelidir; çünkü, kullanılan eğitim çiftleri için artık ezberleme süreci başlamıştır.</w:t>
      </w:r>
    </w:p>
    <w:p w14:paraId="08740604"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rPr>
      </w:pPr>
    </w:p>
    <w:p w14:paraId="66178B69"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w:t>
      </w:r>
    </w:p>
    <w:p w14:paraId="304C31AF" w14:textId="77777777" w:rsidR="00254933" w:rsidRPr="00164238" w:rsidRDefault="00254933" w:rsidP="00254933">
      <w:pPr>
        <w:spacing w:before="60" w:after="60" w:line="276" w:lineRule="auto"/>
        <w:ind w:firstLine="567"/>
        <w:rPr>
          <w:rFonts w:ascii="Times New Roman" w:hAnsi="Times New Roman" w:cs="Times New Roman"/>
          <w:b/>
          <w:color w:val="000000" w:themeColor="text1"/>
        </w:rPr>
      </w:pPr>
      <w:r w:rsidRPr="00164238">
        <w:rPr>
          <w:rFonts w:ascii="Times New Roman" w:hAnsi="Times New Roman" w:cs="Times New Roman"/>
          <w:b/>
          <w:color w:val="000000" w:themeColor="text1"/>
        </w:rPr>
        <w:t>BULGULAR</w:t>
      </w:r>
    </w:p>
    <w:p w14:paraId="761AC7AF"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 xml:space="preserve">Yapay sinir ağları ile yapılan çalışmalara bakıldığında büyük bir kısmı farklı modellerin karşılaştırması şeklindedir ve çoğunun sonucunda yapay sinir ağları daha başarılı sonuçlar vermiştir. Bu çalışmanın amacı, model karşılaştırmaktan ziyade kovid- 19 pandemisi döneminde tüketici kredisi faiz oranının ne yönde olduğunu tahmin etmeye yöneliktir. </w:t>
      </w:r>
    </w:p>
    <w:p w14:paraId="7C6B7EDB"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Model kapsamında tüketici kredisi faiz oranı tahmin edilmeye çalışılmıştır. Her bir tahmin edilmeye çalışılan parametre ile ilgili kullanılan girdi parametreleri kendisinin 1, 2 ve 3 gecikmeli değeri, ABD dolar kuru, tüketici fiyatları endeksi ve tüketici güven endeksidir. Fonksiyon olarak gösterimi aşağıda yer almaktadır.</w:t>
      </w:r>
    </w:p>
    <w:p w14:paraId="42EE822F"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Tüketici Kredisi Faiz Oranı = f (ABD Dolar Kuru, TÜFE, Tüketici Güven Endeksi, Gecikmeli Değerleri)</w:t>
      </w:r>
    </w:p>
    <w:p w14:paraId="53050AD5"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 xml:space="preserve">Çalışma kapsamındaki Ocak 2012- Şubat 2021 arasında aylık veriler Merkez Bankası web sayfasından elde edilmiştir. Modelde kullanılan tüketici kredi faiz oranının çalışma yapılan dönem içindeki çizgi grafiği Şekil 3’de yer almaktadır. </w:t>
      </w:r>
    </w:p>
    <w:p w14:paraId="037D6B58" w14:textId="77777777" w:rsidR="00254933" w:rsidRPr="00164238" w:rsidRDefault="00254933" w:rsidP="00254933">
      <w:pPr>
        <w:pStyle w:val="ResimYazs"/>
        <w:keepNext/>
        <w:spacing w:before="120" w:line="276" w:lineRule="auto"/>
        <w:rPr>
          <w:i w:val="0"/>
          <w:color w:val="000000" w:themeColor="text1"/>
          <w:lang w:val="tr-TR"/>
        </w:rPr>
      </w:pPr>
      <w:r w:rsidRPr="00164238">
        <w:rPr>
          <w:noProof/>
          <w:color w:val="000000" w:themeColor="text1"/>
        </w:rPr>
        <w:drawing>
          <wp:anchor distT="0" distB="0" distL="114300" distR="114300" simplePos="0" relativeHeight="251694080" behindDoc="0" locked="0" layoutInCell="1" allowOverlap="1" wp14:anchorId="518E2EFF" wp14:editId="56ADC726">
            <wp:simplePos x="0" y="0"/>
            <wp:positionH relativeFrom="margin">
              <wp:align>right</wp:align>
            </wp:positionH>
            <wp:positionV relativeFrom="paragraph">
              <wp:posOffset>277495</wp:posOffset>
            </wp:positionV>
            <wp:extent cx="5382260" cy="2281555"/>
            <wp:effectExtent l="0" t="0" r="8890" b="4445"/>
            <wp:wrapTopAndBottom/>
            <wp:docPr id="91"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6"/>
              </a:graphicData>
            </a:graphic>
            <wp14:sizeRelH relativeFrom="margin">
              <wp14:pctWidth>0</wp14:pctWidth>
            </wp14:sizeRelH>
            <wp14:sizeRelV relativeFrom="margin">
              <wp14:pctHeight>0</wp14:pctHeight>
            </wp14:sizeRelV>
          </wp:anchor>
        </w:drawing>
      </w:r>
      <w:r w:rsidRPr="00164238">
        <w:rPr>
          <w:color w:val="000000" w:themeColor="text1"/>
          <w:lang w:val="tr-TR"/>
        </w:rPr>
        <w:t xml:space="preserve">Şekil 3. </w:t>
      </w:r>
      <w:r w:rsidRPr="00164238">
        <w:rPr>
          <w:i w:val="0"/>
          <w:color w:val="000000" w:themeColor="text1"/>
          <w:lang w:val="tr-TR"/>
        </w:rPr>
        <w:t>Tüketici Kredi Faiz Oranı</w:t>
      </w:r>
    </w:p>
    <w:p w14:paraId="7D8BB9E6"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p>
    <w:p w14:paraId="7467AFD4"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lastRenderedPageBreak/>
        <w:t xml:space="preserve">Tüketici kredi faiz oranının seyir grafiğini incelediğimizde pandemi döneminde yükselişe geçtiği görülmektedir. </w:t>
      </w:r>
    </w:p>
    <w:p w14:paraId="48D13AD9"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Yöntem kısmında açıklanan yapay sinir ağı geliştirme sürecindeki adımlar izlenerek bu çalışma gerçekleştirilmiştir. Aşağıda her bir adımda yapılan çalışmalar hakkında bilgi sunulmuştur.</w:t>
      </w:r>
    </w:p>
    <w:p w14:paraId="1DCB60CA"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Veri ile Ağı Eğitecek ve Test Edecek Setin Belirlenmesi: Veri seti olarak Ocak 2012 – Şubat 2021 dönemi ele alınmıştır. Veri, eğitim ve test seti olarak iki gruba bölünmüştür. Test seti, eğitim setinin devamı olan seri şeklinde seçilmiştir. Veri seti, toplamı 110 adet aylık veriden oluşmaktadır. Bu veri setinden 88 adedi eğitim, 22 adedi ise test için kullanılmıştır. Tüm tahmin modelleri için aynı veri seti dağılımı kullanılmıştır.</w:t>
      </w:r>
    </w:p>
    <w:p w14:paraId="1E4CE393"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Ağın Oluşturulması: Yapay sinir ağı mimarisi olarak üç ve dört katmanlı modeller denenmiştir. Tablo 1’de her bir tahmin için optimum modelin belirlenmesi aşamasına kadar yapılan model denemeleri ve bunların sonuçları yer almaktadır.</w:t>
      </w:r>
    </w:p>
    <w:p w14:paraId="06C34F1B" w14:textId="77777777" w:rsidR="00254933" w:rsidRPr="00164238" w:rsidRDefault="00254933" w:rsidP="00254933">
      <w:pPr>
        <w:pStyle w:val="ResimYazs"/>
        <w:keepNext/>
        <w:spacing w:before="120" w:line="276" w:lineRule="auto"/>
        <w:jc w:val="left"/>
        <w:rPr>
          <w:i w:val="0"/>
          <w:color w:val="000000" w:themeColor="text1"/>
          <w:lang w:val="tr-TR"/>
        </w:rPr>
      </w:pPr>
      <w:r w:rsidRPr="00164238">
        <w:rPr>
          <w:color w:val="000000" w:themeColor="text1"/>
          <w:lang w:val="tr-TR"/>
        </w:rPr>
        <w:t xml:space="preserve">Tablo 1: </w:t>
      </w:r>
      <w:r w:rsidRPr="00164238">
        <w:rPr>
          <w:i w:val="0"/>
          <w:color w:val="000000" w:themeColor="text1"/>
          <w:lang w:val="tr-TR"/>
        </w:rPr>
        <w:t>Yapay Sinir Ağı Modelleri</w:t>
      </w:r>
    </w:p>
    <w:tbl>
      <w:tblPr>
        <w:tblStyle w:val="nlmpublisher-name"/>
        <w:tblW w:w="0" w:type="auto"/>
        <w:tblLook w:val="04A0" w:firstRow="1" w:lastRow="0" w:firstColumn="1" w:lastColumn="0" w:noHBand="0" w:noVBand="1"/>
      </w:tblPr>
      <w:tblGrid>
        <w:gridCol w:w="1607"/>
        <w:gridCol w:w="1279"/>
        <w:gridCol w:w="1211"/>
        <w:gridCol w:w="1248"/>
        <w:gridCol w:w="1350"/>
        <w:gridCol w:w="1805"/>
      </w:tblGrid>
      <w:tr w:rsidR="00164238" w:rsidRPr="00164238" w14:paraId="14A21016" w14:textId="77777777" w:rsidTr="00682CBF">
        <w:tc>
          <w:tcPr>
            <w:tcW w:w="1607" w:type="dxa"/>
          </w:tcPr>
          <w:p w14:paraId="0DBE63FA"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YSA Model No</w:t>
            </w:r>
          </w:p>
        </w:tc>
        <w:tc>
          <w:tcPr>
            <w:tcW w:w="1279" w:type="dxa"/>
          </w:tcPr>
          <w:p w14:paraId="5C0E24E4"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Girdi Katmanı Nöron Sayısı</w:t>
            </w:r>
          </w:p>
        </w:tc>
        <w:tc>
          <w:tcPr>
            <w:tcW w:w="1211" w:type="dxa"/>
          </w:tcPr>
          <w:p w14:paraId="25AA2C13"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Gizli Katman Sayısı</w:t>
            </w:r>
          </w:p>
        </w:tc>
        <w:tc>
          <w:tcPr>
            <w:tcW w:w="1248" w:type="dxa"/>
          </w:tcPr>
          <w:p w14:paraId="0C69A84D"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Gizli Katman Nöron Sayısı</w:t>
            </w:r>
          </w:p>
        </w:tc>
        <w:tc>
          <w:tcPr>
            <w:tcW w:w="1350" w:type="dxa"/>
          </w:tcPr>
          <w:p w14:paraId="4C6A4BD1"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Çıktı Katmanı Nöron Sayısı</w:t>
            </w:r>
          </w:p>
        </w:tc>
        <w:tc>
          <w:tcPr>
            <w:tcW w:w="1805" w:type="dxa"/>
          </w:tcPr>
          <w:p w14:paraId="24EB7375"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 xml:space="preserve">Ortalama Hata Karesi </w:t>
            </w:r>
          </w:p>
          <w:p w14:paraId="77B923DF"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(MSE: Mean Square Error)</w:t>
            </w:r>
          </w:p>
        </w:tc>
      </w:tr>
      <w:tr w:rsidR="00164238" w:rsidRPr="00164238" w14:paraId="611EF155" w14:textId="77777777" w:rsidTr="00682CBF">
        <w:tc>
          <w:tcPr>
            <w:tcW w:w="1607" w:type="dxa"/>
          </w:tcPr>
          <w:p w14:paraId="284FC907"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1</w:t>
            </w:r>
          </w:p>
        </w:tc>
        <w:tc>
          <w:tcPr>
            <w:tcW w:w="1279" w:type="dxa"/>
          </w:tcPr>
          <w:p w14:paraId="17DFCB64"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6</w:t>
            </w:r>
          </w:p>
        </w:tc>
        <w:tc>
          <w:tcPr>
            <w:tcW w:w="1211" w:type="dxa"/>
          </w:tcPr>
          <w:p w14:paraId="7F8A777E"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1</w:t>
            </w:r>
          </w:p>
        </w:tc>
        <w:tc>
          <w:tcPr>
            <w:tcW w:w="1248" w:type="dxa"/>
          </w:tcPr>
          <w:p w14:paraId="7E171781"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2</w:t>
            </w:r>
          </w:p>
        </w:tc>
        <w:tc>
          <w:tcPr>
            <w:tcW w:w="1350" w:type="dxa"/>
          </w:tcPr>
          <w:p w14:paraId="56ED9E15"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1</w:t>
            </w:r>
          </w:p>
        </w:tc>
        <w:tc>
          <w:tcPr>
            <w:tcW w:w="1805" w:type="dxa"/>
          </w:tcPr>
          <w:p w14:paraId="74D66CF5"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5,2201</w:t>
            </w:r>
          </w:p>
        </w:tc>
      </w:tr>
      <w:tr w:rsidR="00164238" w:rsidRPr="00164238" w14:paraId="24EAC7BA" w14:textId="77777777" w:rsidTr="00682CBF">
        <w:tc>
          <w:tcPr>
            <w:tcW w:w="1607" w:type="dxa"/>
          </w:tcPr>
          <w:p w14:paraId="7B1D2D4E"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2</w:t>
            </w:r>
          </w:p>
        </w:tc>
        <w:tc>
          <w:tcPr>
            <w:tcW w:w="1279" w:type="dxa"/>
          </w:tcPr>
          <w:p w14:paraId="29600AF7"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6</w:t>
            </w:r>
          </w:p>
        </w:tc>
        <w:tc>
          <w:tcPr>
            <w:tcW w:w="1211" w:type="dxa"/>
          </w:tcPr>
          <w:p w14:paraId="6491627F"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2</w:t>
            </w:r>
          </w:p>
        </w:tc>
        <w:tc>
          <w:tcPr>
            <w:tcW w:w="1248" w:type="dxa"/>
          </w:tcPr>
          <w:p w14:paraId="387C87E4"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3, 2</w:t>
            </w:r>
          </w:p>
        </w:tc>
        <w:tc>
          <w:tcPr>
            <w:tcW w:w="1350" w:type="dxa"/>
          </w:tcPr>
          <w:p w14:paraId="1C7602EF"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1</w:t>
            </w:r>
          </w:p>
        </w:tc>
        <w:tc>
          <w:tcPr>
            <w:tcW w:w="1805" w:type="dxa"/>
          </w:tcPr>
          <w:p w14:paraId="765B3AC6"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4,1553</w:t>
            </w:r>
          </w:p>
        </w:tc>
      </w:tr>
      <w:tr w:rsidR="00164238" w:rsidRPr="00164238" w14:paraId="57C97A81" w14:textId="77777777" w:rsidTr="00682CBF">
        <w:tc>
          <w:tcPr>
            <w:tcW w:w="1607" w:type="dxa"/>
          </w:tcPr>
          <w:p w14:paraId="5DFCDF8B"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3</w:t>
            </w:r>
          </w:p>
        </w:tc>
        <w:tc>
          <w:tcPr>
            <w:tcW w:w="1279" w:type="dxa"/>
          </w:tcPr>
          <w:p w14:paraId="4918C172"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6</w:t>
            </w:r>
          </w:p>
        </w:tc>
        <w:tc>
          <w:tcPr>
            <w:tcW w:w="1211" w:type="dxa"/>
          </w:tcPr>
          <w:p w14:paraId="55C2061C"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1</w:t>
            </w:r>
          </w:p>
        </w:tc>
        <w:tc>
          <w:tcPr>
            <w:tcW w:w="1248" w:type="dxa"/>
          </w:tcPr>
          <w:p w14:paraId="0F7135E5"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4</w:t>
            </w:r>
          </w:p>
        </w:tc>
        <w:tc>
          <w:tcPr>
            <w:tcW w:w="1350" w:type="dxa"/>
          </w:tcPr>
          <w:p w14:paraId="052D3DE1"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1</w:t>
            </w:r>
          </w:p>
        </w:tc>
        <w:tc>
          <w:tcPr>
            <w:tcW w:w="1805" w:type="dxa"/>
          </w:tcPr>
          <w:p w14:paraId="33AB903E"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11,4527</w:t>
            </w:r>
          </w:p>
        </w:tc>
      </w:tr>
      <w:tr w:rsidR="00164238" w:rsidRPr="00164238" w14:paraId="5D832FF3" w14:textId="77777777" w:rsidTr="00682CBF">
        <w:tc>
          <w:tcPr>
            <w:tcW w:w="1607" w:type="dxa"/>
          </w:tcPr>
          <w:p w14:paraId="676D9ADA"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4</w:t>
            </w:r>
          </w:p>
        </w:tc>
        <w:tc>
          <w:tcPr>
            <w:tcW w:w="1279" w:type="dxa"/>
          </w:tcPr>
          <w:p w14:paraId="72DA7DED"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5</w:t>
            </w:r>
          </w:p>
        </w:tc>
        <w:tc>
          <w:tcPr>
            <w:tcW w:w="1211" w:type="dxa"/>
          </w:tcPr>
          <w:p w14:paraId="431DDA0B"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1</w:t>
            </w:r>
          </w:p>
        </w:tc>
        <w:tc>
          <w:tcPr>
            <w:tcW w:w="1248" w:type="dxa"/>
          </w:tcPr>
          <w:p w14:paraId="6B42B607"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2</w:t>
            </w:r>
          </w:p>
        </w:tc>
        <w:tc>
          <w:tcPr>
            <w:tcW w:w="1350" w:type="dxa"/>
          </w:tcPr>
          <w:p w14:paraId="794E292B"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1</w:t>
            </w:r>
          </w:p>
        </w:tc>
        <w:tc>
          <w:tcPr>
            <w:tcW w:w="1805" w:type="dxa"/>
          </w:tcPr>
          <w:p w14:paraId="468E55ED"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6,6917</w:t>
            </w:r>
          </w:p>
        </w:tc>
      </w:tr>
      <w:tr w:rsidR="00164238" w:rsidRPr="00164238" w14:paraId="49E70E4A" w14:textId="77777777" w:rsidTr="00682CBF">
        <w:tc>
          <w:tcPr>
            <w:tcW w:w="1607" w:type="dxa"/>
          </w:tcPr>
          <w:p w14:paraId="0CD368BA"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5</w:t>
            </w:r>
          </w:p>
        </w:tc>
        <w:tc>
          <w:tcPr>
            <w:tcW w:w="1279" w:type="dxa"/>
          </w:tcPr>
          <w:p w14:paraId="25656D2E"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4</w:t>
            </w:r>
          </w:p>
        </w:tc>
        <w:tc>
          <w:tcPr>
            <w:tcW w:w="1211" w:type="dxa"/>
          </w:tcPr>
          <w:p w14:paraId="3F1A4DBC"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1</w:t>
            </w:r>
          </w:p>
        </w:tc>
        <w:tc>
          <w:tcPr>
            <w:tcW w:w="1248" w:type="dxa"/>
          </w:tcPr>
          <w:p w14:paraId="6F24FED5"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2</w:t>
            </w:r>
          </w:p>
        </w:tc>
        <w:tc>
          <w:tcPr>
            <w:tcW w:w="1350" w:type="dxa"/>
          </w:tcPr>
          <w:p w14:paraId="795133E7"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1</w:t>
            </w:r>
          </w:p>
        </w:tc>
        <w:tc>
          <w:tcPr>
            <w:tcW w:w="1805" w:type="dxa"/>
          </w:tcPr>
          <w:p w14:paraId="3B410EF1"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2,8185</w:t>
            </w:r>
          </w:p>
        </w:tc>
      </w:tr>
      <w:tr w:rsidR="00164238" w:rsidRPr="00164238" w14:paraId="71C7FD6D" w14:textId="77777777" w:rsidTr="00682CBF">
        <w:tc>
          <w:tcPr>
            <w:tcW w:w="1607" w:type="dxa"/>
          </w:tcPr>
          <w:p w14:paraId="401C0573"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6</w:t>
            </w:r>
          </w:p>
        </w:tc>
        <w:tc>
          <w:tcPr>
            <w:tcW w:w="1279" w:type="dxa"/>
          </w:tcPr>
          <w:p w14:paraId="0E09DB15"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7</w:t>
            </w:r>
          </w:p>
        </w:tc>
        <w:tc>
          <w:tcPr>
            <w:tcW w:w="1211" w:type="dxa"/>
          </w:tcPr>
          <w:p w14:paraId="2B2660FD"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2</w:t>
            </w:r>
          </w:p>
        </w:tc>
        <w:tc>
          <w:tcPr>
            <w:tcW w:w="1248" w:type="dxa"/>
          </w:tcPr>
          <w:p w14:paraId="7A6391C3"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3, 2</w:t>
            </w:r>
          </w:p>
        </w:tc>
        <w:tc>
          <w:tcPr>
            <w:tcW w:w="1350" w:type="dxa"/>
          </w:tcPr>
          <w:p w14:paraId="58DBED75"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1</w:t>
            </w:r>
          </w:p>
        </w:tc>
        <w:tc>
          <w:tcPr>
            <w:tcW w:w="1805" w:type="dxa"/>
          </w:tcPr>
          <w:p w14:paraId="08319905"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8,8123</w:t>
            </w:r>
          </w:p>
        </w:tc>
      </w:tr>
      <w:tr w:rsidR="00164238" w:rsidRPr="00164238" w14:paraId="56ED519D" w14:textId="77777777" w:rsidTr="00682CBF">
        <w:tc>
          <w:tcPr>
            <w:tcW w:w="1607" w:type="dxa"/>
          </w:tcPr>
          <w:p w14:paraId="205229AC"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7</w:t>
            </w:r>
          </w:p>
        </w:tc>
        <w:tc>
          <w:tcPr>
            <w:tcW w:w="1279" w:type="dxa"/>
          </w:tcPr>
          <w:p w14:paraId="0B1574B1"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6</w:t>
            </w:r>
          </w:p>
        </w:tc>
        <w:tc>
          <w:tcPr>
            <w:tcW w:w="1211" w:type="dxa"/>
          </w:tcPr>
          <w:p w14:paraId="512A6F89"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3</w:t>
            </w:r>
          </w:p>
        </w:tc>
        <w:tc>
          <w:tcPr>
            <w:tcW w:w="1248" w:type="dxa"/>
          </w:tcPr>
          <w:p w14:paraId="6405AE50"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3,2,2</w:t>
            </w:r>
          </w:p>
        </w:tc>
        <w:tc>
          <w:tcPr>
            <w:tcW w:w="1350" w:type="dxa"/>
          </w:tcPr>
          <w:p w14:paraId="48FD2135"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1</w:t>
            </w:r>
          </w:p>
        </w:tc>
        <w:tc>
          <w:tcPr>
            <w:tcW w:w="1805" w:type="dxa"/>
          </w:tcPr>
          <w:p w14:paraId="31EFC88B"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14,5842</w:t>
            </w:r>
          </w:p>
        </w:tc>
      </w:tr>
      <w:tr w:rsidR="00164238" w:rsidRPr="00164238" w14:paraId="31341E2D" w14:textId="77777777" w:rsidTr="00682CBF">
        <w:tc>
          <w:tcPr>
            <w:tcW w:w="1607" w:type="dxa"/>
          </w:tcPr>
          <w:p w14:paraId="6960DB0F"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8</w:t>
            </w:r>
          </w:p>
        </w:tc>
        <w:tc>
          <w:tcPr>
            <w:tcW w:w="1279" w:type="dxa"/>
          </w:tcPr>
          <w:p w14:paraId="43C0C549"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4</w:t>
            </w:r>
          </w:p>
        </w:tc>
        <w:tc>
          <w:tcPr>
            <w:tcW w:w="1211" w:type="dxa"/>
          </w:tcPr>
          <w:p w14:paraId="555D5E81"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1</w:t>
            </w:r>
          </w:p>
        </w:tc>
        <w:tc>
          <w:tcPr>
            <w:tcW w:w="1248" w:type="dxa"/>
          </w:tcPr>
          <w:p w14:paraId="79FF64A9"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3</w:t>
            </w:r>
          </w:p>
        </w:tc>
        <w:tc>
          <w:tcPr>
            <w:tcW w:w="1350" w:type="dxa"/>
          </w:tcPr>
          <w:p w14:paraId="55C59384"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1</w:t>
            </w:r>
          </w:p>
        </w:tc>
        <w:tc>
          <w:tcPr>
            <w:tcW w:w="1805" w:type="dxa"/>
          </w:tcPr>
          <w:p w14:paraId="17B90CFE"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10,7453</w:t>
            </w:r>
          </w:p>
        </w:tc>
      </w:tr>
      <w:tr w:rsidR="00164238" w:rsidRPr="00164238" w14:paraId="4D46AC8D" w14:textId="77777777" w:rsidTr="00682CBF">
        <w:tc>
          <w:tcPr>
            <w:tcW w:w="1607" w:type="dxa"/>
          </w:tcPr>
          <w:p w14:paraId="37767D23" w14:textId="77777777" w:rsidR="00254933" w:rsidRPr="00164238" w:rsidRDefault="00254933" w:rsidP="00682CBF">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9</w:t>
            </w:r>
          </w:p>
        </w:tc>
        <w:tc>
          <w:tcPr>
            <w:tcW w:w="1279" w:type="dxa"/>
          </w:tcPr>
          <w:p w14:paraId="57AB8AEB" w14:textId="77777777" w:rsidR="00254933" w:rsidRPr="00164238" w:rsidRDefault="00254933" w:rsidP="00682CBF">
            <w:pPr>
              <w:jc w:val="center"/>
              <w:rPr>
                <w:rFonts w:ascii="Times New Roman" w:hAnsi="Times New Roman" w:cs="Times New Roman"/>
                <w:b/>
                <w:color w:val="000000" w:themeColor="text1"/>
              </w:rPr>
            </w:pPr>
            <w:r w:rsidRPr="00164238">
              <w:rPr>
                <w:rFonts w:ascii="Times New Roman" w:hAnsi="Times New Roman" w:cs="Times New Roman"/>
                <w:b/>
                <w:color w:val="000000" w:themeColor="text1"/>
              </w:rPr>
              <w:t>6</w:t>
            </w:r>
          </w:p>
        </w:tc>
        <w:tc>
          <w:tcPr>
            <w:tcW w:w="1211" w:type="dxa"/>
          </w:tcPr>
          <w:p w14:paraId="6AFD4617" w14:textId="77777777" w:rsidR="00254933" w:rsidRPr="00164238" w:rsidRDefault="00254933" w:rsidP="00682CBF">
            <w:pPr>
              <w:jc w:val="center"/>
              <w:rPr>
                <w:rFonts w:ascii="Times New Roman" w:hAnsi="Times New Roman" w:cs="Times New Roman"/>
                <w:b/>
                <w:color w:val="000000" w:themeColor="text1"/>
              </w:rPr>
            </w:pPr>
            <w:r w:rsidRPr="00164238">
              <w:rPr>
                <w:rFonts w:ascii="Times New Roman" w:hAnsi="Times New Roman" w:cs="Times New Roman"/>
                <w:b/>
                <w:color w:val="000000" w:themeColor="text1"/>
              </w:rPr>
              <w:t>1</w:t>
            </w:r>
          </w:p>
        </w:tc>
        <w:tc>
          <w:tcPr>
            <w:tcW w:w="1248" w:type="dxa"/>
          </w:tcPr>
          <w:p w14:paraId="1176CFB4" w14:textId="77777777" w:rsidR="00254933" w:rsidRPr="00164238" w:rsidRDefault="00254933" w:rsidP="00682CBF">
            <w:pPr>
              <w:jc w:val="center"/>
              <w:rPr>
                <w:rFonts w:ascii="Times New Roman" w:hAnsi="Times New Roman" w:cs="Times New Roman"/>
                <w:b/>
                <w:color w:val="000000" w:themeColor="text1"/>
              </w:rPr>
            </w:pPr>
            <w:r w:rsidRPr="00164238">
              <w:rPr>
                <w:rFonts w:ascii="Times New Roman" w:hAnsi="Times New Roman" w:cs="Times New Roman"/>
                <w:b/>
                <w:color w:val="000000" w:themeColor="text1"/>
              </w:rPr>
              <w:t>3</w:t>
            </w:r>
          </w:p>
        </w:tc>
        <w:tc>
          <w:tcPr>
            <w:tcW w:w="1350" w:type="dxa"/>
          </w:tcPr>
          <w:p w14:paraId="160ADCDF" w14:textId="77777777" w:rsidR="00254933" w:rsidRPr="00164238" w:rsidRDefault="00254933" w:rsidP="00682CBF">
            <w:pPr>
              <w:jc w:val="center"/>
              <w:rPr>
                <w:rFonts w:ascii="Times New Roman" w:hAnsi="Times New Roman" w:cs="Times New Roman"/>
                <w:b/>
                <w:color w:val="000000" w:themeColor="text1"/>
              </w:rPr>
            </w:pPr>
            <w:r w:rsidRPr="00164238">
              <w:rPr>
                <w:rFonts w:ascii="Times New Roman" w:hAnsi="Times New Roman" w:cs="Times New Roman"/>
                <w:b/>
                <w:color w:val="000000" w:themeColor="text1"/>
              </w:rPr>
              <w:t>1</w:t>
            </w:r>
          </w:p>
        </w:tc>
        <w:tc>
          <w:tcPr>
            <w:tcW w:w="1805" w:type="dxa"/>
          </w:tcPr>
          <w:p w14:paraId="39C81E7E" w14:textId="77777777" w:rsidR="00254933" w:rsidRPr="00164238" w:rsidRDefault="00254933" w:rsidP="00682CBF">
            <w:pPr>
              <w:jc w:val="center"/>
              <w:rPr>
                <w:rFonts w:ascii="Times New Roman" w:hAnsi="Times New Roman" w:cs="Times New Roman"/>
                <w:b/>
                <w:color w:val="000000" w:themeColor="text1"/>
              </w:rPr>
            </w:pPr>
            <w:r w:rsidRPr="00164238">
              <w:rPr>
                <w:rFonts w:ascii="Times New Roman" w:hAnsi="Times New Roman" w:cs="Times New Roman"/>
                <w:b/>
                <w:color w:val="000000" w:themeColor="text1"/>
              </w:rPr>
              <w:t>1,1097</w:t>
            </w:r>
          </w:p>
        </w:tc>
      </w:tr>
    </w:tbl>
    <w:p w14:paraId="2B5682D4"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Buna göre en düşük hata kareleri ortalamasını (Mean Square Error –MSE) veren dokuz nolu model en iyi model olarak belirlenmiştir. Modelin tamamında aktivasyon fonksiyonu olarak gizli katmanda hiperbolik tanjant, çıktı katmanında ise lojistik fonksiyonu kullanılmıştır. Hata fonksiyonu ise hata kareleri toplamıdır. Şekil 4’de deneme yapılan farklı modellerin sonuç grafikleri yer almaktadır.</w:t>
      </w:r>
    </w:p>
    <w:p w14:paraId="30E5BE2E" w14:textId="77777777" w:rsidR="00254933" w:rsidRPr="00164238" w:rsidRDefault="00254933" w:rsidP="00254933">
      <w:pPr>
        <w:pStyle w:val="ResimYazs"/>
        <w:keepNext/>
        <w:spacing w:before="120" w:line="276" w:lineRule="auto"/>
        <w:rPr>
          <w:color w:val="000000" w:themeColor="text1"/>
          <w:lang w:val="tr-TR"/>
        </w:rPr>
      </w:pPr>
      <w:r w:rsidRPr="00164238">
        <w:rPr>
          <w:noProof/>
          <w:color w:val="000000" w:themeColor="text1"/>
        </w:rPr>
        <w:lastRenderedPageBreak/>
        <w:drawing>
          <wp:anchor distT="0" distB="0" distL="114300" distR="114300" simplePos="0" relativeHeight="251696128" behindDoc="0" locked="0" layoutInCell="1" allowOverlap="1" wp14:anchorId="63BDE6D4" wp14:editId="074D2DAF">
            <wp:simplePos x="0" y="0"/>
            <wp:positionH relativeFrom="margin">
              <wp:posOffset>120659</wp:posOffset>
            </wp:positionH>
            <wp:positionV relativeFrom="paragraph">
              <wp:posOffset>295948</wp:posOffset>
            </wp:positionV>
            <wp:extent cx="5019675" cy="3643630"/>
            <wp:effectExtent l="0" t="0" r="9525" b="0"/>
            <wp:wrapTopAndBottom/>
            <wp:docPr id="9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019675" cy="3643630"/>
                    </a:xfrm>
                    <a:prstGeom prst="rect">
                      <a:avLst/>
                    </a:prstGeom>
                    <a:noFill/>
                  </pic:spPr>
                </pic:pic>
              </a:graphicData>
            </a:graphic>
            <wp14:sizeRelH relativeFrom="margin">
              <wp14:pctWidth>0</wp14:pctWidth>
            </wp14:sizeRelH>
            <wp14:sizeRelV relativeFrom="margin">
              <wp14:pctHeight>0</wp14:pctHeight>
            </wp14:sizeRelV>
          </wp:anchor>
        </w:drawing>
      </w:r>
      <w:r w:rsidRPr="00164238">
        <w:rPr>
          <w:color w:val="000000" w:themeColor="text1"/>
          <w:lang w:val="tr-TR"/>
        </w:rPr>
        <w:t xml:space="preserve">Şekil 4. </w:t>
      </w:r>
      <w:r w:rsidRPr="00164238">
        <w:rPr>
          <w:i w:val="0"/>
          <w:color w:val="000000" w:themeColor="text1"/>
          <w:lang w:val="tr-TR"/>
        </w:rPr>
        <w:t>Deneme Yapılan Farklı Modellerin Sonuçları</w:t>
      </w:r>
    </w:p>
    <w:p w14:paraId="78BDC944"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p>
    <w:p w14:paraId="23DF3EC0"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Ağın Eğitilmesi: Tüketici kredisi faiz oranı tahmin modelinde en etkili parametre bir gecikmeli değeri olmuştur. Ardından sırası ile ABD Dolar Kuru, iki gecikmeli değeri, tüketici fiyatları endeksi, üç gecikmeli değeri ve son olarak ise tüketici güven endeksidir. Öğrenme algoritması olarak hızlı geri yayılım algoritması seçilmiştir. Veriler ağa sıralı bir şekilde verilmiştir. Ağı durdurma kriteri olarak ortalama hata karesi ve/veya belirli bir hedef sayıya kadar çalıştıktan sonra (25.000-50.000 arasında farklı durumlar denenmiştir) durması gibi farklı durumlar denenmiştir. En başarılı modelde ağın durma noktası 30.000 olarak belirlenmiştir. En başarılı modeldeki modelin tamamı için elde edilmiş olan R2 değeri ise 0,96 olarak elde edilmiştir. Şekil 5’de en başarılı modelin gerçek ve tahmini değerlerinin karşılaştırma çizgi grafiği yer almaktadır.</w:t>
      </w:r>
    </w:p>
    <w:p w14:paraId="467707C4" w14:textId="77777777" w:rsidR="00254933" w:rsidRPr="00164238" w:rsidRDefault="00254933" w:rsidP="00254933">
      <w:pPr>
        <w:pStyle w:val="ResimYazs"/>
        <w:keepNext/>
        <w:spacing w:before="120" w:line="276" w:lineRule="auto"/>
        <w:rPr>
          <w:i w:val="0"/>
          <w:color w:val="000000" w:themeColor="text1"/>
          <w:lang w:val="tr-TR"/>
        </w:rPr>
      </w:pPr>
      <w:r w:rsidRPr="00164238">
        <w:rPr>
          <w:noProof/>
          <w:color w:val="000000" w:themeColor="text1"/>
        </w:rPr>
        <w:lastRenderedPageBreak/>
        <w:drawing>
          <wp:anchor distT="0" distB="0" distL="114300" distR="114300" simplePos="0" relativeHeight="251695104" behindDoc="0" locked="0" layoutInCell="1" allowOverlap="1" wp14:anchorId="36DE3DCF" wp14:editId="06F600A0">
            <wp:simplePos x="0" y="0"/>
            <wp:positionH relativeFrom="margin">
              <wp:align>right</wp:align>
            </wp:positionH>
            <wp:positionV relativeFrom="paragraph">
              <wp:posOffset>533400</wp:posOffset>
            </wp:positionV>
            <wp:extent cx="5397500" cy="2000885"/>
            <wp:effectExtent l="0" t="0" r="12700" b="18415"/>
            <wp:wrapTopAndBottom/>
            <wp:docPr id="93"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8"/>
              </a:graphicData>
            </a:graphic>
            <wp14:sizeRelH relativeFrom="margin">
              <wp14:pctWidth>0</wp14:pctWidth>
            </wp14:sizeRelH>
          </wp:anchor>
        </w:drawing>
      </w:r>
      <w:r w:rsidRPr="00164238">
        <w:rPr>
          <w:color w:val="000000" w:themeColor="text1"/>
          <w:lang w:val="tr-TR"/>
        </w:rPr>
        <w:t xml:space="preserve">Şekil 5. </w:t>
      </w:r>
      <w:r w:rsidRPr="00164238">
        <w:rPr>
          <w:i w:val="0"/>
          <w:color w:val="000000" w:themeColor="text1"/>
          <w:lang w:val="tr-TR"/>
        </w:rPr>
        <w:t>Dokuz (6-3-1) Nolu Yapay Sinir Ağı Modelinin Gerçek ve Tahmini Değer Karşılaştırma Grafiği</w:t>
      </w:r>
    </w:p>
    <w:p w14:paraId="5F71D6FF"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p>
    <w:p w14:paraId="2D51EAF3"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 xml:space="preserve">Ağın Kullanılması: Her bir tahminde ortalama hata karesini en düşük şekilde sağlayan model en uygun model olarak seçilmiştir. </w:t>
      </w:r>
    </w:p>
    <w:p w14:paraId="3AAF3ED9" w14:textId="77777777" w:rsidR="00254933" w:rsidRPr="00164238" w:rsidRDefault="00254933" w:rsidP="00254933">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Karar verilen ağ ile özellikle modelin eğitimi ve testi esnasında kullanılmayan Mart 2021 ayının faiz oranı tahmin edilmeye çalışılmış ve sonuçta gerçeğe çok yakın bir sonuç elde edilmiştir. Sonuçta, tüketici kredisi faiz oranını tahmin için kullanılan model parametrelerinden en çok modele etki eden parametrenin de kendisinin bir gecikmeli değeri olduğu belirlenmiştir. Dolayısı ile zaman serileri ile çalışma yaparken özellikle gecikmeli değerler modelin gelecekteki değeri hakkında önemli oranda açıklayıcı katkı sağlamaktadır. Bunun yanında dolar kuru da bu kapsamda modelin tahmin performansında katkı sağlamıştır.</w:t>
      </w:r>
    </w:p>
    <w:p w14:paraId="700AEB1D" w14:textId="77777777" w:rsidR="00254933" w:rsidRPr="00164238" w:rsidRDefault="00254933" w:rsidP="00254933">
      <w:pPr>
        <w:spacing w:before="120" w:after="120" w:line="276" w:lineRule="auto"/>
        <w:ind w:firstLine="567"/>
        <w:rPr>
          <w:rFonts w:ascii="Times New Roman" w:hAnsi="Times New Roman" w:cs="Times New Roman"/>
          <w:b/>
          <w:color w:val="000000" w:themeColor="text1"/>
        </w:rPr>
      </w:pPr>
      <w:r w:rsidRPr="00164238">
        <w:rPr>
          <w:rFonts w:ascii="Times New Roman" w:hAnsi="Times New Roman" w:cs="Times New Roman"/>
          <w:b/>
          <w:color w:val="000000" w:themeColor="text1"/>
        </w:rPr>
        <w:t>TARTIŞMA VE SONUÇ</w:t>
      </w:r>
    </w:p>
    <w:p w14:paraId="6DEAA108" w14:textId="77777777" w:rsidR="00254933" w:rsidRPr="00164238" w:rsidRDefault="00254933" w:rsidP="00254933">
      <w:pPr>
        <w:spacing w:before="120" w:after="60"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Yapay sinir ağları ile öngörü uzun zamandır kullanılmakta olan bir yöntemdir. Bu çalışmada da özellikle kovid- 19 pandemisi döneminde bireyler için önemli bir ekonomik parametre olan tüketici kredisi faiz oranı tahmini için yapay sinir ağı kullanılmış ve bir öngörü modeli geliştirilmiştir. Önerilen modelin performans değerlendirme sonuçları incelendiğinde pandemi dönemindeki belirsizliklerin önüne geçebilmek için ortaya konulan modelin başarılı bir tahmin performansı gösterdiği tespit edilmiştir. Özellikle kredi faiz oranını ile ilgilenen taraflar bu gibi tahmin modelleri ile öngörüde bulunabilirlerse, pandemi dönemindeki belirsizlikleri kısmen de olsa azaltarak daha doğru karar verebileceklerdir. </w:t>
      </w:r>
    </w:p>
    <w:p w14:paraId="5D30A684" w14:textId="77777777" w:rsidR="00254933" w:rsidRPr="00164238" w:rsidRDefault="00254933" w:rsidP="00254933">
      <w:pPr>
        <w:spacing w:before="120" w:after="60" w:line="276" w:lineRule="auto"/>
        <w:ind w:firstLine="567"/>
        <w:rPr>
          <w:rFonts w:ascii="Times New Roman" w:hAnsi="Times New Roman" w:cs="Times New Roman"/>
          <w:b/>
          <w:color w:val="000000" w:themeColor="text1"/>
        </w:rPr>
      </w:pPr>
    </w:p>
    <w:p w14:paraId="2E710479" w14:textId="77777777" w:rsidR="00254933" w:rsidRPr="00164238" w:rsidRDefault="00254933" w:rsidP="00254933">
      <w:pPr>
        <w:spacing w:before="120" w:after="60" w:line="276" w:lineRule="auto"/>
        <w:ind w:firstLine="567"/>
        <w:rPr>
          <w:rFonts w:ascii="Times New Roman" w:hAnsi="Times New Roman" w:cs="Times New Roman"/>
          <w:b/>
          <w:color w:val="000000" w:themeColor="text1"/>
        </w:rPr>
      </w:pPr>
      <w:r w:rsidRPr="00164238">
        <w:rPr>
          <w:rFonts w:ascii="Times New Roman" w:hAnsi="Times New Roman" w:cs="Times New Roman"/>
          <w:b/>
          <w:color w:val="000000" w:themeColor="text1"/>
        </w:rPr>
        <w:t>ÖNERİLER</w:t>
      </w:r>
    </w:p>
    <w:p w14:paraId="40C56CB9" w14:textId="77777777" w:rsidR="00254933" w:rsidRPr="00164238" w:rsidRDefault="00254933" w:rsidP="00254933">
      <w:pPr>
        <w:pStyle w:val="GvdeMetni2"/>
        <w:spacing w:line="276" w:lineRule="auto"/>
        <w:ind w:firstLine="567"/>
        <w:jc w:val="both"/>
        <w:rPr>
          <w:color w:val="000000" w:themeColor="text1"/>
        </w:rPr>
      </w:pPr>
      <w:r w:rsidRPr="00164238">
        <w:rPr>
          <w:color w:val="000000" w:themeColor="text1"/>
        </w:rPr>
        <w:t>Model bundan sonraki dönemler için kullanılarak, özellikle pandemi dönemimde tüketiciler, kredi faiz oranlarını tahmin ederek kararlarını daha etkin bir şekilde verebilecekleri değerlendirilmektedir. Bundan sonraki çalışmalarda model daha da geliştirilerek modelde farklı parametreler kullanılabilir. Bu farklı parametrelerin modelin başarısına nasıl katkı sağladığı değerlendirilebilir.</w:t>
      </w:r>
    </w:p>
    <w:p w14:paraId="70E8DC15" w14:textId="77777777" w:rsidR="00254933" w:rsidRPr="00164238" w:rsidRDefault="00254933" w:rsidP="00254933">
      <w:pPr>
        <w:rPr>
          <w:rFonts w:ascii="Times New Roman" w:hAnsi="Times New Roman" w:cs="Times New Roman"/>
          <w:b/>
          <w:color w:val="000000" w:themeColor="text1"/>
        </w:rPr>
      </w:pPr>
      <w:r w:rsidRPr="00164238">
        <w:rPr>
          <w:rFonts w:ascii="Times New Roman" w:hAnsi="Times New Roman" w:cs="Times New Roman"/>
          <w:b/>
          <w:color w:val="000000" w:themeColor="text1"/>
        </w:rPr>
        <w:br w:type="page"/>
      </w:r>
    </w:p>
    <w:p w14:paraId="74C0D8C5" w14:textId="1D40A228" w:rsidR="006A4DC2" w:rsidRPr="00164238" w:rsidRDefault="00C95516" w:rsidP="006A4DC2">
      <w:pPr>
        <w:spacing w:line="276" w:lineRule="auto"/>
        <w:ind w:firstLine="567"/>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lastRenderedPageBreak/>
        <w:t>Kaynakça</w:t>
      </w:r>
    </w:p>
    <w:p w14:paraId="074AF246"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Arısoy, İ. ve Aytun, C. (2014) Türkiye’de Tüketim Harcamaları, Krediler ve Tüketici Güveni Arasındaki İlişkilerin Analizi, Business and Economics Research Journal, 5(2), 33-45.</w:t>
      </w:r>
    </w:p>
    <w:p w14:paraId="613D2A1D"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Benli, K. Y. ve Yıldız, A. (2014). Altın Fiyatının Zaman Serisi Yöntemleri ve Yapay Sinir Ağları ile Öngörüsü, Dumlupınar Üniversitesi Sosyal Bilimler Dergisi 42, 213-224.</w:t>
      </w:r>
    </w:p>
    <w:p w14:paraId="02858DB4"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Demirgil, B. ve Türkay, H. (2017). Türkiye’de Faiz Oranlarını Etkileyen Faktörler: Bir ARDL/Sınır Testi Uygulaması, Gazi Üniversitesi İktisadi ve İdari Bilimler Fakültesi Dergisi, 19(3), 907-928.</w:t>
      </w:r>
    </w:p>
    <w:p w14:paraId="5899ECD5"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Efe, M. Ö. ve Kaynak, O. (2004). Yapay Sinir Ağları ve Uygulamaları, Boğaziçi Üniversitesi Yayınları </w:t>
      </w:r>
    </w:p>
    <w:p w14:paraId="241F9B4C"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Ertuğrul, İ. ve Özçil, A. (2017). Bireysel Tüketici İhtiyaç Kredisi Talep Tahminlerinin Vektör Otoregresyon ve Yapay Sinir Ağı Modelleri ile Karşılaştırmalı Analizi, Finansal Araştırmalar ve Çalışmalar Dergisi, 19(16), 19-38.</w:t>
      </w:r>
    </w:p>
    <w:p w14:paraId="6B957D03"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Gradojevic, N. ve Yang, J. (2000). The Application of Artificial Neural Networks to Exchange Rate Forecasting: The Role of Market Microstructure Variables, Bank Of Canada Working Paper, 23.</w:t>
      </w:r>
    </w:p>
    <w:p w14:paraId="60E9C417"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Hamadneh, N. N., Khan, W. A., Ashraf, W., Atawneh, S. H., Khan, I. ve Hamadneh, B. N., (2021), Artificial Neural Networks for Prediction of COVID-19 in Saudi Arabia, Computers, Materials &amp; Continua, Tech Science Press, 66 (3), 2787-2796.</w:t>
      </w:r>
    </w:p>
    <w:p w14:paraId="031484B2"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Haykin, S. (1999). Neural Networks A Comprehensive Foundation, Second Edition, Prentice – Hall</w:t>
      </w:r>
    </w:p>
    <w:p w14:paraId="45334814"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Iebeling, K. ve Boyd, M. (1996). Designing a Neural Network for Forecasting Financial and Economic Time Series, Neurocomputing, 10.</w:t>
      </w:r>
    </w:p>
    <w:p w14:paraId="5B60EF93"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İbicioğlu, M., Karan, B. M. (2009). Türkiye’de Faiz Oranlarının Tüketici Kredileri Üzerindeki Etkisi, BDDK Bankacılık ve Finansal Piyasalar, 3(2), 11-30.</w:t>
      </w:r>
    </w:p>
    <w:p w14:paraId="30D3AFBF"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Jena P. R., Majhi, R., Kalli, R., Managi, S. ve Majhi, B. (2021). Impact of COVID-19 on GDP of major economies: Application of the artificial neural network forecaster, Economic Analysis and Policy, 69, 324-339.</w:t>
      </w:r>
    </w:p>
    <w:p w14:paraId="440A07F4"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Karaatlı, M., Demirci, E. ve Baykaldı, A. (2020) Ticari Kredi Faiz Oranlarının YSA NARX ve VAR Modelleri ile Öngörülmesi, İşletme Araştırmaları Dergisi, 12(3), 2327-2343.</w:t>
      </w:r>
    </w:p>
    <w:p w14:paraId="4FE0061D"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Nalın, T. H. ve Taşdelen, S. (2016). Bankalarda Kredi Arzını Etkileyen Faktörler, Finans Politik &amp; Ekonomik Yorumlar, 53(615), 65-75.</w:t>
      </w:r>
    </w:p>
    <w:p w14:paraId="605764A5"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Nayak, S. R., Nayak, D. R., Sinha, U., Arora, V., Pachori, R. B. (2021). Application of deep learning techniques for detection of COVID-19 cases using chest X-ray images: A comprehensive study, Biomedical Signal Processing and Control 64, 1-12.</w:t>
      </w:r>
    </w:p>
    <w:p w14:paraId="13BCED2E"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Odom, D. M. ve Sharda, R. (1990). A neural network model for bankruptcy prediction. 1990 IJCNN International Joint Conference on Neural Networks.</w:t>
      </w:r>
    </w:p>
    <w:p w14:paraId="51E3AC04"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Öztemel, E. (2003). Yapay Sinir Ağları, Papatya Yayıncılık</w:t>
      </w:r>
    </w:p>
    <w:p w14:paraId="264AF909"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lastRenderedPageBreak/>
        <w:t>Öztürk, N. ve Durgut, D. (2011). Faiz Oranlarının Belirleyicileri: Türkiye İçin Ampirik Bir Analiz, Uluslararası Alanya İşletme Fakültesi Dergisi, 3(1), 117-144.</w:t>
      </w:r>
    </w:p>
    <w:p w14:paraId="2540911C"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Sharma, A. ve Chopra, A. (2013). Artificial Neural Networks: Applications In Management, IOSR Journal of Business and Management (IOSR-JBM), 12(5), 32-40.</w:t>
      </w:r>
    </w:p>
    <w:p w14:paraId="390B938C"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Turgut, A. ve Gücün, S. B. (2020). Faiz Oranlarını Etkileyen Faktörler: Türkiye Örneği (2002-2018), International Journal of Disciplines Economics and Administrative Sciences Studies, 6 (15), 107-122.</w:t>
      </w:r>
    </w:p>
    <w:p w14:paraId="0C283A6E"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Ünal Z. S. ve Ocak, M. (2020). Türkiye’de 203-2018 Yılları Arasında Tüketici Kredi Hacmini Etkileyen Faktörler Üzerine Bir Araştırma, Toros Üniversitesi İİSBF Sosyal Bilimler Dergisi, 7(12), 1-18.</w:t>
      </w:r>
    </w:p>
    <w:p w14:paraId="7E5635E5"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Warner, B. ve Misra, M. (1996). Understanding Neural Networks As Statistical Tool, The American Statistician, 50(4).</w:t>
      </w:r>
    </w:p>
    <w:p w14:paraId="4C5E8B46"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Yıldız, A. ve Yıldız, D. (2014). ARIMA ve Yapay Sinir Ağlarına Dayalı Karma Yöntemle BIST 100 Endeks Öngörüsü, Finans Politik ve Ekonomik Yorumlar, 51(588), 59-72.</w:t>
      </w:r>
    </w:p>
    <w:p w14:paraId="6211EAA6"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Yıldız, D. (2009). Zaman Serileri Analizi ve Yapay Sinir Ağları ile Tahmin: Yabancı Portföy Yatırımları Üzerine Uygulama, (Yayımlanmamış Doktora Tezi) Ankara Üniversitesi Sosyal Bilimler Enstitüsü.</w:t>
      </w:r>
    </w:p>
    <w:p w14:paraId="6463C38F" w14:textId="77777777" w:rsidR="00254933" w:rsidRPr="00164238" w:rsidRDefault="00254933" w:rsidP="00254933">
      <w:pPr>
        <w:autoSpaceDE w:val="0"/>
        <w:autoSpaceDN w:val="0"/>
        <w:adjustRightInd w:val="0"/>
        <w:spacing w:before="120"/>
        <w:jc w:val="both"/>
        <w:rPr>
          <w:rFonts w:ascii="Times New Roman" w:hAnsi="Times New Roman" w:cs="Times New Roman"/>
          <w:color w:val="000000" w:themeColor="text1"/>
        </w:rPr>
      </w:pPr>
    </w:p>
    <w:p w14:paraId="550F280C" w14:textId="77777777" w:rsidR="00254933" w:rsidRPr="00164238" w:rsidRDefault="00254933" w:rsidP="00C54BC9">
      <w:pPr>
        <w:spacing w:line="720" w:lineRule="auto"/>
        <w:rPr>
          <w:rFonts w:ascii="Times New Roman" w:hAnsi="Times New Roman" w:cs="Times New Roman"/>
          <w:b/>
          <w:bCs/>
          <w:color w:val="000000" w:themeColor="text1"/>
        </w:rPr>
      </w:pPr>
    </w:p>
    <w:p w14:paraId="59A64891" w14:textId="0014438B" w:rsidR="00C54BC9" w:rsidRPr="00164238" w:rsidRDefault="00C54BC9" w:rsidP="00F17FEC">
      <w:pPr>
        <w:spacing w:before="120" w:after="120" w:line="360" w:lineRule="auto"/>
        <w:jc w:val="both"/>
        <w:rPr>
          <w:rFonts w:ascii="Times New Roman" w:hAnsi="Times New Roman" w:cs="Times New Roman"/>
          <w:color w:val="000000" w:themeColor="text1"/>
        </w:rPr>
      </w:pPr>
    </w:p>
    <w:p w14:paraId="246FE232" w14:textId="6A673EAD" w:rsidR="00254933" w:rsidRPr="00164238" w:rsidRDefault="00254933" w:rsidP="00F17FEC">
      <w:pPr>
        <w:spacing w:before="120" w:after="120" w:line="360" w:lineRule="auto"/>
        <w:jc w:val="both"/>
        <w:rPr>
          <w:rFonts w:ascii="Times New Roman" w:hAnsi="Times New Roman" w:cs="Times New Roman"/>
          <w:color w:val="000000" w:themeColor="text1"/>
        </w:rPr>
      </w:pPr>
    </w:p>
    <w:p w14:paraId="15DC50BC" w14:textId="77777777" w:rsidR="003772C0" w:rsidRPr="00164238" w:rsidRDefault="003772C0" w:rsidP="00F17FEC">
      <w:pPr>
        <w:spacing w:before="120" w:after="120" w:line="360" w:lineRule="auto"/>
        <w:jc w:val="both"/>
        <w:rPr>
          <w:rFonts w:ascii="Times New Roman" w:hAnsi="Times New Roman" w:cs="Times New Roman"/>
          <w:color w:val="000000" w:themeColor="text1"/>
        </w:rPr>
      </w:pPr>
    </w:p>
    <w:p w14:paraId="4E9E290F" w14:textId="77777777" w:rsidR="008F79A8" w:rsidRPr="00164238" w:rsidRDefault="008F79A8" w:rsidP="00F17FEC">
      <w:pPr>
        <w:spacing w:before="120" w:after="120" w:line="360" w:lineRule="auto"/>
        <w:jc w:val="both"/>
        <w:rPr>
          <w:rFonts w:ascii="Times New Roman" w:hAnsi="Times New Roman" w:cs="Times New Roman"/>
          <w:color w:val="000000" w:themeColor="text1"/>
        </w:rPr>
      </w:pPr>
    </w:p>
    <w:p w14:paraId="47E34A50" w14:textId="75A6BFCB" w:rsidR="00254933" w:rsidRPr="00164238" w:rsidRDefault="00254933" w:rsidP="00F17FEC">
      <w:pPr>
        <w:spacing w:before="120" w:after="120" w:line="360" w:lineRule="auto"/>
        <w:jc w:val="both"/>
        <w:rPr>
          <w:rFonts w:ascii="Times New Roman" w:hAnsi="Times New Roman" w:cs="Times New Roman"/>
          <w:color w:val="000000" w:themeColor="text1"/>
        </w:rPr>
      </w:pPr>
    </w:p>
    <w:p w14:paraId="1918BBB2" w14:textId="64E55355" w:rsidR="00254933" w:rsidRPr="00164238" w:rsidRDefault="00254933" w:rsidP="00F17FEC">
      <w:pPr>
        <w:spacing w:before="120" w:after="120" w:line="360" w:lineRule="auto"/>
        <w:jc w:val="both"/>
        <w:rPr>
          <w:rFonts w:ascii="Times New Roman" w:hAnsi="Times New Roman" w:cs="Times New Roman"/>
          <w:color w:val="000000" w:themeColor="text1"/>
        </w:rPr>
      </w:pPr>
    </w:p>
    <w:p w14:paraId="4CBAE282" w14:textId="38906E04" w:rsidR="00254933" w:rsidRPr="00164238" w:rsidRDefault="00254933" w:rsidP="00F17FEC">
      <w:pPr>
        <w:spacing w:before="120" w:after="120" w:line="360" w:lineRule="auto"/>
        <w:jc w:val="both"/>
        <w:rPr>
          <w:rFonts w:ascii="Times New Roman" w:hAnsi="Times New Roman" w:cs="Times New Roman"/>
          <w:color w:val="000000" w:themeColor="text1"/>
        </w:rPr>
      </w:pPr>
    </w:p>
    <w:p w14:paraId="17D972A9" w14:textId="0C1083C1" w:rsidR="00254933" w:rsidRPr="00164238" w:rsidRDefault="00254933" w:rsidP="00F17FEC">
      <w:pPr>
        <w:spacing w:before="120" w:after="120" w:line="360" w:lineRule="auto"/>
        <w:jc w:val="both"/>
        <w:rPr>
          <w:rFonts w:ascii="Times New Roman" w:hAnsi="Times New Roman" w:cs="Times New Roman"/>
          <w:color w:val="000000" w:themeColor="text1"/>
        </w:rPr>
      </w:pPr>
    </w:p>
    <w:p w14:paraId="709B4C17" w14:textId="10C30B6A" w:rsidR="00254933" w:rsidRPr="00164238" w:rsidRDefault="00254933" w:rsidP="00F17FEC">
      <w:pPr>
        <w:spacing w:before="120" w:after="120" w:line="360" w:lineRule="auto"/>
        <w:jc w:val="both"/>
        <w:rPr>
          <w:rFonts w:ascii="Times New Roman" w:hAnsi="Times New Roman" w:cs="Times New Roman"/>
          <w:color w:val="000000" w:themeColor="text1"/>
        </w:rPr>
      </w:pPr>
    </w:p>
    <w:p w14:paraId="25999B21" w14:textId="10E10E9E" w:rsidR="00254933" w:rsidRPr="00164238" w:rsidRDefault="00254933" w:rsidP="00F17FEC">
      <w:pPr>
        <w:spacing w:before="120" w:after="120" w:line="360" w:lineRule="auto"/>
        <w:jc w:val="both"/>
        <w:rPr>
          <w:rFonts w:ascii="Times New Roman" w:hAnsi="Times New Roman" w:cs="Times New Roman"/>
          <w:color w:val="000000" w:themeColor="text1"/>
        </w:rPr>
      </w:pPr>
    </w:p>
    <w:p w14:paraId="24FA7DC5" w14:textId="38B7B526" w:rsidR="00254933" w:rsidRPr="00164238" w:rsidRDefault="00254933" w:rsidP="00F17FEC">
      <w:pPr>
        <w:spacing w:before="120" w:after="120" w:line="360" w:lineRule="auto"/>
        <w:jc w:val="both"/>
        <w:rPr>
          <w:rFonts w:ascii="Times New Roman" w:hAnsi="Times New Roman" w:cs="Times New Roman"/>
          <w:color w:val="000000" w:themeColor="text1"/>
        </w:rPr>
      </w:pPr>
    </w:p>
    <w:p w14:paraId="7AAD50B0" w14:textId="65FD60A1" w:rsidR="00254933" w:rsidRPr="00164238" w:rsidRDefault="00254933" w:rsidP="00F17FEC">
      <w:pPr>
        <w:spacing w:before="120" w:after="120" w:line="360" w:lineRule="auto"/>
        <w:jc w:val="both"/>
        <w:rPr>
          <w:rFonts w:ascii="Times New Roman" w:hAnsi="Times New Roman" w:cs="Times New Roman"/>
          <w:color w:val="000000" w:themeColor="text1"/>
        </w:rPr>
      </w:pPr>
    </w:p>
    <w:p w14:paraId="4470E185" w14:textId="39888DC6" w:rsidR="00254933" w:rsidRPr="00164238" w:rsidRDefault="00254933" w:rsidP="00F17FEC">
      <w:pPr>
        <w:spacing w:before="120" w:after="120" w:line="360" w:lineRule="auto"/>
        <w:jc w:val="both"/>
        <w:rPr>
          <w:rFonts w:ascii="Times New Roman" w:hAnsi="Times New Roman" w:cs="Times New Roman"/>
          <w:color w:val="000000" w:themeColor="text1"/>
        </w:rPr>
      </w:pPr>
    </w:p>
    <w:p w14:paraId="46B3B255" w14:textId="76CD32B4" w:rsidR="00254933" w:rsidRPr="00164238" w:rsidRDefault="00254933" w:rsidP="00F17FEC">
      <w:pPr>
        <w:spacing w:before="120" w:after="120" w:line="360" w:lineRule="auto"/>
        <w:jc w:val="both"/>
        <w:rPr>
          <w:rFonts w:ascii="Times New Roman" w:hAnsi="Times New Roman" w:cs="Times New Roman"/>
          <w:color w:val="000000" w:themeColor="text1"/>
        </w:rPr>
      </w:pPr>
    </w:p>
    <w:p w14:paraId="391F1CB3" w14:textId="799CDBDC" w:rsidR="00254933" w:rsidRPr="00164238" w:rsidRDefault="00254933" w:rsidP="00F17FEC">
      <w:pPr>
        <w:spacing w:before="120" w:after="120" w:line="360" w:lineRule="auto"/>
        <w:jc w:val="both"/>
        <w:rPr>
          <w:rFonts w:ascii="Times New Roman" w:hAnsi="Times New Roman" w:cs="Times New Roman"/>
          <w:color w:val="000000" w:themeColor="text1"/>
        </w:rPr>
      </w:pPr>
    </w:p>
    <w:p w14:paraId="4BD0727C" w14:textId="5474A852" w:rsidR="00254933" w:rsidRPr="00164238" w:rsidRDefault="003772C0" w:rsidP="00EF4A33">
      <w:pPr>
        <w:pStyle w:val="KonuBal"/>
        <w:spacing w:before="1440" w:after="600"/>
        <w:outlineLvl w:val="0"/>
        <w:rPr>
          <w:color w:val="000000" w:themeColor="text1"/>
          <w:sz w:val="24"/>
          <w:lang w:val="tr-TR"/>
        </w:rPr>
      </w:pPr>
      <w:bookmarkStart w:id="95" w:name="_Hlk69681239"/>
      <w:bookmarkStart w:id="96" w:name="_Toc72961698"/>
      <w:r w:rsidRPr="00164238">
        <w:rPr>
          <w:color w:val="000000" w:themeColor="text1"/>
          <w:sz w:val="24"/>
          <w:lang w:val="tr-TR"/>
        </w:rPr>
        <w:t>HAVAYOLU YOLCU HİZMETİNDE DEĞER YIKIMI SONRASI HİZMET İYİLEŞTİRME SÜRECİNİN DEĞERLENDİRİLMESİ</w:t>
      </w:r>
      <w:bookmarkEnd w:id="96"/>
    </w:p>
    <w:p w14:paraId="09F870F2" w14:textId="77777777" w:rsidR="00EF4A33" w:rsidRPr="00164238" w:rsidRDefault="00EF4A33" w:rsidP="00EF4A33">
      <w:pPr>
        <w:pStyle w:val="Balk2"/>
        <w:rPr>
          <w:rFonts w:ascii="Times New Roman" w:eastAsia="Arial" w:hAnsi="Times New Roman" w:cs="Times New Roman"/>
          <w:i w:val="0"/>
          <w:color w:val="000000" w:themeColor="text1"/>
          <w:sz w:val="20"/>
          <w:szCs w:val="20"/>
        </w:rPr>
      </w:pPr>
      <w:bookmarkStart w:id="97" w:name="_Toc72961699"/>
      <w:bookmarkEnd w:id="95"/>
      <w:r w:rsidRPr="00164238">
        <w:rPr>
          <w:rStyle w:val="Balk2Char"/>
          <w:rFonts w:ascii="Times New Roman" w:hAnsi="Times New Roman" w:cs="Times New Roman"/>
          <w:color w:val="000000" w:themeColor="text1"/>
          <w:sz w:val="20"/>
          <w:szCs w:val="20"/>
        </w:rPr>
        <w:t>Dr. Öğr.Üyesi İnci Polat</w:t>
      </w:r>
      <w:r w:rsidRPr="00164238">
        <w:rPr>
          <w:rFonts w:ascii="Times New Roman" w:eastAsia="Arial" w:hAnsi="Times New Roman" w:cs="Times New Roman"/>
          <w:b w:val="0"/>
          <w:color w:val="000000" w:themeColor="text1"/>
          <w:sz w:val="20"/>
          <w:szCs w:val="20"/>
        </w:rPr>
        <w:t>, Süleyman Demirel Üniversitesi, Havacılık Yüksekokulu, Isparta, Türkiye</w:t>
      </w:r>
      <w:bookmarkEnd w:id="97"/>
    </w:p>
    <w:p w14:paraId="1B119A34" w14:textId="77777777" w:rsidR="00EF4A33" w:rsidRPr="00164238" w:rsidRDefault="00EF4A33" w:rsidP="00EF4A33">
      <w:pPr>
        <w:jc w:val="both"/>
        <w:rPr>
          <w:rFonts w:ascii="Times New Roman" w:hAnsi="Times New Roman" w:cs="Times New Roman"/>
          <w:color w:val="000000" w:themeColor="text1"/>
          <w:sz w:val="20"/>
          <w:szCs w:val="20"/>
        </w:rPr>
      </w:pPr>
      <w:r w:rsidRPr="00164238">
        <w:rPr>
          <w:rFonts w:ascii="Times New Roman" w:eastAsia="Arial" w:hAnsi="Times New Roman" w:cs="Times New Roman"/>
          <w:i/>
          <w:color w:val="000000" w:themeColor="text1"/>
          <w:sz w:val="20"/>
          <w:szCs w:val="20"/>
        </w:rPr>
        <w:t xml:space="preserve">e-mail: </w:t>
      </w:r>
      <w:hyperlink r:id="rId219" w:history="1">
        <w:r w:rsidRPr="00164238">
          <w:rPr>
            <w:rStyle w:val="Kpr"/>
            <w:rFonts w:ascii="Times New Roman" w:eastAsia="Arial" w:hAnsi="Times New Roman" w:cs="Times New Roman"/>
            <w:i/>
            <w:color w:val="000000" w:themeColor="text1"/>
            <w:sz w:val="20"/>
            <w:szCs w:val="20"/>
          </w:rPr>
          <w:t>incisesliokuyucu@sdu.edu.tr</w:t>
        </w:r>
      </w:hyperlink>
      <w:r w:rsidRPr="00164238">
        <w:rPr>
          <w:rFonts w:ascii="Times New Roman" w:eastAsia="Arial" w:hAnsi="Times New Roman" w:cs="Times New Roman"/>
          <w:i/>
          <w:color w:val="000000" w:themeColor="text1"/>
          <w:sz w:val="20"/>
          <w:szCs w:val="20"/>
        </w:rPr>
        <w:t xml:space="preserve"> ORCID ID: </w:t>
      </w:r>
      <w:r w:rsidRPr="00164238">
        <w:rPr>
          <w:rFonts w:ascii="Times New Roman" w:hAnsi="Times New Roman" w:cs="Times New Roman"/>
          <w:color w:val="000000" w:themeColor="text1"/>
          <w:sz w:val="20"/>
          <w:szCs w:val="20"/>
          <w:shd w:val="clear" w:color="auto" w:fill="FFFFFF"/>
        </w:rPr>
        <w:t>0000-0003-4052-2009</w:t>
      </w:r>
    </w:p>
    <w:p w14:paraId="3AB14CC1" w14:textId="77777777" w:rsidR="00254933" w:rsidRPr="00164238" w:rsidRDefault="00254933" w:rsidP="00254933">
      <w:pPr>
        <w:spacing w:after="120" w:line="360" w:lineRule="auto"/>
        <w:jc w:val="both"/>
        <w:rPr>
          <w:rFonts w:ascii="Times New Roman" w:hAnsi="Times New Roman" w:cs="Times New Roman"/>
          <w:color w:val="000000" w:themeColor="text1"/>
        </w:rPr>
      </w:pPr>
    </w:p>
    <w:p w14:paraId="3EDA52D1" w14:textId="77777777" w:rsidR="00254933" w:rsidRPr="00164238" w:rsidRDefault="00254933" w:rsidP="00254933">
      <w:pPr>
        <w:spacing w:before="120" w:after="120"/>
        <w:ind w:firstLine="567"/>
        <w:jc w:val="both"/>
        <w:rPr>
          <w:rFonts w:ascii="Times New Roman" w:eastAsia="Times New Roman" w:hAnsi="Times New Roman" w:cs="Times New Roman"/>
          <w:b/>
          <w:bCs/>
          <w:color w:val="000000" w:themeColor="text1"/>
          <w:sz w:val="20"/>
          <w:szCs w:val="20"/>
        </w:rPr>
      </w:pPr>
      <w:r w:rsidRPr="00164238">
        <w:rPr>
          <w:rFonts w:ascii="Times New Roman" w:eastAsia="Times New Roman" w:hAnsi="Times New Roman" w:cs="Times New Roman"/>
          <w:b/>
          <w:bCs/>
          <w:color w:val="000000" w:themeColor="text1"/>
          <w:sz w:val="20"/>
          <w:szCs w:val="20"/>
        </w:rPr>
        <w:t>GİRİŞ</w:t>
      </w:r>
    </w:p>
    <w:p w14:paraId="58A7F96F" w14:textId="77777777" w:rsidR="00254933" w:rsidRPr="00164238" w:rsidRDefault="00254933" w:rsidP="00254933">
      <w:pPr>
        <w:spacing w:before="120" w:after="120"/>
        <w:ind w:firstLine="567"/>
        <w:jc w:val="both"/>
        <w:rPr>
          <w:rFonts w:ascii="Times New Roman" w:eastAsia="Times New Roman" w:hAnsi="Times New Roman" w:cs="Times New Roman"/>
          <w:color w:val="000000" w:themeColor="text1"/>
          <w:sz w:val="20"/>
          <w:szCs w:val="20"/>
          <w:lang w:val="fr-FR"/>
        </w:rPr>
      </w:pPr>
      <w:r w:rsidRPr="00164238">
        <w:rPr>
          <w:rFonts w:ascii="Times New Roman" w:eastAsia="Times New Roman" w:hAnsi="Times New Roman" w:cs="Times New Roman"/>
          <w:color w:val="000000" w:themeColor="text1"/>
          <w:sz w:val="20"/>
          <w:szCs w:val="20"/>
          <w:lang w:val="fr-FR"/>
        </w:rPr>
        <w:t xml:space="preserve">İşletme-müşteri etkileşiminde geleneksel yaklaşımı değiştiren çevrimiçi platformların kullanımı, 2020 yılının ilk aylarından itibaren ortaya çıkan ve neredeyse dünya üzerindeki tüm ülke ve endüstrileri etkileyen pandemi sürecinde de etkisini önemli oranda arttırmıştır. Müşterilerin memnuniyet ve şikayetlerinde fiziksel ortamlar yerine daha yoğun olarak çevrimiçi platformları kullanmaları, işletme ve müşteri etkileşimi sonucu ortaya çıkan değer yaratım veya yıkım süreçlerinin diğer müşteriler tarafından da görünür hale gelmesine yol açmıştır. Bu sebeple, asıl amacı müşterileriyle etkileşimi sonucunda değer yaratmak olan işletmeler, pandemi sürecinde ortaya çıkan değer yıkımı sonrası hizmet iyileştirme refleksi geliştirmek durumunda kalmaktadır. Hizmet odaklı bakış açısı ile değerlendirildiğinde (Vargo ve Lusch, 2004) hizmet sağlayıcılar ile müşteriler arasındaki ilişkinin daha dinamik hale gelmesi hizmet iyileştirme süreçlerinin de etkin ve hızlı bir şekilde gerçekleştirilmesi gerekliliğini ortaya çıkarmaktadır. Ulusal ve uluslararası düzeyde ekonomik ve sosyal etkilerin yoğun olarak hissedildiği havayolu sektörü de bu süreçte özellikle işletme-yolcu ilişkisinde daha önce hiç karşılaşmadığı bir deneyim yaşamaktadır. Pandemi sürecinde yolcu taşımacılığına yeniden başlanılmasıyla havayolu işletmelerinin aldığı tedbirler ve bu tedbirlere ilişkin uygulamalar, yolcu etkileşiminde farklı problemleri ortaya çıkarmaktadır. </w:t>
      </w:r>
    </w:p>
    <w:p w14:paraId="3F190B8A" w14:textId="77777777" w:rsidR="00254933" w:rsidRPr="00164238" w:rsidRDefault="00254933" w:rsidP="00254933">
      <w:pPr>
        <w:spacing w:before="120" w:after="120"/>
        <w:ind w:firstLine="567"/>
        <w:jc w:val="both"/>
        <w:rPr>
          <w:rFonts w:ascii="Times New Roman" w:hAnsi="Times New Roman" w:cs="Times New Roman"/>
          <w:color w:val="000000" w:themeColor="text1"/>
          <w:sz w:val="24"/>
          <w:szCs w:val="24"/>
        </w:rPr>
      </w:pPr>
      <w:r w:rsidRPr="00164238">
        <w:rPr>
          <w:rFonts w:ascii="Times New Roman" w:eastAsia="Times New Roman" w:hAnsi="Times New Roman" w:cs="Times New Roman"/>
          <w:color w:val="000000" w:themeColor="text1"/>
          <w:sz w:val="20"/>
          <w:szCs w:val="20"/>
          <w:lang w:val="fr-FR"/>
        </w:rPr>
        <w:t>Çevrimiçi platformlarda yer alan yolcu şikayetleri değer yıkım sürecinin göstergelerinden biri olarak değerlendirildiğinde ilgili havayolu işletmelerinin hizmet iyileştirme sürecine girerek değer yıkımını değer yaratımına dönüştürüp dönüştürmediği merak konusudur. Bu bağlamda çalışma havayolu-yolcu etkileşiminde değer yıkımı sonucu ortaya çıkan şikayetlerin “sikayetvar.com” çevrimiçi platformunda havayolu işletmeleri tarafından çözümleri üzerinden değerlendirme yapmayı amaçlamaktadır. Bu amaç doğrultusunda, elde edilen değerlendirmeler değer yıkımına neden olan başlıklar altında kategorize edilerek hizmet iyileştirme süreçlerinin etkinliğini ortaya çıkarmaktadır. Mevcut pazarlama literatürü incelendiğinde ortak değer yıkımı konusunun gelişim aşamasında olduğu, kavramsal çalışmalara karşılık ampirik incelemelerin sayıca az olduğu görülmektedir. Bu sebeple çalışmada elde edilen bulgular, teorik ve yönetimsel açıdan literatüre katkı sunmaktadır.</w:t>
      </w:r>
      <w:r w:rsidRPr="00164238">
        <w:rPr>
          <w:rFonts w:ascii="Times New Roman" w:hAnsi="Times New Roman" w:cs="Times New Roman"/>
          <w:color w:val="000000" w:themeColor="text1"/>
          <w:sz w:val="24"/>
          <w:szCs w:val="24"/>
        </w:rPr>
        <w:t xml:space="preserve">  </w:t>
      </w:r>
    </w:p>
    <w:p w14:paraId="3EDC7C68" w14:textId="77777777" w:rsidR="00254933" w:rsidRPr="00164238" w:rsidRDefault="00254933" w:rsidP="00254933">
      <w:pPr>
        <w:spacing w:before="120" w:after="120"/>
        <w:ind w:firstLine="567"/>
        <w:jc w:val="both"/>
        <w:rPr>
          <w:rFonts w:ascii="Times New Roman" w:eastAsia="Times New Roman" w:hAnsi="Times New Roman" w:cs="Times New Roman"/>
          <w:b/>
          <w:bCs/>
          <w:color w:val="000000" w:themeColor="text1"/>
          <w:sz w:val="20"/>
          <w:szCs w:val="20"/>
        </w:rPr>
      </w:pPr>
      <w:r w:rsidRPr="00164238">
        <w:rPr>
          <w:rFonts w:ascii="Times New Roman" w:eastAsia="Times New Roman" w:hAnsi="Times New Roman" w:cs="Times New Roman"/>
          <w:b/>
          <w:bCs/>
          <w:color w:val="000000" w:themeColor="text1"/>
          <w:sz w:val="20"/>
          <w:szCs w:val="20"/>
        </w:rPr>
        <w:t>DEĞER YIKIMI</w:t>
      </w:r>
    </w:p>
    <w:p w14:paraId="2B9D825E" w14:textId="77777777" w:rsidR="00254933" w:rsidRPr="00164238" w:rsidRDefault="00254933" w:rsidP="00254933">
      <w:pPr>
        <w:spacing w:before="120" w:after="120"/>
        <w:ind w:firstLine="567"/>
        <w:jc w:val="both"/>
        <w:rPr>
          <w:rFonts w:ascii="Times New Roman" w:eastAsia="Times New Roman" w:hAnsi="Times New Roman" w:cs="Times New Roman"/>
          <w:color w:val="000000" w:themeColor="text1"/>
          <w:sz w:val="20"/>
          <w:szCs w:val="20"/>
          <w:lang w:val="fr-FR"/>
        </w:rPr>
      </w:pPr>
      <w:r w:rsidRPr="00164238">
        <w:rPr>
          <w:rFonts w:ascii="Times New Roman" w:eastAsia="Times New Roman" w:hAnsi="Times New Roman" w:cs="Times New Roman"/>
          <w:color w:val="000000" w:themeColor="text1"/>
          <w:sz w:val="20"/>
          <w:szCs w:val="20"/>
          <w:lang w:val="fr-FR"/>
        </w:rPr>
        <w:t xml:space="preserve">Hizmet baskın mantık, müşteriyi üretimin merkezine koyan, üretici ve tüketici rollerine sınır çizmeyen, satış ve kârın müşteri tatmin ve sadakatiyle ilişkili olduğunu vurgulayan, müşterilerle iş birliği ve ilişkiler üzerine temellendirilen bir anlayıştır (Vargo ve Lusch, 2004). Hizmet pazarlamasında ortak </w:t>
      </w:r>
      <w:r w:rsidRPr="00164238">
        <w:rPr>
          <w:rFonts w:ascii="Times New Roman" w:eastAsia="Times New Roman" w:hAnsi="Times New Roman" w:cs="Times New Roman"/>
          <w:color w:val="000000" w:themeColor="text1"/>
          <w:sz w:val="20"/>
          <w:szCs w:val="20"/>
          <w:lang w:val="fr-FR"/>
        </w:rPr>
        <w:lastRenderedPageBreak/>
        <w:t>değer yaratma anlayışı Vargo ve Lusch (2004; 2008)’un hizmet baskın mantık temelindeki çalışmalarında detaylandırılmıştır. Bu bağlamda değer, “tüketim nesnesinde değil, tüketim deneyiminde” bulunduğundan, tüketicilerin temel çıkarı değer elde etmek için kaynakları kullanmaktır (Grönroos, 2008; Payne vd., 2008). Değer yaratma, müşterilerin daha iyi duruma geldiği veya refahta bir artış deneyimlediği bir süreci ifade etmektedir. Değer yaratma müşteri deneyimleri üzerinde olumlu bir etkiye işaret etse de, olumsuz ve yıkıcı etkileri de olabilmektedir (Grönroos, 2011). Echeverri ve Skålén (2011), yalnızca pozitif değer yaratımının pratikte görece gerçekçi olmadığını savunarak, tasvir edilen pozitif değer uygulamalarının genişliğini eleştirmektedir. Böylece, değer yaratımının olumsuz alanlarını tanıma çabasıyla, olası olumsuz sonuçları değerlendirmek için “ortak değer yıkımı” kavramını geliştirmiştir. Değer yıkımı, işletme ve müşteri arasında gerçekleşen etkileşim sürecinde kaynakların kasıtlı olarak veya yanlışlıkla uygunsuz veya kötüye kullanımının olumsuz sonuçlarla neticelenmesini açıklamaktadır. Guan ve arkadaşlarına (2020) göre işletmelerin hizmetlerin soyut ve karmaşık yapısından ötürü kaynak entegrasyonunun güç olması, taraflar arası çıkar çatışmaları, iletişim ve etkileşim sorunları değer yıkımına sebebiyet vermektedir. Ortak değer yıkımı, bir taraf için fırsatların ortadan kaldırılması yoluyla da gerçekleşebilmekte, böylece yalnızca başka bir taraf için fayda yaratabilmektedir (Marcos-Cuevas vd., 2014). Ortak değer yıkımı, aktörlerden biri hizmet sistemlerinden en az birinin mevcut kaynaklarını beklenen bir şekilde entegre edip uygulamadığında ortaya çıkmaktadır. Kaynakların kötüye kullanılması tesadüfi olabileceği ve bu durum, aktörlerin beklentilerindeki sapmalara da yol açabilmektedir. Kötüye kullanım kasıtlı da olabilmekte, aktörlerden biri kendi artan refahı için diğer aktörün kaynaklarından yararlanmaya çalışabilmektedir. Sonuç olarak, diğer aktörün artan değeri ve diğer zararlı değeri deneyimlediği kasıtlı bir değer dengesizliği ortaya çıkmaktadır (Harris vd., 2010). Müşteriler, haksız yere muamele gördüklerini hissettiklerinde genellikle olumsuz hizmet deneyimlerini duyurmak için harekete geçmektedir. Eylemler genellikle sosyal medya sitelerinde olumsuz yorumlar bırakmak gibi müşterinin deneyimleri hakkında başkalarını uyaran misillemeleri içermektedir. Müşteriler ayrıca bir şirketi kendilerine verdiği zarardan dolayı cezalandırmak için intikam almak isteyebilmekte ve çevrimiçi platformlarda şikayet yoluna başvurabilmektedir (Grégoire vd., 2009; Zhang vd., 2018).</w:t>
      </w:r>
    </w:p>
    <w:p w14:paraId="549F08CB" w14:textId="77777777" w:rsidR="00254933" w:rsidRPr="00164238" w:rsidRDefault="00254933" w:rsidP="00254933">
      <w:pPr>
        <w:spacing w:before="120" w:after="120"/>
        <w:ind w:firstLine="567"/>
        <w:jc w:val="both"/>
        <w:rPr>
          <w:rFonts w:ascii="Times New Roman" w:eastAsia="Times New Roman" w:hAnsi="Times New Roman" w:cs="Times New Roman"/>
          <w:b/>
          <w:bCs/>
          <w:color w:val="000000" w:themeColor="text1"/>
          <w:sz w:val="20"/>
          <w:szCs w:val="20"/>
        </w:rPr>
      </w:pPr>
      <w:r w:rsidRPr="00164238">
        <w:rPr>
          <w:rFonts w:ascii="Times New Roman" w:eastAsia="Times New Roman" w:hAnsi="Times New Roman" w:cs="Times New Roman"/>
          <w:b/>
          <w:bCs/>
          <w:color w:val="000000" w:themeColor="text1"/>
          <w:sz w:val="20"/>
          <w:szCs w:val="20"/>
        </w:rPr>
        <w:t>HİZMET İYİLEŞTİRMESİ</w:t>
      </w:r>
    </w:p>
    <w:p w14:paraId="742139DF" w14:textId="77777777" w:rsidR="00254933" w:rsidRPr="00164238" w:rsidRDefault="00254933" w:rsidP="00254933">
      <w:pPr>
        <w:spacing w:before="120" w:after="120"/>
        <w:ind w:firstLine="567"/>
        <w:jc w:val="both"/>
        <w:rPr>
          <w:rFonts w:ascii="Times New Roman" w:eastAsia="Times New Roman" w:hAnsi="Times New Roman" w:cs="Times New Roman"/>
          <w:color w:val="000000" w:themeColor="text1"/>
          <w:sz w:val="20"/>
          <w:szCs w:val="20"/>
          <w:lang w:val="fr-FR"/>
        </w:rPr>
      </w:pPr>
      <w:r w:rsidRPr="00164238">
        <w:rPr>
          <w:rFonts w:ascii="Times New Roman" w:eastAsia="Times New Roman" w:hAnsi="Times New Roman" w:cs="Times New Roman"/>
          <w:color w:val="000000" w:themeColor="text1"/>
          <w:sz w:val="20"/>
          <w:szCs w:val="20"/>
          <w:lang w:val="fr-FR"/>
        </w:rPr>
        <w:t>Hizmet iyileştirmesi, işletmelerin hizmet başarısızlıklarına karşı yaptığı düzeltici faaliyetlerdir (Grönross, 2007). İşletme ortaya çıkan başarısızlıktan sorumlu olsun ya da olmasın hizmeti iyileştirmek amaçlı sorunu çözmek için girişimde bulunması gerekmektedir (Haksever vd., 2000). Hizmet iyileştirmesi, müşterinin memnuniyetini sağlamak ve devamlılığını korumak amacı ile hizmet sunum sisteminin başarısız olan unsurlarını düzeltmeye ve kurtarmaya çalışmaktadır. Bunu başarmak için, neyin uygulanabilir ve güvenli olduğuna göre işletmeler/sektörler arasında farklılık gösterecek bir dizi önlem alınabilmektedir. Şikayet etme davranışı, sonucu olmayan bir faaliyet olmamalıdır. Kasper ve arkadaşları (1999) bu durumu bir şirketin "memnuniyetsizlik yönetimi" sürecinin etrafında kurulması gereken temel olarak ifade etmektedir (Lorenzoni ve Lewis, 2004). Hizmet iyileştirme süreci, şikayetleri ele alma süreciyle ilgili operasyonel bir vizyon gerektirmektedir. Bu, müşterinin iyileşmesini sağlamak ve olumsuz duyguları önlemek için soruna bir çözüm sağlamakla ilgilenen firmaların işlemsel bir faaliyetidir (Schoefer ve Diamantopoulos 2008). Hizmet iyileştirme süreci ayrıca stratejik bir vizyon da gerektirir; bu da firmanın şikayetlerden ders çıkarması (Vos vd., 2008) ve sorunun nedenini bulmak için hizmet sunum sürecinin faaliyetlerinin eleştirel bir incelemesini gerçekleştirmesi gerektiği anlamına gelmektedir (Smith vd., 2009; Smith ve Karwan 2010). Bu stratejiler doğrultusunda, başarısızlığın nedenini çözecek fikirler elde etmek için işletme veya çalışanları ile müşteriler arasındaki etkileşimi kolaylaştıracak stratejiler geliştirmek mümkündür (Vázquez-Casielles vd., 2017).</w:t>
      </w:r>
    </w:p>
    <w:p w14:paraId="39B60FF5" w14:textId="77777777" w:rsidR="00254933" w:rsidRPr="00164238" w:rsidRDefault="00254933" w:rsidP="00254933">
      <w:pPr>
        <w:spacing w:before="120" w:after="120"/>
        <w:ind w:firstLine="567"/>
        <w:jc w:val="both"/>
        <w:rPr>
          <w:rFonts w:ascii="Times New Roman" w:eastAsia="Times New Roman" w:hAnsi="Times New Roman" w:cs="Times New Roman"/>
          <w:color w:val="000000" w:themeColor="text1"/>
          <w:sz w:val="20"/>
          <w:szCs w:val="20"/>
          <w:lang w:val="fr-FR"/>
        </w:rPr>
      </w:pPr>
      <w:r w:rsidRPr="00164238">
        <w:rPr>
          <w:rFonts w:ascii="Times New Roman" w:eastAsia="Times New Roman" w:hAnsi="Times New Roman" w:cs="Times New Roman"/>
          <w:color w:val="000000" w:themeColor="text1"/>
          <w:sz w:val="20"/>
          <w:szCs w:val="20"/>
          <w:lang w:val="fr-FR"/>
        </w:rPr>
        <w:t xml:space="preserve">Hizmet iyileştirmesi ile ilgili literatürde yapılan çalışmalar gözden geçirildiğinde ; Roggeveen, Tsiros ve Grewal (2012) hizmet iyileştirmesinin ortak değer yaratmada yararlı olduğu ve olmadığı durumları tanımlamıştır. Michel, Bowen ve Johnston (2009) ise hizmet iyileştirme sürecindeki başarısızlıkların nedenlerini incelemiştir. Xu, Tronvoll ve Edvardsson (2014) hizmet iyileştirme </w:t>
      </w:r>
      <w:r w:rsidRPr="00164238">
        <w:rPr>
          <w:rFonts w:ascii="Times New Roman" w:eastAsia="Times New Roman" w:hAnsi="Times New Roman" w:cs="Times New Roman"/>
          <w:color w:val="000000" w:themeColor="text1"/>
          <w:sz w:val="20"/>
          <w:szCs w:val="20"/>
        </w:rPr>
        <w:t>sürecinde kaynak entegrasyonunu inceleyerek ortak oluşturulan hizmet iyileştirmede dengeli kaynak entegrasyonun gerekli olduğunu ifade etmiştir. Lastner, Folse, Mangus ve Fennell (2016) hizmetin iyileştirilmesinde</w:t>
      </w:r>
      <w:r w:rsidRPr="00164238">
        <w:rPr>
          <w:rFonts w:ascii="Times New Roman" w:eastAsia="Times New Roman" w:hAnsi="Times New Roman" w:cs="Times New Roman"/>
          <w:color w:val="000000" w:themeColor="text1"/>
          <w:sz w:val="20"/>
          <w:szCs w:val="20"/>
          <w:lang w:val="fr-FR"/>
        </w:rPr>
        <w:t xml:space="preserve"> </w:t>
      </w:r>
      <w:r w:rsidRPr="00164238">
        <w:rPr>
          <w:rFonts w:ascii="Times New Roman" w:eastAsia="Times New Roman" w:hAnsi="Times New Roman" w:cs="Times New Roman"/>
          <w:color w:val="000000" w:themeColor="text1"/>
          <w:sz w:val="20"/>
          <w:szCs w:val="20"/>
          <w:lang w:val="fr-FR"/>
        </w:rPr>
        <w:lastRenderedPageBreak/>
        <w:t>olumlu duyguların rolünün incelenmesi üzerine odaklandığı çalışmasında minnettarlık ve gurur duygularının hizmet iyileştirme tarafından tetiklendiği sonucuna varmıştır. Bu bağlamda işletmeler hizmet süreci ile ilgili sorunları çözmek için şikayetin nedenlerini bilmesi gerekmektedir.</w:t>
      </w:r>
    </w:p>
    <w:tbl>
      <w:tblPr>
        <w:tblW w:w="9356" w:type="dxa"/>
        <w:tblInd w:w="-5"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CellMar>
          <w:left w:w="70" w:type="dxa"/>
          <w:right w:w="70" w:type="dxa"/>
        </w:tblCellMar>
        <w:tblLook w:val="04A0" w:firstRow="1" w:lastRow="0" w:firstColumn="1" w:lastColumn="0" w:noHBand="0" w:noVBand="1"/>
      </w:tblPr>
      <w:tblGrid>
        <w:gridCol w:w="9356"/>
      </w:tblGrid>
      <w:tr w:rsidR="00164238" w:rsidRPr="00164238" w14:paraId="765AE095" w14:textId="77777777" w:rsidTr="00254933">
        <w:trPr>
          <w:trHeight w:val="7958"/>
        </w:trPr>
        <w:tc>
          <w:tcPr>
            <w:tcW w:w="9356" w:type="dxa"/>
            <w:tcBorders>
              <w:top w:val="dashSmallGap" w:sz="4" w:space="0" w:color="auto"/>
              <w:left w:val="dashSmallGap" w:sz="4" w:space="0" w:color="auto"/>
              <w:bottom w:val="dashSmallGap" w:sz="4" w:space="0" w:color="auto"/>
              <w:right w:val="dashSmallGap" w:sz="4" w:space="0" w:color="auto"/>
            </w:tcBorders>
          </w:tcPr>
          <w:p w14:paraId="188EEBDE" w14:textId="77777777" w:rsidR="00254933" w:rsidRPr="00164238" w:rsidRDefault="00254933">
            <w:pPr>
              <w:rPr>
                <w:rFonts w:ascii="Times New Roman" w:hAnsi="Times New Roman" w:cs="Times New Roman"/>
                <w:color w:val="000000" w:themeColor="text1"/>
              </w:rPr>
            </w:pPr>
          </w:p>
          <w:tbl>
            <w:tblPr>
              <w:tblStyle w:val="TabloKlavuzu"/>
              <w:tblpPr w:leftFromText="141" w:rightFromText="141" w:horzAnchor="page" w:tblpX="1201" w:tblpY="255"/>
              <w:tblOverlap w:val="never"/>
              <w:tblW w:w="0" w:type="auto"/>
              <w:tblLook w:val="04A0" w:firstRow="1" w:lastRow="0" w:firstColumn="1" w:lastColumn="0" w:noHBand="0" w:noVBand="1"/>
            </w:tblPr>
            <w:tblGrid>
              <w:gridCol w:w="2830"/>
              <w:gridCol w:w="1848"/>
            </w:tblGrid>
            <w:tr w:rsidR="00164238" w:rsidRPr="00164238" w14:paraId="159181EA" w14:textId="77777777">
              <w:tc>
                <w:tcPr>
                  <w:tcW w:w="2830" w:type="dxa"/>
                  <w:tcBorders>
                    <w:top w:val="single" w:sz="4" w:space="0" w:color="auto"/>
                    <w:left w:val="single" w:sz="4" w:space="0" w:color="auto"/>
                    <w:bottom w:val="single" w:sz="4" w:space="0" w:color="auto"/>
                    <w:right w:val="single" w:sz="4" w:space="0" w:color="auto"/>
                  </w:tcBorders>
                  <w:hideMark/>
                </w:tcPr>
                <w:p w14:paraId="3DFB7086" w14:textId="77777777" w:rsidR="00254933" w:rsidRPr="00164238" w:rsidRDefault="00254933">
                  <w:pPr>
                    <w:spacing w:before="120" w:after="120"/>
                    <w:jc w:val="both"/>
                    <w:rPr>
                      <w:rFonts w:ascii="Times New Roman" w:eastAsia="Times New Roman" w:hAnsi="Times New Roman" w:cs="Times New Roman"/>
                      <w:b/>
                      <w:bCs/>
                      <w:color w:val="000000" w:themeColor="text1"/>
                      <w:sz w:val="20"/>
                      <w:szCs w:val="20"/>
                      <w:lang w:val="fr-FR"/>
                    </w:rPr>
                  </w:pPr>
                  <w:r w:rsidRPr="00164238">
                    <w:rPr>
                      <w:rFonts w:ascii="Times New Roman" w:eastAsia="Times New Roman" w:hAnsi="Times New Roman" w:cs="Times New Roman"/>
                      <w:b/>
                      <w:bCs/>
                      <w:color w:val="000000" w:themeColor="text1"/>
                      <w:sz w:val="20"/>
                      <w:szCs w:val="20"/>
                      <w:lang w:val="fr-FR"/>
                    </w:rPr>
                    <w:t>İŞLETME</w:t>
                  </w:r>
                </w:p>
                <w:p w14:paraId="7218AC74" w14:textId="77777777" w:rsidR="00254933" w:rsidRPr="00164238" w:rsidRDefault="00254933">
                  <w:pPr>
                    <w:spacing w:before="120" w:after="120"/>
                    <w:jc w:val="both"/>
                    <w:rPr>
                      <w:rFonts w:ascii="Times New Roman" w:eastAsia="Times New Roman" w:hAnsi="Times New Roman" w:cs="Times New Roman"/>
                      <w:color w:val="000000" w:themeColor="text1"/>
                      <w:sz w:val="20"/>
                      <w:szCs w:val="20"/>
                      <w:lang w:val="fr-FR"/>
                    </w:rPr>
                  </w:pPr>
                  <w:r w:rsidRPr="00164238">
                    <w:rPr>
                      <w:rFonts w:ascii="Times New Roman" w:eastAsia="Times New Roman" w:hAnsi="Times New Roman" w:cs="Times New Roman"/>
                      <w:color w:val="000000" w:themeColor="text1"/>
                      <w:sz w:val="20"/>
                      <w:szCs w:val="20"/>
                      <w:lang w:val="fr-FR"/>
                    </w:rPr>
                    <w:t>Değeri Kolaylaştırır: Ürünler ve hizmetler</w:t>
                  </w:r>
                </w:p>
              </w:tc>
              <w:tc>
                <w:tcPr>
                  <w:tcW w:w="1848" w:type="dxa"/>
                  <w:tcBorders>
                    <w:top w:val="single" w:sz="4" w:space="0" w:color="auto"/>
                    <w:left w:val="single" w:sz="4" w:space="0" w:color="auto"/>
                    <w:bottom w:val="single" w:sz="4" w:space="0" w:color="auto"/>
                    <w:right w:val="single" w:sz="4" w:space="0" w:color="auto"/>
                  </w:tcBorders>
                  <w:hideMark/>
                </w:tcPr>
                <w:p w14:paraId="379CCDEF" w14:textId="77777777" w:rsidR="00254933" w:rsidRPr="00164238" w:rsidRDefault="00254933">
                  <w:pPr>
                    <w:spacing w:before="120" w:after="120"/>
                    <w:jc w:val="both"/>
                    <w:rPr>
                      <w:rFonts w:ascii="Times New Roman" w:eastAsia="Times New Roman" w:hAnsi="Times New Roman" w:cs="Times New Roman"/>
                      <w:b/>
                      <w:bCs/>
                      <w:color w:val="000000" w:themeColor="text1"/>
                      <w:sz w:val="20"/>
                      <w:szCs w:val="20"/>
                      <w:lang w:val="fr-FR"/>
                    </w:rPr>
                  </w:pPr>
                  <w:r w:rsidRPr="00164238">
                    <w:rPr>
                      <w:rFonts w:ascii="Times New Roman" w:eastAsia="Times New Roman" w:hAnsi="Times New Roman" w:cs="Times New Roman"/>
                      <w:b/>
                      <w:bCs/>
                      <w:color w:val="000000" w:themeColor="text1"/>
                      <w:sz w:val="20"/>
                      <w:szCs w:val="20"/>
                      <w:lang w:val="fr-FR"/>
                    </w:rPr>
                    <w:t>İŞLETME</w:t>
                  </w:r>
                </w:p>
                <w:p w14:paraId="159523F7" w14:textId="77777777" w:rsidR="00254933" w:rsidRPr="00164238" w:rsidRDefault="00254933">
                  <w:pPr>
                    <w:spacing w:before="120" w:after="120"/>
                    <w:jc w:val="both"/>
                    <w:rPr>
                      <w:rFonts w:ascii="Times New Roman" w:eastAsia="Times New Roman" w:hAnsi="Times New Roman" w:cs="Times New Roman"/>
                      <w:color w:val="000000" w:themeColor="text1"/>
                      <w:sz w:val="20"/>
                      <w:szCs w:val="20"/>
                      <w:lang w:val="fr-FR"/>
                    </w:rPr>
                  </w:pPr>
                  <w:r w:rsidRPr="00164238">
                    <w:rPr>
                      <w:rFonts w:ascii="Times New Roman" w:eastAsia="Times New Roman" w:hAnsi="Times New Roman" w:cs="Times New Roman"/>
                      <w:color w:val="000000" w:themeColor="text1"/>
                      <w:sz w:val="20"/>
                      <w:szCs w:val="20"/>
                      <w:lang w:val="fr-FR"/>
                    </w:rPr>
                    <w:t>Birlikte Yaratma</w:t>
                  </w:r>
                </w:p>
              </w:tc>
            </w:tr>
          </w:tbl>
          <w:p w14:paraId="0A31B6EB" w14:textId="77777777" w:rsidR="00254933" w:rsidRPr="00164238" w:rsidRDefault="00254933">
            <w:pPr>
              <w:spacing w:before="120" w:after="120"/>
              <w:jc w:val="both"/>
              <w:rPr>
                <w:rFonts w:ascii="Times New Roman" w:eastAsia="Times New Roman" w:hAnsi="Times New Roman" w:cs="Times New Roman"/>
                <w:color w:val="000000" w:themeColor="text1"/>
                <w:sz w:val="20"/>
                <w:szCs w:val="20"/>
                <w:lang w:val="fr-FR"/>
              </w:rPr>
            </w:pPr>
          </w:p>
          <w:tbl>
            <w:tblPr>
              <w:tblStyle w:val="TabloKlavuzu"/>
              <w:tblW w:w="0" w:type="auto"/>
              <w:tblInd w:w="3889" w:type="dxa"/>
              <w:tblLook w:val="04A0" w:firstRow="1" w:lastRow="0" w:firstColumn="1" w:lastColumn="0" w:noHBand="0" w:noVBand="1"/>
            </w:tblPr>
            <w:tblGrid>
              <w:gridCol w:w="1985"/>
              <w:gridCol w:w="2551"/>
            </w:tblGrid>
            <w:tr w:rsidR="00164238" w:rsidRPr="00164238" w14:paraId="606C440B" w14:textId="77777777">
              <w:tc>
                <w:tcPr>
                  <w:tcW w:w="1985" w:type="dxa"/>
                  <w:tcBorders>
                    <w:top w:val="single" w:sz="4" w:space="0" w:color="auto"/>
                    <w:left w:val="single" w:sz="4" w:space="0" w:color="auto"/>
                    <w:bottom w:val="single" w:sz="4" w:space="0" w:color="auto"/>
                    <w:right w:val="single" w:sz="4" w:space="0" w:color="auto"/>
                  </w:tcBorders>
                  <w:hideMark/>
                </w:tcPr>
                <w:p w14:paraId="3042FEBC" w14:textId="77777777" w:rsidR="00254933" w:rsidRPr="00164238" w:rsidRDefault="00254933">
                  <w:pPr>
                    <w:spacing w:before="120" w:after="120"/>
                    <w:jc w:val="both"/>
                    <w:rPr>
                      <w:rFonts w:ascii="Times New Roman" w:eastAsia="Times New Roman" w:hAnsi="Times New Roman" w:cs="Times New Roman"/>
                      <w:b/>
                      <w:bCs/>
                      <w:color w:val="000000" w:themeColor="text1"/>
                      <w:sz w:val="20"/>
                      <w:szCs w:val="20"/>
                      <w:lang w:val="fr-FR"/>
                    </w:rPr>
                  </w:pPr>
                  <w:r w:rsidRPr="00164238">
                    <w:rPr>
                      <w:rFonts w:ascii="Times New Roman" w:eastAsia="Times New Roman" w:hAnsi="Times New Roman" w:cs="Times New Roman"/>
                      <w:b/>
                      <w:bCs/>
                      <w:color w:val="000000" w:themeColor="text1"/>
                      <w:sz w:val="20"/>
                      <w:szCs w:val="20"/>
                      <w:lang w:val="fr-FR"/>
                    </w:rPr>
                    <w:t>MÜŞTERİ</w:t>
                  </w:r>
                </w:p>
                <w:p w14:paraId="15332FF7" w14:textId="77777777" w:rsidR="00254933" w:rsidRPr="00164238" w:rsidRDefault="00254933">
                  <w:pPr>
                    <w:spacing w:before="120" w:after="120"/>
                    <w:jc w:val="both"/>
                    <w:rPr>
                      <w:rFonts w:ascii="Times New Roman" w:eastAsia="Times New Roman" w:hAnsi="Times New Roman" w:cs="Times New Roman"/>
                      <w:color w:val="000000" w:themeColor="text1"/>
                      <w:sz w:val="20"/>
                      <w:szCs w:val="20"/>
                      <w:lang w:val="fr-FR"/>
                    </w:rPr>
                  </w:pPr>
                  <w:r w:rsidRPr="00164238">
                    <w:rPr>
                      <w:rFonts w:ascii="Times New Roman" w:eastAsia="Times New Roman" w:hAnsi="Times New Roman" w:cs="Times New Roman"/>
                      <w:color w:val="000000" w:themeColor="text1"/>
                      <w:sz w:val="20"/>
                      <w:szCs w:val="20"/>
                      <w:lang w:val="fr-FR"/>
                    </w:rPr>
                    <w:t>Birlikte Yaratma</w:t>
                  </w:r>
                </w:p>
              </w:tc>
              <w:tc>
                <w:tcPr>
                  <w:tcW w:w="2551" w:type="dxa"/>
                  <w:tcBorders>
                    <w:top w:val="single" w:sz="4" w:space="0" w:color="auto"/>
                    <w:left w:val="single" w:sz="4" w:space="0" w:color="auto"/>
                    <w:bottom w:val="single" w:sz="4" w:space="0" w:color="auto"/>
                    <w:right w:val="single" w:sz="4" w:space="0" w:color="auto"/>
                  </w:tcBorders>
                  <w:hideMark/>
                </w:tcPr>
                <w:p w14:paraId="67C3DD03" w14:textId="77777777" w:rsidR="00254933" w:rsidRPr="00164238" w:rsidRDefault="00254933">
                  <w:pPr>
                    <w:spacing w:before="120" w:after="120"/>
                    <w:jc w:val="both"/>
                    <w:rPr>
                      <w:rFonts w:ascii="Times New Roman" w:eastAsia="Times New Roman" w:hAnsi="Times New Roman" w:cs="Times New Roman"/>
                      <w:b/>
                      <w:bCs/>
                      <w:color w:val="000000" w:themeColor="text1"/>
                      <w:sz w:val="20"/>
                      <w:szCs w:val="20"/>
                      <w:lang w:val="fr-FR"/>
                    </w:rPr>
                  </w:pPr>
                  <w:r w:rsidRPr="00164238">
                    <w:rPr>
                      <w:rFonts w:ascii="Times New Roman" w:eastAsia="Times New Roman" w:hAnsi="Times New Roman" w:cs="Times New Roman"/>
                      <w:b/>
                      <w:bCs/>
                      <w:color w:val="000000" w:themeColor="text1"/>
                      <w:sz w:val="20"/>
                      <w:szCs w:val="20"/>
                      <w:lang w:val="fr-FR"/>
                    </w:rPr>
                    <w:t>MÜŞTERİ</w:t>
                  </w:r>
                </w:p>
                <w:p w14:paraId="6002A477" w14:textId="77777777" w:rsidR="00254933" w:rsidRPr="00164238" w:rsidRDefault="00254933">
                  <w:pPr>
                    <w:spacing w:before="120" w:after="120"/>
                    <w:jc w:val="both"/>
                    <w:rPr>
                      <w:rFonts w:ascii="Times New Roman" w:eastAsia="Times New Roman" w:hAnsi="Times New Roman" w:cs="Times New Roman"/>
                      <w:color w:val="000000" w:themeColor="text1"/>
                      <w:sz w:val="20"/>
                      <w:szCs w:val="20"/>
                      <w:lang w:val="fr-FR"/>
                    </w:rPr>
                  </w:pPr>
                  <w:r w:rsidRPr="00164238">
                    <w:rPr>
                      <w:rFonts w:ascii="Times New Roman" w:eastAsia="Times New Roman" w:hAnsi="Times New Roman" w:cs="Times New Roman"/>
                      <w:color w:val="000000" w:themeColor="text1"/>
                      <w:sz w:val="20"/>
                      <w:szCs w:val="20"/>
                      <w:lang w:val="fr-FR"/>
                    </w:rPr>
                    <w:t>Değer Yaratır: Deneyimler</w:t>
                  </w:r>
                </w:p>
              </w:tc>
            </w:tr>
          </w:tbl>
          <w:p w14:paraId="347B3988" w14:textId="76968E40" w:rsidR="00254933" w:rsidRPr="00164238" w:rsidRDefault="00254933">
            <w:pPr>
              <w:spacing w:before="120" w:after="120"/>
              <w:ind w:firstLine="567"/>
              <w:jc w:val="both"/>
              <w:rPr>
                <w:rFonts w:ascii="Times New Roman" w:eastAsia="Times New Roman" w:hAnsi="Times New Roman" w:cs="Times New Roman"/>
                <w:color w:val="000000" w:themeColor="text1"/>
                <w:sz w:val="20"/>
                <w:szCs w:val="20"/>
                <w:lang w:val="fr-FR"/>
              </w:rPr>
            </w:pPr>
            <w:r w:rsidRPr="00164238">
              <w:rPr>
                <w:rFonts w:ascii="Times New Roman" w:hAnsi="Times New Roman" w:cs="Times New Roman"/>
                <w:noProof/>
                <w:color w:val="000000" w:themeColor="text1"/>
                <w:lang w:val="en-US"/>
              </w:rPr>
              <mc:AlternateContent>
                <mc:Choice Requires="wps">
                  <w:drawing>
                    <wp:anchor distT="0" distB="0" distL="114300" distR="114300" simplePos="0" relativeHeight="251712512" behindDoc="0" locked="0" layoutInCell="1" allowOverlap="1" wp14:anchorId="533D0B8E" wp14:editId="5B26B264">
                      <wp:simplePos x="0" y="0"/>
                      <wp:positionH relativeFrom="column">
                        <wp:posOffset>208280</wp:posOffset>
                      </wp:positionH>
                      <wp:positionV relativeFrom="paragraph">
                        <wp:posOffset>1685290</wp:posOffset>
                      </wp:positionV>
                      <wp:extent cx="5486400" cy="1781175"/>
                      <wp:effectExtent l="0" t="0" r="19050" b="28575"/>
                      <wp:wrapNone/>
                      <wp:docPr id="114" name="Oval 114"/>
                      <wp:cNvGraphicFramePr/>
                      <a:graphic xmlns:a="http://schemas.openxmlformats.org/drawingml/2006/main">
                        <a:graphicData uri="http://schemas.microsoft.com/office/word/2010/wordprocessingShape">
                          <wps:wsp>
                            <wps:cNvSpPr/>
                            <wps:spPr>
                              <a:xfrm>
                                <a:off x="0" y="0"/>
                                <a:ext cx="5486400" cy="1781175"/>
                              </a:xfrm>
                              <a:prstGeom prst="ellipse">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1AF8D3" w14:textId="77777777" w:rsidR="003B6DB3" w:rsidRDefault="003B6DB3" w:rsidP="00254933">
                                  <w:pPr>
                                    <w:jc w:val="center"/>
                                  </w:pPr>
                                  <w:r>
                                    <w:t>Şirket-mü etkileşimi:</w:t>
                                  </w:r>
                                </w:p>
                                <w:p w14:paraId="78C89A74" w14:textId="77777777" w:rsidR="003B6DB3" w:rsidRDefault="003B6DB3" w:rsidP="00254933">
                                  <w:pPr>
                                    <w:jc w:val="center"/>
                                  </w:pPr>
                                  <w:r>
                                    <w:t>● Müşterinin hizmet arızasıyla ilgili fikrini bilin</w:t>
                                  </w:r>
                                </w:p>
                                <w:p w14:paraId="42DA523F" w14:textId="77777777" w:rsidR="003B6DB3" w:rsidRDefault="003B6DB3" w:rsidP="00254933">
                                  <w:pPr>
                                    <w:jc w:val="center"/>
                                  </w:pPr>
                                  <w:r>
                                    <w:t>● Müşterileri sorunu çözmek için fikirler üretmeye teşvik edin</w:t>
                                  </w:r>
                                </w:p>
                                <w:p w14:paraId="4C920956" w14:textId="77777777" w:rsidR="003B6DB3" w:rsidRDefault="003B6DB3" w:rsidP="00254933">
                                  <w:pPr>
                                    <w:jc w:val="center"/>
                                  </w:pPr>
                                  <w:r>
                                    <w:t>● Arızanın nedenini düzeltmek için önlemler geliştirin</w:t>
                                  </w:r>
                                </w:p>
                                <w:p w14:paraId="197D08E7" w14:textId="77777777" w:rsidR="003B6DB3" w:rsidRDefault="003B6DB3" w:rsidP="00254933">
                                  <w:pPr>
                                    <w:jc w:val="center"/>
                                  </w:pPr>
                                  <w:r>
                                    <w:t>● Hizmet kurtarma sürecini iletin Şirket-müşteri etkileşimi:</w:t>
                                  </w:r>
                                </w:p>
                                <w:p w14:paraId="6CCB4588" w14:textId="77777777" w:rsidR="003B6DB3" w:rsidRDefault="003B6DB3" w:rsidP="00254933">
                                  <w:pPr>
                                    <w:jc w:val="center"/>
                                  </w:pPr>
                                  <w:r>
                                    <w:t>● Müşterinin hizmet arızasıyla ilgili fikrini bilin</w:t>
                                  </w:r>
                                </w:p>
                                <w:p w14:paraId="4D375469" w14:textId="77777777" w:rsidR="003B6DB3" w:rsidRDefault="003B6DB3" w:rsidP="00254933">
                                  <w:pPr>
                                    <w:jc w:val="center"/>
                                  </w:pPr>
                                  <w:r>
                                    <w:t>● Müşterileri sorunu çözmek için fikirler üretmeye teşvik edin</w:t>
                                  </w:r>
                                </w:p>
                                <w:p w14:paraId="5EAE3076" w14:textId="77777777" w:rsidR="003B6DB3" w:rsidRDefault="003B6DB3" w:rsidP="00254933">
                                  <w:pPr>
                                    <w:jc w:val="center"/>
                                  </w:pPr>
                                  <w:r>
                                    <w:t>● Arızanın nedenini düzeltmek için önlemler geliştirin</w:t>
                                  </w:r>
                                </w:p>
                                <w:p w14:paraId="5B86036B" w14:textId="77777777" w:rsidR="003B6DB3" w:rsidRDefault="003B6DB3" w:rsidP="00254933">
                                  <w:pPr>
                                    <w:jc w:val="center"/>
                                  </w:pPr>
                                  <w:r>
                                    <w:t>● Hizmet kurtarma sürecini iletin ● Müşterileri sorunu çözmek için fikirler üretmeye teşvik edin</w:t>
                                  </w:r>
                                </w:p>
                                <w:p w14:paraId="3F3E16EF" w14:textId="77777777" w:rsidR="003B6DB3" w:rsidRDefault="003B6DB3" w:rsidP="00254933">
                                  <w:pPr>
                                    <w:jc w:val="center"/>
                                  </w:pPr>
                                  <w:r>
                                    <w:t>● Arızanın nedenini düzeltmek için önlemler geliştirin</w:t>
                                  </w:r>
                                </w:p>
                                <w:p w14:paraId="4C029A5A" w14:textId="77777777" w:rsidR="003B6DB3" w:rsidRDefault="003B6DB3" w:rsidP="00254933">
                                  <w:pPr>
                                    <w:jc w:val="center"/>
                                  </w:pPr>
                                  <w:r>
                                    <w:t>● Hizmet kurtarma sürecini iletin hizmet arızasıyla ilgili fikrini bilin</w:t>
                                  </w:r>
                                </w:p>
                                <w:p w14:paraId="1AE84C22" w14:textId="77777777" w:rsidR="003B6DB3" w:rsidRDefault="003B6DB3" w:rsidP="00254933">
                                  <w:pPr>
                                    <w:jc w:val="center"/>
                                  </w:pPr>
                                  <w:r>
                                    <w:t>● Müşterileri sorunu çözmek için fikirler üretmeye teşvik edin</w:t>
                                  </w:r>
                                </w:p>
                                <w:p w14:paraId="5CBD7B3B" w14:textId="77777777" w:rsidR="003B6DB3" w:rsidRDefault="003B6DB3" w:rsidP="00254933">
                                  <w:pPr>
                                    <w:jc w:val="center"/>
                                  </w:pPr>
                                  <w:r>
                                    <w:t>● Arızanın nedenini düzeltmek için önlemler geliştirin</w:t>
                                  </w:r>
                                </w:p>
                                <w:p w14:paraId="6C2D8031" w14:textId="77777777" w:rsidR="003B6DB3" w:rsidRDefault="003B6DB3" w:rsidP="00254933">
                                  <w:pPr>
                                    <w:jc w:val="center"/>
                                  </w:pPr>
                                  <w:r>
                                    <w:t>● Hizmet kurtarma sürecini iletin ● Müşterinin hizmet arızasıyla ilgili fikrini bilin</w:t>
                                  </w:r>
                                </w:p>
                                <w:p w14:paraId="289BB803" w14:textId="77777777" w:rsidR="003B6DB3" w:rsidRDefault="003B6DB3" w:rsidP="00254933">
                                  <w:pPr>
                                    <w:jc w:val="center"/>
                                  </w:pPr>
                                  <w:r>
                                    <w:t>● Müşterileri sorunu çözmek için fikirler üretmeye teşvik edin</w:t>
                                  </w:r>
                                </w:p>
                                <w:p w14:paraId="78EF0741" w14:textId="77777777" w:rsidR="003B6DB3" w:rsidRDefault="003B6DB3" w:rsidP="00254933">
                                  <w:pPr>
                                    <w:jc w:val="center"/>
                                  </w:pPr>
                                  <w:r>
                                    <w:t>● Arızanın nedenini düzeltmek için önlemler geliştirin</w:t>
                                  </w:r>
                                </w:p>
                                <w:p w14:paraId="04F6435A" w14:textId="77777777" w:rsidR="003B6DB3" w:rsidRDefault="003B6DB3" w:rsidP="00254933">
                                  <w:pPr>
                                    <w:jc w:val="center"/>
                                  </w:pPr>
                                  <w:r>
                                    <w:t>● Hizmet kurtarma sürecini iletin</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3D0B8E" id="Oval 114" o:spid="_x0000_s1042" style="position:absolute;left:0;text-align:left;margin-left:16.4pt;margin-top:132.7pt;width:6in;height:140.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300ogIAAMQFAAAOAAAAZHJzL2Uyb0RvYy54bWysVNtu2zAMfR+wfxD0vjrOkqYL6hRBiw4D&#10;ijZYO/RZkaVYgG6TlNjZ14+SbPeKDRjmB1kUySPyiOT5RackOjDnhdEVLk8mGDFNTS30rsI/Hq4/&#10;nWHkA9E1kUazCh+Zxxerjx/OW7tkU9MYWTOHAET7ZWsr3IRgl0XhacMU8SfGMg1KbpwiAUS3K2pH&#10;WkBXsphOJqdFa1xtnaHMezi9ykq8SvicMxruOPcsIFlhiC2k1aV1G9didU6WO0dsI2gfBvmHKBQR&#10;Gi4doa5IIGjvxBsoJagz3vBwQo0qDOeCspQDZFNOXmVz3xDLUi5AjrcjTf7/wdLbw8YhUcPblTOM&#10;NFHwSHcHIlGUgZ3W+iUY3duN6yUP25hqx52Kf0gCdYnR48go6wKicDifnZ3OJkA8BV25OCvLxTyi&#10;Fk/u1vnwlRmF4qbCTEphfcyaLMnhxodsPVjFY2+kqK+FlEmIlcIupUMQdIW3u7LHf2ElNWohgOkC&#10;YvkbROjegYCApYa4Ix2ZgLQLR8kintTfGQcaIeVpvuBlWIRSpkOZVQ2pWY52PoFviHfwSOwkwIjM&#10;Ic8RuwcYLDPIgJ2J6u2jK0v1Pzr3mf/JefRINxsdRmcltHHvZSYhq/7mbD+QlKmJLIVu2+US+xxN&#10;49HW1EeoO2dyQ3pLrwU8/w3xYUMcdCCUDEyVcAcLlwbejkJZYNQY9+v1WbSDhgANRi10coX9zz1x&#10;DCP5TUOrfClns9j6SZjNF1MQ3HPN9rlG79WlgUIqYW5ZmrbRPshhy51RjzB01vFWUBFN4W4IMLhB&#10;uAx5wsDYomy9TmbQ7paEG31vaQSPBMeafugeibN97Qdom1szdP2b+s+20VOb9T4YLlJzPPHZUw+j&#10;ItVQP9biLHouJ6un4bv6DQAA//8DAFBLAwQUAAYACAAAACEANnlp7d8AAAAKAQAADwAAAGRycy9k&#10;b3ducmV2LnhtbEyPzU7DMBCE70i8g7VI3KhDSKI2xKkQIlcEpQKOTrxNAvY6ip0f3h5zKsedHc18&#10;U+xXo9mMo+stCbjdRMCQGqt6agUc36qbLTDnJSmpLaGAH3SwLy8vCpkru9ArzgffshBCLpcCOu+H&#10;nHPXdGik29gBKfxOdjTSh3NsuRrlEsKN5nEUZdzInkJDJwd87LD5PkxGQPXlTvFzdZzfh3pS+mn5&#10;/HhpEyGur9aHe2AeV382wx9+QIcyMNV2IuWYFnAXB3IvIM7SBFgwbHdZUGoBaZLugJcF/z+h/AUA&#10;AP//AwBQSwECLQAUAAYACAAAACEAtoM4kv4AAADhAQAAEwAAAAAAAAAAAAAAAAAAAAAAW0NvbnRl&#10;bnRfVHlwZXNdLnhtbFBLAQItABQABgAIAAAAIQA4/SH/1gAAAJQBAAALAAAAAAAAAAAAAAAAAC8B&#10;AABfcmVscy8ucmVsc1BLAQItABQABgAIAAAAIQAi6300ogIAAMQFAAAOAAAAAAAAAAAAAAAAAC4C&#10;AABkcnMvZTJvRG9jLnhtbFBLAQItABQABgAIAAAAIQA2eWnt3wAAAAoBAAAPAAAAAAAAAAAAAAAA&#10;APwEAABkcnMvZG93bnJldi54bWxQSwUGAAAAAAQABADzAAAACAYAAAAA&#10;" fillcolor="white [3212]" strokecolor="black [3213]" strokeweight="1pt">
                      <v:stroke joinstyle="miter"/>
                      <v:textbox>
                        <w:txbxContent>
                          <w:p w14:paraId="6F1AF8D3" w14:textId="77777777" w:rsidR="003B6DB3" w:rsidRDefault="003B6DB3" w:rsidP="00254933">
                            <w:pPr>
                              <w:jc w:val="center"/>
                            </w:pPr>
                            <w:r>
                              <w:t>Şirket-mü etkileşimi:</w:t>
                            </w:r>
                          </w:p>
                          <w:p w14:paraId="78C89A74" w14:textId="77777777" w:rsidR="003B6DB3" w:rsidRDefault="003B6DB3" w:rsidP="00254933">
                            <w:pPr>
                              <w:jc w:val="center"/>
                            </w:pPr>
                            <w:r>
                              <w:t>● Müşterinin hizmet arızasıyla ilgili fikrini bilin</w:t>
                            </w:r>
                          </w:p>
                          <w:p w14:paraId="42DA523F" w14:textId="77777777" w:rsidR="003B6DB3" w:rsidRDefault="003B6DB3" w:rsidP="00254933">
                            <w:pPr>
                              <w:jc w:val="center"/>
                            </w:pPr>
                            <w:r>
                              <w:t>● Müşterileri sorunu çözmek için fikirler üretmeye teşvik edin</w:t>
                            </w:r>
                          </w:p>
                          <w:p w14:paraId="4C920956" w14:textId="77777777" w:rsidR="003B6DB3" w:rsidRDefault="003B6DB3" w:rsidP="00254933">
                            <w:pPr>
                              <w:jc w:val="center"/>
                            </w:pPr>
                            <w:r>
                              <w:t>● Arızanın nedenini düzeltmek için önlemler geliştirin</w:t>
                            </w:r>
                          </w:p>
                          <w:p w14:paraId="197D08E7" w14:textId="77777777" w:rsidR="003B6DB3" w:rsidRDefault="003B6DB3" w:rsidP="00254933">
                            <w:pPr>
                              <w:jc w:val="center"/>
                            </w:pPr>
                            <w:r>
                              <w:t>● Hizmet kurtarma sürecini iletin Şirket-müşteri etkileşimi:</w:t>
                            </w:r>
                          </w:p>
                          <w:p w14:paraId="6CCB4588" w14:textId="77777777" w:rsidR="003B6DB3" w:rsidRDefault="003B6DB3" w:rsidP="00254933">
                            <w:pPr>
                              <w:jc w:val="center"/>
                            </w:pPr>
                            <w:r>
                              <w:t>● Müşterinin hizmet arızasıyla ilgili fikrini bilin</w:t>
                            </w:r>
                          </w:p>
                          <w:p w14:paraId="4D375469" w14:textId="77777777" w:rsidR="003B6DB3" w:rsidRDefault="003B6DB3" w:rsidP="00254933">
                            <w:pPr>
                              <w:jc w:val="center"/>
                            </w:pPr>
                            <w:r>
                              <w:t>● Müşterileri sorunu çözmek için fikirler üretmeye teşvik edin</w:t>
                            </w:r>
                          </w:p>
                          <w:p w14:paraId="5EAE3076" w14:textId="77777777" w:rsidR="003B6DB3" w:rsidRDefault="003B6DB3" w:rsidP="00254933">
                            <w:pPr>
                              <w:jc w:val="center"/>
                            </w:pPr>
                            <w:r>
                              <w:t>● Arızanın nedenini düzeltmek için önlemler geliştirin</w:t>
                            </w:r>
                          </w:p>
                          <w:p w14:paraId="5B86036B" w14:textId="77777777" w:rsidR="003B6DB3" w:rsidRDefault="003B6DB3" w:rsidP="00254933">
                            <w:pPr>
                              <w:jc w:val="center"/>
                            </w:pPr>
                            <w:r>
                              <w:t>● Hizmet kurtarma sürecini iletin ● Müşterileri sorunu çözmek için fikirler üretmeye teşvik edin</w:t>
                            </w:r>
                          </w:p>
                          <w:p w14:paraId="3F3E16EF" w14:textId="77777777" w:rsidR="003B6DB3" w:rsidRDefault="003B6DB3" w:rsidP="00254933">
                            <w:pPr>
                              <w:jc w:val="center"/>
                            </w:pPr>
                            <w:r>
                              <w:t>● Arızanın nedenini düzeltmek için önlemler geliştirin</w:t>
                            </w:r>
                          </w:p>
                          <w:p w14:paraId="4C029A5A" w14:textId="77777777" w:rsidR="003B6DB3" w:rsidRDefault="003B6DB3" w:rsidP="00254933">
                            <w:pPr>
                              <w:jc w:val="center"/>
                            </w:pPr>
                            <w:r>
                              <w:t>● Hizmet kurtarma sürecini iletin hizmet arızasıyla ilgili fikrini bilin</w:t>
                            </w:r>
                          </w:p>
                          <w:p w14:paraId="1AE84C22" w14:textId="77777777" w:rsidR="003B6DB3" w:rsidRDefault="003B6DB3" w:rsidP="00254933">
                            <w:pPr>
                              <w:jc w:val="center"/>
                            </w:pPr>
                            <w:r>
                              <w:t>● Müşterileri sorunu çözmek için fikirler üretmeye teşvik edin</w:t>
                            </w:r>
                          </w:p>
                          <w:p w14:paraId="5CBD7B3B" w14:textId="77777777" w:rsidR="003B6DB3" w:rsidRDefault="003B6DB3" w:rsidP="00254933">
                            <w:pPr>
                              <w:jc w:val="center"/>
                            </w:pPr>
                            <w:r>
                              <w:t>● Arızanın nedenini düzeltmek için önlemler geliştirin</w:t>
                            </w:r>
                          </w:p>
                          <w:p w14:paraId="6C2D8031" w14:textId="77777777" w:rsidR="003B6DB3" w:rsidRDefault="003B6DB3" w:rsidP="00254933">
                            <w:pPr>
                              <w:jc w:val="center"/>
                            </w:pPr>
                            <w:r>
                              <w:t>● Hizmet kurtarma sürecini iletin ● Müşterinin hizmet arızasıyla ilgili fikrini bilin</w:t>
                            </w:r>
                          </w:p>
                          <w:p w14:paraId="289BB803" w14:textId="77777777" w:rsidR="003B6DB3" w:rsidRDefault="003B6DB3" w:rsidP="00254933">
                            <w:pPr>
                              <w:jc w:val="center"/>
                            </w:pPr>
                            <w:r>
                              <w:t>● Müşterileri sorunu çözmek için fikirler üretmeye teşvik edin</w:t>
                            </w:r>
                          </w:p>
                          <w:p w14:paraId="78EF0741" w14:textId="77777777" w:rsidR="003B6DB3" w:rsidRDefault="003B6DB3" w:rsidP="00254933">
                            <w:pPr>
                              <w:jc w:val="center"/>
                            </w:pPr>
                            <w:r>
                              <w:t>● Arızanın nedenini düzeltmek için önlemler geliştirin</w:t>
                            </w:r>
                          </w:p>
                          <w:p w14:paraId="04F6435A" w14:textId="77777777" w:rsidR="003B6DB3" w:rsidRDefault="003B6DB3" w:rsidP="00254933">
                            <w:pPr>
                              <w:jc w:val="center"/>
                            </w:pPr>
                            <w:r>
                              <w:t>● Hizmet kurtarma sürecini iletin</w:t>
                            </w:r>
                          </w:p>
                        </w:txbxContent>
                      </v:textbox>
                    </v:oval>
                  </w:pict>
                </mc:Fallback>
              </mc:AlternateContent>
            </w:r>
            <w:r w:rsidRPr="00164238">
              <w:rPr>
                <w:rFonts w:ascii="Times New Roman" w:hAnsi="Times New Roman" w:cs="Times New Roman"/>
                <w:noProof/>
                <w:color w:val="000000" w:themeColor="text1"/>
                <w:lang w:val="en-US"/>
              </w:rPr>
              <mc:AlternateContent>
                <mc:Choice Requires="wps">
                  <w:drawing>
                    <wp:anchor distT="0" distB="0" distL="114300" distR="114300" simplePos="0" relativeHeight="251713536" behindDoc="0" locked="0" layoutInCell="1" allowOverlap="1" wp14:anchorId="67F126A4" wp14:editId="7FBB14F5">
                      <wp:simplePos x="0" y="0"/>
                      <wp:positionH relativeFrom="column">
                        <wp:posOffset>1084580</wp:posOffset>
                      </wp:positionH>
                      <wp:positionV relativeFrom="paragraph">
                        <wp:posOffset>2056765</wp:posOffset>
                      </wp:positionV>
                      <wp:extent cx="3848100" cy="1114425"/>
                      <wp:effectExtent l="0" t="0" r="0" b="9525"/>
                      <wp:wrapNone/>
                      <wp:docPr id="113" name="Metin Kutusu 113"/>
                      <wp:cNvGraphicFramePr/>
                      <a:graphic xmlns:a="http://schemas.openxmlformats.org/drawingml/2006/main">
                        <a:graphicData uri="http://schemas.microsoft.com/office/word/2010/wordprocessingShape">
                          <wps:wsp>
                            <wps:cNvSpPr txBox="1"/>
                            <wps:spPr>
                              <a:xfrm>
                                <a:off x="0" y="0"/>
                                <a:ext cx="3848100" cy="1114425"/>
                              </a:xfrm>
                              <a:prstGeom prst="rect">
                                <a:avLst/>
                              </a:prstGeom>
                              <a:solidFill>
                                <a:schemeClr val="lt1"/>
                              </a:solidFill>
                              <a:ln w="6350">
                                <a:noFill/>
                              </a:ln>
                            </wps:spPr>
                            <wps:txbx>
                              <w:txbxContent>
                                <w:p w14:paraId="05D693B3" w14:textId="77777777" w:rsidR="003B6DB3" w:rsidRDefault="003B6DB3" w:rsidP="00254933">
                                  <w:pPr>
                                    <w:spacing w:before="120" w:after="120"/>
                                    <w:jc w:val="center"/>
                                    <w:rPr>
                                      <w:rFonts w:ascii="Book Antiqua" w:eastAsia="Times New Roman" w:hAnsi="Book Antiqua" w:cs="Times New Roman"/>
                                      <w:sz w:val="20"/>
                                      <w:szCs w:val="20"/>
                                      <w:lang w:val="fr-FR"/>
                                    </w:rPr>
                                  </w:pPr>
                                  <w:r>
                                    <w:rPr>
                                      <w:rFonts w:ascii="Book Antiqua" w:eastAsia="Times New Roman" w:hAnsi="Book Antiqua" w:cs="Times New Roman"/>
                                      <w:sz w:val="20"/>
                                      <w:szCs w:val="20"/>
                                      <w:lang w:val="fr-FR"/>
                                    </w:rPr>
                                    <w:t>İşletme-müşteri etkileşimi:</w:t>
                                  </w:r>
                                </w:p>
                                <w:p w14:paraId="13ECE4D0" w14:textId="77777777" w:rsidR="003B6DB3" w:rsidRDefault="003B6DB3" w:rsidP="00254933">
                                  <w:pPr>
                                    <w:spacing w:after="0" w:line="240" w:lineRule="auto"/>
                                    <w:jc w:val="center"/>
                                    <w:rPr>
                                      <w:rFonts w:ascii="Book Antiqua" w:eastAsia="Times New Roman" w:hAnsi="Book Antiqua" w:cs="Times New Roman"/>
                                      <w:sz w:val="20"/>
                                      <w:szCs w:val="20"/>
                                      <w:lang w:val="fr-FR"/>
                                    </w:rPr>
                                  </w:pPr>
                                  <w:r>
                                    <w:rPr>
                                      <w:rFonts w:ascii="Book Antiqua" w:eastAsia="Times New Roman" w:hAnsi="Book Antiqua" w:cs="Times New Roman"/>
                                      <w:sz w:val="20"/>
                                      <w:szCs w:val="20"/>
                                      <w:lang w:val="fr-FR"/>
                                    </w:rPr>
                                    <w:t>● Müşterinin hizmet sorunu ile ilgili fikrini bilmek</w:t>
                                  </w:r>
                                </w:p>
                                <w:p w14:paraId="0212CE8B" w14:textId="77777777" w:rsidR="003B6DB3" w:rsidRDefault="003B6DB3" w:rsidP="00254933">
                                  <w:pPr>
                                    <w:spacing w:after="0" w:line="240" w:lineRule="auto"/>
                                    <w:jc w:val="center"/>
                                    <w:rPr>
                                      <w:rFonts w:ascii="Book Antiqua" w:eastAsia="Times New Roman" w:hAnsi="Book Antiqua" w:cs="Times New Roman"/>
                                      <w:sz w:val="20"/>
                                      <w:szCs w:val="20"/>
                                      <w:lang w:val="fr-FR"/>
                                    </w:rPr>
                                  </w:pPr>
                                  <w:r>
                                    <w:rPr>
                                      <w:rFonts w:ascii="Book Antiqua" w:eastAsia="Times New Roman" w:hAnsi="Book Antiqua" w:cs="Times New Roman"/>
                                      <w:sz w:val="20"/>
                                      <w:szCs w:val="20"/>
                                      <w:lang w:val="fr-FR"/>
                                    </w:rPr>
                                    <w:t>● Müşterileri sorunu</w:t>
                                  </w:r>
                                  <w:r>
                                    <w:rPr>
                                      <w:lang w:val="fr-FR"/>
                                    </w:rPr>
                                    <w:t xml:space="preserve"> </w:t>
                                  </w:r>
                                  <w:r>
                                    <w:rPr>
                                      <w:rFonts w:ascii="Book Antiqua" w:eastAsia="Times New Roman" w:hAnsi="Book Antiqua" w:cs="Times New Roman"/>
                                      <w:sz w:val="20"/>
                                      <w:szCs w:val="20"/>
                                      <w:lang w:val="fr-FR"/>
                                    </w:rPr>
                                    <w:t>çözmek için fikirler üretmeye teşvik etmek</w:t>
                                  </w:r>
                                </w:p>
                                <w:p w14:paraId="268A48D8" w14:textId="77777777" w:rsidR="003B6DB3" w:rsidRDefault="003B6DB3" w:rsidP="00254933">
                                  <w:pPr>
                                    <w:spacing w:after="0" w:line="240" w:lineRule="auto"/>
                                    <w:jc w:val="center"/>
                                  </w:pPr>
                                  <w:r>
                                    <w:rPr>
                                      <w:rFonts w:ascii="Book Antiqua" w:eastAsia="Times New Roman" w:hAnsi="Book Antiqua" w:cs="Times New Roman"/>
                                      <w:sz w:val="20"/>
                                      <w:szCs w:val="20"/>
                                      <w:lang w:val="fr-FR"/>
                                    </w:rPr>
                                    <w:t>● Sorunun nedenini bulmak için önlemler</w:t>
                                  </w:r>
                                  <w:r>
                                    <w:rPr>
                                      <w:lang w:val="fr-FR"/>
                                    </w:rPr>
                                    <w:t xml:space="preserve"> </w:t>
                                  </w:r>
                                  <w:r>
                                    <w:rPr>
                                      <w:rFonts w:ascii="Book Antiqua" w:eastAsia="Times New Roman" w:hAnsi="Book Antiqua" w:cs="Times New Roman"/>
                                      <w:sz w:val="20"/>
                                      <w:szCs w:val="20"/>
                                      <w:lang w:val="fr-FR"/>
                                    </w:rPr>
                                    <w:t>geliştirmek</w:t>
                                  </w:r>
                                </w:p>
                                <w:p w14:paraId="22194F9A" w14:textId="77777777" w:rsidR="003B6DB3" w:rsidRDefault="003B6DB3" w:rsidP="00254933">
                                  <w:pPr>
                                    <w:spacing w:after="0"/>
                                  </w:pPr>
                                  <w:r>
                                    <w:rPr>
                                      <w:rFonts w:ascii="Book Antiqua" w:eastAsia="Times New Roman" w:hAnsi="Book Antiqua" w:cs="Times New Roman"/>
                                      <w:sz w:val="20"/>
                                      <w:szCs w:val="20"/>
                                      <w:lang w:val="fr-FR"/>
                                    </w:rPr>
                                    <w:t xml:space="preserve">● Müşterilerle hizmet iyileştirme süreci ile ilgili iletişim kurmak </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F126A4" id="Metin Kutusu 113" o:spid="_x0000_s1043" type="#_x0000_t202" style="position:absolute;left:0;text-align:left;margin-left:85.4pt;margin-top:161.95pt;width:303pt;height:87.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vCwSwIAAIIEAAAOAAAAZHJzL2Uyb0RvYy54bWysVMFu2zAMvQ/YPwi6r7aTtMuCOEXWosOw&#10;rC2QDj0rshwLkEVNomN3Xz9KTtquuw27yBJJPfE9kl5eDq1hB+WDBlvy4iznTFkJlbb7kv94uPkw&#10;5yygsJUwYFXJn1Tgl6v375a9W6gJNGAq5RmB2LDoXckbRLfIsiAb1YpwBk5ZctbgW4F09Pus8qIn&#10;9NZkkzy/yHrwlfMgVQhkvR6dfJXw61pJvKvroJCZklNumFaf1l1cs9VSLPZeuEbLYxriH7Johbb0&#10;6DPUtUDBOq//gmq19BCgxjMJbQZ1raVKHIhNkb9hs22EU4kLiRPcs0zh/8HK28O9Z7qi2hVTzqxo&#10;qUjfFWrLvnXYhY5FO6nUu7Cg4K2jcBw+w0A3TvZAxkh+qH0bv0SLkZ/0fnrWWA3IJBmn89m8yMkl&#10;yVcUxWw2OY842ct15wN+UdCyuCm5pyImbcVhE3AMPYXE1wIYXd1oY9IhNo66Mp4dBJXcYEqSwP+I&#10;Mpb1Jb+YnucJ2EK8PiIbS7lEsiOpuMNhN4wSzU6Md1A9kRAexoYKTt5oSnYjAt4LTx1EBGkq8I6W&#10;2gA9Jo12nDXgf721xTgqKHk466kTSx5+dsIrzsxXS6X+RBoRHKbD7PzjhA7+tWf32mO79gqIeUFz&#10;52Taxng0p23toX2koVnHV8klrKS3S46n7RWO80FDJ9V6nYKoWZ3Ajd06GaGj0rEED8Oj8O5YJ6QS&#10;38KpZ8XiTbnG2HjTwrpDqHWqZRR4VPOoOzV66objUMZJen1OUS+/jtVvAAAA//8DAFBLAwQUAAYA&#10;CAAAACEAXpFjh+IAAAALAQAADwAAAGRycy9kb3ducmV2LnhtbEyPzU7DMBCE70i8g7VIXBB1aEpD&#10;QpwKIX4kbjQtiJsbL0lEvI5iNwlvz3KC4+yMZr7NN7PtxIiDbx0puFpEIJAqZ1qqFezKx8sbED5o&#10;MrpzhAq+0cOmOD3JdWbcRK84bkMtuIR8phU0IfSZlL5q0Gq/cD0Se59usDqwHGppBj1xue3kMorW&#10;0uqWeKHRPd43WH1tj1bBx0X9/uLnp/0UX8f9w/NYJm+mVOr8bL67BRFwDn9h+MVndCiY6eCOZLzo&#10;WCcRowcF8TJOQXAiSdZ8OShYpekKZJHL/z8UPwAAAP//AwBQSwECLQAUAAYACAAAACEAtoM4kv4A&#10;AADhAQAAEwAAAAAAAAAAAAAAAAAAAAAAW0NvbnRlbnRfVHlwZXNdLnhtbFBLAQItABQABgAIAAAA&#10;IQA4/SH/1gAAAJQBAAALAAAAAAAAAAAAAAAAAC8BAABfcmVscy8ucmVsc1BLAQItABQABgAIAAAA&#10;IQBNvvCwSwIAAIIEAAAOAAAAAAAAAAAAAAAAAC4CAABkcnMvZTJvRG9jLnhtbFBLAQItABQABgAI&#10;AAAAIQBekWOH4gAAAAsBAAAPAAAAAAAAAAAAAAAAAKUEAABkcnMvZG93bnJldi54bWxQSwUGAAAA&#10;AAQABADzAAAAtAUAAAAA&#10;" fillcolor="white [3201]" stroked="f" strokeweight=".5pt">
                      <v:textbox>
                        <w:txbxContent>
                          <w:p w14:paraId="05D693B3" w14:textId="77777777" w:rsidR="003B6DB3" w:rsidRDefault="003B6DB3" w:rsidP="00254933">
                            <w:pPr>
                              <w:spacing w:before="120" w:after="120"/>
                              <w:jc w:val="center"/>
                              <w:rPr>
                                <w:rFonts w:ascii="Book Antiqua" w:eastAsia="Times New Roman" w:hAnsi="Book Antiqua" w:cs="Times New Roman"/>
                                <w:sz w:val="20"/>
                                <w:szCs w:val="20"/>
                                <w:lang w:val="fr-FR"/>
                              </w:rPr>
                            </w:pPr>
                            <w:r>
                              <w:rPr>
                                <w:rFonts w:ascii="Book Antiqua" w:eastAsia="Times New Roman" w:hAnsi="Book Antiqua" w:cs="Times New Roman"/>
                                <w:sz w:val="20"/>
                                <w:szCs w:val="20"/>
                                <w:lang w:val="fr-FR"/>
                              </w:rPr>
                              <w:t>İşletme-müşteri etkileşimi:</w:t>
                            </w:r>
                          </w:p>
                          <w:p w14:paraId="13ECE4D0" w14:textId="77777777" w:rsidR="003B6DB3" w:rsidRDefault="003B6DB3" w:rsidP="00254933">
                            <w:pPr>
                              <w:spacing w:after="0" w:line="240" w:lineRule="auto"/>
                              <w:jc w:val="center"/>
                              <w:rPr>
                                <w:rFonts w:ascii="Book Antiqua" w:eastAsia="Times New Roman" w:hAnsi="Book Antiqua" w:cs="Times New Roman"/>
                                <w:sz w:val="20"/>
                                <w:szCs w:val="20"/>
                                <w:lang w:val="fr-FR"/>
                              </w:rPr>
                            </w:pPr>
                            <w:r>
                              <w:rPr>
                                <w:rFonts w:ascii="Book Antiqua" w:eastAsia="Times New Roman" w:hAnsi="Book Antiqua" w:cs="Times New Roman"/>
                                <w:sz w:val="20"/>
                                <w:szCs w:val="20"/>
                                <w:lang w:val="fr-FR"/>
                              </w:rPr>
                              <w:t>● Müşterinin hizmet sorunu ile ilgili fikrini bilmek</w:t>
                            </w:r>
                          </w:p>
                          <w:p w14:paraId="0212CE8B" w14:textId="77777777" w:rsidR="003B6DB3" w:rsidRDefault="003B6DB3" w:rsidP="00254933">
                            <w:pPr>
                              <w:spacing w:after="0" w:line="240" w:lineRule="auto"/>
                              <w:jc w:val="center"/>
                              <w:rPr>
                                <w:rFonts w:ascii="Book Antiqua" w:eastAsia="Times New Roman" w:hAnsi="Book Antiqua" w:cs="Times New Roman"/>
                                <w:sz w:val="20"/>
                                <w:szCs w:val="20"/>
                                <w:lang w:val="fr-FR"/>
                              </w:rPr>
                            </w:pPr>
                            <w:r>
                              <w:rPr>
                                <w:rFonts w:ascii="Book Antiqua" w:eastAsia="Times New Roman" w:hAnsi="Book Antiqua" w:cs="Times New Roman"/>
                                <w:sz w:val="20"/>
                                <w:szCs w:val="20"/>
                                <w:lang w:val="fr-FR"/>
                              </w:rPr>
                              <w:t>● Müşterileri sorunu</w:t>
                            </w:r>
                            <w:r>
                              <w:rPr>
                                <w:lang w:val="fr-FR"/>
                              </w:rPr>
                              <w:t xml:space="preserve"> </w:t>
                            </w:r>
                            <w:r>
                              <w:rPr>
                                <w:rFonts w:ascii="Book Antiqua" w:eastAsia="Times New Roman" w:hAnsi="Book Antiqua" w:cs="Times New Roman"/>
                                <w:sz w:val="20"/>
                                <w:szCs w:val="20"/>
                                <w:lang w:val="fr-FR"/>
                              </w:rPr>
                              <w:t>çözmek için fikirler üretmeye teşvik etmek</w:t>
                            </w:r>
                          </w:p>
                          <w:p w14:paraId="268A48D8" w14:textId="77777777" w:rsidR="003B6DB3" w:rsidRDefault="003B6DB3" w:rsidP="00254933">
                            <w:pPr>
                              <w:spacing w:after="0" w:line="240" w:lineRule="auto"/>
                              <w:jc w:val="center"/>
                            </w:pPr>
                            <w:r>
                              <w:rPr>
                                <w:rFonts w:ascii="Book Antiqua" w:eastAsia="Times New Roman" w:hAnsi="Book Antiqua" w:cs="Times New Roman"/>
                                <w:sz w:val="20"/>
                                <w:szCs w:val="20"/>
                                <w:lang w:val="fr-FR"/>
                              </w:rPr>
                              <w:t>● Sorunun nedenini bulmak için önlemler</w:t>
                            </w:r>
                            <w:r>
                              <w:rPr>
                                <w:lang w:val="fr-FR"/>
                              </w:rPr>
                              <w:t xml:space="preserve"> </w:t>
                            </w:r>
                            <w:r>
                              <w:rPr>
                                <w:rFonts w:ascii="Book Antiqua" w:eastAsia="Times New Roman" w:hAnsi="Book Antiqua" w:cs="Times New Roman"/>
                                <w:sz w:val="20"/>
                                <w:szCs w:val="20"/>
                                <w:lang w:val="fr-FR"/>
                              </w:rPr>
                              <w:t>geliştirmek</w:t>
                            </w:r>
                          </w:p>
                          <w:p w14:paraId="22194F9A" w14:textId="77777777" w:rsidR="003B6DB3" w:rsidRDefault="003B6DB3" w:rsidP="00254933">
                            <w:pPr>
                              <w:spacing w:after="0"/>
                            </w:pPr>
                            <w:r>
                              <w:rPr>
                                <w:rFonts w:ascii="Book Antiqua" w:eastAsia="Times New Roman" w:hAnsi="Book Antiqua" w:cs="Times New Roman"/>
                                <w:sz w:val="20"/>
                                <w:szCs w:val="20"/>
                                <w:lang w:val="fr-FR"/>
                              </w:rPr>
                              <w:t xml:space="preserve">● Müşterilerle hizmet iyileştirme süreci ile ilgili iletişim kurmak </w:t>
                            </w:r>
                          </w:p>
                        </w:txbxContent>
                      </v:textbox>
                    </v:shape>
                  </w:pict>
                </mc:Fallback>
              </mc:AlternateContent>
            </w:r>
            <w:r w:rsidRPr="00164238">
              <w:rPr>
                <w:rFonts w:ascii="Times New Roman" w:hAnsi="Times New Roman" w:cs="Times New Roman"/>
                <w:noProof/>
                <w:color w:val="000000" w:themeColor="text1"/>
                <w:lang w:val="en-US"/>
              </w:rPr>
              <mc:AlternateContent>
                <mc:Choice Requires="wps">
                  <w:drawing>
                    <wp:anchor distT="0" distB="0" distL="114300" distR="114300" simplePos="0" relativeHeight="251715584" behindDoc="0" locked="0" layoutInCell="1" allowOverlap="1" wp14:anchorId="29645C8A" wp14:editId="005CABF2">
                      <wp:simplePos x="0" y="0"/>
                      <wp:positionH relativeFrom="column">
                        <wp:posOffset>3875405</wp:posOffset>
                      </wp:positionH>
                      <wp:positionV relativeFrom="paragraph">
                        <wp:posOffset>1161415</wp:posOffset>
                      </wp:positionV>
                      <wp:extent cx="1714500" cy="1047750"/>
                      <wp:effectExtent l="0" t="0" r="76200" b="57150"/>
                      <wp:wrapNone/>
                      <wp:docPr id="112" name="Düz Ok Bağlayıcısı 112"/>
                      <wp:cNvGraphicFramePr/>
                      <a:graphic xmlns:a="http://schemas.openxmlformats.org/drawingml/2006/main">
                        <a:graphicData uri="http://schemas.microsoft.com/office/word/2010/wordprocessingShape">
                          <wps:wsp>
                            <wps:cNvCnPr/>
                            <wps:spPr>
                              <a:xfrm>
                                <a:off x="0" y="0"/>
                                <a:ext cx="1714500" cy="1047750"/>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shape w14:anchorId="18DB62BB" id="Düz Ok Bağlayıcısı 112" o:spid="_x0000_s1026" type="#_x0000_t32" style="position:absolute;margin-left:305.15pt;margin-top:91.45pt;width:135pt;height:8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STM9QEAABUEAAAOAAAAZHJzL2Uyb0RvYy54bWysU9uO0zAQfUfiHyy/0yTVLkVV05VogRfE&#10;Vlw+wOvYibW+aWzahJ/hG/rOG/2wHTttFgFCCPEy8WXOmTlnnNVNbzTZCwjK2ZpWs5ISYblrlG1r&#10;+unj62cvKAmR2YZpZ0VNBxHozfrpk9XBL8XcdU43AgiS2LA8+Jp2MfplUQTeCcPCzHlh8VI6MCzi&#10;FtqiAXZAdqOLeVk+Lw4OGg+OixDwdDte0nXml1LweCtlEJHommJvMUfI8S7FYr1iyxaY7xQ/t8H+&#10;oQvDlMWiE9WWRUY+g/qFyigOLjgZZ9yZwkmpuMgaUE1V/qTmQ8e8yFrQnOAnm8L/o+Xv9jsgqsHZ&#10;VXNKLDM4pO33b1/I7T15yU5fNRtOR346htORpBQ07ODDEnEbu4PzLvgdJPW9BJO+qIv02eRhMln0&#10;kXA8rBbV1XWJs+B4V5VXi8V1HkPxCPcQ4hvhDEmLmoYITLVd3DhrcaAOqmw1278NERtA4AWQamub&#10;YjrZstCRPcPJN7gaRx2Z0q9sQ+LgUWgExWyrRbpDmgQtkrpRT17FQYuR9r2QaFRSkMvnJyo2Gs4l&#10;7quJBTMTRCqtJ1D5Z9A5N8FEfrZ/C5yyc0Vn4wQ0yjr4XdXYX1qVY/5F9ag1yb5zzZCnm+3At5f9&#10;Of8n6XH/uM/wx795/QAAAP//AwBQSwMEFAAGAAgAAAAhAMvkZXTgAAAACwEAAA8AAABkcnMvZG93&#10;bnJldi54bWxMj8FOwzAMhu9IvENkJG4sXYdGV5pOCIkBOyCxItGj15imonGqJtvK25Od4Gj/n35/&#10;LtaT7cWRRt85VjCfJSCIG6c7bhV8VE83GQgfkDX2jknBD3lYl5cXBebanfidjrvQiljCPkcFJoQh&#10;l9I3hiz6mRuIY/blRoshjmMr9YinWG57mSbJUlrsOF4wONCjoeZ7d7AKJv9ab17q7bNJrcO3rrKf&#10;dbVR6vpqergHEWgKfzCc9aM6lNFp7w6svegVLOfJIqIxyNIViEhk2XmzV7C4vVuBLAv5/4fyFwAA&#10;//8DAFBLAQItABQABgAIAAAAIQC2gziS/gAAAOEBAAATAAAAAAAAAAAAAAAAAAAAAABbQ29udGVu&#10;dF9UeXBlc10ueG1sUEsBAi0AFAAGAAgAAAAhADj9If/WAAAAlAEAAAsAAAAAAAAAAAAAAAAALwEA&#10;AF9yZWxzLy5yZWxzUEsBAi0AFAAGAAgAAAAhABBlJMz1AQAAFQQAAA4AAAAAAAAAAAAAAAAALgIA&#10;AGRycy9lMm9Eb2MueG1sUEsBAi0AFAAGAAgAAAAhAMvkZXTgAAAACwEAAA8AAAAAAAAAAAAAAAAA&#10;TwQAAGRycy9kb3ducmV2LnhtbFBLBQYAAAAABAAEAPMAAABcBQAAAAA=&#10;" strokecolor="black [3200]" strokeweight=".5pt">
                      <v:stroke dashstyle="dash" endarrow="block" joinstyle="miter"/>
                    </v:shape>
                  </w:pict>
                </mc:Fallback>
              </mc:AlternateContent>
            </w:r>
            <w:r w:rsidRPr="00164238">
              <w:rPr>
                <w:rFonts w:ascii="Times New Roman" w:hAnsi="Times New Roman" w:cs="Times New Roman"/>
                <w:noProof/>
                <w:color w:val="000000" w:themeColor="text1"/>
                <w:lang w:val="en-US"/>
              </w:rPr>
              <mc:AlternateContent>
                <mc:Choice Requires="wps">
                  <w:drawing>
                    <wp:anchor distT="0" distB="0" distL="114300" distR="114300" simplePos="0" relativeHeight="251711488" behindDoc="0" locked="0" layoutInCell="1" allowOverlap="1" wp14:anchorId="0A3ED062" wp14:editId="3C0E54A2">
                      <wp:simplePos x="0" y="0"/>
                      <wp:positionH relativeFrom="column">
                        <wp:posOffset>2293620</wp:posOffset>
                      </wp:positionH>
                      <wp:positionV relativeFrom="paragraph">
                        <wp:posOffset>991235</wp:posOffset>
                      </wp:positionV>
                      <wp:extent cx="1571625" cy="342900"/>
                      <wp:effectExtent l="0" t="0" r="28575" b="19050"/>
                      <wp:wrapNone/>
                      <wp:docPr id="111" name="Dikdörtgen 111"/>
                      <wp:cNvGraphicFramePr/>
                      <a:graphic xmlns:a="http://schemas.openxmlformats.org/drawingml/2006/main">
                        <a:graphicData uri="http://schemas.microsoft.com/office/word/2010/wordprocessingShape">
                          <wps:wsp>
                            <wps:cNvSpPr/>
                            <wps:spPr>
                              <a:xfrm>
                                <a:off x="0" y="0"/>
                                <a:ext cx="1571625" cy="34290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1E8B895" w14:textId="77777777" w:rsidR="003B6DB3" w:rsidRDefault="003B6DB3" w:rsidP="00254933">
                                  <w:pPr>
                                    <w:spacing w:before="120" w:after="120" w:line="240" w:lineRule="auto"/>
                                    <w:jc w:val="center"/>
                                    <w:rPr>
                                      <w:rFonts w:ascii="Book Antiqua" w:eastAsia="Times New Roman" w:hAnsi="Book Antiqua" w:cs="Times New Roman"/>
                                      <w:b/>
                                      <w:bCs/>
                                      <w:sz w:val="20"/>
                                      <w:szCs w:val="20"/>
                                      <w:lang w:val="fr-FR"/>
                                    </w:rPr>
                                  </w:pPr>
                                  <w:r>
                                    <w:rPr>
                                      <w:rFonts w:ascii="Book Antiqua" w:eastAsia="Times New Roman" w:hAnsi="Book Antiqua" w:cs="Times New Roman"/>
                                      <w:b/>
                                      <w:bCs/>
                                      <w:sz w:val="20"/>
                                      <w:szCs w:val="20"/>
                                      <w:lang w:val="fr-FR"/>
                                    </w:rPr>
                                    <w:t>BİRLİKTE YARATMA</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0A3ED062" id="Dikdörtgen 111" o:spid="_x0000_s1044" style="position:absolute;left:0;text-align:left;margin-left:180.6pt;margin-top:78.05pt;width:123.75pt;height:27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fhilgIAAG0FAAAOAAAAZHJzL2Uyb0RvYy54bWysVM1OGzEQvlfqO1i+l81uEygRGxSBqCoh&#10;QIWKs+O1Ewuv7Y6d7KYP1hfgxTr2/pBS1EPVy67HM/PNfPPjs/O21mQnwCtrSpofTSgRhttKmXVJ&#10;vz1cffhEiQ/MVExbI0q6F56eL96/O2vcXBR2Y3UlgCCI8fPGlXQTgptnmecbUTN/ZJ0wqJQWahZQ&#10;hHVWAWsQvdZZMZkcZ42FyoHlwnu8veyUdJHwpRQ83ErpRSC6pJhbSF9I31X8ZoszNl8DcxvF+zTY&#10;P2RRM2Uw6Ah1yQIjW1B/QNWKg/VWhiNu68xKqbhIHJBNPnnF5n7DnEhcsDjejWXy/w+W3+zugKgK&#10;e5fnlBhWY5Mu1VP1/BPCWhgSr7FIjfNztL13d9BLHo+RcSuhjn/kQtpU2P1YWNEGwvEyn53kx8WM&#10;Eo66j9PidJIqn714O/Dhs7A1iYeSAjYu1ZPtrn3AiGg6mMRg2pAGYYsTBIqyt1pVV0rrJMThERca&#10;yI5h20ObGCDCgRVK2iBs5NUxSaew16LD/yoklgVzL7oAv2MyzoUJx7EyCQmto5vEDEbH/C1HHYZk&#10;etvoJtKgjo49pb9FHD1SVGvC6FwrY+GtyNXTGLmzH9h3nCP90K7abhZmQ89XttrjgIDtNsc7fqWw&#10;Q9fMhzsGuCq4VLj+4RY/UltsCtfKUbKx8OP1XbTDyUUNJQ2uXEn99y0DQYn+YnCmT/PpNO5oEqaz&#10;kwIFONSsDjVmW19YbC9OLWaVjtE+6OEowdaP+DosY1RUMcMxNiYYYBAuQvcU4PvCxXKZzHAvHQvX&#10;5t7xCB4LHCfvoX1k4PrxDDjYN3ZYTzZ/NaWdbfQ0drkNVqo0wrHEXT370uNOp/np35/4aBzKyerl&#10;lVz8AgAA//8DAFBLAwQUAAYACAAAACEAdLhJ/t8AAAALAQAADwAAAGRycy9kb3ducmV2LnhtbEyP&#10;QU7DMBBF90jcwRokdtROEKEKcaoKUQmxAJFyADce4oh4bGynTW+PWcFy9J/+f9NsFjuxI4Y4OpJQ&#10;rAQwpN7pkQYJH/vdzRpYTIq0mhyhhDNG2LSXF42qtTvROx67NLBcQrFWEkxKvuY89gatiivnkXL2&#10;6YJVKZ9h4DqoUy63Ey+FqLhVI+UFozw+Guy/utlK8GHr38yT2e+W1/D8MszdaL7PUl5fLdsHYAmX&#10;9AfDr35WhzY7HdxMOrJJwm1VlBnNwV1VAMtEJdb3wA4SykIUwNuG//+h/QEAAP//AwBQSwECLQAU&#10;AAYACAAAACEAtoM4kv4AAADhAQAAEwAAAAAAAAAAAAAAAAAAAAAAW0NvbnRlbnRfVHlwZXNdLnht&#10;bFBLAQItABQABgAIAAAAIQA4/SH/1gAAAJQBAAALAAAAAAAAAAAAAAAAAC8BAABfcmVscy8ucmVs&#10;c1BLAQItABQABgAIAAAAIQBYsfhilgIAAG0FAAAOAAAAAAAAAAAAAAAAAC4CAABkcnMvZTJvRG9j&#10;LnhtbFBLAQItABQABgAIAAAAIQB0uEn+3wAAAAsBAAAPAAAAAAAAAAAAAAAAAPAEAABkcnMvZG93&#10;bnJldi54bWxQSwUGAAAAAAQABADzAAAA/AUAAAAA&#10;" fillcolor="white [3201]" strokecolor="black [3213]" strokeweight="1pt">
                      <v:textbox>
                        <w:txbxContent>
                          <w:p w14:paraId="31E8B895" w14:textId="77777777" w:rsidR="003B6DB3" w:rsidRDefault="003B6DB3" w:rsidP="00254933">
                            <w:pPr>
                              <w:spacing w:before="120" w:after="120" w:line="240" w:lineRule="auto"/>
                              <w:jc w:val="center"/>
                              <w:rPr>
                                <w:rFonts w:ascii="Book Antiqua" w:eastAsia="Times New Roman" w:hAnsi="Book Antiqua" w:cs="Times New Roman"/>
                                <w:b/>
                                <w:bCs/>
                                <w:sz w:val="20"/>
                                <w:szCs w:val="20"/>
                                <w:lang w:val="fr-FR"/>
                              </w:rPr>
                            </w:pPr>
                            <w:r>
                              <w:rPr>
                                <w:rFonts w:ascii="Book Antiqua" w:eastAsia="Times New Roman" w:hAnsi="Book Antiqua" w:cs="Times New Roman"/>
                                <w:b/>
                                <w:bCs/>
                                <w:sz w:val="20"/>
                                <w:szCs w:val="20"/>
                                <w:lang w:val="fr-FR"/>
                              </w:rPr>
                              <w:t>BİRLİKTE YARATMA</w:t>
                            </w:r>
                          </w:p>
                        </w:txbxContent>
                      </v:textbox>
                    </v:rect>
                  </w:pict>
                </mc:Fallback>
              </mc:AlternateContent>
            </w:r>
            <w:r w:rsidRPr="00164238">
              <w:rPr>
                <w:rFonts w:ascii="Times New Roman" w:hAnsi="Times New Roman" w:cs="Times New Roman"/>
                <w:noProof/>
                <w:color w:val="000000" w:themeColor="text1"/>
                <w:lang w:val="en-US"/>
              </w:rPr>
              <mc:AlternateContent>
                <mc:Choice Requires="wps">
                  <w:drawing>
                    <wp:anchor distT="0" distB="0" distL="114300" distR="114300" simplePos="0" relativeHeight="251710464" behindDoc="0" locked="0" layoutInCell="1" allowOverlap="1" wp14:anchorId="26CD068F" wp14:editId="3E1A46E3">
                      <wp:simplePos x="0" y="0"/>
                      <wp:positionH relativeFrom="column">
                        <wp:posOffset>1951355</wp:posOffset>
                      </wp:positionH>
                      <wp:positionV relativeFrom="paragraph">
                        <wp:posOffset>123190</wp:posOffset>
                      </wp:positionV>
                      <wp:extent cx="2162175" cy="752475"/>
                      <wp:effectExtent l="0" t="0" r="9525" b="9525"/>
                      <wp:wrapNone/>
                      <wp:docPr id="110" name="Metin Kutusu 110"/>
                      <wp:cNvGraphicFramePr/>
                      <a:graphic xmlns:a="http://schemas.openxmlformats.org/drawingml/2006/main">
                        <a:graphicData uri="http://schemas.microsoft.com/office/word/2010/wordprocessingShape">
                          <wps:wsp>
                            <wps:cNvSpPr txBox="1"/>
                            <wps:spPr>
                              <a:xfrm>
                                <a:off x="0" y="0"/>
                                <a:ext cx="2162175" cy="752475"/>
                              </a:xfrm>
                              <a:prstGeom prst="rect">
                                <a:avLst/>
                              </a:prstGeom>
                              <a:solidFill>
                                <a:schemeClr val="lt1"/>
                              </a:solidFill>
                              <a:ln w="6350">
                                <a:noFill/>
                              </a:ln>
                            </wps:spPr>
                            <wps:txbx>
                              <w:txbxContent>
                                <w:p w14:paraId="74944B27" w14:textId="77777777" w:rsidR="003B6DB3" w:rsidRDefault="003B6DB3" w:rsidP="00254933">
                                  <w:pPr>
                                    <w:spacing w:after="0"/>
                                    <w:jc w:val="center"/>
                                    <w:rPr>
                                      <w:rFonts w:ascii="Book Antiqua" w:eastAsia="Times New Roman" w:hAnsi="Book Antiqua" w:cs="Times New Roman"/>
                                      <w:sz w:val="20"/>
                                      <w:szCs w:val="20"/>
                                      <w:lang w:val="fr-FR"/>
                                    </w:rPr>
                                  </w:pPr>
                                  <w:r>
                                    <w:rPr>
                                      <w:rFonts w:ascii="Book Antiqua" w:eastAsia="Times New Roman" w:hAnsi="Book Antiqua" w:cs="Times New Roman"/>
                                      <w:sz w:val="20"/>
                                      <w:szCs w:val="20"/>
                                      <w:lang w:val="fr-FR"/>
                                    </w:rPr>
                                    <w:t>Hizmet sorunu</w:t>
                                  </w:r>
                                </w:p>
                                <w:p w14:paraId="78142049" w14:textId="77777777" w:rsidR="003B6DB3" w:rsidRDefault="003B6DB3" w:rsidP="00254933">
                                  <w:pPr>
                                    <w:spacing w:after="0"/>
                                    <w:jc w:val="center"/>
                                    <w:rPr>
                                      <w:rFonts w:ascii="Book Antiqua" w:eastAsia="Times New Roman" w:hAnsi="Book Antiqua" w:cs="Times New Roman"/>
                                      <w:sz w:val="20"/>
                                      <w:szCs w:val="20"/>
                                      <w:lang w:val="fr-FR"/>
                                    </w:rPr>
                                  </w:pPr>
                                  <w:r>
                                    <w:rPr>
                                      <w:rFonts w:ascii="Book Antiqua" w:eastAsia="Times New Roman" w:hAnsi="Book Antiqua" w:cs="Times New Roman"/>
                                      <w:sz w:val="20"/>
                                      <w:szCs w:val="20"/>
                                      <w:lang w:val="fr-FR"/>
                                    </w:rPr>
                                    <w:t>Hizmet iyileştirme süreci</w:t>
                                  </w:r>
                                </w:p>
                                <w:p w14:paraId="372779F2" w14:textId="77777777" w:rsidR="003B6DB3" w:rsidRDefault="003B6DB3" w:rsidP="00254933">
                                  <w:pPr>
                                    <w:spacing w:after="0"/>
                                    <w:jc w:val="center"/>
                                  </w:pPr>
                                  <w:r>
                                    <w:rPr>
                                      <w:rFonts w:ascii="Book Antiqua" w:eastAsia="Times New Roman" w:hAnsi="Book Antiqua" w:cs="Times New Roman"/>
                                      <w:sz w:val="20"/>
                                      <w:szCs w:val="20"/>
                                      <w:lang w:val="fr-FR"/>
                                    </w:rPr>
                                    <w:t>Sorunun</w:t>
                                  </w:r>
                                  <w:r>
                                    <w:rPr>
                                      <w:lang w:val="fr-FR"/>
                                    </w:rPr>
                                    <w:t xml:space="preserve"> </w:t>
                                  </w:r>
                                  <w:r>
                                    <w:rPr>
                                      <w:rFonts w:ascii="Book Antiqua" w:eastAsia="Times New Roman" w:hAnsi="Book Antiqua" w:cs="Times New Roman"/>
                                      <w:sz w:val="20"/>
                                      <w:szCs w:val="20"/>
                                      <w:lang w:val="fr-FR"/>
                                    </w:rPr>
                                    <w:t xml:space="preserve">nedenini bulmak </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CD068F" id="Metin Kutusu 110" o:spid="_x0000_s1045" type="#_x0000_t202" style="position:absolute;left:0;text-align:left;margin-left:153.65pt;margin-top:9.7pt;width:170.25pt;height:59.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MCSgIAAIEEAAAOAAAAZHJzL2Uyb0RvYy54bWysVE1v2zAMvQ/YfxB0Xx17SboFdYosRYdh&#10;XVugHXpWZDkWIIuaRMfufn0pOWmz7DbsIvNLT+Qj6YvLoTVsp3zQYEuen004U1ZCpe225D8frz98&#10;4iygsJUwYFXJn1Xgl8v37y56t1AFNGAq5RmB2LDoXckbRLfIsiAb1YpwBk5ZctbgW4Gk+m1WedET&#10;emuyYjKZZz34ynmQKgSyXo1Ovkz4da0k3tV1UMhMySk3TKdP5yae2fJCLLZeuEbLfRriH7Johbb0&#10;6CvUlUDBOq//gmq19BCgxjMJbQZ1raVKNVA1+eSkmodGOJVqIXKCe6Up/D9Yebu790xX1Luc+LGi&#10;pSb9UKgt+95hFzoW7cRS78KCgh8chePwBQa6cbAHMsbih9q38UtlMfIT3vMrx2pAJslY5PMiP59x&#10;Jsl3PiumJBN89nbb+YBfFbQsCiX31MNErdjdBBxDDyHxsQBGV9famKTEuVFr49lOUMcNphwJ/I8o&#10;Y1lf8vnH2SQBW4jXR2RjKZdY61hTlHDYDCND80PBG6ieiQcP4zwFJ681JXsjAt4LTwNEpdNS4B0d&#10;tQF6TBrtOGvA/z61xTjqJ3k462kQSx5+dcIrzsw3S53+nE+nBIdJmc7OC1L8sWdz7LFduwaqPKe1&#10;czKJMR7NQaw9tE+0M6v4KrmElfR2yfEgrnFcD9o5qVarFESz6gTe2AcnI3RkOrbgcXgS3u37hNTh&#10;WziMrFictGuMjTctrDqEWqdeRoJHNve805ynadjvZFykYz1Fvf05li8AAAD//wMAUEsDBBQABgAI&#10;AAAAIQDP4i8Z4AAAAAoBAAAPAAAAZHJzL2Rvd25yZXYueG1sTI/NTsMwEITvSLyDtUhcEHXApaEh&#10;ToUQUIkbDT/i5sZLEhGvo9hNwtuznOC4M59mZ/LN7Dox4hBaTxouFgkIpMrblmoNL+XD+TWIEA1Z&#10;03lCDd8YYFMcH+Ums36iZxx3sRYcQiEzGpoY+0zKUDXoTFj4Hom9Tz84E/kcamkHM3G46+Rlkqyk&#10;My3xh8b0eNdg9bU7OA0fZ/X7U5gfXyd1pfr77Vimb7bU+vRkvr0BEXGOfzD81ufqUHCnvT+QDaLT&#10;oJJUMcrGegmCgdUy5S17FlS6Blnk8v+E4gcAAP//AwBQSwECLQAUAAYACAAAACEAtoM4kv4AAADh&#10;AQAAEwAAAAAAAAAAAAAAAAAAAAAAW0NvbnRlbnRfVHlwZXNdLnhtbFBLAQItABQABgAIAAAAIQA4&#10;/SH/1gAAAJQBAAALAAAAAAAAAAAAAAAAAC8BAABfcmVscy8ucmVsc1BLAQItABQABgAIAAAAIQB/&#10;VvMCSgIAAIEEAAAOAAAAAAAAAAAAAAAAAC4CAABkcnMvZTJvRG9jLnhtbFBLAQItABQABgAIAAAA&#10;IQDP4i8Z4AAAAAoBAAAPAAAAAAAAAAAAAAAAAKQEAABkcnMvZG93bnJldi54bWxQSwUGAAAAAAQA&#10;BADzAAAAsQUAAAAA&#10;" fillcolor="white [3201]" stroked="f" strokeweight=".5pt">
                      <v:textbox>
                        <w:txbxContent>
                          <w:p w14:paraId="74944B27" w14:textId="77777777" w:rsidR="003B6DB3" w:rsidRDefault="003B6DB3" w:rsidP="00254933">
                            <w:pPr>
                              <w:spacing w:after="0"/>
                              <w:jc w:val="center"/>
                              <w:rPr>
                                <w:rFonts w:ascii="Book Antiqua" w:eastAsia="Times New Roman" w:hAnsi="Book Antiqua" w:cs="Times New Roman"/>
                                <w:sz w:val="20"/>
                                <w:szCs w:val="20"/>
                                <w:lang w:val="fr-FR"/>
                              </w:rPr>
                            </w:pPr>
                            <w:r>
                              <w:rPr>
                                <w:rFonts w:ascii="Book Antiqua" w:eastAsia="Times New Roman" w:hAnsi="Book Antiqua" w:cs="Times New Roman"/>
                                <w:sz w:val="20"/>
                                <w:szCs w:val="20"/>
                                <w:lang w:val="fr-FR"/>
                              </w:rPr>
                              <w:t>Hizmet sorunu</w:t>
                            </w:r>
                          </w:p>
                          <w:p w14:paraId="78142049" w14:textId="77777777" w:rsidR="003B6DB3" w:rsidRDefault="003B6DB3" w:rsidP="00254933">
                            <w:pPr>
                              <w:spacing w:after="0"/>
                              <w:jc w:val="center"/>
                              <w:rPr>
                                <w:rFonts w:ascii="Book Antiqua" w:eastAsia="Times New Roman" w:hAnsi="Book Antiqua" w:cs="Times New Roman"/>
                                <w:sz w:val="20"/>
                                <w:szCs w:val="20"/>
                                <w:lang w:val="fr-FR"/>
                              </w:rPr>
                            </w:pPr>
                            <w:r>
                              <w:rPr>
                                <w:rFonts w:ascii="Book Antiqua" w:eastAsia="Times New Roman" w:hAnsi="Book Antiqua" w:cs="Times New Roman"/>
                                <w:sz w:val="20"/>
                                <w:szCs w:val="20"/>
                                <w:lang w:val="fr-FR"/>
                              </w:rPr>
                              <w:t>Hizmet iyileştirme süreci</w:t>
                            </w:r>
                          </w:p>
                          <w:p w14:paraId="372779F2" w14:textId="77777777" w:rsidR="003B6DB3" w:rsidRDefault="003B6DB3" w:rsidP="00254933">
                            <w:pPr>
                              <w:spacing w:after="0"/>
                              <w:jc w:val="center"/>
                            </w:pPr>
                            <w:r>
                              <w:rPr>
                                <w:rFonts w:ascii="Book Antiqua" w:eastAsia="Times New Roman" w:hAnsi="Book Antiqua" w:cs="Times New Roman"/>
                                <w:sz w:val="20"/>
                                <w:szCs w:val="20"/>
                                <w:lang w:val="fr-FR"/>
                              </w:rPr>
                              <w:t>Sorunun</w:t>
                            </w:r>
                            <w:r>
                              <w:rPr>
                                <w:lang w:val="fr-FR"/>
                              </w:rPr>
                              <w:t xml:space="preserve"> </w:t>
                            </w:r>
                            <w:r>
                              <w:rPr>
                                <w:rFonts w:ascii="Book Antiqua" w:eastAsia="Times New Roman" w:hAnsi="Book Antiqua" w:cs="Times New Roman"/>
                                <w:sz w:val="20"/>
                                <w:szCs w:val="20"/>
                                <w:lang w:val="fr-FR"/>
                              </w:rPr>
                              <w:t xml:space="preserve">nedenini bulmak </w:t>
                            </w:r>
                          </w:p>
                        </w:txbxContent>
                      </v:textbox>
                    </v:shape>
                  </w:pict>
                </mc:Fallback>
              </mc:AlternateContent>
            </w:r>
            <w:r w:rsidRPr="00164238">
              <w:rPr>
                <w:rFonts w:ascii="Times New Roman" w:hAnsi="Times New Roman" w:cs="Times New Roman"/>
                <w:noProof/>
                <w:color w:val="000000" w:themeColor="text1"/>
                <w:lang w:val="en-US"/>
              </w:rPr>
              <mc:AlternateContent>
                <mc:Choice Requires="wps">
                  <w:drawing>
                    <wp:anchor distT="0" distB="0" distL="114300" distR="114300" simplePos="0" relativeHeight="251714560" behindDoc="0" locked="0" layoutInCell="1" allowOverlap="1" wp14:anchorId="22817651" wp14:editId="30E0D47D">
                      <wp:simplePos x="0" y="0"/>
                      <wp:positionH relativeFrom="column">
                        <wp:posOffset>294005</wp:posOffset>
                      </wp:positionH>
                      <wp:positionV relativeFrom="paragraph">
                        <wp:posOffset>1144270</wp:posOffset>
                      </wp:positionV>
                      <wp:extent cx="1981200" cy="1009650"/>
                      <wp:effectExtent l="38100" t="0" r="19050" b="57150"/>
                      <wp:wrapNone/>
                      <wp:docPr id="109" name="Düz Ok Bağlayıcısı 109"/>
                      <wp:cNvGraphicFramePr/>
                      <a:graphic xmlns:a="http://schemas.openxmlformats.org/drawingml/2006/main">
                        <a:graphicData uri="http://schemas.microsoft.com/office/word/2010/wordprocessingShape">
                          <wps:wsp>
                            <wps:cNvCnPr/>
                            <wps:spPr>
                              <a:xfrm flipH="1">
                                <a:off x="0" y="0"/>
                                <a:ext cx="1981200" cy="1009650"/>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shape w14:anchorId="2514819D" id="Düz Ok Bağlayıcısı 109" o:spid="_x0000_s1026" type="#_x0000_t32" style="position:absolute;margin-left:23.15pt;margin-top:90.1pt;width:156pt;height:79.5pt;flip:x;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sOp+gEAAB8EAAAOAAAAZHJzL2Uyb0RvYy54bWysU9uO0zAQfUfiHyy/0yQrsdpWTVei5fKA&#10;2IrLB8w6dmKtb7JN0/AzfEPfeaMfxthJAwKEEOLF8mXOmTlnxuvbo1bkwH2Q1tS0WpSUcMNsI01b&#10;0w/vXzy5oSREMA0oa3hNBx7o7ebxo3XvVvzKdlY13BMkMWHVu5p2MbpVUQTWcQ1hYR03+Cis1xDx&#10;6Nui8dAju1bFVVleF731jfOW8RDwdjc+0k3mF4KzeCdE4JGommJtMa8+r/dpLTZrWLUeXCfZVAb8&#10;QxUapMGkM9UOIpCPXv5CpSXzNlgRF8zqwgohGc8aUE1V/qTmXQeOZy1oTnCzTeH/0bI3h70nssHe&#10;lUtKDGhs0u7rl0/k7oE8g/NnBcP5xM6ncD6RFIKG9S6sELc1ez+dgtv7pP4ovCZCSfcK+bIfqJAc&#10;s93DbDc/RsLwslreVNhDShi+VWW5vH6aG1KMRInQ+RBfcqtJ2tQ0RA+y7eLWGoOttX5MAofXIWIp&#10;CLwAEliZC8UOQkcOgDPQ4G5segSpnpuGxMGh5OglmFbx9IY0CVoknaOyvIuD4iPtWy7QsqQga8zD&#10;yrfKTykeqpkFIxNESKVmUPln0BSbYDwP8N8C5+ic0Zo4A7U01v8uazxeShVj/EX1qDXJvrfNkPuc&#10;7cApzP5MPyaN+Y/nDP/+rzffAAAA//8DAFBLAwQUAAYACAAAACEAB7bapd0AAAAKAQAADwAAAGRy&#10;cy9kb3ducmV2LnhtbEyPwU7DMBBE70j8g7VI3KhDAiENcSqoRK8tCeLsxG4cEa8j223D37Oc4LY7&#10;M5p9W20WO7Gz9mF0KOB+lQDT2Ds14iDgo327K4CFKFHJyaEW8K0DbOrrq0qWyl3wXZ+bODAqwVBK&#10;ASbGueQ89EZbGVZu1kje0XkrI61+4MrLC5XbiadJknMrR6QLRs56a3T/1ZysAJTNZ/u03+YHk3X+&#10;Ve13yrY7IW5vlpdnYFEv8S8Mv/iEDjUxde6EKrBJwEOeUZL0IkmBUSB7LEjpaMjWKfC64v9fqH8A&#10;AAD//wMAUEsBAi0AFAAGAAgAAAAhALaDOJL+AAAA4QEAABMAAAAAAAAAAAAAAAAAAAAAAFtDb250&#10;ZW50X1R5cGVzXS54bWxQSwECLQAUAAYACAAAACEAOP0h/9YAAACUAQAACwAAAAAAAAAAAAAAAAAv&#10;AQAAX3JlbHMvLnJlbHNQSwECLQAUAAYACAAAACEAWtLDqfoBAAAfBAAADgAAAAAAAAAAAAAAAAAu&#10;AgAAZHJzL2Uyb0RvYy54bWxQSwECLQAUAAYACAAAACEAB7bapd0AAAAKAQAADwAAAAAAAAAAAAAA&#10;AABUBAAAZHJzL2Rvd25yZXYueG1sUEsFBgAAAAAEAAQA8wAAAF4FAAAAAA==&#10;" strokecolor="black [3200]" strokeweight=".5pt">
                      <v:stroke dashstyle="dash" endarrow="block" joinstyle="miter"/>
                    </v:shape>
                  </w:pict>
                </mc:Fallback>
              </mc:AlternateContent>
            </w:r>
          </w:p>
        </w:tc>
      </w:tr>
    </w:tbl>
    <w:p w14:paraId="1766AD97" w14:textId="77777777" w:rsidR="00254933" w:rsidRPr="00164238" w:rsidRDefault="00254933" w:rsidP="00254933">
      <w:pPr>
        <w:spacing w:after="120" w:line="360" w:lineRule="auto"/>
        <w:ind w:firstLine="360"/>
        <w:jc w:val="both"/>
        <w:rPr>
          <w:rFonts w:ascii="Times New Roman" w:eastAsia="Times New Roman" w:hAnsi="Times New Roman" w:cs="Times New Roman"/>
          <w:color w:val="000000" w:themeColor="text1"/>
          <w:sz w:val="20"/>
          <w:szCs w:val="20"/>
          <w:lang w:val="fr-FR"/>
        </w:rPr>
      </w:pPr>
      <w:r w:rsidRPr="00164238">
        <w:rPr>
          <w:rFonts w:ascii="Times New Roman" w:eastAsia="Times New Roman" w:hAnsi="Times New Roman" w:cs="Times New Roman"/>
          <w:b/>
          <w:bCs/>
          <w:color w:val="000000" w:themeColor="text1"/>
          <w:sz w:val="20"/>
          <w:szCs w:val="20"/>
          <w:lang w:val="fr-FR"/>
        </w:rPr>
        <w:t>Şekil 1.</w:t>
      </w:r>
      <w:r w:rsidRPr="00164238">
        <w:rPr>
          <w:rFonts w:ascii="Times New Roman" w:eastAsia="Times New Roman" w:hAnsi="Times New Roman" w:cs="Times New Roman"/>
          <w:color w:val="000000" w:themeColor="text1"/>
          <w:sz w:val="20"/>
          <w:szCs w:val="20"/>
          <w:lang w:val="fr-FR"/>
        </w:rPr>
        <w:t xml:space="preserve"> Hizmet iyileştirme süreci ve birlikte yaratma (Vázquez-Casielles vd., 2017)</w:t>
      </w:r>
    </w:p>
    <w:p w14:paraId="591E3E44" w14:textId="77777777" w:rsidR="00254933" w:rsidRPr="00164238" w:rsidRDefault="00254933" w:rsidP="00254933">
      <w:pPr>
        <w:spacing w:before="120" w:after="120"/>
        <w:ind w:firstLine="567"/>
        <w:jc w:val="both"/>
        <w:rPr>
          <w:rFonts w:ascii="Times New Roman" w:eastAsia="Times New Roman" w:hAnsi="Times New Roman" w:cs="Times New Roman"/>
          <w:color w:val="000000" w:themeColor="text1"/>
          <w:sz w:val="20"/>
          <w:szCs w:val="20"/>
          <w:lang w:val="fr-FR"/>
        </w:rPr>
      </w:pPr>
      <w:r w:rsidRPr="00164238">
        <w:rPr>
          <w:rFonts w:ascii="Times New Roman" w:eastAsia="Times New Roman" w:hAnsi="Times New Roman" w:cs="Times New Roman"/>
          <w:color w:val="000000" w:themeColor="text1"/>
          <w:sz w:val="20"/>
          <w:szCs w:val="20"/>
          <w:lang w:val="fr-FR"/>
        </w:rPr>
        <w:t>Tüketici davranışı üzerine yapılan araştırmalar, müşterilerin hizmet sorunları hakkında fikirlerini ifade etmelerinin farklı nedenlerini tespit etmiştir (Gelbrich ve Roschk 2011). Bu nedenler ; para iadesi veya ürün değişimi almak; öfkeyi iletmek; deneyimlerini diğer müşterilerle paylaşmak, onlara aynı sorunu nasıl önleyecekleri veya nasıl çözecekleri konusunda tavsiyelerde bulunmak; hizmetin iyileştirilmesine katkıda bulunmak ve sorun tekrarından kaçınmak olarak ifade edilmektedir (Vázquez-Casielles vd., 2017).</w:t>
      </w:r>
    </w:p>
    <w:p w14:paraId="78478A52" w14:textId="77777777" w:rsidR="00254933" w:rsidRPr="00164238" w:rsidRDefault="00254933" w:rsidP="00254933">
      <w:pPr>
        <w:spacing w:before="120" w:after="120"/>
        <w:ind w:firstLine="567"/>
        <w:jc w:val="both"/>
        <w:rPr>
          <w:rFonts w:ascii="Times New Roman" w:eastAsia="Times New Roman" w:hAnsi="Times New Roman" w:cs="Times New Roman"/>
          <w:b/>
          <w:bCs/>
          <w:color w:val="000000" w:themeColor="text1"/>
          <w:sz w:val="20"/>
          <w:szCs w:val="20"/>
        </w:rPr>
      </w:pPr>
      <w:r w:rsidRPr="00164238">
        <w:rPr>
          <w:rFonts w:ascii="Times New Roman" w:eastAsia="Times New Roman" w:hAnsi="Times New Roman" w:cs="Times New Roman"/>
          <w:b/>
          <w:bCs/>
          <w:color w:val="000000" w:themeColor="text1"/>
          <w:sz w:val="20"/>
          <w:szCs w:val="20"/>
        </w:rPr>
        <w:t>TEORİK ÇERÇEVE</w:t>
      </w:r>
    </w:p>
    <w:p w14:paraId="6B9260E6" w14:textId="77777777" w:rsidR="00254933" w:rsidRPr="00164238" w:rsidRDefault="00254933" w:rsidP="00254933">
      <w:pPr>
        <w:spacing w:before="120" w:after="120"/>
        <w:ind w:firstLine="567"/>
        <w:jc w:val="both"/>
        <w:rPr>
          <w:rFonts w:ascii="Times New Roman" w:eastAsia="Times New Roman" w:hAnsi="Times New Roman" w:cs="Times New Roman"/>
          <w:color w:val="000000" w:themeColor="text1"/>
          <w:sz w:val="20"/>
          <w:szCs w:val="20"/>
          <w:lang w:val="fr-FR"/>
        </w:rPr>
      </w:pPr>
      <w:r w:rsidRPr="00164238">
        <w:rPr>
          <w:rFonts w:ascii="Times New Roman" w:eastAsia="Times New Roman" w:hAnsi="Times New Roman" w:cs="Times New Roman"/>
          <w:color w:val="000000" w:themeColor="text1"/>
          <w:sz w:val="20"/>
          <w:szCs w:val="20"/>
          <w:lang w:val="fr-FR"/>
        </w:rPr>
        <w:t>Bu çalışma, ortak değer yıkımını ve hizmet iyileştirmesini odağa alarak havayolu işletmelerinin pandemi döneminde ortak değer yıkımı sonrası hizmet iyileştirmesinin sonuçlarını incelemektedir. Bununla birlikte, hizmet iyileştirmesinin sonuçlarının yolcuları nasıl etkilediği üzerine odaklanmaktadır. Çalışmanın bağlamı havayolu-yolcu etkileşimleridir. Hizmet baskın mantık kavramı, ortak değer yıkım ve hizmet iyileştirmesi açısından teorik çerçeveyi sağlamaktadır. Çalışmanın teorik çerçevesi Şekil 1'de gösterilmiştir.</w:t>
      </w:r>
    </w:p>
    <w:tbl>
      <w:tblPr>
        <w:tblW w:w="921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214"/>
      </w:tblGrid>
      <w:tr w:rsidR="00164238" w:rsidRPr="00164238" w14:paraId="47A7E28C" w14:textId="77777777" w:rsidTr="00254933">
        <w:trPr>
          <w:trHeight w:val="4357"/>
        </w:trPr>
        <w:tc>
          <w:tcPr>
            <w:tcW w:w="9214" w:type="dxa"/>
            <w:tcBorders>
              <w:top w:val="single" w:sz="4" w:space="0" w:color="auto"/>
              <w:left w:val="single" w:sz="4" w:space="0" w:color="auto"/>
              <w:bottom w:val="single" w:sz="4" w:space="0" w:color="auto"/>
              <w:right w:val="single" w:sz="4" w:space="0" w:color="auto"/>
            </w:tcBorders>
            <w:hideMark/>
          </w:tcPr>
          <w:tbl>
            <w:tblPr>
              <w:tblpPr w:leftFromText="141" w:rightFromText="141" w:bottomFromText="200" w:vertAnchor="text" w:horzAnchor="margin" w:tblpY="676"/>
              <w:tblOverlap w:val="never"/>
              <w:tblW w:w="0" w:type="auto"/>
              <w:tblCellMar>
                <w:left w:w="70" w:type="dxa"/>
                <w:right w:w="70" w:type="dxa"/>
              </w:tblCellMar>
              <w:tblLook w:val="04A0" w:firstRow="1" w:lastRow="0" w:firstColumn="1" w:lastColumn="0" w:noHBand="0" w:noVBand="1"/>
            </w:tblPr>
            <w:tblGrid>
              <w:gridCol w:w="5387"/>
            </w:tblGrid>
            <w:tr w:rsidR="00164238" w:rsidRPr="00164238" w14:paraId="2D55856F" w14:textId="77777777">
              <w:trPr>
                <w:trHeight w:val="2694"/>
              </w:trPr>
              <w:tc>
                <w:tcPr>
                  <w:tcW w:w="5387" w:type="dxa"/>
                  <w:hideMark/>
                </w:tcPr>
                <w:p w14:paraId="699C5429" w14:textId="383339F3" w:rsidR="00254933" w:rsidRPr="00164238" w:rsidRDefault="00254933">
                  <w:pPr>
                    <w:spacing w:after="120" w:line="360" w:lineRule="auto"/>
                    <w:jc w:val="center"/>
                    <w:rPr>
                      <w:rFonts w:ascii="Times New Roman" w:hAnsi="Times New Roman" w:cs="Times New Roman"/>
                      <w:b/>
                      <w:bCs/>
                      <w:color w:val="000000" w:themeColor="text1"/>
                      <w:sz w:val="24"/>
                      <w:szCs w:val="24"/>
                    </w:rPr>
                  </w:pPr>
                  <w:r w:rsidRPr="00164238">
                    <w:rPr>
                      <w:rFonts w:ascii="Times New Roman" w:hAnsi="Times New Roman" w:cs="Times New Roman"/>
                      <w:noProof/>
                      <w:color w:val="000000" w:themeColor="text1"/>
                      <w:lang w:val="en-US"/>
                    </w:rPr>
                    <w:lastRenderedPageBreak/>
                    <mc:AlternateContent>
                      <mc:Choice Requires="wps">
                        <w:drawing>
                          <wp:anchor distT="0" distB="0" distL="114300" distR="114300" simplePos="0" relativeHeight="251709440" behindDoc="0" locked="0" layoutInCell="1" allowOverlap="1" wp14:anchorId="5BA4B726" wp14:editId="2F826396">
                            <wp:simplePos x="0" y="0"/>
                            <wp:positionH relativeFrom="column">
                              <wp:posOffset>1000125</wp:posOffset>
                            </wp:positionH>
                            <wp:positionV relativeFrom="paragraph">
                              <wp:posOffset>1311910</wp:posOffset>
                            </wp:positionV>
                            <wp:extent cx="1544955" cy="352425"/>
                            <wp:effectExtent l="0" t="0" r="17145" b="28575"/>
                            <wp:wrapNone/>
                            <wp:docPr id="108" name="Metin Kutusu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955" cy="352425"/>
                                    </a:xfrm>
                                    <a:prstGeom prst="rect">
                                      <a:avLst/>
                                    </a:prstGeom>
                                    <a:solidFill>
                                      <a:srgbClr val="FFFFFF"/>
                                    </a:solidFill>
                                    <a:ln w="9525">
                                      <a:solidFill>
                                        <a:schemeClr val="bg1">
                                          <a:lumMod val="100000"/>
                                          <a:lumOff val="0"/>
                                        </a:schemeClr>
                                      </a:solidFill>
                                      <a:miter lim="800000"/>
                                      <a:headEnd/>
                                      <a:tailEnd/>
                                    </a:ln>
                                  </wps:spPr>
                                  <wps:txbx>
                                    <w:txbxContent>
                                      <w:p w14:paraId="7D29E43C" w14:textId="77777777" w:rsidR="003B6DB3" w:rsidRDefault="003B6DB3" w:rsidP="00254933">
                                        <w:pPr>
                                          <w:spacing w:after="120" w:line="360" w:lineRule="auto"/>
                                          <w:jc w:val="center"/>
                                          <w:rPr>
                                            <w:rFonts w:ascii="Book Antiqua" w:eastAsia="Times New Roman" w:hAnsi="Book Antiqua" w:cs="Times New Roman"/>
                                            <w:sz w:val="20"/>
                                            <w:szCs w:val="20"/>
                                            <w:lang w:val="fr-FR"/>
                                          </w:rPr>
                                        </w:pPr>
                                        <w:r>
                                          <w:rPr>
                                            <w:rFonts w:ascii="Book Antiqua" w:eastAsia="Times New Roman" w:hAnsi="Book Antiqua" w:cs="Times New Roman"/>
                                            <w:sz w:val="20"/>
                                            <w:szCs w:val="20"/>
                                            <w:lang w:val="fr-FR"/>
                                          </w:rPr>
                                          <w:t>Hizmet Baskın Mantık</w:t>
                                        </w: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A4B726" id="Metin Kutusu 108" o:spid="_x0000_s1046" type="#_x0000_t202" style="position:absolute;left:0;text-align:left;margin-left:78.75pt;margin-top:103.3pt;width:121.65pt;height:27.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e8mXQIAAL8EAAAOAAAAZHJzL2Uyb0RvYy54bWysVM1u1DAQviPxDpbvNNllQ7vRZqvSUoRo&#10;KVLhARzHSSxsj7GdTcrTM3a22217Q+RgeX78zcw3M9mcT1qRnXBegqno4iSnRBgOjTRdRX/+uH53&#10;RokPzDRMgREVfRCenm/fvtmMthRL6EE1whEEMb4cbUX7EGyZZZ73QjN/AlYYNLbgNAsoui5rHBsR&#10;XatsmecfshFcYx1w4T1qr2Yj3Sb8thU83LWtF4GoimJuIZ0unXU8s+2GlZ1jtpd8nwb7hyw0kwaD&#10;HqCuWGBkcPIVlJbcgYc2nHDQGbSt5CLVgNUs8hfV3PfMilQLkuPtgSb//2D5t913R2SDvcuxVYZp&#10;bNKtCNKQr0MY/ECiHlkarS/R+d6ie5g+woQvUsXe3gD/5YmBy56ZTlw4B2MvWINZLuLL7OjpjOMj&#10;SD3eQoPB2BAgAU2t05FCJIUgOnbr4dAhMQXCY8hitVoXBSUcbe+L5WpZpBCsfHxtnQ+fBWgSLxV1&#10;OAEJne1ufIjZsPLRJQbzoGRzLZVKguvqS+XIjuG0XKdvj/7MTRkyVnRdYOzXEHFwxQGk7maS1KCx&#10;2hl4kccvArMS9Tifsz6pML00+xEiJfssspYBt0VJXdGzI5TI9ifTJMTApJrvCKXMnv7I+Mx9mOpp&#10;7vdpTCH2pobmARviYN4O3OZwh0erAMvkSlpKenB/XuqiHw4iWigZcYMq6n8PzAlK1BeDzV8vVqu4&#10;cklYFadLFNyxpT62MMMRqqKBkvl6GeY1HayTXY+RZiYNXODAtDL18in7fZ24JYm1/UbHNTyWk9fT&#10;f2f7FwAA//8DAFBLAwQUAAYACAAAACEA+CsN398AAAALAQAADwAAAGRycy9kb3ducmV2LnhtbEyP&#10;wU7DMBBE70j8g7VI3KjdqDUQ4lQIRG8IEVDh6MRLEhGvo9htA1/PcoLjzD7NzhSb2Q/igFPsAxlY&#10;LhQIpCa4nloDry8PF1cgYrLk7BAIDXxhhE15elLY3IUjPeOhSq3gEIq5NdClNOZSxqZDb+MijEh8&#10;+wiTt4nl1Eo32SOH+0FmSmnpbU/8obMj3nXYfFZ7byA2Su+eVtXurZZb/L527v59+2jM+dl8ewMi&#10;4Zz+YPitz9Wh5E512JOLYmC9vlwzaiBTWoNgYqUUj6nZ0dkSZFnI/xvKHwAAAP//AwBQSwECLQAU&#10;AAYACAAAACEAtoM4kv4AAADhAQAAEwAAAAAAAAAAAAAAAAAAAAAAW0NvbnRlbnRfVHlwZXNdLnht&#10;bFBLAQItABQABgAIAAAAIQA4/SH/1gAAAJQBAAALAAAAAAAAAAAAAAAAAC8BAABfcmVscy8ucmVs&#10;c1BLAQItABQABgAIAAAAIQDkQe8mXQIAAL8EAAAOAAAAAAAAAAAAAAAAAC4CAABkcnMvZTJvRG9j&#10;LnhtbFBLAQItABQABgAIAAAAIQD4Kw3f3wAAAAsBAAAPAAAAAAAAAAAAAAAAALcEAABkcnMvZG93&#10;bnJldi54bWxQSwUGAAAAAAQABADzAAAAwwUAAAAA&#10;" strokecolor="white [3212]">
                            <v:textbox>
                              <w:txbxContent>
                                <w:p w14:paraId="7D29E43C" w14:textId="77777777" w:rsidR="003B6DB3" w:rsidRDefault="003B6DB3" w:rsidP="00254933">
                                  <w:pPr>
                                    <w:spacing w:after="120" w:line="360" w:lineRule="auto"/>
                                    <w:jc w:val="center"/>
                                    <w:rPr>
                                      <w:rFonts w:ascii="Book Antiqua" w:eastAsia="Times New Roman" w:hAnsi="Book Antiqua" w:cs="Times New Roman"/>
                                      <w:sz w:val="20"/>
                                      <w:szCs w:val="20"/>
                                      <w:lang w:val="fr-FR"/>
                                    </w:rPr>
                                  </w:pPr>
                                  <w:r>
                                    <w:rPr>
                                      <w:rFonts w:ascii="Book Antiqua" w:eastAsia="Times New Roman" w:hAnsi="Book Antiqua" w:cs="Times New Roman"/>
                                      <w:sz w:val="20"/>
                                      <w:szCs w:val="20"/>
                                      <w:lang w:val="fr-FR"/>
                                    </w:rPr>
                                    <w:t>Hizmet Baskın Mantık</w:t>
                                  </w:r>
                                </w:p>
                              </w:txbxContent>
                            </v:textbox>
                          </v:shape>
                        </w:pict>
                      </mc:Fallback>
                    </mc:AlternateContent>
                  </w:r>
                  <w:r w:rsidRPr="00164238">
                    <w:rPr>
                      <w:rFonts w:ascii="Times New Roman" w:hAnsi="Times New Roman" w:cs="Times New Roman"/>
                      <w:noProof/>
                      <w:color w:val="000000" w:themeColor="text1"/>
                      <w:lang w:val="en-US"/>
                    </w:rPr>
                    <mc:AlternateContent>
                      <mc:Choice Requires="wps">
                        <w:drawing>
                          <wp:anchor distT="0" distB="0" distL="114300" distR="114300" simplePos="0" relativeHeight="251698176" behindDoc="0" locked="0" layoutInCell="1" allowOverlap="1" wp14:anchorId="59130FB5" wp14:editId="74BDDAC7">
                            <wp:simplePos x="0" y="0"/>
                            <wp:positionH relativeFrom="column">
                              <wp:posOffset>-28575</wp:posOffset>
                            </wp:positionH>
                            <wp:positionV relativeFrom="paragraph">
                              <wp:posOffset>400050</wp:posOffset>
                            </wp:positionV>
                            <wp:extent cx="1343025" cy="857250"/>
                            <wp:effectExtent l="0" t="0" r="28575" b="19050"/>
                            <wp:wrapNone/>
                            <wp:docPr id="107" name="Oval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3025" cy="857250"/>
                                    </a:xfrm>
                                    <a:prstGeom prst="ellipse">
                                      <a:avLst/>
                                    </a:prstGeom>
                                    <a:solidFill>
                                      <a:srgbClr val="FFFFFF"/>
                                    </a:solidFill>
                                    <a:ln w="9525">
                                      <a:solidFill>
                                        <a:srgbClr val="000000"/>
                                      </a:solidFill>
                                      <a:round/>
                                      <a:headEnd/>
                                      <a:tailEnd/>
                                    </a:ln>
                                  </wps:spPr>
                                  <wps:txbx>
                                    <w:txbxContent>
                                      <w:p w14:paraId="02C88061" w14:textId="77777777" w:rsidR="003B6DB3" w:rsidRDefault="003B6DB3" w:rsidP="00254933">
                                        <w:pPr>
                                          <w:spacing w:after="120" w:line="360" w:lineRule="auto"/>
                                          <w:jc w:val="center"/>
                                          <w:rPr>
                                            <w:rFonts w:ascii="Book Antiqua" w:eastAsia="Times New Roman" w:hAnsi="Book Antiqua" w:cs="Times New Roman"/>
                                            <w:b/>
                                            <w:bCs/>
                                            <w:sz w:val="20"/>
                                            <w:szCs w:val="20"/>
                                            <w:lang w:val="fr-FR"/>
                                          </w:rPr>
                                        </w:pPr>
                                        <w:r>
                                          <w:rPr>
                                            <w:rFonts w:ascii="Book Antiqua" w:eastAsia="Times New Roman" w:hAnsi="Book Antiqua" w:cs="Times New Roman"/>
                                            <w:b/>
                                            <w:bCs/>
                                            <w:sz w:val="20"/>
                                            <w:szCs w:val="20"/>
                                            <w:lang w:val="fr-FR"/>
                                          </w:rPr>
                                          <w:t>Değer yıkımı</w:t>
                                        </w: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9130FB5" id="Oval 107" o:spid="_x0000_s1047" style="position:absolute;left:0;text-align:left;margin-left:-2.25pt;margin-top:31.5pt;width:105.75pt;height:6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6jKMgIAAGwEAAAOAAAAZHJzL2Uyb0RvYy54bWysVMGO0zAQvSPxD5bvNGm3ZbtR09WqSxHS&#10;Qlda+ADXcRoLx2PGbpPl6xk7bSkL4oDIwfJkxi/z3htncdu3hh0Ueg225ONRzpmyEiptdyX/8nn9&#10;Zs6ZD8JWwoBVJX9Wnt8uX79adK5QE2jAVAoZgVhfdK7kTQiuyDIvG9UKPwKnLCVrwFYECnGXVSg6&#10;Qm9NNsnzt1kHWDkEqbynt/dDki8Tfl0rGTZ17VVgpuTUW0grpnUb12y5EMUOhWu0PLYh/qGLVmhL&#10;Hz1D3Ysg2B71b1Ctlgge6jCS0GZQ11qqxIHYjPMXbJ4a4VTiQuJ4d5bJ/z9Y+enwiExX5F1+zZkV&#10;LZm0OQjDYkzqdM4XVPTkHjHy8+4B5FfPLKwaYXfqDhG6RomKehrH+uyXAzHwdJRtu49QEbTYB0hC&#10;9TW2EZAkYH3y4/nsh+oDk/RyfDW9yiczziTl5rPrySwZlonidNqhD+8VtCxuSq6M0c5HyUQhDg8+&#10;xIZEcapKBMDoaq2NSQHutiuDjPiWfJ2exIF4XpYZy7qS38yolb9D5On5EwTC3lZp2KJY7477ILQZ&#10;9tSlsUf1omCD8KHf9oM585MXW6ieSU+EYZTp6oUNLbUBalESfc4awO8v38U6mhrKcNbRuJfcf9sL&#10;VJyZD5a8uxlPp/F+pGBKUlOAl5ntZUZYSVAlD5wN21UY7tTeod419KVxUsrCHfld6+RDnIWh+yNP&#10;Gulkz/H6xTtzGaeqnz+J5Q8AAAD//wMAUEsDBBQABgAIAAAAIQA5Hsc83gAAAAkBAAAPAAAAZHJz&#10;L2Rvd25yZXYueG1sTI/BTsMwEETvSPyDtUjcWrsNCSXEqSoqJDhwIMDdjbdJ1HgdxW4a/p7lBLcd&#10;zdPsTLGdXS8mHEPnScNqqUAg1d521Gj4/HhebECEaMia3hNq+MYA2/L6qjC59Rd6x6mKjeAQCrnR&#10;0MY45FKGukVnwtIPSOwd/ehMZDk20o7mwuGul2ulMulMR/yhNQM+tVifqrPTsG92VTbJJKbJcf8S&#10;09PX22uy0vr2Zt49gog4xz8YfutzdSi508GfyQbRa1jcpUxqyBKexP5a3fNxYPBho0CWhfy/oPwB&#10;AAD//wMAUEsBAi0AFAAGAAgAAAAhALaDOJL+AAAA4QEAABMAAAAAAAAAAAAAAAAAAAAAAFtDb250&#10;ZW50X1R5cGVzXS54bWxQSwECLQAUAAYACAAAACEAOP0h/9YAAACUAQAACwAAAAAAAAAAAAAAAAAv&#10;AQAAX3JlbHMvLnJlbHNQSwECLQAUAAYACAAAACEABl+oyjICAABsBAAADgAAAAAAAAAAAAAAAAAu&#10;AgAAZHJzL2Uyb0RvYy54bWxQSwECLQAUAAYACAAAACEAOR7HPN4AAAAJAQAADwAAAAAAAAAAAAAA&#10;AACMBAAAZHJzL2Rvd25yZXYueG1sUEsFBgAAAAAEAAQA8wAAAJcFAAAAAA==&#10;">
                            <v:textbox>
                              <w:txbxContent>
                                <w:p w14:paraId="02C88061" w14:textId="77777777" w:rsidR="003B6DB3" w:rsidRDefault="003B6DB3" w:rsidP="00254933">
                                  <w:pPr>
                                    <w:spacing w:after="120" w:line="360" w:lineRule="auto"/>
                                    <w:jc w:val="center"/>
                                    <w:rPr>
                                      <w:rFonts w:ascii="Book Antiqua" w:eastAsia="Times New Roman" w:hAnsi="Book Antiqua" w:cs="Times New Roman"/>
                                      <w:b/>
                                      <w:bCs/>
                                      <w:sz w:val="20"/>
                                      <w:szCs w:val="20"/>
                                      <w:lang w:val="fr-FR"/>
                                    </w:rPr>
                                  </w:pPr>
                                  <w:r>
                                    <w:rPr>
                                      <w:rFonts w:ascii="Book Antiqua" w:eastAsia="Times New Roman" w:hAnsi="Book Antiqua" w:cs="Times New Roman"/>
                                      <w:b/>
                                      <w:bCs/>
                                      <w:sz w:val="20"/>
                                      <w:szCs w:val="20"/>
                                      <w:lang w:val="fr-FR"/>
                                    </w:rPr>
                                    <w:t>Değer yıkımı</w:t>
                                  </w:r>
                                </w:p>
                              </w:txbxContent>
                            </v:textbox>
                          </v:oval>
                        </w:pict>
                      </mc:Fallback>
                    </mc:AlternateContent>
                  </w:r>
                  <w:r w:rsidRPr="00164238">
                    <w:rPr>
                      <w:rFonts w:ascii="Times New Roman" w:hAnsi="Times New Roman" w:cs="Times New Roman"/>
                      <w:noProof/>
                      <w:color w:val="000000" w:themeColor="text1"/>
                      <w:lang w:val="en-US"/>
                    </w:rPr>
                    <mc:AlternateContent>
                      <mc:Choice Requires="wps">
                        <w:drawing>
                          <wp:anchor distT="0" distB="0" distL="114300" distR="114300" simplePos="0" relativeHeight="251700224" behindDoc="0" locked="0" layoutInCell="1" allowOverlap="1" wp14:anchorId="4B4E89F7" wp14:editId="3EE9EFD9">
                            <wp:simplePos x="0" y="0"/>
                            <wp:positionH relativeFrom="column">
                              <wp:posOffset>1978025</wp:posOffset>
                            </wp:positionH>
                            <wp:positionV relativeFrom="paragraph">
                              <wp:posOffset>428625</wp:posOffset>
                            </wp:positionV>
                            <wp:extent cx="1352550" cy="781050"/>
                            <wp:effectExtent l="0" t="0" r="19050" b="19050"/>
                            <wp:wrapNone/>
                            <wp:docPr id="106" name="Oval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0" cy="781050"/>
                                    </a:xfrm>
                                    <a:prstGeom prst="ellipse">
                                      <a:avLst/>
                                    </a:prstGeom>
                                    <a:solidFill>
                                      <a:srgbClr val="FFFFFF"/>
                                    </a:solidFill>
                                    <a:ln w="9525">
                                      <a:solidFill>
                                        <a:srgbClr val="000000"/>
                                      </a:solidFill>
                                      <a:round/>
                                      <a:headEnd/>
                                      <a:tailEnd/>
                                    </a:ln>
                                  </wps:spPr>
                                  <wps:txbx>
                                    <w:txbxContent>
                                      <w:p w14:paraId="34C7AB52" w14:textId="77777777" w:rsidR="003B6DB3" w:rsidRDefault="003B6DB3" w:rsidP="00254933">
                                        <w:pPr>
                                          <w:spacing w:after="120" w:line="360" w:lineRule="auto"/>
                                          <w:jc w:val="center"/>
                                          <w:rPr>
                                            <w:rFonts w:ascii="Book Antiqua" w:eastAsia="Times New Roman" w:hAnsi="Book Antiqua" w:cs="Times New Roman"/>
                                            <w:b/>
                                            <w:bCs/>
                                            <w:sz w:val="20"/>
                                            <w:szCs w:val="20"/>
                                            <w:lang w:val="fr-FR"/>
                                          </w:rPr>
                                        </w:pPr>
                                        <w:r>
                                          <w:rPr>
                                            <w:rFonts w:ascii="Book Antiqua" w:eastAsia="Times New Roman" w:hAnsi="Book Antiqua" w:cs="Times New Roman"/>
                                            <w:b/>
                                            <w:bCs/>
                                            <w:sz w:val="20"/>
                                            <w:szCs w:val="20"/>
                                            <w:lang w:val="fr-FR"/>
                                          </w:rPr>
                                          <w:t>Hizmet İyileştirmesi</w:t>
                                        </w: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B4E89F7" id="Oval 106" o:spid="_x0000_s1048" style="position:absolute;left:0;text-align:left;margin-left:155.75pt;margin-top:33.75pt;width:106.5pt;height:61.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uwoMgIAAGwEAAAOAAAAZHJzL2Uyb0RvYy54bWysVMFu2zAMvQ/YPwi6L7azpG2MOEWRLsOA&#10;rinQ7QMUWY6FyaJGKXG6rx8lp2na7TTMB4EUqSfyPdHz60Nn2F6h12ArXoxyzpSVUGu7rfj3b6sP&#10;V5z5IGwtDFhV8Sfl+fXi/bt570o1hhZMrZARiPVl7yrehuDKLPOyVZ3wI3DKUrAB7EQgF7dZjaIn&#10;9M5k4zy/yHrA2iFI5T3t3g5Bvkj4TaNkWDeNV4GZilNtIa2Y1k1cs8VclFsUrtXyWIb4hyo6oS1d&#10;eoK6FUGwHeo/oDotETw0YSShy6BptFSpB+qmyN9089gKp1IvRI53J5r8/4OV9/sHZLom7fILzqzo&#10;SKT1XhgWfWKnd76kpEf3gLE/7+5A/vDMwrIVdqtuEKFvlaippiLmZ68ORMfTUbbpv0JN0GIXIBF1&#10;aLCLgEQBOyQ9nk56qENgkjaLj9PxdEqySYpdXhU52fEKUT6fdujDZwUdi0bFlTHa+UiZKMX+zoch&#10;+zkrNQBG1yttTHJwu1kaZNRvxVfpO17gz9OMZX3FZ1RMQn4V8+cQefr+BoGwszVVI8pI1qejHYQ2&#10;g009GXtkLxI2EB8Om8MgziyCRjY3UD8RnwjDU6bRC2taGgNUoqT2OWsBf73di3n0aijCWU/PveL+&#10;506g4sx8saTdrJhM4nwkZzK9HJOD55HNeURYSVAVD5wN5jIMM7VzqLct3VQkpizckN6NTjq8VH/s&#10;k550EvM4fnFmzv2U9fKTWPwGAAD//wMAUEsDBBQABgAIAAAAIQAsRUz43gAAAAoBAAAPAAAAZHJz&#10;L2Rvd25yZXYueG1sTI/BTsMwDIbvSLxDZCRuLO1KCpSm08SEBAcOFLhnjddWa5yqybry9pgTnGzL&#10;n35/LjeLG8SMU+g9aUhXCQikxtueWg2fH8839yBCNGTN4Ak1fGOATXV5UZrC+jO941zHVnAIhcJo&#10;6GIcCylD06EzYeVHJN4d/ORM5HFqpZ3MmcPdINdJkktneuILnRnxqcPmWJ+chl27rfNZZlFlh91L&#10;VMevt9cs1fr6atk+goi4xD8YfvVZHSp22vsT2SAGDVmaKkY15HdcGVDrW272TD4kCmRVyv8vVD8A&#10;AAD//wMAUEsBAi0AFAAGAAgAAAAhALaDOJL+AAAA4QEAABMAAAAAAAAAAAAAAAAAAAAAAFtDb250&#10;ZW50X1R5cGVzXS54bWxQSwECLQAUAAYACAAAACEAOP0h/9YAAACUAQAACwAAAAAAAAAAAAAAAAAv&#10;AQAAX3JlbHMvLnJlbHNQSwECLQAUAAYACAAAACEAhQLsKDICAABsBAAADgAAAAAAAAAAAAAAAAAu&#10;AgAAZHJzL2Uyb0RvYy54bWxQSwECLQAUAAYACAAAACEALEVM+N4AAAAKAQAADwAAAAAAAAAAAAAA&#10;AACMBAAAZHJzL2Rvd25yZXYueG1sUEsFBgAAAAAEAAQA8wAAAJcFAAAAAA==&#10;">
                            <v:textbox>
                              <w:txbxContent>
                                <w:p w14:paraId="34C7AB52" w14:textId="77777777" w:rsidR="003B6DB3" w:rsidRDefault="003B6DB3" w:rsidP="00254933">
                                  <w:pPr>
                                    <w:spacing w:after="120" w:line="360" w:lineRule="auto"/>
                                    <w:jc w:val="center"/>
                                    <w:rPr>
                                      <w:rFonts w:ascii="Book Antiqua" w:eastAsia="Times New Roman" w:hAnsi="Book Antiqua" w:cs="Times New Roman"/>
                                      <w:b/>
                                      <w:bCs/>
                                      <w:sz w:val="20"/>
                                      <w:szCs w:val="20"/>
                                      <w:lang w:val="fr-FR"/>
                                    </w:rPr>
                                  </w:pPr>
                                  <w:r>
                                    <w:rPr>
                                      <w:rFonts w:ascii="Book Antiqua" w:eastAsia="Times New Roman" w:hAnsi="Book Antiqua" w:cs="Times New Roman"/>
                                      <w:b/>
                                      <w:bCs/>
                                      <w:sz w:val="20"/>
                                      <w:szCs w:val="20"/>
                                      <w:lang w:val="fr-FR"/>
                                    </w:rPr>
                                    <w:t>Hizmet İyileştirmesi</w:t>
                                  </w:r>
                                </w:p>
                              </w:txbxContent>
                            </v:textbox>
                          </v:oval>
                        </w:pict>
                      </mc:Fallback>
                    </mc:AlternateContent>
                  </w:r>
                  <w:r w:rsidRPr="00164238">
                    <w:rPr>
                      <w:rFonts w:ascii="Times New Roman" w:hAnsi="Times New Roman" w:cs="Times New Roman"/>
                      <w:noProof/>
                      <w:color w:val="000000" w:themeColor="text1"/>
                      <w:lang w:val="en-US"/>
                    </w:rPr>
                    <mc:AlternateContent>
                      <mc:Choice Requires="wps">
                        <w:drawing>
                          <wp:anchor distT="0" distB="0" distL="114300" distR="114300" simplePos="0" relativeHeight="251699200" behindDoc="0" locked="0" layoutInCell="1" allowOverlap="1" wp14:anchorId="1F0FA232" wp14:editId="7D9298FE">
                            <wp:simplePos x="0" y="0"/>
                            <wp:positionH relativeFrom="column">
                              <wp:posOffset>1343025</wp:posOffset>
                            </wp:positionH>
                            <wp:positionV relativeFrom="paragraph">
                              <wp:posOffset>714375</wp:posOffset>
                            </wp:positionV>
                            <wp:extent cx="619125" cy="257175"/>
                            <wp:effectExtent l="0" t="19050" r="47625" b="47625"/>
                            <wp:wrapNone/>
                            <wp:docPr id="105" name="Ok: Sağ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 cy="257175"/>
                                    </a:xfrm>
                                    <a:prstGeom prst="rightArrow">
                                      <a:avLst>
                                        <a:gd name="adj1" fmla="val 50000"/>
                                        <a:gd name="adj2" fmla="val 60185"/>
                                      </a:avLst>
                                    </a:prstGeom>
                                    <a:solidFill>
                                      <a:srgbClr val="FFFFFF"/>
                                    </a:solidFill>
                                    <a:ln w="9525">
                                      <a:solidFill>
                                        <a:srgbClr val="000000"/>
                                      </a:solidFill>
                                      <a:miter lim="800000"/>
                                      <a:headEnd/>
                                      <a:tailEnd/>
                                    </a:ln>
                                  </wps:spPr>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shapetype w14:anchorId="74BB6E5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Ok: Sağ 105" o:spid="_x0000_s1026" type="#_x0000_t13" style="position:absolute;margin-left:105.75pt;margin-top:56.25pt;width:48.75pt;height:20.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9yNWAIAAL0EAAAOAAAAZHJzL2Uyb0RvYy54bWysVEtu2zAQ3RfoHQjua0lGnI9gOQiSuiiQ&#10;1gHcHmBMUhYb/krSltPL9DI5WIeU7Top0EVRLQgOZ/j4Zt6Mptc7rchW+CCtaWg1KikRhlkuzbqh&#10;X7/M311SEiIYDsoa0dAnEej17O2bae9qMbadVVx4giAm1L1raBejq4sisE5oCCPrhEFna72GiKZf&#10;F9xDj+haFeOyPC9667nzlokQ8PRucNJZxm9bweKibYOIRDUUucW8+ryu0lrMplCvPbhOsj0N+AcW&#10;GqTBR49QdxCBbLz8A0pL5m2wbRwxqwvbtpKJnANmU5Wvsll24ETOBYsT3LFM4f/Bss/bB08kR+3K&#10;CSUGNIq0eKzJEp5/knSGFepdqDFw6R58yjG4e8seAzH2tgOzFjfe274TwJFXleKLFxeSEfAqWfWf&#10;LEd42ESbi7VrvU6AWAayy5o8HTURu0gYHp5XV9UYmTF0jScX1UVmVEB9uOx8iB+E1SRtGurluouZ&#10;UX4CtvchZmH4Pjng3ypKWq1Q5y0oMinx2/fBScz4NOa8rC4P7+4RkcHh5VwTqySfS6Wy4derW+UJ&#10;wjd0nr9cFizdaZgypG/o1QTT+ztEYjhwxFdfQGgZcXyU1A29PAZBncR4b3hu7ghSDXu8rMxenSTI&#10;IOzK8icUx9thNnCW4wKXVlkkx5R0lHTW/3h9luKwDdFDSY/z09DwfQNeUKI+GmyEq+rsLA1cNs4m&#10;F2M0/KlndeoBwxCqoZGSYXsbhyHduCxoaqxUI2NvsHlaGQ9dNrDfJ4UzgrsXQ3hq56jff53ZLwAA&#10;AP//AwBQSwMEFAAGAAgAAAAhAGe6yUTfAAAACwEAAA8AAABkcnMvZG93bnJldi54bWxMj81OwzAQ&#10;hO9IvIO1SNyonVStIMSpEAiJG/3hwNGJlyTCXofYbQJPz3Kit92d0ew35Wb2TpxwjH0gDdlCgUBq&#10;gu2p1fB2eL65BRGTIWtcINTwjRE21eVFaQobJtrhaZ9awSEUC6OhS2kopIxNh97ERRiQWPsIozeJ&#10;17GVdjQTh3snc6XW0pue+ENnBnzssPncH72G2j2t37fD14u0ctrij5KHefeq9fXV/HAPIuGc/s3w&#10;h8/oUDFTHY5ko3Aa8ixbsZWFLOeBHUt1x+1qvqyWCmRVyvMO1S8AAAD//wMAUEsBAi0AFAAGAAgA&#10;AAAhALaDOJL+AAAA4QEAABMAAAAAAAAAAAAAAAAAAAAAAFtDb250ZW50X1R5cGVzXS54bWxQSwEC&#10;LQAUAAYACAAAACEAOP0h/9YAAACUAQAACwAAAAAAAAAAAAAAAAAvAQAAX3JlbHMvLnJlbHNQSwEC&#10;LQAUAAYACAAAACEAIxvcjVgCAAC9BAAADgAAAAAAAAAAAAAAAAAuAgAAZHJzL2Uyb0RvYy54bWxQ&#10;SwECLQAUAAYACAAAACEAZ7rJRN8AAAALAQAADwAAAAAAAAAAAAAAAACyBAAAZHJzL2Rvd25yZXYu&#10;eG1sUEsFBgAAAAAEAAQA8wAAAL4FAAAAAA==&#10;"/>
                        </w:pict>
                      </mc:Fallback>
                    </mc:AlternateContent>
                  </w:r>
                </w:p>
              </w:tc>
            </w:tr>
          </w:tbl>
          <w:p w14:paraId="44ECB350" w14:textId="3BA5548E" w:rsidR="00254933" w:rsidRPr="00164238" w:rsidRDefault="00254933">
            <w:pPr>
              <w:spacing w:after="120" w:line="360" w:lineRule="auto"/>
              <w:jc w:val="both"/>
              <w:rPr>
                <w:rFonts w:ascii="Times New Roman" w:hAnsi="Times New Roman" w:cs="Times New Roman"/>
                <w:b/>
                <w:bCs/>
                <w:color w:val="000000" w:themeColor="text1"/>
                <w:sz w:val="24"/>
                <w:szCs w:val="24"/>
              </w:rPr>
            </w:pPr>
            <w:r w:rsidRPr="00164238">
              <w:rPr>
                <w:rFonts w:ascii="Times New Roman" w:hAnsi="Times New Roman" w:cs="Times New Roman"/>
                <w:noProof/>
                <w:color w:val="000000" w:themeColor="text1"/>
                <w:lang w:val="en-US"/>
              </w:rPr>
              <mc:AlternateContent>
                <mc:Choice Requires="wps">
                  <w:drawing>
                    <wp:anchor distT="0" distB="0" distL="114300" distR="114300" simplePos="0" relativeHeight="251708416" behindDoc="0" locked="0" layoutInCell="1" allowOverlap="1" wp14:anchorId="35CE2D5C" wp14:editId="16259A83">
                      <wp:simplePos x="0" y="0"/>
                      <wp:positionH relativeFrom="column">
                        <wp:posOffset>4704080</wp:posOffset>
                      </wp:positionH>
                      <wp:positionV relativeFrom="paragraph">
                        <wp:posOffset>1617980</wp:posOffset>
                      </wp:positionV>
                      <wp:extent cx="671195" cy="753745"/>
                      <wp:effectExtent l="0" t="0" r="71755" b="65405"/>
                      <wp:wrapNone/>
                      <wp:docPr id="104" name="Düz Ok Bağlayıcısı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1195" cy="75374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shape w14:anchorId="08545C78" id="Düz Ok Bağlayıcısı 104" o:spid="_x0000_s1026" type="#_x0000_t32" style="position:absolute;margin-left:370.4pt;margin-top:127.4pt;width:52.85pt;height:59.3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xkXWwIAAJEEAAAOAAAAZHJzL2Uyb0RvYy54bWysVEtu2zAQ3RfoHQjuHUmObMdC5KCV7G7S&#10;JkDSA9AkZRGhSIJkLLtFz9IzZN9dfbAO6U+aFgWKolpQpDjz5s3MG11ebTqJ1tw6oVWJs7MUI66o&#10;ZkKtSvzxfjG4wMh5ohiRWvESb7nDV7PXry57U/ChbrVk3CIAUa7oTYlb702RJI62vCPuTBuu4LLR&#10;tiMejnaVMEt6QO9kMkzTcdJry4zVlDsHX+v9JZ5F/Kbh1N80jeMeyRIDNx9XG9dlWJPZJSlWlphW&#10;0AMN8g8sOiIUBD1B1cQT9GjFb1CdoFY73fgzqrtEN42gPOYA2WTpL9nctcTwmAsUx5lTmdz/g6Uf&#10;1rcWCQa9S3OMFOmgSfX3b5/QzQN6S3ZfJdnunujuye2eUDCBgvXGFeBXqVsbUqYbdWeuNX1wSOmq&#10;JWrFI/H7rQGsLHgkL1zCwRkIu+zfawY25NHrWL1NY7sACXVBm9ik7alJfOMRhY/jSZZNRxhRuJqM&#10;zif5KEYgxdHZWOffcd2hsCmx85aIVesrrRTIQdsshiLra+cDNVIcHUJkpRdCyqgKqVBf4uloOIoO&#10;TkvBwmUwc3a1rKRFaxJ0FZ8DixdmVj8qFsFaTthcMeRjURTMAg7oHWcYSQ6jE3bR0hMhny29FVBQ&#10;+QdrIC9V4APFgXQOu73wPk/T6fxifpEP8uF4PsjTuh68WVT5YLzIJqP6vK6qOvsSUsvyohWMcRWy&#10;Ow5Blv+dyA7juJfvaQxOZUxeosd6A9njO5KO6giC2Etrqdn21obWBKGA7qPxYUbDYP18jlbPf5LZ&#10;DwAAAP//AwBQSwMEFAAGAAgAAAAhAKy9333jAAAACwEAAA8AAABkcnMvZG93bnJldi54bWxMj8FO&#10;wzAQRO+V+Adrkbi1Dm2SlhCnAipELiDRIsTRjZfYIraj2G1Tvp7lBLcd7WjmTbkebceOOATjnYDr&#10;WQIMXeOVca2At93jdAUsROmU7LxDAWcMsK4uJqUslD+5VzxuY8soxIVCCtAx9gXnodFoZZj5Hh39&#10;Pv1gZSQ5tFwN8kThtuPzJMm5lcZRg5Y9PmhsvrYHKyBuPs46f2/ub8zL7uk5N991XW+EuLoc726B&#10;RRzjnxl+8QkdKmLa+4NTgXUClmlC6FHAPEvpIMcqzTNgewGL5SIDXpX8/4bqBwAA//8DAFBLAQIt&#10;ABQABgAIAAAAIQC2gziS/gAAAOEBAAATAAAAAAAAAAAAAAAAAAAAAABbQ29udGVudF9UeXBlc10u&#10;eG1sUEsBAi0AFAAGAAgAAAAhADj9If/WAAAAlAEAAAsAAAAAAAAAAAAAAAAALwEAAF9yZWxzLy5y&#10;ZWxzUEsBAi0AFAAGAAgAAAAhAFknGRdbAgAAkQQAAA4AAAAAAAAAAAAAAAAALgIAAGRycy9lMm9E&#10;b2MueG1sUEsBAi0AFAAGAAgAAAAhAKy9333jAAAACwEAAA8AAAAAAAAAAAAAAAAAtQQAAGRycy9k&#10;b3ducmV2LnhtbFBLBQYAAAAABAAEAPMAAADFBQAAAAA=&#10;">
                      <v:stroke endarrow="block"/>
                    </v:shape>
                  </w:pict>
                </mc:Fallback>
              </mc:AlternateContent>
            </w:r>
            <w:r w:rsidRPr="00164238">
              <w:rPr>
                <w:rFonts w:ascii="Times New Roman" w:hAnsi="Times New Roman" w:cs="Times New Roman"/>
                <w:noProof/>
                <w:color w:val="000000" w:themeColor="text1"/>
                <w:lang w:val="en-US"/>
              </w:rPr>
              <mc:AlternateContent>
                <mc:Choice Requires="wps">
                  <w:drawing>
                    <wp:anchor distT="0" distB="0" distL="114300" distR="114300" simplePos="0" relativeHeight="251707392" behindDoc="0" locked="0" layoutInCell="1" allowOverlap="1" wp14:anchorId="41AEEA0E" wp14:editId="12A0538C">
                      <wp:simplePos x="0" y="0"/>
                      <wp:positionH relativeFrom="column">
                        <wp:posOffset>4580255</wp:posOffset>
                      </wp:positionH>
                      <wp:positionV relativeFrom="paragraph">
                        <wp:posOffset>1617980</wp:posOffset>
                      </wp:positionV>
                      <wp:extent cx="85725" cy="724535"/>
                      <wp:effectExtent l="57150" t="0" r="28575" b="56515"/>
                      <wp:wrapNone/>
                      <wp:docPr id="103" name="Düz Ok Bağlayıcısı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725" cy="72453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shape w14:anchorId="2E1FAE72" id="Düz Ok Bağlayıcısı 103" o:spid="_x0000_s1026" type="#_x0000_t32" style="position:absolute;margin-left:360.65pt;margin-top:127.4pt;width:6.75pt;height:57.05pt;flip:x;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afJXwIAAJoEAAAOAAAAZHJzL2Uyb0RvYy54bWysVEFu2zAQvBfoHwjeHUmOnNhC5KCV7PaQ&#10;NgGSPoAmKYsIRRIkY9kt8pa+Iffe6od1STt206JAUVQHihR3Z2d3Z3Vxue4kWnHrhFYlzk5SjLii&#10;mgm1LPGnu/lgjJHzRDEiteIl3nCHL6evX130puBD3WrJuEUAolzRmxK33psiSRxteUfciTZcwWWj&#10;bUc8HO0yYZb0gN7JZJimZ0mvLTNWU+4cfK13l3ga8ZuGU3/dNI57JEsM3HxcbVwXYU2mF6RYWmJa&#10;Qfc0yD+w6IhQEPQAVRNP0IMVv0F1glrtdONPqO4S3TSC8pgDZJOlv2Rz2xLDYy5QHGcOZXL/D5Z+&#10;XN1YJBj0Lj3FSJEOmlR///YZXd+jt2T7VZLN9olun9z2CQUTKFhvXAF+lbqxIWW6VrfmStN7h5Su&#10;WqKWPBK/2xjAyoJH8sIlHJyBsIv+g2ZgQx68jtVbN7ZDjRTmfXAM4FAhtI7t2hzaxdceUfg4Hp0P&#10;RxhRuDkf5qPTUQxFioASfI11/h3XHQqbEjtviVi2vtJKgS603UUgqyvnA8ejQ3BWei6kjPKQCvUl&#10;nowgWLhxWgoWLuPBLheVtGhFgsDis2fxwszqB8UiWMsJmymGfKyOgqHAAb3jDCPJYYbCLlp6IuTR&#10;0lsBlZV/sAbyUgU+UBtIZ7/bKfDLJJ3MxrNxPsiHZ7NBntb14M28ygdn8+x8VJ/WVVVnjyG1LC9a&#10;wRhXIbvnacjyv1Pbfi53Oj7Mw6GMyUv0WG8g+/yOpKNMgjJ2GltotrmxoTVBMTAA0Xg/rGHCfj5H&#10;q+MvZfoDAAD//wMAUEsDBBQABgAIAAAAIQBWgZoR4gAAAAsBAAAPAAAAZHJzL2Rvd25yZXYueG1s&#10;TI/BTsJAEIbvJr7DZky8GNjSCtTaLTEqeDKEivelHduG7mzTXaB9e4eT3mYyX/75/nQ1mFacsXeN&#10;JQWzaQACqbBlQ5WC/dd6EoNwXlOpW0uoYEQHq+z2JtVJaS+0w3PuK8Eh5BKtoPa+S6R0RY1Gu6nt&#10;kPj2Y3ujPa99JcteXzjctDIMgoU0uiH+UOsOX2ssjvnJKHjLt/P198N+CMfi4zPfxMctje9K3d8N&#10;L88gPA7+D4arPqtDxk4He6LSiVbBMpxFjCoI54/cgYlldB0OCqJF/AQyS+X/DtkvAAAA//8DAFBL&#10;AQItABQABgAIAAAAIQC2gziS/gAAAOEBAAATAAAAAAAAAAAAAAAAAAAAAABbQ29udGVudF9UeXBl&#10;c10ueG1sUEsBAi0AFAAGAAgAAAAhADj9If/WAAAAlAEAAAsAAAAAAAAAAAAAAAAALwEAAF9yZWxz&#10;Ly5yZWxzUEsBAi0AFAAGAAgAAAAhACiBp8lfAgAAmgQAAA4AAAAAAAAAAAAAAAAALgIAAGRycy9l&#10;Mm9Eb2MueG1sUEsBAi0AFAAGAAgAAAAhAFaBmhHiAAAACwEAAA8AAAAAAAAAAAAAAAAAuQQAAGRy&#10;cy9kb3ducmV2LnhtbFBLBQYAAAAABAAEAPMAAADIBQAAAAA=&#10;">
                      <v:stroke endarrow="block"/>
                    </v:shape>
                  </w:pict>
                </mc:Fallback>
              </mc:AlternateContent>
            </w:r>
            <w:r w:rsidRPr="00164238">
              <w:rPr>
                <w:rFonts w:ascii="Times New Roman" w:hAnsi="Times New Roman" w:cs="Times New Roman"/>
                <w:noProof/>
                <w:color w:val="000000" w:themeColor="text1"/>
                <w:lang w:val="en-US"/>
              </w:rPr>
              <mc:AlternateContent>
                <mc:Choice Requires="wps">
                  <w:drawing>
                    <wp:anchor distT="0" distB="0" distL="114300" distR="114300" simplePos="0" relativeHeight="251706368" behindDoc="0" locked="0" layoutInCell="1" allowOverlap="1" wp14:anchorId="6E55E76F" wp14:editId="2CDE6102">
                      <wp:simplePos x="0" y="0"/>
                      <wp:positionH relativeFrom="column">
                        <wp:posOffset>3675380</wp:posOffset>
                      </wp:positionH>
                      <wp:positionV relativeFrom="paragraph">
                        <wp:posOffset>1617345</wp:posOffset>
                      </wp:positionV>
                      <wp:extent cx="966470" cy="724535"/>
                      <wp:effectExtent l="38100" t="0" r="24130" b="56515"/>
                      <wp:wrapNone/>
                      <wp:docPr id="102" name="Düz Ok Bağlayıcısı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66470" cy="72453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shape w14:anchorId="071A74B1" id="Düz Ok Bağlayıcısı 102" o:spid="_x0000_s1026" type="#_x0000_t32" style="position:absolute;margin-left:289.4pt;margin-top:127.35pt;width:76.1pt;height:57.05pt;flip:x;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4z6YAIAAJsEAAAOAAAAZHJzL2Uyb0RvYy54bWysVEFu2zAQvBfoHwjeHUmO7DhC5KCV7PaQ&#10;NgGSPoAmKYsIRRIkY9kt8pa+wffe6od1STtO06JAUVQHihR3Z2d3Z3Vxue4kWnHrhFYlzk5SjLii&#10;mgm1LPGnu/lggpHzRDEiteIl3nCHL6evX130puBD3WrJuEUAolzRmxK33psiSRxteUfciTZcwWWj&#10;bUc8HO0yYZb0gN7JZJim46TXlhmrKXcOvtb7SzyN+E3Dqb9uGsc9kiUGbj6uNq6LsCbTC1IsLTGt&#10;oAca5B9YdEQoCHqEqokn6MGK36A6Qa12uvEnVHeJbhpBecwBssnSX7K5bYnhMRcojjPHMrn/B0s/&#10;rm4sEgx6lw4xUqSDJtXfv31G1/foLdl9lWSz29Ld1u22KJhAwXrjCvCr1I0NKdO1ujVXmt47pHTV&#10;ErXkkfjdxgBWFjySFy7h4AyEXfQfNAMb8uB1rN66sR1qpDDvg2MAhwqhdWzX5tguvvaIwsfz8Tg/&#10;g6ZSuDob5qPTUYxFigATnI11/h3XHQqbEjtviVi2vtJKgTC03YcgqyvnA8lnh+Cs9FxIGfUhFeoh&#10;3Gg4ipycloKFy2Dm7HJRSYtWJCgsPgcWL8ysflAsgrWcsJliyMfyKJgKHNA7zjCSHIYo7KKlJ0I+&#10;W3oroLTyD9ZAXqrAB4oD6Rx2ewl+OU/PZ5PZJB/kw/FskKd1PXgzr/LBeJ6djerTuqrq7DGkluVF&#10;KxjjKmT3NA5Z/ndyOwzmXsjHgTiWMXmJHusNZJ/ekXTUSZDGXmQLzTY3NrQmSAYmIBofpjWM2M/n&#10;aPX8T5n+AAAA//8DAFBLAwQUAAYACAAAACEAGbE6ReEAAAALAQAADwAAAGRycy9kb3ducmV2Lnht&#10;bEyPQU+DQBSE7yb+h80z8WLsUiqFII/GqLUn00jb+xZWIGXfEnbbwr/3edLjZCYz32Sr0XTiogfX&#10;WkKYzwIQmkpbtVQj7HfrxwSE84oq1VnSCJN2sMpvbzKVVvZKX/pS+FpwCblUITTe96mUrmy0UW5m&#10;e03sfdvBKM9yqGU1qCuXm06GQbCURrXEC43q9Wujy1NxNghvxTZaHx72YziVm8/iIzltaXpHvL8b&#10;X55BeD36vzD84jM65Mx0tGeqnOgQojhhdI8QRk8xCE7Eizm/OyIslmzJPJP/P+Q/AAAA//8DAFBL&#10;AQItABQABgAIAAAAIQC2gziS/gAAAOEBAAATAAAAAAAAAAAAAAAAAAAAAABbQ29udGVudF9UeXBl&#10;c10ueG1sUEsBAi0AFAAGAAgAAAAhADj9If/WAAAAlAEAAAsAAAAAAAAAAAAAAAAALwEAAF9yZWxz&#10;Ly5yZWxzUEsBAi0AFAAGAAgAAAAhACXXjPpgAgAAmwQAAA4AAAAAAAAAAAAAAAAALgIAAGRycy9l&#10;Mm9Eb2MueG1sUEsBAi0AFAAGAAgAAAAhABmxOkXhAAAACwEAAA8AAAAAAAAAAAAAAAAAugQAAGRy&#10;cy9kb3ducmV2LnhtbFBLBQYAAAAABAAEAPMAAADIBQAAAAA=&#10;">
                      <v:stroke endarrow="block"/>
                    </v:shape>
                  </w:pict>
                </mc:Fallback>
              </mc:AlternateContent>
            </w:r>
            <w:r w:rsidRPr="00164238">
              <w:rPr>
                <w:rFonts w:ascii="Times New Roman" w:hAnsi="Times New Roman" w:cs="Times New Roman"/>
                <w:noProof/>
                <w:color w:val="000000" w:themeColor="text1"/>
                <w:lang w:val="en-US"/>
              </w:rPr>
              <mc:AlternateContent>
                <mc:Choice Requires="wps">
                  <w:drawing>
                    <wp:anchor distT="0" distB="0" distL="114300" distR="114300" simplePos="0" relativeHeight="251702272" behindDoc="0" locked="0" layoutInCell="1" allowOverlap="1" wp14:anchorId="709C910C" wp14:editId="22E8863B">
                      <wp:simplePos x="0" y="0"/>
                      <wp:positionH relativeFrom="column">
                        <wp:posOffset>3308350</wp:posOffset>
                      </wp:positionH>
                      <wp:positionV relativeFrom="paragraph">
                        <wp:posOffset>2362835</wp:posOffset>
                      </wp:positionV>
                      <wp:extent cx="752475" cy="333375"/>
                      <wp:effectExtent l="0" t="0" r="28575" b="28575"/>
                      <wp:wrapNone/>
                      <wp:docPr id="101" name="Dikdörtgen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2475" cy="333375"/>
                              </a:xfrm>
                              <a:prstGeom prst="rect">
                                <a:avLst/>
                              </a:prstGeom>
                              <a:solidFill>
                                <a:srgbClr val="FFFFFF"/>
                              </a:solidFill>
                              <a:ln w="9525">
                                <a:solidFill>
                                  <a:srgbClr val="000000"/>
                                </a:solidFill>
                                <a:miter lim="800000"/>
                                <a:headEnd/>
                                <a:tailEnd/>
                              </a:ln>
                            </wps:spPr>
                            <wps:txbx>
                              <w:txbxContent>
                                <w:p w14:paraId="1AED89A6" w14:textId="77777777" w:rsidR="003B6DB3" w:rsidRDefault="003B6DB3" w:rsidP="00254933">
                                  <w:pPr>
                                    <w:spacing w:after="120" w:line="360" w:lineRule="auto"/>
                                    <w:jc w:val="center"/>
                                    <w:rPr>
                                      <w:rFonts w:ascii="Book Antiqua" w:eastAsia="Times New Roman" w:hAnsi="Book Antiqua" w:cs="Times New Roman"/>
                                      <w:b/>
                                      <w:bCs/>
                                      <w:sz w:val="20"/>
                                      <w:szCs w:val="20"/>
                                      <w:lang w:val="fr-FR"/>
                                    </w:rPr>
                                  </w:pPr>
                                  <w:r>
                                    <w:rPr>
                                      <w:rFonts w:ascii="Book Antiqua" w:eastAsia="Times New Roman" w:hAnsi="Book Antiqua" w:cs="Times New Roman"/>
                                      <w:b/>
                                      <w:bCs/>
                                      <w:sz w:val="20"/>
                                      <w:szCs w:val="20"/>
                                      <w:lang w:val="fr-FR"/>
                                    </w:rPr>
                                    <w:t>Pozitif</w:t>
                                  </w: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9C910C" id="Dikdörtgen 101" o:spid="_x0000_s1049" style="position:absolute;left:0;text-align:left;margin-left:260.5pt;margin-top:186.05pt;width:59.25pt;height:26.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LAoPwIAAHwEAAAOAAAAZHJzL2Uyb0RvYy54bWysVFFu2zAM/R+wOwj6X5xkydoacYoiWYYB&#10;3Vqg2wFkWbaFyqJGKbGzg+0CvdhoOUnTbl/D/CGIIvVEvkd6cd01hu0Ueg0245PRmDNlJRTaVhn/&#10;/m3z7pIzH4QthAGrMr5Xnl8v375ZtC5VU6jBFAoZgVifti7jdQguTRIva9UIPwKnLDlLwEYEMrFK&#10;ChQtoTcmmY7HH5IWsHAIUnlPp+vByZcRvyyVDHdl6VVgJuOUW4grxjXv12S5EGmFwtVaHtIQ/5BF&#10;I7SlR09QaxEE26L+A6rREsFDGUYSmgTKUksVa6BqJuNX1TzUwqlYC5Hj3Ykm//9g5dfdPTJdkHbj&#10;CWdWNCTSWj8WT78wVMqy/phIap1PKfbB3WNfpne3IB89s7Cqha3UDSK0tRIFpRbjkxcXesPTVZa3&#10;X6CgF8Q2QOSrK7HpAYkJ1kVZ9idZVBeYpMOL+XR2MedMkus9fbSnjBKRHi879OGTgob1m4wjqR7B&#10;xe7WhyH0GBKTB6OLjTYmGljlK4NsJ6hDNvE7oPvzMGNZm/Gr+XQekV/4/DnEOH5/g2h0oFY3usn4&#10;5SlIpD1rH20RGzEIbYY9VWcsFXlkblAgdHkXxZrGzu2dORR7IhZhaG0axXBHS2mA8pVGO85qwJ+v&#10;z/o46iLycNZS+2fc/9gKVJyZz5ZEvJrMZv28RGM2v6AHGZ578nOPsJKgMh44G7arMMzY1qGuanpp&#10;EmmzcEPClzqK8pz9oU5q8SjrYRz7GTq3Y9TzT2P5GwAA//8DAFBLAwQUAAYACAAAACEACizQKeEA&#10;AAALAQAADwAAAGRycy9kb3ducmV2LnhtbEyPMU/DMBSEdyT+g/WQ2KgTpw00jVMhUJEY23Rhc+LX&#10;JBA/R7HTBn49Zirj6U533+Xb2fTsjKPrLEmIFxEwpNrqjhoJx3L38ATMeUVa9ZZQwjc62Ba3N7nK&#10;tL3QHs8H37BQQi5TElrvh4xzV7dolFvYASl4Jzsa5YMcG65HdQnlpuciilJuVEdhoVUDvrRYfx0m&#10;I6HqxFH97Mu3yKx3iX+fy8/p41XK+7v5eQPM4+yvYfjDD+hQBKbKTqQd6yWsRBy+eAnJo4iBhUSa&#10;rFfAKglLsUyBFzn//6H4BQAA//8DAFBLAQItABQABgAIAAAAIQC2gziS/gAAAOEBAAATAAAAAAAA&#10;AAAAAAAAAAAAAABbQ29udGVudF9UeXBlc10ueG1sUEsBAi0AFAAGAAgAAAAhADj9If/WAAAAlAEA&#10;AAsAAAAAAAAAAAAAAAAALwEAAF9yZWxzLy5yZWxzUEsBAi0AFAAGAAgAAAAhAAwgsCg/AgAAfAQA&#10;AA4AAAAAAAAAAAAAAAAALgIAAGRycy9lMm9Eb2MueG1sUEsBAi0AFAAGAAgAAAAhAAos0CnhAAAA&#10;CwEAAA8AAAAAAAAAAAAAAAAAmQQAAGRycy9kb3ducmV2LnhtbFBLBQYAAAAABAAEAPMAAACnBQAA&#10;AAA=&#10;">
                      <v:textbox>
                        <w:txbxContent>
                          <w:p w14:paraId="1AED89A6" w14:textId="77777777" w:rsidR="003B6DB3" w:rsidRDefault="003B6DB3" w:rsidP="00254933">
                            <w:pPr>
                              <w:spacing w:after="120" w:line="360" w:lineRule="auto"/>
                              <w:jc w:val="center"/>
                              <w:rPr>
                                <w:rFonts w:ascii="Book Antiqua" w:eastAsia="Times New Roman" w:hAnsi="Book Antiqua" w:cs="Times New Roman"/>
                                <w:b/>
                                <w:bCs/>
                                <w:sz w:val="20"/>
                                <w:szCs w:val="20"/>
                                <w:lang w:val="fr-FR"/>
                              </w:rPr>
                            </w:pPr>
                            <w:r>
                              <w:rPr>
                                <w:rFonts w:ascii="Book Antiqua" w:eastAsia="Times New Roman" w:hAnsi="Book Antiqua" w:cs="Times New Roman"/>
                                <w:b/>
                                <w:bCs/>
                                <w:sz w:val="20"/>
                                <w:szCs w:val="20"/>
                                <w:lang w:val="fr-FR"/>
                              </w:rPr>
                              <w:t>Pozitif</w:t>
                            </w:r>
                          </w:p>
                        </w:txbxContent>
                      </v:textbox>
                    </v:rect>
                  </w:pict>
                </mc:Fallback>
              </mc:AlternateContent>
            </w:r>
            <w:r w:rsidRPr="00164238">
              <w:rPr>
                <w:rFonts w:ascii="Times New Roman" w:hAnsi="Times New Roman" w:cs="Times New Roman"/>
                <w:noProof/>
                <w:color w:val="000000" w:themeColor="text1"/>
                <w:lang w:val="en-US"/>
              </w:rPr>
              <mc:AlternateContent>
                <mc:Choice Requires="wps">
                  <w:drawing>
                    <wp:anchor distT="0" distB="0" distL="114300" distR="114300" simplePos="0" relativeHeight="251701248" behindDoc="0" locked="0" layoutInCell="1" allowOverlap="1" wp14:anchorId="41755FC9" wp14:editId="133A83C0">
                      <wp:simplePos x="0" y="0"/>
                      <wp:positionH relativeFrom="column">
                        <wp:posOffset>4213225</wp:posOffset>
                      </wp:positionH>
                      <wp:positionV relativeFrom="paragraph">
                        <wp:posOffset>2372360</wp:posOffset>
                      </wp:positionV>
                      <wp:extent cx="733425" cy="314325"/>
                      <wp:effectExtent l="0" t="0" r="28575" b="28575"/>
                      <wp:wrapNone/>
                      <wp:docPr id="100" name="Dikdörtgen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3425" cy="314325"/>
                              </a:xfrm>
                              <a:prstGeom prst="rect">
                                <a:avLst/>
                              </a:prstGeom>
                              <a:solidFill>
                                <a:srgbClr val="FFFFFF"/>
                              </a:solidFill>
                              <a:ln w="9525">
                                <a:solidFill>
                                  <a:srgbClr val="000000"/>
                                </a:solidFill>
                                <a:miter lim="800000"/>
                                <a:headEnd/>
                                <a:tailEnd/>
                              </a:ln>
                            </wps:spPr>
                            <wps:txbx>
                              <w:txbxContent>
                                <w:p w14:paraId="4811A241" w14:textId="77777777" w:rsidR="003B6DB3" w:rsidRDefault="003B6DB3" w:rsidP="00254933">
                                  <w:pPr>
                                    <w:spacing w:after="120" w:line="360" w:lineRule="auto"/>
                                    <w:jc w:val="center"/>
                                    <w:rPr>
                                      <w:rFonts w:ascii="Book Antiqua" w:eastAsia="Times New Roman" w:hAnsi="Book Antiqua" w:cs="Times New Roman"/>
                                      <w:b/>
                                      <w:bCs/>
                                      <w:sz w:val="20"/>
                                      <w:szCs w:val="20"/>
                                      <w:lang w:val="fr-FR"/>
                                    </w:rPr>
                                  </w:pPr>
                                  <w:r>
                                    <w:rPr>
                                      <w:rFonts w:ascii="Book Antiqua" w:eastAsia="Times New Roman" w:hAnsi="Book Antiqua" w:cs="Times New Roman"/>
                                      <w:b/>
                                      <w:bCs/>
                                      <w:sz w:val="20"/>
                                      <w:szCs w:val="20"/>
                                      <w:lang w:val="fr-FR"/>
                                    </w:rPr>
                                    <w:t>Negatif</w:t>
                                  </w: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755FC9" id="Dikdörtgen 100" o:spid="_x0000_s1050" style="position:absolute;left:0;text-align:left;margin-left:331.75pt;margin-top:186.8pt;width:57.75pt;height:24.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PoqPgIAAHwEAAAOAAAAZHJzL2Uyb0RvYy54bWysVF1u2zAMfh+wOwh6X5zftTXiFEWyDAO6&#10;tUC3AyiybAuVRY1S4mQH2wV2sVFymmbdsIdhfhBEkfpEfh/p+fW+NWyn0GuwBR8NhpwpK6HUti74&#10;l8/rN5ec+SBsKQxYVfCD8vx68frVvHO5GkMDplTICMT6vHMFb0JweZZ52ahW+AE4ZclZAbYikIl1&#10;VqLoCL012Xg4fJt1gKVDkMp7Ol31Tr5I+FWlZLirKq8CMwWn3EJaMa2buGaLuchrFK7R8piG+Ics&#10;WqEtPXqCWokg2Bb1b1CtlggeqjCQ0GZQVVqqVANVMxq+qOahEU6lWogc7040+f8HKz/t7pHpkrQb&#10;Ej9WtCTSSj+WP75jqJVl8ZhI6pzPKfbB3WMs07tbkI+eWVg2wtbqBhG6RomSUhvF+OyXC9HwdJVt&#10;uo9Q0gtiGyDxta+wjYDEBNsnWQ4nWdQ+MEmHF5PJdDzjTJJrMppOaB9fEPnTZYc+vFfQsrgpOJLq&#10;CVzsbn3oQ59CUvJgdLnWxiQD683SINsJ6pB1+o7o/jzMWNYV/GpGb/8dYpi+P0G0OlCrG90W/PIU&#10;JPLI2jtbUpoiD0Kbfk/VGXukMTLXKxD2m30Sa5xIjrRuoDwQsQh9a9MohjtaKgOUrzTacdYAfnt5&#10;FuOoi8jDWUftX3D/dStQcWY+WBLxajSdxnlJxnR2MSYDzz2bc4+wkqAKHjjrt8vQz9jWoa4bemmU&#10;aLNwQ8JXOonynP2xTmrxJOtxHOMMndsp6vmnsfgJAAD//wMAUEsDBBQABgAIAAAAIQAn2ST24AAA&#10;AAsBAAAPAAAAZHJzL2Rvd25yZXYueG1sTI9BT4NAEIXvJv6HzZh4s0tBwSJDYzQ18djSi7eFHQFl&#10;Zwm7tOivdz3pcTJf3vtesV3MIE40ud4ywnoVgSBurO65RThWu5t7EM4r1mqwTAhf5GBbXl4UKtf2&#10;zHs6HXwrQgi7XCF03o+5lK7pyCi3siNx+L3bySgfzqmVelLnEG4GGUdRKo3qOTR0aqSnjprPw2wQ&#10;6j4+qu999RKZzS7xr0v1Mb89I15fLY8PIDwt/g+GX/2gDmVwqu3M2okBIU2Tu4AiJFmSgghElm3C&#10;uhrhNk7WIMtC/t9Q/gAAAP//AwBQSwECLQAUAAYACAAAACEAtoM4kv4AAADhAQAAEwAAAAAAAAAA&#10;AAAAAAAAAAAAW0NvbnRlbnRfVHlwZXNdLnhtbFBLAQItABQABgAIAAAAIQA4/SH/1gAAAJQBAAAL&#10;AAAAAAAAAAAAAAAAAC8BAABfcmVscy8ucmVsc1BLAQItABQABgAIAAAAIQCmMPoqPgIAAHwEAAAO&#10;AAAAAAAAAAAAAAAAAC4CAABkcnMvZTJvRG9jLnhtbFBLAQItABQABgAIAAAAIQAn2ST24AAAAAsB&#10;AAAPAAAAAAAAAAAAAAAAAJgEAABkcnMvZG93bnJldi54bWxQSwUGAAAAAAQABADzAAAApQUAAAAA&#10;">
                      <v:textbox>
                        <w:txbxContent>
                          <w:p w14:paraId="4811A241" w14:textId="77777777" w:rsidR="003B6DB3" w:rsidRDefault="003B6DB3" w:rsidP="00254933">
                            <w:pPr>
                              <w:spacing w:after="120" w:line="360" w:lineRule="auto"/>
                              <w:jc w:val="center"/>
                              <w:rPr>
                                <w:rFonts w:ascii="Book Antiqua" w:eastAsia="Times New Roman" w:hAnsi="Book Antiqua" w:cs="Times New Roman"/>
                                <w:b/>
                                <w:bCs/>
                                <w:sz w:val="20"/>
                                <w:szCs w:val="20"/>
                                <w:lang w:val="fr-FR"/>
                              </w:rPr>
                            </w:pPr>
                            <w:r>
                              <w:rPr>
                                <w:rFonts w:ascii="Book Antiqua" w:eastAsia="Times New Roman" w:hAnsi="Book Antiqua" w:cs="Times New Roman"/>
                                <w:b/>
                                <w:bCs/>
                                <w:sz w:val="20"/>
                                <w:szCs w:val="20"/>
                                <w:lang w:val="fr-FR"/>
                              </w:rPr>
                              <w:t>Negatif</w:t>
                            </w:r>
                          </w:p>
                        </w:txbxContent>
                      </v:textbox>
                    </v:rect>
                  </w:pict>
                </mc:Fallback>
              </mc:AlternateContent>
            </w:r>
            <w:r w:rsidRPr="00164238">
              <w:rPr>
                <w:rFonts w:ascii="Times New Roman" w:hAnsi="Times New Roman" w:cs="Times New Roman"/>
                <w:noProof/>
                <w:color w:val="000000" w:themeColor="text1"/>
                <w:lang w:val="en-US"/>
              </w:rPr>
              <mc:AlternateContent>
                <mc:Choice Requires="wps">
                  <w:drawing>
                    <wp:anchor distT="0" distB="0" distL="114300" distR="114300" simplePos="0" relativeHeight="251703296" behindDoc="0" locked="0" layoutInCell="1" allowOverlap="1" wp14:anchorId="4EE8878C" wp14:editId="5BBC5511">
                      <wp:simplePos x="0" y="0"/>
                      <wp:positionH relativeFrom="column">
                        <wp:posOffset>5041900</wp:posOffset>
                      </wp:positionH>
                      <wp:positionV relativeFrom="paragraph">
                        <wp:posOffset>2381885</wp:posOffset>
                      </wp:positionV>
                      <wp:extent cx="704850" cy="295275"/>
                      <wp:effectExtent l="0" t="0" r="19050" b="28575"/>
                      <wp:wrapNone/>
                      <wp:docPr id="99" name="Dikdörtgen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850" cy="295275"/>
                              </a:xfrm>
                              <a:prstGeom prst="rect">
                                <a:avLst/>
                              </a:prstGeom>
                              <a:solidFill>
                                <a:srgbClr val="FFFFFF"/>
                              </a:solidFill>
                              <a:ln w="9525">
                                <a:solidFill>
                                  <a:srgbClr val="000000"/>
                                </a:solidFill>
                                <a:miter lim="800000"/>
                                <a:headEnd/>
                                <a:tailEnd/>
                              </a:ln>
                            </wps:spPr>
                            <wps:txbx>
                              <w:txbxContent>
                                <w:p w14:paraId="472EE9CB" w14:textId="77777777" w:rsidR="003B6DB3" w:rsidRDefault="003B6DB3" w:rsidP="00254933">
                                  <w:pPr>
                                    <w:spacing w:after="120" w:line="360" w:lineRule="auto"/>
                                    <w:jc w:val="center"/>
                                    <w:rPr>
                                      <w:rFonts w:ascii="Book Antiqua" w:eastAsia="Times New Roman" w:hAnsi="Book Antiqua" w:cs="Times New Roman"/>
                                      <w:b/>
                                      <w:bCs/>
                                      <w:sz w:val="20"/>
                                      <w:szCs w:val="20"/>
                                      <w:lang w:val="fr-FR"/>
                                    </w:rPr>
                                  </w:pPr>
                                  <w:r>
                                    <w:rPr>
                                      <w:rFonts w:ascii="Book Antiqua" w:eastAsia="Times New Roman" w:hAnsi="Book Antiqua" w:cs="Times New Roman"/>
                                      <w:b/>
                                      <w:bCs/>
                                      <w:sz w:val="20"/>
                                      <w:szCs w:val="20"/>
                                      <w:lang w:val="fr-FR"/>
                                    </w:rPr>
                                    <w:t>Nötr</w:t>
                                  </w: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E8878C" id="Dikdörtgen 99" o:spid="_x0000_s1051" style="position:absolute;left:0;text-align:left;margin-left:397pt;margin-top:187.55pt;width:55.5pt;height:23.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nJQgIAAHoEAAAOAAAAZHJzL2Uyb0RvYy54bWysVFFu2zAM/R+wOwj6X5wYydIYcYoiWYYB&#10;3Vqg2wEUWbaFyqJGKXGyg+0Cu9goJU3Tbl/D/CGIIvVEvkd6fr3vDNsp9BpsyUeDIWfKSqi0bUr+&#10;7ev63RVnPghbCQNWlfygPL9evH0z712hcmjBVAoZgVhf9K7kbQiuyDIvW9UJPwCnLDlrwE4EMrHJ&#10;KhQ9oXcmy4fD91kPWDkEqbyn09XRyRcJv66VDHd17VVgpuSUW0grpnUT12wxF0WDwrVantIQ/5BF&#10;J7SlR89QKxEE26L+A6rTEsFDHQYSugzqWkuVaqBqRsNX1Ty0wqlUC5Hj3Zkm//9g5ZfdPTJdlXw2&#10;48yKjjRa6cfq108MjbKMTomi3vmCIh/cPcYivbsF+eiZhWUrbKNuEKFvlagosVGMz15ciIanq2zT&#10;f4aKHhDbAImtfY1dBCQe2D6JcjiLovaBSTqcDsdXE5JOkiufTfLpJL0giqfLDn34qKBjcVNyJM0T&#10;uNjd+hCTEcVTSEoejK7W2phkYLNZGmQ7Qf2xTt8J3V+GGct6YmiSTxLyC5+/hBim728QnQ7U6EZ3&#10;Jb86B4kisvbBVqkNg9DmuKeUjT3RGJk7KhD2m32SKs/jC5HWDVQHIhbh2Ng0iOGOltoA5SuNdpy1&#10;gD9en8U46iHycNZT85fcf98KVJyZT5ZEnI3G4zgtyRhPpjkZeOnZXHqElQRV8sDZcbsMxwnbOtRN&#10;Sy+NEm0Wbkj4WidRnrM/1UkNnrQ6DWOcoEs7RT3/Mha/AQAA//8DAFBLAwQUAAYACAAAACEAlnv6&#10;U+EAAAALAQAADwAAAGRycy9kb3ducmV2LnhtbEyPzU7DMBCE70i8g7VI3KiT9I+EOBUCFYljm164&#10;bWKTBOJ1FDtt4OlZTnCcndHsN/lutr04m9F3jhTEiwiEodrpjhoFp3J/dw/CBySNvSOj4Mt42BXX&#10;Vzlm2l3oYM7H0AguIZ+hgjaEIZPS162x6BduMMTeuxstBpZjI/WIFy63vUyiaCMtdsQfWhzMU2vq&#10;z+NkFVRdcsLvQ/kS2XS/DK9z+TG9PSt1ezM/PoAIZg5/YfjFZ3QomKlyE2kvegXbdMVbgoLldh2D&#10;4EQarflSKVgl8QZkkcv/G4ofAAAA//8DAFBLAQItABQABgAIAAAAIQC2gziS/gAAAOEBAAATAAAA&#10;AAAAAAAAAAAAAAAAAABbQ29udGVudF9UeXBlc10ueG1sUEsBAi0AFAAGAAgAAAAhADj9If/WAAAA&#10;lAEAAAsAAAAAAAAAAAAAAAAALwEAAF9yZWxzLy5yZWxzUEsBAi0AFAAGAAgAAAAhAOX5OclCAgAA&#10;egQAAA4AAAAAAAAAAAAAAAAALgIAAGRycy9lMm9Eb2MueG1sUEsBAi0AFAAGAAgAAAAhAJZ7+lPh&#10;AAAACwEAAA8AAAAAAAAAAAAAAAAAnAQAAGRycy9kb3ducmV2LnhtbFBLBQYAAAAABAAEAPMAAACq&#10;BQAAAAA=&#10;">
                      <v:textbox>
                        <w:txbxContent>
                          <w:p w14:paraId="472EE9CB" w14:textId="77777777" w:rsidR="003B6DB3" w:rsidRDefault="003B6DB3" w:rsidP="00254933">
                            <w:pPr>
                              <w:spacing w:after="120" w:line="360" w:lineRule="auto"/>
                              <w:jc w:val="center"/>
                              <w:rPr>
                                <w:rFonts w:ascii="Book Antiqua" w:eastAsia="Times New Roman" w:hAnsi="Book Antiqua" w:cs="Times New Roman"/>
                                <w:b/>
                                <w:bCs/>
                                <w:sz w:val="20"/>
                                <w:szCs w:val="20"/>
                                <w:lang w:val="fr-FR"/>
                              </w:rPr>
                            </w:pPr>
                            <w:r>
                              <w:rPr>
                                <w:rFonts w:ascii="Book Antiqua" w:eastAsia="Times New Roman" w:hAnsi="Book Antiqua" w:cs="Times New Roman"/>
                                <w:b/>
                                <w:bCs/>
                                <w:sz w:val="20"/>
                                <w:szCs w:val="20"/>
                                <w:lang w:val="fr-FR"/>
                              </w:rPr>
                              <w:t>Nötr</w:t>
                            </w:r>
                          </w:p>
                        </w:txbxContent>
                      </v:textbox>
                    </v:rect>
                  </w:pict>
                </mc:Fallback>
              </mc:AlternateContent>
            </w:r>
            <w:r w:rsidRPr="00164238">
              <w:rPr>
                <w:rFonts w:ascii="Times New Roman" w:hAnsi="Times New Roman" w:cs="Times New Roman"/>
                <w:noProof/>
                <w:color w:val="000000" w:themeColor="text1"/>
                <w:lang w:val="en-US"/>
              </w:rPr>
              <mc:AlternateContent>
                <mc:Choice Requires="wps">
                  <w:drawing>
                    <wp:anchor distT="0" distB="0" distL="114300" distR="114300" simplePos="0" relativeHeight="251705344" behindDoc="0" locked="0" layoutInCell="1" allowOverlap="1" wp14:anchorId="49A4E46B" wp14:editId="129197F1">
                      <wp:simplePos x="0" y="0"/>
                      <wp:positionH relativeFrom="column">
                        <wp:posOffset>3432175</wp:posOffset>
                      </wp:positionH>
                      <wp:positionV relativeFrom="paragraph">
                        <wp:posOffset>1134110</wp:posOffset>
                      </wp:positionV>
                      <wp:extent cx="619125" cy="257175"/>
                      <wp:effectExtent l="0" t="19050" r="47625" b="47625"/>
                      <wp:wrapNone/>
                      <wp:docPr id="98" name="Ok: Sağ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 cy="257175"/>
                              </a:xfrm>
                              <a:prstGeom prst="rightArrow">
                                <a:avLst>
                                  <a:gd name="adj1" fmla="val 50000"/>
                                  <a:gd name="adj2" fmla="val 60185"/>
                                </a:avLst>
                              </a:prstGeom>
                              <a:solidFill>
                                <a:srgbClr val="FFFFFF"/>
                              </a:solidFill>
                              <a:ln w="9525">
                                <a:solidFill>
                                  <a:srgbClr val="000000"/>
                                </a:solidFill>
                                <a:miter lim="800000"/>
                                <a:headEnd/>
                                <a:tailEnd/>
                              </a:ln>
                            </wps:spPr>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shape w14:anchorId="65E565DB" id="Ok: Sağ 98" o:spid="_x0000_s1026" type="#_x0000_t13" style="position:absolute;margin-left:270.25pt;margin-top:89.3pt;width:48.75pt;height:20.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82HVgIAALsEAAAOAAAAZHJzL2Uyb0RvYy54bWysVEtu2zAQ3RfoHQjuG1lG/IkQOQiSpiiQ&#10;1gHSHmBMUhYb/krSlt3L9DI5WIeU7Dop0EVRLQgOZ+bN583o8mqnFdkKH6Q1NS3PRpQIwyyXZl3T&#10;r1/u3s0pCREMB2WNqOleBHq1ePvmsnOVGNvWKi48QRATqs7VtI3RVUURWCs0hDPrhEFlY72GiKJf&#10;F9xDh+haFePRaFp01nPnLRMh4Ottr6SLjN80gsVl0wQRiaop5hbz6fO5SmexuIRq7cG1kg1pwD9k&#10;oUEaDHqEuoUIZOPlH1BaMm+DbeIZs7qwTSOZyDVgNeXoVTWPLTiRa8HmBHdsU/h/sOzz9sETyWt6&#10;gUwZ0MjR8qkij/D8k+AT9qdzoUKzR/fgU4XB3Vv2FIixNy2Ytbj23natAI5Zlcm+eOGQhICuZNV9&#10;shzRYRNtbtWu8ToBYhPILjOyPzIidpEwfJyWF+V4QglD1XgyK2eTHAGqg7PzIX4QVpN0qamX6zbm&#10;jHII2N6HmGnhQ23Av5WUNFohy1tQZDLCb5iCE5vxqc10VM4PcQfEAqpD5NwTqyS/k0plwa9XN8oT&#10;hK/pXf6GpMOpmTKkw65PsLy/Q6QM+xwx6gsILSMuj5K6pvOjEVSJjPeG59GOIFV/R2dlBnYSIT2x&#10;K8v3SI63/WbgJsclHo2ymBxT0lHSWv/j9VuywyFEDSUdbk9Nw/cNeEGJ+mhwEC7K8/O0blk4n8zG&#10;KPhTzepUA4YhVE0jJf31JvYrunGZ0DRYqUfGXuPwNDIepqzPfigKNwRvL1bwVM5Wv/85i18AAAD/&#10;/wMAUEsDBBQABgAIAAAAIQClFiMU4AAAAAsBAAAPAAAAZHJzL2Rvd25yZXYueG1sTI/LTsMwEEX3&#10;SPyDNUjsqJ1CQwhxKgRCYkcfLFg68ZBExOMQu03g65muYDm6R3fOLdaz68URx9B50pAsFAik2tuO&#10;Gg1v++erDESIhqzpPaGGbwywLs/PCpNbP9EWj7vYCC6hkBsNbYxDLmWoW3QmLPyAxNmHH52JfI6N&#10;tKOZuNz1cqlUKp3piD+0ZsDHFuvP3cFpqPqn9H0zfL1IK6cN/ii5n7evWl9ezA/3ICLO8Q+Gkz6r&#10;Q8lOlT+QDaLXsLpRK0Y5uM1SEEyk1xmvqzQsk7sEZFnI/xvKXwAAAP//AwBQSwECLQAUAAYACAAA&#10;ACEAtoM4kv4AAADhAQAAEwAAAAAAAAAAAAAAAAAAAAAAW0NvbnRlbnRfVHlwZXNdLnhtbFBLAQIt&#10;ABQABgAIAAAAIQA4/SH/1gAAAJQBAAALAAAAAAAAAAAAAAAAAC8BAABfcmVscy8ucmVsc1BLAQIt&#10;ABQABgAIAAAAIQDKe82HVgIAALsEAAAOAAAAAAAAAAAAAAAAAC4CAABkcnMvZTJvRG9jLnhtbFBL&#10;AQItABQABgAIAAAAIQClFiMU4AAAAAsBAAAPAAAAAAAAAAAAAAAAALAEAABkcnMvZG93bnJldi54&#10;bWxQSwUGAAAAAAQABADzAAAAvQUAAAAA&#10;"/>
                  </w:pict>
                </mc:Fallback>
              </mc:AlternateContent>
            </w:r>
            <w:r w:rsidRPr="00164238">
              <w:rPr>
                <w:rFonts w:ascii="Times New Roman" w:hAnsi="Times New Roman" w:cs="Times New Roman"/>
                <w:noProof/>
                <w:color w:val="000000" w:themeColor="text1"/>
                <w:lang w:val="en-US"/>
              </w:rPr>
              <mc:AlternateContent>
                <mc:Choice Requires="wps">
                  <w:drawing>
                    <wp:anchor distT="0" distB="0" distL="114300" distR="114300" simplePos="0" relativeHeight="251704320" behindDoc="0" locked="0" layoutInCell="1" allowOverlap="1" wp14:anchorId="55DBBF8D" wp14:editId="11FBA520">
                      <wp:simplePos x="0" y="0"/>
                      <wp:positionH relativeFrom="column">
                        <wp:posOffset>4079875</wp:posOffset>
                      </wp:positionH>
                      <wp:positionV relativeFrom="paragraph">
                        <wp:posOffset>876935</wp:posOffset>
                      </wp:positionV>
                      <wp:extent cx="1209675" cy="742950"/>
                      <wp:effectExtent l="0" t="0" r="28575" b="19050"/>
                      <wp:wrapNone/>
                      <wp:docPr id="97" name="Oval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9675" cy="742950"/>
                              </a:xfrm>
                              <a:prstGeom prst="ellipse">
                                <a:avLst/>
                              </a:prstGeom>
                              <a:solidFill>
                                <a:srgbClr val="FFFFFF"/>
                              </a:solidFill>
                              <a:ln w="9525">
                                <a:solidFill>
                                  <a:srgbClr val="000000"/>
                                </a:solidFill>
                                <a:round/>
                                <a:headEnd/>
                                <a:tailEnd/>
                              </a:ln>
                            </wps:spPr>
                            <wps:txbx>
                              <w:txbxContent>
                                <w:p w14:paraId="422FD6F5" w14:textId="77777777" w:rsidR="003B6DB3" w:rsidRDefault="003B6DB3" w:rsidP="00254933">
                                  <w:pPr>
                                    <w:spacing w:after="120" w:line="360" w:lineRule="auto"/>
                                    <w:jc w:val="center"/>
                                    <w:rPr>
                                      <w:rFonts w:ascii="Book Antiqua" w:eastAsia="Times New Roman" w:hAnsi="Book Antiqua" w:cs="Times New Roman"/>
                                      <w:b/>
                                      <w:bCs/>
                                      <w:sz w:val="20"/>
                                      <w:szCs w:val="20"/>
                                      <w:lang w:val="fr-FR"/>
                                    </w:rPr>
                                  </w:pPr>
                                  <w:r>
                                    <w:rPr>
                                      <w:rFonts w:ascii="Book Antiqua" w:eastAsia="Times New Roman" w:hAnsi="Book Antiqua" w:cs="Times New Roman"/>
                                      <w:b/>
                                      <w:bCs/>
                                      <w:sz w:val="20"/>
                                      <w:szCs w:val="20"/>
                                      <w:lang w:val="fr-FR"/>
                                    </w:rPr>
                                    <w:t>Geri Bildirim</w:t>
                                  </w: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5DBBF8D" id="Oval 97" o:spid="_x0000_s1052" style="position:absolute;left:0;text-align:left;margin-left:321.25pt;margin-top:69.05pt;width:95.25pt;height:58.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EXNQIAAGoEAAAOAAAAZHJzL2Uyb0RvYy54bWysVMGO2jAQvVfqP1i+l0AKS4kIqxVbqkrb&#10;ZaVtP8A4DrHqeNyxIdCv79gBym57qpqD5fGMn+e9mcn89tAatlfoNdiSjwZDzpSVUGm7Lfm3r6t3&#10;HzjzQdhKGLCq5Efl+e3i7Zt55wqVQwOmUsgIxPqicyVvQnBFlnnZqFb4AThlyVkDtiKQidusQtER&#10;emuyfDi8yTrAyiFI5T2d3vdOvkj4da1kWNe1V4GZklNuIa2Y1k1cs8VcFFsUrtHylIb4hyxaoS09&#10;eoG6F0GwHeo/oFotETzUYSChzaCutVSJA7EZDV+xeW6EU4kLiePdRSb//2Dl4/4Jma5KPptyZkVL&#10;NVrvhWFkkjad8wWFPLsnjOy8ewD53TMLy0bYrbpDhK5RoqKMRjE+e3EhGp6usk33BSpCFrsASaZD&#10;jW0EJAHYIVXjeKmGOgQm6XCUD2c30wlnknzTcT6bpHJlojjfdujDJwUti5uSK2O081EwUYj9gw8x&#10;IVGcoxIBMLpaaWOSgdvN0iAjuiVfpS9xIJ7XYcayjuSZ5JOE/MLnryGG6fsbBMLOVqnVolgfT/sg&#10;tOn3lKWxJ/WiYL3w4bA5pNLk78+12EB1JD0R+kamwQtrWmoDlKIk+pw1gD9fn8U46hnycNZRs5fc&#10;/9gJVJyZz5ZqNxuNx3E6kjGeTHMy8NqzufYIKwmq5IGzfrsM/UTtHOptQy+NklIW7qjetU51iL3Q&#10;Z3/iSQ2dynMavjgx13aK+v2LWPwCAAD//wMAUEsDBBQABgAIAAAAIQDZh4y13wAAAAsBAAAPAAAA&#10;ZHJzL2Rvd25yZXYueG1sTI9BT4QwEIXvJv6HZky8uQVqCUHKZuPGRA8eZPXepbNAlraEdln8944n&#10;PU7elzffq7arHdmCcxi8U5BuEmDoWm8G1yn4PLw8FMBC1M7o0TtU8I0BtvXtTaVL46/uA5cmdoxK&#10;XCi1gj7GqeQ8tD1aHTZ+QkfZyc9WRzrnjptZX6ncjjxLkpxbPTj60OsJn3tsz83FKth3uyZfuIhS&#10;nPavUZ6/3t9EqtT93bp7AhZxjX8w/OqTOtTkdPQXZwIbFeSPmSSUAlGkwIgohKB1RwWZlCnwuuL/&#10;N9Q/AAAA//8DAFBLAQItABQABgAIAAAAIQC2gziS/gAAAOEBAAATAAAAAAAAAAAAAAAAAAAAAABb&#10;Q29udGVudF9UeXBlc10ueG1sUEsBAi0AFAAGAAgAAAAhADj9If/WAAAAlAEAAAsAAAAAAAAAAAAA&#10;AAAALwEAAF9yZWxzLy5yZWxzUEsBAi0AFAAGAAgAAAAhAOT5URc1AgAAagQAAA4AAAAAAAAAAAAA&#10;AAAALgIAAGRycy9lMm9Eb2MueG1sUEsBAi0AFAAGAAgAAAAhANmHjLXfAAAACwEAAA8AAAAAAAAA&#10;AAAAAAAAjwQAAGRycy9kb3ducmV2LnhtbFBLBQYAAAAABAAEAPMAAACbBQAAAAA=&#10;">
                      <v:textbox>
                        <w:txbxContent>
                          <w:p w14:paraId="422FD6F5" w14:textId="77777777" w:rsidR="003B6DB3" w:rsidRDefault="003B6DB3" w:rsidP="00254933">
                            <w:pPr>
                              <w:spacing w:after="120" w:line="360" w:lineRule="auto"/>
                              <w:jc w:val="center"/>
                              <w:rPr>
                                <w:rFonts w:ascii="Book Antiqua" w:eastAsia="Times New Roman" w:hAnsi="Book Antiqua" w:cs="Times New Roman"/>
                                <w:b/>
                                <w:bCs/>
                                <w:sz w:val="20"/>
                                <w:szCs w:val="20"/>
                                <w:lang w:val="fr-FR"/>
                              </w:rPr>
                            </w:pPr>
                            <w:r>
                              <w:rPr>
                                <w:rFonts w:ascii="Book Antiqua" w:eastAsia="Times New Roman" w:hAnsi="Book Antiqua" w:cs="Times New Roman"/>
                                <w:b/>
                                <w:bCs/>
                                <w:sz w:val="20"/>
                                <w:szCs w:val="20"/>
                                <w:lang w:val="fr-FR"/>
                              </w:rPr>
                              <w:t>Geri Bildirim</w:t>
                            </w:r>
                          </w:p>
                        </w:txbxContent>
                      </v:textbox>
                    </v:oval>
                  </w:pict>
                </mc:Fallback>
              </mc:AlternateContent>
            </w:r>
          </w:p>
        </w:tc>
      </w:tr>
    </w:tbl>
    <w:p w14:paraId="0EAAF093" w14:textId="77777777" w:rsidR="00254933" w:rsidRPr="00164238" w:rsidRDefault="00254933" w:rsidP="00254933">
      <w:pPr>
        <w:spacing w:after="120" w:line="360" w:lineRule="auto"/>
        <w:ind w:firstLine="360"/>
        <w:jc w:val="both"/>
        <w:rPr>
          <w:rFonts w:ascii="Times New Roman" w:eastAsia="Times New Roman" w:hAnsi="Times New Roman" w:cs="Times New Roman"/>
          <w:color w:val="000000" w:themeColor="text1"/>
          <w:sz w:val="20"/>
          <w:szCs w:val="20"/>
          <w:lang w:val="fr-FR"/>
        </w:rPr>
      </w:pPr>
      <w:r w:rsidRPr="00164238">
        <w:rPr>
          <w:rFonts w:ascii="Times New Roman" w:eastAsia="Times New Roman" w:hAnsi="Times New Roman" w:cs="Times New Roman"/>
          <w:b/>
          <w:bCs/>
          <w:color w:val="000000" w:themeColor="text1"/>
          <w:sz w:val="20"/>
          <w:szCs w:val="20"/>
          <w:lang w:val="fr-FR"/>
        </w:rPr>
        <w:t>Şekil 2.</w:t>
      </w:r>
      <w:r w:rsidRPr="00164238">
        <w:rPr>
          <w:rFonts w:ascii="Times New Roman" w:eastAsia="Times New Roman" w:hAnsi="Times New Roman" w:cs="Times New Roman"/>
          <w:color w:val="000000" w:themeColor="text1"/>
          <w:sz w:val="20"/>
          <w:szCs w:val="20"/>
          <w:lang w:val="fr-FR"/>
        </w:rPr>
        <w:t xml:space="preserve"> Teorik çerçeve</w:t>
      </w:r>
    </w:p>
    <w:p w14:paraId="4EDBF777" w14:textId="77777777" w:rsidR="00254933" w:rsidRPr="00164238" w:rsidRDefault="00254933" w:rsidP="00254933">
      <w:pPr>
        <w:spacing w:before="120" w:after="120"/>
        <w:ind w:firstLine="567"/>
        <w:jc w:val="both"/>
        <w:rPr>
          <w:rFonts w:ascii="Times New Roman" w:eastAsia="Times New Roman" w:hAnsi="Times New Roman" w:cs="Times New Roman"/>
          <w:b/>
          <w:bCs/>
          <w:color w:val="000000" w:themeColor="text1"/>
          <w:sz w:val="20"/>
          <w:szCs w:val="20"/>
        </w:rPr>
      </w:pPr>
      <w:r w:rsidRPr="00164238">
        <w:rPr>
          <w:rFonts w:ascii="Times New Roman" w:eastAsia="Times New Roman" w:hAnsi="Times New Roman" w:cs="Times New Roman"/>
          <w:b/>
          <w:bCs/>
          <w:color w:val="000000" w:themeColor="text1"/>
          <w:sz w:val="20"/>
          <w:szCs w:val="20"/>
        </w:rPr>
        <w:t>METODOLOJİ</w:t>
      </w:r>
    </w:p>
    <w:p w14:paraId="67B175AE" w14:textId="77777777" w:rsidR="00254933" w:rsidRPr="00164238" w:rsidRDefault="00254933" w:rsidP="00254933">
      <w:pPr>
        <w:spacing w:before="120" w:after="120"/>
        <w:ind w:firstLine="567"/>
        <w:jc w:val="both"/>
        <w:rPr>
          <w:rFonts w:ascii="Times New Roman" w:eastAsia="Times New Roman" w:hAnsi="Times New Roman" w:cs="Times New Roman"/>
          <w:color w:val="000000" w:themeColor="text1"/>
          <w:sz w:val="20"/>
          <w:szCs w:val="20"/>
          <w:lang w:val="fr-FR"/>
        </w:rPr>
      </w:pPr>
      <w:r w:rsidRPr="00164238">
        <w:rPr>
          <w:rFonts w:ascii="Times New Roman" w:eastAsia="Times New Roman" w:hAnsi="Times New Roman" w:cs="Times New Roman"/>
          <w:color w:val="000000" w:themeColor="text1"/>
          <w:sz w:val="20"/>
          <w:szCs w:val="20"/>
          <w:lang w:val="fr-FR"/>
        </w:rPr>
        <w:t xml:space="preserve">Havayolu işletmeleri için pandemi dönemi özelinde değer yıkımı ve hizmet iyileştirme süreçlerine ilişkin değerlendirme yapmayı amaçlayan çalışmada çevrimiçi platformlarda yolcular tarafından oluşturulan içerikler incelenerek analiz edilmiştir. Pandemi sürecinde ilk kapanmanın yaşandığı 11 Mart 2020 tarihinden 11 Mart 2021 tarihine kadar geçen süreçte  ‘sikayetvar.com’ sitesinden  üzerinden havayolu yolcuları tarafından yayınlanan ve çözüme kavuşturulmuş şikayetler değerlendirmeye alınmıştır. Pazarlama stratejileri ve operasyonel özelliklerine göre değişiklik gösteren havayolu iş modellerinden geleneksel ve düşük maliyetli havayolu iş modeline sahip havayolları analize dahil edilmiştir. Geleneksel havayolu iş modelinde, havayolu taşımacılığındaki yolcu hedef kitlesinin tamamına hizmet vermek amacıyla küresel dağıtım sistemlerini kullanarak, farklı özellik ve büyüklükteki uçaklarla, karmaşık ağ yapılarına hizmet sunan havayolları faaliyet gösterirken, maliyetlerinde tasarruf sağlamak amacıyla geleneksel havayollarının benimsemiş olduğu bazı faaliyetlerden vazgeçip daha uygun fiyatlarla hizmet sunan havayollarının düşük maliyetli havayolu iş modelinde değerlendirilmektedir (Doganis, 2002 ; Connell ve Williams 2005). Geleneksel ve düşük maliyetli havayollarının ayrı olarak ele alındığı veri setinde toplam 10552 şikayet içerisinden bir yılda çözüme kavuşan toplam 530 şikayet incelemeye alınmış ve toplamda 176 şikayet analize dahil edilmiştir. Geleneksel havayolları (85 şikayet) ve düşük maliyetli havayolları (91 şikayet) ile ilgili şikayetlerin analize dahil edilme nedenleri ; çözüme kavuşmuş olmaları ve şikayet süreçlerinin pandemi döneminde olmasıdır (Tablo 1). Bu bağlamda analize dahil edilen şikayetler sikayetvar.com sitesinden çekilerek paket programlar aracılığıyla analiz edilmiştir.      </w:t>
      </w:r>
    </w:p>
    <w:p w14:paraId="1DFC922B" w14:textId="77777777" w:rsidR="00254933" w:rsidRPr="00164238" w:rsidRDefault="00254933" w:rsidP="00254933">
      <w:pPr>
        <w:keepNext/>
        <w:keepLines/>
        <w:spacing w:after="0" w:line="240" w:lineRule="auto"/>
        <w:ind w:left="360"/>
        <w:rPr>
          <w:rFonts w:ascii="Times New Roman" w:hAnsi="Times New Roman" w:cs="Times New Roman"/>
          <w:b/>
          <w:bCs/>
          <w:color w:val="000000" w:themeColor="text1"/>
        </w:rPr>
      </w:pPr>
      <w:r w:rsidRPr="00164238">
        <w:rPr>
          <w:rFonts w:ascii="Times New Roman" w:eastAsia="Times New Roman" w:hAnsi="Times New Roman" w:cs="Times New Roman"/>
          <w:b/>
          <w:bCs/>
          <w:color w:val="000000" w:themeColor="text1"/>
          <w:sz w:val="20"/>
          <w:szCs w:val="20"/>
          <w:lang w:val="fr-FR"/>
        </w:rPr>
        <w:t xml:space="preserve">  Tablo 1.</w:t>
      </w:r>
      <w:r w:rsidRPr="00164238">
        <w:rPr>
          <w:rFonts w:ascii="Times New Roman" w:hAnsi="Times New Roman" w:cs="Times New Roman"/>
          <w:b/>
          <w:bCs/>
          <w:color w:val="000000" w:themeColor="text1"/>
          <w:lang w:val="fr-FR"/>
        </w:rPr>
        <w:t xml:space="preserve"> </w:t>
      </w:r>
      <w:r w:rsidRPr="00164238">
        <w:rPr>
          <w:rFonts w:ascii="Times New Roman" w:eastAsia="Times New Roman" w:hAnsi="Times New Roman" w:cs="Times New Roman"/>
          <w:color w:val="000000" w:themeColor="text1"/>
          <w:sz w:val="20"/>
          <w:szCs w:val="20"/>
          <w:lang w:val="fr-FR"/>
        </w:rPr>
        <w:t>Geleneksel ve Düşük Maliyetli Havayoluna Yönelik Şikayet Sayıları</w:t>
      </w:r>
    </w:p>
    <w:tbl>
      <w:tblPr>
        <w:tblW w:w="4600" w:type="pct"/>
        <w:tblInd w:w="534" w:type="dxa"/>
        <w:tblLook w:val="0420" w:firstRow="1" w:lastRow="0" w:firstColumn="0" w:lastColumn="0" w:noHBand="0" w:noVBand="1"/>
      </w:tblPr>
      <w:tblGrid>
        <w:gridCol w:w="1743"/>
        <w:gridCol w:w="1550"/>
        <w:gridCol w:w="2260"/>
        <w:gridCol w:w="2262"/>
      </w:tblGrid>
      <w:tr w:rsidR="00164238" w:rsidRPr="00164238" w14:paraId="5985C5D5" w14:textId="77777777" w:rsidTr="00254933">
        <w:trPr>
          <w:trHeight w:val="255"/>
        </w:trPr>
        <w:tc>
          <w:tcPr>
            <w:tcW w:w="111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D803C0E" w14:textId="77777777" w:rsidR="00254933" w:rsidRPr="00164238" w:rsidRDefault="00254933">
            <w:pPr>
              <w:rPr>
                <w:rFonts w:ascii="Times New Roman" w:hAnsi="Times New Roman" w:cs="Times New Roman"/>
                <w:b/>
                <w:bCs/>
                <w:color w:val="000000" w:themeColor="text1"/>
              </w:rPr>
            </w:pPr>
          </w:p>
        </w:tc>
        <w:tc>
          <w:tcPr>
            <w:tcW w:w="99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B8CED62" w14:textId="77777777" w:rsidR="00254933" w:rsidRPr="00164238" w:rsidRDefault="00254933">
            <w:pPr>
              <w:keepNext/>
              <w:keepLines/>
              <w:tabs>
                <w:tab w:val="left" w:pos="426"/>
              </w:tabs>
              <w:spacing w:before="120" w:after="120"/>
              <w:jc w:val="center"/>
              <w:rPr>
                <w:rFonts w:ascii="Times New Roman" w:hAnsi="Times New Roman" w:cs="Times New Roman"/>
                <w:color w:val="000000" w:themeColor="text1"/>
                <w:sz w:val="20"/>
                <w:szCs w:val="20"/>
              </w:rPr>
            </w:pPr>
            <w:r w:rsidRPr="00164238">
              <w:rPr>
                <w:rFonts w:ascii="Times New Roman" w:eastAsia="Times New Roman" w:hAnsi="Times New Roman" w:cs="Times New Roman"/>
                <w:b/>
                <w:bCs/>
                <w:color w:val="000000" w:themeColor="text1"/>
                <w:sz w:val="20"/>
                <w:szCs w:val="20"/>
              </w:rPr>
              <w:t>Toplam Şikayet Sayısı</w:t>
            </w:r>
          </w:p>
        </w:tc>
        <w:tc>
          <w:tcPr>
            <w:tcW w:w="14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87B8BAA" w14:textId="77777777" w:rsidR="00254933" w:rsidRPr="00164238" w:rsidRDefault="00254933">
            <w:pPr>
              <w:keepNext/>
              <w:keepLines/>
              <w:tabs>
                <w:tab w:val="left" w:pos="426"/>
              </w:tabs>
              <w:spacing w:before="120" w:after="120"/>
              <w:jc w:val="center"/>
              <w:rPr>
                <w:rFonts w:ascii="Times New Roman" w:hAnsi="Times New Roman" w:cs="Times New Roman"/>
                <w:color w:val="000000" w:themeColor="text1"/>
                <w:sz w:val="20"/>
                <w:szCs w:val="20"/>
              </w:rPr>
            </w:pPr>
            <w:r w:rsidRPr="00164238">
              <w:rPr>
                <w:rFonts w:ascii="Times New Roman" w:eastAsia="Times New Roman" w:hAnsi="Times New Roman" w:cs="Times New Roman"/>
                <w:b/>
                <w:bCs/>
                <w:color w:val="000000" w:themeColor="text1"/>
                <w:sz w:val="20"/>
                <w:szCs w:val="20"/>
              </w:rPr>
              <w:t>1 Yılda Çözülen Şikayet Sayısı</w:t>
            </w:r>
          </w:p>
        </w:tc>
        <w:tc>
          <w:tcPr>
            <w:tcW w:w="144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6A9C20A" w14:textId="77777777" w:rsidR="00254933" w:rsidRPr="00164238" w:rsidRDefault="00254933">
            <w:pPr>
              <w:keepNext/>
              <w:keepLines/>
              <w:tabs>
                <w:tab w:val="left" w:pos="426"/>
              </w:tabs>
              <w:spacing w:before="120" w:after="120"/>
              <w:jc w:val="center"/>
              <w:rPr>
                <w:rFonts w:ascii="Times New Roman" w:hAnsi="Times New Roman" w:cs="Times New Roman"/>
                <w:color w:val="000000" w:themeColor="text1"/>
                <w:sz w:val="20"/>
                <w:szCs w:val="20"/>
              </w:rPr>
            </w:pPr>
            <w:r w:rsidRPr="00164238">
              <w:rPr>
                <w:rFonts w:ascii="Times New Roman" w:eastAsia="Times New Roman" w:hAnsi="Times New Roman" w:cs="Times New Roman"/>
                <w:b/>
                <w:bCs/>
                <w:color w:val="000000" w:themeColor="text1"/>
                <w:sz w:val="20"/>
                <w:szCs w:val="20"/>
              </w:rPr>
              <w:t>Analize dahil edilen şikayet sayısı</w:t>
            </w:r>
          </w:p>
        </w:tc>
      </w:tr>
      <w:tr w:rsidR="00164238" w:rsidRPr="00164238" w14:paraId="705E70F1" w14:textId="77777777" w:rsidTr="00254933">
        <w:trPr>
          <w:trHeight w:val="401"/>
        </w:trPr>
        <w:tc>
          <w:tcPr>
            <w:tcW w:w="111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C03722A" w14:textId="77777777" w:rsidR="00254933" w:rsidRPr="00164238" w:rsidRDefault="00254933">
            <w:pPr>
              <w:keepNext/>
              <w:keepLines/>
              <w:tabs>
                <w:tab w:val="left" w:pos="426"/>
              </w:tabs>
              <w:spacing w:before="120" w:after="120"/>
              <w:jc w:val="center"/>
              <w:rPr>
                <w:rFonts w:ascii="Times New Roman" w:hAnsi="Times New Roman" w:cs="Times New Roman"/>
                <w:color w:val="000000" w:themeColor="text1"/>
                <w:sz w:val="20"/>
                <w:szCs w:val="20"/>
              </w:rPr>
            </w:pPr>
            <w:r w:rsidRPr="00164238">
              <w:rPr>
                <w:rFonts w:ascii="Times New Roman" w:eastAsia="Times New Roman" w:hAnsi="Times New Roman" w:cs="Times New Roman"/>
                <w:b/>
                <w:bCs/>
                <w:color w:val="000000" w:themeColor="text1"/>
                <w:sz w:val="20"/>
                <w:szCs w:val="20"/>
              </w:rPr>
              <w:t>Geleneksel Havayolu</w:t>
            </w:r>
          </w:p>
        </w:tc>
        <w:tc>
          <w:tcPr>
            <w:tcW w:w="99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B3FA3C7" w14:textId="77777777" w:rsidR="00254933" w:rsidRPr="00164238" w:rsidRDefault="00254933">
            <w:pPr>
              <w:keepNext/>
              <w:keepLines/>
              <w:tabs>
                <w:tab w:val="left" w:pos="426"/>
              </w:tabs>
              <w:spacing w:before="120" w:after="120"/>
              <w:jc w:val="center"/>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4529</w:t>
            </w:r>
          </w:p>
        </w:tc>
        <w:tc>
          <w:tcPr>
            <w:tcW w:w="14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37AE023" w14:textId="77777777" w:rsidR="00254933" w:rsidRPr="00164238" w:rsidRDefault="00254933">
            <w:pPr>
              <w:keepNext/>
              <w:keepLines/>
              <w:tabs>
                <w:tab w:val="left" w:pos="426"/>
              </w:tabs>
              <w:spacing w:before="120" w:after="120"/>
              <w:jc w:val="center"/>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233</w:t>
            </w:r>
          </w:p>
        </w:tc>
        <w:tc>
          <w:tcPr>
            <w:tcW w:w="144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BF56632" w14:textId="77777777" w:rsidR="00254933" w:rsidRPr="00164238" w:rsidRDefault="00254933">
            <w:pPr>
              <w:keepNext/>
              <w:keepLines/>
              <w:tabs>
                <w:tab w:val="left" w:pos="426"/>
              </w:tabs>
              <w:spacing w:before="120" w:after="120"/>
              <w:jc w:val="center"/>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85</w:t>
            </w:r>
          </w:p>
        </w:tc>
      </w:tr>
      <w:tr w:rsidR="00254933" w:rsidRPr="00164238" w14:paraId="05EFB22A" w14:textId="77777777" w:rsidTr="00254933">
        <w:trPr>
          <w:trHeight w:val="414"/>
        </w:trPr>
        <w:tc>
          <w:tcPr>
            <w:tcW w:w="111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21FB327" w14:textId="77777777" w:rsidR="00254933" w:rsidRPr="00164238" w:rsidRDefault="00254933">
            <w:pPr>
              <w:keepNext/>
              <w:keepLines/>
              <w:tabs>
                <w:tab w:val="left" w:pos="426"/>
              </w:tabs>
              <w:spacing w:before="120" w:after="120"/>
              <w:jc w:val="center"/>
              <w:rPr>
                <w:rFonts w:ascii="Times New Roman" w:hAnsi="Times New Roman" w:cs="Times New Roman"/>
                <w:color w:val="000000" w:themeColor="text1"/>
                <w:sz w:val="20"/>
                <w:szCs w:val="20"/>
              </w:rPr>
            </w:pPr>
            <w:r w:rsidRPr="00164238">
              <w:rPr>
                <w:rFonts w:ascii="Times New Roman" w:eastAsia="Times New Roman" w:hAnsi="Times New Roman" w:cs="Times New Roman"/>
                <w:b/>
                <w:bCs/>
                <w:color w:val="000000" w:themeColor="text1"/>
                <w:sz w:val="20"/>
                <w:szCs w:val="20"/>
              </w:rPr>
              <w:t>Düşük Maliyetli Havayolu</w:t>
            </w:r>
          </w:p>
        </w:tc>
        <w:tc>
          <w:tcPr>
            <w:tcW w:w="99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528C4B2" w14:textId="77777777" w:rsidR="00254933" w:rsidRPr="00164238" w:rsidRDefault="00254933">
            <w:pPr>
              <w:keepNext/>
              <w:keepLines/>
              <w:tabs>
                <w:tab w:val="left" w:pos="426"/>
              </w:tabs>
              <w:spacing w:before="120" w:after="120"/>
              <w:jc w:val="center"/>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6023</w:t>
            </w:r>
          </w:p>
        </w:tc>
        <w:tc>
          <w:tcPr>
            <w:tcW w:w="14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80EBF4C" w14:textId="77777777" w:rsidR="00254933" w:rsidRPr="00164238" w:rsidRDefault="00254933">
            <w:pPr>
              <w:keepNext/>
              <w:keepLines/>
              <w:tabs>
                <w:tab w:val="left" w:pos="426"/>
              </w:tabs>
              <w:spacing w:before="120" w:after="120"/>
              <w:jc w:val="center"/>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297</w:t>
            </w:r>
          </w:p>
        </w:tc>
        <w:tc>
          <w:tcPr>
            <w:tcW w:w="144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8CDB041" w14:textId="77777777" w:rsidR="00254933" w:rsidRPr="00164238" w:rsidRDefault="00254933">
            <w:pPr>
              <w:keepNext/>
              <w:keepLines/>
              <w:tabs>
                <w:tab w:val="left" w:pos="426"/>
              </w:tabs>
              <w:spacing w:before="120" w:after="120"/>
              <w:jc w:val="center"/>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91</w:t>
            </w:r>
          </w:p>
        </w:tc>
      </w:tr>
    </w:tbl>
    <w:p w14:paraId="5792B52C" w14:textId="77777777" w:rsidR="00254933" w:rsidRPr="00164238" w:rsidRDefault="00254933" w:rsidP="00254933">
      <w:pPr>
        <w:spacing w:after="120" w:line="240" w:lineRule="auto"/>
        <w:jc w:val="both"/>
        <w:rPr>
          <w:rFonts w:ascii="Times New Roman" w:eastAsia="Times New Roman" w:hAnsi="Times New Roman" w:cs="Times New Roman"/>
          <w:b/>
          <w:bCs/>
          <w:color w:val="000000" w:themeColor="text1"/>
          <w:sz w:val="20"/>
          <w:szCs w:val="20"/>
        </w:rPr>
      </w:pPr>
    </w:p>
    <w:p w14:paraId="3DE3DD4E" w14:textId="77777777" w:rsidR="00254933" w:rsidRPr="00164238" w:rsidRDefault="00254933" w:rsidP="00254933">
      <w:pPr>
        <w:spacing w:after="120" w:line="240" w:lineRule="auto"/>
        <w:jc w:val="both"/>
        <w:rPr>
          <w:rFonts w:ascii="Times New Roman" w:eastAsia="Times New Roman" w:hAnsi="Times New Roman" w:cs="Times New Roman"/>
          <w:b/>
          <w:bCs/>
          <w:color w:val="000000" w:themeColor="text1"/>
          <w:sz w:val="20"/>
          <w:szCs w:val="20"/>
        </w:rPr>
      </w:pPr>
    </w:p>
    <w:p w14:paraId="49A59863" w14:textId="77777777" w:rsidR="00254933" w:rsidRPr="00164238" w:rsidRDefault="00254933" w:rsidP="00254933">
      <w:pPr>
        <w:spacing w:after="120" w:line="240" w:lineRule="auto"/>
        <w:jc w:val="both"/>
        <w:rPr>
          <w:rFonts w:ascii="Times New Roman" w:eastAsia="Times New Roman" w:hAnsi="Times New Roman" w:cs="Times New Roman"/>
          <w:b/>
          <w:bCs/>
          <w:color w:val="000000" w:themeColor="text1"/>
          <w:sz w:val="20"/>
          <w:szCs w:val="20"/>
        </w:rPr>
      </w:pPr>
    </w:p>
    <w:p w14:paraId="323D3080" w14:textId="69ADBFD7" w:rsidR="00254933" w:rsidRPr="00164238" w:rsidRDefault="00254933" w:rsidP="00254933">
      <w:pPr>
        <w:spacing w:after="120" w:line="240" w:lineRule="auto"/>
        <w:jc w:val="both"/>
        <w:rPr>
          <w:rFonts w:ascii="Times New Roman" w:eastAsia="Times New Roman" w:hAnsi="Times New Roman" w:cs="Times New Roman"/>
          <w:b/>
          <w:bCs/>
          <w:color w:val="000000" w:themeColor="text1"/>
          <w:sz w:val="20"/>
          <w:szCs w:val="20"/>
        </w:rPr>
      </w:pPr>
      <w:r w:rsidRPr="00164238">
        <w:rPr>
          <w:rFonts w:ascii="Times New Roman" w:eastAsia="Times New Roman" w:hAnsi="Times New Roman" w:cs="Times New Roman"/>
          <w:b/>
          <w:bCs/>
          <w:color w:val="000000" w:themeColor="text1"/>
          <w:sz w:val="20"/>
          <w:szCs w:val="20"/>
        </w:rPr>
        <w:t>ANALİZ VE BULGULAR</w:t>
      </w:r>
    </w:p>
    <w:p w14:paraId="707A7E55" w14:textId="77777777" w:rsidR="00254933" w:rsidRPr="00164238" w:rsidRDefault="00254933" w:rsidP="00254933">
      <w:pPr>
        <w:spacing w:before="120" w:after="120"/>
        <w:ind w:firstLine="567"/>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xml:space="preserve">Analize dahil edilen şikayetler genel olarak değerlendirildiğinde; geleneksel ve düşük maliyetli havayolu işletmelerinde karşılaşılan şikayetlerin ortak kategorilere ayrıldığı görülmektedir. Her iki iş modelinde de; </w:t>
      </w:r>
      <w:r w:rsidRPr="00164238">
        <w:rPr>
          <w:rFonts w:ascii="Times New Roman" w:eastAsia="Times New Roman" w:hAnsi="Times New Roman" w:cs="Times New Roman"/>
          <w:b/>
          <w:bCs/>
          <w:i/>
          <w:iCs/>
          <w:color w:val="000000" w:themeColor="text1"/>
          <w:sz w:val="20"/>
          <w:szCs w:val="20"/>
        </w:rPr>
        <w:t>bilet değişikliği</w:t>
      </w:r>
      <w:r w:rsidRPr="00164238">
        <w:rPr>
          <w:rFonts w:ascii="Times New Roman" w:eastAsia="Times New Roman" w:hAnsi="Times New Roman" w:cs="Times New Roman"/>
          <w:color w:val="000000" w:themeColor="text1"/>
          <w:sz w:val="20"/>
          <w:szCs w:val="20"/>
        </w:rPr>
        <w:t xml:space="preserve">, </w:t>
      </w:r>
      <w:r w:rsidRPr="00164238">
        <w:rPr>
          <w:rFonts w:ascii="Times New Roman" w:eastAsia="Times New Roman" w:hAnsi="Times New Roman" w:cs="Times New Roman"/>
          <w:b/>
          <w:bCs/>
          <w:i/>
          <w:iCs/>
          <w:color w:val="000000" w:themeColor="text1"/>
          <w:sz w:val="20"/>
          <w:szCs w:val="20"/>
        </w:rPr>
        <w:t>bilet iadesi</w:t>
      </w:r>
      <w:r w:rsidRPr="00164238">
        <w:rPr>
          <w:rFonts w:ascii="Times New Roman" w:eastAsia="Times New Roman" w:hAnsi="Times New Roman" w:cs="Times New Roman"/>
          <w:color w:val="000000" w:themeColor="text1"/>
          <w:sz w:val="20"/>
          <w:szCs w:val="20"/>
        </w:rPr>
        <w:t xml:space="preserve">, </w:t>
      </w:r>
      <w:r w:rsidRPr="00164238">
        <w:rPr>
          <w:rFonts w:ascii="Times New Roman" w:eastAsia="Times New Roman" w:hAnsi="Times New Roman" w:cs="Times New Roman"/>
          <w:b/>
          <w:bCs/>
          <w:i/>
          <w:iCs/>
          <w:color w:val="000000" w:themeColor="text1"/>
          <w:sz w:val="20"/>
          <w:szCs w:val="20"/>
        </w:rPr>
        <w:t>müşteri hizmetleri</w:t>
      </w:r>
      <w:r w:rsidRPr="00164238">
        <w:rPr>
          <w:rFonts w:ascii="Times New Roman" w:eastAsia="Times New Roman" w:hAnsi="Times New Roman" w:cs="Times New Roman"/>
          <w:color w:val="000000" w:themeColor="text1"/>
          <w:sz w:val="20"/>
          <w:szCs w:val="20"/>
        </w:rPr>
        <w:t xml:space="preserve">, </w:t>
      </w:r>
      <w:r w:rsidRPr="00164238">
        <w:rPr>
          <w:rFonts w:ascii="Times New Roman" w:eastAsia="Times New Roman" w:hAnsi="Times New Roman" w:cs="Times New Roman"/>
          <w:b/>
          <w:bCs/>
          <w:i/>
          <w:iCs/>
          <w:color w:val="000000" w:themeColor="text1"/>
          <w:sz w:val="20"/>
          <w:szCs w:val="20"/>
        </w:rPr>
        <w:t>bagaj</w:t>
      </w:r>
      <w:r w:rsidRPr="00164238">
        <w:rPr>
          <w:rFonts w:ascii="Times New Roman" w:eastAsia="Times New Roman" w:hAnsi="Times New Roman" w:cs="Times New Roman"/>
          <w:color w:val="000000" w:themeColor="text1"/>
          <w:sz w:val="20"/>
          <w:szCs w:val="20"/>
        </w:rPr>
        <w:t xml:space="preserve"> ve </w:t>
      </w:r>
      <w:r w:rsidRPr="00164238">
        <w:rPr>
          <w:rFonts w:ascii="Times New Roman" w:eastAsia="Times New Roman" w:hAnsi="Times New Roman" w:cs="Times New Roman"/>
          <w:b/>
          <w:bCs/>
          <w:i/>
          <w:iCs/>
          <w:color w:val="000000" w:themeColor="text1"/>
          <w:sz w:val="20"/>
          <w:szCs w:val="20"/>
        </w:rPr>
        <w:t>mil</w:t>
      </w:r>
      <w:r w:rsidRPr="00164238">
        <w:rPr>
          <w:rFonts w:ascii="Times New Roman" w:eastAsia="Times New Roman" w:hAnsi="Times New Roman" w:cs="Times New Roman"/>
          <w:color w:val="000000" w:themeColor="text1"/>
          <w:sz w:val="20"/>
          <w:szCs w:val="20"/>
        </w:rPr>
        <w:t xml:space="preserve"> başlıkları altında şikayetlerin yoğunlaştığı gözlemlenmiştir. </w:t>
      </w:r>
    </w:p>
    <w:p w14:paraId="264D68EF" w14:textId="5AE9BF2C" w:rsidR="00254933" w:rsidRPr="00164238" w:rsidRDefault="00254933" w:rsidP="00254933">
      <w:pPr>
        <w:spacing w:after="120" w:line="240" w:lineRule="auto"/>
        <w:ind w:left="360"/>
        <w:jc w:val="center"/>
        <w:rPr>
          <w:rFonts w:ascii="Times New Roman" w:hAnsi="Times New Roman" w:cs="Times New Roman"/>
          <w:b/>
          <w:bCs/>
          <w:color w:val="000000" w:themeColor="text1"/>
          <w:sz w:val="24"/>
          <w:szCs w:val="24"/>
        </w:rPr>
      </w:pPr>
      <w:r w:rsidRPr="00164238">
        <w:rPr>
          <w:rFonts w:ascii="Times New Roman" w:hAnsi="Times New Roman" w:cs="Times New Roman"/>
          <w:b/>
          <w:noProof/>
          <w:color w:val="000000" w:themeColor="text1"/>
          <w:sz w:val="24"/>
          <w:szCs w:val="24"/>
          <w:lang w:val="en-US"/>
        </w:rPr>
        <w:drawing>
          <wp:inline distT="0" distB="0" distL="0" distR="0" wp14:anchorId="6A506687" wp14:editId="7E173218">
            <wp:extent cx="4114800" cy="2714625"/>
            <wp:effectExtent l="0" t="0" r="0" b="9525"/>
            <wp:docPr id="96" name="Grafik 96">
              <a:extLst xmlns:a="http://schemas.openxmlformats.org/drawingml/2006/main">
                <a:ext uri="{FF2B5EF4-FFF2-40B4-BE49-F238E27FC236}">
                  <a16:creationId xmlns:a16="http://schemas.microsoft.com/office/drawing/2014/main" id="{A8559BA8-E1CA-47B1-9C05-1063EE6330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0"/>
              </a:graphicData>
            </a:graphic>
          </wp:inline>
        </w:drawing>
      </w:r>
    </w:p>
    <w:p w14:paraId="02BF5B97" w14:textId="77777777" w:rsidR="00254933" w:rsidRPr="00164238" w:rsidRDefault="00254933" w:rsidP="00254933">
      <w:pPr>
        <w:spacing w:after="120" w:line="240" w:lineRule="auto"/>
        <w:ind w:left="708" w:firstLine="708"/>
        <w:jc w:val="both"/>
        <w:rPr>
          <w:rFonts w:ascii="Times New Roman" w:eastAsia="Times New Roman" w:hAnsi="Times New Roman" w:cs="Times New Roman"/>
          <w:color w:val="000000" w:themeColor="text1"/>
          <w:sz w:val="20"/>
          <w:szCs w:val="20"/>
          <w:lang w:val="fr-FR"/>
        </w:rPr>
      </w:pPr>
      <w:r w:rsidRPr="00164238">
        <w:rPr>
          <w:rFonts w:ascii="Times New Roman" w:eastAsia="Times New Roman" w:hAnsi="Times New Roman" w:cs="Times New Roman"/>
          <w:b/>
          <w:bCs/>
          <w:color w:val="000000" w:themeColor="text1"/>
          <w:sz w:val="20"/>
          <w:szCs w:val="20"/>
          <w:lang w:val="fr-FR"/>
        </w:rPr>
        <w:t>Şekil 3.</w:t>
      </w:r>
      <w:r w:rsidRPr="00164238">
        <w:rPr>
          <w:rFonts w:ascii="Times New Roman" w:eastAsia="Times New Roman" w:hAnsi="Times New Roman" w:cs="Times New Roman"/>
          <w:color w:val="000000" w:themeColor="text1"/>
          <w:sz w:val="20"/>
          <w:szCs w:val="20"/>
          <w:lang w:val="fr-FR"/>
        </w:rPr>
        <w:t xml:space="preserve"> Geleneksel havayoluna ilişkin şikayet dağılımları</w:t>
      </w:r>
    </w:p>
    <w:p w14:paraId="02295D44" w14:textId="77777777" w:rsidR="00254933" w:rsidRPr="00164238" w:rsidRDefault="00254933" w:rsidP="00254933">
      <w:pPr>
        <w:spacing w:after="120" w:line="360" w:lineRule="auto"/>
        <w:ind w:left="360"/>
        <w:jc w:val="center"/>
        <w:rPr>
          <w:rFonts w:ascii="Times New Roman" w:hAnsi="Times New Roman" w:cs="Times New Roman"/>
          <w:b/>
          <w:bCs/>
          <w:color w:val="000000" w:themeColor="text1"/>
          <w:sz w:val="24"/>
          <w:szCs w:val="24"/>
        </w:rPr>
      </w:pPr>
    </w:p>
    <w:p w14:paraId="07EBB008" w14:textId="77777777" w:rsidR="00254933" w:rsidRPr="00164238" w:rsidRDefault="00254933" w:rsidP="00254933">
      <w:pPr>
        <w:spacing w:before="120" w:after="120"/>
        <w:ind w:firstLine="567"/>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xml:space="preserve">Geleneksel havayollarına ilişkin analize dahil edilen çözüme kavuşan şikayetlerin %31’i bilet değişikliği, %28’i bilet iadesi ve %27’sinin müşteri hizmetleri ile ilişkili olduğu ortaya çıkmıştır. Çözüme kavuşan toplam %9’luk kısmın bagaj ve %5’lik kısmın ise millerle ilgili problemlerle ilgili olduğu görülmektedir (Şekil 3). </w:t>
      </w:r>
    </w:p>
    <w:p w14:paraId="77CCE177" w14:textId="64372C6E" w:rsidR="00254933" w:rsidRPr="00164238" w:rsidRDefault="00254933" w:rsidP="00254933">
      <w:pPr>
        <w:spacing w:after="120" w:line="240" w:lineRule="auto"/>
        <w:ind w:left="360"/>
        <w:jc w:val="both"/>
        <w:rPr>
          <w:rFonts w:ascii="Times New Roman" w:hAnsi="Times New Roman" w:cs="Times New Roman"/>
          <w:b/>
          <w:bCs/>
          <w:color w:val="000000" w:themeColor="text1"/>
          <w:sz w:val="24"/>
          <w:szCs w:val="24"/>
        </w:rPr>
      </w:pPr>
      <w:r w:rsidRPr="00164238">
        <w:rPr>
          <w:rFonts w:ascii="Times New Roman" w:hAnsi="Times New Roman" w:cs="Times New Roman"/>
          <w:b/>
          <w:noProof/>
          <w:color w:val="000000" w:themeColor="text1"/>
          <w:sz w:val="24"/>
          <w:szCs w:val="24"/>
          <w:lang w:val="en-US"/>
        </w:rPr>
        <w:drawing>
          <wp:inline distT="0" distB="0" distL="0" distR="0" wp14:anchorId="297A2EDF" wp14:editId="7F93CD47">
            <wp:extent cx="5295900" cy="2705100"/>
            <wp:effectExtent l="0" t="0" r="0" b="0"/>
            <wp:docPr id="95" name="Grafik 95">
              <a:extLst xmlns:a="http://schemas.openxmlformats.org/drawingml/2006/main">
                <a:ext uri="{FF2B5EF4-FFF2-40B4-BE49-F238E27FC236}">
                  <a16:creationId xmlns:a16="http://schemas.microsoft.com/office/drawing/2014/main" id="{28771ABB-3EEF-497C-83C2-C0846D4D36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1"/>
              </a:graphicData>
            </a:graphic>
          </wp:inline>
        </w:drawing>
      </w:r>
    </w:p>
    <w:p w14:paraId="09F27E26" w14:textId="77777777" w:rsidR="00254933" w:rsidRPr="00164238" w:rsidRDefault="00254933" w:rsidP="00254933">
      <w:pPr>
        <w:spacing w:after="120" w:line="240" w:lineRule="auto"/>
        <w:ind w:left="708" w:firstLine="708"/>
        <w:jc w:val="both"/>
        <w:rPr>
          <w:rFonts w:ascii="Times New Roman" w:eastAsia="Times New Roman" w:hAnsi="Times New Roman" w:cs="Times New Roman"/>
          <w:color w:val="000000" w:themeColor="text1"/>
          <w:sz w:val="20"/>
          <w:szCs w:val="20"/>
          <w:lang w:val="fr-FR"/>
        </w:rPr>
      </w:pPr>
      <w:r w:rsidRPr="00164238">
        <w:rPr>
          <w:rFonts w:ascii="Times New Roman" w:eastAsia="Times New Roman" w:hAnsi="Times New Roman" w:cs="Times New Roman"/>
          <w:b/>
          <w:bCs/>
          <w:color w:val="000000" w:themeColor="text1"/>
          <w:sz w:val="20"/>
          <w:szCs w:val="20"/>
          <w:lang w:val="fr-FR"/>
        </w:rPr>
        <w:t>Şekil 4.</w:t>
      </w:r>
      <w:r w:rsidRPr="00164238">
        <w:rPr>
          <w:rFonts w:ascii="Times New Roman" w:eastAsia="Times New Roman" w:hAnsi="Times New Roman" w:cs="Times New Roman"/>
          <w:color w:val="000000" w:themeColor="text1"/>
          <w:sz w:val="20"/>
          <w:szCs w:val="20"/>
          <w:lang w:val="fr-FR"/>
        </w:rPr>
        <w:t xml:space="preserve"> Düşük maliyetli havayoluna ilişkin şikayet dağılımları</w:t>
      </w:r>
    </w:p>
    <w:p w14:paraId="36DE3911" w14:textId="77777777" w:rsidR="00254933" w:rsidRPr="00164238" w:rsidRDefault="00254933" w:rsidP="00254933">
      <w:pPr>
        <w:spacing w:after="120" w:line="360" w:lineRule="auto"/>
        <w:ind w:left="360"/>
        <w:jc w:val="both"/>
        <w:rPr>
          <w:rFonts w:ascii="Times New Roman" w:hAnsi="Times New Roman" w:cs="Times New Roman"/>
          <w:b/>
          <w:bCs/>
          <w:color w:val="000000" w:themeColor="text1"/>
          <w:sz w:val="24"/>
          <w:szCs w:val="24"/>
        </w:rPr>
      </w:pPr>
    </w:p>
    <w:p w14:paraId="06402309" w14:textId="77777777" w:rsidR="00254933" w:rsidRPr="00164238" w:rsidRDefault="00254933" w:rsidP="00254933">
      <w:pPr>
        <w:spacing w:before="120" w:after="120"/>
        <w:ind w:firstLine="567"/>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Düşük maliyetli havayolları açısından da çözüme kavuşan şikayetlerin aynı başlıklar altında olduğu görülürken sıralamada bilet iadesinin %61 gibi yüksek bir oranda olduğu ortaya çıkmıştır. Bilet iadesi şikayet çözümlerini sırasıyla; müşteri hizmetleri (%20), bilet değişikliği (%11), bagaj (%7) ve mil (%1) sorunları ile ilgili çözümlerin izlediği görülmektedir (Şekil 4).</w:t>
      </w:r>
    </w:p>
    <w:p w14:paraId="658CCC49" w14:textId="2EB8E65D" w:rsidR="00254933" w:rsidRPr="00164238" w:rsidRDefault="00254933" w:rsidP="00254933">
      <w:pPr>
        <w:spacing w:after="120" w:line="240" w:lineRule="auto"/>
        <w:ind w:left="360"/>
        <w:jc w:val="center"/>
        <w:rPr>
          <w:rFonts w:ascii="Times New Roman" w:hAnsi="Times New Roman" w:cs="Times New Roman"/>
          <w:b/>
          <w:bCs/>
          <w:color w:val="000000" w:themeColor="text1"/>
          <w:sz w:val="24"/>
          <w:szCs w:val="24"/>
        </w:rPr>
      </w:pPr>
      <w:r w:rsidRPr="00164238">
        <w:rPr>
          <w:rFonts w:ascii="Times New Roman" w:hAnsi="Times New Roman" w:cs="Times New Roman"/>
          <w:noProof/>
          <w:color w:val="000000" w:themeColor="text1"/>
          <w:lang w:val="en-US"/>
        </w:rPr>
        <w:drawing>
          <wp:inline distT="0" distB="0" distL="0" distR="0" wp14:anchorId="4F64F515" wp14:editId="1B6FE535">
            <wp:extent cx="4581525" cy="2752725"/>
            <wp:effectExtent l="0" t="0" r="9525" b="9525"/>
            <wp:docPr id="94" name="Grafik 94">
              <a:extLst xmlns:a="http://schemas.openxmlformats.org/drawingml/2006/main">
                <a:ext uri="{FF2B5EF4-FFF2-40B4-BE49-F238E27FC236}">
                  <a16:creationId xmlns:a16="http://schemas.microsoft.com/office/drawing/2014/main" id="{94BC0366-FE3B-416A-8C58-43EBC01ACD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inline>
        </w:drawing>
      </w:r>
    </w:p>
    <w:p w14:paraId="6585F950" w14:textId="77777777" w:rsidR="00254933" w:rsidRPr="00164238" w:rsidRDefault="00254933" w:rsidP="00254933">
      <w:pPr>
        <w:spacing w:after="120" w:line="240" w:lineRule="auto"/>
        <w:ind w:left="708" w:firstLine="708"/>
        <w:jc w:val="both"/>
        <w:rPr>
          <w:rFonts w:ascii="Times New Roman" w:eastAsia="Times New Roman" w:hAnsi="Times New Roman" w:cs="Times New Roman"/>
          <w:color w:val="000000" w:themeColor="text1"/>
          <w:sz w:val="20"/>
          <w:szCs w:val="20"/>
          <w:lang w:val="fr-FR"/>
        </w:rPr>
      </w:pPr>
      <w:r w:rsidRPr="00164238">
        <w:rPr>
          <w:rFonts w:ascii="Times New Roman" w:eastAsia="Times New Roman" w:hAnsi="Times New Roman" w:cs="Times New Roman"/>
          <w:b/>
          <w:bCs/>
          <w:color w:val="000000" w:themeColor="text1"/>
          <w:sz w:val="20"/>
          <w:szCs w:val="20"/>
          <w:lang w:val="fr-FR"/>
        </w:rPr>
        <w:t>Şekil 5.</w:t>
      </w:r>
      <w:r w:rsidRPr="00164238">
        <w:rPr>
          <w:rFonts w:ascii="Times New Roman" w:eastAsia="Times New Roman" w:hAnsi="Times New Roman" w:cs="Times New Roman"/>
          <w:color w:val="000000" w:themeColor="text1"/>
          <w:sz w:val="20"/>
          <w:szCs w:val="20"/>
          <w:lang w:val="fr-FR"/>
        </w:rPr>
        <w:t xml:space="preserve"> Geleneksel ve Düşük maliyetli havayoluna ilişkin şikayetlerin kıyaslanması</w:t>
      </w:r>
    </w:p>
    <w:p w14:paraId="5FBA685F" w14:textId="77777777" w:rsidR="00254933" w:rsidRPr="00164238" w:rsidRDefault="00254933" w:rsidP="00254933">
      <w:pPr>
        <w:spacing w:before="120" w:after="120"/>
        <w:ind w:firstLine="567"/>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xml:space="preserve">Geleneksel ve düşük maliyetli havayollarına ilişkin pandemi sürecinde çözüme kavuşan şikayetlerin sayısal kıyaslamaları Şekil 5’de verilmiştir. Pandemi sürecinin başından itibaren alınan ve belirli aralıklarla devam eden kapanma kararları sonucunda oluşan belirsizliklerin önemli bir yansımasını gösteren sonuçlar her iki işletme modelinde de bilet iade ve/veya değişikliğine ilişkin şikayetlerin yoğun olduğunu ortaya koymaktadır. Düşük maliyetli havayollarında biletleme ile ilgili çözüme ulaşan şikayet sayısının geleneksel havayollarına göre daha fazla olduğu bulgular arasında göze çarpan bir diğer önemli noktadır. Bu bulguların havayollarında iş modelleri arasındaki temel farklılıkla açıklanması mümkündür. Düşük maliyetli havayollarını tercih eden yolcuların fiyat hassasiyetlerinin yüksek olması ve ekonomik gelir seviyelerinin geleneksel havayolu yolcularına göre düşük olması bu sonuçların ortaya çıkmasına neden olduğu ifade edilebilir.  </w:t>
      </w:r>
    </w:p>
    <w:p w14:paraId="0D42FD73" w14:textId="77777777" w:rsidR="00254933" w:rsidRPr="00164238" w:rsidRDefault="00254933" w:rsidP="00254933">
      <w:pPr>
        <w:spacing w:before="120" w:after="120"/>
        <w:ind w:firstLine="567"/>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xml:space="preserve">Çevrimiçi platformda yer alan şikayetlerin çözüm süreçlerine katılan işletme yetkilileri, platform yetkilileri ve yolcular arasındaki etkileşimler sonucu yolcular tarafından çözüm sonrası verilen tepkilere ilişkin duygu kutupları oluşturulmuştur. Duygu kutupları oluşturulurken hizmet iyileştirmesi ile ilişkili olarak yolcular tarafından yapılan değerlendirmelere (yorumlara) ilişkin örnekler Tablo 2 ve 3’de verilmiştir. </w:t>
      </w:r>
    </w:p>
    <w:p w14:paraId="5E01DEB2" w14:textId="77777777" w:rsidR="00254933" w:rsidRPr="00164238" w:rsidRDefault="00254933" w:rsidP="00254933">
      <w:pPr>
        <w:keepNext/>
        <w:keepLines/>
        <w:spacing w:after="0" w:line="240" w:lineRule="auto"/>
        <w:ind w:left="360"/>
        <w:rPr>
          <w:rFonts w:ascii="Times New Roman" w:hAnsi="Times New Roman" w:cs="Times New Roman"/>
          <w:b/>
          <w:bCs/>
          <w:color w:val="000000" w:themeColor="text1"/>
        </w:rPr>
      </w:pPr>
      <w:r w:rsidRPr="00164238">
        <w:rPr>
          <w:rFonts w:ascii="Times New Roman" w:eastAsia="Times New Roman" w:hAnsi="Times New Roman" w:cs="Times New Roman"/>
          <w:b/>
          <w:bCs/>
          <w:color w:val="000000" w:themeColor="text1"/>
          <w:sz w:val="20"/>
          <w:szCs w:val="20"/>
          <w:lang w:val="fr-FR"/>
        </w:rPr>
        <w:lastRenderedPageBreak/>
        <w:t>Tablo 2.</w:t>
      </w:r>
      <w:r w:rsidRPr="00164238">
        <w:rPr>
          <w:rFonts w:ascii="Times New Roman" w:hAnsi="Times New Roman" w:cs="Times New Roman"/>
          <w:b/>
          <w:bCs/>
          <w:color w:val="000000" w:themeColor="text1"/>
          <w:lang w:val="fr-FR"/>
        </w:rPr>
        <w:t xml:space="preserve"> </w:t>
      </w:r>
      <w:r w:rsidRPr="00164238">
        <w:rPr>
          <w:rFonts w:ascii="Times New Roman" w:eastAsia="Times New Roman" w:hAnsi="Times New Roman" w:cs="Times New Roman"/>
          <w:color w:val="000000" w:themeColor="text1"/>
          <w:sz w:val="20"/>
          <w:szCs w:val="20"/>
          <w:lang w:val="fr-FR"/>
        </w:rPr>
        <w:t>Geleneksel Havayoluna Yönelik Şikayetlerin Çözümü Sonrası Müşteri Yorumları</w:t>
      </w:r>
    </w:p>
    <w:tbl>
      <w:tblPr>
        <w:tblStyle w:val="TabloKlavuzu"/>
        <w:tblW w:w="0" w:type="auto"/>
        <w:tblInd w:w="360" w:type="dxa"/>
        <w:tblLook w:val="04A0" w:firstRow="1" w:lastRow="0" w:firstColumn="1" w:lastColumn="0" w:noHBand="0" w:noVBand="1"/>
      </w:tblPr>
      <w:tblGrid>
        <w:gridCol w:w="1049"/>
        <w:gridCol w:w="7086"/>
      </w:tblGrid>
      <w:tr w:rsidR="00164238" w:rsidRPr="00164238" w14:paraId="025F2E50" w14:textId="77777777" w:rsidTr="00254933">
        <w:trPr>
          <w:trHeight w:val="186"/>
        </w:trPr>
        <w:tc>
          <w:tcPr>
            <w:tcW w:w="1060" w:type="dxa"/>
            <w:tcBorders>
              <w:top w:val="single" w:sz="4" w:space="0" w:color="auto"/>
              <w:left w:val="single" w:sz="4" w:space="0" w:color="auto"/>
              <w:bottom w:val="single" w:sz="4" w:space="0" w:color="auto"/>
              <w:right w:val="single" w:sz="4" w:space="0" w:color="auto"/>
            </w:tcBorders>
            <w:vAlign w:val="center"/>
            <w:hideMark/>
          </w:tcPr>
          <w:p w14:paraId="08C93C2B" w14:textId="77777777" w:rsidR="00254933" w:rsidRPr="00164238" w:rsidRDefault="00254933">
            <w:pPr>
              <w:keepNext/>
              <w:keepLines/>
              <w:jc w:val="center"/>
              <w:rPr>
                <w:rFonts w:ascii="Times New Roman" w:hAnsi="Times New Roman" w:cs="Times New Roman"/>
                <w:b/>
                <w:bCs/>
                <w:color w:val="000000" w:themeColor="text1"/>
              </w:rPr>
            </w:pPr>
            <w:r w:rsidRPr="00164238">
              <w:rPr>
                <w:rFonts w:ascii="Times New Roman" w:eastAsia="Times New Roman" w:hAnsi="Times New Roman" w:cs="Times New Roman"/>
                <w:b/>
                <w:bCs/>
                <w:color w:val="000000" w:themeColor="text1"/>
                <w:sz w:val="20"/>
                <w:szCs w:val="20"/>
                <w:lang w:val="fr-FR"/>
              </w:rPr>
              <w:t>Duygu durumu</w:t>
            </w:r>
          </w:p>
        </w:tc>
        <w:tc>
          <w:tcPr>
            <w:tcW w:w="7550" w:type="dxa"/>
            <w:tcBorders>
              <w:top w:val="single" w:sz="4" w:space="0" w:color="auto"/>
              <w:left w:val="single" w:sz="4" w:space="0" w:color="auto"/>
              <w:bottom w:val="single" w:sz="4" w:space="0" w:color="auto"/>
              <w:right w:val="single" w:sz="4" w:space="0" w:color="auto"/>
            </w:tcBorders>
            <w:vAlign w:val="center"/>
            <w:hideMark/>
          </w:tcPr>
          <w:p w14:paraId="2B15E782" w14:textId="77777777" w:rsidR="00254933" w:rsidRPr="00164238" w:rsidRDefault="00254933">
            <w:pPr>
              <w:keepNext/>
              <w:keepLines/>
              <w:ind w:left="360"/>
              <w:jc w:val="center"/>
              <w:rPr>
                <w:rFonts w:ascii="Times New Roman" w:hAnsi="Times New Roman" w:cs="Times New Roman"/>
                <w:b/>
                <w:bCs/>
                <w:color w:val="000000" w:themeColor="text1"/>
              </w:rPr>
            </w:pPr>
            <w:r w:rsidRPr="00164238">
              <w:rPr>
                <w:rFonts w:ascii="Times New Roman" w:eastAsia="Times New Roman" w:hAnsi="Times New Roman" w:cs="Times New Roman"/>
                <w:b/>
                <w:bCs/>
                <w:color w:val="000000" w:themeColor="text1"/>
                <w:sz w:val="20"/>
                <w:szCs w:val="20"/>
                <w:lang w:val="fr-FR"/>
              </w:rPr>
              <w:t>Müşteri yorumları</w:t>
            </w:r>
          </w:p>
        </w:tc>
      </w:tr>
      <w:tr w:rsidR="00164238" w:rsidRPr="00164238" w14:paraId="638AE54E" w14:textId="77777777" w:rsidTr="00254933">
        <w:trPr>
          <w:trHeight w:val="2828"/>
        </w:trPr>
        <w:tc>
          <w:tcPr>
            <w:tcW w:w="1060" w:type="dxa"/>
            <w:tcBorders>
              <w:top w:val="single" w:sz="4" w:space="0" w:color="auto"/>
              <w:left w:val="single" w:sz="4" w:space="0" w:color="auto"/>
              <w:bottom w:val="single" w:sz="4" w:space="0" w:color="auto"/>
              <w:right w:val="single" w:sz="4" w:space="0" w:color="auto"/>
            </w:tcBorders>
            <w:vAlign w:val="center"/>
            <w:hideMark/>
          </w:tcPr>
          <w:p w14:paraId="18805C80" w14:textId="77777777" w:rsidR="00254933" w:rsidRPr="00164238" w:rsidRDefault="00254933">
            <w:pPr>
              <w:keepNext/>
              <w:keepLines/>
              <w:jc w:val="center"/>
              <w:rPr>
                <w:rFonts w:ascii="Times New Roman" w:hAnsi="Times New Roman" w:cs="Times New Roman"/>
                <w:b/>
                <w:bCs/>
                <w:color w:val="000000" w:themeColor="text1"/>
              </w:rPr>
            </w:pPr>
            <w:r w:rsidRPr="00164238">
              <w:rPr>
                <w:rFonts w:ascii="Times New Roman" w:eastAsia="Times New Roman" w:hAnsi="Times New Roman" w:cs="Times New Roman"/>
                <w:b/>
                <w:bCs/>
                <w:color w:val="000000" w:themeColor="text1"/>
                <w:sz w:val="20"/>
                <w:szCs w:val="20"/>
                <w:lang w:val="fr-FR"/>
              </w:rPr>
              <w:t>Pozitif (+)</w:t>
            </w:r>
          </w:p>
        </w:tc>
        <w:tc>
          <w:tcPr>
            <w:tcW w:w="7550" w:type="dxa"/>
            <w:tcBorders>
              <w:top w:val="single" w:sz="4" w:space="0" w:color="auto"/>
              <w:left w:val="single" w:sz="4" w:space="0" w:color="auto"/>
              <w:bottom w:val="single" w:sz="4" w:space="0" w:color="auto"/>
              <w:right w:val="single" w:sz="4" w:space="0" w:color="auto"/>
            </w:tcBorders>
            <w:vAlign w:val="center"/>
            <w:hideMark/>
          </w:tcPr>
          <w:p w14:paraId="0F695F24" w14:textId="77777777" w:rsidR="00254933" w:rsidRPr="00164238" w:rsidRDefault="00254933">
            <w:pPr>
              <w:keepNext/>
              <w:keepLines/>
              <w:jc w:val="both"/>
              <w:rPr>
                <w:rFonts w:ascii="Times New Roman" w:eastAsia="Times New Roman" w:hAnsi="Times New Roman" w:cs="Times New Roman"/>
                <w:color w:val="000000" w:themeColor="text1"/>
                <w:sz w:val="20"/>
                <w:szCs w:val="20"/>
                <w:lang w:val="fr-FR"/>
              </w:rPr>
            </w:pPr>
            <w:r w:rsidRPr="00164238">
              <w:rPr>
                <w:rFonts w:ascii="Times New Roman" w:eastAsia="Times New Roman" w:hAnsi="Times New Roman" w:cs="Times New Roman"/>
                <w:color w:val="000000" w:themeColor="text1"/>
                <w:sz w:val="20"/>
                <w:szCs w:val="20"/>
                <w:lang w:val="fr-FR"/>
              </w:rPr>
              <w:t xml:space="preserve">“Sorun giderildi teşekkürler THY uçmaya hiç durmadan devam </w:t>
            </w:r>
            <w:r w:rsidRPr="00164238">
              <w:rPr>
                <w:rFonts w:ascii="Times New Roman" w:eastAsia="Times New Roman" w:hAnsi="Times New Roman" w:cs="Times New Roman"/>
                <w:color w:val="000000" w:themeColor="text1"/>
                <w:sz w:val="20"/>
                <w:szCs w:val="20"/>
                <w:lang w:val="fr-FR"/>
              </w:rPr>
              <w:sym w:font="Wingdings" w:char="F04A"/>
            </w:r>
            <w:r w:rsidRPr="00164238">
              <w:rPr>
                <w:rFonts w:ascii="Times New Roman" w:eastAsia="Times New Roman" w:hAnsi="Times New Roman" w:cs="Times New Roman"/>
                <w:color w:val="000000" w:themeColor="text1"/>
                <w:sz w:val="20"/>
                <w:szCs w:val="20"/>
                <w:lang w:val="fr-FR"/>
              </w:rPr>
              <w:t>”</w:t>
            </w:r>
          </w:p>
          <w:p w14:paraId="58739AE1" w14:textId="77777777" w:rsidR="00254933" w:rsidRPr="00164238" w:rsidRDefault="00254933">
            <w:pPr>
              <w:keepNext/>
              <w:keepLines/>
              <w:jc w:val="both"/>
              <w:rPr>
                <w:rFonts w:ascii="Times New Roman" w:eastAsia="Times New Roman" w:hAnsi="Times New Roman" w:cs="Times New Roman"/>
                <w:color w:val="000000" w:themeColor="text1"/>
                <w:sz w:val="20"/>
                <w:szCs w:val="20"/>
                <w:lang w:val="fr-FR"/>
              </w:rPr>
            </w:pPr>
            <w:r w:rsidRPr="00164238">
              <w:rPr>
                <w:rFonts w:ascii="Times New Roman" w:eastAsia="Times New Roman" w:hAnsi="Times New Roman" w:cs="Times New Roman"/>
                <w:color w:val="000000" w:themeColor="text1"/>
                <w:sz w:val="20"/>
                <w:szCs w:val="20"/>
                <w:lang w:val="fr-FR"/>
              </w:rPr>
              <w:t>“Ülke ekonomisine oluşturduğu etkiyi unutmuyoruz iptal değil değişiklik için yolcularına destek olan Türk hava yollarına teşekkür ediyoruz. Bu günleri omuz omuza milletçe aşmak dileğiyle.”</w:t>
            </w:r>
          </w:p>
          <w:p w14:paraId="6609896B" w14:textId="77777777" w:rsidR="00254933" w:rsidRPr="00164238" w:rsidRDefault="00254933">
            <w:pPr>
              <w:keepNext/>
              <w:keepLines/>
              <w:jc w:val="both"/>
              <w:rPr>
                <w:rFonts w:ascii="Times New Roman" w:eastAsia="Times New Roman" w:hAnsi="Times New Roman" w:cs="Times New Roman"/>
                <w:color w:val="000000" w:themeColor="text1"/>
                <w:sz w:val="20"/>
                <w:szCs w:val="20"/>
                <w:lang w:val="fr-FR"/>
              </w:rPr>
            </w:pPr>
            <w:r w:rsidRPr="00164238">
              <w:rPr>
                <w:rFonts w:ascii="Times New Roman" w:eastAsia="Times New Roman" w:hAnsi="Times New Roman" w:cs="Times New Roman"/>
                <w:color w:val="000000" w:themeColor="text1"/>
                <w:sz w:val="20"/>
                <w:szCs w:val="20"/>
                <w:lang w:val="fr-FR"/>
              </w:rPr>
              <w:t>“THY seçili bir havayolu olduğu gösterdi. Mağduriyetim giderildiği için THY teşekkür ederim.”</w:t>
            </w:r>
          </w:p>
          <w:p w14:paraId="16E9CC5A" w14:textId="77777777" w:rsidR="00254933" w:rsidRPr="00164238" w:rsidRDefault="00254933">
            <w:pPr>
              <w:keepNext/>
              <w:keepLines/>
              <w:jc w:val="both"/>
              <w:rPr>
                <w:rFonts w:ascii="Times New Roman" w:eastAsia="Times New Roman" w:hAnsi="Times New Roman" w:cs="Times New Roman"/>
                <w:color w:val="000000" w:themeColor="text1"/>
                <w:sz w:val="20"/>
                <w:szCs w:val="20"/>
                <w:lang w:val="fr-FR"/>
              </w:rPr>
            </w:pPr>
            <w:r w:rsidRPr="00164238">
              <w:rPr>
                <w:rFonts w:ascii="Times New Roman" w:eastAsia="Times New Roman" w:hAnsi="Times New Roman" w:cs="Times New Roman"/>
                <w:color w:val="000000" w:themeColor="text1"/>
                <w:sz w:val="20"/>
                <w:szCs w:val="20"/>
                <w:lang w:val="fr-FR"/>
              </w:rPr>
              <w:t>“Hızlı geri dönüş oldu teşekkürler”</w:t>
            </w:r>
          </w:p>
          <w:p w14:paraId="2251638D" w14:textId="77777777" w:rsidR="00254933" w:rsidRPr="00164238" w:rsidRDefault="00254933">
            <w:pPr>
              <w:keepNext/>
              <w:keepLines/>
              <w:jc w:val="both"/>
              <w:rPr>
                <w:rFonts w:ascii="Times New Roman" w:eastAsia="Times New Roman" w:hAnsi="Times New Roman" w:cs="Times New Roman"/>
                <w:color w:val="000000" w:themeColor="text1"/>
                <w:sz w:val="20"/>
                <w:szCs w:val="20"/>
                <w:lang w:val="fr-FR"/>
              </w:rPr>
            </w:pPr>
            <w:r w:rsidRPr="00164238">
              <w:rPr>
                <w:rFonts w:ascii="Times New Roman" w:eastAsia="Times New Roman" w:hAnsi="Times New Roman" w:cs="Times New Roman"/>
                <w:color w:val="000000" w:themeColor="text1"/>
                <w:sz w:val="20"/>
                <w:szCs w:val="20"/>
                <w:lang w:val="fr-FR"/>
              </w:rPr>
              <w:t>“Turk havayolları konu ile ilgili politikasını değiştirdi. Kendine yakışan humanist ve elini taşın altına koyan bir politika izlemeye başladı. Bu kararı alanlara teşekkürlerimi sunuyorum.”</w:t>
            </w:r>
          </w:p>
          <w:p w14:paraId="2764DD4F" w14:textId="77777777" w:rsidR="00254933" w:rsidRPr="00164238" w:rsidRDefault="00254933">
            <w:pPr>
              <w:keepNext/>
              <w:keepLines/>
              <w:jc w:val="both"/>
              <w:rPr>
                <w:rFonts w:ascii="Times New Roman" w:hAnsi="Times New Roman" w:cs="Times New Roman"/>
                <w:b/>
                <w:bCs/>
                <w:color w:val="000000" w:themeColor="text1"/>
              </w:rPr>
            </w:pPr>
            <w:r w:rsidRPr="00164238">
              <w:rPr>
                <w:rFonts w:ascii="Times New Roman" w:eastAsia="Times New Roman" w:hAnsi="Times New Roman" w:cs="Times New Roman"/>
                <w:color w:val="000000" w:themeColor="text1"/>
                <w:sz w:val="20"/>
                <w:szCs w:val="20"/>
                <w:lang w:val="fr-FR"/>
              </w:rPr>
              <w:t>“THY bugün yaptığı yanlışlığı telafi etti ve biletimi tekrar düzenledi. Müşteri şikayetini ciddiye alıp, olumlu ve hızlı çözümde bulundukları için teşekkürler…”</w:t>
            </w:r>
          </w:p>
        </w:tc>
      </w:tr>
      <w:tr w:rsidR="00164238" w:rsidRPr="00164238" w14:paraId="1BF4DD05" w14:textId="77777777" w:rsidTr="00254933">
        <w:trPr>
          <w:trHeight w:val="2178"/>
        </w:trPr>
        <w:tc>
          <w:tcPr>
            <w:tcW w:w="1060" w:type="dxa"/>
            <w:tcBorders>
              <w:top w:val="single" w:sz="4" w:space="0" w:color="auto"/>
              <w:left w:val="single" w:sz="4" w:space="0" w:color="auto"/>
              <w:bottom w:val="single" w:sz="4" w:space="0" w:color="auto"/>
              <w:right w:val="single" w:sz="4" w:space="0" w:color="auto"/>
            </w:tcBorders>
            <w:vAlign w:val="center"/>
            <w:hideMark/>
          </w:tcPr>
          <w:p w14:paraId="628BD7B9" w14:textId="77777777" w:rsidR="00254933" w:rsidRPr="00164238" w:rsidRDefault="00254933">
            <w:pPr>
              <w:keepNext/>
              <w:keepLines/>
              <w:jc w:val="center"/>
              <w:rPr>
                <w:rFonts w:ascii="Times New Roman" w:hAnsi="Times New Roman" w:cs="Times New Roman"/>
                <w:b/>
                <w:bCs/>
                <w:color w:val="000000" w:themeColor="text1"/>
              </w:rPr>
            </w:pPr>
            <w:r w:rsidRPr="00164238">
              <w:rPr>
                <w:rFonts w:ascii="Times New Roman" w:eastAsia="Times New Roman" w:hAnsi="Times New Roman" w:cs="Times New Roman"/>
                <w:b/>
                <w:bCs/>
                <w:color w:val="000000" w:themeColor="text1"/>
                <w:sz w:val="20"/>
                <w:szCs w:val="20"/>
                <w:lang w:val="fr-FR"/>
              </w:rPr>
              <w:t>Negatif (-)</w:t>
            </w:r>
          </w:p>
        </w:tc>
        <w:tc>
          <w:tcPr>
            <w:tcW w:w="7550" w:type="dxa"/>
            <w:tcBorders>
              <w:top w:val="single" w:sz="4" w:space="0" w:color="auto"/>
              <w:left w:val="single" w:sz="4" w:space="0" w:color="auto"/>
              <w:bottom w:val="single" w:sz="4" w:space="0" w:color="auto"/>
              <w:right w:val="single" w:sz="4" w:space="0" w:color="auto"/>
            </w:tcBorders>
            <w:hideMark/>
          </w:tcPr>
          <w:p w14:paraId="29DFADBF" w14:textId="77777777" w:rsidR="00254933" w:rsidRPr="00164238" w:rsidRDefault="00254933">
            <w:pPr>
              <w:keepNext/>
              <w:keepLines/>
              <w:jc w:val="both"/>
              <w:rPr>
                <w:rFonts w:ascii="Times New Roman" w:eastAsia="Times New Roman" w:hAnsi="Times New Roman" w:cs="Times New Roman"/>
                <w:color w:val="000000" w:themeColor="text1"/>
                <w:sz w:val="20"/>
                <w:szCs w:val="20"/>
                <w:lang w:val="fr-FR"/>
              </w:rPr>
            </w:pPr>
            <w:r w:rsidRPr="00164238">
              <w:rPr>
                <w:rFonts w:ascii="Times New Roman" w:eastAsia="Times New Roman" w:hAnsi="Times New Roman" w:cs="Times New Roman"/>
                <w:color w:val="000000" w:themeColor="text1"/>
                <w:sz w:val="20"/>
                <w:szCs w:val="20"/>
                <w:lang w:val="fr-FR"/>
              </w:rPr>
              <w:t>“Biraz uğraştırıcı bir süreç oldu ancak çözüldü Teşekkürler”</w:t>
            </w:r>
          </w:p>
          <w:p w14:paraId="0519548D" w14:textId="77777777" w:rsidR="00254933" w:rsidRPr="00164238" w:rsidRDefault="00254933">
            <w:pPr>
              <w:keepNext/>
              <w:keepLines/>
              <w:jc w:val="both"/>
              <w:rPr>
                <w:rFonts w:ascii="Times New Roman" w:eastAsia="Times New Roman" w:hAnsi="Times New Roman" w:cs="Times New Roman"/>
                <w:color w:val="000000" w:themeColor="text1"/>
                <w:sz w:val="20"/>
                <w:szCs w:val="20"/>
                <w:lang w:val="fr-FR"/>
              </w:rPr>
            </w:pPr>
            <w:r w:rsidRPr="00164238">
              <w:rPr>
                <w:rFonts w:ascii="Times New Roman" w:eastAsia="Times New Roman" w:hAnsi="Times New Roman" w:cs="Times New Roman"/>
                <w:color w:val="000000" w:themeColor="text1"/>
                <w:sz w:val="20"/>
                <w:szCs w:val="20"/>
                <w:lang w:val="fr-FR"/>
              </w:rPr>
              <w:t>“Teşekkür ederim ilgilenen çağrımı dinleyen herkese iyi ki varsın sikayetvar.com”</w:t>
            </w:r>
          </w:p>
          <w:p w14:paraId="37CD68BC" w14:textId="77777777" w:rsidR="00254933" w:rsidRPr="00164238" w:rsidRDefault="00254933">
            <w:pPr>
              <w:keepNext/>
              <w:keepLines/>
              <w:jc w:val="both"/>
              <w:rPr>
                <w:rFonts w:ascii="Times New Roman" w:eastAsia="Times New Roman" w:hAnsi="Times New Roman" w:cs="Times New Roman"/>
                <w:color w:val="000000" w:themeColor="text1"/>
                <w:sz w:val="20"/>
                <w:szCs w:val="20"/>
                <w:lang w:val="fr-FR"/>
              </w:rPr>
            </w:pPr>
            <w:r w:rsidRPr="00164238">
              <w:rPr>
                <w:rFonts w:ascii="Times New Roman" w:eastAsia="Times New Roman" w:hAnsi="Times New Roman" w:cs="Times New Roman"/>
                <w:color w:val="000000" w:themeColor="text1"/>
                <w:sz w:val="20"/>
                <w:szCs w:val="20"/>
                <w:lang w:val="fr-FR"/>
              </w:rPr>
              <w:t>“Bugün check-in mailim üzerine en azından iptal edip uçuş koşulları gereği iade edilen 40 TL mi alayım dedim bir uyarı çıktı ekranda, bilet yönetiminden bir kez daha değişiklik denemeyi tercih ettim sistem izin verdi ve ücretsiz değişiklik hakkı sağlandı, temmuz tarihli bir uçuşla değiştirdim, ilgilenen (sikayetvar.com) ve çözüme ulaştıran diğer kişilere teşekkür ediyorum.”</w:t>
            </w:r>
          </w:p>
          <w:p w14:paraId="5E37C106" w14:textId="77777777" w:rsidR="00254933" w:rsidRPr="00164238" w:rsidRDefault="00254933">
            <w:pPr>
              <w:keepNext/>
              <w:keepLines/>
              <w:jc w:val="both"/>
              <w:rPr>
                <w:rFonts w:ascii="Times New Roman" w:hAnsi="Times New Roman" w:cs="Times New Roman"/>
                <w:b/>
                <w:bCs/>
                <w:color w:val="000000" w:themeColor="text1"/>
              </w:rPr>
            </w:pPr>
            <w:r w:rsidRPr="00164238">
              <w:rPr>
                <w:rFonts w:ascii="Times New Roman" w:eastAsia="Times New Roman" w:hAnsi="Times New Roman" w:cs="Times New Roman"/>
                <w:color w:val="000000" w:themeColor="text1"/>
                <w:sz w:val="20"/>
                <w:szCs w:val="20"/>
                <w:lang w:val="fr-FR"/>
              </w:rPr>
              <w:t>“Bugün satış ofisine gidip tüm iadeyi kesintisiz yaptılar. Fakat tek olumsuz yönü müşteri temsilcileri yeterli bilgiye sahip olmamaları ve yanlış yönlendirmeleri”</w:t>
            </w:r>
          </w:p>
        </w:tc>
      </w:tr>
      <w:tr w:rsidR="00254933" w:rsidRPr="00164238" w14:paraId="29E9ADBC" w14:textId="77777777" w:rsidTr="00254933">
        <w:trPr>
          <w:trHeight w:val="856"/>
        </w:trPr>
        <w:tc>
          <w:tcPr>
            <w:tcW w:w="1060" w:type="dxa"/>
            <w:tcBorders>
              <w:top w:val="single" w:sz="4" w:space="0" w:color="auto"/>
              <w:left w:val="single" w:sz="4" w:space="0" w:color="auto"/>
              <w:bottom w:val="single" w:sz="4" w:space="0" w:color="auto"/>
              <w:right w:val="single" w:sz="4" w:space="0" w:color="auto"/>
            </w:tcBorders>
            <w:vAlign w:val="center"/>
            <w:hideMark/>
          </w:tcPr>
          <w:p w14:paraId="1BCFDA7E" w14:textId="77777777" w:rsidR="00254933" w:rsidRPr="00164238" w:rsidRDefault="00254933">
            <w:pPr>
              <w:keepNext/>
              <w:keepLines/>
              <w:jc w:val="center"/>
              <w:rPr>
                <w:rFonts w:ascii="Times New Roman" w:hAnsi="Times New Roman" w:cs="Times New Roman"/>
                <w:b/>
                <w:bCs/>
                <w:color w:val="000000" w:themeColor="text1"/>
              </w:rPr>
            </w:pPr>
            <w:r w:rsidRPr="00164238">
              <w:rPr>
                <w:rFonts w:ascii="Times New Roman" w:eastAsia="Times New Roman" w:hAnsi="Times New Roman" w:cs="Times New Roman"/>
                <w:b/>
                <w:bCs/>
                <w:color w:val="000000" w:themeColor="text1"/>
                <w:sz w:val="20"/>
                <w:szCs w:val="20"/>
                <w:lang w:val="fr-FR"/>
              </w:rPr>
              <w:t>Nötr</w:t>
            </w:r>
          </w:p>
        </w:tc>
        <w:tc>
          <w:tcPr>
            <w:tcW w:w="7550" w:type="dxa"/>
            <w:tcBorders>
              <w:top w:val="single" w:sz="4" w:space="0" w:color="auto"/>
              <w:left w:val="single" w:sz="4" w:space="0" w:color="auto"/>
              <w:bottom w:val="single" w:sz="4" w:space="0" w:color="auto"/>
              <w:right w:val="single" w:sz="4" w:space="0" w:color="auto"/>
            </w:tcBorders>
            <w:hideMark/>
          </w:tcPr>
          <w:p w14:paraId="0FFDC6CE" w14:textId="77777777" w:rsidR="00254933" w:rsidRPr="00164238" w:rsidRDefault="00254933">
            <w:pPr>
              <w:keepNext/>
              <w:keepLines/>
              <w:jc w:val="both"/>
              <w:rPr>
                <w:rFonts w:ascii="Times New Roman" w:eastAsia="Times New Roman" w:hAnsi="Times New Roman" w:cs="Times New Roman"/>
                <w:color w:val="000000" w:themeColor="text1"/>
                <w:sz w:val="20"/>
                <w:szCs w:val="20"/>
                <w:lang w:val="fr-FR"/>
              </w:rPr>
            </w:pPr>
            <w:r w:rsidRPr="00164238">
              <w:rPr>
                <w:rFonts w:ascii="Times New Roman" w:eastAsia="Times New Roman" w:hAnsi="Times New Roman" w:cs="Times New Roman"/>
                <w:color w:val="000000" w:themeColor="text1"/>
                <w:sz w:val="20"/>
                <w:szCs w:val="20"/>
                <w:lang w:val="fr-FR"/>
              </w:rPr>
              <w:t>“Şikayetim giderildi, teşekkürler”</w:t>
            </w:r>
          </w:p>
          <w:p w14:paraId="15C074B3" w14:textId="77777777" w:rsidR="00254933" w:rsidRPr="00164238" w:rsidRDefault="00254933">
            <w:pPr>
              <w:keepNext/>
              <w:keepLines/>
              <w:jc w:val="both"/>
              <w:rPr>
                <w:rFonts w:ascii="Times New Roman" w:eastAsia="Times New Roman" w:hAnsi="Times New Roman" w:cs="Times New Roman"/>
                <w:color w:val="000000" w:themeColor="text1"/>
                <w:sz w:val="20"/>
                <w:szCs w:val="20"/>
                <w:lang w:val="fr-FR"/>
              </w:rPr>
            </w:pPr>
            <w:r w:rsidRPr="00164238">
              <w:rPr>
                <w:rFonts w:ascii="Times New Roman" w:eastAsia="Times New Roman" w:hAnsi="Times New Roman" w:cs="Times New Roman"/>
                <w:color w:val="000000" w:themeColor="text1"/>
                <w:sz w:val="20"/>
                <w:szCs w:val="20"/>
                <w:lang w:val="fr-FR"/>
              </w:rPr>
              <w:t>“Sorunum çözüldü”</w:t>
            </w:r>
          </w:p>
          <w:p w14:paraId="1349C2C8" w14:textId="77777777" w:rsidR="00254933" w:rsidRPr="00164238" w:rsidRDefault="00254933">
            <w:pPr>
              <w:keepNext/>
              <w:keepLines/>
              <w:jc w:val="both"/>
              <w:rPr>
                <w:rFonts w:ascii="Times New Roman" w:eastAsia="Times New Roman" w:hAnsi="Times New Roman" w:cs="Times New Roman"/>
                <w:color w:val="000000" w:themeColor="text1"/>
                <w:sz w:val="20"/>
                <w:szCs w:val="20"/>
                <w:lang w:val="fr-FR"/>
              </w:rPr>
            </w:pPr>
            <w:r w:rsidRPr="00164238">
              <w:rPr>
                <w:rFonts w:ascii="Times New Roman" w:eastAsia="Times New Roman" w:hAnsi="Times New Roman" w:cs="Times New Roman"/>
                <w:color w:val="000000" w:themeColor="text1"/>
                <w:sz w:val="20"/>
                <w:szCs w:val="20"/>
                <w:lang w:val="fr-FR"/>
              </w:rPr>
              <w:t>“Param iade edildi teşekkür ediyorum.”</w:t>
            </w:r>
          </w:p>
          <w:p w14:paraId="0FC23EA3" w14:textId="77777777" w:rsidR="00254933" w:rsidRPr="00164238" w:rsidRDefault="00254933">
            <w:pPr>
              <w:keepNext/>
              <w:keepLines/>
              <w:jc w:val="both"/>
              <w:rPr>
                <w:rFonts w:ascii="Times New Roman" w:hAnsi="Times New Roman" w:cs="Times New Roman"/>
                <w:b/>
                <w:bCs/>
                <w:color w:val="000000" w:themeColor="text1"/>
              </w:rPr>
            </w:pPr>
            <w:r w:rsidRPr="00164238">
              <w:rPr>
                <w:rFonts w:ascii="Times New Roman" w:eastAsia="Times New Roman" w:hAnsi="Times New Roman" w:cs="Times New Roman"/>
                <w:color w:val="000000" w:themeColor="text1"/>
                <w:sz w:val="20"/>
                <w:szCs w:val="20"/>
                <w:lang w:val="fr-FR"/>
              </w:rPr>
              <w:t>“Sorunun çözümü için teşekkür ederim.”</w:t>
            </w:r>
          </w:p>
        </w:tc>
      </w:tr>
    </w:tbl>
    <w:p w14:paraId="04BAD9D2" w14:textId="77777777" w:rsidR="00254933" w:rsidRPr="00164238" w:rsidRDefault="00254933" w:rsidP="00254933">
      <w:pPr>
        <w:spacing w:after="0" w:line="240" w:lineRule="auto"/>
        <w:ind w:left="360"/>
        <w:jc w:val="both"/>
        <w:rPr>
          <w:rFonts w:ascii="Times New Roman" w:hAnsi="Times New Roman" w:cs="Times New Roman"/>
          <w:b/>
          <w:bCs/>
          <w:color w:val="000000" w:themeColor="text1"/>
        </w:rPr>
      </w:pPr>
    </w:p>
    <w:p w14:paraId="0F42FC92" w14:textId="77777777" w:rsidR="00254933" w:rsidRPr="00164238" w:rsidRDefault="00254933" w:rsidP="00254933">
      <w:pPr>
        <w:spacing w:before="120" w:after="120"/>
        <w:ind w:firstLine="567"/>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xml:space="preserve">Geleneksel havayollarına ilişkin şikayetlerin çözüm süreci sonucunda yolcuların değerlendirmeleri Tablo 2’de verilmiştir. Çözüm sonrası yapılan değerlendirmeler incelendiğinde; yüksek çoğunlukta pozitif (“…uçmaya devam”, “…bu günleri milletçe omuz omuza aşmak dileğiyle.” gibi) geri bildirimlerin olduğu gözlemlenmiştir. Geleneksel havayollarında pozitif yaklaşımın altında yatan en önemli nedeni olarak işletmenin “bayrak taşıyıcı olması” gösterilebilir.    </w:t>
      </w:r>
    </w:p>
    <w:p w14:paraId="17E0381F" w14:textId="77777777" w:rsidR="00254933" w:rsidRPr="00164238" w:rsidRDefault="00254933" w:rsidP="00254933">
      <w:pPr>
        <w:keepNext/>
        <w:keepLines/>
        <w:spacing w:after="0" w:line="240" w:lineRule="auto"/>
        <w:ind w:left="360"/>
        <w:rPr>
          <w:rFonts w:ascii="Times New Roman" w:hAnsi="Times New Roman" w:cs="Times New Roman"/>
          <w:b/>
          <w:bCs/>
          <w:color w:val="000000" w:themeColor="text1"/>
        </w:rPr>
      </w:pPr>
      <w:r w:rsidRPr="00164238">
        <w:rPr>
          <w:rFonts w:ascii="Times New Roman" w:eastAsia="Times New Roman" w:hAnsi="Times New Roman" w:cs="Times New Roman"/>
          <w:b/>
          <w:bCs/>
          <w:color w:val="000000" w:themeColor="text1"/>
          <w:sz w:val="20"/>
          <w:szCs w:val="20"/>
          <w:lang w:val="fr-FR"/>
        </w:rPr>
        <w:lastRenderedPageBreak/>
        <w:t>Tablo 3.</w:t>
      </w:r>
      <w:r w:rsidRPr="00164238">
        <w:rPr>
          <w:rFonts w:ascii="Times New Roman" w:hAnsi="Times New Roman" w:cs="Times New Roman"/>
          <w:b/>
          <w:bCs/>
          <w:color w:val="000000" w:themeColor="text1"/>
          <w:lang w:val="fr-FR"/>
        </w:rPr>
        <w:t xml:space="preserve"> </w:t>
      </w:r>
      <w:r w:rsidRPr="00164238">
        <w:rPr>
          <w:rFonts w:ascii="Times New Roman" w:eastAsia="Times New Roman" w:hAnsi="Times New Roman" w:cs="Times New Roman"/>
          <w:color w:val="000000" w:themeColor="text1"/>
          <w:sz w:val="20"/>
          <w:szCs w:val="20"/>
          <w:lang w:val="fr-FR"/>
        </w:rPr>
        <w:t>Düşük Maliyetli Havayoluna Yönelik Şikayetlerin Çözümü Sonrası Müşteri Yorumları</w:t>
      </w:r>
    </w:p>
    <w:tbl>
      <w:tblPr>
        <w:tblStyle w:val="TabloKlavuzu"/>
        <w:tblW w:w="0" w:type="auto"/>
        <w:tblInd w:w="360" w:type="dxa"/>
        <w:tblLook w:val="04A0" w:firstRow="1" w:lastRow="0" w:firstColumn="1" w:lastColumn="0" w:noHBand="0" w:noVBand="1"/>
      </w:tblPr>
      <w:tblGrid>
        <w:gridCol w:w="2002"/>
        <w:gridCol w:w="6133"/>
      </w:tblGrid>
      <w:tr w:rsidR="00164238" w:rsidRPr="00164238" w14:paraId="72A7AE0C" w14:textId="77777777" w:rsidTr="00254933">
        <w:tc>
          <w:tcPr>
            <w:tcW w:w="2112" w:type="dxa"/>
            <w:tcBorders>
              <w:top w:val="single" w:sz="4" w:space="0" w:color="auto"/>
              <w:left w:val="single" w:sz="4" w:space="0" w:color="auto"/>
              <w:bottom w:val="single" w:sz="4" w:space="0" w:color="auto"/>
              <w:right w:val="single" w:sz="4" w:space="0" w:color="auto"/>
            </w:tcBorders>
            <w:hideMark/>
          </w:tcPr>
          <w:p w14:paraId="0FD5B0E4" w14:textId="77777777" w:rsidR="00254933" w:rsidRPr="00164238" w:rsidRDefault="00254933">
            <w:pPr>
              <w:keepNext/>
              <w:keepLines/>
              <w:jc w:val="both"/>
              <w:rPr>
                <w:rFonts w:ascii="Times New Roman" w:hAnsi="Times New Roman" w:cs="Times New Roman"/>
                <w:b/>
                <w:bCs/>
                <w:color w:val="000000" w:themeColor="text1"/>
              </w:rPr>
            </w:pPr>
            <w:r w:rsidRPr="00164238">
              <w:rPr>
                <w:rFonts w:ascii="Times New Roman" w:eastAsia="Times New Roman" w:hAnsi="Times New Roman" w:cs="Times New Roman"/>
                <w:b/>
                <w:bCs/>
                <w:color w:val="000000" w:themeColor="text1"/>
                <w:sz w:val="20"/>
                <w:szCs w:val="20"/>
                <w:lang w:val="fr-FR"/>
              </w:rPr>
              <w:t>Duygu durumu</w:t>
            </w:r>
          </w:p>
        </w:tc>
        <w:tc>
          <w:tcPr>
            <w:tcW w:w="6590" w:type="dxa"/>
            <w:tcBorders>
              <w:top w:val="single" w:sz="4" w:space="0" w:color="auto"/>
              <w:left w:val="single" w:sz="4" w:space="0" w:color="auto"/>
              <w:bottom w:val="single" w:sz="4" w:space="0" w:color="auto"/>
              <w:right w:val="single" w:sz="4" w:space="0" w:color="auto"/>
            </w:tcBorders>
            <w:hideMark/>
          </w:tcPr>
          <w:p w14:paraId="13EFD414" w14:textId="77777777" w:rsidR="00254933" w:rsidRPr="00164238" w:rsidRDefault="00254933">
            <w:pPr>
              <w:keepNext/>
              <w:keepLines/>
              <w:jc w:val="both"/>
              <w:rPr>
                <w:rFonts w:ascii="Times New Roman" w:hAnsi="Times New Roman" w:cs="Times New Roman"/>
                <w:b/>
                <w:bCs/>
                <w:color w:val="000000" w:themeColor="text1"/>
              </w:rPr>
            </w:pPr>
            <w:r w:rsidRPr="00164238">
              <w:rPr>
                <w:rFonts w:ascii="Times New Roman" w:eastAsia="Times New Roman" w:hAnsi="Times New Roman" w:cs="Times New Roman"/>
                <w:b/>
                <w:bCs/>
                <w:color w:val="000000" w:themeColor="text1"/>
                <w:sz w:val="20"/>
                <w:szCs w:val="20"/>
                <w:lang w:val="fr-FR"/>
              </w:rPr>
              <w:t>Müşteri yorumları</w:t>
            </w:r>
          </w:p>
        </w:tc>
      </w:tr>
      <w:tr w:rsidR="00164238" w:rsidRPr="00164238" w14:paraId="433EDD9F" w14:textId="77777777" w:rsidTr="00254933">
        <w:tc>
          <w:tcPr>
            <w:tcW w:w="2112" w:type="dxa"/>
            <w:tcBorders>
              <w:top w:val="single" w:sz="4" w:space="0" w:color="auto"/>
              <w:left w:val="single" w:sz="4" w:space="0" w:color="auto"/>
              <w:bottom w:val="single" w:sz="4" w:space="0" w:color="auto"/>
              <w:right w:val="single" w:sz="4" w:space="0" w:color="auto"/>
            </w:tcBorders>
            <w:vAlign w:val="center"/>
            <w:hideMark/>
          </w:tcPr>
          <w:p w14:paraId="25CCF7B3" w14:textId="77777777" w:rsidR="00254933" w:rsidRPr="00164238" w:rsidRDefault="00254933">
            <w:pPr>
              <w:keepNext/>
              <w:keepLines/>
              <w:jc w:val="center"/>
              <w:rPr>
                <w:rFonts w:ascii="Times New Roman" w:hAnsi="Times New Roman" w:cs="Times New Roman"/>
                <w:b/>
                <w:bCs/>
                <w:color w:val="000000" w:themeColor="text1"/>
              </w:rPr>
            </w:pPr>
            <w:r w:rsidRPr="00164238">
              <w:rPr>
                <w:rFonts w:ascii="Times New Roman" w:eastAsia="Times New Roman" w:hAnsi="Times New Roman" w:cs="Times New Roman"/>
                <w:b/>
                <w:bCs/>
                <w:color w:val="000000" w:themeColor="text1"/>
                <w:sz w:val="20"/>
                <w:szCs w:val="20"/>
                <w:lang w:val="fr-FR"/>
              </w:rPr>
              <w:t>Pozitif (+)</w:t>
            </w:r>
          </w:p>
        </w:tc>
        <w:tc>
          <w:tcPr>
            <w:tcW w:w="6590" w:type="dxa"/>
            <w:tcBorders>
              <w:top w:val="single" w:sz="4" w:space="0" w:color="auto"/>
              <w:left w:val="single" w:sz="4" w:space="0" w:color="auto"/>
              <w:bottom w:val="single" w:sz="4" w:space="0" w:color="auto"/>
              <w:right w:val="single" w:sz="4" w:space="0" w:color="auto"/>
            </w:tcBorders>
            <w:hideMark/>
          </w:tcPr>
          <w:p w14:paraId="434752E3" w14:textId="77777777" w:rsidR="00254933" w:rsidRPr="00164238" w:rsidRDefault="00254933">
            <w:pPr>
              <w:keepNext/>
              <w:keepLines/>
              <w:jc w:val="both"/>
              <w:rPr>
                <w:rFonts w:ascii="Times New Roman" w:eastAsia="Times New Roman" w:hAnsi="Times New Roman" w:cs="Times New Roman"/>
                <w:color w:val="000000" w:themeColor="text1"/>
                <w:sz w:val="20"/>
                <w:szCs w:val="20"/>
                <w:lang w:val="fr-FR"/>
              </w:rPr>
            </w:pPr>
            <w:r w:rsidRPr="00164238">
              <w:rPr>
                <w:rFonts w:ascii="Times New Roman" w:eastAsia="Times New Roman" w:hAnsi="Times New Roman" w:cs="Times New Roman"/>
                <w:color w:val="000000" w:themeColor="text1"/>
                <w:sz w:val="20"/>
                <w:szCs w:val="20"/>
                <w:lang w:val="fr-FR"/>
              </w:rPr>
              <w:t>“Şikayetim hemen çözüldü anlayışınız için teşekkür ederim.”</w:t>
            </w:r>
          </w:p>
          <w:p w14:paraId="2243A589" w14:textId="77777777" w:rsidR="00254933" w:rsidRPr="00164238" w:rsidRDefault="00254933">
            <w:pPr>
              <w:keepNext/>
              <w:keepLines/>
              <w:jc w:val="both"/>
              <w:rPr>
                <w:rFonts w:ascii="Times New Roman" w:eastAsia="Times New Roman" w:hAnsi="Times New Roman" w:cs="Times New Roman"/>
                <w:color w:val="000000" w:themeColor="text1"/>
                <w:sz w:val="20"/>
                <w:szCs w:val="20"/>
                <w:lang w:val="fr-FR"/>
              </w:rPr>
            </w:pPr>
            <w:r w:rsidRPr="00164238">
              <w:rPr>
                <w:rFonts w:ascii="Times New Roman" w:eastAsia="Times New Roman" w:hAnsi="Times New Roman" w:cs="Times New Roman"/>
                <w:color w:val="000000" w:themeColor="text1"/>
                <w:sz w:val="20"/>
                <w:szCs w:val="20"/>
                <w:lang w:val="fr-FR"/>
              </w:rPr>
              <w:t>“Sorunum çözüldü, Pegasus paramın tam iadesini sağladı ödeme yapmış olduğum kartıma. Pegasus'a çok teşekkürler! Pegasus sorunu hızlı bir şekilde çözdü, teşekkürler.”</w:t>
            </w:r>
          </w:p>
          <w:p w14:paraId="18322ECC" w14:textId="77777777" w:rsidR="00254933" w:rsidRPr="00164238" w:rsidRDefault="00254933">
            <w:pPr>
              <w:keepNext/>
              <w:keepLines/>
              <w:jc w:val="both"/>
              <w:rPr>
                <w:rFonts w:ascii="Times New Roman" w:eastAsia="Times New Roman" w:hAnsi="Times New Roman" w:cs="Times New Roman"/>
                <w:color w:val="000000" w:themeColor="text1"/>
                <w:sz w:val="20"/>
                <w:szCs w:val="20"/>
                <w:lang w:val="fr-FR"/>
              </w:rPr>
            </w:pPr>
            <w:r w:rsidRPr="00164238">
              <w:rPr>
                <w:rFonts w:ascii="Times New Roman" w:eastAsia="Times New Roman" w:hAnsi="Times New Roman" w:cs="Times New Roman"/>
                <w:color w:val="000000" w:themeColor="text1"/>
                <w:sz w:val="20"/>
                <w:szCs w:val="20"/>
                <w:lang w:val="fr-FR"/>
              </w:rPr>
              <w:t>“Pegasus tarafından problem çok hızlı bir şekilde çözüldü.”</w:t>
            </w:r>
          </w:p>
          <w:p w14:paraId="5839FA29" w14:textId="77777777" w:rsidR="00254933" w:rsidRPr="00164238" w:rsidRDefault="00254933">
            <w:pPr>
              <w:keepNext/>
              <w:keepLines/>
              <w:jc w:val="both"/>
              <w:rPr>
                <w:rFonts w:ascii="Times New Roman" w:eastAsia="Times New Roman" w:hAnsi="Times New Roman" w:cs="Times New Roman"/>
                <w:color w:val="000000" w:themeColor="text1"/>
                <w:sz w:val="20"/>
                <w:szCs w:val="20"/>
                <w:lang w:val="fr-FR"/>
              </w:rPr>
            </w:pPr>
            <w:r w:rsidRPr="00164238">
              <w:rPr>
                <w:rFonts w:ascii="Times New Roman" w:eastAsia="Times New Roman" w:hAnsi="Times New Roman" w:cs="Times New Roman"/>
                <w:color w:val="000000" w:themeColor="text1"/>
                <w:sz w:val="20"/>
                <w:szCs w:val="20"/>
                <w:lang w:val="fr-FR"/>
              </w:rPr>
              <w:t>“Biletimin tamamen iadesi beni memnun etti. İade için teşekkürler”</w:t>
            </w:r>
          </w:p>
        </w:tc>
      </w:tr>
      <w:tr w:rsidR="00164238" w:rsidRPr="00164238" w14:paraId="3D9DBD78" w14:textId="77777777" w:rsidTr="00254933">
        <w:tc>
          <w:tcPr>
            <w:tcW w:w="2112" w:type="dxa"/>
            <w:tcBorders>
              <w:top w:val="single" w:sz="4" w:space="0" w:color="auto"/>
              <w:left w:val="single" w:sz="4" w:space="0" w:color="auto"/>
              <w:bottom w:val="single" w:sz="4" w:space="0" w:color="auto"/>
              <w:right w:val="single" w:sz="4" w:space="0" w:color="auto"/>
            </w:tcBorders>
            <w:vAlign w:val="center"/>
            <w:hideMark/>
          </w:tcPr>
          <w:p w14:paraId="5DC8F7B9" w14:textId="77777777" w:rsidR="00254933" w:rsidRPr="00164238" w:rsidRDefault="00254933">
            <w:pPr>
              <w:keepNext/>
              <w:keepLines/>
              <w:jc w:val="center"/>
              <w:rPr>
                <w:rFonts w:ascii="Times New Roman" w:hAnsi="Times New Roman" w:cs="Times New Roman"/>
                <w:b/>
                <w:bCs/>
                <w:color w:val="000000" w:themeColor="text1"/>
              </w:rPr>
            </w:pPr>
            <w:r w:rsidRPr="00164238">
              <w:rPr>
                <w:rFonts w:ascii="Times New Roman" w:eastAsia="Times New Roman" w:hAnsi="Times New Roman" w:cs="Times New Roman"/>
                <w:b/>
                <w:bCs/>
                <w:color w:val="000000" w:themeColor="text1"/>
                <w:sz w:val="20"/>
                <w:szCs w:val="20"/>
                <w:lang w:val="fr-FR"/>
              </w:rPr>
              <w:t>Negatif (-)</w:t>
            </w:r>
          </w:p>
        </w:tc>
        <w:tc>
          <w:tcPr>
            <w:tcW w:w="6590" w:type="dxa"/>
            <w:tcBorders>
              <w:top w:val="single" w:sz="4" w:space="0" w:color="auto"/>
              <w:left w:val="single" w:sz="4" w:space="0" w:color="auto"/>
              <w:bottom w:val="single" w:sz="4" w:space="0" w:color="auto"/>
              <w:right w:val="single" w:sz="4" w:space="0" w:color="auto"/>
            </w:tcBorders>
            <w:hideMark/>
          </w:tcPr>
          <w:p w14:paraId="01D461AE" w14:textId="77777777" w:rsidR="00254933" w:rsidRPr="00164238" w:rsidRDefault="00254933">
            <w:pPr>
              <w:keepNext/>
              <w:keepLines/>
              <w:jc w:val="both"/>
              <w:rPr>
                <w:rFonts w:ascii="Times New Roman" w:eastAsia="Times New Roman" w:hAnsi="Times New Roman" w:cs="Times New Roman"/>
                <w:color w:val="000000" w:themeColor="text1"/>
                <w:sz w:val="20"/>
                <w:szCs w:val="20"/>
                <w:lang w:val="fr-FR"/>
              </w:rPr>
            </w:pPr>
            <w:r w:rsidRPr="00164238">
              <w:rPr>
                <w:rFonts w:ascii="Times New Roman" w:eastAsia="Times New Roman" w:hAnsi="Times New Roman" w:cs="Times New Roman"/>
                <w:color w:val="000000" w:themeColor="text1"/>
                <w:sz w:val="20"/>
                <w:szCs w:val="20"/>
                <w:lang w:val="fr-FR"/>
              </w:rPr>
              <w:t>“Şikayetim hizlıca çözüldü, sikayetvar a çok teşekkür ederim, iyi ki var böyle bir site”</w:t>
            </w:r>
          </w:p>
          <w:p w14:paraId="4BB41226" w14:textId="77777777" w:rsidR="00254933" w:rsidRPr="00164238" w:rsidRDefault="00254933">
            <w:pPr>
              <w:keepNext/>
              <w:keepLines/>
              <w:jc w:val="both"/>
              <w:rPr>
                <w:rFonts w:ascii="Times New Roman" w:eastAsia="Times New Roman" w:hAnsi="Times New Roman" w:cs="Times New Roman"/>
                <w:color w:val="000000" w:themeColor="text1"/>
                <w:sz w:val="20"/>
                <w:szCs w:val="20"/>
                <w:lang w:val="fr-FR"/>
              </w:rPr>
            </w:pPr>
            <w:r w:rsidRPr="00164238">
              <w:rPr>
                <w:rFonts w:ascii="Times New Roman" w:eastAsia="Times New Roman" w:hAnsi="Times New Roman" w:cs="Times New Roman"/>
                <w:color w:val="000000" w:themeColor="text1"/>
                <w:sz w:val="20"/>
                <w:szCs w:val="20"/>
                <w:lang w:val="fr-FR"/>
              </w:rPr>
              <w:t>“Geç de olsa sorunumun çözümü için teşekkürler”</w:t>
            </w:r>
          </w:p>
          <w:p w14:paraId="56290FA7" w14:textId="77777777" w:rsidR="00254933" w:rsidRPr="00164238" w:rsidRDefault="00254933">
            <w:pPr>
              <w:keepNext/>
              <w:keepLines/>
              <w:jc w:val="both"/>
              <w:rPr>
                <w:rFonts w:ascii="Times New Roman" w:eastAsia="Times New Roman" w:hAnsi="Times New Roman" w:cs="Times New Roman"/>
                <w:color w:val="000000" w:themeColor="text1"/>
                <w:sz w:val="20"/>
                <w:szCs w:val="20"/>
                <w:lang w:val="fr-FR"/>
              </w:rPr>
            </w:pPr>
            <w:r w:rsidRPr="00164238">
              <w:rPr>
                <w:rFonts w:ascii="Times New Roman" w:eastAsia="Times New Roman" w:hAnsi="Times New Roman" w:cs="Times New Roman"/>
                <w:color w:val="000000" w:themeColor="text1"/>
                <w:sz w:val="20"/>
                <w:szCs w:val="20"/>
                <w:lang w:val="fr-FR"/>
              </w:rPr>
              <w:t>“Hemen olmasa da birkaç mailleşme sonunda istediğim dokümana ulaşabildim. Hiç zor bir konu değildi ama uğraştırdı... Yine de çözüldü teşekkürler.”</w:t>
            </w:r>
          </w:p>
          <w:p w14:paraId="004A4DF7" w14:textId="77777777" w:rsidR="00254933" w:rsidRPr="00164238" w:rsidRDefault="00254933">
            <w:pPr>
              <w:keepNext/>
              <w:keepLines/>
              <w:jc w:val="both"/>
              <w:rPr>
                <w:rFonts w:ascii="Times New Roman" w:eastAsia="Times New Roman" w:hAnsi="Times New Roman" w:cs="Times New Roman"/>
                <w:color w:val="000000" w:themeColor="text1"/>
                <w:sz w:val="20"/>
                <w:szCs w:val="20"/>
                <w:lang w:val="fr-FR"/>
              </w:rPr>
            </w:pPr>
            <w:r w:rsidRPr="00164238">
              <w:rPr>
                <w:rFonts w:ascii="Times New Roman" w:eastAsia="Times New Roman" w:hAnsi="Times New Roman" w:cs="Times New Roman"/>
                <w:color w:val="000000" w:themeColor="text1"/>
                <w:sz w:val="20"/>
                <w:szCs w:val="20"/>
                <w:lang w:val="fr-FR"/>
              </w:rPr>
              <w:t>“07.12.2020 Tarihi itibarı ile Hesabıma iade işlemi gerçekleşti teşekkür ederim. Bir daha asla Pegasus Hava Yolları şirketinin müşterisi olmayı düşünmüyorum.”</w:t>
            </w:r>
          </w:p>
        </w:tc>
      </w:tr>
      <w:tr w:rsidR="00254933" w:rsidRPr="00164238" w14:paraId="5B48BA54" w14:textId="77777777" w:rsidTr="00254933">
        <w:tc>
          <w:tcPr>
            <w:tcW w:w="2112" w:type="dxa"/>
            <w:tcBorders>
              <w:top w:val="single" w:sz="4" w:space="0" w:color="auto"/>
              <w:left w:val="single" w:sz="4" w:space="0" w:color="auto"/>
              <w:bottom w:val="single" w:sz="4" w:space="0" w:color="auto"/>
              <w:right w:val="single" w:sz="4" w:space="0" w:color="auto"/>
            </w:tcBorders>
            <w:vAlign w:val="center"/>
            <w:hideMark/>
          </w:tcPr>
          <w:p w14:paraId="677A7C09" w14:textId="77777777" w:rsidR="00254933" w:rsidRPr="00164238" w:rsidRDefault="00254933">
            <w:pPr>
              <w:keepNext/>
              <w:keepLines/>
              <w:jc w:val="center"/>
              <w:rPr>
                <w:rFonts w:ascii="Times New Roman" w:hAnsi="Times New Roman" w:cs="Times New Roman"/>
                <w:b/>
                <w:bCs/>
                <w:color w:val="000000" w:themeColor="text1"/>
              </w:rPr>
            </w:pPr>
            <w:r w:rsidRPr="00164238">
              <w:rPr>
                <w:rFonts w:ascii="Times New Roman" w:eastAsia="Times New Roman" w:hAnsi="Times New Roman" w:cs="Times New Roman"/>
                <w:b/>
                <w:bCs/>
                <w:color w:val="000000" w:themeColor="text1"/>
                <w:sz w:val="20"/>
                <w:szCs w:val="20"/>
                <w:lang w:val="fr-FR"/>
              </w:rPr>
              <w:t>Nötr</w:t>
            </w:r>
          </w:p>
        </w:tc>
        <w:tc>
          <w:tcPr>
            <w:tcW w:w="6590" w:type="dxa"/>
            <w:tcBorders>
              <w:top w:val="single" w:sz="4" w:space="0" w:color="auto"/>
              <w:left w:val="single" w:sz="4" w:space="0" w:color="auto"/>
              <w:bottom w:val="single" w:sz="4" w:space="0" w:color="auto"/>
              <w:right w:val="single" w:sz="4" w:space="0" w:color="auto"/>
            </w:tcBorders>
            <w:hideMark/>
          </w:tcPr>
          <w:p w14:paraId="60F54C85" w14:textId="77777777" w:rsidR="00254933" w:rsidRPr="00164238" w:rsidRDefault="00254933">
            <w:pPr>
              <w:keepNext/>
              <w:keepLines/>
              <w:jc w:val="both"/>
              <w:rPr>
                <w:rFonts w:ascii="Times New Roman" w:eastAsia="Times New Roman" w:hAnsi="Times New Roman" w:cs="Times New Roman"/>
                <w:color w:val="000000" w:themeColor="text1"/>
                <w:sz w:val="20"/>
                <w:szCs w:val="20"/>
                <w:lang w:val="fr-FR"/>
              </w:rPr>
            </w:pPr>
            <w:r w:rsidRPr="00164238">
              <w:rPr>
                <w:rFonts w:ascii="Times New Roman" w:eastAsia="Times New Roman" w:hAnsi="Times New Roman" w:cs="Times New Roman"/>
                <w:color w:val="000000" w:themeColor="text1"/>
                <w:sz w:val="20"/>
                <w:szCs w:val="20"/>
                <w:lang w:val="fr-FR"/>
              </w:rPr>
              <w:t>“Sorunum giderildi. Teşekkürler”</w:t>
            </w:r>
          </w:p>
          <w:p w14:paraId="3D856FB2" w14:textId="77777777" w:rsidR="00254933" w:rsidRPr="00164238" w:rsidRDefault="00254933">
            <w:pPr>
              <w:keepNext/>
              <w:keepLines/>
              <w:jc w:val="both"/>
              <w:rPr>
                <w:rFonts w:ascii="Times New Roman" w:eastAsia="Times New Roman" w:hAnsi="Times New Roman" w:cs="Times New Roman"/>
                <w:color w:val="000000" w:themeColor="text1"/>
                <w:sz w:val="20"/>
                <w:szCs w:val="20"/>
                <w:lang w:val="fr-FR"/>
              </w:rPr>
            </w:pPr>
            <w:r w:rsidRPr="00164238">
              <w:rPr>
                <w:rFonts w:ascii="Times New Roman" w:eastAsia="Times New Roman" w:hAnsi="Times New Roman" w:cs="Times New Roman"/>
                <w:color w:val="000000" w:themeColor="text1"/>
                <w:sz w:val="20"/>
                <w:szCs w:val="20"/>
                <w:lang w:val="fr-FR"/>
              </w:rPr>
              <w:t>“Sağ olun”</w:t>
            </w:r>
          </w:p>
          <w:p w14:paraId="431AD049" w14:textId="77777777" w:rsidR="00254933" w:rsidRPr="00164238" w:rsidRDefault="00254933">
            <w:pPr>
              <w:keepNext/>
              <w:keepLines/>
              <w:jc w:val="both"/>
              <w:rPr>
                <w:rFonts w:ascii="Times New Roman" w:eastAsia="Times New Roman" w:hAnsi="Times New Roman" w:cs="Times New Roman"/>
                <w:color w:val="000000" w:themeColor="text1"/>
                <w:sz w:val="20"/>
                <w:szCs w:val="20"/>
                <w:lang w:val="fr-FR"/>
              </w:rPr>
            </w:pPr>
            <w:r w:rsidRPr="00164238">
              <w:rPr>
                <w:rFonts w:ascii="Times New Roman" w:eastAsia="Times New Roman" w:hAnsi="Times New Roman" w:cs="Times New Roman"/>
                <w:color w:val="000000" w:themeColor="text1"/>
                <w:sz w:val="20"/>
                <w:szCs w:val="20"/>
                <w:lang w:val="fr-FR"/>
              </w:rPr>
              <w:t>“Sorun bugün giderildi. Teşekkürler.”</w:t>
            </w:r>
          </w:p>
          <w:p w14:paraId="76B56B70" w14:textId="77777777" w:rsidR="00254933" w:rsidRPr="00164238" w:rsidRDefault="00254933">
            <w:pPr>
              <w:keepNext/>
              <w:keepLines/>
              <w:jc w:val="both"/>
              <w:rPr>
                <w:rFonts w:ascii="Times New Roman" w:eastAsia="Times New Roman" w:hAnsi="Times New Roman" w:cs="Times New Roman"/>
                <w:color w:val="000000" w:themeColor="text1"/>
                <w:sz w:val="20"/>
                <w:szCs w:val="20"/>
                <w:lang w:val="fr-FR"/>
              </w:rPr>
            </w:pPr>
            <w:r w:rsidRPr="00164238">
              <w:rPr>
                <w:rFonts w:ascii="Times New Roman" w:eastAsia="Times New Roman" w:hAnsi="Times New Roman" w:cs="Times New Roman"/>
                <w:color w:val="000000" w:themeColor="text1"/>
                <w:sz w:val="20"/>
                <w:szCs w:val="20"/>
                <w:lang w:val="fr-FR"/>
              </w:rPr>
              <w:t>“Sorunum çözüldü”</w:t>
            </w:r>
          </w:p>
          <w:p w14:paraId="28E7AF9C" w14:textId="77777777" w:rsidR="00254933" w:rsidRPr="00164238" w:rsidRDefault="00254933">
            <w:pPr>
              <w:keepNext/>
              <w:keepLines/>
              <w:jc w:val="both"/>
              <w:rPr>
                <w:rFonts w:ascii="Times New Roman" w:hAnsi="Times New Roman" w:cs="Times New Roman"/>
                <w:b/>
                <w:bCs/>
                <w:color w:val="000000" w:themeColor="text1"/>
              </w:rPr>
            </w:pPr>
            <w:r w:rsidRPr="00164238">
              <w:rPr>
                <w:rFonts w:ascii="Times New Roman" w:eastAsia="Times New Roman" w:hAnsi="Times New Roman" w:cs="Times New Roman"/>
                <w:color w:val="000000" w:themeColor="text1"/>
                <w:sz w:val="20"/>
                <w:szCs w:val="20"/>
                <w:lang w:val="fr-FR"/>
              </w:rPr>
              <w:t>“Sorunum çözüldü. Teşekkür ederim.”</w:t>
            </w:r>
          </w:p>
        </w:tc>
      </w:tr>
    </w:tbl>
    <w:p w14:paraId="10210D5F" w14:textId="77777777" w:rsidR="00254933" w:rsidRPr="00164238" w:rsidRDefault="00254933" w:rsidP="00254933">
      <w:pPr>
        <w:spacing w:after="0" w:line="240" w:lineRule="auto"/>
        <w:ind w:left="360"/>
        <w:jc w:val="both"/>
        <w:rPr>
          <w:rFonts w:ascii="Times New Roman" w:hAnsi="Times New Roman" w:cs="Times New Roman"/>
          <w:b/>
          <w:bCs/>
          <w:color w:val="000000" w:themeColor="text1"/>
        </w:rPr>
      </w:pPr>
    </w:p>
    <w:p w14:paraId="5F0ABBB8" w14:textId="77777777" w:rsidR="00254933" w:rsidRPr="00164238" w:rsidRDefault="00254933" w:rsidP="00254933">
      <w:pPr>
        <w:spacing w:before="120" w:after="120"/>
        <w:ind w:firstLine="567"/>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xml:space="preserve">Düşük maliyetli havayollarına ilişkin şikayetlerin çözüm süreci sonucunda yolcuların değerlendirmeleri ise Tablo 3’de verilmiştir. Çözüm sonrası yapılan değerlendirmeler incelendiğinde; yüksek çoğunlukta nötr (“…sorunum çözüldü”, “…sorunum giderildi…” gibi) geri bildirimlerin olduğu gözlemlenmiştir. Düşük maliyetli havayollarında nötr yaklaşımın altında yatan en önemli neden daha önce de bahsedildiği gibi fiyat hassasiyeti ve gelir düzeyi arasındaki farka bağlılık olarak ifade edilebilir.    </w:t>
      </w:r>
    </w:p>
    <w:p w14:paraId="39D06340" w14:textId="77777777" w:rsidR="00254933" w:rsidRPr="00164238" w:rsidRDefault="00254933" w:rsidP="00254933">
      <w:pPr>
        <w:keepNext/>
        <w:keepLines/>
        <w:spacing w:after="0" w:line="240" w:lineRule="auto"/>
        <w:rPr>
          <w:rFonts w:ascii="Times New Roman" w:hAnsi="Times New Roman" w:cs="Times New Roman"/>
          <w:b/>
          <w:bCs/>
          <w:color w:val="000000" w:themeColor="text1"/>
        </w:rPr>
      </w:pPr>
      <w:r w:rsidRPr="00164238">
        <w:rPr>
          <w:rFonts w:ascii="Times New Roman" w:eastAsia="Times New Roman" w:hAnsi="Times New Roman" w:cs="Times New Roman"/>
          <w:b/>
          <w:bCs/>
          <w:color w:val="000000" w:themeColor="text1"/>
          <w:sz w:val="20"/>
          <w:szCs w:val="20"/>
          <w:lang w:val="fr-FR"/>
        </w:rPr>
        <w:t>Tablo 4.</w:t>
      </w:r>
      <w:r w:rsidRPr="00164238">
        <w:rPr>
          <w:rFonts w:ascii="Times New Roman" w:hAnsi="Times New Roman" w:cs="Times New Roman"/>
          <w:b/>
          <w:bCs/>
          <w:color w:val="000000" w:themeColor="text1"/>
          <w:lang w:val="fr-FR"/>
        </w:rPr>
        <w:t xml:space="preserve"> </w:t>
      </w:r>
      <w:r w:rsidRPr="00164238">
        <w:rPr>
          <w:rFonts w:ascii="Times New Roman" w:eastAsia="Times New Roman" w:hAnsi="Times New Roman" w:cs="Times New Roman"/>
          <w:color w:val="000000" w:themeColor="text1"/>
          <w:sz w:val="20"/>
          <w:szCs w:val="20"/>
          <w:lang w:val="fr-FR"/>
        </w:rPr>
        <w:t>Şikayetlerin Çözümü Sonrası Müşteri Yorumlarının Duygu Kutupları</w:t>
      </w:r>
    </w:p>
    <w:tbl>
      <w:tblPr>
        <w:tblW w:w="5000" w:type="pct"/>
        <w:tblCellMar>
          <w:left w:w="0" w:type="dxa"/>
          <w:right w:w="0" w:type="dxa"/>
        </w:tblCellMar>
        <w:tblLook w:val="0420" w:firstRow="1" w:lastRow="0" w:firstColumn="0" w:lastColumn="0" w:noHBand="0" w:noVBand="1"/>
      </w:tblPr>
      <w:tblGrid>
        <w:gridCol w:w="503"/>
        <w:gridCol w:w="864"/>
        <w:gridCol w:w="506"/>
        <w:gridCol w:w="533"/>
        <w:gridCol w:w="621"/>
        <w:gridCol w:w="786"/>
        <w:gridCol w:w="533"/>
        <w:gridCol w:w="541"/>
        <w:gridCol w:w="394"/>
        <w:gridCol w:w="533"/>
        <w:gridCol w:w="755"/>
        <w:gridCol w:w="854"/>
        <w:gridCol w:w="533"/>
        <w:gridCol w:w="529"/>
      </w:tblGrid>
      <w:tr w:rsidR="00164238" w:rsidRPr="00164238" w14:paraId="7313FD57" w14:textId="77777777" w:rsidTr="00254933">
        <w:trPr>
          <w:trHeight w:val="410"/>
        </w:trPr>
        <w:tc>
          <w:tcPr>
            <w:tcW w:w="297" w:type="pct"/>
            <w:vMerge w:val="restart"/>
            <w:tcBorders>
              <w:top w:val="single" w:sz="8" w:space="0" w:color="BF6A3B"/>
              <w:left w:val="single" w:sz="8" w:space="0" w:color="BF6A3B"/>
              <w:bottom w:val="single" w:sz="18" w:space="0" w:color="BF6A3B"/>
              <w:right w:val="single" w:sz="8" w:space="0" w:color="BF6A3B"/>
            </w:tcBorders>
            <w:tcMar>
              <w:top w:w="21" w:type="dxa"/>
              <w:left w:w="21" w:type="dxa"/>
              <w:bottom w:w="0" w:type="dxa"/>
              <w:right w:w="21" w:type="dxa"/>
            </w:tcMar>
            <w:textDirection w:val="btLr"/>
            <w:vAlign w:val="center"/>
            <w:hideMark/>
          </w:tcPr>
          <w:p w14:paraId="0A7C6D30"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Geleneksel Havayolu</w:t>
            </w:r>
          </w:p>
        </w:tc>
        <w:tc>
          <w:tcPr>
            <w:tcW w:w="509" w:type="pct"/>
            <w:vMerge w:val="restart"/>
            <w:tcBorders>
              <w:top w:val="single" w:sz="8" w:space="0" w:color="BF6A3B"/>
              <w:left w:val="single" w:sz="8" w:space="0" w:color="BF6A3B"/>
              <w:bottom w:val="single" w:sz="18" w:space="0" w:color="BF6A3B"/>
              <w:right w:val="single" w:sz="8" w:space="0" w:color="BF6A3B"/>
            </w:tcBorders>
            <w:tcMar>
              <w:top w:w="21" w:type="dxa"/>
              <w:left w:w="21" w:type="dxa"/>
              <w:bottom w:w="0" w:type="dxa"/>
              <w:right w:w="21" w:type="dxa"/>
            </w:tcMar>
            <w:vAlign w:val="center"/>
            <w:hideMark/>
          </w:tcPr>
          <w:p w14:paraId="6275833B"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YORUM</w:t>
            </w:r>
          </w:p>
        </w:tc>
        <w:tc>
          <w:tcPr>
            <w:tcW w:w="612" w:type="pct"/>
            <w:gridSpan w:val="2"/>
            <w:tcBorders>
              <w:top w:val="single" w:sz="8" w:space="0" w:color="BF6A3B"/>
              <w:left w:val="single" w:sz="8" w:space="0" w:color="BF6A3B"/>
              <w:bottom w:val="single" w:sz="18" w:space="0" w:color="BF6A3B"/>
              <w:right w:val="single" w:sz="8" w:space="0" w:color="BF6A3B"/>
            </w:tcBorders>
            <w:tcMar>
              <w:top w:w="21" w:type="dxa"/>
              <w:left w:w="21" w:type="dxa"/>
              <w:bottom w:w="0" w:type="dxa"/>
              <w:right w:w="21" w:type="dxa"/>
            </w:tcMar>
            <w:vAlign w:val="center"/>
            <w:hideMark/>
          </w:tcPr>
          <w:p w14:paraId="5138627F"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Bagaj</w:t>
            </w:r>
          </w:p>
        </w:tc>
        <w:tc>
          <w:tcPr>
            <w:tcW w:w="829" w:type="pct"/>
            <w:gridSpan w:val="2"/>
            <w:tcBorders>
              <w:top w:val="single" w:sz="8" w:space="0" w:color="BF6A3B"/>
              <w:left w:val="single" w:sz="8" w:space="0" w:color="BF6A3B"/>
              <w:bottom w:val="single" w:sz="18" w:space="0" w:color="BF6A3B"/>
              <w:right w:val="single" w:sz="8" w:space="0" w:color="BF6A3B"/>
            </w:tcBorders>
            <w:tcMar>
              <w:top w:w="21" w:type="dxa"/>
              <w:left w:w="21" w:type="dxa"/>
              <w:bottom w:w="0" w:type="dxa"/>
              <w:right w:w="21" w:type="dxa"/>
            </w:tcMar>
            <w:vAlign w:val="center"/>
            <w:hideMark/>
          </w:tcPr>
          <w:p w14:paraId="7B2789D6"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Bilet Değişikliği</w:t>
            </w:r>
          </w:p>
        </w:tc>
        <w:tc>
          <w:tcPr>
            <w:tcW w:w="633" w:type="pct"/>
            <w:gridSpan w:val="2"/>
            <w:tcBorders>
              <w:top w:val="single" w:sz="8" w:space="0" w:color="BF6A3B"/>
              <w:left w:val="single" w:sz="8" w:space="0" w:color="BF6A3B"/>
              <w:bottom w:val="single" w:sz="18" w:space="0" w:color="BF6A3B"/>
              <w:right w:val="single" w:sz="8" w:space="0" w:color="BF6A3B"/>
            </w:tcBorders>
            <w:tcMar>
              <w:top w:w="21" w:type="dxa"/>
              <w:left w:w="21" w:type="dxa"/>
              <w:bottom w:w="0" w:type="dxa"/>
              <w:right w:w="21" w:type="dxa"/>
            </w:tcMar>
            <w:vAlign w:val="center"/>
            <w:hideMark/>
          </w:tcPr>
          <w:p w14:paraId="36DFBF91"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Bilet İadesi</w:t>
            </w:r>
          </w:p>
        </w:tc>
        <w:tc>
          <w:tcPr>
            <w:tcW w:w="546" w:type="pct"/>
            <w:gridSpan w:val="2"/>
            <w:tcBorders>
              <w:top w:val="single" w:sz="8" w:space="0" w:color="BF6A3B"/>
              <w:left w:val="single" w:sz="8" w:space="0" w:color="BF6A3B"/>
              <w:bottom w:val="single" w:sz="18" w:space="0" w:color="BF6A3B"/>
              <w:right w:val="single" w:sz="8" w:space="0" w:color="BF6A3B"/>
            </w:tcBorders>
            <w:tcMar>
              <w:top w:w="21" w:type="dxa"/>
              <w:left w:w="21" w:type="dxa"/>
              <w:bottom w:w="0" w:type="dxa"/>
              <w:right w:w="21" w:type="dxa"/>
            </w:tcMar>
            <w:vAlign w:val="center"/>
            <w:hideMark/>
          </w:tcPr>
          <w:p w14:paraId="40C4FC03"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Mil</w:t>
            </w:r>
          </w:p>
        </w:tc>
        <w:tc>
          <w:tcPr>
            <w:tcW w:w="948" w:type="pct"/>
            <w:gridSpan w:val="2"/>
            <w:tcBorders>
              <w:top w:val="single" w:sz="8" w:space="0" w:color="BF6A3B"/>
              <w:left w:val="single" w:sz="8" w:space="0" w:color="BF6A3B"/>
              <w:bottom w:val="single" w:sz="18" w:space="0" w:color="BF6A3B"/>
              <w:right w:val="single" w:sz="8" w:space="0" w:color="BF6A3B"/>
            </w:tcBorders>
            <w:tcMar>
              <w:top w:w="21" w:type="dxa"/>
              <w:left w:w="21" w:type="dxa"/>
              <w:bottom w:w="0" w:type="dxa"/>
              <w:right w:w="21" w:type="dxa"/>
            </w:tcMar>
            <w:vAlign w:val="center"/>
            <w:hideMark/>
          </w:tcPr>
          <w:p w14:paraId="6004CCDD"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Müşteri Hizmetleri</w:t>
            </w:r>
          </w:p>
        </w:tc>
        <w:tc>
          <w:tcPr>
            <w:tcW w:w="626" w:type="pct"/>
            <w:gridSpan w:val="2"/>
            <w:tcBorders>
              <w:top w:val="single" w:sz="8" w:space="0" w:color="BF6A3B"/>
              <w:left w:val="single" w:sz="8" w:space="0" w:color="BF6A3B"/>
              <w:bottom w:val="single" w:sz="18" w:space="0" w:color="BF6A3B"/>
              <w:right w:val="single" w:sz="8" w:space="0" w:color="BF6A3B"/>
            </w:tcBorders>
            <w:tcMar>
              <w:top w:w="21" w:type="dxa"/>
              <w:left w:w="21" w:type="dxa"/>
              <w:bottom w:w="0" w:type="dxa"/>
              <w:right w:w="21" w:type="dxa"/>
            </w:tcMar>
            <w:vAlign w:val="center"/>
            <w:hideMark/>
          </w:tcPr>
          <w:p w14:paraId="333428F5"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Toplam</w:t>
            </w:r>
          </w:p>
        </w:tc>
      </w:tr>
      <w:tr w:rsidR="00164238" w:rsidRPr="00164238" w14:paraId="48737476" w14:textId="77777777" w:rsidTr="00254933">
        <w:trPr>
          <w:trHeight w:val="1105"/>
        </w:trPr>
        <w:tc>
          <w:tcPr>
            <w:tcW w:w="0" w:type="auto"/>
            <w:vMerge/>
            <w:tcBorders>
              <w:top w:val="single" w:sz="8" w:space="0" w:color="BF6A3B"/>
              <w:left w:val="single" w:sz="8" w:space="0" w:color="BF6A3B"/>
              <w:bottom w:val="single" w:sz="18" w:space="0" w:color="BF6A3B"/>
              <w:right w:val="single" w:sz="8" w:space="0" w:color="BF6A3B"/>
            </w:tcBorders>
            <w:vAlign w:val="center"/>
            <w:hideMark/>
          </w:tcPr>
          <w:p w14:paraId="60EAF79A" w14:textId="77777777" w:rsidR="00254933" w:rsidRPr="00164238" w:rsidRDefault="00254933">
            <w:pPr>
              <w:spacing w:after="0"/>
              <w:rPr>
                <w:rFonts w:ascii="Times New Roman" w:hAnsi="Times New Roman" w:cs="Times New Roman"/>
                <w:b/>
                <w:bCs/>
                <w:color w:val="000000" w:themeColor="text1"/>
                <w:sz w:val="20"/>
                <w:szCs w:val="20"/>
              </w:rPr>
            </w:pPr>
          </w:p>
        </w:tc>
        <w:tc>
          <w:tcPr>
            <w:tcW w:w="0" w:type="auto"/>
            <w:vMerge/>
            <w:tcBorders>
              <w:top w:val="single" w:sz="8" w:space="0" w:color="BF6A3B"/>
              <w:left w:val="single" w:sz="8" w:space="0" w:color="BF6A3B"/>
              <w:bottom w:val="single" w:sz="18" w:space="0" w:color="BF6A3B"/>
              <w:right w:val="single" w:sz="8" w:space="0" w:color="BF6A3B"/>
            </w:tcBorders>
            <w:vAlign w:val="center"/>
            <w:hideMark/>
          </w:tcPr>
          <w:p w14:paraId="3129B8AC" w14:textId="77777777" w:rsidR="00254933" w:rsidRPr="00164238" w:rsidRDefault="00254933">
            <w:pPr>
              <w:spacing w:after="0"/>
              <w:rPr>
                <w:rFonts w:ascii="Times New Roman" w:hAnsi="Times New Roman" w:cs="Times New Roman"/>
                <w:b/>
                <w:bCs/>
                <w:color w:val="000000" w:themeColor="text1"/>
                <w:sz w:val="20"/>
                <w:szCs w:val="20"/>
              </w:rPr>
            </w:pPr>
          </w:p>
        </w:tc>
        <w:tc>
          <w:tcPr>
            <w:tcW w:w="298" w:type="pct"/>
            <w:tcBorders>
              <w:top w:val="single" w:sz="18" w:space="0" w:color="BF6A3B"/>
              <w:left w:val="single" w:sz="18" w:space="0" w:color="BF6A3B"/>
              <w:bottom w:val="single" w:sz="8" w:space="0" w:color="BF6A3B"/>
              <w:right w:val="single" w:sz="8" w:space="0" w:color="BF6A3B"/>
            </w:tcBorders>
            <w:shd w:val="clear" w:color="auto" w:fill="F4EBE8"/>
            <w:tcMar>
              <w:top w:w="21" w:type="dxa"/>
              <w:left w:w="21" w:type="dxa"/>
              <w:bottom w:w="0" w:type="dxa"/>
              <w:right w:w="21" w:type="dxa"/>
            </w:tcMar>
            <w:textDirection w:val="btLr"/>
            <w:vAlign w:val="center"/>
            <w:hideMark/>
          </w:tcPr>
          <w:p w14:paraId="289E5D47"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Frekans</w:t>
            </w:r>
          </w:p>
        </w:tc>
        <w:tc>
          <w:tcPr>
            <w:tcW w:w="314" w:type="pct"/>
            <w:tcBorders>
              <w:top w:val="single" w:sz="1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textDirection w:val="btLr"/>
            <w:vAlign w:val="center"/>
            <w:hideMark/>
          </w:tcPr>
          <w:p w14:paraId="5E6D2882"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w:t>
            </w:r>
          </w:p>
        </w:tc>
        <w:tc>
          <w:tcPr>
            <w:tcW w:w="366" w:type="pct"/>
            <w:tcBorders>
              <w:top w:val="single" w:sz="1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textDirection w:val="btLr"/>
            <w:vAlign w:val="center"/>
            <w:hideMark/>
          </w:tcPr>
          <w:p w14:paraId="1CB7FA84"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Frekans</w:t>
            </w:r>
          </w:p>
        </w:tc>
        <w:tc>
          <w:tcPr>
            <w:tcW w:w="463" w:type="pct"/>
            <w:tcBorders>
              <w:top w:val="single" w:sz="1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textDirection w:val="btLr"/>
            <w:vAlign w:val="center"/>
            <w:hideMark/>
          </w:tcPr>
          <w:p w14:paraId="59125405"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w:t>
            </w:r>
          </w:p>
        </w:tc>
        <w:tc>
          <w:tcPr>
            <w:tcW w:w="314" w:type="pct"/>
            <w:tcBorders>
              <w:top w:val="single" w:sz="1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textDirection w:val="btLr"/>
            <w:vAlign w:val="center"/>
            <w:hideMark/>
          </w:tcPr>
          <w:p w14:paraId="2F2E3B41"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Frekans</w:t>
            </w:r>
          </w:p>
        </w:tc>
        <w:tc>
          <w:tcPr>
            <w:tcW w:w="319" w:type="pct"/>
            <w:tcBorders>
              <w:top w:val="single" w:sz="1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textDirection w:val="btLr"/>
            <w:vAlign w:val="center"/>
            <w:hideMark/>
          </w:tcPr>
          <w:p w14:paraId="1BA3F49F"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w:t>
            </w:r>
          </w:p>
        </w:tc>
        <w:tc>
          <w:tcPr>
            <w:tcW w:w="232" w:type="pct"/>
            <w:tcBorders>
              <w:top w:val="single" w:sz="1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textDirection w:val="btLr"/>
            <w:vAlign w:val="center"/>
            <w:hideMark/>
          </w:tcPr>
          <w:p w14:paraId="7BEC4097"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Frekans</w:t>
            </w:r>
          </w:p>
        </w:tc>
        <w:tc>
          <w:tcPr>
            <w:tcW w:w="314" w:type="pct"/>
            <w:tcBorders>
              <w:top w:val="single" w:sz="1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textDirection w:val="btLr"/>
            <w:vAlign w:val="center"/>
            <w:hideMark/>
          </w:tcPr>
          <w:p w14:paraId="3176CFFA"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w:t>
            </w:r>
          </w:p>
        </w:tc>
        <w:tc>
          <w:tcPr>
            <w:tcW w:w="445" w:type="pct"/>
            <w:tcBorders>
              <w:top w:val="single" w:sz="1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textDirection w:val="btLr"/>
            <w:vAlign w:val="center"/>
            <w:hideMark/>
          </w:tcPr>
          <w:p w14:paraId="36156BAF"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Frekans</w:t>
            </w:r>
          </w:p>
        </w:tc>
        <w:tc>
          <w:tcPr>
            <w:tcW w:w="503" w:type="pct"/>
            <w:tcBorders>
              <w:top w:val="single" w:sz="1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textDirection w:val="btLr"/>
            <w:vAlign w:val="center"/>
            <w:hideMark/>
          </w:tcPr>
          <w:p w14:paraId="6ED0E573"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w:t>
            </w:r>
          </w:p>
        </w:tc>
        <w:tc>
          <w:tcPr>
            <w:tcW w:w="314" w:type="pct"/>
            <w:tcBorders>
              <w:top w:val="single" w:sz="1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textDirection w:val="btLr"/>
            <w:vAlign w:val="center"/>
            <w:hideMark/>
          </w:tcPr>
          <w:p w14:paraId="5EFF548D"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Frekans</w:t>
            </w:r>
          </w:p>
        </w:tc>
        <w:tc>
          <w:tcPr>
            <w:tcW w:w="312" w:type="pct"/>
            <w:tcBorders>
              <w:top w:val="single" w:sz="1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textDirection w:val="btLr"/>
            <w:vAlign w:val="center"/>
            <w:hideMark/>
          </w:tcPr>
          <w:p w14:paraId="045B9518"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w:t>
            </w:r>
          </w:p>
        </w:tc>
      </w:tr>
      <w:tr w:rsidR="00164238" w:rsidRPr="00164238" w14:paraId="08C52823" w14:textId="77777777" w:rsidTr="00254933">
        <w:trPr>
          <w:trHeight w:val="410"/>
        </w:trPr>
        <w:tc>
          <w:tcPr>
            <w:tcW w:w="0" w:type="auto"/>
            <w:vMerge/>
            <w:tcBorders>
              <w:top w:val="single" w:sz="8" w:space="0" w:color="BF6A3B"/>
              <w:left w:val="single" w:sz="8" w:space="0" w:color="BF6A3B"/>
              <w:bottom w:val="single" w:sz="18" w:space="0" w:color="BF6A3B"/>
              <w:right w:val="single" w:sz="8" w:space="0" w:color="BF6A3B"/>
            </w:tcBorders>
            <w:vAlign w:val="center"/>
            <w:hideMark/>
          </w:tcPr>
          <w:p w14:paraId="1047BC4B" w14:textId="77777777" w:rsidR="00254933" w:rsidRPr="00164238" w:rsidRDefault="00254933">
            <w:pPr>
              <w:spacing w:after="0"/>
              <w:rPr>
                <w:rFonts w:ascii="Times New Roman" w:hAnsi="Times New Roman" w:cs="Times New Roman"/>
                <w:b/>
                <w:bCs/>
                <w:color w:val="000000" w:themeColor="text1"/>
                <w:sz w:val="20"/>
                <w:szCs w:val="20"/>
              </w:rPr>
            </w:pPr>
          </w:p>
        </w:tc>
        <w:tc>
          <w:tcPr>
            <w:tcW w:w="509" w:type="pct"/>
            <w:tcBorders>
              <w:top w:val="single" w:sz="18" w:space="0" w:color="BF6A3B"/>
              <w:left w:val="single" w:sz="18" w:space="0" w:color="BF6A3B"/>
              <w:bottom w:val="single" w:sz="8" w:space="0" w:color="BF6A3B"/>
              <w:right w:val="single" w:sz="8" w:space="0" w:color="BF6A3B"/>
            </w:tcBorders>
            <w:tcMar>
              <w:top w:w="21" w:type="dxa"/>
              <w:left w:w="21" w:type="dxa"/>
              <w:bottom w:w="0" w:type="dxa"/>
              <w:right w:w="21" w:type="dxa"/>
            </w:tcMar>
            <w:vAlign w:val="center"/>
            <w:hideMark/>
          </w:tcPr>
          <w:p w14:paraId="2B0F5287"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Pozitif</w:t>
            </w:r>
          </w:p>
        </w:tc>
        <w:tc>
          <w:tcPr>
            <w:tcW w:w="298"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vAlign w:val="center"/>
            <w:hideMark/>
          </w:tcPr>
          <w:p w14:paraId="05DDD140"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6</w:t>
            </w:r>
          </w:p>
        </w:tc>
        <w:tc>
          <w:tcPr>
            <w:tcW w:w="314"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vAlign w:val="center"/>
            <w:hideMark/>
          </w:tcPr>
          <w:p w14:paraId="29B12D50"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7,1</w:t>
            </w:r>
          </w:p>
        </w:tc>
        <w:tc>
          <w:tcPr>
            <w:tcW w:w="366"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vAlign w:val="center"/>
            <w:hideMark/>
          </w:tcPr>
          <w:p w14:paraId="0D241E39"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21</w:t>
            </w:r>
          </w:p>
        </w:tc>
        <w:tc>
          <w:tcPr>
            <w:tcW w:w="463"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vAlign w:val="center"/>
            <w:hideMark/>
          </w:tcPr>
          <w:p w14:paraId="3DA8211C"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24,7</w:t>
            </w:r>
          </w:p>
        </w:tc>
        <w:tc>
          <w:tcPr>
            <w:tcW w:w="314"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vAlign w:val="center"/>
            <w:hideMark/>
          </w:tcPr>
          <w:p w14:paraId="760B160C"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17</w:t>
            </w:r>
          </w:p>
        </w:tc>
        <w:tc>
          <w:tcPr>
            <w:tcW w:w="319"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vAlign w:val="center"/>
            <w:hideMark/>
          </w:tcPr>
          <w:p w14:paraId="2259B343"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20,0</w:t>
            </w:r>
          </w:p>
        </w:tc>
        <w:tc>
          <w:tcPr>
            <w:tcW w:w="232"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vAlign w:val="center"/>
            <w:hideMark/>
          </w:tcPr>
          <w:p w14:paraId="663ED034"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3</w:t>
            </w:r>
          </w:p>
        </w:tc>
        <w:tc>
          <w:tcPr>
            <w:tcW w:w="314"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vAlign w:val="center"/>
            <w:hideMark/>
          </w:tcPr>
          <w:p w14:paraId="12C643F1"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3,5</w:t>
            </w:r>
          </w:p>
        </w:tc>
        <w:tc>
          <w:tcPr>
            <w:tcW w:w="445"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vAlign w:val="center"/>
            <w:hideMark/>
          </w:tcPr>
          <w:p w14:paraId="5B29415A"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11</w:t>
            </w:r>
          </w:p>
        </w:tc>
        <w:tc>
          <w:tcPr>
            <w:tcW w:w="503"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vAlign w:val="center"/>
            <w:hideMark/>
          </w:tcPr>
          <w:p w14:paraId="58BCFA80"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12,9</w:t>
            </w:r>
          </w:p>
        </w:tc>
        <w:tc>
          <w:tcPr>
            <w:tcW w:w="314"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vAlign w:val="center"/>
            <w:hideMark/>
          </w:tcPr>
          <w:p w14:paraId="64E2F46A"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58</w:t>
            </w:r>
          </w:p>
        </w:tc>
        <w:tc>
          <w:tcPr>
            <w:tcW w:w="312"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vAlign w:val="center"/>
            <w:hideMark/>
          </w:tcPr>
          <w:p w14:paraId="71C76045"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68,2</w:t>
            </w:r>
          </w:p>
        </w:tc>
      </w:tr>
      <w:tr w:rsidR="00164238" w:rsidRPr="00164238" w14:paraId="64312B5B" w14:textId="77777777" w:rsidTr="00254933">
        <w:trPr>
          <w:trHeight w:val="410"/>
        </w:trPr>
        <w:tc>
          <w:tcPr>
            <w:tcW w:w="0" w:type="auto"/>
            <w:vMerge/>
            <w:tcBorders>
              <w:top w:val="single" w:sz="8" w:space="0" w:color="BF6A3B"/>
              <w:left w:val="single" w:sz="8" w:space="0" w:color="BF6A3B"/>
              <w:bottom w:val="single" w:sz="18" w:space="0" w:color="BF6A3B"/>
              <w:right w:val="single" w:sz="8" w:space="0" w:color="BF6A3B"/>
            </w:tcBorders>
            <w:vAlign w:val="center"/>
            <w:hideMark/>
          </w:tcPr>
          <w:p w14:paraId="0EA17DF1" w14:textId="77777777" w:rsidR="00254933" w:rsidRPr="00164238" w:rsidRDefault="00254933">
            <w:pPr>
              <w:spacing w:after="0"/>
              <w:rPr>
                <w:rFonts w:ascii="Times New Roman" w:hAnsi="Times New Roman" w:cs="Times New Roman"/>
                <w:b/>
                <w:bCs/>
                <w:color w:val="000000" w:themeColor="text1"/>
                <w:sz w:val="20"/>
                <w:szCs w:val="20"/>
              </w:rPr>
            </w:pPr>
          </w:p>
        </w:tc>
        <w:tc>
          <w:tcPr>
            <w:tcW w:w="509" w:type="pct"/>
            <w:tcBorders>
              <w:top w:val="single" w:sz="8" w:space="0" w:color="BF6A3B"/>
              <w:left w:val="single" w:sz="1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64693501"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Negatif</w:t>
            </w:r>
          </w:p>
        </w:tc>
        <w:tc>
          <w:tcPr>
            <w:tcW w:w="298" w:type="pct"/>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332358E1"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2</w:t>
            </w:r>
          </w:p>
        </w:tc>
        <w:tc>
          <w:tcPr>
            <w:tcW w:w="314" w:type="pct"/>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6E1590B1"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2,4</w:t>
            </w:r>
          </w:p>
        </w:tc>
        <w:tc>
          <w:tcPr>
            <w:tcW w:w="366" w:type="pct"/>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4C5CD827"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3</w:t>
            </w:r>
          </w:p>
        </w:tc>
        <w:tc>
          <w:tcPr>
            <w:tcW w:w="463" w:type="pct"/>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20DD21C4"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3,5</w:t>
            </w:r>
          </w:p>
        </w:tc>
        <w:tc>
          <w:tcPr>
            <w:tcW w:w="314" w:type="pct"/>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5E652E9F"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2</w:t>
            </w:r>
          </w:p>
        </w:tc>
        <w:tc>
          <w:tcPr>
            <w:tcW w:w="319" w:type="pct"/>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6ABA8278"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2,4</w:t>
            </w:r>
          </w:p>
        </w:tc>
        <w:tc>
          <w:tcPr>
            <w:tcW w:w="232" w:type="pct"/>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102C2757"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1</w:t>
            </w:r>
          </w:p>
        </w:tc>
        <w:tc>
          <w:tcPr>
            <w:tcW w:w="314" w:type="pct"/>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08EDDDBF"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1,2</w:t>
            </w:r>
          </w:p>
        </w:tc>
        <w:tc>
          <w:tcPr>
            <w:tcW w:w="445" w:type="pct"/>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28609126"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3</w:t>
            </w:r>
          </w:p>
        </w:tc>
        <w:tc>
          <w:tcPr>
            <w:tcW w:w="503" w:type="pct"/>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1BAD3174"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3,5</w:t>
            </w:r>
          </w:p>
        </w:tc>
        <w:tc>
          <w:tcPr>
            <w:tcW w:w="314" w:type="pct"/>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5E4EF007"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11</w:t>
            </w:r>
          </w:p>
        </w:tc>
        <w:tc>
          <w:tcPr>
            <w:tcW w:w="312" w:type="pct"/>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155B21ED"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12,9</w:t>
            </w:r>
          </w:p>
        </w:tc>
      </w:tr>
      <w:tr w:rsidR="00164238" w:rsidRPr="00164238" w14:paraId="165A8F67" w14:textId="77777777" w:rsidTr="00254933">
        <w:trPr>
          <w:trHeight w:val="410"/>
        </w:trPr>
        <w:tc>
          <w:tcPr>
            <w:tcW w:w="0" w:type="auto"/>
            <w:vMerge/>
            <w:tcBorders>
              <w:top w:val="single" w:sz="8" w:space="0" w:color="BF6A3B"/>
              <w:left w:val="single" w:sz="8" w:space="0" w:color="BF6A3B"/>
              <w:bottom w:val="single" w:sz="18" w:space="0" w:color="BF6A3B"/>
              <w:right w:val="single" w:sz="8" w:space="0" w:color="BF6A3B"/>
            </w:tcBorders>
            <w:vAlign w:val="center"/>
            <w:hideMark/>
          </w:tcPr>
          <w:p w14:paraId="4D592CFB" w14:textId="77777777" w:rsidR="00254933" w:rsidRPr="00164238" w:rsidRDefault="00254933">
            <w:pPr>
              <w:spacing w:after="0"/>
              <w:rPr>
                <w:rFonts w:ascii="Times New Roman" w:hAnsi="Times New Roman" w:cs="Times New Roman"/>
                <w:b/>
                <w:bCs/>
                <w:color w:val="000000" w:themeColor="text1"/>
                <w:sz w:val="20"/>
                <w:szCs w:val="20"/>
              </w:rPr>
            </w:pPr>
          </w:p>
        </w:tc>
        <w:tc>
          <w:tcPr>
            <w:tcW w:w="509" w:type="pct"/>
            <w:tcBorders>
              <w:top w:val="single" w:sz="8" w:space="0" w:color="BF6A3B"/>
              <w:left w:val="single" w:sz="18" w:space="0" w:color="BF6A3B"/>
              <w:bottom w:val="single" w:sz="8" w:space="0" w:color="BF6A3B"/>
              <w:right w:val="single" w:sz="8" w:space="0" w:color="BF6A3B"/>
            </w:tcBorders>
            <w:tcMar>
              <w:top w:w="21" w:type="dxa"/>
              <w:left w:w="21" w:type="dxa"/>
              <w:bottom w:w="0" w:type="dxa"/>
              <w:right w:w="21" w:type="dxa"/>
            </w:tcMar>
            <w:vAlign w:val="center"/>
            <w:hideMark/>
          </w:tcPr>
          <w:p w14:paraId="711F7ABD"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Nötr</w:t>
            </w:r>
          </w:p>
        </w:tc>
        <w:tc>
          <w:tcPr>
            <w:tcW w:w="298"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vAlign w:val="center"/>
            <w:hideMark/>
          </w:tcPr>
          <w:p w14:paraId="5FB49188"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w:t>
            </w:r>
          </w:p>
        </w:tc>
        <w:tc>
          <w:tcPr>
            <w:tcW w:w="314"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vAlign w:val="center"/>
            <w:hideMark/>
          </w:tcPr>
          <w:p w14:paraId="2D3FE566"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w:t>
            </w:r>
          </w:p>
        </w:tc>
        <w:tc>
          <w:tcPr>
            <w:tcW w:w="366"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vAlign w:val="center"/>
            <w:hideMark/>
          </w:tcPr>
          <w:p w14:paraId="07504F7A"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2</w:t>
            </w:r>
          </w:p>
        </w:tc>
        <w:tc>
          <w:tcPr>
            <w:tcW w:w="463"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vAlign w:val="center"/>
            <w:hideMark/>
          </w:tcPr>
          <w:p w14:paraId="2F05B17F"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2,4</w:t>
            </w:r>
          </w:p>
        </w:tc>
        <w:tc>
          <w:tcPr>
            <w:tcW w:w="314"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vAlign w:val="center"/>
            <w:hideMark/>
          </w:tcPr>
          <w:p w14:paraId="08771521"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5</w:t>
            </w:r>
          </w:p>
        </w:tc>
        <w:tc>
          <w:tcPr>
            <w:tcW w:w="319"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vAlign w:val="center"/>
            <w:hideMark/>
          </w:tcPr>
          <w:p w14:paraId="5B724B1C"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5,9</w:t>
            </w:r>
          </w:p>
        </w:tc>
        <w:tc>
          <w:tcPr>
            <w:tcW w:w="232"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vAlign w:val="center"/>
            <w:hideMark/>
          </w:tcPr>
          <w:p w14:paraId="4AB84CE2"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w:t>
            </w:r>
          </w:p>
        </w:tc>
        <w:tc>
          <w:tcPr>
            <w:tcW w:w="314"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vAlign w:val="center"/>
            <w:hideMark/>
          </w:tcPr>
          <w:p w14:paraId="1B6A6088"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w:t>
            </w:r>
          </w:p>
        </w:tc>
        <w:tc>
          <w:tcPr>
            <w:tcW w:w="445"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vAlign w:val="center"/>
            <w:hideMark/>
          </w:tcPr>
          <w:p w14:paraId="5B06007F"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9</w:t>
            </w:r>
          </w:p>
        </w:tc>
        <w:tc>
          <w:tcPr>
            <w:tcW w:w="503"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vAlign w:val="center"/>
            <w:hideMark/>
          </w:tcPr>
          <w:p w14:paraId="104DDFBB"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10,6</w:t>
            </w:r>
          </w:p>
        </w:tc>
        <w:tc>
          <w:tcPr>
            <w:tcW w:w="314"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vAlign w:val="center"/>
            <w:hideMark/>
          </w:tcPr>
          <w:p w14:paraId="168CC960"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16</w:t>
            </w:r>
          </w:p>
        </w:tc>
        <w:tc>
          <w:tcPr>
            <w:tcW w:w="312"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vAlign w:val="center"/>
            <w:hideMark/>
          </w:tcPr>
          <w:p w14:paraId="32162372"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18,8</w:t>
            </w:r>
          </w:p>
        </w:tc>
      </w:tr>
      <w:tr w:rsidR="00164238" w:rsidRPr="00164238" w14:paraId="0410CD9F" w14:textId="77777777" w:rsidTr="00254933">
        <w:trPr>
          <w:trHeight w:val="410"/>
        </w:trPr>
        <w:tc>
          <w:tcPr>
            <w:tcW w:w="297" w:type="pct"/>
            <w:vMerge w:val="restart"/>
            <w:tcBorders>
              <w:top w:val="single" w:sz="1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textDirection w:val="btLr"/>
            <w:vAlign w:val="center"/>
            <w:hideMark/>
          </w:tcPr>
          <w:p w14:paraId="2B3C24BB"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Düşük Maliyetli Havayolu</w:t>
            </w:r>
          </w:p>
        </w:tc>
        <w:tc>
          <w:tcPr>
            <w:tcW w:w="509" w:type="pct"/>
            <w:vMerge w:val="restart"/>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3D59EA42"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YORUM</w:t>
            </w:r>
          </w:p>
        </w:tc>
        <w:tc>
          <w:tcPr>
            <w:tcW w:w="612" w:type="pct"/>
            <w:gridSpan w:val="2"/>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3D7CB507"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Bagaj</w:t>
            </w:r>
          </w:p>
        </w:tc>
        <w:tc>
          <w:tcPr>
            <w:tcW w:w="829" w:type="pct"/>
            <w:gridSpan w:val="2"/>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74399938"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Bilet Değişikliği</w:t>
            </w:r>
          </w:p>
        </w:tc>
        <w:tc>
          <w:tcPr>
            <w:tcW w:w="633" w:type="pct"/>
            <w:gridSpan w:val="2"/>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60B7E4B7"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Bilet İadesi</w:t>
            </w:r>
          </w:p>
        </w:tc>
        <w:tc>
          <w:tcPr>
            <w:tcW w:w="546" w:type="pct"/>
            <w:gridSpan w:val="2"/>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09CE2590"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Mil</w:t>
            </w:r>
          </w:p>
        </w:tc>
        <w:tc>
          <w:tcPr>
            <w:tcW w:w="948" w:type="pct"/>
            <w:gridSpan w:val="2"/>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4483BA10"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Müşteri Hizmetleri</w:t>
            </w:r>
          </w:p>
        </w:tc>
        <w:tc>
          <w:tcPr>
            <w:tcW w:w="626" w:type="pct"/>
            <w:gridSpan w:val="2"/>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0C85CCDC"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Toplam</w:t>
            </w:r>
          </w:p>
        </w:tc>
      </w:tr>
      <w:tr w:rsidR="00164238" w:rsidRPr="00164238" w14:paraId="22679187" w14:textId="77777777" w:rsidTr="00254933">
        <w:trPr>
          <w:trHeight w:val="1105"/>
        </w:trPr>
        <w:tc>
          <w:tcPr>
            <w:tcW w:w="0" w:type="auto"/>
            <w:vMerge/>
            <w:tcBorders>
              <w:top w:val="single" w:sz="18" w:space="0" w:color="BF6A3B"/>
              <w:left w:val="single" w:sz="8" w:space="0" w:color="BF6A3B"/>
              <w:bottom w:val="single" w:sz="8" w:space="0" w:color="BF6A3B"/>
              <w:right w:val="single" w:sz="8" w:space="0" w:color="BF6A3B"/>
            </w:tcBorders>
            <w:vAlign w:val="center"/>
            <w:hideMark/>
          </w:tcPr>
          <w:p w14:paraId="13ACFAFF" w14:textId="77777777" w:rsidR="00254933" w:rsidRPr="00164238" w:rsidRDefault="00254933">
            <w:pPr>
              <w:spacing w:after="0"/>
              <w:rPr>
                <w:rFonts w:ascii="Times New Roman" w:hAnsi="Times New Roman" w:cs="Times New Roman"/>
                <w:b/>
                <w:bCs/>
                <w:color w:val="000000" w:themeColor="text1"/>
                <w:sz w:val="20"/>
                <w:szCs w:val="20"/>
              </w:rPr>
            </w:pPr>
          </w:p>
        </w:tc>
        <w:tc>
          <w:tcPr>
            <w:tcW w:w="0" w:type="auto"/>
            <w:vMerge/>
            <w:tcBorders>
              <w:top w:val="single" w:sz="8" w:space="0" w:color="BF6A3B"/>
              <w:left w:val="single" w:sz="8" w:space="0" w:color="BF6A3B"/>
              <w:bottom w:val="single" w:sz="8" w:space="0" w:color="BF6A3B"/>
              <w:right w:val="single" w:sz="8" w:space="0" w:color="BF6A3B"/>
            </w:tcBorders>
            <w:vAlign w:val="center"/>
            <w:hideMark/>
          </w:tcPr>
          <w:p w14:paraId="6E25BEE2" w14:textId="77777777" w:rsidR="00254933" w:rsidRPr="00164238" w:rsidRDefault="00254933">
            <w:pPr>
              <w:spacing w:after="0"/>
              <w:rPr>
                <w:rFonts w:ascii="Times New Roman" w:hAnsi="Times New Roman" w:cs="Times New Roman"/>
                <w:b/>
                <w:bCs/>
                <w:color w:val="000000" w:themeColor="text1"/>
                <w:sz w:val="20"/>
                <w:szCs w:val="20"/>
              </w:rPr>
            </w:pPr>
          </w:p>
        </w:tc>
        <w:tc>
          <w:tcPr>
            <w:tcW w:w="298"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textDirection w:val="btLr"/>
            <w:vAlign w:val="center"/>
            <w:hideMark/>
          </w:tcPr>
          <w:p w14:paraId="3918D16C"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Frekans</w:t>
            </w:r>
          </w:p>
        </w:tc>
        <w:tc>
          <w:tcPr>
            <w:tcW w:w="314"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textDirection w:val="btLr"/>
            <w:vAlign w:val="center"/>
            <w:hideMark/>
          </w:tcPr>
          <w:p w14:paraId="0826F6AD"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w:t>
            </w:r>
          </w:p>
        </w:tc>
        <w:tc>
          <w:tcPr>
            <w:tcW w:w="366"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textDirection w:val="btLr"/>
            <w:vAlign w:val="center"/>
            <w:hideMark/>
          </w:tcPr>
          <w:p w14:paraId="59D2078A"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Frekans</w:t>
            </w:r>
          </w:p>
        </w:tc>
        <w:tc>
          <w:tcPr>
            <w:tcW w:w="463"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textDirection w:val="btLr"/>
            <w:vAlign w:val="center"/>
            <w:hideMark/>
          </w:tcPr>
          <w:p w14:paraId="697817EA"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w:t>
            </w:r>
          </w:p>
        </w:tc>
        <w:tc>
          <w:tcPr>
            <w:tcW w:w="314"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textDirection w:val="btLr"/>
            <w:vAlign w:val="center"/>
            <w:hideMark/>
          </w:tcPr>
          <w:p w14:paraId="3F3A6398"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Frekans</w:t>
            </w:r>
          </w:p>
        </w:tc>
        <w:tc>
          <w:tcPr>
            <w:tcW w:w="319"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textDirection w:val="btLr"/>
            <w:vAlign w:val="center"/>
            <w:hideMark/>
          </w:tcPr>
          <w:p w14:paraId="3E0B9429"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w:t>
            </w:r>
          </w:p>
        </w:tc>
        <w:tc>
          <w:tcPr>
            <w:tcW w:w="232"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textDirection w:val="btLr"/>
            <w:vAlign w:val="center"/>
            <w:hideMark/>
          </w:tcPr>
          <w:p w14:paraId="5D3FCFD8"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Frekans</w:t>
            </w:r>
          </w:p>
        </w:tc>
        <w:tc>
          <w:tcPr>
            <w:tcW w:w="314"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textDirection w:val="btLr"/>
            <w:vAlign w:val="center"/>
            <w:hideMark/>
          </w:tcPr>
          <w:p w14:paraId="74158155"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w:t>
            </w:r>
          </w:p>
        </w:tc>
        <w:tc>
          <w:tcPr>
            <w:tcW w:w="445"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textDirection w:val="btLr"/>
            <w:vAlign w:val="center"/>
            <w:hideMark/>
          </w:tcPr>
          <w:p w14:paraId="780FA159"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Frekans</w:t>
            </w:r>
          </w:p>
        </w:tc>
        <w:tc>
          <w:tcPr>
            <w:tcW w:w="503"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textDirection w:val="btLr"/>
            <w:vAlign w:val="center"/>
            <w:hideMark/>
          </w:tcPr>
          <w:p w14:paraId="0AADBCC2"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w:t>
            </w:r>
          </w:p>
        </w:tc>
        <w:tc>
          <w:tcPr>
            <w:tcW w:w="314"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textDirection w:val="btLr"/>
            <w:vAlign w:val="center"/>
            <w:hideMark/>
          </w:tcPr>
          <w:p w14:paraId="462F27D5"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Frekans</w:t>
            </w:r>
          </w:p>
        </w:tc>
        <w:tc>
          <w:tcPr>
            <w:tcW w:w="312"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textDirection w:val="btLr"/>
            <w:vAlign w:val="center"/>
            <w:hideMark/>
          </w:tcPr>
          <w:p w14:paraId="1A17E98D"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w:t>
            </w:r>
          </w:p>
        </w:tc>
      </w:tr>
      <w:tr w:rsidR="00164238" w:rsidRPr="00164238" w14:paraId="57E6DE62" w14:textId="77777777" w:rsidTr="00254933">
        <w:trPr>
          <w:trHeight w:val="410"/>
        </w:trPr>
        <w:tc>
          <w:tcPr>
            <w:tcW w:w="0" w:type="auto"/>
            <w:vMerge/>
            <w:tcBorders>
              <w:top w:val="single" w:sz="18" w:space="0" w:color="BF6A3B"/>
              <w:left w:val="single" w:sz="8" w:space="0" w:color="BF6A3B"/>
              <w:bottom w:val="single" w:sz="8" w:space="0" w:color="BF6A3B"/>
              <w:right w:val="single" w:sz="8" w:space="0" w:color="BF6A3B"/>
            </w:tcBorders>
            <w:vAlign w:val="center"/>
            <w:hideMark/>
          </w:tcPr>
          <w:p w14:paraId="7A46B092" w14:textId="77777777" w:rsidR="00254933" w:rsidRPr="00164238" w:rsidRDefault="00254933">
            <w:pPr>
              <w:spacing w:after="0"/>
              <w:rPr>
                <w:rFonts w:ascii="Times New Roman" w:hAnsi="Times New Roman" w:cs="Times New Roman"/>
                <w:b/>
                <w:bCs/>
                <w:color w:val="000000" w:themeColor="text1"/>
                <w:sz w:val="20"/>
                <w:szCs w:val="20"/>
              </w:rPr>
            </w:pPr>
          </w:p>
        </w:tc>
        <w:tc>
          <w:tcPr>
            <w:tcW w:w="509" w:type="pct"/>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04F0CAA7"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Pozitif</w:t>
            </w:r>
          </w:p>
        </w:tc>
        <w:tc>
          <w:tcPr>
            <w:tcW w:w="298" w:type="pct"/>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249B14A7"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1</w:t>
            </w:r>
          </w:p>
        </w:tc>
        <w:tc>
          <w:tcPr>
            <w:tcW w:w="314" w:type="pct"/>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6C74160B"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8,3</w:t>
            </w:r>
          </w:p>
        </w:tc>
        <w:tc>
          <w:tcPr>
            <w:tcW w:w="366" w:type="pct"/>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3C7E99DC"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3</w:t>
            </w:r>
          </w:p>
        </w:tc>
        <w:tc>
          <w:tcPr>
            <w:tcW w:w="463" w:type="pct"/>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5FE15C1F"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15,0</w:t>
            </w:r>
          </w:p>
        </w:tc>
        <w:tc>
          <w:tcPr>
            <w:tcW w:w="314" w:type="pct"/>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6397EAE0"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12</w:t>
            </w:r>
          </w:p>
        </w:tc>
        <w:tc>
          <w:tcPr>
            <w:tcW w:w="319" w:type="pct"/>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561A7681"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10,7</w:t>
            </w:r>
          </w:p>
        </w:tc>
        <w:tc>
          <w:tcPr>
            <w:tcW w:w="232" w:type="pct"/>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5041189D"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1</w:t>
            </w:r>
          </w:p>
        </w:tc>
        <w:tc>
          <w:tcPr>
            <w:tcW w:w="314" w:type="pct"/>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6C5A327F"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50,0</w:t>
            </w:r>
          </w:p>
        </w:tc>
        <w:tc>
          <w:tcPr>
            <w:tcW w:w="445" w:type="pct"/>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5B502ED1"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2</w:t>
            </w:r>
          </w:p>
        </w:tc>
        <w:tc>
          <w:tcPr>
            <w:tcW w:w="503" w:type="pct"/>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2E20EB5B"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5,6</w:t>
            </w:r>
          </w:p>
        </w:tc>
        <w:tc>
          <w:tcPr>
            <w:tcW w:w="314" w:type="pct"/>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3FF1DD52"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19</w:t>
            </w:r>
          </w:p>
        </w:tc>
        <w:tc>
          <w:tcPr>
            <w:tcW w:w="312" w:type="pct"/>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3CC475C5"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10,4</w:t>
            </w:r>
          </w:p>
        </w:tc>
      </w:tr>
      <w:tr w:rsidR="00164238" w:rsidRPr="00164238" w14:paraId="02FCE9DE" w14:textId="77777777" w:rsidTr="00254933">
        <w:trPr>
          <w:trHeight w:val="410"/>
        </w:trPr>
        <w:tc>
          <w:tcPr>
            <w:tcW w:w="0" w:type="auto"/>
            <w:vMerge/>
            <w:tcBorders>
              <w:top w:val="single" w:sz="18" w:space="0" w:color="BF6A3B"/>
              <w:left w:val="single" w:sz="8" w:space="0" w:color="BF6A3B"/>
              <w:bottom w:val="single" w:sz="8" w:space="0" w:color="BF6A3B"/>
              <w:right w:val="single" w:sz="8" w:space="0" w:color="BF6A3B"/>
            </w:tcBorders>
            <w:vAlign w:val="center"/>
            <w:hideMark/>
          </w:tcPr>
          <w:p w14:paraId="4EEE2AF2" w14:textId="77777777" w:rsidR="00254933" w:rsidRPr="00164238" w:rsidRDefault="00254933">
            <w:pPr>
              <w:spacing w:after="0"/>
              <w:rPr>
                <w:rFonts w:ascii="Times New Roman" w:hAnsi="Times New Roman" w:cs="Times New Roman"/>
                <w:b/>
                <w:bCs/>
                <w:color w:val="000000" w:themeColor="text1"/>
                <w:sz w:val="20"/>
                <w:szCs w:val="20"/>
              </w:rPr>
            </w:pPr>
          </w:p>
        </w:tc>
        <w:tc>
          <w:tcPr>
            <w:tcW w:w="509"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vAlign w:val="center"/>
            <w:hideMark/>
          </w:tcPr>
          <w:p w14:paraId="21F25B7C"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Negatif</w:t>
            </w:r>
          </w:p>
        </w:tc>
        <w:tc>
          <w:tcPr>
            <w:tcW w:w="298"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vAlign w:val="center"/>
            <w:hideMark/>
          </w:tcPr>
          <w:p w14:paraId="69AC6828"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3</w:t>
            </w:r>
          </w:p>
        </w:tc>
        <w:tc>
          <w:tcPr>
            <w:tcW w:w="314"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vAlign w:val="center"/>
            <w:hideMark/>
          </w:tcPr>
          <w:p w14:paraId="1624A4A5"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25,0</w:t>
            </w:r>
          </w:p>
        </w:tc>
        <w:tc>
          <w:tcPr>
            <w:tcW w:w="366"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vAlign w:val="center"/>
            <w:hideMark/>
          </w:tcPr>
          <w:p w14:paraId="16CD06D1"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w:t>
            </w:r>
          </w:p>
        </w:tc>
        <w:tc>
          <w:tcPr>
            <w:tcW w:w="463"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vAlign w:val="center"/>
            <w:hideMark/>
          </w:tcPr>
          <w:p w14:paraId="528B2E3B"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w:t>
            </w:r>
          </w:p>
        </w:tc>
        <w:tc>
          <w:tcPr>
            <w:tcW w:w="314"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vAlign w:val="center"/>
            <w:hideMark/>
          </w:tcPr>
          <w:p w14:paraId="40797103"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9</w:t>
            </w:r>
          </w:p>
        </w:tc>
        <w:tc>
          <w:tcPr>
            <w:tcW w:w="319"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vAlign w:val="center"/>
            <w:hideMark/>
          </w:tcPr>
          <w:p w14:paraId="0DF1694B"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8,0</w:t>
            </w:r>
          </w:p>
        </w:tc>
        <w:tc>
          <w:tcPr>
            <w:tcW w:w="232"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vAlign w:val="center"/>
            <w:hideMark/>
          </w:tcPr>
          <w:p w14:paraId="016116A0"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w:t>
            </w:r>
          </w:p>
        </w:tc>
        <w:tc>
          <w:tcPr>
            <w:tcW w:w="314"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vAlign w:val="center"/>
            <w:hideMark/>
          </w:tcPr>
          <w:p w14:paraId="04ADAA55"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w:t>
            </w:r>
          </w:p>
        </w:tc>
        <w:tc>
          <w:tcPr>
            <w:tcW w:w="445"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vAlign w:val="center"/>
            <w:hideMark/>
          </w:tcPr>
          <w:p w14:paraId="156C26D2"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3</w:t>
            </w:r>
          </w:p>
        </w:tc>
        <w:tc>
          <w:tcPr>
            <w:tcW w:w="503"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vAlign w:val="center"/>
            <w:hideMark/>
          </w:tcPr>
          <w:p w14:paraId="7119FE24"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8,3</w:t>
            </w:r>
          </w:p>
        </w:tc>
        <w:tc>
          <w:tcPr>
            <w:tcW w:w="314"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vAlign w:val="center"/>
            <w:hideMark/>
          </w:tcPr>
          <w:p w14:paraId="0D37A053"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15</w:t>
            </w:r>
          </w:p>
        </w:tc>
        <w:tc>
          <w:tcPr>
            <w:tcW w:w="312" w:type="pct"/>
            <w:tcBorders>
              <w:top w:val="single" w:sz="8" w:space="0" w:color="BF6A3B"/>
              <w:left w:val="single" w:sz="8" w:space="0" w:color="BF6A3B"/>
              <w:bottom w:val="single" w:sz="8" w:space="0" w:color="BF6A3B"/>
              <w:right w:val="single" w:sz="8" w:space="0" w:color="BF6A3B"/>
            </w:tcBorders>
            <w:tcMar>
              <w:top w:w="21" w:type="dxa"/>
              <w:left w:w="21" w:type="dxa"/>
              <w:bottom w:w="0" w:type="dxa"/>
              <w:right w:w="21" w:type="dxa"/>
            </w:tcMar>
            <w:vAlign w:val="center"/>
            <w:hideMark/>
          </w:tcPr>
          <w:p w14:paraId="2A0E55C3"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8,2</w:t>
            </w:r>
          </w:p>
        </w:tc>
      </w:tr>
      <w:tr w:rsidR="00164238" w:rsidRPr="00164238" w14:paraId="3457DC65" w14:textId="77777777" w:rsidTr="00254933">
        <w:trPr>
          <w:trHeight w:val="410"/>
        </w:trPr>
        <w:tc>
          <w:tcPr>
            <w:tcW w:w="0" w:type="auto"/>
            <w:vMerge/>
            <w:tcBorders>
              <w:top w:val="single" w:sz="18" w:space="0" w:color="BF6A3B"/>
              <w:left w:val="single" w:sz="8" w:space="0" w:color="BF6A3B"/>
              <w:bottom w:val="single" w:sz="8" w:space="0" w:color="BF6A3B"/>
              <w:right w:val="single" w:sz="8" w:space="0" w:color="BF6A3B"/>
            </w:tcBorders>
            <w:vAlign w:val="center"/>
            <w:hideMark/>
          </w:tcPr>
          <w:p w14:paraId="3BA49CD3" w14:textId="77777777" w:rsidR="00254933" w:rsidRPr="00164238" w:rsidRDefault="00254933">
            <w:pPr>
              <w:spacing w:after="0"/>
              <w:rPr>
                <w:rFonts w:ascii="Times New Roman" w:hAnsi="Times New Roman" w:cs="Times New Roman"/>
                <w:b/>
                <w:bCs/>
                <w:color w:val="000000" w:themeColor="text1"/>
                <w:sz w:val="20"/>
                <w:szCs w:val="20"/>
              </w:rPr>
            </w:pPr>
          </w:p>
        </w:tc>
        <w:tc>
          <w:tcPr>
            <w:tcW w:w="509" w:type="pct"/>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352126D1"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Nötr</w:t>
            </w:r>
          </w:p>
        </w:tc>
        <w:tc>
          <w:tcPr>
            <w:tcW w:w="298" w:type="pct"/>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53DAFA70"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2</w:t>
            </w:r>
          </w:p>
        </w:tc>
        <w:tc>
          <w:tcPr>
            <w:tcW w:w="314" w:type="pct"/>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12C684B7"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16,7</w:t>
            </w:r>
          </w:p>
        </w:tc>
        <w:tc>
          <w:tcPr>
            <w:tcW w:w="366" w:type="pct"/>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64DE14C7"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7</w:t>
            </w:r>
          </w:p>
        </w:tc>
        <w:tc>
          <w:tcPr>
            <w:tcW w:w="463" w:type="pct"/>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36D00E41"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35,0</w:t>
            </w:r>
          </w:p>
        </w:tc>
        <w:tc>
          <w:tcPr>
            <w:tcW w:w="314" w:type="pct"/>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66BFA608"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35</w:t>
            </w:r>
          </w:p>
        </w:tc>
        <w:tc>
          <w:tcPr>
            <w:tcW w:w="319" w:type="pct"/>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6151799D"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31,3</w:t>
            </w:r>
          </w:p>
        </w:tc>
        <w:tc>
          <w:tcPr>
            <w:tcW w:w="232" w:type="pct"/>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0DB36DC8"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w:t>
            </w:r>
          </w:p>
        </w:tc>
        <w:tc>
          <w:tcPr>
            <w:tcW w:w="314" w:type="pct"/>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37873ACB"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w:t>
            </w:r>
          </w:p>
        </w:tc>
        <w:tc>
          <w:tcPr>
            <w:tcW w:w="445" w:type="pct"/>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59E74CDE"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13</w:t>
            </w:r>
          </w:p>
        </w:tc>
        <w:tc>
          <w:tcPr>
            <w:tcW w:w="503" w:type="pct"/>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197CD9A9"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36,1</w:t>
            </w:r>
          </w:p>
        </w:tc>
        <w:tc>
          <w:tcPr>
            <w:tcW w:w="314" w:type="pct"/>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65B6E948"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57</w:t>
            </w:r>
          </w:p>
        </w:tc>
        <w:tc>
          <w:tcPr>
            <w:tcW w:w="312" w:type="pct"/>
            <w:tcBorders>
              <w:top w:val="single" w:sz="8" w:space="0" w:color="BF6A3B"/>
              <w:left w:val="single" w:sz="8" w:space="0" w:color="BF6A3B"/>
              <w:bottom w:val="single" w:sz="8" w:space="0" w:color="BF6A3B"/>
              <w:right w:val="single" w:sz="8" w:space="0" w:color="BF6A3B"/>
            </w:tcBorders>
            <w:shd w:val="clear" w:color="auto" w:fill="F4EBE8"/>
            <w:tcMar>
              <w:top w:w="21" w:type="dxa"/>
              <w:left w:w="21" w:type="dxa"/>
              <w:bottom w:w="0" w:type="dxa"/>
              <w:right w:w="21" w:type="dxa"/>
            </w:tcMar>
            <w:vAlign w:val="center"/>
            <w:hideMark/>
          </w:tcPr>
          <w:p w14:paraId="35205489" w14:textId="77777777" w:rsidR="00254933" w:rsidRPr="00164238" w:rsidRDefault="00254933">
            <w:pPr>
              <w:keepNext/>
              <w:keepLines/>
              <w:spacing w:after="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31,3</w:t>
            </w:r>
          </w:p>
        </w:tc>
      </w:tr>
    </w:tbl>
    <w:p w14:paraId="29AED341" w14:textId="77777777" w:rsidR="00254933" w:rsidRPr="00164238" w:rsidRDefault="00254933" w:rsidP="00254933">
      <w:pPr>
        <w:spacing w:before="120" w:after="120"/>
        <w:ind w:firstLine="567"/>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Şikayetlerin çözümü sonrasında müşteri geri bildirimlerinin duygu kutuplarına dağılımları Tablo 4’de verilmiştir. Ortaya çıkan sonuçlar; geleneksel havayollarında toplam geri bildirimlerin %68,2’sinin pozitif olduğu, düşük maliyetli havayollarında ise toplam geri bildirimlerin %31,3’ünün nötr olduğu görülmektedir.</w:t>
      </w:r>
    </w:p>
    <w:p w14:paraId="32EB1FCF" w14:textId="77777777" w:rsidR="00254933" w:rsidRPr="00164238" w:rsidRDefault="00254933" w:rsidP="00254933">
      <w:pPr>
        <w:spacing w:before="120" w:after="120"/>
        <w:ind w:firstLine="567"/>
        <w:jc w:val="both"/>
        <w:rPr>
          <w:rFonts w:ascii="Times New Roman" w:eastAsia="Times New Roman" w:hAnsi="Times New Roman" w:cs="Times New Roman"/>
          <w:b/>
          <w:bCs/>
          <w:color w:val="000000" w:themeColor="text1"/>
          <w:sz w:val="20"/>
          <w:szCs w:val="20"/>
        </w:rPr>
      </w:pPr>
      <w:r w:rsidRPr="00164238">
        <w:rPr>
          <w:rFonts w:ascii="Times New Roman" w:eastAsia="Times New Roman" w:hAnsi="Times New Roman" w:cs="Times New Roman"/>
          <w:b/>
          <w:bCs/>
          <w:color w:val="000000" w:themeColor="text1"/>
          <w:sz w:val="20"/>
          <w:szCs w:val="20"/>
        </w:rPr>
        <w:t xml:space="preserve">SONUÇ </w:t>
      </w:r>
    </w:p>
    <w:p w14:paraId="01300EB6" w14:textId="77777777" w:rsidR="00254933" w:rsidRPr="00164238" w:rsidRDefault="00254933" w:rsidP="00254933">
      <w:pPr>
        <w:spacing w:before="120" w:after="120"/>
        <w:ind w:firstLine="567"/>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xml:space="preserve">Ekonomik ve sosyal anlamda daha önce deneyimlenmemiş bir süreci beraberinde getiren pandemi döneminde işletmeler ve müşterileri arasındaki ilişkilerin dinamiklerinin belirlenmesi sonraki dönemlerde yaşanacak benzeri krizler için önem teşkil etmektedir. Bu bağlamda değişen tüketici alışkanlıklarını havayolu-yolcu bağlamında ele alarak değerin ortak yıkımı ve ortak olarak yeniden yaratımı bağlamında hizmet iyileştirme süreci çevrimiçi platformlar temelinde değerlendirilmiştir.    Literatürde yapılan çalışmalar, işletmelerin yaşanan değer yıkımı sonucu başarılı bir hizmet iyileştirmesi elde etmek için uygulayabilecekleri bir dizi strateji önermektedir. Bu stratejiler; değer yıkımını giderebilmek veya müşterilerin bu süreçteki gereksinimlerini karşılayacak alternatif seçenekler sunmak; değer yıkımı yaşayan müşterilerle iletişim kurarak geri bildirim sağlamak; müşterilere değer yıkımına neden olan durumları açık bir şekilde ifade etmek ve personelinin eylemlerinde profesyonel olmasını sağlamak (Boshoff ve Staude 2003; La ve Kandampully 2004; Xu vd., 2014; Lastner vd., 2016). Hizmet iyileştirmesi, havayolu endüstrisinde özellikle önemlidir, çünkü havayolları hizmet sürecinde ortaya çıkan değer yıkımını etkin bir şekilde gidererek, müşteri memnuniyetsizliğini en aza indirmesi ve müşterileriyle ilişkilerini güçlendirmesi gerekmektedir (Christopher vd., 2002; </w:t>
      </w:r>
      <w:r w:rsidRPr="00164238">
        <w:rPr>
          <w:rFonts w:ascii="Times New Roman" w:hAnsi="Times New Roman" w:cs="Times New Roman"/>
          <w:color w:val="000000" w:themeColor="text1"/>
          <w:sz w:val="20"/>
          <w:szCs w:val="20"/>
        </w:rPr>
        <w:t>Mostert vd., 2009</w:t>
      </w:r>
      <w:r w:rsidRPr="00164238">
        <w:rPr>
          <w:rFonts w:ascii="Times New Roman" w:eastAsia="Times New Roman" w:hAnsi="Times New Roman" w:cs="Times New Roman"/>
          <w:color w:val="000000" w:themeColor="text1"/>
          <w:sz w:val="20"/>
          <w:szCs w:val="20"/>
        </w:rPr>
        <w:t>).</w:t>
      </w:r>
    </w:p>
    <w:p w14:paraId="2BB10CAC" w14:textId="77777777" w:rsidR="00254933" w:rsidRPr="00164238" w:rsidRDefault="00254933" w:rsidP="00254933">
      <w:pPr>
        <w:spacing w:before="120" w:after="120"/>
        <w:ind w:firstLine="567"/>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Pandemi sürecinde havayolu endüstrisinde değer yıkımının meydana gelme olasılığı oldukça yüksek olduğundan, havayollarının yerinde hizmet iyileştirme stratejilerine sahip olması gerekmektedir. Havayolları, hizmet sürecindeki değer yıkımını hizmet iyileştirmesi ile değer yaratımına dönüştüremezse, müşterileriyle ilişkilerine zarar verebilir ve muhtemelen müşterilerin rakip havayollarına geçişine neden olabilir. Havayollarının pandemi sürecinde hizmet iyileştirme çabaları, bilet iadesi gibi önemli maliyetlere yol açsa da bu süreçte maliyetli olmayan hizmet iyileştirme süreci de aktif bir şekilde yönetilebilir. Havayolları müşteri hizmetlerini etkin bir şekilde yöneterek müşterilerin yalnızca onları bilgilendirerek ve başarısızlığın nedenini açıklayarak veya başarısızlık için özür dileyerek de tatmin olabileceğini göstermektedir.</w:t>
      </w:r>
    </w:p>
    <w:p w14:paraId="17125177" w14:textId="43EDA24A" w:rsidR="006A4DC2" w:rsidRPr="00164238" w:rsidRDefault="00C95516" w:rsidP="006A4DC2">
      <w:pPr>
        <w:spacing w:line="276" w:lineRule="auto"/>
        <w:ind w:firstLine="567"/>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Kaynakça</w:t>
      </w:r>
    </w:p>
    <w:p w14:paraId="6CA47988"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sz w:val="20"/>
          <w:szCs w:val="20"/>
        </w:rPr>
        <w:t>Boshoff, C., &amp; Staude, G. (2003). Satisfaction with service recovery: Its measurement and its outcomes. </w:t>
      </w:r>
      <w:r w:rsidRPr="00164238">
        <w:rPr>
          <w:rFonts w:ascii="Times New Roman" w:hAnsi="Times New Roman" w:cs="Times New Roman"/>
          <w:i/>
          <w:iCs/>
          <w:color w:val="000000" w:themeColor="text1"/>
          <w:sz w:val="20"/>
          <w:szCs w:val="20"/>
        </w:rPr>
        <w:t>South African journal of business management</w:t>
      </w:r>
      <w:r w:rsidRPr="00164238">
        <w:rPr>
          <w:rFonts w:ascii="Times New Roman" w:hAnsi="Times New Roman" w:cs="Times New Roman"/>
          <w:color w:val="000000" w:themeColor="text1"/>
          <w:sz w:val="20"/>
          <w:szCs w:val="20"/>
        </w:rPr>
        <w:t>, 34(3), 9-16.</w:t>
      </w:r>
    </w:p>
    <w:p w14:paraId="7CD738EF"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Christopher, M., Payne, A. &amp; Ballantyne, D. 2002, Relationship Marketing: Creating Stakeholder Value. Oxford: Butterworth Heinemann.</w:t>
      </w:r>
    </w:p>
    <w:p w14:paraId="67B023A1" w14:textId="77777777" w:rsidR="00254933" w:rsidRPr="00164238" w:rsidRDefault="00254933" w:rsidP="00254933">
      <w:pPr>
        <w:autoSpaceDE w:val="0"/>
        <w:autoSpaceDN w:val="0"/>
        <w:adjustRightInd w:val="0"/>
        <w:spacing w:before="120" w:after="0"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Doganis, R. (2002). Flying off course: The economics of international airlines. Psychology Press.</w:t>
      </w:r>
    </w:p>
    <w:p w14:paraId="6B53CC99"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sz w:val="20"/>
          <w:szCs w:val="20"/>
        </w:rPr>
        <w:t>Echeverri, P., &amp; Skålén, P. (2011). Co-creation and co-destruction: A practice-theory based study of interactive value formation. </w:t>
      </w:r>
      <w:r w:rsidRPr="00164238">
        <w:rPr>
          <w:rFonts w:ascii="Times New Roman" w:hAnsi="Times New Roman" w:cs="Times New Roman"/>
          <w:i/>
          <w:iCs/>
          <w:color w:val="000000" w:themeColor="text1"/>
          <w:sz w:val="20"/>
          <w:szCs w:val="20"/>
        </w:rPr>
        <w:t>Marketing theory,</w:t>
      </w:r>
      <w:r w:rsidRPr="00164238">
        <w:rPr>
          <w:rFonts w:ascii="Times New Roman" w:hAnsi="Times New Roman" w:cs="Times New Roman"/>
          <w:color w:val="000000" w:themeColor="text1"/>
          <w:sz w:val="20"/>
          <w:szCs w:val="20"/>
        </w:rPr>
        <w:t> 11(3), 351-373.</w:t>
      </w:r>
    </w:p>
    <w:p w14:paraId="08DD061E" w14:textId="77777777" w:rsidR="00254933" w:rsidRPr="00164238" w:rsidRDefault="00254933" w:rsidP="00254933">
      <w:pPr>
        <w:autoSpaceDE w:val="0"/>
        <w:autoSpaceDN w:val="0"/>
        <w:adjustRightInd w:val="0"/>
        <w:spacing w:before="120" w:after="0" w:line="240" w:lineRule="auto"/>
        <w:ind w:left="567" w:hanging="567"/>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Gelbrich, K., &amp; Roschk, H. (2011). A meta-analysis of organizational complaint handling and customer responses</w:t>
      </w:r>
      <w:r w:rsidRPr="00164238">
        <w:rPr>
          <w:rFonts w:ascii="Times New Roman" w:eastAsia="Times New Roman" w:hAnsi="Times New Roman" w:cs="Times New Roman"/>
          <w:i/>
          <w:iCs/>
          <w:color w:val="000000" w:themeColor="text1"/>
          <w:sz w:val="20"/>
          <w:szCs w:val="20"/>
        </w:rPr>
        <w:t>. Journal of Service research, </w:t>
      </w:r>
      <w:r w:rsidRPr="00164238">
        <w:rPr>
          <w:rFonts w:ascii="Times New Roman" w:eastAsia="Times New Roman" w:hAnsi="Times New Roman" w:cs="Times New Roman"/>
          <w:color w:val="000000" w:themeColor="text1"/>
          <w:sz w:val="20"/>
          <w:szCs w:val="20"/>
        </w:rPr>
        <w:t>14(1), 24-43.</w:t>
      </w:r>
    </w:p>
    <w:p w14:paraId="22405C2E"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sz w:val="20"/>
          <w:szCs w:val="20"/>
        </w:rPr>
        <w:t>Grégoire, Y., Tripp, T. M., &amp; Legoux, R. (2009). When customer love turns into lasting hate: The effects of relationship strength and time on customer revenge and avoidance. </w:t>
      </w:r>
      <w:r w:rsidRPr="00164238">
        <w:rPr>
          <w:rFonts w:ascii="Times New Roman" w:hAnsi="Times New Roman" w:cs="Times New Roman"/>
          <w:i/>
          <w:iCs/>
          <w:color w:val="000000" w:themeColor="text1"/>
          <w:sz w:val="20"/>
          <w:szCs w:val="20"/>
        </w:rPr>
        <w:t>Journal of marketing,</w:t>
      </w:r>
      <w:r w:rsidRPr="00164238">
        <w:rPr>
          <w:rFonts w:ascii="Times New Roman" w:hAnsi="Times New Roman" w:cs="Times New Roman"/>
          <w:color w:val="000000" w:themeColor="text1"/>
          <w:sz w:val="20"/>
          <w:szCs w:val="20"/>
        </w:rPr>
        <w:t> 73(6), 18-32.</w:t>
      </w:r>
    </w:p>
    <w:p w14:paraId="1A1D1BCB"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sz w:val="20"/>
          <w:szCs w:val="20"/>
        </w:rPr>
        <w:lastRenderedPageBreak/>
        <w:t xml:space="preserve">Grönroos, C. (2007). Service management and marketing: customer management in service competition. </w:t>
      </w:r>
      <w:r w:rsidRPr="00164238">
        <w:rPr>
          <w:rFonts w:ascii="Times New Roman" w:hAnsi="Times New Roman" w:cs="Times New Roman"/>
          <w:i/>
          <w:iCs/>
          <w:color w:val="000000" w:themeColor="text1"/>
          <w:sz w:val="20"/>
          <w:szCs w:val="20"/>
        </w:rPr>
        <w:t>John Wiley &amp; Sons.</w:t>
      </w:r>
    </w:p>
    <w:p w14:paraId="69BFEE5F"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sz w:val="20"/>
          <w:szCs w:val="20"/>
        </w:rPr>
        <w:t>Grönroos, C. (2008, December). Adopting a service business logic in relational business-to-business marketing: value creation, interaction and joint value co-creation. In Otago forum (Vol. 2, No. 9, pp. 269-287).</w:t>
      </w:r>
    </w:p>
    <w:p w14:paraId="03289220"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sz w:val="20"/>
          <w:szCs w:val="20"/>
        </w:rPr>
        <w:t>Grönroos, C. (2011). Value co-creation in service logic: A critical analysis. </w:t>
      </w:r>
      <w:r w:rsidRPr="00164238">
        <w:rPr>
          <w:rFonts w:ascii="Times New Roman" w:hAnsi="Times New Roman" w:cs="Times New Roman"/>
          <w:i/>
          <w:iCs/>
          <w:color w:val="000000" w:themeColor="text1"/>
          <w:sz w:val="20"/>
          <w:szCs w:val="20"/>
        </w:rPr>
        <w:t>Marketing theory,</w:t>
      </w:r>
      <w:r w:rsidRPr="00164238">
        <w:rPr>
          <w:rFonts w:ascii="Times New Roman" w:hAnsi="Times New Roman" w:cs="Times New Roman"/>
          <w:color w:val="000000" w:themeColor="text1"/>
          <w:sz w:val="20"/>
          <w:szCs w:val="20"/>
        </w:rPr>
        <w:t> 11(3), 279-301.</w:t>
      </w:r>
    </w:p>
    <w:p w14:paraId="467A8069"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sz w:val="20"/>
          <w:szCs w:val="20"/>
        </w:rPr>
        <w:t>Guan, X., Gong, J., Xie, L., &amp; Huan, T. C. (2020). Scale development of value co-destruction behavior in tourism. </w:t>
      </w:r>
      <w:r w:rsidRPr="00164238">
        <w:rPr>
          <w:rFonts w:ascii="Times New Roman" w:hAnsi="Times New Roman" w:cs="Times New Roman"/>
          <w:i/>
          <w:iCs/>
          <w:color w:val="000000" w:themeColor="text1"/>
          <w:sz w:val="20"/>
          <w:szCs w:val="20"/>
        </w:rPr>
        <w:t>Tourism Management Perspectives</w:t>
      </w:r>
      <w:r w:rsidRPr="00164238">
        <w:rPr>
          <w:rFonts w:ascii="Times New Roman" w:hAnsi="Times New Roman" w:cs="Times New Roman"/>
          <w:color w:val="000000" w:themeColor="text1"/>
          <w:sz w:val="20"/>
          <w:szCs w:val="20"/>
        </w:rPr>
        <w:t>, 36, 100757.</w:t>
      </w:r>
    </w:p>
    <w:p w14:paraId="649D0B1F"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Haksever, C., Render, B., Russell, R.S. &amp; Murdick, R.G. (2000). Service Management And Operations (2nd edition). New Jersey: Prentice Hall.</w:t>
      </w:r>
    </w:p>
    <w:p w14:paraId="77C07FF9"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i/>
          <w:iCs/>
          <w:color w:val="000000" w:themeColor="text1"/>
        </w:rPr>
      </w:pPr>
      <w:bookmarkStart w:id="98" w:name="_Hlk69605118"/>
      <w:r w:rsidRPr="00164238">
        <w:rPr>
          <w:rFonts w:ascii="Times New Roman" w:hAnsi="Times New Roman" w:cs="Times New Roman"/>
          <w:color w:val="000000" w:themeColor="text1"/>
          <w:sz w:val="20"/>
          <w:szCs w:val="20"/>
        </w:rPr>
        <w:t>Harris</w:t>
      </w:r>
      <w:bookmarkEnd w:id="98"/>
      <w:r w:rsidRPr="00164238">
        <w:rPr>
          <w:rFonts w:ascii="Times New Roman" w:hAnsi="Times New Roman" w:cs="Times New Roman"/>
          <w:color w:val="000000" w:themeColor="text1"/>
          <w:sz w:val="20"/>
          <w:szCs w:val="20"/>
        </w:rPr>
        <w:t>, L., Russell‐Bennett, R., Plé, L., &amp; Cáceres, R. C. (2010). Not always co‐creation: introducing interactional co‐destruction of value in service‐dominant logic. </w:t>
      </w:r>
      <w:r w:rsidRPr="00164238">
        <w:rPr>
          <w:rFonts w:ascii="Times New Roman" w:hAnsi="Times New Roman" w:cs="Times New Roman"/>
          <w:i/>
          <w:iCs/>
          <w:color w:val="000000" w:themeColor="text1"/>
          <w:sz w:val="20"/>
          <w:szCs w:val="20"/>
        </w:rPr>
        <w:t>Journal of services Marketing.</w:t>
      </w:r>
    </w:p>
    <w:p w14:paraId="2EFA59E3"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i/>
          <w:iCs/>
          <w:color w:val="000000" w:themeColor="text1"/>
        </w:rPr>
      </w:pPr>
      <w:r w:rsidRPr="00164238">
        <w:rPr>
          <w:rFonts w:ascii="Times New Roman" w:hAnsi="Times New Roman" w:cs="Times New Roman"/>
          <w:color w:val="000000" w:themeColor="text1"/>
          <w:sz w:val="20"/>
          <w:szCs w:val="20"/>
        </w:rPr>
        <w:t>La, K. V., &amp; Kandampully, J. (2004). Market oriented learning and customer value enhancement through service recovery management. </w:t>
      </w:r>
      <w:r w:rsidRPr="00164238">
        <w:rPr>
          <w:rFonts w:ascii="Times New Roman" w:hAnsi="Times New Roman" w:cs="Times New Roman"/>
          <w:i/>
          <w:iCs/>
          <w:color w:val="000000" w:themeColor="text1"/>
          <w:sz w:val="20"/>
          <w:szCs w:val="20"/>
        </w:rPr>
        <w:t>Managing Service Quality: An International Journal.</w:t>
      </w:r>
    </w:p>
    <w:p w14:paraId="555718A1"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sz w:val="20"/>
          <w:szCs w:val="20"/>
        </w:rPr>
        <w:t>Lastner, M. M., Folse, J. A. G., Mangus, S. M., &amp; Fennell, P. (2016). The road to recovery: Overcoming service failures through positive emotions</w:t>
      </w:r>
      <w:r w:rsidRPr="00164238">
        <w:rPr>
          <w:rFonts w:ascii="Times New Roman" w:hAnsi="Times New Roman" w:cs="Times New Roman"/>
          <w:i/>
          <w:iCs/>
          <w:color w:val="000000" w:themeColor="text1"/>
          <w:sz w:val="20"/>
          <w:szCs w:val="20"/>
        </w:rPr>
        <w:t>. Journal of Business Research,</w:t>
      </w:r>
      <w:r w:rsidRPr="00164238">
        <w:rPr>
          <w:rFonts w:ascii="Times New Roman" w:hAnsi="Times New Roman" w:cs="Times New Roman"/>
          <w:color w:val="000000" w:themeColor="text1"/>
          <w:sz w:val="20"/>
          <w:szCs w:val="20"/>
        </w:rPr>
        <w:t> 69(10), 4278-4286.</w:t>
      </w:r>
    </w:p>
    <w:p w14:paraId="0958B70D"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sz w:val="20"/>
          <w:szCs w:val="20"/>
        </w:rPr>
        <w:t>Marcos-Cuevas, J., Nätti, S., Palo, T., &amp; Ryals, L. J. (2014). Implementing key account management: Intraorganizational practices and associated dilemmas. </w:t>
      </w:r>
      <w:r w:rsidRPr="00164238">
        <w:rPr>
          <w:rFonts w:ascii="Times New Roman" w:hAnsi="Times New Roman" w:cs="Times New Roman"/>
          <w:i/>
          <w:iCs/>
          <w:color w:val="000000" w:themeColor="text1"/>
          <w:sz w:val="20"/>
          <w:szCs w:val="20"/>
        </w:rPr>
        <w:t>Industrial Marketing Management</w:t>
      </w:r>
      <w:r w:rsidRPr="00164238">
        <w:rPr>
          <w:rFonts w:ascii="Times New Roman" w:hAnsi="Times New Roman" w:cs="Times New Roman"/>
          <w:color w:val="000000" w:themeColor="text1"/>
          <w:sz w:val="20"/>
          <w:szCs w:val="20"/>
        </w:rPr>
        <w:t>, 43(7), 1216-1224.</w:t>
      </w:r>
    </w:p>
    <w:p w14:paraId="2B732A0B"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sz w:val="20"/>
          <w:szCs w:val="20"/>
        </w:rPr>
        <w:t>Michel, S., Bowen, D., &amp; Johnston, R. (2009). Why service recovery fails. </w:t>
      </w:r>
      <w:r w:rsidRPr="00164238">
        <w:rPr>
          <w:rFonts w:ascii="Times New Roman" w:hAnsi="Times New Roman" w:cs="Times New Roman"/>
          <w:i/>
          <w:iCs/>
          <w:color w:val="000000" w:themeColor="text1"/>
          <w:sz w:val="20"/>
          <w:szCs w:val="20"/>
        </w:rPr>
        <w:t>Journal of service management.</w:t>
      </w:r>
    </w:p>
    <w:p w14:paraId="7C20A3EF"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sz w:val="20"/>
          <w:szCs w:val="20"/>
        </w:rPr>
        <w:t>Mostert, P. G., De Meyer, C. F., &amp; Van Rensburg, L. R. J. (2009). The influence of service failure and service recovery on airline passengers' relationships with domestic airlines: an exploratory study. </w:t>
      </w:r>
      <w:r w:rsidRPr="00164238">
        <w:rPr>
          <w:rFonts w:ascii="Times New Roman" w:hAnsi="Times New Roman" w:cs="Times New Roman"/>
          <w:i/>
          <w:iCs/>
          <w:color w:val="000000" w:themeColor="text1"/>
          <w:sz w:val="20"/>
          <w:szCs w:val="20"/>
        </w:rPr>
        <w:t>Southern African business review</w:t>
      </w:r>
      <w:r w:rsidRPr="00164238">
        <w:rPr>
          <w:rFonts w:ascii="Times New Roman" w:hAnsi="Times New Roman" w:cs="Times New Roman"/>
          <w:color w:val="000000" w:themeColor="text1"/>
          <w:sz w:val="20"/>
          <w:szCs w:val="20"/>
        </w:rPr>
        <w:t>, 13(2), 118-140.</w:t>
      </w:r>
    </w:p>
    <w:p w14:paraId="0B3E1405" w14:textId="77777777" w:rsidR="00254933" w:rsidRPr="00164238" w:rsidRDefault="00254933" w:rsidP="00254933">
      <w:pPr>
        <w:autoSpaceDE w:val="0"/>
        <w:autoSpaceDN w:val="0"/>
        <w:adjustRightInd w:val="0"/>
        <w:spacing w:before="120" w:after="0"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O’Connell, J. F., &amp; Williams, G. (2005). Passengers’ perceptions of low cost airlines and full service carriers: A case study involving Ryanair, Aer Lingus, Air Asia and Malaysia Airlines. Journal of air transport management, 11(4), 259-272.</w:t>
      </w:r>
    </w:p>
    <w:p w14:paraId="6792B198"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sz w:val="20"/>
          <w:szCs w:val="20"/>
        </w:rPr>
        <w:t>Payne, A. F., Storbacka, K., &amp; Frow, P. (2008). Managing the co-creation of value. </w:t>
      </w:r>
      <w:r w:rsidRPr="00164238">
        <w:rPr>
          <w:rFonts w:ascii="Times New Roman" w:hAnsi="Times New Roman" w:cs="Times New Roman"/>
          <w:i/>
          <w:iCs/>
          <w:color w:val="000000" w:themeColor="text1"/>
          <w:sz w:val="20"/>
          <w:szCs w:val="20"/>
        </w:rPr>
        <w:t>Journal of the academy of marketing science,</w:t>
      </w:r>
      <w:r w:rsidRPr="00164238">
        <w:rPr>
          <w:rFonts w:ascii="Times New Roman" w:hAnsi="Times New Roman" w:cs="Times New Roman"/>
          <w:color w:val="000000" w:themeColor="text1"/>
          <w:sz w:val="20"/>
          <w:szCs w:val="20"/>
        </w:rPr>
        <w:t> 36(1), 83-96.</w:t>
      </w:r>
    </w:p>
    <w:p w14:paraId="01B413C0"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sz w:val="20"/>
          <w:szCs w:val="20"/>
        </w:rPr>
        <w:t>Roggeveen, A. L., Tsiros, M., &amp; Grewal, D. (2012). Understanding the co-creation effect: when does collaborating with customers provide a lift to service recovery?. </w:t>
      </w:r>
      <w:r w:rsidRPr="00164238">
        <w:rPr>
          <w:rFonts w:ascii="Times New Roman" w:hAnsi="Times New Roman" w:cs="Times New Roman"/>
          <w:i/>
          <w:iCs/>
          <w:color w:val="000000" w:themeColor="text1"/>
          <w:sz w:val="20"/>
          <w:szCs w:val="20"/>
        </w:rPr>
        <w:t>Journal of the Academy of Marketing Science</w:t>
      </w:r>
      <w:r w:rsidRPr="00164238">
        <w:rPr>
          <w:rFonts w:ascii="Times New Roman" w:hAnsi="Times New Roman" w:cs="Times New Roman"/>
          <w:color w:val="000000" w:themeColor="text1"/>
          <w:sz w:val="20"/>
          <w:szCs w:val="20"/>
        </w:rPr>
        <w:t>, 40(6), 771-790.</w:t>
      </w:r>
    </w:p>
    <w:p w14:paraId="74666611"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sz w:val="20"/>
          <w:szCs w:val="20"/>
        </w:rPr>
        <w:t>Schoefer, K., &amp; Diamantopoulos, A. (2009). A typology of consumers' emotional response styles during service recovery encounters. </w:t>
      </w:r>
      <w:r w:rsidRPr="00164238">
        <w:rPr>
          <w:rFonts w:ascii="Times New Roman" w:hAnsi="Times New Roman" w:cs="Times New Roman"/>
          <w:i/>
          <w:iCs/>
          <w:color w:val="000000" w:themeColor="text1"/>
          <w:sz w:val="20"/>
          <w:szCs w:val="20"/>
        </w:rPr>
        <w:t>British Journal of Management,</w:t>
      </w:r>
      <w:r w:rsidRPr="00164238">
        <w:rPr>
          <w:rFonts w:ascii="Times New Roman" w:hAnsi="Times New Roman" w:cs="Times New Roman"/>
          <w:color w:val="000000" w:themeColor="text1"/>
          <w:sz w:val="20"/>
          <w:szCs w:val="20"/>
        </w:rPr>
        <w:t> 20(3), 292-308.</w:t>
      </w:r>
    </w:p>
    <w:p w14:paraId="176698A9"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sz w:val="20"/>
          <w:szCs w:val="20"/>
        </w:rPr>
        <w:t>Smith, J. S., &amp; Karwan, K. R. (2010). Empirical profiles of service recovery systems: the maturity perspective. </w:t>
      </w:r>
      <w:r w:rsidRPr="00164238">
        <w:rPr>
          <w:rFonts w:ascii="Times New Roman" w:hAnsi="Times New Roman" w:cs="Times New Roman"/>
          <w:i/>
          <w:iCs/>
          <w:color w:val="000000" w:themeColor="text1"/>
          <w:sz w:val="20"/>
          <w:szCs w:val="20"/>
        </w:rPr>
        <w:t>Journal of Service Research</w:t>
      </w:r>
      <w:r w:rsidRPr="00164238">
        <w:rPr>
          <w:rFonts w:ascii="Times New Roman" w:hAnsi="Times New Roman" w:cs="Times New Roman"/>
          <w:color w:val="000000" w:themeColor="text1"/>
          <w:sz w:val="20"/>
          <w:szCs w:val="20"/>
        </w:rPr>
        <w:t>, 13(1), 111-125.</w:t>
      </w:r>
    </w:p>
    <w:p w14:paraId="55FB46F6"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sz w:val="20"/>
          <w:szCs w:val="20"/>
        </w:rPr>
        <w:t>Smith, J. S., Karwan, K. R., &amp; Markland, R. E. (2009). An empirical examination of the structural dimensions of the service recovery system. </w:t>
      </w:r>
      <w:r w:rsidRPr="00164238">
        <w:rPr>
          <w:rFonts w:ascii="Times New Roman" w:hAnsi="Times New Roman" w:cs="Times New Roman"/>
          <w:i/>
          <w:iCs/>
          <w:color w:val="000000" w:themeColor="text1"/>
          <w:sz w:val="20"/>
          <w:szCs w:val="20"/>
        </w:rPr>
        <w:t>Decision Sciences</w:t>
      </w:r>
      <w:r w:rsidRPr="00164238">
        <w:rPr>
          <w:rFonts w:ascii="Times New Roman" w:hAnsi="Times New Roman" w:cs="Times New Roman"/>
          <w:color w:val="000000" w:themeColor="text1"/>
          <w:sz w:val="20"/>
          <w:szCs w:val="20"/>
        </w:rPr>
        <w:t>, 40(1), 165-186.</w:t>
      </w:r>
    </w:p>
    <w:p w14:paraId="23DE34B8"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sz w:val="20"/>
          <w:szCs w:val="20"/>
        </w:rPr>
        <w:t>Vargo, S. L., &amp; Lusch, R. F. (2004). Evolving to a new dominant logic for marketing. </w:t>
      </w:r>
      <w:r w:rsidRPr="00164238">
        <w:rPr>
          <w:rFonts w:ascii="Times New Roman" w:hAnsi="Times New Roman" w:cs="Times New Roman"/>
          <w:i/>
          <w:iCs/>
          <w:color w:val="000000" w:themeColor="text1"/>
          <w:sz w:val="20"/>
          <w:szCs w:val="20"/>
        </w:rPr>
        <w:t>Journal of marketing</w:t>
      </w:r>
      <w:r w:rsidRPr="00164238">
        <w:rPr>
          <w:rFonts w:ascii="Times New Roman" w:hAnsi="Times New Roman" w:cs="Times New Roman"/>
          <w:color w:val="000000" w:themeColor="text1"/>
          <w:sz w:val="20"/>
          <w:szCs w:val="20"/>
        </w:rPr>
        <w:t>, 68(1), 1-17.</w:t>
      </w:r>
    </w:p>
    <w:p w14:paraId="1E993928"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sz w:val="20"/>
          <w:szCs w:val="20"/>
        </w:rPr>
        <w:lastRenderedPageBreak/>
        <w:t>Vargo, S. L., &amp; Lusch, R. F. (2008). Service-dominant logic: continuing the evolution. </w:t>
      </w:r>
      <w:r w:rsidRPr="00164238">
        <w:rPr>
          <w:rFonts w:ascii="Times New Roman" w:hAnsi="Times New Roman" w:cs="Times New Roman"/>
          <w:i/>
          <w:iCs/>
          <w:color w:val="000000" w:themeColor="text1"/>
          <w:sz w:val="20"/>
          <w:szCs w:val="20"/>
        </w:rPr>
        <w:t>Journal of the Academy of marketing Science,</w:t>
      </w:r>
      <w:r w:rsidRPr="00164238">
        <w:rPr>
          <w:rFonts w:ascii="Times New Roman" w:hAnsi="Times New Roman" w:cs="Times New Roman"/>
          <w:color w:val="000000" w:themeColor="text1"/>
          <w:sz w:val="20"/>
          <w:szCs w:val="20"/>
        </w:rPr>
        <w:t> 36(1), 1-10.</w:t>
      </w:r>
    </w:p>
    <w:p w14:paraId="773283DA"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bookmarkStart w:id="99" w:name="_Hlk69602972"/>
      <w:r w:rsidRPr="00164238">
        <w:rPr>
          <w:rFonts w:ascii="Times New Roman" w:hAnsi="Times New Roman" w:cs="Times New Roman"/>
          <w:color w:val="000000" w:themeColor="text1"/>
          <w:sz w:val="20"/>
          <w:szCs w:val="20"/>
        </w:rPr>
        <w:t>Vázquez</w:t>
      </w:r>
      <w:bookmarkEnd w:id="99"/>
      <w:r w:rsidRPr="00164238">
        <w:rPr>
          <w:rFonts w:ascii="Times New Roman" w:hAnsi="Times New Roman" w:cs="Times New Roman"/>
          <w:color w:val="000000" w:themeColor="text1"/>
          <w:sz w:val="20"/>
          <w:szCs w:val="20"/>
        </w:rPr>
        <w:t>-Casielles, R., Iglesias, V., &amp; Varela-Neira, C. (2017). Co-creation and service recovery process communication: effects on satisfaction, repurchase intentions, and word of mouth. </w:t>
      </w:r>
      <w:r w:rsidRPr="00164238">
        <w:rPr>
          <w:rFonts w:ascii="Times New Roman" w:hAnsi="Times New Roman" w:cs="Times New Roman"/>
          <w:i/>
          <w:iCs/>
          <w:color w:val="000000" w:themeColor="text1"/>
          <w:sz w:val="20"/>
          <w:szCs w:val="20"/>
        </w:rPr>
        <w:t>Service Business,</w:t>
      </w:r>
      <w:r w:rsidRPr="00164238">
        <w:rPr>
          <w:rFonts w:ascii="Times New Roman" w:hAnsi="Times New Roman" w:cs="Times New Roman"/>
          <w:color w:val="000000" w:themeColor="text1"/>
          <w:sz w:val="20"/>
          <w:szCs w:val="20"/>
        </w:rPr>
        <w:t> 11(2), 321-343.</w:t>
      </w:r>
    </w:p>
    <w:p w14:paraId="67F9379B"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sz w:val="20"/>
          <w:szCs w:val="20"/>
        </w:rPr>
        <w:t>Vos, J. F. J., Huitema, G. B., &amp; de Lange‐Ros, E. (2008). How organisations can learn from complaints. </w:t>
      </w:r>
      <w:r w:rsidRPr="00164238">
        <w:rPr>
          <w:rFonts w:ascii="Times New Roman" w:hAnsi="Times New Roman" w:cs="Times New Roman"/>
          <w:i/>
          <w:iCs/>
          <w:color w:val="000000" w:themeColor="text1"/>
          <w:sz w:val="20"/>
          <w:szCs w:val="20"/>
        </w:rPr>
        <w:t>The TQM Journal.</w:t>
      </w:r>
    </w:p>
    <w:p w14:paraId="5ED7276C" w14:textId="77777777" w:rsidR="00254933" w:rsidRPr="00164238" w:rsidRDefault="00254933" w:rsidP="00254933">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sz w:val="20"/>
          <w:szCs w:val="20"/>
        </w:rPr>
        <w:t>Xu, Y., Tronvoll, B., &amp; Edvardsson, B. (2014). Recovering service failure through resource integration. </w:t>
      </w:r>
      <w:r w:rsidRPr="00164238">
        <w:rPr>
          <w:rFonts w:ascii="Times New Roman" w:hAnsi="Times New Roman" w:cs="Times New Roman"/>
          <w:i/>
          <w:iCs/>
          <w:color w:val="000000" w:themeColor="text1"/>
          <w:sz w:val="20"/>
          <w:szCs w:val="20"/>
        </w:rPr>
        <w:t>The Service Industries Journal</w:t>
      </w:r>
      <w:r w:rsidRPr="00164238">
        <w:rPr>
          <w:rFonts w:ascii="Times New Roman" w:hAnsi="Times New Roman" w:cs="Times New Roman"/>
          <w:color w:val="000000" w:themeColor="text1"/>
          <w:sz w:val="20"/>
          <w:szCs w:val="20"/>
        </w:rPr>
        <w:t>, 34(16), 1253-1271.</w:t>
      </w:r>
    </w:p>
    <w:p w14:paraId="7F104C92" w14:textId="77777777" w:rsidR="00254933" w:rsidRPr="00164238" w:rsidRDefault="00254933" w:rsidP="00254933">
      <w:pPr>
        <w:autoSpaceDE w:val="0"/>
        <w:autoSpaceDN w:val="0"/>
        <w:adjustRightInd w:val="0"/>
        <w:spacing w:before="120" w:after="0" w:line="240" w:lineRule="auto"/>
        <w:ind w:left="567" w:hanging="567"/>
        <w:jc w:val="both"/>
        <w:rPr>
          <w:rFonts w:ascii="Times New Roman" w:eastAsia="Times New Roman" w:hAnsi="Times New Roman" w:cs="Times New Roman"/>
          <w:i/>
          <w:iCs/>
          <w:color w:val="000000" w:themeColor="text1"/>
          <w:sz w:val="20"/>
          <w:szCs w:val="20"/>
        </w:rPr>
      </w:pPr>
      <w:r w:rsidRPr="00164238">
        <w:rPr>
          <w:rFonts w:ascii="Times New Roman" w:eastAsia="Times New Roman" w:hAnsi="Times New Roman" w:cs="Times New Roman"/>
          <w:color w:val="000000" w:themeColor="text1"/>
          <w:sz w:val="20"/>
          <w:szCs w:val="20"/>
        </w:rPr>
        <w:t>Zhang, T., Lu, C., Torres, E., &amp; Chen, P. J. (2018). Engaging customers in value co-creation or co-destruction online. </w:t>
      </w:r>
      <w:r w:rsidRPr="00164238">
        <w:rPr>
          <w:rFonts w:ascii="Times New Roman" w:eastAsia="Times New Roman" w:hAnsi="Times New Roman" w:cs="Times New Roman"/>
          <w:i/>
          <w:iCs/>
          <w:color w:val="000000" w:themeColor="text1"/>
          <w:sz w:val="20"/>
          <w:szCs w:val="20"/>
        </w:rPr>
        <w:t>Journal of Services Marketing.</w:t>
      </w:r>
    </w:p>
    <w:p w14:paraId="2F568449" w14:textId="77777777" w:rsidR="00254933" w:rsidRPr="00164238" w:rsidRDefault="00254933" w:rsidP="00254933">
      <w:pPr>
        <w:pStyle w:val="ListeParagraf"/>
        <w:spacing w:after="120" w:line="360" w:lineRule="auto"/>
        <w:jc w:val="both"/>
        <w:rPr>
          <w:rFonts w:ascii="Times New Roman" w:hAnsi="Times New Roman" w:cs="Times New Roman"/>
          <w:color w:val="000000" w:themeColor="text1"/>
          <w:sz w:val="20"/>
          <w:szCs w:val="20"/>
        </w:rPr>
      </w:pPr>
    </w:p>
    <w:p w14:paraId="11AB8927" w14:textId="70D3DC6A" w:rsidR="00254933" w:rsidRPr="00164238" w:rsidRDefault="00254933" w:rsidP="00F17FEC">
      <w:pPr>
        <w:spacing w:before="120" w:after="120" w:line="360" w:lineRule="auto"/>
        <w:jc w:val="both"/>
        <w:rPr>
          <w:rFonts w:ascii="Times New Roman" w:hAnsi="Times New Roman" w:cs="Times New Roman"/>
          <w:color w:val="000000" w:themeColor="text1"/>
        </w:rPr>
      </w:pPr>
    </w:p>
    <w:p w14:paraId="0ABBAF2B" w14:textId="5D3BC462" w:rsidR="00254933" w:rsidRPr="00164238" w:rsidRDefault="00254933" w:rsidP="00F17FEC">
      <w:pPr>
        <w:spacing w:before="120" w:after="120" w:line="360" w:lineRule="auto"/>
        <w:jc w:val="both"/>
        <w:rPr>
          <w:rFonts w:ascii="Times New Roman" w:hAnsi="Times New Roman" w:cs="Times New Roman"/>
          <w:color w:val="000000" w:themeColor="text1"/>
        </w:rPr>
      </w:pPr>
    </w:p>
    <w:p w14:paraId="58E9D38B" w14:textId="1D656393" w:rsidR="00254933" w:rsidRPr="00164238" w:rsidRDefault="00254933" w:rsidP="00F17FEC">
      <w:pPr>
        <w:spacing w:before="120" w:after="120" w:line="360" w:lineRule="auto"/>
        <w:jc w:val="both"/>
        <w:rPr>
          <w:rFonts w:ascii="Times New Roman" w:hAnsi="Times New Roman" w:cs="Times New Roman"/>
          <w:color w:val="000000" w:themeColor="text1"/>
        </w:rPr>
      </w:pPr>
    </w:p>
    <w:p w14:paraId="55A9BD57" w14:textId="6BD1A29F" w:rsidR="00254933" w:rsidRPr="00164238" w:rsidRDefault="00254933" w:rsidP="00F17FEC">
      <w:pPr>
        <w:spacing w:before="120" w:after="120" w:line="360" w:lineRule="auto"/>
        <w:jc w:val="both"/>
        <w:rPr>
          <w:rFonts w:ascii="Times New Roman" w:hAnsi="Times New Roman" w:cs="Times New Roman"/>
          <w:color w:val="000000" w:themeColor="text1"/>
        </w:rPr>
      </w:pPr>
    </w:p>
    <w:p w14:paraId="64589CCE" w14:textId="36846C2B" w:rsidR="00254933" w:rsidRPr="00164238" w:rsidRDefault="00254933" w:rsidP="00F17FEC">
      <w:pPr>
        <w:spacing w:before="120" w:after="120" w:line="360" w:lineRule="auto"/>
        <w:jc w:val="both"/>
        <w:rPr>
          <w:rFonts w:ascii="Times New Roman" w:hAnsi="Times New Roman" w:cs="Times New Roman"/>
          <w:color w:val="000000" w:themeColor="text1"/>
        </w:rPr>
      </w:pPr>
    </w:p>
    <w:p w14:paraId="11368597" w14:textId="73AFAEC5" w:rsidR="00254933" w:rsidRPr="00164238" w:rsidRDefault="00254933" w:rsidP="00F17FEC">
      <w:pPr>
        <w:spacing w:before="120" w:after="120" w:line="360" w:lineRule="auto"/>
        <w:jc w:val="both"/>
        <w:rPr>
          <w:rFonts w:ascii="Times New Roman" w:hAnsi="Times New Roman" w:cs="Times New Roman"/>
          <w:color w:val="000000" w:themeColor="text1"/>
        </w:rPr>
      </w:pPr>
    </w:p>
    <w:p w14:paraId="35D0AF42" w14:textId="21E03BD6" w:rsidR="00254933" w:rsidRPr="00164238" w:rsidRDefault="00254933" w:rsidP="00F17FEC">
      <w:pPr>
        <w:spacing w:before="120" w:after="120" w:line="360" w:lineRule="auto"/>
        <w:jc w:val="both"/>
        <w:rPr>
          <w:rFonts w:ascii="Times New Roman" w:hAnsi="Times New Roman" w:cs="Times New Roman"/>
          <w:color w:val="000000" w:themeColor="text1"/>
        </w:rPr>
      </w:pPr>
    </w:p>
    <w:p w14:paraId="326457CF" w14:textId="4E897C96" w:rsidR="00254933" w:rsidRPr="00164238" w:rsidRDefault="00254933" w:rsidP="00F17FEC">
      <w:pPr>
        <w:spacing w:before="120" w:after="120" w:line="360" w:lineRule="auto"/>
        <w:jc w:val="both"/>
        <w:rPr>
          <w:rFonts w:ascii="Times New Roman" w:hAnsi="Times New Roman" w:cs="Times New Roman"/>
          <w:color w:val="000000" w:themeColor="text1"/>
        </w:rPr>
      </w:pPr>
    </w:p>
    <w:p w14:paraId="0B7D5EE9" w14:textId="63AED102" w:rsidR="00254933" w:rsidRPr="00164238" w:rsidRDefault="00254933" w:rsidP="00F17FEC">
      <w:pPr>
        <w:spacing w:before="120" w:after="120" w:line="360" w:lineRule="auto"/>
        <w:jc w:val="both"/>
        <w:rPr>
          <w:rFonts w:ascii="Times New Roman" w:hAnsi="Times New Roman" w:cs="Times New Roman"/>
          <w:color w:val="000000" w:themeColor="text1"/>
        </w:rPr>
      </w:pPr>
    </w:p>
    <w:p w14:paraId="449514B1" w14:textId="01A8062D" w:rsidR="00254933" w:rsidRDefault="00254933" w:rsidP="00F17FEC">
      <w:pPr>
        <w:spacing w:before="120" w:after="120" w:line="360" w:lineRule="auto"/>
        <w:jc w:val="both"/>
        <w:rPr>
          <w:rFonts w:ascii="Times New Roman" w:hAnsi="Times New Roman" w:cs="Times New Roman"/>
          <w:color w:val="000000" w:themeColor="text1"/>
        </w:rPr>
      </w:pPr>
    </w:p>
    <w:p w14:paraId="26018CF2" w14:textId="2DFEC13F" w:rsidR="0012527E" w:rsidRDefault="0012527E" w:rsidP="00F17FEC">
      <w:pPr>
        <w:spacing w:before="120" w:after="120" w:line="360" w:lineRule="auto"/>
        <w:jc w:val="both"/>
        <w:rPr>
          <w:rFonts w:ascii="Times New Roman" w:hAnsi="Times New Roman" w:cs="Times New Roman"/>
          <w:color w:val="000000" w:themeColor="text1"/>
        </w:rPr>
      </w:pPr>
    </w:p>
    <w:p w14:paraId="2148637F" w14:textId="2707AC0D" w:rsidR="0012527E" w:rsidRDefault="0012527E" w:rsidP="00F17FEC">
      <w:pPr>
        <w:spacing w:before="120" w:after="120" w:line="360" w:lineRule="auto"/>
        <w:jc w:val="both"/>
        <w:rPr>
          <w:rFonts w:ascii="Times New Roman" w:hAnsi="Times New Roman" w:cs="Times New Roman"/>
          <w:color w:val="000000" w:themeColor="text1"/>
        </w:rPr>
      </w:pPr>
    </w:p>
    <w:p w14:paraId="6C6040B1" w14:textId="77777777" w:rsidR="0012527E" w:rsidRPr="00164238" w:rsidRDefault="0012527E" w:rsidP="00F17FEC">
      <w:pPr>
        <w:spacing w:before="120" w:after="120" w:line="360" w:lineRule="auto"/>
        <w:jc w:val="both"/>
        <w:rPr>
          <w:rFonts w:ascii="Times New Roman" w:hAnsi="Times New Roman" w:cs="Times New Roman"/>
          <w:color w:val="000000" w:themeColor="text1"/>
        </w:rPr>
      </w:pPr>
    </w:p>
    <w:p w14:paraId="22A22B15" w14:textId="425B9879" w:rsidR="00254933" w:rsidRPr="00164238" w:rsidRDefault="00254933" w:rsidP="00F17FEC">
      <w:pPr>
        <w:spacing w:before="120" w:after="120" w:line="360" w:lineRule="auto"/>
        <w:jc w:val="both"/>
        <w:rPr>
          <w:rFonts w:ascii="Times New Roman" w:hAnsi="Times New Roman" w:cs="Times New Roman"/>
          <w:color w:val="000000" w:themeColor="text1"/>
        </w:rPr>
      </w:pPr>
    </w:p>
    <w:p w14:paraId="6AD403B8" w14:textId="629FA925" w:rsidR="00254933" w:rsidRPr="00164238" w:rsidRDefault="00254933" w:rsidP="00F17FEC">
      <w:pPr>
        <w:spacing w:before="120" w:after="120" w:line="360" w:lineRule="auto"/>
        <w:jc w:val="both"/>
        <w:rPr>
          <w:rFonts w:ascii="Times New Roman" w:hAnsi="Times New Roman" w:cs="Times New Roman"/>
          <w:color w:val="000000" w:themeColor="text1"/>
        </w:rPr>
      </w:pPr>
    </w:p>
    <w:p w14:paraId="4FC3A2B3" w14:textId="5C552B25" w:rsidR="007C46D4" w:rsidRPr="00164238" w:rsidRDefault="003772C0" w:rsidP="00EF4A33">
      <w:pPr>
        <w:pStyle w:val="Balk1"/>
        <w:rPr>
          <w:rFonts w:ascii="Times New Roman" w:hAnsi="Times New Roman" w:cs="Times New Roman"/>
          <w:b/>
          <w:bCs/>
          <w:color w:val="000000" w:themeColor="text1"/>
          <w:sz w:val="24"/>
          <w:szCs w:val="24"/>
        </w:rPr>
      </w:pPr>
      <w:bookmarkStart w:id="100" w:name="_Toc72961700"/>
      <w:r w:rsidRPr="00164238">
        <w:rPr>
          <w:rFonts w:ascii="Times New Roman" w:hAnsi="Times New Roman" w:cs="Times New Roman"/>
          <w:b/>
          <w:bCs/>
          <w:color w:val="000000" w:themeColor="text1"/>
          <w:sz w:val="24"/>
          <w:szCs w:val="24"/>
        </w:rPr>
        <w:lastRenderedPageBreak/>
        <w:t>COVID-19 DÖNEMİNDE EVDEN ÇALIŞMA VE ÇALIŞANLARIN GÖREV PERFORMANSI: ÇAĞRI MERKEZİ ÇALIŞANLARINDA BİR ARAŞTIRMA</w:t>
      </w:r>
      <w:bookmarkEnd w:id="100"/>
    </w:p>
    <w:p w14:paraId="62AFD384" w14:textId="77777777" w:rsidR="00686ACB" w:rsidRPr="00164238" w:rsidRDefault="00686ACB" w:rsidP="003772C0">
      <w:pPr>
        <w:pStyle w:val="Balk2"/>
        <w:rPr>
          <w:rFonts w:ascii="Times New Roman" w:eastAsia="Arial" w:hAnsi="Times New Roman" w:cs="Times New Roman"/>
          <w:b w:val="0"/>
          <w:i w:val="0"/>
          <w:color w:val="000000" w:themeColor="text1"/>
          <w:sz w:val="20"/>
          <w:szCs w:val="20"/>
        </w:rPr>
      </w:pPr>
      <w:bookmarkStart w:id="101" w:name="_Toc72961701"/>
      <w:r w:rsidRPr="00164238">
        <w:rPr>
          <w:rStyle w:val="Balk2Char"/>
          <w:rFonts w:ascii="Times New Roman" w:hAnsi="Times New Roman" w:cs="Times New Roman"/>
          <w:color w:val="000000" w:themeColor="text1"/>
          <w:sz w:val="20"/>
          <w:szCs w:val="20"/>
        </w:rPr>
        <w:t>Dr. Öğr. Üyesi Mustafa ASLAN</w:t>
      </w:r>
      <w:r w:rsidRPr="00164238">
        <w:rPr>
          <w:rFonts w:ascii="Times New Roman" w:eastAsia="Arial" w:hAnsi="Times New Roman" w:cs="Times New Roman"/>
          <w:color w:val="000000" w:themeColor="text1"/>
          <w:sz w:val="20"/>
          <w:szCs w:val="20"/>
        </w:rPr>
        <w:t xml:space="preserve">, </w:t>
      </w:r>
      <w:r w:rsidRPr="00164238">
        <w:rPr>
          <w:rFonts w:ascii="Times New Roman" w:eastAsia="Arial" w:hAnsi="Times New Roman" w:cs="Times New Roman"/>
          <w:b w:val="0"/>
          <w:color w:val="000000" w:themeColor="text1"/>
          <w:sz w:val="20"/>
          <w:szCs w:val="20"/>
        </w:rPr>
        <w:t>İstanbul Gelişim Üniversitesi, İktisadi ve İdari Bilimler Fakültesi, İstanbul, Türkiye</w:t>
      </w:r>
      <w:bookmarkEnd w:id="101"/>
    </w:p>
    <w:p w14:paraId="0E525815" w14:textId="77777777" w:rsidR="00686ACB" w:rsidRPr="00164238" w:rsidRDefault="00686ACB" w:rsidP="00686ACB">
      <w:pPr>
        <w:jc w:val="both"/>
        <w:rPr>
          <w:rFonts w:ascii="Times New Roman" w:hAnsi="Times New Roman" w:cs="Times New Roman"/>
          <w:color w:val="000000" w:themeColor="text1"/>
          <w:sz w:val="20"/>
          <w:szCs w:val="20"/>
        </w:rPr>
      </w:pPr>
      <w:r w:rsidRPr="00164238">
        <w:rPr>
          <w:rFonts w:ascii="Times New Roman" w:eastAsia="Arial" w:hAnsi="Times New Roman" w:cs="Times New Roman"/>
          <w:i/>
          <w:color w:val="000000" w:themeColor="text1"/>
          <w:sz w:val="20"/>
          <w:szCs w:val="20"/>
        </w:rPr>
        <w:t xml:space="preserve">e-mail: </w:t>
      </w:r>
      <w:hyperlink r:id="rId223" w:history="1">
        <w:r w:rsidRPr="00164238">
          <w:rPr>
            <w:rStyle w:val="Kpr"/>
            <w:rFonts w:ascii="Times New Roman" w:eastAsia="Arial" w:hAnsi="Times New Roman" w:cs="Times New Roman"/>
            <w:i/>
            <w:color w:val="000000" w:themeColor="text1"/>
            <w:sz w:val="20"/>
            <w:szCs w:val="20"/>
          </w:rPr>
          <w:t>muaslan@gelisim.edu.tr</w:t>
        </w:r>
      </w:hyperlink>
      <w:r w:rsidRPr="00164238">
        <w:rPr>
          <w:rFonts w:ascii="Times New Roman" w:eastAsia="Arial" w:hAnsi="Times New Roman" w:cs="Times New Roman"/>
          <w:i/>
          <w:color w:val="000000" w:themeColor="text1"/>
          <w:sz w:val="20"/>
          <w:szCs w:val="20"/>
        </w:rPr>
        <w:t xml:space="preserve"> ORCID ID: </w:t>
      </w:r>
      <w:r w:rsidRPr="00164238">
        <w:rPr>
          <w:rFonts w:ascii="Times New Roman" w:hAnsi="Times New Roman" w:cs="Times New Roman"/>
          <w:color w:val="000000" w:themeColor="text1"/>
          <w:sz w:val="20"/>
          <w:szCs w:val="20"/>
        </w:rPr>
        <w:t>0000-0001-8049-3615</w:t>
      </w:r>
    </w:p>
    <w:p w14:paraId="7ABEF4F4" w14:textId="77777777" w:rsidR="00686ACB" w:rsidRPr="00164238" w:rsidRDefault="00686ACB" w:rsidP="00686ACB">
      <w:pPr>
        <w:pStyle w:val="Balk2"/>
        <w:rPr>
          <w:rFonts w:ascii="Times New Roman" w:eastAsia="Arial" w:hAnsi="Times New Roman" w:cs="Times New Roman"/>
          <w:b w:val="0"/>
          <w:i w:val="0"/>
          <w:color w:val="000000" w:themeColor="text1"/>
          <w:sz w:val="20"/>
          <w:szCs w:val="20"/>
        </w:rPr>
      </w:pPr>
      <w:bookmarkStart w:id="102" w:name="_Toc72961702"/>
      <w:r w:rsidRPr="00164238">
        <w:rPr>
          <w:rStyle w:val="Balk2Char"/>
          <w:rFonts w:ascii="Times New Roman" w:hAnsi="Times New Roman" w:cs="Times New Roman"/>
          <w:color w:val="000000" w:themeColor="text1"/>
          <w:sz w:val="20"/>
          <w:szCs w:val="20"/>
        </w:rPr>
        <w:t>Arş.Gör. Fatih YAMAN</w:t>
      </w:r>
      <w:r w:rsidRPr="00164238">
        <w:rPr>
          <w:rFonts w:ascii="Times New Roman" w:eastAsia="Arial" w:hAnsi="Times New Roman" w:cs="Times New Roman"/>
          <w:b w:val="0"/>
          <w:color w:val="000000" w:themeColor="text1"/>
          <w:sz w:val="20"/>
          <w:szCs w:val="20"/>
        </w:rPr>
        <w:t>, İstanbul Teknik Üniversitesi, İstanbul, Türkiye</w:t>
      </w:r>
      <w:bookmarkEnd w:id="102"/>
    </w:p>
    <w:p w14:paraId="0AC828EF" w14:textId="77777777" w:rsidR="00686ACB" w:rsidRPr="00164238" w:rsidRDefault="00686ACB" w:rsidP="00686ACB">
      <w:pPr>
        <w:jc w:val="both"/>
        <w:rPr>
          <w:rFonts w:ascii="Times New Roman" w:hAnsi="Times New Roman" w:cs="Times New Roman"/>
          <w:color w:val="000000" w:themeColor="text1"/>
          <w:sz w:val="20"/>
          <w:szCs w:val="20"/>
        </w:rPr>
      </w:pPr>
      <w:r w:rsidRPr="00164238">
        <w:rPr>
          <w:rFonts w:ascii="Times New Roman" w:eastAsia="Arial" w:hAnsi="Times New Roman" w:cs="Times New Roman"/>
          <w:i/>
          <w:color w:val="000000" w:themeColor="text1"/>
          <w:sz w:val="20"/>
          <w:szCs w:val="20"/>
        </w:rPr>
        <w:t xml:space="preserve">e-mail: </w:t>
      </w:r>
      <w:r w:rsidRPr="00164238">
        <w:rPr>
          <w:rFonts w:ascii="Times New Roman" w:eastAsia="Arial" w:hAnsi="Times New Roman" w:cs="Times New Roman"/>
          <w:i/>
          <w:color w:val="000000" w:themeColor="text1"/>
          <w:sz w:val="20"/>
          <w:szCs w:val="20"/>
          <w:u w:val="single"/>
        </w:rPr>
        <w:t>yamanfa@itu.edu.tr</w:t>
      </w:r>
      <w:r w:rsidRPr="00164238">
        <w:rPr>
          <w:rFonts w:ascii="Times New Roman" w:eastAsia="Arial" w:hAnsi="Times New Roman" w:cs="Times New Roman"/>
          <w:i/>
          <w:color w:val="000000" w:themeColor="text1"/>
          <w:sz w:val="20"/>
          <w:szCs w:val="20"/>
        </w:rPr>
        <w:t>. ORCID ID: 0</w:t>
      </w:r>
      <w:r w:rsidRPr="00164238">
        <w:rPr>
          <w:rFonts w:ascii="Times New Roman" w:hAnsi="Times New Roman" w:cs="Times New Roman"/>
          <w:color w:val="000000" w:themeColor="text1"/>
          <w:sz w:val="20"/>
          <w:szCs w:val="20"/>
          <w:shd w:val="clear" w:color="auto" w:fill="FFFFFF"/>
        </w:rPr>
        <w:t xml:space="preserve"> 000-0002-5412-5074</w:t>
      </w:r>
    </w:p>
    <w:p w14:paraId="4375BDDA" w14:textId="77777777" w:rsidR="00686ACB" w:rsidRPr="00164238" w:rsidRDefault="00686ACB" w:rsidP="00686ACB">
      <w:pPr>
        <w:pStyle w:val="Balk2"/>
        <w:rPr>
          <w:rFonts w:ascii="Times New Roman" w:eastAsia="Arial" w:hAnsi="Times New Roman" w:cs="Times New Roman"/>
          <w:b w:val="0"/>
          <w:color w:val="000000" w:themeColor="text1"/>
          <w:sz w:val="20"/>
          <w:szCs w:val="20"/>
        </w:rPr>
      </w:pPr>
      <w:bookmarkStart w:id="103" w:name="_Toc72961703"/>
      <w:r w:rsidRPr="00164238">
        <w:rPr>
          <w:rStyle w:val="Balk2Char"/>
          <w:rFonts w:ascii="Times New Roman" w:hAnsi="Times New Roman" w:cs="Times New Roman"/>
          <w:color w:val="000000" w:themeColor="text1"/>
          <w:sz w:val="20"/>
          <w:szCs w:val="20"/>
        </w:rPr>
        <w:t>Dr. Ayhan Aksu</w:t>
      </w:r>
      <w:bookmarkEnd w:id="103"/>
    </w:p>
    <w:p w14:paraId="17013395" w14:textId="77777777" w:rsidR="00686ACB" w:rsidRPr="00164238" w:rsidRDefault="00686ACB" w:rsidP="00686ACB">
      <w:pPr>
        <w:jc w:val="both"/>
        <w:rPr>
          <w:rFonts w:ascii="Times New Roman" w:hAnsi="Times New Roman" w:cs="Times New Roman"/>
          <w:color w:val="000000" w:themeColor="text1"/>
          <w:sz w:val="20"/>
          <w:szCs w:val="20"/>
        </w:rPr>
      </w:pPr>
      <w:r w:rsidRPr="00164238">
        <w:rPr>
          <w:rFonts w:ascii="Times New Roman" w:eastAsia="Arial" w:hAnsi="Times New Roman" w:cs="Times New Roman"/>
          <w:color w:val="000000" w:themeColor="text1"/>
          <w:sz w:val="20"/>
          <w:szCs w:val="20"/>
        </w:rPr>
        <w:t xml:space="preserve"> </w:t>
      </w:r>
      <w:r w:rsidRPr="00164238">
        <w:rPr>
          <w:rFonts w:ascii="Times New Roman" w:eastAsia="Arial" w:hAnsi="Times New Roman" w:cs="Times New Roman"/>
          <w:i/>
          <w:color w:val="000000" w:themeColor="text1"/>
          <w:sz w:val="20"/>
          <w:szCs w:val="20"/>
        </w:rPr>
        <w:t>e-mail</w:t>
      </w:r>
      <w:r w:rsidRPr="00164238">
        <w:rPr>
          <w:rFonts w:ascii="Times New Roman" w:eastAsia="Arial" w:hAnsi="Times New Roman" w:cs="Times New Roman"/>
          <w:color w:val="000000" w:themeColor="text1"/>
          <w:sz w:val="20"/>
          <w:szCs w:val="20"/>
        </w:rPr>
        <w:t xml:space="preserve">: </w:t>
      </w:r>
      <w:r w:rsidRPr="00164238">
        <w:rPr>
          <w:rFonts w:ascii="Times New Roman" w:eastAsia="Arial" w:hAnsi="Times New Roman" w:cs="Times New Roman"/>
          <w:color w:val="000000" w:themeColor="text1"/>
          <w:sz w:val="20"/>
          <w:szCs w:val="20"/>
          <w:u w:val="single"/>
        </w:rPr>
        <w:t>ayhanaksu@gmail.com</w:t>
      </w:r>
      <w:r w:rsidRPr="00164238">
        <w:rPr>
          <w:rFonts w:ascii="Times New Roman" w:eastAsia="Arial" w:hAnsi="Times New Roman" w:cs="Times New Roman"/>
          <w:color w:val="000000" w:themeColor="text1"/>
          <w:sz w:val="20"/>
          <w:szCs w:val="20"/>
        </w:rPr>
        <w:t xml:space="preserve"> </w:t>
      </w:r>
      <w:r w:rsidRPr="00164238">
        <w:rPr>
          <w:rFonts w:ascii="Times New Roman" w:eastAsia="Arial" w:hAnsi="Times New Roman" w:cs="Times New Roman"/>
          <w:i/>
          <w:color w:val="000000" w:themeColor="text1"/>
          <w:sz w:val="20"/>
          <w:szCs w:val="20"/>
        </w:rPr>
        <w:t>ORCID ID</w:t>
      </w:r>
      <w:r w:rsidRPr="00164238">
        <w:rPr>
          <w:rFonts w:ascii="Times New Roman" w:eastAsia="Arial" w:hAnsi="Times New Roman" w:cs="Times New Roman"/>
          <w:color w:val="000000" w:themeColor="text1"/>
          <w:sz w:val="20"/>
          <w:szCs w:val="20"/>
        </w:rPr>
        <w:t>:</w:t>
      </w:r>
      <w:r w:rsidRPr="00164238">
        <w:rPr>
          <w:rFonts w:ascii="Times New Roman" w:hAnsi="Times New Roman" w:cs="Times New Roman"/>
          <w:color w:val="000000" w:themeColor="text1"/>
          <w:sz w:val="20"/>
          <w:szCs w:val="20"/>
        </w:rPr>
        <w:t>0000-0003-2806-1393</w:t>
      </w:r>
    </w:p>
    <w:p w14:paraId="30BEAA53" w14:textId="77777777" w:rsidR="007C46D4" w:rsidRPr="00164238" w:rsidRDefault="007C46D4" w:rsidP="007C46D4">
      <w:pPr>
        <w:ind w:firstLine="708"/>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Öz</w:t>
      </w:r>
    </w:p>
    <w:p w14:paraId="1D990ED7" w14:textId="77777777" w:rsidR="007C46D4" w:rsidRPr="00164238" w:rsidRDefault="007C46D4" w:rsidP="007C46D4">
      <w:pPr>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COVID-19 salgını, tüm dünya ile birlikte ülkemizi de etkisi altına almış ve işletmelerin çalışma sistemlerinde köklü değişikliklere gidilmesine sebep olmuştur. Bazı işletmeler, çalışanlarının haftanın belirli günlerinde işyerinden, arta kalan günlerde ise evlerinden çalışmalarını isterken bazı işletmeler ise belli görevleri ifa eden çalışanlarının tümüyle evlerinden çalışmalarını istemişlerdir. Evden yapılan çalışmalarda doğrudan denetim olmaması, kişilerin özel hayatlarıyla çalışma hayatları arasındaki sınırın ortan kalkması, çalışanların ev ortamının rahatlığında ve güvenli bir alanda görevlerini yerine getiriyor olmaları, kendilerine vakit ayırabiliyor olmaları ve özellikle ev ve işyeri arasındaki ulaşım süresinin yaşanmıyor olması, evden çalışan kişilerin algıladıkları görev performanslarında, işyerinde çalışmak zorunda olan kişilere göre farklılık oluşturması gerektiği düşüncesiyle yapılan bu çalışma, çalışanlardan, COVID-19 öncesi işyerinde çalıştıkları sürede ve sonrasında evden çalıştıkları süredeki genel görev performansları ve yaptıkları işe yönelik spesifik görev performanslarını karşılaştırmaları istenmiştir. Araştırma hem sadece evden hem sadece işyerinden hem de hem evde hem de işyerinde görev yapmakta olan personeli olan bir çağrı merkezi firmasında gerçekleştirilmiştir. Firmanın 260 kişiden oluşan tüm çağrı merkezi personelinin katılımıyla gerçekleştirilen çalışmada, elde edilen veriler SPSS programıyla istatistiki analizlere tabi tutulmuş, korelasyon tablosu ile ilişkiler tespit edilmiştir. Sonrasında da tek yönlü ANOVA analizi ile gruplar arası farklılaşmaların varlığı incelenmiştir. Sonuçlar göstermektedir ki COVID-19 öncesi döneme kıyasla sadece evden çalışanlar veya haftanın belli günleri evden belli günleri işyerinden çalışanların genel görev performanslarına yönelik algıları, sadece işyerinden çalışanlara nazaran artmıştır. Bu çalışma, evden çalışmanın çalışanları olumlu yönde etkilediğini ortaya koymuştur. Ayrıca spesifik görev performansı kavramını literatüre kazandırmıştır.</w:t>
      </w:r>
    </w:p>
    <w:p w14:paraId="13DB1C09" w14:textId="4EF75C22" w:rsidR="007C46D4" w:rsidRPr="00164238" w:rsidRDefault="007C46D4" w:rsidP="007C46D4">
      <w:pPr>
        <w:jc w:val="both"/>
        <w:rPr>
          <w:rFonts w:ascii="Times New Roman" w:hAnsi="Times New Roman" w:cs="Times New Roman"/>
          <w:color w:val="000000" w:themeColor="text1"/>
          <w:sz w:val="20"/>
          <w:szCs w:val="20"/>
        </w:rPr>
      </w:pPr>
      <w:r w:rsidRPr="00164238">
        <w:rPr>
          <w:rFonts w:ascii="Times New Roman" w:hAnsi="Times New Roman" w:cs="Times New Roman"/>
          <w:b/>
          <w:bCs/>
          <w:color w:val="000000" w:themeColor="text1"/>
          <w:sz w:val="20"/>
          <w:szCs w:val="20"/>
        </w:rPr>
        <w:t>Anahtar Kelimeler:</w:t>
      </w:r>
      <w:r w:rsidRPr="00164238">
        <w:rPr>
          <w:rFonts w:ascii="Times New Roman" w:hAnsi="Times New Roman" w:cs="Times New Roman"/>
          <w:color w:val="000000" w:themeColor="text1"/>
          <w:sz w:val="20"/>
          <w:szCs w:val="20"/>
        </w:rPr>
        <w:t xml:space="preserve"> COVID-19, Çağrı Merkezi, Görev Performansı, Spesifik Görev Performansı, Evden Çalışma</w:t>
      </w:r>
    </w:p>
    <w:p w14:paraId="5F857A01" w14:textId="3EF879F8" w:rsidR="007C46D4" w:rsidRPr="00164238" w:rsidRDefault="007E005E" w:rsidP="007C46D4">
      <w:pPr>
        <w:jc w:val="center"/>
        <w:rPr>
          <w:rFonts w:ascii="Times New Roman" w:hAnsi="Times New Roman" w:cs="Times New Roman"/>
          <w:b/>
          <w:bCs/>
          <w:color w:val="000000" w:themeColor="text1"/>
          <w:sz w:val="24"/>
          <w:szCs w:val="24"/>
        </w:rPr>
      </w:pPr>
      <w:r w:rsidRPr="00164238">
        <w:rPr>
          <w:rFonts w:ascii="Times New Roman" w:hAnsi="Times New Roman" w:cs="Times New Roman"/>
          <w:b/>
          <w:bCs/>
          <w:color w:val="000000" w:themeColor="text1"/>
          <w:sz w:val="24"/>
          <w:szCs w:val="24"/>
        </w:rPr>
        <w:t>WORKI</w:t>
      </w:r>
      <w:r w:rsidR="003772C0" w:rsidRPr="00164238">
        <w:rPr>
          <w:rFonts w:ascii="Times New Roman" w:hAnsi="Times New Roman" w:cs="Times New Roman"/>
          <w:b/>
          <w:bCs/>
          <w:color w:val="000000" w:themeColor="text1"/>
          <w:sz w:val="24"/>
          <w:szCs w:val="24"/>
        </w:rPr>
        <w:t xml:space="preserve">NG FROM HOME AND TASK PERFORMANCE OF EMPLOYEES </w:t>
      </w:r>
      <w:r w:rsidRPr="00164238">
        <w:rPr>
          <w:rFonts w:ascii="Times New Roman" w:hAnsi="Times New Roman" w:cs="Times New Roman"/>
          <w:b/>
          <w:bCs/>
          <w:color w:val="000000" w:themeColor="text1"/>
          <w:sz w:val="24"/>
          <w:szCs w:val="24"/>
        </w:rPr>
        <w:t>I</w:t>
      </w:r>
      <w:r w:rsidR="003772C0" w:rsidRPr="00164238">
        <w:rPr>
          <w:rFonts w:ascii="Times New Roman" w:hAnsi="Times New Roman" w:cs="Times New Roman"/>
          <w:b/>
          <w:bCs/>
          <w:color w:val="000000" w:themeColor="text1"/>
          <w:sz w:val="24"/>
          <w:szCs w:val="24"/>
        </w:rPr>
        <w:t>N THE COVID-19 PER</w:t>
      </w:r>
      <w:r w:rsidRPr="00164238">
        <w:rPr>
          <w:rFonts w:ascii="Times New Roman" w:hAnsi="Times New Roman" w:cs="Times New Roman"/>
          <w:b/>
          <w:bCs/>
          <w:color w:val="000000" w:themeColor="text1"/>
          <w:sz w:val="24"/>
          <w:szCs w:val="24"/>
        </w:rPr>
        <w:t>I</w:t>
      </w:r>
      <w:r w:rsidR="003772C0" w:rsidRPr="00164238">
        <w:rPr>
          <w:rFonts w:ascii="Times New Roman" w:hAnsi="Times New Roman" w:cs="Times New Roman"/>
          <w:b/>
          <w:bCs/>
          <w:color w:val="000000" w:themeColor="text1"/>
          <w:sz w:val="24"/>
          <w:szCs w:val="24"/>
        </w:rPr>
        <w:t>OD: A STUDY ON CALL CENTER EMPLOYEES</w:t>
      </w:r>
    </w:p>
    <w:p w14:paraId="02966AA2" w14:textId="25E34F2E" w:rsidR="007C46D4" w:rsidRPr="00164238" w:rsidRDefault="007C46D4" w:rsidP="007C46D4">
      <w:pPr>
        <w:jc w:val="both"/>
        <w:rPr>
          <w:rFonts w:ascii="Times New Roman" w:hAnsi="Times New Roman" w:cs="Times New Roman"/>
          <w:color w:val="000000" w:themeColor="text1"/>
          <w:sz w:val="20"/>
          <w:szCs w:val="20"/>
        </w:rPr>
      </w:pPr>
    </w:p>
    <w:p w14:paraId="57CF3526" w14:textId="35C23B77" w:rsidR="007C46D4" w:rsidRPr="00164238" w:rsidRDefault="007E005E" w:rsidP="007C46D4">
      <w:pPr>
        <w:ind w:firstLine="708"/>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A</w:t>
      </w:r>
      <w:r w:rsidR="007C46D4" w:rsidRPr="00164238">
        <w:rPr>
          <w:rFonts w:ascii="Times New Roman" w:hAnsi="Times New Roman" w:cs="Times New Roman"/>
          <w:b/>
          <w:bCs/>
          <w:color w:val="000000" w:themeColor="text1"/>
          <w:sz w:val="20"/>
          <w:szCs w:val="20"/>
        </w:rPr>
        <w:t>bstract</w:t>
      </w:r>
    </w:p>
    <w:p w14:paraId="4336CF44" w14:textId="77777777" w:rsidR="007C46D4" w:rsidRPr="00164238" w:rsidRDefault="007C46D4" w:rsidP="007C46D4">
      <w:pPr>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The COVID-19 epidemic affected our country and the whole world and caused radical changes in work life. While some businesses asked their employees to work from workplaces on certain days of the week and from their homes for the remaining days, some businesses wanted their employees who perform specific duties to work entirely from their homes. Lack of direct control in work from home, the blurring border between people’s private and work lives, employees the comfort and safety of the home environment, having spare time for themselves, and especially saving the commuting time between home and workplace should affect the perception of employees’ about their task performance, and this idea caused </w:t>
      </w:r>
      <w:r w:rsidRPr="00164238">
        <w:rPr>
          <w:rFonts w:ascii="Times New Roman" w:hAnsi="Times New Roman" w:cs="Times New Roman"/>
          <w:color w:val="000000" w:themeColor="text1"/>
          <w:sz w:val="20"/>
          <w:szCs w:val="20"/>
        </w:rPr>
        <w:lastRenderedPageBreak/>
        <w:t>this study to be conducted. This study was carried out in a call center firm that has a total of 260 employees. The firm has employees working only from home, and only from the workplace, and also from both home and workplace on certain days of the week. All employees of the firm participated in this study, and they are asked to compare their current general task and specific task performances with the pre-COVID-19 period. The data collected were subjected to statistical analysis by using the SPSS statistical software package. The relationships determined by interpreting the correlation table and the existence of differentiation between groups were examined by one-way ANOVA analysis. The results show that the perceptions of those who work from home alone or who work from home on certain days of the week have increased compared to those who work only from the workplace. This study revealed that working from home affects employees positively. In addition, this study also contributed the concept of specific task performance to the literature.</w:t>
      </w:r>
    </w:p>
    <w:p w14:paraId="28BA4317" w14:textId="77777777" w:rsidR="007C46D4" w:rsidRPr="00164238" w:rsidRDefault="007C46D4" w:rsidP="007C46D4">
      <w:pPr>
        <w:rPr>
          <w:rFonts w:ascii="Times New Roman" w:hAnsi="Times New Roman" w:cs="Times New Roman"/>
          <w:color w:val="000000" w:themeColor="text1"/>
          <w:sz w:val="20"/>
          <w:szCs w:val="20"/>
        </w:rPr>
      </w:pPr>
      <w:r w:rsidRPr="00164238">
        <w:rPr>
          <w:rFonts w:ascii="Times New Roman" w:hAnsi="Times New Roman" w:cs="Times New Roman"/>
          <w:b/>
          <w:bCs/>
          <w:color w:val="000000" w:themeColor="text1"/>
          <w:sz w:val="20"/>
          <w:szCs w:val="20"/>
        </w:rPr>
        <w:t>Keywords:</w:t>
      </w:r>
      <w:r w:rsidRPr="00164238">
        <w:rPr>
          <w:rFonts w:ascii="Times New Roman" w:hAnsi="Times New Roman" w:cs="Times New Roman"/>
          <w:color w:val="000000" w:themeColor="text1"/>
          <w:sz w:val="20"/>
          <w:szCs w:val="20"/>
        </w:rPr>
        <w:t xml:space="preserve"> COVID-19, Call Center, Task Performance, Specific Task Performance, Working From Home</w:t>
      </w:r>
    </w:p>
    <w:p w14:paraId="0CAC859A" w14:textId="77777777" w:rsidR="007C46D4" w:rsidRPr="00164238" w:rsidRDefault="007C46D4" w:rsidP="007C46D4">
      <w:pPr>
        <w:pStyle w:val="Balk1"/>
        <w:spacing w:after="120"/>
        <w:ind w:firstLine="708"/>
        <w:rPr>
          <w:rFonts w:ascii="Times New Roman" w:hAnsi="Times New Roman" w:cs="Times New Roman"/>
          <w:b/>
          <w:bCs/>
          <w:color w:val="000000" w:themeColor="text1"/>
          <w:sz w:val="20"/>
          <w:szCs w:val="20"/>
        </w:rPr>
      </w:pPr>
      <w:bookmarkStart w:id="104" w:name="_Toc72352770"/>
      <w:bookmarkStart w:id="105" w:name="_Toc72961704"/>
      <w:r w:rsidRPr="00164238">
        <w:rPr>
          <w:rFonts w:ascii="Times New Roman" w:hAnsi="Times New Roman" w:cs="Times New Roman"/>
          <w:b/>
          <w:bCs/>
          <w:color w:val="000000" w:themeColor="text1"/>
          <w:sz w:val="20"/>
          <w:szCs w:val="20"/>
        </w:rPr>
        <w:t>GİRİŞ</w:t>
      </w:r>
      <w:bookmarkEnd w:id="104"/>
      <w:bookmarkEnd w:id="105"/>
    </w:p>
    <w:p w14:paraId="518E19EB" w14:textId="77777777" w:rsidR="007C46D4" w:rsidRPr="00164238" w:rsidRDefault="007C46D4" w:rsidP="007C46D4">
      <w:pPr>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2019 yılının sonunda Çin’in Wuhan eyaletinde ortaya çıkan ve 3 ay gibi bir sürede tüm dünyayı etkisi altına alan COVID-19 salgını, hem sosyal hem de iş hayatını olumsuz etkilemiş, tüm ülkeler gibi ülkemizdeki kamu otoritesi de bu salgının etkilerini en aza indirebilmek ve aynı zamanda da iş hayatının devamlılığına yönelik olarak işletmelerin ayakta kalabilmesini sağlamak üzere bir takım  tedbirler almışlardır.  Fakat alınan tüm tedbirlere rağmen bu süreçte yaşanan gelişmeler hem ülkemizde hem de dünyada, yaşamın her alanında radikal değişimlere sebep olmuştur. </w:t>
      </w:r>
    </w:p>
    <w:p w14:paraId="53853652" w14:textId="77777777" w:rsidR="007C46D4" w:rsidRPr="00164238" w:rsidRDefault="007C46D4" w:rsidP="007C46D4">
      <w:pPr>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Sosyal hayatın yanı sıra çalışma hayatı bu değişimden en çok etkilenen alanlardan biri olarak karşımıza çıkmaktadır. Bu süreçte işletmeler farklı çalışma şekilleri uygulayarak işlerinin devamlılığını sağlamaya çalışırken en çok üzerinde düşünülen ve endişe edilen konu da uzaktan çalışma döneminde, çalışanların performanslarının nasıl etkileneceği olmuştur. Bu durum, çağrı merkezlerinde ayrı bir sorun teşkil etmektedir çünkü görevleri telefon veya bilgisayar vasıtasıyla müşterilere hizmet vermek olan çağrı merkezi çalışanları, diğer çalışanların aksine sürekli olarak telefonda ve ekran karşısında olmak ve gelen müşteri </w:t>
      </w:r>
      <w:r w:rsidRPr="00164238">
        <w:rPr>
          <w:rFonts w:ascii="Times New Roman" w:hAnsi="Times New Roman" w:cs="Times New Roman"/>
          <w:strike/>
          <w:color w:val="000000" w:themeColor="text1"/>
          <w:sz w:val="20"/>
          <w:szCs w:val="20"/>
        </w:rPr>
        <w:t>aramalarını</w:t>
      </w:r>
      <w:r w:rsidRPr="00164238">
        <w:rPr>
          <w:rFonts w:ascii="Times New Roman" w:hAnsi="Times New Roman" w:cs="Times New Roman"/>
          <w:color w:val="000000" w:themeColor="text1"/>
          <w:sz w:val="20"/>
          <w:szCs w:val="20"/>
        </w:rPr>
        <w:t xml:space="preserve"> taleplerini cevaplamak zorundadırlar. </w:t>
      </w:r>
    </w:p>
    <w:p w14:paraId="3881BB7C" w14:textId="77777777" w:rsidR="007C46D4" w:rsidRPr="00164238" w:rsidRDefault="007C46D4" w:rsidP="007C46D4">
      <w:pPr>
        <w:ind w:firstLine="708"/>
        <w:jc w:val="both"/>
        <w:rPr>
          <w:rFonts w:ascii="Times New Roman" w:hAnsi="Times New Roman" w:cs="Times New Roman"/>
          <w:strike/>
          <w:color w:val="000000" w:themeColor="text1"/>
          <w:sz w:val="20"/>
          <w:szCs w:val="20"/>
        </w:rPr>
      </w:pPr>
      <w:r w:rsidRPr="00164238">
        <w:rPr>
          <w:rFonts w:ascii="Times New Roman" w:hAnsi="Times New Roman" w:cs="Times New Roman"/>
          <w:color w:val="000000" w:themeColor="text1"/>
          <w:sz w:val="20"/>
          <w:szCs w:val="20"/>
        </w:rPr>
        <w:t>Özel yaşam alanı ile iş yaşam alanı sınırlarının kalkmasıyla birlikte, çalışanların  işyerinin stresli ortamından uzak kalmaları, işyerine gidiş geliş sürecinin ortadan kalkması gibi hususlar sebebiyle görev performanslarını olumlu ya da olumsuz şekilde etkileyecek bir takım değişiklikler görülmeye başlanmıştır</w:t>
      </w:r>
      <w:r w:rsidRPr="00164238">
        <w:rPr>
          <w:rFonts w:ascii="Times New Roman" w:hAnsi="Times New Roman" w:cs="Times New Roman"/>
          <w:strike/>
          <w:color w:val="000000" w:themeColor="text1"/>
          <w:sz w:val="20"/>
          <w:szCs w:val="20"/>
        </w:rPr>
        <w:t>.</w:t>
      </w:r>
    </w:p>
    <w:p w14:paraId="640259C3" w14:textId="77777777" w:rsidR="007C46D4" w:rsidRPr="00164238" w:rsidRDefault="007C46D4" w:rsidP="007C46D4">
      <w:pPr>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Bu çalışmada, uzaktan çalışma yönteminin çalışanların görev performansına etkileri incelenecek olup, pandemi döneminde yoğun bir iş yüküne maruz kalan aynı zamanda emek yoğun bir işkolu olan çağrı merkezi çalışanlarına yönelik bir araştırma yapılmıştır. Çağrı merkezi çalışanlarının, çalışma şekli ile görev performansları arasındaki ilişkiyi araştırmak üzere çağrı merkezi hizmeti veren bir işletmenin çalışanlarının katılımıyla gerçekleştirilmiştir. Bu çalışmada ortaya konan bir diğer husus ise, spesifik performans olarak isimlendirilen çalışanın asıl işiyle, asıl faaliyetiyle ilgili performans algısını yani temel performans göstergelerine yönelik olan performansının incelenmesidir.</w:t>
      </w:r>
    </w:p>
    <w:p w14:paraId="493A8640" w14:textId="77777777" w:rsidR="007C46D4" w:rsidRPr="00164238" w:rsidRDefault="007C46D4" w:rsidP="007C46D4">
      <w:pPr>
        <w:pStyle w:val="Balk1"/>
        <w:spacing w:after="120"/>
        <w:ind w:left="567"/>
        <w:rPr>
          <w:rFonts w:ascii="Times New Roman" w:hAnsi="Times New Roman" w:cs="Times New Roman"/>
          <w:b/>
          <w:bCs/>
          <w:color w:val="000000" w:themeColor="text1"/>
          <w:sz w:val="20"/>
          <w:szCs w:val="20"/>
        </w:rPr>
      </w:pPr>
      <w:bookmarkStart w:id="106" w:name="_Toc72352771"/>
      <w:bookmarkStart w:id="107" w:name="_Toc72961705"/>
      <w:r w:rsidRPr="00164238">
        <w:rPr>
          <w:rFonts w:ascii="Times New Roman" w:hAnsi="Times New Roman" w:cs="Times New Roman"/>
          <w:b/>
          <w:bCs/>
          <w:color w:val="000000" w:themeColor="text1"/>
          <w:sz w:val="20"/>
          <w:szCs w:val="20"/>
        </w:rPr>
        <w:t>KAVRAMSAL ÇERÇEVE ve HİPOTEZ GELİŞTİRME</w:t>
      </w:r>
      <w:bookmarkEnd w:id="106"/>
      <w:bookmarkEnd w:id="107"/>
    </w:p>
    <w:p w14:paraId="653D1B1E" w14:textId="77777777" w:rsidR="007C46D4" w:rsidRPr="00164238" w:rsidRDefault="007C46D4" w:rsidP="007C46D4">
      <w:pPr>
        <w:pStyle w:val="Balk2"/>
        <w:spacing w:after="120"/>
        <w:ind w:left="567"/>
        <w:rPr>
          <w:rFonts w:ascii="Times New Roman" w:hAnsi="Times New Roman" w:cs="Times New Roman"/>
          <w:i w:val="0"/>
          <w:iCs w:val="0"/>
          <w:color w:val="000000" w:themeColor="text1"/>
          <w:sz w:val="20"/>
          <w:szCs w:val="20"/>
          <w:lang w:val="tr-TR"/>
        </w:rPr>
      </w:pPr>
      <w:bookmarkStart w:id="108" w:name="_Toc72352772"/>
      <w:bookmarkStart w:id="109" w:name="_Toc72961706"/>
      <w:r w:rsidRPr="00164238">
        <w:rPr>
          <w:rFonts w:ascii="Times New Roman" w:hAnsi="Times New Roman" w:cs="Times New Roman"/>
          <w:i w:val="0"/>
          <w:iCs w:val="0"/>
          <w:color w:val="000000" w:themeColor="text1"/>
          <w:sz w:val="20"/>
          <w:szCs w:val="20"/>
          <w:lang w:val="tr-TR"/>
        </w:rPr>
        <w:t>COVID-19 Dönemi</w:t>
      </w:r>
      <w:bookmarkEnd w:id="108"/>
      <w:bookmarkEnd w:id="109"/>
    </w:p>
    <w:p w14:paraId="74462DE1" w14:textId="77777777" w:rsidR="007C46D4" w:rsidRPr="00164238" w:rsidRDefault="007C46D4" w:rsidP="00885A08">
      <w:pPr>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COVID-19 salgını, 1918 Mart ayında görülen ve milyonlarca insanın ölümüne neden olan İspanyol Gribi salgınından sonra görülen en yaygın salgındır ve bu bağlamda tüm dünyayı etkisine alan, küresel anlamda etkili olmuş (Sönmez, 2020) ve son dört kuşağın deneyimlediği bu çaptaki ilk salgındır.  SARS-CoV-2 adlı yeni bir korona virüsün neden olduğu bir hastalık olan COVID-19 (Wiersinga ve Prescott, 2020), ilk olarak 2019 yılının Aralık ayında Çin’in Wuhan eyaletinde görülmüş ve daha sonrasında da tüm dünyaya yayılmış ve milyonlarca insanın ölümüne neden olmuş ve olmaktadır. Dünya Sağlık Örgütü (DSÖ) </w:t>
      </w:r>
      <w:r w:rsidRPr="00164238">
        <w:rPr>
          <w:rFonts w:ascii="Times New Roman" w:hAnsi="Times New Roman" w:cs="Times New Roman"/>
          <w:color w:val="000000" w:themeColor="text1"/>
          <w:sz w:val="20"/>
          <w:szCs w:val="20"/>
        </w:rPr>
        <w:lastRenderedPageBreak/>
        <w:t>verilerine göre 20 Mart 2021 tarihi itibariyle yaklaşık olarak 121 milyon kişi bu hastalığa yakalanmış ve yaklaşık 2,7 milyon kişi de yaşamını yitirmiştir (WHO, 2021).</w:t>
      </w:r>
    </w:p>
    <w:p w14:paraId="435B04BA" w14:textId="77777777" w:rsidR="007C46D4" w:rsidRPr="00164238" w:rsidRDefault="007C46D4" w:rsidP="00885A08">
      <w:pPr>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Virüsün neden olduğu bu küresel panik, eski davranışları ve köklü kalıpları sarsarak toplumumuzda büyük değişikliklere ve dönüşümlere neden olmuştur (Hrabi, 2020). Küresel ölçekte ekonomik ve sosyal hayatın neredeyse tüm yönlerini derinden etkilemekte olan (Brammer vd., 2020) COVID-19’un iş dünyasına etkisi müşterilerin satın alma gücünü düşürmek, tüketimi azaltmak, şirketlerin başarısız olmalarına neden olmak ve sonunda istihdamı sonlandırmak başta olmak üzere çok büyük etkileri olmuştur (Hamdan vd., 2020). Ülkelerin sınırlarını kapatmasına, toplantıların yasaklanmasına ve sosyal mesafenin korunmasının bir kural haline getirilmesiyle işletmeler ve çalışanların için yeni normaller oluşturulmasına sebep olmuştur (Brammer vd., 2020). Bu süreçte birçok işyeri faaliyetlerini ya tümüyle sonlandırmış ya ara vermiş ya tümüyle uzaktan çalışma ya da haftanın sadece birkaç günü uzaktan çalışma sistemine geçmişlerdir. </w:t>
      </w:r>
    </w:p>
    <w:p w14:paraId="15D1344E" w14:textId="77777777" w:rsidR="007C46D4" w:rsidRPr="00164238" w:rsidRDefault="007C46D4" w:rsidP="00885A08">
      <w:pPr>
        <w:pStyle w:val="Balk2"/>
        <w:spacing w:after="120"/>
        <w:ind w:left="567"/>
        <w:rPr>
          <w:rFonts w:ascii="Times New Roman" w:hAnsi="Times New Roman" w:cs="Times New Roman"/>
          <w:i w:val="0"/>
          <w:iCs w:val="0"/>
          <w:color w:val="000000" w:themeColor="text1"/>
          <w:sz w:val="20"/>
          <w:szCs w:val="20"/>
          <w:lang w:val="tr-TR"/>
        </w:rPr>
      </w:pPr>
      <w:bookmarkStart w:id="110" w:name="_Toc72352773"/>
      <w:bookmarkStart w:id="111" w:name="_Toc72961707"/>
      <w:r w:rsidRPr="00164238">
        <w:rPr>
          <w:rFonts w:ascii="Times New Roman" w:hAnsi="Times New Roman" w:cs="Times New Roman"/>
          <w:i w:val="0"/>
          <w:iCs w:val="0"/>
          <w:color w:val="000000" w:themeColor="text1"/>
          <w:sz w:val="20"/>
          <w:szCs w:val="20"/>
          <w:lang w:val="tr-TR"/>
        </w:rPr>
        <w:t>Görev Performansı</w:t>
      </w:r>
      <w:bookmarkEnd w:id="110"/>
      <w:bookmarkEnd w:id="111"/>
    </w:p>
    <w:p w14:paraId="15D05AEC" w14:textId="77777777" w:rsidR="007C46D4" w:rsidRPr="00164238" w:rsidRDefault="007C46D4" w:rsidP="00885A08">
      <w:pPr>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Görev performansı, atanmış bir görevi yerine getirmek için işveren ile çalışan veya bir yönetici ve bir ast arasındaki sözleşmeye dayalı bir anlayıştır (Pradhan ve Jena, 2016). Çalışanın iş tanımında yer alan ilgili role ait görev ve sorumluluklarını yerine getirmesi (Van Dyne vd., 1995) olarak tanımlanabilecek olan görev performansı, çalışanın, görev ve sorumluluklarını yerine getirirken teknik veya uzmanlık faaliyetlerini gerçekleştirme etkinliğine de bağlıdır. Bir başka deyişle çalışanın sorumluluklarını yerine getirirken ne kadar etkin ve verimliği olduğuyla da alakalıdır. Bu sebepten ötürü görev performansı davranışları, işletmenin teknik temel süreçlerine, mal ve hizmetlerin üretildiği süreçlere ve işletmenin etkinlik ve verimliliğine doğrudan veya dolaylı olarak katkıda bulunur (Van Scotter, 1994).  </w:t>
      </w:r>
    </w:p>
    <w:p w14:paraId="753CC741" w14:textId="77777777" w:rsidR="007C46D4" w:rsidRPr="00164238" w:rsidRDefault="007C46D4" w:rsidP="00885A08">
      <w:pPr>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Çalışan açısından bakıldığında görev performansı, "beklenen, değerlendirilen ve ödüllendirilen" eylemleri ifade eder (Leung, 2007). </w:t>
      </w:r>
    </w:p>
    <w:p w14:paraId="37B4F94E" w14:textId="77777777" w:rsidR="007C46D4" w:rsidRPr="00164238" w:rsidRDefault="007C46D4" w:rsidP="00885A08">
      <w:pPr>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Mesleki yeterlilik, net görev tanımı, uygun çalışma ortamı ve ahlaki nitelikler görev performansının yüksek olmasında önemlidirler. Net görev tanımı oluşturulamazsa performansı ölçmek zorlaşacaktır (Kılıç, 2006). Görev tanımının net ve güvenilir şekilde oluşturulması ise performans belirleme düzeyinin kalitesini artıracaktır (Gül, 2013).</w:t>
      </w:r>
    </w:p>
    <w:p w14:paraId="34CD065E" w14:textId="77777777" w:rsidR="007C46D4" w:rsidRPr="00164238" w:rsidRDefault="007C46D4" w:rsidP="00885A08">
      <w:pPr>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Çalışanların kendi performanslarıyla ilgili bir algılamaları her zaman mevcuttur. Ama bu algılama iki farklı şekilde olmaktadır: Genel performans ve spesifik performans. Genel performans, kişinin zamanında işe gelmesi, takım arkadaşlarıyla yardımlaşması, genel olarak ürettiği hizmetin kalitesi, asıl iş konusu dışında işletme faaliyetlerine verdiği katkı gibi kişinin işletmede yerine getirdiği, işiyle doğrudan ilişkili olsun olmasın tüm faaliyetleri kapsarken spesifik performans, çalışanın asıl işiyle, asıl faaliyetiyle ilgili performans algısını kapsamaktadır ki bu da genelde anahtar performans göstergelerindeki (KPI) kıstaslar olmaktadır. </w:t>
      </w:r>
    </w:p>
    <w:p w14:paraId="387A269B" w14:textId="77777777" w:rsidR="007C46D4" w:rsidRPr="00164238" w:rsidRDefault="007C46D4" w:rsidP="00885A08">
      <w:pPr>
        <w:pStyle w:val="Balk2"/>
        <w:spacing w:after="120"/>
        <w:ind w:left="567"/>
        <w:rPr>
          <w:rFonts w:ascii="Times New Roman" w:hAnsi="Times New Roman" w:cs="Times New Roman"/>
          <w:i w:val="0"/>
          <w:iCs w:val="0"/>
          <w:color w:val="000000" w:themeColor="text1"/>
          <w:sz w:val="20"/>
          <w:szCs w:val="20"/>
          <w:lang w:val="tr-TR"/>
        </w:rPr>
      </w:pPr>
      <w:bookmarkStart w:id="112" w:name="_Toc72352774"/>
      <w:bookmarkStart w:id="113" w:name="_Toc72961708"/>
      <w:r w:rsidRPr="00164238">
        <w:rPr>
          <w:rFonts w:ascii="Times New Roman" w:hAnsi="Times New Roman" w:cs="Times New Roman"/>
          <w:i w:val="0"/>
          <w:iCs w:val="0"/>
          <w:color w:val="000000" w:themeColor="text1"/>
          <w:sz w:val="20"/>
          <w:szCs w:val="20"/>
          <w:lang w:val="tr-TR"/>
        </w:rPr>
        <w:t>Çağrı Merkezleri</w:t>
      </w:r>
      <w:bookmarkEnd w:id="112"/>
      <w:bookmarkEnd w:id="113"/>
    </w:p>
    <w:p w14:paraId="4127D5B6" w14:textId="77777777" w:rsidR="007C46D4" w:rsidRPr="00164238" w:rsidRDefault="007C46D4" w:rsidP="00885A08">
      <w:pPr>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Çağrı merkezleri, işletmelere müşterileri ile uzun dönemli ilişkiler geliştirmelerinde yardımcı olur ve müşteri tatmini için işletme ile müşteri arasında kritik bir köprü oluşturur (Taşkın ve Taşkın, 2018). Bu nedenle çağrı merkezleri işletmeler için müşteriyle doğrudan ve güçlü bir iletişim kurma kanalıdır. Çağrı merkezleri, müşterilerin herhangi bir ürün veya hizmetle ilgili bilgiye ihtiyaç duymaları, teknik bir problem ile karşılaşmaları ya da herhangi bir şikâyet veya talebi dile getirmeyi istemeleri halinde ilk başvurdukları kanaldır (Özdemir, 2018). Günümüz teknolojik gelişmeleri, müşterilerin temayülleri, muhataplarına ulaşmadaki kolaylık ve doğrudan bir insan ile problemlerini konuşma imkânı sağlaması nedeniyle çağrı merkezlerinin önemi iş dünyası için artmakta ve (Türkgözü ve Sazkaya, 2020) bu durum da çağrı merkezi sektörünün büyümesine neden olmaktadır. Tüm Türkiye’de 2010 yılında yaklaşık 50,000 olan çağrı merkezi çalışan sayısı (SERKA, 2011), 2019 yılına gelindiğinde 115,000’e çıkmıştır ve pazarın büyüklüğü de yaklaşık 7,5 milyar TL’ye ulaşmıştır (Çağrı Merkezi Derneği, 2021).</w:t>
      </w:r>
    </w:p>
    <w:p w14:paraId="303E72F2" w14:textId="77777777" w:rsidR="007C46D4" w:rsidRPr="00164238" w:rsidRDefault="007C46D4" w:rsidP="00885A08">
      <w:pPr>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lastRenderedPageBreak/>
        <w:t>Dünya genelinde korona virüs salgını sonrasında bazı sektörlerde ani talep artışı, bazı sektörlerde ise dramatik talep düşüşleri yaşanmıştır. Bu süreçte, talebin arttığı hizmetlerin başında çağrı merkezleri hizmetleri gelmektedir (Çatal, 2021). Öyle ki, çağrı merkezlerinin kapasite potansiyelleri ve güvenliği, bunun yanında müşterilerle olan etkileşimleri, bu kriz sırasındaki kadar daha önce hiç test edilmemişti (Hrabi, 2020).</w:t>
      </w:r>
    </w:p>
    <w:p w14:paraId="66CC80DC" w14:textId="77777777" w:rsidR="007C46D4" w:rsidRPr="00164238" w:rsidRDefault="007C46D4" w:rsidP="00885A08">
      <w:pPr>
        <w:pStyle w:val="Balk2"/>
        <w:spacing w:after="120"/>
        <w:ind w:left="567"/>
        <w:rPr>
          <w:rFonts w:ascii="Times New Roman" w:hAnsi="Times New Roman" w:cs="Times New Roman"/>
          <w:i w:val="0"/>
          <w:iCs w:val="0"/>
          <w:color w:val="000000" w:themeColor="text1"/>
          <w:sz w:val="20"/>
          <w:szCs w:val="20"/>
          <w:lang w:val="tr-TR"/>
        </w:rPr>
      </w:pPr>
      <w:bookmarkStart w:id="114" w:name="_Toc72352775"/>
      <w:bookmarkStart w:id="115" w:name="_Toc72961709"/>
      <w:r w:rsidRPr="00164238">
        <w:rPr>
          <w:rFonts w:ascii="Times New Roman" w:hAnsi="Times New Roman" w:cs="Times New Roman"/>
          <w:i w:val="0"/>
          <w:iCs w:val="0"/>
          <w:color w:val="000000" w:themeColor="text1"/>
          <w:sz w:val="20"/>
          <w:szCs w:val="20"/>
          <w:lang w:val="tr-TR"/>
        </w:rPr>
        <w:t>Uzaktan Çalışma</w:t>
      </w:r>
      <w:bookmarkEnd w:id="114"/>
      <w:bookmarkEnd w:id="115"/>
    </w:p>
    <w:p w14:paraId="4E7854AF" w14:textId="77777777" w:rsidR="007C46D4" w:rsidRPr="00164238" w:rsidRDefault="007C46D4" w:rsidP="00885A08">
      <w:pPr>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Uzaktan çalışma kavramı, her ne kadar son zamanlarda iş dünyasının gündeminde kendine yer bulmuş olsa da bilgi işlem sektöründe salgın öncesinde de uygulanan bir sistemdir. Gerek işletmelerin gerekse de çalışanların bu kavrama yeteri kadar aşina olmamaları başlangıçta bir takım karışıklıklar yaşanmasına neden olsa da hem işletmeler hem de çalışanlar bu sisteme hızlı bir şekilde adapte olmuşlar ve bu sistem çalışma hayatımızın önemli bir parçası haline gelmiştir. Öyle ki salgın sonrasında bile birçok işletmenin uzaktan çalışma sistemini kısmen ya da tamamen uygulamaya devam edeceği öngörülmektedir (Sayın ve Aybek, 2021).</w:t>
      </w:r>
    </w:p>
    <w:p w14:paraId="79559277" w14:textId="77777777" w:rsidR="007C46D4" w:rsidRPr="00164238" w:rsidRDefault="007C46D4" w:rsidP="00885A08">
      <w:pPr>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Yasal mevzuatımızda da uzaktan çalışma, 20.05.2016 tarih ve 29717 sayılı Resmî Gazetede yayınlanan 6715 sayılı İş Kanunu ile Türkiye İş Kurumu Kanununda Değişiklik Yapılmasına Dair Kanunun 2'nci maddesinde esnek çalışma modellerinden biri olarak düzenlenmiştir. İşçinin, işveren tarafından oluşturulan iş organizasyonu kapsamında iş görme edimini evinde ya da teknolojik iletişim araçları ile işyeri dışında yerine getirmesi esasına dayalı ve yazılı olarak kurulan iş ilişkisidir olarak tanımlanmıştır (Tiryaki, 2016). </w:t>
      </w:r>
    </w:p>
    <w:p w14:paraId="62E0D7B7" w14:textId="77777777" w:rsidR="007C46D4" w:rsidRPr="00164238" w:rsidRDefault="007C46D4" w:rsidP="00885A08">
      <w:pPr>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Başka bir araştırmada, uzaktan çalışma bir iş yapma biçimi olarak ifade edilmekte olup, çalışanın ev ya da benzeri bir işyeri dışındaki mekândan, görevini yürütme esasına dayalı alternatif bir çalışma şekli olarak belirtilmiştir (Tutar, 2002). Uzaktan çalışmanın etkili ve verimli bir şekilde yürütülebilmesi için, işletme yönetimi çalışanlarla ilgili karşılıklı yükümlülükleri ve beklentileri ayrıca varsa bu çalışma biçimine yönelik ücret politikalarını belirleyerek, bunu tüm işletme çalışanların resmi olarak bildirmesi önemlidir. Dolayısıyla bu sistemdeki en temel hususlar: Çalışma günleri ve saatleri, iş hedefleri ve beklenen sonuçlar, sağlık ve güvenlik sorunları için alınan önlemler, gerekli teknolojik altyapı ya da donanım ihtiyaçlarının sağlanması (Uyargil ve Uluhan, 2000) olmaktadır.</w:t>
      </w:r>
    </w:p>
    <w:p w14:paraId="66C06451" w14:textId="77777777" w:rsidR="007C46D4" w:rsidRPr="00164238" w:rsidRDefault="007C46D4" w:rsidP="00885A08">
      <w:pPr>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Uzaktan çalışma koşullarında çalışanın hem genel performans algısının hem de spesifik performans algısının olabilecek en üst seviyeye çıkabilmesi için sadece bu teknik gereklerin yerine getirilmesi yeterli olmayacaktır, aynı zamanda da çalışanın psikolojik olarak bunu kabul etmesi, işiyle bu yeni durumu bağdaştırması gerekmektedir. Çünkü iş, çalışanın özel yaşam alanına taşınmış ve özel yaşam ile çalışma yaşamı arasındaki sınır ortadan kalkmış olacaktır. Çalışanın özel yaşam alanı ile iş yaşam alanı sınırlarının kalkmasının görev performanslarını olumsuz etkisi söz konusu olabileceği gibi işyerinin stresli ortamından uzak kalmaları, işyerine gidiş geliş sürecinin yaşanmamış olması anlamlı ve olumlu yönde etkileyebilir. </w:t>
      </w:r>
    </w:p>
    <w:p w14:paraId="7DD55349" w14:textId="77777777" w:rsidR="007C46D4" w:rsidRPr="00164238" w:rsidRDefault="007C46D4" w:rsidP="00885A08">
      <w:pPr>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Çağrı merkezlerinde çalışanların genelde kadın ve genç yaşta kişilerden oluştuğu göz önüne alındığında, uzaktan çalışma ile kişinin genel performansı algısı ve spesifik performans algısı arasında anlamlı ve olumlu yönde bir ilişkinin olması beklenmelidir. Neden bunun beklenmesi gerektiği de şu şekilde özetlenebilir: Kişi özel hayatından feragat ettiğini ve işine çok fazla yatırım yaptığını düşündüğü için genel performans algısı, mevcut olan durum ve koşullar altında elinden gelenin en iyisini yaptığını düşündüğü için de spesifik performans algısının artması beklenmelidir.</w:t>
      </w:r>
    </w:p>
    <w:p w14:paraId="7BE90BE1" w14:textId="77777777" w:rsidR="007C46D4" w:rsidRPr="00164238" w:rsidRDefault="007C46D4" w:rsidP="007C46D4">
      <w:pPr>
        <w:jc w:val="both"/>
        <w:rPr>
          <w:rFonts w:ascii="Times New Roman" w:hAnsi="Times New Roman" w:cs="Times New Roman"/>
          <w:color w:val="000000" w:themeColor="text1"/>
          <w:sz w:val="20"/>
          <w:szCs w:val="20"/>
        </w:rPr>
      </w:pPr>
    </w:p>
    <w:p w14:paraId="3679BA63" w14:textId="77777777" w:rsidR="007C46D4" w:rsidRPr="00164238" w:rsidRDefault="007C46D4" w:rsidP="007C46D4">
      <w:pPr>
        <w:jc w:val="both"/>
        <w:rPr>
          <w:rFonts w:ascii="Times New Roman" w:hAnsi="Times New Roman" w:cs="Times New Roman"/>
          <w:color w:val="000000" w:themeColor="text1"/>
          <w:sz w:val="20"/>
          <w:szCs w:val="20"/>
        </w:rPr>
      </w:pPr>
    </w:p>
    <w:p w14:paraId="76F04758" w14:textId="77777777" w:rsidR="007C46D4" w:rsidRPr="00164238" w:rsidRDefault="007C46D4" w:rsidP="00885A08">
      <w:pPr>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Bu durumu yansıtan hipotezimiz:</w:t>
      </w:r>
    </w:p>
    <w:p w14:paraId="7AEE03EF" w14:textId="77777777" w:rsidR="007C46D4" w:rsidRPr="00164238" w:rsidRDefault="007C46D4" w:rsidP="007C46D4">
      <w:pPr>
        <w:ind w:left="1276" w:right="850" w:hanging="425"/>
        <w:jc w:val="both"/>
        <w:rPr>
          <w:rFonts w:ascii="Times New Roman" w:hAnsi="Times New Roman" w:cs="Times New Roman"/>
          <w:i/>
          <w:iCs/>
          <w:color w:val="000000" w:themeColor="text1"/>
          <w:sz w:val="20"/>
          <w:szCs w:val="20"/>
        </w:rPr>
      </w:pPr>
      <w:r w:rsidRPr="00164238">
        <w:rPr>
          <w:rFonts w:ascii="Times New Roman" w:hAnsi="Times New Roman" w:cs="Times New Roman"/>
          <w:i/>
          <w:iCs/>
          <w:color w:val="000000" w:themeColor="text1"/>
          <w:sz w:val="20"/>
          <w:szCs w:val="20"/>
        </w:rPr>
        <w:t>H</w:t>
      </w:r>
      <w:r w:rsidRPr="00164238">
        <w:rPr>
          <w:rFonts w:ascii="Times New Roman" w:hAnsi="Times New Roman" w:cs="Times New Roman"/>
          <w:i/>
          <w:iCs/>
          <w:color w:val="000000" w:themeColor="text1"/>
          <w:sz w:val="20"/>
          <w:szCs w:val="20"/>
          <w:vertAlign w:val="subscript"/>
        </w:rPr>
        <w:t>1</w:t>
      </w:r>
      <w:r w:rsidRPr="00164238">
        <w:rPr>
          <w:rFonts w:ascii="Times New Roman" w:hAnsi="Times New Roman" w:cs="Times New Roman"/>
          <w:i/>
          <w:iCs/>
          <w:color w:val="000000" w:themeColor="text1"/>
          <w:sz w:val="20"/>
          <w:szCs w:val="20"/>
        </w:rPr>
        <w:t>: İşgörenin çalışma yeri ile genel görev performansı arasında anlamlı ve olumlu yönde bir ilişki vardır.</w:t>
      </w:r>
    </w:p>
    <w:p w14:paraId="1819E987" w14:textId="77777777" w:rsidR="007C46D4" w:rsidRPr="00164238" w:rsidRDefault="007C46D4" w:rsidP="007C46D4">
      <w:pPr>
        <w:ind w:left="1276" w:right="850" w:hanging="425"/>
        <w:jc w:val="both"/>
        <w:rPr>
          <w:rFonts w:ascii="Times New Roman" w:hAnsi="Times New Roman" w:cs="Times New Roman"/>
          <w:i/>
          <w:iCs/>
          <w:color w:val="000000" w:themeColor="text1"/>
          <w:sz w:val="20"/>
          <w:szCs w:val="20"/>
        </w:rPr>
      </w:pPr>
      <w:r w:rsidRPr="00164238">
        <w:rPr>
          <w:rFonts w:ascii="Times New Roman" w:hAnsi="Times New Roman" w:cs="Times New Roman"/>
          <w:i/>
          <w:iCs/>
          <w:color w:val="000000" w:themeColor="text1"/>
          <w:sz w:val="20"/>
          <w:szCs w:val="20"/>
        </w:rPr>
        <w:lastRenderedPageBreak/>
        <w:t>H</w:t>
      </w:r>
      <w:r w:rsidRPr="00164238">
        <w:rPr>
          <w:rFonts w:ascii="Times New Roman" w:hAnsi="Times New Roman" w:cs="Times New Roman"/>
          <w:i/>
          <w:iCs/>
          <w:color w:val="000000" w:themeColor="text1"/>
          <w:sz w:val="20"/>
          <w:szCs w:val="20"/>
          <w:vertAlign w:val="subscript"/>
        </w:rPr>
        <w:t>1</w:t>
      </w:r>
      <w:r w:rsidRPr="00164238">
        <w:rPr>
          <w:rFonts w:ascii="Times New Roman" w:hAnsi="Times New Roman" w:cs="Times New Roman"/>
          <w:i/>
          <w:iCs/>
          <w:color w:val="000000" w:themeColor="text1"/>
          <w:sz w:val="20"/>
          <w:szCs w:val="20"/>
        </w:rPr>
        <w:t>: İşgörenin çalışma yeri ile spesifik görev performansı arasında anlamlı ve olumlu yönde bir ilişki vardır.</w:t>
      </w:r>
    </w:p>
    <w:p w14:paraId="3520A3B4" w14:textId="77777777" w:rsidR="007C46D4" w:rsidRPr="00164238" w:rsidRDefault="007C46D4" w:rsidP="00885A08">
      <w:pPr>
        <w:pStyle w:val="Balk1"/>
        <w:spacing w:after="120"/>
        <w:ind w:left="360"/>
        <w:rPr>
          <w:rFonts w:ascii="Times New Roman" w:hAnsi="Times New Roman" w:cs="Times New Roman"/>
          <w:b/>
          <w:bCs/>
          <w:color w:val="000000" w:themeColor="text1"/>
          <w:sz w:val="20"/>
          <w:szCs w:val="20"/>
        </w:rPr>
      </w:pPr>
      <w:bookmarkStart w:id="116" w:name="_Toc72352776"/>
      <w:bookmarkStart w:id="117" w:name="_Toc72961710"/>
      <w:r w:rsidRPr="00164238">
        <w:rPr>
          <w:rFonts w:ascii="Times New Roman" w:hAnsi="Times New Roman" w:cs="Times New Roman"/>
          <w:b/>
          <w:bCs/>
          <w:color w:val="000000" w:themeColor="text1"/>
          <w:sz w:val="20"/>
          <w:szCs w:val="20"/>
        </w:rPr>
        <w:t>YÖNTEM</w:t>
      </w:r>
      <w:bookmarkEnd w:id="116"/>
      <w:bookmarkEnd w:id="117"/>
    </w:p>
    <w:p w14:paraId="40350B0E" w14:textId="77777777" w:rsidR="007C46D4" w:rsidRPr="00164238" w:rsidRDefault="007C46D4" w:rsidP="00885A08">
      <w:pPr>
        <w:pStyle w:val="Balk2"/>
        <w:spacing w:after="120"/>
        <w:ind w:left="567"/>
        <w:rPr>
          <w:rFonts w:ascii="Times New Roman" w:hAnsi="Times New Roman" w:cs="Times New Roman"/>
          <w:i w:val="0"/>
          <w:iCs w:val="0"/>
          <w:color w:val="000000" w:themeColor="text1"/>
          <w:sz w:val="20"/>
          <w:szCs w:val="20"/>
          <w:lang w:val="tr-TR"/>
        </w:rPr>
      </w:pPr>
      <w:bookmarkStart w:id="118" w:name="_Toc72352777"/>
      <w:bookmarkStart w:id="119" w:name="_Toc72961711"/>
      <w:r w:rsidRPr="00164238">
        <w:rPr>
          <w:rFonts w:ascii="Times New Roman" w:hAnsi="Times New Roman" w:cs="Times New Roman"/>
          <w:i w:val="0"/>
          <w:iCs w:val="0"/>
          <w:color w:val="000000" w:themeColor="text1"/>
          <w:sz w:val="20"/>
          <w:szCs w:val="20"/>
          <w:lang w:val="tr-TR"/>
        </w:rPr>
        <w:t>Araştırma Sorusu, Amacı ve Önemi</w:t>
      </w:r>
      <w:bookmarkEnd w:id="118"/>
      <w:bookmarkEnd w:id="119"/>
    </w:p>
    <w:p w14:paraId="4DF5E9AF" w14:textId="77777777" w:rsidR="007C46D4" w:rsidRPr="00164238" w:rsidRDefault="007C46D4" w:rsidP="00885A08">
      <w:pPr>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Araştırmamızın sorusu “uzaktan çalışma ile çalışanların görev performansları arasında istatistiki düzeyde anlamlı bir ilişki var mıdır”? Araştırmamızın amacı da özellikle salgın döneminde yeni bir çalışma sistemi olarak ortaya çıkan uzaktan çalışma kavramı ile görev performansı arasındaki olası ilişkiyi tespit edip bunun nedenlerinin ne olabileceğini irdelemek, eğer böyle bir ilişki varsa görev performansının hangi grupta daha yüksek olduğunu yani uzaktan çalışan, haftanın belli günlerinde uzaktan çalışan veya sürekli işyerine giden gruplar arasında bir farklılık olup olmadığını ortaya çıkarmaktır.</w:t>
      </w:r>
    </w:p>
    <w:p w14:paraId="6E12B0FE" w14:textId="77777777" w:rsidR="007C46D4" w:rsidRPr="00164238" w:rsidRDefault="007C46D4" w:rsidP="00885A08">
      <w:pPr>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Bu bağlamda eğer ilişki var ise bu ilişkinin çalışanlarının yaş, cinsiyet, kıdem ve iş tecrübesi gruplarında bir farklılığının olup olmadığına bakılacak, elde edilen sonuçlara göre ilişkinin sebebi yorumlanmaya çalışılacaktır.</w:t>
      </w:r>
    </w:p>
    <w:p w14:paraId="5E1CF8FB" w14:textId="77777777" w:rsidR="007C46D4" w:rsidRPr="00164238" w:rsidRDefault="007C46D4" w:rsidP="00885A08">
      <w:pPr>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Bu amaca yönelik araştırma modeli Şekil 1’de verilmektedir.</w:t>
      </w:r>
    </w:p>
    <w:p w14:paraId="1888A701" w14:textId="12636001" w:rsidR="007C46D4" w:rsidRPr="00164238" w:rsidRDefault="007C46D4" w:rsidP="007C46D4">
      <w:pPr>
        <w:keepNext/>
        <w:jc w:val="both"/>
        <w:rPr>
          <w:rFonts w:ascii="Times New Roman" w:hAnsi="Times New Roman" w:cs="Times New Roman"/>
          <w:color w:val="000000" w:themeColor="text1"/>
          <w:sz w:val="20"/>
          <w:szCs w:val="20"/>
        </w:rPr>
      </w:pPr>
      <w:r w:rsidRPr="00164238">
        <w:rPr>
          <w:rFonts w:ascii="Times New Roman" w:hAnsi="Times New Roman" w:cs="Times New Roman"/>
          <w:noProof/>
          <w:color w:val="000000" w:themeColor="text1"/>
          <w:sz w:val="20"/>
          <w:szCs w:val="20"/>
          <w:lang w:val="en-US"/>
        </w:rPr>
        <w:drawing>
          <wp:inline distT="0" distB="0" distL="0" distR="0" wp14:anchorId="72BCCAF9" wp14:editId="2BD7D717">
            <wp:extent cx="4343400" cy="1276350"/>
            <wp:effectExtent l="0" t="0" r="0" b="0"/>
            <wp:docPr id="115" name="Resi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343400" cy="1276350"/>
                    </a:xfrm>
                    <a:prstGeom prst="rect">
                      <a:avLst/>
                    </a:prstGeom>
                    <a:noFill/>
                    <a:ln>
                      <a:noFill/>
                    </a:ln>
                  </pic:spPr>
                </pic:pic>
              </a:graphicData>
            </a:graphic>
          </wp:inline>
        </w:drawing>
      </w:r>
    </w:p>
    <w:p w14:paraId="4D7B8177" w14:textId="77777777" w:rsidR="007C46D4" w:rsidRPr="00164238" w:rsidRDefault="007C46D4" w:rsidP="007C46D4">
      <w:pPr>
        <w:pStyle w:val="ResimYazs"/>
        <w:jc w:val="both"/>
        <w:rPr>
          <w:i w:val="0"/>
          <w:iCs w:val="0"/>
          <w:color w:val="000000" w:themeColor="text1"/>
          <w:lang w:val="tr-TR"/>
        </w:rPr>
      </w:pPr>
      <w:r w:rsidRPr="00164238">
        <w:rPr>
          <w:i w:val="0"/>
          <w:iCs w:val="0"/>
          <w:color w:val="000000" w:themeColor="text1"/>
          <w:lang w:val="tr-TR"/>
        </w:rPr>
        <w:t xml:space="preserve">Şekil </w:t>
      </w:r>
      <w:r w:rsidRPr="00164238">
        <w:rPr>
          <w:i w:val="0"/>
          <w:iCs w:val="0"/>
          <w:noProof/>
          <w:color w:val="000000" w:themeColor="text1"/>
          <w:lang w:val="tr-TR"/>
        </w:rPr>
        <w:t>1</w:t>
      </w:r>
      <w:r w:rsidRPr="00164238">
        <w:rPr>
          <w:i w:val="0"/>
          <w:iCs w:val="0"/>
          <w:color w:val="000000" w:themeColor="text1"/>
          <w:lang w:val="tr-TR"/>
        </w:rPr>
        <w:t>. Araştırma Modeli</w:t>
      </w:r>
    </w:p>
    <w:p w14:paraId="1622A39A" w14:textId="77777777" w:rsidR="007C46D4" w:rsidRPr="00164238" w:rsidRDefault="007C46D4" w:rsidP="00885A08">
      <w:pPr>
        <w:pStyle w:val="Balk2"/>
        <w:spacing w:after="120"/>
        <w:ind w:left="567"/>
        <w:rPr>
          <w:rFonts w:ascii="Times New Roman" w:hAnsi="Times New Roman" w:cs="Times New Roman"/>
          <w:i w:val="0"/>
          <w:iCs w:val="0"/>
          <w:color w:val="000000" w:themeColor="text1"/>
          <w:sz w:val="20"/>
          <w:szCs w:val="20"/>
          <w:lang w:val="tr-TR"/>
        </w:rPr>
      </w:pPr>
      <w:bookmarkStart w:id="120" w:name="_Toc72352778"/>
      <w:bookmarkStart w:id="121" w:name="_Toc72961712"/>
      <w:r w:rsidRPr="00164238">
        <w:rPr>
          <w:rFonts w:ascii="Times New Roman" w:hAnsi="Times New Roman" w:cs="Times New Roman"/>
          <w:i w:val="0"/>
          <w:iCs w:val="0"/>
          <w:color w:val="000000" w:themeColor="text1"/>
          <w:sz w:val="20"/>
          <w:szCs w:val="20"/>
          <w:lang w:val="tr-TR"/>
        </w:rPr>
        <w:t>Araştırmanın Yöntemi ve Ölçme Araçları</w:t>
      </w:r>
      <w:bookmarkEnd w:id="120"/>
      <w:bookmarkEnd w:id="121"/>
    </w:p>
    <w:p w14:paraId="49EAF79A" w14:textId="77777777" w:rsidR="007C46D4" w:rsidRPr="00164238" w:rsidRDefault="007C46D4" w:rsidP="00885A08">
      <w:pPr>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Araştırmamız dâhilinde hem uzaktan çalışan, hem işyerinden çalışan hem de hibrit modelde (Bazen ev, bazen işyeri) çalışan personeli olan bir çağrı merkezi hizmeti sunan işletme görüşmeler yapılmış ve işyerinde araştırma yapmamıza izin verilmiştir. Araştırmaya işletmedeki tüm çağrı merkezi personeli katılmıştır yani tam sayım yapılmıştır. Toplamda 260 çağrı merkezinin katıldığı araştırmamızda çağrı merkezi personeli anketleri elektronik ortamda doldurmuşlardır. Katılımın tamamen gönüllülük esasında olduğu çalışmada, katılımcıların kimliğine ulaşılmasına olanak tanıyabilecek hiçbir bilgi toplanmamış, böyle bir bilgiye ulaşmayı sağlayabilecek olan yaş, kıdem ve iş tecrübesi gibi alanlar dahi çeşitli aralıklar verilip kodlanarak katılımcılardan cevaplanmaları istenmiştir. </w:t>
      </w:r>
    </w:p>
    <w:p w14:paraId="5629B2AD" w14:textId="77777777" w:rsidR="007C46D4" w:rsidRPr="00164238" w:rsidRDefault="007C46D4" w:rsidP="00885A08">
      <w:pPr>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Araştırmamızın ilk bölümünde katılımcılara ait oldukları yaş grubu, cinsiyetleri, kıdemleri, iş hayatında bulunma süreleri ve çalışma lokasyonları sorulmuştur. İkinci bölümde ise görev performanslarını değerlendirmeleri istenmiştir. Genel görev performanslarının değerlendirilmesinde Kirkman ve Rosen (1999) tarafından geliştirilmiş, Türkçe adaptasyonu güvenilirlik ve geçerliliği Çöl (2011) tarafından yapılmış olan tek boyutlu, 4 ifadeli ölçek COVID-19 sürecine uyarlanarak katılımcıların önceki görev performanslarıyla karşılaştırmaları istenmiştir. Araştırmacıların çağrı merkezi yetkilileri ile görüşmeleri sonucunda elde ettikleri performans değerlendirme kriterlerini kullanarak oluşturdukları, sadece çağrı merkezi çalışanlarının performanslarını ölçmeye yarayan, 4 ifadeli yeni bir ölçek de ayrıca kullanılarak, çalışanların çağrı merkezi faaliyetleri kapsamındaki görevlerinin değerlendirilmesi istenmiştir.</w:t>
      </w:r>
    </w:p>
    <w:p w14:paraId="18B867A0" w14:textId="77777777" w:rsidR="007C46D4" w:rsidRPr="00164238" w:rsidRDefault="007C46D4" w:rsidP="00885A08">
      <w:pPr>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Katılımcılara ait demografik özellikler Tablo 1’de verilmiştir.</w:t>
      </w:r>
    </w:p>
    <w:p w14:paraId="756C1141" w14:textId="77777777" w:rsidR="007C46D4" w:rsidRPr="00164238" w:rsidRDefault="007C46D4" w:rsidP="00885A08">
      <w:pPr>
        <w:pStyle w:val="ResimYazs"/>
        <w:keepNext/>
        <w:spacing w:before="120"/>
        <w:jc w:val="left"/>
        <w:rPr>
          <w:i w:val="0"/>
          <w:iCs w:val="0"/>
          <w:color w:val="000000" w:themeColor="text1"/>
          <w:lang w:val="tr-TR"/>
        </w:rPr>
      </w:pPr>
      <w:r w:rsidRPr="00164238">
        <w:rPr>
          <w:i w:val="0"/>
          <w:iCs w:val="0"/>
          <w:color w:val="000000" w:themeColor="text1"/>
          <w:lang w:val="tr-TR"/>
        </w:rPr>
        <w:lastRenderedPageBreak/>
        <w:t xml:space="preserve">Tablo </w:t>
      </w:r>
      <w:r w:rsidRPr="00164238">
        <w:rPr>
          <w:i w:val="0"/>
          <w:iCs w:val="0"/>
          <w:noProof/>
          <w:color w:val="000000" w:themeColor="text1"/>
          <w:lang w:val="tr-TR"/>
        </w:rPr>
        <w:t>1</w:t>
      </w:r>
      <w:r w:rsidRPr="00164238">
        <w:rPr>
          <w:i w:val="0"/>
          <w:iCs w:val="0"/>
          <w:color w:val="000000" w:themeColor="text1"/>
          <w:lang w:val="tr-TR"/>
        </w:rPr>
        <w:t>. Katılımcılara Ait Demografik Özellikler</w:t>
      </w:r>
    </w:p>
    <w:tbl>
      <w:tblPr>
        <w:tblW w:w="9075"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ayout w:type="fixed"/>
        <w:tblLook w:val="04A0" w:firstRow="1" w:lastRow="0" w:firstColumn="1" w:lastColumn="0" w:noHBand="0" w:noVBand="1"/>
      </w:tblPr>
      <w:tblGrid>
        <w:gridCol w:w="1987"/>
        <w:gridCol w:w="2411"/>
        <w:gridCol w:w="1169"/>
        <w:gridCol w:w="1169"/>
        <w:gridCol w:w="1169"/>
        <w:gridCol w:w="1170"/>
      </w:tblGrid>
      <w:tr w:rsidR="007C46D4" w:rsidRPr="00164238" w14:paraId="35FBD3EE" w14:textId="77777777" w:rsidTr="007C46D4">
        <w:trPr>
          <w:trHeight w:hRule="exact" w:val="227"/>
        </w:trPr>
        <w:tc>
          <w:tcPr>
            <w:tcW w:w="4395" w:type="dxa"/>
            <w:gridSpan w:val="2"/>
            <w:tcBorders>
              <w:top w:val="nil"/>
              <w:left w:val="nil"/>
              <w:bottom w:val="single" w:sz="4" w:space="0" w:color="auto"/>
              <w:right w:val="single" w:sz="4" w:space="0" w:color="auto"/>
            </w:tcBorders>
            <w:vAlign w:val="center"/>
            <w:hideMark/>
          </w:tcPr>
          <w:p w14:paraId="4DDEEA4A" w14:textId="77777777" w:rsidR="007C46D4" w:rsidRPr="00164238" w:rsidRDefault="007C46D4">
            <w:pPr>
              <w:spacing w:after="0" w:line="240" w:lineRule="auto"/>
              <w:rPr>
                <w:rFonts w:ascii="Times New Roman" w:eastAsia="Times New Roman" w:hAnsi="Times New Roman" w:cs="Times New Roman"/>
                <w:b/>
                <w:bCs/>
                <w:color w:val="000000" w:themeColor="text1"/>
                <w:sz w:val="20"/>
                <w:szCs w:val="20"/>
              </w:rPr>
            </w:pPr>
            <w:r w:rsidRPr="00164238">
              <w:rPr>
                <w:rFonts w:ascii="Times New Roman" w:eastAsia="Times New Roman" w:hAnsi="Times New Roman" w:cs="Times New Roman"/>
                <w:b/>
                <w:bCs/>
                <w:color w:val="000000" w:themeColor="text1"/>
                <w:sz w:val="20"/>
                <w:szCs w:val="20"/>
              </w:rPr>
              <w:t> </w:t>
            </w:r>
          </w:p>
        </w:tc>
        <w:tc>
          <w:tcPr>
            <w:tcW w:w="1169" w:type="dxa"/>
            <w:tcBorders>
              <w:top w:val="single" w:sz="4" w:space="0" w:color="auto"/>
              <w:left w:val="single" w:sz="4" w:space="0" w:color="auto"/>
              <w:bottom w:val="single" w:sz="4" w:space="0" w:color="auto"/>
              <w:right w:val="single" w:sz="4" w:space="0" w:color="auto"/>
            </w:tcBorders>
            <w:hideMark/>
          </w:tcPr>
          <w:p w14:paraId="7BCF0680" w14:textId="77777777" w:rsidR="007C46D4" w:rsidRPr="00164238" w:rsidRDefault="007C46D4">
            <w:pPr>
              <w:spacing w:after="0" w:line="240" w:lineRule="auto"/>
              <w:jc w:val="center"/>
              <w:rPr>
                <w:rFonts w:ascii="Times New Roman" w:eastAsia="Times New Roman" w:hAnsi="Times New Roman" w:cs="Times New Roman"/>
                <w:b/>
                <w:bCs/>
                <w:color w:val="000000" w:themeColor="text1"/>
                <w:sz w:val="20"/>
                <w:szCs w:val="20"/>
              </w:rPr>
            </w:pPr>
            <w:r w:rsidRPr="00164238">
              <w:rPr>
                <w:rFonts w:ascii="Times New Roman" w:eastAsia="Times New Roman" w:hAnsi="Times New Roman" w:cs="Times New Roman"/>
                <w:b/>
                <w:bCs/>
                <w:color w:val="000000" w:themeColor="text1"/>
                <w:sz w:val="20"/>
                <w:szCs w:val="20"/>
              </w:rPr>
              <w:t>Kodlama</w:t>
            </w:r>
          </w:p>
        </w:tc>
        <w:tc>
          <w:tcPr>
            <w:tcW w:w="1169" w:type="dxa"/>
            <w:tcBorders>
              <w:top w:val="single" w:sz="4" w:space="0" w:color="auto"/>
              <w:left w:val="single" w:sz="4" w:space="0" w:color="auto"/>
              <w:bottom w:val="single" w:sz="4" w:space="0" w:color="auto"/>
              <w:right w:val="dotted" w:sz="4" w:space="0" w:color="000000"/>
            </w:tcBorders>
            <w:vAlign w:val="center"/>
            <w:hideMark/>
          </w:tcPr>
          <w:p w14:paraId="503952BC" w14:textId="77777777" w:rsidR="007C46D4" w:rsidRPr="00164238" w:rsidRDefault="007C46D4">
            <w:pPr>
              <w:spacing w:after="0" w:line="240" w:lineRule="auto"/>
              <w:jc w:val="center"/>
              <w:rPr>
                <w:rFonts w:ascii="Times New Roman" w:eastAsia="Times New Roman" w:hAnsi="Times New Roman" w:cs="Times New Roman"/>
                <w:b/>
                <w:bCs/>
                <w:color w:val="000000" w:themeColor="text1"/>
                <w:sz w:val="20"/>
                <w:szCs w:val="20"/>
              </w:rPr>
            </w:pPr>
            <w:r w:rsidRPr="00164238">
              <w:rPr>
                <w:rFonts w:ascii="Times New Roman" w:eastAsia="Times New Roman" w:hAnsi="Times New Roman" w:cs="Times New Roman"/>
                <w:b/>
                <w:bCs/>
                <w:color w:val="000000" w:themeColor="text1"/>
                <w:sz w:val="20"/>
                <w:szCs w:val="20"/>
              </w:rPr>
              <w:t>f</w:t>
            </w:r>
          </w:p>
        </w:tc>
        <w:tc>
          <w:tcPr>
            <w:tcW w:w="1169" w:type="dxa"/>
            <w:tcBorders>
              <w:top w:val="single" w:sz="4" w:space="0" w:color="auto"/>
              <w:left w:val="dotted" w:sz="4" w:space="0" w:color="000000"/>
              <w:bottom w:val="single" w:sz="4" w:space="0" w:color="auto"/>
              <w:right w:val="dotted" w:sz="4" w:space="0" w:color="000000"/>
            </w:tcBorders>
            <w:vAlign w:val="center"/>
            <w:hideMark/>
          </w:tcPr>
          <w:p w14:paraId="4227E86A" w14:textId="77777777" w:rsidR="007C46D4" w:rsidRPr="00164238" w:rsidRDefault="007C46D4">
            <w:pPr>
              <w:spacing w:after="0" w:line="240" w:lineRule="auto"/>
              <w:jc w:val="center"/>
              <w:rPr>
                <w:rFonts w:ascii="Times New Roman" w:eastAsia="Times New Roman" w:hAnsi="Times New Roman" w:cs="Times New Roman"/>
                <w:b/>
                <w:bCs/>
                <w:color w:val="000000" w:themeColor="text1"/>
                <w:sz w:val="20"/>
                <w:szCs w:val="20"/>
              </w:rPr>
            </w:pPr>
            <w:r w:rsidRPr="00164238">
              <w:rPr>
                <w:rFonts w:ascii="Times New Roman" w:eastAsia="Times New Roman" w:hAnsi="Times New Roman" w:cs="Times New Roman"/>
                <w:b/>
                <w:bCs/>
                <w:color w:val="000000" w:themeColor="text1"/>
                <w:sz w:val="20"/>
                <w:szCs w:val="20"/>
              </w:rPr>
              <w:t>%</w:t>
            </w:r>
          </w:p>
        </w:tc>
        <w:tc>
          <w:tcPr>
            <w:tcW w:w="1170" w:type="dxa"/>
            <w:tcBorders>
              <w:top w:val="single" w:sz="4" w:space="0" w:color="auto"/>
              <w:left w:val="dotted" w:sz="4" w:space="0" w:color="000000"/>
              <w:bottom w:val="single" w:sz="4" w:space="0" w:color="auto"/>
              <w:right w:val="single" w:sz="4" w:space="0" w:color="auto"/>
            </w:tcBorders>
            <w:vAlign w:val="center"/>
            <w:hideMark/>
          </w:tcPr>
          <w:p w14:paraId="100BF67D" w14:textId="77777777" w:rsidR="007C46D4" w:rsidRPr="00164238" w:rsidRDefault="007C46D4">
            <w:pPr>
              <w:spacing w:after="0" w:line="240" w:lineRule="auto"/>
              <w:jc w:val="center"/>
              <w:rPr>
                <w:rFonts w:ascii="Times New Roman" w:eastAsia="Times New Roman" w:hAnsi="Times New Roman" w:cs="Times New Roman"/>
                <w:b/>
                <w:bCs/>
                <w:color w:val="000000" w:themeColor="text1"/>
                <w:sz w:val="20"/>
                <w:szCs w:val="20"/>
              </w:rPr>
            </w:pPr>
            <w:r w:rsidRPr="00164238">
              <w:rPr>
                <w:rFonts w:ascii="Times New Roman" w:eastAsia="Times New Roman" w:hAnsi="Times New Roman" w:cs="Times New Roman"/>
                <w:b/>
                <w:bCs/>
                <w:color w:val="000000" w:themeColor="text1"/>
                <w:sz w:val="20"/>
                <w:szCs w:val="20"/>
              </w:rPr>
              <w:t>Toplam %</w:t>
            </w:r>
          </w:p>
        </w:tc>
      </w:tr>
      <w:tr w:rsidR="007C46D4" w:rsidRPr="00164238" w14:paraId="581387CC" w14:textId="77777777" w:rsidTr="007C46D4">
        <w:trPr>
          <w:trHeight w:hRule="exact" w:val="227"/>
        </w:trPr>
        <w:tc>
          <w:tcPr>
            <w:tcW w:w="1985" w:type="dxa"/>
            <w:vMerge w:val="restart"/>
            <w:tcBorders>
              <w:top w:val="single" w:sz="4" w:space="0" w:color="auto"/>
              <w:left w:val="single" w:sz="4" w:space="0" w:color="auto"/>
              <w:bottom w:val="single" w:sz="4" w:space="0" w:color="auto"/>
              <w:right w:val="single" w:sz="4" w:space="0" w:color="auto"/>
            </w:tcBorders>
            <w:vAlign w:val="center"/>
            <w:hideMark/>
          </w:tcPr>
          <w:p w14:paraId="18FE25FC" w14:textId="77777777" w:rsidR="007C46D4" w:rsidRPr="00164238" w:rsidRDefault="007C46D4">
            <w:pPr>
              <w:spacing w:after="0" w:line="240" w:lineRule="auto"/>
              <w:rPr>
                <w:rFonts w:ascii="Times New Roman" w:eastAsia="Times New Roman" w:hAnsi="Times New Roman" w:cs="Times New Roman"/>
                <w:b/>
                <w:bCs/>
                <w:color w:val="000000" w:themeColor="text1"/>
                <w:sz w:val="20"/>
                <w:szCs w:val="20"/>
              </w:rPr>
            </w:pPr>
            <w:r w:rsidRPr="00164238">
              <w:rPr>
                <w:rFonts w:ascii="Times New Roman" w:eastAsia="Times New Roman" w:hAnsi="Times New Roman" w:cs="Times New Roman"/>
                <w:b/>
                <w:bCs/>
                <w:color w:val="000000" w:themeColor="text1"/>
                <w:sz w:val="20"/>
                <w:szCs w:val="20"/>
              </w:rPr>
              <w:t>Yaş</w:t>
            </w:r>
          </w:p>
        </w:tc>
        <w:tc>
          <w:tcPr>
            <w:tcW w:w="2410" w:type="dxa"/>
            <w:tcBorders>
              <w:top w:val="single" w:sz="4" w:space="0" w:color="auto"/>
              <w:left w:val="single" w:sz="4" w:space="0" w:color="auto"/>
              <w:bottom w:val="dotted" w:sz="4" w:space="0" w:color="000000"/>
              <w:right w:val="single" w:sz="4" w:space="0" w:color="auto"/>
            </w:tcBorders>
            <w:vAlign w:val="center"/>
            <w:hideMark/>
          </w:tcPr>
          <w:p w14:paraId="6903E3D3" w14:textId="77777777" w:rsidR="007C46D4" w:rsidRPr="00164238" w:rsidRDefault="007C46D4">
            <w:pPr>
              <w:spacing w:after="0" w:line="240" w:lineRule="auto"/>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24 Yaş ve Altı</w:t>
            </w:r>
          </w:p>
        </w:tc>
        <w:tc>
          <w:tcPr>
            <w:tcW w:w="1169" w:type="dxa"/>
            <w:tcBorders>
              <w:top w:val="single" w:sz="4" w:space="0" w:color="auto"/>
              <w:left w:val="single" w:sz="4" w:space="0" w:color="auto"/>
              <w:bottom w:val="dotted" w:sz="4" w:space="0" w:color="000000"/>
              <w:right w:val="single" w:sz="4" w:space="0" w:color="auto"/>
            </w:tcBorders>
            <w:hideMark/>
          </w:tcPr>
          <w:p w14:paraId="55480718"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1</w:t>
            </w:r>
          </w:p>
        </w:tc>
        <w:tc>
          <w:tcPr>
            <w:tcW w:w="1169" w:type="dxa"/>
            <w:tcBorders>
              <w:top w:val="single" w:sz="4" w:space="0" w:color="auto"/>
              <w:left w:val="single" w:sz="4" w:space="0" w:color="auto"/>
              <w:bottom w:val="dotted" w:sz="4" w:space="0" w:color="000000"/>
              <w:right w:val="dotted" w:sz="4" w:space="0" w:color="000000"/>
            </w:tcBorders>
            <w:noWrap/>
            <w:vAlign w:val="center"/>
            <w:hideMark/>
          </w:tcPr>
          <w:p w14:paraId="4744FDB5"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85</w:t>
            </w:r>
          </w:p>
        </w:tc>
        <w:tc>
          <w:tcPr>
            <w:tcW w:w="1169" w:type="dxa"/>
            <w:tcBorders>
              <w:top w:val="single" w:sz="4" w:space="0" w:color="auto"/>
              <w:left w:val="dotted" w:sz="4" w:space="0" w:color="000000"/>
              <w:bottom w:val="dotted" w:sz="4" w:space="0" w:color="000000"/>
              <w:right w:val="dotted" w:sz="4" w:space="0" w:color="000000"/>
            </w:tcBorders>
            <w:noWrap/>
            <w:vAlign w:val="center"/>
            <w:hideMark/>
          </w:tcPr>
          <w:p w14:paraId="3CC5E85D"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32,7</w:t>
            </w:r>
          </w:p>
        </w:tc>
        <w:tc>
          <w:tcPr>
            <w:tcW w:w="1170" w:type="dxa"/>
            <w:tcBorders>
              <w:top w:val="dotted" w:sz="4" w:space="0" w:color="000000"/>
              <w:left w:val="dotted" w:sz="4" w:space="0" w:color="000000"/>
              <w:bottom w:val="dotted" w:sz="4" w:space="0" w:color="000000"/>
              <w:right w:val="single" w:sz="4" w:space="0" w:color="auto"/>
            </w:tcBorders>
            <w:noWrap/>
            <w:vAlign w:val="center"/>
            <w:hideMark/>
          </w:tcPr>
          <w:p w14:paraId="0F7008F0"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32,7</w:t>
            </w:r>
          </w:p>
        </w:tc>
      </w:tr>
      <w:tr w:rsidR="007C46D4" w:rsidRPr="00164238" w14:paraId="2228E06F" w14:textId="77777777" w:rsidTr="007C46D4">
        <w:trPr>
          <w:trHeight w:hRule="exact" w:val="227"/>
        </w:trPr>
        <w:tc>
          <w:tcPr>
            <w:tcW w:w="4395" w:type="dxa"/>
            <w:vMerge/>
            <w:tcBorders>
              <w:top w:val="single" w:sz="4" w:space="0" w:color="auto"/>
              <w:left w:val="single" w:sz="4" w:space="0" w:color="auto"/>
              <w:bottom w:val="single" w:sz="4" w:space="0" w:color="auto"/>
              <w:right w:val="single" w:sz="4" w:space="0" w:color="auto"/>
            </w:tcBorders>
            <w:vAlign w:val="center"/>
            <w:hideMark/>
          </w:tcPr>
          <w:p w14:paraId="004D8830" w14:textId="77777777" w:rsidR="007C46D4" w:rsidRPr="00164238" w:rsidRDefault="007C46D4">
            <w:pPr>
              <w:spacing w:after="0"/>
              <w:rPr>
                <w:rFonts w:ascii="Times New Roman" w:eastAsia="Times New Roman" w:hAnsi="Times New Roman" w:cs="Times New Roman"/>
                <w:b/>
                <w:bCs/>
                <w:color w:val="000000" w:themeColor="text1"/>
                <w:sz w:val="20"/>
                <w:szCs w:val="20"/>
              </w:rPr>
            </w:pPr>
          </w:p>
        </w:tc>
        <w:tc>
          <w:tcPr>
            <w:tcW w:w="2410" w:type="dxa"/>
            <w:tcBorders>
              <w:top w:val="dotted" w:sz="4" w:space="0" w:color="000000"/>
              <w:left w:val="single" w:sz="4" w:space="0" w:color="auto"/>
              <w:bottom w:val="dotted" w:sz="4" w:space="0" w:color="000000"/>
              <w:right w:val="single" w:sz="4" w:space="0" w:color="auto"/>
            </w:tcBorders>
            <w:vAlign w:val="center"/>
            <w:hideMark/>
          </w:tcPr>
          <w:p w14:paraId="396E3C34" w14:textId="77777777" w:rsidR="007C46D4" w:rsidRPr="00164238" w:rsidRDefault="007C46D4">
            <w:pPr>
              <w:spacing w:after="0" w:line="240" w:lineRule="auto"/>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25-29 Arası</w:t>
            </w:r>
          </w:p>
        </w:tc>
        <w:tc>
          <w:tcPr>
            <w:tcW w:w="1169" w:type="dxa"/>
            <w:tcBorders>
              <w:top w:val="dotted" w:sz="4" w:space="0" w:color="000000"/>
              <w:left w:val="single" w:sz="4" w:space="0" w:color="auto"/>
              <w:bottom w:val="dotted" w:sz="4" w:space="0" w:color="000000"/>
              <w:right w:val="single" w:sz="4" w:space="0" w:color="auto"/>
            </w:tcBorders>
            <w:hideMark/>
          </w:tcPr>
          <w:p w14:paraId="55087B85"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2</w:t>
            </w:r>
          </w:p>
        </w:tc>
        <w:tc>
          <w:tcPr>
            <w:tcW w:w="1169" w:type="dxa"/>
            <w:tcBorders>
              <w:top w:val="dotted" w:sz="4" w:space="0" w:color="000000"/>
              <w:left w:val="single" w:sz="4" w:space="0" w:color="auto"/>
              <w:bottom w:val="dotted" w:sz="4" w:space="0" w:color="000000"/>
              <w:right w:val="dotted" w:sz="4" w:space="0" w:color="000000"/>
            </w:tcBorders>
            <w:noWrap/>
            <w:vAlign w:val="center"/>
            <w:hideMark/>
          </w:tcPr>
          <w:p w14:paraId="4177835E"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164</w:t>
            </w:r>
          </w:p>
        </w:tc>
        <w:tc>
          <w:tcPr>
            <w:tcW w:w="1169" w:type="dxa"/>
            <w:tcBorders>
              <w:top w:val="dotted" w:sz="4" w:space="0" w:color="000000"/>
              <w:left w:val="dotted" w:sz="4" w:space="0" w:color="000000"/>
              <w:bottom w:val="dotted" w:sz="4" w:space="0" w:color="000000"/>
              <w:right w:val="dotted" w:sz="4" w:space="0" w:color="000000"/>
            </w:tcBorders>
            <w:noWrap/>
            <w:vAlign w:val="center"/>
            <w:hideMark/>
          </w:tcPr>
          <w:p w14:paraId="20F79620"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63,1</w:t>
            </w:r>
          </w:p>
        </w:tc>
        <w:tc>
          <w:tcPr>
            <w:tcW w:w="1170" w:type="dxa"/>
            <w:tcBorders>
              <w:top w:val="dotted" w:sz="4" w:space="0" w:color="000000"/>
              <w:left w:val="dotted" w:sz="4" w:space="0" w:color="000000"/>
              <w:bottom w:val="dotted" w:sz="4" w:space="0" w:color="000000"/>
              <w:right w:val="single" w:sz="4" w:space="0" w:color="auto"/>
            </w:tcBorders>
            <w:noWrap/>
            <w:vAlign w:val="center"/>
            <w:hideMark/>
          </w:tcPr>
          <w:p w14:paraId="55470F75"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95,8</w:t>
            </w:r>
          </w:p>
        </w:tc>
      </w:tr>
      <w:tr w:rsidR="007C46D4" w:rsidRPr="00164238" w14:paraId="6A2FCE3E" w14:textId="77777777" w:rsidTr="007C46D4">
        <w:trPr>
          <w:trHeight w:hRule="exact" w:val="227"/>
        </w:trPr>
        <w:tc>
          <w:tcPr>
            <w:tcW w:w="4395" w:type="dxa"/>
            <w:vMerge/>
            <w:tcBorders>
              <w:top w:val="single" w:sz="4" w:space="0" w:color="auto"/>
              <w:left w:val="single" w:sz="4" w:space="0" w:color="auto"/>
              <w:bottom w:val="single" w:sz="4" w:space="0" w:color="auto"/>
              <w:right w:val="single" w:sz="4" w:space="0" w:color="auto"/>
            </w:tcBorders>
            <w:vAlign w:val="center"/>
            <w:hideMark/>
          </w:tcPr>
          <w:p w14:paraId="1536CF81" w14:textId="77777777" w:rsidR="007C46D4" w:rsidRPr="00164238" w:rsidRDefault="007C46D4">
            <w:pPr>
              <w:spacing w:after="0"/>
              <w:rPr>
                <w:rFonts w:ascii="Times New Roman" w:eastAsia="Times New Roman" w:hAnsi="Times New Roman" w:cs="Times New Roman"/>
                <w:b/>
                <w:bCs/>
                <w:color w:val="000000" w:themeColor="text1"/>
                <w:sz w:val="20"/>
                <w:szCs w:val="20"/>
              </w:rPr>
            </w:pPr>
          </w:p>
        </w:tc>
        <w:tc>
          <w:tcPr>
            <w:tcW w:w="2410" w:type="dxa"/>
            <w:tcBorders>
              <w:top w:val="dotted" w:sz="4" w:space="0" w:color="000000"/>
              <w:left w:val="single" w:sz="4" w:space="0" w:color="auto"/>
              <w:bottom w:val="single" w:sz="4" w:space="0" w:color="auto"/>
              <w:right w:val="single" w:sz="4" w:space="0" w:color="auto"/>
            </w:tcBorders>
            <w:vAlign w:val="center"/>
            <w:hideMark/>
          </w:tcPr>
          <w:p w14:paraId="72C33EC8" w14:textId="77777777" w:rsidR="007C46D4" w:rsidRPr="00164238" w:rsidRDefault="007C46D4">
            <w:pPr>
              <w:spacing w:after="0" w:line="240" w:lineRule="auto"/>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30 ve Üzeri</w:t>
            </w:r>
          </w:p>
        </w:tc>
        <w:tc>
          <w:tcPr>
            <w:tcW w:w="1169" w:type="dxa"/>
            <w:tcBorders>
              <w:top w:val="dotted" w:sz="4" w:space="0" w:color="000000"/>
              <w:left w:val="single" w:sz="4" w:space="0" w:color="auto"/>
              <w:bottom w:val="single" w:sz="4" w:space="0" w:color="auto"/>
              <w:right w:val="single" w:sz="4" w:space="0" w:color="auto"/>
            </w:tcBorders>
            <w:hideMark/>
          </w:tcPr>
          <w:p w14:paraId="474C8454"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3</w:t>
            </w:r>
          </w:p>
        </w:tc>
        <w:tc>
          <w:tcPr>
            <w:tcW w:w="1169" w:type="dxa"/>
            <w:tcBorders>
              <w:top w:val="dotted" w:sz="4" w:space="0" w:color="000000"/>
              <w:left w:val="single" w:sz="4" w:space="0" w:color="auto"/>
              <w:bottom w:val="single" w:sz="4" w:space="0" w:color="auto"/>
              <w:right w:val="dotted" w:sz="4" w:space="0" w:color="000000"/>
            </w:tcBorders>
            <w:noWrap/>
            <w:vAlign w:val="center"/>
            <w:hideMark/>
          </w:tcPr>
          <w:p w14:paraId="5D7D6627"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11</w:t>
            </w:r>
          </w:p>
        </w:tc>
        <w:tc>
          <w:tcPr>
            <w:tcW w:w="1169" w:type="dxa"/>
            <w:tcBorders>
              <w:top w:val="dotted" w:sz="4" w:space="0" w:color="000000"/>
              <w:left w:val="dotted" w:sz="4" w:space="0" w:color="000000"/>
              <w:bottom w:val="single" w:sz="4" w:space="0" w:color="auto"/>
              <w:right w:val="dotted" w:sz="4" w:space="0" w:color="000000"/>
            </w:tcBorders>
            <w:noWrap/>
            <w:vAlign w:val="center"/>
            <w:hideMark/>
          </w:tcPr>
          <w:p w14:paraId="2EC4C5A1"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4,2</w:t>
            </w:r>
          </w:p>
        </w:tc>
        <w:tc>
          <w:tcPr>
            <w:tcW w:w="1170" w:type="dxa"/>
            <w:tcBorders>
              <w:top w:val="dotted" w:sz="4" w:space="0" w:color="000000"/>
              <w:left w:val="dotted" w:sz="4" w:space="0" w:color="000000"/>
              <w:bottom w:val="single" w:sz="4" w:space="0" w:color="auto"/>
              <w:right w:val="single" w:sz="4" w:space="0" w:color="auto"/>
            </w:tcBorders>
            <w:noWrap/>
            <w:vAlign w:val="center"/>
            <w:hideMark/>
          </w:tcPr>
          <w:p w14:paraId="4DDE74B3"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100,0</w:t>
            </w:r>
          </w:p>
        </w:tc>
      </w:tr>
      <w:tr w:rsidR="007C46D4" w:rsidRPr="00164238" w14:paraId="0B2C38C7" w14:textId="77777777" w:rsidTr="007C46D4">
        <w:trPr>
          <w:trHeight w:hRule="exact" w:val="227"/>
        </w:trPr>
        <w:tc>
          <w:tcPr>
            <w:tcW w:w="1985" w:type="dxa"/>
            <w:vMerge w:val="restart"/>
            <w:tcBorders>
              <w:top w:val="single" w:sz="4" w:space="0" w:color="auto"/>
              <w:left w:val="single" w:sz="4" w:space="0" w:color="auto"/>
              <w:bottom w:val="single" w:sz="4" w:space="0" w:color="auto"/>
              <w:right w:val="single" w:sz="4" w:space="0" w:color="auto"/>
            </w:tcBorders>
            <w:vAlign w:val="center"/>
            <w:hideMark/>
          </w:tcPr>
          <w:p w14:paraId="47080AD9" w14:textId="77777777" w:rsidR="007C46D4" w:rsidRPr="00164238" w:rsidRDefault="007C46D4">
            <w:pPr>
              <w:spacing w:after="0" w:line="240" w:lineRule="auto"/>
              <w:rPr>
                <w:rFonts w:ascii="Times New Roman" w:eastAsia="Times New Roman" w:hAnsi="Times New Roman" w:cs="Times New Roman"/>
                <w:b/>
                <w:bCs/>
                <w:color w:val="000000" w:themeColor="text1"/>
                <w:sz w:val="20"/>
                <w:szCs w:val="20"/>
              </w:rPr>
            </w:pPr>
            <w:r w:rsidRPr="00164238">
              <w:rPr>
                <w:rFonts w:ascii="Times New Roman" w:eastAsia="Times New Roman" w:hAnsi="Times New Roman" w:cs="Times New Roman"/>
                <w:b/>
                <w:bCs/>
                <w:color w:val="000000" w:themeColor="text1"/>
                <w:sz w:val="20"/>
                <w:szCs w:val="20"/>
              </w:rPr>
              <w:t>Cinsiyet</w:t>
            </w:r>
          </w:p>
        </w:tc>
        <w:tc>
          <w:tcPr>
            <w:tcW w:w="2410" w:type="dxa"/>
            <w:tcBorders>
              <w:top w:val="single" w:sz="4" w:space="0" w:color="auto"/>
              <w:left w:val="single" w:sz="4" w:space="0" w:color="auto"/>
              <w:bottom w:val="dotted" w:sz="4" w:space="0" w:color="000000"/>
              <w:right w:val="single" w:sz="4" w:space="0" w:color="auto"/>
            </w:tcBorders>
            <w:vAlign w:val="center"/>
            <w:hideMark/>
          </w:tcPr>
          <w:p w14:paraId="1A94F702" w14:textId="77777777" w:rsidR="007C46D4" w:rsidRPr="00164238" w:rsidRDefault="007C46D4">
            <w:pPr>
              <w:spacing w:after="0" w:line="240" w:lineRule="auto"/>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Erkek</w:t>
            </w:r>
          </w:p>
        </w:tc>
        <w:tc>
          <w:tcPr>
            <w:tcW w:w="1169" w:type="dxa"/>
            <w:tcBorders>
              <w:top w:val="single" w:sz="4" w:space="0" w:color="auto"/>
              <w:left w:val="single" w:sz="4" w:space="0" w:color="auto"/>
              <w:bottom w:val="dotted" w:sz="4" w:space="0" w:color="000000"/>
              <w:right w:val="single" w:sz="4" w:space="0" w:color="auto"/>
            </w:tcBorders>
            <w:hideMark/>
          </w:tcPr>
          <w:p w14:paraId="5FD4C8D6"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1</w:t>
            </w:r>
          </w:p>
        </w:tc>
        <w:tc>
          <w:tcPr>
            <w:tcW w:w="1169" w:type="dxa"/>
            <w:tcBorders>
              <w:top w:val="single" w:sz="4" w:space="0" w:color="auto"/>
              <w:left w:val="single" w:sz="4" w:space="0" w:color="auto"/>
              <w:bottom w:val="dotted" w:sz="4" w:space="0" w:color="000000"/>
              <w:right w:val="dotted" w:sz="4" w:space="0" w:color="000000"/>
            </w:tcBorders>
            <w:noWrap/>
            <w:vAlign w:val="center"/>
            <w:hideMark/>
          </w:tcPr>
          <w:p w14:paraId="0129B408"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67</w:t>
            </w:r>
          </w:p>
        </w:tc>
        <w:tc>
          <w:tcPr>
            <w:tcW w:w="1169" w:type="dxa"/>
            <w:tcBorders>
              <w:top w:val="single" w:sz="4" w:space="0" w:color="auto"/>
              <w:left w:val="dotted" w:sz="4" w:space="0" w:color="000000"/>
              <w:bottom w:val="dotted" w:sz="4" w:space="0" w:color="000000"/>
              <w:right w:val="dotted" w:sz="4" w:space="0" w:color="000000"/>
            </w:tcBorders>
            <w:noWrap/>
            <w:vAlign w:val="center"/>
            <w:hideMark/>
          </w:tcPr>
          <w:p w14:paraId="37EC34CE"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25,8</w:t>
            </w:r>
          </w:p>
        </w:tc>
        <w:tc>
          <w:tcPr>
            <w:tcW w:w="1170" w:type="dxa"/>
            <w:tcBorders>
              <w:top w:val="single" w:sz="4" w:space="0" w:color="auto"/>
              <w:left w:val="dotted" w:sz="4" w:space="0" w:color="000000"/>
              <w:bottom w:val="dotted" w:sz="4" w:space="0" w:color="000000"/>
              <w:right w:val="single" w:sz="4" w:space="0" w:color="auto"/>
            </w:tcBorders>
            <w:noWrap/>
            <w:vAlign w:val="center"/>
            <w:hideMark/>
          </w:tcPr>
          <w:p w14:paraId="7BB28884"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25,8</w:t>
            </w:r>
          </w:p>
        </w:tc>
      </w:tr>
      <w:tr w:rsidR="007C46D4" w:rsidRPr="00164238" w14:paraId="03336140" w14:textId="77777777" w:rsidTr="007C46D4">
        <w:trPr>
          <w:trHeight w:hRule="exact" w:val="227"/>
        </w:trPr>
        <w:tc>
          <w:tcPr>
            <w:tcW w:w="4395" w:type="dxa"/>
            <w:vMerge/>
            <w:tcBorders>
              <w:top w:val="single" w:sz="4" w:space="0" w:color="auto"/>
              <w:left w:val="single" w:sz="4" w:space="0" w:color="auto"/>
              <w:bottom w:val="single" w:sz="4" w:space="0" w:color="auto"/>
              <w:right w:val="single" w:sz="4" w:space="0" w:color="auto"/>
            </w:tcBorders>
            <w:vAlign w:val="center"/>
            <w:hideMark/>
          </w:tcPr>
          <w:p w14:paraId="3A8AD17B" w14:textId="77777777" w:rsidR="007C46D4" w:rsidRPr="00164238" w:rsidRDefault="007C46D4">
            <w:pPr>
              <w:spacing w:after="0"/>
              <w:rPr>
                <w:rFonts w:ascii="Times New Roman" w:eastAsia="Times New Roman" w:hAnsi="Times New Roman" w:cs="Times New Roman"/>
                <w:b/>
                <w:bCs/>
                <w:color w:val="000000" w:themeColor="text1"/>
                <w:sz w:val="20"/>
                <w:szCs w:val="20"/>
              </w:rPr>
            </w:pPr>
          </w:p>
        </w:tc>
        <w:tc>
          <w:tcPr>
            <w:tcW w:w="2410" w:type="dxa"/>
            <w:tcBorders>
              <w:top w:val="dotted" w:sz="4" w:space="0" w:color="000000"/>
              <w:left w:val="single" w:sz="4" w:space="0" w:color="auto"/>
              <w:bottom w:val="single" w:sz="4" w:space="0" w:color="auto"/>
              <w:right w:val="single" w:sz="4" w:space="0" w:color="auto"/>
            </w:tcBorders>
            <w:vAlign w:val="center"/>
            <w:hideMark/>
          </w:tcPr>
          <w:p w14:paraId="7A933572" w14:textId="77777777" w:rsidR="007C46D4" w:rsidRPr="00164238" w:rsidRDefault="007C46D4">
            <w:pPr>
              <w:spacing w:after="0" w:line="240" w:lineRule="auto"/>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Kadın</w:t>
            </w:r>
          </w:p>
        </w:tc>
        <w:tc>
          <w:tcPr>
            <w:tcW w:w="1169" w:type="dxa"/>
            <w:tcBorders>
              <w:top w:val="dotted" w:sz="4" w:space="0" w:color="000000"/>
              <w:left w:val="single" w:sz="4" w:space="0" w:color="auto"/>
              <w:bottom w:val="single" w:sz="4" w:space="0" w:color="auto"/>
              <w:right w:val="single" w:sz="4" w:space="0" w:color="auto"/>
            </w:tcBorders>
            <w:hideMark/>
          </w:tcPr>
          <w:p w14:paraId="7C76477A"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2</w:t>
            </w:r>
          </w:p>
        </w:tc>
        <w:tc>
          <w:tcPr>
            <w:tcW w:w="1169" w:type="dxa"/>
            <w:tcBorders>
              <w:top w:val="dotted" w:sz="4" w:space="0" w:color="000000"/>
              <w:left w:val="single" w:sz="4" w:space="0" w:color="auto"/>
              <w:bottom w:val="single" w:sz="4" w:space="0" w:color="auto"/>
              <w:right w:val="dotted" w:sz="4" w:space="0" w:color="000000"/>
            </w:tcBorders>
            <w:noWrap/>
            <w:vAlign w:val="center"/>
            <w:hideMark/>
          </w:tcPr>
          <w:p w14:paraId="60A11744"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193</w:t>
            </w:r>
          </w:p>
        </w:tc>
        <w:tc>
          <w:tcPr>
            <w:tcW w:w="1169" w:type="dxa"/>
            <w:tcBorders>
              <w:top w:val="dotted" w:sz="4" w:space="0" w:color="000000"/>
              <w:left w:val="dotted" w:sz="4" w:space="0" w:color="000000"/>
              <w:bottom w:val="single" w:sz="4" w:space="0" w:color="auto"/>
              <w:right w:val="dotted" w:sz="4" w:space="0" w:color="000000"/>
            </w:tcBorders>
            <w:noWrap/>
            <w:vAlign w:val="center"/>
            <w:hideMark/>
          </w:tcPr>
          <w:p w14:paraId="1F0686F6"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74,2</w:t>
            </w:r>
          </w:p>
        </w:tc>
        <w:tc>
          <w:tcPr>
            <w:tcW w:w="1170" w:type="dxa"/>
            <w:tcBorders>
              <w:top w:val="dotted" w:sz="4" w:space="0" w:color="000000"/>
              <w:left w:val="dotted" w:sz="4" w:space="0" w:color="000000"/>
              <w:bottom w:val="single" w:sz="4" w:space="0" w:color="auto"/>
              <w:right w:val="single" w:sz="4" w:space="0" w:color="auto"/>
            </w:tcBorders>
            <w:noWrap/>
            <w:vAlign w:val="center"/>
            <w:hideMark/>
          </w:tcPr>
          <w:p w14:paraId="58745D7D"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100,0</w:t>
            </w:r>
          </w:p>
        </w:tc>
      </w:tr>
      <w:tr w:rsidR="007C46D4" w:rsidRPr="00164238" w14:paraId="0491F3DE" w14:textId="77777777" w:rsidTr="007C46D4">
        <w:trPr>
          <w:trHeight w:hRule="exact" w:val="227"/>
        </w:trPr>
        <w:tc>
          <w:tcPr>
            <w:tcW w:w="1985" w:type="dxa"/>
            <w:vMerge w:val="restart"/>
            <w:tcBorders>
              <w:top w:val="single" w:sz="4" w:space="0" w:color="auto"/>
              <w:left w:val="single" w:sz="4" w:space="0" w:color="auto"/>
              <w:bottom w:val="single" w:sz="4" w:space="0" w:color="auto"/>
              <w:right w:val="single" w:sz="4" w:space="0" w:color="auto"/>
            </w:tcBorders>
            <w:vAlign w:val="center"/>
            <w:hideMark/>
          </w:tcPr>
          <w:p w14:paraId="652689BF" w14:textId="77777777" w:rsidR="007C46D4" w:rsidRPr="00164238" w:rsidRDefault="007C46D4">
            <w:pPr>
              <w:spacing w:after="0" w:line="240" w:lineRule="auto"/>
              <w:rPr>
                <w:rFonts w:ascii="Times New Roman" w:eastAsia="Times New Roman" w:hAnsi="Times New Roman" w:cs="Times New Roman"/>
                <w:b/>
                <w:bCs/>
                <w:color w:val="000000" w:themeColor="text1"/>
                <w:sz w:val="20"/>
                <w:szCs w:val="20"/>
              </w:rPr>
            </w:pPr>
            <w:r w:rsidRPr="00164238">
              <w:rPr>
                <w:rFonts w:ascii="Times New Roman" w:eastAsia="Times New Roman" w:hAnsi="Times New Roman" w:cs="Times New Roman"/>
                <w:b/>
                <w:bCs/>
                <w:color w:val="000000" w:themeColor="text1"/>
                <w:sz w:val="20"/>
                <w:szCs w:val="20"/>
              </w:rPr>
              <w:t>Eğitim</w:t>
            </w:r>
          </w:p>
        </w:tc>
        <w:tc>
          <w:tcPr>
            <w:tcW w:w="2410" w:type="dxa"/>
            <w:tcBorders>
              <w:top w:val="single" w:sz="4" w:space="0" w:color="auto"/>
              <w:left w:val="single" w:sz="4" w:space="0" w:color="auto"/>
              <w:bottom w:val="dotted" w:sz="4" w:space="0" w:color="000000"/>
              <w:right w:val="single" w:sz="4" w:space="0" w:color="auto"/>
            </w:tcBorders>
            <w:vAlign w:val="center"/>
            <w:hideMark/>
          </w:tcPr>
          <w:p w14:paraId="127F58C1" w14:textId="77777777" w:rsidR="007C46D4" w:rsidRPr="00164238" w:rsidRDefault="007C46D4">
            <w:pPr>
              <w:spacing w:after="0" w:line="240" w:lineRule="auto"/>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İlk, Orta ve Lise</w:t>
            </w:r>
          </w:p>
        </w:tc>
        <w:tc>
          <w:tcPr>
            <w:tcW w:w="1169" w:type="dxa"/>
            <w:tcBorders>
              <w:top w:val="single" w:sz="4" w:space="0" w:color="auto"/>
              <w:left w:val="single" w:sz="4" w:space="0" w:color="auto"/>
              <w:bottom w:val="dotted" w:sz="4" w:space="0" w:color="000000"/>
              <w:right w:val="single" w:sz="4" w:space="0" w:color="auto"/>
            </w:tcBorders>
            <w:hideMark/>
          </w:tcPr>
          <w:p w14:paraId="3A7CB1F7"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1</w:t>
            </w:r>
          </w:p>
        </w:tc>
        <w:tc>
          <w:tcPr>
            <w:tcW w:w="1169" w:type="dxa"/>
            <w:tcBorders>
              <w:top w:val="single" w:sz="4" w:space="0" w:color="auto"/>
              <w:left w:val="single" w:sz="4" w:space="0" w:color="auto"/>
              <w:bottom w:val="dotted" w:sz="4" w:space="0" w:color="000000"/>
              <w:right w:val="dotted" w:sz="4" w:space="0" w:color="000000"/>
            </w:tcBorders>
            <w:noWrap/>
            <w:vAlign w:val="center"/>
            <w:hideMark/>
          </w:tcPr>
          <w:p w14:paraId="5CC42001"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40</w:t>
            </w:r>
          </w:p>
        </w:tc>
        <w:tc>
          <w:tcPr>
            <w:tcW w:w="1169" w:type="dxa"/>
            <w:tcBorders>
              <w:top w:val="single" w:sz="4" w:space="0" w:color="auto"/>
              <w:left w:val="dotted" w:sz="4" w:space="0" w:color="000000"/>
              <w:bottom w:val="dotted" w:sz="4" w:space="0" w:color="000000"/>
              <w:right w:val="dotted" w:sz="4" w:space="0" w:color="000000"/>
            </w:tcBorders>
            <w:noWrap/>
            <w:vAlign w:val="center"/>
            <w:hideMark/>
          </w:tcPr>
          <w:p w14:paraId="6B0CA6F2"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15,4</w:t>
            </w:r>
          </w:p>
        </w:tc>
        <w:tc>
          <w:tcPr>
            <w:tcW w:w="1170" w:type="dxa"/>
            <w:tcBorders>
              <w:top w:val="single" w:sz="4" w:space="0" w:color="auto"/>
              <w:left w:val="dotted" w:sz="4" w:space="0" w:color="000000"/>
              <w:bottom w:val="dotted" w:sz="4" w:space="0" w:color="000000"/>
              <w:right w:val="single" w:sz="4" w:space="0" w:color="auto"/>
            </w:tcBorders>
            <w:noWrap/>
            <w:vAlign w:val="center"/>
            <w:hideMark/>
          </w:tcPr>
          <w:p w14:paraId="5F6D70EC"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15,4</w:t>
            </w:r>
          </w:p>
        </w:tc>
      </w:tr>
      <w:tr w:rsidR="007C46D4" w:rsidRPr="00164238" w14:paraId="34D6786D" w14:textId="77777777" w:rsidTr="007C46D4">
        <w:trPr>
          <w:trHeight w:hRule="exact" w:val="227"/>
        </w:trPr>
        <w:tc>
          <w:tcPr>
            <w:tcW w:w="4395" w:type="dxa"/>
            <w:vMerge/>
            <w:tcBorders>
              <w:top w:val="single" w:sz="4" w:space="0" w:color="auto"/>
              <w:left w:val="single" w:sz="4" w:space="0" w:color="auto"/>
              <w:bottom w:val="single" w:sz="4" w:space="0" w:color="auto"/>
              <w:right w:val="single" w:sz="4" w:space="0" w:color="auto"/>
            </w:tcBorders>
            <w:vAlign w:val="center"/>
            <w:hideMark/>
          </w:tcPr>
          <w:p w14:paraId="6E452EDD" w14:textId="77777777" w:rsidR="007C46D4" w:rsidRPr="00164238" w:rsidRDefault="007C46D4">
            <w:pPr>
              <w:spacing w:after="0"/>
              <w:rPr>
                <w:rFonts w:ascii="Times New Roman" w:eastAsia="Times New Roman" w:hAnsi="Times New Roman" w:cs="Times New Roman"/>
                <w:b/>
                <w:bCs/>
                <w:color w:val="000000" w:themeColor="text1"/>
                <w:sz w:val="20"/>
                <w:szCs w:val="20"/>
              </w:rPr>
            </w:pPr>
          </w:p>
        </w:tc>
        <w:tc>
          <w:tcPr>
            <w:tcW w:w="2410" w:type="dxa"/>
            <w:tcBorders>
              <w:top w:val="dotted" w:sz="4" w:space="0" w:color="000000"/>
              <w:left w:val="single" w:sz="4" w:space="0" w:color="auto"/>
              <w:bottom w:val="dotted" w:sz="4" w:space="0" w:color="000000"/>
              <w:right w:val="single" w:sz="4" w:space="0" w:color="auto"/>
            </w:tcBorders>
            <w:vAlign w:val="center"/>
            <w:hideMark/>
          </w:tcPr>
          <w:p w14:paraId="6F23BC5C" w14:textId="77777777" w:rsidR="007C46D4" w:rsidRPr="00164238" w:rsidRDefault="007C46D4">
            <w:pPr>
              <w:spacing w:after="0" w:line="240" w:lineRule="auto"/>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Ön Lisans</w:t>
            </w:r>
          </w:p>
        </w:tc>
        <w:tc>
          <w:tcPr>
            <w:tcW w:w="1169" w:type="dxa"/>
            <w:tcBorders>
              <w:top w:val="dotted" w:sz="4" w:space="0" w:color="000000"/>
              <w:left w:val="single" w:sz="4" w:space="0" w:color="auto"/>
              <w:bottom w:val="dotted" w:sz="4" w:space="0" w:color="000000"/>
              <w:right w:val="single" w:sz="4" w:space="0" w:color="auto"/>
            </w:tcBorders>
            <w:hideMark/>
          </w:tcPr>
          <w:p w14:paraId="48FDFACD"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2</w:t>
            </w:r>
          </w:p>
        </w:tc>
        <w:tc>
          <w:tcPr>
            <w:tcW w:w="1169" w:type="dxa"/>
            <w:tcBorders>
              <w:top w:val="dotted" w:sz="4" w:space="0" w:color="000000"/>
              <w:left w:val="single" w:sz="4" w:space="0" w:color="auto"/>
              <w:bottom w:val="dotted" w:sz="4" w:space="0" w:color="000000"/>
              <w:right w:val="dotted" w:sz="4" w:space="0" w:color="000000"/>
            </w:tcBorders>
            <w:noWrap/>
            <w:vAlign w:val="center"/>
            <w:hideMark/>
          </w:tcPr>
          <w:p w14:paraId="528B5B2B"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102</w:t>
            </w:r>
          </w:p>
        </w:tc>
        <w:tc>
          <w:tcPr>
            <w:tcW w:w="1169" w:type="dxa"/>
            <w:tcBorders>
              <w:top w:val="dotted" w:sz="4" w:space="0" w:color="000000"/>
              <w:left w:val="dotted" w:sz="4" w:space="0" w:color="000000"/>
              <w:bottom w:val="dotted" w:sz="4" w:space="0" w:color="000000"/>
              <w:right w:val="dotted" w:sz="4" w:space="0" w:color="000000"/>
            </w:tcBorders>
            <w:noWrap/>
            <w:vAlign w:val="center"/>
            <w:hideMark/>
          </w:tcPr>
          <w:p w14:paraId="47357283"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39,2</w:t>
            </w:r>
          </w:p>
        </w:tc>
        <w:tc>
          <w:tcPr>
            <w:tcW w:w="1170" w:type="dxa"/>
            <w:tcBorders>
              <w:top w:val="dotted" w:sz="4" w:space="0" w:color="000000"/>
              <w:left w:val="dotted" w:sz="4" w:space="0" w:color="000000"/>
              <w:bottom w:val="dotted" w:sz="4" w:space="0" w:color="000000"/>
              <w:right w:val="single" w:sz="4" w:space="0" w:color="auto"/>
            </w:tcBorders>
            <w:noWrap/>
            <w:vAlign w:val="center"/>
            <w:hideMark/>
          </w:tcPr>
          <w:p w14:paraId="6876E906"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54,6</w:t>
            </w:r>
          </w:p>
        </w:tc>
      </w:tr>
      <w:tr w:rsidR="007C46D4" w:rsidRPr="00164238" w14:paraId="190EF4E7" w14:textId="77777777" w:rsidTr="007C46D4">
        <w:trPr>
          <w:trHeight w:hRule="exact" w:val="227"/>
        </w:trPr>
        <w:tc>
          <w:tcPr>
            <w:tcW w:w="4395" w:type="dxa"/>
            <w:vMerge/>
            <w:tcBorders>
              <w:top w:val="single" w:sz="4" w:space="0" w:color="auto"/>
              <w:left w:val="single" w:sz="4" w:space="0" w:color="auto"/>
              <w:bottom w:val="single" w:sz="4" w:space="0" w:color="auto"/>
              <w:right w:val="single" w:sz="4" w:space="0" w:color="auto"/>
            </w:tcBorders>
            <w:vAlign w:val="center"/>
            <w:hideMark/>
          </w:tcPr>
          <w:p w14:paraId="22D6C0FF" w14:textId="77777777" w:rsidR="007C46D4" w:rsidRPr="00164238" w:rsidRDefault="007C46D4">
            <w:pPr>
              <w:spacing w:after="0"/>
              <w:rPr>
                <w:rFonts w:ascii="Times New Roman" w:eastAsia="Times New Roman" w:hAnsi="Times New Roman" w:cs="Times New Roman"/>
                <w:b/>
                <w:bCs/>
                <w:color w:val="000000" w:themeColor="text1"/>
                <w:sz w:val="20"/>
                <w:szCs w:val="20"/>
              </w:rPr>
            </w:pPr>
          </w:p>
        </w:tc>
        <w:tc>
          <w:tcPr>
            <w:tcW w:w="2410" w:type="dxa"/>
            <w:tcBorders>
              <w:top w:val="dotted" w:sz="4" w:space="0" w:color="000000"/>
              <w:left w:val="single" w:sz="4" w:space="0" w:color="auto"/>
              <w:bottom w:val="dotted" w:sz="4" w:space="0" w:color="000000"/>
              <w:right w:val="single" w:sz="4" w:space="0" w:color="auto"/>
            </w:tcBorders>
            <w:vAlign w:val="center"/>
            <w:hideMark/>
          </w:tcPr>
          <w:p w14:paraId="23B6B07C" w14:textId="77777777" w:rsidR="007C46D4" w:rsidRPr="00164238" w:rsidRDefault="007C46D4">
            <w:pPr>
              <w:spacing w:after="0" w:line="240" w:lineRule="auto"/>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Lisans</w:t>
            </w:r>
          </w:p>
        </w:tc>
        <w:tc>
          <w:tcPr>
            <w:tcW w:w="1169" w:type="dxa"/>
            <w:tcBorders>
              <w:top w:val="dotted" w:sz="4" w:space="0" w:color="000000"/>
              <w:left w:val="single" w:sz="4" w:space="0" w:color="auto"/>
              <w:bottom w:val="dotted" w:sz="4" w:space="0" w:color="000000"/>
              <w:right w:val="single" w:sz="4" w:space="0" w:color="auto"/>
            </w:tcBorders>
            <w:hideMark/>
          </w:tcPr>
          <w:p w14:paraId="329D4137"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3</w:t>
            </w:r>
          </w:p>
        </w:tc>
        <w:tc>
          <w:tcPr>
            <w:tcW w:w="1169" w:type="dxa"/>
            <w:tcBorders>
              <w:top w:val="dotted" w:sz="4" w:space="0" w:color="000000"/>
              <w:left w:val="single" w:sz="4" w:space="0" w:color="auto"/>
              <w:bottom w:val="dotted" w:sz="4" w:space="0" w:color="000000"/>
              <w:right w:val="dotted" w:sz="4" w:space="0" w:color="000000"/>
            </w:tcBorders>
            <w:noWrap/>
            <w:vAlign w:val="center"/>
            <w:hideMark/>
          </w:tcPr>
          <w:p w14:paraId="55DBAF59"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114</w:t>
            </w:r>
          </w:p>
        </w:tc>
        <w:tc>
          <w:tcPr>
            <w:tcW w:w="1169" w:type="dxa"/>
            <w:tcBorders>
              <w:top w:val="dotted" w:sz="4" w:space="0" w:color="000000"/>
              <w:left w:val="dotted" w:sz="4" w:space="0" w:color="000000"/>
              <w:bottom w:val="dotted" w:sz="4" w:space="0" w:color="000000"/>
              <w:right w:val="dotted" w:sz="4" w:space="0" w:color="000000"/>
            </w:tcBorders>
            <w:noWrap/>
            <w:vAlign w:val="center"/>
            <w:hideMark/>
          </w:tcPr>
          <w:p w14:paraId="67E2D766"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43,8</w:t>
            </w:r>
          </w:p>
        </w:tc>
        <w:tc>
          <w:tcPr>
            <w:tcW w:w="1170" w:type="dxa"/>
            <w:tcBorders>
              <w:top w:val="dotted" w:sz="4" w:space="0" w:color="000000"/>
              <w:left w:val="dotted" w:sz="4" w:space="0" w:color="000000"/>
              <w:bottom w:val="dotted" w:sz="4" w:space="0" w:color="000000"/>
              <w:right w:val="single" w:sz="4" w:space="0" w:color="auto"/>
            </w:tcBorders>
            <w:noWrap/>
            <w:vAlign w:val="center"/>
            <w:hideMark/>
          </w:tcPr>
          <w:p w14:paraId="046E5DBE"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98,5</w:t>
            </w:r>
          </w:p>
        </w:tc>
      </w:tr>
      <w:tr w:rsidR="007C46D4" w:rsidRPr="00164238" w14:paraId="741040E3" w14:textId="77777777" w:rsidTr="007C46D4">
        <w:trPr>
          <w:trHeight w:hRule="exact" w:val="227"/>
        </w:trPr>
        <w:tc>
          <w:tcPr>
            <w:tcW w:w="4395" w:type="dxa"/>
            <w:vMerge/>
            <w:tcBorders>
              <w:top w:val="single" w:sz="4" w:space="0" w:color="auto"/>
              <w:left w:val="single" w:sz="4" w:space="0" w:color="auto"/>
              <w:bottom w:val="single" w:sz="4" w:space="0" w:color="auto"/>
              <w:right w:val="single" w:sz="4" w:space="0" w:color="auto"/>
            </w:tcBorders>
            <w:vAlign w:val="center"/>
            <w:hideMark/>
          </w:tcPr>
          <w:p w14:paraId="6DD60234" w14:textId="77777777" w:rsidR="007C46D4" w:rsidRPr="00164238" w:rsidRDefault="007C46D4">
            <w:pPr>
              <w:spacing w:after="0"/>
              <w:rPr>
                <w:rFonts w:ascii="Times New Roman" w:eastAsia="Times New Roman" w:hAnsi="Times New Roman" w:cs="Times New Roman"/>
                <w:b/>
                <w:bCs/>
                <w:color w:val="000000" w:themeColor="text1"/>
                <w:sz w:val="20"/>
                <w:szCs w:val="20"/>
              </w:rPr>
            </w:pPr>
          </w:p>
        </w:tc>
        <w:tc>
          <w:tcPr>
            <w:tcW w:w="2410" w:type="dxa"/>
            <w:tcBorders>
              <w:top w:val="dotted" w:sz="4" w:space="0" w:color="000000"/>
              <w:left w:val="single" w:sz="4" w:space="0" w:color="auto"/>
              <w:bottom w:val="single" w:sz="4" w:space="0" w:color="auto"/>
              <w:right w:val="single" w:sz="4" w:space="0" w:color="auto"/>
            </w:tcBorders>
            <w:vAlign w:val="center"/>
            <w:hideMark/>
          </w:tcPr>
          <w:p w14:paraId="461F7F40" w14:textId="77777777" w:rsidR="007C46D4" w:rsidRPr="00164238" w:rsidRDefault="007C46D4">
            <w:pPr>
              <w:spacing w:after="0" w:line="240" w:lineRule="auto"/>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Yüksek Lisans</w:t>
            </w:r>
          </w:p>
        </w:tc>
        <w:tc>
          <w:tcPr>
            <w:tcW w:w="1169" w:type="dxa"/>
            <w:tcBorders>
              <w:top w:val="dotted" w:sz="4" w:space="0" w:color="000000"/>
              <w:left w:val="single" w:sz="4" w:space="0" w:color="auto"/>
              <w:bottom w:val="single" w:sz="4" w:space="0" w:color="auto"/>
              <w:right w:val="single" w:sz="4" w:space="0" w:color="auto"/>
            </w:tcBorders>
            <w:hideMark/>
          </w:tcPr>
          <w:p w14:paraId="4161858E"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4</w:t>
            </w:r>
          </w:p>
        </w:tc>
        <w:tc>
          <w:tcPr>
            <w:tcW w:w="1169" w:type="dxa"/>
            <w:tcBorders>
              <w:top w:val="dotted" w:sz="4" w:space="0" w:color="000000"/>
              <w:left w:val="single" w:sz="4" w:space="0" w:color="auto"/>
              <w:bottom w:val="single" w:sz="4" w:space="0" w:color="auto"/>
              <w:right w:val="dotted" w:sz="4" w:space="0" w:color="000000"/>
            </w:tcBorders>
            <w:noWrap/>
            <w:vAlign w:val="center"/>
            <w:hideMark/>
          </w:tcPr>
          <w:p w14:paraId="554D611E"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4</w:t>
            </w:r>
          </w:p>
        </w:tc>
        <w:tc>
          <w:tcPr>
            <w:tcW w:w="1169" w:type="dxa"/>
            <w:tcBorders>
              <w:top w:val="dotted" w:sz="4" w:space="0" w:color="000000"/>
              <w:left w:val="dotted" w:sz="4" w:space="0" w:color="000000"/>
              <w:bottom w:val="single" w:sz="4" w:space="0" w:color="auto"/>
              <w:right w:val="dotted" w:sz="4" w:space="0" w:color="000000"/>
            </w:tcBorders>
            <w:noWrap/>
            <w:vAlign w:val="center"/>
            <w:hideMark/>
          </w:tcPr>
          <w:p w14:paraId="14938F26"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1,5</w:t>
            </w:r>
          </w:p>
        </w:tc>
        <w:tc>
          <w:tcPr>
            <w:tcW w:w="1170" w:type="dxa"/>
            <w:tcBorders>
              <w:top w:val="dotted" w:sz="4" w:space="0" w:color="000000"/>
              <w:left w:val="dotted" w:sz="4" w:space="0" w:color="000000"/>
              <w:bottom w:val="single" w:sz="4" w:space="0" w:color="auto"/>
              <w:right w:val="single" w:sz="4" w:space="0" w:color="auto"/>
            </w:tcBorders>
            <w:noWrap/>
            <w:vAlign w:val="center"/>
            <w:hideMark/>
          </w:tcPr>
          <w:p w14:paraId="7BE750B6"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100,0</w:t>
            </w:r>
          </w:p>
        </w:tc>
      </w:tr>
      <w:tr w:rsidR="007C46D4" w:rsidRPr="00164238" w14:paraId="1CE26343" w14:textId="77777777" w:rsidTr="007C46D4">
        <w:trPr>
          <w:trHeight w:hRule="exact" w:val="227"/>
        </w:trPr>
        <w:tc>
          <w:tcPr>
            <w:tcW w:w="1985" w:type="dxa"/>
            <w:vMerge w:val="restart"/>
            <w:tcBorders>
              <w:top w:val="single" w:sz="4" w:space="0" w:color="auto"/>
              <w:left w:val="single" w:sz="4" w:space="0" w:color="auto"/>
              <w:bottom w:val="single" w:sz="4" w:space="0" w:color="auto"/>
              <w:right w:val="single" w:sz="4" w:space="0" w:color="auto"/>
            </w:tcBorders>
            <w:vAlign w:val="center"/>
            <w:hideMark/>
          </w:tcPr>
          <w:p w14:paraId="2E963E86" w14:textId="77777777" w:rsidR="007C46D4" w:rsidRPr="00164238" w:rsidRDefault="007C46D4">
            <w:pPr>
              <w:spacing w:after="0" w:line="240" w:lineRule="auto"/>
              <w:rPr>
                <w:rFonts w:ascii="Times New Roman" w:eastAsia="Times New Roman" w:hAnsi="Times New Roman" w:cs="Times New Roman"/>
                <w:b/>
                <w:bCs/>
                <w:color w:val="000000" w:themeColor="text1"/>
                <w:sz w:val="20"/>
                <w:szCs w:val="20"/>
              </w:rPr>
            </w:pPr>
            <w:r w:rsidRPr="00164238">
              <w:rPr>
                <w:rFonts w:ascii="Times New Roman" w:eastAsia="Times New Roman" w:hAnsi="Times New Roman" w:cs="Times New Roman"/>
                <w:b/>
                <w:bCs/>
                <w:color w:val="000000" w:themeColor="text1"/>
                <w:sz w:val="20"/>
                <w:szCs w:val="20"/>
              </w:rPr>
              <w:t>Kıdem</w:t>
            </w:r>
          </w:p>
        </w:tc>
        <w:tc>
          <w:tcPr>
            <w:tcW w:w="2410" w:type="dxa"/>
            <w:tcBorders>
              <w:top w:val="single" w:sz="4" w:space="0" w:color="auto"/>
              <w:left w:val="single" w:sz="4" w:space="0" w:color="auto"/>
              <w:bottom w:val="dotted" w:sz="4" w:space="0" w:color="000000"/>
              <w:right w:val="single" w:sz="4" w:space="0" w:color="auto"/>
            </w:tcBorders>
            <w:vAlign w:val="center"/>
            <w:hideMark/>
          </w:tcPr>
          <w:p w14:paraId="54E97079" w14:textId="77777777" w:rsidR="007C46D4" w:rsidRPr="00164238" w:rsidRDefault="007C46D4">
            <w:pPr>
              <w:spacing w:after="0" w:line="240" w:lineRule="auto"/>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0-2 Yıl</w:t>
            </w:r>
          </w:p>
        </w:tc>
        <w:tc>
          <w:tcPr>
            <w:tcW w:w="1169" w:type="dxa"/>
            <w:tcBorders>
              <w:top w:val="single" w:sz="4" w:space="0" w:color="auto"/>
              <w:left w:val="single" w:sz="4" w:space="0" w:color="auto"/>
              <w:bottom w:val="dotted" w:sz="4" w:space="0" w:color="000000"/>
              <w:right w:val="single" w:sz="4" w:space="0" w:color="auto"/>
            </w:tcBorders>
            <w:hideMark/>
          </w:tcPr>
          <w:p w14:paraId="1A8CAAF9"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1</w:t>
            </w:r>
          </w:p>
        </w:tc>
        <w:tc>
          <w:tcPr>
            <w:tcW w:w="1169" w:type="dxa"/>
            <w:tcBorders>
              <w:top w:val="single" w:sz="4" w:space="0" w:color="auto"/>
              <w:left w:val="single" w:sz="4" w:space="0" w:color="auto"/>
              <w:bottom w:val="dotted" w:sz="4" w:space="0" w:color="000000"/>
              <w:right w:val="dotted" w:sz="4" w:space="0" w:color="000000"/>
            </w:tcBorders>
            <w:noWrap/>
            <w:vAlign w:val="center"/>
            <w:hideMark/>
          </w:tcPr>
          <w:p w14:paraId="2187E435"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182</w:t>
            </w:r>
          </w:p>
        </w:tc>
        <w:tc>
          <w:tcPr>
            <w:tcW w:w="1169" w:type="dxa"/>
            <w:tcBorders>
              <w:top w:val="single" w:sz="4" w:space="0" w:color="auto"/>
              <w:left w:val="dotted" w:sz="4" w:space="0" w:color="000000"/>
              <w:bottom w:val="dotted" w:sz="4" w:space="0" w:color="000000"/>
              <w:right w:val="dotted" w:sz="4" w:space="0" w:color="000000"/>
            </w:tcBorders>
            <w:noWrap/>
            <w:vAlign w:val="center"/>
            <w:hideMark/>
          </w:tcPr>
          <w:p w14:paraId="754A7F3F"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70,0</w:t>
            </w:r>
          </w:p>
        </w:tc>
        <w:tc>
          <w:tcPr>
            <w:tcW w:w="1170" w:type="dxa"/>
            <w:tcBorders>
              <w:top w:val="single" w:sz="4" w:space="0" w:color="auto"/>
              <w:left w:val="dotted" w:sz="4" w:space="0" w:color="000000"/>
              <w:bottom w:val="dotted" w:sz="4" w:space="0" w:color="000000"/>
              <w:right w:val="single" w:sz="4" w:space="0" w:color="auto"/>
            </w:tcBorders>
            <w:noWrap/>
            <w:vAlign w:val="center"/>
            <w:hideMark/>
          </w:tcPr>
          <w:p w14:paraId="4600845B"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70,0</w:t>
            </w:r>
          </w:p>
        </w:tc>
      </w:tr>
      <w:tr w:rsidR="007C46D4" w:rsidRPr="00164238" w14:paraId="05357A46" w14:textId="77777777" w:rsidTr="007C46D4">
        <w:trPr>
          <w:trHeight w:hRule="exact" w:val="227"/>
        </w:trPr>
        <w:tc>
          <w:tcPr>
            <w:tcW w:w="4395" w:type="dxa"/>
            <w:vMerge/>
            <w:tcBorders>
              <w:top w:val="single" w:sz="4" w:space="0" w:color="auto"/>
              <w:left w:val="single" w:sz="4" w:space="0" w:color="auto"/>
              <w:bottom w:val="single" w:sz="4" w:space="0" w:color="auto"/>
              <w:right w:val="single" w:sz="4" w:space="0" w:color="auto"/>
            </w:tcBorders>
            <w:vAlign w:val="center"/>
            <w:hideMark/>
          </w:tcPr>
          <w:p w14:paraId="3406D0C4" w14:textId="77777777" w:rsidR="007C46D4" w:rsidRPr="00164238" w:rsidRDefault="007C46D4">
            <w:pPr>
              <w:spacing w:after="0"/>
              <w:rPr>
                <w:rFonts w:ascii="Times New Roman" w:eastAsia="Times New Roman" w:hAnsi="Times New Roman" w:cs="Times New Roman"/>
                <w:b/>
                <w:bCs/>
                <w:color w:val="000000" w:themeColor="text1"/>
                <w:sz w:val="20"/>
                <w:szCs w:val="20"/>
              </w:rPr>
            </w:pPr>
          </w:p>
        </w:tc>
        <w:tc>
          <w:tcPr>
            <w:tcW w:w="2410" w:type="dxa"/>
            <w:tcBorders>
              <w:top w:val="dotted" w:sz="4" w:space="0" w:color="000000"/>
              <w:left w:val="single" w:sz="4" w:space="0" w:color="auto"/>
              <w:bottom w:val="dotted" w:sz="4" w:space="0" w:color="000000"/>
              <w:right w:val="single" w:sz="4" w:space="0" w:color="auto"/>
            </w:tcBorders>
            <w:vAlign w:val="center"/>
            <w:hideMark/>
          </w:tcPr>
          <w:p w14:paraId="0483B75D" w14:textId="77777777" w:rsidR="007C46D4" w:rsidRPr="00164238" w:rsidRDefault="007C46D4">
            <w:pPr>
              <w:spacing w:after="0" w:line="240" w:lineRule="auto"/>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3-5 Yıl</w:t>
            </w:r>
          </w:p>
        </w:tc>
        <w:tc>
          <w:tcPr>
            <w:tcW w:w="1169" w:type="dxa"/>
            <w:tcBorders>
              <w:top w:val="dotted" w:sz="4" w:space="0" w:color="000000"/>
              <w:left w:val="single" w:sz="4" w:space="0" w:color="auto"/>
              <w:bottom w:val="dotted" w:sz="4" w:space="0" w:color="000000"/>
              <w:right w:val="single" w:sz="4" w:space="0" w:color="auto"/>
            </w:tcBorders>
            <w:hideMark/>
          </w:tcPr>
          <w:p w14:paraId="4C1E1B30"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2</w:t>
            </w:r>
          </w:p>
        </w:tc>
        <w:tc>
          <w:tcPr>
            <w:tcW w:w="1169" w:type="dxa"/>
            <w:tcBorders>
              <w:top w:val="dotted" w:sz="4" w:space="0" w:color="000000"/>
              <w:left w:val="single" w:sz="4" w:space="0" w:color="auto"/>
              <w:bottom w:val="dotted" w:sz="4" w:space="0" w:color="000000"/>
              <w:right w:val="dotted" w:sz="4" w:space="0" w:color="000000"/>
            </w:tcBorders>
            <w:noWrap/>
            <w:vAlign w:val="center"/>
            <w:hideMark/>
          </w:tcPr>
          <w:p w14:paraId="3A05E751"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58</w:t>
            </w:r>
          </w:p>
        </w:tc>
        <w:tc>
          <w:tcPr>
            <w:tcW w:w="1169" w:type="dxa"/>
            <w:tcBorders>
              <w:top w:val="dotted" w:sz="4" w:space="0" w:color="000000"/>
              <w:left w:val="dotted" w:sz="4" w:space="0" w:color="000000"/>
              <w:bottom w:val="dotted" w:sz="4" w:space="0" w:color="000000"/>
              <w:right w:val="dotted" w:sz="4" w:space="0" w:color="000000"/>
            </w:tcBorders>
            <w:noWrap/>
            <w:vAlign w:val="center"/>
            <w:hideMark/>
          </w:tcPr>
          <w:p w14:paraId="0F87D0F7"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22,3</w:t>
            </w:r>
          </w:p>
        </w:tc>
        <w:tc>
          <w:tcPr>
            <w:tcW w:w="1170" w:type="dxa"/>
            <w:tcBorders>
              <w:top w:val="dotted" w:sz="4" w:space="0" w:color="000000"/>
              <w:left w:val="dotted" w:sz="4" w:space="0" w:color="000000"/>
              <w:bottom w:val="dotted" w:sz="4" w:space="0" w:color="000000"/>
              <w:right w:val="single" w:sz="4" w:space="0" w:color="auto"/>
            </w:tcBorders>
            <w:noWrap/>
            <w:vAlign w:val="center"/>
            <w:hideMark/>
          </w:tcPr>
          <w:p w14:paraId="68685298"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92,3</w:t>
            </w:r>
          </w:p>
        </w:tc>
      </w:tr>
      <w:tr w:rsidR="007C46D4" w:rsidRPr="00164238" w14:paraId="3A9BC5F9" w14:textId="77777777" w:rsidTr="007C46D4">
        <w:trPr>
          <w:trHeight w:hRule="exact" w:val="227"/>
        </w:trPr>
        <w:tc>
          <w:tcPr>
            <w:tcW w:w="4395" w:type="dxa"/>
            <w:vMerge/>
            <w:tcBorders>
              <w:top w:val="single" w:sz="4" w:space="0" w:color="auto"/>
              <w:left w:val="single" w:sz="4" w:space="0" w:color="auto"/>
              <w:bottom w:val="single" w:sz="4" w:space="0" w:color="auto"/>
              <w:right w:val="single" w:sz="4" w:space="0" w:color="auto"/>
            </w:tcBorders>
            <w:vAlign w:val="center"/>
            <w:hideMark/>
          </w:tcPr>
          <w:p w14:paraId="6FA075DE" w14:textId="77777777" w:rsidR="007C46D4" w:rsidRPr="00164238" w:rsidRDefault="007C46D4">
            <w:pPr>
              <w:spacing w:after="0"/>
              <w:rPr>
                <w:rFonts w:ascii="Times New Roman" w:eastAsia="Times New Roman" w:hAnsi="Times New Roman" w:cs="Times New Roman"/>
                <w:b/>
                <w:bCs/>
                <w:color w:val="000000" w:themeColor="text1"/>
                <w:sz w:val="20"/>
                <w:szCs w:val="20"/>
              </w:rPr>
            </w:pPr>
          </w:p>
        </w:tc>
        <w:tc>
          <w:tcPr>
            <w:tcW w:w="2410" w:type="dxa"/>
            <w:tcBorders>
              <w:top w:val="dotted" w:sz="4" w:space="0" w:color="000000"/>
              <w:left w:val="single" w:sz="4" w:space="0" w:color="auto"/>
              <w:bottom w:val="dotted" w:sz="4" w:space="0" w:color="000000"/>
              <w:right w:val="single" w:sz="4" w:space="0" w:color="auto"/>
            </w:tcBorders>
            <w:vAlign w:val="center"/>
            <w:hideMark/>
          </w:tcPr>
          <w:p w14:paraId="79D6A674" w14:textId="77777777" w:rsidR="007C46D4" w:rsidRPr="00164238" w:rsidRDefault="007C46D4">
            <w:pPr>
              <w:spacing w:after="0" w:line="240" w:lineRule="auto"/>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6-10 Yıl</w:t>
            </w:r>
          </w:p>
        </w:tc>
        <w:tc>
          <w:tcPr>
            <w:tcW w:w="1169" w:type="dxa"/>
            <w:tcBorders>
              <w:top w:val="dotted" w:sz="4" w:space="0" w:color="000000"/>
              <w:left w:val="single" w:sz="4" w:space="0" w:color="auto"/>
              <w:bottom w:val="dotted" w:sz="4" w:space="0" w:color="000000"/>
              <w:right w:val="single" w:sz="4" w:space="0" w:color="auto"/>
            </w:tcBorders>
            <w:hideMark/>
          </w:tcPr>
          <w:p w14:paraId="3ABCA40E"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3</w:t>
            </w:r>
          </w:p>
        </w:tc>
        <w:tc>
          <w:tcPr>
            <w:tcW w:w="1169" w:type="dxa"/>
            <w:tcBorders>
              <w:top w:val="dotted" w:sz="4" w:space="0" w:color="000000"/>
              <w:left w:val="single" w:sz="4" w:space="0" w:color="auto"/>
              <w:bottom w:val="dotted" w:sz="4" w:space="0" w:color="000000"/>
              <w:right w:val="dotted" w:sz="4" w:space="0" w:color="000000"/>
            </w:tcBorders>
            <w:noWrap/>
            <w:vAlign w:val="center"/>
            <w:hideMark/>
          </w:tcPr>
          <w:p w14:paraId="71EE86EC"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17</w:t>
            </w:r>
          </w:p>
        </w:tc>
        <w:tc>
          <w:tcPr>
            <w:tcW w:w="1169" w:type="dxa"/>
            <w:tcBorders>
              <w:top w:val="dotted" w:sz="4" w:space="0" w:color="000000"/>
              <w:left w:val="dotted" w:sz="4" w:space="0" w:color="000000"/>
              <w:bottom w:val="dotted" w:sz="4" w:space="0" w:color="000000"/>
              <w:right w:val="dotted" w:sz="4" w:space="0" w:color="000000"/>
            </w:tcBorders>
            <w:noWrap/>
            <w:vAlign w:val="center"/>
            <w:hideMark/>
          </w:tcPr>
          <w:p w14:paraId="66BB03C4"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6,5</w:t>
            </w:r>
          </w:p>
        </w:tc>
        <w:tc>
          <w:tcPr>
            <w:tcW w:w="1170" w:type="dxa"/>
            <w:tcBorders>
              <w:top w:val="dotted" w:sz="4" w:space="0" w:color="000000"/>
              <w:left w:val="dotted" w:sz="4" w:space="0" w:color="000000"/>
              <w:bottom w:val="dotted" w:sz="4" w:space="0" w:color="000000"/>
              <w:right w:val="single" w:sz="4" w:space="0" w:color="auto"/>
            </w:tcBorders>
            <w:noWrap/>
            <w:vAlign w:val="center"/>
            <w:hideMark/>
          </w:tcPr>
          <w:p w14:paraId="2F8C761B"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98,8</w:t>
            </w:r>
          </w:p>
        </w:tc>
      </w:tr>
      <w:tr w:rsidR="007C46D4" w:rsidRPr="00164238" w14:paraId="3D49B4D8" w14:textId="77777777" w:rsidTr="007C46D4">
        <w:trPr>
          <w:trHeight w:hRule="exact" w:val="227"/>
        </w:trPr>
        <w:tc>
          <w:tcPr>
            <w:tcW w:w="4395" w:type="dxa"/>
            <w:vMerge/>
            <w:tcBorders>
              <w:top w:val="single" w:sz="4" w:space="0" w:color="auto"/>
              <w:left w:val="single" w:sz="4" w:space="0" w:color="auto"/>
              <w:bottom w:val="single" w:sz="4" w:space="0" w:color="auto"/>
              <w:right w:val="single" w:sz="4" w:space="0" w:color="auto"/>
            </w:tcBorders>
            <w:vAlign w:val="center"/>
            <w:hideMark/>
          </w:tcPr>
          <w:p w14:paraId="0506A4F9" w14:textId="77777777" w:rsidR="007C46D4" w:rsidRPr="00164238" w:rsidRDefault="007C46D4">
            <w:pPr>
              <w:spacing w:after="0"/>
              <w:rPr>
                <w:rFonts w:ascii="Times New Roman" w:eastAsia="Times New Roman" w:hAnsi="Times New Roman" w:cs="Times New Roman"/>
                <w:b/>
                <w:bCs/>
                <w:color w:val="000000" w:themeColor="text1"/>
                <w:sz w:val="20"/>
                <w:szCs w:val="20"/>
              </w:rPr>
            </w:pPr>
          </w:p>
        </w:tc>
        <w:tc>
          <w:tcPr>
            <w:tcW w:w="2410" w:type="dxa"/>
            <w:tcBorders>
              <w:top w:val="dotted" w:sz="4" w:space="0" w:color="000000"/>
              <w:left w:val="single" w:sz="4" w:space="0" w:color="auto"/>
              <w:bottom w:val="single" w:sz="4" w:space="0" w:color="auto"/>
              <w:right w:val="single" w:sz="4" w:space="0" w:color="auto"/>
            </w:tcBorders>
            <w:vAlign w:val="center"/>
            <w:hideMark/>
          </w:tcPr>
          <w:p w14:paraId="6AF38AD1" w14:textId="77777777" w:rsidR="007C46D4" w:rsidRPr="00164238" w:rsidRDefault="007C46D4">
            <w:pPr>
              <w:spacing w:after="0" w:line="240" w:lineRule="auto"/>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11-15 Yıl</w:t>
            </w:r>
          </w:p>
        </w:tc>
        <w:tc>
          <w:tcPr>
            <w:tcW w:w="1169" w:type="dxa"/>
            <w:tcBorders>
              <w:top w:val="dotted" w:sz="4" w:space="0" w:color="000000"/>
              <w:left w:val="single" w:sz="4" w:space="0" w:color="auto"/>
              <w:bottom w:val="single" w:sz="4" w:space="0" w:color="auto"/>
              <w:right w:val="single" w:sz="4" w:space="0" w:color="auto"/>
            </w:tcBorders>
            <w:hideMark/>
          </w:tcPr>
          <w:p w14:paraId="1C217421"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4</w:t>
            </w:r>
          </w:p>
        </w:tc>
        <w:tc>
          <w:tcPr>
            <w:tcW w:w="1169" w:type="dxa"/>
            <w:tcBorders>
              <w:top w:val="dotted" w:sz="4" w:space="0" w:color="000000"/>
              <w:left w:val="single" w:sz="4" w:space="0" w:color="auto"/>
              <w:bottom w:val="single" w:sz="4" w:space="0" w:color="auto"/>
              <w:right w:val="dotted" w:sz="4" w:space="0" w:color="000000"/>
            </w:tcBorders>
            <w:noWrap/>
            <w:vAlign w:val="center"/>
            <w:hideMark/>
          </w:tcPr>
          <w:p w14:paraId="4A70E7BC"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3</w:t>
            </w:r>
          </w:p>
        </w:tc>
        <w:tc>
          <w:tcPr>
            <w:tcW w:w="1169" w:type="dxa"/>
            <w:tcBorders>
              <w:top w:val="dotted" w:sz="4" w:space="0" w:color="000000"/>
              <w:left w:val="dotted" w:sz="4" w:space="0" w:color="000000"/>
              <w:bottom w:val="single" w:sz="4" w:space="0" w:color="auto"/>
              <w:right w:val="dotted" w:sz="4" w:space="0" w:color="000000"/>
            </w:tcBorders>
            <w:noWrap/>
            <w:vAlign w:val="center"/>
            <w:hideMark/>
          </w:tcPr>
          <w:p w14:paraId="6876F7A7"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1,2</w:t>
            </w:r>
          </w:p>
        </w:tc>
        <w:tc>
          <w:tcPr>
            <w:tcW w:w="1170" w:type="dxa"/>
            <w:tcBorders>
              <w:top w:val="dotted" w:sz="4" w:space="0" w:color="000000"/>
              <w:left w:val="dotted" w:sz="4" w:space="0" w:color="000000"/>
              <w:bottom w:val="single" w:sz="4" w:space="0" w:color="auto"/>
              <w:right w:val="single" w:sz="4" w:space="0" w:color="auto"/>
            </w:tcBorders>
            <w:noWrap/>
            <w:vAlign w:val="center"/>
            <w:hideMark/>
          </w:tcPr>
          <w:p w14:paraId="3707B223"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100,0</w:t>
            </w:r>
          </w:p>
        </w:tc>
      </w:tr>
      <w:tr w:rsidR="007C46D4" w:rsidRPr="00164238" w14:paraId="3F436B90" w14:textId="77777777" w:rsidTr="007C46D4">
        <w:trPr>
          <w:trHeight w:hRule="exact" w:val="227"/>
        </w:trPr>
        <w:tc>
          <w:tcPr>
            <w:tcW w:w="1985" w:type="dxa"/>
            <w:vMerge w:val="restart"/>
            <w:tcBorders>
              <w:top w:val="single" w:sz="4" w:space="0" w:color="auto"/>
              <w:left w:val="single" w:sz="4" w:space="0" w:color="auto"/>
              <w:bottom w:val="single" w:sz="4" w:space="0" w:color="auto"/>
              <w:right w:val="single" w:sz="4" w:space="0" w:color="auto"/>
            </w:tcBorders>
            <w:vAlign w:val="center"/>
            <w:hideMark/>
          </w:tcPr>
          <w:p w14:paraId="4FAB8AEC" w14:textId="77777777" w:rsidR="007C46D4" w:rsidRPr="00164238" w:rsidRDefault="007C46D4">
            <w:pPr>
              <w:spacing w:after="0" w:line="240" w:lineRule="auto"/>
              <w:rPr>
                <w:rFonts w:ascii="Times New Roman" w:eastAsia="Times New Roman" w:hAnsi="Times New Roman" w:cs="Times New Roman"/>
                <w:b/>
                <w:bCs/>
                <w:color w:val="000000" w:themeColor="text1"/>
                <w:sz w:val="20"/>
                <w:szCs w:val="20"/>
              </w:rPr>
            </w:pPr>
            <w:r w:rsidRPr="00164238">
              <w:rPr>
                <w:rFonts w:ascii="Times New Roman" w:eastAsia="Times New Roman" w:hAnsi="Times New Roman" w:cs="Times New Roman"/>
                <w:b/>
                <w:bCs/>
                <w:color w:val="000000" w:themeColor="text1"/>
                <w:sz w:val="20"/>
                <w:szCs w:val="20"/>
              </w:rPr>
              <w:t>İş Tecrübesi</w:t>
            </w:r>
          </w:p>
        </w:tc>
        <w:tc>
          <w:tcPr>
            <w:tcW w:w="2410" w:type="dxa"/>
            <w:tcBorders>
              <w:top w:val="single" w:sz="4" w:space="0" w:color="auto"/>
              <w:left w:val="single" w:sz="4" w:space="0" w:color="auto"/>
              <w:bottom w:val="dotted" w:sz="4" w:space="0" w:color="000000"/>
              <w:right w:val="single" w:sz="4" w:space="0" w:color="auto"/>
            </w:tcBorders>
            <w:vAlign w:val="center"/>
            <w:hideMark/>
          </w:tcPr>
          <w:p w14:paraId="02FD7261" w14:textId="77777777" w:rsidR="007C46D4" w:rsidRPr="00164238" w:rsidRDefault="007C46D4">
            <w:pPr>
              <w:spacing w:after="0" w:line="240" w:lineRule="auto"/>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0-2 Yıl</w:t>
            </w:r>
          </w:p>
        </w:tc>
        <w:tc>
          <w:tcPr>
            <w:tcW w:w="1169" w:type="dxa"/>
            <w:tcBorders>
              <w:top w:val="single" w:sz="4" w:space="0" w:color="auto"/>
              <w:left w:val="single" w:sz="4" w:space="0" w:color="auto"/>
              <w:bottom w:val="dotted" w:sz="4" w:space="0" w:color="000000"/>
              <w:right w:val="single" w:sz="4" w:space="0" w:color="auto"/>
            </w:tcBorders>
            <w:hideMark/>
          </w:tcPr>
          <w:p w14:paraId="5019A344"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1</w:t>
            </w:r>
          </w:p>
        </w:tc>
        <w:tc>
          <w:tcPr>
            <w:tcW w:w="1169" w:type="dxa"/>
            <w:tcBorders>
              <w:top w:val="single" w:sz="4" w:space="0" w:color="auto"/>
              <w:left w:val="single" w:sz="4" w:space="0" w:color="auto"/>
              <w:bottom w:val="dotted" w:sz="4" w:space="0" w:color="000000"/>
              <w:right w:val="dotted" w:sz="4" w:space="0" w:color="000000"/>
            </w:tcBorders>
            <w:noWrap/>
            <w:vAlign w:val="center"/>
            <w:hideMark/>
          </w:tcPr>
          <w:p w14:paraId="0299521C"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58</w:t>
            </w:r>
          </w:p>
        </w:tc>
        <w:tc>
          <w:tcPr>
            <w:tcW w:w="1169" w:type="dxa"/>
            <w:tcBorders>
              <w:top w:val="single" w:sz="4" w:space="0" w:color="auto"/>
              <w:left w:val="dotted" w:sz="4" w:space="0" w:color="000000"/>
              <w:bottom w:val="dotted" w:sz="4" w:space="0" w:color="000000"/>
              <w:right w:val="dotted" w:sz="4" w:space="0" w:color="000000"/>
            </w:tcBorders>
            <w:noWrap/>
            <w:vAlign w:val="center"/>
            <w:hideMark/>
          </w:tcPr>
          <w:p w14:paraId="4EEF9D97"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22,3</w:t>
            </w:r>
          </w:p>
        </w:tc>
        <w:tc>
          <w:tcPr>
            <w:tcW w:w="1170" w:type="dxa"/>
            <w:tcBorders>
              <w:top w:val="single" w:sz="4" w:space="0" w:color="auto"/>
              <w:left w:val="dotted" w:sz="4" w:space="0" w:color="000000"/>
              <w:bottom w:val="dotted" w:sz="4" w:space="0" w:color="000000"/>
              <w:right w:val="single" w:sz="4" w:space="0" w:color="auto"/>
            </w:tcBorders>
            <w:noWrap/>
            <w:vAlign w:val="center"/>
            <w:hideMark/>
          </w:tcPr>
          <w:p w14:paraId="597D8425"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22,3</w:t>
            </w:r>
          </w:p>
        </w:tc>
      </w:tr>
      <w:tr w:rsidR="007C46D4" w:rsidRPr="00164238" w14:paraId="09F4898E" w14:textId="77777777" w:rsidTr="007C46D4">
        <w:trPr>
          <w:trHeight w:hRule="exact" w:val="227"/>
        </w:trPr>
        <w:tc>
          <w:tcPr>
            <w:tcW w:w="4395" w:type="dxa"/>
            <w:vMerge/>
            <w:tcBorders>
              <w:top w:val="single" w:sz="4" w:space="0" w:color="auto"/>
              <w:left w:val="single" w:sz="4" w:space="0" w:color="auto"/>
              <w:bottom w:val="single" w:sz="4" w:space="0" w:color="auto"/>
              <w:right w:val="single" w:sz="4" w:space="0" w:color="auto"/>
            </w:tcBorders>
            <w:vAlign w:val="center"/>
            <w:hideMark/>
          </w:tcPr>
          <w:p w14:paraId="18825146" w14:textId="77777777" w:rsidR="007C46D4" w:rsidRPr="00164238" w:rsidRDefault="007C46D4">
            <w:pPr>
              <w:spacing w:after="0"/>
              <w:rPr>
                <w:rFonts w:ascii="Times New Roman" w:eastAsia="Times New Roman" w:hAnsi="Times New Roman" w:cs="Times New Roman"/>
                <w:b/>
                <w:bCs/>
                <w:color w:val="000000" w:themeColor="text1"/>
                <w:sz w:val="20"/>
                <w:szCs w:val="20"/>
              </w:rPr>
            </w:pPr>
          </w:p>
        </w:tc>
        <w:tc>
          <w:tcPr>
            <w:tcW w:w="2410" w:type="dxa"/>
            <w:tcBorders>
              <w:top w:val="dotted" w:sz="4" w:space="0" w:color="000000"/>
              <w:left w:val="single" w:sz="4" w:space="0" w:color="auto"/>
              <w:bottom w:val="dotted" w:sz="4" w:space="0" w:color="000000"/>
              <w:right w:val="single" w:sz="4" w:space="0" w:color="auto"/>
            </w:tcBorders>
            <w:vAlign w:val="center"/>
            <w:hideMark/>
          </w:tcPr>
          <w:p w14:paraId="5A74BBBA" w14:textId="77777777" w:rsidR="007C46D4" w:rsidRPr="00164238" w:rsidRDefault="007C46D4">
            <w:pPr>
              <w:spacing w:after="0" w:line="240" w:lineRule="auto"/>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3-5 Yıl</w:t>
            </w:r>
          </w:p>
        </w:tc>
        <w:tc>
          <w:tcPr>
            <w:tcW w:w="1169" w:type="dxa"/>
            <w:tcBorders>
              <w:top w:val="dotted" w:sz="4" w:space="0" w:color="000000"/>
              <w:left w:val="single" w:sz="4" w:space="0" w:color="auto"/>
              <w:bottom w:val="dotted" w:sz="4" w:space="0" w:color="000000"/>
              <w:right w:val="single" w:sz="4" w:space="0" w:color="auto"/>
            </w:tcBorders>
            <w:hideMark/>
          </w:tcPr>
          <w:p w14:paraId="4B52AB7B"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2</w:t>
            </w:r>
          </w:p>
        </w:tc>
        <w:tc>
          <w:tcPr>
            <w:tcW w:w="1169" w:type="dxa"/>
            <w:tcBorders>
              <w:top w:val="dotted" w:sz="4" w:space="0" w:color="000000"/>
              <w:left w:val="single" w:sz="4" w:space="0" w:color="auto"/>
              <w:bottom w:val="dotted" w:sz="4" w:space="0" w:color="000000"/>
              <w:right w:val="dotted" w:sz="4" w:space="0" w:color="000000"/>
            </w:tcBorders>
            <w:noWrap/>
            <w:vAlign w:val="center"/>
            <w:hideMark/>
          </w:tcPr>
          <w:p w14:paraId="3D897084"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120</w:t>
            </w:r>
          </w:p>
        </w:tc>
        <w:tc>
          <w:tcPr>
            <w:tcW w:w="1169" w:type="dxa"/>
            <w:tcBorders>
              <w:top w:val="dotted" w:sz="4" w:space="0" w:color="000000"/>
              <w:left w:val="dotted" w:sz="4" w:space="0" w:color="000000"/>
              <w:bottom w:val="dotted" w:sz="4" w:space="0" w:color="000000"/>
              <w:right w:val="dotted" w:sz="4" w:space="0" w:color="000000"/>
            </w:tcBorders>
            <w:noWrap/>
            <w:vAlign w:val="center"/>
            <w:hideMark/>
          </w:tcPr>
          <w:p w14:paraId="5CAE41D5"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46,2</w:t>
            </w:r>
          </w:p>
        </w:tc>
        <w:tc>
          <w:tcPr>
            <w:tcW w:w="1170" w:type="dxa"/>
            <w:tcBorders>
              <w:top w:val="dotted" w:sz="4" w:space="0" w:color="000000"/>
              <w:left w:val="dotted" w:sz="4" w:space="0" w:color="000000"/>
              <w:bottom w:val="dotted" w:sz="4" w:space="0" w:color="000000"/>
              <w:right w:val="single" w:sz="4" w:space="0" w:color="auto"/>
            </w:tcBorders>
            <w:noWrap/>
            <w:vAlign w:val="center"/>
            <w:hideMark/>
          </w:tcPr>
          <w:p w14:paraId="242065F7"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68,5</w:t>
            </w:r>
          </w:p>
        </w:tc>
      </w:tr>
      <w:tr w:rsidR="007C46D4" w:rsidRPr="00164238" w14:paraId="28E4AB89" w14:textId="77777777" w:rsidTr="007C46D4">
        <w:trPr>
          <w:trHeight w:hRule="exact" w:val="227"/>
        </w:trPr>
        <w:tc>
          <w:tcPr>
            <w:tcW w:w="4395" w:type="dxa"/>
            <w:vMerge/>
            <w:tcBorders>
              <w:top w:val="single" w:sz="4" w:space="0" w:color="auto"/>
              <w:left w:val="single" w:sz="4" w:space="0" w:color="auto"/>
              <w:bottom w:val="single" w:sz="4" w:space="0" w:color="auto"/>
              <w:right w:val="single" w:sz="4" w:space="0" w:color="auto"/>
            </w:tcBorders>
            <w:vAlign w:val="center"/>
            <w:hideMark/>
          </w:tcPr>
          <w:p w14:paraId="054DB161" w14:textId="77777777" w:rsidR="007C46D4" w:rsidRPr="00164238" w:rsidRDefault="007C46D4">
            <w:pPr>
              <w:spacing w:after="0"/>
              <w:rPr>
                <w:rFonts w:ascii="Times New Roman" w:eastAsia="Times New Roman" w:hAnsi="Times New Roman" w:cs="Times New Roman"/>
                <w:b/>
                <w:bCs/>
                <w:color w:val="000000" w:themeColor="text1"/>
                <w:sz w:val="20"/>
                <w:szCs w:val="20"/>
              </w:rPr>
            </w:pPr>
          </w:p>
        </w:tc>
        <w:tc>
          <w:tcPr>
            <w:tcW w:w="2410" w:type="dxa"/>
            <w:tcBorders>
              <w:top w:val="dotted" w:sz="4" w:space="0" w:color="000000"/>
              <w:left w:val="single" w:sz="4" w:space="0" w:color="auto"/>
              <w:bottom w:val="dotted" w:sz="4" w:space="0" w:color="000000"/>
              <w:right w:val="single" w:sz="4" w:space="0" w:color="auto"/>
            </w:tcBorders>
            <w:vAlign w:val="center"/>
            <w:hideMark/>
          </w:tcPr>
          <w:p w14:paraId="109A90D6" w14:textId="77777777" w:rsidR="007C46D4" w:rsidRPr="00164238" w:rsidRDefault="007C46D4">
            <w:pPr>
              <w:spacing w:after="0" w:line="240" w:lineRule="auto"/>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6-10 Yıl</w:t>
            </w:r>
          </w:p>
        </w:tc>
        <w:tc>
          <w:tcPr>
            <w:tcW w:w="1169" w:type="dxa"/>
            <w:tcBorders>
              <w:top w:val="dotted" w:sz="4" w:space="0" w:color="000000"/>
              <w:left w:val="single" w:sz="4" w:space="0" w:color="auto"/>
              <w:bottom w:val="dotted" w:sz="4" w:space="0" w:color="000000"/>
              <w:right w:val="single" w:sz="4" w:space="0" w:color="auto"/>
            </w:tcBorders>
            <w:hideMark/>
          </w:tcPr>
          <w:p w14:paraId="14B316DF"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3</w:t>
            </w:r>
          </w:p>
        </w:tc>
        <w:tc>
          <w:tcPr>
            <w:tcW w:w="1169" w:type="dxa"/>
            <w:tcBorders>
              <w:top w:val="dotted" w:sz="4" w:space="0" w:color="000000"/>
              <w:left w:val="single" w:sz="4" w:space="0" w:color="auto"/>
              <w:bottom w:val="dotted" w:sz="4" w:space="0" w:color="000000"/>
              <w:right w:val="dotted" w:sz="4" w:space="0" w:color="000000"/>
            </w:tcBorders>
            <w:noWrap/>
            <w:vAlign w:val="center"/>
            <w:hideMark/>
          </w:tcPr>
          <w:p w14:paraId="3581142C"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64</w:t>
            </w:r>
          </w:p>
        </w:tc>
        <w:tc>
          <w:tcPr>
            <w:tcW w:w="1169" w:type="dxa"/>
            <w:tcBorders>
              <w:top w:val="dotted" w:sz="4" w:space="0" w:color="000000"/>
              <w:left w:val="dotted" w:sz="4" w:space="0" w:color="000000"/>
              <w:bottom w:val="dotted" w:sz="4" w:space="0" w:color="000000"/>
              <w:right w:val="dotted" w:sz="4" w:space="0" w:color="000000"/>
            </w:tcBorders>
            <w:noWrap/>
            <w:vAlign w:val="center"/>
            <w:hideMark/>
          </w:tcPr>
          <w:p w14:paraId="33EFA770"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24,6</w:t>
            </w:r>
          </w:p>
        </w:tc>
        <w:tc>
          <w:tcPr>
            <w:tcW w:w="1170" w:type="dxa"/>
            <w:tcBorders>
              <w:top w:val="dotted" w:sz="4" w:space="0" w:color="000000"/>
              <w:left w:val="dotted" w:sz="4" w:space="0" w:color="000000"/>
              <w:bottom w:val="dotted" w:sz="4" w:space="0" w:color="000000"/>
              <w:right w:val="single" w:sz="4" w:space="0" w:color="auto"/>
            </w:tcBorders>
            <w:noWrap/>
            <w:vAlign w:val="center"/>
            <w:hideMark/>
          </w:tcPr>
          <w:p w14:paraId="0BF74A29"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93,1</w:t>
            </w:r>
          </w:p>
        </w:tc>
      </w:tr>
      <w:tr w:rsidR="007C46D4" w:rsidRPr="00164238" w14:paraId="292FA9E8" w14:textId="77777777" w:rsidTr="007C46D4">
        <w:trPr>
          <w:trHeight w:hRule="exact" w:val="227"/>
        </w:trPr>
        <w:tc>
          <w:tcPr>
            <w:tcW w:w="4395" w:type="dxa"/>
            <w:vMerge/>
            <w:tcBorders>
              <w:top w:val="single" w:sz="4" w:space="0" w:color="auto"/>
              <w:left w:val="single" w:sz="4" w:space="0" w:color="auto"/>
              <w:bottom w:val="single" w:sz="4" w:space="0" w:color="auto"/>
              <w:right w:val="single" w:sz="4" w:space="0" w:color="auto"/>
            </w:tcBorders>
            <w:vAlign w:val="center"/>
            <w:hideMark/>
          </w:tcPr>
          <w:p w14:paraId="679579CA" w14:textId="77777777" w:rsidR="007C46D4" w:rsidRPr="00164238" w:rsidRDefault="007C46D4">
            <w:pPr>
              <w:spacing w:after="0"/>
              <w:rPr>
                <w:rFonts w:ascii="Times New Roman" w:eastAsia="Times New Roman" w:hAnsi="Times New Roman" w:cs="Times New Roman"/>
                <w:b/>
                <w:bCs/>
                <w:color w:val="000000" w:themeColor="text1"/>
                <w:sz w:val="20"/>
                <w:szCs w:val="20"/>
              </w:rPr>
            </w:pPr>
          </w:p>
        </w:tc>
        <w:tc>
          <w:tcPr>
            <w:tcW w:w="2410" w:type="dxa"/>
            <w:tcBorders>
              <w:top w:val="dotted" w:sz="4" w:space="0" w:color="000000"/>
              <w:left w:val="single" w:sz="4" w:space="0" w:color="auto"/>
              <w:bottom w:val="dotted" w:sz="4" w:space="0" w:color="000000"/>
              <w:right w:val="single" w:sz="4" w:space="0" w:color="auto"/>
            </w:tcBorders>
            <w:vAlign w:val="center"/>
            <w:hideMark/>
          </w:tcPr>
          <w:p w14:paraId="6C6E1E1C" w14:textId="77777777" w:rsidR="007C46D4" w:rsidRPr="00164238" w:rsidRDefault="007C46D4">
            <w:pPr>
              <w:spacing w:after="0" w:line="240" w:lineRule="auto"/>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11-15 Yıl</w:t>
            </w:r>
          </w:p>
        </w:tc>
        <w:tc>
          <w:tcPr>
            <w:tcW w:w="1169" w:type="dxa"/>
            <w:tcBorders>
              <w:top w:val="dotted" w:sz="4" w:space="0" w:color="000000"/>
              <w:left w:val="single" w:sz="4" w:space="0" w:color="auto"/>
              <w:bottom w:val="dotted" w:sz="4" w:space="0" w:color="000000"/>
              <w:right w:val="single" w:sz="4" w:space="0" w:color="auto"/>
            </w:tcBorders>
            <w:hideMark/>
          </w:tcPr>
          <w:p w14:paraId="57860F4F"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4</w:t>
            </w:r>
          </w:p>
        </w:tc>
        <w:tc>
          <w:tcPr>
            <w:tcW w:w="1169" w:type="dxa"/>
            <w:tcBorders>
              <w:top w:val="dotted" w:sz="4" w:space="0" w:color="000000"/>
              <w:left w:val="single" w:sz="4" w:space="0" w:color="auto"/>
              <w:bottom w:val="dotted" w:sz="4" w:space="0" w:color="000000"/>
              <w:right w:val="dotted" w:sz="4" w:space="0" w:color="000000"/>
            </w:tcBorders>
            <w:noWrap/>
            <w:vAlign w:val="center"/>
            <w:hideMark/>
          </w:tcPr>
          <w:p w14:paraId="4D061C58"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13</w:t>
            </w:r>
          </w:p>
        </w:tc>
        <w:tc>
          <w:tcPr>
            <w:tcW w:w="1169" w:type="dxa"/>
            <w:tcBorders>
              <w:top w:val="dotted" w:sz="4" w:space="0" w:color="000000"/>
              <w:left w:val="dotted" w:sz="4" w:space="0" w:color="000000"/>
              <w:bottom w:val="dotted" w:sz="4" w:space="0" w:color="000000"/>
              <w:right w:val="dotted" w:sz="4" w:space="0" w:color="000000"/>
            </w:tcBorders>
            <w:noWrap/>
            <w:vAlign w:val="center"/>
            <w:hideMark/>
          </w:tcPr>
          <w:p w14:paraId="7E7A4337"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5,0</w:t>
            </w:r>
          </w:p>
        </w:tc>
        <w:tc>
          <w:tcPr>
            <w:tcW w:w="1170" w:type="dxa"/>
            <w:tcBorders>
              <w:top w:val="dotted" w:sz="4" w:space="0" w:color="000000"/>
              <w:left w:val="dotted" w:sz="4" w:space="0" w:color="000000"/>
              <w:bottom w:val="dotted" w:sz="4" w:space="0" w:color="000000"/>
              <w:right w:val="single" w:sz="4" w:space="0" w:color="auto"/>
            </w:tcBorders>
            <w:noWrap/>
            <w:vAlign w:val="center"/>
            <w:hideMark/>
          </w:tcPr>
          <w:p w14:paraId="3371A0B9"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98,1</w:t>
            </w:r>
          </w:p>
        </w:tc>
      </w:tr>
      <w:tr w:rsidR="007C46D4" w:rsidRPr="00164238" w14:paraId="0DE892AA" w14:textId="77777777" w:rsidTr="007C46D4">
        <w:trPr>
          <w:trHeight w:hRule="exact" w:val="227"/>
        </w:trPr>
        <w:tc>
          <w:tcPr>
            <w:tcW w:w="4395" w:type="dxa"/>
            <w:vMerge/>
            <w:tcBorders>
              <w:top w:val="single" w:sz="4" w:space="0" w:color="auto"/>
              <w:left w:val="single" w:sz="4" w:space="0" w:color="auto"/>
              <w:bottom w:val="single" w:sz="4" w:space="0" w:color="auto"/>
              <w:right w:val="single" w:sz="4" w:space="0" w:color="auto"/>
            </w:tcBorders>
            <w:vAlign w:val="center"/>
            <w:hideMark/>
          </w:tcPr>
          <w:p w14:paraId="2495F4D0" w14:textId="77777777" w:rsidR="007C46D4" w:rsidRPr="00164238" w:rsidRDefault="007C46D4">
            <w:pPr>
              <w:spacing w:after="0"/>
              <w:rPr>
                <w:rFonts w:ascii="Times New Roman" w:eastAsia="Times New Roman" w:hAnsi="Times New Roman" w:cs="Times New Roman"/>
                <w:b/>
                <w:bCs/>
                <w:color w:val="000000" w:themeColor="text1"/>
                <w:sz w:val="20"/>
                <w:szCs w:val="20"/>
              </w:rPr>
            </w:pPr>
          </w:p>
        </w:tc>
        <w:tc>
          <w:tcPr>
            <w:tcW w:w="2410" w:type="dxa"/>
            <w:tcBorders>
              <w:top w:val="dotted" w:sz="4" w:space="0" w:color="000000"/>
              <w:left w:val="single" w:sz="4" w:space="0" w:color="auto"/>
              <w:bottom w:val="single" w:sz="4" w:space="0" w:color="auto"/>
              <w:right w:val="single" w:sz="4" w:space="0" w:color="auto"/>
            </w:tcBorders>
            <w:vAlign w:val="center"/>
            <w:hideMark/>
          </w:tcPr>
          <w:p w14:paraId="27DD86A3" w14:textId="77777777" w:rsidR="007C46D4" w:rsidRPr="00164238" w:rsidRDefault="007C46D4">
            <w:pPr>
              <w:spacing w:after="0" w:line="240" w:lineRule="auto"/>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16 Yıl ve Üzeri</w:t>
            </w:r>
          </w:p>
        </w:tc>
        <w:tc>
          <w:tcPr>
            <w:tcW w:w="1169" w:type="dxa"/>
            <w:tcBorders>
              <w:top w:val="dotted" w:sz="4" w:space="0" w:color="000000"/>
              <w:left w:val="single" w:sz="4" w:space="0" w:color="auto"/>
              <w:bottom w:val="single" w:sz="4" w:space="0" w:color="auto"/>
              <w:right w:val="single" w:sz="4" w:space="0" w:color="auto"/>
            </w:tcBorders>
            <w:hideMark/>
          </w:tcPr>
          <w:p w14:paraId="7882E218"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5</w:t>
            </w:r>
          </w:p>
        </w:tc>
        <w:tc>
          <w:tcPr>
            <w:tcW w:w="1169" w:type="dxa"/>
            <w:tcBorders>
              <w:top w:val="dotted" w:sz="4" w:space="0" w:color="000000"/>
              <w:left w:val="single" w:sz="4" w:space="0" w:color="auto"/>
              <w:bottom w:val="single" w:sz="4" w:space="0" w:color="auto"/>
              <w:right w:val="dotted" w:sz="4" w:space="0" w:color="000000"/>
            </w:tcBorders>
            <w:noWrap/>
            <w:vAlign w:val="center"/>
            <w:hideMark/>
          </w:tcPr>
          <w:p w14:paraId="5028AC7A"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5</w:t>
            </w:r>
          </w:p>
        </w:tc>
        <w:tc>
          <w:tcPr>
            <w:tcW w:w="1169" w:type="dxa"/>
            <w:tcBorders>
              <w:top w:val="dotted" w:sz="4" w:space="0" w:color="000000"/>
              <w:left w:val="dotted" w:sz="4" w:space="0" w:color="000000"/>
              <w:bottom w:val="single" w:sz="4" w:space="0" w:color="auto"/>
              <w:right w:val="dotted" w:sz="4" w:space="0" w:color="000000"/>
            </w:tcBorders>
            <w:noWrap/>
            <w:vAlign w:val="center"/>
            <w:hideMark/>
          </w:tcPr>
          <w:p w14:paraId="436DA49A"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1,9</w:t>
            </w:r>
          </w:p>
        </w:tc>
        <w:tc>
          <w:tcPr>
            <w:tcW w:w="1170" w:type="dxa"/>
            <w:tcBorders>
              <w:top w:val="dotted" w:sz="4" w:space="0" w:color="000000"/>
              <w:left w:val="dotted" w:sz="4" w:space="0" w:color="000000"/>
              <w:bottom w:val="single" w:sz="4" w:space="0" w:color="auto"/>
              <w:right w:val="single" w:sz="4" w:space="0" w:color="auto"/>
            </w:tcBorders>
            <w:noWrap/>
            <w:vAlign w:val="center"/>
            <w:hideMark/>
          </w:tcPr>
          <w:p w14:paraId="60509171"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100,0</w:t>
            </w:r>
          </w:p>
        </w:tc>
      </w:tr>
      <w:tr w:rsidR="007C46D4" w:rsidRPr="00164238" w14:paraId="47E6AE95" w14:textId="77777777" w:rsidTr="007C46D4">
        <w:trPr>
          <w:trHeight w:hRule="exact" w:val="227"/>
        </w:trPr>
        <w:tc>
          <w:tcPr>
            <w:tcW w:w="1985" w:type="dxa"/>
            <w:vMerge w:val="restart"/>
            <w:tcBorders>
              <w:top w:val="single" w:sz="4" w:space="0" w:color="auto"/>
              <w:left w:val="single" w:sz="4" w:space="0" w:color="auto"/>
              <w:bottom w:val="single" w:sz="4" w:space="0" w:color="auto"/>
              <w:right w:val="single" w:sz="4" w:space="0" w:color="auto"/>
            </w:tcBorders>
            <w:vAlign w:val="center"/>
            <w:hideMark/>
          </w:tcPr>
          <w:p w14:paraId="2E4F4BD7" w14:textId="77777777" w:rsidR="007C46D4" w:rsidRPr="00164238" w:rsidRDefault="007C46D4">
            <w:pPr>
              <w:spacing w:after="0" w:line="240" w:lineRule="auto"/>
              <w:rPr>
                <w:rFonts w:ascii="Times New Roman" w:eastAsia="Times New Roman" w:hAnsi="Times New Roman" w:cs="Times New Roman"/>
                <w:b/>
                <w:bCs/>
                <w:color w:val="000000" w:themeColor="text1"/>
                <w:sz w:val="20"/>
                <w:szCs w:val="20"/>
              </w:rPr>
            </w:pPr>
            <w:r w:rsidRPr="00164238">
              <w:rPr>
                <w:rFonts w:ascii="Times New Roman" w:eastAsia="Times New Roman" w:hAnsi="Times New Roman" w:cs="Times New Roman"/>
                <w:b/>
                <w:bCs/>
                <w:color w:val="000000" w:themeColor="text1"/>
                <w:sz w:val="20"/>
                <w:szCs w:val="20"/>
              </w:rPr>
              <w:t>Çalışma Lokasyonu</w:t>
            </w:r>
          </w:p>
        </w:tc>
        <w:tc>
          <w:tcPr>
            <w:tcW w:w="2410" w:type="dxa"/>
            <w:tcBorders>
              <w:top w:val="single" w:sz="4" w:space="0" w:color="auto"/>
              <w:left w:val="single" w:sz="4" w:space="0" w:color="auto"/>
              <w:bottom w:val="dotted" w:sz="4" w:space="0" w:color="000000"/>
              <w:right w:val="single" w:sz="4" w:space="0" w:color="auto"/>
            </w:tcBorders>
            <w:noWrap/>
            <w:vAlign w:val="center"/>
            <w:hideMark/>
          </w:tcPr>
          <w:p w14:paraId="331D46E8" w14:textId="77777777" w:rsidR="007C46D4" w:rsidRPr="00164238" w:rsidRDefault="007C46D4">
            <w:pPr>
              <w:spacing w:after="0" w:line="240" w:lineRule="auto"/>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Evden</w:t>
            </w:r>
          </w:p>
        </w:tc>
        <w:tc>
          <w:tcPr>
            <w:tcW w:w="1169" w:type="dxa"/>
            <w:tcBorders>
              <w:top w:val="single" w:sz="4" w:space="0" w:color="auto"/>
              <w:left w:val="single" w:sz="4" w:space="0" w:color="auto"/>
              <w:bottom w:val="dotted" w:sz="4" w:space="0" w:color="000000"/>
              <w:right w:val="single" w:sz="4" w:space="0" w:color="auto"/>
            </w:tcBorders>
            <w:hideMark/>
          </w:tcPr>
          <w:p w14:paraId="0535F6EB"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1</w:t>
            </w:r>
          </w:p>
        </w:tc>
        <w:tc>
          <w:tcPr>
            <w:tcW w:w="1169" w:type="dxa"/>
            <w:tcBorders>
              <w:top w:val="single" w:sz="4" w:space="0" w:color="auto"/>
              <w:left w:val="single" w:sz="4" w:space="0" w:color="auto"/>
              <w:bottom w:val="dotted" w:sz="4" w:space="0" w:color="000000"/>
              <w:right w:val="dotted" w:sz="4" w:space="0" w:color="000000"/>
            </w:tcBorders>
            <w:noWrap/>
            <w:vAlign w:val="center"/>
            <w:hideMark/>
          </w:tcPr>
          <w:p w14:paraId="024E5789"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199</w:t>
            </w:r>
          </w:p>
        </w:tc>
        <w:tc>
          <w:tcPr>
            <w:tcW w:w="1169" w:type="dxa"/>
            <w:tcBorders>
              <w:top w:val="single" w:sz="4" w:space="0" w:color="auto"/>
              <w:left w:val="dotted" w:sz="4" w:space="0" w:color="000000"/>
              <w:bottom w:val="dotted" w:sz="4" w:space="0" w:color="000000"/>
              <w:right w:val="dotted" w:sz="4" w:space="0" w:color="000000"/>
            </w:tcBorders>
            <w:noWrap/>
            <w:vAlign w:val="center"/>
            <w:hideMark/>
          </w:tcPr>
          <w:p w14:paraId="1280E529"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76,5</w:t>
            </w:r>
          </w:p>
        </w:tc>
        <w:tc>
          <w:tcPr>
            <w:tcW w:w="1170" w:type="dxa"/>
            <w:tcBorders>
              <w:top w:val="single" w:sz="4" w:space="0" w:color="auto"/>
              <w:left w:val="dotted" w:sz="4" w:space="0" w:color="000000"/>
              <w:bottom w:val="dotted" w:sz="4" w:space="0" w:color="000000"/>
              <w:right w:val="single" w:sz="4" w:space="0" w:color="auto"/>
            </w:tcBorders>
            <w:noWrap/>
            <w:vAlign w:val="center"/>
            <w:hideMark/>
          </w:tcPr>
          <w:p w14:paraId="75E406D2"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76,5</w:t>
            </w:r>
          </w:p>
        </w:tc>
      </w:tr>
      <w:tr w:rsidR="007C46D4" w:rsidRPr="00164238" w14:paraId="0D301A55" w14:textId="77777777" w:rsidTr="007C46D4">
        <w:trPr>
          <w:trHeight w:hRule="exact" w:val="227"/>
        </w:trPr>
        <w:tc>
          <w:tcPr>
            <w:tcW w:w="4395" w:type="dxa"/>
            <w:vMerge/>
            <w:tcBorders>
              <w:top w:val="single" w:sz="4" w:space="0" w:color="auto"/>
              <w:left w:val="single" w:sz="4" w:space="0" w:color="auto"/>
              <w:bottom w:val="single" w:sz="4" w:space="0" w:color="auto"/>
              <w:right w:val="single" w:sz="4" w:space="0" w:color="auto"/>
            </w:tcBorders>
            <w:vAlign w:val="center"/>
            <w:hideMark/>
          </w:tcPr>
          <w:p w14:paraId="77C4738D" w14:textId="77777777" w:rsidR="007C46D4" w:rsidRPr="00164238" w:rsidRDefault="007C46D4">
            <w:pPr>
              <w:spacing w:after="0"/>
              <w:rPr>
                <w:rFonts w:ascii="Times New Roman" w:eastAsia="Times New Roman" w:hAnsi="Times New Roman" w:cs="Times New Roman"/>
                <w:b/>
                <w:bCs/>
                <w:color w:val="000000" w:themeColor="text1"/>
                <w:sz w:val="20"/>
                <w:szCs w:val="20"/>
              </w:rPr>
            </w:pPr>
          </w:p>
        </w:tc>
        <w:tc>
          <w:tcPr>
            <w:tcW w:w="2410" w:type="dxa"/>
            <w:tcBorders>
              <w:top w:val="dotted" w:sz="4" w:space="0" w:color="000000"/>
              <w:left w:val="single" w:sz="4" w:space="0" w:color="auto"/>
              <w:bottom w:val="dotted" w:sz="4" w:space="0" w:color="000000"/>
              <w:right w:val="single" w:sz="4" w:space="0" w:color="auto"/>
            </w:tcBorders>
            <w:noWrap/>
            <w:vAlign w:val="center"/>
            <w:hideMark/>
          </w:tcPr>
          <w:p w14:paraId="4691D7DE" w14:textId="77777777" w:rsidR="007C46D4" w:rsidRPr="00164238" w:rsidRDefault="007C46D4">
            <w:pPr>
              <w:spacing w:after="0" w:line="240" w:lineRule="auto"/>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Bazen Ev Bazen İşyeri</w:t>
            </w:r>
          </w:p>
        </w:tc>
        <w:tc>
          <w:tcPr>
            <w:tcW w:w="1169" w:type="dxa"/>
            <w:tcBorders>
              <w:top w:val="dotted" w:sz="4" w:space="0" w:color="000000"/>
              <w:left w:val="single" w:sz="4" w:space="0" w:color="auto"/>
              <w:bottom w:val="dotted" w:sz="4" w:space="0" w:color="000000"/>
              <w:right w:val="single" w:sz="4" w:space="0" w:color="auto"/>
            </w:tcBorders>
            <w:hideMark/>
          </w:tcPr>
          <w:p w14:paraId="64132C00"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2</w:t>
            </w:r>
          </w:p>
        </w:tc>
        <w:tc>
          <w:tcPr>
            <w:tcW w:w="1169" w:type="dxa"/>
            <w:tcBorders>
              <w:top w:val="dotted" w:sz="4" w:space="0" w:color="000000"/>
              <w:left w:val="single" w:sz="4" w:space="0" w:color="auto"/>
              <w:bottom w:val="dotted" w:sz="4" w:space="0" w:color="000000"/>
              <w:right w:val="dotted" w:sz="4" w:space="0" w:color="000000"/>
            </w:tcBorders>
            <w:noWrap/>
            <w:vAlign w:val="center"/>
            <w:hideMark/>
          </w:tcPr>
          <w:p w14:paraId="4E8BD95C"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51</w:t>
            </w:r>
          </w:p>
        </w:tc>
        <w:tc>
          <w:tcPr>
            <w:tcW w:w="1169" w:type="dxa"/>
            <w:tcBorders>
              <w:top w:val="dotted" w:sz="4" w:space="0" w:color="000000"/>
              <w:left w:val="dotted" w:sz="4" w:space="0" w:color="000000"/>
              <w:bottom w:val="dotted" w:sz="4" w:space="0" w:color="000000"/>
              <w:right w:val="dotted" w:sz="4" w:space="0" w:color="000000"/>
            </w:tcBorders>
            <w:noWrap/>
            <w:vAlign w:val="center"/>
            <w:hideMark/>
          </w:tcPr>
          <w:p w14:paraId="661E84B2"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19,6</w:t>
            </w:r>
          </w:p>
        </w:tc>
        <w:tc>
          <w:tcPr>
            <w:tcW w:w="1170" w:type="dxa"/>
            <w:tcBorders>
              <w:top w:val="dotted" w:sz="4" w:space="0" w:color="000000"/>
              <w:left w:val="dotted" w:sz="4" w:space="0" w:color="000000"/>
              <w:bottom w:val="dotted" w:sz="4" w:space="0" w:color="000000"/>
              <w:right w:val="single" w:sz="4" w:space="0" w:color="auto"/>
            </w:tcBorders>
            <w:noWrap/>
            <w:vAlign w:val="center"/>
            <w:hideMark/>
          </w:tcPr>
          <w:p w14:paraId="3BD59E8B"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96,2</w:t>
            </w:r>
          </w:p>
        </w:tc>
      </w:tr>
      <w:tr w:rsidR="007C46D4" w:rsidRPr="00164238" w14:paraId="1954D634" w14:textId="77777777" w:rsidTr="007C46D4">
        <w:trPr>
          <w:trHeight w:hRule="exact" w:val="227"/>
        </w:trPr>
        <w:tc>
          <w:tcPr>
            <w:tcW w:w="4395" w:type="dxa"/>
            <w:vMerge/>
            <w:tcBorders>
              <w:top w:val="single" w:sz="4" w:space="0" w:color="auto"/>
              <w:left w:val="single" w:sz="4" w:space="0" w:color="auto"/>
              <w:bottom w:val="single" w:sz="4" w:space="0" w:color="auto"/>
              <w:right w:val="single" w:sz="4" w:space="0" w:color="auto"/>
            </w:tcBorders>
            <w:vAlign w:val="center"/>
            <w:hideMark/>
          </w:tcPr>
          <w:p w14:paraId="096EEE92" w14:textId="77777777" w:rsidR="007C46D4" w:rsidRPr="00164238" w:rsidRDefault="007C46D4">
            <w:pPr>
              <w:spacing w:after="0"/>
              <w:rPr>
                <w:rFonts w:ascii="Times New Roman" w:eastAsia="Times New Roman" w:hAnsi="Times New Roman" w:cs="Times New Roman"/>
                <w:b/>
                <w:bCs/>
                <w:color w:val="000000" w:themeColor="text1"/>
                <w:sz w:val="20"/>
                <w:szCs w:val="20"/>
              </w:rPr>
            </w:pPr>
          </w:p>
        </w:tc>
        <w:tc>
          <w:tcPr>
            <w:tcW w:w="2410" w:type="dxa"/>
            <w:tcBorders>
              <w:top w:val="dotted" w:sz="4" w:space="0" w:color="000000"/>
              <w:left w:val="single" w:sz="4" w:space="0" w:color="auto"/>
              <w:bottom w:val="single" w:sz="4" w:space="0" w:color="auto"/>
              <w:right w:val="single" w:sz="4" w:space="0" w:color="auto"/>
            </w:tcBorders>
            <w:noWrap/>
            <w:vAlign w:val="center"/>
            <w:hideMark/>
          </w:tcPr>
          <w:p w14:paraId="7FC319A6" w14:textId="77777777" w:rsidR="007C46D4" w:rsidRPr="00164238" w:rsidRDefault="007C46D4">
            <w:pPr>
              <w:spacing w:after="0" w:line="240" w:lineRule="auto"/>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İşyeri</w:t>
            </w:r>
          </w:p>
        </w:tc>
        <w:tc>
          <w:tcPr>
            <w:tcW w:w="1169" w:type="dxa"/>
            <w:tcBorders>
              <w:top w:val="dotted" w:sz="4" w:space="0" w:color="000000"/>
              <w:left w:val="single" w:sz="4" w:space="0" w:color="auto"/>
              <w:bottom w:val="single" w:sz="4" w:space="0" w:color="auto"/>
              <w:right w:val="single" w:sz="4" w:space="0" w:color="auto"/>
            </w:tcBorders>
            <w:hideMark/>
          </w:tcPr>
          <w:p w14:paraId="7ABBE17F"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3</w:t>
            </w:r>
          </w:p>
        </w:tc>
        <w:tc>
          <w:tcPr>
            <w:tcW w:w="1169" w:type="dxa"/>
            <w:tcBorders>
              <w:top w:val="dotted" w:sz="4" w:space="0" w:color="000000"/>
              <w:left w:val="single" w:sz="4" w:space="0" w:color="auto"/>
              <w:bottom w:val="single" w:sz="4" w:space="0" w:color="auto"/>
              <w:right w:val="dotted" w:sz="4" w:space="0" w:color="000000"/>
            </w:tcBorders>
            <w:noWrap/>
            <w:vAlign w:val="center"/>
            <w:hideMark/>
          </w:tcPr>
          <w:p w14:paraId="14C6D06E"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10</w:t>
            </w:r>
          </w:p>
        </w:tc>
        <w:tc>
          <w:tcPr>
            <w:tcW w:w="1169" w:type="dxa"/>
            <w:tcBorders>
              <w:top w:val="dotted" w:sz="4" w:space="0" w:color="000000"/>
              <w:left w:val="dotted" w:sz="4" w:space="0" w:color="000000"/>
              <w:bottom w:val="single" w:sz="4" w:space="0" w:color="auto"/>
              <w:right w:val="dotted" w:sz="4" w:space="0" w:color="000000"/>
            </w:tcBorders>
            <w:noWrap/>
            <w:vAlign w:val="center"/>
            <w:hideMark/>
          </w:tcPr>
          <w:p w14:paraId="2A36D937"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3,8</w:t>
            </w:r>
          </w:p>
        </w:tc>
        <w:tc>
          <w:tcPr>
            <w:tcW w:w="1170" w:type="dxa"/>
            <w:tcBorders>
              <w:top w:val="dotted" w:sz="4" w:space="0" w:color="000000"/>
              <w:left w:val="dotted" w:sz="4" w:space="0" w:color="000000"/>
              <w:bottom w:val="single" w:sz="4" w:space="0" w:color="auto"/>
              <w:right w:val="single" w:sz="4" w:space="0" w:color="auto"/>
            </w:tcBorders>
            <w:noWrap/>
            <w:vAlign w:val="center"/>
            <w:hideMark/>
          </w:tcPr>
          <w:p w14:paraId="1537D0E0"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100,0</w:t>
            </w:r>
          </w:p>
        </w:tc>
      </w:tr>
    </w:tbl>
    <w:p w14:paraId="66AA3E8A" w14:textId="77777777" w:rsidR="007C46D4" w:rsidRPr="00164238" w:rsidRDefault="007C46D4" w:rsidP="007C46D4">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Örneklem büyüklüğü N=260</w:t>
      </w:r>
    </w:p>
    <w:p w14:paraId="2C2E1012" w14:textId="77777777" w:rsidR="007C46D4" w:rsidRPr="00164238" w:rsidRDefault="007C46D4" w:rsidP="00885A08">
      <w:pPr>
        <w:pStyle w:val="Balk2"/>
        <w:spacing w:after="120"/>
        <w:ind w:left="567"/>
        <w:rPr>
          <w:rFonts w:ascii="Times New Roman" w:hAnsi="Times New Roman" w:cs="Times New Roman"/>
          <w:i w:val="0"/>
          <w:iCs w:val="0"/>
          <w:color w:val="000000" w:themeColor="text1"/>
          <w:sz w:val="20"/>
          <w:szCs w:val="20"/>
          <w:lang w:val="tr-TR"/>
        </w:rPr>
      </w:pPr>
      <w:bookmarkStart w:id="122" w:name="_Toc72352779"/>
      <w:bookmarkStart w:id="123" w:name="_Toc72961713"/>
      <w:r w:rsidRPr="00164238">
        <w:rPr>
          <w:rFonts w:ascii="Times New Roman" w:hAnsi="Times New Roman" w:cs="Times New Roman"/>
          <w:i w:val="0"/>
          <w:iCs w:val="0"/>
          <w:color w:val="000000" w:themeColor="text1"/>
          <w:sz w:val="20"/>
          <w:szCs w:val="20"/>
          <w:lang w:val="tr-TR"/>
        </w:rPr>
        <w:t>Verilerin Analizi</w:t>
      </w:r>
      <w:bookmarkEnd w:id="122"/>
      <w:bookmarkEnd w:id="123"/>
    </w:p>
    <w:p w14:paraId="7E2B5781" w14:textId="77777777" w:rsidR="007C46D4" w:rsidRPr="00164238" w:rsidRDefault="007C46D4" w:rsidP="00885A08">
      <w:pPr>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Toplam 260 katılımcıdan toplanan veriler SPSS 21 istatistiki paket programı kullanılarak analiz edilmiş, tüm analizlerde anlamlılık düzeyi 0,05 olarak kabul edilmiş ve elde edilen sonuçlar çift yönlü olarak sınanmıştır. Kullanılan ölçeklerin geçerlilik ve güvenirlilik analizlerinin gerçekleştirilmesi kapsamında öncelikle ölçeklerin Keşfedici Faktör Analizleri yapılmış, sonra elde edilen faktörlerin iç tutarlılıklarını belirlemek amacıyla güvenilirlik analizleri yapılmıştır. </w:t>
      </w:r>
    </w:p>
    <w:p w14:paraId="5FC8EF51" w14:textId="77777777" w:rsidR="007C46D4" w:rsidRPr="00164238" w:rsidRDefault="007C46D4" w:rsidP="00885A08">
      <w:pPr>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Ölçeklerin faktör analizlerinde Temel Bileşenler Yöntemi kullanılmıştır. Faktör sayısını belirlemek için öncelikle bir döndürme yöntemi kullanılmamış, ancak faktör sayısı belirlendikten sonra Varimax Döndürme Yöntemi kullanılarak faktör analizleri yapılmıştır (Carpenter, 2018).</w:t>
      </w:r>
    </w:p>
    <w:p w14:paraId="3A91CF37" w14:textId="77777777" w:rsidR="007C46D4" w:rsidRPr="00164238" w:rsidRDefault="007C46D4" w:rsidP="00885A08">
      <w:pPr>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Veri setinin faktör analizine uygunluğu da Kaiser-Meyer-Olkin (KMO) örneklem yeterliliği testi ve Bartlett Küresellik Testi sonuçlarına bakılarak değerlendirilmiştir (Carpenter, 2018). KMO değerinin 0,50’den büyük olması ve Bartlett test sonucu da anlamlı çıkması (Fields, 2002; Sarstedt ve Mooi, 2014; Carpenter, 2018) kriter olarak belirlenmiştir.</w:t>
      </w:r>
    </w:p>
    <w:p w14:paraId="06C75430" w14:textId="77777777" w:rsidR="007C46D4" w:rsidRPr="00164238" w:rsidRDefault="007C46D4" w:rsidP="00885A08">
      <w:pPr>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Birleşme geçerliliği ölçütü olarak ifadelerin ilgili faktör altında toplanması, her bir ölçek tarafından Açıklanan Ortalama Varyans (AVE) değerinin 0,50 ve Bileşik Güvenilirlik (CR) değerinin de 0,70 veya daha yüksek olması beklenmektedir (Field, 2018).</w:t>
      </w:r>
    </w:p>
    <w:p w14:paraId="27F57BCC" w14:textId="77777777" w:rsidR="007C46D4" w:rsidRPr="00164238" w:rsidRDefault="007C46D4" w:rsidP="00885A08">
      <w:pPr>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Ayrışma geçerliliğinde ise her bir ifadenin bir tek faktör altında toplanması, faktörlerin çapraz yük almaması ve her bir ifadenin bir diğer faktör altında bulunan faktör yükü değerinin 0,70’ten küçük olması (Field, 2018) kıstas olarak alınmıştır.</w:t>
      </w:r>
    </w:p>
    <w:p w14:paraId="0F9B0A18" w14:textId="77777777" w:rsidR="007C46D4" w:rsidRPr="00164238" w:rsidRDefault="007C46D4" w:rsidP="00885A08">
      <w:pPr>
        <w:ind w:firstLine="360"/>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Faktör analizi sırasında her bir ifadenin alabileceği en düşük faktör yükü değeri 0,50 olarak belirlenmiştir. Bu eşik değerin altında kalan ifadeler araştırmadan çıkarılarak ve faktör analizi yinelenecektir (Hair vd., 2010). İç tutarlılık güvenilirliğinin tespitinde Cronbach Alfa değeri kullanılmış ve eşik değer 0,60 olarak belirlenmiştir (Lyberg vd.., 1997).</w:t>
      </w:r>
    </w:p>
    <w:p w14:paraId="49DEEB0C" w14:textId="77777777" w:rsidR="007C46D4" w:rsidRPr="00164238" w:rsidRDefault="007C46D4" w:rsidP="00885A08">
      <w:pPr>
        <w:pStyle w:val="Balk1"/>
        <w:spacing w:after="120"/>
        <w:ind w:left="360"/>
        <w:rPr>
          <w:rFonts w:ascii="Times New Roman" w:hAnsi="Times New Roman" w:cs="Times New Roman"/>
          <w:b/>
          <w:bCs/>
          <w:color w:val="000000" w:themeColor="text1"/>
          <w:sz w:val="20"/>
          <w:szCs w:val="20"/>
        </w:rPr>
      </w:pPr>
      <w:bookmarkStart w:id="124" w:name="_Toc72352780"/>
      <w:bookmarkStart w:id="125" w:name="_Toc72961714"/>
      <w:r w:rsidRPr="00164238">
        <w:rPr>
          <w:rFonts w:ascii="Times New Roman" w:hAnsi="Times New Roman" w:cs="Times New Roman"/>
          <w:b/>
          <w:bCs/>
          <w:color w:val="000000" w:themeColor="text1"/>
          <w:sz w:val="20"/>
          <w:szCs w:val="20"/>
        </w:rPr>
        <w:lastRenderedPageBreak/>
        <w:t>BULGULAR</w:t>
      </w:r>
      <w:bookmarkEnd w:id="124"/>
      <w:bookmarkEnd w:id="125"/>
    </w:p>
    <w:p w14:paraId="07EC0B45" w14:textId="77777777" w:rsidR="007C46D4" w:rsidRPr="00164238" w:rsidRDefault="007C46D4" w:rsidP="00885A08">
      <w:pPr>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Yapılan analizler, ölçeklerin iç tutarlık güvenilirlik, birleşme ve ayrışma geçerliliği koşullarını sağladığı görülmüştür. Her bir ölçek tek boyutlu olup Genel Performans Algısı ölçeğine ait KMO değeri 0,803, Ki-Kare değeri 606,717 (p=0,000) ve açıkladığı ortalama varyans da 0,7488 olarak tespit edilmiştir. Spesifik Performans ölçeğine ait KMO değeri 0,811, Ki-Kare değeri 836,357 (p=0,000) ve açıkladığı ortalama varyans da 0,7822 olarak tespit edilmiştir. AVE, CR ve Cronbach Alfa değerlerinin de (Tablo 2) eşik değerlerin çok üzerinde olduğu ve dolayısıyla da hem birleşme hem de ayrışma geçerliliğinin sağlandığı sonucuna varılmıştır.</w:t>
      </w:r>
    </w:p>
    <w:p w14:paraId="05791CBA" w14:textId="77777777" w:rsidR="007C46D4" w:rsidRPr="00164238" w:rsidRDefault="007C46D4" w:rsidP="007C46D4">
      <w:pPr>
        <w:pStyle w:val="ResimYazs"/>
        <w:keepNext/>
        <w:spacing w:before="120"/>
        <w:rPr>
          <w:i w:val="0"/>
          <w:iCs w:val="0"/>
          <w:color w:val="000000" w:themeColor="text1"/>
          <w:lang w:val="tr-TR"/>
        </w:rPr>
      </w:pPr>
      <w:r w:rsidRPr="00164238">
        <w:rPr>
          <w:i w:val="0"/>
          <w:iCs w:val="0"/>
          <w:color w:val="000000" w:themeColor="text1"/>
          <w:lang w:val="tr-TR"/>
        </w:rPr>
        <w:t xml:space="preserve">Tablo </w:t>
      </w:r>
      <w:r w:rsidRPr="00164238">
        <w:rPr>
          <w:i w:val="0"/>
          <w:iCs w:val="0"/>
          <w:noProof/>
          <w:color w:val="000000" w:themeColor="text1"/>
          <w:lang w:val="tr-TR"/>
        </w:rPr>
        <w:t>2</w:t>
      </w:r>
      <w:r w:rsidRPr="00164238">
        <w:rPr>
          <w:i w:val="0"/>
          <w:iCs w:val="0"/>
          <w:color w:val="000000" w:themeColor="text1"/>
          <w:lang w:val="tr-TR"/>
        </w:rPr>
        <w:t>. Ölçeklere Ait Faktör Yükleri, Cronbach Alfa, CR ve AVE Değerleri</w:t>
      </w:r>
    </w:p>
    <w:tbl>
      <w:tblPr>
        <w:tblW w:w="907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703"/>
        <w:gridCol w:w="4957"/>
        <w:gridCol w:w="851"/>
        <w:gridCol w:w="1133"/>
        <w:gridCol w:w="709"/>
        <w:gridCol w:w="722"/>
      </w:tblGrid>
      <w:tr w:rsidR="007C46D4" w:rsidRPr="00164238" w14:paraId="3EFCC733" w14:textId="77777777" w:rsidTr="007C46D4">
        <w:trPr>
          <w:trHeight w:val="494"/>
        </w:trPr>
        <w:tc>
          <w:tcPr>
            <w:tcW w:w="704" w:type="dxa"/>
            <w:tcBorders>
              <w:top w:val="dotted" w:sz="4" w:space="0" w:color="auto"/>
              <w:left w:val="dotted" w:sz="4" w:space="0" w:color="auto"/>
              <w:bottom w:val="dotted" w:sz="4" w:space="0" w:color="auto"/>
              <w:right w:val="dotted" w:sz="4" w:space="0" w:color="auto"/>
            </w:tcBorders>
            <w:vAlign w:val="center"/>
          </w:tcPr>
          <w:p w14:paraId="124FCA10" w14:textId="77777777" w:rsidR="007C46D4" w:rsidRPr="00164238" w:rsidRDefault="007C46D4">
            <w:pPr>
              <w:spacing w:after="0" w:line="240" w:lineRule="auto"/>
              <w:rPr>
                <w:rFonts w:ascii="Times New Roman" w:eastAsia="Times New Roman" w:hAnsi="Times New Roman" w:cs="Times New Roman"/>
                <w:color w:val="000000" w:themeColor="text1"/>
                <w:sz w:val="20"/>
                <w:szCs w:val="20"/>
              </w:rPr>
            </w:pPr>
          </w:p>
        </w:tc>
        <w:tc>
          <w:tcPr>
            <w:tcW w:w="4961" w:type="dxa"/>
            <w:tcBorders>
              <w:top w:val="dotted" w:sz="4" w:space="0" w:color="auto"/>
              <w:left w:val="dotted" w:sz="4" w:space="0" w:color="auto"/>
              <w:bottom w:val="dotted" w:sz="4" w:space="0" w:color="auto"/>
              <w:right w:val="dotted" w:sz="4" w:space="0" w:color="auto"/>
            </w:tcBorders>
            <w:noWrap/>
            <w:vAlign w:val="center"/>
            <w:hideMark/>
          </w:tcPr>
          <w:p w14:paraId="1A078E06" w14:textId="77777777" w:rsidR="007C46D4" w:rsidRPr="00164238" w:rsidRDefault="007C46D4">
            <w:pPr>
              <w:spacing w:after="0" w:line="240" w:lineRule="auto"/>
              <w:rPr>
                <w:rFonts w:ascii="Times New Roman" w:eastAsia="Times New Roman" w:hAnsi="Times New Roman" w:cs="Times New Roman"/>
                <w:b/>
                <w:bCs/>
                <w:color w:val="000000" w:themeColor="text1"/>
                <w:sz w:val="20"/>
                <w:szCs w:val="20"/>
              </w:rPr>
            </w:pPr>
            <w:r w:rsidRPr="00164238">
              <w:rPr>
                <w:rFonts w:ascii="Times New Roman" w:eastAsia="Times New Roman" w:hAnsi="Times New Roman" w:cs="Times New Roman"/>
                <w:b/>
                <w:bCs/>
                <w:color w:val="000000" w:themeColor="text1"/>
                <w:sz w:val="20"/>
                <w:szCs w:val="20"/>
              </w:rPr>
              <w:t>İfade</w:t>
            </w:r>
          </w:p>
        </w:tc>
        <w:tc>
          <w:tcPr>
            <w:tcW w:w="851" w:type="dxa"/>
            <w:tcBorders>
              <w:top w:val="dotted" w:sz="4" w:space="0" w:color="auto"/>
              <w:left w:val="dotted" w:sz="4" w:space="0" w:color="auto"/>
              <w:bottom w:val="dotted" w:sz="4" w:space="0" w:color="auto"/>
              <w:right w:val="dotted" w:sz="4" w:space="0" w:color="auto"/>
            </w:tcBorders>
            <w:noWrap/>
            <w:vAlign w:val="center"/>
            <w:hideMark/>
          </w:tcPr>
          <w:p w14:paraId="2EE03739" w14:textId="77777777" w:rsidR="007C46D4" w:rsidRPr="00164238" w:rsidRDefault="007C46D4">
            <w:pPr>
              <w:spacing w:after="0" w:line="240" w:lineRule="auto"/>
              <w:jc w:val="center"/>
              <w:rPr>
                <w:rFonts w:ascii="Times New Roman" w:eastAsia="Times New Roman" w:hAnsi="Times New Roman" w:cs="Times New Roman"/>
                <w:b/>
                <w:bCs/>
                <w:color w:val="000000" w:themeColor="text1"/>
                <w:sz w:val="20"/>
                <w:szCs w:val="20"/>
              </w:rPr>
            </w:pPr>
            <w:r w:rsidRPr="00164238">
              <w:rPr>
                <w:rFonts w:ascii="Times New Roman" w:eastAsia="Times New Roman" w:hAnsi="Times New Roman" w:cs="Times New Roman"/>
                <w:b/>
                <w:bCs/>
                <w:color w:val="000000" w:themeColor="text1"/>
                <w:sz w:val="20"/>
                <w:szCs w:val="20"/>
              </w:rPr>
              <w:t>Faktör Yükü</w:t>
            </w:r>
          </w:p>
        </w:tc>
        <w:tc>
          <w:tcPr>
            <w:tcW w:w="1134" w:type="dxa"/>
            <w:tcBorders>
              <w:top w:val="dotted" w:sz="4" w:space="0" w:color="auto"/>
              <w:left w:val="dotted" w:sz="4" w:space="0" w:color="auto"/>
              <w:bottom w:val="dotted" w:sz="4" w:space="0" w:color="auto"/>
              <w:right w:val="dotted" w:sz="4" w:space="0" w:color="auto"/>
            </w:tcBorders>
            <w:noWrap/>
            <w:vAlign w:val="center"/>
            <w:hideMark/>
          </w:tcPr>
          <w:p w14:paraId="6AB364A4" w14:textId="77777777" w:rsidR="007C46D4" w:rsidRPr="00164238" w:rsidRDefault="007C46D4">
            <w:pPr>
              <w:spacing w:after="0" w:line="240" w:lineRule="auto"/>
              <w:jc w:val="center"/>
              <w:rPr>
                <w:rFonts w:ascii="Times New Roman" w:eastAsia="Times New Roman" w:hAnsi="Times New Roman" w:cs="Times New Roman"/>
                <w:b/>
                <w:bCs/>
                <w:color w:val="000000" w:themeColor="text1"/>
                <w:sz w:val="20"/>
                <w:szCs w:val="20"/>
              </w:rPr>
            </w:pPr>
            <w:r w:rsidRPr="00164238">
              <w:rPr>
                <w:rFonts w:ascii="Times New Roman" w:eastAsia="Times New Roman" w:hAnsi="Times New Roman" w:cs="Times New Roman"/>
                <w:b/>
                <w:bCs/>
                <w:color w:val="000000" w:themeColor="text1"/>
                <w:sz w:val="20"/>
                <w:szCs w:val="20"/>
              </w:rPr>
              <w:t>Cronbach Alfa</w:t>
            </w:r>
          </w:p>
        </w:tc>
        <w:tc>
          <w:tcPr>
            <w:tcW w:w="709" w:type="dxa"/>
            <w:tcBorders>
              <w:top w:val="dotted" w:sz="4" w:space="0" w:color="auto"/>
              <w:left w:val="dotted" w:sz="4" w:space="0" w:color="auto"/>
              <w:bottom w:val="dotted" w:sz="4" w:space="0" w:color="auto"/>
              <w:right w:val="dotted" w:sz="4" w:space="0" w:color="auto"/>
            </w:tcBorders>
            <w:vAlign w:val="center"/>
            <w:hideMark/>
          </w:tcPr>
          <w:p w14:paraId="7F28C6BC" w14:textId="77777777" w:rsidR="007C46D4" w:rsidRPr="00164238" w:rsidRDefault="007C46D4">
            <w:pPr>
              <w:spacing w:after="0" w:line="240" w:lineRule="auto"/>
              <w:jc w:val="center"/>
              <w:rPr>
                <w:rFonts w:ascii="Times New Roman" w:eastAsia="Times New Roman" w:hAnsi="Times New Roman" w:cs="Times New Roman"/>
                <w:b/>
                <w:bCs/>
                <w:color w:val="000000" w:themeColor="text1"/>
                <w:sz w:val="20"/>
                <w:szCs w:val="20"/>
              </w:rPr>
            </w:pPr>
            <w:r w:rsidRPr="00164238">
              <w:rPr>
                <w:rFonts w:ascii="Times New Roman" w:eastAsia="Times New Roman" w:hAnsi="Times New Roman" w:cs="Times New Roman"/>
                <w:b/>
                <w:bCs/>
                <w:color w:val="000000" w:themeColor="text1"/>
                <w:sz w:val="20"/>
                <w:szCs w:val="20"/>
              </w:rPr>
              <w:t>CR</w:t>
            </w:r>
          </w:p>
        </w:tc>
        <w:tc>
          <w:tcPr>
            <w:tcW w:w="722" w:type="dxa"/>
            <w:tcBorders>
              <w:top w:val="dotted" w:sz="4" w:space="0" w:color="auto"/>
              <w:left w:val="dotted" w:sz="4" w:space="0" w:color="auto"/>
              <w:bottom w:val="dotted" w:sz="4" w:space="0" w:color="auto"/>
              <w:right w:val="dotted" w:sz="4" w:space="0" w:color="auto"/>
            </w:tcBorders>
            <w:noWrap/>
            <w:vAlign w:val="center"/>
            <w:hideMark/>
          </w:tcPr>
          <w:p w14:paraId="5A5D0E5C" w14:textId="77777777" w:rsidR="007C46D4" w:rsidRPr="00164238" w:rsidRDefault="007C46D4">
            <w:pPr>
              <w:spacing w:after="0" w:line="240" w:lineRule="auto"/>
              <w:jc w:val="center"/>
              <w:rPr>
                <w:rFonts w:ascii="Times New Roman" w:eastAsia="Times New Roman" w:hAnsi="Times New Roman" w:cs="Times New Roman"/>
                <w:b/>
                <w:bCs/>
                <w:color w:val="000000" w:themeColor="text1"/>
                <w:sz w:val="20"/>
                <w:szCs w:val="20"/>
              </w:rPr>
            </w:pPr>
            <w:r w:rsidRPr="00164238">
              <w:rPr>
                <w:rFonts w:ascii="Times New Roman" w:eastAsia="Times New Roman" w:hAnsi="Times New Roman" w:cs="Times New Roman"/>
                <w:b/>
                <w:bCs/>
                <w:color w:val="000000" w:themeColor="text1"/>
                <w:sz w:val="20"/>
                <w:szCs w:val="20"/>
              </w:rPr>
              <w:t>AVE</w:t>
            </w:r>
          </w:p>
        </w:tc>
      </w:tr>
      <w:tr w:rsidR="007C46D4" w:rsidRPr="00164238" w14:paraId="627AED1D" w14:textId="77777777" w:rsidTr="007C46D4">
        <w:trPr>
          <w:trHeight w:val="269"/>
        </w:trPr>
        <w:tc>
          <w:tcPr>
            <w:tcW w:w="704" w:type="dxa"/>
            <w:vMerge w:val="restart"/>
            <w:tcBorders>
              <w:top w:val="dotted" w:sz="4" w:space="0" w:color="auto"/>
              <w:left w:val="dotted" w:sz="4" w:space="0" w:color="auto"/>
              <w:bottom w:val="dotted" w:sz="4" w:space="0" w:color="auto"/>
              <w:right w:val="dotted" w:sz="4" w:space="0" w:color="auto"/>
            </w:tcBorders>
            <w:textDirection w:val="btLr"/>
            <w:vAlign w:val="center"/>
            <w:hideMark/>
          </w:tcPr>
          <w:p w14:paraId="0272B8F6" w14:textId="77777777" w:rsidR="007C46D4" w:rsidRPr="00164238" w:rsidRDefault="007C46D4">
            <w:pPr>
              <w:spacing w:after="0" w:line="240" w:lineRule="auto"/>
              <w:ind w:left="113" w:right="113"/>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Genel Performans Algısı</w:t>
            </w:r>
          </w:p>
        </w:tc>
        <w:tc>
          <w:tcPr>
            <w:tcW w:w="4961" w:type="dxa"/>
            <w:tcBorders>
              <w:top w:val="dotted" w:sz="4" w:space="0" w:color="auto"/>
              <w:left w:val="dotted" w:sz="4" w:space="0" w:color="auto"/>
              <w:bottom w:val="dotted" w:sz="4" w:space="0" w:color="auto"/>
              <w:right w:val="dotted" w:sz="4" w:space="0" w:color="auto"/>
            </w:tcBorders>
            <w:noWrap/>
            <w:vAlign w:val="center"/>
            <w:hideMark/>
          </w:tcPr>
          <w:p w14:paraId="062E6926" w14:textId="77777777" w:rsidR="007C46D4" w:rsidRPr="00164238" w:rsidRDefault="007C46D4">
            <w:pPr>
              <w:spacing w:after="0" w:line="240" w:lineRule="auto"/>
              <w:rPr>
                <w:rFonts w:ascii="Times New Roman" w:eastAsia="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COVID-19 döneminde evden çalışmama rağmen, görevlerimi eskiye göre daha iyi yapıyorum.</w:t>
            </w:r>
          </w:p>
        </w:tc>
        <w:tc>
          <w:tcPr>
            <w:tcW w:w="851" w:type="dxa"/>
            <w:tcBorders>
              <w:top w:val="dotted" w:sz="4" w:space="0" w:color="auto"/>
              <w:left w:val="dotted" w:sz="4" w:space="0" w:color="auto"/>
              <w:bottom w:val="dotted" w:sz="4" w:space="0" w:color="auto"/>
              <w:right w:val="dotted" w:sz="4" w:space="0" w:color="auto"/>
            </w:tcBorders>
            <w:noWrap/>
            <w:vAlign w:val="center"/>
            <w:hideMark/>
          </w:tcPr>
          <w:p w14:paraId="3D8477A0" w14:textId="77777777" w:rsidR="007C46D4" w:rsidRPr="00164238" w:rsidRDefault="007C46D4">
            <w:pPr>
              <w:spacing w:after="0" w:line="240" w:lineRule="auto"/>
              <w:jc w:val="center"/>
              <w:rPr>
                <w:rFonts w:ascii="Times New Roman" w:eastAsia="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,880</w:t>
            </w:r>
          </w:p>
        </w:tc>
        <w:tc>
          <w:tcPr>
            <w:tcW w:w="1134" w:type="dxa"/>
            <w:vMerge w:val="restart"/>
            <w:tcBorders>
              <w:top w:val="dotted" w:sz="4" w:space="0" w:color="auto"/>
              <w:left w:val="dotted" w:sz="4" w:space="0" w:color="auto"/>
              <w:bottom w:val="dotted" w:sz="4" w:space="0" w:color="auto"/>
              <w:right w:val="dotted" w:sz="4" w:space="0" w:color="auto"/>
            </w:tcBorders>
            <w:noWrap/>
            <w:vAlign w:val="center"/>
            <w:hideMark/>
          </w:tcPr>
          <w:p w14:paraId="1DEE1507" w14:textId="77777777" w:rsidR="007C46D4" w:rsidRPr="00164238" w:rsidRDefault="007C46D4">
            <w:pPr>
              <w:spacing w:after="0" w:line="240" w:lineRule="auto"/>
              <w:jc w:val="center"/>
              <w:rPr>
                <w:rFonts w:ascii="Times New Roman" w:eastAsia="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0,885</w:t>
            </w:r>
          </w:p>
        </w:tc>
        <w:tc>
          <w:tcPr>
            <w:tcW w:w="709" w:type="dxa"/>
            <w:vMerge w:val="restart"/>
            <w:tcBorders>
              <w:top w:val="dotted" w:sz="4" w:space="0" w:color="auto"/>
              <w:left w:val="dotted" w:sz="4" w:space="0" w:color="auto"/>
              <w:bottom w:val="dotted" w:sz="4" w:space="0" w:color="auto"/>
              <w:right w:val="dotted" w:sz="4" w:space="0" w:color="auto"/>
            </w:tcBorders>
            <w:vAlign w:val="center"/>
            <w:hideMark/>
          </w:tcPr>
          <w:p w14:paraId="51A964EA" w14:textId="77777777" w:rsidR="007C46D4" w:rsidRPr="00164238" w:rsidRDefault="007C46D4">
            <w:pPr>
              <w:spacing w:after="0" w:line="240" w:lineRule="auto"/>
              <w:jc w:val="center"/>
              <w:rPr>
                <w:rFonts w:ascii="Times New Roman" w:eastAsia="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0,922</w:t>
            </w:r>
          </w:p>
        </w:tc>
        <w:tc>
          <w:tcPr>
            <w:tcW w:w="722" w:type="dxa"/>
            <w:vMerge w:val="restart"/>
            <w:tcBorders>
              <w:top w:val="dotted" w:sz="4" w:space="0" w:color="auto"/>
              <w:left w:val="dotted" w:sz="4" w:space="0" w:color="auto"/>
              <w:bottom w:val="dotted" w:sz="4" w:space="0" w:color="auto"/>
              <w:right w:val="dotted" w:sz="4" w:space="0" w:color="auto"/>
            </w:tcBorders>
            <w:noWrap/>
            <w:vAlign w:val="center"/>
            <w:hideMark/>
          </w:tcPr>
          <w:p w14:paraId="6A9147C3" w14:textId="77777777" w:rsidR="007C46D4" w:rsidRPr="00164238" w:rsidRDefault="007C46D4">
            <w:pPr>
              <w:spacing w:after="0" w:line="240" w:lineRule="auto"/>
              <w:jc w:val="center"/>
              <w:rPr>
                <w:rFonts w:ascii="Times New Roman" w:eastAsia="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0,749</w:t>
            </w:r>
          </w:p>
        </w:tc>
      </w:tr>
      <w:tr w:rsidR="007C46D4" w:rsidRPr="00164238" w14:paraId="740A34D6" w14:textId="77777777" w:rsidTr="007C46D4">
        <w:trPr>
          <w:trHeight w:val="247"/>
        </w:trPr>
        <w:tc>
          <w:tcPr>
            <w:tcW w:w="704" w:type="dxa"/>
            <w:vMerge/>
            <w:tcBorders>
              <w:top w:val="dotted" w:sz="4" w:space="0" w:color="auto"/>
              <w:left w:val="dotted" w:sz="4" w:space="0" w:color="auto"/>
              <w:bottom w:val="dotted" w:sz="4" w:space="0" w:color="auto"/>
              <w:right w:val="dotted" w:sz="4" w:space="0" w:color="auto"/>
            </w:tcBorders>
            <w:vAlign w:val="center"/>
            <w:hideMark/>
          </w:tcPr>
          <w:p w14:paraId="20E7533E" w14:textId="77777777" w:rsidR="007C46D4" w:rsidRPr="00164238" w:rsidRDefault="007C46D4">
            <w:pPr>
              <w:spacing w:after="0"/>
              <w:rPr>
                <w:rFonts w:ascii="Times New Roman" w:hAnsi="Times New Roman" w:cs="Times New Roman"/>
                <w:color w:val="000000" w:themeColor="text1"/>
                <w:sz w:val="20"/>
                <w:szCs w:val="20"/>
              </w:rPr>
            </w:pPr>
          </w:p>
        </w:tc>
        <w:tc>
          <w:tcPr>
            <w:tcW w:w="4961" w:type="dxa"/>
            <w:tcBorders>
              <w:top w:val="dotted" w:sz="4" w:space="0" w:color="auto"/>
              <w:left w:val="dotted" w:sz="4" w:space="0" w:color="auto"/>
              <w:bottom w:val="dotted" w:sz="4" w:space="0" w:color="auto"/>
              <w:right w:val="dotted" w:sz="4" w:space="0" w:color="auto"/>
            </w:tcBorders>
            <w:noWrap/>
            <w:vAlign w:val="center"/>
            <w:hideMark/>
          </w:tcPr>
          <w:p w14:paraId="657145F7" w14:textId="77777777" w:rsidR="007C46D4" w:rsidRPr="00164238" w:rsidRDefault="007C46D4">
            <w:pPr>
              <w:spacing w:after="0" w:line="240" w:lineRule="auto"/>
              <w:rPr>
                <w:rFonts w:ascii="Times New Roman" w:eastAsia="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COVID-19 döneminde iş hedeflerime daha kolay ulaşıyorum.</w:t>
            </w:r>
          </w:p>
        </w:tc>
        <w:tc>
          <w:tcPr>
            <w:tcW w:w="851" w:type="dxa"/>
            <w:tcBorders>
              <w:top w:val="dotted" w:sz="4" w:space="0" w:color="auto"/>
              <w:left w:val="dotted" w:sz="4" w:space="0" w:color="auto"/>
              <w:bottom w:val="dotted" w:sz="4" w:space="0" w:color="auto"/>
              <w:right w:val="dotted" w:sz="4" w:space="0" w:color="auto"/>
            </w:tcBorders>
            <w:noWrap/>
            <w:vAlign w:val="center"/>
            <w:hideMark/>
          </w:tcPr>
          <w:p w14:paraId="459609C5" w14:textId="77777777" w:rsidR="007C46D4" w:rsidRPr="00164238" w:rsidRDefault="007C46D4">
            <w:pPr>
              <w:spacing w:after="0" w:line="240" w:lineRule="auto"/>
              <w:jc w:val="center"/>
              <w:rPr>
                <w:rFonts w:ascii="Times New Roman" w:eastAsia="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,804</w:t>
            </w:r>
          </w:p>
        </w:tc>
        <w:tc>
          <w:tcPr>
            <w:tcW w:w="1134" w:type="dxa"/>
            <w:vMerge/>
            <w:tcBorders>
              <w:top w:val="dotted" w:sz="4" w:space="0" w:color="auto"/>
              <w:left w:val="dotted" w:sz="4" w:space="0" w:color="auto"/>
              <w:bottom w:val="dotted" w:sz="4" w:space="0" w:color="auto"/>
              <w:right w:val="dotted" w:sz="4" w:space="0" w:color="auto"/>
            </w:tcBorders>
            <w:vAlign w:val="center"/>
            <w:hideMark/>
          </w:tcPr>
          <w:p w14:paraId="280199C4" w14:textId="77777777" w:rsidR="007C46D4" w:rsidRPr="00164238" w:rsidRDefault="007C46D4">
            <w:pPr>
              <w:spacing w:after="0"/>
              <w:rPr>
                <w:rFonts w:ascii="Times New Roman" w:eastAsia="Times New Roman" w:hAnsi="Times New Roman" w:cs="Times New Roman"/>
                <w:color w:val="000000" w:themeColor="text1"/>
                <w:sz w:val="20"/>
                <w:szCs w:val="20"/>
              </w:rPr>
            </w:pPr>
          </w:p>
        </w:tc>
        <w:tc>
          <w:tcPr>
            <w:tcW w:w="709" w:type="dxa"/>
            <w:vMerge/>
            <w:tcBorders>
              <w:top w:val="dotted" w:sz="4" w:space="0" w:color="auto"/>
              <w:left w:val="dotted" w:sz="4" w:space="0" w:color="auto"/>
              <w:bottom w:val="dotted" w:sz="4" w:space="0" w:color="auto"/>
              <w:right w:val="dotted" w:sz="4" w:space="0" w:color="auto"/>
            </w:tcBorders>
            <w:vAlign w:val="center"/>
            <w:hideMark/>
          </w:tcPr>
          <w:p w14:paraId="6074CDD1" w14:textId="77777777" w:rsidR="007C46D4" w:rsidRPr="00164238" w:rsidRDefault="007C46D4">
            <w:pPr>
              <w:spacing w:after="0"/>
              <w:rPr>
                <w:rFonts w:ascii="Times New Roman" w:eastAsia="Times New Roman" w:hAnsi="Times New Roman" w:cs="Times New Roman"/>
                <w:color w:val="000000" w:themeColor="text1"/>
                <w:sz w:val="20"/>
                <w:szCs w:val="20"/>
              </w:rPr>
            </w:pPr>
          </w:p>
        </w:tc>
        <w:tc>
          <w:tcPr>
            <w:tcW w:w="722" w:type="dxa"/>
            <w:vMerge/>
            <w:tcBorders>
              <w:top w:val="dotted" w:sz="4" w:space="0" w:color="auto"/>
              <w:left w:val="dotted" w:sz="4" w:space="0" w:color="auto"/>
              <w:bottom w:val="dotted" w:sz="4" w:space="0" w:color="auto"/>
              <w:right w:val="dotted" w:sz="4" w:space="0" w:color="auto"/>
            </w:tcBorders>
            <w:vAlign w:val="center"/>
            <w:hideMark/>
          </w:tcPr>
          <w:p w14:paraId="7C08AE0D" w14:textId="77777777" w:rsidR="007C46D4" w:rsidRPr="00164238" w:rsidRDefault="007C46D4">
            <w:pPr>
              <w:spacing w:after="0"/>
              <w:rPr>
                <w:rFonts w:ascii="Times New Roman" w:eastAsia="Times New Roman" w:hAnsi="Times New Roman" w:cs="Times New Roman"/>
                <w:color w:val="000000" w:themeColor="text1"/>
                <w:sz w:val="20"/>
                <w:szCs w:val="20"/>
              </w:rPr>
            </w:pPr>
          </w:p>
        </w:tc>
      </w:tr>
      <w:tr w:rsidR="007C46D4" w:rsidRPr="00164238" w14:paraId="4A32D5D6" w14:textId="77777777" w:rsidTr="007C46D4">
        <w:trPr>
          <w:trHeight w:val="247"/>
        </w:trPr>
        <w:tc>
          <w:tcPr>
            <w:tcW w:w="704" w:type="dxa"/>
            <w:vMerge/>
            <w:tcBorders>
              <w:top w:val="dotted" w:sz="4" w:space="0" w:color="auto"/>
              <w:left w:val="dotted" w:sz="4" w:space="0" w:color="auto"/>
              <w:bottom w:val="dotted" w:sz="4" w:space="0" w:color="auto"/>
              <w:right w:val="dotted" w:sz="4" w:space="0" w:color="auto"/>
            </w:tcBorders>
            <w:vAlign w:val="center"/>
            <w:hideMark/>
          </w:tcPr>
          <w:p w14:paraId="4699E95B" w14:textId="77777777" w:rsidR="007C46D4" w:rsidRPr="00164238" w:rsidRDefault="007C46D4">
            <w:pPr>
              <w:spacing w:after="0"/>
              <w:rPr>
                <w:rFonts w:ascii="Times New Roman" w:hAnsi="Times New Roman" w:cs="Times New Roman"/>
                <w:color w:val="000000" w:themeColor="text1"/>
                <w:sz w:val="20"/>
                <w:szCs w:val="20"/>
              </w:rPr>
            </w:pPr>
          </w:p>
        </w:tc>
        <w:tc>
          <w:tcPr>
            <w:tcW w:w="4961" w:type="dxa"/>
            <w:tcBorders>
              <w:top w:val="dotted" w:sz="4" w:space="0" w:color="auto"/>
              <w:left w:val="dotted" w:sz="4" w:space="0" w:color="auto"/>
              <w:bottom w:val="dotted" w:sz="4" w:space="0" w:color="auto"/>
              <w:right w:val="dotted" w:sz="4" w:space="0" w:color="auto"/>
            </w:tcBorders>
            <w:noWrap/>
            <w:vAlign w:val="center"/>
            <w:hideMark/>
          </w:tcPr>
          <w:p w14:paraId="199A2C64" w14:textId="77777777" w:rsidR="007C46D4" w:rsidRPr="00164238" w:rsidRDefault="007C46D4">
            <w:pPr>
              <w:spacing w:after="0" w:line="240" w:lineRule="auto"/>
              <w:rPr>
                <w:rFonts w:ascii="Times New Roman" w:eastAsia="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COVID-19 döneminde, sunduğum hizmetin kalitesi, önceki döneme göre çok daha yüksektir.</w:t>
            </w:r>
          </w:p>
        </w:tc>
        <w:tc>
          <w:tcPr>
            <w:tcW w:w="851" w:type="dxa"/>
            <w:tcBorders>
              <w:top w:val="dotted" w:sz="4" w:space="0" w:color="auto"/>
              <w:left w:val="dotted" w:sz="4" w:space="0" w:color="auto"/>
              <w:bottom w:val="dotted" w:sz="4" w:space="0" w:color="auto"/>
              <w:right w:val="dotted" w:sz="4" w:space="0" w:color="auto"/>
            </w:tcBorders>
            <w:noWrap/>
            <w:vAlign w:val="center"/>
            <w:hideMark/>
          </w:tcPr>
          <w:p w14:paraId="4AA5B41F" w14:textId="77777777" w:rsidR="007C46D4" w:rsidRPr="00164238" w:rsidRDefault="007C46D4">
            <w:pPr>
              <w:spacing w:after="0" w:line="240" w:lineRule="auto"/>
              <w:jc w:val="center"/>
              <w:rPr>
                <w:rFonts w:ascii="Times New Roman" w:eastAsia="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,893</w:t>
            </w:r>
          </w:p>
        </w:tc>
        <w:tc>
          <w:tcPr>
            <w:tcW w:w="1134" w:type="dxa"/>
            <w:vMerge/>
            <w:tcBorders>
              <w:top w:val="dotted" w:sz="4" w:space="0" w:color="auto"/>
              <w:left w:val="dotted" w:sz="4" w:space="0" w:color="auto"/>
              <w:bottom w:val="dotted" w:sz="4" w:space="0" w:color="auto"/>
              <w:right w:val="dotted" w:sz="4" w:space="0" w:color="auto"/>
            </w:tcBorders>
            <w:vAlign w:val="center"/>
            <w:hideMark/>
          </w:tcPr>
          <w:p w14:paraId="51FBE127" w14:textId="77777777" w:rsidR="007C46D4" w:rsidRPr="00164238" w:rsidRDefault="007C46D4">
            <w:pPr>
              <w:spacing w:after="0"/>
              <w:rPr>
                <w:rFonts w:ascii="Times New Roman" w:eastAsia="Times New Roman" w:hAnsi="Times New Roman" w:cs="Times New Roman"/>
                <w:color w:val="000000" w:themeColor="text1"/>
                <w:sz w:val="20"/>
                <w:szCs w:val="20"/>
              </w:rPr>
            </w:pPr>
          </w:p>
        </w:tc>
        <w:tc>
          <w:tcPr>
            <w:tcW w:w="709" w:type="dxa"/>
            <w:vMerge/>
            <w:tcBorders>
              <w:top w:val="dotted" w:sz="4" w:space="0" w:color="auto"/>
              <w:left w:val="dotted" w:sz="4" w:space="0" w:color="auto"/>
              <w:bottom w:val="dotted" w:sz="4" w:space="0" w:color="auto"/>
              <w:right w:val="dotted" w:sz="4" w:space="0" w:color="auto"/>
            </w:tcBorders>
            <w:vAlign w:val="center"/>
            <w:hideMark/>
          </w:tcPr>
          <w:p w14:paraId="46F9717B" w14:textId="77777777" w:rsidR="007C46D4" w:rsidRPr="00164238" w:rsidRDefault="007C46D4">
            <w:pPr>
              <w:spacing w:after="0"/>
              <w:rPr>
                <w:rFonts w:ascii="Times New Roman" w:eastAsia="Times New Roman" w:hAnsi="Times New Roman" w:cs="Times New Roman"/>
                <w:color w:val="000000" w:themeColor="text1"/>
                <w:sz w:val="20"/>
                <w:szCs w:val="20"/>
              </w:rPr>
            </w:pPr>
          </w:p>
        </w:tc>
        <w:tc>
          <w:tcPr>
            <w:tcW w:w="722" w:type="dxa"/>
            <w:vMerge/>
            <w:tcBorders>
              <w:top w:val="dotted" w:sz="4" w:space="0" w:color="auto"/>
              <w:left w:val="dotted" w:sz="4" w:space="0" w:color="auto"/>
              <w:bottom w:val="dotted" w:sz="4" w:space="0" w:color="auto"/>
              <w:right w:val="dotted" w:sz="4" w:space="0" w:color="auto"/>
            </w:tcBorders>
            <w:vAlign w:val="center"/>
            <w:hideMark/>
          </w:tcPr>
          <w:p w14:paraId="6A834D21" w14:textId="77777777" w:rsidR="007C46D4" w:rsidRPr="00164238" w:rsidRDefault="007C46D4">
            <w:pPr>
              <w:spacing w:after="0"/>
              <w:rPr>
                <w:rFonts w:ascii="Times New Roman" w:eastAsia="Times New Roman" w:hAnsi="Times New Roman" w:cs="Times New Roman"/>
                <w:color w:val="000000" w:themeColor="text1"/>
                <w:sz w:val="20"/>
                <w:szCs w:val="20"/>
              </w:rPr>
            </w:pPr>
          </w:p>
        </w:tc>
      </w:tr>
      <w:tr w:rsidR="007C46D4" w:rsidRPr="00164238" w14:paraId="07BE1458" w14:textId="77777777" w:rsidTr="007C46D4">
        <w:trPr>
          <w:trHeight w:val="269"/>
        </w:trPr>
        <w:tc>
          <w:tcPr>
            <w:tcW w:w="704" w:type="dxa"/>
            <w:vMerge/>
            <w:tcBorders>
              <w:top w:val="dotted" w:sz="4" w:space="0" w:color="auto"/>
              <w:left w:val="dotted" w:sz="4" w:space="0" w:color="auto"/>
              <w:bottom w:val="dotted" w:sz="4" w:space="0" w:color="auto"/>
              <w:right w:val="dotted" w:sz="4" w:space="0" w:color="auto"/>
            </w:tcBorders>
            <w:vAlign w:val="center"/>
            <w:hideMark/>
          </w:tcPr>
          <w:p w14:paraId="1B424D55" w14:textId="77777777" w:rsidR="007C46D4" w:rsidRPr="00164238" w:rsidRDefault="007C46D4">
            <w:pPr>
              <w:spacing w:after="0"/>
              <w:rPr>
                <w:rFonts w:ascii="Times New Roman" w:hAnsi="Times New Roman" w:cs="Times New Roman"/>
                <w:color w:val="000000" w:themeColor="text1"/>
                <w:sz w:val="20"/>
                <w:szCs w:val="20"/>
              </w:rPr>
            </w:pPr>
          </w:p>
        </w:tc>
        <w:tc>
          <w:tcPr>
            <w:tcW w:w="4961" w:type="dxa"/>
            <w:tcBorders>
              <w:top w:val="dotted" w:sz="4" w:space="0" w:color="auto"/>
              <w:left w:val="dotted" w:sz="4" w:space="0" w:color="auto"/>
              <w:bottom w:val="dotted" w:sz="4" w:space="0" w:color="auto"/>
              <w:right w:val="dotted" w:sz="4" w:space="0" w:color="auto"/>
            </w:tcBorders>
            <w:noWrap/>
            <w:vAlign w:val="center"/>
            <w:hideMark/>
          </w:tcPr>
          <w:p w14:paraId="599D8082" w14:textId="77777777" w:rsidR="007C46D4" w:rsidRPr="00164238" w:rsidRDefault="007C46D4">
            <w:pPr>
              <w:spacing w:after="0" w:line="240" w:lineRule="auto"/>
              <w:rPr>
                <w:rFonts w:ascii="Times New Roman" w:eastAsia="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COVID-19 döneminde, önceki döneme nazaran problemlere daha çabuk çözüm üretiyorum.</w:t>
            </w:r>
          </w:p>
        </w:tc>
        <w:tc>
          <w:tcPr>
            <w:tcW w:w="851" w:type="dxa"/>
            <w:tcBorders>
              <w:top w:val="dotted" w:sz="4" w:space="0" w:color="auto"/>
              <w:left w:val="dotted" w:sz="4" w:space="0" w:color="auto"/>
              <w:bottom w:val="dotted" w:sz="4" w:space="0" w:color="auto"/>
              <w:right w:val="dotted" w:sz="4" w:space="0" w:color="auto"/>
            </w:tcBorders>
            <w:noWrap/>
            <w:vAlign w:val="center"/>
            <w:hideMark/>
          </w:tcPr>
          <w:p w14:paraId="0A57D1C6" w14:textId="77777777" w:rsidR="007C46D4" w:rsidRPr="00164238" w:rsidRDefault="007C46D4">
            <w:pPr>
              <w:spacing w:after="0" w:line="240" w:lineRule="auto"/>
              <w:jc w:val="center"/>
              <w:rPr>
                <w:rFonts w:ascii="Times New Roman" w:eastAsia="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,881</w:t>
            </w:r>
          </w:p>
        </w:tc>
        <w:tc>
          <w:tcPr>
            <w:tcW w:w="1134" w:type="dxa"/>
            <w:vMerge/>
            <w:tcBorders>
              <w:top w:val="dotted" w:sz="4" w:space="0" w:color="auto"/>
              <w:left w:val="dotted" w:sz="4" w:space="0" w:color="auto"/>
              <w:bottom w:val="dotted" w:sz="4" w:space="0" w:color="auto"/>
              <w:right w:val="dotted" w:sz="4" w:space="0" w:color="auto"/>
            </w:tcBorders>
            <w:vAlign w:val="center"/>
            <w:hideMark/>
          </w:tcPr>
          <w:p w14:paraId="66174489" w14:textId="77777777" w:rsidR="007C46D4" w:rsidRPr="00164238" w:rsidRDefault="007C46D4">
            <w:pPr>
              <w:spacing w:after="0"/>
              <w:rPr>
                <w:rFonts w:ascii="Times New Roman" w:eastAsia="Times New Roman" w:hAnsi="Times New Roman" w:cs="Times New Roman"/>
                <w:color w:val="000000" w:themeColor="text1"/>
                <w:sz w:val="20"/>
                <w:szCs w:val="20"/>
              </w:rPr>
            </w:pPr>
          </w:p>
        </w:tc>
        <w:tc>
          <w:tcPr>
            <w:tcW w:w="709" w:type="dxa"/>
            <w:vMerge/>
            <w:tcBorders>
              <w:top w:val="dotted" w:sz="4" w:space="0" w:color="auto"/>
              <w:left w:val="dotted" w:sz="4" w:space="0" w:color="auto"/>
              <w:bottom w:val="dotted" w:sz="4" w:space="0" w:color="auto"/>
              <w:right w:val="dotted" w:sz="4" w:space="0" w:color="auto"/>
            </w:tcBorders>
            <w:vAlign w:val="center"/>
            <w:hideMark/>
          </w:tcPr>
          <w:p w14:paraId="25AD3109" w14:textId="77777777" w:rsidR="007C46D4" w:rsidRPr="00164238" w:rsidRDefault="007C46D4">
            <w:pPr>
              <w:spacing w:after="0"/>
              <w:rPr>
                <w:rFonts w:ascii="Times New Roman" w:eastAsia="Times New Roman" w:hAnsi="Times New Roman" w:cs="Times New Roman"/>
                <w:color w:val="000000" w:themeColor="text1"/>
                <w:sz w:val="20"/>
                <w:szCs w:val="20"/>
              </w:rPr>
            </w:pPr>
          </w:p>
        </w:tc>
        <w:tc>
          <w:tcPr>
            <w:tcW w:w="722" w:type="dxa"/>
            <w:vMerge/>
            <w:tcBorders>
              <w:top w:val="dotted" w:sz="4" w:space="0" w:color="auto"/>
              <w:left w:val="dotted" w:sz="4" w:space="0" w:color="auto"/>
              <w:bottom w:val="dotted" w:sz="4" w:space="0" w:color="auto"/>
              <w:right w:val="dotted" w:sz="4" w:space="0" w:color="auto"/>
            </w:tcBorders>
            <w:vAlign w:val="center"/>
            <w:hideMark/>
          </w:tcPr>
          <w:p w14:paraId="003EE404" w14:textId="77777777" w:rsidR="007C46D4" w:rsidRPr="00164238" w:rsidRDefault="007C46D4">
            <w:pPr>
              <w:spacing w:after="0"/>
              <w:rPr>
                <w:rFonts w:ascii="Times New Roman" w:eastAsia="Times New Roman" w:hAnsi="Times New Roman" w:cs="Times New Roman"/>
                <w:color w:val="000000" w:themeColor="text1"/>
                <w:sz w:val="20"/>
                <w:szCs w:val="20"/>
              </w:rPr>
            </w:pPr>
          </w:p>
        </w:tc>
      </w:tr>
      <w:tr w:rsidR="007C46D4" w:rsidRPr="00164238" w14:paraId="7FE25870" w14:textId="77777777" w:rsidTr="007C46D4">
        <w:trPr>
          <w:trHeight w:val="247"/>
        </w:trPr>
        <w:tc>
          <w:tcPr>
            <w:tcW w:w="704" w:type="dxa"/>
            <w:vMerge w:val="restart"/>
            <w:tcBorders>
              <w:top w:val="dotted" w:sz="4" w:space="0" w:color="auto"/>
              <w:left w:val="dotted" w:sz="4" w:space="0" w:color="auto"/>
              <w:bottom w:val="dotted" w:sz="4" w:space="0" w:color="auto"/>
              <w:right w:val="dotted" w:sz="4" w:space="0" w:color="auto"/>
            </w:tcBorders>
            <w:textDirection w:val="btLr"/>
            <w:vAlign w:val="center"/>
            <w:hideMark/>
          </w:tcPr>
          <w:p w14:paraId="221F31DD" w14:textId="77777777" w:rsidR="007C46D4" w:rsidRPr="00164238" w:rsidRDefault="007C46D4">
            <w:pPr>
              <w:spacing w:after="0" w:line="240" w:lineRule="auto"/>
              <w:ind w:left="113" w:right="113"/>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Spesifik Performans Algısı</w:t>
            </w:r>
          </w:p>
        </w:tc>
        <w:tc>
          <w:tcPr>
            <w:tcW w:w="4961" w:type="dxa"/>
            <w:tcBorders>
              <w:top w:val="dotted" w:sz="4" w:space="0" w:color="auto"/>
              <w:left w:val="dotted" w:sz="4" w:space="0" w:color="auto"/>
              <w:bottom w:val="dotted" w:sz="4" w:space="0" w:color="auto"/>
              <w:right w:val="dotted" w:sz="4" w:space="0" w:color="auto"/>
            </w:tcBorders>
            <w:noWrap/>
            <w:vAlign w:val="center"/>
            <w:hideMark/>
          </w:tcPr>
          <w:p w14:paraId="21C8AE7D" w14:textId="77777777" w:rsidR="007C46D4" w:rsidRPr="00164238" w:rsidRDefault="007C46D4">
            <w:pPr>
              <w:spacing w:after="0" w:line="240" w:lineRule="auto"/>
              <w:rPr>
                <w:rFonts w:ascii="Times New Roman" w:eastAsia="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COVID-19 döneminde, müşterilere yanıt verirken güncellenen bilgileri hemen alıp kullanmamda problem yaşamıyorum.</w:t>
            </w:r>
          </w:p>
        </w:tc>
        <w:tc>
          <w:tcPr>
            <w:tcW w:w="851" w:type="dxa"/>
            <w:tcBorders>
              <w:top w:val="dotted" w:sz="4" w:space="0" w:color="auto"/>
              <w:left w:val="dotted" w:sz="4" w:space="0" w:color="auto"/>
              <w:bottom w:val="dotted" w:sz="4" w:space="0" w:color="auto"/>
              <w:right w:val="dotted" w:sz="4" w:space="0" w:color="auto"/>
            </w:tcBorders>
            <w:noWrap/>
            <w:vAlign w:val="center"/>
            <w:hideMark/>
          </w:tcPr>
          <w:p w14:paraId="2ADAB961" w14:textId="77777777" w:rsidR="007C46D4" w:rsidRPr="00164238" w:rsidRDefault="007C46D4">
            <w:pPr>
              <w:spacing w:after="0" w:line="240" w:lineRule="auto"/>
              <w:jc w:val="center"/>
              <w:rPr>
                <w:rFonts w:ascii="Times New Roman" w:eastAsia="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,537</w:t>
            </w:r>
          </w:p>
        </w:tc>
        <w:tc>
          <w:tcPr>
            <w:tcW w:w="1134" w:type="dxa"/>
            <w:vMerge w:val="restart"/>
            <w:tcBorders>
              <w:top w:val="dotted" w:sz="4" w:space="0" w:color="auto"/>
              <w:left w:val="dotted" w:sz="4" w:space="0" w:color="auto"/>
              <w:bottom w:val="dotted" w:sz="4" w:space="0" w:color="auto"/>
              <w:right w:val="dotted" w:sz="4" w:space="0" w:color="auto"/>
            </w:tcBorders>
            <w:noWrap/>
            <w:vAlign w:val="center"/>
            <w:hideMark/>
          </w:tcPr>
          <w:p w14:paraId="240696C5" w14:textId="77777777" w:rsidR="007C46D4" w:rsidRPr="00164238" w:rsidRDefault="007C46D4">
            <w:pPr>
              <w:spacing w:after="0" w:line="240" w:lineRule="auto"/>
              <w:jc w:val="center"/>
              <w:rPr>
                <w:rFonts w:ascii="Times New Roman" w:eastAsia="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0,907</w:t>
            </w:r>
          </w:p>
        </w:tc>
        <w:tc>
          <w:tcPr>
            <w:tcW w:w="709" w:type="dxa"/>
            <w:vMerge w:val="restart"/>
            <w:tcBorders>
              <w:top w:val="dotted" w:sz="4" w:space="0" w:color="auto"/>
              <w:left w:val="dotted" w:sz="4" w:space="0" w:color="auto"/>
              <w:bottom w:val="dotted" w:sz="4" w:space="0" w:color="auto"/>
              <w:right w:val="dotted" w:sz="4" w:space="0" w:color="auto"/>
            </w:tcBorders>
            <w:vAlign w:val="center"/>
            <w:hideMark/>
          </w:tcPr>
          <w:p w14:paraId="2BD2BB34" w14:textId="77777777" w:rsidR="007C46D4" w:rsidRPr="00164238" w:rsidRDefault="007C46D4">
            <w:pPr>
              <w:spacing w:after="0" w:line="240" w:lineRule="auto"/>
              <w:jc w:val="center"/>
              <w:rPr>
                <w:rFonts w:ascii="Times New Roman" w:eastAsia="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0,869</w:t>
            </w:r>
          </w:p>
        </w:tc>
        <w:tc>
          <w:tcPr>
            <w:tcW w:w="722" w:type="dxa"/>
            <w:vMerge w:val="restart"/>
            <w:tcBorders>
              <w:top w:val="dotted" w:sz="4" w:space="0" w:color="auto"/>
              <w:left w:val="dotted" w:sz="4" w:space="0" w:color="auto"/>
              <w:bottom w:val="dotted" w:sz="4" w:space="0" w:color="auto"/>
              <w:right w:val="dotted" w:sz="4" w:space="0" w:color="auto"/>
            </w:tcBorders>
            <w:noWrap/>
            <w:vAlign w:val="center"/>
            <w:hideMark/>
          </w:tcPr>
          <w:p w14:paraId="4E647B7D" w14:textId="77777777" w:rsidR="007C46D4" w:rsidRPr="00164238" w:rsidRDefault="007C46D4">
            <w:pPr>
              <w:spacing w:after="0" w:line="240" w:lineRule="auto"/>
              <w:jc w:val="center"/>
              <w:rPr>
                <w:rFonts w:ascii="Times New Roman" w:eastAsia="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0,632</w:t>
            </w:r>
          </w:p>
        </w:tc>
      </w:tr>
      <w:tr w:rsidR="007C46D4" w:rsidRPr="00164238" w14:paraId="1DE6F753" w14:textId="77777777" w:rsidTr="007C46D4">
        <w:trPr>
          <w:trHeight w:val="247"/>
        </w:trPr>
        <w:tc>
          <w:tcPr>
            <w:tcW w:w="704" w:type="dxa"/>
            <w:vMerge/>
            <w:tcBorders>
              <w:top w:val="dotted" w:sz="4" w:space="0" w:color="auto"/>
              <w:left w:val="dotted" w:sz="4" w:space="0" w:color="auto"/>
              <w:bottom w:val="dotted" w:sz="4" w:space="0" w:color="auto"/>
              <w:right w:val="dotted" w:sz="4" w:space="0" w:color="auto"/>
            </w:tcBorders>
            <w:vAlign w:val="center"/>
            <w:hideMark/>
          </w:tcPr>
          <w:p w14:paraId="2967CA1C" w14:textId="77777777" w:rsidR="007C46D4" w:rsidRPr="00164238" w:rsidRDefault="007C46D4">
            <w:pPr>
              <w:spacing w:after="0"/>
              <w:rPr>
                <w:rFonts w:ascii="Times New Roman" w:hAnsi="Times New Roman" w:cs="Times New Roman"/>
                <w:color w:val="000000" w:themeColor="text1"/>
                <w:sz w:val="20"/>
                <w:szCs w:val="20"/>
              </w:rPr>
            </w:pPr>
          </w:p>
        </w:tc>
        <w:tc>
          <w:tcPr>
            <w:tcW w:w="4961" w:type="dxa"/>
            <w:tcBorders>
              <w:top w:val="dotted" w:sz="4" w:space="0" w:color="auto"/>
              <w:left w:val="dotted" w:sz="4" w:space="0" w:color="auto"/>
              <w:bottom w:val="dotted" w:sz="4" w:space="0" w:color="auto"/>
              <w:right w:val="dotted" w:sz="4" w:space="0" w:color="auto"/>
            </w:tcBorders>
            <w:noWrap/>
            <w:vAlign w:val="center"/>
            <w:hideMark/>
          </w:tcPr>
          <w:p w14:paraId="0DC14CBF" w14:textId="77777777" w:rsidR="007C46D4" w:rsidRPr="00164238" w:rsidRDefault="007C46D4">
            <w:pPr>
              <w:spacing w:after="0" w:line="240" w:lineRule="auto"/>
              <w:rPr>
                <w:rFonts w:ascii="Times New Roman" w:eastAsia="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COVID-19 döneminde işlem sürem, önceki döneme göre iyileşmiştir.</w:t>
            </w:r>
          </w:p>
        </w:tc>
        <w:tc>
          <w:tcPr>
            <w:tcW w:w="851" w:type="dxa"/>
            <w:tcBorders>
              <w:top w:val="dotted" w:sz="4" w:space="0" w:color="auto"/>
              <w:left w:val="dotted" w:sz="4" w:space="0" w:color="auto"/>
              <w:bottom w:val="dotted" w:sz="4" w:space="0" w:color="auto"/>
              <w:right w:val="dotted" w:sz="4" w:space="0" w:color="auto"/>
            </w:tcBorders>
            <w:noWrap/>
            <w:vAlign w:val="center"/>
            <w:hideMark/>
          </w:tcPr>
          <w:p w14:paraId="4BA9F42F" w14:textId="77777777" w:rsidR="007C46D4" w:rsidRPr="00164238" w:rsidRDefault="007C46D4">
            <w:pPr>
              <w:spacing w:after="0" w:line="240" w:lineRule="auto"/>
              <w:jc w:val="center"/>
              <w:rPr>
                <w:rFonts w:ascii="Times New Roman" w:eastAsia="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,857</w:t>
            </w:r>
          </w:p>
        </w:tc>
        <w:tc>
          <w:tcPr>
            <w:tcW w:w="1134" w:type="dxa"/>
            <w:vMerge/>
            <w:tcBorders>
              <w:top w:val="dotted" w:sz="4" w:space="0" w:color="auto"/>
              <w:left w:val="dotted" w:sz="4" w:space="0" w:color="auto"/>
              <w:bottom w:val="dotted" w:sz="4" w:space="0" w:color="auto"/>
              <w:right w:val="dotted" w:sz="4" w:space="0" w:color="auto"/>
            </w:tcBorders>
            <w:vAlign w:val="center"/>
            <w:hideMark/>
          </w:tcPr>
          <w:p w14:paraId="52097CC6" w14:textId="77777777" w:rsidR="007C46D4" w:rsidRPr="00164238" w:rsidRDefault="007C46D4">
            <w:pPr>
              <w:spacing w:after="0"/>
              <w:rPr>
                <w:rFonts w:ascii="Times New Roman" w:eastAsia="Times New Roman" w:hAnsi="Times New Roman" w:cs="Times New Roman"/>
                <w:color w:val="000000" w:themeColor="text1"/>
                <w:sz w:val="20"/>
                <w:szCs w:val="20"/>
              </w:rPr>
            </w:pPr>
          </w:p>
        </w:tc>
        <w:tc>
          <w:tcPr>
            <w:tcW w:w="709" w:type="dxa"/>
            <w:vMerge/>
            <w:tcBorders>
              <w:top w:val="dotted" w:sz="4" w:space="0" w:color="auto"/>
              <w:left w:val="dotted" w:sz="4" w:space="0" w:color="auto"/>
              <w:bottom w:val="dotted" w:sz="4" w:space="0" w:color="auto"/>
              <w:right w:val="dotted" w:sz="4" w:space="0" w:color="auto"/>
            </w:tcBorders>
            <w:vAlign w:val="center"/>
            <w:hideMark/>
          </w:tcPr>
          <w:p w14:paraId="51049FA1" w14:textId="77777777" w:rsidR="007C46D4" w:rsidRPr="00164238" w:rsidRDefault="007C46D4">
            <w:pPr>
              <w:spacing w:after="0"/>
              <w:rPr>
                <w:rFonts w:ascii="Times New Roman" w:eastAsia="Times New Roman" w:hAnsi="Times New Roman" w:cs="Times New Roman"/>
                <w:color w:val="000000" w:themeColor="text1"/>
                <w:sz w:val="20"/>
                <w:szCs w:val="20"/>
              </w:rPr>
            </w:pPr>
          </w:p>
        </w:tc>
        <w:tc>
          <w:tcPr>
            <w:tcW w:w="722" w:type="dxa"/>
            <w:vMerge/>
            <w:tcBorders>
              <w:top w:val="dotted" w:sz="4" w:space="0" w:color="auto"/>
              <w:left w:val="dotted" w:sz="4" w:space="0" w:color="auto"/>
              <w:bottom w:val="dotted" w:sz="4" w:space="0" w:color="auto"/>
              <w:right w:val="dotted" w:sz="4" w:space="0" w:color="auto"/>
            </w:tcBorders>
            <w:vAlign w:val="center"/>
            <w:hideMark/>
          </w:tcPr>
          <w:p w14:paraId="396CCC50" w14:textId="77777777" w:rsidR="007C46D4" w:rsidRPr="00164238" w:rsidRDefault="007C46D4">
            <w:pPr>
              <w:spacing w:after="0"/>
              <w:rPr>
                <w:rFonts w:ascii="Times New Roman" w:eastAsia="Times New Roman" w:hAnsi="Times New Roman" w:cs="Times New Roman"/>
                <w:color w:val="000000" w:themeColor="text1"/>
                <w:sz w:val="20"/>
                <w:szCs w:val="20"/>
              </w:rPr>
            </w:pPr>
          </w:p>
        </w:tc>
      </w:tr>
      <w:tr w:rsidR="007C46D4" w:rsidRPr="00164238" w14:paraId="55464DC3" w14:textId="77777777" w:rsidTr="007C46D4">
        <w:trPr>
          <w:trHeight w:val="269"/>
        </w:trPr>
        <w:tc>
          <w:tcPr>
            <w:tcW w:w="704" w:type="dxa"/>
            <w:vMerge/>
            <w:tcBorders>
              <w:top w:val="dotted" w:sz="4" w:space="0" w:color="auto"/>
              <w:left w:val="dotted" w:sz="4" w:space="0" w:color="auto"/>
              <w:bottom w:val="dotted" w:sz="4" w:space="0" w:color="auto"/>
              <w:right w:val="dotted" w:sz="4" w:space="0" w:color="auto"/>
            </w:tcBorders>
            <w:vAlign w:val="center"/>
            <w:hideMark/>
          </w:tcPr>
          <w:p w14:paraId="40AAF1F6" w14:textId="77777777" w:rsidR="007C46D4" w:rsidRPr="00164238" w:rsidRDefault="007C46D4">
            <w:pPr>
              <w:spacing w:after="0"/>
              <w:rPr>
                <w:rFonts w:ascii="Times New Roman" w:hAnsi="Times New Roman" w:cs="Times New Roman"/>
                <w:color w:val="000000" w:themeColor="text1"/>
                <w:sz w:val="20"/>
                <w:szCs w:val="20"/>
              </w:rPr>
            </w:pPr>
          </w:p>
        </w:tc>
        <w:tc>
          <w:tcPr>
            <w:tcW w:w="4961" w:type="dxa"/>
            <w:tcBorders>
              <w:top w:val="dotted" w:sz="4" w:space="0" w:color="auto"/>
              <w:left w:val="dotted" w:sz="4" w:space="0" w:color="auto"/>
              <w:bottom w:val="dotted" w:sz="4" w:space="0" w:color="auto"/>
              <w:right w:val="dotted" w:sz="4" w:space="0" w:color="auto"/>
            </w:tcBorders>
            <w:noWrap/>
            <w:vAlign w:val="center"/>
            <w:hideMark/>
          </w:tcPr>
          <w:p w14:paraId="791136CA" w14:textId="77777777" w:rsidR="007C46D4" w:rsidRPr="00164238" w:rsidRDefault="007C46D4">
            <w:pPr>
              <w:spacing w:after="0" w:line="240" w:lineRule="auto"/>
              <w:rPr>
                <w:rFonts w:ascii="Times New Roman" w:eastAsia="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COVID-19 döneminde müşteri sorunlarına çözüm üretmem, önceki döneme göre daha iyi bir seviyeye gelmiştir.</w:t>
            </w:r>
          </w:p>
        </w:tc>
        <w:tc>
          <w:tcPr>
            <w:tcW w:w="851" w:type="dxa"/>
            <w:tcBorders>
              <w:top w:val="dotted" w:sz="4" w:space="0" w:color="auto"/>
              <w:left w:val="dotted" w:sz="4" w:space="0" w:color="auto"/>
              <w:bottom w:val="dotted" w:sz="4" w:space="0" w:color="auto"/>
              <w:right w:val="dotted" w:sz="4" w:space="0" w:color="auto"/>
            </w:tcBorders>
            <w:noWrap/>
            <w:vAlign w:val="center"/>
            <w:hideMark/>
          </w:tcPr>
          <w:p w14:paraId="246FEE14" w14:textId="77777777" w:rsidR="007C46D4" w:rsidRPr="00164238" w:rsidRDefault="007C46D4">
            <w:pPr>
              <w:spacing w:after="0" w:line="240" w:lineRule="auto"/>
              <w:jc w:val="center"/>
              <w:rPr>
                <w:rFonts w:ascii="Times New Roman" w:eastAsia="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,892</w:t>
            </w:r>
          </w:p>
        </w:tc>
        <w:tc>
          <w:tcPr>
            <w:tcW w:w="1134" w:type="dxa"/>
            <w:vMerge/>
            <w:tcBorders>
              <w:top w:val="dotted" w:sz="4" w:space="0" w:color="auto"/>
              <w:left w:val="dotted" w:sz="4" w:space="0" w:color="auto"/>
              <w:bottom w:val="dotted" w:sz="4" w:space="0" w:color="auto"/>
              <w:right w:val="dotted" w:sz="4" w:space="0" w:color="auto"/>
            </w:tcBorders>
            <w:vAlign w:val="center"/>
            <w:hideMark/>
          </w:tcPr>
          <w:p w14:paraId="750D3121" w14:textId="77777777" w:rsidR="007C46D4" w:rsidRPr="00164238" w:rsidRDefault="007C46D4">
            <w:pPr>
              <w:spacing w:after="0"/>
              <w:rPr>
                <w:rFonts w:ascii="Times New Roman" w:eastAsia="Times New Roman" w:hAnsi="Times New Roman" w:cs="Times New Roman"/>
                <w:color w:val="000000" w:themeColor="text1"/>
                <w:sz w:val="20"/>
                <w:szCs w:val="20"/>
              </w:rPr>
            </w:pPr>
          </w:p>
        </w:tc>
        <w:tc>
          <w:tcPr>
            <w:tcW w:w="709" w:type="dxa"/>
            <w:vMerge/>
            <w:tcBorders>
              <w:top w:val="dotted" w:sz="4" w:space="0" w:color="auto"/>
              <w:left w:val="dotted" w:sz="4" w:space="0" w:color="auto"/>
              <w:bottom w:val="dotted" w:sz="4" w:space="0" w:color="auto"/>
              <w:right w:val="dotted" w:sz="4" w:space="0" w:color="auto"/>
            </w:tcBorders>
            <w:vAlign w:val="center"/>
            <w:hideMark/>
          </w:tcPr>
          <w:p w14:paraId="1622C437" w14:textId="77777777" w:rsidR="007C46D4" w:rsidRPr="00164238" w:rsidRDefault="007C46D4">
            <w:pPr>
              <w:spacing w:after="0"/>
              <w:rPr>
                <w:rFonts w:ascii="Times New Roman" w:eastAsia="Times New Roman" w:hAnsi="Times New Roman" w:cs="Times New Roman"/>
                <w:color w:val="000000" w:themeColor="text1"/>
                <w:sz w:val="20"/>
                <w:szCs w:val="20"/>
              </w:rPr>
            </w:pPr>
          </w:p>
        </w:tc>
        <w:tc>
          <w:tcPr>
            <w:tcW w:w="722" w:type="dxa"/>
            <w:vMerge/>
            <w:tcBorders>
              <w:top w:val="dotted" w:sz="4" w:space="0" w:color="auto"/>
              <w:left w:val="dotted" w:sz="4" w:space="0" w:color="auto"/>
              <w:bottom w:val="dotted" w:sz="4" w:space="0" w:color="auto"/>
              <w:right w:val="dotted" w:sz="4" w:space="0" w:color="auto"/>
            </w:tcBorders>
            <w:vAlign w:val="center"/>
            <w:hideMark/>
          </w:tcPr>
          <w:p w14:paraId="4ECE23F5" w14:textId="77777777" w:rsidR="007C46D4" w:rsidRPr="00164238" w:rsidRDefault="007C46D4">
            <w:pPr>
              <w:spacing w:after="0"/>
              <w:rPr>
                <w:rFonts w:ascii="Times New Roman" w:eastAsia="Times New Roman" w:hAnsi="Times New Roman" w:cs="Times New Roman"/>
                <w:color w:val="000000" w:themeColor="text1"/>
                <w:sz w:val="20"/>
                <w:szCs w:val="20"/>
              </w:rPr>
            </w:pPr>
          </w:p>
        </w:tc>
      </w:tr>
      <w:tr w:rsidR="007C46D4" w:rsidRPr="00164238" w14:paraId="36B6170D" w14:textId="77777777" w:rsidTr="007C46D4">
        <w:trPr>
          <w:trHeight w:val="247"/>
        </w:trPr>
        <w:tc>
          <w:tcPr>
            <w:tcW w:w="704" w:type="dxa"/>
            <w:vMerge/>
            <w:tcBorders>
              <w:top w:val="dotted" w:sz="4" w:space="0" w:color="auto"/>
              <w:left w:val="dotted" w:sz="4" w:space="0" w:color="auto"/>
              <w:bottom w:val="dotted" w:sz="4" w:space="0" w:color="auto"/>
              <w:right w:val="dotted" w:sz="4" w:space="0" w:color="auto"/>
            </w:tcBorders>
            <w:vAlign w:val="center"/>
            <w:hideMark/>
          </w:tcPr>
          <w:p w14:paraId="052210EE" w14:textId="77777777" w:rsidR="007C46D4" w:rsidRPr="00164238" w:rsidRDefault="007C46D4">
            <w:pPr>
              <w:spacing w:after="0"/>
              <w:rPr>
                <w:rFonts w:ascii="Times New Roman" w:hAnsi="Times New Roman" w:cs="Times New Roman"/>
                <w:color w:val="000000" w:themeColor="text1"/>
                <w:sz w:val="20"/>
                <w:szCs w:val="20"/>
              </w:rPr>
            </w:pPr>
          </w:p>
        </w:tc>
        <w:tc>
          <w:tcPr>
            <w:tcW w:w="4961" w:type="dxa"/>
            <w:tcBorders>
              <w:top w:val="dotted" w:sz="4" w:space="0" w:color="auto"/>
              <w:left w:val="dotted" w:sz="4" w:space="0" w:color="auto"/>
              <w:bottom w:val="dotted" w:sz="4" w:space="0" w:color="auto"/>
              <w:right w:val="dotted" w:sz="4" w:space="0" w:color="auto"/>
            </w:tcBorders>
            <w:noWrap/>
            <w:vAlign w:val="center"/>
            <w:hideMark/>
          </w:tcPr>
          <w:p w14:paraId="06F01AD5" w14:textId="77777777" w:rsidR="007C46D4" w:rsidRPr="00164238" w:rsidRDefault="007C46D4">
            <w:pPr>
              <w:spacing w:after="0" w:line="240" w:lineRule="auto"/>
              <w:rPr>
                <w:rFonts w:ascii="Times New Roman" w:eastAsia="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Önceki dönemle kıyasladığımda, evden çalıştığım süre boyunca müşteriye daha doğru bilgi vermekteyim.</w:t>
            </w:r>
          </w:p>
        </w:tc>
        <w:tc>
          <w:tcPr>
            <w:tcW w:w="851" w:type="dxa"/>
            <w:tcBorders>
              <w:top w:val="dotted" w:sz="4" w:space="0" w:color="auto"/>
              <w:left w:val="dotted" w:sz="4" w:space="0" w:color="auto"/>
              <w:bottom w:val="dotted" w:sz="4" w:space="0" w:color="auto"/>
              <w:right w:val="dotted" w:sz="4" w:space="0" w:color="auto"/>
            </w:tcBorders>
            <w:noWrap/>
            <w:vAlign w:val="center"/>
            <w:hideMark/>
          </w:tcPr>
          <w:p w14:paraId="444222D6" w14:textId="77777777" w:rsidR="007C46D4" w:rsidRPr="00164238" w:rsidRDefault="007C46D4">
            <w:pPr>
              <w:spacing w:after="0" w:line="240" w:lineRule="auto"/>
              <w:jc w:val="center"/>
              <w:rPr>
                <w:rFonts w:ascii="Times New Roman" w:eastAsia="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,843</w:t>
            </w:r>
          </w:p>
        </w:tc>
        <w:tc>
          <w:tcPr>
            <w:tcW w:w="1134" w:type="dxa"/>
            <w:vMerge/>
            <w:tcBorders>
              <w:top w:val="dotted" w:sz="4" w:space="0" w:color="auto"/>
              <w:left w:val="dotted" w:sz="4" w:space="0" w:color="auto"/>
              <w:bottom w:val="dotted" w:sz="4" w:space="0" w:color="auto"/>
              <w:right w:val="dotted" w:sz="4" w:space="0" w:color="auto"/>
            </w:tcBorders>
            <w:vAlign w:val="center"/>
            <w:hideMark/>
          </w:tcPr>
          <w:p w14:paraId="383F5431" w14:textId="77777777" w:rsidR="007C46D4" w:rsidRPr="00164238" w:rsidRDefault="007C46D4">
            <w:pPr>
              <w:spacing w:after="0"/>
              <w:rPr>
                <w:rFonts w:ascii="Times New Roman" w:eastAsia="Times New Roman" w:hAnsi="Times New Roman" w:cs="Times New Roman"/>
                <w:color w:val="000000" w:themeColor="text1"/>
                <w:sz w:val="20"/>
                <w:szCs w:val="20"/>
              </w:rPr>
            </w:pPr>
          </w:p>
        </w:tc>
        <w:tc>
          <w:tcPr>
            <w:tcW w:w="709" w:type="dxa"/>
            <w:vMerge/>
            <w:tcBorders>
              <w:top w:val="dotted" w:sz="4" w:space="0" w:color="auto"/>
              <w:left w:val="dotted" w:sz="4" w:space="0" w:color="auto"/>
              <w:bottom w:val="dotted" w:sz="4" w:space="0" w:color="auto"/>
              <w:right w:val="dotted" w:sz="4" w:space="0" w:color="auto"/>
            </w:tcBorders>
            <w:vAlign w:val="center"/>
            <w:hideMark/>
          </w:tcPr>
          <w:p w14:paraId="708DBD94" w14:textId="77777777" w:rsidR="007C46D4" w:rsidRPr="00164238" w:rsidRDefault="007C46D4">
            <w:pPr>
              <w:spacing w:after="0"/>
              <w:rPr>
                <w:rFonts w:ascii="Times New Roman" w:eastAsia="Times New Roman" w:hAnsi="Times New Roman" w:cs="Times New Roman"/>
                <w:color w:val="000000" w:themeColor="text1"/>
                <w:sz w:val="20"/>
                <w:szCs w:val="20"/>
              </w:rPr>
            </w:pPr>
          </w:p>
        </w:tc>
        <w:tc>
          <w:tcPr>
            <w:tcW w:w="722" w:type="dxa"/>
            <w:vMerge/>
            <w:tcBorders>
              <w:top w:val="dotted" w:sz="4" w:space="0" w:color="auto"/>
              <w:left w:val="dotted" w:sz="4" w:space="0" w:color="auto"/>
              <w:bottom w:val="dotted" w:sz="4" w:space="0" w:color="auto"/>
              <w:right w:val="dotted" w:sz="4" w:space="0" w:color="auto"/>
            </w:tcBorders>
            <w:vAlign w:val="center"/>
            <w:hideMark/>
          </w:tcPr>
          <w:p w14:paraId="08AED88C" w14:textId="77777777" w:rsidR="007C46D4" w:rsidRPr="00164238" w:rsidRDefault="007C46D4">
            <w:pPr>
              <w:spacing w:after="0"/>
              <w:rPr>
                <w:rFonts w:ascii="Times New Roman" w:eastAsia="Times New Roman" w:hAnsi="Times New Roman" w:cs="Times New Roman"/>
                <w:color w:val="000000" w:themeColor="text1"/>
                <w:sz w:val="20"/>
                <w:szCs w:val="20"/>
              </w:rPr>
            </w:pPr>
          </w:p>
        </w:tc>
      </w:tr>
    </w:tbl>
    <w:p w14:paraId="029F1D4D" w14:textId="77777777" w:rsidR="007C46D4" w:rsidRPr="00164238" w:rsidRDefault="007C46D4" w:rsidP="006A4DC2">
      <w:pPr>
        <w:pStyle w:val="Balk2"/>
        <w:ind w:left="567"/>
        <w:rPr>
          <w:rFonts w:ascii="Times New Roman" w:eastAsiaTheme="majorEastAsia" w:hAnsi="Times New Roman" w:cs="Times New Roman"/>
          <w:i w:val="0"/>
          <w:iCs w:val="0"/>
          <w:color w:val="000000" w:themeColor="text1"/>
          <w:sz w:val="20"/>
          <w:szCs w:val="20"/>
          <w:lang w:val="tr-TR"/>
        </w:rPr>
      </w:pPr>
      <w:bookmarkStart w:id="126" w:name="_Toc72352781"/>
      <w:bookmarkStart w:id="127" w:name="_Toc72961715"/>
      <w:r w:rsidRPr="00164238">
        <w:rPr>
          <w:rFonts w:ascii="Times New Roman" w:hAnsi="Times New Roman" w:cs="Times New Roman"/>
          <w:i w:val="0"/>
          <w:iCs w:val="0"/>
          <w:color w:val="000000" w:themeColor="text1"/>
          <w:sz w:val="20"/>
          <w:szCs w:val="20"/>
          <w:lang w:val="tr-TR"/>
        </w:rPr>
        <w:t>Hipotez Testleri</w:t>
      </w:r>
      <w:bookmarkEnd w:id="126"/>
      <w:bookmarkEnd w:id="127"/>
    </w:p>
    <w:p w14:paraId="2D33C2B4" w14:textId="77777777" w:rsidR="007C46D4" w:rsidRPr="00164238" w:rsidRDefault="007C46D4" w:rsidP="006A4DC2">
      <w:pPr>
        <w:spacing w:before="120" w:line="240" w:lineRule="auto"/>
        <w:ind w:firstLine="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Araştırma hipotezlerimizin testinde SPSS 21 istatistik paket programı kullanılmış ve korelasyon tablosu (Tablo 3) ile değişkenler arasındaki ilişki incelenmiştir.</w:t>
      </w:r>
    </w:p>
    <w:p w14:paraId="35C141EB" w14:textId="77777777" w:rsidR="007C46D4" w:rsidRPr="00164238" w:rsidRDefault="007C46D4" w:rsidP="006A4DC2">
      <w:pPr>
        <w:pStyle w:val="ResimYazs"/>
        <w:keepNext/>
        <w:spacing w:before="120" w:line="240" w:lineRule="auto"/>
        <w:rPr>
          <w:i w:val="0"/>
          <w:iCs w:val="0"/>
          <w:color w:val="000000" w:themeColor="text1"/>
          <w:lang w:val="tr-TR"/>
        </w:rPr>
      </w:pPr>
      <w:r w:rsidRPr="00164238">
        <w:rPr>
          <w:i w:val="0"/>
          <w:iCs w:val="0"/>
          <w:color w:val="000000" w:themeColor="text1"/>
          <w:lang w:val="tr-TR"/>
        </w:rPr>
        <w:t xml:space="preserve">Tablo </w:t>
      </w:r>
      <w:r w:rsidRPr="00164238">
        <w:rPr>
          <w:i w:val="0"/>
          <w:iCs w:val="0"/>
          <w:noProof/>
          <w:color w:val="000000" w:themeColor="text1"/>
          <w:lang w:val="tr-TR"/>
        </w:rPr>
        <w:t>3</w:t>
      </w:r>
      <w:r w:rsidRPr="00164238">
        <w:rPr>
          <w:i w:val="0"/>
          <w:iCs w:val="0"/>
          <w:color w:val="000000" w:themeColor="text1"/>
          <w:lang w:val="tr-TR"/>
        </w:rPr>
        <w:t>. Değişkenler Arası Korelasyon Tablosu</w:t>
      </w:r>
    </w:p>
    <w:tbl>
      <w:tblPr>
        <w:tblW w:w="906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2735"/>
        <w:gridCol w:w="791"/>
        <w:gridCol w:w="791"/>
        <w:gridCol w:w="791"/>
        <w:gridCol w:w="791"/>
        <w:gridCol w:w="790"/>
        <w:gridCol w:w="790"/>
        <w:gridCol w:w="790"/>
        <w:gridCol w:w="791"/>
      </w:tblGrid>
      <w:tr w:rsidR="007C46D4" w:rsidRPr="006A4DC2" w14:paraId="4E8FAF35" w14:textId="77777777" w:rsidTr="007C46D4">
        <w:trPr>
          <w:trHeight w:val="330"/>
        </w:trPr>
        <w:tc>
          <w:tcPr>
            <w:tcW w:w="2737" w:type="dxa"/>
            <w:tcBorders>
              <w:top w:val="nil"/>
              <w:left w:val="nil"/>
              <w:bottom w:val="single" w:sz="4" w:space="0" w:color="auto"/>
              <w:right w:val="single" w:sz="4" w:space="0" w:color="auto"/>
            </w:tcBorders>
            <w:vAlign w:val="center"/>
            <w:hideMark/>
          </w:tcPr>
          <w:p w14:paraId="520AACA3" w14:textId="77777777" w:rsidR="007C46D4" w:rsidRPr="006A4DC2" w:rsidRDefault="007C46D4">
            <w:pPr>
              <w:spacing w:after="0" w:line="240" w:lineRule="auto"/>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 </w:t>
            </w:r>
          </w:p>
        </w:tc>
        <w:tc>
          <w:tcPr>
            <w:tcW w:w="791" w:type="dxa"/>
            <w:tcBorders>
              <w:top w:val="single" w:sz="4" w:space="0" w:color="auto"/>
              <w:left w:val="single" w:sz="4" w:space="0" w:color="auto"/>
              <w:bottom w:val="single" w:sz="4" w:space="0" w:color="auto"/>
              <w:right w:val="dotted" w:sz="4" w:space="0" w:color="auto"/>
            </w:tcBorders>
            <w:vAlign w:val="center"/>
            <w:hideMark/>
          </w:tcPr>
          <w:p w14:paraId="7E8DC200" w14:textId="77777777" w:rsidR="007C46D4" w:rsidRPr="006A4DC2" w:rsidRDefault="007C46D4">
            <w:pPr>
              <w:spacing w:after="0" w:line="240" w:lineRule="auto"/>
              <w:jc w:val="center"/>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1</w:t>
            </w:r>
          </w:p>
        </w:tc>
        <w:tc>
          <w:tcPr>
            <w:tcW w:w="791" w:type="dxa"/>
            <w:tcBorders>
              <w:top w:val="single" w:sz="4" w:space="0" w:color="auto"/>
              <w:left w:val="dotted" w:sz="4" w:space="0" w:color="auto"/>
              <w:bottom w:val="single" w:sz="4" w:space="0" w:color="auto"/>
              <w:right w:val="dotted" w:sz="4" w:space="0" w:color="auto"/>
            </w:tcBorders>
            <w:vAlign w:val="center"/>
            <w:hideMark/>
          </w:tcPr>
          <w:p w14:paraId="1F588392" w14:textId="77777777" w:rsidR="007C46D4" w:rsidRPr="006A4DC2" w:rsidRDefault="007C46D4">
            <w:pPr>
              <w:spacing w:after="0" w:line="240" w:lineRule="auto"/>
              <w:jc w:val="center"/>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2</w:t>
            </w:r>
          </w:p>
        </w:tc>
        <w:tc>
          <w:tcPr>
            <w:tcW w:w="791" w:type="dxa"/>
            <w:tcBorders>
              <w:top w:val="single" w:sz="4" w:space="0" w:color="auto"/>
              <w:left w:val="dotted" w:sz="4" w:space="0" w:color="auto"/>
              <w:bottom w:val="single" w:sz="4" w:space="0" w:color="auto"/>
              <w:right w:val="dotted" w:sz="4" w:space="0" w:color="auto"/>
            </w:tcBorders>
            <w:vAlign w:val="center"/>
            <w:hideMark/>
          </w:tcPr>
          <w:p w14:paraId="21BC3E66" w14:textId="77777777" w:rsidR="007C46D4" w:rsidRPr="006A4DC2" w:rsidRDefault="007C46D4">
            <w:pPr>
              <w:spacing w:after="0" w:line="240" w:lineRule="auto"/>
              <w:jc w:val="center"/>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3</w:t>
            </w:r>
          </w:p>
        </w:tc>
        <w:tc>
          <w:tcPr>
            <w:tcW w:w="792" w:type="dxa"/>
            <w:tcBorders>
              <w:top w:val="single" w:sz="4" w:space="0" w:color="auto"/>
              <w:left w:val="dotted" w:sz="4" w:space="0" w:color="auto"/>
              <w:bottom w:val="single" w:sz="4" w:space="0" w:color="auto"/>
              <w:right w:val="dotted" w:sz="4" w:space="0" w:color="auto"/>
            </w:tcBorders>
            <w:vAlign w:val="center"/>
            <w:hideMark/>
          </w:tcPr>
          <w:p w14:paraId="4DB29809" w14:textId="77777777" w:rsidR="007C46D4" w:rsidRPr="006A4DC2" w:rsidRDefault="007C46D4">
            <w:pPr>
              <w:spacing w:after="0" w:line="240" w:lineRule="auto"/>
              <w:jc w:val="center"/>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4</w:t>
            </w:r>
          </w:p>
        </w:tc>
        <w:tc>
          <w:tcPr>
            <w:tcW w:w="791" w:type="dxa"/>
            <w:tcBorders>
              <w:top w:val="single" w:sz="4" w:space="0" w:color="auto"/>
              <w:left w:val="dotted" w:sz="4" w:space="0" w:color="auto"/>
              <w:bottom w:val="single" w:sz="4" w:space="0" w:color="auto"/>
              <w:right w:val="dotted" w:sz="4" w:space="0" w:color="auto"/>
            </w:tcBorders>
            <w:vAlign w:val="center"/>
            <w:hideMark/>
          </w:tcPr>
          <w:p w14:paraId="577F67F6" w14:textId="77777777" w:rsidR="007C46D4" w:rsidRPr="006A4DC2" w:rsidRDefault="007C46D4">
            <w:pPr>
              <w:spacing w:after="0" w:line="240" w:lineRule="auto"/>
              <w:jc w:val="center"/>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5</w:t>
            </w:r>
          </w:p>
        </w:tc>
        <w:tc>
          <w:tcPr>
            <w:tcW w:w="791" w:type="dxa"/>
            <w:tcBorders>
              <w:top w:val="single" w:sz="4" w:space="0" w:color="auto"/>
              <w:left w:val="dotted" w:sz="4" w:space="0" w:color="auto"/>
              <w:bottom w:val="single" w:sz="4" w:space="0" w:color="auto"/>
              <w:right w:val="dotted" w:sz="4" w:space="0" w:color="auto"/>
            </w:tcBorders>
            <w:vAlign w:val="center"/>
            <w:hideMark/>
          </w:tcPr>
          <w:p w14:paraId="4DC42846" w14:textId="77777777" w:rsidR="007C46D4" w:rsidRPr="006A4DC2" w:rsidRDefault="007C46D4">
            <w:pPr>
              <w:spacing w:after="0" w:line="240" w:lineRule="auto"/>
              <w:jc w:val="center"/>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6</w:t>
            </w:r>
          </w:p>
        </w:tc>
        <w:tc>
          <w:tcPr>
            <w:tcW w:w="791" w:type="dxa"/>
            <w:tcBorders>
              <w:top w:val="single" w:sz="4" w:space="0" w:color="auto"/>
              <w:left w:val="dotted" w:sz="4" w:space="0" w:color="auto"/>
              <w:bottom w:val="single" w:sz="4" w:space="0" w:color="auto"/>
              <w:right w:val="dotted" w:sz="4" w:space="0" w:color="auto"/>
            </w:tcBorders>
            <w:vAlign w:val="center"/>
            <w:hideMark/>
          </w:tcPr>
          <w:p w14:paraId="7949F272" w14:textId="77777777" w:rsidR="007C46D4" w:rsidRPr="006A4DC2" w:rsidRDefault="007C46D4">
            <w:pPr>
              <w:spacing w:after="0" w:line="240" w:lineRule="auto"/>
              <w:jc w:val="center"/>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7</w:t>
            </w:r>
          </w:p>
        </w:tc>
        <w:tc>
          <w:tcPr>
            <w:tcW w:w="792" w:type="dxa"/>
            <w:tcBorders>
              <w:top w:val="single" w:sz="4" w:space="0" w:color="auto"/>
              <w:left w:val="dotted" w:sz="4" w:space="0" w:color="auto"/>
              <w:bottom w:val="single" w:sz="4" w:space="0" w:color="auto"/>
              <w:right w:val="single" w:sz="4" w:space="0" w:color="auto"/>
            </w:tcBorders>
            <w:vAlign w:val="center"/>
            <w:hideMark/>
          </w:tcPr>
          <w:p w14:paraId="24E70AA2" w14:textId="77777777" w:rsidR="007C46D4" w:rsidRPr="006A4DC2" w:rsidRDefault="007C46D4">
            <w:pPr>
              <w:spacing w:after="0" w:line="240" w:lineRule="auto"/>
              <w:jc w:val="center"/>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8</w:t>
            </w:r>
          </w:p>
        </w:tc>
      </w:tr>
      <w:tr w:rsidR="007C46D4" w:rsidRPr="006A4DC2" w14:paraId="26696FC3" w14:textId="77777777" w:rsidTr="007C46D4">
        <w:trPr>
          <w:trHeight w:val="315"/>
        </w:trPr>
        <w:tc>
          <w:tcPr>
            <w:tcW w:w="2737" w:type="dxa"/>
            <w:tcBorders>
              <w:top w:val="single" w:sz="4" w:space="0" w:color="auto"/>
              <w:left w:val="single" w:sz="4" w:space="0" w:color="auto"/>
              <w:bottom w:val="dotted" w:sz="4" w:space="0" w:color="auto"/>
              <w:right w:val="single" w:sz="4" w:space="0" w:color="auto"/>
            </w:tcBorders>
            <w:vAlign w:val="center"/>
            <w:hideMark/>
          </w:tcPr>
          <w:p w14:paraId="79417398" w14:textId="77777777" w:rsidR="007C46D4" w:rsidRPr="006A4DC2" w:rsidRDefault="007C46D4">
            <w:pPr>
              <w:spacing w:after="0" w:line="240" w:lineRule="auto"/>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1- Yaş</w:t>
            </w:r>
          </w:p>
        </w:tc>
        <w:tc>
          <w:tcPr>
            <w:tcW w:w="791" w:type="dxa"/>
            <w:tcBorders>
              <w:top w:val="single" w:sz="4" w:space="0" w:color="auto"/>
              <w:left w:val="single" w:sz="4" w:space="0" w:color="auto"/>
              <w:bottom w:val="dotted" w:sz="4" w:space="0" w:color="auto"/>
              <w:right w:val="dotted" w:sz="4" w:space="0" w:color="auto"/>
            </w:tcBorders>
            <w:noWrap/>
            <w:vAlign w:val="center"/>
            <w:hideMark/>
          </w:tcPr>
          <w:p w14:paraId="5EFC8B46"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1</w:t>
            </w:r>
          </w:p>
        </w:tc>
        <w:tc>
          <w:tcPr>
            <w:tcW w:w="791" w:type="dxa"/>
            <w:tcBorders>
              <w:top w:val="single" w:sz="4" w:space="0" w:color="auto"/>
              <w:left w:val="dotted" w:sz="4" w:space="0" w:color="auto"/>
              <w:bottom w:val="dotted" w:sz="4" w:space="0" w:color="auto"/>
              <w:right w:val="dotted" w:sz="4" w:space="0" w:color="auto"/>
            </w:tcBorders>
            <w:noWrap/>
            <w:vAlign w:val="center"/>
            <w:hideMark/>
          </w:tcPr>
          <w:p w14:paraId="1977DC6A"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 </w:t>
            </w:r>
          </w:p>
        </w:tc>
        <w:tc>
          <w:tcPr>
            <w:tcW w:w="791" w:type="dxa"/>
            <w:tcBorders>
              <w:top w:val="single" w:sz="4" w:space="0" w:color="auto"/>
              <w:left w:val="dotted" w:sz="4" w:space="0" w:color="auto"/>
              <w:bottom w:val="dotted" w:sz="4" w:space="0" w:color="auto"/>
              <w:right w:val="dotted" w:sz="4" w:space="0" w:color="auto"/>
            </w:tcBorders>
            <w:noWrap/>
            <w:vAlign w:val="center"/>
            <w:hideMark/>
          </w:tcPr>
          <w:p w14:paraId="264F9C23"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 </w:t>
            </w:r>
          </w:p>
        </w:tc>
        <w:tc>
          <w:tcPr>
            <w:tcW w:w="792" w:type="dxa"/>
            <w:tcBorders>
              <w:top w:val="single" w:sz="4" w:space="0" w:color="auto"/>
              <w:left w:val="dotted" w:sz="4" w:space="0" w:color="auto"/>
              <w:bottom w:val="dotted" w:sz="4" w:space="0" w:color="auto"/>
              <w:right w:val="dotted" w:sz="4" w:space="0" w:color="auto"/>
            </w:tcBorders>
            <w:noWrap/>
            <w:vAlign w:val="center"/>
            <w:hideMark/>
          </w:tcPr>
          <w:p w14:paraId="5725A515"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 </w:t>
            </w:r>
          </w:p>
        </w:tc>
        <w:tc>
          <w:tcPr>
            <w:tcW w:w="791" w:type="dxa"/>
            <w:tcBorders>
              <w:top w:val="single" w:sz="4" w:space="0" w:color="auto"/>
              <w:left w:val="dotted" w:sz="4" w:space="0" w:color="auto"/>
              <w:bottom w:val="dotted" w:sz="4" w:space="0" w:color="auto"/>
              <w:right w:val="dotted" w:sz="4" w:space="0" w:color="auto"/>
            </w:tcBorders>
            <w:noWrap/>
            <w:vAlign w:val="center"/>
            <w:hideMark/>
          </w:tcPr>
          <w:p w14:paraId="5A3B0393"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 </w:t>
            </w:r>
          </w:p>
        </w:tc>
        <w:tc>
          <w:tcPr>
            <w:tcW w:w="791" w:type="dxa"/>
            <w:tcBorders>
              <w:top w:val="single" w:sz="4" w:space="0" w:color="auto"/>
              <w:left w:val="dotted" w:sz="4" w:space="0" w:color="auto"/>
              <w:bottom w:val="dotted" w:sz="4" w:space="0" w:color="auto"/>
              <w:right w:val="dotted" w:sz="4" w:space="0" w:color="auto"/>
            </w:tcBorders>
            <w:noWrap/>
            <w:vAlign w:val="center"/>
            <w:hideMark/>
          </w:tcPr>
          <w:p w14:paraId="2504FC4A"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 </w:t>
            </w:r>
          </w:p>
        </w:tc>
        <w:tc>
          <w:tcPr>
            <w:tcW w:w="791" w:type="dxa"/>
            <w:tcBorders>
              <w:top w:val="single" w:sz="4" w:space="0" w:color="auto"/>
              <w:left w:val="dotted" w:sz="4" w:space="0" w:color="auto"/>
              <w:bottom w:val="dotted" w:sz="4" w:space="0" w:color="auto"/>
              <w:right w:val="dotted" w:sz="4" w:space="0" w:color="auto"/>
            </w:tcBorders>
            <w:noWrap/>
            <w:vAlign w:val="center"/>
            <w:hideMark/>
          </w:tcPr>
          <w:p w14:paraId="4B4F6D36"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 </w:t>
            </w:r>
          </w:p>
        </w:tc>
        <w:tc>
          <w:tcPr>
            <w:tcW w:w="792" w:type="dxa"/>
            <w:tcBorders>
              <w:top w:val="single" w:sz="4" w:space="0" w:color="auto"/>
              <w:left w:val="dotted" w:sz="4" w:space="0" w:color="auto"/>
              <w:bottom w:val="dotted" w:sz="4" w:space="0" w:color="auto"/>
              <w:right w:val="single" w:sz="4" w:space="0" w:color="auto"/>
            </w:tcBorders>
            <w:noWrap/>
            <w:vAlign w:val="center"/>
            <w:hideMark/>
          </w:tcPr>
          <w:p w14:paraId="411D91A6"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 </w:t>
            </w:r>
          </w:p>
        </w:tc>
      </w:tr>
      <w:tr w:rsidR="007C46D4" w:rsidRPr="006A4DC2" w14:paraId="66161D9B" w14:textId="77777777" w:rsidTr="007C46D4">
        <w:trPr>
          <w:trHeight w:val="300"/>
        </w:trPr>
        <w:tc>
          <w:tcPr>
            <w:tcW w:w="2737" w:type="dxa"/>
            <w:tcBorders>
              <w:top w:val="dotted" w:sz="4" w:space="0" w:color="auto"/>
              <w:left w:val="single" w:sz="4" w:space="0" w:color="auto"/>
              <w:bottom w:val="dotted" w:sz="4" w:space="0" w:color="auto"/>
              <w:right w:val="single" w:sz="4" w:space="0" w:color="auto"/>
            </w:tcBorders>
            <w:vAlign w:val="center"/>
            <w:hideMark/>
          </w:tcPr>
          <w:p w14:paraId="35F1593E" w14:textId="77777777" w:rsidR="007C46D4" w:rsidRPr="006A4DC2" w:rsidRDefault="007C46D4">
            <w:pPr>
              <w:spacing w:after="0" w:line="240" w:lineRule="auto"/>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2- Cinsiyet</w:t>
            </w:r>
          </w:p>
        </w:tc>
        <w:tc>
          <w:tcPr>
            <w:tcW w:w="791" w:type="dxa"/>
            <w:tcBorders>
              <w:top w:val="dotted" w:sz="4" w:space="0" w:color="auto"/>
              <w:left w:val="single" w:sz="4" w:space="0" w:color="auto"/>
              <w:bottom w:val="dotted" w:sz="4" w:space="0" w:color="auto"/>
              <w:right w:val="dotted" w:sz="4" w:space="0" w:color="auto"/>
            </w:tcBorders>
            <w:noWrap/>
            <w:vAlign w:val="center"/>
            <w:hideMark/>
          </w:tcPr>
          <w:p w14:paraId="06F96B5B"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-,018</w:t>
            </w:r>
          </w:p>
        </w:tc>
        <w:tc>
          <w:tcPr>
            <w:tcW w:w="791" w:type="dxa"/>
            <w:tcBorders>
              <w:top w:val="dotted" w:sz="4" w:space="0" w:color="auto"/>
              <w:left w:val="dotted" w:sz="4" w:space="0" w:color="auto"/>
              <w:bottom w:val="dotted" w:sz="4" w:space="0" w:color="auto"/>
              <w:right w:val="dotted" w:sz="4" w:space="0" w:color="auto"/>
            </w:tcBorders>
            <w:noWrap/>
            <w:vAlign w:val="center"/>
            <w:hideMark/>
          </w:tcPr>
          <w:p w14:paraId="29982EA5"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1</w:t>
            </w:r>
          </w:p>
        </w:tc>
        <w:tc>
          <w:tcPr>
            <w:tcW w:w="791" w:type="dxa"/>
            <w:tcBorders>
              <w:top w:val="dotted" w:sz="4" w:space="0" w:color="auto"/>
              <w:left w:val="dotted" w:sz="4" w:space="0" w:color="auto"/>
              <w:bottom w:val="dotted" w:sz="4" w:space="0" w:color="auto"/>
              <w:right w:val="dotted" w:sz="4" w:space="0" w:color="auto"/>
            </w:tcBorders>
            <w:noWrap/>
            <w:vAlign w:val="center"/>
            <w:hideMark/>
          </w:tcPr>
          <w:p w14:paraId="4E422657"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 </w:t>
            </w:r>
          </w:p>
        </w:tc>
        <w:tc>
          <w:tcPr>
            <w:tcW w:w="792" w:type="dxa"/>
            <w:tcBorders>
              <w:top w:val="dotted" w:sz="4" w:space="0" w:color="auto"/>
              <w:left w:val="dotted" w:sz="4" w:space="0" w:color="auto"/>
              <w:bottom w:val="dotted" w:sz="4" w:space="0" w:color="auto"/>
              <w:right w:val="dotted" w:sz="4" w:space="0" w:color="auto"/>
            </w:tcBorders>
            <w:noWrap/>
            <w:vAlign w:val="center"/>
            <w:hideMark/>
          </w:tcPr>
          <w:p w14:paraId="5AC5AC7F"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 </w:t>
            </w:r>
          </w:p>
        </w:tc>
        <w:tc>
          <w:tcPr>
            <w:tcW w:w="791" w:type="dxa"/>
            <w:tcBorders>
              <w:top w:val="dotted" w:sz="4" w:space="0" w:color="auto"/>
              <w:left w:val="dotted" w:sz="4" w:space="0" w:color="auto"/>
              <w:bottom w:val="dotted" w:sz="4" w:space="0" w:color="auto"/>
              <w:right w:val="dotted" w:sz="4" w:space="0" w:color="auto"/>
            </w:tcBorders>
            <w:noWrap/>
            <w:vAlign w:val="center"/>
            <w:hideMark/>
          </w:tcPr>
          <w:p w14:paraId="6C777C9E"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 </w:t>
            </w:r>
          </w:p>
        </w:tc>
        <w:tc>
          <w:tcPr>
            <w:tcW w:w="791" w:type="dxa"/>
            <w:tcBorders>
              <w:top w:val="dotted" w:sz="4" w:space="0" w:color="auto"/>
              <w:left w:val="dotted" w:sz="4" w:space="0" w:color="auto"/>
              <w:bottom w:val="dotted" w:sz="4" w:space="0" w:color="auto"/>
              <w:right w:val="dotted" w:sz="4" w:space="0" w:color="auto"/>
            </w:tcBorders>
            <w:noWrap/>
            <w:vAlign w:val="center"/>
            <w:hideMark/>
          </w:tcPr>
          <w:p w14:paraId="3EF4BC99"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 </w:t>
            </w:r>
          </w:p>
        </w:tc>
        <w:tc>
          <w:tcPr>
            <w:tcW w:w="791" w:type="dxa"/>
            <w:tcBorders>
              <w:top w:val="dotted" w:sz="4" w:space="0" w:color="auto"/>
              <w:left w:val="dotted" w:sz="4" w:space="0" w:color="auto"/>
              <w:bottom w:val="dotted" w:sz="4" w:space="0" w:color="auto"/>
              <w:right w:val="dotted" w:sz="4" w:space="0" w:color="auto"/>
            </w:tcBorders>
            <w:noWrap/>
            <w:vAlign w:val="center"/>
            <w:hideMark/>
          </w:tcPr>
          <w:p w14:paraId="4DF41585"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 </w:t>
            </w:r>
          </w:p>
        </w:tc>
        <w:tc>
          <w:tcPr>
            <w:tcW w:w="792" w:type="dxa"/>
            <w:tcBorders>
              <w:top w:val="dotted" w:sz="4" w:space="0" w:color="auto"/>
              <w:left w:val="dotted" w:sz="4" w:space="0" w:color="auto"/>
              <w:bottom w:val="dotted" w:sz="4" w:space="0" w:color="auto"/>
              <w:right w:val="single" w:sz="4" w:space="0" w:color="auto"/>
            </w:tcBorders>
            <w:noWrap/>
            <w:vAlign w:val="center"/>
            <w:hideMark/>
          </w:tcPr>
          <w:p w14:paraId="27EA6449"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 </w:t>
            </w:r>
          </w:p>
        </w:tc>
      </w:tr>
      <w:tr w:rsidR="007C46D4" w:rsidRPr="006A4DC2" w14:paraId="434A0596" w14:textId="77777777" w:rsidTr="007C46D4">
        <w:trPr>
          <w:trHeight w:val="300"/>
        </w:trPr>
        <w:tc>
          <w:tcPr>
            <w:tcW w:w="2737" w:type="dxa"/>
            <w:tcBorders>
              <w:top w:val="dotted" w:sz="4" w:space="0" w:color="auto"/>
              <w:left w:val="single" w:sz="4" w:space="0" w:color="auto"/>
              <w:bottom w:val="dotted" w:sz="4" w:space="0" w:color="auto"/>
              <w:right w:val="single" w:sz="4" w:space="0" w:color="auto"/>
            </w:tcBorders>
            <w:vAlign w:val="center"/>
            <w:hideMark/>
          </w:tcPr>
          <w:p w14:paraId="797AC262" w14:textId="77777777" w:rsidR="007C46D4" w:rsidRPr="006A4DC2" w:rsidRDefault="007C46D4">
            <w:pPr>
              <w:spacing w:after="0" w:line="240" w:lineRule="auto"/>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3- Eğitim Seviyesi</w:t>
            </w:r>
          </w:p>
        </w:tc>
        <w:tc>
          <w:tcPr>
            <w:tcW w:w="791" w:type="dxa"/>
            <w:tcBorders>
              <w:top w:val="dotted" w:sz="4" w:space="0" w:color="auto"/>
              <w:left w:val="single" w:sz="4" w:space="0" w:color="auto"/>
              <w:bottom w:val="dotted" w:sz="4" w:space="0" w:color="auto"/>
              <w:right w:val="dotted" w:sz="4" w:space="0" w:color="auto"/>
            </w:tcBorders>
            <w:noWrap/>
            <w:vAlign w:val="center"/>
            <w:hideMark/>
          </w:tcPr>
          <w:p w14:paraId="75802C33"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,176</w:t>
            </w:r>
            <w:r w:rsidRPr="006A4DC2">
              <w:rPr>
                <w:rFonts w:ascii="Times New Roman" w:eastAsia="Times New Roman" w:hAnsi="Times New Roman" w:cs="Times New Roman"/>
                <w:color w:val="000000" w:themeColor="text1"/>
                <w:sz w:val="20"/>
                <w:szCs w:val="20"/>
                <w:vertAlign w:val="superscript"/>
              </w:rPr>
              <w:t>**</w:t>
            </w:r>
          </w:p>
        </w:tc>
        <w:tc>
          <w:tcPr>
            <w:tcW w:w="791" w:type="dxa"/>
            <w:tcBorders>
              <w:top w:val="dotted" w:sz="4" w:space="0" w:color="auto"/>
              <w:left w:val="dotted" w:sz="4" w:space="0" w:color="auto"/>
              <w:bottom w:val="dotted" w:sz="4" w:space="0" w:color="auto"/>
              <w:right w:val="dotted" w:sz="4" w:space="0" w:color="auto"/>
            </w:tcBorders>
            <w:noWrap/>
            <w:vAlign w:val="center"/>
            <w:hideMark/>
          </w:tcPr>
          <w:p w14:paraId="512C9172"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,002</w:t>
            </w:r>
          </w:p>
        </w:tc>
        <w:tc>
          <w:tcPr>
            <w:tcW w:w="791" w:type="dxa"/>
            <w:tcBorders>
              <w:top w:val="dotted" w:sz="4" w:space="0" w:color="auto"/>
              <w:left w:val="dotted" w:sz="4" w:space="0" w:color="auto"/>
              <w:bottom w:val="dotted" w:sz="4" w:space="0" w:color="auto"/>
              <w:right w:val="dotted" w:sz="4" w:space="0" w:color="auto"/>
            </w:tcBorders>
            <w:noWrap/>
            <w:vAlign w:val="center"/>
            <w:hideMark/>
          </w:tcPr>
          <w:p w14:paraId="35D49210"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1</w:t>
            </w:r>
          </w:p>
        </w:tc>
        <w:tc>
          <w:tcPr>
            <w:tcW w:w="792" w:type="dxa"/>
            <w:tcBorders>
              <w:top w:val="dotted" w:sz="4" w:space="0" w:color="auto"/>
              <w:left w:val="dotted" w:sz="4" w:space="0" w:color="auto"/>
              <w:bottom w:val="dotted" w:sz="4" w:space="0" w:color="auto"/>
              <w:right w:val="dotted" w:sz="4" w:space="0" w:color="auto"/>
            </w:tcBorders>
            <w:noWrap/>
            <w:vAlign w:val="center"/>
            <w:hideMark/>
          </w:tcPr>
          <w:p w14:paraId="36F44CE0"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 </w:t>
            </w:r>
          </w:p>
        </w:tc>
        <w:tc>
          <w:tcPr>
            <w:tcW w:w="791" w:type="dxa"/>
            <w:tcBorders>
              <w:top w:val="dotted" w:sz="4" w:space="0" w:color="auto"/>
              <w:left w:val="dotted" w:sz="4" w:space="0" w:color="auto"/>
              <w:bottom w:val="dotted" w:sz="4" w:space="0" w:color="auto"/>
              <w:right w:val="dotted" w:sz="4" w:space="0" w:color="auto"/>
            </w:tcBorders>
            <w:noWrap/>
            <w:vAlign w:val="center"/>
            <w:hideMark/>
          </w:tcPr>
          <w:p w14:paraId="5535F7C7"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 </w:t>
            </w:r>
          </w:p>
        </w:tc>
        <w:tc>
          <w:tcPr>
            <w:tcW w:w="791" w:type="dxa"/>
            <w:tcBorders>
              <w:top w:val="dotted" w:sz="4" w:space="0" w:color="auto"/>
              <w:left w:val="dotted" w:sz="4" w:space="0" w:color="auto"/>
              <w:bottom w:val="dotted" w:sz="4" w:space="0" w:color="auto"/>
              <w:right w:val="dotted" w:sz="4" w:space="0" w:color="auto"/>
            </w:tcBorders>
            <w:noWrap/>
            <w:vAlign w:val="center"/>
            <w:hideMark/>
          </w:tcPr>
          <w:p w14:paraId="126F754C"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 </w:t>
            </w:r>
          </w:p>
        </w:tc>
        <w:tc>
          <w:tcPr>
            <w:tcW w:w="791" w:type="dxa"/>
            <w:tcBorders>
              <w:top w:val="dotted" w:sz="4" w:space="0" w:color="auto"/>
              <w:left w:val="dotted" w:sz="4" w:space="0" w:color="auto"/>
              <w:bottom w:val="dotted" w:sz="4" w:space="0" w:color="auto"/>
              <w:right w:val="dotted" w:sz="4" w:space="0" w:color="auto"/>
            </w:tcBorders>
            <w:noWrap/>
            <w:vAlign w:val="center"/>
            <w:hideMark/>
          </w:tcPr>
          <w:p w14:paraId="58F39C94"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 </w:t>
            </w:r>
          </w:p>
        </w:tc>
        <w:tc>
          <w:tcPr>
            <w:tcW w:w="792" w:type="dxa"/>
            <w:tcBorders>
              <w:top w:val="dotted" w:sz="4" w:space="0" w:color="auto"/>
              <w:left w:val="dotted" w:sz="4" w:space="0" w:color="auto"/>
              <w:bottom w:val="dotted" w:sz="4" w:space="0" w:color="auto"/>
              <w:right w:val="single" w:sz="4" w:space="0" w:color="auto"/>
            </w:tcBorders>
            <w:noWrap/>
            <w:vAlign w:val="center"/>
            <w:hideMark/>
          </w:tcPr>
          <w:p w14:paraId="14CACDE8"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 </w:t>
            </w:r>
          </w:p>
        </w:tc>
      </w:tr>
      <w:tr w:rsidR="007C46D4" w:rsidRPr="006A4DC2" w14:paraId="51E7A8A0" w14:textId="77777777" w:rsidTr="007C46D4">
        <w:trPr>
          <w:trHeight w:val="300"/>
        </w:trPr>
        <w:tc>
          <w:tcPr>
            <w:tcW w:w="2737" w:type="dxa"/>
            <w:tcBorders>
              <w:top w:val="dotted" w:sz="4" w:space="0" w:color="auto"/>
              <w:left w:val="single" w:sz="4" w:space="0" w:color="auto"/>
              <w:bottom w:val="dotted" w:sz="4" w:space="0" w:color="auto"/>
              <w:right w:val="single" w:sz="4" w:space="0" w:color="auto"/>
            </w:tcBorders>
            <w:vAlign w:val="center"/>
            <w:hideMark/>
          </w:tcPr>
          <w:p w14:paraId="09C53033" w14:textId="77777777" w:rsidR="007C46D4" w:rsidRPr="006A4DC2" w:rsidRDefault="007C46D4">
            <w:pPr>
              <w:spacing w:after="0" w:line="240" w:lineRule="auto"/>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4- Kıdem</w:t>
            </w:r>
          </w:p>
        </w:tc>
        <w:tc>
          <w:tcPr>
            <w:tcW w:w="791" w:type="dxa"/>
            <w:tcBorders>
              <w:top w:val="dotted" w:sz="4" w:space="0" w:color="auto"/>
              <w:left w:val="single" w:sz="4" w:space="0" w:color="auto"/>
              <w:bottom w:val="dotted" w:sz="4" w:space="0" w:color="auto"/>
              <w:right w:val="dotted" w:sz="4" w:space="0" w:color="auto"/>
            </w:tcBorders>
            <w:noWrap/>
            <w:vAlign w:val="center"/>
            <w:hideMark/>
          </w:tcPr>
          <w:p w14:paraId="6CD6CCCC"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,322</w:t>
            </w:r>
            <w:r w:rsidRPr="006A4DC2">
              <w:rPr>
                <w:rFonts w:ascii="Times New Roman" w:eastAsia="Times New Roman" w:hAnsi="Times New Roman" w:cs="Times New Roman"/>
                <w:color w:val="000000" w:themeColor="text1"/>
                <w:sz w:val="20"/>
                <w:szCs w:val="20"/>
                <w:vertAlign w:val="superscript"/>
              </w:rPr>
              <w:t>**</w:t>
            </w:r>
          </w:p>
        </w:tc>
        <w:tc>
          <w:tcPr>
            <w:tcW w:w="791" w:type="dxa"/>
            <w:tcBorders>
              <w:top w:val="dotted" w:sz="4" w:space="0" w:color="auto"/>
              <w:left w:val="dotted" w:sz="4" w:space="0" w:color="auto"/>
              <w:bottom w:val="dotted" w:sz="4" w:space="0" w:color="auto"/>
              <w:right w:val="dotted" w:sz="4" w:space="0" w:color="auto"/>
            </w:tcBorders>
            <w:noWrap/>
            <w:vAlign w:val="center"/>
            <w:hideMark/>
          </w:tcPr>
          <w:p w14:paraId="077B97C3"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,054</w:t>
            </w:r>
          </w:p>
        </w:tc>
        <w:tc>
          <w:tcPr>
            <w:tcW w:w="791" w:type="dxa"/>
            <w:tcBorders>
              <w:top w:val="dotted" w:sz="4" w:space="0" w:color="auto"/>
              <w:left w:val="dotted" w:sz="4" w:space="0" w:color="auto"/>
              <w:bottom w:val="dotted" w:sz="4" w:space="0" w:color="auto"/>
              <w:right w:val="dotted" w:sz="4" w:space="0" w:color="auto"/>
            </w:tcBorders>
            <w:noWrap/>
            <w:vAlign w:val="center"/>
            <w:hideMark/>
          </w:tcPr>
          <w:p w14:paraId="2B79CBD0"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-,007</w:t>
            </w:r>
          </w:p>
        </w:tc>
        <w:tc>
          <w:tcPr>
            <w:tcW w:w="792" w:type="dxa"/>
            <w:tcBorders>
              <w:top w:val="dotted" w:sz="4" w:space="0" w:color="auto"/>
              <w:left w:val="dotted" w:sz="4" w:space="0" w:color="auto"/>
              <w:bottom w:val="dotted" w:sz="4" w:space="0" w:color="auto"/>
              <w:right w:val="dotted" w:sz="4" w:space="0" w:color="auto"/>
            </w:tcBorders>
            <w:noWrap/>
            <w:vAlign w:val="center"/>
            <w:hideMark/>
          </w:tcPr>
          <w:p w14:paraId="7A8CB856"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1</w:t>
            </w:r>
          </w:p>
        </w:tc>
        <w:tc>
          <w:tcPr>
            <w:tcW w:w="791" w:type="dxa"/>
            <w:tcBorders>
              <w:top w:val="dotted" w:sz="4" w:space="0" w:color="auto"/>
              <w:left w:val="dotted" w:sz="4" w:space="0" w:color="auto"/>
              <w:bottom w:val="dotted" w:sz="4" w:space="0" w:color="auto"/>
              <w:right w:val="dotted" w:sz="4" w:space="0" w:color="auto"/>
            </w:tcBorders>
            <w:noWrap/>
            <w:vAlign w:val="center"/>
            <w:hideMark/>
          </w:tcPr>
          <w:p w14:paraId="0388A9EA"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 </w:t>
            </w:r>
          </w:p>
        </w:tc>
        <w:tc>
          <w:tcPr>
            <w:tcW w:w="791" w:type="dxa"/>
            <w:tcBorders>
              <w:top w:val="dotted" w:sz="4" w:space="0" w:color="auto"/>
              <w:left w:val="dotted" w:sz="4" w:space="0" w:color="auto"/>
              <w:bottom w:val="dotted" w:sz="4" w:space="0" w:color="auto"/>
              <w:right w:val="dotted" w:sz="4" w:space="0" w:color="auto"/>
            </w:tcBorders>
            <w:noWrap/>
            <w:vAlign w:val="center"/>
            <w:hideMark/>
          </w:tcPr>
          <w:p w14:paraId="2CEB346D"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 </w:t>
            </w:r>
          </w:p>
        </w:tc>
        <w:tc>
          <w:tcPr>
            <w:tcW w:w="791" w:type="dxa"/>
            <w:tcBorders>
              <w:top w:val="dotted" w:sz="4" w:space="0" w:color="auto"/>
              <w:left w:val="dotted" w:sz="4" w:space="0" w:color="auto"/>
              <w:bottom w:val="dotted" w:sz="4" w:space="0" w:color="auto"/>
              <w:right w:val="dotted" w:sz="4" w:space="0" w:color="auto"/>
            </w:tcBorders>
            <w:noWrap/>
            <w:vAlign w:val="center"/>
            <w:hideMark/>
          </w:tcPr>
          <w:p w14:paraId="5646F8D6"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 </w:t>
            </w:r>
          </w:p>
        </w:tc>
        <w:tc>
          <w:tcPr>
            <w:tcW w:w="792" w:type="dxa"/>
            <w:tcBorders>
              <w:top w:val="dotted" w:sz="4" w:space="0" w:color="auto"/>
              <w:left w:val="dotted" w:sz="4" w:space="0" w:color="auto"/>
              <w:bottom w:val="dotted" w:sz="4" w:space="0" w:color="auto"/>
              <w:right w:val="single" w:sz="4" w:space="0" w:color="auto"/>
            </w:tcBorders>
            <w:noWrap/>
            <w:vAlign w:val="center"/>
            <w:hideMark/>
          </w:tcPr>
          <w:p w14:paraId="7BC50F44"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 </w:t>
            </w:r>
          </w:p>
        </w:tc>
      </w:tr>
      <w:tr w:rsidR="007C46D4" w:rsidRPr="006A4DC2" w14:paraId="72EDDDBC" w14:textId="77777777" w:rsidTr="007C46D4">
        <w:trPr>
          <w:trHeight w:val="300"/>
        </w:trPr>
        <w:tc>
          <w:tcPr>
            <w:tcW w:w="2737" w:type="dxa"/>
            <w:tcBorders>
              <w:top w:val="dotted" w:sz="4" w:space="0" w:color="auto"/>
              <w:left w:val="single" w:sz="4" w:space="0" w:color="auto"/>
              <w:bottom w:val="dotted" w:sz="4" w:space="0" w:color="auto"/>
              <w:right w:val="single" w:sz="4" w:space="0" w:color="auto"/>
            </w:tcBorders>
            <w:vAlign w:val="center"/>
            <w:hideMark/>
          </w:tcPr>
          <w:p w14:paraId="3F3CE4F5" w14:textId="77777777" w:rsidR="007C46D4" w:rsidRPr="006A4DC2" w:rsidRDefault="007C46D4">
            <w:pPr>
              <w:spacing w:after="0" w:line="240" w:lineRule="auto"/>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5- İş Tecrübesi</w:t>
            </w:r>
          </w:p>
        </w:tc>
        <w:tc>
          <w:tcPr>
            <w:tcW w:w="791" w:type="dxa"/>
            <w:tcBorders>
              <w:top w:val="dotted" w:sz="4" w:space="0" w:color="auto"/>
              <w:left w:val="single" w:sz="4" w:space="0" w:color="auto"/>
              <w:bottom w:val="dotted" w:sz="4" w:space="0" w:color="auto"/>
              <w:right w:val="dotted" w:sz="4" w:space="0" w:color="auto"/>
            </w:tcBorders>
            <w:noWrap/>
            <w:vAlign w:val="center"/>
            <w:hideMark/>
          </w:tcPr>
          <w:p w14:paraId="1E2854E3"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,521</w:t>
            </w:r>
            <w:r w:rsidRPr="006A4DC2">
              <w:rPr>
                <w:rFonts w:ascii="Times New Roman" w:eastAsia="Times New Roman" w:hAnsi="Times New Roman" w:cs="Times New Roman"/>
                <w:color w:val="000000" w:themeColor="text1"/>
                <w:sz w:val="20"/>
                <w:szCs w:val="20"/>
                <w:vertAlign w:val="superscript"/>
              </w:rPr>
              <w:t>**</w:t>
            </w:r>
          </w:p>
        </w:tc>
        <w:tc>
          <w:tcPr>
            <w:tcW w:w="791" w:type="dxa"/>
            <w:tcBorders>
              <w:top w:val="dotted" w:sz="4" w:space="0" w:color="auto"/>
              <w:left w:val="dotted" w:sz="4" w:space="0" w:color="auto"/>
              <w:bottom w:val="dotted" w:sz="4" w:space="0" w:color="auto"/>
              <w:right w:val="dotted" w:sz="4" w:space="0" w:color="auto"/>
            </w:tcBorders>
            <w:noWrap/>
            <w:vAlign w:val="center"/>
            <w:hideMark/>
          </w:tcPr>
          <w:p w14:paraId="0C4D3FB1"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-,077</w:t>
            </w:r>
          </w:p>
        </w:tc>
        <w:tc>
          <w:tcPr>
            <w:tcW w:w="791" w:type="dxa"/>
            <w:tcBorders>
              <w:top w:val="dotted" w:sz="4" w:space="0" w:color="auto"/>
              <w:left w:val="dotted" w:sz="4" w:space="0" w:color="auto"/>
              <w:bottom w:val="dotted" w:sz="4" w:space="0" w:color="auto"/>
              <w:right w:val="dotted" w:sz="4" w:space="0" w:color="auto"/>
            </w:tcBorders>
            <w:noWrap/>
            <w:vAlign w:val="center"/>
            <w:hideMark/>
          </w:tcPr>
          <w:p w14:paraId="0A9117C3"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-,016</w:t>
            </w:r>
          </w:p>
        </w:tc>
        <w:tc>
          <w:tcPr>
            <w:tcW w:w="792" w:type="dxa"/>
            <w:tcBorders>
              <w:top w:val="dotted" w:sz="4" w:space="0" w:color="auto"/>
              <w:left w:val="dotted" w:sz="4" w:space="0" w:color="auto"/>
              <w:bottom w:val="dotted" w:sz="4" w:space="0" w:color="auto"/>
              <w:right w:val="dotted" w:sz="4" w:space="0" w:color="auto"/>
            </w:tcBorders>
            <w:noWrap/>
            <w:vAlign w:val="center"/>
            <w:hideMark/>
          </w:tcPr>
          <w:p w14:paraId="7B4938A0"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,535</w:t>
            </w:r>
            <w:r w:rsidRPr="006A4DC2">
              <w:rPr>
                <w:rFonts w:ascii="Times New Roman" w:eastAsia="Times New Roman" w:hAnsi="Times New Roman" w:cs="Times New Roman"/>
                <w:color w:val="000000" w:themeColor="text1"/>
                <w:sz w:val="20"/>
                <w:szCs w:val="20"/>
                <w:vertAlign w:val="superscript"/>
              </w:rPr>
              <w:t>**</w:t>
            </w:r>
          </w:p>
        </w:tc>
        <w:tc>
          <w:tcPr>
            <w:tcW w:w="791" w:type="dxa"/>
            <w:tcBorders>
              <w:top w:val="dotted" w:sz="4" w:space="0" w:color="auto"/>
              <w:left w:val="dotted" w:sz="4" w:space="0" w:color="auto"/>
              <w:bottom w:val="dotted" w:sz="4" w:space="0" w:color="auto"/>
              <w:right w:val="dotted" w:sz="4" w:space="0" w:color="auto"/>
            </w:tcBorders>
            <w:noWrap/>
            <w:vAlign w:val="center"/>
            <w:hideMark/>
          </w:tcPr>
          <w:p w14:paraId="430E5972"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1</w:t>
            </w:r>
          </w:p>
        </w:tc>
        <w:tc>
          <w:tcPr>
            <w:tcW w:w="791" w:type="dxa"/>
            <w:tcBorders>
              <w:top w:val="dotted" w:sz="4" w:space="0" w:color="auto"/>
              <w:left w:val="dotted" w:sz="4" w:space="0" w:color="auto"/>
              <w:bottom w:val="dotted" w:sz="4" w:space="0" w:color="auto"/>
              <w:right w:val="dotted" w:sz="4" w:space="0" w:color="auto"/>
            </w:tcBorders>
            <w:noWrap/>
            <w:vAlign w:val="center"/>
            <w:hideMark/>
          </w:tcPr>
          <w:p w14:paraId="188A460E"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 </w:t>
            </w:r>
          </w:p>
        </w:tc>
        <w:tc>
          <w:tcPr>
            <w:tcW w:w="791" w:type="dxa"/>
            <w:tcBorders>
              <w:top w:val="dotted" w:sz="4" w:space="0" w:color="auto"/>
              <w:left w:val="dotted" w:sz="4" w:space="0" w:color="auto"/>
              <w:bottom w:val="dotted" w:sz="4" w:space="0" w:color="auto"/>
              <w:right w:val="dotted" w:sz="4" w:space="0" w:color="auto"/>
            </w:tcBorders>
            <w:noWrap/>
            <w:vAlign w:val="center"/>
            <w:hideMark/>
          </w:tcPr>
          <w:p w14:paraId="0BAE402F"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 </w:t>
            </w:r>
          </w:p>
        </w:tc>
        <w:tc>
          <w:tcPr>
            <w:tcW w:w="792" w:type="dxa"/>
            <w:tcBorders>
              <w:top w:val="dotted" w:sz="4" w:space="0" w:color="auto"/>
              <w:left w:val="dotted" w:sz="4" w:space="0" w:color="auto"/>
              <w:bottom w:val="dotted" w:sz="4" w:space="0" w:color="auto"/>
              <w:right w:val="single" w:sz="4" w:space="0" w:color="auto"/>
            </w:tcBorders>
            <w:noWrap/>
            <w:vAlign w:val="center"/>
            <w:hideMark/>
          </w:tcPr>
          <w:p w14:paraId="36E10E49"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 </w:t>
            </w:r>
          </w:p>
        </w:tc>
      </w:tr>
      <w:tr w:rsidR="007C46D4" w:rsidRPr="006A4DC2" w14:paraId="066FAF5C" w14:textId="77777777" w:rsidTr="007C46D4">
        <w:trPr>
          <w:trHeight w:val="300"/>
        </w:trPr>
        <w:tc>
          <w:tcPr>
            <w:tcW w:w="2737" w:type="dxa"/>
            <w:tcBorders>
              <w:top w:val="dotted" w:sz="4" w:space="0" w:color="auto"/>
              <w:left w:val="single" w:sz="4" w:space="0" w:color="auto"/>
              <w:bottom w:val="dotted" w:sz="4" w:space="0" w:color="auto"/>
              <w:right w:val="single" w:sz="4" w:space="0" w:color="auto"/>
            </w:tcBorders>
            <w:vAlign w:val="center"/>
            <w:hideMark/>
          </w:tcPr>
          <w:p w14:paraId="2A605F9F" w14:textId="77777777" w:rsidR="007C46D4" w:rsidRPr="006A4DC2" w:rsidRDefault="007C46D4">
            <w:pPr>
              <w:spacing w:after="0" w:line="240" w:lineRule="auto"/>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6- Çalışma Lokasyonu</w:t>
            </w:r>
          </w:p>
        </w:tc>
        <w:tc>
          <w:tcPr>
            <w:tcW w:w="791" w:type="dxa"/>
            <w:tcBorders>
              <w:top w:val="dotted" w:sz="4" w:space="0" w:color="auto"/>
              <w:left w:val="single" w:sz="4" w:space="0" w:color="auto"/>
              <w:bottom w:val="dotted" w:sz="4" w:space="0" w:color="auto"/>
              <w:right w:val="dotted" w:sz="4" w:space="0" w:color="auto"/>
            </w:tcBorders>
            <w:noWrap/>
            <w:vAlign w:val="center"/>
            <w:hideMark/>
          </w:tcPr>
          <w:p w14:paraId="4E412702"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,044</w:t>
            </w:r>
          </w:p>
        </w:tc>
        <w:tc>
          <w:tcPr>
            <w:tcW w:w="791" w:type="dxa"/>
            <w:tcBorders>
              <w:top w:val="dotted" w:sz="4" w:space="0" w:color="auto"/>
              <w:left w:val="dotted" w:sz="4" w:space="0" w:color="auto"/>
              <w:bottom w:val="dotted" w:sz="4" w:space="0" w:color="auto"/>
              <w:right w:val="dotted" w:sz="4" w:space="0" w:color="auto"/>
            </w:tcBorders>
            <w:noWrap/>
            <w:vAlign w:val="center"/>
            <w:hideMark/>
          </w:tcPr>
          <w:p w14:paraId="3482662C"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-,096</w:t>
            </w:r>
          </w:p>
        </w:tc>
        <w:tc>
          <w:tcPr>
            <w:tcW w:w="791" w:type="dxa"/>
            <w:tcBorders>
              <w:top w:val="dotted" w:sz="4" w:space="0" w:color="auto"/>
              <w:left w:val="dotted" w:sz="4" w:space="0" w:color="auto"/>
              <w:bottom w:val="dotted" w:sz="4" w:space="0" w:color="auto"/>
              <w:right w:val="dotted" w:sz="4" w:space="0" w:color="auto"/>
            </w:tcBorders>
            <w:noWrap/>
            <w:vAlign w:val="center"/>
            <w:hideMark/>
          </w:tcPr>
          <w:p w14:paraId="099675C9"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,213</w:t>
            </w:r>
            <w:r w:rsidRPr="006A4DC2">
              <w:rPr>
                <w:rFonts w:ascii="Times New Roman" w:eastAsia="Times New Roman" w:hAnsi="Times New Roman" w:cs="Times New Roman"/>
                <w:color w:val="000000" w:themeColor="text1"/>
                <w:sz w:val="20"/>
                <w:szCs w:val="20"/>
                <w:vertAlign w:val="superscript"/>
              </w:rPr>
              <w:t>**</w:t>
            </w:r>
          </w:p>
        </w:tc>
        <w:tc>
          <w:tcPr>
            <w:tcW w:w="792" w:type="dxa"/>
            <w:tcBorders>
              <w:top w:val="dotted" w:sz="4" w:space="0" w:color="auto"/>
              <w:left w:val="dotted" w:sz="4" w:space="0" w:color="auto"/>
              <w:bottom w:val="dotted" w:sz="4" w:space="0" w:color="auto"/>
              <w:right w:val="dotted" w:sz="4" w:space="0" w:color="auto"/>
            </w:tcBorders>
            <w:noWrap/>
            <w:vAlign w:val="center"/>
            <w:hideMark/>
          </w:tcPr>
          <w:p w14:paraId="6C3164A7"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-,051</w:t>
            </w:r>
          </w:p>
        </w:tc>
        <w:tc>
          <w:tcPr>
            <w:tcW w:w="791" w:type="dxa"/>
            <w:tcBorders>
              <w:top w:val="dotted" w:sz="4" w:space="0" w:color="auto"/>
              <w:left w:val="dotted" w:sz="4" w:space="0" w:color="auto"/>
              <w:bottom w:val="dotted" w:sz="4" w:space="0" w:color="auto"/>
              <w:right w:val="dotted" w:sz="4" w:space="0" w:color="auto"/>
            </w:tcBorders>
            <w:noWrap/>
            <w:vAlign w:val="center"/>
            <w:hideMark/>
          </w:tcPr>
          <w:p w14:paraId="3DEF4332"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,067</w:t>
            </w:r>
          </w:p>
        </w:tc>
        <w:tc>
          <w:tcPr>
            <w:tcW w:w="791" w:type="dxa"/>
            <w:tcBorders>
              <w:top w:val="dotted" w:sz="4" w:space="0" w:color="auto"/>
              <w:left w:val="dotted" w:sz="4" w:space="0" w:color="auto"/>
              <w:bottom w:val="dotted" w:sz="4" w:space="0" w:color="auto"/>
              <w:right w:val="dotted" w:sz="4" w:space="0" w:color="auto"/>
            </w:tcBorders>
            <w:noWrap/>
            <w:vAlign w:val="center"/>
            <w:hideMark/>
          </w:tcPr>
          <w:p w14:paraId="1EF197A1"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1</w:t>
            </w:r>
          </w:p>
        </w:tc>
        <w:tc>
          <w:tcPr>
            <w:tcW w:w="791" w:type="dxa"/>
            <w:tcBorders>
              <w:top w:val="dotted" w:sz="4" w:space="0" w:color="auto"/>
              <w:left w:val="dotted" w:sz="4" w:space="0" w:color="auto"/>
              <w:bottom w:val="dotted" w:sz="4" w:space="0" w:color="auto"/>
              <w:right w:val="dotted" w:sz="4" w:space="0" w:color="auto"/>
            </w:tcBorders>
            <w:noWrap/>
            <w:vAlign w:val="center"/>
            <w:hideMark/>
          </w:tcPr>
          <w:p w14:paraId="3552B363"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 </w:t>
            </w:r>
          </w:p>
        </w:tc>
        <w:tc>
          <w:tcPr>
            <w:tcW w:w="792" w:type="dxa"/>
            <w:tcBorders>
              <w:top w:val="dotted" w:sz="4" w:space="0" w:color="auto"/>
              <w:left w:val="dotted" w:sz="4" w:space="0" w:color="auto"/>
              <w:bottom w:val="dotted" w:sz="4" w:space="0" w:color="auto"/>
              <w:right w:val="single" w:sz="4" w:space="0" w:color="auto"/>
            </w:tcBorders>
            <w:noWrap/>
            <w:vAlign w:val="center"/>
            <w:hideMark/>
          </w:tcPr>
          <w:p w14:paraId="40B8A3C6"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 </w:t>
            </w:r>
          </w:p>
        </w:tc>
      </w:tr>
      <w:tr w:rsidR="007C46D4" w:rsidRPr="006A4DC2" w14:paraId="0E3EB2FE" w14:textId="77777777" w:rsidTr="007C46D4">
        <w:trPr>
          <w:trHeight w:val="300"/>
        </w:trPr>
        <w:tc>
          <w:tcPr>
            <w:tcW w:w="2737" w:type="dxa"/>
            <w:tcBorders>
              <w:top w:val="dotted" w:sz="4" w:space="0" w:color="auto"/>
              <w:left w:val="single" w:sz="4" w:space="0" w:color="auto"/>
              <w:bottom w:val="dotted" w:sz="4" w:space="0" w:color="auto"/>
              <w:right w:val="single" w:sz="4" w:space="0" w:color="auto"/>
            </w:tcBorders>
            <w:vAlign w:val="center"/>
            <w:hideMark/>
          </w:tcPr>
          <w:p w14:paraId="05A71A64" w14:textId="77777777" w:rsidR="007C46D4" w:rsidRPr="006A4DC2" w:rsidRDefault="007C46D4">
            <w:pPr>
              <w:spacing w:after="0" w:line="240" w:lineRule="auto"/>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7- Genel Performans Algısı</w:t>
            </w:r>
          </w:p>
        </w:tc>
        <w:tc>
          <w:tcPr>
            <w:tcW w:w="791" w:type="dxa"/>
            <w:tcBorders>
              <w:top w:val="dotted" w:sz="4" w:space="0" w:color="auto"/>
              <w:left w:val="single" w:sz="4" w:space="0" w:color="auto"/>
              <w:bottom w:val="dotted" w:sz="4" w:space="0" w:color="auto"/>
              <w:right w:val="dotted" w:sz="4" w:space="0" w:color="auto"/>
            </w:tcBorders>
            <w:noWrap/>
            <w:vAlign w:val="center"/>
            <w:hideMark/>
          </w:tcPr>
          <w:p w14:paraId="76AC2A1E"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-,078</w:t>
            </w:r>
          </w:p>
        </w:tc>
        <w:tc>
          <w:tcPr>
            <w:tcW w:w="791" w:type="dxa"/>
            <w:tcBorders>
              <w:top w:val="dotted" w:sz="4" w:space="0" w:color="auto"/>
              <w:left w:val="dotted" w:sz="4" w:space="0" w:color="auto"/>
              <w:bottom w:val="dotted" w:sz="4" w:space="0" w:color="auto"/>
              <w:right w:val="dotted" w:sz="4" w:space="0" w:color="auto"/>
            </w:tcBorders>
            <w:noWrap/>
            <w:vAlign w:val="center"/>
            <w:hideMark/>
          </w:tcPr>
          <w:p w14:paraId="45D8BF27"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,179</w:t>
            </w:r>
            <w:r w:rsidRPr="006A4DC2">
              <w:rPr>
                <w:rFonts w:ascii="Times New Roman" w:eastAsia="Times New Roman" w:hAnsi="Times New Roman" w:cs="Times New Roman"/>
                <w:color w:val="000000" w:themeColor="text1"/>
                <w:sz w:val="20"/>
                <w:szCs w:val="20"/>
                <w:vertAlign w:val="superscript"/>
              </w:rPr>
              <w:t>**</w:t>
            </w:r>
          </w:p>
        </w:tc>
        <w:tc>
          <w:tcPr>
            <w:tcW w:w="791" w:type="dxa"/>
            <w:tcBorders>
              <w:top w:val="dotted" w:sz="4" w:space="0" w:color="auto"/>
              <w:left w:val="dotted" w:sz="4" w:space="0" w:color="auto"/>
              <w:bottom w:val="dotted" w:sz="4" w:space="0" w:color="auto"/>
              <w:right w:val="dotted" w:sz="4" w:space="0" w:color="auto"/>
            </w:tcBorders>
            <w:noWrap/>
            <w:vAlign w:val="center"/>
            <w:hideMark/>
          </w:tcPr>
          <w:p w14:paraId="272A178E"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-,084</w:t>
            </w:r>
          </w:p>
        </w:tc>
        <w:tc>
          <w:tcPr>
            <w:tcW w:w="792" w:type="dxa"/>
            <w:tcBorders>
              <w:top w:val="dotted" w:sz="4" w:space="0" w:color="auto"/>
              <w:left w:val="dotted" w:sz="4" w:space="0" w:color="auto"/>
              <w:bottom w:val="dotted" w:sz="4" w:space="0" w:color="auto"/>
              <w:right w:val="dotted" w:sz="4" w:space="0" w:color="auto"/>
            </w:tcBorders>
            <w:noWrap/>
            <w:vAlign w:val="center"/>
            <w:hideMark/>
          </w:tcPr>
          <w:p w14:paraId="14D67B01"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,070</w:t>
            </w:r>
          </w:p>
        </w:tc>
        <w:tc>
          <w:tcPr>
            <w:tcW w:w="791" w:type="dxa"/>
            <w:tcBorders>
              <w:top w:val="dotted" w:sz="4" w:space="0" w:color="auto"/>
              <w:left w:val="dotted" w:sz="4" w:space="0" w:color="auto"/>
              <w:bottom w:val="dotted" w:sz="4" w:space="0" w:color="auto"/>
              <w:right w:val="dotted" w:sz="4" w:space="0" w:color="auto"/>
            </w:tcBorders>
            <w:noWrap/>
            <w:vAlign w:val="center"/>
            <w:hideMark/>
          </w:tcPr>
          <w:p w14:paraId="033995BB"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-,030</w:t>
            </w:r>
          </w:p>
        </w:tc>
        <w:tc>
          <w:tcPr>
            <w:tcW w:w="791" w:type="dxa"/>
            <w:tcBorders>
              <w:top w:val="dotted" w:sz="4" w:space="0" w:color="auto"/>
              <w:left w:val="dotted" w:sz="4" w:space="0" w:color="auto"/>
              <w:bottom w:val="dotted" w:sz="4" w:space="0" w:color="auto"/>
              <w:right w:val="dotted" w:sz="4" w:space="0" w:color="auto"/>
            </w:tcBorders>
            <w:noWrap/>
            <w:vAlign w:val="center"/>
            <w:hideMark/>
          </w:tcPr>
          <w:p w14:paraId="5331DB88"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-,149</w:t>
            </w:r>
            <w:r w:rsidRPr="006A4DC2">
              <w:rPr>
                <w:rFonts w:ascii="Times New Roman" w:eastAsia="Times New Roman" w:hAnsi="Times New Roman" w:cs="Times New Roman"/>
                <w:color w:val="000000" w:themeColor="text1"/>
                <w:sz w:val="20"/>
                <w:szCs w:val="20"/>
                <w:vertAlign w:val="superscript"/>
              </w:rPr>
              <w:t>*</w:t>
            </w:r>
          </w:p>
        </w:tc>
        <w:tc>
          <w:tcPr>
            <w:tcW w:w="791" w:type="dxa"/>
            <w:tcBorders>
              <w:top w:val="dotted" w:sz="4" w:space="0" w:color="auto"/>
              <w:left w:val="dotted" w:sz="4" w:space="0" w:color="auto"/>
              <w:bottom w:val="dotted" w:sz="4" w:space="0" w:color="auto"/>
              <w:right w:val="dotted" w:sz="4" w:space="0" w:color="auto"/>
            </w:tcBorders>
            <w:noWrap/>
            <w:vAlign w:val="center"/>
            <w:hideMark/>
          </w:tcPr>
          <w:p w14:paraId="3ABFDDE1"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1</w:t>
            </w:r>
          </w:p>
        </w:tc>
        <w:tc>
          <w:tcPr>
            <w:tcW w:w="792" w:type="dxa"/>
            <w:tcBorders>
              <w:top w:val="dotted" w:sz="4" w:space="0" w:color="auto"/>
              <w:left w:val="dotted" w:sz="4" w:space="0" w:color="auto"/>
              <w:bottom w:val="dotted" w:sz="4" w:space="0" w:color="auto"/>
              <w:right w:val="single" w:sz="4" w:space="0" w:color="auto"/>
            </w:tcBorders>
            <w:noWrap/>
            <w:vAlign w:val="center"/>
            <w:hideMark/>
          </w:tcPr>
          <w:p w14:paraId="6DAFD9AD"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 </w:t>
            </w:r>
          </w:p>
        </w:tc>
      </w:tr>
      <w:tr w:rsidR="007C46D4" w:rsidRPr="006A4DC2" w14:paraId="49B1EFE2" w14:textId="77777777" w:rsidTr="007C46D4">
        <w:trPr>
          <w:trHeight w:val="300"/>
        </w:trPr>
        <w:tc>
          <w:tcPr>
            <w:tcW w:w="2737" w:type="dxa"/>
            <w:tcBorders>
              <w:top w:val="dotted" w:sz="4" w:space="0" w:color="auto"/>
              <w:left w:val="single" w:sz="4" w:space="0" w:color="auto"/>
              <w:bottom w:val="single" w:sz="4" w:space="0" w:color="auto"/>
              <w:right w:val="single" w:sz="4" w:space="0" w:color="auto"/>
            </w:tcBorders>
            <w:vAlign w:val="center"/>
            <w:hideMark/>
          </w:tcPr>
          <w:p w14:paraId="1665788B" w14:textId="77777777" w:rsidR="007C46D4" w:rsidRPr="006A4DC2" w:rsidRDefault="007C46D4">
            <w:pPr>
              <w:spacing w:after="0" w:line="240" w:lineRule="auto"/>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8- Spesifik Performans Algısı</w:t>
            </w:r>
          </w:p>
        </w:tc>
        <w:tc>
          <w:tcPr>
            <w:tcW w:w="791" w:type="dxa"/>
            <w:tcBorders>
              <w:top w:val="dotted" w:sz="4" w:space="0" w:color="auto"/>
              <w:left w:val="single" w:sz="4" w:space="0" w:color="auto"/>
              <w:bottom w:val="single" w:sz="4" w:space="0" w:color="auto"/>
              <w:right w:val="dotted" w:sz="4" w:space="0" w:color="auto"/>
            </w:tcBorders>
            <w:noWrap/>
            <w:vAlign w:val="center"/>
            <w:hideMark/>
          </w:tcPr>
          <w:p w14:paraId="4DCE1DCC"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-,130</w:t>
            </w:r>
            <w:r w:rsidRPr="006A4DC2">
              <w:rPr>
                <w:rFonts w:ascii="Times New Roman" w:eastAsia="Times New Roman" w:hAnsi="Times New Roman" w:cs="Times New Roman"/>
                <w:color w:val="000000" w:themeColor="text1"/>
                <w:sz w:val="20"/>
                <w:szCs w:val="20"/>
                <w:vertAlign w:val="superscript"/>
              </w:rPr>
              <w:t>*</w:t>
            </w:r>
          </w:p>
        </w:tc>
        <w:tc>
          <w:tcPr>
            <w:tcW w:w="791" w:type="dxa"/>
            <w:tcBorders>
              <w:top w:val="dotted" w:sz="4" w:space="0" w:color="auto"/>
              <w:left w:val="dotted" w:sz="4" w:space="0" w:color="auto"/>
              <w:bottom w:val="single" w:sz="4" w:space="0" w:color="auto"/>
              <w:right w:val="dotted" w:sz="4" w:space="0" w:color="auto"/>
            </w:tcBorders>
            <w:noWrap/>
            <w:vAlign w:val="center"/>
            <w:hideMark/>
          </w:tcPr>
          <w:p w14:paraId="775A08E0"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,158</w:t>
            </w:r>
            <w:r w:rsidRPr="006A4DC2">
              <w:rPr>
                <w:rFonts w:ascii="Times New Roman" w:eastAsia="Times New Roman" w:hAnsi="Times New Roman" w:cs="Times New Roman"/>
                <w:color w:val="000000" w:themeColor="text1"/>
                <w:sz w:val="20"/>
                <w:szCs w:val="20"/>
                <w:vertAlign w:val="superscript"/>
              </w:rPr>
              <w:t>*</w:t>
            </w:r>
          </w:p>
        </w:tc>
        <w:tc>
          <w:tcPr>
            <w:tcW w:w="791" w:type="dxa"/>
            <w:tcBorders>
              <w:top w:val="dotted" w:sz="4" w:space="0" w:color="auto"/>
              <w:left w:val="dotted" w:sz="4" w:space="0" w:color="auto"/>
              <w:bottom w:val="single" w:sz="4" w:space="0" w:color="auto"/>
              <w:right w:val="dotted" w:sz="4" w:space="0" w:color="auto"/>
            </w:tcBorders>
            <w:noWrap/>
            <w:vAlign w:val="center"/>
            <w:hideMark/>
          </w:tcPr>
          <w:p w14:paraId="54137D8C"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-,143</w:t>
            </w:r>
            <w:r w:rsidRPr="006A4DC2">
              <w:rPr>
                <w:rFonts w:ascii="Times New Roman" w:eastAsia="Times New Roman" w:hAnsi="Times New Roman" w:cs="Times New Roman"/>
                <w:color w:val="000000" w:themeColor="text1"/>
                <w:sz w:val="20"/>
                <w:szCs w:val="20"/>
                <w:vertAlign w:val="superscript"/>
              </w:rPr>
              <w:t>*</w:t>
            </w:r>
          </w:p>
        </w:tc>
        <w:tc>
          <w:tcPr>
            <w:tcW w:w="792" w:type="dxa"/>
            <w:tcBorders>
              <w:top w:val="dotted" w:sz="4" w:space="0" w:color="auto"/>
              <w:left w:val="dotted" w:sz="4" w:space="0" w:color="auto"/>
              <w:bottom w:val="single" w:sz="4" w:space="0" w:color="auto"/>
              <w:right w:val="dotted" w:sz="4" w:space="0" w:color="auto"/>
            </w:tcBorders>
            <w:noWrap/>
            <w:vAlign w:val="center"/>
            <w:hideMark/>
          </w:tcPr>
          <w:p w14:paraId="0AC44D96"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,004</w:t>
            </w:r>
          </w:p>
        </w:tc>
        <w:tc>
          <w:tcPr>
            <w:tcW w:w="791" w:type="dxa"/>
            <w:tcBorders>
              <w:top w:val="dotted" w:sz="4" w:space="0" w:color="auto"/>
              <w:left w:val="dotted" w:sz="4" w:space="0" w:color="auto"/>
              <w:bottom w:val="single" w:sz="4" w:space="0" w:color="auto"/>
              <w:right w:val="dotted" w:sz="4" w:space="0" w:color="auto"/>
            </w:tcBorders>
            <w:noWrap/>
            <w:vAlign w:val="center"/>
            <w:hideMark/>
          </w:tcPr>
          <w:p w14:paraId="27E13249"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-,081</w:t>
            </w:r>
          </w:p>
        </w:tc>
        <w:tc>
          <w:tcPr>
            <w:tcW w:w="791" w:type="dxa"/>
            <w:tcBorders>
              <w:top w:val="dotted" w:sz="4" w:space="0" w:color="auto"/>
              <w:left w:val="dotted" w:sz="4" w:space="0" w:color="auto"/>
              <w:bottom w:val="single" w:sz="4" w:space="0" w:color="auto"/>
              <w:right w:val="dotted" w:sz="4" w:space="0" w:color="auto"/>
            </w:tcBorders>
            <w:noWrap/>
            <w:vAlign w:val="center"/>
            <w:hideMark/>
          </w:tcPr>
          <w:p w14:paraId="0552D63E"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-,116</w:t>
            </w:r>
          </w:p>
        </w:tc>
        <w:tc>
          <w:tcPr>
            <w:tcW w:w="791" w:type="dxa"/>
            <w:tcBorders>
              <w:top w:val="dotted" w:sz="4" w:space="0" w:color="auto"/>
              <w:left w:val="dotted" w:sz="4" w:space="0" w:color="auto"/>
              <w:bottom w:val="single" w:sz="4" w:space="0" w:color="auto"/>
              <w:right w:val="dotted" w:sz="4" w:space="0" w:color="auto"/>
            </w:tcBorders>
            <w:noWrap/>
            <w:vAlign w:val="center"/>
            <w:hideMark/>
          </w:tcPr>
          <w:p w14:paraId="55F1B315"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,836</w:t>
            </w:r>
            <w:r w:rsidRPr="006A4DC2">
              <w:rPr>
                <w:rFonts w:ascii="Times New Roman" w:eastAsia="Times New Roman" w:hAnsi="Times New Roman" w:cs="Times New Roman"/>
                <w:color w:val="000000" w:themeColor="text1"/>
                <w:sz w:val="20"/>
                <w:szCs w:val="20"/>
                <w:vertAlign w:val="superscript"/>
              </w:rPr>
              <w:t>**</w:t>
            </w:r>
          </w:p>
        </w:tc>
        <w:tc>
          <w:tcPr>
            <w:tcW w:w="792" w:type="dxa"/>
            <w:tcBorders>
              <w:top w:val="dotted" w:sz="4" w:space="0" w:color="auto"/>
              <w:left w:val="dotted" w:sz="4" w:space="0" w:color="auto"/>
              <w:bottom w:val="single" w:sz="4" w:space="0" w:color="auto"/>
              <w:right w:val="single" w:sz="4" w:space="0" w:color="auto"/>
            </w:tcBorders>
            <w:noWrap/>
            <w:vAlign w:val="center"/>
            <w:hideMark/>
          </w:tcPr>
          <w:p w14:paraId="34700D10" w14:textId="77777777" w:rsidR="007C46D4" w:rsidRPr="006A4DC2" w:rsidRDefault="007C46D4">
            <w:pPr>
              <w:spacing w:after="0" w:line="240" w:lineRule="auto"/>
              <w:jc w:val="right"/>
              <w:rPr>
                <w:rFonts w:ascii="Times New Roman" w:eastAsia="Times New Roman" w:hAnsi="Times New Roman" w:cs="Times New Roman"/>
                <w:color w:val="000000" w:themeColor="text1"/>
                <w:sz w:val="20"/>
                <w:szCs w:val="20"/>
              </w:rPr>
            </w:pPr>
            <w:r w:rsidRPr="006A4DC2">
              <w:rPr>
                <w:rFonts w:ascii="Times New Roman" w:eastAsia="Times New Roman" w:hAnsi="Times New Roman" w:cs="Times New Roman"/>
                <w:color w:val="000000" w:themeColor="text1"/>
                <w:sz w:val="20"/>
                <w:szCs w:val="20"/>
              </w:rPr>
              <w:t>1</w:t>
            </w:r>
          </w:p>
        </w:tc>
      </w:tr>
    </w:tbl>
    <w:p w14:paraId="4A4C9F78" w14:textId="77777777" w:rsidR="007C46D4" w:rsidRPr="00164238" w:rsidRDefault="007C46D4" w:rsidP="007C46D4">
      <w:pPr>
        <w:jc w:val="both"/>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*p&lt;0,05; **p&lt;0,01</w:t>
      </w:r>
    </w:p>
    <w:p w14:paraId="788EADC9" w14:textId="77777777" w:rsidR="007C46D4" w:rsidRPr="00164238" w:rsidRDefault="007C46D4" w:rsidP="00885A08">
      <w:pPr>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Tablo 3 incelendiğinde, çalışma lokasyonu ile genel görev performans algısı arasında bir ilişki olduğu görülmektedir. Kodlamanın 1- evden çalışma, 2- bazen ev bazen işyerinden (hibrit) çalışma ve 3- işyerinden çalışma şeklinde yapıldığı göz önüne alındığında, işyerinde çalışanların genel olarak </w:t>
      </w:r>
      <w:r w:rsidRPr="00164238">
        <w:rPr>
          <w:rFonts w:ascii="Times New Roman" w:hAnsi="Times New Roman" w:cs="Times New Roman"/>
          <w:color w:val="000000" w:themeColor="text1"/>
          <w:sz w:val="20"/>
          <w:szCs w:val="20"/>
        </w:rPr>
        <w:lastRenderedPageBreak/>
        <w:t>performanslarının düştüğünü düşündüklerini söyleyebiliriz. Bir başka deyişle evden çalışan kişiler, daha yüksek genel görev performansı gösterdiklerini düşünmektedirler. Dolayısıyla da H1 hipotezimiz desteklenmektedir. Spesifik görev performansı algısı ise istatistiki olarak eşik değere çok yakın (p=0,062) çıkmıştır ve yine evden çalışanların spesifik görev performansı algıları da işyerinde çalışanlara göre daha yüksektir ama p değerinin 0,05’ten büyük olması sebebiyle istatistiki düzeyde anlamlıdır diyememekteyiz. Dolayısıyla H2 hipotezimiz desteklenmemektedir.</w:t>
      </w:r>
    </w:p>
    <w:p w14:paraId="14ADE724" w14:textId="77777777" w:rsidR="007C46D4" w:rsidRPr="00164238" w:rsidRDefault="007C46D4" w:rsidP="00885A08">
      <w:pPr>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Gruplar arası farklılaşmanın olup olmadığının belirlenebilmesi için tek yönlü ANOVA testi uygulanmış (F=6,166 ve p=,002) sonrasında hangi grubun ayrıştığının tespiti için de Sidak Post Hoc testi uygulanmış ve sonuçları Tablo 4’te raporlanmıştır.</w:t>
      </w:r>
    </w:p>
    <w:p w14:paraId="6E8911F0" w14:textId="77777777" w:rsidR="007C46D4" w:rsidRPr="00164238" w:rsidRDefault="007C46D4" w:rsidP="007C46D4">
      <w:pPr>
        <w:pStyle w:val="ResimYazs"/>
        <w:keepNext/>
        <w:rPr>
          <w:i w:val="0"/>
          <w:iCs w:val="0"/>
          <w:color w:val="000000" w:themeColor="text1"/>
          <w:lang w:val="tr-TR"/>
        </w:rPr>
      </w:pPr>
      <w:r w:rsidRPr="00164238">
        <w:rPr>
          <w:i w:val="0"/>
          <w:iCs w:val="0"/>
          <w:color w:val="000000" w:themeColor="text1"/>
          <w:lang w:val="tr-TR"/>
        </w:rPr>
        <w:t xml:space="preserve">Tablo </w:t>
      </w:r>
      <w:r w:rsidRPr="00164238">
        <w:rPr>
          <w:i w:val="0"/>
          <w:iCs w:val="0"/>
          <w:noProof/>
          <w:color w:val="000000" w:themeColor="text1"/>
          <w:lang w:val="tr-TR"/>
        </w:rPr>
        <w:t>4</w:t>
      </w:r>
      <w:r w:rsidRPr="00164238">
        <w:rPr>
          <w:i w:val="0"/>
          <w:iCs w:val="0"/>
          <w:color w:val="000000" w:themeColor="text1"/>
          <w:lang w:val="tr-TR"/>
        </w:rPr>
        <w:t xml:space="preserve">. Çalışma Lokasyonu ANOVA Test </w:t>
      </w:r>
      <w:r w:rsidRPr="00164238">
        <w:rPr>
          <w:i w:val="0"/>
          <w:iCs w:val="0"/>
          <w:noProof/>
          <w:color w:val="000000" w:themeColor="text1"/>
          <w:lang w:val="tr-TR"/>
        </w:rPr>
        <w:t>Sonuçları</w:t>
      </w:r>
    </w:p>
    <w:tbl>
      <w:tblPr>
        <w:tblW w:w="9201"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ook w:val="04A0" w:firstRow="1" w:lastRow="0" w:firstColumn="1" w:lastColumn="0" w:noHBand="0" w:noVBand="1"/>
      </w:tblPr>
      <w:tblGrid>
        <w:gridCol w:w="1440"/>
        <w:gridCol w:w="823"/>
        <w:gridCol w:w="1788"/>
        <w:gridCol w:w="1473"/>
        <w:gridCol w:w="992"/>
        <w:gridCol w:w="1417"/>
        <w:gridCol w:w="1268"/>
      </w:tblGrid>
      <w:tr w:rsidR="00164238" w:rsidRPr="00164238" w14:paraId="27AF8D82" w14:textId="77777777" w:rsidTr="007C46D4">
        <w:trPr>
          <w:trHeight w:val="315"/>
        </w:trPr>
        <w:tc>
          <w:tcPr>
            <w:tcW w:w="2263" w:type="dxa"/>
            <w:gridSpan w:val="2"/>
            <w:vMerge w:val="restart"/>
            <w:tcBorders>
              <w:top w:val="single" w:sz="4" w:space="0" w:color="auto"/>
              <w:left w:val="single" w:sz="4" w:space="0" w:color="auto"/>
              <w:bottom w:val="single" w:sz="4" w:space="0" w:color="auto"/>
              <w:right w:val="dotted" w:sz="4" w:space="0" w:color="000000"/>
            </w:tcBorders>
            <w:vAlign w:val="center"/>
            <w:hideMark/>
          </w:tcPr>
          <w:p w14:paraId="1B82176E" w14:textId="77777777" w:rsidR="007C46D4" w:rsidRPr="00164238" w:rsidRDefault="007C46D4">
            <w:pPr>
              <w:spacing w:after="0" w:line="240" w:lineRule="auto"/>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(I) Çalışma Lokasyonu</w:t>
            </w:r>
          </w:p>
        </w:tc>
        <w:tc>
          <w:tcPr>
            <w:tcW w:w="1788" w:type="dxa"/>
            <w:vMerge w:val="restart"/>
            <w:tcBorders>
              <w:top w:val="single" w:sz="4" w:space="0" w:color="auto"/>
              <w:left w:val="dotted" w:sz="4" w:space="0" w:color="000000"/>
              <w:bottom w:val="single" w:sz="4" w:space="0" w:color="auto"/>
              <w:right w:val="dotted" w:sz="4" w:space="0" w:color="000000"/>
            </w:tcBorders>
            <w:vAlign w:val="center"/>
            <w:hideMark/>
          </w:tcPr>
          <w:p w14:paraId="68C99885" w14:textId="77777777" w:rsidR="007C46D4" w:rsidRPr="00164238" w:rsidRDefault="007C46D4">
            <w:pPr>
              <w:spacing w:after="0" w:line="240" w:lineRule="auto"/>
              <w:jc w:val="center"/>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Ortalamalar Farkı (I-J)</w:t>
            </w:r>
          </w:p>
        </w:tc>
        <w:tc>
          <w:tcPr>
            <w:tcW w:w="1473" w:type="dxa"/>
            <w:vMerge w:val="restart"/>
            <w:tcBorders>
              <w:top w:val="single" w:sz="4" w:space="0" w:color="auto"/>
              <w:left w:val="dotted" w:sz="4" w:space="0" w:color="000000"/>
              <w:bottom w:val="single" w:sz="4" w:space="0" w:color="auto"/>
              <w:right w:val="dotted" w:sz="4" w:space="0" w:color="000000"/>
            </w:tcBorders>
            <w:vAlign w:val="center"/>
            <w:hideMark/>
          </w:tcPr>
          <w:p w14:paraId="18ED240C" w14:textId="77777777" w:rsidR="007C46D4" w:rsidRPr="00164238" w:rsidRDefault="007C46D4">
            <w:pPr>
              <w:spacing w:after="0" w:line="240" w:lineRule="auto"/>
              <w:jc w:val="center"/>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Standard Hata</w:t>
            </w:r>
          </w:p>
        </w:tc>
        <w:tc>
          <w:tcPr>
            <w:tcW w:w="992" w:type="dxa"/>
            <w:vMerge w:val="restart"/>
            <w:tcBorders>
              <w:top w:val="single" w:sz="4" w:space="0" w:color="auto"/>
              <w:left w:val="dotted" w:sz="4" w:space="0" w:color="000000"/>
              <w:bottom w:val="single" w:sz="4" w:space="0" w:color="auto"/>
              <w:right w:val="dotted" w:sz="4" w:space="0" w:color="000000"/>
            </w:tcBorders>
            <w:vAlign w:val="center"/>
            <w:hideMark/>
          </w:tcPr>
          <w:p w14:paraId="5C8CB241" w14:textId="77777777" w:rsidR="007C46D4" w:rsidRPr="00164238" w:rsidRDefault="007C46D4">
            <w:pPr>
              <w:spacing w:after="0" w:line="240" w:lineRule="auto"/>
              <w:jc w:val="center"/>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p</w:t>
            </w:r>
          </w:p>
        </w:tc>
        <w:tc>
          <w:tcPr>
            <w:tcW w:w="2685" w:type="dxa"/>
            <w:gridSpan w:val="2"/>
            <w:tcBorders>
              <w:top w:val="single" w:sz="4" w:space="0" w:color="auto"/>
              <w:left w:val="dotted" w:sz="4" w:space="0" w:color="000000"/>
              <w:bottom w:val="dotted" w:sz="4" w:space="0" w:color="000000"/>
              <w:right w:val="single" w:sz="4" w:space="0" w:color="auto"/>
            </w:tcBorders>
            <w:vAlign w:val="center"/>
            <w:hideMark/>
          </w:tcPr>
          <w:p w14:paraId="1C9F55E9" w14:textId="77777777" w:rsidR="007C46D4" w:rsidRPr="00164238" w:rsidRDefault="007C46D4">
            <w:pPr>
              <w:spacing w:after="0" w:line="240" w:lineRule="auto"/>
              <w:jc w:val="center"/>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95% Güvenilirlik Aralığı</w:t>
            </w:r>
          </w:p>
        </w:tc>
      </w:tr>
      <w:tr w:rsidR="00164238" w:rsidRPr="00164238" w14:paraId="041B26F3" w14:textId="77777777" w:rsidTr="007C46D4">
        <w:trPr>
          <w:trHeight w:val="510"/>
        </w:trPr>
        <w:tc>
          <w:tcPr>
            <w:tcW w:w="0" w:type="auto"/>
            <w:gridSpan w:val="2"/>
            <w:vMerge/>
            <w:tcBorders>
              <w:top w:val="single" w:sz="4" w:space="0" w:color="auto"/>
              <w:left w:val="single" w:sz="4" w:space="0" w:color="auto"/>
              <w:bottom w:val="single" w:sz="4" w:space="0" w:color="auto"/>
              <w:right w:val="dotted" w:sz="4" w:space="0" w:color="000000"/>
            </w:tcBorders>
            <w:vAlign w:val="center"/>
            <w:hideMark/>
          </w:tcPr>
          <w:p w14:paraId="14D4811B" w14:textId="77777777" w:rsidR="007C46D4" w:rsidRPr="00164238" w:rsidRDefault="007C46D4">
            <w:pPr>
              <w:spacing w:after="0"/>
              <w:rPr>
                <w:rFonts w:ascii="Times New Roman" w:eastAsia="Times New Roman" w:hAnsi="Times New Roman" w:cs="Times New Roman"/>
                <w:color w:val="000000" w:themeColor="text1"/>
                <w:sz w:val="20"/>
                <w:szCs w:val="20"/>
              </w:rPr>
            </w:pPr>
          </w:p>
        </w:tc>
        <w:tc>
          <w:tcPr>
            <w:tcW w:w="0" w:type="auto"/>
            <w:vMerge/>
            <w:tcBorders>
              <w:top w:val="single" w:sz="4" w:space="0" w:color="auto"/>
              <w:left w:val="dotted" w:sz="4" w:space="0" w:color="000000"/>
              <w:bottom w:val="single" w:sz="4" w:space="0" w:color="auto"/>
              <w:right w:val="dotted" w:sz="4" w:space="0" w:color="000000"/>
            </w:tcBorders>
            <w:vAlign w:val="center"/>
            <w:hideMark/>
          </w:tcPr>
          <w:p w14:paraId="3769AA39" w14:textId="77777777" w:rsidR="007C46D4" w:rsidRPr="00164238" w:rsidRDefault="007C46D4">
            <w:pPr>
              <w:spacing w:after="0"/>
              <w:rPr>
                <w:rFonts w:ascii="Times New Roman" w:eastAsia="Times New Roman" w:hAnsi="Times New Roman" w:cs="Times New Roman"/>
                <w:color w:val="000000" w:themeColor="text1"/>
                <w:sz w:val="20"/>
                <w:szCs w:val="20"/>
              </w:rPr>
            </w:pPr>
          </w:p>
        </w:tc>
        <w:tc>
          <w:tcPr>
            <w:tcW w:w="0" w:type="auto"/>
            <w:vMerge/>
            <w:tcBorders>
              <w:top w:val="single" w:sz="4" w:space="0" w:color="auto"/>
              <w:left w:val="dotted" w:sz="4" w:space="0" w:color="000000"/>
              <w:bottom w:val="single" w:sz="4" w:space="0" w:color="auto"/>
              <w:right w:val="dotted" w:sz="4" w:space="0" w:color="000000"/>
            </w:tcBorders>
            <w:vAlign w:val="center"/>
            <w:hideMark/>
          </w:tcPr>
          <w:p w14:paraId="6BB41622" w14:textId="77777777" w:rsidR="007C46D4" w:rsidRPr="00164238" w:rsidRDefault="007C46D4">
            <w:pPr>
              <w:spacing w:after="0"/>
              <w:rPr>
                <w:rFonts w:ascii="Times New Roman" w:eastAsia="Times New Roman" w:hAnsi="Times New Roman" w:cs="Times New Roman"/>
                <w:color w:val="000000" w:themeColor="text1"/>
                <w:sz w:val="20"/>
                <w:szCs w:val="20"/>
              </w:rPr>
            </w:pPr>
          </w:p>
        </w:tc>
        <w:tc>
          <w:tcPr>
            <w:tcW w:w="0" w:type="auto"/>
            <w:vMerge/>
            <w:tcBorders>
              <w:top w:val="single" w:sz="4" w:space="0" w:color="auto"/>
              <w:left w:val="dotted" w:sz="4" w:space="0" w:color="000000"/>
              <w:bottom w:val="single" w:sz="4" w:space="0" w:color="auto"/>
              <w:right w:val="dotted" w:sz="4" w:space="0" w:color="000000"/>
            </w:tcBorders>
            <w:vAlign w:val="center"/>
            <w:hideMark/>
          </w:tcPr>
          <w:p w14:paraId="76C216DA" w14:textId="77777777" w:rsidR="007C46D4" w:rsidRPr="00164238" w:rsidRDefault="007C46D4">
            <w:pPr>
              <w:spacing w:after="0"/>
              <w:rPr>
                <w:rFonts w:ascii="Times New Roman" w:eastAsia="Times New Roman" w:hAnsi="Times New Roman" w:cs="Times New Roman"/>
                <w:color w:val="000000" w:themeColor="text1"/>
                <w:sz w:val="20"/>
                <w:szCs w:val="20"/>
              </w:rPr>
            </w:pPr>
          </w:p>
        </w:tc>
        <w:tc>
          <w:tcPr>
            <w:tcW w:w="1417" w:type="dxa"/>
            <w:tcBorders>
              <w:top w:val="dotted" w:sz="4" w:space="0" w:color="000000"/>
              <w:left w:val="dotted" w:sz="4" w:space="0" w:color="000000"/>
              <w:bottom w:val="single" w:sz="4" w:space="0" w:color="auto"/>
              <w:right w:val="dotted" w:sz="4" w:space="0" w:color="000000"/>
            </w:tcBorders>
            <w:vAlign w:val="center"/>
            <w:hideMark/>
          </w:tcPr>
          <w:p w14:paraId="0EF396D2" w14:textId="77777777" w:rsidR="007C46D4" w:rsidRPr="00164238" w:rsidRDefault="007C46D4">
            <w:pPr>
              <w:spacing w:after="0" w:line="240" w:lineRule="auto"/>
              <w:jc w:val="center"/>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Alt Sınır</w:t>
            </w:r>
          </w:p>
        </w:tc>
        <w:tc>
          <w:tcPr>
            <w:tcW w:w="1268" w:type="dxa"/>
            <w:tcBorders>
              <w:top w:val="dotted" w:sz="4" w:space="0" w:color="000000"/>
              <w:left w:val="dotted" w:sz="4" w:space="0" w:color="000000"/>
              <w:bottom w:val="single" w:sz="4" w:space="0" w:color="auto"/>
              <w:right w:val="single" w:sz="4" w:space="0" w:color="auto"/>
            </w:tcBorders>
            <w:vAlign w:val="center"/>
            <w:hideMark/>
          </w:tcPr>
          <w:p w14:paraId="31ED9FE0" w14:textId="77777777" w:rsidR="007C46D4" w:rsidRPr="00164238" w:rsidRDefault="007C46D4">
            <w:pPr>
              <w:spacing w:after="0" w:line="240" w:lineRule="auto"/>
              <w:jc w:val="center"/>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Üst Sınır</w:t>
            </w:r>
          </w:p>
        </w:tc>
      </w:tr>
      <w:tr w:rsidR="00164238" w:rsidRPr="00164238" w14:paraId="5F539484" w14:textId="77777777" w:rsidTr="007C46D4">
        <w:trPr>
          <w:trHeight w:val="315"/>
        </w:trPr>
        <w:tc>
          <w:tcPr>
            <w:tcW w:w="1440" w:type="dxa"/>
            <w:vMerge w:val="restart"/>
            <w:tcBorders>
              <w:top w:val="single" w:sz="4" w:space="0" w:color="auto"/>
              <w:left w:val="single" w:sz="4" w:space="0" w:color="auto"/>
              <w:bottom w:val="dotted" w:sz="4" w:space="0" w:color="000000"/>
              <w:right w:val="dotted" w:sz="4" w:space="0" w:color="000000"/>
            </w:tcBorders>
            <w:noWrap/>
            <w:vAlign w:val="center"/>
            <w:hideMark/>
          </w:tcPr>
          <w:p w14:paraId="20B1F233" w14:textId="77777777" w:rsidR="007C46D4" w:rsidRPr="00164238" w:rsidRDefault="007C46D4">
            <w:pPr>
              <w:spacing w:after="0" w:line="240" w:lineRule="auto"/>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1,00</w:t>
            </w:r>
          </w:p>
        </w:tc>
        <w:tc>
          <w:tcPr>
            <w:tcW w:w="823" w:type="dxa"/>
            <w:tcBorders>
              <w:top w:val="single" w:sz="4" w:space="0" w:color="auto"/>
              <w:left w:val="dotted" w:sz="4" w:space="0" w:color="000000"/>
              <w:bottom w:val="dotted" w:sz="4" w:space="0" w:color="000000"/>
              <w:right w:val="dotted" w:sz="4" w:space="0" w:color="000000"/>
            </w:tcBorders>
            <w:noWrap/>
            <w:vAlign w:val="center"/>
            <w:hideMark/>
          </w:tcPr>
          <w:p w14:paraId="65A551A9" w14:textId="77777777" w:rsidR="007C46D4" w:rsidRPr="00164238" w:rsidRDefault="007C46D4">
            <w:pPr>
              <w:spacing w:after="0" w:line="240" w:lineRule="auto"/>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2,00</w:t>
            </w:r>
          </w:p>
        </w:tc>
        <w:tc>
          <w:tcPr>
            <w:tcW w:w="1788" w:type="dxa"/>
            <w:tcBorders>
              <w:top w:val="single" w:sz="4" w:space="0" w:color="auto"/>
              <w:left w:val="dotted" w:sz="4" w:space="0" w:color="000000"/>
              <w:bottom w:val="dotted" w:sz="4" w:space="0" w:color="000000"/>
              <w:right w:val="dotted" w:sz="4" w:space="0" w:color="000000"/>
            </w:tcBorders>
            <w:noWrap/>
            <w:vAlign w:val="center"/>
            <w:hideMark/>
          </w:tcPr>
          <w:p w14:paraId="123AB702"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,03717</w:t>
            </w:r>
          </w:p>
        </w:tc>
        <w:tc>
          <w:tcPr>
            <w:tcW w:w="1473" w:type="dxa"/>
            <w:tcBorders>
              <w:top w:val="single" w:sz="4" w:space="0" w:color="auto"/>
              <w:left w:val="dotted" w:sz="4" w:space="0" w:color="000000"/>
              <w:bottom w:val="dotted" w:sz="4" w:space="0" w:color="000000"/>
              <w:right w:val="dotted" w:sz="4" w:space="0" w:color="000000"/>
            </w:tcBorders>
            <w:noWrap/>
            <w:vAlign w:val="center"/>
            <w:hideMark/>
          </w:tcPr>
          <w:p w14:paraId="718B8FCE"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,19210</w:t>
            </w:r>
          </w:p>
        </w:tc>
        <w:tc>
          <w:tcPr>
            <w:tcW w:w="992" w:type="dxa"/>
            <w:tcBorders>
              <w:top w:val="single" w:sz="4" w:space="0" w:color="auto"/>
              <w:left w:val="dotted" w:sz="4" w:space="0" w:color="000000"/>
              <w:bottom w:val="dotted" w:sz="4" w:space="0" w:color="000000"/>
              <w:right w:val="dotted" w:sz="4" w:space="0" w:color="000000"/>
            </w:tcBorders>
            <w:noWrap/>
            <w:vAlign w:val="center"/>
            <w:hideMark/>
          </w:tcPr>
          <w:p w14:paraId="1218C800"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,996</w:t>
            </w:r>
          </w:p>
        </w:tc>
        <w:tc>
          <w:tcPr>
            <w:tcW w:w="1417" w:type="dxa"/>
            <w:tcBorders>
              <w:top w:val="single" w:sz="4" w:space="0" w:color="auto"/>
              <w:left w:val="dotted" w:sz="4" w:space="0" w:color="000000"/>
              <w:bottom w:val="dotted" w:sz="4" w:space="0" w:color="000000"/>
              <w:right w:val="dotted" w:sz="4" w:space="0" w:color="000000"/>
            </w:tcBorders>
            <w:noWrap/>
            <w:vAlign w:val="center"/>
            <w:hideMark/>
          </w:tcPr>
          <w:p w14:paraId="5BBD6CB5"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-,4245</w:t>
            </w:r>
          </w:p>
        </w:tc>
        <w:tc>
          <w:tcPr>
            <w:tcW w:w="1268" w:type="dxa"/>
            <w:tcBorders>
              <w:top w:val="single" w:sz="4" w:space="0" w:color="auto"/>
              <w:left w:val="dotted" w:sz="4" w:space="0" w:color="000000"/>
              <w:bottom w:val="dotted" w:sz="4" w:space="0" w:color="000000"/>
              <w:right w:val="single" w:sz="4" w:space="0" w:color="auto"/>
            </w:tcBorders>
            <w:noWrap/>
            <w:vAlign w:val="center"/>
            <w:hideMark/>
          </w:tcPr>
          <w:p w14:paraId="0D004B40"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,4989</w:t>
            </w:r>
          </w:p>
        </w:tc>
      </w:tr>
      <w:tr w:rsidR="00164238" w:rsidRPr="00164238" w14:paraId="79B49549" w14:textId="77777777" w:rsidTr="007C46D4">
        <w:trPr>
          <w:trHeight w:val="300"/>
        </w:trPr>
        <w:tc>
          <w:tcPr>
            <w:tcW w:w="0" w:type="auto"/>
            <w:vMerge/>
            <w:tcBorders>
              <w:top w:val="single" w:sz="4" w:space="0" w:color="auto"/>
              <w:left w:val="single" w:sz="4" w:space="0" w:color="auto"/>
              <w:bottom w:val="dotted" w:sz="4" w:space="0" w:color="000000"/>
              <w:right w:val="dotted" w:sz="4" w:space="0" w:color="000000"/>
            </w:tcBorders>
            <w:vAlign w:val="center"/>
            <w:hideMark/>
          </w:tcPr>
          <w:p w14:paraId="2475639F" w14:textId="77777777" w:rsidR="007C46D4" w:rsidRPr="00164238" w:rsidRDefault="007C46D4">
            <w:pPr>
              <w:spacing w:after="0"/>
              <w:rPr>
                <w:rFonts w:ascii="Times New Roman" w:eastAsia="Times New Roman" w:hAnsi="Times New Roman" w:cs="Times New Roman"/>
                <w:color w:val="000000" w:themeColor="text1"/>
                <w:sz w:val="20"/>
                <w:szCs w:val="20"/>
              </w:rPr>
            </w:pPr>
          </w:p>
        </w:tc>
        <w:tc>
          <w:tcPr>
            <w:tcW w:w="823" w:type="dxa"/>
            <w:tcBorders>
              <w:top w:val="dotted" w:sz="4" w:space="0" w:color="000000"/>
              <w:left w:val="dotted" w:sz="4" w:space="0" w:color="000000"/>
              <w:bottom w:val="dotted" w:sz="4" w:space="0" w:color="000000"/>
              <w:right w:val="dotted" w:sz="4" w:space="0" w:color="000000"/>
            </w:tcBorders>
            <w:noWrap/>
            <w:vAlign w:val="center"/>
            <w:hideMark/>
          </w:tcPr>
          <w:p w14:paraId="467B922B" w14:textId="77777777" w:rsidR="007C46D4" w:rsidRPr="00164238" w:rsidRDefault="007C46D4">
            <w:pPr>
              <w:spacing w:after="0" w:line="240" w:lineRule="auto"/>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3,00</w:t>
            </w:r>
          </w:p>
        </w:tc>
        <w:tc>
          <w:tcPr>
            <w:tcW w:w="1788" w:type="dxa"/>
            <w:tcBorders>
              <w:top w:val="dotted" w:sz="4" w:space="0" w:color="000000"/>
              <w:left w:val="dotted" w:sz="4" w:space="0" w:color="000000"/>
              <w:bottom w:val="dotted" w:sz="4" w:space="0" w:color="000000"/>
              <w:right w:val="dotted" w:sz="4" w:space="0" w:color="000000"/>
            </w:tcBorders>
            <w:noWrap/>
            <w:vAlign w:val="center"/>
            <w:hideMark/>
          </w:tcPr>
          <w:p w14:paraId="0DA3596F"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1,39158</w:t>
            </w:r>
            <w:r w:rsidRPr="00164238">
              <w:rPr>
                <w:rFonts w:ascii="Times New Roman" w:eastAsia="Times New Roman" w:hAnsi="Times New Roman" w:cs="Times New Roman"/>
                <w:color w:val="000000" w:themeColor="text1"/>
                <w:sz w:val="20"/>
                <w:szCs w:val="20"/>
                <w:vertAlign w:val="superscript"/>
              </w:rPr>
              <w:t>*</w:t>
            </w:r>
          </w:p>
        </w:tc>
        <w:tc>
          <w:tcPr>
            <w:tcW w:w="1473" w:type="dxa"/>
            <w:tcBorders>
              <w:top w:val="dotted" w:sz="4" w:space="0" w:color="000000"/>
              <w:left w:val="dotted" w:sz="4" w:space="0" w:color="000000"/>
              <w:bottom w:val="dotted" w:sz="4" w:space="0" w:color="000000"/>
              <w:right w:val="dotted" w:sz="4" w:space="0" w:color="000000"/>
            </w:tcBorders>
            <w:noWrap/>
            <w:vAlign w:val="center"/>
            <w:hideMark/>
          </w:tcPr>
          <w:p w14:paraId="4EAABAAF"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,39666</w:t>
            </w:r>
          </w:p>
        </w:tc>
        <w:tc>
          <w:tcPr>
            <w:tcW w:w="992" w:type="dxa"/>
            <w:tcBorders>
              <w:top w:val="dotted" w:sz="4" w:space="0" w:color="000000"/>
              <w:left w:val="dotted" w:sz="4" w:space="0" w:color="000000"/>
              <w:bottom w:val="dotted" w:sz="4" w:space="0" w:color="000000"/>
              <w:right w:val="dotted" w:sz="4" w:space="0" w:color="000000"/>
            </w:tcBorders>
            <w:noWrap/>
            <w:vAlign w:val="center"/>
            <w:hideMark/>
          </w:tcPr>
          <w:p w14:paraId="06C8B0BB"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,002</w:t>
            </w:r>
          </w:p>
        </w:tc>
        <w:tc>
          <w:tcPr>
            <w:tcW w:w="1417" w:type="dxa"/>
            <w:tcBorders>
              <w:top w:val="dotted" w:sz="4" w:space="0" w:color="000000"/>
              <w:left w:val="dotted" w:sz="4" w:space="0" w:color="000000"/>
              <w:bottom w:val="dotted" w:sz="4" w:space="0" w:color="000000"/>
              <w:right w:val="dotted" w:sz="4" w:space="0" w:color="000000"/>
            </w:tcBorders>
            <w:noWrap/>
            <w:vAlign w:val="center"/>
            <w:hideMark/>
          </w:tcPr>
          <w:p w14:paraId="5C30B1A6"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,4382</w:t>
            </w:r>
          </w:p>
        </w:tc>
        <w:tc>
          <w:tcPr>
            <w:tcW w:w="1268" w:type="dxa"/>
            <w:tcBorders>
              <w:top w:val="dotted" w:sz="4" w:space="0" w:color="000000"/>
              <w:left w:val="dotted" w:sz="4" w:space="0" w:color="000000"/>
              <w:bottom w:val="dotted" w:sz="4" w:space="0" w:color="000000"/>
              <w:right w:val="single" w:sz="4" w:space="0" w:color="auto"/>
            </w:tcBorders>
            <w:noWrap/>
            <w:vAlign w:val="center"/>
            <w:hideMark/>
          </w:tcPr>
          <w:p w14:paraId="531C2497"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2,3449</w:t>
            </w:r>
          </w:p>
        </w:tc>
      </w:tr>
      <w:tr w:rsidR="00164238" w:rsidRPr="00164238" w14:paraId="50F930E3" w14:textId="77777777" w:rsidTr="007C46D4">
        <w:trPr>
          <w:trHeight w:val="300"/>
        </w:trPr>
        <w:tc>
          <w:tcPr>
            <w:tcW w:w="1440" w:type="dxa"/>
            <w:vMerge w:val="restart"/>
            <w:tcBorders>
              <w:top w:val="dotted" w:sz="4" w:space="0" w:color="000000"/>
              <w:left w:val="single" w:sz="4" w:space="0" w:color="auto"/>
              <w:bottom w:val="dotted" w:sz="4" w:space="0" w:color="000000"/>
              <w:right w:val="dotted" w:sz="4" w:space="0" w:color="000000"/>
            </w:tcBorders>
            <w:noWrap/>
            <w:vAlign w:val="center"/>
            <w:hideMark/>
          </w:tcPr>
          <w:p w14:paraId="1FD008F5" w14:textId="77777777" w:rsidR="007C46D4" w:rsidRPr="00164238" w:rsidRDefault="007C46D4">
            <w:pPr>
              <w:spacing w:after="0" w:line="240" w:lineRule="auto"/>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2,00</w:t>
            </w:r>
          </w:p>
        </w:tc>
        <w:tc>
          <w:tcPr>
            <w:tcW w:w="823" w:type="dxa"/>
            <w:tcBorders>
              <w:top w:val="dotted" w:sz="4" w:space="0" w:color="000000"/>
              <w:left w:val="dotted" w:sz="4" w:space="0" w:color="000000"/>
              <w:bottom w:val="dotted" w:sz="4" w:space="0" w:color="000000"/>
              <w:right w:val="dotted" w:sz="4" w:space="0" w:color="000000"/>
            </w:tcBorders>
            <w:noWrap/>
            <w:vAlign w:val="center"/>
            <w:hideMark/>
          </w:tcPr>
          <w:p w14:paraId="0AF4672A" w14:textId="77777777" w:rsidR="007C46D4" w:rsidRPr="00164238" w:rsidRDefault="007C46D4">
            <w:pPr>
              <w:spacing w:after="0" w:line="240" w:lineRule="auto"/>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1,00</w:t>
            </w:r>
          </w:p>
        </w:tc>
        <w:tc>
          <w:tcPr>
            <w:tcW w:w="1788" w:type="dxa"/>
            <w:tcBorders>
              <w:top w:val="dotted" w:sz="4" w:space="0" w:color="000000"/>
              <w:left w:val="dotted" w:sz="4" w:space="0" w:color="000000"/>
              <w:bottom w:val="dotted" w:sz="4" w:space="0" w:color="000000"/>
              <w:right w:val="dotted" w:sz="4" w:space="0" w:color="000000"/>
            </w:tcBorders>
            <w:noWrap/>
            <w:vAlign w:val="center"/>
            <w:hideMark/>
          </w:tcPr>
          <w:p w14:paraId="5D2666A9"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-,03717</w:t>
            </w:r>
          </w:p>
        </w:tc>
        <w:tc>
          <w:tcPr>
            <w:tcW w:w="1473" w:type="dxa"/>
            <w:tcBorders>
              <w:top w:val="dotted" w:sz="4" w:space="0" w:color="000000"/>
              <w:left w:val="dotted" w:sz="4" w:space="0" w:color="000000"/>
              <w:bottom w:val="dotted" w:sz="4" w:space="0" w:color="000000"/>
              <w:right w:val="dotted" w:sz="4" w:space="0" w:color="000000"/>
            </w:tcBorders>
            <w:noWrap/>
            <w:vAlign w:val="center"/>
            <w:hideMark/>
          </w:tcPr>
          <w:p w14:paraId="253D4846"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,19210</w:t>
            </w:r>
          </w:p>
        </w:tc>
        <w:tc>
          <w:tcPr>
            <w:tcW w:w="992" w:type="dxa"/>
            <w:tcBorders>
              <w:top w:val="dotted" w:sz="4" w:space="0" w:color="000000"/>
              <w:left w:val="dotted" w:sz="4" w:space="0" w:color="000000"/>
              <w:bottom w:val="dotted" w:sz="4" w:space="0" w:color="000000"/>
              <w:right w:val="dotted" w:sz="4" w:space="0" w:color="000000"/>
            </w:tcBorders>
            <w:noWrap/>
            <w:vAlign w:val="center"/>
            <w:hideMark/>
          </w:tcPr>
          <w:p w14:paraId="3B0A67F7"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,996</w:t>
            </w:r>
          </w:p>
        </w:tc>
        <w:tc>
          <w:tcPr>
            <w:tcW w:w="1417" w:type="dxa"/>
            <w:tcBorders>
              <w:top w:val="dotted" w:sz="4" w:space="0" w:color="000000"/>
              <w:left w:val="dotted" w:sz="4" w:space="0" w:color="000000"/>
              <w:bottom w:val="dotted" w:sz="4" w:space="0" w:color="000000"/>
              <w:right w:val="dotted" w:sz="4" w:space="0" w:color="000000"/>
            </w:tcBorders>
            <w:noWrap/>
            <w:vAlign w:val="center"/>
            <w:hideMark/>
          </w:tcPr>
          <w:p w14:paraId="194353F6"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-,4989</w:t>
            </w:r>
          </w:p>
        </w:tc>
        <w:tc>
          <w:tcPr>
            <w:tcW w:w="1268" w:type="dxa"/>
            <w:tcBorders>
              <w:top w:val="dotted" w:sz="4" w:space="0" w:color="000000"/>
              <w:left w:val="dotted" w:sz="4" w:space="0" w:color="000000"/>
              <w:bottom w:val="dotted" w:sz="4" w:space="0" w:color="000000"/>
              <w:right w:val="single" w:sz="4" w:space="0" w:color="auto"/>
            </w:tcBorders>
            <w:noWrap/>
            <w:vAlign w:val="center"/>
            <w:hideMark/>
          </w:tcPr>
          <w:p w14:paraId="46F8C70E"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,4245</w:t>
            </w:r>
          </w:p>
        </w:tc>
      </w:tr>
      <w:tr w:rsidR="00164238" w:rsidRPr="00164238" w14:paraId="33770DB2" w14:textId="77777777" w:rsidTr="007C46D4">
        <w:trPr>
          <w:trHeight w:val="300"/>
        </w:trPr>
        <w:tc>
          <w:tcPr>
            <w:tcW w:w="0" w:type="auto"/>
            <w:vMerge/>
            <w:tcBorders>
              <w:top w:val="dotted" w:sz="4" w:space="0" w:color="000000"/>
              <w:left w:val="single" w:sz="4" w:space="0" w:color="auto"/>
              <w:bottom w:val="dotted" w:sz="4" w:space="0" w:color="000000"/>
              <w:right w:val="dotted" w:sz="4" w:space="0" w:color="000000"/>
            </w:tcBorders>
            <w:vAlign w:val="center"/>
            <w:hideMark/>
          </w:tcPr>
          <w:p w14:paraId="02D55547" w14:textId="77777777" w:rsidR="007C46D4" w:rsidRPr="00164238" w:rsidRDefault="007C46D4">
            <w:pPr>
              <w:spacing w:after="0"/>
              <w:rPr>
                <w:rFonts w:ascii="Times New Roman" w:eastAsia="Times New Roman" w:hAnsi="Times New Roman" w:cs="Times New Roman"/>
                <w:color w:val="000000" w:themeColor="text1"/>
                <w:sz w:val="20"/>
                <w:szCs w:val="20"/>
              </w:rPr>
            </w:pPr>
          </w:p>
        </w:tc>
        <w:tc>
          <w:tcPr>
            <w:tcW w:w="823" w:type="dxa"/>
            <w:tcBorders>
              <w:top w:val="dotted" w:sz="4" w:space="0" w:color="000000"/>
              <w:left w:val="dotted" w:sz="4" w:space="0" w:color="000000"/>
              <w:bottom w:val="dotted" w:sz="4" w:space="0" w:color="000000"/>
              <w:right w:val="dotted" w:sz="4" w:space="0" w:color="000000"/>
            </w:tcBorders>
            <w:noWrap/>
            <w:vAlign w:val="center"/>
            <w:hideMark/>
          </w:tcPr>
          <w:p w14:paraId="4D352BFB" w14:textId="77777777" w:rsidR="007C46D4" w:rsidRPr="00164238" w:rsidRDefault="007C46D4">
            <w:pPr>
              <w:spacing w:after="0" w:line="240" w:lineRule="auto"/>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3,00</w:t>
            </w:r>
          </w:p>
        </w:tc>
        <w:tc>
          <w:tcPr>
            <w:tcW w:w="1788" w:type="dxa"/>
            <w:tcBorders>
              <w:top w:val="dotted" w:sz="4" w:space="0" w:color="000000"/>
              <w:left w:val="dotted" w:sz="4" w:space="0" w:color="000000"/>
              <w:bottom w:val="dotted" w:sz="4" w:space="0" w:color="000000"/>
              <w:right w:val="dotted" w:sz="4" w:space="0" w:color="000000"/>
            </w:tcBorders>
            <w:noWrap/>
            <w:vAlign w:val="center"/>
            <w:hideMark/>
          </w:tcPr>
          <w:p w14:paraId="0BE515F4"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1,35441</w:t>
            </w:r>
            <w:r w:rsidRPr="00164238">
              <w:rPr>
                <w:rFonts w:ascii="Times New Roman" w:eastAsia="Times New Roman" w:hAnsi="Times New Roman" w:cs="Times New Roman"/>
                <w:color w:val="000000" w:themeColor="text1"/>
                <w:sz w:val="20"/>
                <w:szCs w:val="20"/>
                <w:vertAlign w:val="superscript"/>
              </w:rPr>
              <w:t>*</w:t>
            </w:r>
          </w:p>
        </w:tc>
        <w:tc>
          <w:tcPr>
            <w:tcW w:w="1473" w:type="dxa"/>
            <w:tcBorders>
              <w:top w:val="dotted" w:sz="4" w:space="0" w:color="000000"/>
              <w:left w:val="dotted" w:sz="4" w:space="0" w:color="000000"/>
              <w:bottom w:val="dotted" w:sz="4" w:space="0" w:color="000000"/>
              <w:right w:val="dotted" w:sz="4" w:space="0" w:color="000000"/>
            </w:tcBorders>
            <w:noWrap/>
            <w:vAlign w:val="center"/>
            <w:hideMark/>
          </w:tcPr>
          <w:p w14:paraId="6E87ECFB"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,42331</w:t>
            </w:r>
          </w:p>
        </w:tc>
        <w:tc>
          <w:tcPr>
            <w:tcW w:w="992" w:type="dxa"/>
            <w:tcBorders>
              <w:top w:val="dotted" w:sz="4" w:space="0" w:color="000000"/>
              <w:left w:val="dotted" w:sz="4" w:space="0" w:color="000000"/>
              <w:bottom w:val="dotted" w:sz="4" w:space="0" w:color="000000"/>
              <w:right w:val="dotted" w:sz="4" w:space="0" w:color="000000"/>
            </w:tcBorders>
            <w:noWrap/>
            <w:vAlign w:val="center"/>
            <w:hideMark/>
          </w:tcPr>
          <w:p w14:paraId="6F9B53FD"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,005</w:t>
            </w:r>
          </w:p>
        </w:tc>
        <w:tc>
          <w:tcPr>
            <w:tcW w:w="1417" w:type="dxa"/>
            <w:tcBorders>
              <w:top w:val="dotted" w:sz="4" w:space="0" w:color="000000"/>
              <w:left w:val="dotted" w:sz="4" w:space="0" w:color="000000"/>
              <w:bottom w:val="dotted" w:sz="4" w:space="0" w:color="000000"/>
              <w:right w:val="dotted" w:sz="4" w:space="0" w:color="000000"/>
            </w:tcBorders>
            <w:noWrap/>
            <w:vAlign w:val="center"/>
            <w:hideMark/>
          </w:tcPr>
          <w:p w14:paraId="34F20606"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,3370</w:t>
            </w:r>
          </w:p>
        </w:tc>
        <w:tc>
          <w:tcPr>
            <w:tcW w:w="1268" w:type="dxa"/>
            <w:tcBorders>
              <w:top w:val="dotted" w:sz="4" w:space="0" w:color="000000"/>
              <w:left w:val="dotted" w:sz="4" w:space="0" w:color="000000"/>
              <w:bottom w:val="dotted" w:sz="4" w:space="0" w:color="000000"/>
              <w:right w:val="single" w:sz="4" w:space="0" w:color="auto"/>
            </w:tcBorders>
            <w:noWrap/>
            <w:vAlign w:val="center"/>
            <w:hideMark/>
          </w:tcPr>
          <w:p w14:paraId="43DDEA6C"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2,3718</w:t>
            </w:r>
          </w:p>
        </w:tc>
      </w:tr>
      <w:tr w:rsidR="00164238" w:rsidRPr="00164238" w14:paraId="388F2E4C" w14:textId="77777777" w:rsidTr="007C46D4">
        <w:trPr>
          <w:trHeight w:val="300"/>
        </w:trPr>
        <w:tc>
          <w:tcPr>
            <w:tcW w:w="1440" w:type="dxa"/>
            <w:vMerge w:val="restart"/>
            <w:tcBorders>
              <w:top w:val="dotted" w:sz="4" w:space="0" w:color="000000"/>
              <w:left w:val="single" w:sz="4" w:space="0" w:color="auto"/>
              <w:bottom w:val="single" w:sz="4" w:space="0" w:color="auto"/>
              <w:right w:val="dotted" w:sz="4" w:space="0" w:color="000000"/>
            </w:tcBorders>
            <w:noWrap/>
            <w:vAlign w:val="center"/>
            <w:hideMark/>
          </w:tcPr>
          <w:p w14:paraId="7955450B" w14:textId="77777777" w:rsidR="007C46D4" w:rsidRPr="00164238" w:rsidRDefault="007C46D4">
            <w:pPr>
              <w:spacing w:after="0" w:line="240" w:lineRule="auto"/>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3,00</w:t>
            </w:r>
          </w:p>
        </w:tc>
        <w:tc>
          <w:tcPr>
            <w:tcW w:w="823" w:type="dxa"/>
            <w:tcBorders>
              <w:top w:val="dotted" w:sz="4" w:space="0" w:color="000000"/>
              <w:left w:val="dotted" w:sz="4" w:space="0" w:color="000000"/>
              <w:bottom w:val="dotted" w:sz="4" w:space="0" w:color="000000"/>
              <w:right w:val="dotted" w:sz="4" w:space="0" w:color="000000"/>
            </w:tcBorders>
            <w:noWrap/>
            <w:vAlign w:val="center"/>
            <w:hideMark/>
          </w:tcPr>
          <w:p w14:paraId="5746BFF7" w14:textId="77777777" w:rsidR="007C46D4" w:rsidRPr="00164238" w:rsidRDefault="007C46D4">
            <w:pPr>
              <w:spacing w:after="0" w:line="240" w:lineRule="auto"/>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1,00</w:t>
            </w:r>
          </w:p>
        </w:tc>
        <w:tc>
          <w:tcPr>
            <w:tcW w:w="1788" w:type="dxa"/>
            <w:tcBorders>
              <w:top w:val="dotted" w:sz="4" w:space="0" w:color="000000"/>
              <w:left w:val="dotted" w:sz="4" w:space="0" w:color="000000"/>
              <w:bottom w:val="dotted" w:sz="4" w:space="0" w:color="000000"/>
              <w:right w:val="dotted" w:sz="4" w:space="0" w:color="000000"/>
            </w:tcBorders>
            <w:noWrap/>
            <w:vAlign w:val="center"/>
            <w:hideMark/>
          </w:tcPr>
          <w:p w14:paraId="503F4211"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-1,39158</w:t>
            </w:r>
            <w:r w:rsidRPr="00164238">
              <w:rPr>
                <w:rFonts w:ascii="Times New Roman" w:eastAsia="Times New Roman" w:hAnsi="Times New Roman" w:cs="Times New Roman"/>
                <w:color w:val="000000" w:themeColor="text1"/>
                <w:sz w:val="20"/>
                <w:szCs w:val="20"/>
                <w:vertAlign w:val="superscript"/>
              </w:rPr>
              <w:t>*</w:t>
            </w:r>
          </w:p>
        </w:tc>
        <w:tc>
          <w:tcPr>
            <w:tcW w:w="1473" w:type="dxa"/>
            <w:tcBorders>
              <w:top w:val="dotted" w:sz="4" w:space="0" w:color="000000"/>
              <w:left w:val="dotted" w:sz="4" w:space="0" w:color="000000"/>
              <w:bottom w:val="dotted" w:sz="4" w:space="0" w:color="000000"/>
              <w:right w:val="dotted" w:sz="4" w:space="0" w:color="000000"/>
            </w:tcBorders>
            <w:noWrap/>
            <w:vAlign w:val="center"/>
            <w:hideMark/>
          </w:tcPr>
          <w:p w14:paraId="25D67020"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,39666</w:t>
            </w:r>
          </w:p>
        </w:tc>
        <w:tc>
          <w:tcPr>
            <w:tcW w:w="992" w:type="dxa"/>
            <w:tcBorders>
              <w:top w:val="dotted" w:sz="4" w:space="0" w:color="000000"/>
              <w:left w:val="dotted" w:sz="4" w:space="0" w:color="000000"/>
              <w:bottom w:val="dotted" w:sz="4" w:space="0" w:color="000000"/>
              <w:right w:val="dotted" w:sz="4" w:space="0" w:color="000000"/>
            </w:tcBorders>
            <w:noWrap/>
            <w:vAlign w:val="center"/>
            <w:hideMark/>
          </w:tcPr>
          <w:p w14:paraId="2E984F52"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,002</w:t>
            </w:r>
          </w:p>
        </w:tc>
        <w:tc>
          <w:tcPr>
            <w:tcW w:w="1417" w:type="dxa"/>
            <w:tcBorders>
              <w:top w:val="dotted" w:sz="4" w:space="0" w:color="000000"/>
              <w:left w:val="dotted" w:sz="4" w:space="0" w:color="000000"/>
              <w:bottom w:val="dotted" w:sz="4" w:space="0" w:color="000000"/>
              <w:right w:val="dotted" w:sz="4" w:space="0" w:color="000000"/>
            </w:tcBorders>
            <w:noWrap/>
            <w:vAlign w:val="center"/>
            <w:hideMark/>
          </w:tcPr>
          <w:p w14:paraId="2427D282"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-2,3449</w:t>
            </w:r>
          </w:p>
        </w:tc>
        <w:tc>
          <w:tcPr>
            <w:tcW w:w="1268" w:type="dxa"/>
            <w:tcBorders>
              <w:top w:val="dotted" w:sz="4" w:space="0" w:color="000000"/>
              <w:left w:val="dotted" w:sz="4" w:space="0" w:color="000000"/>
              <w:bottom w:val="dotted" w:sz="4" w:space="0" w:color="000000"/>
              <w:right w:val="single" w:sz="4" w:space="0" w:color="auto"/>
            </w:tcBorders>
            <w:noWrap/>
            <w:vAlign w:val="center"/>
            <w:hideMark/>
          </w:tcPr>
          <w:p w14:paraId="26C39746"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-,4382</w:t>
            </w:r>
          </w:p>
        </w:tc>
      </w:tr>
      <w:tr w:rsidR="00164238" w:rsidRPr="00164238" w14:paraId="7F72B1AE" w14:textId="77777777" w:rsidTr="007C46D4">
        <w:trPr>
          <w:trHeight w:val="315"/>
        </w:trPr>
        <w:tc>
          <w:tcPr>
            <w:tcW w:w="0" w:type="auto"/>
            <w:vMerge/>
            <w:tcBorders>
              <w:top w:val="dotted" w:sz="4" w:space="0" w:color="000000"/>
              <w:left w:val="single" w:sz="4" w:space="0" w:color="auto"/>
              <w:bottom w:val="single" w:sz="4" w:space="0" w:color="auto"/>
              <w:right w:val="dotted" w:sz="4" w:space="0" w:color="000000"/>
            </w:tcBorders>
            <w:vAlign w:val="center"/>
            <w:hideMark/>
          </w:tcPr>
          <w:p w14:paraId="67EFF997" w14:textId="77777777" w:rsidR="007C46D4" w:rsidRPr="00164238" w:rsidRDefault="007C46D4">
            <w:pPr>
              <w:spacing w:after="0"/>
              <w:rPr>
                <w:rFonts w:ascii="Times New Roman" w:eastAsia="Times New Roman" w:hAnsi="Times New Roman" w:cs="Times New Roman"/>
                <w:color w:val="000000" w:themeColor="text1"/>
                <w:sz w:val="20"/>
                <w:szCs w:val="20"/>
              </w:rPr>
            </w:pPr>
          </w:p>
        </w:tc>
        <w:tc>
          <w:tcPr>
            <w:tcW w:w="823" w:type="dxa"/>
            <w:tcBorders>
              <w:top w:val="dotted" w:sz="4" w:space="0" w:color="000000"/>
              <w:left w:val="dotted" w:sz="4" w:space="0" w:color="000000"/>
              <w:bottom w:val="single" w:sz="4" w:space="0" w:color="auto"/>
              <w:right w:val="dotted" w:sz="4" w:space="0" w:color="000000"/>
            </w:tcBorders>
            <w:noWrap/>
            <w:vAlign w:val="center"/>
            <w:hideMark/>
          </w:tcPr>
          <w:p w14:paraId="7C4709D7" w14:textId="77777777" w:rsidR="007C46D4" w:rsidRPr="00164238" w:rsidRDefault="007C46D4">
            <w:pPr>
              <w:spacing w:after="0" w:line="240" w:lineRule="auto"/>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2,00</w:t>
            </w:r>
          </w:p>
        </w:tc>
        <w:tc>
          <w:tcPr>
            <w:tcW w:w="1788" w:type="dxa"/>
            <w:tcBorders>
              <w:top w:val="dotted" w:sz="4" w:space="0" w:color="000000"/>
              <w:left w:val="dotted" w:sz="4" w:space="0" w:color="000000"/>
              <w:bottom w:val="single" w:sz="4" w:space="0" w:color="auto"/>
              <w:right w:val="dotted" w:sz="4" w:space="0" w:color="000000"/>
            </w:tcBorders>
            <w:noWrap/>
            <w:vAlign w:val="center"/>
            <w:hideMark/>
          </w:tcPr>
          <w:p w14:paraId="4C518433"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-1,35441</w:t>
            </w:r>
            <w:r w:rsidRPr="00164238">
              <w:rPr>
                <w:rFonts w:ascii="Times New Roman" w:eastAsia="Times New Roman" w:hAnsi="Times New Roman" w:cs="Times New Roman"/>
                <w:color w:val="000000" w:themeColor="text1"/>
                <w:sz w:val="20"/>
                <w:szCs w:val="20"/>
                <w:vertAlign w:val="superscript"/>
              </w:rPr>
              <w:t>*</w:t>
            </w:r>
          </w:p>
        </w:tc>
        <w:tc>
          <w:tcPr>
            <w:tcW w:w="1473" w:type="dxa"/>
            <w:tcBorders>
              <w:top w:val="dotted" w:sz="4" w:space="0" w:color="000000"/>
              <w:left w:val="dotted" w:sz="4" w:space="0" w:color="000000"/>
              <w:bottom w:val="single" w:sz="4" w:space="0" w:color="auto"/>
              <w:right w:val="dotted" w:sz="4" w:space="0" w:color="000000"/>
            </w:tcBorders>
            <w:noWrap/>
            <w:vAlign w:val="center"/>
            <w:hideMark/>
          </w:tcPr>
          <w:p w14:paraId="6E49858C"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,42331</w:t>
            </w:r>
          </w:p>
        </w:tc>
        <w:tc>
          <w:tcPr>
            <w:tcW w:w="992" w:type="dxa"/>
            <w:tcBorders>
              <w:top w:val="dotted" w:sz="4" w:space="0" w:color="000000"/>
              <w:left w:val="dotted" w:sz="4" w:space="0" w:color="000000"/>
              <w:bottom w:val="single" w:sz="4" w:space="0" w:color="auto"/>
              <w:right w:val="dotted" w:sz="4" w:space="0" w:color="000000"/>
            </w:tcBorders>
            <w:noWrap/>
            <w:vAlign w:val="center"/>
            <w:hideMark/>
          </w:tcPr>
          <w:p w14:paraId="159530B7"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,005</w:t>
            </w:r>
          </w:p>
        </w:tc>
        <w:tc>
          <w:tcPr>
            <w:tcW w:w="1417" w:type="dxa"/>
            <w:tcBorders>
              <w:top w:val="dotted" w:sz="4" w:space="0" w:color="000000"/>
              <w:left w:val="dotted" w:sz="4" w:space="0" w:color="000000"/>
              <w:bottom w:val="single" w:sz="4" w:space="0" w:color="auto"/>
              <w:right w:val="dotted" w:sz="4" w:space="0" w:color="000000"/>
            </w:tcBorders>
            <w:noWrap/>
            <w:vAlign w:val="center"/>
            <w:hideMark/>
          </w:tcPr>
          <w:p w14:paraId="177AA2D7"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-2,3718</w:t>
            </w:r>
          </w:p>
        </w:tc>
        <w:tc>
          <w:tcPr>
            <w:tcW w:w="1268" w:type="dxa"/>
            <w:tcBorders>
              <w:top w:val="dotted" w:sz="4" w:space="0" w:color="000000"/>
              <w:left w:val="dotted" w:sz="4" w:space="0" w:color="000000"/>
              <w:bottom w:val="single" w:sz="4" w:space="0" w:color="auto"/>
              <w:right w:val="single" w:sz="4" w:space="0" w:color="auto"/>
            </w:tcBorders>
            <w:noWrap/>
            <w:vAlign w:val="center"/>
            <w:hideMark/>
          </w:tcPr>
          <w:p w14:paraId="56C5DB16" w14:textId="77777777" w:rsidR="007C46D4" w:rsidRPr="00164238" w:rsidRDefault="007C46D4">
            <w:pPr>
              <w:spacing w:after="0" w:line="240" w:lineRule="auto"/>
              <w:jc w:val="right"/>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-,3370</w:t>
            </w:r>
          </w:p>
        </w:tc>
      </w:tr>
      <w:tr w:rsidR="00164238" w:rsidRPr="00164238" w14:paraId="6DBB0351" w14:textId="77777777" w:rsidTr="007C46D4">
        <w:trPr>
          <w:trHeight w:val="315"/>
        </w:trPr>
        <w:tc>
          <w:tcPr>
            <w:tcW w:w="9201" w:type="dxa"/>
            <w:gridSpan w:val="7"/>
            <w:tcBorders>
              <w:top w:val="single" w:sz="4" w:space="0" w:color="auto"/>
              <w:left w:val="nil"/>
              <w:bottom w:val="nil"/>
              <w:right w:val="nil"/>
            </w:tcBorders>
            <w:vAlign w:val="center"/>
            <w:hideMark/>
          </w:tcPr>
          <w:p w14:paraId="6E17667B" w14:textId="77777777" w:rsidR="007C46D4" w:rsidRPr="00164238" w:rsidRDefault="007C46D4">
            <w:pPr>
              <w:spacing w:after="0" w:line="240" w:lineRule="auto"/>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Ortalamalar 0,05 seviyesinde anlamlı.</w:t>
            </w:r>
          </w:p>
          <w:p w14:paraId="12C369B5" w14:textId="77777777" w:rsidR="007C46D4" w:rsidRPr="00164238" w:rsidRDefault="007C46D4">
            <w:pPr>
              <w:spacing w:after="0" w:line="240" w:lineRule="auto"/>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1: Evden çalışma ; 2 : Bazen ev bazen işyerinden çalışma (hibrit) ; 3 : İşyerinde çalışma</w:t>
            </w:r>
          </w:p>
        </w:tc>
      </w:tr>
    </w:tbl>
    <w:p w14:paraId="3A7B2DF7" w14:textId="77777777" w:rsidR="007C46D4" w:rsidRPr="00164238" w:rsidRDefault="007C46D4" w:rsidP="00885A08">
      <w:pPr>
        <w:spacing w:before="120"/>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Tablo 4 incelendiğinde üçüncü grubun yani işyerinde çalışmaya devam eden grubun diğer gruplardan farklılaştığı ve genel görev performansı algısının diğer gruplardan (evden çalışanlardan 1,39; bazen ev bazen de iş yerinde çalışanlardan 1,35) çok daha düşük olduğu görülmektedir.</w:t>
      </w:r>
    </w:p>
    <w:p w14:paraId="229F3A2B" w14:textId="77777777" w:rsidR="007C46D4" w:rsidRPr="00164238" w:rsidRDefault="007C46D4" w:rsidP="00885A08">
      <w:pPr>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Spesifik grev performansı algısının çalışanın yaşı ve eğitim düzeyiyle negatif, cinsiyetiyle pozitif yönlü bir ilişki içerisinde olduğu Tablo 3’te görülmektedir.</w:t>
      </w:r>
    </w:p>
    <w:p w14:paraId="51874A81" w14:textId="77777777" w:rsidR="007C46D4" w:rsidRPr="00164238" w:rsidRDefault="007C46D4" w:rsidP="00885A08">
      <w:pPr>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Tablo 3’te verilen sonuçla hem genel hem de spesifik görev performansı algısı ile cinsiyet arasında bir ilişki olduğunu ortaya koymaktadır. Cinsiyet bazında (kodlama Erkek:1; Kadın:2) kadınların hem genel hem de spesifik görev performansı algısının erkeklere nazaran daha yüksek olduğu görülmektedir.</w:t>
      </w:r>
    </w:p>
    <w:p w14:paraId="4E420A42" w14:textId="74C43D1C" w:rsidR="007C46D4" w:rsidRDefault="007C46D4" w:rsidP="00885A08">
      <w:pPr>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Yaş ve eğitim seviyesi grupları arası farklılaşmanın olup olmadığının belirlenebilmesi için tek yönlü ANOVA testi uygulanmış, sadece yaş grubunda farklılaşma olduğu (F</w:t>
      </w:r>
      <w:r w:rsidRPr="00164238">
        <w:rPr>
          <w:rFonts w:ascii="Times New Roman" w:hAnsi="Times New Roman" w:cs="Times New Roman"/>
          <w:color w:val="000000" w:themeColor="text1"/>
          <w:sz w:val="20"/>
          <w:szCs w:val="20"/>
          <w:vertAlign w:val="subscript"/>
        </w:rPr>
        <w:t>yaş</w:t>
      </w:r>
      <w:r w:rsidRPr="00164238">
        <w:rPr>
          <w:rFonts w:ascii="Times New Roman" w:hAnsi="Times New Roman" w:cs="Times New Roman"/>
          <w:color w:val="000000" w:themeColor="text1"/>
          <w:sz w:val="20"/>
          <w:szCs w:val="20"/>
        </w:rPr>
        <w:t>=4,042 ve p</w:t>
      </w:r>
      <w:r w:rsidRPr="00164238">
        <w:rPr>
          <w:rFonts w:ascii="Times New Roman" w:hAnsi="Times New Roman" w:cs="Times New Roman"/>
          <w:color w:val="000000" w:themeColor="text1"/>
          <w:sz w:val="20"/>
          <w:szCs w:val="20"/>
          <w:vertAlign w:val="subscript"/>
        </w:rPr>
        <w:t>yaş</w:t>
      </w:r>
      <w:r w:rsidRPr="00164238">
        <w:rPr>
          <w:rFonts w:ascii="Times New Roman" w:hAnsi="Times New Roman" w:cs="Times New Roman"/>
          <w:color w:val="000000" w:themeColor="text1"/>
          <w:sz w:val="20"/>
          <w:szCs w:val="20"/>
        </w:rPr>
        <w:t>=,019; F</w:t>
      </w:r>
      <w:r w:rsidRPr="00164238">
        <w:rPr>
          <w:rFonts w:ascii="Times New Roman" w:hAnsi="Times New Roman" w:cs="Times New Roman"/>
          <w:color w:val="000000" w:themeColor="text1"/>
          <w:sz w:val="20"/>
          <w:szCs w:val="20"/>
          <w:vertAlign w:val="subscript"/>
        </w:rPr>
        <w:t>eğitim</w:t>
      </w:r>
      <w:r w:rsidRPr="00164238">
        <w:rPr>
          <w:rFonts w:ascii="Times New Roman" w:hAnsi="Times New Roman" w:cs="Times New Roman"/>
          <w:color w:val="000000" w:themeColor="text1"/>
          <w:sz w:val="20"/>
          <w:szCs w:val="20"/>
        </w:rPr>
        <w:t>=2,032 ve p</w:t>
      </w:r>
      <w:r w:rsidRPr="00164238">
        <w:rPr>
          <w:rFonts w:ascii="Times New Roman" w:hAnsi="Times New Roman" w:cs="Times New Roman"/>
          <w:color w:val="000000" w:themeColor="text1"/>
          <w:sz w:val="20"/>
          <w:szCs w:val="20"/>
          <w:vertAlign w:val="subscript"/>
        </w:rPr>
        <w:t>eğitim</w:t>
      </w:r>
      <w:r w:rsidRPr="00164238">
        <w:rPr>
          <w:rFonts w:ascii="Times New Roman" w:hAnsi="Times New Roman" w:cs="Times New Roman"/>
          <w:color w:val="000000" w:themeColor="text1"/>
          <w:sz w:val="20"/>
          <w:szCs w:val="20"/>
        </w:rPr>
        <w:t>=,110) tespit edilmiştir. Hangi grubun ayrıştığının tespiti için de Sidak Post Hoc testi uygulanmış, sonuçları Tablo 5’te raporlanmıştır.</w:t>
      </w:r>
    </w:p>
    <w:p w14:paraId="27694DBD" w14:textId="5FD2B7D1" w:rsidR="0012527E" w:rsidRDefault="0012527E" w:rsidP="00885A08">
      <w:pPr>
        <w:ind w:firstLine="708"/>
        <w:jc w:val="both"/>
        <w:rPr>
          <w:rFonts w:ascii="Times New Roman" w:hAnsi="Times New Roman" w:cs="Times New Roman"/>
          <w:color w:val="000000" w:themeColor="text1"/>
          <w:sz w:val="20"/>
          <w:szCs w:val="20"/>
        </w:rPr>
      </w:pPr>
    </w:p>
    <w:p w14:paraId="31E2B467" w14:textId="1EE8475F" w:rsidR="0012527E" w:rsidRDefault="0012527E" w:rsidP="00885A08">
      <w:pPr>
        <w:ind w:firstLine="708"/>
        <w:jc w:val="both"/>
        <w:rPr>
          <w:rFonts w:ascii="Times New Roman" w:hAnsi="Times New Roman" w:cs="Times New Roman"/>
          <w:color w:val="000000" w:themeColor="text1"/>
          <w:sz w:val="20"/>
          <w:szCs w:val="20"/>
        </w:rPr>
      </w:pPr>
    </w:p>
    <w:p w14:paraId="5006CBEC" w14:textId="3C6A3732" w:rsidR="0012527E" w:rsidRDefault="0012527E" w:rsidP="00885A08">
      <w:pPr>
        <w:ind w:firstLine="708"/>
        <w:jc w:val="both"/>
        <w:rPr>
          <w:rFonts w:ascii="Times New Roman" w:hAnsi="Times New Roman" w:cs="Times New Roman"/>
          <w:color w:val="000000" w:themeColor="text1"/>
          <w:sz w:val="20"/>
          <w:szCs w:val="20"/>
        </w:rPr>
      </w:pPr>
    </w:p>
    <w:p w14:paraId="51D45B3F" w14:textId="40AB5325" w:rsidR="0012527E" w:rsidRDefault="0012527E" w:rsidP="00885A08">
      <w:pPr>
        <w:ind w:firstLine="708"/>
        <w:jc w:val="both"/>
        <w:rPr>
          <w:rFonts w:ascii="Times New Roman" w:hAnsi="Times New Roman" w:cs="Times New Roman"/>
          <w:color w:val="000000" w:themeColor="text1"/>
          <w:sz w:val="20"/>
          <w:szCs w:val="20"/>
        </w:rPr>
      </w:pPr>
    </w:p>
    <w:p w14:paraId="07A185B1" w14:textId="14B17BC0" w:rsidR="0012527E" w:rsidRDefault="0012527E" w:rsidP="00885A08">
      <w:pPr>
        <w:ind w:firstLine="708"/>
        <w:jc w:val="both"/>
        <w:rPr>
          <w:rFonts w:ascii="Times New Roman" w:hAnsi="Times New Roman" w:cs="Times New Roman"/>
          <w:color w:val="000000" w:themeColor="text1"/>
          <w:sz w:val="20"/>
          <w:szCs w:val="20"/>
        </w:rPr>
      </w:pPr>
    </w:p>
    <w:p w14:paraId="77E53B7B" w14:textId="54D560E1" w:rsidR="0012527E" w:rsidRDefault="0012527E" w:rsidP="00885A08">
      <w:pPr>
        <w:ind w:firstLine="708"/>
        <w:jc w:val="both"/>
        <w:rPr>
          <w:rFonts w:ascii="Times New Roman" w:hAnsi="Times New Roman" w:cs="Times New Roman"/>
          <w:color w:val="000000" w:themeColor="text1"/>
          <w:sz w:val="20"/>
          <w:szCs w:val="20"/>
        </w:rPr>
      </w:pPr>
    </w:p>
    <w:p w14:paraId="18F28C41" w14:textId="77777777" w:rsidR="0012527E" w:rsidRPr="00164238" w:rsidRDefault="0012527E" w:rsidP="00885A08">
      <w:pPr>
        <w:ind w:firstLine="708"/>
        <w:jc w:val="both"/>
        <w:rPr>
          <w:rFonts w:ascii="Times New Roman" w:hAnsi="Times New Roman" w:cs="Times New Roman"/>
          <w:color w:val="000000" w:themeColor="text1"/>
          <w:sz w:val="20"/>
          <w:szCs w:val="20"/>
        </w:rPr>
      </w:pPr>
    </w:p>
    <w:p w14:paraId="5690662F" w14:textId="69DC75DF" w:rsidR="007C46D4" w:rsidRPr="00164238" w:rsidRDefault="006A4DC2" w:rsidP="007C46D4">
      <w:pPr>
        <w:pStyle w:val="ResimYazs"/>
        <w:keepNext/>
        <w:spacing w:before="120"/>
        <w:rPr>
          <w:i w:val="0"/>
          <w:iCs w:val="0"/>
          <w:color w:val="000000" w:themeColor="text1"/>
          <w:lang w:val="tr-TR"/>
        </w:rPr>
      </w:pPr>
      <w:r>
        <w:rPr>
          <w:i w:val="0"/>
          <w:iCs w:val="0"/>
          <w:color w:val="000000" w:themeColor="text1"/>
          <w:lang w:val="tr-TR"/>
        </w:rPr>
        <w:lastRenderedPageBreak/>
        <w:t>T</w:t>
      </w:r>
      <w:r w:rsidR="007C46D4" w:rsidRPr="00164238">
        <w:rPr>
          <w:i w:val="0"/>
          <w:iCs w:val="0"/>
          <w:color w:val="000000" w:themeColor="text1"/>
          <w:lang w:val="tr-TR"/>
        </w:rPr>
        <w:t xml:space="preserve">ablo </w:t>
      </w:r>
      <w:r w:rsidR="007C46D4" w:rsidRPr="00164238">
        <w:rPr>
          <w:i w:val="0"/>
          <w:iCs w:val="0"/>
          <w:noProof/>
          <w:color w:val="000000" w:themeColor="text1"/>
          <w:lang w:val="tr-TR"/>
        </w:rPr>
        <w:t>5</w:t>
      </w:r>
      <w:r w:rsidR="007C46D4" w:rsidRPr="00164238">
        <w:rPr>
          <w:i w:val="0"/>
          <w:iCs w:val="0"/>
          <w:color w:val="000000" w:themeColor="text1"/>
          <w:lang w:val="tr-TR"/>
        </w:rPr>
        <w:t>. Çalışan Yaşı ANOVA Testi Sonuçları</w:t>
      </w:r>
    </w:p>
    <w:tbl>
      <w:tblPr>
        <w:tblW w:w="9201"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ook w:val="04A0" w:firstRow="1" w:lastRow="0" w:firstColumn="1" w:lastColumn="0" w:noHBand="0" w:noVBand="1"/>
      </w:tblPr>
      <w:tblGrid>
        <w:gridCol w:w="988"/>
        <w:gridCol w:w="1275"/>
        <w:gridCol w:w="1788"/>
        <w:gridCol w:w="1473"/>
        <w:gridCol w:w="992"/>
        <w:gridCol w:w="1417"/>
        <w:gridCol w:w="1268"/>
      </w:tblGrid>
      <w:tr w:rsidR="00164238" w:rsidRPr="0012527E" w14:paraId="25D7A131" w14:textId="77777777" w:rsidTr="007C46D4">
        <w:trPr>
          <w:trHeight w:val="315"/>
        </w:trPr>
        <w:tc>
          <w:tcPr>
            <w:tcW w:w="2263" w:type="dxa"/>
            <w:gridSpan w:val="2"/>
            <w:vMerge w:val="restart"/>
            <w:tcBorders>
              <w:top w:val="single" w:sz="4" w:space="0" w:color="auto"/>
              <w:left w:val="single" w:sz="4" w:space="0" w:color="auto"/>
              <w:bottom w:val="single" w:sz="4" w:space="0" w:color="auto"/>
              <w:right w:val="dotted" w:sz="4" w:space="0" w:color="000000"/>
            </w:tcBorders>
            <w:vAlign w:val="center"/>
            <w:hideMark/>
          </w:tcPr>
          <w:p w14:paraId="7CACFB9A" w14:textId="77777777" w:rsidR="007C46D4" w:rsidRPr="0012527E" w:rsidRDefault="007C46D4" w:rsidP="0012527E">
            <w:pPr>
              <w:spacing w:after="0" w:line="240" w:lineRule="auto"/>
              <w:rPr>
                <w:rFonts w:ascii="Times New Roman" w:eastAsia="Times New Roman" w:hAnsi="Times New Roman" w:cs="Times New Roman"/>
                <w:color w:val="000000" w:themeColor="text1"/>
                <w:sz w:val="20"/>
                <w:szCs w:val="20"/>
              </w:rPr>
            </w:pPr>
            <w:r w:rsidRPr="0012527E">
              <w:rPr>
                <w:rFonts w:ascii="Times New Roman" w:eastAsia="Times New Roman" w:hAnsi="Times New Roman" w:cs="Times New Roman"/>
                <w:color w:val="000000" w:themeColor="text1"/>
                <w:sz w:val="20"/>
                <w:szCs w:val="20"/>
              </w:rPr>
              <w:t>(I) Yaş</w:t>
            </w:r>
          </w:p>
        </w:tc>
        <w:tc>
          <w:tcPr>
            <w:tcW w:w="1788" w:type="dxa"/>
            <w:vMerge w:val="restart"/>
            <w:tcBorders>
              <w:top w:val="single" w:sz="4" w:space="0" w:color="auto"/>
              <w:left w:val="dotted" w:sz="4" w:space="0" w:color="000000"/>
              <w:bottom w:val="single" w:sz="4" w:space="0" w:color="auto"/>
              <w:right w:val="dotted" w:sz="4" w:space="0" w:color="000000"/>
            </w:tcBorders>
            <w:vAlign w:val="center"/>
            <w:hideMark/>
          </w:tcPr>
          <w:p w14:paraId="133D3DAE" w14:textId="77777777" w:rsidR="007C46D4" w:rsidRPr="0012527E" w:rsidRDefault="007C46D4" w:rsidP="0012527E">
            <w:pPr>
              <w:spacing w:after="0" w:line="240" w:lineRule="auto"/>
              <w:jc w:val="center"/>
              <w:rPr>
                <w:rFonts w:ascii="Times New Roman" w:eastAsia="Times New Roman" w:hAnsi="Times New Roman" w:cs="Times New Roman"/>
                <w:color w:val="000000" w:themeColor="text1"/>
                <w:sz w:val="20"/>
                <w:szCs w:val="20"/>
              </w:rPr>
            </w:pPr>
            <w:r w:rsidRPr="0012527E">
              <w:rPr>
                <w:rFonts w:ascii="Times New Roman" w:eastAsia="Times New Roman" w:hAnsi="Times New Roman" w:cs="Times New Roman"/>
                <w:color w:val="000000" w:themeColor="text1"/>
                <w:sz w:val="20"/>
                <w:szCs w:val="20"/>
              </w:rPr>
              <w:t>Ortalamalar Farkı (I-J)</w:t>
            </w:r>
          </w:p>
        </w:tc>
        <w:tc>
          <w:tcPr>
            <w:tcW w:w="1473" w:type="dxa"/>
            <w:vMerge w:val="restart"/>
            <w:tcBorders>
              <w:top w:val="single" w:sz="4" w:space="0" w:color="auto"/>
              <w:left w:val="dotted" w:sz="4" w:space="0" w:color="000000"/>
              <w:bottom w:val="single" w:sz="4" w:space="0" w:color="auto"/>
              <w:right w:val="dotted" w:sz="4" w:space="0" w:color="000000"/>
            </w:tcBorders>
            <w:vAlign w:val="center"/>
            <w:hideMark/>
          </w:tcPr>
          <w:p w14:paraId="2F740412" w14:textId="77777777" w:rsidR="007C46D4" w:rsidRPr="0012527E" w:rsidRDefault="007C46D4" w:rsidP="0012527E">
            <w:pPr>
              <w:spacing w:after="0" w:line="240" w:lineRule="auto"/>
              <w:jc w:val="center"/>
              <w:rPr>
                <w:rFonts w:ascii="Times New Roman" w:eastAsia="Times New Roman" w:hAnsi="Times New Roman" w:cs="Times New Roman"/>
                <w:color w:val="000000" w:themeColor="text1"/>
                <w:sz w:val="20"/>
                <w:szCs w:val="20"/>
              </w:rPr>
            </w:pPr>
            <w:r w:rsidRPr="0012527E">
              <w:rPr>
                <w:rFonts w:ascii="Times New Roman" w:eastAsia="Times New Roman" w:hAnsi="Times New Roman" w:cs="Times New Roman"/>
                <w:color w:val="000000" w:themeColor="text1"/>
                <w:sz w:val="20"/>
                <w:szCs w:val="20"/>
              </w:rPr>
              <w:t>Standard Hata</w:t>
            </w:r>
          </w:p>
        </w:tc>
        <w:tc>
          <w:tcPr>
            <w:tcW w:w="992" w:type="dxa"/>
            <w:vMerge w:val="restart"/>
            <w:tcBorders>
              <w:top w:val="single" w:sz="4" w:space="0" w:color="auto"/>
              <w:left w:val="dotted" w:sz="4" w:space="0" w:color="000000"/>
              <w:bottom w:val="single" w:sz="4" w:space="0" w:color="auto"/>
              <w:right w:val="dotted" w:sz="4" w:space="0" w:color="000000"/>
            </w:tcBorders>
            <w:vAlign w:val="center"/>
            <w:hideMark/>
          </w:tcPr>
          <w:p w14:paraId="10CCE170" w14:textId="77777777" w:rsidR="007C46D4" w:rsidRPr="0012527E" w:rsidRDefault="007C46D4" w:rsidP="0012527E">
            <w:pPr>
              <w:spacing w:after="0" w:line="240" w:lineRule="auto"/>
              <w:jc w:val="center"/>
              <w:rPr>
                <w:rFonts w:ascii="Times New Roman" w:eastAsia="Times New Roman" w:hAnsi="Times New Roman" w:cs="Times New Roman"/>
                <w:color w:val="000000" w:themeColor="text1"/>
                <w:sz w:val="20"/>
                <w:szCs w:val="20"/>
              </w:rPr>
            </w:pPr>
            <w:r w:rsidRPr="0012527E">
              <w:rPr>
                <w:rFonts w:ascii="Times New Roman" w:eastAsia="Times New Roman" w:hAnsi="Times New Roman" w:cs="Times New Roman"/>
                <w:color w:val="000000" w:themeColor="text1"/>
                <w:sz w:val="20"/>
                <w:szCs w:val="20"/>
              </w:rPr>
              <w:t>p</w:t>
            </w:r>
          </w:p>
        </w:tc>
        <w:tc>
          <w:tcPr>
            <w:tcW w:w="2685" w:type="dxa"/>
            <w:gridSpan w:val="2"/>
            <w:tcBorders>
              <w:top w:val="single" w:sz="4" w:space="0" w:color="auto"/>
              <w:left w:val="dotted" w:sz="4" w:space="0" w:color="000000"/>
              <w:bottom w:val="dotted" w:sz="4" w:space="0" w:color="000000"/>
              <w:right w:val="single" w:sz="4" w:space="0" w:color="auto"/>
            </w:tcBorders>
            <w:vAlign w:val="center"/>
            <w:hideMark/>
          </w:tcPr>
          <w:p w14:paraId="1EF13053" w14:textId="77777777" w:rsidR="007C46D4" w:rsidRPr="0012527E" w:rsidRDefault="007C46D4" w:rsidP="0012527E">
            <w:pPr>
              <w:spacing w:after="0" w:line="240" w:lineRule="auto"/>
              <w:jc w:val="center"/>
              <w:rPr>
                <w:rFonts w:ascii="Times New Roman" w:eastAsia="Times New Roman" w:hAnsi="Times New Roman" w:cs="Times New Roman"/>
                <w:color w:val="000000" w:themeColor="text1"/>
                <w:sz w:val="20"/>
                <w:szCs w:val="20"/>
              </w:rPr>
            </w:pPr>
            <w:r w:rsidRPr="0012527E">
              <w:rPr>
                <w:rFonts w:ascii="Times New Roman" w:eastAsia="Times New Roman" w:hAnsi="Times New Roman" w:cs="Times New Roman"/>
                <w:color w:val="000000" w:themeColor="text1"/>
                <w:sz w:val="20"/>
                <w:szCs w:val="20"/>
              </w:rPr>
              <w:t>95% Güvenilirlik Aralığı</w:t>
            </w:r>
          </w:p>
        </w:tc>
      </w:tr>
      <w:tr w:rsidR="00164238" w:rsidRPr="0012527E" w14:paraId="2A0F8BE6" w14:textId="77777777" w:rsidTr="007C46D4">
        <w:trPr>
          <w:trHeight w:val="510"/>
        </w:trPr>
        <w:tc>
          <w:tcPr>
            <w:tcW w:w="0" w:type="auto"/>
            <w:gridSpan w:val="2"/>
            <w:vMerge/>
            <w:tcBorders>
              <w:top w:val="single" w:sz="4" w:space="0" w:color="auto"/>
              <w:left w:val="single" w:sz="4" w:space="0" w:color="auto"/>
              <w:bottom w:val="single" w:sz="4" w:space="0" w:color="auto"/>
              <w:right w:val="dotted" w:sz="4" w:space="0" w:color="000000"/>
            </w:tcBorders>
            <w:vAlign w:val="center"/>
            <w:hideMark/>
          </w:tcPr>
          <w:p w14:paraId="5C4FA1C0" w14:textId="77777777" w:rsidR="007C46D4" w:rsidRPr="0012527E" w:rsidRDefault="007C46D4" w:rsidP="0012527E">
            <w:pPr>
              <w:spacing w:after="0" w:line="240" w:lineRule="auto"/>
              <w:rPr>
                <w:rFonts w:ascii="Times New Roman" w:eastAsia="Times New Roman" w:hAnsi="Times New Roman" w:cs="Times New Roman"/>
                <w:color w:val="000000" w:themeColor="text1"/>
                <w:sz w:val="20"/>
                <w:szCs w:val="20"/>
              </w:rPr>
            </w:pPr>
          </w:p>
        </w:tc>
        <w:tc>
          <w:tcPr>
            <w:tcW w:w="0" w:type="auto"/>
            <w:vMerge/>
            <w:tcBorders>
              <w:top w:val="single" w:sz="4" w:space="0" w:color="auto"/>
              <w:left w:val="dotted" w:sz="4" w:space="0" w:color="000000"/>
              <w:bottom w:val="single" w:sz="4" w:space="0" w:color="auto"/>
              <w:right w:val="dotted" w:sz="4" w:space="0" w:color="000000"/>
            </w:tcBorders>
            <w:vAlign w:val="center"/>
            <w:hideMark/>
          </w:tcPr>
          <w:p w14:paraId="75FD317E" w14:textId="77777777" w:rsidR="007C46D4" w:rsidRPr="0012527E" w:rsidRDefault="007C46D4" w:rsidP="0012527E">
            <w:pPr>
              <w:spacing w:after="0" w:line="240" w:lineRule="auto"/>
              <w:rPr>
                <w:rFonts w:ascii="Times New Roman" w:eastAsia="Times New Roman" w:hAnsi="Times New Roman" w:cs="Times New Roman"/>
                <w:color w:val="000000" w:themeColor="text1"/>
                <w:sz w:val="20"/>
                <w:szCs w:val="20"/>
              </w:rPr>
            </w:pPr>
          </w:p>
        </w:tc>
        <w:tc>
          <w:tcPr>
            <w:tcW w:w="0" w:type="auto"/>
            <w:vMerge/>
            <w:tcBorders>
              <w:top w:val="single" w:sz="4" w:space="0" w:color="auto"/>
              <w:left w:val="dotted" w:sz="4" w:space="0" w:color="000000"/>
              <w:bottom w:val="single" w:sz="4" w:space="0" w:color="auto"/>
              <w:right w:val="dotted" w:sz="4" w:space="0" w:color="000000"/>
            </w:tcBorders>
            <w:vAlign w:val="center"/>
            <w:hideMark/>
          </w:tcPr>
          <w:p w14:paraId="0D609A73" w14:textId="77777777" w:rsidR="007C46D4" w:rsidRPr="0012527E" w:rsidRDefault="007C46D4" w:rsidP="0012527E">
            <w:pPr>
              <w:spacing w:after="0" w:line="240" w:lineRule="auto"/>
              <w:rPr>
                <w:rFonts w:ascii="Times New Roman" w:eastAsia="Times New Roman" w:hAnsi="Times New Roman" w:cs="Times New Roman"/>
                <w:color w:val="000000" w:themeColor="text1"/>
                <w:sz w:val="20"/>
                <w:szCs w:val="20"/>
              </w:rPr>
            </w:pPr>
          </w:p>
        </w:tc>
        <w:tc>
          <w:tcPr>
            <w:tcW w:w="0" w:type="auto"/>
            <w:vMerge/>
            <w:tcBorders>
              <w:top w:val="single" w:sz="4" w:space="0" w:color="auto"/>
              <w:left w:val="dotted" w:sz="4" w:space="0" w:color="000000"/>
              <w:bottom w:val="single" w:sz="4" w:space="0" w:color="auto"/>
              <w:right w:val="dotted" w:sz="4" w:space="0" w:color="000000"/>
            </w:tcBorders>
            <w:vAlign w:val="center"/>
            <w:hideMark/>
          </w:tcPr>
          <w:p w14:paraId="4E11E200" w14:textId="77777777" w:rsidR="007C46D4" w:rsidRPr="0012527E" w:rsidRDefault="007C46D4" w:rsidP="0012527E">
            <w:pPr>
              <w:spacing w:after="0" w:line="240" w:lineRule="auto"/>
              <w:rPr>
                <w:rFonts w:ascii="Times New Roman" w:eastAsia="Times New Roman" w:hAnsi="Times New Roman" w:cs="Times New Roman"/>
                <w:color w:val="000000" w:themeColor="text1"/>
                <w:sz w:val="20"/>
                <w:szCs w:val="20"/>
              </w:rPr>
            </w:pPr>
          </w:p>
        </w:tc>
        <w:tc>
          <w:tcPr>
            <w:tcW w:w="1417" w:type="dxa"/>
            <w:tcBorders>
              <w:top w:val="dotted" w:sz="4" w:space="0" w:color="000000"/>
              <w:left w:val="dotted" w:sz="4" w:space="0" w:color="000000"/>
              <w:bottom w:val="single" w:sz="4" w:space="0" w:color="auto"/>
              <w:right w:val="dotted" w:sz="4" w:space="0" w:color="000000"/>
            </w:tcBorders>
            <w:vAlign w:val="center"/>
            <w:hideMark/>
          </w:tcPr>
          <w:p w14:paraId="1F180AFF" w14:textId="77777777" w:rsidR="007C46D4" w:rsidRPr="0012527E" w:rsidRDefault="007C46D4" w:rsidP="0012527E">
            <w:pPr>
              <w:spacing w:after="0" w:line="240" w:lineRule="auto"/>
              <w:jc w:val="center"/>
              <w:rPr>
                <w:rFonts w:ascii="Times New Roman" w:eastAsia="Times New Roman" w:hAnsi="Times New Roman" w:cs="Times New Roman"/>
                <w:color w:val="000000" w:themeColor="text1"/>
                <w:sz w:val="20"/>
                <w:szCs w:val="20"/>
              </w:rPr>
            </w:pPr>
            <w:r w:rsidRPr="0012527E">
              <w:rPr>
                <w:rFonts w:ascii="Times New Roman" w:eastAsia="Times New Roman" w:hAnsi="Times New Roman" w:cs="Times New Roman"/>
                <w:color w:val="000000" w:themeColor="text1"/>
                <w:sz w:val="20"/>
                <w:szCs w:val="20"/>
              </w:rPr>
              <w:t>Alt Sınır</w:t>
            </w:r>
          </w:p>
        </w:tc>
        <w:tc>
          <w:tcPr>
            <w:tcW w:w="1268" w:type="dxa"/>
            <w:tcBorders>
              <w:top w:val="dotted" w:sz="4" w:space="0" w:color="000000"/>
              <w:left w:val="dotted" w:sz="4" w:space="0" w:color="000000"/>
              <w:bottom w:val="single" w:sz="4" w:space="0" w:color="auto"/>
              <w:right w:val="single" w:sz="4" w:space="0" w:color="auto"/>
            </w:tcBorders>
            <w:vAlign w:val="center"/>
            <w:hideMark/>
          </w:tcPr>
          <w:p w14:paraId="786A88D0" w14:textId="77777777" w:rsidR="007C46D4" w:rsidRPr="0012527E" w:rsidRDefault="007C46D4" w:rsidP="0012527E">
            <w:pPr>
              <w:spacing w:after="0" w:line="240" w:lineRule="auto"/>
              <w:jc w:val="center"/>
              <w:rPr>
                <w:rFonts w:ascii="Times New Roman" w:eastAsia="Times New Roman" w:hAnsi="Times New Roman" w:cs="Times New Roman"/>
                <w:color w:val="000000" w:themeColor="text1"/>
                <w:sz w:val="20"/>
                <w:szCs w:val="20"/>
              </w:rPr>
            </w:pPr>
            <w:r w:rsidRPr="0012527E">
              <w:rPr>
                <w:rFonts w:ascii="Times New Roman" w:eastAsia="Times New Roman" w:hAnsi="Times New Roman" w:cs="Times New Roman"/>
                <w:color w:val="000000" w:themeColor="text1"/>
                <w:sz w:val="20"/>
                <w:szCs w:val="20"/>
              </w:rPr>
              <w:t>Üst Sınır</w:t>
            </w:r>
          </w:p>
        </w:tc>
      </w:tr>
      <w:tr w:rsidR="00164238" w:rsidRPr="0012527E" w14:paraId="39AD2BD7" w14:textId="77777777" w:rsidTr="007C46D4">
        <w:trPr>
          <w:trHeight w:val="315"/>
        </w:trPr>
        <w:tc>
          <w:tcPr>
            <w:tcW w:w="988" w:type="dxa"/>
            <w:vMerge w:val="restart"/>
            <w:tcBorders>
              <w:top w:val="single" w:sz="4" w:space="0" w:color="auto"/>
              <w:left w:val="single" w:sz="4" w:space="0" w:color="auto"/>
              <w:bottom w:val="dotted" w:sz="4" w:space="0" w:color="000000"/>
              <w:right w:val="dotted" w:sz="4" w:space="0" w:color="000000"/>
            </w:tcBorders>
            <w:noWrap/>
            <w:hideMark/>
          </w:tcPr>
          <w:p w14:paraId="3176C59B" w14:textId="77777777" w:rsidR="007C46D4" w:rsidRPr="0012527E" w:rsidRDefault="007C46D4" w:rsidP="0012527E">
            <w:pPr>
              <w:spacing w:after="0" w:line="240" w:lineRule="auto"/>
              <w:rPr>
                <w:rFonts w:ascii="Times New Roman" w:eastAsia="Times New Roman" w:hAnsi="Times New Roman" w:cs="Times New Roman"/>
                <w:color w:val="000000" w:themeColor="text1"/>
                <w:sz w:val="20"/>
                <w:szCs w:val="20"/>
              </w:rPr>
            </w:pPr>
            <w:r w:rsidRPr="0012527E">
              <w:rPr>
                <w:rFonts w:ascii="Times New Roman" w:hAnsi="Times New Roman" w:cs="Times New Roman"/>
                <w:color w:val="000000" w:themeColor="text1"/>
                <w:sz w:val="20"/>
                <w:szCs w:val="20"/>
              </w:rPr>
              <w:t>24 ve Altı</w:t>
            </w:r>
          </w:p>
        </w:tc>
        <w:tc>
          <w:tcPr>
            <w:tcW w:w="1275" w:type="dxa"/>
            <w:tcBorders>
              <w:top w:val="single" w:sz="4" w:space="0" w:color="auto"/>
              <w:left w:val="dotted" w:sz="4" w:space="0" w:color="000000"/>
              <w:bottom w:val="dotted" w:sz="4" w:space="0" w:color="000000"/>
              <w:right w:val="dotted" w:sz="4" w:space="0" w:color="000000"/>
            </w:tcBorders>
            <w:noWrap/>
            <w:hideMark/>
          </w:tcPr>
          <w:p w14:paraId="348796FD" w14:textId="77777777" w:rsidR="007C46D4" w:rsidRPr="0012527E" w:rsidRDefault="007C46D4" w:rsidP="0012527E">
            <w:pPr>
              <w:spacing w:after="0" w:line="240" w:lineRule="auto"/>
              <w:rPr>
                <w:rFonts w:ascii="Times New Roman" w:eastAsia="Times New Roman" w:hAnsi="Times New Roman" w:cs="Times New Roman"/>
                <w:color w:val="000000" w:themeColor="text1"/>
                <w:sz w:val="20"/>
                <w:szCs w:val="20"/>
              </w:rPr>
            </w:pPr>
            <w:r w:rsidRPr="0012527E">
              <w:rPr>
                <w:rFonts w:ascii="Times New Roman" w:hAnsi="Times New Roman" w:cs="Times New Roman"/>
                <w:color w:val="000000" w:themeColor="text1"/>
                <w:sz w:val="20"/>
                <w:szCs w:val="20"/>
              </w:rPr>
              <w:t>25-29 Arası</w:t>
            </w:r>
          </w:p>
        </w:tc>
        <w:tc>
          <w:tcPr>
            <w:tcW w:w="1788" w:type="dxa"/>
            <w:tcBorders>
              <w:top w:val="single" w:sz="4" w:space="0" w:color="auto"/>
              <w:left w:val="dotted" w:sz="4" w:space="0" w:color="000000"/>
              <w:bottom w:val="dotted" w:sz="4" w:space="0" w:color="000000"/>
              <w:right w:val="dotted" w:sz="4" w:space="0" w:color="000000"/>
            </w:tcBorders>
            <w:noWrap/>
            <w:hideMark/>
          </w:tcPr>
          <w:p w14:paraId="50B82CEB" w14:textId="77777777" w:rsidR="007C46D4" w:rsidRPr="0012527E" w:rsidRDefault="007C46D4" w:rsidP="0012527E">
            <w:pPr>
              <w:spacing w:after="0" w:line="240" w:lineRule="auto"/>
              <w:jc w:val="right"/>
              <w:rPr>
                <w:rFonts w:ascii="Times New Roman" w:eastAsia="Times New Roman" w:hAnsi="Times New Roman" w:cs="Times New Roman"/>
                <w:color w:val="000000" w:themeColor="text1"/>
                <w:sz w:val="20"/>
                <w:szCs w:val="20"/>
              </w:rPr>
            </w:pPr>
            <w:r w:rsidRPr="0012527E">
              <w:rPr>
                <w:rFonts w:ascii="Times New Roman" w:hAnsi="Times New Roman" w:cs="Times New Roman"/>
                <w:color w:val="000000" w:themeColor="text1"/>
                <w:sz w:val="20"/>
                <w:szCs w:val="20"/>
              </w:rPr>
              <w:t>,14491</w:t>
            </w:r>
          </w:p>
        </w:tc>
        <w:tc>
          <w:tcPr>
            <w:tcW w:w="1473" w:type="dxa"/>
            <w:tcBorders>
              <w:top w:val="single" w:sz="4" w:space="0" w:color="auto"/>
              <w:left w:val="dotted" w:sz="4" w:space="0" w:color="000000"/>
              <w:bottom w:val="dotted" w:sz="4" w:space="0" w:color="000000"/>
              <w:right w:val="dotted" w:sz="4" w:space="0" w:color="000000"/>
            </w:tcBorders>
            <w:noWrap/>
            <w:hideMark/>
          </w:tcPr>
          <w:p w14:paraId="44A01860" w14:textId="77777777" w:rsidR="007C46D4" w:rsidRPr="0012527E" w:rsidRDefault="007C46D4" w:rsidP="0012527E">
            <w:pPr>
              <w:spacing w:after="0" w:line="240" w:lineRule="auto"/>
              <w:jc w:val="right"/>
              <w:rPr>
                <w:rFonts w:ascii="Times New Roman" w:eastAsia="Times New Roman" w:hAnsi="Times New Roman" w:cs="Times New Roman"/>
                <w:color w:val="000000" w:themeColor="text1"/>
                <w:sz w:val="20"/>
                <w:szCs w:val="20"/>
              </w:rPr>
            </w:pPr>
            <w:r w:rsidRPr="0012527E">
              <w:rPr>
                <w:rFonts w:ascii="Times New Roman" w:hAnsi="Times New Roman" w:cs="Times New Roman"/>
                <w:color w:val="000000" w:themeColor="text1"/>
                <w:sz w:val="20"/>
                <w:szCs w:val="20"/>
              </w:rPr>
              <w:t>,16698</w:t>
            </w:r>
          </w:p>
        </w:tc>
        <w:tc>
          <w:tcPr>
            <w:tcW w:w="992" w:type="dxa"/>
            <w:tcBorders>
              <w:top w:val="single" w:sz="4" w:space="0" w:color="auto"/>
              <w:left w:val="dotted" w:sz="4" w:space="0" w:color="000000"/>
              <w:bottom w:val="dotted" w:sz="4" w:space="0" w:color="000000"/>
              <w:right w:val="dotted" w:sz="4" w:space="0" w:color="000000"/>
            </w:tcBorders>
            <w:noWrap/>
            <w:hideMark/>
          </w:tcPr>
          <w:p w14:paraId="4CD3EF05" w14:textId="77777777" w:rsidR="007C46D4" w:rsidRPr="0012527E" w:rsidRDefault="007C46D4" w:rsidP="0012527E">
            <w:pPr>
              <w:spacing w:after="0" w:line="240" w:lineRule="auto"/>
              <w:jc w:val="right"/>
              <w:rPr>
                <w:rFonts w:ascii="Times New Roman" w:eastAsia="Times New Roman" w:hAnsi="Times New Roman" w:cs="Times New Roman"/>
                <w:color w:val="000000" w:themeColor="text1"/>
                <w:sz w:val="20"/>
                <w:szCs w:val="20"/>
              </w:rPr>
            </w:pPr>
            <w:r w:rsidRPr="0012527E">
              <w:rPr>
                <w:rFonts w:ascii="Times New Roman" w:hAnsi="Times New Roman" w:cs="Times New Roman"/>
                <w:color w:val="000000" w:themeColor="text1"/>
                <w:sz w:val="20"/>
                <w:szCs w:val="20"/>
              </w:rPr>
              <w:t>,769</w:t>
            </w:r>
          </w:p>
        </w:tc>
        <w:tc>
          <w:tcPr>
            <w:tcW w:w="1417" w:type="dxa"/>
            <w:tcBorders>
              <w:top w:val="single" w:sz="4" w:space="0" w:color="auto"/>
              <w:left w:val="dotted" w:sz="4" w:space="0" w:color="000000"/>
              <w:bottom w:val="dotted" w:sz="4" w:space="0" w:color="000000"/>
              <w:right w:val="dotted" w:sz="4" w:space="0" w:color="000000"/>
            </w:tcBorders>
            <w:noWrap/>
            <w:hideMark/>
          </w:tcPr>
          <w:p w14:paraId="79856BFA" w14:textId="77777777" w:rsidR="007C46D4" w:rsidRPr="0012527E" w:rsidRDefault="007C46D4" w:rsidP="0012527E">
            <w:pPr>
              <w:spacing w:after="0" w:line="240" w:lineRule="auto"/>
              <w:jc w:val="right"/>
              <w:rPr>
                <w:rFonts w:ascii="Times New Roman" w:eastAsia="Times New Roman" w:hAnsi="Times New Roman" w:cs="Times New Roman"/>
                <w:color w:val="000000" w:themeColor="text1"/>
                <w:sz w:val="20"/>
                <w:szCs w:val="20"/>
              </w:rPr>
            </w:pPr>
            <w:r w:rsidRPr="0012527E">
              <w:rPr>
                <w:rFonts w:ascii="Times New Roman" w:hAnsi="Times New Roman" w:cs="Times New Roman"/>
                <w:color w:val="000000" w:themeColor="text1"/>
                <w:sz w:val="20"/>
                <w:szCs w:val="20"/>
              </w:rPr>
              <w:t>-,2564</w:t>
            </w:r>
          </w:p>
        </w:tc>
        <w:tc>
          <w:tcPr>
            <w:tcW w:w="1268" w:type="dxa"/>
            <w:tcBorders>
              <w:top w:val="single" w:sz="4" w:space="0" w:color="auto"/>
              <w:left w:val="dotted" w:sz="4" w:space="0" w:color="000000"/>
              <w:bottom w:val="dotted" w:sz="4" w:space="0" w:color="000000"/>
              <w:right w:val="single" w:sz="4" w:space="0" w:color="auto"/>
            </w:tcBorders>
            <w:noWrap/>
            <w:hideMark/>
          </w:tcPr>
          <w:p w14:paraId="0E8C5BDF" w14:textId="77777777" w:rsidR="007C46D4" w:rsidRPr="0012527E" w:rsidRDefault="007C46D4" w:rsidP="0012527E">
            <w:pPr>
              <w:spacing w:after="0" w:line="240" w:lineRule="auto"/>
              <w:jc w:val="right"/>
              <w:rPr>
                <w:rFonts w:ascii="Times New Roman" w:eastAsia="Times New Roman" w:hAnsi="Times New Roman" w:cs="Times New Roman"/>
                <w:color w:val="000000" w:themeColor="text1"/>
                <w:sz w:val="20"/>
                <w:szCs w:val="20"/>
              </w:rPr>
            </w:pPr>
            <w:r w:rsidRPr="0012527E">
              <w:rPr>
                <w:rFonts w:ascii="Times New Roman" w:hAnsi="Times New Roman" w:cs="Times New Roman"/>
                <w:color w:val="000000" w:themeColor="text1"/>
                <w:sz w:val="20"/>
                <w:szCs w:val="20"/>
              </w:rPr>
              <w:t>,5462</w:t>
            </w:r>
          </w:p>
        </w:tc>
      </w:tr>
      <w:tr w:rsidR="00164238" w:rsidRPr="0012527E" w14:paraId="2DCF187D" w14:textId="77777777" w:rsidTr="007C46D4">
        <w:trPr>
          <w:trHeight w:val="300"/>
        </w:trPr>
        <w:tc>
          <w:tcPr>
            <w:tcW w:w="0" w:type="auto"/>
            <w:vMerge/>
            <w:tcBorders>
              <w:top w:val="single" w:sz="4" w:space="0" w:color="auto"/>
              <w:left w:val="single" w:sz="4" w:space="0" w:color="auto"/>
              <w:bottom w:val="dotted" w:sz="4" w:space="0" w:color="000000"/>
              <w:right w:val="dotted" w:sz="4" w:space="0" w:color="000000"/>
            </w:tcBorders>
            <w:vAlign w:val="center"/>
            <w:hideMark/>
          </w:tcPr>
          <w:p w14:paraId="4377A8ED" w14:textId="77777777" w:rsidR="007C46D4" w:rsidRPr="0012527E" w:rsidRDefault="007C46D4" w:rsidP="0012527E">
            <w:pPr>
              <w:spacing w:after="0" w:line="240" w:lineRule="auto"/>
              <w:rPr>
                <w:rFonts w:ascii="Times New Roman" w:eastAsia="Times New Roman" w:hAnsi="Times New Roman" w:cs="Times New Roman"/>
                <w:color w:val="000000" w:themeColor="text1"/>
                <w:sz w:val="20"/>
                <w:szCs w:val="20"/>
              </w:rPr>
            </w:pPr>
          </w:p>
        </w:tc>
        <w:tc>
          <w:tcPr>
            <w:tcW w:w="1275" w:type="dxa"/>
            <w:tcBorders>
              <w:top w:val="dotted" w:sz="4" w:space="0" w:color="000000"/>
              <w:left w:val="dotted" w:sz="4" w:space="0" w:color="000000"/>
              <w:bottom w:val="dotted" w:sz="4" w:space="0" w:color="000000"/>
              <w:right w:val="dotted" w:sz="4" w:space="0" w:color="000000"/>
            </w:tcBorders>
            <w:noWrap/>
            <w:hideMark/>
          </w:tcPr>
          <w:p w14:paraId="6098736C" w14:textId="77777777" w:rsidR="007C46D4" w:rsidRPr="0012527E" w:rsidRDefault="007C46D4" w:rsidP="0012527E">
            <w:pPr>
              <w:spacing w:after="0" w:line="240" w:lineRule="auto"/>
              <w:rPr>
                <w:rFonts w:ascii="Times New Roman" w:eastAsia="Times New Roman" w:hAnsi="Times New Roman" w:cs="Times New Roman"/>
                <w:color w:val="000000" w:themeColor="text1"/>
                <w:sz w:val="20"/>
                <w:szCs w:val="20"/>
              </w:rPr>
            </w:pPr>
            <w:r w:rsidRPr="0012527E">
              <w:rPr>
                <w:rFonts w:ascii="Times New Roman" w:hAnsi="Times New Roman" w:cs="Times New Roman"/>
                <w:color w:val="000000" w:themeColor="text1"/>
                <w:sz w:val="20"/>
                <w:szCs w:val="20"/>
              </w:rPr>
              <w:t>30 ve Üzeri</w:t>
            </w:r>
          </w:p>
        </w:tc>
        <w:tc>
          <w:tcPr>
            <w:tcW w:w="1788" w:type="dxa"/>
            <w:tcBorders>
              <w:top w:val="dotted" w:sz="4" w:space="0" w:color="000000"/>
              <w:left w:val="dotted" w:sz="4" w:space="0" w:color="000000"/>
              <w:bottom w:val="dotted" w:sz="4" w:space="0" w:color="000000"/>
              <w:right w:val="dotted" w:sz="4" w:space="0" w:color="000000"/>
            </w:tcBorders>
            <w:noWrap/>
            <w:hideMark/>
          </w:tcPr>
          <w:p w14:paraId="5390E294" w14:textId="77777777" w:rsidR="007C46D4" w:rsidRPr="0012527E" w:rsidRDefault="007C46D4" w:rsidP="0012527E">
            <w:pPr>
              <w:spacing w:after="0" w:line="240" w:lineRule="auto"/>
              <w:jc w:val="right"/>
              <w:rPr>
                <w:rFonts w:ascii="Times New Roman" w:eastAsia="Times New Roman" w:hAnsi="Times New Roman" w:cs="Times New Roman"/>
                <w:color w:val="000000" w:themeColor="text1"/>
                <w:sz w:val="20"/>
                <w:szCs w:val="20"/>
              </w:rPr>
            </w:pPr>
            <w:r w:rsidRPr="0012527E">
              <w:rPr>
                <w:rFonts w:ascii="Times New Roman" w:hAnsi="Times New Roman" w:cs="Times New Roman"/>
                <w:color w:val="000000" w:themeColor="text1"/>
                <w:sz w:val="20"/>
                <w:szCs w:val="20"/>
              </w:rPr>
              <w:t>1,13770*</w:t>
            </w:r>
          </w:p>
        </w:tc>
        <w:tc>
          <w:tcPr>
            <w:tcW w:w="1473" w:type="dxa"/>
            <w:tcBorders>
              <w:top w:val="dotted" w:sz="4" w:space="0" w:color="000000"/>
              <w:left w:val="dotted" w:sz="4" w:space="0" w:color="000000"/>
              <w:bottom w:val="dotted" w:sz="4" w:space="0" w:color="000000"/>
              <w:right w:val="dotted" w:sz="4" w:space="0" w:color="000000"/>
            </w:tcBorders>
            <w:noWrap/>
            <w:hideMark/>
          </w:tcPr>
          <w:p w14:paraId="78513AA1" w14:textId="77777777" w:rsidR="007C46D4" w:rsidRPr="0012527E" w:rsidRDefault="007C46D4" w:rsidP="0012527E">
            <w:pPr>
              <w:spacing w:after="0" w:line="240" w:lineRule="auto"/>
              <w:jc w:val="right"/>
              <w:rPr>
                <w:rFonts w:ascii="Times New Roman" w:eastAsia="Times New Roman" w:hAnsi="Times New Roman" w:cs="Times New Roman"/>
                <w:color w:val="000000" w:themeColor="text1"/>
                <w:sz w:val="20"/>
                <w:szCs w:val="20"/>
              </w:rPr>
            </w:pPr>
            <w:r w:rsidRPr="0012527E">
              <w:rPr>
                <w:rFonts w:ascii="Times New Roman" w:hAnsi="Times New Roman" w:cs="Times New Roman"/>
                <w:color w:val="000000" w:themeColor="text1"/>
                <w:sz w:val="20"/>
                <w:szCs w:val="20"/>
              </w:rPr>
              <w:t>,40034</w:t>
            </w:r>
          </w:p>
        </w:tc>
        <w:tc>
          <w:tcPr>
            <w:tcW w:w="992" w:type="dxa"/>
            <w:tcBorders>
              <w:top w:val="dotted" w:sz="4" w:space="0" w:color="000000"/>
              <w:left w:val="dotted" w:sz="4" w:space="0" w:color="000000"/>
              <w:bottom w:val="dotted" w:sz="4" w:space="0" w:color="000000"/>
              <w:right w:val="dotted" w:sz="4" w:space="0" w:color="000000"/>
            </w:tcBorders>
            <w:noWrap/>
            <w:hideMark/>
          </w:tcPr>
          <w:p w14:paraId="5F431DC9" w14:textId="77777777" w:rsidR="007C46D4" w:rsidRPr="0012527E" w:rsidRDefault="007C46D4" w:rsidP="0012527E">
            <w:pPr>
              <w:spacing w:after="0" w:line="240" w:lineRule="auto"/>
              <w:jc w:val="right"/>
              <w:rPr>
                <w:rFonts w:ascii="Times New Roman" w:eastAsia="Times New Roman" w:hAnsi="Times New Roman" w:cs="Times New Roman"/>
                <w:color w:val="000000" w:themeColor="text1"/>
                <w:sz w:val="20"/>
                <w:szCs w:val="20"/>
              </w:rPr>
            </w:pPr>
            <w:r w:rsidRPr="0012527E">
              <w:rPr>
                <w:rFonts w:ascii="Times New Roman" w:hAnsi="Times New Roman" w:cs="Times New Roman"/>
                <w:color w:val="000000" w:themeColor="text1"/>
                <w:sz w:val="20"/>
                <w:szCs w:val="20"/>
              </w:rPr>
              <w:t>,014</w:t>
            </w:r>
          </w:p>
        </w:tc>
        <w:tc>
          <w:tcPr>
            <w:tcW w:w="1417" w:type="dxa"/>
            <w:tcBorders>
              <w:top w:val="dotted" w:sz="4" w:space="0" w:color="000000"/>
              <w:left w:val="dotted" w:sz="4" w:space="0" w:color="000000"/>
              <w:bottom w:val="dotted" w:sz="4" w:space="0" w:color="000000"/>
              <w:right w:val="dotted" w:sz="4" w:space="0" w:color="000000"/>
            </w:tcBorders>
            <w:noWrap/>
            <w:hideMark/>
          </w:tcPr>
          <w:p w14:paraId="2CDA860E" w14:textId="77777777" w:rsidR="007C46D4" w:rsidRPr="0012527E" w:rsidRDefault="007C46D4" w:rsidP="0012527E">
            <w:pPr>
              <w:spacing w:after="0" w:line="240" w:lineRule="auto"/>
              <w:jc w:val="right"/>
              <w:rPr>
                <w:rFonts w:ascii="Times New Roman" w:eastAsia="Times New Roman" w:hAnsi="Times New Roman" w:cs="Times New Roman"/>
                <w:color w:val="000000" w:themeColor="text1"/>
                <w:sz w:val="20"/>
                <w:szCs w:val="20"/>
              </w:rPr>
            </w:pPr>
            <w:r w:rsidRPr="0012527E">
              <w:rPr>
                <w:rFonts w:ascii="Times New Roman" w:hAnsi="Times New Roman" w:cs="Times New Roman"/>
                <w:color w:val="000000" w:themeColor="text1"/>
                <w:sz w:val="20"/>
                <w:szCs w:val="20"/>
              </w:rPr>
              <w:t>,1755</w:t>
            </w:r>
          </w:p>
        </w:tc>
        <w:tc>
          <w:tcPr>
            <w:tcW w:w="1268" w:type="dxa"/>
            <w:tcBorders>
              <w:top w:val="dotted" w:sz="4" w:space="0" w:color="000000"/>
              <w:left w:val="dotted" w:sz="4" w:space="0" w:color="000000"/>
              <w:bottom w:val="dotted" w:sz="4" w:space="0" w:color="000000"/>
              <w:right w:val="single" w:sz="4" w:space="0" w:color="auto"/>
            </w:tcBorders>
            <w:noWrap/>
            <w:hideMark/>
          </w:tcPr>
          <w:p w14:paraId="56559F5A" w14:textId="77777777" w:rsidR="007C46D4" w:rsidRPr="0012527E" w:rsidRDefault="007C46D4" w:rsidP="0012527E">
            <w:pPr>
              <w:spacing w:after="0" w:line="240" w:lineRule="auto"/>
              <w:jc w:val="right"/>
              <w:rPr>
                <w:rFonts w:ascii="Times New Roman" w:eastAsia="Times New Roman" w:hAnsi="Times New Roman" w:cs="Times New Roman"/>
                <w:color w:val="000000" w:themeColor="text1"/>
                <w:sz w:val="20"/>
                <w:szCs w:val="20"/>
              </w:rPr>
            </w:pPr>
            <w:r w:rsidRPr="0012527E">
              <w:rPr>
                <w:rFonts w:ascii="Times New Roman" w:hAnsi="Times New Roman" w:cs="Times New Roman"/>
                <w:color w:val="000000" w:themeColor="text1"/>
                <w:sz w:val="20"/>
                <w:szCs w:val="20"/>
              </w:rPr>
              <w:t>2,0999</w:t>
            </w:r>
          </w:p>
        </w:tc>
      </w:tr>
      <w:tr w:rsidR="00164238" w:rsidRPr="0012527E" w14:paraId="65C81D52" w14:textId="77777777" w:rsidTr="007C46D4">
        <w:trPr>
          <w:trHeight w:val="300"/>
        </w:trPr>
        <w:tc>
          <w:tcPr>
            <w:tcW w:w="988" w:type="dxa"/>
            <w:vMerge w:val="restart"/>
            <w:tcBorders>
              <w:top w:val="dotted" w:sz="4" w:space="0" w:color="000000"/>
              <w:left w:val="single" w:sz="4" w:space="0" w:color="auto"/>
              <w:bottom w:val="dotted" w:sz="4" w:space="0" w:color="000000"/>
              <w:right w:val="dotted" w:sz="4" w:space="0" w:color="000000"/>
            </w:tcBorders>
            <w:noWrap/>
            <w:hideMark/>
          </w:tcPr>
          <w:p w14:paraId="7CEB3040" w14:textId="77777777" w:rsidR="007C46D4" w:rsidRPr="0012527E" w:rsidRDefault="007C46D4" w:rsidP="0012527E">
            <w:pPr>
              <w:spacing w:after="0" w:line="240" w:lineRule="auto"/>
              <w:rPr>
                <w:rFonts w:ascii="Times New Roman" w:eastAsia="Times New Roman" w:hAnsi="Times New Roman" w:cs="Times New Roman"/>
                <w:color w:val="000000" w:themeColor="text1"/>
                <w:sz w:val="20"/>
                <w:szCs w:val="20"/>
              </w:rPr>
            </w:pPr>
            <w:r w:rsidRPr="0012527E">
              <w:rPr>
                <w:rFonts w:ascii="Times New Roman" w:hAnsi="Times New Roman" w:cs="Times New Roman"/>
                <w:color w:val="000000" w:themeColor="text1"/>
                <w:sz w:val="20"/>
                <w:szCs w:val="20"/>
              </w:rPr>
              <w:t>25-29 Arası</w:t>
            </w:r>
          </w:p>
        </w:tc>
        <w:tc>
          <w:tcPr>
            <w:tcW w:w="1275" w:type="dxa"/>
            <w:tcBorders>
              <w:top w:val="dotted" w:sz="4" w:space="0" w:color="000000"/>
              <w:left w:val="dotted" w:sz="4" w:space="0" w:color="000000"/>
              <w:bottom w:val="dotted" w:sz="4" w:space="0" w:color="000000"/>
              <w:right w:val="dotted" w:sz="4" w:space="0" w:color="000000"/>
            </w:tcBorders>
            <w:noWrap/>
            <w:hideMark/>
          </w:tcPr>
          <w:p w14:paraId="65A6F3F8" w14:textId="77777777" w:rsidR="007C46D4" w:rsidRPr="0012527E" w:rsidRDefault="007C46D4" w:rsidP="0012527E">
            <w:pPr>
              <w:spacing w:after="0" w:line="240" w:lineRule="auto"/>
              <w:rPr>
                <w:rFonts w:ascii="Times New Roman" w:eastAsia="Times New Roman" w:hAnsi="Times New Roman" w:cs="Times New Roman"/>
                <w:color w:val="000000" w:themeColor="text1"/>
                <w:sz w:val="20"/>
                <w:szCs w:val="20"/>
              </w:rPr>
            </w:pPr>
            <w:r w:rsidRPr="0012527E">
              <w:rPr>
                <w:rFonts w:ascii="Times New Roman" w:hAnsi="Times New Roman" w:cs="Times New Roman"/>
                <w:color w:val="000000" w:themeColor="text1"/>
                <w:sz w:val="20"/>
                <w:szCs w:val="20"/>
              </w:rPr>
              <w:t>24 ve Altı</w:t>
            </w:r>
          </w:p>
        </w:tc>
        <w:tc>
          <w:tcPr>
            <w:tcW w:w="1788" w:type="dxa"/>
            <w:tcBorders>
              <w:top w:val="dotted" w:sz="4" w:space="0" w:color="000000"/>
              <w:left w:val="dotted" w:sz="4" w:space="0" w:color="000000"/>
              <w:bottom w:val="dotted" w:sz="4" w:space="0" w:color="000000"/>
              <w:right w:val="dotted" w:sz="4" w:space="0" w:color="000000"/>
            </w:tcBorders>
            <w:noWrap/>
            <w:hideMark/>
          </w:tcPr>
          <w:p w14:paraId="50EA6083" w14:textId="77777777" w:rsidR="007C46D4" w:rsidRPr="0012527E" w:rsidRDefault="007C46D4" w:rsidP="0012527E">
            <w:pPr>
              <w:spacing w:after="0" w:line="240" w:lineRule="auto"/>
              <w:jc w:val="right"/>
              <w:rPr>
                <w:rFonts w:ascii="Times New Roman" w:eastAsia="Times New Roman" w:hAnsi="Times New Roman" w:cs="Times New Roman"/>
                <w:color w:val="000000" w:themeColor="text1"/>
                <w:sz w:val="20"/>
                <w:szCs w:val="20"/>
              </w:rPr>
            </w:pPr>
            <w:r w:rsidRPr="0012527E">
              <w:rPr>
                <w:rFonts w:ascii="Times New Roman" w:hAnsi="Times New Roman" w:cs="Times New Roman"/>
                <w:color w:val="000000" w:themeColor="text1"/>
                <w:sz w:val="20"/>
                <w:szCs w:val="20"/>
              </w:rPr>
              <w:t>-,14491</w:t>
            </w:r>
          </w:p>
        </w:tc>
        <w:tc>
          <w:tcPr>
            <w:tcW w:w="1473" w:type="dxa"/>
            <w:tcBorders>
              <w:top w:val="dotted" w:sz="4" w:space="0" w:color="000000"/>
              <w:left w:val="dotted" w:sz="4" w:space="0" w:color="000000"/>
              <w:bottom w:val="dotted" w:sz="4" w:space="0" w:color="000000"/>
              <w:right w:val="dotted" w:sz="4" w:space="0" w:color="000000"/>
            </w:tcBorders>
            <w:noWrap/>
            <w:hideMark/>
          </w:tcPr>
          <w:p w14:paraId="4A855F40" w14:textId="77777777" w:rsidR="007C46D4" w:rsidRPr="0012527E" w:rsidRDefault="007C46D4" w:rsidP="0012527E">
            <w:pPr>
              <w:spacing w:after="0" w:line="240" w:lineRule="auto"/>
              <w:jc w:val="right"/>
              <w:rPr>
                <w:rFonts w:ascii="Times New Roman" w:eastAsia="Times New Roman" w:hAnsi="Times New Roman" w:cs="Times New Roman"/>
                <w:color w:val="000000" w:themeColor="text1"/>
                <w:sz w:val="20"/>
                <w:szCs w:val="20"/>
              </w:rPr>
            </w:pPr>
            <w:r w:rsidRPr="0012527E">
              <w:rPr>
                <w:rFonts w:ascii="Times New Roman" w:hAnsi="Times New Roman" w:cs="Times New Roman"/>
                <w:color w:val="000000" w:themeColor="text1"/>
                <w:sz w:val="20"/>
                <w:szCs w:val="20"/>
              </w:rPr>
              <w:t>,16698</w:t>
            </w:r>
          </w:p>
        </w:tc>
        <w:tc>
          <w:tcPr>
            <w:tcW w:w="992" w:type="dxa"/>
            <w:tcBorders>
              <w:top w:val="dotted" w:sz="4" w:space="0" w:color="000000"/>
              <w:left w:val="dotted" w:sz="4" w:space="0" w:color="000000"/>
              <w:bottom w:val="dotted" w:sz="4" w:space="0" w:color="000000"/>
              <w:right w:val="dotted" w:sz="4" w:space="0" w:color="000000"/>
            </w:tcBorders>
            <w:noWrap/>
            <w:hideMark/>
          </w:tcPr>
          <w:p w14:paraId="79A3F609" w14:textId="77777777" w:rsidR="007C46D4" w:rsidRPr="0012527E" w:rsidRDefault="007C46D4" w:rsidP="0012527E">
            <w:pPr>
              <w:spacing w:after="0" w:line="240" w:lineRule="auto"/>
              <w:jc w:val="right"/>
              <w:rPr>
                <w:rFonts w:ascii="Times New Roman" w:eastAsia="Times New Roman" w:hAnsi="Times New Roman" w:cs="Times New Roman"/>
                <w:color w:val="000000" w:themeColor="text1"/>
                <w:sz w:val="20"/>
                <w:szCs w:val="20"/>
              </w:rPr>
            </w:pPr>
            <w:r w:rsidRPr="0012527E">
              <w:rPr>
                <w:rFonts w:ascii="Times New Roman" w:hAnsi="Times New Roman" w:cs="Times New Roman"/>
                <w:color w:val="000000" w:themeColor="text1"/>
                <w:sz w:val="20"/>
                <w:szCs w:val="20"/>
              </w:rPr>
              <w:t>,769</w:t>
            </w:r>
          </w:p>
        </w:tc>
        <w:tc>
          <w:tcPr>
            <w:tcW w:w="1417" w:type="dxa"/>
            <w:tcBorders>
              <w:top w:val="dotted" w:sz="4" w:space="0" w:color="000000"/>
              <w:left w:val="dotted" w:sz="4" w:space="0" w:color="000000"/>
              <w:bottom w:val="dotted" w:sz="4" w:space="0" w:color="000000"/>
              <w:right w:val="dotted" w:sz="4" w:space="0" w:color="000000"/>
            </w:tcBorders>
            <w:noWrap/>
            <w:hideMark/>
          </w:tcPr>
          <w:p w14:paraId="2222A4AB" w14:textId="77777777" w:rsidR="007C46D4" w:rsidRPr="0012527E" w:rsidRDefault="007C46D4" w:rsidP="0012527E">
            <w:pPr>
              <w:spacing w:after="0" w:line="240" w:lineRule="auto"/>
              <w:jc w:val="right"/>
              <w:rPr>
                <w:rFonts w:ascii="Times New Roman" w:eastAsia="Times New Roman" w:hAnsi="Times New Roman" w:cs="Times New Roman"/>
                <w:color w:val="000000" w:themeColor="text1"/>
                <w:sz w:val="20"/>
                <w:szCs w:val="20"/>
              </w:rPr>
            </w:pPr>
            <w:r w:rsidRPr="0012527E">
              <w:rPr>
                <w:rFonts w:ascii="Times New Roman" w:hAnsi="Times New Roman" w:cs="Times New Roman"/>
                <w:color w:val="000000" w:themeColor="text1"/>
                <w:sz w:val="20"/>
                <w:szCs w:val="20"/>
              </w:rPr>
              <w:t>-,5462</w:t>
            </w:r>
          </w:p>
        </w:tc>
        <w:tc>
          <w:tcPr>
            <w:tcW w:w="1268" w:type="dxa"/>
            <w:tcBorders>
              <w:top w:val="dotted" w:sz="4" w:space="0" w:color="000000"/>
              <w:left w:val="dotted" w:sz="4" w:space="0" w:color="000000"/>
              <w:bottom w:val="dotted" w:sz="4" w:space="0" w:color="000000"/>
              <w:right w:val="single" w:sz="4" w:space="0" w:color="auto"/>
            </w:tcBorders>
            <w:noWrap/>
            <w:hideMark/>
          </w:tcPr>
          <w:p w14:paraId="2613EF17" w14:textId="77777777" w:rsidR="007C46D4" w:rsidRPr="0012527E" w:rsidRDefault="007C46D4" w:rsidP="0012527E">
            <w:pPr>
              <w:spacing w:after="0" w:line="240" w:lineRule="auto"/>
              <w:jc w:val="right"/>
              <w:rPr>
                <w:rFonts w:ascii="Times New Roman" w:eastAsia="Times New Roman" w:hAnsi="Times New Roman" w:cs="Times New Roman"/>
                <w:color w:val="000000" w:themeColor="text1"/>
                <w:sz w:val="20"/>
                <w:szCs w:val="20"/>
              </w:rPr>
            </w:pPr>
            <w:r w:rsidRPr="0012527E">
              <w:rPr>
                <w:rFonts w:ascii="Times New Roman" w:hAnsi="Times New Roman" w:cs="Times New Roman"/>
                <w:color w:val="000000" w:themeColor="text1"/>
                <w:sz w:val="20"/>
                <w:szCs w:val="20"/>
              </w:rPr>
              <w:t>,2564</w:t>
            </w:r>
          </w:p>
        </w:tc>
      </w:tr>
      <w:tr w:rsidR="00164238" w:rsidRPr="0012527E" w14:paraId="5728F94B" w14:textId="77777777" w:rsidTr="007C46D4">
        <w:trPr>
          <w:trHeight w:val="300"/>
        </w:trPr>
        <w:tc>
          <w:tcPr>
            <w:tcW w:w="0" w:type="auto"/>
            <w:vMerge/>
            <w:tcBorders>
              <w:top w:val="dotted" w:sz="4" w:space="0" w:color="000000"/>
              <w:left w:val="single" w:sz="4" w:space="0" w:color="auto"/>
              <w:bottom w:val="dotted" w:sz="4" w:space="0" w:color="000000"/>
              <w:right w:val="dotted" w:sz="4" w:space="0" w:color="000000"/>
            </w:tcBorders>
            <w:vAlign w:val="center"/>
            <w:hideMark/>
          </w:tcPr>
          <w:p w14:paraId="4919B612" w14:textId="77777777" w:rsidR="007C46D4" w:rsidRPr="0012527E" w:rsidRDefault="007C46D4" w:rsidP="0012527E">
            <w:pPr>
              <w:spacing w:after="0" w:line="240" w:lineRule="auto"/>
              <w:rPr>
                <w:rFonts w:ascii="Times New Roman" w:eastAsia="Times New Roman" w:hAnsi="Times New Roman" w:cs="Times New Roman"/>
                <w:color w:val="000000" w:themeColor="text1"/>
                <w:sz w:val="20"/>
                <w:szCs w:val="20"/>
              </w:rPr>
            </w:pPr>
          </w:p>
        </w:tc>
        <w:tc>
          <w:tcPr>
            <w:tcW w:w="1275" w:type="dxa"/>
            <w:tcBorders>
              <w:top w:val="dotted" w:sz="4" w:space="0" w:color="000000"/>
              <w:left w:val="dotted" w:sz="4" w:space="0" w:color="000000"/>
              <w:bottom w:val="dotted" w:sz="4" w:space="0" w:color="000000"/>
              <w:right w:val="dotted" w:sz="4" w:space="0" w:color="000000"/>
            </w:tcBorders>
            <w:noWrap/>
            <w:hideMark/>
          </w:tcPr>
          <w:p w14:paraId="7A6A9DDD" w14:textId="77777777" w:rsidR="007C46D4" w:rsidRPr="0012527E" w:rsidRDefault="007C46D4" w:rsidP="0012527E">
            <w:pPr>
              <w:spacing w:after="0" w:line="240" w:lineRule="auto"/>
              <w:rPr>
                <w:rFonts w:ascii="Times New Roman" w:eastAsia="Times New Roman" w:hAnsi="Times New Roman" w:cs="Times New Roman"/>
                <w:color w:val="000000" w:themeColor="text1"/>
                <w:sz w:val="20"/>
                <w:szCs w:val="20"/>
              </w:rPr>
            </w:pPr>
            <w:r w:rsidRPr="0012527E">
              <w:rPr>
                <w:rFonts w:ascii="Times New Roman" w:hAnsi="Times New Roman" w:cs="Times New Roman"/>
                <w:color w:val="000000" w:themeColor="text1"/>
                <w:sz w:val="20"/>
                <w:szCs w:val="20"/>
              </w:rPr>
              <w:t>30 ve Üzeri</w:t>
            </w:r>
          </w:p>
        </w:tc>
        <w:tc>
          <w:tcPr>
            <w:tcW w:w="1788" w:type="dxa"/>
            <w:tcBorders>
              <w:top w:val="dotted" w:sz="4" w:space="0" w:color="000000"/>
              <w:left w:val="dotted" w:sz="4" w:space="0" w:color="000000"/>
              <w:bottom w:val="dotted" w:sz="4" w:space="0" w:color="000000"/>
              <w:right w:val="dotted" w:sz="4" w:space="0" w:color="000000"/>
            </w:tcBorders>
            <w:noWrap/>
            <w:hideMark/>
          </w:tcPr>
          <w:p w14:paraId="67371281" w14:textId="77777777" w:rsidR="007C46D4" w:rsidRPr="0012527E" w:rsidRDefault="007C46D4" w:rsidP="0012527E">
            <w:pPr>
              <w:spacing w:after="0" w:line="240" w:lineRule="auto"/>
              <w:jc w:val="right"/>
              <w:rPr>
                <w:rFonts w:ascii="Times New Roman" w:eastAsia="Times New Roman" w:hAnsi="Times New Roman" w:cs="Times New Roman"/>
                <w:color w:val="000000" w:themeColor="text1"/>
                <w:sz w:val="20"/>
                <w:szCs w:val="20"/>
              </w:rPr>
            </w:pPr>
            <w:r w:rsidRPr="0012527E">
              <w:rPr>
                <w:rFonts w:ascii="Times New Roman" w:hAnsi="Times New Roman" w:cs="Times New Roman"/>
                <w:color w:val="000000" w:themeColor="text1"/>
                <w:sz w:val="20"/>
                <w:szCs w:val="20"/>
              </w:rPr>
              <w:t>,99279*</w:t>
            </w:r>
          </w:p>
        </w:tc>
        <w:tc>
          <w:tcPr>
            <w:tcW w:w="1473" w:type="dxa"/>
            <w:tcBorders>
              <w:top w:val="dotted" w:sz="4" w:space="0" w:color="000000"/>
              <w:left w:val="dotted" w:sz="4" w:space="0" w:color="000000"/>
              <w:bottom w:val="dotted" w:sz="4" w:space="0" w:color="000000"/>
              <w:right w:val="dotted" w:sz="4" w:space="0" w:color="000000"/>
            </w:tcBorders>
            <w:noWrap/>
            <w:hideMark/>
          </w:tcPr>
          <w:p w14:paraId="46CDDC5E" w14:textId="77777777" w:rsidR="007C46D4" w:rsidRPr="0012527E" w:rsidRDefault="007C46D4" w:rsidP="0012527E">
            <w:pPr>
              <w:spacing w:after="0" w:line="240" w:lineRule="auto"/>
              <w:jc w:val="right"/>
              <w:rPr>
                <w:rFonts w:ascii="Times New Roman" w:eastAsia="Times New Roman" w:hAnsi="Times New Roman" w:cs="Times New Roman"/>
                <w:color w:val="000000" w:themeColor="text1"/>
                <w:sz w:val="20"/>
                <w:szCs w:val="20"/>
              </w:rPr>
            </w:pPr>
            <w:r w:rsidRPr="0012527E">
              <w:rPr>
                <w:rFonts w:ascii="Times New Roman" w:hAnsi="Times New Roman" w:cs="Times New Roman"/>
                <w:color w:val="000000" w:themeColor="text1"/>
                <w:sz w:val="20"/>
                <w:szCs w:val="20"/>
              </w:rPr>
              <w:t>,38914</w:t>
            </w:r>
          </w:p>
        </w:tc>
        <w:tc>
          <w:tcPr>
            <w:tcW w:w="992" w:type="dxa"/>
            <w:tcBorders>
              <w:top w:val="dotted" w:sz="4" w:space="0" w:color="000000"/>
              <w:left w:val="dotted" w:sz="4" w:space="0" w:color="000000"/>
              <w:bottom w:val="dotted" w:sz="4" w:space="0" w:color="000000"/>
              <w:right w:val="dotted" w:sz="4" w:space="0" w:color="000000"/>
            </w:tcBorders>
            <w:noWrap/>
            <w:hideMark/>
          </w:tcPr>
          <w:p w14:paraId="628BE580" w14:textId="77777777" w:rsidR="007C46D4" w:rsidRPr="0012527E" w:rsidRDefault="007C46D4" w:rsidP="0012527E">
            <w:pPr>
              <w:spacing w:after="0" w:line="240" w:lineRule="auto"/>
              <w:jc w:val="right"/>
              <w:rPr>
                <w:rFonts w:ascii="Times New Roman" w:eastAsia="Times New Roman" w:hAnsi="Times New Roman" w:cs="Times New Roman"/>
                <w:color w:val="000000" w:themeColor="text1"/>
                <w:sz w:val="20"/>
                <w:szCs w:val="20"/>
              </w:rPr>
            </w:pPr>
            <w:r w:rsidRPr="0012527E">
              <w:rPr>
                <w:rFonts w:ascii="Times New Roman" w:hAnsi="Times New Roman" w:cs="Times New Roman"/>
                <w:color w:val="000000" w:themeColor="text1"/>
                <w:sz w:val="20"/>
                <w:szCs w:val="20"/>
              </w:rPr>
              <w:t>,034</w:t>
            </w:r>
          </w:p>
        </w:tc>
        <w:tc>
          <w:tcPr>
            <w:tcW w:w="1417" w:type="dxa"/>
            <w:tcBorders>
              <w:top w:val="dotted" w:sz="4" w:space="0" w:color="000000"/>
              <w:left w:val="dotted" w:sz="4" w:space="0" w:color="000000"/>
              <w:bottom w:val="dotted" w:sz="4" w:space="0" w:color="000000"/>
              <w:right w:val="dotted" w:sz="4" w:space="0" w:color="000000"/>
            </w:tcBorders>
            <w:noWrap/>
            <w:hideMark/>
          </w:tcPr>
          <w:p w14:paraId="2BF05A29" w14:textId="77777777" w:rsidR="007C46D4" w:rsidRPr="0012527E" w:rsidRDefault="007C46D4" w:rsidP="0012527E">
            <w:pPr>
              <w:spacing w:after="0" w:line="240" w:lineRule="auto"/>
              <w:jc w:val="right"/>
              <w:rPr>
                <w:rFonts w:ascii="Times New Roman" w:eastAsia="Times New Roman" w:hAnsi="Times New Roman" w:cs="Times New Roman"/>
                <w:color w:val="000000" w:themeColor="text1"/>
                <w:sz w:val="20"/>
                <w:szCs w:val="20"/>
              </w:rPr>
            </w:pPr>
            <w:r w:rsidRPr="0012527E">
              <w:rPr>
                <w:rFonts w:ascii="Times New Roman" w:hAnsi="Times New Roman" w:cs="Times New Roman"/>
                <w:color w:val="000000" w:themeColor="text1"/>
                <w:sz w:val="20"/>
                <w:szCs w:val="20"/>
              </w:rPr>
              <w:t>,0575</w:t>
            </w:r>
          </w:p>
        </w:tc>
        <w:tc>
          <w:tcPr>
            <w:tcW w:w="1268" w:type="dxa"/>
            <w:tcBorders>
              <w:top w:val="dotted" w:sz="4" w:space="0" w:color="000000"/>
              <w:left w:val="dotted" w:sz="4" w:space="0" w:color="000000"/>
              <w:bottom w:val="dotted" w:sz="4" w:space="0" w:color="000000"/>
              <w:right w:val="single" w:sz="4" w:space="0" w:color="auto"/>
            </w:tcBorders>
            <w:noWrap/>
            <w:hideMark/>
          </w:tcPr>
          <w:p w14:paraId="3EBF97A2" w14:textId="77777777" w:rsidR="007C46D4" w:rsidRPr="0012527E" w:rsidRDefault="007C46D4" w:rsidP="0012527E">
            <w:pPr>
              <w:spacing w:after="0" w:line="240" w:lineRule="auto"/>
              <w:jc w:val="right"/>
              <w:rPr>
                <w:rFonts w:ascii="Times New Roman" w:eastAsia="Times New Roman" w:hAnsi="Times New Roman" w:cs="Times New Roman"/>
                <w:color w:val="000000" w:themeColor="text1"/>
                <w:sz w:val="20"/>
                <w:szCs w:val="20"/>
              </w:rPr>
            </w:pPr>
            <w:r w:rsidRPr="0012527E">
              <w:rPr>
                <w:rFonts w:ascii="Times New Roman" w:hAnsi="Times New Roman" w:cs="Times New Roman"/>
                <w:color w:val="000000" w:themeColor="text1"/>
                <w:sz w:val="20"/>
                <w:szCs w:val="20"/>
              </w:rPr>
              <w:t>1,9280</w:t>
            </w:r>
          </w:p>
        </w:tc>
      </w:tr>
      <w:tr w:rsidR="00164238" w:rsidRPr="0012527E" w14:paraId="371AAD36" w14:textId="77777777" w:rsidTr="007C46D4">
        <w:trPr>
          <w:trHeight w:val="300"/>
        </w:trPr>
        <w:tc>
          <w:tcPr>
            <w:tcW w:w="988" w:type="dxa"/>
            <w:vMerge w:val="restart"/>
            <w:tcBorders>
              <w:top w:val="dotted" w:sz="4" w:space="0" w:color="000000"/>
              <w:left w:val="single" w:sz="4" w:space="0" w:color="auto"/>
              <w:bottom w:val="single" w:sz="4" w:space="0" w:color="auto"/>
              <w:right w:val="dotted" w:sz="4" w:space="0" w:color="000000"/>
            </w:tcBorders>
            <w:noWrap/>
            <w:hideMark/>
          </w:tcPr>
          <w:p w14:paraId="59F08B1C" w14:textId="77777777" w:rsidR="007C46D4" w:rsidRPr="0012527E" w:rsidRDefault="007C46D4" w:rsidP="0012527E">
            <w:pPr>
              <w:spacing w:after="0" w:line="240" w:lineRule="auto"/>
              <w:rPr>
                <w:rFonts w:ascii="Times New Roman" w:eastAsia="Times New Roman" w:hAnsi="Times New Roman" w:cs="Times New Roman"/>
                <w:color w:val="000000" w:themeColor="text1"/>
                <w:sz w:val="20"/>
                <w:szCs w:val="20"/>
              </w:rPr>
            </w:pPr>
            <w:r w:rsidRPr="0012527E">
              <w:rPr>
                <w:rFonts w:ascii="Times New Roman" w:hAnsi="Times New Roman" w:cs="Times New Roman"/>
                <w:color w:val="000000" w:themeColor="text1"/>
                <w:sz w:val="20"/>
                <w:szCs w:val="20"/>
              </w:rPr>
              <w:t>30 ve Üzeri</w:t>
            </w:r>
          </w:p>
        </w:tc>
        <w:tc>
          <w:tcPr>
            <w:tcW w:w="1275" w:type="dxa"/>
            <w:tcBorders>
              <w:top w:val="dotted" w:sz="4" w:space="0" w:color="000000"/>
              <w:left w:val="dotted" w:sz="4" w:space="0" w:color="000000"/>
              <w:bottom w:val="dotted" w:sz="4" w:space="0" w:color="000000"/>
              <w:right w:val="dotted" w:sz="4" w:space="0" w:color="000000"/>
            </w:tcBorders>
            <w:noWrap/>
            <w:hideMark/>
          </w:tcPr>
          <w:p w14:paraId="7C159B58" w14:textId="77777777" w:rsidR="007C46D4" w:rsidRPr="0012527E" w:rsidRDefault="007C46D4" w:rsidP="0012527E">
            <w:pPr>
              <w:spacing w:after="0" w:line="240" w:lineRule="auto"/>
              <w:rPr>
                <w:rFonts w:ascii="Times New Roman" w:eastAsia="Times New Roman" w:hAnsi="Times New Roman" w:cs="Times New Roman"/>
                <w:color w:val="000000" w:themeColor="text1"/>
                <w:sz w:val="20"/>
                <w:szCs w:val="20"/>
              </w:rPr>
            </w:pPr>
            <w:r w:rsidRPr="0012527E">
              <w:rPr>
                <w:rFonts w:ascii="Times New Roman" w:hAnsi="Times New Roman" w:cs="Times New Roman"/>
                <w:color w:val="000000" w:themeColor="text1"/>
                <w:sz w:val="20"/>
                <w:szCs w:val="20"/>
              </w:rPr>
              <w:t>24 ve altı</w:t>
            </w:r>
          </w:p>
        </w:tc>
        <w:tc>
          <w:tcPr>
            <w:tcW w:w="1788" w:type="dxa"/>
            <w:tcBorders>
              <w:top w:val="dotted" w:sz="4" w:space="0" w:color="000000"/>
              <w:left w:val="dotted" w:sz="4" w:space="0" w:color="000000"/>
              <w:bottom w:val="dotted" w:sz="4" w:space="0" w:color="000000"/>
              <w:right w:val="dotted" w:sz="4" w:space="0" w:color="000000"/>
            </w:tcBorders>
            <w:noWrap/>
            <w:hideMark/>
          </w:tcPr>
          <w:p w14:paraId="63F56791" w14:textId="77777777" w:rsidR="007C46D4" w:rsidRPr="0012527E" w:rsidRDefault="007C46D4" w:rsidP="0012527E">
            <w:pPr>
              <w:spacing w:after="0" w:line="240" w:lineRule="auto"/>
              <w:jc w:val="right"/>
              <w:rPr>
                <w:rFonts w:ascii="Times New Roman" w:eastAsia="Times New Roman" w:hAnsi="Times New Roman" w:cs="Times New Roman"/>
                <w:color w:val="000000" w:themeColor="text1"/>
                <w:sz w:val="20"/>
                <w:szCs w:val="20"/>
              </w:rPr>
            </w:pPr>
            <w:r w:rsidRPr="0012527E">
              <w:rPr>
                <w:rFonts w:ascii="Times New Roman" w:hAnsi="Times New Roman" w:cs="Times New Roman"/>
                <w:color w:val="000000" w:themeColor="text1"/>
                <w:sz w:val="20"/>
                <w:szCs w:val="20"/>
              </w:rPr>
              <w:t>-1,13770*</w:t>
            </w:r>
          </w:p>
        </w:tc>
        <w:tc>
          <w:tcPr>
            <w:tcW w:w="1473" w:type="dxa"/>
            <w:tcBorders>
              <w:top w:val="dotted" w:sz="4" w:space="0" w:color="000000"/>
              <w:left w:val="dotted" w:sz="4" w:space="0" w:color="000000"/>
              <w:bottom w:val="dotted" w:sz="4" w:space="0" w:color="000000"/>
              <w:right w:val="dotted" w:sz="4" w:space="0" w:color="000000"/>
            </w:tcBorders>
            <w:noWrap/>
            <w:hideMark/>
          </w:tcPr>
          <w:p w14:paraId="58931565" w14:textId="77777777" w:rsidR="007C46D4" w:rsidRPr="0012527E" w:rsidRDefault="007C46D4" w:rsidP="0012527E">
            <w:pPr>
              <w:spacing w:after="0" w:line="240" w:lineRule="auto"/>
              <w:jc w:val="right"/>
              <w:rPr>
                <w:rFonts w:ascii="Times New Roman" w:eastAsia="Times New Roman" w:hAnsi="Times New Roman" w:cs="Times New Roman"/>
                <w:color w:val="000000" w:themeColor="text1"/>
                <w:sz w:val="20"/>
                <w:szCs w:val="20"/>
              </w:rPr>
            </w:pPr>
            <w:r w:rsidRPr="0012527E">
              <w:rPr>
                <w:rFonts w:ascii="Times New Roman" w:hAnsi="Times New Roman" w:cs="Times New Roman"/>
                <w:color w:val="000000" w:themeColor="text1"/>
                <w:sz w:val="20"/>
                <w:szCs w:val="20"/>
              </w:rPr>
              <w:t>,40034</w:t>
            </w:r>
          </w:p>
        </w:tc>
        <w:tc>
          <w:tcPr>
            <w:tcW w:w="992" w:type="dxa"/>
            <w:tcBorders>
              <w:top w:val="dotted" w:sz="4" w:space="0" w:color="000000"/>
              <w:left w:val="dotted" w:sz="4" w:space="0" w:color="000000"/>
              <w:bottom w:val="dotted" w:sz="4" w:space="0" w:color="000000"/>
              <w:right w:val="dotted" w:sz="4" w:space="0" w:color="000000"/>
            </w:tcBorders>
            <w:noWrap/>
            <w:hideMark/>
          </w:tcPr>
          <w:p w14:paraId="1DA896DD" w14:textId="77777777" w:rsidR="007C46D4" w:rsidRPr="0012527E" w:rsidRDefault="007C46D4" w:rsidP="0012527E">
            <w:pPr>
              <w:spacing w:after="0" w:line="240" w:lineRule="auto"/>
              <w:jc w:val="right"/>
              <w:rPr>
                <w:rFonts w:ascii="Times New Roman" w:eastAsia="Times New Roman" w:hAnsi="Times New Roman" w:cs="Times New Roman"/>
                <w:color w:val="000000" w:themeColor="text1"/>
                <w:sz w:val="20"/>
                <w:szCs w:val="20"/>
              </w:rPr>
            </w:pPr>
            <w:r w:rsidRPr="0012527E">
              <w:rPr>
                <w:rFonts w:ascii="Times New Roman" w:hAnsi="Times New Roman" w:cs="Times New Roman"/>
                <w:color w:val="000000" w:themeColor="text1"/>
                <w:sz w:val="20"/>
                <w:szCs w:val="20"/>
              </w:rPr>
              <w:t>,014</w:t>
            </w:r>
          </w:p>
        </w:tc>
        <w:tc>
          <w:tcPr>
            <w:tcW w:w="1417" w:type="dxa"/>
            <w:tcBorders>
              <w:top w:val="dotted" w:sz="4" w:space="0" w:color="000000"/>
              <w:left w:val="dotted" w:sz="4" w:space="0" w:color="000000"/>
              <w:bottom w:val="dotted" w:sz="4" w:space="0" w:color="000000"/>
              <w:right w:val="dotted" w:sz="4" w:space="0" w:color="000000"/>
            </w:tcBorders>
            <w:noWrap/>
            <w:hideMark/>
          </w:tcPr>
          <w:p w14:paraId="67B06796" w14:textId="77777777" w:rsidR="007C46D4" w:rsidRPr="0012527E" w:rsidRDefault="007C46D4" w:rsidP="0012527E">
            <w:pPr>
              <w:spacing w:after="0" w:line="240" w:lineRule="auto"/>
              <w:jc w:val="right"/>
              <w:rPr>
                <w:rFonts w:ascii="Times New Roman" w:eastAsia="Times New Roman" w:hAnsi="Times New Roman" w:cs="Times New Roman"/>
                <w:color w:val="000000" w:themeColor="text1"/>
                <w:sz w:val="20"/>
                <w:szCs w:val="20"/>
              </w:rPr>
            </w:pPr>
            <w:r w:rsidRPr="0012527E">
              <w:rPr>
                <w:rFonts w:ascii="Times New Roman" w:hAnsi="Times New Roman" w:cs="Times New Roman"/>
                <w:color w:val="000000" w:themeColor="text1"/>
                <w:sz w:val="20"/>
                <w:szCs w:val="20"/>
              </w:rPr>
              <w:t>-2,0999</w:t>
            </w:r>
          </w:p>
        </w:tc>
        <w:tc>
          <w:tcPr>
            <w:tcW w:w="1268" w:type="dxa"/>
            <w:tcBorders>
              <w:top w:val="dotted" w:sz="4" w:space="0" w:color="000000"/>
              <w:left w:val="dotted" w:sz="4" w:space="0" w:color="000000"/>
              <w:bottom w:val="dotted" w:sz="4" w:space="0" w:color="000000"/>
              <w:right w:val="single" w:sz="4" w:space="0" w:color="auto"/>
            </w:tcBorders>
            <w:noWrap/>
            <w:hideMark/>
          </w:tcPr>
          <w:p w14:paraId="7582D462" w14:textId="77777777" w:rsidR="007C46D4" w:rsidRPr="0012527E" w:rsidRDefault="007C46D4" w:rsidP="0012527E">
            <w:pPr>
              <w:spacing w:after="0" w:line="240" w:lineRule="auto"/>
              <w:jc w:val="right"/>
              <w:rPr>
                <w:rFonts w:ascii="Times New Roman" w:eastAsia="Times New Roman" w:hAnsi="Times New Roman" w:cs="Times New Roman"/>
                <w:color w:val="000000" w:themeColor="text1"/>
                <w:sz w:val="20"/>
                <w:szCs w:val="20"/>
              </w:rPr>
            </w:pPr>
            <w:r w:rsidRPr="0012527E">
              <w:rPr>
                <w:rFonts w:ascii="Times New Roman" w:hAnsi="Times New Roman" w:cs="Times New Roman"/>
                <w:color w:val="000000" w:themeColor="text1"/>
                <w:sz w:val="20"/>
                <w:szCs w:val="20"/>
              </w:rPr>
              <w:t>-,1755</w:t>
            </w:r>
          </w:p>
        </w:tc>
      </w:tr>
      <w:tr w:rsidR="00164238" w:rsidRPr="0012527E" w14:paraId="7D4A57B1" w14:textId="77777777" w:rsidTr="007C46D4">
        <w:trPr>
          <w:trHeight w:val="315"/>
        </w:trPr>
        <w:tc>
          <w:tcPr>
            <w:tcW w:w="0" w:type="auto"/>
            <w:vMerge/>
            <w:tcBorders>
              <w:top w:val="dotted" w:sz="4" w:space="0" w:color="000000"/>
              <w:left w:val="single" w:sz="4" w:space="0" w:color="auto"/>
              <w:bottom w:val="single" w:sz="4" w:space="0" w:color="auto"/>
              <w:right w:val="dotted" w:sz="4" w:space="0" w:color="000000"/>
            </w:tcBorders>
            <w:vAlign w:val="center"/>
            <w:hideMark/>
          </w:tcPr>
          <w:p w14:paraId="1573C2F7" w14:textId="77777777" w:rsidR="007C46D4" w:rsidRPr="0012527E" w:rsidRDefault="007C46D4" w:rsidP="0012527E">
            <w:pPr>
              <w:spacing w:after="0" w:line="240" w:lineRule="auto"/>
              <w:rPr>
                <w:rFonts w:ascii="Times New Roman" w:eastAsia="Times New Roman" w:hAnsi="Times New Roman" w:cs="Times New Roman"/>
                <w:color w:val="000000" w:themeColor="text1"/>
                <w:sz w:val="20"/>
                <w:szCs w:val="20"/>
              </w:rPr>
            </w:pPr>
          </w:p>
        </w:tc>
        <w:tc>
          <w:tcPr>
            <w:tcW w:w="1275" w:type="dxa"/>
            <w:tcBorders>
              <w:top w:val="dotted" w:sz="4" w:space="0" w:color="000000"/>
              <w:left w:val="dotted" w:sz="4" w:space="0" w:color="000000"/>
              <w:bottom w:val="single" w:sz="4" w:space="0" w:color="auto"/>
              <w:right w:val="dotted" w:sz="4" w:space="0" w:color="000000"/>
            </w:tcBorders>
            <w:noWrap/>
            <w:hideMark/>
          </w:tcPr>
          <w:p w14:paraId="150B491C" w14:textId="77777777" w:rsidR="007C46D4" w:rsidRPr="0012527E" w:rsidRDefault="007C46D4" w:rsidP="0012527E">
            <w:pPr>
              <w:spacing w:after="0" w:line="240" w:lineRule="auto"/>
              <w:rPr>
                <w:rFonts w:ascii="Times New Roman" w:eastAsia="Times New Roman" w:hAnsi="Times New Roman" w:cs="Times New Roman"/>
                <w:color w:val="000000" w:themeColor="text1"/>
                <w:sz w:val="20"/>
                <w:szCs w:val="20"/>
              </w:rPr>
            </w:pPr>
            <w:r w:rsidRPr="0012527E">
              <w:rPr>
                <w:rFonts w:ascii="Times New Roman" w:hAnsi="Times New Roman" w:cs="Times New Roman"/>
                <w:color w:val="000000" w:themeColor="text1"/>
                <w:sz w:val="20"/>
                <w:szCs w:val="20"/>
              </w:rPr>
              <w:t>25-29 Arası</w:t>
            </w:r>
          </w:p>
        </w:tc>
        <w:tc>
          <w:tcPr>
            <w:tcW w:w="1788" w:type="dxa"/>
            <w:tcBorders>
              <w:top w:val="dotted" w:sz="4" w:space="0" w:color="000000"/>
              <w:left w:val="dotted" w:sz="4" w:space="0" w:color="000000"/>
              <w:bottom w:val="single" w:sz="4" w:space="0" w:color="auto"/>
              <w:right w:val="dotted" w:sz="4" w:space="0" w:color="000000"/>
            </w:tcBorders>
            <w:noWrap/>
            <w:hideMark/>
          </w:tcPr>
          <w:p w14:paraId="6D0086AB" w14:textId="77777777" w:rsidR="007C46D4" w:rsidRPr="0012527E" w:rsidRDefault="007C46D4" w:rsidP="0012527E">
            <w:pPr>
              <w:spacing w:after="0" w:line="240" w:lineRule="auto"/>
              <w:jc w:val="right"/>
              <w:rPr>
                <w:rFonts w:ascii="Times New Roman" w:eastAsia="Times New Roman" w:hAnsi="Times New Roman" w:cs="Times New Roman"/>
                <w:color w:val="000000" w:themeColor="text1"/>
                <w:sz w:val="20"/>
                <w:szCs w:val="20"/>
              </w:rPr>
            </w:pPr>
            <w:r w:rsidRPr="0012527E">
              <w:rPr>
                <w:rFonts w:ascii="Times New Roman" w:hAnsi="Times New Roman" w:cs="Times New Roman"/>
                <w:color w:val="000000" w:themeColor="text1"/>
                <w:sz w:val="20"/>
                <w:szCs w:val="20"/>
              </w:rPr>
              <w:t>-,99279*</w:t>
            </w:r>
          </w:p>
        </w:tc>
        <w:tc>
          <w:tcPr>
            <w:tcW w:w="1473" w:type="dxa"/>
            <w:tcBorders>
              <w:top w:val="dotted" w:sz="4" w:space="0" w:color="000000"/>
              <w:left w:val="dotted" w:sz="4" w:space="0" w:color="000000"/>
              <w:bottom w:val="single" w:sz="4" w:space="0" w:color="auto"/>
              <w:right w:val="dotted" w:sz="4" w:space="0" w:color="000000"/>
            </w:tcBorders>
            <w:noWrap/>
            <w:hideMark/>
          </w:tcPr>
          <w:p w14:paraId="483B439C" w14:textId="77777777" w:rsidR="007C46D4" w:rsidRPr="0012527E" w:rsidRDefault="007C46D4" w:rsidP="0012527E">
            <w:pPr>
              <w:spacing w:after="0" w:line="240" w:lineRule="auto"/>
              <w:jc w:val="right"/>
              <w:rPr>
                <w:rFonts w:ascii="Times New Roman" w:eastAsia="Times New Roman" w:hAnsi="Times New Roman" w:cs="Times New Roman"/>
                <w:color w:val="000000" w:themeColor="text1"/>
                <w:sz w:val="20"/>
                <w:szCs w:val="20"/>
              </w:rPr>
            </w:pPr>
            <w:r w:rsidRPr="0012527E">
              <w:rPr>
                <w:rFonts w:ascii="Times New Roman" w:hAnsi="Times New Roman" w:cs="Times New Roman"/>
                <w:color w:val="000000" w:themeColor="text1"/>
                <w:sz w:val="20"/>
                <w:szCs w:val="20"/>
              </w:rPr>
              <w:t>,38914</w:t>
            </w:r>
          </w:p>
        </w:tc>
        <w:tc>
          <w:tcPr>
            <w:tcW w:w="992" w:type="dxa"/>
            <w:tcBorders>
              <w:top w:val="dotted" w:sz="4" w:space="0" w:color="000000"/>
              <w:left w:val="dotted" w:sz="4" w:space="0" w:color="000000"/>
              <w:bottom w:val="single" w:sz="4" w:space="0" w:color="auto"/>
              <w:right w:val="dotted" w:sz="4" w:space="0" w:color="000000"/>
            </w:tcBorders>
            <w:noWrap/>
            <w:hideMark/>
          </w:tcPr>
          <w:p w14:paraId="249D8A52" w14:textId="77777777" w:rsidR="007C46D4" w:rsidRPr="0012527E" w:rsidRDefault="007C46D4" w:rsidP="0012527E">
            <w:pPr>
              <w:spacing w:after="0" w:line="240" w:lineRule="auto"/>
              <w:jc w:val="right"/>
              <w:rPr>
                <w:rFonts w:ascii="Times New Roman" w:eastAsia="Times New Roman" w:hAnsi="Times New Roman" w:cs="Times New Roman"/>
                <w:color w:val="000000" w:themeColor="text1"/>
                <w:sz w:val="20"/>
                <w:szCs w:val="20"/>
              </w:rPr>
            </w:pPr>
            <w:r w:rsidRPr="0012527E">
              <w:rPr>
                <w:rFonts w:ascii="Times New Roman" w:hAnsi="Times New Roman" w:cs="Times New Roman"/>
                <w:color w:val="000000" w:themeColor="text1"/>
                <w:sz w:val="20"/>
                <w:szCs w:val="20"/>
              </w:rPr>
              <w:t>,034</w:t>
            </w:r>
          </w:p>
        </w:tc>
        <w:tc>
          <w:tcPr>
            <w:tcW w:w="1417" w:type="dxa"/>
            <w:tcBorders>
              <w:top w:val="dotted" w:sz="4" w:space="0" w:color="000000"/>
              <w:left w:val="dotted" w:sz="4" w:space="0" w:color="000000"/>
              <w:bottom w:val="single" w:sz="4" w:space="0" w:color="auto"/>
              <w:right w:val="dotted" w:sz="4" w:space="0" w:color="000000"/>
            </w:tcBorders>
            <w:noWrap/>
            <w:hideMark/>
          </w:tcPr>
          <w:p w14:paraId="4AD02CAD" w14:textId="77777777" w:rsidR="007C46D4" w:rsidRPr="0012527E" w:rsidRDefault="007C46D4" w:rsidP="0012527E">
            <w:pPr>
              <w:spacing w:after="0" w:line="240" w:lineRule="auto"/>
              <w:jc w:val="right"/>
              <w:rPr>
                <w:rFonts w:ascii="Times New Roman" w:eastAsia="Times New Roman" w:hAnsi="Times New Roman" w:cs="Times New Roman"/>
                <w:color w:val="000000" w:themeColor="text1"/>
                <w:sz w:val="20"/>
                <w:szCs w:val="20"/>
              </w:rPr>
            </w:pPr>
            <w:r w:rsidRPr="0012527E">
              <w:rPr>
                <w:rFonts w:ascii="Times New Roman" w:hAnsi="Times New Roman" w:cs="Times New Roman"/>
                <w:color w:val="000000" w:themeColor="text1"/>
                <w:sz w:val="20"/>
                <w:szCs w:val="20"/>
              </w:rPr>
              <w:t>-1,9280</w:t>
            </w:r>
          </w:p>
        </w:tc>
        <w:tc>
          <w:tcPr>
            <w:tcW w:w="1268" w:type="dxa"/>
            <w:tcBorders>
              <w:top w:val="dotted" w:sz="4" w:space="0" w:color="000000"/>
              <w:left w:val="dotted" w:sz="4" w:space="0" w:color="000000"/>
              <w:bottom w:val="single" w:sz="4" w:space="0" w:color="auto"/>
              <w:right w:val="single" w:sz="4" w:space="0" w:color="auto"/>
            </w:tcBorders>
            <w:noWrap/>
            <w:hideMark/>
          </w:tcPr>
          <w:p w14:paraId="2F4ECE3A" w14:textId="77777777" w:rsidR="007C46D4" w:rsidRPr="0012527E" w:rsidRDefault="007C46D4" w:rsidP="0012527E">
            <w:pPr>
              <w:spacing w:after="0" w:line="240" w:lineRule="auto"/>
              <w:jc w:val="right"/>
              <w:rPr>
                <w:rFonts w:ascii="Times New Roman" w:eastAsia="Times New Roman" w:hAnsi="Times New Roman" w:cs="Times New Roman"/>
                <w:color w:val="000000" w:themeColor="text1"/>
                <w:sz w:val="20"/>
                <w:szCs w:val="20"/>
              </w:rPr>
            </w:pPr>
            <w:r w:rsidRPr="0012527E">
              <w:rPr>
                <w:rFonts w:ascii="Times New Roman" w:hAnsi="Times New Roman" w:cs="Times New Roman"/>
                <w:color w:val="000000" w:themeColor="text1"/>
                <w:sz w:val="20"/>
                <w:szCs w:val="20"/>
              </w:rPr>
              <w:t>-,0575</w:t>
            </w:r>
          </w:p>
        </w:tc>
      </w:tr>
      <w:tr w:rsidR="00164238" w:rsidRPr="0012527E" w14:paraId="7DC8C856" w14:textId="77777777" w:rsidTr="007C46D4">
        <w:trPr>
          <w:trHeight w:val="315"/>
        </w:trPr>
        <w:tc>
          <w:tcPr>
            <w:tcW w:w="9201" w:type="dxa"/>
            <w:gridSpan w:val="7"/>
            <w:tcBorders>
              <w:top w:val="single" w:sz="4" w:space="0" w:color="auto"/>
              <w:left w:val="nil"/>
              <w:bottom w:val="nil"/>
              <w:right w:val="nil"/>
            </w:tcBorders>
            <w:vAlign w:val="center"/>
            <w:hideMark/>
          </w:tcPr>
          <w:p w14:paraId="28130C3A" w14:textId="77777777" w:rsidR="007C46D4" w:rsidRPr="0012527E" w:rsidRDefault="007C46D4" w:rsidP="0012527E">
            <w:pPr>
              <w:spacing w:after="0" w:line="240" w:lineRule="auto"/>
              <w:rPr>
                <w:rFonts w:ascii="Times New Roman" w:eastAsia="Times New Roman" w:hAnsi="Times New Roman" w:cs="Times New Roman"/>
                <w:color w:val="000000" w:themeColor="text1"/>
                <w:sz w:val="20"/>
                <w:szCs w:val="20"/>
              </w:rPr>
            </w:pPr>
            <w:r w:rsidRPr="0012527E">
              <w:rPr>
                <w:rFonts w:ascii="Times New Roman" w:eastAsia="Times New Roman" w:hAnsi="Times New Roman" w:cs="Times New Roman"/>
                <w:color w:val="000000" w:themeColor="text1"/>
                <w:sz w:val="20"/>
                <w:szCs w:val="20"/>
              </w:rPr>
              <w:t>*. Ortalamalar 0,05 seviyesinde anlamlı.</w:t>
            </w:r>
          </w:p>
        </w:tc>
      </w:tr>
    </w:tbl>
    <w:p w14:paraId="1ABA7F15" w14:textId="77777777" w:rsidR="007C46D4" w:rsidRPr="00164238" w:rsidRDefault="007C46D4" w:rsidP="00885A08">
      <w:pPr>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Tablo 5’te de görüldüğü üzere 30 Yaş ve Üzeri çalışanların spesifik görev performansı algıları diğer yaş gruplarına göre daha düşüktür. Bir başka ifade ile 30 yaş ve üzeri çalışanlar KPI’da ölçülen görevlerde, diğer yaş gruplarına göre daha az başarılı olduklarını düşünmekteler.</w:t>
      </w:r>
    </w:p>
    <w:p w14:paraId="7FAA1B92" w14:textId="77777777" w:rsidR="007C46D4" w:rsidRPr="00164238" w:rsidRDefault="007C46D4" w:rsidP="00885A08">
      <w:pPr>
        <w:pStyle w:val="Balk1"/>
        <w:spacing w:after="120"/>
        <w:ind w:firstLine="708"/>
        <w:rPr>
          <w:rFonts w:ascii="Times New Roman" w:hAnsi="Times New Roman" w:cs="Times New Roman"/>
          <w:b/>
          <w:bCs/>
          <w:color w:val="000000" w:themeColor="text1"/>
          <w:sz w:val="20"/>
          <w:szCs w:val="20"/>
        </w:rPr>
      </w:pPr>
      <w:bookmarkStart w:id="128" w:name="_Toc72352782"/>
      <w:bookmarkStart w:id="129" w:name="_Toc72961716"/>
      <w:r w:rsidRPr="00164238">
        <w:rPr>
          <w:rFonts w:ascii="Times New Roman" w:hAnsi="Times New Roman" w:cs="Times New Roman"/>
          <w:b/>
          <w:bCs/>
          <w:color w:val="000000" w:themeColor="text1"/>
          <w:sz w:val="20"/>
          <w:szCs w:val="20"/>
        </w:rPr>
        <w:t>SONUÇ</w:t>
      </w:r>
      <w:bookmarkEnd w:id="128"/>
      <w:bookmarkEnd w:id="129"/>
    </w:p>
    <w:p w14:paraId="3BF0B32A" w14:textId="77777777" w:rsidR="007C46D4" w:rsidRPr="00164238" w:rsidRDefault="007C46D4" w:rsidP="00885A08">
      <w:pPr>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2020 yılında dünyada ortaya çıkan ve tüm toplumsal yapıyı, iş dünyasını ve neticesinde çalışma biçimlerini de değiştiren COVID-19 salgını nedeniyle birçok işletme evden/uzaktan çalışma düzenine geçti ya da bazı işletmeler hibrit (bazen ev, bazen iş yeri) çalışma düzeni uyguladılar (Aksu, 2020). Bu üç farklı modelin uygulandığı salgın dönemi, çalışanlar üzerinde de büyük etkilere neden oldu. Çalışanların yaşam kaygısı, sevdiklerini kaybetme korkusu, bunların paralelinde işlerini sürdürme mecburiyeti yeni dönemin en önemli karakteristiğini oluşturmaktadır.</w:t>
      </w:r>
    </w:p>
    <w:p w14:paraId="1C16274E" w14:textId="77777777" w:rsidR="007C46D4" w:rsidRPr="00164238" w:rsidRDefault="007C46D4" w:rsidP="00885A08">
      <w:pPr>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Bu dönemde iş dünyası bir anda kendini uzaktan çalışma gerekliliği içinde bulmuştur. Bunun en önemli sebeplerinden biri çalışanlar arasındaki bulaş riskini azaltmak ve işlerin devamlılığını sağlamak olmuştur. Uzaktan çalışma modeli ve bunun yanında bazı görevlerin zorunluluğundan dolayı bazen evden bazen ofisten çalışma şeklinde ortaya çıkan hibrit model birçok işletme tarafından tercih edilmiştir.</w:t>
      </w:r>
    </w:p>
    <w:p w14:paraId="18EE9509" w14:textId="77777777" w:rsidR="007C46D4" w:rsidRPr="00164238" w:rsidRDefault="007C46D4" w:rsidP="00885A08">
      <w:pPr>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Bu çalışma için COVID-19 döneminde özellikle çağrı merkezi sektörünün seçilmesinin en önemli sebeplerini bu iş kolundaki çalışanların diğer sektörlere göre daha emek yoğun bir şekilde faaliyet göstermeleri ve yaptığımız literatür çalışmasında bu sektörle ilgili çok fazla çalışmaya rastlanılmaması oluşturmaktadır.</w:t>
      </w:r>
    </w:p>
    <w:p w14:paraId="13D82881" w14:textId="77777777" w:rsidR="007C46D4" w:rsidRPr="00164238" w:rsidRDefault="007C46D4" w:rsidP="00885A08">
      <w:pPr>
        <w:ind w:firstLine="360"/>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Çalışmamızın teoriye katkısı şu noktalarda görülmektedir:</w:t>
      </w:r>
    </w:p>
    <w:p w14:paraId="6696931C" w14:textId="77777777" w:rsidR="007C46D4" w:rsidRPr="00164238" w:rsidRDefault="007C46D4" w:rsidP="007C3550">
      <w:pPr>
        <w:pStyle w:val="ListeParagraf"/>
        <w:numPr>
          <w:ilvl w:val="0"/>
          <w:numId w:val="33"/>
        </w:numPr>
        <w:spacing w:line="256"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Öncelikle “Algılanan Genel Performans” yanında “Algılanan Spesifik Performans” ölçümüne yönelik bir inceleme yapılmıştır. Bildiğimiz kadarıyla bu sınıflandırma literatürde rastlanılmayan bir tanımlamayı içermektedir. Bu nedenle araştırmanın önemli katkılarından birini teşkil etmektedir.</w:t>
      </w:r>
    </w:p>
    <w:p w14:paraId="3996867E" w14:textId="77777777" w:rsidR="007C46D4" w:rsidRPr="00164238" w:rsidRDefault="007C46D4" w:rsidP="007C3550">
      <w:pPr>
        <w:pStyle w:val="ListeParagraf"/>
        <w:numPr>
          <w:ilvl w:val="0"/>
          <w:numId w:val="33"/>
        </w:numPr>
        <w:spacing w:line="256"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Çalışmamızın bir diğer katkısı ise “Algılanan Görev Performanslarının” tek bir ölçekle ölçülemeyeceğinin, ayrıca işin içeriğine özel bir “Spesifik Görev Performansı” ölçeğinin geliştirilmesi gerekliliğini ortaya koymasıdır.</w:t>
      </w:r>
    </w:p>
    <w:p w14:paraId="5EB26A23" w14:textId="77777777" w:rsidR="007C46D4" w:rsidRPr="00164238" w:rsidRDefault="007C46D4" w:rsidP="007C3550">
      <w:pPr>
        <w:pStyle w:val="ListeParagraf"/>
        <w:numPr>
          <w:ilvl w:val="0"/>
          <w:numId w:val="33"/>
        </w:numPr>
        <w:spacing w:line="256"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Çalışma kapsamında 4 ifadeden oluşan, çağrı merkezi çalışanlarının performanslarını ölçmek amacıyla, “Çağrı Merkezi Algılanan Performans Ölçeği” de geliştirilmiştir. </w:t>
      </w:r>
    </w:p>
    <w:p w14:paraId="7D9E9CCC" w14:textId="77777777" w:rsidR="007C46D4" w:rsidRPr="00164238" w:rsidRDefault="007C46D4" w:rsidP="00885A08">
      <w:pPr>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Araştırma sonuçları salgın döneminde tamamen uzaktan çalışan ya da hibrit modelde çalışanların performanslarının, iş yerine gidenlere göre daha yüksek olduğunu ortaya koymuştur. Bu sonucun ortaya çıkmasında aşağıdaki unsurların etkili olacağını öngörüyoruz:</w:t>
      </w:r>
    </w:p>
    <w:p w14:paraId="48F24761" w14:textId="77777777" w:rsidR="007C46D4" w:rsidRPr="00164238" w:rsidRDefault="007C46D4" w:rsidP="007C3550">
      <w:pPr>
        <w:pStyle w:val="ListeParagraf"/>
        <w:numPr>
          <w:ilvl w:val="0"/>
          <w:numId w:val="34"/>
        </w:numPr>
        <w:spacing w:line="256"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lastRenderedPageBreak/>
        <w:t>Uzaktan çalışma modeli, çalışanları salgın riskine karşı korumakla birlikte farklı bir takım avantajları da beraberinde getirmiştir.</w:t>
      </w:r>
    </w:p>
    <w:p w14:paraId="11A92517" w14:textId="77777777" w:rsidR="007C46D4" w:rsidRPr="00164238" w:rsidRDefault="007C46D4" w:rsidP="007C3550">
      <w:pPr>
        <w:pStyle w:val="ListeParagraf"/>
        <w:numPr>
          <w:ilvl w:val="0"/>
          <w:numId w:val="34"/>
        </w:numPr>
        <w:spacing w:line="256"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Bu model çalışanların güvenli çevrede çalışmalarını sağlamış, konfor ortamı avantajlarını yaşamalarına imkan vermiştir.</w:t>
      </w:r>
    </w:p>
    <w:p w14:paraId="21009675" w14:textId="77777777" w:rsidR="007C46D4" w:rsidRPr="00164238" w:rsidRDefault="007C46D4" w:rsidP="007C3550">
      <w:pPr>
        <w:pStyle w:val="ListeParagraf"/>
        <w:numPr>
          <w:ilvl w:val="0"/>
          <w:numId w:val="34"/>
        </w:numPr>
        <w:spacing w:line="256"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Uzaktan çalışma döneminde sabahları özellikle büyük şehirlerdeki en büyük problemlerden biri olan ulaşım ihtiyacı ortadan kalkmıştır. Bu sayede çalışanlar sabah işlerine başladıklarında enerjileri yüksek bir şekilde çalışmaya başlamışlardır.</w:t>
      </w:r>
    </w:p>
    <w:p w14:paraId="2E98DBB3" w14:textId="77777777" w:rsidR="007C46D4" w:rsidRPr="00164238" w:rsidRDefault="007C46D4" w:rsidP="007C3550">
      <w:pPr>
        <w:pStyle w:val="ListeParagraf"/>
        <w:numPr>
          <w:ilvl w:val="0"/>
          <w:numId w:val="34"/>
        </w:numPr>
        <w:spacing w:line="256"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Sabah ve akşam saatlerinde ulaşımda geçen sürenin yarattığı yorgunluk, bıkkınlık ve stres ortadan kalkmış onun yerine artı zaman oluşmuştur. Artı zaman çalışanların yaratıcılıklarının artmasına katkı sağlamaktadır.</w:t>
      </w:r>
    </w:p>
    <w:p w14:paraId="393129A9" w14:textId="77777777" w:rsidR="007C46D4" w:rsidRPr="00164238" w:rsidRDefault="007C46D4" w:rsidP="007C3550">
      <w:pPr>
        <w:pStyle w:val="ListeParagraf"/>
        <w:numPr>
          <w:ilvl w:val="0"/>
          <w:numId w:val="34"/>
        </w:numPr>
        <w:spacing w:line="256"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Evde geçirilen sürenin artması nedeniyle özellikle kadın çalışanlar gündelik işlerini de yürütmüş, çocukları ve aileleriyle daha çok ilgilenebildikleri bir ortamda çalışmalarını sürdürmüşlerdir. Bu da moral desteği sağlamıştır.</w:t>
      </w:r>
    </w:p>
    <w:p w14:paraId="2E1804BF" w14:textId="77777777" w:rsidR="007C46D4" w:rsidRPr="00164238" w:rsidRDefault="007C46D4" w:rsidP="00885A08">
      <w:pPr>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Pandemi döneminde uzaktan çalışma ve hibrit çalışma modellerinin algılanan görev performansına etkisi göz önüne alındığında, pandemi sonrasında da işletmelerin bu çalışma modellerine ağırlık vermesinin hem personelin iş tatminini, hem de görev performansını, dolayısıyla örgütsel performansı anlamlı ve olumlu yönde etkileyeceği söylenebilir. Ayrıca bu model çalışma düzeninin çalışan memnuniyetinin artması, çalışan bağlılığının yükseltilmesi için de katkı vereceği öngörülmektedir.</w:t>
      </w:r>
    </w:p>
    <w:p w14:paraId="6A7AF0BF" w14:textId="77777777" w:rsidR="007C46D4" w:rsidRPr="00164238" w:rsidRDefault="007C46D4" w:rsidP="00885A08">
      <w:pPr>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Gelecek çalışmalar ile ilgili olarak, bu çalışmadaki değişkenlere psikolojik sahiplenme, iş tatmini, sıkışmışlık hissi, kişi örgüt uyumu, örgütsel vatandaşlık kavramları eklenerek; bu değişkenlerin olumlu, olumsuz etkilerinin irdelenmesinin hem teoriye hem de sektöre katkı açısından önemli olduğu söylenebilir.</w:t>
      </w:r>
    </w:p>
    <w:p w14:paraId="0972B5AB" w14:textId="22056B46" w:rsidR="007C46D4" w:rsidRPr="00164238" w:rsidRDefault="00C95516" w:rsidP="007C46D4">
      <w:pPr>
        <w:pStyle w:val="Balk1"/>
        <w:spacing w:before="120" w:after="120"/>
        <w:rPr>
          <w:rFonts w:ascii="Times New Roman" w:hAnsi="Times New Roman" w:cs="Times New Roman"/>
          <w:b/>
          <w:bCs/>
          <w:color w:val="000000" w:themeColor="text1"/>
          <w:sz w:val="20"/>
          <w:szCs w:val="20"/>
        </w:rPr>
      </w:pPr>
      <w:r>
        <w:rPr>
          <w:rFonts w:ascii="Times New Roman" w:hAnsi="Times New Roman" w:cs="Times New Roman"/>
          <w:b/>
          <w:bCs/>
          <w:color w:val="000000" w:themeColor="text1"/>
          <w:sz w:val="20"/>
          <w:szCs w:val="20"/>
        </w:rPr>
        <w:t>Kaynakça</w:t>
      </w:r>
    </w:p>
    <w:p w14:paraId="10B01247" w14:textId="77777777" w:rsidR="007C46D4" w:rsidRPr="00164238" w:rsidRDefault="007C46D4" w:rsidP="007C46D4">
      <w:pPr>
        <w:pStyle w:val="Kaynaka"/>
        <w:ind w:left="720" w:hanging="720"/>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rPr>
        <w:t>Aksu, A. (2020). Dönüştürücü Liderliğin Entelektüel Yetkinlikleri Bağlamında Y Kuşağının Performansına Etkisinin Araştırılması. Yayınlanmamış Doktora Tezi, Arel Üniversitesi Lisansüstü Eğitim Enstitüsü, İstanbul.</w:t>
      </w:r>
    </w:p>
    <w:p w14:paraId="4DB9E743" w14:textId="77777777" w:rsidR="007C46D4" w:rsidRPr="00164238" w:rsidRDefault="007C46D4" w:rsidP="007C46D4">
      <w:pPr>
        <w:pStyle w:val="Kaynaka"/>
        <w:ind w:left="720" w:hanging="720"/>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Brammer, S., Branicki, L., &amp; Linnenluecke, M. (2020). COVID-19, Socıetalızatıon, And The Future Of Busıness In Socıety. Academy of Management Perspectives, 34(4), 493-507.</w:t>
      </w:r>
    </w:p>
    <w:p w14:paraId="6FE9DB64" w14:textId="77777777" w:rsidR="007C46D4" w:rsidRPr="00164238" w:rsidRDefault="007C46D4" w:rsidP="007C46D4">
      <w:pPr>
        <w:pStyle w:val="Kaynaka"/>
        <w:ind w:left="720" w:hanging="720"/>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Carpenter S. (2018). Ten Steps in Scale Development and Reporting: A Guide for Researchers. Communication Methods and Measures, 12(1), 25-44</w:t>
      </w:r>
    </w:p>
    <w:p w14:paraId="7992744D" w14:textId="77777777" w:rsidR="007C46D4" w:rsidRPr="00164238" w:rsidRDefault="007C46D4" w:rsidP="007C46D4">
      <w:pPr>
        <w:pStyle w:val="Kaynaka"/>
        <w:ind w:left="720" w:hanging="720"/>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Çağrı Merkezi Derneği (2019). www.cagrimerkezleridernegi.org. Erişim Tarihi: Mart 20, 2021</w:t>
      </w:r>
    </w:p>
    <w:p w14:paraId="02849A40" w14:textId="77777777" w:rsidR="007C46D4" w:rsidRPr="00164238" w:rsidRDefault="007C46D4" w:rsidP="007C46D4">
      <w:pPr>
        <w:pStyle w:val="Kaynaka"/>
        <w:ind w:left="720" w:hanging="720"/>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Çatal, Ö. (2021). Türkiye’de Çağrı Merkezi İşletmelerinin Koronavirüs (Covid-19) Pandemisi Deneyimleri: “Yeni Normal” Üzerine Bir Araştırma. Süleyman Demirel Üniversitesi İktisadi ve İdari Bilimler Fakültesi Dergisi, 83-95.</w:t>
      </w:r>
    </w:p>
    <w:p w14:paraId="341E287F" w14:textId="77777777" w:rsidR="007C46D4" w:rsidRPr="00164238" w:rsidRDefault="007C46D4" w:rsidP="007C46D4">
      <w:pPr>
        <w:pStyle w:val="Kaynaka"/>
        <w:ind w:left="720" w:hanging="720"/>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Çöl, G. (2011). Algılanan Güçlendirmenin İşgören Performansı Üzerine Etkileri. Doğuş Üniversitesi Dergisi, 9(1), 35-46.</w:t>
      </w:r>
    </w:p>
    <w:p w14:paraId="0404602B" w14:textId="77777777" w:rsidR="007C46D4" w:rsidRPr="00164238" w:rsidRDefault="007C46D4" w:rsidP="007C46D4">
      <w:pPr>
        <w:pStyle w:val="Kaynaka"/>
        <w:ind w:left="720" w:hanging="720"/>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Field, A. (2018). Discovering statistics using IBM SPSS statistics (5. Baskı). Londra: SAGE Publications</w:t>
      </w:r>
    </w:p>
    <w:p w14:paraId="36E9F570" w14:textId="77777777" w:rsidR="007C46D4" w:rsidRPr="00164238" w:rsidRDefault="007C46D4" w:rsidP="007C46D4">
      <w:pPr>
        <w:pStyle w:val="Kaynaka"/>
        <w:ind w:left="720" w:hanging="720"/>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Fields, D. (2002). Taking Measure of Work: A Guide to Validated Scales for Organizational Research and Diagnosis. Thousand Oaks, CA: SAGE Publications</w:t>
      </w:r>
    </w:p>
    <w:p w14:paraId="48799CC8" w14:textId="77777777" w:rsidR="007C46D4" w:rsidRPr="00164238" w:rsidRDefault="007C46D4" w:rsidP="007C46D4">
      <w:pPr>
        <w:pStyle w:val="Kaynaka"/>
        <w:ind w:left="720" w:hanging="720"/>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Gül, C. (2013). Bankacılık Sektöründe Görev Performans ve Bağlamsal Performans: Yalova İlinde Bir Araştırma. Yüksek Lisans Tezi. Yalova Üniversitesi Sosyal Bilimler Enstitüsü.</w:t>
      </w:r>
    </w:p>
    <w:p w14:paraId="7C808F5A" w14:textId="77777777" w:rsidR="007C46D4" w:rsidRPr="00164238" w:rsidRDefault="007C46D4" w:rsidP="007C46D4">
      <w:pPr>
        <w:pStyle w:val="Kaynaka"/>
        <w:ind w:left="720" w:hanging="720"/>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Hair, J. F. J., Black, W. C., Babin, B. J., &amp; Anderson, R. E. (2010). Multivariate Data Analysis (17. Baskı). NJ: Prentice Hall</w:t>
      </w:r>
    </w:p>
    <w:p w14:paraId="6B0862B5" w14:textId="77777777" w:rsidR="007C46D4" w:rsidRPr="00164238" w:rsidRDefault="007C46D4" w:rsidP="007C46D4">
      <w:pPr>
        <w:pStyle w:val="Kaynaka"/>
        <w:ind w:left="720" w:hanging="720"/>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lastRenderedPageBreak/>
        <w:t>Hamdan, H., Junaedi, I., &amp; Utama, I. (2020). The Changes in Business Culture after the COVID-19 Pandemic in Indonesian Perspective. Technium Social Sciences Journal, Technium Science, 13(1), 80-89.</w:t>
      </w:r>
    </w:p>
    <w:p w14:paraId="3BBFB310" w14:textId="77777777" w:rsidR="007C46D4" w:rsidRPr="00164238" w:rsidRDefault="007C46D4" w:rsidP="007C46D4">
      <w:pPr>
        <w:pStyle w:val="Kaynaka"/>
        <w:ind w:left="720" w:hanging="720"/>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Hrabí, M. (2020, September). Call centres: going voicefirst voice first in the post-Covid world. Biometric Technology Today, 10-12.</w:t>
      </w:r>
    </w:p>
    <w:p w14:paraId="444549A6" w14:textId="77777777" w:rsidR="007C46D4" w:rsidRPr="00164238" w:rsidRDefault="007C46D4" w:rsidP="007C46D4">
      <w:pPr>
        <w:pStyle w:val="Kaynaka"/>
        <w:ind w:left="720" w:hanging="720"/>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Kılıç, G. (2006). Eğitim Kurumlarında Liderlik Tarzları ve Örgüt Kültürünün Performans Üzerindeki Etkisi. Yüksek Lisans Tezi. Erciyes Üniversitesi Sosyal Bilimler Enstitüsü.</w:t>
      </w:r>
    </w:p>
    <w:p w14:paraId="3127412B" w14:textId="77777777" w:rsidR="007C46D4" w:rsidRPr="00164238" w:rsidRDefault="007C46D4" w:rsidP="007C46D4">
      <w:pPr>
        <w:pStyle w:val="Kaynaka"/>
        <w:ind w:left="720" w:hanging="720"/>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Kirkman, B. L., Rosen, B. (1999). Beyond Self-management: Antecedents and Consequences of Team Empowerment. Academy of Management Journal, 42(1), 58-74.</w:t>
      </w:r>
    </w:p>
    <w:p w14:paraId="49FBDC9F" w14:textId="77777777" w:rsidR="007C46D4" w:rsidRPr="00164238" w:rsidRDefault="007C46D4" w:rsidP="007C46D4">
      <w:pPr>
        <w:pStyle w:val="Kaynaka"/>
        <w:ind w:left="720" w:hanging="720"/>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Leung, A. (2007). Matching Ethical Work Climate to In-Role and Extra-Role Behaviors in a Collectivist Work Setting. Journal of Business Ethics, 79(1/2), 43-55.</w:t>
      </w:r>
    </w:p>
    <w:p w14:paraId="5E4B9CF9" w14:textId="77777777" w:rsidR="007C46D4" w:rsidRPr="00164238" w:rsidRDefault="007C46D4" w:rsidP="007C46D4">
      <w:pPr>
        <w:pStyle w:val="Kaynaka"/>
        <w:ind w:left="720" w:hanging="720"/>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Lyberg, L., Biemer, P., Collins, M., De Leeuw, E., Dippo, C., Schwarz, N., &amp; Trewin, D. (1997). Survey measurement and process quality. New York: Wiley</w:t>
      </w:r>
    </w:p>
    <w:p w14:paraId="15D1D4CD" w14:textId="77777777" w:rsidR="007C46D4" w:rsidRPr="00164238" w:rsidRDefault="007C46D4" w:rsidP="007C46D4">
      <w:pPr>
        <w:pStyle w:val="Kaynaka"/>
        <w:ind w:left="720" w:hanging="720"/>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Özdemir, R. M. (2020). Çağrı Merkezi Yöneticisi El Kitabı. İstanbul: Ceres Yayınları.</w:t>
      </w:r>
    </w:p>
    <w:p w14:paraId="2DDD75DF" w14:textId="77777777" w:rsidR="007C46D4" w:rsidRPr="00164238" w:rsidRDefault="007C46D4" w:rsidP="007C46D4">
      <w:pPr>
        <w:pStyle w:val="Kaynaka"/>
        <w:ind w:left="720" w:hanging="720"/>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Pradhan, R., Jena, L. (2016). Employee Performance at Workplace: Conceptual Model and Empirical Validation. Business Perspectives and Research, 5(1), 1-17.</w:t>
      </w:r>
    </w:p>
    <w:p w14:paraId="23FFA4BC" w14:textId="77777777" w:rsidR="007C46D4" w:rsidRPr="00164238" w:rsidRDefault="007C46D4" w:rsidP="007C46D4">
      <w:pPr>
        <w:pStyle w:val="Kaynaka"/>
        <w:ind w:left="720" w:hanging="720"/>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Sarstedt M., Mooi E. (2014). Factor Analysis. In: A Concise Guide to Market Research (Springer Texts in Business and Economics). Berlin: Springer</w:t>
      </w:r>
    </w:p>
    <w:p w14:paraId="215F8708" w14:textId="77777777" w:rsidR="007C46D4" w:rsidRPr="00164238" w:rsidRDefault="007C46D4" w:rsidP="007C46D4">
      <w:pPr>
        <w:pStyle w:val="Kaynaka"/>
        <w:ind w:left="720" w:hanging="720"/>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Sayın, E., Aybek, Ü. A. (2021). Uzaktan çalışma salgın sonrasında devam edebilir mi? TRT Haber, Erişim Adresi: https://www.trthaber.com/haber/yasam/uzaktan-calisma-salgin-sonrasinda-devam-edebilir-mi-556812.html</w:t>
      </w:r>
    </w:p>
    <w:p w14:paraId="68CC035D" w14:textId="77777777" w:rsidR="007C46D4" w:rsidRPr="00164238" w:rsidRDefault="007C46D4" w:rsidP="007C46D4">
      <w:pPr>
        <w:pStyle w:val="Kaynaka"/>
        <w:ind w:left="720" w:hanging="720"/>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SERKA – Serhat Kalkına Ajansı (2011). TRA2 Bölgesinin Kalkınmasında Çağrı Merkezi Fırsatı. T.C. Serhat Kalkınma Ajansı.</w:t>
      </w:r>
    </w:p>
    <w:p w14:paraId="75A9EF3B" w14:textId="77777777" w:rsidR="007C46D4" w:rsidRPr="00164238" w:rsidRDefault="007C46D4" w:rsidP="007C46D4">
      <w:pPr>
        <w:pStyle w:val="Kaynaka"/>
        <w:ind w:left="720" w:hanging="720"/>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Sönmez, V. (2020). Covid-19 Kaygısının İş Gören Performansı ve Motivasyonu Üzerine Etkisi: Hizmet Sektöründe Bir Araştırma. Avrasya Sosyal ve Ekonomi Araştırmaları Dergisi (ASEAD), 7(12), 154-175.</w:t>
      </w:r>
    </w:p>
    <w:p w14:paraId="134BB295" w14:textId="77777777" w:rsidR="007C46D4" w:rsidRPr="00164238" w:rsidRDefault="007C46D4" w:rsidP="007C46D4">
      <w:pPr>
        <w:pStyle w:val="Kaynaka"/>
        <w:ind w:left="720" w:hanging="720"/>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Taşkın, D., Taşkın, Ç. (2018). Çağrı Merkezi Hizmetlerinde Müşteri Beklentisi Boyutlarının Müşteri Tatmini Üzerindeki Etkisinin PLS-Sem İle Ölçümü. İşletme Araştırmaları Dergisi, 10(1), 465-481.</w:t>
      </w:r>
    </w:p>
    <w:p w14:paraId="5A0EB340" w14:textId="77777777" w:rsidR="007C46D4" w:rsidRPr="00164238" w:rsidRDefault="007C46D4" w:rsidP="007C46D4">
      <w:pPr>
        <w:pStyle w:val="Kaynaka"/>
        <w:ind w:left="720" w:hanging="720"/>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Tiryaki, H. (2016). Yeni Bir Esnek Çalışma Modeli: Uzaktan Çalışma. Lebib Yalın Mevzuat Dergisi.</w:t>
      </w:r>
    </w:p>
    <w:p w14:paraId="00FF9624" w14:textId="77777777" w:rsidR="007C46D4" w:rsidRPr="00164238" w:rsidRDefault="007C46D4" w:rsidP="007C46D4">
      <w:pPr>
        <w:pStyle w:val="Kaynaka"/>
        <w:ind w:left="720" w:hanging="720"/>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Tutar, H. (2002). Sanal Ofislerde Koordinasyon ve ĠletiĢim: Teorik Bir Çerçeve. Gazi Üniversitesi Ticaret ve Turizm Eğitim Fakültesi Dergisi, 2, 15-30.</w:t>
      </w:r>
    </w:p>
    <w:p w14:paraId="682F882A" w14:textId="77777777" w:rsidR="007C46D4" w:rsidRPr="00164238" w:rsidRDefault="007C46D4" w:rsidP="007C46D4">
      <w:pPr>
        <w:pStyle w:val="Kaynaka"/>
        <w:ind w:left="720" w:hanging="720"/>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Türkgözü, Ö., Sazkaya, M. (2020). Psikolojik Sözleşme İhlalinin Örgütsel Sinizm Üzerine Etkisinin İncelenmesi: Çağrı Merkezi Sektöründe Bir Araştırma. ADAM AKADEMİ Sosyal Bilimler Dergisi, 10(2), 399 - 424.</w:t>
      </w:r>
    </w:p>
    <w:p w14:paraId="0287B018" w14:textId="77777777" w:rsidR="007C46D4" w:rsidRPr="00164238" w:rsidRDefault="007C46D4" w:rsidP="007C46D4">
      <w:pPr>
        <w:pStyle w:val="Kaynaka"/>
        <w:ind w:left="720" w:hanging="720"/>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Uyargil, C., Uluhan, R. (2000). İş Analizi ve İş Dizaynı. İnsan Kaynakları Yönetimi (s. 51-82). içinde Istanbul: Dönence Basım ve Yayın Hizmetleri.</w:t>
      </w:r>
    </w:p>
    <w:p w14:paraId="2A7B38D3" w14:textId="77777777" w:rsidR="007C46D4" w:rsidRPr="00164238" w:rsidRDefault="007C46D4" w:rsidP="007C46D4">
      <w:pPr>
        <w:pStyle w:val="Kaynaka"/>
        <w:ind w:left="720" w:hanging="720"/>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Van Dyne, L., Cummings, L., &amp; Parks, J. (1995). Extra-role behaviors: In pursuit of construct and definitional clarity. Research in Organizational Behavior, 17, 215-285.</w:t>
      </w:r>
    </w:p>
    <w:p w14:paraId="543FC1A8" w14:textId="77777777" w:rsidR="007C46D4" w:rsidRPr="00164238" w:rsidRDefault="007C46D4" w:rsidP="007C46D4">
      <w:pPr>
        <w:pStyle w:val="Kaynaka"/>
        <w:ind w:left="720" w:hanging="720"/>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lastRenderedPageBreak/>
        <w:t>Van Scotter, J. (1994). Evidence for the Usefullness of Task Performance, Job Dedication, and Interpersonel Facilitation as Components of Overall Performance. Ph.D. Thesis. University of Florida.</w:t>
      </w:r>
    </w:p>
    <w:p w14:paraId="2CF5340E" w14:textId="77777777" w:rsidR="007C46D4" w:rsidRPr="00164238" w:rsidRDefault="007C46D4" w:rsidP="007C46D4">
      <w:pPr>
        <w:pStyle w:val="Kaynaka"/>
        <w:ind w:left="720" w:hanging="720"/>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WHO Timeline - COVID-19. (2020, Nisan 27). Mart 20, 2021 tarihinde www.who.int: https://www.who.int/news/item/27-04-2020-who-timeline---covid-19 adresinden alındı</w:t>
      </w:r>
    </w:p>
    <w:p w14:paraId="55DAD7C0" w14:textId="77777777" w:rsidR="007C46D4" w:rsidRPr="00164238" w:rsidRDefault="007C46D4" w:rsidP="007C46D4">
      <w:pPr>
        <w:pStyle w:val="Kaynaka"/>
        <w:ind w:left="720" w:hanging="720"/>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Wiersinga, W., &amp; Prescott, H. (2020, August 25). What Is COVID-19? JAMA, 324(8), 816</w:t>
      </w:r>
    </w:p>
    <w:p w14:paraId="748146B5" w14:textId="77777777" w:rsidR="0012527E" w:rsidRDefault="0012527E" w:rsidP="00686ACB">
      <w:pPr>
        <w:pStyle w:val="Balk1"/>
        <w:rPr>
          <w:rFonts w:ascii="Times New Roman" w:hAnsi="Times New Roman" w:cs="Times New Roman"/>
          <w:b/>
          <w:bCs/>
          <w:color w:val="000000" w:themeColor="text1"/>
          <w:sz w:val="24"/>
          <w:szCs w:val="24"/>
          <w:lang w:val="en-US"/>
        </w:rPr>
      </w:pPr>
      <w:bookmarkStart w:id="130" w:name="_Toc72961718"/>
    </w:p>
    <w:p w14:paraId="4F8FC060" w14:textId="7B70BF95" w:rsidR="0012527E" w:rsidRDefault="0012527E" w:rsidP="00686ACB">
      <w:pPr>
        <w:pStyle w:val="Balk1"/>
        <w:rPr>
          <w:rFonts w:ascii="Times New Roman" w:hAnsi="Times New Roman" w:cs="Times New Roman"/>
          <w:b/>
          <w:bCs/>
          <w:color w:val="000000" w:themeColor="text1"/>
          <w:sz w:val="24"/>
          <w:szCs w:val="24"/>
          <w:lang w:val="en-US"/>
        </w:rPr>
      </w:pPr>
    </w:p>
    <w:p w14:paraId="2F72AD24" w14:textId="6ADC65FA" w:rsidR="0012527E" w:rsidRDefault="0012527E" w:rsidP="0012527E">
      <w:pPr>
        <w:rPr>
          <w:lang w:val="en-US" w:eastAsia="tr-TR"/>
        </w:rPr>
      </w:pPr>
    </w:p>
    <w:p w14:paraId="2441099B" w14:textId="7DF2542D" w:rsidR="0012527E" w:rsidRDefault="0012527E" w:rsidP="0012527E">
      <w:pPr>
        <w:rPr>
          <w:lang w:val="en-US" w:eastAsia="tr-TR"/>
        </w:rPr>
      </w:pPr>
    </w:p>
    <w:p w14:paraId="54944CF7" w14:textId="2579A7C8" w:rsidR="0012527E" w:rsidRDefault="0012527E" w:rsidP="0012527E">
      <w:pPr>
        <w:rPr>
          <w:lang w:val="en-US" w:eastAsia="tr-TR"/>
        </w:rPr>
      </w:pPr>
    </w:p>
    <w:p w14:paraId="47265B54" w14:textId="2A78F396" w:rsidR="0012527E" w:rsidRDefault="0012527E" w:rsidP="0012527E">
      <w:pPr>
        <w:rPr>
          <w:lang w:val="en-US" w:eastAsia="tr-TR"/>
        </w:rPr>
      </w:pPr>
    </w:p>
    <w:p w14:paraId="7D2582D4" w14:textId="0FE58E15" w:rsidR="0012527E" w:rsidRDefault="0012527E" w:rsidP="0012527E">
      <w:pPr>
        <w:rPr>
          <w:lang w:val="en-US" w:eastAsia="tr-TR"/>
        </w:rPr>
      </w:pPr>
    </w:p>
    <w:p w14:paraId="74888189" w14:textId="28A21A7D" w:rsidR="0012527E" w:rsidRDefault="0012527E" w:rsidP="0012527E">
      <w:pPr>
        <w:rPr>
          <w:lang w:val="en-US" w:eastAsia="tr-TR"/>
        </w:rPr>
      </w:pPr>
    </w:p>
    <w:p w14:paraId="6DDEF138" w14:textId="143B4C4D" w:rsidR="0012527E" w:rsidRDefault="0012527E" w:rsidP="0012527E">
      <w:pPr>
        <w:rPr>
          <w:lang w:val="en-US" w:eastAsia="tr-TR"/>
        </w:rPr>
      </w:pPr>
    </w:p>
    <w:p w14:paraId="41EAE716" w14:textId="4269DDB3" w:rsidR="0012527E" w:rsidRDefault="0012527E" w:rsidP="0012527E">
      <w:pPr>
        <w:rPr>
          <w:lang w:val="en-US" w:eastAsia="tr-TR"/>
        </w:rPr>
      </w:pPr>
    </w:p>
    <w:p w14:paraId="726AF2F1" w14:textId="018B5537" w:rsidR="0012527E" w:rsidRDefault="0012527E" w:rsidP="0012527E">
      <w:pPr>
        <w:rPr>
          <w:lang w:val="en-US" w:eastAsia="tr-TR"/>
        </w:rPr>
      </w:pPr>
    </w:p>
    <w:p w14:paraId="5950C56B" w14:textId="31C550F5" w:rsidR="0012527E" w:rsidRDefault="0012527E" w:rsidP="0012527E">
      <w:pPr>
        <w:rPr>
          <w:lang w:val="en-US" w:eastAsia="tr-TR"/>
        </w:rPr>
      </w:pPr>
    </w:p>
    <w:p w14:paraId="79BF90A8" w14:textId="29B25F96" w:rsidR="0012527E" w:rsidRDefault="0012527E" w:rsidP="0012527E">
      <w:pPr>
        <w:rPr>
          <w:lang w:val="en-US" w:eastAsia="tr-TR"/>
        </w:rPr>
      </w:pPr>
    </w:p>
    <w:p w14:paraId="3B09CABE" w14:textId="02982BF0" w:rsidR="0012527E" w:rsidRDefault="0012527E" w:rsidP="0012527E">
      <w:pPr>
        <w:rPr>
          <w:lang w:val="en-US" w:eastAsia="tr-TR"/>
        </w:rPr>
      </w:pPr>
    </w:p>
    <w:p w14:paraId="22DA4B04" w14:textId="7F50F137" w:rsidR="0012527E" w:rsidRDefault="0012527E" w:rsidP="0012527E">
      <w:pPr>
        <w:rPr>
          <w:lang w:val="en-US" w:eastAsia="tr-TR"/>
        </w:rPr>
      </w:pPr>
    </w:p>
    <w:p w14:paraId="5F42B8AD" w14:textId="77777777" w:rsidR="0012527E" w:rsidRPr="0012527E" w:rsidRDefault="0012527E" w:rsidP="0012527E">
      <w:pPr>
        <w:rPr>
          <w:lang w:val="en-US" w:eastAsia="tr-TR"/>
        </w:rPr>
      </w:pPr>
    </w:p>
    <w:p w14:paraId="02C63308" w14:textId="3C23C683" w:rsidR="0012527E" w:rsidRDefault="0012527E" w:rsidP="00686ACB">
      <w:pPr>
        <w:pStyle w:val="Balk1"/>
        <w:rPr>
          <w:rFonts w:ascii="Times New Roman" w:hAnsi="Times New Roman" w:cs="Times New Roman"/>
          <w:b/>
          <w:bCs/>
          <w:color w:val="000000" w:themeColor="text1"/>
          <w:sz w:val="24"/>
          <w:szCs w:val="24"/>
          <w:lang w:val="en-US"/>
        </w:rPr>
      </w:pPr>
    </w:p>
    <w:p w14:paraId="43836ED3" w14:textId="11619862" w:rsidR="0012527E" w:rsidRDefault="0012527E" w:rsidP="0012527E">
      <w:pPr>
        <w:rPr>
          <w:lang w:val="en-US" w:eastAsia="tr-TR"/>
        </w:rPr>
      </w:pPr>
    </w:p>
    <w:p w14:paraId="681FAB69" w14:textId="2336344B" w:rsidR="0012527E" w:rsidRDefault="0012527E" w:rsidP="0012527E">
      <w:pPr>
        <w:rPr>
          <w:lang w:val="en-US" w:eastAsia="tr-TR"/>
        </w:rPr>
      </w:pPr>
    </w:p>
    <w:p w14:paraId="7180EA00" w14:textId="77777777" w:rsidR="0012527E" w:rsidRPr="0012527E" w:rsidRDefault="0012527E" w:rsidP="0012527E">
      <w:pPr>
        <w:rPr>
          <w:lang w:val="en-US" w:eastAsia="tr-TR"/>
        </w:rPr>
      </w:pPr>
    </w:p>
    <w:p w14:paraId="54D12BB9" w14:textId="77777777" w:rsidR="0012527E" w:rsidRDefault="0012527E" w:rsidP="00686ACB">
      <w:pPr>
        <w:pStyle w:val="Balk1"/>
        <w:rPr>
          <w:rFonts w:ascii="Times New Roman" w:hAnsi="Times New Roman" w:cs="Times New Roman"/>
          <w:b/>
          <w:bCs/>
          <w:color w:val="000000" w:themeColor="text1"/>
          <w:sz w:val="24"/>
          <w:szCs w:val="24"/>
          <w:lang w:val="en-US"/>
        </w:rPr>
      </w:pPr>
    </w:p>
    <w:p w14:paraId="3D7E8518" w14:textId="7F936686" w:rsidR="007F03EB" w:rsidRPr="00164238" w:rsidRDefault="007F03EB" w:rsidP="00686ACB">
      <w:pPr>
        <w:pStyle w:val="Balk1"/>
        <w:rPr>
          <w:rFonts w:ascii="Times New Roman" w:hAnsi="Times New Roman" w:cs="Times New Roman"/>
          <w:b/>
          <w:bCs/>
          <w:color w:val="000000" w:themeColor="text1"/>
          <w:sz w:val="24"/>
          <w:szCs w:val="24"/>
          <w:lang w:val="en-US"/>
        </w:rPr>
      </w:pPr>
      <w:r w:rsidRPr="00164238">
        <w:rPr>
          <w:rFonts w:ascii="Times New Roman" w:hAnsi="Times New Roman" w:cs="Times New Roman"/>
          <w:b/>
          <w:bCs/>
          <w:color w:val="000000" w:themeColor="text1"/>
          <w:sz w:val="24"/>
          <w:szCs w:val="24"/>
          <w:lang w:val="en-US"/>
        </w:rPr>
        <w:t>THE RELATIONSHIP BETWEEN SUPERVISOR’S VIRTUAL TECHNOLOGY COMPETENCE AND SUPERVISOR-SUBORDINATE EXCHANGE</w:t>
      </w:r>
      <w:bookmarkEnd w:id="130"/>
    </w:p>
    <w:p w14:paraId="39C4CF3F" w14:textId="77777777" w:rsidR="007F03EB" w:rsidRPr="00164238" w:rsidRDefault="007F03EB" w:rsidP="00686ACB">
      <w:pPr>
        <w:pStyle w:val="Balk1"/>
        <w:rPr>
          <w:rFonts w:ascii="Times New Roman" w:hAnsi="Times New Roman" w:cs="Times New Roman"/>
          <w:b/>
          <w:bCs/>
          <w:color w:val="000000" w:themeColor="text1"/>
          <w:sz w:val="20"/>
          <w:szCs w:val="20"/>
          <w:lang w:val="en-US"/>
        </w:rPr>
      </w:pPr>
    </w:p>
    <w:p w14:paraId="56C07FA9" w14:textId="77777777" w:rsidR="00686ACB" w:rsidRPr="00164238" w:rsidRDefault="00686ACB" w:rsidP="00686ACB">
      <w:pPr>
        <w:pStyle w:val="Balk2"/>
        <w:rPr>
          <w:rFonts w:ascii="Times New Roman" w:eastAsia="Arial" w:hAnsi="Times New Roman" w:cs="Times New Roman"/>
          <w:b w:val="0"/>
          <w:color w:val="000000" w:themeColor="text1"/>
          <w:sz w:val="20"/>
          <w:szCs w:val="20"/>
        </w:rPr>
      </w:pPr>
      <w:bookmarkStart w:id="131" w:name="_Toc72961719"/>
      <w:r w:rsidRPr="00164238">
        <w:rPr>
          <w:rStyle w:val="Balk2Char"/>
          <w:rFonts w:ascii="Times New Roman" w:hAnsi="Times New Roman" w:cs="Times New Roman"/>
          <w:color w:val="000000" w:themeColor="text1"/>
          <w:sz w:val="20"/>
          <w:szCs w:val="20"/>
        </w:rPr>
        <w:t>Lecturer Dr. Zulfi Umut OZKARA</w:t>
      </w:r>
      <w:r w:rsidRPr="00164238">
        <w:rPr>
          <w:rFonts w:ascii="Times New Roman" w:eastAsia="Arial" w:hAnsi="Times New Roman" w:cs="Times New Roman"/>
          <w:color w:val="000000" w:themeColor="text1"/>
          <w:sz w:val="20"/>
          <w:szCs w:val="20"/>
        </w:rPr>
        <w:t xml:space="preserve">, </w:t>
      </w:r>
      <w:r w:rsidRPr="00164238">
        <w:rPr>
          <w:rFonts w:ascii="Times New Roman" w:eastAsia="Arial" w:hAnsi="Times New Roman" w:cs="Times New Roman"/>
          <w:b w:val="0"/>
          <w:color w:val="000000" w:themeColor="text1"/>
          <w:sz w:val="20"/>
          <w:szCs w:val="20"/>
        </w:rPr>
        <w:t xml:space="preserve">Ankara Haci Bayram Veli University, College of Banking and Insurance, </w:t>
      </w:r>
      <w:r w:rsidRPr="00164238">
        <w:rPr>
          <w:rFonts w:ascii="Times New Roman" w:hAnsi="Times New Roman" w:cs="Times New Roman"/>
          <w:b w:val="0"/>
          <w:color w:val="000000" w:themeColor="text1"/>
          <w:sz w:val="20"/>
          <w:szCs w:val="20"/>
        </w:rPr>
        <w:t>Department of Finance and Banking</w:t>
      </w:r>
      <w:r w:rsidRPr="00164238">
        <w:rPr>
          <w:rFonts w:ascii="Times New Roman" w:eastAsia="Arial" w:hAnsi="Times New Roman" w:cs="Times New Roman"/>
          <w:b w:val="0"/>
          <w:color w:val="000000" w:themeColor="text1"/>
          <w:sz w:val="20"/>
          <w:szCs w:val="20"/>
        </w:rPr>
        <w:t>, Ankara, Turkey</w:t>
      </w:r>
      <w:bookmarkEnd w:id="131"/>
    </w:p>
    <w:p w14:paraId="31EE6A03" w14:textId="77777777" w:rsidR="00686ACB" w:rsidRPr="00164238" w:rsidRDefault="00686ACB" w:rsidP="00686ACB">
      <w:pPr>
        <w:jc w:val="both"/>
        <w:rPr>
          <w:rFonts w:ascii="Times New Roman" w:hAnsi="Times New Roman" w:cs="Times New Roman"/>
          <w:color w:val="000000" w:themeColor="text1"/>
          <w:sz w:val="20"/>
          <w:szCs w:val="20"/>
        </w:rPr>
      </w:pPr>
      <w:r w:rsidRPr="00164238">
        <w:rPr>
          <w:rFonts w:ascii="Times New Roman" w:eastAsia="Arial" w:hAnsi="Times New Roman" w:cs="Times New Roman"/>
          <w:i/>
          <w:color w:val="000000" w:themeColor="text1"/>
          <w:sz w:val="20"/>
          <w:szCs w:val="20"/>
        </w:rPr>
        <w:t>e-mail</w:t>
      </w:r>
      <w:r w:rsidRPr="00164238">
        <w:rPr>
          <w:rFonts w:ascii="Times New Roman" w:eastAsia="Arial" w:hAnsi="Times New Roman" w:cs="Times New Roman"/>
          <w:color w:val="000000" w:themeColor="text1"/>
          <w:sz w:val="20"/>
          <w:szCs w:val="20"/>
        </w:rPr>
        <w:t xml:space="preserve">: </w:t>
      </w:r>
      <w:r w:rsidRPr="00164238">
        <w:rPr>
          <w:rFonts w:ascii="Times New Roman" w:eastAsia="Arial" w:hAnsi="Times New Roman" w:cs="Times New Roman"/>
          <w:color w:val="000000" w:themeColor="text1"/>
          <w:sz w:val="20"/>
          <w:szCs w:val="20"/>
          <w:u w:val="single"/>
        </w:rPr>
        <w:t>umut.ozkara@hbv.edu.tr</w:t>
      </w:r>
      <w:r w:rsidRPr="00164238">
        <w:rPr>
          <w:rFonts w:ascii="Times New Roman" w:eastAsia="Arial" w:hAnsi="Times New Roman" w:cs="Times New Roman"/>
          <w:color w:val="000000" w:themeColor="text1"/>
          <w:sz w:val="20"/>
          <w:szCs w:val="20"/>
        </w:rPr>
        <w:t xml:space="preserve"> </w:t>
      </w:r>
      <w:r w:rsidRPr="00164238">
        <w:rPr>
          <w:rFonts w:ascii="Times New Roman" w:eastAsia="Arial" w:hAnsi="Times New Roman" w:cs="Times New Roman"/>
          <w:i/>
          <w:color w:val="000000" w:themeColor="text1"/>
          <w:sz w:val="20"/>
          <w:szCs w:val="20"/>
        </w:rPr>
        <w:t>ORCID ID</w:t>
      </w:r>
      <w:r w:rsidRPr="00164238">
        <w:rPr>
          <w:rFonts w:ascii="Times New Roman" w:eastAsia="Arial" w:hAnsi="Times New Roman" w:cs="Times New Roman"/>
          <w:color w:val="000000" w:themeColor="text1"/>
          <w:sz w:val="20"/>
          <w:szCs w:val="20"/>
        </w:rPr>
        <w:t xml:space="preserve">: </w:t>
      </w:r>
      <w:r w:rsidRPr="00164238">
        <w:rPr>
          <w:rFonts w:ascii="Times New Roman" w:hAnsi="Times New Roman" w:cs="Times New Roman"/>
          <w:color w:val="000000" w:themeColor="text1"/>
          <w:sz w:val="20"/>
          <w:szCs w:val="20"/>
          <w:shd w:val="clear" w:color="auto" w:fill="FFFFFF"/>
        </w:rPr>
        <w:t>0000-0002-5031-808X</w:t>
      </w:r>
    </w:p>
    <w:p w14:paraId="2009BD02" w14:textId="77777777" w:rsidR="007F03EB" w:rsidRPr="00164238" w:rsidRDefault="007F03EB" w:rsidP="007F03EB">
      <w:pPr>
        <w:spacing w:before="120"/>
        <w:ind w:firstLine="708"/>
        <w:jc w:val="both"/>
        <w:rPr>
          <w:rFonts w:ascii="Times New Roman" w:hAnsi="Times New Roman" w:cs="Times New Roman"/>
          <w:b/>
          <w:bCs/>
          <w:color w:val="000000" w:themeColor="text1"/>
          <w:sz w:val="20"/>
          <w:szCs w:val="20"/>
          <w:lang w:val="en-US"/>
        </w:rPr>
      </w:pPr>
      <w:r w:rsidRPr="00164238">
        <w:rPr>
          <w:rFonts w:ascii="Times New Roman" w:hAnsi="Times New Roman" w:cs="Times New Roman"/>
          <w:b/>
          <w:bCs/>
          <w:color w:val="000000" w:themeColor="text1"/>
          <w:sz w:val="20"/>
          <w:szCs w:val="20"/>
          <w:lang w:val="en-US"/>
        </w:rPr>
        <w:t>Abstract</w:t>
      </w:r>
    </w:p>
    <w:p w14:paraId="30A4C9CC" w14:textId="77777777" w:rsidR="007F03EB" w:rsidRPr="00164238" w:rsidRDefault="007F03EB" w:rsidP="007F03EB">
      <w:pPr>
        <w:spacing w:before="120"/>
        <w:ind w:firstLine="708"/>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 xml:space="preserve">Together with the Covid-19 </w:t>
      </w:r>
      <w:r w:rsidRPr="00164238">
        <w:rPr>
          <w:rFonts w:ascii="Times New Roman" w:hAnsi="Times New Roman" w:cs="Times New Roman"/>
          <w:color w:val="000000" w:themeColor="text1"/>
          <w:sz w:val="20"/>
          <w:szCs w:val="20"/>
          <w:shd w:val="clear" w:color="auto" w:fill="FFFFFF"/>
          <w:lang w:val="en-US"/>
        </w:rPr>
        <w:t>pandemic</w:t>
      </w:r>
      <w:r w:rsidRPr="00164238">
        <w:rPr>
          <w:rFonts w:ascii="Times New Roman" w:hAnsi="Times New Roman" w:cs="Times New Roman"/>
          <w:color w:val="000000" w:themeColor="text1"/>
          <w:sz w:val="20"/>
          <w:szCs w:val="20"/>
          <w:lang w:val="en-US"/>
        </w:rPr>
        <w:t xml:space="preserve">, recently, the style of electronic leadership demonstrated by supervisors in the virtual environment has become a more attractive topic in the context of the organizational behavior field. Virtual technology competence is the basic facet of electronic leadership style. This study investigated the relations between supervisors’ virtual technology competence, and supervisor-subordinate exchange quality and its sub-dimensions. Dataset of the study consisted of total 214 questionnaires gathered from 115 academic and 99 administrative personnel at a state university in the east of Turkey. Data input of the research was done with SPSS 24 software program, and then, the data were analyzed via SPSS 24 and AMOS 24 software programs. </w:t>
      </w:r>
      <w:r w:rsidRPr="00164238">
        <w:rPr>
          <w:rFonts w:ascii="Times New Roman" w:hAnsi="Times New Roman" w:cs="Times New Roman"/>
          <w:color w:val="000000" w:themeColor="text1"/>
          <w:sz w:val="20"/>
          <w:szCs w:val="20"/>
        </w:rPr>
        <w:t>“</w:t>
      </w:r>
      <w:r w:rsidRPr="00164238">
        <w:rPr>
          <w:rFonts w:ascii="Times New Roman" w:hAnsi="Times New Roman" w:cs="Times New Roman"/>
          <w:color w:val="000000" w:themeColor="text1"/>
          <w:sz w:val="20"/>
          <w:szCs w:val="20"/>
          <w:lang w:val="en-US"/>
        </w:rPr>
        <w:t xml:space="preserve">Overall confirmatory factor”, “internal consistency”, “Pearson correlation” and “structural equation modeling” analyses were employed in this study. According to the analysis results in terms of participants in this study, significant and positive bilateral relations between supervisors’ virtual technology competence, and the quality of supervisor-subordinate exchange and its “affect”, “loyalty”, “contribution” and “professional respect” dimensions exist. Also, supervisors’ virtual technology competence affects the quality of supervisor-subordinate exchange in a significant and positive way. Moving from the functional definitions of variables in the research model, it can be said that the quality of reciprocal relationships between subordinates and their immediate supervisors rises </w:t>
      </w:r>
      <w:r w:rsidRPr="00164238">
        <w:rPr>
          <w:rFonts w:ascii="Times New Roman" w:hAnsi="Times New Roman" w:cs="Times New Roman"/>
          <w:color w:val="000000" w:themeColor="text1"/>
          <w:sz w:val="20"/>
          <w:szCs w:val="20"/>
          <w:shd w:val="clear" w:color="auto" w:fill="FFFFFF"/>
          <w:lang w:val="en-US"/>
        </w:rPr>
        <w:t>when these subordinates have an increased perception that their immediate supervisors possess the knowledge, abilities and experiences for pioneering the fulfillment of the works in the virtual environment and use such competence for the benefit of their organization.</w:t>
      </w:r>
      <w:r w:rsidRPr="00164238">
        <w:rPr>
          <w:rFonts w:ascii="Times New Roman" w:hAnsi="Times New Roman" w:cs="Times New Roman"/>
          <w:color w:val="000000" w:themeColor="text1"/>
          <w:sz w:val="20"/>
          <w:szCs w:val="20"/>
          <w:lang w:val="en-US"/>
        </w:rPr>
        <w:t xml:space="preserve"> Based on this study, it is concluded that it is possible to increase the benefits of qualified interaction between subordinates and their immediate supervisors for the organization and thus to contribute to it through the enhancing effect of a rise in supervisors’ level of virtual technology competence on the level of supervisor-subordinate exchange quality.</w:t>
      </w:r>
    </w:p>
    <w:p w14:paraId="3CDE694E" w14:textId="77777777" w:rsidR="007F03EB" w:rsidRPr="00164238" w:rsidRDefault="007F03EB" w:rsidP="007F03EB">
      <w:pPr>
        <w:spacing w:before="120"/>
        <w:jc w:val="both"/>
        <w:rPr>
          <w:rFonts w:ascii="Times New Roman" w:hAnsi="Times New Roman" w:cs="Times New Roman"/>
          <w:bCs/>
          <w:i/>
          <w:color w:val="000000" w:themeColor="text1"/>
          <w:sz w:val="20"/>
          <w:szCs w:val="20"/>
          <w:lang w:val="en-US"/>
        </w:rPr>
      </w:pPr>
      <w:r w:rsidRPr="00164238">
        <w:rPr>
          <w:rFonts w:ascii="Times New Roman" w:hAnsi="Times New Roman" w:cs="Times New Roman"/>
          <w:b/>
          <w:bCs/>
          <w:color w:val="000000" w:themeColor="text1"/>
          <w:sz w:val="20"/>
          <w:szCs w:val="20"/>
          <w:lang w:val="en-US"/>
        </w:rPr>
        <w:t xml:space="preserve">Keywords: </w:t>
      </w:r>
      <w:r w:rsidRPr="00164238">
        <w:rPr>
          <w:rFonts w:ascii="Times New Roman" w:hAnsi="Times New Roman" w:cs="Times New Roman"/>
          <w:bCs/>
          <w:i/>
          <w:color w:val="000000" w:themeColor="text1"/>
          <w:sz w:val="20"/>
          <w:szCs w:val="20"/>
          <w:lang w:val="en-US"/>
        </w:rPr>
        <w:t>Electronic leadership,</w:t>
      </w:r>
      <w:r w:rsidRPr="00164238">
        <w:rPr>
          <w:rFonts w:ascii="Times New Roman" w:hAnsi="Times New Roman" w:cs="Times New Roman"/>
          <w:i/>
          <w:color w:val="000000" w:themeColor="text1"/>
          <w:sz w:val="20"/>
          <w:szCs w:val="20"/>
          <w:lang w:val="en-US"/>
        </w:rPr>
        <w:t xml:space="preserve"> </w:t>
      </w:r>
      <w:r w:rsidRPr="00164238">
        <w:rPr>
          <w:rFonts w:ascii="Times New Roman" w:hAnsi="Times New Roman" w:cs="Times New Roman"/>
          <w:bCs/>
          <w:i/>
          <w:color w:val="000000" w:themeColor="text1"/>
          <w:sz w:val="20"/>
          <w:szCs w:val="20"/>
          <w:lang w:val="en-US"/>
        </w:rPr>
        <w:t>Virtual technology competence, Leader (supervisor)-member (subordinate) exchange and its sub-dimensions, Social exchange theory, Role theory.</w:t>
      </w:r>
    </w:p>
    <w:p w14:paraId="3B7AB924" w14:textId="77777777" w:rsidR="007F03EB" w:rsidRPr="00164238" w:rsidRDefault="007F03EB" w:rsidP="007F03EB">
      <w:pPr>
        <w:spacing w:before="120"/>
        <w:jc w:val="both"/>
        <w:rPr>
          <w:rFonts w:ascii="Times New Roman" w:hAnsi="Times New Roman" w:cs="Times New Roman"/>
          <w:b/>
          <w:bCs/>
          <w:color w:val="000000" w:themeColor="text1"/>
          <w:sz w:val="20"/>
          <w:szCs w:val="20"/>
          <w:lang w:val="en-US"/>
        </w:rPr>
      </w:pPr>
    </w:p>
    <w:p w14:paraId="7AA453A9" w14:textId="56968F45" w:rsidR="007F03EB" w:rsidRPr="00164238" w:rsidRDefault="007F03EB" w:rsidP="007F03EB">
      <w:pPr>
        <w:spacing w:before="120"/>
        <w:ind w:firstLine="708"/>
        <w:jc w:val="both"/>
        <w:rPr>
          <w:rFonts w:ascii="Times New Roman" w:hAnsi="Times New Roman" w:cs="Times New Roman"/>
          <w:b/>
          <w:color w:val="000000" w:themeColor="text1"/>
          <w:sz w:val="20"/>
          <w:szCs w:val="20"/>
          <w:lang w:val="en-US"/>
        </w:rPr>
      </w:pPr>
      <w:r w:rsidRPr="00164238">
        <w:rPr>
          <w:rFonts w:ascii="Times New Roman" w:hAnsi="Times New Roman" w:cs="Times New Roman"/>
          <w:b/>
          <w:color w:val="000000" w:themeColor="text1"/>
          <w:sz w:val="20"/>
          <w:szCs w:val="20"/>
          <w:lang w:val="en-US"/>
        </w:rPr>
        <w:t>Introduction</w:t>
      </w:r>
    </w:p>
    <w:p w14:paraId="0D2A7A9A" w14:textId="77777777" w:rsidR="007F03EB" w:rsidRPr="00164238" w:rsidRDefault="007F03EB" w:rsidP="007F03EB">
      <w:pPr>
        <w:spacing w:before="120"/>
        <w:ind w:firstLine="708"/>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 xml:space="preserve">In addition to the worldwide acceleration and dissemination of digitalization today, with the Covid-19 pandemic, importance of the electronic leadership style demonstrated by supervisors in virtual environment in the organizations has increased in the context of organizational behavior field. A number of empirical studies (e.g.: Dal &amp; Çorbacıoğlu, 2014; Hirst et al., 2016; Huang et al., 2020; Kaygısızel, 2015; Kır, 2017; Lee &amp; Wei, 2008; Lin et al., 2018; Molines et al., 2020; Naseer et al., 2016; Özgen, 2020; Pundt &amp; Herrmann, 2015; Söylemez, 2019; Turunc et al., 2010; Tzinerr &amp; Barsheshet-Picke, 2014; Uğurluoğlu et al., 2015; Walumbwa et al., 2011; Wang et al., 2005; Wang et al., 2019; Wherry, 2012; Xu et al., 2015; Yang &amp; Kwon, 2015; Yeter, 2019; Zacher et al., 2014) are available in the literature, which study the relationships between leadership styles/behaviors demonstrated by the supervisor and leader (supervisor)-member (subordinate) exchange. According to Tekinay’s (2015) study, virtual technology competence is </w:t>
      </w:r>
      <w:r w:rsidRPr="00164238">
        <w:rPr>
          <w:rFonts w:ascii="Times New Roman" w:hAnsi="Times New Roman" w:cs="Times New Roman"/>
          <w:color w:val="000000" w:themeColor="text1"/>
          <w:sz w:val="20"/>
          <w:szCs w:val="20"/>
          <w:lang w:val="en-US"/>
        </w:rPr>
        <w:lastRenderedPageBreak/>
        <w:t>the basic dimension of electronic leadership (Tekinay, 2015, p. 67). The main purpose of this study is to research the relationships between employees’ perception regarding their immediate supervisors’ virtual technology competence, and these employees’ perceptions regarding the quality of supervisor-subordinate exchange and its sub-dimensions.</w:t>
      </w:r>
    </w:p>
    <w:p w14:paraId="31AE1154" w14:textId="77777777" w:rsidR="007F03EB" w:rsidRPr="00164238" w:rsidRDefault="007F03EB" w:rsidP="007F03EB">
      <w:pPr>
        <w:spacing w:before="120"/>
        <w:ind w:firstLine="708"/>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According to the studies in the literature, both supervisor’s virtual technology competence (e.g.: Taş et al., 2020a; Taş et al., 2020b) and the quality of leader (supervisor)-member (subordinate) exchange (e.g.: Özkara et al., 2019a; Özkara et al., 2019b) are factors which contribute to the organization. Within scope of the study, answer is sought for the question of “is it possible to provide contribution to the organization through the enhancing effect of the increase in the level of supervisors’ virtual technology competence on the level of supervisor-subordinate exchange quality?”.</w:t>
      </w:r>
    </w:p>
    <w:p w14:paraId="7DDBA3DF" w14:textId="77777777" w:rsidR="007F03EB" w:rsidRPr="00164238" w:rsidRDefault="007F03EB" w:rsidP="007F03EB">
      <w:pPr>
        <w:spacing w:before="120"/>
        <w:ind w:firstLine="708"/>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 xml:space="preserve">Research model of the study is based on Social Exchange Theory (Blau, 1964), which takes the Norm of Reciprocity (Gouldner, 1960) as basis, and the Role Theory (Kahn et al., 1965). Within scope of the study, it is expected that subordinates’ level of perception regarding the quality of reciprocal relationship, they have with their immediate supervisors, increases when these subordinates have an enhanced perception regarding that their supervisors possess the knowledge, abilities and experiences to pioneer the execution of the works in the virtual environment and use such capability for their organization.      </w:t>
      </w:r>
    </w:p>
    <w:p w14:paraId="724244E2" w14:textId="09E9D76B" w:rsidR="007F03EB" w:rsidRPr="00164238" w:rsidRDefault="007F03EB" w:rsidP="007F03EB">
      <w:pPr>
        <w:spacing w:before="120"/>
        <w:ind w:firstLine="708"/>
        <w:jc w:val="both"/>
        <w:rPr>
          <w:rFonts w:ascii="Times New Roman" w:eastAsia="Times New Roman" w:hAnsi="Times New Roman" w:cs="Times New Roman"/>
          <w:b/>
          <w:bCs/>
          <w:color w:val="000000" w:themeColor="text1"/>
          <w:sz w:val="20"/>
          <w:szCs w:val="20"/>
          <w:shd w:val="clear" w:color="auto" w:fill="FFFFFF"/>
          <w:lang w:val="en-US" w:eastAsia="tr-TR"/>
        </w:rPr>
      </w:pPr>
      <w:r w:rsidRPr="00164238">
        <w:rPr>
          <w:rFonts w:ascii="Times New Roman" w:eastAsia="Times New Roman" w:hAnsi="Times New Roman" w:cs="Times New Roman"/>
          <w:b/>
          <w:bCs/>
          <w:color w:val="000000" w:themeColor="text1"/>
          <w:sz w:val="20"/>
          <w:szCs w:val="20"/>
          <w:shd w:val="clear" w:color="auto" w:fill="FFFFFF"/>
          <w:lang w:val="en-US" w:eastAsia="tr-TR"/>
        </w:rPr>
        <w:t>Literature Review</w:t>
      </w:r>
    </w:p>
    <w:p w14:paraId="735987F6" w14:textId="77777777" w:rsidR="007F03EB" w:rsidRPr="00164238" w:rsidRDefault="007F03EB" w:rsidP="007F03EB">
      <w:pPr>
        <w:autoSpaceDE w:val="0"/>
        <w:autoSpaceDN w:val="0"/>
        <w:adjustRightInd w:val="0"/>
        <w:spacing w:before="120"/>
        <w:ind w:firstLine="708"/>
        <w:jc w:val="both"/>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color w:val="000000" w:themeColor="text1"/>
          <w:sz w:val="20"/>
          <w:szCs w:val="20"/>
          <w:shd w:val="clear" w:color="auto" w:fill="FFFFFF"/>
          <w:lang w:val="en-US"/>
        </w:rPr>
        <w:t xml:space="preserve">Leadership is </w:t>
      </w:r>
      <w:r w:rsidRPr="00164238">
        <w:rPr>
          <w:rFonts w:ascii="Times New Roman" w:hAnsi="Times New Roman" w:cs="Times New Roman"/>
          <w:i/>
          <w:iCs/>
          <w:color w:val="000000" w:themeColor="text1"/>
          <w:sz w:val="20"/>
          <w:szCs w:val="20"/>
          <w:shd w:val="clear" w:color="auto" w:fill="FFFFFF"/>
          <w:lang w:val="en-US"/>
        </w:rPr>
        <w:t>“the set of reciprocal relationships between the leader, who has the power to have something done by making others to adopt it, and his/her followers, occurring in certain situations and are expressed in the form of interaction”</w:t>
      </w:r>
      <w:r w:rsidRPr="00164238">
        <w:rPr>
          <w:rFonts w:ascii="Times New Roman" w:hAnsi="Times New Roman" w:cs="Times New Roman"/>
          <w:color w:val="000000" w:themeColor="text1"/>
          <w:sz w:val="20"/>
          <w:szCs w:val="20"/>
          <w:shd w:val="clear" w:color="auto" w:fill="FFFFFF"/>
          <w:lang w:val="en-US"/>
        </w:rPr>
        <w:t xml:space="preserve">. According to this definition, leadership is a function of leader, followers and conditions (Şimşek et al., 2008, p. 242). Husted (2008) divides leadership into two as dark and light leadership. While light leadership contributes to the individual, group and organization, dark leadership inflicts harm to the individual, group and organization. Naktiyok (2006) considers the leaders who make use of electronic channels as “electronic leaders” and the ones who don't as “traditional leaders” in his study (Naktiyok, 2006, p. 19). </w:t>
      </w:r>
      <w:r w:rsidRPr="00164238">
        <w:rPr>
          <w:rFonts w:ascii="Times New Roman" w:hAnsi="Times New Roman" w:cs="Times New Roman"/>
          <w:color w:val="000000" w:themeColor="text1"/>
          <w:sz w:val="20"/>
          <w:szCs w:val="20"/>
          <w:lang w:val="en-US"/>
        </w:rPr>
        <w:t>Supervisors of organizations, who make use of the internet and electronic tools in the current Covid-19 pandemic conditions, are important for combating the negative effects of the pandemic.</w:t>
      </w:r>
      <w:r w:rsidRPr="00164238">
        <w:rPr>
          <w:rFonts w:ascii="Times New Roman" w:hAnsi="Times New Roman" w:cs="Times New Roman"/>
          <w:color w:val="000000" w:themeColor="text1"/>
          <w:sz w:val="20"/>
          <w:szCs w:val="20"/>
          <w:shd w:val="clear" w:color="auto" w:fill="FFFFFF"/>
          <w:lang w:val="en-US"/>
        </w:rPr>
        <w:t xml:space="preserve"> Because, along with the pandemic being experienced recently, meetings are held through remote access under leadership of supervisors, resolutions are made and prepared documents are formalized via e-signature. Thus, employees of the organization can fulfill their organizational tasks and responsibilities by maintaining their social distance. This circumstance, which is being experienced, brings to the agenda that whether the electronic leadership style is developable or not. According to Taş et al. (2020b, p. 2890) while electronic leadership style has innate aspects, this leadership style is also open to later development.</w:t>
      </w:r>
    </w:p>
    <w:p w14:paraId="4CC1DDEE" w14:textId="77777777" w:rsidR="007F03EB" w:rsidRPr="00164238" w:rsidRDefault="007F03EB" w:rsidP="007F03EB">
      <w:pPr>
        <w:autoSpaceDE w:val="0"/>
        <w:autoSpaceDN w:val="0"/>
        <w:adjustRightInd w:val="0"/>
        <w:spacing w:before="120"/>
        <w:ind w:firstLine="708"/>
        <w:jc w:val="both"/>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color w:val="000000" w:themeColor="text1"/>
          <w:sz w:val="20"/>
          <w:szCs w:val="20"/>
          <w:shd w:val="clear" w:color="auto" w:fill="FFFFFF"/>
          <w:lang w:val="en-US"/>
        </w:rPr>
        <w:t xml:space="preserve">Avolio et al. (2000, p. 617) define the electronic leadership, which may occur at any hierarchical level in an organization, as </w:t>
      </w:r>
      <w:r w:rsidRPr="00164238">
        <w:rPr>
          <w:rFonts w:ascii="Times New Roman" w:hAnsi="Times New Roman" w:cs="Times New Roman"/>
          <w:i/>
          <w:iCs/>
          <w:color w:val="000000" w:themeColor="text1"/>
          <w:sz w:val="20"/>
          <w:szCs w:val="20"/>
          <w:shd w:val="clear" w:color="auto" w:fill="FFFFFF"/>
          <w:lang w:val="en-US"/>
        </w:rPr>
        <w:t>“a social influence process mediated by Advanced Information Technologies to produce a change in attitudes, feelings, thinking, behavior, and/or performance with individuals, groups, and/or organizations”</w:t>
      </w:r>
      <w:r w:rsidRPr="00164238">
        <w:rPr>
          <w:rFonts w:ascii="Times New Roman" w:hAnsi="Times New Roman" w:cs="Times New Roman"/>
          <w:color w:val="000000" w:themeColor="text1"/>
          <w:sz w:val="20"/>
          <w:szCs w:val="20"/>
          <w:shd w:val="clear" w:color="auto" w:fill="FFFFFF"/>
          <w:lang w:val="en-US"/>
        </w:rPr>
        <w:t>. Taş et al. (2020b, p. 2890) consider electronic leadership to be within scope of light leadership. Tekinay (2015, p. 67) examines electronic leadership under four dimensions as “virtual technology competence”, “virtual communication competence”, “virtual team management competence” and “personal role competence” in his study. These dimensions explain approximately 44%, 9%, 5% and 4% of the total variance of electronic leadership, respectively. These results statistically prove that virtual technology competence is the basic facet of electronic leadership. By moving from Tekinay’s (2015, pp. 103-105) study, supervisor’s virtual technology competence can be explained as that the supervisor possesses the knowledge, skills and experiences to pioneer to perform the works in the virtual environment and uses this capability for his/her organization.</w:t>
      </w:r>
    </w:p>
    <w:p w14:paraId="446BCD26" w14:textId="77777777" w:rsidR="007F03EB" w:rsidRPr="00164238" w:rsidRDefault="007F03EB" w:rsidP="007F03EB">
      <w:pPr>
        <w:autoSpaceDE w:val="0"/>
        <w:autoSpaceDN w:val="0"/>
        <w:adjustRightInd w:val="0"/>
        <w:spacing w:before="120"/>
        <w:ind w:firstLine="708"/>
        <w:jc w:val="both"/>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color w:val="000000" w:themeColor="text1"/>
          <w:sz w:val="20"/>
          <w:szCs w:val="20"/>
          <w:shd w:val="clear" w:color="auto" w:fill="FFFFFF"/>
          <w:lang w:val="en-US"/>
        </w:rPr>
        <w:t xml:space="preserve">Today, particularly together with the Covid-19 pandemic besides acceleration of digitalization, electronic leadership style demonstrated by the supervisor is among the leadership styles, which have come to forefront in the organizations. The relationship between the leadership styles/behaviors demonstrated by </w:t>
      </w:r>
      <w:r w:rsidRPr="00164238">
        <w:rPr>
          <w:rFonts w:ascii="Times New Roman" w:hAnsi="Times New Roman" w:cs="Times New Roman"/>
          <w:color w:val="000000" w:themeColor="text1"/>
          <w:sz w:val="20"/>
          <w:szCs w:val="20"/>
          <w:shd w:val="clear" w:color="auto" w:fill="FFFFFF"/>
          <w:lang w:val="en-US"/>
        </w:rPr>
        <w:lastRenderedPageBreak/>
        <w:t>supervisors and leader (supervisor)-member (subordinate) exchange has been investigated in a number of studies in the context of organizational behavior field. Within scope of this study, the relationship between virtual technology competence, which is the basic facet of supervisor’s electronic leadership style, and leader (supervisor)-member (subordinate) exchange is being examined. Leader-Member Exchange Theory shall be explained before addressing the relationships between the leadership styles/behaviors and leader (supervisor)-member (subordinate) exchange.</w:t>
      </w:r>
    </w:p>
    <w:p w14:paraId="76AA14E6" w14:textId="77777777" w:rsidR="007F03EB" w:rsidRPr="00164238" w:rsidRDefault="007F03EB" w:rsidP="007F03EB">
      <w:pPr>
        <w:autoSpaceDE w:val="0"/>
        <w:autoSpaceDN w:val="0"/>
        <w:adjustRightInd w:val="0"/>
        <w:spacing w:before="120"/>
        <w:ind w:firstLine="708"/>
        <w:jc w:val="both"/>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color w:val="000000" w:themeColor="text1"/>
          <w:sz w:val="20"/>
          <w:szCs w:val="20"/>
          <w:lang w:val="en-US"/>
        </w:rPr>
        <w:t>Leader-Member Exchange Theory was developed by Graen et al. in the 1970s in the light of Role Theory and Social Exchange Theory (as cited in Liden &amp; Marslyn, 1998, p. 44).</w:t>
      </w:r>
      <w:r w:rsidRPr="00164238">
        <w:rPr>
          <w:rFonts w:ascii="Times New Roman" w:hAnsi="Times New Roman" w:cs="Times New Roman"/>
          <w:color w:val="000000" w:themeColor="text1"/>
          <w:sz w:val="20"/>
          <w:szCs w:val="20"/>
          <w:shd w:val="clear" w:color="auto" w:fill="FFFFFF"/>
          <w:lang w:val="en-US"/>
        </w:rPr>
        <w:t xml:space="preserve"> </w:t>
      </w:r>
      <w:r w:rsidRPr="00164238">
        <w:rPr>
          <w:rFonts w:ascii="Times New Roman" w:hAnsi="Times New Roman" w:cs="Times New Roman"/>
          <w:color w:val="000000" w:themeColor="text1"/>
          <w:sz w:val="20"/>
          <w:szCs w:val="20"/>
          <w:lang w:val="en-US"/>
        </w:rPr>
        <w:t>According to Role Theory, an employee, occupying a position in the organization, shall demonstrate some behavioral patterns depending on that position (Kahn et al., 1965).</w:t>
      </w:r>
      <w:r w:rsidRPr="00164238">
        <w:rPr>
          <w:rFonts w:ascii="Times New Roman" w:hAnsi="Times New Roman" w:cs="Times New Roman"/>
          <w:color w:val="000000" w:themeColor="text1"/>
          <w:sz w:val="20"/>
          <w:szCs w:val="20"/>
          <w:shd w:val="clear" w:color="auto" w:fill="FFFFFF"/>
          <w:lang w:val="en-US"/>
        </w:rPr>
        <w:t xml:space="preserve"> </w:t>
      </w:r>
      <w:r w:rsidRPr="00164238">
        <w:rPr>
          <w:rFonts w:ascii="Times New Roman" w:hAnsi="Times New Roman" w:cs="Times New Roman"/>
          <w:color w:val="000000" w:themeColor="text1"/>
          <w:sz w:val="20"/>
          <w:szCs w:val="20"/>
          <w:lang w:val="en-US"/>
        </w:rPr>
        <w:t>According to the Social Exchange Theory, positive and beneficial actions between individuals on basis of principle of reciprocity create a sense of imperativeness between the parties and lead to creation of a high-quality exchange relationship, thus increasing the quality of the reciprocal relationship (Settoon et al., 1996).</w:t>
      </w:r>
    </w:p>
    <w:p w14:paraId="75F0C38C" w14:textId="77777777" w:rsidR="007F03EB" w:rsidRPr="00164238" w:rsidRDefault="007F03EB" w:rsidP="007F03EB">
      <w:pPr>
        <w:autoSpaceDE w:val="0"/>
        <w:autoSpaceDN w:val="0"/>
        <w:adjustRightInd w:val="0"/>
        <w:spacing w:before="120"/>
        <w:ind w:firstLine="708"/>
        <w:jc w:val="both"/>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color w:val="000000" w:themeColor="text1"/>
          <w:sz w:val="20"/>
          <w:szCs w:val="20"/>
          <w:lang w:val="en-US"/>
        </w:rPr>
        <w:t>According to the Leader-Member Exhange Theory, the leader (supervisor) does not treat every follower (subordinate) in the same way.</w:t>
      </w:r>
      <w:r w:rsidRPr="00164238">
        <w:rPr>
          <w:rFonts w:ascii="Times New Roman" w:hAnsi="Times New Roman" w:cs="Times New Roman"/>
          <w:color w:val="000000" w:themeColor="text1"/>
          <w:sz w:val="20"/>
          <w:szCs w:val="20"/>
          <w:shd w:val="clear" w:color="auto" w:fill="FFFFFF"/>
          <w:lang w:val="en-US"/>
        </w:rPr>
        <w:t xml:space="preserve"> </w:t>
      </w:r>
      <w:r w:rsidRPr="00164238">
        <w:rPr>
          <w:rFonts w:ascii="Times New Roman" w:hAnsi="Times New Roman" w:cs="Times New Roman"/>
          <w:color w:val="000000" w:themeColor="text1"/>
          <w:sz w:val="20"/>
          <w:szCs w:val="20"/>
          <w:lang w:val="en-US"/>
        </w:rPr>
        <w:t>According to this theory, the “inner group” consisting of subordinates, whom supervisors trust, has some privileges.</w:t>
      </w:r>
      <w:r w:rsidRPr="00164238">
        <w:rPr>
          <w:rFonts w:ascii="Times New Roman" w:hAnsi="Times New Roman" w:cs="Times New Roman"/>
          <w:color w:val="000000" w:themeColor="text1"/>
          <w:sz w:val="20"/>
          <w:szCs w:val="20"/>
          <w:shd w:val="clear" w:color="auto" w:fill="FFFFFF"/>
          <w:lang w:val="en-US"/>
        </w:rPr>
        <w:t xml:space="preserve"> </w:t>
      </w:r>
      <w:r w:rsidRPr="00164238">
        <w:rPr>
          <w:rFonts w:ascii="Times New Roman" w:hAnsi="Times New Roman" w:cs="Times New Roman"/>
          <w:color w:val="000000" w:themeColor="text1"/>
          <w:sz w:val="20"/>
          <w:szCs w:val="20"/>
          <w:lang w:val="en-US"/>
        </w:rPr>
        <w:t>On the other hand, supervisors do not devote much time to subordinates and show interest in them, who are outside the inner group, in other words, the “outer group” (Ergeneli, 2006, p. 229; Robbins &amp; Judge, 2013, p. 386).</w:t>
      </w:r>
      <w:r w:rsidRPr="00164238">
        <w:rPr>
          <w:rFonts w:ascii="Times New Roman" w:hAnsi="Times New Roman" w:cs="Times New Roman"/>
          <w:color w:val="000000" w:themeColor="text1"/>
          <w:sz w:val="20"/>
          <w:szCs w:val="20"/>
          <w:shd w:val="clear" w:color="auto" w:fill="FFFFFF"/>
          <w:lang w:val="en-US"/>
        </w:rPr>
        <w:t xml:space="preserve"> </w:t>
      </w:r>
      <w:r w:rsidRPr="00164238">
        <w:rPr>
          <w:rFonts w:ascii="Times New Roman" w:hAnsi="Times New Roman" w:cs="Times New Roman"/>
          <w:color w:val="000000" w:themeColor="text1"/>
          <w:sz w:val="20"/>
          <w:szCs w:val="20"/>
          <w:lang w:val="en-US"/>
        </w:rPr>
        <w:t>The quality of leader-member exchange in the inner group is higher than in the outer group (Liden et al., 1997).</w:t>
      </w:r>
    </w:p>
    <w:p w14:paraId="308AC5C6" w14:textId="77777777" w:rsidR="007F03EB" w:rsidRPr="00164238" w:rsidRDefault="007F03EB" w:rsidP="007F03EB">
      <w:pPr>
        <w:autoSpaceDE w:val="0"/>
        <w:autoSpaceDN w:val="0"/>
        <w:adjustRightInd w:val="0"/>
        <w:spacing w:before="120"/>
        <w:ind w:firstLine="708"/>
        <w:jc w:val="both"/>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color w:val="000000" w:themeColor="text1"/>
          <w:sz w:val="20"/>
          <w:szCs w:val="20"/>
          <w:shd w:val="clear" w:color="auto" w:fill="FFFFFF"/>
          <w:lang w:val="en-US"/>
        </w:rPr>
        <w:t xml:space="preserve">Leader-Member Exchange Theory analyzes the bilateral relationships between the leader and his/her followers, in other words the exchange (Gültekin, 2014, p. 31). </w:t>
      </w:r>
      <w:r w:rsidRPr="00164238">
        <w:rPr>
          <w:rFonts w:ascii="Times New Roman" w:hAnsi="Times New Roman" w:cs="Times New Roman"/>
          <w:color w:val="000000" w:themeColor="text1"/>
          <w:sz w:val="20"/>
          <w:szCs w:val="20"/>
          <w:lang w:val="en-US"/>
        </w:rPr>
        <w:t>Within the framework of this theory, bilateral relationships can be examined on the axis of leader-member exchange or supervisor-subordinate exchange according to the scope of the study (Özutku et al., 2008).</w:t>
      </w:r>
      <w:r w:rsidRPr="00164238">
        <w:rPr>
          <w:rFonts w:ascii="Times New Roman" w:hAnsi="Times New Roman" w:cs="Times New Roman"/>
          <w:color w:val="000000" w:themeColor="text1"/>
          <w:sz w:val="20"/>
          <w:szCs w:val="20"/>
          <w:shd w:val="clear" w:color="auto" w:fill="FFFFFF"/>
          <w:lang w:val="en-US"/>
        </w:rPr>
        <w:t xml:space="preserve"> Quality of leader (supervisor)-member (subordinate) exchange depends on the attributes, attitudes and behaviors of both leaders (supervisors) and followers (subordinates) (Ergeneli, 2006, p. 230; Gültekin, 2014, p. 33). </w:t>
      </w:r>
      <w:r w:rsidRPr="00164238">
        <w:rPr>
          <w:rFonts w:ascii="Times New Roman" w:hAnsi="Times New Roman" w:cs="Times New Roman"/>
          <w:color w:val="000000" w:themeColor="text1"/>
          <w:sz w:val="20"/>
          <w:szCs w:val="20"/>
          <w:lang w:val="en-US"/>
        </w:rPr>
        <w:t>Also, the quality level of this exchange can be calculated by the perceptions of both leaders (supervisors) and followers (subordinates) (Maslyn &amp; Uhl-Bien, 2001, p. 703).</w:t>
      </w:r>
      <w:r w:rsidRPr="00164238">
        <w:rPr>
          <w:rFonts w:ascii="Times New Roman" w:hAnsi="Times New Roman" w:cs="Times New Roman"/>
          <w:color w:val="000000" w:themeColor="text1"/>
          <w:sz w:val="20"/>
          <w:szCs w:val="20"/>
          <w:shd w:val="clear" w:color="auto" w:fill="FFFFFF"/>
          <w:lang w:val="en-US"/>
        </w:rPr>
        <w:t xml:space="preserve"> </w:t>
      </w:r>
      <w:r w:rsidRPr="00164238">
        <w:rPr>
          <w:rFonts w:ascii="Times New Roman" w:hAnsi="Times New Roman" w:cs="Times New Roman"/>
          <w:color w:val="000000" w:themeColor="text1"/>
          <w:sz w:val="20"/>
          <w:szCs w:val="20"/>
          <w:lang w:val="en-US"/>
        </w:rPr>
        <w:t>Within the scope of this study, the level of supervisor-subordinate exchange quality is determined by the perceptions of subordinates.</w:t>
      </w:r>
      <w:r w:rsidRPr="00164238">
        <w:rPr>
          <w:rFonts w:ascii="Times New Roman" w:hAnsi="Times New Roman" w:cs="Times New Roman"/>
          <w:color w:val="000000" w:themeColor="text1"/>
          <w:sz w:val="20"/>
          <w:szCs w:val="20"/>
          <w:shd w:val="clear" w:color="auto" w:fill="FFFFFF"/>
          <w:lang w:val="en-US"/>
        </w:rPr>
        <w:t xml:space="preserve"> </w:t>
      </w:r>
      <w:r w:rsidRPr="00164238">
        <w:rPr>
          <w:rFonts w:ascii="Times New Roman" w:hAnsi="Times New Roman" w:cs="Times New Roman"/>
          <w:color w:val="000000" w:themeColor="text1"/>
          <w:sz w:val="20"/>
          <w:szCs w:val="20"/>
          <w:lang w:val="en-US"/>
        </w:rPr>
        <w:t>Also, moving from the study conducted by Liden &amp; Maslyn (1998), the quality of leader-member exchange is considered as four dimensions.</w:t>
      </w:r>
      <w:r w:rsidRPr="00164238">
        <w:rPr>
          <w:rFonts w:ascii="Times New Roman" w:hAnsi="Times New Roman" w:cs="Times New Roman"/>
          <w:color w:val="000000" w:themeColor="text1"/>
          <w:sz w:val="20"/>
          <w:szCs w:val="20"/>
          <w:shd w:val="clear" w:color="auto" w:fill="FFFFFF"/>
          <w:lang w:val="en-US"/>
        </w:rPr>
        <w:t xml:space="preserve"> These dimensions can be explained as follows (Liden &amp; Maslyn, 1998, pp. 50-65):</w:t>
      </w:r>
    </w:p>
    <w:p w14:paraId="56D216C5" w14:textId="77777777" w:rsidR="007F03EB" w:rsidRPr="00164238" w:rsidRDefault="007F03EB" w:rsidP="007C3550">
      <w:pPr>
        <w:pStyle w:val="ListeParagraf"/>
        <w:numPr>
          <w:ilvl w:val="0"/>
          <w:numId w:val="35"/>
        </w:numPr>
        <w:autoSpaceDE w:val="0"/>
        <w:autoSpaceDN w:val="0"/>
        <w:adjustRightInd w:val="0"/>
        <w:spacing w:before="120" w:after="0" w:line="240" w:lineRule="auto"/>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shd w:val="clear" w:color="auto" w:fill="FFFFFF"/>
          <w:lang w:val="en-US"/>
        </w:rPr>
        <w:t xml:space="preserve">Affect: </w:t>
      </w:r>
      <w:r w:rsidRPr="00164238">
        <w:rPr>
          <w:rFonts w:ascii="Times New Roman" w:hAnsi="Times New Roman" w:cs="Times New Roman"/>
          <w:color w:val="000000" w:themeColor="text1"/>
          <w:sz w:val="20"/>
          <w:szCs w:val="20"/>
          <w:lang w:val="en-US"/>
        </w:rPr>
        <w:t>It is the degree of emotional affinity that the leader (supervisor) and the follower (subordinate) feel towards each other, regardless of business or professional values.</w:t>
      </w:r>
    </w:p>
    <w:p w14:paraId="54C0553D" w14:textId="77777777" w:rsidR="007F03EB" w:rsidRPr="00164238" w:rsidRDefault="007F03EB" w:rsidP="007C3550">
      <w:pPr>
        <w:pStyle w:val="ListeParagraf"/>
        <w:numPr>
          <w:ilvl w:val="0"/>
          <w:numId w:val="35"/>
        </w:numPr>
        <w:autoSpaceDE w:val="0"/>
        <w:autoSpaceDN w:val="0"/>
        <w:adjustRightInd w:val="0"/>
        <w:spacing w:before="120" w:after="0" w:line="240" w:lineRule="auto"/>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shd w:val="clear" w:color="auto" w:fill="FFFFFF"/>
          <w:lang w:val="en-US"/>
        </w:rPr>
        <w:t xml:space="preserve">Loyalty: </w:t>
      </w:r>
      <w:r w:rsidRPr="00164238">
        <w:rPr>
          <w:rFonts w:ascii="Times New Roman" w:hAnsi="Times New Roman" w:cs="Times New Roman"/>
          <w:color w:val="000000" w:themeColor="text1"/>
          <w:sz w:val="20"/>
          <w:szCs w:val="20"/>
          <w:lang w:val="en-US"/>
        </w:rPr>
        <w:t>It presents how loyal the leader (supervisor) and the follower (subordinate) are to each other.</w:t>
      </w:r>
    </w:p>
    <w:p w14:paraId="7192DE8C" w14:textId="77777777" w:rsidR="007F03EB" w:rsidRPr="00164238" w:rsidRDefault="007F03EB" w:rsidP="007C3550">
      <w:pPr>
        <w:pStyle w:val="ListeParagraf"/>
        <w:numPr>
          <w:ilvl w:val="0"/>
          <w:numId w:val="35"/>
        </w:numPr>
        <w:autoSpaceDE w:val="0"/>
        <w:autoSpaceDN w:val="0"/>
        <w:adjustRightInd w:val="0"/>
        <w:spacing w:before="120" w:after="0" w:line="240" w:lineRule="auto"/>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shd w:val="clear" w:color="auto" w:fill="FFFFFF"/>
          <w:lang w:val="en-US"/>
        </w:rPr>
        <w:t xml:space="preserve">Contribution: </w:t>
      </w:r>
      <w:r w:rsidRPr="00164238">
        <w:rPr>
          <w:rFonts w:ascii="Times New Roman" w:hAnsi="Times New Roman" w:cs="Times New Roman"/>
          <w:color w:val="000000" w:themeColor="text1"/>
          <w:sz w:val="20"/>
          <w:szCs w:val="20"/>
          <w:lang w:val="en-US"/>
        </w:rPr>
        <w:t>If the leader (supervisor) finds the performance of the follower (subordinate) better than the performance of the other followers (subordinates), he/she provides more organizational resources to that follower (subordinate) than to other followers (subordinates).</w:t>
      </w:r>
      <w:r w:rsidRPr="00164238">
        <w:rPr>
          <w:rFonts w:ascii="Times New Roman" w:hAnsi="Times New Roman" w:cs="Times New Roman"/>
          <w:color w:val="000000" w:themeColor="text1"/>
          <w:sz w:val="20"/>
          <w:szCs w:val="20"/>
          <w:shd w:val="clear" w:color="auto" w:fill="FFFFFF"/>
          <w:lang w:val="en-US"/>
        </w:rPr>
        <w:t xml:space="preserve"> </w:t>
      </w:r>
    </w:p>
    <w:p w14:paraId="2A709573" w14:textId="77777777" w:rsidR="007F03EB" w:rsidRPr="00164238" w:rsidRDefault="007F03EB" w:rsidP="007C3550">
      <w:pPr>
        <w:pStyle w:val="ListeParagraf"/>
        <w:numPr>
          <w:ilvl w:val="0"/>
          <w:numId w:val="35"/>
        </w:numPr>
        <w:autoSpaceDE w:val="0"/>
        <w:autoSpaceDN w:val="0"/>
        <w:adjustRightInd w:val="0"/>
        <w:spacing w:before="120" w:after="0" w:line="240" w:lineRule="auto"/>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shd w:val="clear" w:color="auto" w:fill="FFFFFF"/>
          <w:lang w:val="en-US"/>
        </w:rPr>
        <w:t xml:space="preserve">Professional Respect: </w:t>
      </w:r>
      <w:r w:rsidRPr="00164238">
        <w:rPr>
          <w:rFonts w:ascii="Times New Roman" w:hAnsi="Times New Roman" w:cs="Times New Roman"/>
          <w:color w:val="000000" w:themeColor="text1"/>
          <w:sz w:val="20"/>
          <w:szCs w:val="20"/>
          <w:lang w:val="en-US"/>
        </w:rPr>
        <w:t>It is a perception regarding the reputation of the leader (supervisor) and the follower (subordinate) within and outside the organization in the context of the work they perform.</w:t>
      </w:r>
      <w:r w:rsidRPr="00164238">
        <w:rPr>
          <w:rFonts w:ascii="Times New Roman" w:hAnsi="Times New Roman" w:cs="Times New Roman"/>
          <w:color w:val="000000" w:themeColor="text1"/>
          <w:sz w:val="20"/>
          <w:szCs w:val="20"/>
          <w:shd w:val="clear" w:color="auto" w:fill="FFFFFF"/>
          <w:lang w:val="en-US"/>
        </w:rPr>
        <w:t xml:space="preserve"> </w:t>
      </w:r>
    </w:p>
    <w:p w14:paraId="3C222888" w14:textId="77777777" w:rsidR="007F03EB" w:rsidRPr="00164238" w:rsidRDefault="007F03EB" w:rsidP="007F03EB">
      <w:pPr>
        <w:spacing w:before="120"/>
        <w:ind w:firstLine="708"/>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 xml:space="preserve">According to the results of the meta-analysis carried out by Dulebohn et al. (2012), both transformational leadership style and dimension of contingent reward of transactional leadership style are positive predictors of leader (supervisor)-member (subordinate) exchange quality. According to the empirical studies in the literature, there are significant and positive correlations between supervisors’ affiliative humor (Pundt &amp; Herrmann, 2015), ethical leadership style (Walumbwa et al., 2011), benevolent leadership style (Kaygısızel, 2015; Lin et al., 2018), dimension of contingent reward of transactional leadership style (Lee &amp; Wei, 2008; Turunc et al., 2010), authentic leadership style (Hirst et al., 2016; Tzinerr &amp; Barsheshet-Picke, 2014; Wherry, 2012; Yang &amp; Kwon, 2015), servant leadership style (Dal &amp; Çorbacıoğlu, 2014; Özgen, 2020; Uğurluoğlu et al., 2015; Yeter, 2019), transformational leadership style (Lee &amp; Wei, 2008; Molines et al., 2020; Söylemez, 2019; Turunc et al., 2010; Wang et al., 2005), </w:t>
      </w:r>
      <w:r w:rsidRPr="00164238">
        <w:rPr>
          <w:rFonts w:ascii="Times New Roman" w:hAnsi="Times New Roman" w:cs="Times New Roman"/>
          <w:color w:val="000000" w:themeColor="text1"/>
          <w:sz w:val="20"/>
          <w:szCs w:val="20"/>
          <w:lang w:val="en-US"/>
        </w:rPr>
        <w:lastRenderedPageBreak/>
        <w:t>individualized consideration, idealized influence, inspirational motivation and intellectual stimulation dimensions of transformational leadership style (Zacher et al., 2014), and leader (supervisor)-member (subordinate) exchange quality. Despite that, there are significant and negative correlations between supervisors’ narcissism (Huang et al., 2020), aggressive humor (Pundt &amp; Herrmann, 2015), abusive supervision style (Xu et al., 2015), authoritarian leadership style (Kaygısızel, 2015; Wang et al., 2019), despotic leadership style (Naseer et al., 2016) and laissez-faire leadership style (Lee &amp; Wei, 2008), and leader (supervisor)-member (subordinate) exchange quality. Also, supervisors’ affiliative humor (Pundt &amp; Herrmann, 2015), ethical leadership style (Walumbwa et al., 2011), benevolent leadership style (Kaygısızel, 2015; Lin et al., 2018), authentic leadership style (Hirst et al., 2016), servant leadership style (Kır, 2017; Özgen, 2020; Uğurluoğlu et al., 2015; Yeter, 2019), dimension of contingent reward of transactional leadership style (Lee &amp; Wei, 2008; Turunc et al., 2010), transformational leadership style (Lee &amp; Wei, 2008; Molines et al., 2020; Söylemez, 2019; Turunc et al., 2010; Wang et al., 2005), individualized consideration and idealized influence dimensions of transformational leadership style (Zacher et al., 2014) affect the quality of leader (supervisor)-member (subordinate) exchange in a significant and positive way. Despite that, supervisors’ aggressive humor (Pundt &amp; Herrmann, 2015), narcissism (Huang et al., 2020), authoritarian leadership style (Kaygısızel, 2015; Wang et al., 2019) and laissez-faire leadership style (Lee &amp; Wei, 2008) affect the quality of leader (supervisor)-member (subordinate) exchange in a significant and negative way.</w:t>
      </w:r>
    </w:p>
    <w:p w14:paraId="0579B563" w14:textId="77777777" w:rsidR="007F03EB" w:rsidRPr="00164238" w:rsidRDefault="007F03EB" w:rsidP="007F03EB">
      <w:pPr>
        <w:spacing w:before="120"/>
        <w:ind w:firstLine="708"/>
        <w:jc w:val="both"/>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color w:val="000000" w:themeColor="text1"/>
          <w:sz w:val="20"/>
          <w:szCs w:val="20"/>
          <w:shd w:val="clear" w:color="auto" w:fill="FFFFFF"/>
          <w:lang w:val="en-US"/>
        </w:rPr>
        <w:t>Results of the empirical studies in the literature statistically present that dark leadership types/behaviors (e.g.: aggressive humor, narcissism, the styles of authoritarian leadership and laissez-faire leadership) are negative predictors of leader (supervisor)-member (subordinate) exchange quality, while light leadership types/behaviors (e.g.: affiliative humor, the styles of ethical leadership, benevolent leadership, authentic leadership, servant leadership and transformational leadership, and the dimension of contingent reward of transactional leadership style) are positive predictors of leader (supervisor)-member (subordinate) exchange quality.</w:t>
      </w:r>
    </w:p>
    <w:p w14:paraId="2930517C" w14:textId="77777777" w:rsidR="007F03EB" w:rsidRPr="00164238" w:rsidRDefault="007F03EB" w:rsidP="007F03EB">
      <w:pPr>
        <w:spacing w:before="120"/>
        <w:ind w:firstLine="708"/>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shd w:val="clear" w:color="auto" w:fill="FFFFFF"/>
          <w:lang w:val="en-US"/>
        </w:rPr>
        <w:t>Within the framework of this study, it is assumed that the perception reflects the reality. Considering the fact that electronic leadership is evaluated within the scope of light leadership (Taş et al., 2020b) and virtual technology competence is the basic facet of electronic leadership (Tekinay, 2015) in addition to empirical studies in the literature, it is expected that the level of supervisor-subordinate exchange quality will rise when supervisor’s virtual technology competency level increases.</w:t>
      </w:r>
    </w:p>
    <w:p w14:paraId="10DE4E52" w14:textId="632BC0AA" w:rsidR="007F03EB" w:rsidRPr="00164238" w:rsidRDefault="007F03EB" w:rsidP="007F03EB">
      <w:pPr>
        <w:spacing w:before="120"/>
        <w:ind w:firstLine="708"/>
        <w:jc w:val="both"/>
        <w:rPr>
          <w:rFonts w:ascii="Times New Roman" w:eastAsia="Times New Roman" w:hAnsi="Times New Roman" w:cs="Times New Roman"/>
          <w:b/>
          <w:bCs/>
          <w:color w:val="000000" w:themeColor="text1"/>
          <w:sz w:val="20"/>
          <w:szCs w:val="20"/>
          <w:shd w:val="clear" w:color="auto" w:fill="FFFFFF"/>
          <w:lang w:val="en-US" w:eastAsia="tr-TR"/>
        </w:rPr>
      </w:pPr>
      <w:r w:rsidRPr="00164238">
        <w:rPr>
          <w:rFonts w:ascii="Times New Roman" w:eastAsia="Times New Roman" w:hAnsi="Times New Roman" w:cs="Times New Roman"/>
          <w:b/>
          <w:bCs/>
          <w:color w:val="000000" w:themeColor="text1"/>
          <w:sz w:val="20"/>
          <w:szCs w:val="20"/>
          <w:shd w:val="clear" w:color="auto" w:fill="FFFFFF"/>
          <w:lang w:val="en-US" w:eastAsia="tr-TR"/>
        </w:rPr>
        <w:t>Research Model</w:t>
      </w:r>
    </w:p>
    <w:p w14:paraId="3B6F6ADE" w14:textId="77777777" w:rsidR="007F03EB" w:rsidRPr="00164238" w:rsidRDefault="007F03EB" w:rsidP="007F03EB">
      <w:pPr>
        <w:autoSpaceDE w:val="0"/>
        <w:autoSpaceDN w:val="0"/>
        <w:adjustRightInd w:val="0"/>
        <w:spacing w:before="120"/>
        <w:ind w:firstLine="708"/>
        <w:jc w:val="both"/>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color w:val="000000" w:themeColor="text1"/>
          <w:sz w:val="20"/>
          <w:szCs w:val="20"/>
          <w:shd w:val="clear" w:color="auto" w:fill="FFFFFF"/>
          <w:lang w:val="en-US"/>
        </w:rPr>
        <w:t>In the light of all of this information, research model of the study was established as shown in Figure 1 and its hypothesis was developed.</w:t>
      </w:r>
    </w:p>
    <w:p w14:paraId="3C63A0A3" w14:textId="77777777" w:rsidR="007F03EB" w:rsidRPr="00164238" w:rsidRDefault="007F03EB" w:rsidP="007F03EB">
      <w:pPr>
        <w:spacing w:before="120"/>
        <w:jc w:val="both"/>
        <w:rPr>
          <w:rFonts w:ascii="Times New Roman" w:eastAsia="Times New Roman" w:hAnsi="Times New Roman" w:cs="Times New Roman"/>
          <w:b/>
          <w:bCs/>
          <w:color w:val="000000" w:themeColor="text1"/>
          <w:sz w:val="20"/>
          <w:szCs w:val="20"/>
          <w:shd w:val="clear" w:color="auto" w:fill="FFFFFF"/>
          <w:lang w:val="en-US" w:eastAsia="tr-TR"/>
        </w:rPr>
      </w:pPr>
      <w:r w:rsidRPr="00164238">
        <w:rPr>
          <w:rFonts w:ascii="Times New Roman" w:eastAsia="Times New Roman" w:hAnsi="Times New Roman" w:cs="Times New Roman"/>
          <w:b/>
          <w:bCs/>
          <w:color w:val="000000" w:themeColor="text1"/>
          <w:sz w:val="20"/>
          <w:szCs w:val="20"/>
          <w:shd w:val="clear" w:color="auto" w:fill="FFFFFF"/>
          <w:lang w:val="en-US" w:eastAsia="tr-TR"/>
        </w:rPr>
        <w:t>Figure 1</w:t>
      </w:r>
    </w:p>
    <w:p w14:paraId="55166CD3" w14:textId="77777777" w:rsidR="007F03EB" w:rsidRPr="00164238" w:rsidRDefault="007F03EB" w:rsidP="007F03EB">
      <w:pPr>
        <w:spacing w:before="120"/>
        <w:jc w:val="both"/>
        <w:rPr>
          <w:rFonts w:ascii="Times New Roman" w:eastAsia="Times New Roman" w:hAnsi="Times New Roman" w:cs="Times New Roman"/>
          <w:b/>
          <w:bCs/>
          <w:color w:val="000000" w:themeColor="text1"/>
          <w:sz w:val="20"/>
          <w:szCs w:val="20"/>
          <w:shd w:val="clear" w:color="auto" w:fill="FFFFFF"/>
          <w:lang w:val="en-US" w:eastAsia="tr-TR"/>
        </w:rPr>
      </w:pPr>
      <w:r w:rsidRPr="00164238">
        <w:rPr>
          <w:rFonts w:ascii="Times New Roman" w:eastAsia="Times New Roman" w:hAnsi="Times New Roman" w:cs="Times New Roman"/>
          <w:bCs/>
          <w:i/>
          <w:color w:val="000000" w:themeColor="text1"/>
          <w:sz w:val="20"/>
          <w:szCs w:val="20"/>
          <w:shd w:val="clear" w:color="auto" w:fill="FFFFFF"/>
          <w:lang w:val="en-US" w:eastAsia="tr-TR"/>
        </w:rPr>
        <w:t>The Research Model of the Study</w:t>
      </w:r>
    </w:p>
    <w:p w14:paraId="5859ABCC" w14:textId="37A0574F" w:rsidR="007F03EB" w:rsidRPr="00164238" w:rsidRDefault="007F03EB" w:rsidP="007F03EB">
      <w:pPr>
        <w:spacing w:before="120"/>
        <w:jc w:val="both"/>
        <w:rPr>
          <w:rFonts w:ascii="Times New Roman" w:eastAsia="Times New Roman" w:hAnsi="Times New Roman" w:cs="Times New Roman"/>
          <w:bCs/>
          <w:i/>
          <w:color w:val="000000" w:themeColor="text1"/>
          <w:sz w:val="20"/>
          <w:szCs w:val="20"/>
          <w:shd w:val="clear" w:color="auto" w:fill="FFFFFF"/>
          <w:lang w:val="en-US" w:eastAsia="tr-TR"/>
        </w:rPr>
      </w:pPr>
      <w:r w:rsidRPr="00164238">
        <w:rPr>
          <w:rFonts w:ascii="Times New Roman" w:hAnsi="Times New Roman" w:cs="Times New Roman"/>
          <w:noProof/>
          <w:color w:val="000000" w:themeColor="text1"/>
          <w:sz w:val="20"/>
          <w:szCs w:val="20"/>
          <w:lang w:val="en-US"/>
        </w:rPr>
        <mc:AlternateContent>
          <mc:Choice Requires="wpc">
            <w:drawing>
              <wp:inline distT="0" distB="0" distL="0" distR="0" wp14:anchorId="1A8AEB84" wp14:editId="5AC14BA6">
                <wp:extent cx="5829300" cy="1264920"/>
                <wp:effectExtent l="0" t="0" r="0" b="0"/>
                <wp:docPr id="121" name="Tuval 12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18" name="Text Box 11"/>
                        <wps:cNvSpPr txBox="1">
                          <a:spLocks noChangeArrowheads="1"/>
                        </wps:cNvSpPr>
                        <wps:spPr bwMode="auto">
                          <a:xfrm>
                            <a:off x="30400" y="413907"/>
                            <a:ext cx="2137400" cy="710043"/>
                          </a:xfrm>
                          <a:prstGeom prst="rect">
                            <a:avLst/>
                          </a:prstGeom>
                          <a:solidFill>
                            <a:schemeClr val="lt1">
                              <a:lumMod val="100000"/>
                              <a:lumOff val="0"/>
                            </a:schemeClr>
                          </a:solidFill>
                          <a:ln w="6350">
                            <a:solidFill>
                              <a:srgbClr val="000000"/>
                            </a:solidFill>
                            <a:miter lim="800000"/>
                            <a:headEnd/>
                            <a:tailEnd/>
                          </a:ln>
                        </wps:spPr>
                        <wps:txbx>
                          <w:txbxContent>
                            <w:p w14:paraId="3ECA62C6" w14:textId="77777777" w:rsidR="003B6DB3" w:rsidRDefault="003B6DB3" w:rsidP="007F03EB">
                              <w:pPr>
                                <w:spacing w:line="240" w:lineRule="atLeast"/>
                                <w:jc w:val="center"/>
                                <w:rPr>
                                  <w:rFonts w:ascii="Times New Roman" w:hAnsi="Times New Roman" w:cs="Times New Roman"/>
                                  <w:b/>
                                </w:rPr>
                              </w:pPr>
                              <w:r>
                                <w:rPr>
                                  <w:rFonts w:ascii="Times New Roman" w:hAnsi="Times New Roman" w:cs="Times New Roman"/>
                                  <w:b/>
                                </w:rPr>
                                <w:t xml:space="preserve">Supervisors’ Virtual Technology </w:t>
                              </w:r>
                            </w:p>
                            <w:p w14:paraId="753C23E1" w14:textId="77777777" w:rsidR="003B6DB3" w:rsidRDefault="003B6DB3" w:rsidP="007F03EB">
                              <w:pPr>
                                <w:spacing w:line="240" w:lineRule="atLeast"/>
                                <w:jc w:val="center"/>
                                <w:rPr>
                                  <w:rFonts w:ascii="Times New Roman" w:hAnsi="Times New Roman" w:cs="Times New Roman"/>
                                  <w:b/>
                                </w:rPr>
                              </w:pPr>
                              <w:r>
                                <w:rPr>
                                  <w:rFonts w:ascii="Times New Roman" w:hAnsi="Times New Roman" w:cs="Times New Roman"/>
                                  <w:b/>
                                </w:rPr>
                                <w:t xml:space="preserve">Competence </w:t>
                              </w:r>
                            </w:p>
                          </w:txbxContent>
                        </wps:txbx>
                        <wps:bodyPr rot="0" vert="horz" wrap="none" lIns="91440" tIns="45720" rIns="91440" bIns="45720" anchor="t" anchorCtr="0" upright="1">
                          <a:noAutofit/>
                        </wps:bodyPr>
                      </wps:wsp>
                      <wps:wsp>
                        <wps:cNvPr id="119" name="Text Box 11"/>
                        <wps:cNvSpPr txBox="1">
                          <a:spLocks noChangeArrowheads="1"/>
                        </wps:cNvSpPr>
                        <wps:spPr bwMode="auto">
                          <a:xfrm>
                            <a:off x="2567900" y="74501"/>
                            <a:ext cx="3147100" cy="1106617"/>
                          </a:xfrm>
                          <a:prstGeom prst="rect">
                            <a:avLst/>
                          </a:prstGeom>
                          <a:solidFill>
                            <a:srgbClr val="FFFFFF"/>
                          </a:solidFill>
                          <a:ln w="6350">
                            <a:solidFill>
                              <a:srgbClr val="000000"/>
                            </a:solidFill>
                            <a:miter lim="800000"/>
                            <a:headEnd/>
                            <a:tailEnd/>
                          </a:ln>
                        </wps:spPr>
                        <wps:txbx>
                          <w:txbxContent>
                            <w:p w14:paraId="75CFCE6C" w14:textId="77777777" w:rsidR="003B6DB3" w:rsidRDefault="003B6DB3" w:rsidP="007F03EB">
                              <w:pPr>
                                <w:pStyle w:val="NormalWeb"/>
                                <w:spacing w:before="0" w:beforeAutospacing="0" w:after="0" w:afterAutospacing="0" w:line="0" w:lineRule="atLeast"/>
                                <w:rPr>
                                  <w:rFonts w:eastAsia="Calibri"/>
                                  <w:b/>
                                  <w:bCs/>
                                  <w:sz w:val="22"/>
                                  <w:szCs w:val="20"/>
                                </w:rPr>
                              </w:pPr>
                              <w:r>
                                <w:rPr>
                                  <w:rFonts w:eastAsia="Calibri"/>
                                  <w:b/>
                                  <w:bCs/>
                                  <w:sz w:val="22"/>
                                  <w:szCs w:val="20"/>
                                </w:rPr>
                                <w:t>The Quality of Supervisor-Subordinate Exchange</w:t>
                              </w:r>
                            </w:p>
                            <w:p w14:paraId="402EEBBD" w14:textId="77777777" w:rsidR="003B6DB3" w:rsidRDefault="003B6DB3" w:rsidP="007F03EB">
                              <w:pPr>
                                <w:pStyle w:val="NormalWeb"/>
                                <w:spacing w:before="0" w:beforeAutospacing="0" w:after="0" w:afterAutospacing="0" w:line="0" w:lineRule="atLeast"/>
                                <w:rPr>
                                  <w:rFonts w:eastAsia="Calibri"/>
                                  <w:b/>
                                  <w:bCs/>
                                  <w:sz w:val="22"/>
                                  <w:szCs w:val="20"/>
                                </w:rPr>
                              </w:pPr>
                            </w:p>
                            <w:p w14:paraId="631677B7" w14:textId="77777777" w:rsidR="003B6DB3" w:rsidRDefault="003B6DB3" w:rsidP="007F03EB">
                              <w:pPr>
                                <w:pStyle w:val="NormalWeb"/>
                                <w:spacing w:before="0" w:beforeAutospacing="0" w:after="0" w:afterAutospacing="0" w:line="0" w:lineRule="atLeast"/>
                                <w:rPr>
                                  <w:sz w:val="22"/>
                                </w:rPr>
                              </w:pPr>
                              <w:r>
                                <w:rPr>
                                  <w:sz w:val="22"/>
                                </w:rPr>
                                <w:t>Affect</w:t>
                              </w:r>
                            </w:p>
                            <w:p w14:paraId="6FFBA150" w14:textId="77777777" w:rsidR="003B6DB3" w:rsidRDefault="003B6DB3" w:rsidP="007F03EB">
                              <w:pPr>
                                <w:pStyle w:val="NormalWeb"/>
                                <w:spacing w:before="0" w:beforeAutospacing="0" w:after="0" w:afterAutospacing="0" w:line="0" w:lineRule="atLeast"/>
                                <w:rPr>
                                  <w:sz w:val="22"/>
                                </w:rPr>
                              </w:pPr>
                              <w:r>
                                <w:rPr>
                                  <w:sz w:val="22"/>
                                </w:rPr>
                                <w:t>Loyalty</w:t>
                              </w:r>
                            </w:p>
                            <w:p w14:paraId="2368613E" w14:textId="77777777" w:rsidR="003B6DB3" w:rsidRDefault="003B6DB3" w:rsidP="007F03EB">
                              <w:pPr>
                                <w:pStyle w:val="NormalWeb"/>
                                <w:spacing w:before="0" w:beforeAutospacing="0" w:after="0" w:afterAutospacing="0" w:line="0" w:lineRule="atLeast"/>
                                <w:rPr>
                                  <w:sz w:val="22"/>
                                </w:rPr>
                              </w:pPr>
                              <w:r>
                                <w:rPr>
                                  <w:sz w:val="22"/>
                                </w:rPr>
                                <w:t xml:space="preserve">Contribution </w:t>
                              </w:r>
                            </w:p>
                            <w:p w14:paraId="76673FA4" w14:textId="77777777" w:rsidR="003B6DB3" w:rsidRDefault="003B6DB3" w:rsidP="007F03EB">
                              <w:pPr>
                                <w:pStyle w:val="NormalWeb"/>
                                <w:spacing w:before="0" w:beforeAutospacing="0" w:after="0" w:afterAutospacing="0" w:line="0" w:lineRule="atLeast"/>
                                <w:rPr>
                                  <w:sz w:val="22"/>
                                </w:rPr>
                              </w:pPr>
                              <w:r>
                                <w:rPr>
                                  <w:sz w:val="22"/>
                                </w:rPr>
                                <w:t>Professional Respect</w:t>
                              </w:r>
                            </w:p>
                          </w:txbxContent>
                        </wps:txbx>
                        <wps:bodyPr rot="0" vert="horz" wrap="none" lIns="91440" tIns="45720" rIns="91440" bIns="45720" anchor="t" anchorCtr="0" upright="1">
                          <a:noAutofit/>
                        </wps:bodyPr>
                      </wps:wsp>
                      <wps:wsp>
                        <wps:cNvPr id="120" name="Straight Arrow Connector 10"/>
                        <wps:cNvCnPr>
                          <a:cxnSpLocks noChangeShapeType="1"/>
                          <a:stCxn id="118" idx="3"/>
                          <a:endCxn id="118" idx="1"/>
                        </wps:cNvCnPr>
                        <wps:spPr bwMode="auto">
                          <a:xfrm flipH="1">
                            <a:off x="30400" y="768929"/>
                            <a:ext cx="2137400" cy="0"/>
                          </a:xfrm>
                          <a:prstGeom prst="straightConnector1">
                            <a:avLst/>
                          </a:prstGeom>
                          <a:noFill/>
                          <a:ln w="12700">
                            <a:solidFill>
                              <a:schemeClr val="dk1">
                                <a:lumMod val="100000"/>
                                <a:lumOff val="0"/>
                              </a:schemeClr>
                            </a:solidFill>
                            <a:miter lim="800000"/>
                            <a:headEnd/>
                            <a:tailEnd type="arrow"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1A8AEB84" id="Tuval 121" o:spid="_x0000_s1053" editas="canvas" style="width:459pt;height:99.6pt;mso-position-horizontal-relative:char;mso-position-vertical-relative:line" coordsize="58293,12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D4augMAAGMLAAAOAAAAZHJzL2Uyb0RvYy54bWzsVt1u2zYUvh+wdyB470iUZcsWohSpHHcD&#10;urVAsgegJcoiKpECyVjKir57D0lJcZoFK7Zg6MV8IVMkdf7P953LN0PboBNTmkuRYXIRYsREIUsu&#10;jhn+426/2GCkDRUlbaRgGX5gGr+5+vmny75LWSRr2ZRMIRAidNp3Ga6N6dIg0EXNWqovZMcEHFZS&#10;tdTAqzoGpaI9SG+bIArDddBLVXZKFkxr2N35Q3zl5FcVK8yHqtLMoCbDYJtxT+WeB/sMri5pelS0&#10;q3kxmkH/gRUt5QKUzqJ21FB0r/gzUS0vlNSyMheFbANZVbxgzgfwhoTfeJNTcaLaOVNAdCYDYfWK&#10;cg9Ha7eQe940EI0ApKd2z/73kB8Gm30H2dHdnCf97/Tf1rRjzi2dFr+fPirESygeArUiaAtVcscG&#10;g97KARFiM2TVw73bDm6aAfbhsou27t7L4pNGQuY1FUd2rZTsa0ZLMNB9Cd7Mn3o52go59L/JEvTQ&#10;eyOdoKFSrQ0DJASB9GUYh1AtDxmOyXIbJr5MrFEFnEZkmbjzAi4kJAzjpb0Q0HQS0ylt3jHZIrvI&#10;sIIydGro6b02/up0xWrVsuGljb97saXP8kahE4WibYx3tblvwWa/Byrh542Cfahwv++2wAzXPVaE&#10;M+qJ9EagPsPr5Sr0AXyiWR0Ps16nYhZ4fq3lBlq24W2GN2eG2LDfiBK8o6mhvPFrsKYRrqp0akPv&#10;k2CGw+ByHsVTfg+yfIDMKOlbFCAFFrVUf2LUQ3tmWAB+YNT8KiC3WxLHtpvdS7xKInhR5yeH8xMq&#10;ChCUYYORX+bGI8B9p/ixBj0+xEJeQz1U3GXIFo63abQe6v8/a4Ttj9II0WqdbMdWSOJV6JqKplMn&#10;LEls6x8j2wmEhOs1cb3yWq1wXpB79xsb7Yeu6dX/NQ3gMiLvBO62RT243xpFbdshh9Yol0IAPkqF&#10;iIOb8btcWLCgaTGI229Q3tHH3UMHAD7Wozb5IB5JhJcWwz0+MlE+P3vCDV6TVfsyN6Cq4d0vE1A8&#10;Y4lkvdlG21HhX7HEBKQvEIQeQzLHwgPSC3Qxc7XFVgvnJEqgCf+OScpPr8ok308DyLhcUUvOgOYZ&#10;blkJSM5gYLQrz4eWJRywAEOOKz9Afd6G25vNzSZexNH6ZhGHu93iep/Hi/WeJKvdcpfnO/LFek/i&#10;tOZlyYSl0mmYI/H3zSrjWOnHsHmcm0MdPJXuiBVQcPp3Rrth45HkPHtY72xtOfpwwxUMVu6zceq0&#10;o+L5u7v/OBtffQUAAP//AwBQSwMEFAAGAAgAAAAhAGMXZP/cAAAABQEAAA8AAABkcnMvZG93bnJl&#10;di54bWxMj0FLw0AQhe+C/2EZwUuxu61QmphNKYLgQYutgj1Os2MSzM6G7LaN/97Ri14GHu/x5nvF&#10;avSdOtEQ28AWZlMDirgKruXawtvrw80SVEzIDrvAZOGLIqzKy4sCcxfOvKXTLtVKSjjmaKFJqc+1&#10;jlVDHuM09MTifYTBYxI51NoNeJZy3+m5MQvtsWX50GBP9w1Vn7ujl5Zssp5s3vnxeTM+VYvt3tzu&#10;X4y111fj+g5UojH9heEHX9ChFKZDOLKLqrMgQ9LvFS+bLUUeJJRlc9Blof/Tl98AAAD//wMAUEsB&#10;Ai0AFAAGAAgAAAAhALaDOJL+AAAA4QEAABMAAAAAAAAAAAAAAAAAAAAAAFtDb250ZW50X1R5cGVz&#10;XS54bWxQSwECLQAUAAYACAAAACEAOP0h/9YAAACUAQAACwAAAAAAAAAAAAAAAAAvAQAAX3JlbHMv&#10;LnJlbHNQSwECLQAUAAYACAAAACEAO4A+GroDAABjCwAADgAAAAAAAAAAAAAAAAAuAgAAZHJzL2Uy&#10;b0RvYy54bWxQSwECLQAUAAYACAAAACEAYxdk/9wAAAAFAQAADwAAAAAAAAAAAAAAAAAUBgAAZHJz&#10;L2Rvd25yZXYueG1sUEsFBgAAAAAEAAQA8wAAAB0HAAAAAA==&#10;">
                <v:shape id="_x0000_s1054" type="#_x0000_t75" style="position:absolute;width:58293;height:12649;visibility:visible;mso-wrap-style:square">
                  <v:fill o:detectmouseclick="t"/>
                  <v:path o:connecttype="none"/>
                </v:shape>
                <v:shape id="Text Box 11" o:spid="_x0000_s1055" type="#_x0000_t202" style="position:absolute;left:304;top:4139;width:21374;height:710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SDZxgAAANwAAAAPAAAAZHJzL2Rvd25yZXYueG1sRI9Pa8JA&#10;EMXvBb/DMoXe6iaKIqlrKKJQKJQaBXscs5M/mJ0N2a2m375zKPQ2w3vz3m/W+eg6daMhtJ4NpNME&#10;FHHpbcu1gdNx/7wCFSKyxc4zGfihAPlm8rDGzPo7H+hWxFpJCIcMDTQx9pnWoWzIYZj6nli0yg8O&#10;o6xDre2Adwl3nZ4lyVI7bFkaGuxp21B5Lb6dgY/t0i/ml3FV7T7f/aGu5vprcTbm6XF8fQEVaYz/&#10;5r/rNyv4qdDKMzKB3vwCAAD//wMAUEsBAi0AFAAGAAgAAAAhANvh9svuAAAAhQEAABMAAAAAAAAA&#10;AAAAAAAAAAAAAFtDb250ZW50X1R5cGVzXS54bWxQSwECLQAUAAYACAAAACEAWvQsW78AAAAVAQAA&#10;CwAAAAAAAAAAAAAAAAAfAQAAX3JlbHMvLnJlbHNQSwECLQAUAAYACAAAACEAJUEg2cYAAADcAAAA&#10;DwAAAAAAAAAAAAAAAAAHAgAAZHJzL2Rvd25yZXYueG1sUEsFBgAAAAADAAMAtwAAAPoCAAAAAA==&#10;" fillcolor="white [3201]" strokeweight=".5pt">
                  <v:textbox>
                    <w:txbxContent>
                      <w:p w14:paraId="3ECA62C6" w14:textId="77777777" w:rsidR="003B6DB3" w:rsidRDefault="003B6DB3" w:rsidP="007F03EB">
                        <w:pPr>
                          <w:spacing w:line="240" w:lineRule="atLeast"/>
                          <w:jc w:val="center"/>
                          <w:rPr>
                            <w:rFonts w:ascii="Times New Roman" w:hAnsi="Times New Roman" w:cs="Times New Roman"/>
                            <w:b/>
                          </w:rPr>
                        </w:pPr>
                        <w:r>
                          <w:rPr>
                            <w:rFonts w:ascii="Times New Roman" w:hAnsi="Times New Roman" w:cs="Times New Roman"/>
                            <w:b/>
                          </w:rPr>
                          <w:t xml:space="preserve">Supervisors’ Virtual Technology </w:t>
                        </w:r>
                      </w:p>
                      <w:p w14:paraId="753C23E1" w14:textId="77777777" w:rsidR="003B6DB3" w:rsidRDefault="003B6DB3" w:rsidP="007F03EB">
                        <w:pPr>
                          <w:spacing w:line="240" w:lineRule="atLeast"/>
                          <w:jc w:val="center"/>
                          <w:rPr>
                            <w:rFonts w:ascii="Times New Roman" w:hAnsi="Times New Roman" w:cs="Times New Roman"/>
                            <w:b/>
                          </w:rPr>
                        </w:pPr>
                        <w:r>
                          <w:rPr>
                            <w:rFonts w:ascii="Times New Roman" w:hAnsi="Times New Roman" w:cs="Times New Roman"/>
                            <w:b/>
                          </w:rPr>
                          <w:t xml:space="preserve">Competence </w:t>
                        </w:r>
                      </w:p>
                    </w:txbxContent>
                  </v:textbox>
                </v:shape>
                <v:shape id="Text Box 11" o:spid="_x0000_s1056" type="#_x0000_t202" style="position:absolute;left:25679;top:745;width:31471;height:1106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xDWwwAAANwAAAAPAAAAZHJzL2Rvd25yZXYueG1sRE9NawIx&#10;EL0L/ocwgpei2fVQ6moUEYvFg6BVz2My7i5uJttNqlt/fVMoeJvH+5zpvLWVuFHjS8cK0mECglg7&#10;U3Ku4PD5PngD4QOywcoxKfghD/NZtzPFzLg77+i2D7mIIewzVFCEUGdSel2QRT90NXHkLq6xGCJs&#10;cmkavMdwW8lRkrxKiyXHhgJrWhakr/tvq2C9OaePzXGl1198ruTu9KLtcqtUv9cuJiACteEp/nd/&#10;mDg/HcPfM/ECOfsFAAD//wMAUEsBAi0AFAAGAAgAAAAhANvh9svuAAAAhQEAABMAAAAAAAAAAAAA&#10;AAAAAAAAAFtDb250ZW50X1R5cGVzXS54bWxQSwECLQAUAAYACAAAACEAWvQsW78AAAAVAQAACwAA&#10;AAAAAAAAAAAAAAAfAQAAX3JlbHMvLnJlbHNQSwECLQAUAAYACAAAACEAgZ8Q1sMAAADcAAAADwAA&#10;AAAAAAAAAAAAAAAHAgAAZHJzL2Rvd25yZXYueG1sUEsFBgAAAAADAAMAtwAAAPcCAAAAAA==&#10;" strokeweight=".5pt">
                  <v:textbox>
                    <w:txbxContent>
                      <w:p w14:paraId="75CFCE6C" w14:textId="77777777" w:rsidR="003B6DB3" w:rsidRDefault="003B6DB3" w:rsidP="007F03EB">
                        <w:pPr>
                          <w:pStyle w:val="NormalWeb"/>
                          <w:spacing w:before="0" w:beforeAutospacing="0" w:after="0" w:afterAutospacing="0" w:line="0" w:lineRule="atLeast"/>
                          <w:rPr>
                            <w:rFonts w:eastAsia="Calibri"/>
                            <w:b/>
                            <w:bCs/>
                            <w:sz w:val="22"/>
                            <w:szCs w:val="20"/>
                          </w:rPr>
                        </w:pPr>
                        <w:r>
                          <w:rPr>
                            <w:rFonts w:eastAsia="Calibri"/>
                            <w:b/>
                            <w:bCs/>
                            <w:sz w:val="22"/>
                            <w:szCs w:val="20"/>
                          </w:rPr>
                          <w:t>The Quality of Supervisor-Subordinate Exchange</w:t>
                        </w:r>
                      </w:p>
                      <w:p w14:paraId="402EEBBD" w14:textId="77777777" w:rsidR="003B6DB3" w:rsidRDefault="003B6DB3" w:rsidP="007F03EB">
                        <w:pPr>
                          <w:pStyle w:val="NormalWeb"/>
                          <w:spacing w:before="0" w:beforeAutospacing="0" w:after="0" w:afterAutospacing="0" w:line="0" w:lineRule="atLeast"/>
                          <w:rPr>
                            <w:rFonts w:eastAsia="Calibri"/>
                            <w:b/>
                            <w:bCs/>
                            <w:sz w:val="22"/>
                            <w:szCs w:val="20"/>
                          </w:rPr>
                        </w:pPr>
                      </w:p>
                      <w:p w14:paraId="631677B7" w14:textId="77777777" w:rsidR="003B6DB3" w:rsidRDefault="003B6DB3" w:rsidP="007F03EB">
                        <w:pPr>
                          <w:pStyle w:val="NormalWeb"/>
                          <w:spacing w:before="0" w:beforeAutospacing="0" w:after="0" w:afterAutospacing="0" w:line="0" w:lineRule="atLeast"/>
                          <w:rPr>
                            <w:sz w:val="22"/>
                          </w:rPr>
                        </w:pPr>
                        <w:r>
                          <w:rPr>
                            <w:sz w:val="22"/>
                          </w:rPr>
                          <w:t>Affect</w:t>
                        </w:r>
                      </w:p>
                      <w:p w14:paraId="6FFBA150" w14:textId="77777777" w:rsidR="003B6DB3" w:rsidRDefault="003B6DB3" w:rsidP="007F03EB">
                        <w:pPr>
                          <w:pStyle w:val="NormalWeb"/>
                          <w:spacing w:before="0" w:beforeAutospacing="0" w:after="0" w:afterAutospacing="0" w:line="0" w:lineRule="atLeast"/>
                          <w:rPr>
                            <w:sz w:val="22"/>
                          </w:rPr>
                        </w:pPr>
                        <w:r>
                          <w:rPr>
                            <w:sz w:val="22"/>
                          </w:rPr>
                          <w:t>Loyalty</w:t>
                        </w:r>
                      </w:p>
                      <w:p w14:paraId="2368613E" w14:textId="77777777" w:rsidR="003B6DB3" w:rsidRDefault="003B6DB3" w:rsidP="007F03EB">
                        <w:pPr>
                          <w:pStyle w:val="NormalWeb"/>
                          <w:spacing w:before="0" w:beforeAutospacing="0" w:after="0" w:afterAutospacing="0" w:line="0" w:lineRule="atLeast"/>
                          <w:rPr>
                            <w:sz w:val="22"/>
                          </w:rPr>
                        </w:pPr>
                        <w:r>
                          <w:rPr>
                            <w:sz w:val="22"/>
                          </w:rPr>
                          <w:t xml:space="preserve">Contribution </w:t>
                        </w:r>
                      </w:p>
                      <w:p w14:paraId="76673FA4" w14:textId="77777777" w:rsidR="003B6DB3" w:rsidRDefault="003B6DB3" w:rsidP="007F03EB">
                        <w:pPr>
                          <w:pStyle w:val="NormalWeb"/>
                          <w:spacing w:before="0" w:beforeAutospacing="0" w:after="0" w:afterAutospacing="0" w:line="0" w:lineRule="atLeast"/>
                          <w:rPr>
                            <w:sz w:val="22"/>
                          </w:rPr>
                        </w:pPr>
                        <w:r>
                          <w:rPr>
                            <w:sz w:val="22"/>
                          </w:rPr>
                          <w:t>Professional Respect</w:t>
                        </w:r>
                      </w:p>
                    </w:txbxContent>
                  </v:textbox>
                </v:shape>
                <v:shape id="Straight Arrow Connector 10" o:spid="_x0000_s1057" type="#_x0000_t32" style="position:absolute;left:304;top:7689;width:2137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ulzxQAAANwAAAAPAAAAZHJzL2Rvd25yZXYueG1sRI9BT8Mw&#10;DIXvSPyHyEjcWLpKwFSWTdOkDSQusE2crcY0ZY2TNaEt/x4fkLjZes/vfV6uJ9+pgfrUBjYwnxWg&#10;iOtgW24MnI67uwWolJEtdoHJwA8lWK+ur5ZY2TDyOw2H3CgJ4VShAZdzrLROtSOPaRYisWifofeY&#10;Ze0bbXscJdx3uiyKB+2xZWlwGGnrqD4fvr2Bj4sr7y9v+/PXc+SdH+LjcTG+GnN7M22eQGWa8r/5&#10;7/rFCn4p+PKMTKBXvwAAAP//AwBQSwECLQAUAAYACAAAACEA2+H2y+4AAACFAQAAEwAAAAAAAAAA&#10;AAAAAAAAAAAAW0NvbnRlbnRfVHlwZXNdLnhtbFBLAQItABQABgAIAAAAIQBa9CxbvwAAABUBAAAL&#10;AAAAAAAAAAAAAAAAAB8BAABfcmVscy8ucmVsc1BLAQItABQABgAIAAAAIQChAulzxQAAANwAAAAP&#10;AAAAAAAAAAAAAAAAAAcCAABkcnMvZG93bnJldi54bWxQSwUGAAAAAAMAAwC3AAAA+QIAAAAA&#10;" strokecolor="black [3200]" strokeweight="1pt">
                  <v:stroke endarrow="open" joinstyle="miter"/>
                </v:shape>
                <w10:anchorlock/>
              </v:group>
            </w:pict>
          </mc:Fallback>
        </mc:AlternateContent>
      </w:r>
    </w:p>
    <w:p w14:paraId="0320A673" w14:textId="77777777" w:rsidR="007F03EB" w:rsidRPr="00164238" w:rsidRDefault="007F03EB" w:rsidP="007F03EB">
      <w:pPr>
        <w:spacing w:before="120"/>
        <w:jc w:val="both"/>
        <w:rPr>
          <w:rFonts w:ascii="Times New Roman" w:eastAsia="Times New Roman" w:hAnsi="Times New Roman" w:cs="Times New Roman"/>
          <w:b/>
          <w:color w:val="000000" w:themeColor="text1"/>
          <w:sz w:val="20"/>
          <w:szCs w:val="20"/>
          <w:shd w:val="clear" w:color="auto" w:fill="FFFFFF"/>
          <w:lang w:val="en-US" w:eastAsia="tr-TR"/>
        </w:rPr>
      </w:pPr>
      <w:r w:rsidRPr="00164238">
        <w:rPr>
          <w:rFonts w:ascii="Times New Roman" w:eastAsia="Times New Roman" w:hAnsi="Times New Roman" w:cs="Times New Roman"/>
          <w:b/>
          <w:color w:val="000000" w:themeColor="text1"/>
          <w:sz w:val="20"/>
          <w:szCs w:val="20"/>
          <w:shd w:val="clear" w:color="auto" w:fill="FFFFFF"/>
          <w:lang w:val="en-US" w:eastAsia="tr-TR"/>
        </w:rPr>
        <w:t xml:space="preserve">Hypothesis: </w:t>
      </w:r>
      <w:r w:rsidRPr="00164238">
        <w:rPr>
          <w:rFonts w:ascii="Times New Roman" w:hAnsi="Times New Roman" w:cs="Times New Roman"/>
          <w:color w:val="000000" w:themeColor="text1"/>
          <w:sz w:val="20"/>
          <w:szCs w:val="20"/>
          <w:lang w:val="en-US"/>
        </w:rPr>
        <w:t>Supervisors’ virtual technology competence significantly and positively influences the quality of supervisor-subordinate exchange.</w:t>
      </w:r>
    </w:p>
    <w:p w14:paraId="169E4E7D" w14:textId="77777777" w:rsidR="007F03EB" w:rsidRPr="00164238" w:rsidRDefault="007F03EB" w:rsidP="007F03EB">
      <w:pPr>
        <w:spacing w:before="120"/>
        <w:jc w:val="both"/>
        <w:rPr>
          <w:rFonts w:ascii="Times New Roman" w:eastAsia="Times New Roman" w:hAnsi="Times New Roman" w:cs="Times New Roman"/>
          <w:b/>
          <w:bCs/>
          <w:color w:val="000000" w:themeColor="text1"/>
          <w:sz w:val="20"/>
          <w:szCs w:val="20"/>
          <w:shd w:val="clear" w:color="auto" w:fill="FFFFFF"/>
          <w:lang w:val="en-US" w:eastAsia="tr-TR"/>
        </w:rPr>
      </w:pPr>
    </w:p>
    <w:p w14:paraId="5235DA8B" w14:textId="5BDFC0ED" w:rsidR="007F03EB" w:rsidRPr="00164238" w:rsidRDefault="007F03EB" w:rsidP="007F03EB">
      <w:pPr>
        <w:spacing w:before="120"/>
        <w:ind w:firstLine="708"/>
        <w:jc w:val="both"/>
        <w:rPr>
          <w:rFonts w:ascii="Times New Roman" w:eastAsia="Times New Roman" w:hAnsi="Times New Roman" w:cs="Times New Roman"/>
          <w:b/>
          <w:bCs/>
          <w:color w:val="000000" w:themeColor="text1"/>
          <w:sz w:val="20"/>
          <w:szCs w:val="20"/>
          <w:shd w:val="clear" w:color="auto" w:fill="FFFFFF"/>
          <w:lang w:val="en-US" w:eastAsia="tr-TR"/>
        </w:rPr>
      </w:pPr>
      <w:r w:rsidRPr="00164238">
        <w:rPr>
          <w:rFonts w:ascii="Times New Roman" w:eastAsia="Times New Roman" w:hAnsi="Times New Roman" w:cs="Times New Roman"/>
          <w:b/>
          <w:bCs/>
          <w:color w:val="000000" w:themeColor="text1"/>
          <w:sz w:val="20"/>
          <w:szCs w:val="20"/>
          <w:shd w:val="clear" w:color="auto" w:fill="FFFFFF"/>
          <w:lang w:val="en-US" w:eastAsia="tr-TR"/>
        </w:rPr>
        <w:lastRenderedPageBreak/>
        <w:t>Method</w:t>
      </w:r>
    </w:p>
    <w:p w14:paraId="770DDBC3" w14:textId="77777777" w:rsidR="007F03EB" w:rsidRPr="00164238" w:rsidRDefault="007F03EB" w:rsidP="007F03EB">
      <w:pPr>
        <w:spacing w:before="120"/>
        <w:ind w:firstLine="708"/>
        <w:jc w:val="both"/>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color w:val="000000" w:themeColor="text1"/>
          <w:sz w:val="20"/>
          <w:szCs w:val="20"/>
          <w:shd w:val="clear" w:color="auto" w:fill="FFFFFF"/>
          <w:lang w:val="en-US"/>
        </w:rPr>
        <w:t>Data was collected through survey in this study, where a quantitative research was performed. Firstly, data input was done by using “SPSS 24” software program. After fulfillment of the dataset-check and its preparation for analysis (preliminary analyses) in “SPSS 24” software program, the validity of the scales pertaining to the variables in the research model were ensured using “AMOS 24” software program. And then, reliability and Pearson correlation analyses were carried out in “SPSS 24” software program. Finally, the research hypothesis was tested via structural equation modeling using “AMOS 24” software program.</w:t>
      </w:r>
    </w:p>
    <w:p w14:paraId="69B4BCCD" w14:textId="500ED57F" w:rsidR="007F03EB" w:rsidRPr="00164238" w:rsidRDefault="007F03EB" w:rsidP="007F03EB">
      <w:pPr>
        <w:spacing w:before="120"/>
        <w:ind w:firstLine="708"/>
        <w:jc w:val="both"/>
        <w:rPr>
          <w:rFonts w:ascii="Times New Roman" w:eastAsia="Times New Roman" w:hAnsi="Times New Roman" w:cs="Times New Roman"/>
          <w:b/>
          <w:color w:val="000000" w:themeColor="text1"/>
          <w:sz w:val="20"/>
          <w:szCs w:val="20"/>
          <w:shd w:val="clear" w:color="auto" w:fill="FFFFFF"/>
          <w:lang w:val="en-US" w:eastAsia="tr-TR"/>
        </w:rPr>
      </w:pPr>
      <w:r w:rsidRPr="00164238">
        <w:rPr>
          <w:rFonts w:ascii="Times New Roman" w:eastAsia="Times New Roman" w:hAnsi="Times New Roman" w:cs="Times New Roman"/>
          <w:b/>
          <w:color w:val="000000" w:themeColor="text1"/>
          <w:sz w:val="20"/>
          <w:szCs w:val="20"/>
          <w:shd w:val="clear" w:color="auto" w:fill="FFFFFF"/>
          <w:lang w:val="en-US" w:eastAsia="tr-TR"/>
        </w:rPr>
        <w:t>Sampling</w:t>
      </w:r>
    </w:p>
    <w:p w14:paraId="55BBF324" w14:textId="77777777" w:rsidR="007F03EB" w:rsidRPr="00164238" w:rsidRDefault="007F03EB" w:rsidP="007F03EB">
      <w:pPr>
        <w:spacing w:before="120"/>
        <w:ind w:firstLine="708"/>
        <w:jc w:val="both"/>
        <w:rPr>
          <w:rFonts w:ascii="Times New Roman" w:hAnsi="Times New Roman" w:cs="Times New Roman"/>
          <w:b/>
          <w:bCs/>
          <w:color w:val="000000" w:themeColor="text1"/>
          <w:sz w:val="20"/>
          <w:szCs w:val="20"/>
          <w:shd w:val="clear" w:color="auto" w:fill="FFFFFF"/>
          <w:lang w:val="en-US"/>
        </w:rPr>
      </w:pPr>
      <w:r w:rsidRPr="00164238">
        <w:rPr>
          <w:rFonts w:ascii="Times New Roman" w:hAnsi="Times New Roman" w:cs="Times New Roman"/>
          <w:color w:val="000000" w:themeColor="text1"/>
          <w:sz w:val="20"/>
          <w:szCs w:val="20"/>
          <w:shd w:val="clear" w:color="auto" w:fill="FFFFFF"/>
          <w:lang w:val="en-US"/>
        </w:rPr>
        <w:t xml:space="preserve">Research population (universe) covers total 421 personnel taking office </w:t>
      </w:r>
      <w:r w:rsidRPr="00164238">
        <w:rPr>
          <w:rFonts w:ascii="Times New Roman" w:hAnsi="Times New Roman" w:cs="Times New Roman"/>
          <w:color w:val="000000" w:themeColor="text1"/>
          <w:sz w:val="20"/>
          <w:szCs w:val="20"/>
          <w:lang w:val="en-US"/>
        </w:rPr>
        <w:t>in the academic and administrative units of a faculty of a state university located in the east of Turkey. Sampling was not done to reach the entire population. Questionnaires were distributed to 333 of 421 employees. 258 employees among 333, who were delivered with the questionnaire, returned. Return rate is nearly 78%. However, only 214 of these questionnaires are usable.</w:t>
      </w:r>
    </w:p>
    <w:p w14:paraId="266B90C9" w14:textId="44548657" w:rsidR="007F03EB" w:rsidRPr="00164238" w:rsidRDefault="007F03EB" w:rsidP="007F03EB">
      <w:pPr>
        <w:spacing w:before="120"/>
        <w:ind w:firstLine="708"/>
        <w:jc w:val="both"/>
        <w:rPr>
          <w:rFonts w:ascii="Times New Roman" w:eastAsia="Times New Roman" w:hAnsi="Times New Roman" w:cs="Times New Roman"/>
          <w:b/>
          <w:color w:val="000000" w:themeColor="text1"/>
          <w:sz w:val="20"/>
          <w:szCs w:val="20"/>
          <w:shd w:val="clear" w:color="auto" w:fill="FFFFFF"/>
          <w:lang w:val="en-US" w:eastAsia="tr-TR"/>
        </w:rPr>
      </w:pPr>
      <w:r w:rsidRPr="00164238">
        <w:rPr>
          <w:rFonts w:ascii="Times New Roman" w:eastAsia="Times New Roman" w:hAnsi="Times New Roman" w:cs="Times New Roman"/>
          <w:b/>
          <w:color w:val="000000" w:themeColor="text1"/>
          <w:sz w:val="20"/>
          <w:szCs w:val="20"/>
          <w:shd w:val="clear" w:color="auto" w:fill="FFFFFF"/>
          <w:lang w:val="en-US" w:eastAsia="tr-TR"/>
        </w:rPr>
        <w:t>Data Collection Tools</w:t>
      </w:r>
    </w:p>
    <w:p w14:paraId="079E274B" w14:textId="77777777" w:rsidR="007F03EB" w:rsidRPr="00164238" w:rsidRDefault="007F03EB" w:rsidP="007F03EB">
      <w:pPr>
        <w:spacing w:before="120"/>
        <w:ind w:firstLine="708"/>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 xml:space="preserve">In this study, 11-item sub-scale of the electronic leadership scale, developed by Tekinay (2015) to measure employees’ perception level of their immediate supervisors’ virtual technology competence, was used. Total 12-item scale, which has four dimensions consisting of 3-item “affect”, 3-item “loyalty”, 3-item “contribution” and 3-item “professional respect”, developed by Liden </w:t>
      </w:r>
      <w:r w:rsidRPr="00164238">
        <w:rPr>
          <w:rFonts w:ascii="Times New Roman" w:hAnsi="Times New Roman" w:cs="Times New Roman"/>
          <w:color w:val="000000" w:themeColor="text1"/>
          <w:sz w:val="20"/>
          <w:szCs w:val="20"/>
          <w:shd w:val="clear" w:color="auto" w:fill="FFFFFF"/>
          <w:lang w:val="en-US"/>
        </w:rPr>
        <w:t xml:space="preserve">&amp; </w:t>
      </w:r>
      <w:r w:rsidRPr="00164238">
        <w:rPr>
          <w:rFonts w:ascii="Times New Roman" w:hAnsi="Times New Roman" w:cs="Times New Roman"/>
          <w:color w:val="000000" w:themeColor="text1"/>
          <w:sz w:val="20"/>
          <w:szCs w:val="20"/>
          <w:lang w:val="en-US"/>
        </w:rPr>
        <w:t xml:space="preserve">Maslyn (1998) for measuring employees’ perception of the quality of reciprocal relationships with their immediate supervisors, was utilized, too. Scoring of these scales was rated at a 5-point Likert-type scale of “1” (absolutely disagree) to “5” (totally agree). </w:t>
      </w:r>
      <w:r w:rsidRPr="00164238">
        <w:rPr>
          <w:rFonts w:ascii="Times New Roman" w:hAnsi="Times New Roman" w:cs="Times New Roman"/>
          <w:color w:val="000000" w:themeColor="text1"/>
          <w:sz w:val="20"/>
          <w:szCs w:val="20"/>
          <w:shd w:val="clear" w:color="auto" w:fill="FFFFFF"/>
          <w:lang w:val="en-US"/>
        </w:rPr>
        <w:t>Participants were also requested to answer two demographical questions, which are about gender and the unit they work in.</w:t>
      </w:r>
    </w:p>
    <w:p w14:paraId="59D0DE97" w14:textId="201C3639" w:rsidR="007F03EB" w:rsidRPr="00164238" w:rsidRDefault="007F03EB" w:rsidP="007F03EB">
      <w:pPr>
        <w:spacing w:before="120"/>
        <w:ind w:firstLine="708"/>
        <w:jc w:val="both"/>
        <w:rPr>
          <w:rFonts w:ascii="Times New Roman" w:eastAsia="Times New Roman" w:hAnsi="Times New Roman" w:cs="Times New Roman"/>
          <w:b/>
          <w:bCs/>
          <w:color w:val="000000" w:themeColor="text1"/>
          <w:sz w:val="20"/>
          <w:szCs w:val="20"/>
          <w:shd w:val="clear" w:color="auto" w:fill="FFFFFF"/>
          <w:lang w:val="en-US" w:eastAsia="tr-TR"/>
        </w:rPr>
      </w:pPr>
      <w:r w:rsidRPr="00164238">
        <w:rPr>
          <w:rFonts w:ascii="Times New Roman" w:eastAsia="Times New Roman" w:hAnsi="Times New Roman" w:cs="Times New Roman"/>
          <w:b/>
          <w:bCs/>
          <w:color w:val="000000" w:themeColor="text1"/>
          <w:sz w:val="20"/>
          <w:szCs w:val="20"/>
          <w:shd w:val="clear" w:color="auto" w:fill="FFFFFF"/>
          <w:lang w:val="en-US" w:eastAsia="tr-TR"/>
        </w:rPr>
        <w:t>Findings</w:t>
      </w:r>
    </w:p>
    <w:p w14:paraId="3CF82D0F" w14:textId="77777777" w:rsidR="007F03EB" w:rsidRPr="00164238" w:rsidRDefault="007F03EB" w:rsidP="007F03EB">
      <w:pPr>
        <w:spacing w:before="120"/>
        <w:ind w:firstLine="708"/>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Within scope of the study, the four-stage method suggested by Tabachnick &amp; Fidell (2013) to control the data set and make the data ready for analysis was used. This preliminary analysis method consists of “accuracy of dataset”, “missing data”, “normality test” and “multicollinearity” analyses. As results of preliminary analyses, kurtosis and skewness values ​​for all scale items in the research model of the study were determined to be in the range of ± 1.5 and the data was assumed to be normally distributed. Also, the number of participants included in the study was clarified as 214. 50,83% of the research population, i.e. more than half of it, was reached. This rate, which was reached within scope of the study, was considered to be sufficient and it was assumed that this rate is representative of the population. 49 and 165 of the participants in the dataset of the research are female and male, respectively, and 115 of them are academic, 99 of them are administrative personnel.</w:t>
      </w:r>
    </w:p>
    <w:p w14:paraId="17E56900" w14:textId="32538D5D" w:rsidR="007F03EB" w:rsidRPr="00164238" w:rsidRDefault="007F03EB" w:rsidP="007F03EB">
      <w:pPr>
        <w:spacing w:before="120"/>
        <w:ind w:firstLine="708"/>
        <w:jc w:val="both"/>
        <w:rPr>
          <w:rFonts w:ascii="Times New Roman" w:eastAsia="Times New Roman" w:hAnsi="Times New Roman" w:cs="Times New Roman"/>
          <w:b/>
          <w:bCs/>
          <w:color w:val="000000" w:themeColor="text1"/>
          <w:sz w:val="20"/>
          <w:szCs w:val="20"/>
          <w:shd w:val="clear" w:color="auto" w:fill="FFFFFF"/>
          <w:lang w:val="en-US" w:eastAsia="tr-TR"/>
        </w:rPr>
      </w:pPr>
      <w:r w:rsidRPr="00164238">
        <w:rPr>
          <w:rFonts w:ascii="Times New Roman" w:eastAsia="Times New Roman" w:hAnsi="Times New Roman" w:cs="Times New Roman"/>
          <w:b/>
          <w:bCs/>
          <w:color w:val="000000" w:themeColor="text1"/>
          <w:sz w:val="20"/>
          <w:szCs w:val="20"/>
          <w:shd w:val="clear" w:color="auto" w:fill="FFFFFF"/>
          <w:lang w:val="en-US" w:eastAsia="tr-TR"/>
        </w:rPr>
        <w:t>Validity Analysis</w:t>
      </w:r>
    </w:p>
    <w:p w14:paraId="56F9E297" w14:textId="77777777" w:rsidR="007F03EB" w:rsidRPr="00164238" w:rsidRDefault="007F03EB" w:rsidP="007F03EB">
      <w:pPr>
        <w:spacing w:before="120"/>
        <w:ind w:firstLine="708"/>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According to the two-stage approach, suggested by Anderson &amp; Gerbing (1988), before testing the research model of the study via structural equation modeling for examining the hypothesis of the research, the construct validity of the measurement model should be researched firstly (Anderson &amp; Gerbing, 1988). By using “AMOS 24” software program, an analysis of overall-confirmatory factor was performed on the measurement model of the study. The measurement model consisting of 2 variables and 23 items was tested by using the maximum likelihood method. Factor loads, standard error-covariance values ​​and modification indices were examined by employing the procedure, suggested by Hair et al. (2010), in the confirmatory factor analysis.</w:t>
      </w:r>
    </w:p>
    <w:p w14:paraId="7278B79C" w14:textId="77777777" w:rsidR="007F03EB" w:rsidRPr="00164238" w:rsidRDefault="007F03EB" w:rsidP="007F03EB">
      <w:pPr>
        <w:jc w:val="both"/>
        <w:rPr>
          <w:rFonts w:ascii="Times New Roman" w:hAnsi="Times New Roman" w:cs="Times New Roman"/>
          <w:b/>
          <w:bCs/>
          <w:color w:val="000000" w:themeColor="text1"/>
          <w:sz w:val="20"/>
          <w:szCs w:val="20"/>
          <w:lang w:val="en-US"/>
        </w:rPr>
      </w:pPr>
      <w:r w:rsidRPr="00164238">
        <w:rPr>
          <w:rFonts w:ascii="Times New Roman" w:hAnsi="Times New Roman" w:cs="Times New Roman"/>
          <w:b/>
          <w:bCs/>
          <w:color w:val="000000" w:themeColor="text1"/>
          <w:sz w:val="20"/>
          <w:szCs w:val="20"/>
          <w:lang w:val="en-US"/>
        </w:rPr>
        <w:t xml:space="preserve">Figure 2 </w:t>
      </w:r>
    </w:p>
    <w:p w14:paraId="1C28C732" w14:textId="77777777" w:rsidR="007F03EB" w:rsidRPr="00164238" w:rsidRDefault="007F03EB" w:rsidP="007F03EB">
      <w:pPr>
        <w:jc w:val="both"/>
        <w:rPr>
          <w:rFonts w:ascii="Times New Roman" w:hAnsi="Times New Roman" w:cs="Times New Roman"/>
          <w:b/>
          <w:bCs/>
          <w:i/>
          <w:iCs/>
          <w:color w:val="000000" w:themeColor="text1"/>
          <w:sz w:val="20"/>
          <w:szCs w:val="20"/>
          <w:shd w:val="clear" w:color="auto" w:fill="FFFFFF"/>
          <w:lang w:val="en-US"/>
        </w:rPr>
      </w:pPr>
      <w:r w:rsidRPr="00164238">
        <w:rPr>
          <w:rFonts w:ascii="Times New Roman" w:hAnsi="Times New Roman" w:cs="Times New Roman"/>
          <w:i/>
          <w:iCs/>
          <w:color w:val="000000" w:themeColor="text1"/>
          <w:sz w:val="20"/>
          <w:szCs w:val="20"/>
          <w:lang w:val="en-US"/>
        </w:rPr>
        <w:lastRenderedPageBreak/>
        <w:t>Overall-Confirmatory Factor Analysis (Overall-CFA)</w:t>
      </w:r>
    </w:p>
    <w:p w14:paraId="636E95D0" w14:textId="77777777" w:rsidR="007F03EB" w:rsidRPr="00164238" w:rsidRDefault="007F03EB" w:rsidP="007F03EB">
      <w:pPr>
        <w:jc w:val="both"/>
        <w:rPr>
          <w:rFonts w:ascii="Times New Roman" w:eastAsia="Times New Roman" w:hAnsi="Times New Roman" w:cs="Times New Roman"/>
          <w:b/>
          <w:bCs/>
          <w:i/>
          <w:color w:val="000000" w:themeColor="text1"/>
          <w:sz w:val="20"/>
          <w:szCs w:val="20"/>
          <w:shd w:val="clear" w:color="auto" w:fill="FFFFFF"/>
          <w:lang w:val="en-US" w:eastAsia="tr-TR"/>
        </w:rPr>
      </w:pPr>
      <w:r w:rsidRPr="00164238">
        <w:rPr>
          <w:rFonts w:ascii="Times New Roman" w:hAnsi="Times New Roman" w:cs="Times New Roman"/>
          <w:i/>
          <w:color w:val="000000" w:themeColor="text1"/>
          <w:sz w:val="20"/>
          <w:szCs w:val="20"/>
          <w:lang w:val="en-US"/>
        </w:rPr>
        <w:t xml:space="preserve"> </w:t>
      </w:r>
    </w:p>
    <w:p w14:paraId="247645CC" w14:textId="4A977C24" w:rsidR="007F03EB" w:rsidRPr="00164238" w:rsidRDefault="007F03EB" w:rsidP="007F03EB">
      <w:pPr>
        <w:jc w:val="both"/>
        <w:rPr>
          <w:rFonts w:ascii="Times New Roman" w:hAnsi="Times New Roman" w:cs="Times New Roman"/>
          <w:color w:val="000000" w:themeColor="text1"/>
          <w:sz w:val="20"/>
          <w:szCs w:val="20"/>
        </w:rPr>
      </w:pPr>
      <w:r w:rsidRPr="00164238">
        <w:rPr>
          <w:rFonts w:ascii="Times New Roman" w:hAnsi="Times New Roman" w:cs="Times New Roman"/>
          <w:noProof/>
          <w:color w:val="000000" w:themeColor="text1"/>
          <w:sz w:val="20"/>
          <w:szCs w:val="20"/>
          <w:lang w:val="en-US"/>
        </w:rPr>
        <w:drawing>
          <wp:inline distT="0" distB="0" distL="0" distR="0" wp14:anchorId="030587EA" wp14:editId="4BA31633">
            <wp:extent cx="5753100" cy="4676775"/>
            <wp:effectExtent l="0" t="0" r="0" b="9525"/>
            <wp:docPr id="117" name="Resi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753100" cy="4676775"/>
                    </a:xfrm>
                    <a:prstGeom prst="rect">
                      <a:avLst/>
                    </a:prstGeom>
                    <a:noFill/>
                    <a:ln>
                      <a:noFill/>
                    </a:ln>
                  </pic:spPr>
                </pic:pic>
              </a:graphicData>
            </a:graphic>
          </wp:inline>
        </w:drawing>
      </w:r>
    </w:p>
    <w:p w14:paraId="686078E6" w14:textId="77777777" w:rsidR="007F03EB" w:rsidRPr="00164238" w:rsidRDefault="007F03EB" w:rsidP="007F03EB">
      <w:pPr>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 xml:space="preserve">Notes: The values ​​shown on the arrows in the figure are the standardized regression coefficients. Abbreviations: </w:t>
      </w:r>
      <w:r w:rsidRPr="00164238">
        <w:rPr>
          <w:rFonts w:ascii="Times New Roman" w:hAnsi="Times New Roman" w:cs="Times New Roman"/>
          <w:noProof/>
          <w:color w:val="000000" w:themeColor="text1"/>
          <w:sz w:val="20"/>
          <w:szCs w:val="20"/>
        </w:rPr>
        <w:t>SVTC:</w:t>
      </w:r>
      <w:r w:rsidRPr="00164238">
        <w:rPr>
          <w:rFonts w:ascii="Times New Roman" w:hAnsi="Times New Roman" w:cs="Times New Roman"/>
          <w:color w:val="000000" w:themeColor="text1"/>
          <w:sz w:val="20"/>
          <w:szCs w:val="20"/>
          <w:lang w:val="en-US"/>
        </w:rPr>
        <w:t xml:space="preserve"> </w:t>
      </w:r>
      <w:r w:rsidRPr="00164238">
        <w:rPr>
          <w:rFonts w:ascii="Times New Roman" w:hAnsi="Times New Roman" w:cs="Times New Roman"/>
          <w:noProof/>
          <w:color w:val="000000" w:themeColor="text1"/>
          <w:sz w:val="20"/>
          <w:szCs w:val="20"/>
        </w:rPr>
        <w:t>Supervisors’ Virtual Technology Competence; SSQ:</w:t>
      </w:r>
      <w:r w:rsidRPr="00164238">
        <w:rPr>
          <w:rFonts w:ascii="Times New Roman" w:hAnsi="Times New Roman" w:cs="Times New Roman"/>
          <w:color w:val="000000" w:themeColor="text1"/>
          <w:sz w:val="20"/>
          <w:szCs w:val="20"/>
          <w:lang w:val="en-US"/>
        </w:rPr>
        <w:t xml:space="preserve"> </w:t>
      </w:r>
      <w:r w:rsidRPr="00164238">
        <w:rPr>
          <w:rFonts w:ascii="Times New Roman" w:hAnsi="Times New Roman" w:cs="Times New Roman"/>
          <w:noProof/>
          <w:color w:val="000000" w:themeColor="text1"/>
          <w:sz w:val="20"/>
          <w:szCs w:val="20"/>
        </w:rPr>
        <w:t>The Quality of Supervisor-Subordinate Exchange; A:</w:t>
      </w:r>
      <w:r w:rsidRPr="00164238">
        <w:rPr>
          <w:rFonts w:ascii="Times New Roman" w:hAnsi="Times New Roman" w:cs="Times New Roman"/>
          <w:color w:val="000000" w:themeColor="text1"/>
          <w:sz w:val="20"/>
          <w:szCs w:val="20"/>
          <w:lang w:val="en-US"/>
        </w:rPr>
        <w:t xml:space="preserve"> </w:t>
      </w:r>
      <w:r w:rsidRPr="00164238">
        <w:rPr>
          <w:rFonts w:ascii="Times New Roman" w:hAnsi="Times New Roman" w:cs="Times New Roman"/>
          <w:noProof/>
          <w:color w:val="000000" w:themeColor="text1"/>
          <w:sz w:val="20"/>
          <w:szCs w:val="20"/>
          <w:shd w:val="clear" w:color="auto" w:fill="FFFFFF"/>
        </w:rPr>
        <w:t>Affect</w:t>
      </w:r>
      <w:r w:rsidRPr="00164238">
        <w:rPr>
          <w:rFonts w:ascii="Times New Roman" w:hAnsi="Times New Roman" w:cs="Times New Roman"/>
          <w:noProof/>
          <w:color w:val="000000" w:themeColor="text1"/>
          <w:sz w:val="20"/>
          <w:szCs w:val="20"/>
        </w:rPr>
        <w:t>; L:</w:t>
      </w:r>
      <w:r w:rsidRPr="00164238">
        <w:rPr>
          <w:rFonts w:ascii="Times New Roman" w:hAnsi="Times New Roman" w:cs="Times New Roman"/>
          <w:color w:val="000000" w:themeColor="text1"/>
          <w:sz w:val="20"/>
          <w:szCs w:val="20"/>
          <w:shd w:val="clear" w:color="auto" w:fill="FFFFFF"/>
          <w:lang w:val="en-US"/>
        </w:rPr>
        <w:t xml:space="preserve"> </w:t>
      </w:r>
      <w:r w:rsidRPr="00164238">
        <w:rPr>
          <w:rFonts w:ascii="Times New Roman" w:hAnsi="Times New Roman" w:cs="Times New Roman"/>
          <w:noProof/>
          <w:color w:val="000000" w:themeColor="text1"/>
          <w:sz w:val="20"/>
          <w:szCs w:val="20"/>
          <w:shd w:val="clear" w:color="auto" w:fill="FFFFFF"/>
        </w:rPr>
        <w:t>Loyalty</w:t>
      </w:r>
      <w:r w:rsidRPr="00164238">
        <w:rPr>
          <w:rFonts w:ascii="Times New Roman" w:hAnsi="Times New Roman" w:cs="Times New Roman"/>
          <w:noProof/>
          <w:color w:val="000000" w:themeColor="text1"/>
          <w:sz w:val="20"/>
          <w:szCs w:val="20"/>
        </w:rPr>
        <w:t>; C:</w:t>
      </w:r>
      <w:r w:rsidRPr="00164238">
        <w:rPr>
          <w:rFonts w:ascii="Times New Roman" w:hAnsi="Times New Roman" w:cs="Times New Roman"/>
          <w:color w:val="000000" w:themeColor="text1"/>
          <w:sz w:val="20"/>
          <w:szCs w:val="20"/>
          <w:shd w:val="clear" w:color="auto" w:fill="FFFFFF"/>
          <w:lang w:val="en-US"/>
        </w:rPr>
        <w:t xml:space="preserve"> </w:t>
      </w:r>
      <w:r w:rsidRPr="00164238">
        <w:rPr>
          <w:rFonts w:ascii="Times New Roman" w:hAnsi="Times New Roman" w:cs="Times New Roman"/>
          <w:noProof/>
          <w:color w:val="000000" w:themeColor="text1"/>
          <w:sz w:val="20"/>
          <w:szCs w:val="20"/>
          <w:shd w:val="clear" w:color="auto" w:fill="FFFFFF"/>
        </w:rPr>
        <w:t>Contribution</w:t>
      </w:r>
      <w:r w:rsidRPr="00164238">
        <w:rPr>
          <w:rFonts w:ascii="Times New Roman" w:hAnsi="Times New Roman" w:cs="Times New Roman"/>
          <w:noProof/>
          <w:color w:val="000000" w:themeColor="text1"/>
          <w:sz w:val="20"/>
          <w:szCs w:val="20"/>
        </w:rPr>
        <w:t>; PR:</w:t>
      </w:r>
      <w:r w:rsidRPr="00164238">
        <w:rPr>
          <w:rFonts w:ascii="Times New Roman" w:hAnsi="Times New Roman" w:cs="Times New Roman"/>
          <w:color w:val="000000" w:themeColor="text1"/>
          <w:sz w:val="20"/>
          <w:szCs w:val="20"/>
          <w:lang w:val="en-US"/>
        </w:rPr>
        <w:t xml:space="preserve"> </w:t>
      </w:r>
      <w:r w:rsidRPr="00164238">
        <w:rPr>
          <w:rFonts w:ascii="Times New Roman" w:hAnsi="Times New Roman" w:cs="Times New Roman"/>
          <w:noProof/>
          <w:color w:val="000000" w:themeColor="text1"/>
          <w:sz w:val="20"/>
          <w:szCs w:val="20"/>
          <w:shd w:val="clear" w:color="auto" w:fill="FFFFFF"/>
        </w:rPr>
        <w:t>Professional Respect</w:t>
      </w:r>
      <w:r w:rsidRPr="00164238">
        <w:rPr>
          <w:rFonts w:ascii="Times New Roman" w:hAnsi="Times New Roman" w:cs="Times New Roman"/>
          <w:noProof/>
          <w:color w:val="000000" w:themeColor="text1"/>
          <w:sz w:val="20"/>
          <w:szCs w:val="20"/>
        </w:rPr>
        <w:t>.</w:t>
      </w:r>
      <w:r w:rsidRPr="00164238">
        <w:rPr>
          <w:rFonts w:ascii="Times New Roman" w:hAnsi="Times New Roman" w:cs="Times New Roman"/>
          <w:color w:val="000000" w:themeColor="text1"/>
          <w:sz w:val="20"/>
          <w:szCs w:val="20"/>
          <w:lang w:val="en-US"/>
        </w:rPr>
        <w:t xml:space="preserve"> </w:t>
      </w:r>
    </w:p>
    <w:p w14:paraId="580B0EEE" w14:textId="2E99498E" w:rsidR="007F03EB" w:rsidRDefault="007F03EB" w:rsidP="007F03EB">
      <w:pPr>
        <w:spacing w:before="120"/>
        <w:ind w:firstLine="708"/>
        <w:jc w:val="both"/>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color w:val="000000" w:themeColor="text1"/>
          <w:sz w:val="20"/>
          <w:szCs w:val="20"/>
          <w:lang w:val="en-US"/>
        </w:rPr>
        <w:t>According to the results of the confirmatory factor analysis, all items in the model are significant. Also, as seen in Figure 2, the standardized path coefficients (standardized β coefficient; factor load) vary between .37-.94 for the items of the supervisor’s virtual technology competence scale, .66-.91 for leader-member exchange scale, .80-.90 for the items of “affect” dimension of it, .83-.87 for items of “loyalty” dimension of it, .66-.86 for items of “contribution” dimension of it and .86-.91 for items of “professional respect” dimension of it. When the factor loads are examined, it is seen that all factor load values are greater than 0.32 (Tabachnick &amp; Fidell, 2001).</w:t>
      </w:r>
      <w:r w:rsidRPr="00164238">
        <w:rPr>
          <w:rFonts w:ascii="Times New Roman" w:hAnsi="Times New Roman" w:cs="Times New Roman"/>
          <w:color w:val="000000" w:themeColor="text1"/>
          <w:sz w:val="20"/>
          <w:szCs w:val="20"/>
          <w:shd w:val="clear" w:color="auto" w:fill="FFFFFF"/>
          <w:lang w:val="en-US"/>
        </w:rPr>
        <w:t xml:space="preserve"> </w:t>
      </w:r>
      <w:r w:rsidRPr="00164238">
        <w:rPr>
          <w:rFonts w:ascii="Times New Roman" w:hAnsi="Times New Roman" w:cs="Times New Roman"/>
          <w:color w:val="000000" w:themeColor="text1"/>
          <w:sz w:val="20"/>
          <w:szCs w:val="20"/>
          <w:lang w:val="en-US"/>
        </w:rPr>
        <w:t>All scale items were collected under the relevant variables and dimensions in accordance with their theories.</w:t>
      </w:r>
      <w:r w:rsidRPr="00164238">
        <w:rPr>
          <w:rFonts w:ascii="Times New Roman" w:hAnsi="Times New Roman" w:cs="Times New Roman"/>
          <w:color w:val="000000" w:themeColor="text1"/>
          <w:sz w:val="20"/>
          <w:szCs w:val="20"/>
          <w:shd w:val="clear" w:color="auto" w:fill="FFFFFF"/>
          <w:lang w:val="en-US"/>
        </w:rPr>
        <w:t xml:space="preserve"> </w:t>
      </w:r>
    </w:p>
    <w:p w14:paraId="49A7A3A7" w14:textId="65D0CCB7" w:rsidR="00856481" w:rsidRDefault="00856481" w:rsidP="007F03EB">
      <w:pPr>
        <w:spacing w:before="120"/>
        <w:ind w:firstLine="708"/>
        <w:jc w:val="both"/>
        <w:rPr>
          <w:rFonts w:ascii="Times New Roman" w:hAnsi="Times New Roman" w:cs="Times New Roman"/>
          <w:color w:val="000000" w:themeColor="text1"/>
          <w:sz w:val="20"/>
          <w:szCs w:val="20"/>
          <w:shd w:val="clear" w:color="auto" w:fill="FFFFFF"/>
          <w:lang w:val="en-US"/>
        </w:rPr>
      </w:pPr>
    </w:p>
    <w:p w14:paraId="164A634C" w14:textId="21AF6498" w:rsidR="00856481" w:rsidRDefault="00856481" w:rsidP="007F03EB">
      <w:pPr>
        <w:spacing w:before="120"/>
        <w:ind w:firstLine="708"/>
        <w:jc w:val="both"/>
        <w:rPr>
          <w:rFonts w:ascii="Times New Roman" w:hAnsi="Times New Roman" w:cs="Times New Roman"/>
          <w:color w:val="000000" w:themeColor="text1"/>
          <w:sz w:val="20"/>
          <w:szCs w:val="20"/>
          <w:shd w:val="clear" w:color="auto" w:fill="FFFFFF"/>
          <w:lang w:val="en-US"/>
        </w:rPr>
      </w:pPr>
    </w:p>
    <w:p w14:paraId="60B2CD32" w14:textId="387895B5" w:rsidR="00856481" w:rsidRDefault="00856481" w:rsidP="007F03EB">
      <w:pPr>
        <w:spacing w:before="120"/>
        <w:ind w:firstLine="708"/>
        <w:jc w:val="both"/>
        <w:rPr>
          <w:rFonts w:ascii="Times New Roman" w:hAnsi="Times New Roman" w:cs="Times New Roman"/>
          <w:color w:val="000000" w:themeColor="text1"/>
          <w:sz w:val="20"/>
          <w:szCs w:val="20"/>
          <w:shd w:val="clear" w:color="auto" w:fill="FFFFFF"/>
          <w:lang w:val="en-US"/>
        </w:rPr>
      </w:pPr>
    </w:p>
    <w:p w14:paraId="05140BE9" w14:textId="77777777" w:rsidR="00856481" w:rsidRPr="00164238" w:rsidRDefault="00856481" w:rsidP="007F03EB">
      <w:pPr>
        <w:spacing w:before="120"/>
        <w:ind w:firstLine="708"/>
        <w:jc w:val="both"/>
        <w:rPr>
          <w:rFonts w:ascii="Times New Roman" w:hAnsi="Times New Roman" w:cs="Times New Roman"/>
          <w:color w:val="000000" w:themeColor="text1"/>
          <w:sz w:val="20"/>
          <w:szCs w:val="20"/>
          <w:lang w:val="en-US"/>
        </w:rPr>
      </w:pPr>
    </w:p>
    <w:p w14:paraId="6FDD9965" w14:textId="77777777" w:rsidR="007F03EB" w:rsidRPr="00164238" w:rsidRDefault="007F03EB" w:rsidP="007F03EB">
      <w:pPr>
        <w:spacing w:line="276" w:lineRule="auto"/>
        <w:jc w:val="both"/>
        <w:rPr>
          <w:rFonts w:ascii="Times New Roman" w:hAnsi="Times New Roman" w:cs="Times New Roman"/>
          <w:b/>
          <w:bCs/>
          <w:color w:val="000000" w:themeColor="text1"/>
          <w:sz w:val="20"/>
          <w:szCs w:val="20"/>
          <w:shd w:val="clear" w:color="auto" w:fill="FFFFFF"/>
          <w:lang w:val="en-US"/>
        </w:rPr>
      </w:pPr>
      <w:r w:rsidRPr="00164238">
        <w:rPr>
          <w:rFonts w:ascii="Times New Roman" w:hAnsi="Times New Roman" w:cs="Times New Roman"/>
          <w:b/>
          <w:bCs/>
          <w:color w:val="000000" w:themeColor="text1"/>
          <w:sz w:val="20"/>
          <w:szCs w:val="20"/>
          <w:shd w:val="clear" w:color="auto" w:fill="FFFFFF"/>
          <w:lang w:val="en-US"/>
        </w:rPr>
        <w:lastRenderedPageBreak/>
        <w:t>Table 1</w:t>
      </w:r>
    </w:p>
    <w:p w14:paraId="2352A829" w14:textId="77777777" w:rsidR="007F03EB" w:rsidRPr="00164238" w:rsidRDefault="007F03EB" w:rsidP="007F03EB">
      <w:pPr>
        <w:spacing w:line="276" w:lineRule="auto"/>
        <w:jc w:val="both"/>
        <w:rPr>
          <w:rFonts w:ascii="Times New Roman" w:hAnsi="Times New Roman" w:cs="Times New Roman"/>
          <w:i/>
          <w:color w:val="000000" w:themeColor="text1"/>
          <w:sz w:val="20"/>
          <w:szCs w:val="20"/>
        </w:rPr>
      </w:pPr>
      <w:r w:rsidRPr="00164238">
        <w:rPr>
          <w:rFonts w:ascii="Times New Roman" w:hAnsi="Times New Roman" w:cs="Times New Roman"/>
          <w:i/>
          <w:color w:val="000000" w:themeColor="text1"/>
          <w:sz w:val="20"/>
          <w:szCs w:val="20"/>
        </w:rPr>
        <w:t xml:space="preserve">Fit-Index Values for the Measurement Model  </w:t>
      </w:r>
    </w:p>
    <w:tbl>
      <w:tblPr>
        <w:tblW w:w="0" w:type="auto"/>
        <w:tblInd w:w="108" w:type="dxa"/>
        <w:tblBorders>
          <w:top w:val="single" w:sz="4" w:space="0" w:color="auto"/>
          <w:bottom w:val="single" w:sz="4" w:space="0" w:color="auto"/>
        </w:tblBorders>
        <w:tblLayout w:type="fixed"/>
        <w:tblLook w:val="00A0" w:firstRow="1" w:lastRow="0" w:firstColumn="1" w:lastColumn="0" w:noHBand="0" w:noVBand="0"/>
      </w:tblPr>
      <w:tblGrid>
        <w:gridCol w:w="2552"/>
        <w:gridCol w:w="1247"/>
        <w:gridCol w:w="1247"/>
        <w:gridCol w:w="1247"/>
        <w:gridCol w:w="1247"/>
        <w:gridCol w:w="1532"/>
      </w:tblGrid>
      <w:tr w:rsidR="007F03EB" w:rsidRPr="00164238" w14:paraId="4E31D47E" w14:textId="77777777" w:rsidTr="007F03EB">
        <w:tc>
          <w:tcPr>
            <w:tcW w:w="2552" w:type="dxa"/>
            <w:tcBorders>
              <w:top w:val="single" w:sz="4" w:space="0" w:color="auto"/>
              <w:left w:val="nil"/>
              <w:bottom w:val="single" w:sz="4" w:space="0" w:color="auto"/>
              <w:right w:val="nil"/>
            </w:tcBorders>
            <w:hideMark/>
          </w:tcPr>
          <w:p w14:paraId="3509F919" w14:textId="77777777" w:rsidR="007F03EB" w:rsidRPr="00164238" w:rsidRDefault="007F03EB">
            <w:pPr>
              <w:spacing w:line="360" w:lineRule="auto"/>
              <w:jc w:val="right"/>
              <w:rPr>
                <w:rFonts w:ascii="Times New Roman" w:hAnsi="Times New Roman" w:cs="Times New Roman"/>
                <w:color w:val="000000" w:themeColor="text1"/>
                <w:sz w:val="20"/>
                <w:szCs w:val="20"/>
                <w:lang w:val="en-US"/>
              </w:rPr>
            </w:pPr>
            <w:r w:rsidRPr="00164238">
              <w:rPr>
                <w:rFonts w:ascii="Times New Roman" w:hAnsi="Times New Roman" w:cs="Times New Roman"/>
                <w:b/>
                <w:bCs/>
                <w:color w:val="000000" w:themeColor="text1"/>
                <w:sz w:val="20"/>
                <w:szCs w:val="20"/>
                <w:lang w:val="en-US"/>
              </w:rPr>
              <w:t>Fit Indices</w:t>
            </w:r>
          </w:p>
        </w:tc>
        <w:tc>
          <w:tcPr>
            <w:tcW w:w="1247" w:type="dxa"/>
            <w:tcBorders>
              <w:top w:val="single" w:sz="4" w:space="0" w:color="auto"/>
              <w:left w:val="nil"/>
              <w:bottom w:val="single" w:sz="4" w:space="0" w:color="auto"/>
              <w:right w:val="nil"/>
            </w:tcBorders>
            <w:hideMark/>
          </w:tcPr>
          <w:p w14:paraId="5AA60381" w14:textId="77777777" w:rsidR="007F03EB" w:rsidRPr="00164238" w:rsidRDefault="007F03EB">
            <w:pPr>
              <w:spacing w:line="360" w:lineRule="auto"/>
              <w:jc w:val="center"/>
              <w:rPr>
                <w:rFonts w:ascii="Times New Roman" w:hAnsi="Times New Roman" w:cs="Times New Roman"/>
                <w:b/>
                <w:bCs/>
                <w:color w:val="000000" w:themeColor="text1"/>
                <w:sz w:val="20"/>
                <w:szCs w:val="20"/>
                <w:lang w:val="en-US"/>
              </w:rPr>
            </w:pPr>
            <w:r w:rsidRPr="00164238">
              <w:rPr>
                <w:rFonts w:ascii="Times New Roman" w:hAnsi="Times New Roman" w:cs="Times New Roman"/>
                <w:b/>
                <w:bCs/>
                <w:noProof/>
                <w:color w:val="000000" w:themeColor="text1"/>
                <w:sz w:val="20"/>
                <w:szCs w:val="20"/>
              </w:rPr>
              <w:t>x</w:t>
            </w:r>
            <w:r w:rsidRPr="00164238">
              <w:rPr>
                <w:rFonts w:ascii="Times New Roman" w:hAnsi="Times New Roman" w:cs="Times New Roman"/>
                <w:b/>
                <w:bCs/>
                <w:noProof/>
                <w:color w:val="000000" w:themeColor="text1"/>
                <w:sz w:val="20"/>
                <w:szCs w:val="20"/>
                <w:vertAlign w:val="superscript"/>
              </w:rPr>
              <w:t>2</w:t>
            </w:r>
            <w:r w:rsidRPr="00164238">
              <w:rPr>
                <w:rFonts w:ascii="Times New Roman" w:hAnsi="Times New Roman" w:cs="Times New Roman"/>
                <w:b/>
                <w:bCs/>
                <w:noProof/>
                <w:color w:val="000000" w:themeColor="text1"/>
                <w:sz w:val="20"/>
                <w:szCs w:val="20"/>
              </w:rPr>
              <w:t>/df</w:t>
            </w:r>
          </w:p>
        </w:tc>
        <w:tc>
          <w:tcPr>
            <w:tcW w:w="1247" w:type="dxa"/>
            <w:tcBorders>
              <w:top w:val="single" w:sz="4" w:space="0" w:color="auto"/>
              <w:left w:val="nil"/>
              <w:bottom w:val="single" w:sz="4" w:space="0" w:color="auto"/>
              <w:right w:val="nil"/>
            </w:tcBorders>
            <w:hideMark/>
          </w:tcPr>
          <w:p w14:paraId="2DE15A62" w14:textId="77777777" w:rsidR="007F03EB" w:rsidRPr="00164238" w:rsidRDefault="007F03EB">
            <w:pPr>
              <w:spacing w:line="360" w:lineRule="auto"/>
              <w:jc w:val="center"/>
              <w:rPr>
                <w:rFonts w:ascii="Times New Roman" w:hAnsi="Times New Roman" w:cs="Times New Roman"/>
                <w:b/>
                <w:bCs/>
                <w:color w:val="000000" w:themeColor="text1"/>
                <w:sz w:val="20"/>
                <w:szCs w:val="20"/>
                <w:lang w:val="en-US"/>
              </w:rPr>
            </w:pPr>
            <w:r w:rsidRPr="00164238">
              <w:rPr>
                <w:rFonts w:ascii="Times New Roman" w:hAnsi="Times New Roman" w:cs="Times New Roman"/>
                <w:b/>
                <w:bCs/>
                <w:noProof/>
                <w:color w:val="000000" w:themeColor="text1"/>
                <w:sz w:val="20"/>
                <w:szCs w:val="20"/>
              </w:rPr>
              <w:t>CFI</w:t>
            </w:r>
          </w:p>
        </w:tc>
        <w:tc>
          <w:tcPr>
            <w:tcW w:w="1247" w:type="dxa"/>
            <w:tcBorders>
              <w:top w:val="single" w:sz="4" w:space="0" w:color="auto"/>
              <w:left w:val="nil"/>
              <w:bottom w:val="single" w:sz="4" w:space="0" w:color="auto"/>
              <w:right w:val="nil"/>
            </w:tcBorders>
            <w:hideMark/>
          </w:tcPr>
          <w:p w14:paraId="3955385F" w14:textId="77777777" w:rsidR="007F03EB" w:rsidRPr="00164238" w:rsidRDefault="007F03EB">
            <w:pPr>
              <w:spacing w:line="360" w:lineRule="auto"/>
              <w:jc w:val="center"/>
              <w:rPr>
                <w:rFonts w:ascii="Times New Roman" w:hAnsi="Times New Roman" w:cs="Times New Roman"/>
                <w:b/>
                <w:bCs/>
                <w:color w:val="000000" w:themeColor="text1"/>
                <w:sz w:val="20"/>
                <w:szCs w:val="20"/>
                <w:lang w:val="en-US"/>
              </w:rPr>
            </w:pPr>
            <w:r w:rsidRPr="00164238">
              <w:rPr>
                <w:rFonts w:ascii="Times New Roman" w:hAnsi="Times New Roman" w:cs="Times New Roman"/>
                <w:b/>
                <w:bCs/>
                <w:noProof/>
                <w:color w:val="000000" w:themeColor="text1"/>
                <w:sz w:val="20"/>
                <w:szCs w:val="20"/>
              </w:rPr>
              <w:t>RMSEA</w:t>
            </w:r>
          </w:p>
        </w:tc>
        <w:tc>
          <w:tcPr>
            <w:tcW w:w="1247" w:type="dxa"/>
            <w:tcBorders>
              <w:top w:val="single" w:sz="4" w:space="0" w:color="auto"/>
              <w:left w:val="nil"/>
              <w:bottom w:val="single" w:sz="4" w:space="0" w:color="auto"/>
              <w:right w:val="nil"/>
            </w:tcBorders>
            <w:hideMark/>
          </w:tcPr>
          <w:p w14:paraId="15605507" w14:textId="77777777" w:rsidR="007F03EB" w:rsidRPr="00164238" w:rsidRDefault="007F03EB">
            <w:pPr>
              <w:spacing w:line="360" w:lineRule="auto"/>
              <w:jc w:val="center"/>
              <w:rPr>
                <w:rFonts w:ascii="Times New Roman" w:hAnsi="Times New Roman" w:cs="Times New Roman"/>
                <w:b/>
                <w:bCs/>
                <w:color w:val="000000" w:themeColor="text1"/>
                <w:sz w:val="20"/>
                <w:szCs w:val="20"/>
                <w:lang w:val="en-US"/>
              </w:rPr>
            </w:pPr>
            <w:r w:rsidRPr="00164238">
              <w:rPr>
                <w:rFonts w:ascii="Times New Roman" w:hAnsi="Times New Roman" w:cs="Times New Roman"/>
                <w:b/>
                <w:bCs/>
                <w:noProof/>
                <w:color w:val="000000" w:themeColor="text1"/>
                <w:sz w:val="20"/>
                <w:szCs w:val="20"/>
              </w:rPr>
              <w:t>SRMR</w:t>
            </w:r>
          </w:p>
        </w:tc>
        <w:tc>
          <w:tcPr>
            <w:tcW w:w="1532" w:type="dxa"/>
            <w:tcBorders>
              <w:top w:val="single" w:sz="4" w:space="0" w:color="auto"/>
              <w:left w:val="nil"/>
              <w:bottom w:val="single" w:sz="4" w:space="0" w:color="auto"/>
              <w:right w:val="nil"/>
            </w:tcBorders>
            <w:hideMark/>
          </w:tcPr>
          <w:p w14:paraId="2BAAB015" w14:textId="77777777" w:rsidR="007F03EB" w:rsidRPr="00164238" w:rsidRDefault="007F03EB">
            <w:pPr>
              <w:spacing w:line="360" w:lineRule="auto"/>
              <w:rPr>
                <w:rFonts w:ascii="Times New Roman" w:hAnsi="Times New Roman" w:cs="Times New Roman"/>
                <w:b/>
                <w:bCs/>
                <w:color w:val="000000" w:themeColor="text1"/>
                <w:sz w:val="20"/>
                <w:szCs w:val="20"/>
                <w:lang w:val="en-US"/>
              </w:rPr>
            </w:pPr>
            <w:r w:rsidRPr="00164238">
              <w:rPr>
                <w:rFonts w:ascii="Times New Roman" w:hAnsi="Times New Roman" w:cs="Times New Roman"/>
                <w:b/>
                <w:bCs/>
                <w:noProof/>
                <w:color w:val="000000" w:themeColor="text1"/>
                <w:sz w:val="20"/>
                <w:szCs w:val="20"/>
              </w:rPr>
              <w:t>HOELTER.</w:t>
            </w:r>
            <w:r w:rsidRPr="00164238">
              <w:rPr>
                <w:rFonts w:ascii="Times New Roman" w:hAnsi="Times New Roman" w:cs="Times New Roman"/>
                <w:b/>
                <w:bCs/>
                <w:color w:val="000000" w:themeColor="text1"/>
                <w:sz w:val="20"/>
                <w:szCs w:val="20"/>
                <w:lang w:val="en-US"/>
              </w:rPr>
              <w:t xml:space="preserve"> 05</w:t>
            </w:r>
          </w:p>
        </w:tc>
      </w:tr>
      <w:tr w:rsidR="007F03EB" w:rsidRPr="00164238" w14:paraId="12E3ADEF" w14:textId="77777777" w:rsidTr="007F03EB">
        <w:tc>
          <w:tcPr>
            <w:tcW w:w="2552" w:type="dxa"/>
            <w:tcBorders>
              <w:top w:val="single" w:sz="4" w:space="0" w:color="auto"/>
              <w:left w:val="nil"/>
              <w:bottom w:val="nil"/>
              <w:right w:val="nil"/>
            </w:tcBorders>
            <w:hideMark/>
          </w:tcPr>
          <w:p w14:paraId="68B1CED2" w14:textId="77777777" w:rsidR="007F03EB" w:rsidRPr="00164238" w:rsidRDefault="007F03EB">
            <w:pPr>
              <w:spacing w:line="360" w:lineRule="auto"/>
              <w:jc w:val="right"/>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Threshold Values</w:t>
            </w:r>
          </w:p>
        </w:tc>
        <w:tc>
          <w:tcPr>
            <w:tcW w:w="1247" w:type="dxa"/>
            <w:tcBorders>
              <w:top w:val="single" w:sz="4" w:space="0" w:color="auto"/>
              <w:left w:val="nil"/>
              <w:bottom w:val="nil"/>
              <w:right w:val="nil"/>
            </w:tcBorders>
            <w:hideMark/>
          </w:tcPr>
          <w:p w14:paraId="08584175" w14:textId="77777777" w:rsidR="007F03EB" w:rsidRPr="00164238" w:rsidRDefault="007F03EB">
            <w:pPr>
              <w:spacing w:line="360" w:lineRule="auto"/>
              <w:jc w:val="center"/>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&lt;5.0*</w:t>
            </w:r>
          </w:p>
        </w:tc>
        <w:tc>
          <w:tcPr>
            <w:tcW w:w="1247" w:type="dxa"/>
            <w:tcBorders>
              <w:top w:val="single" w:sz="4" w:space="0" w:color="auto"/>
              <w:left w:val="nil"/>
              <w:bottom w:val="nil"/>
              <w:right w:val="nil"/>
            </w:tcBorders>
            <w:hideMark/>
          </w:tcPr>
          <w:p w14:paraId="3CD3DFF3" w14:textId="77777777" w:rsidR="007F03EB" w:rsidRPr="00164238" w:rsidRDefault="007F03EB">
            <w:pPr>
              <w:spacing w:line="360" w:lineRule="auto"/>
              <w:jc w:val="center"/>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≥.90**</w:t>
            </w:r>
          </w:p>
        </w:tc>
        <w:tc>
          <w:tcPr>
            <w:tcW w:w="1247" w:type="dxa"/>
            <w:tcBorders>
              <w:top w:val="single" w:sz="4" w:space="0" w:color="auto"/>
              <w:left w:val="nil"/>
              <w:bottom w:val="nil"/>
              <w:right w:val="nil"/>
            </w:tcBorders>
            <w:hideMark/>
          </w:tcPr>
          <w:p w14:paraId="27433AD4" w14:textId="77777777" w:rsidR="007F03EB" w:rsidRPr="00164238" w:rsidRDefault="007F03EB">
            <w:pPr>
              <w:spacing w:line="360" w:lineRule="auto"/>
              <w:jc w:val="center"/>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&lt;.10***</w:t>
            </w:r>
          </w:p>
        </w:tc>
        <w:tc>
          <w:tcPr>
            <w:tcW w:w="1247" w:type="dxa"/>
            <w:tcBorders>
              <w:top w:val="single" w:sz="4" w:space="0" w:color="auto"/>
              <w:left w:val="nil"/>
              <w:bottom w:val="nil"/>
              <w:right w:val="nil"/>
            </w:tcBorders>
            <w:hideMark/>
          </w:tcPr>
          <w:p w14:paraId="5934B0C7" w14:textId="77777777" w:rsidR="007F03EB" w:rsidRPr="00164238" w:rsidRDefault="007F03EB">
            <w:pPr>
              <w:spacing w:line="360" w:lineRule="auto"/>
              <w:jc w:val="center"/>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≤.10****</w:t>
            </w:r>
          </w:p>
        </w:tc>
        <w:tc>
          <w:tcPr>
            <w:tcW w:w="1532" w:type="dxa"/>
            <w:tcBorders>
              <w:top w:val="single" w:sz="4" w:space="0" w:color="auto"/>
              <w:left w:val="nil"/>
              <w:bottom w:val="nil"/>
              <w:right w:val="nil"/>
            </w:tcBorders>
            <w:hideMark/>
          </w:tcPr>
          <w:p w14:paraId="556EB35C" w14:textId="77777777" w:rsidR="007F03EB" w:rsidRPr="00164238" w:rsidRDefault="007F03EB">
            <w:pPr>
              <w:spacing w:line="360" w:lineRule="auto"/>
              <w:jc w:val="center"/>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&gt;75*****</w:t>
            </w:r>
          </w:p>
        </w:tc>
      </w:tr>
      <w:tr w:rsidR="007F03EB" w:rsidRPr="00164238" w14:paraId="62A7EB22" w14:textId="77777777" w:rsidTr="007F03EB">
        <w:tc>
          <w:tcPr>
            <w:tcW w:w="2552" w:type="dxa"/>
            <w:tcBorders>
              <w:top w:val="nil"/>
              <w:left w:val="nil"/>
              <w:bottom w:val="nil"/>
              <w:right w:val="nil"/>
            </w:tcBorders>
            <w:hideMark/>
          </w:tcPr>
          <w:p w14:paraId="439477AD" w14:textId="77777777" w:rsidR="007F03EB" w:rsidRPr="00164238" w:rsidRDefault="007F03EB">
            <w:pPr>
              <w:spacing w:line="360" w:lineRule="auto"/>
              <w:jc w:val="right"/>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Original Model</w:t>
            </w:r>
          </w:p>
        </w:tc>
        <w:tc>
          <w:tcPr>
            <w:tcW w:w="1247" w:type="dxa"/>
            <w:tcBorders>
              <w:top w:val="nil"/>
              <w:left w:val="nil"/>
              <w:bottom w:val="nil"/>
              <w:right w:val="nil"/>
            </w:tcBorders>
            <w:hideMark/>
          </w:tcPr>
          <w:p w14:paraId="31BFF71F" w14:textId="77777777" w:rsidR="007F03EB" w:rsidRPr="00164238" w:rsidRDefault="007F03EB">
            <w:pPr>
              <w:spacing w:line="360" w:lineRule="auto"/>
              <w:jc w:val="center"/>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2.97</w:t>
            </w:r>
          </w:p>
        </w:tc>
        <w:tc>
          <w:tcPr>
            <w:tcW w:w="1247" w:type="dxa"/>
            <w:tcBorders>
              <w:top w:val="nil"/>
              <w:left w:val="nil"/>
              <w:bottom w:val="nil"/>
              <w:right w:val="nil"/>
            </w:tcBorders>
            <w:hideMark/>
          </w:tcPr>
          <w:p w14:paraId="2C7840D9" w14:textId="77777777" w:rsidR="007F03EB" w:rsidRPr="00164238" w:rsidRDefault="007F03EB">
            <w:pPr>
              <w:spacing w:line="360" w:lineRule="auto"/>
              <w:jc w:val="center"/>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.89</w:t>
            </w:r>
          </w:p>
        </w:tc>
        <w:tc>
          <w:tcPr>
            <w:tcW w:w="1247" w:type="dxa"/>
            <w:tcBorders>
              <w:top w:val="nil"/>
              <w:left w:val="nil"/>
              <w:bottom w:val="nil"/>
              <w:right w:val="nil"/>
            </w:tcBorders>
            <w:hideMark/>
          </w:tcPr>
          <w:p w14:paraId="1C5C7D7B" w14:textId="77777777" w:rsidR="007F03EB" w:rsidRPr="00164238" w:rsidRDefault="007F03EB">
            <w:pPr>
              <w:spacing w:line="360" w:lineRule="auto"/>
              <w:jc w:val="center"/>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.09</w:t>
            </w:r>
          </w:p>
        </w:tc>
        <w:tc>
          <w:tcPr>
            <w:tcW w:w="1247" w:type="dxa"/>
            <w:tcBorders>
              <w:top w:val="nil"/>
              <w:left w:val="nil"/>
              <w:bottom w:val="nil"/>
              <w:right w:val="nil"/>
            </w:tcBorders>
            <w:hideMark/>
          </w:tcPr>
          <w:p w14:paraId="23469773" w14:textId="77777777" w:rsidR="007F03EB" w:rsidRPr="00164238" w:rsidRDefault="007F03EB">
            <w:pPr>
              <w:spacing w:line="360" w:lineRule="auto"/>
              <w:jc w:val="center"/>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.07</w:t>
            </w:r>
          </w:p>
        </w:tc>
        <w:tc>
          <w:tcPr>
            <w:tcW w:w="1532" w:type="dxa"/>
            <w:tcBorders>
              <w:top w:val="nil"/>
              <w:left w:val="nil"/>
              <w:bottom w:val="nil"/>
              <w:right w:val="nil"/>
            </w:tcBorders>
            <w:hideMark/>
          </w:tcPr>
          <w:p w14:paraId="662CE05B" w14:textId="77777777" w:rsidR="007F03EB" w:rsidRPr="00164238" w:rsidRDefault="007F03EB">
            <w:pPr>
              <w:spacing w:line="360" w:lineRule="auto"/>
              <w:jc w:val="center"/>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84</w:t>
            </w:r>
          </w:p>
        </w:tc>
      </w:tr>
      <w:tr w:rsidR="007F03EB" w:rsidRPr="00164238" w14:paraId="3D829DAA" w14:textId="77777777" w:rsidTr="007F03EB">
        <w:tc>
          <w:tcPr>
            <w:tcW w:w="2552" w:type="dxa"/>
            <w:tcBorders>
              <w:top w:val="nil"/>
              <w:left w:val="nil"/>
              <w:bottom w:val="single" w:sz="4" w:space="0" w:color="auto"/>
              <w:right w:val="nil"/>
            </w:tcBorders>
            <w:hideMark/>
          </w:tcPr>
          <w:p w14:paraId="5EF45CA7" w14:textId="77777777" w:rsidR="007F03EB" w:rsidRPr="00164238" w:rsidRDefault="007F03EB">
            <w:pPr>
              <w:spacing w:line="360" w:lineRule="auto"/>
              <w:jc w:val="right"/>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Revised Model</w:t>
            </w:r>
          </w:p>
        </w:tc>
        <w:tc>
          <w:tcPr>
            <w:tcW w:w="1247" w:type="dxa"/>
            <w:tcBorders>
              <w:top w:val="nil"/>
              <w:left w:val="nil"/>
              <w:bottom w:val="single" w:sz="4" w:space="0" w:color="auto"/>
              <w:right w:val="nil"/>
            </w:tcBorders>
            <w:hideMark/>
          </w:tcPr>
          <w:p w14:paraId="5F9362AF" w14:textId="77777777" w:rsidR="007F03EB" w:rsidRPr="00164238" w:rsidRDefault="007F03EB">
            <w:pPr>
              <w:spacing w:line="360" w:lineRule="auto"/>
              <w:jc w:val="center"/>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2.71</w:t>
            </w:r>
          </w:p>
        </w:tc>
        <w:tc>
          <w:tcPr>
            <w:tcW w:w="1247" w:type="dxa"/>
            <w:tcBorders>
              <w:top w:val="nil"/>
              <w:left w:val="nil"/>
              <w:bottom w:val="single" w:sz="4" w:space="0" w:color="auto"/>
              <w:right w:val="nil"/>
            </w:tcBorders>
            <w:hideMark/>
          </w:tcPr>
          <w:p w14:paraId="343DC29E" w14:textId="77777777" w:rsidR="007F03EB" w:rsidRPr="00164238" w:rsidRDefault="007F03EB">
            <w:pPr>
              <w:spacing w:line="360" w:lineRule="auto"/>
              <w:jc w:val="center"/>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.90</w:t>
            </w:r>
          </w:p>
        </w:tc>
        <w:tc>
          <w:tcPr>
            <w:tcW w:w="1247" w:type="dxa"/>
            <w:tcBorders>
              <w:top w:val="nil"/>
              <w:left w:val="nil"/>
              <w:bottom w:val="single" w:sz="4" w:space="0" w:color="auto"/>
              <w:right w:val="nil"/>
            </w:tcBorders>
            <w:hideMark/>
          </w:tcPr>
          <w:p w14:paraId="40600895" w14:textId="77777777" w:rsidR="007F03EB" w:rsidRPr="00164238" w:rsidRDefault="007F03EB">
            <w:pPr>
              <w:spacing w:line="360" w:lineRule="auto"/>
              <w:jc w:val="center"/>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.09</w:t>
            </w:r>
          </w:p>
        </w:tc>
        <w:tc>
          <w:tcPr>
            <w:tcW w:w="1247" w:type="dxa"/>
            <w:tcBorders>
              <w:top w:val="nil"/>
              <w:left w:val="nil"/>
              <w:bottom w:val="single" w:sz="4" w:space="0" w:color="auto"/>
              <w:right w:val="nil"/>
            </w:tcBorders>
            <w:hideMark/>
          </w:tcPr>
          <w:p w14:paraId="3F360629" w14:textId="77777777" w:rsidR="007F03EB" w:rsidRPr="00164238" w:rsidRDefault="007F03EB">
            <w:pPr>
              <w:spacing w:line="360" w:lineRule="auto"/>
              <w:jc w:val="center"/>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.07</w:t>
            </w:r>
          </w:p>
        </w:tc>
        <w:tc>
          <w:tcPr>
            <w:tcW w:w="1532" w:type="dxa"/>
            <w:tcBorders>
              <w:top w:val="nil"/>
              <w:left w:val="nil"/>
              <w:bottom w:val="single" w:sz="4" w:space="0" w:color="auto"/>
              <w:right w:val="nil"/>
            </w:tcBorders>
            <w:hideMark/>
          </w:tcPr>
          <w:p w14:paraId="1697180E" w14:textId="77777777" w:rsidR="007F03EB" w:rsidRPr="00164238" w:rsidRDefault="007F03EB">
            <w:pPr>
              <w:spacing w:line="360" w:lineRule="auto"/>
              <w:jc w:val="center"/>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91</w:t>
            </w:r>
          </w:p>
        </w:tc>
      </w:tr>
    </w:tbl>
    <w:p w14:paraId="56E74EA9" w14:textId="77777777" w:rsidR="007F03EB" w:rsidRPr="00164238" w:rsidRDefault="007F03EB" w:rsidP="007F03EB">
      <w:pPr>
        <w:pStyle w:val="ListParagraph1"/>
        <w:spacing w:after="0" w:line="240" w:lineRule="auto"/>
        <w:ind w:left="0"/>
        <w:jc w:val="both"/>
        <w:rPr>
          <w:rFonts w:ascii="Times New Roman" w:hAnsi="Times New Roman"/>
          <w:color w:val="000000" w:themeColor="text1"/>
          <w:sz w:val="20"/>
          <w:szCs w:val="20"/>
          <w:lang w:val="en-US"/>
        </w:rPr>
      </w:pPr>
      <w:r w:rsidRPr="00164238">
        <w:rPr>
          <w:rFonts w:ascii="Times New Roman" w:hAnsi="Times New Roman"/>
          <w:noProof/>
          <w:color w:val="000000" w:themeColor="text1"/>
          <w:sz w:val="20"/>
          <w:szCs w:val="20"/>
        </w:rPr>
        <w:t>*Bentler &amp; Bonett (1980); **Hu &amp; Bentler (1999); ***Browne &amp; Cudeck (1992); ****Schermelleh-Engel et al.</w:t>
      </w:r>
      <w:r w:rsidRPr="00164238">
        <w:rPr>
          <w:rFonts w:ascii="Times New Roman" w:hAnsi="Times New Roman"/>
          <w:color w:val="000000" w:themeColor="text1"/>
          <w:sz w:val="20"/>
          <w:szCs w:val="20"/>
          <w:lang w:val="en-US"/>
        </w:rPr>
        <w:t xml:space="preserve"> </w:t>
      </w:r>
      <w:r w:rsidRPr="00164238">
        <w:rPr>
          <w:rFonts w:ascii="Times New Roman" w:hAnsi="Times New Roman"/>
          <w:noProof/>
          <w:color w:val="000000" w:themeColor="text1"/>
          <w:sz w:val="20"/>
          <w:szCs w:val="20"/>
        </w:rPr>
        <w:t>(2003); *****Emhan et al.</w:t>
      </w:r>
      <w:r w:rsidRPr="00164238">
        <w:rPr>
          <w:rFonts w:ascii="Times New Roman" w:hAnsi="Times New Roman"/>
          <w:color w:val="000000" w:themeColor="text1"/>
          <w:sz w:val="20"/>
          <w:szCs w:val="20"/>
          <w:lang w:val="en-US"/>
        </w:rPr>
        <w:t xml:space="preserve"> (2013)</w:t>
      </w:r>
    </w:p>
    <w:p w14:paraId="02C18350" w14:textId="77777777" w:rsidR="007F03EB" w:rsidRPr="00164238" w:rsidRDefault="007F03EB" w:rsidP="007F03EB">
      <w:pPr>
        <w:pStyle w:val="ListParagraph1"/>
        <w:spacing w:after="0" w:line="240" w:lineRule="auto"/>
        <w:ind w:left="0" w:firstLine="708"/>
        <w:jc w:val="both"/>
        <w:rPr>
          <w:rFonts w:ascii="Times New Roman" w:hAnsi="Times New Roman"/>
          <w:color w:val="000000" w:themeColor="text1"/>
          <w:sz w:val="20"/>
          <w:szCs w:val="20"/>
          <w:lang w:val="en-US"/>
        </w:rPr>
      </w:pPr>
      <w:r w:rsidRPr="00164238">
        <w:rPr>
          <w:rFonts w:ascii="Times New Roman" w:hAnsi="Times New Roman"/>
          <w:color w:val="000000" w:themeColor="text1"/>
          <w:sz w:val="20"/>
          <w:szCs w:val="20"/>
          <w:lang w:val="en-US"/>
        </w:rPr>
        <w:t>As seen in Table 1, when the fit-index values for original model ​​(x</w:t>
      </w:r>
      <w:r w:rsidRPr="00164238">
        <w:rPr>
          <w:rFonts w:ascii="Times New Roman" w:hAnsi="Times New Roman"/>
          <w:color w:val="000000" w:themeColor="text1"/>
          <w:sz w:val="20"/>
          <w:szCs w:val="20"/>
          <w:vertAlign w:val="superscript"/>
          <w:lang w:val="en-US"/>
        </w:rPr>
        <w:t>2</w:t>
      </w:r>
      <w:r w:rsidRPr="00164238">
        <w:rPr>
          <w:rFonts w:ascii="Times New Roman" w:hAnsi="Times New Roman"/>
          <w:color w:val="000000" w:themeColor="text1"/>
          <w:sz w:val="20"/>
          <w:szCs w:val="20"/>
          <w:lang w:val="en-US"/>
        </w:rPr>
        <w:t>/df= 2.97, CFI= .89, RMSEA= .09, SRMR= .07, HOELTER .05= 84) are compared with threshold values, it is seen that CFI fit-index value, which is considered as ​​comparative fit-index (Meydan &amp; Şeşen, 2011) and sensitive to the sample size (Hu &amp; Bentler, 1999), is below the threshold value. Therefore, the covariance between the error terms of 5</w:t>
      </w:r>
      <w:r w:rsidRPr="00164238">
        <w:rPr>
          <w:rFonts w:ascii="Times New Roman" w:hAnsi="Times New Roman"/>
          <w:color w:val="000000" w:themeColor="text1"/>
          <w:sz w:val="20"/>
          <w:szCs w:val="20"/>
          <w:vertAlign w:val="superscript"/>
          <w:lang w:val="en-US"/>
        </w:rPr>
        <w:t>th</w:t>
      </w:r>
      <w:r w:rsidRPr="00164238">
        <w:rPr>
          <w:rFonts w:ascii="Times New Roman" w:hAnsi="Times New Roman"/>
          <w:color w:val="000000" w:themeColor="text1"/>
          <w:sz w:val="20"/>
          <w:szCs w:val="20"/>
          <w:lang w:val="en-US"/>
        </w:rPr>
        <w:t xml:space="preserve"> and 11</w:t>
      </w:r>
      <w:r w:rsidRPr="00164238">
        <w:rPr>
          <w:rFonts w:ascii="Times New Roman" w:hAnsi="Times New Roman"/>
          <w:color w:val="000000" w:themeColor="text1"/>
          <w:sz w:val="20"/>
          <w:szCs w:val="20"/>
          <w:vertAlign w:val="superscript"/>
          <w:lang w:val="en-US"/>
        </w:rPr>
        <w:t>th</w:t>
      </w:r>
      <w:r w:rsidRPr="00164238">
        <w:rPr>
          <w:rFonts w:ascii="Times New Roman" w:hAnsi="Times New Roman"/>
          <w:color w:val="000000" w:themeColor="text1"/>
          <w:sz w:val="20"/>
          <w:szCs w:val="20"/>
          <w:lang w:val="en-US"/>
        </w:rPr>
        <w:t xml:space="preserve"> items by considering also the theoretical structure of the supervisor’s virtual technology competence scale was added. After that, the obtained fit-index values (x</w:t>
      </w:r>
      <w:r w:rsidRPr="00164238">
        <w:rPr>
          <w:rFonts w:ascii="Times New Roman" w:hAnsi="Times New Roman"/>
          <w:color w:val="000000" w:themeColor="text1"/>
          <w:sz w:val="20"/>
          <w:szCs w:val="20"/>
          <w:vertAlign w:val="superscript"/>
          <w:lang w:val="en-US"/>
        </w:rPr>
        <w:t>2</w:t>
      </w:r>
      <w:r w:rsidRPr="00164238">
        <w:rPr>
          <w:rFonts w:ascii="Times New Roman" w:hAnsi="Times New Roman"/>
          <w:color w:val="000000" w:themeColor="text1"/>
          <w:sz w:val="20"/>
          <w:szCs w:val="20"/>
          <w:lang w:val="en-US"/>
        </w:rPr>
        <w:t>/df= 2.71, CFI= .90, RMSEA= .09, SRMR= .07, HOELTER .05= 91) were found sufficient and the structure validity of the research model was ensured.</w:t>
      </w:r>
    </w:p>
    <w:p w14:paraId="54D74657" w14:textId="77777777" w:rsidR="007F03EB" w:rsidRPr="00164238" w:rsidRDefault="007F03EB" w:rsidP="007F03EB">
      <w:pPr>
        <w:spacing w:before="120"/>
        <w:ind w:firstLine="708"/>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Within scope of the study, both the validity of the scales, used in the study, was ensured and the necessary grounds for testing the research hypothesis via structural equation modeling were prepared by performing an overall-confirmatory factor analysis of the measurement model.</w:t>
      </w:r>
    </w:p>
    <w:p w14:paraId="61B24CE0" w14:textId="2D56CE6D" w:rsidR="007F03EB" w:rsidRPr="00164238" w:rsidRDefault="007F03EB" w:rsidP="007F03EB">
      <w:pPr>
        <w:spacing w:before="120"/>
        <w:ind w:firstLine="708"/>
        <w:jc w:val="both"/>
        <w:rPr>
          <w:rFonts w:ascii="Times New Roman" w:eastAsia="Times New Roman" w:hAnsi="Times New Roman" w:cs="Times New Roman"/>
          <w:b/>
          <w:bCs/>
          <w:color w:val="000000" w:themeColor="text1"/>
          <w:sz w:val="20"/>
          <w:szCs w:val="20"/>
          <w:shd w:val="clear" w:color="auto" w:fill="FFFFFF"/>
          <w:lang w:val="en-US" w:eastAsia="tr-TR"/>
        </w:rPr>
      </w:pPr>
      <w:r w:rsidRPr="00164238">
        <w:rPr>
          <w:rFonts w:ascii="Times New Roman" w:eastAsia="Times New Roman" w:hAnsi="Times New Roman" w:cs="Times New Roman"/>
          <w:b/>
          <w:bCs/>
          <w:color w:val="000000" w:themeColor="text1"/>
          <w:sz w:val="20"/>
          <w:szCs w:val="20"/>
          <w:shd w:val="clear" w:color="auto" w:fill="FFFFFF"/>
          <w:lang w:val="en-US" w:eastAsia="tr-TR"/>
        </w:rPr>
        <w:t>Reliability and Correlation Analyses</w:t>
      </w:r>
    </w:p>
    <w:p w14:paraId="103C12FB" w14:textId="77777777" w:rsidR="007F03EB" w:rsidRPr="00164238" w:rsidRDefault="007F03EB" w:rsidP="007F03EB">
      <w:pPr>
        <w:spacing w:before="120"/>
        <w:jc w:val="both"/>
        <w:rPr>
          <w:rFonts w:ascii="Times New Roman" w:hAnsi="Times New Roman" w:cs="Times New Roman"/>
          <w:b/>
          <w:bCs/>
          <w:color w:val="000000" w:themeColor="text1"/>
          <w:sz w:val="20"/>
          <w:szCs w:val="20"/>
          <w:shd w:val="clear" w:color="auto" w:fill="FFFFFF"/>
          <w:lang w:val="en-US"/>
        </w:rPr>
      </w:pPr>
      <w:r w:rsidRPr="00164238">
        <w:rPr>
          <w:rFonts w:ascii="Times New Roman" w:hAnsi="Times New Roman" w:cs="Times New Roman"/>
          <w:b/>
          <w:bCs/>
          <w:color w:val="000000" w:themeColor="text1"/>
          <w:sz w:val="20"/>
          <w:szCs w:val="20"/>
          <w:shd w:val="clear" w:color="auto" w:fill="FFFFFF"/>
          <w:lang w:val="en-US"/>
        </w:rPr>
        <w:t>Table 2</w:t>
      </w:r>
    </w:p>
    <w:p w14:paraId="6BB0E659" w14:textId="77777777" w:rsidR="007F03EB" w:rsidRPr="00164238" w:rsidRDefault="007F03EB" w:rsidP="007F03EB">
      <w:pPr>
        <w:jc w:val="both"/>
        <w:rPr>
          <w:rFonts w:ascii="Times New Roman" w:hAnsi="Times New Roman" w:cs="Times New Roman"/>
          <w:i/>
          <w:iCs/>
          <w:color w:val="000000" w:themeColor="text1"/>
          <w:sz w:val="20"/>
          <w:szCs w:val="20"/>
          <w:shd w:val="clear" w:color="auto" w:fill="FFFFFF"/>
          <w:lang w:val="en-US"/>
        </w:rPr>
      </w:pPr>
      <w:r w:rsidRPr="00164238">
        <w:rPr>
          <w:rFonts w:ascii="Times New Roman" w:hAnsi="Times New Roman" w:cs="Times New Roman"/>
          <w:i/>
          <w:iCs/>
          <w:color w:val="000000" w:themeColor="text1"/>
          <w:sz w:val="20"/>
          <w:szCs w:val="20"/>
          <w:shd w:val="clear" w:color="auto" w:fill="FFFFFF"/>
          <w:lang w:val="en-US"/>
        </w:rPr>
        <w:t>Results of Reliability and Pearson Correlation Analyses</w:t>
      </w:r>
    </w:p>
    <w:tbl>
      <w:tblPr>
        <w:tblStyle w:val="TabloKlavuzu"/>
        <w:tblpPr w:leftFromText="141" w:rightFromText="141" w:vertAnchor="text" w:horzAnchor="margin" w:tblpX="108" w:tblpY="95"/>
        <w:tblW w:w="9180"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94"/>
        <w:gridCol w:w="601"/>
        <w:gridCol w:w="567"/>
        <w:gridCol w:w="675"/>
        <w:gridCol w:w="742"/>
        <w:gridCol w:w="709"/>
        <w:gridCol w:w="709"/>
        <w:gridCol w:w="708"/>
        <w:gridCol w:w="675"/>
      </w:tblGrid>
      <w:tr w:rsidR="007F03EB" w:rsidRPr="00164238" w14:paraId="6A2CDA72" w14:textId="77777777" w:rsidTr="007F03EB">
        <w:tc>
          <w:tcPr>
            <w:tcW w:w="3794" w:type="dxa"/>
            <w:tcBorders>
              <w:top w:val="single" w:sz="4" w:space="0" w:color="auto"/>
              <w:left w:val="nil"/>
              <w:bottom w:val="single" w:sz="4" w:space="0" w:color="auto"/>
              <w:right w:val="nil"/>
            </w:tcBorders>
            <w:hideMark/>
          </w:tcPr>
          <w:p w14:paraId="7C81C2E3" w14:textId="77777777" w:rsidR="007F03EB" w:rsidRPr="00164238" w:rsidRDefault="007F03EB">
            <w:pPr>
              <w:rPr>
                <w:rFonts w:ascii="Times New Roman" w:hAnsi="Times New Roman" w:cs="Times New Roman"/>
                <w:b/>
                <w:bCs/>
                <w:color w:val="000000" w:themeColor="text1"/>
                <w:sz w:val="20"/>
                <w:szCs w:val="20"/>
                <w:shd w:val="clear" w:color="auto" w:fill="FFFFFF"/>
                <w:lang w:val="en-US"/>
              </w:rPr>
            </w:pPr>
            <w:r w:rsidRPr="00164238">
              <w:rPr>
                <w:rFonts w:ascii="Times New Roman" w:hAnsi="Times New Roman" w:cs="Times New Roman"/>
                <w:b/>
                <w:bCs/>
                <w:color w:val="000000" w:themeColor="text1"/>
                <w:sz w:val="20"/>
                <w:szCs w:val="20"/>
                <w:shd w:val="clear" w:color="auto" w:fill="FFFFFF"/>
                <w:lang w:val="en-US"/>
              </w:rPr>
              <w:t>Variables</w:t>
            </w:r>
          </w:p>
        </w:tc>
        <w:tc>
          <w:tcPr>
            <w:tcW w:w="601" w:type="dxa"/>
            <w:tcBorders>
              <w:top w:val="single" w:sz="4" w:space="0" w:color="auto"/>
              <w:left w:val="nil"/>
              <w:bottom w:val="single" w:sz="4" w:space="0" w:color="auto"/>
              <w:right w:val="nil"/>
            </w:tcBorders>
            <w:hideMark/>
          </w:tcPr>
          <w:p w14:paraId="191E87A9" w14:textId="77777777" w:rsidR="007F03EB" w:rsidRPr="00164238" w:rsidRDefault="007F03EB">
            <w:pPr>
              <w:jc w:val="center"/>
              <w:rPr>
                <w:rFonts w:ascii="Times New Roman" w:hAnsi="Times New Roman" w:cs="Times New Roman"/>
                <w:b/>
                <w:bCs/>
                <w:color w:val="000000" w:themeColor="text1"/>
                <w:sz w:val="20"/>
                <w:szCs w:val="20"/>
                <w:shd w:val="clear" w:color="auto" w:fill="FFFFFF"/>
                <w:lang w:val="en-US"/>
              </w:rPr>
            </w:pPr>
            <w:r w:rsidRPr="00164238">
              <w:rPr>
                <w:rFonts w:ascii="Times New Roman" w:hAnsi="Times New Roman" w:cs="Times New Roman"/>
                <w:b/>
                <w:bCs/>
                <w:color w:val="000000" w:themeColor="text1"/>
                <w:sz w:val="20"/>
                <w:szCs w:val="20"/>
                <w:shd w:val="clear" w:color="auto" w:fill="FFFFFF"/>
                <w:lang w:val="en-US"/>
              </w:rPr>
              <w:t>1</w:t>
            </w:r>
          </w:p>
        </w:tc>
        <w:tc>
          <w:tcPr>
            <w:tcW w:w="567" w:type="dxa"/>
            <w:tcBorders>
              <w:top w:val="single" w:sz="4" w:space="0" w:color="auto"/>
              <w:left w:val="nil"/>
              <w:bottom w:val="single" w:sz="4" w:space="0" w:color="auto"/>
              <w:right w:val="nil"/>
            </w:tcBorders>
            <w:hideMark/>
          </w:tcPr>
          <w:p w14:paraId="43472859" w14:textId="77777777" w:rsidR="007F03EB" w:rsidRPr="00164238" w:rsidRDefault="007F03EB">
            <w:pPr>
              <w:jc w:val="center"/>
              <w:rPr>
                <w:rFonts w:ascii="Times New Roman" w:hAnsi="Times New Roman" w:cs="Times New Roman"/>
                <w:b/>
                <w:bCs/>
                <w:color w:val="000000" w:themeColor="text1"/>
                <w:sz w:val="20"/>
                <w:szCs w:val="20"/>
                <w:shd w:val="clear" w:color="auto" w:fill="FFFFFF"/>
                <w:lang w:val="en-US"/>
              </w:rPr>
            </w:pPr>
            <w:r w:rsidRPr="00164238">
              <w:rPr>
                <w:rFonts w:ascii="Times New Roman" w:hAnsi="Times New Roman" w:cs="Times New Roman"/>
                <w:b/>
                <w:bCs/>
                <w:color w:val="000000" w:themeColor="text1"/>
                <w:sz w:val="20"/>
                <w:szCs w:val="20"/>
                <w:shd w:val="clear" w:color="auto" w:fill="FFFFFF"/>
                <w:lang w:val="en-US"/>
              </w:rPr>
              <w:t>2</w:t>
            </w:r>
          </w:p>
        </w:tc>
        <w:tc>
          <w:tcPr>
            <w:tcW w:w="675" w:type="dxa"/>
            <w:tcBorders>
              <w:top w:val="single" w:sz="4" w:space="0" w:color="auto"/>
              <w:left w:val="nil"/>
              <w:bottom w:val="single" w:sz="4" w:space="0" w:color="auto"/>
              <w:right w:val="nil"/>
            </w:tcBorders>
            <w:hideMark/>
          </w:tcPr>
          <w:p w14:paraId="1BE3C2E3" w14:textId="77777777" w:rsidR="007F03EB" w:rsidRPr="00164238" w:rsidRDefault="007F03EB">
            <w:pPr>
              <w:jc w:val="center"/>
              <w:rPr>
                <w:rFonts w:ascii="Times New Roman" w:hAnsi="Times New Roman" w:cs="Times New Roman"/>
                <w:b/>
                <w:bCs/>
                <w:color w:val="000000" w:themeColor="text1"/>
                <w:sz w:val="20"/>
                <w:szCs w:val="20"/>
                <w:shd w:val="clear" w:color="auto" w:fill="FFFFFF"/>
                <w:lang w:val="en-US"/>
              </w:rPr>
            </w:pPr>
            <w:r w:rsidRPr="00164238">
              <w:rPr>
                <w:rFonts w:ascii="Times New Roman" w:hAnsi="Times New Roman" w:cs="Times New Roman"/>
                <w:b/>
                <w:bCs/>
                <w:color w:val="000000" w:themeColor="text1"/>
                <w:sz w:val="20"/>
                <w:szCs w:val="20"/>
                <w:shd w:val="clear" w:color="auto" w:fill="FFFFFF"/>
                <w:lang w:val="en-US"/>
              </w:rPr>
              <w:t>3</w:t>
            </w:r>
          </w:p>
        </w:tc>
        <w:tc>
          <w:tcPr>
            <w:tcW w:w="742" w:type="dxa"/>
            <w:tcBorders>
              <w:top w:val="single" w:sz="4" w:space="0" w:color="auto"/>
              <w:left w:val="nil"/>
              <w:bottom w:val="single" w:sz="4" w:space="0" w:color="auto"/>
              <w:right w:val="nil"/>
            </w:tcBorders>
            <w:hideMark/>
          </w:tcPr>
          <w:p w14:paraId="0BB84F2B" w14:textId="77777777" w:rsidR="007F03EB" w:rsidRPr="00164238" w:rsidRDefault="007F03EB">
            <w:pPr>
              <w:jc w:val="center"/>
              <w:rPr>
                <w:rFonts w:ascii="Times New Roman" w:hAnsi="Times New Roman" w:cs="Times New Roman"/>
                <w:b/>
                <w:bCs/>
                <w:color w:val="000000" w:themeColor="text1"/>
                <w:sz w:val="20"/>
                <w:szCs w:val="20"/>
                <w:shd w:val="clear" w:color="auto" w:fill="FFFFFF"/>
                <w:lang w:val="en-US"/>
              </w:rPr>
            </w:pPr>
            <w:r w:rsidRPr="00164238">
              <w:rPr>
                <w:rFonts w:ascii="Times New Roman" w:hAnsi="Times New Roman" w:cs="Times New Roman"/>
                <w:b/>
                <w:bCs/>
                <w:color w:val="000000" w:themeColor="text1"/>
                <w:sz w:val="20"/>
                <w:szCs w:val="20"/>
                <w:shd w:val="clear" w:color="auto" w:fill="FFFFFF"/>
                <w:lang w:val="en-US"/>
              </w:rPr>
              <w:t>4</w:t>
            </w:r>
          </w:p>
        </w:tc>
        <w:tc>
          <w:tcPr>
            <w:tcW w:w="709" w:type="dxa"/>
            <w:tcBorders>
              <w:top w:val="single" w:sz="4" w:space="0" w:color="auto"/>
              <w:left w:val="nil"/>
              <w:bottom w:val="single" w:sz="4" w:space="0" w:color="auto"/>
              <w:right w:val="nil"/>
            </w:tcBorders>
            <w:hideMark/>
          </w:tcPr>
          <w:p w14:paraId="38C1C9C9" w14:textId="77777777" w:rsidR="007F03EB" w:rsidRPr="00164238" w:rsidRDefault="007F03EB">
            <w:pPr>
              <w:jc w:val="center"/>
              <w:rPr>
                <w:rFonts w:ascii="Times New Roman" w:hAnsi="Times New Roman" w:cs="Times New Roman"/>
                <w:b/>
                <w:bCs/>
                <w:color w:val="000000" w:themeColor="text1"/>
                <w:sz w:val="20"/>
                <w:szCs w:val="20"/>
                <w:shd w:val="clear" w:color="auto" w:fill="FFFFFF"/>
                <w:lang w:val="en-US"/>
              </w:rPr>
            </w:pPr>
            <w:r w:rsidRPr="00164238">
              <w:rPr>
                <w:rFonts w:ascii="Times New Roman" w:hAnsi="Times New Roman" w:cs="Times New Roman"/>
                <w:b/>
                <w:bCs/>
                <w:color w:val="000000" w:themeColor="text1"/>
                <w:sz w:val="20"/>
                <w:szCs w:val="20"/>
                <w:shd w:val="clear" w:color="auto" w:fill="FFFFFF"/>
                <w:lang w:val="en-US"/>
              </w:rPr>
              <w:t>5</w:t>
            </w:r>
          </w:p>
        </w:tc>
        <w:tc>
          <w:tcPr>
            <w:tcW w:w="709" w:type="dxa"/>
            <w:tcBorders>
              <w:top w:val="single" w:sz="4" w:space="0" w:color="auto"/>
              <w:left w:val="nil"/>
              <w:bottom w:val="single" w:sz="4" w:space="0" w:color="auto"/>
              <w:right w:val="nil"/>
            </w:tcBorders>
            <w:hideMark/>
          </w:tcPr>
          <w:p w14:paraId="7D670174" w14:textId="77777777" w:rsidR="007F03EB" w:rsidRPr="00164238" w:rsidRDefault="007F03EB">
            <w:pPr>
              <w:jc w:val="center"/>
              <w:rPr>
                <w:rFonts w:ascii="Times New Roman" w:hAnsi="Times New Roman" w:cs="Times New Roman"/>
                <w:b/>
                <w:bCs/>
                <w:color w:val="000000" w:themeColor="text1"/>
                <w:sz w:val="20"/>
                <w:szCs w:val="20"/>
                <w:shd w:val="clear" w:color="auto" w:fill="FFFFFF"/>
                <w:lang w:val="en-US"/>
              </w:rPr>
            </w:pPr>
            <w:r w:rsidRPr="00164238">
              <w:rPr>
                <w:rFonts w:ascii="Times New Roman" w:hAnsi="Times New Roman" w:cs="Times New Roman"/>
                <w:b/>
                <w:bCs/>
                <w:color w:val="000000" w:themeColor="text1"/>
                <w:sz w:val="20"/>
                <w:szCs w:val="20"/>
                <w:shd w:val="clear" w:color="auto" w:fill="FFFFFF"/>
                <w:lang w:val="en-US"/>
              </w:rPr>
              <w:t>6</w:t>
            </w:r>
          </w:p>
        </w:tc>
        <w:tc>
          <w:tcPr>
            <w:tcW w:w="708" w:type="dxa"/>
            <w:tcBorders>
              <w:top w:val="single" w:sz="4" w:space="0" w:color="auto"/>
              <w:left w:val="nil"/>
              <w:bottom w:val="single" w:sz="4" w:space="0" w:color="auto"/>
              <w:right w:val="nil"/>
            </w:tcBorders>
            <w:hideMark/>
          </w:tcPr>
          <w:p w14:paraId="73AFAC62" w14:textId="77777777" w:rsidR="007F03EB" w:rsidRPr="00164238" w:rsidRDefault="007F03EB">
            <w:pPr>
              <w:jc w:val="center"/>
              <w:rPr>
                <w:rFonts w:ascii="Times New Roman" w:hAnsi="Times New Roman" w:cs="Times New Roman"/>
                <w:b/>
                <w:bCs/>
                <w:color w:val="000000" w:themeColor="text1"/>
                <w:sz w:val="20"/>
                <w:szCs w:val="20"/>
                <w:shd w:val="clear" w:color="auto" w:fill="FFFFFF"/>
                <w:lang w:val="en-US"/>
              </w:rPr>
            </w:pPr>
            <w:r w:rsidRPr="00164238">
              <w:rPr>
                <w:rFonts w:ascii="Times New Roman" w:hAnsi="Times New Roman" w:cs="Times New Roman"/>
                <w:b/>
                <w:bCs/>
                <w:color w:val="000000" w:themeColor="text1"/>
                <w:sz w:val="20"/>
                <w:szCs w:val="20"/>
                <w:shd w:val="clear" w:color="auto" w:fill="FFFFFF"/>
                <w:lang w:val="en-US"/>
              </w:rPr>
              <w:t>7</w:t>
            </w:r>
          </w:p>
        </w:tc>
        <w:tc>
          <w:tcPr>
            <w:tcW w:w="675" w:type="dxa"/>
            <w:tcBorders>
              <w:top w:val="single" w:sz="4" w:space="0" w:color="auto"/>
              <w:left w:val="nil"/>
              <w:bottom w:val="single" w:sz="4" w:space="0" w:color="auto"/>
              <w:right w:val="nil"/>
            </w:tcBorders>
            <w:hideMark/>
          </w:tcPr>
          <w:p w14:paraId="35752583" w14:textId="77777777" w:rsidR="007F03EB" w:rsidRPr="00164238" w:rsidRDefault="007F03EB">
            <w:pPr>
              <w:jc w:val="center"/>
              <w:rPr>
                <w:rFonts w:ascii="Times New Roman" w:hAnsi="Times New Roman" w:cs="Times New Roman"/>
                <w:b/>
                <w:bCs/>
                <w:color w:val="000000" w:themeColor="text1"/>
                <w:sz w:val="20"/>
                <w:szCs w:val="20"/>
                <w:shd w:val="clear" w:color="auto" w:fill="FFFFFF"/>
                <w:lang w:val="en-US"/>
              </w:rPr>
            </w:pPr>
            <w:r w:rsidRPr="00164238">
              <w:rPr>
                <w:rFonts w:ascii="Times New Roman" w:hAnsi="Times New Roman" w:cs="Times New Roman"/>
                <w:b/>
                <w:bCs/>
                <w:color w:val="000000" w:themeColor="text1"/>
                <w:sz w:val="20"/>
                <w:szCs w:val="20"/>
                <w:shd w:val="clear" w:color="auto" w:fill="FFFFFF"/>
                <w:lang w:val="en-US"/>
              </w:rPr>
              <w:t>8</w:t>
            </w:r>
          </w:p>
        </w:tc>
      </w:tr>
      <w:tr w:rsidR="007F03EB" w:rsidRPr="00164238" w14:paraId="190F7F64" w14:textId="77777777" w:rsidTr="007F03EB">
        <w:tc>
          <w:tcPr>
            <w:tcW w:w="3794" w:type="dxa"/>
            <w:tcBorders>
              <w:top w:val="single" w:sz="4" w:space="0" w:color="auto"/>
              <w:left w:val="nil"/>
              <w:bottom w:val="nil"/>
              <w:right w:val="nil"/>
            </w:tcBorders>
            <w:hideMark/>
          </w:tcPr>
          <w:p w14:paraId="55C528AC" w14:textId="77777777" w:rsidR="007F03EB" w:rsidRPr="00164238" w:rsidRDefault="007F03EB">
            <w:pP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Gender</w:t>
            </w:r>
          </w:p>
        </w:tc>
        <w:tc>
          <w:tcPr>
            <w:tcW w:w="601" w:type="dxa"/>
            <w:tcBorders>
              <w:top w:val="single" w:sz="4" w:space="0" w:color="auto"/>
              <w:left w:val="nil"/>
              <w:bottom w:val="nil"/>
              <w:right w:val="nil"/>
            </w:tcBorders>
            <w:hideMark/>
          </w:tcPr>
          <w:p w14:paraId="07B61F7C"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1</w:t>
            </w:r>
          </w:p>
        </w:tc>
        <w:tc>
          <w:tcPr>
            <w:tcW w:w="567" w:type="dxa"/>
            <w:tcBorders>
              <w:top w:val="single" w:sz="4" w:space="0" w:color="auto"/>
              <w:left w:val="nil"/>
              <w:bottom w:val="nil"/>
              <w:right w:val="nil"/>
            </w:tcBorders>
          </w:tcPr>
          <w:p w14:paraId="70E29915"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p>
        </w:tc>
        <w:tc>
          <w:tcPr>
            <w:tcW w:w="675" w:type="dxa"/>
            <w:tcBorders>
              <w:top w:val="single" w:sz="4" w:space="0" w:color="auto"/>
              <w:left w:val="nil"/>
              <w:bottom w:val="nil"/>
              <w:right w:val="nil"/>
            </w:tcBorders>
          </w:tcPr>
          <w:p w14:paraId="4017ADF2"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p>
        </w:tc>
        <w:tc>
          <w:tcPr>
            <w:tcW w:w="742" w:type="dxa"/>
            <w:tcBorders>
              <w:top w:val="single" w:sz="4" w:space="0" w:color="auto"/>
              <w:left w:val="nil"/>
              <w:bottom w:val="nil"/>
              <w:right w:val="nil"/>
            </w:tcBorders>
          </w:tcPr>
          <w:p w14:paraId="6778E55E"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p>
        </w:tc>
        <w:tc>
          <w:tcPr>
            <w:tcW w:w="709" w:type="dxa"/>
            <w:tcBorders>
              <w:top w:val="single" w:sz="4" w:space="0" w:color="auto"/>
              <w:left w:val="nil"/>
              <w:bottom w:val="nil"/>
              <w:right w:val="nil"/>
            </w:tcBorders>
          </w:tcPr>
          <w:p w14:paraId="240439CA"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p>
        </w:tc>
        <w:tc>
          <w:tcPr>
            <w:tcW w:w="709" w:type="dxa"/>
            <w:tcBorders>
              <w:top w:val="single" w:sz="4" w:space="0" w:color="auto"/>
              <w:left w:val="nil"/>
              <w:bottom w:val="nil"/>
              <w:right w:val="nil"/>
            </w:tcBorders>
          </w:tcPr>
          <w:p w14:paraId="5129D0C6"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p>
        </w:tc>
        <w:tc>
          <w:tcPr>
            <w:tcW w:w="708" w:type="dxa"/>
            <w:tcBorders>
              <w:top w:val="single" w:sz="4" w:space="0" w:color="auto"/>
              <w:left w:val="nil"/>
              <w:bottom w:val="nil"/>
              <w:right w:val="nil"/>
            </w:tcBorders>
          </w:tcPr>
          <w:p w14:paraId="4C3B2654"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p>
        </w:tc>
        <w:tc>
          <w:tcPr>
            <w:tcW w:w="675" w:type="dxa"/>
            <w:tcBorders>
              <w:top w:val="single" w:sz="4" w:space="0" w:color="auto"/>
              <w:left w:val="nil"/>
              <w:bottom w:val="nil"/>
              <w:right w:val="nil"/>
            </w:tcBorders>
          </w:tcPr>
          <w:p w14:paraId="143A3BA9"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p>
        </w:tc>
      </w:tr>
      <w:tr w:rsidR="007F03EB" w:rsidRPr="00164238" w14:paraId="1F2DBB49" w14:textId="77777777" w:rsidTr="007F03EB">
        <w:tc>
          <w:tcPr>
            <w:tcW w:w="3794" w:type="dxa"/>
            <w:tcBorders>
              <w:top w:val="nil"/>
              <w:left w:val="nil"/>
              <w:bottom w:val="nil"/>
              <w:right w:val="nil"/>
            </w:tcBorders>
            <w:hideMark/>
          </w:tcPr>
          <w:p w14:paraId="0296CD43" w14:textId="77777777" w:rsidR="007F03EB" w:rsidRPr="00164238" w:rsidRDefault="007F03EB">
            <w:pP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Unit</w:t>
            </w:r>
          </w:p>
        </w:tc>
        <w:tc>
          <w:tcPr>
            <w:tcW w:w="601" w:type="dxa"/>
            <w:tcBorders>
              <w:top w:val="nil"/>
              <w:left w:val="nil"/>
              <w:bottom w:val="nil"/>
              <w:right w:val="nil"/>
            </w:tcBorders>
            <w:hideMark/>
          </w:tcPr>
          <w:p w14:paraId="6E4D4413"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-.03</w:t>
            </w:r>
          </w:p>
        </w:tc>
        <w:tc>
          <w:tcPr>
            <w:tcW w:w="567" w:type="dxa"/>
            <w:tcBorders>
              <w:top w:val="nil"/>
              <w:left w:val="nil"/>
              <w:bottom w:val="nil"/>
              <w:right w:val="nil"/>
            </w:tcBorders>
            <w:hideMark/>
          </w:tcPr>
          <w:p w14:paraId="25398AB6"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1</w:t>
            </w:r>
          </w:p>
        </w:tc>
        <w:tc>
          <w:tcPr>
            <w:tcW w:w="675" w:type="dxa"/>
            <w:tcBorders>
              <w:top w:val="nil"/>
              <w:left w:val="nil"/>
              <w:bottom w:val="nil"/>
              <w:right w:val="nil"/>
            </w:tcBorders>
            <w:hideMark/>
          </w:tcPr>
          <w:p w14:paraId="2B8B31A0"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w:t>
            </w:r>
          </w:p>
        </w:tc>
        <w:tc>
          <w:tcPr>
            <w:tcW w:w="742" w:type="dxa"/>
            <w:tcBorders>
              <w:top w:val="nil"/>
              <w:left w:val="nil"/>
              <w:bottom w:val="nil"/>
              <w:right w:val="nil"/>
            </w:tcBorders>
          </w:tcPr>
          <w:p w14:paraId="15FB81DF"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p>
        </w:tc>
        <w:tc>
          <w:tcPr>
            <w:tcW w:w="709" w:type="dxa"/>
            <w:tcBorders>
              <w:top w:val="nil"/>
              <w:left w:val="nil"/>
              <w:bottom w:val="nil"/>
              <w:right w:val="nil"/>
            </w:tcBorders>
          </w:tcPr>
          <w:p w14:paraId="6CB20B12"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p>
        </w:tc>
        <w:tc>
          <w:tcPr>
            <w:tcW w:w="709" w:type="dxa"/>
            <w:tcBorders>
              <w:top w:val="nil"/>
              <w:left w:val="nil"/>
              <w:bottom w:val="nil"/>
              <w:right w:val="nil"/>
            </w:tcBorders>
          </w:tcPr>
          <w:p w14:paraId="055FA130"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p>
        </w:tc>
        <w:tc>
          <w:tcPr>
            <w:tcW w:w="708" w:type="dxa"/>
            <w:tcBorders>
              <w:top w:val="nil"/>
              <w:left w:val="nil"/>
              <w:bottom w:val="nil"/>
              <w:right w:val="nil"/>
            </w:tcBorders>
          </w:tcPr>
          <w:p w14:paraId="40B7546D"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p>
        </w:tc>
        <w:tc>
          <w:tcPr>
            <w:tcW w:w="675" w:type="dxa"/>
            <w:tcBorders>
              <w:top w:val="nil"/>
              <w:left w:val="nil"/>
              <w:bottom w:val="nil"/>
              <w:right w:val="nil"/>
            </w:tcBorders>
          </w:tcPr>
          <w:p w14:paraId="542EB6F5"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p>
        </w:tc>
      </w:tr>
      <w:tr w:rsidR="007F03EB" w:rsidRPr="00164238" w14:paraId="19C506BC" w14:textId="77777777" w:rsidTr="007F03EB">
        <w:tc>
          <w:tcPr>
            <w:tcW w:w="3794" w:type="dxa"/>
            <w:tcBorders>
              <w:top w:val="nil"/>
              <w:left w:val="nil"/>
              <w:bottom w:val="nil"/>
              <w:right w:val="nil"/>
            </w:tcBorders>
            <w:hideMark/>
          </w:tcPr>
          <w:p w14:paraId="387690AC" w14:textId="77777777" w:rsidR="007F03EB" w:rsidRPr="00164238" w:rsidRDefault="007F03EB">
            <w:pP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lang w:val="en-US"/>
              </w:rPr>
              <w:t>Supervisors’ Virtual Technology Competence</w:t>
            </w:r>
          </w:p>
        </w:tc>
        <w:tc>
          <w:tcPr>
            <w:tcW w:w="601" w:type="dxa"/>
            <w:tcBorders>
              <w:top w:val="nil"/>
              <w:left w:val="nil"/>
              <w:bottom w:val="nil"/>
              <w:right w:val="nil"/>
            </w:tcBorders>
            <w:hideMark/>
          </w:tcPr>
          <w:p w14:paraId="3798F652"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.02</w:t>
            </w:r>
          </w:p>
        </w:tc>
        <w:tc>
          <w:tcPr>
            <w:tcW w:w="567" w:type="dxa"/>
            <w:tcBorders>
              <w:top w:val="nil"/>
              <w:left w:val="nil"/>
              <w:bottom w:val="nil"/>
              <w:right w:val="nil"/>
            </w:tcBorders>
            <w:hideMark/>
          </w:tcPr>
          <w:p w14:paraId="022E677B"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-.02</w:t>
            </w:r>
          </w:p>
        </w:tc>
        <w:tc>
          <w:tcPr>
            <w:tcW w:w="675" w:type="dxa"/>
            <w:tcBorders>
              <w:top w:val="nil"/>
              <w:left w:val="nil"/>
              <w:bottom w:val="nil"/>
              <w:right w:val="nil"/>
            </w:tcBorders>
            <w:hideMark/>
          </w:tcPr>
          <w:p w14:paraId="49449C4B"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(.91)</w:t>
            </w:r>
          </w:p>
        </w:tc>
        <w:tc>
          <w:tcPr>
            <w:tcW w:w="742" w:type="dxa"/>
            <w:tcBorders>
              <w:top w:val="nil"/>
              <w:left w:val="nil"/>
              <w:bottom w:val="nil"/>
              <w:right w:val="nil"/>
            </w:tcBorders>
          </w:tcPr>
          <w:p w14:paraId="682CD571"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p>
        </w:tc>
        <w:tc>
          <w:tcPr>
            <w:tcW w:w="709" w:type="dxa"/>
            <w:tcBorders>
              <w:top w:val="nil"/>
              <w:left w:val="nil"/>
              <w:bottom w:val="nil"/>
              <w:right w:val="nil"/>
            </w:tcBorders>
          </w:tcPr>
          <w:p w14:paraId="1B054BFC"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p>
        </w:tc>
        <w:tc>
          <w:tcPr>
            <w:tcW w:w="709" w:type="dxa"/>
            <w:tcBorders>
              <w:top w:val="nil"/>
              <w:left w:val="nil"/>
              <w:bottom w:val="nil"/>
              <w:right w:val="nil"/>
            </w:tcBorders>
          </w:tcPr>
          <w:p w14:paraId="3540C6A8"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p>
        </w:tc>
        <w:tc>
          <w:tcPr>
            <w:tcW w:w="708" w:type="dxa"/>
            <w:tcBorders>
              <w:top w:val="nil"/>
              <w:left w:val="nil"/>
              <w:bottom w:val="nil"/>
              <w:right w:val="nil"/>
            </w:tcBorders>
          </w:tcPr>
          <w:p w14:paraId="1111F925"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p>
        </w:tc>
        <w:tc>
          <w:tcPr>
            <w:tcW w:w="675" w:type="dxa"/>
            <w:tcBorders>
              <w:top w:val="nil"/>
              <w:left w:val="nil"/>
              <w:bottom w:val="nil"/>
              <w:right w:val="nil"/>
            </w:tcBorders>
          </w:tcPr>
          <w:p w14:paraId="798FB94F"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p>
        </w:tc>
      </w:tr>
      <w:tr w:rsidR="007F03EB" w:rsidRPr="00164238" w14:paraId="501356DF" w14:textId="77777777" w:rsidTr="007F03EB">
        <w:tc>
          <w:tcPr>
            <w:tcW w:w="3794" w:type="dxa"/>
            <w:tcBorders>
              <w:top w:val="nil"/>
              <w:left w:val="nil"/>
              <w:bottom w:val="nil"/>
              <w:right w:val="nil"/>
            </w:tcBorders>
            <w:hideMark/>
          </w:tcPr>
          <w:p w14:paraId="36A017AA" w14:textId="77777777" w:rsidR="007F03EB" w:rsidRPr="00164238" w:rsidRDefault="007F03EB">
            <w:pPr>
              <w:pStyle w:val="NormalWeb"/>
              <w:spacing w:before="0" w:beforeAutospacing="0" w:after="0" w:afterAutospacing="0" w:line="0" w:lineRule="atLeast"/>
              <w:rPr>
                <w:rFonts w:eastAsia="Calibri"/>
                <w:bCs/>
                <w:color w:val="000000" w:themeColor="text1"/>
                <w:sz w:val="20"/>
                <w:szCs w:val="20"/>
                <w:lang w:val="tr-TR"/>
              </w:rPr>
            </w:pPr>
            <w:r w:rsidRPr="00164238">
              <w:rPr>
                <w:rFonts w:eastAsia="Calibri"/>
                <w:bCs/>
                <w:color w:val="000000" w:themeColor="text1"/>
                <w:sz w:val="20"/>
                <w:szCs w:val="20"/>
              </w:rPr>
              <w:t>The Quality of Supervisor-Subordinate Exchange</w:t>
            </w:r>
          </w:p>
        </w:tc>
        <w:tc>
          <w:tcPr>
            <w:tcW w:w="601" w:type="dxa"/>
            <w:tcBorders>
              <w:top w:val="nil"/>
              <w:left w:val="nil"/>
              <w:bottom w:val="nil"/>
              <w:right w:val="nil"/>
            </w:tcBorders>
            <w:hideMark/>
          </w:tcPr>
          <w:p w14:paraId="36B8A588"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.05</w:t>
            </w:r>
          </w:p>
        </w:tc>
        <w:tc>
          <w:tcPr>
            <w:tcW w:w="567" w:type="dxa"/>
            <w:tcBorders>
              <w:top w:val="nil"/>
              <w:left w:val="nil"/>
              <w:bottom w:val="nil"/>
              <w:right w:val="nil"/>
            </w:tcBorders>
            <w:hideMark/>
          </w:tcPr>
          <w:p w14:paraId="64B324E6"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-.01</w:t>
            </w:r>
          </w:p>
        </w:tc>
        <w:tc>
          <w:tcPr>
            <w:tcW w:w="675" w:type="dxa"/>
            <w:tcBorders>
              <w:top w:val="nil"/>
              <w:left w:val="nil"/>
              <w:bottom w:val="nil"/>
              <w:right w:val="nil"/>
            </w:tcBorders>
            <w:hideMark/>
          </w:tcPr>
          <w:p w14:paraId="479B8B3B"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.51**</w:t>
            </w:r>
          </w:p>
        </w:tc>
        <w:tc>
          <w:tcPr>
            <w:tcW w:w="742" w:type="dxa"/>
            <w:tcBorders>
              <w:top w:val="nil"/>
              <w:left w:val="nil"/>
              <w:bottom w:val="nil"/>
              <w:right w:val="nil"/>
            </w:tcBorders>
            <w:hideMark/>
          </w:tcPr>
          <w:p w14:paraId="3539440E"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(.95)</w:t>
            </w:r>
          </w:p>
        </w:tc>
        <w:tc>
          <w:tcPr>
            <w:tcW w:w="709" w:type="dxa"/>
            <w:tcBorders>
              <w:top w:val="nil"/>
              <w:left w:val="nil"/>
              <w:bottom w:val="nil"/>
              <w:right w:val="nil"/>
            </w:tcBorders>
          </w:tcPr>
          <w:p w14:paraId="70F49CF5"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p>
        </w:tc>
        <w:tc>
          <w:tcPr>
            <w:tcW w:w="709" w:type="dxa"/>
            <w:tcBorders>
              <w:top w:val="nil"/>
              <w:left w:val="nil"/>
              <w:bottom w:val="nil"/>
              <w:right w:val="nil"/>
            </w:tcBorders>
          </w:tcPr>
          <w:p w14:paraId="733654F8"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p>
        </w:tc>
        <w:tc>
          <w:tcPr>
            <w:tcW w:w="708" w:type="dxa"/>
            <w:tcBorders>
              <w:top w:val="nil"/>
              <w:left w:val="nil"/>
              <w:bottom w:val="nil"/>
              <w:right w:val="nil"/>
            </w:tcBorders>
          </w:tcPr>
          <w:p w14:paraId="06669294"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p>
        </w:tc>
        <w:tc>
          <w:tcPr>
            <w:tcW w:w="675" w:type="dxa"/>
            <w:tcBorders>
              <w:top w:val="nil"/>
              <w:left w:val="nil"/>
              <w:bottom w:val="nil"/>
              <w:right w:val="nil"/>
            </w:tcBorders>
          </w:tcPr>
          <w:p w14:paraId="2811DB35"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p>
        </w:tc>
      </w:tr>
      <w:tr w:rsidR="007F03EB" w:rsidRPr="00164238" w14:paraId="11FE7D4F" w14:textId="77777777" w:rsidTr="007F03EB">
        <w:tc>
          <w:tcPr>
            <w:tcW w:w="3794" w:type="dxa"/>
            <w:tcBorders>
              <w:top w:val="nil"/>
              <w:left w:val="nil"/>
              <w:bottom w:val="nil"/>
              <w:right w:val="nil"/>
            </w:tcBorders>
            <w:hideMark/>
          </w:tcPr>
          <w:p w14:paraId="10F881F4" w14:textId="77777777" w:rsidR="007F03EB" w:rsidRPr="00164238" w:rsidRDefault="007F03EB">
            <w:pP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Affect</w:t>
            </w:r>
          </w:p>
        </w:tc>
        <w:tc>
          <w:tcPr>
            <w:tcW w:w="601" w:type="dxa"/>
            <w:tcBorders>
              <w:top w:val="nil"/>
              <w:left w:val="nil"/>
              <w:bottom w:val="nil"/>
              <w:right w:val="nil"/>
            </w:tcBorders>
            <w:hideMark/>
          </w:tcPr>
          <w:p w14:paraId="289E386C"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.09</w:t>
            </w:r>
          </w:p>
        </w:tc>
        <w:tc>
          <w:tcPr>
            <w:tcW w:w="567" w:type="dxa"/>
            <w:tcBorders>
              <w:top w:val="nil"/>
              <w:left w:val="nil"/>
              <w:bottom w:val="nil"/>
              <w:right w:val="nil"/>
            </w:tcBorders>
            <w:hideMark/>
          </w:tcPr>
          <w:p w14:paraId="58E74559"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.02</w:t>
            </w:r>
          </w:p>
        </w:tc>
        <w:tc>
          <w:tcPr>
            <w:tcW w:w="675" w:type="dxa"/>
            <w:tcBorders>
              <w:top w:val="nil"/>
              <w:left w:val="nil"/>
              <w:bottom w:val="nil"/>
              <w:right w:val="nil"/>
            </w:tcBorders>
            <w:hideMark/>
          </w:tcPr>
          <w:p w14:paraId="3B5C576D"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.50**</w:t>
            </w:r>
          </w:p>
        </w:tc>
        <w:tc>
          <w:tcPr>
            <w:tcW w:w="742" w:type="dxa"/>
            <w:tcBorders>
              <w:top w:val="nil"/>
              <w:left w:val="nil"/>
              <w:bottom w:val="nil"/>
              <w:right w:val="nil"/>
            </w:tcBorders>
            <w:hideMark/>
          </w:tcPr>
          <w:p w14:paraId="6092C03F"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.92**</w:t>
            </w:r>
          </w:p>
        </w:tc>
        <w:tc>
          <w:tcPr>
            <w:tcW w:w="709" w:type="dxa"/>
            <w:tcBorders>
              <w:top w:val="nil"/>
              <w:left w:val="nil"/>
              <w:bottom w:val="nil"/>
              <w:right w:val="nil"/>
            </w:tcBorders>
            <w:hideMark/>
          </w:tcPr>
          <w:p w14:paraId="78E60DF2"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(.87)</w:t>
            </w:r>
          </w:p>
        </w:tc>
        <w:tc>
          <w:tcPr>
            <w:tcW w:w="709" w:type="dxa"/>
            <w:tcBorders>
              <w:top w:val="nil"/>
              <w:left w:val="nil"/>
              <w:bottom w:val="nil"/>
              <w:right w:val="nil"/>
            </w:tcBorders>
          </w:tcPr>
          <w:p w14:paraId="2CB1EDAF"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p>
        </w:tc>
        <w:tc>
          <w:tcPr>
            <w:tcW w:w="708" w:type="dxa"/>
            <w:tcBorders>
              <w:top w:val="nil"/>
              <w:left w:val="nil"/>
              <w:bottom w:val="nil"/>
              <w:right w:val="nil"/>
            </w:tcBorders>
          </w:tcPr>
          <w:p w14:paraId="40F81449"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p>
        </w:tc>
        <w:tc>
          <w:tcPr>
            <w:tcW w:w="675" w:type="dxa"/>
            <w:tcBorders>
              <w:top w:val="nil"/>
              <w:left w:val="nil"/>
              <w:bottom w:val="nil"/>
              <w:right w:val="nil"/>
            </w:tcBorders>
          </w:tcPr>
          <w:p w14:paraId="082F19D4"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p>
        </w:tc>
      </w:tr>
      <w:tr w:rsidR="007F03EB" w:rsidRPr="00164238" w14:paraId="3184E143" w14:textId="77777777" w:rsidTr="007F03EB">
        <w:tc>
          <w:tcPr>
            <w:tcW w:w="3794" w:type="dxa"/>
            <w:tcBorders>
              <w:top w:val="nil"/>
              <w:left w:val="nil"/>
              <w:bottom w:val="nil"/>
              <w:right w:val="nil"/>
            </w:tcBorders>
            <w:hideMark/>
          </w:tcPr>
          <w:p w14:paraId="6B1A0861" w14:textId="77777777" w:rsidR="007F03EB" w:rsidRPr="00164238" w:rsidRDefault="007F03EB">
            <w:pP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Loyalty</w:t>
            </w:r>
          </w:p>
        </w:tc>
        <w:tc>
          <w:tcPr>
            <w:tcW w:w="601" w:type="dxa"/>
            <w:tcBorders>
              <w:top w:val="nil"/>
              <w:left w:val="nil"/>
              <w:bottom w:val="nil"/>
              <w:right w:val="nil"/>
            </w:tcBorders>
            <w:hideMark/>
          </w:tcPr>
          <w:p w14:paraId="60C0526B"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.06</w:t>
            </w:r>
          </w:p>
        </w:tc>
        <w:tc>
          <w:tcPr>
            <w:tcW w:w="567" w:type="dxa"/>
            <w:tcBorders>
              <w:top w:val="nil"/>
              <w:left w:val="nil"/>
              <w:bottom w:val="nil"/>
              <w:right w:val="nil"/>
            </w:tcBorders>
            <w:hideMark/>
          </w:tcPr>
          <w:p w14:paraId="4D26C357"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.00</w:t>
            </w:r>
          </w:p>
        </w:tc>
        <w:tc>
          <w:tcPr>
            <w:tcW w:w="675" w:type="dxa"/>
            <w:tcBorders>
              <w:top w:val="nil"/>
              <w:left w:val="nil"/>
              <w:bottom w:val="nil"/>
              <w:right w:val="nil"/>
            </w:tcBorders>
            <w:hideMark/>
          </w:tcPr>
          <w:p w14:paraId="6320ACBB"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.49**</w:t>
            </w:r>
          </w:p>
        </w:tc>
        <w:tc>
          <w:tcPr>
            <w:tcW w:w="742" w:type="dxa"/>
            <w:tcBorders>
              <w:top w:val="nil"/>
              <w:left w:val="nil"/>
              <w:bottom w:val="nil"/>
              <w:right w:val="nil"/>
            </w:tcBorders>
            <w:hideMark/>
          </w:tcPr>
          <w:p w14:paraId="778F70C0"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.93**</w:t>
            </w:r>
          </w:p>
        </w:tc>
        <w:tc>
          <w:tcPr>
            <w:tcW w:w="709" w:type="dxa"/>
            <w:tcBorders>
              <w:top w:val="nil"/>
              <w:left w:val="nil"/>
              <w:bottom w:val="nil"/>
              <w:right w:val="nil"/>
            </w:tcBorders>
            <w:hideMark/>
          </w:tcPr>
          <w:p w14:paraId="54E56864"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.85**</w:t>
            </w:r>
          </w:p>
        </w:tc>
        <w:tc>
          <w:tcPr>
            <w:tcW w:w="709" w:type="dxa"/>
            <w:tcBorders>
              <w:top w:val="nil"/>
              <w:left w:val="nil"/>
              <w:bottom w:val="nil"/>
              <w:right w:val="nil"/>
            </w:tcBorders>
            <w:hideMark/>
          </w:tcPr>
          <w:p w14:paraId="7FE29ADE"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(.89)</w:t>
            </w:r>
          </w:p>
        </w:tc>
        <w:tc>
          <w:tcPr>
            <w:tcW w:w="708" w:type="dxa"/>
            <w:tcBorders>
              <w:top w:val="nil"/>
              <w:left w:val="nil"/>
              <w:bottom w:val="nil"/>
              <w:right w:val="nil"/>
            </w:tcBorders>
          </w:tcPr>
          <w:p w14:paraId="335C2EFC"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p>
        </w:tc>
        <w:tc>
          <w:tcPr>
            <w:tcW w:w="675" w:type="dxa"/>
            <w:tcBorders>
              <w:top w:val="nil"/>
              <w:left w:val="nil"/>
              <w:bottom w:val="nil"/>
              <w:right w:val="nil"/>
            </w:tcBorders>
          </w:tcPr>
          <w:p w14:paraId="72834898"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p>
        </w:tc>
      </w:tr>
      <w:tr w:rsidR="007F03EB" w:rsidRPr="00164238" w14:paraId="14FF9C2B" w14:textId="77777777" w:rsidTr="007F03EB">
        <w:tc>
          <w:tcPr>
            <w:tcW w:w="3794" w:type="dxa"/>
            <w:tcBorders>
              <w:top w:val="nil"/>
              <w:left w:val="nil"/>
              <w:bottom w:val="nil"/>
              <w:right w:val="nil"/>
            </w:tcBorders>
            <w:hideMark/>
          </w:tcPr>
          <w:p w14:paraId="51C28C7F" w14:textId="77777777" w:rsidR="007F03EB" w:rsidRPr="00164238" w:rsidRDefault="007F03EB">
            <w:pP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Contribution</w:t>
            </w:r>
          </w:p>
        </w:tc>
        <w:tc>
          <w:tcPr>
            <w:tcW w:w="601" w:type="dxa"/>
            <w:tcBorders>
              <w:top w:val="nil"/>
              <w:left w:val="nil"/>
              <w:bottom w:val="nil"/>
              <w:right w:val="nil"/>
            </w:tcBorders>
            <w:hideMark/>
          </w:tcPr>
          <w:p w14:paraId="2F94D714"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.01</w:t>
            </w:r>
          </w:p>
        </w:tc>
        <w:tc>
          <w:tcPr>
            <w:tcW w:w="567" w:type="dxa"/>
            <w:tcBorders>
              <w:top w:val="nil"/>
              <w:left w:val="nil"/>
              <w:bottom w:val="nil"/>
              <w:right w:val="nil"/>
            </w:tcBorders>
            <w:hideMark/>
          </w:tcPr>
          <w:p w14:paraId="7C0BE62A"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-.04</w:t>
            </w:r>
          </w:p>
        </w:tc>
        <w:tc>
          <w:tcPr>
            <w:tcW w:w="675" w:type="dxa"/>
            <w:tcBorders>
              <w:top w:val="nil"/>
              <w:left w:val="nil"/>
              <w:bottom w:val="nil"/>
              <w:right w:val="nil"/>
            </w:tcBorders>
            <w:hideMark/>
          </w:tcPr>
          <w:p w14:paraId="6F89D988"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.40**</w:t>
            </w:r>
          </w:p>
        </w:tc>
        <w:tc>
          <w:tcPr>
            <w:tcW w:w="742" w:type="dxa"/>
            <w:tcBorders>
              <w:top w:val="nil"/>
              <w:left w:val="nil"/>
              <w:bottom w:val="nil"/>
              <w:right w:val="nil"/>
            </w:tcBorders>
            <w:hideMark/>
          </w:tcPr>
          <w:p w14:paraId="166B356A"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.85**</w:t>
            </w:r>
          </w:p>
        </w:tc>
        <w:tc>
          <w:tcPr>
            <w:tcW w:w="709" w:type="dxa"/>
            <w:tcBorders>
              <w:top w:val="nil"/>
              <w:left w:val="nil"/>
              <w:bottom w:val="nil"/>
              <w:right w:val="nil"/>
            </w:tcBorders>
            <w:hideMark/>
          </w:tcPr>
          <w:p w14:paraId="29ECD27D"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.71**</w:t>
            </w:r>
          </w:p>
        </w:tc>
        <w:tc>
          <w:tcPr>
            <w:tcW w:w="709" w:type="dxa"/>
            <w:tcBorders>
              <w:top w:val="nil"/>
              <w:left w:val="nil"/>
              <w:bottom w:val="nil"/>
              <w:right w:val="nil"/>
            </w:tcBorders>
            <w:hideMark/>
          </w:tcPr>
          <w:p w14:paraId="7D53DAFA"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.73**</w:t>
            </w:r>
          </w:p>
        </w:tc>
        <w:tc>
          <w:tcPr>
            <w:tcW w:w="708" w:type="dxa"/>
            <w:tcBorders>
              <w:top w:val="nil"/>
              <w:left w:val="nil"/>
              <w:bottom w:val="nil"/>
              <w:right w:val="nil"/>
            </w:tcBorders>
            <w:hideMark/>
          </w:tcPr>
          <w:p w14:paraId="1504934C"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(.82)</w:t>
            </w:r>
          </w:p>
        </w:tc>
        <w:tc>
          <w:tcPr>
            <w:tcW w:w="675" w:type="dxa"/>
            <w:tcBorders>
              <w:top w:val="nil"/>
              <w:left w:val="nil"/>
              <w:bottom w:val="nil"/>
              <w:right w:val="nil"/>
            </w:tcBorders>
          </w:tcPr>
          <w:p w14:paraId="6B93826E"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p>
        </w:tc>
      </w:tr>
      <w:tr w:rsidR="007F03EB" w:rsidRPr="00164238" w14:paraId="49B26281" w14:textId="77777777" w:rsidTr="007F03EB">
        <w:tc>
          <w:tcPr>
            <w:tcW w:w="3794" w:type="dxa"/>
            <w:tcBorders>
              <w:top w:val="nil"/>
              <w:left w:val="nil"/>
              <w:bottom w:val="nil"/>
              <w:right w:val="nil"/>
            </w:tcBorders>
            <w:hideMark/>
          </w:tcPr>
          <w:p w14:paraId="2D16C7CF" w14:textId="77777777" w:rsidR="007F03EB" w:rsidRPr="00164238" w:rsidRDefault="007F03EB">
            <w:pP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Professional Respect</w:t>
            </w:r>
          </w:p>
        </w:tc>
        <w:tc>
          <w:tcPr>
            <w:tcW w:w="601" w:type="dxa"/>
            <w:tcBorders>
              <w:top w:val="nil"/>
              <w:left w:val="nil"/>
              <w:bottom w:val="nil"/>
              <w:right w:val="nil"/>
            </w:tcBorders>
            <w:hideMark/>
          </w:tcPr>
          <w:p w14:paraId="5DFC0DCA"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.01</w:t>
            </w:r>
          </w:p>
        </w:tc>
        <w:tc>
          <w:tcPr>
            <w:tcW w:w="567" w:type="dxa"/>
            <w:tcBorders>
              <w:top w:val="nil"/>
              <w:left w:val="nil"/>
              <w:bottom w:val="nil"/>
              <w:right w:val="nil"/>
            </w:tcBorders>
            <w:hideMark/>
          </w:tcPr>
          <w:p w14:paraId="29A9E410"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-.02</w:t>
            </w:r>
          </w:p>
        </w:tc>
        <w:tc>
          <w:tcPr>
            <w:tcW w:w="675" w:type="dxa"/>
            <w:tcBorders>
              <w:top w:val="nil"/>
              <w:left w:val="nil"/>
              <w:bottom w:val="nil"/>
              <w:right w:val="nil"/>
            </w:tcBorders>
            <w:hideMark/>
          </w:tcPr>
          <w:p w14:paraId="759EFFF1"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.46**</w:t>
            </w:r>
          </w:p>
        </w:tc>
        <w:tc>
          <w:tcPr>
            <w:tcW w:w="742" w:type="dxa"/>
            <w:tcBorders>
              <w:top w:val="nil"/>
              <w:left w:val="nil"/>
              <w:bottom w:val="nil"/>
              <w:right w:val="nil"/>
            </w:tcBorders>
            <w:hideMark/>
          </w:tcPr>
          <w:p w14:paraId="6FCDC15A"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.92**</w:t>
            </w:r>
          </w:p>
        </w:tc>
        <w:tc>
          <w:tcPr>
            <w:tcW w:w="709" w:type="dxa"/>
            <w:tcBorders>
              <w:top w:val="nil"/>
              <w:left w:val="nil"/>
              <w:bottom w:val="nil"/>
              <w:right w:val="nil"/>
            </w:tcBorders>
            <w:hideMark/>
          </w:tcPr>
          <w:p w14:paraId="437F7CD3"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.80**</w:t>
            </w:r>
          </w:p>
        </w:tc>
        <w:tc>
          <w:tcPr>
            <w:tcW w:w="709" w:type="dxa"/>
            <w:tcBorders>
              <w:top w:val="nil"/>
              <w:left w:val="nil"/>
              <w:bottom w:val="nil"/>
              <w:right w:val="nil"/>
            </w:tcBorders>
            <w:hideMark/>
          </w:tcPr>
          <w:p w14:paraId="0CE4907C"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.83**</w:t>
            </w:r>
          </w:p>
        </w:tc>
        <w:tc>
          <w:tcPr>
            <w:tcW w:w="708" w:type="dxa"/>
            <w:tcBorders>
              <w:top w:val="nil"/>
              <w:left w:val="nil"/>
              <w:bottom w:val="nil"/>
              <w:right w:val="nil"/>
            </w:tcBorders>
            <w:hideMark/>
          </w:tcPr>
          <w:p w14:paraId="378792C1"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.70**</w:t>
            </w:r>
          </w:p>
        </w:tc>
        <w:tc>
          <w:tcPr>
            <w:tcW w:w="675" w:type="dxa"/>
            <w:tcBorders>
              <w:top w:val="nil"/>
              <w:left w:val="nil"/>
              <w:bottom w:val="nil"/>
              <w:right w:val="nil"/>
            </w:tcBorders>
            <w:hideMark/>
          </w:tcPr>
          <w:p w14:paraId="6715C84F"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(.92)</w:t>
            </w:r>
          </w:p>
        </w:tc>
      </w:tr>
      <w:tr w:rsidR="007F03EB" w:rsidRPr="00164238" w14:paraId="7671D740" w14:textId="77777777" w:rsidTr="007F03EB">
        <w:tc>
          <w:tcPr>
            <w:tcW w:w="3794" w:type="dxa"/>
            <w:tcBorders>
              <w:top w:val="nil"/>
              <w:left w:val="nil"/>
              <w:bottom w:val="nil"/>
              <w:right w:val="nil"/>
            </w:tcBorders>
            <w:hideMark/>
          </w:tcPr>
          <w:p w14:paraId="5B79C69A" w14:textId="77777777" w:rsidR="007F03EB" w:rsidRPr="00164238" w:rsidRDefault="007F03EB">
            <w:pP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Mean</w:t>
            </w:r>
          </w:p>
        </w:tc>
        <w:tc>
          <w:tcPr>
            <w:tcW w:w="601" w:type="dxa"/>
            <w:tcBorders>
              <w:top w:val="nil"/>
              <w:left w:val="nil"/>
              <w:bottom w:val="nil"/>
              <w:right w:val="nil"/>
            </w:tcBorders>
            <w:hideMark/>
          </w:tcPr>
          <w:p w14:paraId="69C4F6AE"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w:t>
            </w:r>
          </w:p>
        </w:tc>
        <w:tc>
          <w:tcPr>
            <w:tcW w:w="567" w:type="dxa"/>
            <w:tcBorders>
              <w:top w:val="nil"/>
              <w:left w:val="nil"/>
              <w:bottom w:val="nil"/>
              <w:right w:val="nil"/>
            </w:tcBorders>
            <w:hideMark/>
          </w:tcPr>
          <w:p w14:paraId="44387143"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w:t>
            </w:r>
          </w:p>
        </w:tc>
        <w:tc>
          <w:tcPr>
            <w:tcW w:w="675" w:type="dxa"/>
            <w:tcBorders>
              <w:top w:val="nil"/>
              <w:left w:val="nil"/>
              <w:bottom w:val="nil"/>
              <w:right w:val="nil"/>
            </w:tcBorders>
            <w:hideMark/>
          </w:tcPr>
          <w:p w14:paraId="445E0170"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3.33</w:t>
            </w:r>
          </w:p>
        </w:tc>
        <w:tc>
          <w:tcPr>
            <w:tcW w:w="742" w:type="dxa"/>
            <w:tcBorders>
              <w:top w:val="nil"/>
              <w:left w:val="nil"/>
              <w:bottom w:val="nil"/>
              <w:right w:val="nil"/>
            </w:tcBorders>
            <w:hideMark/>
          </w:tcPr>
          <w:p w14:paraId="656A0751"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3.35</w:t>
            </w:r>
          </w:p>
        </w:tc>
        <w:tc>
          <w:tcPr>
            <w:tcW w:w="709" w:type="dxa"/>
            <w:tcBorders>
              <w:top w:val="nil"/>
              <w:left w:val="nil"/>
              <w:bottom w:val="nil"/>
              <w:right w:val="nil"/>
            </w:tcBorders>
            <w:hideMark/>
          </w:tcPr>
          <w:p w14:paraId="2FA7A244"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3.32</w:t>
            </w:r>
          </w:p>
        </w:tc>
        <w:tc>
          <w:tcPr>
            <w:tcW w:w="709" w:type="dxa"/>
            <w:tcBorders>
              <w:top w:val="nil"/>
              <w:left w:val="nil"/>
              <w:bottom w:val="nil"/>
              <w:right w:val="nil"/>
            </w:tcBorders>
            <w:hideMark/>
          </w:tcPr>
          <w:p w14:paraId="4D08DD80"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3.31</w:t>
            </w:r>
          </w:p>
        </w:tc>
        <w:tc>
          <w:tcPr>
            <w:tcW w:w="708" w:type="dxa"/>
            <w:tcBorders>
              <w:top w:val="nil"/>
              <w:left w:val="nil"/>
              <w:bottom w:val="nil"/>
              <w:right w:val="nil"/>
            </w:tcBorders>
            <w:hideMark/>
          </w:tcPr>
          <w:p w14:paraId="68264653"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3.40</w:t>
            </w:r>
          </w:p>
        </w:tc>
        <w:tc>
          <w:tcPr>
            <w:tcW w:w="675" w:type="dxa"/>
            <w:tcBorders>
              <w:top w:val="nil"/>
              <w:left w:val="nil"/>
              <w:bottom w:val="nil"/>
              <w:right w:val="nil"/>
            </w:tcBorders>
            <w:hideMark/>
          </w:tcPr>
          <w:p w14:paraId="1F64BB4A"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3.35</w:t>
            </w:r>
          </w:p>
        </w:tc>
      </w:tr>
      <w:tr w:rsidR="007F03EB" w:rsidRPr="00164238" w14:paraId="683F44D1" w14:textId="77777777" w:rsidTr="007F03EB">
        <w:tc>
          <w:tcPr>
            <w:tcW w:w="3794" w:type="dxa"/>
            <w:tcBorders>
              <w:top w:val="nil"/>
              <w:left w:val="nil"/>
              <w:bottom w:val="single" w:sz="4" w:space="0" w:color="auto"/>
              <w:right w:val="nil"/>
            </w:tcBorders>
            <w:hideMark/>
          </w:tcPr>
          <w:p w14:paraId="085BBC7F" w14:textId="77777777" w:rsidR="007F03EB" w:rsidRPr="00164238" w:rsidRDefault="007F03EB">
            <w:pP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Standart Deviation</w:t>
            </w:r>
          </w:p>
        </w:tc>
        <w:tc>
          <w:tcPr>
            <w:tcW w:w="601" w:type="dxa"/>
            <w:tcBorders>
              <w:top w:val="nil"/>
              <w:left w:val="nil"/>
              <w:bottom w:val="single" w:sz="4" w:space="0" w:color="auto"/>
              <w:right w:val="nil"/>
            </w:tcBorders>
            <w:hideMark/>
          </w:tcPr>
          <w:p w14:paraId="425B0C8F"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w:t>
            </w:r>
          </w:p>
        </w:tc>
        <w:tc>
          <w:tcPr>
            <w:tcW w:w="567" w:type="dxa"/>
            <w:tcBorders>
              <w:top w:val="nil"/>
              <w:left w:val="nil"/>
              <w:bottom w:val="single" w:sz="4" w:space="0" w:color="auto"/>
              <w:right w:val="nil"/>
            </w:tcBorders>
            <w:hideMark/>
          </w:tcPr>
          <w:p w14:paraId="39FD9B2C"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w:t>
            </w:r>
          </w:p>
        </w:tc>
        <w:tc>
          <w:tcPr>
            <w:tcW w:w="675" w:type="dxa"/>
            <w:tcBorders>
              <w:top w:val="nil"/>
              <w:left w:val="nil"/>
              <w:bottom w:val="single" w:sz="4" w:space="0" w:color="auto"/>
              <w:right w:val="nil"/>
            </w:tcBorders>
            <w:hideMark/>
          </w:tcPr>
          <w:p w14:paraId="5136BCED"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.92</w:t>
            </w:r>
          </w:p>
        </w:tc>
        <w:tc>
          <w:tcPr>
            <w:tcW w:w="742" w:type="dxa"/>
            <w:tcBorders>
              <w:top w:val="nil"/>
              <w:left w:val="nil"/>
              <w:bottom w:val="single" w:sz="4" w:space="0" w:color="auto"/>
              <w:right w:val="nil"/>
            </w:tcBorders>
            <w:hideMark/>
          </w:tcPr>
          <w:p w14:paraId="3BFAB70D"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1.02</w:t>
            </w:r>
          </w:p>
        </w:tc>
        <w:tc>
          <w:tcPr>
            <w:tcW w:w="709" w:type="dxa"/>
            <w:tcBorders>
              <w:top w:val="nil"/>
              <w:left w:val="nil"/>
              <w:bottom w:val="single" w:sz="4" w:space="0" w:color="auto"/>
              <w:right w:val="nil"/>
            </w:tcBorders>
            <w:hideMark/>
          </w:tcPr>
          <w:p w14:paraId="1C4D373B"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1.16</w:t>
            </w:r>
          </w:p>
        </w:tc>
        <w:tc>
          <w:tcPr>
            <w:tcW w:w="709" w:type="dxa"/>
            <w:tcBorders>
              <w:top w:val="nil"/>
              <w:left w:val="nil"/>
              <w:bottom w:val="single" w:sz="4" w:space="0" w:color="auto"/>
              <w:right w:val="nil"/>
            </w:tcBorders>
            <w:hideMark/>
          </w:tcPr>
          <w:p w14:paraId="594C8D2D"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1.09</w:t>
            </w:r>
          </w:p>
        </w:tc>
        <w:tc>
          <w:tcPr>
            <w:tcW w:w="708" w:type="dxa"/>
            <w:tcBorders>
              <w:top w:val="nil"/>
              <w:left w:val="nil"/>
              <w:bottom w:val="single" w:sz="4" w:space="0" w:color="auto"/>
              <w:right w:val="nil"/>
            </w:tcBorders>
            <w:hideMark/>
          </w:tcPr>
          <w:p w14:paraId="68D0E0C5"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1.03</w:t>
            </w:r>
          </w:p>
        </w:tc>
        <w:tc>
          <w:tcPr>
            <w:tcW w:w="675" w:type="dxa"/>
            <w:tcBorders>
              <w:top w:val="nil"/>
              <w:left w:val="nil"/>
              <w:bottom w:val="single" w:sz="4" w:space="0" w:color="auto"/>
              <w:right w:val="nil"/>
            </w:tcBorders>
            <w:hideMark/>
          </w:tcPr>
          <w:p w14:paraId="304BD536" w14:textId="77777777" w:rsidR="007F03EB" w:rsidRPr="00164238" w:rsidRDefault="007F03EB">
            <w:pPr>
              <w:jc w:val="center"/>
              <w:rPr>
                <w:rFonts w:ascii="Times New Roman" w:hAnsi="Times New Roman" w:cs="Times New Roman"/>
                <w:bCs/>
                <w:color w:val="000000" w:themeColor="text1"/>
                <w:sz w:val="20"/>
                <w:szCs w:val="20"/>
                <w:shd w:val="clear" w:color="auto" w:fill="FFFFFF"/>
                <w:lang w:val="en-US"/>
              </w:rPr>
            </w:pPr>
            <w:r w:rsidRPr="00164238">
              <w:rPr>
                <w:rFonts w:ascii="Times New Roman" w:hAnsi="Times New Roman" w:cs="Times New Roman"/>
                <w:bCs/>
                <w:color w:val="000000" w:themeColor="text1"/>
                <w:sz w:val="20"/>
                <w:szCs w:val="20"/>
                <w:shd w:val="clear" w:color="auto" w:fill="FFFFFF"/>
                <w:lang w:val="en-US"/>
              </w:rPr>
              <w:t>1.18</w:t>
            </w:r>
          </w:p>
        </w:tc>
      </w:tr>
    </w:tbl>
    <w:p w14:paraId="5E3FFBB6" w14:textId="77777777" w:rsidR="007F03EB" w:rsidRPr="00164238" w:rsidRDefault="007F03EB" w:rsidP="007F03EB">
      <w:pPr>
        <w:spacing w:before="120"/>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Notes: **p&lt;.01; Values in brackets are Cronbach Alpha reliability coefficients.</w:t>
      </w:r>
    </w:p>
    <w:p w14:paraId="57A863A3" w14:textId="77777777" w:rsidR="007F03EB" w:rsidRPr="00164238" w:rsidRDefault="007F03EB" w:rsidP="007F03EB">
      <w:pPr>
        <w:spacing w:before="120"/>
        <w:ind w:firstLine="708"/>
        <w:jc w:val="both"/>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color w:val="000000" w:themeColor="text1"/>
          <w:sz w:val="20"/>
          <w:szCs w:val="20"/>
          <w:shd w:val="clear" w:color="auto" w:fill="FFFFFF"/>
          <w:lang w:val="en-US"/>
        </w:rPr>
        <w:t xml:space="preserve">As seen in Table 2, all scales are reliable since </w:t>
      </w:r>
      <w:r w:rsidRPr="00164238">
        <w:rPr>
          <w:rFonts w:ascii="Times New Roman" w:hAnsi="Times New Roman" w:cs="Times New Roman"/>
          <w:color w:val="000000" w:themeColor="text1"/>
          <w:sz w:val="20"/>
          <w:szCs w:val="20"/>
          <w:lang w:val="en-US"/>
        </w:rPr>
        <w:t>Cronbach Alpha coefficients are higher than .70 (Hair et al., 2010).</w:t>
      </w:r>
      <w:r w:rsidRPr="00164238">
        <w:rPr>
          <w:rFonts w:ascii="Times New Roman" w:hAnsi="Times New Roman" w:cs="Times New Roman"/>
          <w:color w:val="000000" w:themeColor="text1"/>
          <w:sz w:val="20"/>
          <w:szCs w:val="20"/>
          <w:shd w:val="clear" w:color="auto" w:fill="FFFFFF"/>
          <w:lang w:val="en-US"/>
        </w:rPr>
        <w:t xml:space="preserve"> Also, significant relationships between gender and the unit employees work in, and the variables in the research model were not revealed. However, significant and positive bilateral relationships between </w:t>
      </w:r>
      <w:r w:rsidRPr="00164238">
        <w:rPr>
          <w:rFonts w:ascii="Times New Roman" w:hAnsi="Times New Roman" w:cs="Times New Roman"/>
          <w:color w:val="000000" w:themeColor="text1"/>
          <w:sz w:val="20"/>
          <w:szCs w:val="20"/>
          <w:lang w:val="en-US"/>
        </w:rPr>
        <w:t xml:space="preserve">supervisors’ virtual technology competence, and the quality of supervisor-subordinate exchange </w:t>
      </w:r>
      <w:r w:rsidRPr="00164238">
        <w:rPr>
          <w:rFonts w:ascii="Times New Roman" w:hAnsi="Times New Roman" w:cs="Times New Roman"/>
          <w:color w:val="000000" w:themeColor="text1"/>
          <w:sz w:val="20"/>
          <w:szCs w:val="20"/>
          <w:shd w:val="clear" w:color="auto" w:fill="FFFFFF"/>
          <w:lang w:val="en-US"/>
        </w:rPr>
        <w:t xml:space="preserve">(r= .51, p&lt;.01) and its </w:t>
      </w:r>
      <w:r w:rsidRPr="00164238">
        <w:rPr>
          <w:rFonts w:ascii="Times New Roman" w:hAnsi="Times New Roman" w:cs="Times New Roman"/>
          <w:color w:val="000000" w:themeColor="text1"/>
          <w:sz w:val="20"/>
          <w:szCs w:val="20"/>
          <w:lang w:val="en-US"/>
        </w:rPr>
        <w:t xml:space="preserve">“affect”, “loyalty”, “contribution” and “professional respect” sub-dimensions </w:t>
      </w:r>
      <w:r w:rsidRPr="00164238">
        <w:rPr>
          <w:rFonts w:ascii="Times New Roman" w:hAnsi="Times New Roman" w:cs="Times New Roman"/>
          <w:color w:val="000000" w:themeColor="text1"/>
          <w:sz w:val="20"/>
          <w:szCs w:val="20"/>
          <w:shd w:val="clear" w:color="auto" w:fill="FFFFFF"/>
          <w:lang w:val="en-US"/>
        </w:rPr>
        <w:t>(r= .50, r= .49, r= .40, r= .46 respectively; p&lt;.01) were revealed.</w:t>
      </w:r>
    </w:p>
    <w:p w14:paraId="72033AFB" w14:textId="77777777" w:rsidR="007F03EB" w:rsidRPr="00164238" w:rsidRDefault="007F03EB" w:rsidP="007F03EB">
      <w:pPr>
        <w:spacing w:before="120"/>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lastRenderedPageBreak/>
        <w:t>Cohen (1988) considers correlation value between two variables as very weak if it is below .10, as weak if it is .10 and above but below .30, as medium if it is .30 and above but below .50, and as high if it is .50 and above. According to this evaluation, relationships between supervisors’ virtual technology competence, and the quality of supervisor-subordinate exchange and its “affect” dimension are at a high-level. On the other hand, the relationships between supervisor’s virtual technology competence and the other sub-dimensions of the quality of supervisor-subordinate exchange are at a medium-level.</w:t>
      </w:r>
    </w:p>
    <w:p w14:paraId="00FA9610" w14:textId="159506E5" w:rsidR="007F03EB" w:rsidRPr="00164238" w:rsidRDefault="007F03EB" w:rsidP="007F03EB">
      <w:pPr>
        <w:spacing w:before="120"/>
        <w:ind w:firstLine="708"/>
        <w:jc w:val="both"/>
        <w:rPr>
          <w:rFonts w:ascii="Times New Roman" w:eastAsia="Times New Roman" w:hAnsi="Times New Roman" w:cs="Times New Roman"/>
          <w:b/>
          <w:bCs/>
          <w:color w:val="000000" w:themeColor="text1"/>
          <w:sz w:val="20"/>
          <w:szCs w:val="20"/>
          <w:shd w:val="clear" w:color="auto" w:fill="FFFFFF"/>
          <w:lang w:val="en-US" w:eastAsia="tr-TR"/>
        </w:rPr>
      </w:pPr>
      <w:r w:rsidRPr="00164238">
        <w:rPr>
          <w:rFonts w:ascii="Times New Roman" w:eastAsia="Times New Roman" w:hAnsi="Times New Roman" w:cs="Times New Roman"/>
          <w:b/>
          <w:bCs/>
          <w:color w:val="000000" w:themeColor="text1"/>
          <w:sz w:val="20"/>
          <w:szCs w:val="20"/>
          <w:shd w:val="clear" w:color="auto" w:fill="FFFFFF"/>
          <w:lang w:val="en-US" w:eastAsia="tr-TR"/>
        </w:rPr>
        <w:t>Testing the Research Hypothesis</w:t>
      </w:r>
    </w:p>
    <w:p w14:paraId="285BA66D" w14:textId="77777777" w:rsidR="007F03EB" w:rsidRPr="00164238" w:rsidRDefault="007F03EB" w:rsidP="007F03EB">
      <w:pPr>
        <w:spacing w:before="120"/>
        <w:ind w:firstLine="708"/>
        <w:jc w:val="both"/>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color w:val="000000" w:themeColor="text1"/>
          <w:sz w:val="20"/>
          <w:szCs w:val="20"/>
          <w:shd w:val="clear" w:color="auto" w:fill="FFFFFF"/>
          <w:lang w:val="en-US"/>
        </w:rPr>
        <w:t>Research model was tested via structural equation modeling as shown in Figure 3, following validity, reliability and correlation analyses.</w:t>
      </w:r>
    </w:p>
    <w:p w14:paraId="5F0C696E" w14:textId="77777777" w:rsidR="007F03EB" w:rsidRPr="00164238" w:rsidRDefault="007F03EB" w:rsidP="007F03EB">
      <w:pPr>
        <w:spacing w:before="120"/>
        <w:jc w:val="both"/>
        <w:rPr>
          <w:rFonts w:ascii="Times New Roman" w:eastAsia="Times New Roman" w:hAnsi="Times New Roman" w:cs="Times New Roman"/>
          <w:bCs/>
          <w:color w:val="000000" w:themeColor="text1"/>
          <w:sz w:val="20"/>
          <w:szCs w:val="20"/>
          <w:shd w:val="clear" w:color="auto" w:fill="FFFFFF"/>
          <w:lang w:val="en-US" w:eastAsia="tr-TR"/>
        </w:rPr>
      </w:pPr>
    </w:p>
    <w:p w14:paraId="18A668CD" w14:textId="77777777" w:rsidR="007F03EB" w:rsidRPr="00164238" w:rsidRDefault="007F03EB" w:rsidP="007F03EB">
      <w:pPr>
        <w:spacing w:before="120"/>
        <w:jc w:val="both"/>
        <w:rPr>
          <w:rFonts w:ascii="Times New Roman" w:hAnsi="Times New Roman" w:cs="Times New Roman"/>
          <w:b/>
          <w:bCs/>
          <w:color w:val="000000" w:themeColor="text1"/>
          <w:sz w:val="20"/>
          <w:szCs w:val="20"/>
          <w:shd w:val="clear" w:color="auto" w:fill="FFFFFF"/>
          <w:lang w:val="en-US"/>
        </w:rPr>
      </w:pPr>
      <w:r w:rsidRPr="00164238">
        <w:rPr>
          <w:rFonts w:ascii="Times New Roman" w:hAnsi="Times New Roman" w:cs="Times New Roman"/>
          <w:b/>
          <w:bCs/>
          <w:color w:val="000000" w:themeColor="text1"/>
          <w:sz w:val="20"/>
          <w:szCs w:val="20"/>
          <w:shd w:val="clear" w:color="auto" w:fill="FFFFFF"/>
          <w:lang w:val="en-US"/>
        </w:rPr>
        <w:t xml:space="preserve">Figure 3 </w:t>
      </w:r>
    </w:p>
    <w:p w14:paraId="430F3513" w14:textId="77777777" w:rsidR="007F03EB" w:rsidRPr="00164238" w:rsidRDefault="007F03EB" w:rsidP="007F03EB">
      <w:pPr>
        <w:spacing w:before="120"/>
        <w:jc w:val="both"/>
        <w:rPr>
          <w:rFonts w:ascii="Times New Roman" w:hAnsi="Times New Roman" w:cs="Times New Roman"/>
          <w:b/>
          <w:bCs/>
          <w:color w:val="000000" w:themeColor="text1"/>
          <w:sz w:val="20"/>
          <w:szCs w:val="20"/>
          <w:shd w:val="clear" w:color="auto" w:fill="FFFFFF"/>
          <w:lang w:val="en-US"/>
        </w:rPr>
      </w:pPr>
      <w:r w:rsidRPr="00164238">
        <w:rPr>
          <w:rFonts w:ascii="Times New Roman" w:hAnsi="Times New Roman" w:cs="Times New Roman"/>
          <w:i/>
          <w:iCs/>
          <w:color w:val="000000" w:themeColor="text1"/>
          <w:sz w:val="20"/>
          <w:szCs w:val="20"/>
          <w:shd w:val="clear" w:color="auto" w:fill="FFFFFF"/>
          <w:lang w:val="en-US"/>
        </w:rPr>
        <w:t>Structural Equation Modeling</w:t>
      </w:r>
    </w:p>
    <w:p w14:paraId="3973E103" w14:textId="310FDD5D" w:rsidR="007F03EB" w:rsidRPr="00164238" w:rsidRDefault="007F03EB" w:rsidP="007F03EB">
      <w:pPr>
        <w:spacing w:before="120"/>
        <w:rPr>
          <w:rFonts w:ascii="Times New Roman" w:eastAsia="Times New Roman" w:hAnsi="Times New Roman" w:cs="Times New Roman"/>
          <w:bCs/>
          <w:color w:val="000000" w:themeColor="text1"/>
          <w:sz w:val="20"/>
          <w:szCs w:val="20"/>
          <w:shd w:val="clear" w:color="auto" w:fill="FFFFFF"/>
          <w:lang w:val="en-US" w:eastAsia="tr-TR"/>
        </w:rPr>
      </w:pPr>
      <w:r w:rsidRPr="00164238">
        <w:rPr>
          <w:rFonts w:ascii="Times New Roman" w:eastAsia="Times New Roman" w:hAnsi="Times New Roman" w:cs="Times New Roman"/>
          <w:noProof/>
          <w:color w:val="000000" w:themeColor="text1"/>
          <w:sz w:val="20"/>
          <w:szCs w:val="20"/>
          <w:shd w:val="clear" w:color="auto" w:fill="FFFFFF"/>
          <w:lang w:val="en-US"/>
        </w:rPr>
        <w:drawing>
          <wp:inline distT="0" distB="0" distL="0" distR="0" wp14:anchorId="063BCA3E" wp14:editId="46E0970E">
            <wp:extent cx="5753100" cy="4619625"/>
            <wp:effectExtent l="0" t="0" r="0" b="9525"/>
            <wp:docPr id="116" name="Resi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753100" cy="4619625"/>
                    </a:xfrm>
                    <a:prstGeom prst="rect">
                      <a:avLst/>
                    </a:prstGeom>
                    <a:noFill/>
                    <a:ln>
                      <a:noFill/>
                    </a:ln>
                  </pic:spPr>
                </pic:pic>
              </a:graphicData>
            </a:graphic>
          </wp:inline>
        </w:drawing>
      </w:r>
    </w:p>
    <w:p w14:paraId="2D8BF207" w14:textId="77777777" w:rsidR="007F03EB" w:rsidRPr="00164238" w:rsidRDefault="007F03EB" w:rsidP="007F03EB">
      <w:pPr>
        <w:spacing w:before="120"/>
        <w:jc w:val="both"/>
        <w:rPr>
          <w:rFonts w:ascii="Times New Roman" w:hAnsi="Times New Roman" w:cs="Times New Roman"/>
          <w:color w:val="000000" w:themeColor="text1"/>
          <w:sz w:val="20"/>
          <w:szCs w:val="20"/>
          <w:lang w:val="en-US"/>
        </w:rPr>
      </w:pPr>
      <w:r w:rsidRPr="00164238">
        <w:rPr>
          <w:rFonts w:ascii="Times New Roman" w:hAnsi="Times New Roman" w:cs="Times New Roman"/>
          <w:noProof/>
          <w:color w:val="000000" w:themeColor="text1"/>
          <w:sz w:val="20"/>
          <w:szCs w:val="20"/>
        </w:rPr>
        <w:t>Notes:</w:t>
      </w:r>
      <w:r w:rsidRPr="00164238">
        <w:rPr>
          <w:rFonts w:ascii="Times New Roman" w:hAnsi="Times New Roman" w:cs="Times New Roman"/>
          <w:color w:val="000000" w:themeColor="text1"/>
          <w:sz w:val="20"/>
          <w:szCs w:val="20"/>
          <w:lang w:val="en-US"/>
        </w:rPr>
        <w:t xml:space="preserve"> The values ​​shown on the arrows in the figure are the standardized regression coefficients. Abbreviations: </w:t>
      </w:r>
      <w:r w:rsidRPr="00164238">
        <w:rPr>
          <w:rFonts w:ascii="Times New Roman" w:hAnsi="Times New Roman" w:cs="Times New Roman"/>
          <w:noProof/>
          <w:color w:val="000000" w:themeColor="text1"/>
          <w:sz w:val="20"/>
          <w:szCs w:val="20"/>
        </w:rPr>
        <w:t>SVTC:</w:t>
      </w:r>
      <w:r w:rsidRPr="00164238">
        <w:rPr>
          <w:rFonts w:ascii="Times New Roman" w:hAnsi="Times New Roman" w:cs="Times New Roman"/>
          <w:color w:val="000000" w:themeColor="text1"/>
          <w:sz w:val="20"/>
          <w:szCs w:val="20"/>
          <w:lang w:val="en-US"/>
        </w:rPr>
        <w:t xml:space="preserve"> </w:t>
      </w:r>
      <w:r w:rsidRPr="00164238">
        <w:rPr>
          <w:rFonts w:ascii="Times New Roman" w:hAnsi="Times New Roman" w:cs="Times New Roman"/>
          <w:noProof/>
          <w:color w:val="000000" w:themeColor="text1"/>
          <w:sz w:val="20"/>
          <w:szCs w:val="20"/>
        </w:rPr>
        <w:t>Supervisors’ Virtual Technology Competence; SSQ:</w:t>
      </w:r>
      <w:r w:rsidRPr="00164238">
        <w:rPr>
          <w:rFonts w:ascii="Times New Roman" w:hAnsi="Times New Roman" w:cs="Times New Roman"/>
          <w:color w:val="000000" w:themeColor="text1"/>
          <w:sz w:val="20"/>
          <w:szCs w:val="20"/>
          <w:lang w:val="en-US"/>
        </w:rPr>
        <w:t xml:space="preserve"> </w:t>
      </w:r>
      <w:r w:rsidRPr="00164238">
        <w:rPr>
          <w:rFonts w:ascii="Times New Roman" w:hAnsi="Times New Roman" w:cs="Times New Roman"/>
          <w:noProof/>
          <w:color w:val="000000" w:themeColor="text1"/>
          <w:sz w:val="20"/>
          <w:szCs w:val="20"/>
        </w:rPr>
        <w:t>The Quality of Supervisor-Subordinate Exchange; A:</w:t>
      </w:r>
      <w:r w:rsidRPr="00164238">
        <w:rPr>
          <w:rFonts w:ascii="Times New Roman" w:hAnsi="Times New Roman" w:cs="Times New Roman"/>
          <w:color w:val="000000" w:themeColor="text1"/>
          <w:sz w:val="20"/>
          <w:szCs w:val="20"/>
          <w:lang w:val="en-US"/>
        </w:rPr>
        <w:t xml:space="preserve"> </w:t>
      </w:r>
      <w:r w:rsidRPr="00164238">
        <w:rPr>
          <w:rFonts w:ascii="Times New Roman" w:hAnsi="Times New Roman" w:cs="Times New Roman"/>
          <w:noProof/>
          <w:color w:val="000000" w:themeColor="text1"/>
          <w:sz w:val="20"/>
          <w:szCs w:val="20"/>
          <w:shd w:val="clear" w:color="auto" w:fill="FFFFFF"/>
        </w:rPr>
        <w:t>Affect</w:t>
      </w:r>
      <w:r w:rsidRPr="00164238">
        <w:rPr>
          <w:rFonts w:ascii="Times New Roman" w:hAnsi="Times New Roman" w:cs="Times New Roman"/>
          <w:noProof/>
          <w:color w:val="000000" w:themeColor="text1"/>
          <w:sz w:val="20"/>
          <w:szCs w:val="20"/>
        </w:rPr>
        <w:t>; L:</w:t>
      </w:r>
      <w:r w:rsidRPr="00164238">
        <w:rPr>
          <w:rFonts w:ascii="Times New Roman" w:hAnsi="Times New Roman" w:cs="Times New Roman"/>
          <w:color w:val="000000" w:themeColor="text1"/>
          <w:sz w:val="20"/>
          <w:szCs w:val="20"/>
          <w:shd w:val="clear" w:color="auto" w:fill="FFFFFF"/>
          <w:lang w:val="en-US"/>
        </w:rPr>
        <w:t xml:space="preserve"> </w:t>
      </w:r>
      <w:r w:rsidRPr="00164238">
        <w:rPr>
          <w:rFonts w:ascii="Times New Roman" w:hAnsi="Times New Roman" w:cs="Times New Roman"/>
          <w:noProof/>
          <w:color w:val="000000" w:themeColor="text1"/>
          <w:sz w:val="20"/>
          <w:szCs w:val="20"/>
          <w:shd w:val="clear" w:color="auto" w:fill="FFFFFF"/>
        </w:rPr>
        <w:t>Loyalty</w:t>
      </w:r>
      <w:r w:rsidRPr="00164238">
        <w:rPr>
          <w:rFonts w:ascii="Times New Roman" w:hAnsi="Times New Roman" w:cs="Times New Roman"/>
          <w:noProof/>
          <w:color w:val="000000" w:themeColor="text1"/>
          <w:sz w:val="20"/>
          <w:szCs w:val="20"/>
        </w:rPr>
        <w:t>; C:</w:t>
      </w:r>
      <w:r w:rsidRPr="00164238">
        <w:rPr>
          <w:rFonts w:ascii="Times New Roman" w:hAnsi="Times New Roman" w:cs="Times New Roman"/>
          <w:color w:val="000000" w:themeColor="text1"/>
          <w:sz w:val="20"/>
          <w:szCs w:val="20"/>
          <w:shd w:val="clear" w:color="auto" w:fill="FFFFFF"/>
          <w:lang w:val="en-US"/>
        </w:rPr>
        <w:t xml:space="preserve"> </w:t>
      </w:r>
      <w:r w:rsidRPr="00164238">
        <w:rPr>
          <w:rFonts w:ascii="Times New Roman" w:hAnsi="Times New Roman" w:cs="Times New Roman"/>
          <w:noProof/>
          <w:color w:val="000000" w:themeColor="text1"/>
          <w:sz w:val="20"/>
          <w:szCs w:val="20"/>
          <w:shd w:val="clear" w:color="auto" w:fill="FFFFFF"/>
        </w:rPr>
        <w:t>Contribution</w:t>
      </w:r>
      <w:r w:rsidRPr="00164238">
        <w:rPr>
          <w:rFonts w:ascii="Times New Roman" w:hAnsi="Times New Roman" w:cs="Times New Roman"/>
          <w:noProof/>
          <w:color w:val="000000" w:themeColor="text1"/>
          <w:sz w:val="20"/>
          <w:szCs w:val="20"/>
        </w:rPr>
        <w:t>; PR:</w:t>
      </w:r>
      <w:r w:rsidRPr="00164238">
        <w:rPr>
          <w:rFonts w:ascii="Times New Roman" w:hAnsi="Times New Roman" w:cs="Times New Roman"/>
          <w:color w:val="000000" w:themeColor="text1"/>
          <w:sz w:val="20"/>
          <w:szCs w:val="20"/>
          <w:lang w:val="en-US"/>
        </w:rPr>
        <w:t xml:space="preserve"> </w:t>
      </w:r>
      <w:r w:rsidRPr="00164238">
        <w:rPr>
          <w:rFonts w:ascii="Times New Roman" w:hAnsi="Times New Roman" w:cs="Times New Roman"/>
          <w:noProof/>
          <w:color w:val="000000" w:themeColor="text1"/>
          <w:sz w:val="20"/>
          <w:szCs w:val="20"/>
          <w:shd w:val="clear" w:color="auto" w:fill="FFFFFF"/>
        </w:rPr>
        <w:t>Professional Respect</w:t>
      </w:r>
      <w:r w:rsidRPr="00164238">
        <w:rPr>
          <w:rFonts w:ascii="Times New Roman" w:hAnsi="Times New Roman" w:cs="Times New Roman"/>
          <w:noProof/>
          <w:color w:val="000000" w:themeColor="text1"/>
          <w:sz w:val="20"/>
          <w:szCs w:val="20"/>
        </w:rPr>
        <w:t>.</w:t>
      </w:r>
    </w:p>
    <w:p w14:paraId="6CD0CA63" w14:textId="77777777" w:rsidR="007F03EB" w:rsidRPr="00164238" w:rsidRDefault="007F03EB" w:rsidP="007F03EB">
      <w:pPr>
        <w:spacing w:before="120"/>
        <w:ind w:firstLine="708"/>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As results of the structural equation modeling test, it is revealed that fit-index values obtained before modification (x</w:t>
      </w:r>
      <w:r w:rsidRPr="00164238">
        <w:rPr>
          <w:rFonts w:ascii="Times New Roman" w:hAnsi="Times New Roman" w:cs="Times New Roman"/>
          <w:color w:val="000000" w:themeColor="text1"/>
          <w:sz w:val="20"/>
          <w:szCs w:val="20"/>
          <w:vertAlign w:val="superscript"/>
          <w:lang w:val="en-US"/>
        </w:rPr>
        <w:t>2</w:t>
      </w:r>
      <w:r w:rsidRPr="00164238">
        <w:rPr>
          <w:rFonts w:ascii="Times New Roman" w:hAnsi="Times New Roman" w:cs="Times New Roman"/>
          <w:color w:val="000000" w:themeColor="text1"/>
          <w:sz w:val="20"/>
          <w:szCs w:val="20"/>
          <w:lang w:val="en-US"/>
        </w:rPr>
        <w:t xml:space="preserve">/df= 2.97, CFI= .89, RMSEA= .09, SRMR= .07, HOELTER .05= 84) and after </w:t>
      </w:r>
      <w:r w:rsidRPr="00164238">
        <w:rPr>
          <w:rFonts w:ascii="Times New Roman" w:hAnsi="Times New Roman" w:cs="Times New Roman"/>
          <w:color w:val="000000" w:themeColor="text1"/>
          <w:sz w:val="20"/>
          <w:szCs w:val="20"/>
          <w:lang w:val="en-US"/>
        </w:rPr>
        <w:lastRenderedPageBreak/>
        <w:t>modification (x</w:t>
      </w:r>
      <w:r w:rsidRPr="00164238">
        <w:rPr>
          <w:rFonts w:ascii="Times New Roman" w:hAnsi="Times New Roman" w:cs="Times New Roman"/>
          <w:color w:val="000000" w:themeColor="text1"/>
          <w:sz w:val="20"/>
          <w:szCs w:val="20"/>
          <w:vertAlign w:val="superscript"/>
          <w:lang w:val="en-US"/>
        </w:rPr>
        <w:t>2</w:t>
      </w:r>
      <w:r w:rsidRPr="00164238">
        <w:rPr>
          <w:rFonts w:ascii="Times New Roman" w:hAnsi="Times New Roman" w:cs="Times New Roman"/>
          <w:color w:val="000000" w:themeColor="text1"/>
          <w:sz w:val="20"/>
          <w:szCs w:val="20"/>
          <w:lang w:val="en-US"/>
        </w:rPr>
        <w:t>/df= 2.71, CFI= .90, RMSEA= .09, SRMR= .07, HOELTER .05= 91) are exactly the same with the fit-index values in Table 1. Therefore, it is determined that the entire fit-index values are at sufficient level.</w:t>
      </w:r>
    </w:p>
    <w:p w14:paraId="20F11B9F" w14:textId="77777777" w:rsidR="007F03EB" w:rsidRPr="00164238" w:rsidRDefault="007F03EB" w:rsidP="007F03EB">
      <w:pPr>
        <w:spacing w:before="120"/>
        <w:rPr>
          <w:rFonts w:ascii="Times New Roman" w:hAnsi="Times New Roman" w:cs="Times New Roman"/>
          <w:b/>
          <w:bCs/>
          <w:color w:val="000000" w:themeColor="text1"/>
          <w:sz w:val="20"/>
          <w:szCs w:val="20"/>
          <w:shd w:val="clear" w:color="auto" w:fill="FFFFFF"/>
          <w:lang w:val="en-US"/>
        </w:rPr>
      </w:pPr>
      <w:r w:rsidRPr="00164238">
        <w:rPr>
          <w:rFonts w:ascii="Times New Roman" w:hAnsi="Times New Roman" w:cs="Times New Roman"/>
          <w:b/>
          <w:bCs/>
          <w:color w:val="000000" w:themeColor="text1"/>
          <w:sz w:val="20"/>
          <w:szCs w:val="20"/>
          <w:shd w:val="clear" w:color="auto" w:fill="FFFFFF"/>
          <w:lang w:val="en-US"/>
        </w:rPr>
        <w:t>Table 3</w:t>
      </w:r>
    </w:p>
    <w:p w14:paraId="5CBD6CB7" w14:textId="77777777" w:rsidR="007F03EB" w:rsidRPr="00164238" w:rsidRDefault="007F03EB" w:rsidP="007F03EB">
      <w:pPr>
        <w:spacing w:before="120"/>
        <w:rPr>
          <w:rFonts w:ascii="Times New Roman" w:hAnsi="Times New Roman" w:cs="Times New Roman"/>
          <w:i/>
          <w:iCs/>
          <w:color w:val="000000" w:themeColor="text1"/>
          <w:sz w:val="20"/>
          <w:szCs w:val="20"/>
          <w:shd w:val="clear" w:color="auto" w:fill="FFFFFF"/>
          <w:lang w:val="en-US"/>
        </w:rPr>
      </w:pPr>
      <w:r w:rsidRPr="00164238">
        <w:rPr>
          <w:rFonts w:ascii="Times New Roman" w:hAnsi="Times New Roman" w:cs="Times New Roman"/>
          <w:i/>
          <w:iCs/>
          <w:color w:val="000000" w:themeColor="text1"/>
          <w:sz w:val="20"/>
          <w:szCs w:val="20"/>
          <w:shd w:val="clear" w:color="auto" w:fill="FFFFFF"/>
          <w:lang w:val="en-US"/>
        </w:rPr>
        <w:t>Results of Structural Equation Modeling</w:t>
      </w:r>
    </w:p>
    <w:tbl>
      <w:tblPr>
        <w:tblW w:w="9180" w:type="dxa"/>
        <w:tblInd w:w="108" w:type="dxa"/>
        <w:tblBorders>
          <w:top w:val="single" w:sz="4" w:space="0" w:color="auto"/>
          <w:bottom w:val="single" w:sz="4" w:space="0" w:color="auto"/>
        </w:tblBorders>
        <w:tblLayout w:type="fixed"/>
        <w:tblLook w:val="00A0" w:firstRow="1" w:lastRow="0" w:firstColumn="1" w:lastColumn="0" w:noHBand="0" w:noVBand="0"/>
      </w:tblPr>
      <w:tblGrid>
        <w:gridCol w:w="1439"/>
        <w:gridCol w:w="2410"/>
        <w:gridCol w:w="1438"/>
        <w:gridCol w:w="2327"/>
        <w:gridCol w:w="1566"/>
      </w:tblGrid>
      <w:tr w:rsidR="007F03EB" w:rsidRPr="00164238" w14:paraId="36F10C17" w14:textId="77777777" w:rsidTr="007F03EB">
        <w:tc>
          <w:tcPr>
            <w:tcW w:w="1439" w:type="dxa"/>
            <w:tcBorders>
              <w:top w:val="single" w:sz="4" w:space="0" w:color="auto"/>
              <w:left w:val="nil"/>
              <w:bottom w:val="single" w:sz="4" w:space="0" w:color="auto"/>
              <w:right w:val="nil"/>
            </w:tcBorders>
            <w:vAlign w:val="center"/>
            <w:hideMark/>
          </w:tcPr>
          <w:p w14:paraId="6A008D08" w14:textId="77777777" w:rsidR="007F03EB" w:rsidRPr="00164238" w:rsidRDefault="007F03EB">
            <w:pPr>
              <w:spacing w:line="276" w:lineRule="auto"/>
              <w:jc w:val="center"/>
              <w:rPr>
                <w:rFonts w:ascii="Times New Roman" w:hAnsi="Times New Roman" w:cs="Times New Roman"/>
                <w:b/>
                <w:bCs/>
                <w:color w:val="000000" w:themeColor="text1"/>
                <w:sz w:val="20"/>
                <w:szCs w:val="20"/>
                <w:shd w:val="clear" w:color="auto" w:fill="FFFFFF"/>
                <w:lang w:val="en-US"/>
              </w:rPr>
            </w:pPr>
            <w:r w:rsidRPr="00164238">
              <w:rPr>
                <w:rFonts w:ascii="Times New Roman" w:hAnsi="Times New Roman" w:cs="Times New Roman"/>
                <w:b/>
                <w:bCs/>
                <w:noProof/>
                <w:color w:val="000000" w:themeColor="text1"/>
                <w:sz w:val="20"/>
                <w:szCs w:val="20"/>
                <w:shd w:val="clear" w:color="auto" w:fill="FFFFFF"/>
              </w:rPr>
              <w:t>PATH</w:t>
            </w:r>
          </w:p>
        </w:tc>
        <w:tc>
          <w:tcPr>
            <w:tcW w:w="2410" w:type="dxa"/>
            <w:tcBorders>
              <w:top w:val="single" w:sz="4" w:space="0" w:color="auto"/>
              <w:left w:val="nil"/>
              <w:bottom w:val="single" w:sz="4" w:space="0" w:color="auto"/>
              <w:right w:val="nil"/>
            </w:tcBorders>
            <w:vAlign w:val="center"/>
            <w:hideMark/>
          </w:tcPr>
          <w:p w14:paraId="322F62F8" w14:textId="77777777" w:rsidR="007F03EB" w:rsidRPr="00164238" w:rsidRDefault="007F03EB">
            <w:pPr>
              <w:spacing w:line="276" w:lineRule="auto"/>
              <w:jc w:val="center"/>
              <w:rPr>
                <w:rFonts w:ascii="Times New Roman" w:hAnsi="Times New Roman" w:cs="Times New Roman"/>
                <w:b/>
                <w:bCs/>
                <w:noProof/>
                <w:color w:val="000000" w:themeColor="text1"/>
                <w:sz w:val="20"/>
                <w:szCs w:val="20"/>
                <w:shd w:val="clear" w:color="auto" w:fill="FFFFFF"/>
              </w:rPr>
            </w:pPr>
            <w:r w:rsidRPr="00164238">
              <w:rPr>
                <w:rFonts w:ascii="Times New Roman" w:hAnsi="Times New Roman" w:cs="Times New Roman"/>
                <w:b/>
                <w:bCs/>
                <w:noProof/>
                <w:color w:val="000000" w:themeColor="text1"/>
                <w:sz w:val="20"/>
                <w:szCs w:val="20"/>
                <w:shd w:val="clear" w:color="auto" w:fill="FFFFFF"/>
              </w:rPr>
              <w:t>Unstandardized Regression Coefficient</w:t>
            </w:r>
          </w:p>
          <w:p w14:paraId="5EF48F9F" w14:textId="77777777" w:rsidR="007F03EB" w:rsidRPr="00164238" w:rsidRDefault="007F03EB">
            <w:pPr>
              <w:spacing w:line="276" w:lineRule="auto"/>
              <w:jc w:val="center"/>
              <w:rPr>
                <w:rFonts w:ascii="Times New Roman" w:hAnsi="Times New Roman" w:cs="Times New Roman"/>
                <w:b/>
                <w:bCs/>
                <w:color w:val="000000" w:themeColor="text1"/>
                <w:sz w:val="20"/>
                <w:szCs w:val="20"/>
                <w:shd w:val="clear" w:color="auto" w:fill="FFFFFF"/>
                <w:lang w:val="en-US"/>
              </w:rPr>
            </w:pPr>
            <w:r w:rsidRPr="00164238">
              <w:rPr>
                <w:rFonts w:ascii="Times New Roman" w:hAnsi="Times New Roman" w:cs="Times New Roman"/>
                <w:b/>
                <w:bCs/>
                <w:noProof/>
                <w:color w:val="000000" w:themeColor="text1"/>
                <w:sz w:val="20"/>
                <w:szCs w:val="20"/>
                <w:shd w:val="clear" w:color="auto" w:fill="FFFFFF"/>
              </w:rPr>
              <w:t>(B)</w:t>
            </w:r>
          </w:p>
        </w:tc>
        <w:tc>
          <w:tcPr>
            <w:tcW w:w="1438" w:type="dxa"/>
            <w:tcBorders>
              <w:top w:val="single" w:sz="4" w:space="0" w:color="auto"/>
              <w:left w:val="nil"/>
              <w:bottom w:val="single" w:sz="4" w:space="0" w:color="auto"/>
              <w:right w:val="nil"/>
            </w:tcBorders>
            <w:vAlign w:val="center"/>
            <w:hideMark/>
          </w:tcPr>
          <w:p w14:paraId="6736A432" w14:textId="77777777" w:rsidR="007F03EB" w:rsidRPr="00164238" w:rsidRDefault="007F03EB">
            <w:pPr>
              <w:spacing w:line="276" w:lineRule="auto"/>
              <w:jc w:val="center"/>
              <w:rPr>
                <w:rFonts w:ascii="Times New Roman" w:hAnsi="Times New Roman" w:cs="Times New Roman"/>
                <w:b/>
                <w:bCs/>
                <w:color w:val="000000" w:themeColor="text1"/>
                <w:sz w:val="20"/>
                <w:szCs w:val="20"/>
                <w:shd w:val="clear" w:color="auto" w:fill="FFFFFF"/>
                <w:lang w:val="en-US"/>
              </w:rPr>
            </w:pPr>
            <w:r w:rsidRPr="00164238">
              <w:rPr>
                <w:rFonts w:ascii="Times New Roman" w:hAnsi="Times New Roman" w:cs="Times New Roman"/>
                <w:b/>
                <w:bCs/>
                <w:noProof/>
                <w:color w:val="000000" w:themeColor="text1"/>
                <w:sz w:val="20"/>
                <w:szCs w:val="20"/>
                <w:shd w:val="clear" w:color="auto" w:fill="FFFFFF"/>
              </w:rPr>
              <w:t>Standard</w:t>
            </w:r>
          </w:p>
          <w:p w14:paraId="3645FF69" w14:textId="77777777" w:rsidR="007F03EB" w:rsidRPr="00164238" w:rsidRDefault="007F03EB">
            <w:pPr>
              <w:spacing w:line="276" w:lineRule="auto"/>
              <w:jc w:val="center"/>
              <w:rPr>
                <w:rFonts w:ascii="Times New Roman" w:hAnsi="Times New Roman" w:cs="Times New Roman"/>
                <w:b/>
                <w:bCs/>
                <w:color w:val="000000" w:themeColor="text1"/>
                <w:sz w:val="20"/>
                <w:szCs w:val="20"/>
                <w:shd w:val="clear" w:color="auto" w:fill="FFFFFF"/>
                <w:lang w:val="en-US"/>
              </w:rPr>
            </w:pPr>
            <w:r w:rsidRPr="00164238">
              <w:rPr>
                <w:rFonts w:ascii="Times New Roman" w:hAnsi="Times New Roman" w:cs="Times New Roman"/>
                <w:b/>
                <w:bCs/>
                <w:noProof/>
                <w:color w:val="000000" w:themeColor="text1"/>
                <w:sz w:val="20"/>
                <w:szCs w:val="20"/>
                <w:shd w:val="clear" w:color="auto" w:fill="FFFFFF"/>
              </w:rPr>
              <w:t>Error</w:t>
            </w:r>
          </w:p>
          <w:p w14:paraId="3664328A" w14:textId="77777777" w:rsidR="007F03EB" w:rsidRPr="00164238" w:rsidRDefault="007F03EB">
            <w:pPr>
              <w:spacing w:line="276" w:lineRule="auto"/>
              <w:jc w:val="center"/>
              <w:rPr>
                <w:rFonts w:ascii="Times New Roman" w:hAnsi="Times New Roman" w:cs="Times New Roman"/>
                <w:b/>
                <w:bCs/>
                <w:color w:val="000000" w:themeColor="text1"/>
                <w:sz w:val="20"/>
                <w:szCs w:val="20"/>
                <w:shd w:val="clear" w:color="auto" w:fill="FFFFFF"/>
                <w:lang w:val="en-US"/>
              </w:rPr>
            </w:pPr>
            <w:r w:rsidRPr="00164238">
              <w:rPr>
                <w:rFonts w:ascii="Times New Roman" w:hAnsi="Times New Roman" w:cs="Times New Roman"/>
                <w:b/>
                <w:bCs/>
                <w:noProof/>
                <w:color w:val="000000" w:themeColor="text1"/>
                <w:sz w:val="20"/>
                <w:szCs w:val="20"/>
                <w:shd w:val="clear" w:color="auto" w:fill="FFFFFF"/>
              </w:rPr>
              <w:t>(SE)</w:t>
            </w:r>
          </w:p>
        </w:tc>
        <w:tc>
          <w:tcPr>
            <w:tcW w:w="2327" w:type="dxa"/>
            <w:tcBorders>
              <w:top w:val="single" w:sz="4" w:space="0" w:color="auto"/>
              <w:left w:val="nil"/>
              <w:bottom w:val="single" w:sz="4" w:space="0" w:color="auto"/>
              <w:right w:val="nil"/>
            </w:tcBorders>
            <w:vAlign w:val="center"/>
            <w:hideMark/>
          </w:tcPr>
          <w:p w14:paraId="3CF3B857" w14:textId="77777777" w:rsidR="007F03EB" w:rsidRPr="00164238" w:rsidRDefault="007F03EB">
            <w:pPr>
              <w:spacing w:line="276" w:lineRule="auto"/>
              <w:jc w:val="center"/>
              <w:rPr>
                <w:rFonts w:ascii="Times New Roman" w:hAnsi="Times New Roman" w:cs="Times New Roman"/>
                <w:b/>
                <w:bCs/>
                <w:noProof/>
                <w:color w:val="000000" w:themeColor="text1"/>
                <w:sz w:val="20"/>
                <w:szCs w:val="20"/>
                <w:shd w:val="clear" w:color="auto" w:fill="FFFFFF"/>
              </w:rPr>
            </w:pPr>
            <w:r w:rsidRPr="00164238">
              <w:rPr>
                <w:rFonts w:ascii="Times New Roman" w:hAnsi="Times New Roman" w:cs="Times New Roman"/>
                <w:b/>
                <w:bCs/>
                <w:noProof/>
                <w:color w:val="000000" w:themeColor="text1"/>
                <w:sz w:val="20"/>
                <w:szCs w:val="20"/>
                <w:shd w:val="clear" w:color="auto" w:fill="FFFFFF"/>
              </w:rPr>
              <w:t>Standardized Regression Coefficient</w:t>
            </w:r>
          </w:p>
          <w:p w14:paraId="6CF3C422" w14:textId="77777777" w:rsidR="007F03EB" w:rsidRPr="00164238" w:rsidRDefault="007F03EB">
            <w:pPr>
              <w:spacing w:line="276" w:lineRule="auto"/>
              <w:jc w:val="center"/>
              <w:rPr>
                <w:rFonts w:ascii="Times New Roman" w:hAnsi="Times New Roman" w:cs="Times New Roman"/>
                <w:b/>
                <w:bCs/>
                <w:color w:val="000000" w:themeColor="text1"/>
                <w:sz w:val="20"/>
                <w:szCs w:val="20"/>
                <w:shd w:val="clear" w:color="auto" w:fill="FFFFFF"/>
                <w:lang w:val="en-US"/>
              </w:rPr>
            </w:pPr>
            <w:r w:rsidRPr="00164238">
              <w:rPr>
                <w:rFonts w:ascii="Times New Roman" w:hAnsi="Times New Roman" w:cs="Times New Roman"/>
                <w:b/>
                <w:bCs/>
                <w:noProof/>
                <w:color w:val="000000" w:themeColor="text1"/>
                <w:sz w:val="20"/>
                <w:szCs w:val="20"/>
                <w:shd w:val="clear" w:color="auto" w:fill="FFFFFF"/>
              </w:rPr>
              <w:t>(β)</w:t>
            </w:r>
          </w:p>
        </w:tc>
        <w:tc>
          <w:tcPr>
            <w:tcW w:w="1566" w:type="dxa"/>
            <w:tcBorders>
              <w:top w:val="single" w:sz="4" w:space="0" w:color="auto"/>
              <w:left w:val="nil"/>
              <w:bottom w:val="single" w:sz="4" w:space="0" w:color="auto"/>
              <w:right w:val="nil"/>
            </w:tcBorders>
            <w:vAlign w:val="center"/>
            <w:hideMark/>
          </w:tcPr>
          <w:p w14:paraId="5EB84715" w14:textId="77777777" w:rsidR="007F03EB" w:rsidRPr="00164238" w:rsidRDefault="007F03EB">
            <w:pPr>
              <w:spacing w:line="276" w:lineRule="auto"/>
              <w:jc w:val="center"/>
              <w:rPr>
                <w:rFonts w:ascii="Times New Roman" w:hAnsi="Times New Roman" w:cs="Times New Roman"/>
                <w:b/>
                <w:bCs/>
                <w:color w:val="000000" w:themeColor="text1"/>
                <w:sz w:val="20"/>
                <w:szCs w:val="20"/>
                <w:shd w:val="clear" w:color="auto" w:fill="FFFFFF"/>
                <w:lang w:val="en-US"/>
              </w:rPr>
            </w:pPr>
            <w:r w:rsidRPr="00164238">
              <w:rPr>
                <w:rFonts w:ascii="Times New Roman" w:hAnsi="Times New Roman" w:cs="Times New Roman"/>
                <w:b/>
                <w:bCs/>
                <w:noProof/>
                <w:color w:val="000000" w:themeColor="text1"/>
                <w:sz w:val="20"/>
                <w:szCs w:val="20"/>
                <w:shd w:val="clear" w:color="auto" w:fill="FFFFFF"/>
              </w:rPr>
              <w:t>Significance</w:t>
            </w:r>
          </w:p>
          <w:p w14:paraId="5E8BDED9" w14:textId="77777777" w:rsidR="007F03EB" w:rsidRPr="00164238" w:rsidRDefault="007F03EB">
            <w:pPr>
              <w:spacing w:line="276" w:lineRule="auto"/>
              <w:jc w:val="center"/>
              <w:rPr>
                <w:rFonts w:ascii="Times New Roman" w:hAnsi="Times New Roman" w:cs="Times New Roman"/>
                <w:b/>
                <w:bCs/>
                <w:color w:val="000000" w:themeColor="text1"/>
                <w:sz w:val="20"/>
                <w:szCs w:val="20"/>
                <w:shd w:val="clear" w:color="auto" w:fill="FFFFFF"/>
                <w:lang w:val="en-US"/>
              </w:rPr>
            </w:pPr>
            <w:r w:rsidRPr="00164238">
              <w:rPr>
                <w:rFonts w:ascii="Times New Roman" w:hAnsi="Times New Roman" w:cs="Times New Roman"/>
                <w:b/>
                <w:bCs/>
                <w:noProof/>
                <w:color w:val="000000" w:themeColor="text1"/>
                <w:sz w:val="20"/>
                <w:szCs w:val="20"/>
                <w:shd w:val="clear" w:color="auto" w:fill="FFFFFF"/>
              </w:rPr>
              <w:t>(p)</w:t>
            </w:r>
          </w:p>
        </w:tc>
      </w:tr>
      <w:tr w:rsidR="007F03EB" w:rsidRPr="00164238" w14:paraId="738A8C55" w14:textId="77777777" w:rsidTr="007F03EB">
        <w:tc>
          <w:tcPr>
            <w:tcW w:w="1439" w:type="dxa"/>
            <w:tcBorders>
              <w:top w:val="single" w:sz="4" w:space="0" w:color="auto"/>
              <w:left w:val="nil"/>
              <w:bottom w:val="single" w:sz="4" w:space="0" w:color="auto"/>
              <w:right w:val="nil"/>
            </w:tcBorders>
            <w:vAlign w:val="center"/>
            <w:hideMark/>
          </w:tcPr>
          <w:p w14:paraId="58699F5A" w14:textId="77777777" w:rsidR="007F03EB" w:rsidRPr="00164238" w:rsidRDefault="007F03EB">
            <w:pPr>
              <w:spacing w:line="276" w:lineRule="auto"/>
              <w:jc w:val="center"/>
              <w:rPr>
                <w:rFonts w:ascii="Times New Roman" w:hAnsi="Times New Roman" w:cs="Times New Roman"/>
                <w:b/>
                <w:bCs/>
                <w:color w:val="000000" w:themeColor="text1"/>
                <w:sz w:val="20"/>
                <w:szCs w:val="20"/>
                <w:shd w:val="clear" w:color="auto" w:fill="FFFFFF"/>
                <w:lang w:val="en-US"/>
              </w:rPr>
            </w:pPr>
            <w:r w:rsidRPr="00164238">
              <w:rPr>
                <w:rFonts w:ascii="Times New Roman" w:hAnsi="Times New Roman" w:cs="Times New Roman"/>
                <w:b/>
                <w:bCs/>
                <w:noProof/>
                <w:color w:val="000000" w:themeColor="text1"/>
                <w:sz w:val="20"/>
                <w:szCs w:val="20"/>
                <w:shd w:val="clear" w:color="auto" w:fill="FFFFFF"/>
              </w:rPr>
              <w:t>SVTC→SSQ</w:t>
            </w:r>
          </w:p>
        </w:tc>
        <w:tc>
          <w:tcPr>
            <w:tcW w:w="2410" w:type="dxa"/>
            <w:tcBorders>
              <w:top w:val="single" w:sz="4" w:space="0" w:color="auto"/>
              <w:left w:val="nil"/>
              <w:bottom w:val="single" w:sz="4" w:space="0" w:color="auto"/>
              <w:right w:val="nil"/>
            </w:tcBorders>
            <w:vAlign w:val="center"/>
            <w:hideMark/>
          </w:tcPr>
          <w:p w14:paraId="67132718" w14:textId="77777777" w:rsidR="007F03EB" w:rsidRPr="00164238" w:rsidRDefault="007F03EB">
            <w:pPr>
              <w:spacing w:line="276" w:lineRule="auto"/>
              <w:jc w:val="center"/>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color w:val="000000" w:themeColor="text1"/>
                <w:sz w:val="20"/>
                <w:szCs w:val="20"/>
                <w:shd w:val="clear" w:color="auto" w:fill="FFFFFF"/>
                <w:lang w:val="en-US"/>
              </w:rPr>
              <w:t>0.82</w:t>
            </w:r>
          </w:p>
        </w:tc>
        <w:tc>
          <w:tcPr>
            <w:tcW w:w="1438" w:type="dxa"/>
            <w:tcBorders>
              <w:top w:val="single" w:sz="4" w:space="0" w:color="auto"/>
              <w:left w:val="nil"/>
              <w:bottom w:val="single" w:sz="4" w:space="0" w:color="auto"/>
              <w:right w:val="nil"/>
            </w:tcBorders>
            <w:vAlign w:val="center"/>
            <w:hideMark/>
          </w:tcPr>
          <w:p w14:paraId="64CFB708" w14:textId="77777777" w:rsidR="007F03EB" w:rsidRPr="00164238" w:rsidRDefault="007F03EB">
            <w:pPr>
              <w:spacing w:line="276" w:lineRule="auto"/>
              <w:jc w:val="center"/>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color w:val="000000" w:themeColor="text1"/>
                <w:sz w:val="20"/>
                <w:szCs w:val="20"/>
                <w:shd w:val="clear" w:color="auto" w:fill="FFFFFF"/>
                <w:lang w:val="en-US"/>
              </w:rPr>
              <w:t>0.13</w:t>
            </w:r>
          </w:p>
        </w:tc>
        <w:tc>
          <w:tcPr>
            <w:tcW w:w="2327" w:type="dxa"/>
            <w:tcBorders>
              <w:top w:val="single" w:sz="4" w:space="0" w:color="auto"/>
              <w:left w:val="nil"/>
              <w:bottom w:val="single" w:sz="4" w:space="0" w:color="auto"/>
              <w:right w:val="nil"/>
            </w:tcBorders>
            <w:vAlign w:val="center"/>
            <w:hideMark/>
          </w:tcPr>
          <w:p w14:paraId="0FAD9CA7" w14:textId="77777777" w:rsidR="007F03EB" w:rsidRPr="00164238" w:rsidRDefault="007F03EB">
            <w:pPr>
              <w:spacing w:line="276" w:lineRule="auto"/>
              <w:jc w:val="center"/>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color w:val="000000" w:themeColor="text1"/>
                <w:sz w:val="20"/>
                <w:szCs w:val="20"/>
                <w:shd w:val="clear" w:color="auto" w:fill="FFFFFF"/>
                <w:lang w:val="en-US"/>
              </w:rPr>
              <w:t>0.55</w:t>
            </w:r>
          </w:p>
        </w:tc>
        <w:tc>
          <w:tcPr>
            <w:tcW w:w="1566" w:type="dxa"/>
            <w:tcBorders>
              <w:top w:val="single" w:sz="4" w:space="0" w:color="auto"/>
              <w:left w:val="nil"/>
              <w:bottom w:val="single" w:sz="4" w:space="0" w:color="auto"/>
              <w:right w:val="nil"/>
            </w:tcBorders>
            <w:vAlign w:val="center"/>
            <w:hideMark/>
          </w:tcPr>
          <w:p w14:paraId="125F77FB" w14:textId="77777777" w:rsidR="007F03EB" w:rsidRPr="00164238" w:rsidRDefault="007F03EB">
            <w:pPr>
              <w:spacing w:line="276" w:lineRule="auto"/>
              <w:jc w:val="center"/>
              <w:rPr>
                <w:rFonts w:ascii="Times New Roman" w:hAnsi="Times New Roman" w:cs="Times New Roman"/>
                <w:color w:val="000000" w:themeColor="text1"/>
                <w:sz w:val="20"/>
                <w:szCs w:val="20"/>
                <w:shd w:val="clear" w:color="auto" w:fill="FFFFFF"/>
                <w:lang w:val="en-US"/>
              </w:rPr>
            </w:pPr>
            <w:r w:rsidRPr="00164238">
              <w:rPr>
                <w:rFonts w:ascii="Times New Roman" w:hAnsi="Times New Roman" w:cs="Times New Roman"/>
                <w:color w:val="000000" w:themeColor="text1"/>
                <w:sz w:val="20"/>
                <w:szCs w:val="20"/>
                <w:shd w:val="clear" w:color="auto" w:fill="FFFFFF"/>
                <w:lang w:val="en-US"/>
              </w:rPr>
              <w:t>***</w:t>
            </w:r>
          </w:p>
        </w:tc>
      </w:tr>
    </w:tbl>
    <w:p w14:paraId="253682E8" w14:textId="77777777" w:rsidR="007F03EB" w:rsidRPr="00164238" w:rsidRDefault="007F03EB" w:rsidP="007F03EB">
      <w:pPr>
        <w:jc w:val="both"/>
        <w:rPr>
          <w:rFonts w:ascii="Times New Roman" w:hAnsi="Times New Roman" w:cs="Times New Roman"/>
          <w:color w:val="000000" w:themeColor="text1"/>
          <w:sz w:val="20"/>
          <w:szCs w:val="20"/>
          <w:lang w:val="en-US"/>
        </w:rPr>
      </w:pPr>
      <w:r w:rsidRPr="00164238">
        <w:rPr>
          <w:rFonts w:ascii="Times New Roman" w:hAnsi="Times New Roman" w:cs="Times New Roman"/>
          <w:noProof/>
          <w:color w:val="000000" w:themeColor="text1"/>
          <w:sz w:val="20"/>
          <w:szCs w:val="20"/>
        </w:rPr>
        <w:t>Notes:</w:t>
      </w:r>
      <w:r w:rsidRPr="00164238">
        <w:rPr>
          <w:rFonts w:ascii="Times New Roman" w:hAnsi="Times New Roman" w:cs="Times New Roman"/>
          <w:color w:val="000000" w:themeColor="text1"/>
          <w:sz w:val="20"/>
          <w:szCs w:val="20"/>
          <w:lang w:val="en-US"/>
        </w:rPr>
        <w:t xml:space="preserve"> ***p&lt;0.01; Abbreviations: </w:t>
      </w:r>
      <w:r w:rsidRPr="00164238">
        <w:rPr>
          <w:rFonts w:ascii="Times New Roman" w:hAnsi="Times New Roman" w:cs="Times New Roman"/>
          <w:noProof/>
          <w:color w:val="000000" w:themeColor="text1"/>
          <w:sz w:val="20"/>
          <w:szCs w:val="20"/>
        </w:rPr>
        <w:t>SVTC:</w:t>
      </w:r>
      <w:r w:rsidRPr="00164238">
        <w:rPr>
          <w:rFonts w:ascii="Times New Roman" w:hAnsi="Times New Roman" w:cs="Times New Roman"/>
          <w:color w:val="000000" w:themeColor="text1"/>
          <w:sz w:val="20"/>
          <w:szCs w:val="20"/>
          <w:lang w:val="en-US"/>
        </w:rPr>
        <w:t xml:space="preserve"> </w:t>
      </w:r>
      <w:r w:rsidRPr="00164238">
        <w:rPr>
          <w:rFonts w:ascii="Times New Roman" w:hAnsi="Times New Roman" w:cs="Times New Roman"/>
          <w:noProof/>
          <w:color w:val="000000" w:themeColor="text1"/>
          <w:sz w:val="20"/>
          <w:szCs w:val="20"/>
        </w:rPr>
        <w:t>Supervisors’ Virtual Technology Competence; SSQ:</w:t>
      </w:r>
      <w:r w:rsidRPr="00164238">
        <w:rPr>
          <w:rFonts w:ascii="Times New Roman" w:hAnsi="Times New Roman" w:cs="Times New Roman"/>
          <w:color w:val="000000" w:themeColor="text1"/>
          <w:sz w:val="20"/>
          <w:szCs w:val="20"/>
          <w:lang w:val="en-US"/>
        </w:rPr>
        <w:t xml:space="preserve"> </w:t>
      </w:r>
      <w:r w:rsidRPr="00164238">
        <w:rPr>
          <w:rFonts w:ascii="Times New Roman" w:hAnsi="Times New Roman" w:cs="Times New Roman"/>
          <w:noProof/>
          <w:color w:val="000000" w:themeColor="text1"/>
          <w:sz w:val="20"/>
          <w:szCs w:val="20"/>
        </w:rPr>
        <w:t>The Quality of Supervisor-Subordinate Exchange.</w:t>
      </w:r>
    </w:p>
    <w:p w14:paraId="3748B2A8" w14:textId="77777777" w:rsidR="007F03EB" w:rsidRPr="00164238" w:rsidRDefault="007F03EB" w:rsidP="007F03EB">
      <w:pPr>
        <w:spacing w:before="120"/>
        <w:ind w:firstLine="708"/>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shd w:val="clear" w:color="auto" w:fill="FFFFFF"/>
          <w:lang w:val="en-US"/>
        </w:rPr>
        <w:t xml:space="preserve">As seen in Table 3, </w:t>
      </w:r>
      <w:r w:rsidRPr="00164238">
        <w:rPr>
          <w:rFonts w:ascii="Times New Roman" w:hAnsi="Times New Roman" w:cs="Times New Roman"/>
          <w:color w:val="000000" w:themeColor="text1"/>
          <w:sz w:val="20"/>
          <w:szCs w:val="20"/>
          <w:lang w:val="en-US"/>
        </w:rPr>
        <w:t>according to the results of structural equation modeling, supervisor’s virtual technology competence affects the quality of supervisor-subordinate exchange in a significant and positive way (β= 0.55; p&lt;0.01). Therefore, the research hypothesis was supported.</w:t>
      </w:r>
    </w:p>
    <w:p w14:paraId="7E2F4EE1" w14:textId="5FF26916" w:rsidR="007F03EB" w:rsidRPr="00164238" w:rsidRDefault="007F03EB" w:rsidP="007F03EB">
      <w:pPr>
        <w:spacing w:line="276" w:lineRule="auto"/>
        <w:ind w:firstLine="708"/>
        <w:rPr>
          <w:rFonts w:ascii="Times New Roman" w:eastAsia="Calibri" w:hAnsi="Times New Roman" w:cs="Times New Roman"/>
          <w:color w:val="000000" w:themeColor="text1"/>
          <w:sz w:val="20"/>
          <w:szCs w:val="20"/>
        </w:rPr>
      </w:pPr>
      <w:r w:rsidRPr="00164238">
        <w:rPr>
          <w:rFonts w:ascii="Times New Roman" w:eastAsia="Times New Roman" w:hAnsi="Times New Roman" w:cs="Times New Roman"/>
          <w:b/>
          <w:bCs/>
          <w:color w:val="000000" w:themeColor="text1"/>
          <w:sz w:val="20"/>
          <w:szCs w:val="20"/>
          <w:lang w:val="en-US" w:eastAsia="tr-TR"/>
        </w:rPr>
        <w:t>Conclusion and Discussion</w:t>
      </w:r>
    </w:p>
    <w:p w14:paraId="77F206E5" w14:textId="77777777" w:rsidR="007F03EB" w:rsidRPr="00164238" w:rsidRDefault="007F03EB" w:rsidP="007F03EB">
      <w:pPr>
        <w:spacing w:before="120"/>
        <w:ind w:firstLine="708"/>
        <w:jc w:val="both"/>
        <w:rPr>
          <w:rFonts w:ascii="Times New Roman" w:hAnsi="Times New Roman" w:cs="Times New Roman"/>
          <w:snapToGrid w:val="0"/>
          <w:color w:val="000000" w:themeColor="text1"/>
          <w:sz w:val="20"/>
          <w:szCs w:val="20"/>
          <w:shd w:val="clear" w:color="auto" w:fill="FFFFFF"/>
          <w:lang w:val="en-US"/>
        </w:rPr>
      </w:pPr>
      <w:r w:rsidRPr="00164238">
        <w:rPr>
          <w:rFonts w:ascii="Times New Roman" w:hAnsi="Times New Roman" w:cs="Times New Roman"/>
          <w:snapToGrid w:val="0"/>
          <w:color w:val="000000" w:themeColor="text1"/>
          <w:sz w:val="20"/>
          <w:szCs w:val="20"/>
          <w:shd w:val="clear" w:color="auto" w:fill="FFFFFF"/>
          <w:lang w:val="en-US"/>
        </w:rPr>
        <w:t xml:space="preserve">This study investigated the effect of supervisors’ virtual technology competence on the quality of supervisor-subordinate exchange. </w:t>
      </w:r>
      <w:r w:rsidRPr="00164238">
        <w:rPr>
          <w:rFonts w:ascii="Times New Roman" w:hAnsi="Times New Roman" w:cs="Times New Roman"/>
          <w:color w:val="000000" w:themeColor="text1"/>
          <w:sz w:val="20"/>
          <w:szCs w:val="20"/>
          <w:lang w:val="en-US"/>
        </w:rPr>
        <w:t xml:space="preserve">No other study examining the relationship between variables in the research model of the study in the same mechanism was found during the literature review. According to the results of correlation analysis, significant and positive bilateral relationships between the </w:t>
      </w:r>
      <w:r w:rsidRPr="00164238">
        <w:rPr>
          <w:rFonts w:ascii="Times New Roman" w:hAnsi="Times New Roman" w:cs="Times New Roman"/>
          <w:snapToGrid w:val="0"/>
          <w:color w:val="000000" w:themeColor="text1"/>
          <w:sz w:val="20"/>
          <w:szCs w:val="20"/>
          <w:shd w:val="clear" w:color="auto" w:fill="FFFFFF"/>
          <w:lang w:val="en-US"/>
        </w:rPr>
        <w:t>supervisors’ virtual technology competence and, the quality of supervisor-subordinate exchange and its sub-dimensions</w:t>
      </w:r>
      <w:r w:rsidRPr="00164238">
        <w:rPr>
          <w:rFonts w:ascii="Times New Roman" w:hAnsi="Times New Roman" w:cs="Times New Roman"/>
          <w:color w:val="000000" w:themeColor="text1"/>
          <w:sz w:val="20"/>
          <w:szCs w:val="20"/>
          <w:lang w:val="en-US"/>
        </w:rPr>
        <w:t xml:space="preserve"> were determined as expected. According to the analysis results of structural equation modeling, supervisors’ virtual technology competence significantly and positively influences </w:t>
      </w:r>
      <w:r w:rsidRPr="00164238">
        <w:rPr>
          <w:rFonts w:ascii="Times New Roman" w:hAnsi="Times New Roman" w:cs="Times New Roman"/>
          <w:snapToGrid w:val="0"/>
          <w:color w:val="000000" w:themeColor="text1"/>
          <w:sz w:val="20"/>
          <w:szCs w:val="20"/>
          <w:shd w:val="clear" w:color="auto" w:fill="FFFFFF"/>
          <w:lang w:val="en-US"/>
        </w:rPr>
        <w:t>the quality of supervisor-subordinate exchange</w:t>
      </w:r>
      <w:r w:rsidRPr="00164238">
        <w:rPr>
          <w:rFonts w:ascii="Times New Roman" w:hAnsi="Times New Roman" w:cs="Times New Roman"/>
          <w:color w:val="000000" w:themeColor="text1"/>
          <w:sz w:val="20"/>
          <w:szCs w:val="20"/>
          <w:lang w:val="en-US"/>
        </w:rPr>
        <w:t xml:space="preserve"> as expected.</w:t>
      </w:r>
      <w:r w:rsidRPr="00164238">
        <w:rPr>
          <w:rFonts w:ascii="Times New Roman" w:hAnsi="Times New Roman" w:cs="Times New Roman"/>
          <w:snapToGrid w:val="0"/>
          <w:color w:val="000000" w:themeColor="text1"/>
          <w:sz w:val="20"/>
          <w:szCs w:val="20"/>
          <w:shd w:val="clear" w:color="auto" w:fill="FFFFFF"/>
          <w:lang w:val="en-US"/>
        </w:rPr>
        <w:t xml:space="preserve"> </w:t>
      </w:r>
      <w:r w:rsidRPr="00164238">
        <w:rPr>
          <w:rFonts w:ascii="Times New Roman" w:hAnsi="Times New Roman" w:cs="Times New Roman"/>
          <w:color w:val="000000" w:themeColor="text1"/>
          <w:sz w:val="20"/>
          <w:szCs w:val="20"/>
          <w:shd w:val="clear" w:color="auto" w:fill="FFFFFF"/>
          <w:lang w:val="en-US"/>
        </w:rPr>
        <w:t>Moving from the functional definitions of the variables in the research model within scope of the study, the results of the research can also be explained as follows: Subordinates’ level of perception regarding the quality of reciprocal relationship they have with their immediate supervisors is enhanced when subordinates’ level of perception regarding that these supervisors possess the knowledge, skills and experiences to pioneer the execution of the works in the virtual environment and use such capability for their organization increases.</w:t>
      </w:r>
      <w:r w:rsidRPr="00164238">
        <w:rPr>
          <w:rFonts w:ascii="Times New Roman" w:hAnsi="Times New Roman" w:cs="Times New Roman"/>
          <w:snapToGrid w:val="0"/>
          <w:color w:val="000000" w:themeColor="text1"/>
          <w:sz w:val="20"/>
          <w:szCs w:val="20"/>
          <w:shd w:val="clear" w:color="auto" w:fill="FFFFFF"/>
          <w:lang w:val="en-US"/>
        </w:rPr>
        <w:t xml:space="preserve"> The increase in the quality of the supervisor-subordinate exchange is based on the rise in affection, loyalty and professional respect between the subordinate and his/her supervisor, as well as the fact that this supervisor allocates more organizational resources to his/her subordinate as a result of the subordinate’s better job performance.</w:t>
      </w:r>
    </w:p>
    <w:p w14:paraId="1AFF7475" w14:textId="77777777" w:rsidR="007F03EB" w:rsidRPr="00164238" w:rsidRDefault="007F03EB" w:rsidP="007F03EB">
      <w:pPr>
        <w:spacing w:before="120"/>
        <w:ind w:firstLine="708"/>
        <w:jc w:val="both"/>
        <w:rPr>
          <w:rFonts w:ascii="Times New Roman" w:hAnsi="Times New Roman" w:cs="Times New Roman"/>
          <w:snapToGrid w:val="0"/>
          <w:color w:val="000000" w:themeColor="text1"/>
          <w:sz w:val="20"/>
          <w:szCs w:val="20"/>
          <w:shd w:val="clear" w:color="auto" w:fill="FFFFFF"/>
          <w:lang w:val="en-US"/>
        </w:rPr>
      </w:pPr>
      <w:r w:rsidRPr="00164238">
        <w:rPr>
          <w:rFonts w:ascii="Times New Roman" w:hAnsi="Times New Roman" w:cs="Times New Roman"/>
          <w:color w:val="000000" w:themeColor="text1"/>
          <w:sz w:val="20"/>
          <w:szCs w:val="20"/>
          <w:lang w:val="en-US"/>
        </w:rPr>
        <w:t xml:space="preserve">According to the theoretical and empirical studies in the literature, it is evident that increase in both supervisor’s virtual technology competence (e.g.: Taş et al., 2020b) and quality of supervisor-subordinate exchange (e.g.: Özkara et al, 2019b) levels will influence the organizational success in a positive way. In this case, it can be concluded that it is possible to contribute to the organization through the enhancing effect of the increase in </w:t>
      </w:r>
      <w:r w:rsidRPr="00164238">
        <w:rPr>
          <w:rFonts w:ascii="Times New Roman" w:hAnsi="Times New Roman" w:cs="Times New Roman"/>
          <w:snapToGrid w:val="0"/>
          <w:color w:val="000000" w:themeColor="text1"/>
          <w:sz w:val="20"/>
          <w:szCs w:val="20"/>
          <w:shd w:val="clear" w:color="auto" w:fill="FFFFFF"/>
          <w:lang w:val="en-US"/>
        </w:rPr>
        <w:t>supervisors’ virtual technology competence level</w:t>
      </w:r>
      <w:r w:rsidRPr="00164238">
        <w:rPr>
          <w:rFonts w:ascii="Times New Roman" w:hAnsi="Times New Roman" w:cs="Times New Roman"/>
          <w:color w:val="000000" w:themeColor="text1"/>
          <w:sz w:val="20"/>
          <w:szCs w:val="20"/>
          <w:lang w:val="en-US"/>
        </w:rPr>
        <w:t xml:space="preserve"> on the level of quality of supervisor-subordinate exchange, within scope of this study.</w:t>
      </w:r>
      <w:r w:rsidRPr="00164238">
        <w:rPr>
          <w:rFonts w:ascii="Times New Roman" w:hAnsi="Times New Roman" w:cs="Times New Roman"/>
          <w:color w:val="000000" w:themeColor="text1"/>
          <w:sz w:val="20"/>
          <w:szCs w:val="20"/>
          <w:shd w:val="clear" w:color="auto" w:fill="FFFFFF"/>
          <w:lang w:val="en-US"/>
        </w:rPr>
        <w:t xml:space="preserve"> </w:t>
      </w:r>
      <w:r w:rsidRPr="00164238">
        <w:rPr>
          <w:rFonts w:ascii="Times New Roman" w:hAnsi="Times New Roman" w:cs="Times New Roman"/>
          <w:color w:val="000000" w:themeColor="text1"/>
          <w:sz w:val="20"/>
          <w:szCs w:val="20"/>
          <w:lang w:val="en-US"/>
        </w:rPr>
        <w:t>Especially in today’s pandemic circumstances, supervisors’ online-use of electronic mail, Twitter, virtual file sharing, WhatsApp, Facebook, video conference, messenger, forums, blogs, etc. tools via computer and smart phone in order to create virtual communication and their pioneering for fulfillment of the tasks by building virtual teams are thought to strengthen the perception of subordinates regarding the quality of reciprocal relationships with their supervisors.</w:t>
      </w:r>
      <w:r w:rsidRPr="00164238">
        <w:rPr>
          <w:rFonts w:ascii="Times New Roman" w:hAnsi="Times New Roman" w:cs="Times New Roman"/>
          <w:color w:val="000000" w:themeColor="text1"/>
          <w:sz w:val="20"/>
          <w:szCs w:val="20"/>
          <w:shd w:val="clear" w:color="auto" w:fill="FFFFFF"/>
          <w:lang w:val="en-US"/>
        </w:rPr>
        <w:t xml:space="preserve"> Thus, it can be said that it is possible to provide response from economical, social and behavioral context against the harm-inflicting impacts of Covid-19 on Earth by reflecting supervisors’ knowledge, skills and experiences </w:t>
      </w:r>
      <w:r w:rsidRPr="00164238">
        <w:rPr>
          <w:rFonts w:ascii="Times New Roman" w:hAnsi="Times New Roman" w:cs="Times New Roman"/>
          <w:snapToGrid w:val="0"/>
          <w:color w:val="000000" w:themeColor="text1"/>
          <w:sz w:val="20"/>
          <w:szCs w:val="20"/>
          <w:shd w:val="clear" w:color="auto" w:fill="FFFFFF"/>
          <w:lang w:val="en-US"/>
        </w:rPr>
        <w:t>about virtual technology</w:t>
      </w:r>
      <w:r w:rsidRPr="00164238">
        <w:rPr>
          <w:rFonts w:ascii="Times New Roman" w:hAnsi="Times New Roman" w:cs="Times New Roman"/>
          <w:color w:val="000000" w:themeColor="text1"/>
          <w:sz w:val="20"/>
          <w:szCs w:val="20"/>
          <w:shd w:val="clear" w:color="auto" w:fill="FFFFFF"/>
          <w:lang w:val="en-US"/>
        </w:rPr>
        <w:t xml:space="preserve"> to their behaviors in the organizations.</w:t>
      </w:r>
    </w:p>
    <w:p w14:paraId="55236A52" w14:textId="77777777" w:rsidR="007F03EB" w:rsidRPr="00164238" w:rsidRDefault="007F03EB" w:rsidP="007F03EB">
      <w:pPr>
        <w:spacing w:before="120"/>
        <w:ind w:firstLine="708"/>
        <w:jc w:val="both"/>
        <w:rPr>
          <w:rFonts w:ascii="Times New Roman" w:hAnsi="Times New Roman" w:cs="Times New Roman"/>
          <w:snapToGrid w:val="0"/>
          <w:color w:val="000000" w:themeColor="text1"/>
          <w:sz w:val="20"/>
          <w:szCs w:val="20"/>
          <w:shd w:val="clear" w:color="auto" w:fill="FFFFFF"/>
          <w:lang w:val="en-US"/>
        </w:rPr>
      </w:pPr>
      <w:r w:rsidRPr="00164238">
        <w:rPr>
          <w:rFonts w:ascii="Times New Roman" w:hAnsi="Times New Roman" w:cs="Times New Roman"/>
          <w:color w:val="000000" w:themeColor="text1"/>
          <w:sz w:val="20"/>
          <w:szCs w:val="20"/>
          <w:lang w:val="en-US"/>
        </w:rPr>
        <w:lastRenderedPageBreak/>
        <w:t>In the light of all this information, it is important for achieving organizational success in the university, where the research was conducted, that employees with virtual technology competence shall be assigned to managerial positions, and accordingly, executive development programs shall be implemented. Besides, the university senate and unit supervisors should allocate resources for up-to-date electronic tools with advanced technology and make these tools available to the personnel.</w:t>
      </w:r>
    </w:p>
    <w:p w14:paraId="4AB2A002" w14:textId="77777777" w:rsidR="007F03EB" w:rsidRPr="00164238" w:rsidRDefault="007F03EB" w:rsidP="007F03EB">
      <w:pPr>
        <w:spacing w:before="120"/>
        <w:ind w:firstLine="708"/>
        <w:jc w:val="both"/>
        <w:rPr>
          <w:rFonts w:ascii="Times New Roman" w:hAnsi="Times New Roman" w:cs="Times New Roman"/>
          <w:snapToGrid w:val="0"/>
          <w:color w:val="000000" w:themeColor="text1"/>
          <w:sz w:val="20"/>
          <w:szCs w:val="20"/>
          <w:shd w:val="clear" w:color="auto" w:fill="FFFFFF"/>
          <w:lang w:val="en-US"/>
        </w:rPr>
      </w:pPr>
      <w:r w:rsidRPr="00164238">
        <w:rPr>
          <w:rFonts w:ascii="Times New Roman" w:hAnsi="Times New Roman" w:cs="Times New Roman"/>
          <w:color w:val="000000" w:themeColor="text1"/>
          <w:sz w:val="20"/>
          <w:szCs w:val="20"/>
          <w:lang w:val="en-US"/>
        </w:rPr>
        <w:t>This study was carried out on academic and administrative personnel working in a state university located in the eastern part of Turkey. Number of males taking office in this university is far greater than the females. This circumstance was also reflected to the dataset of the study and became a limitation for the study. Number of the male participants in the dataset of the research is more than three times that of the female participants. It would be beneficial to test the research model of the study on employees of both state and private universities located in different regions of Turkey and to compare the results. The same model may be examined in western and far-east countries, which have different attributes from Turkish culture. Also, supervisor’s electronic leadership style can be introduced to the research model of the study along with all of the dimensions in a 2</w:t>
      </w:r>
      <w:r w:rsidRPr="00164238">
        <w:rPr>
          <w:rFonts w:ascii="Times New Roman" w:hAnsi="Times New Roman" w:cs="Times New Roman"/>
          <w:color w:val="000000" w:themeColor="text1"/>
          <w:sz w:val="20"/>
          <w:szCs w:val="20"/>
          <w:vertAlign w:val="superscript"/>
          <w:lang w:val="en-US"/>
        </w:rPr>
        <w:t>nd</w:t>
      </w:r>
      <w:r w:rsidRPr="00164238">
        <w:rPr>
          <w:rFonts w:ascii="Times New Roman" w:hAnsi="Times New Roman" w:cs="Times New Roman"/>
          <w:color w:val="000000" w:themeColor="text1"/>
          <w:sz w:val="20"/>
          <w:szCs w:val="20"/>
          <w:lang w:val="en-US"/>
        </w:rPr>
        <w:t xml:space="preserve"> level multi-factorial structure. The research model can be extended by adding subordinates’ personal traits (demographic and personality traits) as a moderating variable as well as the variables of trust in supervisor (leader) and leader(ship) effectiveness as an outcome variable to the model.</w:t>
      </w:r>
    </w:p>
    <w:p w14:paraId="41B14CDC" w14:textId="77777777" w:rsidR="007F03EB" w:rsidRPr="00164238" w:rsidRDefault="007F03EB" w:rsidP="007F03EB">
      <w:pPr>
        <w:spacing w:before="120"/>
        <w:jc w:val="both"/>
        <w:rPr>
          <w:rFonts w:ascii="Times New Roman" w:eastAsia="Times New Roman" w:hAnsi="Times New Roman" w:cs="Times New Roman"/>
          <w:b/>
          <w:bCs/>
          <w:color w:val="000000" w:themeColor="text1"/>
          <w:sz w:val="20"/>
          <w:szCs w:val="20"/>
          <w:lang w:val="en-US" w:eastAsia="tr-TR"/>
        </w:rPr>
      </w:pPr>
    </w:p>
    <w:p w14:paraId="7567C089" w14:textId="77777777" w:rsidR="007F03EB" w:rsidRPr="00164238" w:rsidRDefault="007F03EB" w:rsidP="007F03EB">
      <w:pPr>
        <w:spacing w:before="120"/>
        <w:jc w:val="both"/>
        <w:rPr>
          <w:rFonts w:ascii="Times New Roman" w:eastAsia="Times New Roman" w:hAnsi="Times New Roman" w:cs="Times New Roman"/>
          <w:b/>
          <w:bCs/>
          <w:color w:val="000000" w:themeColor="text1"/>
          <w:sz w:val="20"/>
          <w:szCs w:val="20"/>
          <w:lang w:val="en-US" w:eastAsia="tr-TR"/>
        </w:rPr>
      </w:pPr>
      <w:r w:rsidRPr="00164238">
        <w:rPr>
          <w:rFonts w:ascii="Times New Roman" w:eastAsia="Times New Roman" w:hAnsi="Times New Roman" w:cs="Times New Roman"/>
          <w:b/>
          <w:bCs/>
          <w:color w:val="000000" w:themeColor="text1"/>
          <w:sz w:val="20"/>
          <w:szCs w:val="20"/>
          <w:lang w:val="en-US" w:eastAsia="tr-TR"/>
        </w:rPr>
        <w:t>References</w:t>
      </w:r>
    </w:p>
    <w:p w14:paraId="28523577" w14:textId="77777777" w:rsidR="007F03EB" w:rsidRPr="00164238" w:rsidRDefault="007F03EB" w:rsidP="007F03EB">
      <w:pPr>
        <w:keepLines/>
        <w:spacing w:before="240" w:after="240"/>
        <w:ind w:left="709" w:hanging="709"/>
        <w:jc w:val="both"/>
        <w:rPr>
          <w:rFonts w:ascii="Times New Roman" w:eastAsia="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Anderson, J. C., &amp; Gerbing, D. W. (1988). Structural equation modeling in practice: A review and recommended two-step approach. </w:t>
      </w:r>
      <w:r w:rsidRPr="00164238">
        <w:rPr>
          <w:rFonts w:ascii="Times New Roman" w:hAnsi="Times New Roman" w:cs="Times New Roman"/>
          <w:i/>
          <w:color w:val="000000" w:themeColor="text1"/>
          <w:sz w:val="20"/>
          <w:szCs w:val="20"/>
        </w:rPr>
        <w:t>Psychological Bulletin</w:t>
      </w:r>
      <w:r w:rsidRPr="00164238">
        <w:rPr>
          <w:rFonts w:ascii="Times New Roman" w:hAnsi="Times New Roman" w:cs="Times New Roman"/>
          <w:color w:val="000000" w:themeColor="text1"/>
          <w:sz w:val="20"/>
          <w:szCs w:val="20"/>
        </w:rPr>
        <w:t xml:space="preserve">, </w:t>
      </w:r>
      <w:r w:rsidRPr="00164238">
        <w:rPr>
          <w:rFonts w:ascii="Times New Roman" w:hAnsi="Times New Roman" w:cs="Times New Roman"/>
          <w:i/>
          <w:color w:val="000000" w:themeColor="text1"/>
          <w:sz w:val="20"/>
          <w:szCs w:val="20"/>
        </w:rPr>
        <w:t>103</w:t>
      </w:r>
      <w:r w:rsidRPr="00164238">
        <w:rPr>
          <w:rFonts w:ascii="Times New Roman" w:hAnsi="Times New Roman" w:cs="Times New Roman"/>
          <w:color w:val="000000" w:themeColor="text1"/>
          <w:sz w:val="20"/>
          <w:szCs w:val="20"/>
        </w:rPr>
        <w:t>(3), 411-423.</w:t>
      </w:r>
    </w:p>
    <w:p w14:paraId="74D9ED12" w14:textId="77777777" w:rsidR="007F03EB" w:rsidRPr="00164238" w:rsidRDefault="007F03EB" w:rsidP="007F03EB">
      <w:pPr>
        <w:keepLines/>
        <w:spacing w:before="240" w:after="240"/>
        <w:ind w:left="709" w:hanging="709"/>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lang w:val="en-US"/>
        </w:rPr>
        <w:t xml:space="preserve">Avolio, B. J., Kahai, S., &amp; Dodge, G. E. (2000). E-leadership: Implications for theory, research and practice. </w:t>
      </w:r>
      <w:r w:rsidRPr="00164238">
        <w:rPr>
          <w:rFonts w:ascii="Times New Roman" w:eastAsia="Times New Roman" w:hAnsi="Times New Roman" w:cs="Times New Roman"/>
          <w:i/>
          <w:color w:val="000000" w:themeColor="text1"/>
          <w:sz w:val="20"/>
          <w:szCs w:val="20"/>
          <w:lang w:val="en-US"/>
        </w:rPr>
        <w:t>Leadership Quarterly, 11</w:t>
      </w:r>
      <w:r w:rsidRPr="00164238">
        <w:rPr>
          <w:rFonts w:ascii="Times New Roman" w:eastAsia="Times New Roman" w:hAnsi="Times New Roman" w:cs="Times New Roman"/>
          <w:color w:val="000000" w:themeColor="text1"/>
          <w:sz w:val="20"/>
          <w:szCs w:val="20"/>
          <w:lang w:val="en-US"/>
        </w:rPr>
        <w:t>(4), 615-668.</w:t>
      </w:r>
    </w:p>
    <w:p w14:paraId="6768B962" w14:textId="77777777" w:rsidR="007F03EB" w:rsidRPr="00164238" w:rsidRDefault="007F03EB" w:rsidP="007F03EB">
      <w:pPr>
        <w:keepLines/>
        <w:spacing w:before="240" w:after="24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 New Roman" w:hAnsi="Times New Roman" w:cs="Times New Roman"/>
          <w:color w:val="000000" w:themeColor="text1"/>
          <w:sz w:val="20"/>
          <w:szCs w:val="20"/>
        </w:rPr>
        <w:t xml:space="preserve">Bentler, P. M., &amp; Bonett, D. G. (1980). </w:t>
      </w:r>
      <w:r w:rsidRPr="00164238">
        <w:rPr>
          <w:rFonts w:ascii="Times New Roman" w:hAnsi="Times New Roman" w:cs="Times New Roman"/>
          <w:color w:val="000000" w:themeColor="text1"/>
          <w:sz w:val="20"/>
          <w:szCs w:val="20"/>
        </w:rPr>
        <w:t xml:space="preserve">Significance tests and goodness of fit in the analysis of covariance structures. </w:t>
      </w:r>
      <w:r w:rsidRPr="00164238">
        <w:rPr>
          <w:rFonts w:ascii="Times New Roman" w:eastAsia="Times New Roman" w:hAnsi="Times New Roman" w:cs="Times New Roman"/>
          <w:i/>
          <w:color w:val="000000" w:themeColor="text1"/>
          <w:sz w:val="20"/>
          <w:szCs w:val="20"/>
        </w:rPr>
        <w:t>Psychological Bulletin</w:t>
      </w:r>
      <w:r w:rsidRPr="00164238">
        <w:rPr>
          <w:rFonts w:ascii="Times New Roman" w:eastAsia="Times New Roman" w:hAnsi="Times New Roman" w:cs="Times New Roman"/>
          <w:color w:val="000000" w:themeColor="text1"/>
          <w:sz w:val="20"/>
          <w:szCs w:val="20"/>
        </w:rPr>
        <w:t xml:space="preserve">, </w:t>
      </w:r>
      <w:r w:rsidRPr="00164238">
        <w:rPr>
          <w:rFonts w:ascii="Times New Roman" w:eastAsia="Times New Roman" w:hAnsi="Times New Roman" w:cs="Times New Roman"/>
          <w:i/>
          <w:color w:val="000000" w:themeColor="text1"/>
          <w:sz w:val="20"/>
          <w:szCs w:val="20"/>
        </w:rPr>
        <w:t>88</w:t>
      </w:r>
      <w:r w:rsidRPr="00164238">
        <w:rPr>
          <w:rFonts w:ascii="Times New Roman" w:eastAsia="Times New Roman" w:hAnsi="Times New Roman" w:cs="Times New Roman"/>
          <w:color w:val="000000" w:themeColor="text1"/>
          <w:sz w:val="20"/>
          <w:szCs w:val="20"/>
        </w:rPr>
        <w:t>(3), 588- 606.</w:t>
      </w:r>
    </w:p>
    <w:p w14:paraId="379CC988" w14:textId="77777777" w:rsidR="007F03EB" w:rsidRPr="00164238" w:rsidRDefault="007F03EB" w:rsidP="007F03EB">
      <w:pPr>
        <w:keepLines/>
        <w:spacing w:before="240" w:after="240"/>
        <w:ind w:left="709" w:hanging="709"/>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 xml:space="preserve">Blau, P. M. (1964). </w:t>
      </w:r>
      <w:r w:rsidRPr="00164238">
        <w:rPr>
          <w:rFonts w:ascii="Times New Roman" w:hAnsi="Times New Roman" w:cs="Times New Roman"/>
          <w:i/>
          <w:iCs/>
          <w:color w:val="000000" w:themeColor="text1"/>
          <w:sz w:val="20"/>
          <w:szCs w:val="20"/>
          <w:lang w:val="en-US"/>
        </w:rPr>
        <w:t>Exchange and power in social life.</w:t>
      </w:r>
      <w:r w:rsidRPr="00164238">
        <w:rPr>
          <w:rFonts w:ascii="Times New Roman" w:hAnsi="Times New Roman" w:cs="Times New Roman"/>
          <w:color w:val="000000" w:themeColor="text1"/>
          <w:sz w:val="20"/>
          <w:szCs w:val="20"/>
          <w:lang w:val="en-US"/>
        </w:rPr>
        <w:t xml:space="preserve"> New York: John Wiley &amp; Sons, Inc: USA.</w:t>
      </w:r>
    </w:p>
    <w:p w14:paraId="14EC3396" w14:textId="77777777" w:rsidR="007F03EB" w:rsidRPr="00164238" w:rsidRDefault="007F03EB" w:rsidP="007F03EB">
      <w:pPr>
        <w:keepLines/>
        <w:spacing w:before="240" w:after="240"/>
        <w:ind w:left="709" w:hanging="709"/>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rPr>
        <w:t xml:space="preserve">Browne, M. W., &amp; Cudeck, R. (1992). Alternative ways of assessing model fit. </w:t>
      </w:r>
      <w:r w:rsidRPr="00164238">
        <w:rPr>
          <w:rFonts w:ascii="Times New Roman" w:eastAsia="Calibri" w:hAnsi="Times New Roman" w:cs="Times New Roman"/>
          <w:i/>
          <w:color w:val="000000" w:themeColor="text1"/>
          <w:sz w:val="20"/>
          <w:szCs w:val="20"/>
        </w:rPr>
        <w:t xml:space="preserve">Sociological Methods &amp; Research, 21 </w:t>
      </w:r>
      <w:r w:rsidRPr="00164238">
        <w:rPr>
          <w:rFonts w:ascii="Times New Roman" w:eastAsia="Calibri" w:hAnsi="Times New Roman" w:cs="Times New Roman"/>
          <w:color w:val="000000" w:themeColor="text1"/>
          <w:sz w:val="20"/>
          <w:szCs w:val="20"/>
        </w:rPr>
        <w:t>(2),  230-258.</w:t>
      </w:r>
    </w:p>
    <w:p w14:paraId="4483B86A" w14:textId="77777777" w:rsidR="007F03EB" w:rsidRPr="00164238" w:rsidRDefault="007F03EB" w:rsidP="007F03EB">
      <w:pPr>
        <w:keepLines/>
        <w:spacing w:before="240" w:after="240"/>
        <w:ind w:left="709" w:hanging="709"/>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rPr>
        <w:t xml:space="preserve">Cohen, J. (1988). </w:t>
      </w:r>
      <w:r w:rsidRPr="00164238">
        <w:rPr>
          <w:rFonts w:ascii="Times New Roman" w:eastAsia="Calibri" w:hAnsi="Times New Roman" w:cs="Times New Roman"/>
          <w:i/>
          <w:iCs/>
          <w:color w:val="000000" w:themeColor="text1"/>
          <w:sz w:val="20"/>
          <w:szCs w:val="20"/>
        </w:rPr>
        <w:t xml:space="preserve">Statistical power analysis for the behavioral sciences </w:t>
      </w:r>
      <w:r w:rsidRPr="00164238">
        <w:rPr>
          <w:rFonts w:ascii="Times New Roman" w:eastAsia="Calibri" w:hAnsi="Times New Roman" w:cs="Times New Roman"/>
          <w:iCs/>
          <w:color w:val="000000" w:themeColor="text1"/>
          <w:sz w:val="20"/>
          <w:szCs w:val="20"/>
        </w:rPr>
        <w:t>(2</w:t>
      </w:r>
      <w:r w:rsidRPr="00164238">
        <w:rPr>
          <w:rFonts w:ascii="Times New Roman" w:eastAsia="Calibri" w:hAnsi="Times New Roman" w:cs="Times New Roman"/>
          <w:iCs/>
          <w:color w:val="000000" w:themeColor="text1"/>
          <w:sz w:val="20"/>
          <w:szCs w:val="20"/>
          <w:vertAlign w:val="superscript"/>
        </w:rPr>
        <w:t xml:space="preserve">th </w:t>
      </w:r>
      <w:r w:rsidRPr="00164238">
        <w:rPr>
          <w:rFonts w:ascii="Times New Roman" w:eastAsia="Calibri" w:hAnsi="Times New Roman" w:cs="Times New Roman"/>
          <w:iCs/>
          <w:color w:val="000000" w:themeColor="text1"/>
          <w:sz w:val="20"/>
          <w:szCs w:val="20"/>
        </w:rPr>
        <w:t>edition )</w:t>
      </w:r>
      <w:r w:rsidRPr="00164238">
        <w:rPr>
          <w:rFonts w:ascii="Times New Roman" w:eastAsia="Calibri" w:hAnsi="Times New Roman" w:cs="Times New Roman"/>
          <w:color w:val="000000" w:themeColor="text1"/>
          <w:sz w:val="20"/>
          <w:szCs w:val="20"/>
        </w:rPr>
        <w:t>. NewJersey: Lawrence Erlbaum Associates, Inc. Publishers.</w:t>
      </w:r>
    </w:p>
    <w:p w14:paraId="0C4699D2" w14:textId="77777777" w:rsidR="007F03EB" w:rsidRPr="00164238" w:rsidRDefault="007F03EB" w:rsidP="007F03EB">
      <w:pPr>
        <w:keepLines/>
        <w:spacing w:before="240" w:after="240"/>
        <w:ind w:left="709" w:hanging="709"/>
        <w:jc w:val="both"/>
        <w:rPr>
          <w:rFonts w:ascii="Times New Roman" w:eastAsia="Calibri"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lang w:val="en-US"/>
        </w:rPr>
        <w:t xml:space="preserve">Dal, L., &amp; Çorbacıoğlu, S. (2014). Hizmetkar liderlik davranışları ve lider-üye etkileşimi ilişkisi: Bir devlet üniversitesi üzerine araştırma. </w:t>
      </w:r>
      <w:r w:rsidRPr="00164238">
        <w:rPr>
          <w:rFonts w:ascii="Times New Roman" w:eastAsia="Times New Roman" w:hAnsi="Times New Roman" w:cs="Times New Roman"/>
          <w:i/>
          <w:iCs/>
          <w:color w:val="000000" w:themeColor="text1"/>
          <w:sz w:val="20"/>
          <w:szCs w:val="20"/>
          <w:lang w:val="en-US"/>
        </w:rPr>
        <w:t>Süleyman Demirel University: The Journal of Faculty of Economics and Administrative Sciences, 19</w:t>
      </w:r>
      <w:r w:rsidRPr="00164238">
        <w:rPr>
          <w:rFonts w:ascii="Times New Roman" w:eastAsia="Times New Roman" w:hAnsi="Times New Roman" w:cs="Times New Roman"/>
          <w:color w:val="000000" w:themeColor="text1"/>
          <w:sz w:val="20"/>
          <w:szCs w:val="20"/>
          <w:lang w:val="en-US"/>
        </w:rPr>
        <w:t>(4), 287-310.</w:t>
      </w:r>
    </w:p>
    <w:p w14:paraId="0B87C291"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 New Roman" w:hAnsi="Times New Roman" w:cs="Times New Roman"/>
          <w:color w:val="000000" w:themeColor="text1"/>
          <w:sz w:val="20"/>
          <w:szCs w:val="20"/>
          <w:lang w:val="en-US"/>
        </w:rPr>
        <w:t>Dulebohn, J. H., Bommer, W. H., Liden, R. C., Brouer, R. L., &amp; Ferris, G. R. (2012). A meta-analysis of antecedents and consequences of leader-member exchange: Integrating the past with an eye toward the future. </w:t>
      </w:r>
      <w:r w:rsidRPr="00164238">
        <w:rPr>
          <w:rFonts w:ascii="Times New Roman" w:eastAsia="Times New Roman" w:hAnsi="Times New Roman" w:cs="Times New Roman"/>
          <w:i/>
          <w:iCs/>
          <w:color w:val="000000" w:themeColor="text1"/>
          <w:sz w:val="20"/>
          <w:szCs w:val="20"/>
          <w:lang w:val="en-US"/>
        </w:rPr>
        <w:t>Journal of Management, 38</w:t>
      </w:r>
      <w:r w:rsidRPr="00164238">
        <w:rPr>
          <w:rFonts w:ascii="Times New Roman" w:eastAsia="Times New Roman" w:hAnsi="Times New Roman" w:cs="Times New Roman"/>
          <w:color w:val="000000" w:themeColor="text1"/>
          <w:sz w:val="20"/>
          <w:szCs w:val="20"/>
          <w:lang w:val="en-US"/>
        </w:rPr>
        <w:t>(6), 1715-1759.</w:t>
      </w:r>
    </w:p>
    <w:p w14:paraId="723FEDC5" w14:textId="77777777" w:rsidR="007F03EB" w:rsidRPr="00164238" w:rsidRDefault="007F03EB" w:rsidP="007F03EB">
      <w:pPr>
        <w:keepLines/>
        <w:spacing w:before="240" w:after="240"/>
        <w:ind w:left="709" w:hanging="709"/>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xml:space="preserve">Emhan, A., Kula, S., &amp; Töngür, A. (2013). </w:t>
      </w:r>
      <w:r w:rsidRPr="00164238">
        <w:rPr>
          <w:rFonts w:ascii="Times New Roman" w:hAnsi="Times New Roman" w:cs="Times New Roman"/>
          <w:color w:val="000000" w:themeColor="text1"/>
          <w:sz w:val="20"/>
          <w:szCs w:val="20"/>
        </w:rPr>
        <w:t xml:space="preserve">Yapısal eşitlik modeli kullanılarak yönetici desteği, örgütsel bağlılık, örgütsel performans ve tükenmişlik kavramları arasındaki ilişkilerin analizi: Kamu sektöründe bir uygulama. </w:t>
      </w:r>
      <w:r w:rsidRPr="00164238">
        <w:rPr>
          <w:rFonts w:ascii="Times New Roman" w:eastAsia="Times New Roman" w:hAnsi="Times New Roman" w:cs="Times New Roman"/>
          <w:i/>
          <w:color w:val="000000" w:themeColor="text1"/>
          <w:sz w:val="20"/>
          <w:szCs w:val="20"/>
        </w:rPr>
        <w:t>Hacettepe Üniversitesi İktisadi ve İdari Bilimler Fakültesi Dergisi,</w:t>
      </w:r>
      <w:r w:rsidRPr="00164238">
        <w:rPr>
          <w:rFonts w:ascii="Times New Roman" w:eastAsia="Times New Roman" w:hAnsi="Times New Roman" w:cs="Times New Roman"/>
          <w:color w:val="000000" w:themeColor="text1"/>
          <w:sz w:val="20"/>
          <w:szCs w:val="20"/>
        </w:rPr>
        <w:t xml:space="preserve"> </w:t>
      </w:r>
      <w:r w:rsidRPr="00164238">
        <w:rPr>
          <w:rFonts w:ascii="Times New Roman" w:eastAsia="Times New Roman" w:hAnsi="Times New Roman" w:cs="Times New Roman"/>
          <w:i/>
          <w:color w:val="000000" w:themeColor="text1"/>
          <w:sz w:val="20"/>
          <w:szCs w:val="20"/>
        </w:rPr>
        <w:t>31</w:t>
      </w:r>
      <w:r w:rsidRPr="00164238">
        <w:rPr>
          <w:rFonts w:ascii="Times New Roman" w:eastAsia="Times New Roman" w:hAnsi="Times New Roman" w:cs="Times New Roman"/>
          <w:color w:val="000000" w:themeColor="text1"/>
          <w:sz w:val="20"/>
          <w:szCs w:val="20"/>
        </w:rPr>
        <w:t>(1), 53- 69.</w:t>
      </w:r>
    </w:p>
    <w:p w14:paraId="19918825" w14:textId="77777777" w:rsidR="007F03EB" w:rsidRPr="00164238" w:rsidRDefault="007F03EB" w:rsidP="007F03EB">
      <w:pPr>
        <w:keepLines/>
        <w:spacing w:before="240" w:after="240"/>
        <w:ind w:left="709" w:hanging="709"/>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lang w:val="en-US"/>
        </w:rPr>
        <w:lastRenderedPageBreak/>
        <w:t xml:space="preserve">Ergeneli, A. (2006). </w:t>
      </w:r>
      <w:r w:rsidRPr="00164238">
        <w:rPr>
          <w:rFonts w:ascii="Times New Roman" w:eastAsia="Times New Roman" w:hAnsi="Times New Roman" w:cs="Times New Roman"/>
          <w:i/>
          <w:iCs/>
          <w:color w:val="000000" w:themeColor="text1"/>
          <w:sz w:val="20"/>
          <w:szCs w:val="20"/>
          <w:lang w:val="en-US"/>
        </w:rPr>
        <w:t>Örgüt ve insan</w:t>
      </w:r>
      <w:r w:rsidRPr="00164238">
        <w:rPr>
          <w:rFonts w:ascii="Times New Roman" w:eastAsia="Times New Roman" w:hAnsi="Times New Roman" w:cs="Times New Roman"/>
          <w:color w:val="000000" w:themeColor="text1"/>
          <w:sz w:val="20"/>
          <w:szCs w:val="20"/>
          <w:lang w:val="en-US"/>
        </w:rPr>
        <w:t>. Ankara: Hacettepe University Press.</w:t>
      </w:r>
      <w:bookmarkStart w:id="132" w:name="_Hlk68186572"/>
    </w:p>
    <w:bookmarkEnd w:id="132"/>
    <w:p w14:paraId="7F20A45E"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 New Roman" w:hAnsi="Times New Roman" w:cs="Times New Roman"/>
          <w:color w:val="000000" w:themeColor="text1"/>
          <w:sz w:val="20"/>
          <w:szCs w:val="20"/>
          <w:lang w:val="en-US"/>
        </w:rPr>
        <w:t xml:space="preserve">Gouldner, A. W. (1960). The norm of reciprocity: A preliminary statement. </w:t>
      </w:r>
      <w:r w:rsidRPr="00164238">
        <w:rPr>
          <w:rFonts w:ascii="Times New Roman" w:eastAsia="Times New Roman" w:hAnsi="Times New Roman" w:cs="Times New Roman"/>
          <w:i/>
          <w:iCs/>
          <w:color w:val="000000" w:themeColor="text1"/>
          <w:sz w:val="20"/>
          <w:szCs w:val="20"/>
          <w:lang w:val="en-US"/>
        </w:rPr>
        <w:t>American Sociological Review, 25</w:t>
      </w:r>
      <w:r w:rsidRPr="00164238">
        <w:rPr>
          <w:rFonts w:ascii="Times New Roman" w:eastAsia="Times New Roman" w:hAnsi="Times New Roman" w:cs="Times New Roman"/>
          <w:color w:val="000000" w:themeColor="text1"/>
          <w:sz w:val="20"/>
          <w:szCs w:val="20"/>
          <w:lang w:val="en-US"/>
        </w:rPr>
        <w:t>(2), 161-178.</w:t>
      </w:r>
    </w:p>
    <w:p w14:paraId="224E9B71"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 New Roman" w:hAnsi="Times New Roman" w:cs="Times New Roman"/>
          <w:color w:val="000000" w:themeColor="text1"/>
          <w:sz w:val="20"/>
          <w:szCs w:val="20"/>
          <w:lang w:val="en-US"/>
        </w:rPr>
        <w:t xml:space="preserve">Gültekin, S. (2014). </w:t>
      </w:r>
      <w:r w:rsidRPr="00164238">
        <w:rPr>
          <w:rFonts w:ascii="Times New Roman" w:eastAsia="Times New Roman" w:hAnsi="Times New Roman" w:cs="Times New Roman"/>
          <w:i/>
          <w:iCs/>
          <w:color w:val="000000" w:themeColor="text1"/>
          <w:sz w:val="20"/>
          <w:szCs w:val="20"/>
          <w:lang w:val="en-US"/>
        </w:rPr>
        <w:t>Psikolojik sözleşme ihlali ile örgüte karşı sinik tutum arasındaki ilişkide lider-üye etkileşiminin aracılık etkisi</w:t>
      </w:r>
      <w:r w:rsidRPr="00164238">
        <w:rPr>
          <w:rFonts w:ascii="Times New Roman" w:eastAsia="Times New Roman" w:hAnsi="Times New Roman" w:cs="Times New Roman"/>
          <w:color w:val="000000" w:themeColor="text1"/>
          <w:sz w:val="20"/>
          <w:szCs w:val="20"/>
          <w:lang w:val="en-US"/>
        </w:rPr>
        <w:t xml:space="preserve"> (Doctoral thesis). Ankara: Hacettepe University, Institute of Social Sciences, Turkey.</w:t>
      </w:r>
    </w:p>
    <w:p w14:paraId="3CAE0A1B"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Calibri" w:hAnsi="Times New Roman" w:cs="Times New Roman"/>
          <w:color w:val="000000" w:themeColor="text1"/>
          <w:sz w:val="20"/>
          <w:szCs w:val="20"/>
        </w:rPr>
        <w:t xml:space="preserve">Hair, J. F., Black, W. C., Babin B. J., &amp; Anderson, R. E. (2010). </w:t>
      </w:r>
      <w:r w:rsidRPr="00164238">
        <w:rPr>
          <w:rFonts w:ascii="Times New Roman" w:eastAsia="Calibri" w:hAnsi="Times New Roman" w:cs="Times New Roman"/>
          <w:i/>
          <w:iCs/>
          <w:color w:val="000000" w:themeColor="text1"/>
          <w:sz w:val="20"/>
          <w:szCs w:val="20"/>
        </w:rPr>
        <w:t xml:space="preserve">Multivariate data analysis </w:t>
      </w:r>
      <w:r w:rsidRPr="00164238">
        <w:rPr>
          <w:rFonts w:ascii="Times New Roman" w:eastAsia="Calibri" w:hAnsi="Times New Roman" w:cs="Times New Roman"/>
          <w:iCs/>
          <w:color w:val="000000" w:themeColor="text1"/>
          <w:sz w:val="20"/>
          <w:szCs w:val="20"/>
        </w:rPr>
        <w:t>(7</w:t>
      </w:r>
      <w:r w:rsidRPr="00164238">
        <w:rPr>
          <w:rFonts w:ascii="Times New Roman" w:eastAsia="Calibri" w:hAnsi="Times New Roman" w:cs="Times New Roman"/>
          <w:iCs/>
          <w:color w:val="000000" w:themeColor="text1"/>
          <w:sz w:val="20"/>
          <w:szCs w:val="20"/>
          <w:vertAlign w:val="superscript"/>
        </w:rPr>
        <w:t>th</w:t>
      </w:r>
      <w:r w:rsidRPr="00164238">
        <w:rPr>
          <w:rFonts w:ascii="Times New Roman" w:eastAsia="Calibri" w:hAnsi="Times New Roman" w:cs="Times New Roman"/>
          <w:iCs/>
          <w:color w:val="000000" w:themeColor="text1"/>
          <w:sz w:val="20"/>
          <w:szCs w:val="20"/>
        </w:rPr>
        <w:t xml:space="preserve"> edition).</w:t>
      </w:r>
      <w:r w:rsidRPr="00164238">
        <w:rPr>
          <w:rFonts w:ascii="Times New Roman" w:eastAsia="Calibri" w:hAnsi="Times New Roman" w:cs="Times New Roman"/>
          <w:i/>
          <w:iCs/>
          <w:color w:val="000000" w:themeColor="text1"/>
          <w:sz w:val="20"/>
          <w:szCs w:val="20"/>
        </w:rPr>
        <w:t xml:space="preserve"> </w:t>
      </w:r>
      <w:r w:rsidRPr="00164238">
        <w:rPr>
          <w:rFonts w:ascii="Times New Roman" w:eastAsia="Calibri" w:hAnsi="Times New Roman" w:cs="Times New Roman"/>
          <w:color w:val="000000" w:themeColor="text1"/>
          <w:sz w:val="20"/>
          <w:szCs w:val="20"/>
        </w:rPr>
        <w:t>New Jersey: Pearson Prentice Hall.</w:t>
      </w:r>
    </w:p>
    <w:p w14:paraId="7BC66F4B"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 New Roman" w:hAnsi="Times New Roman" w:cs="Times New Roman"/>
          <w:color w:val="000000" w:themeColor="text1"/>
          <w:sz w:val="20"/>
          <w:szCs w:val="20"/>
          <w:lang w:val="en-US"/>
        </w:rPr>
        <w:t xml:space="preserve">Hirst, G., Walumbwa, F., Aryee, S., Butarbutar, I., &amp; Chen, C. J. H. (2016). A multi-level investigation of authentic leadership as an antecedent of helping behavior. </w:t>
      </w:r>
      <w:r w:rsidRPr="00164238">
        <w:rPr>
          <w:rFonts w:ascii="Times New Roman" w:eastAsia="Times New Roman" w:hAnsi="Times New Roman" w:cs="Times New Roman"/>
          <w:i/>
          <w:iCs/>
          <w:color w:val="000000" w:themeColor="text1"/>
          <w:sz w:val="20"/>
          <w:szCs w:val="20"/>
          <w:lang w:val="en-US"/>
        </w:rPr>
        <w:t>Journal of Business Ethics, 139</w:t>
      </w:r>
      <w:r w:rsidRPr="00164238">
        <w:rPr>
          <w:rFonts w:ascii="Times New Roman" w:eastAsia="Times New Roman" w:hAnsi="Times New Roman" w:cs="Times New Roman"/>
          <w:color w:val="000000" w:themeColor="text1"/>
          <w:sz w:val="20"/>
          <w:szCs w:val="20"/>
          <w:lang w:val="en-US"/>
        </w:rPr>
        <w:t>(3), 485-499.</w:t>
      </w:r>
    </w:p>
    <w:p w14:paraId="06A88703"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 New Roman" w:hAnsi="Times New Roman" w:cs="Times New Roman"/>
          <w:color w:val="000000" w:themeColor="text1"/>
          <w:sz w:val="20"/>
          <w:szCs w:val="20"/>
        </w:rPr>
        <w:t xml:space="preserve">Hu, L., &amp; Bentler, P.M. (1999). </w:t>
      </w:r>
      <w:r w:rsidRPr="00164238">
        <w:rPr>
          <w:rFonts w:ascii="Times New Roman" w:hAnsi="Times New Roman" w:cs="Times New Roman"/>
          <w:color w:val="000000" w:themeColor="text1"/>
          <w:sz w:val="20"/>
          <w:szCs w:val="20"/>
        </w:rPr>
        <w:t xml:space="preserve">Cutoff criteria for fit indexes in covariance structure analysis: Conventional criteria versus new alternatives. </w:t>
      </w:r>
      <w:r w:rsidRPr="00164238">
        <w:rPr>
          <w:rFonts w:ascii="Times New Roman" w:eastAsia="Times New Roman" w:hAnsi="Times New Roman" w:cs="Times New Roman"/>
          <w:i/>
          <w:color w:val="000000" w:themeColor="text1"/>
          <w:sz w:val="20"/>
          <w:szCs w:val="20"/>
        </w:rPr>
        <w:t>Structural Equation Modeling,</w:t>
      </w:r>
      <w:r w:rsidRPr="00164238">
        <w:rPr>
          <w:rFonts w:ascii="Times New Roman" w:eastAsia="Times New Roman" w:hAnsi="Times New Roman" w:cs="Times New Roman"/>
          <w:color w:val="000000" w:themeColor="text1"/>
          <w:sz w:val="20"/>
          <w:szCs w:val="20"/>
        </w:rPr>
        <w:t xml:space="preserve"> </w:t>
      </w:r>
      <w:r w:rsidRPr="00164238">
        <w:rPr>
          <w:rFonts w:ascii="Times New Roman" w:eastAsia="Times New Roman" w:hAnsi="Times New Roman" w:cs="Times New Roman"/>
          <w:i/>
          <w:color w:val="000000" w:themeColor="text1"/>
          <w:sz w:val="20"/>
          <w:szCs w:val="20"/>
        </w:rPr>
        <w:t>6</w:t>
      </w:r>
      <w:r w:rsidRPr="00164238">
        <w:rPr>
          <w:rFonts w:ascii="Times New Roman" w:eastAsia="Times New Roman" w:hAnsi="Times New Roman" w:cs="Times New Roman"/>
          <w:color w:val="000000" w:themeColor="text1"/>
          <w:sz w:val="20"/>
          <w:szCs w:val="20"/>
        </w:rPr>
        <w:t>(1), 1- 55.</w:t>
      </w:r>
    </w:p>
    <w:p w14:paraId="0A502DD3"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 New Roman" w:hAnsi="Times New Roman" w:cs="Times New Roman"/>
          <w:color w:val="000000" w:themeColor="text1"/>
          <w:sz w:val="20"/>
          <w:szCs w:val="20"/>
          <w:lang w:val="en-US"/>
        </w:rPr>
        <w:t>Huang, L., Krasikova, D. V., &amp; Harms, P. D. (2020). Avoiding or embracing social relationships? A conservation of resources perspective of leader narcissism, leader-member exchange differentiation, and follower voice. </w:t>
      </w:r>
      <w:r w:rsidRPr="00164238">
        <w:rPr>
          <w:rFonts w:ascii="Times New Roman" w:eastAsia="Times New Roman" w:hAnsi="Times New Roman" w:cs="Times New Roman"/>
          <w:i/>
          <w:iCs/>
          <w:color w:val="000000" w:themeColor="text1"/>
          <w:sz w:val="20"/>
          <w:szCs w:val="20"/>
          <w:lang w:val="en-US"/>
        </w:rPr>
        <w:t>Journal of Organizational Behavior, 41</w:t>
      </w:r>
      <w:r w:rsidRPr="00164238">
        <w:rPr>
          <w:rFonts w:ascii="Times New Roman" w:eastAsia="Times New Roman" w:hAnsi="Times New Roman" w:cs="Times New Roman"/>
          <w:color w:val="000000" w:themeColor="text1"/>
          <w:sz w:val="20"/>
          <w:szCs w:val="20"/>
          <w:lang w:val="en-US"/>
        </w:rPr>
        <w:t>(1), 77-92.</w:t>
      </w:r>
    </w:p>
    <w:p w14:paraId="40FA9FD0"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bookmarkStart w:id="133" w:name="_Hlk61975797"/>
      <w:r w:rsidRPr="00164238">
        <w:rPr>
          <w:rFonts w:ascii="Times New Roman" w:eastAsia="Times New Roman" w:hAnsi="Times New Roman" w:cs="Times New Roman"/>
          <w:color w:val="000000" w:themeColor="text1"/>
          <w:sz w:val="20"/>
          <w:szCs w:val="20"/>
          <w:lang w:val="en-US"/>
        </w:rPr>
        <w:t xml:space="preserve">Husted, C. L. (2008). </w:t>
      </w:r>
      <w:r w:rsidRPr="00164238">
        <w:rPr>
          <w:rFonts w:ascii="Times New Roman" w:eastAsia="Times New Roman" w:hAnsi="Times New Roman" w:cs="Times New Roman"/>
          <w:i/>
          <w:iCs/>
          <w:color w:val="000000" w:themeColor="text1"/>
          <w:sz w:val="20"/>
          <w:szCs w:val="20"/>
          <w:lang w:val="en-US"/>
        </w:rPr>
        <w:t>Systematic differentiation between dark and light leaders: Is a corporate criminal profile possible?</w:t>
      </w:r>
      <w:r w:rsidRPr="00164238">
        <w:rPr>
          <w:rFonts w:ascii="Times New Roman" w:eastAsia="Times New Roman" w:hAnsi="Times New Roman" w:cs="Times New Roman"/>
          <w:color w:val="000000" w:themeColor="text1"/>
          <w:sz w:val="20"/>
          <w:szCs w:val="20"/>
          <w:lang w:val="en-US"/>
        </w:rPr>
        <w:t xml:space="preserve"> (Doctoral thesis). Minnesota: Capella University, School of Business and Technology, USA.</w:t>
      </w:r>
      <w:bookmarkEnd w:id="133"/>
    </w:p>
    <w:p w14:paraId="69D1D630"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 New Roman" w:hAnsi="Times New Roman" w:cs="Times New Roman"/>
          <w:color w:val="000000" w:themeColor="text1"/>
          <w:sz w:val="20"/>
          <w:szCs w:val="20"/>
          <w:lang w:val="en-US"/>
        </w:rPr>
        <w:t xml:space="preserve">Kahn, R. L., Wolfe, D. M., Quinn, R. P., Snoek, J. D., &amp; Rosenthal, R. A. (1965). Organizational stress: Studies in role conflict and ambiguity. </w:t>
      </w:r>
      <w:r w:rsidRPr="00164238">
        <w:rPr>
          <w:rFonts w:ascii="Times New Roman" w:eastAsia="Times New Roman" w:hAnsi="Times New Roman" w:cs="Times New Roman"/>
          <w:i/>
          <w:iCs/>
          <w:color w:val="000000" w:themeColor="text1"/>
          <w:sz w:val="20"/>
          <w:szCs w:val="20"/>
          <w:lang w:val="en-US"/>
        </w:rPr>
        <w:t>Administrative Science Quarterly, 10</w:t>
      </w:r>
      <w:r w:rsidRPr="00164238">
        <w:rPr>
          <w:rFonts w:ascii="Times New Roman" w:eastAsia="Times New Roman" w:hAnsi="Times New Roman" w:cs="Times New Roman"/>
          <w:color w:val="000000" w:themeColor="text1"/>
          <w:sz w:val="20"/>
          <w:szCs w:val="20"/>
          <w:lang w:val="en-US"/>
        </w:rPr>
        <w:t>(1), 125-129.</w:t>
      </w:r>
    </w:p>
    <w:p w14:paraId="3212D14C"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 New Roman" w:hAnsi="Times New Roman" w:cs="Times New Roman"/>
          <w:color w:val="000000" w:themeColor="text1"/>
          <w:sz w:val="20"/>
          <w:szCs w:val="20"/>
          <w:lang w:val="en-US"/>
        </w:rPr>
        <w:t xml:space="preserve">Kaygısızel, E. (2015). </w:t>
      </w:r>
      <w:r w:rsidRPr="00164238">
        <w:rPr>
          <w:rFonts w:ascii="Times New Roman" w:eastAsia="Times New Roman" w:hAnsi="Times New Roman" w:cs="Times New Roman"/>
          <w:i/>
          <w:iCs/>
          <w:color w:val="000000" w:themeColor="text1"/>
          <w:sz w:val="20"/>
          <w:szCs w:val="20"/>
          <w:lang w:val="en-US"/>
        </w:rPr>
        <w:t>The relationship between paternalistic leadership leader - member exchange (LMX) and job stress: An exploratory research on workers from private and public sectors in Turkey</w:t>
      </w:r>
      <w:r w:rsidRPr="00164238">
        <w:rPr>
          <w:rFonts w:ascii="Times New Roman" w:hAnsi="Times New Roman" w:cs="Times New Roman"/>
          <w:b/>
          <w:bCs/>
          <w:color w:val="000000" w:themeColor="text1"/>
          <w:sz w:val="20"/>
          <w:szCs w:val="20"/>
          <w:lang w:val="en-US"/>
        </w:rPr>
        <w:t xml:space="preserve"> </w:t>
      </w:r>
      <w:r w:rsidRPr="00164238">
        <w:rPr>
          <w:rFonts w:ascii="Times New Roman" w:eastAsia="Times New Roman" w:hAnsi="Times New Roman" w:cs="Times New Roman"/>
          <w:color w:val="000000" w:themeColor="text1"/>
          <w:sz w:val="20"/>
          <w:szCs w:val="20"/>
          <w:lang w:val="en-US"/>
        </w:rPr>
        <w:t>(Master dissertation). İstanbul: Yeditepe University, Graduate Institute of Social Sciences, Turkey.</w:t>
      </w:r>
    </w:p>
    <w:p w14:paraId="16F40CA1"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 New Roman" w:hAnsi="Times New Roman" w:cs="Times New Roman"/>
          <w:color w:val="000000" w:themeColor="text1"/>
          <w:sz w:val="20"/>
          <w:szCs w:val="20"/>
          <w:lang w:val="en-US"/>
        </w:rPr>
        <w:t xml:space="preserve">Kır, S. (2017). </w:t>
      </w:r>
      <w:r w:rsidRPr="00164238">
        <w:rPr>
          <w:rFonts w:ascii="Times New Roman" w:eastAsia="Times New Roman" w:hAnsi="Times New Roman" w:cs="Times New Roman"/>
          <w:i/>
          <w:iCs/>
          <w:color w:val="000000" w:themeColor="text1"/>
          <w:sz w:val="20"/>
          <w:szCs w:val="20"/>
          <w:lang w:val="en-US"/>
        </w:rPr>
        <w:t>Impacts of servant leadership on organizational identification: Mediating effect of leader-member exchange (LMX)</w:t>
      </w:r>
      <w:r w:rsidRPr="00164238">
        <w:rPr>
          <w:rFonts w:ascii="Times New Roman" w:hAnsi="Times New Roman" w:cs="Times New Roman"/>
          <w:b/>
          <w:bCs/>
          <w:color w:val="000000" w:themeColor="text1"/>
          <w:sz w:val="20"/>
          <w:szCs w:val="20"/>
          <w:lang w:val="en-US"/>
        </w:rPr>
        <w:t xml:space="preserve"> </w:t>
      </w:r>
      <w:r w:rsidRPr="00164238">
        <w:rPr>
          <w:rFonts w:ascii="Times New Roman" w:eastAsia="Times New Roman" w:hAnsi="Times New Roman" w:cs="Times New Roman"/>
          <w:color w:val="000000" w:themeColor="text1"/>
          <w:sz w:val="20"/>
          <w:szCs w:val="20"/>
          <w:lang w:val="en-US"/>
        </w:rPr>
        <w:t>(Master dissertation). İstanbul: Bahçeşehir University, Institute of Social Sciences, Turkey.</w:t>
      </w:r>
    </w:p>
    <w:p w14:paraId="2B9542EC"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 New Roman" w:hAnsi="Times New Roman" w:cs="Times New Roman"/>
          <w:color w:val="000000" w:themeColor="text1"/>
          <w:sz w:val="20"/>
          <w:szCs w:val="20"/>
          <w:lang w:val="en-US"/>
        </w:rPr>
        <w:t>Lee, J., &amp; Wei, F. (2008). Uncover the black-box of leadership effectiveness: Leader-member exchange as the mediator. </w:t>
      </w:r>
      <w:r w:rsidRPr="00164238">
        <w:rPr>
          <w:rFonts w:ascii="Times New Roman" w:eastAsia="Times New Roman" w:hAnsi="Times New Roman" w:cs="Times New Roman"/>
          <w:i/>
          <w:iCs/>
          <w:color w:val="000000" w:themeColor="text1"/>
          <w:sz w:val="20"/>
          <w:szCs w:val="20"/>
          <w:lang w:val="en-US"/>
        </w:rPr>
        <w:t>Frontiers of Business Research in China, 2</w:t>
      </w:r>
      <w:r w:rsidRPr="00164238">
        <w:rPr>
          <w:rFonts w:ascii="Times New Roman" w:eastAsia="Times New Roman" w:hAnsi="Times New Roman" w:cs="Times New Roman"/>
          <w:color w:val="000000" w:themeColor="text1"/>
          <w:sz w:val="20"/>
          <w:szCs w:val="20"/>
          <w:lang w:val="en-US"/>
        </w:rPr>
        <w:t>(2), 240-255.</w:t>
      </w:r>
    </w:p>
    <w:p w14:paraId="183527B0"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 New Roman" w:hAnsi="Times New Roman" w:cs="Times New Roman"/>
          <w:color w:val="000000" w:themeColor="text1"/>
          <w:sz w:val="20"/>
          <w:szCs w:val="20"/>
          <w:lang w:val="en-US"/>
        </w:rPr>
        <w:t xml:space="preserve">Liden, R. C., &amp; Maslyn, J. M. (1998). Multidimensionality of leader-member exchange: An empirical assessment through scale development. </w:t>
      </w:r>
      <w:r w:rsidRPr="00164238">
        <w:rPr>
          <w:rFonts w:ascii="Times New Roman" w:eastAsia="Times New Roman" w:hAnsi="Times New Roman" w:cs="Times New Roman"/>
          <w:i/>
          <w:iCs/>
          <w:color w:val="000000" w:themeColor="text1"/>
          <w:sz w:val="20"/>
          <w:szCs w:val="20"/>
          <w:lang w:val="en-US"/>
        </w:rPr>
        <w:t>Journal of Management, 24</w:t>
      </w:r>
      <w:r w:rsidRPr="00164238">
        <w:rPr>
          <w:rFonts w:ascii="Times New Roman" w:eastAsia="Times New Roman" w:hAnsi="Times New Roman" w:cs="Times New Roman"/>
          <w:color w:val="000000" w:themeColor="text1"/>
          <w:sz w:val="20"/>
          <w:szCs w:val="20"/>
          <w:lang w:val="en-US"/>
        </w:rPr>
        <w:t>(1), 43-72.</w:t>
      </w:r>
    </w:p>
    <w:p w14:paraId="4A403725"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 New Roman" w:hAnsi="Times New Roman" w:cs="Times New Roman"/>
          <w:color w:val="000000" w:themeColor="text1"/>
          <w:sz w:val="20"/>
          <w:szCs w:val="20"/>
          <w:lang w:val="en-US"/>
        </w:rPr>
        <w:t xml:space="preserve">Liden, R. C., Sparrowe, R. T., &amp; Wayne, S. J. (1997). Leader-member exchange theory: The past and potential for the future. in </w:t>
      </w:r>
      <w:r w:rsidRPr="00164238">
        <w:rPr>
          <w:rFonts w:ascii="Times New Roman" w:eastAsia="Times New Roman" w:hAnsi="Times New Roman" w:cs="Times New Roman"/>
          <w:i/>
          <w:iCs/>
          <w:color w:val="000000" w:themeColor="text1"/>
          <w:sz w:val="20"/>
          <w:szCs w:val="20"/>
          <w:lang w:val="en-US"/>
        </w:rPr>
        <w:t xml:space="preserve">Research in Personnel and Human Resource Management </w:t>
      </w:r>
      <w:r w:rsidRPr="00164238">
        <w:rPr>
          <w:rFonts w:ascii="Times New Roman" w:eastAsia="Times New Roman" w:hAnsi="Times New Roman" w:cs="Times New Roman"/>
          <w:color w:val="000000" w:themeColor="text1"/>
          <w:sz w:val="20"/>
          <w:szCs w:val="20"/>
          <w:lang w:val="en-US"/>
        </w:rPr>
        <w:t>(pp. 47-119), G. Ferris (Ed.), 15, Greenwhich: JAI Press.</w:t>
      </w:r>
    </w:p>
    <w:p w14:paraId="1C9066BA"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 New Roman" w:hAnsi="Times New Roman" w:cs="Times New Roman"/>
          <w:color w:val="000000" w:themeColor="text1"/>
          <w:sz w:val="20"/>
          <w:szCs w:val="20"/>
          <w:lang w:val="en-US"/>
        </w:rPr>
        <w:t>Lin, W., Ma, J., Zhang, Q., Li, J. C., &amp; Jiang, F. (2018). How is benevolent leadership linked to employee creativity? The mediating role of leader-member exchange and the moderating role of power distance orientation. </w:t>
      </w:r>
      <w:r w:rsidRPr="00164238">
        <w:rPr>
          <w:rFonts w:ascii="Times New Roman" w:eastAsia="Times New Roman" w:hAnsi="Times New Roman" w:cs="Times New Roman"/>
          <w:i/>
          <w:iCs/>
          <w:color w:val="000000" w:themeColor="text1"/>
          <w:sz w:val="20"/>
          <w:szCs w:val="20"/>
          <w:lang w:val="en-US"/>
        </w:rPr>
        <w:t>Journal of Business Ethics, 152</w:t>
      </w:r>
      <w:r w:rsidRPr="00164238">
        <w:rPr>
          <w:rFonts w:ascii="Times New Roman" w:eastAsia="Times New Roman" w:hAnsi="Times New Roman" w:cs="Times New Roman"/>
          <w:color w:val="000000" w:themeColor="text1"/>
          <w:sz w:val="20"/>
          <w:szCs w:val="20"/>
          <w:lang w:val="en-US"/>
        </w:rPr>
        <w:t>(4), 1099-1115.</w:t>
      </w:r>
    </w:p>
    <w:p w14:paraId="6AC1B0B4"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 New Roman" w:hAnsi="Times New Roman" w:cs="Times New Roman"/>
          <w:color w:val="000000" w:themeColor="text1"/>
          <w:sz w:val="20"/>
          <w:szCs w:val="20"/>
          <w:lang w:val="en-US"/>
        </w:rPr>
        <w:t xml:space="preserve">Maslyn, J. M., &amp; Uhl-Bien, M. (2001). Leader-member exchange and its dimensions: Effects of self-effort and other’s effort on relationship quality. </w:t>
      </w:r>
      <w:r w:rsidRPr="00164238">
        <w:rPr>
          <w:rFonts w:ascii="Times New Roman" w:eastAsia="Times New Roman" w:hAnsi="Times New Roman" w:cs="Times New Roman"/>
          <w:i/>
          <w:iCs/>
          <w:color w:val="000000" w:themeColor="text1"/>
          <w:sz w:val="20"/>
          <w:szCs w:val="20"/>
          <w:lang w:val="en-US"/>
        </w:rPr>
        <w:t>Journal of Applied Psychology, 86</w:t>
      </w:r>
      <w:r w:rsidRPr="00164238">
        <w:rPr>
          <w:rFonts w:ascii="Times New Roman" w:eastAsia="Times New Roman" w:hAnsi="Times New Roman" w:cs="Times New Roman"/>
          <w:color w:val="000000" w:themeColor="text1"/>
          <w:sz w:val="20"/>
          <w:szCs w:val="20"/>
          <w:lang w:val="en-US"/>
        </w:rPr>
        <w:t>(4), 697-708.</w:t>
      </w:r>
    </w:p>
    <w:p w14:paraId="23A4E001"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 New Roman" w:hAnsi="Times New Roman" w:cs="Times New Roman"/>
          <w:color w:val="000000" w:themeColor="text1"/>
          <w:sz w:val="20"/>
          <w:szCs w:val="20"/>
          <w:lang w:val="en-US"/>
        </w:rPr>
        <w:t xml:space="preserve">Meydan, C. H., &amp; Şeşen, H. (2011). </w:t>
      </w:r>
      <w:r w:rsidRPr="00164238">
        <w:rPr>
          <w:rFonts w:ascii="Times New Roman" w:eastAsia="Times New Roman" w:hAnsi="Times New Roman" w:cs="Times New Roman"/>
          <w:i/>
          <w:iCs/>
          <w:color w:val="000000" w:themeColor="text1"/>
          <w:sz w:val="20"/>
          <w:szCs w:val="20"/>
          <w:lang w:val="en-US"/>
        </w:rPr>
        <w:t>Yapısal eşitlik modellemesi: AMOS uygulamaları</w:t>
      </w:r>
      <w:r w:rsidRPr="00164238">
        <w:rPr>
          <w:rFonts w:ascii="Times New Roman" w:eastAsia="Times New Roman" w:hAnsi="Times New Roman" w:cs="Times New Roman"/>
          <w:color w:val="000000" w:themeColor="text1"/>
          <w:sz w:val="20"/>
          <w:szCs w:val="20"/>
          <w:lang w:val="en-US"/>
        </w:rPr>
        <w:t>. Ankara: Detay Yayıncılık.</w:t>
      </w:r>
    </w:p>
    <w:p w14:paraId="07324E73"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 New Roman" w:hAnsi="Times New Roman" w:cs="Times New Roman"/>
          <w:color w:val="000000" w:themeColor="text1"/>
          <w:sz w:val="20"/>
          <w:szCs w:val="20"/>
          <w:lang w:val="en-US"/>
        </w:rPr>
        <w:lastRenderedPageBreak/>
        <w:t>Molines, M., El Akremi, A., Storme, M., &amp; Celik, P. (2020). Beyond the tipping point: The curvilinear relationships of transformational leadership, leader-member exchange, and emotional exhaustion in the French police. </w:t>
      </w:r>
      <w:r w:rsidRPr="00164238">
        <w:rPr>
          <w:rFonts w:ascii="Times New Roman" w:eastAsia="Times New Roman" w:hAnsi="Times New Roman" w:cs="Times New Roman"/>
          <w:i/>
          <w:iCs/>
          <w:color w:val="000000" w:themeColor="text1"/>
          <w:sz w:val="20"/>
          <w:szCs w:val="20"/>
          <w:lang w:val="en-US"/>
        </w:rPr>
        <w:t>Public Management Review</w:t>
      </w:r>
      <w:r w:rsidRPr="00164238">
        <w:rPr>
          <w:rFonts w:ascii="Times New Roman" w:eastAsia="Times New Roman" w:hAnsi="Times New Roman" w:cs="Times New Roman"/>
          <w:color w:val="000000" w:themeColor="text1"/>
          <w:sz w:val="20"/>
          <w:szCs w:val="20"/>
          <w:lang w:val="en-US"/>
        </w:rPr>
        <w:t>, doi: 10.1080/14719037.2020.1795231.</w:t>
      </w:r>
    </w:p>
    <w:p w14:paraId="2FF83B37"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 New Roman" w:hAnsi="Times New Roman" w:cs="Times New Roman"/>
          <w:color w:val="000000" w:themeColor="text1"/>
          <w:sz w:val="20"/>
          <w:szCs w:val="20"/>
          <w:lang w:val="en-US"/>
        </w:rPr>
        <w:t xml:space="preserve">Naktiyok, A. (2006). E-liderlik: E-liderlik özelliklerinin incelenmesine yönelik bir araştırma. </w:t>
      </w:r>
      <w:r w:rsidRPr="00164238">
        <w:rPr>
          <w:rFonts w:ascii="Times New Roman" w:hAnsi="Times New Roman" w:cs="Times New Roman"/>
          <w:i/>
          <w:iCs/>
          <w:color w:val="000000" w:themeColor="text1"/>
          <w:sz w:val="20"/>
          <w:szCs w:val="20"/>
          <w:lang w:val="en-US"/>
        </w:rPr>
        <w:t>Dokuz Eylül University: Journal of Faculty of Business</w:t>
      </w:r>
      <w:r w:rsidRPr="00164238">
        <w:rPr>
          <w:rFonts w:ascii="Times New Roman" w:eastAsia="Times New Roman" w:hAnsi="Times New Roman" w:cs="Times New Roman"/>
          <w:i/>
          <w:iCs/>
          <w:color w:val="000000" w:themeColor="text1"/>
          <w:sz w:val="20"/>
          <w:szCs w:val="20"/>
          <w:lang w:val="en-US"/>
        </w:rPr>
        <w:t>, 7</w:t>
      </w:r>
      <w:r w:rsidRPr="00164238">
        <w:rPr>
          <w:rFonts w:ascii="Times New Roman" w:eastAsia="Times New Roman" w:hAnsi="Times New Roman" w:cs="Times New Roman"/>
          <w:color w:val="000000" w:themeColor="text1"/>
          <w:sz w:val="20"/>
          <w:szCs w:val="20"/>
          <w:lang w:val="en-US"/>
        </w:rPr>
        <w:t>(1), 19-40.</w:t>
      </w:r>
    </w:p>
    <w:p w14:paraId="6104719D"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 New Roman" w:hAnsi="Times New Roman" w:cs="Times New Roman"/>
          <w:color w:val="000000" w:themeColor="text1"/>
          <w:sz w:val="20"/>
          <w:szCs w:val="20"/>
          <w:lang w:val="en-US"/>
        </w:rPr>
        <w:t>Naseer, S., Raja, U., Syed, F., Donia, M. B. L., &amp; Darr, W. (2016). Perils of being close to a bad leader in a bad environment: Exploring the combined effects of despotic leadership, leader member exchange, and perceived organizational politics on behaviors. </w:t>
      </w:r>
      <w:r w:rsidRPr="00164238">
        <w:rPr>
          <w:rFonts w:ascii="Times New Roman" w:eastAsia="Times New Roman" w:hAnsi="Times New Roman" w:cs="Times New Roman"/>
          <w:i/>
          <w:iCs/>
          <w:color w:val="000000" w:themeColor="text1"/>
          <w:sz w:val="20"/>
          <w:szCs w:val="20"/>
          <w:lang w:val="en-US"/>
        </w:rPr>
        <w:t>The Leadership Quarterly, 27</w:t>
      </w:r>
      <w:r w:rsidRPr="00164238">
        <w:rPr>
          <w:rFonts w:ascii="Times New Roman" w:eastAsia="Times New Roman" w:hAnsi="Times New Roman" w:cs="Times New Roman"/>
          <w:color w:val="000000" w:themeColor="text1"/>
          <w:sz w:val="20"/>
          <w:szCs w:val="20"/>
          <w:lang w:val="en-US"/>
        </w:rPr>
        <w:t>(1), 14-33.</w:t>
      </w:r>
    </w:p>
    <w:p w14:paraId="02877C90"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 New Roman" w:hAnsi="Times New Roman" w:cs="Times New Roman"/>
          <w:color w:val="000000" w:themeColor="text1"/>
          <w:sz w:val="20"/>
          <w:szCs w:val="20"/>
          <w:lang w:val="en-US"/>
        </w:rPr>
        <w:t xml:space="preserve">Özgen, Ç. (2020). </w:t>
      </w:r>
      <w:r w:rsidRPr="00164238">
        <w:rPr>
          <w:rFonts w:ascii="Times New Roman" w:eastAsia="Times New Roman" w:hAnsi="Times New Roman" w:cs="Times New Roman"/>
          <w:i/>
          <w:iCs/>
          <w:color w:val="000000" w:themeColor="text1"/>
          <w:sz w:val="20"/>
          <w:szCs w:val="20"/>
          <w:lang w:val="en-US"/>
        </w:rPr>
        <w:t>Hizmetkar liderliğin duygusal bağlılık üzerindeki etkisinde lider-üye etkileşiminin aracı rolü</w:t>
      </w:r>
      <w:r w:rsidRPr="00164238">
        <w:rPr>
          <w:rFonts w:ascii="Times New Roman" w:eastAsia="Times New Roman" w:hAnsi="Times New Roman" w:cs="Times New Roman"/>
          <w:color w:val="000000" w:themeColor="text1"/>
          <w:sz w:val="20"/>
          <w:szCs w:val="20"/>
          <w:lang w:val="en-US"/>
        </w:rPr>
        <w:t xml:space="preserve"> (Master dissertation). İstanbul: İstanbul University, Institute of Social Sciences, Turkey.</w:t>
      </w:r>
    </w:p>
    <w:p w14:paraId="22C262B3"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 New Roman" w:hAnsi="Times New Roman" w:cs="Times New Roman"/>
          <w:color w:val="000000" w:themeColor="text1"/>
          <w:sz w:val="20"/>
          <w:szCs w:val="20"/>
          <w:lang w:val="en-US"/>
        </w:rPr>
        <w:t xml:space="preserve">Özkara, Z. U., Taş, A., &amp; Aydıntan, B. (2019a). Algılanan yönetici desteği ile örgütsel sinizm arasındaki ilişkide lider-üye etkileşiminin rolü. in </w:t>
      </w:r>
      <w:r w:rsidRPr="00164238">
        <w:rPr>
          <w:rFonts w:ascii="Times New Roman" w:eastAsia="Times New Roman" w:hAnsi="Times New Roman" w:cs="Times New Roman"/>
          <w:i/>
          <w:iCs/>
          <w:color w:val="000000" w:themeColor="text1"/>
          <w:sz w:val="20"/>
          <w:szCs w:val="20"/>
          <w:lang w:val="en-US"/>
        </w:rPr>
        <w:t>18</w:t>
      </w:r>
      <w:r w:rsidRPr="00164238">
        <w:rPr>
          <w:rFonts w:ascii="Times New Roman" w:eastAsia="Times New Roman" w:hAnsi="Times New Roman" w:cs="Times New Roman"/>
          <w:i/>
          <w:iCs/>
          <w:color w:val="000000" w:themeColor="text1"/>
          <w:sz w:val="20"/>
          <w:szCs w:val="20"/>
          <w:vertAlign w:val="superscript"/>
          <w:lang w:val="en-US"/>
        </w:rPr>
        <w:t>th</w:t>
      </w:r>
      <w:r w:rsidRPr="00164238">
        <w:rPr>
          <w:rFonts w:ascii="Times New Roman" w:eastAsia="Times New Roman" w:hAnsi="Times New Roman" w:cs="Times New Roman"/>
          <w:i/>
          <w:iCs/>
          <w:color w:val="000000" w:themeColor="text1"/>
          <w:sz w:val="20"/>
          <w:szCs w:val="20"/>
          <w:lang w:val="en-US"/>
        </w:rPr>
        <w:t xml:space="preserve"> International Business Congress </w:t>
      </w:r>
      <w:r w:rsidRPr="00164238">
        <w:rPr>
          <w:rFonts w:ascii="Times New Roman" w:eastAsia="Times New Roman" w:hAnsi="Times New Roman" w:cs="Times New Roman"/>
          <w:color w:val="000000" w:themeColor="text1"/>
          <w:sz w:val="20"/>
          <w:szCs w:val="20"/>
          <w:lang w:val="en-US"/>
        </w:rPr>
        <w:t>(pp. 688-705), 2-4 May, Osmaniye: Osmaniye Korkut Ata University, Turkey.</w:t>
      </w:r>
    </w:p>
    <w:p w14:paraId="16514453"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 New Roman" w:hAnsi="Times New Roman" w:cs="Times New Roman"/>
          <w:color w:val="000000" w:themeColor="text1"/>
          <w:sz w:val="20"/>
          <w:szCs w:val="20"/>
          <w:lang w:val="en-US"/>
        </w:rPr>
        <w:t xml:space="preserve">Özkara, Z. U., Taş, A., &amp; Aydıntan, B. (2019b). Algılanan yönetici desteği ile örgütsel sinizm arasındaki ilişkide lider-üye etkileşiminin aracılık etkisi. </w:t>
      </w:r>
      <w:r w:rsidRPr="00164238">
        <w:rPr>
          <w:rFonts w:ascii="Times New Roman" w:eastAsia="Times New Roman" w:hAnsi="Times New Roman" w:cs="Times New Roman"/>
          <w:i/>
          <w:iCs/>
          <w:color w:val="000000" w:themeColor="text1"/>
          <w:sz w:val="20"/>
          <w:szCs w:val="20"/>
          <w:lang w:val="en-US"/>
        </w:rPr>
        <w:t>OPUS-International Journal of Society Researches, 12</w:t>
      </w:r>
      <w:r w:rsidRPr="00164238">
        <w:rPr>
          <w:rFonts w:ascii="Times New Roman" w:eastAsia="Times New Roman" w:hAnsi="Times New Roman" w:cs="Times New Roman"/>
          <w:color w:val="000000" w:themeColor="text1"/>
          <w:sz w:val="20"/>
          <w:szCs w:val="20"/>
          <w:lang w:val="en-US"/>
        </w:rPr>
        <w:t>(UIK 18 Special Issue), 101-137.</w:t>
      </w:r>
    </w:p>
    <w:p w14:paraId="46B6DFB8"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 New Roman" w:hAnsi="Times New Roman" w:cs="Times New Roman"/>
          <w:color w:val="000000" w:themeColor="text1"/>
          <w:sz w:val="20"/>
          <w:szCs w:val="20"/>
          <w:lang w:val="en-US"/>
        </w:rPr>
        <w:t xml:space="preserve">Özutku, H., Ağca, V., &amp; Cevrioğlu, E. (2008). Lider-üye etkileşim teorisi çerçevesinde, yönetici-ast etkileşimi ile örgütsel bağlılık boyutları ve iş performansı arasındaki ilişki: Ampirik bir inceleme. </w:t>
      </w:r>
      <w:r w:rsidRPr="00164238">
        <w:rPr>
          <w:rFonts w:ascii="Times New Roman" w:eastAsia="Times New Roman" w:hAnsi="Times New Roman" w:cs="Times New Roman"/>
          <w:i/>
          <w:iCs/>
          <w:color w:val="000000" w:themeColor="text1"/>
          <w:sz w:val="20"/>
          <w:szCs w:val="20"/>
          <w:lang w:val="en-US"/>
        </w:rPr>
        <w:t>Atatürk University: Journal of Economics and Administrative Sciences, 22</w:t>
      </w:r>
      <w:r w:rsidRPr="00164238">
        <w:rPr>
          <w:rFonts w:ascii="Times New Roman" w:eastAsia="Times New Roman" w:hAnsi="Times New Roman" w:cs="Times New Roman"/>
          <w:color w:val="000000" w:themeColor="text1"/>
          <w:sz w:val="20"/>
          <w:szCs w:val="20"/>
          <w:lang w:val="en-US"/>
        </w:rPr>
        <w:t>(2), 193-210.</w:t>
      </w:r>
    </w:p>
    <w:p w14:paraId="70B17F31"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 New Roman" w:hAnsi="Times New Roman" w:cs="Times New Roman"/>
          <w:color w:val="000000" w:themeColor="text1"/>
          <w:sz w:val="20"/>
          <w:szCs w:val="20"/>
          <w:lang w:val="en-US"/>
        </w:rPr>
        <w:t>Pundt, A., &amp; Herrmann, F. (2015). Affiliative and aggressive humour in leadership and their relationship to leader–member exchange. </w:t>
      </w:r>
      <w:r w:rsidRPr="00164238">
        <w:rPr>
          <w:rFonts w:ascii="Times New Roman" w:eastAsia="Times New Roman" w:hAnsi="Times New Roman" w:cs="Times New Roman"/>
          <w:i/>
          <w:iCs/>
          <w:color w:val="000000" w:themeColor="text1"/>
          <w:sz w:val="20"/>
          <w:szCs w:val="20"/>
          <w:lang w:val="en-US"/>
        </w:rPr>
        <w:t>Journal of Occupational and Organizational Psychology, 88</w:t>
      </w:r>
      <w:r w:rsidRPr="00164238">
        <w:rPr>
          <w:rFonts w:ascii="Times New Roman" w:eastAsia="Times New Roman" w:hAnsi="Times New Roman" w:cs="Times New Roman"/>
          <w:color w:val="000000" w:themeColor="text1"/>
          <w:sz w:val="20"/>
          <w:szCs w:val="20"/>
          <w:lang w:val="en-US"/>
        </w:rPr>
        <w:t>(1), 108-125.</w:t>
      </w:r>
    </w:p>
    <w:p w14:paraId="64696379"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 New Roman" w:hAnsi="Times New Roman" w:cs="Times New Roman"/>
          <w:color w:val="000000" w:themeColor="text1"/>
          <w:sz w:val="20"/>
          <w:szCs w:val="20"/>
          <w:lang w:val="en-US"/>
        </w:rPr>
        <w:t>Robbins, S. P., &amp; Judge, T. A. (2013). Liderlik (Trans. of 14</w:t>
      </w:r>
      <w:r w:rsidRPr="00164238">
        <w:rPr>
          <w:rFonts w:ascii="Times New Roman" w:eastAsia="Times New Roman" w:hAnsi="Times New Roman" w:cs="Times New Roman"/>
          <w:color w:val="000000" w:themeColor="text1"/>
          <w:sz w:val="20"/>
          <w:szCs w:val="20"/>
          <w:vertAlign w:val="superscript"/>
          <w:lang w:val="en-US"/>
        </w:rPr>
        <w:t>th</w:t>
      </w:r>
      <w:r w:rsidRPr="00164238">
        <w:rPr>
          <w:rFonts w:ascii="Times New Roman" w:eastAsia="Times New Roman" w:hAnsi="Times New Roman" w:cs="Times New Roman"/>
          <w:color w:val="000000" w:themeColor="text1"/>
          <w:sz w:val="20"/>
          <w:szCs w:val="20"/>
          <w:lang w:val="en-US"/>
        </w:rPr>
        <w:t xml:space="preserve"> edition). in </w:t>
      </w:r>
      <w:r w:rsidRPr="00164238">
        <w:rPr>
          <w:rFonts w:ascii="Times New Roman" w:eastAsia="Times New Roman" w:hAnsi="Times New Roman" w:cs="Times New Roman"/>
          <w:i/>
          <w:iCs/>
          <w:color w:val="000000" w:themeColor="text1"/>
          <w:sz w:val="20"/>
          <w:szCs w:val="20"/>
          <w:lang w:val="en-US"/>
        </w:rPr>
        <w:t xml:space="preserve">Örgütsel Davranış </w:t>
      </w:r>
      <w:r w:rsidRPr="00164238">
        <w:rPr>
          <w:rFonts w:ascii="Times New Roman" w:eastAsia="Times New Roman" w:hAnsi="Times New Roman" w:cs="Times New Roman"/>
          <w:color w:val="000000" w:themeColor="text1"/>
          <w:sz w:val="20"/>
          <w:szCs w:val="20"/>
          <w:lang w:val="en-US"/>
        </w:rPr>
        <w:t>(pp. 374-416), A. Yalçın (Ed.), İ. Erdem (Trans. Ed.), Ankara: Nobel Akademik.</w:t>
      </w:r>
    </w:p>
    <w:p w14:paraId="3A1A0FB8"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NewRomanPSMT" w:hAnsi="Times New Roman" w:cs="Times New Roman"/>
          <w:color w:val="000000" w:themeColor="text1"/>
          <w:sz w:val="20"/>
          <w:szCs w:val="20"/>
        </w:rPr>
        <w:t xml:space="preserve">Schermelleh-Engel, K., Moosbrugger, H., &amp; Müller, H. (2003). Evaluating the fit of structural equation models: Tests of significance and descriptive goodness-of-fit measures. </w:t>
      </w:r>
      <w:r w:rsidRPr="00164238">
        <w:rPr>
          <w:rFonts w:ascii="Times New Roman" w:eastAsia="TimesNewRomanPS-ItalicMT" w:hAnsi="Times New Roman" w:cs="Times New Roman"/>
          <w:i/>
          <w:iCs/>
          <w:color w:val="000000" w:themeColor="text1"/>
          <w:sz w:val="20"/>
          <w:szCs w:val="20"/>
        </w:rPr>
        <w:t xml:space="preserve">Methods of Psychological Research Online, 8 </w:t>
      </w:r>
      <w:r w:rsidRPr="00164238">
        <w:rPr>
          <w:rFonts w:ascii="Times New Roman" w:eastAsia="TimesNewRomanPSMT" w:hAnsi="Times New Roman" w:cs="Times New Roman"/>
          <w:color w:val="000000" w:themeColor="text1"/>
          <w:sz w:val="20"/>
          <w:szCs w:val="20"/>
        </w:rPr>
        <w:t>(2), 23-74.</w:t>
      </w:r>
    </w:p>
    <w:p w14:paraId="14D9DBDD"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 New Roman" w:hAnsi="Times New Roman" w:cs="Times New Roman"/>
          <w:color w:val="000000" w:themeColor="text1"/>
          <w:sz w:val="20"/>
          <w:szCs w:val="20"/>
          <w:lang w:val="en-US"/>
        </w:rPr>
        <w:t>Settoon, R. P., Bennett, N., &amp; Liden, R. C. (1996). Social exchange in organizations: Perceived organizational support, leader-member exchange, and employee reciprocity. </w:t>
      </w:r>
      <w:r w:rsidRPr="00164238">
        <w:rPr>
          <w:rFonts w:ascii="Times New Roman" w:eastAsia="Times New Roman" w:hAnsi="Times New Roman" w:cs="Times New Roman"/>
          <w:i/>
          <w:iCs/>
          <w:color w:val="000000" w:themeColor="text1"/>
          <w:sz w:val="20"/>
          <w:szCs w:val="20"/>
          <w:lang w:val="en-US"/>
        </w:rPr>
        <w:t>Journal of Applied Psychology</w:t>
      </w:r>
      <w:r w:rsidRPr="00164238">
        <w:rPr>
          <w:rFonts w:ascii="Times New Roman" w:eastAsia="Times New Roman" w:hAnsi="Times New Roman" w:cs="Times New Roman"/>
          <w:color w:val="000000" w:themeColor="text1"/>
          <w:sz w:val="20"/>
          <w:szCs w:val="20"/>
          <w:lang w:val="en-US"/>
        </w:rPr>
        <w:t>, </w:t>
      </w:r>
      <w:r w:rsidRPr="00164238">
        <w:rPr>
          <w:rFonts w:ascii="Times New Roman" w:eastAsia="Times New Roman" w:hAnsi="Times New Roman" w:cs="Times New Roman"/>
          <w:i/>
          <w:iCs/>
          <w:color w:val="000000" w:themeColor="text1"/>
          <w:sz w:val="20"/>
          <w:szCs w:val="20"/>
          <w:lang w:val="en-US"/>
        </w:rPr>
        <w:t>81</w:t>
      </w:r>
      <w:r w:rsidRPr="00164238">
        <w:rPr>
          <w:rFonts w:ascii="Times New Roman" w:eastAsia="Times New Roman" w:hAnsi="Times New Roman" w:cs="Times New Roman"/>
          <w:color w:val="000000" w:themeColor="text1"/>
          <w:sz w:val="20"/>
          <w:szCs w:val="20"/>
          <w:lang w:val="en-US"/>
        </w:rPr>
        <w:t>(3), 219-227.</w:t>
      </w:r>
    </w:p>
    <w:p w14:paraId="04D474D8"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 New Roman" w:hAnsi="Times New Roman" w:cs="Times New Roman"/>
          <w:color w:val="000000" w:themeColor="text1"/>
          <w:sz w:val="20"/>
          <w:szCs w:val="20"/>
          <w:lang w:val="en-US"/>
        </w:rPr>
        <w:t xml:space="preserve">Söylemez, M. (2019). </w:t>
      </w:r>
      <w:r w:rsidRPr="00164238">
        <w:rPr>
          <w:rFonts w:ascii="Times New Roman" w:eastAsia="Times New Roman" w:hAnsi="Times New Roman" w:cs="Times New Roman"/>
          <w:i/>
          <w:iCs/>
          <w:color w:val="000000" w:themeColor="text1"/>
          <w:sz w:val="20"/>
          <w:szCs w:val="20"/>
          <w:lang w:val="en-US"/>
        </w:rPr>
        <w:t>Dönüşümsel liderlik, sosyal sermaye, özyeterlilik ve lider-üye etkileşimi ilişkisi: Kocaeli Serbest Bölgesi’nde bir araştırma</w:t>
      </w:r>
      <w:r w:rsidRPr="00164238">
        <w:rPr>
          <w:rFonts w:ascii="Times New Roman" w:eastAsia="Times New Roman" w:hAnsi="Times New Roman" w:cs="Times New Roman"/>
          <w:color w:val="000000" w:themeColor="text1"/>
          <w:sz w:val="20"/>
          <w:szCs w:val="20"/>
          <w:lang w:val="en-US"/>
        </w:rPr>
        <w:t xml:space="preserve"> (Doctoral thesis). Ankara: Gazi University, Institute of Social Sciences, Turkey.</w:t>
      </w:r>
    </w:p>
    <w:p w14:paraId="659347DA"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 New Roman" w:hAnsi="Times New Roman" w:cs="Times New Roman"/>
          <w:color w:val="000000" w:themeColor="text1"/>
          <w:sz w:val="20"/>
          <w:szCs w:val="20"/>
          <w:lang w:val="en-US"/>
        </w:rPr>
        <w:t xml:space="preserve">Şimşek, M. Ş., Akgemci, T., &amp; Çelik, A. (2008). </w:t>
      </w:r>
      <w:r w:rsidRPr="00164238">
        <w:rPr>
          <w:rFonts w:ascii="Times New Roman" w:eastAsia="Times New Roman" w:hAnsi="Times New Roman" w:cs="Times New Roman"/>
          <w:i/>
          <w:iCs/>
          <w:color w:val="000000" w:themeColor="text1"/>
          <w:sz w:val="20"/>
          <w:szCs w:val="20"/>
          <w:lang w:val="en-US"/>
        </w:rPr>
        <w:t>Davranış bilimlerine giriş ve örgütlerde davranış</w:t>
      </w:r>
      <w:r w:rsidRPr="00164238">
        <w:rPr>
          <w:rFonts w:ascii="Times New Roman" w:eastAsia="Times New Roman" w:hAnsi="Times New Roman" w:cs="Times New Roman"/>
          <w:color w:val="000000" w:themeColor="text1"/>
          <w:sz w:val="20"/>
          <w:szCs w:val="20"/>
          <w:lang w:val="en-US"/>
        </w:rPr>
        <w:t xml:space="preserve"> (6</w:t>
      </w:r>
      <w:r w:rsidRPr="00164238">
        <w:rPr>
          <w:rFonts w:ascii="Times New Roman" w:eastAsia="Times New Roman" w:hAnsi="Times New Roman" w:cs="Times New Roman"/>
          <w:color w:val="000000" w:themeColor="text1"/>
          <w:sz w:val="20"/>
          <w:szCs w:val="20"/>
          <w:vertAlign w:val="superscript"/>
          <w:lang w:val="en-US"/>
        </w:rPr>
        <w:t>th</w:t>
      </w:r>
      <w:r w:rsidRPr="00164238">
        <w:rPr>
          <w:rFonts w:ascii="Times New Roman" w:eastAsia="Times New Roman" w:hAnsi="Times New Roman" w:cs="Times New Roman"/>
          <w:color w:val="000000" w:themeColor="text1"/>
          <w:sz w:val="20"/>
          <w:szCs w:val="20"/>
          <w:lang w:val="en-US"/>
        </w:rPr>
        <w:t xml:space="preserve"> edition). Ankara: Gazi Kitabevi.</w:t>
      </w:r>
    </w:p>
    <w:p w14:paraId="5E3857AD"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rPr>
        <w:t xml:space="preserve">Tabachnick, B. G., &amp; Fidell, L. S. (2001). </w:t>
      </w:r>
      <w:r w:rsidRPr="00164238">
        <w:rPr>
          <w:rFonts w:ascii="Times New Roman" w:hAnsi="Times New Roman" w:cs="Times New Roman"/>
          <w:i/>
          <w:iCs/>
          <w:color w:val="000000" w:themeColor="text1"/>
          <w:sz w:val="20"/>
          <w:szCs w:val="20"/>
        </w:rPr>
        <w:t>Using multivariate statistics</w:t>
      </w:r>
      <w:r w:rsidRPr="00164238">
        <w:rPr>
          <w:rFonts w:ascii="Times New Roman" w:hAnsi="Times New Roman" w:cs="Times New Roman"/>
          <w:color w:val="000000" w:themeColor="text1"/>
          <w:sz w:val="20"/>
          <w:szCs w:val="20"/>
        </w:rPr>
        <w:t>. Boston: Allyn and Bacon.</w:t>
      </w:r>
    </w:p>
    <w:p w14:paraId="32886DC0"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 New Roman" w:hAnsi="Times New Roman" w:cs="Times New Roman"/>
          <w:color w:val="000000" w:themeColor="text1"/>
          <w:sz w:val="20"/>
          <w:szCs w:val="20"/>
        </w:rPr>
        <w:t xml:space="preserve">Tabachnick, B.G., &amp; Fidell, L.S. (2013). </w:t>
      </w:r>
      <w:r w:rsidRPr="00164238">
        <w:rPr>
          <w:rFonts w:ascii="Times New Roman" w:eastAsia="Times New Roman" w:hAnsi="Times New Roman" w:cs="Times New Roman"/>
          <w:bCs/>
          <w:i/>
          <w:iCs/>
          <w:color w:val="000000" w:themeColor="text1"/>
          <w:sz w:val="20"/>
          <w:szCs w:val="20"/>
        </w:rPr>
        <w:t>Using multivariate statistics</w:t>
      </w:r>
      <w:r w:rsidRPr="00164238">
        <w:rPr>
          <w:rFonts w:ascii="Times New Roman" w:eastAsia="Times New Roman" w:hAnsi="Times New Roman" w:cs="Times New Roman"/>
          <w:i/>
          <w:color w:val="000000" w:themeColor="text1"/>
          <w:sz w:val="20"/>
          <w:szCs w:val="20"/>
        </w:rPr>
        <w:t>.</w:t>
      </w:r>
      <w:r w:rsidRPr="00164238">
        <w:rPr>
          <w:rFonts w:ascii="Times New Roman" w:eastAsia="Times New Roman" w:hAnsi="Times New Roman" w:cs="Times New Roman"/>
          <w:color w:val="000000" w:themeColor="text1"/>
          <w:sz w:val="20"/>
          <w:szCs w:val="20"/>
        </w:rPr>
        <w:t xml:space="preserve"> Boston: Allyn ve Bacon.</w:t>
      </w:r>
    </w:p>
    <w:p w14:paraId="36E739CA"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 New Roman" w:hAnsi="Times New Roman" w:cs="Times New Roman"/>
          <w:color w:val="000000" w:themeColor="text1"/>
          <w:sz w:val="20"/>
          <w:szCs w:val="20"/>
          <w:lang w:val="en-US"/>
        </w:rPr>
        <w:t xml:space="preserve">Taş, A., Özkara, Z. U., &amp; Aydıntan, B. (2020a). Relationships between supervisor’s virtual technology competence and trust in supervisor. in </w:t>
      </w:r>
      <w:r w:rsidRPr="00164238">
        <w:rPr>
          <w:rFonts w:ascii="Times New Roman" w:eastAsia="Times New Roman" w:hAnsi="Times New Roman" w:cs="Times New Roman"/>
          <w:i/>
          <w:iCs/>
          <w:color w:val="000000" w:themeColor="text1"/>
          <w:sz w:val="20"/>
          <w:szCs w:val="20"/>
          <w:lang w:val="en-US"/>
        </w:rPr>
        <w:t>International Symposium on Business &amp; Economics (ISBE) 2020 Proceedings: Digitalization</w:t>
      </w:r>
      <w:r w:rsidRPr="00164238">
        <w:rPr>
          <w:rFonts w:ascii="Times New Roman" w:eastAsia="Times New Roman" w:hAnsi="Times New Roman" w:cs="Times New Roman"/>
          <w:color w:val="000000" w:themeColor="text1"/>
          <w:sz w:val="20"/>
          <w:szCs w:val="20"/>
          <w:lang w:val="en-US"/>
        </w:rPr>
        <w:t xml:space="preserve"> (pp. 35-38), 4-5 June, Ankara: Gazi Academic Publishing &amp; AHBV University, Turkey.</w:t>
      </w:r>
    </w:p>
    <w:p w14:paraId="5FA0C875"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 New Roman" w:hAnsi="Times New Roman" w:cs="Times New Roman"/>
          <w:color w:val="000000" w:themeColor="text1"/>
          <w:sz w:val="20"/>
          <w:szCs w:val="20"/>
          <w:lang w:val="en-US"/>
        </w:rPr>
        <w:lastRenderedPageBreak/>
        <w:t xml:space="preserve">Taş, A., Özkara, Z. U., &amp; Aydıntan, B. (2020b). Elektronik liderliğin temel boyutu: Sanal teknoloji yeterliğinin yöneticiye duyulan güvene etkileri. </w:t>
      </w:r>
      <w:r w:rsidRPr="00164238">
        <w:rPr>
          <w:rFonts w:ascii="Times New Roman" w:eastAsia="Times New Roman" w:hAnsi="Times New Roman" w:cs="Times New Roman"/>
          <w:i/>
          <w:iCs/>
          <w:color w:val="000000" w:themeColor="text1"/>
          <w:sz w:val="20"/>
          <w:szCs w:val="20"/>
          <w:lang w:val="en-US"/>
        </w:rPr>
        <w:t>Journal of Business Research-Turk, 12</w:t>
      </w:r>
      <w:r w:rsidRPr="00164238">
        <w:rPr>
          <w:rFonts w:ascii="Times New Roman" w:eastAsia="Times New Roman" w:hAnsi="Times New Roman" w:cs="Times New Roman"/>
          <w:color w:val="000000" w:themeColor="text1"/>
          <w:sz w:val="20"/>
          <w:szCs w:val="20"/>
          <w:lang w:val="en-US"/>
        </w:rPr>
        <w:t>(3), 2879-2894.</w:t>
      </w:r>
    </w:p>
    <w:p w14:paraId="363714AF"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 New Roman" w:hAnsi="Times New Roman" w:cs="Times New Roman"/>
          <w:color w:val="000000" w:themeColor="text1"/>
          <w:sz w:val="20"/>
          <w:szCs w:val="20"/>
          <w:lang w:val="en-US"/>
        </w:rPr>
        <w:t>Tekinay, İ. (2015). </w:t>
      </w:r>
      <w:r w:rsidRPr="00164238">
        <w:rPr>
          <w:rFonts w:ascii="Times New Roman" w:eastAsia="Times New Roman" w:hAnsi="Times New Roman" w:cs="Times New Roman"/>
          <w:i/>
          <w:color w:val="000000" w:themeColor="text1"/>
          <w:sz w:val="20"/>
          <w:szCs w:val="20"/>
          <w:lang w:val="en-US"/>
        </w:rPr>
        <w:t>Okul yöneticilerinin e-liderlik yeterlikleri</w:t>
      </w:r>
      <w:r w:rsidRPr="00164238">
        <w:rPr>
          <w:rFonts w:ascii="Times New Roman" w:eastAsia="Times New Roman" w:hAnsi="Times New Roman" w:cs="Times New Roman"/>
          <w:color w:val="000000" w:themeColor="text1"/>
          <w:sz w:val="20"/>
          <w:szCs w:val="20"/>
          <w:lang w:val="en-US"/>
        </w:rPr>
        <w:t> (Master dissertation). Konya: Mevlana University, Turkey.</w:t>
      </w:r>
    </w:p>
    <w:p w14:paraId="7A2151CA"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 New Roman" w:hAnsi="Times New Roman" w:cs="Times New Roman"/>
          <w:color w:val="000000" w:themeColor="text1"/>
          <w:sz w:val="20"/>
          <w:szCs w:val="20"/>
          <w:lang w:val="en-US"/>
        </w:rPr>
        <w:t>Turunc, O., Celik, M., Tabak, A., &amp; Kabak, M. (2010). The impact of transformational leadership and contingent reward leadership styles on innovative behaviour: Mediating role of leader-member exchange quality. </w:t>
      </w:r>
      <w:r w:rsidRPr="00164238">
        <w:rPr>
          <w:rFonts w:ascii="Times New Roman" w:eastAsia="Times New Roman" w:hAnsi="Times New Roman" w:cs="Times New Roman"/>
          <w:i/>
          <w:iCs/>
          <w:color w:val="000000" w:themeColor="text1"/>
          <w:sz w:val="20"/>
          <w:szCs w:val="20"/>
          <w:lang w:val="en-US"/>
        </w:rPr>
        <w:t>International Journal of Business and Management Studies, 2</w:t>
      </w:r>
      <w:r w:rsidRPr="00164238">
        <w:rPr>
          <w:rFonts w:ascii="Times New Roman" w:eastAsia="Times New Roman" w:hAnsi="Times New Roman" w:cs="Times New Roman"/>
          <w:color w:val="000000" w:themeColor="text1"/>
          <w:sz w:val="20"/>
          <w:szCs w:val="20"/>
          <w:lang w:val="en-US"/>
        </w:rPr>
        <w:t>(1), 69-79.</w:t>
      </w:r>
    </w:p>
    <w:p w14:paraId="6B4BB8E0"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 New Roman" w:hAnsi="Times New Roman" w:cs="Times New Roman"/>
          <w:color w:val="000000" w:themeColor="text1"/>
          <w:sz w:val="20"/>
          <w:szCs w:val="20"/>
          <w:lang w:val="en-US"/>
        </w:rPr>
        <w:t xml:space="preserve">Tzinerr, A., &amp; Barsheshet-Picke, L. (2014). Authentic management as a moderator of the relationship between the congruence of gender role identity - gender management characteristics, and leader-member exchange (LMX). </w:t>
      </w:r>
      <w:r w:rsidRPr="00164238">
        <w:rPr>
          <w:rFonts w:ascii="Times New Roman" w:eastAsia="Times New Roman" w:hAnsi="Times New Roman" w:cs="Times New Roman"/>
          <w:i/>
          <w:iCs/>
          <w:color w:val="000000" w:themeColor="text1"/>
          <w:sz w:val="20"/>
          <w:szCs w:val="20"/>
          <w:lang w:val="en-US"/>
        </w:rPr>
        <w:t>Journal of Work and Organizational Psychology, 30</w:t>
      </w:r>
      <w:r w:rsidRPr="00164238">
        <w:rPr>
          <w:rFonts w:ascii="Times New Roman" w:eastAsia="Times New Roman" w:hAnsi="Times New Roman" w:cs="Times New Roman"/>
          <w:color w:val="000000" w:themeColor="text1"/>
          <w:sz w:val="20"/>
          <w:szCs w:val="20"/>
          <w:lang w:val="en-US"/>
        </w:rPr>
        <w:t>(2), 49-60.</w:t>
      </w:r>
    </w:p>
    <w:p w14:paraId="53006B60"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 New Roman" w:hAnsi="Times New Roman" w:cs="Times New Roman"/>
          <w:color w:val="000000" w:themeColor="text1"/>
          <w:sz w:val="20"/>
          <w:szCs w:val="20"/>
          <w:lang w:val="en-US"/>
        </w:rPr>
        <w:t xml:space="preserve">Uğurluoğlu, Ö., Durukan Köse, S., &amp; Köse, T. (2015). Sağlık çalışanlarının hizmetkar liderlik algılarının lider-üye etkileşimi ve örgütsel güven üzerindeki etkisi. </w:t>
      </w:r>
      <w:r w:rsidRPr="00164238">
        <w:rPr>
          <w:rFonts w:ascii="Times New Roman" w:eastAsia="Times New Roman" w:hAnsi="Times New Roman" w:cs="Times New Roman"/>
          <w:i/>
          <w:iCs/>
          <w:color w:val="000000" w:themeColor="text1"/>
          <w:sz w:val="20"/>
          <w:szCs w:val="20"/>
          <w:lang w:val="en-US"/>
        </w:rPr>
        <w:t>Turkish Journal of Social Research, 19</w:t>
      </w:r>
      <w:r w:rsidRPr="00164238">
        <w:rPr>
          <w:rFonts w:ascii="Times New Roman" w:eastAsia="Times New Roman" w:hAnsi="Times New Roman" w:cs="Times New Roman"/>
          <w:color w:val="000000" w:themeColor="text1"/>
          <w:sz w:val="20"/>
          <w:szCs w:val="20"/>
          <w:lang w:val="en-US"/>
        </w:rPr>
        <w:t>(2), 239-262.</w:t>
      </w:r>
    </w:p>
    <w:p w14:paraId="52242168"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 New Roman" w:hAnsi="Times New Roman" w:cs="Times New Roman"/>
          <w:color w:val="000000" w:themeColor="text1"/>
          <w:sz w:val="20"/>
          <w:szCs w:val="20"/>
          <w:lang w:val="en-US"/>
        </w:rPr>
        <w:t>Walumbwa, F. O., Mayer, D. M., Wang, P., Wang, H., Workman, K., &amp; Christensen, A. L. (2011). Linking ethical leadership to employee performance: The roles of leader-member exchange, self-efficacy, and organizational identification. </w:t>
      </w:r>
      <w:r w:rsidRPr="00164238">
        <w:rPr>
          <w:rFonts w:ascii="Times New Roman" w:eastAsia="Times New Roman" w:hAnsi="Times New Roman" w:cs="Times New Roman"/>
          <w:i/>
          <w:iCs/>
          <w:color w:val="000000" w:themeColor="text1"/>
          <w:sz w:val="20"/>
          <w:szCs w:val="20"/>
          <w:lang w:val="en-US"/>
        </w:rPr>
        <w:t>Organizational Behavior and Human Decision Processes, 115</w:t>
      </w:r>
      <w:r w:rsidRPr="00164238">
        <w:rPr>
          <w:rFonts w:ascii="Times New Roman" w:eastAsia="Times New Roman" w:hAnsi="Times New Roman" w:cs="Times New Roman"/>
          <w:color w:val="000000" w:themeColor="text1"/>
          <w:sz w:val="20"/>
          <w:szCs w:val="20"/>
          <w:lang w:val="en-US"/>
        </w:rPr>
        <w:t>(2), 204-213.</w:t>
      </w:r>
    </w:p>
    <w:p w14:paraId="4F228353"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 New Roman" w:hAnsi="Times New Roman" w:cs="Times New Roman"/>
          <w:color w:val="000000" w:themeColor="text1"/>
          <w:sz w:val="20"/>
          <w:szCs w:val="20"/>
          <w:lang w:val="en-US"/>
        </w:rPr>
        <w:t>Wang, H., Law, K. S., Hackett, R. D., Wang, D., &amp; Chen, Z. X. (2005). Leader-member exchange as a mediator of the relationship between transformational leadership and followers’ performance and organizational citizenship behavior. </w:t>
      </w:r>
      <w:r w:rsidRPr="00164238">
        <w:rPr>
          <w:rFonts w:ascii="Times New Roman" w:eastAsia="Times New Roman" w:hAnsi="Times New Roman" w:cs="Times New Roman"/>
          <w:i/>
          <w:iCs/>
          <w:color w:val="000000" w:themeColor="text1"/>
          <w:sz w:val="20"/>
          <w:szCs w:val="20"/>
          <w:lang w:val="en-US"/>
        </w:rPr>
        <w:t>Academy of Management Journal, 48</w:t>
      </w:r>
      <w:r w:rsidRPr="00164238">
        <w:rPr>
          <w:rFonts w:ascii="Times New Roman" w:eastAsia="Times New Roman" w:hAnsi="Times New Roman" w:cs="Times New Roman"/>
          <w:color w:val="000000" w:themeColor="text1"/>
          <w:sz w:val="20"/>
          <w:szCs w:val="20"/>
          <w:lang w:val="en-US"/>
        </w:rPr>
        <w:t>(3), 420-432.</w:t>
      </w:r>
    </w:p>
    <w:p w14:paraId="7A14DA3F"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 New Roman" w:hAnsi="Times New Roman" w:cs="Times New Roman"/>
          <w:color w:val="000000" w:themeColor="text1"/>
          <w:sz w:val="20"/>
          <w:szCs w:val="20"/>
          <w:lang w:val="en-US"/>
        </w:rPr>
        <w:t>Wang, Z., Liu, Y., &amp; Liu, S. (2019). Authoritarian leadership and task performance: The effects of leader-member exchange and dependence on leader. </w:t>
      </w:r>
      <w:r w:rsidRPr="00164238">
        <w:rPr>
          <w:rFonts w:ascii="Times New Roman" w:eastAsia="Times New Roman" w:hAnsi="Times New Roman" w:cs="Times New Roman"/>
          <w:i/>
          <w:iCs/>
          <w:color w:val="000000" w:themeColor="text1"/>
          <w:sz w:val="20"/>
          <w:szCs w:val="20"/>
          <w:lang w:val="en-US"/>
        </w:rPr>
        <w:t>Frontiers of Business Research in China, 13</w:t>
      </w:r>
      <w:r w:rsidRPr="00164238">
        <w:rPr>
          <w:rFonts w:ascii="Times New Roman" w:eastAsia="Times New Roman" w:hAnsi="Times New Roman" w:cs="Times New Roman"/>
          <w:color w:val="000000" w:themeColor="text1"/>
          <w:sz w:val="20"/>
          <w:szCs w:val="20"/>
          <w:lang w:val="en-US"/>
        </w:rPr>
        <w:t>, 1-15.</w:t>
      </w:r>
    </w:p>
    <w:p w14:paraId="0D058D97"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 New Roman" w:hAnsi="Times New Roman" w:cs="Times New Roman"/>
          <w:color w:val="000000" w:themeColor="text1"/>
          <w:sz w:val="20"/>
          <w:szCs w:val="20"/>
          <w:lang w:val="en-US"/>
        </w:rPr>
        <w:t>Wherry, H. M. S. (2012). </w:t>
      </w:r>
      <w:r w:rsidRPr="00164238">
        <w:rPr>
          <w:rFonts w:ascii="Times New Roman" w:eastAsia="Times New Roman" w:hAnsi="Times New Roman" w:cs="Times New Roman"/>
          <w:i/>
          <w:iCs/>
          <w:color w:val="000000" w:themeColor="text1"/>
          <w:sz w:val="20"/>
          <w:szCs w:val="20"/>
          <w:lang w:val="en-US"/>
        </w:rPr>
        <w:t xml:space="preserve">Authentic leadership, leader-member exchange, and organizational citizenship behavior: A multilevel analysis </w:t>
      </w:r>
      <w:r w:rsidRPr="00164238">
        <w:rPr>
          <w:rFonts w:ascii="Times New Roman" w:eastAsia="Times New Roman" w:hAnsi="Times New Roman" w:cs="Times New Roman"/>
          <w:color w:val="000000" w:themeColor="text1"/>
          <w:sz w:val="20"/>
          <w:szCs w:val="20"/>
          <w:lang w:val="en-US"/>
        </w:rPr>
        <w:t>(Doctoral thesis). Lincoln: The University of Nebraska, USA.</w:t>
      </w:r>
    </w:p>
    <w:p w14:paraId="29158025"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 New Roman" w:hAnsi="Times New Roman" w:cs="Times New Roman"/>
          <w:color w:val="000000" w:themeColor="text1"/>
          <w:sz w:val="20"/>
          <w:szCs w:val="20"/>
          <w:lang w:val="en-US"/>
        </w:rPr>
        <w:t>Xu, A. J., Loi, R., &amp; Lam, L. W. (2015). The bad boss takes it all: How abusive supervision and leader-member exchange interact to influence employee silence. </w:t>
      </w:r>
      <w:r w:rsidRPr="00164238">
        <w:rPr>
          <w:rFonts w:ascii="Times New Roman" w:eastAsia="Times New Roman" w:hAnsi="Times New Roman" w:cs="Times New Roman"/>
          <w:i/>
          <w:iCs/>
          <w:color w:val="000000" w:themeColor="text1"/>
          <w:sz w:val="20"/>
          <w:szCs w:val="20"/>
          <w:lang w:val="en-US"/>
        </w:rPr>
        <w:t>The Leadership Quarterly, 26</w:t>
      </w:r>
      <w:r w:rsidRPr="00164238">
        <w:rPr>
          <w:rFonts w:ascii="Times New Roman" w:eastAsia="Times New Roman" w:hAnsi="Times New Roman" w:cs="Times New Roman"/>
          <w:color w:val="000000" w:themeColor="text1"/>
          <w:sz w:val="20"/>
          <w:szCs w:val="20"/>
          <w:lang w:val="en-US"/>
        </w:rPr>
        <w:t>(5), 763-774.</w:t>
      </w:r>
    </w:p>
    <w:p w14:paraId="38E1DE50"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 New Roman" w:hAnsi="Times New Roman" w:cs="Times New Roman"/>
          <w:color w:val="000000" w:themeColor="text1"/>
          <w:sz w:val="20"/>
          <w:szCs w:val="20"/>
          <w:lang w:val="en-US"/>
        </w:rPr>
        <w:t>Yang, H. C., &amp; Kwon, J. H. (2015). Effects of authentic leadership and leader-member exchange on employee psychological ownership and organizational commitment. </w:t>
      </w:r>
      <w:r w:rsidRPr="00164238">
        <w:rPr>
          <w:rFonts w:ascii="Times New Roman" w:eastAsia="Times New Roman" w:hAnsi="Times New Roman" w:cs="Times New Roman"/>
          <w:i/>
          <w:iCs/>
          <w:color w:val="000000" w:themeColor="text1"/>
          <w:sz w:val="20"/>
          <w:szCs w:val="20"/>
          <w:lang w:val="en-US"/>
        </w:rPr>
        <w:t>The Journal of Distribution Science, 13</w:t>
      </w:r>
      <w:r w:rsidRPr="00164238">
        <w:rPr>
          <w:rFonts w:ascii="Times New Roman" w:eastAsia="Times New Roman" w:hAnsi="Times New Roman" w:cs="Times New Roman"/>
          <w:color w:val="000000" w:themeColor="text1"/>
          <w:sz w:val="20"/>
          <w:szCs w:val="20"/>
          <w:lang w:val="en-US"/>
        </w:rPr>
        <w:t>(11), 23-30.</w:t>
      </w:r>
    </w:p>
    <w:p w14:paraId="4C1A78DB"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 New Roman" w:hAnsi="Times New Roman" w:cs="Times New Roman"/>
          <w:color w:val="000000" w:themeColor="text1"/>
          <w:sz w:val="20"/>
          <w:szCs w:val="20"/>
          <w:lang w:val="en-US"/>
        </w:rPr>
        <w:t xml:space="preserve">Yeter, N. N. (2019). </w:t>
      </w:r>
      <w:r w:rsidRPr="00164238">
        <w:rPr>
          <w:rFonts w:ascii="Times New Roman" w:eastAsia="Times New Roman" w:hAnsi="Times New Roman" w:cs="Times New Roman"/>
          <w:i/>
          <w:iCs/>
          <w:color w:val="000000" w:themeColor="text1"/>
          <w:sz w:val="20"/>
          <w:szCs w:val="20"/>
          <w:lang w:val="en-US"/>
        </w:rPr>
        <w:t>Sağlık çalışanlarının hizmetkâr liderlik algılarının lider-üye etkileşimi ve örgütsel güven üzerine etkisi</w:t>
      </w:r>
      <w:r w:rsidRPr="00164238">
        <w:rPr>
          <w:rFonts w:ascii="Times New Roman" w:hAnsi="Times New Roman" w:cs="Times New Roman"/>
          <w:b/>
          <w:bCs/>
          <w:color w:val="000000" w:themeColor="text1"/>
          <w:sz w:val="20"/>
          <w:szCs w:val="20"/>
          <w:lang w:val="en-US"/>
        </w:rPr>
        <w:t xml:space="preserve"> </w:t>
      </w:r>
      <w:r w:rsidRPr="00164238">
        <w:rPr>
          <w:rFonts w:ascii="Times New Roman" w:eastAsia="Times New Roman" w:hAnsi="Times New Roman" w:cs="Times New Roman"/>
          <w:color w:val="000000" w:themeColor="text1"/>
          <w:sz w:val="20"/>
          <w:szCs w:val="20"/>
          <w:lang w:val="en-US"/>
        </w:rPr>
        <w:t>(Master dissertation). İstanbul: Acıbadem Mehmet Ali Aydınlar University, Institute of Health Sciences, Turkey.</w:t>
      </w:r>
    </w:p>
    <w:p w14:paraId="2E9B4293"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r w:rsidRPr="00164238">
        <w:rPr>
          <w:rFonts w:ascii="Times New Roman" w:eastAsia="Times New Roman" w:hAnsi="Times New Roman" w:cs="Times New Roman"/>
          <w:color w:val="000000" w:themeColor="text1"/>
          <w:sz w:val="20"/>
          <w:szCs w:val="20"/>
          <w:lang w:val="en-US"/>
        </w:rPr>
        <w:t>Zacher, H., Pearce, L. K., Rooney, D., &amp; McKenna, B. (2014). Leaders’ personal wisdom and leader-member exchange quality: The role of individualized consideration. </w:t>
      </w:r>
      <w:r w:rsidRPr="00164238">
        <w:rPr>
          <w:rFonts w:ascii="Times New Roman" w:eastAsia="Times New Roman" w:hAnsi="Times New Roman" w:cs="Times New Roman"/>
          <w:i/>
          <w:iCs/>
          <w:color w:val="000000" w:themeColor="text1"/>
          <w:sz w:val="20"/>
          <w:szCs w:val="20"/>
          <w:lang w:val="en-US"/>
        </w:rPr>
        <w:t>Journal of Business Ethics, 121</w:t>
      </w:r>
      <w:r w:rsidRPr="00164238">
        <w:rPr>
          <w:rFonts w:ascii="Times New Roman" w:eastAsia="Times New Roman" w:hAnsi="Times New Roman" w:cs="Times New Roman"/>
          <w:color w:val="000000" w:themeColor="text1"/>
          <w:sz w:val="20"/>
          <w:szCs w:val="20"/>
          <w:lang w:val="en-US"/>
        </w:rPr>
        <w:t>(2), 171-187.</w:t>
      </w:r>
    </w:p>
    <w:p w14:paraId="1555D327" w14:textId="77777777" w:rsidR="007F03EB" w:rsidRPr="00164238" w:rsidRDefault="007F03EB" w:rsidP="007F03EB">
      <w:pPr>
        <w:autoSpaceDE w:val="0"/>
        <w:autoSpaceDN w:val="0"/>
        <w:adjustRightInd w:val="0"/>
        <w:spacing w:before="120"/>
        <w:ind w:left="709" w:hanging="709"/>
        <w:jc w:val="both"/>
        <w:rPr>
          <w:rFonts w:ascii="Times New Roman" w:eastAsia="Times New Roman" w:hAnsi="Times New Roman" w:cs="Times New Roman"/>
          <w:color w:val="000000" w:themeColor="text1"/>
          <w:sz w:val="20"/>
          <w:szCs w:val="20"/>
          <w:lang w:val="en-US"/>
        </w:rPr>
      </w:pPr>
    </w:p>
    <w:p w14:paraId="1892392A" w14:textId="2EDFF9D4" w:rsidR="007F03EB" w:rsidRPr="00164238" w:rsidRDefault="007F03EB" w:rsidP="007F03EB">
      <w:pPr>
        <w:autoSpaceDE w:val="0"/>
        <w:autoSpaceDN w:val="0"/>
        <w:adjustRightInd w:val="0"/>
        <w:spacing w:before="120"/>
        <w:ind w:left="709" w:hanging="709"/>
        <w:jc w:val="both"/>
        <w:rPr>
          <w:rFonts w:ascii="Times New Roman" w:eastAsia="Calibri" w:hAnsi="Times New Roman" w:cs="Times New Roman"/>
          <w:color w:val="000000" w:themeColor="text1"/>
          <w:sz w:val="20"/>
          <w:szCs w:val="20"/>
        </w:rPr>
      </w:pPr>
    </w:p>
    <w:p w14:paraId="61800551" w14:textId="0D1F0061" w:rsidR="00686ACB" w:rsidRPr="00164238" w:rsidRDefault="00686ACB" w:rsidP="007F03EB">
      <w:pPr>
        <w:autoSpaceDE w:val="0"/>
        <w:autoSpaceDN w:val="0"/>
        <w:adjustRightInd w:val="0"/>
        <w:spacing w:before="120"/>
        <w:ind w:left="709" w:hanging="709"/>
        <w:jc w:val="both"/>
        <w:rPr>
          <w:rFonts w:ascii="Times New Roman" w:eastAsia="Calibri" w:hAnsi="Times New Roman" w:cs="Times New Roman"/>
          <w:color w:val="000000" w:themeColor="text1"/>
          <w:sz w:val="20"/>
          <w:szCs w:val="20"/>
        </w:rPr>
      </w:pPr>
    </w:p>
    <w:p w14:paraId="795E403C" w14:textId="43AC382C" w:rsidR="00686ACB" w:rsidRPr="00164238" w:rsidRDefault="00686ACB" w:rsidP="007F03EB">
      <w:pPr>
        <w:autoSpaceDE w:val="0"/>
        <w:autoSpaceDN w:val="0"/>
        <w:adjustRightInd w:val="0"/>
        <w:spacing w:before="120"/>
        <w:ind w:left="709" w:hanging="709"/>
        <w:jc w:val="both"/>
        <w:rPr>
          <w:rFonts w:ascii="Times New Roman" w:eastAsia="Calibri" w:hAnsi="Times New Roman" w:cs="Times New Roman"/>
          <w:color w:val="000000" w:themeColor="text1"/>
          <w:sz w:val="20"/>
          <w:szCs w:val="20"/>
        </w:rPr>
      </w:pPr>
    </w:p>
    <w:p w14:paraId="40F3C674" w14:textId="0E9FC5C3" w:rsidR="00686ACB" w:rsidRPr="00164238" w:rsidRDefault="00686ACB" w:rsidP="007F03EB">
      <w:pPr>
        <w:autoSpaceDE w:val="0"/>
        <w:autoSpaceDN w:val="0"/>
        <w:adjustRightInd w:val="0"/>
        <w:spacing w:before="120"/>
        <w:ind w:left="709" w:hanging="709"/>
        <w:jc w:val="both"/>
        <w:rPr>
          <w:rFonts w:ascii="Times New Roman" w:eastAsia="Calibri" w:hAnsi="Times New Roman" w:cs="Times New Roman"/>
          <w:color w:val="000000" w:themeColor="text1"/>
          <w:sz w:val="20"/>
          <w:szCs w:val="20"/>
        </w:rPr>
      </w:pPr>
    </w:p>
    <w:p w14:paraId="22727407" w14:textId="749A86BA" w:rsidR="00686ACB" w:rsidRPr="00164238" w:rsidRDefault="00686ACB" w:rsidP="007F03EB">
      <w:pPr>
        <w:autoSpaceDE w:val="0"/>
        <w:autoSpaceDN w:val="0"/>
        <w:adjustRightInd w:val="0"/>
        <w:spacing w:before="120"/>
        <w:ind w:left="709" w:hanging="709"/>
        <w:jc w:val="both"/>
        <w:rPr>
          <w:rFonts w:ascii="Times New Roman" w:eastAsia="Calibri" w:hAnsi="Times New Roman" w:cs="Times New Roman"/>
          <w:color w:val="000000" w:themeColor="text1"/>
          <w:sz w:val="20"/>
          <w:szCs w:val="20"/>
        </w:rPr>
      </w:pPr>
    </w:p>
    <w:p w14:paraId="2157EA69" w14:textId="77777777" w:rsidR="006A4DC2" w:rsidRDefault="006A4DC2" w:rsidP="00A31B11">
      <w:pPr>
        <w:pStyle w:val="KonuBal"/>
        <w:spacing w:before="1440" w:after="600"/>
        <w:outlineLvl w:val="0"/>
        <w:rPr>
          <w:color w:val="000000" w:themeColor="text1"/>
          <w:sz w:val="24"/>
          <w:lang w:val="tr-TR"/>
        </w:rPr>
      </w:pPr>
    </w:p>
    <w:p w14:paraId="04B02605" w14:textId="77777777" w:rsidR="006A4DC2" w:rsidRDefault="006A4DC2" w:rsidP="00A31B11">
      <w:pPr>
        <w:pStyle w:val="KonuBal"/>
        <w:spacing w:before="1440" w:after="600"/>
        <w:outlineLvl w:val="0"/>
        <w:rPr>
          <w:color w:val="000000" w:themeColor="text1"/>
          <w:sz w:val="24"/>
          <w:lang w:val="tr-TR"/>
        </w:rPr>
      </w:pPr>
    </w:p>
    <w:p w14:paraId="7FC77AE6" w14:textId="07C08D31" w:rsidR="006A4DC2" w:rsidRDefault="006A4DC2" w:rsidP="00A31B11">
      <w:pPr>
        <w:pStyle w:val="KonuBal"/>
        <w:spacing w:before="1440" w:after="600"/>
        <w:outlineLvl w:val="0"/>
        <w:rPr>
          <w:color w:val="000000" w:themeColor="text1"/>
          <w:sz w:val="24"/>
          <w:lang w:val="tr-TR"/>
        </w:rPr>
      </w:pPr>
    </w:p>
    <w:p w14:paraId="00F53598" w14:textId="3266B9AB" w:rsidR="00856481" w:rsidRDefault="00856481" w:rsidP="00A31B11">
      <w:pPr>
        <w:pStyle w:val="KonuBal"/>
        <w:spacing w:before="1440" w:after="600"/>
        <w:outlineLvl w:val="0"/>
        <w:rPr>
          <w:color w:val="000000" w:themeColor="text1"/>
          <w:sz w:val="24"/>
          <w:lang w:val="tr-TR"/>
        </w:rPr>
      </w:pPr>
    </w:p>
    <w:p w14:paraId="29EDAC30" w14:textId="5CD88281" w:rsidR="00856481" w:rsidRDefault="00856481" w:rsidP="00A31B11">
      <w:pPr>
        <w:pStyle w:val="KonuBal"/>
        <w:spacing w:before="1440" w:after="600"/>
        <w:outlineLvl w:val="0"/>
        <w:rPr>
          <w:color w:val="000000" w:themeColor="text1"/>
          <w:sz w:val="24"/>
          <w:lang w:val="tr-TR"/>
        </w:rPr>
      </w:pPr>
    </w:p>
    <w:p w14:paraId="79137E47" w14:textId="77777777" w:rsidR="00856481" w:rsidRDefault="00856481" w:rsidP="00A31B11">
      <w:pPr>
        <w:pStyle w:val="KonuBal"/>
        <w:spacing w:before="1440" w:after="600"/>
        <w:outlineLvl w:val="0"/>
        <w:rPr>
          <w:color w:val="000000" w:themeColor="text1"/>
          <w:sz w:val="24"/>
          <w:lang w:val="tr-TR"/>
        </w:rPr>
      </w:pPr>
    </w:p>
    <w:p w14:paraId="2DECE9CE" w14:textId="0312CC3F" w:rsidR="00592ED9" w:rsidRPr="00164238" w:rsidRDefault="00A31B11" w:rsidP="00A31B11">
      <w:pPr>
        <w:pStyle w:val="KonuBal"/>
        <w:spacing w:before="1440" w:after="600"/>
        <w:outlineLvl w:val="0"/>
        <w:rPr>
          <w:color w:val="000000" w:themeColor="text1"/>
          <w:sz w:val="24"/>
          <w:lang w:val="tr-TR"/>
        </w:rPr>
      </w:pPr>
      <w:bookmarkStart w:id="134" w:name="_Toc72961720"/>
      <w:r w:rsidRPr="00164238">
        <w:rPr>
          <w:color w:val="000000" w:themeColor="text1"/>
          <w:sz w:val="24"/>
          <w:lang w:val="tr-TR"/>
        </w:rPr>
        <w:lastRenderedPageBreak/>
        <w:t>COVİD-19 SALGINI SÜRESİNCE DEĞİŞEN ENERJİ TÜKETİMİ ALIŞKANLIKLARI VE ÇEVRE ÜZERİNDEKİ ETKİLERİ</w:t>
      </w:r>
      <w:bookmarkEnd w:id="134"/>
    </w:p>
    <w:p w14:paraId="189BFD0A" w14:textId="77777777" w:rsidR="00A31B11" w:rsidRPr="00164238" w:rsidRDefault="00A31B11" w:rsidP="00A31B11">
      <w:pPr>
        <w:pStyle w:val="Balk2"/>
        <w:rPr>
          <w:rFonts w:ascii="Times New Roman" w:eastAsia="Arial" w:hAnsi="Times New Roman" w:cs="Times New Roman"/>
          <w:i w:val="0"/>
          <w:color w:val="000000" w:themeColor="text1"/>
          <w:sz w:val="20"/>
          <w:szCs w:val="20"/>
        </w:rPr>
      </w:pPr>
      <w:bookmarkStart w:id="135" w:name="_Toc72961721"/>
      <w:r w:rsidRPr="00164238">
        <w:rPr>
          <w:rStyle w:val="Balk2Char"/>
          <w:rFonts w:ascii="Times New Roman" w:hAnsi="Times New Roman" w:cs="Times New Roman"/>
          <w:color w:val="000000" w:themeColor="text1"/>
          <w:sz w:val="20"/>
          <w:szCs w:val="20"/>
        </w:rPr>
        <w:t>Ece KOÇAK</w:t>
      </w:r>
      <w:r w:rsidRPr="00164238">
        <w:rPr>
          <w:rFonts w:ascii="Times New Roman" w:eastAsia="Arial" w:hAnsi="Times New Roman" w:cs="Times New Roman"/>
          <w:color w:val="000000" w:themeColor="text1"/>
          <w:sz w:val="20"/>
          <w:szCs w:val="20"/>
        </w:rPr>
        <w:t xml:space="preserve">, </w:t>
      </w:r>
      <w:r w:rsidRPr="00164238">
        <w:rPr>
          <w:rFonts w:ascii="Times New Roman" w:eastAsia="Arial" w:hAnsi="Times New Roman" w:cs="Times New Roman"/>
          <w:b w:val="0"/>
          <w:color w:val="000000" w:themeColor="text1"/>
          <w:sz w:val="20"/>
          <w:szCs w:val="20"/>
        </w:rPr>
        <w:t>Ankara Hacı Bayram Veli Üniversitesi, Lisansüstü Eğitim Enstitüsü, Ankara, Türkiye</w:t>
      </w:r>
      <w:bookmarkEnd w:id="135"/>
    </w:p>
    <w:p w14:paraId="33472C12" w14:textId="77777777" w:rsidR="00A31B11" w:rsidRPr="00164238" w:rsidRDefault="00A31B11" w:rsidP="00A31B11">
      <w:pPr>
        <w:jc w:val="both"/>
        <w:rPr>
          <w:rFonts w:ascii="Times New Roman" w:hAnsi="Times New Roman" w:cs="Times New Roman"/>
          <w:color w:val="000000" w:themeColor="text1"/>
          <w:sz w:val="20"/>
          <w:szCs w:val="20"/>
        </w:rPr>
      </w:pPr>
      <w:r w:rsidRPr="00164238">
        <w:rPr>
          <w:rFonts w:ascii="Times New Roman" w:eastAsia="Arial" w:hAnsi="Times New Roman" w:cs="Times New Roman"/>
          <w:i/>
          <w:color w:val="000000" w:themeColor="text1"/>
          <w:sz w:val="20"/>
          <w:szCs w:val="20"/>
        </w:rPr>
        <w:t xml:space="preserve">e-mail: </w:t>
      </w:r>
      <w:hyperlink r:id="rId227" w:history="1">
        <w:r w:rsidRPr="00164238">
          <w:rPr>
            <w:rStyle w:val="Kpr"/>
            <w:rFonts w:ascii="Times New Roman" w:eastAsia="Arial" w:hAnsi="Times New Roman" w:cs="Times New Roman"/>
            <w:i/>
            <w:color w:val="000000" w:themeColor="text1"/>
            <w:sz w:val="20"/>
            <w:szCs w:val="20"/>
          </w:rPr>
          <w:t>ece.kocak@hbv.edu.tr</w:t>
        </w:r>
      </w:hyperlink>
      <w:r w:rsidRPr="00164238">
        <w:rPr>
          <w:rFonts w:ascii="Times New Roman" w:eastAsia="Arial" w:hAnsi="Times New Roman" w:cs="Times New Roman"/>
          <w:i/>
          <w:color w:val="000000" w:themeColor="text1"/>
          <w:sz w:val="20"/>
          <w:szCs w:val="20"/>
        </w:rPr>
        <w:t xml:space="preserve"> ORCID ID: </w:t>
      </w:r>
      <w:r w:rsidRPr="00164238">
        <w:rPr>
          <w:rFonts w:ascii="Times New Roman" w:hAnsi="Times New Roman" w:cs="Times New Roman"/>
          <w:color w:val="000000" w:themeColor="text1"/>
          <w:sz w:val="20"/>
          <w:szCs w:val="20"/>
          <w:shd w:val="clear" w:color="auto" w:fill="FFFFFF"/>
        </w:rPr>
        <w:t>0000-0003-2131-2305</w:t>
      </w:r>
    </w:p>
    <w:p w14:paraId="4C72744C" w14:textId="77777777" w:rsidR="00A31B11" w:rsidRPr="00164238" w:rsidRDefault="00A31B11" w:rsidP="00A31B11">
      <w:pPr>
        <w:jc w:val="both"/>
        <w:rPr>
          <w:rFonts w:ascii="Times New Roman" w:hAnsi="Times New Roman" w:cs="Times New Roman"/>
          <w:color w:val="000000" w:themeColor="text1"/>
          <w:sz w:val="20"/>
          <w:szCs w:val="20"/>
        </w:rPr>
      </w:pPr>
    </w:p>
    <w:p w14:paraId="00492788" w14:textId="17A25B6C" w:rsidR="00A31B11" w:rsidRPr="00164238" w:rsidRDefault="00A31B11" w:rsidP="00A31B11">
      <w:pPr>
        <w:pStyle w:val="Balk2"/>
        <w:rPr>
          <w:rFonts w:ascii="Times New Roman" w:eastAsia="Arial" w:hAnsi="Times New Roman" w:cs="Times New Roman"/>
          <w:color w:val="000000" w:themeColor="text1"/>
          <w:sz w:val="20"/>
          <w:szCs w:val="20"/>
        </w:rPr>
      </w:pPr>
      <w:bookmarkStart w:id="136" w:name="_Toc72961722"/>
      <w:r w:rsidRPr="00164238">
        <w:rPr>
          <w:rStyle w:val="Balk2Char"/>
          <w:rFonts w:ascii="Times New Roman" w:hAnsi="Times New Roman" w:cs="Times New Roman"/>
          <w:color w:val="000000" w:themeColor="text1"/>
          <w:sz w:val="20"/>
          <w:szCs w:val="20"/>
        </w:rPr>
        <w:t>Prof. Dr. Belgin AYDINTAN</w:t>
      </w:r>
      <w:r w:rsidRPr="00164238">
        <w:rPr>
          <w:rFonts w:ascii="Times New Roman" w:eastAsia="Arial" w:hAnsi="Times New Roman" w:cs="Times New Roman"/>
          <w:b w:val="0"/>
          <w:color w:val="000000" w:themeColor="text1"/>
          <w:sz w:val="20"/>
          <w:szCs w:val="20"/>
        </w:rPr>
        <w:t>, Ankara Hacı Bayram Veli Üniversitesi, İktisadi ve İdari Bilimler Fakültesi, İşletme Bölümü, 06370, Ankara</w:t>
      </w:r>
      <w:bookmarkEnd w:id="136"/>
    </w:p>
    <w:p w14:paraId="117E3911" w14:textId="77777777" w:rsidR="00A31B11" w:rsidRPr="00164238" w:rsidRDefault="00A31B11" w:rsidP="00A31B11">
      <w:pPr>
        <w:jc w:val="both"/>
        <w:rPr>
          <w:rFonts w:ascii="Times New Roman" w:hAnsi="Times New Roman" w:cs="Times New Roman"/>
          <w:color w:val="000000" w:themeColor="text1"/>
          <w:sz w:val="20"/>
          <w:szCs w:val="20"/>
        </w:rPr>
      </w:pPr>
      <w:r w:rsidRPr="00164238">
        <w:rPr>
          <w:rFonts w:ascii="Times New Roman" w:eastAsia="Arial" w:hAnsi="Times New Roman" w:cs="Times New Roman"/>
          <w:i/>
          <w:color w:val="000000" w:themeColor="text1"/>
          <w:sz w:val="20"/>
          <w:szCs w:val="20"/>
        </w:rPr>
        <w:t>e-mail:</w:t>
      </w:r>
      <w:r w:rsidRPr="00164238">
        <w:rPr>
          <w:rFonts w:ascii="Times New Roman" w:eastAsia="Arial" w:hAnsi="Times New Roman" w:cs="Times New Roman"/>
          <w:color w:val="000000" w:themeColor="text1"/>
          <w:sz w:val="20"/>
          <w:szCs w:val="20"/>
          <w:u w:val="single"/>
        </w:rPr>
        <w:t>belgin.aydintan@hbv.edu.tr</w:t>
      </w:r>
      <w:r w:rsidRPr="00164238">
        <w:rPr>
          <w:rFonts w:ascii="Times New Roman" w:eastAsia="Arial" w:hAnsi="Times New Roman" w:cs="Times New Roman"/>
          <w:color w:val="000000" w:themeColor="text1"/>
          <w:sz w:val="20"/>
          <w:szCs w:val="20"/>
        </w:rPr>
        <w:t xml:space="preserve"> </w:t>
      </w:r>
      <w:r w:rsidRPr="00164238">
        <w:rPr>
          <w:rFonts w:ascii="Times New Roman" w:eastAsia="Arial" w:hAnsi="Times New Roman" w:cs="Times New Roman"/>
          <w:i/>
          <w:color w:val="000000" w:themeColor="text1"/>
          <w:sz w:val="20"/>
          <w:szCs w:val="20"/>
        </w:rPr>
        <w:t>ORCID ID:</w:t>
      </w:r>
      <w:r w:rsidRPr="00164238">
        <w:rPr>
          <w:rFonts w:ascii="Times New Roman" w:eastAsia="Arial" w:hAnsi="Times New Roman" w:cs="Times New Roman"/>
          <w:color w:val="000000" w:themeColor="text1"/>
          <w:sz w:val="20"/>
          <w:szCs w:val="20"/>
        </w:rPr>
        <w:t xml:space="preserve"> </w:t>
      </w:r>
      <w:r w:rsidRPr="00164238">
        <w:rPr>
          <w:rFonts w:ascii="Times New Roman" w:hAnsi="Times New Roman" w:cs="Times New Roman"/>
          <w:color w:val="000000" w:themeColor="text1"/>
          <w:sz w:val="20"/>
          <w:szCs w:val="20"/>
          <w:shd w:val="clear" w:color="auto" w:fill="FFFFFF"/>
        </w:rPr>
        <w:t>0000-0002-9057-4336</w:t>
      </w:r>
    </w:p>
    <w:p w14:paraId="46EBFE32" w14:textId="77777777" w:rsidR="00592ED9" w:rsidRPr="00164238" w:rsidRDefault="00592ED9" w:rsidP="00592ED9">
      <w:pPr>
        <w:tabs>
          <w:tab w:val="left" w:pos="426"/>
        </w:tabs>
        <w:spacing w:before="120" w:after="120"/>
        <w:ind w:firstLine="567"/>
        <w:jc w:val="both"/>
        <w:rPr>
          <w:rFonts w:ascii="Times New Roman" w:hAnsi="Times New Roman" w:cs="Times New Roman"/>
          <w:b/>
          <w:bCs/>
          <w:color w:val="000000" w:themeColor="text1"/>
        </w:rPr>
      </w:pPr>
      <w:r w:rsidRPr="00164238">
        <w:rPr>
          <w:rFonts w:ascii="Times New Roman" w:hAnsi="Times New Roman" w:cs="Times New Roman"/>
          <w:b/>
          <w:bCs/>
          <w:color w:val="000000" w:themeColor="text1"/>
        </w:rPr>
        <w:t>GİRİŞ</w:t>
      </w:r>
    </w:p>
    <w:p w14:paraId="6683AD5D" w14:textId="77777777" w:rsidR="00592ED9" w:rsidRPr="00164238" w:rsidRDefault="00592ED9" w:rsidP="00592ED9">
      <w:pPr>
        <w:tabs>
          <w:tab w:val="left" w:pos="426"/>
        </w:tabs>
        <w:spacing w:before="120" w:after="120"/>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2020 yılının Mart ayından itibaren Dünya Sağlık Örgütü tarafından pandemi olarak ilan edilen COVID-19 salgını, dünya genelinde hem ticari hem de gündelik hayata ilişkin köklü değişimler yaşanmasına sebep olmuştur. Pandemi sebebiyle yaşanan sağlık krizinin ticari anlamda tüketici talep yönetimi, işsizlik ve ekonomik durgunluk gibi sonuçları olduğu gözlemlenmiştir (Pedersen &amp; Ritten, 2020). Özellikle salgının yayılma hızı ile petrol fiyatlarında gözlemlenen ani azalma dünya ekonomisinin önemli sorunları arasında gösterilmektedir.</w:t>
      </w:r>
    </w:p>
    <w:p w14:paraId="649EA385" w14:textId="77777777" w:rsidR="00592ED9" w:rsidRPr="00164238" w:rsidRDefault="00592ED9" w:rsidP="00592ED9">
      <w:pPr>
        <w:tabs>
          <w:tab w:val="left" w:pos="426"/>
        </w:tabs>
        <w:spacing w:before="120" w:after="120"/>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Pandemi süresince global kapsamda her bir bireyin; çalışan veya işveren olarak toplumsal düzende üstlendikleri rolleri yerine getirmede yaşadıkları zorluklar literatürde yer alan çeşitli çalışmalara konu edilmektedir. Ticari faaliyetlerde yaşanan durgunluklar, uzaktan çalışma düzenine geçilmesi, kafe, restoran ve mağazaların belli dönemler boyunca kapalı tutulması gibi değişimler tüketicilerin bu koşullara uyum sağlamalarına ve öncekinden farklı tüketim alışkanlıkları geliştirmelerine sebep olmaktadır (Klemeš &amp; Jiang, 2020). Söz konusu alışkanlık değişimlerinin çevre üzerindeki olumlu veya olumsuz etkileri ise uluslararası çalışmalarca ele alınan konulardan biridir.</w:t>
      </w:r>
    </w:p>
    <w:p w14:paraId="34F4243F" w14:textId="77777777" w:rsidR="00592ED9" w:rsidRPr="00164238" w:rsidRDefault="00592ED9" w:rsidP="00592ED9">
      <w:pPr>
        <w:tabs>
          <w:tab w:val="left" w:pos="426"/>
        </w:tabs>
        <w:spacing w:before="120" w:after="120"/>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Tüketim alışkanlıkları değişimi kapsamında değerlendirilmesi gereken önemli hususlardan biri ise enerji tüketimi alışkanlıklarında gözlemlenen değişim ve bahse konu değişimin çevresel yansımalarıdır (Iqbal vd., 2020). Sürdürülebilirlik kavramının 1987 yılında imzalanan Brundtland Raporu ile küresel bir politika haline gelmesi (Kuhlman &amp; Farrington, 2010), hem endüstriyel hem de bireysel enerji tüketimlerinde gözlemlenen artışların çevre üzerindeki olumsuz etkilerine dikkat çekilmesini gerektirmektedir. Çeşitli sebeplerle dönem dönem artış veya azalış eğilimi gösteren küresel enerji talebinin incelenmesi sürdürülebilirlik hedeflerine ulaşabilme hususunda katkı sağlayıcı nitelikte olabilmektedir. </w:t>
      </w:r>
    </w:p>
    <w:p w14:paraId="151F5331" w14:textId="77777777" w:rsidR="00592ED9" w:rsidRPr="00164238" w:rsidRDefault="00592ED9" w:rsidP="00592ED9">
      <w:pPr>
        <w:tabs>
          <w:tab w:val="left" w:pos="426"/>
        </w:tabs>
        <w:spacing w:before="120" w:after="120"/>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Tüketicilerin uzaktan çalışma ve uzaktan eğitim düzenine geçiş sebepleriyle evlerinde daha çok vakit geçirmelerinin enerji tüketimlerinde de bir artışa sebep olduğu gözlemlenmiştir. Enerji tüketiminde gözlemlenen bu artışın kalıcı olması ihtimali üzerine, pazarlama biliminin sürdürülebilirliğe uygun şekilde tüketici davranışlarına etki edebilme imkanı göz önünde bulundurulmalıdır. Bu bağlamda çalışmanın amacı, pandemi süresince tüketicilerin enerji tüketimlerinde meydana gelen değişiklikleri ulusal ve uluslararası verilerden yararlanarak ortaya koymak ve bahse konu değişikliklerin çevresel etkilerinin azaltılabilmesi hususunda pazarlama bilimi kapsamında öneriler sunmaktır.</w:t>
      </w:r>
    </w:p>
    <w:p w14:paraId="6DC72B28" w14:textId="77777777" w:rsidR="00592ED9" w:rsidRPr="00164238" w:rsidRDefault="00592ED9" w:rsidP="00592ED9">
      <w:pPr>
        <w:tabs>
          <w:tab w:val="left" w:pos="426"/>
        </w:tabs>
        <w:spacing w:before="120" w:after="120"/>
        <w:ind w:left="567"/>
        <w:jc w:val="both"/>
        <w:rPr>
          <w:rFonts w:ascii="Times New Roman" w:hAnsi="Times New Roman" w:cs="Times New Roman"/>
          <w:b/>
          <w:bCs/>
          <w:color w:val="000000" w:themeColor="text1"/>
        </w:rPr>
      </w:pPr>
      <w:r w:rsidRPr="00164238">
        <w:rPr>
          <w:rFonts w:ascii="Times New Roman" w:hAnsi="Times New Roman" w:cs="Times New Roman"/>
          <w:b/>
          <w:bCs/>
          <w:color w:val="000000" w:themeColor="text1"/>
        </w:rPr>
        <w:t>ULUSLARARASI LİTERATÜRE GÖRE COVİD-19 SALGINI SÜRESİNCE DEĞİŞEN KÜRESEL ENERJİ TALEBİ VE HANE İÇİ ENERJİ TÜKETİMİ</w:t>
      </w:r>
    </w:p>
    <w:p w14:paraId="0CCF8BC1" w14:textId="77777777" w:rsidR="00592ED9" w:rsidRPr="00164238" w:rsidRDefault="00592ED9" w:rsidP="00592ED9">
      <w:pPr>
        <w:tabs>
          <w:tab w:val="left" w:pos="426"/>
        </w:tabs>
        <w:spacing w:before="120" w:after="120"/>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lastRenderedPageBreak/>
        <w:t>Pandemi sürecinin küresel kapsamda tüketicilerin gündelik yaşamlarını yaklaşık bir yıllık süre boyunca ciddi şekilde değiştirdiği ve rutin davranışlarında bazı değişikliklere sebep olduğu bilinmektedir (Çakıroğlu, Pirtini &amp; Çengel, 2020). Salgın sebebiyle ortaya çıkan uzaktan çalışma ve uzaktan eğitim gibi zorunlu değişiklikler ile karantina uygulamalarının bir süre daha gündemde kalacağı öngörülebildiğinden, bu koşulların enerji tüketimine, talebine ve çevresel sürdürülebilirlik üzerindeki etkilerine bakma ihtiyacı doğmaktadır.</w:t>
      </w:r>
    </w:p>
    <w:p w14:paraId="11312616" w14:textId="77777777" w:rsidR="00592ED9" w:rsidRPr="00164238" w:rsidRDefault="00592ED9" w:rsidP="00592ED9">
      <w:pPr>
        <w:tabs>
          <w:tab w:val="left" w:pos="426"/>
        </w:tabs>
        <w:spacing w:before="120" w:after="120"/>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Pandeminin enerji ve elektrik tedarik zinciri üzerindeki etkileri incelendiğinde, 2020 yılı için küresel kapsamda enerji talebinde %6’ya ulaşan bir azalma tespit edildiği, düşük karbonlu enerji kaynaklarına olan talebin artması ve petrol ve doğal gaz türevi enerji ürünlerine olan talebin düşmesi birlikte ele alındığında karbon emisyonu oranlarında %8’e varan bir azalma gözlemlendiği belirtilmektedir (Chen, Rubens,  Xu &amp; Lic, 2020). Bunun yanı sıra, enerji talebinde ve karbon emisyonunda gözlemlenen azalmaların özellikle pandemi sonrası süreçte gelişeceği öngörülen telafi edici düzenlemelerle birlikte artışa dönüşebileceği, karbon emisyonu oranlarında %6’ya yakın bir artışın yaşanabileceği de ifade edilmektedir. Aynı çalışmada, global endüstriyel ağda COVID-19’un etkilerinin giderilmesine ve ticari hayatın canlandırılmasına daha fazla odaklanıldığından sürdürülebilirlik hedeflerine ve yeşil gelişim programlarına yatırımların azalması sebebiyle karbon emisyonu oranlarında bir artış yaşanabileceği de vurgulanmıştır.</w:t>
      </w:r>
    </w:p>
    <w:p w14:paraId="258ECB99" w14:textId="77777777" w:rsidR="00592ED9" w:rsidRPr="00164238" w:rsidRDefault="00592ED9" w:rsidP="00592ED9">
      <w:pPr>
        <w:tabs>
          <w:tab w:val="left" w:pos="426"/>
        </w:tabs>
        <w:spacing w:before="120" w:after="120"/>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Enerji talebinde yaşanan azalmaları bireylerin günlük aktiviteleri üzerinden ele alan bir diğer çalışmada ise (Jiang, Fan &amp; Klemeš, 2021); özellikle karantina süreçlerinde bireylerin şehirler veya ülkeler arası seyahatlerinin kısıtlanması ve ekonomik aktivitelerinin sosyal aktivitelerindeki kısıtlanmaya bağlı şekilde düşmesinden dolayı endüstriyel enerji talebinde ciddi bir düşüş gözlemlendiği ifade edilmiştir. 2020 yılının Temmuz ayındaki verilerde ise, geçen yıla kıyasla bu dönemde elektrik tüketiminde %10 civarında azalma yaşanan ülkeler arasında Fransa, Almanya, İtalya, İspanya, İngiltere, Çin ve Hindistan bulunmaktadır. 2020 yılının ilk çeyreği 2019 yılının aynı dönemi ile karşılaştırıldığında Çin, Amerika Birleşik Devletleri ile Avrupa ülkelerinde ise doğal gaz talebinde elektrik talebinde olduğu gibi %2 oranında bir azalma görüldüğü belirtilmiştir (Mofijur vd., 2020).</w:t>
      </w:r>
    </w:p>
    <w:p w14:paraId="7225697F" w14:textId="77777777" w:rsidR="00592ED9" w:rsidRPr="00164238" w:rsidRDefault="00592ED9" w:rsidP="00592ED9">
      <w:pPr>
        <w:tabs>
          <w:tab w:val="left" w:pos="426"/>
        </w:tabs>
        <w:spacing w:before="120" w:after="120"/>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Pandemi sürecinin atık yönetimi ve çevresel iyileşme üzerindeki etkilerini ortaya koyan bir diğer çalışmada (Saadat, Rawtani &amp; Hussain, 2020); 2019 yılının Ağustos ayı ile karşılaştırıldığında 2020 yılı Ağustos ayında Amerika Birleşik Devletleri’nin New York şehrindeki hava kirliliği oranında %50’ye varan bir azalma yaşandığı, Çin’de ise kömür kullanım miktarının %40 oranında azaldığı belirtilmiştir. Karantina uygulamalarının 25 Mart 2020 tarihinde başladığı ve 4 Mayıs 2020 tarihinde sona erdiği Hindistan’da toplam enerji talebindeki azalmanın %30 olduğu, benzer şekilde 17 Mart ile 11 Mayıs 2020 tarihleri arasında karantina uygulanan Fransa’da toplam elektrik talebinde %6 ile %12 arasında bir azalma gerçekleştiği kayıt altına alınmıştır (Mofijur vd., 2020).</w:t>
      </w:r>
    </w:p>
    <w:p w14:paraId="204D20D4" w14:textId="77777777" w:rsidR="00592ED9" w:rsidRPr="00164238" w:rsidRDefault="00592ED9" w:rsidP="00592ED9">
      <w:pPr>
        <w:tabs>
          <w:tab w:val="left" w:pos="426"/>
        </w:tabs>
        <w:spacing w:before="120" w:after="120"/>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Covid-19 salgınının enerji sektörü ve tüketimi üzerine etkilerini inceleyen daha fazla araştırmaya ihtiyaç bulunduğuna vurgu yapan bir çalışmaya göre (Eroğlu, 2020); salgın süresince karantina uygulamalarının emisyon oranları ve sürdürülebilirlik alanlarında iyileşmeye neden olduğu ancak pek çok ülkenin pandemi sonrası süreçte telafi edici yaklaşımlar sebebiyle bazı çevresel sonuçlarla yüzleşmek durumunda kalabilecekleri belirtilmiştir. Buna göre; virüsün çevre ve endüstri üzerinden doğrudan etkisi olmasa da bireylerin faaliyetlerini ve enerji tüketimlerini etkilemek suretiyle dolaylı bir etkisinin bulunduğu, Çin ve İtalya gibi ülkeler başta olmak üzere karantina uygulamaları sebebiyle gelen kısıtlamaların karbon emisyonu oranları üzerinde olumlu bir etkisinin gözlemlendiği ifade edilmiş ancak bu etkilerin kısa süreli olabileceğinin de altı </w:t>
      </w:r>
      <w:r w:rsidRPr="00164238">
        <w:rPr>
          <w:rFonts w:ascii="Times New Roman" w:hAnsi="Times New Roman" w:cs="Times New Roman"/>
          <w:bCs/>
          <w:color w:val="000000" w:themeColor="text1"/>
        </w:rPr>
        <w:lastRenderedPageBreak/>
        <w:t>çizilmiştir. Karantina uygulamalarının bireylerin hareketliliğini kısıtlayarak daha az hava ve kara yolu ulaşımı kullanmalarına dolayısıyla daha az enerji tükettiklerine, buna karşın evde geçirdikleri zamanın artması nedeniyle hane içinde daha fazla enerji tükettiklerine de dikkat çekilmektedir (Mofijur vd., 2020).</w:t>
      </w:r>
    </w:p>
    <w:p w14:paraId="49F129E0" w14:textId="77777777" w:rsidR="00592ED9" w:rsidRPr="00164238" w:rsidRDefault="00592ED9" w:rsidP="00592ED9">
      <w:pPr>
        <w:tabs>
          <w:tab w:val="left" w:pos="426"/>
        </w:tabs>
        <w:spacing w:before="120" w:after="120"/>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Pandemi sonrası sürecin enerji sektörü için daha belirleyici olacağını ifade eden bir diğer çalışmada ise değişen tüketim alışkanlıklarının tüketicilerin yaşam koşulları üzerinde belirleyici hale geleceği ve bu durumun yansımalarının enerji sektörü açısından avantajlı olduğu kadar dezavantajlı da olabileceği belirtilmiştir (Klemeš, Fan &amp; Jiang, 2020). Örneğin; 2020 yılında İspanya’da gerçekleştirilen ve pandemi sürecinin elektrik talebi ve tüketim saatlerine etkisini inceleyen bir çalışmada; geçen yılın aynı dönemine kıyasla 14 Mart ile 30 Nisan tarihleri arasında toplam enerji tüketiminin %13,49 azaldığı ve tüketicilerin günlük elektrik tüketimlerinin sabah ve akşam saatlerine yoğunlaşmaya başladığı, bu durumun enerji tedarikçileri açısından talep tahmini açısından zorluk yarattığı belirtilmiştir (Santiago, Moreno-Munoz, Quintero-Jiménez, Garcia-Torres &amp; Gonzalez-Redondo, 2021). Bu nedenle, pek çok endüstriyel alanda olduğu gibi, enerji sektörü alanındaki yöneticiler de pandemi sonrası süreç ile ilgili bir talep belirsizliği ile karşı karşıya olduklarından, pazarlama biliminin tüketici davranışlarına etkide bulunabilme fonksiyonunun işlevsellik göstermesine ihtiyaç bulunduğu düşünülmektedir. </w:t>
      </w:r>
    </w:p>
    <w:p w14:paraId="43E04D71" w14:textId="77777777" w:rsidR="00592ED9" w:rsidRPr="00164238" w:rsidRDefault="00592ED9" w:rsidP="00592ED9">
      <w:pPr>
        <w:tabs>
          <w:tab w:val="left" w:pos="426"/>
        </w:tabs>
        <w:spacing w:before="120" w:after="120"/>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2020 yılında Çin’deki doğal kaynak tüketimlerinin karbon emisyonu üzerindeki etkileri ve izlenmesi gerekli sürdürülebilirlik politikalarının incelendiği araştırmada (Wang, Lu, Bai &amp; Wang, 2020); tarihteki diğer kriz durumlarındaki emisyon oranlarına dikkat çekilerek Covid-19 süreci ve sonrasındaki çevresel hedeflerin belirlenmesi gerekliliği vurgulanmaktadır. 2008 yılında yaşanan ekonomik kriz süresince karbon emisyonunun günümüzdekine benzer şekilde azalma gösterdiği ancak kriz sonrası süreci kapsayan 2010 yılında %6 oranında tekrar artış gösterdiği belirtilmiş, dolayısıyla tüm ülkelerin kriz sırasındaki çevresel iyileşmeyi koruyabilmelerinin ancak kriz sonrasındaki çevresel yaptırım ve stratejilerle mümkün olabileceği belirtilmiştir. </w:t>
      </w:r>
    </w:p>
    <w:p w14:paraId="0F07C471" w14:textId="77777777" w:rsidR="00592ED9" w:rsidRPr="00164238" w:rsidRDefault="00592ED9" w:rsidP="00592ED9">
      <w:pPr>
        <w:tabs>
          <w:tab w:val="left" w:pos="426"/>
        </w:tabs>
        <w:spacing w:before="120" w:after="120"/>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2020 yılında Amerika Birleşik Devletleri’nin New York şehrinde hane içi enerji tüketicilerinin pandemi sürecinin çevresel etkilerine ve enerji tüketimi algılarına yönelik olarak gerçekleştirilen bir araştırmada (Chen, Rubens, Xu &amp; Lic, 2020); katılımcıların %34,2’sinin iklim değişikliği konusunda pandemi öncesi sürece göre iyileşme kaydedildiği izleniminde olduğu, buna karşın %43,70’inin ise iklim değişikliği hususunda herhangi bir iyileşme gerçekleşmediğini düşündükleri belirtilmiştir. Katılımcıların %22,10’u ise iklim değişikliği konusunda pandemi öncesi süreçten daha olumsuz bir durumun mevcut olduğunu düşündükleri ifade edilmiştir. Aynı çalışmada, katılımcılardan elektrik tüketimlerini pandemi öncesi süreç ile karşılaştırmaları istenmiş ve katılımcıların %48,30’unun pandemi sürecinde daha fazla elektrik tükettiklerini ifade ettikleri görülmüştür. Çalışmanın sonucunda pandemi öncesi sürece kıyasla daha fazla elektrik tükettiklerini belirten tüketici grubunun aynı zamanda iklim değişikliği hususunda iyileşme kaydedildiğini düşündükleri belirtilmiştir. Bu sonucun, enerji tüketicilerinin karantina süreçleri boyunca ticari faaliyetlerde yaşanan kısıtlama ve ulaşım faaliyetlerinde gözlemlenen azalma gibi sebeplerle küresel ısınma hususunda bir iyileşme izlenimine sahip olabileceklerini, böylece elektrik tüketimlerindeki artışın olası etkilerini göremeyebileceklerini ortaya koyduğu düşünülmektedir. </w:t>
      </w:r>
    </w:p>
    <w:p w14:paraId="3807D51B" w14:textId="77777777" w:rsidR="00592ED9" w:rsidRPr="00164238" w:rsidRDefault="00592ED9" w:rsidP="00592ED9">
      <w:pPr>
        <w:tabs>
          <w:tab w:val="left" w:pos="426"/>
        </w:tabs>
        <w:spacing w:before="120" w:after="120"/>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Dolayısıyla gerek uzaktan çalışma gerekse de uzaktan eğitim uygulamalarının pandeminin seyrine göre değişebileceği göz önünde tutulduğunda hane içi bireysel enerji tüketimlerinin kontrol altına alınması gerekliliğinin ortaya çıktığı düşünülmektedir. </w:t>
      </w:r>
    </w:p>
    <w:p w14:paraId="1F872D2D" w14:textId="77777777" w:rsidR="00592ED9" w:rsidRPr="00164238" w:rsidRDefault="00592ED9" w:rsidP="00592ED9">
      <w:pPr>
        <w:tabs>
          <w:tab w:val="left" w:pos="426"/>
        </w:tabs>
        <w:spacing w:before="120" w:after="120"/>
        <w:ind w:left="567"/>
        <w:jc w:val="both"/>
        <w:rPr>
          <w:rFonts w:ascii="Times New Roman" w:hAnsi="Times New Roman" w:cs="Times New Roman"/>
          <w:b/>
          <w:bCs/>
          <w:color w:val="000000" w:themeColor="text1"/>
        </w:rPr>
      </w:pPr>
      <w:r w:rsidRPr="00164238">
        <w:rPr>
          <w:rFonts w:ascii="Times New Roman" w:hAnsi="Times New Roman" w:cs="Times New Roman"/>
          <w:b/>
          <w:bCs/>
          <w:color w:val="000000" w:themeColor="text1"/>
        </w:rPr>
        <w:lastRenderedPageBreak/>
        <w:t>PANDEMİ SÜRECİNİN ENERJİ PİYASALARINA ETKİLERİ BAKIMINDAN TÜRKİYE’NİN ENERJİ TÜKETİMİ VERİLERİ</w:t>
      </w:r>
    </w:p>
    <w:p w14:paraId="1FDCCBF3" w14:textId="77777777" w:rsidR="00592ED9" w:rsidRPr="00164238" w:rsidRDefault="00592ED9" w:rsidP="00592ED9">
      <w:pPr>
        <w:tabs>
          <w:tab w:val="left" w:pos="426"/>
        </w:tabs>
        <w:spacing w:before="120" w:after="120"/>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Uluslararası literatürde yer alan araştırma verilerinin yanı sıra ulusal verilere bakıldığında; Türkiye’nin Covid-19 süresince alışveriş, eğlence, iş yeri ve ev ortamı hareketliliklerine yönelik 2020 yılına ilişkin bir istatistiğe göre (Kayabaşı, 2020); toplu taşıma hareketliliğinde %71 ve iş yerleri hareketliliğinde %45 oranlarında bir azalma gözlemlendiği ancak ev ortamı hareketliliğinde ise %17’lik bir artış yaşandığı ortaya koyulmuştur. Bu sonuçlar; tüketicilerin perakendeden ziyade online alışverişe yönelmelerini ve uzaktan eğitim veya çalışma gibi koşullar sebebiyle evlerinde daha fazla vakit geçirmelerini açıklar niteliktedir. </w:t>
      </w:r>
    </w:p>
    <w:p w14:paraId="7488F062" w14:textId="77777777" w:rsidR="00592ED9" w:rsidRPr="00164238" w:rsidRDefault="00592ED9" w:rsidP="00592ED9">
      <w:pPr>
        <w:tabs>
          <w:tab w:val="left" w:pos="426"/>
        </w:tabs>
        <w:spacing w:before="120" w:after="120"/>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Bireylerin hane içi aktivitelerinin artmış olması ve alışveriş alışkanlıklarında bazı değişimler görülmesi, Türkiye’nin hane içi enerji tüketim oranlarına da yansımaktadır. Örneğin; Acar ve Saygın (2020) tarafından ortaya koyulan “Covid-19 Döneminde Dünyada ve Türkiye’de Enerji Dönüşümüne Bakış” isimli raporda yer alan 2019-2020 yılı haftalık elektrik tüketimi karşılaştırma grafiği incelendiğinde, Ağustos ve Eylül aylarında 2019 yılına kıyasla 2020 yılında toplam elektrik tüketimi miktarında bir artış eğilimi görüldüğü söylenebilmektedir. </w:t>
      </w:r>
    </w:p>
    <w:p w14:paraId="447AC7E7" w14:textId="77777777" w:rsidR="00592ED9" w:rsidRPr="00164238" w:rsidRDefault="00592ED9" w:rsidP="00592ED9">
      <w:pPr>
        <w:tabs>
          <w:tab w:val="left" w:pos="426"/>
        </w:tabs>
        <w:spacing w:before="120" w:after="120"/>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Benzer şekilde Enerji Piyasaları Düzenleme Kurulu (EPDK) tarafından hazırlanan 2020 yılı Aralık ayı Türkiye Elektrik Piyasası Sektör Raporu istatistiklerinde ifade edildiği üzere faturalanan elektrik tüketiminin tüketici bazında dönemsel karşılaştırılması sonucunda 2019 Aralık ayına kıyasla 2020 Aralık ayında mesken elektrik tüketiminin yüzde 13,88 artması gösterilebilir. </w:t>
      </w:r>
    </w:p>
    <w:p w14:paraId="3553BCC4" w14:textId="77777777" w:rsidR="00592ED9" w:rsidRPr="00164238" w:rsidRDefault="00592ED9" w:rsidP="00592ED9">
      <w:pPr>
        <w:tabs>
          <w:tab w:val="left" w:pos="426"/>
        </w:tabs>
        <w:spacing w:before="120" w:after="120"/>
        <w:ind w:firstLine="567"/>
        <w:jc w:val="both"/>
        <w:rPr>
          <w:rFonts w:ascii="Times New Roman" w:hAnsi="Times New Roman" w:cs="Times New Roman"/>
          <w:bCs/>
          <w:i/>
          <w:color w:val="000000" w:themeColor="text1"/>
        </w:rPr>
      </w:pPr>
      <w:r w:rsidRPr="00164238">
        <w:rPr>
          <w:rFonts w:ascii="Times New Roman" w:hAnsi="Times New Roman" w:cs="Times New Roman"/>
          <w:bCs/>
          <w:i/>
          <w:color w:val="000000" w:themeColor="text1"/>
        </w:rPr>
        <w:t>Tablo 1. EPDK 2020 yılı Aralık Ayı Türkiye Elektrik Piyasası Sektör Raporu / Faturalanan Elektrik Tüketiminin Tüketici Türü Bazında Dağılımının Dönemler Arası Karşılaştırılması (MWh-%)</w:t>
      </w:r>
    </w:p>
    <w:tbl>
      <w:tblPr>
        <w:tblStyle w:val="TabloKlavuzu"/>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33"/>
        <w:gridCol w:w="1451"/>
        <w:gridCol w:w="1055"/>
        <w:gridCol w:w="1451"/>
        <w:gridCol w:w="1055"/>
        <w:gridCol w:w="1760"/>
      </w:tblGrid>
      <w:tr w:rsidR="00164238" w:rsidRPr="00452A49" w14:paraId="3F8CA0D6" w14:textId="77777777" w:rsidTr="00592ED9">
        <w:tc>
          <w:tcPr>
            <w:tcW w:w="1931" w:type="dxa"/>
            <w:tcBorders>
              <w:top w:val="single" w:sz="4" w:space="0" w:color="auto"/>
              <w:left w:val="nil"/>
              <w:bottom w:val="single" w:sz="4" w:space="0" w:color="auto"/>
              <w:right w:val="nil"/>
            </w:tcBorders>
          </w:tcPr>
          <w:p w14:paraId="2E1E99F1" w14:textId="7A65D1C0" w:rsidR="00592ED9" w:rsidRPr="00452A49" w:rsidRDefault="00592ED9">
            <w:pPr>
              <w:spacing w:before="120" w:after="120"/>
              <w:jc w:val="center"/>
              <w:rPr>
                <w:rFonts w:ascii="Times New Roman" w:hAnsi="Times New Roman" w:cs="Times New Roman"/>
                <w:b/>
                <w:bCs/>
                <w:color w:val="000000" w:themeColor="text1"/>
                <w:sz w:val="20"/>
                <w:szCs w:val="20"/>
                <w:lang w:val="en-US"/>
              </w:rPr>
            </w:pPr>
            <w:r w:rsidRPr="00452A49">
              <w:rPr>
                <w:rFonts w:ascii="Times New Roman" w:hAnsi="Times New Roman" w:cs="Times New Roman"/>
                <w:bCs/>
                <w:color w:val="000000" w:themeColor="text1"/>
                <w:sz w:val="20"/>
                <w:szCs w:val="20"/>
              </w:rPr>
              <w:tab/>
            </w:r>
          </w:p>
        </w:tc>
        <w:tc>
          <w:tcPr>
            <w:tcW w:w="2599" w:type="dxa"/>
            <w:gridSpan w:val="2"/>
            <w:tcBorders>
              <w:top w:val="single" w:sz="4" w:space="0" w:color="auto"/>
              <w:left w:val="nil"/>
              <w:bottom w:val="single" w:sz="4" w:space="0" w:color="auto"/>
              <w:right w:val="nil"/>
            </w:tcBorders>
            <w:hideMark/>
          </w:tcPr>
          <w:p w14:paraId="6704892A" w14:textId="77777777" w:rsidR="00592ED9" w:rsidRPr="00452A49" w:rsidRDefault="00592ED9">
            <w:pPr>
              <w:spacing w:before="120" w:after="120"/>
              <w:jc w:val="center"/>
              <w:rPr>
                <w:rFonts w:ascii="Times New Roman" w:hAnsi="Times New Roman" w:cs="Times New Roman"/>
                <w:b/>
                <w:bCs/>
                <w:color w:val="000000" w:themeColor="text1"/>
                <w:sz w:val="20"/>
                <w:szCs w:val="20"/>
              </w:rPr>
            </w:pPr>
            <w:r w:rsidRPr="00452A49">
              <w:rPr>
                <w:rFonts w:ascii="Times New Roman" w:hAnsi="Times New Roman" w:cs="Times New Roman"/>
                <w:b/>
                <w:bCs/>
                <w:color w:val="000000" w:themeColor="text1"/>
                <w:sz w:val="20"/>
                <w:szCs w:val="20"/>
              </w:rPr>
              <w:t>2019 Aralık</w:t>
            </w:r>
          </w:p>
        </w:tc>
        <w:tc>
          <w:tcPr>
            <w:tcW w:w="2600" w:type="dxa"/>
            <w:gridSpan w:val="2"/>
            <w:tcBorders>
              <w:top w:val="single" w:sz="4" w:space="0" w:color="auto"/>
              <w:left w:val="nil"/>
              <w:bottom w:val="single" w:sz="4" w:space="0" w:color="auto"/>
              <w:right w:val="nil"/>
            </w:tcBorders>
            <w:hideMark/>
          </w:tcPr>
          <w:p w14:paraId="340F0F90" w14:textId="77777777" w:rsidR="00592ED9" w:rsidRPr="00452A49" w:rsidRDefault="00592ED9">
            <w:pPr>
              <w:spacing w:before="120" w:after="120"/>
              <w:jc w:val="center"/>
              <w:rPr>
                <w:rFonts w:ascii="Times New Roman" w:hAnsi="Times New Roman" w:cs="Times New Roman"/>
                <w:b/>
                <w:bCs/>
                <w:color w:val="000000" w:themeColor="text1"/>
                <w:sz w:val="20"/>
                <w:szCs w:val="20"/>
              </w:rPr>
            </w:pPr>
            <w:r w:rsidRPr="00452A49">
              <w:rPr>
                <w:rFonts w:ascii="Times New Roman" w:hAnsi="Times New Roman" w:cs="Times New Roman"/>
                <w:b/>
                <w:bCs/>
                <w:color w:val="000000" w:themeColor="text1"/>
                <w:sz w:val="20"/>
                <w:szCs w:val="20"/>
              </w:rPr>
              <w:t>2020 Aralık</w:t>
            </w:r>
          </w:p>
        </w:tc>
        <w:tc>
          <w:tcPr>
            <w:tcW w:w="1942" w:type="dxa"/>
            <w:tcBorders>
              <w:top w:val="single" w:sz="4" w:space="0" w:color="auto"/>
              <w:left w:val="nil"/>
              <w:bottom w:val="single" w:sz="4" w:space="0" w:color="auto"/>
              <w:right w:val="nil"/>
            </w:tcBorders>
          </w:tcPr>
          <w:p w14:paraId="40D4D217" w14:textId="77777777" w:rsidR="00592ED9" w:rsidRPr="00452A49" w:rsidRDefault="00592ED9">
            <w:pPr>
              <w:spacing w:before="120" w:after="120"/>
              <w:jc w:val="center"/>
              <w:rPr>
                <w:rFonts w:ascii="Times New Roman" w:hAnsi="Times New Roman" w:cs="Times New Roman"/>
                <w:b/>
                <w:bCs/>
                <w:color w:val="000000" w:themeColor="text1"/>
                <w:sz w:val="20"/>
                <w:szCs w:val="20"/>
              </w:rPr>
            </w:pPr>
          </w:p>
        </w:tc>
      </w:tr>
      <w:tr w:rsidR="00164238" w:rsidRPr="00452A49" w14:paraId="3083D897" w14:textId="77777777" w:rsidTr="00592ED9">
        <w:tc>
          <w:tcPr>
            <w:tcW w:w="1931" w:type="dxa"/>
            <w:tcBorders>
              <w:top w:val="single" w:sz="4" w:space="0" w:color="auto"/>
              <w:left w:val="nil"/>
              <w:bottom w:val="single" w:sz="4" w:space="0" w:color="auto"/>
              <w:right w:val="nil"/>
            </w:tcBorders>
            <w:hideMark/>
          </w:tcPr>
          <w:p w14:paraId="1102FB7A" w14:textId="77777777" w:rsidR="00592ED9" w:rsidRPr="00452A49" w:rsidRDefault="00592ED9">
            <w:pPr>
              <w:spacing w:before="120" w:after="120"/>
              <w:jc w:val="center"/>
              <w:rPr>
                <w:rFonts w:ascii="Times New Roman" w:hAnsi="Times New Roman" w:cs="Times New Roman"/>
                <w:b/>
                <w:bCs/>
                <w:color w:val="000000" w:themeColor="text1"/>
                <w:sz w:val="20"/>
                <w:szCs w:val="20"/>
              </w:rPr>
            </w:pPr>
            <w:r w:rsidRPr="00452A49">
              <w:rPr>
                <w:rFonts w:ascii="Times New Roman" w:hAnsi="Times New Roman" w:cs="Times New Roman"/>
                <w:b/>
                <w:bCs/>
                <w:color w:val="000000" w:themeColor="text1"/>
                <w:sz w:val="20"/>
                <w:szCs w:val="20"/>
              </w:rPr>
              <w:t>Tüketici Türü</w:t>
            </w:r>
          </w:p>
        </w:tc>
        <w:tc>
          <w:tcPr>
            <w:tcW w:w="1481" w:type="dxa"/>
            <w:tcBorders>
              <w:top w:val="single" w:sz="4" w:space="0" w:color="auto"/>
              <w:left w:val="nil"/>
              <w:bottom w:val="single" w:sz="4" w:space="0" w:color="auto"/>
              <w:right w:val="nil"/>
            </w:tcBorders>
            <w:hideMark/>
          </w:tcPr>
          <w:p w14:paraId="3A76209B" w14:textId="77777777" w:rsidR="00592ED9" w:rsidRPr="00452A49" w:rsidRDefault="00592ED9">
            <w:pPr>
              <w:spacing w:before="120" w:after="120"/>
              <w:jc w:val="center"/>
              <w:rPr>
                <w:rFonts w:ascii="Times New Roman" w:hAnsi="Times New Roman" w:cs="Times New Roman"/>
                <w:b/>
                <w:bCs/>
                <w:color w:val="000000" w:themeColor="text1"/>
                <w:sz w:val="20"/>
                <w:szCs w:val="20"/>
              </w:rPr>
            </w:pPr>
            <w:r w:rsidRPr="00452A49">
              <w:rPr>
                <w:rFonts w:ascii="Times New Roman" w:hAnsi="Times New Roman" w:cs="Times New Roman"/>
                <w:b/>
                <w:bCs/>
                <w:color w:val="000000" w:themeColor="text1"/>
                <w:sz w:val="20"/>
                <w:szCs w:val="20"/>
              </w:rPr>
              <w:t>Miktar</w:t>
            </w:r>
          </w:p>
        </w:tc>
        <w:tc>
          <w:tcPr>
            <w:tcW w:w="1118" w:type="dxa"/>
            <w:tcBorders>
              <w:top w:val="single" w:sz="4" w:space="0" w:color="auto"/>
              <w:left w:val="nil"/>
              <w:bottom w:val="single" w:sz="4" w:space="0" w:color="auto"/>
              <w:right w:val="nil"/>
            </w:tcBorders>
            <w:hideMark/>
          </w:tcPr>
          <w:p w14:paraId="60CDB75E" w14:textId="77777777" w:rsidR="00592ED9" w:rsidRPr="00452A49" w:rsidRDefault="00592ED9">
            <w:pPr>
              <w:spacing w:before="120" w:after="120"/>
              <w:jc w:val="center"/>
              <w:rPr>
                <w:rFonts w:ascii="Times New Roman" w:hAnsi="Times New Roman" w:cs="Times New Roman"/>
                <w:b/>
                <w:bCs/>
                <w:color w:val="000000" w:themeColor="text1"/>
                <w:sz w:val="20"/>
                <w:szCs w:val="20"/>
              </w:rPr>
            </w:pPr>
            <w:r w:rsidRPr="00452A49">
              <w:rPr>
                <w:rFonts w:ascii="Times New Roman" w:hAnsi="Times New Roman" w:cs="Times New Roman"/>
                <w:b/>
                <w:bCs/>
                <w:color w:val="000000" w:themeColor="text1"/>
                <w:sz w:val="20"/>
                <w:szCs w:val="20"/>
              </w:rPr>
              <w:t>Pay(%)</w:t>
            </w:r>
          </w:p>
        </w:tc>
        <w:tc>
          <w:tcPr>
            <w:tcW w:w="1481" w:type="dxa"/>
            <w:tcBorders>
              <w:top w:val="single" w:sz="4" w:space="0" w:color="auto"/>
              <w:left w:val="nil"/>
              <w:bottom w:val="single" w:sz="4" w:space="0" w:color="auto"/>
              <w:right w:val="nil"/>
            </w:tcBorders>
            <w:hideMark/>
          </w:tcPr>
          <w:p w14:paraId="4F0081EA" w14:textId="77777777" w:rsidR="00592ED9" w:rsidRPr="00452A49" w:rsidRDefault="00592ED9">
            <w:pPr>
              <w:spacing w:before="120" w:after="120"/>
              <w:jc w:val="center"/>
              <w:rPr>
                <w:rFonts w:ascii="Times New Roman" w:hAnsi="Times New Roman" w:cs="Times New Roman"/>
                <w:b/>
                <w:bCs/>
                <w:color w:val="000000" w:themeColor="text1"/>
                <w:sz w:val="20"/>
                <w:szCs w:val="20"/>
              </w:rPr>
            </w:pPr>
            <w:r w:rsidRPr="00452A49">
              <w:rPr>
                <w:rFonts w:ascii="Times New Roman" w:hAnsi="Times New Roman" w:cs="Times New Roman"/>
                <w:b/>
                <w:bCs/>
                <w:color w:val="000000" w:themeColor="text1"/>
                <w:sz w:val="20"/>
                <w:szCs w:val="20"/>
              </w:rPr>
              <w:t>Miktar</w:t>
            </w:r>
          </w:p>
        </w:tc>
        <w:tc>
          <w:tcPr>
            <w:tcW w:w="1119" w:type="dxa"/>
            <w:tcBorders>
              <w:top w:val="single" w:sz="4" w:space="0" w:color="auto"/>
              <w:left w:val="nil"/>
              <w:bottom w:val="single" w:sz="4" w:space="0" w:color="auto"/>
              <w:right w:val="nil"/>
            </w:tcBorders>
            <w:hideMark/>
          </w:tcPr>
          <w:p w14:paraId="6184D602" w14:textId="77777777" w:rsidR="00592ED9" w:rsidRPr="00452A49" w:rsidRDefault="00592ED9">
            <w:pPr>
              <w:spacing w:before="120" w:after="120"/>
              <w:jc w:val="center"/>
              <w:rPr>
                <w:rFonts w:ascii="Times New Roman" w:hAnsi="Times New Roman" w:cs="Times New Roman"/>
                <w:b/>
                <w:bCs/>
                <w:color w:val="000000" w:themeColor="text1"/>
                <w:sz w:val="20"/>
                <w:szCs w:val="20"/>
              </w:rPr>
            </w:pPr>
            <w:r w:rsidRPr="00452A49">
              <w:rPr>
                <w:rFonts w:ascii="Times New Roman" w:hAnsi="Times New Roman" w:cs="Times New Roman"/>
                <w:b/>
                <w:bCs/>
                <w:color w:val="000000" w:themeColor="text1"/>
                <w:sz w:val="20"/>
                <w:szCs w:val="20"/>
              </w:rPr>
              <w:t>Pay(%)</w:t>
            </w:r>
          </w:p>
        </w:tc>
        <w:tc>
          <w:tcPr>
            <w:tcW w:w="1942" w:type="dxa"/>
            <w:tcBorders>
              <w:top w:val="single" w:sz="4" w:space="0" w:color="auto"/>
              <w:left w:val="nil"/>
              <w:bottom w:val="single" w:sz="4" w:space="0" w:color="auto"/>
              <w:right w:val="nil"/>
            </w:tcBorders>
            <w:hideMark/>
          </w:tcPr>
          <w:p w14:paraId="4012E910" w14:textId="77777777" w:rsidR="00592ED9" w:rsidRPr="00452A49" w:rsidRDefault="00592ED9">
            <w:pPr>
              <w:spacing w:before="120" w:after="120"/>
              <w:jc w:val="center"/>
              <w:rPr>
                <w:rFonts w:ascii="Times New Roman" w:hAnsi="Times New Roman" w:cs="Times New Roman"/>
                <w:b/>
                <w:bCs/>
                <w:color w:val="000000" w:themeColor="text1"/>
                <w:sz w:val="20"/>
                <w:szCs w:val="20"/>
              </w:rPr>
            </w:pPr>
            <w:r w:rsidRPr="00452A49">
              <w:rPr>
                <w:rFonts w:ascii="Times New Roman" w:hAnsi="Times New Roman" w:cs="Times New Roman"/>
                <w:b/>
                <w:bCs/>
                <w:color w:val="000000" w:themeColor="text1"/>
                <w:sz w:val="20"/>
                <w:szCs w:val="20"/>
              </w:rPr>
              <w:t>Değişim(%)</w:t>
            </w:r>
          </w:p>
        </w:tc>
      </w:tr>
      <w:tr w:rsidR="00164238" w:rsidRPr="00452A49" w14:paraId="65F5B77C" w14:textId="77777777" w:rsidTr="00592ED9">
        <w:tc>
          <w:tcPr>
            <w:tcW w:w="1931" w:type="dxa"/>
            <w:tcBorders>
              <w:top w:val="single" w:sz="4" w:space="0" w:color="auto"/>
              <w:left w:val="nil"/>
              <w:bottom w:val="nil"/>
              <w:right w:val="nil"/>
            </w:tcBorders>
            <w:hideMark/>
          </w:tcPr>
          <w:p w14:paraId="4D18E129" w14:textId="77777777" w:rsidR="00592ED9" w:rsidRPr="00452A49" w:rsidRDefault="00592ED9">
            <w:pPr>
              <w:spacing w:before="120" w:after="120"/>
              <w:jc w:val="center"/>
              <w:rPr>
                <w:rFonts w:ascii="Times New Roman" w:hAnsi="Times New Roman" w:cs="Times New Roman"/>
                <w:color w:val="000000" w:themeColor="text1"/>
                <w:sz w:val="20"/>
                <w:szCs w:val="20"/>
              </w:rPr>
            </w:pPr>
            <w:r w:rsidRPr="00452A49">
              <w:rPr>
                <w:rFonts w:ascii="Times New Roman" w:hAnsi="Times New Roman" w:cs="Times New Roman"/>
                <w:color w:val="000000" w:themeColor="text1"/>
                <w:sz w:val="20"/>
                <w:szCs w:val="20"/>
              </w:rPr>
              <w:t>Aydınlatma</w:t>
            </w:r>
          </w:p>
        </w:tc>
        <w:tc>
          <w:tcPr>
            <w:tcW w:w="1481" w:type="dxa"/>
            <w:tcBorders>
              <w:top w:val="single" w:sz="4" w:space="0" w:color="auto"/>
              <w:left w:val="nil"/>
              <w:bottom w:val="nil"/>
              <w:right w:val="nil"/>
            </w:tcBorders>
            <w:hideMark/>
          </w:tcPr>
          <w:p w14:paraId="4E82C699" w14:textId="77777777" w:rsidR="00592ED9" w:rsidRPr="00452A49" w:rsidRDefault="00592ED9">
            <w:pPr>
              <w:spacing w:before="120" w:after="120"/>
              <w:jc w:val="center"/>
              <w:rPr>
                <w:rFonts w:ascii="Times New Roman" w:hAnsi="Times New Roman" w:cs="Times New Roman"/>
                <w:color w:val="000000" w:themeColor="text1"/>
                <w:sz w:val="20"/>
                <w:szCs w:val="20"/>
              </w:rPr>
            </w:pPr>
            <w:r w:rsidRPr="00452A49">
              <w:rPr>
                <w:rFonts w:ascii="Times New Roman" w:hAnsi="Times New Roman" w:cs="Times New Roman"/>
                <w:color w:val="000000" w:themeColor="text1"/>
                <w:sz w:val="20"/>
                <w:szCs w:val="20"/>
              </w:rPr>
              <w:t>504.415,18</w:t>
            </w:r>
          </w:p>
        </w:tc>
        <w:tc>
          <w:tcPr>
            <w:tcW w:w="1118" w:type="dxa"/>
            <w:tcBorders>
              <w:top w:val="single" w:sz="4" w:space="0" w:color="auto"/>
              <w:left w:val="nil"/>
              <w:bottom w:val="nil"/>
              <w:right w:val="nil"/>
            </w:tcBorders>
            <w:hideMark/>
          </w:tcPr>
          <w:p w14:paraId="0A09BA38" w14:textId="77777777" w:rsidR="00592ED9" w:rsidRPr="00452A49" w:rsidRDefault="00592ED9">
            <w:pPr>
              <w:spacing w:before="120" w:after="120"/>
              <w:jc w:val="center"/>
              <w:rPr>
                <w:rFonts w:ascii="Times New Roman" w:hAnsi="Times New Roman" w:cs="Times New Roman"/>
                <w:color w:val="000000" w:themeColor="text1"/>
                <w:sz w:val="20"/>
                <w:szCs w:val="20"/>
              </w:rPr>
            </w:pPr>
            <w:r w:rsidRPr="00452A49">
              <w:rPr>
                <w:rFonts w:ascii="Times New Roman" w:hAnsi="Times New Roman" w:cs="Times New Roman"/>
                <w:color w:val="000000" w:themeColor="text1"/>
                <w:sz w:val="20"/>
                <w:szCs w:val="20"/>
              </w:rPr>
              <w:t>2,63</w:t>
            </w:r>
          </w:p>
        </w:tc>
        <w:tc>
          <w:tcPr>
            <w:tcW w:w="1481" w:type="dxa"/>
            <w:tcBorders>
              <w:top w:val="single" w:sz="4" w:space="0" w:color="auto"/>
              <w:left w:val="nil"/>
              <w:bottom w:val="nil"/>
              <w:right w:val="nil"/>
            </w:tcBorders>
            <w:hideMark/>
          </w:tcPr>
          <w:p w14:paraId="3239B9A1" w14:textId="77777777" w:rsidR="00592ED9" w:rsidRPr="00452A49" w:rsidRDefault="00592ED9">
            <w:pPr>
              <w:spacing w:before="120" w:after="120"/>
              <w:jc w:val="center"/>
              <w:rPr>
                <w:rFonts w:ascii="Times New Roman" w:hAnsi="Times New Roman" w:cs="Times New Roman"/>
                <w:color w:val="000000" w:themeColor="text1"/>
                <w:sz w:val="20"/>
                <w:szCs w:val="20"/>
              </w:rPr>
            </w:pPr>
            <w:r w:rsidRPr="00452A49">
              <w:rPr>
                <w:rFonts w:ascii="Times New Roman" w:hAnsi="Times New Roman" w:cs="Times New Roman"/>
                <w:color w:val="000000" w:themeColor="text1"/>
                <w:sz w:val="20"/>
                <w:szCs w:val="20"/>
              </w:rPr>
              <w:t>495.875,35</w:t>
            </w:r>
          </w:p>
        </w:tc>
        <w:tc>
          <w:tcPr>
            <w:tcW w:w="1119" w:type="dxa"/>
            <w:tcBorders>
              <w:top w:val="single" w:sz="4" w:space="0" w:color="auto"/>
              <w:left w:val="nil"/>
              <w:bottom w:val="nil"/>
              <w:right w:val="nil"/>
            </w:tcBorders>
            <w:hideMark/>
          </w:tcPr>
          <w:p w14:paraId="6B9333AC" w14:textId="77777777" w:rsidR="00592ED9" w:rsidRPr="00452A49" w:rsidRDefault="00592ED9">
            <w:pPr>
              <w:spacing w:before="120" w:after="120"/>
              <w:jc w:val="center"/>
              <w:rPr>
                <w:rFonts w:ascii="Times New Roman" w:hAnsi="Times New Roman" w:cs="Times New Roman"/>
                <w:color w:val="000000" w:themeColor="text1"/>
                <w:sz w:val="20"/>
                <w:szCs w:val="20"/>
              </w:rPr>
            </w:pPr>
            <w:r w:rsidRPr="00452A49">
              <w:rPr>
                <w:rFonts w:ascii="Times New Roman" w:hAnsi="Times New Roman" w:cs="Times New Roman"/>
                <w:color w:val="000000" w:themeColor="text1"/>
                <w:sz w:val="20"/>
                <w:szCs w:val="20"/>
              </w:rPr>
              <w:t>2,34</w:t>
            </w:r>
          </w:p>
        </w:tc>
        <w:tc>
          <w:tcPr>
            <w:tcW w:w="1942" w:type="dxa"/>
            <w:tcBorders>
              <w:top w:val="single" w:sz="4" w:space="0" w:color="auto"/>
              <w:left w:val="nil"/>
              <w:bottom w:val="nil"/>
              <w:right w:val="nil"/>
            </w:tcBorders>
            <w:hideMark/>
          </w:tcPr>
          <w:p w14:paraId="093233B1" w14:textId="77777777" w:rsidR="00592ED9" w:rsidRPr="00452A49" w:rsidRDefault="00592ED9">
            <w:pPr>
              <w:spacing w:before="120" w:after="120"/>
              <w:jc w:val="center"/>
              <w:rPr>
                <w:rFonts w:ascii="Times New Roman" w:hAnsi="Times New Roman" w:cs="Times New Roman"/>
                <w:color w:val="000000" w:themeColor="text1"/>
                <w:sz w:val="20"/>
                <w:szCs w:val="20"/>
              </w:rPr>
            </w:pPr>
            <w:r w:rsidRPr="00452A49">
              <w:rPr>
                <w:rFonts w:ascii="Times New Roman" w:hAnsi="Times New Roman" w:cs="Times New Roman"/>
                <w:color w:val="000000" w:themeColor="text1"/>
                <w:sz w:val="20"/>
                <w:szCs w:val="20"/>
              </w:rPr>
              <w:t>-1,69</w:t>
            </w:r>
          </w:p>
        </w:tc>
      </w:tr>
      <w:tr w:rsidR="00164238" w:rsidRPr="00452A49" w14:paraId="62C50E27" w14:textId="77777777" w:rsidTr="00592ED9">
        <w:tc>
          <w:tcPr>
            <w:tcW w:w="1931" w:type="dxa"/>
            <w:tcBorders>
              <w:top w:val="nil"/>
              <w:left w:val="nil"/>
              <w:bottom w:val="nil"/>
              <w:right w:val="nil"/>
            </w:tcBorders>
            <w:hideMark/>
          </w:tcPr>
          <w:p w14:paraId="1E8CF401" w14:textId="77777777" w:rsidR="00592ED9" w:rsidRPr="00452A49" w:rsidRDefault="00592ED9">
            <w:pPr>
              <w:spacing w:before="120" w:after="120"/>
              <w:jc w:val="center"/>
              <w:rPr>
                <w:rFonts w:ascii="Times New Roman" w:hAnsi="Times New Roman" w:cs="Times New Roman"/>
                <w:b/>
                <w:bCs/>
                <w:color w:val="000000" w:themeColor="text1"/>
                <w:sz w:val="20"/>
                <w:szCs w:val="20"/>
              </w:rPr>
            </w:pPr>
            <w:r w:rsidRPr="00452A49">
              <w:rPr>
                <w:rFonts w:ascii="Times New Roman" w:hAnsi="Times New Roman" w:cs="Times New Roman"/>
                <w:b/>
                <w:bCs/>
                <w:color w:val="000000" w:themeColor="text1"/>
                <w:sz w:val="20"/>
                <w:szCs w:val="20"/>
              </w:rPr>
              <w:t>Mesken</w:t>
            </w:r>
          </w:p>
        </w:tc>
        <w:tc>
          <w:tcPr>
            <w:tcW w:w="1481" w:type="dxa"/>
            <w:tcBorders>
              <w:top w:val="nil"/>
              <w:left w:val="nil"/>
              <w:bottom w:val="nil"/>
              <w:right w:val="nil"/>
            </w:tcBorders>
            <w:hideMark/>
          </w:tcPr>
          <w:p w14:paraId="207989AE" w14:textId="77777777" w:rsidR="00592ED9" w:rsidRPr="00452A49" w:rsidRDefault="00592ED9">
            <w:pPr>
              <w:spacing w:before="120" w:after="120"/>
              <w:jc w:val="center"/>
              <w:rPr>
                <w:rFonts w:ascii="Times New Roman" w:hAnsi="Times New Roman" w:cs="Times New Roman"/>
                <w:b/>
                <w:bCs/>
                <w:color w:val="000000" w:themeColor="text1"/>
                <w:sz w:val="20"/>
                <w:szCs w:val="20"/>
              </w:rPr>
            </w:pPr>
            <w:r w:rsidRPr="00452A49">
              <w:rPr>
                <w:rFonts w:ascii="Times New Roman" w:hAnsi="Times New Roman" w:cs="Times New Roman"/>
                <w:b/>
                <w:bCs/>
                <w:color w:val="000000" w:themeColor="text1"/>
                <w:sz w:val="20"/>
                <w:szCs w:val="20"/>
              </w:rPr>
              <w:t>4.762.598,59</w:t>
            </w:r>
          </w:p>
        </w:tc>
        <w:tc>
          <w:tcPr>
            <w:tcW w:w="1118" w:type="dxa"/>
            <w:tcBorders>
              <w:top w:val="nil"/>
              <w:left w:val="nil"/>
              <w:bottom w:val="nil"/>
              <w:right w:val="nil"/>
            </w:tcBorders>
            <w:hideMark/>
          </w:tcPr>
          <w:p w14:paraId="71A39E57" w14:textId="77777777" w:rsidR="00592ED9" w:rsidRPr="00452A49" w:rsidRDefault="00592ED9">
            <w:pPr>
              <w:spacing w:before="120" w:after="120"/>
              <w:jc w:val="center"/>
              <w:rPr>
                <w:rFonts w:ascii="Times New Roman" w:hAnsi="Times New Roman" w:cs="Times New Roman"/>
                <w:b/>
                <w:bCs/>
                <w:color w:val="000000" w:themeColor="text1"/>
                <w:sz w:val="20"/>
                <w:szCs w:val="20"/>
              </w:rPr>
            </w:pPr>
            <w:r w:rsidRPr="00452A49">
              <w:rPr>
                <w:rFonts w:ascii="Times New Roman" w:hAnsi="Times New Roman" w:cs="Times New Roman"/>
                <w:b/>
                <w:bCs/>
                <w:color w:val="000000" w:themeColor="text1"/>
                <w:sz w:val="20"/>
                <w:szCs w:val="20"/>
              </w:rPr>
              <w:t>24,85</w:t>
            </w:r>
          </w:p>
        </w:tc>
        <w:tc>
          <w:tcPr>
            <w:tcW w:w="1481" w:type="dxa"/>
            <w:tcBorders>
              <w:top w:val="nil"/>
              <w:left w:val="nil"/>
              <w:bottom w:val="nil"/>
              <w:right w:val="nil"/>
            </w:tcBorders>
            <w:hideMark/>
          </w:tcPr>
          <w:p w14:paraId="2CFE7069" w14:textId="77777777" w:rsidR="00592ED9" w:rsidRPr="00452A49" w:rsidRDefault="00592ED9">
            <w:pPr>
              <w:spacing w:before="120" w:after="120"/>
              <w:jc w:val="center"/>
              <w:rPr>
                <w:rFonts w:ascii="Times New Roman" w:hAnsi="Times New Roman" w:cs="Times New Roman"/>
                <w:b/>
                <w:bCs/>
                <w:color w:val="000000" w:themeColor="text1"/>
                <w:sz w:val="20"/>
                <w:szCs w:val="20"/>
              </w:rPr>
            </w:pPr>
            <w:r w:rsidRPr="00452A49">
              <w:rPr>
                <w:rFonts w:ascii="Times New Roman" w:hAnsi="Times New Roman" w:cs="Times New Roman"/>
                <w:b/>
                <w:bCs/>
                <w:color w:val="000000" w:themeColor="text1"/>
                <w:sz w:val="20"/>
                <w:szCs w:val="20"/>
              </w:rPr>
              <w:t>5.423.531,91</w:t>
            </w:r>
          </w:p>
        </w:tc>
        <w:tc>
          <w:tcPr>
            <w:tcW w:w="1119" w:type="dxa"/>
            <w:tcBorders>
              <w:top w:val="nil"/>
              <w:left w:val="nil"/>
              <w:bottom w:val="nil"/>
              <w:right w:val="nil"/>
            </w:tcBorders>
            <w:hideMark/>
          </w:tcPr>
          <w:p w14:paraId="382B28EA" w14:textId="77777777" w:rsidR="00592ED9" w:rsidRPr="00452A49" w:rsidRDefault="00592ED9">
            <w:pPr>
              <w:spacing w:before="120" w:after="120"/>
              <w:jc w:val="center"/>
              <w:rPr>
                <w:rFonts w:ascii="Times New Roman" w:hAnsi="Times New Roman" w:cs="Times New Roman"/>
                <w:b/>
                <w:bCs/>
                <w:color w:val="000000" w:themeColor="text1"/>
                <w:sz w:val="20"/>
                <w:szCs w:val="20"/>
              </w:rPr>
            </w:pPr>
            <w:r w:rsidRPr="00452A49">
              <w:rPr>
                <w:rFonts w:ascii="Times New Roman" w:hAnsi="Times New Roman" w:cs="Times New Roman"/>
                <w:b/>
                <w:bCs/>
                <w:color w:val="000000" w:themeColor="text1"/>
                <w:sz w:val="20"/>
                <w:szCs w:val="20"/>
              </w:rPr>
              <w:t>25,63</w:t>
            </w:r>
          </w:p>
        </w:tc>
        <w:tc>
          <w:tcPr>
            <w:tcW w:w="1942" w:type="dxa"/>
            <w:tcBorders>
              <w:top w:val="nil"/>
              <w:left w:val="nil"/>
              <w:bottom w:val="nil"/>
              <w:right w:val="nil"/>
            </w:tcBorders>
            <w:hideMark/>
          </w:tcPr>
          <w:p w14:paraId="6ACD5865" w14:textId="77777777" w:rsidR="00592ED9" w:rsidRPr="00452A49" w:rsidRDefault="00592ED9">
            <w:pPr>
              <w:spacing w:before="120" w:after="120"/>
              <w:jc w:val="center"/>
              <w:rPr>
                <w:rFonts w:ascii="Times New Roman" w:hAnsi="Times New Roman" w:cs="Times New Roman"/>
                <w:b/>
                <w:bCs/>
                <w:color w:val="000000" w:themeColor="text1"/>
                <w:sz w:val="20"/>
                <w:szCs w:val="20"/>
              </w:rPr>
            </w:pPr>
            <w:r w:rsidRPr="00452A49">
              <w:rPr>
                <w:rFonts w:ascii="Times New Roman" w:hAnsi="Times New Roman" w:cs="Times New Roman"/>
                <w:b/>
                <w:bCs/>
                <w:color w:val="000000" w:themeColor="text1"/>
                <w:sz w:val="20"/>
                <w:szCs w:val="20"/>
              </w:rPr>
              <w:t>13,88</w:t>
            </w:r>
          </w:p>
        </w:tc>
      </w:tr>
      <w:tr w:rsidR="00164238" w:rsidRPr="00452A49" w14:paraId="0996D85E" w14:textId="77777777" w:rsidTr="00592ED9">
        <w:tc>
          <w:tcPr>
            <w:tcW w:w="1931" w:type="dxa"/>
            <w:tcBorders>
              <w:top w:val="nil"/>
              <w:left w:val="nil"/>
              <w:bottom w:val="nil"/>
              <w:right w:val="nil"/>
            </w:tcBorders>
            <w:hideMark/>
          </w:tcPr>
          <w:p w14:paraId="3CBCEAED" w14:textId="77777777" w:rsidR="00592ED9" w:rsidRPr="00452A49" w:rsidRDefault="00592ED9">
            <w:pPr>
              <w:spacing w:before="120" w:after="120"/>
              <w:jc w:val="center"/>
              <w:rPr>
                <w:rFonts w:ascii="Times New Roman" w:hAnsi="Times New Roman" w:cs="Times New Roman"/>
                <w:b/>
                <w:bCs/>
                <w:color w:val="000000" w:themeColor="text1"/>
                <w:sz w:val="20"/>
                <w:szCs w:val="20"/>
              </w:rPr>
            </w:pPr>
            <w:r w:rsidRPr="00452A49">
              <w:rPr>
                <w:rFonts w:ascii="Times New Roman" w:hAnsi="Times New Roman" w:cs="Times New Roman"/>
                <w:b/>
                <w:bCs/>
                <w:color w:val="000000" w:themeColor="text1"/>
                <w:sz w:val="20"/>
                <w:szCs w:val="20"/>
              </w:rPr>
              <w:t>Sanayi</w:t>
            </w:r>
          </w:p>
        </w:tc>
        <w:tc>
          <w:tcPr>
            <w:tcW w:w="1481" w:type="dxa"/>
            <w:tcBorders>
              <w:top w:val="nil"/>
              <w:left w:val="nil"/>
              <w:bottom w:val="nil"/>
              <w:right w:val="nil"/>
            </w:tcBorders>
            <w:hideMark/>
          </w:tcPr>
          <w:p w14:paraId="368D4A22" w14:textId="77777777" w:rsidR="00592ED9" w:rsidRPr="00452A49" w:rsidRDefault="00592ED9">
            <w:pPr>
              <w:spacing w:before="120" w:after="120"/>
              <w:jc w:val="center"/>
              <w:rPr>
                <w:rFonts w:ascii="Times New Roman" w:hAnsi="Times New Roman" w:cs="Times New Roman"/>
                <w:b/>
                <w:bCs/>
                <w:color w:val="000000" w:themeColor="text1"/>
                <w:sz w:val="20"/>
                <w:szCs w:val="20"/>
              </w:rPr>
            </w:pPr>
            <w:r w:rsidRPr="00452A49">
              <w:rPr>
                <w:rFonts w:ascii="Times New Roman" w:hAnsi="Times New Roman" w:cs="Times New Roman"/>
                <w:b/>
                <w:bCs/>
                <w:color w:val="000000" w:themeColor="text1"/>
                <w:sz w:val="20"/>
                <w:szCs w:val="20"/>
              </w:rPr>
              <w:t>8.280.126,13</w:t>
            </w:r>
          </w:p>
        </w:tc>
        <w:tc>
          <w:tcPr>
            <w:tcW w:w="1118" w:type="dxa"/>
            <w:tcBorders>
              <w:top w:val="nil"/>
              <w:left w:val="nil"/>
              <w:bottom w:val="nil"/>
              <w:right w:val="nil"/>
            </w:tcBorders>
            <w:hideMark/>
          </w:tcPr>
          <w:p w14:paraId="6561D17E" w14:textId="77777777" w:rsidR="00592ED9" w:rsidRPr="00452A49" w:rsidRDefault="00592ED9">
            <w:pPr>
              <w:spacing w:before="120" w:after="120"/>
              <w:jc w:val="center"/>
              <w:rPr>
                <w:rFonts w:ascii="Times New Roman" w:hAnsi="Times New Roman" w:cs="Times New Roman"/>
                <w:b/>
                <w:bCs/>
                <w:color w:val="000000" w:themeColor="text1"/>
                <w:sz w:val="20"/>
                <w:szCs w:val="20"/>
              </w:rPr>
            </w:pPr>
            <w:r w:rsidRPr="00452A49">
              <w:rPr>
                <w:rFonts w:ascii="Times New Roman" w:hAnsi="Times New Roman" w:cs="Times New Roman"/>
                <w:b/>
                <w:bCs/>
                <w:color w:val="000000" w:themeColor="text1"/>
                <w:sz w:val="20"/>
                <w:szCs w:val="20"/>
              </w:rPr>
              <w:t>43,20</w:t>
            </w:r>
          </w:p>
        </w:tc>
        <w:tc>
          <w:tcPr>
            <w:tcW w:w="1481" w:type="dxa"/>
            <w:tcBorders>
              <w:top w:val="nil"/>
              <w:left w:val="nil"/>
              <w:bottom w:val="nil"/>
              <w:right w:val="nil"/>
            </w:tcBorders>
            <w:hideMark/>
          </w:tcPr>
          <w:p w14:paraId="74AEB220" w14:textId="77777777" w:rsidR="00592ED9" w:rsidRPr="00452A49" w:rsidRDefault="00592ED9">
            <w:pPr>
              <w:spacing w:before="120" w:after="120"/>
              <w:jc w:val="center"/>
              <w:rPr>
                <w:rFonts w:ascii="Times New Roman" w:hAnsi="Times New Roman" w:cs="Times New Roman"/>
                <w:b/>
                <w:bCs/>
                <w:color w:val="000000" w:themeColor="text1"/>
                <w:sz w:val="20"/>
                <w:szCs w:val="20"/>
              </w:rPr>
            </w:pPr>
            <w:r w:rsidRPr="00452A49">
              <w:rPr>
                <w:rFonts w:ascii="Times New Roman" w:hAnsi="Times New Roman" w:cs="Times New Roman"/>
                <w:b/>
                <w:bCs/>
                <w:color w:val="000000" w:themeColor="text1"/>
                <w:sz w:val="20"/>
                <w:szCs w:val="20"/>
              </w:rPr>
              <w:t>9.338.796,51</w:t>
            </w:r>
          </w:p>
        </w:tc>
        <w:tc>
          <w:tcPr>
            <w:tcW w:w="1119" w:type="dxa"/>
            <w:tcBorders>
              <w:top w:val="nil"/>
              <w:left w:val="nil"/>
              <w:bottom w:val="nil"/>
              <w:right w:val="nil"/>
            </w:tcBorders>
            <w:hideMark/>
          </w:tcPr>
          <w:p w14:paraId="6CF47048" w14:textId="77777777" w:rsidR="00592ED9" w:rsidRPr="00452A49" w:rsidRDefault="00592ED9">
            <w:pPr>
              <w:spacing w:before="120" w:after="120"/>
              <w:jc w:val="center"/>
              <w:rPr>
                <w:rFonts w:ascii="Times New Roman" w:hAnsi="Times New Roman" w:cs="Times New Roman"/>
                <w:b/>
                <w:bCs/>
                <w:color w:val="000000" w:themeColor="text1"/>
                <w:sz w:val="20"/>
                <w:szCs w:val="20"/>
              </w:rPr>
            </w:pPr>
            <w:r w:rsidRPr="00452A49">
              <w:rPr>
                <w:rFonts w:ascii="Times New Roman" w:hAnsi="Times New Roman" w:cs="Times New Roman"/>
                <w:b/>
                <w:bCs/>
                <w:color w:val="000000" w:themeColor="text1"/>
                <w:sz w:val="20"/>
                <w:szCs w:val="20"/>
              </w:rPr>
              <w:t>44,13</w:t>
            </w:r>
          </w:p>
        </w:tc>
        <w:tc>
          <w:tcPr>
            <w:tcW w:w="1942" w:type="dxa"/>
            <w:tcBorders>
              <w:top w:val="nil"/>
              <w:left w:val="nil"/>
              <w:bottom w:val="nil"/>
              <w:right w:val="nil"/>
            </w:tcBorders>
            <w:hideMark/>
          </w:tcPr>
          <w:p w14:paraId="78846154" w14:textId="77777777" w:rsidR="00592ED9" w:rsidRPr="00452A49" w:rsidRDefault="00592ED9">
            <w:pPr>
              <w:spacing w:before="120" w:after="120"/>
              <w:jc w:val="center"/>
              <w:rPr>
                <w:rFonts w:ascii="Times New Roman" w:hAnsi="Times New Roman" w:cs="Times New Roman"/>
                <w:b/>
                <w:bCs/>
                <w:color w:val="000000" w:themeColor="text1"/>
                <w:sz w:val="20"/>
                <w:szCs w:val="20"/>
              </w:rPr>
            </w:pPr>
            <w:r w:rsidRPr="00452A49">
              <w:rPr>
                <w:rFonts w:ascii="Times New Roman" w:hAnsi="Times New Roman" w:cs="Times New Roman"/>
                <w:b/>
                <w:bCs/>
                <w:color w:val="000000" w:themeColor="text1"/>
                <w:sz w:val="20"/>
                <w:szCs w:val="20"/>
              </w:rPr>
              <w:t>12,79</w:t>
            </w:r>
          </w:p>
        </w:tc>
      </w:tr>
      <w:tr w:rsidR="00164238" w:rsidRPr="00452A49" w14:paraId="2ED24517" w14:textId="77777777" w:rsidTr="00592ED9">
        <w:tc>
          <w:tcPr>
            <w:tcW w:w="1931" w:type="dxa"/>
            <w:tcBorders>
              <w:top w:val="nil"/>
              <w:left w:val="nil"/>
              <w:bottom w:val="nil"/>
              <w:right w:val="nil"/>
            </w:tcBorders>
            <w:hideMark/>
          </w:tcPr>
          <w:p w14:paraId="7AF74392" w14:textId="77777777" w:rsidR="00592ED9" w:rsidRPr="00452A49" w:rsidRDefault="00592ED9">
            <w:pPr>
              <w:spacing w:before="120" w:after="120"/>
              <w:jc w:val="center"/>
              <w:rPr>
                <w:rFonts w:ascii="Times New Roman" w:hAnsi="Times New Roman" w:cs="Times New Roman"/>
                <w:color w:val="000000" w:themeColor="text1"/>
                <w:sz w:val="20"/>
                <w:szCs w:val="20"/>
              </w:rPr>
            </w:pPr>
            <w:r w:rsidRPr="00452A49">
              <w:rPr>
                <w:rFonts w:ascii="Times New Roman" w:hAnsi="Times New Roman" w:cs="Times New Roman"/>
                <w:color w:val="000000" w:themeColor="text1"/>
                <w:sz w:val="20"/>
                <w:szCs w:val="20"/>
              </w:rPr>
              <w:t>Tarımsal Sulama</w:t>
            </w:r>
          </w:p>
        </w:tc>
        <w:tc>
          <w:tcPr>
            <w:tcW w:w="1481" w:type="dxa"/>
            <w:tcBorders>
              <w:top w:val="nil"/>
              <w:left w:val="nil"/>
              <w:bottom w:val="nil"/>
              <w:right w:val="nil"/>
            </w:tcBorders>
            <w:hideMark/>
          </w:tcPr>
          <w:p w14:paraId="7AE8256E" w14:textId="77777777" w:rsidR="00592ED9" w:rsidRPr="00452A49" w:rsidRDefault="00592ED9">
            <w:pPr>
              <w:spacing w:before="120" w:after="120"/>
              <w:jc w:val="center"/>
              <w:rPr>
                <w:rFonts w:ascii="Times New Roman" w:hAnsi="Times New Roman" w:cs="Times New Roman"/>
                <w:color w:val="000000" w:themeColor="text1"/>
                <w:sz w:val="20"/>
                <w:szCs w:val="20"/>
              </w:rPr>
            </w:pPr>
            <w:r w:rsidRPr="00452A49">
              <w:rPr>
                <w:rFonts w:ascii="Times New Roman" w:hAnsi="Times New Roman" w:cs="Times New Roman"/>
                <w:color w:val="000000" w:themeColor="text1"/>
                <w:sz w:val="20"/>
                <w:szCs w:val="20"/>
              </w:rPr>
              <w:t>394.731,71</w:t>
            </w:r>
          </w:p>
        </w:tc>
        <w:tc>
          <w:tcPr>
            <w:tcW w:w="1118" w:type="dxa"/>
            <w:tcBorders>
              <w:top w:val="nil"/>
              <w:left w:val="nil"/>
              <w:bottom w:val="nil"/>
              <w:right w:val="nil"/>
            </w:tcBorders>
            <w:hideMark/>
          </w:tcPr>
          <w:p w14:paraId="36F0F4A8" w14:textId="77777777" w:rsidR="00592ED9" w:rsidRPr="00452A49" w:rsidRDefault="00592ED9">
            <w:pPr>
              <w:spacing w:before="120" w:after="120"/>
              <w:jc w:val="center"/>
              <w:rPr>
                <w:rFonts w:ascii="Times New Roman" w:hAnsi="Times New Roman" w:cs="Times New Roman"/>
                <w:color w:val="000000" w:themeColor="text1"/>
                <w:sz w:val="20"/>
                <w:szCs w:val="20"/>
              </w:rPr>
            </w:pPr>
            <w:r w:rsidRPr="00452A49">
              <w:rPr>
                <w:rFonts w:ascii="Times New Roman" w:hAnsi="Times New Roman" w:cs="Times New Roman"/>
                <w:color w:val="000000" w:themeColor="text1"/>
                <w:sz w:val="20"/>
                <w:szCs w:val="20"/>
              </w:rPr>
              <w:t>2,06</w:t>
            </w:r>
          </w:p>
        </w:tc>
        <w:tc>
          <w:tcPr>
            <w:tcW w:w="1481" w:type="dxa"/>
            <w:tcBorders>
              <w:top w:val="nil"/>
              <w:left w:val="nil"/>
              <w:bottom w:val="nil"/>
              <w:right w:val="nil"/>
            </w:tcBorders>
            <w:hideMark/>
          </w:tcPr>
          <w:p w14:paraId="54E6A912" w14:textId="77777777" w:rsidR="00592ED9" w:rsidRPr="00452A49" w:rsidRDefault="00592ED9">
            <w:pPr>
              <w:spacing w:before="120" w:after="120"/>
              <w:jc w:val="center"/>
              <w:rPr>
                <w:rFonts w:ascii="Times New Roman" w:hAnsi="Times New Roman" w:cs="Times New Roman"/>
                <w:color w:val="000000" w:themeColor="text1"/>
                <w:sz w:val="20"/>
                <w:szCs w:val="20"/>
              </w:rPr>
            </w:pPr>
            <w:r w:rsidRPr="00452A49">
              <w:rPr>
                <w:rFonts w:ascii="Times New Roman" w:hAnsi="Times New Roman" w:cs="Times New Roman"/>
                <w:color w:val="000000" w:themeColor="text1"/>
                <w:sz w:val="20"/>
                <w:szCs w:val="20"/>
              </w:rPr>
              <w:t>1.107.318,32</w:t>
            </w:r>
          </w:p>
        </w:tc>
        <w:tc>
          <w:tcPr>
            <w:tcW w:w="1119" w:type="dxa"/>
            <w:tcBorders>
              <w:top w:val="nil"/>
              <w:left w:val="nil"/>
              <w:bottom w:val="nil"/>
              <w:right w:val="nil"/>
            </w:tcBorders>
            <w:hideMark/>
          </w:tcPr>
          <w:p w14:paraId="2FF101CA" w14:textId="77777777" w:rsidR="00592ED9" w:rsidRPr="00452A49" w:rsidRDefault="00592ED9">
            <w:pPr>
              <w:spacing w:before="120" w:after="120"/>
              <w:jc w:val="center"/>
              <w:rPr>
                <w:rFonts w:ascii="Times New Roman" w:hAnsi="Times New Roman" w:cs="Times New Roman"/>
                <w:color w:val="000000" w:themeColor="text1"/>
                <w:sz w:val="20"/>
                <w:szCs w:val="20"/>
              </w:rPr>
            </w:pPr>
            <w:r w:rsidRPr="00452A49">
              <w:rPr>
                <w:rFonts w:ascii="Times New Roman" w:hAnsi="Times New Roman" w:cs="Times New Roman"/>
                <w:color w:val="000000" w:themeColor="text1"/>
                <w:sz w:val="20"/>
                <w:szCs w:val="20"/>
              </w:rPr>
              <w:t>5,23</w:t>
            </w:r>
          </w:p>
        </w:tc>
        <w:tc>
          <w:tcPr>
            <w:tcW w:w="1942" w:type="dxa"/>
            <w:tcBorders>
              <w:top w:val="nil"/>
              <w:left w:val="nil"/>
              <w:bottom w:val="nil"/>
              <w:right w:val="nil"/>
            </w:tcBorders>
            <w:hideMark/>
          </w:tcPr>
          <w:p w14:paraId="4BDE6B96" w14:textId="77777777" w:rsidR="00592ED9" w:rsidRPr="00452A49" w:rsidRDefault="00592ED9">
            <w:pPr>
              <w:spacing w:before="120" w:after="120"/>
              <w:jc w:val="center"/>
              <w:rPr>
                <w:rFonts w:ascii="Times New Roman" w:hAnsi="Times New Roman" w:cs="Times New Roman"/>
                <w:color w:val="000000" w:themeColor="text1"/>
                <w:sz w:val="20"/>
                <w:szCs w:val="20"/>
              </w:rPr>
            </w:pPr>
            <w:r w:rsidRPr="00452A49">
              <w:rPr>
                <w:rFonts w:ascii="Times New Roman" w:hAnsi="Times New Roman" w:cs="Times New Roman"/>
                <w:color w:val="000000" w:themeColor="text1"/>
                <w:sz w:val="20"/>
                <w:szCs w:val="20"/>
              </w:rPr>
              <w:t>180,52</w:t>
            </w:r>
          </w:p>
        </w:tc>
      </w:tr>
      <w:tr w:rsidR="00164238" w:rsidRPr="00452A49" w14:paraId="5408B527" w14:textId="77777777" w:rsidTr="00592ED9">
        <w:tc>
          <w:tcPr>
            <w:tcW w:w="1931" w:type="dxa"/>
            <w:tcBorders>
              <w:top w:val="nil"/>
              <w:left w:val="nil"/>
              <w:bottom w:val="single" w:sz="4" w:space="0" w:color="auto"/>
              <w:right w:val="nil"/>
            </w:tcBorders>
            <w:hideMark/>
          </w:tcPr>
          <w:p w14:paraId="53B156E6" w14:textId="77777777" w:rsidR="00592ED9" w:rsidRPr="00452A49" w:rsidRDefault="00592ED9">
            <w:pPr>
              <w:spacing w:before="120" w:after="120"/>
              <w:jc w:val="center"/>
              <w:rPr>
                <w:rFonts w:ascii="Times New Roman" w:hAnsi="Times New Roman" w:cs="Times New Roman"/>
                <w:color w:val="000000" w:themeColor="text1"/>
                <w:sz w:val="20"/>
                <w:szCs w:val="20"/>
              </w:rPr>
            </w:pPr>
            <w:r w:rsidRPr="00452A49">
              <w:rPr>
                <w:rFonts w:ascii="Times New Roman" w:hAnsi="Times New Roman" w:cs="Times New Roman"/>
                <w:color w:val="000000" w:themeColor="text1"/>
                <w:sz w:val="20"/>
                <w:szCs w:val="20"/>
              </w:rPr>
              <w:t>Ticarethane</w:t>
            </w:r>
          </w:p>
        </w:tc>
        <w:tc>
          <w:tcPr>
            <w:tcW w:w="1481" w:type="dxa"/>
            <w:tcBorders>
              <w:top w:val="nil"/>
              <w:left w:val="nil"/>
              <w:bottom w:val="single" w:sz="4" w:space="0" w:color="auto"/>
              <w:right w:val="nil"/>
            </w:tcBorders>
            <w:hideMark/>
          </w:tcPr>
          <w:p w14:paraId="555FA3B3" w14:textId="77777777" w:rsidR="00592ED9" w:rsidRPr="00452A49" w:rsidRDefault="00592ED9">
            <w:pPr>
              <w:spacing w:before="120" w:after="120"/>
              <w:jc w:val="center"/>
              <w:rPr>
                <w:rFonts w:ascii="Times New Roman" w:hAnsi="Times New Roman" w:cs="Times New Roman"/>
                <w:color w:val="000000" w:themeColor="text1"/>
                <w:sz w:val="20"/>
                <w:szCs w:val="20"/>
              </w:rPr>
            </w:pPr>
            <w:r w:rsidRPr="00452A49">
              <w:rPr>
                <w:rFonts w:ascii="Times New Roman" w:hAnsi="Times New Roman" w:cs="Times New Roman"/>
                <w:color w:val="000000" w:themeColor="text1"/>
                <w:sz w:val="20"/>
                <w:szCs w:val="20"/>
              </w:rPr>
              <w:t>5.223.508,65</w:t>
            </w:r>
          </w:p>
        </w:tc>
        <w:tc>
          <w:tcPr>
            <w:tcW w:w="1118" w:type="dxa"/>
            <w:tcBorders>
              <w:top w:val="nil"/>
              <w:left w:val="nil"/>
              <w:bottom w:val="single" w:sz="4" w:space="0" w:color="auto"/>
              <w:right w:val="nil"/>
            </w:tcBorders>
            <w:hideMark/>
          </w:tcPr>
          <w:p w14:paraId="5117E451" w14:textId="77777777" w:rsidR="00592ED9" w:rsidRPr="00452A49" w:rsidRDefault="00592ED9">
            <w:pPr>
              <w:spacing w:before="120" w:after="120"/>
              <w:jc w:val="center"/>
              <w:rPr>
                <w:rFonts w:ascii="Times New Roman" w:hAnsi="Times New Roman" w:cs="Times New Roman"/>
                <w:color w:val="000000" w:themeColor="text1"/>
                <w:sz w:val="20"/>
                <w:szCs w:val="20"/>
              </w:rPr>
            </w:pPr>
            <w:r w:rsidRPr="00452A49">
              <w:rPr>
                <w:rFonts w:ascii="Times New Roman" w:hAnsi="Times New Roman" w:cs="Times New Roman"/>
                <w:color w:val="000000" w:themeColor="text1"/>
                <w:sz w:val="20"/>
                <w:szCs w:val="20"/>
              </w:rPr>
              <w:t>27,26</w:t>
            </w:r>
          </w:p>
        </w:tc>
        <w:tc>
          <w:tcPr>
            <w:tcW w:w="1481" w:type="dxa"/>
            <w:tcBorders>
              <w:top w:val="nil"/>
              <w:left w:val="nil"/>
              <w:bottom w:val="single" w:sz="4" w:space="0" w:color="auto"/>
              <w:right w:val="nil"/>
            </w:tcBorders>
            <w:hideMark/>
          </w:tcPr>
          <w:p w14:paraId="1C9ECC8C" w14:textId="77777777" w:rsidR="00592ED9" w:rsidRPr="00452A49" w:rsidRDefault="00592ED9">
            <w:pPr>
              <w:spacing w:before="120" w:after="120"/>
              <w:jc w:val="center"/>
              <w:rPr>
                <w:rFonts w:ascii="Times New Roman" w:hAnsi="Times New Roman" w:cs="Times New Roman"/>
                <w:color w:val="000000" w:themeColor="text1"/>
                <w:sz w:val="20"/>
                <w:szCs w:val="20"/>
              </w:rPr>
            </w:pPr>
            <w:r w:rsidRPr="00452A49">
              <w:rPr>
                <w:rFonts w:ascii="Times New Roman" w:hAnsi="Times New Roman" w:cs="Times New Roman"/>
                <w:color w:val="000000" w:themeColor="text1"/>
                <w:sz w:val="20"/>
                <w:szCs w:val="20"/>
              </w:rPr>
              <w:t>4.797.528,88</w:t>
            </w:r>
          </w:p>
        </w:tc>
        <w:tc>
          <w:tcPr>
            <w:tcW w:w="1119" w:type="dxa"/>
            <w:tcBorders>
              <w:top w:val="nil"/>
              <w:left w:val="nil"/>
              <w:bottom w:val="single" w:sz="4" w:space="0" w:color="auto"/>
              <w:right w:val="nil"/>
            </w:tcBorders>
            <w:hideMark/>
          </w:tcPr>
          <w:p w14:paraId="1319D787" w14:textId="77777777" w:rsidR="00592ED9" w:rsidRPr="00452A49" w:rsidRDefault="00592ED9">
            <w:pPr>
              <w:spacing w:before="120" w:after="120"/>
              <w:jc w:val="center"/>
              <w:rPr>
                <w:rFonts w:ascii="Times New Roman" w:hAnsi="Times New Roman" w:cs="Times New Roman"/>
                <w:color w:val="000000" w:themeColor="text1"/>
                <w:sz w:val="20"/>
                <w:szCs w:val="20"/>
              </w:rPr>
            </w:pPr>
            <w:r w:rsidRPr="00452A49">
              <w:rPr>
                <w:rFonts w:ascii="Times New Roman" w:hAnsi="Times New Roman" w:cs="Times New Roman"/>
                <w:color w:val="000000" w:themeColor="text1"/>
                <w:sz w:val="20"/>
                <w:szCs w:val="20"/>
              </w:rPr>
              <w:t>22,67</w:t>
            </w:r>
          </w:p>
        </w:tc>
        <w:tc>
          <w:tcPr>
            <w:tcW w:w="1942" w:type="dxa"/>
            <w:tcBorders>
              <w:top w:val="nil"/>
              <w:left w:val="nil"/>
              <w:bottom w:val="single" w:sz="4" w:space="0" w:color="auto"/>
              <w:right w:val="nil"/>
            </w:tcBorders>
            <w:hideMark/>
          </w:tcPr>
          <w:p w14:paraId="616E0027" w14:textId="77777777" w:rsidR="00592ED9" w:rsidRPr="00452A49" w:rsidRDefault="00592ED9">
            <w:pPr>
              <w:spacing w:before="120" w:after="120"/>
              <w:jc w:val="center"/>
              <w:rPr>
                <w:rFonts w:ascii="Times New Roman" w:hAnsi="Times New Roman" w:cs="Times New Roman"/>
                <w:color w:val="000000" w:themeColor="text1"/>
                <w:sz w:val="20"/>
                <w:szCs w:val="20"/>
              </w:rPr>
            </w:pPr>
            <w:r w:rsidRPr="00452A49">
              <w:rPr>
                <w:rFonts w:ascii="Times New Roman" w:hAnsi="Times New Roman" w:cs="Times New Roman"/>
                <w:color w:val="000000" w:themeColor="text1"/>
                <w:sz w:val="20"/>
                <w:szCs w:val="20"/>
              </w:rPr>
              <w:t>-8,16</w:t>
            </w:r>
          </w:p>
        </w:tc>
      </w:tr>
      <w:tr w:rsidR="00164238" w:rsidRPr="00452A49" w14:paraId="17C89BB6" w14:textId="77777777" w:rsidTr="00592ED9">
        <w:tc>
          <w:tcPr>
            <w:tcW w:w="1931" w:type="dxa"/>
            <w:tcBorders>
              <w:top w:val="single" w:sz="4" w:space="0" w:color="auto"/>
              <w:left w:val="nil"/>
              <w:bottom w:val="single" w:sz="4" w:space="0" w:color="auto"/>
              <w:right w:val="nil"/>
            </w:tcBorders>
            <w:hideMark/>
          </w:tcPr>
          <w:p w14:paraId="6D1A82F7" w14:textId="77777777" w:rsidR="00592ED9" w:rsidRPr="00452A49" w:rsidRDefault="00592ED9">
            <w:pPr>
              <w:spacing w:before="120" w:after="120"/>
              <w:jc w:val="center"/>
              <w:rPr>
                <w:rFonts w:ascii="Times New Roman" w:hAnsi="Times New Roman" w:cs="Times New Roman"/>
                <w:b/>
                <w:bCs/>
                <w:color w:val="000000" w:themeColor="text1"/>
                <w:sz w:val="20"/>
                <w:szCs w:val="20"/>
              </w:rPr>
            </w:pPr>
            <w:r w:rsidRPr="00452A49">
              <w:rPr>
                <w:rFonts w:ascii="Times New Roman" w:hAnsi="Times New Roman" w:cs="Times New Roman"/>
                <w:b/>
                <w:bCs/>
                <w:color w:val="000000" w:themeColor="text1"/>
                <w:sz w:val="20"/>
                <w:szCs w:val="20"/>
              </w:rPr>
              <w:t>Genel Toplam</w:t>
            </w:r>
          </w:p>
        </w:tc>
        <w:tc>
          <w:tcPr>
            <w:tcW w:w="1481" w:type="dxa"/>
            <w:tcBorders>
              <w:top w:val="single" w:sz="4" w:space="0" w:color="auto"/>
              <w:left w:val="nil"/>
              <w:bottom w:val="single" w:sz="4" w:space="0" w:color="auto"/>
              <w:right w:val="nil"/>
            </w:tcBorders>
            <w:hideMark/>
          </w:tcPr>
          <w:p w14:paraId="2D1F29DA" w14:textId="77777777" w:rsidR="00592ED9" w:rsidRPr="00452A49" w:rsidRDefault="00592ED9">
            <w:pPr>
              <w:spacing w:before="120" w:after="120"/>
              <w:jc w:val="center"/>
              <w:rPr>
                <w:rFonts w:ascii="Times New Roman" w:hAnsi="Times New Roman" w:cs="Times New Roman"/>
                <w:b/>
                <w:bCs/>
                <w:color w:val="000000" w:themeColor="text1"/>
                <w:sz w:val="20"/>
                <w:szCs w:val="20"/>
              </w:rPr>
            </w:pPr>
            <w:r w:rsidRPr="00452A49">
              <w:rPr>
                <w:rFonts w:ascii="Times New Roman" w:hAnsi="Times New Roman" w:cs="Times New Roman"/>
                <w:b/>
                <w:bCs/>
                <w:color w:val="000000" w:themeColor="text1"/>
                <w:sz w:val="20"/>
                <w:szCs w:val="20"/>
              </w:rPr>
              <w:t>19.165.380,26</w:t>
            </w:r>
          </w:p>
        </w:tc>
        <w:tc>
          <w:tcPr>
            <w:tcW w:w="1118" w:type="dxa"/>
            <w:tcBorders>
              <w:top w:val="single" w:sz="4" w:space="0" w:color="auto"/>
              <w:left w:val="nil"/>
              <w:bottom w:val="single" w:sz="4" w:space="0" w:color="auto"/>
              <w:right w:val="nil"/>
            </w:tcBorders>
            <w:hideMark/>
          </w:tcPr>
          <w:p w14:paraId="1F956E3C" w14:textId="77777777" w:rsidR="00592ED9" w:rsidRPr="00452A49" w:rsidRDefault="00592ED9">
            <w:pPr>
              <w:spacing w:before="120" w:after="120"/>
              <w:jc w:val="center"/>
              <w:rPr>
                <w:rFonts w:ascii="Times New Roman" w:hAnsi="Times New Roman" w:cs="Times New Roman"/>
                <w:b/>
                <w:bCs/>
                <w:color w:val="000000" w:themeColor="text1"/>
                <w:sz w:val="20"/>
                <w:szCs w:val="20"/>
              </w:rPr>
            </w:pPr>
            <w:r w:rsidRPr="00452A49">
              <w:rPr>
                <w:rFonts w:ascii="Times New Roman" w:hAnsi="Times New Roman" w:cs="Times New Roman"/>
                <w:b/>
                <w:bCs/>
                <w:color w:val="000000" w:themeColor="text1"/>
                <w:sz w:val="20"/>
                <w:szCs w:val="20"/>
              </w:rPr>
              <w:t>100,00</w:t>
            </w:r>
          </w:p>
        </w:tc>
        <w:tc>
          <w:tcPr>
            <w:tcW w:w="1481" w:type="dxa"/>
            <w:tcBorders>
              <w:top w:val="single" w:sz="4" w:space="0" w:color="auto"/>
              <w:left w:val="nil"/>
              <w:bottom w:val="single" w:sz="4" w:space="0" w:color="auto"/>
              <w:right w:val="nil"/>
            </w:tcBorders>
            <w:hideMark/>
          </w:tcPr>
          <w:p w14:paraId="42B2A5B3" w14:textId="77777777" w:rsidR="00592ED9" w:rsidRPr="00452A49" w:rsidRDefault="00592ED9">
            <w:pPr>
              <w:spacing w:before="120" w:after="120"/>
              <w:jc w:val="center"/>
              <w:rPr>
                <w:rFonts w:ascii="Times New Roman" w:hAnsi="Times New Roman" w:cs="Times New Roman"/>
                <w:b/>
                <w:bCs/>
                <w:color w:val="000000" w:themeColor="text1"/>
                <w:sz w:val="20"/>
                <w:szCs w:val="20"/>
              </w:rPr>
            </w:pPr>
            <w:r w:rsidRPr="00452A49">
              <w:rPr>
                <w:rFonts w:ascii="Times New Roman" w:hAnsi="Times New Roman" w:cs="Times New Roman"/>
                <w:b/>
                <w:bCs/>
                <w:color w:val="000000" w:themeColor="text1"/>
                <w:sz w:val="20"/>
                <w:szCs w:val="20"/>
              </w:rPr>
              <w:t>21.163.050,97</w:t>
            </w:r>
          </w:p>
        </w:tc>
        <w:tc>
          <w:tcPr>
            <w:tcW w:w="1119" w:type="dxa"/>
            <w:tcBorders>
              <w:top w:val="single" w:sz="4" w:space="0" w:color="auto"/>
              <w:left w:val="nil"/>
              <w:bottom w:val="single" w:sz="4" w:space="0" w:color="auto"/>
              <w:right w:val="nil"/>
            </w:tcBorders>
            <w:hideMark/>
          </w:tcPr>
          <w:p w14:paraId="5A8B9CD1" w14:textId="77777777" w:rsidR="00592ED9" w:rsidRPr="00452A49" w:rsidRDefault="00592ED9">
            <w:pPr>
              <w:spacing w:before="120" w:after="120"/>
              <w:jc w:val="center"/>
              <w:rPr>
                <w:rFonts w:ascii="Times New Roman" w:hAnsi="Times New Roman" w:cs="Times New Roman"/>
                <w:b/>
                <w:bCs/>
                <w:color w:val="000000" w:themeColor="text1"/>
                <w:sz w:val="20"/>
                <w:szCs w:val="20"/>
              </w:rPr>
            </w:pPr>
            <w:r w:rsidRPr="00452A49">
              <w:rPr>
                <w:rFonts w:ascii="Times New Roman" w:hAnsi="Times New Roman" w:cs="Times New Roman"/>
                <w:b/>
                <w:bCs/>
                <w:color w:val="000000" w:themeColor="text1"/>
                <w:sz w:val="20"/>
                <w:szCs w:val="20"/>
              </w:rPr>
              <w:t>100,00</w:t>
            </w:r>
          </w:p>
        </w:tc>
        <w:tc>
          <w:tcPr>
            <w:tcW w:w="1942" w:type="dxa"/>
            <w:tcBorders>
              <w:top w:val="single" w:sz="4" w:space="0" w:color="auto"/>
              <w:left w:val="nil"/>
              <w:bottom w:val="single" w:sz="4" w:space="0" w:color="auto"/>
              <w:right w:val="nil"/>
            </w:tcBorders>
            <w:hideMark/>
          </w:tcPr>
          <w:p w14:paraId="390BE122" w14:textId="77777777" w:rsidR="00592ED9" w:rsidRPr="00452A49" w:rsidRDefault="00592ED9">
            <w:pPr>
              <w:spacing w:before="120" w:after="120"/>
              <w:jc w:val="center"/>
              <w:rPr>
                <w:rFonts w:ascii="Times New Roman" w:hAnsi="Times New Roman" w:cs="Times New Roman"/>
                <w:b/>
                <w:bCs/>
                <w:color w:val="000000" w:themeColor="text1"/>
                <w:sz w:val="20"/>
                <w:szCs w:val="20"/>
              </w:rPr>
            </w:pPr>
            <w:r w:rsidRPr="00452A49">
              <w:rPr>
                <w:rFonts w:ascii="Times New Roman" w:hAnsi="Times New Roman" w:cs="Times New Roman"/>
                <w:b/>
                <w:bCs/>
                <w:color w:val="000000" w:themeColor="text1"/>
                <w:sz w:val="20"/>
                <w:szCs w:val="20"/>
              </w:rPr>
              <w:t>10,42</w:t>
            </w:r>
          </w:p>
        </w:tc>
      </w:tr>
    </w:tbl>
    <w:p w14:paraId="56C8BBC6" w14:textId="77777777" w:rsidR="00592ED9" w:rsidRPr="00164238" w:rsidRDefault="00592ED9" w:rsidP="00592ED9">
      <w:pPr>
        <w:tabs>
          <w:tab w:val="left" w:pos="426"/>
        </w:tabs>
        <w:spacing w:before="120" w:after="120"/>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Tablo 1’de yer alan verilere göre; mesken elektrik tüketimiyle birlikte sanayi elektrik tüketiminde de 2019 yılının Aralık ayı ile kıyaslandığında bir artış gözlemlenmiştir ancak mesken elektrik tüketiminde yaşanan artış sanayi elektrik tüketimindeki artıştan %1,09 daha fazladır.</w:t>
      </w:r>
    </w:p>
    <w:p w14:paraId="6DD87AD6" w14:textId="77777777" w:rsidR="00592ED9" w:rsidRPr="00164238" w:rsidRDefault="00592ED9" w:rsidP="00592ED9">
      <w:pPr>
        <w:tabs>
          <w:tab w:val="left" w:pos="426"/>
        </w:tabs>
        <w:spacing w:before="120" w:after="120"/>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Aynı yıla ilişkin Türkiye Elektrik Piyasası Sektör Raporlarına göre; 2020 yılının Aralık ayında mesken elektrik tüketiminde gözlemlenen benzer artışların Kasım ayında yüzde 7,71, Ekim ayında yüzde 10,82, Eylül ayında yüzde 2,44, Ağustos ayında yüzde 13,65 ve Temmuz ayında yüzde 6,71 olmak üzere gözlemlendiği ifade edilmiştir. Bu verilere benzer şekilde; küresel </w:t>
      </w:r>
      <w:r w:rsidRPr="00164238">
        <w:rPr>
          <w:rFonts w:ascii="Times New Roman" w:hAnsi="Times New Roman" w:cs="Times New Roman"/>
          <w:bCs/>
          <w:color w:val="000000" w:themeColor="text1"/>
        </w:rPr>
        <w:lastRenderedPageBreak/>
        <w:t>salgının ilan edildiği Mart ayından Haziran ayına kadar faturalanan mesken elektrik tüketimindeki artış eğiliminin mevcut olduğu da rapor sonuçları kapsamında gözlemlenmiştir.</w:t>
      </w:r>
    </w:p>
    <w:p w14:paraId="24ED50C4" w14:textId="77777777" w:rsidR="00592ED9" w:rsidRPr="00164238" w:rsidRDefault="00592ED9" w:rsidP="00592ED9">
      <w:pPr>
        <w:tabs>
          <w:tab w:val="left" w:pos="426"/>
        </w:tabs>
        <w:spacing w:before="120" w:after="120"/>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EPDK’nın 2020 yılı Doğal Gaz Sektör Raporu ‘nda yer alan Aralık 2019 ve Aralık 2020 Dönemlerindeki Doğal Gaz Tüketiminin Sektörlere Dağılımının Karşılaştırılması Tablosu incelendiğinde; özellikle konutlarda ve elektrik santralleri ile organize sanayi bölgelerinde doğal gaz tüketiminin 2019 yılının Aralık ayına kıyasla 2020 yılının Aralık ayında artış gösterdiği dikkat çekmektedir. </w:t>
      </w:r>
    </w:p>
    <w:p w14:paraId="3F402DC5" w14:textId="77777777" w:rsidR="00592ED9" w:rsidRPr="00164238" w:rsidRDefault="00592ED9" w:rsidP="00592ED9">
      <w:pPr>
        <w:tabs>
          <w:tab w:val="left" w:pos="426"/>
        </w:tabs>
        <w:spacing w:before="120" w:after="120"/>
        <w:ind w:firstLine="567"/>
        <w:rPr>
          <w:rFonts w:ascii="Times New Roman" w:hAnsi="Times New Roman" w:cs="Times New Roman"/>
          <w:bCs/>
          <w:i/>
          <w:color w:val="000000" w:themeColor="text1"/>
        </w:rPr>
      </w:pPr>
      <w:r w:rsidRPr="00164238">
        <w:rPr>
          <w:rFonts w:ascii="Times New Roman" w:hAnsi="Times New Roman" w:cs="Times New Roman"/>
          <w:bCs/>
          <w:i/>
          <w:color w:val="000000" w:themeColor="text1"/>
        </w:rPr>
        <w:t>Tablo 2. EPDK 2020 Yılı Aralık Ayı Doğal Gaz Sektör Raporu / Aralık 2019 ve Aralık 2020 Dönemlerindeki Doğal Gaz Tüketiminin Sektörlere Dağılımının Karşılaştırılması</w:t>
      </w:r>
    </w:p>
    <w:tbl>
      <w:tblPr>
        <w:tblStyle w:val="TabloKlavuzu"/>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47"/>
        <w:gridCol w:w="1074"/>
        <w:gridCol w:w="1119"/>
        <w:gridCol w:w="1087"/>
        <w:gridCol w:w="1107"/>
        <w:gridCol w:w="2071"/>
      </w:tblGrid>
      <w:tr w:rsidR="00164238" w:rsidRPr="00164238" w14:paraId="2096863F" w14:textId="77777777" w:rsidTr="00592ED9">
        <w:tc>
          <w:tcPr>
            <w:tcW w:w="2265" w:type="dxa"/>
            <w:tcBorders>
              <w:top w:val="single" w:sz="4" w:space="0" w:color="auto"/>
              <w:left w:val="nil"/>
              <w:bottom w:val="single" w:sz="4" w:space="0" w:color="auto"/>
              <w:right w:val="nil"/>
            </w:tcBorders>
          </w:tcPr>
          <w:p w14:paraId="1C28ABBF" w14:textId="77777777" w:rsidR="00592ED9" w:rsidRPr="00164238" w:rsidRDefault="00592ED9">
            <w:pPr>
              <w:spacing w:line="360" w:lineRule="auto"/>
              <w:jc w:val="center"/>
              <w:rPr>
                <w:rFonts w:ascii="Times New Roman" w:hAnsi="Times New Roman" w:cs="Times New Roman"/>
                <w:color w:val="000000" w:themeColor="text1"/>
                <w:lang w:val="en-US"/>
              </w:rPr>
            </w:pPr>
          </w:p>
        </w:tc>
        <w:tc>
          <w:tcPr>
            <w:tcW w:w="2265" w:type="dxa"/>
            <w:gridSpan w:val="2"/>
            <w:tcBorders>
              <w:top w:val="single" w:sz="4" w:space="0" w:color="auto"/>
              <w:left w:val="nil"/>
              <w:bottom w:val="single" w:sz="4" w:space="0" w:color="auto"/>
              <w:right w:val="nil"/>
            </w:tcBorders>
            <w:hideMark/>
          </w:tcPr>
          <w:p w14:paraId="5F51754F" w14:textId="77777777" w:rsidR="00592ED9" w:rsidRPr="00164238" w:rsidRDefault="00592ED9">
            <w:pPr>
              <w:spacing w:line="360" w:lineRule="auto"/>
              <w:jc w:val="center"/>
              <w:rPr>
                <w:rFonts w:ascii="Times New Roman" w:hAnsi="Times New Roman" w:cs="Times New Roman"/>
                <w:b/>
                <w:bCs/>
                <w:color w:val="000000" w:themeColor="text1"/>
              </w:rPr>
            </w:pPr>
            <w:r w:rsidRPr="00164238">
              <w:rPr>
                <w:rFonts w:ascii="Times New Roman" w:hAnsi="Times New Roman" w:cs="Times New Roman"/>
                <w:b/>
                <w:bCs/>
                <w:color w:val="000000" w:themeColor="text1"/>
              </w:rPr>
              <w:t>2019 Aralık</w:t>
            </w:r>
          </w:p>
        </w:tc>
        <w:tc>
          <w:tcPr>
            <w:tcW w:w="2266" w:type="dxa"/>
            <w:gridSpan w:val="2"/>
            <w:tcBorders>
              <w:top w:val="single" w:sz="4" w:space="0" w:color="auto"/>
              <w:left w:val="nil"/>
              <w:bottom w:val="single" w:sz="4" w:space="0" w:color="auto"/>
              <w:right w:val="nil"/>
            </w:tcBorders>
            <w:hideMark/>
          </w:tcPr>
          <w:p w14:paraId="530E3702" w14:textId="77777777" w:rsidR="00592ED9" w:rsidRPr="00164238" w:rsidRDefault="00592ED9">
            <w:pPr>
              <w:spacing w:line="360" w:lineRule="auto"/>
              <w:jc w:val="center"/>
              <w:rPr>
                <w:rFonts w:ascii="Times New Roman" w:hAnsi="Times New Roman" w:cs="Times New Roman"/>
                <w:b/>
                <w:bCs/>
                <w:color w:val="000000" w:themeColor="text1"/>
              </w:rPr>
            </w:pPr>
            <w:r w:rsidRPr="00164238">
              <w:rPr>
                <w:rFonts w:ascii="Times New Roman" w:hAnsi="Times New Roman" w:cs="Times New Roman"/>
                <w:b/>
                <w:bCs/>
                <w:color w:val="000000" w:themeColor="text1"/>
              </w:rPr>
              <w:t>2020 Aralık</w:t>
            </w:r>
          </w:p>
        </w:tc>
        <w:tc>
          <w:tcPr>
            <w:tcW w:w="2266" w:type="dxa"/>
            <w:tcBorders>
              <w:top w:val="single" w:sz="4" w:space="0" w:color="auto"/>
              <w:left w:val="nil"/>
              <w:bottom w:val="single" w:sz="4" w:space="0" w:color="auto"/>
              <w:right w:val="nil"/>
            </w:tcBorders>
          </w:tcPr>
          <w:p w14:paraId="6361235D" w14:textId="77777777" w:rsidR="00592ED9" w:rsidRPr="00164238" w:rsidRDefault="00592ED9">
            <w:pPr>
              <w:spacing w:line="360" w:lineRule="auto"/>
              <w:jc w:val="center"/>
              <w:rPr>
                <w:rFonts w:ascii="Times New Roman" w:hAnsi="Times New Roman" w:cs="Times New Roman"/>
                <w:color w:val="000000" w:themeColor="text1"/>
              </w:rPr>
            </w:pPr>
          </w:p>
        </w:tc>
      </w:tr>
      <w:tr w:rsidR="00164238" w:rsidRPr="00164238" w14:paraId="68DE13F7" w14:textId="77777777" w:rsidTr="00592ED9">
        <w:tc>
          <w:tcPr>
            <w:tcW w:w="2265" w:type="dxa"/>
            <w:tcBorders>
              <w:top w:val="single" w:sz="4" w:space="0" w:color="auto"/>
              <w:left w:val="nil"/>
              <w:bottom w:val="nil"/>
              <w:right w:val="nil"/>
            </w:tcBorders>
            <w:hideMark/>
          </w:tcPr>
          <w:p w14:paraId="49A8E219" w14:textId="77777777" w:rsidR="00592ED9" w:rsidRPr="00164238" w:rsidRDefault="00592ED9">
            <w:pPr>
              <w:spacing w:line="360" w:lineRule="auto"/>
              <w:jc w:val="center"/>
              <w:rPr>
                <w:rFonts w:ascii="Times New Roman" w:hAnsi="Times New Roman" w:cs="Times New Roman"/>
                <w:b/>
                <w:bCs/>
                <w:color w:val="000000" w:themeColor="text1"/>
              </w:rPr>
            </w:pPr>
            <w:r w:rsidRPr="00164238">
              <w:rPr>
                <w:rFonts w:ascii="Times New Roman" w:hAnsi="Times New Roman" w:cs="Times New Roman"/>
                <w:b/>
                <w:bCs/>
                <w:color w:val="000000" w:themeColor="text1"/>
              </w:rPr>
              <w:t>Sektör</w:t>
            </w:r>
          </w:p>
        </w:tc>
        <w:tc>
          <w:tcPr>
            <w:tcW w:w="1097" w:type="dxa"/>
            <w:tcBorders>
              <w:top w:val="single" w:sz="4" w:space="0" w:color="auto"/>
              <w:left w:val="nil"/>
              <w:bottom w:val="nil"/>
              <w:right w:val="nil"/>
            </w:tcBorders>
            <w:hideMark/>
          </w:tcPr>
          <w:p w14:paraId="6EF6B04C" w14:textId="77777777" w:rsidR="00592ED9" w:rsidRPr="00164238" w:rsidRDefault="00592ED9">
            <w:pPr>
              <w:spacing w:line="360" w:lineRule="auto"/>
              <w:jc w:val="center"/>
              <w:rPr>
                <w:rFonts w:ascii="Times New Roman" w:hAnsi="Times New Roman" w:cs="Times New Roman"/>
                <w:b/>
                <w:bCs/>
                <w:color w:val="000000" w:themeColor="text1"/>
              </w:rPr>
            </w:pPr>
            <w:r w:rsidRPr="00164238">
              <w:rPr>
                <w:rFonts w:ascii="Times New Roman" w:hAnsi="Times New Roman" w:cs="Times New Roman"/>
                <w:b/>
                <w:bCs/>
                <w:color w:val="000000" w:themeColor="text1"/>
              </w:rPr>
              <w:t>Miktar</w:t>
            </w:r>
          </w:p>
        </w:tc>
        <w:tc>
          <w:tcPr>
            <w:tcW w:w="1168" w:type="dxa"/>
            <w:tcBorders>
              <w:top w:val="single" w:sz="4" w:space="0" w:color="auto"/>
              <w:left w:val="nil"/>
              <w:bottom w:val="nil"/>
              <w:right w:val="nil"/>
            </w:tcBorders>
            <w:hideMark/>
          </w:tcPr>
          <w:p w14:paraId="08D63DF0" w14:textId="77777777" w:rsidR="00592ED9" w:rsidRPr="00164238" w:rsidRDefault="00592ED9">
            <w:pPr>
              <w:spacing w:line="360" w:lineRule="auto"/>
              <w:jc w:val="center"/>
              <w:rPr>
                <w:rFonts w:ascii="Times New Roman" w:hAnsi="Times New Roman" w:cs="Times New Roman"/>
                <w:b/>
                <w:bCs/>
                <w:color w:val="000000" w:themeColor="text1"/>
              </w:rPr>
            </w:pPr>
            <w:r w:rsidRPr="00164238">
              <w:rPr>
                <w:rFonts w:ascii="Times New Roman" w:hAnsi="Times New Roman" w:cs="Times New Roman"/>
                <w:b/>
                <w:bCs/>
                <w:color w:val="000000" w:themeColor="text1"/>
              </w:rPr>
              <w:t>Pay(%)</w:t>
            </w:r>
          </w:p>
        </w:tc>
        <w:tc>
          <w:tcPr>
            <w:tcW w:w="1114" w:type="dxa"/>
            <w:tcBorders>
              <w:top w:val="single" w:sz="4" w:space="0" w:color="auto"/>
              <w:left w:val="nil"/>
              <w:bottom w:val="nil"/>
              <w:right w:val="nil"/>
            </w:tcBorders>
            <w:hideMark/>
          </w:tcPr>
          <w:p w14:paraId="1E12CA13" w14:textId="77777777" w:rsidR="00592ED9" w:rsidRPr="00164238" w:rsidRDefault="00592ED9">
            <w:pPr>
              <w:spacing w:line="360" w:lineRule="auto"/>
              <w:jc w:val="center"/>
              <w:rPr>
                <w:rFonts w:ascii="Times New Roman" w:hAnsi="Times New Roman" w:cs="Times New Roman"/>
                <w:b/>
                <w:bCs/>
                <w:color w:val="000000" w:themeColor="text1"/>
              </w:rPr>
            </w:pPr>
            <w:r w:rsidRPr="00164238">
              <w:rPr>
                <w:rFonts w:ascii="Times New Roman" w:hAnsi="Times New Roman" w:cs="Times New Roman"/>
                <w:b/>
                <w:bCs/>
                <w:color w:val="000000" w:themeColor="text1"/>
              </w:rPr>
              <w:t>Miktar</w:t>
            </w:r>
          </w:p>
        </w:tc>
        <w:tc>
          <w:tcPr>
            <w:tcW w:w="1152" w:type="dxa"/>
            <w:tcBorders>
              <w:top w:val="single" w:sz="4" w:space="0" w:color="auto"/>
              <w:left w:val="nil"/>
              <w:bottom w:val="nil"/>
              <w:right w:val="nil"/>
            </w:tcBorders>
            <w:hideMark/>
          </w:tcPr>
          <w:p w14:paraId="51DF02FC" w14:textId="77777777" w:rsidR="00592ED9" w:rsidRPr="00164238" w:rsidRDefault="00592ED9">
            <w:pPr>
              <w:spacing w:line="360" w:lineRule="auto"/>
              <w:jc w:val="center"/>
              <w:rPr>
                <w:rFonts w:ascii="Times New Roman" w:hAnsi="Times New Roman" w:cs="Times New Roman"/>
                <w:b/>
                <w:bCs/>
                <w:color w:val="000000" w:themeColor="text1"/>
              </w:rPr>
            </w:pPr>
            <w:r w:rsidRPr="00164238">
              <w:rPr>
                <w:rFonts w:ascii="Times New Roman" w:hAnsi="Times New Roman" w:cs="Times New Roman"/>
                <w:b/>
                <w:bCs/>
                <w:color w:val="000000" w:themeColor="text1"/>
              </w:rPr>
              <w:t>Pay(%)</w:t>
            </w:r>
          </w:p>
        </w:tc>
        <w:tc>
          <w:tcPr>
            <w:tcW w:w="2266" w:type="dxa"/>
            <w:tcBorders>
              <w:top w:val="single" w:sz="4" w:space="0" w:color="auto"/>
              <w:left w:val="nil"/>
              <w:bottom w:val="nil"/>
              <w:right w:val="nil"/>
            </w:tcBorders>
            <w:hideMark/>
          </w:tcPr>
          <w:p w14:paraId="73824D58" w14:textId="77777777" w:rsidR="00592ED9" w:rsidRPr="00164238" w:rsidRDefault="00592ED9">
            <w:pPr>
              <w:spacing w:line="360" w:lineRule="auto"/>
              <w:jc w:val="center"/>
              <w:rPr>
                <w:rFonts w:ascii="Times New Roman" w:hAnsi="Times New Roman" w:cs="Times New Roman"/>
                <w:b/>
                <w:bCs/>
                <w:color w:val="000000" w:themeColor="text1"/>
              </w:rPr>
            </w:pPr>
            <w:r w:rsidRPr="00164238">
              <w:rPr>
                <w:rFonts w:ascii="Times New Roman" w:hAnsi="Times New Roman" w:cs="Times New Roman"/>
                <w:b/>
                <w:bCs/>
                <w:color w:val="000000" w:themeColor="text1"/>
              </w:rPr>
              <w:t>Değişim(%)</w:t>
            </w:r>
          </w:p>
        </w:tc>
      </w:tr>
      <w:tr w:rsidR="00164238" w:rsidRPr="00164238" w14:paraId="2A89F8C7" w14:textId="77777777" w:rsidTr="00592ED9">
        <w:tc>
          <w:tcPr>
            <w:tcW w:w="2265" w:type="dxa"/>
            <w:tcBorders>
              <w:top w:val="nil"/>
              <w:left w:val="nil"/>
              <w:bottom w:val="nil"/>
              <w:right w:val="nil"/>
            </w:tcBorders>
            <w:hideMark/>
          </w:tcPr>
          <w:p w14:paraId="2AB0D342" w14:textId="77777777" w:rsidR="00592ED9" w:rsidRPr="00164238" w:rsidRDefault="00592ED9">
            <w:pPr>
              <w:spacing w:line="360" w:lineRule="auto"/>
              <w:jc w:val="center"/>
              <w:rPr>
                <w:rFonts w:ascii="Times New Roman" w:hAnsi="Times New Roman" w:cs="Times New Roman"/>
                <w:b/>
                <w:bCs/>
                <w:color w:val="000000" w:themeColor="text1"/>
              </w:rPr>
            </w:pPr>
            <w:r w:rsidRPr="00164238">
              <w:rPr>
                <w:rFonts w:ascii="Times New Roman" w:hAnsi="Times New Roman" w:cs="Times New Roman"/>
                <w:b/>
                <w:bCs/>
                <w:color w:val="000000" w:themeColor="text1"/>
              </w:rPr>
              <w:t>Elektrik Santralleri</w:t>
            </w:r>
          </w:p>
        </w:tc>
        <w:tc>
          <w:tcPr>
            <w:tcW w:w="1097" w:type="dxa"/>
            <w:tcBorders>
              <w:top w:val="nil"/>
              <w:left w:val="nil"/>
              <w:bottom w:val="nil"/>
              <w:right w:val="nil"/>
            </w:tcBorders>
            <w:hideMark/>
          </w:tcPr>
          <w:p w14:paraId="5CA54D5D" w14:textId="77777777" w:rsidR="00592ED9" w:rsidRPr="00164238" w:rsidRDefault="00592ED9">
            <w:pPr>
              <w:spacing w:line="360" w:lineRule="auto"/>
              <w:jc w:val="center"/>
              <w:rPr>
                <w:rFonts w:ascii="Times New Roman" w:hAnsi="Times New Roman" w:cs="Times New Roman"/>
                <w:color w:val="000000" w:themeColor="text1"/>
              </w:rPr>
            </w:pPr>
            <w:r w:rsidRPr="00164238">
              <w:rPr>
                <w:rFonts w:ascii="Times New Roman" w:hAnsi="Times New Roman" w:cs="Times New Roman"/>
                <w:color w:val="000000" w:themeColor="text1"/>
              </w:rPr>
              <w:t>1.086,83</w:t>
            </w:r>
          </w:p>
        </w:tc>
        <w:tc>
          <w:tcPr>
            <w:tcW w:w="1168" w:type="dxa"/>
            <w:tcBorders>
              <w:top w:val="nil"/>
              <w:left w:val="nil"/>
              <w:bottom w:val="nil"/>
              <w:right w:val="nil"/>
            </w:tcBorders>
            <w:hideMark/>
          </w:tcPr>
          <w:p w14:paraId="4C95C014" w14:textId="77777777" w:rsidR="00592ED9" w:rsidRPr="00164238" w:rsidRDefault="00592ED9">
            <w:pPr>
              <w:spacing w:line="360" w:lineRule="auto"/>
              <w:jc w:val="center"/>
              <w:rPr>
                <w:rFonts w:ascii="Times New Roman" w:hAnsi="Times New Roman" w:cs="Times New Roman"/>
                <w:color w:val="000000" w:themeColor="text1"/>
              </w:rPr>
            </w:pPr>
            <w:r w:rsidRPr="00164238">
              <w:rPr>
                <w:rFonts w:ascii="Times New Roman" w:hAnsi="Times New Roman" w:cs="Times New Roman"/>
                <w:color w:val="000000" w:themeColor="text1"/>
              </w:rPr>
              <w:t>20,858</w:t>
            </w:r>
          </w:p>
        </w:tc>
        <w:tc>
          <w:tcPr>
            <w:tcW w:w="1114" w:type="dxa"/>
            <w:tcBorders>
              <w:top w:val="nil"/>
              <w:left w:val="nil"/>
              <w:bottom w:val="nil"/>
              <w:right w:val="nil"/>
            </w:tcBorders>
            <w:hideMark/>
          </w:tcPr>
          <w:p w14:paraId="27F68A32" w14:textId="77777777" w:rsidR="00592ED9" w:rsidRPr="00164238" w:rsidRDefault="00592ED9">
            <w:pPr>
              <w:spacing w:line="360" w:lineRule="auto"/>
              <w:jc w:val="center"/>
              <w:rPr>
                <w:rFonts w:ascii="Times New Roman" w:hAnsi="Times New Roman" w:cs="Times New Roman"/>
                <w:color w:val="000000" w:themeColor="text1"/>
              </w:rPr>
            </w:pPr>
            <w:r w:rsidRPr="00164238">
              <w:rPr>
                <w:rFonts w:ascii="Times New Roman" w:hAnsi="Times New Roman" w:cs="Times New Roman"/>
                <w:color w:val="000000" w:themeColor="text1"/>
              </w:rPr>
              <w:t>1.552,60</w:t>
            </w:r>
          </w:p>
        </w:tc>
        <w:tc>
          <w:tcPr>
            <w:tcW w:w="1152" w:type="dxa"/>
            <w:tcBorders>
              <w:top w:val="nil"/>
              <w:left w:val="nil"/>
              <w:bottom w:val="nil"/>
              <w:right w:val="nil"/>
            </w:tcBorders>
            <w:hideMark/>
          </w:tcPr>
          <w:p w14:paraId="38206C38" w14:textId="77777777" w:rsidR="00592ED9" w:rsidRPr="00164238" w:rsidRDefault="00592ED9">
            <w:pPr>
              <w:spacing w:line="360" w:lineRule="auto"/>
              <w:jc w:val="center"/>
              <w:rPr>
                <w:rFonts w:ascii="Times New Roman" w:hAnsi="Times New Roman" w:cs="Times New Roman"/>
                <w:color w:val="000000" w:themeColor="text1"/>
              </w:rPr>
            </w:pPr>
            <w:r w:rsidRPr="00164238">
              <w:rPr>
                <w:rFonts w:ascii="Times New Roman" w:hAnsi="Times New Roman" w:cs="Times New Roman"/>
                <w:color w:val="000000" w:themeColor="text1"/>
              </w:rPr>
              <w:t>25,563</w:t>
            </w:r>
          </w:p>
        </w:tc>
        <w:tc>
          <w:tcPr>
            <w:tcW w:w="2266" w:type="dxa"/>
            <w:tcBorders>
              <w:top w:val="nil"/>
              <w:left w:val="nil"/>
              <w:bottom w:val="nil"/>
              <w:right w:val="nil"/>
            </w:tcBorders>
            <w:hideMark/>
          </w:tcPr>
          <w:p w14:paraId="4EE461D5" w14:textId="77777777" w:rsidR="00592ED9" w:rsidRPr="00164238" w:rsidRDefault="00592ED9">
            <w:pPr>
              <w:spacing w:line="360" w:lineRule="auto"/>
              <w:jc w:val="center"/>
              <w:rPr>
                <w:rFonts w:ascii="Times New Roman" w:hAnsi="Times New Roman" w:cs="Times New Roman"/>
                <w:color w:val="000000" w:themeColor="text1"/>
              </w:rPr>
            </w:pPr>
            <w:r w:rsidRPr="00164238">
              <w:rPr>
                <w:rFonts w:ascii="Times New Roman" w:hAnsi="Times New Roman" w:cs="Times New Roman"/>
                <w:color w:val="000000" w:themeColor="text1"/>
              </w:rPr>
              <w:t>42,86</w:t>
            </w:r>
          </w:p>
        </w:tc>
      </w:tr>
      <w:tr w:rsidR="00164238" w:rsidRPr="00164238" w14:paraId="103A87B1" w14:textId="77777777" w:rsidTr="00592ED9">
        <w:tc>
          <w:tcPr>
            <w:tcW w:w="2265" w:type="dxa"/>
            <w:tcBorders>
              <w:top w:val="nil"/>
              <w:left w:val="nil"/>
              <w:bottom w:val="nil"/>
              <w:right w:val="nil"/>
            </w:tcBorders>
            <w:hideMark/>
          </w:tcPr>
          <w:p w14:paraId="0A19C050" w14:textId="77777777" w:rsidR="00592ED9" w:rsidRPr="00164238" w:rsidRDefault="00592ED9">
            <w:pPr>
              <w:spacing w:line="360" w:lineRule="auto"/>
              <w:jc w:val="center"/>
              <w:rPr>
                <w:rFonts w:ascii="Times New Roman" w:hAnsi="Times New Roman" w:cs="Times New Roman"/>
                <w:b/>
                <w:bCs/>
                <w:color w:val="000000" w:themeColor="text1"/>
              </w:rPr>
            </w:pPr>
            <w:r w:rsidRPr="00164238">
              <w:rPr>
                <w:rFonts w:ascii="Times New Roman" w:hAnsi="Times New Roman" w:cs="Times New Roman"/>
                <w:b/>
                <w:bCs/>
                <w:color w:val="000000" w:themeColor="text1"/>
              </w:rPr>
              <w:t>OSB’ler</w:t>
            </w:r>
          </w:p>
        </w:tc>
        <w:tc>
          <w:tcPr>
            <w:tcW w:w="1097" w:type="dxa"/>
            <w:tcBorders>
              <w:top w:val="nil"/>
              <w:left w:val="nil"/>
              <w:bottom w:val="nil"/>
              <w:right w:val="nil"/>
            </w:tcBorders>
            <w:hideMark/>
          </w:tcPr>
          <w:p w14:paraId="18F3849F" w14:textId="77777777" w:rsidR="00592ED9" w:rsidRPr="00164238" w:rsidRDefault="00592ED9">
            <w:pPr>
              <w:spacing w:line="360" w:lineRule="auto"/>
              <w:jc w:val="center"/>
              <w:rPr>
                <w:rFonts w:ascii="Times New Roman" w:hAnsi="Times New Roman" w:cs="Times New Roman"/>
                <w:color w:val="000000" w:themeColor="text1"/>
              </w:rPr>
            </w:pPr>
            <w:r w:rsidRPr="00164238">
              <w:rPr>
                <w:rFonts w:ascii="Times New Roman" w:hAnsi="Times New Roman" w:cs="Times New Roman"/>
                <w:color w:val="000000" w:themeColor="text1"/>
              </w:rPr>
              <w:t>348,30</w:t>
            </w:r>
          </w:p>
        </w:tc>
        <w:tc>
          <w:tcPr>
            <w:tcW w:w="1168" w:type="dxa"/>
            <w:tcBorders>
              <w:top w:val="nil"/>
              <w:left w:val="nil"/>
              <w:bottom w:val="nil"/>
              <w:right w:val="nil"/>
            </w:tcBorders>
            <w:hideMark/>
          </w:tcPr>
          <w:p w14:paraId="51338D25" w14:textId="77777777" w:rsidR="00592ED9" w:rsidRPr="00164238" w:rsidRDefault="00592ED9">
            <w:pPr>
              <w:spacing w:line="360" w:lineRule="auto"/>
              <w:jc w:val="center"/>
              <w:rPr>
                <w:rFonts w:ascii="Times New Roman" w:hAnsi="Times New Roman" w:cs="Times New Roman"/>
                <w:color w:val="000000" w:themeColor="text1"/>
              </w:rPr>
            </w:pPr>
            <w:r w:rsidRPr="00164238">
              <w:rPr>
                <w:rFonts w:ascii="Times New Roman" w:hAnsi="Times New Roman" w:cs="Times New Roman"/>
                <w:color w:val="000000" w:themeColor="text1"/>
              </w:rPr>
              <w:t>6,685</w:t>
            </w:r>
          </w:p>
        </w:tc>
        <w:tc>
          <w:tcPr>
            <w:tcW w:w="1114" w:type="dxa"/>
            <w:tcBorders>
              <w:top w:val="nil"/>
              <w:left w:val="nil"/>
              <w:bottom w:val="nil"/>
              <w:right w:val="nil"/>
            </w:tcBorders>
            <w:hideMark/>
          </w:tcPr>
          <w:p w14:paraId="41BAA5EC" w14:textId="77777777" w:rsidR="00592ED9" w:rsidRPr="00164238" w:rsidRDefault="00592ED9">
            <w:pPr>
              <w:spacing w:line="360" w:lineRule="auto"/>
              <w:jc w:val="center"/>
              <w:rPr>
                <w:rFonts w:ascii="Times New Roman" w:hAnsi="Times New Roman" w:cs="Times New Roman"/>
                <w:color w:val="000000" w:themeColor="text1"/>
              </w:rPr>
            </w:pPr>
            <w:r w:rsidRPr="00164238">
              <w:rPr>
                <w:rFonts w:ascii="Times New Roman" w:hAnsi="Times New Roman" w:cs="Times New Roman"/>
                <w:color w:val="000000" w:themeColor="text1"/>
              </w:rPr>
              <w:t>373,55</w:t>
            </w:r>
          </w:p>
        </w:tc>
        <w:tc>
          <w:tcPr>
            <w:tcW w:w="1152" w:type="dxa"/>
            <w:tcBorders>
              <w:top w:val="nil"/>
              <w:left w:val="nil"/>
              <w:bottom w:val="nil"/>
              <w:right w:val="nil"/>
            </w:tcBorders>
            <w:hideMark/>
          </w:tcPr>
          <w:p w14:paraId="307C34A3" w14:textId="77777777" w:rsidR="00592ED9" w:rsidRPr="00164238" w:rsidRDefault="00592ED9">
            <w:pPr>
              <w:spacing w:line="360" w:lineRule="auto"/>
              <w:jc w:val="center"/>
              <w:rPr>
                <w:rFonts w:ascii="Times New Roman" w:hAnsi="Times New Roman" w:cs="Times New Roman"/>
                <w:color w:val="000000" w:themeColor="text1"/>
              </w:rPr>
            </w:pPr>
            <w:r w:rsidRPr="00164238">
              <w:rPr>
                <w:rFonts w:ascii="Times New Roman" w:hAnsi="Times New Roman" w:cs="Times New Roman"/>
                <w:color w:val="000000" w:themeColor="text1"/>
              </w:rPr>
              <w:t>6,150</w:t>
            </w:r>
          </w:p>
        </w:tc>
        <w:tc>
          <w:tcPr>
            <w:tcW w:w="2266" w:type="dxa"/>
            <w:tcBorders>
              <w:top w:val="nil"/>
              <w:left w:val="nil"/>
              <w:bottom w:val="nil"/>
              <w:right w:val="nil"/>
            </w:tcBorders>
            <w:hideMark/>
          </w:tcPr>
          <w:p w14:paraId="27FC2C41" w14:textId="77777777" w:rsidR="00592ED9" w:rsidRPr="00164238" w:rsidRDefault="00592ED9">
            <w:pPr>
              <w:spacing w:line="360" w:lineRule="auto"/>
              <w:jc w:val="center"/>
              <w:rPr>
                <w:rFonts w:ascii="Times New Roman" w:hAnsi="Times New Roman" w:cs="Times New Roman"/>
                <w:color w:val="000000" w:themeColor="text1"/>
              </w:rPr>
            </w:pPr>
            <w:r w:rsidRPr="00164238">
              <w:rPr>
                <w:rFonts w:ascii="Times New Roman" w:hAnsi="Times New Roman" w:cs="Times New Roman"/>
                <w:color w:val="000000" w:themeColor="text1"/>
              </w:rPr>
              <w:t>7,25</w:t>
            </w:r>
          </w:p>
        </w:tc>
      </w:tr>
      <w:tr w:rsidR="00592ED9" w:rsidRPr="00164238" w14:paraId="0AEE5533" w14:textId="77777777" w:rsidTr="00592ED9">
        <w:tc>
          <w:tcPr>
            <w:tcW w:w="2265" w:type="dxa"/>
            <w:tcBorders>
              <w:top w:val="nil"/>
              <w:left w:val="nil"/>
              <w:bottom w:val="single" w:sz="4" w:space="0" w:color="auto"/>
              <w:right w:val="nil"/>
            </w:tcBorders>
            <w:hideMark/>
          </w:tcPr>
          <w:p w14:paraId="30744F1E" w14:textId="77777777" w:rsidR="00592ED9" w:rsidRPr="00164238" w:rsidRDefault="00592ED9">
            <w:pPr>
              <w:spacing w:line="360" w:lineRule="auto"/>
              <w:jc w:val="center"/>
              <w:rPr>
                <w:rFonts w:ascii="Times New Roman" w:hAnsi="Times New Roman" w:cs="Times New Roman"/>
                <w:b/>
                <w:bCs/>
                <w:color w:val="000000" w:themeColor="text1"/>
              </w:rPr>
            </w:pPr>
            <w:r w:rsidRPr="00164238">
              <w:rPr>
                <w:rFonts w:ascii="Times New Roman" w:hAnsi="Times New Roman" w:cs="Times New Roman"/>
                <w:b/>
                <w:bCs/>
                <w:color w:val="000000" w:themeColor="text1"/>
              </w:rPr>
              <w:t>Konut</w:t>
            </w:r>
          </w:p>
        </w:tc>
        <w:tc>
          <w:tcPr>
            <w:tcW w:w="1097" w:type="dxa"/>
            <w:tcBorders>
              <w:top w:val="nil"/>
              <w:left w:val="nil"/>
              <w:bottom w:val="single" w:sz="4" w:space="0" w:color="auto"/>
              <w:right w:val="nil"/>
            </w:tcBorders>
            <w:hideMark/>
          </w:tcPr>
          <w:p w14:paraId="790C061D" w14:textId="77777777" w:rsidR="00592ED9" w:rsidRPr="00164238" w:rsidRDefault="00592ED9">
            <w:pPr>
              <w:spacing w:line="360" w:lineRule="auto"/>
              <w:jc w:val="center"/>
              <w:rPr>
                <w:rFonts w:ascii="Times New Roman" w:hAnsi="Times New Roman" w:cs="Times New Roman"/>
                <w:color w:val="000000" w:themeColor="text1"/>
              </w:rPr>
            </w:pPr>
            <w:r w:rsidRPr="00164238">
              <w:rPr>
                <w:rFonts w:ascii="Times New Roman" w:hAnsi="Times New Roman" w:cs="Times New Roman"/>
                <w:color w:val="000000" w:themeColor="text1"/>
              </w:rPr>
              <w:t>2,025,56</w:t>
            </w:r>
          </w:p>
        </w:tc>
        <w:tc>
          <w:tcPr>
            <w:tcW w:w="1168" w:type="dxa"/>
            <w:tcBorders>
              <w:top w:val="nil"/>
              <w:left w:val="nil"/>
              <w:bottom w:val="single" w:sz="4" w:space="0" w:color="auto"/>
              <w:right w:val="nil"/>
            </w:tcBorders>
            <w:hideMark/>
          </w:tcPr>
          <w:p w14:paraId="5D538D08" w14:textId="77777777" w:rsidR="00592ED9" w:rsidRPr="00164238" w:rsidRDefault="00592ED9">
            <w:pPr>
              <w:spacing w:line="360" w:lineRule="auto"/>
              <w:jc w:val="center"/>
              <w:rPr>
                <w:rFonts w:ascii="Times New Roman" w:hAnsi="Times New Roman" w:cs="Times New Roman"/>
                <w:color w:val="000000" w:themeColor="text1"/>
              </w:rPr>
            </w:pPr>
            <w:r w:rsidRPr="00164238">
              <w:rPr>
                <w:rFonts w:ascii="Times New Roman" w:hAnsi="Times New Roman" w:cs="Times New Roman"/>
                <w:color w:val="000000" w:themeColor="text1"/>
              </w:rPr>
              <w:t>38,874</w:t>
            </w:r>
          </w:p>
        </w:tc>
        <w:tc>
          <w:tcPr>
            <w:tcW w:w="1114" w:type="dxa"/>
            <w:tcBorders>
              <w:top w:val="nil"/>
              <w:left w:val="nil"/>
              <w:bottom w:val="single" w:sz="4" w:space="0" w:color="auto"/>
              <w:right w:val="nil"/>
            </w:tcBorders>
            <w:hideMark/>
          </w:tcPr>
          <w:p w14:paraId="6956478B" w14:textId="77777777" w:rsidR="00592ED9" w:rsidRPr="00164238" w:rsidRDefault="00592ED9">
            <w:pPr>
              <w:spacing w:line="360" w:lineRule="auto"/>
              <w:jc w:val="center"/>
              <w:rPr>
                <w:rFonts w:ascii="Times New Roman" w:hAnsi="Times New Roman" w:cs="Times New Roman"/>
                <w:color w:val="000000" w:themeColor="text1"/>
              </w:rPr>
            </w:pPr>
            <w:r w:rsidRPr="00164238">
              <w:rPr>
                <w:rFonts w:ascii="Times New Roman" w:hAnsi="Times New Roman" w:cs="Times New Roman"/>
                <w:color w:val="000000" w:themeColor="text1"/>
              </w:rPr>
              <w:t>2.315,98</w:t>
            </w:r>
          </w:p>
        </w:tc>
        <w:tc>
          <w:tcPr>
            <w:tcW w:w="1152" w:type="dxa"/>
            <w:tcBorders>
              <w:top w:val="nil"/>
              <w:left w:val="nil"/>
              <w:bottom w:val="single" w:sz="4" w:space="0" w:color="auto"/>
              <w:right w:val="nil"/>
            </w:tcBorders>
            <w:hideMark/>
          </w:tcPr>
          <w:p w14:paraId="2E037EF5" w14:textId="77777777" w:rsidR="00592ED9" w:rsidRPr="00164238" w:rsidRDefault="00592ED9">
            <w:pPr>
              <w:spacing w:line="360" w:lineRule="auto"/>
              <w:jc w:val="center"/>
              <w:rPr>
                <w:rFonts w:ascii="Times New Roman" w:hAnsi="Times New Roman" w:cs="Times New Roman"/>
                <w:color w:val="000000" w:themeColor="text1"/>
              </w:rPr>
            </w:pPr>
            <w:r w:rsidRPr="00164238">
              <w:rPr>
                <w:rFonts w:ascii="Times New Roman" w:hAnsi="Times New Roman" w:cs="Times New Roman"/>
                <w:color w:val="000000" w:themeColor="text1"/>
              </w:rPr>
              <w:t>38,132</w:t>
            </w:r>
          </w:p>
        </w:tc>
        <w:tc>
          <w:tcPr>
            <w:tcW w:w="2266" w:type="dxa"/>
            <w:tcBorders>
              <w:top w:val="nil"/>
              <w:left w:val="nil"/>
              <w:bottom w:val="single" w:sz="4" w:space="0" w:color="auto"/>
              <w:right w:val="nil"/>
            </w:tcBorders>
            <w:hideMark/>
          </w:tcPr>
          <w:p w14:paraId="572A4037" w14:textId="77777777" w:rsidR="00592ED9" w:rsidRPr="00164238" w:rsidRDefault="00592ED9">
            <w:pPr>
              <w:spacing w:line="360" w:lineRule="auto"/>
              <w:jc w:val="center"/>
              <w:rPr>
                <w:rFonts w:ascii="Times New Roman" w:hAnsi="Times New Roman" w:cs="Times New Roman"/>
                <w:color w:val="000000" w:themeColor="text1"/>
              </w:rPr>
            </w:pPr>
            <w:r w:rsidRPr="00164238">
              <w:rPr>
                <w:rFonts w:ascii="Times New Roman" w:hAnsi="Times New Roman" w:cs="Times New Roman"/>
                <w:color w:val="000000" w:themeColor="text1"/>
              </w:rPr>
              <w:t>14,34</w:t>
            </w:r>
          </w:p>
        </w:tc>
      </w:tr>
    </w:tbl>
    <w:p w14:paraId="7447497C" w14:textId="77777777" w:rsidR="00592ED9" w:rsidRPr="00164238" w:rsidRDefault="00592ED9" w:rsidP="00592ED9">
      <w:pPr>
        <w:tabs>
          <w:tab w:val="left" w:pos="426"/>
        </w:tabs>
        <w:spacing w:before="120" w:after="120"/>
        <w:rPr>
          <w:rFonts w:ascii="Times New Roman" w:hAnsi="Times New Roman" w:cs="Times New Roman"/>
          <w:bCs/>
          <w:color w:val="000000" w:themeColor="text1"/>
          <w:sz w:val="20"/>
          <w:szCs w:val="20"/>
        </w:rPr>
      </w:pPr>
    </w:p>
    <w:p w14:paraId="6DDB1095" w14:textId="77777777" w:rsidR="00592ED9" w:rsidRPr="00164238" w:rsidRDefault="00592ED9" w:rsidP="00592ED9">
      <w:pPr>
        <w:tabs>
          <w:tab w:val="left" w:pos="426"/>
        </w:tabs>
        <w:spacing w:before="120" w:after="120"/>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Aynı tabloda yer alan tüm sektörler için genel toplam doğal gaz tüketimin 2019 yılına kıyasla 2020 yılında %16,56 oranında artış gösterdiği görülmüştür. </w:t>
      </w:r>
    </w:p>
    <w:p w14:paraId="08180BC2" w14:textId="77777777" w:rsidR="00592ED9" w:rsidRPr="00164238" w:rsidRDefault="00592ED9" w:rsidP="00592ED9">
      <w:pPr>
        <w:tabs>
          <w:tab w:val="left" w:pos="426"/>
        </w:tabs>
        <w:spacing w:before="120" w:after="120"/>
        <w:ind w:firstLine="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Benzer şekilde; 2020 yılı Kasım ayı doğal gaz tüketimi verilerine bakıldığında elektrik santrallerindeki tüketimde %59,02, OSB’lerdeki tüketimde %11,12 ve konutlardaki tüketimde %49,08’lik bir artış yaşandığı ifade edilmiştir.</w:t>
      </w:r>
    </w:p>
    <w:p w14:paraId="1D87CD0C" w14:textId="77777777" w:rsidR="00592ED9" w:rsidRPr="00164238" w:rsidRDefault="00592ED9" w:rsidP="00592ED9">
      <w:pPr>
        <w:pStyle w:val="GvdeMetni2"/>
        <w:spacing w:line="276" w:lineRule="auto"/>
        <w:ind w:firstLine="567"/>
        <w:jc w:val="both"/>
        <w:rPr>
          <w:b/>
          <w:color w:val="000000" w:themeColor="text1"/>
        </w:rPr>
      </w:pPr>
      <w:r w:rsidRPr="00164238">
        <w:rPr>
          <w:b/>
          <w:color w:val="000000" w:themeColor="text1"/>
        </w:rPr>
        <w:t>SONUÇ VE ÖNERİLER</w:t>
      </w:r>
    </w:p>
    <w:p w14:paraId="7DD20858" w14:textId="77777777" w:rsidR="00592ED9" w:rsidRPr="00164238" w:rsidRDefault="00592ED9" w:rsidP="00592ED9">
      <w:pPr>
        <w:spacing w:before="120" w:after="120"/>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Literatürde yer alan çalışmalar ile ulusal enerji tüketimi verilerinin incelenmesi neticesinde; Küresel salgın olarak ilan edilen COVID-19 hastalığının neden olduğu enerji tüketimi değişikliklerinin;</w:t>
      </w:r>
    </w:p>
    <w:p w14:paraId="7D9700A4" w14:textId="77777777" w:rsidR="00592ED9" w:rsidRPr="00164238" w:rsidRDefault="00592ED9" w:rsidP="00592ED9">
      <w:pPr>
        <w:spacing w:before="120" w:after="120"/>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1. Bireysel enerji tüketicilerinin hane içi enerji tüketimlerinde gözlemlenen artış eğilimi,</w:t>
      </w:r>
    </w:p>
    <w:p w14:paraId="25008A57" w14:textId="77777777" w:rsidR="00592ED9" w:rsidRPr="00164238" w:rsidRDefault="00592ED9" w:rsidP="00592ED9">
      <w:pPr>
        <w:spacing w:before="120" w:after="120"/>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2. Bireylerin toplu taşıma kullanımında gözlemlenen azalış,</w:t>
      </w:r>
    </w:p>
    <w:p w14:paraId="20C801B3" w14:textId="77777777" w:rsidR="00592ED9" w:rsidRPr="00164238" w:rsidRDefault="00592ED9" w:rsidP="00592ED9">
      <w:pPr>
        <w:spacing w:before="120" w:after="120"/>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3. Karantina önlemleri süresince endüstriyel bazda yaşanan durgunluğun sanayi bazında enerji tüketiminde yarattığı azalış olarak ifade edilebileceği görülmüştür. Bireylerin tüketici rollerini kamusal alanlardan ziyade hane içi alanlarda göstermeye başlamaları sebebiyle hem alışveriş hem de enerji tüketimi alışkanlıklarında köklü değişimler gözlemlenmiştir. Bu gibi değişimlerin çevresel etkilerinin öngörülebilmesi, sürdürülebilirlik kavramının hedeflerinden olan gelecek nesillerin doğal kaynaklara ulaşımının korunması gerekliliğine katkıda bulunacaktır.</w:t>
      </w:r>
    </w:p>
    <w:p w14:paraId="33F5FE8E" w14:textId="77777777" w:rsidR="00592ED9" w:rsidRPr="00164238" w:rsidRDefault="00592ED9" w:rsidP="00592ED9">
      <w:pPr>
        <w:spacing w:before="120" w:after="120"/>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Sosyal pazarlamanın tüketici davranışlarını pazarlama iletişimi faaliyetleri aracılığıyla etkileyebilme gücü bulunmaktadır. Pandemi süresince bireysel tüketicilerin enerji tüketimi alışkanlıklarında ve günlük rutinlerinde meydana gelen değişikliklerin özellikle pandemi sonrası süreçte de yerleşik hale gelmesi ve dolayısıyla çevresel sürdürülebilirlik anlamında olumsuz sonuçlar oluşabileceğinden endişe edilmektedir. Bireysel tüketicilerin salgın süresince toplumsal farkındalık ve duyarlılıklarının arttığı, kendileriyle birlikte toplum sağlığını da düşünmeye </w:t>
      </w:r>
      <w:r w:rsidRPr="00164238">
        <w:rPr>
          <w:rFonts w:ascii="Times New Roman" w:hAnsi="Times New Roman" w:cs="Times New Roman"/>
          <w:color w:val="000000" w:themeColor="text1"/>
        </w:rPr>
        <w:lastRenderedPageBreak/>
        <w:t xml:space="preserve">başladıkları bu dönemde, doğal çevrenin korunumu ve kaynak tasarrufu gibi konularda da duyarlı olabilecekleri düşünülmektedir. Bahse konu duyarlılığın oluşturulabilmesinde ise pazarlama uzmanlarına da bazı sorumluluklar düşmektedir. Bu süreçte; artan enerji tüketiminin kaynak ve doğal çevre korunumuna zarar vererek küresel ısınmayı hızlandırdığı bireysel enerji tüketicilerine çeşitli sosyal pazarlama iletişimi çalışmalarıyla aktarılabilir. </w:t>
      </w:r>
    </w:p>
    <w:p w14:paraId="7F334ED8" w14:textId="77777777" w:rsidR="00592ED9" w:rsidRPr="00164238" w:rsidRDefault="00592ED9" w:rsidP="00592ED9">
      <w:pPr>
        <w:spacing w:before="120" w:after="120"/>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Benzer şekilde, hane halkı enerji tüketicilerinin enerji duyarlılıkları, enerji tasarrufunda bulunmaya yönelik niyet, tutum ve davranışları çeşitli pazarlama araştırmaları aracılığıyla gözlemlenebilir. Böylece tüketicilerin enerji tasarrufunda bulunmalarına etkide bulunan bilişsel faktörlerin analiz edilmesi ve bu faktörlere yönelik pazarlama stratejileri oluşturulması mümkün olabilecektir. Ayrıca enerji tüketicilerinin günün hangi saatlerinde ne miktarda tüketim yaptıklarını takip edebilmelerini sağlayan akıllı ev sistemleri ile akıllı sayaç uygulamalarının teşvik edilmesi ve tüketicilerin bu hususlar hakkında bilgilendirilmeleri de önem arz etmektedir. Enerji tüketicilerinin günün hangi saatlerinde yoğun şekilde enerji tükettiklerini ve akıllı tarife uygulaması yoluyla maddi anlamda da tasarruf edebileceklerini bilmelerinin, enerji talep yönetimi ve arz güvenliği açısından işletmeler için yol gösterici olabileceği düşünülmektedir. Bu nedenle hem tasarruf bilinci hem de enerji yönetimine imkan sağlayan teknolojik gelişmeleri tüketicilere benimsetmek adına pazarlama iletişimi çalışmalarına yoğunluk verilmesinin faydalı olacağı kanaatine varılmıştır.</w:t>
      </w:r>
    </w:p>
    <w:p w14:paraId="3CE3B74C" w14:textId="70521990" w:rsidR="006A4DC2" w:rsidRPr="00164238" w:rsidRDefault="00C95516" w:rsidP="006A4DC2">
      <w:pPr>
        <w:spacing w:line="276" w:lineRule="auto"/>
        <w:ind w:firstLine="567"/>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Kaynakça</w:t>
      </w:r>
    </w:p>
    <w:p w14:paraId="29A78E78" w14:textId="77777777" w:rsidR="00592ED9" w:rsidRPr="00164238" w:rsidRDefault="00592ED9" w:rsidP="00592ED9">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Acar, A. &amp; Saygın, D. (2020). Covid-19 Döneminde Dünyada ve Türkıye’de Enerji Dönüşümüne Bakış. Sabancı Üniversitesi İpm–Mercator Politika Notu. </w:t>
      </w:r>
    </w:p>
    <w:p w14:paraId="1C11660A" w14:textId="77777777" w:rsidR="00592ED9" w:rsidRPr="00164238" w:rsidRDefault="00592ED9" w:rsidP="00592ED9">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Chen, C.-f., Rubens, G. Z., Xu, X., &amp; Lic, J. (2020). Coronavirus comes home? Energy use, home energy management, and the social-psychological factors of COVID-19. Energy Research &amp; Social Science.</w:t>
      </w:r>
    </w:p>
    <w:p w14:paraId="62845C4E" w14:textId="77777777" w:rsidR="00592ED9" w:rsidRPr="00164238" w:rsidRDefault="00592ED9" w:rsidP="00592ED9">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Çakıroğlu, I., Pirtini, S., &amp; Çengel, Ö. (2020). Covid-19 Sürecinde ve Post-Pandemi Döneminde Yaşam Tarzı Açısından Tüketici Davranışlarının Değişen Eğilimi Üzerine Kavramsal Bir Çalışma. İstanbul Ticaret Üniversitesi Sosyal Bilimler Dergisi, 19(37), 81-103.</w:t>
      </w:r>
    </w:p>
    <w:p w14:paraId="0AD611E7" w14:textId="77777777" w:rsidR="00592ED9" w:rsidRPr="00164238" w:rsidRDefault="00592ED9" w:rsidP="00592ED9">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Elektrik Piyasası Düzenleme Kurumu. (2020). Doğal Gaz Piyasası Sektör Raporu (Aralık Ayı). EPDK.</w:t>
      </w:r>
    </w:p>
    <w:p w14:paraId="51797E2B" w14:textId="77777777" w:rsidR="00592ED9" w:rsidRPr="00164238" w:rsidRDefault="00592ED9" w:rsidP="00592ED9">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Elektrik Piyasası Düzenleme Kurumu. (2020). Doğal Gaz Piyasası Sektör Raporu (Kasım Ayı). EPDK.</w:t>
      </w:r>
    </w:p>
    <w:p w14:paraId="3CEA1AC0" w14:textId="77777777" w:rsidR="00592ED9" w:rsidRPr="00164238" w:rsidRDefault="00592ED9" w:rsidP="00592ED9">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Elektrik Piyasası Düzenleme Kurumu. (2020). Elektrik Piyasası Sektör Raporu (Aralık Ayı). EPDK.</w:t>
      </w:r>
    </w:p>
    <w:p w14:paraId="7C111D80" w14:textId="77777777" w:rsidR="00592ED9" w:rsidRPr="00164238" w:rsidRDefault="00592ED9" w:rsidP="00592ED9">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Elektrik Piyasası Düzenleme Kurumu. (2020). Elektrik Piyasası Sektör Raporu (Kasım Ayı). EPDK.</w:t>
      </w:r>
    </w:p>
    <w:p w14:paraId="37A5AAF7" w14:textId="77777777" w:rsidR="00592ED9" w:rsidRPr="00164238" w:rsidRDefault="00592ED9" w:rsidP="00592ED9">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Elektrik Piyasası Düzenleme Kurumu. (2020). Elektrik Piyasası Sektör Raporu (Ekim Ayı). EPDK.</w:t>
      </w:r>
    </w:p>
    <w:p w14:paraId="699C9C1F" w14:textId="77777777" w:rsidR="00592ED9" w:rsidRPr="00164238" w:rsidRDefault="00592ED9" w:rsidP="00592ED9">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Elektrik Piyasası Düzenleme Kurumu. (2020). Elektrik Piyasası Sektör Raporu (Eylül Ayı). EPDK.</w:t>
      </w:r>
    </w:p>
    <w:p w14:paraId="381E3BA9" w14:textId="77777777" w:rsidR="00592ED9" w:rsidRPr="00164238" w:rsidRDefault="00592ED9" w:rsidP="00592ED9">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Elektrik Piyasası Düzenleme Kurumu. (2020). Elektrik Piyasası Sektör Raporu (Ağustos Ayı). EPDK.</w:t>
      </w:r>
    </w:p>
    <w:p w14:paraId="7AE39988" w14:textId="77777777" w:rsidR="00592ED9" w:rsidRPr="00164238" w:rsidRDefault="00592ED9" w:rsidP="00592ED9">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lastRenderedPageBreak/>
        <w:t xml:space="preserve">            Elektrik Piyasası Düzenleme Kurumu. (2020). Elektrik Piyasası Sektör Raporu (Temmuz Ayı). EPDK.</w:t>
      </w:r>
    </w:p>
    <w:p w14:paraId="08860021" w14:textId="77777777" w:rsidR="00592ED9" w:rsidRPr="00164238" w:rsidRDefault="00592ED9" w:rsidP="00592ED9">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Elektrik Piyasası Düzenleme Kurumu. (2020). Elektrik Piyasası Sektör Raporu (Haziran Ayı). EPDK.</w:t>
      </w:r>
    </w:p>
    <w:p w14:paraId="17BFA012" w14:textId="77777777" w:rsidR="00592ED9" w:rsidRPr="00164238" w:rsidRDefault="00592ED9" w:rsidP="00592ED9">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Elektrik Piyasası Düzenleme Kurumu. (2020). Elektrik Piyasası Sektör Raporu (Mayıs Ayı). EPDK.</w:t>
      </w:r>
    </w:p>
    <w:p w14:paraId="2D6CA137" w14:textId="77777777" w:rsidR="00592ED9" w:rsidRPr="00164238" w:rsidRDefault="00592ED9" w:rsidP="00592ED9">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Elektrik Piyasası Düzenleme Kurumu. (2020). Elektrik Piyasası Sektör Raporu (Nisan Ayı). EPDK.</w:t>
      </w:r>
    </w:p>
    <w:p w14:paraId="3B718A2E" w14:textId="77777777" w:rsidR="00592ED9" w:rsidRPr="00164238" w:rsidRDefault="00592ED9" w:rsidP="00592ED9">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Elektrik Piyasası Düzenleme Kurumu. (2020). Elektrik Piyasası Sektör Raporu (Mart Ayı). EPDK.</w:t>
      </w:r>
    </w:p>
    <w:p w14:paraId="0DCEE054" w14:textId="77777777" w:rsidR="00592ED9" w:rsidRPr="00164238" w:rsidRDefault="00592ED9" w:rsidP="00592ED9">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w:t>
      </w:r>
      <w:r w:rsidRPr="00164238">
        <w:rPr>
          <w:rFonts w:ascii="Times New Roman" w:hAnsi="Times New Roman" w:cs="Times New Roman"/>
          <w:color w:val="000000" w:themeColor="text1"/>
        </w:rPr>
        <w:tab/>
        <w:t>Eroğlu, H. (2020). Effects of Covid-19 outbreak on environment and renewable energy sector. Environment, Development and Sustainability, 1-9.</w:t>
      </w:r>
    </w:p>
    <w:p w14:paraId="5480B348" w14:textId="77777777" w:rsidR="00592ED9" w:rsidRPr="00164238" w:rsidRDefault="00592ED9" w:rsidP="00592ED9">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w:t>
      </w:r>
      <w:r w:rsidRPr="00164238">
        <w:rPr>
          <w:rFonts w:ascii="Times New Roman" w:hAnsi="Times New Roman" w:cs="Times New Roman"/>
          <w:color w:val="000000" w:themeColor="text1"/>
        </w:rPr>
        <w:tab/>
        <w:t>Iqbal, S., Bilal, A. R., Nurunnabi, M., Iqbal, W., Alfakhri, Y., &amp; Iqbal, N. (2020). It is time to control the worst: testing COVID-19 outbreak, energy consumption and CO 2 emission. Environmental Science and Pollution Research, 1-13.</w:t>
      </w:r>
    </w:p>
    <w:p w14:paraId="686AB6E8" w14:textId="77777777" w:rsidR="00592ED9" w:rsidRPr="00164238" w:rsidRDefault="00592ED9" w:rsidP="00592ED9">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w:t>
      </w:r>
      <w:r w:rsidRPr="00164238">
        <w:rPr>
          <w:rFonts w:ascii="Times New Roman" w:hAnsi="Times New Roman" w:cs="Times New Roman"/>
          <w:color w:val="000000" w:themeColor="text1"/>
        </w:rPr>
        <w:tab/>
        <w:t>Jiang, P., Fan, Y. V., &amp; Klemeš, J. J. (2021). Impacts of COVID-19 on energy demand and consumption: Challenges, lessons and emerging opportunities. Applied Energy.</w:t>
      </w:r>
    </w:p>
    <w:p w14:paraId="60F7D5BE" w14:textId="77777777" w:rsidR="00592ED9" w:rsidRPr="00164238" w:rsidRDefault="00592ED9" w:rsidP="00592ED9">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Kayabaşı, E. T. (2020). Covid-19’un Piyasalara ve Tüketici Davranişlarina Etkisi. Avrasya Sosyal ve Ekonomi Araştırmaları Dergisi, 7(5), 15-25.</w:t>
      </w:r>
    </w:p>
    <w:p w14:paraId="1ECFD6B5" w14:textId="77777777" w:rsidR="00592ED9" w:rsidRPr="00164238" w:rsidRDefault="00592ED9" w:rsidP="00592ED9">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w:t>
      </w:r>
      <w:r w:rsidRPr="00164238">
        <w:rPr>
          <w:rFonts w:ascii="Times New Roman" w:hAnsi="Times New Roman" w:cs="Times New Roman"/>
          <w:color w:val="000000" w:themeColor="text1"/>
        </w:rPr>
        <w:tab/>
        <w:t>Klemeš, J. J., Fan, Y. V., &amp; Jiang, P. (2020). COVID‐19 pandemic facilitating energy transition opportunities. International Journal of Energy Research.</w:t>
      </w:r>
    </w:p>
    <w:p w14:paraId="266C9AD3" w14:textId="77777777" w:rsidR="00592ED9" w:rsidRPr="00164238" w:rsidRDefault="00592ED9" w:rsidP="00592ED9">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Kuhlman, T., &amp; Farrington, J. (2010). What is sustainability?. Sustainability, 2(11), 3436-3448.</w:t>
      </w:r>
    </w:p>
    <w:p w14:paraId="2F7C458E" w14:textId="77777777" w:rsidR="00592ED9" w:rsidRPr="00164238" w:rsidRDefault="00592ED9" w:rsidP="00592ED9">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Mofijur, M., Fattah, I. R., Alam, M. A., Islam, A. S., Ong, H. C., Rahman, S. A., ... &amp; Mahlia, T. M. I. (2020). Impact of COVID-19 on the social, economic, environmental and energy domains: Lessons learnt from a global pandemic. Sustainable production and consumption.</w:t>
      </w:r>
    </w:p>
    <w:p w14:paraId="4D851534" w14:textId="77777777" w:rsidR="00592ED9" w:rsidRPr="00164238" w:rsidRDefault="00592ED9" w:rsidP="00592ED9">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Pedersen, C. L., &amp; Ritter, T. (2020). Preparing your business for a postpandemic world. Harvard Busisnes Review.</w:t>
      </w:r>
    </w:p>
    <w:p w14:paraId="058B43B6" w14:textId="77777777" w:rsidR="00592ED9" w:rsidRPr="00164238" w:rsidRDefault="00592ED9" w:rsidP="00592ED9">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Saadat, S., Rawtani, D., &amp; Hussain, C. M. (2020). Environmental perspective of COVID-19. Science of the Total Environment.</w:t>
      </w:r>
    </w:p>
    <w:p w14:paraId="4AB14C19" w14:textId="77777777" w:rsidR="00592ED9" w:rsidRPr="00164238" w:rsidRDefault="00592ED9" w:rsidP="00592ED9">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Santiago, I., Moreno-Munoz, A., Quintero-Jiménez, P., Garcia-Torres, F., &amp; Gonzalez-Redondo, M. J. (2021). Electricity demand during pandemic times: The case of the COVID-19 in Spain. Energy policy, 148, 111964.</w:t>
      </w:r>
    </w:p>
    <w:p w14:paraId="0EC130A7" w14:textId="77777777" w:rsidR="00592ED9" w:rsidRPr="00164238" w:rsidRDefault="00592ED9" w:rsidP="00592ED9">
      <w:pPr>
        <w:spacing w:before="120" w:after="12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Wang, Q., Lu, M., Bai, Z., &amp; Wang, K. (2020). Coronavirus pandemic reduced China’s CO2 emissions in short-term, while stimulus packages may lead to emissions growth in medium-and long-term. Applied energy, 278, 115735.</w:t>
      </w:r>
    </w:p>
    <w:p w14:paraId="24743AC8" w14:textId="77777777" w:rsidR="00592ED9" w:rsidRPr="00164238" w:rsidRDefault="00592ED9" w:rsidP="00592ED9">
      <w:pPr>
        <w:spacing w:before="120" w:after="120"/>
        <w:ind w:firstLine="567"/>
        <w:jc w:val="both"/>
        <w:rPr>
          <w:rFonts w:ascii="Times New Roman" w:hAnsi="Times New Roman" w:cs="Times New Roman"/>
          <w:b/>
          <w:color w:val="000000" w:themeColor="text1"/>
        </w:rPr>
      </w:pPr>
    </w:p>
    <w:p w14:paraId="19FFC268" w14:textId="3BE582F2" w:rsidR="00592ED9" w:rsidRDefault="00592ED9" w:rsidP="00592ED9">
      <w:pPr>
        <w:spacing w:before="120" w:after="120"/>
        <w:ind w:firstLine="567"/>
        <w:jc w:val="both"/>
        <w:rPr>
          <w:rFonts w:ascii="Times New Roman" w:hAnsi="Times New Roman" w:cs="Times New Roman"/>
          <w:b/>
          <w:color w:val="000000" w:themeColor="text1"/>
        </w:rPr>
      </w:pPr>
    </w:p>
    <w:p w14:paraId="6EDD56ED" w14:textId="6EDAA428" w:rsidR="00452A49" w:rsidRDefault="00452A49" w:rsidP="00592ED9">
      <w:pPr>
        <w:spacing w:before="120" w:after="120"/>
        <w:ind w:firstLine="567"/>
        <w:jc w:val="both"/>
        <w:rPr>
          <w:rFonts w:ascii="Times New Roman" w:hAnsi="Times New Roman" w:cs="Times New Roman"/>
          <w:b/>
          <w:color w:val="000000" w:themeColor="text1"/>
        </w:rPr>
      </w:pPr>
    </w:p>
    <w:p w14:paraId="4E1CFDF8" w14:textId="6AC94FAF" w:rsidR="00592ED9" w:rsidRPr="00164238" w:rsidRDefault="001B1C65" w:rsidP="00F321A0">
      <w:pPr>
        <w:pStyle w:val="Balk1"/>
        <w:rPr>
          <w:rFonts w:ascii="Times New Roman" w:hAnsi="Times New Roman" w:cs="Times New Roman"/>
          <w:b/>
          <w:bCs/>
          <w:color w:val="000000" w:themeColor="text1"/>
          <w:sz w:val="24"/>
          <w:szCs w:val="24"/>
          <w:lang w:val="en-US"/>
        </w:rPr>
      </w:pPr>
      <w:bookmarkStart w:id="137" w:name="_Toc72961723"/>
      <w:r w:rsidRPr="00164238">
        <w:rPr>
          <w:rFonts w:ascii="Times New Roman" w:hAnsi="Times New Roman" w:cs="Times New Roman"/>
          <w:b/>
          <w:bCs/>
          <w:color w:val="000000" w:themeColor="text1"/>
          <w:sz w:val="24"/>
          <w:szCs w:val="24"/>
          <w:lang w:val="en-US"/>
        </w:rPr>
        <w:lastRenderedPageBreak/>
        <w:t>CRISIS&amp; CONNECTION&amp; CULTURE: ALTERNATIVE RESPONSES TO COVID-19</w:t>
      </w:r>
      <w:bookmarkEnd w:id="137"/>
    </w:p>
    <w:p w14:paraId="4947E48A" w14:textId="2EFF8115" w:rsidR="00592ED9" w:rsidRPr="00164238" w:rsidRDefault="001B1C65" w:rsidP="00F321A0">
      <w:pPr>
        <w:pStyle w:val="Balk1"/>
        <w:rPr>
          <w:rFonts w:ascii="Times New Roman" w:hAnsi="Times New Roman" w:cs="Times New Roman"/>
          <w:b/>
          <w:bCs/>
          <w:color w:val="000000" w:themeColor="text1"/>
          <w:sz w:val="24"/>
          <w:szCs w:val="24"/>
          <w:lang w:val="en-US"/>
        </w:rPr>
      </w:pPr>
      <w:bookmarkStart w:id="138" w:name="_Toc72961724"/>
      <w:r w:rsidRPr="00164238">
        <w:rPr>
          <w:rFonts w:ascii="Times New Roman" w:hAnsi="Times New Roman" w:cs="Times New Roman"/>
          <w:b/>
          <w:bCs/>
          <w:color w:val="000000" w:themeColor="text1"/>
          <w:sz w:val="24"/>
          <w:szCs w:val="24"/>
          <w:lang w:val="en-US"/>
        </w:rPr>
        <w:t>AN AUTHENTIC BRIDGE BETWEEN COVID-19 AND ART HISTORY: THE REVIEW OF GENEVIEVE BLAIS’S ARTISTIC REMARKED PRODUCTIONS</w:t>
      </w:r>
      <w:bookmarkEnd w:id="138"/>
    </w:p>
    <w:p w14:paraId="1D41B3FD" w14:textId="77777777" w:rsidR="00F321A0" w:rsidRPr="00164238" w:rsidRDefault="00F321A0" w:rsidP="00FC55AB">
      <w:pPr>
        <w:pStyle w:val="Balk2"/>
        <w:rPr>
          <w:rFonts w:ascii="Times New Roman" w:eastAsia="Arial" w:hAnsi="Times New Roman" w:cs="Times New Roman"/>
          <w:i w:val="0"/>
          <w:color w:val="000000" w:themeColor="text1"/>
          <w:sz w:val="20"/>
          <w:szCs w:val="20"/>
        </w:rPr>
      </w:pPr>
      <w:bookmarkStart w:id="139" w:name="_Toc72961725"/>
      <w:r w:rsidRPr="00164238">
        <w:rPr>
          <w:rStyle w:val="Balk2Char"/>
          <w:rFonts w:ascii="Times New Roman" w:hAnsi="Times New Roman" w:cs="Times New Roman"/>
          <w:color w:val="000000" w:themeColor="text1"/>
          <w:sz w:val="20"/>
          <w:szCs w:val="20"/>
        </w:rPr>
        <w:t xml:space="preserve">Lecturer, Gamze AR, Bartin UNIVERSITY, </w:t>
      </w:r>
      <w:r w:rsidRPr="00164238">
        <w:rPr>
          <w:rFonts w:ascii="Times New Roman" w:eastAsia="Arial" w:hAnsi="Times New Roman" w:cs="Times New Roman"/>
          <w:color w:val="000000" w:themeColor="text1"/>
          <w:sz w:val="20"/>
          <w:szCs w:val="20"/>
        </w:rPr>
        <w:t>Academy of Foreign Languages, Bartin, TURKEY</w:t>
      </w:r>
      <w:bookmarkEnd w:id="139"/>
    </w:p>
    <w:p w14:paraId="7CA2BC36" w14:textId="77777777" w:rsidR="00F321A0" w:rsidRPr="00164238" w:rsidRDefault="00F321A0" w:rsidP="00F321A0">
      <w:pPr>
        <w:jc w:val="both"/>
        <w:rPr>
          <w:rFonts w:ascii="Times New Roman" w:hAnsi="Times New Roman" w:cs="Times New Roman"/>
          <w:color w:val="000000" w:themeColor="text1"/>
          <w:sz w:val="20"/>
          <w:szCs w:val="20"/>
        </w:rPr>
      </w:pPr>
      <w:r w:rsidRPr="00164238">
        <w:rPr>
          <w:rFonts w:ascii="Times New Roman" w:eastAsia="Arial" w:hAnsi="Times New Roman" w:cs="Times New Roman"/>
          <w:i/>
          <w:color w:val="000000" w:themeColor="text1"/>
          <w:sz w:val="20"/>
          <w:szCs w:val="20"/>
        </w:rPr>
        <w:t>e-mail:</w:t>
      </w:r>
      <w:r w:rsidRPr="00164238">
        <w:rPr>
          <w:rFonts w:ascii="Times New Roman" w:eastAsia="Arial" w:hAnsi="Times New Roman" w:cs="Times New Roman"/>
          <w:i/>
          <w:color w:val="000000" w:themeColor="text1"/>
          <w:sz w:val="20"/>
          <w:szCs w:val="20"/>
          <w:u w:val="single"/>
        </w:rPr>
        <w:t>gamzear@bartin.edu.tr</w:t>
      </w:r>
      <w:r w:rsidRPr="00164238">
        <w:rPr>
          <w:rFonts w:ascii="Times New Roman" w:eastAsia="Arial" w:hAnsi="Times New Roman" w:cs="Times New Roman"/>
          <w:i/>
          <w:color w:val="000000" w:themeColor="text1"/>
          <w:sz w:val="20"/>
          <w:szCs w:val="20"/>
        </w:rPr>
        <w:t xml:space="preserve"> ORCID ID: </w:t>
      </w:r>
      <w:r w:rsidRPr="00164238">
        <w:rPr>
          <w:rFonts w:ascii="Times New Roman" w:hAnsi="Times New Roman" w:cs="Times New Roman"/>
          <w:color w:val="000000" w:themeColor="text1"/>
          <w:sz w:val="20"/>
          <w:szCs w:val="20"/>
          <w:shd w:val="clear" w:color="auto" w:fill="FFFFFF"/>
        </w:rPr>
        <w:t>0000-0002-8918-212</w:t>
      </w:r>
    </w:p>
    <w:p w14:paraId="0A1B5284" w14:textId="77777777" w:rsidR="00F321A0" w:rsidRPr="00164238" w:rsidRDefault="00F321A0" w:rsidP="00F321A0">
      <w:pPr>
        <w:jc w:val="both"/>
        <w:rPr>
          <w:rFonts w:ascii="Times New Roman" w:hAnsi="Times New Roman" w:cs="Times New Roman"/>
          <w:color w:val="000000" w:themeColor="text1"/>
        </w:rPr>
      </w:pPr>
    </w:p>
    <w:p w14:paraId="66176CFB" w14:textId="77777777" w:rsidR="00592ED9" w:rsidRPr="00164238" w:rsidRDefault="00592ED9" w:rsidP="00592ED9">
      <w:pPr>
        <w:spacing w:line="360" w:lineRule="auto"/>
        <w:ind w:firstLine="708"/>
        <w:rPr>
          <w:rFonts w:ascii="Times New Roman" w:hAnsi="Times New Roman" w:cs="Times New Roman"/>
          <w:b/>
          <w:bCs/>
          <w:color w:val="000000" w:themeColor="text1"/>
          <w:sz w:val="20"/>
          <w:szCs w:val="20"/>
          <w:lang w:val="en-US"/>
        </w:rPr>
      </w:pPr>
      <w:r w:rsidRPr="00164238">
        <w:rPr>
          <w:rFonts w:ascii="Times New Roman" w:hAnsi="Times New Roman" w:cs="Times New Roman"/>
          <w:b/>
          <w:bCs/>
          <w:color w:val="000000" w:themeColor="text1"/>
          <w:sz w:val="20"/>
          <w:szCs w:val="20"/>
          <w:lang w:val="en-US"/>
        </w:rPr>
        <w:t xml:space="preserve">Abstract: </w:t>
      </w:r>
    </w:p>
    <w:p w14:paraId="2BBCB3C6" w14:textId="77777777" w:rsidR="00592ED9" w:rsidRPr="00164238" w:rsidRDefault="00592ED9" w:rsidP="00592ED9">
      <w:pPr>
        <w:spacing w:line="360" w:lineRule="auto"/>
        <w:ind w:firstLine="708"/>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 xml:space="preserve">Covid-19 is a crucial problem in recent history and people are getting desperate against this virus. However, some are trying to increase the motivation of people against this grievance with creative ideas. One of them is the artist Genevieve Blais who formed the art history in the mood of Covid-19. Her authentic style attributes diverse perspectives into the world of art as its effects are catchier than other techniques. The methods which Blais used in her art narrate Covid-19 while integrating past and present together in that people are in desire of travelling throughout history. At that point, this study aims to reflect how the cultural heritage combines with the recent pandemic situation and this method constructs an outstanding interest in the art history and pandemic consciousness. This study will focus on these artistic works with the effects of Covid-19 and its results. Why did Genevieve Blais prefer to reflect this style? How did she get the idea of this artistic creation? From which perspectives is she involved in the process? We are still suffering from the bad results of Covid-19 in that many people are captivated into their homes. This event provides to understand the value of world and many people consider this pandemic situation as a warning against all destructive human deeds. This study will reveal the effects and consequences of Covid-19 with the authentic creations such as ancient paintings in the version of pandemic productions. </w:t>
      </w:r>
    </w:p>
    <w:p w14:paraId="01497D90" w14:textId="77777777" w:rsidR="00592ED9" w:rsidRPr="00164238" w:rsidRDefault="00592ED9" w:rsidP="00592ED9">
      <w:pPr>
        <w:spacing w:line="360" w:lineRule="auto"/>
        <w:jc w:val="both"/>
        <w:rPr>
          <w:rFonts w:ascii="Times New Roman" w:hAnsi="Times New Roman" w:cs="Times New Roman"/>
          <w:color w:val="000000" w:themeColor="text1"/>
          <w:sz w:val="20"/>
          <w:szCs w:val="20"/>
          <w:lang w:val="en-US"/>
        </w:rPr>
      </w:pPr>
      <w:r w:rsidRPr="00164238">
        <w:rPr>
          <w:rFonts w:ascii="Times New Roman" w:hAnsi="Times New Roman" w:cs="Times New Roman"/>
          <w:b/>
          <w:bCs/>
          <w:i/>
          <w:iCs/>
          <w:color w:val="000000" w:themeColor="text1"/>
          <w:sz w:val="20"/>
          <w:szCs w:val="20"/>
          <w:lang w:val="en-US"/>
        </w:rPr>
        <w:t>Keywords</w:t>
      </w:r>
      <w:r w:rsidRPr="00164238">
        <w:rPr>
          <w:rFonts w:ascii="Times New Roman" w:hAnsi="Times New Roman" w:cs="Times New Roman"/>
          <w:b/>
          <w:bCs/>
          <w:color w:val="000000" w:themeColor="text1"/>
          <w:sz w:val="20"/>
          <w:szCs w:val="20"/>
          <w:lang w:val="en-US"/>
        </w:rPr>
        <w:t>:</w:t>
      </w:r>
      <w:r w:rsidRPr="00164238">
        <w:rPr>
          <w:rFonts w:ascii="Times New Roman" w:hAnsi="Times New Roman" w:cs="Times New Roman"/>
          <w:color w:val="000000" w:themeColor="text1"/>
          <w:sz w:val="20"/>
          <w:szCs w:val="20"/>
          <w:lang w:val="en-US"/>
        </w:rPr>
        <w:t xml:space="preserve"> Covid-19; Genevieve Blais; Art History; artistic productions; culture. </w:t>
      </w:r>
    </w:p>
    <w:p w14:paraId="7B62AD7D" w14:textId="5ACEE0A4" w:rsidR="00592ED9" w:rsidRPr="00164238" w:rsidRDefault="00592ED9" w:rsidP="00592ED9">
      <w:pPr>
        <w:spacing w:line="360" w:lineRule="auto"/>
        <w:ind w:firstLine="360"/>
        <w:jc w:val="both"/>
        <w:rPr>
          <w:rFonts w:ascii="Times New Roman" w:hAnsi="Times New Roman" w:cs="Times New Roman"/>
          <w:b/>
          <w:bCs/>
          <w:color w:val="000000" w:themeColor="text1"/>
          <w:sz w:val="20"/>
          <w:szCs w:val="20"/>
          <w:lang w:val="en-US"/>
        </w:rPr>
      </w:pPr>
      <w:r w:rsidRPr="00164238">
        <w:rPr>
          <w:rFonts w:ascii="Times New Roman" w:hAnsi="Times New Roman" w:cs="Times New Roman"/>
          <w:b/>
          <w:bCs/>
          <w:color w:val="000000" w:themeColor="text1"/>
          <w:sz w:val="20"/>
          <w:szCs w:val="20"/>
          <w:lang w:val="en-US"/>
        </w:rPr>
        <w:t>INTRODUCTION</w:t>
      </w:r>
    </w:p>
    <w:p w14:paraId="13A68CC0" w14:textId="77777777" w:rsidR="00592ED9" w:rsidRPr="00164238" w:rsidRDefault="00592ED9" w:rsidP="00592ED9">
      <w:pPr>
        <w:spacing w:line="360" w:lineRule="auto"/>
        <w:ind w:firstLine="360"/>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 xml:space="preserve">Culture changes from time to time, or people to people, but the only truth is its effect of connecting people under one roof. For Raymond Williams, “culture is one of the two or three most complicated words in the English language” (Williams, 1976, p. 76). It explicitly shows how culture is the combination of two or three principles. Genevieve Blais’s harmonic combination perfectly indicates how art and pandemic situation carry the same message and art history makes it with the use of its powerful discourses. Canadian artist Blais is an originally photo-based artist and her creative imagination symbolizes how the recent pandemic catastrophe can be seen with historical masterpieces today. Her works of art are exhibited in various places such as the Royal Ontario Museum and the Ontario Science Center. Blais presents her authentic art style in the Instagram account as ‘Plague History.’ Dealing with the Covid-19, this imaginative artistic form points out an interdisciplinary field like the art history, health system such as pandemic and </w:t>
      </w:r>
      <w:r w:rsidRPr="00164238">
        <w:rPr>
          <w:rFonts w:ascii="Times New Roman" w:hAnsi="Times New Roman" w:cs="Times New Roman"/>
          <w:color w:val="000000" w:themeColor="text1"/>
          <w:sz w:val="20"/>
          <w:szCs w:val="20"/>
          <w:lang w:val="en-US"/>
        </w:rPr>
        <w:lastRenderedPageBreak/>
        <w:t xml:space="preserve">social media which serves as a bridge between art and health here. This study will emphasize some important paintings from diverse subjects and in addition to the harmonic creation, the paintings seen as examples of Covid-19 and art history will be analyzed within the artistic and medical frameworks. In the process of Covid-19, people need some entertaining stuffs and Blais did it with her artistic productions very well. In the gloomy atmosphere which comes from the Covid-19 people feel depressed and upset because the pandemic situation captivates them into their homes. </w:t>
      </w:r>
    </w:p>
    <w:p w14:paraId="777255D2" w14:textId="77777777" w:rsidR="00592ED9" w:rsidRPr="00164238" w:rsidRDefault="00592ED9" w:rsidP="00592ED9">
      <w:pPr>
        <w:spacing w:line="360" w:lineRule="auto"/>
        <w:ind w:firstLine="360"/>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 xml:space="preserve">Today there is still searching the reason of Covid-19 and it is not completely solved. For preventing the spread of it, the use of mask and social distance are offered and Blais uses the mask into her artistic productions. It is done so as to raise awareness and entertain them with the amusing artworks. The Instagram account ‘Plague History’ is genuinely created with various thematic masterpieces relating to religion, history or mythology. In the examination part there are some examples from the Instagram and they will closely look at the Covid-19 and merge with its precaution like using mask. This creation is newly created and its posts are not more than 150 now, but most probably it will be an icon in the following year as people will remember this catastrophe with this kind of entertaining stuff. </w:t>
      </w:r>
    </w:p>
    <w:p w14:paraId="785362B4" w14:textId="77777777" w:rsidR="00592ED9" w:rsidRPr="00164238" w:rsidRDefault="00592ED9" w:rsidP="007C3550">
      <w:pPr>
        <w:pStyle w:val="ListeParagraf"/>
        <w:numPr>
          <w:ilvl w:val="0"/>
          <w:numId w:val="36"/>
        </w:numPr>
        <w:spacing w:line="360" w:lineRule="auto"/>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 xml:space="preserve">The Analyses of Genevieve Blais’s Artistic Productions and Her Creative Bridge Between Two Different Fields </w:t>
      </w:r>
    </w:p>
    <w:p w14:paraId="31FE98B0" w14:textId="77777777" w:rsidR="00592ED9" w:rsidRPr="00164238" w:rsidRDefault="00592ED9" w:rsidP="00592ED9">
      <w:pPr>
        <w:spacing w:line="360" w:lineRule="auto"/>
        <w:ind w:firstLine="360"/>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Life is always full of various issues relating to entertainment, health, art or jobs. People live for something about their missions and aims. Throughout history, they come across many hardships like natural disasters, hard human relationships or psychological traumas. All these troublesome situations push people into their gloomy moods, and the most significant escape from them is to move away psychologically and physically. At that point, artistic productions are really useful for amusing people. However, it has to be recognized that Covid-19 is a serious pandemic with its deadly results. According to</w:t>
      </w:r>
      <w:r w:rsidRPr="00164238">
        <w:rPr>
          <w:rFonts w:ascii="Times New Roman" w:hAnsi="Times New Roman" w:cs="Times New Roman"/>
          <w:i/>
          <w:iCs/>
          <w:color w:val="000000" w:themeColor="text1"/>
          <w:sz w:val="20"/>
          <w:szCs w:val="20"/>
          <w:lang w:val="en-US"/>
        </w:rPr>
        <w:t xml:space="preserve"> Coronavirus disease 2019 (COVID-19) Situation Report – 94</w:t>
      </w:r>
      <w:r w:rsidRPr="00164238">
        <w:rPr>
          <w:rFonts w:ascii="Times New Roman" w:hAnsi="Times New Roman" w:cs="Times New Roman"/>
          <w:color w:val="000000" w:themeColor="text1"/>
          <w:sz w:val="20"/>
          <w:szCs w:val="20"/>
          <w:lang w:val="en-US"/>
        </w:rPr>
        <w:t xml:space="preserve">, “The first human cases of COVID-19, the disease caused by the novel coronavirus causing COVID-19, subsequently named SARS-CoV-2 were first reported by officials in Wuhan City, China, in December 2019. Retrospective investigations by Chinese authorities have identified human cases with onset of symptoms in early December 2019.” (WHO, 23 April 2020, p.2) As clearly seen, it is appeared in China in which it is located on the corner of the earth, but it affects all over the world. Although China seems as a far away country according to other countries, its effects are seen all over the world, and this huge spread explains how the connections can be from different fields such as Blais’s artistic productions which integrate Covid-19 and historical masterpieces together. </w:t>
      </w:r>
    </w:p>
    <w:p w14:paraId="0F34772D" w14:textId="77777777" w:rsidR="00592ED9" w:rsidRPr="00164238" w:rsidRDefault="00592ED9" w:rsidP="00592ED9">
      <w:pPr>
        <w:spacing w:line="360" w:lineRule="auto"/>
        <w:ind w:firstLine="360"/>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 xml:space="preserve">When looked at the Instagram account, it is understood that Blais uses various subjects of paintings, and all of them attribute authentic perspectives into the art history and pandemic. Captions which are written under the paintings are also funny because of reflecting the painting’s story about corona virus. It is a genius idea that Blais depicts the masterpieces in the mood of 2020, and it pushes people into the painting’s story. There are diverse masterpieces in the Instagram account; however, this study will pick some that reveal </w:t>
      </w:r>
      <w:r w:rsidRPr="00164238">
        <w:rPr>
          <w:rFonts w:ascii="Times New Roman" w:hAnsi="Times New Roman" w:cs="Times New Roman"/>
          <w:color w:val="000000" w:themeColor="text1"/>
          <w:sz w:val="20"/>
          <w:szCs w:val="20"/>
          <w:lang w:val="en-US"/>
        </w:rPr>
        <w:lastRenderedPageBreak/>
        <w:t>different considerations. While examining these paintings, it will show the arts of Blais in order to understand better the context of them. Among the paintings modified by Blais into the masked versions one is the masterpiece of Leonardo da Vinci. It is called as Dama con l’ermellino (fig.1.)</w:t>
      </w:r>
    </w:p>
    <w:p w14:paraId="6ACCA7A7" w14:textId="3975C64C" w:rsidR="00592ED9" w:rsidRPr="00164238" w:rsidRDefault="00592ED9" w:rsidP="00592ED9">
      <w:pPr>
        <w:spacing w:line="360" w:lineRule="auto"/>
        <w:ind w:firstLine="360"/>
        <w:jc w:val="center"/>
        <w:rPr>
          <w:rFonts w:ascii="Times New Roman" w:hAnsi="Times New Roman" w:cs="Times New Roman"/>
          <w:color w:val="000000" w:themeColor="text1"/>
          <w:sz w:val="20"/>
          <w:szCs w:val="20"/>
          <w:lang w:val="en-US"/>
        </w:rPr>
      </w:pPr>
      <w:r w:rsidRPr="00164238">
        <w:rPr>
          <w:rFonts w:ascii="Times New Roman" w:hAnsi="Times New Roman" w:cs="Times New Roman"/>
          <w:noProof/>
          <w:color w:val="000000" w:themeColor="text1"/>
          <w:sz w:val="20"/>
          <w:szCs w:val="20"/>
          <w:lang w:val="en-US"/>
        </w:rPr>
        <w:drawing>
          <wp:inline distT="0" distB="0" distL="0" distR="0" wp14:anchorId="06525A49" wp14:editId="13A198F6">
            <wp:extent cx="3324225" cy="4152900"/>
            <wp:effectExtent l="0" t="0" r="9525" b="0"/>
            <wp:docPr id="125" name="Resi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3324225" cy="4152900"/>
                    </a:xfrm>
                    <a:prstGeom prst="rect">
                      <a:avLst/>
                    </a:prstGeom>
                    <a:noFill/>
                    <a:ln>
                      <a:noFill/>
                    </a:ln>
                  </pic:spPr>
                </pic:pic>
              </a:graphicData>
            </a:graphic>
          </wp:inline>
        </w:drawing>
      </w:r>
    </w:p>
    <w:p w14:paraId="4848953F" w14:textId="77777777" w:rsidR="00592ED9" w:rsidRPr="00164238" w:rsidRDefault="00592ED9" w:rsidP="00592ED9">
      <w:pPr>
        <w:spacing w:line="360" w:lineRule="auto"/>
        <w:ind w:firstLine="360"/>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 xml:space="preserve">Fig.1. Leonardo da Vinci, </w:t>
      </w:r>
      <w:r w:rsidRPr="00164238">
        <w:rPr>
          <w:rFonts w:ascii="Times New Roman" w:hAnsi="Times New Roman" w:cs="Times New Roman"/>
          <w:i/>
          <w:iCs/>
          <w:color w:val="000000" w:themeColor="text1"/>
          <w:sz w:val="20"/>
          <w:szCs w:val="20"/>
          <w:lang w:val="en-US"/>
        </w:rPr>
        <w:t>Dama con l’ermellino</w:t>
      </w:r>
      <w:r w:rsidRPr="00164238">
        <w:rPr>
          <w:rFonts w:ascii="Times New Roman" w:hAnsi="Times New Roman" w:cs="Times New Roman"/>
          <w:color w:val="000000" w:themeColor="text1"/>
          <w:sz w:val="20"/>
          <w:szCs w:val="20"/>
          <w:lang w:val="en-US"/>
        </w:rPr>
        <w:t xml:space="preserve">, 1489-90. Remarked by Genevieve Blais, 2020. </w:t>
      </w:r>
    </w:p>
    <w:p w14:paraId="23927B2A" w14:textId="77777777" w:rsidR="00592ED9" w:rsidRPr="00164238" w:rsidRDefault="00592ED9" w:rsidP="00592ED9">
      <w:pPr>
        <w:spacing w:line="360" w:lineRule="auto"/>
        <w:ind w:firstLine="360"/>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Blais prefers to put the caption like “Me and my guard dog protecting my hand sanitizer…Dama con l’ermellino by Leonardo da Vinci. 1489-90...” (Fig.1.) Blais’s caption illustrates the principles of Covid-19 such as sanitizing and using masks. Even the historical figure coming from 15</w:t>
      </w:r>
      <w:r w:rsidRPr="00164238">
        <w:rPr>
          <w:rFonts w:ascii="Times New Roman" w:hAnsi="Times New Roman" w:cs="Times New Roman"/>
          <w:color w:val="000000" w:themeColor="text1"/>
          <w:sz w:val="20"/>
          <w:szCs w:val="20"/>
          <w:vertAlign w:val="superscript"/>
          <w:lang w:val="en-US"/>
        </w:rPr>
        <w:t>th</w:t>
      </w:r>
      <w:r w:rsidRPr="00164238">
        <w:rPr>
          <w:rFonts w:ascii="Times New Roman" w:hAnsi="Times New Roman" w:cs="Times New Roman"/>
          <w:color w:val="000000" w:themeColor="text1"/>
          <w:sz w:val="20"/>
          <w:szCs w:val="20"/>
          <w:lang w:val="en-US"/>
        </w:rPr>
        <w:t xml:space="preserve"> century is seen with the integration of recent pandemic. This lady is the mistress of Ludovico Sforza who is the patron of Leonardo da Vinci, and his depiction of the lady indicates how she brings the historical light into the recent history. Her mask explicitly reveals the mood of Covid-19. </w:t>
      </w:r>
    </w:p>
    <w:p w14:paraId="458BB59A" w14:textId="77777777" w:rsidR="00592ED9" w:rsidRPr="00164238" w:rsidRDefault="00592ED9" w:rsidP="00592ED9">
      <w:pPr>
        <w:spacing w:line="360" w:lineRule="auto"/>
        <w:ind w:firstLine="360"/>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 xml:space="preserve">Religion is another significant issue that Blais uses in her creation; for example, the Christ figure wears a mask in the recent historical construction of pandemic in 2020. The spiritual events and figures always construct the divinity, and at that point people can be more interested in the precautions of Covid-19 and its results. The remarked version of Rubens is called as “Look on the brightside- at least you won’t be dragged to any of your extended family’s Easter brunches…Man of Sorrows by Peter Paul Rubens. 1612…” (Fig.2.) by Blais. </w:t>
      </w:r>
    </w:p>
    <w:p w14:paraId="1BC2A964" w14:textId="26DC9314" w:rsidR="00592ED9" w:rsidRPr="00164238" w:rsidRDefault="00592ED9" w:rsidP="00592ED9">
      <w:pPr>
        <w:spacing w:line="360" w:lineRule="auto"/>
        <w:ind w:firstLine="360"/>
        <w:jc w:val="center"/>
        <w:rPr>
          <w:rFonts w:ascii="Times New Roman" w:hAnsi="Times New Roman" w:cs="Times New Roman"/>
          <w:color w:val="000000" w:themeColor="text1"/>
          <w:sz w:val="20"/>
          <w:szCs w:val="20"/>
          <w:lang w:val="en-US"/>
        </w:rPr>
      </w:pPr>
      <w:r w:rsidRPr="00164238">
        <w:rPr>
          <w:rFonts w:ascii="Times New Roman" w:hAnsi="Times New Roman" w:cs="Times New Roman"/>
          <w:noProof/>
          <w:color w:val="000000" w:themeColor="text1"/>
          <w:sz w:val="20"/>
          <w:szCs w:val="20"/>
          <w:lang w:val="en-US"/>
        </w:rPr>
        <w:lastRenderedPageBreak/>
        <w:drawing>
          <wp:inline distT="0" distB="0" distL="0" distR="0" wp14:anchorId="205E607D" wp14:editId="473A690B">
            <wp:extent cx="3476625" cy="3486150"/>
            <wp:effectExtent l="0" t="0" r="9525" b="0"/>
            <wp:docPr id="124" name="Resi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476625" cy="3486150"/>
                    </a:xfrm>
                    <a:prstGeom prst="rect">
                      <a:avLst/>
                    </a:prstGeom>
                    <a:noFill/>
                    <a:ln>
                      <a:noFill/>
                    </a:ln>
                  </pic:spPr>
                </pic:pic>
              </a:graphicData>
            </a:graphic>
          </wp:inline>
        </w:drawing>
      </w:r>
    </w:p>
    <w:p w14:paraId="15E93001" w14:textId="77777777" w:rsidR="00592ED9" w:rsidRPr="00164238" w:rsidRDefault="00592ED9" w:rsidP="00592ED9">
      <w:pPr>
        <w:spacing w:line="360" w:lineRule="auto"/>
        <w:ind w:firstLine="360"/>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 xml:space="preserve">Fig.2. Peter Paul Rubens, </w:t>
      </w:r>
      <w:r w:rsidRPr="00164238">
        <w:rPr>
          <w:rFonts w:ascii="Times New Roman" w:hAnsi="Times New Roman" w:cs="Times New Roman"/>
          <w:i/>
          <w:iCs/>
          <w:color w:val="000000" w:themeColor="text1"/>
          <w:sz w:val="20"/>
          <w:szCs w:val="20"/>
          <w:lang w:val="en-US"/>
        </w:rPr>
        <w:t>Man of Sorrows</w:t>
      </w:r>
      <w:r w:rsidRPr="00164238">
        <w:rPr>
          <w:rFonts w:ascii="Times New Roman" w:hAnsi="Times New Roman" w:cs="Times New Roman"/>
          <w:color w:val="000000" w:themeColor="text1"/>
          <w:sz w:val="20"/>
          <w:szCs w:val="20"/>
          <w:lang w:val="en-US"/>
        </w:rPr>
        <w:t>, 1612. Remarked by Genevieve Blais, 2020.</w:t>
      </w:r>
    </w:p>
    <w:p w14:paraId="2DE36590" w14:textId="77777777" w:rsidR="00592ED9" w:rsidRPr="00164238" w:rsidRDefault="00592ED9" w:rsidP="00592ED9">
      <w:pPr>
        <w:spacing w:line="360" w:lineRule="auto"/>
        <w:ind w:firstLine="360"/>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 xml:space="preserve">Blais’s caption involves in ironical and humorous expressions because of dealing with religious stuffs. In the depiction it is important to consider that only Jesus wears mask and it reveals how Jesus cares about the health of others in the eyes of Blais. The eyes of men are directly on you when looked at the painting in that people can enter to the painting easily. With the modified version of Rubens, the artistic creation gets new identity which reveals the holistic nature of Christianity. Blais emphasizes the importance of Jesus with the use of mask and she also provides to convey her humorous style to different fields of art. </w:t>
      </w:r>
    </w:p>
    <w:p w14:paraId="07BC1EEE" w14:textId="77777777" w:rsidR="00592ED9" w:rsidRPr="00164238" w:rsidRDefault="00592ED9" w:rsidP="00592ED9">
      <w:pPr>
        <w:spacing w:line="360" w:lineRule="auto"/>
        <w:ind w:firstLine="360"/>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 xml:space="preserve">Other painting which is remarked by Blais is Paul Delaroche’s </w:t>
      </w:r>
      <w:r w:rsidRPr="00164238">
        <w:rPr>
          <w:rFonts w:ascii="Times New Roman" w:hAnsi="Times New Roman" w:cs="Times New Roman"/>
          <w:i/>
          <w:iCs/>
          <w:color w:val="000000" w:themeColor="text1"/>
          <w:sz w:val="20"/>
          <w:szCs w:val="20"/>
          <w:lang w:val="en-US"/>
        </w:rPr>
        <w:t>The Execution of Lady Jane Grey</w:t>
      </w:r>
      <w:r w:rsidRPr="00164238">
        <w:rPr>
          <w:rFonts w:ascii="Times New Roman" w:hAnsi="Times New Roman" w:cs="Times New Roman"/>
          <w:color w:val="000000" w:themeColor="text1"/>
          <w:sz w:val="20"/>
          <w:szCs w:val="20"/>
          <w:lang w:val="en-US"/>
        </w:rPr>
        <w:t>, revealing the girl who is being executed by an old man. Blais narrates this painting with the caption “What happens when you break self-isolation…The Execution or Lady Jane Grey by Paul Delaroche. 1833.” (Fig.3.) This caption strengthens the idea of keeping social distances between people with Blais’s word ‘self-isolation.’</w:t>
      </w:r>
    </w:p>
    <w:p w14:paraId="56FB4D3A" w14:textId="5D4E8C98" w:rsidR="00592ED9" w:rsidRPr="00164238" w:rsidRDefault="00592ED9" w:rsidP="00592ED9">
      <w:pPr>
        <w:spacing w:line="360" w:lineRule="auto"/>
        <w:ind w:firstLine="360"/>
        <w:jc w:val="center"/>
        <w:rPr>
          <w:rFonts w:ascii="Times New Roman" w:hAnsi="Times New Roman" w:cs="Times New Roman"/>
          <w:color w:val="000000" w:themeColor="text1"/>
          <w:sz w:val="20"/>
          <w:szCs w:val="20"/>
          <w:lang w:val="en-US"/>
        </w:rPr>
      </w:pPr>
      <w:r w:rsidRPr="00164238">
        <w:rPr>
          <w:rFonts w:ascii="Times New Roman" w:hAnsi="Times New Roman" w:cs="Times New Roman"/>
          <w:noProof/>
          <w:color w:val="000000" w:themeColor="text1"/>
          <w:sz w:val="20"/>
          <w:szCs w:val="20"/>
          <w:lang w:val="en-US"/>
        </w:rPr>
        <w:lastRenderedPageBreak/>
        <w:drawing>
          <wp:inline distT="0" distB="0" distL="0" distR="0" wp14:anchorId="5FA85734" wp14:editId="48AAD8DE">
            <wp:extent cx="3609975" cy="3600450"/>
            <wp:effectExtent l="0" t="0" r="9525" b="0"/>
            <wp:docPr id="123" name="Resi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230" cstate="print">
                      <a:extLst>
                        <a:ext uri="{28A0092B-C50C-407E-A947-70E740481C1C}">
                          <a14:useLocalDpi xmlns:a14="http://schemas.microsoft.com/office/drawing/2010/main" val="0"/>
                        </a:ext>
                      </a:extLst>
                    </a:blip>
                    <a:srcRect t="20471" b="23366"/>
                    <a:stretch>
                      <a:fillRect/>
                    </a:stretch>
                  </pic:blipFill>
                  <pic:spPr bwMode="auto">
                    <a:xfrm>
                      <a:off x="0" y="0"/>
                      <a:ext cx="3609975" cy="3600450"/>
                    </a:xfrm>
                    <a:prstGeom prst="rect">
                      <a:avLst/>
                    </a:prstGeom>
                    <a:noFill/>
                    <a:ln>
                      <a:noFill/>
                    </a:ln>
                  </pic:spPr>
                </pic:pic>
              </a:graphicData>
            </a:graphic>
          </wp:inline>
        </w:drawing>
      </w:r>
    </w:p>
    <w:p w14:paraId="01CE8FD4" w14:textId="77777777" w:rsidR="00592ED9" w:rsidRPr="00164238" w:rsidRDefault="00592ED9" w:rsidP="00592ED9">
      <w:pPr>
        <w:spacing w:line="360" w:lineRule="auto"/>
        <w:ind w:firstLine="360"/>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 xml:space="preserve">Fig.3. by Paul Delaroche, </w:t>
      </w:r>
      <w:r w:rsidRPr="00164238">
        <w:rPr>
          <w:rFonts w:ascii="Times New Roman" w:hAnsi="Times New Roman" w:cs="Times New Roman"/>
          <w:i/>
          <w:iCs/>
          <w:color w:val="000000" w:themeColor="text1"/>
          <w:sz w:val="20"/>
          <w:szCs w:val="20"/>
          <w:lang w:val="en-US"/>
        </w:rPr>
        <w:t>The Execution or Lady Jane Grey</w:t>
      </w:r>
      <w:r w:rsidRPr="00164238">
        <w:rPr>
          <w:rFonts w:ascii="Times New Roman" w:hAnsi="Times New Roman" w:cs="Times New Roman"/>
          <w:color w:val="000000" w:themeColor="text1"/>
          <w:sz w:val="20"/>
          <w:szCs w:val="20"/>
          <w:lang w:val="en-US"/>
        </w:rPr>
        <w:t>, 1833. Remarked by Blais Genevieve, 2020.</w:t>
      </w:r>
    </w:p>
    <w:p w14:paraId="6C705EC0" w14:textId="77777777" w:rsidR="00592ED9" w:rsidRPr="00164238" w:rsidRDefault="00592ED9" w:rsidP="00592ED9">
      <w:pPr>
        <w:spacing w:line="360" w:lineRule="auto"/>
        <w:ind w:firstLine="360"/>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 xml:space="preserve">This painting is highly horrifying and gloomy because it shows the execution scene. It is interesting to say that Blais depicts only the girl with mask. The man does not wear mask in the painting and it can be commented in terms of gender and moral aspects. The most significant point is the victimized position of girl called as Jane Grey. Because of the gendered situation it can be said that women are seen as more mindful than men. Other people indicate the significance of social distance within the remarked version of Blais in terms of stating other figures in some distances. This painting’s story is about the throne and its belongingness. As a result of victory, some people like Jane Grey are executed, and this murder summarizes the injustices of life. Blais gives the idea of social consciousness about the use of mask in the context of Covid-19. This painting comes from the daily life of 1800s and so it presents the ordinary lives of people with injustices towards women here. </w:t>
      </w:r>
    </w:p>
    <w:p w14:paraId="2DEFE86F" w14:textId="77777777" w:rsidR="00592ED9" w:rsidRPr="00164238" w:rsidRDefault="00592ED9" w:rsidP="00592ED9">
      <w:pPr>
        <w:spacing w:line="360" w:lineRule="auto"/>
        <w:ind w:firstLine="360"/>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 xml:space="preserve">The last painting that will be examined in the study is Vincent van Gogh’s </w:t>
      </w:r>
      <w:r w:rsidRPr="00164238">
        <w:rPr>
          <w:rFonts w:ascii="Times New Roman" w:hAnsi="Times New Roman" w:cs="Times New Roman"/>
          <w:i/>
          <w:iCs/>
          <w:color w:val="000000" w:themeColor="text1"/>
          <w:sz w:val="20"/>
          <w:szCs w:val="20"/>
          <w:lang w:val="en-US"/>
        </w:rPr>
        <w:t xml:space="preserve">The Parsonage Garden at Nuenen </w:t>
      </w:r>
      <w:r w:rsidRPr="00164238">
        <w:rPr>
          <w:rFonts w:ascii="Times New Roman" w:hAnsi="Times New Roman" w:cs="Times New Roman"/>
          <w:color w:val="000000" w:themeColor="text1"/>
          <w:sz w:val="20"/>
          <w:szCs w:val="20"/>
          <w:lang w:val="en-US"/>
        </w:rPr>
        <w:t>which is stolen from Singer Laren Museum due to the Covid-19 pandemic. It is surprisingly interesting information that it was stolen in the near future and its modified version by Blais emphasizes how it gets involved in people’s lives. Blais’s caption for this painting is “This painting needs protection now that it’s out on the street…The Parsonage Garden at Nuenen by Vincent Van Gogh. 1884. Stolen today from @singerlaren while it was closed by Covid-19.” (Fig.4.)</w:t>
      </w:r>
    </w:p>
    <w:p w14:paraId="67B4BE77" w14:textId="029DB2E3" w:rsidR="00592ED9" w:rsidRPr="00164238" w:rsidRDefault="00592ED9" w:rsidP="00592ED9">
      <w:pPr>
        <w:spacing w:line="360" w:lineRule="auto"/>
        <w:ind w:firstLine="360"/>
        <w:jc w:val="center"/>
        <w:rPr>
          <w:rFonts w:ascii="Times New Roman" w:hAnsi="Times New Roman" w:cs="Times New Roman"/>
          <w:color w:val="000000" w:themeColor="text1"/>
          <w:sz w:val="20"/>
          <w:szCs w:val="20"/>
          <w:lang w:val="en-US"/>
        </w:rPr>
      </w:pPr>
      <w:r w:rsidRPr="00164238">
        <w:rPr>
          <w:rFonts w:ascii="Times New Roman" w:hAnsi="Times New Roman" w:cs="Times New Roman"/>
          <w:noProof/>
          <w:color w:val="000000" w:themeColor="text1"/>
          <w:sz w:val="20"/>
          <w:szCs w:val="20"/>
          <w:lang w:val="en-US"/>
        </w:rPr>
        <w:lastRenderedPageBreak/>
        <w:drawing>
          <wp:inline distT="0" distB="0" distL="0" distR="0" wp14:anchorId="58263DC8" wp14:editId="7725DD0A">
            <wp:extent cx="4295775" cy="3409950"/>
            <wp:effectExtent l="0" t="0" r="9525" b="0"/>
            <wp:docPr id="122" name="Resi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231">
                      <a:extLst>
                        <a:ext uri="{28A0092B-C50C-407E-A947-70E740481C1C}">
                          <a14:useLocalDpi xmlns:a14="http://schemas.microsoft.com/office/drawing/2010/main" val="0"/>
                        </a:ext>
                      </a:extLst>
                    </a:blip>
                    <a:srcRect t="20686" b="34619"/>
                    <a:stretch>
                      <a:fillRect/>
                    </a:stretch>
                  </pic:blipFill>
                  <pic:spPr bwMode="auto">
                    <a:xfrm>
                      <a:off x="0" y="0"/>
                      <a:ext cx="4295775" cy="3409950"/>
                    </a:xfrm>
                    <a:prstGeom prst="rect">
                      <a:avLst/>
                    </a:prstGeom>
                    <a:noFill/>
                    <a:ln>
                      <a:noFill/>
                    </a:ln>
                  </pic:spPr>
                </pic:pic>
              </a:graphicData>
            </a:graphic>
          </wp:inline>
        </w:drawing>
      </w:r>
    </w:p>
    <w:p w14:paraId="1BFBDAC3" w14:textId="77777777" w:rsidR="00592ED9" w:rsidRPr="00164238" w:rsidRDefault="00592ED9" w:rsidP="00592ED9">
      <w:pPr>
        <w:spacing w:line="360" w:lineRule="auto"/>
        <w:ind w:firstLine="360"/>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 xml:space="preserve">Fig.4. Vincent van Gogh, </w:t>
      </w:r>
      <w:r w:rsidRPr="00164238">
        <w:rPr>
          <w:rFonts w:ascii="Times New Roman" w:hAnsi="Times New Roman" w:cs="Times New Roman"/>
          <w:i/>
          <w:iCs/>
          <w:color w:val="000000" w:themeColor="text1"/>
          <w:sz w:val="20"/>
          <w:szCs w:val="20"/>
          <w:lang w:val="en-US"/>
        </w:rPr>
        <w:t>The Parsonage Garden at Nuenen</w:t>
      </w:r>
      <w:r w:rsidRPr="00164238">
        <w:rPr>
          <w:rFonts w:ascii="Times New Roman" w:hAnsi="Times New Roman" w:cs="Times New Roman"/>
          <w:color w:val="000000" w:themeColor="text1"/>
          <w:sz w:val="20"/>
          <w:szCs w:val="20"/>
          <w:lang w:val="en-US"/>
        </w:rPr>
        <w:t xml:space="preserve">, 1884. Remarked by Genevieve Blais, 2020. </w:t>
      </w:r>
    </w:p>
    <w:p w14:paraId="28042429" w14:textId="77777777" w:rsidR="00592ED9" w:rsidRPr="00164238" w:rsidRDefault="00592ED9" w:rsidP="00592ED9">
      <w:pPr>
        <w:spacing w:line="360" w:lineRule="auto"/>
        <w:ind w:firstLine="360"/>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 xml:space="preserve">As Blais emphasizes with her caption, protection is the most crucial step for preventing the spread of Covid-19 and van Gogh’s </w:t>
      </w:r>
      <w:r w:rsidRPr="00164238">
        <w:rPr>
          <w:rFonts w:ascii="Times New Roman" w:hAnsi="Times New Roman" w:cs="Times New Roman"/>
          <w:i/>
          <w:iCs/>
          <w:color w:val="000000" w:themeColor="text1"/>
          <w:sz w:val="20"/>
          <w:szCs w:val="20"/>
          <w:lang w:val="en-US"/>
        </w:rPr>
        <w:t>The Parsonage Garden at Nuenen</w:t>
      </w:r>
      <w:r w:rsidRPr="00164238">
        <w:rPr>
          <w:rFonts w:ascii="Times New Roman" w:hAnsi="Times New Roman" w:cs="Times New Roman"/>
          <w:color w:val="000000" w:themeColor="text1"/>
          <w:sz w:val="20"/>
          <w:szCs w:val="20"/>
          <w:lang w:val="en-US"/>
        </w:rPr>
        <w:t xml:space="preserve"> reveals the isolated area with the masked lady in the depiction of Blais. This painting is one of the season series for van Gogh and the main theme loneliness shows itself obviously as colors and the lonely woman illustrate isolation here. Blais remarks this painting into the awareness of Covid-19 in that the painting can be a good example for indicating the protection and social distance. The woman is protecting herself form other people in the context of pandemic here. Blais strengthens how the Covid-19 will make places isolated and abandoned like the painting of van Gogh here. </w:t>
      </w:r>
    </w:p>
    <w:p w14:paraId="41EC1103" w14:textId="1984B832" w:rsidR="00592ED9" w:rsidRPr="00164238" w:rsidRDefault="00592ED9" w:rsidP="00592ED9">
      <w:pPr>
        <w:spacing w:line="360" w:lineRule="auto"/>
        <w:ind w:firstLine="360"/>
        <w:jc w:val="both"/>
        <w:rPr>
          <w:rFonts w:ascii="Times New Roman" w:hAnsi="Times New Roman" w:cs="Times New Roman"/>
          <w:b/>
          <w:bCs/>
          <w:color w:val="000000" w:themeColor="text1"/>
          <w:sz w:val="20"/>
          <w:szCs w:val="20"/>
          <w:lang w:val="en-US"/>
        </w:rPr>
      </w:pPr>
      <w:r w:rsidRPr="00164238">
        <w:rPr>
          <w:rFonts w:ascii="Times New Roman" w:hAnsi="Times New Roman" w:cs="Times New Roman"/>
          <w:b/>
          <w:bCs/>
          <w:color w:val="000000" w:themeColor="text1"/>
          <w:sz w:val="20"/>
          <w:szCs w:val="20"/>
          <w:lang w:val="en-US"/>
        </w:rPr>
        <w:t>CONCLUSION</w:t>
      </w:r>
    </w:p>
    <w:p w14:paraId="18556AF2" w14:textId="77777777" w:rsidR="00592ED9" w:rsidRPr="00164238" w:rsidRDefault="00592ED9" w:rsidP="00592ED9">
      <w:pPr>
        <w:spacing w:line="360" w:lineRule="auto"/>
        <w:ind w:firstLine="360"/>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 xml:space="preserve">All these examples from Blais’s Instagram account called as </w:t>
      </w:r>
      <w:r w:rsidRPr="00164238">
        <w:rPr>
          <w:rFonts w:ascii="Times New Roman" w:hAnsi="Times New Roman" w:cs="Times New Roman"/>
          <w:i/>
          <w:iCs/>
          <w:color w:val="000000" w:themeColor="text1"/>
          <w:sz w:val="20"/>
          <w:szCs w:val="20"/>
          <w:lang w:val="en-US"/>
        </w:rPr>
        <w:t>plaguehistory</w:t>
      </w:r>
      <w:r w:rsidRPr="00164238">
        <w:rPr>
          <w:rFonts w:ascii="Times New Roman" w:hAnsi="Times New Roman" w:cs="Times New Roman"/>
          <w:color w:val="000000" w:themeColor="text1"/>
          <w:sz w:val="20"/>
          <w:szCs w:val="20"/>
          <w:lang w:val="en-US"/>
        </w:rPr>
        <w:t xml:space="preserve"> show the integration between Covid-19 and art history, and they construct a great bridge at that point. Today people try to produce alternative responses towards this pandemic and Blais can be given as an authentic example as she examines the culture from diverse perspectives relating to the precautions of Covid-19. This global crisis affects all people and their lives in the world. The importance of earth and even breathing are understood better. This study is a kind of review of Blais’s artistic productions in that it investigates some examples from her Instagram account. As Raymond Williams states in the definition of culture, Blais evaluates historical masterpieces in a new dimension and each presents indefinable illustrations about this issue like </w:t>
      </w:r>
      <w:r w:rsidRPr="00164238">
        <w:rPr>
          <w:rFonts w:ascii="Times New Roman" w:hAnsi="Times New Roman" w:cs="Times New Roman"/>
          <w:color w:val="000000" w:themeColor="text1"/>
          <w:sz w:val="20"/>
          <w:szCs w:val="20"/>
          <w:lang w:val="en-US"/>
        </w:rPr>
        <w:lastRenderedPageBreak/>
        <w:t xml:space="preserve">culture itself. Culture is the combination of two or three principles according to Williams in terms of creating the mosaics. Diverse paintings about everything such as religion, ordinary lives and history provide to understand various aspects of life. Blais does it with her creative remarks. She uses Jesus Christ, gendered events such as the execution of lady Jane Grey and nature. These kinds of creations reveal the enthusiastic mood for people because they are really bored with the effects of Covid-19 and it is getting worse with the increasing number of deaths. Thus, Blais wants to raise awareness with her remarked arts. Her artistic choices focus on various genres from different painters. This review closely looks at Leonardo da Vinci, Peter Paul Rubens, Paul Delaroche and Vincent van Gogh in that their remarked versions shed light on the warning results of Covid-19 pandemic. </w:t>
      </w:r>
    </w:p>
    <w:p w14:paraId="1FF48B00" w14:textId="77777777" w:rsidR="00592ED9" w:rsidRPr="00164238" w:rsidRDefault="00592ED9" w:rsidP="00592ED9">
      <w:pPr>
        <w:spacing w:line="360" w:lineRule="auto"/>
        <w:ind w:firstLine="360"/>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 xml:space="preserve">Genevieve Blais creates smiles in the faces of people with her artistic remarks in the crisis of Covid-19, and it can also be the alternative response to the pandemic in terms of amusement and reimagination. It is not only dealing with social circumstances but also artistic popularities. Social media establishes the background of these productions and it provides to construct a warning effect upon the Covid-19; for example, in this process the use of mask and social distance are so important to be avoided and protected. Blais’s creative imagination both uses artistic awakening with her remarks and create awareness about the pandemic’s results and effects. Therefore, it is a kind of social commentary upon Covid-19 with Blais’s humoristic and ironical artistic mind. </w:t>
      </w:r>
    </w:p>
    <w:p w14:paraId="0385449D" w14:textId="77777777" w:rsidR="00592ED9" w:rsidRPr="00164238" w:rsidRDefault="00592ED9" w:rsidP="00592ED9">
      <w:pPr>
        <w:spacing w:line="360" w:lineRule="auto"/>
        <w:jc w:val="both"/>
        <w:rPr>
          <w:rFonts w:ascii="Times New Roman" w:hAnsi="Times New Roman" w:cs="Times New Roman"/>
          <w:color w:val="000000" w:themeColor="text1"/>
          <w:sz w:val="20"/>
          <w:szCs w:val="20"/>
          <w:lang w:val="en-US"/>
        </w:rPr>
      </w:pPr>
    </w:p>
    <w:p w14:paraId="2AA5E4B2" w14:textId="139B260A" w:rsidR="00592ED9" w:rsidRPr="00164238" w:rsidRDefault="00592ED9" w:rsidP="00592ED9">
      <w:pPr>
        <w:spacing w:line="360" w:lineRule="auto"/>
        <w:ind w:firstLine="360"/>
        <w:jc w:val="both"/>
        <w:rPr>
          <w:rFonts w:ascii="Times New Roman" w:hAnsi="Times New Roman" w:cs="Times New Roman"/>
          <w:b/>
          <w:bCs/>
          <w:color w:val="000000" w:themeColor="text1"/>
          <w:sz w:val="20"/>
          <w:szCs w:val="20"/>
          <w:lang w:val="en-US"/>
        </w:rPr>
      </w:pPr>
      <w:r w:rsidRPr="00164238">
        <w:rPr>
          <w:rFonts w:ascii="Times New Roman" w:hAnsi="Times New Roman" w:cs="Times New Roman"/>
          <w:b/>
          <w:bCs/>
          <w:color w:val="000000" w:themeColor="text1"/>
          <w:sz w:val="20"/>
          <w:szCs w:val="20"/>
          <w:lang w:val="en-US"/>
        </w:rPr>
        <w:t>REFERENCES</w:t>
      </w:r>
    </w:p>
    <w:p w14:paraId="39435A34" w14:textId="77777777" w:rsidR="00592ED9" w:rsidRPr="00164238" w:rsidRDefault="00592ED9" w:rsidP="00592ED9">
      <w:pPr>
        <w:spacing w:line="360" w:lineRule="auto"/>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 xml:space="preserve">Blais, Genevieve (2020), </w:t>
      </w:r>
      <w:r w:rsidRPr="00164238">
        <w:rPr>
          <w:rFonts w:ascii="Times New Roman" w:hAnsi="Times New Roman" w:cs="Times New Roman"/>
          <w:i/>
          <w:iCs/>
          <w:color w:val="000000" w:themeColor="text1"/>
          <w:sz w:val="20"/>
          <w:szCs w:val="20"/>
          <w:lang w:val="en-US"/>
        </w:rPr>
        <w:t>plaguehistory</w:t>
      </w:r>
      <w:r w:rsidRPr="00164238">
        <w:rPr>
          <w:rFonts w:ascii="Times New Roman" w:hAnsi="Times New Roman" w:cs="Times New Roman"/>
          <w:color w:val="000000" w:themeColor="text1"/>
          <w:sz w:val="20"/>
          <w:szCs w:val="20"/>
          <w:lang w:val="en-US"/>
        </w:rPr>
        <w:t xml:space="preserve"> Instagram Account, </w:t>
      </w:r>
    </w:p>
    <w:p w14:paraId="67E8590D" w14:textId="77777777" w:rsidR="00592ED9" w:rsidRPr="00164238" w:rsidRDefault="00592ED9" w:rsidP="00592ED9">
      <w:pPr>
        <w:spacing w:line="360" w:lineRule="auto"/>
        <w:ind w:firstLine="708"/>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https://www.instagram.com/plaguehistory/ (last accessed 14 March 2021).</w:t>
      </w:r>
    </w:p>
    <w:p w14:paraId="57AD3198" w14:textId="77777777" w:rsidR="00592ED9" w:rsidRPr="00164238" w:rsidRDefault="00592ED9" w:rsidP="00592ED9">
      <w:pPr>
        <w:spacing w:line="36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US"/>
        </w:rPr>
        <w:t xml:space="preserve">WHO, </w:t>
      </w:r>
      <w:r w:rsidRPr="00164238">
        <w:rPr>
          <w:rFonts w:ascii="Times New Roman" w:hAnsi="Times New Roman" w:cs="Times New Roman"/>
          <w:i/>
          <w:iCs/>
          <w:color w:val="000000" w:themeColor="text1"/>
          <w:sz w:val="20"/>
          <w:szCs w:val="20"/>
          <w:lang w:val="en-US"/>
        </w:rPr>
        <w:t>Coronavirus disease 2019 (COVID-19) Situation Report – 94</w:t>
      </w:r>
      <w:r w:rsidRPr="00164238">
        <w:rPr>
          <w:rFonts w:ascii="Times New Roman" w:hAnsi="Times New Roman" w:cs="Times New Roman"/>
          <w:color w:val="000000" w:themeColor="text1"/>
          <w:sz w:val="20"/>
          <w:szCs w:val="20"/>
          <w:lang w:val="en-US"/>
        </w:rPr>
        <w:t xml:space="preserve">, 23 April 2020. </w:t>
      </w:r>
    </w:p>
    <w:p w14:paraId="2A54874F" w14:textId="77777777" w:rsidR="00592ED9" w:rsidRPr="00164238" w:rsidRDefault="00592ED9" w:rsidP="00592ED9">
      <w:pPr>
        <w:spacing w:line="360" w:lineRule="auto"/>
        <w:ind w:left="708"/>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https://www.who.int/publications-detail/infection-prevention-and-control-during-health-care-when-novel-coronavirus-(ncov)-infection-is-suspected-20200125</w:t>
      </w:r>
    </w:p>
    <w:p w14:paraId="07D7BB8B" w14:textId="77777777" w:rsidR="00592ED9" w:rsidRPr="00164238" w:rsidRDefault="00592ED9" w:rsidP="00592ED9">
      <w:pPr>
        <w:spacing w:line="360" w:lineRule="auto"/>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 xml:space="preserve">Williams, Raymond (1976), </w:t>
      </w:r>
      <w:r w:rsidRPr="00164238">
        <w:rPr>
          <w:rFonts w:ascii="Times New Roman" w:hAnsi="Times New Roman" w:cs="Times New Roman"/>
          <w:i/>
          <w:iCs/>
          <w:color w:val="000000" w:themeColor="text1"/>
          <w:sz w:val="20"/>
          <w:szCs w:val="20"/>
          <w:lang w:val="en-US"/>
        </w:rPr>
        <w:t>Keywords A Vocabulary of Culture and Society</w:t>
      </w:r>
      <w:r w:rsidRPr="00164238">
        <w:rPr>
          <w:rFonts w:ascii="Times New Roman" w:hAnsi="Times New Roman" w:cs="Times New Roman"/>
          <w:color w:val="000000" w:themeColor="text1"/>
          <w:sz w:val="20"/>
          <w:szCs w:val="20"/>
          <w:lang w:val="en-US"/>
        </w:rPr>
        <w:t xml:space="preserve">, New York: </w:t>
      </w:r>
    </w:p>
    <w:p w14:paraId="7A426ECD" w14:textId="77777777" w:rsidR="00592ED9" w:rsidRPr="00164238" w:rsidRDefault="00592ED9" w:rsidP="00592ED9">
      <w:pPr>
        <w:spacing w:line="360" w:lineRule="auto"/>
        <w:ind w:firstLine="708"/>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sz w:val="20"/>
          <w:szCs w:val="20"/>
          <w:lang w:val="en-US"/>
        </w:rPr>
        <w:t>Oxford University Press.</w:t>
      </w:r>
    </w:p>
    <w:p w14:paraId="0A34C6BF" w14:textId="77777777" w:rsidR="00592ED9" w:rsidRPr="00164238" w:rsidRDefault="00592ED9" w:rsidP="00592ED9">
      <w:pPr>
        <w:spacing w:before="120" w:after="120"/>
        <w:ind w:firstLine="567"/>
        <w:jc w:val="both"/>
        <w:rPr>
          <w:rFonts w:ascii="Times New Roman" w:hAnsi="Times New Roman" w:cs="Times New Roman"/>
          <w:b/>
          <w:color w:val="000000" w:themeColor="text1"/>
          <w:sz w:val="20"/>
          <w:szCs w:val="20"/>
        </w:rPr>
      </w:pPr>
    </w:p>
    <w:p w14:paraId="304AB0BC" w14:textId="77777777" w:rsidR="00592ED9" w:rsidRPr="00164238" w:rsidRDefault="00592ED9" w:rsidP="00592ED9">
      <w:pPr>
        <w:spacing w:before="120" w:after="120"/>
        <w:ind w:firstLine="567"/>
        <w:jc w:val="both"/>
        <w:rPr>
          <w:rFonts w:ascii="Times New Roman" w:hAnsi="Times New Roman" w:cs="Times New Roman"/>
          <w:b/>
          <w:color w:val="000000" w:themeColor="text1"/>
          <w:sz w:val="20"/>
          <w:szCs w:val="20"/>
        </w:rPr>
      </w:pPr>
    </w:p>
    <w:p w14:paraId="3C6AE940" w14:textId="77777777" w:rsidR="00592ED9" w:rsidRPr="00164238" w:rsidRDefault="00592ED9" w:rsidP="00592ED9">
      <w:pPr>
        <w:spacing w:before="120" w:after="120"/>
        <w:ind w:firstLine="567"/>
        <w:jc w:val="both"/>
        <w:rPr>
          <w:rFonts w:ascii="Times New Roman" w:hAnsi="Times New Roman" w:cs="Times New Roman"/>
          <w:b/>
          <w:color w:val="000000" w:themeColor="text1"/>
          <w:sz w:val="20"/>
          <w:szCs w:val="20"/>
        </w:rPr>
      </w:pPr>
    </w:p>
    <w:p w14:paraId="6C8304A1" w14:textId="420F193C" w:rsidR="00592ED9" w:rsidRPr="00164238" w:rsidRDefault="00592ED9" w:rsidP="00592ED9">
      <w:pPr>
        <w:spacing w:before="120" w:after="120"/>
        <w:jc w:val="both"/>
        <w:rPr>
          <w:rFonts w:ascii="Times New Roman" w:hAnsi="Times New Roman" w:cs="Times New Roman"/>
          <w:b/>
          <w:color w:val="000000" w:themeColor="text1"/>
          <w:sz w:val="20"/>
          <w:szCs w:val="20"/>
        </w:rPr>
      </w:pPr>
    </w:p>
    <w:p w14:paraId="5847F733" w14:textId="21AD84EB" w:rsidR="00592ED9" w:rsidRPr="00164238" w:rsidRDefault="00592ED9" w:rsidP="00592ED9">
      <w:pPr>
        <w:spacing w:before="120" w:after="120"/>
        <w:jc w:val="both"/>
        <w:rPr>
          <w:rFonts w:ascii="Times New Roman" w:hAnsi="Times New Roman" w:cs="Times New Roman"/>
          <w:b/>
          <w:color w:val="000000" w:themeColor="text1"/>
          <w:sz w:val="20"/>
          <w:szCs w:val="20"/>
        </w:rPr>
      </w:pPr>
    </w:p>
    <w:p w14:paraId="18D0DFF9" w14:textId="6FCDD30A" w:rsidR="00FC55AB" w:rsidRPr="00164238" w:rsidRDefault="00FC55AB" w:rsidP="00592ED9">
      <w:pPr>
        <w:spacing w:before="120" w:after="120"/>
        <w:jc w:val="both"/>
        <w:rPr>
          <w:rFonts w:ascii="Times New Roman" w:hAnsi="Times New Roman" w:cs="Times New Roman"/>
          <w:b/>
          <w:color w:val="000000" w:themeColor="text1"/>
          <w:sz w:val="20"/>
          <w:szCs w:val="20"/>
        </w:rPr>
      </w:pPr>
    </w:p>
    <w:p w14:paraId="22141C66" w14:textId="10A9B481" w:rsidR="00E00304" w:rsidRPr="00164238" w:rsidRDefault="001B1C65" w:rsidP="001B1C65">
      <w:pPr>
        <w:pStyle w:val="Balk1"/>
        <w:rPr>
          <w:rFonts w:ascii="Times New Roman" w:hAnsi="Times New Roman" w:cs="Times New Roman"/>
          <w:b/>
          <w:color w:val="000000" w:themeColor="text1"/>
          <w:sz w:val="24"/>
          <w:szCs w:val="28"/>
        </w:rPr>
      </w:pPr>
      <w:bookmarkStart w:id="140" w:name="_Toc72961726"/>
      <w:r w:rsidRPr="00164238">
        <w:rPr>
          <w:rFonts w:ascii="Times New Roman" w:hAnsi="Times New Roman" w:cs="Times New Roman"/>
          <w:b/>
          <w:color w:val="000000" w:themeColor="text1"/>
          <w:sz w:val="24"/>
          <w:szCs w:val="28"/>
        </w:rPr>
        <w:lastRenderedPageBreak/>
        <w:t>GLOBALIZATION, FAILURE OF THE MARKET AND RISING ROLES OF THE NATION-STATES DURING THE COVID-19 PANDEMIC</w:t>
      </w:r>
      <w:bookmarkEnd w:id="140"/>
    </w:p>
    <w:p w14:paraId="29C7B134" w14:textId="77777777" w:rsidR="001B1C65" w:rsidRPr="00164238" w:rsidRDefault="001B1C65" w:rsidP="001B1C65">
      <w:pPr>
        <w:pStyle w:val="Balk2"/>
        <w:rPr>
          <w:rFonts w:ascii="Times New Roman" w:eastAsia="Arial" w:hAnsi="Times New Roman" w:cs="Times New Roman"/>
          <w:b w:val="0"/>
          <w:i w:val="0"/>
          <w:color w:val="000000" w:themeColor="text1"/>
          <w:sz w:val="20"/>
          <w:szCs w:val="20"/>
        </w:rPr>
      </w:pPr>
      <w:bookmarkStart w:id="141" w:name="_Toc72961727"/>
      <w:r w:rsidRPr="00164238">
        <w:rPr>
          <w:rStyle w:val="Balk2Char"/>
          <w:rFonts w:ascii="Times New Roman" w:hAnsi="Times New Roman" w:cs="Times New Roman"/>
          <w:color w:val="000000" w:themeColor="text1"/>
          <w:sz w:val="20"/>
          <w:szCs w:val="20"/>
        </w:rPr>
        <w:t xml:space="preserve">Lecturer, Dr. Orhan CENGIZ, </w:t>
      </w:r>
      <w:r w:rsidRPr="00164238">
        <w:rPr>
          <w:rFonts w:ascii="Times New Roman" w:eastAsia="Arial" w:hAnsi="Times New Roman" w:cs="Times New Roman"/>
          <w:b w:val="0"/>
          <w:color w:val="000000" w:themeColor="text1"/>
          <w:sz w:val="20"/>
          <w:szCs w:val="20"/>
        </w:rPr>
        <w:t>Cukurova University, Pozantı Vocational School, Department Of Accounting And Taxation,01470, Adana, Turkey</w:t>
      </w:r>
      <w:bookmarkEnd w:id="141"/>
    </w:p>
    <w:p w14:paraId="6CE5CF1C" w14:textId="77777777" w:rsidR="001B1C65" w:rsidRPr="00164238" w:rsidRDefault="001B1C65" w:rsidP="001B1C65">
      <w:pPr>
        <w:jc w:val="both"/>
        <w:rPr>
          <w:rFonts w:ascii="Times New Roman" w:hAnsi="Times New Roman" w:cs="Times New Roman"/>
          <w:color w:val="000000" w:themeColor="text1"/>
          <w:sz w:val="20"/>
          <w:szCs w:val="20"/>
        </w:rPr>
      </w:pPr>
      <w:r w:rsidRPr="00164238">
        <w:rPr>
          <w:rFonts w:ascii="Times New Roman" w:eastAsia="Arial" w:hAnsi="Times New Roman" w:cs="Times New Roman"/>
          <w:i/>
          <w:color w:val="000000" w:themeColor="text1"/>
          <w:sz w:val="20"/>
          <w:szCs w:val="20"/>
        </w:rPr>
        <w:t xml:space="preserve">e-mail: </w:t>
      </w:r>
      <w:hyperlink r:id="rId232" w:history="1">
        <w:r w:rsidRPr="00164238">
          <w:rPr>
            <w:rStyle w:val="Kpr"/>
            <w:rFonts w:ascii="Times New Roman" w:eastAsia="Arial" w:hAnsi="Times New Roman" w:cs="Times New Roman"/>
            <w:i/>
            <w:color w:val="000000" w:themeColor="text1"/>
            <w:sz w:val="20"/>
            <w:szCs w:val="20"/>
          </w:rPr>
          <w:t>ocengiz@cu.edu.tr</w:t>
        </w:r>
      </w:hyperlink>
      <w:r w:rsidRPr="00164238">
        <w:rPr>
          <w:rFonts w:ascii="Times New Roman" w:eastAsia="Arial" w:hAnsi="Times New Roman" w:cs="Times New Roman"/>
          <w:i/>
          <w:color w:val="000000" w:themeColor="text1"/>
          <w:sz w:val="20"/>
          <w:szCs w:val="20"/>
        </w:rPr>
        <w:t xml:space="preserve"> ORCID ID: </w:t>
      </w:r>
      <w:r w:rsidRPr="00164238">
        <w:rPr>
          <w:rFonts w:ascii="Times New Roman" w:hAnsi="Times New Roman" w:cs="Times New Roman"/>
          <w:color w:val="000000" w:themeColor="text1"/>
          <w:sz w:val="20"/>
          <w:szCs w:val="20"/>
          <w:shd w:val="clear" w:color="auto" w:fill="FFFFFF"/>
        </w:rPr>
        <w:t>0000-0002-1883-4754</w:t>
      </w:r>
    </w:p>
    <w:p w14:paraId="3496C729" w14:textId="77777777" w:rsidR="00E00304" w:rsidRPr="00164238" w:rsidRDefault="00E00304" w:rsidP="00E00304">
      <w:pPr>
        <w:spacing w:before="120" w:after="120"/>
        <w:jc w:val="center"/>
        <w:rPr>
          <w:rFonts w:ascii="Times New Roman" w:hAnsi="Times New Roman" w:cs="Times New Roman"/>
          <w:b/>
          <w:color w:val="000000" w:themeColor="text1"/>
          <w:sz w:val="20"/>
          <w:szCs w:val="20"/>
        </w:rPr>
      </w:pPr>
    </w:p>
    <w:p w14:paraId="1D6595D6" w14:textId="77777777" w:rsidR="00E00304" w:rsidRPr="00164238" w:rsidRDefault="00E00304" w:rsidP="00E00304">
      <w:pPr>
        <w:spacing w:before="120" w:after="120"/>
        <w:ind w:firstLine="708"/>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rPr>
        <w:t>Abstract</w:t>
      </w:r>
    </w:p>
    <w:p w14:paraId="5D31E851" w14:textId="77777777" w:rsidR="00E00304" w:rsidRPr="00164238" w:rsidRDefault="00E00304" w:rsidP="00E00304">
      <w:pPr>
        <w:spacing w:before="120" w:after="120"/>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Since the 1980s, policies in which the state’s economic roles decreased with globalization have been dominant on a global scale. In this process, the obstacles on trade and capital were removed and an economic model was built within the framework of neo-liberal policies in the global economy. After the 2008 global financial crisis, many countries, especially developed liberal countries, experienced a period in which the state’s intervention areas increased. In the global atmosphere where the impacts of the crisis continued to a certain extent, the Covid-19 pandemic, which started in China at the end of 2019 and spread worldwide, had profound impacts in every field. The integration of countries with each other makes it easier for crises in a country or region to spread worldwide in a short time. The Covid-19 pandemic experienced in the economic structure in question has revealed once again that the markets do not have the dynamics to eliminate the imbalances automatically. Public interventions have gained importance in the face of congestions in the global supply chain, inadequate functioning of the market, losses in employment, and the collapse of the health system in countries where the private health system is dominant. </w:t>
      </w:r>
    </w:p>
    <w:p w14:paraId="5EAA4065" w14:textId="77777777" w:rsidR="00E00304" w:rsidRPr="00164238" w:rsidRDefault="00E00304" w:rsidP="00E00304">
      <w:pPr>
        <w:spacing w:before="120" w:after="120"/>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In this study, the increasing roles of nation-states in the economy and other areas in the face of market failure are examined based on the impacts of the Covid-19 pandemic, one of the biggest crises of the 21st century. In the study, state interventions’ scope and nature are handled comparatively, based on country examples. The main findings are as follows: i) It is predicted that the globalizing world economy’s healthier functioning is possible not by minimizing the state’s roles but by effective state capacity. ii) It has emerged that the role of the public sector in the provision of public goods such as education and health is crucial, and this process will force the state to change towards digitalization and to be more inclusive. iii) Covid-19 has mobilized the dynamics that will bring along a process where globalization will be questioned and regional cooperation will gain importance.</w:t>
      </w:r>
    </w:p>
    <w:p w14:paraId="44753BC8" w14:textId="77777777" w:rsidR="00E00304" w:rsidRPr="00164238" w:rsidRDefault="00E00304" w:rsidP="00E00304">
      <w:pPr>
        <w:spacing w:before="120" w:after="120"/>
        <w:jc w:val="both"/>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rPr>
        <w:t>Keywords:</w:t>
      </w:r>
      <w:r w:rsidRPr="00164238">
        <w:rPr>
          <w:rFonts w:ascii="Times New Roman" w:hAnsi="Times New Roman" w:cs="Times New Roman"/>
          <w:color w:val="000000" w:themeColor="text1"/>
          <w:sz w:val="20"/>
          <w:szCs w:val="20"/>
        </w:rPr>
        <w:t xml:space="preserve">  Covid-19, Globalization, Nation-States.</w:t>
      </w:r>
    </w:p>
    <w:p w14:paraId="6083405F" w14:textId="741FFFF1" w:rsidR="00E00304" w:rsidRPr="00164238" w:rsidRDefault="00E00304" w:rsidP="00E00304">
      <w:pPr>
        <w:spacing w:before="120" w:after="120" w:line="240" w:lineRule="auto"/>
        <w:ind w:firstLine="708"/>
        <w:rPr>
          <w:rFonts w:ascii="Times New Roman" w:hAnsi="Times New Roman" w:cs="Times New Roman"/>
          <w:b/>
          <w:color w:val="000000" w:themeColor="text1"/>
          <w:sz w:val="20"/>
          <w:szCs w:val="20"/>
        </w:rPr>
      </w:pPr>
      <w:r w:rsidRPr="00164238">
        <w:rPr>
          <w:rFonts w:ascii="Times New Roman" w:hAnsi="Times New Roman" w:cs="Times New Roman"/>
          <w:b/>
          <w:color w:val="000000" w:themeColor="text1"/>
          <w:sz w:val="20"/>
          <w:szCs w:val="20"/>
        </w:rPr>
        <w:t>Introduction</w:t>
      </w:r>
    </w:p>
    <w:p w14:paraId="264958C0"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The globalization process, which gradually increases the dependence between countries and individuals, has a very complex structure. The debates and problems that arise with globalization are omnibus (Fischer, 2003). Thanks to globalization, the circulation of information, capital, and technology between countries and goods and services has also become more accessible.</w:t>
      </w:r>
    </w:p>
    <w:p w14:paraId="66DE883A"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Decreases in communication and transportation costs, decreasing trade and investment barriers have accelerated the integration of countries worldwide. Besides, within globalization, productivity has increased, and consumer preferences have changed. On the other hand, globalization has been debated for many reasons, such as the increase in inequality and environmental degradation and the erosion of nation-states’ sovereign power (McCulloch, 2002).</w:t>
      </w:r>
    </w:p>
    <w:p w14:paraId="021D080B"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Many countries have opened their economy to the outside, and there has been a tremendous increase in the flow of goods and services (Lang and Tavares, 2018). World exports of goods and services increased from $2.454 trillion in 1970 to $26.229 trillion in 2019 (Word Bank, 2021).</w:t>
      </w:r>
    </w:p>
    <w:p w14:paraId="2ECA41D9" w14:textId="687E4654" w:rsidR="00E00304" w:rsidRPr="00164238" w:rsidRDefault="00E00304" w:rsidP="00E00304">
      <w:pPr>
        <w:jc w:val="center"/>
        <w:rPr>
          <w:rFonts w:ascii="Times New Roman" w:hAnsi="Times New Roman" w:cs="Times New Roman"/>
          <w:color w:val="000000" w:themeColor="text1"/>
          <w:sz w:val="20"/>
          <w:szCs w:val="20"/>
        </w:rPr>
      </w:pPr>
      <w:r w:rsidRPr="00164238">
        <w:rPr>
          <w:rFonts w:ascii="Times New Roman" w:hAnsi="Times New Roman" w:cs="Times New Roman"/>
          <w:noProof/>
          <w:color w:val="000000" w:themeColor="text1"/>
          <w:sz w:val="20"/>
          <w:szCs w:val="20"/>
          <w:lang w:val="en-US"/>
        </w:rPr>
        <w:lastRenderedPageBreak/>
        <w:drawing>
          <wp:inline distT="0" distB="0" distL="0" distR="0" wp14:anchorId="3C5F72A3" wp14:editId="12EB508F">
            <wp:extent cx="5495925" cy="3209925"/>
            <wp:effectExtent l="0" t="0" r="9525" b="9525"/>
            <wp:docPr id="128" name="Grafik 1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3"/>
              </a:graphicData>
            </a:graphic>
          </wp:inline>
        </w:drawing>
      </w:r>
    </w:p>
    <w:p w14:paraId="204CEFFD" w14:textId="77777777" w:rsidR="00E00304" w:rsidRPr="00164238" w:rsidRDefault="00E00304" w:rsidP="00E00304">
      <w:pPr>
        <w:spacing w:before="120" w:after="120"/>
        <w:jc w:val="center"/>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rPr>
        <w:t>Figure 1.</w:t>
      </w:r>
      <w:r w:rsidRPr="00164238">
        <w:rPr>
          <w:rFonts w:ascii="Times New Roman" w:hAnsi="Times New Roman" w:cs="Times New Roman"/>
          <w:color w:val="000000" w:themeColor="text1"/>
          <w:sz w:val="20"/>
          <w:szCs w:val="20"/>
        </w:rPr>
        <w:t xml:space="preserve"> Kof Globalization Index, 1970-2018.</w:t>
      </w:r>
    </w:p>
    <w:p w14:paraId="429F7256" w14:textId="77777777" w:rsidR="00E00304" w:rsidRPr="00164238" w:rsidRDefault="00E00304" w:rsidP="00E00304">
      <w:pPr>
        <w:spacing w:before="120" w:after="120"/>
        <w:jc w:val="center"/>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rPr>
        <w:t>Source:</w:t>
      </w:r>
      <w:r w:rsidRPr="00164238">
        <w:rPr>
          <w:rFonts w:ascii="Times New Roman" w:hAnsi="Times New Roman" w:cs="Times New Roman"/>
          <w:color w:val="000000" w:themeColor="text1"/>
          <w:sz w:val="20"/>
          <w:szCs w:val="20"/>
        </w:rPr>
        <w:t xml:space="preserve"> Gygli et al., 2019.</w:t>
      </w:r>
    </w:p>
    <w:p w14:paraId="79F21445"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Since the 1970s, the globalization process has gain significant acceleration. As seen in Figure 1, the globalization index was in the 30s% in the early 1970s, it reached exceeded 60% in 2018. </w:t>
      </w:r>
    </w:p>
    <w:p w14:paraId="5700A2C3"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As emphasized by Dani Rodrik (2019), the asymmetric structure that emerged with transformations since the 1980s has increased the economic and social inequality between developed and developing countries. Particularly where social protection mechanisms are weak, the gap between the winners and losers from globalization increases.</w:t>
      </w:r>
    </w:p>
    <w:p w14:paraId="4E70EAE1"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Neoliberal globalization ideology has been the main factor in shaping the West’s economic policies, especially in the USA and the UK. More importantly, the USA has successfully adopted neoliberal policies in third-world countries through the IMF and the World Bank. Neoliberalism expresses both an economic and a political stance. And it not only embodies the ideal of free choice of the unchecked capitalist economy, but it is also seen as a means of achieving productivity, economic growth, technological progress. Concerning this,  in the neoliberal paradigm, the role of the state is minimal. These consist of protecting property rights, executing contracts, and controlling the money supply. State intervention is seen as a problem rather than a solution (Kotz, 2002). </w:t>
      </w:r>
    </w:p>
    <w:p w14:paraId="5CEFA3FC"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However, the scene that emerged with the Covid-19 crisis at the end of 2019 showed the opposite side. Nation-states have played a crucial role in the functioning of markets all over the world. The high-level interdependence of countries has led to the collapse of the global supply chain. Even developed countries have experienced serious difficulties in accessing the most basic health equipment, and restrictions have been placed on exporting health equipment in many countries.</w:t>
      </w:r>
    </w:p>
    <w:p w14:paraId="7072EA1D"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In the international order dominated by the globalized world economy, the Covid-19 pandemic has made the functioning of markets difficult, and nation-states have played vital roles in eliminating the crisis’s adverse impacts. For example, health measures have been tightened in almost all countries. Beyond that, monetary and fiscal policies were used effectively in terms of providing liquidity to economically troubled markets. The state tried to prevent employment losses and expanded the intervention areas within expropriation and rescue packages.</w:t>
      </w:r>
    </w:p>
    <w:p w14:paraId="038C4623"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This study examines the rising roles of nation-states by taking the Covid-19 crisis, another crisis of the international system, in the context of globalization. In the mainstream literature, the dominant view </w:t>
      </w:r>
      <w:r w:rsidRPr="00164238">
        <w:rPr>
          <w:rFonts w:ascii="Times New Roman" w:hAnsi="Times New Roman" w:cs="Times New Roman"/>
          <w:color w:val="000000" w:themeColor="text1"/>
          <w:sz w:val="20"/>
          <w:szCs w:val="20"/>
        </w:rPr>
        <w:lastRenderedPageBreak/>
        <w:t>is that the authority of nation-states has weakened with globalization. However, both the 2008 crisis and the Covid-19 crisis have revealed that nation-states are not weakening as expected; in contrast, they are still crucial actors. Specific to Covid-19, it has been observed that the states have taken over the most remarkable functions in case of market failure. It is aimed to contribute to the existing literature by addressing these issues in a country-specific via the comparative method.</w:t>
      </w:r>
    </w:p>
    <w:p w14:paraId="376B59E6" w14:textId="77777777" w:rsidR="00E00304" w:rsidRPr="00164238" w:rsidRDefault="00E00304" w:rsidP="00E00304">
      <w:pPr>
        <w:spacing w:before="120" w:after="120" w:line="240" w:lineRule="auto"/>
        <w:ind w:firstLine="708"/>
        <w:jc w:val="both"/>
        <w:rPr>
          <w:rFonts w:ascii="Times New Roman" w:hAnsi="Times New Roman" w:cs="Times New Roman"/>
          <w:b/>
          <w:color w:val="000000" w:themeColor="text1"/>
          <w:sz w:val="20"/>
          <w:szCs w:val="20"/>
        </w:rPr>
      </w:pPr>
      <w:r w:rsidRPr="00164238">
        <w:rPr>
          <w:rFonts w:ascii="Times New Roman" w:hAnsi="Times New Roman" w:cs="Times New Roman"/>
          <w:color w:val="000000" w:themeColor="text1"/>
          <w:sz w:val="20"/>
          <w:szCs w:val="20"/>
        </w:rPr>
        <w:t>The remainder of this paper is organised as follows. Section 2 focuses on the nexus between globalization and Covid-19. Section 3 discusses the dynamics rising roles of the nation-states. Section 4 offers various concluding remarks.</w:t>
      </w:r>
    </w:p>
    <w:p w14:paraId="2C649456" w14:textId="713CF3D0" w:rsidR="00E00304" w:rsidRPr="00164238" w:rsidRDefault="00E00304" w:rsidP="00E00304">
      <w:pPr>
        <w:spacing w:before="120" w:after="120" w:line="240" w:lineRule="auto"/>
        <w:ind w:firstLine="708"/>
        <w:jc w:val="both"/>
        <w:rPr>
          <w:rFonts w:ascii="Times New Roman" w:hAnsi="Times New Roman" w:cs="Times New Roman"/>
          <w:b/>
          <w:color w:val="000000" w:themeColor="text1"/>
          <w:sz w:val="20"/>
          <w:szCs w:val="20"/>
        </w:rPr>
      </w:pPr>
      <w:r w:rsidRPr="00164238">
        <w:rPr>
          <w:rFonts w:ascii="Times New Roman" w:hAnsi="Times New Roman" w:cs="Times New Roman"/>
          <w:b/>
          <w:color w:val="000000" w:themeColor="text1"/>
          <w:sz w:val="20"/>
          <w:szCs w:val="20"/>
        </w:rPr>
        <w:t>Globalization and Covid-19</w:t>
      </w:r>
    </w:p>
    <w:p w14:paraId="299B8188"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After the collapse of the Soviet Union in the Western world, globalization has been handled simultaneously with the victory of liberal capitalism. The collapse of the Soviet Union reinforced the absolute belief in liberal capitalism and the free-market. According to Fukuyama, historical processes driven by economics and the individual's desire for reputation and recognition have taken human civilization to the last stage of universal liberal democracy (Raza, 2020: 33).</w:t>
      </w:r>
    </w:p>
    <w:p w14:paraId="4DC51386"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Globalization has a significant role in the fact that the pandemic, which started in China and spread gradually worldwide at the end of 2019, was effective everywhere in a concise time.</w:t>
      </w:r>
    </w:p>
    <w:p w14:paraId="1C8AE2B5" w14:textId="77777777" w:rsidR="00E00304" w:rsidRPr="00164238" w:rsidRDefault="00E00304" w:rsidP="00E00304">
      <w:pPr>
        <w:spacing w:after="0"/>
        <w:jc w:val="both"/>
        <w:rPr>
          <w:rFonts w:ascii="Times New Roman" w:hAnsi="Times New Roman" w:cs="Times New Roman"/>
          <w:b/>
          <w:color w:val="000000" w:themeColor="text1"/>
          <w:sz w:val="20"/>
          <w:szCs w:val="20"/>
        </w:rPr>
      </w:pPr>
      <w:r w:rsidRPr="00164238">
        <w:rPr>
          <w:rFonts w:ascii="Times New Roman" w:hAnsi="Times New Roman" w:cs="Times New Roman"/>
          <w:b/>
          <w:color w:val="000000" w:themeColor="text1"/>
          <w:sz w:val="20"/>
          <w:szCs w:val="20"/>
        </w:rPr>
        <w:t xml:space="preserve">Table 1. </w:t>
      </w:r>
      <w:r w:rsidRPr="00164238">
        <w:rPr>
          <w:rFonts w:ascii="Times New Roman" w:hAnsi="Times New Roman" w:cs="Times New Roman"/>
          <w:color w:val="000000" w:themeColor="text1"/>
          <w:sz w:val="20"/>
          <w:szCs w:val="20"/>
        </w:rPr>
        <w:t>History of Some Fatal Diseases or Pandemic</w:t>
      </w:r>
    </w:p>
    <w:tbl>
      <w:tblPr>
        <w:tblStyle w:val="TabloKlavuzu"/>
        <w:tblW w:w="0" w:type="auto"/>
        <w:jc w:val="center"/>
        <w:tblLook w:val="04A0" w:firstRow="1" w:lastRow="0" w:firstColumn="1" w:lastColumn="0" w:noHBand="0" w:noVBand="1"/>
      </w:tblPr>
      <w:tblGrid>
        <w:gridCol w:w="2848"/>
        <w:gridCol w:w="2817"/>
        <w:gridCol w:w="2830"/>
      </w:tblGrid>
      <w:tr w:rsidR="00E00304" w:rsidRPr="00164238" w14:paraId="43493439" w14:textId="77777777" w:rsidTr="00E00304">
        <w:trPr>
          <w:jc w:val="center"/>
        </w:trPr>
        <w:tc>
          <w:tcPr>
            <w:tcW w:w="3070" w:type="dxa"/>
            <w:tcBorders>
              <w:top w:val="single" w:sz="4" w:space="0" w:color="auto"/>
              <w:left w:val="single" w:sz="4" w:space="0" w:color="auto"/>
              <w:bottom w:val="single" w:sz="4" w:space="0" w:color="auto"/>
              <w:right w:val="single" w:sz="4" w:space="0" w:color="auto"/>
            </w:tcBorders>
            <w:hideMark/>
          </w:tcPr>
          <w:p w14:paraId="17280A3B" w14:textId="77777777" w:rsidR="00E00304" w:rsidRPr="00164238" w:rsidRDefault="00E00304">
            <w:pPr>
              <w:jc w:val="center"/>
              <w:rPr>
                <w:rFonts w:ascii="Times New Roman" w:hAnsi="Times New Roman" w:cs="Times New Roman"/>
                <w:b/>
                <w:color w:val="000000" w:themeColor="text1"/>
                <w:sz w:val="20"/>
                <w:szCs w:val="20"/>
              </w:rPr>
            </w:pPr>
            <w:r w:rsidRPr="00164238">
              <w:rPr>
                <w:rFonts w:ascii="Times New Roman" w:hAnsi="Times New Roman" w:cs="Times New Roman"/>
                <w:b/>
                <w:color w:val="000000" w:themeColor="text1"/>
                <w:sz w:val="20"/>
                <w:szCs w:val="20"/>
              </w:rPr>
              <w:t>Name</w:t>
            </w:r>
          </w:p>
        </w:tc>
        <w:tc>
          <w:tcPr>
            <w:tcW w:w="3071" w:type="dxa"/>
            <w:tcBorders>
              <w:top w:val="single" w:sz="4" w:space="0" w:color="auto"/>
              <w:left w:val="single" w:sz="4" w:space="0" w:color="auto"/>
              <w:bottom w:val="single" w:sz="4" w:space="0" w:color="auto"/>
              <w:right w:val="single" w:sz="4" w:space="0" w:color="auto"/>
            </w:tcBorders>
            <w:hideMark/>
          </w:tcPr>
          <w:p w14:paraId="761D300E" w14:textId="77777777" w:rsidR="00E00304" w:rsidRPr="00164238" w:rsidRDefault="00E00304">
            <w:pPr>
              <w:jc w:val="center"/>
              <w:rPr>
                <w:rFonts w:ascii="Times New Roman" w:hAnsi="Times New Roman" w:cs="Times New Roman"/>
                <w:b/>
                <w:color w:val="000000" w:themeColor="text1"/>
                <w:sz w:val="20"/>
                <w:szCs w:val="20"/>
              </w:rPr>
            </w:pPr>
            <w:r w:rsidRPr="00164238">
              <w:rPr>
                <w:rFonts w:ascii="Times New Roman" w:hAnsi="Times New Roman" w:cs="Times New Roman"/>
                <w:b/>
                <w:color w:val="000000" w:themeColor="text1"/>
                <w:sz w:val="20"/>
                <w:szCs w:val="20"/>
              </w:rPr>
              <w:t>Period</w:t>
            </w:r>
          </w:p>
        </w:tc>
        <w:tc>
          <w:tcPr>
            <w:tcW w:w="3071" w:type="dxa"/>
            <w:tcBorders>
              <w:top w:val="single" w:sz="4" w:space="0" w:color="auto"/>
              <w:left w:val="single" w:sz="4" w:space="0" w:color="auto"/>
              <w:bottom w:val="single" w:sz="4" w:space="0" w:color="auto"/>
              <w:right w:val="single" w:sz="4" w:space="0" w:color="auto"/>
            </w:tcBorders>
            <w:hideMark/>
          </w:tcPr>
          <w:p w14:paraId="58C972E2" w14:textId="77777777" w:rsidR="00E00304" w:rsidRPr="00164238" w:rsidRDefault="00E00304">
            <w:pPr>
              <w:jc w:val="center"/>
              <w:rPr>
                <w:rFonts w:ascii="Times New Roman" w:hAnsi="Times New Roman" w:cs="Times New Roman"/>
                <w:b/>
                <w:color w:val="000000" w:themeColor="text1"/>
                <w:sz w:val="20"/>
                <w:szCs w:val="20"/>
              </w:rPr>
            </w:pPr>
            <w:r w:rsidRPr="00164238">
              <w:rPr>
                <w:rFonts w:ascii="Times New Roman" w:hAnsi="Times New Roman" w:cs="Times New Roman"/>
                <w:b/>
                <w:color w:val="000000" w:themeColor="text1"/>
                <w:sz w:val="20"/>
                <w:szCs w:val="20"/>
              </w:rPr>
              <w:t>Number of Deaths</w:t>
            </w:r>
          </w:p>
        </w:tc>
      </w:tr>
      <w:tr w:rsidR="00E00304" w:rsidRPr="00164238" w14:paraId="1B9E417D" w14:textId="77777777" w:rsidTr="00E00304">
        <w:trPr>
          <w:jc w:val="center"/>
        </w:trPr>
        <w:tc>
          <w:tcPr>
            <w:tcW w:w="3070" w:type="dxa"/>
            <w:tcBorders>
              <w:top w:val="single" w:sz="4" w:space="0" w:color="auto"/>
              <w:left w:val="single" w:sz="4" w:space="0" w:color="auto"/>
              <w:bottom w:val="single" w:sz="4" w:space="0" w:color="auto"/>
              <w:right w:val="single" w:sz="4" w:space="0" w:color="auto"/>
            </w:tcBorders>
            <w:hideMark/>
          </w:tcPr>
          <w:p w14:paraId="6A654CAA" w14:textId="77777777" w:rsidR="00E00304" w:rsidRPr="00164238" w:rsidRDefault="00E00304">
            <w:pPr>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Black Death (or Bubonic Plague)</w:t>
            </w:r>
          </w:p>
        </w:tc>
        <w:tc>
          <w:tcPr>
            <w:tcW w:w="3071" w:type="dxa"/>
            <w:tcBorders>
              <w:top w:val="single" w:sz="4" w:space="0" w:color="auto"/>
              <w:left w:val="single" w:sz="4" w:space="0" w:color="auto"/>
              <w:bottom w:val="single" w:sz="4" w:space="0" w:color="auto"/>
              <w:right w:val="single" w:sz="4" w:space="0" w:color="auto"/>
            </w:tcBorders>
            <w:hideMark/>
          </w:tcPr>
          <w:p w14:paraId="4B3B0D6B" w14:textId="77777777" w:rsidR="00E00304" w:rsidRPr="00164238" w:rsidRDefault="00E00304">
            <w:pPr>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1347-1351</w:t>
            </w:r>
          </w:p>
        </w:tc>
        <w:tc>
          <w:tcPr>
            <w:tcW w:w="3071" w:type="dxa"/>
            <w:tcBorders>
              <w:top w:val="single" w:sz="4" w:space="0" w:color="auto"/>
              <w:left w:val="single" w:sz="4" w:space="0" w:color="auto"/>
              <w:bottom w:val="single" w:sz="4" w:space="0" w:color="auto"/>
              <w:right w:val="single" w:sz="4" w:space="0" w:color="auto"/>
            </w:tcBorders>
            <w:hideMark/>
          </w:tcPr>
          <w:p w14:paraId="337E9EC9" w14:textId="77777777" w:rsidR="00E00304" w:rsidRPr="00164238" w:rsidRDefault="00E00304">
            <w:pPr>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200 Million</w:t>
            </w:r>
          </w:p>
        </w:tc>
      </w:tr>
      <w:tr w:rsidR="00E00304" w:rsidRPr="00164238" w14:paraId="28007BAA" w14:textId="77777777" w:rsidTr="00E00304">
        <w:trPr>
          <w:jc w:val="center"/>
        </w:trPr>
        <w:tc>
          <w:tcPr>
            <w:tcW w:w="3070" w:type="dxa"/>
            <w:tcBorders>
              <w:top w:val="single" w:sz="4" w:space="0" w:color="auto"/>
              <w:left w:val="single" w:sz="4" w:space="0" w:color="auto"/>
              <w:bottom w:val="single" w:sz="4" w:space="0" w:color="auto"/>
              <w:right w:val="single" w:sz="4" w:space="0" w:color="auto"/>
            </w:tcBorders>
            <w:hideMark/>
          </w:tcPr>
          <w:p w14:paraId="2143224B" w14:textId="77777777" w:rsidR="00E00304" w:rsidRPr="00164238" w:rsidRDefault="00E00304">
            <w:pPr>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Smallpox</w:t>
            </w:r>
          </w:p>
        </w:tc>
        <w:tc>
          <w:tcPr>
            <w:tcW w:w="3071" w:type="dxa"/>
            <w:tcBorders>
              <w:top w:val="single" w:sz="4" w:space="0" w:color="auto"/>
              <w:left w:val="single" w:sz="4" w:space="0" w:color="auto"/>
              <w:bottom w:val="single" w:sz="4" w:space="0" w:color="auto"/>
              <w:right w:val="single" w:sz="4" w:space="0" w:color="auto"/>
            </w:tcBorders>
            <w:hideMark/>
          </w:tcPr>
          <w:p w14:paraId="27874E78" w14:textId="77777777" w:rsidR="00E00304" w:rsidRPr="00164238" w:rsidRDefault="00E00304">
            <w:pPr>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1520</w:t>
            </w:r>
          </w:p>
        </w:tc>
        <w:tc>
          <w:tcPr>
            <w:tcW w:w="3071" w:type="dxa"/>
            <w:tcBorders>
              <w:top w:val="single" w:sz="4" w:space="0" w:color="auto"/>
              <w:left w:val="single" w:sz="4" w:space="0" w:color="auto"/>
              <w:bottom w:val="single" w:sz="4" w:space="0" w:color="auto"/>
              <w:right w:val="single" w:sz="4" w:space="0" w:color="auto"/>
            </w:tcBorders>
            <w:hideMark/>
          </w:tcPr>
          <w:p w14:paraId="0CDA266B" w14:textId="77777777" w:rsidR="00E00304" w:rsidRPr="00164238" w:rsidRDefault="00E00304">
            <w:pPr>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56 Million</w:t>
            </w:r>
          </w:p>
        </w:tc>
      </w:tr>
      <w:tr w:rsidR="00E00304" w:rsidRPr="00164238" w14:paraId="3CEA2C09" w14:textId="77777777" w:rsidTr="00E00304">
        <w:trPr>
          <w:jc w:val="center"/>
        </w:trPr>
        <w:tc>
          <w:tcPr>
            <w:tcW w:w="3070" w:type="dxa"/>
            <w:tcBorders>
              <w:top w:val="single" w:sz="4" w:space="0" w:color="auto"/>
              <w:left w:val="single" w:sz="4" w:space="0" w:color="auto"/>
              <w:bottom w:val="single" w:sz="4" w:space="0" w:color="auto"/>
              <w:right w:val="single" w:sz="4" w:space="0" w:color="auto"/>
            </w:tcBorders>
            <w:hideMark/>
          </w:tcPr>
          <w:p w14:paraId="3594E35A" w14:textId="77777777" w:rsidR="00E00304" w:rsidRPr="00164238" w:rsidRDefault="00E00304">
            <w:pPr>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The Third Plague</w:t>
            </w:r>
          </w:p>
        </w:tc>
        <w:tc>
          <w:tcPr>
            <w:tcW w:w="3071" w:type="dxa"/>
            <w:tcBorders>
              <w:top w:val="single" w:sz="4" w:space="0" w:color="auto"/>
              <w:left w:val="single" w:sz="4" w:space="0" w:color="auto"/>
              <w:bottom w:val="single" w:sz="4" w:space="0" w:color="auto"/>
              <w:right w:val="single" w:sz="4" w:space="0" w:color="auto"/>
            </w:tcBorders>
            <w:hideMark/>
          </w:tcPr>
          <w:p w14:paraId="2BE2CF2F" w14:textId="77777777" w:rsidR="00E00304" w:rsidRPr="00164238" w:rsidRDefault="00E00304">
            <w:pPr>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1855</w:t>
            </w:r>
          </w:p>
        </w:tc>
        <w:tc>
          <w:tcPr>
            <w:tcW w:w="3071" w:type="dxa"/>
            <w:tcBorders>
              <w:top w:val="single" w:sz="4" w:space="0" w:color="auto"/>
              <w:left w:val="single" w:sz="4" w:space="0" w:color="auto"/>
              <w:bottom w:val="single" w:sz="4" w:space="0" w:color="auto"/>
              <w:right w:val="single" w:sz="4" w:space="0" w:color="auto"/>
            </w:tcBorders>
            <w:hideMark/>
          </w:tcPr>
          <w:p w14:paraId="37330F99" w14:textId="77777777" w:rsidR="00E00304" w:rsidRPr="00164238" w:rsidRDefault="00E00304">
            <w:pPr>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12 Million</w:t>
            </w:r>
          </w:p>
        </w:tc>
      </w:tr>
      <w:tr w:rsidR="00E00304" w:rsidRPr="00164238" w14:paraId="43F0CDE5" w14:textId="77777777" w:rsidTr="00E00304">
        <w:trPr>
          <w:jc w:val="center"/>
        </w:trPr>
        <w:tc>
          <w:tcPr>
            <w:tcW w:w="3070" w:type="dxa"/>
            <w:tcBorders>
              <w:top w:val="single" w:sz="4" w:space="0" w:color="auto"/>
              <w:left w:val="single" w:sz="4" w:space="0" w:color="auto"/>
              <w:bottom w:val="single" w:sz="4" w:space="0" w:color="auto"/>
              <w:right w:val="single" w:sz="4" w:space="0" w:color="auto"/>
            </w:tcBorders>
            <w:hideMark/>
          </w:tcPr>
          <w:p w14:paraId="7EA82BBC" w14:textId="77777777" w:rsidR="00E00304" w:rsidRPr="00164238" w:rsidRDefault="00E00304">
            <w:pPr>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Yellow Fever</w:t>
            </w:r>
          </w:p>
        </w:tc>
        <w:tc>
          <w:tcPr>
            <w:tcW w:w="3071" w:type="dxa"/>
            <w:tcBorders>
              <w:top w:val="single" w:sz="4" w:space="0" w:color="auto"/>
              <w:left w:val="single" w:sz="4" w:space="0" w:color="auto"/>
              <w:bottom w:val="single" w:sz="4" w:space="0" w:color="auto"/>
              <w:right w:val="single" w:sz="4" w:space="0" w:color="auto"/>
            </w:tcBorders>
            <w:hideMark/>
          </w:tcPr>
          <w:p w14:paraId="14A2BCAB" w14:textId="77777777" w:rsidR="00E00304" w:rsidRPr="00164238" w:rsidRDefault="00E00304">
            <w:pPr>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Late 1800s</w:t>
            </w:r>
          </w:p>
        </w:tc>
        <w:tc>
          <w:tcPr>
            <w:tcW w:w="3071" w:type="dxa"/>
            <w:tcBorders>
              <w:top w:val="single" w:sz="4" w:space="0" w:color="auto"/>
              <w:left w:val="single" w:sz="4" w:space="0" w:color="auto"/>
              <w:bottom w:val="single" w:sz="4" w:space="0" w:color="auto"/>
              <w:right w:val="single" w:sz="4" w:space="0" w:color="auto"/>
            </w:tcBorders>
            <w:hideMark/>
          </w:tcPr>
          <w:p w14:paraId="422C98DA" w14:textId="77777777" w:rsidR="00E00304" w:rsidRPr="00164238" w:rsidRDefault="00E00304">
            <w:pPr>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Between 100.000 and 150.000</w:t>
            </w:r>
          </w:p>
        </w:tc>
      </w:tr>
      <w:tr w:rsidR="00E00304" w:rsidRPr="00164238" w14:paraId="44EA8C12" w14:textId="77777777" w:rsidTr="00E00304">
        <w:trPr>
          <w:jc w:val="center"/>
        </w:trPr>
        <w:tc>
          <w:tcPr>
            <w:tcW w:w="3070" w:type="dxa"/>
            <w:tcBorders>
              <w:top w:val="single" w:sz="4" w:space="0" w:color="auto"/>
              <w:left w:val="single" w:sz="4" w:space="0" w:color="auto"/>
              <w:bottom w:val="single" w:sz="4" w:space="0" w:color="auto"/>
              <w:right w:val="single" w:sz="4" w:space="0" w:color="auto"/>
            </w:tcBorders>
            <w:hideMark/>
          </w:tcPr>
          <w:p w14:paraId="081796D9" w14:textId="77777777" w:rsidR="00E00304" w:rsidRPr="00164238" w:rsidRDefault="00E00304">
            <w:pPr>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Spanish Flu</w:t>
            </w:r>
          </w:p>
        </w:tc>
        <w:tc>
          <w:tcPr>
            <w:tcW w:w="3071" w:type="dxa"/>
            <w:tcBorders>
              <w:top w:val="single" w:sz="4" w:space="0" w:color="auto"/>
              <w:left w:val="single" w:sz="4" w:space="0" w:color="auto"/>
              <w:bottom w:val="single" w:sz="4" w:space="0" w:color="auto"/>
              <w:right w:val="single" w:sz="4" w:space="0" w:color="auto"/>
            </w:tcBorders>
            <w:hideMark/>
          </w:tcPr>
          <w:p w14:paraId="0C02AF58" w14:textId="77777777" w:rsidR="00E00304" w:rsidRPr="00164238" w:rsidRDefault="00E00304">
            <w:pPr>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1918-1919</w:t>
            </w:r>
          </w:p>
        </w:tc>
        <w:tc>
          <w:tcPr>
            <w:tcW w:w="3071" w:type="dxa"/>
            <w:tcBorders>
              <w:top w:val="single" w:sz="4" w:space="0" w:color="auto"/>
              <w:left w:val="single" w:sz="4" w:space="0" w:color="auto"/>
              <w:bottom w:val="single" w:sz="4" w:space="0" w:color="auto"/>
              <w:right w:val="single" w:sz="4" w:space="0" w:color="auto"/>
            </w:tcBorders>
            <w:hideMark/>
          </w:tcPr>
          <w:p w14:paraId="5E0D7266" w14:textId="77777777" w:rsidR="00E00304" w:rsidRPr="00164238" w:rsidRDefault="00E00304">
            <w:pPr>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Between 40 million and 50 million</w:t>
            </w:r>
          </w:p>
        </w:tc>
      </w:tr>
      <w:tr w:rsidR="00E00304" w:rsidRPr="00164238" w14:paraId="00BDF76B" w14:textId="77777777" w:rsidTr="00E00304">
        <w:trPr>
          <w:jc w:val="center"/>
        </w:trPr>
        <w:tc>
          <w:tcPr>
            <w:tcW w:w="3070" w:type="dxa"/>
            <w:tcBorders>
              <w:top w:val="single" w:sz="4" w:space="0" w:color="auto"/>
              <w:left w:val="single" w:sz="4" w:space="0" w:color="auto"/>
              <w:bottom w:val="single" w:sz="4" w:space="0" w:color="auto"/>
              <w:right w:val="single" w:sz="4" w:space="0" w:color="auto"/>
            </w:tcBorders>
            <w:hideMark/>
          </w:tcPr>
          <w:p w14:paraId="750C6048" w14:textId="77777777" w:rsidR="00E00304" w:rsidRPr="00164238" w:rsidRDefault="00E00304">
            <w:pPr>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Russian Flu</w:t>
            </w:r>
          </w:p>
        </w:tc>
        <w:tc>
          <w:tcPr>
            <w:tcW w:w="3071" w:type="dxa"/>
            <w:tcBorders>
              <w:top w:val="single" w:sz="4" w:space="0" w:color="auto"/>
              <w:left w:val="single" w:sz="4" w:space="0" w:color="auto"/>
              <w:bottom w:val="single" w:sz="4" w:space="0" w:color="auto"/>
              <w:right w:val="single" w:sz="4" w:space="0" w:color="auto"/>
            </w:tcBorders>
            <w:hideMark/>
          </w:tcPr>
          <w:p w14:paraId="76D6B0E0" w14:textId="77777777" w:rsidR="00E00304" w:rsidRPr="00164238" w:rsidRDefault="00E00304">
            <w:pPr>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1889-1890</w:t>
            </w:r>
          </w:p>
        </w:tc>
        <w:tc>
          <w:tcPr>
            <w:tcW w:w="3071" w:type="dxa"/>
            <w:tcBorders>
              <w:top w:val="single" w:sz="4" w:space="0" w:color="auto"/>
              <w:left w:val="single" w:sz="4" w:space="0" w:color="auto"/>
              <w:bottom w:val="single" w:sz="4" w:space="0" w:color="auto"/>
              <w:right w:val="single" w:sz="4" w:space="0" w:color="auto"/>
            </w:tcBorders>
            <w:hideMark/>
          </w:tcPr>
          <w:p w14:paraId="254C71FF" w14:textId="77777777" w:rsidR="00E00304" w:rsidRPr="00164238" w:rsidRDefault="00E00304">
            <w:pPr>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1 million</w:t>
            </w:r>
          </w:p>
        </w:tc>
      </w:tr>
      <w:tr w:rsidR="00E00304" w:rsidRPr="00164238" w14:paraId="703451F5" w14:textId="77777777" w:rsidTr="00E00304">
        <w:trPr>
          <w:jc w:val="center"/>
        </w:trPr>
        <w:tc>
          <w:tcPr>
            <w:tcW w:w="3070" w:type="dxa"/>
            <w:tcBorders>
              <w:top w:val="single" w:sz="4" w:space="0" w:color="auto"/>
              <w:left w:val="single" w:sz="4" w:space="0" w:color="auto"/>
              <w:bottom w:val="single" w:sz="4" w:space="0" w:color="auto"/>
              <w:right w:val="single" w:sz="4" w:space="0" w:color="auto"/>
            </w:tcBorders>
            <w:hideMark/>
          </w:tcPr>
          <w:p w14:paraId="12C964B1" w14:textId="77777777" w:rsidR="00E00304" w:rsidRPr="00164238" w:rsidRDefault="00E00304">
            <w:pPr>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Asian Flu</w:t>
            </w:r>
          </w:p>
        </w:tc>
        <w:tc>
          <w:tcPr>
            <w:tcW w:w="3071" w:type="dxa"/>
            <w:tcBorders>
              <w:top w:val="single" w:sz="4" w:space="0" w:color="auto"/>
              <w:left w:val="single" w:sz="4" w:space="0" w:color="auto"/>
              <w:bottom w:val="single" w:sz="4" w:space="0" w:color="auto"/>
              <w:right w:val="single" w:sz="4" w:space="0" w:color="auto"/>
            </w:tcBorders>
            <w:hideMark/>
          </w:tcPr>
          <w:p w14:paraId="5328A335" w14:textId="77777777" w:rsidR="00E00304" w:rsidRPr="00164238" w:rsidRDefault="00E00304">
            <w:pPr>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1957-1958</w:t>
            </w:r>
          </w:p>
        </w:tc>
        <w:tc>
          <w:tcPr>
            <w:tcW w:w="3071" w:type="dxa"/>
            <w:tcBorders>
              <w:top w:val="single" w:sz="4" w:space="0" w:color="auto"/>
              <w:left w:val="single" w:sz="4" w:space="0" w:color="auto"/>
              <w:bottom w:val="single" w:sz="4" w:space="0" w:color="auto"/>
              <w:right w:val="single" w:sz="4" w:space="0" w:color="auto"/>
            </w:tcBorders>
            <w:hideMark/>
          </w:tcPr>
          <w:p w14:paraId="590A037A" w14:textId="77777777" w:rsidR="00E00304" w:rsidRPr="00164238" w:rsidRDefault="00E00304">
            <w:pPr>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1.1 million</w:t>
            </w:r>
          </w:p>
        </w:tc>
      </w:tr>
      <w:tr w:rsidR="00E00304" w:rsidRPr="00164238" w14:paraId="4FD35933" w14:textId="77777777" w:rsidTr="00E00304">
        <w:trPr>
          <w:jc w:val="center"/>
        </w:trPr>
        <w:tc>
          <w:tcPr>
            <w:tcW w:w="3070" w:type="dxa"/>
            <w:tcBorders>
              <w:top w:val="single" w:sz="4" w:space="0" w:color="auto"/>
              <w:left w:val="single" w:sz="4" w:space="0" w:color="auto"/>
              <w:bottom w:val="single" w:sz="4" w:space="0" w:color="auto"/>
              <w:right w:val="single" w:sz="4" w:space="0" w:color="auto"/>
            </w:tcBorders>
            <w:hideMark/>
          </w:tcPr>
          <w:p w14:paraId="223920C3" w14:textId="77777777" w:rsidR="00E00304" w:rsidRPr="00164238" w:rsidRDefault="00E00304">
            <w:pPr>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Hong-Kong Flu</w:t>
            </w:r>
          </w:p>
        </w:tc>
        <w:tc>
          <w:tcPr>
            <w:tcW w:w="3071" w:type="dxa"/>
            <w:tcBorders>
              <w:top w:val="single" w:sz="4" w:space="0" w:color="auto"/>
              <w:left w:val="single" w:sz="4" w:space="0" w:color="auto"/>
              <w:bottom w:val="single" w:sz="4" w:space="0" w:color="auto"/>
              <w:right w:val="single" w:sz="4" w:space="0" w:color="auto"/>
            </w:tcBorders>
            <w:hideMark/>
          </w:tcPr>
          <w:p w14:paraId="04AA9CF4" w14:textId="77777777" w:rsidR="00E00304" w:rsidRPr="00164238" w:rsidRDefault="00E00304">
            <w:pPr>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1968-1970</w:t>
            </w:r>
          </w:p>
        </w:tc>
        <w:tc>
          <w:tcPr>
            <w:tcW w:w="3071" w:type="dxa"/>
            <w:tcBorders>
              <w:top w:val="single" w:sz="4" w:space="0" w:color="auto"/>
              <w:left w:val="single" w:sz="4" w:space="0" w:color="auto"/>
              <w:bottom w:val="single" w:sz="4" w:space="0" w:color="auto"/>
              <w:right w:val="single" w:sz="4" w:space="0" w:color="auto"/>
            </w:tcBorders>
            <w:hideMark/>
          </w:tcPr>
          <w:p w14:paraId="2053F464" w14:textId="77777777" w:rsidR="00E00304" w:rsidRPr="00164238" w:rsidRDefault="00E00304">
            <w:pPr>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1 million</w:t>
            </w:r>
          </w:p>
        </w:tc>
      </w:tr>
      <w:tr w:rsidR="00E00304" w:rsidRPr="00164238" w14:paraId="60930E50" w14:textId="77777777" w:rsidTr="00E00304">
        <w:trPr>
          <w:jc w:val="center"/>
        </w:trPr>
        <w:tc>
          <w:tcPr>
            <w:tcW w:w="3070" w:type="dxa"/>
            <w:tcBorders>
              <w:top w:val="single" w:sz="4" w:space="0" w:color="auto"/>
              <w:left w:val="single" w:sz="4" w:space="0" w:color="auto"/>
              <w:bottom w:val="single" w:sz="4" w:space="0" w:color="auto"/>
              <w:right w:val="single" w:sz="4" w:space="0" w:color="auto"/>
            </w:tcBorders>
            <w:hideMark/>
          </w:tcPr>
          <w:p w14:paraId="7A11CE31" w14:textId="77777777" w:rsidR="00E00304" w:rsidRPr="00164238" w:rsidRDefault="00E00304">
            <w:pPr>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HIV/AIDS</w:t>
            </w:r>
          </w:p>
        </w:tc>
        <w:tc>
          <w:tcPr>
            <w:tcW w:w="3071" w:type="dxa"/>
            <w:tcBorders>
              <w:top w:val="single" w:sz="4" w:space="0" w:color="auto"/>
              <w:left w:val="single" w:sz="4" w:space="0" w:color="auto"/>
              <w:bottom w:val="single" w:sz="4" w:space="0" w:color="auto"/>
              <w:right w:val="single" w:sz="4" w:space="0" w:color="auto"/>
            </w:tcBorders>
            <w:hideMark/>
          </w:tcPr>
          <w:p w14:paraId="182037BF" w14:textId="77777777" w:rsidR="00E00304" w:rsidRPr="00164238" w:rsidRDefault="00E00304">
            <w:pPr>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From 1981 to Present</w:t>
            </w:r>
          </w:p>
        </w:tc>
        <w:tc>
          <w:tcPr>
            <w:tcW w:w="3071" w:type="dxa"/>
            <w:tcBorders>
              <w:top w:val="single" w:sz="4" w:space="0" w:color="auto"/>
              <w:left w:val="single" w:sz="4" w:space="0" w:color="auto"/>
              <w:bottom w:val="single" w:sz="4" w:space="0" w:color="auto"/>
              <w:right w:val="single" w:sz="4" w:space="0" w:color="auto"/>
            </w:tcBorders>
            <w:hideMark/>
          </w:tcPr>
          <w:p w14:paraId="27075D4D" w14:textId="77777777" w:rsidR="00E00304" w:rsidRPr="00164238" w:rsidRDefault="00E00304">
            <w:pPr>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Between 25 million and 30 million</w:t>
            </w:r>
          </w:p>
        </w:tc>
      </w:tr>
      <w:tr w:rsidR="00E00304" w:rsidRPr="00164238" w14:paraId="27CD2D68" w14:textId="77777777" w:rsidTr="00E00304">
        <w:trPr>
          <w:jc w:val="center"/>
        </w:trPr>
        <w:tc>
          <w:tcPr>
            <w:tcW w:w="3070" w:type="dxa"/>
            <w:tcBorders>
              <w:top w:val="single" w:sz="4" w:space="0" w:color="auto"/>
              <w:left w:val="single" w:sz="4" w:space="0" w:color="auto"/>
              <w:bottom w:val="single" w:sz="4" w:space="0" w:color="auto"/>
              <w:right w:val="single" w:sz="4" w:space="0" w:color="auto"/>
            </w:tcBorders>
            <w:hideMark/>
          </w:tcPr>
          <w:p w14:paraId="04990DE0" w14:textId="77777777" w:rsidR="00E00304" w:rsidRPr="00164238" w:rsidRDefault="00E00304">
            <w:pPr>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SARS</w:t>
            </w:r>
          </w:p>
        </w:tc>
        <w:tc>
          <w:tcPr>
            <w:tcW w:w="3071" w:type="dxa"/>
            <w:tcBorders>
              <w:top w:val="single" w:sz="4" w:space="0" w:color="auto"/>
              <w:left w:val="single" w:sz="4" w:space="0" w:color="auto"/>
              <w:bottom w:val="single" w:sz="4" w:space="0" w:color="auto"/>
              <w:right w:val="single" w:sz="4" w:space="0" w:color="auto"/>
            </w:tcBorders>
            <w:hideMark/>
          </w:tcPr>
          <w:p w14:paraId="7EB5F2AF" w14:textId="77777777" w:rsidR="00E00304" w:rsidRPr="00164238" w:rsidRDefault="00E00304">
            <w:pPr>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2002-2003</w:t>
            </w:r>
          </w:p>
        </w:tc>
        <w:tc>
          <w:tcPr>
            <w:tcW w:w="3071" w:type="dxa"/>
            <w:tcBorders>
              <w:top w:val="single" w:sz="4" w:space="0" w:color="auto"/>
              <w:left w:val="single" w:sz="4" w:space="0" w:color="auto"/>
              <w:bottom w:val="single" w:sz="4" w:space="0" w:color="auto"/>
              <w:right w:val="single" w:sz="4" w:space="0" w:color="auto"/>
            </w:tcBorders>
            <w:hideMark/>
          </w:tcPr>
          <w:p w14:paraId="252C1924" w14:textId="77777777" w:rsidR="00E00304" w:rsidRPr="00164238" w:rsidRDefault="00E00304">
            <w:pPr>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770</w:t>
            </w:r>
          </w:p>
        </w:tc>
      </w:tr>
      <w:tr w:rsidR="00E00304" w:rsidRPr="00164238" w14:paraId="67A8F30A" w14:textId="77777777" w:rsidTr="00E00304">
        <w:trPr>
          <w:jc w:val="center"/>
        </w:trPr>
        <w:tc>
          <w:tcPr>
            <w:tcW w:w="3070" w:type="dxa"/>
            <w:tcBorders>
              <w:top w:val="single" w:sz="4" w:space="0" w:color="auto"/>
              <w:left w:val="single" w:sz="4" w:space="0" w:color="auto"/>
              <w:bottom w:val="single" w:sz="4" w:space="0" w:color="auto"/>
              <w:right w:val="single" w:sz="4" w:space="0" w:color="auto"/>
            </w:tcBorders>
            <w:hideMark/>
          </w:tcPr>
          <w:p w14:paraId="0553B285" w14:textId="77777777" w:rsidR="00E00304" w:rsidRPr="00164238" w:rsidRDefault="00E00304">
            <w:pPr>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MERS</w:t>
            </w:r>
          </w:p>
        </w:tc>
        <w:tc>
          <w:tcPr>
            <w:tcW w:w="3071" w:type="dxa"/>
            <w:tcBorders>
              <w:top w:val="single" w:sz="4" w:space="0" w:color="auto"/>
              <w:left w:val="single" w:sz="4" w:space="0" w:color="auto"/>
              <w:bottom w:val="single" w:sz="4" w:space="0" w:color="auto"/>
              <w:right w:val="single" w:sz="4" w:space="0" w:color="auto"/>
            </w:tcBorders>
            <w:hideMark/>
          </w:tcPr>
          <w:p w14:paraId="76F45395" w14:textId="77777777" w:rsidR="00E00304" w:rsidRPr="00164238" w:rsidRDefault="00E00304">
            <w:pPr>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From 2012 to Present</w:t>
            </w:r>
          </w:p>
        </w:tc>
        <w:tc>
          <w:tcPr>
            <w:tcW w:w="3071" w:type="dxa"/>
            <w:tcBorders>
              <w:top w:val="single" w:sz="4" w:space="0" w:color="auto"/>
              <w:left w:val="single" w:sz="4" w:space="0" w:color="auto"/>
              <w:bottom w:val="single" w:sz="4" w:space="0" w:color="auto"/>
              <w:right w:val="single" w:sz="4" w:space="0" w:color="auto"/>
            </w:tcBorders>
            <w:hideMark/>
          </w:tcPr>
          <w:p w14:paraId="16376EF9" w14:textId="77777777" w:rsidR="00E00304" w:rsidRPr="00164238" w:rsidRDefault="00E00304">
            <w:pPr>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850</w:t>
            </w:r>
          </w:p>
        </w:tc>
      </w:tr>
      <w:tr w:rsidR="00E00304" w:rsidRPr="00164238" w14:paraId="796A1DDE" w14:textId="77777777" w:rsidTr="00E00304">
        <w:trPr>
          <w:jc w:val="center"/>
        </w:trPr>
        <w:tc>
          <w:tcPr>
            <w:tcW w:w="3070" w:type="dxa"/>
            <w:tcBorders>
              <w:top w:val="single" w:sz="4" w:space="0" w:color="auto"/>
              <w:left w:val="single" w:sz="4" w:space="0" w:color="auto"/>
              <w:bottom w:val="single" w:sz="4" w:space="0" w:color="auto"/>
              <w:right w:val="single" w:sz="4" w:space="0" w:color="auto"/>
            </w:tcBorders>
            <w:hideMark/>
          </w:tcPr>
          <w:p w14:paraId="5780A365" w14:textId="77777777" w:rsidR="00E00304" w:rsidRPr="00164238" w:rsidRDefault="00E00304">
            <w:pPr>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Ebola</w:t>
            </w:r>
          </w:p>
        </w:tc>
        <w:tc>
          <w:tcPr>
            <w:tcW w:w="3071" w:type="dxa"/>
            <w:tcBorders>
              <w:top w:val="single" w:sz="4" w:space="0" w:color="auto"/>
              <w:left w:val="single" w:sz="4" w:space="0" w:color="auto"/>
              <w:bottom w:val="single" w:sz="4" w:space="0" w:color="auto"/>
              <w:right w:val="single" w:sz="4" w:space="0" w:color="auto"/>
            </w:tcBorders>
            <w:hideMark/>
          </w:tcPr>
          <w:p w14:paraId="7D092E95" w14:textId="77777777" w:rsidR="00E00304" w:rsidRPr="00164238" w:rsidRDefault="00E00304">
            <w:pPr>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2014-2016</w:t>
            </w:r>
          </w:p>
        </w:tc>
        <w:tc>
          <w:tcPr>
            <w:tcW w:w="3071" w:type="dxa"/>
            <w:tcBorders>
              <w:top w:val="single" w:sz="4" w:space="0" w:color="auto"/>
              <w:left w:val="single" w:sz="4" w:space="0" w:color="auto"/>
              <w:bottom w:val="single" w:sz="4" w:space="0" w:color="auto"/>
              <w:right w:val="single" w:sz="4" w:space="0" w:color="auto"/>
            </w:tcBorders>
            <w:hideMark/>
          </w:tcPr>
          <w:p w14:paraId="644D029D" w14:textId="77777777" w:rsidR="00E00304" w:rsidRPr="00164238" w:rsidRDefault="00E00304">
            <w:pPr>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11.000</w:t>
            </w:r>
          </w:p>
        </w:tc>
      </w:tr>
      <w:tr w:rsidR="00E00304" w:rsidRPr="00164238" w14:paraId="2275B9FD" w14:textId="77777777" w:rsidTr="00E00304">
        <w:trPr>
          <w:jc w:val="center"/>
        </w:trPr>
        <w:tc>
          <w:tcPr>
            <w:tcW w:w="3070" w:type="dxa"/>
            <w:tcBorders>
              <w:top w:val="single" w:sz="4" w:space="0" w:color="auto"/>
              <w:left w:val="single" w:sz="4" w:space="0" w:color="auto"/>
              <w:bottom w:val="single" w:sz="4" w:space="0" w:color="auto"/>
              <w:right w:val="single" w:sz="4" w:space="0" w:color="auto"/>
            </w:tcBorders>
            <w:hideMark/>
          </w:tcPr>
          <w:p w14:paraId="7708CFDF" w14:textId="77777777" w:rsidR="00E00304" w:rsidRPr="00164238" w:rsidRDefault="00E00304">
            <w:pPr>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Covid-19</w:t>
            </w:r>
          </w:p>
        </w:tc>
        <w:tc>
          <w:tcPr>
            <w:tcW w:w="3071" w:type="dxa"/>
            <w:tcBorders>
              <w:top w:val="single" w:sz="4" w:space="0" w:color="auto"/>
              <w:left w:val="single" w:sz="4" w:space="0" w:color="auto"/>
              <w:bottom w:val="single" w:sz="4" w:space="0" w:color="auto"/>
              <w:right w:val="single" w:sz="4" w:space="0" w:color="auto"/>
            </w:tcBorders>
            <w:hideMark/>
          </w:tcPr>
          <w:p w14:paraId="281B9287" w14:textId="77777777" w:rsidR="00E00304" w:rsidRPr="00164238" w:rsidRDefault="00E00304">
            <w:pPr>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From 2019 to Present</w:t>
            </w:r>
          </w:p>
        </w:tc>
        <w:tc>
          <w:tcPr>
            <w:tcW w:w="3071" w:type="dxa"/>
            <w:tcBorders>
              <w:top w:val="single" w:sz="4" w:space="0" w:color="auto"/>
              <w:left w:val="single" w:sz="4" w:space="0" w:color="auto"/>
              <w:bottom w:val="single" w:sz="4" w:space="0" w:color="auto"/>
              <w:right w:val="single" w:sz="4" w:space="0" w:color="auto"/>
            </w:tcBorders>
            <w:hideMark/>
          </w:tcPr>
          <w:p w14:paraId="44D109E7" w14:textId="77777777" w:rsidR="00E00304" w:rsidRPr="00164238" w:rsidRDefault="00E00304">
            <w:pPr>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2.8 million</w:t>
            </w:r>
            <w:r w:rsidRPr="00164238">
              <w:rPr>
                <w:rFonts w:ascii="Times New Roman" w:hAnsi="Times New Roman" w:cs="Times New Roman"/>
                <w:color w:val="000000" w:themeColor="text1"/>
                <w:sz w:val="20"/>
                <w:szCs w:val="20"/>
                <w:vertAlign w:val="superscript"/>
              </w:rPr>
              <w:t>*</w:t>
            </w:r>
          </w:p>
        </w:tc>
      </w:tr>
    </w:tbl>
    <w:p w14:paraId="196CD4F0" w14:textId="77777777" w:rsidR="00E00304" w:rsidRPr="00164238" w:rsidRDefault="00E00304" w:rsidP="00E00304">
      <w:pPr>
        <w:spacing w:after="0" w:line="240" w:lineRule="auto"/>
        <w:jc w:val="both"/>
        <w:rPr>
          <w:rFonts w:ascii="Times New Roman" w:hAnsi="Times New Roman" w:cs="Times New Roman"/>
          <w:b/>
          <w:color w:val="000000" w:themeColor="text1"/>
          <w:sz w:val="20"/>
          <w:szCs w:val="20"/>
        </w:rPr>
      </w:pPr>
      <w:r w:rsidRPr="00164238">
        <w:rPr>
          <w:rFonts w:ascii="Times New Roman" w:hAnsi="Times New Roman" w:cs="Times New Roman"/>
          <w:b/>
          <w:color w:val="000000" w:themeColor="text1"/>
          <w:sz w:val="20"/>
          <w:szCs w:val="20"/>
        </w:rPr>
        <w:t xml:space="preserve">* </w:t>
      </w:r>
      <w:r w:rsidRPr="00164238">
        <w:rPr>
          <w:rFonts w:ascii="Times New Roman" w:hAnsi="Times New Roman" w:cs="Times New Roman"/>
          <w:color w:val="000000" w:themeColor="text1"/>
          <w:sz w:val="20"/>
          <w:szCs w:val="20"/>
        </w:rPr>
        <w:t>as of April 1, 2021 (World Health Organization-WHO, 2021).</w:t>
      </w:r>
    </w:p>
    <w:p w14:paraId="7F31AD3C" w14:textId="77777777" w:rsidR="00E00304" w:rsidRPr="00164238" w:rsidRDefault="00E00304" w:rsidP="00E00304">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rPr>
        <w:t xml:space="preserve">Source: </w:t>
      </w:r>
      <w:r w:rsidRPr="00164238">
        <w:rPr>
          <w:rFonts w:ascii="Times New Roman" w:hAnsi="Times New Roman" w:cs="Times New Roman"/>
          <w:color w:val="000000" w:themeColor="text1"/>
          <w:sz w:val="20"/>
          <w:szCs w:val="20"/>
        </w:rPr>
        <w:t>LePan, 2020.</w:t>
      </w:r>
    </w:p>
    <w:p w14:paraId="2FCFE3E3"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As we can see from Table 1, it is seen that there were more deadly diseases than the Covid-19 pandemic in previous periods. On the other hand, the covid-19 outbreak has created more comprehensive results since the world is more interdependent than in previous centuries.</w:t>
      </w:r>
    </w:p>
    <w:p w14:paraId="55665680"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One of the most important reasons for this is that neoliberal globalization policies have weakened the welfare state in the last three decades. Privatizations and cuts in social welfare spending in public budgets caused narrow public activity. Within the framework of the market mentality, the essential components of social welfare such as retirement and health were seen as a means of profit. Thus, the market mechanism, which is seen as the most effective way of providing goods and services, has also come to the health system’s fore. The transformation in health caused by the globalization of markets has led private healthcare systems to fail to respond to sudden health crises such as Covid-19. The acceptance of the welfare state as a cost factor in the private economic system exacerbates this situation (Lucchese and Pianta, 2020: 102). </w:t>
      </w:r>
    </w:p>
    <w:p w14:paraId="521160F0"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Lee (2004) emphasizes that classifying the impacts of globalization on health as absolute good or bad would be over-simplifying. For example, spatial change leads to the mobility of individuals on a global scale. High-income countries are concerned about the risk of migration to them spreading infectious </w:t>
      </w:r>
      <w:r w:rsidRPr="00164238">
        <w:rPr>
          <w:rFonts w:ascii="Times New Roman" w:hAnsi="Times New Roman" w:cs="Times New Roman"/>
          <w:color w:val="000000" w:themeColor="text1"/>
          <w:sz w:val="20"/>
          <w:szCs w:val="20"/>
        </w:rPr>
        <w:lastRenderedPageBreak/>
        <w:t>diseases. Similarly, these countries fear the financial burden of the unhealthy population that comes from developing countries. On the other hand, developed countries invite health risks by exporting health-threatening products such as tobacco and fast-food to developing countries. There is also a tendency to overlook the gains to developed countries from population mobility. The migration of health professionals from developing countries to developed countries contributes to developed countries’ health systems.</w:t>
      </w:r>
    </w:p>
    <w:p w14:paraId="7FC0BB5D"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The spread of diseases such as Covid-19 in a short time results from the negative impact of globalization (Stiglitz, 2020). On the other hand, as countries’ openness is high, external shocks that individuals may be exposed to increase. The role of public measures is gaining importance to compensate for these shocks. Therefore, as countries become more globalized, the public sector expands due to the risks that arise (Cameron, 1978; Rodrik, 1996). In this respect, Covid-19 is a systematic shock that closely affects the economies of all countries. It is clear that countries do not deal with this shock individually. If trade barriers are increased as a counter-policy, productivity may decrease and may adversely affect the health system’s functioning and capacity (Felbermayr and Görg, 2020: 9).</w:t>
      </w:r>
    </w:p>
    <w:p w14:paraId="1FE0D95F"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The crisis showed that the dominant forms of global integration of countries, industries, businesses, and individuals create high vulnerability and risk. It has also revealed the risk level of complex global supply chains and their impact on vital health-related industries. On the other hand, it has raised doubts about the sustainability of neoliberal globalization (Karabag, 2020: 2).</w:t>
      </w:r>
    </w:p>
    <w:p w14:paraId="0FFFCB49"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Some authors (Yacoub and El-Zomor, 2020) argue that the intertwining of global trade activities and the development of technologies that reduce the spatial and temporal difference between countries have deepened the Covid-19 crisis. According to IMF (2021a) estimates, it is predicted that global output will shrink by 3.5% and global trade volume by 9.6% in 2020. It is also expected that output contraction will be further in developed economies (4.9% in advanced countries and 2.4% in the emerging market &amp; developing countries, respectively). ILO (2021) stated that 8.8% of global working hours were lost in 2020. What is remarkable is that the loss of working hours in the Covid-19 process is approximately four times greater than the 2008 global financial crisis.</w:t>
      </w:r>
    </w:p>
    <w:p w14:paraId="632664B8"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The Covid-19 process did create not only health and economic outcomes but also revived the discussions about globalization’s future.</w:t>
      </w:r>
    </w:p>
    <w:p w14:paraId="52F2BF55" w14:textId="38545F3B" w:rsidR="00E00304" w:rsidRPr="00164238" w:rsidRDefault="00E00304" w:rsidP="00E00304">
      <w:pPr>
        <w:spacing w:before="120" w:after="120" w:line="240" w:lineRule="auto"/>
        <w:ind w:firstLine="708"/>
        <w:jc w:val="both"/>
        <w:rPr>
          <w:rFonts w:ascii="Times New Roman" w:hAnsi="Times New Roman" w:cs="Times New Roman"/>
          <w:b/>
          <w:color w:val="000000" w:themeColor="text1"/>
          <w:sz w:val="20"/>
          <w:szCs w:val="20"/>
        </w:rPr>
      </w:pPr>
      <w:r w:rsidRPr="00164238">
        <w:rPr>
          <w:rFonts w:ascii="Times New Roman" w:hAnsi="Times New Roman" w:cs="Times New Roman"/>
          <w:b/>
          <w:color w:val="000000" w:themeColor="text1"/>
          <w:sz w:val="20"/>
          <w:szCs w:val="20"/>
        </w:rPr>
        <w:t>Does Covid-19 Alter Future of Globalization</w:t>
      </w:r>
    </w:p>
    <w:p w14:paraId="45A30D93"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The global economic structure of the 21st century makes it difficult for countries to be isolated from globalization. However, there are some changes in the globalization model. With the impact of the 2008 crisis, a horizontal trend emerged in global commodity trade and financial flows. Also, there was a slowdown in foreign direct investments, which triggered concerns about globalization’s slowdown. Besides, the wind of protectionism caused by the trade war between the USA and China contributed to global trade’s slowdown. The Covid-19 crisis has created a new agenda where the future of globalization has begun to be questioned. Covid-19 has seriously affected the global economy and led to the collapse of global supply chains (Schilirò, 2020). The question comes to the fore that the Covid-19 outbreak will contribute to the expansion of globalization or, on the contrary, will lead to the reversal of globalization. At this point, some approaches claim that globalization will gain more strength, while others argue that economic nationalism will weaken globalization (Sułkowski,  2020).</w:t>
      </w:r>
    </w:p>
    <w:p w14:paraId="1B4C973F"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With Covid-19, fragility in the world economy has an impact on hysteresis in the global system. Covid-19 has led to behavioral changes on economic actors due to its results. It has revealed that global supply chain decisions need to revise by changing long-term risk perceptions. Along with traditional attitudes towards risk, it has questioned the concepts of volatility, uncertainty, complexity, and uncertainty (Buckley, 2020: 1581). Without a doubt, Covid-19 alone is not the source of problems that arise in many areas, from climate change to inequality. But the pandemic has seriously impacted commercial activities and highlighted the challenges of managing a tightly interconnected global economy. For this reason, the pandemic provides a useful lens for understanding how future globalization policies will be shaped (McNamara and Newman, 2020: 2).</w:t>
      </w:r>
    </w:p>
    <w:p w14:paraId="6453135E"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In the pre-pandemic era, it was expected that global trade and the mobility of individuals would challenge the traditional concept of nation-states. But covid-19 has changed these expectations. Non-digital goods and services coming to a standstill due to cross-border business trends have demonstrated the degree </w:t>
      </w:r>
      <w:r w:rsidRPr="00164238">
        <w:rPr>
          <w:rFonts w:ascii="Times New Roman" w:hAnsi="Times New Roman" w:cs="Times New Roman"/>
          <w:color w:val="000000" w:themeColor="text1"/>
          <w:sz w:val="20"/>
          <w:szCs w:val="20"/>
        </w:rPr>
        <w:lastRenderedPageBreak/>
        <w:t>of their countries’ dependence on each other. The structure of global supply chains has been rethought. The conditions have been realized that can strengthen the dynamics of regionalization and localization in the supply of goods and services (Bray, 2020).</w:t>
      </w:r>
    </w:p>
    <w:p w14:paraId="621AE1ED" w14:textId="77777777" w:rsidR="00E00304" w:rsidRPr="00164238" w:rsidRDefault="00E00304" w:rsidP="00E00304">
      <w:pPr>
        <w:spacing w:before="120" w:after="120" w:line="240" w:lineRule="auto"/>
        <w:ind w:firstLine="708"/>
        <w:jc w:val="both"/>
        <w:rPr>
          <w:rFonts w:ascii="Times New Roman" w:eastAsia="Times New Roman" w:hAnsi="Times New Roman" w:cs="Times New Roman"/>
          <w:bCs/>
          <w:color w:val="000000" w:themeColor="text1"/>
          <w:sz w:val="20"/>
          <w:szCs w:val="20"/>
        </w:rPr>
      </w:pPr>
      <w:r w:rsidRPr="00164238">
        <w:rPr>
          <w:rFonts w:ascii="Times New Roman" w:hAnsi="Times New Roman" w:cs="Times New Roman"/>
          <w:color w:val="000000" w:themeColor="text1"/>
          <w:sz w:val="20"/>
          <w:szCs w:val="20"/>
        </w:rPr>
        <w:t>Covid-19, which causes countries to rethink economic integration, gives more momentum to the trend away from globalization. The French President Emmanuel Macron’s statement that Covid-19 “</w:t>
      </w:r>
      <w:r w:rsidRPr="00164238">
        <w:rPr>
          <w:rFonts w:ascii="Times New Roman" w:hAnsi="Times New Roman" w:cs="Times New Roman"/>
          <w:i/>
          <w:color w:val="000000" w:themeColor="text1"/>
          <w:sz w:val="20"/>
          <w:szCs w:val="20"/>
        </w:rPr>
        <w:t>will change the nature of globalization, with which we have lived for the past 40 years</w:t>
      </w:r>
      <w:r w:rsidRPr="00164238">
        <w:rPr>
          <w:rFonts w:ascii="Times New Roman" w:hAnsi="Times New Roman" w:cs="Times New Roman"/>
          <w:color w:val="000000" w:themeColor="text1"/>
          <w:sz w:val="20"/>
          <w:szCs w:val="20"/>
        </w:rPr>
        <w:t>” reveals the extent of the concerns about globalization’s future. The collapse of supply chains on a global scale; has led to the introduction of bans on the export of medical equipment, personal protective equipment, and medicines (</w:t>
      </w:r>
      <w:r w:rsidRPr="00164238">
        <w:rPr>
          <w:rFonts w:ascii="Times New Roman" w:eastAsia="Times New Roman" w:hAnsi="Times New Roman" w:cs="Times New Roman"/>
          <w:bCs/>
          <w:color w:val="000000" w:themeColor="text1"/>
          <w:sz w:val="20"/>
          <w:szCs w:val="20"/>
        </w:rPr>
        <w:t xml:space="preserve">Irwin, 2020). </w:t>
      </w:r>
    </w:p>
    <w:p w14:paraId="3C5A26B3" w14:textId="1E6A449A" w:rsidR="00E00304"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eastAsia="Times New Roman" w:hAnsi="Times New Roman" w:cs="Times New Roman"/>
          <w:bCs/>
          <w:color w:val="000000" w:themeColor="text1"/>
          <w:sz w:val="20"/>
          <w:szCs w:val="20"/>
        </w:rPr>
        <w:t>Protectionism, which emerged due to the Covid-19 crisis, is different from the protectionism approach of the 1930s and 2000s. The reason for protectionism in the Covid-19 process is not the lack of demand as in the 1930s or the local production surplus in the 2000s, but the lack of local supply. All these types of protectionism pose an equal risk to the global economy. Export restrictions risked triggering a retaliatory process that ultimately destroyed supply (</w:t>
      </w:r>
      <w:r w:rsidRPr="00164238">
        <w:rPr>
          <w:rFonts w:ascii="Times New Roman" w:hAnsi="Times New Roman" w:cs="Times New Roman"/>
          <w:color w:val="000000" w:themeColor="text1"/>
          <w:sz w:val="20"/>
          <w:szCs w:val="20"/>
        </w:rPr>
        <w:t>Baldwin and Evenett, 2020: 7).</w:t>
      </w:r>
    </w:p>
    <w:p w14:paraId="6DD67BF1" w14:textId="492443D6" w:rsidR="006A4DC2" w:rsidRDefault="006A4DC2" w:rsidP="00E00304">
      <w:pPr>
        <w:spacing w:before="120" w:after="120" w:line="240" w:lineRule="auto"/>
        <w:ind w:firstLine="708"/>
        <w:jc w:val="both"/>
        <w:rPr>
          <w:rFonts w:ascii="Times New Roman" w:hAnsi="Times New Roman" w:cs="Times New Roman"/>
          <w:color w:val="000000" w:themeColor="text1"/>
          <w:sz w:val="20"/>
          <w:szCs w:val="20"/>
        </w:rPr>
      </w:pPr>
    </w:p>
    <w:tbl>
      <w:tblPr>
        <w:tblW w:w="7491" w:type="dxa"/>
        <w:jc w:val="center"/>
        <w:tblCellMar>
          <w:left w:w="70" w:type="dxa"/>
          <w:right w:w="70" w:type="dxa"/>
        </w:tblCellMar>
        <w:tblLook w:val="04A0" w:firstRow="1" w:lastRow="0" w:firstColumn="1" w:lastColumn="0" w:noHBand="0" w:noVBand="1"/>
      </w:tblPr>
      <w:tblGrid>
        <w:gridCol w:w="2197"/>
        <w:gridCol w:w="933"/>
        <w:gridCol w:w="933"/>
        <w:gridCol w:w="1273"/>
        <w:gridCol w:w="692"/>
        <w:gridCol w:w="1463"/>
      </w:tblGrid>
      <w:tr w:rsidR="00E00304" w:rsidRPr="00164238" w14:paraId="28B5D426" w14:textId="77777777" w:rsidTr="00E00304">
        <w:trPr>
          <w:trHeight w:val="300"/>
          <w:jc w:val="center"/>
        </w:trPr>
        <w:tc>
          <w:tcPr>
            <w:tcW w:w="7491" w:type="dxa"/>
            <w:gridSpan w:val="6"/>
            <w:tcBorders>
              <w:top w:val="nil"/>
              <w:left w:val="nil"/>
              <w:bottom w:val="single" w:sz="4" w:space="0" w:color="auto"/>
              <w:right w:val="nil"/>
            </w:tcBorders>
            <w:noWrap/>
            <w:vAlign w:val="center"/>
            <w:hideMark/>
          </w:tcPr>
          <w:p w14:paraId="698B868E" w14:textId="77777777" w:rsidR="00E00304" w:rsidRPr="00164238" w:rsidRDefault="00E00304">
            <w:pPr>
              <w:spacing w:after="0" w:line="240" w:lineRule="auto"/>
              <w:jc w:val="both"/>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b/>
                <w:color w:val="000000" w:themeColor="text1"/>
                <w:sz w:val="20"/>
                <w:szCs w:val="20"/>
                <w:lang w:eastAsia="tr-TR"/>
              </w:rPr>
              <w:t>Table 2.</w:t>
            </w:r>
            <w:r w:rsidRPr="00164238">
              <w:rPr>
                <w:rFonts w:ascii="Times New Roman" w:eastAsia="Times New Roman" w:hAnsi="Times New Roman" w:cs="Times New Roman"/>
                <w:color w:val="000000" w:themeColor="text1"/>
                <w:sz w:val="20"/>
                <w:szCs w:val="20"/>
                <w:lang w:eastAsia="tr-TR"/>
              </w:rPr>
              <w:t xml:space="preserve"> Top 10 Countries of Exporters and Importers of Goods Critical for Challenging Pandemic</w:t>
            </w:r>
          </w:p>
        </w:tc>
      </w:tr>
      <w:tr w:rsidR="00E00304" w:rsidRPr="00164238" w14:paraId="0C418006" w14:textId="77777777" w:rsidTr="00E00304">
        <w:trPr>
          <w:trHeight w:val="767"/>
          <w:jc w:val="center"/>
        </w:trPr>
        <w:tc>
          <w:tcPr>
            <w:tcW w:w="2197" w:type="dxa"/>
            <w:tcBorders>
              <w:top w:val="single" w:sz="4" w:space="0" w:color="auto"/>
              <w:left w:val="single" w:sz="4" w:space="0" w:color="auto"/>
              <w:bottom w:val="single" w:sz="4" w:space="0" w:color="auto"/>
              <w:right w:val="single" w:sz="4" w:space="0" w:color="000000"/>
            </w:tcBorders>
            <w:noWrap/>
            <w:vAlign w:val="center"/>
            <w:hideMark/>
          </w:tcPr>
          <w:p w14:paraId="6298721F"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c>
          <w:tcPr>
            <w:tcW w:w="1866" w:type="dxa"/>
            <w:gridSpan w:val="2"/>
            <w:tcBorders>
              <w:top w:val="single" w:sz="4" w:space="0" w:color="auto"/>
              <w:left w:val="nil"/>
              <w:bottom w:val="single" w:sz="4" w:space="0" w:color="auto"/>
              <w:right w:val="single" w:sz="4" w:space="0" w:color="000000"/>
            </w:tcBorders>
            <w:noWrap/>
            <w:vAlign w:val="center"/>
            <w:hideMark/>
          </w:tcPr>
          <w:p w14:paraId="0D5EF192" w14:textId="77777777" w:rsidR="00E00304" w:rsidRPr="00164238" w:rsidRDefault="00E00304">
            <w:pPr>
              <w:spacing w:after="0" w:line="240" w:lineRule="auto"/>
              <w:jc w:val="center"/>
              <w:rPr>
                <w:rFonts w:ascii="Times New Roman" w:eastAsia="Times New Roman" w:hAnsi="Times New Roman" w:cs="Times New Roman"/>
                <w:b/>
                <w:color w:val="000000" w:themeColor="text1"/>
                <w:sz w:val="20"/>
                <w:szCs w:val="20"/>
                <w:lang w:eastAsia="tr-TR"/>
              </w:rPr>
            </w:pPr>
            <w:r w:rsidRPr="00164238">
              <w:rPr>
                <w:rFonts w:ascii="Times New Roman" w:eastAsia="Times New Roman" w:hAnsi="Times New Roman" w:cs="Times New Roman"/>
                <w:b/>
                <w:color w:val="000000" w:themeColor="text1"/>
                <w:sz w:val="20"/>
                <w:szCs w:val="20"/>
                <w:lang w:eastAsia="tr-TR"/>
              </w:rPr>
              <w:t>Value (US$ million)</w:t>
            </w:r>
          </w:p>
        </w:tc>
        <w:tc>
          <w:tcPr>
            <w:tcW w:w="1273" w:type="dxa"/>
            <w:tcBorders>
              <w:top w:val="nil"/>
              <w:left w:val="nil"/>
              <w:bottom w:val="single" w:sz="4" w:space="0" w:color="auto"/>
              <w:right w:val="single" w:sz="4" w:space="0" w:color="auto"/>
            </w:tcBorders>
            <w:vAlign w:val="center"/>
            <w:hideMark/>
          </w:tcPr>
          <w:p w14:paraId="0E662D82" w14:textId="77777777" w:rsidR="00E00304" w:rsidRPr="00164238" w:rsidRDefault="00E00304">
            <w:pPr>
              <w:spacing w:after="0" w:line="240" w:lineRule="auto"/>
              <w:jc w:val="center"/>
              <w:rPr>
                <w:rFonts w:ascii="Times New Roman" w:eastAsia="Times New Roman" w:hAnsi="Times New Roman" w:cs="Times New Roman"/>
                <w:b/>
                <w:color w:val="000000" w:themeColor="text1"/>
                <w:sz w:val="20"/>
                <w:szCs w:val="20"/>
                <w:lang w:eastAsia="tr-TR"/>
              </w:rPr>
            </w:pPr>
            <w:r w:rsidRPr="00164238">
              <w:rPr>
                <w:rFonts w:ascii="Times New Roman" w:eastAsia="Times New Roman" w:hAnsi="Times New Roman" w:cs="Times New Roman"/>
                <w:b/>
                <w:color w:val="000000" w:themeColor="text1"/>
                <w:sz w:val="20"/>
                <w:szCs w:val="20"/>
                <w:lang w:eastAsia="tr-TR"/>
              </w:rPr>
              <w:t xml:space="preserve">Growth </w:t>
            </w:r>
            <w:r w:rsidRPr="00164238">
              <w:rPr>
                <w:rFonts w:ascii="Times New Roman" w:eastAsia="Times New Roman" w:hAnsi="Times New Roman" w:cs="Times New Roman"/>
                <w:b/>
                <w:color w:val="000000" w:themeColor="text1"/>
                <w:sz w:val="20"/>
                <w:szCs w:val="20"/>
                <w:lang w:eastAsia="tr-TR"/>
              </w:rPr>
              <w:br/>
              <w:t>rate (%)</w:t>
            </w:r>
          </w:p>
        </w:tc>
        <w:tc>
          <w:tcPr>
            <w:tcW w:w="2155" w:type="dxa"/>
            <w:gridSpan w:val="2"/>
            <w:tcBorders>
              <w:top w:val="single" w:sz="4" w:space="0" w:color="auto"/>
              <w:left w:val="nil"/>
              <w:bottom w:val="single" w:sz="4" w:space="0" w:color="auto"/>
              <w:right w:val="single" w:sz="4" w:space="0" w:color="000000"/>
            </w:tcBorders>
            <w:vAlign w:val="center"/>
            <w:hideMark/>
          </w:tcPr>
          <w:p w14:paraId="00EC81F0" w14:textId="77777777" w:rsidR="00E00304" w:rsidRPr="00164238" w:rsidRDefault="00E00304">
            <w:pPr>
              <w:spacing w:after="0" w:line="240" w:lineRule="auto"/>
              <w:jc w:val="center"/>
              <w:rPr>
                <w:rFonts w:ascii="Times New Roman" w:eastAsia="Times New Roman" w:hAnsi="Times New Roman" w:cs="Times New Roman"/>
                <w:b/>
                <w:color w:val="000000" w:themeColor="text1"/>
                <w:sz w:val="20"/>
                <w:szCs w:val="20"/>
                <w:lang w:eastAsia="tr-TR"/>
              </w:rPr>
            </w:pPr>
            <w:r w:rsidRPr="00164238">
              <w:rPr>
                <w:rFonts w:ascii="Times New Roman" w:eastAsia="Times New Roman" w:hAnsi="Times New Roman" w:cs="Times New Roman"/>
                <w:b/>
                <w:color w:val="000000" w:themeColor="text1"/>
                <w:sz w:val="20"/>
                <w:szCs w:val="20"/>
                <w:lang w:eastAsia="tr-TR"/>
              </w:rPr>
              <w:t>Share of all COVID-19</w:t>
            </w:r>
            <w:r w:rsidRPr="00164238">
              <w:rPr>
                <w:rFonts w:ascii="Times New Roman" w:eastAsia="Times New Roman" w:hAnsi="Times New Roman" w:cs="Times New Roman"/>
                <w:b/>
                <w:color w:val="000000" w:themeColor="text1"/>
                <w:sz w:val="20"/>
                <w:szCs w:val="20"/>
                <w:lang w:eastAsia="tr-TR"/>
              </w:rPr>
              <w:br/>
              <w:t>critical goods (%)</w:t>
            </w:r>
          </w:p>
        </w:tc>
      </w:tr>
      <w:tr w:rsidR="00E00304" w:rsidRPr="00164238" w14:paraId="70386E00" w14:textId="77777777" w:rsidTr="00E00304">
        <w:trPr>
          <w:trHeight w:val="270"/>
          <w:jc w:val="center"/>
        </w:trPr>
        <w:tc>
          <w:tcPr>
            <w:tcW w:w="7491" w:type="dxa"/>
            <w:gridSpan w:val="6"/>
            <w:tcBorders>
              <w:top w:val="single" w:sz="4" w:space="0" w:color="auto"/>
              <w:left w:val="single" w:sz="4" w:space="0" w:color="auto"/>
              <w:bottom w:val="single" w:sz="4" w:space="0" w:color="auto"/>
              <w:right w:val="single" w:sz="4" w:space="0" w:color="000000"/>
            </w:tcBorders>
            <w:noWrap/>
            <w:vAlign w:val="bottom"/>
            <w:hideMark/>
          </w:tcPr>
          <w:p w14:paraId="47D9239F" w14:textId="77777777" w:rsidR="00E00304" w:rsidRPr="00164238" w:rsidRDefault="00E00304">
            <w:pPr>
              <w:spacing w:after="0" w:line="240" w:lineRule="auto"/>
              <w:jc w:val="center"/>
              <w:rPr>
                <w:rFonts w:ascii="Times New Roman" w:eastAsia="Times New Roman" w:hAnsi="Times New Roman" w:cs="Times New Roman"/>
                <w:b/>
                <w:bCs/>
                <w:color w:val="000000" w:themeColor="text1"/>
                <w:sz w:val="20"/>
                <w:szCs w:val="20"/>
                <w:lang w:eastAsia="tr-TR"/>
              </w:rPr>
            </w:pPr>
            <w:r w:rsidRPr="00164238">
              <w:rPr>
                <w:rFonts w:ascii="Times New Roman" w:eastAsia="Times New Roman" w:hAnsi="Times New Roman" w:cs="Times New Roman"/>
                <w:b/>
                <w:bCs/>
                <w:color w:val="000000" w:themeColor="text1"/>
                <w:sz w:val="20"/>
                <w:szCs w:val="20"/>
                <w:lang w:eastAsia="tr-TR"/>
              </w:rPr>
              <w:t>EXPORTER COUNTRIES</w:t>
            </w:r>
          </w:p>
        </w:tc>
      </w:tr>
      <w:tr w:rsidR="00E00304" w:rsidRPr="00164238" w14:paraId="47221FC7" w14:textId="77777777" w:rsidTr="00E00304">
        <w:trPr>
          <w:trHeight w:val="300"/>
          <w:jc w:val="center"/>
        </w:trPr>
        <w:tc>
          <w:tcPr>
            <w:tcW w:w="2197" w:type="dxa"/>
            <w:tcBorders>
              <w:top w:val="single" w:sz="4" w:space="0" w:color="auto"/>
              <w:left w:val="single" w:sz="4" w:space="0" w:color="auto"/>
              <w:bottom w:val="single" w:sz="4" w:space="0" w:color="auto"/>
              <w:right w:val="single" w:sz="4" w:space="0" w:color="000000"/>
            </w:tcBorders>
            <w:noWrap/>
            <w:vAlign w:val="center"/>
            <w:hideMark/>
          </w:tcPr>
          <w:p w14:paraId="3FE0F96D"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c>
          <w:tcPr>
            <w:tcW w:w="933" w:type="dxa"/>
            <w:tcBorders>
              <w:top w:val="nil"/>
              <w:left w:val="nil"/>
              <w:bottom w:val="single" w:sz="4" w:space="0" w:color="auto"/>
              <w:right w:val="single" w:sz="4" w:space="0" w:color="auto"/>
            </w:tcBorders>
            <w:noWrap/>
            <w:vAlign w:val="center"/>
            <w:hideMark/>
          </w:tcPr>
          <w:p w14:paraId="34CD9527" w14:textId="77777777" w:rsidR="00E00304" w:rsidRPr="00164238" w:rsidRDefault="00E00304">
            <w:pPr>
              <w:spacing w:after="0" w:line="240" w:lineRule="auto"/>
              <w:jc w:val="center"/>
              <w:rPr>
                <w:rFonts w:ascii="Times New Roman" w:eastAsia="Times New Roman" w:hAnsi="Times New Roman" w:cs="Times New Roman"/>
                <w:b/>
                <w:bCs/>
                <w:color w:val="000000" w:themeColor="text1"/>
                <w:sz w:val="20"/>
                <w:szCs w:val="20"/>
                <w:lang w:eastAsia="tr-TR"/>
              </w:rPr>
            </w:pPr>
            <w:r w:rsidRPr="00164238">
              <w:rPr>
                <w:rFonts w:ascii="Times New Roman" w:eastAsia="Times New Roman" w:hAnsi="Times New Roman" w:cs="Times New Roman"/>
                <w:b/>
                <w:bCs/>
                <w:color w:val="000000" w:themeColor="text1"/>
                <w:sz w:val="20"/>
                <w:szCs w:val="20"/>
                <w:lang w:eastAsia="tr-TR"/>
              </w:rPr>
              <w:t>2019</w:t>
            </w:r>
          </w:p>
        </w:tc>
        <w:tc>
          <w:tcPr>
            <w:tcW w:w="933" w:type="dxa"/>
            <w:tcBorders>
              <w:top w:val="nil"/>
              <w:left w:val="nil"/>
              <w:bottom w:val="single" w:sz="4" w:space="0" w:color="auto"/>
              <w:right w:val="single" w:sz="4" w:space="0" w:color="auto"/>
            </w:tcBorders>
            <w:noWrap/>
            <w:vAlign w:val="center"/>
            <w:hideMark/>
          </w:tcPr>
          <w:p w14:paraId="4DDFC8BE" w14:textId="77777777" w:rsidR="00E00304" w:rsidRPr="00164238" w:rsidRDefault="00E00304">
            <w:pPr>
              <w:spacing w:after="0" w:line="240" w:lineRule="auto"/>
              <w:jc w:val="center"/>
              <w:rPr>
                <w:rFonts w:ascii="Times New Roman" w:eastAsia="Times New Roman" w:hAnsi="Times New Roman" w:cs="Times New Roman"/>
                <w:b/>
                <w:bCs/>
                <w:color w:val="000000" w:themeColor="text1"/>
                <w:sz w:val="20"/>
                <w:szCs w:val="20"/>
                <w:lang w:eastAsia="tr-TR"/>
              </w:rPr>
            </w:pPr>
            <w:r w:rsidRPr="00164238">
              <w:rPr>
                <w:rFonts w:ascii="Times New Roman" w:eastAsia="Times New Roman" w:hAnsi="Times New Roman" w:cs="Times New Roman"/>
                <w:b/>
                <w:bCs/>
                <w:color w:val="000000" w:themeColor="text1"/>
                <w:sz w:val="20"/>
                <w:szCs w:val="20"/>
                <w:lang w:eastAsia="tr-TR"/>
              </w:rPr>
              <w:t>2020</w:t>
            </w:r>
          </w:p>
        </w:tc>
        <w:tc>
          <w:tcPr>
            <w:tcW w:w="1273" w:type="dxa"/>
            <w:tcBorders>
              <w:top w:val="nil"/>
              <w:left w:val="nil"/>
              <w:bottom w:val="single" w:sz="4" w:space="0" w:color="auto"/>
              <w:right w:val="single" w:sz="4" w:space="0" w:color="auto"/>
            </w:tcBorders>
            <w:noWrap/>
            <w:vAlign w:val="center"/>
            <w:hideMark/>
          </w:tcPr>
          <w:p w14:paraId="1D24F71E" w14:textId="77777777" w:rsidR="00E00304" w:rsidRPr="00164238" w:rsidRDefault="00E00304">
            <w:pPr>
              <w:spacing w:after="0" w:line="240" w:lineRule="auto"/>
              <w:jc w:val="center"/>
              <w:rPr>
                <w:rFonts w:ascii="Times New Roman" w:eastAsia="Times New Roman" w:hAnsi="Times New Roman" w:cs="Times New Roman"/>
                <w:b/>
                <w:bCs/>
                <w:color w:val="000000" w:themeColor="text1"/>
                <w:sz w:val="20"/>
                <w:szCs w:val="20"/>
                <w:lang w:eastAsia="tr-TR"/>
              </w:rPr>
            </w:pPr>
            <w:r w:rsidRPr="00164238">
              <w:rPr>
                <w:rFonts w:ascii="Times New Roman" w:eastAsia="Times New Roman" w:hAnsi="Times New Roman" w:cs="Times New Roman"/>
                <w:b/>
                <w:bCs/>
                <w:color w:val="000000" w:themeColor="text1"/>
                <w:sz w:val="20"/>
                <w:szCs w:val="20"/>
                <w:lang w:eastAsia="tr-TR"/>
              </w:rPr>
              <w:t>2020/19</w:t>
            </w:r>
          </w:p>
        </w:tc>
        <w:tc>
          <w:tcPr>
            <w:tcW w:w="692" w:type="dxa"/>
            <w:tcBorders>
              <w:top w:val="nil"/>
              <w:left w:val="nil"/>
              <w:bottom w:val="single" w:sz="4" w:space="0" w:color="auto"/>
              <w:right w:val="single" w:sz="4" w:space="0" w:color="auto"/>
            </w:tcBorders>
            <w:noWrap/>
            <w:vAlign w:val="center"/>
            <w:hideMark/>
          </w:tcPr>
          <w:p w14:paraId="2E29086D" w14:textId="77777777" w:rsidR="00E00304" w:rsidRPr="00164238" w:rsidRDefault="00E00304">
            <w:pPr>
              <w:spacing w:after="0" w:line="240" w:lineRule="auto"/>
              <w:jc w:val="center"/>
              <w:rPr>
                <w:rFonts w:ascii="Times New Roman" w:eastAsia="Times New Roman" w:hAnsi="Times New Roman" w:cs="Times New Roman"/>
                <w:b/>
                <w:bCs/>
                <w:color w:val="000000" w:themeColor="text1"/>
                <w:sz w:val="20"/>
                <w:szCs w:val="20"/>
                <w:lang w:eastAsia="tr-TR"/>
              </w:rPr>
            </w:pPr>
            <w:r w:rsidRPr="00164238">
              <w:rPr>
                <w:rFonts w:ascii="Times New Roman" w:eastAsia="Times New Roman" w:hAnsi="Times New Roman" w:cs="Times New Roman"/>
                <w:b/>
                <w:bCs/>
                <w:color w:val="000000" w:themeColor="text1"/>
                <w:sz w:val="20"/>
                <w:szCs w:val="20"/>
                <w:lang w:eastAsia="tr-TR"/>
              </w:rPr>
              <w:t>2019</w:t>
            </w:r>
          </w:p>
        </w:tc>
        <w:tc>
          <w:tcPr>
            <w:tcW w:w="1463" w:type="dxa"/>
            <w:tcBorders>
              <w:top w:val="nil"/>
              <w:left w:val="nil"/>
              <w:bottom w:val="single" w:sz="4" w:space="0" w:color="auto"/>
              <w:right w:val="single" w:sz="4" w:space="0" w:color="auto"/>
            </w:tcBorders>
            <w:noWrap/>
            <w:vAlign w:val="center"/>
            <w:hideMark/>
          </w:tcPr>
          <w:p w14:paraId="7734FEDB" w14:textId="77777777" w:rsidR="00E00304" w:rsidRPr="00164238" w:rsidRDefault="00E00304">
            <w:pPr>
              <w:spacing w:after="0" w:line="240" w:lineRule="auto"/>
              <w:jc w:val="center"/>
              <w:rPr>
                <w:rFonts w:ascii="Times New Roman" w:eastAsia="Times New Roman" w:hAnsi="Times New Roman" w:cs="Times New Roman"/>
                <w:b/>
                <w:bCs/>
                <w:color w:val="000000" w:themeColor="text1"/>
                <w:sz w:val="20"/>
                <w:szCs w:val="20"/>
                <w:lang w:eastAsia="tr-TR"/>
              </w:rPr>
            </w:pPr>
            <w:r w:rsidRPr="00164238">
              <w:rPr>
                <w:rFonts w:ascii="Times New Roman" w:eastAsia="Times New Roman" w:hAnsi="Times New Roman" w:cs="Times New Roman"/>
                <w:b/>
                <w:bCs/>
                <w:color w:val="000000" w:themeColor="text1"/>
                <w:sz w:val="20"/>
                <w:szCs w:val="20"/>
                <w:lang w:eastAsia="tr-TR"/>
              </w:rPr>
              <w:t>2020</w:t>
            </w:r>
          </w:p>
        </w:tc>
      </w:tr>
      <w:tr w:rsidR="00E00304" w:rsidRPr="00164238" w14:paraId="1BCC42BC" w14:textId="77777777" w:rsidTr="00E00304">
        <w:trPr>
          <w:trHeight w:val="300"/>
          <w:jc w:val="center"/>
        </w:trPr>
        <w:tc>
          <w:tcPr>
            <w:tcW w:w="2197" w:type="dxa"/>
            <w:tcBorders>
              <w:top w:val="single" w:sz="4" w:space="0" w:color="auto"/>
              <w:left w:val="single" w:sz="4" w:space="0" w:color="auto"/>
              <w:bottom w:val="single" w:sz="4" w:space="0" w:color="auto"/>
              <w:right w:val="single" w:sz="4" w:space="0" w:color="auto"/>
            </w:tcBorders>
            <w:noWrap/>
            <w:vAlign w:val="center"/>
            <w:hideMark/>
          </w:tcPr>
          <w:p w14:paraId="0329F7D4" w14:textId="77777777" w:rsidR="00E00304" w:rsidRPr="00164238" w:rsidRDefault="00E00304">
            <w:pPr>
              <w:spacing w:after="0" w:line="240" w:lineRule="auto"/>
              <w:jc w:val="center"/>
              <w:rPr>
                <w:rFonts w:ascii="Times New Roman" w:eastAsia="Times New Roman" w:hAnsi="Times New Roman" w:cs="Times New Roman"/>
                <w:b/>
                <w:bCs/>
                <w:color w:val="000000" w:themeColor="text1"/>
                <w:sz w:val="20"/>
                <w:szCs w:val="20"/>
                <w:lang w:eastAsia="tr-TR"/>
              </w:rPr>
            </w:pPr>
            <w:r w:rsidRPr="00164238">
              <w:rPr>
                <w:rFonts w:ascii="Times New Roman" w:eastAsia="Times New Roman" w:hAnsi="Times New Roman" w:cs="Times New Roman"/>
                <w:b/>
                <w:bCs/>
                <w:color w:val="000000" w:themeColor="text1"/>
                <w:sz w:val="20"/>
                <w:szCs w:val="20"/>
                <w:lang w:eastAsia="tr-TR"/>
              </w:rPr>
              <w:t>China</w:t>
            </w:r>
          </w:p>
        </w:tc>
        <w:tc>
          <w:tcPr>
            <w:tcW w:w="933" w:type="dxa"/>
            <w:tcBorders>
              <w:top w:val="nil"/>
              <w:left w:val="nil"/>
              <w:bottom w:val="single" w:sz="4" w:space="0" w:color="auto"/>
              <w:right w:val="single" w:sz="4" w:space="0" w:color="auto"/>
            </w:tcBorders>
            <w:noWrap/>
            <w:vAlign w:val="center"/>
            <w:hideMark/>
          </w:tcPr>
          <w:p w14:paraId="7C152E05"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17.813</w:t>
            </w:r>
          </w:p>
        </w:tc>
        <w:tc>
          <w:tcPr>
            <w:tcW w:w="933" w:type="dxa"/>
            <w:tcBorders>
              <w:top w:val="nil"/>
              <w:left w:val="nil"/>
              <w:bottom w:val="single" w:sz="4" w:space="0" w:color="auto"/>
              <w:right w:val="single" w:sz="4" w:space="0" w:color="auto"/>
            </w:tcBorders>
            <w:noWrap/>
            <w:vAlign w:val="center"/>
            <w:hideMark/>
          </w:tcPr>
          <w:p w14:paraId="539363E3"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54.643</w:t>
            </w:r>
          </w:p>
        </w:tc>
        <w:tc>
          <w:tcPr>
            <w:tcW w:w="1273" w:type="dxa"/>
            <w:tcBorders>
              <w:top w:val="nil"/>
              <w:left w:val="nil"/>
              <w:bottom w:val="single" w:sz="4" w:space="0" w:color="auto"/>
              <w:right w:val="single" w:sz="4" w:space="0" w:color="auto"/>
            </w:tcBorders>
            <w:noWrap/>
            <w:vAlign w:val="center"/>
            <w:hideMark/>
          </w:tcPr>
          <w:p w14:paraId="586BE5C9"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206.8</w:t>
            </w:r>
          </w:p>
        </w:tc>
        <w:tc>
          <w:tcPr>
            <w:tcW w:w="692" w:type="dxa"/>
            <w:tcBorders>
              <w:top w:val="nil"/>
              <w:left w:val="nil"/>
              <w:bottom w:val="single" w:sz="4" w:space="0" w:color="auto"/>
              <w:right w:val="single" w:sz="4" w:space="0" w:color="auto"/>
            </w:tcBorders>
            <w:noWrap/>
            <w:vAlign w:val="center"/>
            <w:hideMark/>
          </w:tcPr>
          <w:p w14:paraId="3E5B468E"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12.0</w:t>
            </w:r>
          </w:p>
        </w:tc>
        <w:tc>
          <w:tcPr>
            <w:tcW w:w="1463" w:type="dxa"/>
            <w:tcBorders>
              <w:top w:val="nil"/>
              <w:left w:val="nil"/>
              <w:bottom w:val="single" w:sz="4" w:space="0" w:color="auto"/>
              <w:right w:val="single" w:sz="4" w:space="0" w:color="auto"/>
            </w:tcBorders>
            <w:noWrap/>
            <w:vAlign w:val="center"/>
            <w:hideMark/>
          </w:tcPr>
          <w:p w14:paraId="4EAE9D10"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28.9</w:t>
            </w:r>
          </w:p>
        </w:tc>
      </w:tr>
      <w:tr w:rsidR="00E00304" w:rsidRPr="00164238" w14:paraId="14C74F2F" w14:textId="77777777" w:rsidTr="00E00304">
        <w:trPr>
          <w:trHeight w:val="300"/>
          <w:jc w:val="center"/>
        </w:trPr>
        <w:tc>
          <w:tcPr>
            <w:tcW w:w="2197" w:type="dxa"/>
            <w:tcBorders>
              <w:top w:val="single" w:sz="4" w:space="0" w:color="auto"/>
              <w:left w:val="single" w:sz="4" w:space="0" w:color="auto"/>
              <w:bottom w:val="single" w:sz="4" w:space="0" w:color="auto"/>
              <w:right w:val="single" w:sz="4" w:space="0" w:color="auto"/>
            </w:tcBorders>
            <w:noWrap/>
            <w:vAlign w:val="center"/>
            <w:hideMark/>
          </w:tcPr>
          <w:p w14:paraId="0628EA8F" w14:textId="77777777" w:rsidR="00E00304" w:rsidRPr="00164238" w:rsidRDefault="00E00304">
            <w:pPr>
              <w:spacing w:after="0" w:line="240" w:lineRule="auto"/>
              <w:jc w:val="center"/>
              <w:rPr>
                <w:rFonts w:ascii="Times New Roman" w:eastAsia="Times New Roman" w:hAnsi="Times New Roman" w:cs="Times New Roman"/>
                <w:b/>
                <w:bCs/>
                <w:color w:val="000000" w:themeColor="text1"/>
                <w:sz w:val="20"/>
                <w:szCs w:val="20"/>
                <w:lang w:eastAsia="tr-TR"/>
              </w:rPr>
            </w:pPr>
            <w:r w:rsidRPr="00164238">
              <w:rPr>
                <w:rFonts w:ascii="Times New Roman" w:eastAsia="Times New Roman" w:hAnsi="Times New Roman" w:cs="Times New Roman"/>
                <w:b/>
                <w:bCs/>
                <w:color w:val="000000" w:themeColor="text1"/>
                <w:sz w:val="20"/>
                <w:szCs w:val="20"/>
                <w:lang w:eastAsia="tr-TR"/>
              </w:rPr>
              <w:t>United States</w:t>
            </w:r>
          </w:p>
        </w:tc>
        <w:tc>
          <w:tcPr>
            <w:tcW w:w="933" w:type="dxa"/>
            <w:tcBorders>
              <w:top w:val="nil"/>
              <w:left w:val="nil"/>
              <w:bottom w:val="single" w:sz="4" w:space="0" w:color="auto"/>
              <w:right w:val="single" w:sz="4" w:space="0" w:color="auto"/>
            </w:tcBorders>
            <w:noWrap/>
            <w:vAlign w:val="center"/>
            <w:hideMark/>
          </w:tcPr>
          <w:p w14:paraId="6ABB35A1"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23.318</w:t>
            </w:r>
          </w:p>
        </w:tc>
        <w:tc>
          <w:tcPr>
            <w:tcW w:w="933" w:type="dxa"/>
            <w:tcBorders>
              <w:top w:val="nil"/>
              <w:left w:val="nil"/>
              <w:bottom w:val="single" w:sz="4" w:space="0" w:color="auto"/>
              <w:right w:val="single" w:sz="4" w:space="0" w:color="auto"/>
            </w:tcBorders>
            <w:noWrap/>
            <w:vAlign w:val="center"/>
            <w:hideMark/>
          </w:tcPr>
          <w:p w14:paraId="2B055ED8"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23.182</w:t>
            </w:r>
          </w:p>
        </w:tc>
        <w:tc>
          <w:tcPr>
            <w:tcW w:w="1273" w:type="dxa"/>
            <w:tcBorders>
              <w:top w:val="nil"/>
              <w:left w:val="nil"/>
              <w:bottom w:val="single" w:sz="4" w:space="0" w:color="auto"/>
              <w:right w:val="single" w:sz="4" w:space="0" w:color="auto"/>
            </w:tcBorders>
            <w:noWrap/>
            <w:vAlign w:val="center"/>
            <w:hideMark/>
          </w:tcPr>
          <w:p w14:paraId="081459E4"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-0.6</w:t>
            </w:r>
          </w:p>
        </w:tc>
        <w:tc>
          <w:tcPr>
            <w:tcW w:w="692" w:type="dxa"/>
            <w:tcBorders>
              <w:top w:val="nil"/>
              <w:left w:val="nil"/>
              <w:bottom w:val="single" w:sz="4" w:space="0" w:color="auto"/>
              <w:right w:val="single" w:sz="4" w:space="0" w:color="auto"/>
            </w:tcBorders>
            <w:noWrap/>
            <w:vAlign w:val="center"/>
            <w:hideMark/>
          </w:tcPr>
          <w:p w14:paraId="0FC93601"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15.7</w:t>
            </w:r>
          </w:p>
        </w:tc>
        <w:tc>
          <w:tcPr>
            <w:tcW w:w="1463" w:type="dxa"/>
            <w:tcBorders>
              <w:top w:val="nil"/>
              <w:left w:val="nil"/>
              <w:bottom w:val="single" w:sz="4" w:space="0" w:color="auto"/>
              <w:right w:val="single" w:sz="4" w:space="0" w:color="auto"/>
            </w:tcBorders>
            <w:noWrap/>
            <w:vAlign w:val="center"/>
            <w:hideMark/>
          </w:tcPr>
          <w:p w14:paraId="3529845A"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12.3</w:t>
            </w:r>
          </w:p>
        </w:tc>
      </w:tr>
      <w:tr w:rsidR="00E00304" w:rsidRPr="00164238" w14:paraId="719572F3" w14:textId="77777777" w:rsidTr="00E00304">
        <w:trPr>
          <w:trHeight w:val="300"/>
          <w:jc w:val="center"/>
        </w:trPr>
        <w:tc>
          <w:tcPr>
            <w:tcW w:w="2197" w:type="dxa"/>
            <w:tcBorders>
              <w:top w:val="single" w:sz="4" w:space="0" w:color="auto"/>
              <w:left w:val="single" w:sz="4" w:space="0" w:color="auto"/>
              <w:bottom w:val="single" w:sz="4" w:space="0" w:color="auto"/>
              <w:right w:val="single" w:sz="4" w:space="0" w:color="auto"/>
            </w:tcBorders>
            <w:noWrap/>
            <w:vAlign w:val="center"/>
            <w:hideMark/>
          </w:tcPr>
          <w:p w14:paraId="3D35736C" w14:textId="77777777" w:rsidR="00E00304" w:rsidRPr="00164238" w:rsidRDefault="00E00304">
            <w:pPr>
              <w:spacing w:after="0" w:line="240" w:lineRule="auto"/>
              <w:jc w:val="center"/>
              <w:rPr>
                <w:rFonts w:ascii="Times New Roman" w:eastAsia="Times New Roman" w:hAnsi="Times New Roman" w:cs="Times New Roman"/>
                <w:b/>
                <w:bCs/>
                <w:color w:val="000000" w:themeColor="text1"/>
                <w:sz w:val="20"/>
                <w:szCs w:val="20"/>
                <w:lang w:eastAsia="tr-TR"/>
              </w:rPr>
            </w:pPr>
            <w:r w:rsidRPr="00164238">
              <w:rPr>
                <w:rFonts w:ascii="Times New Roman" w:eastAsia="Times New Roman" w:hAnsi="Times New Roman" w:cs="Times New Roman"/>
                <w:b/>
                <w:bCs/>
                <w:color w:val="000000" w:themeColor="text1"/>
                <w:sz w:val="20"/>
                <w:szCs w:val="20"/>
                <w:lang w:eastAsia="tr-TR"/>
              </w:rPr>
              <w:t>Germany</w:t>
            </w:r>
          </w:p>
        </w:tc>
        <w:tc>
          <w:tcPr>
            <w:tcW w:w="933" w:type="dxa"/>
            <w:tcBorders>
              <w:top w:val="nil"/>
              <w:left w:val="nil"/>
              <w:bottom w:val="single" w:sz="4" w:space="0" w:color="auto"/>
              <w:right w:val="single" w:sz="4" w:space="0" w:color="auto"/>
            </w:tcBorders>
            <w:noWrap/>
            <w:vAlign w:val="center"/>
            <w:hideMark/>
          </w:tcPr>
          <w:p w14:paraId="4699DCA9"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16.928</w:t>
            </w:r>
          </w:p>
        </w:tc>
        <w:tc>
          <w:tcPr>
            <w:tcW w:w="933" w:type="dxa"/>
            <w:tcBorders>
              <w:top w:val="nil"/>
              <w:left w:val="nil"/>
              <w:bottom w:val="single" w:sz="4" w:space="0" w:color="auto"/>
              <w:right w:val="single" w:sz="4" w:space="0" w:color="auto"/>
            </w:tcBorders>
            <w:noWrap/>
            <w:vAlign w:val="center"/>
            <w:hideMark/>
          </w:tcPr>
          <w:p w14:paraId="17B324DA"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16.961</w:t>
            </w:r>
          </w:p>
        </w:tc>
        <w:tc>
          <w:tcPr>
            <w:tcW w:w="1273" w:type="dxa"/>
            <w:tcBorders>
              <w:top w:val="nil"/>
              <w:left w:val="nil"/>
              <w:bottom w:val="single" w:sz="4" w:space="0" w:color="auto"/>
              <w:right w:val="single" w:sz="4" w:space="0" w:color="auto"/>
            </w:tcBorders>
            <w:noWrap/>
            <w:vAlign w:val="center"/>
            <w:hideMark/>
          </w:tcPr>
          <w:p w14:paraId="4E99706C"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0.2</w:t>
            </w:r>
          </w:p>
        </w:tc>
        <w:tc>
          <w:tcPr>
            <w:tcW w:w="692" w:type="dxa"/>
            <w:tcBorders>
              <w:top w:val="nil"/>
              <w:left w:val="nil"/>
              <w:bottom w:val="single" w:sz="4" w:space="0" w:color="auto"/>
              <w:right w:val="single" w:sz="4" w:space="0" w:color="auto"/>
            </w:tcBorders>
            <w:noWrap/>
            <w:vAlign w:val="center"/>
            <w:hideMark/>
          </w:tcPr>
          <w:p w14:paraId="6F7AC609"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11.4</w:t>
            </w:r>
          </w:p>
        </w:tc>
        <w:tc>
          <w:tcPr>
            <w:tcW w:w="1463" w:type="dxa"/>
            <w:tcBorders>
              <w:top w:val="nil"/>
              <w:left w:val="nil"/>
              <w:bottom w:val="single" w:sz="4" w:space="0" w:color="auto"/>
              <w:right w:val="single" w:sz="4" w:space="0" w:color="auto"/>
            </w:tcBorders>
            <w:noWrap/>
            <w:vAlign w:val="center"/>
            <w:hideMark/>
          </w:tcPr>
          <w:p w14:paraId="540C2933"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9.0</w:t>
            </w:r>
          </w:p>
        </w:tc>
      </w:tr>
      <w:tr w:rsidR="00E00304" w:rsidRPr="00164238" w14:paraId="0F645C03" w14:textId="77777777" w:rsidTr="00E00304">
        <w:trPr>
          <w:trHeight w:val="300"/>
          <w:jc w:val="center"/>
        </w:trPr>
        <w:tc>
          <w:tcPr>
            <w:tcW w:w="2197" w:type="dxa"/>
            <w:tcBorders>
              <w:top w:val="single" w:sz="4" w:space="0" w:color="auto"/>
              <w:left w:val="single" w:sz="4" w:space="0" w:color="auto"/>
              <w:bottom w:val="single" w:sz="4" w:space="0" w:color="auto"/>
              <w:right w:val="single" w:sz="4" w:space="0" w:color="auto"/>
            </w:tcBorders>
            <w:noWrap/>
            <w:vAlign w:val="center"/>
            <w:hideMark/>
          </w:tcPr>
          <w:p w14:paraId="0D67C3ED" w14:textId="77777777" w:rsidR="00E00304" w:rsidRPr="00164238" w:rsidRDefault="00E00304">
            <w:pPr>
              <w:spacing w:after="0" w:line="240" w:lineRule="auto"/>
              <w:jc w:val="center"/>
              <w:rPr>
                <w:rFonts w:ascii="Times New Roman" w:eastAsia="Times New Roman" w:hAnsi="Times New Roman" w:cs="Times New Roman"/>
                <w:b/>
                <w:bCs/>
                <w:color w:val="000000" w:themeColor="text1"/>
                <w:sz w:val="20"/>
                <w:szCs w:val="20"/>
                <w:lang w:eastAsia="tr-TR"/>
              </w:rPr>
            </w:pPr>
            <w:r w:rsidRPr="00164238">
              <w:rPr>
                <w:rFonts w:ascii="Times New Roman" w:eastAsia="Times New Roman" w:hAnsi="Times New Roman" w:cs="Times New Roman"/>
                <w:b/>
                <w:bCs/>
                <w:color w:val="000000" w:themeColor="text1"/>
                <w:sz w:val="20"/>
                <w:szCs w:val="20"/>
                <w:lang w:eastAsia="tr-TR"/>
              </w:rPr>
              <w:t>Netherlands</w:t>
            </w:r>
          </w:p>
        </w:tc>
        <w:tc>
          <w:tcPr>
            <w:tcW w:w="933" w:type="dxa"/>
            <w:tcBorders>
              <w:top w:val="nil"/>
              <w:left w:val="nil"/>
              <w:bottom w:val="single" w:sz="4" w:space="0" w:color="auto"/>
              <w:right w:val="single" w:sz="4" w:space="0" w:color="auto"/>
            </w:tcBorders>
            <w:noWrap/>
            <w:vAlign w:val="center"/>
            <w:hideMark/>
          </w:tcPr>
          <w:p w14:paraId="60D40116"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10.683</w:t>
            </w:r>
          </w:p>
        </w:tc>
        <w:tc>
          <w:tcPr>
            <w:tcW w:w="933" w:type="dxa"/>
            <w:tcBorders>
              <w:top w:val="nil"/>
              <w:left w:val="nil"/>
              <w:bottom w:val="single" w:sz="4" w:space="0" w:color="auto"/>
              <w:right w:val="single" w:sz="4" w:space="0" w:color="auto"/>
            </w:tcBorders>
            <w:noWrap/>
            <w:vAlign w:val="center"/>
            <w:hideMark/>
          </w:tcPr>
          <w:p w14:paraId="403A865A"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10.771</w:t>
            </w:r>
          </w:p>
        </w:tc>
        <w:tc>
          <w:tcPr>
            <w:tcW w:w="1273" w:type="dxa"/>
            <w:tcBorders>
              <w:top w:val="nil"/>
              <w:left w:val="nil"/>
              <w:bottom w:val="single" w:sz="4" w:space="0" w:color="auto"/>
              <w:right w:val="single" w:sz="4" w:space="0" w:color="auto"/>
            </w:tcBorders>
            <w:noWrap/>
            <w:vAlign w:val="center"/>
            <w:hideMark/>
          </w:tcPr>
          <w:p w14:paraId="204110FA"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0.8</w:t>
            </w:r>
          </w:p>
        </w:tc>
        <w:tc>
          <w:tcPr>
            <w:tcW w:w="692" w:type="dxa"/>
            <w:tcBorders>
              <w:top w:val="nil"/>
              <w:left w:val="nil"/>
              <w:bottom w:val="single" w:sz="4" w:space="0" w:color="auto"/>
              <w:right w:val="single" w:sz="4" w:space="0" w:color="auto"/>
            </w:tcBorders>
            <w:noWrap/>
            <w:vAlign w:val="center"/>
            <w:hideMark/>
          </w:tcPr>
          <w:p w14:paraId="7B34F7F8"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7.2</w:t>
            </w:r>
          </w:p>
        </w:tc>
        <w:tc>
          <w:tcPr>
            <w:tcW w:w="1463" w:type="dxa"/>
            <w:tcBorders>
              <w:top w:val="nil"/>
              <w:left w:val="nil"/>
              <w:bottom w:val="single" w:sz="4" w:space="0" w:color="auto"/>
              <w:right w:val="single" w:sz="4" w:space="0" w:color="auto"/>
            </w:tcBorders>
            <w:noWrap/>
            <w:vAlign w:val="center"/>
            <w:hideMark/>
          </w:tcPr>
          <w:p w14:paraId="3A19EB4A"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5.7</w:t>
            </w:r>
          </w:p>
        </w:tc>
      </w:tr>
      <w:tr w:rsidR="00E00304" w:rsidRPr="00164238" w14:paraId="1398DFBC" w14:textId="77777777" w:rsidTr="00E00304">
        <w:trPr>
          <w:trHeight w:val="300"/>
          <w:jc w:val="center"/>
        </w:trPr>
        <w:tc>
          <w:tcPr>
            <w:tcW w:w="2197" w:type="dxa"/>
            <w:tcBorders>
              <w:top w:val="single" w:sz="4" w:space="0" w:color="auto"/>
              <w:left w:val="single" w:sz="4" w:space="0" w:color="auto"/>
              <w:bottom w:val="single" w:sz="4" w:space="0" w:color="auto"/>
              <w:right w:val="single" w:sz="4" w:space="0" w:color="auto"/>
            </w:tcBorders>
            <w:noWrap/>
            <w:vAlign w:val="center"/>
            <w:hideMark/>
          </w:tcPr>
          <w:p w14:paraId="182AA8AC" w14:textId="77777777" w:rsidR="00E00304" w:rsidRPr="00164238" w:rsidRDefault="00E00304">
            <w:pPr>
              <w:spacing w:after="0" w:line="240" w:lineRule="auto"/>
              <w:jc w:val="center"/>
              <w:rPr>
                <w:rFonts w:ascii="Times New Roman" w:eastAsia="Times New Roman" w:hAnsi="Times New Roman" w:cs="Times New Roman"/>
                <w:b/>
                <w:bCs/>
                <w:color w:val="000000" w:themeColor="text1"/>
                <w:sz w:val="20"/>
                <w:szCs w:val="20"/>
                <w:lang w:eastAsia="tr-TR"/>
              </w:rPr>
            </w:pPr>
            <w:r w:rsidRPr="00164238">
              <w:rPr>
                <w:rFonts w:ascii="Times New Roman" w:eastAsia="Times New Roman" w:hAnsi="Times New Roman" w:cs="Times New Roman"/>
                <w:b/>
                <w:bCs/>
                <w:color w:val="000000" w:themeColor="text1"/>
                <w:sz w:val="20"/>
                <w:szCs w:val="20"/>
                <w:lang w:eastAsia="tr-TR"/>
              </w:rPr>
              <w:t>Mexico</w:t>
            </w:r>
          </w:p>
        </w:tc>
        <w:tc>
          <w:tcPr>
            <w:tcW w:w="933" w:type="dxa"/>
            <w:tcBorders>
              <w:top w:val="nil"/>
              <w:left w:val="nil"/>
              <w:bottom w:val="single" w:sz="4" w:space="0" w:color="auto"/>
              <w:right w:val="single" w:sz="4" w:space="0" w:color="auto"/>
            </w:tcBorders>
            <w:noWrap/>
            <w:vAlign w:val="center"/>
            <w:hideMark/>
          </w:tcPr>
          <w:p w14:paraId="37959033"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5.774</w:t>
            </w:r>
          </w:p>
        </w:tc>
        <w:tc>
          <w:tcPr>
            <w:tcW w:w="933" w:type="dxa"/>
            <w:tcBorders>
              <w:top w:val="nil"/>
              <w:left w:val="nil"/>
              <w:bottom w:val="single" w:sz="4" w:space="0" w:color="auto"/>
              <w:right w:val="single" w:sz="4" w:space="0" w:color="auto"/>
            </w:tcBorders>
            <w:noWrap/>
            <w:vAlign w:val="center"/>
            <w:hideMark/>
          </w:tcPr>
          <w:p w14:paraId="7FC9B377"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6.259</w:t>
            </w:r>
          </w:p>
        </w:tc>
        <w:tc>
          <w:tcPr>
            <w:tcW w:w="1273" w:type="dxa"/>
            <w:tcBorders>
              <w:top w:val="nil"/>
              <w:left w:val="nil"/>
              <w:bottom w:val="single" w:sz="4" w:space="0" w:color="auto"/>
              <w:right w:val="single" w:sz="4" w:space="0" w:color="auto"/>
            </w:tcBorders>
            <w:noWrap/>
            <w:vAlign w:val="center"/>
            <w:hideMark/>
          </w:tcPr>
          <w:p w14:paraId="77F6CC3F"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8.4</w:t>
            </w:r>
          </w:p>
        </w:tc>
        <w:tc>
          <w:tcPr>
            <w:tcW w:w="692" w:type="dxa"/>
            <w:tcBorders>
              <w:top w:val="nil"/>
              <w:left w:val="nil"/>
              <w:bottom w:val="single" w:sz="4" w:space="0" w:color="auto"/>
              <w:right w:val="single" w:sz="4" w:space="0" w:color="auto"/>
            </w:tcBorders>
            <w:noWrap/>
            <w:vAlign w:val="center"/>
            <w:hideMark/>
          </w:tcPr>
          <w:p w14:paraId="52067C01"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3.9</w:t>
            </w:r>
          </w:p>
        </w:tc>
        <w:tc>
          <w:tcPr>
            <w:tcW w:w="1463" w:type="dxa"/>
            <w:tcBorders>
              <w:top w:val="nil"/>
              <w:left w:val="nil"/>
              <w:bottom w:val="single" w:sz="4" w:space="0" w:color="auto"/>
              <w:right w:val="single" w:sz="4" w:space="0" w:color="auto"/>
            </w:tcBorders>
            <w:noWrap/>
            <w:vAlign w:val="center"/>
            <w:hideMark/>
          </w:tcPr>
          <w:p w14:paraId="5DD01A96"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3.3</w:t>
            </w:r>
          </w:p>
        </w:tc>
      </w:tr>
      <w:tr w:rsidR="00E00304" w:rsidRPr="00164238" w14:paraId="47EEAA4F" w14:textId="77777777" w:rsidTr="00E00304">
        <w:trPr>
          <w:trHeight w:val="300"/>
          <w:jc w:val="center"/>
        </w:trPr>
        <w:tc>
          <w:tcPr>
            <w:tcW w:w="2197" w:type="dxa"/>
            <w:tcBorders>
              <w:top w:val="single" w:sz="4" w:space="0" w:color="auto"/>
              <w:left w:val="single" w:sz="4" w:space="0" w:color="auto"/>
              <w:bottom w:val="single" w:sz="4" w:space="0" w:color="auto"/>
              <w:right w:val="single" w:sz="4" w:space="0" w:color="auto"/>
            </w:tcBorders>
            <w:noWrap/>
            <w:vAlign w:val="center"/>
            <w:hideMark/>
          </w:tcPr>
          <w:p w14:paraId="6ACBF0B5" w14:textId="77777777" w:rsidR="00E00304" w:rsidRPr="00164238" w:rsidRDefault="00E00304">
            <w:pPr>
              <w:spacing w:after="0" w:line="240" w:lineRule="auto"/>
              <w:jc w:val="center"/>
              <w:rPr>
                <w:rFonts w:ascii="Times New Roman" w:eastAsia="Times New Roman" w:hAnsi="Times New Roman" w:cs="Times New Roman"/>
                <w:b/>
                <w:bCs/>
                <w:color w:val="000000" w:themeColor="text1"/>
                <w:sz w:val="20"/>
                <w:szCs w:val="20"/>
                <w:lang w:eastAsia="tr-TR"/>
              </w:rPr>
            </w:pPr>
            <w:r w:rsidRPr="00164238">
              <w:rPr>
                <w:rFonts w:ascii="Times New Roman" w:eastAsia="Times New Roman" w:hAnsi="Times New Roman" w:cs="Times New Roman"/>
                <w:b/>
                <w:bCs/>
                <w:color w:val="000000" w:themeColor="text1"/>
                <w:sz w:val="20"/>
                <w:szCs w:val="20"/>
                <w:lang w:eastAsia="tr-TR"/>
              </w:rPr>
              <w:t>Japan</w:t>
            </w:r>
          </w:p>
        </w:tc>
        <w:tc>
          <w:tcPr>
            <w:tcW w:w="933" w:type="dxa"/>
            <w:tcBorders>
              <w:top w:val="nil"/>
              <w:left w:val="nil"/>
              <w:bottom w:val="single" w:sz="4" w:space="0" w:color="auto"/>
              <w:right w:val="single" w:sz="4" w:space="0" w:color="auto"/>
            </w:tcBorders>
            <w:noWrap/>
            <w:vAlign w:val="center"/>
            <w:hideMark/>
          </w:tcPr>
          <w:p w14:paraId="2CDE3F8C"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5.791</w:t>
            </w:r>
          </w:p>
        </w:tc>
        <w:tc>
          <w:tcPr>
            <w:tcW w:w="933" w:type="dxa"/>
            <w:tcBorders>
              <w:top w:val="nil"/>
              <w:left w:val="nil"/>
              <w:bottom w:val="single" w:sz="4" w:space="0" w:color="auto"/>
              <w:right w:val="single" w:sz="4" w:space="0" w:color="auto"/>
            </w:tcBorders>
            <w:noWrap/>
            <w:vAlign w:val="center"/>
            <w:hideMark/>
          </w:tcPr>
          <w:p w14:paraId="6538B7FF"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5.800</w:t>
            </w:r>
          </w:p>
        </w:tc>
        <w:tc>
          <w:tcPr>
            <w:tcW w:w="1273" w:type="dxa"/>
            <w:tcBorders>
              <w:top w:val="nil"/>
              <w:left w:val="nil"/>
              <w:bottom w:val="single" w:sz="4" w:space="0" w:color="auto"/>
              <w:right w:val="single" w:sz="4" w:space="0" w:color="auto"/>
            </w:tcBorders>
            <w:noWrap/>
            <w:vAlign w:val="center"/>
            <w:hideMark/>
          </w:tcPr>
          <w:p w14:paraId="4BF79F2E"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0.2</w:t>
            </w:r>
          </w:p>
        </w:tc>
        <w:tc>
          <w:tcPr>
            <w:tcW w:w="692" w:type="dxa"/>
            <w:tcBorders>
              <w:top w:val="nil"/>
              <w:left w:val="nil"/>
              <w:bottom w:val="single" w:sz="4" w:space="0" w:color="auto"/>
              <w:right w:val="single" w:sz="4" w:space="0" w:color="auto"/>
            </w:tcBorders>
            <w:noWrap/>
            <w:vAlign w:val="center"/>
            <w:hideMark/>
          </w:tcPr>
          <w:p w14:paraId="75A296FA"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3.9</w:t>
            </w:r>
          </w:p>
        </w:tc>
        <w:tc>
          <w:tcPr>
            <w:tcW w:w="1463" w:type="dxa"/>
            <w:tcBorders>
              <w:top w:val="nil"/>
              <w:left w:val="nil"/>
              <w:bottom w:val="single" w:sz="4" w:space="0" w:color="auto"/>
              <w:right w:val="single" w:sz="4" w:space="0" w:color="auto"/>
            </w:tcBorders>
            <w:noWrap/>
            <w:vAlign w:val="center"/>
            <w:hideMark/>
          </w:tcPr>
          <w:p w14:paraId="7986EAE7"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3.1</w:t>
            </w:r>
          </w:p>
        </w:tc>
      </w:tr>
      <w:tr w:rsidR="00E00304" w:rsidRPr="00164238" w14:paraId="45D57EA5" w14:textId="77777777" w:rsidTr="00E00304">
        <w:trPr>
          <w:trHeight w:val="300"/>
          <w:jc w:val="center"/>
        </w:trPr>
        <w:tc>
          <w:tcPr>
            <w:tcW w:w="2197" w:type="dxa"/>
            <w:tcBorders>
              <w:top w:val="single" w:sz="4" w:space="0" w:color="auto"/>
              <w:left w:val="single" w:sz="4" w:space="0" w:color="auto"/>
              <w:bottom w:val="single" w:sz="4" w:space="0" w:color="auto"/>
              <w:right w:val="single" w:sz="4" w:space="0" w:color="auto"/>
            </w:tcBorders>
            <w:noWrap/>
            <w:vAlign w:val="center"/>
            <w:hideMark/>
          </w:tcPr>
          <w:p w14:paraId="2A08856C" w14:textId="77777777" w:rsidR="00E00304" w:rsidRPr="00164238" w:rsidRDefault="00E00304">
            <w:pPr>
              <w:spacing w:after="0" w:line="240" w:lineRule="auto"/>
              <w:jc w:val="center"/>
              <w:rPr>
                <w:rFonts w:ascii="Times New Roman" w:eastAsia="Times New Roman" w:hAnsi="Times New Roman" w:cs="Times New Roman"/>
                <w:b/>
                <w:bCs/>
                <w:color w:val="000000" w:themeColor="text1"/>
                <w:sz w:val="20"/>
                <w:szCs w:val="20"/>
                <w:lang w:eastAsia="tr-TR"/>
              </w:rPr>
            </w:pPr>
            <w:r w:rsidRPr="00164238">
              <w:rPr>
                <w:rFonts w:ascii="Times New Roman" w:eastAsia="Times New Roman" w:hAnsi="Times New Roman" w:cs="Times New Roman"/>
                <w:b/>
                <w:bCs/>
                <w:color w:val="000000" w:themeColor="text1"/>
                <w:sz w:val="20"/>
                <w:szCs w:val="20"/>
                <w:lang w:eastAsia="tr-TR"/>
              </w:rPr>
              <w:t>Belgium</w:t>
            </w:r>
          </w:p>
        </w:tc>
        <w:tc>
          <w:tcPr>
            <w:tcW w:w="933" w:type="dxa"/>
            <w:tcBorders>
              <w:top w:val="nil"/>
              <w:left w:val="nil"/>
              <w:bottom w:val="single" w:sz="4" w:space="0" w:color="auto"/>
              <w:right w:val="single" w:sz="4" w:space="0" w:color="auto"/>
            </w:tcBorders>
            <w:noWrap/>
            <w:vAlign w:val="center"/>
            <w:hideMark/>
          </w:tcPr>
          <w:p w14:paraId="23F34937"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5.665</w:t>
            </w:r>
          </w:p>
        </w:tc>
        <w:tc>
          <w:tcPr>
            <w:tcW w:w="933" w:type="dxa"/>
            <w:tcBorders>
              <w:top w:val="nil"/>
              <w:left w:val="nil"/>
              <w:bottom w:val="single" w:sz="4" w:space="0" w:color="auto"/>
              <w:right w:val="single" w:sz="4" w:space="0" w:color="auto"/>
            </w:tcBorders>
            <w:noWrap/>
            <w:vAlign w:val="center"/>
            <w:hideMark/>
          </w:tcPr>
          <w:p w14:paraId="474C99AC"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5.596</w:t>
            </w:r>
          </w:p>
        </w:tc>
        <w:tc>
          <w:tcPr>
            <w:tcW w:w="1273" w:type="dxa"/>
            <w:tcBorders>
              <w:top w:val="nil"/>
              <w:left w:val="nil"/>
              <w:bottom w:val="single" w:sz="4" w:space="0" w:color="auto"/>
              <w:right w:val="single" w:sz="4" w:space="0" w:color="auto"/>
            </w:tcBorders>
            <w:noWrap/>
            <w:vAlign w:val="center"/>
            <w:hideMark/>
          </w:tcPr>
          <w:p w14:paraId="60B03B64"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-1.2</w:t>
            </w:r>
          </w:p>
        </w:tc>
        <w:tc>
          <w:tcPr>
            <w:tcW w:w="692" w:type="dxa"/>
            <w:tcBorders>
              <w:top w:val="nil"/>
              <w:left w:val="nil"/>
              <w:bottom w:val="single" w:sz="4" w:space="0" w:color="auto"/>
              <w:right w:val="single" w:sz="4" w:space="0" w:color="auto"/>
            </w:tcBorders>
            <w:noWrap/>
            <w:vAlign w:val="center"/>
            <w:hideMark/>
          </w:tcPr>
          <w:p w14:paraId="63E35859"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3.8</w:t>
            </w:r>
          </w:p>
        </w:tc>
        <w:tc>
          <w:tcPr>
            <w:tcW w:w="1463" w:type="dxa"/>
            <w:tcBorders>
              <w:top w:val="nil"/>
              <w:left w:val="nil"/>
              <w:bottom w:val="single" w:sz="4" w:space="0" w:color="auto"/>
              <w:right w:val="single" w:sz="4" w:space="0" w:color="auto"/>
            </w:tcBorders>
            <w:noWrap/>
            <w:vAlign w:val="center"/>
            <w:hideMark/>
          </w:tcPr>
          <w:p w14:paraId="23C13330"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3.0</w:t>
            </w:r>
          </w:p>
        </w:tc>
      </w:tr>
      <w:tr w:rsidR="00E00304" w:rsidRPr="00164238" w14:paraId="4C452AA8" w14:textId="77777777" w:rsidTr="00E00304">
        <w:trPr>
          <w:trHeight w:val="300"/>
          <w:jc w:val="center"/>
        </w:trPr>
        <w:tc>
          <w:tcPr>
            <w:tcW w:w="2197" w:type="dxa"/>
            <w:tcBorders>
              <w:top w:val="single" w:sz="4" w:space="0" w:color="auto"/>
              <w:left w:val="single" w:sz="4" w:space="0" w:color="auto"/>
              <w:bottom w:val="single" w:sz="4" w:space="0" w:color="auto"/>
              <w:right w:val="single" w:sz="4" w:space="0" w:color="auto"/>
            </w:tcBorders>
            <w:noWrap/>
            <w:vAlign w:val="center"/>
            <w:hideMark/>
          </w:tcPr>
          <w:p w14:paraId="2A68615A" w14:textId="77777777" w:rsidR="00E00304" w:rsidRPr="00164238" w:rsidRDefault="00E00304">
            <w:pPr>
              <w:spacing w:after="0" w:line="240" w:lineRule="auto"/>
              <w:jc w:val="center"/>
              <w:rPr>
                <w:rFonts w:ascii="Times New Roman" w:eastAsia="Times New Roman" w:hAnsi="Times New Roman" w:cs="Times New Roman"/>
                <w:b/>
                <w:bCs/>
                <w:color w:val="000000" w:themeColor="text1"/>
                <w:sz w:val="20"/>
                <w:szCs w:val="20"/>
                <w:lang w:eastAsia="tr-TR"/>
              </w:rPr>
            </w:pPr>
            <w:r w:rsidRPr="00164238">
              <w:rPr>
                <w:rFonts w:ascii="Times New Roman" w:eastAsia="Times New Roman" w:hAnsi="Times New Roman" w:cs="Times New Roman"/>
                <w:b/>
                <w:bCs/>
                <w:color w:val="000000" w:themeColor="text1"/>
                <w:sz w:val="20"/>
                <w:szCs w:val="20"/>
                <w:lang w:eastAsia="tr-TR"/>
              </w:rPr>
              <w:t>France</w:t>
            </w:r>
          </w:p>
        </w:tc>
        <w:tc>
          <w:tcPr>
            <w:tcW w:w="933" w:type="dxa"/>
            <w:tcBorders>
              <w:top w:val="nil"/>
              <w:left w:val="nil"/>
              <w:bottom w:val="single" w:sz="4" w:space="0" w:color="auto"/>
              <w:right w:val="single" w:sz="4" w:space="0" w:color="auto"/>
            </w:tcBorders>
            <w:noWrap/>
            <w:vAlign w:val="center"/>
            <w:hideMark/>
          </w:tcPr>
          <w:p w14:paraId="016B7245"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5.501</w:t>
            </w:r>
          </w:p>
        </w:tc>
        <w:tc>
          <w:tcPr>
            <w:tcW w:w="933" w:type="dxa"/>
            <w:tcBorders>
              <w:top w:val="nil"/>
              <w:left w:val="nil"/>
              <w:bottom w:val="single" w:sz="4" w:space="0" w:color="auto"/>
              <w:right w:val="single" w:sz="4" w:space="0" w:color="auto"/>
            </w:tcBorders>
            <w:noWrap/>
            <w:vAlign w:val="center"/>
            <w:hideMark/>
          </w:tcPr>
          <w:p w14:paraId="120B79DD"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5.276</w:t>
            </w:r>
          </w:p>
        </w:tc>
        <w:tc>
          <w:tcPr>
            <w:tcW w:w="1273" w:type="dxa"/>
            <w:tcBorders>
              <w:top w:val="nil"/>
              <w:left w:val="nil"/>
              <w:bottom w:val="single" w:sz="4" w:space="0" w:color="auto"/>
              <w:right w:val="single" w:sz="4" w:space="0" w:color="auto"/>
            </w:tcBorders>
            <w:noWrap/>
            <w:vAlign w:val="center"/>
            <w:hideMark/>
          </w:tcPr>
          <w:p w14:paraId="5D4EE0FC"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-4.1</w:t>
            </w:r>
          </w:p>
        </w:tc>
        <w:tc>
          <w:tcPr>
            <w:tcW w:w="692" w:type="dxa"/>
            <w:tcBorders>
              <w:top w:val="nil"/>
              <w:left w:val="nil"/>
              <w:bottom w:val="single" w:sz="4" w:space="0" w:color="auto"/>
              <w:right w:val="single" w:sz="4" w:space="0" w:color="auto"/>
            </w:tcBorders>
            <w:noWrap/>
            <w:vAlign w:val="center"/>
            <w:hideMark/>
          </w:tcPr>
          <w:p w14:paraId="361A16C0"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3.7</w:t>
            </w:r>
          </w:p>
        </w:tc>
        <w:tc>
          <w:tcPr>
            <w:tcW w:w="1463" w:type="dxa"/>
            <w:tcBorders>
              <w:top w:val="nil"/>
              <w:left w:val="nil"/>
              <w:bottom w:val="single" w:sz="4" w:space="0" w:color="auto"/>
              <w:right w:val="single" w:sz="4" w:space="0" w:color="auto"/>
            </w:tcBorders>
            <w:noWrap/>
            <w:vAlign w:val="center"/>
            <w:hideMark/>
          </w:tcPr>
          <w:p w14:paraId="21E794D3"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2.8</w:t>
            </w:r>
          </w:p>
        </w:tc>
      </w:tr>
      <w:tr w:rsidR="00E00304" w:rsidRPr="00164238" w14:paraId="1DB6420C" w14:textId="77777777" w:rsidTr="00E00304">
        <w:trPr>
          <w:trHeight w:val="300"/>
          <w:jc w:val="center"/>
        </w:trPr>
        <w:tc>
          <w:tcPr>
            <w:tcW w:w="2197" w:type="dxa"/>
            <w:tcBorders>
              <w:top w:val="single" w:sz="4" w:space="0" w:color="auto"/>
              <w:left w:val="single" w:sz="4" w:space="0" w:color="auto"/>
              <w:bottom w:val="single" w:sz="4" w:space="0" w:color="auto"/>
              <w:right w:val="single" w:sz="4" w:space="0" w:color="auto"/>
            </w:tcBorders>
            <w:noWrap/>
            <w:vAlign w:val="center"/>
            <w:hideMark/>
          </w:tcPr>
          <w:p w14:paraId="14825E3A" w14:textId="77777777" w:rsidR="00E00304" w:rsidRPr="00164238" w:rsidRDefault="00E00304">
            <w:pPr>
              <w:spacing w:after="0" w:line="240" w:lineRule="auto"/>
              <w:jc w:val="center"/>
              <w:rPr>
                <w:rFonts w:ascii="Times New Roman" w:eastAsia="Times New Roman" w:hAnsi="Times New Roman" w:cs="Times New Roman"/>
                <w:b/>
                <w:bCs/>
                <w:color w:val="000000" w:themeColor="text1"/>
                <w:sz w:val="20"/>
                <w:szCs w:val="20"/>
                <w:lang w:eastAsia="tr-TR"/>
              </w:rPr>
            </w:pPr>
            <w:r w:rsidRPr="00164238">
              <w:rPr>
                <w:rFonts w:ascii="Times New Roman" w:eastAsia="Times New Roman" w:hAnsi="Times New Roman" w:cs="Times New Roman"/>
                <w:b/>
                <w:bCs/>
                <w:color w:val="000000" w:themeColor="text1"/>
                <w:sz w:val="20"/>
                <w:szCs w:val="20"/>
                <w:lang w:eastAsia="tr-TR"/>
              </w:rPr>
              <w:t>Malaysia</w:t>
            </w:r>
          </w:p>
        </w:tc>
        <w:tc>
          <w:tcPr>
            <w:tcW w:w="933" w:type="dxa"/>
            <w:tcBorders>
              <w:top w:val="nil"/>
              <w:left w:val="nil"/>
              <w:bottom w:val="single" w:sz="4" w:space="0" w:color="auto"/>
              <w:right w:val="single" w:sz="4" w:space="0" w:color="auto"/>
            </w:tcBorders>
            <w:noWrap/>
            <w:vAlign w:val="center"/>
            <w:hideMark/>
          </w:tcPr>
          <w:p w14:paraId="68659FD3"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3.816</w:t>
            </w:r>
          </w:p>
        </w:tc>
        <w:tc>
          <w:tcPr>
            <w:tcW w:w="933" w:type="dxa"/>
            <w:tcBorders>
              <w:top w:val="nil"/>
              <w:left w:val="nil"/>
              <w:bottom w:val="single" w:sz="4" w:space="0" w:color="auto"/>
              <w:right w:val="single" w:sz="4" w:space="0" w:color="auto"/>
            </w:tcBorders>
            <w:noWrap/>
            <w:vAlign w:val="center"/>
            <w:hideMark/>
          </w:tcPr>
          <w:p w14:paraId="1DB149CE"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4.440</w:t>
            </w:r>
          </w:p>
        </w:tc>
        <w:tc>
          <w:tcPr>
            <w:tcW w:w="1273" w:type="dxa"/>
            <w:tcBorders>
              <w:top w:val="nil"/>
              <w:left w:val="nil"/>
              <w:bottom w:val="single" w:sz="4" w:space="0" w:color="auto"/>
              <w:right w:val="single" w:sz="4" w:space="0" w:color="auto"/>
            </w:tcBorders>
            <w:noWrap/>
            <w:vAlign w:val="center"/>
            <w:hideMark/>
          </w:tcPr>
          <w:p w14:paraId="356929BF"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16.3</w:t>
            </w:r>
          </w:p>
        </w:tc>
        <w:tc>
          <w:tcPr>
            <w:tcW w:w="692" w:type="dxa"/>
            <w:tcBorders>
              <w:top w:val="nil"/>
              <w:left w:val="nil"/>
              <w:bottom w:val="single" w:sz="4" w:space="0" w:color="auto"/>
              <w:right w:val="single" w:sz="4" w:space="0" w:color="auto"/>
            </w:tcBorders>
            <w:noWrap/>
            <w:vAlign w:val="center"/>
            <w:hideMark/>
          </w:tcPr>
          <w:p w14:paraId="1E7349EC"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2.6</w:t>
            </w:r>
          </w:p>
        </w:tc>
        <w:tc>
          <w:tcPr>
            <w:tcW w:w="1463" w:type="dxa"/>
            <w:tcBorders>
              <w:top w:val="nil"/>
              <w:left w:val="nil"/>
              <w:bottom w:val="single" w:sz="4" w:space="0" w:color="auto"/>
              <w:right w:val="single" w:sz="4" w:space="0" w:color="auto"/>
            </w:tcBorders>
            <w:noWrap/>
            <w:vAlign w:val="center"/>
            <w:hideMark/>
          </w:tcPr>
          <w:p w14:paraId="47E7ABCA"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2.3</w:t>
            </w:r>
          </w:p>
        </w:tc>
      </w:tr>
      <w:tr w:rsidR="00E00304" w:rsidRPr="00164238" w14:paraId="38B65229" w14:textId="77777777" w:rsidTr="00E00304">
        <w:trPr>
          <w:trHeight w:val="300"/>
          <w:jc w:val="center"/>
        </w:trPr>
        <w:tc>
          <w:tcPr>
            <w:tcW w:w="2197" w:type="dxa"/>
            <w:tcBorders>
              <w:top w:val="single" w:sz="4" w:space="0" w:color="auto"/>
              <w:left w:val="single" w:sz="4" w:space="0" w:color="auto"/>
              <w:bottom w:val="single" w:sz="4" w:space="0" w:color="auto"/>
              <w:right w:val="single" w:sz="4" w:space="0" w:color="auto"/>
            </w:tcBorders>
            <w:noWrap/>
            <w:vAlign w:val="center"/>
            <w:hideMark/>
          </w:tcPr>
          <w:p w14:paraId="74107BC8" w14:textId="77777777" w:rsidR="00E00304" w:rsidRPr="00164238" w:rsidRDefault="00E00304">
            <w:pPr>
              <w:spacing w:after="0" w:line="240" w:lineRule="auto"/>
              <w:jc w:val="center"/>
              <w:rPr>
                <w:rFonts w:ascii="Times New Roman" w:eastAsia="Times New Roman" w:hAnsi="Times New Roman" w:cs="Times New Roman"/>
                <w:b/>
                <w:bCs/>
                <w:color w:val="000000" w:themeColor="text1"/>
                <w:sz w:val="20"/>
                <w:szCs w:val="20"/>
                <w:lang w:eastAsia="tr-TR"/>
              </w:rPr>
            </w:pPr>
            <w:r w:rsidRPr="00164238">
              <w:rPr>
                <w:rFonts w:ascii="Times New Roman" w:eastAsia="Times New Roman" w:hAnsi="Times New Roman" w:cs="Times New Roman"/>
                <w:b/>
                <w:bCs/>
                <w:color w:val="000000" w:themeColor="text1"/>
                <w:sz w:val="20"/>
                <w:szCs w:val="20"/>
                <w:lang w:eastAsia="tr-TR"/>
              </w:rPr>
              <w:t>Ireland</w:t>
            </w:r>
          </w:p>
        </w:tc>
        <w:tc>
          <w:tcPr>
            <w:tcW w:w="933" w:type="dxa"/>
            <w:tcBorders>
              <w:top w:val="nil"/>
              <w:left w:val="nil"/>
              <w:bottom w:val="single" w:sz="4" w:space="0" w:color="auto"/>
              <w:right w:val="single" w:sz="4" w:space="0" w:color="auto"/>
            </w:tcBorders>
            <w:noWrap/>
            <w:vAlign w:val="center"/>
            <w:hideMark/>
          </w:tcPr>
          <w:p w14:paraId="3769950D"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4.741</w:t>
            </w:r>
          </w:p>
        </w:tc>
        <w:tc>
          <w:tcPr>
            <w:tcW w:w="933" w:type="dxa"/>
            <w:tcBorders>
              <w:top w:val="nil"/>
              <w:left w:val="nil"/>
              <w:bottom w:val="single" w:sz="4" w:space="0" w:color="auto"/>
              <w:right w:val="single" w:sz="4" w:space="0" w:color="auto"/>
            </w:tcBorders>
            <w:noWrap/>
            <w:vAlign w:val="center"/>
            <w:hideMark/>
          </w:tcPr>
          <w:p w14:paraId="6887F50D"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4.204</w:t>
            </w:r>
          </w:p>
        </w:tc>
        <w:tc>
          <w:tcPr>
            <w:tcW w:w="1273" w:type="dxa"/>
            <w:tcBorders>
              <w:top w:val="nil"/>
              <w:left w:val="nil"/>
              <w:bottom w:val="single" w:sz="4" w:space="0" w:color="auto"/>
              <w:right w:val="single" w:sz="4" w:space="0" w:color="auto"/>
            </w:tcBorders>
            <w:noWrap/>
            <w:vAlign w:val="center"/>
            <w:hideMark/>
          </w:tcPr>
          <w:p w14:paraId="42D0F20D"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-11.3</w:t>
            </w:r>
          </w:p>
        </w:tc>
        <w:tc>
          <w:tcPr>
            <w:tcW w:w="692" w:type="dxa"/>
            <w:tcBorders>
              <w:top w:val="nil"/>
              <w:left w:val="nil"/>
              <w:bottom w:val="single" w:sz="4" w:space="0" w:color="auto"/>
              <w:right w:val="single" w:sz="4" w:space="0" w:color="auto"/>
            </w:tcBorders>
            <w:noWrap/>
            <w:vAlign w:val="center"/>
            <w:hideMark/>
          </w:tcPr>
          <w:p w14:paraId="64E2C000"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3.2</w:t>
            </w:r>
          </w:p>
        </w:tc>
        <w:tc>
          <w:tcPr>
            <w:tcW w:w="1463" w:type="dxa"/>
            <w:tcBorders>
              <w:top w:val="nil"/>
              <w:left w:val="nil"/>
              <w:bottom w:val="single" w:sz="4" w:space="0" w:color="auto"/>
              <w:right w:val="single" w:sz="4" w:space="0" w:color="auto"/>
            </w:tcBorders>
            <w:noWrap/>
            <w:vAlign w:val="center"/>
            <w:hideMark/>
          </w:tcPr>
          <w:p w14:paraId="69ECB3B0"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2.2</w:t>
            </w:r>
          </w:p>
        </w:tc>
      </w:tr>
      <w:tr w:rsidR="00E00304" w:rsidRPr="00164238" w14:paraId="12094AC2" w14:textId="77777777" w:rsidTr="00E00304">
        <w:trPr>
          <w:trHeight w:val="300"/>
          <w:jc w:val="center"/>
        </w:trPr>
        <w:tc>
          <w:tcPr>
            <w:tcW w:w="7491" w:type="dxa"/>
            <w:gridSpan w:val="6"/>
            <w:tcBorders>
              <w:top w:val="single" w:sz="4" w:space="0" w:color="auto"/>
              <w:left w:val="single" w:sz="4" w:space="0" w:color="auto"/>
              <w:bottom w:val="single" w:sz="4" w:space="0" w:color="auto"/>
              <w:right w:val="single" w:sz="4" w:space="0" w:color="000000"/>
            </w:tcBorders>
            <w:noWrap/>
            <w:vAlign w:val="center"/>
            <w:hideMark/>
          </w:tcPr>
          <w:p w14:paraId="457AC5F6" w14:textId="77777777" w:rsidR="00E00304" w:rsidRPr="00164238" w:rsidRDefault="00E00304">
            <w:pPr>
              <w:spacing w:after="0" w:line="240" w:lineRule="auto"/>
              <w:jc w:val="center"/>
              <w:rPr>
                <w:rFonts w:ascii="Times New Roman" w:eastAsia="Times New Roman" w:hAnsi="Times New Roman" w:cs="Times New Roman"/>
                <w:b/>
                <w:bCs/>
                <w:color w:val="000000" w:themeColor="text1"/>
                <w:sz w:val="20"/>
                <w:szCs w:val="20"/>
                <w:lang w:eastAsia="tr-TR"/>
              </w:rPr>
            </w:pPr>
            <w:r w:rsidRPr="00164238">
              <w:rPr>
                <w:rFonts w:ascii="Times New Roman" w:eastAsia="Times New Roman" w:hAnsi="Times New Roman" w:cs="Times New Roman"/>
                <w:b/>
                <w:bCs/>
                <w:color w:val="000000" w:themeColor="text1"/>
                <w:sz w:val="20"/>
                <w:szCs w:val="20"/>
                <w:lang w:eastAsia="tr-TR"/>
              </w:rPr>
              <w:t>IMPORTER COUNTRIES</w:t>
            </w:r>
          </w:p>
        </w:tc>
      </w:tr>
      <w:tr w:rsidR="00E00304" w:rsidRPr="00164238" w14:paraId="41906C24" w14:textId="77777777" w:rsidTr="00E00304">
        <w:trPr>
          <w:trHeight w:val="300"/>
          <w:jc w:val="center"/>
        </w:trPr>
        <w:tc>
          <w:tcPr>
            <w:tcW w:w="2197" w:type="dxa"/>
            <w:tcBorders>
              <w:top w:val="single" w:sz="4" w:space="0" w:color="auto"/>
              <w:left w:val="single" w:sz="4" w:space="0" w:color="auto"/>
              <w:bottom w:val="single" w:sz="4" w:space="0" w:color="auto"/>
              <w:right w:val="single" w:sz="4" w:space="0" w:color="000000"/>
            </w:tcBorders>
            <w:noWrap/>
            <w:vAlign w:val="center"/>
            <w:hideMark/>
          </w:tcPr>
          <w:p w14:paraId="0985A688" w14:textId="77777777" w:rsidR="00E00304" w:rsidRPr="00164238" w:rsidRDefault="00E00304">
            <w:pPr>
              <w:spacing w:after="0" w:line="240" w:lineRule="auto"/>
              <w:jc w:val="center"/>
              <w:rPr>
                <w:rFonts w:ascii="Times New Roman" w:eastAsia="Times New Roman" w:hAnsi="Times New Roman" w:cs="Times New Roman"/>
                <w:b/>
                <w:bCs/>
                <w:color w:val="000000" w:themeColor="text1"/>
                <w:sz w:val="20"/>
                <w:szCs w:val="20"/>
                <w:lang w:eastAsia="tr-TR"/>
              </w:rPr>
            </w:pPr>
            <w:r w:rsidRPr="00164238">
              <w:rPr>
                <w:rFonts w:ascii="Times New Roman" w:eastAsia="Times New Roman" w:hAnsi="Times New Roman" w:cs="Times New Roman"/>
                <w:b/>
                <w:bCs/>
                <w:color w:val="000000" w:themeColor="text1"/>
                <w:sz w:val="20"/>
                <w:szCs w:val="20"/>
                <w:lang w:eastAsia="tr-TR"/>
              </w:rPr>
              <w:t> </w:t>
            </w:r>
          </w:p>
        </w:tc>
        <w:tc>
          <w:tcPr>
            <w:tcW w:w="933" w:type="dxa"/>
            <w:tcBorders>
              <w:top w:val="nil"/>
              <w:left w:val="nil"/>
              <w:bottom w:val="single" w:sz="4" w:space="0" w:color="auto"/>
              <w:right w:val="single" w:sz="4" w:space="0" w:color="auto"/>
            </w:tcBorders>
            <w:noWrap/>
            <w:vAlign w:val="center"/>
            <w:hideMark/>
          </w:tcPr>
          <w:p w14:paraId="67526FC5" w14:textId="77777777" w:rsidR="00E00304" w:rsidRPr="00164238" w:rsidRDefault="00E00304">
            <w:pPr>
              <w:spacing w:after="0" w:line="240" w:lineRule="auto"/>
              <w:jc w:val="center"/>
              <w:rPr>
                <w:rFonts w:ascii="Times New Roman" w:eastAsia="Times New Roman" w:hAnsi="Times New Roman" w:cs="Times New Roman"/>
                <w:b/>
                <w:bCs/>
                <w:color w:val="000000" w:themeColor="text1"/>
                <w:sz w:val="20"/>
                <w:szCs w:val="20"/>
                <w:lang w:eastAsia="tr-TR"/>
              </w:rPr>
            </w:pPr>
            <w:r w:rsidRPr="00164238">
              <w:rPr>
                <w:rFonts w:ascii="Times New Roman" w:eastAsia="Times New Roman" w:hAnsi="Times New Roman" w:cs="Times New Roman"/>
                <w:b/>
                <w:bCs/>
                <w:color w:val="000000" w:themeColor="text1"/>
                <w:sz w:val="20"/>
                <w:szCs w:val="20"/>
                <w:lang w:eastAsia="tr-TR"/>
              </w:rPr>
              <w:t>2019</w:t>
            </w:r>
          </w:p>
        </w:tc>
        <w:tc>
          <w:tcPr>
            <w:tcW w:w="933" w:type="dxa"/>
            <w:tcBorders>
              <w:top w:val="nil"/>
              <w:left w:val="nil"/>
              <w:bottom w:val="single" w:sz="4" w:space="0" w:color="auto"/>
              <w:right w:val="single" w:sz="4" w:space="0" w:color="auto"/>
            </w:tcBorders>
            <w:noWrap/>
            <w:vAlign w:val="center"/>
            <w:hideMark/>
          </w:tcPr>
          <w:p w14:paraId="6096B387" w14:textId="77777777" w:rsidR="00E00304" w:rsidRPr="00164238" w:rsidRDefault="00E00304">
            <w:pPr>
              <w:spacing w:after="0" w:line="240" w:lineRule="auto"/>
              <w:jc w:val="center"/>
              <w:rPr>
                <w:rFonts w:ascii="Times New Roman" w:eastAsia="Times New Roman" w:hAnsi="Times New Roman" w:cs="Times New Roman"/>
                <w:b/>
                <w:bCs/>
                <w:color w:val="000000" w:themeColor="text1"/>
                <w:sz w:val="20"/>
                <w:szCs w:val="20"/>
                <w:lang w:eastAsia="tr-TR"/>
              </w:rPr>
            </w:pPr>
            <w:r w:rsidRPr="00164238">
              <w:rPr>
                <w:rFonts w:ascii="Times New Roman" w:eastAsia="Times New Roman" w:hAnsi="Times New Roman" w:cs="Times New Roman"/>
                <w:b/>
                <w:bCs/>
                <w:color w:val="000000" w:themeColor="text1"/>
                <w:sz w:val="20"/>
                <w:szCs w:val="20"/>
                <w:lang w:eastAsia="tr-TR"/>
              </w:rPr>
              <w:t>2020</w:t>
            </w:r>
          </w:p>
        </w:tc>
        <w:tc>
          <w:tcPr>
            <w:tcW w:w="1273" w:type="dxa"/>
            <w:tcBorders>
              <w:top w:val="nil"/>
              <w:left w:val="nil"/>
              <w:bottom w:val="single" w:sz="4" w:space="0" w:color="auto"/>
              <w:right w:val="single" w:sz="4" w:space="0" w:color="auto"/>
            </w:tcBorders>
            <w:noWrap/>
            <w:vAlign w:val="center"/>
            <w:hideMark/>
          </w:tcPr>
          <w:p w14:paraId="10722F84" w14:textId="77777777" w:rsidR="00E00304" w:rsidRPr="00164238" w:rsidRDefault="00E00304">
            <w:pPr>
              <w:spacing w:after="0" w:line="240" w:lineRule="auto"/>
              <w:jc w:val="center"/>
              <w:rPr>
                <w:rFonts w:ascii="Times New Roman" w:eastAsia="Times New Roman" w:hAnsi="Times New Roman" w:cs="Times New Roman"/>
                <w:b/>
                <w:bCs/>
                <w:color w:val="000000" w:themeColor="text1"/>
                <w:sz w:val="20"/>
                <w:szCs w:val="20"/>
                <w:lang w:eastAsia="tr-TR"/>
              </w:rPr>
            </w:pPr>
            <w:r w:rsidRPr="00164238">
              <w:rPr>
                <w:rFonts w:ascii="Times New Roman" w:eastAsia="Times New Roman" w:hAnsi="Times New Roman" w:cs="Times New Roman"/>
                <w:b/>
                <w:bCs/>
                <w:color w:val="000000" w:themeColor="text1"/>
                <w:sz w:val="20"/>
                <w:szCs w:val="20"/>
                <w:lang w:eastAsia="tr-TR"/>
              </w:rPr>
              <w:t>2020/19</w:t>
            </w:r>
          </w:p>
        </w:tc>
        <w:tc>
          <w:tcPr>
            <w:tcW w:w="692" w:type="dxa"/>
            <w:tcBorders>
              <w:top w:val="nil"/>
              <w:left w:val="nil"/>
              <w:bottom w:val="single" w:sz="4" w:space="0" w:color="auto"/>
              <w:right w:val="single" w:sz="4" w:space="0" w:color="auto"/>
            </w:tcBorders>
            <w:noWrap/>
            <w:vAlign w:val="center"/>
            <w:hideMark/>
          </w:tcPr>
          <w:p w14:paraId="07959CE5" w14:textId="77777777" w:rsidR="00E00304" w:rsidRPr="00164238" w:rsidRDefault="00E00304">
            <w:pPr>
              <w:spacing w:after="0" w:line="240" w:lineRule="auto"/>
              <w:jc w:val="center"/>
              <w:rPr>
                <w:rFonts w:ascii="Times New Roman" w:eastAsia="Times New Roman" w:hAnsi="Times New Roman" w:cs="Times New Roman"/>
                <w:b/>
                <w:bCs/>
                <w:color w:val="000000" w:themeColor="text1"/>
                <w:sz w:val="20"/>
                <w:szCs w:val="20"/>
                <w:lang w:eastAsia="tr-TR"/>
              </w:rPr>
            </w:pPr>
            <w:r w:rsidRPr="00164238">
              <w:rPr>
                <w:rFonts w:ascii="Times New Roman" w:eastAsia="Times New Roman" w:hAnsi="Times New Roman" w:cs="Times New Roman"/>
                <w:b/>
                <w:bCs/>
                <w:color w:val="000000" w:themeColor="text1"/>
                <w:sz w:val="20"/>
                <w:szCs w:val="20"/>
                <w:lang w:eastAsia="tr-TR"/>
              </w:rPr>
              <w:t>2019</w:t>
            </w:r>
          </w:p>
        </w:tc>
        <w:tc>
          <w:tcPr>
            <w:tcW w:w="1463" w:type="dxa"/>
            <w:tcBorders>
              <w:top w:val="nil"/>
              <w:left w:val="nil"/>
              <w:bottom w:val="single" w:sz="4" w:space="0" w:color="auto"/>
              <w:right w:val="single" w:sz="4" w:space="0" w:color="auto"/>
            </w:tcBorders>
            <w:noWrap/>
            <w:vAlign w:val="center"/>
            <w:hideMark/>
          </w:tcPr>
          <w:p w14:paraId="11B0AAAD" w14:textId="77777777" w:rsidR="00E00304" w:rsidRPr="00164238" w:rsidRDefault="00E00304">
            <w:pPr>
              <w:spacing w:after="0" w:line="240" w:lineRule="auto"/>
              <w:jc w:val="center"/>
              <w:rPr>
                <w:rFonts w:ascii="Times New Roman" w:eastAsia="Times New Roman" w:hAnsi="Times New Roman" w:cs="Times New Roman"/>
                <w:b/>
                <w:bCs/>
                <w:color w:val="000000" w:themeColor="text1"/>
                <w:sz w:val="20"/>
                <w:szCs w:val="20"/>
                <w:lang w:eastAsia="tr-TR"/>
              </w:rPr>
            </w:pPr>
            <w:r w:rsidRPr="00164238">
              <w:rPr>
                <w:rFonts w:ascii="Times New Roman" w:eastAsia="Times New Roman" w:hAnsi="Times New Roman" w:cs="Times New Roman"/>
                <w:b/>
                <w:bCs/>
                <w:color w:val="000000" w:themeColor="text1"/>
                <w:sz w:val="20"/>
                <w:szCs w:val="20"/>
                <w:lang w:eastAsia="tr-TR"/>
              </w:rPr>
              <w:t>2020</w:t>
            </w:r>
          </w:p>
        </w:tc>
      </w:tr>
      <w:tr w:rsidR="00E00304" w:rsidRPr="00164238" w14:paraId="26A55825" w14:textId="77777777" w:rsidTr="00E00304">
        <w:trPr>
          <w:trHeight w:val="300"/>
          <w:jc w:val="center"/>
        </w:trPr>
        <w:tc>
          <w:tcPr>
            <w:tcW w:w="2197" w:type="dxa"/>
            <w:tcBorders>
              <w:top w:val="single" w:sz="4" w:space="0" w:color="auto"/>
              <w:left w:val="single" w:sz="4" w:space="0" w:color="auto"/>
              <w:bottom w:val="single" w:sz="4" w:space="0" w:color="auto"/>
              <w:right w:val="single" w:sz="4" w:space="0" w:color="auto"/>
            </w:tcBorders>
            <w:noWrap/>
            <w:vAlign w:val="center"/>
            <w:hideMark/>
          </w:tcPr>
          <w:p w14:paraId="5C916AE2" w14:textId="77777777" w:rsidR="00E00304" w:rsidRPr="00164238" w:rsidRDefault="00E00304">
            <w:pPr>
              <w:spacing w:after="0" w:line="240" w:lineRule="auto"/>
              <w:jc w:val="center"/>
              <w:rPr>
                <w:rFonts w:ascii="Times New Roman" w:eastAsia="Times New Roman" w:hAnsi="Times New Roman" w:cs="Times New Roman"/>
                <w:b/>
                <w:bCs/>
                <w:color w:val="000000" w:themeColor="text1"/>
                <w:sz w:val="20"/>
                <w:szCs w:val="20"/>
                <w:lang w:eastAsia="tr-TR"/>
              </w:rPr>
            </w:pPr>
            <w:r w:rsidRPr="00164238">
              <w:rPr>
                <w:rFonts w:ascii="Times New Roman" w:eastAsia="Times New Roman" w:hAnsi="Times New Roman" w:cs="Times New Roman"/>
                <w:b/>
                <w:bCs/>
                <w:color w:val="000000" w:themeColor="text1"/>
                <w:sz w:val="20"/>
                <w:szCs w:val="20"/>
                <w:lang w:eastAsia="tr-TR"/>
              </w:rPr>
              <w:t>United States</w:t>
            </w:r>
          </w:p>
        </w:tc>
        <w:tc>
          <w:tcPr>
            <w:tcW w:w="933" w:type="dxa"/>
            <w:tcBorders>
              <w:top w:val="nil"/>
              <w:left w:val="nil"/>
              <w:bottom w:val="single" w:sz="4" w:space="0" w:color="auto"/>
              <w:right w:val="single" w:sz="4" w:space="0" w:color="auto"/>
            </w:tcBorders>
            <w:noWrap/>
            <w:vAlign w:val="center"/>
            <w:hideMark/>
          </w:tcPr>
          <w:p w14:paraId="51BE36B8"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26.801</w:t>
            </w:r>
          </w:p>
        </w:tc>
        <w:tc>
          <w:tcPr>
            <w:tcW w:w="933" w:type="dxa"/>
            <w:tcBorders>
              <w:top w:val="nil"/>
              <w:left w:val="nil"/>
              <w:bottom w:val="single" w:sz="4" w:space="0" w:color="auto"/>
              <w:right w:val="single" w:sz="4" w:space="0" w:color="auto"/>
            </w:tcBorders>
            <w:noWrap/>
            <w:vAlign w:val="center"/>
            <w:hideMark/>
          </w:tcPr>
          <w:p w14:paraId="094609CA"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36.151</w:t>
            </w:r>
          </w:p>
        </w:tc>
        <w:tc>
          <w:tcPr>
            <w:tcW w:w="1273" w:type="dxa"/>
            <w:tcBorders>
              <w:top w:val="nil"/>
              <w:left w:val="nil"/>
              <w:bottom w:val="single" w:sz="4" w:space="0" w:color="auto"/>
              <w:right w:val="single" w:sz="4" w:space="0" w:color="auto"/>
            </w:tcBorders>
            <w:noWrap/>
            <w:vAlign w:val="center"/>
            <w:hideMark/>
          </w:tcPr>
          <w:p w14:paraId="5EF22ECC"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34.9</w:t>
            </w:r>
          </w:p>
        </w:tc>
        <w:tc>
          <w:tcPr>
            <w:tcW w:w="692" w:type="dxa"/>
            <w:tcBorders>
              <w:top w:val="nil"/>
              <w:left w:val="nil"/>
              <w:bottom w:val="single" w:sz="4" w:space="0" w:color="auto"/>
              <w:right w:val="single" w:sz="4" w:space="0" w:color="auto"/>
            </w:tcBorders>
            <w:noWrap/>
            <w:vAlign w:val="center"/>
            <w:hideMark/>
          </w:tcPr>
          <w:p w14:paraId="0BFA2C97"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18.3</w:t>
            </w:r>
          </w:p>
        </w:tc>
        <w:tc>
          <w:tcPr>
            <w:tcW w:w="1463" w:type="dxa"/>
            <w:tcBorders>
              <w:top w:val="nil"/>
              <w:left w:val="nil"/>
              <w:bottom w:val="single" w:sz="4" w:space="0" w:color="auto"/>
              <w:right w:val="single" w:sz="4" w:space="0" w:color="auto"/>
            </w:tcBorders>
            <w:noWrap/>
            <w:vAlign w:val="center"/>
            <w:hideMark/>
          </w:tcPr>
          <w:p w14:paraId="178D6696"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18.9</w:t>
            </w:r>
          </w:p>
        </w:tc>
      </w:tr>
      <w:tr w:rsidR="00E00304" w:rsidRPr="00164238" w14:paraId="76059BD5" w14:textId="77777777" w:rsidTr="00E00304">
        <w:trPr>
          <w:trHeight w:val="300"/>
          <w:jc w:val="center"/>
        </w:trPr>
        <w:tc>
          <w:tcPr>
            <w:tcW w:w="2197" w:type="dxa"/>
            <w:tcBorders>
              <w:top w:val="single" w:sz="4" w:space="0" w:color="auto"/>
              <w:left w:val="single" w:sz="4" w:space="0" w:color="auto"/>
              <w:bottom w:val="single" w:sz="4" w:space="0" w:color="auto"/>
              <w:right w:val="single" w:sz="4" w:space="0" w:color="auto"/>
            </w:tcBorders>
            <w:noWrap/>
            <w:vAlign w:val="center"/>
            <w:hideMark/>
          </w:tcPr>
          <w:p w14:paraId="30333A24" w14:textId="77777777" w:rsidR="00E00304" w:rsidRPr="00164238" w:rsidRDefault="00E00304">
            <w:pPr>
              <w:spacing w:after="0" w:line="240" w:lineRule="auto"/>
              <w:jc w:val="center"/>
              <w:rPr>
                <w:rFonts w:ascii="Times New Roman" w:eastAsia="Times New Roman" w:hAnsi="Times New Roman" w:cs="Times New Roman"/>
                <w:b/>
                <w:bCs/>
                <w:color w:val="000000" w:themeColor="text1"/>
                <w:sz w:val="20"/>
                <w:szCs w:val="20"/>
                <w:lang w:eastAsia="tr-TR"/>
              </w:rPr>
            </w:pPr>
            <w:r w:rsidRPr="00164238">
              <w:rPr>
                <w:rFonts w:ascii="Times New Roman" w:eastAsia="Times New Roman" w:hAnsi="Times New Roman" w:cs="Times New Roman"/>
                <w:b/>
                <w:bCs/>
                <w:color w:val="000000" w:themeColor="text1"/>
                <w:sz w:val="20"/>
                <w:szCs w:val="20"/>
                <w:lang w:eastAsia="tr-TR"/>
              </w:rPr>
              <w:t>Germany</w:t>
            </w:r>
          </w:p>
        </w:tc>
        <w:tc>
          <w:tcPr>
            <w:tcW w:w="933" w:type="dxa"/>
            <w:tcBorders>
              <w:top w:val="nil"/>
              <w:left w:val="nil"/>
              <w:bottom w:val="single" w:sz="4" w:space="0" w:color="auto"/>
              <w:right w:val="single" w:sz="4" w:space="0" w:color="auto"/>
            </w:tcBorders>
            <w:noWrap/>
            <w:vAlign w:val="center"/>
            <w:hideMark/>
          </w:tcPr>
          <w:p w14:paraId="384A417C"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11.918</w:t>
            </w:r>
          </w:p>
        </w:tc>
        <w:tc>
          <w:tcPr>
            <w:tcW w:w="933" w:type="dxa"/>
            <w:tcBorders>
              <w:top w:val="nil"/>
              <w:left w:val="nil"/>
              <w:bottom w:val="single" w:sz="4" w:space="0" w:color="auto"/>
              <w:right w:val="single" w:sz="4" w:space="0" w:color="auto"/>
            </w:tcBorders>
            <w:noWrap/>
            <w:vAlign w:val="center"/>
            <w:hideMark/>
          </w:tcPr>
          <w:p w14:paraId="13BEF3B0"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16.753</w:t>
            </w:r>
          </w:p>
        </w:tc>
        <w:tc>
          <w:tcPr>
            <w:tcW w:w="1273" w:type="dxa"/>
            <w:tcBorders>
              <w:top w:val="nil"/>
              <w:left w:val="nil"/>
              <w:bottom w:val="single" w:sz="4" w:space="0" w:color="auto"/>
              <w:right w:val="single" w:sz="4" w:space="0" w:color="auto"/>
            </w:tcBorders>
            <w:noWrap/>
            <w:vAlign w:val="center"/>
            <w:hideMark/>
          </w:tcPr>
          <w:p w14:paraId="1F975EE9"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40.6</w:t>
            </w:r>
          </w:p>
        </w:tc>
        <w:tc>
          <w:tcPr>
            <w:tcW w:w="692" w:type="dxa"/>
            <w:tcBorders>
              <w:top w:val="nil"/>
              <w:left w:val="nil"/>
              <w:bottom w:val="single" w:sz="4" w:space="0" w:color="auto"/>
              <w:right w:val="single" w:sz="4" w:space="0" w:color="auto"/>
            </w:tcBorders>
            <w:noWrap/>
            <w:vAlign w:val="center"/>
            <w:hideMark/>
          </w:tcPr>
          <w:p w14:paraId="0D20DE6C"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8.1</w:t>
            </w:r>
          </w:p>
        </w:tc>
        <w:tc>
          <w:tcPr>
            <w:tcW w:w="1463" w:type="dxa"/>
            <w:tcBorders>
              <w:top w:val="nil"/>
              <w:left w:val="nil"/>
              <w:bottom w:val="single" w:sz="4" w:space="0" w:color="auto"/>
              <w:right w:val="single" w:sz="4" w:space="0" w:color="auto"/>
            </w:tcBorders>
            <w:noWrap/>
            <w:vAlign w:val="center"/>
            <w:hideMark/>
          </w:tcPr>
          <w:p w14:paraId="41019D8A"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8.7</w:t>
            </w:r>
          </w:p>
        </w:tc>
      </w:tr>
      <w:tr w:rsidR="00E00304" w:rsidRPr="00164238" w14:paraId="69E91DA9" w14:textId="77777777" w:rsidTr="00E00304">
        <w:trPr>
          <w:trHeight w:val="300"/>
          <w:jc w:val="center"/>
        </w:trPr>
        <w:tc>
          <w:tcPr>
            <w:tcW w:w="2197" w:type="dxa"/>
            <w:tcBorders>
              <w:top w:val="single" w:sz="4" w:space="0" w:color="auto"/>
              <w:left w:val="single" w:sz="4" w:space="0" w:color="auto"/>
              <w:bottom w:val="single" w:sz="4" w:space="0" w:color="auto"/>
              <w:right w:val="single" w:sz="4" w:space="0" w:color="auto"/>
            </w:tcBorders>
            <w:noWrap/>
            <w:vAlign w:val="center"/>
            <w:hideMark/>
          </w:tcPr>
          <w:p w14:paraId="50383F60" w14:textId="77777777" w:rsidR="00E00304" w:rsidRPr="00164238" w:rsidRDefault="00E00304">
            <w:pPr>
              <w:spacing w:after="0" w:line="240" w:lineRule="auto"/>
              <w:jc w:val="center"/>
              <w:rPr>
                <w:rFonts w:ascii="Times New Roman" w:eastAsia="Times New Roman" w:hAnsi="Times New Roman" w:cs="Times New Roman"/>
                <w:b/>
                <w:bCs/>
                <w:color w:val="000000" w:themeColor="text1"/>
                <w:sz w:val="20"/>
                <w:szCs w:val="20"/>
                <w:lang w:eastAsia="tr-TR"/>
              </w:rPr>
            </w:pPr>
            <w:r w:rsidRPr="00164238">
              <w:rPr>
                <w:rFonts w:ascii="Times New Roman" w:eastAsia="Times New Roman" w:hAnsi="Times New Roman" w:cs="Times New Roman"/>
                <w:b/>
                <w:bCs/>
                <w:color w:val="000000" w:themeColor="text1"/>
                <w:sz w:val="20"/>
                <w:szCs w:val="20"/>
                <w:lang w:eastAsia="tr-TR"/>
              </w:rPr>
              <w:t>China</w:t>
            </w:r>
          </w:p>
        </w:tc>
        <w:tc>
          <w:tcPr>
            <w:tcW w:w="933" w:type="dxa"/>
            <w:tcBorders>
              <w:top w:val="nil"/>
              <w:left w:val="nil"/>
              <w:bottom w:val="single" w:sz="4" w:space="0" w:color="auto"/>
              <w:right w:val="single" w:sz="4" w:space="0" w:color="auto"/>
            </w:tcBorders>
            <w:noWrap/>
            <w:vAlign w:val="center"/>
            <w:hideMark/>
          </w:tcPr>
          <w:p w14:paraId="18E42F9A"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9.965</w:t>
            </w:r>
          </w:p>
        </w:tc>
        <w:tc>
          <w:tcPr>
            <w:tcW w:w="933" w:type="dxa"/>
            <w:tcBorders>
              <w:top w:val="nil"/>
              <w:left w:val="nil"/>
              <w:bottom w:val="single" w:sz="4" w:space="0" w:color="auto"/>
              <w:right w:val="single" w:sz="4" w:space="0" w:color="auto"/>
            </w:tcBorders>
            <w:noWrap/>
            <w:vAlign w:val="center"/>
            <w:hideMark/>
          </w:tcPr>
          <w:p w14:paraId="0502E5BD"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11.818</w:t>
            </w:r>
          </w:p>
        </w:tc>
        <w:tc>
          <w:tcPr>
            <w:tcW w:w="1273" w:type="dxa"/>
            <w:tcBorders>
              <w:top w:val="nil"/>
              <w:left w:val="nil"/>
              <w:bottom w:val="single" w:sz="4" w:space="0" w:color="auto"/>
              <w:right w:val="single" w:sz="4" w:space="0" w:color="auto"/>
            </w:tcBorders>
            <w:noWrap/>
            <w:vAlign w:val="center"/>
            <w:hideMark/>
          </w:tcPr>
          <w:p w14:paraId="5B343F60"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18.6</w:t>
            </w:r>
          </w:p>
        </w:tc>
        <w:tc>
          <w:tcPr>
            <w:tcW w:w="692" w:type="dxa"/>
            <w:tcBorders>
              <w:top w:val="nil"/>
              <w:left w:val="nil"/>
              <w:bottom w:val="single" w:sz="4" w:space="0" w:color="auto"/>
              <w:right w:val="single" w:sz="4" w:space="0" w:color="auto"/>
            </w:tcBorders>
            <w:noWrap/>
            <w:vAlign w:val="center"/>
            <w:hideMark/>
          </w:tcPr>
          <w:p w14:paraId="7E703D28"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6.8</w:t>
            </w:r>
          </w:p>
        </w:tc>
        <w:tc>
          <w:tcPr>
            <w:tcW w:w="1463" w:type="dxa"/>
            <w:tcBorders>
              <w:top w:val="nil"/>
              <w:left w:val="nil"/>
              <w:bottom w:val="single" w:sz="4" w:space="0" w:color="auto"/>
              <w:right w:val="single" w:sz="4" w:space="0" w:color="auto"/>
            </w:tcBorders>
            <w:noWrap/>
            <w:vAlign w:val="center"/>
            <w:hideMark/>
          </w:tcPr>
          <w:p w14:paraId="32E72E54"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6.2</w:t>
            </w:r>
          </w:p>
        </w:tc>
      </w:tr>
      <w:tr w:rsidR="00E00304" w:rsidRPr="00164238" w14:paraId="289276AF" w14:textId="77777777" w:rsidTr="00E00304">
        <w:trPr>
          <w:trHeight w:val="300"/>
          <w:jc w:val="center"/>
        </w:trPr>
        <w:tc>
          <w:tcPr>
            <w:tcW w:w="2197" w:type="dxa"/>
            <w:tcBorders>
              <w:top w:val="single" w:sz="4" w:space="0" w:color="auto"/>
              <w:left w:val="single" w:sz="4" w:space="0" w:color="auto"/>
              <w:bottom w:val="single" w:sz="4" w:space="0" w:color="auto"/>
              <w:right w:val="single" w:sz="4" w:space="0" w:color="auto"/>
            </w:tcBorders>
            <w:noWrap/>
            <w:vAlign w:val="center"/>
            <w:hideMark/>
          </w:tcPr>
          <w:p w14:paraId="2F23D1BC" w14:textId="77777777" w:rsidR="00E00304" w:rsidRPr="00164238" w:rsidRDefault="00E00304">
            <w:pPr>
              <w:spacing w:after="0" w:line="240" w:lineRule="auto"/>
              <w:jc w:val="center"/>
              <w:rPr>
                <w:rFonts w:ascii="Times New Roman" w:eastAsia="Times New Roman" w:hAnsi="Times New Roman" w:cs="Times New Roman"/>
                <w:b/>
                <w:bCs/>
                <w:color w:val="000000" w:themeColor="text1"/>
                <w:sz w:val="20"/>
                <w:szCs w:val="20"/>
                <w:lang w:eastAsia="tr-TR"/>
              </w:rPr>
            </w:pPr>
            <w:r w:rsidRPr="00164238">
              <w:rPr>
                <w:rFonts w:ascii="Times New Roman" w:eastAsia="Times New Roman" w:hAnsi="Times New Roman" w:cs="Times New Roman"/>
                <w:b/>
                <w:bCs/>
                <w:color w:val="000000" w:themeColor="text1"/>
                <w:sz w:val="20"/>
                <w:szCs w:val="20"/>
                <w:lang w:eastAsia="tr-TR"/>
              </w:rPr>
              <w:t>France</w:t>
            </w:r>
          </w:p>
        </w:tc>
        <w:tc>
          <w:tcPr>
            <w:tcW w:w="933" w:type="dxa"/>
            <w:tcBorders>
              <w:top w:val="nil"/>
              <w:left w:val="nil"/>
              <w:bottom w:val="single" w:sz="4" w:space="0" w:color="auto"/>
              <w:right w:val="single" w:sz="4" w:space="0" w:color="auto"/>
            </w:tcBorders>
            <w:noWrap/>
            <w:vAlign w:val="center"/>
            <w:hideMark/>
          </w:tcPr>
          <w:p w14:paraId="0C31DE02"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6.323</w:t>
            </w:r>
          </w:p>
        </w:tc>
        <w:tc>
          <w:tcPr>
            <w:tcW w:w="933" w:type="dxa"/>
            <w:tcBorders>
              <w:top w:val="nil"/>
              <w:left w:val="nil"/>
              <w:bottom w:val="single" w:sz="4" w:space="0" w:color="auto"/>
              <w:right w:val="single" w:sz="4" w:space="0" w:color="auto"/>
            </w:tcBorders>
            <w:noWrap/>
            <w:vAlign w:val="center"/>
            <w:hideMark/>
          </w:tcPr>
          <w:p w14:paraId="701EBBDB"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10.240</w:t>
            </w:r>
          </w:p>
        </w:tc>
        <w:tc>
          <w:tcPr>
            <w:tcW w:w="1273" w:type="dxa"/>
            <w:tcBorders>
              <w:top w:val="nil"/>
              <w:left w:val="nil"/>
              <w:bottom w:val="single" w:sz="4" w:space="0" w:color="auto"/>
              <w:right w:val="single" w:sz="4" w:space="0" w:color="auto"/>
            </w:tcBorders>
            <w:noWrap/>
            <w:vAlign w:val="center"/>
            <w:hideMark/>
          </w:tcPr>
          <w:p w14:paraId="6619A52F"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61.9</w:t>
            </w:r>
          </w:p>
        </w:tc>
        <w:tc>
          <w:tcPr>
            <w:tcW w:w="692" w:type="dxa"/>
            <w:tcBorders>
              <w:top w:val="nil"/>
              <w:left w:val="nil"/>
              <w:bottom w:val="single" w:sz="4" w:space="0" w:color="auto"/>
              <w:right w:val="single" w:sz="4" w:space="0" w:color="auto"/>
            </w:tcBorders>
            <w:noWrap/>
            <w:vAlign w:val="center"/>
            <w:hideMark/>
          </w:tcPr>
          <w:p w14:paraId="00E2FA2F"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4.3</w:t>
            </w:r>
          </w:p>
        </w:tc>
        <w:tc>
          <w:tcPr>
            <w:tcW w:w="1463" w:type="dxa"/>
            <w:tcBorders>
              <w:top w:val="nil"/>
              <w:left w:val="nil"/>
              <w:bottom w:val="single" w:sz="4" w:space="0" w:color="auto"/>
              <w:right w:val="single" w:sz="4" w:space="0" w:color="auto"/>
            </w:tcBorders>
            <w:noWrap/>
            <w:vAlign w:val="center"/>
            <w:hideMark/>
          </w:tcPr>
          <w:p w14:paraId="1EA48517"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5.3</w:t>
            </w:r>
          </w:p>
        </w:tc>
      </w:tr>
      <w:tr w:rsidR="00E00304" w:rsidRPr="00164238" w14:paraId="5D4B5DA3" w14:textId="77777777" w:rsidTr="00E00304">
        <w:trPr>
          <w:trHeight w:val="300"/>
          <w:jc w:val="center"/>
        </w:trPr>
        <w:tc>
          <w:tcPr>
            <w:tcW w:w="2197" w:type="dxa"/>
            <w:tcBorders>
              <w:top w:val="single" w:sz="4" w:space="0" w:color="auto"/>
              <w:left w:val="single" w:sz="4" w:space="0" w:color="auto"/>
              <w:bottom w:val="single" w:sz="4" w:space="0" w:color="auto"/>
              <w:right w:val="single" w:sz="4" w:space="0" w:color="auto"/>
            </w:tcBorders>
            <w:noWrap/>
            <w:vAlign w:val="center"/>
            <w:hideMark/>
          </w:tcPr>
          <w:p w14:paraId="15DFE6D0" w14:textId="77777777" w:rsidR="00E00304" w:rsidRPr="00164238" w:rsidRDefault="00E00304">
            <w:pPr>
              <w:spacing w:after="0" w:line="240" w:lineRule="auto"/>
              <w:jc w:val="center"/>
              <w:rPr>
                <w:rFonts w:ascii="Times New Roman" w:eastAsia="Times New Roman" w:hAnsi="Times New Roman" w:cs="Times New Roman"/>
                <w:b/>
                <w:bCs/>
                <w:color w:val="000000" w:themeColor="text1"/>
                <w:sz w:val="20"/>
                <w:szCs w:val="20"/>
                <w:lang w:eastAsia="tr-TR"/>
              </w:rPr>
            </w:pPr>
            <w:r w:rsidRPr="00164238">
              <w:rPr>
                <w:rFonts w:ascii="Times New Roman" w:eastAsia="Times New Roman" w:hAnsi="Times New Roman" w:cs="Times New Roman"/>
                <w:b/>
                <w:bCs/>
                <w:color w:val="000000" w:themeColor="text1"/>
                <w:sz w:val="20"/>
                <w:szCs w:val="20"/>
                <w:lang w:eastAsia="tr-TR"/>
              </w:rPr>
              <w:t>Japan</w:t>
            </w:r>
          </w:p>
        </w:tc>
        <w:tc>
          <w:tcPr>
            <w:tcW w:w="933" w:type="dxa"/>
            <w:tcBorders>
              <w:top w:val="nil"/>
              <w:left w:val="nil"/>
              <w:bottom w:val="single" w:sz="4" w:space="0" w:color="auto"/>
              <w:right w:val="single" w:sz="4" w:space="0" w:color="auto"/>
            </w:tcBorders>
            <w:noWrap/>
            <w:vAlign w:val="center"/>
            <w:hideMark/>
          </w:tcPr>
          <w:p w14:paraId="49A6837B"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7.037</w:t>
            </w:r>
          </w:p>
        </w:tc>
        <w:tc>
          <w:tcPr>
            <w:tcW w:w="933" w:type="dxa"/>
            <w:tcBorders>
              <w:top w:val="nil"/>
              <w:left w:val="nil"/>
              <w:bottom w:val="single" w:sz="4" w:space="0" w:color="auto"/>
              <w:right w:val="single" w:sz="4" w:space="0" w:color="auto"/>
            </w:tcBorders>
            <w:noWrap/>
            <w:vAlign w:val="center"/>
            <w:hideMark/>
          </w:tcPr>
          <w:p w14:paraId="140ED393"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9.957</w:t>
            </w:r>
          </w:p>
        </w:tc>
        <w:tc>
          <w:tcPr>
            <w:tcW w:w="1273" w:type="dxa"/>
            <w:tcBorders>
              <w:top w:val="nil"/>
              <w:left w:val="nil"/>
              <w:bottom w:val="single" w:sz="4" w:space="0" w:color="auto"/>
              <w:right w:val="single" w:sz="4" w:space="0" w:color="auto"/>
            </w:tcBorders>
            <w:noWrap/>
            <w:vAlign w:val="center"/>
            <w:hideMark/>
          </w:tcPr>
          <w:p w14:paraId="17D76DF2"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41.5</w:t>
            </w:r>
          </w:p>
        </w:tc>
        <w:tc>
          <w:tcPr>
            <w:tcW w:w="692" w:type="dxa"/>
            <w:tcBorders>
              <w:top w:val="nil"/>
              <w:left w:val="nil"/>
              <w:bottom w:val="single" w:sz="4" w:space="0" w:color="auto"/>
              <w:right w:val="single" w:sz="4" w:space="0" w:color="auto"/>
            </w:tcBorders>
            <w:noWrap/>
            <w:vAlign w:val="center"/>
            <w:hideMark/>
          </w:tcPr>
          <w:p w14:paraId="3EA19197"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4.8</w:t>
            </w:r>
          </w:p>
        </w:tc>
        <w:tc>
          <w:tcPr>
            <w:tcW w:w="1463" w:type="dxa"/>
            <w:tcBorders>
              <w:top w:val="nil"/>
              <w:left w:val="nil"/>
              <w:bottom w:val="single" w:sz="4" w:space="0" w:color="auto"/>
              <w:right w:val="single" w:sz="4" w:space="0" w:color="auto"/>
            </w:tcBorders>
            <w:noWrap/>
            <w:vAlign w:val="center"/>
            <w:hideMark/>
          </w:tcPr>
          <w:p w14:paraId="575B1BEE"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5.2</w:t>
            </w:r>
          </w:p>
        </w:tc>
      </w:tr>
      <w:tr w:rsidR="00E00304" w:rsidRPr="00164238" w14:paraId="31C5FD1D" w14:textId="77777777" w:rsidTr="00E00304">
        <w:trPr>
          <w:trHeight w:val="300"/>
          <w:jc w:val="center"/>
        </w:trPr>
        <w:tc>
          <w:tcPr>
            <w:tcW w:w="2197" w:type="dxa"/>
            <w:tcBorders>
              <w:top w:val="single" w:sz="4" w:space="0" w:color="auto"/>
              <w:left w:val="single" w:sz="4" w:space="0" w:color="auto"/>
              <w:bottom w:val="single" w:sz="4" w:space="0" w:color="auto"/>
              <w:right w:val="single" w:sz="4" w:space="0" w:color="auto"/>
            </w:tcBorders>
            <w:noWrap/>
            <w:vAlign w:val="center"/>
            <w:hideMark/>
          </w:tcPr>
          <w:p w14:paraId="2F5430CD" w14:textId="77777777" w:rsidR="00E00304" w:rsidRPr="00164238" w:rsidRDefault="00E00304">
            <w:pPr>
              <w:spacing w:after="0" w:line="240" w:lineRule="auto"/>
              <w:jc w:val="center"/>
              <w:rPr>
                <w:rFonts w:ascii="Times New Roman" w:eastAsia="Times New Roman" w:hAnsi="Times New Roman" w:cs="Times New Roman"/>
                <w:b/>
                <w:bCs/>
                <w:color w:val="000000" w:themeColor="text1"/>
                <w:sz w:val="20"/>
                <w:szCs w:val="20"/>
                <w:lang w:eastAsia="tr-TR"/>
              </w:rPr>
            </w:pPr>
            <w:r w:rsidRPr="00164238">
              <w:rPr>
                <w:rFonts w:ascii="Times New Roman" w:eastAsia="Times New Roman" w:hAnsi="Times New Roman" w:cs="Times New Roman"/>
                <w:b/>
                <w:bCs/>
                <w:color w:val="000000" w:themeColor="text1"/>
                <w:sz w:val="20"/>
                <w:szCs w:val="20"/>
                <w:lang w:eastAsia="tr-TR"/>
              </w:rPr>
              <w:t>Netherlands</w:t>
            </w:r>
          </w:p>
        </w:tc>
        <w:tc>
          <w:tcPr>
            <w:tcW w:w="933" w:type="dxa"/>
            <w:tcBorders>
              <w:top w:val="nil"/>
              <w:left w:val="nil"/>
              <w:bottom w:val="single" w:sz="4" w:space="0" w:color="auto"/>
              <w:right w:val="single" w:sz="4" w:space="0" w:color="auto"/>
            </w:tcBorders>
            <w:noWrap/>
            <w:vAlign w:val="center"/>
            <w:hideMark/>
          </w:tcPr>
          <w:p w14:paraId="4BE0E23E"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7.952</w:t>
            </w:r>
          </w:p>
        </w:tc>
        <w:tc>
          <w:tcPr>
            <w:tcW w:w="933" w:type="dxa"/>
            <w:tcBorders>
              <w:top w:val="nil"/>
              <w:left w:val="nil"/>
              <w:bottom w:val="single" w:sz="4" w:space="0" w:color="auto"/>
              <w:right w:val="single" w:sz="4" w:space="0" w:color="auto"/>
            </w:tcBorders>
            <w:noWrap/>
            <w:vAlign w:val="center"/>
            <w:hideMark/>
          </w:tcPr>
          <w:p w14:paraId="0D544017"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8.681</w:t>
            </w:r>
          </w:p>
        </w:tc>
        <w:tc>
          <w:tcPr>
            <w:tcW w:w="1273" w:type="dxa"/>
            <w:tcBorders>
              <w:top w:val="nil"/>
              <w:left w:val="nil"/>
              <w:bottom w:val="single" w:sz="4" w:space="0" w:color="auto"/>
              <w:right w:val="single" w:sz="4" w:space="0" w:color="auto"/>
            </w:tcBorders>
            <w:noWrap/>
            <w:vAlign w:val="center"/>
            <w:hideMark/>
          </w:tcPr>
          <w:p w14:paraId="742B647B"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9.2</w:t>
            </w:r>
          </w:p>
        </w:tc>
        <w:tc>
          <w:tcPr>
            <w:tcW w:w="692" w:type="dxa"/>
            <w:tcBorders>
              <w:top w:val="nil"/>
              <w:left w:val="nil"/>
              <w:bottom w:val="single" w:sz="4" w:space="0" w:color="auto"/>
              <w:right w:val="single" w:sz="4" w:space="0" w:color="auto"/>
            </w:tcBorders>
            <w:noWrap/>
            <w:vAlign w:val="center"/>
            <w:hideMark/>
          </w:tcPr>
          <w:p w14:paraId="3FBAB061"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5.4</w:t>
            </w:r>
          </w:p>
        </w:tc>
        <w:tc>
          <w:tcPr>
            <w:tcW w:w="1463" w:type="dxa"/>
            <w:tcBorders>
              <w:top w:val="nil"/>
              <w:left w:val="nil"/>
              <w:bottom w:val="single" w:sz="4" w:space="0" w:color="auto"/>
              <w:right w:val="single" w:sz="4" w:space="0" w:color="auto"/>
            </w:tcBorders>
            <w:noWrap/>
            <w:vAlign w:val="center"/>
            <w:hideMark/>
          </w:tcPr>
          <w:p w14:paraId="780D5014"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4.5</w:t>
            </w:r>
          </w:p>
        </w:tc>
      </w:tr>
      <w:tr w:rsidR="00E00304" w:rsidRPr="00164238" w14:paraId="256ACC9A" w14:textId="77777777" w:rsidTr="00E00304">
        <w:trPr>
          <w:trHeight w:val="300"/>
          <w:jc w:val="center"/>
        </w:trPr>
        <w:tc>
          <w:tcPr>
            <w:tcW w:w="2197" w:type="dxa"/>
            <w:tcBorders>
              <w:top w:val="single" w:sz="4" w:space="0" w:color="auto"/>
              <w:left w:val="single" w:sz="4" w:space="0" w:color="auto"/>
              <w:bottom w:val="single" w:sz="4" w:space="0" w:color="auto"/>
              <w:right w:val="single" w:sz="4" w:space="0" w:color="auto"/>
            </w:tcBorders>
            <w:noWrap/>
            <w:vAlign w:val="center"/>
            <w:hideMark/>
          </w:tcPr>
          <w:p w14:paraId="138C001A" w14:textId="77777777" w:rsidR="00E00304" w:rsidRPr="00164238" w:rsidRDefault="00E00304">
            <w:pPr>
              <w:spacing w:after="0" w:line="240" w:lineRule="auto"/>
              <w:jc w:val="center"/>
              <w:rPr>
                <w:rFonts w:ascii="Times New Roman" w:eastAsia="Times New Roman" w:hAnsi="Times New Roman" w:cs="Times New Roman"/>
                <w:b/>
                <w:bCs/>
                <w:color w:val="000000" w:themeColor="text1"/>
                <w:sz w:val="20"/>
                <w:szCs w:val="20"/>
                <w:lang w:eastAsia="tr-TR"/>
              </w:rPr>
            </w:pPr>
            <w:r w:rsidRPr="00164238">
              <w:rPr>
                <w:rFonts w:ascii="Times New Roman" w:eastAsia="Times New Roman" w:hAnsi="Times New Roman" w:cs="Times New Roman"/>
                <w:b/>
                <w:bCs/>
                <w:color w:val="000000" w:themeColor="text1"/>
                <w:sz w:val="20"/>
                <w:szCs w:val="20"/>
                <w:lang w:eastAsia="tr-TR"/>
              </w:rPr>
              <w:t>United Kingdom</w:t>
            </w:r>
          </w:p>
        </w:tc>
        <w:tc>
          <w:tcPr>
            <w:tcW w:w="933" w:type="dxa"/>
            <w:tcBorders>
              <w:top w:val="nil"/>
              <w:left w:val="nil"/>
              <w:bottom w:val="single" w:sz="4" w:space="0" w:color="auto"/>
              <w:right w:val="single" w:sz="4" w:space="0" w:color="auto"/>
            </w:tcBorders>
            <w:noWrap/>
            <w:vAlign w:val="center"/>
            <w:hideMark/>
          </w:tcPr>
          <w:p w14:paraId="7CECB29E"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5.504</w:t>
            </w:r>
          </w:p>
        </w:tc>
        <w:tc>
          <w:tcPr>
            <w:tcW w:w="933" w:type="dxa"/>
            <w:tcBorders>
              <w:top w:val="nil"/>
              <w:left w:val="nil"/>
              <w:bottom w:val="single" w:sz="4" w:space="0" w:color="auto"/>
              <w:right w:val="single" w:sz="4" w:space="0" w:color="auto"/>
            </w:tcBorders>
            <w:noWrap/>
            <w:vAlign w:val="center"/>
            <w:hideMark/>
          </w:tcPr>
          <w:p w14:paraId="1F8D5B0D"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7.188</w:t>
            </w:r>
          </w:p>
        </w:tc>
        <w:tc>
          <w:tcPr>
            <w:tcW w:w="1273" w:type="dxa"/>
            <w:tcBorders>
              <w:top w:val="nil"/>
              <w:left w:val="nil"/>
              <w:bottom w:val="single" w:sz="4" w:space="0" w:color="auto"/>
              <w:right w:val="single" w:sz="4" w:space="0" w:color="auto"/>
            </w:tcBorders>
            <w:noWrap/>
            <w:vAlign w:val="center"/>
            <w:hideMark/>
          </w:tcPr>
          <w:p w14:paraId="0CEABABF"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30.6</w:t>
            </w:r>
          </w:p>
        </w:tc>
        <w:tc>
          <w:tcPr>
            <w:tcW w:w="692" w:type="dxa"/>
            <w:tcBorders>
              <w:top w:val="nil"/>
              <w:left w:val="nil"/>
              <w:bottom w:val="single" w:sz="4" w:space="0" w:color="auto"/>
              <w:right w:val="single" w:sz="4" w:space="0" w:color="auto"/>
            </w:tcBorders>
            <w:noWrap/>
            <w:vAlign w:val="center"/>
            <w:hideMark/>
          </w:tcPr>
          <w:p w14:paraId="240AEDA2"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3.8</w:t>
            </w:r>
          </w:p>
        </w:tc>
        <w:tc>
          <w:tcPr>
            <w:tcW w:w="1463" w:type="dxa"/>
            <w:tcBorders>
              <w:top w:val="nil"/>
              <w:left w:val="nil"/>
              <w:bottom w:val="single" w:sz="4" w:space="0" w:color="auto"/>
              <w:right w:val="single" w:sz="4" w:space="0" w:color="auto"/>
            </w:tcBorders>
            <w:noWrap/>
            <w:vAlign w:val="center"/>
            <w:hideMark/>
          </w:tcPr>
          <w:p w14:paraId="524B14D3"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3.7</w:t>
            </w:r>
          </w:p>
        </w:tc>
      </w:tr>
      <w:tr w:rsidR="00E00304" w:rsidRPr="00164238" w14:paraId="2F9393FE" w14:textId="77777777" w:rsidTr="00E00304">
        <w:trPr>
          <w:trHeight w:val="300"/>
          <w:jc w:val="center"/>
        </w:trPr>
        <w:tc>
          <w:tcPr>
            <w:tcW w:w="2197" w:type="dxa"/>
            <w:tcBorders>
              <w:top w:val="single" w:sz="4" w:space="0" w:color="auto"/>
              <w:left w:val="single" w:sz="4" w:space="0" w:color="auto"/>
              <w:bottom w:val="single" w:sz="4" w:space="0" w:color="auto"/>
              <w:right w:val="single" w:sz="4" w:space="0" w:color="auto"/>
            </w:tcBorders>
            <w:noWrap/>
            <w:vAlign w:val="center"/>
            <w:hideMark/>
          </w:tcPr>
          <w:p w14:paraId="0D3803A5" w14:textId="77777777" w:rsidR="00E00304" w:rsidRPr="00164238" w:rsidRDefault="00E00304">
            <w:pPr>
              <w:spacing w:after="0" w:line="240" w:lineRule="auto"/>
              <w:jc w:val="center"/>
              <w:rPr>
                <w:rFonts w:ascii="Times New Roman" w:eastAsia="Times New Roman" w:hAnsi="Times New Roman" w:cs="Times New Roman"/>
                <w:b/>
                <w:bCs/>
                <w:color w:val="000000" w:themeColor="text1"/>
                <w:sz w:val="20"/>
                <w:szCs w:val="20"/>
                <w:lang w:eastAsia="tr-TR"/>
              </w:rPr>
            </w:pPr>
            <w:r w:rsidRPr="00164238">
              <w:rPr>
                <w:rFonts w:ascii="Times New Roman" w:eastAsia="Times New Roman" w:hAnsi="Times New Roman" w:cs="Times New Roman"/>
                <w:b/>
                <w:bCs/>
                <w:color w:val="000000" w:themeColor="text1"/>
                <w:sz w:val="20"/>
                <w:szCs w:val="20"/>
                <w:lang w:eastAsia="tr-TR"/>
              </w:rPr>
              <w:t>Italy</w:t>
            </w:r>
          </w:p>
        </w:tc>
        <w:tc>
          <w:tcPr>
            <w:tcW w:w="933" w:type="dxa"/>
            <w:tcBorders>
              <w:top w:val="nil"/>
              <w:left w:val="nil"/>
              <w:bottom w:val="single" w:sz="4" w:space="0" w:color="auto"/>
              <w:right w:val="single" w:sz="4" w:space="0" w:color="auto"/>
            </w:tcBorders>
            <w:noWrap/>
            <w:vAlign w:val="center"/>
            <w:hideMark/>
          </w:tcPr>
          <w:p w14:paraId="38F0804C"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3.880</w:t>
            </w:r>
          </w:p>
        </w:tc>
        <w:tc>
          <w:tcPr>
            <w:tcW w:w="933" w:type="dxa"/>
            <w:tcBorders>
              <w:top w:val="nil"/>
              <w:left w:val="nil"/>
              <w:bottom w:val="single" w:sz="4" w:space="0" w:color="auto"/>
              <w:right w:val="single" w:sz="4" w:space="0" w:color="auto"/>
            </w:tcBorders>
            <w:noWrap/>
            <w:vAlign w:val="center"/>
            <w:hideMark/>
          </w:tcPr>
          <w:p w14:paraId="7D76B5A7"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5.879</w:t>
            </w:r>
          </w:p>
        </w:tc>
        <w:tc>
          <w:tcPr>
            <w:tcW w:w="1273" w:type="dxa"/>
            <w:tcBorders>
              <w:top w:val="nil"/>
              <w:left w:val="nil"/>
              <w:bottom w:val="single" w:sz="4" w:space="0" w:color="auto"/>
              <w:right w:val="single" w:sz="4" w:space="0" w:color="auto"/>
            </w:tcBorders>
            <w:noWrap/>
            <w:vAlign w:val="center"/>
            <w:hideMark/>
          </w:tcPr>
          <w:p w14:paraId="4E23C3E6"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51.5</w:t>
            </w:r>
          </w:p>
        </w:tc>
        <w:tc>
          <w:tcPr>
            <w:tcW w:w="692" w:type="dxa"/>
            <w:tcBorders>
              <w:top w:val="nil"/>
              <w:left w:val="nil"/>
              <w:bottom w:val="single" w:sz="4" w:space="0" w:color="auto"/>
              <w:right w:val="single" w:sz="4" w:space="0" w:color="auto"/>
            </w:tcBorders>
            <w:noWrap/>
            <w:vAlign w:val="center"/>
            <w:hideMark/>
          </w:tcPr>
          <w:p w14:paraId="4D1F2EB0"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2.6</w:t>
            </w:r>
          </w:p>
        </w:tc>
        <w:tc>
          <w:tcPr>
            <w:tcW w:w="1463" w:type="dxa"/>
            <w:tcBorders>
              <w:top w:val="nil"/>
              <w:left w:val="nil"/>
              <w:bottom w:val="single" w:sz="4" w:space="0" w:color="auto"/>
              <w:right w:val="single" w:sz="4" w:space="0" w:color="auto"/>
            </w:tcBorders>
            <w:noWrap/>
            <w:vAlign w:val="center"/>
            <w:hideMark/>
          </w:tcPr>
          <w:p w14:paraId="404EF180"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3.1</w:t>
            </w:r>
          </w:p>
        </w:tc>
      </w:tr>
      <w:tr w:rsidR="00E00304" w:rsidRPr="00164238" w14:paraId="21924664" w14:textId="77777777" w:rsidTr="00E00304">
        <w:trPr>
          <w:trHeight w:val="300"/>
          <w:jc w:val="center"/>
        </w:trPr>
        <w:tc>
          <w:tcPr>
            <w:tcW w:w="2197" w:type="dxa"/>
            <w:tcBorders>
              <w:top w:val="single" w:sz="4" w:space="0" w:color="auto"/>
              <w:left w:val="single" w:sz="4" w:space="0" w:color="auto"/>
              <w:bottom w:val="single" w:sz="4" w:space="0" w:color="auto"/>
              <w:right w:val="single" w:sz="4" w:space="0" w:color="auto"/>
            </w:tcBorders>
            <w:noWrap/>
            <w:vAlign w:val="center"/>
            <w:hideMark/>
          </w:tcPr>
          <w:p w14:paraId="4BA13E9B" w14:textId="77777777" w:rsidR="00E00304" w:rsidRPr="00164238" w:rsidRDefault="00E00304">
            <w:pPr>
              <w:spacing w:after="0" w:line="240" w:lineRule="auto"/>
              <w:jc w:val="center"/>
              <w:rPr>
                <w:rFonts w:ascii="Times New Roman" w:eastAsia="Times New Roman" w:hAnsi="Times New Roman" w:cs="Times New Roman"/>
                <w:b/>
                <w:bCs/>
                <w:color w:val="000000" w:themeColor="text1"/>
                <w:sz w:val="20"/>
                <w:szCs w:val="20"/>
                <w:lang w:eastAsia="tr-TR"/>
              </w:rPr>
            </w:pPr>
            <w:r w:rsidRPr="00164238">
              <w:rPr>
                <w:rFonts w:ascii="Times New Roman" w:eastAsia="Times New Roman" w:hAnsi="Times New Roman" w:cs="Times New Roman"/>
                <w:b/>
                <w:bCs/>
                <w:color w:val="000000" w:themeColor="text1"/>
                <w:sz w:val="20"/>
                <w:szCs w:val="20"/>
                <w:lang w:eastAsia="tr-TR"/>
              </w:rPr>
              <w:t>Canada</w:t>
            </w:r>
          </w:p>
        </w:tc>
        <w:tc>
          <w:tcPr>
            <w:tcW w:w="933" w:type="dxa"/>
            <w:tcBorders>
              <w:top w:val="nil"/>
              <w:left w:val="nil"/>
              <w:bottom w:val="single" w:sz="4" w:space="0" w:color="auto"/>
              <w:right w:val="single" w:sz="4" w:space="0" w:color="auto"/>
            </w:tcBorders>
            <w:noWrap/>
            <w:vAlign w:val="center"/>
            <w:hideMark/>
          </w:tcPr>
          <w:p w14:paraId="03EB9728"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4.015</w:t>
            </w:r>
          </w:p>
        </w:tc>
        <w:tc>
          <w:tcPr>
            <w:tcW w:w="933" w:type="dxa"/>
            <w:tcBorders>
              <w:top w:val="nil"/>
              <w:left w:val="nil"/>
              <w:bottom w:val="single" w:sz="4" w:space="0" w:color="auto"/>
              <w:right w:val="single" w:sz="4" w:space="0" w:color="auto"/>
            </w:tcBorders>
            <w:noWrap/>
            <w:vAlign w:val="center"/>
            <w:hideMark/>
          </w:tcPr>
          <w:p w14:paraId="00127AA7"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5.509</w:t>
            </w:r>
          </w:p>
        </w:tc>
        <w:tc>
          <w:tcPr>
            <w:tcW w:w="1273" w:type="dxa"/>
            <w:tcBorders>
              <w:top w:val="nil"/>
              <w:left w:val="nil"/>
              <w:bottom w:val="single" w:sz="4" w:space="0" w:color="auto"/>
              <w:right w:val="single" w:sz="4" w:space="0" w:color="auto"/>
            </w:tcBorders>
            <w:noWrap/>
            <w:vAlign w:val="center"/>
            <w:hideMark/>
          </w:tcPr>
          <w:p w14:paraId="5FF81715"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37.2</w:t>
            </w:r>
          </w:p>
        </w:tc>
        <w:tc>
          <w:tcPr>
            <w:tcW w:w="692" w:type="dxa"/>
            <w:tcBorders>
              <w:top w:val="nil"/>
              <w:left w:val="nil"/>
              <w:bottom w:val="single" w:sz="4" w:space="0" w:color="auto"/>
              <w:right w:val="single" w:sz="4" w:space="0" w:color="auto"/>
            </w:tcBorders>
            <w:noWrap/>
            <w:vAlign w:val="center"/>
            <w:hideMark/>
          </w:tcPr>
          <w:p w14:paraId="4B9A663C"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2.7</w:t>
            </w:r>
          </w:p>
        </w:tc>
        <w:tc>
          <w:tcPr>
            <w:tcW w:w="1463" w:type="dxa"/>
            <w:tcBorders>
              <w:top w:val="nil"/>
              <w:left w:val="nil"/>
              <w:bottom w:val="single" w:sz="4" w:space="0" w:color="auto"/>
              <w:right w:val="single" w:sz="4" w:space="0" w:color="auto"/>
            </w:tcBorders>
            <w:noWrap/>
            <w:vAlign w:val="center"/>
            <w:hideMark/>
          </w:tcPr>
          <w:p w14:paraId="7D50D898"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2.9</w:t>
            </w:r>
          </w:p>
        </w:tc>
      </w:tr>
      <w:tr w:rsidR="00E00304" w:rsidRPr="00164238" w14:paraId="0333871E" w14:textId="77777777" w:rsidTr="00E00304">
        <w:trPr>
          <w:trHeight w:val="300"/>
          <w:jc w:val="center"/>
        </w:trPr>
        <w:tc>
          <w:tcPr>
            <w:tcW w:w="2197" w:type="dxa"/>
            <w:tcBorders>
              <w:top w:val="single" w:sz="4" w:space="0" w:color="auto"/>
              <w:left w:val="single" w:sz="4" w:space="0" w:color="auto"/>
              <w:bottom w:val="single" w:sz="4" w:space="0" w:color="auto"/>
              <w:right w:val="single" w:sz="4" w:space="0" w:color="auto"/>
            </w:tcBorders>
            <w:noWrap/>
            <w:vAlign w:val="center"/>
            <w:hideMark/>
          </w:tcPr>
          <w:p w14:paraId="03A337E2" w14:textId="77777777" w:rsidR="00E00304" w:rsidRPr="00164238" w:rsidRDefault="00E00304">
            <w:pPr>
              <w:spacing w:after="0" w:line="240" w:lineRule="auto"/>
              <w:jc w:val="center"/>
              <w:rPr>
                <w:rFonts w:ascii="Times New Roman" w:eastAsia="Times New Roman" w:hAnsi="Times New Roman" w:cs="Times New Roman"/>
                <w:b/>
                <w:bCs/>
                <w:color w:val="000000" w:themeColor="text1"/>
                <w:sz w:val="20"/>
                <w:szCs w:val="20"/>
                <w:lang w:eastAsia="tr-TR"/>
              </w:rPr>
            </w:pPr>
            <w:r w:rsidRPr="00164238">
              <w:rPr>
                <w:rFonts w:ascii="Times New Roman" w:eastAsia="Times New Roman" w:hAnsi="Times New Roman" w:cs="Times New Roman"/>
                <w:b/>
                <w:bCs/>
                <w:color w:val="000000" w:themeColor="text1"/>
                <w:sz w:val="20"/>
                <w:szCs w:val="20"/>
                <w:lang w:eastAsia="tr-TR"/>
              </w:rPr>
              <w:t>Belgium</w:t>
            </w:r>
          </w:p>
        </w:tc>
        <w:tc>
          <w:tcPr>
            <w:tcW w:w="933" w:type="dxa"/>
            <w:tcBorders>
              <w:top w:val="nil"/>
              <w:left w:val="nil"/>
              <w:bottom w:val="single" w:sz="4" w:space="0" w:color="auto"/>
              <w:right w:val="single" w:sz="4" w:space="0" w:color="auto"/>
            </w:tcBorders>
            <w:noWrap/>
            <w:vAlign w:val="center"/>
            <w:hideMark/>
          </w:tcPr>
          <w:p w14:paraId="27A38C81"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4.680</w:t>
            </w:r>
          </w:p>
        </w:tc>
        <w:tc>
          <w:tcPr>
            <w:tcW w:w="933" w:type="dxa"/>
            <w:tcBorders>
              <w:top w:val="nil"/>
              <w:left w:val="nil"/>
              <w:bottom w:val="single" w:sz="4" w:space="0" w:color="auto"/>
              <w:right w:val="single" w:sz="4" w:space="0" w:color="auto"/>
            </w:tcBorders>
            <w:noWrap/>
            <w:vAlign w:val="center"/>
            <w:hideMark/>
          </w:tcPr>
          <w:p w14:paraId="4851FB91"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5.455</w:t>
            </w:r>
          </w:p>
        </w:tc>
        <w:tc>
          <w:tcPr>
            <w:tcW w:w="1273" w:type="dxa"/>
            <w:tcBorders>
              <w:top w:val="nil"/>
              <w:left w:val="nil"/>
              <w:bottom w:val="single" w:sz="4" w:space="0" w:color="auto"/>
              <w:right w:val="single" w:sz="4" w:space="0" w:color="auto"/>
            </w:tcBorders>
            <w:noWrap/>
            <w:vAlign w:val="center"/>
            <w:hideMark/>
          </w:tcPr>
          <w:p w14:paraId="0C2CC731"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16.6</w:t>
            </w:r>
          </w:p>
        </w:tc>
        <w:tc>
          <w:tcPr>
            <w:tcW w:w="692" w:type="dxa"/>
            <w:tcBorders>
              <w:top w:val="nil"/>
              <w:left w:val="nil"/>
              <w:bottom w:val="single" w:sz="4" w:space="0" w:color="auto"/>
              <w:right w:val="single" w:sz="4" w:space="0" w:color="auto"/>
            </w:tcBorders>
            <w:noWrap/>
            <w:vAlign w:val="center"/>
            <w:hideMark/>
          </w:tcPr>
          <w:p w14:paraId="2CE24A4A"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3.2</w:t>
            </w:r>
          </w:p>
        </w:tc>
        <w:tc>
          <w:tcPr>
            <w:tcW w:w="1463" w:type="dxa"/>
            <w:tcBorders>
              <w:top w:val="nil"/>
              <w:left w:val="nil"/>
              <w:bottom w:val="single" w:sz="4" w:space="0" w:color="auto"/>
              <w:right w:val="single" w:sz="4" w:space="0" w:color="auto"/>
            </w:tcBorders>
            <w:noWrap/>
            <w:vAlign w:val="center"/>
            <w:hideMark/>
          </w:tcPr>
          <w:p w14:paraId="0048C829" w14:textId="77777777" w:rsidR="00E00304" w:rsidRPr="00164238" w:rsidRDefault="00E00304">
            <w:pPr>
              <w:spacing w:after="0" w:line="240"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2.8</w:t>
            </w:r>
          </w:p>
        </w:tc>
      </w:tr>
      <w:tr w:rsidR="00E00304" w:rsidRPr="00164238" w14:paraId="45ACC2FF" w14:textId="77777777" w:rsidTr="00E00304">
        <w:trPr>
          <w:trHeight w:val="300"/>
          <w:jc w:val="center"/>
        </w:trPr>
        <w:tc>
          <w:tcPr>
            <w:tcW w:w="7491" w:type="dxa"/>
            <w:gridSpan w:val="6"/>
            <w:tcBorders>
              <w:top w:val="single" w:sz="4" w:space="0" w:color="auto"/>
              <w:left w:val="nil"/>
              <w:bottom w:val="nil"/>
              <w:right w:val="nil"/>
            </w:tcBorders>
            <w:noWrap/>
            <w:vAlign w:val="center"/>
            <w:hideMark/>
          </w:tcPr>
          <w:p w14:paraId="6AD3428B" w14:textId="77777777" w:rsidR="00E00304" w:rsidRPr="00164238" w:rsidRDefault="00E00304">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b/>
                <w:color w:val="000000" w:themeColor="text1"/>
                <w:sz w:val="20"/>
                <w:szCs w:val="20"/>
                <w:lang w:eastAsia="tr-TR"/>
              </w:rPr>
              <w:t>Source:</w:t>
            </w:r>
            <w:r w:rsidRPr="00164238">
              <w:rPr>
                <w:rFonts w:ascii="Times New Roman" w:eastAsia="Times New Roman" w:hAnsi="Times New Roman" w:cs="Times New Roman"/>
                <w:color w:val="000000" w:themeColor="text1"/>
                <w:sz w:val="20"/>
                <w:szCs w:val="20"/>
                <w:lang w:eastAsia="tr-TR"/>
              </w:rPr>
              <w:t xml:space="preserve"> WTO, 2020.</w:t>
            </w:r>
          </w:p>
        </w:tc>
      </w:tr>
    </w:tbl>
    <w:p w14:paraId="0FC19C03"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lastRenderedPageBreak/>
        <w:t>It is seen that the trade of critical health products needed to combating the Covid-19 crisis is dominated by China, Germany, and the USA (Table 2). Especially in this period, China’s exports of critical health products have increased significantly. These products’ exports grew by 207%, from the first half of 2019 to the first half of 2020, from 18 billion to 55 billion dollars. On the other hand, the share of those exports has increased from 12% to 28.9%. The United States has become the largest importer of COVID-19 critical medical products.</w:t>
      </w:r>
    </w:p>
    <w:p w14:paraId="118ADDBC"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Table 2 shows how dependent countries are on each other, even in the primary medicinal products. In the simplest term, the trade protectionism race between the United States and China can reduce the supply of vital products for Covid-19 (Baldwin and Evenett, 2020: 8).</w:t>
      </w:r>
    </w:p>
    <w:p w14:paraId="17692315"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The ongoing economic and political conflicts between the USA and China indicate that this situation will be one of the most critical factors for shaping the future of globalization. From this perspective, the COVID-19 pandemic will not fundamentally change the global economy. Rather, it will accelerate the change that has already begun. In the process of this change, globalization may evolve from a US-oriented structure to a Chinese character (Mahbubani, 2020).</w:t>
      </w:r>
    </w:p>
    <w:p w14:paraId="37738F6E"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Covid-19, which causes us to rethink a world where the essential components of globalization such as international travel, migration, supply chain risk, foreign trade restrictions, information flow are reviewed globally, shows that in the new period, the focus will be on risk minimization instead of cost minimization. Of course, Covid-19 will not eliminate capital mobility, comparative advantages, and economies of scale, which are the driving forces of globalization. However, it will create changes in the globalization model, which expresses a combination of popular sentiments, public policies, and institutional practices. Hence, the coronavirus represents the transformation, not the end of the globalization era (Legrain, 2020).</w:t>
      </w:r>
    </w:p>
    <w:p w14:paraId="67524EA4"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COVID-19 has rapidly created new hurdles. On the other hand, it has enkindled the debates on whether closing borders, limiting individuals’ mobility, the collapse of supply chains, and export restrictions will mean the end of globalization. Indeed, globalization slowed down in the period after the 2008 crisis. Covid-19 will highlight the risks inherent in overdependence in the global supply chain, leading to the re-nationalization of production. The most apparent result; There will be an acceleration of the momentum moving towards a new, different, and more limited form of globalization (Fontaine, 2020). Globalization has not only accelerated the spread of infectious diseases but has also encouraged counter-dependency, making firms and countries more vulnerable to sudden shocks. But, Covid-19 revealed the fragility of globalization rather than its failure. In this respect, coronavirus refers to a kind of stress test for globalization (Farrell and Newman, 2020).</w:t>
      </w:r>
    </w:p>
    <w:p w14:paraId="5B9FE80E"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This pandemic is the third biggest crisis the world has faced since the end of the bipolar world order with the collapse of the Soviet Union in the 1990s. The first is the September 11 attacks in 2001, and the second is the 2008 crisis. Although there are many lessons to be learned about the global system’s functioning after the global crisis, decision-makers’ optimism and apathy made the coronavirus crisis inevitable. Reflecting not only the health crisis but also the reality of the globalized individualist world, at the same time, Covid-19 reveals the crisis of social solidarity, responsibility, and belief in institutions. The pandemic has also caused remarkable results in emphasizing the multidimensional negative sides of globalization. For example, in addition to the spread of pandemics, it has revealed the global economy's dependence on China, another dimension of liberalism based on an absolute belief in unlimited growth and progress (Kurjak et al., 2020: 284).</w:t>
      </w:r>
    </w:p>
    <w:p w14:paraId="2096524E"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Another argument put forward about globalization’s future with the effect of the pandemic is that the world economy will evolve into a more regionally oriented structure. In addition to the slowdown in globalization after the 2008 crisis and the collapse of global supply chains, and the uncertainties regarding the global recovery increased expectations that regionalization will strengthen. The transition to a more regional structure may offer a balance mechanism against populism, nationalism, and protectionism experienced in the global system in recent years (Enderwick and Buckley, 2020: 108-109). The necessity of national and regional measures has emerged within the emergence of the excessive dependence of Europe and the USA on China and Asia. In the USA, Trump’s calls for US companies’ return to home is one of the most important examples of this. According to Mengzi (2020), Covid-19 will directly affect globalization despite positive perspectives on globalization. In the post-crisis period, the global supply chain will be </w:t>
      </w:r>
      <w:r w:rsidRPr="00164238">
        <w:rPr>
          <w:rFonts w:ascii="Times New Roman" w:hAnsi="Times New Roman" w:cs="Times New Roman"/>
          <w:color w:val="000000" w:themeColor="text1"/>
          <w:sz w:val="20"/>
          <w:szCs w:val="20"/>
        </w:rPr>
        <w:lastRenderedPageBreak/>
        <w:t>restructured. Companies will return to their countries and affect the new structure where regional cooperation will be further strengthened.</w:t>
      </w:r>
    </w:p>
    <w:p w14:paraId="41E03F6C"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There are also opinions claiming that the Covid-19 crisis will strengthen it, contrary to the views that claim globalization will weaken. For example, according to Du et al. (2020), Covid-19 has revealed the dependence on global supply chains. Concern about over-reliance on supply chains is justified when it comes to national security products, such as medical equipment. It becomes a necessity for countries to be able to produce such products without being dependent on imports. But all these factors do not mean the end of globalization. It just states that it is inevitable that global supply chains have to be restructured. Global supply chains that act on the principle of efficiency and cost minimization will continue to be the main actors to ensure globalization.</w:t>
      </w:r>
    </w:p>
    <w:p w14:paraId="52EDD7D8"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It is clear that the unregulated free market globalization, which accelerates crises and pandemics, has been seriously hit by the coronavirus. On the other hand, it forces governments to build a new type of globalization model that will require better preparedness for new pandemics in climate change, cybersecurity, and finance. Globalization is a reality of our century. Thus, it is necessary to find ways to manage it more effectively (Hutton, 2020). It would not be realistic to state that globalization will end with Covid-19. However, globalization can be strong again if it is structured to put the human factor in the center (Center For Eurasian Studies-AVİM, 2020). </w:t>
      </w:r>
    </w:p>
    <w:p w14:paraId="097E497F"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Dani Rodrik (2020) radically emphasizes that Covid-19 will not reverse trends that existed before the crisis, and </w:t>
      </w:r>
      <w:r w:rsidRPr="00164238">
        <w:rPr>
          <w:rFonts w:ascii="Times New Roman" w:hAnsi="Times New Roman" w:cs="Times New Roman"/>
          <w:i/>
          <w:color w:val="000000" w:themeColor="text1"/>
          <w:sz w:val="20"/>
          <w:szCs w:val="20"/>
        </w:rPr>
        <w:t>“hyper-globalization will remain on the defensive as nation-states reclaim policy space.”</w:t>
      </w:r>
      <w:r w:rsidRPr="00164238">
        <w:rPr>
          <w:rFonts w:ascii="Times New Roman" w:hAnsi="Times New Roman" w:cs="Times New Roman"/>
          <w:color w:val="000000" w:themeColor="text1"/>
          <w:sz w:val="20"/>
          <w:szCs w:val="20"/>
        </w:rPr>
        <w:t xml:space="preserve"> Similarly, Ian Goldin (2020) states that Covid-19 creates opportunities to accelerate globalization’s growth and transformation. Since the beginning of the pandemic, links between countries have increased sharply through digitalization. Repricing different sectors will increase cross-border capital flows by growing mergers and acquisitions. Also, globalization needs to be more inclusive in terms of reducing emerging risks and ensuring sustainable prosperity.</w:t>
      </w:r>
    </w:p>
    <w:p w14:paraId="4CD64050" w14:textId="007F0839" w:rsidR="00E00304" w:rsidRPr="00164238" w:rsidRDefault="00E00304" w:rsidP="00E00304">
      <w:pPr>
        <w:spacing w:before="120" w:after="120" w:line="240" w:lineRule="auto"/>
        <w:ind w:firstLine="708"/>
        <w:jc w:val="both"/>
        <w:rPr>
          <w:rFonts w:ascii="Times New Roman" w:hAnsi="Times New Roman" w:cs="Times New Roman"/>
          <w:b/>
          <w:color w:val="000000" w:themeColor="text1"/>
          <w:sz w:val="20"/>
          <w:szCs w:val="20"/>
        </w:rPr>
      </w:pPr>
      <w:r w:rsidRPr="00164238">
        <w:rPr>
          <w:rFonts w:ascii="Times New Roman" w:hAnsi="Times New Roman" w:cs="Times New Roman"/>
          <w:b/>
          <w:color w:val="000000" w:themeColor="text1"/>
          <w:sz w:val="20"/>
          <w:szCs w:val="20"/>
        </w:rPr>
        <w:t>Nation-States and Covid-19</w:t>
      </w:r>
    </w:p>
    <w:p w14:paraId="526E1939"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It was generally accepted that the end of nation-states came to an end after the 1980s and that it was replaced by globalization, which refers to the world without borders. However, with the 2008 global financial crisis, criticism about neoliberalism’s liberalization policies has increased. The state has taken active roles in eliminating the impacts of the crisis. Similar developments have been experienced in the Covid-19 process. The state has stepped in as the most important actor in almost all countries because markets could not react adequately to the crisis. The state’s dominant position is felt in a wide range of areas such as controlling the borders, restricting individuals’ mobility, transferring resources to individuals and companies, and realizing public expenditures for the functioning of the health system.</w:t>
      </w:r>
    </w:p>
    <w:p w14:paraId="64CA8994"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We are witnessing the period in which the most extraordinary public power was felt since the II. World War. In a short time, the state started to manage health policies and millions of people’s mainstays (Miraj, 2020).</w:t>
      </w:r>
    </w:p>
    <w:p w14:paraId="490CE5DB" w14:textId="06B19359" w:rsidR="00E00304" w:rsidRPr="00164238" w:rsidRDefault="00E00304" w:rsidP="00E00304">
      <w:pPr>
        <w:spacing w:before="120" w:after="120" w:line="240" w:lineRule="auto"/>
        <w:ind w:firstLine="708"/>
        <w:jc w:val="both"/>
        <w:rPr>
          <w:rFonts w:ascii="Times New Roman" w:hAnsi="Times New Roman" w:cs="Times New Roman"/>
          <w:b/>
          <w:color w:val="000000" w:themeColor="text1"/>
          <w:sz w:val="20"/>
          <w:szCs w:val="20"/>
        </w:rPr>
      </w:pPr>
      <w:r w:rsidRPr="00164238">
        <w:rPr>
          <w:rFonts w:ascii="Times New Roman" w:hAnsi="Times New Roman" w:cs="Times New Roman"/>
          <w:b/>
          <w:color w:val="000000" w:themeColor="text1"/>
          <w:sz w:val="20"/>
          <w:szCs w:val="20"/>
        </w:rPr>
        <w:t>Importance of Interventions of Nation-States in Coronavirus Crisis</w:t>
      </w:r>
    </w:p>
    <w:p w14:paraId="0EDADC67"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The Covid-19 pandemic caused a shock to the economy, both in the supply and demand channels. If it was waited for these shocks to disappear spontaneously could further deepen the crisis. The market’s failure to provide solutions to problems such as the bankruptcy of enterprises, increase in unemployment, and difficulties in the supply of health equipment created the necessity for state interventions. Thus, the state has played notable roles by providing financial support to the markets, transferring additional resources to the health system, transferring income to households, reducing taxes, and providing loans to businesses (Canuto, 2020: 3-4).</w:t>
      </w:r>
    </w:p>
    <w:p w14:paraId="7D4606B9" w14:textId="3FF9A77F" w:rsidR="00E00304" w:rsidRPr="00164238" w:rsidRDefault="00E00304" w:rsidP="00E00304">
      <w:pPr>
        <w:spacing w:after="0"/>
        <w:jc w:val="center"/>
        <w:rPr>
          <w:rFonts w:ascii="Times New Roman" w:hAnsi="Times New Roman" w:cs="Times New Roman"/>
          <w:color w:val="000000" w:themeColor="text1"/>
          <w:sz w:val="20"/>
          <w:szCs w:val="20"/>
        </w:rPr>
      </w:pPr>
      <w:r w:rsidRPr="00164238">
        <w:rPr>
          <w:rFonts w:ascii="Times New Roman" w:hAnsi="Times New Roman" w:cs="Times New Roman"/>
          <w:noProof/>
          <w:color w:val="000000" w:themeColor="text1"/>
          <w:sz w:val="20"/>
          <w:szCs w:val="20"/>
          <w:lang w:val="en-US"/>
        </w:rPr>
        <w:lastRenderedPageBreak/>
        <w:drawing>
          <wp:inline distT="0" distB="0" distL="0" distR="0" wp14:anchorId="34BDB002" wp14:editId="0EE69BF4">
            <wp:extent cx="4924425" cy="2886075"/>
            <wp:effectExtent l="0" t="0" r="9525" b="9525"/>
            <wp:docPr id="127" name="Resi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924425" cy="2886075"/>
                    </a:xfrm>
                    <a:prstGeom prst="rect">
                      <a:avLst/>
                    </a:prstGeom>
                    <a:noFill/>
                    <a:ln>
                      <a:noFill/>
                    </a:ln>
                  </pic:spPr>
                </pic:pic>
              </a:graphicData>
            </a:graphic>
          </wp:inline>
        </w:drawing>
      </w:r>
    </w:p>
    <w:p w14:paraId="027CE6F7" w14:textId="77777777" w:rsidR="00E00304" w:rsidRPr="00164238" w:rsidRDefault="00E00304" w:rsidP="00E00304">
      <w:pPr>
        <w:spacing w:before="120"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rPr>
        <w:t>Figure 2.</w:t>
      </w:r>
      <w:r w:rsidRPr="00164238">
        <w:rPr>
          <w:rFonts w:ascii="Times New Roman" w:hAnsi="Times New Roman" w:cs="Times New Roman"/>
          <w:color w:val="000000" w:themeColor="text1"/>
          <w:sz w:val="20"/>
          <w:szCs w:val="20"/>
        </w:rPr>
        <w:t xml:space="preserve"> Flattening the recession curve</w:t>
      </w:r>
    </w:p>
    <w:p w14:paraId="0CB539AC" w14:textId="77777777" w:rsidR="00E00304" w:rsidRPr="00164238" w:rsidRDefault="00E00304" w:rsidP="00E00304">
      <w:pPr>
        <w:spacing w:before="120" w:after="12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rPr>
        <w:t>Source:</w:t>
      </w:r>
      <w:r w:rsidRPr="00164238">
        <w:rPr>
          <w:rFonts w:ascii="Times New Roman" w:hAnsi="Times New Roman" w:cs="Times New Roman"/>
          <w:color w:val="000000" w:themeColor="text1"/>
          <w:sz w:val="20"/>
          <w:szCs w:val="20"/>
        </w:rPr>
        <w:t xml:space="preserve"> Gourrinchas, 2020.</w:t>
      </w:r>
    </w:p>
    <w:p w14:paraId="1F7227D9"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The impacts of providing and not providing public measures are shown in Figure 2. The negative impacts of the crisis deepen in the context of the contraction of expenditures, the decrease in investments, the reduction in credits, and the capacity of available economic units due to the crisis’s impact. The red shaded area represents this situation. On the other hand, the adverse impacts of the crisis can be reduced with public measures against economic activities’ contraction (Blue shaded area) (Gourinchas, 2020).</w:t>
      </w:r>
    </w:p>
    <w:p w14:paraId="796F6851"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The Covid-19 crisis is a systematic multidimensional crisis involving supply, demand, and financial shocks. These shocks have occurred in an environment where functional, regional, and gender inequalities exist. Therefore, the crisis is likely to lead to macroeconomic and impoverishment, inequality, and social disjunction caused by unemployment and income losses. </w:t>
      </w:r>
      <w:r w:rsidRPr="00164238">
        <w:rPr>
          <w:rFonts w:ascii="Times New Roman" w:eastAsia="Times New Roman" w:hAnsi="Times New Roman" w:cs="Times New Roman"/>
          <w:color w:val="000000" w:themeColor="text1"/>
          <w:sz w:val="20"/>
          <w:szCs w:val="20"/>
          <w:lang w:eastAsia="tr-TR"/>
        </w:rPr>
        <w:t>At the point of combating the crisis (</w:t>
      </w:r>
      <w:r w:rsidRPr="00164238">
        <w:rPr>
          <w:rFonts w:ascii="Times New Roman" w:hAnsi="Times New Roman" w:cs="Times New Roman"/>
          <w:color w:val="000000" w:themeColor="text1"/>
          <w:sz w:val="20"/>
          <w:szCs w:val="20"/>
        </w:rPr>
        <w:t>Voyvoda and Yeldan, 2020: 4):</w:t>
      </w:r>
    </w:p>
    <w:p w14:paraId="4201DABB" w14:textId="77777777" w:rsidR="00E00304" w:rsidRPr="00164238" w:rsidRDefault="00E00304" w:rsidP="007C3550">
      <w:pPr>
        <w:numPr>
          <w:ilvl w:val="0"/>
          <w:numId w:val="37"/>
        </w:numPr>
        <w:spacing w:before="120" w:after="12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Preventing the decrease in revenues and total demand by protecting employment.</w:t>
      </w:r>
    </w:p>
    <w:p w14:paraId="5C311E5C" w14:textId="77777777" w:rsidR="00E00304" w:rsidRPr="00164238" w:rsidRDefault="00E00304" w:rsidP="007C3550">
      <w:pPr>
        <w:numPr>
          <w:ilvl w:val="0"/>
          <w:numId w:val="37"/>
        </w:numPr>
        <w:spacing w:before="120" w:after="12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Providing public services, especially health, education, and transportation.</w:t>
      </w:r>
    </w:p>
    <w:p w14:paraId="636694DF" w14:textId="77777777" w:rsidR="00E00304" w:rsidRPr="00164238" w:rsidRDefault="00E00304" w:rsidP="007C3550">
      <w:pPr>
        <w:numPr>
          <w:ilvl w:val="0"/>
          <w:numId w:val="37"/>
        </w:numPr>
        <w:spacing w:before="120" w:after="12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Providing investment, intermediate goods, and technical support to sustain production.</w:t>
      </w:r>
    </w:p>
    <w:p w14:paraId="716A2CF7" w14:textId="77777777" w:rsidR="00E00304" w:rsidRPr="00164238" w:rsidRDefault="00E00304" w:rsidP="007C3550">
      <w:pPr>
        <w:numPr>
          <w:ilvl w:val="0"/>
          <w:numId w:val="37"/>
        </w:numPr>
        <w:spacing w:before="120" w:after="12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Timely response to disruptions in supply chains</w:t>
      </w:r>
    </w:p>
    <w:p w14:paraId="114BE689" w14:textId="77777777" w:rsidR="00E00304" w:rsidRPr="00164238" w:rsidRDefault="00E00304" w:rsidP="007C3550">
      <w:pPr>
        <w:numPr>
          <w:ilvl w:val="0"/>
          <w:numId w:val="37"/>
        </w:numPr>
        <w:spacing w:before="120" w:after="12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Developing the necessary fiscal policies to maintain all these policies is very important.</w:t>
      </w:r>
    </w:p>
    <w:p w14:paraId="27D7D157" w14:textId="77777777" w:rsidR="00E00304" w:rsidRPr="00164238" w:rsidRDefault="00E00304" w:rsidP="00E00304">
      <w:pPr>
        <w:spacing w:before="120" w:after="12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For this purpose, nation-states tried to manage the crisis by increasing measures in economic terms and many areas.</w:t>
      </w:r>
    </w:p>
    <w:p w14:paraId="1D86B998" w14:textId="1CB84741" w:rsidR="00E00304" w:rsidRPr="00164238" w:rsidRDefault="00E00304" w:rsidP="00E00304">
      <w:pPr>
        <w:spacing w:before="120" w:after="120" w:line="240" w:lineRule="auto"/>
        <w:ind w:firstLine="708"/>
        <w:jc w:val="both"/>
        <w:rPr>
          <w:rFonts w:ascii="Times New Roman" w:hAnsi="Times New Roman" w:cs="Times New Roman"/>
          <w:b/>
          <w:color w:val="000000" w:themeColor="text1"/>
          <w:sz w:val="20"/>
          <w:szCs w:val="20"/>
        </w:rPr>
      </w:pPr>
      <w:r w:rsidRPr="00164238">
        <w:rPr>
          <w:rFonts w:ascii="Times New Roman" w:hAnsi="Times New Roman" w:cs="Times New Roman"/>
          <w:b/>
          <w:color w:val="000000" w:themeColor="text1"/>
          <w:sz w:val="20"/>
          <w:szCs w:val="20"/>
        </w:rPr>
        <w:t>The Government Policies in Turkey for Covid-19</w:t>
      </w:r>
    </w:p>
    <w:p w14:paraId="548ABE88"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The first case of coronavirus emerged on March 11, 2020, in Turkey. To control the pandemic, the state has taken many measures, including curfew, travel ban, quarantine practices, and schools and shops’ closure.  GDP contracted by 10% in the second quarter due to the impact of the pandemic. However, the economy showed a strong recovery trend in the third quarter. The economy grew by 1.8% overall in 2020 (IMF, 2021b). </w:t>
      </w:r>
    </w:p>
    <w:p w14:paraId="69BC37BA"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The state has responded through monetary and fiscal policies for Covid-19 in Turkey. The high foreign debt risk of Turkey has led to being sensitive to international fluctuations. When the global risk appetite decreases, it becomes difficult to find foreign currency in times of crisis, and the costs of paying external debt increase. So such developments limit the monetary policy measures that can stimulate the </w:t>
      </w:r>
      <w:r w:rsidRPr="00164238">
        <w:rPr>
          <w:rFonts w:ascii="Times New Roman" w:hAnsi="Times New Roman" w:cs="Times New Roman"/>
          <w:color w:val="000000" w:themeColor="text1"/>
          <w:sz w:val="20"/>
          <w:szCs w:val="20"/>
        </w:rPr>
        <w:lastRenderedPageBreak/>
        <w:t xml:space="preserve">economy. The Central Bank of the Republic of Turkey (CBRT) has taken the following actions for combating the crisis (TÜRMOB, 2020: 56): </w:t>
      </w:r>
    </w:p>
    <w:p w14:paraId="74B2CFFB" w14:textId="77777777" w:rsidR="00E00304" w:rsidRPr="00164238" w:rsidRDefault="00E00304" w:rsidP="007C3550">
      <w:pPr>
        <w:pStyle w:val="ListeParagraf"/>
        <w:numPr>
          <w:ilvl w:val="0"/>
          <w:numId w:val="38"/>
        </w:numPr>
        <w:spacing w:before="120" w:after="12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100 basis points have reduced the reference interest rate.</w:t>
      </w:r>
    </w:p>
    <w:p w14:paraId="0AE1C23A" w14:textId="77777777" w:rsidR="00E00304" w:rsidRPr="00164238" w:rsidRDefault="00E00304" w:rsidP="007C3550">
      <w:pPr>
        <w:pStyle w:val="ListeParagraf"/>
        <w:numPr>
          <w:ilvl w:val="0"/>
          <w:numId w:val="38"/>
        </w:numPr>
        <w:spacing w:before="120" w:after="12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The weekly repo interest rate</w:t>
      </w:r>
      <w:r w:rsidRPr="00164238">
        <w:rPr>
          <w:rStyle w:val="DipnotBavurusu"/>
          <w:rFonts w:ascii="Times New Roman" w:hAnsi="Times New Roman" w:cs="Times New Roman"/>
          <w:color w:val="000000" w:themeColor="text1"/>
          <w:sz w:val="20"/>
          <w:szCs w:val="20"/>
        </w:rPr>
        <w:footnoteReference w:id="9"/>
      </w:r>
      <w:r w:rsidRPr="00164238">
        <w:rPr>
          <w:rFonts w:ascii="Times New Roman" w:hAnsi="Times New Roman" w:cs="Times New Roman"/>
          <w:color w:val="000000" w:themeColor="text1"/>
          <w:sz w:val="20"/>
          <w:szCs w:val="20"/>
        </w:rPr>
        <w:t xml:space="preserve"> has been reduced from 10.75% to 9.75%.</w:t>
      </w:r>
    </w:p>
    <w:p w14:paraId="11E4F03B" w14:textId="77777777" w:rsidR="00E00304" w:rsidRPr="00164238" w:rsidRDefault="00E00304" w:rsidP="007C3550">
      <w:pPr>
        <w:pStyle w:val="ListeParagraf"/>
        <w:numPr>
          <w:ilvl w:val="0"/>
          <w:numId w:val="38"/>
        </w:numPr>
        <w:spacing w:before="120" w:after="12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It has been announced that the CBRT will provide all liquidity demands of banks.</w:t>
      </w:r>
    </w:p>
    <w:p w14:paraId="16E0D403" w14:textId="77777777" w:rsidR="00E00304" w:rsidRPr="00164238" w:rsidRDefault="00E00304" w:rsidP="007C3550">
      <w:pPr>
        <w:pStyle w:val="ListeParagraf"/>
        <w:numPr>
          <w:ilvl w:val="0"/>
          <w:numId w:val="38"/>
        </w:numPr>
        <w:spacing w:before="120" w:after="12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Besides, the CBRT will open three-month repo auctions.</w:t>
      </w:r>
    </w:p>
    <w:p w14:paraId="4A3242FE" w14:textId="77777777" w:rsidR="00E00304" w:rsidRPr="00164238" w:rsidRDefault="00E00304" w:rsidP="007C3550">
      <w:pPr>
        <w:pStyle w:val="ListeParagraf"/>
        <w:numPr>
          <w:ilvl w:val="0"/>
          <w:numId w:val="38"/>
        </w:numPr>
        <w:spacing w:before="120" w:after="12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The required reserve ratio will be reduced by 5% for foreign reserves.</w:t>
      </w:r>
    </w:p>
    <w:p w14:paraId="0540E431" w14:textId="77777777" w:rsidR="00E00304" w:rsidRPr="00164238" w:rsidRDefault="00E00304" w:rsidP="007C3550">
      <w:pPr>
        <w:pStyle w:val="ListeParagraf"/>
        <w:numPr>
          <w:ilvl w:val="0"/>
          <w:numId w:val="38"/>
        </w:numPr>
        <w:spacing w:before="120" w:after="12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The CBRT will use 60 billion TL resources through the rediscount mechanism.</w:t>
      </w:r>
    </w:p>
    <w:p w14:paraId="257EDE14" w14:textId="77777777" w:rsidR="00E00304" w:rsidRPr="00164238" w:rsidRDefault="00E00304" w:rsidP="007C3550">
      <w:pPr>
        <w:pStyle w:val="ListeParagraf"/>
        <w:numPr>
          <w:ilvl w:val="0"/>
          <w:numId w:val="38"/>
        </w:numPr>
        <w:spacing w:before="120" w:after="12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Liquidity will be created for the fund in return for the Unemployment Fund’s bonds by the CBRT.</w:t>
      </w:r>
    </w:p>
    <w:p w14:paraId="0F1A7A8A" w14:textId="77777777" w:rsidR="00E00304" w:rsidRPr="00164238" w:rsidRDefault="00E00304" w:rsidP="007C3550">
      <w:pPr>
        <w:pStyle w:val="ListeParagraf"/>
        <w:numPr>
          <w:ilvl w:val="0"/>
          <w:numId w:val="38"/>
        </w:numPr>
        <w:spacing w:before="120" w:after="12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Within the scope of the new steps announced on March 31st, 2020, the CBRT took steps towards providing more abundant and cheaper liquidity by expanding bond purchases.</w:t>
      </w:r>
    </w:p>
    <w:p w14:paraId="05DBA860"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Fiscal policy measures play an essential role in reducing the adverse impacts of the actions taken to combat the pandemic, especially the slowdown in economic activities caused by the restriction. Indeed, when we look at the way economic growth in Turkey, it has been shown that inflation has a significant impact on the pattern of growth. This reason and fragility of Turkey’s economy limit the monetary policy’s power to eliminate the crisis, making it essential for fiscal policy to be applied nationally. With public policies, the enterprises’ financial liabilities are tried to be reduced and deferred, and it is aimed to protect the low-income segment against the crisis. The economic measures are taken in Turkey; serve many purposes, such as protecting specific sectors at the sectoral level, supporting enterprises and low-income groups that are likely to be affected by the crisis, and applying policies to protect the employment level against the possibility of increasing the unemployment rate of the crisis (Çalışkan and Dayıoğlu-Erul, 2021: 46-47).</w:t>
      </w:r>
    </w:p>
    <w:p w14:paraId="56D70CBE"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Turkey is one of the countries that took early measures against the pandemic. The state announced a financial support package of 100 billion TL on 18 March to prevent the pandemic’s impacts. With the additional steps taken later, the financial support package’s size increased to 240 billion TL (Gür et al., 2020: 59). In this framework, the economic stability package has drawn a framework that encompasses all society segments from crafts to employers, from employees to retirees (Yıldız and Uzun, 2020: 36).</w:t>
      </w:r>
    </w:p>
    <w:p w14:paraId="1310B2C3" w14:textId="77777777" w:rsidR="00E00304" w:rsidRPr="00164238" w:rsidRDefault="00E00304" w:rsidP="00E00304">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rPr>
        <w:t>Table 3.</w:t>
      </w:r>
      <w:r w:rsidRPr="00164238">
        <w:rPr>
          <w:rFonts w:ascii="Times New Roman" w:hAnsi="Times New Roman" w:cs="Times New Roman"/>
          <w:color w:val="000000" w:themeColor="text1"/>
          <w:sz w:val="20"/>
          <w:szCs w:val="20"/>
        </w:rPr>
        <w:t xml:space="preserve"> Public Policy in Turkey for Combating Coronavirus</w:t>
      </w:r>
    </w:p>
    <w:tbl>
      <w:tblPr>
        <w:tblStyle w:val="TabloKlavuzu"/>
        <w:tblW w:w="0" w:type="auto"/>
        <w:jc w:val="center"/>
        <w:tblLook w:val="04A0" w:firstRow="1" w:lastRow="0" w:firstColumn="1" w:lastColumn="0" w:noHBand="0" w:noVBand="1"/>
      </w:tblPr>
      <w:tblGrid>
        <w:gridCol w:w="2761"/>
        <w:gridCol w:w="5734"/>
      </w:tblGrid>
      <w:tr w:rsidR="00E00304" w:rsidRPr="00164238" w14:paraId="4A00B04B" w14:textId="77777777" w:rsidTr="00E00304">
        <w:trPr>
          <w:jc w:val="center"/>
        </w:trPr>
        <w:tc>
          <w:tcPr>
            <w:tcW w:w="2943" w:type="dxa"/>
            <w:vMerge w:val="restart"/>
            <w:tcBorders>
              <w:top w:val="single" w:sz="4" w:space="0" w:color="auto"/>
              <w:left w:val="single" w:sz="4" w:space="0" w:color="auto"/>
              <w:bottom w:val="single" w:sz="4" w:space="0" w:color="auto"/>
              <w:right w:val="single" w:sz="4" w:space="0" w:color="auto"/>
            </w:tcBorders>
          </w:tcPr>
          <w:p w14:paraId="02A69F3C" w14:textId="77777777" w:rsidR="00E00304" w:rsidRPr="00164238" w:rsidRDefault="00E00304">
            <w:pPr>
              <w:jc w:val="center"/>
              <w:rPr>
                <w:rFonts w:ascii="Times New Roman" w:hAnsi="Times New Roman" w:cs="Times New Roman"/>
                <w:color w:val="000000" w:themeColor="text1"/>
                <w:sz w:val="20"/>
                <w:szCs w:val="20"/>
              </w:rPr>
            </w:pPr>
          </w:p>
          <w:p w14:paraId="4D3783B5" w14:textId="77777777" w:rsidR="00E00304" w:rsidRPr="00164238" w:rsidRDefault="00E00304">
            <w:pPr>
              <w:jc w:val="center"/>
              <w:rPr>
                <w:rFonts w:ascii="Times New Roman" w:hAnsi="Times New Roman" w:cs="Times New Roman"/>
                <w:color w:val="000000" w:themeColor="text1"/>
                <w:sz w:val="20"/>
                <w:szCs w:val="20"/>
              </w:rPr>
            </w:pPr>
          </w:p>
          <w:p w14:paraId="65C49876" w14:textId="77777777" w:rsidR="00E00304" w:rsidRPr="00164238" w:rsidRDefault="00E00304">
            <w:pPr>
              <w:jc w:val="center"/>
              <w:rPr>
                <w:rFonts w:ascii="Times New Roman" w:hAnsi="Times New Roman" w:cs="Times New Roman"/>
                <w:color w:val="000000" w:themeColor="text1"/>
                <w:sz w:val="20"/>
                <w:szCs w:val="20"/>
              </w:rPr>
            </w:pPr>
          </w:p>
          <w:p w14:paraId="4219D251" w14:textId="77777777" w:rsidR="00E00304" w:rsidRPr="00164238" w:rsidRDefault="00E00304">
            <w:pPr>
              <w:jc w:val="center"/>
              <w:rPr>
                <w:rFonts w:ascii="Times New Roman" w:hAnsi="Times New Roman" w:cs="Times New Roman"/>
                <w:b/>
                <w:color w:val="000000" w:themeColor="text1"/>
                <w:sz w:val="20"/>
                <w:szCs w:val="20"/>
              </w:rPr>
            </w:pPr>
            <w:r w:rsidRPr="00164238">
              <w:rPr>
                <w:rFonts w:ascii="Times New Roman" w:hAnsi="Times New Roman" w:cs="Times New Roman"/>
                <w:b/>
                <w:color w:val="000000" w:themeColor="text1"/>
                <w:sz w:val="20"/>
                <w:szCs w:val="20"/>
              </w:rPr>
              <w:t>Policies for Production Support</w:t>
            </w:r>
          </w:p>
        </w:tc>
        <w:tc>
          <w:tcPr>
            <w:tcW w:w="6269" w:type="dxa"/>
            <w:tcBorders>
              <w:top w:val="single" w:sz="4" w:space="0" w:color="auto"/>
              <w:left w:val="single" w:sz="4" w:space="0" w:color="auto"/>
              <w:bottom w:val="single" w:sz="4" w:space="0" w:color="auto"/>
              <w:right w:val="single" w:sz="4" w:space="0" w:color="auto"/>
            </w:tcBorders>
            <w:hideMark/>
          </w:tcPr>
          <w:p w14:paraId="73A63308" w14:textId="77777777" w:rsidR="00E00304" w:rsidRPr="00164238" w:rsidRDefault="00E00304">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Additional liquidity of 50 billion TL has been provided to the market in three months.</w:t>
            </w:r>
          </w:p>
        </w:tc>
      </w:tr>
      <w:tr w:rsidR="00E00304" w:rsidRPr="00164238" w14:paraId="5E9DB395" w14:textId="77777777" w:rsidTr="00E0030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77806CA" w14:textId="77777777" w:rsidR="00E00304" w:rsidRPr="00164238" w:rsidRDefault="00E00304">
            <w:pPr>
              <w:rPr>
                <w:rFonts w:ascii="Times New Roman" w:hAnsi="Times New Roman" w:cs="Times New Roman"/>
                <w:b/>
                <w:color w:val="000000" w:themeColor="text1"/>
                <w:sz w:val="20"/>
                <w:szCs w:val="20"/>
              </w:rPr>
            </w:pPr>
          </w:p>
        </w:tc>
        <w:tc>
          <w:tcPr>
            <w:tcW w:w="6269" w:type="dxa"/>
            <w:tcBorders>
              <w:top w:val="single" w:sz="4" w:space="0" w:color="auto"/>
              <w:left w:val="single" w:sz="4" w:space="0" w:color="auto"/>
              <w:bottom w:val="single" w:sz="4" w:space="0" w:color="auto"/>
              <w:right w:val="single" w:sz="4" w:space="0" w:color="auto"/>
            </w:tcBorders>
            <w:hideMark/>
          </w:tcPr>
          <w:p w14:paraId="72A9292E" w14:textId="77777777" w:rsidR="00E00304" w:rsidRPr="00164238" w:rsidRDefault="00E00304">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The limit of the Credit Guarantee Fund has been doubled.</w:t>
            </w:r>
          </w:p>
        </w:tc>
      </w:tr>
      <w:tr w:rsidR="00E00304" w:rsidRPr="00164238" w14:paraId="70500AA2" w14:textId="77777777" w:rsidTr="00E0030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2FF4E4B" w14:textId="77777777" w:rsidR="00E00304" w:rsidRPr="00164238" w:rsidRDefault="00E00304">
            <w:pPr>
              <w:rPr>
                <w:rFonts w:ascii="Times New Roman" w:hAnsi="Times New Roman" w:cs="Times New Roman"/>
                <w:b/>
                <w:color w:val="000000" w:themeColor="text1"/>
                <w:sz w:val="20"/>
                <w:szCs w:val="20"/>
              </w:rPr>
            </w:pPr>
          </w:p>
        </w:tc>
        <w:tc>
          <w:tcPr>
            <w:tcW w:w="6269" w:type="dxa"/>
            <w:tcBorders>
              <w:top w:val="single" w:sz="4" w:space="0" w:color="auto"/>
              <w:left w:val="single" w:sz="4" w:space="0" w:color="auto"/>
              <w:bottom w:val="single" w:sz="4" w:space="0" w:color="auto"/>
              <w:right w:val="single" w:sz="4" w:space="0" w:color="auto"/>
            </w:tcBorders>
            <w:hideMark/>
          </w:tcPr>
          <w:p w14:paraId="776B740D" w14:textId="77777777" w:rsidR="00E00304" w:rsidRPr="00164238" w:rsidRDefault="00E00304">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During the temporary slowdown in exports, stock financing support has been provided to protect capacity utilization rates.</w:t>
            </w:r>
          </w:p>
        </w:tc>
      </w:tr>
      <w:tr w:rsidR="00E00304" w:rsidRPr="00164238" w14:paraId="6C63BEBC" w14:textId="77777777" w:rsidTr="00E0030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9B4E90E" w14:textId="77777777" w:rsidR="00E00304" w:rsidRPr="00164238" w:rsidRDefault="00E00304">
            <w:pPr>
              <w:rPr>
                <w:rFonts w:ascii="Times New Roman" w:hAnsi="Times New Roman" w:cs="Times New Roman"/>
                <w:b/>
                <w:color w:val="000000" w:themeColor="text1"/>
                <w:sz w:val="20"/>
                <w:szCs w:val="20"/>
              </w:rPr>
            </w:pPr>
          </w:p>
        </w:tc>
        <w:tc>
          <w:tcPr>
            <w:tcW w:w="6269" w:type="dxa"/>
            <w:tcBorders>
              <w:top w:val="single" w:sz="4" w:space="0" w:color="auto"/>
              <w:left w:val="single" w:sz="4" w:space="0" w:color="auto"/>
              <w:bottom w:val="single" w:sz="4" w:space="0" w:color="auto"/>
              <w:right w:val="single" w:sz="4" w:space="0" w:color="auto"/>
            </w:tcBorders>
            <w:hideMark/>
          </w:tcPr>
          <w:p w14:paraId="3C5D8FD5" w14:textId="77777777" w:rsidR="00E00304" w:rsidRPr="00164238" w:rsidRDefault="00E00304">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State-supported receivable insurance for SMEs has been increased from 25 million TL to 125 million TL.</w:t>
            </w:r>
          </w:p>
        </w:tc>
      </w:tr>
      <w:tr w:rsidR="00E00304" w:rsidRPr="00164238" w14:paraId="0ABC7458" w14:textId="77777777" w:rsidTr="00E00304">
        <w:trPr>
          <w:jc w:val="center"/>
        </w:trPr>
        <w:tc>
          <w:tcPr>
            <w:tcW w:w="2943" w:type="dxa"/>
            <w:vMerge w:val="restart"/>
            <w:tcBorders>
              <w:top w:val="single" w:sz="4" w:space="0" w:color="auto"/>
              <w:left w:val="single" w:sz="4" w:space="0" w:color="auto"/>
              <w:bottom w:val="single" w:sz="4" w:space="0" w:color="auto"/>
              <w:right w:val="single" w:sz="4" w:space="0" w:color="auto"/>
            </w:tcBorders>
          </w:tcPr>
          <w:p w14:paraId="499922C4" w14:textId="77777777" w:rsidR="00E00304" w:rsidRPr="00164238" w:rsidRDefault="00E00304">
            <w:pPr>
              <w:jc w:val="center"/>
              <w:rPr>
                <w:rFonts w:ascii="Times New Roman" w:hAnsi="Times New Roman" w:cs="Times New Roman"/>
                <w:color w:val="000000" w:themeColor="text1"/>
                <w:sz w:val="20"/>
                <w:szCs w:val="20"/>
              </w:rPr>
            </w:pPr>
          </w:p>
          <w:p w14:paraId="12D78569" w14:textId="77777777" w:rsidR="00E00304" w:rsidRPr="00164238" w:rsidRDefault="00E00304">
            <w:pPr>
              <w:jc w:val="center"/>
              <w:rPr>
                <w:rFonts w:ascii="Times New Roman" w:hAnsi="Times New Roman" w:cs="Times New Roman"/>
                <w:color w:val="000000" w:themeColor="text1"/>
                <w:sz w:val="20"/>
                <w:szCs w:val="20"/>
              </w:rPr>
            </w:pPr>
          </w:p>
          <w:p w14:paraId="7125B634" w14:textId="77777777" w:rsidR="00E00304" w:rsidRPr="00164238" w:rsidRDefault="00E00304">
            <w:pPr>
              <w:jc w:val="center"/>
              <w:rPr>
                <w:rFonts w:ascii="Times New Roman" w:hAnsi="Times New Roman" w:cs="Times New Roman"/>
                <w:color w:val="000000" w:themeColor="text1"/>
                <w:sz w:val="20"/>
                <w:szCs w:val="20"/>
              </w:rPr>
            </w:pPr>
          </w:p>
          <w:p w14:paraId="4ECBD769" w14:textId="77777777" w:rsidR="00E00304" w:rsidRPr="00164238" w:rsidRDefault="00E00304">
            <w:pPr>
              <w:jc w:val="center"/>
              <w:rPr>
                <w:rFonts w:ascii="Times New Roman" w:hAnsi="Times New Roman" w:cs="Times New Roman"/>
                <w:color w:val="000000" w:themeColor="text1"/>
                <w:sz w:val="20"/>
                <w:szCs w:val="20"/>
              </w:rPr>
            </w:pPr>
          </w:p>
          <w:p w14:paraId="7D13ADFC" w14:textId="77777777" w:rsidR="00E00304" w:rsidRPr="00164238" w:rsidRDefault="00E00304">
            <w:pPr>
              <w:jc w:val="center"/>
              <w:rPr>
                <w:rFonts w:ascii="Times New Roman" w:hAnsi="Times New Roman" w:cs="Times New Roman"/>
                <w:color w:val="000000" w:themeColor="text1"/>
                <w:sz w:val="20"/>
                <w:szCs w:val="20"/>
              </w:rPr>
            </w:pPr>
          </w:p>
          <w:p w14:paraId="77068A64" w14:textId="77777777" w:rsidR="00E00304" w:rsidRPr="00164238" w:rsidRDefault="00E00304">
            <w:pPr>
              <w:jc w:val="center"/>
              <w:rPr>
                <w:rFonts w:ascii="Times New Roman" w:hAnsi="Times New Roman" w:cs="Times New Roman"/>
                <w:color w:val="000000" w:themeColor="text1"/>
                <w:sz w:val="20"/>
                <w:szCs w:val="20"/>
              </w:rPr>
            </w:pPr>
          </w:p>
          <w:p w14:paraId="50F80341" w14:textId="77777777" w:rsidR="00E00304" w:rsidRPr="00164238" w:rsidRDefault="00E00304">
            <w:pPr>
              <w:jc w:val="center"/>
              <w:rPr>
                <w:rFonts w:ascii="Times New Roman" w:hAnsi="Times New Roman" w:cs="Times New Roman"/>
                <w:color w:val="000000" w:themeColor="text1"/>
                <w:sz w:val="20"/>
                <w:szCs w:val="20"/>
              </w:rPr>
            </w:pPr>
          </w:p>
          <w:p w14:paraId="55A1C83A" w14:textId="77777777" w:rsidR="00E00304" w:rsidRPr="00164238" w:rsidRDefault="00E00304">
            <w:pPr>
              <w:jc w:val="center"/>
              <w:rPr>
                <w:rFonts w:ascii="Times New Roman" w:hAnsi="Times New Roman" w:cs="Times New Roman"/>
                <w:b/>
                <w:color w:val="000000" w:themeColor="text1"/>
                <w:sz w:val="20"/>
                <w:szCs w:val="20"/>
              </w:rPr>
            </w:pPr>
            <w:r w:rsidRPr="00164238">
              <w:rPr>
                <w:rFonts w:ascii="Times New Roman" w:hAnsi="Times New Roman" w:cs="Times New Roman"/>
                <w:b/>
                <w:color w:val="000000" w:themeColor="text1"/>
                <w:sz w:val="20"/>
                <w:szCs w:val="20"/>
              </w:rPr>
              <w:t>Support Policies for Citizen</w:t>
            </w:r>
          </w:p>
        </w:tc>
        <w:tc>
          <w:tcPr>
            <w:tcW w:w="6269" w:type="dxa"/>
            <w:tcBorders>
              <w:top w:val="single" w:sz="4" w:space="0" w:color="auto"/>
              <w:left w:val="single" w:sz="4" w:space="0" w:color="auto"/>
              <w:bottom w:val="single" w:sz="4" w:space="0" w:color="auto"/>
              <w:right w:val="single" w:sz="4" w:space="0" w:color="auto"/>
            </w:tcBorders>
            <w:hideMark/>
          </w:tcPr>
          <w:p w14:paraId="3A8B3D53" w14:textId="77777777" w:rsidR="00E00304" w:rsidRPr="00164238" w:rsidRDefault="00E00304">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It has been announced that 1,000 TL will be given to the unemployed and 5.5 million families that request help.</w:t>
            </w:r>
          </w:p>
        </w:tc>
      </w:tr>
      <w:tr w:rsidR="00E00304" w:rsidRPr="00164238" w14:paraId="30698E49" w14:textId="77777777" w:rsidTr="00E0030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AC8099D" w14:textId="77777777" w:rsidR="00E00304" w:rsidRPr="00164238" w:rsidRDefault="00E00304">
            <w:pPr>
              <w:rPr>
                <w:rFonts w:ascii="Times New Roman" w:hAnsi="Times New Roman" w:cs="Times New Roman"/>
                <w:b/>
                <w:color w:val="000000" w:themeColor="text1"/>
                <w:sz w:val="20"/>
                <w:szCs w:val="20"/>
              </w:rPr>
            </w:pPr>
          </w:p>
        </w:tc>
        <w:tc>
          <w:tcPr>
            <w:tcW w:w="6269" w:type="dxa"/>
            <w:tcBorders>
              <w:top w:val="single" w:sz="4" w:space="0" w:color="auto"/>
              <w:left w:val="single" w:sz="4" w:space="0" w:color="auto"/>
              <w:bottom w:val="single" w:sz="4" w:space="0" w:color="auto"/>
              <w:right w:val="single" w:sz="4" w:space="0" w:color="auto"/>
            </w:tcBorders>
            <w:hideMark/>
          </w:tcPr>
          <w:p w14:paraId="6725CE55" w14:textId="77777777" w:rsidR="00E00304" w:rsidRPr="00164238" w:rsidRDefault="00E00304">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40 billion TL financial support has been given to 6.7 million citizens whose income was less than 5.000 TL.</w:t>
            </w:r>
          </w:p>
        </w:tc>
      </w:tr>
      <w:tr w:rsidR="00E00304" w:rsidRPr="00164238" w14:paraId="26607609" w14:textId="77777777" w:rsidTr="00E0030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C846694" w14:textId="77777777" w:rsidR="00E00304" w:rsidRPr="00164238" w:rsidRDefault="00E00304">
            <w:pPr>
              <w:rPr>
                <w:rFonts w:ascii="Times New Roman" w:hAnsi="Times New Roman" w:cs="Times New Roman"/>
                <w:b/>
                <w:color w:val="000000" w:themeColor="text1"/>
                <w:sz w:val="20"/>
                <w:szCs w:val="20"/>
              </w:rPr>
            </w:pPr>
          </w:p>
        </w:tc>
        <w:tc>
          <w:tcPr>
            <w:tcW w:w="6269" w:type="dxa"/>
            <w:tcBorders>
              <w:top w:val="single" w:sz="4" w:space="0" w:color="auto"/>
              <w:left w:val="single" w:sz="4" w:space="0" w:color="auto"/>
              <w:bottom w:val="single" w:sz="4" w:space="0" w:color="auto"/>
              <w:right w:val="single" w:sz="4" w:space="0" w:color="auto"/>
            </w:tcBorders>
            <w:hideMark/>
          </w:tcPr>
          <w:p w14:paraId="5E60105C" w14:textId="77777777" w:rsidR="00E00304" w:rsidRPr="00164238" w:rsidRDefault="00E00304">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Between March and June, more than 3 million people benefited from the short-time work payment. Monthly monetary support of 1,170 TL has been provided to people who took unpaid leave.</w:t>
            </w:r>
          </w:p>
        </w:tc>
      </w:tr>
      <w:tr w:rsidR="00E00304" w:rsidRPr="00164238" w14:paraId="0E5C6B6A" w14:textId="77777777" w:rsidTr="00E0030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D9CFE3A" w14:textId="77777777" w:rsidR="00E00304" w:rsidRPr="00164238" w:rsidRDefault="00E00304">
            <w:pPr>
              <w:rPr>
                <w:rFonts w:ascii="Times New Roman" w:hAnsi="Times New Roman" w:cs="Times New Roman"/>
                <w:b/>
                <w:color w:val="000000" w:themeColor="text1"/>
                <w:sz w:val="20"/>
                <w:szCs w:val="20"/>
              </w:rPr>
            </w:pPr>
          </w:p>
        </w:tc>
        <w:tc>
          <w:tcPr>
            <w:tcW w:w="6269" w:type="dxa"/>
            <w:tcBorders>
              <w:top w:val="single" w:sz="4" w:space="0" w:color="auto"/>
              <w:left w:val="single" w:sz="4" w:space="0" w:color="auto"/>
              <w:bottom w:val="single" w:sz="4" w:space="0" w:color="auto"/>
              <w:right w:val="single" w:sz="4" w:space="0" w:color="auto"/>
            </w:tcBorders>
            <w:hideMark/>
          </w:tcPr>
          <w:p w14:paraId="6AD1D16E" w14:textId="77777777" w:rsidR="00E00304" w:rsidRPr="00164238" w:rsidRDefault="00E00304">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According to the criteria set by the Ministry of Family, Labor, and Social Services, it has been announced that an additional 2 billion TL will be allocated for cash aid to families.</w:t>
            </w:r>
          </w:p>
        </w:tc>
      </w:tr>
      <w:tr w:rsidR="00E00304" w:rsidRPr="00164238" w14:paraId="46F9E965" w14:textId="77777777" w:rsidTr="00E0030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A917E21" w14:textId="77777777" w:rsidR="00E00304" w:rsidRPr="00164238" w:rsidRDefault="00E00304">
            <w:pPr>
              <w:rPr>
                <w:rFonts w:ascii="Times New Roman" w:hAnsi="Times New Roman" w:cs="Times New Roman"/>
                <w:b/>
                <w:color w:val="000000" w:themeColor="text1"/>
                <w:sz w:val="20"/>
                <w:szCs w:val="20"/>
              </w:rPr>
            </w:pPr>
          </w:p>
        </w:tc>
        <w:tc>
          <w:tcPr>
            <w:tcW w:w="6269" w:type="dxa"/>
            <w:tcBorders>
              <w:top w:val="single" w:sz="4" w:space="0" w:color="auto"/>
              <w:left w:val="single" w:sz="4" w:space="0" w:color="auto"/>
              <w:bottom w:val="single" w:sz="4" w:space="0" w:color="auto"/>
              <w:right w:val="single" w:sz="4" w:space="0" w:color="auto"/>
            </w:tcBorders>
            <w:hideMark/>
          </w:tcPr>
          <w:p w14:paraId="0AA06972" w14:textId="77777777" w:rsidR="00E00304" w:rsidRPr="00164238" w:rsidRDefault="00E00304">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Individual Basic Needs Support Loan has been provided through public banks with a 6-month non-refundable and 36-month maturity up to 10.000 TL.</w:t>
            </w:r>
          </w:p>
        </w:tc>
      </w:tr>
      <w:tr w:rsidR="00E00304" w:rsidRPr="00164238" w14:paraId="77F234F6" w14:textId="77777777" w:rsidTr="00E0030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C7B9D42" w14:textId="77777777" w:rsidR="00E00304" w:rsidRPr="00164238" w:rsidRDefault="00E00304">
            <w:pPr>
              <w:rPr>
                <w:rFonts w:ascii="Times New Roman" w:hAnsi="Times New Roman" w:cs="Times New Roman"/>
                <w:b/>
                <w:color w:val="000000" w:themeColor="text1"/>
                <w:sz w:val="20"/>
                <w:szCs w:val="20"/>
              </w:rPr>
            </w:pPr>
          </w:p>
        </w:tc>
        <w:tc>
          <w:tcPr>
            <w:tcW w:w="6269" w:type="dxa"/>
            <w:tcBorders>
              <w:top w:val="single" w:sz="4" w:space="0" w:color="auto"/>
              <w:left w:val="single" w:sz="4" w:space="0" w:color="auto"/>
              <w:bottom w:val="single" w:sz="4" w:space="0" w:color="auto"/>
              <w:right w:val="single" w:sz="4" w:space="0" w:color="auto"/>
            </w:tcBorders>
            <w:hideMark/>
          </w:tcPr>
          <w:p w14:paraId="2D4CD773" w14:textId="77777777" w:rsidR="00E00304" w:rsidRPr="00164238" w:rsidRDefault="00E00304">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Public banks have implemented four new loan packages, namely “dwelling credit”, “vehicle loan”, “social life support”, and “holiday </w:t>
            </w:r>
            <w:r w:rsidRPr="00164238">
              <w:rPr>
                <w:rFonts w:ascii="Times New Roman" w:hAnsi="Times New Roman" w:cs="Times New Roman"/>
                <w:color w:val="000000" w:themeColor="text1"/>
                <w:sz w:val="20"/>
                <w:szCs w:val="20"/>
              </w:rPr>
              <w:lastRenderedPageBreak/>
              <w:t>support”, to transition to the normalization process and revitalize social life.</w:t>
            </w:r>
          </w:p>
        </w:tc>
      </w:tr>
      <w:tr w:rsidR="00E00304" w:rsidRPr="00164238" w14:paraId="1D67CA73" w14:textId="77777777" w:rsidTr="00E0030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1E6A792" w14:textId="77777777" w:rsidR="00E00304" w:rsidRPr="00164238" w:rsidRDefault="00E00304">
            <w:pPr>
              <w:rPr>
                <w:rFonts w:ascii="Times New Roman" w:hAnsi="Times New Roman" w:cs="Times New Roman"/>
                <w:b/>
                <w:color w:val="000000" w:themeColor="text1"/>
                <w:sz w:val="20"/>
                <w:szCs w:val="20"/>
              </w:rPr>
            </w:pPr>
          </w:p>
        </w:tc>
        <w:tc>
          <w:tcPr>
            <w:tcW w:w="6269" w:type="dxa"/>
            <w:tcBorders>
              <w:top w:val="single" w:sz="4" w:space="0" w:color="auto"/>
              <w:left w:val="single" w:sz="4" w:space="0" w:color="auto"/>
              <w:bottom w:val="single" w:sz="4" w:space="0" w:color="auto"/>
              <w:right w:val="single" w:sz="4" w:space="0" w:color="auto"/>
            </w:tcBorders>
            <w:hideMark/>
          </w:tcPr>
          <w:p w14:paraId="28B75C97" w14:textId="77777777" w:rsidR="00E00304" w:rsidRPr="00164238" w:rsidRDefault="00E00304">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Financing is offered with a low-interest rate and up to 15 years with a grace period of up to 12 months for first-hand/new or second-hand housing purchases.</w:t>
            </w:r>
          </w:p>
        </w:tc>
      </w:tr>
      <w:tr w:rsidR="00E00304" w:rsidRPr="00164238" w14:paraId="36C3B0A2" w14:textId="77777777" w:rsidTr="00E0030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1CE5D18" w14:textId="77777777" w:rsidR="00E00304" w:rsidRPr="00164238" w:rsidRDefault="00E00304">
            <w:pPr>
              <w:rPr>
                <w:rFonts w:ascii="Times New Roman" w:hAnsi="Times New Roman" w:cs="Times New Roman"/>
                <w:b/>
                <w:color w:val="000000" w:themeColor="text1"/>
                <w:sz w:val="20"/>
                <w:szCs w:val="20"/>
              </w:rPr>
            </w:pPr>
          </w:p>
        </w:tc>
        <w:tc>
          <w:tcPr>
            <w:tcW w:w="6269" w:type="dxa"/>
            <w:tcBorders>
              <w:top w:val="single" w:sz="4" w:space="0" w:color="auto"/>
              <w:left w:val="single" w:sz="4" w:space="0" w:color="auto"/>
              <w:bottom w:val="single" w:sz="4" w:space="0" w:color="auto"/>
              <w:right w:val="single" w:sz="4" w:space="0" w:color="auto"/>
            </w:tcBorders>
            <w:hideMark/>
          </w:tcPr>
          <w:p w14:paraId="54D627DA" w14:textId="77777777" w:rsidR="00E00304" w:rsidRPr="00164238" w:rsidRDefault="00E00304">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8.4 billion TL has been allocated to approximately 450.000 craft.</w:t>
            </w:r>
          </w:p>
        </w:tc>
      </w:tr>
      <w:tr w:rsidR="00E00304" w:rsidRPr="00164238" w14:paraId="67543565" w14:textId="77777777" w:rsidTr="00E0030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C5C19E9" w14:textId="77777777" w:rsidR="00E00304" w:rsidRPr="00164238" w:rsidRDefault="00E00304">
            <w:pPr>
              <w:rPr>
                <w:rFonts w:ascii="Times New Roman" w:hAnsi="Times New Roman" w:cs="Times New Roman"/>
                <w:b/>
                <w:color w:val="000000" w:themeColor="text1"/>
                <w:sz w:val="20"/>
                <w:szCs w:val="20"/>
              </w:rPr>
            </w:pPr>
          </w:p>
        </w:tc>
        <w:tc>
          <w:tcPr>
            <w:tcW w:w="6269" w:type="dxa"/>
            <w:tcBorders>
              <w:top w:val="single" w:sz="4" w:space="0" w:color="auto"/>
              <w:left w:val="single" w:sz="4" w:space="0" w:color="auto"/>
              <w:bottom w:val="single" w:sz="4" w:space="0" w:color="auto"/>
              <w:right w:val="single" w:sz="4" w:space="0" w:color="auto"/>
            </w:tcBorders>
            <w:hideMark/>
          </w:tcPr>
          <w:p w14:paraId="445AB811" w14:textId="77777777" w:rsidR="00E00304" w:rsidRPr="00164238" w:rsidRDefault="00E00304">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108 billion TL financial support is allocated to 120.000 companies.</w:t>
            </w:r>
          </w:p>
        </w:tc>
      </w:tr>
      <w:tr w:rsidR="00E00304" w:rsidRPr="00164238" w14:paraId="7D498A5B" w14:textId="77777777" w:rsidTr="00E0030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4916000" w14:textId="77777777" w:rsidR="00E00304" w:rsidRPr="00164238" w:rsidRDefault="00E00304">
            <w:pPr>
              <w:rPr>
                <w:rFonts w:ascii="Times New Roman" w:hAnsi="Times New Roman" w:cs="Times New Roman"/>
                <w:b/>
                <w:color w:val="000000" w:themeColor="text1"/>
                <w:sz w:val="20"/>
                <w:szCs w:val="20"/>
              </w:rPr>
            </w:pPr>
          </w:p>
        </w:tc>
        <w:tc>
          <w:tcPr>
            <w:tcW w:w="6269" w:type="dxa"/>
            <w:tcBorders>
              <w:top w:val="single" w:sz="4" w:space="0" w:color="auto"/>
              <w:left w:val="single" w:sz="4" w:space="0" w:color="auto"/>
              <w:bottom w:val="single" w:sz="4" w:space="0" w:color="auto"/>
              <w:right w:val="single" w:sz="4" w:space="0" w:color="auto"/>
            </w:tcBorders>
            <w:hideMark/>
          </w:tcPr>
          <w:p w14:paraId="781CA096" w14:textId="77777777" w:rsidR="00E00304" w:rsidRPr="00164238" w:rsidRDefault="00E00304">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Public banks have launched a basic needs support package for all citizens whose income is less than 5.000 TL.</w:t>
            </w:r>
          </w:p>
        </w:tc>
      </w:tr>
      <w:tr w:rsidR="00E00304" w:rsidRPr="00164238" w14:paraId="417B4EA3" w14:textId="77777777" w:rsidTr="00E00304">
        <w:trPr>
          <w:jc w:val="center"/>
        </w:trPr>
        <w:tc>
          <w:tcPr>
            <w:tcW w:w="2943" w:type="dxa"/>
            <w:vMerge w:val="restart"/>
            <w:tcBorders>
              <w:top w:val="single" w:sz="4" w:space="0" w:color="auto"/>
              <w:left w:val="single" w:sz="4" w:space="0" w:color="auto"/>
              <w:bottom w:val="single" w:sz="4" w:space="0" w:color="auto"/>
              <w:right w:val="single" w:sz="4" w:space="0" w:color="auto"/>
            </w:tcBorders>
            <w:hideMark/>
          </w:tcPr>
          <w:p w14:paraId="094DCC9C" w14:textId="77777777" w:rsidR="00E00304" w:rsidRPr="00164238" w:rsidRDefault="00E00304">
            <w:pPr>
              <w:jc w:val="center"/>
              <w:rPr>
                <w:rFonts w:ascii="Times New Roman" w:hAnsi="Times New Roman" w:cs="Times New Roman"/>
                <w:b/>
                <w:color w:val="000000" w:themeColor="text1"/>
                <w:sz w:val="20"/>
                <w:szCs w:val="20"/>
              </w:rPr>
            </w:pPr>
            <w:r w:rsidRPr="00164238">
              <w:rPr>
                <w:rFonts w:ascii="Times New Roman" w:hAnsi="Times New Roman" w:cs="Times New Roman"/>
                <w:b/>
                <w:color w:val="000000" w:themeColor="text1"/>
                <w:sz w:val="20"/>
                <w:szCs w:val="20"/>
              </w:rPr>
              <w:t>Employment Support Policies</w:t>
            </w:r>
          </w:p>
        </w:tc>
        <w:tc>
          <w:tcPr>
            <w:tcW w:w="6269" w:type="dxa"/>
            <w:tcBorders>
              <w:top w:val="single" w:sz="4" w:space="0" w:color="auto"/>
              <w:left w:val="single" w:sz="4" w:space="0" w:color="auto"/>
              <w:bottom w:val="single" w:sz="4" w:space="0" w:color="auto"/>
              <w:right w:val="single" w:sz="4" w:space="0" w:color="auto"/>
            </w:tcBorders>
            <w:hideMark/>
          </w:tcPr>
          <w:p w14:paraId="08AF206B" w14:textId="77777777" w:rsidR="00E00304" w:rsidRPr="00164238" w:rsidRDefault="00E00304">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Employment is protected by restricting dismissals for three months</w:t>
            </w:r>
            <w:r w:rsidRPr="00164238">
              <w:rPr>
                <w:rStyle w:val="DipnotBavurusu"/>
                <w:rFonts w:ascii="Times New Roman" w:hAnsi="Times New Roman" w:cs="Times New Roman"/>
                <w:color w:val="000000" w:themeColor="text1"/>
                <w:sz w:val="20"/>
                <w:szCs w:val="20"/>
              </w:rPr>
              <w:footnoteReference w:id="10"/>
            </w:r>
            <w:r w:rsidRPr="00164238">
              <w:rPr>
                <w:rFonts w:ascii="Times New Roman" w:hAnsi="Times New Roman" w:cs="Times New Roman"/>
                <w:color w:val="000000" w:themeColor="text1"/>
                <w:sz w:val="20"/>
                <w:szCs w:val="20"/>
              </w:rPr>
              <w:t>.</w:t>
            </w:r>
          </w:p>
        </w:tc>
      </w:tr>
      <w:tr w:rsidR="00E00304" w:rsidRPr="00164238" w14:paraId="6B893C3B" w14:textId="77777777" w:rsidTr="00E0030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2848BAC" w14:textId="77777777" w:rsidR="00E00304" w:rsidRPr="00164238" w:rsidRDefault="00E00304">
            <w:pPr>
              <w:rPr>
                <w:rFonts w:ascii="Times New Roman" w:hAnsi="Times New Roman" w:cs="Times New Roman"/>
                <w:b/>
                <w:color w:val="000000" w:themeColor="text1"/>
                <w:sz w:val="20"/>
                <w:szCs w:val="20"/>
              </w:rPr>
            </w:pPr>
          </w:p>
        </w:tc>
        <w:tc>
          <w:tcPr>
            <w:tcW w:w="6269" w:type="dxa"/>
            <w:tcBorders>
              <w:top w:val="single" w:sz="4" w:space="0" w:color="auto"/>
              <w:left w:val="single" w:sz="4" w:space="0" w:color="auto"/>
              <w:bottom w:val="single" w:sz="4" w:space="0" w:color="auto"/>
              <w:right w:val="single" w:sz="4" w:space="0" w:color="auto"/>
            </w:tcBorders>
            <w:hideMark/>
          </w:tcPr>
          <w:p w14:paraId="21EF11C3" w14:textId="77777777" w:rsidR="00E00304" w:rsidRPr="00164238" w:rsidRDefault="00E00304">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20.000 new teachers were assigned.</w:t>
            </w:r>
          </w:p>
        </w:tc>
      </w:tr>
      <w:tr w:rsidR="00E00304" w:rsidRPr="00164238" w14:paraId="3F080638" w14:textId="77777777" w:rsidTr="00E00304">
        <w:trPr>
          <w:jc w:val="center"/>
        </w:trPr>
        <w:tc>
          <w:tcPr>
            <w:tcW w:w="2943" w:type="dxa"/>
            <w:vMerge w:val="restart"/>
            <w:tcBorders>
              <w:top w:val="single" w:sz="4" w:space="0" w:color="auto"/>
              <w:left w:val="single" w:sz="4" w:space="0" w:color="auto"/>
              <w:bottom w:val="single" w:sz="4" w:space="0" w:color="auto"/>
              <w:right w:val="single" w:sz="4" w:space="0" w:color="auto"/>
            </w:tcBorders>
          </w:tcPr>
          <w:p w14:paraId="0AD88DD6" w14:textId="77777777" w:rsidR="00E00304" w:rsidRPr="00164238" w:rsidRDefault="00E00304">
            <w:pPr>
              <w:jc w:val="center"/>
              <w:rPr>
                <w:rFonts w:ascii="Times New Roman" w:hAnsi="Times New Roman" w:cs="Times New Roman"/>
                <w:color w:val="000000" w:themeColor="text1"/>
                <w:sz w:val="20"/>
                <w:szCs w:val="20"/>
              </w:rPr>
            </w:pPr>
          </w:p>
          <w:p w14:paraId="30C5FB86" w14:textId="77777777" w:rsidR="00E00304" w:rsidRPr="00164238" w:rsidRDefault="00E00304">
            <w:pPr>
              <w:jc w:val="center"/>
              <w:rPr>
                <w:rFonts w:ascii="Times New Roman" w:hAnsi="Times New Roman" w:cs="Times New Roman"/>
                <w:color w:val="000000" w:themeColor="text1"/>
                <w:sz w:val="20"/>
                <w:szCs w:val="20"/>
              </w:rPr>
            </w:pPr>
          </w:p>
          <w:p w14:paraId="364F00AC" w14:textId="77777777" w:rsidR="00E00304" w:rsidRPr="00164238" w:rsidRDefault="00E00304">
            <w:pPr>
              <w:jc w:val="center"/>
              <w:rPr>
                <w:rFonts w:ascii="Times New Roman" w:hAnsi="Times New Roman" w:cs="Times New Roman"/>
                <w:color w:val="000000" w:themeColor="text1"/>
                <w:sz w:val="20"/>
                <w:szCs w:val="20"/>
              </w:rPr>
            </w:pPr>
          </w:p>
          <w:p w14:paraId="0FD99AC8" w14:textId="77777777" w:rsidR="00E00304" w:rsidRPr="00164238" w:rsidRDefault="00E00304">
            <w:pPr>
              <w:jc w:val="center"/>
              <w:rPr>
                <w:rFonts w:ascii="Times New Roman" w:hAnsi="Times New Roman" w:cs="Times New Roman"/>
                <w:color w:val="000000" w:themeColor="text1"/>
                <w:sz w:val="20"/>
                <w:szCs w:val="20"/>
              </w:rPr>
            </w:pPr>
          </w:p>
          <w:p w14:paraId="2A13AB65" w14:textId="77777777" w:rsidR="00E00304" w:rsidRPr="00164238" w:rsidRDefault="00E00304">
            <w:pPr>
              <w:jc w:val="center"/>
              <w:rPr>
                <w:rFonts w:ascii="Times New Roman" w:hAnsi="Times New Roman" w:cs="Times New Roman"/>
                <w:b/>
                <w:color w:val="000000" w:themeColor="text1"/>
                <w:sz w:val="20"/>
                <w:szCs w:val="20"/>
              </w:rPr>
            </w:pPr>
            <w:r w:rsidRPr="00164238">
              <w:rPr>
                <w:rFonts w:ascii="Times New Roman" w:hAnsi="Times New Roman" w:cs="Times New Roman"/>
                <w:b/>
                <w:color w:val="000000" w:themeColor="text1"/>
                <w:sz w:val="20"/>
                <w:szCs w:val="20"/>
              </w:rPr>
              <w:t>Deferment of Financial Liabilities</w:t>
            </w:r>
          </w:p>
        </w:tc>
        <w:tc>
          <w:tcPr>
            <w:tcW w:w="6269" w:type="dxa"/>
            <w:tcBorders>
              <w:top w:val="single" w:sz="4" w:space="0" w:color="auto"/>
              <w:left w:val="single" w:sz="4" w:space="0" w:color="auto"/>
              <w:bottom w:val="single" w:sz="4" w:space="0" w:color="auto"/>
              <w:right w:val="single" w:sz="4" w:space="0" w:color="auto"/>
            </w:tcBorders>
            <w:hideMark/>
          </w:tcPr>
          <w:p w14:paraId="4FA31922" w14:textId="77777777" w:rsidR="00E00304" w:rsidRPr="00164238" w:rsidRDefault="00E00304">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The government has increased the two-month compensatory work period to four months to ensure continuity in employment.</w:t>
            </w:r>
          </w:p>
        </w:tc>
      </w:tr>
      <w:tr w:rsidR="00E00304" w:rsidRPr="00164238" w14:paraId="657694EB" w14:textId="77777777" w:rsidTr="00E0030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1E35628" w14:textId="77777777" w:rsidR="00E00304" w:rsidRPr="00164238" w:rsidRDefault="00E00304">
            <w:pPr>
              <w:rPr>
                <w:rFonts w:ascii="Times New Roman" w:hAnsi="Times New Roman" w:cs="Times New Roman"/>
                <w:b/>
                <w:color w:val="000000" w:themeColor="text1"/>
                <w:sz w:val="20"/>
                <w:szCs w:val="20"/>
              </w:rPr>
            </w:pPr>
          </w:p>
        </w:tc>
        <w:tc>
          <w:tcPr>
            <w:tcW w:w="6269" w:type="dxa"/>
            <w:tcBorders>
              <w:top w:val="single" w:sz="4" w:space="0" w:color="auto"/>
              <w:left w:val="single" w:sz="4" w:space="0" w:color="auto"/>
              <w:bottom w:val="single" w:sz="4" w:space="0" w:color="auto"/>
              <w:right w:val="single" w:sz="4" w:space="0" w:color="auto"/>
            </w:tcBorders>
            <w:hideMark/>
          </w:tcPr>
          <w:p w14:paraId="796CFEC4" w14:textId="77777777" w:rsidR="00E00304" w:rsidRPr="00164238" w:rsidRDefault="00E00304">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Capital and interest payments of all crafts have been deferred.</w:t>
            </w:r>
          </w:p>
        </w:tc>
      </w:tr>
      <w:tr w:rsidR="00E00304" w:rsidRPr="00164238" w14:paraId="502133EA" w14:textId="77777777" w:rsidTr="00E0030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13BF4FC" w14:textId="77777777" w:rsidR="00E00304" w:rsidRPr="00164238" w:rsidRDefault="00E00304">
            <w:pPr>
              <w:rPr>
                <w:rFonts w:ascii="Times New Roman" w:hAnsi="Times New Roman" w:cs="Times New Roman"/>
                <w:b/>
                <w:color w:val="000000" w:themeColor="text1"/>
                <w:sz w:val="20"/>
                <w:szCs w:val="20"/>
              </w:rPr>
            </w:pPr>
          </w:p>
        </w:tc>
        <w:tc>
          <w:tcPr>
            <w:tcW w:w="6269" w:type="dxa"/>
            <w:tcBorders>
              <w:top w:val="single" w:sz="4" w:space="0" w:color="auto"/>
              <w:left w:val="single" w:sz="4" w:space="0" w:color="auto"/>
              <w:bottom w:val="single" w:sz="4" w:space="0" w:color="auto"/>
              <w:right w:val="single" w:sz="4" w:space="0" w:color="auto"/>
            </w:tcBorders>
            <w:hideMark/>
          </w:tcPr>
          <w:p w14:paraId="44321374" w14:textId="77777777" w:rsidR="00E00304" w:rsidRPr="00164238" w:rsidRDefault="00E00304">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The accommodation tax has been deferred until November.</w:t>
            </w:r>
          </w:p>
        </w:tc>
      </w:tr>
      <w:tr w:rsidR="00E00304" w:rsidRPr="00164238" w14:paraId="4C66D054" w14:textId="77777777" w:rsidTr="00E0030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4D16BA1" w14:textId="77777777" w:rsidR="00E00304" w:rsidRPr="00164238" w:rsidRDefault="00E00304">
            <w:pPr>
              <w:rPr>
                <w:rFonts w:ascii="Times New Roman" w:hAnsi="Times New Roman" w:cs="Times New Roman"/>
                <w:b/>
                <w:color w:val="000000" w:themeColor="text1"/>
                <w:sz w:val="20"/>
                <w:szCs w:val="20"/>
              </w:rPr>
            </w:pPr>
          </w:p>
        </w:tc>
        <w:tc>
          <w:tcPr>
            <w:tcW w:w="6269" w:type="dxa"/>
            <w:tcBorders>
              <w:top w:val="single" w:sz="4" w:space="0" w:color="auto"/>
              <w:left w:val="single" w:sz="4" w:space="0" w:color="auto"/>
              <w:bottom w:val="single" w:sz="4" w:space="0" w:color="auto"/>
              <w:right w:val="single" w:sz="4" w:space="0" w:color="auto"/>
            </w:tcBorders>
            <w:hideMark/>
          </w:tcPr>
          <w:p w14:paraId="111ACE3E" w14:textId="77777777" w:rsidR="00E00304" w:rsidRPr="00164238" w:rsidRDefault="00E00304">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The follow-up period of the credits that have been deferred has been risen from 90 days to 180 days.</w:t>
            </w:r>
          </w:p>
        </w:tc>
      </w:tr>
      <w:tr w:rsidR="00E00304" w:rsidRPr="00164238" w14:paraId="443405AA" w14:textId="77777777" w:rsidTr="00E0030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F52FC03" w14:textId="77777777" w:rsidR="00E00304" w:rsidRPr="00164238" w:rsidRDefault="00E00304">
            <w:pPr>
              <w:rPr>
                <w:rFonts w:ascii="Times New Roman" w:hAnsi="Times New Roman" w:cs="Times New Roman"/>
                <w:b/>
                <w:color w:val="000000" w:themeColor="text1"/>
                <w:sz w:val="20"/>
                <w:szCs w:val="20"/>
              </w:rPr>
            </w:pPr>
          </w:p>
        </w:tc>
        <w:tc>
          <w:tcPr>
            <w:tcW w:w="6269" w:type="dxa"/>
            <w:tcBorders>
              <w:top w:val="single" w:sz="4" w:space="0" w:color="auto"/>
              <w:left w:val="single" w:sz="4" w:space="0" w:color="auto"/>
              <w:bottom w:val="single" w:sz="4" w:space="0" w:color="auto"/>
              <w:right w:val="single" w:sz="4" w:space="0" w:color="auto"/>
            </w:tcBorders>
            <w:hideMark/>
          </w:tcPr>
          <w:p w14:paraId="4D9ABC3B" w14:textId="77777777" w:rsidR="00E00304" w:rsidRPr="00164238" w:rsidRDefault="00E00304">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The loan capital and interest payments of firms to banks whose cash flows deteriorated were deterred for three months.</w:t>
            </w:r>
          </w:p>
        </w:tc>
      </w:tr>
      <w:tr w:rsidR="00E00304" w:rsidRPr="00164238" w14:paraId="4921B588" w14:textId="77777777" w:rsidTr="00E00304">
        <w:trPr>
          <w:jc w:val="center"/>
        </w:trPr>
        <w:tc>
          <w:tcPr>
            <w:tcW w:w="2943" w:type="dxa"/>
            <w:vMerge w:val="restart"/>
            <w:tcBorders>
              <w:top w:val="single" w:sz="4" w:space="0" w:color="auto"/>
              <w:left w:val="single" w:sz="4" w:space="0" w:color="auto"/>
              <w:bottom w:val="single" w:sz="4" w:space="0" w:color="auto"/>
              <w:right w:val="single" w:sz="4" w:space="0" w:color="auto"/>
            </w:tcBorders>
          </w:tcPr>
          <w:p w14:paraId="1ACA299F" w14:textId="77777777" w:rsidR="00E00304" w:rsidRPr="00164238" w:rsidRDefault="00E00304">
            <w:pPr>
              <w:jc w:val="center"/>
              <w:rPr>
                <w:rFonts w:ascii="Times New Roman" w:hAnsi="Times New Roman" w:cs="Times New Roman"/>
                <w:color w:val="000000" w:themeColor="text1"/>
                <w:sz w:val="20"/>
                <w:szCs w:val="20"/>
              </w:rPr>
            </w:pPr>
          </w:p>
          <w:p w14:paraId="58AB6A96" w14:textId="77777777" w:rsidR="00E00304" w:rsidRPr="00164238" w:rsidRDefault="00E00304">
            <w:pPr>
              <w:jc w:val="center"/>
              <w:rPr>
                <w:rFonts w:ascii="Times New Roman" w:hAnsi="Times New Roman" w:cs="Times New Roman"/>
                <w:color w:val="000000" w:themeColor="text1"/>
                <w:sz w:val="20"/>
                <w:szCs w:val="20"/>
              </w:rPr>
            </w:pPr>
          </w:p>
          <w:p w14:paraId="4324F4AD" w14:textId="77777777" w:rsidR="00E00304" w:rsidRPr="00164238" w:rsidRDefault="00E00304">
            <w:pPr>
              <w:jc w:val="center"/>
              <w:rPr>
                <w:rFonts w:ascii="Times New Roman" w:hAnsi="Times New Roman" w:cs="Times New Roman"/>
                <w:b/>
                <w:color w:val="000000" w:themeColor="text1"/>
                <w:sz w:val="20"/>
                <w:szCs w:val="20"/>
              </w:rPr>
            </w:pPr>
          </w:p>
          <w:p w14:paraId="7BCB782C" w14:textId="77777777" w:rsidR="00E00304" w:rsidRPr="00164238" w:rsidRDefault="00E00304">
            <w:pPr>
              <w:jc w:val="center"/>
              <w:rPr>
                <w:rFonts w:ascii="Times New Roman" w:hAnsi="Times New Roman" w:cs="Times New Roman"/>
                <w:b/>
                <w:color w:val="000000" w:themeColor="text1"/>
                <w:sz w:val="20"/>
                <w:szCs w:val="20"/>
              </w:rPr>
            </w:pPr>
            <w:r w:rsidRPr="00164238">
              <w:rPr>
                <w:rFonts w:ascii="Times New Roman" w:hAnsi="Times New Roman" w:cs="Times New Roman"/>
                <w:b/>
                <w:color w:val="000000" w:themeColor="text1"/>
                <w:sz w:val="20"/>
                <w:szCs w:val="20"/>
              </w:rPr>
              <w:t>Sectoral Incentive Policies</w:t>
            </w:r>
          </w:p>
        </w:tc>
        <w:tc>
          <w:tcPr>
            <w:tcW w:w="6269" w:type="dxa"/>
            <w:tcBorders>
              <w:top w:val="single" w:sz="4" w:space="0" w:color="auto"/>
              <w:left w:val="single" w:sz="4" w:space="0" w:color="auto"/>
              <w:bottom w:val="single" w:sz="4" w:space="0" w:color="auto"/>
              <w:right w:val="single" w:sz="4" w:space="0" w:color="auto"/>
            </w:tcBorders>
            <w:hideMark/>
          </w:tcPr>
          <w:p w14:paraId="47CE1C55" w14:textId="77777777" w:rsidR="00E00304" w:rsidRPr="00164238" w:rsidRDefault="00E00304">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For priority sectors such as retail, shopping mall, automotive and logistics, which were most affected by the pandemic, withholding, VAT and SSI premium payments were postponed for six months.</w:t>
            </w:r>
          </w:p>
        </w:tc>
      </w:tr>
      <w:tr w:rsidR="00E00304" w:rsidRPr="00164238" w14:paraId="7D26A581" w14:textId="77777777" w:rsidTr="00E0030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D3DF547" w14:textId="77777777" w:rsidR="00E00304" w:rsidRPr="00164238" w:rsidRDefault="00E00304">
            <w:pPr>
              <w:rPr>
                <w:rFonts w:ascii="Times New Roman" w:hAnsi="Times New Roman" w:cs="Times New Roman"/>
                <w:b/>
                <w:color w:val="000000" w:themeColor="text1"/>
                <w:sz w:val="20"/>
                <w:szCs w:val="20"/>
              </w:rPr>
            </w:pPr>
          </w:p>
        </w:tc>
        <w:tc>
          <w:tcPr>
            <w:tcW w:w="6269" w:type="dxa"/>
            <w:tcBorders>
              <w:top w:val="single" w:sz="4" w:space="0" w:color="auto"/>
              <w:left w:val="single" w:sz="4" w:space="0" w:color="auto"/>
              <w:bottom w:val="single" w:sz="4" w:space="0" w:color="auto"/>
              <w:right w:val="single" w:sz="4" w:space="0" w:color="auto"/>
            </w:tcBorders>
            <w:hideMark/>
          </w:tcPr>
          <w:p w14:paraId="3CF77A96" w14:textId="77777777" w:rsidR="00E00304" w:rsidRPr="00164238" w:rsidRDefault="00E00304">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154 billion TL financing was allocated to 197,000 enterprises.</w:t>
            </w:r>
          </w:p>
        </w:tc>
      </w:tr>
      <w:tr w:rsidR="00E00304" w:rsidRPr="00164238" w14:paraId="69AB50E6" w14:textId="77777777" w:rsidTr="00E0030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EA83DF9" w14:textId="77777777" w:rsidR="00E00304" w:rsidRPr="00164238" w:rsidRDefault="00E00304">
            <w:pPr>
              <w:rPr>
                <w:rFonts w:ascii="Times New Roman" w:hAnsi="Times New Roman" w:cs="Times New Roman"/>
                <w:b/>
                <w:color w:val="000000" w:themeColor="text1"/>
                <w:sz w:val="20"/>
                <w:szCs w:val="20"/>
              </w:rPr>
            </w:pPr>
          </w:p>
        </w:tc>
        <w:tc>
          <w:tcPr>
            <w:tcW w:w="6269" w:type="dxa"/>
            <w:tcBorders>
              <w:top w:val="single" w:sz="4" w:space="0" w:color="auto"/>
              <w:left w:val="single" w:sz="4" w:space="0" w:color="auto"/>
              <w:bottom w:val="single" w:sz="4" w:space="0" w:color="auto"/>
              <w:right w:val="single" w:sz="4" w:space="0" w:color="auto"/>
            </w:tcBorders>
            <w:hideMark/>
          </w:tcPr>
          <w:p w14:paraId="275E59E4" w14:textId="77777777" w:rsidR="00E00304" w:rsidRPr="00164238" w:rsidRDefault="00E00304">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Support of 27 billion TL was provided to 1 million 300 thousand farmers through Halkbank.</w:t>
            </w:r>
          </w:p>
        </w:tc>
      </w:tr>
      <w:tr w:rsidR="00E00304" w:rsidRPr="00164238" w14:paraId="2EA3EC38" w14:textId="77777777" w:rsidTr="00E0030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C4B75EC" w14:textId="77777777" w:rsidR="00E00304" w:rsidRPr="00164238" w:rsidRDefault="00E00304">
            <w:pPr>
              <w:rPr>
                <w:rFonts w:ascii="Times New Roman" w:hAnsi="Times New Roman" w:cs="Times New Roman"/>
                <w:b/>
                <w:color w:val="000000" w:themeColor="text1"/>
                <w:sz w:val="20"/>
                <w:szCs w:val="20"/>
              </w:rPr>
            </w:pPr>
          </w:p>
        </w:tc>
        <w:tc>
          <w:tcPr>
            <w:tcW w:w="6269" w:type="dxa"/>
            <w:tcBorders>
              <w:top w:val="single" w:sz="4" w:space="0" w:color="auto"/>
              <w:left w:val="single" w:sz="4" w:space="0" w:color="auto"/>
              <w:bottom w:val="single" w:sz="4" w:space="0" w:color="auto"/>
              <w:right w:val="single" w:sz="4" w:space="0" w:color="auto"/>
            </w:tcBorders>
            <w:hideMark/>
          </w:tcPr>
          <w:p w14:paraId="25F7CDEE" w14:textId="77777777" w:rsidR="00E00304" w:rsidRPr="00164238" w:rsidRDefault="00E00304">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In domestic air transport, the VAT rate has been reduced from 18% to 1% for three months. Lending support was provided for the housing sector.</w:t>
            </w:r>
          </w:p>
        </w:tc>
      </w:tr>
    </w:tbl>
    <w:p w14:paraId="61A9E221" w14:textId="77777777" w:rsidR="00E00304" w:rsidRPr="00164238" w:rsidRDefault="00E00304" w:rsidP="00E00304">
      <w:pPr>
        <w:spacing w:after="120"/>
        <w:jc w:val="both"/>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rPr>
        <w:t>Source:</w:t>
      </w:r>
      <w:r w:rsidRPr="00164238">
        <w:rPr>
          <w:rFonts w:ascii="Times New Roman" w:hAnsi="Times New Roman" w:cs="Times New Roman"/>
          <w:color w:val="000000" w:themeColor="text1"/>
          <w:sz w:val="20"/>
          <w:szCs w:val="20"/>
        </w:rPr>
        <w:t xml:space="preserve"> Yıldız and Uzun, 2020: 36-37.</w:t>
      </w:r>
    </w:p>
    <w:p w14:paraId="4D54F842" w14:textId="77777777" w:rsidR="00E00304" w:rsidRPr="00164238" w:rsidRDefault="00E00304" w:rsidP="00E00304">
      <w:pPr>
        <w:spacing w:before="120" w:after="12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As of January 2021, the discretionary financial support package’s total is predicted to be 646 billion TL, corresponding to 12.8% of GDP. About 173 billion TL of this amount (3.4% of GDP) is in the form of within-budget measures (IMF, 2021b).</w:t>
      </w:r>
    </w:p>
    <w:p w14:paraId="4FC4E7DF" w14:textId="4D997F38" w:rsidR="00E00304" w:rsidRPr="00164238" w:rsidRDefault="00E00304" w:rsidP="00E00304">
      <w:pPr>
        <w:spacing w:after="0"/>
        <w:jc w:val="center"/>
        <w:rPr>
          <w:rFonts w:ascii="Times New Roman" w:hAnsi="Times New Roman" w:cs="Times New Roman"/>
          <w:b/>
          <w:color w:val="000000" w:themeColor="text1"/>
          <w:sz w:val="20"/>
          <w:szCs w:val="20"/>
        </w:rPr>
      </w:pPr>
      <w:r w:rsidRPr="00164238">
        <w:rPr>
          <w:rFonts w:ascii="Times New Roman" w:hAnsi="Times New Roman" w:cs="Times New Roman"/>
          <w:noProof/>
          <w:color w:val="000000" w:themeColor="text1"/>
          <w:sz w:val="20"/>
          <w:szCs w:val="20"/>
          <w:lang w:val="en-US"/>
        </w:rPr>
        <w:drawing>
          <wp:inline distT="0" distB="0" distL="0" distR="0" wp14:anchorId="6C15F991" wp14:editId="711F01EB">
            <wp:extent cx="5760720" cy="2161540"/>
            <wp:effectExtent l="0" t="0" r="0" b="0"/>
            <wp:docPr id="126" name="Resi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760720" cy="2161540"/>
                    </a:xfrm>
                    <a:prstGeom prst="rect">
                      <a:avLst/>
                    </a:prstGeom>
                    <a:noFill/>
                    <a:ln>
                      <a:noFill/>
                    </a:ln>
                  </pic:spPr>
                </pic:pic>
              </a:graphicData>
            </a:graphic>
          </wp:inline>
        </w:drawing>
      </w:r>
      <w:r w:rsidRPr="00164238">
        <w:rPr>
          <w:rFonts w:ascii="Times New Roman" w:hAnsi="Times New Roman" w:cs="Times New Roman"/>
          <w:b/>
          <w:color w:val="000000" w:themeColor="text1"/>
          <w:sz w:val="20"/>
          <w:szCs w:val="20"/>
        </w:rPr>
        <w:t>Figure 3.</w:t>
      </w:r>
      <w:r w:rsidRPr="00164238">
        <w:rPr>
          <w:rFonts w:ascii="Times New Roman" w:hAnsi="Times New Roman" w:cs="Times New Roman"/>
          <w:color w:val="000000" w:themeColor="text1"/>
          <w:sz w:val="20"/>
          <w:szCs w:val="20"/>
        </w:rPr>
        <w:t xml:space="preserve"> </w:t>
      </w:r>
      <w:r w:rsidRPr="00164238">
        <w:rPr>
          <w:rFonts w:ascii="Times New Roman" w:hAnsi="Times New Roman" w:cs="Times New Roman"/>
          <w:bCs/>
          <w:color w:val="000000" w:themeColor="text1"/>
          <w:sz w:val="20"/>
          <w:szCs w:val="20"/>
          <w:lang w:val="en-US"/>
        </w:rPr>
        <w:t>Discretionary Fiscal Response to the COVID-19 Crisis in Selected Economies</w:t>
      </w:r>
      <w:r w:rsidRPr="00164238">
        <w:rPr>
          <w:rFonts w:ascii="Times New Roman" w:hAnsi="Times New Roman" w:cs="Times New Roman"/>
          <w:b/>
          <w:color w:val="000000" w:themeColor="text1"/>
          <w:sz w:val="20"/>
          <w:szCs w:val="20"/>
          <w:lang w:val="en-US"/>
        </w:rPr>
        <w:t xml:space="preserve"> </w:t>
      </w:r>
      <w:r w:rsidRPr="00164238">
        <w:rPr>
          <w:rFonts w:ascii="Times New Roman" w:hAnsi="Times New Roman" w:cs="Times New Roman"/>
          <w:iCs/>
          <w:color w:val="000000" w:themeColor="text1"/>
          <w:sz w:val="20"/>
          <w:szCs w:val="20"/>
          <w:lang w:val="en-US"/>
        </w:rPr>
        <w:t>(</w:t>
      </w:r>
      <w:r w:rsidRPr="00164238">
        <w:rPr>
          <w:rFonts w:ascii="Times New Roman" w:hAnsi="Times New Roman" w:cs="Times New Roman"/>
          <w:color w:val="000000" w:themeColor="text1"/>
          <w:sz w:val="20"/>
          <w:szCs w:val="20"/>
        </w:rPr>
        <w:t>%</w:t>
      </w:r>
      <w:r w:rsidRPr="00164238">
        <w:rPr>
          <w:rFonts w:ascii="Times New Roman" w:hAnsi="Times New Roman" w:cs="Times New Roman"/>
          <w:iCs/>
          <w:color w:val="000000" w:themeColor="text1"/>
          <w:sz w:val="20"/>
          <w:szCs w:val="20"/>
          <w:lang w:val="en-US"/>
        </w:rPr>
        <w:t xml:space="preserve"> of GDP)</w:t>
      </w:r>
    </w:p>
    <w:p w14:paraId="5000456E" w14:textId="77777777" w:rsidR="00E00304" w:rsidRPr="00164238" w:rsidRDefault="00E00304" w:rsidP="00E00304">
      <w:pPr>
        <w:jc w:val="center"/>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rPr>
        <w:t>Source:</w:t>
      </w:r>
      <w:r w:rsidRPr="00164238">
        <w:rPr>
          <w:rFonts w:ascii="Times New Roman" w:hAnsi="Times New Roman" w:cs="Times New Roman"/>
          <w:color w:val="000000" w:themeColor="text1"/>
          <w:sz w:val="20"/>
          <w:szCs w:val="20"/>
        </w:rPr>
        <w:t xml:space="preserve"> IMF, 2021b.</w:t>
      </w:r>
    </w:p>
    <w:p w14:paraId="35746A9F" w14:textId="77777777" w:rsidR="00E00304" w:rsidRPr="00164238" w:rsidRDefault="00E00304" w:rsidP="00E00304">
      <w:pPr>
        <w:spacing w:before="120" w:after="120"/>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Turkey’s policy in the fight against coronavirus is comprehensive. Markets were not left to their fate in the fight against the crisis; on the contrary, they were supported by various intervention mechanisms. </w:t>
      </w:r>
      <w:r w:rsidRPr="00164238">
        <w:rPr>
          <w:rFonts w:ascii="Times New Roman" w:hAnsi="Times New Roman" w:cs="Times New Roman"/>
          <w:color w:val="000000" w:themeColor="text1"/>
          <w:sz w:val="20"/>
          <w:szCs w:val="20"/>
        </w:rPr>
        <w:lastRenderedPageBreak/>
        <w:t>Similarly, the government supported the individuals through cash payments due to income loss during the curfew and restriction. Notwithstanding these policies, as indicated in Figure 3, the share of public measures of GDP remains low compared to advanced countries.</w:t>
      </w:r>
    </w:p>
    <w:p w14:paraId="4E2B318C" w14:textId="77777777" w:rsidR="00E00304" w:rsidRPr="00164238" w:rsidRDefault="00E00304" w:rsidP="00E00304">
      <w:pPr>
        <w:spacing w:before="120" w:after="120"/>
        <w:jc w:val="both"/>
        <w:rPr>
          <w:rFonts w:ascii="Times New Roman" w:hAnsi="Times New Roman" w:cs="Times New Roman"/>
          <w:color w:val="000000" w:themeColor="text1"/>
          <w:sz w:val="20"/>
          <w:szCs w:val="20"/>
        </w:rPr>
      </w:pPr>
    </w:p>
    <w:p w14:paraId="6A18B541" w14:textId="5ACF3513" w:rsidR="00E00304" w:rsidRPr="00164238" w:rsidRDefault="00E00304" w:rsidP="00E00304">
      <w:pPr>
        <w:spacing w:before="120" w:after="120" w:line="240" w:lineRule="auto"/>
        <w:ind w:firstLine="708"/>
        <w:jc w:val="both"/>
        <w:rPr>
          <w:rFonts w:ascii="Times New Roman" w:hAnsi="Times New Roman" w:cs="Times New Roman"/>
          <w:b/>
          <w:color w:val="000000" w:themeColor="text1"/>
          <w:sz w:val="20"/>
          <w:szCs w:val="20"/>
        </w:rPr>
      </w:pPr>
      <w:r w:rsidRPr="00164238">
        <w:rPr>
          <w:rFonts w:ascii="Times New Roman" w:hAnsi="Times New Roman" w:cs="Times New Roman"/>
          <w:b/>
          <w:color w:val="000000" w:themeColor="text1"/>
          <w:sz w:val="20"/>
          <w:szCs w:val="20"/>
        </w:rPr>
        <w:t>Economic Measures Against Covid-19 in Other Countries</w:t>
      </w:r>
    </w:p>
    <w:p w14:paraId="50EE5FF2"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World leaders came together to act in a common position against the 2008 global financial crisis. Although the policies against the crisis were not perfect, coordinated fiscal stimulus packages have had significant impacts. </w:t>
      </w:r>
      <w:r w:rsidRPr="00164238">
        <w:rPr>
          <w:rStyle w:val="Gl"/>
          <w:rFonts w:ascii="Times New Roman" w:hAnsi="Times New Roman" w:cs="Times New Roman"/>
          <w:color w:val="000000" w:themeColor="text1"/>
          <w:sz w:val="20"/>
          <w:szCs w:val="20"/>
        </w:rPr>
        <w:t>It is expected that world leaders should realize the same reactions against Covid 19, which emerged in the world economy and gained a global shape</w:t>
      </w:r>
      <w:r w:rsidRPr="00164238">
        <w:rPr>
          <w:rFonts w:ascii="Times New Roman" w:hAnsi="Times New Roman" w:cs="Times New Roman"/>
          <w:b/>
          <w:color w:val="000000" w:themeColor="text1"/>
          <w:sz w:val="20"/>
          <w:szCs w:val="20"/>
        </w:rPr>
        <w:t xml:space="preserve">. </w:t>
      </w:r>
      <w:r w:rsidRPr="00164238">
        <w:rPr>
          <w:rStyle w:val="Gl"/>
          <w:rFonts w:ascii="Times New Roman" w:hAnsi="Times New Roman" w:cs="Times New Roman"/>
          <w:color w:val="000000" w:themeColor="text1"/>
          <w:sz w:val="20"/>
          <w:szCs w:val="20"/>
        </w:rPr>
        <w:t>Today, the policy capacities of the world’s developed economies, such as G-20, which face a kind of stress test, have a determinant role in combating the pandemic (</w:t>
      </w:r>
      <w:r w:rsidRPr="00164238">
        <w:rPr>
          <w:rFonts w:ascii="Times New Roman" w:hAnsi="Times New Roman" w:cs="Times New Roman"/>
          <w:color w:val="000000" w:themeColor="text1"/>
          <w:sz w:val="20"/>
          <w:szCs w:val="20"/>
        </w:rPr>
        <w:t>Baldwin and Di Mauro, 2020: 28).</w:t>
      </w:r>
    </w:p>
    <w:p w14:paraId="63E39EE1"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Although viewed as contradictory, Covid-19, a global threat, demonstrated the power of nation-states. In order to prevent the spread of the virus, many policies, from border control to restriction of travel and economic measures, have strengthened the power of nation-states. Therefore, the idea that “nation-states are dead” has been replaced by the concept of “long live nation-states” (Ayoob, 2020).</w:t>
      </w:r>
    </w:p>
    <w:p w14:paraId="2E530105"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Returning to the nation-states constitutes an exceptional situation in the European Union, given the union’s founding mentality. Because the union has faced many disagreements in creating a common policy. For example, while nine countries, including Italy, Spain, and France, advocated the issuance of ‘corona bonds’ to establish a joint debt mechanism, German Chancellor Angela Merkel opposed this. She stated that the European Stability Mechanism (ESM) should be used instead to help countries with financial difficulties in the Eurozone. The Netherlands, Austria, and Finland also supported Merkel’s approach (Herszenhorn et al., 2020). The difficulties experienced by the Union in creating common policies have led each European country to develop individual policies for combating the pandemic. Although the measures taken against the crisis differ among the countries, this situation has shown that every nation-state has the flexibility to act independently and that each member state can return to the national border whenever desired (O’Connell, 2020).</w:t>
      </w:r>
    </w:p>
    <w:p w14:paraId="415AEA25" w14:textId="77777777" w:rsidR="00E00304" w:rsidRPr="00164238" w:rsidRDefault="00E00304" w:rsidP="00E00304">
      <w:pPr>
        <w:spacing w:after="0"/>
        <w:jc w:val="both"/>
        <w:rPr>
          <w:rFonts w:ascii="Times New Roman" w:hAnsi="Times New Roman" w:cs="Times New Roman"/>
          <w:b/>
          <w:color w:val="000000" w:themeColor="text1"/>
          <w:sz w:val="20"/>
          <w:szCs w:val="20"/>
        </w:rPr>
      </w:pPr>
      <w:r w:rsidRPr="00164238">
        <w:rPr>
          <w:rFonts w:ascii="Times New Roman" w:hAnsi="Times New Roman" w:cs="Times New Roman"/>
          <w:b/>
          <w:color w:val="000000" w:themeColor="text1"/>
          <w:sz w:val="20"/>
          <w:szCs w:val="20"/>
        </w:rPr>
        <w:t xml:space="preserve">Table 4. </w:t>
      </w:r>
      <w:r w:rsidRPr="00164238">
        <w:rPr>
          <w:rStyle w:val="Gl"/>
          <w:rFonts w:ascii="Times New Roman" w:hAnsi="Times New Roman" w:cs="Times New Roman"/>
          <w:color w:val="000000" w:themeColor="text1"/>
          <w:sz w:val="20"/>
          <w:szCs w:val="20"/>
        </w:rPr>
        <w:t>Key Policy Responses for Covid-19 in Selected Countries</w:t>
      </w:r>
    </w:p>
    <w:tbl>
      <w:tblPr>
        <w:tblStyle w:val="TabloKlavuzu"/>
        <w:tblW w:w="0" w:type="auto"/>
        <w:jc w:val="center"/>
        <w:tblLook w:val="04A0" w:firstRow="1" w:lastRow="0" w:firstColumn="1" w:lastColumn="0" w:noHBand="0" w:noVBand="1"/>
      </w:tblPr>
      <w:tblGrid>
        <w:gridCol w:w="8495"/>
      </w:tblGrid>
      <w:tr w:rsidR="00E00304" w:rsidRPr="00164238" w14:paraId="2DC32B0A" w14:textId="77777777" w:rsidTr="00E00304">
        <w:trPr>
          <w:jc w:val="center"/>
        </w:trPr>
        <w:tc>
          <w:tcPr>
            <w:tcW w:w="9212" w:type="dxa"/>
            <w:tcBorders>
              <w:top w:val="single" w:sz="4" w:space="0" w:color="auto"/>
              <w:left w:val="single" w:sz="4" w:space="0" w:color="auto"/>
              <w:bottom w:val="single" w:sz="4" w:space="0" w:color="auto"/>
              <w:right w:val="single" w:sz="4" w:space="0" w:color="auto"/>
            </w:tcBorders>
            <w:hideMark/>
          </w:tcPr>
          <w:p w14:paraId="57D5524D" w14:textId="77777777" w:rsidR="00E00304" w:rsidRPr="00164238" w:rsidRDefault="00E00304">
            <w:pPr>
              <w:jc w:val="center"/>
              <w:rPr>
                <w:rFonts w:ascii="Times New Roman" w:hAnsi="Times New Roman" w:cs="Times New Roman"/>
                <w:b/>
                <w:color w:val="000000" w:themeColor="text1"/>
                <w:sz w:val="18"/>
                <w:szCs w:val="18"/>
              </w:rPr>
            </w:pPr>
            <w:r w:rsidRPr="00164238">
              <w:rPr>
                <w:rFonts w:ascii="Times New Roman" w:hAnsi="Times New Roman" w:cs="Times New Roman"/>
                <w:b/>
                <w:color w:val="000000" w:themeColor="text1"/>
                <w:sz w:val="18"/>
                <w:szCs w:val="18"/>
              </w:rPr>
              <w:t>United States of America, of March 11, 2021</w:t>
            </w:r>
          </w:p>
        </w:tc>
      </w:tr>
      <w:tr w:rsidR="00E00304" w:rsidRPr="00164238" w14:paraId="5ECD8584" w14:textId="77777777" w:rsidTr="00E00304">
        <w:trPr>
          <w:jc w:val="center"/>
        </w:trPr>
        <w:tc>
          <w:tcPr>
            <w:tcW w:w="9212" w:type="dxa"/>
            <w:tcBorders>
              <w:top w:val="single" w:sz="4" w:space="0" w:color="auto"/>
              <w:left w:val="single" w:sz="4" w:space="0" w:color="auto"/>
              <w:bottom w:val="single" w:sz="4" w:space="0" w:color="auto"/>
              <w:right w:val="single" w:sz="4" w:space="0" w:color="auto"/>
            </w:tcBorders>
            <w:hideMark/>
          </w:tcPr>
          <w:p w14:paraId="3356FB05" w14:textId="77777777" w:rsidR="00E00304" w:rsidRPr="00164238" w:rsidRDefault="00E00304">
            <w:pPr>
              <w:jc w:val="both"/>
              <w:rPr>
                <w:rFonts w:ascii="Times New Roman" w:hAnsi="Times New Roman" w:cs="Times New Roman"/>
                <w:color w:val="000000" w:themeColor="text1"/>
                <w:sz w:val="18"/>
                <w:szCs w:val="18"/>
              </w:rPr>
            </w:pPr>
            <w:r w:rsidRPr="00164238">
              <w:rPr>
                <w:rFonts w:ascii="Times New Roman" w:hAnsi="Times New Roman" w:cs="Times New Roman"/>
                <w:b/>
                <w:color w:val="000000" w:themeColor="text1"/>
                <w:sz w:val="18"/>
                <w:szCs w:val="18"/>
                <w:u w:val="single"/>
              </w:rPr>
              <w:t>FISCAL MEASURES</w:t>
            </w:r>
          </w:p>
          <w:p w14:paraId="2AE8C73C" w14:textId="77777777" w:rsidR="00E00304" w:rsidRPr="00164238" w:rsidRDefault="00E00304" w:rsidP="007C3550">
            <w:pPr>
              <w:pStyle w:val="ListeParagraf"/>
              <w:numPr>
                <w:ilvl w:val="0"/>
                <w:numId w:val="39"/>
              </w:numPr>
              <w:jc w:val="both"/>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The government accepted a 1.844 trillion dollars bailout package on March 11, 2021. This package includes protecting public health, business, and individuals. Besides, it expands unemployment benefit programs. It aims to pay the individual 1,400 dollars directly. It also includes direct assistance to state and local governments, improvement of the vaccination program, funding for opening schools again.</w:t>
            </w:r>
          </w:p>
          <w:p w14:paraId="3F300929" w14:textId="77777777" w:rsidR="00E00304" w:rsidRPr="00164238" w:rsidRDefault="00E00304" w:rsidP="007C3550">
            <w:pPr>
              <w:numPr>
                <w:ilvl w:val="0"/>
                <w:numId w:val="39"/>
              </w:numPr>
              <w:jc w:val="both"/>
              <w:rPr>
                <w:rFonts w:ascii="Times New Roman" w:eastAsia="Times New Roman" w:hAnsi="Times New Roman" w:cs="Times New Roman"/>
                <w:color w:val="000000" w:themeColor="text1"/>
                <w:sz w:val="18"/>
                <w:szCs w:val="18"/>
              </w:rPr>
            </w:pPr>
            <w:r w:rsidRPr="00164238">
              <w:rPr>
                <w:rFonts w:ascii="Times New Roman" w:eastAsia="Times New Roman" w:hAnsi="Times New Roman" w:cs="Times New Roman"/>
                <w:color w:val="000000" w:themeColor="text1"/>
                <w:sz w:val="18"/>
                <w:szCs w:val="18"/>
              </w:rPr>
              <w:t>The government approved an 868 billion dollar funding package for supporting unemployed people and disadvantaged people on December 28, 2020.</w:t>
            </w:r>
          </w:p>
          <w:p w14:paraId="30DC44DC" w14:textId="77777777" w:rsidR="00E00304" w:rsidRPr="00164238" w:rsidRDefault="00E00304" w:rsidP="007C3550">
            <w:pPr>
              <w:numPr>
                <w:ilvl w:val="0"/>
                <w:numId w:val="39"/>
              </w:numPr>
              <w:jc w:val="both"/>
              <w:rPr>
                <w:rFonts w:ascii="Times New Roman" w:eastAsia="Times New Roman" w:hAnsi="Times New Roman" w:cs="Times New Roman"/>
                <w:color w:val="000000" w:themeColor="text1"/>
                <w:sz w:val="18"/>
                <w:szCs w:val="18"/>
              </w:rPr>
            </w:pPr>
            <w:r w:rsidRPr="00164238">
              <w:rPr>
                <w:rFonts w:ascii="Times New Roman" w:eastAsia="Times New Roman" w:hAnsi="Times New Roman" w:cs="Times New Roman"/>
                <w:color w:val="000000" w:themeColor="text1"/>
                <w:sz w:val="18"/>
                <w:szCs w:val="18"/>
              </w:rPr>
              <w:t>The decree is passed to consider coronavirus laws procured by preceding acts on August 8, 2020. This action aims the following i) Challenging for unemployment by providing 44 billion dollars; ii) Postponement of student’s credit; iii) Postponement of employees’ social security taxes.</w:t>
            </w:r>
          </w:p>
          <w:p w14:paraId="0D4A7308" w14:textId="77777777" w:rsidR="00E00304" w:rsidRPr="00164238" w:rsidRDefault="00E00304" w:rsidP="007C3550">
            <w:pPr>
              <w:pStyle w:val="ListeParagraf"/>
              <w:numPr>
                <w:ilvl w:val="0"/>
                <w:numId w:val="39"/>
              </w:numPr>
              <w:jc w:val="both"/>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The 2.3 trillion dollars Coronavirus Aid, Relief and Economy Security Act (“CARES Act”), which corresponds to approximately 11% of GDP, has been enacted. CARES consists of i) Providing tax refund for once; ii) Extended the unemployment benefits schedule; iii) Providing the 25 billion dollars in food aid for disadvantaged people; iv) Providing a loan and guarantee of 510 billion dollars to prevent bankruptcies; v) 349 billion dollars in loan and guarantee support for small businesses;          vi) Allocation of 100 billion dollars to hospitals; vii) 150 billion dollars transfer payment to local authorities; viii)  Funding support of 49.9 billion dollars for foreign aid.</w:t>
            </w:r>
          </w:p>
          <w:p w14:paraId="7C2BBBD7" w14:textId="77777777" w:rsidR="00E00304" w:rsidRPr="00164238" w:rsidRDefault="00E00304">
            <w:pPr>
              <w:jc w:val="both"/>
              <w:rPr>
                <w:rFonts w:ascii="Times New Roman" w:hAnsi="Times New Roman" w:cs="Times New Roman"/>
                <w:color w:val="000000" w:themeColor="text1"/>
                <w:sz w:val="18"/>
                <w:szCs w:val="18"/>
              </w:rPr>
            </w:pPr>
            <w:r w:rsidRPr="00164238">
              <w:rPr>
                <w:rFonts w:ascii="Times New Roman" w:hAnsi="Times New Roman" w:cs="Times New Roman"/>
                <w:b/>
                <w:color w:val="000000" w:themeColor="text1"/>
                <w:sz w:val="18"/>
                <w:szCs w:val="18"/>
                <w:u w:val="single"/>
              </w:rPr>
              <w:t>MONETARY MEASURES</w:t>
            </w:r>
          </w:p>
          <w:p w14:paraId="34D22151" w14:textId="77777777" w:rsidR="00E00304" w:rsidRPr="00164238" w:rsidRDefault="00E00304" w:rsidP="007C3550">
            <w:pPr>
              <w:pStyle w:val="ListeParagraf"/>
              <w:numPr>
                <w:ilvl w:val="0"/>
                <w:numId w:val="39"/>
              </w:numPr>
              <w:jc w:val="both"/>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The Fed lowered the interest rate to 0-0.25bp.</w:t>
            </w:r>
          </w:p>
          <w:p w14:paraId="7C54DDCA" w14:textId="77777777" w:rsidR="00E00304" w:rsidRPr="00164238" w:rsidRDefault="00E00304" w:rsidP="007C3550">
            <w:pPr>
              <w:pStyle w:val="ListeParagraf"/>
              <w:numPr>
                <w:ilvl w:val="0"/>
                <w:numId w:val="39"/>
              </w:numPr>
              <w:jc w:val="both"/>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The FED also introduced various possibilities to support liquidity. Possibilities consist of the following: i) Commercial Paper Funding Facility; ii) </w:t>
            </w:r>
            <w:r w:rsidRPr="00164238">
              <w:rPr>
                <w:rStyle w:val="Vurgu"/>
                <w:rFonts w:ascii="Times New Roman" w:hAnsi="Times New Roman" w:cs="Times New Roman"/>
                <w:color w:val="000000" w:themeColor="text1"/>
                <w:sz w:val="18"/>
                <w:szCs w:val="18"/>
              </w:rPr>
              <w:t>Primary Dealer Credit Facility; iii) </w:t>
            </w:r>
            <w:r w:rsidRPr="00164238">
              <w:rPr>
                <w:rFonts w:ascii="Times New Roman" w:hAnsi="Times New Roman" w:cs="Times New Roman"/>
                <w:color w:val="000000" w:themeColor="text1"/>
                <w:sz w:val="18"/>
                <w:szCs w:val="18"/>
              </w:rPr>
              <w:t>Money Market Mutual Fund Liquidity Facility; iv) </w:t>
            </w:r>
            <w:r w:rsidRPr="00164238">
              <w:rPr>
                <w:rStyle w:val="Vurgu"/>
                <w:rFonts w:ascii="Times New Roman" w:hAnsi="Times New Roman" w:cs="Times New Roman"/>
                <w:color w:val="000000" w:themeColor="text1"/>
                <w:sz w:val="18"/>
                <w:szCs w:val="18"/>
              </w:rPr>
              <w:t>Primary Market Corporate Credit Facility; v) </w:t>
            </w:r>
            <w:r w:rsidRPr="00164238">
              <w:rPr>
                <w:rFonts w:ascii="Times New Roman" w:hAnsi="Times New Roman" w:cs="Times New Roman"/>
                <w:color w:val="000000" w:themeColor="text1"/>
                <w:sz w:val="18"/>
                <w:szCs w:val="18"/>
              </w:rPr>
              <w:t>Secondary Market Corporate Credit Facility; vi) Term Asset-Backed Securities Loan Opportunity; vii) </w:t>
            </w:r>
            <w:r w:rsidRPr="00164238">
              <w:rPr>
                <w:rStyle w:val="Vurgu"/>
                <w:rFonts w:ascii="Times New Roman" w:hAnsi="Times New Roman" w:cs="Times New Roman"/>
                <w:color w:val="000000" w:themeColor="text1"/>
                <w:sz w:val="18"/>
                <w:szCs w:val="18"/>
              </w:rPr>
              <w:t>Paycheck Protection Program Liquidity Facility; viii) </w:t>
            </w:r>
            <w:r w:rsidRPr="00164238">
              <w:rPr>
                <w:rFonts w:ascii="Times New Roman" w:hAnsi="Times New Roman" w:cs="Times New Roman"/>
                <w:color w:val="000000" w:themeColor="text1"/>
                <w:sz w:val="18"/>
                <w:szCs w:val="18"/>
              </w:rPr>
              <w:t>Main Street Lending Program; ix) Municipal Liquidity Facility.    </w:t>
            </w:r>
          </w:p>
        </w:tc>
      </w:tr>
      <w:tr w:rsidR="00E00304" w:rsidRPr="00164238" w14:paraId="3825F19F" w14:textId="77777777" w:rsidTr="00E00304">
        <w:trPr>
          <w:jc w:val="center"/>
        </w:trPr>
        <w:tc>
          <w:tcPr>
            <w:tcW w:w="9212" w:type="dxa"/>
            <w:tcBorders>
              <w:top w:val="single" w:sz="4" w:space="0" w:color="auto"/>
              <w:left w:val="single" w:sz="4" w:space="0" w:color="auto"/>
              <w:bottom w:val="single" w:sz="4" w:space="0" w:color="auto"/>
              <w:right w:val="single" w:sz="4" w:space="0" w:color="auto"/>
            </w:tcBorders>
            <w:hideMark/>
          </w:tcPr>
          <w:p w14:paraId="0D8811F7" w14:textId="77777777" w:rsidR="00E00304" w:rsidRPr="00164238" w:rsidRDefault="00E00304">
            <w:pPr>
              <w:jc w:val="center"/>
              <w:rPr>
                <w:rFonts w:ascii="Times New Roman" w:hAnsi="Times New Roman" w:cs="Times New Roman"/>
                <w:b/>
                <w:color w:val="000000" w:themeColor="text1"/>
                <w:sz w:val="18"/>
                <w:szCs w:val="18"/>
              </w:rPr>
            </w:pPr>
            <w:r w:rsidRPr="00164238">
              <w:rPr>
                <w:rFonts w:ascii="Times New Roman" w:hAnsi="Times New Roman" w:cs="Times New Roman"/>
                <w:b/>
                <w:color w:val="000000" w:themeColor="text1"/>
                <w:sz w:val="18"/>
                <w:szCs w:val="18"/>
              </w:rPr>
              <w:t>CHINA, as of April 2, 2021</w:t>
            </w:r>
          </w:p>
        </w:tc>
      </w:tr>
      <w:tr w:rsidR="00E00304" w:rsidRPr="00164238" w14:paraId="5C8DEE79" w14:textId="77777777" w:rsidTr="00E00304">
        <w:trPr>
          <w:jc w:val="center"/>
        </w:trPr>
        <w:tc>
          <w:tcPr>
            <w:tcW w:w="9212" w:type="dxa"/>
            <w:tcBorders>
              <w:top w:val="single" w:sz="4" w:space="0" w:color="auto"/>
              <w:left w:val="single" w:sz="4" w:space="0" w:color="auto"/>
              <w:bottom w:val="single" w:sz="4" w:space="0" w:color="auto"/>
              <w:right w:val="single" w:sz="4" w:space="0" w:color="auto"/>
            </w:tcBorders>
            <w:hideMark/>
          </w:tcPr>
          <w:p w14:paraId="22B31FC7" w14:textId="77777777" w:rsidR="00E00304" w:rsidRPr="00164238" w:rsidRDefault="00E00304">
            <w:pPr>
              <w:jc w:val="both"/>
              <w:rPr>
                <w:rFonts w:ascii="Times New Roman" w:hAnsi="Times New Roman" w:cs="Times New Roman"/>
                <w:color w:val="000000" w:themeColor="text1"/>
                <w:sz w:val="18"/>
                <w:szCs w:val="18"/>
              </w:rPr>
            </w:pPr>
            <w:r w:rsidRPr="00164238">
              <w:rPr>
                <w:rFonts w:ascii="Times New Roman" w:hAnsi="Times New Roman" w:cs="Times New Roman"/>
                <w:b/>
                <w:color w:val="000000" w:themeColor="text1"/>
                <w:sz w:val="18"/>
                <w:szCs w:val="18"/>
                <w:u w:val="single"/>
              </w:rPr>
              <w:t>FISCAL MEASURES</w:t>
            </w:r>
          </w:p>
          <w:p w14:paraId="4CD6E5EA" w14:textId="77777777" w:rsidR="00E00304" w:rsidRPr="00164238" w:rsidRDefault="00E00304" w:rsidP="007C3550">
            <w:pPr>
              <w:numPr>
                <w:ilvl w:val="0"/>
                <w:numId w:val="40"/>
              </w:numPr>
              <w:jc w:val="both"/>
              <w:rPr>
                <w:rFonts w:ascii="Times New Roman" w:eastAsia="Times New Roman" w:hAnsi="Times New Roman" w:cs="Times New Roman"/>
                <w:color w:val="000000" w:themeColor="text1"/>
                <w:sz w:val="18"/>
                <w:szCs w:val="18"/>
              </w:rPr>
            </w:pPr>
            <w:r w:rsidRPr="00164238">
              <w:rPr>
                <w:rFonts w:ascii="Times New Roman" w:eastAsia="Times New Roman" w:hAnsi="Times New Roman" w:cs="Times New Roman"/>
                <w:color w:val="000000" w:themeColor="text1"/>
                <w:sz w:val="18"/>
                <w:szCs w:val="18"/>
              </w:rPr>
              <w:lastRenderedPageBreak/>
              <w:t>Discretionary fiscal measures amounting to RMB4.8 trillion, corresponding to an estimated 4.7% of GDP, have been announced for combating Covid-19. This package includes: i) Making obligatory expenditures to prevent and control the pandemic; ii) Produce medical products; iii) Acceleration of unemployment insurance payments to cover migrants; iv) Tax relief and renounce of social security support; v) Public investments.</w:t>
            </w:r>
          </w:p>
          <w:p w14:paraId="6B3F2CEE" w14:textId="77777777" w:rsidR="00E00304" w:rsidRPr="00164238" w:rsidRDefault="00E00304">
            <w:pPr>
              <w:jc w:val="both"/>
              <w:rPr>
                <w:rFonts w:ascii="Times New Roman" w:hAnsi="Times New Roman" w:cs="Times New Roman"/>
                <w:color w:val="000000" w:themeColor="text1"/>
                <w:sz w:val="18"/>
                <w:szCs w:val="18"/>
              </w:rPr>
            </w:pPr>
            <w:r w:rsidRPr="00164238">
              <w:rPr>
                <w:rFonts w:ascii="Times New Roman" w:hAnsi="Times New Roman" w:cs="Times New Roman"/>
                <w:b/>
                <w:color w:val="000000" w:themeColor="text1"/>
                <w:sz w:val="18"/>
                <w:szCs w:val="18"/>
                <w:u w:val="single"/>
              </w:rPr>
              <w:t>MONETARY MEASURES</w:t>
            </w:r>
          </w:p>
          <w:p w14:paraId="71AB8804" w14:textId="77777777" w:rsidR="00E00304" w:rsidRPr="00164238" w:rsidRDefault="00E00304" w:rsidP="007C3550">
            <w:pPr>
              <w:pStyle w:val="ListeParagraf"/>
              <w:numPr>
                <w:ilvl w:val="0"/>
                <w:numId w:val="41"/>
              </w:numPr>
              <w:jc w:val="both"/>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The central bank of China has also taken action to support the financial markets. Basic precautions include: i) Providing liquidity; ii) Expanding credit opportunities; iii) Decreasing the interest rates.</w:t>
            </w:r>
          </w:p>
        </w:tc>
      </w:tr>
      <w:tr w:rsidR="00E00304" w:rsidRPr="00164238" w14:paraId="167DDDA5" w14:textId="77777777" w:rsidTr="00E00304">
        <w:trPr>
          <w:jc w:val="center"/>
        </w:trPr>
        <w:tc>
          <w:tcPr>
            <w:tcW w:w="9212" w:type="dxa"/>
            <w:tcBorders>
              <w:top w:val="single" w:sz="4" w:space="0" w:color="auto"/>
              <w:left w:val="single" w:sz="4" w:space="0" w:color="auto"/>
              <w:bottom w:val="single" w:sz="4" w:space="0" w:color="auto"/>
              <w:right w:val="single" w:sz="4" w:space="0" w:color="auto"/>
            </w:tcBorders>
            <w:hideMark/>
          </w:tcPr>
          <w:p w14:paraId="4C027CE3" w14:textId="77777777" w:rsidR="00E00304" w:rsidRPr="00164238" w:rsidRDefault="00E00304">
            <w:pPr>
              <w:pStyle w:val="ListeParagraf"/>
              <w:jc w:val="center"/>
              <w:rPr>
                <w:rFonts w:ascii="Times New Roman" w:hAnsi="Times New Roman" w:cs="Times New Roman"/>
                <w:color w:val="000000" w:themeColor="text1"/>
                <w:sz w:val="18"/>
                <w:szCs w:val="18"/>
              </w:rPr>
            </w:pPr>
            <w:r w:rsidRPr="00164238">
              <w:rPr>
                <w:rFonts w:ascii="Times New Roman" w:hAnsi="Times New Roman" w:cs="Times New Roman"/>
                <w:b/>
                <w:color w:val="000000" w:themeColor="text1"/>
                <w:sz w:val="18"/>
                <w:szCs w:val="18"/>
                <w:shd w:val="clear" w:color="auto" w:fill="FFFFFF"/>
              </w:rPr>
              <w:lastRenderedPageBreak/>
              <w:t xml:space="preserve">ITALIA, </w:t>
            </w:r>
            <w:r w:rsidRPr="00164238">
              <w:rPr>
                <w:rFonts w:ascii="Times New Roman" w:hAnsi="Times New Roman" w:cs="Times New Roman"/>
                <w:b/>
                <w:color w:val="000000" w:themeColor="text1"/>
                <w:sz w:val="18"/>
                <w:szCs w:val="18"/>
              </w:rPr>
              <w:t>as of April 2, 2021</w:t>
            </w:r>
          </w:p>
        </w:tc>
      </w:tr>
      <w:tr w:rsidR="00E00304" w:rsidRPr="00164238" w14:paraId="295AF2E3" w14:textId="77777777" w:rsidTr="00E00304">
        <w:trPr>
          <w:jc w:val="center"/>
        </w:trPr>
        <w:tc>
          <w:tcPr>
            <w:tcW w:w="9212" w:type="dxa"/>
            <w:tcBorders>
              <w:top w:val="single" w:sz="4" w:space="0" w:color="auto"/>
              <w:left w:val="single" w:sz="4" w:space="0" w:color="auto"/>
              <w:bottom w:val="single" w:sz="4" w:space="0" w:color="auto"/>
              <w:right w:val="single" w:sz="4" w:space="0" w:color="auto"/>
            </w:tcBorders>
            <w:hideMark/>
          </w:tcPr>
          <w:p w14:paraId="75ACB9DC" w14:textId="77777777" w:rsidR="00E00304" w:rsidRPr="00164238" w:rsidRDefault="00E00304">
            <w:pPr>
              <w:jc w:val="both"/>
              <w:rPr>
                <w:rFonts w:ascii="Times New Roman" w:hAnsi="Times New Roman" w:cs="Times New Roman"/>
                <w:color w:val="000000" w:themeColor="text1"/>
                <w:sz w:val="18"/>
                <w:szCs w:val="18"/>
              </w:rPr>
            </w:pPr>
            <w:r w:rsidRPr="00164238">
              <w:rPr>
                <w:rFonts w:ascii="Times New Roman" w:hAnsi="Times New Roman" w:cs="Times New Roman"/>
                <w:b/>
                <w:color w:val="000000" w:themeColor="text1"/>
                <w:sz w:val="18"/>
                <w:szCs w:val="18"/>
                <w:u w:val="single"/>
              </w:rPr>
              <w:t>FISCAL MEASURES</w:t>
            </w:r>
          </w:p>
          <w:p w14:paraId="7E633297" w14:textId="77777777" w:rsidR="00E00304" w:rsidRPr="00164238" w:rsidRDefault="00E00304" w:rsidP="007C3550">
            <w:pPr>
              <w:pStyle w:val="ListeParagraf"/>
              <w:numPr>
                <w:ilvl w:val="0"/>
                <w:numId w:val="41"/>
              </w:numPr>
              <w:jc w:val="both"/>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The Italian government accepted the emergency package of 25 billion euros “Cura Italia”, which corresponds to 1.6% of GDP. This package includes the following issues: i) Using 3.2 billion euros to empower healthcare system and civil protection; ii) Providing 10.3 billion euros for measures to protect unemployed people; iii) Providing 6.4 billion euros to protect firms, iv) Providing 5.1 billion euros of funds to expand the loan supply on March 17, 2020.</w:t>
            </w:r>
          </w:p>
          <w:p w14:paraId="3E98CCDB" w14:textId="77777777" w:rsidR="00E00304" w:rsidRPr="00164238" w:rsidRDefault="00E00304" w:rsidP="007C3550">
            <w:pPr>
              <w:pStyle w:val="ListeParagraf"/>
              <w:numPr>
                <w:ilvl w:val="0"/>
                <w:numId w:val="41"/>
              </w:numPr>
              <w:jc w:val="both"/>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Government guarantee has been increased to 400 billion euros, which correspond to 25% of GDP, were allowed by the Liquidity Decree on April 6, 2020.</w:t>
            </w:r>
          </w:p>
          <w:p w14:paraId="06F7CD19" w14:textId="77777777" w:rsidR="00E00304" w:rsidRPr="00164238" w:rsidRDefault="00E00304" w:rsidP="007C3550">
            <w:pPr>
              <w:pStyle w:val="ListeParagraf"/>
              <w:numPr>
                <w:ilvl w:val="0"/>
                <w:numId w:val="41"/>
              </w:numPr>
              <w:jc w:val="both"/>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The “Rölansman” fiscal measures package of 55 billion euros seized, which corresponds to 3.5% of GDP on May 15, 2020.</w:t>
            </w:r>
          </w:p>
          <w:p w14:paraId="6B83DBE5" w14:textId="77777777" w:rsidR="00E00304" w:rsidRPr="00164238" w:rsidRDefault="00E00304" w:rsidP="007C3550">
            <w:pPr>
              <w:pStyle w:val="ListeParagraf"/>
              <w:numPr>
                <w:ilvl w:val="0"/>
                <w:numId w:val="41"/>
              </w:numPr>
              <w:jc w:val="both"/>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The government adopted a new third support package on 8 August 2020, after parliament approved a deficit deviation of 25 billion euros, which corresponds to 1.6% of GDP. This package includes labor and social measures worth 12 billion euros.</w:t>
            </w:r>
          </w:p>
          <w:p w14:paraId="3C97D9A7" w14:textId="77777777" w:rsidR="00E00304" w:rsidRPr="00164238" w:rsidRDefault="00E00304" w:rsidP="007C3550">
            <w:pPr>
              <w:pStyle w:val="ListeParagraf"/>
              <w:numPr>
                <w:ilvl w:val="0"/>
                <w:numId w:val="41"/>
              </w:numPr>
              <w:jc w:val="both"/>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The government adopted another 5.4 billion euros package for providing flexibility to most affected firms on October 27, 2020.</w:t>
            </w:r>
          </w:p>
          <w:p w14:paraId="2885A014" w14:textId="77777777" w:rsidR="00E00304" w:rsidRPr="00164238" w:rsidRDefault="00E00304" w:rsidP="007C3550">
            <w:pPr>
              <w:pStyle w:val="ListeParagraf"/>
              <w:numPr>
                <w:ilvl w:val="0"/>
                <w:numId w:val="41"/>
              </w:numPr>
              <w:jc w:val="both"/>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Another fiscal rescue approves, 32 billion euros approved on, aimed at expanding support labor force and employer on 19 March of 2021.</w:t>
            </w:r>
          </w:p>
        </w:tc>
      </w:tr>
      <w:tr w:rsidR="00E00304" w:rsidRPr="00164238" w14:paraId="197BBD27" w14:textId="77777777" w:rsidTr="00E00304">
        <w:trPr>
          <w:jc w:val="center"/>
        </w:trPr>
        <w:tc>
          <w:tcPr>
            <w:tcW w:w="9212" w:type="dxa"/>
            <w:tcBorders>
              <w:top w:val="single" w:sz="4" w:space="0" w:color="auto"/>
              <w:left w:val="single" w:sz="4" w:space="0" w:color="auto"/>
              <w:bottom w:val="single" w:sz="4" w:space="0" w:color="auto"/>
              <w:right w:val="single" w:sz="4" w:space="0" w:color="auto"/>
            </w:tcBorders>
            <w:hideMark/>
          </w:tcPr>
          <w:p w14:paraId="2124BD37" w14:textId="77777777" w:rsidR="00E00304" w:rsidRPr="00164238" w:rsidRDefault="00E00304">
            <w:pPr>
              <w:pStyle w:val="ListeParagraf"/>
              <w:jc w:val="center"/>
              <w:rPr>
                <w:rFonts w:ascii="Times New Roman" w:hAnsi="Times New Roman" w:cs="Times New Roman"/>
                <w:b/>
                <w:color w:val="000000" w:themeColor="text1"/>
                <w:sz w:val="18"/>
                <w:szCs w:val="18"/>
              </w:rPr>
            </w:pPr>
            <w:r w:rsidRPr="00164238">
              <w:rPr>
                <w:rFonts w:ascii="Times New Roman" w:hAnsi="Times New Roman" w:cs="Times New Roman"/>
                <w:b/>
                <w:color w:val="000000" w:themeColor="text1"/>
                <w:sz w:val="18"/>
                <w:szCs w:val="18"/>
              </w:rPr>
              <w:t>SPAIN, as of April 1, 2021</w:t>
            </w:r>
          </w:p>
        </w:tc>
      </w:tr>
      <w:tr w:rsidR="00E00304" w:rsidRPr="00164238" w14:paraId="45914B05" w14:textId="77777777" w:rsidTr="00E00304">
        <w:trPr>
          <w:jc w:val="center"/>
        </w:trPr>
        <w:tc>
          <w:tcPr>
            <w:tcW w:w="9212" w:type="dxa"/>
            <w:tcBorders>
              <w:top w:val="single" w:sz="4" w:space="0" w:color="auto"/>
              <w:left w:val="single" w:sz="4" w:space="0" w:color="auto"/>
              <w:bottom w:val="single" w:sz="4" w:space="0" w:color="auto"/>
              <w:right w:val="single" w:sz="4" w:space="0" w:color="auto"/>
            </w:tcBorders>
            <w:hideMark/>
          </w:tcPr>
          <w:p w14:paraId="3B14304C" w14:textId="77777777" w:rsidR="00E00304" w:rsidRPr="00164238" w:rsidRDefault="00E00304">
            <w:pPr>
              <w:jc w:val="both"/>
              <w:rPr>
                <w:rFonts w:ascii="Times New Roman" w:hAnsi="Times New Roman" w:cs="Times New Roman"/>
                <w:color w:val="000000" w:themeColor="text1"/>
                <w:sz w:val="18"/>
                <w:szCs w:val="18"/>
              </w:rPr>
            </w:pPr>
            <w:r w:rsidRPr="00164238">
              <w:rPr>
                <w:rFonts w:ascii="Times New Roman" w:hAnsi="Times New Roman" w:cs="Times New Roman"/>
                <w:b/>
                <w:color w:val="000000" w:themeColor="text1"/>
                <w:sz w:val="18"/>
                <w:szCs w:val="18"/>
                <w:u w:val="single"/>
              </w:rPr>
              <w:t>FISCAL MEASURES</w:t>
            </w:r>
          </w:p>
          <w:p w14:paraId="108DB71E" w14:textId="77777777" w:rsidR="00E00304" w:rsidRPr="00164238" w:rsidRDefault="00E00304" w:rsidP="007C3550">
            <w:pPr>
              <w:pStyle w:val="ListeParagraf"/>
              <w:numPr>
                <w:ilvl w:val="0"/>
                <w:numId w:val="42"/>
              </w:numPr>
              <w:jc w:val="both"/>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A financial rescue package of 85 billion euros is approved, corresponding to 7.4% of GDP. The package includes the following:</w:t>
            </w:r>
          </w:p>
          <w:p w14:paraId="27B6B5C5" w14:textId="77777777" w:rsidR="00E00304" w:rsidRPr="00164238" w:rsidRDefault="00E00304" w:rsidP="007C3550">
            <w:pPr>
              <w:pStyle w:val="ListeParagraf"/>
              <w:numPr>
                <w:ilvl w:val="0"/>
                <w:numId w:val="42"/>
              </w:numPr>
              <w:jc w:val="both"/>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1.4 billion euros fund to the Ministry of Health.</w:t>
            </w:r>
          </w:p>
          <w:p w14:paraId="2767FF10" w14:textId="77777777" w:rsidR="00E00304" w:rsidRPr="00164238" w:rsidRDefault="00E00304" w:rsidP="007C3550">
            <w:pPr>
              <w:pStyle w:val="ListeParagraf"/>
              <w:numPr>
                <w:ilvl w:val="0"/>
                <w:numId w:val="42"/>
              </w:numPr>
              <w:jc w:val="both"/>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12.4 billion euros transfer expenditure for regional health services.</w:t>
            </w:r>
          </w:p>
          <w:p w14:paraId="5BB0E100" w14:textId="77777777" w:rsidR="00E00304" w:rsidRPr="00164238" w:rsidRDefault="00E00304" w:rsidP="007C3550">
            <w:pPr>
              <w:pStyle w:val="ListeParagraf"/>
              <w:numPr>
                <w:ilvl w:val="0"/>
                <w:numId w:val="42"/>
              </w:numPr>
              <w:jc w:val="both"/>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To provide 270 million euros for additional health-related expenditures, including research on COVID-19.</w:t>
            </w:r>
          </w:p>
          <w:p w14:paraId="2BB4B530" w14:textId="77777777" w:rsidR="00E00304" w:rsidRPr="00164238" w:rsidRDefault="00E00304" w:rsidP="007C3550">
            <w:pPr>
              <w:pStyle w:val="ListeParagraf"/>
              <w:numPr>
                <w:ilvl w:val="0"/>
                <w:numId w:val="42"/>
              </w:numPr>
              <w:jc w:val="both"/>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Support of approximately 24.7 billion euros for the unemployment benefits.</w:t>
            </w:r>
          </w:p>
          <w:p w14:paraId="4E97B366" w14:textId="77777777" w:rsidR="00E00304" w:rsidRPr="00164238" w:rsidRDefault="00E00304" w:rsidP="007C3550">
            <w:pPr>
              <w:pStyle w:val="ListeParagraf"/>
              <w:numPr>
                <w:ilvl w:val="0"/>
                <w:numId w:val="42"/>
              </w:numPr>
              <w:jc w:val="both"/>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To provide a fund of approximately 6.5 billion euros for self-employed workers.</w:t>
            </w:r>
          </w:p>
          <w:p w14:paraId="2CCA3C67" w14:textId="77777777" w:rsidR="00E00304" w:rsidRPr="00164238" w:rsidRDefault="00E00304" w:rsidP="007C3550">
            <w:pPr>
              <w:pStyle w:val="ListeParagraf"/>
              <w:numPr>
                <w:ilvl w:val="0"/>
                <w:numId w:val="42"/>
              </w:numPr>
              <w:jc w:val="both"/>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To provide support of around 800 million euros to protect workers who cannot get unemployment benefits.</w:t>
            </w:r>
          </w:p>
          <w:p w14:paraId="657C07EB" w14:textId="77777777" w:rsidR="00E00304" w:rsidRPr="00164238" w:rsidRDefault="00E00304" w:rsidP="007C3550">
            <w:pPr>
              <w:numPr>
                <w:ilvl w:val="0"/>
                <w:numId w:val="42"/>
              </w:numPr>
              <w:jc w:val="both"/>
              <w:rPr>
                <w:rFonts w:ascii="Times New Roman" w:eastAsia="Times New Roman" w:hAnsi="Times New Roman" w:cs="Times New Roman"/>
                <w:color w:val="000000" w:themeColor="text1"/>
                <w:sz w:val="18"/>
                <w:szCs w:val="18"/>
              </w:rPr>
            </w:pPr>
            <w:r w:rsidRPr="00164238">
              <w:rPr>
                <w:rFonts w:ascii="Times New Roman" w:eastAsia="Times New Roman" w:hAnsi="Times New Roman" w:cs="Times New Roman"/>
                <w:color w:val="000000" w:themeColor="text1"/>
                <w:sz w:val="18"/>
                <w:szCs w:val="18"/>
              </w:rPr>
              <w:t>To reduce the VAT rate for disposable surgical masks. It corresponds to approximately 850 million euros.</w:t>
            </w:r>
          </w:p>
          <w:p w14:paraId="6248ADAB" w14:textId="77777777" w:rsidR="00E00304" w:rsidRPr="00164238" w:rsidRDefault="00E00304" w:rsidP="007C3550">
            <w:pPr>
              <w:numPr>
                <w:ilvl w:val="0"/>
                <w:numId w:val="42"/>
              </w:numPr>
              <w:jc w:val="both"/>
              <w:rPr>
                <w:rFonts w:ascii="Times New Roman" w:eastAsia="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 xml:space="preserve">The temporary reduction of VAT to zero in the purchase of medical products required to combat Covid-19. </w:t>
            </w:r>
            <w:r w:rsidRPr="00164238">
              <w:rPr>
                <w:rFonts w:ascii="Times New Roman" w:eastAsia="Times New Roman" w:hAnsi="Times New Roman" w:cs="Times New Roman"/>
                <w:color w:val="000000" w:themeColor="text1"/>
                <w:sz w:val="18"/>
                <w:szCs w:val="18"/>
              </w:rPr>
              <w:t>It equals nearly 480 million euros.</w:t>
            </w:r>
          </w:p>
          <w:p w14:paraId="193B5729" w14:textId="77777777" w:rsidR="00E00304" w:rsidRPr="00164238" w:rsidRDefault="00E00304" w:rsidP="007C3550">
            <w:pPr>
              <w:pStyle w:val="ListeParagraf"/>
              <w:numPr>
                <w:ilvl w:val="0"/>
                <w:numId w:val="42"/>
              </w:numPr>
              <w:jc w:val="both"/>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To postpone the social security debts covering about 500 million euros.</w:t>
            </w:r>
          </w:p>
          <w:p w14:paraId="148B71CD" w14:textId="77777777" w:rsidR="00E00304" w:rsidRPr="00164238" w:rsidRDefault="00E00304">
            <w:pPr>
              <w:jc w:val="both"/>
              <w:rPr>
                <w:rFonts w:ascii="Times New Roman" w:hAnsi="Times New Roman" w:cs="Times New Roman"/>
                <w:color w:val="000000" w:themeColor="text1"/>
                <w:sz w:val="18"/>
                <w:szCs w:val="18"/>
              </w:rPr>
            </w:pPr>
            <w:r w:rsidRPr="00164238">
              <w:rPr>
                <w:rFonts w:ascii="Times New Roman" w:hAnsi="Times New Roman" w:cs="Times New Roman"/>
                <w:b/>
                <w:color w:val="000000" w:themeColor="text1"/>
                <w:sz w:val="18"/>
                <w:szCs w:val="18"/>
                <w:u w:val="single"/>
              </w:rPr>
              <w:t>MONETARY MEASURES</w:t>
            </w:r>
          </w:p>
          <w:p w14:paraId="449977E6" w14:textId="77777777" w:rsidR="00E00304" w:rsidRPr="00164238" w:rsidRDefault="00E00304" w:rsidP="007C3550">
            <w:pPr>
              <w:pStyle w:val="ListeParagraf"/>
              <w:numPr>
                <w:ilvl w:val="0"/>
                <w:numId w:val="42"/>
              </w:numPr>
              <w:jc w:val="both"/>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In addition to the measures of the euro area, the Spanish government has taken the following actions.</w:t>
            </w:r>
          </w:p>
          <w:p w14:paraId="4E9995C2" w14:textId="77777777" w:rsidR="00E00304" w:rsidRPr="00164238" w:rsidRDefault="00E00304" w:rsidP="007C3550">
            <w:pPr>
              <w:pStyle w:val="ListeParagraf"/>
              <w:numPr>
                <w:ilvl w:val="0"/>
                <w:numId w:val="42"/>
              </w:numPr>
              <w:jc w:val="both"/>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The Spanish government has expanded a state guarantee of up to 100 billion euros.</w:t>
            </w:r>
          </w:p>
          <w:p w14:paraId="75132032" w14:textId="77777777" w:rsidR="00E00304" w:rsidRPr="00164238" w:rsidRDefault="00E00304" w:rsidP="007C3550">
            <w:pPr>
              <w:pStyle w:val="ListeParagraf"/>
              <w:numPr>
                <w:ilvl w:val="0"/>
                <w:numId w:val="42"/>
              </w:numPr>
              <w:jc w:val="both"/>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A state rescue fund of 10 billion euros has been created to support strategic business.</w:t>
            </w:r>
          </w:p>
          <w:p w14:paraId="79C70D81" w14:textId="77777777" w:rsidR="00E00304" w:rsidRPr="00164238" w:rsidRDefault="00E00304" w:rsidP="007C3550">
            <w:pPr>
              <w:numPr>
                <w:ilvl w:val="0"/>
                <w:numId w:val="42"/>
              </w:numPr>
              <w:jc w:val="both"/>
              <w:rPr>
                <w:rFonts w:ascii="Times New Roman" w:eastAsia="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 xml:space="preserve">The Spanish government has introduced new state guarantees to support exporters. </w:t>
            </w:r>
            <w:r w:rsidRPr="00164238">
              <w:rPr>
                <w:rFonts w:ascii="Times New Roman" w:eastAsia="Times New Roman" w:hAnsi="Times New Roman" w:cs="Times New Roman"/>
                <w:color w:val="000000" w:themeColor="text1"/>
                <w:sz w:val="18"/>
                <w:szCs w:val="18"/>
              </w:rPr>
              <w:t>It corresponds to approximately 2 billion euros.</w:t>
            </w:r>
          </w:p>
          <w:p w14:paraId="645E0B11" w14:textId="77777777" w:rsidR="00E00304" w:rsidRPr="00164238" w:rsidRDefault="00E00304" w:rsidP="007C3550">
            <w:pPr>
              <w:pStyle w:val="ListeParagraf"/>
              <w:numPr>
                <w:ilvl w:val="0"/>
                <w:numId w:val="42"/>
              </w:numPr>
              <w:jc w:val="both"/>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Various guarantees of 1.2 billion euros have been introduced to provide financial assistance for vulnerable households’ housing expenditures.</w:t>
            </w:r>
          </w:p>
          <w:p w14:paraId="06DB7919" w14:textId="77777777" w:rsidR="00E00304" w:rsidRPr="00164238" w:rsidRDefault="00E00304" w:rsidP="007C3550">
            <w:pPr>
              <w:pStyle w:val="ListeParagraf"/>
              <w:numPr>
                <w:ilvl w:val="0"/>
                <w:numId w:val="42"/>
              </w:numPr>
              <w:jc w:val="both"/>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To increase the additional credit guarantees to 1.1 billion euros for SMEs and self-employed.</w:t>
            </w:r>
          </w:p>
          <w:p w14:paraId="2CC17978" w14:textId="77777777" w:rsidR="00E00304" w:rsidRPr="00164238" w:rsidRDefault="00E00304" w:rsidP="007C3550">
            <w:pPr>
              <w:pStyle w:val="ListeParagraf"/>
              <w:numPr>
                <w:ilvl w:val="0"/>
                <w:numId w:val="42"/>
              </w:numPr>
              <w:jc w:val="both"/>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To provide a 515 million euros loan to revitalize the tourism sector.</w:t>
            </w:r>
          </w:p>
          <w:p w14:paraId="155DABB7" w14:textId="77777777" w:rsidR="00E00304" w:rsidRPr="00164238" w:rsidRDefault="00E00304" w:rsidP="007C3550">
            <w:pPr>
              <w:pStyle w:val="ListeParagraf"/>
              <w:numPr>
                <w:ilvl w:val="0"/>
                <w:numId w:val="42"/>
              </w:numPr>
              <w:jc w:val="both"/>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To provide a 123.5 million euros loan for promoting digitalization in the industrial sector.</w:t>
            </w:r>
          </w:p>
        </w:tc>
      </w:tr>
      <w:tr w:rsidR="00E00304" w:rsidRPr="00164238" w14:paraId="4C6D74A2" w14:textId="77777777" w:rsidTr="00E00304">
        <w:trPr>
          <w:jc w:val="center"/>
        </w:trPr>
        <w:tc>
          <w:tcPr>
            <w:tcW w:w="9212" w:type="dxa"/>
            <w:tcBorders>
              <w:top w:val="single" w:sz="4" w:space="0" w:color="auto"/>
              <w:left w:val="single" w:sz="4" w:space="0" w:color="auto"/>
              <w:bottom w:val="single" w:sz="4" w:space="0" w:color="auto"/>
              <w:right w:val="single" w:sz="4" w:space="0" w:color="auto"/>
            </w:tcBorders>
            <w:hideMark/>
          </w:tcPr>
          <w:p w14:paraId="71F7D9DA" w14:textId="77777777" w:rsidR="00E00304" w:rsidRPr="00164238" w:rsidRDefault="00E00304">
            <w:pPr>
              <w:ind w:left="360"/>
              <w:jc w:val="center"/>
              <w:rPr>
                <w:rFonts w:ascii="Times New Roman" w:hAnsi="Times New Roman" w:cs="Times New Roman"/>
                <w:color w:val="000000" w:themeColor="text1"/>
                <w:sz w:val="18"/>
                <w:szCs w:val="18"/>
              </w:rPr>
            </w:pPr>
            <w:r w:rsidRPr="00164238">
              <w:rPr>
                <w:rFonts w:ascii="Times New Roman" w:hAnsi="Times New Roman" w:cs="Times New Roman"/>
                <w:b/>
                <w:color w:val="000000" w:themeColor="text1"/>
                <w:sz w:val="18"/>
                <w:szCs w:val="18"/>
                <w:shd w:val="clear" w:color="auto" w:fill="FFFFFF"/>
              </w:rPr>
              <w:t>GERMANY, as of April 2, 2021</w:t>
            </w:r>
          </w:p>
        </w:tc>
      </w:tr>
      <w:tr w:rsidR="00E00304" w:rsidRPr="00164238" w14:paraId="6017A327" w14:textId="77777777" w:rsidTr="00E00304">
        <w:trPr>
          <w:jc w:val="center"/>
        </w:trPr>
        <w:tc>
          <w:tcPr>
            <w:tcW w:w="9212" w:type="dxa"/>
            <w:tcBorders>
              <w:top w:val="single" w:sz="4" w:space="0" w:color="auto"/>
              <w:left w:val="single" w:sz="4" w:space="0" w:color="auto"/>
              <w:bottom w:val="single" w:sz="4" w:space="0" w:color="auto"/>
              <w:right w:val="single" w:sz="4" w:space="0" w:color="auto"/>
            </w:tcBorders>
            <w:hideMark/>
          </w:tcPr>
          <w:p w14:paraId="1E204F2F" w14:textId="77777777" w:rsidR="00E00304" w:rsidRPr="00164238" w:rsidRDefault="00E00304">
            <w:pPr>
              <w:jc w:val="both"/>
              <w:rPr>
                <w:rFonts w:ascii="Times New Roman" w:hAnsi="Times New Roman" w:cs="Times New Roman"/>
                <w:color w:val="000000" w:themeColor="text1"/>
                <w:sz w:val="18"/>
                <w:szCs w:val="18"/>
              </w:rPr>
            </w:pPr>
            <w:r w:rsidRPr="00164238">
              <w:rPr>
                <w:rFonts w:ascii="Times New Roman" w:hAnsi="Times New Roman" w:cs="Times New Roman"/>
                <w:b/>
                <w:color w:val="000000" w:themeColor="text1"/>
                <w:sz w:val="18"/>
                <w:szCs w:val="18"/>
                <w:u w:val="single"/>
              </w:rPr>
              <w:t>FISCAL MEASURES</w:t>
            </w:r>
          </w:p>
          <w:p w14:paraId="588A79DE" w14:textId="77777777" w:rsidR="00E00304" w:rsidRPr="00164238" w:rsidRDefault="00E00304" w:rsidP="007C3550">
            <w:pPr>
              <w:pStyle w:val="ListeParagraf"/>
              <w:numPr>
                <w:ilvl w:val="0"/>
                <w:numId w:val="43"/>
              </w:numPr>
              <w:jc w:val="both"/>
              <w:rPr>
                <w:rFonts w:ascii="Times New Roman" w:hAnsi="Times New Roman" w:cs="Times New Roman"/>
                <w:color w:val="000000" w:themeColor="text1"/>
                <w:sz w:val="18"/>
                <w:szCs w:val="18"/>
                <w:shd w:val="clear" w:color="auto" w:fill="FFFFFF"/>
              </w:rPr>
            </w:pPr>
            <w:r w:rsidRPr="00164238">
              <w:rPr>
                <w:rFonts w:ascii="Times New Roman" w:hAnsi="Times New Roman" w:cs="Times New Roman"/>
                <w:color w:val="000000" w:themeColor="text1"/>
                <w:sz w:val="18"/>
                <w:szCs w:val="18"/>
                <w:shd w:val="clear" w:color="auto" w:fill="FFFFFF"/>
              </w:rPr>
              <w:t>Three different packages have been implemented to combat Covid-19. These are 156 billion euros, which is 4.7% of GDP, 130 billion euros, 3.9% of GDP, and 60 billion euros, which is 1.7% of GDP. These packages include: i) Expenditures for the health system; ii) Protect employers, employees, and citizens; iii) Tax deferral until the end of the year, 50 billion euros fund for small businesses and self-employed people, and a capital injection of 2 billion euros for start-ups. To extend unemployment insurance and parental aids.</w:t>
            </w:r>
          </w:p>
          <w:p w14:paraId="5372118A" w14:textId="77777777" w:rsidR="00E00304" w:rsidRPr="00164238" w:rsidRDefault="00E00304" w:rsidP="007C3550">
            <w:pPr>
              <w:pStyle w:val="ListeParagraf"/>
              <w:numPr>
                <w:ilvl w:val="0"/>
                <w:numId w:val="43"/>
              </w:numPr>
              <w:jc w:val="both"/>
              <w:rPr>
                <w:rFonts w:ascii="Times New Roman" w:hAnsi="Times New Roman" w:cs="Times New Roman"/>
                <w:color w:val="000000" w:themeColor="text1"/>
                <w:sz w:val="18"/>
                <w:szCs w:val="18"/>
                <w:shd w:val="clear" w:color="auto" w:fill="FFFFFF"/>
              </w:rPr>
            </w:pPr>
            <w:r w:rsidRPr="00164238">
              <w:rPr>
                <w:rFonts w:ascii="Times New Roman" w:hAnsi="Times New Roman" w:cs="Times New Roman"/>
                <w:color w:val="000000" w:themeColor="text1"/>
                <w:sz w:val="18"/>
                <w:szCs w:val="18"/>
              </w:rPr>
              <w:lastRenderedPageBreak/>
              <w:t>In June, the incentive package includes reducing VAT, income support for households, financial grants for local authorities, expansion of credit guarantees for exporters and export finance banks, and subsidies for green energy and digitalization.</w:t>
            </w:r>
          </w:p>
          <w:p w14:paraId="5A17B771" w14:textId="77777777" w:rsidR="00E00304" w:rsidRPr="00164238" w:rsidRDefault="00E00304" w:rsidP="007C3550">
            <w:pPr>
              <w:pStyle w:val="ListeParagraf"/>
              <w:numPr>
                <w:ilvl w:val="0"/>
                <w:numId w:val="43"/>
              </w:numPr>
              <w:jc w:val="both"/>
              <w:rPr>
                <w:rFonts w:ascii="Times New Roman" w:hAnsi="Times New Roman" w:cs="Times New Roman"/>
                <w:color w:val="000000" w:themeColor="text1"/>
                <w:sz w:val="18"/>
                <w:szCs w:val="18"/>
                <w:shd w:val="clear" w:color="auto" w:fill="FFFFFF"/>
              </w:rPr>
            </w:pPr>
            <w:r w:rsidRPr="00164238">
              <w:rPr>
                <w:rFonts w:ascii="Times New Roman" w:hAnsi="Times New Roman" w:cs="Times New Roman"/>
                <w:color w:val="000000" w:themeColor="text1"/>
                <w:sz w:val="18"/>
                <w:szCs w:val="18"/>
                <w:shd w:val="clear" w:color="auto" w:fill="FFFFFF"/>
              </w:rPr>
              <w:t>The upper level of the duration of short-term business aid has rolled over to 24 months (previous was 12 months) in August.</w:t>
            </w:r>
          </w:p>
          <w:p w14:paraId="5AE561DC" w14:textId="77777777" w:rsidR="00E00304" w:rsidRPr="00164238" w:rsidRDefault="00E00304" w:rsidP="007C3550">
            <w:pPr>
              <w:pStyle w:val="ListeParagraf"/>
              <w:numPr>
                <w:ilvl w:val="0"/>
                <w:numId w:val="43"/>
              </w:numPr>
              <w:jc w:val="both"/>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With the federal government’s policy, many local authorities adopted individual packages.</w:t>
            </w:r>
          </w:p>
          <w:p w14:paraId="2CE81FC5" w14:textId="77777777" w:rsidR="00E00304" w:rsidRPr="00164238" w:rsidRDefault="00E00304" w:rsidP="007C3550">
            <w:pPr>
              <w:pStyle w:val="ListeParagraf"/>
              <w:numPr>
                <w:ilvl w:val="0"/>
                <w:numId w:val="43"/>
              </w:numPr>
              <w:jc w:val="both"/>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To combat the second wave of COVID-19, the government has introduced new financial precautions to support businesses, compensate income, provide public loan guarantees.</w:t>
            </w:r>
          </w:p>
        </w:tc>
      </w:tr>
      <w:tr w:rsidR="00E00304" w:rsidRPr="00164238" w14:paraId="3DA1FB70" w14:textId="77777777" w:rsidTr="00E00304">
        <w:trPr>
          <w:jc w:val="center"/>
        </w:trPr>
        <w:tc>
          <w:tcPr>
            <w:tcW w:w="9212" w:type="dxa"/>
            <w:tcBorders>
              <w:top w:val="single" w:sz="4" w:space="0" w:color="auto"/>
              <w:left w:val="single" w:sz="4" w:space="0" w:color="auto"/>
              <w:bottom w:val="single" w:sz="4" w:space="0" w:color="auto"/>
              <w:right w:val="single" w:sz="4" w:space="0" w:color="auto"/>
            </w:tcBorders>
            <w:hideMark/>
          </w:tcPr>
          <w:p w14:paraId="05DB002A" w14:textId="77777777" w:rsidR="00E00304" w:rsidRPr="00164238" w:rsidRDefault="00E00304">
            <w:pPr>
              <w:pStyle w:val="ListeParagraf"/>
              <w:ind w:left="1080"/>
              <w:jc w:val="center"/>
              <w:rPr>
                <w:rFonts w:ascii="Times New Roman" w:hAnsi="Times New Roman" w:cs="Times New Roman"/>
                <w:b/>
                <w:color w:val="000000" w:themeColor="text1"/>
                <w:sz w:val="18"/>
                <w:szCs w:val="18"/>
                <w:shd w:val="clear" w:color="auto" w:fill="FFFFFF"/>
              </w:rPr>
            </w:pPr>
            <w:r w:rsidRPr="00164238">
              <w:rPr>
                <w:rFonts w:ascii="Times New Roman" w:hAnsi="Times New Roman" w:cs="Times New Roman"/>
                <w:b/>
                <w:color w:val="000000" w:themeColor="text1"/>
                <w:sz w:val="18"/>
                <w:szCs w:val="18"/>
                <w:shd w:val="clear" w:color="auto" w:fill="FFFFFF"/>
              </w:rPr>
              <w:lastRenderedPageBreak/>
              <w:t xml:space="preserve">JAPAN, </w:t>
            </w:r>
            <w:r w:rsidRPr="00164238">
              <w:rPr>
                <w:rFonts w:ascii="Times New Roman" w:hAnsi="Times New Roman" w:cs="Times New Roman"/>
                <w:b/>
                <w:color w:val="000000" w:themeColor="text1"/>
                <w:sz w:val="18"/>
                <w:szCs w:val="18"/>
              </w:rPr>
              <w:t>as of April 1, 2021</w:t>
            </w:r>
          </w:p>
        </w:tc>
      </w:tr>
      <w:tr w:rsidR="00E00304" w:rsidRPr="00164238" w14:paraId="26C431A2" w14:textId="77777777" w:rsidTr="00E00304">
        <w:trPr>
          <w:jc w:val="center"/>
        </w:trPr>
        <w:tc>
          <w:tcPr>
            <w:tcW w:w="9212" w:type="dxa"/>
            <w:tcBorders>
              <w:top w:val="single" w:sz="4" w:space="0" w:color="auto"/>
              <w:left w:val="single" w:sz="4" w:space="0" w:color="auto"/>
              <w:bottom w:val="single" w:sz="4" w:space="0" w:color="auto"/>
              <w:right w:val="single" w:sz="4" w:space="0" w:color="auto"/>
            </w:tcBorders>
            <w:hideMark/>
          </w:tcPr>
          <w:p w14:paraId="0A37C9AA" w14:textId="77777777" w:rsidR="00E00304" w:rsidRPr="00164238" w:rsidRDefault="00E00304">
            <w:pPr>
              <w:jc w:val="both"/>
              <w:rPr>
                <w:rFonts w:ascii="Times New Roman" w:hAnsi="Times New Roman" w:cs="Times New Roman"/>
                <w:color w:val="000000" w:themeColor="text1"/>
                <w:sz w:val="18"/>
                <w:szCs w:val="18"/>
              </w:rPr>
            </w:pPr>
            <w:r w:rsidRPr="00164238">
              <w:rPr>
                <w:rFonts w:ascii="Times New Roman" w:hAnsi="Times New Roman" w:cs="Times New Roman"/>
                <w:b/>
                <w:color w:val="000000" w:themeColor="text1"/>
                <w:sz w:val="18"/>
                <w:szCs w:val="18"/>
                <w:u w:val="single"/>
              </w:rPr>
              <w:t>FISCAL MEASURES</w:t>
            </w:r>
          </w:p>
          <w:p w14:paraId="1940274C" w14:textId="77777777" w:rsidR="00E00304" w:rsidRPr="00164238" w:rsidRDefault="00E00304" w:rsidP="007C3550">
            <w:pPr>
              <w:pStyle w:val="ListeParagraf"/>
              <w:numPr>
                <w:ilvl w:val="0"/>
                <w:numId w:val="44"/>
              </w:numPr>
              <w:jc w:val="both"/>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The Government accepted ¥117.1 trillion in the Emergency Economic Package against COVID-19, which corresponds to the 20.9% of 2019 GDP on April 7 of 2020. This package includes the following issues: i) To prevent the spread of infection; ii) To allocate funds that correspond to 15.8% of 2019 GDP for preserving employment and firms; iii) 1.5% of 2019 GDP to help to recover of economic activity;     iv) To construct a flexible economic structure to fund 2.8% of 2019 GDP; v) Allocate funds of 0.3% of 2019 GDP to increase preparedness for the future.</w:t>
            </w:r>
          </w:p>
          <w:p w14:paraId="4D304C5A" w14:textId="77777777" w:rsidR="00E00304" w:rsidRPr="00164238" w:rsidRDefault="00E00304" w:rsidP="007C3550">
            <w:pPr>
              <w:pStyle w:val="ListeParagraf"/>
              <w:numPr>
                <w:ilvl w:val="0"/>
                <w:numId w:val="44"/>
              </w:numPr>
              <w:jc w:val="both"/>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The second rescue package has announced by the government on May 27 of 2020. The size of this package has the same amount. The scope of this package consists of: i) Health protections; ii) Funding for businesses; iii) Provide funding to individuals; iv) Money transfers for local administrations; v) To raise the limit of the COVID-19 fund.</w:t>
            </w:r>
          </w:p>
          <w:p w14:paraId="50EDE5F2" w14:textId="77777777" w:rsidR="00E00304" w:rsidRPr="00164238" w:rsidRDefault="00E00304" w:rsidP="007C3550">
            <w:pPr>
              <w:pStyle w:val="ListeParagraf"/>
              <w:numPr>
                <w:ilvl w:val="0"/>
                <w:numId w:val="44"/>
              </w:numPr>
              <w:jc w:val="both"/>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The Comprehensive Economic Measures has accepted by the government on December 8 of 2020. The package size is ¥73.6 trillion. It includes the following measures: i) To control pandemic; ii) Improving structural change to prepare the economy for the after Covid-19; iii) Assistance with disaster management to ensure security.</w:t>
            </w:r>
          </w:p>
          <w:p w14:paraId="519B592B" w14:textId="77777777" w:rsidR="00E00304" w:rsidRPr="00164238" w:rsidRDefault="00E00304">
            <w:pPr>
              <w:jc w:val="both"/>
              <w:rPr>
                <w:rFonts w:ascii="Times New Roman" w:hAnsi="Times New Roman" w:cs="Times New Roman"/>
                <w:color w:val="000000" w:themeColor="text1"/>
                <w:sz w:val="18"/>
                <w:szCs w:val="18"/>
              </w:rPr>
            </w:pPr>
            <w:r w:rsidRPr="00164238">
              <w:rPr>
                <w:rFonts w:ascii="Times New Roman" w:hAnsi="Times New Roman" w:cs="Times New Roman"/>
                <w:b/>
                <w:color w:val="000000" w:themeColor="text1"/>
                <w:sz w:val="18"/>
                <w:szCs w:val="18"/>
                <w:u w:val="single"/>
              </w:rPr>
              <w:t>MONETARY MEASURES</w:t>
            </w:r>
          </w:p>
          <w:p w14:paraId="4FB8A1CF" w14:textId="77777777" w:rsidR="00E00304" w:rsidRPr="00164238" w:rsidRDefault="00E00304" w:rsidP="007C3550">
            <w:pPr>
              <w:pStyle w:val="ListeParagraf"/>
              <w:numPr>
                <w:ilvl w:val="0"/>
                <w:numId w:val="45"/>
              </w:numPr>
              <w:jc w:val="both"/>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 xml:space="preserve">It is increased the upper-level of the additional purchase amount of commercial paper and corporate bonds to ¥20 trillion. </w:t>
            </w:r>
          </w:p>
          <w:p w14:paraId="79245E35" w14:textId="77777777" w:rsidR="00E00304" w:rsidRPr="00164238" w:rsidRDefault="00E00304" w:rsidP="007C3550">
            <w:pPr>
              <w:pStyle w:val="ListeParagraf"/>
              <w:numPr>
                <w:ilvl w:val="0"/>
                <w:numId w:val="45"/>
              </w:numPr>
              <w:jc w:val="both"/>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The Central Bank has announced another policy of ¥90 trillion support small and medium enterprises financing on May 22 of 2020.</w:t>
            </w:r>
          </w:p>
          <w:p w14:paraId="033F198F" w14:textId="77777777" w:rsidR="00E00304" w:rsidRPr="00164238" w:rsidRDefault="00E00304" w:rsidP="007C3550">
            <w:pPr>
              <w:pStyle w:val="ListeParagraf"/>
              <w:numPr>
                <w:ilvl w:val="0"/>
                <w:numId w:val="45"/>
              </w:numPr>
              <w:jc w:val="both"/>
              <w:rPr>
                <w:rFonts w:ascii="Times New Roman" w:hAnsi="Times New Roman" w:cs="Times New Roman"/>
                <w:color w:val="000000" w:themeColor="text1"/>
                <w:sz w:val="18"/>
                <w:szCs w:val="18"/>
              </w:rPr>
            </w:pPr>
            <w:r w:rsidRPr="00164238">
              <w:rPr>
                <w:rFonts w:ascii="Times New Roman" w:hAnsi="Times New Roman" w:cs="Times New Roman"/>
                <w:color w:val="000000" w:themeColor="text1"/>
                <w:sz w:val="18"/>
                <w:szCs w:val="18"/>
              </w:rPr>
              <w:t>An amendment to the Special Measures Act to Strengthen Financial Functions for regional banks affected by COVID-19 has accepted by the government on June 12. It aims the deadline for regional banks’ application to inject capital into the government from 31, 2022, to March 31, 2026.</w:t>
            </w:r>
          </w:p>
        </w:tc>
      </w:tr>
    </w:tbl>
    <w:p w14:paraId="4FB0CD8C" w14:textId="77777777" w:rsidR="00E00304" w:rsidRPr="00164238" w:rsidRDefault="00E00304" w:rsidP="00E00304">
      <w:pPr>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rPr>
        <w:t xml:space="preserve">Source: </w:t>
      </w:r>
      <w:r w:rsidRPr="00164238">
        <w:rPr>
          <w:rFonts w:ascii="Times New Roman" w:hAnsi="Times New Roman" w:cs="Times New Roman"/>
          <w:color w:val="000000" w:themeColor="text1"/>
          <w:sz w:val="20"/>
          <w:szCs w:val="20"/>
        </w:rPr>
        <w:t>IMF, 2021b.</w:t>
      </w:r>
    </w:p>
    <w:p w14:paraId="4CCA5F75" w14:textId="318ACDF1" w:rsidR="00E00304" w:rsidRPr="00164238" w:rsidRDefault="00E00304" w:rsidP="00E00304">
      <w:pPr>
        <w:spacing w:before="120" w:after="120" w:line="240" w:lineRule="auto"/>
        <w:ind w:firstLine="708"/>
        <w:rPr>
          <w:rFonts w:ascii="Times New Roman" w:hAnsi="Times New Roman" w:cs="Times New Roman"/>
          <w:b/>
          <w:color w:val="000000" w:themeColor="text1"/>
          <w:sz w:val="20"/>
          <w:szCs w:val="20"/>
        </w:rPr>
      </w:pPr>
      <w:r w:rsidRPr="00164238">
        <w:rPr>
          <w:rFonts w:ascii="Times New Roman" w:hAnsi="Times New Roman" w:cs="Times New Roman"/>
          <w:b/>
          <w:color w:val="000000" w:themeColor="text1"/>
          <w:sz w:val="20"/>
          <w:szCs w:val="20"/>
        </w:rPr>
        <w:t>Conclusion and Discussion</w:t>
      </w:r>
    </w:p>
    <w:p w14:paraId="0ABCDF0D"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Crises in the neoliberal globalization do not disappear with the functioning of the market spontaneously. State intervention is used as a vital tool in this process. Similarly, after the 2008 global financial crisis, we witness the rise of nation-states in the global system. In the 1990s, there was a widespread view that nation-states weakened in the liberal capitalist system and assigned their authority to supranational institutions. For example, according to Francis Fukuyama (1992), liberalism’s ultimate victory has been achieved over ideologies such as communism and fascism. He argued that as societies evolve towards liberalism, wealth and peace will increase. However, in the system crises that emerged in the world after the 2000s, the most criticism was directed towards liberalism.</w:t>
      </w:r>
    </w:p>
    <w:p w14:paraId="0AC5BD82"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In this context, the Covid-19 crisis, which emerged from China and spread worldwide at the end of 2019, brought new discussions about neoliberal globalization’s ideology. The crisis that started first in health affected all areas of society in a short time. In this process, global supply chains collapsed, and there emerged difficulties in accessing the most basic equipment for health. During the crisis, state-led monetary and fiscal policies have adopted to ensure efficiency in the market. Recovery packages, financial measures, and expropriation policies have been the most prominent public interventions. From the beginning of the crisis, minimizing individuals’ mobility in various methods such as controlling the borders, travel restrictions, and closures has led to obligatory public interventions. The most crucial point to be stated here is that the increasing role of nation-states does not mean that globalization will come to an end, and the global economy’s functioning will be under the control of the state. On the contrary, one of the most critical consequences of the crisis is not classical state interventionism but essentially the necessity of strong and effective state mechanisms. For example, severe problems have occurred in countries with weak state capacity in the most crucial part of public services, such as education. Hence, the crisis forces nation-states to become more digitalized and more inclusive in more efficient public services provision.</w:t>
      </w:r>
    </w:p>
    <w:p w14:paraId="5F03D826"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lastRenderedPageBreak/>
        <w:t>However, one of the matters that should be noticed is that multi-national companies’ failure to manage the supply chain has revealed countries’ interdependence. This dependency can encourage regionalization tendency.</w:t>
      </w:r>
    </w:p>
    <w:p w14:paraId="3188254A" w14:textId="77777777" w:rsidR="00E00304" w:rsidRPr="00164238" w:rsidRDefault="00E00304" w:rsidP="00E00304">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The state’s undertaking of tremendous responsibility during the crisis brings along some uncertainties. A decrease in public revenues due to the slowdown in economic activities may make it difficult to finance the increasing public expenditures. Even if public expenditures are financed at a certain level through emissions and borrowing, sustainability can become problematic in the long term (Çalışkan and Erul, 2021: 50-51). Therefore, debt will be one of the most critical challenges that policymakers may face in the post-Covid-19 era (Tappe, 2020).</w:t>
      </w:r>
    </w:p>
    <w:p w14:paraId="4F0B488C" w14:textId="77777777" w:rsidR="00E00304" w:rsidRPr="00164238" w:rsidRDefault="00E00304" w:rsidP="00E00304">
      <w:pPr>
        <w:spacing w:before="120" w:after="120" w:line="240" w:lineRule="auto"/>
        <w:rPr>
          <w:rFonts w:ascii="Times New Roman" w:hAnsi="Times New Roman" w:cs="Times New Roman"/>
          <w:b/>
          <w:color w:val="000000" w:themeColor="text1"/>
          <w:sz w:val="20"/>
          <w:szCs w:val="20"/>
        </w:rPr>
      </w:pPr>
      <w:r w:rsidRPr="00164238">
        <w:rPr>
          <w:rFonts w:ascii="Times New Roman" w:hAnsi="Times New Roman" w:cs="Times New Roman"/>
          <w:b/>
          <w:color w:val="000000" w:themeColor="text1"/>
          <w:sz w:val="20"/>
          <w:szCs w:val="20"/>
        </w:rPr>
        <w:t>References</w:t>
      </w:r>
    </w:p>
    <w:p w14:paraId="7EEAF354"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Ayoob, M. (2020). The COVID-19 pandemic has demonstrated that the nation-state is not only alive but absolutely essential. </w:t>
      </w:r>
      <w:hyperlink r:id="rId236" w:history="1">
        <w:r w:rsidRPr="00164238">
          <w:rPr>
            <w:rStyle w:val="Kpr"/>
            <w:rFonts w:ascii="Times New Roman" w:hAnsi="Times New Roman" w:cs="Times New Roman"/>
            <w:color w:val="000000" w:themeColor="text1"/>
            <w:sz w:val="20"/>
            <w:szCs w:val="20"/>
          </w:rPr>
          <w:t>https://www.thehindu.com/opinion/op-ed/long-live-the-nation-state/article31144772.ece</w:t>
        </w:r>
      </w:hyperlink>
      <w:r w:rsidRPr="00164238">
        <w:rPr>
          <w:rFonts w:ascii="Times New Roman" w:hAnsi="Times New Roman" w:cs="Times New Roman"/>
          <w:color w:val="000000" w:themeColor="text1"/>
          <w:sz w:val="20"/>
          <w:szCs w:val="20"/>
        </w:rPr>
        <w:t xml:space="preserve"> (Accessed 16 March 2021).</w:t>
      </w:r>
    </w:p>
    <w:p w14:paraId="1685E0DE"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Baldwin, R. &amp; Di Mauro, B. W. (2020). Introduction. In Richard Baldwin &amp; Beatrice Weder di Mauro (Eds.), Economics in the Time of COVID-19, pp. 1-30. Centre for Economic Policy Research (CEPR).</w:t>
      </w:r>
    </w:p>
    <w:p w14:paraId="29106829"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Baldwin, R. &amp; Evenett, S. J. (2020). Introduction. In Richard Baldwin and Simon J. Evenett (Eds.), COVID-19 and Trade Policy: Why Turning Inward Won’t Work, pp. 1-20, Centre for Economic Policy Research (CEPR).</w:t>
      </w:r>
    </w:p>
    <w:p w14:paraId="7578B99E"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Bray, D. (2020). Pandemic may replace the nation-state: But with what?. Atlantic Council, </w:t>
      </w:r>
      <w:hyperlink r:id="rId237" w:history="1">
        <w:r w:rsidRPr="00164238">
          <w:rPr>
            <w:rStyle w:val="Kpr"/>
            <w:rFonts w:ascii="Times New Roman" w:hAnsi="Times New Roman" w:cs="Times New Roman"/>
            <w:color w:val="000000" w:themeColor="text1"/>
            <w:sz w:val="20"/>
            <w:szCs w:val="20"/>
          </w:rPr>
          <w:t>https://www.atlanticcouncil.org/blogs/geotech-cues/pandemic-may-replace-the-nation-state-but-with-what/</w:t>
        </w:r>
      </w:hyperlink>
      <w:r w:rsidRPr="00164238">
        <w:rPr>
          <w:rFonts w:ascii="Times New Roman" w:hAnsi="Times New Roman" w:cs="Times New Roman"/>
          <w:color w:val="000000" w:themeColor="text1"/>
          <w:sz w:val="20"/>
          <w:szCs w:val="20"/>
        </w:rPr>
        <w:t xml:space="preserve"> (Accessed 10 March 2021).</w:t>
      </w:r>
    </w:p>
    <w:p w14:paraId="3375E29A"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Buckley, P. J. (2020). The theory and empirics of the structural reshaping of globalization. Journal of International Business Studies, 51, 1580-1592.</w:t>
      </w:r>
    </w:p>
    <w:p w14:paraId="4C82FFB1" w14:textId="77777777" w:rsidR="00E00304" w:rsidRPr="00164238" w:rsidRDefault="00E00304" w:rsidP="00E00304">
      <w:pPr>
        <w:pStyle w:val="Default"/>
        <w:spacing w:before="120" w:after="120"/>
        <w:ind w:left="567" w:hanging="567"/>
        <w:jc w:val="both"/>
        <w:rPr>
          <w:color w:val="000000" w:themeColor="text1"/>
          <w:sz w:val="20"/>
          <w:szCs w:val="20"/>
        </w:rPr>
      </w:pPr>
      <w:r w:rsidRPr="00164238">
        <w:rPr>
          <w:color w:val="000000" w:themeColor="text1"/>
          <w:sz w:val="20"/>
          <w:szCs w:val="20"/>
        </w:rPr>
        <w:t xml:space="preserve">Cameron, </w:t>
      </w:r>
      <w:r w:rsidRPr="00164238">
        <w:rPr>
          <w:color w:val="000000" w:themeColor="text1"/>
          <w:sz w:val="20"/>
          <w:szCs w:val="20"/>
          <w:shd w:val="clear" w:color="auto" w:fill="FFFFFF"/>
        </w:rPr>
        <w:t>D. R</w:t>
      </w:r>
      <w:r w:rsidRPr="00164238">
        <w:rPr>
          <w:color w:val="000000" w:themeColor="text1"/>
          <w:sz w:val="20"/>
          <w:szCs w:val="20"/>
        </w:rPr>
        <w:t>. (1978). The Expansion of the Public Economy: A Comparative Analysis. The American Political Science Review, 72(4), 1243-1261.</w:t>
      </w:r>
    </w:p>
    <w:p w14:paraId="589809A8"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Canuto, O. (2020). The Impact of Coronavirus on the Global Economy. Policy Center for the New South.</w:t>
      </w:r>
    </w:p>
    <w:p w14:paraId="5BB7627F"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Center For Eurasian Studies (AVİM, 2020). COVID-19, Globalization and the Aftermath. COVID-19 Working Group, Analysis No: 2020/18. </w:t>
      </w:r>
    </w:p>
    <w:p w14:paraId="254A94A1"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shd w:val="clear" w:color="auto" w:fill="FFFFFF"/>
        </w:rPr>
      </w:pPr>
      <w:r w:rsidRPr="00164238">
        <w:rPr>
          <w:rFonts w:ascii="Times New Roman" w:hAnsi="Times New Roman" w:cs="Times New Roman"/>
          <w:color w:val="000000" w:themeColor="text1"/>
          <w:sz w:val="20"/>
          <w:szCs w:val="20"/>
        </w:rPr>
        <w:t>Çalışkan, A. &amp; Dayıoğlu-Erul, R. (2021). Koronavirüs Krizinden Çıkışta Türkiye’de Alınan Ekonomik Önlemler ve Kamu Politikalarının Önemi, Vergi Raporu, 256, 35-58</w:t>
      </w:r>
      <w:r w:rsidRPr="00164238">
        <w:rPr>
          <w:rFonts w:ascii="Times New Roman" w:hAnsi="Times New Roman" w:cs="Times New Roman"/>
          <w:color w:val="000000" w:themeColor="text1"/>
          <w:sz w:val="20"/>
          <w:szCs w:val="20"/>
          <w:shd w:val="clear" w:color="auto" w:fill="FFFFFF"/>
        </w:rPr>
        <w:t>.</w:t>
      </w:r>
    </w:p>
    <w:p w14:paraId="3934ACF2"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Du, J., Delis, A., Douch, M. &amp; Shepotylo, O. (2020). Coronavirus Won’t Kill Globalisation-But A Shakeup Is Inevitable. The Conversation, </w:t>
      </w:r>
      <w:hyperlink r:id="rId238" w:history="1">
        <w:r w:rsidRPr="00164238">
          <w:rPr>
            <w:rStyle w:val="Kpr"/>
            <w:rFonts w:ascii="Times New Roman" w:hAnsi="Times New Roman" w:cs="Times New Roman"/>
            <w:color w:val="000000" w:themeColor="text1"/>
            <w:sz w:val="20"/>
            <w:szCs w:val="20"/>
          </w:rPr>
          <w:t>https://theconversation.com/coronavirus-wont-kill-globalisation-but-a-shakeup-is-inevitable-137847</w:t>
        </w:r>
      </w:hyperlink>
      <w:r w:rsidRPr="00164238">
        <w:rPr>
          <w:rFonts w:ascii="Times New Roman" w:hAnsi="Times New Roman" w:cs="Times New Roman"/>
          <w:color w:val="000000" w:themeColor="text1"/>
          <w:sz w:val="20"/>
          <w:szCs w:val="20"/>
        </w:rPr>
        <w:t xml:space="preserve"> (Accessed 2 February 2021).</w:t>
      </w:r>
    </w:p>
    <w:p w14:paraId="34DB8C31" w14:textId="77777777" w:rsidR="00E00304" w:rsidRPr="00164238" w:rsidRDefault="00E00304" w:rsidP="00E00304">
      <w:pPr>
        <w:spacing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Enderwick P. &amp; Buckley P. (2020). Rising Regionalization: Will the Post-Covid-19 World See A Retreat from Globalization?. Transnational Corporations, 27(2), 99-112.</w:t>
      </w:r>
    </w:p>
    <w:p w14:paraId="659E0A31"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Farrell, H. &amp; Newman, A. (2020). Will the Coronavirus End Globalization As We Know It?. Foreign Affairs, </w:t>
      </w:r>
      <w:hyperlink r:id="rId239" w:history="1">
        <w:r w:rsidRPr="00164238">
          <w:rPr>
            <w:rStyle w:val="Kpr"/>
            <w:rFonts w:ascii="Times New Roman" w:hAnsi="Times New Roman" w:cs="Times New Roman"/>
            <w:color w:val="000000" w:themeColor="text1"/>
            <w:sz w:val="20"/>
            <w:szCs w:val="20"/>
          </w:rPr>
          <w:t>https://www.foreignaffairs.com/articles/2020-03-16/will-coronavirus-end-globalization-we-know-it</w:t>
        </w:r>
      </w:hyperlink>
      <w:r w:rsidRPr="00164238">
        <w:rPr>
          <w:rFonts w:ascii="Times New Roman" w:hAnsi="Times New Roman" w:cs="Times New Roman"/>
          <w:i/>
          <w:color w:val="000000" w:themeColor="text1"/>
          <w:sz w:val="20"/>
          <w:szCs w:val="20"/>
        </w:rPr>
        <w:t xml:space="preserve"> </w:t>
      </w:r>
      <w:r w:rsidRPr="00164238">
        <w:rPr>
          <w:rFonts w:ascii="Times New Roman" w:hAnsi="Times New Roman" w:cs="Times New Roman"/>
          <w:color w:val="000000" w:themeColor="text1"/>
          <w:sz w:val="20"/>
          <w:szCs w:val="20"/>
        </w:rPr>
        <w:t>(Accessed 1 February 2021).</w:t>
      </w:r>
    </w:p>
    <w:p w14:paraId="7AF9E432"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Felbermayr, G. &amp; Görg, H. (2020). Implications of Covid-19 for Globalization. In Gabriel Felbermayr (Ed.), The World Economy After the Coronavirus Shock: Restarting Globalization (pp. 3-14). Kieler Beiträge zur Wirtschaftspolitik, No. 26, ISBN 978-3-89456-342-4, Institut für Weltwirtschaft (IfW), Kiel.</w:t>
      </w:r>
    </w:p>
    <w:p w14:paraId="5FB44FAB" w14:textId="77777777" w:rsidR="00E00304" w:rsidRPr="00164238" w:rsidRDefault="00E00304" w:rsidP="00E00304">
      <w:pPr>
        <w:spacing w:before="120" w:after="120" w:line="240" w:lineRule="auto"/>
        <w:jc w:val="both"/>
        <w:rPr>
          <w:rFonts w:ascii="Times New Roman" w:hAnsi="Times New Roman" w:cs="Times New Roman"/>
          <w:color w:val="000000" w:themeColor="text1"/>
          <w:sz w:val="20"/>
          <w:szCs w:val="20"/>
          <w:shd w:val="clear" w:color="auto" w:fill="FFFFFF"/>
        </w:rPr>
      </w:pPr>
      <w:r w:rsidRPr="00164238">
        <w:rPr>
          <w:rFonts w:ascii="Times New Roman" w:hAnsi="Times New Roman" w:cs="Times New Roman"/>
          <w:color w:val="000000" w:themeColor="text1"/>
          <w:sz w:val="20"/>
          <w:szCs w:val="20"/>
          <w:shd w:val="clear" w:color="auto" w:fill="FFFFFF"/>
        </w:rPr>
        <w:t>Fischer, S. (2003). Globalization and its challenges. </w:t>
      </w:r>
      <w:r w:rsidRPr="00164238">
        <w:rPr>
          <w:rFonts w:ascii="Times New Roman" w:hAnsi="Times New Roman" w:cs="Times New Roman"/>
          <w:iCs/>
          <w:color w:val="000000" w:themeColor="text1"/>
          <w:sz w:val="20"/>
          <w:szCs w:val="20"/>
          <w:shd w:val="clear" w:color="auto" w:fill="FFFFFF"/>
        </w:rPr>
        <w:t>American Economic Review</w:t>
      </w:r>
      <w:r w:rsidRPr="00164238">
        <w:rPr>
          <w:rFonts w:ascii="Times New Roman" w:hAnsi="Times New Roman" w:cs="Times New Roman"/>
          <w:color w:val="000000" w:themeColor="text1"/>
          <w:sz w:val="20"/>
          <w:szCs w:val="20"/>
          <w:shd w:val="clear" w:color="auto" w:fill="FFFFFF"/>
        </w:rPr>
        <w:t>, </w:t>
      </w:r>
      <w:r w:rsidRPr="00164238">
        <w:rPr>
          <w:rFonts w:ascii="Times New Roman" w:hAnsi="Times New Roman" w:cs="Times New Roman"/>
          <w:iCs/>
          <w:color w:val="000000" w:themeColor="text1"/>
          <w:sz w:val="20"/>
          <w:szCs w:val="20"/>
          <w:shd w:val="clear" w:color="auto" w:fill="FFFFFF"/>
        </w:rPr>
        <w:t>93</w:t>
      </w:r>
      <w:r w:rsidRPr="00164238">
        <w:rPr>
          <w:rFonts w:ascii="Times New Roman" w:hAnsi="Times New Roman" w:cs="Times New Roman"/>
          <w:color w:val="000000" w:themeColor="text1"/>
          <w:sz w:val="20"/>
          <w:szCs w:val="20"/>
          <w:shd w:val="clear" w:color="auto" w:fill="FFFFFF"/>
        </w:rPr>
        <w:t>(2), 1-30.</w:t>
      </w:r>
    </w:p>
    <w:p w14:paraId="2361368E"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Fontaine, R. (2020). Globalization Will Look Very Different After the Coronavirus Pandemic. Foreign Policy, </w:t>
      </w:r>
      <w:hyperlink r:id="rId240" w:history="1">
        <w:r w:rsidRPr="00164238">
          <w:rPr>
            <w:rStyle w:val="Kpr"/>
            <w:rFonts w:ascii="Times New Roman" w:hAnsi="Times New Roman" w:cs="Times New Roman"/>
            <w:color w:val="000000" w:themeColor="text1"/>
            <w:sz w:val="20"/>
            <w:szCs w:val="20"/>
          </w:rPr>
          <w:t>https://foreignpolicy.com/2020/04/17/globalization-trade-war-after-coronavirus-pandemic/</w:t>
        </w:r>
      </w:hyperlink>
      <w:r w:rsidRPr="00164238">
        <w:rPr>
          <w:rFonts w:ascii="Times New Roman" w:hAnsi="Times New Roman" w:cs="Times New Roman"/>
          <w:color w:val="000000" w:themeColor="text1"/>
          <w:sz w:val="20"/>
          <w:szCs w:val="20"/>
        </w:rPr>
        <w:t xml:space="preserve"> (Accessed 4 March 2021).</w:t>
      </w:r>
    </w:p>
    <w:p w14:paraId="63769A7C" w14:textId="77777777" w:rsidR="00E00304" w:rsidRPr="00164238" w:rsidRDefault="00E00304" w:rsidP="00E00304">
      <w:pPr>
        <w:spacing w:before="120" w:after="12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lastRenderedPageBreak/>
        <w:t>Fukuyama, F. (1992). The End of History and the Last Man. New York: The Free Press.</w:t>
      </w:r>
    </w:p>
    <w:p w14:paraId="58116A07"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Goldin, I. (2020). Covid-19 proves globalisation is not dead. Financial Times, </w:t>
      </w:r>
      <w:hyperlink r:id="rId241" w:history="1">
        <w:r w:rsidRPr="00164238">
          <w:rPr>
            <w:rStyle w:val="Kpr"/>
            <w:rFonts w:ascii="Times New Roman" w:hAnsi="Times New Roman" w:cs="Times New Roman"/>
            <w:color w:val="000000" w:themeColor="text1"/>
            <w:sz w:val="20"/>
            <w:szCs w:val="20"/>
          </w:rPr>
          <w:t>https://www.ft.com/content/d99fa0e9-2046-4587-b886-7d42252b6fc9</w:t>
        </w:r>
      </w:hyperlink>
      <w:r w:rsidRPr="00164238">
        <w:rPr>
          <w:rFonts w:ascii="Times New Roman" w:hAnsi="Times New Roman" w:cs="Times New Roman"/>
          <w:color w:val="000000" w:themeColor="text1"/>
          <w:sz w:val="20"/>
          <w:szCs w:val="20"/>
        </w:rPr>
        <w:t xml:space="preserve"> (Accessed 18 March 2021).</w:t>
      </w:r>
    </w:p>
    <w:p w14:paraId="2F1D665C"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Gourrinchas, P. O. (2020). Flattening the pandemic and recession curves. </w:t>
      </w:r>
      <w:r w:rsidRPr="00164238">
        <w:rPr>
          <w:rFonts w:ascii="Times New Roman" w:hAnsi="Times New Roman" w:cs="Times New Roman"/>
          <w:iCs/>
          <w:color w:val="000000" w:themeColor="text1"/>
          <w:sz w:val="20"/>
          <w:szCs w:val="20"/>
        </w:rPr>
        <w:t xml:space="preserve">VoxEU, </w:t>
      </w:r>
      <w:hyperlink r:id="rId242" w:history="1">
        <w:r w:rsidRPr="00164238">
          <w:rPr>
            <w:rStyle w:val="Kpr"/>
            <w:rFonts w:ascii="Times New Roman" w:hAnsi="Times New Roman" w:cs="Times New Roman"/>
            <w:iCs/>
            <w:color w:val="000000" w:themeColor="text1"/>
            <w:sz w:val="20"/>
            <w:szCs w:val="20"/>
          </w:rPr>
          <w:t>https://voxeu.org/article/flattening-pandemic-and-recession-curves</w:t>
        </w:r>
      </w:hyperlink>
      <w:r w:rsidRPr="00164238">
        <w:rPr>
          <w:rFonts w:ascii="Times New Roman" w:hAnsi="Times New Roman" w:cs="Times New Roman"/>
          <w:iCs/>
          <w:color w:val="000000" w:themeColor="text1"/>
          <w:sz w:val="20"/>
          <w:szCs w:val="20"/>
        </w:rPr>
        <w:t xml:space="preserve"> </w:t>
      </w:r>
      <w:r w:rsidRPr="00164238">
        <w:rPr>
          <w:rFonts w:ascii="Times New Roman" w:hAnsi="Times New Roman" w:cs="Times New Roman"/>
          <w:color w:val="000000" w:themeColor="text1"/>
          <w:sz w:val="20"/>
          <w:szCs w:val="20"/>
        </w:rPr>
        <w:t>(Accessed 2 March 2021).</w:t>
      </w:r>
    </w:p>
    <w:p w14:paraId="15ECACC5"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Gür, N., Tatlıyer, M. &amp; Dilek, Ş. (2020). Ekonominin Koronavirüsle Mücadelesi. İstanbul: Siyaset, Ekonomi ve Toplum Araştırmaları Vakfı (SETA). </w:t>
      </w:r>
    </w:p>
    <w:p w14:paraId="33ACB0C6"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shd w:val="clear" w:color="auto" w:fill="FFFFFF"/>
        </w:rPr>
        <w:t>Gygli, S., Haelg, F., Potrafke, N., &amp; Sturm, J. E. (2019). The KOF globalisation index–revisited. </w:t>
      </w:r>
      <w:r w:rsidRPr="00164238">
        <w:rPr>
          <w:rFonts w:ascii="Times New Roman" w:hAnsi="Times New Roman" w:cs="Times New Roman"/>
          <w:iCs/>
          <w:color w:val="000000" w:themeColor="text1"/>
          <w:sz w:val="20"/>
          <w:szCs w:val="20"/>
          <w:shd w:val="clear" w:color="auto" w:fill="FFFFFF"/>
        </w:rPr>
        <w:t>The Review of International Organizations</w:t>
      </w:r>
      <w:r w:rsidRPr="00164238">
        <w:rPr>
          <w:rFonts w:ascii="Times New Roman" w:hAnsi="Times New Roman" w:cs="Times New Roman"/>
          <w:color w:val="000000" w:themeColor="text1"/>
          <w:sz w:val="20"/>
          <w:szCs w:val="20"/>
          <w:shd w:val="clear" w:color="auto" w:fill="FFFFFF"/>
        </w:rPr>
        <w:t>, </w:t>
      </w:r>
      <w:r w:rsidRPr="00164238">
        <w:rPr>
          <w:rFonts w:ascii="Times New Roman" w:hAnsi="Times New Roman" w:cs="Times New Roman"/>
          <w:iCs/>
          <w:color w:val="000000" w:themeColor="text1"/>
          <w:sz w:val="20"/>
          <w:szCs w:val="20"/>
          <w:shd w:val="clear" w:color="auto" w:fill="FFFFFF"/>
        </w:rPr>
        <w:t>14</w:t>
      </w:r>
      <w:r w:rsidRPr="00164238">
        <w:rPr>
          <w:rFonts w:ascii="Times New Roman" w:hAnsi="Times New Roman" w:cs="Times New Roman"/>
          <w:color w:val="000000" w:themeColor="text1"/>
          <w:sz w:val="20"/>
          <w:szCs w:val="20"/>
          <w:shd w:val="clear" w:color="auto" w:fill="FFFFFF"/>
        </w:rPr>
        <w:t xml:space="preserve">, 543-574. </w:t>
      </w:r>
      <w:hyperlink r:id="rId243" w:history="1">
        <w:r w:rsidRPr="00164238">
          <w:rPr>
            <w:rStyle w:val="Kpr"/>
            <w:rFonts w:ascii="Times New Roman" w:hAnsi="Times New Roman" w:cs="Times New Roman"/>
            <w:color w:val="000000" w:themeColor="text1"/>
            <w:sz w:val="20"/>
            <w:szCs w:val="20"/>
          </w:rPr>
          <w:t>https://doi.org/10.1007/s11558-019-09344-2</w:t>
        </w:r>
      </w:hyperlink>
      <w:r w:rsidRPr="00164238">
        <w:rPr>
          <w:rFonts w:ascii="Times New Roman" w:hAnsi="Times New Roman" w:cs="Times New Roman"/>
          <w:color w:val="000000" w:themeColor="text1"/>
          <w:sz w:val="20"/>
          <w:szCs w:val="20"/>
        </w:rPr>
        <w:t>.</w:t>
      </w:r>
    </w:p>
    <w:p w14:paraId="0306600B"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Herszenhorn, D. M., Barigazzı, J. &amp; Momtaz, R. (2020). Virtual summit, real acrimony: EU leaders clash over ‘corona bonds’. Politico, </w:t>
      </w:r>
      <w:hyperlink r:id="rId244" w:history="1">
        <w:r w:rsidRPr="00164238">
          <w:rPr>
            <w:rStyle w:val="Kpr"/>
            <w:rFonts w:ascii="Times New Roman" w:hAnsi="Times New Roman" w:cs="Times New Roman"/>
            <w:color w:val="000000" w:themeColor="text1"/>
            <w:sz w:val="20"/>
            <w:szCs w:val="20"/>
          </w:rPr>
          <w:t>https://www.politico.eu/article/virtual-summit-real-acrimony-eu-leaders-clash-over-corona-bonds/</w:t>
        </w:r>
      </w:hyperlink>
      <w:r w:rsidRPr="00164238">
        <w:rPr>
          <w:rStyle w:val="Kpr"/>
          <w:rFonts w:ascii="Times New Roman" w:hAnsi="Times New Roman" w:cs="Times New Roman"/>
          <w:color w:val="000000" w:themeColor="text1"/>
          <w:sz w:val="20"/>
          <w:szCs w:val="20"/>
        </w:rPr>
        <w:t xml:space="preserve"> </w:t>
      </w:r>
      <w:r w:rsidRPr="00164238">
        <w:rPr>
          <w:rFonts w:ascii="Times New Roman" w:hAnsi="Times New Roman" w:cs="Times New Roman"/>
          <w:color w:val="000000" w:themeColor="text1"/>
          <w:sz w:val="20"/>
          <w:szCs w:val="20"/>
        </w:rPr>
        <w:t>(Accessed 16 February 2021).</w:t>
      </w:r>
    </w:p>
    <w:p w14:paraId="269F3DBF"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Hutton, W. (2020). Coronavirus won’t end globalisation, but change it hugely for the better, the Guardian, </w:t>
      </w:r>
      <w:hyperlink r:id="rId245" w:history="1">
        <w:r w:rsidRPr="00164238">
          <w:rPr>
            <w:rStyle w:val="Kpr"/>
            <w:rFonts w:ascii="Times New Roman" w:hAnsi="Times New Roman" w:cs="Times New Roman"/>
            <w:color w:val="000000" w:themeColor="text1"/>
            <w:sz w:val="20"/>
            <w:szCs w:val="20"/>
          </w:rPr>
          <w:t>https://www.theguardian.com/commentisfree/2020/mar/08/the-coronavirus-outbreak-shows-us-that-no-one-can-take-on-this-enemy-alone</w:t>
        </w:r>
      </w:hyperlink>
      <w:r w:rsidRPr="00164238">
        <w:rPr>
          <w:rFonts w:ascii="Times New Roman" w:hAnsi="Times New Roman" w:cs="Times New Roman"/>
          <w:color w:val="000000" w:themeColor="text1"/>
          <w:sz w:val="20"/>
          <w:szCs w:val="20"/>
        </w:rPr>
        <w:t xml:space="preserve"> (Accessed 10 March 2021).</w:t>
      </w:r>
    </w:p>
    <w:p w14:paraId="46108142"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ILO (2021). International Labour Organization. ILO Monitor: Covid-19 and the World of Work, Seventh Edition, Genève: Switzerland.</w:t>
      </w:r>
    </w:p>
    <w:p w14:paraId="023BACA7" w14:textId="77777777" w:rsidR="00E00304" w:rsidRPr="00164238" w:rsidRDefault="00E00304" w:rsidP="00E00304">
      <w:pPr>
        <w:spacing w:before="120" w:after="120" w:line="240" w:lineRule="auto"/>
        <w:jc w:val="both"/>
        <w:rPr>
          <w:rFonts w:ascii="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lang w:eastAsia="tr-TR"/>
        </w:rPr>
        <w:t xml:space="preserve">IMF (2021a). </w:t>
      </w:r>
      <w:r w:rsidRPr="00164238">
        <w:rPr>
          <w:rFonts w:ascii="Times New Roman" w:hAnsi="Times New Roman" w:cs="Times New Roman"/>
          <w:color w:val="000000" w:themeColor="text1"/>
          <w:sz w:val="20"/>
          <w:szCs w:val="20"/>
        </w:rPr>
        <w:t>International Monetary Fund. World Economic Outlook Update.</w:t>
      </w:r>
    </w:p>
    <w:p w14:paraId="465B36D1"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lang w:eastAsia="tr-TR"/>
        </w:rPr>
        <w:t xml:space="preserve">IMF (2021b). </w:t>
      </w:r>
      <w:r w:rsidRPr="00164238">
        <w:rPr>
          <w:rFonts w:ascii="Times New Roman" w:hAnsi="Times New Roman" w:cs="Times New Roman"/>
          <w:color w:val="000000" w:themeColor="text1"/>
          <w:sz w:val="20"/>
          <w:szCs w:val="20"/>
        </w:rPr>
        <w:t xml:space="preserve">International Monetary Fund. Policy </w:t>
      </w:r>
      <w:r w:rsidRPr="00164238">
        <w:rPr>
          <w:rFonts w:ascii="Times New Roman" w:hAnsi="Times New Roman" w:cs="Times New Roman"/>
          <w:color w:val="000000" w:themeColor="text1"/>
          <w:sz w:val="20"/>
          <w:szCs w:val="20"/>
          <w:shd w:val="clear" w:color="auto" w:fill="FFFFFF"/>
        </w:rPr>
        <w:t xml:space="preserve">Responses to COVID-19, </w:t>
      </w:r>
      <w:hyperlink r:id="rId246" w:anchor="J" w:history="1">
        <w:r w:rsidRPr="00164238">
          <w:rPr>
            <w:rStyle w:val="Kpr"/>
            <w:rFonts w:ascii="Times New Roman" w:hAnsi="Times New Roman" w:cs="Times New Roman"/>
            <w:color w:val="000000" w:themeColor="text1"/>
            <w:sz w:val="20"/>
            <w:szCs w:val="20"/>
            <w:shd w:val="clear" w:color="auto" w:fill="FFFFFF"/>
          </w:rPr>
          <w:t>https://www.imf.org/en/Topics/imf-and-covid19/Policy-Responses-to-COVID-19#J</w:t>
        </w:r>
      </w:hyperlink>
      <w:r w:rsidRPr="00164238">
        <w:rPr>
          <w:rFonts w:ascii="Times New Roman" w:hAnsi="Times New Roman" w:cs="Times New Roman"/>
          <w:color w:val="000000" w:themeColor="text1"/>
          <w:sz w:val="20"/>
          <w:szCs w:val="20"/>
          <w:shd w:val="clear" w:color="auto" w:fill="FFFFFF"/>
        </w:rPr>
        <w:t xml:space="preserve"> </w:t>
      </w:r>
      <w:r w:rsidRPr="00164238">
        <w:rPr>
          <w:rFonts w:ascii="Times New Roman" w:hAnsi="Times New Roman" w:cs="Times New Roman"/>
          <w:color w:val="000000" w:themeColor="text1"/>
          <w:sz w:val="20"/>
          <w:szCs w:val="20"/>
        </w:rPr>
        <w:t>(Accessed 12 March 2021).</w:t>
      </w:r>
    </w:p>
    <w:p w14:paraId="3452D9F4"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Irwin, D. (2020). The Pandemic Adds Momentum to the Deglobalisation Trend, VOXEU, </w:t>
      </w:r>
      <w:hyperlink r:id="rId247" w:history="1">
        <w:r w:rsidRPr="00164238">
          <w:rPr>
            <w:rStyle w:val="Kpr"/>
            <w:rFonts w:ascii="Times New Roman" w:hAnsi="Times New Roman" w:cs="Times New Roman"/>
            <w:color w:val="000000" w:themeColor="text1"/>
            <w:sz w:val="20"/>
            <w:szCs w:val="20"/>
          </w:rPr>
          <w:t>https://voxeu.org/article/pandemic-adds-momentum-deglobalisation-trend</w:t>
        </w:r>
      </w:hyperlink>
      <w:r w:rsidRPr="00164238">
        <w:rPr>
          <w:rFonts w:ascii="Times New Roman" w:hAnsi="Times New Roman" w:cs="Times New Roman"/>
          <w:color w:val="000000" w:themeColor="text1"/>
          <w:sz w:val="20"/>
          <w:szCs w:val="20"/>
        </w:rPr>
        <w:t xml:space="preserve"> (Accessed 8 March 2021). </w:t>
      </w:r>
    </w:p>
    <w:p w14:paraId="698030F1"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Karabag, S. F. (2020). An Unprecedented Global Crisis! The Global, Regional, National, Political, Economic and Commercial Impact of the Coronavirus Pandemic. Journal of Applied Economics and Business Research, 10(1), 1-6.</w:t>
      </w:r>
    </w:p>
    <w:p w14:paraId="75E27C71" w14:textId="77777777" w:rsidR="00E00304" w:rsidRPr="00164238" w:rsidRDefault="00E00304" w:rsidP="00E00304">
      <w:pPr>
        <w:spacing w:before="120" w:after="12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Kotz, David M. (2002). Globalization and Neoliberalism. Rethinking Marxism, 12(2), 64-79.</w:t>
      </w:r>
    </w:p>
    <w:p w14:paraId="0CCCF4AA"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shd w:val="clear" w:color="auto" w:fill="FFFFFF"/>
        </w:rPr>
      </w:pPr>
      <w:r w:rsidRPr="00164238">
        <w:rPr>
          <w:rFonts w:ascii="Times New Roman" w:hAnsi="Times New Roman" w:cs="Times New Roman"/>
          <w:color w:val="000000" w:themeColor="text1"/>
          <w:sz w:val="20"/>
          <w:szCs w:val="20"/>
          <w:shd w:val="clear" w:color="auto" w:fill="FFFFFF"/>
        </w:rPr>
        <w:t>Kurjak, A., Stanojevic, M., Jakovljevic, M., Gaber, G., Porovic, S., Medjedovic, E. &amp; Vacek, V. (2020). Coronavirus disease-2019 or the end of a happy globalization. </w:t>
      </w:r>
      <w:r w:rsidRPr="00164238">
        <w:rPr>
          <w:rFonts w:ascii="Times New Roman" w:hAnsi="Times New Roman" w:cs="Times New Roman"/>
          <w:iCs/>
          <w:color w:val="000000" w:themeColor="text1"/>
          <w:sz w:val="20"/>
          <w:szCs w:val="20"/>
          <w:shd w:val="clear" w:color="auto" w:fill="FFFFFF"/>
        </w:rPr>
        <w:t>Donald School Journal of Ultrasound in Obstetrics and Gynecology</w:t>
      </w:r>
      <w:r w:rsidRPr="00164238">
        <w:rPr>
          <w:rFonts w:ascii="Times New Roman" w:hAnsi="Times New Roman" w:cs="Times New Roman"/>
          <w:color w:val="000000" w:themeColor="text1"/>
          <w:sz w:val="20"/>
          <w:szCs w:val="20"/>
          <w:shd w:val="clear" w:color="auto" w:fill="FFFFFF"/>
        </w:rPr>
        <w:t>, </w:t>
      </w:r>
      <w:r w:rsidRPr="00164238">
        <w:rPr>
          <w:rFonts w:ascii="Times New Roman" w:hAnsi="Times New Roman" w:cs="Times New Roman"/>
          <w:iCs/>
          <w:color w:val="000000" w:themeColor="text1"/>
          <w:sz w:val="20"/>
          <w:szCs w:val="20"/>
          <w:shd w:val="clear" w:color="auto" w:fill="FFFFFF"/>
        </w:rPr>
        <w:t>14</w:t>
      </w:r>
      <w:r w:rsidRPr="00164238">
        <w:rPr>
          <w:rFonts w:ascii="Times New Roman" w:hAnsi="Times New Roman" w:cs="Times New Roman"/>
          <w:color w:val="000000" w:themeColor="text1"/>
          <w:sz w:val="20"/>
          <w:szCs w:val="20"/>
          <w:shd w:val="clear" w:color="auto" w:fill="FFFFFF"/>
        </w:rPr>
        <w:t>(3), 279-287.</w:t>
      </w:r>
    </w:p>
    <w:p w14:paraId="2DD2C9BE"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shd w:val="clear" w:color="auto" w:fill="FFFFFF"/>
        </w:rPr>
        <w:t xml:space="preserve">Lang, V. F. &amp; Tavares, M. M. (2018). The distribution of gains from globalization. </w:t>
      </w:r>
      <w:r w:rsidRPr="00164238">
        <w:rPr>
          <w:rFonts w:ascii="Times New Roman" w:hAnsi="Times New Roman" w:cs="Times New Roman"/>
          <w:color w:val="000000" w:themeColor="text1"/>
          <w:sz w:val="20"/>
          <w:szCs w:val="20"/>
        </w:rPr>
        <w:t>IMF Working Paper, WP/18/54.</w:t>
      </w:r>
    </w:p>
    <w:p w14:paraId="0A924968"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shd w:val="clear" w:color="auto" w:fill="FFFFFF"/>
        </w:rPr>
      </w:pPr>
      <w:r w:rsidRPr="00164238">
        <w:rPr>
          <w:rFonts w:ascii="Times New Roman" w:hAnsi="Times New Roman" w:cs="Times New Roman"/>
          <w:color w:val="000000" w:themeColor="text1"/>
          <w:sz w:val="20"/>
          <w:szCs w:val="20"/>
          <w:shd w:val="clear" w:color="auto" w:fill="FFFFFF"/>
        </w:rPr>
        <w:t>Lee, K. (2004). Globalisation: what is it and how does it affect health?. </w:t>
      </w:r>
      <w:r w:rsidRPr="00164238">
        <w:rPr>
          <w:rFonts w:ascii="Times New Roman" w:hAnsi="Times New Roman" w:cs="Times New Roman"/>
          <w:iCs/>
          <w:color w:val="000000" w:themeColor="text1"/>
          <w:sz w:val="20"/>
          <w:szCs w:val="20"/>
          <w:shd w:val="clear" w:color="auto" w:fill="FFFFFF"/>
        </w:rPr>
        <w:t>Medical journal of Australia</w:t>
      </w:r>
      <w:r w:rsidRPr="00164238">
        <w:rPr>
          <w:rFonts w:ascii="Times New Roman" w:hAnsi="Times New Roman" w:cs="Times New Roman"/>
          <w:color w:val="000000" w:themeColor="text1"/>
          <w:sz w:val="20"/>
          <w:szCs w:val="20"/>
          <w:shd w:val="clear" w:color="auto" w:fill="FFFFFF"/>
        </w:rPr>
        <w:t>, </w:t>
      </w:r>
      <w:r w:rsidRPr="00164238">
        <w:rPr>
          <w:rFonts w:ascii="Times New Roman" w:hAnsi="Times New Roman" w:cs="Times New Roman"/>
          <w:iCs/>
          <w:color w:val="000000" w:themeColor="text1"/>
          <w:sz w:val="20"/>
          <w:szCs w:val="20"/>
          <w:shd w:val="clear" w:color="auto" w:fill="FFFFFF"/>
        </w:rPr>
        <w:t>180</w:t>
      </w:r>
      <w:r w:rsidRPr="00164238">
        <w:rPr>
          <w:rFonts w:ascii="Times New Roman" w:hAnsi="Times New Roman" w:cs="Times New Roman"/>
          <w:color w:val="000000" w:themeColor="text1"/>
          <w:sz w:val="20"/>
          <w:szCs w:val="20"/>
          <w:shd w:val="clear" w:color="auto" w:fill="FFFFFF"/>
        </w:rPr>
        <w:t>, 156-158.</w:t>
      </w:r>
    </w:p>
    <w:p w14:paraId="2916C3EB"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Legrain, P. (2020). The Coronavirus Is Killing Globalization as We Know It. Foreign Policy, </w:t>
      </w:r>
      <w:hyperlink r:id="rId248" w:history="1">
        <w:r w:rsidRPr="00164238">
          <w:rPr>
            <w:rStyle w:val="Kpr"/>
            <w:rFonts w:ascii="Times New Roman" w:hAnsi="Times New Roman" w:cs="Times New Roman"/>
            <w:color w:val="000000" w:themeColor="text1"/>
            <w:sz w:val="20"/>
            <w:szCs w:val="20"/>
          </w:rPr>
          <w:t>https://foreignpolicy.com/2020/03/12/coronavirus-killing-globalization-nationalism-protectionism-trump/</w:t>
        </w:r>
      </w:hyperlink>
      <w:r w:rsidRPr="00164238">
        <w:rPr>
          <w:rFonts w:ascii="Times New Roman" w:hAnsi="Times New Roman" w:cs="Times New Roman"/>
          <w:color w:val="000000" w:themeColor="text1"/>
          <w:sz w:val="20"/>
          <w:szCs w:val="20"/>
        </w:rPr>
        <w:t xml:space="preserve"> (Accessed 4 February 2021).</w:t>
      </w:r>
    </w:p>
    <w:p w14:paraId="6966DD7E"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LePan, N. (2020). Visualizing the History of Pandemics. Visual Capitalist, https://www.visualcapitalist.com/history-of-pandemics-deadliest/ (Accessed 01 April 2021).</w:t>
      </w:r>
    </w:p>
    <w:p w14:paraId="2A4C23C9"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shd w:val="clear" w:color="auto" w:fill="FFFFFF"/>
        </w:rPr>
        <w:t>Lucchese, M. &amp; Pianta, M. (2020). The coming coronavirus crisis: What can we learn?. </w:t>
      </w:r>
      <w:r w:rsidRPr="00164238">
        <w:rPr>
          <w:rFonts w:ascii="Times New Roman" w:hAnsi="Times New Roman" w:cs="Times New Roman"/>
          <w:iCs/>
          <w:color w:val="000000" w:themeColor="text1"/>
          <w:sz w:val="20"/>
          <w:szCs w:val="20"/>
          <w:shd w:val="clear" w:color="auto" w:fill="FFFFFF"/>
        </w:rPr>
        <w:t>Intereconomics</w:t>
      </w:r>
      <w:r w:rsidRPr="00164238">
        <w:rPr>
          <w:rFonts w:ascii="Times New Roman" w:hAnsi="Times New Roman" w:cs="Times New Roman"/>
          <w:color w:val="000000" w:themeColor="text1"/>
          <w:sz w:val="20"/>
          <w:szCs w:val="20"/>
          <w:shd w:val="clear" w:color="auto" w:fill="FFFFFF"/>
        </w:rPr>
        <w:t>, 2, 98-104.</w:t>
      </w:r>
    </w:p>
    <w:p w14:paraId="460596E8"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Mahbubani, K. (2020). A More China-Centric Globalization. Foreign Policy,  </w:t>
      </w:r>
      <w:hyperlink r:id="rId249" w:history="1">
        <w:r w:rsidRPr="00164238">
          <w:rPr>
            <w:rStyle w:val="Kpr"/>
            <w:rFonts w:ascii="Times New Roman" w:hAnsi="Times New Roman" w:cs="Times New Roman"/>
            <w:color w:val="000000" w:themeColor="text1"/>
            <w:sz w:val="20"/>
            <w:szCs w:val="20"/>
          </w:rPr>
          <w:t>https://foreignpolicy.com/2020/03/20/world-order-after-coroanvirus-pandemic/?fbclid=IwAR2pa01f65Rc8oyZoMmHPh2amiD_kRiqiO0qJS46APJFUqBc0vB-3UuMWOE</w:t>
        </w:r>
      </w:hyperlink>
      <w:r w:rsidRPr="00164238">
        <w:rPr>
          <w:rFonts w:ascii="Times New Roman" w:hAnsi="Times New Roman" w:cs="Times New Roman"/>
          <w:color w:val="000000" w:themeColor="text1"/>
          <w:sz w:val="20"/>
          <w:szCs w:val="20"/>
        </w:rPr>
        <w:t xml:space="preserve"> (Accessed 18 March 2021).</w:t>
      </w:r>
    </w:p>
    <w:p w14:paraId="5F7B27A8"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lastRenderedPageBreak/>
        <w:t>McCulloch, R. (2002). Globalisation: Historical perspective and prospects. In K. T. Lee (Ed.), Globalization and the Asia Pacific Economy (pp. 6-24). London: Routledge Taylor &amp; Francis Group.</w:t>
      </w:r>
    </w:p>
    <w:p w14:paraId="12AD4F05"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shd w:val="clear" w:color="auto" w:fill="FFFFFF"/>
        </w:rPr>
        <w:t>McNamara, K. R. &amp; Newman, A. L. (2020). The Big Reveal: COVID-19 and Globalization’s Great Transformations. </w:t>
      </w:r>
      <w:r w:rsidRPr="00164238">
        <w:rPr>
          <w:rFonts w:ascii="Times New Roman" w:hAnsi="Times New Roman" w:cs="Times New Roman"/>
          <w:i/>
          <w:iCs/>
          <w:color w:val="000000" w:themeColor="text1"/>
          <w:sz w:val="20"/>
          <w:szCs w:val="20"/>
          <w:shd w:val="clear" w:color="auto" w:fill="FFFFFF"/>
        </w:rPr>
        <w:t>International Organization 74</w:t>
      </w:r>
      <w:r w:rsidRPr="00164238">
        <w:rPr>
          <w:rFonts w:ascii="Times New Roman" w:hAnsi="Times New Roman" w:cs="Times New Roman"/>
          <w:color w:val="000000" w:themeColor="text1"/>
          <w:sz w:val="20"/>
          <w:szCs w:val="20"/>
          <w:shd w:val="clear" w:color="auto" w:fill="FFFFFF"/>
        </w:rPr>
        <w:t xml:space="preserve">, 1-19. </w:t>
      </w:r>
      <w:r w:rsidRPr="00164238">
        <w:rPr>
          <w:rFonts w:ascii="Times New Roman" w:hAnsi="Times New Roman" w:cs="Times New Roman"/>
          <w:color w:val="000000" w:themeColor="text1"/>
          <w:sz w:val="20"/>
          <w:szCs w:val="20"/>
        </w:rPr>
        <w:t>doi:10.1017/S0020818320000387.</w:t>
      </w:r>
    </w:p>
    <w:p w14:paraId="1DBD3761" w14:textId="77777777" w:rsidR="00E00304" w:rsidRPr="00164238" w:rsidRDefault="00E00304" w:rsidP="00E00304">
      <w:pPr>
        <w:spacing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Mengzi, F. (2020). The Future of Globalization Under the Impact of Covid-19 Pandemic.  CIR, 30 (4), 15-25.</w:t>
      </w:r>
    </w:p>
    <w:p w14:paraId="7F023F6E"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Miraj, A. (2020). Covid-19 and the return of the nation state. The Article, </w:t>
      </w:r>
      <w:hyperlink r:id="rId250" w:history="1">
        <w:r w:rsidRPr="00164238">
          <w:rPr>
            <w:rStyle w:val="Kpr"/>
            <w:rFonts w:ascii="Times New Roman" w:hAnsi="Times New Roman" w:cs="Times New Roman"/>
            <w:color w:val="000000" w:themeColor="text1"/>
            <w:sz w:val="20"/>
            <w:szCs w:val="20"/>
          </w:rPr>
          <w:t>https://www.thearticle.com/covid-19-and-the-return-of-the-nation-state</w:t>
        </w:r>
      </w:hyperlink>
      <w:r w:rsidRPr="00164238">
        <w:rPr>
          <w:rFonts w:ascii="Times New Roman" w:hAnsi="Times New Roman" w:cs="Times New Roman"/>
          <w:color w:val="000000" w:themeColor="text1"/>
          <w:sz w:val="20"/>
          <w:szCs w:val="20"/>
        </w:rPr>
        <w:t xml:space="preserve"> (Accessed 12 February 2021).</w:t>
      </w:r>
    </w:p>
    <w:p w14:paraId="14484BD6"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O’Connell, J. (2020). National Borders and Covid-19: The Death of Globalisation?. Nationalism Studies , </w:t>
      </w:r>
      <w:hyperlink r:id="rId251" w:history="1">
        <w:r w:rsidRPr="00164238">
          <w:rPr>
            <w:rStyle w:val="Kpr"/>
            <w:rFonts w:ascii="Times New Roman" w:hAnsi="Times New Roman" w:cs="Times New Roman"/>
            <w:color w:val="000000" w:themeColor="text1"/>
            <w:sz w:val="20"/>
            <w:szCs w:val="20"/>
          </w:rPr>
          <w:t>https://nationalism-studies.sps.ed.ac.uk/2020/08/16/national-borders-and-covid-19-the-death-of-globalisation/</w:t>
        </w:r>
      </w:hyperlink>
      <w:r w:rsidRPr="00164238">
        <w:rPr>
          <w:rFonts w:ascii="Times New Roman" w:hAnsi="Times New Roman" w:cs="Times New Roman"/>
          <w:color w:val="000000" w:themeColor="text1"/>
          <w:sz w:val="20"/>
          <w:szCs w:val="20"/>
        </w:rPr>
        <w:t xml:space="preserve"> (Accessed 20 February 2021).</w:t>
      </w:r>
    </w:p>
    <w:p w14:paraId="3492015F"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Raza, A. (2020). Coronavirus pandemic and the Future of Globalization. Review of Human Rights, 6(1), xxxii-xxxvi. DOI: 10.35994/rhr.v6i1.108.</w:t>
      </w:r>
    </w:p>
    <w:p w14:paraId="604B6EEE" w14:textId="77777777" w:rsidR="00E00304" w:rsidRPr="00164238" w:rsidRDefault="00E00304" w:rsidP="00E00304">
      <w:pPr>
        <w:autoSpaceDE w:val="0"/>
        <w:autoSpaceDN w:val="0"/>
        <w:adjustRightInd w:val="0"/>
        <w:spacing w:before="120" w:after="120" w:line="240" w:lineRule="auto"/>
        <w:ind w:left="567" w:hanging="567"/>
        <w:jc w:val="both"/>
        <w:rPr>
          <w:rFonts w:ascii="Times New Roman" w:hAnsi="Times New Roman" w:cs="Times New Roman"/>
          <w:color w:val="000000" w:themeColor="text1"/>
          <w:sz w:val="20"/>
          <w:szCs w:val="20"/>
          <w:shd w:val="clear" w:color="auto" w:fill="FFFFFF"/>
        </w:rPr>
      </w:pPr>
      <w:r w:rsidRPr="00164238">
        <w:rPr>
          <w:rFonts w:ascii="Times New Roman" w:hAnsi="Times New Roman" w:cs="Times New Roman"/>
          <w:color w:val="000000" w:themeColor="text1"/>
          <w:sz w:val="20"/>
          <w:szCs w:val="20"/>
          <w:shd w:val="clear" w:color="auto" w:fill="FFFFFF"/>
        </w:rPr>
        <w:t>Rodrik, D. (1996). Why Do More Open Economies Have Bigger Governments?. NBER Working Paper Series, Working Paper 5537, 1-27.</w:t>
      </w:r>
    </w:p>
    <w:p w14:paraId="48EB7CFF" w14:textId="77777777" w:rsidR="00E00304" w:rsidRPr="00164238" w:rsidRDefault="00E00304" w:rsidP="00E00304">
      <w:pPr>
        <w:spacing w:before="120" w:after="120"/>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Rodrik, D. (2019). A New Deal on Labour Mobility: A Conversation with Dani Rodrik. In </w:t>
      </w:r>
      <w:r w:rsidRPr="00164238">
        <w:rPr>
          <w:rFonts w:ascii="Times New Roman" w:hAnsi="Times New Roman" w:cs="Times New Roman"/>
          <w:i/>
          <w:color w:val="000000" w:themeColor="text1"/>
          <w:sz w:val="20"/>
          <w:szCs w:val="20"/>
        </w:rPr>
        <w:t>The Crisis of Globalization</w:t>
      </w:r>
      <w:r w:rsidRPr="00164238">
        <w:rPr>
          <w:rFonts w:ascii="Times New Roman" w:hAnsi="Times New Roman" w:cs="Times New Roman"/>
          <w:color w:val="000000" w:themeColor="text1"/>
          <w:sz w:val="20"/>
          <w:szCs w:val="20"/>
        </w:rPr>
        <w:t>, pp. 88-101. Social Europe Dossier, https://www.socialeurope.eu/book/the-crisis-of-globalisation.</w:t>
      </w:r>
    </w:p>
    <w:p w14:paraId="0D2728FE"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Rodrik, D. (2020). Will COVID-19 remake the world?. Project Syndicate, </w:t>
      </w:r>
      <w:hyperlink r:id="rId252" w:history="1">
        <w:r w:rsidRPr="00164238">
          <w:rPr>
            <w:rStyle w:val="Kpr"/>
            <w:rFonts w:ascii="Times New Roman" w:hAnsi="Times New Roman" w:cs="Times New Roman"/>
            <w:color w:val="000000" w:themeColor="text1"/>
            <w:sz w:val="20"/>
            <w:szCs w:val="20"/>
          </w:rPr>
          <w:t>https://www.project-syndicate.org/commentary/will-covid19-remake-the-world-by-dani-rodrik-2020-04?barrier=accesspaylog</w:t>
        </w:r>
      </w:hyperlink>
      <w:r w:rsidRPr="00164238">
        <w:rPr>
          <w:rFonts w:ascii="Times New Roman" w:hAnsi="Times New Roman" w:cs="Times New Roman"/>
          <w:color w:val="000000" w:themeColor="text1"/>
          <w:sz w:val="20"/>
          <w:szCs w:val="20"/>
        </w:rPr>
        <w:t xml:space="preserve"> (Accessed 2 February 2021).</w:t>
      </w:r>
    </w:p>
    <w:p w14:paraId="325C5065"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Schilirò, D. (2020). Towards digital globalization and the covid-19 challenge. Munich Personal RePEc Archive, </w:t>
      </w:r>
      <w:hyperlink r:id="rId253" w:history="1">
        <w:r w:rsidRPr="00164238">
          <w:rPr>
            <w:rStyle w:val="Kpr"/>
            <w:rFonts w:ascii="Times New Roman" w:hAnsi="Times New Roman" w:cs="Times New Roman"/>
            <w:color w:val="000000" w:themeColor="text1"/>
            <w:sz w:val="20"/>
            <w:szCs w:val="20"/>
          </w:rPr>
          <w:t>https://mpra.ub.uni-muenchen.de/100504/</w:t>
        </w:r>
      </w:hyperlink>
      <w:r w:rsidRPr="00164238">
        <w:rPr>
          <w:rFonts w:ascii="Times New Roman" w:hAnsi="Times New Roman" w:cs="Times New Roman"/>
          <w:color w:val="000000" w:themeColor="text1"/>
          <w:sz w:val="20"/>
          <w:szCs w:val="20"/>
        </w:rPr>
        <w:t>.</w:t>
      </w:r>
    </w:p>
    <w:p w14:paraId="1A850E68"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shd w:val="clear" w:color="auto" w:fill="FFFFFF"/>
        </w:rPr>
        <w:t>Stiglitz, J. E. (2020). Plagued by Trumpism. </w:t>
      </w:r>
      <w:r w:rsidRPr="00164238">
        <w:rPr>
          <w:rFonts w:ascii="Times New Roman" w:hAnsi="Times New Roman" w:cs="Times New Roman"/>
          <w:iCs/>
          <w:color w:val="000000" w:themeColor="text1"/>
          <w:sz w:val="20"/>
          <w:szCs w:val="20"/>
          <w:shd w:val="clear" w:color="auto" w:fill="FFFFFF"/>
        </w:rPr>
        <w:t>Social Europe</w:t>
      </w:r>
      <w:r w:rsidRPr="00164238">
        <w:rPr>
          <w:rFonts w:ascii="Times New Roman" w:hAnsi="Times New Roman" w:cs="Times New Roman"/>
          <w:color w:val="000000" w:themeColor="text1"/>
          <w:sz w:val="20"/>
          <w:szCs w:val="20"/>
          <w:shd w:val="clear" w:color="auto" w:fill="FFFFFF"/>
        </w:rPr>
        <w:t>,</w:t>
      </w:r>
      <w:r w:rsidRPr="00164238">
        <w:rPr>
          <w:rFonts w:ascii="Times New Roman" w:hAnsi="Times New Roman" w:cs="Times New Roman"/>
          <w:color w:val="000000" w:themeColor="text1"/>
          <w:sz w:val="20"/>
          <w:szCs w:val="20"/>
        </w:rPr>
        <w:t xml:space="preserve"> </w:t>
      </w:r>
      <w:hyperlink r:id="rId254" w:history="1">
        <w:r w:rsidRPr="00164238">
          <w:rPr>
            <w:rStyle w:val="Kpr"/>
            <w:rFonts w:ascii="Times New Roman" w:hAnsi="Times New Roman" w:cs="Times New Roman"/>
            <w:color w:val="000000" w:themeColor="text1"/>
            <w:sz w:val="20"/>
            <w:szCs w:val="20"/>
          </w:rPr>
          <w:t>https://www.socialeurope.eu/plagued-by-trumpism</w:t>
        </w:r>
      </w:hyperlink>
      <w:r w:rsidRPr="00164238">
        <w:rPr>
          <w:rFonts w:ascii="Times New Roman" w:hAnsi="Times New Roman" w:cs="Times New Roman"/>
          <w:color w:val="000000" w:themeColor="text1"/>
          <w:sz w:val="20"/>
          <w:szCs w:val="20"/>
        </w:rPr>
        <w:t xml:space="preserve"> (Accessed 2 February 2021).</w:t>
      </w:r>
    </w:p>
    <w:p w14:paraId="7D866BD7"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Sułkowski, L. (2020). Covid-19 Pandemic; Recession, Virtual Revolution Leading to De-globalization?. Journal of Intercultural Management, 12(1), 1-11. DOI 10.2478/joim-2020-0029.</w:t>
      </w:r>
    </w:p>
    <w:p w14:paraId="28E422EC"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Tappe, A. (2020). Capitalism isn’t working anymore. Here’s how the pandemic could change it forever. CNN Business, </w:t>
      </w:r>
      <w:hyperlink r:id="rId255" w:history="1">
        <w:r w:rsidRPr="00164238">
          <w:rPr>
            <w:rStyle w:val="Kpr"/>
            <w:rFonts w:ascii="Times New Roman" w:hAnsi="Times New Roman" w:cs="Times New Roman"/>
            <w:color w:val="000000" w:themeColor="text1"/>
            <w:sz w:val="20"/>
            <w:szCs w:val="20"/>
          </w:rPr>
          <w:t>https://edition.cnn.com/2020/09/20/economy/how-covid-changed-capitalism/index.html</w:t>
        </w:r>
      </w:hyperlink>
      <w:r w:rsidRPr="00164238">
        <w:rPr>
          <w:rFonts w:ascii="Times New Roman" w:hAnsi="Times New Roman" w:cs="Times New Roman"/>
          <w:color w:val="000000" w:themeColor="text1"/>
          <w:sz w:val="20"/>
          <w:szCs w:val="20"/>
        </w:rPr>
        <w:t xml:space="preserve"> (Accessed 5 March 2021).</w:t>
      </w:r>
    </w:p>
    <w:p w14:paraId="531C8F79"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TÜRMOB (2020). Korona Salgınının Türkiye Ekonomisine Etkisi: Değerlendirmeler ve Öneriler Raporu. Ankara: TÜRMOB Yayınları.</w:t>
      </w:r>
    </w:p>
    <w:p w14:paraId="09B909B3"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Voyvoda, E. &amp; Yeldan, E. (2020). COVİD-19 Salgının Türkiye Ekonomisi Üzerine Etkileri ve Politika Alternatiflerinin Makroekonomik Genel Denge Analizi. </w:t>
      </w:r>
      <w:hyperlink r:id="rId256" w:history="1">
        <w:r w:rsidRPr="00164238">
          <w:rPr>
            <w:rStyle w:val="Kpr"/>
            <w:rFonts w:ascii="Times New Roman" w:hAnsi="Times New Roman" w:cs="Times New Roman"/>
            <w:color w:val="000000" w:themeColor="text1"/>
            <w:sz w:val="20"/>
            <w:szCs w:val="20"/>
          </w:rPr>
          <w:t>https://yeldane.files.wordpress.com/2020/05/covid_voyvodayeldan_v2_31mayis.pdf</w:t>
        </w:r>
      </w:hyperlink>
      <w:r w:rsidRPr="00164238">
        <w:rPr>
          <w:rFonts w:ascii="Times New Roman" w:hAnsi="Times New Roman" w:cs="Times New Roman"/>
          <w:color w:val="000000" w:themeColor="text1"/>
          <w:sz w:val="20"/>
          <w:szCs w:val="20"/>
        </w:rPr>
        <w:t xml:space="preserve"> (Accessed 5 March 2021).</w:t>
      </w:r>
    </w:p>
    <w:p w14:paraId="1AB5CB5B"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WHO (2021). </w:t>
      </w:r>
      <w:hyperlink r:id="rId257" w:history="1">
        <w:r w:rsidRPr="00164238">
          <w:rPr>
            <w:rStyle w:val="Kpr"/>
            <w:rFonts w:ascii="Times New Roman" w:hAnsi="Times New Roman" w:cs="Times New Roman"/>
            <w:color w:val="000000" w:themeColor="text1"/>
            <w:sz w:val="20"/>
            <w:szCs w:val="20"/>
          </w:rPr>
          <w:t>WHO Coronavirus (COVID-19) Dashboard</w:t>
        </w:r>
      </w:hyperlink>
      <w:r w:rsidRPr="00164238">
        <w:rPr>
          <w:rFonts w:ascii="Times New Roman" w:hAnsi="Times New Roman" w:cs="Times New Roman"/>
          <w:color w:val="000000" w:themeColor="text1"/>
          <w:sz w:val="20"/>
          <w:szCs w:val="20"/>
        </w:rPr>
        <w:t xml:space="preserve">, </w:t>
      </w:r>
      <w:hyperlink r:id="rId258" w:history="1">
        <w:r w:rsidRPr="00164238">
          <w:rPr>
            <w:rStyle w:val="Kpr"/>
            <w:rFonts w:ascii="Times New Roman" w:hAnsi="Times New Roman" w:cs="Times New Roman"/>
            <w:color w:val="000000" w:themeColor="text1"/>
            <w:sz w:val="20"/>
            <w:szCs w:val="20"/>
          </w:rPr>
          <w:t>https://covid19.who.int/table</w:t>
        </w:r>
      </w:hyperlink>
      <w:r w:rsidRPr="00164238">
        <w:rPr>
          <w:rFonts w:ascii="Times New Roman" w:hAnsi="Times New Roman" w:cs="Times New Roman"/>
          <w:color w:val="000000" w:themeColor="text1"/>
          <w:sz w:val="20"/>
          <w:szCs w:val="20"/>
        </w:rPr>
        <w:t xml:space="preserve"> (Accessed 01 April 2021).</w:t>
      </w:r>
    </w:p>
    <w:p w14:paraId="4B4725CB"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World Bank (2021). World Development Indicator, </w:t>
      </w:r>
      <w:hyperlink r:id="rId259" w:history="1">
        <w:r w:rsidRPr="00164238">
          <w:rPr>
            <w:rStyle w:val="Kpr"/>
            <w:rFonts w:ascii="Times New Roman" w:hAnsi="Times New Roman" w:cs="Times New Roman"/>
            <w:color w:val="000000" w:themeColor="text1"/>
            <w:sz w:val="20"/>
            <w:szCs w:val="20"/>
          </w:rPr>
          <w:t>https://data.worldbank.org/indicator/NE.EXP.GNFS.KD</w:t>
        </w:r>
      </w:hyperlink>
      <w:r w:rsidRPr="00164238">
        <w:rPr>
          <w:rFonts w:ascii="Times New Roman" w:hAnsi="Times New Roman" w:cs="Times New Roman"/>
          <w:color w:val="000000" w:themeColor="text1"/>
          <w:sz w:val="20"/>
          <w:szCs w:val="20"/>
        </w:rPr>
        <w:t xml:space="preserve"> (Accessed 20 February 2021).</w:t>
      </w:r>
    </w:p>
    <w:p w14:paraId="0381BE62"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WTO (2020). </w:t>
      </w:r>
      <w:r w:rsidRPr="00164238">
        <w:rPr>
          <w:rFonts w:ascii="Times New Roman" w:eastAsia="Times New Roman" w:hAnsi="Times New Roman" w:cs="Times New Roman"/>
          <w:color w:val="000000" w:themeColor="text1"/>
          <w:sz w:val="20"/>
          <w:szCs w:val="20"/>
          <w:lang w:eastAsia="tr-TR"/>
        </w:rPr>
        <w:t xml:space="preserve">World Trade Organization, </w:t>
      </w:r>
      <w:r w:rsidRPr="00164238">
        <w:rPr>
          <w:rFonts w:ascii="Times New Roman" w:hAnsi="Times New Roman" w:cs="Times New Roman"/>
          <w:color w:val="000000" w:themeColor="text1"/>
          <w:sz w:val="20"/>
          <w:szCs w:val="20"/>
        </w:rPr>
        <w:t xml:space="preserve">Trade in Medical Goods in the Context of Tackling Covid-19: Developments in the First Half of 2020, </w:t>
      </w:r>
      <w:hyperlink r:id="rId260" w:history="1">
        <w:r w:rsidRPr="00164238">
          <w:rPr>
            <w:rStyle w:val="Kpr"/>
            <w:rFonts w:ascii="Times New Roman" w:hAnsi="Times New Roman" w:cs="Times New Roman"/>
            <w:color w:val="000000" w:themeColor="text1"/>
            <w:sz w:val="20"/>
            <w:szCs w:val="20"/>
          </w:rPr>
          <w:t>https://www.wto.org/english/tratop_e/covid19_e/medical_goods_update_e.pdf</w:t>
        </w:r>
      </w:hyperlink>
      <w:r w:rsidRPr="00164238">
        <w:rPr>
          <w:rFonts w:ascii="Times New Roman" w:hAnsi="Times New Roman" w:cs="Times New Roman"/>
          <w:color w:val="000000" w:themeColor="text1"/>
          <w:sz w:val="20"/>
          <w:szCs w:val="20"/>
        </w:rPr>
        <w:t xml:space="preserve"> (Accessed 8 March 2021).</w:t>
      </w:r>
    </w:p>
    <w:p w14:paraId="23715CB7" w14:textId="77777777" w:rsidR="00E00304" w:rsidRPr="00164238" w:rsidRDefault="00E00304" w:rsidP="00E00304">
      <w:pPr>
        <w:spacing w:before="120" w:after="120" w:line="240" w:lineRule="auto"/>
        <w:ind w:left="567" w:hanging="567"/>
        <w:jc w:val="both"/>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lastRenderedPageBreak/>
        <w:t xml:space="preserve">Yacoub, R. &amp; El-Zomor, M. (2020).Would COVID-19 Be the Turning Point in History for the Globalization Era? The Short-Term and Long-Term Impact of COVID-19 on Globalization, </w:t>
      </w:r>
      <w:hyperlink r:id="rId261" w:history="1">
        <w:r w:rsidRPr="00164238">
          <w:rPr>
            <w:rStyle w:val="Kpr"/>
            <w:rFonts w:ascii="Times New Roman" w:eastAsia="Times New Roman" w:hAnsi="Times New Roman" w:cs="Times New Roman"/>
            <w:color w:val="000000" w:themeColor="text1"/>
            <w:sz w:val="20"/>
            <w:szCs w:val="20"/>
          </w:rPr>
          <w:t>http://dx.doi.org/10.2139/ssrn.3570142</w:t>
        </w:r>
      </w:hyperlink>
      <w:r w:rsidRPr="00164238">
        <w:rPr>
          <w:rFonts w:ascii="Times New Roman" w:eastAsia="Times New Roman" w:hAnsi="Times New Roman" w:cs="Times New Roman"/>
          <w:color w:val="000000" w:themeColor="text1"/>
          <w:sz w:val="20"/>
          <w:szCs w:val="20"/>
          <w:lang w:eastAsia="tr-TR"/>
        </w:rPr>
        <w:t>.</w:t>
      </w:r>
    </w:p>
    <w:p w14:paraId="4EFEAB47" w14:textId="77777777" w:rsidR="00E00304" w:rsidRPr="00164238" w:rsidRDefault="00E00304" w:rsidP="00E00304">
      <w:pPr>
        <w:spacing w:before="120" w:after="120" w:line="240" w:lineRule="auto"/>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Yıldız, M. &amp; Uzun, M. M. (2020). Koronavirüsle Mücadelede Kriz Yönetimi ve Kamu Politikası Yapımı. İstanbul: Siyaset, Ekonomi ve Toplum Araştırmaları Vakfı (SETA). </w:t>
      </w:r>
    </w:p>
    <w:p w14:paraId="1AFD919F" w14:textId="77777777" w:rsidR="00E00304" w:rsidRPr="00164238" w:rsidRDefault="00E00304" w:rsidP="00E00304">
      <w:pPr>
        <w:spacing w:before="120" w:after="120" w:line="240" w:lineRule="auto"/>
        <w:jc w:val="both"/>
        <w:rPr>
          <w:rFonts w:ascii="Times New Roman" w:hAnsi="Times New Roman" w:cs="Times New Roman"/>
          <w:color w:val="000000" w:themeColor="text1"/>
        </w:rPr>
      </w:pPr>
    </w:p>
    <w:p w14:paraId="43FEC4F7" w14:textId="77777777" w:rsidR="00592ED9" w:rsidRPr="00164238" w:rsidRDefault="00592ED9" w:rsidP="00592ED9">
      <w:pPr>
        <w:spacing w:before="120" w:after="120"/>
        <w:jc w:val="both"/>
        <w:rPr>
          <w:rFonts w:ascii="Times New Roman" w:hAnsi="Times New Roman" w:cs="Times New Roman"/>
          <w:b/>
          <w:color w:val="000000" w:themeColor="text1"/>
          <w:sz w:val="20"/>
          <w:szCs w:val="20"/>
        </w:rPr>
      </w:pPr>
    </w:p>
    <w:p w14:paraId="79558028" w14:textId="77777777" w:rsidR="00592ED9" w:rsidRPr="00164238" w:rsidRDefault="00592ED9" w:rsidP="00592ED9">
      <w:pPr>
        <w:spacing w:before="120" w:after="120"/>
        <w:ind w:firstLine="567"/>
        <w:jc w:val="both"/>
        <w:rPr>
          <w:rFonts w:ascii="Times New Roman" w:hAnsi="Times New Roman" w:cs="Times New Roman"/>
          <w:b/>
          <w:color w:val="000000" w:themeColor="text1"/>
          <w:sz w:val="20"/>
          <w:szCs w:val="20"/>
        </w:rPr>
      </w:pPr>
    </w:p>
    <w:p w14:paraId="60227F7B" w14:textId="77777777" w:rsidR="00592ED9" w:rsidRPr="00164238" w:rsidRDefault="00592ED9" w:rsidP="00592ED9">
      <w:pPr>
        <w:spacing w:after="120"/>
        <w:jc w:val="both"/>
        <w:rPr>
          <w:rFonts w:ascii="Times New Roman" w:hAnsi="Times New Roman" w:cs="Times New Roman"/>
          <w:color w:val="000000" w:themeColor="text1"/>
          <w:sz w:val="20"/>
          <w:szCs w:val="20"/>
        </w:rPr>
      </w:pPr>
    </w:p>
    <w:p w14:paraId="61D93B81" w14:textId="77777777" w:rsidR="007F03EB" w:rsidRPr="00164238" w:rsidRDefault="007F03EB" w:rsidP="007F03EB">
      <w:pPr>
        <w:autoSpaceDE w:val="0"/>
        <w:autoSpaceDN w:val="0"/>
        <w:adjustRightInd w:val="0"/>
        <w:spacing w:before="120"/>
        <w:ind w:left="709" w:hanging="709"/>
        <w:jc w:val="both"/>
        <w:rPr>
          <w:rFonts w:ascii="Times New Roman" w:eastAsia="Calibri" w:hAnsi="Times New Roman" w:cs="Times New Roman"/>
          <w:color w:val="000000" w:themeColor="text1"/>
          <w:sz w:val="20"/>
          <w:szCs w:val="20"/>
        </w:rPr>
      </w:pPr>
    </w:p>
    <w:p w14:paraId="65CCC09E" w14:textId="77777777" w:rsidR="007F03EB" w:rsidRPr="00164238" w:rsidRDefault="007F03EB" w:rsidP="007F03EB">
      <w:pPr>
        <w:autoSpaceDE w:val="0"/>
        <w:autoSpaceDN w:val="0"/>
        <w:adjustRightInd w:val="0"/>
        <w:spacing w:before="120"/>
        <w:ind w:left="709" w:hanging="709"/>
        <w:jc w:val="both"/>
        <w:rPr>
          <w:rFonts w:ascii="Times New Roman" w:hAnsi="Times New Roman" w:cs="Times New Roman"/>
          <w:color w:val="000000" w:themeColor="text1"/>
          <w:sz w:val="20"/>
          <w:szCs w:val="20"/>
          <w:lang w:val="en-US"/>
        </w:rPr>
      </w:pPr>
    </w:p>
    <w:p w14:paraId="7B0657CB" w14:textId="77777777" w:rsidR="007F03EB" w:rsidRPr="00164238" w:rsidRDefault="007F03EB" w:rsidP="007F03EB">
      <w:pPr>
        <w:autoSpaceDE w:val="0"/>
        <w:autoSpaceDN w:val="0"/>
        <w:adjustRightInd w:val="0"/>
        <w:spacing w:before="120"/>
        <w:jc w:val="both"/>
        <w:rPr>
          <w:rFonts w:ascii="Times New Roman" w:eastAsia="Times New Roman" w:hAnsi="Times New Roman" w:cs="Times New Roman"/>
          <w:color w:val="000000" w:themeColor="text1"/>
          <w:sz w:val="20"/>
          <w:szCs w:val="20"/>
          <w:lang w:val="en-US"/>
        </w:rPr>
      </w:pPr>
    </w:p>
    <w:p w14:paraId="5EDA1C2D" w14:textId="350B6F44" w:rsidR="00885A08" w:rsidRPr="00164238" w:rsidRDefault="00885A08" w:rsidP="00F17FEC">
      <w:pPr>
        <w:spacing w:before="120" w:after="120" w:line="360" w:lineRule="auto"/>
        <w:jc w:val="both"/>
        <w:rPr>
          <w:rFonts w:ascii="Times New Roman" w:hAnsi="Times New Roman" w:cs="Times New Roman"/>
          <w:color w:val="000000" w:themeColor="text1"/>
          <w:sz w:val="20"/>
          <w:szCs w:val="20"/>
        </w:rPr>
      </w:pPr>
    </w:p>
    <w:p w14:paraId="12B85FF1" w14:textId="46456B08" w:rsidR="00E00304" w:rsidRPr="00164238" w:rsidRDefault="00E00304" w:rsidP="00F17FEC">
      <w:pPr>
        <w:spacing w:before="120" w:after="120" w:line="360" w:lineRule="auto"/>
        <w:jc w:val="both"/>
        <w:rPr>
          <w:rFonts w:ascii="Times New Roman" w:hAnsi="Times New Roman" w:cs="Times New Roman"/>
          <w:color w:val="000000" w:themeColor="text1"/>
          <w:sz w:val="20"/>
          <w:szCs w:val="20"/>
        </w:rPr>
      </w:pPr>
    </w:p>
    <w:p w14:paraId="7027DA82" w14:textId="43F6ADCE" w:rsidR="00E00304" w:rsidRPr="00164238" w:rsidRDefault="00E00304" w:rsidP="00F17FEC">
      <w:pPr>
        <w:spacing w:before="120" w:after="120" w:line="360" w:lineRule="auto"/>
        <w:jc w:val="both"/>
        <w:rPr>
          <w:rFonts w:ascii="Times New Roman" w:hAnsi="Times New Roman" w:cs="Times New Roman"/>
          <w:color w:val="000000" w:themeColor="text1"/>
          <w:sz w:val="20"/>
          <w:szCs w:val="20"/>
        </w:rPr>
      </w:pPr>
    </w:p>
    <w:p w14:paraId="697685FC" w14:textId="02FEFFB3" w:rsidR="00E00304" w:rsidRPr="00164238" w:rsidRDefault="00E00304" w:rsidP="00F17FEC">
      <w:pPr>
        <w:spacing w:before="120" w:after="120" w:line="360" w:lineRule="auto"/>
        <w:jc w:val="both"/>
        <w:rPr>
          <w:rFonts w:ascii="Times New Roman" w:hAnsi="Times New Roman" w:cs="Times New Roman"/>
          <w:color w:val="000000" w:themeColor="text1"/>
          <w:sz w:val="20"/>
          <w:szCs w:val="20"/>
        </w:rPr>
      </w:pPr>
    </w:p>
    <w:p w14:paraId="0BA41FC4" w14:textId="32635C5A" w:rsidR="00E00304" w:rsidRPr="00164238" w:rsidRDefault="00E00304" w:rsidP="00F17FEC">
      <w:pPr>
        <w:spacing w:before="120" w:after="120" w:line="360" w:lineRule="auto"/>
        <w:jc w:val="both"/>
        <w:rPr>
          <w:rFonts w:ascii="Times New Roman" w:hAnsi="Times New Roman" w:cs="Times New Roman"/>
          <w:color w:val="000000" w:themeColor="text1"/>
          <w:sz w:val="20"/>
          <w:szCs w:val="20"/>
        </w:rPr>
      </w:pPr>
    </w:p>
    <w:p w14:paraId="28DAB15E" w14:textId="68D33515" w:rsidR="00E00304" w:rsidRPr="00164238" w:rsidRDefault="00E00304" w:rsidP="00F17FEC">
      <w:pPr>
        <w:spacing w:before="120" w:after="120" w:line="360" w:lineRule="auto"/>
        <w:jc w:val="both"/>
        <w:rPr>
          <w:rFonts w:ascii="Times New Roman" w:hAnsi="Times New Roman" w:cs="Times New Roman"/>
          <w:color w:val="000000" w:themeColor="text1"/>
          <w:sz w:val="20"/>
          <w:szCs w:val="20"/>
        </w:rPr>
      </w:pPr>
    </w:p>
    <w:p w14:paraId="09A8453B" w14:textId="17749518" w:rsidR="00E00304" w:rsidRPr="00164238" w:rsidRDefault="00E00304" w:rsidP="00F17FEC">
      <w:pPr>
        <w:spacing w:before="120" w:after="120" w:line="360" w:lineRule="auto"/>
        <w:jc w:val="both"/>
        <w:rPr>
          <w:rFonts w:ascii="Times New Roman" w:hAnsi="Times New Roman" w:cs="Times New Roman"/>
          <w:color w:val="000000" w:themeColor="text1"/>
          <w:sz w:val="20"/>
          <w:szCs w:val="20"/>
        </w:rPr>
      </w:pPr>
    </w:p>
    <w:p w14:paraId="6E887715" w14:textId="2650C1F6" w:rsidR="00E00304" w:rsidRDefault="00E00304" w:rsidP="00F17FEC">
      <w:pPr>
        <w:spacing w:before="120" w:after="120" w:line="360" w:lineRule="auto"/>
        <w:jc w:val="both"/>
        <w:rPr>
          <w:rFonts w:ascii="Times New Roman" w:hAnsi="Times New Roman" w:cs="Times New Roman"/>
          <w:color w:val="000000" w:themeColor="text1"/>
          <w:sz w:val="20"/>
          <w:szCs w:val="20"/>
        </w:rPr>
      </w:pPr>
    </w:p>
    <w:p w14:paraId="032DBC88" w14:textId="497B2B71" w:rsidR="00856481" w:rsidRDefault="00856481" w:rsidP="00F17FEC">
      <w:pPr>
        <w:spacing w:before="120" w:after="120" w:line="360" w:lineRule="auto"/>
        <w:jc w:val="both"/>
        <w:rPr>
          <w:rFonts w:ascii="Times New Roman" w:hAnsi="Times New Roman" w:cs="Times New Roman"/>
          <w:color w:val="000000" w:themeColor="text1"/>
          <w:sz w:val="20"/>
          <w:szCs w:val="20"/>
        </w:rPr>
      </w:pPr>
    </w:p>
    <w:p w14:paraId="153E6BA4" w14:textId="1F88C882" w:rsidR="00856481" w:rsidRDefault="00856481" w:rsidP="00F17FEC">
      <w:pPr>
        <w:spacing w:before="120" w:after="120" w:line="360" w:lineRule="auto"/>
        <w:jc w:val="both"/>
        <w:rPr>
          <w:rFonts w:ascii="Times New Roman" w:hAnsi="Times New Roman" w:cs="Times New Roman"/>
          <w:color w:val="000000" w:themeColor="text1"/>
          <w:sz w:val="20"/>
          <w:szCs w:val="20"/>
        </w:rPr>
      </w:pPr>
    </w:p>
    <w:p w14:paraId="5D80DFFE" w14:textId="429A78CD" w:rsidR="00856481" w:rsidRDefault="00856481" w:rsidP="00F17FEC">
      <w:pPr>
        <w:spacing w:before="120" w:after="120" w:line="360" w:lineRule="auto"/>
        <w:jc w:val="both"/>
        <w:rPr>
          <w:rFonts w:ascii="Times New Roman" w:hAnsi="Times New Roman" w:cs="Times New Roman"/>
          <w:color w:val="000000" w:themeColor="text1"/>
          <w:sz w:val="20"/>
          <w:szCs w:val="20"/>
        </w:rPr>
      </w:pPr>
    </w:p>
    <w:p w14:paraId="3B1939AC" w14:textId="0D40B90D" w:rsidR="00856481" w:rsidRDefault="00856481" w:rsidP="00F17FEC">
      <w:pPr>
        <w:spacing w:before="120" w:after="120" w:line="360" w:lineRule="auto"/>
        <w:jc w:val="both"/>
        <w:rPr>
          <w:rFonts w:ascii="Times New Roman" w:hAnsi="Times New Roman" w:cs="Times New Roman"/>
          <w:color w:val="000000" w:themeColor="text1"/>
          <w:sz w:val="20"/>
          <w:szCs w:val="20"/>
        </w:rPr>
      </w:pPr>
    </w:p>
    <w:p w14:paraId="0707D8F4" w14:textId="6706773F" w:rsidR="00856481" w:rsidRDefault="00856481" w:rsidP="00F17FEC">
      <w:pPr>
        <w:spacing w:before="120" w:after="120" w:line="360" w:lineRule="auto"/>
        <w:jc w:val="both"/>
        <w:rPr>
          <w:rFonts w:ascii="Times New Roman" w:hAnsi="Times New Roman" w:cs="Times New Roman"/>
          <w:color w:val="000000" w:themeColor="text1"/>
          <w:sz w:val="20"/>
          <w:szCs w:val="20"/>
        </w:rPr>
      </w:pPr>
    </w:p>
    <w:p w14:paraId="7E1988F2" w14:textId="6C50C58D" w:rsidR="00856481" w:rsidRDefault="00856481" w:rsidP="00F17FEC">
      <w:pPr>
        <w:spacing w:before="120" w:after="120" w:line="360" w:lineRule="auto"/>
        <w:jc w:val="both"/>
        <w:rPr>
          <w:rFonts w:ascii="Times New Roman" w:hAnsi="Times New Roman" w:cs="Times New Roman"/>
          <w:color w:val="000000" w:themeColor="text1"/>
          <w:sz w:val="20"/>
          <w:szCs w:val="20"/>
        </w:rPr>
      </w:pPr>
    </w:p>
    <w:p w14:paraId="71B79F3E" w14:textId="7FEF0235" w:rsidR="00856481" w:rsidRDefault="00856481" w:rsidP="00F17FEC">
      <w:pPr>
        <w:spacing w:before="120" w:after="120" w:line="360" w:lineRule="auto"/>
        <w:jc w:val="both"/>
        <w:rPr>
          <w:rFonts w:ascii="Times New Roman" w:hAnsi="Times New Roman" w:cs="Times New Roman"/>
          <w:color w:val="000000" w:themeColor="text1"/>
          <w:sz w:val="20"/>
          <w:szCs w:val="20"/>
        </w:rPr>
      </w:pPr>
    </w:p>
    <w:p w14:paraId="0F349548" w14:textId="354EB2A4" w:rsidR="00856481" w:rsidRDefault="00856481" w:rsidP="00F17FEC">
      <w:pPr>
        <w:spacing w:before="120" w:after="120" w:line="360" w:lineRule="auto"/>
        <w:jc w:val="both"/>
        <w:rPr>
          <w:rFonts w:ascii="Times New Roman" w:hAnsi="Times New Roman" w:cs="Times New Roman"/>
          <w:color w:val="000000" w:themeColor="text1"/>
          <w:sz w:val="20"/>
          <w:szCs w:val="20"/>
        </w:rPr>
      </w:pPr>
    </w:p>
    <w:p w14:paraId="27281F5D" w14:textId="77777777" w:rsidR="00856481" w:rsidRPr="00164238" w:rsidRDefault="00856481" w:rsidP="00F17FEC">
      <w:pPr>
        <w:spacing w:before="120" w:after="120" w:line="360" w:lineRule="auto"/>
        <w:jc w:val="both"/>
        <w:rPr>
          <w:rFonts w:ascii="Times New Roman" w:hAnsi="Times New Roman" w:cs="Times New Roman"/>
          <w:color w:val="000000" w:themeColor="text1"/>
          <w:sz w:val="20"/>
          <w:szCs w:val="20"/>
        </w:rPr>
      </w:pPr>
    </w:p>
    <w:p w14:paraId="277A9978" w14:textId="4D0FF832" w:rsidR="00FA6C5D" w:rsidRPr="00164238" w:rsidRDefault="001B1C65" w:rsidP="001B1C65">
      <w:pPr>
        <w:pStyle w:val="Balk1"/>
        <w:rPr>
          <w:rFonts w:ascii="Times New Roman" w:hAnsi="Times New Roman" w:cs="Times New Roman"/>
          <w:b/>
          <w:color w:val="000000" w:themeColor="text1"/>
          <w:sz w:val="24"/>
          <w:szCs w:val="24"/>
        </w:rPr>
      </w:pPr>
      <w:bookmarkStart w:id="142" w:name="_Toc72961728"/>
      <w:r w:rsidRPr="00164238">
        <w:rPr>
          <w:rFonts w:ascii="Times New Roman" w:hAnsi="Times New Roman" w:cs="Times New Roman"/>
          <w:b/>
          <w:color w:val="000000" w:themeColor="text1"/>
          <w:sz w:val="24"/>
          <w:szCs w:val="24"/>
        </w:rPr>
        <w:lastRenderedPageBreak/>
        <w:t>COVİD 19 SALGINININ KADINLAR ÜZERİNDEKİ ETKİLERİNİ AZALTMAK İÇİN EKONOMİK TEŞVİK ÖNERİLERİ</w:t>
      </w:r>
      <w:bookmarkEnd w:id="142"/>
    </w:p>
    <w:p w14:paraId="255E51C9" w14:textId="77777777" w:rsidR="00FA6C5D" w:rsidRPr="00164238" w:rsidRDefault="00FA6C5D" w:rsidP="00FA6C5D">
      <w:pPr>
        <w:jc w:val="center"/>
        <w:rPr>
          <w:rFonts w:ascii="Times New Roman" w:hAnsi="Times New Roman" w:cs="Times New Roman"/>
          <w:b/>
          <w:color w:val="000000" w:themeColor="text1"/>
          <w:sz w:val="28"/>
        </w:rPr>
      </w:pPr>
    </w:p>
    <w:p w14:paraId="2E74408C" w14:textId="77777777" w:rsidR="00FA6C5D" w:rsidRPr="00164238" w:rsidRDefault="00FA6C5D" w:rsidP="00FA6C5D">
      <w:pPr>
        <w:spacing w:before="120" w:after="120"/>
        <w:jc w:val="both"/>
        <w:rPr>
          <w:rStyle w:val="Vurgu"/>
          <w:rFonts w:ascii="Times New Roman" w:hAnsi="Times New Roman" w:cs="Times New Roman"/>
          <w:color w:val="000000" w:themeColor="text1"/>
          <w:sz w:val="20"/>
          <w:szCs w:val="23"/>
          <w:bdr w:val="none" w:sz="0" w:space="0" w:color="auto" w:frame="1"/>
          <w:shd w:val="clear" w:color="auto" w:fill="FFFFFF"/>
        </w:rPr>
      </w:pPr>
      <w:r w:rsidRPr="00164238">
        <w:rPr>
          <w:rStyle w:val="Vurgu"/>
          <w:rFonts w:ascii="Times New Roman" w:hAnsi="Times New Roman" w:cs="Times New Roman"/>
          <w:color w:val="000000" w:themeColor="text1"/>
          <w:szCs w:val="23"/>
          <w:bdr w:val="none" w:sz="0" w:space="0" w:color="auto" w:frame="1"/>
          <w:shd w:val="clear" w:color="auto" w:fill="FFFFFF"/>
        </w:rPr>
        <w:t>“Bir toplum, bir millet erkek ve kadın denilen iki cins insandan meydana gelir. Mümkün müdür ki, bir toplumun yarısı topraklara zincirlerle bağlı kaldıkça, diğer kısmı göklere yükselebilsin!”.</w:t>
      </w:r>
    </w:p>
    <w:p w14:paraId="3CDCFB00" w14:textId="77777777" w:rsidR="00FA6C5D" w:rsidRPr="00164238" w:rsidRDefault="00FA6C5D" w:rsidP="00FA6C5D">
      <w:pPr>
        <w:spacing w:before="120" w:after="120"/>
        <w:jc w:val="both"/>
        <w:rPr>
          <w:rFonts w:ascii="Times New Roman" w:hAnsi="Times New Roman" w:cs="Times New Roman"/>
          <w:color w:val="000000" w:themeColor="text1"/>
          <w:sz w:val="18"/>
          <w:szCs w:val="20"/>
        </w:rPr>
      </w:pPr>
      <w:r w:rsidRPr="00164238">
        <w:rPr>
          <w:rStyle w:val="Vurgu"/>
          <w:rFonts w:ascii="Times New Roman" w:hAnsi="Times New Roman" w:cs="Times New Roman"/>
          <w:color w:val="000000" w:themeColor="text1"/>
          <w:szCs w:val="23"/>
          <w:bdr w:val="none" w:sz="0" w:space="0" w:color="auto" w:frame="1"/>
          <w:shd w:val="clear" w:color="auto" w:fill="FFFFFF"/>
        </w:rPr>
        <w:t>“Bir toplum, cinslerden yalnız birinin yüzyılımızın gerektirdiklerini elde etmesiyle yetinirse, o toplum yarı yarıya zayıflamış olur. Bizim toplumumuzun uğradığı başarısızlıkların sebebi, kadınlarımıza karşı ihmal ve kusurdur.”</w:t>
      </w:r>
    </w:p>
    <w:p w14:paraId="0495F510" w14:textId="77777777" w:rsidR="00FA6C5D" w:rsidRPr="00164238" w:rsidRDefault="00FA6C5D" w:rsidP="00FA6C5D">
      <w:pPr>
        <w:spacing w:before="120" w:after="120" w:line="360" w:lineRule="auto"/>
        <w:jc w:val="right"/>
        <w:rPr>
          <w:rFonts w:ascii="Times New Roman" w:hAnsi="Times New Roman" w:cs="Times New Roman"/>
          <w:b/>
          <w:i/>
          <w:color w:val="000000" w:themeColor="text1"/>
          <w:sz w:val="20"/>
        </w:rPr>
      </w:pPr>
      <w:r w:rsidRPr="00164238">
        <w:rPr>
          <w:rFonts w:ascii="Times New Roman" w:hAnsi="Times New Roman" w:cs="Times New Roman"/>
          <w:b/>
          <w:i/>
          <w:color w:val="000000" w:themeColor="text1"/>
        </w:rPr>
        <w:t>Mustafa Kemal ATATÜRK</w:t>
      </w:r>
    </w:p>
    <w:p w14:paraId="07E713EC" w14:textId="77777777" w:rsidR="00FA6C5D" w:rsidRPr="00164238" w:rsidRDefault="00FA6C5D" w:rsidP="00FA6C5D">
      <w:pPr>
        <w:jc w:val="center"/>
        <w:rPr>
          <w:rFonts w:ascii="Times New Roman" w:hAnsi="Times New Roman" w:cs="Times New Roman"/>
          <w:b/>
          <w:color w:val="000000" w:themeColor="text1"/>
          <w:sz w:val="28"/>
        </w:rPr>
      </w:pPr>
    </w:p>
    <w:p w14:paraId="159A7BAE" w14:textId="77777777" w:rsidR="00641A09" w:rsidRPr="00164238" w:rsidRDefault="00641A09" w:rsidP="00641A09">
      <w:pPr>
        <w:pStyle w:val="Balk2"/>
        <w:rPr>
          <w:rFonts w:ascii="Times New Roman" w:eastAsia="Arial" w:hAnsi="Times New Roman" w:cs="Times New Roman"/>
          <w:b w:val="0"/>
          <w:i w:val="0"/>
          <w:color w:val="000000" w:themeColor="text1"/>
          <w:sz w:val="20"/>
          <w:szCs w:val="20"/>
        </w:rPr>
      </w:pPr>
      <w:bookmarkStart w:id="143" w:name="_Toc72961729"/>
      <w:r w:rsidRPr="00164238">
        <w:rPr>
          <w:rStyle w:val="Balk2Char"/>
          <w:rFonts w:ascii="Times New Roman" w:hAnsi="Times New Roman" w:cs="Times New Roman"/>
          <w:color w:val="000000" w:themeColor="text1"/>
          <w:sz w:val="20"/>
          <w:szCs w:val="20"/>
        </w:rPr>
        <w:t>Arş.Gör. Arzu POLAT</w:t>
      </w:r>
      <w:r w:rsidRPr="00164238">
        <w:rPr>
          <w:rFonts w:ascii="Times New Roman" w:eastAsia="Arial" w:hAnsi="Times New Roman" w:cs="Times New Roman"/>
          <w:color w:val="000000" w:themeColor="text1"/>
          <w:sz w:val="20"/>
          <w:szCs w:val="20"/>
        </w:rPr>
        <w:t xml:space="preserve">, </w:t>
      </w:r>
      <w:r w:rsidRPr="00164238">
        <w:rPr>
          <w:rFonts w:ascii="Times New Roman" w:eastAsia="Arial" w:hAnsi="Times New Roman" w:cs="Times New Roman"/>
          <w:b w:val="0"/>
          <w:color w:val="000000" w:themeColor="text1"/>
          <w:sz w:val="20"/>
          <w:szCs w:val="20"/>
        </w:rPr>
        <w:t>Ankara Haci Bayram Veli Üniversitesi, Lisansüstü Eğitim Enstitüsü, 06570, Ankara, Türkiye</w:t>
      </w:r>
      <w:bookmarkEnd w:id="143"/>
      <w:r w:rsidRPr="00164238">
        <w:rPr>
          <w:rFonts w:ascii="Times New Roman" w:eastAsia="Arial" w:hAnsi="Times New Roman" w:cs="Times New Roman"/>
          <w:b w:val="0"/>
          <w:color w:val="000000" w:themeColor="text1"/>
          <w:sz w:val="20"/>
          <w:szCs w:val="20"/>
        </w:rPr>
        <w:t xml:space="preserve"> </w:t>
      </w:r>
    </w:p>
    <w:p w14:paraId="628777B5" w14:textId="77777777" w:rsidR="00641A09" w:rsidRPr="00164238" w:rsidRDefault="00641A09" w:rsidP="00641A09">
      <w:pPr>
        <w:jc w:val="both"/>
        <w:rPr>
          <w:rFonts w:ascii="Times New Roman" w:hAnsi="Times New Roman" w:cs="Times New Roman"/>
          <w:color w:val="000000" w:themeColor="text1"/>
          <w:sz w:val="20"/>
          <w:szCs w:val="20"/>
        </w:rPr>
      </w:pPr>
      <w:r w:rsidRPr="00164238">
        <w:rPr>
          <w:rFonts w:ascii="Times New Roman" w:eastAsia="Arial" w:hAnsi="Times New Roman" w:cs="Times New Roman"/>
          <w:i/>
          <w:color w:val="000000" w:themeColor="text1"/>
          <w:sz w:val="20"/>
          <w:szCs w:val="20"/>
        </w:rPr>
        <w:t xml:space="preserve">e-mail: </w:t>
      </w:r>
      <w:hyperlink r:id="rId262" w:history="1">
        <w:r w:rsidRPr="00164238">
          <w:rPr>
            <w:rStyle w:val="Kpr"/>
            <w:rFonts w:ascii="Times New Roman" w:eastAsia="Arial" w:hAnsi="Times New Roman" w:cs="Times New Roman"/>
            <w:color w:val="000000" w:themeColor="text1"/>
            <w:sz w:val="20"/>
            <w:szCs w:val="20"/>
          </w:rPr>
          <w:t>arzu.polat@hbv.edu.tr</w:t>
        </w:r>
      </w:hyperlink>
      <w:r w:rsidRPr="00164238">
        <w:rPr>
          <w:rFonts w:ascii="Times New Roman" w:eastAsia="Arial" w:hAnsi="Times New Roman" w:cs="Times New Roman"/>
          <w:i/>
          <w:color w:val="000000" w:themeColor="text1"/>
          <w:sz w:val="20"/>
          <w:szCs w:val="20"/>
        </w:rPr>
        <w:t xml:space="preserve"> ORCID ID: </w:t>
      </w:r>
      <w:hyperlink r:id="rId263" w:history="1">
        <w:r w:rsidRPr="00164238">
          <w:rPr>
            <w:rStyle w:val="Kpr"/>
            <w:rFonts w:ascii="Times New Roman" w:hAnsi="Times New Roman" w:cs="Times New Roman"/>
            <w:color w:val="000000" w:themeColor="text1"/>
            <w:sz w:val="20"/>
            <w:szCs w:val="20"/>
          </w:rPr>
          <w:t>0000-0002-6251-8214</w:t>
        </w:r>
      </w:hyperlink>
    </w:p>
    <w:p w14:paraId="02084F1F" w14:textId="77777777" w:rsidR="00641A09" w:rsidRPr="00164238" w:rsidRDefault="00641A09" w:rsidP="00641A09">
      <w:pPr>
        <w:jc w:val="both"/>
        <w:rPr>
          <w:rFonts w:ascii="Times New Roman" w:hAnsi="Times New Roman" w:cs="Times New Roman"/>
          <w:color w:val="000000" w:themeColor="text1"/>
          <w:sz w:val="20"/>
          <w:szCs w:val="20"/>
        </w:rPr>
      </w:pPr>
    </w:p>
    <w:p w14:paraId="13D00F1D" w14:textId="77777777" w:rsidR="00641A09" w:rsidRPr="00164238" w:rsidRDefault="00641A09" w:rsidP="00641A09">
      <w:pPr>
        <w:pStyle w:val="Balk2"/>
        <w:rPr>
          <w:rFonts w:ascii="Times New Roman" w:eastAsia="Arial" w:hAnsi="Times New Roman" w:cs="Times New Roman"/>
          <w:b w:val="0"/>
          <w:color w:val="000000" w:themeColor="text1"/>
          <w:sz w:val="20"/>
          <w:szCs w:val="20"/>
        </w:rPr>
      </w:pPr>
      <w:bookmarkStart w:id="144" w:name="_Toc72961730"/>
      <w:r w:rsidRPr="00164238">
        <w:rPr>
          <w:rFonts w:ascii="Times New Roman" w:eastAsia="Arial" w:hAnsi="Times New Roman" w:cs="Times New Roman"/>
          <w:b w:val="0"/>
          <w:i w:val="0"/>
          <w:color w:val="000000" w:themeColor="text1"/>
          <w:sz w:val="20"/>
          <w:szCs w:val="20"/>
        </w:rPr>
        <w:t>Arş.Gör. Zehra AKGÜNGÖR</w:t>
      </w:r>
      <w:r w:rsidRPr="00164238">
        <w:rPr>
          <w:rFonts w:ascii="Times New Roman" w:eastAsia="Arial" w:hAnsi="Times New Roman" w:cs="Times New Roman"/>
          <w:b w:val="0"/>
          <w:color w:val="000000" w:themeColor="text1"/>
          <w:sz w:val="20"/>
          <w:szCs w:val="20"/>
        </w:rPr>
        <w:t>, Ankara Haci Bayram Veli Üniversitesi, Lisansüstü Eğitim Enstitüsü, 06570, Ankara, Turkiye</w:t>
      </w:r>
      <w:bookmarkEnd w:id="144"/>
    </w:p>
    <w:p w14:paraId="2FE07D84" w14:textId="77777777" w:rsidR="00641A09" w:rsidRPr="00164238" w:rsidRDefault="00641A09" w:rsidP="00641A09">
      <w:pPr>
        <w:jc w:val="both"/>
        <w:rPr>
          <w:rFonts w:ascii="Times New Roman" w:hAnsi="Times New Roman" w:cs="Times New Roman"/>
          <w:color w:val="000000" w:themeColor="text1"/>
          <w:sz w:val="20"/>
          <w:szCs w:val="20"/>
        </w:rPr>
      </w:pPr>
      <w:r w:rsidRPr="00164238">
        <w:rPr>
          <w:rFonts w:ascii="Times New Roman" w:eastAsia="Arial" w:hAnsi="Times New Roman" w:cs="Times New Roman"/>
          <w:i/>
          <w:color w:val="000000" w:themeColor="text1"/>
          <w:sz w:val="20"/>
          <w:szCs w:val="20"/>
        </w:rPr>
        <w:t>e-mail</w:t>
      </w:r>
      <w:r w:rsidRPr="00164238">
        <w:rPr>
          <w:rFonts w:ascii="Times New Roman" w:eastAsia="Arial" w:hAnsi="Times New Roman" w:cs="Times New Roman"/>
          <w:color w:val="000000" w:themeColor="text1"/>
          <w:sz w:val="20"/>
          <w:szCs w:val="20"/>
        </w:rPr>
        <w:t xml:space="preserve">: </w:t>
      </w:r>
      <w:r w:rsidRPr="00164238">
        <w:rPr>
          <w:rFonts w:ascii="Times New Roman" w:eastAsia="Arial" w:hAnsi="Times New Roman" w:cs="Times New Roman"/>
          <w:color w:val="000000" w:themeColor="text1"/>
          <w:sz w:val="20"/>
          <w:szCs w:val="20"/>
          <w:u w:val="single"/>
        </w:rPr>
        <w:t>zehra.yildirim@hbv.edu.tr</w:t>
      </w:r>
      <w:r w:rsidRPr="00164238">
        <w:rPr>
          <w:rFonts w:ascii="Times New Roman" w:eastAsia="Arial" w:hAnsi="Times New Roman" w:cs="Times New Roman"/>
          <w:color w:val="000000" w:themeColor="text1"/>
          <w:sz w:val="20"/>
          <w:szCs w:val="20"/>
        </w:rPr>
        <w:t xml:space="preserve">  ORCID ID:</w:t>
      </w:r>
      <w:r w:rsidRPr="00164238">
        <w:rPr>
          <w:rFonts w:ascii="Times New Roman" w:hAnsi="Times New Roman" w:cs="Times New Roman"/>
          <w:color w:val="000000" w:themeColor="text1"/>
          <w:sz w:val="20"/>
          <w:szCs w:val="20"/>
        </w:rPr>
        <w:t xml:space="preserve"> </w:t>
      </w:r>
      <w:hyperlink r:id="rId264" w:history="1">
        <w:r w:rsidRPr="00164238">
          <w:rPr>
            <w:rStyle w:val="Kpr"/>
            <w:rFonts w:ascii="Times New Roman" w:hAnsi="Times New Roman" w:cs="Times New Roman"/>
            <w:color w:val="000000" w:themeColor="text1"/>
            <w:sz w:val="20"/>
            <w:szCs w:val="20"/>
            <w:u w:val="none"/>
          </w:rPr>
          <w:t>0000-0003-4434-8896</w:t>
        </w:r>
      </w:hyperlink>
    </w:p>
    <w:p w14:paraId="5E4BB665" w14:textId="71044AF7" w:rsidR="001E6571" w:rsidRPr="00164238" w:rsidRDefault="001E6571" w:rsidP="001E6571">
      <w:pPr>
        <w:jc w:val="both"/>
        <w:rPr>
          <w:rStyle w:val="Kpr"/>
          <w:rFonts w:ascii="Times New Roman" w:hAnsi="Times New Roman" w:cs="Times New Roman"/>
          <w:color w:val="000000" w:themeColor="text1"/>
          <w:sz w:val="20"/>
          <w:szCs w:val="20"/>
        </w:rPr>
      </w:pPr>
    </w:p>
    <w:p w14:paraId="4CBCEC00" w14:textId="3AB8213A" w:rsidR="001E6571" w:rsidRPr="00164238" w:rsidRDefault="001E6571" w:rsidP="001E6571">
      <w:pPr>
        <w:jc w:val="both"/>
        <w:rPr>
          <w:rStyle w:val="Kpr"/>
          <w:rFonts w:ascii="Times New Roman" w:hAnsi="Times New Roman" w:cs="Times New Roman"/>
          <w:b/>
          <w:color w:val="000000" w:themeColor="text1"/>
          <w:sz w:val="20"/>
          <w:szCs w:val="20"/>
          <w:u w:val="none"/>
        </w:rPr>
      </w:pPr>
      <w:r w:rsidRPr="00164238">
        <w:rPr>
          <w:rStyle w:val="Kpr"/>
          <w:rFonts w:ascii="Times New Roman" w:hAnsi="Times New Roman" w:cs="Times New Roman"/>
          <w:b/>
          <w:color w:val="000000" w:themeColor="text1"/>
          <w:sz w:val="20"/>
          <w:szCs w:val="20"/>
          <w:u w:val="none"/>
        </w:rPr>
        <w:t>Özet</w:t>
      </w:r>
    </w:p>
    <w:p w14:paraId="426DA512" w14:textId="77777777" w:rsidR="0096590F" w:rsidRPr="00164238" w:rsidRDefault="0096590F" w:rsidP="0096590F">
      <w:pPr>
        <w:jc w:val="both"/>
        <w:rPr>
          <w:rFonts w:ascii="Times New Roman" w:hAnsi="Times New Roman" w:cs="Times New Roman"/>
          <w:color w:val="000000" w:themeColor="text1"/>
        </w:rPr>
      </w:pPr>
      <w:r w:rsidRPr="00164238">
        <w:rPr>
          <w:rFonts w:ascii="Times New Roman" w:hAnsi="Times New Roman" w:cs="Times New Roman"/>
          <w:b/>
          <w:color w:val="000000" w:themeColor="text1"/>
        </w:rPr>
        <w:t>Amaç:</w:t>
      </w:r>
      <w:r w:rsidRPr="00164238">
        <w:rPr>
          <w:rFonts w:ascii="Times New Roman" w:hAnsi="Times New Roman" w:cs="Times New Roman"/>
          <w:color w:val="000000" w:themeColor="text1"/>
        </w:rPr>
        <w:t xml:space="preserve"> Bu çalışma ile Covid 19’un virüs olarak insan ayrımı yapmazken, sağlık, sosyal ve ekonomik etkilerinin kadın ve erkeklerde farklı olduğundan hareketle cinsiyet eşitliğinin sağlanması için kadınlara ekonomik teşvik sağlanmasının gerekliliğini ortaya koymaktır.</w:t>
      </w:r>
    </w:p>
    <w:p w14:paraId="03627451" w14:textId="77777777" w:rsidR="0096590F" w:rsidRPr="00164238" w:rsidRDefault="0096590F" w:rsidP="0096590F">
      <w:pPr>
        <w:jc w:val="both"/>
        <w:rPr>
          <w:rFonts w:ascii="Times New Roman" w:hAnsi="Times New Roman" w:cs="Times New Roman"/>
          <w:color w:val="000000" w:themeColor="text1"/>
        </w:rPr>
      </w:pPr>
      <w:r w:rsidRPr="00164238">
        <w:rPr>
          <w:rFonts w:ascii="Times New Roman" w:hAnsi="Times New Roman" w:cs="Times New Roman"/>
          <w:b/>
          <w:color w:val="000000" w:themeColor="text1"/>
        </w:rPr>
        <w:t>Yöntem:</w:t>
      </w:r>
      <w:r w:rsidRPr="00164238">
        <w:rPr>
          <w:rFonts w:ascii="Times New Roman" w:hAnsi="Times New Roman" w:cs="Times New Roman"/>
          <w:color w:val="000000" w:themeColor="text1"/>
          <w:lang w:eastAsia="tr-TR"/>
        </w:rPr>
        <w:t xml:space="preserve"> Dünya Bankasının “Kadınlar, İş Dünyası ve Hukuk, 2021” raporu başta olmak üzere “Kadınlar ve Covid 19” ile ilgili araştırma raporlarının verilerinin değerlendirilmesi ile teşvik önerileri sunmaktır.</w:t>
      </w:r>
    </w:p>
    <w:p w14:paraId="7314F38E" w14:textId="77777777" w:rsidR="0096590F" w:rsidRPr="00164238" w:rsidRDefault="0096590F" w:rsidP="0096590F">
      <w:pPr>
        <w:jc w:val="both"/>
        <w:rPr>
          <w:rFonts w:ascii="Times New Roman" w:hAnsi="Times New Roman" w:cs="Times New Roman"/>
          <w:color w:val="000000" w:themeColor="text1"/>
        </w:rPr>
      </w:pPr>
      <w:r w:rsidRPr="00164238">
        <w:rPr>
          <w:rFonts w:ascii="Times New Roman" w:hAnsi="Times New Roman" w:cs="Times New Roman"/>
          <w:b/>
          <w:color w:val="000000" w:themeColor="text1"/>
        </w:rPr>
        <w:t>Sonuç:</w:t>
      </w:r>
      <w:r w:rsidRPr="00164238">
        <w:rPr>
          <w:rFonts w:ascii="Times New Roman" w:hAnsi="Times New Roman" w:cs="Times New Roman"/>
          <w:color w:val="000000" w:themeColor="text1"/>
        </w:rPr>
        <w:t xml:space="preserve"> Salgınlar ile birlikte toplumların eşitlik konusundaki eksiklikleri daha çok ortaya çıkmakta, bu da hükümetlere bu eksikliği gidermek için fırsatlar sunmaktadır. Covid 19 ve sonrasında kadınların ekonomik olarak güçlendirilmesi için teşviklerin yapılması gerekmektedir.</w:t>
      </w:r>
    </w:p>
    <w:p w14:paraId="63CDC103" w14:textId="666B67EC" w:rsidR="00FA6C5D" w:rsidRPr="00164238" w:rsidRDefault="00FA6C5D" w:rsidP="00FA6C5D">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Covid 19 salgını dünya genelinde hem sağlık hem sosyal hem de ekonomik anlamda ağır tahribatlar yaratarak bir yıkıma sebebiyet vermektedir. Bu yıkımda ise işlerini kaybetme konusunda daha riskli olan kadınlar yükün büyük kısmını taşımak durumunda kalmaktadır. Kadınların düşük ücretli işgücünün çoğunluğunu oluşturduğu ve ağır darbe alan sektörlerde çalıştığı düşünüldüğünde işlerini bırakma ihtimallerinin daha yüksek olduğu aşikardır. Ayrıca salgın koşullarında aile hayatı ile iş hayatının daha da iç içe geçmesi ile birlikte kadınların yüklerinin artması cinsiyet eşitliğinin sağlanmasının önemini bir kez daha ortaya çıkarmaktadır.</w:t>
      </w:r>
      <w:r w:rsidRPr="00164238">
        <w:rPr>
          <w:rFonts w:ascii="Times New Roman" w:hAnsi="Times New Roman" w:cs="Times New Roman"/>
          <w:color w:val="000000" w:themeColor="text1"/>
          <w:lang w:eastAsia="tr-TR"/>
        </w:rPr>
        <w:t>Kadınlar işletmelerde, tarımda, girişimci veya çalışan olarak ya da ücretsiz evde bakım hizmetleri yaparak ekonomiye muazzam bir şekilde katkıda bulunmaktadır.</w:t>
      </w:r>
      <w:r w:rsidRPr="00164238">
        <w:rPr>
          <w:rFonts w:ascii="Times New Roman" w:hAnsi="Times New Roman" w:cs="Times New Roman"/>
          <w:color w:val="000000" w:themeColor="text1"/>
        </w:rPr>
        <w:t xml:space="preserve"> </w:t>
      </w:r>
      <w:r w:rsidRPr="00164238">
        <w:rPr>
          <w:rFonts w:ascii="Times New Roman" w:hAnsi="Times New Roman" w:cs="Times New Roman"/>
          <w:color w:val="000000" w:themeColor="text1"/>
          <w:lang w:eastAsia="tr-TR"/>
        </w:rPr>
        <w:t xml:space="preserve">Dünya Bankasının “Kadınlar, İş Dünyası ve Hukuk, 2021” raporuna göre 88 ekonomide, yasalar </w:t>
      </w:r>
      <w:r w:rsidRPr="00164238">
        <w:rPr>
          <w:rFonts w:ascii="Times New Roman" w:hAnsi="Times New Roman" w:cs="Times New Roman"/>
          <w:color w:val="000000" w:themeColor="text1"/>
          <w:lang w:eastAsia="tr-TR"/>
        </w:rPr>
        <w:lastRenderedPageBreak/>
        <w:t>kadınların çalışabileceği işleri ve saatleri kısıtlayarak 2,6 milyar kadını etkilemiş, bu da mesleki ayrımcılığa yol açarak kadınların eğitim, perakende, turizm, konaklama ve ev hizmetleri gibi COVID 19 kesintilerinden daha fazla etkilenen işlerde daha fazla temsil edilmesine neden olmuştur.</w:t>
      </w:r>
    </w:p>
    <w:p w14:paraId="67727039" w14:textId="77777777" w:rsidR="00FA6C5D" w:rsidRPr="00164238" w:rsidRDefault="00FA6C5D" w:rsidP="00FA6C5D">
      <w:pPr>
        <w:spacing w:before="120" w:after="120" w:line="276" w:lineRule="auto"/>
        <w:jc w:val="both"/>
        <w:rPr>
          <w:rFonts w:ascii="Times New Roman" w:hAnsi="Times New Roman" w:cs="Times New Roman"/>
          <w:color w:val="000000" w:themeColor="text1"/>
        </w:rPr>
      </w:pPr>
    </w:p>
    <w:p w14:paraId="2C481645" w14:textId="77777777" w:rsidR="00FA6C5D" w:rsidRPr="00164238" w:rsidRDefault="00FA6C5D" w:rsidP="00FA6C5D">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b/>
          <w:color w:val="000000" w:themeColor="text1"/>
          <w:lang w:eastAsia="tr-TR"/>
        </w:rPr>
        <w:t>Anahtar Kelimeler:</w:t>
      </w:r>
      <w:r w:rsidRPr="00164238">
        <w:rPr>
          <w:rFonts w:ascii="Times New Roman" w:hAnsi="Times New Roman" w:cs="Times New Roman"/>
          <w:color w:val="000000" w:themeColor="text1"/>
          <w:lang w:eastAsia="tr-TR"/>
        </w:rPr>
        <w:t xml:space="preserve"> Covid 19, Salgın, Kadın, Ekonomik Teşvik.</w:t>
      </w:r>
    </w:p>
    <w:p w14:paraId="648B2D8E" w14:textId="6D1895DD" w:rsidR="00FA6C5D" w:rsidRPr="00164238" w:rsidRDefault="0096590F" w:rsidP="00FA6C5D">
      <w:pPr>
        <w:spacing w:before="120" w:after="120" w:line="360" w:lineRule="auto"/>
        <w:ind w:firstLine="567"/>
        <w:rPr>
          <w:rFonts w:ascii="Times New Roman" w:hAnsi="Times New Roman" w:cs="Times New Roman"/>
          <w:b/>
          <w:color w:val="000000" w:themeColor="text1"/>
          <w:sz w:val="24"/>
          <w:szCs w:val="24"/>
          <w:lang w:eastAsia="tr-TR"/>
        </w:rPr>
      </w:pPr>
      <w:r w:rsidRPr="00164238">
        <w:rPr>
          <w:rFonts w:ascii="Times New Roman" w:hAnsi="Times New Roman" w:cs="Times New Roman"/>
          <w:b/>
          <w:color w:val="000000" w:themeColor="text1"/>
          <w:sz w:val="24"/>
          <w:szCs w:val="24"/>
          <w:lang w:eastAsia="tr-TR"/>
        </w:rPr>
        <w:t>ECONOMIC INCENTIVE RECOMMENDATIONS TO REDUCE THE IMPACT OF COVID 19 EPIDEMIC ON WOMAN</w:t>
      </w:r>
    </w:p>
    <w:p w14:paraId="4A5F8E48" w14:textId="77777777" w:rsidR="00FA6C5D" w:rsidRPr="00164238" w:rsidRDefault="00FA6C5D" w:rsidP="00FA6C5D">
      <w:pPr>
        <w:spacing w:before="120" w:after="120" w:line="276" w:lineRule="auto"/>
        <w:ind w:firstLine="567"/>
        <w:jc w:val="both"/>
        <w:rPr>
          <w:rFonts w:ascii="Times New Roman" w:hAnsi="Times New Roman" w:cs="Times New Roman"/>
          <w:color w:val="000000" w:themeColor="text1"/>
          <w:sz w:val="20"/>
          <w:lang w:eastAsia="tr-TR"/>
        </w:rPr>
      </w:pPr>
      <w:r w:rsidRPr="00164238">
        <w:rPr>
          <w:rFonts w:ascii="Times New Roman" w:hAnsi="Times New Roman" w:cs="Times New Roman"/>
          <w:color w:val="000000" w:themeColor="text1"/>
          <w:lang w:eastAsia="tr-TR"/>
        </w:rPr>
        <w:t>The Covid 19 Pandemic causes a destruction by creating severe damage in the sense both health, social and economic in worldwide.</w:t>
      </w:r>
      <w:r w:rsidRPr="00164238">
        <w:rPr>
          <w:rFonts w:ascii="Times New Roman" w:hAnsi="Times New Roman" w:cs="Times New Roman"/>
          <w:color w:val="000000" w:themeColor="text1"/>
        </w:rPr>
        <w:t xml:space="preserve"> </w:t>
      </w:r>
      <w:r w:rsidRPr="00164238">
        <w:rPr>
          <w:rFonts w:ascii="Times New Roman" w:hAnsi="Times New Roman" w:cs="Times New Roman"/>
          <w:color w:val="000000" w:themeColor="text1"/>
          <w:lang w:eastAsia="tr-TR"/>
        </w:rPr>
        <w:t>In this destruction, women who are more at risk of losing their jobs have to bear the majority of the burden. Considering that women work in heavily hit sectors and make up the majority of the law-wage workforce, it is clear that they are more likely to quit their jobs.</w:t>
      </w:r>
      <w:r w:rsidRPr="00164238">
        <w:rPr>
          <w:rFonts w:ascii="Times New Roman" w:hAnsi="Times New Roman" w:cs="Times New Roman"/>
          <w:color w:val="000000" w:themeColor="text1"/>
        </w:rPr>
        <w:t xml:space="preserve"> </w:t>
      </w:r>
      <w:r w:rsidRPr="00164238">
        <w:rPr>
          <w:rFonts w:ascii="Times New Roman" w:hAnsi="Times New Roman" w:cs="Times New Roman"/>
          <w:color w:val="000000" w:themeColor="text1"/>
          <w:lang w:eastAsia="tr-TR"/>
        </w:rPr>
        <w:t>In addition, the increasing burden of women with the intertwining of family life and business life in epidemic conditions reveals the importance of ensuring gender equality once again.</w:t>
      </w:r>
    </w:p>
    <w:p w14:paraId="4EE236FF" w14:textId="77777777" w:rsidR="00FA6C5D" w:rsidRPr="00164238" w:rsidRDefault="00FA6C5D" w:rsidP="00FA6C5D">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Women contribute to the economy tremendously by working in businesses, agriculture, as entrepreneurs or employees, or doing free home care services. According to the World Bank's “Women, Business and Law, 2021” report, in 88 economies, laws have impacted 2.6 billion women by restricting the jobs and hours available to women,</w:t>
      </w:r>
      <w:r w:rsidRPr="00164238">
        <w:rPr>
          <w:rFonts w:ascii="Times New Roman" w:hAnsi="Times New Roman" w:cs="Times New Roman"/>
          <w:color w:val="000000" w:themeColor="text1"/>
        </w:rPr>
        <w:t xml:space="preserve"> </w:t>
      </w:r>
      <w:r w:rsidRPr="00164238">
        <w:rPr>
          <w:rFonts w:ascii="Times New Roman" w:hAnsi="Times New Roman" w:cs="Times New Roman"/>
          <w:color w:val="000000" w:themeColor="text1"/>
          <w:lang w:eastAsia="tr-TR"/>
        </w:rPr>
        <w:t>this has led to occupational discrimination, resulting in greater representation of women in jobs that are more affected by COVID 19 disruptions, such as education, retail, tourism, accommodation and home services.</w:t>
      </w:r>
    </w:p>
    <w:p w14:paraId="5764C27B" w14:textId="77777777" w:rsidR="00FA6C5D" w:rsidRPr="00164238" w:rsidRDefault="00FA6C5D" w:rsidP="00FA6C5D">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With this study is aimed to reveal that while Covid 19 doesn’t distinguish between humans as a virus, health, social and economic effects are different in women and men, and</w:t>
      </w:r>
      <w:r w:rsidRPr="00164238">
        <w:rPr>
          <w:rFonts w:ascii="Times New Roman" w:hAnsi="Times New Roman" w:cs="Times New Roman"/>
          <w:color w:val="000000" w:themeColor="text1"/>
        </w:rPr>
        <w:t xml:space="preserve"> </w:t>
      </w:r>
      <w:r w:rsidRPr="00164238">
        <w:rPr>
          <w:rFonts w:ascii="Times New Roman" w:hAnsi="Times New Roman" w:cs="Times New Roman"/>
          <w:color w:val="000000" w:themeColor="text1"/>
          <w:lang w:eastAsia="tr-TR"/>
        </w:rPr>
        <w:t xml:space="preserve">to demonstrate the necessity of providing economic incentives to women in order to achieve gender equality. Societies' deficiencies in equality arise more with epidemics, but this may be an opportunity for governments. Incentives need to be made to empower women economically fo Covid 19 pandemic and later. </w:t>
      </w:r>
    </w:p>
    <w:p w14:paraId="4F85CD76" w14:textId="77777777" w:rsidR="00FA6C5D" w:rsidRPr="00164238" w:rsidRDefault="00FA6C5D" w:rsidP="00FA6C5D">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b/>
          <w:color w:val="000000" w:themeColor="text1"/>
          <w:lang w:eastAsia="tr-TR"/>
        </w:rPr>
        <w:t xml:space="preserve">Key Words: </w:t>
      </w:r>
      <w:r w:rsidRPr="00164238">
        <w:rPr>
          <w:rFonts w:ascii="Times New Roman" w:hAnsi="Times New Roman" w:cs="Times New Roman"/>
          <w:color w:val="000000" w:themeColor="text1"/>
          <w:lang w:eastAsia="tr-TR"/>
        </w:rPr>
        <w:t>Covid 19, Pandemic,</w:t>
      </w:r>
      <w:r w:rsidRPr="00164238">
        <w:rPr>
          <w:rFonts w:ascii="Times New Roman" w:hAnsi="Times New Roman" w:cs="Times New Roman"/>
          <w:b/>
          <w:color w:val="000000" w:themeColor="text1"/>
          <w:lang w:eastAsia="tr-TR"/>
        </w:rPr>
        <w:t xml:space="preserve"> </w:t>
      </w:r>
      <w:r w:rsidRPr="00164238">
        <w:rPr>
          <w:rFonts w:ascii="Times New Roman" w:hAnsi="Times New Roman" w:cs="Times New Roman"/>
          <w:color w:val="000000" w:themeColor="text1"/>
          <w:lang w:eastAsia="tr-TR"/>
        </w:rPr>
        <w:t>Woman, Economic Incentives.</w:t>
      </w:r>
    </w:p>
    <w:p w14:paraId="5B280D78" w14:textId="77777777" w:rsidR="00FA6C5D" w:rsidRPr="00164238" w:rsidRDefault="00FA6C5D" w:rsidP="00FA6C5D">
      <w:pPr>
        <w:tabs>
          <w:tab w:val="left" w:pos="426"/>
        </w:tabs>
        <w:spacing w:before="120" w:after="120"/>
        <w:ind w:firstLine="567"/>
        <w:rPr>
          <w:rFonts w:ascii="Times New Roman" w:hAnsi="Times New Roman" w:cs="Times New Roman"/>
          <w:b/>
          <w:bCs/>
          <w:color w:val="000000" w:themeColor="text1"/>
        </w:rPr>
      </w:pPr>
      <w:r w:rsidRPr="00164238">
        <w:rPr>
          <w:rFonts w:ascii="Times New Roman" w:hAnsi="Times New Roman" w:cs="Times New Roman"/>
          <w:b/>
          <w:bCs/>
          <w:color w:val="000000" w:themeColor="text1"/>
        </w:rPr>
        <w:t>GİRİŞ</w:t>
      </w:r>
    </w:p>
    <w:p w14:paraId="2A999A20" w14:textId="77777777" w:rsidR="00FA6C5D" w:rsidRPr="00164238" w:rsidRDefault="00FA6C5D" w:rsidP="00FA6C5D">
      <w:pPr>
        <w:spacing w:before="120" w:after="120" w:line="276" w:lineRule="auto"/>
        <w:ind w:firstLine="567"/>
        <w:jc w:val="both"/>
        <w:rPr>
          <w:rFonts w:ascii="Times New Roman" w:hAnsi="Times New Roman" w:cs="Times New Roman"/>
          <w:color w:val="000000" w:themeColor="text1"/>
          <w:lang w:val="en-US" w:eastAsia="tr-TR"/>
        </w:rPr>
      </w:pPr>
      <w:r w:rsidRPr="00164238">
        <w:rPr>
          <w:rFonts w:ascii="Times New Roman" w:hAnsi="Times New Roman" w:cs="Times New Roman"/>
          <w:color w:val="000000" w:themeColor="text1"/>
          <w:lang w:eastAsia="tr-TR"/>
        </w:rPr>
        <w:t xml:space="preserve">Kadınların erkeklerle her alanda eşit olması, ekonomik olarak güçlenmesi ülkelerin ekonomik anlamda büyüme ve gelişmesine de katkı sağlayarak sürdürülebilir kalkınmada önemli bir rol oynamaktadır. Kadınlar hemen her alanda ekonomide ki varlıklarını göstermekteler ancak evdeki işlerin ağırlığı bazen ekonomik fırsatlara zaman bırakmamaktadır. Covid 19 salgını sağlık krizinin ötesinde bir sosyal ve ekonomik krize dönüşmüştür. Covid 19 Salgınının yarattığı zorluklar karşısında daha savunmasız olan kadınlar ekonomik güven anlamında daha çok zorlanmış, kadınların aktif olduğu sektörler genel olarak salgında daha ağır darbeler almıştır. Düşük ücretli işgücünün yoğun olduğu sektörlerde çalışan kadınlar işlerini kaybetme korkusu altında yükün büyük kısmını omuzlanmıştır. Evden çalışmaların artması ile evde bakım hizmetleri artmakla birlikte, çocuk bakımı nedeni ile işlerini bırakmak zorunda olanlar da olmuştur. </w:t>
      </w:r>
    </w:p>
    <w:p w14:paraId="61BA75D2" w14:textId="77777777" w:rsidR="00FA6C5D" w:rsidRPr="00164238" w:rsidRDefault="00FA6C5D" w:rsidP="00FA6C5D">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lastRenderedPageBreak/>
        <w:t xml:space="preserve">Dünya Bankasının “Kadınlar, İş Dünyası ve Hukuk, 2021” raporuna göre 88 ekonomide, yasalar kadınların çalışabileceği işleri ve saatleri kısıtlayarak 2,6 milyar kadını etkilemiş, bu da mesleki ayrımcılığa yol açarak kadınların eğitim, perakende, turizm, konaklama ve ev hizmetleri gibi COVID 19 kesintilerinden daha fazla etkilenen işlerde daha fazla temsil edilmesine neden olmuştur. Hem evde hem işte çalışarak ekonomiye muazzam katkılar sağlayan kadınlarımıza daha çok önem verilmesi gerektiği açıktır.  Covid 19 virüs olarak insan ayrımı yapmazken kadın ve erkekler üzerinde etkileri farklı olmaktadır, bu nedenle de kadınların ekonomik fırsatlarını korumak ve eşitliği sağlamak için özellikle salgın gibi kriz dönemlerinde hükümetlerin ek önlemler alması gerekmektedir. </w:t>
      </w:r>
    </w:p>
    <w:p w14:paraId="4946DBF8" w14:textId="77777777" w:rsidR="00FA6C5D" w:rsidRPr="00164238" w:rsidRDefault="00FA6C5D" w:rsidP="00FA6C5D">
      <w:pPr>
        <w:spacing w:before="120" w:after="120" w:line="276" w:lineRule="auto"/>
        <w:ind w:firstLine="567"/>
        <w:jc w:val="both"/>
        <w:rPr>
          <w:rFonts w:ascii="Times New Roman" w:hAnsi="Times New Roman" w:cs="Times New Roman"/>
          <w:color w:val="000000" w:themeColor="text1"/>
          <w:lang w:eastAsia="tr-TR"/>
        </w:rPr>
      </w:pPr>
    </w:p>
    <w:p w14:paraId="3E719B66" w14:textId="77777777" w:rsidR="00FA6C5D" w:rsidRPr="00164238" w:rsidRDefault="00FA6C5D" w:rsidP="00FA6C5D">
      <w:pPr>
        <w:spacing w:before="120" w:after="120" w:line="276" w:lineRule="auto"/>
        <w:ind w:firstLine="567"/>
        <w:jc w:val="both"/>
        <w:rPr>
          <w:rFonts w:ascii="Times New Roman" w:hAnsi="Times New Roman" w:cs="Times New Roman"/>
          <w:color w:val="000000" w:themeColor="text1"/>
          <w:lang w:eastAsia="tr-TR"/>
        </w:rPr>
      </w:pPr>
    </w:p>
    <w:p w14:paraId="27637DE2" w14:textId="77777777" w:rsidR="00FA6C5D" w:rsidRPr="00164238" w:rsidRDefault="00FA6C5D" w:rsidP="00FA6C5D">
      <w:pPr>
        <w:spacing w:before="120" w:after="120" w:line="276" w:lineRule="auto"/>
        <w:ind w:firstLine="567"/>
        <w:jc w:val="both"/>
        <w:rPr>
          <w:rFonts w:ascii="Times New Roman" w:hAnsi="Times New Roman" w:cs="Times New Roman"/>
          <w:b/>
          <w:color w:val="000000" w:themeColor="text1"/>
          <w:lang w:eastAsia="tr-TR"/>
        </w:rPr>
      </w:pPr>
      <w:r w:rsidRPr="00164238">
        <w:rPr>
          <w:rFonts w:ascii="Times New Roman" w:hAnsi="Times New Roman" w:cs="Times New Roman"/>
          <w:b/>
          <w:color w:val="000000" w:themeColor="text1"/>
          <w:lang w:eastAsia="tr-TR"/>
        </w:rPr>
        <w:t>KADINLARIN EKONOMİDEKİ YERİ</w:t>
      </w:r>
    </w:p>
    <w:p w14:paraId="2EE11B2C" w14:textId="77777777" w:rsidR="00FA6C5D" w:rsidRPr="00164238" w:rsidRDefault="00FA6C5D" w:rsidP="00FA6C5D">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Kadınlar ekonomiye katılımları ile ülkelerin büyüme ve kalkınmalarına destek sağlamaktadır, ancak ne yazık ki erkekler işe eşit statüye sahip değillerdir. Ekonomide kadınların var olduğu sektörler genellikle savunmasız alanlardır. Savunmasız istihdam, herhangi bir çalışanı olmadan kendi adına çalışan ya da ücretsiz aile işçisi olan çalışanı ifade etmekte olup, kadınların savunmasız istihdamda yer alması olasılığı erkeklerden daha fazladır (WBL,2021:7). Düşük ve orta gelirli ülkelerde ise kadınların savunmasız istihdam riski daha yüksek olup, kriz durumlarında kırılganlıkları da daha fazladır.</w:t>
      </w:r>
    </w:p>
    <w:p w14:paraId="0CDC392F" w14:textId="77777777" w:rsidR="00FA6C5D" w:rsidRPr="00164238" w:rsidRDefault="00FA6C5D" w:rsidP="00FA6C5D">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Şekil 1’de Kadın, İş Dünyası ve Hukuk İndeksi Göstergeleri verilmiş olup, kadınların ekonomideki varlıkları bu göstergelerden etkilenmektedir.</w:t>
      </w:r>
    </w:p>
    <w:p w14:paraId="778A7D83" w14:textId="77777777" w:rsidR="00FA6C5D" w:rsidRPr="00164238" w:rsidRDefault="00FA6C5D" w:rsidP="00FA6C5D">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lang w:eastAsia="tr-TR"/>
        </w:rPr>
        <w:t xml:space="preserve">Şekil 1. </w:t>
      </w:r>
      <w:r w:rsidRPr="00164238">
        <w:rPr>
          <w:rFonts w:ascii="Times New Roman" w:hAnsi="Times New Roman" w:cs="Times New Roman"/>
          <w:color w:val="000000" w:themeColor="text1"/>
        </w:rPr>
        <w:t>Kadın, İş Dünyası ve Hukuk İndeksi Göstergeleri</w:t>
      </w:r>
    </w:p>
    <w:p w14:paraId="16FE08B2" w14:textId="4BD5C134" w:rsidR="00FA6C5D" w:rsidRPr="00164238" w:rsidRDefault="00FA6C5D" w:rsidP="00FA6C5D">
      <w:pPr>
        <w:spacing w:before="120" w:after="120" w:line="276" w:lineRule="auto"/>
        <w:jc w:val="both"/>
        <w:rPr>
          <w:rFonts w:ascii="Times New Roman" w:hAnsi="Times New Roman" w:cs="Times New Roman"/>
          <w:color w:val="000000" w:themeColor="text1"/>
          <w:lang w:eastAsia="tr-TR"/>
        </w:rPr>
      </w:pPr>
      <w:r w:rsidRPr="00164238">
        <w:rPr>
          <w:rFonts w:ascii="Times New Roman" w:hAnsi="Times New Roman" w:cs="Times New Roman"/>
          <w:noProof/>
          <w:color w:val="000000" w:themeColor="text1"/>
          <w:lang w:val="en-US"/>
        </w:rPr>
        <w:drawing>
          <wp:inline distT="0" distB="0" distL="0" distR="0" wp14:anchorId="3F71D6DF" wp14:editId="30767791">
            <wp:extent cx="5760720" cy="2047240"/>
            <wp:effectExtent l="0" t="0" r="0" b="0"/>
            <wp:docPr id="137" name="Resim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760720" cy="2047240"/>
                    </a:xfrm>
                    <a:prstGeom prst="rect">
                      <a:avLst/>
                    </a:prstGeom>
                    <a:noFill/>
                    <a:ln>
                      <a:noFill/>
                    </a:ln>
                  </pic:spPr>
                </pic:pic>
              </a:graphicData>
            </a:graphic>
          </wp:inline>
        </w:drawing>
      </w:r>
    </w:p>
    <w:tbl>
      <w:tblPr>
        <w:tblStyle w:val="TabloKlavuzu"/>
        <w:tblW w:w="0" w:type="auto"/>
        <w:tblLook w:val="04A0" w:firstRow="1" w:lastRow="0" w:firstColumn="1" w:lastColumn="0" w:noHBand="0" w:noVBand="1"/>
      </w:tblPr>
      <w:tblGrid>
        <w:gridCol w:w="1068"/>
        <w:gridCol w:w="1068"/>
        <w:gridCol w:w="1057"/>
        <w:gridCol w:w="1058"/>
        <w:gridCol w:w="1058"/>
        <w:gridCol w:w="1058"/>
        <w:gridCol w:w="1070"/>
        <w:gridCol w:w="1058"/>
      </w:tblGrid>
      <w:tr w:rsidR="00FA6C5D" w:rsidRPr="00164238" w14:paraId="2CDDAA49" w14:textId="77777777" w:rsidTr="00FA6C5D">
        <w:tc>
          <w:tcPr>
            <w:tcW w:w="1132" w:type="dxa"/>
            <w:tcBorders>
              <w:top w:val="single" w:sz="4" w:space="0" w:color="auto"/>
              <w:left w:val="single" w:sz="4" w:space="0" w:color="auto"/>
              <w:bottom w:val="single" w:sz="4" w:space="0" w:color="auto"/>
              <w:right w:val="single" w:sz="4" w:space="0" w:color="auto"/>
            </w:tcBorders>
            <w:hideMark/>
          </w:tcPr>
          <w:p w14:paraId="2AA0631E" w14:textId="77777777" w:rsidR="00FA6C5D" w:rsidRPr="00164238" w:rsidRDefault="00FA6C5D">
            <w:pPr>
              <w:spacing w:before="120" w:after="120" w:line="276" w:lineRule="auto"/>
              <w:rPr>
                <w:rFonts w:ascii="Times New Roman" w:hAnsi="Times New Roman" w:cs="Times New Roman"/>
                <w:color w:val="000000" w:themeColor="text1"/>
              </w:rPr>
            </w:pPr>
            <w:r w:rsidRPr="00164238">
              <w:rPr>
                <w:rFonts w:ascii="Times New Roman" w:hAnsi="Times New Roman" w:cs="Times New Roman"/>
                <w:color w:val="000000" w:themeColor="text1"/>
              </w:rPr>
              <w:t>100</w:t>
            </w:r>
          </w:p>
        </w:tc>
        <w:tc>
          <w:tcPr>
            <w:tcW w:w="1132" w:type="dxa"/>
            <w:tcBorders>
              <w:top w:val="single" w:sz="4" w:space="0" w:color="auto"/>
              <w:left w:val="single" w:sz="4" w:space="0" w:color="auto"/>
              <w:bottom w:val="single" w:sz="4" w:space="0" w:color="auto"/>
              <w:right w:val="single" w:sz="4" w:space="0" w:color="auto"/>
            </w:tcBorders>
            <w:hideMark/>
          </w:tcPr>
          <w:p w14:paraId="66073031" w14:textId="77777777" w:rsidR="00FA6C5D" w:rsidRPr="00164238" w:rsidRDefault="00FA6C5D">
            <w:pPr>
              <w:spacing w:before="120" w:after="120" w:line="276" w:lineRule="auto"/>
              <w:rPr>
                <w:rFonts w:ascii="Times New Roman" w:hAnsi="Times New Roman" w:cs="Times New Roman"/>
                <w:color w:val="000000" w:themeColor="text1"/>
              </w:rPr>
            </w:pPr>
            <w:r w:rsidRPr="00164238">
              <w:rPr>
                <w:rFonts w:ascii="Times New Roman" w:hAnsi="Times New Roman" w:cs="Times New Roman"/>
                <w:color w:val="000000" w:themeColor="text1"/>
              </w:rPr>
              <w:t>100</w:t>
            </w:r>
          </w:p>
        </w:tc>
        <w:tc>
          <w:tcPr>
            <w:tcW w:w="1133" w:type="dxa"/>
            <w:tcBorders>
              <w:top w:val="single" w:sz="4" w:space="0" w:color="auto"/>
              <w:left w:val="single" w:sz="4" w:space="0" w:color="auto"/>
              <w:bottom w:val="single" w:sz="4" w:space="0" w:color="auto"/>
              <w:right w:val="single" w:sz="4" w:space="0" w:color="auto"/>
            </w:tcBorders>
            <w:hideMark/>
          </w:tcPr>
          <w:p w14:paraId="3CD0ADC7" w14:textId="77777777" w:rsidR="00FA6C5D" w:rsidRPr="00164238" w:rsidRDefault="00FA6C5D">
            <w:pPr>
              <w:spacing w:before="120" w:after="120" w:line="276" w:lineRule="auto"/>
              <w:rPr>
                <w:rFonts w:ascii="Times New Roman" w:hAnsi="Times New Roman" w:cs="Times New Roman"/>
                <w:color w:val="000000" w:themeColor="text1"/>
              </w:rPr>
            </w:pPr>
            <w:r w:rsidRPr="00164238">
              <w:rPr>
                <w:rFonts w:ascii="Times New Roman" w:hAnsi="Times New Roman" w:cs="Times New Roman"/>
                <w:color w:val="000000" w:themeColor="text1"/>
              </w:rPr>
              <w:t>75</w:t>
            </w:r>
          </w:p>
        </w:tc>
        <w:tc>
          <w:tcPr>
            <w:tcW w:w="1133" w:type="dxa"/>
            <w:tcBorders>
              <w:top w:val="single" w:sz="4" w:space="0" w:color="auto"/>
              <w:left w:val="single" w:sz="4" w:space="0" w:color="auto"/>
              <w:bottom w:val="single" w:sz="4" w:space="0" w:color="auto"/>
              <w:right w:val="single" w:sz="4" w:space="0" w:color="auto"/>
            </w:tcBorders>
            <w:hideMark/>
          </w:tcPr>
          <w:p w14:paraId="2CA78D4D" w14:textId="77777777" w:rsidR="00FA6C5D" w:rsidRPr="00164238" w:rsidRDefault="00FA6C5D">
            <w:pPr>
              <w:spacing w:before="120" w:after="120" w:line="276" w:lineRule="auto"/>
              <w:rPr>
                <w:rFonts w:ascii="Times New Roman" w:hAnsi="Times New Roman" w:cs="Times New Roman"/>
                <w:color w:val="000000" w:themeColor="text1"/>
              </w:rPr>
            </w:pPr>
            <w:r w:rsidRPr="00164238">
              <w:rPr>
                <w:rFonts w:ascii="Times New Roman" w:hAnsi="Times New Roman" w:cs="Times New Roman"/>
                <w:color w:val="000000" w:themeColor="text1"/>
              </w:rPr>
              <w:t>80</w:t>
            </w:r>
          </w:p>
        </w:tc>
        <w:tc>
          <w:tcPr>
            <w:tcW w:w="1133" w:type="dxa"/>
            <w:tcBorders>
              <w:top w:val="single" w:sz="4" w:space="0" w:color="auto"/>
              <w:left w:val="single" w:sz="4" w:space="0" w:color="auto"/>
              <w:bottom w:val="single" w:sz="4" w:space="0" w:color="auto"/>
              <w:right w:val="single" w:sz="4" w:space="0" w:color="auto"/>
            </w:tcBorders>
            <w:hideMark/>
          </w:tcPr>
          <w:p w14:paraId="32E48CEE" w14:textId="77777777" w:rsidR="00FA6C5D" w:rsidRPr="00164238" w:rsidRDefault="00FA6C5D">
            <w:pPr>
              <w:spacing w:before="120" w:after="120" w:line="276" w:lineRule="auto"/>
              <w:rPr>
                <w:rFonts w:ascii="Times New Roman" w:hAnsi="Times New Roman" w:cs="Times New Roman"/>
                <w:color w:val="000000" w:themeColor="text1"/>
              </w:rPr>
            </w:pPr>
            <w:r w:rsidRPr="00164238">
              <w:rPr>
                <w:rFonts w:ascii="Times New Roman" w:hAnsi="Times New Roman" w:cs="Times New Roman"/>
                <w:color w:val="000000" w:themeColor="text1"/>
              </w:rPr>
              <w:t>80</w:t>
            </w:r>
          </w:p>
        </w:tc>
        <w:tc>
          <w:tcPr>
            <w:tcW w:w="1133" w:type="dxa"/>
            <w:tcBorders>
              <w:top w:val="single" w:sz="4" w:space="0" w:color="auto"/>
              <w:left w:val="single" w:sz="4" w:space="0" w:color="auto"/>
              <w:bottom w:val="single" w:sz="4" w:space="0" w:color="auto"/>
              <w:right w:val="single" w:sz="4" w:space="0" w:color="auto"/>
            </w:tcBorders>
            <w:hideMark/>
          </w:tcPr>
          <w:p w14:paraId="04FF44A8" w14:textId="77777777" w:rsidR="00FA6C5D" w:rsidRPr="00164238" w:rsidRDefault="00FA6C5D">
            <w:pPr>
              <w:spacing w:before="120" w:after="120" w:line="276" w:lineRule="auto"/>
              <w:rPr>
                <w:rFonts w:ascii="Times New Roman" w:hAnsi="Times New Roman" w:cs="Times New Roman"/>
                <w:color w:val="000000" w:themeColor="text1"/>
              </w:rPr>
            </w:pPr>
            <w:r w:rsidRPr="00164238">
              <w:rPr>
                <w:rFonts w:ascii="Times New Roman" w:hAnsi="Times New Roman" w:cs="Times New Roman"/>
                <w:color w:val="000000" w:themeColor="text1"/>
              </w:rPr>
              <w:t>75</w:t>
            </w:r>
          </w:p>
        </w:tc>
        <w:tc>
          <w:tcPr>
            <w:tcW w:w="1133" w:type="dxa"/>
            <w:tcBorders>
              <w:top w:val="single" w:sz="4" w:space="0" w:color="auto"/>
              <w:left w:val="single" w:sz="4" w:space="0" w:color="auto"/>
              <w:bottom w:val="single" w:sz="4" w:space="0" w:color="auto"/>
              <w:right w:val="single" w:sz="4" w:space="0" w:color="auto"/>
            </w:tcBorders>
            <w:hideMark/>
          </w:tcPr>
          <w:p w14:paraId="4FF98B5D" w14:textId="77777777" w:rsidR="00FA6C5D" w:rsidRPr="00164238" w:rsidRDefault="00FA6C5D">
            <w:pPr>
              <w:spacing w:before="120" w:after="120" w:line="276" w:lineRule="auto"/>
              <w:rPr>
                <w:rFonts w:ascii="Times New Roman" w:hAnsi="Times New Roman" w:cs="Times New Roman"/>
                <w:color w:val="000000" w:themeColor="text1"/>
              </w:rPr>
            </w:pPr>
            <w:r w:rsidRPr="00164238">
              <w:rPr>
                <w:rFonts w:ascii="Times New Roman" w:hAnsi="Times New Roman" w:cs="Times New Roman"/>
                <w:color w:val="000000" w:themeColor="text1"/>
              </w:rPr>
              <w:t>100</w:t>
            </w:r>
          </w:p>
        </w:tc>
        <w:tc>
          <w:tcPr>
            <w:tcW w:w="1133" w:type="dxa"/>
            <w:tcBorders>
              <w:top w:val="single" w:sz="4" w:space="0" w:color="auto"/>
              <w:left w:val="single" w:sz="4" w:space="0" w:color="auto"/>
              <w:bottom w:val="single" w:sz="4" w:space="0" w:color="auto"/>
              <w:right w:val="single" w:sz="4" w:space="0" w:color="auto"/>
            </w:tcBorders>
            <w:hideMark/>
          </w:tcPr>
          <w:p w14:paraId="336460AD" w14:textId="77777777" w:rsidR="00FA6C5D" w:rsidRPr="00164238" w:rsidRDefault="00FA6C5D">
            <w:pPr>
              <w:spacing w:before="120" w:after="120" w:line="276" w:lineRule="auto"/>
              <w:rPr>
                <w:rFonts w:ascii="Times New Roman" w:hAnsi="Times New Roman" w:cs="Times New Roman"/>
                <w:color w:val="000000" w:themeColor="text1"/>
              </w:rPr>
            </w:pPr>
            <w:r w:rsidRPr="00164238">
              <w:rPr>
                <w:rFonts w:ascii="Times New Roman" w:hAnsi="Times New Roman" w:cs="Times New Roman"/>
                <w:color w:val="000000" w:themeColor="text1"/>
              </w:rPr>
              <w:t>50</w:t>
            </w:r>
          </w:p>
        </w:tc>
      </w:tr>
    </w:tbl>
    <w:p w14:paraId="4EDA7967" w14:textId="77777777" w:rsidR="00FA6C5D" w:rsidRPr="00164238" w:rsidRDefault="00FA6C5D" w:rsidP="00FA6C5D">
      <w:pPr>
        <w:spacing w:before="120" w:after="120" w:line="276" w:lineRule="auto"/>
        <w:jc w:val="both"/>
        <w:rPr>
          <w:rFonts w:ascii="Times New Roman" w:hAnsi="Times New Roman" w:cs="Times New Roman"/>
          <w:color w:val="000000" w:themeColor="text1"/>
          <w:sz w:val="20"/>
          <w:szCs w:val="20"/>
          <w:lang w:val="en-US" w:eastAsia="tr-TR"/>
        </w:rPr>
      </w:pPr>
      <w:r w:rsidRPr="00164238">
        <w:rPr>
          <w:rFonts w:ascii="Times New Roman" w:hAnsi="Times New Roman" w:cs="Times New Roman"/>
          <w:color w:val="000000" w:themeColor="text1"/>
          <w:lang w:eastAsia="tr-TR"/>
        </w:rPr>
        <w:t>Kaynak: WBL, 2021:3, 87.</w:t>
      </w:r>
    </w:p>
    <w:p w14:paraId="2E7037D1" w14:textId="77777777" w:rsidR="00FA6C5D" w:rsidRPr="00164238" w:rsidRDefault="00FA6C5D" w:rsidP="00FA6C5D">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lang w:eastAsia="tr-TR"/>
        </w:rPr>
        <w:t xml:space="preserve">İndekse göre her gösterge kendi içerisinde 100 puan üzerinden değerlendirilmekte olup, toplamda 100 puan alan ülkeler, bir diğer ifade ile kadın ve erkeklerin eşit statüde olduğu ülkeler </w:t>
      </w:r>
      <w:r w:rsidRPr="00164238">
        <w:rPr>
          <w:rFonts w:ascii="Times New Roman" w:hAnsi="Times New Roman" w:cs="Times New Roman"/>
          <w:color w:val="000000" w:themeColor="text1"/>
        </w:rPr>
        <w:t xml:space="preserve">Belçika, Kanada, Danimarka, Fransa, İzlanda, İrlanda, Letonya, Lüksemburg, Portekiz ve İsveç’tir. 190 ülkede genel olarak iş yeri, ücret ve girişimcilik göstergesi puanları düşüktür. </w:t>
      </w:r>
      <w:r w:rsidRPr="00164238">
        <w:rPr>
          <w:rFonts w:ascii="Times New Roman" w:hAnsi="Times New Roman" w:cs="Times New Roman"/>
          <w:color w:val="000000" w:themeColor="text1"/>
        </w:rPr>
        <w:lastRenderedPageBreak/>
        <w:t xml:space="preserve">Türkiye’nin puanı ise şekil altında yer alan değerlerin ortalaması olan 82,5’tur. Türkiye’de emeklilik, girişimcilik ve ücret puanlamasının düşük olması ortalamanın da düşük olmasına neden olmuştur. </w:t>
      </w:r>
    </w:p>
    <w:p w14:paraId="221A06C6" w14:textId="4246760B" w:rsidR="00FA6C5D" w:rsidRDefault="00FA6C5D" w:rsidP="00FA6C5D">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İndekste her gösterge için Tablo 1’de gösterildiği gibi farklı sorular yer almaktadır. “Evet” cevabına puan verilirken “Hayır” cevabı puanlanmamaktadır ve her gösterge 100 puan üzerinden değerlendirilmekte olup, göstergeler içerisinde 100 puanın dağılımı eşittir. Ancak bu durum indeksin eleştirilmesi gereken tarafıdır. Örneğin girişimcilik göstergesinde “Bir kadının, bir erkek gibi bir banka hesabı açabilmesi” ile “ Bir kadının, bir erkekle aynı şekilde bir işletmeyi kaydettirebilmesi” 25’er puan olarak hesaplanmaktadır. Benzer şekilde evlilik göstergesinde “Bir kadının, bir erkekle aynı şekilde boşanma kararı alabilmesi” ile “Bir kadının, bir erkekle yeniden evlenmek için aynı haklara sahip olması”, 20’şer puan üzerinden hesaplanmaktadır. Oysaki soruların puanlamasının kendi içerisinde önem ve zorluk derecesine göre ağırlıklandırılması gerekmektedir. </w:t>
      </w:r>
    </w:p>
    <w:p w14:paraId="3BC51174" w14:textId="77777777" w:rsidR="00FA6C5D" w:rsidRPr="00164238" w:rsidRDefault="00FA6C5D" w:rsidP="00FA6C5D">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i/>
          <w:color w:val="000000" w:themeColor="text1"/>
        </w:rPr>
        <w:t>Tablo 1.</w:t>
      </w:r>
      <w:r w:rsidRPr="00164238">
        <w:rPr>
          <w:rFonts w:ascii="Times New Roman" w:hAnsi="Times New Roman" w:cs="Times New Roman"/>
          <w:color w:val="000000" w:themeColor="text1"/>
        </w:rPr>
        <w:t xml:space="preserve"> Kadın, İş Dünyası ve Hukuk İndeksi Soruları</w:t>
      </w:r>
    </w:p>
    <w:tbl>
      <w:tblPr>
        <w:tblStyle w:val="TabloKlavuzu"/>
        <w:tblW w:w="9105" w:type="dxa"/>
        <w:tblLook w:val="04A0" w:firstRow="1" w:lastRow="0" w:firstColumn="1" w:lastColumn="0" w:noHBand="0" w:noVBand="1"/>
      </w:tblPr>
      <w:tblGrid>
        <w:gridCol w:w="1280"/>
        <w:gridCol w:w="7825"/>
      </w:tblGrid>
      <w:tr w:rsidR="00FA6C5D" w:rsidRPr="00164238" w14:paraId="7EB02F67" w14:textId="77777777" w:rsidTr="00FA6C5D">
        <w:trPr>
          <w:trHeight w:val="270"/>
        </w:trPr>
        <w:tc>
          <w:tcPr>
            <w:tcW w:w="1230" w:type="dxa"/>
            <w:tcBorders>
              <w:top w:val="single" w:sz="4" w:space="0" w:color="auto"/>
              <w:left w:val="single" w:sz="4" w:space="0" w:color="auto"/>
              <w:bottom w:val="single" w:sz="4" w:space="0" w:color="auto"/>
              <w:right w:val="single" w:sz="4" w:space="0" w:color="auto"/>
            </w:tcBorders>
            <w:hideMark/>
          </w:tcPr>
          <w:p w14:paraId="123B56DA" w14:textId="77777777" w:rsidR="00FA6C5D" w:rsidRPr="00164238" w:rsidRDefault="00FA6C5D">
            <w:pPr>
              <w:rPr>
                <w:rFonts w:ascii="Times New Roman" w:hAnsi="Times New Roman" w:cs="Times New Roman"/>
                <w:b/>
                <w:color w:val="000000" w:themeColor="text1"/>
              </w:rPr>
            </w:pPr>
            <w:r w:rsidRPr="00164238">
              <w:rPr>
                <w:rFonts w:ascii="Times New Roman" w:hAnsi="Times New Roman" w:cs="Times New Roman"/>
                <w:b/>
                <w:color w:val="000000" w:themeColor="text1"/>
              </w:rPr>
              <w:t>Gösterge</w:t>
            </w:r>
          </w:p>
        </w:tc>
        <w:tc>
          <w:tcPr>
            <w:tcW w:w="7875" w:type="dxa"/>
            <w:tcBorders>
              <w:top w:val="single" w:sz="4" w:space="0" w:color="auto"/>
              <w:left w:val="single" w:sz="4" w:space="0" w:color="auto"/>
              <w:bottom w:val="single" w:sz="4" w:space="0" w:color="auto"/>
              <w:right w:val="single" w:sz="4" w:space="0" w:color="auto"/>
            </w:tcBorders>
            <w:hideMark/>
          </w:tcPr>
          <w:p w14:paraId="097F9628" w14:textId="77777777" w:rsidR="00FA6C5D" w:rsidRPr="00164238" w:rsidRDefault="00FA6C5D">
            <w:pPr>
              <w:rPr>
                <w:rFonts w:ascii="Times New Roman" w:hAnsi="Times New Roman" w:cs="Times New Roman"/>
                <w:b/>
                <w:color w:val="000000" w:themeColor="text1"/>
              </w:rPr>
            </w:pPr>
            <w:r w:rsidRPr="00164238">
              <w:rPr>
                <w:rFonts w:ascii="Times New Roman" w:hAnsi="Times New Roman" w:cs="Times New Roman"/>
                <w:b/>
                <w:color w:val="000000" w:themeColor="text1"/>
              </w:rPr>
              <w:t>Sorular</w:t>
            </w:r>
          </w:p>
        </w:tc>
      </w:tr>
      <w:tr w:rsidR="00FA6C5D" w:rsidRPr="00164238" w14:paraId="0468F9C3" w14:textId="77777777" w:rsidTr="00FA6C5D">
        <w:trPr>
          <w:trHeight w:val="255"/>
        </w:trPr>
        <w:tc>
          <w:tcPr>
            <w:tcW w:w="1230" w:type="dxa"/>
            <w:vMerge w:val="restart"/>
            <w:tcBorders>
              <w:top w:val="single" w:sz="4" w:space="0" w:color="auto"/>
              <w:left w:val="single" w:sz="4" w:space="0" w:color="auto"/>
              <w:bottom w:val="single" w:sz="4" w:space="0" w:color="auto"/>
              <w:right w:val="single" w:sz="4" w:space="0" w:color="auto"/>
            </w:tcBorders>
            <w:vAlign w:val="center"/>
            <w:hideMark/>
          </w:tcPr>
          <w:p w14:paraId="48178F6F"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Hareketlilik</w:t>
            </w:r>
          </w:p>
        </w:tc>
        <w:tc>
          <w:tcPr>
            <w:tcW w:w="7875" w:type="dxa"/>
            <w:tcBorders>
              <w:top w:val="single" w:sz="4" w:space="0" w:color="auto"/>
              <w:left w:val="single" w:sz="4" w:space="0" w:color="auto"/>
              <w:bottom w:val="single" w:sz="4" w:space="0" w:color="auto"/>
              <w:right w:val="single" w:sz="4" w:space="0" w:color="auto"/>
            </w:tcBorders>
            <w:hideMark/>
          </w:tcPr>
          <w:p w14:paraId="4AE66978"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1. Bir kadın, bir erkekle aynı şekilde nerede yaşayacağını seçebilir mi?</w:t>
            </w:r>
          </w:p>
        </w:tc>
      </w:tr>
      <w:tr w:rsidR="00FA6C5D" w:rsidRPr="00164238" w14:paraId="6FAF05F1" w14:textId="77777777" w:rsidTr="00FA6C5D">
        <w:trPr>
          <w:trHeight w:val="28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A426729" w14:textId="77777777" w:rsidR="00FA6C5D" w:rsidRPr="00164238" w:rsidRDefault="00FA6C5D">
            <w:pPr>
              <w:rPr>
                <w:rFonts w:ascii="Times New Roman" w:hAnsi="Times New Roman" w:cs="Times New Roman"/>
                <w:color w:val="000000" w:themeColor="text1"/>
                <w:lang w:val="en-US"/>
              </w:rPr>
            </w:pPr>
          </w:p>
        </w:tc>
        <w:tc>
          <w:tcPr>
            <w:tcW w:w="7875" w:type="dxa"/>
            <w:tcBorders>
              <w:top w:val="single" w:sz="4" w:space="0" w:color="auto"/>
              <w:left w:val="single" w:sz="4" w:space="0" w:color="auto"/>
              <w:bottom w:val="single" w:sz="4" w:space="0" w:color="auto"/>
              <w:right w:val="single" w:sz="4" w:space="0" w:color="auto"/>
            </w:tcBorders>
            <w:hideMark/>
          </w:tcPr>
          <w:p w14:paraId="707C6802"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2. Bir kadın, bir erkekle aynı şekilde dışarıya çıkabilir mi?</w:t>
            </w:r>
          </w:p>
        </w:tc>
      </w:tr>
      <w:tr w:rsidR="00FA6C5D" w:rsidRPr="00164238" w14:paraId="0FC73576" w14:textId="77777777" w:rsidTr="00FA6C5D">
        <w:trPr>
          <w:trHeight w:val="27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883DA13" w14:textId="77777777" w:rsidR="00FA6C5D" w:rsidRPr="00164238" w:rsidRDefault="00FA6C5D">
            <w:pPr>
              <w:rPr>
                <w:rFonts w:ascii="Times New Roman" w:hAnsi="Times New Roman" w:cs="Times New Roman"/>
                <w:color w:val="000000" w:themeColor="text1"/>
                <w:lang w:val="en-US"/>
              </w:rPr>
            </w:pPr>
          </w:p>
        </w:tc>
        <w:tc>
          <w:tcPr>
            <w:tcW w:w="7875" w:type="dxa"/>
            <w:tcBorders>
              <w:top w:val="single" w:sz="4" w:space="0" w:color="auto"/>
              <w:left w:val="single" w:sz="4" w:space="0" w:color="auto"/>
              <w:bottom w:val="single" w:sz="4" w:space="0" w:color="auto"/>
              <w:right w:val="single" w:sz="4" w:space="0" w:color="auto"/>
            </w:tcBorders>
            <w:hideMark/>
          </w:tcPr>
          <w:p w14:paraId="6551D78D"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 xml:space="preserve">3. Bir kadın, bir erkekle aynı şekilde pasaport başvurusunda bulunabilir mi? </w:t>
            </w:r>
          </w:p>
        </w:tc>
      </w:tr>
      <w:tr w:rsidR="00FA6C5D" w:rsidRPr="00164238" w14:paraId="03646EE0" w14:textId="77777777" w:rsidTr="00FA6C5D">
        <w:trPr>
          <w:trHeight w:val="28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85A9F4B" w14:textId="77777777" w:rsidR="00FA6C5D" w:rsidRPr="00164238" w:rsidRDefault="00FA6C5D">
            <w:pPr>
              <w:rPr>
                <w:rFonts w:ascii="Times New Roman" w:hAnsi="Times New Roman" w:cs="Times New Roman"/>
                <w:color w:val="000000" w:themeColor="text1"/>
                <w:lang w:val="en-US"/>
              </w:rPr>
            </w:pPr>
          </w:p>
        </w:tc>
        <w:tc>
          <w:tcPr>
            <w:tcW w:w="7875" w:type="dxa"/>
            <w:tcBorders>
              <w:top w:val="single" w:sz="4" w:space="0" w:color="auto"/>
              <w:left w:val="single" w:sz="4" w:space="0" w:color="auto"/>
              <w:bottom w:val="single" w:sz="4" w:space="0" w:color="auto"/>
              <w:right w:val="single" w:sz="4" w:space="0" w:color="auto"/>
            </w:tcBorders>
            <w:hideMark/>
          </w:tcPr>
          <w:p w14:paraId="779DFF9F"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4. Bir kadın, bir erkekle aynı şekilde ülke dışına çıkabilir mi?</w:t>
            </w:r>
          </w:p>
        </w:tc>
      </w:tr>
      <w:tr w:rsidR="00FA6C5D" w:rsidRPr="00164238" w14:paraId="0FBE1A6B" w14:textId="77777777" w:rsidTr="00FA6C5D">
        <w:trPr>
          <w:trHeight w:val="255"/>
        </w:trPr>
        <w:tc>
          <w:tcPr>
            <w:tcW w:w="1230" w:type="dxa"/>
            <w:vMerge w:val="restart"/>
            <w:tcBorders>
              <w:top w:val="single" w:sz="4" w:space="0" w:color="auto"/>
              <w:left w:val="single" w:sz="4" w:space="0" w:color="auto"/>
              <w:bottom w:val="single" w:sz="4" w:space="0" w:color="auto"/>
              <w:right w:val="single" w:sz="4" w:space="0" w:color="auto"/>
            </w:tcBorders>
            <w:vAlign w:val="center"/>
            <w:hideMark/>
          </w:tcPr>
          <w:p w14:paraId="3EFE4172"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İş yeri</w:t>
            </w:r>
          </w:p>
        </w:tc>
        <w:tc>
          <w:tcPr>
            <w:tcW w:w="7875" w:type="dxa"/>
            <w:tcBorders>
              <w:top w:val="single" w:sz="4" w:space="0" w:color="auto"/>
              <w:left w:val="single" w:sz="4" w:space="0" w:color="auto"/>
              <w:bottom w:val="single" w:sz="4" w:space="0" w:color="auto"/>
              <w:right w:val="single" w:sz="4" w:space="0" w:color="auto"/>
            </w:tcBorders>
            <w:hideMark/>
          </w:tcPr>
          <w:p w14:paraId="3B21837D"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1. Bir kadın, bir erkekle aynı şekilde iş bulabilir mi?</w:t>
            </w:r>
          </w:p>
        </w:tc>
      </w:tr>
      <w:tr w:rsidR="00FA6C5D" w:rsidRPr="00164238" w14:paraId="1F438898" w14:textId="77777777" w:rsidTr="00FA6C5D">
        <w:trPr>
          <w:trHeight w:val="28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B0843B4" w14:textId="77777777" w:rsidR="00FA6C5D" w:rsidRPr="00164238" w:rsidRDefault="00FA6C5D">
            <w:pPr>
              <w:rPr>
                <w:rFonts w:ascii="Times New Roman" w:hAnsi="Times New Roman" w:cs="Times New Roman"/>
                <w:color w:val="000000" w:themeColor="text1"/>
                <w:lang w:val="en-US"/>
              </w:rPr>
            </w:pPr>
          </w:p>
        </w:tc>
        <w:tc>
          <w:tcPr>
            <w:tcW w:w="7875" w:type="dxa"/>
            <w:tcBorders>
              <w:top w:val="single" w:sz="4" w:space="0" w:color="auto"/>
              <w:left w:val="single" w:sz="4" w:space="0" w:color="auto"/>
              <w:bottom w:val="single" w:sz="4" w:space="0" w:color="auto"/>
              <w:right w:val="single" w:sz="4" w:space="0" w:color="auto"/>
            </w:tcBorders>
            <w:hideMark/>
          </w:tcPr>
          <w:p w14:paraId="571A1925"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2. Yasa istihdamda cinsiyete dayalı ayrımcılığı yasaklıyor mu?</w:t>
            </w:r>
          </w:p>
        </w:tc>
      </w:tr>
      <w:tr w:rsidR="00FA6C5D" w:rsidRPr="00164238" w14:paraId="494EB5BC" w14:textId="77777777" w:rsidTr="00FA6C5D">
        <w:trPr>
          <w:trHeight w:val="28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CDBF520" w14:textId="77777777" w:rsidR="00FA6C5D" w:rsidRPr="00164238" w:rsidRDefault="00FA6C5D">
            <w:pPr>
              <w:rPr>
                <w:rFonts w:ascii="Times New Roman" w:hAnsi="Times New Roman" w:cs="Times New Roman"/>
                <w:color w:val="000000" w:themeColor="text1"/>
                <w:lang w:val="en-US"/>
              </w:rPr>
            </w:pPr>
          </w:p>
        </w:tc>
        <w:tc>
          <w:tcPr>
            <w:tcW w:w="7875" w:type="dxa"/>
            <w:tcBorders>
              <w:top w:val="single" w:sz="4" w:space="0" w:color="auto"/>
              <w:left w:val="single" w:sz="4" w:space="0" w:color="auto"/>
              <w:bottom w:val="single" w:sz="4" w:space="0" w:color="auto"/>
              <w:right w:val="single" w:sz="4" w:space="0" w:color="auto"/>
            </w:tcBorders>
            <w:hideMark/>
          </w:tcPr>
          <w:p w14:paraId="1D57B886"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3. İstihdamda cinsel tacize ilişkin mevzuat var mı?</w:t>
            </w:r>
          </w:p>
        </w:tc>
      </w:tr>
      <w:tr w:rsidR="00FA6C5D" w:rsidRPr="00164238" w14:paraId="48A7D6DA" w14:textId="77777777" w:rsidTr="00FA6C5D">
        <w:trPr>
          <w:trHeight w:val="27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B9ECAF4" w14:textId="77777777" w:rsidR="00FA6C5D" w:rsidRPr="00164238" w:rsidRDefault="00FA6C5D">
            <w:pPr>
              <w:rPr>
                <w:rFonts w:ascii="Times New Roman" w:hAnsi="Times New Roman" w:cs="Times New Roman"/>
                <w:color w:val="000000" w:themeColor="text1"/>
                <w:lang w:val="en-US"/>
              </w:rPr>
            </w:pPr>
          </w:p>
        </w:tc>
        <w:tc>
          <w:tcPr>
            <w:tcW w:w="7875" w:type="dxa"/>
            <w:tcBorders>
              <w:top w:val="single" w:sz="4" w:space="0" w:color="auto"/>
              <w:left w:val="single" w:sz="4" w:space="0" w:color="auto"/>
              <w:bottom w:val="single" w:sz="4" w:space="0" w:color="auto"/>
              <w:right w:val="single" w:sz="4" w:space="0" w:color="auto"/>
            </w:tcBorders>
            <w:hideMark/>
          </w:tcPr>
          <w:p w14:paraId="45DCF4CB"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4. İstihdamda cinsel taciz için cezai cezalar veya hukuki çözümler var mı?</w:t>
            </w:r>
          </w:p>
        </w:tc>
      </w:tr>
      <w:tr w:rsidR="00FA6C5D" w:rsidRPr="00164238" w14:paraId="460DA8D7" w14:textId="77777777" w:rsidTr="00FA6C5D">
        <w:trPr>
          <w:trHeight w:val="270"/>
        </w:trPr>
        <w:tc>
          <w:tcPr>
            <w:tcW w:w="1230" w:type="dxa"/>
            <w:vMerge w:val="restart"/>
            <w:tcBorders>
              <w:top w:val="single" w:sz="4" w:space="0" w:color="auto"/>
              <w:left w:val="single" w:sz="4" w:space="0" w:color="auto"/>
              <w:bottom w:val="single" w:sz="4" w:space="0" w:color="auto"/>
              <w:right w:val="single" w:sz="4" w:space="0" w:color="auto"/>
            </w:tcBorders>
            <w:vAlign w:val="center"/>
            <w:hideMark/>
          </w:tcPr>
          <w:p w14:paraId="69EA517E"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Ücret</w:t>
            </w:r>
          </w:p>
        </w:tc>
        <w:tc>
          <w:tcPr>
            <w:tcW w:w="7875" w:type="dxa"/>
            <w:tcBorders>
              <w:top w:val="single" w:sz="4" w:space="0" w:color="auto"/>
              <w:left w:val="single" w:sz="4" w:space="0" w:color="auto"/>
              <w:bottom w:val="single" w:sz="4" w:space="0" w:color="auto"/>
              <w:right w:val="single" w:sz="4" w:space="0" w:color="auto"/>
            </w:tcBorders>
            <w:hideMark/>
          </w:tcPr>
          <w:p w14:paraId="5D4548FB"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1. Yasa, eşit değerdeki işler için eşit ücretlendirmeyi şart koşuyor mu?</w:t>
            </w:r>
          </w:p>
        </w:tc>
      </w:tr>
      <w:tr w:rsidR="00FA6C5D" w:rsidRPr="00164238" w14:paraId="62AD1147" w14:textId="77777777" w:rsidTr="00FA6C5D">
        <w:trPr>
          <w:trHeight w:val="27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51309EA" w14:textId="77777777" w:rsidR="00FA6C5D" w:rsidRPr="00164238" w:rsidRDefault="00FA6C5D">
            <w:pPr>
              <w:rPr>
                <w:rFonts w:ascii="Times New Roman" w:hAnsi="Times New Roman" w:cs="Times New Roman"/>
                <w:color w:val="000000" w:themeColor="text1"/>
                <w:lang w:val="en-US"/>
              </w:rPr>
            </w:pPr>
          </w:p>
        </w:tc>
        <w:tc>
          <w:tcPr>
            <w:tcW w:w="7875" w:type="dxa"/>
            <w:tcBorders>
              <w:top w:val="single" w:sz="4" w:space="0" w:color="auto"/>
              <w:left w:val="single" w:sz="4" w:space="0" w:color="auto"/>
              <w:bottom w:val="single" w:sz="4" w:space="0" w:color="auto"/>
              <w:right w:val="single" w:sz="4" w:space="0" w:color="auto"/>
            </w:tcBorders>
            <w:hideMark/>
          </w:tcPr>
          <w:p w14:paraId="16700644"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2. Bir kadın geceleri bir erkekle aynı şekilde çalışabilir mi?</w:t>
            </w:r>
          </w:p>
        </w:tc>
      </w:tr>
      <w:tr w:rsidR="00FA6C5D" w:rsidRPr="00164238" w14:paraId="7618C410" w14:textId="77777777" w:rsidTr="00FA6C5D">
        <w:trPr>
          <w:trHeight w:val="28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47CC1F0" w14:textId="77777777" w:rsidR="00FA6C5D" w:rsidRPr="00164238" w:rsidRDefault="00FA6C5D">
            <w:pPr>
              <w:rPr>
                <w:rFonts w:ascii="Times New Roman" w:hAnsi="Times New Roman" w:cs="Times New Roman"/>
                <w:color w:val="000000" w:themeColor="text1"/>
                <w:lang w:val="en-US"/>
              </w:rPr>
            </w:pPr>
          </w:p>
        </w:tc>
        <w:tc>
          <w:tcPr>
            <w:tcW w:w="7875" w:type="dxa"/>
            <w:tcBorders>
              <w:top w:val="single" w:sz="4" w:space="0" w:color="auto"/>
              <w:left w:val="single" w:sz="4" w:space="0" w:color="auto"/>
              <w:bottom w:val="single" w:sz="4" w:space="0" w:color="auto"/>
              <w:right w:val="single" w:sz="4" w:space="0" w:color="auto"/>
            </w:tcBorders>
            <w:hideMark/>
          </w:tcPr>
          <w:p w14:paraId="6128D24D"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3. Bir kadın tehlikeli sayılan bir işte erkekle aynı şekilde çalışabilir mi?</w:t>
            </w:r>
          </w:p>
        </w:tc>
      </w:tr>
      <w:tr w:rsidR="00FA6C5D" w:rsidRPr="00164238" w14:paraId="426F0CC1" w14:textId="77777777" w:rsidTr="00FA6C5D">
        <w:trPr>
          <w:trHeight w:val="27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F268FD3" w14:textId="77777777" w:rsidR="00FA6C5D" w:rsidRPr="00164238" w:rsidRDefault="00FA6C5D">
            <w:pPr>
              <w:rPr>
                <w:rFonts w:ascii="Times New Roman" w:hAnsi="Times New Roman" w:cs="Times New Roman"/>
                <w:color w:val="000000" w:themeColor="text1"/>
                <w:lang w:val="en-US"/>
              </w:rPr>
            </w:pPr>
          </w:p>
        </w:tc>
        <w:tc>
          <w:tcPr>
            <w:tcW w:w="7875" w:type="dxa"/>
            <w:tcBorders>
              <w:top w:val="single" w:sz="4" w:space="0" w:color="auto"/>
              <w:left w:val="single" w:sz="4" w:space="0" w:color="auto"/>
              <w:bottom w:val="single" w:sz="4" w:space="0" w:color="auto"/>
              <w:right w:val="single" w:sz="4" w:space="0" w:color="auto"/>
            </w:tcBorders>
            <w:hideMark/>
          </w:tcPr>
          <w:p w14:paraId="75686EC9"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4. Bir kadın endüstriyel bir işte erkekle aynı şekilde çalışabilir mi?</w:t>
            </w:r>
          </w:p>
        </w:tc>
      </w:tr>
      <w:tr w:rsidR="00FA6C5D" w:rsidRPr="00164238" w14:paraId="7CC59A94" w14:textId="77777777" w:rsidTr="00FA6C5D">
        <w:trPr>
          <w:trHeight w:val="264"/>
        </w:trPr>
        <w:tc>
          <w:tcPr>
            <w:tcW w:w="1230" w:type="dxa"/>
            <w:vMerge w:val="restart"/>
            <w:tcBorders>
              <w:top w:val="single" w:sz="4" w:space="0" w:color="auto"/>
              <w:left w:val="single" w:sz="4" w:space="0" w:color="auto"/>
              <w:bottom w:val="single" w:sz="4" w:space="0" w:color="auto"/>
              <w:right w:val="single" w:sz="4" w:space="0" w:color="auto"/>
            </w:tcBorders>
            <w:vAlign w:val="center"/>
            <w:hideMark/>
          </w:tcPr>
          <w:p w14:paraId="39492C25"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Evlilik</w:t>
            </w:r>
          </w:p>
        </w:tc>
        <w:tc>
          <w:tcPr>
            <w:tcW w:w="7875" w:type="dxa"/>
            <w:tcBorders>
              <w:top w:val="single" w:sz="4" w:space="0" w:color="auto"/>
              <w:left w:val="single" w:sz="4" w:space="0" w:color="auto"/>
              <w:bottom w:val="single" w:sz="4" w:space="0" w:color="auto"/>
              <w:right w:val="single" w:sz="4" w:space="0" w:color="auto"/>
            </w:tcBorders>
            <w:hideMark/>
          </w:tcPr>
          <w:p w14:paraId="472F4DB9"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1. Evli bir kadının kocasına itaat etmesini gerektiren herhangi bir yasal hüküm yok mu?</w:t>
            </w:r>
          </w:p>
        </w:tc>
      </w:tr>
      <w:tr w:rsidR="00FA6C5D" w:rsidRPr="00164238" w14:paraId="192B1F2D" w14:textId="77777777" w:rsidTr="00FA6C5D">
        <w:trPr>
          <w:trHeight w:val="27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3C820F1" w14:textId="77777777" w:rsidR="00FA6C5D" w:rsidRPr="00164238" w:rsidRDefault="00FA6C5D">
            <w:pPr>
              <w:rPr>
                <w:rFonts w:ascii="Times New Roman" w:hAnsi="Times New Roman" w:cs="Times New Roman"/>
                <w:color w:val="000000" w:themeColor="text1"/>
                <w:lang w:val="en-US"/>
              </w:rPr>
            </w:pPr>
          </w:p>
        </w:tc>
        <w:tc>
          <w:tcPr>
            <w:tcW w:w="7875" w:type="dxa"/>
            <w:tcBorders>
              <w:top w:val="single" w:sz="4" w:space="0" w:color="auto"/>
              <w:left w:val="single" w:sz="4" w:space="0" w:color="auto"/>
              <w:bottom w:val="single" w:sz="4" w:space="0" w:color="auto"/>
              <w:right w:val="single" w:sz="4" w:space="0" w:color="auto"/>
            </w:tcBorders>
            <w:hideMark/>
          </w:tcPr>
          <w:p w14:paraId="6FA49D15"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2. Bir kadın, bir erkekle aynı şekilde hane reisi olabilir mi?</w:t>
            </w:r>
          </w:p>
        </w:tc>
      </w:tr>
      <w:tr w:rsidR="00FA6C5D" w:rsidRPr="00164238" w14:paraId="5169E72A" w14:textId="77777777" w:rsidTr="00FA6C5D">
        <w:trPr>
          <w:trHeight w:val="28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657AE3B" w14:textId="77777777" w:rsidR="00FA6C5D" w:rsidRPr="00164238" w:rsidRDefault="00FA6C5D">
            <w:pPr>
              <w:rPr>
                <w:rFonts w:ascii="Times New Roman" w:hAnsi="Times New Roman" w:cs="Times New Roman"/>
                <w:color w:val="000000" w:themeColor="text1"/>
                <w:lang w:val="en-US"/>
              </w:rPr>
            </w:pPr>
          </w:p>
        </w:tc>
        <w:tc>
          <w:tcPr>
            <w:tcW w:w="7875" w:type="dxa"/>
            <w:tcBorders>
              <w:top w:val="single" w:sz="4" w:space="0" w:color="auto"/>
              <w:left w:val="single" w:sz="4" w:space="0" w:color="auto"/>
              <w:bottom w:val="single" w:sz="4" w:space="0" w:color="auto"/>
              <w:right w:val="single" w:sz="4" w:space="0" w:color="auto"/>
            </w:tcBorders>
            <w:hideMark/>
          </w:tcPr>
          <w:p w14:paraId="0CC3DFB5"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3. Özellikle aile içi şiddeti ele alan mevzuat var mı?</w:t>
            </w:r>
          </w:p>
        </w:tc>
      </w:tr>
      <w:tr w:rsidR="00FA6C5D" w:rsidRPr="00164238" w14:paraId="5C9C5094" w14:textId="77777777" w:rsidTr="00FA6C5D">
        <w:trPr>
          <w:trHeight w:val="28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6D609E0" w14:textId="77777777" w:rsidR="00FA6C5D" w:rsidRPr="00164238" w:rsidRDefault="00FA6C5D">
            <w:pPr>
              <w:rPr>
                <w:rFonts w:ascii="Times New Roman" w:hAnsi="Times New Roman" w:cs="Times New Roman"/>
                <w:color w:val="000000" w:themeColor="text1"/>
                <w:lang w:val="en-US"/>
              </w:rPr>
            </w:pPr>
          </w:p>
        </w:tc>
        <w:tc>
          <w:tcPr>
            <w:tcW w:w="7875" w:type="dxa"/>
            <w:tcBorders>
              <w:top w:val="single" w:sz="4" w:space="0" w:color="auto"/>
              <w:left w:val="single" w:sz="4" w:space="0" w:color="auto"/>
              <w:bottom w:val="single" w:sz="4" w:space="0" w:color="auto"/>
              <w:right w:val="single" w:sz="4" w:space="0" w:color="auto"/>
            </w:tcBorders>
            <w:hideMark/>
          </w:tcPr>
          <w:p w14:paraId="3C45CB7D"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4. Bir kadın, bir erkekle aynı şekilde boşanma kararı alabilir mi?</w:t>
            </w:r>
          </w:p>
        </w:tc>
      </w:tr>
      <w:tr w:rsidR="00FA6C5D" w:rsidRPr="00164238" w14:paraId="163186EB" w14:textId="77777777" w:rsidTr="00FA6C5D">
        <w:trPr>
          <w:trHeight w:val="27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3CC1342" w14:textId="77777777" w:rsidR="00FA6C5D" w:rsidRPr="00164238" w:rsidRDefault="00FA6C5D">
            <w:pPr>
              <w:rPr>
                <w:rFonts w:ascii="Times New Roman" w:hAnsi="Times New Roman" w:cs="Times New Roman"/>
                <w:color w:val="000000" w:themeColor="text1"/>
                <w:lang w:val="en-US"/>
              </w:rPr>
            </w:pPr>
          </w:p>
        </w:tc>
        <w:tc>
          <w:tcPr>
            <w:tcW w:w="7875" w:type="dxa"/>
            <w:tcBorders>
              <w:top w:val="single" w:sz="4" w:space="0" w:color="auto"/>
              <w:left w:val="single" w:sz="4" w:space="0" w:color="auto"/>
              <w:bottom w:val="single" w:sz="4" w:space="0" w:color="auto"/>
              <w:right w:val="single" w:sz="4" w:space="0" w:color="auto"/>
            </w:tcBorders>
            <w:hideMark/>
          </w:tcPr>
          <w:p w14:paraId="770BAE7A"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5. Bir kadın, bir erkekle yeniden evlenmek için aynı haklara sahip midir?</w:t>
            </w:r>
          </w:p>
        </w:tc>
      </w:tr>
      <w:tr w:rsidR="00FA6C5D" w:rsidRPr="00164238" w14:paraId="6018E4D1" w14:textId="77777777" w:rsidTr="00FA6C5D">
        <w:trPr>
          <w:trHeight w:val="270"/>
        </w:trPr>
        <w:tc>
          <w:tcPr>
            <w:tcW w:w="1230" w:type="dxa"/>
            <w:vMerge w:val="restart"/>
            <w:tcBorders>
              <w:top w:val="single" w:sz="4" w:space="0" w:color="auto"/>
              <w:left w:val="single" w:sz="4" w:space="0" w:color="auto"/>
              <w:bottom w:val="single" w:sz="4" w:space="0" w:color="auto"/>
              <w:right w:val="single" w:sz="4" w:space="0" w:color="auto"/>
            </w:tcBorders>
            <w:vAlign w:val="center"/>
            <w:hideMark/>
          </w:tcPr>
          <w:p w14:paraId="05119DF2"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Ebeveynlik</w:t>
            </w:r>
          </w:p>
        </w:tc>
        <w:tc>
          <w:tcPr>
            <w:tcW w:w="7875" w:type="dxa"/>
            <w:tcBorders>
              <w:top w:val="single" w:sz="4" w:space="0" w:color="auto"/>
              <w:left w:val="single" w:sz="4" w:space="0" w:color="auto"/>
              <w:bottom w:val="single" w:sz="4" w:space="0" w:color="auto"/>
              <w:right w:val="single" w:sz="4" w:space="0" w:color="auto"/>
            </w:tcBorders>
            <w:hideMark/>
          </w:tcPr>
          <w:p w14:paraId="0FE505B7"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1. Annelere en az 14 haftalık ücretli izin var mı?</w:t>
            </w:r>
          </w:p>
        </w:tc>
      </w:tr>
      <w:tr w:rsidR="00FA6C5D" w:rsidRPr="00164238" w14:paraId="328D978A" w14:textId="77777777" w:rsidTr="00FA6C5D">
        <w:trPr>
          <w:trHeight w:val="25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60F0DA1" w14:textId="77777777" w:rsidR="00FA6C5D" w:rsidRPr="00164238" w:rsidRDefault="00FA6C5D">
            <w:pPr>
              <w:rPr>
                <w:rFonts w:ascii="Times New Roman" w:hAnsi="Times New Roman" w:cs="Times New Roman"/>
                <w:color w:val="000000" w:themeColor="text1"/>
                <w:lang w:val="en-US"/>
              </w:rPr>
            </w:pPr>
          </w:p>
        </w:tc>
        <w:tc>
          <w:tcPr>
            <w:tcW w:w="7875" w:type="dxa"/>
            <w:tcBorders>
              <w:top w:val="single" w:sz="4" w:space="0" w:color="auto"/>
              <w:left w:val="single" w:sz="4" w:space="0" w:color="auto"/>
              <w:bottom w:val="single" w:sz="4" w:space="0" w:color="auto"/>
              <w:right w:val="single" w:sz="4" w:space="0" w:color="auto"/>
            </w:tcBorders>
            <w:hideMark/>
          </w:tcPr>
          <w:p w14:paraId="7A8A9BF2"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2. Doğum izni yardımlarının% 100'ünü devlet yönetiyor mu?</w:t>
            </w:r>
          </w:p>
        </w:tc>
      </w:tr>
      <w:tr w:rsidR="00FA6C5D" w:rsidRPr="00164238" w14:paraId="36BDDB15" w14:textId="77777777" w:rsidTr="00FA6C5D">
        <w:trPr>
          <w:trHeight w:val="27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CFB5016" w14:textId="77777777" w:rsidR="00FA6C5D" w:rsidRPr="00164238" w:rsidRDefault="00FA6C5D">
            <w:pPr>
              <w:rPr>
                <w:rFonts w:ascii="Times New Roman" w:hAnsi="Times New Roman" w:cs="Times New Roman"/>
                <w:color w:val="000000" w:themeColor="text1"/>
                <w:lang w:val="en-US"/>
              </w:rPr>
            </w:pPr>
          </w:p>
        </w:tc>
        <w:tc>
          <w:tcPr>
            <w:tcW w:w="7875" w:type="dxa"/>
            <w:tcBorders>
              <w:top w:val="single" w:sz="4" w:space="0" w:color="auto"/>
              <w:left w:val="single" w:sz="4" w:space="0" w:color="auto"/>
              <w:bottom w:val="single" w:sz="4" w:space="0" w:color="auto"/>
              <w:right w:val="single" w:sz="4" w:space="0" w:color="auto"/>
            </w:tcBorders>
            <w:hideMark/>
          </w:tcPr>
          <w:p w14:paraId="503C5CB8"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3. Babalara ücretli izin var mı?</w:t>
            </w:r>
          </w:p>
        </w:tc>
      </w:tr>
      <w:tr w:rsidR="00FA6C5D" w:rsidRPr="00164238" w14:paraId="6EF23581" w14:textId="77777777" w:rsidTr="00FA6C5D">
        <w:trPr>
          <w:trHeight w:val="25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C8A7F1C" w14:textId="77777777" w:rsidR="00FA6C5D" w:rsidRPr="00164238" w:rsidRDefault="00FA6C5D">
            <w:pPr>
              <w:rPr>
                <w:rFonts w:ascii="Times New Roman" w:hAnsi="Times New Roman" w:cs="Times New Roman"/>
                <w:color w:val="000000" w:themeColor="text1"/>
                <w:lang w:val="en-US"/>
              </w:rPr>
            </w:pPr>
          </w:p>
        </w:tc>
        <w:tc>
          <w:tcPr>
            <w:tcW w:w="7875" w:type="dxa"/>
            <w:tcBorders>
              <w:top w:val="single" w:sz="4" w:space="0" w:color="auto"/>
              <w:left w:val="single" w:sz="4" w:space="0" w:color="auto"/>
              <w:bottom w:val="single" w:sz="4" w:space="0" w:color="auto"/>
              <w:right w:val="single" w:sz="4" w:space="0" w:color="auto"/>
            </w:tcBorders>
            <w:hideMark/>
          </w:tcPr>
          <w:p w14:paraId="583B1DC7"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4. Ücretli ebeveyn izni var mı?</w:t>
            </w:r>
          </w:p>
        </w:tc>
      </w:tr>
      <w:tr w:rsidR="00FA6C5D" w:rsidRPr="00164238" w14:paraId="2DF14626" w14:textId="77777777" w:rsidTr="00FA6C5D">
        <w:trPr>
          <w:trHeight w:val="27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CFB8A60" w14:textId="77777777" w:rsidR="00FA6C5D" w:rsidRPr="00164238" w:rsidRDefault="00FA6C5D">
            <w:pPr>
              <w:rPr>
                <w:rFonts w:ascii="Times New Roman" w:hAnsi="Times New Roman" w:cs="Times New Roman"/>
                <w:color w:val="000000" w:themeColor="text1"/>
                <w:lang w:val="en-US"/>
              </w:rPr>
            </w:pPr>
          </w:p>
        </w:tc>
        <w:tc>
          <w:tcPr>
            <w:tcW w:w="7875" w:type="dxa"/>
            <w:tcBorders>
              <w:top w:val="single" w:sz="4" w:space="0" w:color="auto"/>
              <w:left w:val="single" w:sz="4" w:space="0" w:color="auto"/>
              <w:bottom w:val="single" w:sz="4" w:space="0" w:color="auto"/>
              <w:right w:val="single" w:sz="4" w:space="0" w:color="auto"/>
            </w:tcBorders>
            <w:hideMark/>
          </w:tcPr>
          <w:p w14:paraId="38F87019"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5. Hamile işçilerin işten çıkarılması yasak mı?</w:t>
            </w:r>
          </w:p>
        </w:tc>
      </w:tr>
      <w:tr w:rsidR="00FA6C5D" w:rsidRPr="00164238" w14:paraId="6D5870B4" w14:textId="77777777" w:rsidTr="00FA6C5D">
        <w:trPr>
          <w:trHeight w:val="270"/>
        </w:trPr>
        <w:tc>
          <w:tcPr>
            <w:tcW w:w="1230" w:type="dxa"/>
            <w:vMerge w:val="restart"/>
            <w:tcBorders>
              <w:top w:val="single" w:sz="4" w:space="0" w:color="auto"/>
              <w:left w:val="single" w:sz="4" w:space="0" w:color="auto"/>
              <w:bottom w:val="single" w:sz="4" w:space="0" w:color="auto"/>
              <w:right w:val="single" w:sz="4" w:space="0" w:color="auto"/>
            </w:tcBorders>
            <w:vAlign w:val="center"/>
            <w:hideMark/>
          </w:tcPr>
          <w:p w14:paraId="1C1CFC32"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Girişimcilik</w:t>
            </w:r>
          </w:p>
        </w:tc>
        <w:tc>
          <w:tcPr>
            <w:tcW w:w="7875" w:type="dxa"/>
            <w:tcBorders>
              <w:top w:val="single" w:sz="4" w:space="0" w:color="auto"/>
              <w:left w:val="single" w:sz="4" w:space="0" w:color="auto"/>
              <w:bottom w:val="single" w:sz="4" w:space="0" w:color="auto"/>
              <w:right w:val="single" w:sz="4" w:space="0" w:color="auto"/>
            </w:tcBorders>
            <w:hideMark/>
          </w:tcPr>
          <w:p w14:paraId="1F03BC38"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1. Kanun cinsiyete dayalı krediye erişimde ayrımcılığı yasaklıyor mu?</w:t>
            </w:r>
          </w:p>
        </w:tc>
      </w:tr>
      <w:tr w:rsidR="00FA6C5D" w:rsidRPr="00164238" w14:paraId="5C44E164" w14:textId="77777777" w:rsidTr="00FA6C5D">
        <w:trPr>
          <w:trHeight w:val="25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4E8AAB7" w14:textId="77777777" w:rsidR="00FA6C5D" w:rsidRPr="00164238" w:rsidRDefault="00FA6C5D">
            <w:pPr>
              <w:rPr>
                <w:rFonts w:ascii="Times New Roman" w:hAnsi="Times New Roman" w:cs="Times New Roman"/>
                <w:color w:val="000000" w:themeColor="text1"/>
                <w:lang w:val="en-US"/>
              </w:rPr>
            </w:pPr>
          </w:p>
        </w:tc>
        <w:tc>
          <w:tcPr>
            <w:tcW w:w="7875" w:type="dxa"/>
            <w:tcBorders>
              <w:top w:val="single" w:sz="4" w:space="0" w:color="auto"/>
              <w:left w:val="single" w:sz="4" w:space="0" w:color="auto"/>
              <w:bottom w:val="single" w:sz="4" w:space="0" w:color="auto"/>
              <w:right w:val="single" w:sz="4" w:space="0" w:color="auto"/>
            </w:tcBorders>
            <w:hideMark/>
          </w:tcPr>
          <w:p w14:paraId="1CEA1C1A"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2. Bir kadın, bir erkekle aynı şekilde bir sözleşme imzalayabilir mi?</w:t>
            </w:r>
          </w:p>
        </w:tc>
      </w:tr>
      <w:tr w:rsidR="00FA6C5D" w:rsidRPr="00164238" w14:paraId="21288143" w14:textId="77777777" w:rsidTr="00FA6C5D">
        <w:trPr>
          <w:trHeight w:val="27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987B243" w14:textId="77777777" w:rsidR="00FA6C5D" w:rsidRPr="00164238" w:rsidRDefault="00FA6C5D">
            <w:pPr>
              <w:rPr>
                <w:rFonts w:ascii="Times New Roman" w:hAnsi="Times New Roman" w:cs="Times New Roman"/>
                <w:color w:val="000000" w:themeColor="text1"/>
                <w:lang w:val="en-US"/>
              </w:rPr>
            </w:pPr>
          </w:p>
        </w:tc>
        <w:tc>
          <w:tcPr>
            <w:tcW w:w="7875" w:type="dxa"/>
            <w:tcBorders>
              <w:top w:val="single" w:sz="4" w:space="0" w:color="auto"/>
              <w:left w:val="single" w:sz="4" w:space="0" w:color="auto"/>
              <w:bottom w:val="single" w:sz="4" w:space="0" w:color="auto"/>
              <w:right w:val="single" w:sz="4" w:space="0" w:color="auto"/>
            </w:tcBorders>
            <w:hideMark/>
          </w:tcPr>
          <w:p w14:paraId="45CE949F"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3. Bir kadın, bir erkekle aynı şekilde bir işletmeyi kaydettirebilir mi?</w:t>
            </w:r>
          </w:p>
        </w:tc>
      </w:tr>
      <w:tr w:rsidR="00FA6C5D" w:rsidRPr="00164238" w14:paraId="1FF33DFD" w14:textId="77777777" w:rsidTr="00FA6C5D">
        <w:trPr>
          <w:trHeight w:val="25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9F3B797" w14:textId="77777777" w:rsidR="00FA6C5D" w:rsidRPr="00164238" w:rsidRDefault="00FA6C5D">
            <w:pPr>
              <w:rPr>
                <w:rFonts w:ascii="Times New Roman" w:hAnsi="Times New Roman" w:cs="Times New Roman"/>
                <w:color w:val="000000" w:themeColor="text1"/>
                <w:lang w:val="en-US"/>
              </w:rPr>
            </w:pPr>
          </w:p>
        </w:tc>
        <w:tc>
          <w:tcPr>
            <w:tcW w:w="7875" w:type="dxa"/>
            <w:tcBorders>
              <w:top w:val="single" w:sz="4" w:space="0" w:color="auto"/>
              <w:left w:val="single" w:sz="4" w:space="0" w:color="auto"/>
              <w:bottom w:val="single" w:sz="4" w:space="0" w:color="auto"/>
              <w:right w:val="single" w:sz="4" w:space="0" w:color="auto"/>
            </w:tcBorders>
            <w:hideMark/>
          </w:tcPr>
          <w:p w14:paraId="05D6E3F1"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4. Bir kadın, bir erkek gibi bir banka hesabı açabilir mi?</w:t>
            </w:r>
          </w:p>
        </w:tc>
      </w:tr>
      <w:tr w:rsidR="00FA6C5D" w:rsidRPr="00164238" w14:paraId="7E062090" w14:textId="77777777" w:rsidTr="00FA6C5D">
        <w:trPr>
          <w:trHeight w:val="270"/>
        </w:trPr>
        <w:tc>
          <w:tcPr>
            <w:tcW w:w="1230" w:type="dxa"/>
            <w:vMerge w:val="restart"/>
            <w:tcBorders>
              <w:top w:val="single" w:sz="4" w:space="0" w:color="auto"/>
              <w:left w:val="single" w:sz="4" w:space="0" w:color="auto"/>
              <w:bottom w:val="single" w:sz="4" w:space="0" w:color="auto"/>
              <w:right w:val="single" w:sz="4" w:space="0" w:color="auto"/>
            </w:tcBorders>
            <w:vAlign w:val="center"/>
            <w:hideMark/>
          </w:tcPr>
          <w:p w14:paraId="519DD78B"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 xml:space="preserve">Varlıklar </w:t>
            </w:r>
          </w:p>
        </w:tc>
        <w:tc>
          <w:tcPr>
            <w:tcW w:w="7875" w:type="dxa"/>
            <w:tcBorders>
              <w:top w:val="single" w:sz="4" w:space="0" w:color="auto"/>
              <w:left w:val="single" w:sz="4" w:space="0" w:color="auto"/>
              <w:bottom w:val="single" w:sz="4" w:space="0" w:color="auto"/>
              <w:right w:val="single" w:sz="4" w:space="0" w:color="auto"/>
            </w:tcBorders>
            <w:hideMark/>
          </w:tcPr>
          <w:p w14:paraId="2F62D806"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1. Erkeklerin ve kadınların taşınmaz mallar üzerinde eşit mülkiyet hakları var mı?</w:t>
            </w:r>
          </w:p>
        </w:tc>
      </w:tr>
      <w:tr w:rsidR="00FA6C5D" w:rsidRPr="00164238" w14:paraId="07E40C1B" w14:textId="77777777" w:rsidTr="00FA6C5D">
        <w:trPr>
          <w:trHeight w:val="25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C1C31F8" w14:textId="77777777" w:rsidR="00FA6C5D" w:rsidRPr="00164238" w:rsidRDefault="00FA6C5D">
            <w:pPr>
              <w:rPr>
                <w:rFonts w:ascii="Times New Roman" w:hAnsi="Times New Roman" w:cs="Times New Roman"/>
                <w:color w:val="000000" w:themeColor="text1"/>
                <w:lang w:val="en-US"/>
              </w:rPr>
            </w:pPr>
          </w:p>
        </w:tc>
        <w:tc>
          <w:tcPr>
            <w:tcW w:w="7875" w:type="dxa"/>
            <w:tcBorders>
              <w:top w:val="single" w:sz="4" w:space="0" w:color="auto"/>
              <w:left w:val="single" w:sz="4" w:space="0" w:color="auto"/>
              <w:bottom w:val="single" w:sz="4" w:space="0" w:color="auto"/>
              <w:right w:val="single" w:sz="4" w:space="0" w:color="auto"/>
            </w:tcBorders>
            <w:hideMark/>
          </w:tcPr>
          <w:p w14:paraId="70B5C218"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2. Oğullar ve kızların varlıkları ebeveynlerinden devralma konusunda eşit hakları var mı?</w:t>
            </w:r>
          </w:p>
        </w:tc>
      </w:tr>
      <w:tr w:rsidR="00FA6C5D" w:rsidRPr="00164238" w14:paraId="28CD77C2" w14:textId="77777777" w:rsidTr="00FA6C5D">
        <w:trPr>
          <w:trHeight w:val="27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2B1252D" w14:textId="77777777" w:rsidR="00FA6C5D" w:rsidRPr="00164238" w:rsidRDefault="00FA6C5D">
            <w:pPr>
              <w:rPr>
                <w:rFonts w:ascii="Times New Roman" w:hAnsi="Times New Roman" w:cs="Times New Roman"/>
                <w:color w:val="000000" w:themeColor="text1"/>
                <w:lang w:val="en-US"/>
              </w:rPr>
            </w:pPr>
          </w:p>
        </w:tc>
        <w:tc>
          <w:tcPr>
            <w:tcW w:w="7875" w:type="dxa"/>
            <w:tcBorders>
              <w:top w:val="single" w:sz="4" w:space="0" w:color="auto"/>
              <w:left w:val="single" w:sz="4" w:space="0" w:color="auto"/>
              <w:bottom w:val="single" w:sz="4" w:space="0" w:color="auto"/>
              <w:right w:val="single" w:sz="4" w:space="0" w:color="auto"/>
            </w:tcBorders>
            <w:hideMark/>
          </w:tcPr>
          <w:p w14:paraId="70EC001E"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3. Hayatta kalan kadın ve erkek eşlerin varlıkları miras alma konusunda eşit hakları var mı?</w:t>
            </w:r>
          </w:p>
        </w:tc>
      </w:tr>
      <w:tr w:rsidR="00FA6C5D" w:rsidRPr="00164238" w14:paraId="52FABD20" w14:textId="77777777" w:rsidTr="00FA6C5D">
        <w:trPr>
          <w:trHeight w:val="27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D7826DD" w14:textId="77777777" w:rsidR="00FA6C5D" w:rsidRPr="00164238" w:rsidRDefault="00FA6C5D">
            <w:pPr>
              <w:rPr>
                <w:rFonts w:ascii="Times New Roman" w:hAnsi="Times New Roman" w:cs="Times New Roman"/>
                <w:color w:val="000000" w:themeColor="text1"/>
                <w:lang w:val="en-US"/>
              </w:rPr>
            </w:pPr>
          </w:p>
        </w:tc>
        <w:tc>
          <w:tcPr>
            <w:tcW w:w="7875" w:type="dxa"/>
            <w:tcBorders>
              <w:top w:val="single" w:sz="4" w:space="0" w:color="auto"/>
              <w:left w:val="single" w:sz="4" w:space="0" w:color="auto"/>
              <w:bottom w:val="single" w:sz="4" w:space="0" w:color="auto"/>
              <w:right w:val="single" w:sz="4" w:space="0" w:color="auto"/>
            </w:tcBorders>
            <w:hideMark/>
          </w:tcPr>
          <w:p w14:paraId="3577E0E0"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4. Yasa, evlilik sırasındaki varlıklar üzerinde eşlere eşit idari yetki veriyor mu?</w:t>
            </w:r>
          </w:p>
        </w:tc>
      </w:tr>
      <w:tr w:rsidR="00FA6C5D" w:rsidRPr="00164238" w14:paraId="0A2045A2" w14:textId="77777777" w:rsidTr="00FA6C5D">
        <w:trPr>
          <w:trHeight w:val="25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83666F6" w14:textId="77777777" w:rsidR="00FA6C5D" w:rsidRPr="00164238" w:rsidRDefault="00FA6C5D">
            <w:pPr>
              <w:rPr>
                <w:rFonts w:ascii="Times New Roman" w:hAnsi="Times New Roman" w:cs="Times New Roman"/>
                <w:color w:val="000000" w:themeColor="text1"/>
                <w:lang w:val="en-US"/>
              </w:rPr>
            </w:pPr>
          </w:p>
        </w:tc>
        <w:tc>
          <w:tcPr>
            <w:tcW w:w="7875" w:type="dxa"/>
            <w:tcBorders>
              <w:top w:val="single" w:sz="4" w:space="0" w:color="auto"/>
              <w:left w:val="single" w:sz="4" w:space="0" w:color="auto"/>
              <w:bottom w:val="single" w:sz="4" w:space="0" w:color="auto"/>
              <w:right w:val="single" w:sz="4" w:space="0" w:color="auto"/>
            </w:tcBorders>
            <w:hideMark/>
          </w:tcPr>
          <w:p w14:paraId="5A18F29D"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5. Yasa, parasal olmayan katkıların değerlendirilmesini sağlıyor mu?</w:t>
            </w:r>
          </w:p>
        </w:tc>
      </w:tr>
      <w:tr w:rsidR="00FA6C5D" w:rsidRPr="00164238" w14:paraId="130FC3C9" w14:textId="77777777" w:rsidTr="00FA6C5D">
        <w:trPr>
          <w:trHeight w:val="270"/>
        </w:trPr>
        <w:tc>
          <w:tcPr>
            <w:tcW w:w="1230" w:type="dxa"/>
            <w:vMerge w:val="restart"/>
            <w:tcBorders>
              <w:top w:val="single" w:sz="4" w:space="0" w:color="auto"/>
              <w:left w:val="single" w:sz="4" w:space="0" w:color="auto"/>
              <w:bottom w:val="single" w:sz="4" w:space="0" w:color="auto"/>
              <w:right w:val="single" w:sz="4" w:space="0" w:color="auto"/>
            </w:tcBorders>
            <w:vAlign w:val="center"/>
            <w:hideMark/>
          </w:tcPr>
          <w:p w14:paraId="131C0E1A"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Emeklilik</w:t>
            </w:r>
          </w:p>
        </w:tc>
        <w:tc>
          <w:tcPr>
            <w:tcW w:w="7875" w:type="dxa"/>
            <w:tcBorders>
              <w:top w:val="single" w:sz="4" w:space="0" w:color="auto"/>
              <w:left w:val="single" w:sz="4" w:space="0" w:color="auto"/>
              <w:bottom w:val="single" w:sz="4" w:space="0" w:color="auto"/>
              <w:right w:val="single" w:sz="4" w:space="0" w:color="auto"/>
            </w:tcBorders>
            <w:hideMark/>
          </w:tcPr>
          <w:p w14:paraId="3655C267"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1. Erkeklerin ve kadınların tam emeklilik ödeneği ile emekli olabileceği yaş aynı mıdır?</w:t>
            </w:r>
          </w:p>
        </w:tc>
      </w:tr>
      <w:tr w:rsidR="00FA6C5D" w:rsidRPr="00164238" w14:paraId="2483CD50" w14:textId="77777777" w:rsidTr="00FA6C5D">
        <w:trPr>
          <w:trHeight w:val="25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ED6ABBE" w14:textId="77777777" w:rsidR="00FA6C5D" w:rsidRPr="00164238" w:rsidRDefault="00FA6C5D">
            <w:pPr>
              <w:rPr>
                <w:rFonts w:ascii="Times New Roman" w:hAnsi="Times New Roman" w:cs="Times New Roman"/>
                <w:color w:val="000000" w:themeColor="text1"/>
                <w:lang w:val="en-US"/>
              </w:rPr>
            </w:pPr>
          </w:p>
        </w:tc>
        <w:tc>
          <w:tcPr>
            <w:tcW w:w="7875" w:type="dxa"/>
            <w:tcBorders>
              <w:top w:val="single" w:sz="4" w:space="0" w:color="auto"/>
              <w:left w:val="single" w:sz="4" w:space="0" w:color="auto"/>
              <w:bottom w:val="single" w:sz="4" w:space="0" w:color="auto"/>
              <w:right w:val="single" w:sz="4" w:space="0" w:color="auto"/>
            </w:tcBorders>
            <w:hideMark/>
          </w:tcPr>
          <w:p w14:paraId="6C877AED"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2. Erkeklerin ve kadınların kısmi emeklilik ödeneği ile emekli olabileceği yaş aynı mıdır?</w:t>
            </w:r>
          </w:p>
        </w:tc>
      </w:tr>
      <w:tr w:rsidR="00FA6C5D" w:rsidRPr="00164238" w14:paraId="2C2464D0" w14:textId="77777777" w:rsidTr="00FA6C5D">
        <w:trPr>
          <w:trHeight w:val="25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F68293C" w14:textId="77777777" w:rsidR="00FA6C5D" w:rsidRPr="00164238" w:rsidRDefault="00FA6C5D">
            <w:pPr>
              <w:rPr>
                <w:rFonts w:ascii="Times New Roman" w:hAnsi="Times New Roman" w:cs="Times New Roman"/>
                <w:color w:val="000000" w:themeColor="text1"/>
                <w:lang w:val="en-US"/>
              </w:rPr>
            </w:pPr>
          </w:p>
        </w:tc>
        <w:tc>
          <w:tcPr>
            <w:tcW w:w="7875" w:type="dxa"/>
            <w:tcBorders>
              <w:top w:val="single" w:sz="4" w:space="0" w:color="auto"/>
              <w:left w:val="single" w:sz="4" w:space="0" w:color="auto"/>
              <w:bottom w:val="single" w:sz="4" w:space="0" w:color="auto"/>
              <w:right w:val="single" w:sz="4" w:space="0" w:color="auto"/>
            </w:tcBorders>
            <w:hideMark/>
          </w:tcPr>
          <w:p w14:paraId="0A02E553"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3. Zorunlu emeklilik yaşı erkekler ve kadınlar için aynı mıdır?</w:t>
            </w:r>
          </w:p>
        </w:tc>
      </w:tr>
      <w:tr w:rsidR="00FA6C5D" w:rsidRPr="00164238" w14:paraId="2A17568B" w14:textId="77777777" w:rsidTr="00FA6C5D">
        <w:trPr>
          <w:trHeight w:val="25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B3C5A3B" w14:textId="77777777" w:rsidR="00FA6C5D" w:rsidRPr="00164238" w:rsidRDefault="00FA6C5D">
            <w:pPr>
              <w:rPr>
                <w:rFonts w:ascii="Times New Roman" w:hAnsi="Times New Roman" w:cs="Times New Roman"/>
                <w:color w:val="000000" w:themeColor="text1"/>
                <w:lang w:val="en-US"/>
              </w:rPr>
            </w:pPr>
          </w:p>
        </w:tc>
        <w:tc>
          <w:tcPr>
            <w:tcW w:w="7875" w:type="dxa"/>
            <w:tcBorders>
              <w:top w:val="single" w:sz="4" w:space="0" w:color="auto"/>
              <w:left w:val="single" w:sz="4" w:space="0" w:color="auto"/>
              <w:bottom w:val="single" w:sz="4" w:space="0" w:color="auto"/>
              <w:right w:val="single" w:sz="4" w:space="0" w:color="auto"/>
            </w:tcBorders>
            <w:hideMark/>
          </w:tcPr>
          <w:p w14:paraId="255E34AB"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4. Çocuk bakımı nedeniyle devamsızlık süreleri, emeklilik yardımlarında hesaba katılıyor mu?</w:t>
            </w:r>
          </w:p>
        </w:tc>
      </w:tr>
    </w:tbl>
    <w:p w14:paraId="5C5FE4D7" w14:textId="77777777" w:rsidR="00FA6C5D" w:rsidRPr="00164238" w:rsidRDefault="00FA6C5D" w:rsidP="00FA6C5D">
      <w:pPr>
        <w:jc w:val="both"/>
        <w:rPr>
          <w:rFonts w:ascii="Times New Roman" w:hAnsi="Times New Roman" w:cs="Times New Roman"/>
          <w:color w:val="000000" w:themeColor="text1"/>
          <w:sz w:val="20"/>
          <w:szCs w:val="20"/>
          <w:lang w:val="en-US" w:eastAsia="tr-TR"/>
        </w:rPr>
      </w:pPr>
      <w:r w:rsidRPr="00164238">
        <w:rPr>
          <w:rFonts w:ascii="Times New Roman" w:hAnsi="Times New Roman" w:cs="Times New Roman"/>
          <w:color w:val="000000" w:themeColor="text1"/>
          <w:lang w:eastAsia="tr-TR"/>
        </w:rPr>
        <w:t>Kaynak: WBL, 2021:4’den yararlanılarak hazırlanmıştır.</w:t>
      </w:r>
    </w:p>
    <w:p w14:paraId="65DAFDD8" w14:textId="77777777" w:rsidR="00FA6C5D" w:rsidRPr="00164238" w:rsidRDefault="00FA6C5D" w:rsidP="00FA6C5D">
      <w:pPr>
        <w:jc w:val="both"/>
        <w:rPr>
          <w:rFonts w:ascii="Times New Roman" w:hAnsi="Times New Roman" w:cs="Times New Roman"/>
          <w:color w:val="000000" w:themeColor="text1"/>
          <w:lang w:eastAsia="tr-TR"/>
        </w:rPr>
      </w:pPr>
    </w:p>
    <w:p w14:paraId="1D493D55" w14:textId="77777777" w:rsidR="00FA6C5D" w:rsidRPr="00164238" w:rsidRDefault="00FA6C5D" w:rsidP="00FA6C5D">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 xml:space="preserve">Kadının ekonomideki yeri ve eşitlik ile ilgili bir diğer indeks ise Dünya Ekonomik Forumu tarafından yapılan Küresel Cinsiyet Uçurumu İndeksidir. Bu indekste her gösterge 0-1 arası puanlanmakta ve değer 1’e yaklaştıkça uçurum azalırken, 0’a yaklaştıkça artmaktadır. </w:t>
      </w:r>
    </w:p>
    <w:p w14:paraId="1DC2B501" w14:textId="77777777" w:rsidR="00FA6C5D" w:rsidRPr="00164238" w:rsidRDefault="00FA6C5D" w:rsidP="00FA6C5D">
      <w:pPr>
        <w:spacing w:before="120" w:after="120" w:line="276" w:lineRule="auto"/>
        <w:jc w:val="both"/>
        <w:rPr>
          <w:rFonts w:ascii="Times New Roman" w:hAnsi="Times New Roman" w:cs="Times New Roman"/>
          <w:color w:val="000000" w:themeColor="text1"/>
          <w:lang w:eastAsia="tr-TR"/>
        </w:rPr>
      </w:pPr>
      <w:r w:rsidRPr="00164238">
        <w:rPr>
          <w:rFonts w:ascii="Times New Roman" w:hAnsi="Times New Roman" w:cs="Times New Roman"/>
          <w:i/>
          <w:color w:val="000000" w:themeColor="text1"/>
          <w:lang w:eastAsia="tr-TR"/>
        </w:rPr>
        <w:t>Grafik 1.</w:t>
      </w:r>
      <w:r w:rsidRPr="00164238">
        <w:rPr>
          <w:rFonts w:ascii="Times New Roman" w:hAnsi="Times New Roman" w:cs="Times New Roman"/>
          <w:color w:val="000000" w:themeColor="text1"/>
          <w:lang w:eastAsia="tr-TR"/>
        </w:rPr>
        <w:t xml:space="preserve"> Küresel Cinsiyet Uçurumu İndeksi </w:t>
      </w:r>
    </w:p>
    <w:p w14:paraId="51A6BA02" w14:textId="330F068B" w:rsidR="00FA6C5D" w:rsidRPr="00164238" w:rsidRDefault="00FA6C5D" w:rsidP="00FA6C5D">
      <w:pPr>
        <w:spacing w:before="120" w:after="120" w:line="276" w:lineRule="auto"/>
        <w:jc w:val="both"/>
        <w:rPr>
          <w:rFonts w:ascii="Times New Roman" w:hAnsi="Times New Roman" w:cs="Times New Roman"/>
          <w:color w:val="000000" w:themeColor="text1"/>
          <w:lang w:eastAsia="tr-TR"/>
        </w:rPr>
      </w:pPr>
      <w:r w:rsidRPr="00164238">
        <w:rPr>
          <w:rFonts w:ascii="Times New Roman" w:hAnsi="Times New Roman" w:cs="Times New Roman"/>
          <w:noProof/>
          <w:color w:val="000000" w:themeColor="text1"/>
          <w:lang w:val="en-US"/>
        </w:rPr>
        <w:drawing>
          <wp:inline distT="0" distB="0" distL="0" distR="0" wp14:anchorId="0D4CFC1C" wp14:editId="1EB579D1">
            <wp:extent cx="5000625" cy="1819275"/>
            <wp:effectExtent l="0" t="0" r="9525" b="9525"/>
            <wp:docPr id="136" name="Grafik 1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6"/>
              </a:graphicData>
            </a:graphic>
          </wp:inline>
        </w:drawing>
      </w:r>
    </w:p>
    <w:p w14:paraId="043AC5FB" w14:textId="77777777" w:rsidR="00FA6C5D" w:rsidRPr="00164238" w:rsidRDefault="00FA6C5D" w:rsidP="00FA6C5D">
      <w:pPr>
        <w:jc w:val="both"/>
        <w:rPr>
          <w:rFonts w:ascii="Times New Roman" w:hAnsi="Times New Roman" w:cs="Times New Roman"/>
          <w:color w:val="000000" w:themeColor="text1"/>
        </w:rPr>
      </w:pPr>
      <w:r w:rsidRPr="00164238">
        <w:rPr>
          <w:rFonts w:ascii="Times New Roman" w:hAnsi="Times New Roman" w:cs="Times New Roman"/>
          <w:color w:val="000000" w:themeColor="text1"/>
          <w:lang w:eastAsia="tr-TR"/>
        </w:rPr>
        <w:t xml:space="preserve">Kaynak: </w:t>
      </w:r>
      <w:r w:rsidRPr="00164238">
        <w:rPr>
          <w:rFonts w:ascii="Times New Roman" w:hAnsi="Times New Roman" w:cs="Times New Roman"/>
          <w:color w:val="000000" w:themeColor="text1"/>
        </w:rPr>
        <w:t>Kaynak: GGGR, 2020:10’dan yararlanılarak hazırlanmıştır.</w:t>
      </w:r>
    </w:p>
    <w:p w14:paraId="5DC9ED32" w14:textId="77777777" w:rsidR="00FA6C5D" w:rsidRPr="00164238" w:rsidRDefault="00FA6C5D" w:rsidP="00FA6C5D">
      <w:pPr>
        <w:jc w:val="both"/>
        <w:rPr>
          <w:rFonts w:ascii="Times New Roman" w:hAnsi="Times New Roman" w:cs="Times New Roman"/>
          <w:color w:val="000000" w:themeColor="text1"/>
        </w:rPr>
      </w:pPr>
    </w:p>
    <w:p w14:paraId="269D8E27" w14:textId="59423898" w:rsidR="00FA6C5D" w:rsidRDefault="00FA6C5D" w:rsidP="00FA6C5D">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Küresel Cinsiyet Uçurumu İndeksine göre cinsiyet eşitsizliği %69 oranında kapatılmış olup, uçurumun fazla olduğu alanlar Ekonomik Katılım ve Fırsatlar ile Siyasi Yetkilendirmedir. </w:t>
      </w:r>
    </w:p>
    <w:p w14:paraId="5C8205B8" w14:textId="7567593F" w:rsidR="00856481" w:rsidRDefault="00856481" w:rsidP="00FA6C5D">
      <w:pPr>
        <w:spacing w:before="120" w:after="120" w:line="276" w:lineRule="auto"/>
        <w:ind w:firstLine="567"/>
        <w:jc w:val="both"/>
        <w:rPr>
          <w:rFonts w:ascii="Times New Roman" w:hAnsi="Times New Roman" w:cs="Times New Roman"/>
          <w:color w:val="000000" w:themeColor="text1"/>
        </w:rPr>
      </w:pPr>
    </w:p>
    <w:p w14:paraId="18D7B36F" w14:textId="374BB9E3" w:rsidR="00856481" w:rsidRDefault="00856481" w:rsidP="00FA6C5D">
      <w:pPr>
        <w:spacing w:before="120" w:after="120" w:line="276" w:lineRule="auto"/>
        <w:ind w:firstLine="567"/>
        <w:jc w:val="both"/>
        <w:rPr>
          <w:rFonts w:ascii="Times New Roman" w:hAnsi="Times New Roman" w:cs="Times New Roman"/>
          <w:color w:val="000000" w:themeColor="text1"/>
        </w:rPr>
      </w:pPr>
    </w:p>
    <w:p w14:paraId="6F270FDB" w14:textId="12130962" w:rsidR="00856481" w:rsidRDefault="00856481" w:rsidP="00FA6C5D">
      <w:pPr>
        <w:spacing w:before="120" w:after="120" w:line="276" w:lineRule="auto"/>
        <w:ind w:firstLine="567"/>
        <w:jc w:val="both"/>
        <w:rPr>
          <w:rFonts w:ascii="Times New Roman" w:hAnsi="Times New Roman" w:cs="Times New Roman"/>
          <w:color w:val="000000" w:themeColor="text1"/>
        </w:rPr>
      </w:pPr>
    </w:p>
    <w:p w14:paraId="7F5BB9FB" w14:textId="5508584F" w:rsidR="00856481" w:rsidRDefault="00856481" w:rsidP="00FA6C5D">
      <w:pPr>
        <w:spacing w:before="120" w:after="120" w:line="276" w:lineRule="auto"/>
        <w:ind w:firstLine="567"/>
        <w:jc w:val="both"/>
        <w:rPr>
          <w:rFonts w:ascii="Times New Roman" w:hAnsi="Times New Roman" w:cs="Times New Roman"/>
          <w:color w:val="000000" w:themeColor="text1"/>
        </w:rPr>
      </w:pPr>
    </w:p>
    <w:p w14:paraId="3C30A757" w14:textId="620B482E" w:rsidR="00856481" w:rsidRDefault="00856481" w:rsidP="00FA6C5D">
      <w:pPr>
        <w:spacing w:before="120" w:after="120" w:line="276" w:lineRule="auto"/>
        <w:ind w:firstLine="567"/>
        <w:jc w:val="both"/>
        <w:rPr>
          <w:rFonts w:ascii="Times New Roman" w:hAnsi="Times New Roman" w:cs="Times New Roman"/>
          <w:color w:val="000000" w:themeColor="text1"/>
        </w:rPr>
      </w:pPr>
    </w:p>
    <w:p w14:paraId="65DCFFCC" w14:textId="77777777" w:rsidR="00856481" w:rsidRPr="00164238" w:rsidRDefault="00856481" w:rsidP="00FA6C5D">
      <w:pPr>
        <w:spacing w:before="120" w:after="120" w:line="276" w:lineRule="auto"/>
        <w:ind w:firstLine="567"/>
        <w:jc w:val="both"/>
        <w:rPr>
          <w:rFonts w:ascii="Times New Roman" w:hAnsi="Times New Roman" w:cs="Times New Roman"/>
          <w:color w:val="000000" w:themeColor="text1"/>
        </w:rPr>
      </w:pPr>
    </w:p>
    <w:p w14:paraId="056332BB" w14:textId="77777777" w:rsidR="00FA6C5D" w:rsidRPr="00164238" w:rsidRDefault="00FA6C5D" w:rsidP="00FA6C5D">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i/>
          <w:color w:val="000000" w:themeColor="text1"/>
        </w:rPr>
        <w:lastRenderedPageBreak/>
        <w:t>Tablo 2.</w:t>
      </w:r>
      <w:r w:rsidRPr="00164238">
        <w:rPr>
          <w:rFonts w:ascii="Times New Roman" w:hAnsi="Times New Roman" w:cs="Times New Roman"/>
          <w:color w:val="000000" w:themeColor="text1"/>
        </w:rPr>
        <w:t xml:space="preserve"> </w:t>
      </w:r>
      <w:r w:rsidRPr="00164238">
        <w:rPr>
          <w:rFonts w:ascii="Times New Roman" w:hAnsi="Times New Roman" w:cs="Times New Roman"/>
          <w:color w:val="000000" w:themeColor="text1"/>
          <w:lang w:eastAsia="tr-TR"/>
        </w:rPr>
        <w:t>Küresel Cinsiyet Uçurumu İndeksi</w:t>
      </w:r>
    </w:p>
    <w:tbl>
      <w:tblPr>
        <w:tblStyle w:val="TabloKlavuzu"/>
        <w:tblW w:w="0" w:type="auto"/>
        <w:tblLook w:val="04A0" w:firstRow="1" w:lastRow="0" w:firstColumn="1" w:lastColumn="0" w:noHBand="0" w:noVBand="1"/>
      </w:tblPr>
      <w:tblGrid>
        <w:gridCol w:w="2141"/>
        <w:gridCol w:w="4781"/>
        <w:gridCol w:w="1573"/>
      </w:tblGrid>
      <w:tr w:rsidR="00FA6C5D" w:rsidRPr="00164238" w14:paraId="4F2BF989" w14:textId="77777777" w:rsidTr="00FA6C5D">
        <w:tc>
          <w:tcPr>
            <w:tcW w:w="2257" w:type="dxa"/>
            <w:tcBorders>
              <w:top w:val="single" w:sz="4" w:space="0" w:color="auto"/>
              <w:left w:val="single" w:sz="4" w:space="0" w:color="auto"/>
              <w:bottom w:val="single" w:sz="4" w:space="0" w:color="auto"/>
              <w:right w:val="single" w:sz="4" w:space="0" w:color="auto"/>
            </w:tcBorders>
            <w:vAlign w:val="center"/>
            <w:hideMark/>
          </w:tcPr>
          <w:p w14:paraId="499DEB20" w14:textId="77777777" w:rsidR="00FA6C5D" w:rsidRPr="00164238" w:rsidRDefault="00FA6C5D">
            <w:pPr>
              <w:rPr>
                <w:rFonts w:ascii="Times New Roman" w:hAnsi="Times New Roman" w:cs="Times New Roman"/>
                <w:b/>
                <w:color w:val="000000" w:themeColor="text1"/>
              </w:rPr>
            </w:pPr>
            <w:r w:rsidRPr="00164238">
              <w:rPr>
                <w:rFonts w:ascii="Times New Roman" w:hAnsi="Times New Roman" w:cs="Times New Roman"/>
                <w:b/>
                <w:color w:val="000000" w:themeColor="text1"/>
              </w:rPr>
              <w:t>İndeks Göstergeleri</w:t>
            </w:r>
          </w:p>
        </w:tc>
        <w:tc>
          <w:tcPr>
            <w:tcW w:w="5308" w:type="dxa"/>
            <w:tcBorders>
              <w:top w:val="single" w:sz="4" w:space="0" w:color="auto"/>
              <w:left w:val="single" w:sz="4" w:space="0" w:color="auto"/>
              <w:bottom w:val="single" w:sz="4" w:space="0" w:color="auto"/>
              <w:right w:val="single" w:sz="4" w:space="0" w:color="auto"/>
            </w:tcBorders>
            <w:vAlign w:val="center"/>
            <w:hideMark/>
          </w:tcPr>
          <w:p w14:paraId="4A52177F" w14:textId="77777777" w:rsidR="00FA6C5D" w:rsidRPr="00164238" w:rsidRDefault="00FA6C5D">
            <w:pPr>
              <w:rPr>
                <w:rFonts w:ascii="Times New Roman" w:hAnsi="Times New Roman" w:cs="Times New Roman"/>
                <w:b/>
                <w:color w:val="000000" w:themeColor="text1"/>
              </w:rPr>
            </w:pPr>
            <w:r w:rsidRPr="00164238">
              <w:rPr>
                <w:rFonts w:ascii="Times New Roman" w:hAnsi="Times New Roman" w:cs="Times New Roman"/>
                <w:b/>
                <w:color w:val="000000" w:themeColor="text1"/>
              </w:rPr>
              <w:t>Sorular</w:t>
            </w:r>
          </w:p>
        </w:tc>
        <w:tc>
          <w:tcPr>
            <w:tcW w:w="1497" w:type="dxa"/>
            <w:tcBorders>
              <w:top w:val="single" w:sz="4" w:space="0" w:color="auto"/>
              <w:left w:val="single" w:sz="4" w:space="0" w:color="auto"/>
              <w:bottom w:val="single" w:sz="4" w:space="0" w:color="auto"/>
              <w:right w:val="single" w:sz="4" w:space="0" w:color="auto"/>
            </w:tcBorders>
            <w:vAlign w:val="center"/>
            <w:hideMark/>
          </w:tcPr>
          <w:p w14:paraId="4A5C3A0E" w14:textId="77777777" w:rsidR="00FA6C5D" w:rsidRPr="00164238" w:rsidRDefault="00FA6C5D">
            <w:pPr>
              <w:rPr>
                <w:rFonts w:ascii="Times New Roman" w:hAnsi="Times New Roman" w:cs="Times New Roman"/>
                <w:b/>
                <w:color w:val="000000" w:themeColor="text1"/>
              </w:rPr>
            </w:pPr>
            <w:r w:rsidRPr="00164238">
              <w:rPr>
                <w:rFonts w:ascii="Times New Roman" w:hAnsi="Times New Roman" w:cs="Times New Roman"/>
                <w:b/>
                <w:color w:val="000000" w:themeColor="text1"/>
              </w:rPr>
              <w:t>Puanlandırma</w:t>
            </w:r>
          </w:p>
        </w:tc>
      </w:tr>
      <w:tr w:rsidR="00FA6C5D" w:rsidRPr="00164238" w14:paraId="55DFCF19" w14:textId="77777777" w:rsidTr="00FA6C5D">
        <w:tc>
          <w:tcPr>
            <w:tcW w:w="2257" w:type="dxa"/>
            <w:vMerge w:val="restart"/>
            <w:tcBorders>
              <w:top w:val="single" w:sz="4" w:space="0" w:color="auto"/>
              <w:left w:val="single" w:sz="4" w:space="0" w:color="auto"/>
              <w:bottom w:val="single" w:sz="4" w:space="0" w:color="auto"/>
              <w:right w:val="single" w:sz="4" w:space="0" w:color="auto"/>
            </w:tcBorders>
            <w:vAlign w:val="center"/>
            <w:hideMark/>
          </w:tcPr>
          <w:p w14:paraId="6510DD6D"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Ekonomik Katılım ve Fırsatlar</w:t>
            </w:r>
          </w:p>
        </w:tc>
        <w:tc>
          <w:tcPr>
            <w:tcW w:w="5308" w:type="dxa"/>
            <w:tcBorders>
              <w:top w:val="single" w:sz="4" w:space="0" w:color="auto"/>
              <w:left w:val="single" w:sz="4" w:space="0" w:color="auto"/>
              <w:bottom w:val="single" w:sz="4" w:space="0" w:color="auto"/>
              <w:right w:val="single" w:sz="4" w:space="0" w:color="auto"/>
            </w:tcBorders>
            <w:hideMark/>
          </w:tcPr>
          <w:p w14:paraId="530B8493"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İş gücüne katılma oranı</w:t>
            </w:r>
          </w:p>
        </w:tc>
        <w:tc>
          <w:tcPr>
            <w:tcW w:w="1497" w:type="dxa"/>
            <w:tcBorders>
              <w:top w:val="single" w:sz="4" w:space="0" w:color="auto"/>
              <w:left w:val="single" w:sz="4" w:space="0" w:color="auto"/>
              <w:bottom w:val="single" w:sz="4" w:space="0" w:color="auto"/>
              <w:right w:val="single" w:sz="4" w:space="0" w:color="auto"/>
            </w:tcBorders>
            <w:hideMark/>
          </w:tcPr>
          <w:p w14:paraId="7BE9DD68"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0,199</w:t>
            </w:r>
          </w:p>
        </w:tc>
      </w:tr>
      <w:tr w:rsidR="00FA6C5D" w:rsidRPr="00164238" w14:paraId="526AB469" w14:textId="77777777" w:rsidTr="00FA6C5D">
        <w:tc>
          <w:tcPr>
            <w:tcW w:w="0" w:type="auto"/>
            <w:vMerge/>
            <w:tcBorders>
              <w:top w:val="single" w:sz="4" w:space="0" w:color="auto"/>
              <w:left w:val="single" w:sz="4" w:space="0" w:color="auto"/>
              <w:bottom w:val="single" w:sz="4" w:space="0" w:color="auto"/>
              <w:right w:val="single" w:sz="4" w:space="0" w:color="auto"/>
            </w:tcBorders>
            <w:vAlign w:val="center"/>
            <w:hideMark/>
          </w:tcPr>
          <w:p w14:paraId="0618D6B7" w14:textId="77777777" w:rsidR="00FA6C5D" w:rsidRPr="00164238" w:rsidRDefault="00FA6C5D">
            <w:pPr>
              <w:rPr>
                <w:rFonts w:ascii="Times New Roman" w:hAnsi="Times New Roman" w:cs="Times New Roman"/>
                <w:color w:val="000000" w:themeColor="text1"/>
                <w:lang w:val="en-US"/>
              </w:rPr>
            </w:pPr>
          </w:p>
        </w:tc>
        <w:tc>
          <w:tcPr>
            <w:tcW w:w="5308" w:type="dxa"/>
            <w:tcBorders>
              <w:top w:val="single" w:sz="4" w:space="0" w:color="auto"/>
              <w:left w:val="single" w:sz="4" w:space="0" w:color="auto"/>
              <w:bottom w:val="single" w:sz="4" w:space="0" w:color="auto"/>
              <w:right w:val="single" w:sz="4" w:space="0" w:color="auto"/>
            </w:tcBorders>
            <w:hideMark/>
          </w:tcPr>
          <w:p w14:paraId="01F1DBCA"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Benzer işler için ücret eşitliği</w:t>
            </w:r>
          </w:p>
        </w:tc>
        <w:tc>
          <w:tcPr>
            <w:tcW w:w="1497" w:type="dxa"/>
            <w:tcBorders>
              <w:top w:val="single" w:sz="4" w:space="0" w:color="auto"/>
              <w:left w:val="single" w:sz="4" w:space="0" w:color="auto"/>
              <w:bottom w:val="single" w:sz="4" w:space="0" w:color="auto"/>
              <w:right w:val="single" w:sz="4" w:space="0" w:color="auto"/>
            </w:tcBorders>
            <w:hideMark/>
          </w:tcPr>
          <w:p w14:paraId="3689756D"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0,310</w:t>
            </w:r>
          </w:p>
        </w:tc>
      </w:tr>
      <w:tr w:rsidR="00FA6C5D" w:rsidRPr="00164238" w14:paraId="703C2EF0" w14:textId="77777777" w:rsidTr="00FA6C5D">
        <w:tc>
          <w:tcPr>
            <w:tcW w:w="0" w:type="auto"/>
            <w:vMerge/>
            <w:tcBorders>
              <w:top w:val="single" w:sz="4" w:space="0" w:color="auto"/>
              <w:left w:val="single" w:sz="4" w:space="0" w:color="auto"/>
              <w:bottom w:val="single" w:sz="4" w:space="0" w:color="auto"/>
              <w:right w:val="single" w:sz="4" w:space="0" w:color="auto"/>
            </w:tcBorders>
            <w:vAlign w:val="center"/>
            <w:hideMark/>
          </w:tcPr>
          <w:p w14:paraId="6297FA82" w14:textId="77777777" w:rsidR="00FA6C5D" w:rsidRPr="00164238" w:rsidRDefault="00FA6C5D">
            <w:pPr>
              <w:rPr>
                <w:rFonts w:ascii="Times New Roman" w:hAnsi="Times New Roman" w:cs="Times New Roman"/>
                <w:color w:val="000000" w:themeColor="text1"/>
                <w:lang w:val="en-US"/>
              </w:rPr>
            </w:pPr>
          </w:p>
        </w:tc>
        <w:tc>
          <w:tcPr>
            <w:tcW w:w="5308" w:type="dxa"/>
            <w:tcBorders>
              <w:top w:val="single" w:sz="4" w:space="0" w:color="auto"/>
              <w:left w:val="single" w:sz="4" w:space="0" w:color="auto"/>
              <w:bottom w:val="single" w:sz="4" w:space="0" w:color="auto"/>
              <w:right w:val="single" w:sz="4" w:space="0" w:color="auto"/>
            </w:tcBorders>
            <w:hideMark/>
          </w:tcPr>
          <w:p w14:paraId="7B72294F"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Tahmini kazanılan gelir</w:t>
            </w:r>
          </w:p>
        </w:tc>
        <w:tc>
          <w:tcPr>
            <w:tcW w:w="1497" w:type="dxa"/>
            <w:tcBorders>
              <w:top w:val="single" w:sz="4" w:space="0" w:color="auto"/>
              <w:left w:val="single" w:sz="4" w:space="0" w:color="auto"/>
              <w:bottom w:val="single" w:sz="4" w:space="0" w:color="auto"/>
              <w:right w:val="single" w:sz="4" w:space="0" w:color="auto"/>
            </w:tcBorders>
            <w:hideMark/>
          </w:tcPr>
          <w:p w14:paraId="65A7C4F7"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0,221</w:t>
            </w:r>
          </w:p>
        </w:tc>
      </w:tr>
      <w:tr w:rsidR="00FA6C5D" w:rsidRPr="00164238" w14:paraId="1A870153" w14:textId="77777777" w:rsidTr="00FA6C5D">
        <w:tc>
          <w:tcPr>
            <w:tcW w:w="0" w:type="auto"/>
            <w:vMerge/>
            <w:tcBorders>
              <w:top w:val="single" w:sz="4" w:space="0" w:color="auto"/>
              <w:left w:val="single" w:sz="4" w:space="0" w:color="auto"/>
              <w:bottom w:val="single" w:sz="4" w:space="0" w:color="auto"/>
              <w:right w:val="single" w:sz="4" w:space="0" w:color="auto"/>
            </w:tcBorders>
            <w:vAlign w:val="center"/>
            <w:hideMark/>
          </w:tcPr>
          <w:p w14:paraId="4FE1AD04" w14:textId="77777777" w:rsidR="00FA6C5D" w:rsidRPr="00164238" w:rsidRDefault="00FA6C5D">
            <w:pPr>
              <w:rPr>
                <w:rFonts w:ascii="Times New Roman" w:hAnsi="Times New Roman" w:cs="Times New Roman"/>
                <w:color w:val="000000" w:themeColor="text1"/>
                <w:lang w:val="en-US"/>
              </w:rPr>
            </w:pPr>
          </w:p>
        </w:tc>
        <w:tc>
          <w:tcPr>
            <w:tcW w:w="5308" w:type="dxa"/>
            <w:tcBorders>
              <w:top w:val="single" w:sz="4" w:space="0" w:color="auto"/>
              <w:left w:val="single" w:sz="4" w:space="0" w:color="auto"/>
              <w:bottom w:val="single" w:sz="4" w:space="0" w:color="auto"/>
              <w:right w:val="single" w:sz="4" w:space="0" w:color="auto"/>
            </w:tcBorders>
            <w:hideMark/>
          </w:tcPr>
          <w:p w14:paraId="1FB747CC"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Kanun koyucular, üst düzey yetkililer ve yöneticiler oranı</w:t>
            </w:r>
          </w:p>
        </w:tc>
        <w:tc>
          <w:tcPr>
            <w:tcW w:w="1497" w:type="dxa"/>
            <w:tcBorders>
              <w:top w:val="single" w:sz="4" w:space="0" w:color="auto"/>
              <w:left w:val="single" w:sz="4" w:space="0" w:color="auto"/>
              <w:bottom w:val="single" w:sz="4" w:space="0" w:color="auto"/>
              <w:right w:val="single" w:sz="4" w:space="0" w:color="auto"/>
            </w:tcBorders>
            <w:hideMark/>
          </w:tcPr>
          <w:p w14:paraId="554A32AD"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0,149</w:t>
            </w:r>
          </w:p>
        </w:tc>
      </w:tr>
      <w:tr w:rsidR="00FA6C5D" w:rsidRPr="00164238" w14:paraId="40D06274" w14:textId="77777777" w:rsidTr="00FA6C5D">
        <w:tc>
          <w:tcPr>
            <w:tcW w:w="0" w:type="auto"/>
            <w:vMerge/>
            <w:tcBorders>
              <w:top w:val="single" w:sz="4" w:space="0" w:color="auto"/>
              <w:left w:val="single" w:sz="4" w:space="0" w:color="auto"/>
              <w:bottom w:val="single" w:sz="4" w:space="0" w:color="auto"/>
              <w:right w:val="single" w:sz="4" w:space="0" w:color="auto"/>
            </w:tcBorders>
            <w:vAlign w:val="center"/>
            <w:hideMark/>
          </w:tcPr>
          <w:p w14:paraId="484A84E6" w14:textId="77777777" w:rsidR="00FA6C5D" w:rsidRPr="00164238" w:rsidRDefault="00FA6C5D">
            <w:pPr>
              <w:rPr>
                <w:rFonts w:ascii="Times New Roman" w:hAnsi="Times New Roman" w:cs="Times New Roman"/>
                <w:color w:val="000000" w:themeColor="text1"/>
                <w:lang w:val="en-US"/>
              </w:rPr>
            </w:pPr>
          </w:p>
        </w:tc>
        <w:tc>
          <w:tcPr>
            <w:tcW w:w="5308" w:type="dxa"/>
            <w:tcBorders>
              <w:top w:val="single" w:sz="4" w:space="0" w:color="auto"/>
              <w:left w:val="single" w:sz="4" w:space="0" w:color="auto"/>
              <w:bottom w:val="single" w:sz="4" w:space="0" w:color="auto"/>
              <w:right w:val="single" w:sz="4" w:space="0" w:color="auto"/>
            </w:tcBorders>
            <w:hideMark/>
          </w:tcPr>
          <w:p w14:paraId="6DD94AC9"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Profesyonel ve teknik çalışanlar oranı</w:t>
            </w:r>
          </w:p>
        </w:tc>
        <w:tc>
          <w:tcPr>
            <w:tcW w:w="1497" w:type="dxa"/>
            <w:tcBorders>
              <w:top w:val="single" w:sz="4" w:space="0" w:color="auto"/>
              <w:left w:val="single" w:sz="4" w:space="0" w:color="auto"/>
              <w:bottom w:val="single" w:sz="4" w:space="0" w:color="auto"/>
              <w:right w:val="single" w:sz="4" w:space="0" w:color="auto"/>
            </w:tcBorders>
            <w:hideMark/>
          </w:tcPr>
          <w:p w14:paraId="4416FC0D"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0,121</w:t>
            </w:r>
          </w:p>
        </w:tc>
      </w:tr>
      <w:tr w:rsidR="00FA6C5D" w:rsidRPr="00164238" w14:paraId="22FD98F8" w14:textId="77777777" w:rsidTr="00FA6C5D">
        <w:tc>
          <w:tcPr>
            <w:tcW w:w="2257" w:type="dxa"/>
            <w:vMerge w:val="restart"/>
            <w:tcBorders>
              <w:top w:val="single" w:sz="4" w:space="0" w:color="auto"/>
              <w:left w:val="single" w:sz="4" w:space="0" w:color="auto"/>
              <w:bottom w:val="single" w:sz="4" w:space="0" w:color="auto"/>
              <w:right w:val="single" w:sz="4" w:space="0" w:color="auto"/>
            </w:tcBorders>
            <w:vAlign w:val="center"/>
            <w:hideMark/>
          </w:tcPr>
          <w:p w14:paraId="155DCCEB"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Eğitim Durumu</w:t>
            </w:r>
          </w:p>
        </w:tc>
        <w:tc>
          <w:tcPr>
            <w:tcW w:w="5308" w:type="dxa"/>
            <w:tcBorders>
              <w:top w:val="single" w:sz="4" w:space="0" w:color="auto"/>
              <w:left w:val="single" w:sz="4" w:space="0" w:color="auto"/>
              <w:bottom w:val="single" w:sz="4" w:space="0" w:color="auto"/>
              <w:right w:val="single" w:sz="4" w:space="0" w:color="auto"/>
            </w:tcBorders>
            <w:hideMark/>
          </w:tcPr>
          <w:p w14:paraId="4A8AFF81"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Okur yazarlık oranı</w:t>
            </w:r>
          </w:p>
        </w:tc>
        <w:tc>
          <w:tcPr>
            <w:tcW w:w="1497" w:type="dxa"/>
            <w:tcBorders>
              <w:top w:val="single" w:sz="4" w:space="0" w:color="auto"/>
              <w:left w:val="single" w:sz="4" w:space="0" w:color="auto"/>
              <w:bottom w:val="single" w:sz="4" w:space="0" w:color="auto"/>
              <w:right w:val="single" w:sz="4" w:space="0" w:color="auto"/>
            </w:tcBorders>
            <w:hideMark/>
          </w:tcPr>
          <w:p w14:paraId="5178D12D"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0,191</w:t>
            </w:r>
          </w:p>
        </w:tc>
      </w:tr>
      <w:tr w:rsidR="00FA6C5D" w:rsidRPr="00164238" w14:paraId="45C5542C" w14:textId="77777777" w:rsidTr="00FA6C5D">
        <w:tc>
          <w:tcPr>
            <w:tcW w:w="0" w:type="auto"/>
            <w:vMerge/>
            <w:tcBorders>
              <w:top w:val="single" w:sz="4" w:space="0" w:color="auto"/>
              <w:left w:val="single" w:sz="4" w:space="0" w:color="auto"/>
              <w:bottom w:val="single" w:sz="4" w:space="0" w:color="auto"/>
              <w:right w:val="single" w:sz="4" w:space="0" w:color="auto"/>
            </w:tcBorders>
            <w:vAlign w:val="center"/>
            <w:hideMark/>
          </w:tcPr>
          <w:p w14:paraId="75E231F7" w14:textId="77777777" w:rsidR="00FA6C5D" w:rsidRPr="00164238" w:rsidRDefault="00FA6C5D">
            <w:pPr>
              <w:rPr>
                <w:rFonts w:ascii="Times New Roman" w:hAnsi="Times New Roman" w:cs="Times New Roman"/>
                <w:color w:val="000000" w:themeColor="text1"/>
                <w:lang w:val="en-US"/>
              </w:rPr>
            </w:pPr>
          </w:p>
        </w:tc>
        <w:tc>
          <w:tcPr>
            <w:tcW w:w="5308" w:type="dxa"/>
            <w:tcBorders>
              <w:top w:val="single" w:sz="4" w:space="0" w:color="auto"/>
              <w:left w:val="single" w:sz="4" w:space="0" w:color="auto"/>
              <w:bottom w:val="single" w:sz="4" w:space="0" w:color="auto"/>
              <w:right w:val="single" w:sz="4" w:space="0" w:color="auto"/>
            </w:tcBorders>
            <w:hideMark/>
          </w:tcPr>
          <w:p w14:paraId="01A3C2B3"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İlköğretime kayıt</w:t>
            </w:r>
          </w:p>
        </w:tc>
        <w:tc>
          <w:tcPr>
            <w:tcW w:w="1497" w:type="dxa"/>
            <w:tcBorders>
              <w:top w:val="single" w:sz="4" w:space="0" w:color="auto"/>
              <w:left w:val="single" w:sz="4" w:space="0" w:color="auto"/>
              <w:bottom w:val="single" w:sz="4" w:space="0" w:color="auto"/>
              <w:right w:val="single" w:sz="4" w:space="0" w:color="auto"/>
            </w:tcBorders>
            <w:hideMark/>
          </w:tcPr>
          <w:p w14:paraId="02710B26"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0,459</w:t>
            </w:r>
          </w:p>
        </w:tc>
      </w:tr>
      <w:tr w:rsidR="00FA6C5D" w:rsidRPr="00164238" w14:paraId="10B394EF" w14:textId="77777777" w:rsidTr="00FA6C5D">
        <w:tc>
          <w:tcPr>
            <w:tcW w:w="0" w:type="auto"/>
            <w:vMerge/>
            <w:tcBorders>
              <w:top w:val="single" w:sz="4" w:space="0" w:color="auto"/>
              <w:left w:val="single" w:sz="4" w:space="0" w:color="auto"/>
              <w:bottom w:val="single" w:sz="4" w:space="0" w:color="auto"/>
              <w:right w:val="single" w:sz="4" w:space="0" w:color="auto"/>
            </w:tcBorders>
            <w:vAlign w:val="center"/>
            <w:hideMark/>
          </w:tcPr>
          <w:p w14:paraId="3E3AF722" w14:textId="77777777" w:rsidR="00FA6C5D" w:rsidRPr="00164238" w:rsidRDefault="00FA6C5D">
            <w:pPr>
              <w:rPr>
                <w:rFonts w:ascii="Times New Roman" w:hAnsi="Times New Roman" w:cs="Times New Roman"/>
                <w:color w:val="000000" w:themeColor="text1"/>
                <w:lang w:val="en-US"/>
              </w:rPr>
            </w:pPr>
          </w:p>
        </w:tc>
        <w:tc>
          <w:tcPr>
            <w:tcW w:w="5308" w:type="dxa"/>
            <w:tcBorders>
              <w:top w:val="single" w:sz="4" w:space="0" w:color="auto"/>
              <w:left w:val="single" w:sz="4" w:space="0" w:color="auto"/>
              <w:bottom w:val="single" w:sz="4" w:space="0" w:color="auto"/>
              <w:right w:val="single" w:sz="4" w:space="0" w:color="auto"/>
            </w:tcBorders>
            <w:hideMark/>
          </w:tcPr>
          <w:p w14:paraId="7727A818"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Ortaöğretime kayıt</w:t>
            </w:r>
          </w:p>
        </w:tc>
        <w:tc>
          <w:tcPr>
            <w:tcW w:w="1497" w:type="dxa"/>
            <w:tcBorders>
              <w:top w:val="single" w:sz="4" w:space="0" w:color="auto"/>
              <w:left w:val="single" w:sz="4" w:space="0" w:color="auto"/>
              <w:bottom w:val="single" w:sz="4" w:space="0" w:color="auto"/>
              <w:right w:val="single" w:sz="4" w:space="0" w:color="auto"/>
            </w:tcBorders>
            <w:hideMark/>
          </w:tcPr>
          <w:p w14:paraId="47688B44"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0,230</w:t>
            </w:r>
          </w:p>
        </w:tc>
      </w:tr>
      <w:tr w:rsidR="00FA6C5D" w:rsidRPr="00164238" w14:paraId="6D9E6643" w14:textId="77777777" w:rsidTr="00FA6C5D">
        <w:tc>
          <w:tcPr>
            <w:tcW w:w="0" w:type="auto"/>
            <w:vMerge/>
            <w:tcBorders>
              <w:top w:val="single" w:sz="4" w:space="0" w:color="auto"/>
              <w:left w:val="single" w:sz="4" w:space="0" w:color="auto"/>
              <w:bottom w:val="single" w:sz="4" w:space="0" w:color="auto"/>
              <w:right w:val="single" w:sz="4" w:space="0" w:color="auto"/>
            </w:tcBorders>
            <w:vAlign w:val="center"/>
            <w:hideMark/>
          </w:tcPr>
          <w:p w14:paraId="54655782" w14:textId="77777777" w:rsidR="00FA6C5D" w:rsidRPr="00164238" w:rsidRDefault="00FA6C5D">
            <w:pPr>
              <w:rPr>
                <w:rFonts w:ascii="Times New Roman" w:hAnsi="Times New Roman" w:cs="Times New Roman"/>
                <w:color w:val="000000" w:themeColor="text1"/>
                <w:lang w:val="en-US"/>
              </w:rPr>
            </w:pPr>
          </w:p>
        </w:tc>
        <w:tc>
          <w:tcPr>
            <w:tcW w:w="5308" w:type="dxa"/>
            <w:tcBorders>
              <w:top w:val="single" w:sz="4" w:space="0" w:color="auto"/>
              <w:left w:val="single" w:sz="4" w:space="0" w:color="auto"/>
              <w:bottom w:val="single" w:sz="4" w:space="0" w:color="auto"/>
              <w:right w:val="single" w:sz="4" w:space="0" w:color="auto"/>
            </w:tcBorders>
            <w:hideMark/>
          </w:tcPr>
          <w:p w14:paraId="4EDB0964"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Yüksek öğretime kayıt</w:t>
            </w:r>
          </w:p>
        </w:tc>
        <w:tc>
          <w:tcPr>
            <w:tcW w:w="1497" w:type="dxa"/>
            <w:tcBorders>
              <w:top w:val="single" w:sz="4" w:space="0" w:color="auto"/>
              <w:left w:val="single" w:sz="4" w:space="0" w:color="auto"/>
              <w:bottom w:val="single" w:sz="4" w:space="0" w:color="auto"/>
              <w:right w:val="single" w:sz="4" w:space="0" w:color="auto"/>
            </w:tcBorders>
            <w:hideMark/>
          </w:tcPr>
          <w:p w14:paraId="44042223"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0,120</w:t>
            </w:r>
          </w:p>
        </w:tc>
      </w:tr>
      <w:tr w:rsidR="00FA6C5D" w:rsidRPr="00164238" w14:paraId="650CB1D6" w14:textId="77777777" w:rsidTr="00FA6C5D">
        <w:tc>
          <w:tcPr>
            <w:tcW w:w="2257" w:type="dxa"/>
            <w:vMerge w:val="restart"/>
            <w:tcBorders>
              <w:top w:val="single" w:sz="4" w:space="0" w:color="auto"/>
              <w:left w:val="single" w:sz="4" w:space="0" w:color="auto"/>
              <w:bottom w:val="single" w:sz="4" w:space="0" w:color="auto"/>
              <w:right w:val="single" w:sz="4" w:space="0" w:color="auto"/>
            </w:tcBorders>
            <w:vAlign w:val="center"/>
            <w:hideMark/>
          </w:tcPr>
          <w:p w14:paraId="70C61877"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Sağlık ve Hayatta Kalma</w:t>
            </w:r>
          </w:p>
        </w:tc>
        <w:tc>
          <w:tcPr>
            <w:tcW w:w="5308" w:type="dxa"/>
            <w:tcBorders>
              <w:top w:val="single" w:sz="4" w:space="0" w:color="auto"/>
              <w:left w:val="single" w:sz="4" w:space="0" w:color="auto"/>
              <w:bottom w:val="single" w:sz="4" w:space="0" w:color="auto"/>
              <w:right w:val="single" w:sz="4" w:space="0" w:color="auto"/>
            </w:tcBorders>
            <w:hideMark/>
          </w:tcPr>
          <w:p w14:paraId="7AA57E72"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Doğumda cinsiyet oranı</w:t>
            </w:r>
          </w:p>
        </w:tc>
        <w:tc>
          <w:tcPr>
            <w:tcW w:w="1497" w:type="dxa"/>
            <w:tcBorders>
              <w:top w:val="single" w:sz="4" w:space="0" w:color="auto"/>
              <w:left w:val="single" w:sz="4" w:space="0" w:color="auto"/>
              <w:bottom w:val="single" w:sz="4" w:space="0" w:color="auto"/>
              <w:right w:val="single" w:sz="4" w:space="0" w:color="auto"/>
            </w:tcBorders>
            <w:hideMark/>
          </w:tcPr>
          <w:p w14:paraId="39F0C6F0"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0,693</w:t>
            </w:r>
          </w:p>
        </w:tc>
      </w:tr>
      <w:tr w:rsidR="00FA6C5D" w:rsidRPr="00164238" w14:paraId="3E640378" w14:textId="77777777" w:rsidTr="00FA6C5D">
        <w:tc>
          <w:tcPr>
            <w:tcW w:w="0" w:type="auto"/>
            <w:vMerge/>
            <w:tcBorders>
              <w:top w:val="single" w:sz="4" w:space="0" w:color="auto"/>
              <w:left w:val="single" w:sz="4" w:space="0" w:color="auto"/>
              <w:bottom w:val="single" w:sz="4" w:space="0" w:color="auto"/>
              <w:right w:val="single" w:sz="4" w:space="0" w:color="auto"/>
            </w:tcBorders>
            <w:vAlign w:val="center"/>
            <w:hideMark/>
          </w:tcPr>
          <w:p w14:paraId="330F57FA" w14:textId="77777777" w:rsidR="00FA6C5D" w:rsidRPr="00164238" w:rsidRDefault="00FA6C5D">
            <w:pPr>
              <w:rPr>
                <w:rFonts w:ascii="Times New Roman" w:hAnsi="Times New Roman" w:cs="Times New Roman"/>
                <w:color w:val="000000" w:themeColor="text1"/>
                <w:lang w:val="en-US"/>
              </w:rPr>
            </w:pPr>
          </w:p>
        </w:tc>
        <w:tc>
          <w:tcPr>
            <w:tcW w:w="5308" w:type="dxa"/>
            <w:tcBorders>
              <w:top w:val="single" w:sz="4" w:space="0" w:color="auto"/>
              <w:left w:val="single" w:sz="4" w:space="0" w:color="auto"/>
              <w:bottom w:val="single" w:sz="4" w:space="0" w:color="auto"/>
              <w:right w:val="single" w:sz="4" w:space="0" w:color="auto"/>
            </w:tcBorders>
            <w:hideMark/>
          </w:tcPr>
          <w:p w14:paraId="6EAEE79C"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Sağlıklı yaşam beklentisi (Yıllar)</w:t>
            </w:r>
          </w:p>
        </w:tc>
        <w:tc>
          <w:tcPr>
            <w:tcW w:w="1497" w:type="dxa"/>
            <w:tcBorders>
              <w:top w:val="single" w:sz="4" w:space="0" w:color="auto"/>
              <w:left w:val="single" w:sz="4" w:space="0" w:color="auto"/>
              <w:bottom w:val="single" w:sz="4" w:space="0" w:color="auto"/>
              <w:right w:val="single" w:sz="4" w:space="0" w:color="auto"/>
            </w:tcBorders>
            <w:hideMark/>
          </w:tcPr>
          <w:p w14:paraId="46F84B0D"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0,307</w:t>
            </w:r>
          </w:p>
        </w:tc>
      </w:tr>
      <w:tr w:rsidR="00FA6C5D" w:rsidRPr="00164238" w14:paraId="3ECDD369" w14:textId="77777777" w:rsidTr="00FA6C5D">
        <w:tc>
          <w:tcPr>
            <w:tcW w:w="2257" w:type="dxa"/>
            <w:vMerge w:val="restart"/>
            <w:tcBorders>
              <w:top w:val="single" w:sz="4" w:space="0" w:color="auto"/>
              <w:left w:val="single" w:sz="4" w:space="0" w:color="auto"/>
              <w:bottom w:val="single" w:sz="4" w:space="0" w:color="auto"/>
              <w:right w:val="single" w:sz="4" w:space="0" w:color="auto"/>
            </w:tcBorders>
            <w:vAlign w:val="center"/>
            <w:hideMark/>
          </w:tcPr>
          <w:p w14:paraId="1DE5F2F4"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Siyasi Yetkilendirme</w:t>
            </w:r>
          </w:p>
        </w:tc>
        <w:tc>
          <w:tcPr>
            <w:tcW w:w="5308" w:type="dxa"/>
            <w:tcBorders>
              <w:top w:val="single" w:sz="4" w:space="0" w:color="auto"/>
              <w:left w:val="single" w:sz="4" w:space="0" w:color="auto"/>
              <w:bottom w:val="single" w:sz="4" w:space="0" w:color="auto"/>
              <w:right w:val="single" w:sz="4" w:space="0" w:color="auto"/>
            </w:tcBorders>
            <w:hideMark/>
          </w:tcPr>
          <w:p w14:paraId="19A644BF"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Parlamentodaki kadın oranı</w:t>
            </w:r>
          </w:p>
        </w:tc>
        <w:tc>
          <w:tcPr>
            <w:tcW w:w="1497" w:type="dxa"/>
            <w:tcBorders>
              <w:top w:val="single" w:sz="4" w:space="0" w:color="auto"/>
              <w:left w:val="single" w:sz="4" w:space="0" w:color="auto"/>
              <w:bottom w:val="single" w:sz="4" w:space="0" w:color="auto"/>
              <w:right w:val="single" w:sz="4" w:space="0" w:color="auto"/>
            </w:tcBorders>
            <w:hideMark/>
          </w:tcPr>
          <w:p w14:paraId="1AA81F84"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0,310</w:t>
            </w:r>
          </w:p>
        </w:tc>
      </w:tr>
      <w:tr w:rsidR="00FA6C5D" w:rsidRPr="00164238" w14:paraId="429977B1" w14:textId="77777777" w:rsidTr="00FA6C5D">
        <w:tc>
          <w:tcPr>
            <w:tcW w:w="0" w:type="auto"/>
            <w:vMerge/>
            <w:tcBorders>
              <w:top w:val="single" w:sz="4" w:space="0" w:color="auto"/>
              <w:left w:val="single" w:sz="4" w:space="0" w:color="auto"/>
              <w:bottom w:val="single" w:sz="4" w:space="0" w:color="auto"/>
              <w:right w:val="single" w:sz="4" w:space="0" w:color="auto"/>
            </w:tcBorders>
            <w:vAlign w:val="center"/>
            <w:hideMark/>
          </w:tcPr>
          <w:p w14:paraId="79342F6B" w14:textId="77777777" w:rsidR="00FA6C5D" w:rsidRPr="00164238" w:rsidRDefault="00FA6C5D">
            <w:pPr>
              <w:rPr>
                <w:rFonts w:ascii="Times New Roman" w:hAnsi="Times New Roman" w:cs="Times New Roman"/>
                <w:color w:val="000000" w:themeColor="text1"/>
                <w:lang w:val="en-US"/>
              </w:rPr>
            </w:pPr>
          </w:p>
        </w:tc>
        <w:tc>
          <w:tcPr>
            <w:tcW w:w="5308" w:type="dxa"/>
            <w:tcBorders>
              <w:top w:val="single" w:sz="4" w:space="0" w:color="auto"/>
              <w:left w:val="single" w:sz="4" w:space="0" w:color="auto"/>
              <w:bottom w:val="single" w:sz="4" w:space="0" w:color="auto"/>
              <w:right w:val="single" w:sz="4" w:space="0" w:color="auto"/>
            </w:tcBorders>
            <w:hideMark/>
          </w:tcPr>
          <w:p w14:paraId="620C18A0"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Bakanlık pozisyonlarındaki kadınların oranı</w:t>
            </w:r>
          </w:p>
        </w:tc>
        <w:tc>
          <w:tcPr>
            <w:tcW w:w="1497" w:type="dxa"/>
            <w:tcBorders>
              <w:top w:val="single" w:sz="4" w:space="0" w:color="auto"/>
              <w:left w:val="single" w:sz="4" w:space="0" w:color="auto"/>
              <w:bottom w:val="single" w:sz="4" w:space="0" w:color="auto"/>
              <w:right w:val="single" w:sz="4" w:space="0" w:color="auto"/>
            </w:tcBorders>
            <w:hideMark/>
          </w:tcPr>
          <w:p w14:paraId="05199C9A"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0,247</w:t>
            </w:r>
          </w:p>
        </w:tc>
      </w:tr>
      <w:tr w:rsidR="00FA6C5D" w:rsidRPr="00164238" w14:paraId="7A5BF1E6" w14:textId="77777777" w:rsidTr="00FA6C5D">
        <w:tc>
          <w:tcPr>
            <w:tcW w:w="0" w:type="auto"/>
            <w:vMerge/>
            <w:tcBorders>
              <w:top w:val="single" w:sz="4" w:space="0" w:color="auto"/>
              <w:left w:val="single" w:sz="4" w:space="0" w:color="auto"/>
              <w:bottom w:val="single" w:sz="4" w:space="0" w:color="auto"/>
              <w:right w:val="single" w:sz="4" w:space="0" w:color="auto"/>
            </w:tcBorders>
            <w:vAlign w:val="center"/>
            <w:hideMark/>
          </w:tcPr>
          <w:p w14:paraId="1491A08A" w14:textId="77777777" w:rsidR="00FA6C5D" w:rsidRPr="00164238" w:rsidRDefault="00FA6C5D">
            <w:pPr>
              <w:rPr>
                <w:rFonts w:ascii="Times New Roman" w:hAnsi="Times New Roman" w:cs="Times New Roman"/>
                <w:color w:val="000000" w:themeColor="text1"/>
                <w:lang w:val="en-US"/>
              </w:rPr>
            </w:pPr>
          </w:p>
        </w:tc>
        <w:tc>
          <w:tcPr>
            <w:tcW w:w="5308" w:type="dxa"/>
            <w:tcBorders>
              <w:top w:val="single" w:sz="4" w:space="0" w:color="auto"/>
              <w:left w:val="single" w:sz="4" w:space="0" w:color="auto"/>
              <w:bottom w:val="single" w:sz="4" w:space="0" w:color="auto"/>
              <w:right w:val="single" w:sz="4" w:space="0" w:color="auto"/>
            </w:tcBorders>
            <w:hideMark/>
          </w:tcPr>
          <w:p w14:paraId="31C87C71"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Kadın devlet başkanlarının görev süresi</w:t>
            </w:r>
          </w:p>
        </w:tc>
        <w:tc>
          <w:tcPr>
            <w:tcW w:w="1497" w:type="dxa"/>
            <w:tcBorders>
              <w:top w:val="single" w:sz="4" w:space="0" w:color="auto"/>
              <w:left w:val="single" w:sz="4" w:space="0" w:color="auto"/>
              <w:bottom w:val="single" w:sz="4" w:space="0" w:color="auto"/>
              <w:right w:val="single" w:sz="4" w:space="0" w:color="auto"/>
            </w:tcBorders>
            <w:hideMark/>
          </w:tcPr>
          <w:p w14:paraId="735AB844"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0,443</w:t>
            </w:r>
          </w:p>
        </w:tc>
      </w:tr>
    </w:tbl>
    <w:p w14:paraId="345C05A8" w14:textId="77777777" w:rsidR="00FA6C5D" w:rsidRPr="00164238" w:rsidRDefault="00FA6C5D" w:rsidP="00FA6C5D">
      <w:pPr>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lang w:eastAsia="tr-TR"/>
        </w:rPr>
        <w:t xml:space="preserve">Kaynak: </w:t>
      </w:r>
      <w:r w:rsidRPr="00164238">
        <w:rPr>
          <w:rFonts w:ascii="Times New Roman" w:hAnsi="Times New Roman" w:cs="Times New Roman"/>
          <w:color w:val="000000" w:themeColor="text1"/>
        </w:rPr>
        <w:t>GGGR, 2020:48’den yararlanılarak hazırlanmıştır.</w:t>
      </w:r>
    </w:p>
    <w:p w14:paraId="4951D6AC" w14:textId="77777777" w:rsidR="00FA6C5D" w:rsidRPr="00164238" w:rsidRDefault="00FA6C5D" w:rsidP="00FA6C5D">
      <w:pPr>
        <w:jc w:val="both"/>
        <w:rPr>
          <w:rFonts w:ascii="Times New Roman" w:hAnsi="Times New Roman" w:cs="Times New Roman"/>
          <w:color w:val="000000" w:themeColor="text1"/>
        </w:rPr>
      </w:pPr>
    </w:p>
    <w:p w14:paraId="63A559C0" w14:textId="77777777" w:rsidR="00FA6C5D" w:rsidRPr="00164238" w:rsidRDefault="00FA6C5D" w:rsidP="00FA6C5D">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Bu indekste Kadın, İş Dünyası ve Hukuk İndeksinden farklı olarak puanlama her alt indeks göstergesinde toplamda 1 olmak ile birlikte soruların dağılımına göre puanlama da farklılaşmakta, eşit dağıtılmamaktadır. Bu anlamda puanlandırma sistemi Kadın, İş Dünyası ve Hukuk İndeksine göre daha makuldür.</w:t>
      </w:r>
    </w:p>
    <w:p w14:paraId="59710FB6" w14:textId="77777777" w:rsidR="00FA6C5D" w:rsidRPr="00164238" w:rsidRDefault="00FA6C5D" w:rsidP="00FA6C5D">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Türkiye içinde Küresel Cinsiyet Uçurum indeksi hesaplanmış olup, Tablo 3’de verilmiştir. 2006-2020 yılı indeksleri karşılaştırıldığında 153 ülke içerisinde sağlık ve hayatta kalma indeksi dışında ülke sıralamasında gerilediğimiz ve ortalama indeks puanımızın ise 0,05’lik artış ile 0,635’e yükseldiğini görmek mümkündür.</w:t>
      </w:r>
    </w:p>
    <w:p w14:paraId="7DC54A8C" w14:textId="77777777" w:rsidR="00FA6C5D" w:rsidRPr="00164238" w:rsidRDefault="00FA6C5D" w:rsidP="00FA6C5D">
      <w:pPr>
        <w:spacing w:before="120" w:after="120" w:line="276" w:lineRule="auto"/>
        <w:rPr>
          <w:rFonts w:ascii="Times New Roman" w:hAnsi="Times New Roman" w:cs="Times New Roman"/>
          <w:color w:val="000000" w:themeColor="text1"/>
        </w:rPr>
      </w:pPr>
      <w:r w:rsidRPr="00164238">
        <w:rPr>
          <w:rFonts w:ascii="Times New Roman" w:hAnsi="Times New Roman" w:cs="Times New Roman"/>
          <w:i/>
          <w:color w:val="000000" w:themeColor="text1"/>
        </w:rPr>
        <w:t>Tablo 3.</w:t>
      </w:r>
      <w:r w:rsidRPr="00164238">
        <w:rPr>
          <w:rFonts w:ascii="Times New Roman" w:hAnsi="Times New Roman" w:cs="Times New Roman"/>
          <w:color w:val="000000" w:themeColor="text1"/>
        </w:rPr>
        <w:t xml:space="preserve"> Türkiye Küresel Cinsiyet Uçurumu İndeksi Göstergeleri </w:t>
      </w:r>
    </w:p>
    <w:tbl>
      <w:tblPr>
        <w:tblStyle w:val="TabloKlavuzu"/>
        <w:tblW w:w="0" w:type="auto"/>
        <w:tblLook w:val="04A0" w:firstRow="1" w:lastRow="0" w:firstColumn="1" w:lastColumn="0" w:noHBand="0" w:noVBand="1"/>
      </w:tblPr>
      <w:tblGrid>
        <w:gridCol w:w="3234"/>
        <w:gridCol w:w="1984"/>
        <w:gridCol w:w="952"/>
        <w:gridCol w:w="1614"/>
        <w:gridCol w:w="711"/>
      </w:tblGrid>
      <w:tr w:rsidR="00FA6C5D" w:rsidRPr="00164238" w14:paraId="414FF234" w14:textId="77777777" w:rsidTr="00FA6C5D">
        <w:tc>
          <w:tcPr>
            <w:tcW w:w="3539" w:type="dxa"/>
            <w:tcBorders>
              <w:top w:val="single" w:sz="4" w:space="0" w:color="auto"/>
              <w:left w:val="single" w:sz="4" w:space="0" w:color="auto"/>
              <w:bottom w:val="single" w:sz="4" w:space="0" w:color="auto"/>
              <w:right w:val="single" w:sz="4" w:space="0" w:color="auto"/>
            </w:tcBorders>
            <w:vAlign w:val="center"/>
            <w:hideMark/>
          </w:tcPr>
          <w:p w14:paraId="14C9E4EF" w14:textId="77777777" w:rsidR="00FA6C5D" w:rsidRPr="00164238" w:rsidRDefault="00FA6C5D">
            <w:pPr>
              <w:jc w:val="center"/>
              <w:rPr>
                <w:rFonts w:ascii="Times New Roman" w:hAnsi="Times New Roman" w:cs="Times New Roman"/>
                <w:b/>
                <w:color w:val="000000" w:themeColor="text1"/>
              </w:rPr>
            </w:pPr>
            <w:r w:rsidRPr="00164238">
              <w:rPr>
                <w:rFonts w:ascii="Times New Roman" w:hAnsi="Times New Roman" w:cs="Times New Roman"/>
                <w:b/>
                <w:color w:val="000000" w:themeColor="text1"/>
              </w:rPr>
              <w:t>Küresel Cinsiyet Uçurumu İndeksi</w:t>
            </w:r>
          </w:p>
        </w:tc>
        <w:tc>
          <w:tcPr>
            <w:tcW w:w="3119" w:type="dxa"/>
            <w:gridSpan w:val="2"/>
            <w:tcBorders>
              <w:top w:val="single" w:sz="4" w:space="0" w:color="auto"/>
              <w:left w:val="single" w:sz="4" w:space="0" w:color="auto"/>
              <w:bottom w:val="single" w:sz="4" w:space="0" w:color="auto"/>
              <w:right w:val="single" w:sz="4" w:space="0" w:color="auto"/>
            </w:tcBorders>
            <w:vAlign w:val="center"/>
            <w:hideMark/>
          </w:tcPr>
          <w:p w14:paraId="206052E8" w14:textId="77777777" w:rsidR="00FA6C5D" w:rsidRPr="00164238" w:rsidRDefault="00FA6C5D">
            <w:pPr>
              <w:jc w:val="center"/>
              <w:rPr>
                <w:rFonts w:ascii="Times New Roman" w:hAnsi="Times New Roman" w:cs="Times New Roman"/>
                <w:b/>
                <w:color w:val="000000" w:themeColor="text1"/>
              </w:rPr>
            </w:pPr>
            <w:r w:rsidRPr="00164238">
              <w:rPr>
                <w:rFonts w:ascii="Times New Roman" w:hAnsi="Times New Roman" w:cs="Times New Roman"/>
                <w:b/>
                <w:color w:val="000000" w:themeColor="text1"/>
              </w:rPr>
              <w:t>2006 Yılı</w:t>
            </w:r>
          </w:p>
        </w:tc>
        <w:tc>
          <w:tcPr>
            <w:tcW w:w="2404" w:type="dxa"/>
            <w:gridSpan w:val="2"/>
            <w:tcBorders>
              <w:top w:val="single" w:sz="4" w:space="0" w:color="auto"/>
              <w:left w:val="single" w:sz="4" w:space="0" w:color="auto"/>
              <w:bottom w:val="single" w:sz="4" w:space="0" w:color="auto"/>
              <w:right w:val="single" w:sz="4" w:space="0" w:color="auto"/>
            </w:tcBorders>
            <w:vAlign w:val="center"/>
            <w:hideMark/>
          </w:tcPr>
          <w:p w14:paraId="2A595CF5" w14:textId="77777777" w:rsidR="00FA6C5D" w:rsidRPr="00164238" w:rsidRDefault="00FA6C5D">
            <w:pPr>
              <w:jc w:val="center"/>
              <w:rPr>
                <w:rFonts w:ascii="Times New Roman" w:hAnsi="Times New Roman" w:cs="Times New Roman"/>
                <w:b/>
                <w:color w:val="000000" w:themeColor="text1"/>
              </w:rPr>
            </w:pPr>
            <w:r w:rsidRPr="00164238">
              <w:rPr>
                <w:rFonts w:ascii="Times New Roman" w:hAnsi="Times New Roman" w:cs="Times New Roman"/>
                <w:b/>
                <w:color w:val="000000" w:themeColor="text1"/>
              </w:rPr>
              <w:t>2020 Yılı</w:t>
            </w:r>
          </w:p>
        </w:tc>
      </w:tr>
      <w:tr w:rsidR="00FA6C5D" w:rsidRPr="00164238" w14:paraId="40C7A368" w14:textId="77777777" w:rsidTr="00FA6C5D">
        <w:tc>
          <w:tcPr>
            <w:tcW w:w="3539" w:type="dxa"/>
            <w:tcBorders>
              <w:top w:val="single" w:sz="4" w:space="0" w:color="auto"/>
              <w:left w:val="single" w:sz="4" w:space="0" w:color="auto"/>
              <w:bottom w:val="single" w:sz="4" w:space="0" w:color="auto"/>
              <w:right w:val="single" w:sz="4" w:space="0" w:color="auto"/>
            </w:tcBorders>
          </w:tcPr>
          <w:p w14:paraId="330B8E82" w14:textId="77777777" w:rsidR="00FA6C5D" w:rsidRPr="00164238" w:rsidRDefault="00FA6C5D">
            <w:pPr>
              <w:rPr>
                <w:rFonts w:ascii="Times New Roman" w:hAnsi="Times New Roman" w:cs="Times New Roman"/>
                <w:color w:val="000000" w:themeColor="text1"/>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5D66CDFE" w14:textId="77777777" w:rsidR="00FA6C5D" w:rsidRPr="00164238" w:rsidRDefault="00FA6C5D">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Ülke Sıralaması</w:t>
            </w:r>
          </w:p>
        </w:tc>
        <w:tc>
          <w:tcPr>
            <w:tcW w:w="993" w:type="dxa"/>
            <w:tcBorders>
              <w:top w:val="single" w:sz="4" w:space="0" w:color="auto"/>
              <w:left w:val="single" w:sz="4" w:space="0" w:color="auto"/>
              <w:bottom w:val="single" w:sz="4" w:space="0" w:color="auto"/>
              <w:right w:val="single" w:sz="4" w:space="0" w:color="auto"/>
            </w:tcBorders>
            <w:vAlign w:val="center"/>
            <w:hideMark/>
          </w:tcPr>
          <w:p w14:paraId="4BF96F07" w14:textId="77777777" w:rsidR="00FA6C5D" w:rsidRPr="00164238" w:rsidRDefault="00FA6C5D">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Puan</w:t>
            </w:r>
          </w:p>
        </w:tc>
        <w:tc>
          <w:tcPr>
            <w:tcW w:w="1693" w:type="dxa"/>
            <w:tcBorders>
              <w:top w:val="single" w:sz="4" w:space="0" w:color="auto"/>
              <w:left w:val="single" w:sz="4" w:space="0" w:color="auto"/>
              <w:bottom w:val="single" w:sz="4" w:space="0" w:color="auto"/>
              <w:right w:val="single" w:sz="4" w:space="0" w:color="auto"/>
            </w:tcBorders>
            <w:vAlign w:val="center"/>
            <w:hideMark/>
          </w:tcPr>
          <w:p w14:paraId="3B252CA5" w14:textId="77777777" w:rsidR="00FA6C5D" w:rsidRPr="00164238" w:rsidRDefault="00FA6C5D">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Ülke Sıralaması</w:t>
            </w:r>
          </w:p>
        </w:tc>
        <w:tc>
          <w:tcPr>
            <w:tcW w:w="711" w:type="dxa"/>
            <w:tcBorders>
              <w:top w:val="single" w:sz="4" w:space="0" w:color="auto"/>
              <w:left w:val="single" w:sz="4" w:space="0" w:color="auto"/>
              <w:bottom w:val="single" w:sz="4" w:space="0" w:color="auto"/>
              <w:right w:val="single" w:sz="4" w:space="0" w:color="auto"/>
            </w:tcBorders>
            <w:vAlign w:val="center"/>
            <w:hideMark/>
          </w:tcPr>
          <w:p w14:paraId="1C2E8C43" w14:textId="77777777" w:rsidR="00FA6C5D" w:rsidRPr="00164238" w:rsidRDefault="00FA6C5D">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Puan</w:t>
            </w:r>
          </w:p>
        </w:tc>
      </w:tr>
      <w:tr w:rsidR="00FA6C5D" w:rsidRPr="00164238" w14:paraId="2C3FF16E" w14:textId="77777777" w:rsidTr="00FA6C5D">
        <w:tc>
          <w:tcPr>
            <w:tcW w:w="3539" w:type="dxa"/>
            <w:tcBorders>
              <w:top w:val="single" w:sz="4" w:space="0" w:color="auto"/>
              <w:left w:val="single" w:sz="4" w:space="0" w:color="auto"/>
              <w:bottom w:val="single" w:sz="4" w:space="0" w:color="auto"/>
              <w:right w:val="single" w:sz="4" w:space="0" w:color="auto"/>
            </w:tcBorders>
            <w:vAlign w:val="center"/>
            <w:hideMark/>
          </w:tcPr>
          <w:p w14:paraId="45D4A80B"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Küresel Cinsiyet Uçurumu İndeksi</w:t>
            </w:r>
          </w:p>
        </w:tc>
        <w:tc>
          <w:tcPr>
            <w:tcW w:w="2126" w:type="dxa"/>
            <w:tcBorders>
              <w:top w:val="single" w:sz="4" w:space="0" w:color="auto"/>
              <w:left w:val="single" w:sz="4" w:space="0" w:color="auto"/>
              <w:bottom w:val="single" w:sz="4" w:space="0" w:color="auto"/>
              <w:right w:val="single" w:sz="4" w:space="0" w:color="auto"/>
            </w:tcBorders>
            <w:vAlign w:val="center"/>
            <w:hideMark/>
          </w:tcPr>
          <w:p w14:paraId="0A3F90FB" w14:textId="77777777" w:rsidR="00FA6C5D" w:rsidRPr="00164238" w:rsidRDefault="00FA6C5D">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105</w:t>
            </w:r>
          </w:p>
        </w:tc>
        <w:tc>
          <w:tcPr>
            <w:tcW w:w="993" w:type="dxa"/>
            <w:tcBorders>
              <w:top w:val="single" w:sz="4" w:space="0" w:color="auto"/>
              <w:left w:val="single" w:sz="4" w:space="0" w:color="auto"/>
              <w:bottom w:val="single" w:sz="4" w:space="0" w:color="auto"/>
              <w:right w:val="single" w:sz="4" w:space="0" w:color="auto"/>
            </w:tcBorders>
            <w:vAlign w:val="center"/>
            <w:hideMark/>
          </w:tcPr>
          <w:p w14:paraId="43A99EA3" w14:textId="77777777" w:rsidR="00FA6C5D" w:rsidRPr="00164238" w:rsidRDefault="00FA6C5D">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0.585</w:t>
            </w:r>
          </w:p>
        </w:tc>
        <w:tc>
          <w:tcPr>
            <w:tcW w:w="1693" w:type="dxa"/>
            <w:tcBorders>
              <w:top w:val="single" w:sz="4" w:space="0" w:color="auto"/>
              <w:left w:val="single" w:sz="4" w:space="0" w:color="auto"/>
              <w:bottom w:val="single" w:sz="4" w:space="0" w:color="auto"/>
              <w:right w:val="single" w:sz="4" w:space="0" w:color="auto"/>
            </w:tcBorders>
            <w:vAlign w:val="center"/>
            <w:hideMark/>
          </w:tcPr>
          <w:p w14:paraId="5D37A88F" w14:textId="77777777" w:rsidR="00FA6C5D" w:rsidRPr="00164238" w:rsidRDefault="00FA6C5D">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130</w:t>
            </w:r>
          </w:p>
        </w:tc>
        <w:tc>
          <w:tcPr>
            <w:tcW w:w="711" w:type="dxa"/>
            <w:tcBorders>
              <w:top w:val="single" w:sz="4" w:space="0" w:color="auto"/>
              <w:left w:val="single" w:sz="4" w:space="0" w:color="auto"/>
              <w:bottom w:val="single" w:sz="4" w:space="0" w:color="auto"/>
              <w:right w:val="single" w:sz="4" w:space="0" w:color="auto"/>
            </w:tcBorders>
            <w:vAlign w:val="center"/>
            <w:hideMark/>
          </w:tcPr>
          <w:p w14:paraId="3B4A4B85" w14:textId="77777777" w:rsidR="00FA6C5D" w:rsidRPr="00164238" w:rsidRDefault="00FA6C5D">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0.635</w:t>
            </w:r>
          </w:p>
        </w:tc>
      </w:tr>
      <w:tr w:rsidR="00FA6C5D" w:rsidRPr="00164238" w14:paraId="2E2A8E5C" w14:textId="77777777" w:rsidTr="00FA6C5D">
        <w:tc>
          <w:tcPr>
            <w:tcW w:w="3539" w:type="dxa"/>
            <w:tcBorders>
              <w:top w:val="single" w:sz="4" w:space="0" w:color="auto"/>
              <w:left w:val="single" w:sz="4" w:space="0" w:color="auto"/>
              <w:bottom w:val="single" w:sz="4" w:space="0" w:color="auto"/>
              <w:right w:val="single" w:sz="4" w:space="0" w:color="auto"/>
            </w:tcBorders>
            <w:vAlign w:val="center"/>
            <w:hideMark/>
          </w:tcPr>
          <w:p w14:paraId="2C1DC0B6"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Ekonomik katılım ve fırsatlar</w:t>
            </w:r>
          </w:p>
        </w:tc>
        <w:tc>
          <w:tcPr>
            <w:tcW w:w="2126" w:type="dxa"/>
            <w:tcBorders>
              <w:top w:val="single" w:sz="4" w:space="0" w:color="auto"/>
              <w:left w:val="single" w:sz="4" w:space="0" w:color="auto"/>
              <w:bottom w:val="single" w:sz="4" w:space="0" w:color="auto"/>
              <w:right w:val="single" w:sz="4" w:space="0" w:color="auto"/>
            </w:tcBorders>
            <w:vAlign w:val="center"/>
            <w:hideMark/>
          </w:tcPr>
          <w:p w14:paraId="0C76BEFE" w14:textId="77777777" w:rsidR="00FA6C5D" w:rsidRPr="00164238" w:rsidRDefault="00FA6C5D">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106</w:t>
            </w:r>
          </w:p>
        </w:tc>
        <w:tc>
          <w:tcPr>
            <w:tcW w:w="993" w:type="dxa"/>
            <w:tcBorders>
              <w:top w:val="single" w:sz="4" w:space="0" w:color="auto"/>
              <w:left w:val="single" w:sz="4" w:space="0" w:color="auto"/>
              <w:bottom w:val="single" w:sz="4" w:space="0" w:color="auto"/>
              <w:right w:val="single" w:sz="4" w:space="0" w:color="auto"/>
            </w:tcBorders>
            <w:vAlign w:val="center"/>
            <w:hideMark/>
          </w:tcPr>
          <w:p w14:paraId="4289C494" w14:textId="77777777" w:rsidR="00FA6C5D" w:rsidRPr="00164238" w:rsidRDefault="00FA6C5D">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0.434</w:t>
            </w:r>
          </w:p>
        </w:tc>
        <w:tc>
          <w:tcPr>
            <w:tcW w:w="1693" w:type="dxa"/>
            <w:tcBorders>
              <w:top w:val="single" w:sz="4" w:space="0" w:color="auto"/>
              <w:left w:val="single" w:sz="4" w:space="0" w:color="auto"/>
              <w:bottom w:val="single" w:sz="4" w:space="0" w:color="auto"/>
              <w:right w:val="single" w:sz="4" w:space="0" w:color="auto"/>
            </w:tcBorders>
            <w:vAlign w:val="center"/>
            <w:hideMark/>
          </w:tcPr>
          <w:p w14:paraId="3A474559" w14:textId="77777777" w:rsidR="00FA6C5D" w:rsidRPr="00164238" w:rsidRDefault="00FA6C5D">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136</w:t>
            </w:r>
          </w:p>
        </w:tc>
        <w:tc>
          <w:tcPr>
            <w:tcW w:w="711" w:type="dxa"/>
            <w:tcBorders>
              <w:top w:val="single" w:sz="4" w:space="0" w:color="auto"/>
              <w:left w:val="single" w:sz="4" w:space="0" w:color="auto"/>
              <w:bottom w:val="single" w:sz="4" w:space="0" w:color="auto"/>
              <w:right w:val="single" w:sz="4" w:space="0" w:color="auto"/>
            </w:tcBorders>
            <w:vAlign w:val="center"/>
            <w:hideMark/>
          </w:tcPr>
          <w:p w14:paraId="5B3C2A2B" w14:textId="77777777" w:rsidR="00FA6C5D" w:rsidRPr="00164238" w:rsidRDefault="00FA6C5D">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0.478</w:t>
            </w:r>
          </w:p>
        </w:tc>
      </w:tr>
      <w:tr w:rsidR="00FA6C5D" w:rsidRPr="00164238" w14:paraId="0C31BAA0" w14:textId="77777777" w:rsidTr="00FA6C5D">
        <w:tc>
          <w:tcPr>
            <w:tcW w:w="3539" w:type="dxa"/>
            <w:tcBorders>
              <w:top w:val="single" w:sz="4" w:space="0" w:color="auto"/>
              <w:left w:val="single" w:sz="4" w:space="0" w:color="auto"/>
              <w:bottom w:val="single" w:sz="4" w:space="0" w:color="auto"/>
              <w:right w:val="single" w:sz="4" w:space="0" w:color="auto"/>
            </w:tcBorders>
            <w:vAlign w:val="center"/>
            <w:hideMark/>
          </w:tcPr>
          <w:p w14:paraId="31A437FD"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Eğitim durumu</w:t>
            </w:r>
          </w:p>
        </w:tc>
        <w:tc>
          <w:tcPr>
            <w:tcW w:w="2126" w:type="dxa"/>
            <w:tcBorders>
              <w:top w:val="single" w:sz="4" w:space="0" w:color="auto"/>
              <w:left w:val="single" w:sz="4" w:space="0" w:color="auto"/>
              <w:bottom w:val="single" w:sz="4" w:space="0" w:color="auto"/>
              <w:right w:val="single" w:sz="4" w:space="0" w:color="auto"/>
            </w:tcBorders>
            <w:vAlign w:val="center"/>
            <w:hideMark/>
          </w:tcPr>
          <w:p w14:paraId="0404B337" w14:textId="77777777" w:rsidR="00FA6C5D" w:rsidRPr="00164238" w:rsidRDefault="00FA6C5D">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92</w:t>
            </w:r>
          </w:p>
        </w:tc>
        <w:tc>
          <w:tcPr>
            <w:tcW w:w="993" w:type="dxa"/>
            <w:tcBorders>
              <w:top w:val="single" w:sz="4" w:space="0" w:color="auto"/>
              <w:left w:val="single" w:sz="4" w:space="0" w:color="auto"/>
              <w:bottom w:val="single" w:sz="4" w:space="0" w:color="auto"/>
              <w:right w:val="single" w:sz="4" w:space="0" w:color="auto"/>
            </w:tcBorders>
            <w:vAlign w:val="center"/>
            <w:hideMark/>
          </w:tcPr>
          <w:p w14:paraId="435BF157" w14:textId="77777777" w:rsidR="00FA6C5D" w:rsidRPr="00164238" w:rsidRDefault="00FA6C5D">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0.885</w:t>
            </w:r>
          </w:p>
        </w:tc>
        <w:tc>
          <w:tcPr>
            <w:tcW w:w="1693" w:type="dxa"/>
            <w:tcBorders>
              <w:top w:val="single" w:sz="4" w:space="0" w:color="auto"/>
              <w:left w:val="single" w:sz="4" w:space="0" w:color="auto"/>
              <w:bottom w:val="single" w:sz="4" w:space="0" w:color="auto"/>
              <w:right w:val="single" w:sz="4" w:space="0" w:color="auto"/>
            </w:tcBorders>
            <w:vAlign w:val="center"/>
            <w:hideMark/>
          </w:tcPr>
          <w:p w14:paraId="39465E76" w14:textId="77777777" w:rsidR="00FA6C5D" w:rsidRPr="00164238" w:rsidRDefault="00FA6C5D">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113</w:t>
            </w:r>
          </w:p>
        </w:tc>
        <w:tc>
          <w:tcPr>
            <w:tcW w:w="711" w:type="dxa"/>
            <w:tcBorders>
              <w:top w:val="single" w:sz="4" w:space="0" w:color="auto"/>
              <w:left w:val="single" w:sz="4" w:space="0" w:color="auto"/>
              <w:bottom w:val="single" w:sz="4" w:space="0" w:color="auto"/>
              <w:right w:val="single" w:sz="4" w:space="0" w:color="auto"/>
            </w:tcBorders>
            <w:vAlign w:val="center"/>
            <w:hideMark/>
          </w:tcPr>
          <w:p w14:paraId="5BA2B61F" w14:textId="77777777" w:rsidR="00FA6C5D" w:rsidRPr="00164238" w:rsidRDefault="00FA6C5D">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0.961</w:t>
            </w:r>
          </w:p>
        </w:tc>
      </w:tr>
      <w:tr w:rsidR="00FA6C5D" w:rsidRPr="00164238" w14:paraId="6254F6BB" w14:textId="77777777" w:rsidTr="00FA6C5D">
        <w:tc>
          <w:tcPr>
            <w:tcW w:w="3539" w:type="dxa"/>
            <w:tcBorders>
              <w:top w:val="single" w:sz="4" w:space="0" w:color="auto"/>
              <w:left w:val="single" w:sz="4" w:space="0" w:color="auto"/>
              <w:bottom w:val="single" w:sz="4" w:space="0" w:color="auto"/>
              <w:right w:val="single" w:sz="4" w:space="0" w:color="auto"/>
            </w:tcBorders>
            <w:vAlign w:val="center"/>
            <w:hideMark/>
          </w:tcPr>
          <w:p w14:paraId="6AD14D29"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Sağlık ve hayatta kalma</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A8A1135" w14:textId="77777777" w:rsidR="00FA6C5D" w:rsidRPr="00164238" w:rsidRDefault="00FA6C5D">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85</w:t>
            </w:r>
          </w:p>
        </w:tc>
        <w:tc>
          <w:tcPr>
            <w:tcW w:w="993" w:type="dxa"/>
            <w:tcBorders>
              <w:top w:val="single" w:sz="4" w:space="0" w:color="auto"/>
              <w:left w:val="single" w:sz="4" w:space="0" w:color="auto"/>
              <w:bottom w:val="single" w:sz="4" w:space="0" w:color="auto"/>
              <w:right w:val="single" w:sz="4" w:space="0" w:color="auto"/>
            </w:tcBorders>
            <w:vAlign w:val="center"/>
            <w:hideMark/>
          </w:tcPr>
          <w:p w14:paraId="1DC30D13" w14:textId="77777777" w:rsidR="00FA6C5D" w:rsidRPr="00164238" w:rsidRDefault="00FA6C5D">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0.969</w:t>
            </w:r>
          </w:p>
        </w:tc>
        <w:tc>
          <w:tcPr>
            <w:tcW w:w="1693" w:type="dxa"/>
            <w:tcBorders>
              <w:top w:val="single" w:sz="4" w:space="0" w:color="auto"/>
              <w:left w:val="single" w:sz="4" w:space="0" w:color="auto"/>
              <w:bottom w:val="single" w:sz="4" w:space="0" w:color="auto"/>
              <w:right w:val="single" w:sz="4" w:space="0" w:color="auto"/>
            </w:tcBorders>
            <w:vAlign w:val="center"/>
            <w:hideMark/>
          </w:tcPr>
          <w:p w14:paraId="5ED95E41" w14:textId="77777777" w:rsidR="00FA6C5D" w:rsidRPr="00164238" w:rsidRDefault="00FA6C5D">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64</w:t>
            </w:r>
          </w:p>
        </w:tc>
        <w:tc>
          <w:tcPr>
            <w:tcW w:w="711" w:type="dxa"/>
            <w:tcBorders>
              <w:top w:val="single" w:sz="4" w:space="0" w:color="auto"/>
              <w:left w:val="single" w:sz="4" w:space="0" w:color="auto"/>
              <w:bottom w:val="single" w:sz="4" w:space="0" w:color="auto"/>
              <w:right w:val="single" w:sz="4" w:space="0" w:color="auto"/>
            </w:tcBorders>
            <w:vAlign w:val="center"/>
            <w:hideMark/>
          </w:tcPr>
          <w:p w14:paraId="5401C0F9" w14:textId="77777777" w:rsidR="00FA6C5D" w:rsidRPr="00164238" w:rsidRDefault="00FA6C5D">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0.976</w:t>
            </w:r>
          </w:p>
        </w:tc>
      </w:tr>
      <w:tr w:rsidR="00FA6C5D" w:rsidRPr="00164238" w14:paraId="60B89395" w14:textId="77777777" w:rsidTr="00FA6C5D">
        <w:tc>
          <w:tcPr>
            <w:tcW w:w="3539" w:type="dxa"/>
            <w:tcBorders>
              <w:top w:val="single" w:sz="4" w:space="0" w:color="auto"/>
              <w:left w:val="single" w:sz="4" w:space="0" w:color="auto"/>
              <w:bottom w:val="single" w:sz="4" w:space="0" w:color="auto"/>
              <w:right w:val="single" w:sz="4" w:space="0" w:color="auto"/>
            </w:tcBorders>
            <w:vAlign w:val="center"/>
            <w:hideMark/>
          </w:tcPr>
          <w:p w14:paraId="708A61CF"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color w:val="000000" w:themeColor="text1"/>
              </w:rPr>
              <w:t>Siyasi yetkilendirme</w:t>
            </w:r>
          </w:p>
        </w:tc>
        <w:tc>
          <w:tcPr>
            <w:tcW w:w="2126" w:type="dxa"/>
            <w:tcBorders>
              <w:top w:val="single" w:sz="4" w:space="0" w:color="auto"/>
              <w:left w:val="single" w:sz="4" w:space="0" w:color="auto"/>
              <w:bottom w:val="single" w:sz="4" w:space="0" w:color="auto"/>
              <w:right w:val="single" w:sz="4" w:space="0" w:color="auto"/>
            </w:tcBorders>
            <w:vAlign w:val="center"/>
            <w:hideMark/>
          </w:tcPr>
          <w:p w14:paraId="07D74866" w14:textId="77777777" w:rsidR="00FA6C5D" w:rsidRPr="00164238" w:rsidRDefault="00FA6C5D">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96</w:t>
            </w:r>
          </w:p>
        </w:tc>
        <w:tc>
          <w:tcPr>
            <w:tcW w:w="993" w:type="dxa"/>
            <w:tcBorders>
              <w:top w:val="single" w:sz="4" w:space="0" w:color="auto"/>
              <w:left w:val="single" w:sz="4" w:space="0" w:color="auto"/>
              <w:bottom w:val="single" w:sz="4" w:space="0" w:color="auto"/>
              <w:right w:val="single" w:sz="4" w:space="0" w:color="auto"/>
            </w:tcBorders>
            <w:vAlign w:val="center"/>
            <w:hideMark/>
          </w:tcPr>
          <w:p w14:paraId="690130D1" w14:textId="77777777" w:rsidR="00FA6C5D" w:rsidRPr="00164238" w:rsidRDefault="00FA6C5D">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0.052</w:t>
            </w:r>
          </w:p>
        </w:tc>
        <w:tc>
          <w:tcPr>
            <w:tcW w:w="1693" w:type="dxa"/>
            <w:tcBorders>
              <w:top w:val="single" w:sz="4" w:space="0" w:color="auto"/>
              <w:left w:val="single" w:sz="4" w:space="0" w:color="auto"/>
              <w:bottom w:val="single" w:sz="4" w:space="0" w:color="auto"/>
              <w:right w:val="single" w:sz="4" w:space="0" w:color="auto"/>
            </w:tcBorders>
            <w:vAlign w:val="center"/>
            <w:hideMark/>
          </w:tcPr>
          <w:p w14:paraId="6DBAB1DE" w14:textId="77777777" w:rsidR="00FA6C5D" w:rsidRPr="00164238" w:rsidRDefault="00FA6C5D">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109</w:t>
            </w:r>
          </w:p>
        </w:tc>
        <w:tc>
          <w:tcPr>
            <w:tcW w:w="711" w:type="dxa"/>
            <w:tcBorders>
              <w:top w:val="single" w:sz="4" w:space="0" w:color="auto"/>
              <w:left w:val="single" w:sz="4" w:space="0" w:color="auto"/>
              <w:bottom w:val="single" w:sz="4" w:space="0" w:color="auto"/>
              <w:right w:val="single" w:sz="4" w:space="0" w:color="auto"/>
            </w:tcBorders>
            <w:vAlign w:val="center"/>
            <w:hideMark/>
          </w:tcPr>
          <w:p w14:paraId="2E4679BA" w14:textId="77777777" w:rsidR="00FA6C5D" w:rsidRPr="00164238" w:rsidRDefault="00FA6C5D">
            <w:pPr>
              <w:jc w:val="center"/>
              <w:rPr>
                <w:rFonts w:ascii="Times New Roman" w:hAnsi="Times New Roman" w:cs="Times New Roman"/>
                <w:color w:val="000000" w:themeColor="text1"/>
              </w:rPr>
            </w:pPr>
            <w:r w:rsidRPr="00164238">
              <w:rPr>
                <w:rFonts w:ascii="Times New Roman" w:hAnsi="Times New Roman" w:cs="Times New Roman"/>
                <w:color w:val="000000" w:themeColor="text1"/>
              </w:rPr>
              <w:t>0.124</w:t>
            </w:r>
          </w:p>
        </w:tc>
      </w:tr>
    </w:tbl>
    <w:p w14:paraId="2402B21E" w14:textId="77777777" w:rsidR="00FA6C5D" w:rsidRPr="00164238" w:rsidRDefault="00FA6C5D" w:rsidP="00FA6C5D">
      <w:pPr>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lang w:eastAsia="tr-TR"/>
        </w:rPr>
        <w:t xml:space="preserve">Kaynak: </w:t>
      </w:r>
      <w:r w:rsidRPr="00164238">
        <w:rPr>
          <w:rFonts w:ascii="Times New Roman" w:hAnsi="Times New Roman" w:cs="Times New Roman"/>
          <w:color w:val="000000" w:themeColor="text1"/>
        </w:rPr>
        <w:t>GGGR, 2020:343.</w:t>
      </w:r>
    </w:p>
    <w:p w14:paraId="1677ED76" w14:textId="77777777" w:rsidR="00FA6C5D" w:rsidRPr="00164238" w:rsidRDefault="00FA6C5D" w:rsidP="00FA6C5D">
      <w:pPr>
        <w:jc w:val="both"/>
        <w:rPr>
          <w:rFonts w:ascii="Times New Roman" w:hAnsi="Times New Roman" w:cs="Times New Roman"/>
          <w:color w:val="000000" w:themeColor="text1"/>
        </w:rPr>
      </w:pPr>
    </w:p>
    <w:p w14:paraId="11DD8310" w14:textId="77777777" w:rsidR="00FA6C5D" w:rsidRPr="00164238" w:rsidRDefault="00FA6C5D" w:rsidP="00FA6C5D">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Ayrıca tablodan ekonomik katılım ve fırsatlarda 153 ülke arasında 106.sıradan 136. sıraya gerilediğimizi görmek mümkündür. </w:t>
      </w:r>
    </w:p>
    <w:p w14:paraId="79F9C351" w14:textId="77777777" w:rsidR="00FA6C5D" w:rsidRPr="00164238" w:rsidRDefault="00FA6C5D" w:rsidP="00FA6C5D">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lastRenderedPageBreak/>
        <w:t>Hem Kadın, İş Dünyası ve Hukuk indeksi hem de Küresel Cinsiyet Uçurumu indeksi göstergelerinden anlaşılmaktadır ki, kadınlar ekonomik olarak hem savunmasız hem de erkekler ile eşit durumda değillerdir.</w:t>
      </w:r>
    </w:p>
    <w:p w14:paraId="7DC6F7B4" w14:textId="77777777" w:rsidR="00FA6C5D" w:rsidRPr="00164238" w:rsidRDefault="00FA6C5D" w:rsidP="00FA6C5D">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b/>
          <w:color w:val="000000" w:themeColor="text1"/>
          <w:lang w:eastAsia="tr-TR"/>
        </w:rPr>
        <w:t>COVID 19 SALGININ KADINLAR ÜZERINDEKI ETKILERI</w:t>
      </w:r>
    </w:p>
    <w:p w14:paraId="5519A934" w14:textId="77777777" w:rsidR="00FA6C5D" w:rsidRPr="00164238" w:rsidRDefault="00FA6C5D" w:rsidP="00FA6C5D">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04.04.2021 tarihi itibari ile Covid 19 salgını vaka sayısı dünya genelinde 132 milyonu, vefat sayısı ise 2,86 milyonu geçmiş durumdadır. Türkiye’de ise vaka sayısı 3,5 milyon, vefat sayısı ise 32 bini geçniş durumdadır (URL 1). Bu rakamlar salgının artık sadece bir sağlık krizi değil, sosyal ve ekonomik bir krize de işaret ettiğini göstermektedir. Salgın ile ilgili cinsiyete duyarlı ve ayrıntılı verilere ulaşmak çok güçtür. Yapılan bir çalışma da Grafik 2’de görüldüğü gibi vaka sayısının erkeklerde %53 ile kadınlardan biraz fazla olmasına rağmen 85 yaş üstü kadınlarda vaka oranı erkeklerden daha yüksektir.</w:t>
      </w:r>
    </w:p>
    <w:p w14:paraId="547D109F" w14:textId="77777777" w:rsidR="00FA6C5D" w:rsidRPr="00164238" w:rsidRDefault="00FA6C5D" w:rsidP="00FA6C5D">
      <w:pPr>
        <w:spacing w:before="120" w:after="120" w:line="276" w:lineRule="auto"/>
        <w:jc w:val="both"/>
        <w:rPr>
          <w:rFonts w:ascii="Times New Roman" w:hAnsi="Times New Roman" w:cs="Times New Roman"/>
          <w:color w:val="000000" w:themeColor="text1"/>
          <w:lang w:eastAsia="tr-TR"/>
        </w:rPr>
      </w:pPr>
      <w:r w:rsidRPr="00164238">
        <w:rPr>
          <w:rFonts w:ascii="Times New Roman" w:hAnsi="Times New Roman" w:cs="Times New Roman"/>
          <w:i/>
          <w:color w:val="000000" w:themeColor="text1"/>
          <w:lang w:eastAsia="tr-TR"/>
        </w:rPr>
        <w:t>Grafik 2.</w:t>
      </w:r>
      <w:r w:rsidRPr="00164238">
        <w:rPr>
          <w:rFonts w:ascii="Times New Roman" w:hAnsi="Times New Roman" w:cs="Times New Roman"/>
          <w:color w:val="000000" w:themeColor="text1"/>
          <w:lang w:eastAsia="tr-TR"/>
        </w:rPr>
        <w:t xml:space="preserve"> Covid 19 Salgınının Cinsiyete Göre Dağılımı</w:t>
      </w:r>
    </w:p>
    <w:p w14:paraId="5CF390B5" w14:textId="43B12391" w:rsidR="00FA6C5D" w:rsidRPr="00164238" w:rsidRDefault="00FA6C5D" w:rsidP="00FA6C5D">
      <w:pPr>
        <w:spacing w:before="120" w:after="120" w:line="276" w:lineRule="auto"/>
        <w:jc w:val="both"/>
        <w:rPr>
          <w:rFonts w:ascii="Times New Roman" w:hAnsi="Times New Roman" w:cs="Times New Roman"/>
          <w:color w:val="000000" w:themeColor="text1"/>
          <w:lang w:eastAsia="tr-TR"/>
        </w:rPr>
      </w:pPr>
      <w:r w:rsidRPr="00164238">
        <w:rPr>
          <w:rFonts w:ascii="Times New Roman" w:hAnsi="Times New Roman" w:cs="Times New Roman"/>
          <w:noProof/>
          <w:color w:val="000000" w:themeColor="text1"/>
          <w:lang w:val="en-US"/>
        </w:rPr>
        <w:drawing>
          <wp:inline distT="0" distB="0" distL="0" distR="0" wp14:anchorId="5D708281" wp14:editId="034330BB">
            <wp:extent cx="5760720" cy="2266315"/>
            <wp:effectExtent l="0" t="0" r="0" b="635"/>
            <wp:docPr id="135" name="Resi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760720" cy="2266315"/>
                    </a:xfrm>
                    <a:prstGeom prst="rect">
                      <a:avLst/>
                    </a:prstGeom>
                    <a:noFill/>
                    <a:ln>
                      <a:noFill/>
                    </a:ln>
                  </pic:spPr>
                </pic:pic>
              </a:graphicData>
            </a:graphic>
          </wp:inline>
        </w:drawing>
      </w:r>
    </w:p>
    <w:p w14:paraId="07034DA5" w14:textId="77777777" w:rsidR="00FA6C5D" w:rsidRPr="00164238" w:rsidRDefault="00FA6C5D" w:rsidP="00FA6C5D">
      <w:pPr>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Kaynak: Azcona vd., 2020:3.</w:t>
      </w:r>
    </w:p>
    <w:p w14:paraId="24C656E9" w14:textId="77777777" w:rsidR="00FA6C5D" w:rsidRPr="00164238" w:rsidRDefault="00FA6C5D" w:rsidP="00FA6C5D">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Bu oranlar kadınların salgından daha fazla etkilendiğinin kanıtıdır. Aynı çalışmada kadınların ekonomik olarak Covid 19 salgınından etkilenmeleri incelenmiş ve (Azcona vd., 2020:5);</w:t>
      </w:r>
    </w:p>
    <w:p w14:paraId="6800E350" w14:textId="77777777" w:rsidR="00FA6C5D" w:rsidRPr="00164238" w:rsidRDefault="00FA6C5D" w:rsidP="007C3550">
      <w:pPr>
        <w:pStyle w:val="ListeParagraf"/>
        <w:numPr>
          <w:ilvl w:val="0"/>
          <w:numId w:val="46"/>
        </w:numPr>
        <w:spacing w:before="120" w:after="120" w:line="276" w:lineRule="auto"/>
        <w:jc w:val="both"/>
        <w:rPr>
          <w:rFonts w:ascii="Times New Roman" w:hAnsi="Times New Roman" w:cs="Times New Roman"/>
          <w:color w:val="000000" w:themeColor="text1"/>
          <w:sz w:val="20"/>
          <w:szCs w:val="20"/>
          <w:lang w:eastAsia="tr-TR"/>
        </w:rPr>
      </w:pPr>
      <w:r w:rsidRPr="00164238">
        <w:rPr>
          <w:rFonts w:ascii="Times New Roman" w:hAnsi="Times New Roman" w:cs="Times New Roman"/>
          <w:color w:val="000000" w:themeColor="text1"/>
          <w:sz w:val="20"/>
          <w:szCs w:val="20"/>
          <w:lang w:eastAsia="tr-TR"/>
        </w:rPr>
        <w:t xml:space="preserve">740 milyon kadının kayıtdışı ekonomide çalışmakta olup, salgının ilk dönemlerinde gelirlerinde %60 azalma olduğu, </w:t>
      </w:r>
    </w:p>
    <w:p w14:paraId="051D5686" w14:textId="77777777" w:rsidR="00FA6C5D" w:rsidRPr="00164238" w:rsidRDefault="00FA6C5D" w:rsidP="007C3550">
      <w:pPr>
        <w:pStyle w:val="ListeParagraf"/>
        <w:numPr>
          <w:ilvl w:val="0"/>
          <w:numId w:val="46"/>
        </w:numPr>
        <w:spacing w:before="120" w:after="120" w:line="276" w:lineRule="auto"/>
        <w:jc w:val="both"/>
        <w:rPr>
          <w:rFonts w:ascii="Times New Roman" w:hAnsi="Times New Roman" w:cs="Times New Roman"/>
          <w:color w:val="000000" w:themeColor="text1"/>
          <w:sz w:val="20"/>
          <w:szCs w:val="20"/>
          <w:lang w:eastAsia="tr-TR"/>
        </w:rPr>
      </w:pPr>
      <w:r w:rsidRPr="00164238">
        <w:rPr>
          <w:rFonts w:ascii="Times New Roman" w:hAnsi="Times New Roman" w:cs="Times New Roman"/>
          <w:color w:val="000000" w:themeColor="text1"/>
          <w:sz w:val="20"/>
          <w:szCs w:val="20"/>
          <w:lang w:eastAsia="tr-TR"/>
        </w:rPr>
        <w:t>Çalışan kadınların erkeklere göre %19 daha fazla risk altında olduğu,</w:t>
      </w:r>
    </w:p>
    <w:p w14:paraId="518CF9B7" w14:textId="77777777" w:rsidR="00FA6C5D" w:rsidRPr="00164238" w:rsidRDefault="00FA6C5D" w:rsidP="007C3550">
      <w:pPr>
        <w:pStyle w:val="ListeParagraf"/>
        <w:numPr>
          <w:ilvl w:val="0"/>
          <w:numId w:val="46"/>
        </w:numPr>
        <w:spacing w:before="120" w:after="120" w:line="276" w:lineRule="auto"/>
        <w:jc w:val="both"/>
        <w:rPr>
          <w:rFonts w:ascii="Times New Roman" w:hAnsi="Times New Roman" w:cs="Times New Roman"/>
          <w:color w:val="000000" w:themeColor="text1"/>
          <w:sz w:val="20"/>
          <w:szCs w:val="20"/>
          <w:lang w:eastAsia="tr-TR"/>
        </w:rPr>
      </w:pPr>
      <w:r w:rsidRPr="00164238">
        <w:rPr>
          <w:rFonts w:ascii="Times New Roman" w:hAnsi="Times New Roman" w:cs="Times New Roman"/>
          <w:color w:val="000000" w:themeColor="text1"/>
          <w:sz w:val="20"/>
          <w:szCs w:val="20"/>
          <w:lang w:eastAsia="tr-TR"/>
        </w:rPr>
        <w:t xml:space="preserve">Yerli işçilerin iş kayıp oranının %72 olduğu ve bunun %80’inikadınların oluşturduğu, </w:t>
      </w:r>
    </w:p>
    <w:p w14:paraId="2854D3AC" w14:textId="77777777" w:rsidR="00FA6C5D" w:rsidRPr="00164238" w:rsidRDefault="00FA6C5D" w:rsidP="007C3550">
      <w:pPr>
        <w:pStyle w:val="ListeParagraf"/>
        <w:numPr>
          <w:ilvl w:val="0"/>
          <w:numId w:val="46"/>
        </w:numPr>
        <w:spacing w:before="120" w:after="120" w:line="276" w:lineRule="auto"/>
        <w:jc w:val="both"/>
        <w:rPr>
          <w:rFonts w:ascii="Times New Roman" w:hAnsi="Times New Roman" w:cs="Times New Roman"/>
          <w:color w:val="000000" w:themeColor="text1"/>
          <w:sz w:val="20"/>
          <w:szCs w:val="20"/>
          <w:lang w:eastAsia="tr-TR"/>
        </w:rPr>
      </w:pPr>
      <w:r w:rsidRPr="00164238">
        <w:rPr>
          <w:rFonts w:ascii="Times New Roman" w:hAnsi="Times New Roman" w:cs="Times New Roman"/>
          <w:color w:val="000000" w:themeColor="text1"/>
          <w:sz w:val="20"/>
          <w:szCs w:val="20"/>
          <w:lang w:eastAsia="tr-TR"/>
        </w:rPr>
        <w:t>Asya ve Pasifikte çalışma saatlerinde yaşanan düşüşlerde erkeklerde oranın %35 iken, kadınlarda %50 olduğu,</w:t>
      </w:r>
    </w:p>
    <w:p w14:paraId="5949406E" w14:textId="77777777" w:rsidR="00FA6C5D" w:rsidRPr="00164238" w:rsidRDefault="00FA6C5D" w:rsidP="007C3550">
      <w:pPr>
        <w:pStyle w:val="ListeParagraf"/>
        <w:numPr>
          <w:ilvl w:val="0"/>
          <w:numId w:val="46"/>
        </w:numPr>
        <w:spacing w:before="120" w:after="120" w:line="276" w:lineRule="auto"/>
        <w:jc w:val="both"/>
        <w:rPr>
          <w:rFonts w:ascii="Times New Roman" w:hAnsi="Times New Roman" w:cs="Times New Roman"/>
          <w:color w:val="000000" w:themeColor="text1"/>
          <w:sz w:val="20"/>
          <w:szCs w:val="20"/>
          <w:lang w:eastAsia="tr-TR"/>
        </w:rPr>
      </w:pPr>
      <w:r w:rsidRPr="00164238">
        <w:rPr>
          <w:rFonts w:ascii="Times New Roman" w:hAnsi="Times New Roman" w:cs="Times New Roman"/>
          <w:color w:val="000000" w:themeColor="text1"/>
          <w:sz w:val="20"/>
          <w:szCs w:val="20"/>
          <w:lang w:eastAsia="tr-TR"/>
        </w:rPr>
        <w:t>Avrupa ve Orta Asya’da ise Serbest meslek sahibi olup işlerini kaybedenler arasında erkeklerin oranın %21, kadınların oranının ise %25 olduğu,</w:t>
      </w:r>
    </w:p>
    <w:p w14:paraId="6A3998B8" w14:textId="77777777" w:rsidR="00FA6C5D" w:rsidRPr="00164238" w:rsidRDefault="00FA6C5D" w:rsidP="007C3550">
      <w:pPr>
        <w:pStyle w:val="ListeParagraf"/>
        <w:numPr>
          <w:ilvl w:val="0"/>
          <w:numId w:val="46"/>
        </w:numPr>
        <w:spacing w:before="120" w:after="120" w:line="276" w:lineRule="auto"/>
        <w:jc w:val="both"/>
        <w:rPr>
          <w:rFonts w:ascii="Times New Roman" w:hAnsi="Times New Roman" w:cs="Times New Roman"/>
          <w:color w:val="000000" w:themeColor="text1"/>
          <w:sz w:val="20"/>
          <w:szCs w:val="20"/>
          <w:lang w:eastAsia="tr-TR"/>
        </w:rPr>
      </w:pPr>
      <w:r w:rsidRPr="00164238">
        <w:rPr>
          <w:rFonts w:ascii="Times New Roman" w:hAnsi="Times New Roman" w:cs="Times New Roman"/>
          <w:color w:val="000000" w:themeColor="text1"/>
          <w:sz w:val="20"/>
          <w:szCs w:val="20"/>
          <w:lang w:eastAsia="tr-TR"/>
        </w:rPr>
        <w:t>Konaklama ve yiyecek sektöründe görülen %75,4 iş kaybının %54’ünü kadınların oluşturduğu bulunmuştur.</w:t>
      </w:r>
    </w:p>
    <w:p w14:paraId="3EA4C61A" w14:textId="77777777" w:rsidR="00FA6C5D" w:rsidRPr="00164238" w:rsidRDefault="00FA6C5D" w:rsidP="00FA6C5D">
      <w:pPr>
        <w:spacing w:before="120" w:after="120" w:line="276" w:lineRule="auto"/>
        <w:ind w:firstLine="567"/>
        <w:jc w:val="both"/>
        <w:rPr>
          <w:rFonts w:ascii="Times New Roman" w:hAnsi="Times New Roman" w:cs="Times New Roman"/>
          <w:color w:val="000000" w:themeColor="text1"/>
          <w:sz w:val="20"/>
          <w:szCs w:val="20"/>
          <w:lang w:eastAsia="tr-TR"/>
        </w:rPr>
      </w:pPr>
      <w:r w:rsidRPr="00164238">
        <w:rPr>
          <w:rFonts w:ascii="Times New Roman" w:hAnsi="Times New Roman" w:cs="Times New Roman"/>
          <w:color w:val="000000" w:themeColor="text1"/>
          <w:lang w:eastAsia="tr-TR"/>
        </w:rPr>
        <w:t xml:space="preserve">Covid 19 salgınının kadınlar üzerindeki etkileri erkeklere oranla daha ağır olmuş ve olmaya da devam etmektedir. Covid 19 salgını ile birlikte çalışma saatlerinde bir düşüş yaşanırken </w:t>
      </w:r>
      <w:r w:rsidRPr="00164238">
        <w:rPr>
          <w:rFonts w:ascii="Times New Roman" w:hAnsi="Times New Roman" w:cs="Times New Roman"/>
          <w:color w:val="000000" w:themeColor="text1"/>
          <w:lang w:eastAsia="tr-TR"/>
        </w:rPr>
        <w:lastRenderedPageBreak/>
        <w:t>ücretsiz bakım, temizlik, yemek ve alışveriş gibi ev içi iş yükünde de bir artış görülmüştür. Bu iş yükü artışını ise şekil 2’de görmek mümkündür.</w:t>
      </w:r>
    </w:p>
    <w:p w14:paraId="5250A591" w14:textId="77777777" w:rsidR="00FA6C5D" w:rsidRPr="00164238" w:rsidRDefault="00FA6C5D" w:rsidP="00FA6C5D">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i/>
          <w:color w:val="000000" w:themeColor="text1"/>
          <w:lang w:eastAsia="tr-TR"/>
        </w:rPr>
        <w:t>Şekil 2.</w:t>
      </w:r>
      <w:r w:rsidRPr="00164238">
        <w:rPr>
          <w:rFonts w:ascii="Times New Roman" w:hAnsi="Times New Roman" w:cs="Times New Roman"/>
          <w:color w:val="000000" w:themeColor="text1"/>
          <w:lang w:eastAsia="tr-TR"/>
        </w:rPr>
        <w:t xml:space="preserve"> </w:t>
      </w:r>
      <w:r w:rsidRPr="00164238">
        <w:rPr>
          <w:rFonts w:ascii="Times New Roman" w:hAnsi="Times New Roman" w:cs="Times New Roman"/>
          <w:color w:val="000000" w:themeColor="text1"/>
        </w:rPr>
        <w:t>Asya, Pasifik, Avrupa ve Orta Asya’da 22 Ülkede Covid 19 Salgını İle Artan İş Yükleri</w:t>
      </w:r>
    </w:p>
    <w:p w14:paraId="7AEC8882" w14:textId="0C08ABCF" w:rsidR="00FA6C5D" w:rsidRPr="00164238" w:rsidRDefault="00FA6C5D" w:rsidP="00FA6C5D">
      <w:pPr>
        <w:spacing w:before="120" w:after="120" w:line="276" w:lineRule="auto"/>
        <w:ind w:left="360"/>
        <w:jc w:val="both"/>
        <w:rPr>
          <w:rFonts w:ascii="Times New Roman" w:hAnsi="Times New Roman" w:cs="Times New Roman"/>
          <w:color w:val="000000" w:themeColor="text1"/>
          <w:lang w:eastAsia="tr-TR"/>
        </w:rPr>
      </w:pPr>
      <w:r w:rsidRPr="00164238">
        <w:rPr>
          <w:rFonts w:ascii="Times New Roman" w:hAnsi="Times New Roman" w:cs="Times New Roman"/>
          <w:noProof/>
          <w:color w:val="000000" w:themeColor="text1"/>
          <w:lang w:val="en-US"/>
        </w:rPr>
        <w:drawing>
          <wp:inline distT="0" distB="0" distL="0" distR="0" wp14:anchorId="404B81E1" wp14:editId="3370DE30">
            <wp:extent cx="5760720" cy="2028190"/>
            <wp:effectExtent l="0" t="0" r="0" b="0"/>
            <wp:docPr id="134" name="Resi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760720" cy="2028190"/>
                    </a:xfrm>
                    <a:prstGeom prst="rect">
                      <a:avLst/>
                    </a:prstGeom>
                    <a:noFill/>
                    <a:ln>
                      <a:noFill/>
                    </a:ln>
                  </pic:spPr>
                </pic:pic>
              </a:graphicData>
            </a:graphic>
          </wp:inline>
        </w:drawing>
      </w:r>
    </w:p>
    <w:p w14:paraId="5F3DE573" w14:textId="77777777" w:rsidR="00FA6C5D" w:rsidRPr="00164238" w:rsidRDefault="00FA6C5D" w:rsidP="00FA6C5D">
      <w:pPr>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Kaynak: Azcona vd., 2020:9.</w:t>
      </w:r>
    </w:p>
    <w:p w14:paraId="6498614A" w14:textId="77777777" w:rsidR="00FA6C5D" w:rsidRPr="00164238" w:rsidRDefault="00FA6C5D" w:rsidP="00FA6C5D">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Kadınların salgın beraberinde temizlik yükü %49 artarken, erkeklerde bu oran %33 olup,  azımsanmayacak ölçüde yüksektir. Ancak alışveriş dışında çocukların bakımı, eğitimi ve yemek konusunda kadınların artan yükü erkeklerden daha fazladır.</w:t>
      </w:r>
    </w:p>
    <w:p w14:paraId="44D93F08" w14:textId="77777777" w:rsidR="00FA6C5D" w:rsidRPr="00164238" w:rsidRDefault="00FA6C5D" w:rsidP="00FA6C5D">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Benzer bir çalışma içlerinde Türkiye’nin de yer aldığı 10 ülke üzerinde yapılmış ve Grafik 3’de ev işlerine daha fazla zaman harcayanların oranı verilmiştir. %89 ile ev işlerine daha fazla zaman ayıran kadınlar Türkiye’de yer almaktadır. Kazakistan ve Kırgizistan’daki ev işlerine daha fazla zaman ayıran kadınların oranı Türkiye’deki kadınların oranına çok yakındır. Erkeklerde ise en yüksek oran %72 ile Kazakistan’da olup, Türkiye ve Moldova’da da oranlar yaklaşıktır.</w:t>
      </w:r>
    </w:p>
    <w:p w14:paraId="5D53E601" w14:textId="77777777" w:rsidR="00FA6C5D" w:rsidRPr="00164238" w:rsidRDefault="00FA6C5D" w:rsidP="00FA6C5D">
      <w:pPr>
        <w:spacing w:before="120" w:after="120" w:line="276" w:lineRule="auto"/>
        <w:jc w:val="both"/>
        <w:rPr>
          <w:rFonts w:ascii="Times New Roman" w:hAnsi="Times New Roman" w:cs="Times New Roman"/>
          <w:color w:val="000000" w:themeColor="text1"/>
          <w:lang w:eastAsia="tr-TR"/>
        </w:rPr>
      </w:pPr>
    </w:p>
    <w:p w14:paraId="40CE5E19" w14:textId="77777777" w:rsidR="00FA6C5D" w:rsidRPr="00164238" w:rsidRDefault="00FA6C5D" w:rsidP="00FA6C5D">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i/>
          <w:color w:val="000000" w:themeColor="text1"/>
          <w:lang w:eastAsia="tr-TR"/>
        </w:rPr>
        <w:t>Grafik 3.</w:t>
      </w:r>
      <w:r w:rsidRPr="00164238">
        <w:rPr>
          <w:rFonts w:ascii="Times New Roman" w:hAnsi="Times New Roman" w:cs="Times New Roman"/>
          <w:color w:val="000000" w:themeColor="text1"/>
          <w:lang w:eastAsia="tr-TR"/>
        </w:rPr>
        <w:t xml:space="preserve"> </w:t>
      </w:r>
      <w:r w:rsidRPr="00164238">
        <w:rPr>
          <w:rFonts w:ascii="Times New Roman" w:hAnsi="Times New Roman" w:cs="Times New Roman"/>
          <w:color w:val="000000" w:themeColor="text1"/>
        </w:rPr>
        <w:t>Covid 19 Salgını İle Ev İşlerine Daha Fazla Zaman Harcayanların Oranı</w:t>
      </w:r>
    </w:p>
    <w:p w14:paraId="47FCB04F" w14:textId="579F9CCD" w:rsidR="00FA6C5D" w:rsidRPr="00164238" w:rsidRDefault="00FA6C5D" w:rsidP="00FA6C5D">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noProof/>
          <w:color w:val="000000" w:themeColor="text1"/>
          <w:lang w:val="en-US"/>
        </w:rPr>
        <w:drawing>
          <wp:inline distT="0" distB="0" distL="0" distR="0" wp14:anchorId="2BC2679C" wp14:editId="2AAD5B98">
            <wp:extent cx="5857875" cy="2247900"/>
            <wp:effectExtent l="0" t="0" r="9525" b="0"/>
            <wp:docPr id="133" name="Grafik 1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9"/>
              </a:graphicData>
            </a:graphic>
          </wp:inline>
        </w:drawing>
      </w:r>
    </w:p>
    <w:p w14:paraId="4404AEA0" w14:textId="77777777" w:rsidR="00FA6C5D" w:rsidRPr="00164238" w:rsidRDefault="00FA6C5D" w:rsidP="00FA6C5D">
      <w:pPr>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Kaynak: Ross and Taylor, 2020:22’den yararlanılarak hazırlanmıştır.</w:t>
      </w:r>
    </w:p>
    <w:p w14:paraId="02AC077F" w14:textId="77777777" w:rsidR="00FA6C5D" w:rsidRPr="00164238" w:rsidRDefault="00FA6C5D" w:rsidP="00FA6C5D">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lastRenderedPageBreak/>
        <w:t>Her iki çalışmanın da ortak noktası, kadınların ev işlerine daha fazla zaman harcadıkları ve büyük yükün de kadınlar üzerinde olduğudur. Ev içindeki artan bu yükle birlikte kadınların yaşadığı aile içi şiddette artmaktadır. Ancak alınan kısa süreli önlemler bu yükleri hafifletmemektedir.</w:t>
      </w:r>
    </w:p>
    <w:p w14:paraId="1CA83EAC" w14:textId="77777777" w:rsidR="00FA6C5D" w:rsidRPr="00164238" w:rsidRDefault="00FA6C5D" w:rsidP="00FA6C5D">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Salgın nedeni ile artan iş yükleri bazı kadınların çalışma sürelerinde azalma ve daha az ücret ile çalışmaya neden olurken bazı kadınlar ise işlerini kaybetmişlerdir. Grafik 4’de Covid 19 Salgını nedeni ile çalışma sürelerinde azalma yaşayan kadın ve erkeklerin oranı verilmiştir. Kadınlarda çalışma süresinde azalma yaşayanların oranı erkeklere oranla daha fazladır. Bu da yine yükün büyük kısmının kadınların omzunda kaldığını göstermektedir.</w:t>
      </w:r>
    </w:p>
    <w:p w14:paraId="7D79146A" w14:textId="77777777" w:rsidR="00FA6C5D" w:rsidRPr="00164238" w:rsidRDefault="00FA6C5D" w:rsidP="00FA6C5D">
      <w:pPr>
        <w:spacing w:before="120" w:after="120" w:line="276" w:lineRule="auto"/>
        <w:jc w:val="both"/>
        <w:rPr>
          <w:rFonts w:ascii="Times New Roman" w:hAnsi="Times New Roman" w:cs="Times New Roman"/>
          <w:color w:val="000000" w:themeColor="text1"/>
          <w:lang w:eastAsia="tr-TR"/>
        </w:rPr>
      </w:pPr>
      <w:r w:rsidRPr="00164238">
        <w:rPr>
          <w:rFonts w:ascii="Times New Roman" w:hAnsi="Times New Roman" w:cs="Times New Roman"/>
          <w:i/>
          <w:color w:val="000000" w:themeColor="text1"/>
          <w:lang w:eastAsia="tr-TR"/>
        </w:rPr>
        <w:t>Grafik 4.</w:t>
      </w:r>
      <w:r w:rsidRPr="00164238">
        <w:rPr>
          <w:rFonts w:ascii="Times New Roman" w:hAnsi="Times New Roman" w:cs="Times New Roman"/>
          <w:color w:val="000000" w:themeColor="text1"/>
          <w:lang w:eastAsia="tr-TR"/>
        </w:rPr>
        <w:t xml:space="preserve"> Covid 19 Salgını Nedeni İle Çalışma Sürelerinde Azalma Yaşayanların Oranı </w:t>
      </w:r>
    </w:p>
    <w:p w14:paraId="291125BD" w14:textId="2FAA756A" w:rsidR="00FA6C5D" w:rsidRPr="00164238" w:rsidRDefault="00FA6C5D" w:rsidP="00FA6C5D">
      <w:pPr>
        <w:spacing w:before="120" w:after="120" w:line="276" w:lineRule="auto"/>
        <w:jc w:val="both"/>
        <w:rPr>
          <w:rFonts w:ascii="Times New Roman" w:hAnsi="Times New Roman" w:cs="Times New Roman"/>
          <w:color w:val="000000" w:themeColor="text1"/>
          <w:lang w:eastAsia="tr-TR"/>
        </w:rPr>
      </w:pPr>
      <w:r w:rsidRPr="00164238">
        <w:rPr>
          <w:rFonts w:ascii="Times New Roman" w:hAnsi="Times New Roman" w:cs="Times New Roman"/>
          <w:noProof/>
          <w:color w:val="000000" w:themeColor="text1"/>
          <w:lang w:val="en-US"/>
        </w:rPr>
        <w:drawing>
          <wp:inline distT="0" distB="0" distL="0" distR="0" wp14:anchorId="5C0DA177" wp14:editId="60837EF5">
            <wp:extent cx="5600700" cy="2552700"/>
            <wp:effectExtent l="0" t="0" r="0" b="0"/>
            <wp:docPr id="132" name="Grafik 1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0"/>
              </a:graphicData>
            </a:graphic>
          </wp:inline>
        </w:drawing>
      </w:r>
    </w:p>
    <w:p w14:paraId="11E187A0" w14:textId="77777777" w:rsidR="00FA6C5D" w:rsidRPr="00164238" w:rsidRDefault="00FA6C5D" w:rsidP="00FA6C5D">
      <w:pPr>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Kaynak: Ross and Taylor, 2020:14’den yararlanılarak hazırlanmıştır.</w:t>
      </w:r>
    </w:p>
    <w:p w14:paraId="141CAEF0" w14:textId="77777777" w:rsidR="00FA6C5D" w:rsidRPr="00164238" w:rsidRDefault="00FA6C5D" w:rsidP="00FA6C5D">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Yaşanılan salgın çalışma saatlerindeki düşüş ve ev işlerindeki yüklerin artması ile birlikte iş kayıplarında da artışlar görülmüştür. Burada da en büyük payı savunmasız olarak istihdam edilen kadınlar almıştır. Grafik 5’de salgın nedeni ile işlerini kaybeden kadın ve erkeklerin oranları verilmiştir. Kırgızistan ve Kuzey Makedonya da İşlerini kaybedenlerin oranı eşit olmakla birlikte, Bosna Hersek, Kazakistan ve Türkiye’de işlerini kaybeden kadınların oranı erkeklerden fazladır. Kazakistan ve Gürcistan’da işlerini kaybeden kadınların oranı %26, Türkiye’de de %19’dur.</w:t>
      </w:r>
    </w:p>
    <w:p w14:paraId="2B6FEE4D" w14:textId="77777777" w:rsidR="00FA6C5D" w:rsidRPr="00164238" w:rsidRDefault="00FA6C5D" w:rsidP="00FA6C5D">
      <w:pPr>
        <w:spacing w:before="120" w:after="120" w:line="276" w:lineRule="auto"/>
        <w:jc w:val="both"/>
        <w:rPr>
          <w:rFonts w:ascii="Times New Roman" w:hAnsi="Times New Roman" w:cs="Times New Roman"/>
          <w:color w:val="000000" w:themeColor="text1"/>
          <w:lang w:eastAsia="tr-TR"/>
        </w:rPr>
      </w:pPr>
      <w:r w:rsidRPr="00164238">
        <w:rPr>
          <w:rFonts w:ascii="Times New Roman" w:hAnsi="Times New Roman" w:cs="Times New Roman"/>
          <w:i/>
          <w:color w:val="000000" w:themeColor="text1"/>
          <w:lang w:eastAsia="tr-TR"/>
        </w:rPr>
        <w:t>Grafik 5.</w:t>
      </w:r>
      <w:r w:rsidRPr="00164238">
        <w:rPr>
          <w:rFonts w:ascii="Times New Roman" w:hAnsi="Times New Roman" w:cs="Times New Roman"/>
          <w:color w:val="000000" w:themeColor="text1"/>
          <w:lang w:eastAsia="tr-TR"/>
        </w:rPr>
        <w:t xml:space="preserve"> Covid 19 Salgını Nedeni İle İşlerini Kaybedenlerin Oranı </w:t>
      </w:r>
    </w:p>
    <w:p w14:paraId="0015D3E6" w14:textId="06BE72DB" w:rsidR="00FA6C5D" w:rsidRPr="00164238" w:rsidRDefault="00FA6C5D" w:rsidP="00FA6C5D">
      <w:pPr>
        <w:spacing w:before="120" w:after="120" w:line="276" w:lineRule="auto"/>
        <w:jc w:val="both"/>
        <w:rPr>
          <w:rFonts w:ascii="Times New Roman" w:hAnsi="Times New Roman" w:cs="Times New Roman"/>
          <w:color w:val="000000" w:themeColor="text1"/>
          <w:lang w:eastAsia="tr-TR"/>
        </w:rPr>
      </w:pPr>
      <w:r w:rsidRPr="00164238">
        <w:rPr>
          <w:rFonts w:ascii="Times New Roman" w:hAnsi="Times New Roman" w:cs="Times New Roman"/>
          <w:noProof/>
          <w:color w:val="000000" w:themeColor="text1"/>
          <w:lang w:val="en-US"/>
        </w:rPr>
        <w:lastRenderedPageBreak/>
        <w:drawing>
          <wp:inline distT="0" distB="0" distL="0" distR="0" wp14:anchorId="11F82B40" wp14:editId="759C42E0">
            <wp:extent cx="5753100" cy="2486025"/>
            <wp:effectExtent l="0" t="0" r="0" b="9525"/>
            <wp:docPr id="131" name="Grafik 1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1"/>
              </a:graphicData>
            </a:graphic>
          </wp:inline>
        </w:drawing>
      </w:r>
    </w:p>
    <w:p w14:paraId="606EBC73" w14:textId="77777777" w:rsidR="00FA6C5D" w:rsidRPr="00164238" w:rsidRDefault="00FA6C5D" w:rsidP="00FA6C5D">
      <w:pPr>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Kaynak: Ross and Taylor, 2020:14’den yararlanılarak hazırlanmıştır.</w:t>
      </w:r>
    </w:p>
    <w:p w14:paraId="134073D4" w14:textId="77777777" w:rsidR="00FA6C5D" w:rsidRPr="00164238" w:rsidRDefault="00FA6C5D" w:rsidP="00FA6C5D">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Salgının ekonomik olarak 3 tür sonuç ortaya çıkmıştır, çalışma sürelerinde azalma, (ki bu evde yapılan işlerin yükünü arttırmıştır), işten ayrılma ya da evden çalışmadır. Birçok ülkede kısmı zamanlı çalışma uygulamasına gidilmiştir. Grafik 6’da salgın nedeni ile evden çalışma oranları verilmiştir. %78 ile en yüksek oran kadınlarda Kırgızistan’dadır. Türkiye’de kadın ve erkeklerin evden çalışma oranları birbirine yakındır.</w:t>
      </w:r>
    </w:p>
    <w:p w14:paraId="2AA84A48" w14:textId="77777777" w:rsidR="00FA6C5D" w:rsidRPr="00164238" w:rsidRDefault="00FA6C5D" w:rsidP="00FA6C5D">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i/>
          <w:color w:val="000000" w:themeColor="text1"/>
          <w:lang w:eastAsia="tr-TR"/>
        </w:rPr>
        <w:t>Grafik 6.</w:t>
      </w:r>
      <w:r w:rsidRPr="00164238">
        <w:rPr>
          <w:rFonts w:ascii="Times New Roman" w:hAnsi="Times New Roman" w:cs="Times New Roman"/>
          <w:color w:val="000000" w:themeColor="text1"/>
          <w:lang w:eastAsia="tr-TR"/>
        </w:rPr>
        <w:t xml:space="preserve"> </w:t>
      </w:r>
      <w:r w:rsidRPr="00164238">
        <w:rPr>
          <w:rFonts w:ascii="Times New Roman" w:hAnsi="Times New Roman" w:cs="Times New Roman"/>
          <w:color w:val="000000" w:themeColor="text1"/>
        </w:rPr>
        <w:t>Covid 19 Salgını Nedeni İle Evden Çalışanların Oranı</w:t>
      </w:r>
    </w:p>
    <w:p w14:paraId="153683D3" w14:textId="7D7B6E9A" w:rsidR="00FA6C5D" w:rsidRPr="00164238" w:rsidRDefault="00FA6C5D" w:rsidP="00FA6C5D">
      <w:pPr>
        <w:spacing w:before="120" w:after="120" w:line="276" w:lineRule="auto"/>
        <w:jc w:val="both"/>
        <w:rPr>
          <w:rFonts w:ascii="Times New Roman" w:hAnsi="Times New Roman" w:cs="Times New Roman"/>
          <w:color w:val="000000" w:themeColor="text1"/>
          <w:lang w:eastAsia="tr-TR"/>
        </w:rPr>
      </w:pPr>
      <w:r w:rsidRPr="00164238">
        <w:rPr>
          <w:rFonts w:ascii="Times New Roman" w:hAnsi="Times New Roman" w:cs="Times New Roman"/>
          <w:noProof/>
          <w:color w:val="000000" w:themeColor="text1"/>
          <w:lang w:val="en-US"/>
        </w:rPr>
        <w:drawing>
          <wp:inline distT="0" distB="0" distL="0" distR="0" wp14:anchorId="789FE1A1" wp14:editId="68541A22">
            <wp:extent cx="5695950" cy="2124075"/>
            <wp:effectExtent l="0" t="0" r="0" b="9525"/>
            <wp:docPr id="130" name="Grafik 1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2"/>
              </a:graphicData>
            </a:graphic>
          </wp:inline>
        </w:drawing>
      </w:r>
    </w:p>
    <w:p w14:paraId="676BFD0F" w14:textId="77777777" w:rsidR="00FA6C5D" w:rsidRPr="00164238" w:rsidRDefault="00FA6C5D" w:rsidP="00FA6C5D">
      <w:pPr>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Kaynak: Ross and Taylor, 2020:17’den yararlanılarak hazırlanmıştır.</w:t>
      </w:r>
    </w:p>
    <w:p w14:paraId="34D80643" w14:textId="77777777" w:rsidR="00FA6C5D" w:rsidRPr="00164238" w:rsidRDefault="00FA6C5D" w:rsidP="00FA6C5D">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Salgın sürecinde gelirleri düşen kadınlar kiralarını bile ödemekte güçlük çekmişlerdir. Özellikle eşi vefat etmiş olan çocuklu kadınlar çocuksuz kadınlara göre bu süreçte daha da zorlanmıştır. Grafik 7’de kira ödemekte zorluk yaşayan kadınların oranı gösterilmektedir. En yüksek oran %80 ile Arnavutluk’ta görülürken, onu %74 ile Gürcistan ve %70 ile Türkiye izlemektedir.</w:t>
      </w:r>
    </w:p>
    <w:p w14:paraId="5E74FBB3" w14:textId="77777777" w:rsidR="00FA6C5D" w:rsidRPr="00164238" w:rsidRDefault="00FA6C5D" w:rsidP="00FA6C5D">
      <w:pPr>
        <w:spacing w:before="120" w:after="120" w:line="276" w:lineRule="auto"/>
        <w:ind w:firstLine="567"/>
        <w:jc w:val="both"/>
        <w:rPr>
          <w:rFonts w:ascii="Times New Roman" w:hAnsi="Times New Roman" w:cs="Times New Roman"/>
          <w:color w:val="000000" w:themeColor="text1"/>
          <w:lang w:eastAsia="tr-TR"/>
        </w:rPr>
      </w:pPr>
    </w:p>
    <w:p w14:paraId="48E8E72E" w14:textId="77777777" w:rsidR="00FA6C5D" w:rsidRPr="00164238" w:rsidRDefault="00FA6C5D" w:rsidP="00FA6C5D">
      <w:pPr>
        <w:spacing w:before="120" w:after="120" w:line="276" w:lineRule="auto"/>
        <w:jc w:val="both"/>
        <w:rPr>
          <w:rFonts w:ascii="Times New Roman" w:hAnsi="Times New Roman" w:cs="Times New Roman"/>
          <w:color w:val="000000" w:themeColor="text1"/>
          <w:lang w:eastAsia="tr-TR"/>
        </w:rPr>
      </w:pPr>
      <w:r w:rsidRPr="00164238">
        <w:rPr>
          <w:rFonts w:ascii="Times New Roman" w:hAnsi="Times New Roman" w:cs="Times New Roman"/>
          <w:i/>
          <w:color w:val="000000" w:themeColor="text1"/>
          <w:lang w:eastAsia="tr-TR"/>
        </w:rPr>
        <w:t>Grafik 7.</w:t>
      </w:r>
      <w:r w:rsidRPr="00164238">
        <w:rPr>
          <w:rFonts w:ascii="Times New Roman" w:hAnsi="Times New Roman" w:cs="Times New Roman"/>
          <w:color w:val="000000" w:themeColor="text1"/>
          <w:lang w:eastAsia="tr-TR"/>
        </w:rPr>
        <w:t xml:space="preserve"> Covid 19 Salgını Nedeni İle Kirasını Ödemekte Zorluk Yaşayan Kadınların Oranı</w:t>
      </w:r>
    </w:p>
    <w:p w14:paraId="29F9B1CB" w14:textId="5B45289F" w:rsidR="00FA6C5D" w:rsidRPr="00164238" w:rsidRDefault="00FA6C5D" w:rsidP="00FA6C5D">
      <w:pPr>
        <w:spacing w:before="120" w:after="120" w:line="276" w:lineRule="auto"/>
        <w:jc w:val="both"/>
        <w:rPr>
          <w:rFonts w:ascii="Times New Roman" w:hAnsi="Times New Roman" w:cs="Times New Roman"/>
          <w:color w:val="000000" w:themeColor="text1"/>
          <w:lang w:eastAsia="tr-TR"/>
        </w:rPr>
      </w:pPr>
      <w:r w:rsidRPr="00164238">
        <w:rPr>
          <w:rFonts w:ascii="Times New Roman" w:hAnsi="Times New Roman" w:cs="Times New Roman"/>
          <w:noProof/>
          <w:color w:val="000000" w:themeColor="text1"/>
          <w:lang w:val="en-US"/>
        </w:rPr>
        <w:lastRenderedPageBreak/>
        <w:drawing>
          <wp:inline distT="0" distB="0" distL="0" distR="0" wp14:anchorId="289FE436" wp14:editId="0837AF1A">
            <wp:extent cx="5791200" cy="2133600"/>
            <wp:effectExtent l="0" t="0" r="0" b="0"/>
            <wp:docPr id="129" name="Grafik 1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3"/>
              </a:graphicData>
            </a:graphic>
          </wp:inline>
        </w:drawing>
      </w:r>
    </w:p>
    <w:p w14:paraId="6B2689AB" w14:textId="77777777" w:rsidR="00FA6C5D" w:rsidRPr="00164238" w:rsidRDefault="00FA6C5D" w:rsidP="00FA6C5D">
      <w:pPr>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Kaynak: Ross and Taylor, 2020:21’den yararlanılarak hazırlanmıştır.</w:t>
      </w:r>
    </w:p>
    <w:p w14:paraId="407C458E" w14:textId="77777777" w:rsidR="00FA6C5D" w:rsidRPr="00164238" w:rsidRDefault="00FA6C5D" w:rsidP="00FA6C5D">
      <w:pPr>
        <w:jc w:val="both"/>
        <w:rPr>
          <w:rFonts w:ascii="Times New Roman" w:hAnsi="Times New Roman" w:cs="Times New Roman"/>
          <w:color w:val="000000" w:themeColor="text1"/>
          <w:lang w:eastAsia="tr-TR"/>
        </w:rPr>
      </w:pPr>
    </w:p>
    <w:p w14:paraId="7A8529BB" w14:textId="77777777" w:rsidR="00FA6C5D" w:rsidRPr="00164238" w:rsidRDefault="00FA6C5D" w:rsidP="00FA6C5D">
      <w:pPr>
        <w:spacing w:before="120" w:after="120" w:line="276" w:lineRule="auto"/>
        <w:ind w:firstLine="567"/>
        <w:jc w:val="both"/>
        <w:rPr>
          <w:rFonts w:ascii="Times New Roman" w:hAnsi="Times New Roman" w:cs="Times New Roman"/>
          <w:b/>
          <w:color w:val="000000" w:themeColor="text1"/>
          <w:lang w:eastAsia="tr-TR"/>
        </w:rPr>
      </w:pPr>
      <w:r w:rsidRPr="00164238">
        <w:rPr>
          <w:rFonts w:ascii="Times New Roman" w:hAnsi="Times New Roman" w:cs="Times New Roman"/>
          <w:b/>
          <w:color w:val="000000" w:themeColor="text1"/>
          <w:lang w:eastAsia="tr-TR"/>
        </w:rPr>
        <w:t>COVID 19 SALGININ KADINLAR ÜZERINDEKI ETKILERINE KARŞI ALINAN ÖNLEMLER</w:t>
      </w:r>
    </w:p>
    <w:p w14:paraId="619EE045" w14:textId="77777777" w:rsidR="00FA6C5D" w:rsidRPr="00164238" w:rsidRDefault="00FA6C5D" w:rsidP="00FA6C5D">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Bir sağlık krizinin ötesinde sosyal ve ekonomik bir krize de dönüşen Covid 19 salgının etkileri özellikle de savunmasız istihdam edilen kadınlar için yıkıcı olmaktadır. 70 ülkede ve dünyada ücretli çalışanların %80’ini kapsayan bir çalışmada kadınlara ortalama olarak erkeklerden yaklaşık %20 daha az ücret ödenmektedir (ILO, 2018:1). Salgın ile birlikte daha az ücret alan kadınlar daha da fazla kayıp yaşamakta, daha fazla risk altında olup, erkeklere oranla iş kayıpları daha fazla olmaktadır. Kadınlardaki istihdam kaybı oranı %5 iken erkeklerde bu oran %3,9’dur (ILO, 2021:10). Bir de bu kadınların hane reisi olduğu ve çocuklu olduğu düşünüldüğünde yaşadığı yükün de daha fazla olacağını tahmin etmek zor değildir. Bu nedenle kadınlara yönelik teşvik edici ekonomik önlemlerin alınması gerekmektedir. Ekonomik önlemler arasında nakit transferleri, gıda yardımları, ayni yardımlar ve kadın girişimciler ile kayıt dışı çalışanlara verilen destekler sayılabilir. </w:t>
      </w:r>
    </w:p>
    <w:p w14:paraId="270EA24A" w14:textId="77777777" w:rsidR="00FA6C5D" w:rsidRPr="00164238" w:rsidRDefault="00FA6C5D" w:rsidP="00FA6C5D">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Covid 19 salgınında alınan önlem sayısı 2.517 olup, 1.601’i sosyal koruma, 249’u iş gücü piyasası, 503’ü mali ve ekonomik önlemler, 704’ü şiddete karşı önlemlerdir, bunlar içerisinde cinsiyete duyarlı olanlar ise şöyledir (UN Women, 2020b);</w:t>
      </w:r>
    </w:p>
    <w:p w14:paraId="7774C7F2" w14:textId="77777777" w:rsidR="00FA6C5D" w:rsidRPr="00164238" w:rsidRDefault="00FA6C5D" w:rsidP="00FA6C5D">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 Sosyal koruma ve iş gücü piyasasındaki önlemlerin 111’i ücretsiz bakıma yönelik,</w:t>
      </w:r>
    </w:p>
    <w:p w14:paraId="562791AA" w14:textId="77777777" w:rsidR="00FA6C5D" w:rsidRPr="00164238" w:rsidRDefault="00FA6C5D" w:rsidP="00FA6C5D">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 İş gücü piyasasındaki önlemlerin 127’si kadınların güvenliğine yönelik,</w:t>
      </w:r>
    </w:p>
    <w:p w14:paraId="470BFF3F" w14:textId="77777777" w:rsidR="00FA6C5D" w:rsidRPr="00164238" w:rsidRDefault="00FA6C5D" w:rsidP="00FA6C5D">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 Mali ve ekonomik önlemlerin ise sadece 50’si kadınların ağırlıklı olduğu sektörlere yöneliktir.</w:t>
      </w:r>
    </w:p>
    <w:p w14:paraId="324C0195" w14:textId="77777777" w:rsidR="00FA6C5D" w:rsidRPr="00164238" w:rsidRDefault="00FA6C5D" w:rsidP="00FA6C5D">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lang w:eastAsia="tr-TR"/>
        </w:rPr>
        <w:t xml:space="preserve">Covid 19 salgınında alınan ekonomik önlemlerin çoğunluğunda cinsiyete duyarlılık yoktur, hatta alınan önlemler cinsiyet körüdür demek yanlış olmayacaktır. Çünkü alınan önlemlerin </w:t>
      </w:r>
      <w:r w:rsidRPr="00164238">
        <w:rPr>
          <w:rFonts w:ascii="Times New Roman" w:hAnsi="Times New Roman" w:cs="Times New Roman"/>
          <w:color w:val="000000" w:themeColor="text1"/>
        </w:rPr>
        <w:t xml:space="preserve">yalnızca %10'u kadınların ekonomik güvenliğini sağlamaya yönelik ve % 8'i de ücretsiz bakım için desteklere yöneliktir. Covid 19 salgınının yüksek kadın payına sahip işletmeler ve sektörler için etkilerini hafifletmek için çok az önlem alınmıştır; 10 mali ve ekonomik önlemden yalnızca biri kaynakları ekonominin kadın ağırlıklı sektörlerine yönlendirmiştir (Santos vd, 2020:48). </w:t>
      </w:r>
    </w:p>
    <w:p w14:paraId="28E587F9" w14:textId="77777777" w:rsidR="00FA6C5D" w:rsidRPr="00164238" w:rsidRDefault="00FA6C5D" w:rsidP="00FA6C5D">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lastRenderedPageBreak/>
        <w:t>Tablo 4 ‘de bazı ülkelerde Covid 19 salgınında kadınlara yönelik alınan bazı önlemler verilmiştir. Bu önlemlerin büyük çoğunluğu, çocuklu kadınlara yönelik ücretli bakım izni veya desteğinden oluşmaktadır. Yalnızca Moldova’da kadın girişimciler için hibe desteği ve Türkiye’de kadın kooperatiflerine hibe desteği ile nakit yardımı sağlanmıştır.</w:t>
      </w:r>
    </w:p>
    <w:p w14:paraId="089E22F1" w14:textId="77777777" w:rsidR="00FA6C5D" w:rsidRPr="00164238" w:rsidRDefault="00FA6C5D" w:rsidP="00FA6C5D">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i/>
          <w:color w:val="000000" w:themeColor="text1"/>
        </w:rPr>
        <w:t xml:space="preserve">Tablo 4. </w:t>
      </w:r>
      <w:r w:rsidRPr="00164238">
        <w:rPr>
          <w:rFonts w:ascii="Times New Roman" w:hAnsi="Times New Roman" w:cs="Times New Roman"/>
          <w:color w:val="000000" w:themeColor="text1"/>
        </w:rPr>
        <w:t>Covid 19 Salgınında Kadınlara Yönelik Alınan Bazı Önlemler</w:t>
      </w:r>
    </w:p>
    <w:tbl>
      <w:tblPr>
        <w:tblStyle w:val="TabloKlavuzu"/>
        <w:tblW w:w="8891" w:type="dxa"/>
        <w:tblLook w:val="04A0" w:firstRow="1" w:lastRow="0" w:firstColumn="1" w:lastColumn="0" w:noHBand="0" w:noVBand="1"/>
      </w:tblPr>
      <w:tblGrid>
        <w:gridCol w:w="1365"/>
        <w:gridCol w:w="7526"/>
      </w:tblGrid>
      <w:tr w:rsidR="00FA6C5D" w:rsidRPr="00164238" w14:paraId="7082E467" w14:textId="77777777" w:rsidTr="00FA6C5D">
        <w:trPr>
          <w:trHeight w:val="316"/>
        </w:trPr>
        <w:tc>
          <w:tcPr>
            <w:tcW w:w="1365" w:type="dxa"/>
            <w:tcBorders>
              <w:top w:val="single" w:sz="4" w:space="0" w:color="auto"/>
              <w:left w:val="single" w:sz="4" w:space="0" w:color="auto"/>
              <w:bottom w:val="single" w:sz="4" w:space="0" w:color="auto"/>
              <w:right w:val="single" w:sz="4" w:space="0" w:color="auto"/>
            </w:tcBorders>
            <w:vAlign w:val="center"/>
            <w:hideMark/>
          </w:tcPr>
          <w:p w14:paraId="35AF35F8"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b/>
                <w:bCs/>
                <w:color w:val="000000" w:themeColor="text1"/>
              </w:rPr>
              <w:t>Ülkeler</w:t>
            </w:r>
          </w:p>
        </w:tc>
        <w:tc>
          <w:tcPr>
            <w:tcW w:w="7526" w:type="dxa"/>
            <w:tcBorders>
              <w:top w:val="single" w:sz="4" w:space="0" w:color="auto"/>
              <w:left w:val="single" w:sz="4" w:space="0" w:color="auto"/>
              <w:bottom w:val="single" w:sz="4" w:space="0" w:color="auto"/>
              <w:right w:val="single" w:sz="4" w:space="0" w:color="auto"/>
            </w:tcBorders>
            <w:vAlign w:val="center"/>
            <w:hideMark/>
          </w:tcPr>
          <w:p w14:paraId="1DB62A56" w14:textId="77777777" w:rsidR="00FA6C5D" w:rsidRPr="00164238" w:rsidRDefault="00FA6C5D">
            <w:pPr>
              <w:rPr>
                <w:rFonts w:ascii="Times New Roman" w:hAnsi="Times New Roman" w:cs="Times New Roman"/>
                <w:color w:val="000000" w:themeColor="text1"/>
              </w:rPr>
            </w:pPr>
            <w:r w:rsidRPr="00164238">
              <w:rPr>
                <w:rFonts w:ascii="Times New Roman" w:hAnsi="Times New Roman" w:cs="Times New Roman"/>
                <w:b/>
                <w:bCs/>
                <w:color w:val="000000" w:themeColor="text1"/>
              </w:rPr>
              <w:t>Önlemler</w:t>
            </w:r>
          </w:p>
        </w:tc>
      </w:tr>
      <w:tr w:rsidR="00FA6C5D" w:rsidRPr="00164238" w14:paraId="0439D692" w14:textId="77777777" w:rsidTr="00FA6C5D">
        <w:trPr>
          <w:trHeight w:val="634"/>
        </w:trPr>
        <w:tc>
          <w:tcPr>
            <w:tcW w:w="1365" w:type="dxa"/>
            <w:tcBorders>
              <w:top w:val="single" w:sz="4" w:space="0" w:color="auto"/>
              <w:left w:val="single" w:sz="4" w:space="0" w:color="auto"/>
              <w:bottom w:val="single" w:sz="4" w:space="0" w:color="auto"/>
              <w:right w:val="single" w:sz="4" w:space="0" w:color="auto"/>
            </w:tcBorders>
            <w:hideMark/>
          </w:tcPr>
          <w:p w14:paraId="68814857" w14:textId="77777777" w:rsidR="00FA6C5D" w:rsidRPr="00164238" w:rsidRDefault="00FA6C5D">
            <w:pPr>
              <w:jc w:val="both"/>
              <w:rPr>
                <w:rFonts w:ascii="Times New Roman" w:hAnsi="Times New Roman" w:cs="Times New Roman"/>
                <w:color w:val="000000" w:themeColor="text1"/>
              </w:rPr>
            </w:pPr>
            <w:r w:rsidRPr="00164238">
              <w:rPr>
                <w:rFonts w:ascii="Times New Roman" w:hAnsi="Times New Roman" w:cs="Times New Roman"/>
                <w:b/>
                <w:bCs/>
                <w:color w:val="000000" w:themeColor="text1"/>
              </w:rPr>
              <w:t>Arjantin</w:t>
            </w:r>
          </w:p>
        </w:tc>
        <w:tc>
          <w:tcPr>
            <w:tcW w:w="7526" w:type="dxa"/>
            <w:tcBorders>
              <w:top w:val="single" w:sz="4" w:space="0" w:color="auto"/>
              <w:left w:val="single" w:sz="4" w:space="0" w:color="auto"/>
              <w:bottom w:val="single" w:sz="4" w:space="0" w:color="auto"/>
              <w:right w:val="single" w:sz="4" w:space="0" w:color="auto"/>
            </w:tcBorders>
            <w:hideMark/>
          </w:tcPr>
          <w:p w14:paraId="42C11470" w14:textId="77777777" w:rsidR="00FA6C5D" w:rsidRPr="00164238" w:rsidRDefault="00FA6C5D">
            <w:pPr>
              <w:jc w:val="both"/>
              <w:rPr>
                <w:rFonts w:ascii="Times New Roman" w:hAnsi="Times New Roman" w:cs="Times New Roman"/>
                <w:color w:val="000000" w:themeColor="text1"/>
              </w:rPr>
            </w:pPr>
            <w:r w:rsidRPr="00164238">
              <w:rPr>
                <w:rFonts w:ascii="Times New Roman" w:hAnsi="Times New Roman" w:cs="Times New Roman"/>
                <w:color w:val="000000" w:themeColor="text1"/>
              </w:rPr>
              <w:t>Okullar kapalı iken ebeveynlere ücretli bakım izni alma hakkı (Evrensel Çocuk Ödeneği) ve Acil Aile Geliri gibi gelir desteği (çalışma durumlarına bakılmaksızın tüm ev işçilerini kapsayan)</w:t>
            </w:r>
          </w:p>
        </w:tc>
      </w:tr>
      <w:tr w:rsidR="00FA6C5D" w:rsidRPr="00164238" w14:paraId="3E2E790C" w14:textId="77777777" w:rsidTr="00FA6C5D">
        <w:trPr>
          <w:trHeight w:val="300"/>
        </w:trPr>
        <w:tc>
          <w:tcPr>
            <w:tcW w:w="1365" w:type="dxa"/>
            <w:tcBorders>
              <w:top w:val="single" w:sz="4" w:space="0" w:color="auto"/>
              <w:left w:val="single" w:sz="4" w:space="0" w:color="auto"/>
              <w:bottom w:val="single" w:sz="4" w:space="0" w:color="auto"/>
              <w:right w:val="single" w:sz="4" w:space="0" w:color="auto"/>
            </w:tcBorders>
            <w:hideMark/>
          </w:tcPr>
          <w:p w14:paraId="39E95643" w14:textId="77777777" w:rsidR="00FA6C5D" w:rsidRPr="00164238" w:rsidRDefault="00FA6C5D">
            <w:pPr>
              <w:jc w:val="both"/>
              <w:rPr>
                <w:rFonts w:ascii="Times New Roman" w:hAnsi="Times New Roman" w:cs="Times New Roman"/>
                <w:color w:val="000000" w:themeColor="text1"/>
              </w:rPr>
            </w:pPr>
            <w:r w:rsidRPr="00164238">
              <w:rPr>
                <w:rFonts w:ascii="Times New Roman" w:hAnsi="Times New Roman" w:cs="Times New Roman"/>
                <w:b/>
                <w:bCs/>
                <w:color w:val="000000" w:themeColor="text1"/>
              </w:rPr>
              <w:t>Avustralya</w:t>
            </w:r>
          </w:p>
        </w:tc>
        <w:tc>
          <w:tcPr>
            <w:tcW w:w="7526" w:type="dxa"/>
            <w:tcBorders>
              <w:top w:val="single" w:sz="4" w:space="0" w:color="auto"/>
              <w:left w:val="single" w:sz="4" w:space="0" w:color="auto"/>
              <w:bottom w:val="single" w:sz="4" w:space="0" w:color="auto"/>
              <w:right w:val="single" w:sz="4" w:space="0" w:color="auto"/>
            </w:tcBorders>
            <w:hideMark/>
          </w:tcPr>
          <w:p w14:paraId="479F1D29" w14:textId="77777777" w:rsidR="00FA6C5D" w:rsidRPr="00164238" w:rsidRDefault="00FA6C5D">
            <w:pPr>
              <w:jc w:val="both"/>
              <w:rPr>
                <w:rFonts w:ascii="Times New Roman" w:hAnsi="Times New Roman" w:cs="Times New Roman"/>
                <w:color w:val="000000" w:themeColor="text1"/>
              </w:rPr>
            </w:pPr>
            <w:r w:rsidRPr="00164238">
              <w:rPr>
                <w:rFonts w:ascii="Times New Roman" w:hAnsi="Times New Roman" w:cs="Times New Roman"/>
                <w:color w:val="000000" w:themeColor="text1"/>
              </w:rPr>
              <w:t>6 Nisan - 12 Temmuz 2020 arası ücretsiz çocuk bakımı desteği</w:t>
            </w:r>
          </w:p>
        </w:tc>
      </w:tr>
      <w:tr w:rsidR="00FA6C5D" w:rsidRPr="00164238" w14:paraId="10A75A88" w14:textId="77777777" w:rsidTr="00FA6C5D">
        <w:trPr>
          <w:trHeight w:val="268"/>
        </w:trPr>
        <w:tc>
          <w:tcPr>
            <w:tcW w:w="1365" w:type="dxa"/>
            <w:tcBorders>
              <w:top w:val="single" w:sz="4" w:space="0" w:color="auto"/>
              <w:left w:val="single" w:sz="4" w:space="0" w:color="auto"/>
              <w:bottom w:val="single" w:sz="4" w:space="0" w:color="auto"/>
              <w:right w:val="single" w:sz="4" w:space="0" w:color="auto"/>
            </w:tcBorders>
            <w:hideMark/>
          </w:tcPr>
          <w:p w14:paraId="17E6A252" w14:textId="77777777" w:rsidR="00FA6C5D" w:rsidRPr="00164238" w:rsidRDefault="00FA6C5D">
            <w:pPr>
              <w:jc w:val="both"/>
              <w:rPr>
                <w:rFonts w:ascii="Times New Roman" w:hAnsi="Times New Roman" w:cs="Times New Roman"/>
                <w:color w:val="000000" w:themeColor="text1"/>
              </w:rPr>
            </w:pPr>
            <w:r w:rsidRPr="00164238">
              <w:rPr>
                <w:rFonts w:ascii="Times New Roman" w:hAnsi="Times New Roman" w:cs="Times New Roman"/>
                <w:b/>
                <w:bCs/>
                <w:color w:val="000000" w:themeColor="text1"/>
              </w:rPr>
              <w:t xml:space="preserve">Çin </w:t>
            </w:r>
          </w:p>
        </w:tc>
        <w:tc>
          <w:tcPr>
            <w:tcW w:w="7526" w:type="dxa"/>
            <w:tcBorders>
              <w:top w:val="single" w:sz="4" w:space="0" w:color="auto"/>
              <w:left w:val="single" w:sz="4" w:space="0" w:color="auto"/>
              <w:bottom w:val="single" w:sz="4" w:space="0" w:color="auto"/>
              <w:right w:val="single" w:sz="4" w:space="0" w:color="auto"/>
            </w:tcBorders>
            <w:hideMark/>
          </w:tcPr>
          <w:p w14:paraId="05EDD8EB" w14:textId="77777777" w:rsidR="00FA6C5D" w:rsidRPr="00164238" w:rsidRDefault="00FA6C5D">
            <w:pPr>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Evde eğitim gibi çocuk bakım desteği </w:t>
            </w:r>
          </w:p>
        </w:tc>
      </w:tr>
      <w:tr w:rsidR="00FA6C5D" w:rsidRPr="00164238" w14:paraId="256FEB7C" w14:textId="77777777" w:rsidTr="00FA6C5D">
        <w:trPr>
          <w:trHeight w:val="467"/>
        </w:trPr>
        <w:tc>
          <w:tcPr>
            <w:tcW w:w="1365" w:type="dxa"/>
            <w:tcBorders>
              <w:top w:val="single" w:sz="4" w:space="0" w:color="auto"/>
              <w:left w:val="single" w:sz="4" w:space="0" w:color="auto"/>
              <w:bottom w:val="single" w:sz="4" w:space="0" w:color="auto"/>
              <w:right w:val="single" w:sz="4" w:space="0" w:color="auto"/>
            </w:tcBorders>
            <w:hideMark/>
          </w:tcPr>
          <w:p w14:paraId="7F48DEDB" w14:textId="77777777" w:rsidR="00FA6C5D" w:rsidRPr="00164238" w:rsidRDefault="00FA6C5D">
            <w:pPr>
              <w:jc w:val="both"/>
              <w:rPr>
                <w:rFonts w:ascii="Times New Roman" w:hAnsi="Times New Roman" w:cs="Times New Roman"/>
                <w:color w:val="000000" w:themeColor="text1"/>
              </w:rPr>
            </w:pPr>
            <w:r w:rsidRPr="00164238">
              <w:rPr>
                <w:rFonts w:ascii="Times New Roman" w:hAnsi="Times New Roman" w:cs="Times New Roman"/>
                <w:b/>
                <w:bCs/>
                <w:color w:val="000000" w:themeColor="text1"/>
              </w:rPr>
              <w:t>Estonya</w:t>
            </w:r>
          </w:p>
        </w:tc>
        <w:tc>
          <w:tcPr>
            <w:tcW w:w="7526" w:type="dxa"/>
            <w:tcBorders>
              <w:top w:val="single" w:sz="4" w:space="0" w:color="auto"/>
              <w:left w:val="single" w:sz="4" w:space="0" w:color="auto"/>
              <w:bottom w:val="single" w:sz="4" w:space="0" w:color="auto"/>
              <w:right w:val="single" w:sz="4" w:space="0" w:color="auto"/>
            </w:tcBorders>
            <w:hideMark/>
          </w:tcPr>
          <w:p w14:paraId="299A7464" w14:textId="77777777" w:rsidR="00FA6C5D" w:rsidRPr="00164238" w:rsidRDefault="00FA6C5D">
            <w:pPr>
              <w:jc w:val="both"/>
              <w:rPr>
                <w:rFonts w:ascii="Times New Roman" w:hAnsi="Times New Roman" w:cs="Times New Roman"/>
                <w:color w:val="000000" w:themeColor="text1"/>
              </w:rPr>
            </w:pPr>
            <w:r w:rsidRPr="00164238">
              <w:rPr>
                <w:rFonts w:ascii="Times New Roman" w:hAnsi="Times New Roman" w:cs="Times New Roman"/>
                <w:color w:val="000000" w:themeColor="text1"/>
              </w:rPr>
              <w:t>Tallin’de anaokullarının açık kalması ve ücret ödemelerinin Nisan 2020 sonuna kadar askıya alınması</w:t>
            </w:r>
          </w:p>
        </w:tc>
      </w:tr>
      <w:tr w:rsidR="00FA6C5D" w:rsidRPr="00164238" w14:paraId="3BD24EB3" w14:textId="77777777" w:rsidTr="00FA6C5D">
        <w:trPr>
          <w:trHeight w:val="503"/>
        </w:trPr>
        <w:tc>
          <w:tcPr>
            <w:tcW w:w="1365" w:type="dxa"/>
            <w:tcBorders>
              <w:top w:val="single" w:sz="4" w:space="0" w:color="auto"/>
              <w:left w:val="single" w:sz="4" w:space="0" w:color="auto"/>
              <w:bottom w:val="single" w:sz="4" w:space="0" w:color="auto"/>
              <w:right w:val="single" w:sz="4" w:space="0" w:color="auto"/>
            </w:tcBorders>
            <w:hideMark/>
          </w:tcPr>
          <w:p w14:paraId="51A9AEA4" w14:textId="77777777" w:rsidR="00FA6C5D" w:rsidRPr="00164238" w:rsidRDefault="00FA6C5D">
            <w:pPr>
              <w:jc w:val="both"/>
              <w:rPr>
                <w:rFonts w:ascii="Times New Roman" w:hAnsi="Times New Roman" w:cs="Times New Roman"/>
                <w:color w:val="000000" w:themeColor="text1"/>
              </w:rPr>
            </w:pPr>
            <w:r w:rsidRPr="00164238">
              <w:rPr>
                <w:rFonts w:ascii="Times New Roman" w:hAnsi="Times New Roman" w:cs="Times New Roman"/>
                <w:b/>
                <w:bCs/>
                <w:color w:val="000000" w:themeColor="text1"/>
              </w:rPr>
              <w:t>İtalya</w:t>
            </w:r>
          </w:p>
        </w:tc>
        <w:tc>
          <w:tcPr>
            <w:tcW w:w="7526" w:type="dxa"/>
            <w:tcBorders>
              <w:top w:val="single" w:sz="4" w:space="0" w:color="auto"/>
              <w:left w:val="single" w:sz="4" w:space="0" w:color="auto"/>
              <w:bottom w:val="single" w:sz="4" w:space="0" w:color="auto"/>
              <w:right w:val="single" w:sz="4" w:space="0" w:color="auto"/>
            </w:tcBorders>
            <w:hideMark/>
          </w:tcPr>
          <w:p w14:paraId="759DA510" w14:textId="77777777" w:rsidR="00FA6C5D" w:rsidRPr="00164238" w:rsidRDefault="00FA6C5D">
            <w:pPr>
              <w:jc w:val="both"/>
              <w:rPr>
                <w:rFonts w:ascii="Times New Roman" w:hAnsi="Times New Roman" w:cs="Times New Roman"/>
                <w:color w:val="000000" w:themeColor="text1"/>
              </w:rPr>
            </w:pPr>
            <w:r w:rsidRPr="00164238">
              <w:rPr>
                <w:rFonts w:ascii="Times New Roman" w:hAnsi="Times New Roman" w:cs="Times New Roman"/>
                <w:color w:val="000000" w:themeColor="text1"/>
              </w:rPr>
              <w:t>12 yaşından küçük çocukları olan çalışanlar için 1.200 £’a kadar çocuk bakım kuponu desteği</w:t>
            </w:r>
          </w:p>
        </w:tc>
      </w:tr>
      <w:tr w:rsidR="00FA6C5D" w:rsidRPr="00164238" w14:paraId="4F79482C" w14:textId="77777777" w:rsidTr="00FA6C5D">
        <w:trPr>
          <w:trHeight w:val="567"/>
        </w:trPr>
        <w:tc>
          <w:tcPr>
            <w:tcW w:w="1365" w:type="dxa"/>
            <w:tcBorders>
              <w:top w:val="single" w:sz="4" w:space="0" w:color="auto"/>
              <w:left w:val="single" w:sz="4" w:space="0" w:color="auto"/>
              <w:bottom w:val="single" w:sz="4" w:space="0" w:color="auto"/>
              <w:right w:val="single" w:sz="4" w:space="0" w:color="auto"/>
            </w:tcBorders>
            <w:hideMark/>
          </w:tcPr>
          <w:p w14:paraId="0E21F47C" w14:textId="77777777" w:rsidR="00FA6C5D" w:rsidRPr="00164238" w:rsidRDefault="00FA6C5D">
            <w:pPr>
              <w:jc w:val="both"/>
              <w:rPr>
                <w:rFonts w:ascii="Times New Roman" w:hAnsi="Times New Roman" w:cs="Times New Roman"/>
                <w:color w:val="000000" w:themeColor="text1"/>
              </w:rPr>
            </w:pPr>
            <w:r w:rsidRPr="00164238">
              <w:rPr>
                <w:rFonts w:ascii="Times New Roman" w:hAnsi="Times New Roman" w:cs="Times New Roman"/>
                <w:b/>
                <w:bCs/>
                <w:color w:val="000000" w:themeColor="text1"/>
              </w:rPr>
              <w:t>İngiltere</w:t>
            </w:r>
          </w:p>
        </w:tc>
        <w:tc>
          <w:tcPr>
            <w:tcW w:w="7526" w:type="dxa"/>
            <w:tcBorders>
              <w:top w:val="single" w:sz="4" w:space="0" w:color="auto"/>
              <w:left w:val="single" w:sz="4" w:space="0" w:color="auto"/>
              <w:bottom w:val="single" w:sz="4" w:space="0" w:color="auto"/>
              <w:right w:val="single" w:sz="4" w:space="0" w:color="auto"/>
            </w:tcBorders>
            <w:hideMark/>
          </w:tcPr>
          <w:p w14:paraId="47ACE927" w14:textId="77777777" w:rsidR="00FA6C5D" w:rsidRPr="00164238" w:rsidRDefault="00FA6C5D">
            <w:pPr>
              <w:jc w:val="both"/>
              <w:rPr>
                <w:rFonts w:ascii="Times New Roman" w:hAnsi="Times New Roman" w:cs="Times New Roman"/>
                <w:color w:val="000000" w:themeColor="text1"/>
              </w:rPr>
            </w:pPr>
            <w:r w:rsidRPr="00164238">
              <w:rPr>
                <w:rFonts w:ascii="Times New Roman" w:hAnsi="Times New Roman" w:cs="Times New Roman"/>
                <w:color w:val="000000" w:themeColor="text1"/>
              </w:rPr>
              <w:t>Çalışma saatlerini azaltmak zorunda kalan ebevenyler için çocuk bakım maliyetlerini vergi indirimle karşılama fırsatı</w:t>
            </w:r>
          </w:p>
        </w:tc>
      </w:tr>
      <w:tr w:rsidR="00FA6C5D" w:rsidRPr="00164238" w14:paraId="71257690" w14:textId="77777777" w:rsidTr="00FA6C5D">
        <w:trPr>
          <w:trHeight w:val="312"/>
        </w:trPr>
        <w:tc>
          <w:tcPr>
            <w:tcW w:w="1365" w:type="dxa"/>
            <w:tcBorders>
              <w:top w:val="single" w:sz="4" w:space="0" w:color="auto"/>
              <w:left w:val="single" w:sz="4" w:space="0" w:color="auto"/>
              <w:bottom w:val="single" w:sz="4" w:space="0" w:color="auto"/>
              <w:right w:val="single" w:sz="4" w:space="0" w:color="auto"/>
            </w:tcBorders>
            <w:hideMark/>
          </w:tcPr>
          <w:p w14:paraId="7AD29300" w14:textId="77777777" w:rsidR="00FA6C5D" w:rsidRPr="00164238" w:rsidRDefault="00FA6C5D">
            <w:pPr>
              <w:jc w:val="both"/>
              <w:rPr>
                <w:rFonts w:ascii="Times New Roman" w:hAnsi="Times New Roman" w:cs="Times New Roman"/>
                <w:b/>
                <w:bCs/>
                <w:color w:val="000000" w:themeColor="text1"/>
              </w:rPr>
            </w:pPr>
            <w:r w:rsidRPr="00164238">
              <w:rPr>
                <w:rFonts w:ascii="Times New Roman" w:hAnsi="Times New Roman" w:cs="Times New Roman"/>
                <w:b/>
                <w:bCs/>
                <w:color w:val="000000" w:themeColor="text1"/>
              </w:rPr>
              <w:t>Moldova</w:t>
            </w:r>
          </w:p>
        </w:tc>
        <w:tc>
          <w:tcPr>
            <w:tcW w:w="7526" w:type="dxa"/>
            <w:tcBorders>
              <w:top w:val="single" w:sz="4" w:space="0" w:color="auto"/>
              <w:left w:val="single" w:sz="4" w:space="0" w:color="auto"/>
              <w:bottom w:val="single" w:sz="4" w:space="0" w:color="auto"/>
              <w:right w:val="single" w:sz="4" w:space="0" w:color="auto"/>
            </w:tcBorders>
            <w:hideMark/>
          </w:tcPr>
          <w:p w14:paraId="7B5E7117" w14:textId="77777777" w:rsidR="00FA6C5D" w:rsidRPr="00164238" w:rsidRDefault="00FA6C5D">
            <w:pPr>
              <w:jc w:val="both"/>
              <w:rPr>
                <w:rFonts w:ascii="Times New Roman" w:hAnsi="Times New Roman" w:cs="Times New Roman"/>
                <w:color w:val="000000" w:themeColor="text1"/>
              </w:rPr>
            </w:pPr>
            <w:r w:rsidRPr="00164238">
              <w:rPr>
                <w:rFonts w:ascii="Times New Roman" w:hAnsi="Times New Roman" w:cs="Times New Roman"/>
                <w:color w:val="000000" w:themeColor="text1"/>
              </w:rPr>
              <w:t>Kadın girişimciler için 100.000$’a kadar hibe desteği</w:t>
            </w:r>
          </w:p>
        </w:tc>
      </w:tr>
      <w:tr w:rsidR="00FA6C5D" w:rsidRPr="00164238" w14:paraId="0DD1C143" w14:textId="77777777" w:rsidTr="00FA6C5D">
        <w:trPr>
          <w:trHeight w:val="547"/>
        </w:trPr>
        <w:tc>
          <w:tcPr>
            <w:tcW w:w="1365" w:type="dxa"/>
            <w:tcBorders>
              <w:top w:val="single" w:sz="4" w:space="0" w:color="auto"/>
              <w:left w:val="single" w:sz="4" w:space="0" w:color="auto"/>
              <w:bottom w:val="single" w:sz="4" w:space="0" w:color="auto"/>
              <w:right w:val="single" w:sz="4" w:space="0" w:color="auto"/>
            </w:tcBorders>
            <w:hideMark/>
          </w:tcPr>
          <w:p w14:paraId="45427237" w14:textId="77777777" w:rsidR="00FA6C5D" w:rsidRPr="00164238" w:rsidRDefault="00FA6C5D">
            <w:pPr>
              <w:jc w:val="both"/>
              <w:rPr>
                <w:rFonts w:ascii="Times New Roman" w:hAnsi="Times New Roman" w:cs="Times New Roman"/>
                <w:color w:val="000000" w:themeColor="text1"/>
              </w:rPr>
            </w:pPr>
            <w:r w:rsidRPr="00164238">
              <w:rPr>
                <w:rFonts w:ascii="Times New Roman" w:hAnsi="Times New Roman" w:cs="Times New Roman"/>
                <w:b/>
                <w:bCs/>
                <w:color w:val="000000" w:themeColor="text1"/>
              </w:rPr>
              <w:t>Türkiye</w:t>
            </w:r>
          </w:p>
        </w:tc>
        <w:tc>
          <w:tcPr>
            <w:tcW w:w="7526" w:type="dxa"/>
            <w:tcBorders>
              <w:top w:val="single" w:sz="4" w:space="0" w:color="auto"/>
              <w:left w:val="single" w:sz="4" w:space="0" w:color="auto"/>
              <w:bottom w:val="single" w:sz="4" w:space="0" w:color="auto"/>
              <w:right w:val="single" w:sz="4" w:space="0" w:color="auto"/>
            </w:tcBorders>
            <w:hideMark/>
          </w:tcPr>
          <w:p w14:paraId="21248438" w14:textId="77777777" w:rsidR="00FA6C5D" w:rsidRPr="00164238" w:rsidRDefault="00FA6C5D">
            <w:pPr>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Kadın kooperatiflerine 150.000 TL’ye kadar hibe desteği, </w:t>
            </w:r>
          </w:p>
          <w:p w14:paraId="10F122D3" w14:textId="77777777" w:rsidR="00FA6C5D" w:rsidRPr="00164238" w:rsidRDefault="00FA6C5D">
            <w:pPr>
              <w:jc w:val="both"/>
              <w:rPr>
                <w:rFonts w:ascii="Times New Roman" w:hAnsi="Times New Roman" w:cs="Times New Roman"/>
                <w:color w:val="000000" w:themeColor="text1"/>
              </w:rPr>
            </w:pPr>
            <w:r w:rsidRPr="00164238">
              <w:rPr>
                <w:rFonts w:ascii="Times New Roman" w:hAnsi="Times New Roman" w:cs="Times New Roman"/>
                <w:color w:val="000000" w:themeColor="text1"/>
              </w:rPr>
              <w:t>eşi vefat etmiş kadınlara düzenli aylık nakit yardımının 325 TL’ye yükseltilmesi</w:t>
            </w:r>
          </w:p>
        </w:tc>
      </w:tr>
    </w:tbl>
    <w:p w14:paraId="42EFDB31" w14:textId="77777777" w:rsidR="00FA6C5D" w:rsidRPr="00164238" w:rsidRDefault="00FA6C5D" w:rsidP="00FA6C5D">
      <w:pPr>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rPr>
        <w:t>Kaynak: WBL, 2021:39, OECD, 2020:24 ve Eroğlu, Gençay, 2020:12’den yararlanılarak hazırlanmıştır.</w:t>
      </w:r>
    </w:p>
    <w:p w14:paraId="06B8B4F4" w14:textId="77777777" w:rsidR="00FA6C5D" w:rsidRPr="00164238" w:rsidRDefault="00FA6C5D" w:rsidP="00FA6C5D">
      <w:pPr>
        <w:jc w:val="both"/>
        <w:rPr>
          <w:rFonts w:ascii="Times New Roman" w:hAnsi="Times New Roman" w:cs="Times New Roman"/>
          <w:color w:val="000000" w:themeColor="text1"/>
        </w:rPr>
      </w:pPr>
    </w:p>
    <w:p w14:paraId="7702B96C" w14:textId="77777777" w:rsidR="00FA6C5D" w:rsidRPr="00164238" w:rsidRDefault="00FA6C5D" w:rsidP="00FA6C5D">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Bu destek ve önlemler kapasite olarak az olmakla birlikte sürdürülebilirliği olmadığı için etkileri de kalıcı değildir. Kalıcı ekonomik çözümler gerekmektedir. Örneğin Nepal’de uygulanan cinsiyet duyarlı bütçeleme tahsisleri artırarak kadınlar ve kız çocukları için daha iyi kamu hizmetlerine katkıda bulunmuştur (UN Women 2020a).</w:t>
      </w:r>
    </w:p>
    <w:p w14:paraId="3E905AB2" w14:textId="77777777" w:rsidR="00FA6C5D" w:rsidRPr="00164238" w:rsidRDefault="00FA6C5D" w:rsidP="00FA6C5D">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Birleşmiş Milletler tarafından Covid 19 etkilerine karşı destek paketi geliştirme sistemi oluşturulmuş ve özellikle küçük ve orta büyüklükteki kadın girişimcilere de destek sağlanmıştır (UN, 2020:20). Birleşmiş Milletler Kadınlar Kuruluşu’da Covid 19 salgının da en çok kadın ve genç kzıların etkilendiğini ve destek sağladığını duyurmuştur, Yıllık raporuna göre de Türkiye 361.641 $, bağışlarken, Türkiye Petrol Rafineleri A.Ş.’de 500.000$ bağışta bulunmuştur (UN Women, 2020:15). </w:t>
      </w:r>
    </w:p>
    <w:p w14:paraId="42F43F3F" w14:textId="77777777" w:rsidR="00FA6C5D" w:rsidRPr="00164238" w:rsidRDefault="00FA6C5D" w:rsidP="00FA6C5D">
      <w:pPr>
        <w:spacing w:before="120" w:after="120" w:line="276" w:lineRule="auto"/>
        <w:ind w:firstLine="567"/>
        <w:jc w:val="both"/>
        <w:rPr>
          <w:rFonts w:ascii="Times New Roman" w:hAnsi="Times New Roman" w:cs="Times New Roman"/>
          <w:b/>
          <w:color w:val="000000" w:themeColor="text1"/>
          <w:lang w:eastAsia="tr-TR"/>
        </w:rPr>
      </w:pPr>
      <w:r w:rsidRPr="00164238">
        <w:rPr>
          <w:rFonts w:ascii="Times New Roman" w:hAnsi="Times New Roman" w:cs="Times New Roman"/>
          <w:b/>
          <w:color w:val="000000" w:themeColor="text1"/>
          <w:lang w:eastAsia="tr-TR"/>
        </w:rPr>
        <w:t>SONUÇ VE ÖNERILER</w:t>
      </w:r>
    </w:p>
    <w:p w14:paraId="2F2B32E6" w14:textId="77777777" w:rsidR="00FA6C5D" w:rsidRPr="00164238" w:rsidRDefault="00FA6C5D" w:rsidP="00FA6C5D">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Covid 19 salgını her kesimi sağlık ötesinde sosyal ve ekonomik olarak etkilemektedir. Bu etkiler ağırlıklı olarak kadınların bulunduğu sektörlerde daha fazla görülmektedir. Ücretsiz aile içi bakım yükü artan kadınların işlerinde ücret kaybı yaşamaları veya işlerini kaybetmeleri kadınları mali ve ekonomik açıdan daha da savunmasız bırakarak temel giderlerini karşılayamamalarına neden olmaktadır. Salgın ile yaşanılan gelir kaybı kadınların daha da yoksullaşmasına neden olmaktadır.</w:t>
      </w:r>
    </w:p>
    <w:p w14:paraId="274C6152" w14:textId="77777777" w:rsidR="00FA6C5D" w:rsidRPr="00164238" w:rsidRDefault="00FA6C5D" w:rsidP="00FA6C5D">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lastRenderedPageBreak/>
        <w:t>Sürdürülebilir kalkınma ve büyüme için kadınların güçlendirilerek ekonomiye daha çok katılması sağlanmalıdır. Covid 19 gibi salgın dönemlerinde sosyal ve ekonomik anlamda daha fazla risk altında olan kadınlar için farklı ve teşvik edici politikalar uygulanmalıdır. Ancak bunun için öncelikle salgından etkilenenler üzerinde kapsamlı çalışmalar yapılarak yaş, cinsiyet, hamilelik, engel durumu ve hatta meslek grubu benzeri göstergeler üzerinden verilerin elde edilmesi gerekmektedir. Bu sayede riskli grupların ortaya çıkarılması da kolaylaşmış olacaktır.</w:t>
      </w:r>
    </w:p>
    <w:p w14:paraId="383E505F" w14:textId="77777777" w:rsidR="00FA6C5D" w:rsidRPr="00164238" w:rsidRDefault="00FA6C5D" w:rsidP="00FA6C5D">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Bunun için;</w:t>
      </w:r>
    </w:p>
    <w:p w14:paraId="499E0E39" w14:textId="77777777" w:rsidR="00FA6C5D" w:rsidRPr="00164238" w:rsidRDefault="00FA6C5D" w:rsidP="007C3550">
      <w:pPr>
        <w:pStyle w:val="ListeParagraf"/>
        <w:numPr>
          <w:ilvl w:val="0"/>
          <w:numId w:val="47"/>
        </w:numPr>
        <w:spacing w:before="120" w:after="120" w:line="276" w:lineRule="auto"/>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 xml:space="preserve">Kadınlara yönelik istihdam teşvikleri geliştirilmeli, kadınların yoğun olduğu sektörleri destekleyen mali ve ekonomik destekler sağlanmalı, </w:t>
      </w:r>
    </w:p>
    <w:p w14:paraId="4F948602" w14:textId="77777777" w:rsidR="00FA6C5D" w:rsidRPr="00164238" w:rsidRDefault="00FA6C5D" w:rsidP="007C3550">
      <w:pPr>
        <w:numPr>
          <w:ilvl w:val="0"/>
          <w:numId w:val="47"/>
        </w:numPr>
        <w:spacing w:before="120" w:after="120" w:line="276" w:lineRule="auto"/>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Kadınları (kendi işini yapsın ya da çalışan olsun farketmeksizin) temsil eden sektör ve işletmelerde vergi ve sosyal güvenlik katkı paylarının ertelenmesi sağlanmalı,</w:t>
      </w:r>
    </w:p>
    <w:p w14:paraId="0FE5EABF" w14:textId="77777777" w:rsidR="00FA6C5D" w:rsidRPr="00164238" w:rsidRDefault="00FA6C5D" w:rsidP="007C3550">
      <w:pPr>
        <w:numPr>
          <w:ilvl w:val="0"/>
          <w:numId w:val="47"/>
        </w:numPr>
        <w:spacing w:before="120" w:after="120" w:line="276" w:lineRule="auto"/>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0-12 yaş çocuk sahibi çalışan kadınlara ücretli çocuk bakım izni sağlanmalı,</w:t>
      </w:r>
    </w:p>
    <w:p w14:paraId="026B6A12" w14:textId="77777777" w:rsidR="00FA6C5D" w:rsidRPr="00164238" w:rsidRDefault="00FA6C5D" w:rsidP="007C3550">
      <w:pPr>
        <w:numPr>
          <w:ilvl w:val="0"/>
          <w:numId w:val="47"/>
        </w:numPr>
        <w:spacing w:before="120" w:after="120" w:line="276" w:lineRule="auto"/>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Çalışan kadınlara esnek çalışma seçenekleri sunulmalı,</w:t>
      </w:r>
    </w:p>
    <w:p w14:paraId="6DD0EF5B" w14:textId="77777777" w:rsidR="00FA6C5D" w:rsidRPr="00164238" w:rsidRDefault="00FA6C5D" w:rsidP="007C3550">
      <w:pPr>
        <w:numPr>
          <w:ilvl w:val="0"/>
          <w:numId w:val="47"/>
        </w:numPr>
        <w:spacing w:before="120" w:after="120" w:line="276" w:lineRule="auto"/>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Kadın çalışanların fazla olduğu sektörler için teşvik paketleri oluşturulmalı,</w:t>
      </w:r>
    </w:p>
    <w:p w14:paraId="037B6675" w14:textId="77777777" w:rsidR="00FA6C5D" w:rsidRPr="00164238" w:rsidRDefault="00FA6C5D" w:rsidP="007C3550">
      <w:pPr>
        <w:numPr>
          <w:ilvl w:val="0"/>
          <w:numId w:val="47"/>
        </w:numPr>
        <w:spacing w:before="120" w:after="120" w:line="276" w:lineRule="auto"/>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Kadın girişimciler vergisel anlamda desteklenmeli, genç girişimci istisnası benzeri bir uygulama tüm kadın girişimciler için uygulanabilmeli,</w:t>
      </w:r>
    </w:p>
    <w:p w14:paraId="30164C61" w14:textId="77777777" w:rsidR="00FA6C5D" w:rsidRPr="00164238" w:rsidRDefault="00FA6C5D" w:rsidP="007C3550">
      <w:pPr>
        <w:numPr>
          <w:ilvl w:val="0"/>
          <w:numId w:val="47"/>
        </w:numPr>
        <w:spacing w:before="120" w:after="120" w:line="276" w:lineRule="auto"/>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Kadınlar için kredi garantileri sağlanmalı, kredi limitleri arttırılmalı (düşük faizli ya da belirli süre faizsiz), yapılandırma ya da kredi ertelemelerine imkan verilmelidir.</w:t>
      </w:r>
    </w:p>
    <w:p w14:paraId="627CEFB7" w14:textId="77777777" w:rsidR="00FA6C5D" w:rsidRPr="00164238" w:rsidRDefault="00FA6C5D" w:rsidP="007C3550">
      <w:pPr>
        <w:numPr>
          <w:ilvl w:val="0"/>
          <w:numId w:val="47"/>
        </w:numPr>
        <w:spacing w:before="120" w:after="120" w:line="276" w:lineRule="auto"/>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Cinsiyet duyarlı bütçeleme yapılmalı, nakit transferler sağlanmalıdır,</w:t>
      </w:r>
    </w:p>
    <w:p w14:paraId="6E052E72" w14:textId="77777777" w:rsidR="00FA6C5D" w:rsidRPr="00164238" w:rsidRDefault="00FA6C5D" w:rsidP="007C3550">
      <w:pPr>
        <w:numPr>
          <w:ilvl w:val="0"/>
          <w:numId w:val="47"/>
        </w:numPr>
        <w:spacing w:before="120" w:after="120" w:line="276" w:lineRule="auto"/>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Toplumsal cinsiyet eşitliğini iyileştiren alanlara yönelik kamu harcamaları önceliklendirilmelidir.</w:t>
      </w:r>
    </w:p>
    <w:p w14:paraId="57D3CBFD" w14:textId="77777777" w:rsidR="00FA6C5D" w:rsidRPr="00164238" w:rsidRDefault="00FA6C5D" w:rsidP="00FA6C5D">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rPr>
        <w:t xml:space="preserve">Salgınlar ile birlikte toplumların eşitlik konusundaki eksiklikleri daha çok ortaya çıkmakta, bu da hükümetlere bu eksikliği gidermek için fırsatlar sunmaktadır. Covid 19 ve sonrasında kadınların ekonomik olarak güçlendirilmesi için teşviklerin yapılması gerekmektedir, çünkü </w:t>
      </w:r>
      <w:r w:rsidRPr="00164238">
        <w:rPr>
          <w:rFonts w:ascii="Times New Roman" w:hAnsi="Times New Roman" w:cs="Times New Roman"/>
          <w:color w:val="000000" w:themeColor="text1"/>
          <w:lang w:eastAsia="tr-TR"/>
        </w:rPr>
        <w:t>kadınlar ağır darbe alan ekonomik sektörlere daha fazla maruz kaldıkları için geçim kaynaklarını daha hızlı kaybetmektedirler. Ancak bu teşvikler yapılırken eşitsizliği azaltmak için yapılmalıdır, unutmamak gerekir ki eşitsiz iyileşme, gelecekte daha da büyük bir eşitsizliğe yol açabilir.</w:t>
      </w:r>
    </w:p>
    <w:p w14:paraId="32952B14" w14:textId="08011344" w:rsidR="006A4DC2" w:rsidRPr="00164238" w:rsidRDefault="00C95516" w:rsidP="006A4DC2">
      <w:pPr>
        <w:spacing w:line="276" w:lineRule="auto"/>
        <w:ind w:firstLine="567"/>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Kaynakça</w:t>
      </w:r>
    </w:p>
    <w:p w14:paraId="501B36D9" w14:textId="77777777" w:rsidR="00FA6C5D" w:rsidRPr="00164238" w:rsidRDefault="00FA6C5D" w:rsidP="00FA6C5D">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Azcona, G., Bhatt, A., Encarnacion,J., Plazaola-Castaño, J., Seck, P., Staab, S., Turquet, L., (2020). </w:t>
      </w:r>
      <w:r w:rsidRPr="00164238">
        <w:rPr>
          <w:rFonts w:ascii="Times New Roman" w:hAnsi="Times New Roman" w:cs="Times New Roman"/>
          <w:i/>
          <w:color w:val="000000" w:themeColor="text1"/>
        </w:rPr>
        <w:t xml:space="preserve">From Insights to Action: Gender Qality in the Wake of Covid 19, </w:t>
      </w:r>
      <w:r w:rsidRPr="00164238">
        <w:rPr>
          <w:rFonts w:ascii="Times New Roman" w:hAnsi="Times New Roman" w:cs="Times New Roman"/>
          <w:color w:val="000000" w:themeColor="text1"/>
        </w:rPr>
        <w:t>UN Woman.</w:t>
      </w:r>
    </w:p>
    <w:p w14:paraId="3F141147" w14:textId="77777777" w:rsidR="00FA6C5D" w:rsidRPr="00164238" w:rsidRDefault="00FA6C5D" w:rsidP="00FA6C5D">
      <w:pPr>
        <w:autoSpaceDE w:val="0"/>
        <w:autoSpaceDN w:val="0"/>
        <w:adjustRightInd w:val="0"/>
        <w:spacing w:before="120"/>
        <w:ind w:left="567" w:hanging="567"/>
        <w:jc w:val="both"/>
        <w:rPr>
          <w:rFonts w:ascii="Times New Roman" w:hAnsi="Times New Roman" w:cs="Times New Roman"/>
          <w:bCs/>
          <w:i/>
          <w:color w:val="000000" w:themeColor="text1"/>
        </w:rPr>
      </w:pPr>
      <w:r w:rsidRPr="00164238">
        <w:rPr>
          <w:rFonts w:ascii="Times New Roman" w:hAnsi="Times New Roman" w:cs="Times New Roman"/>
          <w:color w:val="000000" w:themeColor="text1"/>
        </w:rPr>
        <w:t>De Los Santos, D., Dugarova E.,  Staab, S.,Tabbush C., (2020).  “</w:t>
      </w:r>
      <w:r w:rsidRPr="00164238">
        <w:rPr>
          <w:rFonts w:ascii="Times New Roman" w:hAnsi="Times New Roman" w:cs="Times New Roman"/>
          <w:bCs/>
          <w:color w:val="000000" w:themeColor="text1"/>
        </w:rPr>
        <w:t>COVID-19 Global Gender Response Tracker,</w:t>
      </w:r>
      <w:r w:rsidRPr="00164238">
        <w:rPr>
          <w:rFonts w:ascii="Times New Roman" w:hAnsi="Times New Roman" w:cs="Times New Roman"/>
          <w:color w:val="000000" w:themeColor="text1"/>
        </w:rPr>
        <w:t xml:space="preserve"> </w:t>
      </w:r>
      <w:r w:rsidRPr="00164238">
        <w:rPr>
          <w:rFonts w:ascii="Times New Roman" w:hAnsi="Times New Roman" w:cs="Times New Roman"/>
          <w:bCs/>
          <w:color w:val="000000" w:themeColor="text1"/>
        </w:rPr>
        <w:t xml:space="preserve">Methodological Note”, </w:t>
      </w:r>
      <w:r w:rsidRPr="00164238">
        <w:rPr>
          <w:rFonts w:ascii="Times New Roman" w:hAnsi="Times New Roman" w:cs="Times New Roman"/>
          <w:bCs/>
          <w:i/>
          <w:color w:val="000000" w:themeColor="text1"/>
        </w:rPr>
        <w:t>UN Woman, UNDP.</w:t>
      </w:r>
    </w:p>
    <w:p w14:paraId="7FE7A097" w14:textId="77777777" w:rsidR="00FA6C5D" w:rsidRPr="00164238" w:rsidRDefault="00FA6C5D" w:rsidP="00FA6C5D">
      <w:pPr>
        <w:autoSpaceDE w:val="0"/>
        <w:autoSpaceDN w:val="0"/>
        <w:adjustRightInd w:val="0"/>
        <w:spacing w:before="120"/>
        <w:ind w:left="567" w:hanging="567"/>
        <w:jc w:val="both"/>
        <w:rPr>
          <w:rStyle w:val="A3"/>
          <w:rFonts w:ascii="Times New Roman" w:hAnsi="Times New Roman" w:cs="Times New Roman"/>
          <w:b w:val="0"/>
          <w:color w:val="000000" w:themeColor="text1"/>
        </w:rPr>
      </w:pPr>
      <w:r w:rsidRPr="00164238">
        <w:rPr>
          <w:rFonts w:ascii="Times New Roman" w:hAnsi="Times New Roman" w:cs="Times New Roman"/>
          <w:color w:val="000000" w:themeColor="text1"/>
        </w:rPr>
        <w:t xml:space="preserve">Eroğlu, D., Gençay, H., (2020). </w:t>
      </w:r>
      <w:r w:rsidRPr="00164238">
        <w:rPr>
          <w:rStyle w:val="A3"/>
          <w:rFonts w:ascii="Times New Roman" w:hAnsi="Times New Roman" w:cs="Times New Roman"/>
          <w:b w:val="0"/>
          <w:bCs w:val="0"/>
          <w:i/>
          <w:color w:val="000000" w:themeColor="text1"/>
          <w:sz w:val="20"/>
          <w:szCs w:val="36"/>
        </w:rPr>
        <w:t>Salgında Kadın Olmak</w:t>
      </w:r>
      <w:r w:rsidRPr="00164238">
        <w:rPr>
          <w:rStyle w:val="A3"/>
          <w:rFonts w:ascii="Times New Roman" w:hAnsi="Times New Roman" w:cs="Times New Roman"/>
          <w:b w:val="0"/>
          <w:bCs w:val="0"/>
          <w:color w:val="000000" w:themeColor="text1"/>
          <w:sz w:val="20"/>
          <w:szCs w:val="36"/>
        </w:rPr>
        <w:t>, Kadının İnsan Hakları Yeni Çözümler Derneği, Araştırma Raporu.</w:t>
      </w:r>
    </w:p>
    <w:p w14:paraId="7408ABDA" w14:textId="77777777" w:rsidR="00FA6C5D" w:rsidRPr="00164238" w:rsidRDefault="00FA6C5D" w:rsidP="00FA6C5D">
      <w:pPr>
        <w:autoSpaceDE w:val="0"/>
        <w:autoSpaceDN w:val="0"/>
        <w:adjustRightInd w:val="0"/>
        <w:spacing w:before="120"/>
        <w:ind w:left="567" w:hanging="567"/>
        <w:jc w:val="both"/>
        <w:rPr>
          <w:rStyle w:val="A3"/>
          <w:rFonts w:ascii="Times New Roman" w:hAnsi="Times New Roman" w:cs="Times New Roman"/>
          <w:b w:val="0"/>
          <w:bCs w:val="0"/>
          <w:i/>
          <w:color w:val="000000" w:themeColor="text1"/>
        </w:rPr>
      </w:pPr>
      <w:r w:rsidRPr="00164238">
        <w:rPr>
          <w:rFonts w:ascii="Times New Roman" w:hAnsi="Times New Roman" w:cs="Times New Roman"/>
          <w:i/>
          <w:color w:val="000000" w:themeColor="text1"/>
        </w:rPr>
        <w:t>Global Gender Gap</w:t>
      </w:r>
      <w:r w:rsidRPr="00164238">
        <w:rPr>
          <w:rFonts w:ascii="Times New Roman" w:hAnsi="Times New Roman" w:cs="Times New Roman"/>
          <w:bCs/>
          <w:i/>
          <w:color w:val="000000" w:themeColor="text1"/>
        </w:rPr>
        <w:t xml:space="preserve"> </w:t>
      </w:r>
      <w:r w:rsidRPr="00164238">
        <w:rPr>
          <w:rFonts w:ascii="Times New Roman" w:hAnsi="Times New Roman" w:cs="Times New Roman"/>
          <w:i/>
          <w:color w:val="000000" w:themeColor="text1"/>
        </w:rPr>
        <w:t xml:space="preserve">Report (GGGR), (2020), </w:t>
      </w:r>
      <w:r w:rsidRPr="00164238">
        <w:rPr>
          <w:rFonts w:ascii="Times New Roman" w:hAnsi="Times New Roman" w:cs="Times New Roman"/>
          <w:color w:val="000000" w:themeColor="text1"/>
        </w:rPr>
        <w:t>WEF(World Economic Forum), (2020).</w:t>
      </w:r>
    </w:p>
    <w:p w14:paraId="0BB5B2B9" w14:textId="77777777" w:rsidR="00FA6C5D" w:rsidRPr="00164238" w:rsidRDefault="00FA6C5D" w:rsidP="00FA6C5D">
      <w:pPr>
        <w:autoSpaceDE w:val="0"/>
        <w:autoSpaceDN w:val="0"/>
        <w:adjustRightInd w:val="0"/>
        <w:spacing w:before="120"/>
        <w:ind w:left="567" w:hanging="567"/>
        <w:jc w:val="both"/>
        <w:rPr>
          <w:rStyle w:val="A3"/>
          <w:rFonts w:ascii="Times New Roman" w:hAnsi="Times New Roman" w:cs="Times New Roman"/>
          <w:b w:val="0"/>
          <w:bCs w:val="0"/>
          <w:i/>
          <w:color w:val="000000" w:themeColor="text1"/>
        </w:rPr>
      </w:pPr>
      <w:r w:rsidRPr="00164238">
        <w:rPr>
          <w:rFonts w:ascii="Times New Roman" w:hAnsi="Times New Roman" w:cs="Times New Roman"/>
          <w:color w:val="000000" w:themeColor="text1"/>
        </w:rPr>
        <w:t xml:space="preserve">ILO, (2018). </w:t>
      </w:r>
      <w:r w:rsidRPr="00164238">
        <w:rPr>
          <w:rFonts w:ascii="Times New Roman" w:hAnsi="Times New Roman" w:cs="Times New Roman"/>
          <w:i/>
          <w:color w:val="000000" w:themeColor="text1"/>
        </w:rPr>
        <w:t>Global Wage Report 2018 / 19, What Lies Behind Gender Pay Gaps.</w:t>
      </w:r>
    </w:p>
    <w:p w14:paraId="549625AB" w14:textId="77777777" w:rsidR="00FA6C5D" w:rsidRPr="00164238" w:rsidRDefault="00FA6C5D" w:rsidP="00FA6C5D">
      <w:pPr>
        <w:autoSpaceDE w:val="0"/>
        <w:autoSpaceDN w:val="0"/>
        <w:adjustRightInd w:val="0"/>
        <w:spacing w:before="120"/>
        <w:ind w:left="567" w:hanging="567"/>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rPr>
        <w:lastRenderedPageBreak/>
        <w:t>ILO, (2021).</w:t>
      </w:r>
      <w:r w:rsidRPr="00164238">
        <w:rPr>
          <w:rFonts w:ascii="Times New Roman" w:hAnsi="Times New Roman" w:cs="Times New Roman"/>
          <w:b/>
          <w:bCs/>
          <w:color w:val="000000" w:themeColor="text1"/>
        </w:rPr>
        <w:t xml:space="preserve"> </w:t>
      </w:r>
      <w:r w:rsidRPr="00164238">
        <w:rPr>
          <w:rFonts w:ascii="Times New Roman" w:hAnsi="Times New Roman" w:cs="Times New Roman"/>
          <w:bCs/>
          <w:color w:val="000000" w:themeColor="text1"/>
        </w:rPr>
        <w:t>“ILO Monitor: Covid-19 and the World of Work.</w:t>
      </w:r>
      <w:r w:rsidRPr="00164238">
        <w:rPr>
          <w:rFonts w:ascii="Times New Roman" w:hAnsi="Times New Roman" w:cs="Times New Roman"/>
          <w:b/>
          <w:bCs/>
          <w:color w:val="000000" w:themeColor="text1"/>
        </w:rPr>
        <w:t xml:space="preserve"> </w:t>
      </w:r>
      <w:r w:rsidRPr="00164238">
        <w:rPr>
          <w:rFonts w:ascii="Times New Roman" w:hAnsi="Times New Roman" w:cs="Times New Roman"/>
          <w:bCs/>
          <w:color w:val="000000" w:themeColor="text1"/>
        </w:rPr>
        <w:t xml:space="preserve">Seventh Edition, </w:t>
      </w:r>
      <w:r w:rsidRPr="00164238">
        <w:rPr>
          <w:rFonts w:ascii="Times New Roman" w:hAnsi="Times New Roman" w:cs="Times New Roman"/>
          <w:color w:val="000000" w:themeColor="text1"/>
        </w:rPr>
        <w:t>Updated Estimates and Analysis”.</w:t>
      </w:r>
    </w:p>
    <w:p w14:paraId="1F2FEF62" w14:textId="77777777" w:rsidR="00FA6C5D" w:rsidRPr="00164238" w:rsidRDefault="00FA6C5D" w:rsidP="00FA6C5D">
      <w:pPr>
        <w:autoSpaceDE w:val="0"/>
        <w:autoSpaceDN w:val="0"/>
        <w:adjustRightInd w:val="0"/>
        <w:spacing w:before="120"/>
        <w:ind w:left="567" w:hanging="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OECD, (2020), </w:t>
      </w:r>
      <w:r w:rsidRPr="00164238">
        <w:rPr>
          <w:rFonts w:ascii="Times New Roman" w:hAnsi="Times New Roman" w:cs="Times New Roman"/>
          <w:color w:val="000000" w:themeColor="text1"/>
        </w:rPr>
        <w:t>Covıd-19 Crisis Response In Eastern Partner Countries, Tackling Coronavirüs (Covid 19). Contributint to a Global Effort.</w:t>
      </w:r>
    </w:p>
    <w:p w14:paraId="0CFF496A" w14:textId="77777777" w:rsidR="00FA6C5D" w:rsidRPr="00164238" w:rsidRDefault="00FA6C5D" w:rsidP="00FA6C5D">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Ross, J., Taylor, K., (2020). </w:t>
      </w:r>
      <w:r w:rsidRPr="00164238">
        <w:rPr>
          <w:rFonts w:ascii="Times New Roman" w:hAnsi="Times New Roman" w:cs="Times New Roman"/>
          <w:bCs/>
          <w:i/>
          <w:color w:val="000000" w:themeColor="text1"/>
        </w:rPr>
        <w:t>The Impact of Covıd-19 On Women’s and Men’s Lives and Livelihoods in Europe and Central Asia</w:t>
      </w:r>
      <w:r w:rsidRPr="00164238">
        <w:rPr>
          <w:rFonts w:ascii="Times New Roman" w:hAnsi="Times New Roman" w:cs="Times New Roman"/>
          <w:bCs/>
          <w:color w:val="000000" w:themeColor="text1"/>
        </w:rPr>
        <w:t xml:space="preserve">, </w:t>
      </w:r>
      <w:r w:rsidRPr="00164238">
        <w:rPr>
          <w:rFonts w:ascii="Times New Roman" w:hAnsi="Times New Roman" w:cs="Times New Roman"/>
          <w:color w:val="000000" w:themeColor="text1"/>
        </w:rPr>
        <w:t>Rapid Gender Assessment, UN Women Regional Office.</w:t>
      </w:r>
    </w:p>
    <w:p w14:paraId="38B00D92" w14:textId="77777777" w:rsidR="00FA6C5D" w:rsidRPr="00164238" w:rsidRDefault="00FA6C5D" w:rsidP="00FA6C5D">
      <w:pPr>
        <w:autoSpaceDE w:val="0"/>
        <w:autoSpaceDN w:val="0"/>
        <w:adjustRightInd w:val="0"/>
        <w:spacing w:before="120"/>
        <w:ind w:left="567" w:hanging="567"/>
        <w:jc w:val="both"/>
        <w:rPr>
          <w:rFonts w:ascii="Times New Roman" w:hAnsi="Times New Roman" w:cs="Times New Roman"/>
          <w:i/>
          <w:color w:val="000000" w:themeColor="text1"/>
        </w:rPr>
      </w:pPr>
      <w:r w:rsidRPr="00164238">
        <w:rPr>
          <w:rFonts w:ascii="Times New Roman" w:hAnsi="Times New Roman" w:cs="Times New Roman"/>
          <w:iCs/>
          <w:color w:val="000000" w:themeColor="text1"/>
        </w:rPr>
        <w:t>UN, (2020).</w:t>
      </w:r>
      <w:r w:rsidRPr="00164238">
        <w:rPr>
          <w:rFonts w:ascii="Times New Roman" w:hAnsi="Times New Roman" w:cs="Times New Roman"/>
          <w:bCs/>
          <w:color w:val="000000" w:themeColor="text1"/>
        </w:rPr>
        <w:t xml:space="preserve"> </w:t>
      </w:r>
      <w:r w:rsidRPr="00164238">
        <w:rPr>
          <w:rFonts w:ascii="Times New Roman" w:hAnsi="Times New Roman" w:cs="Times New Roman"/>
          <w:i/>
          <w:color w:val="000000" w:themeColor="text1"/>
        </w:rPr>
        <w:t>A UN Framework For The Immedıate Socıo-Economıc Response To Covıd-19.</w:t>
      </w:r>
    </w:p>
    <w:p w14:paraId="55057E5E" w14:textId="77777777" w:rsidR="00FA6C5D" w:rsidRPr="00164238" w:rsidRDefault="00FA6C5D" w:rsidP="00FA6C5D">
      <w:pPr>
        <w:autoSpaceDE w:val="0"/>
        <w:autoSpaceDN w:val="0"/>
        <w:adjustRightInd w:val="0"/>
        <w:spacing w:before="120"/>
        <w:ind w:left="567" w:hanging="567"/>
        <w:jc w:val="both"/>
        <w:rPr>
          <w:rFonts w:ascii="Times New Roman" w:hAnsi="Times New Roman" w:cs="Times New Roman"/>
          <w:i/>
          <w:color w:val="000000" w:themeColor="text1"/>
        </w:rPr>
      </w:pPr>
      <w:r w:rsidRPr="00164238">
        <w:rPr>
          <w:rFonts w:ascii="Times New Roman" w:hAnsi="Times New Roman" w:cs="Times New Roman"/>
          <w:iCs/>
          <w:color w:val="000000" w:themeColor="text1"/>
        </w:rPr>
        <w:t>UN Woman, (2020).</w:t>
      </w:r>
      <w:r w:rsidRPr="00164238">
        <w:rPr>
          <w:rFonts w:ascii="Times New Roman" w:hAnsi="Times New Roman" w:cs="Times New Roman"/>
          <w:i/>
          <w:color w:val="000000" w:themeColor="text1"/>
        </w:rPr>
        <w:t>, The World for Women and Girs, annual Report 2019-2020.</w:t>
      </w:r>
    </w:p>
    <w:p w14:paraId="4ECDBE4E" w14:textId="77777777" w:rsidR="00FA6C5D" w:rsidRPr="00164238" w:rsidRDefault="00FA6C5D" w:rsidP="00FA6C5D">
      <w:pPr>
        <w:autoSpaceDE w:val="0"/>
        <w:autoSpaceDN w:val="0"/>
        <w:adjustRightInd w:val="0"/>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UN Woman, (2020a)., ”Why Macroeconomic Policy Matters for Gender Equality”, Policy Breef No.4.</w:t>
      </w:r>
    </w:p>
    <w:p w14:paraId="460A8E3A" w14:textId="77777777" w:rsidR="00FA6C5D" w:rsidRPr="00164238" w:rsidRDefault="00FA6C5D" w:rsidP="00FA6C5D">
      <w:pPr>
        <w:autoSpaceDE w:val="0"/>
        <w:autoSpaceDN w:val="0"/>
        <w:adjustRightInd w:val="0"/>
        <w:spacing w:before="120"/>
        <w:ind w:left="567" w:hanging="567"/>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URL 1: </w:t>
      </w:r>
      <w:hyperlink r:id="rId274" w:history="1">
        <w:r w:rsidRPr="00164238">
          <w:rPr>
            <w:rStyle w:val="Kpr"/>
            <w:rFonts w:ascii="Times New Roman" w:hAnsi="Times New Roman" w:cs="Times New Roman"/>
            <w:bCs/>
            <w:color w:val="000000" w:themeColor="text1"/>
          </w:rPr>
          <w:t>https://news.google.com/covid19/map?hl=tr&amp;mid=%2Fm%2F01znc_&amp;gl=TR&amp;ceid=TR%3Atr</w:t>
        </w:r>
      </w:hyperlink>
      <w:r w:rsidRPr="00164238">
        <w:rPr>
          <w:rStyle w:val="Kpr"/>
          <w:rFonts w:ascii="Times New Roman" w:hAnsi="Times New Roman" w:cs="Times New Roman"/>
          <w:bCs/>
          <w:color w:val="000000" w:themeColor="text1"/>
        </w:rPr>
        <w:t xml:space="preserve">   </w:t>
      </w:r>
      <w:r w:rsidRPr="00164238">
        <w:rPr>
          <w:rFonts w:ascii="Times New Roman" w:hAnsi="Times New Roman" w:cs="Times New Roman"/>
          <w:bCs/>
          <w:color w:val="000000" w:themeColor="text1"/>
        </w:rPr>
        <w:t>(Erişim tarihi: 04.04.2021).</w:t>
      </w:r>
    </w:p>
    <w:p w14:paraId="1DFF2362" w14:textId="77777777" w:rsidR="00FA6C5D" w:rsidRPr="00164238" w:rsidRDefault="00FA6C5D" w:rsidP="00FA6C5D">
      <w:pPr>
        <w:autoSpaceDE w:val="0"/>
        <w:autoSpaceDN w:val="0"/>
        <w:adjustRightInd w:val="0"/>
        <w:spacing w:before="120"/>
        <w:ind w:left="567" w:hanging="567"/>
        <w:rPr>
          <w:rFonts w:ascii="Times New Roman" w:hAnsi="Times New Roman" w:cs="Times New Roman"/>
          <w:bCs/>
          <w:color w:val="000000" w:themeColor="text1"/>
        </w:rPr>
      </w:pPr>
      <w:r w:rsidRPr="00164238">
        <w:rPr>
          <w:rFonts w:ascii="Times New Roman" w:hAnsi="Times New Roman" w:cs="Times New Roman"/>
          <w:i/>
          <w:iCs/>
          <w:color w:val="000000" w:themeColor="text1"/>
        </w:rPr>
        <w:t xml:space="preserve">Women, Business and the Law (WBL), 2021. </w:t>
      </w:r>
      <w:r w:rsidRPr="00164238">
        <w:rPr>
          <w:rFonts w:ascii="Times New Roman" w:hAnsi="Times New Roman" w:cs="Times New Roman"/>
          <w:color w:val="000000" w:themeColor="text1"/>
        </w:rPr>
        <w:t>Washington, DC:</w:t>
      </w:r>
      <w:r w:rsidRPr="00164238">
        <w:rPr>
          <w:rFonts w:ascii="Times New Roman" w:hAnsi="Times New Roman" w:cs="Times New Roman"/>
          <w:bCs/>
          <w:color w:val="000000" w:themeColor="text1"/>
        </w:rPr>
        <w:t xml:space="preserve"> World Bank Group.</w:t>
      </w:r>
    </w:p>
    <w:p w14:paraId="256CA4B6" w14:textId="77777777" w:rsidR="00856481" w:rsidRDefault="00856481" w:rsidP="00641A09">
      <w:pPr>
        <w:pStyle w:val="Balk1"/>
        <w:rPr>
          <w:rFonts w:ascii="Times New Roman" w:hAnsi="Times New Roman" w:cs="Times New Roman"/>
          <w:b/>
          <w:color w:val="000000" w:themeColor="text1"/>
          <w:sz w:val="24"/>
          <w:szCs w:val="24"/>
        </w:rPr>
      </w:pPr>
      <w:bookmarkStart w:id="145" w:name="_Toc72961731"/>
    </w:p>
    <w:p w14:paraId="51B5EAB3" w14:textId="2BD212C9" w:rsidR="00856481" w:rsidRDefault="00856481" w:rsidP="00641A09">
      <w:pPr>
        <w:pStyle w:val="Balk1"/>
        <w:rPr>
          <w:rFonts w:ascii="Times New Roman" w:hAnsi="Times New Roman" w:cs="Times New Roman"/>
          <w:b/>
          <w:color w:val="000000" w:themeColor="text1"/>
          <w:sz w:val="24"/>
          <w:szCs w:val="24"/>
        </w:rPr>
      </w:pPr>
    </w:p>
    <w:p w14:paraId="35276FAE" w14:textId="65E3AEDB" w:rsidR="00856481" w:rsidRDefault="00856481" w:rsidP="00856481">
      <w:pPr>
        <w:rPr>
          <w:lang w:eastAsia="tr-TR"/>
        </w:rPr>
      </w:pPr>
    </w:p>
    <w:p w14:paraId="6AB7EA63" w14:textId="664A24A3" w:rsidR="00856481" w:rsidRDefault="00856481" w:rsidP="00856481">
      <w:pPr>
        <w:rPr>
          <w:lang w:eastAsia="tr-TR"/>
        </w:rPr>
      </w:pPr>
    </w:p>
    <w:p w14:paraId="456C7F18" w14:textId="221838F6" w:rsidR="00856481" w:rsidRDefault="00856481" w:rsidP="00856481">
      <w:pPr>
        <w:rPr>
          <w:lang w:eastAsia="tr-TR"/>
        </w:rPr>
      </w:pPr>
    </w:p>
    <w:p w14:paraId="164DF67C" w14:textId="1B6088DF" w:rsidR="00856481" w:rsidRDefault="00856481" w:rsidP="00856481">
      <w:pPr>
        <w:rPr>
          <w:lang w:eastAsia="tr-TR"/>
        </w:rPr>
      </w:pPr>
    </w:p>
    <w:p w14:paraId="616F82F7" w14:textId="4C09F5AB" w:rsidR="00856481" w:rsidRDefault="00856481" w:rsidP="00856481">
      <w:pPr>
        <w:rPr>
          <w:lang w:eastAsia="tr-TR"/>
        </w:rPr>
      </w:pPr>
    </w:p>
    <w:p w14:paraId="35226D2D" w14:textId="14844733" w:rsidR="00856481" w:rsidRDefault="00856481" w:rsidP="00856481">
      <w:pPr>
        <w:rPr>
          <w:lang w:eastAsia="tr-TR"/>
        </w:rPr>
      </w:pPr>
    </w:p>
    <w:p w14:paraId="31AC21CE" w14:textId="268D430D" w:rsidR="00856481" w:rsidRDefault="00856481" w:rsidP="00856481">
      <w:pPr>
        <w:rPr>
          <w:lang w:eastAsia="tr-TR"/>
        </w:rPr>
      </w:pPr>
    </w:p>
    <w:p w14:paraId="14520718" w14:textId="573D9B78" w:rsidR="00856481" w:rsidRDefault="00856481" w:rsidP="00856481">
      <w:pPr>
        <w:rPr>
          <w:lang w:eastAsia="tr-TR"/>
        </w:rPr>
      </w:pPr>
    </w:p>
    <w:p w14:paraId="71823C42" w14:textId="6D23FB81" w:rsidR="00856481" w:rsidRDefault="00856481" w:rsidP="00856481">
      <w:pPr>
        <w:rPr>
          <w:lang w:eastAsia="tr-TR"/>
        </w:rPr>
      </w:pPr>
    </w:p>
    <w:p w14:paraId="1874845E" w14:textId="65193D37" w:rsidR="00856481" w:rsidRDefault="00856481" w:rsidP="00856481">
      <w:pPr>
        <w:rPr>
          <w:lang w:eastAsia="tr-TR"/>
        </w:rPr>
      </w:pPr>
    </w:p>
    <w:p w14:paraId="144E5BDF" w14:textId="77777777" w:rsidR="00856481" w:rsidRPr="00856481" w:rsidRDefault="00856481" w:rsidP="00856481">
      <w:pPr>
        <w:rPr>
          <w:lang w:eastAsia="tr-TR"/>
        </w:rPr>
      </w:pPr>
    </w:p>
    <w:p w14:paraId="6EC9F078" w14:textId="77777777" w:rsidR="00856481" w:rsidRDefault="00856481" w:rsidP="00641A09">
      <w:pPr>
        <w:pStyle w:val="Balk1"/>
        <w:rPr>
          <w:rFonts w:ascii="Times New Roman" w:hAnsi="Times New Roman" w:cs="Times New Roman"/>
          <w:b/>
          <w:color w:val="000000" w:themeColor="text1"/>
          <w:sz w:val="24"/>
          <w:szCs w:val="24"/>
        </w:rPr>
      </w:pPr>
    </w:p>
    <w:p w14:paraId="7C07141B" w14:textId="721D72CC" w:rsidR="00A3188A" w:rsidRPr="00164238" w:rsidRDefault="00641A09" w:rsidP="00641A09">
      <w:pPr>
        <w:pStyle w:val="Balk1"/>
        <w:rPr>
          <w:rFonts w:ascii="Times New Roman" w:hAnsi="Times New Roman" w:cs="Times New Roman"/>
          <w:b/>
          <w:color w:val="000000" w:themeColor="text1"/>
          <w:sz w:val="24"/>
          <w:szCs w:val="24"/>
        </w:rPr>
      </w:pPr>
      <w:r w:rsidRPr="00164238">
        <w:rPr>
          <w:rFonts w:ascii="Times New Roman" w:hAnsi="Times New Roman" w:cs="Times New Roman"/>
          <w:b/>
          <w:color w:val="000000" w:themeColor="text1"/>
          <w:sz w:val="24"/>
          <w:szCs w:val="24"/>
        </w:rPr>
        <w:t>TÜRKİYE’DE AR-GE FAALİYETLERİNE YÖNELİK SAĞLANAN VERGİSEL TEŞVİK VE DESTEK UNSURLARI İLE ‘‘COVİD-19’’ SALGINI SONRASI AR-GE TEŞVİKLERİ</w:t>
      </w:r>
      <w:bookmarkEnd w:id="145"/>
    </w:p>
    <w:p w14:paraId="369B39D5" w14:textId="77777777" w:rsidR="00A3188A" w:rsidRPr="00164238" w:rsidRDefault="00A3188A" w:rsidP="00A3188A">
      <w:pPr>
        <w:rPr>
          <w:rStyle w:val="Vurgu"/>
          <w:rFonts w:ascii="Times New Roman" w:hAnsi="Times New Roman" w:cs="Times New Roman"/>
          <w:color w:val="000000" w:themeColor="text1"/>
          <w:sz w:val="20"/>
          <w:szCs w:val="23"/>
          <w:bdr w:val="none" w:sz="0" w:space="0" w:color="auto" w:frame="1"/>
          <w:shd w:val="clear" w:color="auto" w:fill="FFFFFF"/>
        </w:rPr>
      </w:pPr>
    </w:p>
    <w:p w14:paraId="1FAE0677" w14:textId="77777777" w:rsidR="00A3188A" w:rsidRPr="00164238" w:rsidRDefault="00A3188A" w:rsidP="00A3188A">
      <w:pPr>
        <w:rPr>
          <w:rStyle w:val="Vurgu"/>
          <w:rFonts w:ascii="Times New Roman" w:hAnsi="Times New Roman" w:cs="Times New Roman"/>
          <w:color w:val="000000" w:themeColor="text1"/>
          <w:szCs w:val="23"/>
          <w:bdr w:val="none" w:sz="0" w:space="0" w:color="auto" w:frame="1"/>
          <w:shd w:val="clear" w:color="auto" w:fill="FFFFFF"/>
        </w:rPr>
      </w:pPr>
      <w:r w:rsidRPr="00164238">
        <w:rPr>
          <w:rStyle w:val="Vurgu"/>
          <w:rFonts w:ascii="Times New Roman" w:hAnsi="Times New Roman" w:cs="Times New Roman"/>
          <w:color w:val="000000" w:themeColor="text1"/>
          <w:szCs w:val="23"/>
          <w:bdr w:val="none" w:sz="0" w:space="0" w:color="auto" w:frame="1"/>
          <w:shd w:val="clear" w:color="auto" w:fill="FFFFFF"/>
        </w:rPr>
        <w:t>“Teşvik sistemi kötü değildir, fakat tehlikelidir. Teşvik nedeniyle müdahalelere başlayan iktidarların bu müdahalelerini başka alanlara da yayma istekleri kolay önlenemez. Öte yandan, aşırı teşvik önlemleri ekonomiyi doğal gidişinden saptırabilir. Girişimciler doğal olarak kar getiren alanlara yönelir. İktidarın desteği olmadan yaşayamayan girişimler ise zarar eden girişimlerdir. Bu zararı karşılayan iktidar ise, bu parayı vergilerden sağlayacaktır. Yani, toplum zarar eden girişimlerin yükünü taşımak zorunda bırakılacaktır. Bunun gibi devlet teşvikleri girişimcilerin yükünü taşımak zorunda bırakılacaktır. Bunun gibi devlet teşvikleri girişimcilerin serbest piyasa düzenine göre hareket etmelerini engelleyecektir.”</w:t>
      </w:r>
    </w:p>
    <w:p w14:paraId="723AD1AD" w14:textId="77777777" w:rsidR="00A3188A" w:rsidRPr="00164238" w:rsidRDefault="00A3188A" w:rsidP="00A3188A">
      <w:pPr>
        <w:rPr>
          <w:rStyle w:val="Vurgu"/>
          <w:rFonts w:ascii="Times New Roman" w:hAnsi="Times New Roman" w:cs="Times New Roman"/>
          <w:color w:val="000000" w:themeColor="text1"/>
          <w:szCs w:val="23"/>
          <w:bdr w:val="none" w:sz="0" w:space="0" w:color="auto" w:frame="1"/>
          <w:shd w:val="clear" w:color="auto" w:fill="FFFFFF"/>
        </w:rPr>
      </w:pPr>
    </w:p>
    <w:p w14:paraId="558AE0DE" w14:textId="77777777" w:rsidR="00A3188A" w:rsidRPr="00164238" w:rsidRDefault="00A3188A" w:rsidP="00A3188A">
      <w:pPr>
        <w:jc w:val="right"/>
        <w:rPr>
          <w:rFonts w:ascii="Times New Roman" w:hAnsi="Times New Roman" w:cs="Times New Roman"/>
          <w:b/>
          <w:color w:val="000000" w:themeColor="text1"/>
          <w:szCs w:val="20"/>
        </w:rPr>
      </w:pPr>
      <w:r w:rsidRPr="00164238">
        <w:rPr>
          <w:rFonts w:ascii="Times New Roman" w:hAnsi="Times New Roman" w:cs="Times New Roman"/>
          <w:b/>
          <w:i/>
          <w:color w:val="000000" w:themeColor="text1"/>
        </w:rPr>
        <w:t xml:space="preserve">Benjamin Constant                                                                                                                              </w:t>
      </w:r>
    </w:p>
    <w:p w14:paraId="2B497D3F" w14:textId="77777777" w:rsidR="00641A09" w:rsidRPr="00164238" w:rsidRDefault="00641A09" w:rsidP="00641A09">
      <w:pPr>
        <w:pStyle w:val="Balk2"/>
        <w:rPr>
          <w:rFonts w:ascii="Times New Roman" w:eastAsia="Arial" w:hAnsi="Times New Roman" w:cs="Times New Roman"/>
          <w:b w:val="0"/>
          <w:color w:val="000000" w:themeColor="text1"/>
          <w:sz w:val="20"/>
          <w:szCs w:val="20"/>
        </w:rPr>
      </w:pPr>
      <w:bookmarkStart w:id="146" w:name="_Toc72961732"/>
      <w:r w:rsidRPr="00164238">
        <w:rPr>
          <w:rStyle w:val="Balk2Char"/>
          <w:rFonts w:ascii="Times New Roman" w:hAnsi="Times New Roman" w:cs="Times New Roman"/>
          <w:color w:val="000000" w:themeColor="text1"/>
          <w:sz w:val="20"/>
          <w:szCs w:val="20"/>
        </w:rPr>
        <w:t>Arş.Gör. Zehra AKGÜNGÖ</w:t>
      </w:r>
      <w:r w:rsidRPr="00164238">
        <w:rPr>
          <w:rFonts w:ascii="Times New Roman" w:eastAsia="Arial" w:hAnsi="Times New Roman" w:cs="Times New Roman"/>
          <w:b w:val="0"/>
          <w:color w:val="000000" w:themeColor="text1"/>
          <w:sz w:val="20"/>
          <w:szCs w:val="20"/>
        </w:rPr>
        <w:t>R</w:t>
      </w:r>
      <w:r w:rsidRPr="00164238">
        <w:rPr>
          <w:rFonts w:ascii="Times New Roman" w:eastAsia="Arial" w:hAnsi="Times New Roman" w:cs="Times New Roman"/>
          <w:color w:val="000000" w:themeColor="text1"/>
          <w:sz w:val="20"/>
          <w:szCs w:val="20"/>
        </w:rPr>
        <w:t xml:space="preserve">, </w:t>
      </w:r>
      <w:r w:rsidRPr="00164238">
        <w:rPr>
          <w:rFonts w:ascii="Times New Roman" w:eastAsia="Arial" w:hAnsi="Times New Roman" w:cs="Times New Roman"/>
          <w:b w:val="0"/>
          <w:color w:val="000000" w:themeColor="text1"/>
          <w:sz w:val="20"/>
          <w:szCs w:val="20"/>
        </w:rPr>
        <w:t>Ankara Haci Bayram Veli Üniversitesi, Lisansüstü Eğitim Enstitüsü, 06570, Ankara, Turkiye</w:t>
      </w:r>
      <w:bookmarkEnd w:id="146"/>
    </w:p>
    <w:p w14:paraId="3D56B06E" w14:textId="77777777" w:rsidR="00641A09" w:rsidRPr="00164238" w:rsidRDefault="00641A09" w:rsidP="00641A09">
      <w:pPr>
        <w:jc w:val="both"/>
        <w:rPr>
          <w:rFonts w:ascii="Times New Roman" w:hAnsi="Times New Roman" w:cs="Times New Roman"/>
          <w:color w:val="000000" w:themeColor="text1"/>
          <w:sz w:val="20"/>
          <w:szCs w:val="20"/>
        </w:rPr>
      </w:pPr>
      <w:r w:rsidRPr="00164238">
        <w:rPr>
          <w:rFonts w:ascii="Times New Roman" w:eastAsia="Arial" w:hAnsi="Times New Roman" w:cs="Times New Roman"/>
          <w:i/>
          <w:color w:val="000000" w:themeColor="text1"/>
          <w:sz w:val="20"/>
          <w:szCs w:val="20"/>
        </w:rPr>
        <w:t>e-mail</w:t>
      </w:r>
      <w:r w:rsidRPr="00164238">
        <w:rPr>
          <w:rFonts w:ascii="Times New Roman" w:eastAsia="Arial" w:hAnsi="Times New Roman" w:cs="Times New Roman"/>
          <w:color w:val="000000" w:themeColor="text1"/>
          <w:sz w:val="20"/>
          <w:szCs w:val="20"/>
        </w:rPr>
        <w:t xml:space="preserve">: </w:t>
      </w:r>
      <w:r w:rsidRPr="00164238">
        <w:rPr>
          <w:rFonts w:ascii="Times New Roman" w:eastAsia="Arial" w:hAnsi="Times New Roman" w:cs="Times New Roman"/>
          <w:color w:val="000000" w:themeColor="text1"/>
          <w:sz w:val="20"/>
          <w:szCs w:val="20"/>
          <w:u w:val="single"/>
        </w:rPr>
        <w:t>zehra.yildirim@hbv.edu.tr</w:t>
      </w:r>
      <w:r w:rsidRPr="00164238">
        <w:rPr>
          <w:rFonts w:ascii="Times New Roman" w:eastAsia="Arial" w:hAnsi="Times New Roman" w:cs="Times New Roman"/>
          <w:color w:val="000000" w:themeColor="text1"/>
          <w:sz w:val="20"/>
          <w:szCs w:val="20"/>
        </w:rPr>
        <w:t xml:space="preserve">  ORCID ID:</w:t>
      </w:r>
      <w:r w:rsidRPr="00164238">
        <w:rPr>
          <w:rFonts w:ascii="Times New Roman" w:hAnsi="Times New Roman" w:cs="Times New Roman"/>
          <w:color w:val="000000" w:themeColor="text1"/>
          <w:sz w:val="20"/>
          <w:szCs w:val="20"/>
        </w:rPr>
        <w:t xml:space="preserve"> </w:t>
      </w:r>
      <w:hyperlink r:id="rId275" w:history="1">
        <w:r w:rsidRPr="00164238">
          <w:rPr>
            <w:rStyle w:val="Kpr"/>
            <w:rFonts w:ascii="Times New Roman" w:hAnsi="Times New Roman" w:cs="Times New Roman"/>
            <w:color w:val="000000" w:themeColor="text1"/>
            <w:sz w:val="20"/>
            <w:szCs w:val="20"/>
          </w:rPr>
          <w:t>0000-0003-4434-8896</w:t>
        </w:r>
      </w:hyperlink>
    </w:p>
    <w:p w14:paraId="41BB3DEF" w14:textId="77777777" w:rsidR="00641A09" w:rsidRPr="00164238" w:rsidRDefault="00641A09" w:rsidP="00641A09">
      <w:pPr>
        <w:jc w:val="both"/>
        <w:rPr>
          <w:rFonts w:ascii="Times New Roman" w:hAnsi="Times New Roman" w:cs="Times New Roman"/>
          <w:color w:val="000000" w:themeColor="text1"/>
          <w:sz w:val="20"/>
          <w:szCs w:val="20"/>
        </w:rPr>
      </w:pPr>
    </w:p>
    <w:p w14:paraId="4743C8B9" w14:textId="77777777" w:rsidR="00641A09" w:rsidRPr="00164238" w:rsidRDefault="00641A09" w:rsidP="00641A09">
      <w:pPr>
        <w:pStyle w:val="Balk2"/>
        <w:rPr>
          <w:rFonts w:ascii="Times New Roman" w:eastAsia="Arial" w:hAnsi="Times New Roman" w:cs="Times New Roman"/>
          <w:b w:val="0"/>
          <w:i w:val="0"/>
          <w:color w:val="000000" w:themeColor="text1"/>
          <w:sz w:val="20"/>
          <w:szCs w:val="20"/>
        </w:rPr>
      </w:pPr>
      <w:bookmarkStart w:id="147" w:name="_Toc72961733"/>
      <w:r w:rsidRPr="00164238">
        <w:rPr>
          <w:rStyle w:val="Balk2Char"/>
          <w:rFonts w:ascii="Times New Roman" w:hAnsi="Times New Roman" w:cs="Times New Roman"/>
          <w:color w:val="000000" w:themeColor="text1"/>
          <w:sz w:val="20"/>
          <w:szCs w:val="20"/>
        </w:rPr>
        <w:t>Arş.Gör. Arzu POLAT</w:t>
      </w:r>
      <w:r w:rsidRPr="00164238">
        <w:rPr>
          <w:rFonts w:ascii="Times New Roman" w:eastAsia="Arial" w:hAnsi="Times New Roman" w:cs="Times New Roman"/>
          <w:color w:val="000000" w:themeColor="text1"/>
          <w:sz w:val="20"/>
          <w:szCs w:val="20"/>
        </w:rPr>
        <w:t xml:space="preserve">, </w:t>
      </w:r>
      <w:r w:rsidRPr="00164238">
        <w:rPr>
          <w:rFonts w:ascii="Times New Roman" w:eastAsia="Arial" w:hAnsi="Times New Roman" w:cs="Times New Roman"/>
          <w:b w:val="0"/>
          <w:color w:val="000000" w:themeColor="text1"/>
          <w:sz w:val="20"/>
          <w:szCs w:val="20"/>
        </w:rPr>
        <w:t>Ankara Haci Bayram Veli Universitesi, Lisansüstü Eğitim Enstitüsü, 06570, Ankara, Türkiye</w:t>
      </w:r>
      <w:bookmarkEnd w:id="147"/>
      <w:r w:rsidRPr="00164238">
        <w:rPr>
          <w:rFonts w:ascii="Times New Roman" w:eastAsia="Arial" w:hAnsi="Times New Roman" w:cs="Times New Roman"/>
          <w:b w:val="0"/>
          <w:color w:val="000000" w:themeColor="text1"/>
          <w:sz w:val="20"/>
          <w:szCs w:val="20"/>
        </w:rPr>
        <w:t xml:space="preserve"> </w:t>
      </w:r>
    </w:p>
    <w:p w14:paraId="0E784551" w14:textId="77777777" w:rsidR="00641A09" w:rsidRPr="00164238" w:rsidRDefault="00641A09" w:rsidP="00641A09">
      <w:pPr>
        <w:jc w:val="both"/>
        <w:rPr>
          <w:rFonts w:ascii="Times New Roman" w:hAnsi="Times New Roman" w:cs="Times New Roman"/>
          <w:color w:val="000000" w:themeColor="text1"/>
          <w:sz w:val="20"/>
          <w:szCs w:val="20"/>
        </w:rPr>
      </w:pPr>
      <w:r w:rsidRPr="00164238">
        <w:rPr>
          <w:rFonts w:ascii="Times New Roman" w:eastAsia="Arial" w:hAnsi="Times New Roman" w:cs="Times New Roman"/>
          <w:i/>
          <w:color w:val="000000" w:themeColor="text1"/>
          <w:sz w:val="20"/>
          <w:szCs w:val="20"/>
        </w:rPr>
        <w:t xml:space="preserve">e-mail: </w:t>
      </w:r>
      <w:hyperlink r:id="rId276" w:history="1">
        <w:r w:rsidRPr="00164238">
          <w:rPr>
            <w:rStyle w:val="Kpr"/>
            <w:rFonts w:ascii="Times New Roman" w:eastAsia="Arial" w:hAnsi="Times New Roman" w:cs="Times New Roman"/>
            <w:color w:val="000000" w:themeColor="text1"/>
            <w:sz w:val="20"/>
            <w:szCs w:val="20"/>
          </w:rPr>
          <w:t>arzu.polat@hbv.edu.tr</w:t>
        </w:r>
      </w:hyperlink>
      <w:r w:rsidRPr="00164238">
        <w:rPr>
          <w:rFonts w:ascii="Times New Roman" w:eastAsia="Arial" w:hAnsi="Times New Roman" w:cs="Times New Roman"/>
          <w:i/>
          <w:color w:val="000000" w:themeColor="text1"/>
          <w:sz w:val="20"/>
          <w:szCs w:val="20"/>
        </w:rPr>
        <w:t xml:space="preserve"> ORCID ID: </w:t>
      </w:r>
      <w:hyperlink r:id="rId277" w:history="1">
        <w:r w:rsidRPr="00164238">
          <w:rPr>
            <w:rStyle w:val="Kpr"/>
            <w:rFonts w:ascii="Times New Roman" w:hAnsi="Times New Roman" w:cs="Times New Roman"/>
            <w:color w:val="000000" w:themeColor="text1"/>
            <w:sz w:val="20"/>
            <w:szCs w:val="20"/>
          </w:rPr>
          <w:t>0000-0002-6251-8214</w:t>
        </w:r>
      </w:hyperlink>
    </w:p>
    <w:p w14:paraId="39414DAE" w14:textId="77777777" w:rsidR="00A3188A" w:rsidRPr="00164238" w:rsidRDefault="00A3188A" w:rsidP="00A3188A">
      <w:pPr>
        <w:spacing w:before="120" w:after="120" w:line="276" w:lineRule="auto"/>
        <w:jc w:val="both"/>
        <w:rPr>
          <w:rFonts w:ascii="Times New Roman" w:hAnsi="Times New Roman" w:cs="Times New Roman"/>
          <w:color w:val="000000" w:themeColor="text1"/>
        </w:rPr>
      </w:pPr>
    </w:p>
    <w:p w14:paraId="194DEF1E" w14:textId="77777777" w:rsidR="00A3188A" w:rsidRPr="00164238" w:rsidRDefault="00A3188A" w:rsidP="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Globalleşmeyle birlikte ülkeler rekabet üstünlüğü sağlama yarışına girmişlerdir. Bunu yaparken de gerek kendi ülkesindeki yatırımcıları gerekse diğer ülkelerdeki yabancı yatırımcıları çekmek için yatırımcılara cazip gelecek teşvik politikaları uygularlar. Hem gelişmiş hem de gelişmekte olan ülkelerde uygulanmakta olan yatırım teşviklerinin tasarlanmasındaki en önemli amaç ise; başta Ar-Ge kapasitesini artırmak üzere, bölgesel kalkınmanın teşvik edilmesi, ekonomik büyümenin artırılması, cari açığın azaltılması, katma değeri yüksek yatırımların desteklenmesi, istihdam sorununun çözüme kavuşturulması, bölgelerin ihracat kapasitelerini artırarak dışa bağımlılığın azaltılmasıdır. Ar-Ge faaliyetlerine yönelik teşvikler ise, teşvik araçlarında amaçlarına göre sınıflandırılan teşvikler kapsamında yer almaktadır. Covid-19 salgının yaratmış olduğu olumsuzlukları önlemeye yönelik dünya genelinde ekonomiyi dengede tutabilmek için birçok teşvik politikaları uygulamaya konulmuştur. Örneğin Portekiz’de; Covid-19 salgının yaratmış olduğu sağlık hizmeti ihtiyaçları için Ar-Ge faaliyetlerine yönelik çalışmaların teşvikini sağlamak için hükümet tarafından 1,5 milyon Euro kaynak tahsisi sağlanmıştır. Türkiye’de de bu kapsamda Covid-19 salgını ile mücadele amacıyla birçok teşvik politikaları yürürlüğe girmiştir. Bu çalışmada, öncelikle Ar-Ge, Ar-Ge kanunları ve Türkiye’de Ar-Ge faaliyetlerine sağlanan vergisel teşvikler ve destek unsurları teorik boyutta ele alınmış, Ar-Ge’nin ekonomideki önemine </w:t>
      </w:r>
      <w:r w:rsidRPr="00164238">
        <w:rPr>
          <w:rFonts w:ascii="Times New Roman" w:hAnsi="Times New Roman" w:cs="Times New Roman"/>
          <w:color w:val="000000" w:themeColor="text1"/>
        </w:rPr>
        <w:lastRenderedPageBreak/>
        <w:t>değinilmiş, Covid-19 salgını sonrasında Ar-Ge teşviklerine yönelik Türkiye’de alınan mali önlemler ortaya konularak Türkiye’deki Ar-Ge teşvikleri incelenmiş ve değerlendirilmiştir.</w:t>
      </w:r>
    </w:p>
    <w:p w14:paraId="5DDB22BF" w14:textId="77777777" w:rsidR="00A3188A" w:rsidRPr="00164238" w:rsidRDefault="00A3188A" w:rsidP="00A3188A">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b/>
          <w:color w:val="000000" w:themeColor="text1"/>
          <w:lang w:eastAsia="tr-TR"/>
        </w:rPr>
        <w:t>Anahtar Kelimeler:</w:t>
      </w:r>
      <w:r w:rsidRPr="00164238">
        <w:rPr>
          <w:rFonts w:ascii="Times New Roman" w:hAnsi="Times New Roman" w:cs="Times New Roman"/>
          <w:color w:val="000000" w:themeColor="text1"/>
          <w:lang w:eastAsia="tr-TR"/>
        </w:rPr>
        <w:t xml:space="preserve"> Ar-Ge, Vergisel Teşvik ve Destekler, Covid-19 Sonrası Ar-Ge Teşvikleri.</w:t>
      </w:r>
    </w:p>
    <w:p w14:paraId="3AD0D2DA" w14:textId="256BD8FC" w:rsidR="00A3188A" w:rsidRPr="00164238" w:rsidRDefault="00A3188A" w:rsidP="00A3188A">
      <w:pPr>
        <w:spacing w:before="120" w:after="120" w:line="360" w:lineRule="auto"/>
        <w:ind w:firstLine="567"/>
        <w:rPr>
          <w:rFonts w:ascii="Times New Roman" w:hAnsi="Times New Roman" w:cs="Times New Roman"/>
          <w:b/>
          <w:color w:val="000000" w:themeColor="text1"/>
          <w:sz w:val="28"/>
          <w:lang w:eastAsia="tr-TR"/>
        </w:rPr>
      </w:pPr>
    </w:p>
    <w:p w14:paraId="7835CA63" w14:textId="7A5F081F" w:rsidR="00A3188A" w:rsidRPr="00164238" w:rsidRDefault="00641A09" w:rsidP="00A3188A">
      <w:pPr>
        <w:spacing w:before="120" w:after="120" w:line="360" w:lineRule="auto"/>
        <w:ind w:firstLine="567"/>
        <w:rPr>
          <w:rFonts w:ascii="Times New Roman" w:hAnsi="Times New Roman" w:cs="Times New Roman"/>
          <w:b/>
          <w:color w:val="000000" w:themeColor="text1"/>
          <w:sz w:val="24"/>
          <w:szCs w:val="24"/>
          <w:lang w:eastAsia="tr-TR"/>
        </w:rPr>
      </w:pPr>
      <w:r w:rsidRPr="00164238">
        <w:rPr>
          <w:rFonts w:ascii="Times New Roman" w:hAnsi="Times New Roman" w:cs="Times New Roman"/>
          <w:b/>
          <w:color w:val="000000" w:themeColor="text1"/>
          <w:sz w:val="24"/>
          <w:szCs w:val="24"/>
          <w:lang w:eastAsia="tr-TR"/>
        </w:rPr>
        <w:t>R&amp;D INCENTIVES AFTER THE ‘’COVID-19’’ EPIDEMIC WİTH TAX INCENTIVES AND SUPPORT ELEMENTS PROVIDED TOWARDS R&amp;D ACTIVITIES IN TURKEY</w:t>
      </w:r>
    </w:p>
    <w:p w14:paraId="42A225F6" w14:textId="77777777" w:rsidR="00A3188A" w:rsidRPr="00164238" w:rsidRDefault="00A3188A" w:rsidP="00A3188A">
      <w:pPr>
        <w:spacing w:before="120" w:after="120" w:line="276" w:lineRule="auto"/>
        <w:ind w:firstLine="567"/>
        <w:jc w:val="both"/>
        <w:rPr>
          <w:rFonts w:ascii="Times New Roman" w:hAnsi="Times New Roman" w:cs="Times New Roman"/>
          <w:color w:val="000000" w:themeColor="text1"/>
          <w:sz w:val="20"/>
          <w:lang w:eastAsia="tr-TR"/>
        </w:rPr>
      </w:pPr>
      <w:r w:rsidRPr="00164238">
        <w:rPr>
          <w:rFonts w:ascii="Times New Roman" w:hAnsi="Times New Roman" w:cs="Times New Roman"/>
          <w:color w:val="000000" w:themeColor="text1"/>
          <w:lang w:eastAsia="tr-TR"/>
        </w:rPr>
        <w:t>With globalization, countries have entered the race to gain competitive advantage. In doing so, they implement incentive policies that are attractive to investors to attract both investors in their own country and foreign investors in other countries. The most important purposes in the design of investment incentives applied in both developed and developing countries are; especially to increase the R&amp;D capacity, promoting regional development, increasing economic growth, reducing the current account deficit, supporting investments with high added value, solving the employment problem, is to increase the export capacities of the regions to decrease the dependence on foreign countries. Incentives for R&amp;D activities are included within the scope of incentives classified according to their purposes in incentive instruments. Many incentive policies have been implemented in order to keep the economy in balance around the world in order to prevent the negativities caused by the Covid-19 epidemic. For example in Portugal; A resource of 1.5 million Euro has been allocated by the government to encourage studies for R&amp;D activities for healthcare needs created by the Covid-19 epidemic. In Turkey has entered into force in order to combat the Covid-19 epidemic in may incentive policies in this context. In this study, primarily R&amp;D, R&amp;D laws and tax incentives provided to R&amp;D activities and support elements in Turkey were discussed in the theoretical size, is mentioned the importance of R&amp;D in the economy, for promoting R&amp;D in the Covid-19 post-pandemic clarifies the financial measures taken in Turkey were examined R&amp;D incentives in Turkey and evaluated.</w:t>
      </w:r>
    </w:p>
    <w:p w14:paraId="61971AB8" w14:textId="77777777" w:rsidR="00A3188A" w:rsidRPr="00164238" w:rsidRDefault="00A3188A" w:rsidP="00A3188A">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b/>
          <w:color w:val="000000" w:themeColor="text1"/>
          <w:lang w:eastAsia="tr-TR"/>
        </w:rPr>
        <w:t xml:space="preserve">Key Words: </w:t>
      </w:r>
      <w:r w:rsidRPr="00164238">
        <w:rPr>
          <w:rFonts w:ascii="Times New Roman" w:hAnsi="Times New Roman" w:cs="Times New Roman"/>
          <w:color w:val="000000" w:themeColor="text1"/>
          <w:lang w:eastAsia="tr-TR"/>
        </w:rPr>
        <w:t>R&amp;D, Tax Incentives and Supports, Post Covid-19 R&amp;D Incentives.</w:t>
      </w:r>
    </w:p>
    <w:p w14:paraId="7CE8E233" w14:textId="77777777" w:rsidR="00A3188A" w:rsidRPr="00164238" w:rsidRDefault="00A3188A" w:rsidP="00A3188A">
      <w:pPr>
        <w:tabs>
          <w:tab w:val="left" w:pos="426"/>
        </w:tabs>
        <w:spacing w:before="120" w:after="120"/>
        <w:ind w:firstLine="567"/>
        <w:rPr>
          <w:rFonts w:ascii="Times New Roman" w:hAnsi="Times New Roman" w:cs="Times New Roman"/>
          <w:b/>
          <w:bCs/>
          <w:color w:val="000000" w:themeColor="text1"/>
        </w:rPr>
      </w:pPr>
    </w:p>
    <w:p w14:paraId="0D3ACB2C" w14:textId="77777777" w:rsidR="00A3188A" w:rsidRPr="00164238" w:rsidRDefault="00A3188A" w:rsidP="00A3188A">
      <w:pPr>
        <w:tabs>
          <w:tab w:val="left" w:pos="426"/>
        </w:tabs>
        <w:spacing w:before="120" w:after="120"/>
        <w:ind w:firstLine="567"/>
        <w:rPr>
          <w:rFonts w:ascii="Times New Roman" w:hAnsi="Times New Roman" w:cs="Times New Roman"/>
          <w:b/>
          <w:bCs/>
          <w:color w:val="000000" w:themeColor="text1"/>
        </w:rPr>
      </w:pPr>
      <w:r w:rsidRPr="00164238">
        <w:rPr>
          <w:rFonts w:ascii="Times New Roman" w:hAnsi="Times New Roman" w:cs="Times New Roman"/>
          <w:b/>
          <w:bCs/>
          <w:color w:val="000000" w:themeColor="text1"/>
        </w:rPr>
        <w:t>GİRİŞ</w:t>
      </w:r>
    </w:p>
    <w:p w14:paraId="23910837" w14:textId="77777777" w:rsidR="00A3188A" w:rsidRPr="00164238" w:rsidRDefault="00A3188A" w:rsidP="00A3188A">
      <w:pPr>
        <w:spacing w:before="120" w:after="120" w:line="276" w:lineRule="auto"/>
        <w:ind w:firstLine="567"/>
        <w:jc w:val="both"/>
        <w:rPr>
          <w:rFonts w:ascii="Times New Roman" w:hAnsi="Times New Roman" w:cs="Times New Roman"/>
          <w:color w:val="000000" w:themeColor="text1"/>
          <w:lang w:val="en-US" w:eastAsia="tr-TR"/>
        </w:rPr>
      </w:pPr>
      <w:r w:rsidRPr="00164238">
        <w:rPr>
          <w:rFonts w:ascii="Times New Roman" w:hAnsi="Times New Roman" w:cs="Times New Roman"/>
          <w:color w:val="000000" w:themeColor="text1"/>
          <w:lang w:eastAsia="tr-TR"/>
        </w:rPr>
        <w:t xml:space="preserve">Hükümetlerin politikalarından biri olan mali teşvikler firmaların gelişiminde çok önemli bir unsurdur. Hükümetler Ar-Ge ve inovasyon gibi yatırımları teşvik etmek için çok çeşitli vergi araçlarından faydalanmaktadır. Hükümetler tarafından sağlanan bu destek ve teşvikler firmaların yenilikçi kapasiteleri geliştirmeleri konusunda hem kısa vade de hem de uzun vade de önemli ölçüde katkıda bulunmalarına yardımcı olmaktadır. Ayrıca teşviklerin kullanılması ekonomik kalkınmanın ve büyümenin anahtarı olduğu için çok önemli bir politikadır. </w:t>
      </w:r>
    </w:p>
    <w:p w14:paraId="0DF4E66C" w14:textId="77777777" w:rsidR="00A3188A" w:rsidRPr="00164238" w:rsidRDefault="00A3188A" w:rsidP="00A3188A">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 xml:space="preserve">Türkiye’yi diğer gelişmiş ülkeler ile kıyasladığımızda, Türkiye dünya ülkelerine göre daha gelişme sürecinde, ancak Ar-Ge faaliyetlerinin gelişmesi için Ar-Ge merkezlerine sağlanmış olan destek ve teşvik ile ayrıca firmalarda da teknoloji ve Ar-Ge faaliyetlerine dayalı çalışmaların </w:t>
      </w:r>
      <w:r w:rsidRPr="00164238">
        <w:rPr>
          <w:rFonts w:ascii="Times New Roman" w:hAnsi="Times New Roman" w:cs="Times New Roman"/>
          <w:color w:val="000000" w:themeColor="text1"/>
          <w:lang w:eastAsia="tr-TR"/>
        </w:rPr>
        <w:lastRenderedPageBreak/>
        <w:t>artması gelecekte ülke ekonomisinin güçlenmesinde ve rekabet edebilme gücünün artmasında önemli ölçüde katkılar sağlayacağı öngörülmektedir. Bu çalışmada, teşvik türleri, amaçları ve sınıflandırmasından, Ar-Ge teşvik faaliyetlerine yönelik yasal çerçeveden, Ar-Ge faaliyetlerine sağlanan vergisel teşvik ve desteklerden bahsedilmiş olup, Ar-Ge faaliyetlerinin ekonomideki yeri incelenmiştir ve Türkiye’de Covid-19 salgını sonrası Ar-Ge faaliyetlerine yönelik uygulanan teşvik ve destekler değerlendirilmektedir.</w:t>
      </w:r>
    </w:p>
    <w:p w14:paraId="073878CE" w14:textId="77777777" w:rsidR="00A3188A" w:rsidRPr="00164238" w:rsidRDefault="00A3188A" w:rsidP="00A3188A">
      <w:pPr>
        <w:spacing w:before="120" w:after="120" w:line="276" w:lineRule="auto"/>
        <w:ind w:firstLine="567"/>
        <w:jc w:val="both"/>
        <w:rPr>
          <w:rFonts w:ascii="Times New Roman" w:hAnsi="Times New Roman" w:cs="Times New Roman"/>
          <w:color w:val="000000" w:themeColor="text1"/>
          <w:lang w:eastAsia="tr-TR"/>
        </w:rPr>
      </w:pPr>
    </w:p>
    <w:p w14:paraId="085C6924" w14:textId="77777777" w:rsidR="00A3188A" w:rsidRPr="00164238" w:rsidRDefault="00A3188A" w:rsidP="00A3188A">
      <w:pPr>
        <w:spacing w:before="120" w:after="120" w:line="276" w:lineRule="auto"/>
        <w:ind w:firstLine="567"/>
        <w:jc w:val="both"/>
        <w:rPr>
          <w:rFonts w:ascii="Times New Roman" w:hAnsi="Times New Roman" w:cs="Times New Roman"/>
          <w:b/>
          <w:color w:val="000000" w:themeColor="text1"/>
          <w:lang w:eastAsia="tr-TR"/>
        </w:rPr>
      </w:pPr>
      <w:r w:rsidRPr="00164238">
        <w:rPr>
          <w:rFonts w:ascii="Times New Roman" w:hAnsi="Times New Roman" w:cs="Times New Roman"/>
          <w:b/>
          <w:color w:val="000000" w:themeColor="text1"/>
          <w:lang w:eastAsia="tr-TR"/>
        </w:rPr>
        <w:t>TEŞVİK SİSTEMİ</w:t>
      </w:r>
    </w:p>
    <w:p w14:paraId="5C3A2F64" w14:textId="77777777" w:rsidR="00A3188A" w:rsidRPr="00164238" w:rsidRDefault="00A3188A" w:rsidP="00A3188A">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Teşvik kavramı kullanış amacına ve yerine göre farklı şekilde tanımlanmaktadır. Türk Dil Kurumu’na göre ‘‘teşvik’’ kavramı; özendirme ve isteklendirme anlamına gelirken, ekonomi literatüründe ise ‘‘teşvik’’ kavramı maddi veya gayri maddi destek, devlet yardımı, özendirme, prim, destek ve sübvansiyon kavramlarını kapsamaktadır.</w:t>
      </w:r>
    </w:p>
    <w:p w14:paraId="3F38FAB3" w14:textId="77777777" w:rsidR="00A3188A" w:rsidRPr="00164238" w:rsidRDefault="00A3188A" w:rsidP="00A3188A">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Teşvik politikalarının amaçları; sanayileşmeyi ve ekonomik kalkınmayı sağlamak, tasarrufları katma değeri yüksek yatırımlara yönlendirmek, doğrudan yabancı yatırımları artırmak, ekonomide uluslararası rekabeti sağlamak, sürdürülebilir kalkınmayı sağlamak, bölgesel kalkınmayı sağlamak ve bölgesel gelişmişlik farklarını azaltmak, istihdamı artırmak, şeklinde sıralanmaktadır.</w:t>
      </w:r>
    </w:p>
    <w:p w14:paraId="07F68A09" w14:textId="77777777" w:rsidR="00A3188A" w:rsidRPr="00164238" w:rsidRDefault="00A3188A" w:rsidP="00A3188A">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Çok farklı alanlarda sınıflandırılan teşvikler, yaşam kalitesini yükseltme, sosyal gelişimi destekleme, piyasa bozulmalarını engelleme, sürdürülebilir büyümeyi destekleme ve kıt kaynakların etkin bir şekilde kullanımının sağlanmasında olumlu dışsallıkları bulunmaktadır (Eser, 2011: 1-2).</w:t>
      </w:r>
    </w:p>
    <w:p w14:paraId="181A290E" w14:textId="77777777" w:rsidR="00A3188A" w:rsidRPr="00164238" w:rsidRDefault="00A3188A" w:rsidP="00A3188A">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Hükümetler tarafından sağlanan teşvik ve destekler; vergi indirimi, gelir vergisi stopajı desteği, KDV istisnası, KDV iadesi, gümrük vergisi muafiyeti, faiz veya kar payı desteği, sigorta primi işveren hissesi desteği, sigorta primi (işçi hissesi desteği), Ar-Ge sübvansiyonu, yatırım yeri tahsisi, ihracat kredi sigortası, emlak vergisi muafiyeti, enerji desteği, gibi alanlarda yapılabilir.</w:t>
      </w:r>
    </w:p>
    <w:p w14:paraId="3EA5B0E3" w14:textId="77777777" w:rsidR="00A3188A" w:rsidRPr="00164238" w:rsidRDefault="00A3188A" w:rsidP="00A3188A">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Türkiye’de Ar-Ge faaliyetlerine ilişkin teşvik programları ilk defa sistemli olarak Devlet İstatistik Enstitüsü (DİE) tarafından 1993 yılından itibaren kayıt edilmeye başlanmıştır. 1993 yılında DİE tarafından yapılmış olan ilk Ar-Ge anketinde 1991 ve 1992 yıllarını kapsayan veriler toplanmış ve daha sonraki ilerleyen yıllarda da Ar-Ge verilerinin toplanmasına devam edilmiştir (Taymaz, 2001: 161-162).</w:t>
      </w:r>
    </w:p>
    <w:p w14:paraId="757FD425" w14:textId="77777777" w:rsidR="00A3188A" w:rsidRPr="00164238" w:rsidRDefault="00A3188A" w:rsidP="00A3188A">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Araştırma ve deneysel geliştirmeye (Ar-Ge) yapılan yatırım, inovasyonu ve ekonomik büyümeyi yönlendiren kilit bir faktördür. Son yirmi yılda, vergi teşvikleri, işletmeler arasında Ar-Ge'yi teşvik etmek için yaygın olarak kullanılan bir politika aracı haline gelmiştir (OECD, 2019: 6).</w:t>
      </w:r>
    </w:p>
    <w:p w14:paraId="43FA8DEC" w14:textId="77777777" w:rsidR="00A3188A" w:rsidRPr="00164238" w:rsidRDefault="00A3188A" w:rsidP="00A3188A">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 xml:space="preserve">Pek çok ülke, firmalarda Ar-Ge'yi teşvik etmeyi ve sonuç olarak sürdürülebilir ekonomik büyümeye katkıda bulunmayı amaçlayan uygun bir inovasyon ortamı ve koruyucu düzenlilik yaratmaya çalışmaktadır. Aslında Ar-Ge faaliyetleri hem belirsiz, hem zaman alıcı hem de yüksek miktarda maliyetlidir. Ayrıca, kamu malı özelliklerine sahip olduğu kabul edilir, bundan dolayı da piyasanın sosyal getiri açısından yeterli miktarda Ar-Ge sağlamasını engeller. Özel ve sosyal </w:t>
      </w:r>
      <w:r w:rsidRPr="00164238">
        <w:rPr>
          <w:rFonts w:ascii="Times New Roman" w:hAnsi="Times New Roman" w:cs="Times New Roman"/>
          <w:color w:val="000000" w:themeColor="text1"/>
          <w:lang w:eastAsia="tr-TR"/>
        </w:rPr>
        <w:lastRenderedPageBreak/>
        <w:t>getiri oranı arasındaki uçurumu kapatmak ve endüstriyel Ar-Ge faaliyetlerini teşvik etmek için çeşitli politika önlemleri başlatılmıştır (Yang, Huang ve Hou, 2012; 1578).</w:t>
      </w:r>
    </w:p>
    <w:p w14:paraId="7E236196" w14:textId="77777777" w:rsidR="00A3188A" w:rsidRPr="00164238" w:rsidRDefault="00A3188A" w:rsidP="00A3188A">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İşletmeler tarafından Ar-Ge yatırımının teşvik edilmesi ve koşullarının sağlanması, OECD ülkeleri ve ortak ekonomilerin inovasyon politikası gündeminde üst sıralarda yer almaktadır. Bu hedefe en iyi nasıl ulaşılacağı önemli bir politika sorusudur. Hibeler ve kamu alımları gibi araçlar aracılığıyla Ar-Ge için doğrudan finansman sağlamanın yanı sıra, birçok ülke vergi sistemi aracılığıyla dolaylı destek de sağlamaktadır. Son birkaç on yılda, Ar-Ge vergi teşviklerinin hükümetler tarafından daha yüksek seviyelerde ticari Ar-Ge harcamalarını teşvik etmek için politika araç kutularında kilit bir araç olarak kullanımında bir artış olmuştur (OECD, 2019: 7). Burada da bahsedildiği gibi Ar-Ge'ye verilen kamu desteğinin yapısı son yıllarda değişmekle birlikte birçok ülke doğrudan sübvansiyonlara ek olarak vergiye dayalı Ar-Ge teşvikleri uygulama yoluna geçmiştir ve bu ülkelerde vergi teşvikleri yoluyla özel sektör Ar-Ge'nin önemli bir bölümü desteklenmektedir (Elschner ve Ernst, 2008: 1).</w:t>
      </w:r>
    </w:p>
    <w:p w14:paraId="2E63A2F1" w14:textId="77777777" w:rsidR="00A3188A" w:rsidRPr="00164238" w:rsidRDefault="00A3188A" w:rsidP="00A3188A">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Vergi teşvikleri genellikle doğrudan sübvansiyonlardan daha iyi olduğu kabul edilmektedir, çünkü vergi araçları firmaların Ar-Ge projelerini serbestçe finanse etmelerine, kendi özel Ar-Ge harcamalarını artırmalarına ve uzun vadeli büyümelerini sürdürmelerine imkan sağlamaktadır (Zhang ve Guan, 2018: 132-133).</w:t>
      </w:r>
    </w:p>
    <w:p w14:paraId="3F6EBD4F" w14:textId="77777777" w:rsidR="00A3188A" w:rsidRPr="00164238" w:rsidRDefault="00A3188A" w:rsidP="00A3188A">
      <w:pPr>
        <w:spacing w:before="120" w:after="120" w:line="276" w:lineRule="auto"/>
        <w:ind w:firstLine="720"/>
        <w:jc w:val="both"/>
        <w:rPr>
          <w:rFonts w:ascii="Times New Roman" w:hAnsi="Times New Roman" w:cs="Times New Roman"/>
          <w:b/>
          <w:color w:val="000000" w:themeColor="text1"/>
        </w:rPr>
      </w:pPr>
      <w:r w:rsidRPr="00164238">
        <w:rPr>
          <w:rFonts w:ascii="Times New Roman" w:hAnsi="Times New Roman" w:cs="Times New Roman"/>
          <w:b/>
          <w:color w:val="000000" w:themeColor="text1"/>
        </w:rPr>
        <w:t>TÜRKİYE’DE AR-GE FAALİYETLERİNE VERGİ MEVZUATI SAĞLANAN TEŞVİK VE DESTEKLER</w:t>
      </w:r>
    </w:p>
    <w:p w14:paraId="16615DAA" w14:textId="77777777" w:rsidR="00A3188A" w:rsidRPr="00164238" w:rsidRDefault="00A3188A" w:rsidP="00A3188A">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Araştırma –Geliştirme (Ar-Ge), OECD Frascati Kılavuzu’nda “İnsan, kültür ve toplumun bilgisinden oluşan bilgi dağarcığının artırılması ve bu dağarcığın yeni uygulamalar tasarlamak üzere kullanılması için sistematik bir temelde yürütülen yaratıcı çalışmalar” olarak tanımlanmıştır. Ar-Ge faaliyeti 26.06.2011. tarih ve 4691 sayılı Teknoloji Geliştirme Bölgeleri Kanunu’nda da “Bilim ve teknolojinin gelişmesini sağlayacak yeni bilgileri elde etmek veya mevcut bilgilerle yeni malzeme, ürün ve araçlar üretmek, yazılı üretimi dâhil olmak üzere yeni sistem, süreç ve hizmetler oluşturmak veya mevcut olanları geliştirmek amacı ile yapılan düzenli çalışmalar” olarak tanımlanmıştır. </w:t>
      </w:r>
    </w:p>
    <w:p w14:paraId="3052EDB1" w14:textId="77777777" w:rsidR="00A3188A" w:rsidRPr="00164238" w:rsidRDefault="00A3188A" w:rsidP="00A3188A">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Ar-Ge faaliyetlerinin finansmanında doğrudan sübvansiyonlardan ziyade vergi teşvikleri yoluyla dolaylı fonlara doğru çoğu ülkede kaymalar mevcuttur. Bu ülkeler, kurumlar vergisi, işveren tarafından kesilen ücret vergileri gibi şirket düzeyinde vergileri azaltan çeşitli Ar-Ge vergi teşvikleri uygulanmaktadır. Bunlar, Ar-Ge harcamaları üzerinden yapılan tutarların vergiye tabi olmaması (indirimler), hızlandırılmış amortisman, vergi kredisi, Ar-Ge personeli için ücret vergilerinin düşürülmesi, belirli koşullar altında özel vergi oranları veya sıfır vergi oranları uygulaması, vergi muafiyeti ve istisnası gibi şekillerde vergi teşvik politikaları uygulanmaktadır (Elschner ve diğeri, 2008: 1).</w:t>
      </w:r>
    </w:p>
    <w:p w14:paraId="78757C35" w14:textId="77777777" w:rsidR="00A3188A" w:rsidRPr="00164238" w:rsidRDefault="00A3188A" w:rsidP="00A3188A">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Ülkemizde de Ar-Ge faaliyetlerine yönelik uygulanan vergisel teşvik ve destekler “5746 Sayılı Araştırma ve Geliştirme Faaliyetlerinin Desteklenmesi Hakkında Kanun” ve “4691 Sayılı Teknoloji Geliştirme Bölgeleri Kanunu” olmak üzere iki kanunda yer almaktadır.</w:t>
      </w:r>
    </w:p>
    <w:p w14:paraId="4E2B0672" w14:textId="77777777" w:rsidR="00A3188A" w:rsidRPr="00164238" w:rsidRDefault="00A3188A" w:rsidP="00A3188A">
      <w:pPr>
        <w:spacing w:before="120" w:after="120" w:line="276" w:lineRule="auto"/>
        <w:ind w:firstLine="720"/>
        <w:jc w:val="both"/>
        <w:rPr>
          <w:rFonts w:ascii="Times New Roman" w:hAnsi="Times New Roman" w:cs="Times New Roman"/>
          <w:b/>
          <w:color w:val="000000" w:themeColor="text1"/>
        </w:rPr>
      </w:pPr>
      <w:r w:rsidRPr="00164238">
        <w:rPr>
          <w:rFonts w:ascii="Times New Roman" w:hAnsi="Times New Roman" w:cs="Times New Roman"/>
          <w:b/>
          <w:color w:val="000000" w:themeColor="text1"/>
        </w:rPr>
        <w:t>5746 Sayılı Araştırma ve Geliştirme Faaliyetlerinin Desteklenmesi Hakkında Kanun Çerçevesinde Sağlanan Vergisel Teşvik ve Destekler</w:t>
      </w:r>
    </w:p>
    <w:p w14:paraId="63A333BB" w14:textId="77777777" w:rsidR="00A3188A" w:rsidRPr="00164238" w:rsidRDefault="00A3188A" w:rsidP="00A3188A">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lastRenderedPageBreak/>
        <w:t xml:space="preserve">5746 sayılı kanunda Araştırma ve Geliştirme faaliyeti (Ar-Ge) ‘‘Araştırma ve geliştirme, kültür, insan ve toplumun bilgisinden oluşan bilgi dağarcığının artırılması ve bunun yeni süreç, sistem ve uygulamalar tasarlamak üzere kullanılması için sistematik bir temelde yürütülen yaratıcı çalışmaları, çevre uyumlu ürün tasarımı veya yazılım faaliyetleri ile alanında bilimsel ve teknolojik gelişme sağlayan, bilimsel ve teknolojik bir belirsizliğe odaklanan, çıktıları özgün, deneysel, bilimsel ve teknik içerik taşıyan faaliyetler’’ şeklinde tanımlanmıştır.  </w:t>
      </w:r>
    </w:p>
    <w:p w14:paraId="0704717E" w14:textId="77777777" w:rsidR="00A3188A" w:rsidRPr="00164238" w:rsidRDefault="00A3188A" w:rsidP="00A3188A">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Ar-Ge’nin amacı ise kanunda ‘‘Ar-Ge, yenilik ve tasarım yoluyla ülke ekonomisinin uluslararası düzeyde rekabet edebilir bir yapıya kavuşturulması için teknolojik bilgi üretilmesini, üründe ve üretim süreçlerinde yenilik yapılmasını, ürün kalitesi ve standardının yükseltilmesini, verimliliğin artırılmasını, üretim maliyetlerinin düşürülmesini, teknolojik bilginin ticarileştirilmesini, rekabet öncesi işbirliklerinin geliştirilmesini, teknoloji yoğun üretim, girişimcilik ve bu alanlara yönelik yatırımlar ile Ar-Ge’ye, yeniliğe ve tasarıma yönelik doğrudan yabancı sermaye yatırımlarının ülkeye girişinin hızlandırılmasını, Ar-Ge ve tasarım personeli ve nitelikli işgücü istihdamının artırılmasını desteklemek ve teşvik etmektir’’ şeklinde belirtilmiştir ve maddenin devamında destek ve teşvikleri kapsayan merkezler belirtilerek neleri içine aldığı gösterilmiştir.</w:t>
      </w:r>
    </w:p>
    <w:p w14:paraId="5082991B" w14:textId="77777777" w:rsidR="00A3188A" w:rsidRPr="00164238" w:rsidRDefault="00A3188A" w:rsidP="00A3188A">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Bu kanunda Ar-Ge ve tasarım merkezleri için sağlanan avantajlar; Ar-Ge ve tasarım indirimi, sosyal güvenlik prim desteği (işveren hissesi), gelir vergisi stopajı desteği, damga vergi muafiyetidir.</w:t>
      </w:r>
    </w:p>
    <w:p w14:paraId="3D3892B3" w14:textId="77777777" w:rsidR="00A3188A" w:rsidRPr="00164238" w:rsidRDefault="00A3188A" w:rsidP="00A3188A">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Ar‐Ge’ye yönelik sıralanan bu teşvikler, 5746 Sayılı Kanun’un İndirim, istisna, destek ve teşvik unsurları başlıklı 3. maddesinde düzenlenmiştir. Bu teşvikler;</w:t>
      </w:r>
    </w:p>
    <w:p w14:paraId="3E60BA77" w14:textId="77777777" w:rsidR="00A3188A" w:rsidRPr="00164238" w:rsidRDefault="00A3188A" w:rsidP="00A3188A">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1) Ar-Ge ve tasarım indirimi: Bu kanun kapsamındaki Ar-Ge ve tasarım merkezlerinde gerçekleştirilen Ar-Ge ve yenilik harcamalarının tamamı (%100’ü) Kurumlar Vergisi Kanunu’na göre kurum kazancının ve Gelir Vergisi Kanunu uyarınca da ticari kazancın tespitinde indirim konusu yapılabilecektir. Ayrıca Ar-Ge ve yenilik veya tasarım harcamalarının bir önceki yıla göre artış tutarının %50’sine kadarı indirim konusu yapılabilecektir.</w:t>
      </w:r>
    </w:p>
    <w:p w14:paraId="1FDE2E1D" w14:textId="77777777" w:rsidR="00A3188A" w:rsidRPr="00164238" w:rsidRDefault="00A3188A" w:rsidP="00A3188A">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Türkiye'de 4691 Sayılı Teknoloji Geliştirme Bölgesi Kanunu 2001 yılında yürürlüğe girmiştir. Gelir Vergisi Kanunu ve Kurumlar Vergisi Kanunu'na getirilen Ar-Ge teşvikleri 2004 yılında yürürlüğe girmiştir. Ar‐Ge indirimi yürürlüğe girdiği 2004’de % 40 iken 5746 Sayılı Kanun ile % 100’e çıkarılmıştır.</w:t>
      </w:r>
    </w:p>
    <w:p w14:paraId="299BE1EF" w14:textId="77777777" w:rsidR="00A3188A" w:rsidRPr="00164238" w:rsidRDefault="00A3188A" w:rsidP="00A3188A">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2) Gelir vergisi stopajı teşviki: Bu kanun kapsamındaki kamu personeli hariç olmak üzere Ar-Ge ve tasarım merkezlerinde çalışan tasarım ve destek personelinin bu çalışmaları karşılığında elde ettikleri ücretlerinin;</w:t>
      </w:r>
    </w:p>
    <w:p w14:paraId="5C3747AB" w14:textId="77777777" w:rsidR="00A3188A" w:rsidRPr="00164238" w:rsidRDefault="00A3188A" w:rsidP="00A3188A">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w:t>
      </w:r>
      <w:r w:rsidRPr="00164238">
        <w:rPr>
          <w:rFonts w:ascii="Times New Roman" w:hAnsi="Times New Roman" w:cs="Times New Roman"/>
          <w:color w:val="000000" w:themeColor="text1"/>
        </w:rPr>
        <w:tab/>
        <w:t>doktoralı olanlar ile desteklenecek program alanlarından birinde en az yüksek lisans derecesine sahip olanlar için %95’i,</w:t>
      </w:r>
    </w:p>
    <w:p w14:paraId="4FC54DA7" w14:textId="77777777" w:rsidR="00A3188A" w:rsidRPr="00164238" w:rsidRDefault="00A3188A" w:rsidP="00A3188A">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w:t>
      </w:r>
      <w:r w:rsidRPr="00164238">
        <w:rPr>
          <w:rFonts w:ascii="Times New Roman" w:hAnsi="Times New Roman" w:cs="Times New Roman"/>
          <w:color w:val="000000" w:themeColor="text1"/>
        </w:rPr>
        <w:tab/>
        <w:t>yüksek lisanslı olanlar ile desteklenecek program alanlarından birinde lisans derecesine sahip olanlar için %90’ı,</w:t>
      </w:r>
    </w:p>
    <w:p w14:paraId="5F40D409" w14:textId="77777777" w:rsidR="00A3188A" w:rsidRPr="00164238" w:rsidRDefault="00A3188A" w:rsidP="00A3188A">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w:t>
      </w:r>
      <w:r w:rsidRPr="00164238">
        <w:rPr>
          <w:rFonts w:ascii="Times New Roman" w:hAnsi="Times New Roman" w:cs="Times New Roman"/>
          <w:color w:val="000000" w:themeColor="text1"/>
        </w:rPr>
        <w:tab/>
        <w:t>diğerleri için%80’i</w:t>
      </w:r>
    </w:p>
    <w:p w14:paraId="55134B57" w14:textId="77777777" w:rsidR="00A3188A" w:rsidRPr="00164238" w:rsidRDefault="00A3188A" w:rsidP="00A3188A">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verilecek muhtasar beyanname üzerinden tahakkuk eden vergiden indirilmek suretiyle terkin edilecektir.</w:t>
      </w:r>
    </w:p>
    <w:p w14:paraId="603E1BED" w14:textId="77777777" w:rsidR="00A3188A" w:rsidRPr="00164238" w:rsidRDefault="00A3188A" w:rsidP="00A3188A">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lastRenderedPageBreak/>
        <w:t>3) Sigorta primi desteği: Bu kanun kapsamında kamu personeli hariç olmak üzere Ar-Ge merkezlerinde çalışan Ar-Ge ve destek personelinin bu çalışmaları karşılığında elde ettikleri ücretleri üzerinden hesaplanan sigorta primi işveren hissesinin yarısı, Maliye Bakanlığı bütçesine konulacak ödenekten karşılanmaktadır.</w:t>
      </w:r>
    </w:p>
    <w:p w14:paraId="49C22C56" w14:textId="77777777" w:rsidR="00A3188A" w:rsidRPr="00164238" w:rsidRDefault="00A3188A" w:rsidP="00A3188A">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4) Damga vergisi istisnası: Bu kanun kapsamında yer alan her türlü Ar-Ge ve yenilik faaliyetleri ile ilgili olarak düzenlenen kağıtlar damga vergisinden istisna edilecektir.</w:t>
      </w:r>
    </w:p>
    <w:p w14:paraId="392BC5E5" w14:textId="77777777" w:rsidR="00A3188A" w:rsidRPr="00164238" w:rsidRDefault="00A3188A" w:rsidP="00A3188A">
      <w:pPr>
        <w:spacing w:before="120" w:after="120" w:line="276" w:lineRule="auto"/>
        <w:ind w:firstLine="720"/>
        <w:jc w:val="both"/>
        <w:rPr>
          <w:rFonts w:ascii="Times New Roman" w:hAnsi="Times New Roman" w:cs="Times New Roman"/>
          <w:b/>
          <w:color w:val="000000" w:themeColor="text1"/>
        </w:rPr>
      </w:pPr>
      <w:r w:rsidRPr="00164238">
        <w:rPr>
          <w:rFonts w:ascii="Times New Roman" w:hAnsi="Times New Roman" w:cs="Times New Roman"/>
          <w:b/>
          <w:color w:val="000000" w:themeColor="text1"/>
        </w:rPr>
        <w:t>4691 Sayılı Teknoloji Geliştirme Bölgeleri Kanunu Çerçevesinde Sağlanan Teşvik ve Destekler</w:t>
      </w:r>
    </w:p>
    <w:p w14:paraId="5F53B62F" w14:textId="77777777" w:rsidR="00A3188A" w:rsidRPr="00164238" w:rsidRDefault="00A3188A" w:rsidP="00A3188A">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Teknoloji geliştirme bölgeleri ile ilgili yasal çerçeve ise, 2001 yılında 4691 sayılı Kanun’un yürürlüğe girmesi ile oluşturulmuştur. 4691 sayılı yasa da teknokent kavramı yerine “Teknoloji Geliştirme Bölgeleri” kavramını kullanmıştır (TGBD). Ayrıca 2001 yılında yayınlanan bu Kanun, 02.03.2011 tarihli 6170 sayılı Teknoloji Geliştirme Bölgeleri Kanununda Değişiklik Yapılmasına Dair Kanun ile yeniden düzenlenmiştir.</w:t>
      </w:r>
    </w:p>
    <w:p w14:paraId="29811AAB" w14:textId="77777777" w:rsidR="00A3188A" w:rsidRPr="00164238" w:rsidRDefault="00A3188A" w:rsidP="00A3188A">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4691 sayılı Teknoloji Geliştirme Bölgeleri Kanunu ve Teknoloji Geliştirme Bölgeleri Uygulama Yönetmeliği kapsamında Türkiye’de teknoloji geliştirme bölgeleri faaliyetlerinin hedefleri bu doğrultuda gerçekleşmekte olup, ayrıca bu faaliyetler teknoloji geliştirme bölgeleri bünyesinde yönetici şirketler tarafından yürütülmektedir (Kalça, A., Dindaroğlu, Y. ve Bal, B., 2017: 490).</w:t>
      </w:r>
    </w:p>
    <w:p w14:paraId="58E8D3AF" w14:textId="77777777" w:rsidR="00A3188A" w:rsidRPr="00164238" w:rsidRDefault="00A3188A" w:rsidP="00A3188A">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4961 sayılı Kanun çerçevesinde bölgelere verilmiş olan destekler genel olarak ilk kuruluş aşamasında verilip ve ağırlıklı olarak da girişimcilere, yönetici şirketlere ve araştırma personeline sağlanmış olan teşvik ve destekler yer almaktadır.</w:t>
      </w:r>
    </w:p>
    <w:p w14:paraId="770DB7F0" w14:textId="77777777" w:rsidR="00A3188A" w:rsidRPr="00164238" w:rsidRDefault="00A3188A" w:rsidP="00A3188A">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Bu Kanun’un destek ve muafiyetler başlıklı 8. maddesine göre sağlanmış olan avantajlar şu şekilde sıralanmıştır; </w:t>
      </w:r>
    </w:p>
    <w:p w14:paraId="64566A72" w14:textId="77777777" w:rsidR="00A3188A" w:rsidRPr="00164238" w:rsidRDefault="00A3188A" w:rsidP="00A3188A">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‘‘Bölgelerde; alt yapı, idare binası ve kuluçka merkezi inşası ile AR-GE ve yenilik faaliyetleri ile tasarım faaliyetlerini desteklemeye yönelik yönetici şirketçe yürütülen veya yürütülecek kuluçka programları, teknoloji transfer ofisi hizmetleri ve teknoloji işbirliği programları ile ilgili giderlerin, yönetici şirketçe karşılanamayan kısmı, yardım amacıyla Bakanlık bütçesine konulan ödenekle sınırlı olmak üzere karşılanabilir (Değişik: 2/3/2011-6170/5 md.).’’</w:t>
      </w:r>
    </w:p>
    <w:p w14:paraId="623E85C8" w14:textId="77777777" w:rsidR="00A3188A" w:rsidRPr="00164238" w:rsidRDefault="00A3188A" w:rsidP="00A3188A">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‘‘Yönetici şirket, bu Kanun’un uygulanması ile ilgili olarak düzenlenen kâğıtlar yönünden damga vergisinden, yapılan işlemler bakımından harçlardan ve Bölge alanı içerisinde sahip olduğu taşınmazlar dolayısıyla emlak vergisinden muaftır. Atık su arıtma tesisi işleten Bölgelerden, belediyelerce atık su bedeli alınmaz (Değişik birinci cümle: 16/2/2016-6676/12 md.).’’</w:t>
      </w:r>
    </w:p>
    <w:p w14:paraId="139F38DA" w14:textId="77777777" w:rsidR="00A3188A" w:rsidRPr="00164238" w:rsidRDefault="00A3188A" w:rsidP="00A3188A">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‘‘Her bir Teknoloji Geliştirme Bölgesi firmasına sağlanacak destek, ilgili ayda Teknoloji Geliştirme Bölgesi firmasında istihdam edilen toplam personel sayısının yüzde 10’nu geçemez. Bu destek, Teknoloji Geliştirme Bölgeleri yönetici şirketlerinde istihdam edilen temel bilimler mezunu Ar-Ge personeline de aynen uygulanır (Ek fıkra: 18/6/2017-7033/63 md.).’’</w:t>
      </w:r>
    </w:p>
    <w:p w14:paraId="5E54CBF3" w14:textId="77777777" w:rsidR="00A3188A" w:rsidRPr="00164238" w:rsidRDefault="00A3188A" w:rsidP="00A3188A">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Teknoloji Geliştirme Bölgeleri Uygulama Yönetmeliğinin 35. maddesinde ise yönetici şirkete sağlanan muafiyet ve istisnalar şöyledir;</w:t>
      </w:r>
    </w:p>
    <w:p w14:paraId="7621116D" w14:textId="77777777" w:rsidR="00A3188A" w:rsidRPr="00164238" w:rsidRDefault="00A3188A" w:rsidP="00A3188A">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lastRenderedPageBreak/>
        <w:t>Birinci fıkrasına göre, yönetici şirkette ve Bölgede yer alan faaliyetlerde yürürlükteki iş ve çalışma mevzuatına göre personel istihdam edilir. Bölgelerde 4875 sayılı Doğrudan Yabancı Yatırımlar Kanunu, 27/2/2003 tarihli ve 4817 sayılı Yabancıların Çalışma İzinleri Hakkında Kanun ve ilgili mevzuat hükümleri çerçevesinde yabancı uyruklu yönetici ve en az lisans mezunu Ar-Ge personeli çalıştırılabilir.</w:t>
      </w:r>
    </w:p>
    <w:p w14:paraId="6DA66EDE" w14:textId="77777777" w:rsidR="00A3188A" w:rsidRPr="00164238" w:rsidRDefault="00A3188A" w:rsidP="00A3188A">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Teşvik mevzuatı çerçevesinde, Ar-Ge faaliyetlerinin yürütülebilmesi için Teknoloji Geliştirme Bölgelerine yönelik sağlanan teşvik ve desteklerin yanı sıra vergi mevzuatında da söz konusu bölgelere yönelik önemli düzenlemeler mevcuttur. 4691 Sayılı Teknoloji Geliştirme Bölgeleri Kanunu ile Ar-Ge faaliyetlerinin yürütülebilmesi için gelir vergisi istisnası, kurumlar vergisi istisnası, KDV istisnası, damga vergisi istisnası, sigorta primi istisnası ve gümrük vergisi istisnası uygulanmaktadır.</w:t>
      </w:r>
    </w:p>
    <w:p w14:paraId="24F8269F" w14:textId="77777777" w:rsidR="00A3188A" w:rsidRPr="00164238" w:rsidRDefault="00A3188A" w:rsidP="00A3188A">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Vergi mevzuatı kapsamında Ar-Ge faaliyetlerinin yürütülebilmesi için Teknoloji Geliştirme Bölgelerine sağlanan teşvik ve destekler ilgili madde hükümleriyle birlikte aşağıdaki tabloda bulunmaktadır.</w:t>
      </w:r>
    </w:p>
    <w:p w14:paraId="6C933B52" w14:textId="77777777" w:rsidR="00A3188A" w:rsidRPr="00164238" w:rsidRDefault="00A3188A" w:rsidP="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i/>
          <w:color w:val="000000" w:themeColor="text1"/>
        </w:rPr>
        <w:t>Tablo 1.</w:t>
      </w:r>
      <w:r w:rsidRPr="00164238">
        <w:rPr>
          <w:rFonts w:ascii="Times New Roman" w:hAnsi="Times New Roman" w:cs="Times New Roman"/>
          <w:color w:val="000000" w:themeColor="text1"/>
        </w:rPr>
        <w:t xml:space="preserve"> Vergi Mevzuatı Kapsamında Ar-Ge Faaliyetlerinin Yürütülebilmesi İçin Teknoloji Geliştirme Bölgelerine Sağlanan Vergisel Teşvikler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6232"/>
      </w:tblGrid>
      <w:tr w:rsidR="00AE5E6C" w:rsidRPr="00164238" w14:paraId="2754B627" w14:textId="77777777" w:rsidTr="00A3188A">
        <w:tc>
          <w:tcPr>
            <w:tcW w:w="2263"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757AF53" w14:textId="77777777" w:rsidR="00A3188A" w:rsidRPr="00164238" w:rsidRDefault="00A3188A">
            <w:pPr>
              <w:spacing w:before="120" w:after="120" w:line="276" w:lineRule="auto"/>
              <w:jc w:val="both"/>
              <w:rPr>
                <w:rFonts w:ascii="Times New Roman" w:hAnsi="Times New Roman" w:cs="Times New Roman"/>
                <w:b/>
                <w:bCs/>
                <w:iCs/>
                <w:color w:val="000000" w:themeColor="text1"/>
              </w:rPr>
            </w:pPr>
            <w:r w:rsidRPr="00164238">
              <w:rPr>
                <w:rFonts w:ascii="Times New Roman" w:hAnsi="Times New Roman" w:cs="Times New Roman"/>
                <w:b/>
                <w:bCs/>
                <w:iCs/>
                <w:color w:val="000000" w:themeColor="text1"/>
              </w:rPr>
              <w:t>VERGİ TEŞVİKLERİ</w:t>
            </w:r>
          </w:p>
        </w:tc>
        <w:tc>
          <w:tcPr>
            <w:tcW w:w="6232"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9EDEAC8" w14:textId="77777777" w:rsidR="00A3188A" w:rsidRPr="00164238" w:rsidRDefault="00A3188A">
            <w:pPr>
              <w:spacing w:before="120" w:after="120" w:line="276" w:lineRule="auto"/>
              <w:ind w:firstLine="720"/>
              <w:jc w:val="both"/>
              <w:rPr>
                <w:rFonts w:ascii="Times New Roman" w:hAnsi="Times New Roman" w:cs="Times New Roman"/>
                <w:b/>
                <w:bCs/>
                <w:iCs/>
                <w:color w:val="000000" w:themeColor="text1"/>
              </w:rPr>
            </w:pPr>
            <w:r w:rsidRPr="00164238">
              <w:rPr>
                <w:rFonts w:ascii="Times New Roman" w:hAnsi="Times New Roman" w:cs="Times New Roman"/>
                <w:b/>
                <w:bCs/>
                <w:iCs/>
                <w:color w:val="000000" w:themeColor="text1"/>
              </w:rPr>
              <w:t>KAPSAMI</w:t>
            </w:r>
          </w:p>
        </w:tc>
      </w:tr>
      <w:tr w:rsidR="00AE5E6C" w:rsidRPr="00164238" w14:paraId="41CAB7F6" w14:textId="77777777" w:rsidTr="00A3188A">
        <w:tc>
          <w:tcPr>
            <w:tcW w:w="2263" w:type="dxa"/>
            <w:tcBorders>
              <w:top w:val="single" w:sz="4" w:space="0" w:color="auto"/>
              <w:left w:val="single" w:sz="4" w:space="0" w:color="auto"/>
              <w:bottom w:val="single" w:sz="4" w:space="0" w:color="auto"/>
              <w:right w:val="single" w:sz="4" w:space="0" w:color="auto"/>
            </w:tcBorders>
            <w:hideMark/>
          </w:tcPr>
          <w:p w14:paraId="77DCB22F" w14:textId="77777777" w:rsidR="00A3188A" w:rsidRPr="00164238" w:rsidRDefault="00A3188A">
            <w:pPr>
              <w:spacing w:before="120" w:after="120" w:line="276" w:lineRule="auto"/>
              <w:jc w:val="both"/>
              <w:rPr>
                <w:rFonts w:ascii="Times New Roman" w:hAnsi="Times New Roman" w:cs="Times New Roman"/>
                <w:b/>
                <w:bCs/>
                <w:iCs/>
                <w:color w:val="000000" w:themeColor="text1"/>
              </w:rPr>
            </w:pPr>
            <w:r w:rsidRPr="00164238">
              <w:rPr>
                <w:rFonts w:ascii="Times New Roman" w:hAnsi="Times New Roman" w:cs="Times New Roman"/>
                <w:b/>
                <w:bCs/>
                <w:iCs/>
                <w:color w:val="000000" w:themeColor="text1"/>
              </w:rPr>
              <w:t>Gelir ve Kurumlar Vergisi İstisnası</w:t>
            </w:r>
          </w:p>
        </w:tc>
        <w:tc>
          <w:tcPr>
            <w:tcW w:w="6232" w:type="dxa"/>
            <w:tcBorders>
              <w:top w:val="single" w:sz="4" w:space="0" w:color="auto"/>
              <w:left w:val="single" w:sz="4" w:space="0" w:color="auto"/>
              <w:bottom w:val="single" w:sz="4" w:space="0" w:color="auto"/>
              <w:right w:val="single" w:sz="4" w:space="0" w:color="auto"/>
            </w:tcBorders>
            <w:hideMark/>
          </w:tcPr>
          <w:p w14:paraId="68ACA1DE" w14:textId="77777777" w:rsidR="00A3188A" w:rsidRPr="00164238" w:rsidRDefault="00A3188A">
            <w:pPr>
              <w:spacing w:before="120" w:after="120" w:line="276" w:lineRule="auto"/>
              <w:jc w:val="both"/>
              <w:rPr>
                <w:rFonts w:ascii="Times New Roman" w:hAnsi="Times New Roman" w:cs="Times New Roman"/>
                <w:bCs/>
                <w:iCs/>
                <w:color w:val="000000" w:themeColor="text1"/>
              </w:rPr>
            </w:pPr>
            <w:r w:rsidRPr="00164238">
              <w:rPr>
                <w:rFonts w:ascii="Times New Roman" w:hAnsi="Times New Roman" w:cs="Times New Roman"/>
                <w:bCs/>
                <w:iCs/>
                <w:color w:val="000000" w:themeColor="text1"/>
              </w:rPr>
              <w:t>Kanun’da geçici hükümler başlıklı geçici madde 2’nin birinci</w:t>
            </w:r>
            <w:r w:rsidRPr="00164238">
              <w:rPr>
                <w:rFonts w:ascii="Times New Roman" w:hAnsi="Times New Roman" w:cs="Times New Roman"/>
                <w:b/>
                <w:bCs/>
                <w:i/>
                <w:iCs/>
                <w:color w:val="000000" w:themeColor="text1"/>
              </w:rPr>
              <w:t xml:space="preserve"> </w:t>
            </w:r>
            <w:r w:rsidRPr="00164238">
              <w:rPr>
                <w:rFonts w:ascii="Times New Roman" w:hAnsi="Times New Roman" w:cs="Times New Roman"/>
                <w:bCs/>
                <w:iCs/>
                <w:color w:val="000000" w:themeColor="text1"/>
              </w:rPr>
              <w:t>fıkrasına göre, yönetici şirketlerin bu Kanun uygulaması kapsamında elde ettikleri kazançlar ile Bölgede faaliyet gösteren gelir ve kurumlar vergisi mükelleflerinin, münhasıran bu Bölgedeki yazılım, tasarım ve AR-GE faaliyetlerinden elde ettikleri kazançları 31/12/2023 tarihine kadar gelir ve kurumlar vergisinden müstesnadır.</w:t>
            </w:r>
          </w:p>
        </w:tc>
      </w:tr>
      <w:tr w:rsidR="00AE5E6C" w:rsidRPr="00164238" w14:paraId="51E9FA18" w14:textId="77777777" w:rsidTr="00A3188A">
        <w:tc>
          <w:tcPr>
            <w:tcW w:w="2263"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9002AF1" w14:textId="77777777" w:rsidR="00A3188A" w:rsidRPr="00164238" w:rsidRDefault="00A3188A">
            <w:pPr>
              <w:spacing w:before="120" w:after="120" w:line="276" w:lineRule="auto"/>
              <w:jc w:val="both"/>
              <w:rPr>
                <w:rFonts w:ascii="Times New Roman" w:hAnsi="Times New Roman" w:cs="Times New Roman"/>
                <w:b/>
                <w:bCs/>
                <w:iCs/>
                <w:color w:val="000000" w:themeColor="text1"/>
              </w:rPr>
            </w:pPr>
            <w:r w:rsidRPr="00164238">
              <w:rPr>
                <w:rFonts w:ascii="Times New Roman" w:hAnsi="Times New Roman" w:cs="Times New Roman"/>
                <w:b/>
                <w:bCs/>
                <w:iCs/>
                <w:color w:val="000000" w:themeColor="text1"/>
              </w:rPr>
              <w:t>Teknoloji Geliştirme Bölgelerinde KDV İstisnası</w:t>
            </w:r>
          </w:p>
        </w:tc>
        <w:tc>
          <w:tcPr>
            <w:tcW w:w="623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67C1979" w14:textId="77777777" w:rsidR="00A3188A" w:rsidRPr="00164238" w:rsidRDefault="00A3188A">
            <w:pPr>
              <w:spacing w:before="120" w:after="120" w:line="276" w:lineRule="auto"/>
              <w:jc w:val="both"/>
              <w:rPr>
                <w:rFonts w:ascii="Times New Roman" w:hAnsi="Times New Roman" w:cs="Times New Roman"/>
                <w:bCs/>
                <w:iCs/>
                <w:color w:val="000000" w:themeColor="text1"/>
              </w:rPr>
            </w:pPr>
            <w:r w:rsidRPr="00164238">
              <w:rPr>
                <w:rFonts w:ascii="Times New Roman" w:hAnsi="Times New Roman" w:cs="Times New Roman"/>
                <w:bCs/>
                <w:iCs/>
                <w:color w:val="000000" w:themeColor="text1"/>
              </w:rPr>
              <w:t>Katma Değer Vergisi Kanunu'nun geçici 20. Madde</w:t>
            </w:r>
            <w:r w:rsidRPr="00164238">
              <w:rPr>
                <w:rFonts w:ascii="Times New Roman" w:hAnsi="Times New Roman" w:cs="Times New Roman"/>
                <w:bCs/>
                <w:i/>
                <w:iCs/>
                <w:color w:val="000000" w:themeColor="text1"/>
              </w:rPr>
              <w:t xml:space="preserve"> </w:t>
            </w:r>
            <w:r w:rsidRPr="00164238">
              <w:rPr>
                <w:rFonts w:ascii="Times New Roman" w:hAnsi="Times New Roman" w:cs="Times New Roman"/>
                <w:bCs/>
                <w:iCs/>
                <w:color w:val="000000" w:themeColor="text1"/>
              </w:rPr>
              <w:t>kapsamında ‘‘4691 sayılı Teknoloji Geliştirme Bölgeleri Kanununa göre teknoloji geliştirme bölgesinde ve ihtisas teknoloji geliştirme bölgesinde faaliyette bulunan girişimcilerin kazançlarının gelir veya kurumlar vergisinden istisna bulunduğu süre içinde münhasıran bu bölgelerde ürettikleri ve sistem yönetimi, veri yönetimi, iş uygulamaları, sektörel, internet, oyun, mobil ve askeri komuta kontrol uygulama yazılımı şeklindeki teslim ve hizmetleri katma değer vergisinden müstesnadır.’’ Ancak bu istisnanın uygulanabilmesi için yönetici şirketin onayı alınarak ilgili vergi dairesine başvurulması gerekmektedir.</w:t>
            </w:r>
          </w:p>
        </w:tc>
      </w:tr>
      <w:tr w:rsidR="00AE5E6C" w:rsidRPr="00164238" w14:paraId="4DB00225" w14:textId="77777777" w:rsidTr="00A3188A">
        <w:tc>
          <w:tcPr>
            <w:tcW w:w="2263" w:type="dxa"/>
            <w:tcBorders>
              <w:top w:val="single" w:sz="4" w:space="0" w:color="auto"/>
              <w:left w:val="single" w:sz="4" w:space="0" w:color="auto"/>
              <w:bottom w:val="single" w:sz="4" w:space="0" w:color="auto"/>
              <w:right w:val="single" w:sz="4" w:space="0" w:color="auto"/>
            </w:tcBorders>
            <w:hideMark/>
          </w:tcPr>
          <w:p w14:paraId="182C3AF8" w14:textId="77777777" w:rsidR="00A3188A" w:rsidRPr="00164238" w:rsidRDefault="00A3188A">
            <w:pPr>
              <w:spacing w:before="120" w:after="120" w:line="276" w:lineRule="auto"/>
              <w:jc w:val="both"/>
              <w:rPr>
                <w:rFonts w:ascii="Times New Roman" w:hAnsi="Times New Roman" w:cs="Times New Roman"/>
                <w:b/>
                <w:bCs/>
                <w:iCs/>
                <w:color w:val="000000" w:themeColor="text1"/>
              </w:rPr>
            </w:pPr>
            <w:r w:rsidRPr="00164238">
              <w:rPr>
                <w:rFonts w:ascii="Times New Roman" w:hAnsi="Times New Roman" w:cs="Times New Roman"/>
                <w:b/>
                <w:bCs/>
                <w:iCs/>
                <w:color w:val="000000" w:themeColor="text1"/>
              </w:rPr>
              <w:t>Çalışanlara Sağlanan İstisnalar</w:t>
            </w:r>
          </w:p>
        </w:tc>
        <w:tc>
          <w:tcPr>
            <w:tcW w:w="6232" w:type="dxa"/>
            <w:tcBorders>
              <w:top w:val="single" w:sz="4" w:space="0" w:color="auto"/>
              <w:left w:val="single" w:sz="4" w:space="0" w:color="auto"/>
              <w:bottom w:val="single" w:sz="4" w:space="0" w:color="auto"/>
              <w:right w:val="single" w:sz="4" w:space="0" w:color="auto"/>
            </w:tcBorders>
            <w:hideMark/>
          </w:tcPr>
          <w:p w14:paraId="73DF042C" w14:textId="77777777" w:rsidR="00A3188A" w:rsidRPr="00164238" w:rsidRDefault="00A3188A">
            <w:pPr>
              <w:spacing w:before="120" w:after="120" w:line="276" w:lineRule="auto"/>
              <w:jc w:val="both"/>
              <w:rPr>
                <w:rFonts w:ascii="Times New Roman" w:hAnsi="Times New Roman" w:cs="Times New Roman"/>
                <w:bCs/>
                <w:iCs/>
                <w:color w:val="000000" w:themeColor="text1"/>
              </w:rPr>
            </w:pPr>
            <w:r w:rsidRPr="00164238">
              <w:rPr>
                <w:rFonts w:ascii="Times New Roman" w:hAnsi="Times New Roman" w:cs="Times New Roman"/>
                <w:bCs/>
                <w:iCs/>
                <w:color w:val="000000" w:themeColor="text1"/>
              </w:rPr>
              <w:t xml:space="preserve">Kanun’da geçici hükümler başlıklı geçici maddeye göre,                                                                                                                                                            Bölgede çalışan; AR-GE, tasarım ve destek personelinin bu görevleri ile ilgili ücretleri 31/12/2023 tarihine kadar her türlü vergiden müstesnadır. Gelir vergisi stopajı ve sigorta primi işveren hissesine </w:t>
            </w:r>
            <w:r w:rsidRPr="00164238">
              <w:rPr>
                <w:rFonts w:ascii="Times New Roman" w:hAnsi="Times New Roman" w:cs="Times New Roman"/>
                <w:bCs/>
                <w:iCs/>
                <w:color w:val="000000" w:themeColor="text1"/>
              </w:rPr>
              <w:lastRenderedPageBreak/>
              <w:t>ilişkin teşviklerden yararlanacak olan destek personeli sayısı, AR-GE ve tasarım personeli sayısının yüzde onunu aşamaz.</w:t>
            </w:r>
          </w:p>
        </w:tc>
      </w:tr>
      <w:tr w:rsidR="00AE5E6C" w:rsidRPr="00164238" w14:paraId="64076741" w14:textId="77777777" w:rsidTr="00A3188A">
        <w:tc>
          <w:tcPr>
            <w:tcW w:w="2263"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44F3083" w14:textId="77777777" w:rsidR="00A3188A" w:rsidRPr="00164238" w:rsidRDefault="00A3188A">
            <w:pPr>
              <w:spacing w:before="120" w:after="120" w:line="276" w:lineRule="auto"/>
              <w:jc w:val="both"/>
              <w:rPr>
                <w:rFonts w:ascii="Times New Roman" w:hAnsi="Times New Roman" w:cs="Times New Roman"/>
                <w:b/>
                <w:bCs/>
                <w:iCs/>
                <w:color w:val="000000" w:themeColor="text1"/>
              </w:rPr>
            </w:pPr>
            <w:r w:rsidRPr="00164238">
              <w:rPr>
                <w:rFonts w:ascii="Times New Roman" w:hAnsi="Times New Roman" w:cs="Times New Roman"/>
                <w:b/>
                <w:bCs/>
                <w:iCs/>
                <w:color w:val="000000" w:themeColor="text1"/>
              </w:rPr>
              <w:lastRenderedPageBreak/>
              <w:t>Damga Vergisi İstisnası</w:t>
            </w:r>
          </w:p>
        </w:tc>
        <w:tc>
          <w:tcPr>
            <w:tcW w:w="623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D050116" w14:textId="77777777" w:rsidR="00A3188A" w:rsidRPr="00164238" w:rsidRDefault="00A3188A">
            <w:pPr>
              <w:spacing w:before="120" w:after="120" w:line="276" w:lineRule="auto"/>
              <w:jc w:val="both"/>
              <w:rPr>
                <w:rFonts w:ascii="Times New Roman" w:hAnsi="Times New Roman" w:cs="Times New Roman"/>
                <w:bCs/>
                <w:iCs/>
                <w:color w:val="000000" w:themeColor="text1"/>
              </w:rPr>
            </w:pPr>
            <w:r w:rsidRPr="00164238">
              <w:rPr>
                <w:rFonts w:ascii="Times New Roman" w:hAnsi="Times New Roman" w:cs="Times New Roman"/>
                <w:bCs/>
                <w:iCs/>
                <w:color w:val="000000" w:themeColor="text1"/>
              </w:rPr>
              <w:t>Kanun’un Ek Madde 2’ye göre,</w:t>
            </w:r>
            <w:r w:rsidRPr="00164238">
              <w:rPr>
                <w:rFonts w:ascii="Times New Roman" w:hAnsi="Times New Roman" w:cs="Times New Roman"/>
                <w:b/>
                <w:bCs/>
                <w:i/>
                <w:iCs/>
                <w:color w:val="000000" w:themeColor="text1"/>
              </w:rPr>
              <w:t xml:space="preserve"> </w:t>
            </w:r>
            <w:r w:rsidRPr="00164238">
              <w:rPr>
                <w:rFonts w:ascii="Times New Roman" w:hAnsi="Times New Roman" w:cs="Times New Roman"/>
                <w:bCs/>
                <w:iCs/>
                <w:color w:val="000000" w:themeColor="text1"/>
              </w:rPr>
              <w:t>bu Kanun kapsamında yürütülen yazılım, AR-GE, yenilik ve tasarım projeleri ile ilgili araştırmalarda kullanılmak üzere ithal edilen eşya, gümrük vergisi ve her türlü fondan, bu kapsamda düzenlenen kâğıtlar ve yapılan işlemler damga vergisi ve harçtan müstesnadır. Ar-Ge Kanunu’nun 3.maddesinin 4 numaralı bendi gereğince Ar-Ge faaliyetleri nedeniyle düzenlenen kağıtlar damga vergisinden istisnadır.</w:t>
            </w:r>
          </w:p>
        </w:tc>
      </w:tr>
      <w:tr w:rsidR="00AE5E6C" w:rsidRPr="00164238" w14:paraId="3C64E725" w14:textId="77777777" w:rsidTr="00A3188A">
        <w:tc>
          <w:tcPr>
            <w:tcW w:w="2263" w:type="dxa"/>
            <w:tcBorders>
              <w:top w:val="single" w:sz="4" w:space="0" w:color="auto"/>
              <w:left w:val="single" w:sz="4" w:space="0" w:color="auto"/>
              <w:bottom w:val="single" w:sz="4" w:space="0" w:color="auto"/>
              <w:right w:val="single" w:sz="4" w:space="0" w:color="auto"/>
            </w:tcBorders>
            <w:hideMark/>
          </w:tcPr>
          <w:p w14:paraId="0B1126A5" w14:textId="77777777" w:rsidR="00A3188A" w:rsidRPr="00164238" w:rsidRDefault="00A3188A">
            <w:pPr>
              <w:spacing w:before="120" w:after="120" w:line="276" w:lineRule="auto"/>
              <w:jc w:val="both"/>
              <w:rPr>
                <w:rFonts w:ascii="Times New Roman" w:hAnsi="Times New Roman" w:cs="Times New Roman"/>
                <w:b/>
                <w:bCs/>
                <w:iCs/>
                <w:color w:val="000000" w:themeColor="text1"/>
              </w:rPr>
            </w:pPr>
            <w:r w:rsidRPr="00164238">
              <w:rPr>
                <w:rFonts w:ascii="Times New Roman" w:hAnsi="Times New Roman" w:cs="Times New Roman"/>
                <w:b/>
                <w:bCs/>
                <w:iCs/>
                <w:color w:val="000000" w:themeColor="text1"/>
              </w:rPr>
              <w:t>Yazılım ve Ar-Ge İstisnası</w:t>
            </w:r>
          </w:p>
        </w:tc>
        <w:tc>
          <w:tcPr>
            <w:tcW w:w="6232" w:type="dxa"/>
            <w:tcBorders>
              <w:top w:val="single" w:sz="4" w:space="0" w:color="auto"/>
              <w:left w:val="single" w:sz="4" w:space="0" w:color="auto"/>
              <w:bottom w:val="single" w:sz="4" w:space="0" w:color="auto"/>
              <w:right w:val="single" w:sz="4" w:space="0" w:color="auto"/>
            </w:tcBorders>
            <w:hideMark/>
          </w:tcPr>
          <w:p w14:paraId="2C044F5A" w14:textId="77777777" w:rsidR="00A3188A" w:rsidRPr="00164238" w:rsidRDefault="00A3188A">
            <w:pPr>
              <w:spacing w:before="120" w:after="120" w:line="276" w:lineRule="auto"/>
              <w:jc w:val="both"/>
              <w:rPr>
                <w:rFonts w:ascii="Times New Roman" w:hAnsi="Times New Roman" w:cs="Times New Roman"/>
                <w:bCs/>
                <w:iCs/>
                <w:color w:val="000000" w:themeColor="text1"/>
              </w:rPr>
            </w:pPr>
            <w:r w:rsidRPr="00164238">
              <w:rPr>
                <w:rFonts w:ascii="Times New Roman" w:hAnsi="Times New Roman" w:cs="Times New Roman"/>
                <w:bCs/>
                <w:iCs/>
                <w:color w:val="000000" w:themeColor="text1"/>
              </w:rPr>
              <w:t>Kanun’un Ek Madde 2’ye göre, bu Kanun kapsamında yürütülen yazılım, AR-GE, yenilik ve tasarım projeleri ile ilgili araştırmalarda kullanılmak üzere ithal edilen eşya, gümrük vergisi ve her türlü fondan, bu kapsamda düzenlenen kâğıtlar ve yapılan işlemler damga vergisi ve harçtan müstesnadır</w:t>
            </w:r>
          </w:p>
        </w:tc>
      </w:tr>
      <w:tr w:rsidR="00AE5E6C" w:rsidRPr="00164238" w14:paraId="51B0A635" w14:textId="77777777" w:rsidTr="00A3188A">
        <w:tc>
          <w:tcPr>
            <w:tcW w:w="2263"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60439CE" w14:textId="77777777" w:rsidR="00A3188A" w:rsidRPr="00164238" w:rsidRDefault="00A3188A">
            <w:pPr>
              <w:spacing w:before="120" w:after="120" w:line="276" w:lineRule="auto"/>
              <w:jc w:val="both"/>
              <w:rPr>
                <w:rFonts w:ascii="Times New Roman" w:hAnsi="Times New Roman" w:cs="Times New Roman"/>
                <w:b/>
                <w:bCs/>
                <w:iCs/>
                <w:color w:val="000000" w:themeColor="text1"/>
              </w:rPr>
            </w:pPr>
            <w:r w:rsidRPr="00164238">
              <w:rPr>
                <w:rFonts w:ascii="Times New Roman" w:hAnsi="Times New Roman" w:cs="Times New Roman"/>
                <w:b/>
                <w:bCs/>
                <w:iCs/>
                <w:color w:val="000000" w:themeColor="text1"/>
              </w:rPr>
              <w:t>Gümrük Vergisi İstisnası</w:t>
            </w:r>
          </w:p>
        </w:tc>
        <w:tc>
          <w:tcPr>
            <w:tcW w:w="623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B2A52A0" w14:textId="77777777" w:rsidR="00A3188A" w:rsidRPr="00164238" w:rsidRDefault="00A3188A">
            <w:pPr>
              <w:spacing w:before="120" w:after="120" w:line="276" w:lineRule="auto"/>
              <w:jc w:val="both"/>
              <w:rPr>
                <w:rFonts w:ascii="Times New Roman" w:hAnsi="Times New Roman" w:cs="Times New Roman"/>
                <w:bCs/>
                <w:iCs/>
                <w:color w:val="000000" w:themeColor="text1"/>
              </w:rPr>
            </w:pPr>
            <w:r w:rsidRPr="00164238">
              <w:rPr>
                <w:rFonts w:ascii="Times New Roman" w:hAnsi="Times New Roman" w:cs="Times New Roman"/>
                <w:bCs/>
                <w:iCs/>
                <w:color w:val="000000" w:themeColor="text1"/>
              </w:rPr>
              <w:t>Ar-Ge, yenilik ve tasarım projeleri ile ilgili araştırmalarda kullanılmak üzere ithal edilen eşya, gümrük vergisi ve her türlü fondan, bu kapsamda düzenlenen kağıtlar ve yapılan işlemler damga vergisi ve harçtan müstesna edilmiştir. </w:t>
            </w:r>
          </w:p>
        </w:tc>
      </w:tr>
    </w:tbl>
    <w:p w14:paraId="00E51041" w14:textId="77777777" w:rsidR="00A3188A" w:rsidRPr="00164238" w:rsidRDefault="00A3188A" w:rsidP="00A3188A">
      <w:pPr>
        <w:spacing w:before="120" w:after="120" w:line="276" w:lineRule="auto"/>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rPr>
        <w:t>Kaynak: Teşvik ve Vergi Mevzuatı, 4691 Sayılı Kanun’dan faydalanarak tarafımızca hazırlanmıştır.</w:t>
      </w:r>
    </w:p>
    <w:p w14:paraId="6EAD4EA6" w14:textId="77777777" w:rsidR="00A3188A" w:rsidRPr="00164238" w:rsidRDefault="00A3188A" w:rsidP="00A3188A">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Bu kanunlarda da görüldüğü üzere ülkemizde Ar-Ge faaliyetlerinin uygulanması için özel sektöre verilen kamu destekleri arasında yer alan vergi teşvik türlerinin birçoğu yer almamaktadır.</w:t>
      </w:r>
    </w:p>
    <w:p w14:paraId="09AF29A0" w14:textId="77777777" w:rsidR="00A3188A" w:rsidRPr="00164238" w:rsidRDefault="00A3188A" w:rsidP="00A3188A">
      <w:pPr>
        <w:spacing w:before="120" w:after="120" w:line="276" w:lineRule="auto"/>
        <w:ind w:firstLine="720"/>
        <w:jc w:val="both"/>
        <w:rPr>
          <w:rFonts w:ascii="Times New Roman" w:hAnsi="Times New Roman" w:cs="Times New Roman"/>
          <w:b/>
          <w:color w:val="000000" w:themeColor="text1"/>
        </w:rPr>
      </w:pPr>
      <w:r w:rsidRPr="00164238">
        <w:rPr>
          <w:rFonts w:ascii="Times New Roman" w:hAnsi="Times New Roman" w:cs="Times New Roman"/>
          <w:b/>
          <w:color w:val="000000" w:themeColor="text1"/>
        </w:rPr>
        <w:t>AR-GE’NİN EKONOMİDEKİ ÖNEMİ</w:t>
      </w:r>
    </w:p>
    <w:p w14:paraId="1FDC8CC2" w14:textId="77777777" w:rsidR="00A3188A" w:rsidRPr="00164238" w:rsidRDefault="00A3188A" w:rsidP="00A3188A">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Ar-Ge merkezleri ile, yenilikçiliğe odaklanmış, teknoloji dayalı katma değeri yüksek ürünler üreten, üretilen ürünlerle ekonomide rekabet ortamı oluşturan, ülkenin uluslararası arenada rekabet gücünü artıran, dünyadaki gelişmelerle birlikte uygun bir sanayi altyapısını oluşturan ve yabancı sermayeyi ülkemize çekebilen bir yapının oluşturulması amaçlanmaktadır. Bunun yanında özel sektör Ar-Ge Merkezleri de; Ar-Ge, teknoloji ve insan kaynaklarına yapılan yatırımların, teknolojik gelişmişlik, yüksek rekabet gücü ve yüksek refah seviyesi olarak dönüştüğü anlayışıyla kurulmakta ve faaliyet göstermektedir (URL 2). Birçok ülkede Ar-Ge finansmanının artması yeni teknolojik atılımlara yol açmaktadır ve dolayısıyla da ekonomik büyümeyi ve refahı artırmaktadır (Sylwester, 2001: 71).</w:t>
      </w:r>
    </w:p>
    <w:p w14:paraId="6B10B9B4" w14:textId="0E9515AF" w:rsidR="00A3188A" w:rsidRDefault="00A3188A" w:rsidP="00A3188A">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Çoğu ekonomist Ar-Ge için genel olarak 'yeni bilgi' şeklinde tek bir ürün ürettiğini düşünmektedir ancak Ar-Ge sadece yeni bilgi üretmekle kalmayıp aynı zamanda firmaların mevcut bilgileri özümseme ve kullanma yeteneğini de geliştirdiği öne sürülmektedir (Cohen ve Levinthal, 1989: 569).</w:t>
      </w:r>
    </w:p>
    <w:p w14:paraId="7BB11650" w14:textId="77777777" w:rsidR="00A3188A" w:rsidRPr="00164238" w:rsidRDefault="00A3188A" w:rsidP="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i/>
          <w:color w:val="000000" w:themeColor="text1"/>
        </w:rPr>
        <w:t>Tablo 2.</w:t>
      </w:r>
      <w:r w:rsidRPr="00164238">
        <w:rPr>
          <w:rFonts w:ascii="Times New Roman" w:hAnsi="Times New Roman" w:cs="Times New Roman"/>
          <w:color w:val="000000" w:themeColor="text1"/>
        </w:rPr>
        <w:t xml:space="preserve"> Ar-Ge Merkezleri</w:t>
      </w:r>
    </w:p>
    <w:tbl>
      <w:tblPr>
        <w:tblStyle w:val="TabloKlavuzu"/>
        <w:tblW w:w="0" w:type="auto"/>
        <w:tblLook w:val="04A0" w:firstRow="1" w:lastRow="0" w:firstColumn="1" w:lastColumn="0" w:noHBand="0" w:noVBand="1"/>
      </w:tblPr>
      <w:tblGrid>
        <w:gridCol w:w="5456"/>
        <w:gridCol w:w="3039"/>
      </w:tblGrid>
      <w:tr w:rsidR="00AE5E6C" w:rsidRPr="00164238" w14:paraId="6DA53596" w14:textId="77777777" w:rsidTr="00A3188A">
        <w:tc>
          <w:tcPr>
            <w:tcW w:w="8495" w:type="dxa"/>
            <w:gridSpan w:val="2"/>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3B1F8DE" w14:textId="77777777" w:rsidR="00A3188A" w:rsidRPr="00164238" w:rsidRDefault="00A3188A">
            <w:pPr>
              <w:spacing w:before="120" w:after="120" w:line="276" w:lineRule="auto"/>
              <w:jc w:val="center"/>
              <w:rPr>
                <w:rFonts w:ascii="Times New Roman" w:hAnsi="Times New Roman" w:cs="Times New Roman"/>
                <w:b/>
                <w:color w:val="000000" w:themeColor="text1"/>
              </w:rPr>
            </w:pPr>
            <w:r w:rsidRPr="00164238">
              <w:rPr>
                <w:rFonts w:ascii="Times New Roman" w:hAnsi="Times New Roman" w:cs="Times New Roman"/>
                <w:b/>
                <w:color w:val="000000" w:themeColor="text1"/>
              </w:rPr>
              <w:lastRenderedPageBreak/>
              <w:t>AR-GE MERKEZLERİ</w:t>
            </w:r>
          </w:p>
        </w:tc>
      </w:tr>
      <w:tr w:rsidR="00AE5E6C" w:rsidRPr="00164238" w14:paraId="2A71F16D" w14:textId="77777777" w:rsidTr="00A3188A">
        <w:tc>
          <w:tcPr>
            <w:tcW w:w="54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605ACA2"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Faaliyette Olan Ar-Ge Merkezi Sayısı</w:t>
            </w:r>
          </w:p>
        </w:tc>
        <w:tc>
          <w:tcPr>
            <w:tcW w:w="303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2BCA77B"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1.242</w:t>
            </w:r>
          </w:p>
        </w:tc>
      </w:tr>
      <w:tr w:rsidR="00AE5E6C" w:rsidRPr="00164238" w14:paraId="53C0E79D" w14:textId="77777777" w:rsidTr="00A3188A">
        <w:tc>
          <w:tcPr>
            <w:tcW w:w="54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047B0F8"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Toplam Personel Sayısı (Destek personeli dahil)</w:t>
            </w:r>
          </w:p>
        </w:tc>
        <w:tc>
          <w:tcPr>
            <w:tcW w:w="303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95D1A26"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67.087</w:t>
            </w:r>
          </w:p>
        </w:tc>
      </w:tr>
      <w:tr w:rsidR="00AE5E6C" w:rsidRPr="00164238" w14:paraId="4075FC36" w14:textId="77777777" w:rsidTr="00A3188A">
        <w:tc>
          <w:tcPr>
            <w:tcW w:w="5456" w:type="dxa"/>
            <w:tcBorders>
              <w:top w:val="single" w:sz="4" w:space="0" w:color="auto"/>
              <w:left w:val="single" w:sz="4" w:space="0" w:color="auto"/>
              <w:bottom w:val="single" w:sz="4" w:space="0" w:color="auto"/>
              <w:right w:val="single" w:sz="4" w:space="0" w:color="auto"/>
            </w:tcBorders>
            <w:hideMark/>
          </w:tcPr>
          <w:p w14:paraId="2A825AA3"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Lisans</w:t>
            </w:r>
          </w:p>
        </w:tc>
        <w:tc>
          <w:tcPr>
            <w:tcW w:w="3039" w:type="dxa"/>
            <w:tcBorders>
              <w:top w:val="single" w:sz="4" w:space="0" w:color="auto"/>
              <w:left w:val="single" w:sz="4" w:space="0" w:color="auto"/>
              <w:bottom w:val="single" w:sz="4" w:space="0" w:color="auto"/>
              <w:right w:val="single" w:sz="4" w:space="0" w:color="auto"/>
            </w:tcBorders>
            <w:hideMark/>
          </w:tcPr>
          <w:p w14:paraId="65DBE891"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39.053</w:t>
            </w:r>
          </w:p>
        </w:tc>
      </w:tr>
      <w:tr w:rsidR="00AE5E6C" w:rsidRPr="00164238" w14:paraId="10A62FF4" w14:textId="77777777" w:rsidTr="00A3188A">
        <w:tc>
          <w:tcPr>
            <w:tcW w:w="5456" w:type="dxa"/>
            <w:tcBorders>
              <w:top w:val="single" w:sz="4" w:space="0" w:color="auto"/>
              <w:left w:val="single" w:sz="4" w:space="0" w:color="auto"/>
              <w:bottom w:val="single" w:sz="4" w:space="0" w:color="auto"/>
              <w:right w:val="single" w:sz="4" w:space="0" w:color="auto"/>
            </w:tcBorders>
            <w:hideMark/>
          </w:tcPr>
          <w:p w14:paraId="09596EEC"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Yüksek Lisans</w:t>
            </w:r>
          </w:p>
        </w:tc>
        <w:tc>
          <w:tcPr>
            <w:tcW w:w="3039" w:type="dxa"/>
            <w:tcBorders>
              <w:top w:val="single" w:sz="4" w:space="0" w:color="auto"/>
              <w:left w:val="single" w:sz="4" w:space="0" w:color="auto"/>
              <w:bottom w:val="single" w:sz="4" w:space="0" w:color="auto"/>
              <w:right w:val="single" w:sz="4" w:space="0" w:color="auto"/>
            </w:tcBorders>
            <w:hideMark/>
          </w:tcPr>
          <w:p w14:paraId="47011C44"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12.324</w:t>
            </w:r>
          </w:p>
        </w:tc>
      </w:tr>
      <w:tr w:rsidR="00AE5E6C" w:rsidRPr="00164238" w14:paraId="5A5E5278" w14:textId="77777777" w:rsidTr="00A3188A">
        <w:tc>
          <w:tcPr>
            <w:tcW w:w="5456" w:type="dxa"/>
            <w:tcBorders>
              <w:top w:val="single" w:sz="4" w:space="0" w:color="auto"/>
              <w:left w:val="single" w:sz="4" w:space="0" w:color="auto"/>
              <w:bottom w:val="single" w:sz="4" w:space="0" w:color="auto"/>
              <w:right w:val="single" w:sz="4" w:space="0" w:color="auto"/>
            </w:tcBorders>
            <w:hideMark/>
          </w:tcPr>
          <w:p w14:paraId="528A4F8C"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Doktora ve Üstü</w:t>
            </w:r>
          </w:p>
        </w:tc>
        <w:tc>
          <w:tcPr>
            <w:tcW w:w="3039" w:type="dxa"/>
            <w:tcBorders>
              <w:top w:val="single" w:sz="4" w:space="0" w:color="auto"/>
              <w:left w:val="single" w:sz="4" w:space="0" w:color="auto"/>
              <w:bottom w:val="single" w:sz="4" w:space="0" w:color="auto"/>
              <w:right w:val="single" w:sz="4" w:space="0" w:color="auto"/>
            </w:tcBorders>
            <w:hideMark/>
          </w:tcPr>
          <w:p w14:paraId="1F1A98A2"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1.130</w:t>
            </w:r>
          </w:p>
        </w:tc>
      </w:tr>
      <w:tr w:rsidR="00AE5E6C" w:rsidRPr="00164238" w14:paraId="23743E61" w14:textId="77777777" w:rsidTr="00A3188A">
        <w:tc>
          <w:tcPr>
            <w:tcW w:w="54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F8EBAB4"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Proje Sayısı (Tamamlanan + Devam Eden)</w:t>
            </w:r>
          </w:p>
        </w:tc>
        <w:tc>
          <w:tcPr>
            <w:tcW w:w="303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19D87EC"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54.542</w:t>
            </w:r>
          </w:p>
        </w:tc>
      </w:tr>
      <w:tr w:rsidR="00AE5E6C" w:rsidRPr="00164238" w14:paraId="65ECD51D" w14:textId="77777777" w:rsidTr="00A3188A">
        <w:tc>
          <w:tcPr>
            <w:tcW w:w="54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D89DA51"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Patent Sayısı </w:t>
            </w:r>
          </w:p>
        </w:tc>
        <w:tc>
          <w:tcPr>
            <w:tcW w:w="303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C892F6A"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24.683</w:t>
            </w:r>
          </w:p>
        </w:tc>
      </w:tr>
      <w:tr w:rsidR="00AE5E6C" w:rsidRPr="00164238" w14:paraId="6619EFF3" w14:textId="77777777" w:rsidTr="00A3188A">
        <w:tc>
          <w:tcPr>
            <w:tcW w:w="5456" w:type="dxa"/>
            <w:tcBorders>
              <w:top w:val="single" w:sz="4" w:space="0" w:color="auto"/>
              <w:left w:val="single" w:sz="4" w:space="0" w:color="auto"/>
              <w:bottom w:val="single" w:sz="4" w:space="0" w:color="auto"/>
              <w:right w:val="single" w:sz="4" w:space="0" w:color="auto"/>
            </w:tcBorders>
            <w:hideMark/>
          </w:tcPr>
          <w:p w14:paraId="49B8B10C"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Tescil</w:t>
            </w:r>
          </w:p>
        </w:tc>
        <w:tc>
          <w:tcPr>
            <w:tcW w:w="3039" w:type="dxa"/>
            <w:tcBorders>
              <w:top w:val="single" w:sz="4" w:space="0" w:color="auto"/>
              <w:left w:val="single" w:sz="4" w:space="0" w:color="auto"/>
              <w:bottom w:val="single" w:sz="4" w:space="0" w:color="auto"/>
              <w:right w:val="single" w:sz="4" w:space="0" w:color="auto"/>
            </w:tcBorders>
            <w:hideMark/>
          </w:tcPr>
          <w:p w14:paraId="4D6CE855"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7.099</w:t>
            </w:r>
          </w:p>
        </w:tc>
      </w:tr>
      <w:tr w:rsidR="00AE5E6C" w:rsidRPr="00164238" w14:paraId="32E663D5" w14:textId="77777777" w:rsidTr="00A3188A">
        <w:tc>
          <w:tcPr>
            <w:tcW w:w="5456" w:type="dxa"/>
            <w:tcBorders>
              <w:top w:val="single" w:sz="4" w:space="0" w:color="auto"/>
              <w:left w:val="single" w:sz="4" w:space="0" w:color="auto"/>
              <w:bottom w:val="single" w:sz="4" w:space="0" w:color="auto"/>
              <w:right w:val="single" w:sz="4" w:space="0" w:color="auto"/>
            </w:tcBorders>
            <w:hideMark/>
          </w:tcPr>
          <w:p w14:paraId="0C172CC6"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Başvuru</w:t>
            </w:r>
          </w:p>
        </w:tc>
        <w:tc>
          <w:tcPr>
            <w:tcW w:w="3039" w:type="dxa"/>
            <w:tcBorders>
              <w:top w:val="single" w:sz="4" w:space="0" w:color="auto"/>
              <w:left w:val="single" w:sz="4" w:space="0" w:color="auto"/>
              <w:bottom w:val="single" w:sz="4" w:space="0" w:color="auto"/>
              <w:right w:val="single" w:sz="4" w:space="0" w:color="auto"/>
            </w:tcBorders>
            <w:hideMark/>
          </w:tcPr>
          <w:p w14:paraId="701D6631"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17.584</w:t>
            </w:r>
          </w:p>
        </w:tc>
      </w:tr>
      <w:tr w:rsidR="00AE5E6C" w:rsidRPr="00164238" w14:paraId="7018BF85" w14:textId="77777777" w:rsidTr="00A3188A">
        <w:trPr>
          <w:trHeight w:val="659"/>
        </w:trPr>
        <w:tc>
          <w:tcPr>
            <w:tcW w:w="54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B90A9EF"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Ar-Ge Merkezi Olan Yabancı/Yabancı Ortaklı Firma Sayısı</w:t>
            </w:r>
          </w:p>
        </w:tc>
        <w:tc>
          <w:tcPr>
            <w:tcW w:w="303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7D42193"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205</w:t>
            </w:r>
          </w:p>
        </w:tc>
      </w:tr>
    </w:tbl>
    <w:p w14:paraId="00783739" w14:textId="77777777" w:rsidR="00A3188A" w:rsidRPr="00164238" w:rsidRDefault="00A3188A" w:rsidP="00A3188A">
      <w:pPr>
        <w:spacing w:before="120" w:after="120" w:line="276" w:lineRule="auto"/>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rPr>
        <w:t>Kaynak: Sanayi ve Teknoloji Bakanlığı.</w:t>
      </w:r>
    </w:p>
    <w:p w14:paraId="1EEB3A62" w14:textId="77777777" w:rsidR="00A3188A" w:rsidRPr="00164238" w:rsidRDefault="00A3188A" w:rsidP="00A3188A">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5746 Sayılı Ar-Ge Kanununun Uygulama ve Denetim Yönetmeliğinin 31/07/2008 tarihinde yayımlanmasından bugüne kadar geçen sürede (2021 yılı itibariyle) Ar-Ge personeli istihdamı 67.087, tamamlanan ve devam eden proje sayısı 54.542 olarak kaydedilmiştir. Ayrıca toplam patent sayısı 24.683 olup, bu rakamın 7.099 tescillidir.</w:t>
      </w:r>
    </w:p>
    <w:p w14:paraId="412B8FAE" w14:textId="77777777" w:rsidR="00A3188A" w:rsidRPr="00164238" w:rsidRDefault="00A3188A" w:rsidP="00A3188A">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Teknoloji alanında meydana gelen küreselleşme, teknolojik gelişmelerin ortaya koyduğu olanaklar ile sağlanabilmektedir ve Ar-Ge harcaması, patent sayısı ve yüksek teknolojiye dayalı ürün ihracatı gibi esas parametrelere karşın elde edilmiş olan veriler, teknoloji alanında üretimin ve faaliyetlerin gelişmiş ve az sayıda gelişen ülkelerde daha fazla yoğunlaştığı fikrini oluşmasına neden olmaktadır (Uzun Kocamış ve Güngör, 2014: 133).</w:t>
      </w:r>
    </w:p>
    <w:p w14:paraId="3F33CF87" w14:textId="77777777" w:rsidR="00A3188A" w:rsidRPr="00164238" w:rsidRDefault="00A3188A" w:rsidP="00A3188A">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Personel sayıları Ar-Ge merkezi ve Ar-Ge teşviklerinden faydalanmak için tek başına yeterli olmayıp, bunun dışında ayrıca firmaların; yeterli düzeyde Ar-Ge yönetimi ve teknolojik varlıkları, Ar-Ge ve destek personelinin bu merkezlerde çalıştığına dair fiziki kontrolü sağlayacak olan mekanizmaların olması, Ar-Ge insan kaynakları, projelerin Ar-Ge projesi niteliğine sahip olması, proje ve bilgi kaynaklarının yönetim yeteneğine ve kapasitesine sahip olması gibi noktalarda önemli unsurlardır (URL 1).</w:t>
      </w:r>
    </w:p>
    <w:p w14:paraId="41AD50F3" w14:textId="77777777" w:rsidR="00A3188A" w:rsidRPr="00164238" w:rsidRDefault="00A3188A" w:rsidP="00A3188A">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1970’li yıllardan itibaren gelişmiş ülkelerde, dünya ekonomik dengelerinin değişmesi ve sanayi ağırlıklı üretimin azalmasının etkisiyle, üretimi arttırabilmek ve sanayi sektörünü canlandırabilmek amacıyla Ar-Ge faaliyetlerine ayırılan kaynaklar arttırılmıştır ve araştırma sonuçlarının da sanayiye transfer mekanizmaları oluşturulmuştur.  Bu çalışmada geliştirilen en etkili mekanizma ise teknoloji geliştirme bölgeleridir. Gelişmiş ülkeler 1970’li yıllarında </w:t>
      </w:r>
      <w:r w:rsidRPr="00164238">
        <w:rPr>
          <w:rFonts w:ascii="Times New Roman" w:hAnsi="Times New Roman" w:cs="Times New Roman"/>
          <w:color w:val="000000" w:themeColor="text1"/>
        </w:rPr>
        <w:lastRenderedPageBreak/>
        <w:t>yaşadıkları ekonomik krizden kurtulabilmek amacıyla, üniversiteler, sanayi kuruluşları ve araştırma kuruluşlarındaki Ar-Ge sonuçlarını uygulamaya dönüştürerek, bölgesel kalkınma, arazilerin değerlendirilmesi, işsizliğin giderilmesi ve bilime dayalı üretimin sağlanması görüşleri ile teknopark girişimine ciddi ölçüde önem vermişlerdir ve 1980′li yıllarda bu konuda önemli gelişmeler elde edip, hedeflenen konularda önemli ölçüde sonuçlar alınmıştır (TGBD).</w:t>
      </w:r>
    </w:p>
    <w:p w14:paraId="31074B20" w14:textId="77777777" w:rsidR="00A3188A" w:rsidRPr="00164238" w:rsidRDefault="00A3188A" w:rsidP="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i/>
          <w:color w:val="000000" w:themeColor="text1"/>
        </w:rPr>
        <w:t>Tablo 3.</w:t>
      </w:r>
      <w:r w:rsidRPr="00164238">
        <w:rPr>
          <w:rFonts w:ascii="Times New Roman" w:hAnsi="Times New Roman" w:cs="Times New Roman"/>
          <w:color w:val="000000" w:themeColor="text1"/>
        </w:rPr>
        <w:t xml:space="preserve"> 2019 yıl sonu itibariyle Türkiye’de yer alan Teknoloji Geliştirme Bölgeleri</w:t>
      </w:r>
    </w:p>
    <w:tbl>
      <w:tblPr>
        <w:tblStyle w:val="TabloKlavuzu"/>
        <w:tblW w:w="0" w:type="auto"/>
        <w:tblLook w:val="04A0" w:firstRow="1" w:lastRow="0" w:firstColumn="1" w:lastColumn="0" w:noHBand="0" w:noVBand="1"/>
      </w:tblPr>
      <w:tblGrid>
        <w:gridCol w:w="4288"/>
        <w:gridCol w:w="4207"/>
      </w:tblGrid>
      <w:tr w:rsidR="00AE5E6C" w:rsidRPr="00164238" w14:paraId="65101B8C" w14:textId="77777777" w:rsidTr="00A3188A">
        <w:tc>
          <w:tcPr>
            <w:tcW w:w="8495" w:type="dxa"/>
            <w:gridSpan w:val="2"/>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7FD9E416" w14:textId="77777777" w:rsidR="00A3188A" w:rsidRPr="00164238" w:rsidRDefault="00A3188A">
            <w:pPr>
              <w:spacing w:before="120" w:after="120" w:line="276" w:lineRule="auto"/>
              <w:jc w:val="center"/>
              <w:rPr>
                <w:rFonts w:ascii="Times New Roman" w:hAnsi="Times New Roman" w:cs="Times New Roman"/>
                <w:b/>
                <w:color w:val="000000" w:themeColor="text1"/>
              </w:rPr>
            </w:pPr>
            <w:r w:rsidRPr="00164238">
              <w:rPr>
                <w:rFonts w:ascii="Times New Roman" w:hAnsi="Times New Roman" w:cs="Times New Roman"/>
                <w:b/>
                <w:color w:val="000000" w:themeColor="text1"/>
              </w:rPr>
              <w:t>TEKNOLOJİ GELİŞTİRME BÖLGELERİ</w:t>
            </w:r>
          </w:p>
        </w:tc>
      </w:tr>
      <w:tr w:rsidR="00AE5E6C" w:rsidRPr="00164238" w14:paraId="6BA5E9E5" w14:textId="77777777" w:rsidTr="00A3188A">
        <w:tc>
          <w:tcPr>
            <w:tcW w:w="428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5FDB7EE"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Toplam Firma Sayısı</w:t>
            </w:r>
          </w:p>
        </w:tc>
        <w:tc>
          <w:tcPr>
            <w:tcW w:w="420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185F8C8"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5.506</w:t>
            </w:r>
          </w:p>
        </w:tc>
      </w:tr>
      <w:tr w:rsidR="00AE5E6C" w:rsidRPr="00164238" w14:paraId="2FEE4633" w14:textId="77777777" w:rsidTr="00A3188A">
        <w:tc>
          <w:tcPr>
            <w:tcW w:w="428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70ADCD8"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Yabancı/Yabancı Ortaklı Firma Sayısı (Mevcut)</w:t>
            </w:r>
          </w:p>
        </w:tc>
        <w:tc>
          <w:tcPr>
            <w:tcW w:w="420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6C71E9D"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310</w:t>
            </w:r>
          </w:p>
        </w:tc>
      </w:tr>
      <w:tr w:rsidR="00AE5E6C" w:rsidRPr="00164238" w14:paraId="3A24CC27" w14:textId="77777777" w:rsidTr="00A3188A">
        <w:tc>
          <w:tcPr>
            <w:tcW w:w="428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307F235"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Akademisyen Ortaklı Firma Sayısı</w:t>
            </w:r>
          </w:p>
        </w:tc>
        <w:tc>
          <w:tcPr>
            <w:tcW w:w="420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2E3D9BC"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1.159</w:t>
            </w:r>
          </w:p>
        </w:tc>
      </w:tr>
      <w:tr w:rsidR="00AE5E6C" w:rsidRPr="00164238" w14:paraId="725332BA" w14:textId="77777777" w:rsidTr="00A3188A">
        <w:tc>
          <w:tcPr>
            <w:tcW w:w="428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0B8B941"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Toplam Personel Sayısı</w:t>
            </w:r>
          </w:p>
        </w:tc>
        <w:tc>
          <w:tcPr>
            <w:tcW w:w="420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9A7B839"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56.689</w:t>
            </w:r>
          </w:p>
        </w:tc>
      </w:tr>
      <w:tr w:rsidR="00AE5E6C" w:rsidRPr="00164238" w14:paraId="60749FB7" w14:textId="77777777" w:rsidTr="00A3188A">
        <w:tc>
          <w:tcPr>
            <w:tcW w:w="428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CE0978"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Ar-Ge</w:t>
            </w:r>
          </w:p>
        </w:tc>
        <w:tc>
          <w:tcPr>
            <w:tcW w:w="420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74E4333"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46.108</w:t>
            </w:r>
          </w:p>
        </w:tc>
      </w:tr>
      <w:tr w:rsidR="00AE5E6C" w:rsidRPr="00164238" w14:paraId="0A308555" w14:textId="77777777" w:rsidTr="00A3188A">
        <w:tc>
          <w:tcPr>
            <w:tcW w:w="428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20256A"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Tasarım</w:t>
            </w:r>
          </w:p>
        </w:tc>
        <w:tc>
          <w:tcPr>
            <w:tcW w:w="420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484FF6"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760</w:t>
            </w:r>
          </w:p>
        </w:tc>
      </w:tr>
      <w:tr w:rsidR="00AE5E6C" w:rsidRPr="00164238" w14:paraId="79F789ED" w14:textId="77777777" w:rsidTr="00A3188A">
        <w:tc>
          <w:tcPr>
            <w:tcW w:w="428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277D630"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Destek</w:t>
            </w:r>
          </w:p>
        </w:tc>
        <w:tc>
          <w:tcPr>
            <w:tcW w:w="420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60ADC7"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3.565</w:t>
            </w:r>
          </w:p>
        </w:tc>
      </w:tr>
      <w:tr w:rsidR="00AE5E6C" w:rsidRPr="00164238" w14:paraId="7C934E8B" w14:textId="77777777" w:rsidTr="00A3188A">
        <w:tc>
          <w:tcPr>
            <w:tcW w:w="428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87349C0"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          Kapsam Dışı</w:t>
            </w:r>
          </w:p>
        </w:tc>
        <w:tc>
          <w:tcPr>
            <w:tcW w:w="420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E11FF1"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6.256</w:t>
            </w:r>
          </w:p>
        </w:tc>
      </w:tr>
      <w:tr w:rsidR="00AE5E6C" w:rsidRPr="00164238" w14:paraId="124AA5F9" w14:textId="77777777" w:rsidTr="00A3188A">
        <w:tc>
          <w:tcPr>
            <w:tcW w:w="428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A391D36"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Proje Sayısı (Devam Eden)</w:t>
            </w:r>
          </w:p>
        </w:tc>
        <w:tc>
          <w:tcPr>
            <w:tcW w:w="420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C227E0E"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9.673</w:t>
            </w:r>
          </w:p>
        </w:tc>
      </w:tr>
      <w:tr w:rsidR="00AE5E6C" w:rsidRPr="00164238" w14:paraId="5707BCEE" w14:textId="77777777" w:rsidTr="00A3188A">
        <w:tc>
          <w:tcPr>
            <w:tcW w:w="428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4CDEE7D"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Proje Sayısı (Tamamlanan)</w:t>
            </w:r>
          </w:p>
        </w:tc>
        <w:tc>
          <w:tcPr>
            <w:tcW w:w="420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B43119D"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34.244</w:t>
            </w:r>
          </w:p>
        </w:tc>
      </w:tr>
      <w:tr w:rsidR="00AE5E6C" w:rsidRPr="00164238" w14:paraId="65452A33" w14:textId="77777777" w:rsidTr="00A3188A">
        <w:tc>
          <w:tcPr>
            <w:tcW w:w="428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EE7CAE7"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Toplam Satış (TL)</w:t>
            </w:r>
          </w:p>
        </w:tc>
        <w:tc>
          <w:tcPr>
            <w:tcW w:w="420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D5FF4F4"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84,8 Milyar</w:t>
            </w:r>
          </w:p>
        </w:tc>
      </w:tr>
      <w:tr w:rsidR="00AE5E6C" w:rsidRPr="00164238" w14:paraId="29C9F0EB" w14:textId="77777777" w:rsidTr="00A3188A">
        <w:tc>
          <w:tcPr>
            <w:tcW w:w="428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970E695"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Toplam İhracat (USD)</w:t>
            </w:r>
          </w:p>
        </w:tc>
        <w:tc>
          <w:tcPr>
            <w:tcW w:w="420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B4AA5DD" w14:textId="77777777" w:rsidR="00A3188A" w:rsidRPr="00164238" w:rsidRDefault="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4,4 Milyar</w:t>
            </w:r>
          </w:p>
        </w:tc>
      </w:tr>
    </w:tbl>
    <w:p w14:paraId="432C34EC" w14:textId="77777777" w:rsidR="00A3188A" w:rsidRPr="00164238" w:rsidRDefault="00A3188A" w:rsidP="00A3188A">
      <w:pPr>
        <w:spacing w:before="120" w:after="120" w:line="276" w:lineRule="auto"/>
        <w:jc w:val="both"/>
        <w:rPr>
          <w:rFonts w:ascii="Times New Roman" w:hAnsi="Times New Roman" w:cs="Times New Roman"/>
          <w:color w:val="000000" w:themeColor="text1"/>
          <w:sz w:val="20"/>
          <w:szCs w:val="20"/>
          <w:lang w:val="en-US"/>
        </w:rPr>
      </w:pPr>
      <w:r w:rsidRPr="00164238">
        <w:rPr>
          <w:rFonts w:ascii="Times New Roman" w:hAnsi="Times New Roman" w:cs="Times New Roman"/>
          <w:color w:val="000000" w:themeColor="text1"/>
        </w:rPr>
        <w:t>Kaynak: TGB Kılavuzu (2020).</w:t>
      </w:r>
    </w:p>
    <w:p w14:paraId="11F71B80" w14:textId="77777777" w:rsidR="00A3188A" w:rsidRPr="00164238" w:rsidRDefault="00A3188A" w:rsidP="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b/>
        <w:t>2019 yıl sonu itibariyle Türkiye’de yer alan Teknoloji Geliştirme Bölgelerinde faaliyet gösteren 5.506 firmada 46.108 kişi Ar-Ge personeli, 3.565 destek personeli ve 6.256 kapsam dışı personel olmak üzere 56.689 kişi istihdam edilmektedir.</w:t>
      </w:r>
    </w:p>
    <w:p w14:paraId="4FE6C834" w14:textId="77777777" w:rsidR="00A3188A" w:rsidRPr="00164238" w:rsidRDefault="00A3188A" w:rsidP="00A3188A">
      <w:pPr>
        <w:spacing w:before="120" w:after="120" w:line="276" w:lineRule="auto"/>
        <w:ind w:firstLine="720"/>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Toplam personel sayısının içinde Ar-Ge personelinin oranı yaklaşık yüzde 81’dir. Bu oran teknoloji geliştirme bölgelerindeki asıl kadroyu Ar-Ge personelinin olduğunu göstermektedir. Dolayısıyla, Ar-Ge’nin ülke ekonomisinin gelişmesinde ve kalkınmasında çok önemli bir faaliyet alanı oluşturduğunu söyleyebiliriz. Dünyadaki yer alan teknoloji geliştirme bölgelerinde de yine aynı şekilde Ar-Ge faaliyet alanı güçlü ekonomik kalkınma açısından önemlidir. Bundan dolayı sadece teknoloji geliştirme bölgelerinde bulunan firmaların Ar-Ge personellerinin vergiden muaf tutularak avantaj sağlanmıştır. Sağlanmış olan bu vergisel avantaj </w:t>
      </w:r>
      <w:r w:rsidRPr="00164238">
        <w:rPr>
          <w:rFonts w:ascii="Times New Roman" w:hAnsi="Times New Roman" w:cs="Times New Roman"/>
          <w:color w:val="000000" w:themeColor="text1"/>
        </w:rPr>
        <w:lastRenderedPageBreak/>
        <w:t>sayesinde de hem firmalar daha fazla personel istihdam edebilecek hem de istihdam ettirdiği personeline de daha fazla maaş verebilecektir.</w:t>
      </w:r>
    </w:p>
    <w:p w14:paraId="639B5066" w14:textId="32C4DCA8" w:rsidR="00A3188A" w:rsidRPr="00164238" w:rsidRDefault="00A3188A" w:rsidP="00A3188A">
      <w:pPr>
        <w:spacing w:before="120" w:after="120" w:line="276" w:lineRule="auto"/>
        <w:jc w:val="both"/>
        <w:rPr>
          <w:rFonts w:ascii="Times New Roman" w:hAnsi="Times New Roman" w:cs="Times New Roman"/>
          <w:color w:val="000000" w:themeColor="text1"/>
          <w:lang w:eastAsia="tr-TR"/>
        </w:rPr>
      </w:pPr>
      <w:r w:rsidRPr="00164238">
        <w:rPr>
          <w:rFonts w:ascii="Times New Roman" w:hAnsi="Times New Roman" w:cs="Times New Roman"/>
          <w:noProof/>
          <w:color w:val="000000" w:themeColor="text1"/>
          <w:lang w:val="en-US"/>
        </w:rPr>
        <w:drawing>
          <wp:anchor distT="0" distB="0" distL="114300" distR="114300" simplePos="0" relativeHeight="251719680" behindDoc="0" locked="0" layoutInCell="1" allowOverlap="1" wp14:anchorId="13D0513D" wp14:editId="09523B98">
            <wp:simplePos x="0" y="0"/>
            <wp:positionH relativeFrom="margin">
              <wp:align>left</wp:align>
            </wp:positionH>
            <wp:positionV relativeFrom="paragraph">
              <wp:posOffset>256540</wp:posOffset>
            </wp:positionV>
            <wp:extent cx="3086100" cy="2341245"/>
            <wp:effectExtent l="0" t="0" r="0" b="1905"/>
            <wp:wrapSquare wrapText="bothSides"/>
            <wp:docPr id="139" name="Resim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086100" cy="2341245"/>
                    </a:xfrm>
                    <a:prstGeom prst="rect">
                      <a:avLst/>
                    </a:prstGeom>
                    <a:noFill/>
                  </pic:spPr>
                </pic:pic>
              </a:graphicData>
            </a:graphic>
            <wp14:sizeRelH relativeFrom="margin">
              <wp14:pctWidth>0</wp14:pctWidth>
            </wp14:sizeRelH>
            <wp14:sizeRelV relativeFrom="page">
              <wp14:pctHeight>0</wp14:pctHeight>
            </wp14:sizeRelV>
          </wp:anchor>
        </w:drawing>
      </w:r>
      <w:r w:rsidRPr="00164238">
        <w:rPr>
          <w:rFonts w:ascii="Times New Roman" w:hAnsi="Times New Roman" w:cs="Times New Roman"/>
          <w:i/>
          <w:color w:val="000000" w:themeColor="text1"/>
          <w:lang w:eastAsia="tr-TR"/>
        </w:rPr>
        <w:t>Grafik 1.</w:t>
      </w:r>
      <w:r w:rsidRPr="00164238">
        <w:rPr>
          <w:rFonts w:ascii="Times New Roman" w:hAnsi="Times New Roman" w:cs="Times New Roman"/>
          <w:color w:val="000000" w:themeColor="text1"/>
          <w:lang w:eastAsia="tr-TR"/>
        </w:rPr>
        <w:t xml:space="preserve"> Dünya’daki Teknoloji Geliştirme Bölgelerinin Faaliyetlerinin Yüzdeleri (%)</w:t>
      </w:r>
    </w:p>
    <w:p w14:paraId="58684D44" w14:textId="2C5C806C" w:rsidR="00A3188A" w:rsidRPr="00164238" w:rsidRDefault="00A3188A" w:rsidP="00A3188A">
      <w:pPr>
        <w:spacing w:before="120" w:after="120" w:line="276" w:lineRule="auto"/>
        <w:jc w:val="both"/>
        <w:rPr>
          <w:rFonts w:ascii="Times New Roman" w:hAnsi="Times New Roman" w:cs="Times New Roman"/>
          <w:color w:val="000000" w:themeColor="text1"/>
          <w:lang w:eastAsia="tr-TR"/>
        </w:rPr>
      </w:pPr>
      <w:r w:rsidRPr="00164238">
        <w:rPr>
          <w:rFonts w:ascii="Times New Roman" w:hAnsi="Times New Roman" w:cs="Times New Roman"/>
          <w:noProof/>
          <w:color w:val="000000" w:themeColor="text1"/>
          <w:lang w:val="en-US"/>
        </w:rPr>
        <w:drawing>
          <wp:inline distT="0" distB="0" distL="0" distR="0" wp14:anchorId="39C95678" wp14:editId="4C8884D3">
            <wp:extent cx="2190750" cy="2343150"/>
            <wp:effectExtent l="0" t="0" r="0" b="0"/>
            <wp:docPr id="138" name="Resi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3"/>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190750" cy="2343150"/>
                    </a:xfrm>
                    <a:prstGeom prst="rect">
                      <a:avLst/>
                    </a:prstGeom>
                    <a:noFill/>
                    <a:ln>
                      <a:noFill/>
                    </a:ln>
                  </pic:spPr>
                </pic:pic>
              </a:graphicData>
            </a:graphic>
          </wp:inline>
        </w:drawing>
      </w:r>
      <w:r w:rsidRPr="00164238">
        <w:rPr>
          <w:rFonts w:ascii="Times New Roman" w:hAnsi="Times New Roman" w:cs="Times New Roman"/>
          <w:color w:val="000000" w:themeColor="text1"/>
          <w:lang w:eastAsia="tr-TR"/>
        </w:rPr>
        <w:br w:type="textWrapping" w:clear="all"/>
        <w:t>Kaynak: IASP, 2018.</w:t>
      </w:r>
    </w:p>
    <w:p w14:paraId="34691F57" w14:textId="77777777" w:rsidR="00A3188A" w:rsidRPr="00164238" w:rsidRDefault="00A3188A" w:rsidP="00A3188A">
      <w:pPr>
        <w:spacing w:before="120" w:after="120" w:line="276" w:lineRule="auto"/>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ab/>
        <w:t xml:space="preserve">Grafik 1’de de görüleceği üzere dünyadaki teknoloji geliştirme bölgelerinin faaliyetleri arasında ilk olarak Ar-GE yer almaktadır. Ar-Ge’yi eğitim faaliyeti takip etmektedir. En düşük faaliyet ise ürün üretimi faaliyetindedir. Ar-Ge faaliyetinin yapılmasındaki asıl amaç katma değer yaratmak içindir. Dolayısıyla, bu veriler bize Ar-Ge faaliyetlerinin inovasyon yaratamadığını bize göstermektedir. Bunu da ürün üretimi, ticaret, satış ve pazarlama faaliyetlerinin en düşük yapılan faaliyet olmasından çıkarabiliriz (Bal, 2015: 40). </w:t>
      </w:r>
    </w:p>
    <w:p w14:paraId="3FE42D30" w14:textId="77777777" w:rsidR="00A3188A" w:rsidRPr="00164238" w:rsidRDefault="00A3188A" w:rsidP="00A3188A">
      <w:pPr>
        <w:spacing w:before="120" w:after="120" w:line="276" w:lineRule="auto"/>
        <w:ind w:firstLine="720"/>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Teknoloji geliştirme bölgeleri bulunduğu bölgeye ve ülkeye sağladıkları avantajlar; bulunan bölgede ve ülkede teknolojik düzeyin ve inovasyon kabiliyetinin artması, katma değeri yüksek, Ar-Ge ve yazılıma dayalı ürünlerin üretilmesini sağlayarak dışa bağımlılığın azaltılıp, ithalatın düşürülmesi, bulunduğu bölgenin rekabet gücünün ve refahının artırılması şeklinde avantajları sıralanabilir. Firmalara ve girişimcilere sağladığı avantajlar ise, ülkemizde teknoloji geliştirme bölgelerinde faaliyet gösteren firmaların kamu desteği almasından dolayı vergi muafiyetlerinin sağlanması, Ar-Ge çalışmalarının sağlıklı bir şekilde yürütülebilmesi için uygun ortamın sağlanması, üniversitelerle birlikte işbirliğinin oluşmasından dolayı üniversitelerden daha kolay ve uygun koşullarda danışmanlık hizmetlerinin sağlanabilmesi ve bu işbirliğindeki transfer sayesinde üniversitelerle daha etkin Ar-Ge işbirliklerinin kurulabilmesi, şeklinde avantajları bulunmaktadır (Gümüş, Yükseloğlu ve Korhan Binark, 2013: 25-26).</w:t>
      </w:r>
    </w:p>
    <w:p w14:paraId="2FA66973" w14:textId="01DB5CAF" w:rsidR="00A3188A" w:rsidRDefault="00A3188A" w:rsidP="00A3188A">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Yeniliklere, gelişime ve Ar-Ge faaliyetlerine dünya ülkelerinin önem vermesinin esas nedeni ekonomik anlamda güçlü olmak amacıyla doğrudan ilişkili olduğu görülmektedir. Günümüzde gelişmiş ülkelere bakıldığında teknolojik anlamda ileri olan ülkelerdir ve teknolojik gelişmelerinde oluşan artışta ekonomik büyümelerine yansımaktadır. Dolayısıyla da yaşanan bu gelişmelerin sebebi de yapılmış olan Ar-Ge harcamalarından kaynaklanmaktadır (Uzun Kocamış ve Güngör, 2014: 128). Ayrıca, bir ülkede Ar-Ge harcamalarının yoğunluğu, bize o ülkenin bilim ve teknolojiye verdiği değerin bir işaretidir (Demirli, 2014: 104).</w:t>
      </w:r>
    </w:p>
    <w:p w14:paraId="577F54DA" w14:textId="49B32B27" w:rsidR="006A4DC2" w:rsidRDefault="006A4DC2" w:rsidP="00A3188A">
      <w:pPr>
        <w:spacing w:before="120" w:after="120" w:line="276" w:lineRule="auto"/>
        <w:ind w:firstLine="567"/>
        <w:jc w:val="both"/>
        <w:rPr>
          <w:rFonts w:ascii="Times New Roman" w:hAnsi="Times New Roman" w:cs="Times New Roman"/>
          <w:color w:val="000000" w:themeColor="text1"/>
          <w:lang w:eastAsia="tr-TR"/>
        </w:rPr>
      </w:pPr>
    </w:p>
    <w:p w14:paraId="798B5D4B" w14:textId="6C29531A" w:rsidR="006A4DC2" w:rsidRDefault="006A4DC2" w:rsidP="00A3188A">
      <w:pPr>
        <w:spacing w:before="120" w:after="120" w:line="276" w:lineRule="auto"/>
        <w:ind w:firstLine="567"/>
        <w:jc w:val="both"/>
        <w:rPr>
          <w:rFonts w:ascii="Times New Roman" w:hAnsi="Times New Roman" w:cs="Times New Roman"/>
          <w:color w:val="000000" w:themeColor="text1"/>
          <w:lang w:eastAsia="tr-TR"/>
        </w:rPr>
      </w:pPr>
    </w:p>
    <w:p w14:paraId="08660B9A" w14:textId="2EAAC7F1" w:rsidR="006A4DC2" w:rsidRDefault="006A4DC2" w:rsidP="00A3188A">
      <w:pPr>
        <w:spacing w:before="120" w:after="120" w:line="276" w:lineRule="auto"/>
        <w:ind w:firstLine="567"/>
        <w:jc w:val="both"/>
        <w:rPr>
          <w:rFonts w:ascii="Times New Roman" w:hAnsi="Times New Roman" w:cs="Times New Roman"/>
          <w:color w:val="000000" w:themeColor="text1"/>
          <w:lang w:eastAsia="tr-TR"/>
        </w:rPr>
      </w:pPr>
    </w:p>
    <w:p w14:paraId="1E28208B" w14:textId="77777777" w:rsidR="00A3188A" w:rsidRPr="00164238" w:rsidRDefault="00A3188A" w:rsidP="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i/>
          <w:color w:val="000000" w:themeColor="text1"/>
        </w:rPr>
        <w:t>Tablo 4.</w:t>
      </w:r>
      <w:r w:rsidRPr="00164238">
        <w:rPr>
          <w:rFonts w:ascii="Times New Roman" w:hAnsi="Times New Roman" w:cs="Times New Roman"/>
          <w:color w:val="000000" w:themeColor="text1"/>
        </w:rPr>
        <w:t xml:space="preserve"> OECD Ülkeleri ve Diğer Ekonomilerde Ar-Ge Yoğunluğu (Ar-Ge Harcamaları/GSYİH)</w:t>
      </w:r>
    </w:p>
    <w:tbl>
      <w:tblPr>
        <w:tblW w:w="9067" w:type="dxa"/>
        <w:tblLook w:val="04A0" w:firstRow="1" w:lastRow="0" w:firstColumn="1" w:lastColumn="0" w:noHBand="0" w:noVBand="1"/>
      </w:tblPr>
      <w:tblGrid>
        <w:gridCol w:w="1193"/>
        <w:gridCol w:w="656"/>
        <w:gridCol w:w="656"/>
        <w:gridCol w:w="656"/>
        <w:gridCol w:w="656"/>
        <w:gridCol w:w="656"/>
        <w:gridCol w:w="656"/>
        <w:gridCol w:w="656"/>
        <w:gridCol w:w="656"/>
        <w:gridCol w:w="656"/>
        <w:gridCol w:w="656"/>
        <w:gridCol w:w="656"/>
        <w:gridCol w:w="658"/>
      </w:tblGrid>
      <w:tr w:rsidR="00AE5E6C" w:rsidRPr="00164238" w14:paraId="7FB63651" w14:textId="77777777" w:rsidTr="00A3188A">
        <w:trPr>
          <w:trHeight w:val="375"/>
        </w:trPr>
        <w:tc>
          <w:tcPr>
            <w:tcW w:w="1193"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04753E14" w14:textId="77777777" w:rsidR="00A3188A" w:rsidRPr="00164238" w:rsidRDefault="00A3188A">
            <w:pPr>
              <w:jc w:val="both"/>
              <w:rPr>
                <w:rFonts w:ascii="Times New Roman" w:hAnsi="Times New Roman" w:cs="Times New Roman"/>
                <w:b/>
                <w:bCs/>
                <w:color w:val="000000" w:themeColor="text1"/>
              </w:rPr>
            </w:pPr>
          </w:p>
        </w:tc>
        <w:tc>
          <w:tcPr>
            <w:tcW w:w="656"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0DB46FB" w14:textId="77777777" w:rsidR="00A3188A" w:rsidRPr="00164238" w:rsidRDefault="00A3188A">
            <w:pPr>
              <w:jc w:val="both"/>
              <w:rPr>
                <w:rFonts w:ascii="Times New Roman" w:hAnsi="Times New Roman" w:cs="Times New Roman"/>
                <w:b/>
                <w:bCs/>
                <w:color w:val="000000" w:themeColor="text1"/>
              </w:rPr>
            </w:pPr>
            <w:r w:rsidRPr="00164238">
              <w:rPr>
                <w:rFonts w:ascii="Times New Roman" w:hAnsi="Times New Roman" w:cs="Times New Roman"/>
                <w:b/>
                <w:bCs/>
                <w:color w:val="000000" w:themeColor="text1"/>
              </w:rPr>
              <w:t>2002</w:t>
            </w:r>
          </w:p>
        </w:tc>
        <w:tc>
          <w:tcPr>
            <w:tcW w:w="656"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173ECA20" w14:textId="77777777" w:rsidR="00A3188A" w:rsidRPr="00164238" w:rsidRDefault="00A3188A">
            <w:pPr>
              <w:jc w:val="both"/>
              <w:rPr>
                <w:rFonts w:ascii="Times New Roman" w:hAnsi="Times New Roman" w:cs="Times New Roman"/>
                <w:b/>
                <w:bCs/>
                <w:color w:val="000000" w:themeColor="text1"/>
              </w:rPr>
            </w:pPr>
            <w:r w:rsidRPr="00164238">
              <w:rPr>
                <w:rFonts w:ascii="Times New Roman" w:hAnsi="Times New Roman" w:cs="Times New Roman"/>
                <w:b/>
                <w:bCs/>
                <w:color w:val="000000" w:themeColor="text1"/>
              </w:rPr>
              <w:t>2003</w:t>
            </w:r>
          </w:p>
        </w:tc>
        <w:tc>
          <w:tcPr>
            <w:tcW w:w="656"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EDCF747" w14:textId="77777777" w:rsidR="00A3188A" w:rsidRPr="00164238" w:rsidRDefault="00A3188A">
            <w:pPr>
              <w:jc w:val="both"/>
              <w:rPr>
                <w:rFonts w:ascii="Times New Roman" w:hAnsi="Times New Roman" w:cs="Times New Roman"/>
                <w:b/>
                <w:bCs/>
                <w:color w:val="000000" w:themeColor="text1"/>
              </w:rPr>
            </w:pPr>
            <w:r w:rsidRPr="00164238">
              <w:rPr>
                <w:rFonts w:ascii="Times New Roman" w:hAnsi="Times New Roman" w:cs="Times New Roman"/>
                <w:b/>
                <w:bCs/>
                <w:color w:val="000000" w:themeColor="text1"/>
              </w:rPr>
              <w:t>2004</w:t>
            </w:r>
          </w:p>
        </w:tc>
        <w:tc>
          <w:tcPr>
            <w:tcW w:w="656"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E074DD6" w14:textId="77777777" w:rsidR="00A3188A" w:rsidRPr="00164238" w:rsidRDefault="00A3188A">
            <w:pPr>
              <w:jc w:val="both"/>
              <w:rPr>
                <w:rFonts w:ascii="Times New Roman" w:hAnsi="Times New Roman" w:cs="Times New Roman"/>
                <w:b/>
                <w:bCs/>
                <w:color w:val="000000" w:themeColor="text1"/>
              </w:rPr>
            </w:pPr>
            <w:r w:rsidRPr="00164238">
              <w:rPr>
                <w:rFonts w:ascii="Times New Roman" w:hAnsi="Times New Roman" w:cs="Times New Roman"/>
                <w:b/>
                <w:bCs/>
                <w:color w:val="000000" w:themeColor="text1"/>
              </w:rPr>
              <w:t>2005</w:t>
            </w:r>
          </w:p>
        </w:tc>
        <w:tc>
          <w:tcPr>
            <w:tcW w:w="656"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941EBEC" w14:textId="77777777" w:rsidR="00A3188A" w:rsidRPr="00164238" w:rsidRDefault="00A3188A">
            <w:pPr>
              <w:jc w:val="both"/>
              <w:rPr>
                <w:rFonts w:ascii="Times New Roman" w:hAnsi="Times New Roman" w:cs="Times New Roman"/>
                <w:b/>
                <w:bCs/>
                <w:color w:val="000000" w:themeColor="text1"/>
              </w:rPr>
            </w:pPr>
            <w:r w:rsidRPr="00164238">
              <w:rPr>
                <w:rFonts w:ascii="Times New Roman" w:hAnsi="Times New Roman" w:cs="Times New Roman"/>
                <w:b/>
                <w:bCs/>
                <w:color w:val="000000" w:themeColor="text1"/>
              </w:rPr>
              <w:t>2011</w:t>
            </w:r>
          </w:p>
        </w:tc>
        <w:tc>
          <w:tcPr>
            <w:tcW w:w="656"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5104AD20" w14:textId="77777777" w:rsidR="00A3188A" w:rsidRPr="00164238" w:rsidRDefault="00A3188A">
            <w:pPr>
              <w:jc w:val="both"/>
              <w:rPr>
                <w:rFonts w:ascii="Times New Roman" w:hAnsi="Times New Roman" w:cs="Times New Roman"/>
                <w:b/>
                <w:bCs/>
                <w:color w:val="000000" w:themeColor="text1"/>
              </w:rPr>
            </w:pPr>
            <w:r w:rsidRPr="00164238">
              <w:rPr>
                <w:rFonts w:ascii="Times New Roman" w:hAnsi="Times New Roman" w:cs="Times New Roman"/>
                <w:b/>
                <w:bCs/>
                <w:color w:val="000000" w:themeColor="text1"/>
              </w:rPr>
              <w:t>2012</w:t>
            </w:r>
          </w:p>
        </w:tc>
        <w:tc>
          <w:tcPr>
            <w:tcW w:w="656"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B729026" w14:textId="77777777" w:rsidR="00A3188A" w:rsidRPr="00164238" w:rsidRDefault="00A3188A">
            <w:pPr>
              <w:jc w:val="both"/>
              <w:rPr>
                <w:rFonts w:ascii="Times New Roman" w:hAnsi="Times New Roman" w:cs="Times New Roman"/>
                <w:b/>
                <w:bCs/>
                <w:color w:val="000000" w:themeColor="text1"/>
              </w:rPr>
            </w:pPr>
            <w:r w:rsidRPr="00164238">
              <w:rPr>
                <w:rFonts w:ascii="Times New Roman" w:hAnsi="Times New Roman" w:cs="Times New Roman"/>
                <w:b/>
                <w:bCs/>
                <w:color w:val="000000" w:themeColor="text1"/>
              </w:rPr>
              <w:t>2013</w:t>
            </w:r>
          </w:p>
        </w:tc>
        <w:tc>
          <w:tcPr>
            <w:tcW w:w="656"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3510CE62" w14:textId="77777777" w:rsidR="00A3188A" w:rsidRPr="00164238" w:rsidRDefault="00A3188A">
            <w:pPr>
              <w:jc w:val="both"/>
              <w:rPr>
                <w:rFonts w:ascii="Times New Roman" w:hAnsi="Times New Roman" w:cs="Times New Roman"/>
                <w:b/>
                <w:bCs/>
                <w:color w:val="000000" w:themeColor="text1"/>
              </w:rPr>
            </w:pPr>
            <w:r w:rsidRPr="00164238">
              <w:rPr>
                <w:rFonts w:ascii="Times New Roman" w:hAnsi="Times New Roman" w:cs="Times New Roman"/>
                <w:b/>
                <w:bCs/>
                <w:color w:val="000000" w:themeColor="text1"/>
              </w:rPr>
              <w:t>2014</w:t>
            </w:r>
          </w:p>
        </w:tc>
        <w:tc>
          <w:tcPr>
            <w:tcW w:w="656"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0CA5181" w14:textId="77777777" w:rsidR="00A3188A" w:rsidRPr="00164238" w:rsidRDefault="00A3188A">
            <w:pPr>
              <w:jc w:val="both"/>
              <w:rPr>
                <w:rFonts w:ascii="Times New Roman" w:hAnsi="Times New Roman" w:cs="Times New Roman"/>
                <w:b/>
                <w:bCs/>
                <w:color w:val="000000" w:themeColor="text1"/>
              </w:rPr>
            </w:pPr>
            <w:r w:rsidRPr="00164238">
              <w:rPr>
                <w:rFonts w:ascii="Times New Roman" w:hAnsi="Times New Roman" w:cs="Times New Roman"/>
                <w:b/>
                <w:bCs/>
                <w:color w:val="000000" w:themeColor="text1"/>
              </w:rPr>
              <w:t>2015</w:t>
            </w:r>
          </w:p>
        </w:tc>
        <w:tc>
          <w:tcPr>
            <w:tcW w:w="656"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4CA59BC7" w14:textId="77777777" w:rsidR="00A3188A" w:rsidRPr="00164238" w:rsidRDefault="00A3188A">
            <w:pPr>
              <w:jc w:val="both"/>
              <w:rPr>
                <w:rFonts w:ascii="Times New Roman" w:hAnsi="Times New Roman" w:cs="Times New Roman"/>
                <w:b/>
                <w:bCs/>
                <w:color w:val="000000" w:themeColor="text1"/>
              </w:rPr>
            </w:pPr>
            <w:r w:rsidRPr="00164238">
              <w:rPr>
                <w:rFonts w:ascii="Times New Roman" w:hAnsi="Times New Roman" w:cs="Times New Roman"/>
                <w:b/>
                <w:bCs/>
                <w:color w:val="000000" w:themeColor="text1"/>
              </w:rPr>
              <w:t>2016</w:t>
            </w:r>
          </w:p>
        </w:tc>
        <w:tc>
          <w:tcPr>
            <w:tcW w:w="656"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0855F9F0" w14:textId="77777777" w:rsidR="00A3188A" w:rsidRPr="00164238" w:rsidRDefault="00A3188A">
            <w:pPr>
              <w:jc w:val="both"/>
              <w:rPr>
                <w:rFonts w:ascii="Times New Roman" w:hAnsi="Times New Roman" w:cs="Times New Roman"/>
                <w:b/>
                <w:bCs/>
                <w:color w:val="000000" w:themeColor="text1"/>
              </w:rPr>
            </w:pPr>
            <w:r w:rsidRPr="00164238">
              <w:rPr>
                <w:rFonts w:ascii="Times New Roman" w:hAnsi="Times New Roman" w:cs="Times New Roman"/>
                <w:b/>
                <w:bCs/>
                <w:color w:val="000000" w:themeColor="text1"/>
              </w:rPr>
              <w:t>2017</w:t>
            </w:r>
          </w:p>
        </w:tc>
        <w:tc>
          <w:tcPr>
            <w:tcW w:w="658"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65621B17" w14:textId="77777777" w:rsidR="00A3188A" w:rsidRPr="00164238" w:rsidRDefault="00A3188A">
            <w:pPr>
              <w:jc w:val="both"/>
              <w:rPr>
                <w:rFonts w:ascii="Times New Roman" w:hAnsi="Times New Roman" w:cs="Times New Roman"/>
                <w:b/>
                <w:bCs/>
                <w:color w:val="000000" w:themeColor="text1"/>
              </w:rPr>
            </w:pPr>
            <w:r w:rsidRPr="00164238">
              <w:rPr>
                <w:rFonts w:ascii="Times New Roman" w:hAnsi="Times New Roman" w:cs="Times New Roman"/>
                <w:b/>
                <w:bCs/>
                <w:color w:val="000000" w:themeColor="text1"/>
              </w:rPr>
              <w:t>2018</w:t>
            </w:r>
          </w:p>
        </w:tc>
      </w:tr>
      <w:tr w:rsidR="00AE5E6C" w:rsidRPr="00164238" w14:paraId="4A8BEA33" w14:textId="77777777" w:rsidTr="00A3188A">
        <w:trPr>
          <w:trHeight w:val="388"/>
        </w:trPr>
        <w:tc>
          <w:tcPr>
            <w:tcW w:w="1193" w:type="dxa"/>
            <w:tcBorders>
              <w:top w:val="single" w:sz="4" w:space="0" w:color="auto"/>
              <w:left w:val="single" w:sz="4" w:space="0" w:color="auto"/>
              <w:bottom w:val="single" w:sz="4" w:space="0" w:color="auto"/>
              <w:right w:val="single" w:sz="4" w:space="0" w:color="auto"/>
            </w:tcBorders>
            <w:hideMark/>
          </w:tcPr>
          <w:p w14:paraId="0C4EB006" w14:textId="77777777" w:rsidR="00A3188A" w:rsidRPr="00164238" w:rsidRDefault="00A3188A">
            <w:pPr>
              <w:jc w:val="both"/>
              <w:rPr>
                <w:rFonts w:ascii="Times New Roman" w:hAnsi="Times New Roman" w:cs="Times New Roman"/>
                <w:b/>
                <w:bCs/>
                <w:color w:val="000000" w:themeColor="text1"/>
              </w:rPr>
            </w:pPr>
            <w:r w:rsidRPr="00164238">
              <w:rPr>
                <w:rFonts w:ascii="Times New Roman" w:hAnsi="Times New Roman" w:cs="Times New Roman"/>
                <w:b/>
                <w:bCs/>
                <w:color w:val="000000" w:themeColor="text1"/>
              </w:rPr>
              <w:t>Türkiye</w:t>
            </w:r>
          </w:p>
        </w:tc>
        <w:tc>
          <w:tcPr>
            <w:tcW w:w="656" w:type="dxa"/>
            <w:tcBorders>
              <w:top w:val="single" w:sz="4" w:space="0" w:color="auto"/>
              <w:left w:val="single" w:sz="4" w:space="0" w:color="auto"/>
              <w:bottom w:val="single" w:sz="4" w:space="0" w:color="auto"/>
              <w:right w:val="single" w:sz="4" w:space="0" w:color="auto"/>
            </w:tcBorders>
            <w:hideMark/>
          </w:tcPr>
          <w:p w14:paraId="41C38D8D"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0,51</w:t>
            </w:r>
          </w:p>
        </w:tc>
        <w:tc>
          <w:tcPr>
            <w:tcW w:w="656" w:type="dxa"/>
            <w:tcBorders>
              <w:top w:val="single" w:sz="4" w:space="0" w:color="auto"/>
              <w:left w:val="single" w:sz="4" w:space="0" w:color="auto"/>
              <w:bottom w:val="single" w:sz="4" w:space="0" w:color="auto"/>
              <w:right w:val="single" w:sz="4" w:space="0" w:color="auto"/>
            </w:tcBorders>
            <w:hideMark/>
          </w:tcPr>
          <w:p w14:paraId="061A3CFB"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0.46</w:t>
            </w:r>
          </w:p>
        </w:tc>
        <w:tc>
          <w:tcPr>
            <w:tcW w:w="656" w:type="dxa"/>
            <w:tcBorders>
              <w:top w:val="single" w:sz="4" w:space="0" w:color="auto"/>
              <w:left w:val="single" w:sz="4" w:space="0" w:color="auto"/>
              <w:bottom w:val="single" w:sz="4" w:space="0" w:color="auto"/>
              <w:right w:val="single" w:sz="4" w:space="0" w:color="auto"/>
            </w:tcBorders>
            <w:hideMark/>
          </w:tcPr>
          <w:p w14:paraId="37A22C18"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0,50</w:t>
            </w:r>
          </w:p>
        </w:tc>
        <w:tc>
          <w:tcPr>
            <w:tcW w:w="656" w:type="dxa"/>
            <w:tcBorders>
              <w:top w:val="single" w:sz="4" w:space="0" w:color="auto"/>
              <w:left w:val="single" w:sz="4" w:space="0" w:color="auto"/>
              <w:bottom w:val="single" w:sz="4" w:space="0" w:color="auto"/>
              <w:right w:val="single" w:sz="4" w:space="0" w:color="auto"/>
            </w:tcBorders>
            <w:hideMark/>
          </w:tcPr>
          <w:p w14:paraId="6382766C"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0,56</w:t>
            </w:r>
          </w:p>
        </w:tc>
        <w:tc>
          <w:tcPr>
            <w:tcW w:w="656" w:type="dxa"/>
            <w:tcBorders>
              <w:top w:val="single" w:sz="4" w:space="0" w:color="auto"/>
              <w:left w:val="single" w:sz="4" w:space="0" w:color="auto"/>
              <w:bottom w:val="single" w:sz="4" w:space="0" w:color="auto"/>
              <w:right w:val="single" w:sz="4" w:space="0" w:color="auto"/>
            </w:tcBorders>
            <w:hideMark/>
          </w:tcPr>
          <w:p w14:paraId="1F06080B"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0,79</w:t>
            </w:r>
          </w:p>
        </w:tc>
        <w:tc>
          <w:tcPr>
            <w:tcW w:w="656" w:type="dxa"/>
            <w:tcBorders>
              <w:top w:val="single" w:sz="4" w:space="0" w:color="auto"/>
              <w:left w:val="single" w:sz="4" w:space="0" w:color="auto"/>
              <w:bottom w:val="single" w:sz="4" w:space="0" w:color="auto"/>
              <w:right w:val="single" w:sz="4" w:space="0" w:color="auto"/>
            </w:tcBorders>
            <w:hideMark/>
          </w:tcPr>
          <w:p w14:paraId="456F5CAC"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0,83</w:t>
            </w:r>
          </w:p>
        </w:tc>
        <w:tc>
          <w:tcPr>
            <w:tcW w:w="656" w:type="dxa"/>
            <w:tcBorders>
              <w:top w:val="single" w:sz="4" w:space="0" w:color="auto"/>
              <w:left w:val="single" w:sz="4" w:space="0" w:color="auto"/>
              <w:bottom w:val="single" w:sz="4" w:space="0" w:color="auto"/>
              <w:right w:val="single" w:sz="4" w:space="0" w:color="auto"/>
            </w:tcBorders>
            <w:hideMark/>
          </w:tcPr>
          <w:p w14:paraId="5C4301AF"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0,81</w:t>
            </w:r>
          </w:p>
        </w:tc>
        <w:tc>
          <w:tcPr>
            <w:tcW w:w="656" w:type="dxa"/>
            <w:tcBorders>
              <w:top w:val="single" w:sz="4" w:space="0" w:color="auto"/>
              <w:left w:val="single" w:sz="4" w:space="0" w:color="auto"/>
              <w:bottom w:val="single" w:sz="4" w:space="0" w:color="auto"/>
              <w:right w:val="single" w:sz="4" w:space="0" w:color="auto"/>
            </w:tcBorders>
            <w:hideMark/>
          </w:tcPr>
          <w:p w14:paraId="11A47031"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0,86</w:t>
            </w:r>
          </w:p>
        </w:tc>
        <w:tc>
          <w:tcPr>
            <w:tcW w:w="656" w:type="dxa"/>
            <w:tcBorders>
              <w:top w:val="single" w:sz="4" w:space="0" w:color="auto"/>
              <w:left w:val="single" w:sz="4" w:space="0" w:color="auto"/>
              <w:bottom w:val="single" w:sz="4" w:space="0" w:color="auto"/>
              <w:right w:val="single" w:sz="4" w:space="0" w:color="auto"/>
            </w:tcBorders>
            <w:hideMark/>
          </w:tcPr>
          <w:p w14:paraId="6C70C491"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0,88</w:t>
            </w:r>
          </w:p>
        </w:tc>
        <w:tc>
          <w:tcPr>
            <w:tcW w:w="656" w:type="dxa"/>
            <w:tcBorders>
              <w:top w:val="single" w:sz="4" w:space="0" w:color="auto"/>
              <w:left w:val="single" w:sz="4" w:space="0" w:color="auto"/>
              <w:bottom w:val="single" w:sz="4" w:space="0" w:color="auto"/>
              <w:right w:val="single" w:sz="4" w:space="0" w:color="auto"/>
            </w:tcBorders>
            <w:hideMark/>
          </w:tcPr>
          <w:p w14:paraId="3D31D46E"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0,94</w:t>
            </w:r>
          </w:p>
        </w:tc>
        <w:tc>
          <w:tcPr>
            <w:tcW w:w="656" w:type="dxa"/>
            <w:tcBorders>
              <w:top w:val="single" w:sz="4" w:space="0" w:color="auto"/>
              <w:left w:val="single" w:sz="4" w:space="0" w:color="auto"/>
              <w:bottom w:val="single" w:sz="4" w:space="0" w:color="auto"/>
              <w:right w:val="single" w:sz="4" w:space="0" w:color="auto"/>
            </w:tcBorders>
            <w:hideMark/>
          </w:tcPr>
          <w:p w14:paraId="3BAF4D36"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0,95</w:t>
            </w:r>
          </w:p>
        </w:tc>
        <w:tc>
          <w:tcPr>
            <w:tcW w:w="658" w:type="dxa"/>
            <w:tcBorders>
              <w:top w:val="single" w:sz="4" w:space="0" w:color="auto"/>
              <w:left w:val="single" w:sz="4" w:space="0" w:color="auto"/>
              <w:bottom w:val="single" w:sz="4" w:space="0" w:color="auto"/>
              <w:right w:val="single" w:sz="4" w:space="0" w:color="auto"/>
            </w:tcBorders>
            <w:hideMark/>
          </w:tcPr>
          <w:p w14:paraId="4F31F4DF"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1,03</w:t>
            </w:r>
          </w:p>
        </w:tc>
      </w:tr>
      <w:tr w:rsidR="00AE5E6C" w:rsidRPr="00164238" w14:paraId="63C7C92B" w14:textId="77777777" w:rsidTr="00A3188A">
        <w:trPr>
          <w:trHeight w:val="375"/>
        </w:trPr>
        <w:tc>
          <w:tcPr>
            <w:tcW w:w="1193"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4A48289" w14:textId="77777777" w:rsidR="00A3188A" w:rsidRPr="00164238" w:rsidRDefault="00A3188A">
            <w:pPr>
              <w:jc w:val="both"/>
              <w:rPr>
                <w:rFonts w:ascii="Times New Roman" w:hAnsi="Times New Roman" w:cs="Times New Roman"/>
                <w:b/>
                <w:bCs/>
                <w:color w:val="000000" w:themeColor="text1"/>
              </w:rPr>
            </w:pPr>
            <w:r w:rsidRPr="00164238">
              <w:rPr>
                <w:rFonts w:ascii="Times New Roman" w:hAnsi="Times New Roman" w:cs="Times New Roman"/>
                <w:b/>
                <w:bCs/>
                <w:color w:val="000000" w:themeColor="text1"/>
              </w:rPr>
              <w:t>Japonya</w:t>
            </w:r>
          </w:p>
        </w:tc>
        <w:tc>
          <w:tcPr>
            <w:tcW w:w="6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630C411"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3,01</w:t>
            </w:r>
          </w:p>
        </w:tc>
        <w:tc>
          <w:tcPr>
            <w:tcW w:w="6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7DEBB94"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3,04</w:t>
            </w:r>
          </w:p>
        </w:tc>
        <w:tc>
          <w:tcPr>
            <w:tcW w:w="6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6CF2330"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3,02</w:t>
            </w:r>
          </w:p>
        </w:tc>
        <w:tc>
          <w:tcPr>
            <w:tcW w:w="6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385BD2E"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3,18</w:t>
            </w:r>
          </w:p>
        </w:tc>
        <w:tc>
          <w:tcPr>
            <w:tcW w:w="6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CB77841"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3,24</w:t>
            </w:r>
          </w:p>
        </w:tc>
        <w:tc>
          <w:tcPr>
            <w:tcW w:w="6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58D610F"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3,20</w:t>
            </w:r>
          </w:p>
        </w:tc>
        <w:tc>
          <w:tcPr>
            <w:tcW w:w="6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BD13146"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3,31</w:t>
            </w:r>
          </w:p>
        </w:tc>
        <w:tc>
          <w:tcPr>
            <w:tcW w:w="6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35C2671"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3,40</w:t>
            </w:r>
          </w:p>
        </w:tc>
        <w:tc>
          <w:tcPr>
            <w:tcW w:w="6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13B98FC"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3,28</w:t>
            </w:r>
          </w:p>
        </w:tc>
        <w:tc>
          <w:tcPr>
            <w:tcW w:w="6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668F6E1"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3,15</w:t>
            </w:r>
          </w:p>
        </w:tc>
        <w:tc>
          <w:tcPr>
            <w:tcW w:w="6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3D3EED4"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3,20</w:t>
            </w:r>
          </w:p>
        </w:tc>
        <w:tc>
          <w:tcPr>
            <w:tcW w:w="65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47E13BB"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3,27</w:t>
            </w:r>
          </w:p>
        </w:tc>
      </w:tr>
      <w:tr w:rsidR="00AE5E6C" w:rsidRPr="00164238" w14:paraId="5FA1041E" w14:textId="77777777" w:rsidTr="00A3188A">
        <w:trPr>
          <w:trHeight w:val="375"/>
        </w:trPr>
        <w:tc>
          <w:tcPr>
            <w:tcW w:w="1193" w:type="dxa"/>
            <w:tcBorders>
              <w:top w:val="single" w:sz="4" w:space="0" w:color="auto"/>
              <w:left w:val="single" w:sz="4" w:space="0" w:color="auto"/>
              <w:bottom w:val="single" w:sz="4" w:space="0" w:color="auto"/>
              <w:right w:val="single" w:sz="4" w:space="0" w:color="auto"/>
            </w:tcBorders>
            <w:hideMark/>
          </w:tcPr>
          <w:p w14:paraId="027D6778" w14:textId="77777777" w:rsidR="00A3188A" w:rsidRPr="00164238" w:rsidRDefault="00A3188A">
            <w:pPr>
              <w:jc w:val="both"/>
              <w:rPr>
                <w:rFonts w:ascii="Times New Roman" w:hAnsi="Times New Roman" w:cs="Times New Roman"/>
                <w:b/>
                <w:bCs/>
                <w:color w:val="000000" w:themeColor="text1"/>
              </w:rPr>
            </w:pPr>
            <w:r w:rsidRPr="00164238">
              <w:rPr>
                <w:rFonts w:ascii="Times New Roman" w:hAnsi="Times New Roman" w:cs="Times New Roman"/>
                <w:b/>
                <w:bCs/>
                <w:color w:val="000000" w:themeColor="text1"/>
              </w:rPr>
              <w:t>ABD</w:t>
            </w:r>
          </w:p>
        </w:tc>
        <w:tc>
          <w:tcPr>
            <w:tcW w:w="656" w:type="dxa"/>
            <w:tcBorders>
              <w:top w:val="single" w:sz="4" w:space="0" w:color="auto"/>
              <w:left w:val="single" w:sz="4" w:space="0" w:color="auto"/>
              <w:bottom w:val="single" w:sz="4" w:space="0" w:color="auto"/>
              <w:right w:val="single" w:sz="4" w:space="0" w:color="auto"/>
            </w:tcBorders>
            <w:hideMark/>
          </w:tcPr>
          <w:p w14:paraId="1FF708D7"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2,55</w:t>
            </w:r>
          </w:p>
        </w:tc>
        <w:tc>
          <w:tcPr>
            <w:tcW w:w="656" w:type="dxa"/>
            <w:tcBorders>
              <w:top w:val="single" w:sz="4" w:space="0" w:color="auto"/>
              <w:left w:val="single" w:sz="4" w:space="0" w:color="auto"/>
              <w:bottom w:val="single" w:sz="4" w:space="0" w:color="auto"/>
              <w:right w:val="single" w:sz="4" w:space="0" w:color="auto"/>
            </w:tcBorders>
            <w:hideMark/>
          </w:tcPr>
          <w:p w14:paraId="631AD3F5"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2,56</w:t>
            </w:r>
          </w:p>
        </w:tc>
        <w:tc>
          <w:tcPr>
            <w:tcW w:w="656" w:type="dxa"/>
            <w:tcBorders>
              <w:top w:val="single" w:sz="4" w:space="0" w:color="auto"/>
              <w:left w:val="single" w:sz="4" w:space="0" w:color="auto"/>
              <w:bottom w:val="single" w:sz="4" w:space="0" w:color="auto"/>
              <w:right w:val="single" w:sz="4" w:space="0" w:color="auto"/>
            </w:tcBorders>
            <w:hideMark/>
          </w:tcPr>
          <w:p w14:paraId="17424329"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2,50</w:t>
            </w:r>
          </w:p>
        </w:tc>
        <w:tc>
          <w:tcPr>
            <w:tcW w:w="656" w:type="dxa"/>
            <w:tcBorders>
              <w:top w:val="single" w:sz="4" w:space="0" w:color="auto"/>
              <w:left w:val="single" w:sz="4" w:space="0" w:color="auto"/>
              <w:bottom w:val="single" w:sz="4" w:space="0" w:color="auto"/>
              <w:right w:val="single" w:sz="4" w:space="0" w:color="auto"/>
            </w:tcBorders>
            <w:hideMark/>
          </w:tcPr>
          <w:p w14:paraId="6417379C"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2,51</w:t>
            </w:r>
          </w:p>
        </w:tc>
        <w:tc>
          <w:tcPr>
            <w:tcW w:w="656" w:type="dxa"/>
            <w:tcBorders>
              <w:top w:val="single" w:sz="4" w:space="0" w:color="auto"/>
              <w:left w:val="single" w:sz="4" w:space="0" w:color="auto"/>
              <w:bottom w:val="single" w:sz="4" w:space="0" w:color="auto"/>
              <w:right w:val="single" w:sz="4" w:space="0" w:color="auto"/>
            </w:tcBorders>
            <w:hideMark/>
          </w:tcPr>
          <w:p w14:paraId="69BD52F5"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2,76</w:t>
            </w:r>
          </w:p>
        </w:tc>
        <w:tc>
          <w:tcPr>
            <w:tcW w:w="656" w:type="dxa"/>
            <w:tcBorders>
              <w:top w:val="single" w:sz="4" w:space="0" w:color="auto"/>
              <w:left w:val="single" w:sz="4" w:space="0" w:color="auto"/>
              <w:bottom w:val="single" w:sz="4" w:space="0" w:color="auto"/>
              <w:right w:val="single" w:sz="4" w:space="0" w:color="auto"/>
            </w:tcBorders>
            <w:hideMark/>
          </w:tcPr>
          <w:p w14:paraId="1F246170"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2,68</w:t>
            </w:r>
          </w:p>
        </w:tc>
        <w:tc>
          <w:tcPr>
            <w:tcW w:w="656" w:type="dxa"/>
            <w:tcBorders>
              <w:top w:val="single" w:sz="4" w:space="0" w:color="auto"/>
              <w:left w:val="single" w:sz="4" w:space="0" w:color="auto"/>
              <w:bottom w:val="single" w:sz="4" w:space="0" w:color="auto"/>
              <w:right w:val="single" w:sz="4" w:space="0" w:color="auto"/>
            </w:tcBorders>
            <w:hideMark/>
          </w:tcPr>
          <w:p w14:paraId="51BAD6C2"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2,70</w:t>
            </w:r>
          </w:p>
        </w:tc>
        <w:tc>
          <w:tcPr>
            <w:tcW w:w="656" w:type="dxa"/>
            <w:tcBorders>
              <w:top w:val="single" w:sz="4" w:space="0" w:color="auto"/>
              <w:left w:val="single" w:sz="4" w:space="0" w:color="auto"/>
              <w:bottom w:val="single" w:sz="4" w:space="0" w:color="auto"/>
              <w:right w:val="single" w:sz="4" w:space="0" w:color="auto"/>
            </w:tcBorders>
            <w:hideMark/>
          </w:tcPr>
          <w:p w14:paraId="07CDBEDA"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2,71</w:t>
            </w:r>
          </w:p>
        </w:tc>
        <w:tc>
          <w:tcPr>
            <w:tcW w:w="656" w:type="dxa"/>
            <w:tcBorders>
              <w:top w:val="single" w:sz="4" w:space="0" w:color="auto"/>
              <w:left w:val="single" w:sz="4" w:space="0" w:color="auto"/>
              <w:bottom w:val="single" w:sz="4" w:space="0" w:color="auto"/>
              <w:right w:val="single" w:sz="4" w:space="0" w:color="auto"/>
            </w:tcBorders>
            <w:hideMark/>
          </w:tcPr>
          <w:p w14:paraId="7B1F53A9"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2,71</w:t>
            </w:r>
          </w:p>
        </w:tc>
        <w:tc>
          <w:tcPr>
            <w:tcW w:w="656" w:type="dxa"/>
            <w:tcBorders>
              <w:top w:val="single" w:sz="4" w:space="0" w:color="auto"/>
              <w:left w:val="single" w:sz="4" w:space="0" w:color="auto"/>
              <w:bottom w:val="single" w:sz="4" w:space="0" w:color="auto"/>
              <w:right w:val="single" w:sz="4" w:space="0" w:color="auto"/>
            </w:tcBorders>
            <w:hideMark/>
          </w:tcPr>
          <w:p w14:paraId="7BD96983"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2,76</w:t>
            </w:r>
          </w:p>
        </w:tc>
        <w:tc>
          <w:tcPr>
            <w:tcW w:w="656" w:type="dxa"/>
            <w:tcBorders>
              <w:top w:val="single" w:sz="4" w:space="0" w:color="auto"/>
              <w:left w:val="single" w:sz="4" w:space="0" w:color="auto"/>
              <w:bottom w:val="single" w:sz="4" w:space="0" w:color="auto"/>
              <w:right w:val="single" w:sz="4" w:space="0" w:color="auto"/>
            </w:tcBorders>
            <w:hideMark/>
          </w:tcPr>
          <w:p w14:paraId="5EB1AED0"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2,81</w:t>
            </w:r>
          </w:p>
        </w:tc>
        <w:tc>
          <w:tcPr>
            <w:tcW w:w="658" w:type="dxa"/>
            <w:tcBorders>
              <w:top w:val="single" w:sz="4" w:space="0" w:color="auto"/>
              <w:left w:val="single" w:sz="4" w:space="0" w:color="auto"/>
              <w:bottom w:val="single" w:sz="4" w:space="0" w:color="auto"/>
              <w:right w:val="single" w:sz="4" w:space="0" w:color="auto"/>
            </w:tcBorders>
            <w:hideMark/>
          </w:tcPr>
          <w:p w14:paraId="618C54E0"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2,82</w:t>
            </w:r>
          </w:p>
        </w:tc>
      </w:tr>
      <w:tr w:rsidR="00AE5E6C" w:rsidRPr="00164238" w14:paraId="0F9CF313" w14:textId="77777777" w:rsidTr="00A3188A">
        <w:trPr>
          <w:trHeight w:val="375"/>
        </w:trPr>
        <w:tc>
          <w:tcPr>
            <w:tcW w:w="1193"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F27DE92" w14:textId="77777777" w:rsidR="00A3188A" w:rsidRPr="00164238" w:rsidRDefault="00A3188A">
            <w:pPr>
              <w:jc w:val="both"/>
              <w:rPr>
                <w:rFonts w:ascii="Times New Roman" w:hAnsi="Times New Roman" w:cs="Times New Roman"/>
                <w:b/>
                <w:bCs/>
                <w:color w:val="000000" w:themeColor="text1"/>
              </w:rPr>
            </w:pPr>
            <w:r w:rsidRPr="00164238">
              <w:rPr>
                <w:rFonts w:ascii="Times New Roman" w:hAnsi="Times New Roman" w:cs="Times New Roman"/>
                <w:b/>
                <w:bCs/>
                <w:color w:val="000000" w:themeColor="text1"/>
              </w:rPr>
              <w:t>Fransa</w:t>
            </w:r>
          </w:p>
        </w:tc>
        <w:tc>
          <w:tcPr>
            <w:tcW w:w="6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792618D"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2,17</w:t>
            </w:r>
          </w:p>
        </w:tc>
        <w:tc>
          <w:tcPr>
            <w:tcW w:w="6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5B5483F"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2,11</w:t>
            </w:r>
          </w:p>
        </w:tc>
        <w:tc>
          <w:tcPr>
            <w:tcW w:w="6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6A173A0"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2,09</w:t>
            </w:r>
          </w:p>
        </w:tc>
        <w:tc>
          <w:tcPr>
            <w:tcW w:w="6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ADD99B2"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2,05</w:t>
            </w:r>
          </w:p>
        </w:tc>
        <w:tc>
          <w:tcPr>
            <w:tcW w:w="6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25DE999"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2,19</w:t>
            </w:r>
          </w:p>
        </w:tc>
        <w:tc>
          <w:tcPr>
            <w:tcW w:w="6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7D78BAB"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2,22</w:t>
            </w:r>
          </w:p>
        </w:tc>
        <w:tc>
          <w:tcPr>
            <w:tcW w:w="6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315E6FA"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2,23</w:t>
            </w:r>
          </w:p>
        </w:tc>
        <w:tc>
          <w:tcPr>
            <w:tcW w:w="6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A4AE614"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2,27</w:t>
            </w:r>
          </w:p>
        </w:tc>
        <w:tc>
          <w:tcPr>
            <w:tcW w:w="6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6695E43"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2,26</w:t>
            </w:r>
          </w:p>
        </w:tc>
        <w:tc>
          <w:tcPr>
            <w:tcW w:w="6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35217BD"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2,22</w:t>
            </w:r>
          </w:p>
        </w:tc>
        <w:tc>
          <w:tcPr>
            <w:tcW w:w="6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F65A0FA"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2,20</w:t>
            </w:r>
          </w:p>
        </w:tc>
        <w:tc>
          <w:tcPr>
            <w:tcW w:w="65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8DD5F46"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2,19</w:t>
            </w:r>
          </w:p>
        </w:tc>
      </w:tr>
      <w:tr w:rsidR="00AE5E6C" w:rsidRPr="00164238" w14:paraId="03F567D6" w14:textId="77777777" w:rsidTr="00A3188A">
        <w:trPr>
          <w:trHeight w:val="375"/>
        </w:trPr>
        <w:tc>
          <w:tcPr>
            <w:tcW w:w="1193" w:type="dxa"/>
            <w:tcBorders>
              <w:top w:val="single" w:sz="4" w:space="0" w:color="auto"/>
              <w:left w:val="single" w:sz="4" w:space="0" w:color="auto"/>
              <w:bottom w:val="single" w:sz="4" w:space="0" w:color="auto"/>
              <w:right w:val="single" w:sz="4" w:space="0" w:color="auto"/>
            </w:tcBorders>
            <w:hideMark/>
          </w:tcPr>
          <w:p w14:paraId="1325CFEF" w14:textId="77777777" w:rsidR="00A3188A" w:rsidRPr="00164238" w:rsidRDefault="00A3188A">
            <w:pPr>
              <w:jc w:val="both"/>
              <w:rPr>
                <w:rFonts w:ascii="Times New Roman" w:hAnsi="Times New Roman" w:cs="Times New Roman"/>
                <w:b/>
                <w:bCs/>
                <w:color w:val="000000" w:themeColor="text1"/>
              </w:rPr>
            </w:pPr>
            <w:r w:rsidRPr="00164238">
              <w:rPr>
                <w:rFonts w:ascii="Times New Roman" w:hAnsi="Times New Roman" w:cs="Times New Roman"/>
                <w:b/>
                <w:bCs/>
                <w:color w:val="000000" w:themeColor="text1"/>
              </w:rPr>
              <w:t>İtalya</w:t>
            </w:r>
          </w:p>
        </w:tc>
        <w:tc>
          <w:tcPr>
            <w:tcW w:w="656" w:type="dxa"/>
            <w:tcBorders>
              <w:top w:val="single" w:sz="4" w:space="0" w:color="auto"/>
              <w:left w:val="single" w:sz="4" w:space="0" w:color="auto"/>
              <w:bottom w:val="single" w:sz="4" w:space="0" w:color="auto"/>
              <w:right w:val="single" w:sz="4" w:space="0" w:color="auto"/>
            </w:tcBorders>
            <w:hideMark/>
          </w:tcPr>
          <w:p w14:paraId="2CA6C7DC"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1,08</w:t>
            </w:r>
          </w:p>
        </w:tc>
        <w:tc>
          <w:tcPr>
            <w:tcW w:w="656" w:type="dxa"/>
            <w:tcBorders>
              <w:top w:val="single" w:sz="4" w:space="0" w:color="auto"/>
              <w:left w:val="single" w:sz="4" w:space="0" w:color="auto"/>
              <w:bottom w:val="single" w:sz="4" w:space="0" w:color="auto"/>
              <w:right w:val="single" w:sz="4" w:space="0" w:color="auto"/>
            </w:tcBorders>
            <w:hideMark/>
          </w:tcPr>
          <w:p w14:paraId="154E1A11"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1,05</w:t>
            </w:r>
          </w:p>
        </w:tc>
        <w:tc>
          <w:tcPr>
            <w:tcW w:w="656" w:type="dxa"/>
            <w:tcBorders>
              <w:top w:val="single" w:sz="4" w:space="0" w:color="auto"/>
              <w:left w:val="single" w:sz="4" w:space="0" w:color="auto"/>
              <w:bottom w:val="single" w:sz="4" w:space="0" w:color="auto"/>
              <w:right w:val="single" w:sz="4" w:space="0" w:color="auto"/>
            </w:tcBorders>
            <w:hideMark/>
          </w:tcPr>
          <w:p w14:paraId="704ABB2A"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1,05</w:t>
            </w:r>
          </w:p>
        </w:tc>
        <w:tc>
          <w:tcPr>
            <w:tcW w:w="656" w:type="dxa"/>
            <w:tcBorders>
              <w:top w:val="single" w:sz="4" w:space="0" w:color="auto"/>
              <w:left w:val="single" w:sz="4" w:space="0" w:color="auto"/>
              <w:bottom w:val="single" w:sz="4" w:space="0" w:color="auto"/>
              <w:right w:val="single" w:sz="4" w:space="0" w:color="auto"/>
            </w:tcBorders>
            <w:hideMark/>
          </w:tcPr>
          <w:p w14:paraId="7DFB34E9"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1,04</w:t>
            </w:r>
          </w:p>
        </w:tc>
        <w:tc>
          <w:tcPr>
            <w:tcW w:w="656" w:type="dxa"/>
            <w:tcBorders>
              <w:top w:val="single" w:sz="4" w:space="0" w:color="auto"/>
              <w:left w:val="single" w:sz="4" w:space="0" w:color="auto"/>
              <w:bottom w:val="single" w:sz="4" w:space="0" w:color="auto"/>
              <w:right w:val="single" w:sz="4" w:space="0" w:color="auto"/>
            </w:tcBorders>
            <w:hideMark/>
          </w:tcPr>
          <w:p w14:paraId="2929DC30"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1,20</w:t>
            </w:r>
          </w:p>
        </w:tc>
        <w:tc>
          <w:tcPr>
            <w:tcW w:w="656" w:type="dxa"/>
            <w:tcBorders>
              <w:top w:val="single" w:sz="4" w:space="0" w:color="auto"/>
              <w:left w:val="single" w:sz="4" w:space="0" w:color="auto"/>
              <w:bottom w:val="single" w:sz="4" w:space="0" w:color="auto"/>
              <w:right w:val="single" w:sz="4" w:space="0" w:color="auto"/>
            </w:tcBorders>
            <w:hideMark/>
          </w:tcPr>
          <w:p w14:paraId="45F0D58F"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1,26</w:t>
            </w:r>
          </w:p>
        </w:tc>
        <w:tc>
          <w:tcPr>
            <w:tcW w:w="656" w:type="dxa"/>
            <w:tcBorders>
              <w:top w:val="single" w:sz="4" w:space="0" w:color="auto"/>
              <w:left w:val="single" w:sz="4" w:space="0" w:color="auto"/>
              <w:bottom w:val="single" w:sz="4" w:space="0" w:color="auto"/>
              <w:right w:val="single" w:sz="4" w:space="0" w:color="auto"/>
            </w:tcBorders>
            <w:hideMark/>
          </w:tcPr>
          <w:p w14:paraId="433DAAA9"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1,30</w:t>
            </w:r>
          </w:p>
        </w:tc>
        <w:tc>
          <w:tcPr>
            <w:tcW w:w="656" w:type="dxa"/>
            <w:tcBorders>
              <w:top w:val="single" w:sz="4" w:space="0" w:color="auto"/>
              <w:left w:val="single" w:sz="4" w:space="0" w:color="auto"/>
              <w:bottom w:val="single" w:sz="4" w:space="0" w:color="auto"/>
              <w:right w:val="single" w:sz="4" w:space="0" w:color="auto"/>
            </w:tcBorders>
            <w:hideMark/>
          </w:tcPr>
          <w:p w14:paraId="2FC8FBD3"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1,33</w:t>
            </w:r>
          </w:p>
        </w:tc>
        <w:tc>
          <w:tcPr>
            <w:tcW w:w="656" w:type="dxa"/>
            <w:tcBorders>
              <w:top w:val="single" w:sz="4" w:space="0" w:color="auto"/>
              <w:left w:val="single" w:sz="4" w:space="0" w:color="auto"/>
              <w:bottom w:val="single" w:sz="4" w:space="0" w:color="auto"/>
              <w:right w:val="single" w:sz="4" w:space="0" w:color="auto"/>
            </w:tcBorders>
            <w:hideMark/>
          </w:tcPr>
          <w:p w14:paraId="4C718CBE"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1,33</w:t>
            </w:r>
          </w:p>
        </w:tc>
        <w:tc>
          <w:tcPr>
            <w:tcW w:w="656" w:type="dxa"/>
            <w:tcBorders>
              <w:top w:val="single" w:sz="4" w:space="0" w:color="auto"/>
              <w:left w:val="single" w:sz="4" w:space="0" w:color="auto"/>
              <w:bottom w:val="single" w:sz="4" w:space="0" w:color="auto"/>
              <w:right w:val="single" w:sz="4" w:space="0" w:color="auto"/>
            </w:tcBorders>
            <w:hideMark/>
          </w:tcPr>
          <w:p w14:paraId="3B312C9D"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1,36</w:t>
            </w:r>
          </w:p>
        </w:tc>
        <w:tc>
          <w:tcPr>
            <w:tcW w:w="656" w:type="dxa"/>
            <w:tcBorders>
              <w:top w:val="single" w:sz="4" w:space="0" w:color="auto"/>
              <w:left w:val="single" w:sz="4" w:space="0" w:color="auto"/>
              <w:bottom w:val="single" w:sz="4" w:space="0" w:color="auto"/>
              <w:right w:val="single" w:sz="4" w:space="0" w:color="auto"/>
            </w:tcBorders>
            <w:hideMark/>
          </w:tcPr>
          <w:p w14:paraId="688969D6"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1,37</w:t>
            </w:r>
          </w:p>
        </w:tc>
        <w:tc>
          <w:tcPr>
            <w:tcW w:w="658" w:type="dxa"/>
            <w:tcBorders>
              <w:top w:val="single" w:sz="4" w:space="0" w:color="auto"/>
              <w:left w:val="single" w:sz="4" w:space="0" w:color="auto"/>
              <w:bottom w:val="single" w:sz="4" w:space="0" w:color="auto"/>
              <w:right w:val="single" w:sz="4" w:space="0" w:color="auto"/>
            </w:tcBorders>
            <w:hideMark/>
          </w:tcPr>
          <w:p w14:paraId="7AAE18AC"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1,42</w:t>
            </w:r>
          </w:p>
        </w:tc>
      </w:tr>
      <w:tr w:rsidR="00AE5E6C" w:rsidRPr="00164238" w14:paraId="0FFC386E" w14:textId="77777777" w:rsidTr="00A3188A">
        <w:trPr>
          <w:trHeight w:val="470"/>
        </w:trPr>
        <w:tc>
          <w:tcPr>
            <w:tcW w:w="1193"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89D3F33" w14:textId="77777777" w:rsidR="00A3188A" w:rsidRPr="00164238" w:rsidRDefault="00A3188A">
            <w:pPr>
              <w:jc w:val="both"/>
              <w:rPr>
                <w:rFonts w:ascii="Times New Roman" w:hAnsi="Times New Roman" w:cs="Times New Roman"/>
                <w:b/>
                <w:bCs/>
                <w:color w:val="000000" w:themeColor="text1"/>
              </w:rPr>
            </w:pPr>
            <w:r w:rsidRPr="00164238">
              <w:rPr>
                <w:rFonts w:ascii="Times New Roman" w:hAnsi="Times New Roman" w:cs="Times New Roman"/>
                <w:b/>
                <w:bCs/>
                <w:color w:val="000000" w:themeColor="text1"/>
              </w:rPr>
              <w:t>EU28</w:t>
            </w:r>
          </w:p>
        </w:tc>
        <w:tc>
          <w:tcPr>
            <w:tcW w:w="6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38E8C27"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1,69</w:t>
            </w:r>
          </w:p>
        </w:tc>
        <w:tc>
          <w:tcPr>
            <w:tcW w:w="6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EA37B20"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1,68</w:t>
            </w:r>
          </w:p>
        </w:tc>
        <w:tc>
          <w:tcPr>
            <w:tcW w:w="6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0B754FC"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1,65</w:t>
            </w:r>
          </w:p>
        </w:tc>
        <w:tc>
          <w:tcPr>
            <w:tcW w:w="6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44449FF"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1,66</w:t>
            </w:r>
          </w:p>
        </w:tc>
        <w:tc>
          <w:tcPr>
            <w:tcW w:w="6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AD79E9F"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1,87</w:t>
            </w:r>
          </w:p>
        </w:tc>
        <w:tc>
          <w:tcPr>
            <w:tcW w:w="6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CECEB38"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1,90</w:t>
            </w:r>
          </w:p>
        </w:tc>
        <w:tc>
          <w:tcPr>
            <w:tcW w:w="6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8087252"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1,91</w:t>
            </w:r>
          </w:p>
        </w:tc>
        <w:tc>
          <w:tcPr>
            <w:tcW w:w="6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716AFB8"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1,94</w:t>
            </w:r>
          </w:p>
        </w:tc>
        <w:tc>
          <w:tcPr>
            <w:tcW w:w="6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C601078"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1,95</w:t>
            </w:r>
          </w:p>
        </w:tc>
        <w:tc>
          <w:tcPr>
            <w:tcW w:w="6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C64915A"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1,94</w:t>
            </w:r>
          </w:p>
        </w:tc>
        <w:tc>
          <w:tcPr>
            <w:tcW w:w="656"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92907A8"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1,97</w:t>
            </w:r>
          </w:p>
        </w:tc>
        <w:tc>
          <w:tcPr>
            <w:tcW w:w="658"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6178954"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2,02</w:t>
            </w:r>
          </w:p>
        </w:tc>
      </w:tr>
      <w:tr w:rsidR="00AE5E6C" w:rsidRPr="00164238" w14:paraId="6E146843" w14:textId="77777777" w:rsidTr="00A3188A">
        <w:trPr>
          <w:trHeight w:val="375"/>
        </w:trPr>
        <w:tc>
          <w:tcPr>
            <w:tcW w:w="1193" w:type="dxa"/>
            <w:tcBorders>
              <w:top w:val="single" w:sz="4" w:space="0" w:color="auto"/>
              <w:left w:val="single" w:sz="4" w:space="0" w:color="auto"/>
              <w:bottom w:val="single" w:sz="4" w:space="0" w:color="auto"/>
              <w:right w:val="single" w:sz="4" w:space="0" w:color="auto"/>
            </w:tcBorders>
            <w:hideMark/>
          </w:tcPr>
          <w:p w14:paraId="5A0D906D" w14:textId="77777777" w:rsidR="00A3188A" w:rsidRPr="00164238" w:rsidRDefault="00A3188A">
            <w:pPr>
              <w:jc w:val="both"/>
              <w:rPr>
                <w:rFonts w:ascii="Times New Roman" w:hAnsi="Times New Roman" w:cs="Times New Roman"/>
                <w:b/>
                <w:bCs/>
                <w:color w:val="000000" w:themeColor="text1"/>
              </w:rPr>
            </w:pPr>
            <w:r w:rsidRPr="00164238">
              <w:rPr>
                <w:rFonts w:ascii="Times New Roman" w:hAnsi="Times New Roman" w:cs="Times New Roman"/>
                <w:b/>
                <w:bCs/>
                <w:color w:val="000000" w:themeColor="text1"/>
              </w:rPr>
              <w:t>OECD</w:t>
            </w:r>
          </w:p>
        </w:tc>
        <w:tc>
          <w:tcPr>
            <w:tcW w:w="656" w:type="dxa"/>
            <w:tcBorders>
              <w:top w:val="single" w:sz="4" w:space="0" w:color="auto"/>
              <w:left w:val="single" w:sz="4" w:space="0" w:color="auto"/>
              <w:bottom w:val="single" w:sz="4" w:space="0" w:color="auto"/>
              <w:right w:val="single" w:sz="4" w:space="0" w:color="auto"/>
            </w:tcBorders>
            <w:hideMark/>
          </w:tcPr>
          <w:p w14:paraId="556A95D7"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2,11</w:t>
            </w:r>
          </w:p>
        </w:tc>
        <w:tc>
          <w:tcPr>
            <w:tcW w:w="656" w:type="dxa"/>
            <w:tcBorders>
              <w:top w:val="single" w:sz="4" w:space="0" w:color="auto"/>
              <w:left w:val="single" w:sz="4" w:space="0" w:color="auto"/>
              <w:bottom w:val="single" w:sz="4" w:space="0" w:color="auto"/>
              <w:right w:val="single" w:sz="4" w:space="0" w:color="auto"/>
            </w:tcBorders>
            <w:hideMark/>
          </w:tcPr>
          <w:p w14:paraId="750336B0"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2,11</w:t>
            </w:r>
          </w:p>
        </w:tc>
        <w:tc>
          <w:tcPr>
            <w:tcW w:w="656" w:type="dxa"/>
            <w:tcBorders>
              <w:top w:val="single" w:sz="4" w:space="0" w:color="auto"/>
              <w:left w:val="single" w:sz="4" w:space="0" w:color="auto"/>
              <w:bottom w:val="single" w:sz="4" w:space="0" w:color="auto"/>
              <w:right w:val="single" w:sz="4" w:space="0" w:color="auto"/>
            </w:tcBorders>
            <w:hideMark/>
          </w:tcPr>
          <w:p w14:paraId="1755F91F"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2,08</w:t>
            </w:r>
          </w:p>
        </w:tc>
        <w:tc>
          <w:tcPr>
            <w:tcW w:w="656" w:type="dxa"/>
            <w:tcBorders>
              <w:top w:val="single" w:sz="4" w:space="0" w:color="auto"/>
              <w:left w:val="single" w:sz="4" w:space="0" w:color="auto"/>
              <w:bottom w:val="single" w:sz="4" w:space="0" w:color="auto"/>
              <w:right w:val="single" w:sz="4" w:space="0" w:color="auto"/>
            </w:tcBorders>
            <w:hideMark/>
          </w:tcPr>
          <w:p w14:paraId="5842E56A"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2,11</w:t>
            </w:r>
          </w:p>
        </w:tc>
        <w:tc>
          <w:tcPr>
            <w:tcW w:w="656" w:type="dxa"/>
            <w:tcBorders>
              <w:top w:val="single" w:sz="4" w:space="0" w:color="auto"/>
              <w:left w:val="single" w:sz="4" w:space="0" w:color="auto"/>
              <w:bottom w:val="single" w:sz="4" w:space="0" w:color="auto"/>
              <w:right w:val="single" w:sz="4" w:space="0" w:color="auto"/>
            </w:tcBorders>
            <w:hideMark/>
          </w:tcPr>
          <w:p w14:paraId="1967F478"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2,28</w:t>
            </w:r>
          </w:p>
        </w:tc>
        <w:tc>
          <w:tcPr>
            <w:tcW w:w="656" w:type="dxa"/>
            <w:tcBorders>
              <w:top w:val="single" w:sz="4" w:space="0" w:color="auto"/>
              <w:left w:val="single" w:sz="4" w:space="0" w:color="auto"/>
              <w:bottom w:val="single" w:sz="4" w:space="0" w:color="auto"/>
              <w:right w:val="single" w:sz="4" w:space="0" w:color="auto"/>
            </w:tcBorders>
            <w:hideMark/>
          </w:tcPr>
          <w:p w14:paraId="441A54B8"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2,27</w:t>
            </w:r>
          </w:p>
        </w:tc>
        <w:tc>
          <w:tcPr>
            <w:tcW w:w="656" w:type="dxa"/>
            <w:tcBorders>
              <w:top w:val="single" w:sz="4" w:space="0" w:color="auto"/>
              <w:left w:val="single" w:sz="4" w:space="0" w:color="auto"/>
              <w:bottom w:val="single" w:sz="4" w:space="0" w:color="auto"/>
              <w:right w:val="single" w:sz="4" w:space="0" w:color="auto"/>
            </w:tcBorders>
            <w:hideMark/>
          </w:tcPr>
          <w:p w14:paraId="4130E85E"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2,29</w:t>
            </w:r>
          </w:p>
        </w:tc>
        <w:tc>
          <w:tcPr>
            <w:tcW w:w="656" w:type="dxa"/>
            <w:tcBorders>
              <w:top w:val="single" w:sz="4" w:space="0" w:color="auto"/>
              <w:left w:val="single" w:sz="4" w:space="0" w:color="auto"/>
              <w:bottom w:val="single" w:sz="4" w:space="0" w:color="auto"/>
              <w:right w:val="single" w:sz="4" w:space="0" w:color="auto"/>
            </w:tcBorders>
            <w:hideMark/>
          </w:tcPr>
          <w:p w14:paraId="0C4F299B"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2,31</w:t>
            </w:r>
          </w:p>
        </w:tc>
        <w:tc>
          <w:tcPr>
            <w:tcW w:w="656" w:type="dxa"/>
            <w:tcBorders>
              <w:top w:val="single" w:sz="4" w:space="0" w:color="auto"/>
              <w:left w:val="single" w:sz="4" w:space="0" w:color="auto"/>
              <w:bottom w:val="single" w:sz="4" w:space="0" w:color="auto"/>
              <w:right w:val="single" w:sz="4" w:space="0" w:color="auto"/>
            </w:tcBorders>
            <w:hideMark/>
          </w:tcPr>
          <w:p w14:paraId="53FBCF69"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2,31</w:t>
            </w:r>
          </w:p>
        </w:tc>
        <w:tc>
          <w:tcPr>
            <w:tcW w:w="656" w:type="dxa"/>
            <w:tcBorders>
              <w:top w:val="single" w:sz="4" w:space="0" w:color="auto"/>
              <w:left w:val="single" w:sz="4" w:space="0" w:color="auto"/>
              <w:bottom w:val="single" w:sz="4" w:space="0" w:color="auto"/>
              <w:right w:val="single" w:sz="4" w:space="0" w:color="auto"/>
            </w:tcBorders>
            <w:hideMark/>
          </w:tcPr>
          <w:p w14:paraId="7E50E082"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2,30</w:t>
            </w:r>
          </w:p>
        </w:tc>
        <w:tc>
          <w:tcPr>
            <w:tcW w:w="656" w:type="dxa"/>
            <w:tcBorders>
              <w:top w:val="single" w:sz="4" w:space="0" w:color="auto"/>
              <w:left w:val="single" w:sz="4" w:space="0" w:color="auto"/>
              <w:bottom w:val="single" w:sz="4" w:space="0" w:color="auto"/>
              <w:right w:val="single" w:sz="4" w:space="0" w:color="auto"/>
            </w:tcBorders>
            <w:hideMark/>
          </w:tcPr>
          <w:p w14:paraId="7FC1D49B"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2,34</w:t>
            </w:r>
          </w:p>
        </w:tc>
        <w:tc>
          <w:tcPr>
            <w:tcW w:w="658" w:type="dxa"/>
            <w:tcBorders>
              <w:top w:val="single" w:sz="4" w:space="0" w:color="auto"/>
              <w:left w:val="single" w:sz="4" w:space="0" w:color="auto"/>
              <w:bottom w:val="single" w:sz="4" w:space="0" w:color="auto"/>
              <w:right w:val="single" w:sz="4" w:space="0" w:color="auto"/>
            </w:tcBorders>
            <w:hideMark/>
          </w:tcPr>
          <w:p w14:paraId="4A064867" w14:textId="77777777" w:rsidR="00A3188A" w:rsidRPr="00164238" w:rsidRDefault="00A3188A">
            <w:pPr>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2,37</w:t>
            </w:r>
          </w:p>
        </w:tc>
      </w:tr>
    </w:tbl>
    <w:p w14:paraId="1FF0D22B" w14:textId="77777777" w:rsidR="00A3188A" w:rsidRPr="00164238" w:rsidRDefault="00A3188A" w:rsidP="00A3188A">
      <w:pPr>
        <w:jc w:val="both"/>
        <w:rPr>
          <w:rFonts w:ascii="Times New Roman" w:hAnsi="Times New Roman" w:cs="Times New Roman"/>
          <w:color w:val="000000" w:themeColor="text1"/>
          <w:sz w:val="20"/>
          <w:szCs w:val="20"/>
          <w:lang w:val="en-US" w:eastAsia="tr-TR"/>
        </w:rPr>
      </w:pPr>
      <w:r w:rsidRPr="00164238">
        <w:rPr>
          <w:rFonts w:ascii="Times New Roman" w:hAnsi="Times New Roman" w:cs="Times New Roman"/>
          <w:color w:val="000000" w:themeColor="text1"/>
          <w:lang w:eastAsia="tr-TR"/>
        </w:rPr>
        <w:t>Kaynak: OECD (2020). Complete Database Of Major Science And Technology Indicators.</w:t>
      </w:r>
    </w:p>
    <w:p w14:paraId="74BB90F6" w14:textId="77777777" w:rsidR="00A3188A" w:rsidRPr="00164238" w:rsidRDefault="00A3188A" w:rsidP="00A3188A">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b/>
        <w:t>Ar-Ge harcamaları gelişmiş ülkelerde %2’nin üzerinde iken, gelişmekte olan ülkelerde %1’den azdır. Ancak, yukarıdaki tabloya göre Türkiye gelişmiş ülkelerle ile gelişmekte olan ülkelerin ekonomileri arasındaki fark en az üç kat daha geride bulunmaktadır. Ar-Ge harcamalarına önem veren ülkeler bilim ve teknoloji gelişmelerinde ciddi ölçüde ilerlemeler sağlayan ülkelerdir ve bu ülkeler günümüzde ekonominin küreselleşmesiyle beraber diğer ülkelerle rekabet edebilme gücüne ulaşabilmektedirler. Türkiye’de Ar-Ge harcamalarının GSYİH’ye oranının yıllar itibarıyla trendine baktığımızda Ar-Ge harcamalarının GSYİH’ye oranı 2018 yılında en yüksek orana sahiptir. Dolayısıyla Ar-Ge harcamalarının sürekli artan bir seyir izlemesi bize Ar-Ge faaliyetlerine verilen önemin git gide arttığını göstermektedir.</w:t>
      </w:r>
    </w:p>
    <w:p w14:paraId="72FE333B" w14:textId="77777777" w:rsidR="00A3188A" w:rsidRPr="00164238" w:rsidRDefault="00A3188A" w:rsidP="00A3188A">
      <w:pPr>
        <w:spacing w:before="120" w:after="120" w:line="276" w:lineRule="auto"/>
        <w:jc w:val="both"/>
        <w:rPr>
          <w:rFonts w:ascii="Times New Roman" w:hAnsi="Times New Roman" w:cs="Times New Roman"/>
          <w:color w:val="000000" w:themeColor="text1"/>
        </w:rPr>
      </w:pPr>
    </w:p>
    <w:p w14:paraId="1D004A7C" w14:textId="77777777" w:rsidR="00A3188A" w:rsidRPr="00164238" w:rsidRDefault="00A3188A" w:rsidP="00A3188A">
      <w:pPr>
        <w:ind w:firstLine="567"/>
        <w:jc w:val="both"/>
        <w:rPr>
          <w:rFonts w:ascii="Times New Roman" w:hAnsi="Times New Roman" w:cs="Times New Roman"/>
          <w:b/>
          <w:color w:val="000000" w:themeColor="text1"/>
        </w:rPr>
      </w:pPr>
      <w:r w:rsidRPr="00164238">
        <w:rPr>
          <w:rFonts w:ascii="Times New Roman" w:hAnsi="Times New Roman" w:cs="Times New Roman"/>
          <w:b/>
          <w:color w:val="000000" w:themeColor="text1"/>
        </w:rPr>
        <w:t>COViD-19 SALGINI SONRASI AR-GE TEŞViKLERiNDE ALINAN ÖNLEMLER</w:t>
      </w:r>
    </w:p>
    <w:p w14:paraId="2F3627D4" w14:textId="77777777" w:rsidR="00A3188A" w:rsidRPr="00164238" w:rsidRDefault="00A3188A" w:rsidP="00A3188A">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 xml:space="preserve">Tüm dünyayı etkisi altına alan Covid-19 salgınının ekonomide yol açtığı krizleri en aza indirmek için bütün ülkelerde olduğu gibi Türkiye’de de kamu hizmetlerine, işletmelere yardımcı olabilmek için bir takım destekler ve teşvikler sağlanmıştır. Covid-19 salgını beraberinde ekonomik zorlukları da getirdiği için hükümet tarafından firmalar için alınan önlemler arasında Ar-Ge teşvikleri de yer almaktadır. </w:t>
      </w:r>
    </w:p>
    <w:p w14:paraId="4BA2AD02" w14:textId="77777777" w:rsidR="00A3188A" w:rsidRPr="00164238" w:rsidRDefault="00A3188A" w:rsidP="00A3188A">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T.C. Sanayi ve Teknoloji Bakanlığı, TÜBİTAK gibi kurumların AR-Ge teşviklerine yönelik Covid-19 ile mücadele kapsamında alınan önlemler şunlardır;</w:t>
      </w:r>
    </w:p>
    <w:p w14:paraId="3AD3FA06" w14:textId="77777777" w:rsidR="00A3188A" w:rsidRPr="00164238" w:rsidRDefault="00A3188A" w:rsidP="00A3188A">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w:t>
      </w:r>
      <w:r w:rsidRPr="00164238">
        <w:rPr>
          <w:rFonts w:ascii="Times New Roman" w:hAnsi="Times New Roman" w:cs="Times New Roman"/>
          <w:color w:val="000000" w:themeColor="text1"/>
          <w:lang w:eastAsia="tr-TR"/>
        </w:rPr>
        <w:tab/>
        <w:t>Ar-Ge ve tasarım merkezlerinde yürütülen faaliyetler ile Teknoloji Geliştirme Bölgeleri sınırları içinde yürütülen faaliyetlerin belirli bir süreyle bu bölgelerin dışında da yürütülebilmesine dair izin verilmiştir.</w:t>
      </w:r>
    </w:p>
    <w:p w14:paraId="712B78EA" w14:textId="77777777" w:rsidR="00A3188A" w:rsidRPr="00164238" w:rsidRDefault="00A3188A" w:rsidP="00A3188A">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 xml:space="preserve">‘‘28/2/2008 tarihli ve 5746 sayılı Araştırma, Geliştirme ve Tasarım Faaliyetlerinin Desteklenmesi Hakkında Kanun kapsamında Ar-Ge ve tasarım merkezlerinde yürütülen </w:t>
      </w:r>
      <w:r w:rsidRPr="00164238">
        <w:rPr>
          <w:rFonts w:ascii="Times New Roman" w:hAnsi="Times New Roman" w:cs="Times New Roman"/>
          <w:color w:val="000000" w:themeColor="text1"/>
          <w:lang w:eastAsia="tr-TR"/>
        </w:rPr>
        <w:lastRenderedPageBreak/>
        <w:t>faaliyetlerin Ar-Ge ve tasarım merkezleri dışında da yapılmasına; 26/6/2001 tarihli ve 4691 sayılı Teknoloji Geliştirme Bölgeleri Kanunu kapsamında Bölge sınırları içinde yürütülen faaliyetlerin Bölge dışında da yürütülmesine 11/3/2020 tarihinden itibaren 4 ay süreyle sınırlı olmak üzere, Sanayi ve Teknoloji Bakanı tarafından izin verilebilir. Bu süre, bitiminden itibaren Sanayi ve Teknoloji Bakanınca 3 aya kadar uzatılabilir. İzin verilmesi durumunda, Sanayi ve Teknoloji Bakanlığının bilgilendirilmesi kaydıyla, 5746 sayılı Kanun ile 4691 sayılı Kanun kapsamındaki indirim, istisna, destek ve teşviklerden yararlanmaya devam edilir.’’ (7244 Sayılı Kanun 2. madde ğ bendi).</w:t>
      </w:r>
    </w:p>
    <w:p w14:paraId="2BCAA6D0" w14:textId="77777777" w:rsidR="00A3188A" w:rsidRPr="00164238" w:rsidRDefault="00A3188A" w:rsidP="00A3188A">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w:t>
      </w:r>
      <w:r w:rsidRPr="00164238">
        <w:rPr>
          <w:rFonts w:ascii="Times New Roman" w:hAnsi="Times New Roman" w:cs="Times New Roman"/>
          <w:color w:val="000000" w:themeColor="text1"/>
          <w:lang w:eastAsia="tr-TR"/>
        </w:rPr>
        <w:tab/>
        <w:t xml:space="preserve">Covid-19 salgınından dolayı Ar-Ge ve Tasarım Merkezleri ile Teknoloji Geliştirme Bölgelerinde faaliyet gösteren şirketlerde çalışan personelin evden de çalışmalarına izin verilmiştir. </w:t>
      </w:r>
    </w:p>
    <w:p w14:paraId="186E5281" w14:textId="77777777" w:rsidR="00A3188A" w:rsidRPr="00164238" w:rsidRDefault="00A3188A" w:rsidP="00A3188A">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‘‘Aile, Çalışma ve Sosyal Hizmetler Bakanlığı, Hazine ve Maliye Bakanlığı ve Sanayi ve Teknoloji Bakanlığının eşgüdüm ve koordinasyonunda 16/04/2020 tarih ve 7244 sayılı “Yeni Koronavirüs (Covid-19) Salgınının Ekonomik ve Sosyal Hayata Etkilerinin Azaltılması Hakkında Kanun ile Bazı Kanunlarda Değişiklik Yapılmasına Dair Kanun” ile Teknoparklar ile Ar-Ge ve Tasarım Merkezlerinde yürütülen Ar-Ge ve Tasarım faaliyetlerinin 11/03/2020 tarihinden itibaren olmak üzere toplam 7 aylık bir süre boyunca bu alanlar dışında yapılabilmesine ilişkin altyapı da oluşturularak çalışanların uzaktan sorunsuz olarak çalışabilmelerine olanak sağlanmıştır. 11/10/2020’den itibaren söz konusu uzaktan çalışma uygulaması, bir yıl daha uzatılmış ve böylece uygulamada herhangi bir aksaklık ve gecikme yaşanmasının önüne geçilmiştir.’’ (T.C. Sanayi ve Teknoloji Bakanlığı web sitesi haber duyurusu).</w:t>
      </w:r>
    </w:p>
    <w:p w14:paraId="5B5FE9A4" w14:textId="77777777" w:rsidR="00A3188A" w:rsidRPr="00164238" w:rsidRDefault="00A3188A" w:rsidP="00A3188A">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w:t>
      </w:r>
      <w:r w:rsidRPr="00164238">
        <w:rPr>
          <w:rFonts w:ascii="Times New Roman" w:hAnsi="Times New Roman" w:cs="Times New Roman"/>
          <w:color w:val="000000" w:themeColor="text1"/>
          <w:lang w:eastAsia="tr-TR"/>
        </w:rPr>
        <w:tab/>
        <w:t>Teknoparklarda faaliyette bulunan kuluçka firmaları, ticari işletmelerden ve Ar-Ge faaliyetlerini yürüten firmalardan 2 ay süresince kira alınmama kararı alınmıştır.</w:t>
      </w:r>
    </w:p>
    <w:p w14:paraId="09931D10" w14:textId="77777777" w:rsidR="00A3188A" w:rsidRPr="00164238" w:rsidRDefault="00A3188A" w:rsidP="00A3188A">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‘‘Teknoparklarda yer alan kuluçka firmaları ile buralarda faaliyet gösteren restoran ve kafe gibi ticari işletmelerden 2 ay boyunca kira alınmaması ve yine Teknoparklarda Ar-Ge ve Tasarım faaliyetleri yürüten firmaların için de 2 aylık kira ödemelerinin ertelenmesi, ödeme planlarında kolaylık yapılması sağlanmıştır.’’ (T.C. Sanayi ve Teknoloji Bakanlığı web sitesi haber duyurusu).</w:t>
      </w:r>
    </w:p>
    <w:p w14:paraId="6BCE922D" w14:textId="77777777" w:rsidR="00A3188A" w:rsidRPr="00164238" w:rsidRDefault="00A3188A" w:rsidP="00A3188A">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w:t>
      </w:r>
      <w:r w:rsidRPr="00164238">
        <w:rPr>
          <w:rFonts w:ascii="Times New Roman" w:hAnsi="Times New Roman" w:cs="Times New Roman"/>
          <w:color w:val="000000" w:themeColor="text1"/>
          <w:lang w:eastAsia="tr-TR"/>
        </w:rPr>
        <w:tab/>
        <w:t>TÜBİTAK 1507 kodlu “KOBİ Ar-Ge Başlangıç Destek Programı” uygulama esasları çerçevesinde Covid-19’un teşhis ve tedavisinde kullanılmak amacıyla yapılan Ar-Ge faaliyetleri desteklenecektir.</w:t>
      </w:r>
    </w:p>
    <w:p w14:paraId="6ECABE5B" w14:textId="77777777" w:rsidR="00A3188A" w:rsidRPr="00164238" w:rsidRDefault="00A3188A" w:rsidP="00A3188A">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‘‘Çağrı kapsamında, COVID-19’un teşhis ve tedavisinde kullanılan ürünler, ortam koşullarının iyileştirilmesine yönelik ekipmanlar ile hastalıkların önlenmesinde etkili koruyucu ürünlerin geliştirilmesine sunulacak Ar-Ge projeleri desteklenecektir.’’ (TÜBİTAK haber duyurusu).</w:t>
      </w:r>
    </w:p>
    <w:p w14:paraId="72F5AC8E" w14:textId="77777777" w:rsidR="00A3188A" w:rsidRPr="00164238" w:rsidRDefault="00A3188A" w:rsidP="00A3188A">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w:t>
      </w:r>
      <w:r w:rsidRPr="00164238">
        <w:rPr>
          <w:rFonts w:ascii="Times New Roman" w:hAnsi="Times New Roman" w:cs="Times New Roman"/>
          <w:color w:val="000000" w:themeColor="text1"/>
          <w:lang w:eastAsia="tr-TR"/>
        </w:rPr>
        <w:tab/>
        <w:t>ARDEB, TEYDEB ve BİDEB tarafından yürütülen tüm destek programları için mücbir sebep nedeniyle son gönderim tarihi 3 ay ertelenmiştir.</w:t>
      </w:r>
    </w:p>
    <w:p w14:paraId="55E9BB65" w14:textId="77777777" w:rsidR="00A3188A" w:rsidRPr="00164238" w:rsidRDefault="00A3188A" w:rsidP="00A3188A">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TÜBİTAK tarafından yapılan duyuru kapsamında;</w:t>
      </w:r>
    </w:p>
    <w:p w14:paraId="02C6FC9E" w14:textId="77777777" w:rsidR="00A3188A" w:rsidRPr="00164238" w:rsidRDefault="00A3188A" w:rsidP="00A3188A">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 xml:space="preserve">‘‘Araştırma Destek Programları Başkanlığı (ARDEB), Yenilik Destek Programları Başkanlığı (TEYDEB) ve Bilim İnsanı Destek Programları Başkanlığı (BİDEB) tarafından </w:t>
      </w:r>
      <w:r w:rsidRPr="00164238">
        <w:rPr>
          <w:rFonts w:ascii="Times New Roman" w:hAnsi="Times New Roman" w:cs="Times New Roman"/>
          <w:color w:val="000000" w:themeColor="text1"/>
          <w:lang w:eastAsia="tr-TR"/>
        </w:rPr>
        <w:lastRenderedPageBreak/>
        <w:t>desteklenerek yürürlüğe giren projelerin Gelişme/Sonuç/Dönem Raporlarının son gönderim tarihlerinin, ülkemizde ortaya çıkan COVID-19 salgını nedeniyle alınan tedbirler kapsamında 3 ay ertelendiği belirtilmiştir.’’ (TÜBİTAK haber duyurusu).</w:t>
      </w:r>
    </w:p>
    <w:p w14:paraId="26D5F498" w14:textId="77777777" w:rsidR="00A3188A" w:rsidRPr="00164238" w:rsidRDefault="00A3188A" w:rsidP="00A3188A">
      <w:pPr>
        <w:spacing w:before="120" w:after="120" w:line="276" w:lineRule="auto"/>
        <w:ind w:firstLine="567"/>
        <w:jc w:val="both"/>
        <w:rPr>
          <w:rFonts w:ascii="Times New Roman" w:hAnsi="Times New Roman" w:cs="Times New Roman"/>
          <w:b/>
          <w:color w:val="000000" w:themeColor="text1"/>
          <w:lang w:eastAsia="tr-TR"/>
        </w:rPr>
      </w:pPr>
      <w:r w:rsidRPr="00164238">
        <w:rPr>
          <w:rFonts w:ascii="Times New Roman" w:hAnsi="Times New Roman" w:cs="Times New Roman"/>
          <w:b/>
          <w:color w:val="000000" w:themeColor="text1"/>
          <w:lang w:eastAsia="tr-TR"/>
        </w:rPr>
        <w:t>SONUÇ VE ÖNERİLER</w:t>
      </w:r>
    </w:p>
    <w:p w14:paraId="791531BA" w14:textId="77777777" w:rsidR="00A3188A" w:rsidRPr="00164238" w:rsidRDefault="00A3188A" w:rsidP="00A3188A">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2019 yıl sonu itibariyle Türkiye’de yer alan Teknoloji Geliştirme Bölgelerinde faaliyet gösteren 50.506 firmada 46.108 kişi Ar-Ge personeli, 3.565 destek personeli ve 6.256 kapsam dışı personel olmak üzere 56.689 kişi istihdam edilmektedir. Toplam personel sayısının içinde Ar-Ge personelinin oranı yaklaşık yüzde 81’dir. Bu oran teknoloji geliştirme bölgelerindeki asıl kadroyu Ar-Ge personelinin olduğunu göstermektedir. Dolayısıyla, Ar-Ge’nin ülke ekonomisinin gelişmesinde ve kalkınmasında çok önemli bir faaliyet alanı oluşturduğunu söyleyebiliriz. Dünyada yer alan teknoloji geliştirme bölgelerinde de yine aynı şekilde Ar-Ge faaliyet alanı güçlü ekonomik kalkınma açısından önemlidir. Bundan dolayı firmalarda çalışan Ar-Ge personellerinin vergiden muaf tutularak avantaj sağlanmıştır. Sağlanmış olan bu vergisel avantaj sayesinde de hem firmalar daha fazla personel istihdam edebilecek hem de istihdam ettirdiği personeline de daha fazla maaş verebilecektir.</w:t>
      </w:r>
    </w:p>
    <w:p w14:paraId="3D219A7E" w14:textId="77777777" w:rsidR="00A3188A" w:rsidRPr="00164238" w:rsidRDefault="00A3188A" w:rsidP="00A3188A">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Yapılan araştırma neticesinde ekonomik kalkınmanın ve büyümenin anahtarı olarak teşviklerin kullanılmasının çok önemli olduğu sonucuna varabiliriz. Hükümetlerin politikalarından biri olan mali teşvikler firmaların gelişiminde çok önemli bir unsurdur. Bundan dolayı hükümetler hızlı ve sürdürülebilir bir kalkınma sağlamak için çeşitli avantaj, destek ve teşvik politikaları uygulamaktadır ve bu konuda Türkiye’de de önemli ölçüde adımlar atılmıştır ve başarılı bir trend izlediğini de git gide artan firma sayılarından anlayabiliriz. Girişimcilerin bu bölgelere yaptıkları yatırımlar sayesinde ülke ekonomisine ciddi ölçüde katkı sağlamaktadır. Günümüzde de Ar-Ge merkezlerine sağlanmış olan teşvik ve destekler ekonominin canlanmasında önemli bir adım olmuştur ve günümüzde de önemli bir konuma gelmiştir.</w:t>
      </w:r>
    </w:p>
    <w:p w14:paraId="4D30993B" w14:textId="77777777" w:rsidR="00A3188A" w:rsidRPr="00164238" w:rsidRDefault="00A3188A" w:rsidP="00A3188A">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Covid-19 salgını yayılma durumuna baktığımızda 2021 yılı 6 Nisan ayı itibari ile dünyada 132 milyon vaka ve 2,8 milyon kişinin ölümüne (WHO, 2021), Türkiye’de ise 3,5 milyon vaka ve 32 bin kişinin ölümüne (T.C. Sağlık Bakanlığı, 2021) sebep olmuştur ve vaka sayılarındaki bu artış ekonomik anlamda birçok ülkeyi olumsuz etkilemiştir. Dünya ekonomisi üzerinde ciddi baskılar oluşmasına neden olmuştur.</w:t>
      </w:r>
    </w:p>
    <w:p w14:paraId="5C7354E2" w14:textId="77777777" w:rsidR="00A3188A" w:rsidRPr="00164238" w:rsidRDefault="00A3188A" w:rsidP="00A3188A">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 xml:space="preserve">Covid-19 salgının yaratmış olduğu olumsuzlukları önlemeye yönelik dünya genelinde ekonomiyi dengede tutabilmek için birçok teşvik politikaları uygulamaya konulmuştur. Türkiye’de ise bu kapsamda; faaliyet, teşvik ve destekleri sadece bölgeleri ile sınırlı olmakta olan Ar-Ge ve tasarım merkezlerinde faaliyetlerin kesintiye uğramadan devamlılığı sağlanması, sadece Ar-Ge ve Tasarım Merkezleri ile Teknoloji Geliştirme Bölgelerinde faaliyet gösteren şirketlerde çalışan personele sağlanan Ar-Ge teşvikleri, Covid-19 salgınından dolayı, uzaktan çalışan personelin Ar-Ge teşvik ve desteklerinden faydalanmalarına devam etme hakkı tanınması, Covid-19 salgınından dolayı, teknoparklarda faaliyet gösteren kuluçka firmaları, ticari işletmelerin ve firmaların yükümlü oldukları kira ödemeleri 2 ay süresince alınmama kararı ile bu işletmelere mali anlamda destek sağlanmaya çalışılması, Covid-19 salgınını önlemek ve daha fazla yayılmasını hafifletebilmek için yapılabileceklere ilişkin geliştirilen projeler için destek sağlanması vb. bu kapsamda Sanayi ve Teknoloji Bakanlığı tarafından Covid-19 salgını ile mücadele amacıyla birçok teşvik politikaları yürürlüğe girmiştir. </w:t>
      </w:r>
    </w:p>
    <w:p w14:paraId="4F8C43E2" w14:textId="77777777" w:rsidR="00A3188A" w:rsidRPr="00164238" w:rsidRDefault="00A3188A" w:rsidP="00A3188A">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lastRenderedPageBreak/>
        <w:t xml:space="preserve">Tüm dünyayı etkisi altına alan Covid-19 salgınının ekonomide yol açtığı krizleri en aza indirmek için bütün ülkelerde olduğu gibi Türkiye’de de Covid-19 salgının beraberinde getirdiği ekonomik zorluklardan dolayı hükümet tarafından firmalar için alınan önlemler arasında Ar-Ge teşvikleri de yer almıştır ve uygulanmıştır. Ülkemiz tarafından Covid-19 salgının ekonomide yarattığı negatif dışsallığın en aza indirilmesi için Ar-Ge teşvikleri gibi çalışmaların hayata geçirilmesi hedeflenmektedir ve bu durumun ortaya çıkardığı olumsuzlukların önüne geçilmeye çalışılmaktadır. </w:t>
      </w:r>
    </w:p>
    <w:p w14:paraId="53151083" w14:textId="77777777" w:rsidR="00A3188A" w:rsidRPr="00164238" w:rsidRDefault="00A3188A" w:rsidP="00A3188A">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 xml:space="preserve">Ülkelerin Covid-19 salgınından dolayı yaşanan mali sorunlara hızlı bir şekilde cevap verebilmelerini sağlayacak sürdürülebilir mali destek ve teşvikler oluşturmak dünya ekonomisi açısından büyük önem arz etmektedir. Bu noktada uygulamaya geçilebilecek en önemli teşviklerden birini de Ar-Ge teşvikleri oluşturmaktadır. Ülkemizde de Ar-Ge faaliyetleri için alınan tedbirlerin yanında Covid-19 salgın krizine yönelik daha fazla teşvik politikaları yürürlüğe girmesi gerekmektedir. </w:t>
      </w:r>
    </w:p>
    <w:p w14:paraId="6A276281" w14:textId="77777777" w:rsidR="00A3188A" w:rsidRPr="00164238" w:rsidRDefault="00A3188A" w:rsidP="00A3188A">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 xml:space="preserve">Covid-19 salgınını önlemek ve daha fazla yayılmasını azaltmak için teşhis, aşı ve koruyucu ilaç çalışmalarını hızlandıracak Ar-Ge faaliyetleri etkinleştirilmeli ve bu faaliyetleri finanse edecek teşvik ve destekler artırılmalıdır. Ayrıca teşhis, aşı ve koruyucu ilaç çalışmaları için Ar-Ge faaliyetlerine sağlanacak teşvik ve desteklerin yanında bu salgından dolayı etkilenenlerinde bakımını kolaylaştıracak yenilikçi araştırmaları teşvik edecek politikalar da geliştirilerek araştırma öncelikleri desteklenmelidir. </w:t>
      </w:r>
    </w:p>
    <w:p w14:paraId="03FAE4CE" w14:textId="77777777" w:rsidR="00A3188A" w:rsidRPr="00164238" w:rsidRDefault="00A3188A" w:rsidP="00A3188A">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Vergisel teşvik ve destek politikaları ile teknoloji geliştirme bölgelerinde faaliyet gösteren firmalara Covid-19 salgınından dolayı yaşamış oldukları mali zorluklar nedeniyle vergi teşvik türleri artırılabilir. Böylece bu firmalara finansal ödemeleri dolayısıyla üzerlerinde oluşan mali baskılara vergi teşvik ve desteklerinin artırılması yolu ile mali destek sağlanması amaçlanabilir. Çünkü ülkemizde Ar-Ge faaliyetlerinin uygulanması için özel sektöre verilen kamu destekleri arasında yer alan vergi teşvik türlerinin birçoğu yer almamaktadır.</w:t>
      </w:r>
    </w:p>
    <w:p w14:paraId="4B286291" w14:textId="77777777" w:rsidR="00A3188A" w:rsidRPr="00164238" w:rsidRDefault="00A3188A" w:rsidP="00A3188A">
      <w:pPr>
        <w:spacing w:before="120" w:after="120" w:line="276" w:lineRule="auto"/>
        <w:ind w:firstLine="567"/>
        <w:jc w:val="both"/>
        <w:rPr>
          <w:rFonts w:ascii="Times New Roman" w:hAnsi="Times New Roman" w:cs="Times New Roman"/>
          <w:color w:val="000000" w:themeColor="text1"/>
          <w:lang w:eastAsia="tr-TR"/>
        </w:rPr>
      </w:pPr>
      <w:r w:rsidRPr="00164238">
        <w:rPr>
          <w:rFonts w:ascii="Times New Roman" w:hAnsi="Times New Roman" w:cs="Times New Roman"/>
          <w:color w:val="000000" w:themeColor="text1"/>
          <w:lang w:eastAsia="tr-TR"/>
        </w:rPr>
        <w:t>Ar-Ge faaliyetlerinin önemi Covid-19 salgınında daha iyi anlaşılmıştır ve bu faaliyetlerin artırılması sadece salgın döneminde değil, olası öngörülemeyen salgın durumlarına karşı hazırlıklı olabilmek için de yapılabilecek Ar-Ge çalışmaları da desteklenmelidir.</w:t>
      </w:r>
    </w:p>
    <w:p w14:paraId="675A2333" w14:textId="77777777" w:rsidR="00A3188A" w:rsidRPr="00164238" w:rsidRDefault="00A3188A" w:rsidP="00A3188A">
      <w:pPr>
        <w:spacing w:before="120" w:after="120" w:line="276" w:lineRule="auto"/>
        <w:ind w:firstLine="567"/>
        <w:jc w:val="both"/>
        <w:rPr>
          <w:rFonts w:ascii="Times New Roman" w:hAnsi="Times New Roman" w:cs="Times New Roman"/>
          <w:color w:val="000000" w:themeColor="text1"/>
          <w:lang w:eastAsia="tr-TR"/>
        </w:rPr>
      </w:pPr>
    </w:p>
    <w:p w14:paraId="33232EBB" w14:textId="176F28A8" w:rsidR="006A4DC2" w:rsidRPr="00164238" w:rsidRDefault="00C95516" w:rsidP="006A4DC2">
      <w:pPr>
        <w:spacing w:line="276" w:lineRule="auto"/>
        <w:ind w:firstLine="567"/>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Kaynakça</w:t>
      </w:r>
    </w:p>
    <w:p w14:paraId="4871BAD8" w14:textId="77777777" w:rsidR="00A3188A" w:rsidRPr="00164238" w:rsidRDefault="00A3188A" w:rsidP="00A3188A">
      <w:pPr>
        <w:autoSpaceDE w:val="0"/>
        <w:autoSpaceDN w:val="0"/>
        <w:adjustRightInd w:val="0"/>
        <w:spacing w:before="120"/>
        <w:ind w:left="567" w:hanging="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4691 Sayılı Teknoloji Geliştirme Bölgeleri Kanunu.</w:t>
      </w:r>
    </w:p>
    <w:p w14:paraId="4E19D9F8" w14:textId="77777777" w:rsidR="00A3188A" w:rsidRPr="00164238" w:rsidRDefault="00A3188A" w:rsidP="00A3188A">
      <w:pPr>
        <w:autoSpaceDE w:val="0"/>
        <w:autoSpaceDN w:val="0"/>
        <w:adjustRightInd w:val="0"/>
        <w:spacing w:before="120"/>
        <w:ind w:left="567" w:hanging="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5746 Sayılı Araştırma ve Geliştirme Faaliyetlerinin Desteklenmesi Hakkında Kanun.</w:t>
      </w:r>
    </w:p>
    <w:p w14:paraId="50CBCF57" w14:textId="77777777" w:rsidR="00A3188A" w:rsidRPr="00164238" w:rsidRDefault="00A3188A" w:rsidP="00A3188A">
      <w:pPr>
        <w:autoSpaceDE w:val="0"/>
        <w:autoSpaceDN w:val="0"/>
        <w:adjustRightInd w:val="0"/>
        <w:spacing w:before="120"/>
        <w:ind w:left="567" w:hanging="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7244 Yeni Koronavirüs (Covıd-19) Salgınının Ekonomik ve Sosyal Hayata Etkilerinin Azaltılması Hakkında Kanun İle Bazı Kanunlarda Değişiklik Yapılmasına Dair Kanun.</w:t>
      </w:r>
    </w:p>
    <w:p w14:paraId="35DE2B0D" w14:textId="77777777" w:rsidR="00A3188A" w:rsidRPr="00164238" w:rsidRDefault="00A3188A" w:rsidP="00A3188A">
      <w:pPr>
        <w:autoSpaceDE w:val="0"/>
        <w:autoSpaceDN w:val="0"/>
        <w:adjustRightInd w:val="0"/>
        <w:spacing w:before="120"/>
        <w:ind w:left="567" w:hanging="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Bal, B. (2015). </w:t>
      </w:r>
      <w:r w:rsidRPr="00164238">
        <w:rPr>
          <w:rFonts w:ascii="Times New Roman" w:hAnsi="Times New Roman" w:cs="Times New Roman"/>
          <w:bCs/>
          <w:i/>
          <w:color w:val="000000" w:themeColor="text1"/>
        </w:rPr>
        <w:t>Teknoloji Geliştirme Bölgeleri Özelinde Üniversite Spin-Off Şirketlerinin Kuruluşunu Etkileyen Faktörlerin Belirlenmesi: Türkiye Örneği</w:t>
      </w:r>
      <w:r w:rsidRPr="00164238">
        <w:rPr>
          <w:rFonts w:ascii="Times New Roman" w:hAnsi="Times New Roman" w:cs="Times New Roman"/>
          <w:bCs/>
          <w:color w:val="000000" w:themeColor="text1"/>
        </w:rPr>
        <w:t>, Karadeniz Teknik Üniversitesi Sosyal Bilimler Enstitüsü Yüksek Lisans Tezi.</w:t>
      </w:r>
    </w:p>
    <w:p w14:paraId="27266186" w14:textId="77777777" w:rsidR="00A3188A" w:rsidRPr="00164238" w:rsidRDefault="00A3188A" w:rsidP="00A3188A">
      <w:pPr>
        <w:autoSpaceDE w:val="0"/>
        <w:autoSpaceDN w:val="0"/>
        <w:adjustRightInd w:val="0"/>
        <w:spacing w:before="120"/>
        <w:ind w:left="567" w:hanging="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Cohen, W.M. &amp; Levinthal, D.A. (1989). Innovation and Learning: The Two Faces of R&amp;D</w:t>
      </w:r>
      <w:r w:rsidRPr="00164238">
        <w:rPr>
          <w:rFonts w:ascii="Times New Roman" w:hAnsi="Times New Roman" w:cs="Times New Roman"/>
          <w:bCs/>
          <w:i/>
          <w:color w:val="000000" w:themeColor="text1"/>
        </w:rPr>
        <w:t>, The Economic Journal</w:t>
      </w:r>
      <w:r w:rsidRPr="00164238">
        <w:rPr>
          <w:rFonts w:ascii="Times New Roman" w:hAnsi="Times New Roman" w:cs="Times New Roman"/>
          <w:bCs/>
          <w:color w:val="000000" w:themeColor="text1"/>
        </w:rPr>
        <w:t>, 99(397), 569-596.</w:t>
      </w:r>
    </w:p>
    <w:p w14:paraId="06781651" w14:textId="77777777" w:rsidR="00A3188A" w:rsidRPr="00164238" w:rsidRDefault="00A3188A" w:rsidP="00A3188A">
      <w:pPr>
        <w:autoSpaceDE w:val="0"/>
        <w:autoSpaceDN w:val="0"/>
        <w:adjustRightInd w:val="0"/>
        <w:spacing w:before="120"/>
        <w:ind w:left="567" w:hanging="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lastRenderedPageBreak/>
        <w:t xml:space="preserve">Demirli, Y. (2014). Türkiye’de Teknoparklara Yönelik Teşvikler ve Teknoparkların Bilim ve Teknoloji Kapasitesinin Gelişime Katkısı, </w:t>
      </w:r>
      <w:r w:rsidRPr="00164238">
        <w:rPr>
          <w:rFonts w:ascii="Times New Roman" w:hAnsi="Times New Roman" w:cs="Times New Roman"/>
          <w:bCs/>
          <w:i/>
          <w:color w:val="000000" w:themeColor="text1"/>
        </w:rPr>
        <w:t>Maliye Dergisi</w:t>
      </w:r>
      <w:r w:rsidRPr="00164238">
        <w:rPr>
          <w:rFonts w:ascii="Times New Roman" w:hAnsi="Times New Roman" w:cs="Times New Roman"/>
          <w:bCs/>
          <w:color w:val="000000" w:themeColor="text1"/>
        </w:rPr>
        <w:t>, Sayı 166.</w:t>
      </w:r>
    </w:p>
    <w:p w14:paraId="47FCE396" w14:textId="77777777" w:rsidR="00A3188A" w:rsidRPr="00164238" w:rsidRDefault="00A3188A" w:rsidP="00A3188A">
      <w:pPr>
        <w:autoSpaceDE w:val="0"/>
        <w:autoSpaceDN w:val="0"/>
        <w:adjustRightInd w:val="0"/>
        <w:spacing w:before="120"/>
        <w:ind w:left="567" w:hanging="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Elschner, C. &amp; Ernst, C. (2008). </w:t>
      </w:r>
      <w:r w:rsidRPr="00164238">
        <w:rPr>
          <w:rFonts w:ascii="Times New Roman" w:hAnsi="Times New Roman" w:cs="Times New Roman"/>
          <w:bCs/>
          <w:i/>
          <w:color w:val="000000" w:themeColor="text1"/>
        </w:rPr>
        <w:t>The Impact of R&amp;D Tax Incentives on R&amp;D Costs and Income Tax Burden</w:t>
      </w:r>
      <w:r w:rsidRPr="00164238">
        <w:rPr>
          <w:rFonts w:ascii="Times New Roman" w:hAnsi="Times New Roman" w:cs="Times New Roman"/>
          <w:bCs/>
          <w:color w:val="000000" w:themeColor="text1"/>
        </w:rPr>
        <w:t>, ZEW (Leibniz Centre for European Economic Research) Discussion Papers, No. 08-124.</w:t>
      </w:r>
    </w:p>
    <w:p w14:paraId="4BB3DA3E" w14:textId="77777777" w:rsidR="00A3188A" w:rsidRPr="00164238" w:rsidRDefault="00A3188A" w:rsidP="00A3188A">
      <w:pPr>
        <w:autoSpaceDE w:val="0"/>
        <w:autoSpaceDN w:val="0"/>
        <w:adjustRightInd w:val="0"/>
        <w:spacing w:before="120"/>
        <w:ind w:left="567" w:hanging="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Eser, E. (2011). </w:t>
      </w:r>
      <w:r w:rsidRPr="00164238">
        <w:rPr>
          <w:rFonts w:ascii="Times New Roman" w:hAnsi="Times New Roman" w:cs="Times New Roman"/>
          <w:bCs/>
          <w:i/>
          <w:color w:val="000000" w:themeColor="text1"/>
        </w:rPr>
        <w:t>Türkiye’de Uygulanan Yatırım Teşvik Sistemleri ve Mevcut Sistemin Yapısına Yönelik Öneriler</w:t>
      </w:r>
      <w:r w:rsidRPr="00164238">
        <w:rPr>
          <w:rFonts w:ascii="Times New Roman" w:hAnsi="Times New Roman" w:cs="Times New Roman"/>
          <w:bCs/>
          <w:color w:val="000000" w:themeColor="text1"/>
        </w:rPr>
        <w:t>, Uzmanlık Tezi, Devlet Planlama Teşkilatı Müsteşarlığı.</w:t>
      </w:r>
    </w:p>
    <w:p w14:paraId="4DC853D0" w14:textId="77777777" w:rsidR="00A3188A" w:rsidRPr="00164238" w:rsidRDefault="00A3188A" w:rsidP="00A3188A">
      <w:pPr>
        <w:autoSpaceDE w:val="0"/>
        <w:autoSpaceDN w:val="0"/>
        <w:adjustRightInd w:val="0"/>
        <w:spacing w:before="120"/>
        <w:ind w:left="567" w:hanging="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Gümüş, M., Yükseloğlu, S. &amp; Korhan Binark, A. (2013). Ülkemizde Teknoparkların Gelişimi ve Mühendislik Eğitimindeki Rolleri, </w:t>
      </w:r>
      <w:r w:rsidRPr="00164238">
        <w:rPr>
          <w:rFonts w:ascii="Times New Roman" w:hAnsi="Times New Roman" w:cs="Times New Roman"/>
          <w:bCs/>
          <w:i/>
          <w:color w:val="000000" w:themeColor="text1"/>
        </w:rPr>
        <w:t>Süleyman Demirel Üniversitesi Fen Bilimleri Enstitüsü Dergisi</w:t>
      </w:r>
      <w:r w:rsidRPr="00164238">
        <w:rPr>
          <w:rFonts w:ascii="Times New Roman" w:hAnsi="Times New Roman" w:cs="Times New Roman"/>
          <w:bCs/>
          <w:color w:val="000000" w:themeColor="text1"/>
        </w:rPr>
        <w:t>, 17(1), Özel Sayı, 24-31.</w:t>
      </w:r>
    </w:p>
    <w:p w14:paraId="194443DB" w14:textId="77777777" w:rsidR="00A3188A" w:rsidRPr="00164238" w:rsidRDefault="00A3188A" w:rsidP="00A3188A">
      <w:pPr>
        <w:autoSpaceDE w:val="0"/>
        <w:autoSpaceDN w:val="0"/>
        <w:adjustRightInd w:val="0"/>
        <w:spacing w:before="120"/>
        <w:ind w:left="567" w:hanging="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International Association of Science Park (IASP). (2018). </w:t>
      </w:r>
      <w:hyperlink r:id="rId280" w:history="1">
        <w:r w:rsidRPr="00164238">
          <w:rPr>
            <w:rStyle w:val="Kpr"/>
            <w:rFonts w:ascii="Times New Roman" w:hAnsi="Times New Roman" w:cs="Times New Roman"/>
            <w:bCs/>
            <w:color w:val="000000" w:themeColor="text1"/>
          </w:rPr>
          <w:t>https://www.iasp.ws/activities/news/calling-for-new-data-on-the-global-science-park-industry</w:t>
        </w:r>
      </w:hyperlink>
      <w:r w:rsidRPr="00164238">
        <w:rPr>
          <w:rFonts w:ascii="Times New Roman" w:hAnsi="Times New Roman" w:cs="Times New Roman"/>
          <w:bCs/>
          <w:color w:val="000000" w:themeColor="text1"/>
        </w:rPr>
        <w:t>. (Erişim tarihi: 25.03.2021).</w:t>
      </w:r>
    </w:p>
    <w:p w14:paraId="6AEBF49C" w14:textId="77777777" w:rsidR="00A3188A" w:rsidRPr="00164238" w:rsidRDefault="00A3188A" w:rsidP="00A3188A">
      <w:pPr>
        <w:autoSpaceDE w:val="0"/>
        <w:autoSpaceDN w:val="0"/>
        <w:adjustRightInd w:val="0"/>
        <w:spacing w:before="120"/>
        <w:ind w:left="567" w:hanging="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Kalça, A., Dindaroğlu, Y. &amp; Bal, B. (2017). Teknoloji Geliştirme Bölgeleri Özelinde Akademik Filiz İşletmelerin Kuruluşunu Etkileyen Faktörlerin Belirlenmesi: Türkiye Örneği, </w:t>
      </w:r>
      <w:r w:rsidRPr="00164238">
        <w:rPr>
          <w:rFonts w:ascii="Times New Roman" w:hAnsi="Times New Roman" w:cs="Times New Roman"/>
          <w:bCs/>
          <w:i/>
          <w:color w:val="000000" w:themeColor="text1"/>
        </w:rPr>
        <w:t>Karadeniz Teknik Üniversitesi Sosyal Bilimler Enstitüsü Sosyal Bilimler Dergisi</w:t>
      </w:r>
      <w:r w:rsidRPr="00164238">
        <w:rPr>
          <w:rFonts w:ascii="Times New Roman" w:hAnsi="Times New Roman" w:cs="Times New Roman"/>
          <w:bCs/>
          <w:color w:val="000000" w:themeColor="text1"/>
        </w:rPr>
        <w:t>, Yıl:7 Sayı: 14, 485-500.</w:t>
      </w:r>
    </w:p>
    <w:p w14:paraId="7913EC85" w14:textId="77777777" w:rsidR="00A3188A" w:rsidRPr="00164238" w:rsidRDefault="00A3188A" w:rsidP="00A3188A">
      <w:pPr>
        <w:autoSpaceDE w:val="0"/>
        <w:autoSpaceDN w:val="0"/>
        <w:adjustRightInd w:val="0"/>
        <w:spacing w:before="120"/>
        <w:ind w:left="567" w:hanging="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OECD Frascati Klavuzu (2002). </w:t>
      </w:r>
      <w:r w:rsidRPr="00164238">
        <w:rPr>
          <w:rFonts w:ascii="Times New Roman" w:hAnsi="Times New Roman" w:cs="Times New Roman"/>
          <w:bCs/>
          <w:i/>
          <w:color w:val="000000" w:themeColor="text1"/>
        </w:rPr>
        <w:t>Bilimsel ve Teknik Faaliyetlerin Ölçümü Araştırma ve Deneysel Geliştirme Aramaları İçin Önerilen Standart Uygulama</w:t>
      </w:r>
      <w:r w:rsidRPr="00164238">
        <w:rPr>
          <w:rFonts w:ascii="Times New Roman" w:hAnsi="Times New Roman" w:cs="Times New Roman"/>
          <w:bCs/>
          <w:color w:val="000000" w:themeColor="text1"/>
        </w:rPr>
        <w:t>, Paris.</w:t>
      </w:r>
    </w:p>
    <w:p w14:paraId="0C65A13B" w14:textId="77777777" w:rsidR="00A3188A" w:rsidRPr="00164238" w:rsidRDefault="00A3188A" w:rsidP="00A3188A">
      <w:pPr>
        <w:autoSpaceDE w:val="0"/>
        <w:autoSpaceDN w:val="0"/>
        <w:adjustRightInd w:val="0"/>
        <w:spacing w:before="120"/>
        <w:ind w:left="567" w:hanging="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OECD (2019). </w:t>
      </w:r>
      <w:r w:rsidRPr="00164238">
        <w:rPr>
          <w:rFonts w:ascii="Times New Roman" w:hAnsi="Times New Roman" w:cs="Times New Roman"/>
          <w:bCs/>
          <w:i/>
          <w:color w:val="000000" w:themeColor="text1"/>
        </w:rPr>
        <w:t>Measurıng R&amp;D Tax Support: Fındıngs From The New Oecd R&amp;D Tax Incentıves Database,</w:t>
      </w:r>
      <w:r w:rsidRPr="00164238">
        <w:rPr>
          <w:rFonts w:ascii="Times New Roman" w:hAnsi="Times New Roman" w:cs="Times New Roman"/>
          <w:bCs/>
          <w:color w:val="000000" w:themeColor="text1"/>
        </w:rPr>
        <w:t xml:space="preserve"> OECD Science, Technology and Industry Working Papers, </w:t>
      </w:r>
    </w:p>
    <w:p w14:paraId="31E7121A" w14:textId="77777777" w:rsidR="00A3188A" w:rsidRPr="00164238" w:rsidRDefault="00A3188A" w:rsidP="00A3188A">
      <w:pPr>
        <w:autoSpaceDE w:val="0"/>
        <w:autoSpaceDN w:val="0"/>
        <w:adjustRightInd w:val="0"/>
        <w:spacing w:before="120"/>
        <w:ind w:left="567" w:hanging="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OECD (2020). </w:t>
      </w:r>
      <w:r w:rsidRPr="00164238">
        <w:rPr>
          <w:rFonts w:ascii="Times New Roman" w:hAnsi="Times New Roman" w:cs="Times New Roman"/>
          <w:bCs/>
          <w:i/>
          <w:color w:val="000000" w:themeColor="text1"/>
        </w:rPr>
        <w:t>Complete Database Of Major Science And Technology Indicators</w:t>
      </w:r>
      <w:r w:rsidRPr="00164238">
        <w:rPr>
          <w:rFonts w:ascii="Times New Roman" w:hAnsi="Times New Roman" w:cs="Times New Roman"/>
          <w:bCs/>
          <w:color w:val="000000" w:themeColor="text1"/>
        </w:rPr>
        <w:t xml:space="preserve">, </w:t>
      </w:r>
      <w:hyperlink r:id="rId281" w:history="1">
        <w:r w:rsidRPr="00164238">
          <w:rPr>
            <w:rStyle w:val="Kpr"/>
            <w:rFonts w:ascii="Times New Roman" w:hAnsi="Times New Roman" w:cs="Times New Roman"/>
            <w:bCs/>
            <w:color w:val="000000" w:themeColor="text1"/>
          </w:rPr>
          <w:t>https://www.oecd.org/sti/msti.htm</w:t>
        </w:r>
      </w:hyperlink>
      <w:r w:rsidRPr="00164238">
        <w:rPr>
          <w:rFonts w:ascii="Times New Roman" w:hAnsi="Times New Roman" w:cs="Times New Roman"/>
          <w:bCs/>
          <w:color w:val="000000" w:themeColor="text1"/>
        </w:rPr>
        <w:t>. (Erişim tarihi: 25.03.2021).</w:t>
      </w:r>
    </w:p>
    <w:p w14:paraId="08AE35BB" w14:textId="77777777" w:rsidR="00A3188A" w:rsidRPr="00164238" w:rsidRDefault="00A3188A" w:rsidP="00A3188A">
      <w:pPr>
        <w:autoSpaceDE w:val="0"/>
        <w:autoSpaceDN w:val="0"/>
        <w:adjustRightInd w:val="0"/>
        <w:spacing w:before="120"/>
        <w:ind w:left="567" w:hanging="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Sylwester, K. (2001). R&amp;D and Economic Growth, Knowledge, </w:t>
      </w:r>
      <w:r w:rsidRPr="00164238">
        <w:rPr>
          <w:rFonts w:ascii="Times New Roman" w:hAnsi="Times New Roman" w:cs="Times New Roman"/>
          <w:bCs/>
          <w:i/>
          <w:color w:val="000000" w:themeColor="text1"/>
        </w:rPr>
        <w:t>Technology and Winter</w:t>
      </w:r>
      <w:r w:rsidRPr="00164238">
        <w:rPr>
          <w:rFonts w:ascii="Times New Roman" w:hAnsi="Times New Roman" w:cs="Times New Roman"/>
          <w:bCs/>
          <w:color w:val="000000" w:themeColor="text1"/>
        </w:rPr>
        <w:t>, 13(4), 71-84.</w:t>
      </w:r>
    </w:p>
    <w:p w14:paraId="1E5008F3" w14:textId="77777777" w:rsidR="00A3188A" w:rsidRPr="00164238" w:rsidRDefault="00A3188A" w:rsidP="00A3188A">
      <w:pPr>
        <w:autoSpaceDE w:val="0"/>
        <w:autoSpaceDN w:val="0"/>
        <w:adjustRightInd w:val="0"/>
        <w:spacing w:before="120"/>
        <w:ind w:left="567" w:hanging="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Taymaz, E. (2001). </w:t>
      </w:r>
      <w:r w:rsidRPr="00164238">
        <w:rPr>
          <w:rFonts w:ascii="Times New Roman" w:hAnsi="Times New Roman" w:cs="Times New Roman"/>
          <w:bCs/>
          <w:i/>
          <w:color w:val="000000" w:themeColor="text1"/>
        </w:rPr>
        <w:t>Ulusal Yenilik Sistemi Türkiye İmalat Sanayiinde Teknolojik Değişim ve Yenilik Süreçleri</w:t>
      </w:r>
      <w:r w:rsidRPr="00164238">
        <w:rPr>
          <w:rFonts w:ascii="Times New Roman" w:hAnsi="Times New Roman" w:cs="Times New Roman"/>
          <w:bCs/>
          <w:color w:val="000000" w:themeColor="text1"/>
        </w:rPr>
        <w:t>, Ankara, TÜBİTAK / TTGV / DİE.</w:t>
      </w:r>
    </w:p>
    <w:p w14:paraId="7F7406B9" w14:textId="77777777" w:rsidR="00A3188A" w:rsidRPr="00164238" w:rsidRDefault="00A3188A" w:rsidP="00A3188A">
      <w:pPr>
        <w:autoSpaceDE w:val="0"/>
        <w:autoSpaceDN w:val="0"/>
        <w:adjustRightInd w:val="0"/>
        <w:spacing w:before="120"/>
        <w:ind w:left="567" w:hanging="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T.C. Sağlık Bakanlığı (2021). </w:t>
      </w:r>
      <w:hyperlink r:id="rId282" w:history="1">
        <w:r w:rsidRPr="00164238">
          <w:rPr>
            <w:rStyle w:val="Kpr"/>
            <w:rFonts w:ascii="Times New Roman" w:hAnsi="Times New Roman" w:cs="Times New Roman"/>
            <w:bCs/>
            <w:color w:val="000000" w:themeColor="text1"/>
          </w:rPr>
          <w:t>https://covid19.saglik.gov.tr/TR-66935/genel-koronavirus-tablosu.html</w:t>
        </w:r>
      </w:hyperlink>
      <w:r w:rsidRPr="00164238">
        <w:rPr>
          <w:rFonts w:ascii="Times New Roman" w:hAnsi="Times New Roman" w:cs="Times New Roman"/>
          <w:bCs/>
          <w:color w:val="000000" w:themeColor="text1"/>
        </w:rPr>
        <w:t xml:space="preserve"> (Eişim tarihi: 06.04.2021).</w:t>
      </w:r>
    </w:p>
    <w:p w14:paraId="2132ED1B" w14:textId="77777777" w:rsidR="00A3188A" w:rsidRPr="00164238" w:rsidRDefault="00A3188A" w:rsidP="00A3188A">
      <w:pPr>
        <w:autoSpaceDE w:val="0"/>
        <w:autoSpaceDN w:val="0"/>
        <w:adjustRightInd w:val="0"/>
        <w:spacing w:before="120"/>
        <w:ind w:left="567" w:hanging="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Teknoloji Geliştirme Bölgeleri Uygulama Yönetmeliği.</w:t>
      </w:r>
    </w:p>
    <w:p w14:paraId="39BEEF10" w14:textId="77777777" w:rsidR="00A3188A" w:rsidRPr="00164238" w:rsidRDefault="00A3188A" w:rsidP="00A3188A">
      <w:pPr>
        <w:autoSpaceDE w:val="0"/>
        <w:autoSpaceDN w:val="0"/>
        <w:adjustRightInd w:val="0"/>
        <w:spacing w:before="120"/>
        <w:ind w:left="567" w:hanging="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Teknoloji Geliştirme Bölgeleri Derneği, </w:t>
      </w:r>
      <w:hyperlink r:id="rId283" w:history="1">
        <w:r w:rsidRPr="00164238">
          <w:rPr>
            <w:rStyle w:val="Kpr"/>
            <w:rFonts w:ascii="Times New Roman" w:hAnsi="Times New Roman" w:cs="Times New Roman"/>
            <w:bCs/>
            <w:color w:val="000000" w:themeColor="text1"/>
          </w:rPr>
          <w:t>http://www.tgbd.org.tr/WebContent/WebContent/4710</w:t>
        </w:r>
      </w:hyperlink>
      <w:r w:rsidRPr="00164238">
        <w:rPr>
          <w:rFonts w:ascii="Times New Roman" w:hAnsi="Times New Roman" w:cs="Times New Roman"/>
          <w:bCs/>
          <w:color w:val="000000" w:themeColor="text1"/>
        </w:rPr>
        <w:t>. (Erişim tarihi: 25.03.2021).</w:t>
      </w:r>
    </w:p>
    <w:p w14:paraId="6CE612E0" w14:textId="77777777" w:rsidR="00A3188A" w:rsidRPr="00164238" w:rsidRDefault="00A3188A" w:rsidP="00A3188A">
      <w:pPr>
        <w:autoSpaceDE w:val="0"/>
        <w:autoSpaceDN w:val="0"/>
        <w:adjustRightInd w:val="0"/>
        <w:spacing w:before="120"/>
        <w:ind w:left="567" w:hanging="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TGB Kılavuzu (2020). Teknoloji Geliştirme Bölgeleri Derneği (TGBD).</w:t>
      </w:r>
    </w:p>
    <w:p w14:paraId="516F01F3" w14:textId="77777777" w:rsidR="00A3188A" w:rsidRPr="00164238" w:rsidRDefault="00A3188A" w:rsidP="00A3188A">
      <w:pPr>
        <w:autoSpaceDE w:val="0"/>
        <w:autoSpaceDN w:val="0"/>
        <w:adjustRightInd w:val="0"/>
        <w:spacing w:before="120"/>
        <w:ind w:left="567" w:hanging="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TÜBİTAK (2020). Haber Duyurusu.</w:t>
      </w:r>
    </w:p>
    <w:p w14:paraId="2AAABABE" w14:textId="77777777" w:rsidR="00A3188A" w:rsidRPr="00164238" w:rsidRDefault="00A3188A" w:rsidP="00A3188A">
      <w:pPr>
        <w:autoSpaceDE w:val="0"/>
        <w:autoSpaceDN w:val="0"/>
        <w:adjustRightInd w:val="0"/>
        <w:spacing w:before="120"/>
        <w:ind w:left="567" w:hanging="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URL 1: </w:t>
      </w:r>
    </w:p>
    <w:p w14:paraId="72CAE157" w14:textId="77777777" w:rsidR="00A3188A" w:rsidRPr="00164238" w:rsidRDefault="00E839E1" w:rsidP="00A3188A">
      <w:pPr>
        <w:autoSpaceDE w:val="0"/>
        <w:autoSpaceDN w:val="0"/>
        <w:adjustRightInd w:val="0"/>
        <w:spacing w:before="120"/>
        <w:ind w:left="567"/>
        <w:jc w:val="both"/>
        <w:rPr>
          <w:rFonts w:ascii="Times New Roman" w:hAnsi="Times New Roman" w:cs="Times New Roman"/>
          <w:bCs/>
          <w:color w:val="000000" w:themeColor="text1"/>
        </w:rPr>
      </w:pPr>
      <w:hyperlink r:id="rId284" w:history="1">
        <w:r w:rsidR="00A3188A" w:rsidRPr="00164238">
          <w:rPr>
            <w:rStyle w:val="Kpr"/>
            <w:rFonts w:ascii="Times New Roman" w:hAnsi="Times New Roman" w:cs="Times New Roman"/>
            <w:bCs/>
            <w:color w:val="000000" w:themeColor="text1"/>
          </w:rPr>
          <w:t>http://www.istanbulproje.net/Hizmetler/11/ar-ge-merkezi-kurulmasi-ve-finansal-raporlama?gclid=EAIaIQobChMIso7Kw_KY7wIVfAIGAB0ilwWuEAAYASAAEgLLZ_D_BwE</w:t>
        </w:r>
      </w:hyperlink>
      <w:r w:rsidR="00A3188A" w:rsidRPr="00164238">
        <w:rPr>
          <w:rFonts w:ascii="Times New Roman" w:hAnsi="Times New Roman" w:cs="Times New Roman"/>
          <w:bCs/>
          <w:color w:val="000000" w:themeColor="text1"/>
        </w:rPr>
        <w:t>. (Erişim tarihi: 25.03.2021).</w:t>
      </w:r>
    </w:p>
    <w:p w14:paraId="6C33AA08" w14:textId="77777777" w:rsidR="00A3188A" w:rsidRPr="00164238" w:rsidRDefault="00A3188A" w:rsidP="00A3188A">
      <w:pPr>
        <w:autoSpaceDE w:val="0"/>
        <w:autoSpaceDN w:val="0"/>
        <w:adjustRightInd w:val="0"/>
        <w:spacing w:before="120"/>
        <w:ind w:left="567" w:hanging="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URL 2:</w:t>
      </w:r>
    </w:p>
    <w:p w14:paraId="150EF69C" w14:textId="77777777" w:rsidR="00A3188A" w:rsidRPr="00164238" w:rsidRDefault="00A3188A" w:rsidP="00A3188A">
      <w:pPr>
        <w:autoSpaceDE w:val="0"/>
        <w:autoSpaceDN w:val="0"/>
        <w:adjustRightInd w:val="0"/>
        <w:spacing w:before="120"/>
        <w:ind w:left="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 T.C. Sanayi ve Teknoloji Bakanlığı, </w:t>
      </w:r>
      <w:hyperlink r:id="rId285" w:history="1">
        <w:r w:rsidRPr="00164238">
          <w:rPr>
            <w:rStyle w:val="Kpr"/>
            <w:rFonts w:ascii="Times New Roman" w:hAnsi="Times New Roman" w:cs="Times New Roman"/>
            <w:bCs/>
            <w:color w:val="000000" w:themeColor="text1"/>
          </w:rPr>
          <w:t>https://btgm.sanayi.gov.tr</w:t>
        </w:r>
      </w:hyperlink>
      <w:r w:rsidRPr="00164238">
        <w:rPr>
          <w:rFonts w:ascii="Times New Roman" w:hAnsi="Times New Roman" w:cs="Times New Roman"/>
          <w:bCs/>
          <w:color w:val="000000" w:themeColor="text1"/>
        </w:rPr>
        <w:t>. (Erişim tarihi: 25.03.2021).</w:t>
      </w:r>
    </w:p>
    <w:p w14:paraId="7A178254" w14:textId="77777777" w:rsidR="00A3188A" w:rsidRPr="00164238" w:rsidRDefault="00A3188A" w:rsidP="00A3188A">
      <w:pPr>
        <w:autoSpaceDE w:val="0"/>
        <w:autoSpaceDN w:val="0"/>
        <w:adjustRightInd w:val="0"/>
        <w:spacing w:before="120"/>
        <w:ind w:left="567" w:hanging="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Uzun Kocamış, T. ve Güngör, A. (2014). Türkiye’de Ar-Ge Harcamaları ve Teknoloji Sektöründe Ar-Ge Giderlerinin Kârlılık Üzerine Etkisi: Borsa İstanbul Uygulaması, </w:t>
      </w:r>
      <w:r w:rsidRPr="00164238">
        <w:rPr>
          <w:rFonts w:ascii="Times New Roman" w:hAnsi="Times New Roman" w:cs="Times New Roman"/>
          <w:bCs/>
          <w:i/>
          <w:color w:val="000000" w:themeColor="text1"/>
        </w:rPr>
        <w:t>Maliye Dergisi</w:t>
      </w:r>
      <w:r w:rsidRPr="00164238">
        <w:rPr>
          <w:rFonts w:ascii="Times New Roman" w:hAnsi="Times New Roman" w:cs="Times New Roman"/>
          <w:bCs/>
          <w:color w:val="000000" w:themeColor="text1"/>
        </w:rPr>
        <w:t xml:space="preserve">, Sayı 166, 127-138. </w:t>
      </w:r>
    </w:p>
    <w:p w14:paraId="72EFD18A" w14:textId="77777777" w:rsidR="00A3188A" w:rsidRPr="00164238" w:rsidRDefault="00A3188A" w:rsidP="00A3188A">
      <w:pPr>
        <w:autoSpaceDE w:val="0"/>
        <w:autoSpaceDN w:val="0"/>
        <w:adjustRightInd w:val="0"/>
        <w:spacing w:before="120"/>
        <w:ind w:left="567" w:hanging="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World Health Organization (WHO – 2021). </w:t>
      </w:r>
      <w:hyperlink r:id="rId286" w:history="1">
        <w:r w:rsidRPr="00164238">
          <w:rPr>
            <w:rStyle w:val="Kpr"/>
            <w:rFonts w:ascii="Times New Roman" w:hAnsi="Times New Roman" w:cs="Times New Roman"/>
            <w:bCs/>
            <w:color w:val="000000" w:themeColor="text1"/>
          </w:rPr>
          <w:t>https://covid19.who.int/</w:t>
        </w:r>
      </w:hyperlink>
      <w:r w:rsidRPr="00164238">
        <w:rPr>
          <w:rFonts w:ascii="Times New Roman" w:hAnsi="Times New Roman" w:cs="Times New Roman"/>
          <w:bCs/>
          <w:color w:val="000000" w:themeColor="text1"/>
        </w:rPr>
        <w:t xml:space="preserve"> (Erişim tarihi: 06.04.2021).</w:t>
      </w:r>
    </w:p>
    <w:p w14:paraId="7546933D" w14:textId="77777777" w:rsidR="00A3188A" w:rsidRPr="00164238" w:rsidRDefault="00A3188A" w:rsidP="00A3188A">
      <w:pPr>
        <w:autoSpaceDE w:val="0"/>
        <w:autoSpaceDN w:val="0"/>
        <w:adjustRightInd w:val="0"/>
        <w:spacing w:before="120"/>
        <w:ind w:left="567" w:hanging="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Yang, C., Huang, C. ve Hou, T.C. (2012). Tax İncentives and R&amp;D Activity: Firm-Level Evidence from Taiwan, </w:t>
      </w:r>
      <w:r w:rsidRPr="00164238">
        <w:rPr>
          <w:rFonts w:ascii="Times New Roman" w:hAnsi="Times New Roman" w:cs="Times New Roman"/>
          <w:bCs/>
          <w:i/>
          <w:color w:val="000000" w:themeColor="text1"/>
        </w:rPr>
        <w:t>Research Policy</w:t>
      </w:r>
      <w:r w:rsidRPr="00164238">
        <w:rPr>
          <w:rFonts w:ascii="Times New Roman" w:hAnsi="Times New Roman" w:cs="Times New Roman"/>
          <w:bCs/>
          <w:color w:val="000000" w:themeColor="text1"/>
        </w:rPr>
        <w:t xml:space="preserve">, 41, 1578– 1588. </w:t>
      </w:r>
    </w:p>
    <w:p w14:paraId="2F8B91F5" w14:textId="77777777" w:rsidR="00A3188A" w:rsidRPr="00164238" w:rsidRDefault="00A3188A" w:rsidP="00A3188A">
      <w:pPr>
        <w:autoSpaceDE w:val="0"/>
        <w:autoSpaceDN w:val="0"/>
        <w:adjustRightInd w:val="0"/>
        <w:spacing w:before="120"/>
        <w:ind w:left="567" w:hanging="567"/>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Zhang, J. ve Guan, J. (2018). The Time-Varying İmpacts of Government İncentives on İnnovation, </w:t>
      </w:r>
      <w:r w:rsidRPr="00164238">
        <w:rPr>
          <w:rFonts w:ascii="Times New Roman" w:hAnsi="Times New Roman" w:cs="Times New Roman"/>
          <w:bCs/>
          <w:i/>
          <w:color w:val="000000" w:themeColor="text1"/>
        </w:rPr>
        <w:t>Technological Forecasting &amp; Social Change</w:t>
      </w:r>
      <w:r w:rsidRPr="00164238">
        <w:rPr>
          <w:rFonts w:ascii="Times New Roman" w:hAnsi="Times New Roman" w:cs="Times New Roman"/>
          <w:bCs/>
          <w:color w:val="000000" w:themeColor="text1"/>
        </w:rPr>
        <w:t>, 135, 132-144.</w:t>
      </w:r>
    </w:p>
    <w:p w14:paraId="2F81AC06" w14:textId="2EFFAB3F" w:rsidR="00FA6C5D" w:rsidRPr="00164238" w:rsidRDefault="00FA6C5D" w:rsidP="00F17FEC">
      <w:pPr>
        <w:spacing w:before="120" w:after="120" w:line="360" w:lineRule="auto"/>
        <w:jc w:val="both"/>
        <w:rPr>
          <w:rFonts w:ascii="Times New Roman" w:hAnsi="Times New Roman" w:cs="Times New Roman"/>
          <w:color w:val="000000" w:themeColor="text1"/>
          <w:sz w:val="20"/>
          <w:szCs w:val="20"/>
        </w:rPr>
      </w:pPr>
    </w:p>
    <w:p w14:paraId="21596947" w14:textId="7E289704" w:rsidR="00A3188A" w:rsidRPr="00164238" w:rsidRDefault="00A3188A" w:rsidP="00F17FEC">
      <w:pPr>
        <w:spacing w:before="120" w:after="120" w:line="360" w:lineRule="auto"/>
        <w:jc w:val="both"/>
        <w:rPr>
          <w:rFonts w:ascii="Times New Roman" w:hAnsi="Times New Roman" w:cs="Times New Roman"/>
          <w:color w:val="000000" w:themeColor="text1"/>
          <w:sz w:val="20"/>
          <w:szCs w:val="20"/>
        </w:rPr>
      </w:pPr>
    </w:p>
    <w:p w14:paraId="76366691" w14:textId="2009BB18" w:rsidR="00A3188A" w:rsidRPr="00164238" w:rsidRDefault="00A3188A" w:rsidP="00F17FEC">
      <w:pPr>
        <w:spacing w:before="120" w:after="120" w:line="360" w:lineRule="auto"/>
        <w:jc w:val="both"/>
        <w:rPr>
          <w:rFonts w:ascii="Times New Roman" w:hAnsi="Times New Roman" w:cs="Times New Roman"/>
          <w:color w:val="000000" w:themeColor="text1"/>
          <w:sz w:val="20"/>
          <w:szCs w:val="20"/>
        </w:rPr>
      </w:pPr>
    </w:p>
    <w:p w14:paraId="305B4948" w14:textId="39172686" w:rsidR="00A3188A" w:rsidRPr="00164238" w:rsidRDefault="00A3188A" w:rsidP="00F17FEC">
      <w:pPr>
        <w:spacing w:before="120" w:after="120" w:line="360" w:lineRule="auto"/>
        <w:jc w:val="both"/>
        <w:rPr>
          <w:rFonts w:ascii="Times New Roman" w:hAnsi="Times New Roman" w:cs="Times New Roman"/>
          <w:color w:val="000000" w:themeColor="text1"/>
          <w:sz w:val="20"/>
          <w:szCs w:val="20"/>
        </w:rPr>
      </w:pPr>
    </w:p>
    <w:p w14:paraId="482DB493" w14:textId="1C7559B3" w:rsidR="00A3188A" w:rsidRPr="00164238" w:rsidRDefault="00A3188A" w:rsidP="00F17FEC">
      <w:pPr>
        <w:spacing w:before="120" w:after="120" w:line="360" w:lineRule="auto"/>
        <w:jc w:val="both"/>
        <w:rPr>
          <w:rFonts w:ascii="Times New Roman" w:hAnsi="Times New Roman" w:cs="Times New Roman"/>
          <w:color w:val="000000" w:themeColor="text1"/>
          <w:sz w:val="20"/>
          <w:szCs w:val="20"/>
        </w:rPr>
      </w:pPr>
    </w:p>
    <w:p w14:paraId="5CFEE9E3" w14:textId="60FCA92D" w:rsidR="00A3188A" w:rsidRDefault="00A3188A" w:rsidP="00F17FEC">
      <w:pPr>
        <w:spacing w:before="120" w:after="120" w:line="360" w:lineRule="auto"/>
        <w:jc w:val="both"/>
        <w:rPr>
          <w:rFonts w:ascii="Times New Roman" w:hAnsi="Times New Roman" w:cs="Times New Roman"/>
          <w:color w:val="000000" w:themeColor="text1"/>
          <w:sz w:val="20"/>
          <w:szCs w:val="20"/>
        </w:rPr>
      </w:pPr>
    </w:p>
    <w:p w14:paraId="57F31FA7" w14:textId="3C1D7445" w:rsidR="00C95516" w:rsidRDefault="00C95516" w:rsidP="00F17FEC">
      <w:pPr>
        <w:spacing w:before="120" w:after="120" w:line="360" w:lineRule="auto"/>
        <w:jc w:val="both"/>
        <w:rPr>
          <w:rFonts w:ascii="Times New Roman" w:hAnsi="Times New Roman" w:cs="Times New Roman"/>
          <w:color w:val="000000" w:themeColor="text1"/>
          <w:sz w:val="20"/>
          <w:szCs w:val="20"/>
        </w:rPr>
      </w:pPr>
    </w:p>
    <w:p w14:paraId="510249D1" w14:textId="1FFE71C8" w:rsidR="00C95516" w:rsidRDefault="00C95516" w:rsidP="00F17FEC">
      <w:pPr>
        <w:spacing w:before="120" w:after="120" w:line="360" w:lineRule="auto"/>
        <w:jc w:val="both"/>
        <w:rPr>
          <w:rFonts w:ascii="Times New Roman" w:hAnsi="Times New Roman" w:cs="Times New Roman"/>
          <w:color w:val="000000" w:themeColor="text1"/>
          <w:sz w:val="20"/>
          <w:szCs w:val="20"/>
        </w:rPr>
      </w:pPr>
    </w:p>
    <w:p w14:paraId="7F5FD9DF" w14:textId="329D1828" w:rsidR="00C95516" w:rsidRDefault="00C95516" w:rsidP="00F17FEC">
      <w:pPr>
        <w:spacing w:before="120" w:after="120" w:line="360" w:lineRule="auto"/>
        <w:jc w:val="both"/>
        <w:rPr>
          <w:rFonts w:ascii="Times New Roman" w:hAnsi="Times New Roman" w:cs="Times New Roman"/>
          <w:color w:val="000000" w:themeColor="text1"/>
          <w:sz w:val="20"/>
          <w:szCs w:val="20"/>
        </w:rPr>
      </w:pPr>
    </w:p>
    <w:p w14:paraId="4FB47BEA" w14:textId="3F2402CA" w:rsidR="00C95516" w:rsidRDefault="00C95516" w:rsidP="00F17FEC">
      <w:pPr>
        <w:spacing w:before="120" w:after="120" w:line="360" w:lineRule="auto"/>
        <w:jc w:val="both"/>
        <w:rPr>
          <w:rFonts w:ascii="Times New Roman" w:hAnsi="Times New Roman" w:cs="Times New Roman"/>
          <w:color w:val="000000" w:themeColor="text1"/>
          <w:sz w:val="20"/>
          <w:szCs w:val="20"/>
        </w:rPr>
      </w:pPr>
    </w:p>
    <w:p w14:paraId="638BC391" w14:textId="77777777" w:rsidR="00C95516" w:rsidRPr="00164238" w:rsidRDefault="00C95516" w:rsidP="00F17FEC">
      <w:pPr>
        <w:spacing w:before="120" w:after="120" w:line="360" w:lineRule="auto"/>
        <w:jc w:val="both"/>
        <w:rPr>
          <w:rFonts w:ascii="Times New Roman" w:hAnsi="Times New Roman" w:cs="Times New Roman"/>
          <w:color w:val="000000" w:themeColor="text1"/>
          <w:sz w:val="20"/>
          <w:szCs w:val="20"/>
        </w:rPr>
      </w:pPr>
    </w:p>
    <w:p w14:paraId="228A5DEE" w14:textId="77777777" w:rsidR="00AC252B" w:rsidRPr="00164238" w:rsidRDefault="00AC252B" w:rsidP="00F17FEC">
      <w:pPr>
        <w:spacing w:before="120" w:after="120" w:line="360" w:lineRule="auto"/>
        <w:jc w:val="both"/>
        <w:rPr>
          <w:rFonts w:ascii="Times New Roman" w:hAnsi="Times New Roman" w:cs="Times New Roman"/>
          <w:color w:val="000000" w:themeColor="text1"/>
          <w:sz w:val="20"/>
          <w:szCs w:val="20"/>
        </w:rPr>
      </w:pPr>
    </w:p>
    <w:p w14:paraId="1ACB6FD4" w14:textId="098DD8C2" w:rsidR="00A844B2" w:rsidRPr="00164238" w:rsidRDefault="00A844B2" w:rsidP="00F17FEC">
      <w:pPr>
        <w:spacing w:before="120" w:after="120" w:line="360" w:lineRule="auto"/>
        <w:jc w:val="both"/>
        <w:rPr>
          <w:rFonts w:ascii="Times New Roman" w:hAnsi="Times New Roman" w:cs="Times New Roman"/>
          <w:color w:val="000000" w:themeColor="text1"/>
          <w:sz w:val="20"/>
          <w:szCs w:val="20"/>
        </w:rPr>
      </w:pPr>
    </w:p>
    <w:p w14:paraId="21C13B8F" w14:textId="0D168F74" w:rsidR="00A844B2" w:rsidRPr="00164238" w:rsidRDefault="00A844B2" w:rsidP="00F17FEC">
      <w:pPr>
        <w:spacing w:before="120" w:after="120" w:line="360" w:lineRule="auto"/>
        <w:jc w:val="both"/>
        <w:rPr>
          <w:rFonts w:ascii="Times New Roman" w:hAnsi="Times New Roman" w:cs="Times New Roman"/>
          <w:color w:val="000000" w:themeColor="text1"/>
          <w:sz w:val="20"/>
          <w:szCs w:val="20"/>
        </w:rPr>
      </w:pPr>
    </w:p>
    <w:p w14:paraId="3AF80B2B" w14:textId="167074D6" w:rsidR="00A844B2" w:rsidRPr="00164238" w:rsidRDefault="00AC252B" w:rsidP="0046321D">
      <w:pPr>
        <w:pStyle w:val="Balk1"/>
        <w:rPr>
          <w:rFonts w:ascii="Times New Roman" w:hAnsi="Times New Roman" w:cs="Times New Roman"/>
          <w:b/>
          <w:bCs/>
          <w:color w:val="000000" w:themeColor="text1"/>
          <w:sz w:val="24"/>
          <w:szCs w:val="24"/>
        </w:rPr>
      </w:pPr>
      <w:bookmarkStart w:id="148" w:name="_Toc72961734"/>
      <w:r w:rsidRPr="00164238">
        <w:rPr>
          <w:rFonts w:ascii="Times New Roman" w:hAnsi="Times New Roman" w:cs="Times New Roman"/>
          <w:b/>
          <w:bCs/>
          <w:color w:val="000000" w:themeColor="text1"/>
          <w:sz w:val="24"/>
          <w:szCs w:val="24"/>
        </w:rPr>
        <w:lastRenderedPageBreak/>
        <w:t>YAPAY ZEKA BAĞLAMINDA COVİD-19: BAŞARILAR VE ZORLUKLAR</w:t>
      </w:r>
      <w:bookmarkEnd w:id="148"/>
    </w:p>
    <w:p w14:paraId="5AC73864" w14:textId="77777777" w:rsidR="0046321D" w:rsidRPr="00164238" w:rsidRDefault="0046321D" w:rsidP="0046321D">
      <w:pPr>
        <w:pStyle w:val="Balk2"/>
        <w:rPr>
          <w:rFonts w:ascii="Times New Roman" w:eastAsia="Arial" w:hAnsi="Times New Roman" w:cs="Times New Roman"/>
          <w:b w:val="0"/>
          <w:i w:val="0"/>
          <w:color w:val="000000" w:themeColor="text1"/>
          <w:sz w:val="20"/>
          <w:szCs w:val="20"/>
        </w:rPr>
      </w:pPr>
      <w:bookmarkStart w:id="149" w:name="_Toc72961735"/>
      <w:r w:rsidRPr="00164238">
        <w:rPr>
          <w:rStyle w:val="Balk2Char"/>
          <w:rFonts w:ascii="Times New Roman" w:hAnsi="Times New Roman" w:cs="Times New Roman"/>
          <w:color w:val="000000" w:themeColor="text1"/>
          <w:sz w:val="20"/>
          <w:szCs w:val="20"/>
        </w:rPr>
        <w:t>Khatira Guliyeva</w:t>
      </w:r>
      <w:r w:rsidRPr="00164238">
        <w:rPr>
          <w:rStyle w:val="Balk2Char"/>
          <w:rFonts w:ascii="Times New Roman" w:hAnsi="Times New Roman" w:cs="Times New Roman"/>
          <w:b/>
          <w:color w:val="000000" w:themeColor="text1"/>
          <w:sz w:val="20"/>
          <w:szCs w:val="20"/>
        </w:rPr>
        <w:t>,</w:t>
      </w:r>
      <w:r w:rsidRPr="00164238">
        <w:rPr>
          <w:rFonts w:ascii="Times New Roman" w:eastAsia="Arial" w:hAnsi="Times New Roman" w:cs="Times New Roman"/>
          <w:b w:val="0"/>
          <w:color w:val="000000" w:themeColor="text1"/>
          <w:sz w:val="20"/>
          <w:szCs w:val="20"/>
        </w:rPr>
        <w:t xml:space="preserve"> Head Of Multiculturalism And The Philosophy Of Tolerance Department, Institute Of Philosophy And Sosiology Of Azerbaijan National Academy of Sciences, AZ1073, Baku, Azerbaijan Republic</w:t>
      </w:r>
      <w:bookmarkEnd w:id="149"/>
    </w:p>
    <w:p w14:paraId="27CB3849" w14:textId="77777777" w:rsidR="0046321D" w:rsidRPr="00164238" w:rsidRDefault="0046321D" w:rsidP="0046321D">
      <w:pPr>
        <w:jc w:val="both"/>
        <w:rPr>
          <w:rFonts w:ascii="Times New Roman" w:hAnsi="Times New Roman" w:cs="Times New Roman"/>
          <w:color w:val="000000" w:themeColor="text1"/>
          <w:sz w:val="20"/>
          <w:szCs w:val="20"/>
        </w:rPr>
      </w:pPr>
      <w:r w:rsidRPr="00164238">
        <w:rPr>
          <w:rFonts w:ascii="Times New Roman" w:eastAsia="Arial" w:hAnsi="Times New Roman" w:cs="Times New Roman"/>
          <w:i/>
          <w:color w:val="000000" w:themeColor="text1"/>
          <w:sz w:val="20"/>
          <w:szCs w:val="20"/>
        </w:rPr>
        <w:t xml:space="preserve">e-mail: </w:t>
      </w:r>
      <w:hyperlink r:id="rId287" w:history="1">
        <w:r w:rsidRPr="00164238">
          <w:rPr>
            <w:rStyle w:val="Kpr"/>
            <w:rFonts w:ascii="Times New Roman" w:hAnsi="Times New Roman" w:cs="Times New Roman"/>
            <w:color w:val="000000" w:themeColor="text1"/>
            <w:sz w:val="20"/>
            <w:szCs w:val="20"/>
            <w:shd w:val="clear" w:color="auto" w:fill="FFFFFF"/>
          </w:rPr>
          <w:t>xatire_6262@mail.ru</w:t>
        </w:r>
      </w:hyperlink>
      <w:r w:rsidRPr="00164238">
        <w:rPr>
          <w:rStyle w:val="Vurgu"/>
          <w:rFonts w:ascii="Times New Roman" w:hAnsi="Times New Roman" w:cs="Times New Roman"/>
          <w:color w:val="000000" w:themeColor="text1"/>
          <w:sz w:val="20"/>
          <w:szCs w:val="20"/>
          <w:shd w:val="clear" w:color="auto" w:fill="FFFFFF"/>
        </w:rPr>
        <w:t xml:space="preserve"> ORCID ID: </w:t>
      </w:r>
      <w:r w:rsidRPr="00164238">
        <w:rPr>
          <w:rFonts w:ascii="Times New Roman" w:hAnsi="Times New Roman" w:cs="Times New Roman"/>
          <w:color w:val="000000" w:themeColor="text1"/>
          <w:sz w:val="20"/>
          <w:szCs w:val="20"/>
          <w:shd w:val="clear" w:color="auto" w:fill="FFFFFF"/>
        </w:rPr>
        <w:t>0000-0002-4889-6569</w:t>
      </w:r>
    </w:p>
    <w:p w14:paraId="273D63AA" w14:textId="229B9BF5" w:rsidR="00A3188A" w:rsidRPr="00164238" w:rsidRDefault="00A3188A" w:rsidP="00A844B2">
      <w:pPr>
        <w:pStyle w:val="Balk1"/>
        <w:spacing w:before="76" w:line="240" w:lineRule="auto"/>
        <w:ind w:right="2366" w:firstLine="300"/>
        <w:jc w:val="center"/>
        <w:rPr>
          <w:rFonts w:ascii="Times New Roman" w:hAnsi="Times New Roman" w:cs="Times New Roman"/>
          <w:color w:val="000000" w:themeColor="text1"/>
          <w:sz w:val="20"/>
          <w:szCs w:val="20"/>
        </w:rPr>
      </w:pPr>
    </w:p>
    <w:p w14:paraId="69E2FF55" w14:textId="70C6A24B" w:rsidR="00A3188A" w:rsidRPr="00164238" w:rsidRDefault="006A4DC2" w:rsidP="00A844B2">
      <w:pPr>
        <w:spacing w:before="90"/>
        <w:ind w:left="100" w:firstLine="200"/>
        <w:jc w:val="both"/>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ÖZET</w:t>
      </w:r>
    </w:p>
    <w:p w14:paraId="446A52E5" w14:textId="77777777" w:rsidR="00A3188A" w:rsidRPr="00164238" w:rsidRDefault="00A3188A" w:rsidP="00A844B2">
      <w:pPr>
        <w:pStyle w:val="GvdeMetni"/>
        <w:spacing w:before="9" w:line="232" w:lineRule="auto"/>
        <w:ind w:right="210" w:firstLine="300"/>
        <w:jc w:val="both"/>
        <w:rPr>
          <w:color w:val="000000" w:themeColor="text1"/>
        </w:rPr>
      </w:pPr>
      <w:r w:rsidRPr="00164238">
        <w:rPr>
          <w:color w:val="000000" w:themeColor="text1"/>
        </w:rPr>
        <w:t>Yapay Zeka Bağlamında Covid-19: Başarılar ve Zorluklar başlıklıyazımızda, günümüzde dünya düşüncesine hakim olan yapay zekanın Covid-19 salgınından kurtulmadaki rolü ve önemini tartışıyoruz.</w:t>
      </w:r>
    </w:p>
    <w:p w14:paraId="3DFAEE10" w14:textId="77777777" w:rsidR="00A3188A" w:rsidRPr="00164238" w:rsidRDefault="00A3188A" w:rsidP="00A844B2">
      <w:pPr>
        <w:pStyle w:val="GvdeMetni"/>
        <w:spacing w:before="4"/>
        <w:ind w:firstLine="300"/>
        <w:jc w:val="both"/>
        <w:rPr>
          <w:color w:val="000000" w:themeColor="text1"/>
        </w:rPr>
      </w:pPr>
      <w:r w:rsidRPr="00164238">
        <w:rPr>
          <w:color w:val="000000" w:themeColor="text1"/>
        </w:rPr>
        <w:t>Küreselleşmenin en önemli bilimsel ve teknik olgusu ve felsefenin yeni ve ciddi konularından biri olan yapay zekanın insan zihni üzerindeki etkisi ve algısıaçıktır.</w:t>
      </w:r>
    </w:p>
    <w:p w14:paraId="5E8BB19B" w14:textId="77777777" w:rsidR="00A3188A" w:rsidRPr="00164238" w:rsidRDefault="00A3188A" w:rsidP="00A844B2">
      <w:pPr>
        <w:pStyle w:val="GvdeMetni"/>
        <w:spacing w:before="16" w:line="223" w:lineRule="auto"/>
        <w:ind w:firstLine="420"/>
        <w:jc w:val="both"/>
        <w:rPr>
          <w:color w:val="000000" w:themeColor="text1"/>
        </w:rPr>
      </w:pPr>
      <w:r w:rsidRPr="00164238">
        <w:rPr>
          <w:color w:val="000000" w:themeColor="text1"/>
        </w:rPr>
        <w:t>Elbette, AI felsefesinin ilerleyen ve gerileyen gelişiminin özü de bu makalede analiz edilen ana konudur ve düşüşün ilerici yönlerinin önemine özel önem verilmektedir.</w:t>
      </w:r>
    </w:p>
    <w:p w14:paraId="30296053" w14:textId="77777777" w:rsidR="00A3188A" w:rsidRPr="00164238" w:rsidRDefault="00A3188A" w:rsidP="00A844B2">
      <w:pPr>
        <w:pStyle w:val="GvdeMetni"/>
        <w:spacing w:before="8"/>
        <w:ind w:right="210" w:firstLine="420"/>
        <w:jc w:val="both"/>
        <w:rPr>
          <w:color w:val="000000" w:themeColor="text1"/>
        </w:rPr>
      </w:pPr>
      <w:r w:rsidRPr="00164238">
        <w:rPr>
          <w:color w:val="000000" w:themeColor="text1"/>
        </w:rPr>
        <w:t>Yazar, yapay zekanın tüm dünyayıve tüm insanlığıtek bir düşünce ve yaşam biçiminde birleştiren Covid-19 olayına etkisinin kamu bilincindeki dinamikleri ve engelleri izlemeye çalışıyor. Makale aynızamanda dünyaca ünlü bilim adamlarının çalışmalarına da atıfta  bulunarak pandemi dönemi ve sonrasında yapay zeka ve yapay zeka felsefesinin önemini analiz ediyor.</w:t>
      </w:r>
    </w:p>
    <w:p w14:paraId="3E6121E6" w14:textId="77777777" w:rsidR="00A3188A" w:rsidRPr="00164238" w:rsidRDefault="00A3188A" w:rsidP="00A844B2">
      <w:pPr>
        <w:pStyle w:val="GvdeMetni"/>
        <w:ind w:right="199" w:firstLine="300"/>
        <w:jc w:val="both"/>
        <w:rPr>
          <w:color w:val="000000" w:themeColor="text1"/>
        </w:rPr>
      </w:pPr>
      <w:r w:rsidRPr="00164238">
        <w:rPr>
          <w:color w:val="000000" w:themeColor="text1"/>
        </w:rPr>
        <w:t>Örnegin bu makaledeki analiz kaynaklarıarasında, öngörü, politika planlama ve analiz alanında iki tanınmışfütürist ve filozof - Jerome C. Glenn ve Theodore J. Gordon tarafından yazılan "Milenyum Projesi" program belgesine özel önem verilmektedir. .</w:t>
      </w:r>
    </w:p>
    <w:p w14:paraId="2F5E54EA" w14:textId="77777777" w:rsidR="00A3188A" w:rsidRPr="00164238" w:rsidRDefault="00A3188A" w:rsidP="00A844B2">
      <w:pPr>
        <w:pStyle w:val="GvdeMetni"/>
        <w:spacing w:before="8" w:line="232" w:lineRule="auto"/>
        <w:ind w:right="210" w:firstLine="420"/>
        <w:jc w:val="both"/>
        <w:rPr>
          <w:color w:val="000000" w:themeColor="text1"/>
        </w:rPr>
      </w:pPr>
      <w:r w:rsidRPr="00164238">
        <w:rPr>
          <w:color w:val="000000" w:themeColor="text1"/>
        </w:rPr>
        <w:t>Böylece, Dolayısıyla yazıda yer alan araştırma ve analizin amacı, Covid-19 çağında insanlığın karşıkarşıya olduğu işsizlik, eğitim, sağlık, ekonomi, kültür gibi küresel sorunların çözümünü yapay zeka yardımıyla değerlendirmektir.</w:t>
      </w:r>
    </w:p>
    <w:p w14:paraId="50EC5F1C" w14:textId="77777777" w:rsidR="00A3188A" w:rsidRPr="00164238" w:rsidRDefault="00A3188A" w:rsidP="00A844B2">
      <w:pPr>
        <w:spacing w:before="4"/>
        <w:ind w:left="100"/>
        <w:jc w:val="both"/>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rPr>
        <w:t>Anahtar Kelimeler:</w:t>
      </w:r>
      <w:r w:rsidRPr="00164238">
        <w:rPr>
          <w:rFonts w:ascii="Times New Roman" w:hAnsi="Times New Roman" w:cs="Times New Roman"/>
          <w:color w:val="000000" w:themeColor="text1"/>
          <w:sz w:val="20"/>
          <w:szCs w:val="20"/>
        </w:rPr>
        <w:t>yapay zeka, Covid-19, Gerome, Gordon, insanlık</w:t>
      </w:r>
    </w:p>
    <w:p w14:paraId="6871ED36" w14:textId="02CF1231" w:rsidR="00A3188A" w:rsidRPr="00164238" w:rsidRDefault="00AC252B" w:rsidP="00A844B2">
      <w:pPr>
        <w:pStyle w:val="Balk1"/>
        <w:spacing w:line="240" w:lineRule="auto"/>
        <w:jc w:val="center"/>
        <w:rPr>
          <w:rFonts w:ascii="Times New Roman" w:hAnsi="Times New Roman" w:cs="Times New Roman"/>
          <w:b/>
          <w:bCs/>
          <w:color w:val="000000" w:themeColor="text1"/>
          <w:sz w:val="24"/>
          <w:szCs w:val="24"/>
        </w:rPr>
      </w:pPr>
      <w:bookmarkStart w:id="150" w:name="_Toc72352802"/>
      <w:bookmarkStart w:id="151" w:name="_Toc72961736"/>
      <w:r w:rsidRPr="00164238">
        <w:rPr>
          <w:rFonts w:ascii="Times New Roman" w:hAnsi="Times New Roman" w:cs="Times New Roman"/>
          <w:b/>
          <w:bCs/>
          <w:color w:val="000000" w:themeColor="text1"/>
          <w:sz w:val="24"/>
          <w:szCs w:val="24"/>
        </w:rPr>
        <w:t>COVİD-19 IN THE CONTEXT OF ARTIFICIAL INTELLIGENCE: SUCCESSES AND CHALLENGES</w:t>
      </w:r>
      <w:bookmarkEnd w:id="150"/>
      <w:bookmarkEnd w:id="151"/>
    </w:p>
    <w:p w14:paraId="01A3715F" w14:textId="77777777" w:rsidR="00A3188A" w:rsidRPr="00164238" w:rsidRDefault="00A3188A" w:rsidP="00A844B2">
      <w:pPr>
        <w:spacing w:before="90"/>
        <w:ind w:left="100" w:firstLine="260"/>
        <w:jc w:val="both"/>
        <w:rPr>
          <w:rFonts w:ascii="Times New Roman" w:hAnsi="Times New Roman" w:cs="Times New Roman"/>
          <w:b/>
          <w:color w:val="000000" w:themeColor="text1"/>
          <w:sz w:val="20"/>
          <w:szCs w:val="20"/>
        </w:rPr>
      </w:pPr>
      <w:r w:rsidRPr="00164238">
        <w:rPr>
          <w:rFonts w:ascii="Times New Roman" w:hAnsi="Times New Roman" w:cs="Times New Roman"/>
          <w:b/>
          <w:color w:val="000000" w:themeColor="text1"/>
          <w:sz w:val="20"/>
          <w:szCs w:val="20"/>
        </w:rPr>
        <w:t>SUMMARY:</w:t>
      </w:r>
    </w:p>
    <w:p w14:paraId="76410D9E" w14:textId="77777777" w:rsidR="00A3188A" w:rsidRPr="00164238" w:rsidRDefault="00A3188A" w:rsidP="00452A49">
      <w:pPr>
        <w:pStyle w:val="GvdeMetni"/>
        <w:spacing w:before="4"/>
        <w:ind w:right="106" w:firstLine="360"/>
        <w:jc w:val="both"/>
        <w:rPr>
          <w:color w:val="000000" w:themeColor="text1"/>
        </w:rPr>
      </w:pPr>
      <w:r w:rsidRPr="00164238">
        <w:rPr>
          <w:color w:val="000000" w:themeColor="text1"/>
        </w:rPr>
        <w:t>In our article "Covid-19 in the Context of Artificial Intelligence: Successes and Challenges", we discuss the role and importance of artificial intelligence, which dominates world thought in the contemporary era, in getting rid of the Covid-19 epidemic.</w:t>
      </w:r>
    </w:p>
    <w:p w14:paraId="38B46AE0" w14:textId="77777777" w:rsidR="00A3188A" w:rsidRPr="00164238" w:rsidRDefault="00A3188A" w:rsidP="00452A49">
      <w:pPr>
        <w:pStyle w:val="GvdeMetni"/>
        <w:ind w:left="400"/>
        <w:jc w:val="both"/>
        <w:rPr>
          <w:color w:val="000000" w:themeColor="text1"/>
        </w:rPr>
      </w:pPr>
      <w:r w:rsidRPr="00164238">
        <w:rPr>
          <w:color w:val="000000" w:themeColor="text1"/>
        </w:rPr>
        <w:t>The effect and perception of artificial intelligence, which is the most important scientific and</w:t>
      </w:r>
    </w:p>
    <w:p w14:paraId="7C74D7C8" w14:textId="77777777" w:rsidR="00A3188A" w:rsidRPr="00164238" w:rsidRDefault="00A3188A" w:rsidP="00452A49">
      <w:pPr>
        <w:pStyle w:val="GvdeMetni"/>
        <w:spacing w:before="4"/>
        <w:ind w:right="104"/>
        <w:jc w:val="both"/>
        <w:rPr>
          <w:color w:val="000000" w:themeColor="text1"/>
        </w:rPr>
      </w:pPr>
      <w:r w:rsidRPr="00164238">
        <w:rPr>
          <w:color w:val="000000" w:themeColor="text1"/>
        </w:rPr>
        <w:t>technical phenomenon of globalization and one of the new and serious issues of philosophy, on the human mind is clear.</w:t>
      </w:r>
    </w:p>
    <w:p w14:paraId="29870DA4" w14:textId="77777777" w:rsidR="00A3188A" w:rsidRPr="00164238" w:rsidRDefault="00A3188A" w:rsidP="00452A49">
      <w:pPr>
        <w:pStyle w:val="GvdeMetni"/>
        <w:spacing w:before="7"/>
        <w:ind w:right="103" w:firstLine="420"/>
        <w:jc w:val="both"/>
        <w:rPr>
          <w:color w:val="000000" w:themeColor="text1"/>
        </w:rPr>
      </w:pPr>
      <w:r w:rsidRPr="00164238">
        <w:rPr>
          <w:color w:val="000000" w:themeColor="text1"/>
        </w:rPr>
        <w:t>Of course, the core of the progressive and regressive development of AI philosophy is also the main issue analyzed in this article, and special attention is paid to the importance of the progressive aspects of decline.</w:t>
      </w:r>
    </w:p>
    <w:p w14:paraId="3D231B54" w14:textId="77777777" w:rsidR="00A3188A" w:rsidRPr="00164238" w:rsidRDefault="00A3188A" w:rsidP="00452A49">
      <w:pPr>
        <w:pStyle w:val="GvdeMetni"/>
        <w:spacing w:before="4"/>
        <w:ind w:right="106" w:firstLine="420"/>
        <w:jc w:val="both"/>
        <w:rPr>
          <w:color w:val="000000" w:themeColor="text1"/>
        </w:rPr>
      </w:pPr>
      <w:r w:rsidRPr="00164238">
        <w:rPr>
          <w:color w:val="000000" w:themeColor="text1"/>
        </w:rPr>
        <w:t>The author tries to trace the dynamics and obstacles in the public consciousness of the impact of Artificial Intelligence on the Covid-19 incident, which unites the whole world and all humanity in a single way of thinking and life. The article also refers to the works of world- renowned scientists and analyzes the importance of artificial intelligence and artificial intelligence philosophy in the pandemic period and the</w:t>
      </w:r>
      <w:r w:rsidRPr="00164238">
        <w:rPr>
          <w:color w:val="000000" w:themeColor="text1"/>
          <w:spacing w:val="-9"/>
        </w:rPr>
        <w:t xml:space="preserve"> </w:t>
      </w:r>
      <w:r w:rsidRPr="00164238">
        <w:rPr>
          <w:color w:val="000000" w:themeColor="text1"/>
        </w:rPr>
        <w:t>aftermath.</w:t>
      </w:r>
    </w:p>
    <w:p w14:paraId="06DC3BB0" w14:textId="77777777" w:rsidR="00A3188A" w:rsidRPr="00164238" w:rsidRDefault="00A3188A" w:rsidP="00452A49">
      <w:pPr>
        <w:pStyle w:val="GvdeMetni"/>
        <w:ind w:right="100" w:firstLine="480"/>
        <w:jc w:val="both"/>
        <w:rPr>
          <w:color w:val="000000" w:themeColor="text1"/>
        </w:rPr>
      </w:pPr>
      <w:r w:rsidRPr="00164238">
        <w:rPr>
          <w:color w:val="000000" w:themeColor="text1"/>
        </w:rPr>
        <w:t>For example among the sources of analysis in this article, special attention is paid to the "Millennium Project" program document written by two well-known futurists-philosophers in the field of world forecasting, policy planning and analysis - Jerome C. Glenn and Theodore J. Gordon.</w:t>
      </w:r>
    </w:p>
    <w:p w14:paraId="49EA7E11" w14:textId="77777777" w:rsidR="00A3188A" w:rsidRPr="00164238" w:rsidRDefault="00A3188A" w:rsidP="00452A49">
      <w:pPr>
        <w:pStyle w:val="GvdeMetni"/>
        <w:ind w:left="400"/>
        <w:jc w:val="both"/>
        <w:rPr>
          <w:color w:val="000000" w:themeColor="text1"/>
        </w:rPr>
      </w:pPr>
      <w:r w:rsidRPr="00164238">
        <w:rPr>
          <w:color w:val="000000" w:themeColor="text1"/>
        </w:rPr>
        <w:lastRenderedPageBreak/>
        <w:t>Thus, the purpose of the research and analysis in the article is to assess the solution of global</w:t>
      </w:r>
    </w:p>
    <w:p w14:paraId="43F335AE" w14:textId="77777777" w:rsidR="00A3188A" w:rsidRPr="00164238" w:rsidRDefault="00A3188A" w:rsidP="00452A49">
      <w:pPr>
        <w:pStyle w:val="GvdeMetni"/>
        <w:spacing w:before="4"/>
        <w:ind w:right="104"/>
        <w:jc w:val="both"/>
        <w:rPr>
          <w:color w:val="000000" w:themeColor="text1"/>
        </w:rPr>
      </w:pPr>
      <w:r w:rsidRPr="00164238">
        <w:rPr>
          <w:color w:val="000000" w:themeColor="text1"/>
        </w:rPr>
        <w:t>problems facing humanity in the Covid-19 era, such as unemployment, education, health, economy, culture, with the help of artificial intelligence.</w:t>
      </w:r>
    </w:p>
    <w:p w14:paraId="33B86BE9" w14:textId="77777777" w:rsidR="00A3188A" w:rsidRPr="00164238" w:rsidRDefault="00A3188A" w:rsidP="00452A49">
      <w:pPr>
        <w:pStyle w:val="GvdeMetni"/>
        <w:spacing w:before="76"/>
        <w:jc w:val="both"/>
        <w:rPr>
          <w:color w:val="000000" w:themeColor="text1"/>
        </w:rPr>
      </w:pPr>
      <w:r w:rsidRPr="00164238">
        <w:rPr>
          <w:b/>
          <w:color w:val="000000" w:themeColor="text1"/>
        </w:rPr>
        <w:t>Keywords:</w:t>
      </w:r>
      <w:r w:rsidRPr="00164238">
        <w:rPr>
          <w:color w:val="000000" w:themeColor="text1"/>
        </w:rPr>
        <w:t>artificial intelligence, Covid-19, Gerome, Gordon, humanity</w:t>
      </w:r>
    </w:p>
    <w:p w14:paraId="4510A1D6" w14:textId="77777777" w:rsidR="00A3188A" w:rsidRPr="00164238" w:rsidRDefault="00A3188A" w:rsidP="00A844B2">
      <w:pPr>
        <w:pStyle w:val="GvdeMetni"/>
        <w:spacing w:before="10"/>
        <w:jc w:val="both"/>
        <w:rPr>
          <w:color w:val="000000" w:themeColor="text1"/>
        </w:rPr>
      </w:pPr>
    </w:p>
    <w:p w14:paraId="2A1D6091" w14:textId="77777777" w:rsidR="00A3188A" w:rsidRPr="00164238" w:rsidRDefault="00A3188A" w:rsidP="00A844B2">
      <w:pPr>
        <w:pStyle w:val="Balk1"/>
        <w:spacing w:before="0" w:line="276" w:lineRule="auto"/>
        <w:ind w:firstLine="708"/>
        <w:jc w:val="both"/>
        <w:rPr>
          <w:rFonts w:ascii="Times New Roman" w:hAnsi="Times New Roman" w:cs="Times New Roman"/>
          <w:b/>
          <w:bCs/>
          <w:color w:val="000000" w:themeColor="text1"/>
          <w:sz w:val="20"/>
          <w:szCs w:val="20"/>
        </w:rPr>
      </w:pPr>
      <w:bookmarkStart w:id="152" w:name="_Toc72352803"/>
      <w:bookmarkStart w:id="153" w:name="_Toc72961737"/>
      <w:r w:rsidRPr="00164238">
        <w:rPr>
          <w:rFonts w:ascii="Times New Roman" w:hAnsi="Times New Roman" w:cs="Times New Roman"/>
          <w:b/>
          <w:bCs/>
          <w:color w:val="000000" w:themeColor="text1"/>
          <w:sz w:val="20"/>
          <w:szCs w:val="20"/>
        </w:rPr>
        <w:t>GİRİŞ</w:t>
      </w:r>
      <w:bookmarkEnd w:id="152"/>
      <w:bookmarkEnd w:id="153"/>
    </w:p>
    <w:p w14:paraId="440E5BA4" w14:textId="77777777" w:rsidR="00A3188A" w:rsidRPr="00164238" w:rsidRDefault="00A3188A" w:rsidP="00A844B2">
      <w:pPr>
        <w:pStyle w:val="GvdeMetni"/>
        <w:spacing w:after="0" w:line="276" w:lineRule="auto"/>
        <w:ind w:right="210" w:firstLine="708"/>
        <w:jc w:val="both"/>
        <w:rPr>
          <w:color w:val="000000" w:themeColor="text1"/>
        </w:rPr>
      </w:pPr>
      <w:r w:rsidRPr="00164238">
        <w:rPr>
          <w:color w:val="000000" w:themeColor="text1"/>
        </w:rPr>
        <w:t>Dünyanın yaratılışından bu yana çevremizdeki dünyanın düşünce tarafından algılandığı bilinmektedir. Basit, anlaşılır bir yaklaşımdan, dünya ve insandan başlayarak, güncel olaylar bilge filozofların kesin sonuçlarıyla anlaşılır. Felsefenin özü, evreni, insanıve doğayıdüşünce yoluyla anlamaktır. Felsefe, doğrularıanlayışla ortaya çıkarır ve değerlendirir. Filozoflar düşünerek sert doğanın ve vahşi hayvanların etkilerinden kurtulmayıbaşardılar. Bu açıdan bakıldığında, içinde yaşadığımız eski dünyanın felsefesi, yapay zeka bilinci de dahil olmak üzere, kendi algılarıyla büyük ölçüde</w:t>
      </w:r>
      <w:r w:rsidRPr="00164238">
        <w:rPr>
          <w:color w:val="000000" w:themeColor="text1"/>
          <w:spacing w:val="-1"/>
        </w:rPr>
        <w:t xml:space="preserve"> </w:t>
      </w:r>
      <w:r w:rsidRPr="00164238">
        <w:rPr>
          <w:color w:val="000000" w:themeColor="text1"/>
        </w:rPr>
        <w:t>yüklüdür.</w:t>
      </w:r>
    </w:p>
    <w:p w14:paraId="75DE688F" w14:textId="77777777" w:rsidR="00A3188A" w:rsidRPr="00164238" w:rsidRDefault="00A3188A" w:rsidP="00A844B2">
      <w:pPr>
        <w:pStyle w:val="GvdeMetni"/>
        <w:spacing w:after="0" w:line="276" w:lineRule="auto"/>
        <w:jc w:val="both"/>
        <w:rPr>
          <w:color w:val="000000" w:themeColor="text1"/>
        </w:rPr>
      </w:pPr>
      <w:r w:rsidRPr="00164238">
        <w:rPr>
          <w:color w:val="000000" w:themeColor="text1"/>
        </w:rPr>
        <w:t>Felsefenin ilk görevi soruyu anlamak olduğu için ilk soru yapay zekanın ne olduğudur.</w:t>
      </w:r>
    </w:p>
    <w:p w14:paraId="705E28D0" w14:textId="77777777" w:rsidR="00A3188A" w:rsidRPr="00164238" w:rsidRDefault="00A3188A" w:rsidP="00A844B2">
      <w:pPr>
        <w:pStyle w:val="GvdeMetni"/>
        <w:spacing w:after="0" w:line="276" w:lineRule="auto"/>
        <w:ind w:right="101" w:firstLine="708"/>
        <w:jc w:val="both"/>
        <w:rPr>
          <w:color w:val="000000" w:themeColor="text1"/>
        </w:rPr>
      </w:pPr>
      <w:r w:rsidRPr="00164238">
        <w:rPr>
          <w:color w:val="000000" w:themeColor="text1"/>
        </w:rPr>
        <w:t>Bu açıdan bakıldığında yapay zeka nedir, bu bilimin içeriği ve özü sorusuna cevap vermek gerekir. Peki yapay zeka nedir? Bugün dünyanın düşüncesini oluşturan bilimsel bulgulara göre, yapay zeka esasen canlıbir organizma olmadan bir düşünme sistemidir - kontrol ve yönetim.</w:t>
      </w:r>
    </w:p>
    <w:p w14:paraId="67509EEF" w14:textId="77777777" w:rsidR="00A3188A" w:rsidRPr="00164238" w:rsidRDefault="00A3188A" w:rsidP="00A844B2">
      <w:pPr>
        <w:pStyle w:val="GvdeMetni"/>
        <w:spacing w:after="0" w:line="276" w:lineRule="auto"/>
        <w:ind w:right="210" w:firstLine="708"/>
        <w:jc w:val="both"/>
        <w:rPr>
          <w:color w:val="000000" w:themeColor="text1"/>
        </w:rPr>
      </w:pPr>
      <w:r w:rsidRPr="00164238">
        <w:rPr>
          <w:color w:val="000000" w:themeColor="text1"/>
        </w:rPr>
        <w:t>Yapay zeka alanıgenişve dolu.İnsan zihninin yapay zeka ile yer değiştirmesi bilgisayar mühendisliği ile başlarken, bu süreç zaman zaman hem yeni akıllıbilgisayar aşamalarıhem de daha sofistike robot teknolojisi ile zenginleştirildi.</w:t>
      </w:r>
    </w:p>
    <w:p w14:paraId="1AEE1BE8" w14:textId="50785FEE" w:rsidR="00A3188A" w:rsidRPr="00164238" w:rsidRDefault="00A3188A" w:rsidP="00A844B2">
      <w:pPr>
        <w:pStyle w:val="GvdeMetni"/>
        <w:spacing w:after="0" w:line="276" w:lineRule="auto"/>
        <w:ind w:right="112" w:firstLine="708"/>
        <w:jc w:val="both"/>
        <w:rPr>
          <w:color w:val="000000" w:themeColor="text1"/>
        </w:rPr>
      </w:pPr>
      <w:r w:rsidRPr="00164238">
        <w:rPr>
          <w:color w:val="000000" w:themeColor="text1"/>
        </w:rPr>
        <w:t>Dünyayı</w:t>
      </w:r>
      <w:r w:rsidR="00A844B2" w:rsidRPr="00164238">
        <w:rPr>
          <w:color w:val="000000" w:themeColor="text1"/>
          <w:lang w:val="tr-TR"/>
        </w:rPr>
        <w:t xml:space="preserve"> </w:t>
      </w:r>
      <w:r w:rsidRPr="00164238">
        <w:rPr>
          <w:color w:val="000000" w:themeColor="text1"/>
        </w:rPr>
        <w:t>anlama sürecinde önemli bir ilerleme olan yapay zeka, modern bilimin temelini oluşturan multidisipliner sistemin ciddi konularından biri olan özellikle matematik, mantık, fizyoloji, nörofizyoloji, psikoloji, biliş, epistemoloji, felsefe. Yapay zeka metodolojisini bu bilimlerin teorisi olmadan ve felsefi analiz ve değerlendirme olmadan, bilinçle ilgili olduğu gibi anlamak ve hayal etmek imkansızdır. Uzun yıllar boyunca, bu iki bilim - yapay zeka ve felsefe - epistemoloji ve qneseologiya etkileriyle yeni ve kapsamlıbir multidisipliner metodoloji yarattı. Elbette, felsefenin tarihi ve metodolojisi ne kadar eski olursa olsun, yapay zeka sisteminin metodolojisi 1936'dan beri özel olarak gelişmektedir.İngiliz matematikçi ve mantıkçıAlan Turing'in çalışmalarına dayanan yapay zeka sistemi, başarılıbirşekilde  gözlemlenmiştir.  85 yıldır teorik ve deneysel</w:t>
      </w:r>
      <w:r w:rsidRPr="00164238">
        <w:rPr>
          <w:color w:val="000000" w:themeColor="text1"/>
          <w:spacing w:val="-2"/>
        </w:rPr>
        <w:t xml:space="preserve"> </w:t>
      </w:r>
      <w:r w:rsidRPr="00164238">
        <w:rPr>
          <w:color w:val="000000" w:themeColor="text1"/>
        </w:rPr>
        <w:t>olarak.</w:t>
      </w:r>
    </w:p>
    <w:p w14:paraId="3BB14808" w14:textId="77777777" w:rsidR="00A3188A" w:rsidRPr="00164238" w:rsidRDefault="00A3188A" w:rsidP="00A844B2">
      <w:pPr>
        <w:pStyle w:val="GvdeMetni"/>
        <w:spacing w:after="0" w:line="276" w:lineRule="auto"/>
        <w:ind w:firstLine="708"/>
        <w:jc w:val="both"/>
        <w:rPr>
          <w:color w:val="000000" w:themeColor="text1"/>
        </w:rPr>
      </w:pPr>
      <w:r w:rsidRPr="00164238">
        <w:rPr>
          <w:color w:val="000000" w:themeColor="text1"/>
        </w:rPr>
        <w:t>Yapay zeka, basit akıllımakinelerden çok çeşitli yeteneklere sahip bilgisayarlara, robot tekniği alanındaki ilerleme seviyesine doğru gelişti.Şu anda, yapay zeka bilimi o kadar güçlü bir postmodernist sıçrama yaşıyor ki, dünyanın yapay zekanın gücüne teslim olmasıve onun yerini insana bırakmasıçok düşündürücü. Akıllıbilgisayarlardan akıllı şehirlere, milyonlarca yapay kontrol olgusu hızla geleceğe doğru ilerliyor.</w:t>
      </w:r>
    </w:p>
    <w:p w14:paraId="1B252FF4" w14:textId="77777777" w:rsidR="00A3188A" w:rsidRPr="00164238" w:rsidRDefault="00A3188A" w:rsidP="00A844B2">
      <w:pPr>
        <w:pStyle w:val="GvdeMetni"/>
        <w:spacing w:after="0" w:line="276" w:lineRule="auto"/>
        <w:ind w:firstLine="708"/>
        <w:jc w:val="both"/>
        <w:rPr>
          <w:color w:val="000000" w:themeColor="text1"/>
        </w:rPr>
      </w:pPr>
      <w:r w:rsidRPr="00164238">
        <w:rPr>
          <w:color w:val="000000" w:themeColor="text1"/>
        </w:rPr>
        <w:t>Bu tarihte ilerici olduğu kadar gerileyen nitelikte sorunlar olduğu da göz ardıedilemez. En önemlisi, birbirine bağlıiki fenomen - ilerleme ve gerileme -İnsanlıkla ilgilidir.</w:t>
      </w:r>
    </w:p>
    <w:p w14:paraId="7CAD5D55" w14:textId="77777777" w:rsidR="00A3188A" w:rsidRPr="00164238" w:rsidRDefault="00A3188A" w:rsidP="00A844B2">
      <w:pPr>
        <w:pStyle w:val="GvdeMetni"/>
        <w:spacing w:after="0" w:line="276" w:lineRule="auto"/>
        <w:ind w:firstLine="708"/>
        <w:jc w:val="both"/>
        <w:rPr>
          <w:color w:val="000000" w:themeColor="text1"/>
        </w:rPr>
      </w:pPr>
      <w:r w:rsidRPr="00164238">
        <w:rPr>
          <w:color w:val="000000" w:themeColor="text1"/>
        </w:rPr>
        <w:t>Günümüzde bir pandemide yapay zekanın olanaklarınıgözlemleyerek bu bilimin ilerleyen ve gerileyen gelişimini değerlendirebiliriz.</w:t>
      </w:r>
    </w:p>
    <w:p w14:paraId="21E280D7" w14:textId="77777777" w:rsidR="00A3188A" w:rsidRPr="00164238" w:rsidRDefault="00A3188A" w:rsidP="00A844B2">
      <w:pPr>
        <w:pStyle w:val="GvdeMetni"/>
        <w:spacing w:after="0" w:line="276" w:lineRule="auto"/>
        <w:jc w:val="both"/>
        <w:rPr>
          <w:color w:val="000000" w:themeColor="text1"/>
        </w:rPr>
      </w:pPr>
    </w:p>
    <w:p w14:paraId="09756E6F" w14:textId="77777777" w:rsidR="00A3188A" w:rsidRPr="00164238" w:rsidRDefault="00A3188A" w:rsidP="00A844B2">
      <w:pPr>
        <w:pStyle w:val="Balk1"/>
        <w:spacing w:before="0" w:line="276" w:lineRule="auto"/>
        <w:ind w:firstLine="708"/>
        <w:jc w:val="both"/>
        <w:rPr>
          <w:rFonts w:ascii="Times New Roman" w:hAnsi="Times New Roman" w:cs="Times New Roman"/>
          <w:b/>
          <w:bCs/>
          <w:color w:val="000000" w:themeColor="text1"/>
          <w:sz w:val="20"/>
          <w:szCs w:val="20"/>
        </w:rPr>
      </w:pPr>
      <w:bookmarkStart w:id="154" w:name="_Toc72352804"/>
      <w:bookmarkStart w:id="155" w:name="_Toc72961738"/>
      <w:r w:rsidRPr="00164238">
        <w:rPr>
          <w:rFonts w:ascii="Times New Roman" w:hAnsi="Times New Roman" w:cs="Times New Roman"/>
          <w:b/>
          <w:bCs/>
          <w:color w:val="000000" w:themeColor="text1"/>
          <w:sz w:val="20"/>
          <w:szCs w:val="20"/>
        </w:rPr>
        <w:t>ANA BÖLÜM</w:t>
      </w:r>
      <w:bookmarkEnd w:id="154"/>
      <w:bookmarkEnd w:id="155"/>
    </w:p>
    <w:p w14:paraId="791A3FE2" w14:textId="77777777" w:rsidR="00A3188A" w:rsidRPr="00164238" w:rsidRDefault="00A3188A" w:rsidP="00A844B2">
      <w:pPr>
        <w:pStyle w:val="GvdeMetni"/>
        <w:spacing w:after="0" w:line="276" w:lineRule="auto"/>
        <w:ind w:right="210" w:firstLine="708"/>
        <w:jc w:val="both"/>
        <w:rPr>
          <w:color w:val="000000" w:themeColor="text1"/>
        </w:rPr>
      </w:pPr>
      <w:r w:rsidRPr="00164238">
        <w:rPr>
          <w:color w:val="000000" w:themeColor="text1"/>
        </w:rPr>
        <w:t>Turing makinelerinden veya Thüringen testlerinden kaynaklanan yapay zeka fenomeni, 1956'da SI alanında büyük hizmetler için Turing Ödülü'nü kazanan Amerikalıbilgisayar bilimcisi John McCarthy (John McCarthy) tarafından literatüre tanıtıldı(1971). ).</w:t>
      </w:r>
    </w:p>
    <w:p w14:paraId="47D1F1BB" w14:textId="77777777" w:rsidR="00A844B2" w:rsidRPr="00164238" w:rsidRDefault="00A3188A" w:rsidP="00A844B2">
      <w:pPr>
        <w:pStyle w:val="GvdeMetni"/>
        <w:spacing w:after="0" w:line="276" w:lineRule="auto"/>
        <w:ind w:right="210" w:firstLine="708"/>
        <w:jc w:val="both"/>
        <w:rPr>
          <w:color w:val="000000" w:themeColor="text1"/>
        </w:rPr>
      </w:pPr>
      <w:r w:rsidRPr="00164238">
        <w:rPr>
          <w:color w:val="000000" w:themeColor="text1"/>
        </w:rPr>
        <w:t>Bu terim, yapay zekanın özünü, insan bilincini ve faaliyetini yapay makinelerle değiştirme fikrini tam olarak ifade ediyor.</w:t>
      </w:r>
    </w:p>
    <w:p w14:paraId="487CEE4F" w14:textId="348B04C4" w:rsidR="00A3188A" w:rsidRPr="00164238" w:rsidRDefault="00A3188A" w:rsidP="00A844B2">
      <w:pPr>
        <w:pStyle w:val="GvdeMetni"/>
        <w:spacing w:after="0" w:line="276" w:lineRule="auto"/>
        <w:ind w:right="210" w:firstLine="708"/>
        <w:jc w:val="both"/>
        <w:rPr>
          <w:color w:val="000000" w:themeColor="text1"/>
        </w:rPr>
      </w:pPr>
      <w:r w:rsidRPr="00164238">
        <w:rPr>
          <w:color w:val="000000" w:themeColor="text1"/>
        </w:rPr>
        <w:t>Böylece</w:t>
      </w:r>
      <w:r w:rsidRPr="00164238">
        <w:rPr>
          <w:color w:val="000000" w:themeColor="text1"/>
        </w:rPr>
        <w:tab/>
        <w:t>A.</w:t>
      </w:r>
      <w:r w:rsidRPr="00164238">
        <w:rPr>
          <w:color w:val="000000" w:themeColor="text1"/>
        </w:rPr>
        <w:tab/>
        <w:t>Turing,</w:t>
      </w:r>
      <w:r w:rsidRPr="00164238">
        <w:rPr>
          <w:color w:val="000000" w:themeColor="text1"/>
        </w:rPr>
        <w:tab/>
        <w:t>milyonlarca</w:t>
      </w:r>
      <w:r w:rsidRPr="00164238">
        <w:rPr>
          <w:color w:val="000000" w:themeColor="text1"/>
        </w:rPr>
        <w:tab/>
        <w:t>insan</w:t>
      </w:r>
      <w:r w:rsidRPr="00164238">
        <w:rPr>
          <w:color w:val="000000" w:themeColor="text1"/>
        </w:rPr>
        <w:tab/>
        <w:t>sorusu</w:t>
      </w:r>
      <w:r w:rsidRPr="00164238">
        <w:rPr>
          <w:color w:val="000000" w:themeColor="text1"/>
        </w:rPr>
        <w:tab/>
        <w:t>karşısında</w:t>
      </w:r>
      <w:r w:rsidRPr="00164238">
        <w:rPr>
          <w:color w:val="000000" w:themeColor="text1"/>
        </w:rPr>
        <w:tab/>
        <w:t>dünyaya</w:t>
      </w:r>
      <w:r w:rsidRPr="00164238">
        <w:rPr>
          <w:color w:val="000000" w:themeColor="text1"/>
        </w:rPr>
        <w:tab/>
        <w:t>"akıllı"</w:t>
      </w:r>
      <w:r w:rsidRPr="00164238">
        <w:rPr>
          <w:color w:val="000000" w:themeColor="text1"/>
        </w:rPr>
        <w:tab/>
        <w:t>bilgisayar</w:t>
      </w:r>
      <w:r w:rsidR="00A844B2" w:rsidRPr="00164238">
        <w:rPr>
          <w:color w:val="000000" w:themeColor="text1"/>
          <w:lang w:val="tr-TR"/>
        </w:rPr>
        <w:t xml:space="preserve"> </w:t>
      </w:r>
      <w:r w:rsidRPr="00164238">
        <w:rPr>
          <w:color w:val="000000" w:themeColor="text1"/>
        </w:rPr>
        <w:t xml:space="preserve">metodolojisini verdi. Bu, yeni medeniyetin devrimci ilerlemesiydi. </w:t>
      </w:r>
      <w:r w:rsidRPr="00164238">
        <w:rPr>
          <w:color w:val="000000" w:themeColor="text1"/>
        </w:rPr>
        <w:lastRenderedPageBreak/>
        <w:t>Aynızamanda yapay zeka, insan zihninin muazzam potansiyeline ve pratik faaliyetine dayanan modernizmin çöküşünü de beraberinde getirdi.</w:t>
      </w:r>
    </w:p>
    <w:p w14:paraId="7BCF3226" w14:textId="77777777" w:rsidR="00A3188A" w:rsidRPr="00164238" w:rsidRDefault="00A3188A" w:rsidP="00A844B2">
      <w:pPr>
        <w:pStyle w:val="GvdeMetni"/>
        <w:spacing w:after="0" w:line="276" w:lineRule="auto"/>
        <w:ind w:firstLine="708"/>
        <w:jc w:val="both"/>
        <w:rPr>
          <w:color w:val="000000" w:themeColor="text1"/>
        </w:rPr>
      </w:pPr>
      <w:r w:rsidRPr="00164238">
        <w:rPr>
          <w:color w:val="000000" w:themeColor="text1"/>
        </w:rPr>
        <w:t>Yapay zekanın yaşam felsefemiz üzerindeki etkilerini, felsefi düşüncenin yargılarıyla somut örneklerle ele alalım.</w:t>
      </w:r>
    </w:p>
    <w:p w14:paraId="56C3D9C2" w14:textId="77777777" w:rsidR="00A3188A" w:rsidRPr="00164238" w:rsidRDefault="00A3188A" w:rsidP="00A844B2">
      <w:pPr>
        <w:pStyle w:val="GvdeMetni"/>
        <w:spacing w:after="0" w:line="276" w:lineRule="auto"/>
        <w:ind w:firstLine="708"/>
        <w:jc w:val="both"/>
        <w:rPr>
          <w:color w:val="000000" w:themeColor="text1"/>
        </w:rPr>
      </w:pPr>
      <w:r w:rsidRPr="00164238">
        <w:rPr>
          <w:color w:val="000000" w:themeColor="text1"/>
        </w:rPr>
        <w:t>Değerlendirmeleri, yapay zeka bilimsel felsefesinin ve metodolojisinin gelişimini belirler. Böylece, bir yıldan fazla bir süredir, bilincimizi ve günlük davranışlarımızıbir kabus ele geçirdi.</w:t>
      </w:r>
    </w:p>
    <w:p w14:paraId="524A3B98" w14:textId="77777777" w:rsidR="00A3188A" w:rsidRPr="00164238" w:rsidRDefault="00A3188A" w:rsidP="00214B8E">
      <w:pPr>
        <w:pStyle w:val="GvdeMetni"/>
        <w:spacing w:after="0" w:line="276" w:lineRule="auto"/>
        <w:ind w:right="112" w:firstLine="708"/>
        <w:jc w:val="both"/>
        <w:rPr>
          <w:color w:val="000000" w:themeColor="text1"/>
        </w:rPr>
      </w:pPr>
      <w:r w:rsidRPr="00164238">
        <w:rPr>
          <w:color w:val="000000" w:themeColor="text1"/>
        </w:rPr>
        <w:t>Hepimiz bir efsane, gizem, gerçek olan Coronavirus - Pandemic - Covid 19'u düşünüyoruz. Yeni yüzyılın ikinci on yılının bu olayının yaşam felsefesi koşulsuz olarak hayatımızıdeğiştirdi.İnsan ve ahlak,İnsan ve sosyal çevre,İnsan ve din, bu yaşam felsefesi bizi günlük ve geleneksel olan herşeyden tamamen uzaklaştırmıştır.Şimdi memurlardan işsizlere, bilim adamlarından cahillere kadar herkes bu yeni felsefede birleşiyor. Dünya milleti ne olursa olsun bu postmodern programı benimsemişve ilkelerini uyguluyor.</w:t>
      </w:r>
    </w:p>
    <w:p w14:paraId="04DD1B73" w14:textId="77777777" w:rsidR="00A3188A" w:rsidRPr="00164238" w:rsidRDefault="00A3188A" w:rsidP="00214B8E">
      <w:pPr>
        <w:pStyle w:val="GvdeMetni"/>
        <w:spacing w:after="0" w:line="276" w:lineRule="auto"/>
        <w:ind w:right="112" w:firstLine="708"/>
        <w:jc w:val="both"/>
        <w:rPr>
          <w:color w:val="000000" w:themeColor="text1"/>
        </w:rPr>
      </w:pPr>
      <w:r w:rsidRPr="00164238">
        <w:rPr>
          <w:color w:val="000000" w:themeColor="text1"/>
        </w:rPr>
        <w:t>Covid-19'un aniden kapımızıçalıp yeni kanunlar ve kurallar oluşturduğu biliniyor. 2019 sonu ve 2020 yılı. Ancak hayatımızdan ne zaman tamamen kaybolacağıbelli değil. Bu tehlikeli kabusun şu ana kadar dünyadan kaç kişiyi çektiği de biliniyor, ancak daha kaç kişinin kaybedileceği bilinmiyor. Ayrıca hayatımızıtamamen etkileyen bu pandeminin neden olduğu psikolojik travmayıölçmek isteyen cihazlar veya ilgilenenler de yok.</w:t>
      </w:r>
    </w:p>
    <w:p w14:paraId="3172CD77" w14:textId="77777777" w:rsidR="00A3188A" w:rsidRPr="00164238" w:rsidRDefault="00A3188A" w:rsidP="00214B8E">
      <w:pPr>
        <w:pStyle w:val="GvdeMetni"/>
        <w:spacing w:after="0" w:line="276" w:lineRule="auto"/>
        <w:ind w:firstLine="708"/>
        <w:jc w:val="both"/>
        <w:rPr>
          <w:color w:val="000000" w:themeColor="text1"/>
        </w:rPr>
      </w:pPr>
      <w:r w:rsidRPr="00164238">
        <w:rPr>
          <w:color w:val="000000" w:themeColor="text1"/>
        </w:rPr>
        <w:t>Covid-19'un yanımızda olduğu bu tarihi dönemde, dünyadaki sanal fırsatların hızlıdinamikleri başarımızın merkezinde yer alıyor. Böylelikle mevcut salgın sırasında yapay zekanın önemi en ciddi alanlarda, hatta en basit içişlerinde bile doğrulanmışoldu. 2020'den itibaren salgın yoğunlaştıkça, yapay zekanın uygulanmasıönemli ölçüde hızlandı. Örneğin, pandemi sırasında yapay zekanın deneysel yetenekleriyle insanlar doğru tıbbi testler, operasyonel izleme, etkili tedaviler dahil farklıtahminler, yeni ilaçların keşfi ve hatta bu dünya fenomeni hakkında temel bilgiler elde edebildi. .</w:t>
      </w:r>
    </w:p>
    <w:p w14:paraId="1C411B09" w14:textId="77777777" w:rsidR="00A3188A" w:rsidRPr="00164238" w:rsidRDefault="00A3188A" w:rsidP="00214B8E">
      <w:pPr>
        <w:pStyle w:val="GvdeMetni"/>
        <w:spacing w:after="0" w:line="276" w:lineRule="auto"/>
        <w:ind w:firstLine="708"/>
        <w:jc w:val="both"/>
        <w:rPr>
          <w:color w:val="000000" w:themeColor="text1"/>
        </w:rPr>
      </w:pPr>
      <w:r w:rsidRPr="00164238">
        <w:rPr>
          <w:color w:val="000000" w:themeColor="text1"/>
        </w:rPr>
        <w:t>Yapay zeka sayesinde insanlar sorularına farklıdillerde cevaplar alabildiler. Yapay Zeka ayrıca pandemi sırasında COVID-19 pandemisiyle çekiciliği ve temel gücü ile mücadele etmek için kullanılan BlueDot uyarısistemine sahip "silahlı" adam ve kan örneklerini hızlıbirşekilde analiz eden XGBoost gibi bir teşhis aracı. COVID-19 aşılarının keşfi ve test edilmesi, yapay zekanın hayati rolünü de doğruluyor. “Son on yılda, yapay zeka (AI) tabanlımodeller genel olarak ilaç keşfinde devrim yarattı(Zhong ve diğerleri, 2018; Duan ve diğerleri, 2019; Lavecchia, 2019)”; Tdap aşılarıile ilgili olumsuz olayların tanımlanmasıiçin Natural Language Processing (NLP) uyguladı(Zheng ve diğerleri, 2019).</w:t>
      </w:r>
    </w:p>
    <w:p w14:paraId="08B6E2B8" w14:textId="77777777" w:rsidR="00A3188A" w:rsidRPr="00164238" w:rsidRDefault="00A3188A" w:rsidP="00214B8E">
      <w:pPr>
        <w:pStyle w:val="GvdeMetni"/>
        <w:spacing w:after="0" w:line="276" w:lineRule="auto"/>
        <w:ind w:right="210" w:firstLine="708"/>
        <w:jc w:val="both"/>
        <w:rPr>
          <w:color w:val="000000" w:themeColor="text1"/>
        </w:rPr>
      </w:pPr>
      <w:r w:rsidRPr="00164238">
        <w:rPr>
          <w:color w:val="000000" w:themeColor="text1"/>
        </w:rPr>
        <w:t>Sanal yaşam, çevrimiçi aktiviteler çocuklar ve yaşlılar, işsizler ve hastalar dahil herkesi çevrelerine aldı. Pandemik bir talep olarak, "Evde kal" ve "evde çalışma"şirketleri, insanları akıllıtelefonlar ve akıllıkontroller aracılığıyla her gün yeni bir yaşam tarzına uyarlıyor.</w:t>
      </w:r>
    </w:p>
    <w:p w14:paraId="6B245407" w14:textId="77777777" w:rsidR="00A3188A" w:rsidRPr="00164238" w:rsidRDefault="00A3188A" w:rsidP="00A844B2">
      <w:pPr>
        <w:pStyle w:val="GvdeMetni"/>
        <w:spacing w:after="0" w:line="276" w:lineRule="auto"/>
        <w:jc w:val="both"/>
        <w:rPr>
          <w:color w:val="000000" w:themeColor="text1"/>
        </w:rPr>
      </w:pPr>
      <w:r w:rsidRPr="00164238">
        <w:rPr>
          <w:color w:val="000000" w:themeColor="text1"/>
        </w:rPr>
        <w:t>Bu bakımdan Yapay Zekanın insan bilincindeki ve pratik faaliyetteki rolü büyük ve önemlidir.</w:t>
      </w:r>
    </w:p>
    <w:p w14:paraId="6BB890AB" w14:textId="77777777" w:rsidR="00A3188A" w:rsidRPr="00164238" w:rsidRDefault="00A3188A" w:rsidP="00A844B2">
      <w:pPr>
        <w:pStyle w:val="GvdeMetni"/>
        <w:spacing w:after="0" w:line="276" w:lineRule="auto"/>
        <w:jc w:val="both"/>
        <w:rPr>
          <w:color w:val="000000" w:themeColor="text1"/>
        </w:rPr>
      </w:pPr>
      <w:r w:rsidRPr="00164238">
        <w:rPr>
          <w:color w:val="000000" w:themeColor="text1"/>
        </w:rPr>
        <w:t>Peki yapay zeka olmadan bu zor aşamada insanların kaderi ne olurdu?</w:t>
      </w:r>
    </w:p>
    <w:p w14:paraId="2292E157" w14:textId="77777777" w:rsidR="00A3188A" w:rsidRPr="00164238" w:rsidRDefault="00A3188A" w:rsidP="00214B8E">
      <w:pPr>
        <w:pStyle w:val="GvdeMetni"/>
        <w:spacing w:after="0" w:line="276" w:lineRule="auto"/>
        <w:ind w:right="210" w:firstLine="708"/>
        <w:jc w:val="both"/>
        <w:rPr>
          <w:color w:val="000000" w:themeColor="text1"/>
        </w:rPr>
      </w:pPr>
      <w:r w:rsidRPr="00164238">
        <w:rPr>
          <w:color w:val="000000" w:themeColor="text1"/>
        </w:rPr>
        <w:t>Muhtemelen, önceki salgında olduğu gibi, Covid-19 sırasında kitlesel zayiatlar meydana geldi. Eve yiyecek, ilaç vb. Temel ihtiyaçlarısatın almak için dışarıçıkan insanlarla birlikte, onlara hizmet eden tüm yerler birdenbire bir salgına maruz kalacak ve hayatlarınıkaybedecekti.</w:t>
      </w:r>
    </w:p>
    <w:p w14:paraId="77DB8BC3" w14:textId="77777777" w:rsidR="00A3188A" w:rsidRPr="00164238" w:rsidRDefault="00A3188A" w:rsidP="00214B8E">
      <w:pPr>
        <w:pStyle w:val="GvdeMetni"/>
        <w:spacing w:after="0" w:line="276" w:lineRule="auto"/>
        <w:ind w:firstLine="708"/>
        <w:jc w:val="both"/>
        <w:rPr>
          <w:color w:val="000000" w:themeColor="text1"/>
        </w:rPr>
      </w:pPr>
      <w:r w:rsidRPr="00164238">
        <w:rPr>
          <w:color w:val="000000" w:themeColor="text1"/>
        </w:rPr>
        <w:t>Çünkü tarih, birçok salgının ardından dünyanın köklü değişimlere uğradığınıkanıtlıyor. Örneğin,</w:t>
      </w:r>
    </w:p>
    <w:p w14:paraId="3C8DAAC8" w14:textId="77777777" w:rsidR="00A3188A" w:rsidRPr="00164238" w:rsidRDefault="00A3188A" w:rsidP="00A844B2">
      <w:pPr>
        <w:pStyle w:val="GvdeMetni"/>
        <w:spacing w:after="0" w:line="276" w:lineRule="auto"/>
        <w:ind w:right="196"/>
        <w:jc w:val="both"/>
        <w:rPr>
          <w:color w:val="000000" w:themeColor="text1"/>
        </w:rPr>
      </w:pPr>
      <w:r w:rsidRPr="00164238">
        <w:rPr>
          <w:color w:val="000000" w:themeColor="text1"/>
        </w:rPr>
        <w:t>veba, çiçek hastalığı, kızamık, sarıhumma vb. Bu salgınlar tarihsel olarak yüz binlerce, hatta milyonlarıöldürdü. Siyasi güçteki değişiklikler, savaşlar, yenilgiler (Napolyon'un Haiti'deki savaşlarındaki "Louisiana Savaşı" gibi), sömürgecilik vb.</w:t>
      </w:r>
    </w:p>
    <w:p w14:paraId="21DD86B6" w14:textId="77777777" w:rsidR="00A3188A" w:rsidRPr="00164238" w:rsidRDefault="00A3188A" w:rsidP="00214B8E">
      <w:pPr>
        <w:pStyle w:val="GvdeMetni"/>
        <w:spacing w:after="0" w:line="276" w:lineRule="auto"/>
        <w:ind w:right="210" w:firstLine="708"/>
        <w:jc w:val="both"/>
        <w:rPr>
          <w:color w:val="000000" w:themeColor="text1"/>
        </w:rPr>
      </w:pPr>
      <w:r w:rsidRPr="00164238">
        <w:rPr>
          <w:color w:val="000000" w:themeColor="text1"/>
        </w:rPr>
        <w:t>Bu bakımdan mevcut farkındalık, devam eden pandemiden sonra büyük değişiklikler olacağı fikrine dayanmaktadır. Aslında, beklenenden daha fazla yeni milenyum olayı, ani, tehlikeli bir salgınıiçerir ve değişiklikler uzun zamandır bilinmektedir. Böylece sosyal,  ekonomik, psikolojik, tıbbi vb. - Her anlamda olumlu, süper ilerleme kadar karmaşık ve hattaşimdiki olaylardan daha olumsuz, düşünülemez olaylar tahmin</w:t>
      </w:r>
      <w:r w:rsidRPr="00164238">
        <w:rPr>
          <w:color w:val="000000" w:themeColor="text1"/>
          <w:spacing w:val="-3"/>
        </w:rPr>
        <w:t xml:space="preserve"> </w:t>
      </w:r>
      <w:r w:rsidRPr="00164238">
        <w:rPr>
          <w:color w:val="000000" w:themeColor="text1"/>
        </w:rPr>
        <w:t>ediliyor.</w:t>
      </w:r>
    </w:p>
    <w:p w14:paraId="4A85B59B" w14:textId="77777777" w:rsidR="00A3188A" w:rsidRPr="00164238" w:rsidRDefault="00A3188A" w:rsidP="00214B8E">
      <w:pPr>
        <w:pStyle w:val="GvdeMetni"/>
        <w:spacing w:after="0" w:line="276" w:lineRule="auto"/>
        <w:ind w:firstLine="708"/>
        <w:jc w:val="both"/>
        <w:rPr>
          <w:color w:val="000000" w:themeColor="text1"/>
        </w:rPr>
      </w:pPr>
      <w:r w:rsidRPr="00164238">
        <w:rPr>
          <w:color w:val="000000" w:themeColor="text1"/>
        </w:rPr>
        <w:t>Dolayısıyla Yapay Zekanın bugün bir yaşam felsefesi olarak önemi yadsınamaz.</w:t>
      </w:r>
    </w:p>
    <w:p w14:paraId="0694CBB6" w14:textId="77777777" w:rsidR="00A3188A" w:rsidRPr="00164238" w:rsidRDefault="00A3188A" w:rsidP="00A844B2">
      <w:pPr>
        <w:pStyle w:val="GvdeMetni"/>
        <w:spacing w:after="0" w:line="276" w:lineRule="auto"/>
        <w:ind w:right="210"/>
        <w:jc w:val="both"/>
        <w:rPr>
          <w:color w:val="000000" w:themeColor="text1"/>
        </w:rPr>
      </w:pPr>
      <w:r w:rsidRPr="00164238">
        <w:rPr>
          <w:color w:val="000000" w:themeColor="text1"/>
        </w:rPr>
        <w:lastRenderedPageBreak/>
        <w:t>Kanımızca, kitleleri genel rahatsız edici bilgilerden ayırarak iyimserliğe ilham verebiliriz, pandemi tarafından dinamik olarak insanların atıldığıyapay zeka dünyasının önemini vurgulayabiliriz.</w:t>
      </w:r>
    </w:p>
    <w:p w14:paraId="145D9BCC" w14:textId="04B84DF5" w:rsidR="00A3188A" w:rsidRPr="00164238" w:rsidRDefault="00A3188A" w:rsidP="00214B8E">
      <w:pPr>
        <w:pStyle w:val="GvdeMetni"/>
        <w:spacing w:after="0" w:line="276" w:lineRule="auto"/>
        <w:ind w:right="210"/>
        <w:jc w:val="both"/>
        <w:rPr>
          <w:color w:val="000000" w:themeColor="text1"/>
        </w:rPr>
      </w:pPr>
      <w:r w:rsidRPr="00164238">
        <w:rPr>
          <w:color w:val="000000" w:themeColor="text1"/>
        </w:rPr>
        <w:t>Samer Obeidat, Çin Halk Cumhuriyeti'nin deneyimine dayanarak "Yapay Zeka, COVID-19 Salgınıyla Mücadeleye Nasıl YardımcıOlur?" Makale 7 anahtarın ana hatlarınıçiziyor: - “1. Yapay zekanın (örneğin Kanada merkezli BlueDot) pandeminin yayılmasınıizleme ve kontrol etme ve yaşam tarzıalışkanlıklarıdahil olmak üzere bireysel, klinik, seyahat ve sosyal verilerin birleşik analizindeki rolü; 2. SANAL SAĞLIK ASİSTANLARI (Chatbotlar). COVID-19 ile</w:t>
      </w:r>
      <w:r w:rsidR="00214B8E" w:rsidRPr="00164238">
        <w:rPr>
          <w:color w:val="000000" w:themeColor="text1"/>
          <w:lang w:val="tr-TR"/>
        </w:rPr>
        <w:t xml:space="preserve"> </w:t>
      </w:r>
      <w:r w:rsidRPr="00164238">
        <w:rPr>
          <w:color w:val="000000" w:themeColor="text1"/>
        </w:rPr>
        <w:t>ilgili sorularıdoğru birşekilde yanıtlayabilen ve güvenilir bilgi ve koruma önlemleri önerebilen Kanada Yapay Zeka Merkezi'nden çok dilli sanal sağlık temsilcisi; 3. Linking tarafından geliştirilen teknoloji sayesinde COVID-19 DIAGNOSTIC AI. Anında teşhis, enfeksiyonun daha fazla yayılmasınıönlemek için karantina gibi hızlımüdahale önlemleri. Çin'de yeni olan  platform, Baidu’nun açık kaynak derinlemesine öğrenme platformu Paddle Paddle tarafından desteklendi; 4. YÜZ TANIMA VE ÇEVRE DEDEKTÖRÜ AI Termal kameralar, ateşli kişileri tespit etmek için bir süredir kullanılmaktadır. Teknoloji eksikliği, bir insan operatöre ihtiyaç yarattı.</w:t>
      </w:r>
      <w:r w:rsidRPr="00164238">
        <w:rPr>
          <w:color w:val="000000" w:themeColor="text1"/>
        </w:rPr>
        <w:tab/>
        <w:t>Ancak</w:t>
      </w:r>
      <w:r w:rsidRPr="00164238">
        <w:rPr>
          <w:color w:val="000000" w:themeColor="text1"/>
        </w:rPr>
        <w:tab/>
        <w:t>artık</w:t>
      </w:r>
      <w:r w:rsidRPr="00164238">
        <w:rPr>
          <w:color w:val="000000" w:themeColor="text1"/>
        </w:rPr>
        <w:tab/>
        <w:t>yapay</w:t>
      </w:r>
      <w:r w:rsidRPr="00164238">
        <w:rPr>
          <w:color w:val="000000" w:themeColor="text1"/>
        </w:rPr>
        <w:tab/>
        <w:t>zeka</w:t>
      </w:r>
      <w:r w:rsidRPr="00164238">
        <w:rPr>
          <w:color w:val="000000" w:themeColor="text1"/>
        </w:rPr>
        <w:tab/>
        <w:t>tabanlıçoklu</w:t>
      </w:r>
      <w:r w:rsidRPr="00164238">
        <w:rPr>
          <w:color w:val="000000" w:themeColor="text1"/>
        </w:rPr>
        <w:tab/>
        <w:t>sensör</w:t>
      </w:r>
      <w:r w:rsidRPr="00164238">
        <w:rPr>
          <w:color w:val="000000" w:themeColor="text1"/>
        </w:rPr>
        <w:tab/>
        <w:t>teknolojisine</w:t>
      </w:r>
      <w:r w:rsidRPr="00164238">
        <w:rPr>
          <w:color w:val="000000" w:themeColor="text1"/>
        </w:rPr>
        <w:tab/>
        <w:t>sahip</w:t>
      </w:r>
      <w:r w:rsidRPr="00164238">
        <w:rPr>
          <w:color w:val="000000" w:themeColor="text1"/>
        </w:rPr>
        <w:tab/>
        <w:t>kameralar havalimanlarında, hastanelerde, bakım evlerinde ve benzeri yerlerde kullanılıyor. gönderildi. Teknoloji, sıcak yüzleri otomatik olarak algılar ve hareketlerini izler, yüzlerini tanır ve kişinin yüz maskesi olup olmadığınıbelirler; 5. AKILLI HAYALLER VE ROBOTLAR Virüsün yayılmasınıönlemek için gereken ciddi sosyal dışlama önlemleri nedeniyle dronların ve robotların toplu konuşlandırılmasıhızlandırılmıştır. Uyumu sağlamak için, bazıdronlar  halka açık yerlerde yüz maskesi takmayan kişileri izlemek için kullanılırken, diğerleri bilgiyi daha genişbir kitleye yaymak ve halka açık yerleri dezenfekte etmek için kullanılır. Shenzhen merkezli bir teknolojişirketi olan MicroMultiCopter, dronların konuşlandırılmasıyoluylaşehir içinde tıbbi numuneler ve karantina materyalleri taşıyarak virüs bulaşma riskini azaltmaya yardımcıoldu. Robotlar gıda ve ilaç temininde kullanılmaktadır. Sağlık çalışanlarıiçin riskler açısından faydalıdır. Odalar temizlenir ve robotlar robotlarla sterilize edilir. Catering sektörü merkezli Pudu Technologies, bu amaçla 40'tan fazla hastaneye robot yerleştirerek sağlık sektörüne doğru genişledi; 6. KÜRATİF ARAŞTIRMA. Yapay zeka tasarımına sahip bir ilaç molekülü sunan birİngiliz keşfi olan Exscienta gibişirketlerin gösterdiği gibi SI virüsü  potansiyel bir oyun değiştirici olabilir. Algoritmanın geleneksel araştırma yöntemlerinin moleküler yapısınıgeliştirmek için ihtiyaç duyduğu beşyıllık ortalama süreye kıyasla bir yıl vaat ediyorlar; 7. BİLGİKONTROLÜ. SI'yıtemsil eden Google ve Facebook gibi teknoloji devleri komplo</w:t>
      </w:r>
      <w:r w:rsidRPr="00164238">
        <w:rPr>
          <w:color w:val="000000" w:themeColor="text1"/>
          <w:spacing w:val="14"/>
        </w:rPr>
        <w:t xml:space="preserve"> </w:t>
      </w:r>
      <w:r w:rsidRPr="00164238">
        <w:rPr>
          <w:color w:val="000000" w:themeColor="text1"/>
        </w:rPr>
        <w:t>teorileri,</w:t>
      </w:r>
      <w:r w:rsidRPr="00164238">
        <w:rPr>
          <w:color w:val="000000" w:themeColor="text1"/>
          <w:spacing w:val="15"/>
        </w:rPr>
        <w:t xml:space="preserve"> </w:t>
      </w:r>
      <w:r w:rsidRPr="00164238">
        <w:rPr>
          <w:color w:val="000000" w:themeColor="text1"/>
        </w:rPr>
        <w:t>kimlik</w:t>
      </w:r>
      <w:r w:rsidRPr="00164238">
        <w:rPr>
          <w:color w:val="000000" w:themeColor="text1"/>
          <w:spacing w:val="14"/>
        </w:rPr>
        <w:t xml:space="preserve"> </w:t>
      </w:r>
      <w:r w:rsidRPr="00164238">
        <w:rPr>
          <w:color w:val="000000" w:themeColor="text1"/>
        </w:rPr>
        <w:t>avı,</w:t>
      </w:r>
      <w:r w:rsidRPr="00164238">
        <w:rPr>
          <w:color w:val="000000" w:themeColor="text1"/>
          <w:spacing w:val="15"/>
        </w:rPr>
        <w:t xml:space="preserve"> </w:t>
      </w:r>
      <w:r w:rsidRPr="00164238">
        <w:rPr>
          <w:color w:val="000000" w:themeColor="text1"/>
        </w:rPr>
        <w:t>yanlışbilgiler</w:t>
      </w:r>
      <w:r w:rsidRPr="00164238">
        <w:rPr>
          <w:color w:val="000000" w:themeColor="text1"/>
          <w:spacing w:val="14"/>
        </w:rPr>
        <w:t xml:space="preserve"> </w:t>
      </w:r>
      <w:r w:rsidRPr="00164238">
        <w:rPr>
          <w:color w:val="000000" w:themeColor="text1"/>
        </w:rPr>
        <w:t>ve</w:t>
      </w:r>
      <w:r w:rsidRPr="00164238">
        <w:rPr>
          <w:color w:val="000000" w:themeColor="text1"/>
          <w:spacing w:val="15"/>
        </w:rPr>
        <w:t xml:space="preserve"> </w:t>
      </w:r>
      <w:r w:rsidRPr="00164238">
        <w:rPr>
          <w:color w:val="000000" w:themeColor="text1"/>
        </w:rPr>
        <w:t>kötü</w:t>
      </w:r>
      <w:r w:rsidRPr="00164238">
        <w:rPr>
          <w:color w:val="000000" w:themeColor="text1"/>
          <w:spacing w:val="15"/>
        </w:rPr>
        <w:t xml:space="preserve"> </w:t>
      </w:r>
      <w:r w:rsidRPr="00164238">
        <w:rPr>
          <w:color w:val="000000" w:themeColor="text1"/>
        </w:rPr>
        <w:t>amaçlıyazılımlarla</w:t>
      </w:r>
      <w:r w:rsidRPr="00164238">
        <w:rPr>
          <w:color w:val="000000" w:themeColor="text1"/>
          <w:spacing w:val="14"/>
        </w:rPr>
        <w:t xml:space="preserve"> </w:t>
      </w:r>
      <w:r w:rsidRPr="00164238">
        <w:rPr>
          <w:color w:val="000000" w:themeColor="text1"/>
        </w:rPr>
        <w:t>mücadele</w:t>
      </w:r>
      <w:r w:rsidRPr="00164238">
        <w:rPr>
          <w:color w:val="000000" w:themeColor="text1"/>
          <w:spacing w:val="15"/>
        </w:rPr>
        <w:t xml:space="preserve"> </w:t>
      </w:r>
      <w:r w:rsidRPr="00164238">
        <w:rPr>
          <w:color w:val="000000" w:themeColor="text1"/>
        </w:rPr>
        <w:t>ediyor.</w:t>
      </w:r>
    </w:p>
    <w:p w14:paraId="662E9C3A" w14:textId="77777777" w:rsidR="00A3188A" w:rsidRPr="00164238" w:rsidRDefault="00A3188A" w:rsidP="00A844B2">
      <w:pPr>
        <w:pStyle w:val="GvdeMetni"/>
        <w:spacing w:after="0" w:line="276" w:lineRule="auto"/>
        <w:ind w:right="163"/>
        <w:jc w:val="both"/>
        <w:rPr>
          <w:color w:val="000000" w:themeColor="text1"/>
        </w:rPr>
      </w:pPr>
      <w:r w:rsidRPr="00164238">
        <w:rPr>
          <w:color w:val="000000" w:themeColor="text1"/>
        </w:rPr>
        <w:t>Onaylanmışveri kaynaklarıyla ilişkili Koronavirüs / COVID-19 aramasınıgösteren bir sinyal sağlarlar. YouTube ise kullanıcılarıdoğrudan WHO ve benzeri güvenilir kuruluşlarla buluşturur. Yanlışbilgi veren videolar yüklenir yüklenmez aranır ve silinir. … SI dünyasının sorunu çözmede diğer sektörlerle paylaştığıgibi, bu tünelin sonundakiışık daha parlak parlıyor ve bu belirsiz zamanlarda dünyanın ihtiyaç duyduğu umudu yaratıyor ”.</w:t>
      </w:r>
    </w:p>
    <w:p w14:paraId="252C42FA" w14:textId="77777777" w:rsidR="00A3188A" w:rsidRPr="00164238" w:rsidRDefault="00A3188A" w:rsidP="00214B8E">
      <w:pPr>
        <w:pStyle w:val="GvdeMetni"/>
        <w:spacing w:after="0" w:line="276" w:lineRule="auto"/>
        <w:ind w:right="210" w:firstLine="708"/>
        <w:jc w:val="both"/>
        <w:rPr>
          <w:color w:val="000000" w:themeColor="text1"/>
        </w:rPr>
      </w:pPr>
      <w:r w:rsidRPr="00164238">
        <w:rPr>
          <w:color w:val="000000" w:themeColor="text1"/>
        </w:rPr>
        <w:t>Glenn ve Theodore tarafından yazılan "Milenyum Projesi" program belgesi özellikle ilgi çekicidir. . "Geleceğin durumu" ve "15 Küresel Zorluk" daki öngörüleri analiz edip yorumlayarak, insanıgenel endişeli bilgilerden ayırmanın ve iyimserlik uyandırmanın uygun olduğunu düşünüyoruz.</w:t>
      </w:r>
    </w:p>
    <w:p w14:paraId="2E12257F" w14:textId="77777777" w:rsidR="00A3188A" w:rsidRPr="00164238" w:rsidRDefault="00A3188A" w:rsidP="00A844B2">
      <w:pPr>
        <w:pStyle w:val="GvdeMetni"/>
        <w:spacing w:after="0" w:line="276" w:lineRule="auto"/>
        <w:ind w:right="103"/>
        <w:jc w:val="both"/>
        <w:rPr>
          <w:color w:val="000000" w:themeColor="text1"/>
        </w:rPr>
      </w:pPr>
      <w:r w:rsidRPr="00164238">
        <w:rPr>
          <w:color w:val="000000" w:themeColor="text1"/>
        </w:rPr>
        <w:t>İkinci olarak, Milenyum Raporu, 21. yüzyılın "kazanımlarını" ve "kayıplarını" vurgulamakta, soruna çözümler getirmekte, derinlemesine bilimsel tahminler sağlamakta, gezegen için sağlıklı bir gelecek için planlar sağlamakta ve modern yöntem ve metodolojileri kullanmaktadır. daha derin bir anlayışiçin genişufuklar açar.</w:t>
      </w:r>
    </w:p>
    <w:p w14:paraId="09354737" w14:textId="77777777" w:rsidR="00A3188A" w:rsidRPr="00164238" w:rsidRDefault="00A3188A" w:rsidP="00214B8E">
      <w:pPr>
        <w:pStyle w:val="GvdeMetni"/>
        <w:spacing w:after="0" w:line="276" w:lineRule="auto"/>
        <w:ind w:left="160" w:firstLine="548"/>
        <w:jc w:val="both"/>
        <w:rPr>
          <w:color w:val="000000" w:themeColor="text1"/>
        </w:rPr>
      </w:pPr>
      <w:r w:rsidRPr="00164238">
        <w:rPr>
          <w:color w:val="000000" w:themeColor="text1"/>
        </w:rPr>
        <w:t>Milenyum Raporu'nun "Geleceğin Durumu" ve "15 Küresel Kalkınma Zorluğu" bölümlerinde</w:t>
      </w:r>
    </w:p>
    <w:p w14:paraId="5BF9C6CC" w14:textId="77777777" w:rsidR="00A3188A" w:rsidRPr="00164238" w:rsidRDefault="00A3188A" w:rsidP="00A844B2">
      <w:pPr>
        <w:pStyle w:val="GvdeMetni"/>
        <w:spacing w:after="0" w:line="276" w:lineRule="auto"/>
        <w:jc w:val="both"/>
        <w:rPr>
          <w:color w:val="000000" w:themeColor="text1"/>
        </w:rPr>
      </w:pPr>
      <w:r w:rsidRPr="00164238">
        <w:rPr>
          <w:color w:val="000000" w:themeColor="text1"/>
        </w:rPr>
        <w:t>çizilen yeni dünya yaşam felsefesi haritası, yeni bir dünya, yeni bir yaşam felsefesi ve düzlemde büyük yakınlaşma gibi olumlu tahminlere dayanıyor.</w:t>
      </w:r>
    </w:p>
    <w:p w14:paraId="184C5455" w14:textId="77777777" w:rsidR="00A3188A" w:rsidRPr="00164238" w:rsidRDefault="00A3188A" w:rsidP="00214B8E">
      <w:pPr>
        <w:pStyle w:val="GvdeMetni"/>
        <w:spacing w:after="0" w:line="276" w:lineRule="auto"/>
        <w:ind w:right="210" w:firstLine="708"/>
        <w:jc w:val="both"/>
        <w:rPr>
          <w:color w:val="000000" w:themeColor="text1"/>
        </w:rPr>
      </w:pPr>
      <w:r w:rsidRPr="00164238">
        <w:rPr>
          <w:color w:val="000000" w:themeColor="text1"/>
        </w:rPr>
        <w:t xml:space="preserve">“15 Küresel Kalkınma Zorluğu” iç içe geçmiştir ve her biri günümüz, geleceği, refahı, yaşam sorunlarıve insan güvenliğini ilgilendirir ve bu bağlamda gezegenin tüm ülkeleri ve halklarıiçin </w:t>
      </w:r>
      <w:r w:rsidRPr="00164238">
        <w:rPr>
          <w:color w:val="000000" w:themeColor="text1"/>
        </w:rPr>
        <w:lastRenderedPageBreak/>
        <w:t>geçerlidir. Aynızamanda insanın ortak evi olan gezegenin varlığının ve yokluğunun haritası figürlerin gerçekliği ile bu belgede çizilmiştir. Amaçların Özeti bölümünde belirtildiği gibi, "Birinin diğerinden daha önemli olduğunu iddia etmek, insan sinir sisteminin solunum sisteminden daha önemli olduğunu iddia etmektir".</w:t>
      </w:r>
    </w:p>
    <w:p w14:paraId="05DE5625" w14:textId="7812A2EF" w:rsidR="00A3188A" w:rsidRPr="00164238" w:rsidRDefault="00A3188A" w:rsidP="00A844B2">
      <w:pPr>
        <w:pStyle w:val="GvdeMetni"/>
        <w:spacing w:after="0" w:line="276" w:lineRule="auto"/>
        <w:jc w:val="both"/>
        <w:rPr>
          <w:color w:val="000000" w:themeColor="text1"/>
        </w:rPr>
      </w:pPr>
      <w:r w:rsidRPr="00164238">
        <w:rPr>
          <w:color w:val="000000" w:themeColor="text1"/>
        </w:rPr>
        <w:t>Buna ek olarak Rapor, aşağıdaki bağlamda IQ eğitim kriterlerini özetliyor: “Nanoteknoloji, nöroloji, yapay zeka ve etkileşimli nesne tabanlıyapay çevrimiçi dünyalardaki gelişmelerin birleşimi, eğitimi 2030'a kadar daha deneysel ve çekici hale getirecek;İnternet tabanlısistemler birçok geleneksel eğitim sisteminin yerini alacak; geleneksel okullara ve öğretmenlere olan talep</w:t>
      </w:r>
      <w:r w:rsidR="00214B8E" w:rsidRPr="00164238">
        <w:rPr>
          <w:color w:val="000000" w:themeColor="text1"/>
          <w:lang w:val="tr-TR"/>
        </w:rPr>
        <w:t xml:space="preserve"> </w:t>
      </w:r>
      <w:r w:rsidRPr="00164238">
        <w:rPr>
          <w:color w:val="000000" w:themeColor="text1"/>
        </w:rPr>
        <w:t>ortadan kalkacak ”.</w:t>
      </w:r>
    </w:p>
    <w:p w14:paraId="3D9B6A69" w14:textId="77777777" w:rsidR="00A3188A" w:rsidRPr="00164238" w:rsidRDefault="00A3188A" w:rsidP="00214B8E">
      <w:pPr>
        <w:pStyle w:val="GvdeMetni"/>
        <w:spacing w:after="0" w:line="276" w:lineRule="auto"/>
        <w:ind w:right="163" w:firstLine="708"/>
        <w:jc w:val="both"/>
        <w:rPr>
          <w:color w:val="000000" w:themeColor="text1"/>
        </w:rPr>
      </w:pPr>
      <w:r w:rsidRPr="00164238">
        <w:rPr>
          <w:color w:val="000000" w:themeColor="text1"/>
        </w:rPr>
        <w:t>Rapor, gelecekte zekayıartıran yapay mikroplarla karşılaşacağımız konusunda bizi uyarıyor. "Yakın gelecekte beyin genetik olarak genişleyebilir ve yapıcımikroorganizmalar beyin hücrelerinin daha verimli çalışmasınısağlayabilir; Beyinde bir arada bulunan ve sinir aktivitesini artıran yeni mikropların genetik kodlarıyazıldı. Nadir yaşam formlarıoluşturmak için genetik kodlar oluşturma çalışmaları2010 yılına kadar yeni yaşam biçimlerini ortaya çıkardı. Daha sonra beyinde yaşayan ve ona yardım eden mikropların yaratılması10 yıl, diğer memelilerde test edilmesi ise 10 yıl alacak. Beyin daha uzun süre sağlıklıkalacak, tıbbi maliyetler azalacak ve bu daha akıllıbir medeniyete yol açacaktır ”.</w:t>
      </w:r>
    </w:p>
    <w:p w14:paraId="0E4E14FD" w14:textId="77777777" w:rsidR="00A3188A" w:rsidRPr="00164238" w:rsidRDefault="00A3188A" w:rsidP="00A844B2">
      <w:pPr>
        <w:pStyle w:val="GvdeMetni"/>
        <w:spacing w:after="0" w:line="276" w:lineRule="auto"/>
        <w:ind w:right="102"/>
        <w:jc w:val="both"/>
        <w:rPr>
          <w:color w:val="000000" w:themeColor="text1"/>
        </w:rPr>
      </w:pPr>
      <w:r w:rsidRPr="00164238">
        <w:rPr>
          <w:color w:val="000000" w:themeColor="text1"/>
        </w:rPr>
        <w:t>Eğitim alanında ne gibi yeniliklerle karşılaşacağız: “2030'da e-öğrenme, nispeten yoksul bölgelerdeki ve birçok zengin alandaki e-öğretmen talebini karşılamak için yurt dışından fon çekecek. Bu e-öğretmenler, yaşayan insanlardan daha çok yapay zeka kullanan yapay yapılardır; Teknolojinin 2030 yılına kadar ivme kazanmasının, doğrudan yükleme veya yeni nanoteknoloji uygulamalarıile seçilen kişilerin eğitileceği bir noktaya gelmesi olasıdır.</w:t>
      </w:r>
    </w:p>
    <w:p w14:paraId="6487F564" w14:textId="77777777" w:rsidR="00A3188A" w:rsidRPr="00164238" w:rsidRDefault="00A3188A" w:rsidP="00214B8E">
      <w:pPr>
        <w:pStyle w:val="GvdeMetni"/>
        <w:spacing w:after="0" w:line="276" w:lineRule="auto"/>
        <w:ind w:right="112" w:firstLine="708"/>
        <w:jc w:val="both"/>
        <w:rPr>
          <w:color w:val="000000" w:themeColor="text1"/>
        </w:rPr>
      </w:pPr>
      <w:r w:rsidRPr="00164238">
        <w:rPr>
          <w:color w:val="000000" w:themeColor="text1"/>
        </w:rPr>
        <w:t>Biopip sensörlerinin tanıtılmasıve diğer otomatik sistemlere geçişde beklenmektedir. Genel olarak, Milenyum Projesi, "Kolektif Düşüncenin Geliştirilmesine Yönelik Ulusal Programlar;" Dünyanın her yerinden 200'ün üzerinde uzman, 2030 için beklenen beklentileri karşılamayıseçti; Gençlerin beyinlerini uzun süre sağlıklıtutmak anlamına gelir; Beyin büyümesi için kimya; Web 17.0; Bütünleşik hayat boyu öğrenme sistemleri: E-Öğrenme;İnsanlardan akıllıbilgisayarlar; Düşünmeyi artıran yapay mikroplar vb. olarak tanımlandı.</w:t>
      </w:r>
    </w:p>
    <w:p w14:paraId="4EDDE21B" w14:textId="77777777" w:rsidR="00A3188A" w:rsidRPr="00164238" w:rsidRDefault="00A3188A" w:rsidP="00214B8E">
      <w:pPr>
        <w:pStyle w:val="GvdeMetni"/>
        <w:spacing w:after="0" w:line="276" w:lineRule="auto"/>
        <w:ind w:right="107" w:firstLine="708"/>
        <w:jc w:val="both"/>
        <w:rPr>
          <w:color w:val="000000" w:themeColor="text1"/>
        </w:rPr>
      </w:pPr>
      <w:r w:rsidRPr="00164238">
        <w:rPr>
          <w:color w:val="000000" w:themeColor="text1"/>
        </w:rPr>
        <w:t>Böylelikle yakın gelecekte yapay zeka, e-öğretmenler, çevrimiçi eğitim, çevrimiçi tıbbi uygulama, sağlık, araştırma, e-polis, e-mahkemeler, e-metro, e-arabalar ve daha birçok alanda halka fırsatlar sunacaktır. .</w:t>
      </w:r>
    </w:p>
    <w:p w14:paraId="31380B6A" w14:textId="77777777" w:rsidR="00A3188A" w:rsidRPr="00164238" w:rsidRDefault="00A3188A" w:rsidP="00A844B2">
      <w:pPr>
        <w:pStyle w:val="GvdeMetni"/>
        <w:spacing w:after="0" w:line="276" w:lineRule="auto"/>
        <w:jc w:val="both"/>
        <w:rPr>
          <w:color w:val="000000" w:themeColor="text1"/>
        </w:rPr>
      </w:pPr>
      <w:r w:rsidRPr="00164238">
        <w:rPr>
          <w:color w:val="000000" w:themeColor="text1"/>
        </w:rPr>
        <w:t>Gezegendeki bu biyolojik canlıların uzun ömürlülüğüne dair hala kanıtlar var. Bu nedenle bilim adamları, gelecekte Tanrıtarafından yaratılanların aksine, uzun bir insanırkı, uzun bir "karga" hayatıvaat eden 200 yıllık bir balina geni tespit ettiler.</w:t>
      </w:r>
    </w:p>
    <w:p w14:paraId="4E1AA0AC" w14:textId="77777777" w:rsidR="00A3188A" w:rsidRPr="00164238" w:rsidRDefault="00A3188A" w:rsidP="00214B8E">
      <w:pPr>
        <w:pStyle w:val="GvdeMetni"/>
        <w:spacing w:after="0" w:line="276" w:lineRule="auto"/>
        <w:ind w:firstLine="708"/>
        <w:jc w:val="both"/>
        <w:rPr>
          <w:color w:val="000000" w:themeColor="text1"/>
        </w:rPr>
      </w:pPr>
      <w:r w:rsidRPr="00164238">
        <w:rPr>
          <w:color w:val="000000" w:themeColor="text1"/>
        </w:rPr>
        <w:t>Bu "10 cesur hayatı" yaşayacak kişinin yaşlılıkta çıldırmamasıiçin ilaçlar da geliştirilmiştir. Çeşitli tahmin materyalleri, gelecekte beyin hücrelerinin yaşlanmasınedeniyle bilim adamlarının beyinlerini iğnelerle çekip yatıracaklarınıöngörüyor. Yakın gelecekte yapay zekanın devreye girmesi bekleniyor, birçok alanda kelimeler, imgeler, sesler, imgeler anlamında zaten "doldurulduğu" ifade ediliyor ve hayatımız hiçşüphesiz tamamen değişecek. Ayrıca, dün akıllı telefonlar gibi harika görünenşeyler günlük hayatımızın bir parçasıolarak sıradan hale gelirse, bugünün harika olanlarıgelecekte kendilerini kanıtlayacaktır.</w:t>
      </w:r>
    </w:p>
    <w:p w14:paraId="6E92C50B" w14:textId="77777777" w:rsidR="00A3188A" w:rsidRPr="00164238" w:rsidRDefault="00A3188A" w:rsidP="00A844B2">
      <w:pPr>
        <w:pStyle w:val="GvdeMetni"/>
        <w:spacing w:after="0" w:line="276" w:lineRule="auto"/>
        <w:jc w:val="both"/>
        <w:rPr>
          <w:color w:val="000000" w:themeColor="text1"/>
        </w:rPr>
      </w:pPr>
      <w:r w:rsidRPr="00164238">
        <w:rPr>
          <w:color w:val="000000" w:themeColor="text1"/>
        </w:rPr>
        <w:t>Etik, her dönemi ve her toplumu temsil eden en güçlü kriterdir. Milenyum Projesi raporlarıetik, adalet, eşitlik, refah ve daha fazlasına odaklanır.</w:t>
      </w:r>
    </w:p>
    <w:p w14:paraId="0F9E19AE" w14:textId="77777777" w:rsidR="00A3188A" w:rsidRPr="00164238" w:rsidRDefault="00A3188A" w:rsidP="00214B8E">
      <w:pPr>
        <w:pStyle w:val="GvdeMetni"/>
        <w:spacing w:after="0" w:line="276" w:lineRule="auto"/>
        <w:ind w:right="210" w:firstLine="580"/>
        <w:jc w:val="both"/>
        <w:rPr>
          <w:color w:val="000000" w:themeColor="text1"/>
        </w:rPr>
      </w:pPr>
      <w:r w:rsidRPr="00164238">
        <w:rPr>
          <w:color w:val="000000" w:themeColor="text1"/>
        </w:rPr>
        <w:t>Rapor aynızamanda zengin-yoksul uçurumunun ortadan kaldırılması, dünya çapındaki otoriter rejimler, gerçek demokrasinin sağlanması, tüm yaşam kaynaklarına eşit erişim, cinsiyet eşitliği, kadın haklarına saygı, ulusaşırıdurumların önlenmesi gibi ciddi zorluklarıanaliz etti ve yorumladı. suç ağları, küresel karar vermede etik sorunlar.</w:t>
      </w:r>
      <w:r w:rsidRPr="00164238">
        <w:rPr>
          <w:color w:val="000000" w:themeColor="text1"/>
          <w:spacing w:val="-6"/>
        </w:rPr>
        <w:t xml:space="preserve"> </w:t>
      </w:r>
      <w:r w:rsidRPr="00164238">
        <w:rPr>
          <w:color w:val="000000" w:themeColor="text1"/>
        </w:rPr>
        <w:t>.</w:t>
      </w:r>
    </w:p>
    <w:p w14:paraId="3F4BE43B" w14:textId="77777777" w:rsidR="00A3188A" w:rsidRPr="00164238" w:rsidRDefault="00A3188A" w:rsidP="00A844B2">
      <w:pPr>
        <w:pStyle w:val="GvdeMetni"/>
        <w:spacing w:after="0" w:line="276" w:lineRule="auto"/>
        <w:ind w:left="580"/>
        <w:jc w:val="both"/>
        <w:rPr>
          <w:color w:val="000000" w:themeColor="text1"/>
        </w:rPr>
      </w:pPr>
      <w:r w:rsidRPr="00164238">
        <w:rPr>
          <w:color w:val="000000" w:themeColor="text1"/>
        </w:rPr>
        <w:t>Yakın gelecekte e-öğretmenler, çevrimiçi eğitim, çevrimiçi tıp uygulamaları, sağlık</w:t>
      </w:r>
    </w:p>
    <w:p w14:paraId="5D7F71DD" w14:textId="77777777" w:rsidR="00A3188A" w:rsidRPr="00164238" w:rsidRDefault="00A3188A" w:rsidP="00A844B2">
      <w:pPr>
        <w:pStyle w:val="GvdeMetni"/>
        <w:spacing w:after="0" w:line="276" w:lineRule="auto"/>
        <w:ind w:right="210"/>
        <w:jc w:val="both"/>
        <w:rPr>
          <w:color w:val="000000" w:themeColor="text1"/>
        </w:rPr>
      </w:pPr>
      <w:r w:rsidRPr="00164238">
        <w:rPr>
          <w:color w:val="000000" w:themeColor="text1"/>
        </w:rPr>
        <w:lastRenderedPageBreak/>
        <w:t>hizmetleri, bilimsel çalışma, elektronik polis, mahkemeler, metro yapay zeka yetenekleri, arabalar ve daha birçok alan ile kitlelerin yaşam tarzıkökten değişecek. Tüm toplumlarda rüşvet ve yolsuzluk azaltılacak, geleneksel etik standartlarıgenişletilecek, hukuk ve adalet hakim olacaktır.</w:t>
      </w:r>
    </w:p>
    <w:p w14:paraId="7D402198" w14:textId="77777777" w:rsidR="00A3188A" w:rsidRPr="00164238" w:rsidRDefault="00A3188A" w:rsidP="00A844B2">
      <w:pPr>
        <w:pStyle w:val="GvdeMetni"/>
        <w:spacing w:after="0" w:line="276" w:lineRule="auto"/>
        <w:ind w:left="640"/>
        <w:jc w:val="both"/>
        <w:rPr>
          <w:color w:val="000000" w:themeColor="text1"/>
        </w:rPr>
      </w:pPr>
      <w:r w:rsidRPr="00164238">
        <w:rPr>
          <w:color w:val="000000" w:themeColor="text1"/>
        </w:rPr>
        <w:t>Dolayısıyla bu karmaşık, psikolojik açıdan zor makaleyi sonuçlandırırken, Covid-19'dan</w:t>
      </w:r>
    </w:p>
    <w:p w14:paraId="2055BD28" w14:textId="77777777" w:rsidR="00A3188A" w:rsidRPr="00164238" w:rsidRDefault="00A3188A" w:rsidP="00A844B2">
      <w:pPr>
        <w:pStyle w:val="GvdeMetni"/>
        <w:spacing w:after="0" w:line="276" w:lineRule="auto"/>
        <w:ind w:right="210"/>
        <w:jc w:val="both"/>
        <w:rPr>
          <w:color w:val="000000" w:themeColor="text1"/>
        </w:rPr>
      </w:pPr>
      <w:r w:rsidRPr="00164238">
        <w:rPr>
          <w:color w:val="000000" w:themeColor="text1"/>
        </w:rPr>
        <w:t>sonraki geleceğin daha eğlenceli, gösterişli, rekabetçi olduğunu vurgulamak önemlidir. Mizah içerikli edebi, sanatsal, TV programlarınıdoğrudan destekler. Başka bir deyişle, gelecek gezegenin bizi bekleyen farklılıkları- çokkültürlülük - tüm insanlarıbirleştirir ve onlarıdahilere dönüştürür, sonra onlarısürün (çıldırıncaya kadar güldürür), sonra onlara güçlü ilaçlarla tedavi edin ve sonunda balina genleriyle yaşayın. 200 yıl.</w:t>
      </w:r>
    </w:p>
    <w:p w14:paraId="0AF4E1D3" w14:textId="4030EFF4" w:rsidR="00A3188A" w:rsidRPr="00164238" w:rsidRDefault="00A3188A" w:rsidP="006A4DC2">
      <w:pPr>
        <w:pStyle w:val="GvdeMetni"/>
        <w:spacing w:after="0" w:line="276" w:lineRule="auto"/>
        <w:ind w:firstLine="708"/>
        <w:jc w:val="both"/>
        <w:rPr>
          <w:color w:val="000000" w:themeColor="text1"/>
        </w:rPr>
      </w:pPr>
      <w:r w:rsidRPr="00164238">
        <w:rPr>
          <w:color w:val="000000" w:themeColor="text1"/>
        </w:rPr>
        <w:t>Böylece, yapay zekanın cazibesinin güçlü etkisi altında kitleler dünyaya hayran kalacak. Evet, gelecekte insanlar daha uzun yaşayacak, sosyal refah daha güçlü olacak, savaşlar</w:t>
      </w:r>
      <w:r w:rsidR="006A4DC2">
        <w:rPr>
          <w:color w:val="000000" w:themeColor="text1"/>
        </w:rPr>
        <w:t xml:space="preserve"> ve çatışmalar</w:t>
      </w:r>
      <w:r w:rsidRPr="00164238">
        <w:rPr>
          <w:color w:val="000000" w:themeColor="text1"/>
        </w:rPr>
        <w:t>sona erecek, insanlık modasıgeçmişteknolojilere veda edecek, yapay zekanın son derece yenilikçi sonuçlarına herkesşaşıracak ve yavaşyavaşadapte olacak ve haline gelecektir. bir parçası.</w:t>
      </w:r>
    </w:p>
    <w:p w14:paraId="6F88248E" w14:textId="77777777" w:rsidR="00A3188A" w:rsidRPr="00164238" w:rsidRDefault="00A3188A" w:rsidP="00A844B2">
      <w:pPr>
        <w:pStyle w:val="GvdeMetni"/>
        <w:spacing w:after="0" w:line="276" w:lineRule="auto"/>
        <w:ind w:right="100"/>
        <w:jc w:val="both"/>
        <w:rPr>
          <w:color w:val="000000" w:themeColor="text1"/>
        </w:rPr>
      </w:pPr>
      <w:r w:rsidRPr="00164238">
        <w:rPr>
          <w:color w:val="000000" w:themeColor="text1"/>
        </w:rPr>
        <w:t>Ancak bilimin gerçeklik ve nesnellik kriterleri, yapay zekanın bugün ve gelecek için başarısızlıklarınıda göstermektedir.</w:t>
      </w:r>
    </w:p>
    <w:p w14:paraId="54EF51AC" w14:textId="77777777" w:rsidR="00A3188A" w:rsidRPr="00164238" w:rsidRDefault="00A3188A" w:rsidP="00214B8E">
      <w:pPr>
        <w:pStyle w:val="GvdeMetni"/>
        <w:spacing w:after="0" w:line="276" w:lineRule="auto"/>
        <w:ind w:right="100" w:firstLine="708"/>
        <w:jc w:val="both"/>
        <w:rPr>
          <w:color w:val="000000" w:themeColor="text1"/>
        </w:rPr>
      </w:pPr>
      <w:r w:rsidRPr="00164238">
        <w:rPr>
          <w:color w:val="000000" w:themeColor="text1"/>
        </w:rPr>
        <w:t>Birincisi, dünya bilimi, Covid-19 kabusunun 10 yıl önce meydana geleceğini öngördü. Covid- 19'dan önce Sars-Cov-2, Ebola, ZikA pandemik nesillerinin de bilindiği doğrudur. Ancak Aİ bunu engellemek için çok geç. Dünya Sağlık Örgütü, 10 yıl önce bilinen bu kabusların önüne geçemedi.</w:t>
      </w:r>
    </w:p>
    <w:p w14:paraId="7C1D1783" w14:textId="77777777" w:rsidR="00A3188A" w:rsidRPr="00164238" w:rsidRDefault="00A3188A" w:rsidP="00214B8E">
      <w:pPr>
        <w:pStyle w:val="GvdeMetni"/>
        <w:spacing w:after="0" w:line="276" w:lineRule="auto"/>
        <w:ind w:left="160" w:firstLine="548"/>
        <w:jc w:val="both"/>
        <w:rPr>
          <w:color w:val="000000" w:themeColor="text1"/>
        </w:rPr>
      </w:pPr>
      <w:r w:rsidRPr="00164238">
        <w:rPr>
          <w:color w:val="000000" w:themeColor="text1"/>
        </w:rPr>
        <w:t>Yapay zekanın zengin potansiyeli ile çalışan hastaneler yaratmak bugün neden çok sevindirici?</w:t>
      </w:r>
    </w:p>
    <w:p w14:paraId="031BE93D" w14:textId="77777777" w:rsidR="00A3188A" w:rsidRPr="00164238" w:rsidRDefault="00A3188A" w:rsidP="00A844B2">
      <w:pPr>
        <w:pStyle w:val="GvdeMetni"/>
        <w:spacing w:after="0" w:line="276" w:lineRule="auto"/>
        <w:ind w:right="196"/>
        <w:jc w:val="both"/>
        <w:rPr>
          <w:color w:val="000000" w:themeColor="text1"/>
        </w:rPr>
      </w:pPr>
      <w:r w:rsidRPr="00164238">
        <w:rPr>
          <w:color w:val="000000" w:themeColor="text1"/>
        </w:rPr>
        <w:t>Fakat 10 yıl önce bu kadar ciddi önlemler alınmışolsaydı, öngörülen ilaçlar ve aşılar üretilip uygulanmışolsaydı, bu kadar çok kayıp olmazdı.</w:t>
      </w:r>
    </w:p>
    <w:p w14:paraId="1520B18B" w14:textId="65E9D859" w:rsidR="00A3188A" w:rsidRPr="00164238" w:rsidRDefault="00A3188A" w:rsidP="00214B8E">
      <w:pPr>
        <w:pStyle w:val="GvdeMetni"/>
        <w:spacing w:after="0" w:line="276" w:lineRule="auto"/>
        <w:ind w:right="203"/>
        <w:jc w:val="both"/>
        <w:rPr>
          <w:color w:val="000000" w:themeColor="text1"/>
        </w:rPr>
      </w:pPr>
      <w:r w:rsidRPr="00164238">
        <w:rPr>
          <w:color w:val="000000" w:themeColor="text1"/>
        </w:rPr>
        <w:t xml:space="preserve">Salgın bir yıldan fazla bir süredir devam ediyor ve enfekte olan kişilerin sayısıgün geçtikçe artıyor, ancak ne ilaç ne de yeterli aşıkıtlığıvar. Bize göre bu, yapay zekanın </w:t>
      </w:r>
      <w:r w:rsidR="00214B8E" w:rsidRPr="00164238">
        <w:rPr>
          <w:color w:val="000000" w:themeColor="text1"/>
        </w:rPr>
        <w:t>–</w:t>
      </w:r>
      <w:r w:rsidRPr="00164238">
        <w:rPr>
          <w:color w:val="000000" w:themeColor="text1"/>
        </w:rPr>
        <w:t xml:space="preserve"> akıllı</w:t>
      </w:r>
      <w:r w:rsidR="00214B8E" w:rsidRPr="00164238">
        <w:rPr>
          <w:color w:val="000000" w:themeColor="text1"/>
          <w:lang w:val="tr-TR"/>
        </w:rPr>
        <w:t xml:space="preserve"> </w:t>
      </w:r>
      <w:r w:rsidRPr="00164238">
        <w:rPr>
          <w:color w:val="000000" w:themeColor="text1"/>
        </w:rPr>
        <w:t>makinelerin</w:t>
      </w:r>
      <w:r w:rsidR="00214B8E" w:rsidRPr="00164238">
        <w:rPr>
          <w:color w:val="000000" w:themeColor="text1"/>
          <w:lang w:val="tr-TR"/>
        </w:rPr>
        <w:t xml:space="preserve"> </w:t>
      </w:r>
      <w:r w:rsidRPr="00164238">
        <w:rPr>
          <w:color w:val="000000" w:themeColor="text1"/>
        </w:rPr>
        <w:t>henüz insanların yerini almaya hazır</w:t>
      </w:r>
      <w:r w:rsidRPr="00164238">
        <w:rPr>
          <w:color w:val="000000" w:themeColor="text1"/>
          <w:spacing w:val="-3"/>
        </w:rPr>
        <w:t xml:space="preserve"> </w:t>
      </w:r>
      <w:r w:rsidRPr="00164238">
        <w:rPr>
          <w:color w:val="000000" w:themeColor="text1"/>
        </w:rPr>
        <w:t>olmadığını</w:t>
      </w:r>
      <w:r w:rsidR="00214B8E" w:rsidRPr="00164238">
        <w:rPr>
          <w:color w:val="000000" w:themeColor="text1"/>
          <w:lang w:val="tr-TR"/>
        </w:rPr>
        <w:t xml:space="preserve"> </w:t>
      </w:r>
      <w:r w:rsidRPr="00164238">
        <w:rPr>
          <w:color w:val="000000" w:themeColor="text1"/>
        </w:rPr>
        <w:t>doğruluyor.</w:t>
      </w:r>
    </w:p>
    <w:p w14:paraId="2247E96E" w14:textId="77777777" w:rsidR="00A3188A" w:rsidRPr="00164238" w:rsidRDefault="00A3188A" w:rsidP="00214B8E">
      <w:pPr>
        <w:pStyle w:val="GvdeMetni"/>
        <w:spacing w:after="0" w:line="276" w:lineRule="auto"/>
        <w:ind w:right="103" w:firstLine="708"/>
        <w:jc w:val="both"/>
        <w:rPr>
          <w:color w:val="000000" w:themeColor="text1"/>
        </w:rPr>
      </w:pPr>
      <w:r w:rsidRPr="00164238">
        <w:rPr>
          <w:color w:val="000000" w:themeColor="text1"/>
        </w:rPr>
        <w:t>Bugün yapay zekanın zengin potansiyeli ile çalışan hastaneler yaratmak çok sevindirici. Fakat 10 yıl önce bu kadar ciddi önlemler alınmışolsaydı, öngörülen ilaçlar ve aşılar üretilip uygulanmış olsaydı, bu kadar çok kayıp olmazdı.</w:t>
      </w:r>
    </w:p>
    <w:p w14:paraId="24548588" w14:textId="10B4DBC5" w:rsidR="00A3188A" w:rsidRPr="00164238" w:rsidRDefault="00A3188A" w:rsidP="00214B8E">
      <w:pPr>
        <w:pStyle w:val="GvdeMetni"/>
        <w:spacing w:after="0" w:line="276" w:lineRule="auto"/>
        <w:ind w:right="210" w:firstLine="708"/>
        <w:jc w:val="both"/>
        <w:rPr>
          <w:color w:val="000000" w:themeColor="text1"/>
        </w:rPr>
      </w:pPr>
      <w:r w:rsidRPr="00164238">
        <w:rPr>
          <w:color w:val="000000" w:themeColor="text1"/>
        </w:rPr>
        <w:t xml:space="preserve">Salgın bir yıldan fazla bir süredir devam ediyor ve enfekte olan kişilerin sayısıgün geçtikçe artıyor, ancak ne ilaç ne de yeterli aşıkıtlığıvar. Bize göre bu, yapay zekanın </w:t>
      </w:r>
      <w:r w:rsidR="00214B8E" w:rsidRPr="00164238">
        <w:rPr>
          <w:color w:val="000000" w:themeColor="text1"/>
        </w:rPr>
        <w:t>–</w:t>
      </w:r>
      <w:r w:rsidRPr="00164238">
        <w:rPr>
          <w:color w:val="000000" w:themeColor="text1"/>
        </w:rPr>
        <w:t xml:space="preserve"> akıllı</w:t>
      </w:r>
      <w:r w:rsidR="00214B8E" w:rsidRPr="00164238">
        <w:rPr>
          <w:color w:val="000000" w:themeColor="text1"/>
          <w:lang w:val="tr-TR"/>
        </w:rPr>
        <w:t xml:space="preserve"> </w:t>
      </w:r>
      <w:r w:rsidRPr="00164238">
        <w:rPr>
          <w:color w:val="000000" w:themeColor="text1"/>
        </w:rPr>
        <w:t>makinelerin</w:t>
      </w:r>
      <w:r w:rsidR="00214B8E" w:rsidRPr="00164238">
        <w:rPr>
          <w:color w:val="000000" w:themeColor="text1"/>
          <w:lang w:val="tr-TR"/>
        </w:rPr>
        <w:t xml:space="preserve"> </w:t>
      </w:r>
      <w:r w:rsidRPr="00164238">
        <w:rPr>
          <w:color w:val="000000" w:themeColor="text1"/>
        </w:rPr>
        <w:t>henüz insanların yerini almaya hazır</w:t>
      </w:r>
      <w:r w:rsidRPr="00164238">
        <w:rPr>
          <w:color w:val="000000" w:themeColor="text1"/>
          <w:spacing w:val="-3"/>
        </w:rPr>
        <w:t xml:space="preserve"> </w:t>
      </w:r>
      <w:r w:rsidRPr="00164238">
        <w:rPr>
          <w:color w:val="000000" w:themeColor="text1"/>
        </w:rPr>
        <w:t>olmadığını</w:t>
      </w:r>
      <w:r w:rsidR="00214B8E" w:rsidRPr="00164238">
        <w:rPr>
          <w:color w:val="000000" w:themeColor="text1"/>
          <w:lang w:val="tr-TR"/>
        </w:rPr>
        <w:t xml:space="preserve"> </w:t>
      </w:r>
      <w:r w:rsidRPr="00164238">
        <w:rPr>
          <w:color w:val="000000" w:themeColor="text1"/>
        </w:rPr>
        <w:t>doğruluyor.</w:t>
      </w:r>
    </w:p>
    <w:p w14:paraId="599373D1" w14:textId="77777777" w:rsidR="00A3188A" w:rsidRPr="00164238" w:rsidRDefault="00A3188A" w:rsidP="00214B8E">
      <w:pPr>
        <w:pStyle w:val="GvdeMetni"/>
        <w:spacing w:after="0" w:line="276" w:lineRule="auto"/>
        <w:ind w:right="178" w:firstLine="708"/>
        <w:jc w:val="both"/>
        <w:rPr>
          <w:color w:val="000000" w:themeColor="text1"/>
        </w:rPr>
      </w:pPr>
      <w:r w:rsidRPr="00164238">
        <w:rPr>
          <w:color w:val="000000" w:themeColor="text1"/>
        </w:rPr>
        <w:t>Ek olarak, pandemiden etkilenen ana alan eğitimdir ve dünyadaki en gelişmişülkeler sadece bu tür uzaktan eğitimin gereksinimlerini tam olarak karşılamakla kalmaz, aynızamanda çok geride kalmaktadır.</w:t>
      </w:r>
    </w:p>
    <w:p w14:paraId="08CF08B9" w14:textId="77777777" w:rsidR="00A3188A" w:rsidRPr="00164238" w:rsidRDefault="00A3188A" w:rsidP="00A844B2">
      <w:pPr>
        <w:pStyle w:val="GvdeMetni"/>
        <w:spacing w:after="0" w:line="276" w:lineRule="auto"/>
        <w:jc w:val="both"/>
        <w:rPr>
          <w:color w:val="000000" w:themeColor="text1"/>
        </w:rPr>
      </w:pPr>
      <w:r w:rsidRPr="00164238">
        <w:rPr>
          <w:color w:val="000000" w:themeColor="text1"/>
        </w:rPr>
        <w:t>Bilinen bir diğer konu da salgın öncesi göçtü. Bugün istatistikler, 28 milyonu okul çağındaki</w:t>
      </w:r>
    </w:p>
    <w:p w14:paraId="098E54FC" w14:textId="77777777" w:rsidR="00A3188A" w:rsidRPr="00164238" w:rsidRDefault="00A3188A" w:rsidP="00A844B2">
      <w:pPr>
        <w:pStyle w:val="GvdeMetni"/>
        <w:spacing w:after="0" w:line="276" w:lineRule="auto"/>
        <w:ind w:right="1391"/>
        <w:jc w:val="both"/>
        <w:rPr>
          <w:color w:val="000000" w:themeColor="text1"/>
        </w:rPr>
      </w:pPr>
      <w:r w:rsidRPr="00164238">
        <w:rPr>
          <w:color w:val="000000" w:themeColor="text1"/>
        </w:rPr>
        <w:t>mülteci çocuk olmak üzere yaklaşık 66 milyon göçmen olduğunu gösteriyor. Göçmenler bir pandemi sırasında e-öğrenme dahil yapay zekadan yararlanabilir</w:t>
      </w:r>
      <w:r w:rsidRPr="00164238">
        <w:rPr>
          <w:color w:val="000000" w:themeColor="text1"/>
          <w:spacing w:val="-25"/>
        </w:rPr>
        <w:t xml:space="preserve"> </w:t>
      </w:r>
      <w:r w:rsidRPr="00164238">
        <w:rPr>
          <w:color w:val="000000" w:themeColor="text1"/>
        </w:rPr>
        <w:t>mi?</w:t>
      </w:r>
    </w:p>
    <w:p w14:paraId="345F0EBB" w14:textId="77777777" w:rsidR="00A3188A" w:rsidRPr="00164238" w:rsidRDefault="00A3188A" w:rsidP="00214B8E">
      <w:pPr>
        <w:pStyle w:val="GvdeMetni"/>
        <w:spacing w:after="0" w:line="276" w:lineRule="auto"/>
        <w:ind w:right="212" w:firstLine="708"/>
        <w:jc w:val="both"/>
        <w:rPr>
          <w:color w:val="000000" w:themeColor="text1"/>
        </w:rPr>
      </w:pPr>
      <w:r w:rsidRPr="00164238">
        <w:rPr>
          <w:color w:val="000000" w:themeColor="text1"/>
        </w:rPr>
        <w:t>Dolayısıyla gerçekşu ki, salgın birkaç yıl devam ederse tüm nüfusun sağlık gibi eğitim ve işsizlik endişeleri artacak ve asıl mesele yapay zekanın bu sorunlarıçözecek kadar güçlü olmayacağıdır.</w:t>
      </w:r>
    </w:p>
    <w:p w14:paraId="3DC4E4D7" w14:textId="77777777" w:rsidR="00A3188A" w:rsidRPr="00164238" w:rsidRDefault="00A3188A" w:rsidP="00A844B2">
      <w:pPr>
        <w:pStyle w:val="GvdeMetni"/>
        <w:spacing w:after="0" w:line="276" w:lineRule="auto"/>
        <w:ind w:right="184"/>
        <w:jc w:val="both"/>
        <w:rPr>
          <w:color w:val="000000" w:themeColor="text1"/>
        </w:rPr>
      </w:pPr>
      <w:r w:rsidRPr="00164238">
        <w:rPr>
          <w:color w:val="000000" w:themeColor="text1"/>
        </w:rPr>
        <w:t>İnsan zihninin yerini alacağına inandığımız ve güvendiğimiz yapay zekanın ne kadarıve yüzde kaçıbunu engellemeye hazır?</w:t>
      </w:r>
    </w:p>
    <w:p w14:paraId="458BDBD4" w14:textId="77777777" w:rsidR="00A3188A" w:rsidRPr="00164238" w:rsidRDefault="00A3188A" w:rsidP="00214B8E">
      <w:pPr>
        <w:pStyle w:val="GvdeMetni"/>
        <w:spacing w:after="0" w:line="276" w:lineRule="auto"/>
        <w:ind w:right="102" w:firstLine="708"/>
        <w:jc w:val="both"/>
        <w:rPr>
          <w:color w:val="000000" w:themeColor="text1"/>
        </w:rPr>
      </w:pPr>
      <w:r w:rsidRPr="00164238">
        <w:rPr>
          <w:color w:val="000000" w:themeColor="text1"/>
        </w:rPr>
        <w:t>Ne yazık ki, bu soruyu cevaplayacak bir kanıt yok. Yapay zeka alanında dünyada ilk sırada yer alan ABD, ikinci sırada yer alan Çin ve Avrupa'da birinci sırada yer alanİngiltere mevcut salgına son vermedi. Bu nedenle yapay zeka dünyası, bilimsel salgının ne zaman tamamen ortadan kalkacağınıtahmin edemez.</w:t>
      </w:r>
    </w:p>
    <w:p w14:paraId="217D380C" w14:textId="571DC2EB" w:rsidR="00A3188A" w:rsidRPr="00164238" w:rsidRDefault="00A3188A" w:rsidP="00A844B2">
      <w:pPr>
        <w:pStyle w:val="GvdeMetni"/>
        <w:spacing w:after="0" w:line="276" w:lineRule="auto"/>
        <w:ind w:right="1075"/>
        <w:jc w:val="both"/>
        <w:rPr>
          <w:color w:val="000000" w:themeColor="text1"/>
        </w:rPr>
      </w:pPr>
      <w:r w:rsidRPr="00164238">
        <w:rPr>
          <w:color w:val="000000" w:themeColor="text1"/>
        </w:rPr>
        <w:t>Salgın ekonomi, eğitim, tıp, sosyal yaşam, kültürde grev yapmaya devam ediyor. Yapay zeka derinleşen sorunları</w:t>
      </w:r>
      <w:r w:rsidR="00214B8E" w:rsidRPr="00164238">
        <w:rPr>
          <w:color w:val="000000" w:themeColor="text1"/>
          <w:lang w:val="tr-TR"/>
        </w:rPr>
        <w:t xml:space="preserve"> </w:t>
      </w:r>
      <w:r w:rsidRPr="00164238">
        <w:rPr>
          <w:color w:val="000000" w:themeColor="text1"/>
        </w:rPr>
        <w:t>çözemez.</w:t>
      </w:r>
    </w:p>
    <w:p w14:paraId="5BDBEAA4" w14:textId="77777777" w:rsidR="00A3188A" w:rsidRPr="00164238" w:rsidRDefault="00A3188A" w:rsidP="00214B8E">
      <w:pPr>
        <w:pStyle w:val="GvdeMetni"/>
        <w:spacing w:after="0" w:line="276" w:lineRule="auto"/>
        <w:ind w:right="210" w:firstLine="708"/>
        <w:jc w:val="both"/>
        <w:rPr>
          <w:color w:val="000000" w:themeColor="text1"/>
        </w:rPr>
      </w:pPr>
      <w:r w:rsidRPr="00164238">
        <w:rPr>
          <w:color w:val="000000" w:themeColor="text1"/>
        </w:rPr>
        <w:t>Bu durum, bu makalede analiz etmek istediğimiz soruyu cevaplıyor - yapay zekanın bir pandemide etkisi: başarılar ve zorluklar.</w:t>
      </w:r>
    </w:p>
    <w:p w14:paraId="1EC57DF5" w14:textId="77777777" w:rsidR="00A3188A" w:rsidRPr="00164238" w:rsidRDefault="00A3188A" w:rsidP="00214B8E">
      <w:pPr>
        <w:pStyle w:val="GvdeMetni"/>
        <w:spacing w:after="0" w:line="276" w:lineRule="auto"/>
        <w:ind w:right="112" w:firstLine="708"/>
        <w:jc w:val="both"/>
        <w:rPr>
          <w:color w:val="000000" w:themeColor="text1"/>
        </w:rPr>
      </w:pPr>
      <w:r w:rsidRPr="00164238">
        <w:rPr>
          <w:color w:val="000000" w:themeColor="text1"/>
        </w:rPr>
        <w:lastRenderedPageBreak/>
        <w:t>"Yapay Zeka Bağlamında Covid-19: Başarılar ve Zorluklar" başlıklıyazımızda, bugünü ve geleceği analiz ederek bu en önemli sorunu değerlendirmeye çalıştık. Aynızamanda yapay zekanın Covid-19 salgınıile mücadeledeki başarısınıve gerileme sorununu inceleyen bu yazımızda, dünya geliştikçe yapay zeka sisteminin de var olacağısonucuna vardık. Ancak dünya bilim adamlarının yarattığıyapay zekanın onların yerini alıp alamayacağıhenüz belli değil.</w:t>
      </w:r>
    </w:p>
    <w:p w14:paraId="197DD475" w14:textId="77777777" w:rsidR="00A3188A" w:rsidRPr="00164238" w:rsidRDefault="00A3188A" w:rsidP="00214B8E">
      <w:pPr>
        <w:pStyle w:val="GvdeMetni"/>
        <w:spacing w:after="0" w:line="276" w:lineRule="auto"/>
        <w:ind w:firstLine="708"/>
        <w:jc w:val="both"/>
        <w:rPr>
          <w:color w:val="000000" w:themeColor="text1"/>
        </w:rPr>
      </w:pPr>
      <w:r w:rsidRPr="00164238">
        <w:rPr>
          <w:color w:val="000000" w:themeColor="text1"/>
        </w:rPr>
        <w:t>Yapay zeka araştırmasıiçin seçtiğimiz Amerika Birleşik Devletleri, Çin ve Birleşik Krallık'taki ilerici gelişme gibi regresyon da bir istisna değildir.</w:t>
      </w:r>
    </w:p>
    <w:p w14:paraId="0819C808" w14:textId="3E4BBE63" w:rsidR="00A3188A" w:rsidRPr="00164238" w:rsidRDefault="00A3188A" w:rsidP="00214B8E">
      <w:pPr>
        <w:pStyle w:val="GvdeMetni"/>
        <w:spacing w:after="0" w:line="276" w:lineRule="auto"/>
        <w:ind w:firstLine="708"/>
        <w:jc w:val="both"/>
        <w:rPr>
          <w:color w:val="000000" w:themeColor="text1"/>
        </w:rPr>
      </w:pPr>
      <w:r w:rsidRPr="00164238">
        <w:rPr>
          <w:color w:val="000000" w:themeColor="text1"/>
        </w:rPr>
        <w:t>Buna örneğin Amerika Birleşik Devletleri, Çin,İngiltere ve diğer ülkelerdeki yapay zeka sorunlarına bakalım.</w:t>
      </w:r>
      <w:r w:rsidR="00214B8E" w:rsidRPr="00164238">
        <w:rPr>
          <w:color w:val="000000" w:themeColor="text1"/>
          <w:lang w:val="tr-TR"/>
        </w:rPr>
        <w:t xml:space="preserve"> </w:t>
      </w:r>
      <w:r w:rsidRPr="00164238">
        <w:rPr>
          <w:color w:val="000000" w:themeColor="text1"/>
        </w:rPr>
        <w:t>Bu ülkelerde Covid-19 ile mücadelede yapay zeka sonuçlarının genel makine mühendisliği</w:t>
      </w:r>
    </w:p>
    <w:p w14:paraId="601B87A3" w14:textId="64A68497" w:rsidR="00A3188A" w:rsidRPr="00164238" w:rsidRDefault="00A3188A" w:rsidP="00A844B2">
      <w:pPr>
        <w:pStyle w:val="GvdeMetni"/>
        <w:spacing w:after="0" w:line="276" w:lineRule="auto"/>
        <w:jc w:val="both"/>
        <w:rPr>
          <w:color w:val="000000" w:themeColor="text1"/>
        </w:rPr>
      </w:pPr>
      <w:r w:rsidRPr="00164238">
        <w:rPr>
          <w:color w:val="000000" w:themeColor="text1"/>
        </w:rPr>
        <w:t>sistemindeki durumdan kaynaklandığı</w:t>
      </w:r>
      <w:r w:rsidR="002E3F19" w:rsidRPr="00164238">
        <w:rPr>
          <w:color w:val="000000" w:themeColor="text1"/>
          <w:lang w:val="tr-TR"/>
        </w:rPr>
        <w:t xml:space="preserve"> </w:t>
      </w:r>
      <w:r w:rsidRPr="00164238">
        <w:rPr>
          <w:color w:val="000000" w:themeColor="text1"/>
        </w:rPr>
        <w:t>belirtilmelidir.</w:t>
      </w:r>
    </w:p>
    <w:p w14:paraId="07E56145" w14:textId="4E4C9291" w:rsidR="00A3188A" w:rsidRPr="00164238" w:rsidRDefault="00A3188A" w:rsidP="002E3F19">
      <w:pPr>
        <w:pStyle w:val="GvdeMetni"/>
        <w:spacing w:after="0" w:line="276" w:lineRule="auto"/>
        <w:ind w:firstLine="708"/>
        <w:jc w:val="both"/>
        <w:rPr>
          <w:color w:val="000000" w:themeColor="text1"/>
        </w:rPr>
      </w:pPr>
      <w:r w:rsidRPr="00164238">
        <w:rPr>
          <w:color w:val="000000" w:themeColor="text1"/>
        </w:rPr>
        <w:t>Dolayısıyla, ABD'de yapay zekanın zayıflığıolarak nitelendirilen "Çin'in yapay zeka</w:t>
      </w:r>
      <w:r w:rsidR="002E3F19" w:rsidRPr="00164238">
        <w:rPr>
          <w:color w:val="000000" w:themeColor="text1"/>
          <w:lang w:val="tr-TR"/>
        </w:rPr>
        <w:t xml:space="preserve"> </w:t>
      </w:r>
      <w:r w:rsidRPr="00164238">
        <w:rPr>
          <w:color w:val="000000" w:themeColor="text1"/>
        </w:rPr>
        <w:t>konusundaki mutlak liderliğini tehdit eden rekabet", Yapay zekanın olasıolumsuz sonuçlarıda gerilemedir: Dördüncü teknolojilerin kontrolsüz kullanımının ortaya çıkması. Uluslararasıhukuk tarafından zayıf birşekilde kapsanan askeri operasyonlarda Sanayi Devrimi; Yapay zeka destekli askeri gelişmeler, insan yaşamıiçin mevcut bir tehdit oluşturmaktadır; Zayıf, geleneksel değerleme yöntemleri altında, devletler ve devlet dışıaktörler, güçlü devletlere karşıuzaktan yüksek hassasiyetli grevler yapabilecekler; AI, siber saldırılarıotomatikleştirecek ve bu teknolojiyi karaborsaya tanıtacak; Programcıların bireysel tercihleri ve AI sistemleri tarafından işlenen yanlışbilgiler nedeniyle kullanıcılar veya vatandaşgruplarıarasında "algoritmik ayrım"; 25-54 yaşlarıarasındaki ABD'li erkeklerin üçte biri bu yarım yüzyılın sonunda yapay zeka yüzünden işini kaybedecek.</w:t>
      </w:r>
    </w:p>
    <w:p w14:paraId="05D14380" w14:textId="77777777" w:rsidR="00A3188A" w:rsidRPr="00164238" w:rsidRDefault="00A3188A" w:rsidP="002E3F19">
      <w:pPr>
        <w:pStyle w:val="GvdeMetni"/>
        <w:spacing w:after="0" w:line="276" w:lineRule="auto"/>
        <w:ind w:firstLine="708"/>
        <w:jc w:val="both"/>
        <w:rPr>
          <w:color w:val="000000" w:themeColor="text1"/>
        </w:rPr>
      </w:pPr>
      <w:r w:rsidRPr="00164238">
        <w:rPr>
          <w:color w:val="000000" w:themeColor="text1"/>
        </w:rPr>
        <w:t>Çin'de de gerileme sorunlarıbildirildi. Çin'de bu, "yapay zekanın üç alanında (yapay zeka algoritmalarının makine öğrenimi ve uygulanması, yapay zeka algoritmalarının araştırılmasıve geliştirilmesi ve ticari yapay zeka ekosistemleri oluşturmak için ekipman) Amerika Birleşik Devletleri'nin gerisinde kalan bilgilerin makine öğrenimi ve uygulanmasıolarak tanımlanıyor.</w:t>
      </w:r>
    </w:p>
    <w:p w14:paraId="48173827" w14:textId="77777777" w:rsidR="00A3188A" w:rsidRPr="00164238" w:rsidRDefault="00A3188A" w:rsidP="002E3F19">
      <w:pPr>
        <w:pStyle w:val="GvdeMetni"/>
        <w:spacing w:after="0" w:line="276" w:lineRule="auto"/>
        <w:ind w:left="160" w:firstLine="548"/>
        <w:jc w:val="both"/>
        <w:rPr>
          <w:color w:val="000000" w:themeColor="text1"/>
        </w:rPr>
      </w:pPr>
      <w:r w:rsidRPr="00164238">
        <w:rPr>
          <w:color w:val="000000" w:themeColor="text1"/>
        </w:rPr>
        <w:t>SI'da üçüncü dünya lideri olanİngiltere, ABD ve Çin'e kıyasla "beyin göçünde" önemli bir</w:t>
      </w:r>
    </w:p>
    <w:p w14:paraId="3DD201EA" w14:textId="77777777" w:rsidR="00A3188A" w:rsidRPr="00164238" w:rsidRDefault="00A3188A" w:rsidP="00A844B2">
      <w:pPr>
        <w:pStyle w:val="GvdeMetni"/>
        <w:spacing w:after="0" w:line="276" w:lineRule="auto"/>
        <w:jc w:val="both"/>
        <w:rPr>
          <w:color w:val="000000" w:themeColor="text1"/>
        </w:rPr>
      </w:pPr>
      <w:r w:rsidRPr="00164238">
        <w:rPr>
          <w:color w:val="000000" w:themeColor="text1"/>
        </w:rPr>
        <w:t>zayıflıktır. AB'den Çıkış, Artanİşsizlik Oranı,İşgücü Piyasasının Yapısındaki Sistemik Değişiklikler ”ciddi gerici sonuçlardır. Dünya Sağlık Örgütü (WHO) tarafından salgın ilan edilmesine rağmen, COVID-19'un en az 20 milyon insanıyaymaya ve enfekte etmeye devam etmesi ve bu çalışma sırasında yarım milyondan fazla insanıöldürmesi tesadüf değildir (Worldometer, 2020).</w:t>
      </w:r>
    </w:p>
    <w:p w14:paraId="3CA04E5E" w14:textId="77777777" w:rsidR="00A3188A" w:rsidRPr="00164238" w:rsidRDefault="00A3188A" w:rsidP="00A844B2">
      <w:pPr>
        <w:pStyle w:val="GvdeMetni"/>
        <w:spacing w:after="0" w:line="276" w:lineRule="auto"/>
        <w:jc w:val="both"/>
        <w:rPr>
          <w:color w:val="000000" w:themeColor="text1"/>
        </w:rPr>
      </w:pPr>
      <w:r w:rsidRPr="00164238">
        <w:rPr>
          <w:color w:val="000000" w:themeColor="text1"/>
        </w:rPr>
        <w:t>Dolayısıyla bu gelişmişülkelerde yapay zeka alanındaki bu eklembacaklılar, elbette Covid-19 olayınıatlayamazlar ve bu korkunç olgunun hala devam ediyor olmasıkesin bir cevaptır.</w:t>
      </w:r>
    </w:p>
    <w:p w14:paraId="6CEB3640" w14:textId="77777777" w:rsidR="00A3188A" w:rsidRPr="00164238" w:rsidRDefault="00A3188A" w:rsidP="00A844B2">
      <w:pPr>
        <w:pStyle w:val="GvdeMetni"/>
        <w:spacing w:after="0" w:line="276" w:lineRule="auto"/>
        <w:jc w:val="both"/>
        <w:rPr>
          <w:color w:val="000000" w:themeColor="text1"/>
        </w:rPr>
      </w:pPr>
    </w:p>
    <w:p w14:paraId="168D27BE" w14:textId="77777777" w:rsidR="00A3188A" w:rsidRPr="00164238" w:rsidRDefault="00A3188A" w:rsidP="00A844B2">
      <w:pPr>
        <w:pStyle w:val="Balk1"/>
        <w:spacing w:before="0" w:line="276" w:lineRule="auto"/>
        <w:jc w:val="both"/>
        <w:rPr>
          <w:rFonts w:ascii="Times New Roman" w:hAnsi="Times New Roman" w:cs="Times New Roman"/>
          <w:b/>
          <w:bCs/>
          <w:color w:val="000000" w:themeColor="text1"/>
          <w:sz w:val="20"/>
          <w:szCs w:val="20"/>
        </w:rPr>
      </w:pPr>
      <w:bookmarkStart w:id="156" w:name="_Toc72352805"/>
      <w:bookmarkStart w:id="157" w:name="_Toc72961739"/>
      <w:r w:rsidRPr="00164238">
        <w:rPr>
          <w:rFonts w:ascii="Times New Roman" w:hAnsi="Times New Roman" w:cs="Times New Roman"/>
          <w:b/>
          <w:bCs/>
          <w:color w:val="000000" w:themeColor="text1"/>
          <w:sz w:val="20"/>
          <w:szCs w:val="20"/>
        </w:rPr>
        <w:t>SONUÇ</w:t>
      </w:r>
      <w:bookmarkEnd w:id="156"/>
      <w:bookmarkEnd w:id="157"/>
    </w:p>
    <w:p w14:paraId="1C6076F7" w14:textId="0C3455BA" w:rsidR="00A3188A" w:rsidRPr="00164238" w:rsidRDefault="00A3188A" w:rsidP="002E3F19">
      <w:pPr>
        <w:pStyle w:val="GvdeMetni"/>
        <w:spacing w:after="0" w:line="276" w:lineRule="auto"/>
        <w:ind w:right="104" w:firstLine="708"/>
        <w:jc w:val="both"/>
        <w:rPr>
          <w:color w:val="000000" w:themeColor="text1"/>
        </w:rPr>
      </w:pPr>
      <w:r w:rsidRPr="00164238">
        <w:rPr>
          <w:color w:val="000000" w:themeColor="text1"/>
        </w:rPr>
        <w:t>Metodoloji olmadan pratik yapmak, tecrübe olmadan metodoloji yapmak imkansızdır. Akıllı makine sistemlerinin multidisipliner bir çalışması- aynızamanda felsefenin gelişimini de belirler</w:t>
      </w:r>
      <w:r w:rsidR="002E3F19" w:rsidRPr="00164238">
        <w:rPr>
          <w:color w:val="000000" w:themeColor="text1"/>
          <w:lang w:val="tr-TR"/>
        </w:rPr>
        <w:t xml:space="preserve"> </w:t>
      </w:r>
      <w:r w:rsidRPr="00164238">
        <w:rPr>
          <w:color w:val="000000" w:themeColor="text1"/>
        </w:rPr>
        <w:t>bilgisayar bilimi, matematik, mantık, simetrik gibi bir düşünce alanıtesadüf değildir. Yeni ve güncel konuların değerlendirilmesi, disiplinler arasıbilimsel metodoloji ve yöntemlerin ortaya çıkışınıve uygulanmasınıda</w:t>
      </w:r>
      <w:r w:rsidRPr="00164238">
        <w:rPr>
          <w:color w:val="000000" w:themeColor="text1"/>
          <w:spacing w:val="-1"/>
        </w:rPr>
        <w:t xml:space="preserve"> </w:t>
      </w:r>
      <w:r w:rsidRPr="00164238">
        <w:rPr>
          <w:color w:val="000000" w:themeColor="text1"/>
        </w:rPr>
        <w:t>belirler.</w:t>
      </w:r>
    </w:p>
    <w:p w14:paraId="3BC091C3" w14:textId="77777777" w:rsidR="00A3188A" w:rsidRPr="00164238" w:rsidRDefault="00A3188A" w:rsidP="002E3F19">
      <w:pPr>
        <w:pStyle w:val="GvdeMetni"/>
        <w:spacing w:after="0" w:line="276" w:lineRule="auto"/>
        <w:ind w:firstLine="708"/>
        <w:jc w:val="both"/>
        <w:rPr>
          <w:color w:val="000000" w:themeColor="text1"/>
        </w:rPr>
      </w:pPr>
      <w:r w:rsidRPr="00164238">
        <w:rPr>
          <w:color w:val="000000" w:themeColor="text1"/>
        </w:rPr>
        <w:t>Bu bağlamda, "yapay zeka bağlamında Covid-19: başarılar ve zorluklar" konusu bir istisna</w:t>
      </w:r>
    </w:p>
    <w:p w14:paraId="65A4A9DF" w14:textId="77777777" w:rsidR="00A3188A" w:rsidRPr="00164238" w:rsidRDefault="00A3188A" w:rsidP="00A844B2">
      <w:pPr>
        <w:pStyle w:val="GvdeMetni"/>
        <w:spacing w:after="0" w:line="276" w:lineRule="auto"/>
        <w:jc w:val="both"/>
        <w:rPr>
          <w:color w:val="000000" w:themeColor="text1"/>
        </w:rPr>
      </w:pPr>
      <w:r w:rsidRPr="00164238">
        <w:rPr>
          <w:color w:val="000000" w:themeColor="text1"/>
        </w:rPr>
        <w:t>değildir.</w:t>
      </w:r>
    </w:p>
    <w:p w14:paraId="7915CD83" w14:textId="77777777" w:rsidR="00A3188A" w:rsidRPr="00164238" w:rsidRDefault="00A3188A" w:rsidP="002E3F19">
      <w:pPr>
        <w:pStyle w:val="GvdeMetni"/>
        <w:spacing w:after="0" w:line="276" w:lineRule="auto"/>
        <w:ind w:right="210" w:firstLine="708"/>
        <w:jc w:val="both"/>
        <w:rPr>
          <w:color w:val="000000" w:themeColor="text1"/>
        </w:rPr>
      </w:pPr>
      <w:r w:rsidRPr="00164238">
        <w:rPr>
          <w:color w:val="000000" w:themeColor="text1"/>
        </w:rPr>
        <w:t xml:space="preserve">Yazının sonunda yapay zeka alanındaki büyük başarılarından dolayıSI'nın yaşam profesörü olarak seçilen tek kişi olan dünyaca ünlü Azerbaycanlıbilim adamıLutfi Zadeh'in düşüncelerini hatırlatmak istiyoruz: “Hayatınız boyunca olabilirsiniz, Lutfi Zade ve onun bulanık mantık teorisi hakkında asla birşey öğrenemeyeceksiniz. Ama evinizde en azından modern arabalar varsa, o zaman düşüncelerim ve ben her zaman ve görünmez birşekilde yanınızdayız. Örneğin, Hitachi, Sharp'tan bir klima aldıysanız, sıcaklık değişim seviyelerini sağlayanşeyin bu teori olduğunu bilin. Aynı şirketler size bir mikrodalga fırın satarsa, doğru pişirme stratejisinin bulanık mantık teorisi tarafından </w:t>
      </w:r>
      <w:r w:rsidRPr="00164238">
        <w:rPr>
          <w:color w:val="000000" w:themeColor="text1"/>
        </w:rPr>
        <w:lastRenderedPageBreak/>
        <w:t>sağlandığınıbilin. Bir Canon fotokopi makinesi, Matsushita bulaşık makinesi veya kurutucu, Daewoo veya Samsung çamaşır makinesi, Sony TV veya bilgisayarla karşılaşırsanız, tüm bu teknolojilerin bir dereceye kadar Lotfi Zadeh'in bulanık set teorisinin bir sonucu olduğunu bilin.</w:t>
      </w:r>
      <w:r w:rsidRPr="00164238">
        <w:rPr>
          <w:color w:val="000000" w:themeColor="text1"/>
          <w:spacing w:val="-3"/>
        </w:rPr>
        <w:t xml:space="preserve"> </w:t>
      </w:r>
      <w:r w:rsidRPr="00164238">
        <w:rPr>
          <w:color w:val="000000" w:themeColor="text1"/>
        </w:rPr>
        <w:t>"</w:t>
      </w:r>
    </w:p>
    <w:p w14:paraId="547A244F" w14:textId="77777777" w:rsidR="00A3188A" w:rsidRPr="00164238" w:rsidRDefault="00A3188A" w:rsidP="002E3F19">
      <w:pPr>
        <w:pStyle w:val="GvdeMetni"/>
        <w:spacing w:after="0" w:line="276" w:lineRule="auto"/>
        <w:ind w:right="210" w:firstLine="708"/>
        <w:jc w:val="both"/>
        <w:rPr>
          <w:color w:val="000000" w:themeColor="text1"/>
        </w:rPr>
      </w:pPr>
      <w:r w:rsidRPr="00164238">
        <w:rPr>
          <w:color w:val="000000" w:themeColor="text1"/>
        </w:rPr>
        <w:t>Aynızamanda Lutfi Zadeh, Hitachi, Matsushita, Sharp, Nissan, Canon, Fuji, Electric, Toshiba, Omron, Sanyo, Sony Trinitron, Daewoo, Samsung, Nec, Honda, General Motors, General Electric, Motorola'da yapay zeka geliştirdi. DuPont, Kodak ve Alter adında bir AI robotu.</w:t>
      </w:r>
    </w:p>
    <w:p w14:paraId="6CCFBF24" w14:textId="77777777" w:rsidR="00A3188A" w:rsidRPr="00164238" w:rsidRDefault="00A3188A" w:rsidP="002E3F19">
      <w:pPr>
        <w:pStyle w:val="GvdeMetni"/>
        <w:spacing w:after="0" w:line="276" w:lineRule="auto"/>
        <w:ind w:right="210" w:firstLine="708"/>
        <w:jc w:val="both"/>
        <w:rPr>
          <w:color w:val="000000" w:themeColor="text1"/>
        </w:rPr>
      </w:pPr>
      <w:r w:rsidRPr="00164238">
        <w:rPr>
          <w:color w:val="000000" w:themeColor="text1"/>
        </w:rPr>
        <w:t>Ancak ilginçtir ki, yapay zeka sistemindeki bu kadar önde gelen bir isim olan Lütfi Zadeh, insan zekasına - doğal zekaya - yapay zekadan daha çok değer veriyordu.</w:t>
      </w:r>
    </w:p>
    <w:p w14:paraId="78E4BD1D" w14:textId="77777777" w:rsidR="00A3188A" w:rsidRPr="00164238" w:rsidRDefault="00A3188A" w:rsidP="002E3F19">
      <w:pPr>
        <w:pStyle w:val="GvdeMetni"/>
        <w:spacing w:after="0" w:line="276" w:lineRule="auto"/>
        <w:ind w:right="210" w:firstLine="708"/>
        <w:jc w:val="both"/>
        <w:rPr>
          <w:color w:val="000000" w:themeColor="text1"/>
        </w:rPr>
      </w:pPr>
      <w:r w:rsidRPr="00164238">
        <w:rPr>
          <w:color w:val="000000" w:themeColor="text1"/>
        </w:rPr>
        <w:t>Bu yaklaşım, "Yapay Zeka Bağlamında Covid-19:İlerleme ve Zorluklar" başlıklı makalemizin sonucu olabilir.</w:t>
      </w:r>
    </w:p>
    <w:p w14:paraId="65F559AA" w14:textId="172DBE7D" w:rsidR="00A3188A" w:rsidRPr="00164238" w:rsidRDefault="00A3188A" w:rsidP="002E3F19">
      <w:pPr>
        <w:pStyle w:val="GvdeMetni"/>
        <w:spacing w:after="0" w:line="276" w:lineRule="auto"/>
        <w:ind w:firstLine="708"/>
        <w:jc w:val="both"/>
        <w:rPr>
          <w:color w:val="000000" w:themeColor="text1"/>
        </w:rPr>
      </w:pPr>
      <w:r w:rsidRPr="00164238">
        <w:rPr>
          <w:color w:val="000000" w:themeColor="text1"/>
        </w:rPr>
        <w:t>Tarihsel materyalizm, yapay zeka alanında ikna edici ve sağlam temellere dayanan teorik</w:t>
      </w:r>
      <w:r w:rsidR="002E3F19" w:rsidRPr="00164238">
        <w:rPr>
          <w:color w:val="000000" w:themeColor="text1"/>
          <w:lang w:val="tr-TR"/>
        </w:rPr>
        <w:t xml:space="preserve"> </w:t>
      </w:r>
      <w:r w:rsidRPr="00164238">
        <w:rPr>
          <w:color w:val="000000" w:themeColor="text1"/>
        </w:rPr>
        <w:t>sonuçlara varmaksızın, ilerlemenin beklenen ve beklenmedik değişikliklerle gerileyici etkilere maruz kalabileceğini iddia eder. Böylelikle nihai sonucumuz, tıpkıtüm bilimsel ve teorik</w:t>
      </w:r>
      <w:r w:rsidR="002E3F19" w:rsidRPr="00164238">
        <w:rPr>
          <w:color w:val="000000" w:themeColor="text1"/>
          <w:lang w:val="tr-TR"/>
        </w:rPr>
        <w:t xml:space="preserve"> </w:t>
      </w:r>
      <w:r w:rsidRPr="00164238">
        <w:rPr>
          <w:color w:val="000000" w:themeColor="text1"/>
        </w:rPr>
        <w:t>navigasyonun bir kişiye yapay zeka tarafından getirilmesi gibi, bu alan üzerinde kontrolün bir kişinin isteğiyle mümkün olduğudur. Yani yapay zeka, insan ve medeniyet için faydalıolan emeğin bilinci, tüm sınırlamalarına rağmen yerini alamaz veya yok edemez.İnsan beyni boyutu ve yaratıcılığıile dinamik olarak güncelleme sürecinde olan ve çoğu zaman modasıgeçmiş elektronik yapay zekanın sınırlarınıve sürekliliğini karşılaştırmak, ne kadar öznel olursa olsun, aslında nesnel olarak birincisinin lehine. Bunun ne kadar süreceği konusunda hala bir fikir birliği yok.</w:t>
      </w:r>
    </w:p>
    <w:p w14:paraId="107DB770" w14:textId="77777777" w:rsidR="00A3188A" w:rsidRPr="00164238" w:rsidRDefault="00A3188A" w:rsidP="00A844B2">
      <w:pPr>
        <w:pStyle w:val="GvdeMetni"/>
        <w:spacing w:after="0" w:line="276" w:lineRule="auto"/>
        <w:jc w:val="both"/>
        <w:rPr>
          <w:color w:val="000000" w:themeColor="text1"/>
        </w:rPr>
      </w:pPr>
    </w:p>
    <w:p w14:paraId="41F2EDA6" w14:textId="77777777" w:rsidR="00A3188A" w:rsidRPr="00164238" w:rsidRDefault="00A3188A" w:rsidP="00A844B2">
      <w:pPr>
        <w:pStyle w:val="Balk1"/>
        <w:spacing w:before="0" w:line="276" w:lineRule="auto"/>
        <w:jc w:val="both"/>
        <w:rPr>
          <w:rFonts w:ascii="Times New Roman" w:hAnsi="Times New Roman" w:cs="Times New Roman"/>
          <w:b/>
          <w:bCs/>
          <w:color w:val="000000" w:themeColor="text1"/>
          <w:sz w:val="20"/>
          <w:szCs w:val="20"/>
        </w:rPr>
      </w:pPr>
      <w:bookmarkStart w:id="158" w:name="_Toc72352806"/>
      <w:bookmarkStart w:id="159" w:name="_Toc72961740"/>
      <w:r w:rsidRPr="00164238">
        <w:rPr>
          <w:rFonts w:ascii="Times New Roman" w:hAnsi="Times New Roman" w:cs="Times New Roman"/>
          <w:b/>
          <w:bCs/>
          <w:color w:val="000000" w:themeColor="text1"/>
          <w:sz w:val="20"/>
          <w:szCs w:val="20"/>
        </w:rPr>
        <w:t>REFERANSLAR</w:t>
      </w:r>
      <w:bookmarkEnd w:id="158"/>
      <w:bookmarkEnd w:id="159"/>
    </w:p>
    <w:p w14:paraId="1F93C85B" w14:textId="77777777" w:rsidR="00A3188A" w:rsidRPr="00164238" w:rsidRDefault="00A3188A" w:rsidP="00A844B2">
      <w:pPr>
        <w:spacing w:after="0" w:line="276" w:lineRule="auto"/>
        <w:ind w:left="100"/>
        <w:jc w:val="both"/>
        <w:rPr>
          <w:rFonts w:ascii="Times New Roman" w:hAnsi="Times New Roman" w:cs="Times New Roman"/>
          <w:b/>
          <w:color w:val="000000" w:themeColor="text1"/>
          <w:sz w:val="20"/>
          <w:szCs w:val="20"/>
        </w:rPr>
      </w:pPr>
      <w:r w:rsidRPr="00164238">
        <w:rPr>
          <w:rFonts w:ascii="Times New Roman" w:hAnsi="Times New Roman" w:cs="Times New Roman"/>
          <w:b/>
          <w:color w:val="000000" w:themeColor="text1"/>
          <w:sz w:val="20"/>
          <w:szCs w:val="20"/>
        </w:rPr>
        <w:t>İngilizcede</w:t>
      </w:r>
    </w:p>
    <w:p w14:paraId="037A16BD" w14:textId="77777777" w:rsidR="00A3188A" w:rsidRPr="00164238" w:rsidRDefault="00A3188A" w:rsidP="00A844B2">
      <w:pPr>
        <w:pStyle w:val="GvdeMetni"/>
        <w:spacing w:after="0" w:line="276" w:lineRule="auto"/>
        <w:jc w:val="both"/>
        <w:rPr>
          <w:color w:val="000000" w:themeColor="text1"/>
        </w:rPr>
      </w:pPr>
      <w:r w:rsidRPr="00164238">
        <w:rPr>
          <w:color w:val="000000" w:themeColor="text1"/>
        </w:rPr>
        <w:t>Anderson A.R. (1964) Mind and Machines. N.Y. P. 132.</w:t>
      </w:r>
    </w:p>
    <w:p w14:paraId="7DC715AA" w14:textId="77777777" w:rsidR="00A3188A" w:rsidRPr="00164238" w:rsidRDefault="00A3188A" w:rsidP="00A844B2">
      <w:pPr>
        <w:pStyle w:val="GvdeMetni"/>
        <w:spacing w:after="0" w:line="276" w:lineRule="auto"/>
        <w:ind w:right="140"/>
        <w:jc w:val="both"/>
        <w:rPr>
          <w:color w:val="000000" w:themeColor="text1"/>
        </w:rPr>
      </w:pPr>
      <w:r w:rsidRPr="00164238">
        <w:rPr>
          <w:color w:val="000000" w:themeColor="text1"/>
        </w:rPr>
        <w:t xml:space="preserve">Artificial Intelligence (AI) applications for COVID-19 pandemi </w:t>
      </w:r>
      <w:hyperlink r:id="rId288" w:history="1">
        <w:r w:rsidRPr="00164238">
          <w:rPr>
            <w:rStyle w:val="Kpr"/>
            <w:rFonts w:eastAsiaTheme="majorEastAsia"/>
            <w:color w:val="000000" w:themeColor="text1"/>
          </w:rPr>
          <w:t>https://www.researchgate.net/publication/340636878_Artificial_Intelligence_AI_applications_fo</w:t>
        </w:r>
      </w:hyperlink>
      <w:r w:rsidRPr="00164238">
        <w:rPr>
          <w:color w:val="000000" w:themeColor="text1"/>
        </w:rPr>
        <w:t xml:space="preserve"> r_COVID-19_pandemic</w:t>
      </w:r>
    </w:p>
    <w:p w14:paraId="59972620" w14:textId="77777777" w:rsidR="00A3188A" w:rsidRPr="00164238" w:rsidRDefault="00A3188A" w:rsidP="00A844B2">
      <w:pPr>
        <w:pStyle w:val="GvdeMetni"/>
        <w:spacing w:after="0" w:line="276" w:lineRule="auto"/>
        <w:ind w:left="161"/>
        <w:jc w:val="both"/>
        <w:rPr>
          <w:color w:val="000000" w:themeColor="text1"/>
        </w:rPr>
      </w:pPr>
      <w:r w:rsidRPr="00164238">
        <w:rPr>
          <w:color w:val="000000" w:themeColor="text1"/>
        </w:rPr>
        <w:t>Chalmers D.J. (1995) Facing Up to the Problem of Consciousness // Journal of Consciousness</w:t>
      </w:r>
    </w:p>
    <w:p w14:paraId="169E6DC6" w14:textId="77777777" w:rsidR="00A3188A" w:rsidRPr="00164238" w:rsidRDefault="00A3188A" w:rsidP="00A844B2">
      <w:pPr>
        <w:pStyle w:val="GvdeMetni"/>
        <w:spacing w:after="0" w:line="276" w:lineRule="auto"/>
        <w:ind w:left="640"/>
        <w:jc w:val="both"/>
        <w:rPr>
          <w:color w:val="000000" w:themeColor="text1"/>
        </w:rPr>
      </w:pPr>
      <w:r w:rsidRPr="00164238">
        <w:rPr>
          <w:color w:val="000000" w:themeColor="text1"/>
        </w:rPr>
        <w:t>Studies, 2 (3), P.200 219;</w:t>
      </w:r>
    </w:p>
    <w:p w14:paraId="56E5F7BB" w14:textId="77777777" w:rsidR="00A3188A" w:rsidRPr="00164238" w:rsidRDefault="00A3188A" w:rsidP="00A844B2">
      <w:pPr>
        <w:pStyle w:val="GvdeMetni"/>
        <w:spacing w:after="0" w:line="276" w:lineRule="auto"/>
        <w:ind w:right="210"/>
        <w:jc w:val="both"/>
        <w:rPr>
          <w:color w:val="000000" w:themeColor="text1"/>
        </w:rPr>
      </w:pPr>
      <w:r w:rsidRPr="00164238">
        <w:rPr>
          <w:color w:val="000000" w:themeColor="text1"/>
        </w:rPr>
        <w:t xml:space="preserve">Earliest Fascinating Concepts Of Artificial Intelligence And Robots In Ancient Myths – Examined </w:t>
      </w:r>
      <w:hyperlink r:id="rId289" w:history="1">
        <w:r w:rsidRPr="00164238">
          <w:rPr>
            <w:rStyle w:val="Kpr"/>
            <w:rFonts w:eastAsiaTheme="majorEastAsia"/>
            <w:color w:val="000000" w:themeColor="text1"/>
          </w:rPr>
          <w:t>https://www.ancientpages.com/2019/03/06/earliest-fascinating-concepts-</w:t>
        </w:r>
      </w:hyperlink>
    </w:p>
    <w:p w14:paraId="4F5DA09E" w14:textId="77777777" w:rsidR="00A3188A" w:rsidRPr="00164238" w:rsidRDefault="00A3188A" w:rsidP="00A844B2">
      <w:pPr>
        <w:pStyle w:val="GvdeMetni"/>
        <w:spacing w:after="0" w:line="276" w:lineRule="auto"/>
        <w:ind w:right="1742" w:firstLine="420"/>
        <w:jc w:val="both"/>
        <w:rPr>
          <w:color w:val="000000" w:themeColor="text1"/>
        </w:rPr>
      </w:pPr>
      <w:r w:rsidRPr="00164238">
        <w:rPr>
          <w:color w:val="000000" w:themeColor="text1"/>
        </w:rPr>
        <w:t xml:space="preserve">of-artificial-intelligence-and-robots-in-ancient-myths-examined/ Millennium 2018 Reporthttp </w:t>
      </w:r>
      <w:hyperlink r:id="rId290" w:history="1">
        <w:r w:rsidRPr="00164238">
          <w:rPr>
            <w:rStyle w:val="Kpr"/>
            <w:rFonts w:eastAsiaTheme="majorEastAsia"/>
            <w:color w:val="000000" w:themeColor="text1"/>
          </w:rPr>
          <w:t>http://www.millennium-project.org/challenge-8/</w:t>
        </w:r>
      </w:hyperlink>
    </w:p>
    <w:p w14:paraId="55E7A583" w14:textId="77777777" w:rsidR="00A3188A" w:rsidRPr="00164238" w:rsidRDefault="00A3188A" w:rsidP="00A844B2">
      <w:pPr>
        <w:pStyle w:val="GvdeMetni"/>
        <w:spacing w:after="0" w:line="276" w:lineRule="auto"/>
        <w:ind w:left="520" w:hanging="420"/>
        <w:jc w:val="both"/>
        <w:rPr>
          <w:color w:val="000000" w:themeColor="text1"/>
        </w:rPr>
      </w:pPr>
      <w:r w:rsidRPr="00164238">
        <w:rPr>
          <w:color w:val="000000" w:themeColor="text1"/>
        </w:rPr>
        <w:t>Millennium Report Philosophy of Life and Realities of 2020, 08.05.2020 http://www.science. gov.az/news/open/13002.</w:t>
      </w:r>
    </w:p>
    <w:p w14:paraId="32C583CF" w14:textId="77777777" w:rsidR="00A3188A" w:rsidRPr="00164238" w:rsidRDefault="00A3188A" w:rsidP="00A844B2">
      <w:pPr>
        <w:pStyle w:val="GvdeMetni"/>
        <w:spacing w:after="0" w:line="276" w:lineRule="auto"/>
        <w:jc w:val="both"/>
        <w:rPr>
          <w:color w:val="000000" w:themeColor="text1"/>
        </w:rPr>
      </w:pPr>
      <w:r w:rsidRPr="00164238">
        <w:rPr>
          <w:color w:val="000000" w:themeColor="text1"/>
        </w:rPr>
        <w:t>Guliyeva Kh. (2019) Heydar Aliyev's Politics: National State, National Leader, Citizenship,</w:t>
      </w:r>
    </w:p>
    <w:p w14:paraId="5E5E6148" w14:textId="77777777" w:rsidR="00A3188A" w:rsidRPr="00164238" w:rsidRDefault="00A3188A" w:rsidP="00A844B2">
      <w:pPr>
        <w:pStyle w:val="GvdeMetni"/>
        <w:spacing w:after="0" w:line="276" w:lineRule="auto"/>
        <w:ind w:left="640"/>
        <w:jc w:val="both"/>
        <w:rPr>
          <w:color w:val="000000" w:themeColor="text1"/>
        </w:rPr>
      </w:pPr>
      <w:r w:rsidRPr="00164238">
        <w:rPr>
          <w:color w:val="000000" w:themeColor="text1"/>
        </w:rPr>
        <w:t>Spirituality 2019. P.416 .</w:t>
      </w:r>
    </w:p>
    <w:p w14:paraId="65C6F320" w14:textId="77777777" w:rsidR="00A3188A" w:rsidRPr="00164238" w:rsidRDefault="00A3188A" w:rsidP="00A844B2">
      <w:pPr>
        <w:pStyle w:val="GvdeMetni"/>
        <w:spacing w:after="0" w:line="276" w:lineRule="auto"/>
        <w:ind w:left="640" w:hanging="480"/>
        <w:jc w:val="both"/>
        <w:rPr>
          <w:color w:val="000000" w:themeColor="text1"/>
        </w:rPr>
      </w:pPr>
      <w:r w:rsidRPr="00164238">
        <w:rPr>
          <w:color w:val="000000" w:themeColor="text1"/>
        </w:rPr>
        <w:t xml:space="preserve">Guliyeva Kh. Millennium Report Philosophy of Life and Realities of 2020, 08.05.2020 </w:t>
      </w:r>
      <w:hyperlink r:id="rId291" w:history="1">
        <w:r w:rsidRPr="00164238">
          <w:rPr>
            <w:rStyle w:val="Kpr"/>
            <w:rFonts w:eastAsiaTheme="majorEastAsia"/>
            <w:color w:val="000000" w:themeColor="text1"/>
          </w:rPr>
          <w:t>http://www.science.gov.az/news/open/13002.</w:t>
        </w:r>
      </w:hyperlink>
    </w:p>
    <w:p w14:paraId="1C6A0904" w14:textId="77777777" w:rsidR="00A3188A" w:rsidRPr="00164238" w:rsidRDefault="00A3188A" w:rsidP="00A844B2">
      <w:pPr>
        <w:pStyle w:val="GvdeMetni"/>
        <w:spacing w:after="0" w:line="276" w:lineRule="auto"/>
        <w:ind w:left="700" w:right="274" w:hanging="540"/>
        <w:jc w:val="both"/>
        <w:rPr>
          <w:color w:val="000000" w:themeColor="text1"/>
        </w:rPr>
      </w:pPr>
      <w:r w:rsidRPr="00164238">
        <w:rPr>
          <w:color w:val="000000" w:themeColor="text1"/>
        </w:rPr>
        <w:t xml:space="preserve">Guliyeva Kh. Scientific - Metodological Aspects for Application of Multiculturalism to "Dialogue Philosophy" (formulation of the problem) Philosophi and international journal N 1/2(1)2018İSSN 2181 </w:t>
      </w:r>
      <w:hyperlink r:id="rId292" w:history="1">
        <w:r w:rsidRPr="00164238">
          <w:rPr>
            <w:rStyle w:val="Kpr"/>
            <w:rFonts w:eastAsiaTheme="majorEastAsia"/>
            <w:color w:val="000000" w:themeColor="text1"/>
          </w:rPr>
          <w:t>http://tadqiqot.uz/wp-content/uploads/2018/08/falsafa/falsafa-</w:t>
        </w:r>
      </w:hyperlink>
      <w:r w:rsidRPr="00164238">
        <w:rPr>
          <w:color w:val="000000" w:themeColor="text1"/>
        </w:rPr>
        <w:t xml:space="preserve"> 2018-1-contents-01-10.pdf</w:t>
      </w:r>
    </w:p>
    <w:p w14:paraId="2AE891A1" w14:textId="77777777" w:rsidR="00A3188A" w:rsidRPr="00164238" w:rsidRDefault="00A3188A" w:rsidP="00A844B2">
      <w:pPr>
        <w:pStyle w:val="GvdeMetni"/>
        <w:spacing w:after="0" w:line="276" w:lineRule="auto"/>
        <w:ind w:left="640" w:right="714" w:hanging="540"/>
        <w:jc w:val="both"/>
        <w:rPr>
          <w:color w:val="000000" w:themeColor="text1"/>
        </w:rPr>
      </w:pPr>
      <w:r w:rsidRPr="00164238">
        <w:rPr>
          <w:color w:val="000000" w:themeColor="text1"/>
        </w:rPr>
        <w:t xml:space="preserve">Rajakishore Nath .Philosophy of Artificial Intelligence: A Critique of the Mechanistic Theory of Mind https:// </w:t>
      </w:r>
      <w:hyperlink r:id="rId293" w:history="1">
        <w:r w:rsidRPr="00164238">
          <w:rPr>
            <w:rStyle w:val="Kpr"/>
            <w:rFonts w:eastAsiaTheme="majorEastAsia"/>
            <w:color w:val="000000" w:themeColor="text1"/>
          </w:rPr>
          <w:t xml:space="preserve">www. </w:t>
        </w:r>
      </w:hyperlink>
      <w:r w:rsidRPr="00164238">
        <w:rPr>
          <w:color w:val="000000" w:themeColor="text1"/>
        </w:rPr>
        <w:t>researchgate. net/publication/ 268449425 _Philosophy</w:t>
      </w:r>
    </w:p>
    <w:p w14:paraId="3727A9A7" w14:textId="77777777" w:rsidR="00A3188A" w:rsidRPr="00164238" w:rsidRDefault="00A3188A" w:rsidP="00A844B2">
      <w:pPr>
        <w:pStyle w:val="GvdeMetni"/>
        <w:spacing w:after="0" w:line="276" w:lineRule="auto"/>
        <w:ind w:right="714" w:firstLine="540"/>
        <w:jc w:val="both"/>
        <w:rPr>
          <w:color w:val="000000" w:themeColor="text1"/>
        </w:rPr>
      </w:pPr>
      <w:r w:rsidRPr="00164238">
        <w:rPr>
          <w:color w:val="000000" w:themeColor="text1"/>
        </w:rPr>
        <w:t>_of_Artificial_ Intelligence _A_Critique_of_the_Mechanistic_Theory_of_Mind Schacter D.L. (1987). Implicit memory: History and current status // J. of Experimental</w:t>
      </w:r>
    </w:p>
    <w:p w14:paraId="07A42F2F" w14:textId="77777777" w:rsidR="00A3188A" w:rsidRPr="00164238" w:rsidRDefault="00A3188A" w:rsidP="00A844B2">
      <w:pPr>
        <w:pStyle w:val="GvdeMetni"/>
        <w:spacing w:after="0" w:line="276" w:lineRule="auto"/>
        <w:ind w:left="520"/>
        <w:jc w:val="both"/>
        <w:rPr>
          <w:color w:val="000000" w:themeColor="text1"/>
        </w:rPr>
      </w:pPr>
      <w:r w:rsidRPr="00164238">
        <w:rPr>
          <w:color w:val="000000" w:themeColor="text1"/>
        </w:rPr>
        <w:t>Psychology: Learning,Memory and Cognition, 1987,13, P. 501-518.</w:t>
      </w:r>
    </w:p>
    <w:p w14:paraId="40B2C470" w14:textId="77777777" w:rsidR="00A3188A" w:rsidRPr="00164238" w:rsidRDefault="00A3188A" w:rsidP="00A844B2">
      <w:pPr>
        <w:pStyle w:val="GvdeMetni"/>
        <w:spacing w:after="0" w:line="276" w:lineRule="auto"/>
        <w:jc w:val="both"/>
        <w:rPr>
          <w:color w:val="000000" w:themeColor="text1"/>
        </w:rPr>
      </w:pPr>
      <w:r w:rsidRPr="00164238">
        <w:rPr>
          <w:color w:val="000000" w:themeColor="text1"/>
        </w:rPr>
        <w:t>Smart J.J. (1963). Philosophy and Scientific Realism. L., P.234.</w:t>
      </w:r>
    </w:p>
    <w:p w14:paraId="2526D687" w14:textId="77777777" w:rsidR="00A3188A" w:rsidRPr="00164238" w:rsidRDefault="00A3188A" w:rsidP="00A844B2">
      <w:pPr>
        <w:pStyle w:val="GvdeMetni"/>
        <w:spacing w:after="0" w:line="276" w:lineRule="auto"/>
        <w:jc w:val="both"/>
        <w:rPr>
          <w:color w:val="000000" w:themeColor="text1"/>
        </w:rPr>
      </w:pPr>
    </w:p>
    <w:p w14:paraId="5E00CAB7" w14:textId="77777777" w:rsidR="00A3188A" w:rsidRPr="00164238" w:rsidRDefault="00A3188A" w:rsidP="00A844B2">
      <w:pPr>
        <w:pStyle w:val="Balk1"/>
        <w:spacing w:before="0" w:line="276" w:lineRule="auto"/>
        <w:jc w:val="both"/>
        <w:rPr>
          <w:rFonts w:ascii="Times New Roman" w:hAnsi="Times New Roman" w:cs="Times New Roman"/>
          <w:color w:val="000000" w:themeColor="text1"/>
          <w:sz w:val="20"/>
          <w:szCs w:val="20"/>
        </w:rPr>
      </w:pPr>
      <w:bookmarkStart w:id="160" w:name="_Toc72352807"/>
      <w:bookmarkStart w:id="161" w:name="_Toc72961741"/>
      <w:r w:rsidRPr="00164238">
        <w:rPr>
          <w:rFonts w:ascii="Times New Roman" w:hAnsi="Times New Roman" w:cs="Times New Roman"/>
          <w:color w:val="000000" w:themeColor="text1"/>
          <w:sz w:val="20"/>
          <w:szCs w:val="20"/>
        </w:rPr>
        <w:t>Rusça</w:t>
      </w:r>
      <w:bookmarkEnd w:id="160"/>
      <w:bookmarkEnd w:id="161"/>
    </w:p>
    <w:p w14:paraId="5F6DA7DE" w14:textId="77777777" w:rsidR="00A3188A" w:rsidRPr="00164238" w:rsidRDefault="00A3188A" w:rsidP="00A844B2">
      <w:pPr>
        <w:pStyle w:val="GvdeMetni"/>
        <w:spacing w:after="0" w:line="276" w:lineRule="auto"/>
        <w:jc w:val="both"/>
        <w:rPr>
          <w:color w:val="000000" w:themeColor="text1"/>
        </w:rPr>
      </w:pPr>
      <w:r w:rsidRPr="00164238">
        <w:rPr>
          <w:color w:val="000000" w:themeColor="text1"/>
        </w:rPr>
        <w:t>Аристотель. (1934).Метафизика.М., JI., .С. 345.</w:t>
      </w:r>
    </w:p>
    <w:p w14:paraId="0CCDE43E" w14:textId="77777777" w:rsidR="00A3188A" w:rsidRPr="00164238" w:rsidRDefault="00A3188A" w:rsidP="00A844B2">
      <w:pPr>
        <w:pStyle w:val="GvdeMetni"/>
        <w:spacing w:after="0" w:line="276" w:lineRule="auto"/>
        <w:jc w:val="both"/>
        <w:rPr>
          <w:color w:val="000000" w:themeColor="text1"/>
        </w:rPr>
      </w:pPr>
      <w:r w:rsidRPr="00164238">
        <w:rPr>
          <w:color w:val="000000" w:themeColor="text1"/>
        </w:rPr>
        <w:t>БиблерB.C. (1975).Мышление как творчество.М.,С.275.</w:t>
      </w:r>
    </w:p>
    <w:p w14:paraId="51B9C3E9" w14:textId="77777777" w:rsidR="00A3188A" w:rsidRPr="00164238" w:rsidRDefault="00A3188A" w:rsidP="00A844B2">
      <w:pPr>
        <w:pStyle w:val="GvdeMetni"/>
        <w:spacing w:after="0" w:line="276" w:lineRule="auto"/>
        <w:ind w:left="640" w:hanging="540"/>
        <w:jc w:val="both"/>
        <w:rPr>
          <w:color w:val="000000" w:themeColor="text1"/>
        </w:rPr>
      </w:pPr>
      <w:r w:rsidRPr="00164238">
        <w:rPr>
          <w:color w:val="000000" w:themeColor="text1"/>
        </w:rPr>
        <w:t>Бирюков Б.В. (1981).О возможностях искусственного интеллекта//Кибернетика, перспективы развития.М.,С. 106.</w:t>
      </w:r>
    </w:p>
    <w:p w14:paraId="5E9DB3FC" w14:textId="77777777" w:rsidR="00A3188A" w:rsidRPr="00164238" w:rsidRDefault="00A3188A" w:rsidP="00A844B2">
      <w:pPr>
        <w:pStyle w:val="GvdeMetni"/>
        <w:spacing w:after="0" w:line="276" w:lineRule="auto"/>
        <w:jc w:val="both"/>
        <w:rPr>
          <w:color w:val="000000" w:themeColor="text1"/>
        </w:rPr>
      </w:pPr>
      <w:r w:rsidRPr="00164238">
        <w:rPr>
          <w:color w:val="000000" w:themeColor="text1"/>
        </w:rPr>
        <w:t>Block N. (1994) On a confusion about a function of consciousness, 1994, MS; P.223.</w:t>
      </w:r>
    </w:p>
    <w:p w14:paraId="630EAB6D" w14:textId="77777777" w:rsidR="00A3188A" w:rsidRPr="00164238" w:rsidRDefault="00A3188A" w:rsidP="00A844B2">
      <w:pPr>
        <w:pStyle w:val="GvdeMetni"/>
        <w:spacing w:after="0" w:line="276" w:lineRule="auto"/>
        <w:jc w:val="both"/>
        <w:rPr>
          <w:color w:val="000000" w:themeColor="text1"/>
        </w:rPr>
      </w:pPr>
      <w:r w:rsidRPr="00164238">
        <w:rPr>
          <w:color w:val="000000" w:themeColor="text1"/>
        </w:rPr>
        <w:t>Бруно Д. (1949).Диалоги.М.,С.291.</w:t>
      </w:r>
    </w:p>
    <w:p w14:paraId="44D36F7B" w14:textId="77777777" w:rsidR="00A3188A" w:rsidRPr="00164238" w:rsidRDefault="00A3188A" w:rsidP="00A844B2">
      <w:pPr>
        <w:pStyle w:val="GvdeMetni"/>
        <w:spacing w:after="0" w:line="276" w:lineRule="auto"/>
        <w:jc w:val="both"/>
        <w:rPr>
          <w:color w:val="000000" w:themeColor="text1"/>
        </w:rPr>
      </w:pPr>
      <w:r w:rsidRPr="00164238">
        <w:rPr>
          <w:color w:val="000000" w:themeColor="text1"/>
        </w:rPr>
        <w:t>Витгенштейн Л. (1994).Философские работы.М.,С. 174.</w:t>
      </w:r>
    </w:p>
    <w:p w14:paraId="7E689753" w14:textId="77777777" w:rsidR="00A3188A" w:rsidRPr="00164238" w:rsidRDefault="00A3188A" w:rsidP="00A844B2">
      <w:pPr>
        <w:pStyle w:val="GvdeMetni"/>
        <w:spacing w:after="0" w:line="276" w:lineRule="auto"/>
        <w:jc w:val="both"/>
        <w:rPr>
          <w:color w:val="000000" w:themeColor="text1"/>
        </w:rPr>
      </w:pPr>
      <w:r w:rsidRPr="00164238">
        <w:rPr>
          <w:color w:val="000000" w:themeColor="text1"/>
        </w:rPr>
        <w:t>Дубинский А.Г. (2001).К определению понятия"интеллект" //Искусственный</w:t>
      </w:r>
    </w:p>
    <w:p w14:paraId="585B6D5B" w14:textId="77777777" w:rsidR="00A3188A" w:rsidRPr="00164238" w:rsidRDefault="00A3188A" w:rsidP="00A844B2">
      <w:pPr>
        <w:pStyle w:val="GvdeMetni"/>
        <w:spacing w:after="0" w:line="276" w:lineRule="auto"/>
        <w:ind w:right="6495" w:firstLine="540"/>
        <w:rPr>
          <w:color w:val="000000" w:themeColor="text1"/>
        </w:rPr>
      </w:pPr>
      <w:r w:rsidRPr="00164238">
        <w:rPr>
          <w:color w:val="000000" w:themeColor="text1"/>
        </w:rPr>
        <w:t>интеллект.№4.С. 72-79. internet resources</w:t>
      </w:r>
    </w:p>
    <w:p w14:paraId="467F299B" w14:textId="77777777" w:rsidR="00A3188A" w:rsidRPr="00164238" w:rsidRDefault="00A3188A" w:rsidP="00A3188A">
      <w:pPr>
        <w:pStyle w:val="GvdeMetni"/>
        <w:spacing w:line="276" w:lineRule="exact"/>
        <w:rPr>
          <w:color w:val="000000" w:themeColor="text1"/>
        </w:rPr>
      </w:pPr>
      <w:r w:rsidRPr="00164238">
        <w:rPr>
          <w:color w:val="000000" w:themeColor="text1"/>
        </w:rPr>
        <w:t>Никитина Е.А.Искусственный интеллект:философия,методология,инновации</w:t>
      </w:r>
    </w:p>
    <w:p w14:paraId="176BE837" w14:textId="77777777" w:rsidR="00A3188A" w:rsidRPr="00164238" w:rsidRDefault="00A3188A" w:rsidP="00A3188A">
      <w:pPr>
        <w:pStyle w:val="GvdeMetni"/>
        <w:spacing w:before="44"/>
        <w:ind w:left="520"/>
        <w:rPr>
          <w:color w:val="000000" w:themeColor="text1"/>
        </w:rPr>
      </w:pPr>
      <w:r w:rsidRPr="00164238">
        <w:rPr>
          <w:color w:val="000000" w:themeColor="text1"/>
        </w:rPr>
        <w:t>https://cyberleninka.ru/article/n/iskusstvennyy-intellekt-filosofiya-metodologiya-innovatsii</w:t>
      </w:r>
    </w:p>
    <w:p w14:paraId="21B855B5" w14:textId="77777777" w:rsidR="00A3188A" w:rsidRPr="00164238" w:rsidRDefault="00A3188A" w:rsidP="00A3188A">
      <w:pPr>
        <w:pStyle w:val="GvdeMetni"/>
        <w:tabs>
          <w:tab w:val="left" w:pos="8799"/>
        </w:tabs>
        <w:spacing w:before="44" w:line="276" w:lineRule="auto"/>
        <w:ind w:left="460" w:right="578" w:hanging="360"/>
        <w:rPr>
          <w:color w:val="000000" w:themeColor="text1"/>
          <w:sz w:val="22"/>
        </w:rPr>
      </w:pPr>
      <w:r w:rsidRPr="00164238">
        <w:rPr>
          <w:color w:val="000000" w:themeColor="text1"/>
        </w:rPr>
        <w:t>Развитие</w:t>
      </w:r>
      <w:r w:rsidRPr="00164238">
        <w:rPr>
          <w:color w:val="000000" w:themeColor="text1"/>
          <w:spacing w:val="-14"/>
        </w:rPr>
        <w:t xml:space="preserve"> </w:t>
      </w:r>
      <w:r w:rsidRPr="00164238">
        <w:rPr>
          <w:color w:val="000000" w:themeColor="text1"/>
        </w:rPr>
        <w:t>искусственного</w:t>
      </w:r>
      <w:r w:rsidRPr="00164238">
        <w:rPr>
          <w:color w:val="000000" w:themeColor="text1"/>
          <w:spacing w:val="-13"/>
        </w:rPr>
        <w:t xml:space="preserve"> </w:t>
      </w:r>
      <w:r w:rsidRPr="00164238">
        <w:rPr>
          <w:color w:val="000000" w:themeColor="text1"/>
        </w:rPr>
        <w:t>интеллекта</w:t>
      </w:r>
      <w:r w:rsidRPr="00164238">
        <w:rPr>
          <w:color w:val="000000" w:themeColor="text1"/>
          <w:spacing w:val="-13"/>
        </w:rPr>
        <w:t xml:space="preserve"> </w:t>
      </w:r>
      <w:r w:rsidRPr="00164238">
        <w:rPr>
          <w:color w:val="000000" w:themeColor="text1"/>
        </w:rPr>
        <w:t>в</w:t>
      </w:r>
      <w:r w:rsidRPr="00164238">
        <w:rPr>
          <w:color w:val="000000" w:themeColor="text1"/>
          <w:spacing w:val="-13"/>
        </w:rPr>
        <w:t xml:space="preserve"> </w:t>
      </w:r>
      <w:r w:rsidRPr="00164238">
        <w:rPr>
          <w:color w:val="000000" w:themeColor="text1"/>
        </w:rPr>
        <w:t>странах</w:t>
      </w:r>
      <w:r w:rsidRPr="00164238">
        <w:rPr>
          <w:color w:val="000000" w:themeColor="text1"/>
          <w:spacing w:val="-13"/>
        </w:rPr>
        <w:t xml:space="preserve"> </w:t>
      </w:r>
      <w:r w:rsidRPr="00164238">
        <w:rPr>
          <w:color w:val="000000" w:themeColor="text1"/>
        </w:rPr>
        <w:t>мира:США,Китай,Великобритания</w:t>
      </w:r>
      <w:r w:rsidRPr="00164238">
        <w:rPr>
          <w:color w:val="000000" w:themeColor="text1"/>
        </w:rPr>
        <w:tab/>
      </w:r>
      <w:r w:rsidRPr="00164238">
        <w:rPr>
          <w:color w:val="000000" w:themeColor="text1"/>
          <w:u w:val="single"/>
        </w:rPr>
        <w:t xml:space="preserve"> </w:t>
      </w:r>
      <w:r w:rsidRPr="00164238">
        <w:rPr>
          <w:color w:val="000000" w:themeColor="text1"/>
        </w:rPr>
        <w:t xml:space="preserve"> https://d-russia.ru/razvitie-iskusstvennogo-intellekta-v-stranah-mira-ssha-kitaj-veliko </w:t>
      </w:r>
      <w:r w:rsidRPr="00164238">
        <w:rPr>
          <w:color w:val="000000" w:themeColor="text1"/>
          <w:sz w:val="22"/>
        </w:rPr>
        <w:t>britaniya.</w:t>
      </w:r>
      <w:r w:rsidRPr="00164238">
        <w:rPr>
          <w:color w:val="000000" w:themeColor="text1"/>
          <w:spacing w:val="-1"/>
          <w:sz w:val="22"/>
        </w:rPr>
        <w:t xml:space="preserve"> </w:t>
      </w:r>
      <w:r w:rsidRPr="00164238">
        <w:rPr>
          <w:color w:val="000000" w:themeColor="text1"/>
          <w:sz w:val="22"/>
        </w:rPr>
        <w:t>html</w:t>
      </w:r>
    </w:p>
    <w:p w14:paraId="37BCBE6C" w14:textId="77777777" w:rsidR="00A3188A" w:rsidRPr="00164238" w:rsidRDefault="00A3188A" w:rsidP="00A3188A">
      <w:pPr>
        <w:pStyle w:val="GvdeMetni"/>
        <w:spacing w:line="262" w:lineRule="exact"/>
        <w:rPr>
          <w:color w:val="000000" w:themeColor="text1"/>
          <w:sz w:val="24"/>
        </w:rPr>
      </w:pPr>
      <w:r w:rsidRPr="00164238">
        <w:rPr>
          <w:color w:val="000000" w:themeColor="text1"/>
        </w:rPr>
        <w:t>Талос-бронзовый мифический великан. h</w:t>
      </w:r>
      <w:hyperlink r:id="rId294" w:history="1">
        <w:r w:rsidRPr="00164238">
          <w:rPr>
            <w:rStyle w:val="Kpr"/>
            <w:rFonts w:eastAsiaTheme="majorEastAsia"/>
            <w:color w:val="000000" w:themeColor="text1"/>
          </w:rPr>
          <w:t>ttps://www.grekomania.ru/articles/114</w:t>
        </w:r>
      </w:hyperlink>
      <w:r w:rsidRPr="00164238">
        <w:rPr>
          <w:color w:val="000000" w:themeColor="text1"/>
          <w:u w:val="single"/>
        </w:rPr>
        <w:t>-</w:t>
      </w:r>
      <w:r w:rsidRPr="00164238">
        <w:rPr>
          <w:color w:val="000000" w:themeColor="text1"/>
          <w:spacing w:val="54"/>
          <w:u w:val="single"/>
        </w:rPr>
        <w:t xml:space="preserve"> </w:t>
      </w:r>
      <w:r w:rsidRPr="00164238">
        <w:rPr>
          <w:color w:val="000000" w:themeColor="text1"/>
          <w:u w:val="single"/>
        </w:rPr>
        <w:t>talos</w:t>
      </w:r>
    </w:p>
    <w:p w14:paraId="5EE1FB84" w14:textId="77777777" w:rsidR="00A3188A" w:rsidRPr="00164238" w:rsidRDefault="00A3188A" w:rsidP="00A3188A">
      <w:pPr>
        <w:pStyle w:val="GvdeMetni"/>
        <w:spacing w:before="4"/>
        <w:rPr>
          <w:color w:val="000000" w:themeColor="text1"/>
        </w:rPr>
      </w:pPr>
      <w:r w:rsidRPr="00164238">
        <w:rPr>
          <w:color w:val="000000" w:themeColor="text1"/>
        </w:rPr>
        <w:t>Тьюринг А. (1960).Может ли машина мыслить? M.С. 57. internet resources</w:t>
      </w:r>
    </w:p>
    <w:p w14:paraId="2492B523" w14:textId="0A196E51" w:rsidR="00A3188A" w:rsidRPr="00164238" w:rsidRDefault="00A3188A" w:rsidP="00F17FEC">
      <w:pPr>
        <w:spacing w:before="120" w:after="120" w:line="360" w:lineRule="auto"/>
        <w:jc w:val="both"/>
        <w:rPr>
          <w:rFonts w:ascii="Times New Roman" w:hAnsi="Times New Roman" w:cs="Times New Roman"/>
          <w:color w:val="000000" w:themeColor="text1"/>
          <w:sz w:val="20"/>
          <w:szCs w:val="20"/>
        </w:rPr>
      </w:pPr>
    </w:p>
    <w:p w14:paraId="0CA9DC0A" w14:textId="6B6B3177" w:rsidR="002E3F19" w:rsidRPr="00164238" w:rsidRDefault="002E3F19" w:rsidP="00F17FEC">
      <w:pPr>
        <w:spacing w:before="120" w:after="120" w:line="360" w:lineRule="auto"/>
        <w:jc w:val="both"/>
        <w:rPr>
          <w:rFonts w:ascii="Times New Roman" w:hAnsi="Times New Roman" w:cs="Times New Roman"/>
          <w:color w:val="000000" w:themeColor="text1"/>
          <w:sz w:val="20"/>
          <w:szCs w:val="20"/>
        </w:rPr>
      </w:pPr>
    </w:p>
    <w:p w14:paraId="0A55872A" w14:textId="3D3C87AB" w:rsidR="002E3F19" w:rsidRDefault="002E3F19" w:rsidP="00F17FEC">
      <w:pPr>
        <w:spacing w:before="120" w:after="120" w:line="360" w:lineRule="auto"/>
        <w:jc w:val="both"/>
        <w:rPr>
          <w:rFonts w:ascii="Times New Roman" w:hAnsi="Times New Roman" w:cs="Times New Roman"/>
          <w:color w:val="000000" w:themeColor="text1"/>
          <w:sz w:val="20"/>
          <w:szCs w:val="20"/>
        </w:rPr>
      </w:pPr>
    </w:p>
    <w:p w14:paraId="562D845C" w14:textId="5F995E06" w:rsidR="00452A49" w:rsidRDefault="00452A49" w:rsidP="00F17FEC">
      <w:pPr>
        <w:spacing w:before="120" w:after="120" w:line="360" w:lineRule="auto"/>
        <w:jc w:val="both"/>
        <w:rPr>
          <w:rFonts w:ascii="Times New Roman" w:hAnsi="Times New Roman" w:cs="Times New Roman"/>
          <w:color w:val="000000" w:themeColor="text1"/>
          <w:sz w:val="20"/>
          <w:szCs w:val="20"/>
        </w:rPr>
      </w:pPr>
    </w:p>
    <w:p w14:paraId="19B8F5C2" w14:textId="49BE54E8" w:rsidR="00452A49" w:rsidRDefault="00452A49" w:rsidP="00F17FEC">
      <w:pPr>
        <w:spacing w:before="120" w:after="120" w:line="360" w:lineRule="auto"/>
        <w:jc w:val="both"/>
        <w:rPr>
          <w:rFonts w:ascii="Times New Roman" w:hAnsi="Times New Roman" w:cs="Times New Roman"/>
          <w:color w:val="000000" w:themeColor="text1"/>
          <w:sz w:val="20"/>
          <w:szCs w:val="20"/>
        </w:rPr>
      </w:pPr>
    </w:p>
    <w:p w14:paraId="25CC29C4" w14:textId="2527A294" w:rsidR="00452A49" w:rsidRDefault="00452A49" w:rsidP="00F17FEC">
      <w:pPr>
        <w:spacing w:before="120" w:after="120" w:line="360" w:lineRule="auto"/>
        <w:jc w:val="both"/>
        <w:rPr>
          <w:rFonts w:ascii="Times New Roman" w:hAnsi="Times New Roman" w:cs="Times New Roman"/>
          <w:color w:val="000000" w:themeColor="text1"/>
          <w:sz w:val="20"/>
          <w:szCs w:val="20"/>
        </w:rPr>
      </w:pPr>
    </w:p>
    <w:p w14:paraId="7C94D490" w14:textId="14D08CEC" w:rsidR="00452A49" w:rsidRDefault="00452A49" w:rsidP="00F17FEC">
      <w:pPr>
        <w:spacing w:before="120" w:after="120" w:line="360" w:lineRule="auto"/>
        <w:jc w:val="both"/>
        <w:rPr>
          <w:rFonts w:ascii="Times New Roman" w:hAnsi="Times New Roman" w:cs="Times New Roman"/>
          <w:color w:val="000000" w:themeColor="text1"/>
          <w:sz w:val="20"/>
          <w:szCs w:val="20"/>
        </w:rPr>
      </w:pPr>
    </w:p>
    <w:p w14:paraId="1FBAF05C" w14:textId="46AEFA5E" w:rsidR="00452A49" w:rsidRDefault="00452A49" w:rsidP="00F17FEC">
      <w:pPr>
        <w:spacing w:before="120" w:after="120" w:line="360" w:lineRule="auto"/>
        <w:jc w:val="both"/>
        <w:rPr>
          <w:rFonts w:ascii="Times New Roman" w:hAnsi="Times New Roman" w:cs="Times New Roman"/>
          <w:color w:val="000000" w:themeColor="text1"/>
          <w:sz w:val="20"/>
          <w:szCs w:val="20"/>
        </w:rPr>
      </w:pPr>
    </w:p>
    <w:p w14:paraId="41C7AFB5" w14:textId="291928D0" w:rsidR="00452A49" w:rsidRDefault="00452A49" w:rsidP="00F17FEC">
      <w:pPr>
        <w:spacing w:before="120" w:after="120" w:line="360" w:lineRule="auto"/>
        <w:jc w:val="both"/>
        <w:rPr>
          <w:rFonts w:ascii="Times New Roman" w:hAnsi="Times New Roman" w:cs="Times New Roman"/>
          <w:color w:val="000000" w:themeColor="text1"/>
          <w:sz w:val="20"/>
          <w:szCs w:val="20"/>
        </w:rPr>
      </w:pPr>
    </w:p>
    <w:p w14:paraId="453F6983" w14:textId="69D83AFC" w:rsidR="00452A49" w:rsidRDefault="00452A49" w:rsidP="00F17FEC">
      <w:pPr>
        <w:spacing w:before="120" w:after="120" w:line="360" w:lineRule="auto"/>
        <w:jc w:val="both"/>
        <w:rPr>
          <w:rFonts w:ascii="Times New Roman" w:hAnsi="Times New Roman" w:cs="Times New Roman"/>
          <w:color w:val="000000" w:themeColor="text1"/>
          <w:sz w:val="20"/>
          <w:szCs w:val="20"/>
        </w:rPr>
      </w:pPr>
    </w:p>
    <w:p w14:paraId="275BCBEF" w14:textId="61D74DC9" w:rsidR="00452A49" w:rsidRDefault="00452A49" w:rsidP="00F17FEC">
      <w:pPr>
        <w:spacing w:before="120" w:after="120" w:line="360" w:lineRule="auto"/>
        <w:jc w:val="both"/>
        <w:rPr>
          <w:rFonts w:ascii="Times New Roman" w:hAnsi="Times New Roman" w:cs="Times New Roman"/>
          <w:color w:val="000000" w:themeColor="text1"/>
          <w:sz w:val="20"/>
          <w:szCs w:val="20"/>
        </w:rPr>
      </w:pPr>
    </w:p>
    <w:p w14:paraId="1BCFF528" w14:textId="5E5960CF" w:rsidR="00452A49" w:rsidRDefault="00452A49" w:rsidP="00F17FEC">
      <w:pPr>
        <w:spacing w:before="120" w:after="120" w:line="360" w:lineRule="auto"/>
        <w:jc w:val="both"/>
        <w:rPr>
          <w:rFonts w:ascii="Times New Roman" w:hAnsi="Times New Roman" w:cs="Times New Roman"/>
          <w:color w:val="000000" w:themeColor="text1"/>
          <w:sz w:val="20"/>
          <w:szCs w:val="20"/>
        </w:rPr>
      </w:pPr>
    </w:p>
    <w:p w14:paraId="25E3D2D2" w14:textId="67D045A7" w:rsidR="00452A49" w:rsidRDefault="00452A49" w:rsidP="00F17FEC">
      <w:pPr>
        <w:spacing w:before="120" w:after="120" w:line="360" w:lineRule="auto"/>
        <w:jc w:val="both"/>
        <w:rPr>
          <w:rFonts w:ascii="Times New Roman" w:hAnsi="Times New Roman" w:cs="Times New Roman"/>
          <w:color w:val="000000" w:themeColor="text1"/>
          <w:sz w:val="20"/>
          <w:szCs w:val="20"/>
        </w:rPr>
      </w:pPr>
    </w:p>
    <w:p w14:paraId="3C0D0B6F" w14:textId="77777777" w:rsidR="00452A49" w:rsidRDefault="00452A49" w:rsidP="00F17FEC">
      <w:pPr>
        <w:spacing w:before="120" w:after="120" w:line="360" w:lineRule="auto"/>
        <w:jc w:val="both"/>
        <w:rPr>
          <w:rFonts w:ascii="Times New Roman" w:hAnsi="Times New Roman" w:cs="Times New Roman"/>
          <w:color w:val="000000" w:themeColor="text1"/>
          <w:sz w:val="20"/>
          <w:szCs w:val="20"/>
        </w:rPr>
      </w:pPr>
    </w:p>
    <w:p w14:paraId="7B9FC7BC" w14:textId="61CBA09B" w:rsidR="006A4DC2" w:rsidRDefault="006A4DC2" w:rsidP="00F17FEC">
      <w:pPr>
        <w:spacing w:before="120" w:after="120" w:line="360" w:lineRule="auto"/>
        <w:jc w:val="both"/>
        <w:rPr>
          <w:rFonts w:ascii="Times New Roman" w:hAnsi="Times New Roman" w:cs="Times New Roman"/>
          <w:color w:val="000000" w:themeColor="text1"/>
          <w:sz w:val="20"/>
          <w:szCs w:val="20"/>
        </w:rPr>
      </w:pPr>
    </w:p>
    <w:p w14:paraId="5BDD3DD0" w14:textId="77777777" w:rsidR="006A4DC2" w:rsidRPr="00164238" w:rsidRDefault="006A4DC2" w:rsidP="00F17FEC">
      <w:pPr>
        <w:spacing w:before="120" w:after="120" w:line="360" w:lineRule="auto"/>
        <w:jc w:val="both"/>
        <w:rPr>
          <w:rFonts w:ascii="Times New Roman" w:hAnsi="Times New Roman" w:cs="Times New Roman"/>
          <w:color w:val="000000" w:themeColor="text1"/>
          <w:sz w:val="20"/>
          <w:szCs w:val="20"/>
        </w:rPr>
      </w:pPr>
    </w:p>
    <w:p w14:paraId="3BB258B2" w14:textId="44017FDA" w:rsidR="002E3F19" w:rsidRPr="00164238" w:rsidRDefault="002E3F19" w:rsidP="00F17FEC">
      <w:pPr>
        <w:spacing w:before="120" w:after="120" w:line="360" w:lineRule="auto"/>
        <w:jc w:val="both"/>
        <w:rPr>
          <w:rFonts w:ascii="Times New Roman" w:hAnsi="Times New Roman" w:cs="Times New Roman"/>
          <w:color w:val="000000" w:themeColor="text1"/>
          <w:sz w:val="20"/>
          <w:szCs w:val="20"/>
        </w:rPr>
      </w:pPr>
    </w:p>
    <w:p w14:paraId="4C21707D" w14:textId="392D692B" w:rsidR="002E3F19" w:rsidRPr="00164238" w:rsidRDefault="0046321D" w:rsidP="0046321D">
      <w:pPr>
        <w:pStyle w:val="Balk1"/>
        <w:rPr>
          <w:rFonts w:ascii="Times New Roman" w:hAnsi="Times New Roman" w:cs="Times New Roman"/>
          <w:b/>
          <w:color w:val="000000" w:themeColor="text1"/>
          <w:sz w:val="24"/>
          <w:szCs w:val="24"/>
        </w:rPr>
      </w:pPr>
      <w:bookmarkStart w:id="162" w:name="_Toc72961742"/>
      <w:r w:rsidRPr="00164238">
        <w:rPr>
          <w:rFonts w:ascii="Times New Roman" w:hAnsi="Times New Roman" w:cs="Times New Roman"/>
          <w:b/>
          <w:color w:val="000000" w:themeColor="text1"/>
          <w:sz w:val="24"/>
          <w:szCs w:val="24"/>
        </w:rPr>
        <w:t>TÜRKİYE’DE COVİD-19 PANDEMİ SÜRECİNDE E-TİCARETTEKİ DEĞİŞİM</w:t>
      </w:r>
      <w:bookmarkEnd w:id="162"/>
    </w:p>
    <w:p w14:paraId="081F1211" w14:textId="77777777" w:rsidR="0046321D" w:rsidRPr="00164238" w:rsidRDefault="0046321D" w:rsidP="0046321D">
      <w:pPr>
        <w:pStyle w:val="Balk2"/>
        <w:rPr>
          <w:rFonts w:ascii="Times New Roman" w:hAnsi="Times New Roman" w:cs="Times New Roman"/>
          <w:b w:val="0"/>
          <w:color w:val="000000" w:themeColor="text1"/>
          <w:sz w:val="20"/>
          <w:szCs w:val="20"/>
        </w:rPr>
      </w:pPr>
      <w:bookmarkStart w:id="163" w:name="_Toc72961743"/>
      <w:r w:rsidRPr="00164238">
        <w:rPr>
          <w:rFonts w:ascii="Times New Roman" w:hAnsi="Times New Roman" w:cs="Times New Roman"/>
          <w:b w:val="0"/>
          <w:i w:val="0"/>
          <w:color w:val="000000" w:themeColor="text1"/>
          <w:sz w:val="20"/>
          <w:szCs w:val="20"/>
        </w:rPr>
        <w:t>Burcu TEKIN</w:t>
      </w:r>
      <w:r w:rsidRPr="00164238">
        <w:rPr>
          <w:rFonts w:ascii="Times New Roman" w:hAnsi="Times New Roman" w:cs="Times New Roman"/>
          <w:b w:val="0"/>
          <w:color w:val="000000" w:themeColor="text1"/>
          <w:sz w:val="20"/>
          <w:szCs w:val="20"/>
        </w:rPr>
        <w:t>, Ankara Haci Bayram Veli University, Institute of Graduate Programs, Ankara, Turkey</w:t>
      </w:r>
      <w:bookmarkEnd w:id="163"/>
    </w:p>
    <w:p w14:paraId="2B04BD24" w14:textId="77777777" w:rsidR="0046321D" w:rsidRPr="00164238" w:rsidRDefault="0046321D" w:rsidP="0046321D">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e-mail: </w:t>
      </w:r>
      <w:hyperlink r:id="rId295" w:history="1">
        <w:r w:rsidRPr="00164238">
          <w:rPr>
            <w:rStyle w:val="Kpr"/>
            <w:rFonts w:ascii="Times New Roman" w:hAnsi="Times New Roman" w:cs="Times New Roman"/>
            <w:color w:val="000000" w:themeColor="text1"/>
            <w:sz w:val="20"/>
            <w:szCs w:val="20"/>
          </w:rPr>
          <w:t>burcu.tekin@hbv.edu.tr</w:t>
        </w:r>
      </w:hyperlink>
      <w:r w:rsidRPr="00164238">
        <w:rPr>
          <w:rFonts w:ascii="Times New Roman" w:hAnsi="Times New Roman" w:cs="Times New Roman"/>
          <w:color w:val="000000" w:themeColor="text1"/>
          <w:sz w:val="20"/>
          <w:szCs w:val="20"/>
        </w:rPr>
        <w:t xml:space="preserve"> ORCID ID: 0000-0002-8967-9181</w:t>
      </w:r>
    </w:p>
    <w:p w14:paraId="6A521712" w14:textId="77777777" w:rsidR="0046321D" w:rsidRPr="00164238" w:rsidRDefault="0046321D" w:rsidP="0046321D">
      <w:pPr>
        <w:pStyle w:val="Balk2"/>
        <w:rPr>
          <w:rFonts w:ascii="Times New Roman" w:eastAsia="Arial" w:hAnsi="Times New Roman" w:cs="Times New Roman"/>
          <w:b w:val="0"/>
          <w:color w:val="000000" w:themeColor="text1"/>
          <w:sz w:val="20"/>
          <w:szCs w:val="20"/>
        </w:rPr>
      </w:pPr>
      <w:r w:rsidRPr="00164238">
        <w:rPr>
          <w:rFonts w:ascii="Times New Roman" w:hAnsi="Times New Roman" w:cs="Times New Roman"/>
          <w:color w:val="000000" w:themeColor="text1"/>
        </w:rPr>
        <w:t xml:space="preserve"> </w:t>
      </w:r>
      <w:bookmarkStart w:id="164" w:name="_Toc72961744"/>
      <w:r w:rsidRPr="00164238">
        <w:rPr>
          <w:rStyle w:val="Balk2Char"/>
          <w:rFonts w:ascii="Times New Roman" w:hAnsi="Times New Roman" w:cs="Times New Roman"/>
          <w:color w:val="000000" w:themeColor="text1"/>
          <w:sz w:val="20"/>
          <w:szCs w:val="20"/>
        </w:rPr>
        <w:t>Prof. Dr. Belgin  AYDINTAN</w:t>
      </w:r>
      <w:r w:rsidRPr="00164238">
        <w:rPr>
          <w:rFonts w:ascii="Times New Roman" w:eastAsia="Arial" w:hAnsi="Times New Roman" w:cs="Times New Roman"/>
          <w:color w:val="000000" w:themeColor="text1"/>
          <w:sz w:val="20"/>
          <w:szCs w:val="20"/>
        </w:rPr>
        <w:t xml:space="preserve">, </w:t>
      </w:r>
      <w:r w:rsidRPr="00164238">
        <w:rPr>
          <w:rFonts w:ascii="Times New Roman" w:eastAsia="Arial" w:hAnsi="Times New Roman" w:cs="Times New Roman"/>
          <w:b w:val="0"/>
          <w:color w:val="000000" w:themeColor="text1"/>
          <w:sz w:val="20"/>
          <w:szCs w:val="20"/>
        </w:rPr>
        <w:t>Ankara Hacı Bayram Veli Üniversitesi, İktisadi ve İdari Bilimler Fakültesi, İşletme Bölümü, 06370, Ankara</w:t>
      </w:r>
      <w:bookmarkEnd w:id="164"/>
    </w:p>
    <w:p w14:paraId="6A4C01D3" w14:textId="77777777" w:rsidR="0046321D" w:rsidRPr="00164238" w:rsidRDefault="0046321D" w:rsidP="0046321D">
      <w:pPr>
        <w:jc w:val="both"/>
        <w:rPr>
          <w:rFonts w:ascii="Times New Roman" w:hAnsi="Times New Roman" w:cs="Times New Roman"/>
          <w:color w:val="000000" w:themeColor="text1"/>
          <w:sz w:val="20"/>
          <w:szCs w:val="20"/>
        </w:rPr>
      </w:pPr>
      <w:r w:rsidRPr="00164238">
        <w:rPr>
          <w:rFonts w:ascii="Times New Roman" w:eastAsia="Arial" w:hAnsi="Times New Roman" w:cs="Times New Roman"/>
          <w:i/>
          <w:color w:val="000000" w:themeColor="text1"/>
          <w:sz w:val="20"/>
          <w:szCs w:val="20"/>
        </w:rPr>
        <w:t>e-mail:</w:t>
      </w:r>
      <w:r w:rsidRPr="00164238">
        <w:rPr>
          <w:rFonts w:ascii="Times New Roman" w:eastAsia="Arial" w:hAnsi="Times New Roman" w:cs="Times New Roman"/>
          <w:color w:val="000000" w:themeColor="text1"/>
          <w:sz w:val="20"/>
          <w:szCs w:val="20"/>
          <w:u w:val="single"/>
        </w:rPr>
        <w:t>belgin.aydintan@hbv.edu.tr</w:t>
      </w:r>
      <w:r w:rsidRPr="00164238">
        <w:rPr>
          <w:rFonts w:ascii="Times New Roman" w:eastAsia="Arial" w:hAnsi="Times New Roman" w:cs="Times New Roman"/>
          <w:color w:val="000000" w:themeColor="text1"/>
          <w:sz w:val="20"/>
          <w:szCs w:val="20"/>
        </w:rPr>
        <w:t xml:space="preserve"> </w:t>
      </w:r>
      <w:r w:rsidRPr="00164238">
        <w:rPr>
          <w:rFonts w:ascii="Times New Roman" w:eastAsia="Arial" w:hAnsi="Times New Roman" w:cs="Times New Roman"/>
          <w:i/>
          <w:color w:val="000000" w:themeColor="text1"/>
          <w:sz w:val="20"/>
          <w:szCs w:val="20"/>
        </w:rPr>
        <w:t>ORCID ID:</w:t>
      </w:r>
      <w:r w:rsidRPr="00164238">
        <w:rPr>
          <w:rFonts w:ascii="Times New Roman" w:eastAsia="Arial" w:hAnsi="Times New Roman" w:cs="Times New Roman"/>
          <w:color w:val="000000" w:themeColor="text1"/>
          <w:sz w:val="20"/>
          <w:szCs w:val="20"/>
        </w:rPr>
        <w:t xml:space="preserve"> </w:t>
      </w:r>
      <w:r w:rsidRPr="00164238">
        <w:rPr>
          <w:rFonts w:ascii="Times New Roman" w:hAnsi="Times New Roman" w:cs="Times New Roman"/>
          <w:color w:val="000000" w:themeColor="text1"/>
          <w:sz w:val="20"/>
          <w:szCs w:val="20"/>
          <w:shd w:val="clear" w:color="auto" w:fill="FFFFFF"/>
        </w:rPr>
        <w:t>0000-0002-9057-4336</w:t>
      </w:r>
    </w:p>
    <w:p w14:paraId="136377FE" w14:textId="0AAB57C0" w:rsidR="002E3F19" w:rsidRPr="00164238" w:rsidRDefault="002E3F19" w:rsidP="0046321D">
      <w:pPr>
        <w:jc w:val="both"/>
        <w:rPr>
          <w:rFonts w:ascii="Times New Roman" w:hAnsi="Times New Roman" w:cs="Times New Roman"/>
          <w:b/>
          <w:color w:val="000000" w:themeColor="text1"/>
          <w:sz w:val="20"/>
          <w:szCs w:val="20"/>
        </w:rPr>
      </w:pPr>
      <w:r w:rsidRPr="00164238">
        <w:rPr>
          <w:rFonts w:ascii="Times New Roman" w:hAnsi="Times New Roman" w:cs="Times New Roman"/>
          <w:color w:val="000000" w:themeColor="text1"/>
          <w:sz w:val="20"/>
          <w:szCs w:val="20"/>
        </w:rPr>
        <w:t xml:space="preserve">       </w:t>
      </w:r>
    </w:p>
    <w:p w14:paraId="69FF11DB" w14:textId="77777777" w:rsidR="002E3F19" w:rsidRPr="00164238" w:rsidRDefault="002E3F19" w:rsidP="002E3F19">
      <w:pPr>
        <w:spacing w:line="240" w:lineRule="auto"/>
        <w:jc w:val="both"/>
        <w:rPr>
          <w:rFonts w:ascii="Times New Roman" w:hAnsi="Times New Roman" w:cs="Times New Roman"/>
          <w:b/>
          <w:color w:val="000000" w:themeColor="text1"/>
          <w:sz w:val="20"/>
          <w:szCs w:val="20"/>
        </w:rPr>
      </w:pPr>
      <w:r w:rsidRPr="00164238">
        <w:rPr>
          <w:rFonts w:ascii="Times New Roman" w:hAnsi="Times New Roman" w:cs="Times New Roman"/>
          <w:color w:val="000000" w:themeColor="text1"/>
          <w:sz w:val="20"/>
          <w:szCs w:val="20"/>
        </w:rPr>
        <w:t xml:space="preserve">                 </w:t>
      </w:r>
      <w:r w:rsidRPr="00164238">
        <w:rPr>
          <w:rFonts w:ascii="Times New Roman" w:hAnsi="Times New Roman" w:cs="Times New Roman"/>
          <w:b/>
          <w:color w:val="000000" w:themeColor="text1"/>
          <w:sz w:val="20"/>
          <w:szCs w:val="20"/>
        </w:rPr>
        <w:t>ÖZET</w:t>
      </w:r>
    </w:p>
    <w:p w14:paraId="795CDC71" w14:textId="22BAA584" w:rsidR="002E3F19" w:rsidRPr="00164238" w:rsidRDefault="002E3F19" w:rsidP="002E3F19">
      <w:pPr>
        <w:spacing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2019 yılının sonunda Çin’de meydana gelen koronavirüs, Türkiye dâhil olmak üzere dünyaya hızlı bir şekilde yayılmıştır. Covid-19 pandemisi insanların hayatını değiştirmiş olup özellikle içinde bulunduğumuz pandemi döneminde e-ticaretin önemi artmaya başlamıştır. Virüsün yayılmasını azaltmak için insanların evde kalması beklenmektedir ve bu durum tüketicilerin çevrimiçi alışveriş yapmasına neden olmaktadır. Tüketiciler pandemi ortamında ihtiyaçlarını karşılamak için e-ticareti tercih etmektedirler. Çalışmanın amacı, Covid-19 ile birlikte Türkiye’de e-ticarete meydana gelen değişimleri araştırmak ve Türkiye’de e-ticarette ürün ve sektör bazında meydana gelen tüketici talep değişikliklerini değerlendirmektir. TÜİK (Türkiye İstatistik Kurumu) ve Türkiye Cumhuriyeti Ticaret Bakanlığı verileri, Covid-19 ile birlikte ilaç, mobilya, ev aksesuarları, çocuk oyuncakları, çocuk bakım ürünleri, beyaz eşya, elektronik araçlar, basılı kitap, dergi, giyim, gıda, temizlik, kozmetik, güzellik ve kişisel bakım gibi çeşitli ürün gruplarının internet satışlarında talebin arttığını göstermektedir. Diğer taraftan, tatil konaklaması, seyahat ile ilgili diğer faaliyetler (örneğin seyahat bileti), sportif ve kültürel faaliyetler için bilet gibi ürün gruplarının internetten satışlarında talebin azaldığı görülmektedir.</w:t>
      </w:r>
    </w:p>
    <w:p w14:paraId="7A81CBBD" w14:textId="77777777" w:rsidR="002E3F19" w:rsidRPr="00164238" w:rsidRDefault="002E3F19" w:rsidP="002E3F19">
      <w:pPr>
        <w:spacing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rPr>
        <w:t xml:space="preserve"> Anahtar Kelimeler:</w:t>
      </w:r>
      <w:r w:rsidRPr="00164238">
        <w:rPr>
          <w:rFonts w:ascii="Times New Roman" w:hAnsi="Times New Roman" w:cs="Times New Roman"/>
          <w:color w:val="000000" w:themeColor="text1"/>
          <w:sz w:val="20"/>
          <w:szCs w:val="20"/>
        </w:rPr>
        <w:t xml:space="preserve"> Covid-19 Pandemi, E-Ticaret, Tüketici Talebi.</w:t>
      </w:r>
    </w:p>
    <w:p w14:paraId="6072190E" w14:textId="77777777" w:rsidR="002E3F19" w:rsidRPr="00164238" w:rsidRDefault="002E3F19" w:rsidP="002E3F19">
      <w:pPr>
        <w:spacing w:line="240" w:lineRule="auto"/>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                             </w:t>
      </w:r>
    </w:p>
    <w:p w14:paraId="1438109F" w14:textId="77777777" w:rsidR="002E3F19" w:rsidRPr="00164238" w:rsidRDefault="002E3F19" w:rsidP="002E3F19">
      <w:pPr>
        <w:spacing w:line="240" w:lineRule="auto"/>
        <w:jc w:val="center"/>
        <w:rPr>
          <w:rFonts w:ascii="Times New Roman" w:hAnsi="Times New Roman" w:cs="Times New Roman"/>
          <w:color w:val="000000" w:themeColor="text1"/>
          <w:sz w:val="24"/>
          <w:szCs w:val="24"/>
        </w:rPr>
      </w:pPr>
    </w:p>
    <w:p w14:paraId="45E251C5" w14:textId="4CFC8FF8" w:rsidR="002E3F19" w:rsidRPr="00164238" w:rsidRDefault="00EF2803" w:rsidP="002E3F19">
      <w:pPr>
        <w:spacing w:line="240" w:lineRule="auto"/>
        <w:jc w:val="center"/>
        <w:rPr>
          <w:rFonts w:ascii="Times New Roman" w:hAnsi="Times New Roman" w:cs="Times New Roman"/>
          <w:b/>
          <w:color w:val="000000" w:themeColor="text1"/>
          <w:sz w:val="24"/>
          <w:szCs w:val="24"/>
        </w:rPr>
      </w:pPr>
      <w:r w:rsidRPr="00164238">
        <w:rPr>
          <w:rFonts w:ascii="Times New Roman" w:hAnsi="Times New Roman" w:cs="Times New Roman"/>
          <w:color w:val="000000" w:themeColor="text1"/>
          <w:sz w:val="24"/>
          <w:szCs w:val="24"/>
        </w:rPr>
        <w:t xml:space="preserve"> </w:t>
      </w:r>
      <w:r w:rsidRPr="00164238">
        <w:rPr>
          <w:rFonts w:ascii="Times New Roman" w:hAnsi="Times New Roman" w:cs="Times New Roman"/>
          <w:b/>
          <w:color w:val="000000" w:themeColor="text1"/>
          <w:sz w:val="24"/>
          <w:szCs w:val="24"/>
        </w:rPr>
        <w:t>CHANGING E-COMMERCE DURING THE COVID-19 PANDEMIC IN TURKEY</w:t>
      </w:r>
    </w:p>
    <w:p w14:paraId="1667BA47" w14:textId="77777777" w:rsidR="002E3F19" w:rsidRPr="00164238" w:rsidRDefault="002E3F19" w:rsidP="002E3F19">
      <w:pPr>
        <w:spacing w:line="240" w:lineRule="auto"/>
        <w:ind w:firstLine="708"/>
        <w:jc w:val="both"/>
        <w:rPr>
          <w:rFonts w:ascii="Times New Roman" w:hAnsi="Times New Roman" w:cs="Times New Roman"/>
          <w:b/>
          <w:color w:val="000000" w:themeColor="text1"/>
          <w:sz w:val="20"/>
          <w:szCs w:val="20"/>
        </w:rPr>
      </w:pPr>
      <w:r w:rsidRPr="00164238">
        <w:rPr>
          <w:rFonts w:ascii="Times New Roman" w:hAnsi="Times New Roman" w:cs="Times New Roman"/>
          <w:b/>
          <w:color w:val="000000" w:themeColor="text1"/>
          <w:sz w:val="20"/>
          <w:szCs w:val="20"/>
        </w:rPr>
        <w:t>ABSTRACT</w:t>
      </w:r>
    </w:p>
    <w:p w14:paraId="2461E2C1" w14:textId="77777777" w:rsidR="002E3F19" w:rsidRPr="00164238" w:rsidRDefault="002E3F19" w:rsidP="002E3F19">
      <w:pPr>
        <w:spacing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At the end of 2019, coronavirus occured in China and then rapidly spread to the world, including Turkey. The Covid-19 pandemic has altered people’s lives. Especially in this pandemic period, the importance of e-commerce has started to increase. </w:t>
      </w:r>
      <w:r w:rsidRPr="00164238">
        <w:rPr>
          <w:rFonts w:ascii="Times New Roman" w:hAnsi="Times New Roman" w:cs="Times New Roman"/>
          <w:color w:val="000000" w:themeColor="text1"/>
          <w:sz w:val="20"/>
          <w:szCs w:val="20"/>
          <w:shd w:val="clear" w:color="auto" w:fill="FFFFFF"/>
        </w:rPr>
        <w:t xml:space="preserve">To reduce the spread of the virus, people are supposed to stay at home and this causes consumers to do online shopping. </w:t>
      </w:r>
      <w:r w:rsidRPr="00164238">
        <w:rPr>
          <w:rFonts w:ascii="Times New Roman" w:hAnsi="Times New Roman" w:cs="Times New Roman"/>
          <w:color w:val="000000" w:themeColor="text1"/>
          <w:sz w:val="20"/>
          <w:szCs w:val="20"/>
        </w:rPr>
        <w:t>Consumers have prefer e-commerce to meet their needs in this pandemic environment. The aim of the article is to investigate that changing e-commerce during Covid-19 pandemic and evaluate the demand changes for different product groups in Turkey. TUİK (</w:t>
      </w:r>
      <w:hyperlink r:id="rId296" w:history="1">
        <w:r w:rsidRPr="00164238">
          <w:rPr>
            <w:rStyle w:val="Kpr"/>
            <w:rFonts w:ascii="Times New Roman" w:hAnsi="Times New Roman" w:cs="Times New Roman"/>
            <w:color w:val="000000" w:themeColor="text1"/>
            <w:sz w:val="20"/>
            <w:szCs w:val="20"/>
          </w:rPr>
          <w:t>Turkish Statistical Institute</w:t>
        </w:r>
      </w:hyperlink>
      <w:r w:rsidRPr="00164238">
        <w:rPr>
          <w:rFonts w:ascii="Times New Roman" w:hAnsi="Times New Roman" w:cs="Times New Roman"/>
          <w:color w:val="000000" w:themeColor="text1"/>
          <w:sz w:val="20"/>
          <w:szCs w:val="20"/>
        </w:rPr>
        <w:t>) and the Ministary of Trade of Turkey data indicates that there is an increase in demand in online sales of medicine, furniture, home accessories, children toys, childcare items, household white appliances, electronic equipment, printed books, magazine, clothing, food, cleaning, cosmetics, beauty and personal care product has started with Covid-19. On the other hand, there is a decrease in a demand in online sales of holiday accommodation, other travel arrangements (such us, transport ticket), tickets for events. As a result, the consumption habits which means shopping from physical stores in previous years has started to change online platforms.</w:t>
      </w:r>
    </w:p>
    <w:p w14:paraId="5A44B8FD" w14:textId="77777777" w:rsidR="002E3F19" w:rsidRPr="00164238" w:rsidRDefault="002E3F19" w:rsidP="002E3F19">
      <w:pPr>
        <w:spacing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rPr>
        <w:lastRenderedPageBreak/>
        <w:t>Key Words</w:t>
      </w:r>
      <w:r w:rsidRPr="00164238">
        <w:rPr>
          <w:rFonts w:ascii="Times New Roman" w:hAnsi="Times New Roman" w:cs="Times New Roman"/>
          <w:color w:val="000000" w:themeColor="text1"/>
          <w:sz w:val="20"/>
          <w:szCs w:val="20"/>
        </w:rPr>
        <w:t>: Covid-19 Pandemic, E-Commerce, Consumer Demand.</w:t>
      </w:r>
    </w:p>
    <w:p w14:paraId="1979A891" w14:textId="77777777" w:rsidR="002E3F19" w:rsidRPr="00164238" w:rsidRDefault="002E3F19" w:rsidP="002E3F19">
      <w:pPr>
        <w:spacing w:line="360" w:lineRule="auto"/>
        <w:ind w:firstLine="708"/>
        <w:jc w:val="both"/>
        <w:rPr>
          <w:rFonts w:ascii="Times New Roman" w:hAnsi="Times New Roman" w:cs="Times New Roman"/>
          <w:b/>
          <w:color w:val="000000" w:themeColor="text1"/>
          <w:sz w:val="20"/>
          <w:szCs w:val="20"/>
        </w:rPr>
      </w:pPr>
      <w:r w:rsidRPr="00164238">
        <w:rPr>
          <w:rFonts w:ascii="Times New Roman" w:hAnsi="Times New Roman" w:cs="Times New Roman"/>
          <w:b/>
          <w:color w:val="000000" w:themeColor="text1"/>
          <w:sz w:val="20"/>
          <w:szCs w:val="20"/>
        </w:rPr>
        <w:t>GİRİŞ</w:t>
      </w:r>
    </w:p>
    <w:p w14:paraId="6B44704E" w14:textId="77777777" w:rsidR="002E3F19" w:rsidRPr="006A4DC2" w:rsidRDefault="002E3F19" w:rsidP="002E3F19">
      <w:pPr>
        <w:spacing w:line="360" w:lineRule="auto"/>
        <w:ind w:firstLine="708"/>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Çin’de 2019 yılının son aylarında meydana gelen Covid-19 salgını Türkiye dâhil olmak üzere tüm dünyayı kısa sürede etkisi altına almıştır. Ülkemizde Covid-19 salgın hastalığına yakalananların sayısı her geçen gün artmaya devam etmektedir. Bu sebeple ülkemizde virüsün yayılmasını engellemeye yönelik çeşitli önlemler alınmaktadır.  Türkiye’de virüsün yayılmasına karşı alınan önlemler, şehirlerdeki günlük vaka sayılarına göre değişmekle birlikte zaman içerisinde güncellenerek yenilenmektedir. Türkiye’de alınan ve zamanla değişip güncellenen önlemlere örnek olarak: alışveriş merkezleri, restoran, kafe, kuaför, berber, güzellik salonları gibi işletmelerin geçici olarak kapatılması ya da çalışma saatlerine kısıtlama getirilmesi, sokağa çıkmanın kısıtlanması, bazı sektörlerde uzaktan ya da dönüşümlü çalışma ve eğitimde uzaktan eğitim sitemine geçilmesi verilebilmektedir. Aynı zamanda Sağlık Bakanlığı tarafından (2020) bireysel olarak alınması gereken önlemlerin içinde maske, mesafe ve temizlik önlemlerinin şart olduğu belirtilmektedir. Alınan tüm önlemler kapsamında tüketicilerin fiziksel mağazalar yerine internetten alışverişi tercih ettikleri dolayısıyla ticaretin fiziksel ortamdan sanal ortama doğru kayma gösterdiği söylenebilmektedir. </w:t>
      </w:r>
    </w:p>
    <w:p w14:paraId="3B9551EE" w14:textId="77777777" w:rsidR="002E3F19" w:rsidRPr="006A4DC2" w:rsidRDefault="002E3F19" w:rsidP="002E3F19">
      <w:pPr>
        <w:spacing w:line="360" w:lineRule="auto"/>
        <w:ind w:firstLine="708"/>
        <w:jc w:val="both"/>
        <w:rPr>
          <w:rFonts w:ascii="Times New Roman" w:hAnsi="Times New Roman" w:cs="Times New Roman"/>
          <w:color w:val="000000" w:themeColor="text1"/>
        </w:rPr>
      </w:pPr>
      <w:r w:rsidRPr="006A4DC2">
        <w:rPr>
          <w:rFonts w:ascii="Times New Roman" w:hAnsi="Times New Roman" w:cs="Times New Roman"/>
          <w:color w:val="000000" w:themeColor="text1"/>
        </w:rPr>
        <w:t>Bu kapsamda çalışmanın amacı, Covid-19 ile birlikte Türkiye’de e-ticarete meydana gelen değişimleri araştırmaktır. Aynı zamanda pandemi sürecinde e-ticarette ürün ve sektör bazında meydana gelen tüketici talep değişikliklerini değerlendirmektir. Çalışmanın amacı kapsamında TÜİK (Türkiye İstatistik Kurumu) verilerinin yanı sıra Türkiye Cumhuriyeti Ticaret Bakanlığı’nın yayınladığı veriler, güncel literatür ve haber kaynaklarından faydalanılmıştır. Dolayısıyla çalışmanın veri kaynağını ikincil veriler oluşturmaktadır. İncelenen literatürde e-ticarette meydana gelen değişimleri sadece Türkiye açısından ele alan çalışmaların kısıtlı olması sebebiyle bu çalışmanın literatüre katkı sağlayacağı düşünülmektedir.</w:t>
      </w:r>
    </w:p>
    <w:p w14:paraId="6A74D905" w14:textId="77777777" w:rsidR="002E3F19" w:rsidRPr="006A4DC2" w:rsidRDefault="002E3F19" w:rsidP="002E3F19">
      <w:pPr>
        <w:spacing w:line="360" w:lineRule="auto"/>
        <w:ind w:firstLine="708"/>
        <w:jc w:val="both"/>
        <w:rPr>
          <w:rFonts w:ascii="Times New Roman" w:hAnsi="Times New Roman" w:cs="Times New Roman"/>
          <w:b/>
          <w:color w:val="000000" w:themeColor="text1"/>
        </w:rPr>
      </w:pPr>
      <w:r w:rsidRPr="006A4DC2">
        <w:rPr>
          <w:rFonts w:ascii="Times New Roman" w:hAnsi="Times New Roman" w:cs="Times New Roman"/>
          <w:b/>
          <w:color w:val="000000" w:themeColor="text1"/>
        </w:rPr>
        <w:t xml:space="preserve">COVİD-19 İLE BİRLİKTE TÜRKİYE’DE İNTERNET KULLANIMI </w:t>
      </w:r>
    </w:p>
    <w:p w14:paraId="1FB6928C" w14:textId="17F70250" w:rsidR="002E3F19" w:rsidRDefault="002E3F19" w:rsidP="002E3F19">
      <w:pPr>
        <w:spacing w:line="360" w:lineRule="auto"/>
        <w:ind w:firstLine="708"/>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İnternet, ilk olarak haberleşme hizmeti olarak kullanılsa da 90’lı yıllarda Türkiye’de e-ticaret yapma amaçlı kullanılmaya başlandığı söylenebilmektedir (Eteş, 2002). E-ticaret, internet üzerinden alım satım işlemleri gibi herhangi bir ticari işlemin fiziksel temas yerine internet üzerinden elektronik olarak gerçekleşmesini ifade etmektedir (Gupta, 2014). Bir başka tanım ile e-ticaret, işletmelerin mal ve hizmetlerini internet sayesinde pazarlaması ve satması şeklinde tanımlanmaktadır (Akar,2020:21). Literatürde yer alan e-ticaret ile ilgili tanımlardan yola çıkarak Türkiye’de Covid-19 pandemi sürecinde e-ticarette meydana gelen değişimler ele alınmadan önce </w:t>
      </w:r>
      <w:r w:rsidRPr="006A4DC2">
        <w:rPr>
          <w:rFonts w:ascii="Times New Roman" w:hAnsi="Times New Roman" w:cs="Times New Roman"/>
          <w:color w:val="000000" w:themeColor="text1"/>
        </w:rPr>
        <w:lastRenderedPageBreak/>
        <w:t xml:space="preserve">Türkiye’deki internet erişim ve kullanım durumunun ele alınmasının faydalı olacağı düşünülmektedir. Türkiye İstatistik Kurumu (Tüik) tarafından yayınlanan Türkiye’deki hanelerde istatistiki bölge birimleri birinci düzeye göre sınıflaması olarak internet erişim verileri </w:t>
      </w:r>
      <w:r w:rsidRPr="006A4DC2">
        <w:rPr>
          <w:rFonts w:ascii="Times New Roman" w:hAnsi="Times New Roman" w:cs="Times New Roman"/>
          <w:b/>
          <w:color w:val="000000" w:themeColor="text1"/>
        </w:rPr>
        <w:t>Tablo 1</w:t>
      </w:r>
      <w:r w:rsidRPr="006A4DC2">
        <w:rPr>
          <w:rFonts w:ascii="Times New Roman" w:hAnsi="Times New Roman" w:cs="Times New Roman"/>
          <w:color w:val="000000" w:themeColor="text1"/>
        </w:rPr>
        <w:t xml:space="preserve">’de yer almaktadır.  </w:t>
      </w:r>
      <w:r w:rsidRPr="006A4DC2">
        <w:rPr>
          <w:rFonts w:ascii="Times New Roman" w:hAnsi="Times New Roman" w:cs="Times New Roman"/>
          <w:b/>
          <w:color w:val="000000" w:themeColor="text1"/>
        </w:rPr>
        <w:t>Tablo 1</w:t>
      </w:r>
      <w:r w:rsidRPr="006A4DC2">
        <w:rPr>
          <w:rFonts w:ascii="Times New Roman" w:hAnsi="Times New Roman" w:cs="Times New Roman"/>
          <w:color w:val="000000" w:themeColor="text1"/>
        </w:rPr>
        <w:t xml:space="preserve"> incelendiğinde, Türkiye’de 2020 yılında internet erişim oranlarının 2019 yılına kıyasla bölgelere göre genel anlamda bir artış gösterdiği görülmektedir. </w:t>
      </w:r>
    </w:p>
    <w:p w14:paraId="7A20728D" w14:textId="1793842C" w:rsidR="006A4DC2" w:rsidRDefault="006A4DC2" w:rsidP="002E3F19">
      <w:pPr>
        <w:spacing w:line="360" w:lineRule="auto"/>
        <w:ind w:firstLine="708"/>
        <w:jc w:val="both"/>
        <w:rPr>
          <w:rFonts w:ascii="Times New Roman" w:hAnsi="Times New Roman" w:cs="Times New Roman"/>
          <w:color w:val="000000" w:themeColor="text1"/>
        </w:rPr>
      </w:pPr>
    </w:p>
    <w:p w14:paraId="11425292" w14:textId="768B1732" w:rsidR="006A4DC2" w:rsidRDefault="006A4DC2" w:rsidP="002E3F19">
      <w:pPr>
        <w:spacing w:line="360" w:lineRule="auto"/>
        <w:ind w:firstLine="708"/>
        <w:jc w:val="both"/>
        <w:rPr>
          <w:rFonts w:ascii="Times New Roman" w:hAnsi="Times New Roman" w:cs="Times New Roman"/>
          <w:color w:val="000000" w:themeColor="text1"/>
        </w:rPr>
      </w:pPr>
    </w:p>
    <w:p w14:paraId="5105BE9E" w14:textId="77777777" w:rsidR="006A4DC2" w:rsidRPr="006A4DC2" w:rsidRDefault="006A4DC2" w:rsidP="002E3F19">
      <w:pPr>
        <w:spacing w:line="360" w:lineRule="auto"/>
        <w:ind w:firstLine="708"/>
        <w:jc w:val="both"/>
        <w:rPr>
          <w:rFonts w:ascii="Times New Roman" w:hAnsi="Times New Roman" w:cs="Times New Roman"/>
          <w:color w:val="000000" w:themeColor="text1"/>
        </w:rPr>
      </w:pPr>
    </w:p>
    <w:p w14:paraId="3A20D6C2" w14:textId="77777777" w:rsidR="002E3F19" w:rsidRPr="006A4DC2" w:rsidRDefault="002E3F19" w:rsidP="002E3F19">
      <w:pPr>
        <w:tabs>
          <w:tab w:val="left" w:pos="4962"/>
          <w:tab w:val="left" w:pos="8222"/>
        </w:tabs>
        <w:spacing w:line="360" w:lineRule="auto"/>
        <w:ind w:right="1135" w:firstLine="708"/>
        <w:jc w:val="center"/>
        <w:rPr>
          <w:rFonts w:ascii="Times New Roman" w:hAnsi="Times New Roman" w:cs="Times New Roman"/>
          <w:b/>
          <w:color w:val="000000" w:themeColor="text1"/>
          <w:sz w:val="20"/>
          <w:szCs w:val="20"/>
        </w:rPr>
      </w:pPr>
      <w:r w:rsidRPr="006A4DC2">
        <w:rPr>
          <w:rFonts w:ascii="Times New Roman" w:hAnsi="Times New Roman" w:cs="Times New Roman"/>
          <w:b/>
          <w:color w:val="000000" w:themeColor="text1"/>
          <w:sz w:val="20"/>
          <w:szCs w:val="20"/>
        </w:rPr>
        <w:t>Tablo1</w:t>
      </w:r>
      <w:r w:rsidRPr="006A4DC2">
        <w:rPr>
          <w:rFonts w:ascii="Times New Roman" w:hAnsi="Times New Roman" w:cs="Times New Roman"/>
          <w:color w:val="000000" w:themeColor="text1"/>
          <w:sz w:val="20"/>
          <w:szCs w:val="20"/>
        </w:rPr>
        <w:t xml:space="preserve">: </w:t>
      </w:r>
      <w:r w:rsidRPr="006A4DC2">
        <w:rPr>
          <w:rFonts w:ascii="Times New Roman" w:hAnsi="Times New Roman" w:cs="Times New Roman"/>
          <w:b/>
          <w:color w:val="000000" w:themeColor="text1"/>
          <w:sz w:val="20"/>
          <w:szCs w:val="20"/>
        </w:rPr>
        <w:t>İstatistiki Bölge Birimleri Sınıflaması 1.Düzeye Göre Hanelerde İnternet Erişimi</w:t>
      </w:r>
    </w:p>
    <w:p w14:paraId="18DB9869" w14:textId="77777777" w:rsidR="002E3F19" w:rsidRPr="006A4DC2" w:rsidRDefault="002E3F19" w:rsidP="002E3F19">
      <w:pPr>
        <w:pBdr>
          <w:top w:val="single" w:sz="4" w:space="1" w:color="auto"/>
          <w:bottom w:val="single" w:sz="4" w:space="1" w:color="auto"/>
        </w:pBdr>
        <w:spacing w:line="360" w:lineRule="auto"/>
        <w:ind w:left="5245" w:right="1135" w:hanging="4536"/>
        <w:jc w:val="both"/>
        <w:rPr>
          <w:rFonts w:ascii="Times New Roman" w:hAnsi="Times New Roman" w:cs="Times New Roman"/>
          <w:b/>
          <w:color w:val="000000" w:themeColor="text1"/>
          <w:sz w:val="20"/>
          <w:szCs w:val="20"/>
        </w:rPr>
      </w:pPr>
      <w:r w:rsidRPr="006A4DC2">
        <w:rPr>
          <w:rFonts w:ascii="Times New Roman" w:hAnsi="Times New Roman" w:cs="Times New Roman"/>
          <w:b/>
          <w:color w:val="000000" w:themeColor="text1"/>
          <w:sz w:val="20"/>
          <w:szCs w:val="20"/>
        </w:rPr>
        <w:t xml:space="preserve">                                                                                   İnternet Erişimi</w:t>
      </w:r>
    </w:p>
    <w:p w14:paraId="3B72B602" w14:textId="77777777" w:rsidR="002E3F19" w:rsidRPr="006A4DC2" w:rsidRDefault="002E3F19" w:rsidP="002E3F19">
      <w:pPr>
        <w:pBdr>
          <w:top w:val="single" w:sz="4" w:space="1" w:color="auto"/>
          <w:bottom w:val="single" w:sz="4" w:space="1" w:color="auto"/>
        </w:pBdr>
        <w:spacing w:line="360" w:lineRule="auto"/>
        <w:ind w:left="709" w:right="1135"/>
        <w:jc w:val="both"/>
        <w:rPr>
          <w:rFonts w:ascii="Times New Roman" w:hAnsi="Times New Roman" w:cs="Times New Roman"/>
          <w:b/>
          <w:color w:val="000000" w:themeColor="text1"/>
          <w:sz w:val="20"/>
          <w:szCs w:val="20"/>
        </w:rPr>
      </w:pPr>
      <w:r w:rsidRPr="006A4DC2">
        <w:rPr>
          <w:rFonts w:ascii="Times New Roman" w:hAnsi="Times New Roman" w:cs="Times New Roman"/>
          <w:b/>
          <w:color w:val="000000" w:themeColor="text1"/>
          <w:sz w:val="20"/>
          <w:szCs w:val="20"/>
        </w:rPr>
        <w:t xml:space="preserve">  İBBS 1.Düzey                                                    2019                       2020</w:t>
      </w:r>
      <w:r w:rsidRPr="006A4DC2">
        <w:rPr>
          <w:rFonts w:ascii="Times New Roman" w:hAnsi="Times New Roman" w:cs="Times New Roman"/>
          <w:color w:val="000000" w:themeColor="text1"/>
          <w:sz w:val="20"/>
          <w:szCs w:val="20"/>
        </w:rPr>
        <w:t xml:space="preserve"> </w:t>
      </w:r>
    </w:p>
    <w:p w14:paraId="3ABD379B" w14:textId="77777777" w:rsidR="002E3F19" w:rsidRPr="006A4DC2" w:rsidRDefault="002E3F19" w:rsidP="007C3550">
      <w:pPr>
        <w:pStyle w:val="ListeParagraf"/>
        <w:numPr>
          <w:ilvl w:val="0"/>
          <w:numId w:val="48"/>
        </w:numPr>
        <w:tabs>
          <w:tab w:val="left" w:pos="4620"/>
          <w:tab w:val="left" w:pos="5334"/>
          <w:tab w:val="left" w:pos="6266"/>
        </w:tabs>
        <w:spacing w:line="256" w:lineRule="auto"/>
        <w:jc w:val="both"/>
        <w:rPr>
          <w:rFonts w:ascii="Times New Roman" w:hAnsi="Times New Roman" w:cs="Times New Roman"/>
          <w:color w:val="000000" w:themeColor="text1"/>
          <w:sz w:val="20"/>
          <w:szCs w:val="20"/>
        </w:rPr>
      </w:pPr>
      <w:r w:rsidRPr="006A4DC2">
        <w:rPr>
          <w:rFonts w:ascii="Times New Roman" w:hAnsi="Times New Roman" w:cs="Times New Roman"/>
          <w:color w:val="000000" w:themeColor="text1"/>
          <w:sz w:val="20"/>
          <w:szCs w:val="20"/>
        </w:rPr>
        <w:t>İstanbul                                                          95,6                       96,4</w:t>
      </w:r>
    </w:p>
    <w:p w14:paraId="080AF6BA" w14:textId="77777777" w:rsidR="002E3F19" w:rsidRPr="006A4DC2" w:rsidRDefault="002E3F19" w:rsidP="007C3550">
      <w:pPr>
        <w:pStyle w:val="ListeParagraf"/>
        <w:numPr>
          <w:ilvl w:val="0"/>
          <w:numId w:val="48"/>
        </w:numPr>
        <w:tabs>
          <w:tab w:val="left" w:pos="4620"/>
          <w:tab w:val="left" w:pos="5334"/>
          <w:tab w:val="left" w:pos="6266"/>
        </w:tabs>
        <w:spacing w:line="256" w:lineRule="auto"/>
        <w:jc w:val="both"/>
        <w:rPr>
          <w:rFonts w:ascii="Times New Roman" w:hAnsi="Times New Roman" w:cs="Times New Roman"/>
          <w:color w:val="000000" w:themeColor="text1"/>
          <w:sz w:val="20"/>
          <w:szCs w:val="20"/>
        </w:rPr>
      </w:pPr>
      <w:r w:rsidRPr="006A4DC2">
        <w:rPr>
          <w:rFonts w:ascii="Times New Roman" w:hAnsi="Times New Roman" w:cs="Times New Roman"/>
          <w:color w:val="000000" w:themeColor="text1"/>
          <w:sz w:val="20"/>
          <w:szCs w:val="20"/>
        </w:rPr>
        <w:t>Batı Marmara                                                79,7                       86</w:t>
      </w:r>
    </w:p>
    <w:p w14:paraId="27A7E0A3" w14:textId="77777777" w:rsidR="002E3F19" w:rsidRPr="006A4DC2" w:rsidRDefault="002E3F19" w:rsidP="007C3550">
      <w:pPr>
        <w:pStyle w:val="ListeParagraf"/>
        <w:numPr>
          <w:ilvl w:val="0"/>
          <w:numId w:val="48"/>
        </w:numPr>
        <w:tabs>
          <w:tab w:val="left" w:pos="4620"/>
          <w:tab w:val="left" w:pos="5334"/>
          <w:tab w:val="left" w:pos="6266"/>
        </w:tabs>
        <w:spacing w:line="256" w:lineRule="auto"/>
        <w:jc w:val="both"/>
        <w:rPr>
          <w:rFonts w:ascii="Times New Roman" w:hAnsi="Times New Roman" w:cs="Times New Roman"/>
          <w:color w:val="000000" w:themeColor="text1"/>
          <w:sz w:val="20"/>
          <w:szCs w:val="20"/>
        </w:rPr>
      </w:pPr>
      <w:r w:rsidRPr="006A4DC2">
        <w:rPr>
          <w:rFonts w:ascii="Times New Roman" w:hAnsi="Times New Roman" w:cs="Times New Roman"/>
          <w:color w:val="000000" w:themeColor="text1"/>
          <w:sz w:val="20"/>
          <w:szCs w:val="20"/>
        </w:rPr>
        <w:t>Ege                                                                85,6                       90,7</w:t>
      </w:r>
    </w:p>
    <w:p w14:paraId="6E61A75A" w14:textId="77777777" w:rsidR="002E3F19" w:rsidRPr="006A4DC2" w:rsidRDefault="002E3F19" w:rsidP="007C3550">
      <w:pPr>
        <w:pStyle w:val="ListeParagraf"/>
        <w:numPr>
          <w:ilvl w:val="0"/>
          <w:numId w:val="48"/>
        </w:numPr>
        <w:tabs>
          <w:tab w:val="left" w:pos="4620"/>
          <w:tab w:val="left" w:pos="5334"/>
          <w:tab w:val="left" w:pos="6266"/>
        </w:tabs>
        <w:spacing w:line="256" w:lineRule="auto"/>
        <w:jc w:val="both"/>
        <w:rPr>
          <w:rFonts w:ascii="Times New Roman" w:hAnsi="Times New Roman" w:cs="Times New Roman"/>
          <w:color w:val="000000" w:themeColor="text1"/>
          <w:sz w:val="20"/>
          <w:szCs w:val="20"/>
        </w:rPr>
      </w:pPr>
      <w:r w:rsidRPr="006A4DC2">
        <w:rPr>
          <w:rFonts w:ascii="Times New Roman" w:hAnsi="Times New Roman" w:cs="Times New Roman"/>
          <w:color w:val="000000" w:themeColor="text1"/>
          <w:sz w:val="20"/>
          <w:szCs w:val="20"/>
        </w:rPr>
        <w:t>Doğu Marmara                                              88,9                       92,5</w:t>
      </w:r>
    </w:p>
    <w:p w14:paraId="335E153E" w14:textId="77777777" w:rsidR="002E3F19" w:rsidRPr="006A4DC2" w:rsidRDefault="002E3F19" w:rsidP="007C3550">
      <w:pPr>
        <w:pStyle w:val="ListeParagraf"/>
        <w:numPr>
          <w:ilvl w:val="0"/>
          <w:numId w:val="48"/>
        </w:numPr>
        <w:tabs>
          <w:tab w:val="left" w:pos="4620"/>
          <w:tab w:val="left" w:pos="5334"/>
          <w:tab w:val="left" w:pos="6266"/>
        </w:tabs>
        <w:spacing w:line="256" w:lineRule="auto"/>
        <w:jc w:val="both"/>
        <w:rPr>
          <w:rFonts w:ascii="Times New Roman" w:hAnsi="Times New Roman" w:cs="Times New Roman"/>
          <w:color w:val="000000" w:themeColor="text1"/>
          <w:sz w:val="20"/>
          <w:szCs w:val="20"/>
        </w:rPr>
      </w:pPr>
      <w:r w:rsidRPr="006A4DC2">
        <w:rPr>
          <w:rFonts w:ascii="Times New Roman" w:hAnsi="Times New Roman" w:cs="Times New Roman"/>
          <w:color w:val="000000" w:themeColor="text1"/>
          <w:sz w:val="20"/>
          <w:szCs w:val="20"/>
        </w:rPr>
        <w:t>Batı Anadolu                                                 91,8                       92,8</w:t>
      </w:r>
    </w:p>
    <w:p w14:paraId="3B61B494" w14:textId="77777777" w:rsidR="002E3F19" w:rsidRPr="006A4DC2" w:rsidRDefault="002E3F19" w:rsidP="007C3550">
      <w:pPr>
        <w:pStyle w:val="ListeParagraf"/>
        <w:numPr>
          <w:ilvl w:val="0"/>
          <w:numId w:val="48"/>
        </w:numPr>
        <w:tabs>
          <w:tab w:val="left" w:pos="4620"/>
          <w:tab w:val="left" w:pos="5334"/>
          <w:tab w:val="left" w:pos="6266"/>
        </w:tabs>
        <w:spacing w:line="256" w:lineRule="auto"/>
        <w:jc w:val="both"/>
        <w:rPr>
          <w:rFonts w:ascii="Times New Roman" w:hAnsi="Times New Roman" w:cs="Times New Roman"/>
          <w:color w:val="000000" w:themeColor="text1"/>
          <w:sz w:val="20"/>
          <w:szCs w:val="20"/>
        </w:rPr>
      </w:pPr>
      <w:r w:rsidRPr="006A4DC2">
        <w:rPr>
          <w:rFonts w:ascii="Times New Roman" w:hAnsi="Times New Roman" w:cs="Times New Roman"/>
          <w:color w:val="000000" w:themeColor="text1"/>
          <w:sz w:val="20"/>
          <w:szCs w:val="20"/>
        </w:rPr>
        <w:t>Akdeniz                                                         89,3                       90,7</w:t>
      </w:r>
    </w:p>
    <w:p w14:paraId="2E596F6D" w14:textId="77777777" w:rsidR="002E3F19" w:rsidRPr="006A4DC2" w:rsidRDefault="002E3F19" w:rsidP="007C3550">
      <w:pPr>
        <w:pStyle w:val="ListeParagraf"/>
        <w:numPr>
          <w:ilvl w:val="0"/>
          <w:numId w:val="48"/>
        </w:numPr>
        <w:tabs>
          <w:tab w:val="left" w:pos="4620"/>
          <w:tab w:val="left" w:pos="5334"/>
          <w:tab w:val="left" w:pos="6266"/>
        </w:tabs>
        <w:spacing w:line="256" w:lineRule="auto"/>
        <w:jc w:val="both"/>
        <w:rPr>
          <w:rFonts w:ascii="Times New Roman" w:hAnsi="Times New Roman" w:cs="Times New Roman"/>
          <w:color w:val="000000" w:themeColor="text1"/>
          <w:sz w:val="20"/>
          <w:szCs w:val="20"/>
        </w:rPr>
      </w:pPr>
      <w:r w:rsidRPr="006A4DC2">
        <w:rPr>
          <w:rFonts w:ascii="Times New Roman" w:hAnsi="Times New Roman" w:cs="Times New Roman"/>
          <w:color w:val="000000" w:themeColor="text1"/>
          <w:sz w:val="20"/>
          <w:szCs w:val="20"/>
        </w:rPr>
        <w:t>Orta Anadolu                                                 88,7                       88,5</w:t>
      </w:r>
    </w:p>
    <w:p w14:paraId="38148463" w14:textId="77777777" w:rsidR="002E3F19" w:rsidRPr="006A4DC2" w:rsidRDefault="002E3F19" w:rsidP="007C3550">
      <w:pPr>
        <w:pStyle w:val="ListeParagraf"/>
        <w:numPr>
          <w:ilvl w:val="0"/>
          <w:numId w:val="48"/>
        </w:numPr>
        <w:tabs>
          <w:tab w:val="left" w:pos="4620"/>
          <w:tab w:val="left" w:pos="5334"/>
          <w:tab w:val="left" w:pos="6266"/>
        </w:tabs>
        <w:spacing w:line="256" w:lineRule="auto"/>
        <w:jc w:val="both"/>
        <w:rPr>
          <w:rFonts w:ascii="Times New Roman" w:hAnsi="Times New Roman" w:cs="Times New Roman"/>
          <w:color w:val="000000" w:themeColor="text1"/>
          <w:sz w:val="20"/>
          <w:szCs w:val="20"/>
        </w:rPr>
      </w:pPr>
      <w:r w:rsidRPr="006A4DC2">
        <w:rPr>
          <w:rFonts w:ascii="Times New Roman" w:hAnsi="Times New Roman" w:cs="Times New Roman"/>
          <w:color w:val="000000" w:themeColor="text1"/>
          <w:sz w:val="20"/>
          <w:szCs w:val="20"/>
        </w:rPr>
        <w:t>Batı Karadeniz                                               80,2                       81,3</w:t>
      </w:r>
    </w:p>
    <w:p w14:paraId="06279100" w14:textId="77777777" w:rsidR="002E3F19" w:rsidRPr="006A4DC2" w:rsidRDefault="002E3F19" w:rsidP="007C3550">
      <w:pPr>
        <w:pStyle w:val="ListeParagraf"/>
        <w:numPr>
          <w:ilvl w:val="0"/>
          <w:numId w:val="48"/>
        </w:numPr>
        <w:tabs>
          <w:tab w:val="left" w:pos="4620"/>
          <w:tab w:val="left" w:pos="5334"/>
          <w:tab w:val="left" w:pos="6266"/>
        </w:tabs>
        <w:spacing w:line="256" w:lineRule="auto"/>
        <w:jc w:val="both"/>
        <w:rPr>
          <w:rFonts w:ascii="Times New Roman" w:hAnsi="Times New Roman" w:cs="Times New Roman"/>
          <w:color w:val="000000" w:themeColor="text1"/>
          <w:sz w:val="20"/>
          <w:szCs w:val="20"/>
        </w:rPr>
      </w:pPr>
      <w:r w:rsidRPr="006A4DC2">
        <w:rPr>
          <w:rFonts w:ascii="Times New Roman" w:hAnsi="Times New Roman" w:cs="Times New Roman"/>
          <w:color w:val="000000" w:themeColor="text1"/>
          <w:sz w:val="20"/>
          <w:szCs w:val="20"/>
        </w:rPr>
        <w:t>Doğu Karadeniz                                             83,8                       86,9</w:t>
      </w:r>
    </w:p>
    <w:p w14:paraId="36F267F8" w14:textId="77777777" w:rsidR="002E3F19" w:rsidRPr="006A4DC2" w:rsidRDefault="002E3F19" w:rsidP="007C3550">
      <w:pPr>
        <w:pStyle w:val="ListeParagraf"/>
        <w:numPr>
          <w:ilvl w:val="0"/>
          <w:numId w:val="48"/>
        </w:numPr>
        <w:tabs>
          <w:tab w:val="left" w:pos="4620"/>
          <w:tab w:val="left" w:pos="5334"/>
          <w:tab w:val="left" w:pos="6266"/>
        </w:tabs>
        <w:spacing w:line="256" w:lineRule="auto"/>
        <w:jc w:val="both"/>
        <w:rPr>
          <w:rFonts w:ascii="Times New Roman" w:hAnsi="Times New Roman" w:cs="Times New Roman"/>
          <w:color w:val="000000" w:themeColor="text1"/>
          <w:sz w:val="20"/>
          <w:szCs w:val="20"/>
        </w:rPr>
      </w:pPr>
      <w:r w:rsidRPr="006A4DC2">
        <w:rPr>
          <w:rFonts w:ascii="Times New Roman" w:hAnsi="Times New Roman" w:cs="Times New Roman"/>
          <w:color w:val="000000" w:themeColor="text1"/>
          <w:sz w:val="20"/>
          <w:szCs w:val="20"/>
        </w:rPr>
        <w:t>Kuzeydoğu Anadolu                                      87,6                       87,2</w:t>
      </w:r>
    </w:p>
    <w:p w14:paraId="0C8B6D10" w14:textId="77777777" w:rsidR="002E3F19" w:rsidRPr="006A4DC2" w:rsidRDefault="002E3F19" w:rsidP="007C3550">
      <w:pPr>
        <w:pStyle w:val="ListeParagraf"/>
        <w:numPr>
          <w:ilvl w:val="0"/>
          <w:numId w:val="48"/>
        </w:numPr>
        <w:tabs>
          <w:tab w:val="left" w:pos="4620"/>
          <w:tab w:val="left" w:pos="5334"/>
          <w:tab w:val="left" w:pos="6266"/>
        </w:tabs>
        <w:spacing w:line="256" w:lineRule="auto"/>
        <w:jc w:val="both"/>
        <w:rPr>
          <w:rFonts w:ascii="Times New Roman" w:hAnsi="Times New Roman" w:cs="Times New Roman"/>
          <w:color w:val="000000" w:themeColor="text1"/>
          <w:sz w:val="20"/>
          <w:szCs w:val="20"/>
        </w:rPr>
      </w:pPr>
      <w:r w:rsidRPr="006A4DC2">
        <w:rPr>
          <w:rFonts w:ascii="Times New Roman" w:hAnsi="Times New Roman" w:cs="Times New Roman"/>
          <w:color w:val="000000" w:themeColor="text1"/>
          <w:sz w:val="20"/>
          <w:szCs w:val="20"/>
        </w:rPr>
        <w:t xml:space="preserve">Ortadoğu Anadolu                                         89,1                       89,8   </w:t>
      </w:r>
    </w:p>
    <w:p w14:paraId="5BE3BBBA" w14:textId="77777777" w:rsidR="002E3F19" w:rsidRPr="006A4DC2" w:rsidRDefault="002E3F19" w:rsidP="007C3550">
      <w:pPr>
        <w:pStyle w:val="ListeParagraf"/>
        <w:numPr>
          <w:ilvl w:val="0"/>
          <w:numId w:val="48"/>
        </w:numPr>
        <w:pBdr>
          <w:bottom w:val="single" w:sz="4" w:space="1" w:color="auto"/>
        </w:pBdr>
        <w:tabs>
          <w:tab w:val="left" w:pos="4620"/>
          <w:tab w:val="left" w:pos="5103"/>
          <w:tab w:val="left" w:pos="6266"/>
          <w:tab w:val="left" w:pos="6804"/>
        </w:tabs>
        <w:spacing w:line="256" w:lineRule="auto"/>
        <w:ind w:left="1134" w:right="1135" w:hanging="369"/>
        <w:jc w:val="both"/>
        <w:rPr>
          <w:rFonts w:ascii="Times New Roman" w:hAnsi="Times New Roman" w:cs="Times New Roman"/>
          <w:color w:val="000000" w:themeColor="text1"/>
          <w:sz w:val="20"/>
          <w:szCs w:val="20"/>
        </w:rPr>
      </w:pPr>
      <w:r w:rsidRPr="006A4DC2">
        <w:rPr>
          <w:rFonts w:ascii="Times New Roman" w:hAnsi="Times New Roman" w:cs="Times New Roman"/>
          <w:color w:val="000000" w:themeColor="text1"/>
          <w:sz w:val="20"/>
          <w:szCs w:val="20"/>
        </w:rPr>
        <w:t xml:space="preserve">Güneydoğu Anadolu                                     81,1                       87,5                                                                                              </w:t>
      </w:r>
    </w:p>
    <w:p w14:paraId="4AA5C242" w14:textId="77777777" w:rsidR="002E3F19" w:rsidRPr="006A4DC2" w:rsidRDefault="002E3F19" w:rsidP="002E3F19">
      <w:pPr>
        <w:spacing w:line="360" w:lineRule="auto"/>
        <w:jc w:val="center"/>
        <w:rPr>
          <w:rFonts w:ascii="Times New Roman" w:hAnsi="Times New Roman" w:cs="Times New Roman"/>
          <w:color w:val="000000" w:themeColor="text1"/>
          <w:sz w:val="20"/>
          <w:szCs w:val="20"/>
        </w:rPr>
      </w:pPr>
      <w:r w:rsidRPr="006A4DC2">
        <w:rPr>
          <w:rFonts w:ascii="Times New Roman" w:hAnsi="Times New Roman" w:cs="Times New Roman"/>
          <w:b/>
          <w:color w:val="000000" w:themeColor="text1"/>
          <w:sz w:val="20"/>
          <w:szCs w:val="20"/>
        </w:rPr>
        <w:t>Kaynak:</w:t>
      </w:r>
      <w:r w:rsidRPr="006A4DC2">
        <w:rPr>
          <w:rFonts w:ascii="Times New Roman" w:hAnsi="Times New Roman" w:cs="Times New Roman"/>
          <w:color w:val="000000" w:themeColor="text1"/>
          <w:sz w:val="20"/>
          <w:szCs w:val="20"/>
        </w:rPr>
        <w:t xml:space="preserve"> </w:t>
      </w:r>
      <w:hyperlink r:id="rId297" w:history="1">
        <w:r w:rsidRPr="006A4DC2">
          <w:rPr>
            <w:rStyle w:val="Kpr"/>
            <w:rFonts w:ascii="Times New Roman" w:hAnsi="Times New Roman" w:cs="Times New Roman"/>
            <w:color w:val="000000" w:themeColor="text1"/>
            <w:sz w:val="20"/>
            <w:szCs w:val="20"/>
          </w:rPr>
          <w:t>TÜİK Kurumsal (tuik.gov.tr)</w:t>
        </w:r>
      </w:hyperlink>
    </w:p>
    <w:p w14:paraId="541A4933" w14:textId="77777777" w:rsidR="002E3F19" w:rsidRPr="006A4DC2" w:rsidRDefault="002E3F19" w:rsidP="002E3F19">
      <w:pPr>
        <w:spacing w:line="360" w:lineRule="auto"/>
        <w:ind w:firstLine="708"/>
        <w:jc w:val="both"/>
        <w:rPr>
          <w:rFonts w:ascii="Times New Roman" w:hAnsi="Times New Roman" w:cs="Times New Roman"/>
          <w:color w:val="000000" w:themeColor="text1"/>
        </w:rPr>
      </w:pPr>
      <w:r w:rsidRPr="006A4DC2">
        <w:rPr>
          <w:rFonts w:ascii="Times New Roman" w:hAnsi="Times New Roman" w:cs="Times New Roman"/>
          <w:color w:val="000000" w:themeColor="text1"/>
        </w:rPr>
        <w:t>Türkiye İstatistik Kurumu (Tüik) tarafından her yıl Ağustos ayında yayınlanan Hane Halkı Bilişim Teknolojileri Kullanım Araştırması Raporu’na ilişkin veriler Şekil 1’de yer almaktadır. Şekil 1 incelendiğinde,  Türkiye’de internet erişim imk</w:t>
      </w:r>
      <w:r w:rsidRPr="006A4DC2">
        <w:rPr>
          <w:rFonts w:ascii="Times New Roman" w:hAnsi="Times New Roman" w:cs="Times New Roman"/>
          <w:color w:val="000000" w:themeColor="text1"/>
          <w:shd w:val="clear" w:color="auto" w:fill="FFFFFF"/>
        </w:rPr>
        <w:t>â</w:t>
      </w:r>
      <w:r w:rsidRPr="006A4DC2">
        <w:rPr>
          <w:rFonts w:ascii="Times New Roman" w:hAnsi="Times New Roman" w:cs="Times New Roman"/>
          <w:color w:val="000000" w:themeColor="text1"/>
        </w:rPr>
        <w:t xml:space="preserve">nı olan haneler 2019 yılında %88,3 iken 2020 yılında bu oranın %90,7’ye ulaştığı görülmektedir. Aynı zamanda Türkiye’de internet kullanan bireylerin oranı 2019’da  %75,3 iken 2020 yılında %79 olduğu görülmektedir. </w:t>
      </w:r>
    </w:p>
    <w:p w14:paraId="0F770099" w14:textId="1824AB0F" w:rsidR="002E3F19" w:rsidRPr="006A4DC2" w:rsidRDefault="002E3F19" w:rsidP="002E3F19">
      <w:pPr>
        <w:spacing w:line="240" w:lineRule="auto"/>
        <w:ind w:firstLine="708"/>
        <w:jc w:val="both"/>
        <w:rPr>
          <w:rFonts w:ascii="Times New Roman" w:hAnsi="Times New Roman" w:cs="Times New Roman"/>
          <w:b/>
          <w:color w:val="000000" w:themeColor="text1"/>
        </w:rPr>
      </w:pPr>
      <w:r w:rsidRPr="006A4DC2">
        <w:rPr>
          <w:rFonts w:ascii="Times New Roman" w:hAnsi="Times New Roman" w:cs="Times New Roman"/>
          <w:b/>
          <w:color w:val="000000" w:themeColor="text1"/>
        </w:rPr>
        <w:lastRenderedPageBreak/>
        <w:t xml:space="preserve">    </w:t>
      </w:r>
      <w:r w:rsidRPr="006A4DC2">
        <w:rPr>
          <w:rFonts w:ascii="Times New Roman" w:hAnsi="Times New Roman" w:cs="Times New Roman"/>
          <w:b/>
          <w:noProof/>
          <w:color w:val="000000" w:themeColor="text1"/>
          <w:lang w:val="en-US"/>
        </w:rPr>
        <w:drawing>
          <wp:inline distT="0" distB="0" distL="0" distR="0" wp14:anchorId="34421385" wp14:editId="483AF062">
            <wp:extent cx="3781425" cy="1800225"/>
            <wp:effectExtent l="0" t="0" r="9525" b="9525"/>
            <wp:docPr id="146" name="Resim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
                    <pic:cNvPicPr>
                      <a:picLocks noChangeAspect="1" noChangeArrowheads="1"/>
                    </pic:cNvPicPr>
                  </pic:nvPicPr>
                  <pic:blipFill>
                    <a:blip r:embed="rId298">
                      <a:extLst>
                        <a:ext uri="{28A0092B-C50C-407E-A947-70E740481C1C}">
                          <a14:useLocalDpi xmlns:a14="http://schemas.microsoft.com/office/drawing/2010/main" val="0"/>
                        </a:ext>
                      </a:extLst>
                    </a:blip>
                    <a:srcRect l="20168" t="46597" r="36736" b="22276"/>
                    <a:stretch>
                      <a:fillRect/>
                    </a:stretch>
                  </pic:blipFill>
                  <pic:spPr bwMode="auto">
                    <a:xfrm>
                      <a:off x="0" y="0"/>
                      <a:ext cx="3781425" cy="1800225"/>
                    </a:xfrm>
                    <a:prstGeom prst="rect">
                      <a:avLst/>
                    </a:prstGeom>
                    <a:noFill/>
                    <a:ln>
                      <a:noFill/>
                    </a:ln>
                  </pic:spPr>
                </pic:pic>
              </a:graphicData>
            </a:graphic>
          </wp:inline>
        </w:drawing>
      </w:r>
    </w:p>
    <w:p w14:paraId="635EA39A" w14:textId="77777777" w:rsidR="002E3F19" w:rsidRPr="006A4DC2" w:rsidRDefault="002E3F19" w:rsidP="002E3F19">
      <w:pPr>
        <w:spacing w:line="240" w:lineRule="auto"/>
        <w:ind w:left="708"/>
        <w:jc w:val="center"/>
        <w:rPr>
          <w:rFonts w:ascii="Times New Roman" w:hAnsi="Times New Roman" w:cs="Times New Roman"/>
          <w:b/>
          <w:color w:val="000000" w:themeColor="text1"/>
        </w:rPr>
      </w:pPr>
      <w:r w:rsidRPr="006A4DC2">
        <w:rPr>
          <w:rFonts w:ascii="Times New Roman" w:hAnsi="Times New Roman" w:cs="Times New Roman"/>
          <w:b/>
          <w:color w:val="000000" w:themeColor="text1"/>
        </w:rPr>
        <w:t>Şekil 1: Hanehalkı Bilişim Teknolojileri Kullanımına İlişkin Göstergeler, 2009-2020</w:t>
      </w:r>
    </w:p>
    <w:p w14:paraId="40B749B9" w14:textId="77777777" w:rsidR="002E3F19" w:rsidRPr="006A4DC2" w:rsidRDefault="002E3F19" w:rsidP="002E3F19">
      <w:pPr>
        <w:spacing w:line="240" w:lineRule="auto"/>
        <w:ind w:firstLine="708"/>
        <w:jc w:val="center"/>
        <w:rPr>
          <w:rStyle w:val="Kpr"/>
          <w:rFonts w:ascii="Times New Roman" w:hAnsi="Times New Roman" w:cs="Times New Roman"/>
          <w:color w:val="000000" w:themeColor="text1"/>
        </w:rPr>
      </w:pPr>
      <w:r w:rsidRPr="006A4DC2">
        <w:rPr>
          <w:rFonts w:ascii="Times New Roman" w:hAnsi="Times New Roman" w:cs="Times New Roman"/>
          <w:b/>
          <w:color w:val="000000" w:themeColor="text1"/>
        </w:rPr>
        <w:t>Kaynak:</w:t>
      </w:r>
      <w:r w:rsidRPr="006A4DC2">
        <w:rPr>
          <w:rFonts w:ascii="Times New Roman" w:hAnsi="Times New Roman" w:cs="Times New Roman"/>
          <w:color w:val="000000" w:themeColor="text1"/>
        </w:rPr>
        <w:t xml:space="preserve"> </w:t>
      </w:r>
      <w:hyperlink r:id="rId299" w:history="1">
        <w:r w:rsidRPr="006A4DC2">
          <w:rPr>
            <w:rStyle w:val="Kpr"/>
            <w:rFonts w:ascii="Times New Roman" w:hAnsi="Times New Roman" w:cs="Times New Roman"/>
            <w:color w:val="000000" w:themeColor="text1"/>
          </w:rPr>
          <w:t>https://tuikweb.tuik.gov.tr/PreHaberBultenleri.do?id=33679</w:t>
        </w:r>
      </w:hyperlink>
    </w:p>
    <w:p w14:paraId="529424EF" w14:textId="77777777" w:rsidR="002E3F19" w:rsidRPr="006A4DC2" w:rsidRDefault="002E3F19" w:rsidP="002E3F19">
      <w:pPr>
        <w:spacing w:line="240" w:lineRule="auto"/>
        <w:jc w:val="both"/>
        <w:rPr>
          <w:rFonts w:ascii="Times New Roman" w:hAnsi="Times New Roman" w:cs="Times New Roman"/>
          <w:color w:val="000000" w:themeColor="text1"/>
        </w:rPr>
      </w:pPr>
    </w:p>
    <w:p w14:paraId="1859BFCA" w14:textId="77777777" w:rsidR="002E3F19" w:rsidRPr="006A4DC2" w:rsidRDefault="002E3F19" w:rsidP="002E3F19">
      <w:pPr>
        <w:spacing w:line="360" w:lineRule="auto"/>
        <w:ind w:firstLine="708"/>
        <w:jc w:val="both"/>
        <w:rPr>
          <w:rFonts w:ascii="Times New Roman" w:hAnsi="Times New Roman" w:cs="Times New Roman"/>
          <w:color w:val="000000" w:themeColor="text1"/>
        </w:rPr>
      </w:pPr>
      <w:r w:rsidRPr="006A4DC2">
        <w:rPr>
          <w:rFonts w:ascii="Times New Roman" w:hAnsi="Times New Roman" w:cs="Times New Roman"/>
          <w:color w:val="000000" w:themeColor="text1"/>
        </w:rPr>
        <w:t>Dolayısıyla, yukarıda ele alınan veriler incelendiğinde, Türkiye’de Covid-19 ile birlikte internet erişim imk</w:t>
      </w:r>
      <w:r w:rsidRPr="006A4DC2">
        <w:rPr>
          <w:rFonts w:ascii="Times New Roman" w:hAnsi="Times New Roman" w:cs="Times New Roman"/>
          <w:color w:val="000000" w:themeColor="text1"/>
          <w:shd w:val="clear" w:color="auto" w:fill="FFFFFF"/>
        </w:rPr>
        <w:t>â</w:t>
      </w:r>
      <w:r w:rsidRPr="006A4DC2">
        <w:rPr>
          <w:rFonts w:ascii="Times New Roman" w:hAnsi="Times New Roman" w:cs="Times New Roman"/>
          <w:color w:val="000000" w:themeColor="text1"/>
        </w:rPr>
        <w:t>nı olan hanelerin ve internet kullanan bireylerin sayısında artış olduğu görülmektedir.</w:t>
      </w:r>
    </w:p>
    <w:p w14:paraId="461F6F7D" w14:textId="77777777" w:rsidR="002E3F19" w:rsidRPr="006A4DC2" w:rsidRDefault="002E3F19" w:rsidP="002E3F19">
      <w:pPr>
        <w:pStyle w:val="ListeParagraf"/>
        <w:spacing w:line="360" w:lineRule="auto"/>
        <w:jc w:val="both"/>
        <w:rPr>
          <w:rFonts w:ascii="Times New Roman" w:hAnsi="Times New Roman" w:cs="Times New Roman"/>
          <w:b/>
          <w:color w:val="000000" w:themeColor="text1"/>
        </w:rPr>
      </w:pPr>
    </w:p>
    <w:p w14:paraId="3F04F6B6" w14:textId="77777777" w:rsidR="002E3F19" w:rsidRPr="006A4DC2" w:rsidRDefault="002E3F19" w:rsidP="002E3F19">
      <w:pPr>
        <w:pStyle w:val="ListeParagraf"/>
        <w:spacing w:line="360" w:lineRule="auto"/>
        <w:jc w:val="both"/>
        <w:rPr>
          <w:rFonts w:ascii="Times New Roman" w:hAnsi="Times New Roman" w:cs="Times New Roman"/>
          <w:b/>
          <w:color w:val="000000" w:themeColor="text1"/>
        </w:rPr>
      </w:pPr>
    </w:p>
    <w:p w14:paraId="3C7977F6" w14:textId="77777777" w:rsidR="002E3F19" w:rsidRPr="006A4DC2" w:rsidRDefault="002E3F19" w:rsidP="002E3F19">
      <w:pPr>
        <w:pStyle w:val="ListeParagraf"/>
        <w:spacing w:line="360" w:lineRule="auto"/>
        <w:jc w:val="both"/>
        <w:rPr>
          <w:rFonts w:ascii="Times New Roman" w:hAnsi="Times New Roman" w:cs="Times New Roman"/>
          <w:b/>
          <w:color w:val="000000" w:themeColor="text1"/>
        </w:rPr>
      </w:pPr>
      <w:r w:rsidRPr="006A4DC2">
        <w:rPr>
          <w:rFonts w:ascii="Times New Roman" w:hAnsi="Times New Roman" w:cs="Times New Roman"/>
          <w:b/>
          <w:color w:val="000000" w:themeColor="text1"/>
        </w:rPr>
        <w:t xml:space="preserve">COVİD-19 İLE BİRLİKTE TÜRKİYE’DE E-TİCARET </w:t>
      </w:r>
    </w:p>
    <w:p w14:paraId="1AFBFC06" w14:textId="77777777" w:rsidR="002E3F19" w:rsidRPr="006A4DC2" w:rsidRDefault="002E3F19" w:rsidP="002E3F19">
      <w:pPr>
        <w:spacing w:line="360" w:lineRule="auto"/>
        <w:ind w:firstLine="708"/>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E-ticaret, hem işletmelere hem tüketicilere çok sayıda avantaj sağlamaktadır. Tüketicilere sağladığı avantajlardan bir kısmı ürünleri zaman ve mekân kısıtlaması olmaksızın günün her saatinde değerlendirebilme, kıyaslayabilme ya da satın alabilme kolaylığının olmasıdır. E-ticaretin işletmelere sağladığı avantajlardan biri ise, coğrafi sınırlama olmadığı için daha fazla müşteriye ulaşabilme imkanıdır (Niranjanamurthy vd., 2013). Türkiye’de virüsün yayılmasına karşı alınan önlemler kapsamında alışveriş merkezleri, restoran, kafe, kuaför ve berber salonları geçici süreli kapatılmış ya da çalışma saatlerine kısıtlama getirilmiştir. Türkiye’de Covid-19 virüsünün yayılmasını azaltmaya karşı alınan önlemler şehirlerdeki günlük vaka sayılarına göre değişmekle birlikte zaman içerisinde güncellenerek yenilenmektedir. Özellikle Sağlık Bakanlığı (2020) tarafından halk sağlığını korumak ve virüsün yayılmasını engellemek amacıyla sosyal mesafenin korunması gerektiği belirtilmektedir (Sağlık Bakanlığı, 2020). Dolayısıyla pandemi sürecinde getirilen kısıtlamalar sonucu virüsten korunma amaçlı alışveriş merkezleri, marketler gibi kalabalık ortamlardan uzak durmaya çalışan tüketiciler, elektronik ortamda internet aracılığıyla alışveriş yapabilmektedirler. Dolayısıyla e-ticaretin özellikle Covid-19 pandemi sürecinde tüketiciler için kurtarıcı bir rol üstlendiği ve tüketicilere sağladığı avantajların artmış </w:t>
      </w:r>
      <w:r w:rsidRPr="006A4DC2">
        <w:rPr>
          <w:rFonts w:ascii="Times New Roman" w:hAnsi="Times New Roman" w:cs="Times New Roman"/>
          <w:color w:val="000000" w:themeColor="text1"/>
        </w:rPr>
        <w:lastRenderedPageBreak/>
        <w:t>olduğu söylenebilmektedir. Nitekim Dünya Ticaret Örgütü’nün (2020) yayınladığı bir raporda Covid-19 pandemi süresince e-ticaretin tüketiciler için kurtarıcı bir rol oynadığı yer almaktadır. Aynı zamanda yayınlanmış olan bu raporda Covid-19 pandemi süresince dünya ticaretini güçlendirmek adına e-ticaretin olumlu etkilerinin olacağı belirtilmektedir (WTO, 2020). Türkiye’de de durumun benzer şekilde olacağı öngörülmektedir. Böylece, p</w:t>
      </w:r>
      <w:r w:rsidRPr="006A4DC2">
        <w:rPr>
          <w:rFonts w:ascii="Times New Roman" w:hAnsi="Times New Roman" w:cs="Times New Roman"/>
          <w:color w:val="000000" w:themeColor="text1"/>
          <w:shd w:val="clear" w:color="auto" w:fill="FFFFFF"/>
        </w:rPr>
        <w:t>andemi sürecinde kişisel bakım ürünleri, ev ve temizlik ürünleri, gıda ürünleri ve reçetesiz ilaçlar gibi hızlı tüketim mallarının internetten satın alınmasında artış yaşanmıştır (İktisadi Kalkınma Vakfı, 2020:24).</w:t>
      </w:r>
      <w:r w:rsidRPr="006A4DC2">
        <w:rPr>
          <w:rFonts w:ascii="Times New Roman" w:hAnsi="Times New Roman" w:cs="Times New Roman"/>
          <w:color w:val="000000" w:themeColor="text1"/>
        </w:rPr>
        <w:t xml:space="preserve"> Nitekim Türkiye’de </w:t>
      </w:r>
      <w:r w:rsidRPr="006A4DC2">
        <w:rPr>
          <w:rFonts w:ascii="Times New Roman" w:hAnsi="Times New Roman" w:cs="Times New Roman"/>
          <w:color w:val="000000" w:themeColor="text1"/>
          <w:shd w:val="clear" w:color="auto" w:fill="FFFFFF"/>
        </w:rPr>
        <w:t>hızlı tüketim mallarında geçen yılı (2020) %118 büyüme ile kapatan e-ticaret, 2021'in sadece ilk iki ayında (Ocak- Şubat) %151 büyüme göstermiştir (Erdoğan, 2021).</w:t>
      </w:r>
      <w:r w:rsidRPr="006A4DC2">
        <w:rPr>
          <w:rFonts w:ascii="Times New Roman" w:hAnsi="Times New Roman" w:cs="Times New Roman"/>
          <w:color w:val="000000" w:themeColor="text1"/>
        </w:rPr>
        <w:t xml:space="preserve"> Bunlara ek olarak, Bankalararası Kart Merkezi (BKM, 2021) 2021 yılının Şubat ayı verilerine göre, Türkiye’de internetten kartlı ödemeler 2020 yılının Şubat ayına göre %59 oranında artış göstermiştir. İnternetten kartlı ödeme işlemlerinin sektör bazında dağılımına bakıldığında ise, market-gıdada %133 artış; elektronik eşyada %103 artış; eğitim/kırtasiyede %100 artış; mobilya ve dekorasyonda %78 artış olduğu görülmektedir (BKM, 2021). Böylece Covid-19 pandemi sürecinin Türkiye’de e-ticaret üzerinde olumlu etkilerinin olduğu söylenebilmektedir.</w:t>
      </w:r>
    </w:p>
    <w:p w14:paraId="50003BFC" w14:textId="77777777" w:rsidR="002E3F19" w:rsidRPr="006A4DC2" w:rsidRDefault="002E3F19" w:rsidP="002E3F19">
      <w:pPr>
        <w:spacing w:line="360" w:lineRule="auto"/>
        <w:ind w:firstLine="708"/>
        <w:jc w:val="both"/>
        <w:rPr>
          <w:rFonts w:ascii="Times New Roman" w:hAnsi="Times New Roman" w:cs="Times New Roman"/>
          <w:color w:val="000000" w:themeColor="text1"/>
        </w:rPr>
      </w:pPr>
      <w:r w:rsidRPr="006A4DC2">
        <w:rPr>
          <w:rFonts w:ascii="Times New Roman" w:hAnsi="Times New Roman" w:cs="Times New Roman"/>
          <w:color w:val="000000" w:themeColor="text1"/>
          <w:shd w:val="clear" w:color="auto" w:fill="FFFFFF"/>
        </w:rPr>
        <w:t>Türkiye’de Covid-19 pandemi sürecinde e-ticarette meydana gelen değişimleri değerlendirmek adına öncelikle Türkiye Cumhuriyeti Ticaret Bakanlığı tarafından yayınlanan veriler ele alınacaktır. Dolayısıyla, Şekil 2’de Türkiye Cumhuriyeti Ticaret Bakanlığı tarafından yayınlanan ve Türkiye’de e-ticaret hacminde meydana gelen değişimler yer almaktadır. Şekil 2’de görüleceği gibi, 2020 yılının ilk altı ayında (Ocak-Haziran) e-ticaret hacmi 2019 yılının ilk altı ayına göre %64 oranında artış göstermiştir.</w:t>
      </w:r>
    </w:p>
    <w:p w14:paraId="340A092A" w14:textId="38D6C5E3" w:rsidR="002E3F19" w:rsidRPr="006A4DC2" w:rsidRDefault="002E3F19" w:rsidP="002E3F19">
      <w:pPr>
        <w:spacing w:line="240" w:lineRule="auto"/>
        <w:jc w:val="both"/>
        <w:rPr>
          <w:rFonts w:ascii="Times New Roman" w:hAnsi="Times New Roman" w:cs="Times New Roman"/>
          <w:color w:val="000000" w:themeColor="text1"/>
          <w:shd w:val="clear" w:color="auto" w:fill="FFFFFF"/>
        </w:rPr>
      </w:pPr>
      <w:r w:rsidRPr="006A4DC2">
        <w:rPr>
          <w:rFonts w:ascii="Times New Roman" w:hAnsi="Times New Roman" w:cs="Times New Roman"/>
          <w:color w:val="000000" w:themeColor="text1"/>
          <w:shd w:val="clear" w:color="auto" w:fill="FFFFFF"/>
        </w:rPr>
        <w:t xml:space="preserve">            </w:t>
      </w:r>
      <w:r w:rsidRPr="006A4DC2">
        <w:rPr>
          <w:rFonts w:ascii="Times New Roman" w:hAnsi="Times New Roman" w:cs="Times New Roman"/>
          <w:noProof/>
          <w:color w:val="000000" w:themeColor="text1"/>
          <w:lang w:val="en-US"/>
        </w:rPr>
        <w:drawing>
          <wp:inline distT="0" distB="0" distL="0" distR="0" wp14:anchorId="65F39694" wp14:editId="73FC8066">
            <wp:extent cx="4705350" cy="1952625"/>
            <wp:effectExtent l="0" t="0" r="0" b="9525"/>
            <wp:docPr id="145" name="Resim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300">
                      <a:extLst>
                        <a:ext uri="{28A0092B-C50C-407E-A947-70E740481C1C}">
                          <a14:useLocalDpi xmlns:a14="http://schemas.microsoft.com/office/drawing/2010/main" val="0"/>
                        </a:ext>
                      </a:extLst>
                    </a:blip>
                    <a:srcRect l="29224" t="35352" r="10176" b="19333"/>
                    <a:stretch>
                      <a:fillRect/>
                    </a:stretch>
                  </pic:blipFill>
                  <pic:spPr bwMode="auto">
                    <a:xfrm>
                      <a:off x="0" y="0"/>
                      <a:ext cx="4705350" cy="1952625"/>
                    </a:xfrm>
                    <a:prstGeom prst="rect">
                      <a:avLst/>
                    </a:prstGeom>
                    <a:noFill/>
                    <a:ln>
                      <a:noFill/>
                    </a:ln>
                  </pic:spPr>
                </pic:pic>
              </a:graphicData>
            </a:graphic>
          </wp:inline>
        </w:drawing>
      </w:r>
    </w:p>
    <w:p w14:paraId="000E6934" w14:textId="77777777" w:rsidR="002E3F19" w:rsidRPr="006A4DC2" w:rsidRDefault="002E3F19" w:rsidP="002E3F19">
      <w:pPr>
        <w:spacing w:line="240" w:lineRule="auto"/>
        <w:jc w:val="center"/>
        <w:rPr>
          <w:rFonts w:ascii="Times New Roman" w:hAnsi="Times New Roman" w:cs="Times New Roman"/>
          <w:b/>
          <w:color w:val="000000" w:themeColor="text1"/>
          <w:shd w:val="clear" w:color="auto" w:fill="FFFFFF"/>
        </w:rPr>
      </w:pPr>
      <w:r w:rsidRPr="006A4DC2">
        <w:rPr>
          <w:rFonts w:ascii="Times New Roman" w:hAnsi="Times New Roman" w:cs="Times New Roman"/>
          <w:b/>
          <w:color w:val="000000" w:themeColor="text1"/>
          <w:shd w:val="clear" w:color="auto" w:fill="FFFFFF"/>
        </w:rPr>
        <w:t>Şekil 2: E-Ticaret Hacminde Meydana Gelen Değişimler</w:t>
      </w:r>
    </w:p>
    <w:p w14:paraId="43E6944E" w14:textId="77777777" w:rsidR="002E3F19" w:rsidRPr="006A4DC2" w:rsidRDefault="002E3F19" w:rsidP="002E3F19">
      <w:pPr>
        <w:spacing w:line="240" w:lineRule="auto"/>
        <w:jc w:val="center"/>
        <w:rPr>
          <w:rStyle w:val="Kpr"/>
          <w:rFonts w:ascii="Times New Roman" w:hAnsi="Times New Roman" w:cs="Times New Roman"/>
          <w:color w:val="000000" w:themeColor="text1"/>
        </w:rPr>
      </w:pPr>
      <w:r w:rsidRPr="006A4DC2">
        <w:rPr>
          <w:rFonts w:ascii="Times New Roman" w:hAnsi="Times New Roman" w:cs="Times New Roman"/>
          <w:b/>
          <w:color w:val="000000" w:themeColor="text1"/>
          <w:shd w:val="clear" w:color="auto" w:fill="FFFFFF"/>
        </w:rPr>
        <w:t>Kaynak:</w:t>
      </w:r>
      <w:r w:rsidRPr="006A4DC2">
        <w:rPr>
          <w:rFonts w:ascii="Times New Roman" w:hAnsi="Times New Roman" w:cs="Times New Roman"/>
          <w:color w:val="000000" w:themeColor="text1"/>
          <w:shd w:val="clear" w:color="auto" w:fill="FFFFFF"/>
        </w:rPr>
        <w:t xml:space="preserve"> </w:t>
      </w:r>
      <w:hyperlink r:id="rId301" w:history="1">
        <w:r w:rsidRPr="006A4DC2">
          <w:rPr>
            <w:rStyle w:val="Kpr"/>
            <w:rFonts w:ascii="Times New Roman" w:hAnsi="Times New Roman" w:cs="Times New Roman"/>
            <w:color w:val="000000" w:themeColor="text1"/>
            <w:shd w:val="clear" w:color="auto" w:fill="FFFFFF"/>
          </w:rPr>
          <w:t>https://www.eticaret.gov.tr/istatistikler</w:t>
        </w:r>
      </w:hyperlink>
    </w:p>
    <w:p w14:paraId="7FD458D0" w14:textId="77777777" w:rsidR="002E3F19" w:rsidRPr="006A4DC2" w:rsidRDefault="002E3F19" w:rsidP="002E3F19">
      <w:pPr>
        <w:spacing w:line="240" w:lineRule="auto"/>
        <w:jc w:val="both"/>
        <w:rPr>
          <w:rFonts w:ascii="Times New Roman" w:hAnsi="Times New Roman" w:cs="Times New Roman"/>
          <w:color w:val="000000" w:themeColor="text1"/>
        </w:rPr>
      </w:pPr>
    </w:p>
    <w:p w14:paraId="1060214C" w14:textId="77777777" w:rsidR="002E3F19" w:rsidRPr="006A4DC2" w:rsidRDefault="002E3F19" w:rsidP="002E3F19">
      <w:pPr>
        <w:spacing w:line="360" w:lineRule="auto"/>
        <w:ind w:firstLine="708"/>
        <w:jc w:val="both"/>
        <w:rPr>
          <w:rFonts w:ascii="Times New Roman" w:hAnsi="Times New Roman" w:cs="Times New Roman"/>
          <w:color w:val="000000" w:themeColor="text1"/>
          <w:shd w:val="clear" w:color="auto" w:fill="FFFFFF"/>
        </w:rPr>
      </w:pPr>
      <w:r w:rsidRPr="006A4DC2">
        <w:rPr>
          <w:rFonts w:ascii="Times New Roman" w:hAnsi="Times New Roman" w:cs="Times New Roman"/>
          <w:color w:val="000000" w:themeColor="text1"/>
          <w:shd w:val="clear" w:color="auto" w:fill="FFFFFF"/>
        </w:rPr>
        <w:lastRenderedPageBreak/>
        <w:t>Şekil 3’te ise e-ticaret hacminde aylara göre meydana gelen değişimler yer almaktadır. Şekil 3 incelendiğinde, 2020 yılının ilk altı ayında e-ticaret hacmi 2019 yılının ilk altı ayına göre karşılaştırıldığında, e-ticaret hacminin bütün aylarda artış gösterdiği görülmektedir. Aynı zamanda e-ticarette yaşanan artışın en fazla Haziran ayında olduğu görülmektedir. 2020 yılının Haziran ayında e-ticaret hacmi bir önceki yılın (2019) Haziran ayına göre %93 artış göstermiştir.</w:t>
      </w:r>
    </w:p>
    <w:p w14:paraId="52EA0C4B" w14:textId="5A4E5FA7" w:rsidR="002E3F19" w:rsidRPr="006A4DC2" w:rsidRDefault="002E3F19" w:rsidP="002E3F19">
      <w:pPr>
        <w:spacing w:line="240" w:lineRule="auto"/>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            </w:t>
      </w:r>
      <w:r w:rsidRPr="006A4DC2">
        <w:rPr>
          <w:rFonts w:ascii="Times New Roman" w:hAnsi="Times New Roman" w:cs="Times New Roman"/>
          <w:noProof/>
          <w:color w:val="000000" w:themeColor="text1"/>
          <w:lang w:val="en-US"/>
        </w:rPr>
        <w:drawing>
          <wp:inline distT="0" distB="0" distL="0" distR="0" wp14:anchorId="4CE48D9F" wp14:editId="2B759E80">
            <wp:extent cx="4762500" cy="2095500"/>
            <wp:effectExtent l="0" t="0" r="0" b="0"/>
            <wp:docPr id="144" name="Resim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302">
                      <a:extLst>
                        <a:ext uri="{28A0092B-C50C-407E-A947-70E740481C1C}">
                          <a14:useLocalDpi xmlns:a14="http://schemas.microsoft.com/office/drawing/2010/main" val="0"/>
                        </a:ext>
                      </a:extLst>
                    </a:blip>
                    <a:srcRect l="29594" t="23772" r="10829" b="30309"/>
                    <a:stretch>
                      <a:fillRect/>
                    </a:stretch>
                  </pic:blipFill>
                  <pic:spPr bwMode="auto">
                    <a:xfrm>
                      <a:off x="0" y="0"/>
                      <a:ext cx="4762500" cy="2095500"/>
                    </a:xfrm>
                    <a:prstGeom prst="rect">
                      <a:avLst/>
                    </a:prstGeom>
                    <a:noFill/>
                    <a:ln>
                      <a:noFill/>
                    </a:ln>
                  </pic:spPr>
                </pic:pic>
              </a:graphicData>
            </a:graphic>
          </wp:inline>
        </w:drawing>
      </w:r>
    </w:p>
    <w:p w14:paraId="77E66F1C" w14:textId="77777777" w:rsidR="002E3F19" w:rsidRPr="006A4DC2" w:rsidRDefault="002E3F19" w:rsidP="002E3F19">
      <w:pPr>
        <w:spacing w:line="240" w:lineRule="auto"/>
        <w:jc w:val="center"/>
        <w:rPr>
          <w:rFonts w:ascii="Times New Roman" w:hAnsi="Times New Roman" w:cs="Times New Roman"/>
          <w:b/>
          <w:color w:val="000000" w:themeColor="text1"/>
          <w:shd w:val="clear" w:color="auto" w:fill="FFFFFF"/>
        </w:rPr>
      </w:pPr>
      <w:r w:rsidRPr="006A4DC2">
        <w:rPr>
          <w:rFonts w:ascii="Times New Roman" w:hAnsi="Times New Roman" w:cs="Times New Roman"/>
          <w:b/>
          <w:color w:val="000000" w:themeColor="text1"/>
          <w:shd w:val="clear" w:color="auto" w:fill="FFFFFF"/>
        </w:rPr>
        <w:t>Şekil 3: E-Ticaret Hacminin Aylara Göre Karşılaştırılması</w:t>
      </w:r>
    </w:p>
    <w:p w14:paraId="5E418B84" w14:textId="77777777" w:rsidR="002E3F19" w:rsidRPr="006A4DC2" w:rsidRDefault="002E3F19" w:rsidP="002E3F19">
      <w:pPr>
        <w:spacing w:line="240" w:lineRule="auto"/>
        <w:jc w:val="center"/>
        <w:rPr>
          <w:rStyle w:val="Kpr"/>
          <w:rFonts w:ascii="Times New Roman" w:hAnsi="Times New Roman" w:cs="Times New Roman"/>
          <w:color w:val="000000" w:themeColor="text1"/>
        </w:rPr>
      </w:pPr>
      <w:r w:rsidRPr="006A4DC2">
        <w:rPr>
          <w:rFonts w:ascii="Times New Roman" w:hAnsi="Times New Roman" w:cs="Times New Roman"/>
          <w:b/>
          <w:color w:val="000000" w:themeColor="text1"/>
          <w:shd w:val="clear" w:color="auto" w:fill="FFFFFF"/>
        </w:rPr>
        <w:t>Kaynak:</w:t>
      </w:r>
      <w:r w:rsidRPr="006A4DC2">
        <w:rPr>
          <w:rFonts w:ascii="Times New Roman" w:hAnsi="Times New Roman" w:cs="Times New Roman"/>
          <w:color w:val="000000" w:themeColor="text1"/>
          <w:shd w:val="clear" w:color="auto" w:fill="FFFFFF"/>
        </w:rPr>
        <w:t xml:space="preserve"> </w:t>
      </w:r>
      <w:hyperlink r:id="rId303" w:history="1">
        <w:r w:rsidRPr="006A4DC2">
          <w:rPr>
            <w:rStyle w:val="Kpr"/>
            <w:rFonts w:ascii="Times New Roman" w:hAnsi="Times New Roman" w:cs="Times New Roman"/>
            <w:color w:val="000000" w:themeColor="text1"/>
            <w:shd w:val="clear" w:color="auto" w:fill="FFFFFF"/>
          </w:rPr>
          <w:t>https://www.eticaret.gov.tr/istatistikler</w:t>
        </w:r>
      </w:hyperlink>
    </w:p>
    <w:p w14:paraId="13923B05" w14:textId="77777777" w:rsidR="002E3F19" w:rsidRPr="006A4DC2" w:rsidRDefault="002E3F19" w:rsidP="002E3F19">
      <w:pPr>
        <w:spacing w:line="240" w:lineRule="auto"/>
        <w:jc w:val="both"/>
        <w:rPr>
          <w:rFonts w:ascii="Times New Roman" w:hAnsi="Times New Roman" w:cs="Times New Roman"/>
          <w:color w:val="000000" w:themeColor="text1"/>
        </w:rPr>
      </w:pPr>
    </w:p>
    <w:p w14:paraId="6BEEF027" w14:textId="77777777" w:rsidR="002E3F19" w:rsidRPr="006A4DC2" w:rsidRDefault="002E3F19" w:rsidP="002E3F19">
      <w:pPr>
        <w:spacing w:line="360" w:lineRule="auto"/>
        <w:ind w:firstLine="708"/>
        <w:jc w:val="both"/>
        <w:rPr>
          <w:rFonts w:ascii="Times New Roman" w:hAnsi="Times New Roman" w:cs="Times New Roman"/>
          <w:color w:val="000000" w:themeColor="text1"/>
          <w:shd w:val="clear" w:color="auto" w:fill="FFFFFF"/>
        </w:rPr>
      </w:pPr>
      <w:r w:rsidRPr="006A4DC2">
        <w:rPr>
          <w:rFonts w:ascii="Times New Roman" w:hAnsi="Times New Roman" w:cs="Times New Roman"/>
          <w:color w:val="000000" w:themeColor="text1"/>
          <w:shd w:val="clear" w:color="auto" w:fill="FFFFFF"/>
        </w:rPr>
        <w:t>Şekil 4’te e-ticaret alışverişinin illere göre dağılımı yer almaktadır. Şekil 4’te görüldüğü gibi e-ticaret alışverişinin %47’sini İstanbul, %8’ini Ankara, %5’ini İzmir olmak üzere e-ticaret alışverişinin %60’ını bu üç ilin (İstanbul, Ankara, İzmir) oluşturduğu görülmektedir.</w:t>
      </w:r>
    </w:p>
    <w:p w14:paraId="487FF0FE" w14:textId="77777777" w:rsidR="002E3F19" w:rsidRPr="006A4DC2" w:rsidRDefault="002E3F19" w:rsidP="002E3F19">
      <w:pPr>
        <w:spacing w:line="240" w:lineRule="auto"/>
        <w:jc w:val="both"/>
        <w:rPr>
          <w:rFonts w:ascii="Times New Roman" w:hAnsi="Times New Roman" w:cs="Times New Roman"/>
          <w:color w:val="000000" w:themeColor="text1"/>
          <w:shd w:val="clear" w:color="auto" w:fill="FFFFFF"/>
        </w:rPr>
      </w:pPr>
    </w:p>
    <w:p w14:paraId="6F4D1E9B" w14:textId="3E8190FE" w:rsidR="002E3F19" w:rsidRPr="006A4DC2" w:rsidRDefault="002E3F19" w:rsidP="002E3F19">
      <w:pPr>
        <w:spacing w:line="240" w:lineRule="auto"/>
        <w:jc w:val="both"/>
        <w:rPr>
          <w:rFonts w:ascii="Times New Roman" w:hAnsi="Times New Roman" w:cs="Times New Roman"/>
          <w:color w:val="000000" w:themeColor="text1"/>
          <w:shd w:val="clear" w:color="auto" w:fill="FFFFFF"/>
        </w:rPr>
      </w:pPr>
      <w:r w:rsidRPr="006A4DC2">
        <w:rPr>
          <w:rFonts w:ascii="Times New Roman" w:hAnsi="Times New Roman" w:cs="Times New Roman"/>
          <w:color w:val="000000" w:themeColor="text1"/>
          <w:shd w:val="clear" w:color="auto" w:fill="FFFFFF"/>
        </w:rPr>
        <w:t xml:space="preserve">             </w:t>
      </w:r>
      <w:r w:rsidRPr="006A4DC2">
        <w:rPr>
          <w:rFonts w:ascii="Times New Roman" w:hAnsi="Times New Roman" w:cs="Times New Roman"/>
          <w:noProof/>
          <w:color w:val="000000" w:themeColor="text1"/>
          <w:lang w:val="en-US"/>
        </w:rPr>
        <w:drawing>
          <wp:inline distT="0" distB="0" distL="0" distR="0" wp14:anchorId="7719EF24" wp14:editId="7D47973A">
            <wp:extent cx="4791075" cy="2076450"/>
            <wp:effectExtent l="0" t="0" r="9525" b="0"/>
            <wp:docPr id="143" name="Resi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304">
                      <a:extLst>
                        <a:ext uri="{28A0092B-C50C-407E-A947-70E740481C1C}">
                          <a14:useLocalDpi xmlns:a14="http://schemas.microsoft.com/office/drawing/2010/main" val="0"/>
                        </a:ext>
                      </a:extLst>
                    </a:blip>
                    <a:srcRect l="29971" t="35149" r="22012" b="24203"/>
                    <a:stretch>
                      <a:fillRect/>
                    </a:stretch>
                  </pic:blipFill>
                  <pic:spPr bwMode="auto">
                    <a:xfrm>
                      <a:off x="0" y="0"/>
                      <a:ext cx="4791075" cy="2076450"/>
                    </a:xfrm>
                    <a:prstGeom prst="rect">
                      <a:avLst/>
                    </a:prstGeom>
                    <a:noFill/>
                    <a:ln>
                      <a:noFill/>
                    </a:ln>
                  </pic:spPr>
                </pic:pic>
              </a:graphicData>
            </a:graphic>
          </wp:inline>
        </w:drawing>
      </w:r>
    </w:p>
    <w:p w14:paraId="7C9C1472" w14:textId="77777777" w:rsidR="002E3F19" w:rsidRPr="006A4DC2" w:rsidRDefault="002E3F19" w:rsidP="002E3F19">
      <w:pPr>
        <w:spacing w:line="240" w:lineRule="auto"/>
        <w:jc w:val="center"/>
        <w:rPr>
          <w:rFonts w:ascii="Times New Roman" w:hAnsi="Times New Roman" w:cs="Times New Roman"/>
          <w:b/>
          <w:color w:val="000000" w:themeColor="text1"/>
          <w:shd w:val="clear" w:color="auto" w:fill="FFFFFF"/>
        </w:rPr>
      </w:pPr>
      <w:r w:rsidRPr="006A4DC2">
        <w:rPr>
          <w:rFonts w:ascii="Times New Roman" w:hAnsi="Times New Roman" w:cs="Times New Roman"/>
          <w:b/>
          <w:color w:val="000000" w:themeColor="text1"/>
          <w:shd w:val="clear" w:color="auto" w:fill="FFFFFF"/>
        </w:rPr>
        <w:t>Şekil 4: E-Ticaret Alışverişinin İl Bazında Dağılımı</w:t>
      </w:r>
    </w:p>
    <w:p w14:paraId="0AC9483D" w14:textId="77777777" w:rsidR="002E3F19" w:rsidRPr="006A4DC2" w:rsidRDefault="002E3F19" w:rsidP="002E3F19">
      <w:pPr>
        <w:spacing w:line="240" w:lineRule="auto"/>
        <w:jc w:val="center"/>
        <w:rPr>
          <w:rFonts w:ascii="Times New Roman" w:hAnsi="Times New Roman" w:cs="Times New Roman"/>
          <w:color w:val="000000" w:themeColor="text1"/>
          <w:shd w:val="clear" w:color="auto" w:fill="FFFFFF"/>
        </w:rPr>
      </w:pPr>
      <w:r w:rsidRPr="006A4DC2">
        <w:rPr>
          <w:rFonts w:ascii="Times New Roman" w:hAnsi="Times New Roman" w:cs="Times New Roman"/>
          <w:b/>
          <w:color w:val="000000" w:themeColor="text1"/>
          <w:shd w:val="clear" w:color="auto" w:fill="FFFFFF"/>
        </w:rPr>
        <w:t>Kaynak:</w:t>
      </w:r>
      <w:r w:rsidRPr="006A4DC2">
        <w:rPr>
          <w:rFonts w:ascii="Times New Roman" w:hAnsi="Times New Roman" w:cs="Times New Roman"/>
          <w:color w:val="000000" w:themeColor="text1"/>
          <w:shd w:val="clear" w:color="auto" w:fill="FFFFFF"/>
        </w:rPr>
        <w:t xml:space="preserve"> </w:t>
      </w:r>
      <w:hyperlink r:id="rId305" w:history="1">
        <w:r w:rsidRPr="006A4DC2">
          <w:rPr>
            <w:rStyle w:val="Kpr"/>
            <w:rFonts w:ascii="Times New Roman" w:hAnsi="Times New Roman" w:cs="Times New Roman"/>
            <w:color w:val="000000" w:themeColor="text1"/>
            <w:shd w:val="clear" w:color="auto" w:fill="FFFFFF"/>
          </w:rPr>
          <w:t>https://www.eticaret.gov.tr/istatistikler</w:t>
        </w:r>
      </w:hyperlink>
    </w:p>
    <w:p w14:paraId="66E4F226" w14:textId="77777777" w:rsidR="002E3F19" w:rsidRPr="006A4DC2" w:rsidRDefault="002E3F19" w:rsidP="002E3F19">
      <w:pPr>
        <w:spacing w:line="240" w:lineRule="auto"/>
        <w:jc w:val="both"/>
        <w:rPr>
          <w:rFonts w:ascii="Times New Roman" w:hAnsi="Times New Roman" w:cs="Times New Roman"/>
          <w:color w:val="000000" w:themeColor="text1"/>
          <w:shd w:val="clear" w:color="auto" w:fill="FFFFFF"/>
        </w:rPr>
      </w:pPr>
    </w:p>
    <w:p w14:paraId="782A792A" w14:textId="0C1A7AB7" w:rsidR="002E3F19" w:rsidRPr="006A4DC2" w:rsidRDefault="002E3F19" w:rsidP="002E3F19">
      <w:pPr>
        <w:spacing w:line="240" w:lineRule="auto"/>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            </w:t>
      </w:r>
      <w:r w:rsidRPr="006A4DC2">
        <w:rPr>
          <w:rFonts w:ascii="Times New Roman" w:hAnsi="Times New Roman" w:cs="Times New Roman"/>
          <w:noProof/>
          <w:color w:val="000000" w:themeColor="text1"/>
          <w:lang w:val="en-US"/>
        </w:rPr>
        <w:drawing>
          <wp:inline distT="0" distB="0" distL="0" distR="0" wp14:anchorId="38F824E0" wp14:editId="0EAFDF69">
            <wp:extent cx="4695825" cy="2076450"/>
            <wp:effectExtent l="0" t="0" r="9525" b="0"/>
            <wp:docPr id="142" name="Resi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pic:cNvPicPr>
                      <a:picLocks noChangeAspect="1" noChangeArrowheads="1"/>
                    </pic:cNvPicPr>
                  </pic:nvPicPr>
                  <pic:blipFill>
                    <a:blip r:embed="rId306">
                      <a:extLst>
                        <a:ext uri="{28A0092B-C50C-407E-A947-70E740481C1C}">
                          <a14:useLocalDpi xmlns:a14="http://schemas.microsoft.com/office/drawing/2010/main" val="0"/>
                        </a:ext>
                      </a:extLst>
                    </a:blip>
                    <a:srcRect l="29466" t="23573" r="8437" b="30717"/>
                    <a:stretch>
                      <a:fillRect/>
                    </a:stretch>
                  </pic:blipFill>
                  <pic:spPr bwMode="auto">
                    <a:xfrm>
                      <a:off x="0" y="0"/>
                      <a:ext cx="4695825" cy="2076450"/>
                    </a:xfrm>
                    <a:prstGeom prst="rect">
                      <a:avLst/>
                    </a:prstGeom>
                    <a:noFill/>
                    <a:ln>
                      <a:noFill/>
                    </a:ln>
                  </pic:spPr>
                </pic:pic>
              </a:graphicData>
            </a:graphic>
          </wp:inline>
        </w:drawing>
      </w:r>
    </w:p>
    <w:p w14:paraId="1077268A" w14:textId="77777777" w:rsidR="002E3F19" w:rsidRPr="006A4DC2" w:rsidRDefault="002E3F19" w:rsidP="002E3F19">
      <w:pPr>
        <w:spacing w:line="240" w:lineRule="auto"/>
        <w:jc w:val="center"/>
        <w:rPr>
          <w:rFonts w:ascii="Times New Roman" w:hAnsi="Times New Roman" w:cs="Times New Roman"/>
          <w:b/>
          <w:color w:val="000000" w:themeColor="text1"/>
          <w:shd w:val="clear" w:color="auto" w:fill="FFFFFF"/>
        </w:rPr>
      </w:pPr>
      <w:r w:rsidRPr="006A4DC2">
        <w:rPr>
          <w:rFonts w:ascii="Times New Roman" w:hAnsi="Times New Roman" w:cs="Times New Roman"/>
          <w:b/>
          <w:color w:val="000000" w:themeColor="text1"/>
          <w:shd w:val="clear" w:color="auto" w:fill="FFFFFF"/>
        </w:rPr>
        <w:t>Şekil 5: Türkiye’de E-Ticarette En Çok Artış Gösteren Sektörler</w:t>
      </w:r>
    </w:p>
    <w:p w14:paraId="460E2D5C" w14:textId="77777777" w:rsidR="002E3F19" w:rsidRPr="006A4DC2" w:rsidRDefault="002E3F19" w:rsidP="002E3F19">
      <w:pPr>
        <w:spacing w:line="240" w:lineRule="auto"/>
        <w:jc w:val="center"/>
        <w:rPr>
          <w:rFonts w:ascii="Times New Roman" w:hAnsi="Times New Roman" w:cs="Times New Roman"/>
          <w:color w:val="000000" w:themeColor="text1"/>
          <w:shd w:val="clear" w:color="auto" w:fill="FFFFFF"/>
        </w:rPr>
      </w:pPr>
      <w:r w:rsidRPr="006A4DC2">
        <w:rPr>
          <w:rFonts w:ascii="Times New Roman" w:hAnsi="Times New Roman" w:cs="Times New Roman"/>
          <w:b/>
          <w:color w:val="000000" w:themeColor="text1"/>
          <w:shd w:val="clear" w:color="auto" w:fill="FFFFFF"/>
        </w:rPr>
        <w:t>Kaynak:</w:t>
      </w:r>
      <w:r w:rsidRPr="006A4DC2">
        <w:rPr>
          <w:rFonts w:ascii="Times New Roman" w:hAnsi="Times New Roman" w:cs="Times New Roman"/>
          <w:color w:val="000000" w:themeColor="text1"/>
          <w:shd w:val="clear" w:color="auto" w:fill="FFFFFF"/>
        </w:rPr>
        <w:t xml:space="preserve"> </w:t>
      </w:r>
      <w:hyperlink r:id="rId307" w:history="1">
        <w:r w:rsidRPr="006A4DC2">
          <w:rPr>
            <w:rStyle w:val="Kpr"/>
            <w:rFonts w:ascii="Times New Roman" w:hAnsi="Times New Roman" w:cs="Times New Roman"/>
            <w:color w:val="000000" w:themeColor="text1"/>
            <w:shd w:val="clear" w:color="auto" w:fill="FFFFFF"/>
          </w:rPr>
          <w:t>https://www.eticaret.gov.tr/istatistikler</w:t>
        </w:r>
      </w:hyperlink>
    </w:p>
    <w:p w14:paraId="28EF093A" w14:textId="77777777" w:rsidR="002E3F19" w:rsidRPr="006A4DC2" w:rsidRDefault="002E3F19" w:rsidP="002E3F19">
      <w:pPr>
        <w:spacing w:line="360" w:lineRule="auto"/>
        <w:jc w:val="both"/>
        <w:rPr>
          <w:rFonts w:ascii="Times New Roman" w:hAnsi="Times New Roman" w:cs="Times New Roman"/>
          <w:color w:val="000000" w:themeColor="text1"/>
          <w:shd w:val="clear" w:color="auto" w:fill="FFFFFF"/>
        </w:rPr>
      </w:pPr>
    </w:p>
    <w:p w14:paraId="7541B1A3" w14:textId="77777777" w:rsidR="002E3F19" w:rsidRPr="006A4DC2" w:rsidRDefault="002E3F19" w:rsidP="002E3F19">
      <w:pPr>
        <w:spacing w:line="360" w:lineRule="auto"/>
        <w:ind w:firstLine="708"/>
        <w:jc w:val="both"/>
        <w:rPr>
          <w:rFonts w:ascii="Times New Roman" w:hAnsi="Times New Roman" w:cs="Times New Roman"/>
          <w:color w:val="000000" w:themeColor="text1"/>
          <w:shd w:val="clear" w:color="auto" w:fill="FFFFFF"/>
        </w:rPr>
      </w:pPr>
      <w:r w:rsidRPr="006A4DC2">
        <w:rPr>
          <w:rFonts w:ascii="Times New Roman" w:hAnsi="Times New Roman" w:cs="Times New Roman"/>
          <w:color w:val="000000" w:themeColor="text1"/>
          <w:shd w:val="clear" w:color="auto" w:fill="FFFFFF"/>
        </w:rPr>
        <w:t xml:space="preserve">Şekil 5’te ise Türkiye’de e-ticarette en çok artış gösteren sektörler gösterilmiştir. Şekil 5 incelendiğinde, Türkiye’de 2019 ve 2020 yıllarının ilk altı ayına ait e-ticaret hacimleri kıyaslandığında e-ticaret hacminde en fazla artışın %434 ile gıda süpermarket sektörü olduğu görülmektedir. Böylece Şekil 5’te yer alan veriler doğrultusunda aşağıda Tablo 2 oluşturulmuştur. </w:t>
      </w:r>
    </w:p>
    <w:p w14:paraId="7448A390" w14:textId="77777777" w:rsidR="002E3F19" w:rsidRPr="006A4DC2" w:rsidRDefault="002E3F19" w:rsidP="002E3F19">
      <w:pPr>
        <w:spacing w:line="240" w:lineRule="auto"/>
        <w:ind w:right="1"/>
        <w:rPr>
          <w:rFonts w:ascii="Times New Roman" w:hAnsi="Times New Roman" w:cs="Times New Roman"/>
          <w:b/>
          <w:color w:val="000000" w:themeColor="text1"/>
          <w:shd w:val="clear" w:color="auto" w:fill="FFFFFF"/>
        </w:rPr>
      </w:pPr>
      <w:r w:rsidRPr="006A4DC2">
        <w:rPr>
          <w:rFonts w:ascii="Times New Roman" w:hAnsi="Times New Roman" w:cs="Times New Roman"/>
          <w:b/>
          <w:color w:val="000000" w:themeColor="text1"/>
          <w:shd w:val="clear" w:color="auto" w:fill="FFFFFF"/>
        </w:rPr>
        <w:t xml:space="preserve"> </w:t>
      </w:r>
    </w:p>
    <w:p w14:paraId="21B7B424" w14:textId="77777777" w:rsidR="002E3F19" w:rsidRPr="006A4DC2" w:rsidRDefault="002E3F19" w:rsidP="002E3F19">
      <w:pPr>
        <w:spacing w:line="240" w:lineRule="auto"/>
        <w:ind w:right="1"/>
        <w:rPr>
          <w:rFonts w:ascii="Times New Roman" w:hAnsi="Times New Roman" w:cs="Times New Roman"/>
          <w:b/>
          <w:color w:val="000000" w:themeColor="text1"/>
          <w:shd w:val="clear" w:color="auto" w:fill="FFFFFF"/>
        </w:rPr>
      </w:pPr>
    </w:p>
    <w:p w14:paraId="1F86810D" w14:textId="77777777" w:rsidR="002E3F19" w:rsidRPr="006A4DC2" w:rsidRDefault="002E3F19" w:rsidP="002E3F19">
      <w:pPr>
        <w:spacing w:line="240" w:lineRule="auto"/>
        <w:ind w:right="1"/>
        <w:rPr>
          <w:rFonts w:ascii="Times New Roman" w:hAnsi="Times New Roman" w:cs="Times New Roman"/>
          <w:b/>
          <w:color w:val="000000" w:themeColor="text1"/>
          <w:shd w:val="clear" w:color="auto" w:fill="FFFFFF"/>
        </w:rPr>
      </w:pPr>
    </w:p>
    <w:p w14:paraId="06119D81" w14:textId="77777777" w:rsidR="002E3F19" w:rsidRPr="006A4DC2" w:rsidRDefault="002E3F19" w:rsidP="002E3F19">
      <w:pPr>
        <w:spacing w:line="240" w:lineRule="auto"/>
        <w:ind w:right="1"/>
        <w:rPr>
          <w:rFonts w:ascii="Times New Roman" w:hAnsi="Times New Roman" w:cs="Times New Roman"/>
          <w:b/>
          <w:color w:val="000000" w:themeColor="text1"/>
          <w:shd w:val="clear" w:color="auto" w:fill="FFFFFF"/>
        </w:rPr>
      </w:pPr>
    </w:p>
    <w:p w14:paraId="6CD3FFCE" w14:textId="77777777" w:rsidR="002E3F19" w:rsidRPr="006A4DC2" w:rsidRDefault="002E3F19" w:rsidP="002E3F19">
      <w:pPr>
        <w:spacing w:line="240" w:lineRule="auto"/>
        <w:ind w:right="1"/>
        <w:rPr>
          <w:rFonts w:ascii="Times New Roman" w:hAnsi="Times New Roman" w:cs="Times New Roman"/>
          <w:b/>
          <w:color w:val="000000" w:themeColor="text1"/>
          <w:shd w:val="clear" w:color="auto" w:fill="FFFFFF"/>
        </w:rPr>
      </w:pPr>
    </w:p>
    <w:p w14:paraId="1C09668B" w14:textId="77777777" w:rsidR="002E3F19" w:rsidRPr="006A4DC2" w:rsidRDefault="002E3F19" w:rsidP="002E3F19">
      <w:pPr>
        <w:spacing w:line="240" w:lineRule="auto"/>
        <w:ind w:right="1"/>
        <w:rPr>
          <w:rFonts w:ascii="Times New Roman" w:hAnsi="Times New Roman" w:cs="Times New Roman"/>
          <w:b/>
          <w:color w:val="000000" w:themeColor="text1"/>
          <w:shd w:val="clear" w:color="auto" w:fill="FFFFFF"/>
        </w:rPr>
      </w:pPr>
    </w:p>
    <w:p w14:paraId="2FAF9AC5" w14:textId="77777777" w:rsidR="002E3F19" w:rsidRPr="006A4DC2" w:rsidRDefault="002E3F19" w:rsidP="002E3F19">
      <w:pPr>
        <w:spacing w:line="240" w:lineRule="auto"/>
        <w:ind w:right="1"/>
        <w:rPr>
          <w:rFonts w:ascii="Times New Roman" w:hAnsi="Times New Roman" w:cs="Times New Roman"/>
          <w:b/>
          <w:color w:val="000000" w:themeColor="text1"/>
          <w:shd w:val="clear" w:color="auto" w:fill="FFFFFF"/>
        </w:rPr>
      </w:pPr>
    </w:p>
    <w:p w14:paraId="7ED13AD9" w14:textId="77777777" w:rsidR="002E3F19" w:rsidRPr="006A4DC2" w:rsidRDefault="002E3F19" w:rsidP="002E3F19">
      <w:pPr>
        <w:spacing w:line="240" w:lineRule="auto"/>
        <w:ind w:right="1"/>
        <w:jc w:val="center"/>
        <w:rPr>
          <w:rFonts w:ascii="Times New Roman" w:hAnsi="Times New Roman" w:cs="Times New Roman"/>
          <w:color w:val="000000" w:themeColor="text1"/>
          <w:shd w:val="clear" w:color="auto" w:fill="FFFFFF"/>
        </w:rPr>
      </w:pPr>
      <w:r w:rsidRPr="006A4DC2">
        <w:rPr>
          <w:rFonts w:ascii="Times New Roman" w:hAnsi="Times New Roman" w:cs="Times New Roman"/>
          <w:b/>
          <w:color w:val="000000" w:themeColor="text1"/>
          <w:shd w:val="clear" w:color="auto" w:fill="FFFFFF"/>
        </w:rPr>
        <w:t>Tablo 2: Türkiye’de E-Ticarette En Çok Artış Gösteren Sektör Sıralaması</w:t>
      </w:r>
    </w:p>
    <w:p w14:paraId="3BCB9B61" w14:textId="77777777" w:rsidR="002E3F19" w:rsidRPr="006A4DC2" w:rsidRDefault="002E3F19" w:rsidP="002E3F19">
      <w:pPr>
        <w:pStyle w:val="ListeParagraf"/>
        <w:pBdr>
          <w:top w:val="single" w:sz="4" w:space="1" w:color="auto"/>
          <w:bottom w:val="single" w:sz="4" w:space="1" w:color="auto"/>
        </w:pBdr>
        <w:tabs>
          <w:tab w:val="left" w:pos="7797"/>
        </w:tabs>
        <w:spacing w:line="360" w:lineRule="auto"/>
        <w:ind w:left="1701" w:right="1418"/>
        <w:jc w:val="both"/>
        <w:rPr>
          <w:rFonts w:ascii="Times New Roman" w:hAnsi="Times New Roman" w:cs="Times New Roman"/>
          <w:color w:val="000000" w:themeColor="text1"/>
          <w:shd w:val="clear" w:color="auto" w:fill="FFFFFF"/>
        </w:rPr>
      </w:pPr>
      <w:r w:rsidRPr="006A4DC2">
        <w:rPr>
          <w:rFonts w:ascii="Times New Roman" w:hAnsi="Times New Roman" w:cs="Times New Roman"/>
          <w:color w:val="000000" w:themeColor="text1"/>
          <w:shd w:val="clear" w:color="auto" w:fill="FFFFFF"/>
        </w:rPr>
        <w:t xml:space="preserve">                                                              Yüzdelik Artış</w:t>
      </w:r>
    </w:p>
    <w:p w14:paraId="0D14BE85" w14:textId="77777777" w:rsidR="002E3F19" w:rsidRPr="006A4DC2" w:rsidRDefault="002E3F19" w:rsidP="002E3F19">
      <w:pPr>
        <w:pStyle w:val="ListeParagraf"/>
        <w:pBdr>
          <w:top w:val="single" w:sz="4" w:space="1" w:color="auto"/>
          <w:bottom w:val="single" w:sz="4" w:space="1" w:color="auto"/>
        </w:pBdr>
        <w:tabs>
          <w:tab w:val="left" w:pos="7797"/>
        </w:tabs>
        <w:spacing w:line="360" w:lineRule="auto"/>
        <w:ind w:left="1701" w:right="1418"/>
        <w:jc w:val="both"/>
        <w:rPr>
          <w:rFonts w:ascii="Times New Roman" w:hAnsi="Times New Roman" w:cs="Times New Roman"/>
          <w:color w:val="000000" w:themeColor="text1"/>
          <w:shd w:val="clear" w:color="auto" w:fill="FFFFFF"/>
        </w:rPr>
      </w:pPr>
      <w:r w:rsidRPr="006A4DC2">
        <w:rPr>
          <w:rFonts w:ascii="Times New Roman" w:hAnsi="Times New Roman" w:cs="Times New Roman"/>
          <w:color w:val="000000" w:themeColor="text1"/>
          <w:shd w:val="clear" w:color="auto" w:fill="FFFFFF"/>
        </w:rPr>
        <w:t xml:space="preserve">       Sektörler                                (2019-2020 / Ocak- Haziran)</w:t>
      </w:r>
    </w:p>
    <w:p w14:paraId="6FDDA577" w14:textId="77777777" w:rsidR="002E3F19" w:rsidRPr="006A4DC2" w:rsidRDefault="002E3F19" w:rsidP="002E3F19">
      <w:pPr>
        <w:pStyle w:val="ListeParagraf"/>
        <w:spacing w:line="360" w:lineRule="auto"/>
        <w:ind w:left="1701"/>
        <w:jc w:val="both"/>
        <w:rPr>
          <w:rFonts w:ascii="Times New Roman" w:hAnsi="Times New Roman" w:cs="Times New Roman"/>
          <w:color w:val="000000" w:themeColor="text1"/>
          <w:shd w:val="clear" w:color="auto" w:fill="FFFFFF"/>
        </w:rPr>
      </w:pPr>
    </w:p>
    <w:p w14:paraId="2521CC6E" w14:textId="77777777" w:rsidR="002E3F19" w:rsidRPr="006A4DC2" w:rsidRDefault="002E3F19" w:rsidP="002E3F19">
      <w:pPr>
        <w:pStyle w:val="ListeParagraf"/>
        <w:spacing w:line="360" w:lineRule="auto"/>
        <w:ind w:left="0"/>
        <w:jc w:val="both"/>
        <w:rPr>
          <w:rFonts w:ascii="Times New Roman" w:hAnsi="Times New Roman" w:cs="Times New Roman"/>
          <w:color w:val="000000" w:themeColor="text1"/>
          <w:shd w:val="clear" w:color="auto" w:fill="FFFFFF"/>
        </w:rPr>
      </w:pPr>
      <w:r w:rsidRPr="006A4DC2">
        <w:rPr>
          <w:rFonts w:ascii="Times New Roman" w:hAnsi="Times New Roman" w:cs="Times New Roman"/>
          <w:color w:val="000000" w:themeColor="text1"/>
          <w:shd w:val="clear" w:color="auto" w:fill="FFFFFF"/>
        </w:rPr>
        <w:t xml:space="preserve">                                      1. Gıda Süpermarket                         %434</w:t>
      </w:r>
    </w:p>
    <w:p w14:paraId="1CAC57BA" w14:textId="77777777" w:rsidR="002E3F19" w:rsidRPr="006A4DC2" w:rsidRDefault="002E3F19" w:rsidP="002E3F19">
      <w:pPr>
        <w:pStyle w:val="ListeParagraf"/>
        <w:spacing w:line="360" w:lineRule="auto"/>
        <w:ind w:left="1701"/>
        <w:jc w:val="both"/>
        <w:rPr>
          <w:rFonts w:ascii="Times New Roman" w:hAnsi="Times New Roman" w:cs="Times New Roman"/>
          <w:color w:val="000000" w:themeColor="text1"/>
          <w:shd w:val="clear" w:color="auto" w:fill="FFFFFF"/>
        </w:rPr>
      </w:pPr>
      <w:r w:rsidRPr="006A4DC2">
        <w:rPr>
          <w:rFonts w:ascii="Times New Roman" w:hAnsi="Times New Roman" w:cs="Times New Roman"/>
          <w:color w:val="000000" w:themeColor="text1"/>
          <w:shd w:val="clear" w:color="auto" w:fill="FFFFFF"/>
        </w:rPr>
        <w:t xml:space="preserve">       2. Yazılım                                         %116</w:t>
      </w:r>
    </w:p>
    <w:p w14:paraId="1AAE4427" w14:textId="77777777" w:rsidR="002E3F19" w:rsidRPr="006A4DC2" w:rsidRDefault="002E3F19" w:rsidP="002E3F19">
      <w:pPr>
        <w:pStyle w:val="ListeParagraf"/>
        <w:spacing w:line="360" w:lineRule="auto"/>
        <w:ind w:left="1701"/>
        <w:jc w:val="both"/>
        <w:rPr>
          <w:rFonts w:ascii="Times New Roman" w:hAnsi="Times New Roman" w:cs="Times New Roman"/>
          <w:color w:val="000000" w:themeColor="text1"/>
          <w:shd w:val="clear" w:color="auto" w:fill="FFFFFF"/>
        </w:rPr>
      </w:pPr>
      <w:r w:rsidRPr="006A4DC2">
        <w:rPr>
          <w:rFonts w:ascii="Times New Roman" w:hAnsi="Times New Roman" w:cs="Times New Roman"/>
          <w:color w:val="000000" w:themeColor="text1"/>
          <w:shd w:val="clear" w:color="auto" w:fill="FFFFFF"/>
        </w:rPr>
        <w:t xml:space="preserve">       3. Ev Bahçe                                      %95</w:t>
      </w:r>
    </w:p>
    <w:p w14:paraId="2A794DE2" w14:textId="77777777" w:rsidR="002E3F19" w:rsidRPr="006A4DC2" w:rsidRDefault="002E3F19" w:rsidP="002E3F19">
      <w:pPr>
        <w:pStyle w:val="ListeParagraf"/>
        <w:spacing w:line="360" w:lineRule="auto"/>
        <w:ind w:left="1701"/>
        <w:jc w:val="both"/>
        <w:rPr>
          <w:rFonts w:ascii="Times New Roman" w:hAnsi="Times New Roman" w:cs="Times New Roman"/>
          <w:color w:val="000000" w:themeColor="text1"/>
          <w:shd w:val="clear" w:color="auto" w:fill="FFFFFF"/>
        </w:rPr>
      </w:pPr>
      <w:r w:rsidRPr="006A4DC2">
        <w:rPr>
          <w:rFonts w:ascii="Times New Roman" w:hAnsi="Times New Roman" w:cs="Times New Roman"/>
          <w:color w:val="000000" w:themeColor="text1"/>
          <w:shd w:val="clear" w:color="auto" w:fill="FFFFFF"/>
        </w:rPr>
        <w:t xml:space="preserve">       4. Beyaz Eşya                                   %90</w:t>
      </w:r>
    </w:p>
    <w:p w14:paraId="0AAD960B" w14:textId="77777777" w:rsidR="002E3F19" w:rsidRPr="006A4DC2" w:rsidRDefault="002E3F19" w:rsidP="002E3F19">
      <w:pPr>
        <w:pStyle w:val="ListeParagraf"/>
        <w:spacing w:line="360" w:lineRule="auto"/>
        <w:ind w:left="786"/>
        <w:jc w:val="both"/>
        <w:rPr>
          <w:rFonts w:ascii="Times New Roman" w:hAnsi="Times New Roman" w:cs="Times New Roman"/>
          <w:color w:val="000000" w:themeColor="text1"/>
          <w:shd w:val="clear" w:color="auto" w:fill="FFFFFF"/>
        </w:rPr>
      </w:pPr>
      <w:r w:rsidRPr="006A4DC2">
        <w:rPr>
          <w:rFonts w:ascii="Times New Roman" w:hAnsi="Times New Roman" w:cs="Times New Roman"/>
          <w:color w:val="000000" w:themeColor="text1"/>
          <w:shd w:val="clear" w:color="auto" w:fill="FFFFFF"/>
        </w:rPr>
        <w:lastRenderedPageBreak/>
        <w:t xml:space="preserve">                        5. Elektronik                                     %58</w:t>
      </w:r>
    </w:p>
    <w:p w14:paraId="4061EDA7" w14:textId="77777777" w:rsidR="002E3F19" w:rsidRPr="006A4DC2" w:rsidRDefault="002E3F19" w:rsidP="002E3F19">
      <w:pPr>
        <w:pStyle w:val="ListeParagraf"/>
        <w:pBdr>
          <w:bottom w:val="single" w:sz="4" w:space="1" w:color="auto"/>
        </w:pBdr>
        <w:spacing w:line="360" w:lineRule="auto"/>
        <w:ind w:left="1701" w:right="1418" w:firstLine="423"/>
        <w:jc w:val="both"/>
        <w:rPr>
          <w:rFonts w:ascii="Times New Roman" w:hAnsi="Times New Roman" w:cs="Times New Roman"/>
          <w:color w:val="000000" w:themeColor="text1"/>
          <w:shd w:val="clear" w:color="auto" w:fill="FFFFFF"/>
        </w:rPr>
      </w:pPr>
      <w:r w:rsidRPr="006A4DC2">
        <w:rPr>
          <w:rFonts w:ascii="Times New Roman" w:hAnsi="Times New Roman" w:cs="Times New Roman"/>
          <w:color w:val="000000" w:themeColor="text1"/>
          <w:shd w:val="clear" w:color="auto" w:fill="FFFFFF"/>
        </w:rPr>
        <w:t>6.Giyim                                            %45</w:t>
      </w:r>
    </w:p>
    <w:p w14:paraId="07E6E85A" w14:textId="77777777" w:rsidR="002E3F19" w:rsidRPr="006A4DC2" w:rsidRDefault="002E3F19" w:rsidP="002E3F19">
      <w:pPr>
        <w:tabs>
          <w:tab w:val="left" w:pos="851"/>
        </w:tabs>
        <w:spacing w:line="360" w:lineRule="auto"/>
        <w:jc w:val="both"/>
        <w:rPr>
          <w:rFonts w:ascii="Times New Roman" w:hAnsi="Times New Roman" w:cs="Times New Roman"/>
          <w:color w:val="000000" w:themeColor="text1"/>
          <w:shd w:val="clear" w:color="auto" w:fill="FFFFFF"/>
        </w:rPr>
      </w:pPr>
      <w:r w:rsidRPr="006A4DC2">
        <w:rPr>
          <w:rFonts w:ascii="Times New Roman" w:hAnsi="Times New Roman" w:cs="Times New Roman"/>
          <w:color w:val="000000" w:themeColor="text1"/>
          <w:shd w:val="clear" w:color="auto" w:fill="FFFFFF"/>
        </w:rPr>
        <w:tab/>
        <w:t>Yukarıda yer alan Tablo 2’de görüldüğü gibi 2019 ve 2020 yıllarının ilk altı ayında e-ticarette meydana gelen artış yüzdelerinin sektör bazında sıralaması yer almaktadır. Buna göre, e-ticarette en fazla artış gösteren sektörün %434 artış ile gıda süpermarket olduğu görülmektedir. Yazılım sektörü %116 artış ile ikinci sırada yer alırken, ev bahçe sektörü %95 artış ile üçüncü sırada yer almaktadır. Bunu %90 artış ile beyaz eşya, %58 artış ile elektronik ve %45 artış ile giyim sektörü takip etmektedir.</w:t>
      </w:r>
    </w:p>
    <w:p w14:paraId="406C7F84" w14:textId="4414BB10" w:rsidR="002E3F19" w:rsidRPr="006A4DC2" w:rsidRDefault="002E3F19" w:rsidP="002E3F19">
      <w:pPr>
        <w:tabs>
          <w:tab w:val="left" w:pos="7088"/>
        </w:tabs>
        <w:spacing w:line="240" w:lineRule="auto"/>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                </w:t>
      </w:r>
      <w:r w:rsidRPr="006A4DC2">
        <w:rPr>
          <w:rFonts w:ascii="Times New Roman" w:hAnsi="Times New Roman" w:cs="Times New Roman"/>
          <w:noProof/>
          <w:color w:val="000000" w:themeColor="text1"/>
          <w:lang w:val="en-US"/>
        </w:rPr>
        <w:drawing>
          <wp:inline distT="0" distB="0" distL="0" distR="0" wp14:anchorId="22AB7553" wp14:editId="52C75500">
            <wp:extent cx="4429125" cy="2152650"/>
            <wp:effectExtent l="0" t="0" r="9525" b="0"/>
            <wp:docPr id="141" name="Resi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
                    <pic:cNvPicPr>
                      <a:picLocks noChangeAspect="1" noChangeArrowheads="1"/>
                    </pic:cNvPicPr>
                  </pic:nvPicPr>
                  <pic:blipFill>
                    <a:blip r:embed="rId308">
                      <a:extLst>
                        <a:ext uri="{28A0092B-C50C-407E-A947-70E740481C1C}">
                          <a14:useLocalDpi xmlns:a14="http://schemas.microsoft.com/office/drawing/2010/main" val="0"/>
                        </a:ext>
                      </a:extLst>
                    </a:blip>
                    <a:srcRect l="29593" t="22765" r="12260" b="29906"/>
                    <a:stretch>
                      <a:fillRect/>
                    </a:stretch>
                  </pic:blipFill>
                  <pic:spPr bwMode="auto">
                    <a:xfrm>
                      <a:off x="0" y="0"/>
                      <a:ext cx="4429125" cy="2152650"/>
                    </a:xfrm>
                    <a:prstGeom prst="rect">
                      <a:avLst/>
                    </a:prstGeom>
                    <a:noFill/>
                    <a:ln>
                      <a:noFill/>
                    </a:ln>
                  </pic:spPr>
                </pic:pic>
              </a:graphicData>
            </a:graphic>
          </wp:inline>
        </w:drawing>
      </w:r>
    </w:p>
    <w:p w14:paraId="1D64B4FC" w14:textId="77777777" w:rsidR="002E3F19" w:rsidRPr="006A4DC2" w:rsidRDefault="002E3F19" w:rsidP="002E3F19">
      <w:pPr>
        <w:spacing w:line="240" w:lineRule="auto"/>
        <w:jc w:val="center"/>
        <w:rPr>
          <w:rFonts w:ascii="Times New Roman" w:hAnsi="Times New Roman" w:cs="Times New Roman"/>
          <w:b/>
          <w:color w:val="000000" w:themeColor="text1"/>
        </w:rPr>
      </w:pPr>
      <w:r w:rsidRPr="006A4DC2">
        <w:rPr>
          <w:rFonts w:ascii="Times New Roman" w:hAnsi="Times New Roman" w:cs="Times New Roman"/>
          <w:b/>
          <w:color w:val="000000" w:themeColor="text1"/>
        </w:rPr>
        <w:t>Şekil 6: Türkiye’de E-Ticarette En çok Azalış Gösteren Sektörler</w:t>
      </w:r>
    </w:p>
    <w:p w14:paraId="3B7FECB5" w14:textId="77777777" w:rsidR="002E3F19" w:rsidRPr="006A4DC2" w:rsidRDefault="002E3F19" w:rsidP="002E3F19">
      <w:pPr>
        <w:spacing w:line="240" w:lineRule="auto"/>
        <w:jc w:val="center"/>
        <w:rPr>
          <w:rFonts w:ascii="Times New Roman" w:hAnsi="Times New Roman" w:cs="Times New Roman"/>
          <w:color w:val="000000" w:themeColor="text1"/>
          <w:shd w:val="clear" w:color="auto" w:fill="FFFFFF"/>
        </w:rPr>
      </w:pPr>
      <w:r w:rsidRPr="006A4DC2">
        <w:rPr>
          <w:rFonts w:ascii="Times New Roman" w:hAnsi="Times New Roman" w:cs="Times New Roman"/>
          <w:b/>
          <w:color w:val="000000" w:themeColor="text1"/>
          <w:shd w:val="clear" w:color="auto" w:fill="FFFFFF"/>
        </w:rPr>
        <w:t>Kaynak:</w:t>
      </w:r>
      <w:r w:rsidRPr="006A4DC2">
        <w:rPr>
          <w:rFonts w:ascii="Times New Roman" w:hAnsi="Times New Roman" w:cs="Times New Roman"/>
          <w:color w:val="000000" w:themeColor="text1"/>
          <w:shd w:val="clear" w:color="auto" w:fill="FFFFFF"/>
        </w:rPr>
        <w:t xml:space="preserve"> </w:t>
      </w:r>
      <w:hyperlink r:id="rId309" w:history="1">
        <w:r w:rsidRPr="006A4DC2">
          <w:rPr>
            <w:rStyle w:val="Kpr"/>
            <w:rFonts w:ascii="Times New Roman" w:hAnsi="Times New Roman" w:cs="Times New Roman"/>
            <w:color w:val="000000" w:themeColor="text1"/>
            <w:shd w:val="clear" w:color="auto" w:fill="FFFFFF"/>
          </w:rPr>
          <w:t>https://www.eticaret.gov.tr/istatistikler</w:t>
        </w:r>
      </w:hyperlink>
    </w:p>
    <w:p w14:paraId="35A8A855" w14:textId="77777777" w:rsidR="002E3F19" w:rsidRPr="006A4DC2" w:rsidRDefault="002E3F19" w:rsidP="002E3F19">
      <w:pPr>
        <w:spacing w:line="360" w:lineRule="auto"/>
        <w:jc w:val="both"/>
        <w:rPr>
          <w:rFonts w:ascii="Times New Roman" w:hAnsi="Times New Roman" w:cs="Times New Roman"/>
          <w:color w:val="000000" w:themeColor="text1"/>
          <w:shd w:val="clear" w:color="auto" w:fill="FFFFFF"/>
        </w:rPr>
      </w:pPr>
    </w:p>
    <w:p w14:paraId="224E90C9" w14:textId="77777777" w:rsidR="002E3F19" w:rsidRPr="006A4DC2" w:rsidRDefault="002E3F19" w:rsidP="002E3F19">
      <w:pPr>
        <w:spacing w:line="360" w:lineRule="auto"/>
        <w:ind w:firstLine="708"/>
        <w:jc w:val="both"/>
        <w:rPr>
          <w:rFonts w:ascii="Times New Roman" w:hAnsi="Times New Roman" w:cs="Times New Roman"/>
          <w:color w:val="000000" w:themeColor="text1"/>
          <w:shd w:val="clear" w:color="auto" w:fill="FFFFFF"/>
        </w:rPr>
      </w:pPr>
      <w:r w:rsidRPr="006A4DC2">
        <w:rPr>
          <w:rFonts w:ascii="Times New Roman" w:hAnsi="Times New Roman" w:cs="Times New Roman"/>
          <w:color w:val="000000" w:themeColor="text1"/>
          <w:shd w:val="clear" w:color="auto" w:fill="FFFFFF"/>
        </w:rPr>
        <w:t xml:space="preserve">Şekil 6’da ise Türkiye’de 2019 ve 2020 yıllarının ilk altı ayında e-ticarette en fazla azalış gösteren sektörler yer almaktadır. Şekil 6 incelendiğinde, e-ticarette en fazla azalış gösteren sektörün %51 ile seyahat olduğu görülmektedir. Bunu %42 azalış ile konaklama ve havayolu sektörü, %24 azalış ile eğlence sanat, %10 azalış ile araç kiralama takip etmektedir. </w:t>
      </w:r>
    </w:p>
    <w:p w14:paraId="3B152292" w14:textId="77777777" w:rsidR="002E3F19" w:rsidRPr="006A4DC2" w:rsidRDefault="002E3F19" w:rsidP="002E3F19">
      <w:pPr>
        <w:spacing w:line="360" w:lineRule="auto"/>
        <w:ind w:firstLine="567"/>
        <w:jc w:val="both"/>
        <w:rPr>
          <w:rFonts w:ascii="Times New Roman" w:hAnsi="Times New Roman" w:cs="Times New Roman"/>
          <w:color w:val="000000" w:themeColor="text1"/>
        </w:rPr>
      </w:pPr>
      <w:r w:rsidRPr="006A4DC2">
        <w:rPr>
          <w:rFonts w:ascii="Times New Roman" w:hAnsi="Times New Roman" w:cs="Times New Roman"/>
          <w:color w:val="000000" w:themeColor="text1"/>
          <w:shd w:val="clear" w:color="auto" w:fill="FFFFFF"/>
        </w:rPr>
        <w:t xml:space="preserve">Türkiye’de Covid-19 pandemi sürecince e-ticarette meydana gelen değişimleri değerlendirmek adına Türkiye İstatistik Kurumu (TÜİK) tarafından yayınlanan veriler de ele alınacaktır. </w:t>
      </w:r>
      <w:r w:rsidRPr="006A4DC2">
        <w:rPr>
          <w:rFonts w:ascii="Times New Roman" w:hAnsi="Times New Roman" w:cs="Times New Roman"/>
          <w:color w:val="000000" w:themeColor="text1"/>
        </w:rPr>
        <w:t xml:space="preserve">Dolayısıyla öncelikle Covid-19 pandemi öncesi verilere yer verilecektir. Böylece Tablo 3’te 2019 yılında internet üzerinden satın alınan mal ve hizmet türleri yer almaktadır. </w:t>
      </w:r>
    </w:p>
    <w:p w14:paraId="34DC13AE" w14:textId="77777777" w:rsidR="002E3F19" w:rsidRPr="006A4DC2" w:rsidRDefault="002E3F19" w:rsidP="002E3F19">
      <w:pPr>
        <w:spacing w:line="240" w:lineRule="auto"/>
        <w:ind w:left="567" w:right="426"/>
        <w:jc w:val="center"/>
        <w:rPr>
          <w:rFonts w:ascii="Times New Roman" w:hAnsi="Times New Roman" w:cs="Times New Roman"/>
          <w:b/>
          <w:color w:val="000000" w:themeColor="text1"/>
          <w:shd w:val="clear" w:color="auto" w:fill="FFFFFF"/>
        </w:rPr>
      </w:pPr>
      <w:r w:rsidRPr="006A4DC2">
        <w:rPr>
          <w:rFonts w:ascii="Times New Roman" w:hAnsi="Times New Roman" w:cs="Times New Roman"/>
          <w:b/>
          <w:color w:val="000000" w:themeColor="text1"/>
          <w:shd w:val="clear" w:color="auto" w:fill="FFFFFF"/>
        </w:rPr>
        <w:t>Tablo 3: İnternet Üzerinden Satın Alınan Mal ve Hizmet Türleri</w:t>
      </w:r>
    </w:p>
    <w:p w14:paraId="79EBCF7A" w14:textId="77777777" w:rsidR="002E3F19" w:rsidRPr="006A4DC2" w:rsidRDefault="002E3F19" w:rsidP="002E3F19">
      <w:pPr>
        <w:pBdr>
          <w:top w:val="single" w:sz="4" w:space="1" w:color="auto"/>
          <w:bottom w:val="single" w:sz="4" w:space="1" w:color="auto"/>
        </w:pBdr>
        <w:spacing w:line="276" w:lineRule="auto"/>
        <w:ind w:left="567" w:right="426" w:firstLine="142"/>
        <w:jc w:val="both"/>
        <w:rPr>
          <w:rFonts w:ascii="Times New Roman" w:hAnsi="Times New Roman" w:cs="Times New Roman"/>
          <w:b/>
          <w:color w:val="000000" w:themeColor="text1"/>
          <w:shd w:val="clear" w:color="auto" w:fill="FFFFFF"/>
        </w:rPr>
      </w:pPr>
      <w:r w:rsidRPr="006A4DC2">
        <w:rPr>
          <w:rFonts w:ascii="Times New Roman" w:hAnsi="Times New Roman" w:cs="Times New Roman"/>
          <w:b/>
          <w:color w:val="000000" w:themeColor="text1"/>
          <w:shd w:val="clear" w:color="auto" w:fill="FFFFFF"/>
        </w:rPr>
        <w:t xml:space="preserve">İnternet Üzerinden Satın Alınan Mal ve Hizmet Türleri                                      (2019)                                    </w:t>
      </w:r>
    </w:p>
    <w:p w14:paraId="66837048" w14:textId="77777777" w:rsidR="002E3F19" w:rsidRPr="006A4DC2" w:rsidRDefault="002E3F19" w:rsidP="002E3F19">
      <w:pPr>
        <w:spacing w:line="276" w:lineRule="auto"/>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            Giyim ve Spor Malzemeleri                                                                                          67,2</w:t>
      </w:r>
    </w:p>
    <w:p w14:paraId="5B7768D3" w14:textId="77777777" w:rsidR="002E3F19" w:rsidRPr="006A4DC2" w:rsidRDefault="002E3F19" w:rsidP="002E3F19">
      <w:pPr>
        <w:spacing w:line="276" w:lineRule="auto"/>
        <w:jc w:val="both"/>
        <w:rPr>
          <w:rFonts w:ascii="Times New Roman" w:hAnsi="Times New Roman" w:cs="Times New Roman"/>
          <w:color w:val="000000" w:themeColor="text1"/>
        </w:rPr>
      </w:pPr>
      <w:r w:rsidRPr="006A4DC2">
        <w:rPr>
          <w:rFonts w:ascii="Times New Roman" w:hAnsi="Times New Roman" w:cs="Times New Roman"/>
          <w:color w:val="000000" w:themeColor="text1"/>
        </w:rPr>
        <w:lastRenderedPageBreak/>
        <w:t xml:space="preserve">            Seyahat İle İlgili Faaliyetler (Seyahat Bileti, Araç Kiralama)                                      31,7</w:t>
      </w:r>
    </w:p>
    <w:p w14:paraId="0EFD4B5C" w14:textId="77777777" w:rsidR="002E3F19" w:rsidRPr="006A4DC2" w:rsidRDefault="002E3F19" w:rsidP="002E3F19">
      <w:pPr>
        <w:spacing w:line="276" w:lineRule="auto"/>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            Gıda Maddeleri ve Günlük Gereksinimler                                                                    27,4</w:t>
      </w:r>
    </w:p>
    <w:p w14:paraId="2640C0B2" w14:textId="77777777" w:rsidR="002E3F19" w:rsidRPr="006A4DC2" w:rsidRDefault="002E3F19" w:rsidP="002E3F19">
      <w:pPr>
        <w:spacing w:line="276" w:lineRule="auto"/>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            Ev Eşyası (Mobilya, Oyuncak, Beyaz Eşya, Elektronik Araçlar vb. Hariç)                 26,9</w:t>
      </w:r>
    </w:p>
    <w:p w14:paraId="1D2D2FF4" w14:textId="77777777" w:rsidR="002E3F19" w:rsidRPr="006A4DC2" w:rsidRDefault="002E3F19" w:rsidP="002E3F19">
      <w:pPr>
        <w:tabs>
          <w:tab w:val="left" w:pos="7398"/>
        </w:tabs>
        <w:spacing w:line="276" w:lineRule="auto"/>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            Elektronik Araçlar (Cep Telefonu, Kamera, Radyo, TV, DVD Oynatıcı vb.)              20,3</w:t>
      </w:r>
    </w:p>
    <w:p w14:paraId="69955B76" w14:textId="77777777" w:rsidR="002E3F19" w:rsidRPr="006A4DC2" w:rsidRDefault="002E3F19" w:rsidP="002E3F19">
      <w:pPr>
        <w:tabs>
          <w:tab w:val="left" w:pos="709"/>
        </w:tabs>
        <w:spacing w:line="360" w:lineRule="auto"/>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            Kitap, Dergi, Gazete                                                                                                      20,2</w:t>
      </w:r>
    </w:p>
    <w:p w14:paraId="21E2A412" w14:textId="77777777" w:rsidR="002E3F19" w:rsidRPr="006A4DC2" w:rsidRDefault="002E3F19" w:rsidP="002E3F19">
      <w:pPr>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            Sportif ve Kültürel Faaliyetler İçin Bilet Satın Alımı                                                   18,0</w:t>
      </w:r>
    </w:p>
    <w:p w14:paraId="0EBD1717" w14:textId="77777777" w:rsidR="002E3F19" w:rsidRPr="006A4DC2" w:rsidRDefault="002E3F19" w:rsidP="002E3F19">
      <w:pPr>
        <w:spacing w:line="360" w:lineRule="auto"/>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            (Sinema, Tiyatro, Konser, Maç, vb.)                                                                                   </w:t>
      </w:r>
    </w:p>
    <w:p w14:paraId="072B8AF3" w14:textId="77777777" w:rsidR="002E3F19" w:rsidRPr="006A4DC2" w:rsidRDefault="002E3F19" w:rsidP="002E3F19">
      <w:pPr>
        <w:tabs>
          <w:tab w:val="left" w:pos="8080"/>
        </w:tabs>
        <w:spacing w:line="276" w:lineRule="auto"/>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            Telekomünikasyon Hizmetleri                                                                                      15,3                                                                                    </w:t>
      </w:r>
    </w:p>
    <w:p w14:paraId="2C7E4B98" w14:textId="77777777" w:rsidR="002E3F19" w:rsidRPr="006A4DC2" w:rsidRDefault="002E3F19" w:rsidP="002E3F19">
      <w:pPr>
        <w:tabs>
          <w:tab w:val="left" w:pos="7465"/>
        </w:tabs>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            (TV; İnternet, Sabit Ve Cep Telefonu Abonelik Hizmetleri,                                              </w:t>
      </w:r>
    </w:p>
    <w:p w14:paraId="0426CC5B" w14:textId="77777777" w:rsidR="002E3F19" w:rsidRPr="006A4DC2" w:rsidRDefault="002E3F19" w:rsidP="002E3F19">
      <w:pPr>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            Örn. Ödemeli Telefon Kartları İçin Para Yükleme/Yatırma)</w:t>
      </w:r>
    </w:p>
    <w:p w14:paraId="5F7A7322" w14:textId="77777777" w:rsidR="002E3F19" w:rsidRPr="006A4DC2" w:rsidRDefault="002E3F19" w:rsidP="002E3F19">
      <w:pPr>
        <w:tabs>
          <w:tab w:val="left" w:pos="709"/>
        </w:tabs>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            Tatil Konaklaması (Otel vb. Rezervasyon)                                                                   14,8</w:t>
      </w:r>
    </w:p>
    <w:p w14:paraId="779FC267" w14:textId="77777777" w:rsidR="002E3F19" w:rsidRPr="006A4DC2" w:rsidRDefault="002E3F19" w:rsidP="002E3F19">
      <w:pPr>
        <w:tabs>
          <w:tab w:val="left" w:pos="7398"/>
        </w:tabs>
        <w:spacing w:line="360" w:lineRule="auto"/>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            Bilgisayar Ve Diğer Ek Donanım                                                                                 12,1</w:t>
      </w:r>
    </w:p>
    <w:p w14:paraId="46F1EE91" w14:textId="77777777" w:rsidR="002E3F19" w:rsidRPr="006A4DC2" w:rsidRDefault="002E3F19" w:rsidP="002E3F19">
      <w:pPr>
        <w:spacing w:line="360" w:lineRule="auto"/>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            Fim, Müzik                                                                                                                    9,0</w:t>
      </w:r>
    </w:p>
    <w:p w14:paraId="4A5A01F9" w14:textId="77777777" w:rsidR="002E3F19" w:rsidRPr="006A4DC2" w:rsidRDefault="002E3F19" w:rsidP="002E3F19">
      <w:pPr>
        <w:tabs>
          <w:tab w:val="left" w:pos="7398"/>
        </w:tabs>
        <w:spacing w:line="276" w:lineRule="auto"/>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           Oyun Yazılımı, Diğer Bilgisayar Yazılımı Ve Yazılım Güncellemeleri                       6,6</w:t>
      </w:r>
    </w:p>
    <w:p w14:paraId="7A0A8A5D" w14:textId="77777777" w:rsidR="002E3F19" w:rsidRPr="006A4DC2" w:rsidRDefault="002E3F19" w:rsidP="002E3F19">
      <w:pPr>
        <w:spacing w:line="276" w:lineRule="auto"/>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           İlaç                                                                                                                                  4,1</w:t>
      </w:r>
    </w:p>
    <w:p w14:paraId="016B1AFC" w14:textId="77777777" w:rsidR="002E3F19" w:rsidRPr="006A4DC2" w:rsidRDefault="002E3F19" w:rsidP="002E3F19">
      <w:pPr>
        <w:pBdr>
          <w:bottom w:val="single" w:sz="4" w:space="1" w:color="auto"/>
        </w:pBdr>
        <w:tabs>
          <w:tab w:val="left" w:pos="567"/>
          <w:tab w:val="left" w:pos="8080"/>
        </w:tabs>
        <w:ind w:left="567" w:right="426"/>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 E-Öğrenme Araçları                                                                                                       3,3</w:t>
      </w:r>
    </w:p>
    <w:p w14:paraId="04F6D924" w14:textId="77777777" w:rsidR="002E3F19" w:rsidRPr="006A4DC2" w:rsidRDefault="002E3F19" w:rsidP="002E3F19">
      <w:pPr>
        <w:spacing w:line="360" w:lineRule="auto"/>
        <w:jc w:val="center"/>
        <w:rPr>
          <w:rFonts w:ascii="Times New Roman" w:hAnsi="Times New Roman" w:cs="Times New Roman"/>
          <w:color w:val="000000" w:themeColor="text1"/>
        </w:rPr>
      </w:pPr>
      <w:r w:rsidRPr="006A4DC2">
        <w:rPr>
          <w:rFonts w:ascii="Times New Roman" w:hAnsi="Times New Roman" w:cs="Times New Roman"/>
          <w:b/>
          <w:color w:val="000000" w:themeColor="text1"/>
        </w:rPr>
        <w:t>Kaynak: TÜİK (2019)</w:t>
      </w:r>
      <w:r w:rsidRPr="006A4DC2">
        <w:rPr>
          <w:rFonts w:ascii="Times New Roman" w:hAnsi="Times New Roman" w:cs="Times New Roman"/>
          <w:color w:val="000000" w:themeColor="text1"/>
        </w:rPr>
        <w:t xml:space="preserve"> </w:t>
      </w:r>
      <w:r w:rsidRPr="006A4DC2">
        <w:rPr>
          <w:rFonts w:ascii="Times New Roman" w:hAnsi="Times New Roman" w:cs="Times New Roman"/>
          <w:color w:val="000000" w:themeColor="text1"/>
          <w:u w:val="single"/>
        </w:rPr>
        <w:t>https://data.tuik.gov.tr/Bulten/Index?p=Hanehalki-Bilisim-Teknolojileri-(BT)-Kullanim-Arastirmasi-2019-30574</w:t>
      </w:r>
    </w:p>
    <w:p w14:paraId="0CF4F846" w14:textId="77777777" w:rsidR="002E3F19" w:rsidRPr="006A4DC2" w:rsidRDefault="002E3F19" w:rsidP="002E3F19">
      <w:pPr>
        <w:spacing w:line="360" w:lineRule="auto"/>
        <w:ind w:firstLine="708"/>
        <w:jc w:val="both"/>
        <w:rPr>
          <w:rFonts w:ascii="Times New Roman" w:hAnsi="Times New Roman" w:cs="Times New Roman"/>
          <w:color w:val="000000" w:themeColor="text1"/>
        </w:rPr>
      </w:pPr>
      <w:r w:rsidRPr="006A4DC2">
        <w:rPr>
          <w:rFonts w:ascii="Times New Roman" w:hAnsi="Times New Roman" w:cs="Times New Roman"/>
          <w:color w:val="000000" w:themeColor="text1"/>
        </w:rPr>
        <w:t>Tablo 3 incelendiğinde, 2019 yılında internet üzerinden en fazla satın alınan ürün grubunun giyim ve spor malzemeleri (%67,2) olduğu görülmektedir. İkinci sırada seyahat bileti ve araç kiralama gibi seyahat ile ilgili faaliyetler (31,7) yer alırken, üçüncü sırada gıda maddeleri ve günlük gereksinimlerin (%27,4) yer aldığı görülmektedir. Ayrıca sinema, tiyatro, maç gibi sportif ve kültürel faaliyetler için bilet satın alımının %18, otel rezervasyonu gibi tatil konaklamalarının %14,8, ilaç %4,1 olduğu görülmektedir.</w:t>
      </w:r>
    </w:p>
    <w:p w14:paraId="2CE54B43" w14:textId="722587FF" w:rsidR="002E3F19" w:rsidRPr="006A4DC2" w:rsidRDefault="002E3F19" w:rsidP="002E3F19">
      <w:pPr>
        <w:spacing w:line="360" w:lineRule="auto"/>
        <w:ind w:firstLine="708"/>
        <w:jc w:val="both"/>
        <w:rPr>
          <w:rFonts w:ascii="Times New Roman" w:hAnsi="Times New Roman" w:cs="Times New Roman"/>
          <w:color w:val="000000" w:themeColor="text1"/>
        </w:rPr>
      </w:pPr>
      <w:r w:rsidRPr="006A4DC2">
        <w:rPr>
          <w:rFonts w:ascii="Times New Roman" w:hAnsi="Times New Roman" w:cs="Times New Roman"/>
          <w:color w:val="000000" w:themeColor="text1"/>
        </w:rPr>
        <w:t>Covid-19 pandemi öncesi (2019) internet üzerinden alınan mal ve hizmet türleri ele alındıktan sonra şimdi de pandemi sürecinde internet üzerinden satın alınan mal ve hizmet türlerine ait TÜİK verilerine yer verilecektir. Dolayısıyla Tablo 4’te 2020 yılında internet üzerinden satın alınan mal ve hizmet türleri yer almaktadır.</w:t>
      </w:r>
    </w:p>
    <w:p w14:paraId="73851BE4" w14:textId="77777777" w:rsidR="002E3F19" w:rsidRPr="006A4DC2" w:rsidRDefault="002E3F19" w:rsidP="002E3F19">
      <w:pPr>
        <w:spacing w:line="240" w:lineRule="auto"/>
        <w:jc w:val="center"/>
        <w:rPr>
          <w:rFonts w:ascii="Times New Roman" w:hAnsi="Times New Roman" w:cs="Times New Roman"/>
          <w:b/>
          <w:color w:val="000000" w:themeColor="text1"/>
        </w:rPr>
      </w:pPr>
      <w:r w:rsidRPr="006A4DC2">
        <w:rPr>
          <w:rFonts w:ascii="Times New Roman" w:hAnsi="Times New Roman" w:cs="Times New Roman"/>
          <w:b/>
          <w:color w:val="000000" w:themeColor="text1"/>
        </w:rPr>
        <w:t>Tablo 4: İnternet Üzerinden Satın Alınan Mal Ve Hizmet Türleri (2020)</w:t>
      </w:r>
    </w:p>
    <w:p w14:paraId="548BE1FA" w14:textId="77777777" w:rsidR="002E3F19" w:rsidRPr="006A4DC2" w:rsidRDefault="002E3F19" w:rsidP="002E3F19">
      <w:pPr>
        <w:pBdr>
          <w:top w:val="single" w:sz="4" w:space="1" w:color="auto"/>
          <w:bottom w:val="single" w:sz="4" w:space="1" w:color="auto"/>
        </w:pBdr>
        <w:spacing w:line="240" w:lineRule="auto"/>
        <w:ind w:left="567" w:right="426"/>
        <w:jc w:val="center"/>
        <w:rPr>
          <w:rFonts w:ascii="Times New Roman" w:hAnsi="Times New Roman" w:cs="Times New Roman"/>
          <w:b/>
          <w:color w:val="000000" w:themeColor="text1"/>
          <w:shd w:val="clear" w:color="auto" w:fill="FFFFFF"/>
        </w:rPr>
      </w:pPr>
      <w:r w:rsidRPr="006A4DC2">
        <w:rPr>
          <w:rFonts w:ascii="Times New Roman" w:hAnsi="Times New Roman" w:cs="Times New Roman"/>
          <w:b/>
          <w:color w:val="000000" w:themeColor="text1"/>
          <w:shd w:val="clear" w:color="auto" w:fill="FFFFFF"/>
        </w:rPr>
        <w:lastRenderedPageBreak/>
        <w:t>İnternet Üzerinden Satın Alınan Mal ve Hizmet Türleri                             (2020)</w:t>
      </w:r>
    </w:p>
    <w:p w14:paraId="1569203F" w14:textId="77777777" w:rsidR="002E3F19" w:rsidRPr="006A4DC2" w:rsidRDefault="002E3F19" w:rsidP="002E3F19">
      <w:pPr>
        <w:spacing w:line="360" w:lineRule="auto"/>
        <w:jc w:val="both"/>
        <w:rPr>
          <w:rFonts w:ascii="Times New Roman" w:hAnsi="Times New Roman" w:cs="Times New Roman"/>
          <w:color w:val="000000" w:themeColor="text1"/>
        </w:rPr>
      </w:pPr>
      <w:r w:rsidRPr="006A4DC2">
        <w:rPr>
          <w:rFonts w:ascii="Times New Roman" w:hAnsi="Times New Roman" w:cs="Times New Roman"/>
          <w:b/>
          <w:color w:val="000000" w:themeColor="text1"/>
          <w:shd w:val="clear" w:color="auto" w:fill="FFFFFF"/>
        </w:rPr>
        <w:t xml:space="preserve">          </w:t>
      </w:r>
      <w:r w:rsidRPr="006A4DC2">
        <w:rPr>
          <w:rFonts w:ascii="Times New Roman" w:hAnsi="Times New Roman" w:cs="Times New Roman"/>
          <w:color w:val="000000" w:themeColor="text1"/>
        </w:rPr>
        <w:t>Giyim (Spor Giyim Dahil), Ayakkabı Ve Aksesuar (Çanta, Takı vd.)                        60,9</w:t>
      </w:r>
    </w:p>
    <w:p w14:paraId="7D06BDFD" w14:textId="77777777" w:rsidR="002E3F19" w:rsidRPr="006A4DC2" w:rsidRDefault="002E3F19" w:rsidP="002E3F19">
      <w:pPr>
        <w:spacing w:line="360" w:lineRule="auto"/>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          Basılı Kitap, Dergi, Gazete (E-Kitap Hariç)                                                                 26,1</w:t>
      </w:r>
    </w:p>
    <w:p w14:paraId="06B3A074" w14:textId="77777777" w:rsidR="002E3F19" w:rsidRPr="006A4DC2" w:rsidRDefault="002E3F19" w:rsidP="002E3F19">
      <w:pPr>
        <w:spacing w:line="360" w:lineRule="auto"/>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          Çevrimiçi Yemek Siparişi Verme                                                                                 22,5</w:t>
      </w:r>
    </w:p>
    <w:p w14:paraId="341F3A43" w14:textId="77777777" w:rsidR="002E3F19" w:rsidRPr="006A4DC2" w:rsidRDefault="002E3F19" w:rsidP="002E3F19">
      <w:pPr>
        <w:tabs>
          <w:tab w:val="left" w:pos="567"/>
        </w:tabs>
        <w:spacing w:line="360" w:lineRule="auto"/>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          Kozmetik, Güzellik Ve Sağlık Ürünleri                                                                        21,1</w:t>
      </w:r>
    </w:p>
    <w:p w14:paraId="2D0AF80E" w14:textId="77777777" w:rsidR="002E3F19" w:rsidRPr="006A4DC2" w:rsidRDefault="002E3F19" w:rsidP="002E3F19">
      <w:pPr>
        <w:tabs>
          <w:tab w:val="left" w:pos="426"/>
          <w:tab w:val="left" w:pos="8080"/>
        </w:tabs>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          Temizlik Ürünleri, Kişisel Bakım Malzemeleri                                                            17,6</w:t>
      </w:r>
    </w:p>
    <w:p w14:paraId="18DAF127" w14:textId="77777777" w:rsidR="002E3F19" w:rsidRPr="006A4DC2" w:rsidRDefault="002E3F19" w:rsidP="002E3F19">
      <w:pPr>
        <w:tabs>
          <w:tab w:val="left" w:pos="567"/>
        </w:tabs>
        <w:spacing w:line="360" w:lineRule="auto"/>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          (Deterjan, Temizlik Bezleri, Diş Fırçası, Hijyenik Ürünler vb.) </w:t>
      </w:r>
    </w:p>
    <w:p w14:paraId="22622442" w14:textId="77777777" w:rsidR="002E3F19" w:rsidRPr="006A4DC2" w:rsidRDefault="002E3F19" w:rsidP="002E3F19">
      <w:pPr>
        <w:tabs>
          <w:tab w:val="left" w:pos="7938"/>
        </w:tabs>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          Mobilya, Ev Aksesuarları (Halı, Perde vs.)                                                                  17,0</w:t>
      </w:r>
    </w:p>
    <w:p w14:paraId="2A15CF92" w14:textId="77777777" w:rsidR="002E3F19" w:rsidRPr="006A4DC2" w:rsidRDefault="002E3F19" w:rsidP="002E3F19">
      <w:pPr>
        <w:tabs>
          <w:tab w:val="left" w:pos="567"/>
        </w:tabs>
        <w:spacing w:line="360" w:lineRule="auto"/>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          Bahçe Malzemeleri (Bahçe Bitkileri, Aletleri vb.) </w:t>
      </w:r>
    </w:p>
    <w:p w14:paraId="21C8D47B" w14:textId="77777777" w:rsidR="002E3F19" w:rsidRPr="006A4DC2" w:rsidRDefault="002E3F19" w:rsidP="002E3F19">
      <w:pPr>
        <w:tabs>
          <w:tab w:val="left" w:pos="7938"/>
        </w:tabs>
        <w:spacing w:line="360" w:lineRule="auto"/>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          Bilgisayar, Tablet, Cep Telefonu veya Aksesuarları                                                    14,8</w:t>
      </w:r>
    </w:p>
    <w:p w14:paraId="308C2E41" w14:textId="77777777" w:rsidR="002E3F19" w:rsidRPr="006A4DC2" w:rsidRDefault="002E3F19" w:rsidP="002E3F19">
      <w:pPr>
        <w:tabs>
          <w:tab w:val="left" w:pos="7398"/>
        </w:tabs>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          Elektronik Araçlar (Kamera, Radyo, TV, DVD Oynatıcı vb.)                                     13,9</w:t>
      </w:r>
    </w:p>
    <w:p w14:paraId="0CD7369A" w14:textId="77777777" w:rsidR="002E3F19" w:rsidRPr="006A4DC2" w:rsidRDefault="002E3F19" w:rsidP="002E3F19">
      <w:pPr>
        <w:spacing w:line="360" w:lineRule="auto"/>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          Beyaz Ev Eşyaları (Çamaşır Makinesi, Bulaşık Makinesi, Buzdolabı vb.)  </w:t>
      </w:r>
    </w:p>
    <w:p w14:paraId="37567442" w14:textId="77777777" w:rsidR="002E3F19" w:rsidRPr="006A4DC2" w:rsidRDefault="002E3F19" w:rsidP="002E3F19">
      <w:pPr>
        <w:tabs>
          <w:tab w:val="left" w:pos="7938"/>
        </w:tabs>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          Çocuk Oyuncakları veya Çocuk Bakım Ürünleri                                                         13,5</w:t>
      </w:r>
    </w:p>
    <w:p w14:paraId="0AB6D84E" w14:textId="77777777" w:rsidR="002E3F19" w:rsidRPr="006A4DC2" w:rsidRDefault="002E3F19" w:rsidP="002E3F19">
      <w:pPr>
        <w:spacing w:line="360" w:lineRule="auto"/>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          (Çocuk Bezi, Biberon, Bebek Arabası vb.)         </w:t>
      </w:r>
    </w:p>
    <w:p w14:paraId="2394D106" w14:textId="77777777" w:rsidR="002E3F19" w:rsidRPr="006A4DC2" w:rsidRDefault="002E3F19" w:rsidP="002E3F19">
      <w:pPr>
        <w:tabs>
          <w:tab w:val="left" w:pos="7938"/>
        </w:tabs>
        <w:spacing w:line="360" w:lineRule="auto"/>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          Spor Malzemeleri (Spor Giyim Hariç)                                                                         10,7</w:t>
      </w:r>
    </w:p>
    <w:p w14:paraId="1F239EDC" w14:textId="77777777" w:rsidR="002E3F19" w:rsidRPr="006A4DC2" w:rsidRDefault="002E3F19" w:rsidP="002E3F19">
      <w:pPr>
        <w:tabs>
          <w:tab w:val="left" w:pos="7500"/>
        </w:tabs>
        <w:spacing w:line="360" w:lineRule="auto"/>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          İlaç veya Gıda Takviyeleri (Vitaminler, Mineraller, Doğal Ürünler vb.                       7,1</w:t>
      </w:r>
    </w:p>
    <w:p w14:paraId="349222EF" w14:textId="77777777" w:rsidR="002E3F19" w:rsidRPr="006A4DC2" w:rsidRDefault="002E3F19" w:rsidP="002E3F19">
      <w:pPr>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          (İstenilen Ölçüde Yemek Hazırlayabilmeye Yetecek, içerisinde yemek tarifi              5,7</w:t>
      </w:r>
    </w:p>
    <w:p w14:paraId="6552E976" w14:textId="77777777" w:rsidR="002E3F19" w:rsidRPr="006A4DC2" w:rsidRDefault="002E3F19" w:rsidP="002E3F19">
      <w:pPr>
        <w:tabs>
          <w:tab w:val="left" w:pos="7540"/>
        </w:tabs>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          ile birlikte temin edilebilen Hazırlanmış Taze Gıda veya İçecek Gibi Malzemeler)                                                     </w:t>
      </w:r>
    </w:p>
    <w:p w14:paraId="38D34E60" w14:textId="77777777" w:rsidR="002E3F19" w:rsidRPr="006A4DC2" w:rsidRDefault="002E3F19" w:rsidP="002E3F19">
      <w:pPr>
        <w:tabs>
          <w:tab w:val="left" w:pos="7540"/>
        </w:tabs>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          Bisiklet, Motosiklet, Araba veya Diğer Araçlar ile Bu Araçların Yedek Parçaları       4,1</w:t>
      </w:r>
    </w:p>
    <w:p w14:paraId="1D72920B" w14:textId="77777777" w:rsidR="002E3F19" w:rsidRPr="006A4DC2" w:rsidRDefault="002E3F19" w:rsidP="002E3F19">
      <w:pPr>
        <w:spacing w:line="360" w:lineRule="auto"/>
        <w:ind w:left="284" w:right="426"/>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     Cd, Plak gibi Müzik Ürünleri                                                                                         1,5</w:t>
      </w:r>
    </w:p>
    <w:p w14:paraId="4F596951" w14:textId="77777777" w:rsidR="002E3F19" w:rsidRPr="006A4DC2" w:rsidRDefault="002E3F19" w:rsidP="002E3F19">
      <w:pPr>
        <w:pBdr>
          <w:bottom w:val="single" w:sz="4" w:space="1" w:color="auto"/>
        </w:pBdr>
        <w:tabs>
          <w:tab w:val="left" w:pos="567"/>
          <w:tab w:val="left" w:pos="7938"/>
          <w:tab w:val="left" w:pos="8789"/>
        </w:tabs>
        <w:spacing w:line="360" w:lineRule="auto"/>
        <w:ind w:left="284" w:right="426"/>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     DVD, Blu-Ray vb. Film İzleme Ürünleri                                                                       0,8</w:t>
      </w:r>
    </w:p>
    <w:p w14:paraId="342A208B" w14:textId="77777777" w:rsidR="002E3F19" w:rsidRPr="006A4DC2" w:rsidRDefault="002E3F19" w:rsidP="002E3F19">
      <w:pPr>
        <w:spacing w:line="360" w:lineRule="auto"/>
        <w:jc w:val="center"/>
        <w:rPr>
          <w:rFonts w:ascii="Times New Roman" w:hAnsi="Times New Roman" w:cs="Times New Roman"/>
          <w:color w:val="000000" w:themeColor="text1"/>
        </w:rPr>
      </w:pPr>
      <w:r w:rsidRPr="006A4DC2">
        <w:rPr>
          <w:rFonts w:ascii="Times New Roman" w:hAnsi="Times New Roman" w:cs="Times New Roman"/>
          <w:b/>
          <w:color w:val="000000" w:themeColor="text1"/>
        </w:rPr>
        <w:t>Kaynak:</w:t>
      </w:r>
      <w:r w:rsidRPr="006A4DC2">
        <w:rPr>
          <w:rFonts w:ascii="Times New Roman" w:hAnsi="Times New Roman" w:cs="Times New Roman"/>
          <w:color w:val="000000" w:themeColor="text1"/>
        </w:rPr>
        <w:t xml:space="preserve"> TÜİK (2020) </w:t>
      </w:r>
      <w:hyperlink r:id="rId310" w:history="1">
        <w:r w:rsidRPr="006A4DC2">
          <w:rPr>
            <w:rStyle w:val="Kpr"/>
            <w:rFonts w:ascii="Times New Roman" w:hAnsi="Times New Roman" w:cs="Times New Roman"/>
            <w:color w:val="000000" w:themeColor="text1"/>
          </w:rPr>
          <w:t>https://data.tuik.gov.tr/Bulten/Index?p=Hanehalki-Bilisim-     Teknolojileri-(BT)-Kullanim-Arastirmasi-2020-33679</w:t>
        </w:r>
      </w:hyperlink>
    </w:p>
    <w:p w14:paraId="4F2F3F59" w14:textId="77777777" w:rsidR="002E3F19" w:rsidRPr="006A4DC2" w:rsidRDefault="002E3F19" w:rsidP="002E3F19">
      <w:pPr>
        <w:spacing w:line="360" w:lineRule="auto"/>
        <w:ind w:firstLine="708"/>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Tablo 4 incelendiğinde, 2020 yılında internet üzerinden en fazla satın alınan ürün grubunun giyim (spor giyim dâhil), ayakkabı ve çanta, takı gibi aksesuarlar (60,9) olduğu görülmektedir. Bunun yanı sıra, 2020 yılında internet üzerinden basılı kitap, dergi ya da gazete satın alınma oranı %26,1, çevrimiçi yemek siparişi verme 22,5, kozmetik, güzellik ve sağlık </w:t>
      </w:r>
      <w:r w:rsidRPr="006A4DC2">
        <w:rPr>
          <w:rFonts w:ascii="Times New Roman" w:hAnsi="Times New Roman" w:cs="Times New Roman"/>
          <w:color w:val="000000" w:themeColor="text1"/>
        </w:rPr>
        <w:lastRenderedPageBreak/>
        <w:t xml:space="preserve">ürünleri %21,1, temizlik ürünleri, kişisel bakım malzemeleri %17,6 olduğu görülmektedir. Ayrıca mobilya ve ev aksesuarlarının internet üzerinden satın alınma oranı %17, bilgisayar, tablet, cep telefonu veya aksesuarlarının %14,8, elektronik araçlar ve beyaz ev eşyasının %13,9, çocuk oyuncakları veya çocuk bakım ürünlerinin %13,5, spor malzemelerinin %10,7, ilaç veya gıda takviyelerinin %7,1 olduğu görülmektedir. </w:t>
      </w:r>
    </w:p>
    <w:p w14:paraId="629E24C7" w14:textId="77777777" w:rsidR="002E3F19" w:rsidRPr="006A4DC2" w:rsidRDefault="002E3F19" w:rsidP="002E3F19">
      <w:pPr>
        <w:spacing w:line="360" w:lineRule="auto"/>
        <w:ind w:firstLine="708"/>
        <w:jc w:val="both"/>
        <w:rPr>
          <w:rFonts w:ascii="Times New Roman" w:hAnsi="Times New Roman" w:cs="Times New Roman"/>
          <w:color w:val="000000" w:themeColor="text1"/>
        </w:rPr>
      </w:pPr>
      <w:r w:rsidRPr="006A4DC2">
        <w:rPr>
          <w:rFonts w:ascii="Times New Roman" w:hAnsi="Times New Roman" w:cs="Times New Roman"/>
          <w:color w:val="000000" w:themeColor="text1"/>
        </w:rPr>
        <w:t>Tablo 3 ve Tablo 4’te yer alan Tüik verilerinden aşağıdaki grafik oluşturulmuştur. Grafik 1’de 2019 ve 2020 yıllarında internet üzerinden satın alınan mal ve hizmetlerin karşılaştırılması yapılmıştır. Grafik 1 incelendiğinde, 2020 yılında giyim ve spor malzemeleri, basılı kitap, dergi veya gazete, mobilya, çocuk oyuncakları, çocuk bakım ürünleri, beyaz eşya, elektronik araç ve ilaç gibi ürün gruplarının internet üzerinden satın alımlarında 2019 yılına göre artış olduğu görülmektedir.</w:t>
      </w:r>
    </w:p>
    <w:p w14:paraId="67F5D243" w14:textId="77777777" w:rsidR="002E3F19" w:rsidRPr="006A4DC2" w:rsidRDefault="002E3F19" w:rsidP="002E3F19">
      <w:pPr>
        <w:tabs>
          <w:tab w:val="left" w:pos="7398"/>
        </w:tabs>
        <w:spacing w:line="360" w:lineRule="auto"/>
        <w:jc w:val="both"/>
        <w:rPr>
          <w:rFonts w:ascii="Times New Roman" w:hAnsi="Times New Roman" w:cs="Times New Roman"/>
          <w:b/>
          <w:color w:val="000000" w:themeColor="text1"/>
        </w:rPr>
      </w:pPr>
      <w:r w:rsidRPr="006A4DC2">
        <w:rPr>
          <w:rFonts w:ascii="Times New Roman" w:hAnsi="Times New Roman" w:cs="Times New Roman"/>
          <w:b/>
          <w:color w:val="000000" w:themeColor="text1"/>
        </w:rPr>
        <w:t xml:space="preserve">        Grafik 1: İnternet Üzerinden Satın Alınan Mal ve Hizmet Karşılaştırması (2019-2020)</w:t>
      </w:r>
    </w:p>
    <w:p w14:paraId="5C904ABA" w14:textId="1B48C98D" w:rsidR="002E3F19" w:rsidRPr="006A4DC2" w:rsidRDefault="002E3F19" w:rsidP="002E3F19">
      <w:pPr>
        <w:tabs>
          <w:tab w:val="left" w:pos="7398"/>
        </w:tabs>
        <w:spacing w:line="360" w:lineRule="auto"/>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               </w:t>
      </w:r>
      <w:r w:rsidRPr="006A4DC2">
        <w:rPr>
          <w:rFonts w:ascii="Times New Roman" w:hAnsi="Times New Roman" w:cs="Times New Roman"/>
          <w:noProof/>
          <w:color w:val="000000" w:themeColor="text1"/>
          <w:lang w:val="en-US"/>
        </w:rPr>
        <w:drawing>
          <wp:inline distT="0" distB="0" distL="0" distR="0" wp14:anchorId="26C0C3BA" wp14:editId="1B9AC373">
            <wp:extent cx="4457700" cy="2381250"/>
            <wp:effectExtent l="0" t="0" r="0" b="0"/>
            <wp:docPr id="140" name="Resim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çerik Yer Tutucusu 3"/>
                    <pic:cNvPicPr>
                      <a:picLocks noChangeAspect="1" noChangeArrowheads="1"/>
                    </pic:cNvPicPr>
                  </pic:nvPicPr>
                  <pic:blipFill>
                    <a:blip r:embed="rId311">
                      <a:extLst>
                        <a:ext uri="{28A0092B-C50C-407E-A947-70E740481C1C}">
                          <a14:useLocalDpi xmlns:a14="http://schemas.microsoft.com/office/drawing/2010/main" val="0"/>
                        </a:ext>
                      </a:extLst>
                    </a:blip>
                    <a:srcRect l="32735" t="40314" r="30685" b="29826"/>
                    <a:stretch>
                      <a:fillRect/>
                    </a:stretch>
                  </pic:blipFill>
                  <pic:spPr bwMode="auto">
                    <a:xfrm>
                      <a:off x="0" y="0"/>
                      <a:ext cx="4457700" cy="2381250"/>
                    </a:xfrm>
                    <a:prstGeom prst="rect">
                      <a:avLst/>
                    </a:prstGeom>
                    <a:noFill/>
                    <a:ln>
                      <a:noFill/>
                    </a:ln>
                  </pic:spPr>
                </pic:pic>
              </a:graphicData>
            </a:graphic>
          </wp:inline>
        </w:drawing>
      </w:r>
    </w:p>
    <w:p w14:paraId="268F9B1D" w14:textId="77777777" w:rsidR="002E3F19" w:rsidRPr="006A4DC2" w:rsidRDefault="002E3F19" w:rsidP="002E3F19">
      <w:pPr>
        <w:spacing w:line="360" w:lineRule="auto"/>
        <w:ind w:firstLine="708"/>
        <w:jc w:val="both"/>
        <w:rPr>
          <w:rFonts w:ascii="Times New Roman" w:hAnsi="Times New Roman" w:cs="Times New Roman"/>
          <w:b/>
          <w:color w:val="000000" w:themeColor="text1"/>
        </w:rPr>
      </w:pPr>
      <w:r w:rsidRPr="006A4DC2">
        <w:rPr>
          <w:rFonts w:ascii="Times New Roman" w:hAnsi="Times New Roman" w:cs="Times New Roman"/>
          <w:b/>
          <w:color w:val="000000" w:themeColor="text1"/>
        </w:rPr>
        <w:t>TARTIŞMA VE SONUÇ</w:t>
      </w:r>
    </w:p>
    <w:p w14:paraId="6E3E5D55" w14:textId="77777777" w:rsidR="002E3F19" w:rsidRPr="006A4DC2" w:rsidRDefault="002E3F19" w:rsidP="002E3F19">
      <w:pPr>
        <w:spacing w:line="360" w:lineRule="auto"/>
        <w:ind w:firstLine="708"/>
        <w:jc w:val="both"/>
        <w:rPr>
          <w:rFonts w:ascii="Times New Roman" w:hAnsi="Times New Roman" w:cs="Times New Roman"/>
          <w:color w:val="000000" w:themeColor="text1"/>
        </w:rPr>
      </w:pPr>
      <w:r w:rsidRPr="006A4DC2">
        <w:rPr>
          <w:rFonts w:ascii="Times New Roman" w:hAnsi="Times New Roman" w:cs="Times New Roman"/>
          <w:color w:val="000000" w:themeColor="text1"/>
        </w:rPr>
        <w:t>Bu çalışmada Covid-19 ile birlikte Türkiye’de e-ticarete meydana gelen değişimler araştırılmıştır. Aynı zamanda pandemi sürecinde e-ticarette ürün ve sektör bazında meydana gelen tüketici talep değişiklikleri değerlendirilmiştir. Bunun için TÜİK ve Ticaret Bakanlığı’nın yayınlamış olduğu veriler kullanılmıştır.</w:t>
      </w:r>
    </w:p>
    <w:p w14:paraId="698F6FC0" w14:textId="77777777" w:rsidR="002E3F19" w:rsidRPr="006A4DC2" w:rsidRDefault="002E3F19" w:rsidP="002E3F19">
      <w:pPr>
        <w:spacing w:line="360" w:lineRule="auto"/>
        <w:ind w:firstLine="708"/>
        <w:jc w:val="both"/>
        <w:rPr>
          <w:rFonts w:ascii="Times New Roman" w:hAnsi="Times New Roman" w:cs="Times New Roman"/>
          <w:color w:val="000000" w:themeColor="text1"/>
        </w:rPr>
      </w:pPr>
      <w:r w:rsidRPr="006A4DC2">
        <w:rPr>
          <w:rFonts w:ascii="Times New Roman" w:hAnsi="Times New Roman" w:cs="Times New Roman"/>
          <w:color w:val="000000" w:themeColor="text1"/>
        </w:rPr>
        <w:t xml:space="preserve">Çalışmada yer alan veriler incelendiğinde, Türkiye’de Covid-19 ile birlikte internet erişimi olmayan birçok haneye internet erişiminin gerçekleştiği ve aynı zamanda bireylerin internet kullanım oranlarının da pandemi sürecinde artış gösterdiği söylenebilmektedir. Türkiye’de pandemi öncesinde tüketicilerin e-ticaret alışverişi yaptığı görülse de pandemi </w:t>
      </w:r>
      <w:r w:rsidRPr="006A4DC2">
        <w:rPr>
          <w:rFonts w:ascii="Times New Roman" w:hAnsi="Times New Roman" w:cs="Times New Roman"/>
          <w:color w:val="000000" w:themeColor="text1"/>
        </w:rPr>
        <w:lastRenderedPageBreak/>
        <w:t xml:space="preserve">sürecinde alınan önlemlerin de etkisiyle toplu alanlardan uzak durmaya gayret eden tüketicilerin fiziksel mağazalar yerine çevrimiçi mağazaları daha çok tercih ettikleri söylenebilmektedir. Dolayısıyla pandemi ile birlikte ülkemizde ticaretin fiziksel ortamdan sanal ortama doğru kayma gösterdiği söylenebilmektedir. Türkiye’de pandemi sürecinde e-ticaret alışverişindeki artışın en çok sırasıyla İstanbul, Ankara ve İzmir’de gerçekleştiği ve e-ticarette </w:t>
      </w:r>
      <w:r w:rsidRPr="006A4DC2">
        <w:rPr>
          <w:rFonts w:ascii="Times New Roman" w:hAnsi="Times New Roman" w:cs="Times New Roman"/>
          <w:color w:val="000000" w:themeColor="text1"/>
          <w:shd w:val="clear" w:color="auto" w:fill="FFFFFF"/>
        </w:rPr>
        <w:t xml:space="preserve">yaşanan bu artışın en fazla Haziran ayında olduğu görülmektedir. </w:t>
      </w:r>
    </w:p>
    <w:p w14:paraId="3EBF0BEA" w14:textId="77777777" w:rsidR="002E3F19" w:rsidRPr="006A4DC2" w:rsidRDefault="002E3F19" w:rsidP="002E3F19">
      <w:pPr>
        <w:spacing w:line="360" w:lineRule="auto"/>
        <w:ind w:firstLine="708"/>
        <w:jc w:val="both"/>
        <w:rPr>
          <w:rFonts w:ascii="Times New Roman" w:hAnsi="Times New Roman" w:cs="Times New Roman"/>
          <w:color w:val="000000" w:themeColor="text1"/>
        </w:rPr>
      </w:pPr>
      <w:r w:rsidRPr="006A4DC2">
        <w:rPr>
          <w:rFonts w:ascii="Times New Roman" w:hAnsi="Times New Roman" w:cs="Times New Roman"/>
          <w:color w:val="000000" w:themeColor="text1"/>
        </w:rPr>
        <w:t>Çalışmada yer alan veriler ışığında, pandemi sürecinde Türkiye’de ürün ve sektör bazında tüketici talep değişikliklerinin olduğu görülmektedir. Pandemi sürecinde alınan önlemler kapsamında okulların uzaktan eğitime geçmesi ve evde geçirilen vaktin artması ile birlikte özellikle mobilya, elektronik eşya, beyaz eşya, ev aksesuarları, çocuk oyuncakları, çocuk bakım ürünleri, basılı kitap, dergi, gazete gibi ürünlerin internet üzerinden satışlarında artış olduğu söylenebilmektedir. Bunun yanı sıra, Türkiye’de virüsün yayılmasını azaltma amaçlı alınan ve zamanla değişip güncellenen önlemler kapsamında kuaför, berber ve güzellik salonlarının geçici süre kapatılması ya da çalışma saatlerine kısıtlama getirilmesi ile birlikte kozmetik ve kişisel bakım ürünlerinin internet üzerinden satışlarının artış gösterdiği söylenebilmektedir. Aynı zamanda virüsün yayılmasına karşı ülkemizde bireysel olarak alınan maske, mesafe, temizlik önlemleri kapsamında temizlik ürünlerinin e-ticaretteki payının artış gösterdiği görülmektedir. Bunlara ek olarak, pandemi sürecinde restoran, kafe ve lokantaların geçici süreliğine kapatılması, sadece paket servisi yapmaları ile birlikte internet üzerinden yemek siparişinde pandemi sürecinde artış gözlemlendiği söylenebilmektedir. Aynı zamanda sosyal mesafeyi korumak, kapalı ve kalabalık ortamlardan uzak durmaya çalışmak gibi virüsün yayılmasına karşı alınan önlemlerin etkisiyle birlikte tüketicilerin pandemi sürecinde gıda alışverişlerini internet üzerinden gerçekleştirme oranlarının artış gösterdiği söylenebilmektedir. Aynı zamanda pandemi sürecinde ilaç ve gıda takviyelerinin e-ticaretteki payında da artış meydana geldiği görülmektedir. Bunun dışında, pandemi öncesinde giyim ve spor malzemelerinin e-ticaretteki payı yüksek olmasına rağmen pandemi sürecinde aynı ürün grubunun (giyim ve spor malzemeleri) e-ticaretteki payında artış olduğu söylenebilmektedir. Bunun nedeninin tüketicilerin hastalığa yakalanma korkusu ile alışveriş merkezleri gibi kapalı ortamlardan uzak durmaya çalışması olduğu düşünülmektedir. Dolayısıyla e-ticaret, özellikle pandemi sürecinde tüketiciler açısından kurtarıcı bir rol üstlendiği söylenebilmektedir.</w:t>
      </w:r>
    </w:p>
    <w:p w14:paraId="4238F0D1" w14:textId="77777777" w:rsidR="002E3F19" w:rsidRPr="006A4DC2" w:rsidRDefault="002E3F19" w:rsidP="002E3F19">
      <w:pPr>
        <w:spacing w:line="360" w:lineRule="auto"/>
        <w:ind w:firstLine="708"/>
        <w:jc w:val="both"/>
        <w:rPr>
          <w:rFonts w:ascii="Times New Roman" w:hAnsi="Times New Roman" w:cs="Times New Roman"/>
          <w:color w:val="000000" w:themeColor="text1"/>
          <w:shd w:val="clear" w:color="auto" w:fill="FFFFFF"/>
        </w:rPr>
      </w:pPr>
      <w:r w:rsidRPr="006A4DC2">
        <w:rPr>
          <w:rFonts w:ascii="Times New Roman" w:hAnsi="Times New Roman" w:cs="Times New Roman"/>
          <w:color w:val="000000" w:themeColor="text1"/>
          <w:shd w:val="clear" w:color="auto" w:fill="FFFFFF"/>
        </w:rPr>
        <w:t xml:space="preserve">Çalışmada yer alan veriler doğrultusunda Türkiye’de pandemi sürecinde e-ticarette sektör bazında yaşanan değişikliklere bakıldığında ise, e-ticarette en çok artış gösteren sektörlerin başında gıda ve süpermarket olduğu görülmektedir. Buna ek olarak, yazılım, mobilya (ev bahçe), </w:t>
      </w:r>
      <w:r w:rsidRPr="006A4DC2">
        <w:rPr>
          <w:rFonts w:ascii="Times New Roman" w:hAnsi="Times New Roman" w:cs="Times New Roman"/>
          <w:color w:val="000000" w:themeColor="text1"/>
          <w:shd w:val="clear" w:color="auto" w:fill="FFFFFF"/>
        </w:rPr>
        <w:lastRenderedPageBreak/>
        <w:t>beyaz eşya ve elektronik sektörlerinin e-ticaret rakamlarının artış gösterdiği söylenebilmektedir. Diğer taraftan Türkiye’de pandemi sürecinde e-ticarette en çok azalış gösteren sektörlerin başında seyahat geldiği görülmektedir. Aynı zamanda havayolları, tatil konaklama, eğlence sanat, sportif ve kültürel faaliyetler, araç kiralama sektörlerinde de azalış meydana geldiği görülmektedir.</w:t>
      </w:r>
    </w:p>
    <w:p w14:paraId="131354A4" w14:textId="77777777" w:rsidR="006A4DC2" w:rsidRDefault="006A4DC2" w:rsidP="002E3F19">
      <w:pPr>
        <w:spacing w:line="360" w:lineRule="auto"/>
        <w:ind w:firstLine="708"/>
        <w:jc w:val="both"/>
        <w:rPr>
          <w:rFonts w:ascii="Times New Roman" w:hAnsi="Times New Roman" w:cs="Times New Roman"/>
          <w:b/>
          <w:color w:val="000000" w:themeColor="text1"/>
        </w:rPr>
      </w:pPr>
    </w:p>
    <w:p w14:paraId="1D7B4F7B" w14:textId="6CBFBF1B" w:rsidR="002E3F19" w:rsidRPr="006A4DC2" w:rsidRDefault="002E3F19" w:rsidP="002E3F19">
      <w:pPr>
        <w:spacing w:line="360" w:lineRule="auto"/>
        <w:ind w:firstLine="708"/>
        <w:jc w:val="both"/>
        <w:rPr>
          <w:rFonts w:ascii="Times New Roman" w:hAnsi="Times New Roman" w:cs="Times New Roman"/>
          <w:b/>
          <w:color w:val="000000" w:themeColor="text1"/>
        </w:rPr>
      </w:pPr>
      <w:r w:rsidRPr="006A4DC2">
        <w:rPr>
          <w:rFonts w:ascii="Times New Roman" w:hAnsi="Times New Roman" w:cs="Times New Roman"/>
          <w:b/>
          <w:color w:val="000000" w:themeColor="text1"/>
        </w:rPr>
        <w:t>ÖNERİLER</w:t>
      </w:r>
    </w:p>
    <w:p w14:paraId="1EA4D516" w14:textId="77777777" w:rsidR="002E3F19" w:rsidRPr="006A4DC2" w:rsidRDefault="002E3F19" w:rsidP="002E3F19">
      <w:pPr>
        <w:spacing w:line="360" w:lineRule="auto"/>
        <w:ind w:firstLine="708"/>
        <w:jc w:val="both"/>
        <w:rPr>
          <w:rFonts w:ascii="Times New Roman" w:hAnsi="Times New Roman" w:cs="Times New Roman"/>
          <w:color w:val="000000" w:themeColor="text1"/>
        </w:rPr>
      </w:pPr>
      <w:r w:rsidRPr="006A4DC2">
        <w:rPr>
          <w:rFonts w:ascii="Times New Roman" w:hAnsi="Times New Roman" w:cs="Times New Roman"/>
          <w:color w:val="000000" w:themeColor="text1"/>
        </w:rPr>
        <w:t>Bu çalışmada Covid-19 ile birlikte Türkiye’de e-ticarete meydana gelen değişimler ile birlikte e-ticarette ürün ve sektör bazında meydana gelen tüketici talep değişiklikleri ikincil veriler kullanılarak değerlendirilmiştir. Gelecek çalışmalarda birincil veri toplama yöntemleri ile Türkiye genelinde tüketicilere derinlemesine görüşmeler ya da anket uygulamaları yapılarak pandemi sürecinde e-ticaretteki tüketici talep değişikliklerinin nedenleri araştırılabilir. Böylece tüketicilerin pandemi sürecinde internet üzerinden bazı ürün gruplarına olan talebi artarken bazı ürün gruplarına olan talebinin azalmasının nedenleri derinlemesine incelenebilir. Dolayısıyla pandemi sürecinde Türkiye’de e-ticarette meydana gelen değişimler birincil veriler yardımıyla daha kapsamlı bulgular elde edilerek zenginleştirilebilir. Bunun yanı sıra, çalışmanın ortaya koyduğu sonuçlarından yola çıkarak e-ticaret tüketiciler için özellikle pandemi sürecinde kolaylık, rahatlık ve avantaj sağlayarak kurtarıcı bir rol oynaması sebebiyle önümüzdeki dönemlerde e-ticaret hacminin artmasının muhtemel olduğu söylenebilmektedir. Böylece, ilerleyen dönemlerde Türkiye ekonomisini ve ticaretini güçlendirmek adına e-ticaretin olumlu etkilerinin olacağı öngörülmektedir. Dolayısıyla işletmeler açısından bakıldığında, işletmelerin e-ticaret kullanımı hakkında bilgilenmesi ve işletmelerde e-ticaretin kullanımının yaygınlaştırılması önerilmektedir.</w:t>
      </w:r>
    </w:p>
    <w:p w14:paraId="348F77B2" w14:textId="77777777" w:rsidR="002E3F19" w:rsidRPr="006A4DC2" w:rsidRDefault="002E3F19" w:rsidP="002E3F19">
      <w:pPr>
        <w:spacing w:line="360" w:lineRule="auto"/>
        <w:jc w:val="both"/>
        <w:rPr>
          <w:rFonts w:ascii="Times New Roman" w:hAnsi="Times New Roman" w:cs="Times New Roman"/>
          <w:color w:val="000000" w:themeColor="text1"/>
        </w:rPr>
      </w:pPr>
    </w:p>
    <w:p w14:paraId="123CFAF5" w14:textId="65E87549" w:rsidR="006A4DC2" w:rsidRPr="00164238" w:rsidRDefault="00C95516" w:rsidP="006A4DC2">
      <w:pPr>
        <w:spacing w:line="276" w:lineRule="auto"/>
        <w:ind w:firstLine="567"/>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Kaynakça</w:t>
      </w:r>
    </w:p>
    <w:p w14:paraId="4F6C1D33" w14:textId="77777777" w:rsidR="002E3F19" w:rsidRPr="00164238" w:rsidRDefault="002E3F19" w:rsidP="002E3F19">
      <w:pPr>
        <w:spacing w:line="360" w:lineRule="auto"/>
        <w:ind w:left="851" w:hanging="851"/>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Akar, E. (2020). </w:t>
      </w:r>
      <w:r w:rsidRPr="00164238">
        <w:rPr>
          <w:rFonts w:ascii="Times New Roman" w:hAnsi="Times New Roman" w:cs="Times New Roman"/>
          <w:i/>
          <w:color w:val="000000" w:themeColor="text1"/>
          <w:sz w:val="20"/>
          <w:szCs w:val="20"/>
        </w:rPr>
        <w:t>E-Ticaret, Sosyal Ticaret, Mobil Ticaret Pazarlama Temelli Yaklaşım</w:t>
      </w:r>
      <w:r w:rsidRPr="00164238">
        <w:rPr>
          <w:rFonts w:ascii="Times New Roman" w:hAnsi="Times New Roman" w:cs="Times New Roman"/>
          <w:color w:val="000000" w:themeColor="text1"/>
          <w:sz w:val="20"/>
          <w:szCs w:val="20"/>
        </w:rPr>
        <w:t>. Ankara: Seçkin Yayıncılık (4. Baskı).</w:t>
      </w:r>
    </w:p>
    <w:p w14:paraId="01A8FCE1" w14:textId="77777777" w:rsidR="002E3F19" w:rsidRPr="00164238" w:rsidRDefault="002E3F19" w:rsidP="002E3F19">
      <w:pPr>
        <w:spacing w:line="360" w:lineRule="auto"/>
        <w:ind w:left="851" w:hanging="851"/>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shd w:val="clear" w:color="auto" w:fill="FFFFFF"/>
        </w:rPr>
        <w:t>Gupta, A. (2014). E-Commerce: Role Of e-Commerce in Today’s Business.</w:t>
      </w:r>
      <w:r w:rsidRPr="00164238">
        <w:rPr>
          <w:rFonts w:ascii="Times New Roman" w:hAnsi="Times New Roman" w:cs="Times New Roman"/>
          <w:color w:val="000000" w:themeColor="text1"/>
          <w:sz w:val="20"/>
          <w:szCs w:val="20"/>
        </w:rPr>
        <w:t xml:space="preserve"> </w:t>
      </w:r>
      <w:r w:rsidRPr="00164238">
        <w:rPr>
          <w:rFonts w:ascii="Times New Roman" w:hAnsi="Times New Roman" w:cs="Times New Roman"/>
          <w:i/>
          <w:color w:val="000000" w:themeColor="text1"/>
          <w:sz w:val="20"/>
          <w:szCs w:val="20"/>
        </w:rPr>
        <w:t>International Journal of Computing and Corporate Research,</w:t>
      </w:r>
      <w:r w:rsidRPr="00164238">
        <w:rPr>
          <w:rFonts w:ascii="Times New Roman" w:hAnsi="Times New Roman" w:cs="Times New Roman"/>
          <w:color w:val="000000" w:themeColor="text1"/>
          <w:sz w:val="20"/>
          <w:szCs w:val="20"/>
        </w:rPr>
        <w:t xml:space="preserve"> 4(1), 1-8.</w:t>
      </w:r>
    </w:p>
    <w:p w14:paraId="4AFA04ED" w14:textId="77777777" w:rsidR="002E3F19" w:rsidRPr="00164238" w:rsidRDefault="002E3F19" w:rsidP="002E3F19">
      <w:pPr>
        <w:spacing w:line="360" w:lineRule="auto"/>
        <w:ind w:left="851" w:hanging="851"/>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Eteş, I. (2002). E-Ticaretin Geleceği ve Ülkemiz Dış Ticaretine Yansımaları. </w:t>
      </w:r>
      <w:r w:rsidRPr="00164238">
        <w:rPr>
          <w:rFonts w:ascii="Times New Roman" w:hAnsi="Times New Roman" w:cs="Times New Roman"/>
          <w:i/>
          <w:color w:val="000000" w:themeColor="text1"/>
          <w:sz w:val="20"/>
          <w:szCs w:val="20"/>
        </w:rPr>
        <w:t xml:space="preserve">IGEME’den Bakış Dergisi, </w:t>
      </w:r>
      <w:r w:rsidRPr="00164238">
        <w:rPr>
          <w:rFonts w:ascii="Times New Roman" w:hAnsi="Times New Roman" w:cs="Times New Roman"/>
          <w:color w:val="000000" w:themeColor="text1"/>
          <w:sz w:val="20"/>
          <w:szCs w:val="20"/>
        </w:rPr>
        <w:t>(6) 22.</w:t>
      </w:r>
    </w:p>
    <w:p w14:paraId="749BD2FC" w14:textId="77777777" w:rsidR="002E3F19" w:rsidRPr="00164238" w:rsidRDefault="002E3F19" w:rsidP="002E3F19">
      <w:pPr>
        <w:spacing w:line="360" w:lineRule="auto"/>
        <w:ind w:left="851" w:hanging="851"/>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lastRenderedPageBreak/>
        <w:t>Niranjanamurthy, M., Kavyashree, N., Jagannath, S. ve Chahar, D. (2013). Analysis of e-Commerce and M-Commerce: Advantages, Limitations and Security Issues</w:t>
      </w:r>
      <w:r w:rsidRPr="00164238">
        <w:rPr>
          <w:rFonts w:ascii="Times New Roman" w:hAnsi="Times New Roman" w:cs="Times New Roman"/>
          <w:i/>
          <w:color w:val="000000" w:themeColor="text1"/>
          <w:sz w:val="20"/>
          <w:szCs w:val="20"/>
        </w:rPr>
        <w:t>.</w:t>
      </w:r>
      <w:r w:rsidRPr="00164238">
        <w:rPr>
          <w:rFonts w:ascii="Times New Roman" w:hAnsi="Times New Roman" w:cs="Times New Roman"/>
          <w:color w:val="000000" w:themeColor="text1"/>
          <w:sz w:val="20"/>
          <w:szCs w:val="20"/>
        </w:rPr>
        <w:t xml:space="preserve"> </w:t>
      </w:r>
      <w:r w:rsidRPr="00164238">
        <w:rPr>
          <w:rFonts w:ascii="Times New Roman" w:hAnsi="Times New Roman" w:cs="Times New Roman"/>
          <w:i/>
          <w:color w:val="000000" w:themeColor="text1"/>
          <w:sz w:val="20"/>
          <w:szCs w:val="20"/>
        </w:rPr>
        <w:t xml:space="preserve">International Journal of Advanced Research in Computer and Communication Engineering, </w:t>
      </w:r>
      <w:r w:rsidRPr="00164238">
        <w:rPr>
          <w:rFonts w:ascii="Times New Roman" w:hAnsi="Times New Roman" w:cs="Times New Roman"/>
          <w:color w:val="000000" w:themeColor="text1"/>
          <w:sz w:val="20"/>
          <w:szCs w:val="20"/>
        </w:rPr>
        <w:t>2 (6), 2360-2370.</w:t>
      </w:r>
    </w:p>
    <w:p w14:paraId="18F9FF84" w14:textId="77777777" w:rsidR="002E3F19" w:rsidRPr="00164238" w:rsidRDefault="002E3F19" w:rsidP="002E3F19">
      <w:pPr>
        <w:spacing w:line="360" w:lineRule="auto"/>
        <w:ind w:left="851" w:hanging="851"/>
        <w:jc w:val="both"/>
        <w:rPr>
          <w:rFonts w:ascii="Times New Roman" w:hAnsi="Times New Roman" w:cs="Times New Roman"/>
          <w:color w:val="000000" w:themeColor="text1"/>
          <w:sz w:val="20"/>
          <w:szCs w:val="20"/>
        </w:rPr>
      </w:pPr>
    </w:p>
    <w:p w14:paraId="49CC2912" w14:textId="77777777" w:rsidR="002E3F19" w:rsidRPr="00164238" w:rsidRDefault="002E3F19" w:rsidP="002E3F19">
      <w:pPr>
        <w:spacing w:line="360" w:lineRule="auto"/>
        <w:ind w:left="851" w:hanging="851"/>
        <w:jc w:val="both"/>
        <w:rPr>
          <w:rFonts w:ascii="Times New Roman" w:hAnsi="Times New Roman" w:cs="Times New Roman"/>
          <w:color w:val="000000" w:themeColor="text1"/>
          <w:sz w:val="20"/>
          <w:szCs w:val="20"/>
        </w:rPr>
      </w:pPr>
    </w:p>
    <w:p w14:paraId="38506145" w14:textId="77777777" w:rsidR="002E3F19" w:rsidRPr="00164238" w:rsidRDefault="002E3F19" w:rsidP="002E3F19">
      <w:pPr>
        <w:spacing w:line="360" w:lineRule="auto"/>
        <w:jc w:val="both"/>
        <w:rPr>
          <w:rFonts w:ascii="Times New Roman" w:hAnsi="Times New Roman" w:cs="Times New Roman"/>
          <w:b/>
          <w:color w:val="000000" w:themeColor="text1"/>
          <w:sz w:val="20"/>
          <w:szCs w:val="20"/>
        </w:rPr>
      </w:pPr>
      <w:r w:rsidRPr="00164238">
        <w:rPr>
          <w:rFonts w:ascii="Times New Roman" w:hAnsi="Times New Roman" w:cs="Times New Roman"/>
          <w:b/>
          <w:color w:val="000000" w:themeColor="text1"/>
          <w:sz w:val="20"/>
          <w:szCs w:val="20"/>
        </w:rPr>
        <w:t>İNTERNET KAYNAKLARI</w:t>
      </w:r>
    </w:p>
    <w:p w14:paraId="7EB063B6" w14:textId="77777777" w:rsidR="002E3F19" w:rsidRPr="00164238" w:rsidRDefault="002E3F19" w:rsidP="002E3F19">
      <w:pPr>
        <w:spacing w:line="360" w:lineRule="auto"/>
        <w:ind w:left="851" w:hanging="851"/>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BKM (2021, 16 Mart). BKM 2021 Yılı Şubat Ayı Verilerini Açıkladı. 20.03.2021 tarihinde</w:t>
      </w:r>
      <w:r w:rsidRPr="00164238">
        <w:rPr>
          <w:rFonts w:ascii="Times New Roman" w:hAnsi="Times New Roman" w:cs="Times New Roman"/>
          <w:color w:val="000000" w:themeColor="text1"/>
          <w:sz w:val="20"/>
          <w:szCs w:val="20"/>
        </w:rPr>
        <w:br/>
        <w:t xml:space="preserve"> </w:t>
      </w:r>
      <w:hyperlink r:id="rId312" w:history="1">
        <w:r w:rsidRPr="00164238">
          <w:rPr>
            <w:rStyle w:val="Kpr"/>
            <w:rFonts w:ascii="Times New Roman" w:hAnsi="Times New Roman" w:cs="Times New Roman"/>
            <w:color w:val="000000" w:themeColor="text1"/>
            <w:sz w:val="20"/>
            <w:szCs w:val="20"/>
          </w:rPr>
          <w:t>https://fintechistanbul.org/2021/03/16/bkm-2021-yili-subat-ayi-verilerini-acikladi/</w:t>
        </w:r>
      </w:hyperlink>
      <w:r w:rsidRPr="00164238">
        <w:rPr>
          <w:rFonts w:ascii="Times New Roman" w:hAnsi="Times New Roman" w:cs="Times New Roman"/>
          <w:color w:val="000000" w:themeColor="text1"/>
          <w:sz w:val="20"/>
          <w:szCs w:val="20"/>
        </w:rPr>
        <w:t xml:space="preserve"> adresinden alınmıştır.</w:t>
      </w:r>
    </w:p>
    <w:p w14:paraId="4FEE408A" w14:textId="77777777" w:rsidR="002E3F19" w:rsidRPr="00164238" w:rsidRDefault="002E3F19" w:rsidP="002E3F19">
      <w:pPr>
        <w:spacing w:line="360" w:lineRule="auto"/>
        <w:ind w:left="851" w:hanging="851"/>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Erdoğan, D. Ş. (2021, 26 Mart). FutureCommerce 360 Konferansı. 27.03.2021 tarihinde </w:t>
      </w:r>
      <w:hyperlink r:id="rId313" w:history="1">
        <w:r w:rsidRPr="00164238">
          <w:rPr>
            <w:rStyle w:val="Kpr"/>
            <w:rFonts w:ascii="Times New Roman" w:hAnsi="Times New Roman" w:cs="Times New Roman"/>
            <w:color w:val="000000" w:themeColor="text1"/>
            <w:sz w:val="20"/>
            <w:szCs w:val="20"/>
          </w:rPr>
          <w:t>"FutureCommerce360" konferansı - InBusiness</w:t>
        </w:r>
      </w:hyperlink>
      <w:r w:rsidRPr="00164238">
        <w:rPr>
          <w:rFonts w:ascii="Times New Roman" w:hAnsi="Times New Roman" w:cs="Times New Roman"/>
          <w:color w:val="000000" w:themeColor="text1"/>
          <w:sz w:val="20"/>
          <w:szCs w:val="20"/>
        </w:rPr>
        <w:t xml:space="preserve"> adresinden alınmıştır. </w:t>
      </w:r>
    </w:p>
    <w:p w14:paraId="022EDF0E" w14:textId="77777777" w:rsidR="002E3F19" w:rsidRPr="00164238" w:rsidRDefault="002E3F19" w:rsidP="002E3F19">
      <w:pPr>
        <w:spacing w:line="360" w:lineRule="auto"/>
        <w:ind w:left="851" w:hanging="851"/>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İktisadi Kalkınma Vakfı (2020, Nisan). Covid-19 Salgınının Ekonomi, Güvenlik, Demokrasi ve Temel Haklar, Brexit, Tarım, Ticaret, Çevre Ve İklim, Sosyal Politikalar Üzerine Etkileri. 03.04.2021 tarihinde </w:t>
      </w:r>
      <w:hyperlink r:id="rId314" w:history="1">
        <w:r w:rsidRPr="00164238">
          <w:rPr>
            <w:rStyle w:val="Kpr"/>
            <w:rFonts w:ascii="Times New Roman" w:hAnsi="Times New Roman" w:cs="Times New Roman"/>
            <w:color w:val="000000" w:themeColor="text1"/>
            <w:sz w:val="20"/>
            <w:szCs w:val="20"/>
          </w:rPr>
          <w:t>https://www.ikv.org.tr/</w:t>
        </w:r>
      </w:hyperlink>
      <w:r w:rsidRPr="00164238">
        <w:rPr>
          <w:rFonts w:ascii="Times New Roman" w:hAnsi="Times New Roman" w:cs="Times New Roman"/>
          <w:color w:val="000000" w:themeColor="text1"/>
          <w:sz w:val="20"/>
          <w:szCs w:val="20"/>
        </w:rPr>
        <w:t xml:space="preserve"> adresinden alınmıştır.</w:t>
      </w:r>
    </w:p>
    <w:p w14:paraId="5B2FC54C" w14:textId="77777777" w:rsidR="002E3F19" w:rsidRPr="00164238" w:rsidRDefault="002E3F19" w:rsidP="002E3F19">
      <w:pPr>
        <w:pStyle w:val="Balk2"/>
        <w:shd w:val="clear" w:color="auto" w:fill="FFFFFF"/>
        <w:spacing w:before="0" w:line="360" w:lineRule="auto"/>
        <w:ind w:left="851" w:hanging="851"/>
        <w:rPr>
          <w:rFonts w:ascii="Times New Roman" w:hAnsi="Times New Roman" w:cs="Times New Roman"/>
          <w:color w:val="000000" w:themeColor="text1"/>
          <w:sz w:val="20"/>
          <w:szCs w:val="20"/>
        </w:rPr>
      </w:pPr>
      <w:bookmarkStart w:id="165" w:name="_Toc72352811"/>
      <w:bookmarkStart w:id="166" w:name="_Toc72961745"/>
      <w:r w:rsidRPr="00164238">
        <w:rPr>
          <w:rFonts w:ascii="Times New Roman" w:hAnsi="Times New Roman" w:cs="Times New Roman"/>
          <w:color w:val="000000" w:themeColor="text1"/>
          <w:sz w:val="20"/>
          <w:szCs w:val="20"/>
        </w:rPr>
        <w:t>Sağlık Bakanlığı (2020, 29 Eylül).</w:t>
      </w:r>
      <w:r w:rsidRPr="00164238">
        <w:rPr>
          <w:rFonts w:ascii="Times New Roman" w:hAnsi="Times New Roman" w:cs="Times New Roman"/>
          <w:color w:val="000000" w:themeColor="text1"/>
          <w:sz w:val="20"/>
          <w:szCs w:val="20"/>
          <w:lang w:eastAsia="tr-TR"/>
        </w:rPr>
        <w:t xml:space="preserve"> Maske, Mesafe ve Temizlik. Şimdi Tedbirde Birlik Olma Zamanı. 20.02.2021 tarihinde </w:t>
      </w:r>
      <w:r w:rsidRPr="00164238">
        <w:rPr>
          <w:rFonts w:ascii="Times New Roman" w:hAnsi="Times New Roman" w:cs="Times New Roman"/>
          <w:color w:val="000000" w:themeColor="text1"/>
          <w:sz w:val="20"/>
          <w:szCs w:val="20"/>
        </w:rPr>
        <w:t xml:space="preserve"> </w:t>
      </w:r>
      <w:hyperlink r:id="rId315" w:history="1">
        <w:r w:rsidRPr="00164238">
          <w:rPr>
            <w:rStyle w:val="Kpr"/>
            <w:rFonts w:ascii="Times New Roman" w:eastAsiaTheme="majorEastAsia" w:hAnsi="Times New Roman" w:cs="Times New Roman"/>
            <w:color w:val="000000" w:themeColor="text1"/>
            <w:sz w:val="20"/>
            <w:szCs w:val="20"/>
          </w:rPr>
          <w:t>https://covid19.saglik.gov.tr/TR-73286/maske-mesafe-ve-temizlik-simdi-tedbirde-birlik-olma-zamani.html</w:t>
        </w:r>
      </w:hyperlink>
      <w:r w:rsidRPr="00164238">
        <w:rPr>
          <w:rStyle w:val="Kpr"/>
          <w:rFonts w:ascii="Times New Roman" w:eastAsiaTheme="majorEastAsia" w:hAnsi="Times New Roman" w:cs="Times New Roman"/>
          <w:color w:val="000000" w:themeColor="text1"/>
          <w:sz w:val="20"/>
          <w:szCs w:val="20"/>
        </w:rPr>
        <w:t xml:space="preserve"> </w:t>
      </w:r>
      <w:r w:rsidRPr="00164238">
        <w:rPr>
          <w:rFonts w:ascii="Times New Roman" w:hAnsi="Times New Roman" w:cs="Times New Roman"/>
          <w:color w:val="000000" w:themeColor="text1"/>
          <w:sz w:val="20"/>
          <w:szCs w:val="20"/>
        </w:rPr>
        <w:t>adresinden alınmıştır.</w:t>
      </w:r>
      <w:bookmarkEnd w:id="165"/>
      <w:bookmarkEnd w:id="166"/>
    </w:p>
    <w:p w14:paraId="52B0CAB4" w14:textId="77777777" w:rsidR="002E3F19" w:rsidRPr="00164238" w:rsidRDefault="002E3F19" w:rsidP="002E3F19">
      <w:pPr>
        <w:spacing w:line="360" w:lineRule="auto"/>
        <w:ind w:left="851" w:hanging="851"/>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TÜİK (2020, Şubat). İstatistiki Bölge Birimleri Sınıflaması 1.Düzey’e Göre Hanelerde İnternet Erişimi. 20.02.2021 tarihinde </w:t>
      </w:r>
      <w:hyperlink r:id="rId316" w:history="1">
        <w:r w:rsidRPr="00164238">
          <w:rPr>
            <w:rStyle w:val="Kpr"/>
            <w:rFonts w:ascii="Times New Roman" w:hAnsi="Times New Roman" w:cs="Times New Roman"/>
            <w:color w:val="000000" w:themeColor="text1"/>
            <w:sz w:val="20"/>
            <w:szCs w:val="20"/>
          </w:rPr>
          <w:t>TÜİK Kurumsal (tuik.gov.tr)</w:t>
        </w:r>
      </w:hyperlink>
      <w:r w:rsidRPr="00164238">
        <w:rPr>
          <w:rFonts w:ascii="Times New Roman" w:hAnsi="Times New Roman" w:cs="Times New Roman"/>
          <w:color w:val="000000" w:themeColor="text1"/>
          <w:sz w:val="20"/>
          <w:szCs w:val="20"/>
          <w:u w:val="single"/>
        </w:rPr>
        <w:t xml:space="preserve"> </w:t>
      </w:r>
      <w:r w:rsidRPr="00164238">
        <w:rPr>
          <w:rFonts w:ascii="Times New Roman" w:hAnsi="Times New Roman" w:cs="Times New Roman"/>
          <w:color w:val="000000" w:themeColor="text1"/>
          <w:sz w:val="20"/>
          <w:szCs w:val="20"/>
        </w:rPr>
        <w:t>adresinden alınmıştır.</w:t>
      </w:r>
    </w:p>
    <w:p w14:paraId="635D40EB" w14:textId="77777777" w:rsidR="002E3F19" w:rsidRPr="00164238" w:rsidRDefault="002E3F19" w:rsidP="002E3F19">
      <w:pPr>
        <w:spacing w:line="360" w:lineRule="auto"/>
        <w:ind w:left="851" w:hanging="851"/>
        <w:jc w:val="both"/>
        <w:rPr>
          <w:rStyle w:val="K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TÜİK (2020). </w:t>
      </w:r>
      <w:r w:rsidRPr="00164238">
        <w:rPr>
          <w:rFonts w:ascii="Times New Roman" w:hAnsi="Times New Roman" w:cs="Times New Roman"/>
          <w:i/>
          <w:color w:val="000000" w:themeColor="text1"/>
          <w:sz w:val="20"/>
          <w:szCs w:val="20"/>
        </w:rPr>
        <w:t>Hanehalkı Bilişim Teknolojileri Kullanımına İlişkin Göstergeler</w:t>
      </w:r>
      <w:r w:rsidRPr="00164238">
        <w:rPr>
          <w:rFonts w:ascii="Times New Roman" w:hAnsi="Times New Roman" w:cs="Times New Roman"/>
          <w:color w:val="000000" w:themeColor="text1"/>
          <w:sz w:val="20"/>
          <w:szCs w:val="20"/>
        </w:rPr>
        <w:t xml:space="preserve"> </w:t>
      </w:r>
      <w:hyperlink r:id="rId317" w:history="1">
        <w:r w:rsidRPr="00164238">
          <w:rPr>
            <w:rStyle w:val="Kpr"/>
            <w:rFonts w:ascii="Times New Roman" w:hAnsi="Times New Roman" w:cs="Times New Roman"/>
            <w:color w:val="000000" w:themeColor="text1"/>
            <w:sz w:val="20"/>
            <w:szCs w:val="20"/>
          </w:rPr>
          <w:t>https://tuikweb.tuik.gov.tr/PreHaberBultenleri.do?id=33679</w:t>
        </w:r>
      </w:hyperlink>
      <w:r w:rsidRPr="00164238">
        <w:rPr>
          <w:rStyle w:val="Kpr"/>
          <w:rFonts w:ascii="Times New Roman" w:hAnsi="Times New Roman" w:cs="Times New Roman"/>
          <w:color w:val="000000" w:themeColor="text1"/>
          <w:sz w:val="20"/>
          <w:szCs w:val="20"/>
        </w:rPr>
        <w:t xml:space="preserve"> </w:t>
      </w:r>
      <w:r w:rsidRPr="00164238">
        <w:rPr>
          <w:rFonts w:ascii="Times New Roman" w:hAnsi="Times New Roman" w:cs="Times New Roman"/>
          <w:color w:val="000000" w:themeColor="text1"/>
          <w:sz w:val="20"/>
          <w:szCs w:val="20"/>
        </w:rPr>
        <w:t>(Erişim Tarihi: 28.02.2021).</w:t>
      </w:r>
    </w:p>
    <w:p w14:paraId="0B9055EF" w14:textId="77777777" w:rsidR="002E3F19" w:rsidRPr="00164238" w:rsidRDefault="002E3F19" w:rsidP="002E3F19">
      <w:pPr>
        <w:spacing w:line="360" w:lineRule="auto"/>
        <w:ind w:left="851" w:hanging="851"/>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TÜİK (2019, Ağustos).</w:t>
      </w:r>
      <w:r w:rsidRPr="00164238">
        <w:rPr>
          <w:rFonts w:ascii="Times New Roman" w:hAnsi="Times New Roman" w:cs="Times New Roman"/>
          <w:b/>
          <w:color w:val="000000" w:themeColor="text1"/>
          <w:sz w:val="20"/>
          <w:szCs w:val="20"/>
        </w:rPr>
        <w:t xml:space="preserve"> </w:t>
      </w:r>
      <w:r w:rsidRPr="00164238">
        <w:rPr>
          <w:rFonts w:ascii="Times New Roman" w:hAnsi="Times New Roman" w:cs="Times New Roman"/>
          <w:color w:val="000000" w:themeColor="text1"/>
          <w:sz w:val="20"/>
          <w:szCs w:val="20"/>
        </w:rPr>
        <w:t xml:space="preserve">İnternet Üzerinden Satın Alınan Mal ve Hizmet Türleri. 21.02.2021 tarihinde </w:t>
      </w:r>
      <w:hyperlink r:id="rId318" w:history="1">
        <w:r w:rsidRPr="00164238">
          <w:rPr>
            <w:rStyle w:val="Kpr"/>
            <w:rFonts w:ascii="Times New Roman" w:hAnsi="Times New Roman" w:cs="Times New Roman"/>
            <w:color w:val="000000" w:themeColor="text1"/>
            <w:sz w:val="20"/>
            <w:szCs w:val="20"/>
          </w:rPr>
          <w:t>https://data.tuik.gov.tr/Bulten/Index?p=Hanehalki-Bilisim-Teknolojileri-(BT)-Kullanim-Arastirmasi-2019-30574</w:t>
        </w:r>
      </w:hyperlink>
      <w:r w:rsidRPr="00164238">
        <w:rPr>
          <w:rFonts w:ascii="Times New Roman" w:hAnsi="Times New Roman" w:cs="Times New Roman"/>
          <w:color w:val="000000" w:themeColor="text1"/>
          <w:sz w:val="20"/>
          <w:szCs w:val="20"/>
          <w:u w:val="single"/>
        </w:rPr>
        <w:t xml:space="preserve"> </w:t>
      </w:r>
      <w:r w:rsidRPr="00164238">
        <w:rPr>
          <w:rFonts w:ascii="Times New Roman" w:hAnsi="Times New Roman" w:cs="Times New Roman"/>
          <w:color w:val="000000" w:themeColor="text1"/>
          <w:sz w:val="20"/>
          <w:szCs w:val="20"/>
        </w:rPr>
        <w:t>adresinden alınmıştır.</w:t>
      </w:r>
    </w:p>
    <w:p w14:paraId="3B3D6E24" w14:textId="77777777" w:rsidR="002E3F19" w:rsidRPr="00164238" w:rsidRDefault="002E3F19" w:rsidP="002E3F19">
      <w:pPr>
        <w:spacing w:line="360" w:lineRule="auto"/>
        <w:ind w:left="851" w:hanging="851"/>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TÜİK (2020, Ağustos).</w:t>
      </w:r>
      <w:r w:rsidRPr="00164238">
        <w:rPr>
          <w:rFonts w:ascii="Times New Roman" w:hAnsi="Times New Roman" w:cs="Times New Roman"/>
          <w:b/>
          <w:color w:val="000000" w:themeColor="text1"/>
          <w:sz w:val="20"/>
          <w:szCs w:val="20"/>
        </w:rPr>
        <w:t xml:space="preserve"> </w:t>
      </w:r>
      <w:r w:rsidRPr="00164238">
        <w:rPr>
          <w:rFonts w:ascii="Times New Roman" w:hAnsi="Times New Roman" w:cs="Times New Roman"/>
          <w:color w:val="000000" w:themeColor="text1"/>
          <w:sz w:val="20"/>
          <w:szCs w:val="20"/>
        </w:rPr>
        <w:t xml:space="preserve">İnternet Üzerinden Satın Alınan Mal ve Hizmet Türleri. 21.02.2021 tarihinde </w:t>
      </w:r>
      <w:hyperlink r:id="rId319" w:history="1">
        <w:r w:rsidRPr="00164238">
          <w:rPr>
            <w:rStyle w:val="Kpr"/>
            <w:rFonts w:ascii="Times New Roman" w:hAnsi="Times New Roman" w:cs="Times New Roman"/>
            <w:color w:val="000000" w:themeColor="text1"/>
            <w:sz w:val="20"/>
            <w:szCs w:val="20"/>
          </w:rPr>
          <w:t>https://data.tuik.gov.tr/Bulten/Index?p=Hanehalki-Bilisim-Teknolojileri-(BT)-Kullanim-Arastirmasi-2020-33679</w:t>
        </w:r>
      </w:hyperlink>
      <w:r w:rsidRPr="00164238">
        <w:rPr>
          <w:rStyle w:val="Kpr"/>
          <w:rFonts w:ascii="Times New Roman" w:hAnsi="Times New Roman" w:cs="Times New Roman"/>
          <w:color w:val="000000" w:themeColor="text1"/>
          <w:sz w:val="20"/>
          <w:szCs w:val="20"/>
        </w:rPr>
        <w:t xml:space="preserve"> </w:t>
      </w:r>
      <w:r w:rsidRPr="00164238">
        <w:rPr>
          <w:rFonts w:ascii="Times New Roman" w:hAnsi="Times New Roman" w:cs="Times New Roman"/>
          <w:color w:val="000000" w:themeColor="text1"/>
          <w:sz w:val="20"/>
          <w:szCs w:val="20"/>
        </w:rPr>
        <w:t>adresinden alınmıştır.</w:t>
      </w:r>
    </w:p>
    <w:p w14:paraId="3EB73D62" w14:textId="77777777" w:rsidR="002E3F19" w:rsidRPr="00164238" w:rsidRDefault="002E3F19" w:rsidP="002E3F19">
      <w:pPr>
        <w:spacing w:line="360" w:lineRule="auto"/>
        <w:ind w:left="851" w:hanging="851"/>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Türkiye Cumhuriyeti Ticaret Bakanlığı (2020, Şubat). İstatistikler. 19.02.2021 tarihinde </w:t>
      </w:r>
      <w:hyperlink r:id="rId320" w:history="1">
        <w:r w:rsidRPr="00164238">
          <w:rPr>
            <w:rStyle w:val="Kpr"/>
            <w:rFonts w:ascii="Times New Roman" w:hAnsi="Times New Roman" w:cs="Times New Roman"/>
            <w:color w:val="000000" w:themeColor="text1"/>
            <w:sz w:val="20"/>
            <w:szCs w:val="20"/>
            <w:shd w:val="clear" w:color="auto" w:fill="FFFFFF"/>
          </w:rPr>
          <w:t>https://www.eticaret.gov.tr/istatistikler</w:t>
        </w:r>
      </w:hyperlink>
      <w:r w:rsidRPr="00164238">
        <w:rPr>
          <w:rStyle w:val="Kpr"/>
          <w:rFonts w:ascii="Times New Roman" w:hAnsi="Times New Roman" w:cs="Times New Roman"/>
          <w:color w:val="000000" w:themeColor="text1"/>
          <w:sz w:val="20"/>
          <w:szCs w:val="20"/>
          <w:shd w:val="clear" w:color="auto" w:fill="FFFFFF"/>
        </w:rPr>
        <w:t xml:space="preserve"> </w:t>
      </w:r>
      <w:r w:rsidRPr="00164238">
        <w:rPr>
          <w:rFonts w:ascii="Times New Roman" w:hAnsi="Times New Roman" w:cs="Times New Roman"/>
          <w:color w:val="000000" w:themeColor="text1"/>
          <w:sz w:val="20"/>
          <w:szCs w:val="20"/>
        </w:rPr>
        <w:t>adresinden alınmıştır.</w:t>
      </w:r>
    </w:p>
    <w:p w14:paraId="16BABE6F" w14:textId="77777777" w:rsidR="002E3F19" w:rsidRPr="00164238" w:rsidRDefault="002E3F19" w:rsidP="002E3F19">
      <w:pPr>
        <w:spacing w:line="360" w:lineRule="auto"/>
        <w:ind w:left="851" w:hanging="851"/>
        <w:jc w:val="both"/>
        <w:rPr>
          <w:rFonts w:ascii="Times New Roman" w:hAnsi="Times New Roman" w:cs="Times New Roman"/>
          <w:color w:val="000000" w:themeColor="text1"/>
          <w:sz w:val="20"/>
          <w:szCs w:val="20"/>
        </w:rPr>
      </w:pPr>
    </w:p>
    <w:p w14:paraId="15285609" w14:textId="77777777" w:rsidR="002E3F19" w:rsidRPr="00164238" w:rsidRDefault="002E3F19" w:rsidP="002E3F19">
      <w:pPr>
        <w:spacing w:line="360" w:lineRule="auto"/>
        <w:ind w:left="851" w:hanging="851"/>
        <w:jc w:val="both"/>
        <w:rPr>
          <w:rStyle w:val="K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lastRenderedPageBreak/>
        <w:t xml:space="preserve">Varank, M. (2021, 22 Şubat). E-Ticaret Hacmi Yüzde 93 Arttı. 16.03.2021 tarihinde </w:t>
      </w:r>
      <w:hyperlink r:id="rId321" w:history="1">
        <w:r w:rsidRPr="00164238">
          <w:rPr>
            <w:rStyle w:val="Kpr"/>
            <w:rFonts w:ascii="Times New Roman" w:hAnsi="Times New Roman" w:cs="Times New Roman"/>
            <w:color w:val="000000" w:themeColor="text1"/>
            <w:sz w:val="20"/>
            <w:szCs w:val="20"/>
          </w:rPr>
          <w:t>https://www.trthaber.com/haber/ekonomi/e-ticaret-hacmi-yuzde-93-artti-558485.html</w:t>
        </w:r>
      </w:hyperlink>
      <w:r w:rsidRPr="00164238">
        <w:rPr>
          <w:rFonts w:ascii="Times New Roman" w:hAnsi="Times New Roman" w:cs="Times New Roman"/>
          <w:color w:val="000000" w:themeColor="text1"/>
          <w:sz w:val="20"/>
          <w:szCs w:val="20"/>
        </w:rPr>
        <w:t xml:space="preserve"> adresinden alınmıştır. </w:t>
      </w:r>
    </w:p>
    <w:p w14:paraId="4779431A" w14:textId="77777777" w:rsidR="002E3F19" w:rsidRPr="00164238" w:rsidRDefault="002E3F19" w:rsidP="002E3F19">
      <w:pPr>
        <w:spacing w:line="360" w:lineRule="auto"/>
        <w:ind w:left="851" w:hanging="851"/>
        <w:jc w:val="both"/>
        <w:rPr>
          <w:rStyle w:val="K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WTO (2020, 4 Mayıs). E-Commerce, Trade and The Covid-19 Pandemic. 24.02.2021 tarihinde </w:t>
      </w:r>
      <w:hyperlink r:id="rId322" w:history="1">
        <w:r w:rsidRPr="00164238">
          <w:rPr>
            <w:rStyle w:val="Kpr"/>
            <w:rFonts w:ascii="Times New Roman" w:hAnsi="Times New Roman" w:cs="Times New Roman"/>
            <w:color w:val="000000" w:themeColor="text1"/>
            <w:sz w:val="20"/>
            <w:szCs w:val="20"/>
          </w:rPr>
          <w:t>https://www.wto.org/english/tratop_e/covid19_e/ecommerce_report_e.pdf</w:t>
        </w:r>
      </w:hyperlink>
      <w:r w:rsidRPr="00164238">
        <w:rPr>
          <w:rStyle w:val="Kpr"/>
          <w:rFonts w:ascii="Times New Roman" w:hAnsi="Times New Roman" w:cs="Times New Roman"/>
          <w:color w:val="000000" w:themeColor="text1"/>
          <w:sz w:val="20"/>
          <w:szCs w:val="20"/>
        </w:rPr>
        <w:t xml:space="preserve"> </w:t>
      </w:r>
      <w:r w:rsidRPr="00164238">
        <w:rPr>
          <w:rFonts w:ascii="Times New Roman" w:hAnsi="Times New Roman" w:cs="Times New Roman"/>
          <w:color w:val="000000" w:themeColor="text1"/>
          <w:sz w:val="20"/>
          <w:szCs w:val="20"/>
        </w:rPr>
        <w:t>adresinden alınmıştır.</w:t>
      </w:r>
    </w:p>
    <w:p w14:paraId="12102041" w14:textId="47B03F78" w:rsidR="002E3F19" w:rsidRDefault="002E3F19" w:rsidP="002E3F19">
      <w:pPr>
        <w:spacing w:line="360" w:lineRule="auto"/>
        <w:ind w:left="851" w:hanging="851"/>
        <w:jc w:val="both"/>
        <w:rPr>
          <w:rStyle w:val="Kpr"/>
          <w:rFonts w:ascii="Times New Roman" w:hAnsi="Times New Roman" w:cs="Times New Roman"/>
          <w:color w:val="000000" w:themeColor="text1"/>
          <w:sz w:val="20"/>
          <w:szCs w:val="20"/>
        </w:rPr>
      </w:pPr>
    </w:p>
    <w:p w14:paraId="4F7FC9D1" w14:textId="049006F6" w:rsidR="006A4DC2" w:rsidRDefault="006A4DC2" w:rsidP="002E3F19">
      <w:pPr>
        <w:spacing w:line="360" w:lineRule="auto"/>
        <w:ind w:left="851" w:hanging="851"/>
        <w:jc w:val="both"/>
        <w:rPr>
          <w:rStyle w:val="Kpr"/>
          <w:rFonts w:ascii="Times New Roman" w:hAnsi="Times New Roman" w:cs="Times New Roman"/>
          <w:color w:val="000000" w:themeColor="text1"/>
          <w:sz w:val="20"/>
          <w:szCs w:val="20"/>
        </w:rPr>
      </w:pPr>
    </w:p>
    <w:p w14:paraId="2467CF1B" w14:textId="1633157F" w:rsidR="006A4DC2" w:rsidRDefault="006A4DC2" w:rsidP="002E3F19">
      <w:pPr>
        <w:spacing w:line="360" w:lineRule="auto"/>
        <w:ind w:left="851" w:hanging="851"/>
        <w:jc w:val="both"/>
        <w:rPr>
          <w:rStyle w:val="Kpr"/>
          <w:rFonts w:ascii="Times New Roman" w:hAnsi="Times New Roman" w:cs="Times New Roman"/>
          <w:color w:val="000000" w:themeColor="text1"/>
          <w:sz w:val="20"/>
          <w:szCs w:val="20"/>
        </w:rPr>
      </w:pPr>
    </w:p>
    <w:p w14:paraId="40CC6E25" w14:textId="0F89A052" w:rsidR="00C95516" w:rsidRDefault="00C95516" w:rsidP="002E3F19">
      <w:pPr>
        <w:spacing w:line="360" w:lineRule="auto"/>
        <w:ind w:left="851" w:hanging="851"/>
        <w:jc w:val="both"/>
        <w:rPr>
          <w:rStyle w:val="Kpr"/>
          <w:rFonts w:ascii="Times New Roman" w:hAnsi="Times New Roman" w:cs="Times New Roman"/>
          <w:color w:val="000000" w:themeColor="text1"/>
          <w:sz w:val="20"/>
          <w:szCs w:val="20"/>
        </w:rPr>
      </w:pPr>
    </w:p>
    <w:p w14:paraId="2DD81566" w14:textId="39EC3A80" w:rsidR="00C95516" w:rsidRDefault="00C95516" w:rsidP="002E3F19">
      <w:pPr>
        <w:spacing w:line="360" w:lineRule="auto"/>
        <w:ind w:left="851" w:hanging="851"/>
        <w:jc w:val="both"/>
        <w:rPr>
          <w:rStyle w:val="Kpr"/>
          <w:rFonts w:ascii="Times New Roman" w:hAnsi="Times New Roman" w:cs="Times New Roman"/>
          <w:color w:val="000000" w:themeColor="text1"/>
          <w:sz w:val="20"/>
          <w:szCs w:val="20"/>
        </w:rPr>
      </w:pPr>
    </w:p>
    <w:p w14:paraId="368D1432" w14:textId="67CACE45" w:rsidR="00C95516" w:rsidRDefault="00C95516" w:rsidP="002E3F19">
      <w:pPr>
        <w:spacing w:line="360" w:lineRule="auto"/>
        <w:ind w:left="851" w:hanging="851"/>
        <w:jc w:val="both"/>
        <w:rPr>
          <w:rStyle w:val="Kpr"/>
          <w:rFonts w:ascii="Times New Roman" w:hAnsi="Times New Roman" w:cs="Times New Roman"/>
          <w:color w:val="000000" w:themeColor="text1"/>
          <w:sz w:val="20"/>
          <w:szCs w:val="20"/>
        </w:rPr>
      </w:pPr>
    </w:p>
    <w:p w14:paraId="6A581D15" w14:textId="47137322" w:rsidR="00C95516" w:rsidRDefault="00C95516" w:rsidP="002E3F19">
      <w:pPr>
        <w:spacing w:line="360" w:lineRule="auto"/>
        <w:ind w:left="851" w:hanging="851"/>
        <w:jc w:val="both"/>
        <w:rPr>
          <w:rStyle w:val="Kpr"/>
          <w:rFonts w:ascii="Times New Roman" w:hAnsi="Times New Roman" w:cs="Times New Roman"/>
          <w:color w:val="000000" w:themeColor="text1"/>
          <w:sz w:val="20"/>
          <w:szCs w:val="20"/>
        </w:rPr>
      </w:pPr>
    </w:p>
    <w:p w14:paraId="5034CA80" w14:textId="16ACF554" w:rsidR="00C95516" w:rsidRDefault="00C95516" w:rsidP="002E3F19">
      <w:pPr>
        <w:spacing w:line="360" w:lineRule="auto"/>
        <w:ind w:left="851" w:hanging="851"/>
        <w:jc w:val="both"/>
        <w:rPr>
          <w:rStyle w:val="Kpr"/>
          <w:rFonts w:ascii="Times New Roman" w:hAnsi="Times New Roman" w:cs="Times New Roman"/>
          <w:color w:val="000000" w:themeColor="text1"/>
          <w:sz w:val="20"/>
          <w:szCs w:val="20"/>
        </w:rPr>
      </w:pPr>
    </w:p>
    <w:p w14:paraId="044C5017" w14:textId="2EA4864F" w:rsidR="00C95516" w:rsidRDefault="00C95516" w:rsidP="002E3F19">
      <w:pPr>
        <w:spacing w:line="360" w:lineRule="auto"/>
        <w:ind w:left="851" w:hanging="851"/>
        <w:jc w:val="both"/>
        <w:rPr>
          <w:rStyle w:val="Kpr"/>
          <w:rFonts w:ascii="Times New Roman" w:hAnsi="Times New Roman" w:cs="Times New Roman"/>
          <w:color w:val="000000" w:themeColor="text1"/>
          <w:sz w:val="20"/>
          <w:szCs w:val="20"/>
        </w:rPr>
      </w:pPr>
    </w:p>
    <w:p w14:paraId="78C147E8" w14:textId="1AB259A3" w:rsidR="00C95516" w:rsidRDefault="00C95516" w:rsidP="002E3F19">
      <w:pPr>
        <w:spacing w:line="360" w:lineRule="auto"/>
        <w:ind w:left="851" w:hanging="851"/>
        <w:jc w:val="both"/>
        <w:rPr>
          <w:rStyle w:val="Kpr"/>
          <w:rFonts w:ascii="Times New Roman" w:hAnsi="Times New Roman" w:cs="Times New Roman"/>
          <w:color w:val="000000" w:themeColor="text1"/>
          <w:sz w:val="20"/>
          <w:szCs w:val="20"/>
        </w:rPr>
      </w:pPr>
    </w:p>
    <w:p w14:paraId="47258B92" w14:textId="5CE01F3B" w:rsidR="00C95516" w:rsidRDefault="00C95516" w:rsidP="002E3F19">
      <w:pPr>
        <w:spacing w:line="360" w:lineRule="auto"/>
        <w:ind w:left="851" w:hanging="851"/>
        <w:jc w:val="both"/>
        <w:rPr>
          <w:rStyle w:val="Kpr"/>
          <w:rFonts w:ascii="Times New Roman" w:hAnsi="Times New Roman" w:cs="Times New Roman"/>
          <w:color w:val="000000" w:themeColor="text1"/>
          <w:sz w:val="20"/>
          <w:szCs w:val="20"/>
        </w:rPr>
      </w:pPr>
    </w:p>
    <w:p w14:paraId="1D1B0EA6" w14:textId="44B957E8" w:rsidR="00C95516" w:rsidRDefault="00C95516" w:rsidP="002E3F19">
      <w:pPr>
        <w:spacing w:line="360" w:lineRule="auto"/>
        <w:ind w:left="851" w:hanging="851"/>
        <w:jc w:val="both"/>
        <w:rPr>
          <w:rStyle w:val="Kpr"/>
          <w:rFonts w:ascii="Times New Roman" w:hAnsi="Times New Roman" w:cs="Times New Roman"/>
          <w:color w:val="000000" w:themeColor="text1"/>
          <w:sz w:val="20"/>
          <w:szCs w:val="20"/>
        </w:rPr>
      </w:pPr>
    </w:p>
    <w:p w14:paraId="156E3A3F" w14:textId="3792CF61" w:rsidR="00C95516" w:rsidRDefault="00C95516" w:rsidP="002E3F19">
      <w:pPr>
        <w:spacing w:line="360" w:lineRule="auto"/>
        <w:ind w:left="851" w:hanging="851"/>
        <w:jc w:val="both"/>
        <w:rPr>
          <w:rStyle w:val="Kpr"/>
          <w:rFonts w:ascii="Times New Roman" w:hAnsi="Times New Roman" w:cs="Times New Roman"/>
          <w:color w:val="000000" w:themeColor="text1"/>
          <w:sz w:val="20"/>
          <w:szCs w:val="20"/>
        </w:rPr>
      </w:pPr>
    </w:p>
    <w:p w14:paraId="162A9136" w14:textId="447267B8" w:rsidR="00C95516" w:rsidRDefault="00C95516" w:rsidP="002E3F19">
      <w:pPr>
        <w:spacing w:line="360" w:lineRule="auto"/>
        <w:ind w:left="851" w:hanging="851"/>
        <w:jc w:val="both"/>
        <w:rPr>
          <w:rStyle w:val="Kpr"/>
          <w:rFonts w:ascii="Times New Roman" w:hAnsi="Times New Roman" w:cs="Times New Roman"/>
          <w:color w:val="000000" w:themeColor="text1"/>
          <w:sz w:val="20"/>
          <w:szCs w:val="20"/>
        </w:rPr>
      </w:pPr>
    </w:p>
    <w:p w14:paraId="7401DB80" w14:textId="0AAB95C0" w:rsidR="00C95516" w:rsidRDefault="00C95516" w:rsidP="002E3F19">
      <w:pPr>
        <w:spacing w:line="360" w:lineRule="auto"/>
        <w:ind w:left="851" w:hanging="851"/>
        <w:jc w:val="both"/>
        <w:rPr>
          <w:rStyle w:val="Kpr"/>
          <w:rFonts w:ascii="Times New Roman" w:hAnsi="Times New Roman" w:cs="Times New Roman"/>
          <w:color w:val="000000" w:themeColor="text1"/>
          <w:sz w:val="20"/>
          <w:szCs w:val="20"/>
        </w:rPr>
      </w:pPr>
    </w:p>
    <w:p w14:paraId="739C9953" w14:textId="746478A6" w:rsidR="00C95516" w:rsidRDefault="00C95516" w:rsidP="002E3F19">
      <w:pPr>
        <w:spacing w:line="360" w:lineRule="auto"/>
        <w:ind w:left="851" w:hanging="851"/>
        <w:jc w:val="both"/>
        <w:rPr>
          <w:rStyle w:val="Kpr"/>
          <w:rFonts w:ascii="Times New Roman" w:hAnsi="Times New Roman" w:cs="Times New Roman"/>
          <w:color w:val="000000" w:themeColor="text1"/>
          <w:sz w:val="20"/>
          <w:szCs w:val="20"/>
        </w:rPr>
      </w:pPr>
    </w:p>
    <w:p w14:paraId="4D756939" w14:textId="35A6721D" w:rsidR="00C95516" w:rsidRDefault="00C95516" w:rsidP="002E3F19">
      <w:pPr>
        <w:spacing w:line="360" w:lineRule="auto"/>
        <w:ind w:left="851" w:hanging="851"/>
        <w:jc w:val="both"/>
        <w:rPr>
          <w:rStyle w:val="Kpr"/>
          <w:rFonts w:ascii="Times New Roman" w:hAnsi="Times New Roman" w:cs="Times New Roman"/>
          <w:color w:val="000000" w:themeColor="text1"/>
          <w:sz w:val="20"/>
          <w:szCs w:val="20"/>
        </w:rPr>
      </w:pPr>
    </w:p>
    <w:p w14:paraId="4D74A3B7" w14:textId="77777777" w:rsidR="00C95516" w:rsidRDefault="00C95516" w:rsidP="002E3F19">
      <w:pPr>
        <w:spacing w:line="360" w:lineRule="auto"/>
        <w:ind w:left="851" w:hanging="851"/>
        <w:jc w:val="both"/>
        <w:rPr>
          <w:rStyle w:val="Kpr"/>
          <w:rFonts w:ascii="Times New Roman" w:hAnsi="Times New Roman" w:cs="Times New Roman"/>
          <w:color w:val="000000" w:themeColor="text1"/>
          <w:sz w:val="20"/>
          <w:szCs w:val="20"/>
        </w:rPr>
      </w:pPr>
    </w:p>
    <w:p w14:paraId="3B6F89FE" w14:textId="28D81D22" w:rsidR="006A4DC2" w:rsidRDefault="006A4DC2" w:rsidP="002E3F19">
      <w:pPr>
        <w:spacing w:line="360" w:lineRule="auto"/>
        <w:ind w:left="851" w:hanging="851"/>
        <w:jc w:val="both"/>
        <w:rPr>
          <w:rStyle w:val="Kpr"/>
          <w:rFonts w:ascii="Times New Roman" w:hAnsi="Times New Roman" w:cs="Times New Roman"/>
          <w:color w:val="000000" w:themeColor="text1"/>
          <w:sz w:val="20"/>
          <w:szCs w:val="20"/>
        </w:rPr>
      </w:pPr>
    </w:p>
    <w:p w14:paraId="05E276B3" w14:textId="77777777" w:rsidR="006A4DC2" w:rsidRPr="00164238" w:rsidRDefault="006A4DC2" w:rsidP="002E3F19">
      <w:pPr>
        <w:spacing w:line="360" w:lineRule="auto"/>
        <w:ind w:left="851" w:hanging="851"/>
        <w:jc w:val="both"/>
        <w:rPr>
          <w:rStyle w:val="Kpr"/>
          <w:rFonts w:ascii="Times New Roman" w:hAnsi="Times New Roman" w:cs="Times New Roman"/>
          <w:color w:val="000000" w:themeColor="text1"/>
          <w:sz w:val="20"/>
          <w:szCs w:val="20"/>
        </w:rPr>
      </w:pPr>
    </w:p>
    <w:p w14:paraId="73457F64" w14:textId="1376C24D" w:rsidR="002E3F19" w:rsidRPr="00164238" w:rsidRDefault="0046321D" w:rsidP="0046321D">
      <w:pPr>
        <w:pStyle w:val="Balk1"/>
        <w:rPr>
          <w:rFonts w:ascii="Times New Roman" w:eastAsia="Times New Roman" w:hAnsi="Times New Roman" w:cs="Times New Roman"/>
          <w:b/>
          <w:color w:val="000000" w:themeColor="text1"/>
          <w:sz w:val="24"/>
          <w:szCs w:val="24"/>
        </w:rPr>
      </w:pPr>
      <w:bookmarkStart w:id="167" w:name="_Toc72961746"/>
      <w:r w:rsidRPr="00164238">
        <w:rPr>
          <w:rFonts w:ascii="Times New Roman" w:eastAsia="Times New Roman" w:hAnsi="Times New Roman" w:cs="Times New Roman"/>
          <w:b/>
          <w:color w:val="000000" w:themeColor="text1"/>
          <w:sz w:val="24"/>
          <w:szCs w:val="24"/>
        </w:rPr>
        <w:lastRenderedPageBreak/>
        <w:t>IMPACT OF COVID 19 ON CONSUMER BEHAVIOR</w:t>
      </w:r>
      <w:bookmarkEnd w:id="167"/>
    </w:p>
    <w:p w14:paraId="29E85A1B" w14:textId="77777777" w:rsidR="002E3F19" w:rsidRPr="00164238" w:rsidRDefault="002E3F19" w:rsidP="002E3F19">
      <w:pPr>
        <w:spacing w:before="120" w:after="120" w:line="276" w:lineRule="auto"/>
        <w:jc w:val="center"/>
        <w:rPr>
          <w:rFonts w:ascii="Times New Roman" w:eastAsia="Times New Roman" w:hAnsi="Times New Roman" w:cs="Times New Roman"/>
          <w:b/>
          <w:color w:val="000000" w:themeColor="text1"/>
          <w:sz w:val="20"/>
          <w:szCs w:val="20"/>
        </w:rPr>
      </w:pPr>
    </w:p>
    <w:p w14:paraId="174A513D" w14:textId="77777777" w:rsidR="00C27A75" w:rsidRPr="00164238" w:rsidRDefault="002E3F19" w:rsidP="00C27A75">
      <w:pPr>
        <w:pStyle w:val="Balk2"/>
        <w:rPr>
          <w:rFonts w:ascii="Times New Roman" w:eastAsia="Arial" w:hAnsi="Times New Roman" w:cs="Times New Roman"/>
          <w:b w:val="0"/>
          <w:color w:val="000000" w:themeColor="text1"/>
          <w:sz w:val="20"/>
          <w:szCs w:val="20"/>
        </w:rPr>
      </w:pPr>
      <w:bookmarkStart w:id="168" w:name="_Toc72961747"/>
      <w:r w:rsidRPr="00164238">
        <w:rPr>
          <w:rFonts w:ascii="Times New Roman" w:hAnsi="Times New Roman" w:cs="Times New Roman"/>
          <w:b w:val="0"/>
          <w:color w:val="000000" w:themeColor="text1"/>
          <w:sz w:val="20"/>
          <w:szCs w:val="20"/>
        </w:rPr>
        <w:t xml:space="preserve">Araş. Gör. </w:t>
      </w:r>
      <w:r w:rsidR="00C27A75" w:rsidRPr="00164238">
        <w:rPr>
          <w:rStyle w:val="Balk2Char"/>
          <w:rFonts w:ascii="Times New Roman" w:hAnsi="Times New Roman" w:cs="Times New Roman"/>
          <w:color w:val="000000" w:themeColor="text1"/>
          <w:sz w:val="20"/>
          <w:szCs w:val="20"/>
        </w:rPr>
        <w:t>Seyda OK</w:t>
      </w:r>
      <w:r w:rsidR="00C27A75" w:rsidRPr="00164238">
        <w:rPr>
          <w:rFonts w:ascii="Times New Roman" w:eastAsia="Arial" w:hAnsi="Times New Roman" w:cs="Times New Roman"/>
          <w:b w:val="0"/>
          <w:color w:val="000000" w:themeColor="text1"/>
          <w:sz w:val="20"/>
          <w:szCs w:val="20"/>
        </w:rPr>
        <w:t>, Ankara Haci Bayram Veli University, Institute of Graduate Studies, 06570, Ankara, Turkey</w:t>
      </w:r>
      <w:bookmarkEnd w:id="168"/>
    </w:p>
    <w:p w14:paraId="191B4E74" w14:textId="77777777" w:rsidR="00C27A75" w:rsidRPr="00164238" w:rsidRDefault="00C27A75" w:rsidP="00C27A75">
      <w:pPr>
        <w:jc w:val="both"/>
        <w:rPr>
          <w:rFonts w:ascii="Times New Roman" w:hAnsi="Times New Roman" w:cs="Times New Roman"/>
          <w:color w:val="000000" w:themeColor="text1"/>
          <w:sz w:val="20"/>
          <w:szCs w:val="20"/>
        </w:rPr>
      </w:pPr>
      <w:r w:rsidRPr="00164238">
        <w:rPr>
          <w:rFonts w:ascii="Times New Roman" w:eastAsia="Arial" w:hAnsi="Times New Roman" w:cs="Times New Roman"/>
          <w:i/>
          <w:color w:val="000000" w:themeColor="text1"/>
          <w:sz w:val="20"/>
          <w:szCs w:val="20"/>
        </w:rPr>
        <w:t>e-mail</w:t>
      </w:r>
      <w:r w:rsidRPr="00164238">
        <w:rPr>
          <w:rFonts w:ascii="Times New Roman" w:eastAsia="Arial" w:hAnsi="Times New Roman" w:cs="Times New Roman"/>
          <w:color w:val="000000" w:themeColor="text1"/>
          <w:sz w:val="20"/>
          <w:szCs w:val="20"/>
        </w:rPr>
        <w:t xml:space="preserve">: </w:t>
      </w:r>
      <w:hyperlink r:id="rId323" w:history="1">
        <w:r w:rsidRPr="00164238">
          <w:rPr>
            <w:rStyle w:val="Kpr"/>
            <w:rFonts w:ascii="Times New Roman" w:eastAsia="Arial" w:hAnsi="Times New Roman" w:cs="Times New Roman"/>
            <w:color w:val="000000" w:themeColor="text1"/>
            <w:sz w:val="20"/>
            <w:szCs w:val="20"/>
          </w:rPr>
          <w:t>seyda.ok@hbv.edu.tr</w:t>
        </w:r>
      </w:hyperlink>
      <w:r w:rsidRPr="00164238">
        <w:rPr>
          <w:rFonts w:ascii="Times New Roman" w:eastAsia="Arial" w:hAnsi="Times New Roman" w:cs="Times New Roman"/>
          <w:color w:val="000000" w:themeColor="text1"/>
          <w:sz w:val="20"/>
          <w:szCs w:val="20"/>
        </w:rPr>
        <w:t xml:space="preserve"> </w:t>
      </w:r>
      <w:r w:rsidRPr="00164238">
        <w:rPr>
          <w:rFonts w:ascii="Times New Roman" w:eastAsia="Arial" w:hAnsi="Times New Roman" w:cs="Times New Roman"/>
          <w:i/>
          <w:color w:val="000000" w:themeColor="text1"/>
          <w:sz w:val="20"/>
          <w:szCs w:val="20"/>
        </w:rPr>
        <w:t>ORCID ID</w:t>
      </w:r>
      <w:r w:rsidRPr="00164238">
        <w:rPr>
          <w:rFonts w:ascii="Times New Roman" w:eastAsia="Arial" w:hAnsi="Times New Roman" w:cs="Times New Roman"/>
          <w:color w:val="000000" w:themeColor="text1"/>
          <w:sz w:val="20"/>
          <w:szCs w:val="20"/>
        </w:rPr>
        <w:t xml:space="preserve">:  </w:t>
      </w:r>
      <w:r w:rsidRPr="00164238">
        <w:rPr>
          <w:rFonts w:ascii="Times New Roman" w:hAnsi="Times New Roman" w:cs="Times New Roman"/>
          <w:color w:val="000000" w:themeColor="text1"/>
          <w:sz w:val="20"/>
          <w:szCs w:val="20"/>
          <w:shd w:val="clear" w:color="auto" w:fill="FFFFFF"/>
        </w:rPr>
        <w:t>0000-0002-1157-1701</w:t>
      </w:r>
    </w:p>
    <w:p w14:paraId="003196C2" w14:textId="1EF6F011" w:rsidR="00C27A75" w:rsidRPr="00164238" w:rsidRDefault="00C27A75" w:rsidP="00C27A75">
      <w:pPr>
        <w:pStyle w:val="Balk2"/>
        <w:rPr>
          <w:rFonts w:ascii="Times New Roman" w:eastAsia="Arial" w:hAnsi="Times New Roman" w:cs="Times New Roman"/>
          <w:b w:val="0"/>
          <w:color w:val="000000" w:themeColor="text1"/>
          <w:sz w:val="20"/>
          <w:szCs w:val="20"/>
        </w:rPr>
      </w:pPr>
      <w:bookmarkStart w:id="169" w:name="_Toc72961748"/>
      <w:r w:rsidRPr="00164238">
        <w:rPr>
          <w:rStyle w:val="Balk2Char"/>
          <w:rFonts w:ascii="Times New Roman" w:hAnsi="Times New Roman" w:cs="Times New Roman"/>
          <w:color w:val="000000" w:themeColor="text1"/>
          <w:sz w:val="20"/>
          <w:szCs w:val="20"/>
        </w:rPr>
        <w:t>Prof. Dr. Belgin AYDINTAN</w:t>
      </w:r>
      <w:r w:rsidRPr="00164238">
        <w:rPr>
          <w:rFonts w:ascii="Times New Roman" w:eastAsia="Arial" w:hAnsi="Times New Roman" w:cs="Times New Roman"/>
          <w:color w:val="000000" w:themeColor="text1"/>
          <w:sz w:val="20"/>
          <w:szCs w:val="20"/>
        </w:rPr>
        <w:t xml:space="preserve">, </w:t>
      </w:r>
      <w:r w:rsidRPr="00164238">
        <w:rPr>
          <w:rFonts w:ascii="Times New Roman" w:eastAsia="Arial" w:hAnsi="Times New Roman" w:cs="Times New Roman"/>
          <w:b w:val="0"/>
          <w:color w:val="000000" w:themeColor="text1"/>
          <w:sz w:val="20"/>
          <w:szCs w:val="20"/>
        </w:rPr>
        <w:t>Ankara Hacı Bayram Veli Üniversitesi, İktisadi ve İdari Bilimler Fakültesi, İşletme Bölümü, 06370, Ankara</w:t>
      </w:r>
      <w:bookmarkEnd w:id="169"/>
    </w:p>
    <w:p w14:paraId="09714AC6" w14:textId="77777777" w:rsidR="00C27A75" w:rsidRPr="00164238" w:rsidRDefault="00C27A75" w:rsidP="00C27A75">
      <w:pPr>
        <w:jc w:val="both"/>
        <w:rPr>
          <w:rFonts w:ascii="Times New Roman" w:hAnsi="Times New Roman" w:cs="Times New Roman"/>
          <w:color w:val="000000" w:themeColor="text1"/>
          <w:sz w:val="20"/>
          <w:szCs w:val="20"/>
        </w:rPr>
      </w:pPr>
      <w:r w:rsidRPr="00164238">
        <w:rPr>
          <w:rFonts w:ascii="Times New Roman" w:eastAsia="Arial" w:hAnsi="Times New Roman" w:cs="Times New Roman"/>
          <w:i/>
          <w:color w:val="000000" w:themeColor="text1"/>
          <w:sz w:val="20"/>
          <w:szCs w:val="20"/>
        </w:rPr>
        <w:t>e-mail:</w:t>
      </w:r>
      <w:r w:rsidRPr="00164238">
        <w:rPr>
          <w:rFonts w:ascii="Times New Roman" w:eastAsia="Arial" w:hAnsi="Times New Roman" w:cs="Times New Roman"/>
          <w:color w:val="000000" w:themeColor="text1"/>
          <w:sz w:val="20"/>
          <w:szCs w:val="20"/>
          <w:u w:val="single"/>
        </w:rPr>
        <w:t>belgin.aydintan@hbv.edu.tr</w:t>
      </w:r>
      <w:r w:rsidRPr="00164238">
        <w:rPr>
          <w:rFonts w:ascii="Times New Roman" w:eastAsia="Arial" w:hAnsi="Times New Roman" w:cs="Times New Roman"/>
          <w:color w:val="000000" w:themeColor="text1"/>
          <w:sz w:val="20"/>
          <w:szCs w:val="20"/>
        </w:rPr>
        <w:t xml:space="preserve"> </w:t>
      </w:r>
      <w:r w:rsidRPr="00164238">
        <w:rPr>
          <w:rFonts w:ascii="Times New Roman" w:eastAsia="Arial" w:hAnsi="Times New Roman" w:cs="Times New Roman"/>
          <w:i/>
          <w:color w:val="000000" w:themeColor="text1"/>
          <w:sz w:val="20"/>
          <w:szCs w:val="20"/>
        </w:rPr>
        <w:t>ORCID ID:</w:t>
      </w:r>
      <w:r w:rsidRPr="00164238">
        <w:rPr>
          <w:rFonts w:ascii="Times New Roman" w:eastAsia="Arial" w:hAnsi="Times New Roman" w:cs="Times New Roman"/>
          <w:color w:val="000000" w:themeColor="text1"/>
          <w:sz w:val="20"/>
          <w:szCs w:val="20"/>
        </w:rPr>
        <w:t xml:space="preserve"> </w:t>
      </w:r>
      <w:r w:rsidRPr="00164238">
        <w:rPr>
          <w:rFonts w:ascii="Times New Roman" w:hAnsi="Times New Roman" w:cs="Times New Roman"/>
          <w:color w:val="000000" w:themeColor="text1"/>
          <w:sz w:val="20"/>
          <w:szCs w:val="20"/>
          <w:shd w:val="clear" w:color="auto" w:fill="FFFFFF"/>
        </w:rPr>
        <w:t>0000-0002-9057-4336</w:t>
      </w:r>
    </w:p>
    <w:p w14:paraId="12FA22B6" w14:textId="77777777" w:rsidR="002E3F19" w:rsidRPr="00164238" w:rsidRDefault="002E3F19" w:rsidP="002E3F19">
      <w:pPr>
        <w:spacing w:before="120" w:after="120" w:line="276" w:lineRule="auto"/>
        <w:jc w:val="both"/>
        <w:rPr>
          <w:rFonts w:ascii="Times New Roman" w:eastAsia="Times New Roman" w:hAnsi="Times New Roman" w:cs="Times New Roman"/>
          <w:color w:val="000000" w:themeColor="text1"/>
          <w:sz w:val="20"/>
          <w:szCs w:val="20"/>
        </w:rPr>
      </w:pPr>
    </w:p>
    <w:p w14:paraId="56EA0238" w14:textId="77777777" w:rsidR="002E3F19" w:rsidRPr="00164238" w:rsidRDefault="002E3F19" w:rsidP="002E3F19">
      <w:pPr>
        <w:spacing w:before="120" w:after="120" w:line="276" w:lineRule="auto"/>
        <w:ind w:firstLine="708"/>
        <w:jc w:val="both"/>
        <w:rPr>
          <w:rFonts w:ascii="Times New Roman" w:eastAsia="Times New Roman" w:hAnsi="Times New Roman" w:cs="Times New Roman"/>
          <w:b/>
          <w:color w:val="000000" w:themeColor="text1"/>
          <w:sz w:val="20"/>
          <w:szCs w:val="20"/>
        </w:rPr>
      </w:pPr>
      <w:r w:rsidRPr="00164238">
        <w:rPr>
          <w:rFonts w:ascii="Times New Roman" w:eastAsia="Times New Roman" w:hAnsi="Times New Roman" w:cs="Times New Roman"/>
          <w:b/>
          <w:color w:val="000000" w:themeColor="text1"/>
          <w:sz w:val="20"/>
          <w:szCs w:val="20"/>
        </w:rPr>
        <w:t>Abstract</w:t>
      </w:r>
    </w:p>
    <w:p w14:paraId="6A63F52F" w14:textId="77777777" w:rsidR="002E3F19" w:rsidRPr="00164238"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The covid-19 virus, which originated in Wuhan, China and soon became a global epidemic, caused a rapid change in consumers ' purchasing behavior. It is known that unexpected periods of crisis affect the economic and psychological structure, especially the resulting state of uncertainty and, accordingly, the differentiation of individuals in purchasing decisions. In the study, Covid-19 was intended to reveal the change in consumer behavior. Due to the epidemic, countries ' introversion, restriction of many activities, enforcement of curfew, etc.sanctions have caused people to spend more time at home and consumers to adapt to a new order. As the uncertainty created by Covid-19 continues throughout the world, its impact is felt in different ways between countries. That's why there are significant differences in how consumers will respond to the crisis and adapt to the next normal. Research reveals how consumers deal with situations that occur during periods of crisis. In addition to increased spending, especially on food, there is a positive increase in demand in other areas, and consumers are adapting to different brands, new shopping channels and changing behavior patterns that they have not previously preferred. At this time, consumers globally are affected by the economic consequences of the pandemic, greatly delaying their non-mandatory, non-priority spending. As a result, it can be stated that the change experienced in consumer behavior will continue due to the perception of uncertainty created by the troubled days we are in.</w:t>
      </w:r>
    </w:p>
    <w:p w14:paraId="17C1F9EC" w14:textId="77777777" w:rsidR="002E3F19" w:rsidRPr="00164238" w:rsidRDefault="002E3F19" w:rsidP="002E3F19">
      <w:pPr>
        <w:spacing w:before="120" w:after="120" w:line="276" w:lineRule="auto"/>
        <w:jc w:val="both"/>
        <w:rPr>
          <w:rFonts w:ascii="Times New Roman" w:eastAsia="Times New Roman" w:hAnsi="Times New Roman" w:cs="Times New Roman"/>
          <w:b/>
          <w:color w:val="000000" w:themeColor="text1"/>
          <w:sz w:val="20"/>
          <w:szCs w:val="20"/>
        </w:rPr>
      </w:pPr>
      <w:r w:rsidRPr="00164238">
        <w:rPr>
          <w:rFonts w:ascii="Times New Roman" w:eastAsia="Times New Roman" w:hAnsi="Times New Roman" w:cs="Times New Roman"/>
          <w:b/>
          <w:color w:val="000000" w:themeColor="text1"/>
          <w:sz w:val="20"/>
          <w:szCs w:val="20"/>
        </w:rPr>
        <w:t xml:space="preserve">Keywords: </w:t>
      </w:r>
      <w:r w:rsidRPr="00164238">
        <w:rPr>
          <w:rFonts w:ascii="Times New Roman" w:eastAsia="Times New Roman" w:hAnsi="Times New Roman" w:cs="Times New Roman"/>
          <w:color w:val="000000" w:themeColor="text1"/>
          <w:sz w:val="20"/>
          <w:szCs w:val="20"/>
        </w:rPr>
        <w:t>Consumer behavior, Crisis, Covid-19 Pandemic</w:t>
      </w:r>
      <w:r w:rsidRPr="00164238">
        <w:rPr>
          <w:rFonts w:ascii="Times New Roman" w:eastAsia="Times New Roman" w:hAnsi="Times New Roman" w:cs="Times New Roman"/>
          <w:b/>
          <w:color w:val="000000" w:themeColor="text1"/>
          <w:sz w:val="20"/>
          <w:szCs w:val="20"/>
        </w:rPr>
        <w:t xml:space="preserve"> </w:t>
      </w:r>
    </w:p>
    <w:p w14:paraId="079D9127" w14:textId="77A19368" w:rsidR="002E3F19" w:rsidRPr="00164238" w:rsidRDefault="00C27A75" w:rsidP="002E3F19">
      <w:pPr>
        <w:spacing w:before="120" w:after="120" w:line="276" w:lineRule="auto"/>
        <w:jc w:val="center"/>
        <w:rPr>
          <w:rFonts w:ascii="Times New Roman" w:eastAsia="Times New Roman" w:hAnsi="Times New Roman" w:cs="Times New Roman"/>
          <w:b/>
          <w:color w:val="000000" w:themeColor="text1"/>
          <w:sz w:val="20"/>
          <w:szCs w:val="20"/>
        </w:rPr>
      </w:pPr>
      <w:r w:rsidRPr="00164238">
        <w:rPr>
          <w:rFonts w:ascii="Times New Roman" w:eastAsia="Times New Roman" w:hAnsi="Times New Roman" w:cs="Times New Roman"/>
          <w:b/>
          <w:color w:val="000000" w:themeColor="text1"/>
          <w:sz w:val="20"/>
          <w:szCs w:val="20"/>
        </w:rPr>
        <w:t>COVİD-19’UN TÜKETİCİ DAVRANIŞI ÜZERİNDEKİ ETKİSİ</w:t>
      </w:r>
    </w:p>
    <w:p w14:paraId="42D64468" w14:textId="77777777" w:rsidR="002E3F19" w:rsidRPr="00164238" w:rsidRDefault="002E3F19" w:rsidP="002E3F19">
      <w:pPr>
        <w:spacing w:before="120" w:after="120" w:line="276" w:lineRule="auto"/>
        <w:ind w:firstLine="708"/>
        <w:jc w:val="both"/>
        <w:rPr>
          <w:rFonts w:ascii="Times New Roman" w:eastAsia="Times New Roman" w:hAnsi="Times New Roman" w:cs="Times New Roman"/>
          <w:b/>
          <w:color w:val="000000" w:themeColor="text1"/>
          <w:sz w:val="20"/>
          <w:szCs w:val="20"/>
        </w:rPr>
      </w:pPr>
      <w:r w:rsidRPr="00164238">
        <w:rPr>
          <w:rFonts w:ascii="Times New Roman" w:eastAsia="Times New Roman" w:hAnsi="Times New Roman" w:cs="Times New Roman"/>
          <w:b/>
          <w:color w:val="000000" w:themeColor="text1"/>
          <w:sz w:val="20"/>
          <w:szCs w:val="20"/>
        </w:rPr>
        <w:t xml:space="preserve">Özet </w:t>
      </w:r>
    </w:p>
    <w:p w14:paraId="310B2F4F" w14:textId="77777777" w:rsidR="002E3F19" w:rsidRPr="00164238"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xml:space="preserve">Çin'in Wuhan kentinde ortaya çıkan ve kısa sürede küresel bir salgın haline gelen Covid-19 virüsü tüketicilerin satın alma davranışları üzerinde hızlı bir değişikliğe neden olmuştur. Beklenmedik kriz dönemlerinin özellikle ekonomik ve psikolojik yapıyı etkilemesi, ortaya çıkan belirsizlik durumu ve buna bağlı olarak bireylerin satın alma kararlarında farklılaşmalara neden olduğu bilinmektedir. Yapılan çalışmada Covid-19 'un tüketici davranışlarında meydana gelen değişikliği ortaya koyması amaçlanmıştır. Salgın sebebiyle ülkelerin içe kapanması, birçok faaliyetin kısıtlanması, sokağa çıkma yasağı vb. yaptırımların uygulanması, insanların evde daha çok vakit geçirmesine ve tüketicilerin yeni bir düzene uyum sağlamalarına neden olmuştur. Covid-19'un yarattığı belirsizlik dünya genelinde devam ederken, etkisi ülkeler arasında değişik şekillerde hissedilmiştir. Bu nedenle tüketicilerin krize karşı nasıl tepki verdiği ve bir sonraki normale nasıl uyum sağlayacağı konusunda önemli farklılıklar ortaya çıkmıştır. Yapılan araştırmalar tüketicilerin kriz dönemlerinde oluşan durumlar ile nasıl başa çıktığını ortaya koymuştur. Özellikle gıdaya yönelik artan harcamaların yanı sıra, başka alanlarda da olumlu yönde talep artışının izlendiği, tüketicilerin daha önce tercih etmedikleri farklı markalara, yeni alışveriş kanallarına ve değişen davranış biçimlerine uyum sağladıkları görülmüştür. Bu sırada küresel olarak tüketiciler pandeminin ekonomik sonuçlarından etkilenmiş ve zorunlu olmayan, öncelikli bulmadıkları harcamalarını </w:t>
      </w:r>
      <w:r w:rsidRPr="00164238">
        <w:rPr>
          <w:rFonts w:ascii="Times New Roman" w:eastAsia="Times New Roman" w:hAnsi="Times New Roman" w:cs="Times New Roman"/>
          <w:color w:val="000000" w:themeColor="text1"/>
          <w:sz w:val="20"/>
          <w:szCs w:val="20"/>
        </w:rPr>
        <w:lastRenderedPageBreak/>
        <w:t>büyük ölçüde ertelemiştir. Sonuç olarak içinde bulunduğumuz sıkıntılı günlerin oluşturduğu belirsizlik algısı nedeniyle tüketici davranışlarında yaşanan değişimlerin devam edeceği ifade edilebilir.</w:t>
      </w:r>
    </w:p>
    <w:p w14:paraId="1522C843" w14:textId="77777777" w:rsidR="002E3F19" w:rsidRPr="00164238" w:rsidRDefault="002E3F19" w:rsidP="002E3F19">
      <w:pPr>
        <w:spacing w:before="120" w:after="120" w:line="276" w:lineRule="auto"/>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b/>
          <w:color w:val="000000" w:themeColor="text1"/>
          <w:sz w:val="20"/>
          <w:szCs w:val="20"/>
        </w:rPr>
        <w:t xml:space="preserve">Anahtar kelimeler: </w:t>
      </w:r>
      <w:r w:rsidRPr="00164238">
        <w:rPr>
          <w:rFonts w:ascii="Times New Roman" w:eastAsia="Times New Roman" w:hAnsi="Times New Roman" w:cs="Times New Roman"/>
          <w:color w:val="000000" w:themeColor="text1"/>
          <w:sz w:val="20"/>
          <w:szCs w:val="20"/>
        </w:rPr>
        <w:t>Tüketici davranışı, Kriz, Covid- 19 Pandemisi</w:t>
      </w:r>
    </w:p>
    <w:p w14:paraId="72696EA8" w14:textId="0A586AC8" w:rsidR="002E3F19" w:rsidRPr="00164238" w:rsidRDefault="002E3F19" w:rsidP="002E3F19">
      <w:pPr>
        <w:spacing w:before="120" w:after="120" w:line="276" w:lineRule="auto"/>
        <w:ind w:right="1417" w:firstLine="708"/>
        <w:jc w:val="both"/>
        <w:rPr>
          <w:rFonts w:ascii="Times New Roman" w:eastAsia="Times New Roman" w:hAnsi="Times New Roman" w:cs="Times New Roman"/>
          <w:b/>
          <w:color w:val="000000" w:themeColor="text1"/>
          <w:sz w:val="20"/>
          <w:szCs w:val="20"/>
        </w:rPr>
      </w:pPr>
      <w:r w:rsidRPr="00164238">
        <w:rPr>
          <w:rFonts w:ascii="Times New Roman" w:eastAsia="Times New Roman" w:hAnsi="Times New Roman" w:cs="Times New Roman"/>
          <w:b/>
          <w:color w:val="000000" w:themeColor="text1"/>
          <w:sz w:val="20"/>
          <w:szCs w:val="20"/>
        </w:rPr>
        <w:t>Giriş</w:t>
      </w:r>
    </w:p>
    <w:p w14:paraId="51C70556" w14:textId="77777777" w:rsidR="002E3F19" w:rsidRPr="00164238"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xml:space="preserve">Covid-19’un yarattığı mevcut ekonomik ve sosyal kriz tüm dünyayı etkisi altına aldı. Çevresel faktörlerde ani ve öngörülemeyen değişimler nedeniyle işletmelerin yeni ekonomik düzene uyum sağlamaya çalışması, iflas etmek ile hayatta kalma çabası arasında gösterdikleri mücadele, krizin yaratmış olduğu en belirgin olumsuzluklardan biri olmuştur. </w:t>
      </w:r>
    </w:p>
    <w:p w14:paraId="5B249A12" w14:textId="77777777" w:rsidR="002E3F19" w:rsidRPr="00164238"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İnsanlık tarih boyunca birçok salgın ile karşı karşıya kalmıştır. Çocuk felci, tifüs, İspanyol gribi bunlardan yalnızca birkaçıdır. Covid-19 sık sık İspanyol gribi ile karşılaştırılsa da insanlığın bu denli sağlığı, geleceği ve hayatı için endişe ettiği, devletlerin olağan üstü önlemler almaya ihtiyaç duyduğu, ülkelerin gelişmişlik düzeyine bakmaksızın, bireylerin sosyal sınıf ve statülerinden bağımsız olarak, herkesi etkileyen bir dönem yaşamamız nedeniyle önceki salgınlardan çok daha zorlayıcı bir pandemi olduğu ifade edilebilir.</w:t>
      </w:r>
    </w:p>
    <w:p w14:paraId="2637789C" w14:textId="77777777" w:rsidR="002E3F19" w:rsidRPr="00164238"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Son dönemde yapılan çalışmalara göre, ekonomik kriz süresince tüketici davranışları temelden değişmiş ve tüketici beklentileri açısından çok daha rasyonel, ekonomik ve aynı zamanda daha talepkar hale gelmiştir. Tüketici, beklentilerinin karşılanacağından emin olmadıkça, çok daha sınırlı olan gelirlerini kolayca harcamayı tercih etmemiştir. Gelirlerinde gözle görülür şekilde azalma yaşayan tüketiciler satın alınan tüm mal ve hizmetleri fayda açısından analiz ederek, gerçek bir ihtiyacı karşılamayan satın alımlardan kaçınma eğilimi göstermiştir.</w:t>
      </w:r>
    </w:p>
    <w:p w14:paraId="391ACADE" w14:textId="4BB6354A" w:rsidR="002E3F19" w:rsidRPr="00164238" w:rsidRDefault="002E3F19" w:rsidP="002E3F19">
      <w:pPr>
        <w:spacing w:before="120" w:after="120" w:line="276" w:lineRule="auto"/>
        <w:ind w:firstLine="708"/>
        <w:jc w:val="both"/>
        <w:rPr>
          <w:rFonts w:ascii="Times New Roman" w:eastAsia="Times New Roman" w:hAnsi="Times New Roman" w:cs="Times New Roman"/>
          <w:b/>
          <w:color w:val="000000" w:themeColor="text1"/>
          <w:sz w:val="20"/>
          <w:szCs w:val="20"/>
        </w:rPr>
      </w:pPr>
      <w:r w:rsidRPr="00164238">
        <w:rPr>
          <w:rFonts w:ascii="Times New Roman" w:eastAsia="Times New Roman" w:hAnsi="Times New Roman" w:cs="Times New Roman"/>
          <w:b/>
          <w:color w:val="000000" w:themeColor="text1"/>
          <w:sz w:val="20"/>
          <w:szCs w:val="20"/>
        </w:rPr>
        <w:t xml:space="preserve"> Kriz Dönemlerinde Tüketici Davranışı </w:t>
      </w:r>
    </w:p>
    <w:p w14:paraId="53E58A74" w14:textId="77777777" w:rsidR="002E3F19" w:rsidRPr="00164238"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Çoğunlukla, belirli bir zamanda, bir ekonomide meydana gelen öngörülemeyen, bazen çalkantılı bir olay olarak tanımlanan ekonomik kriz, bir kuruluşun faaliyetlerinin sonuçlarını önemli ölçüde etkileyebilecek bir dönüm noktası olarak görülebilir (Lundgren ve McMakin, 2004)</w:t>
      </w:r>
    </w:p>
    <w:p w14:paraId="27FD5BE2" w14:textId="77777777" w:rsidR="002E3F19" w:rsidRPr="00164238"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İşsizliğin artması, ücretlerin ve emekli maaşlarının belirli bir seviyede durdurulması, enflasyonun yükselmesi, ürün fiyatlarının artması ve satın alma gücünün azalması bir krizin ekonomik ve sosyal sonuçları olarak ifade edilebilir; bu da nüfusun satın alma ve tüketim davranışında büyük değişikliklere yol açmaktadır. Krizin etkileri tüketici tarafından hem ekonomik hem de psikolojik olarak hissedilecektir (Sharma ve Sonwalkar, 2013)</w:t>
      </w:r>
    </w:p>
    <w:p w14:paraId="3DBABB7A" w14:textId="77777777" w:rsidR="002E3F19" w:rsidRPr="00164238"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xml:space="preserve">Tüketici davranışı, bireylerin, grupların veya kuruluşların faaliyetlerden önce gelen veya takip eden tüketicinin duygusal, zihinsel ve davranışsal tepkileri de dahil olmak üzere, mal ve hizmetlerin alımı, kullanımı ve elden çıkarılması ile ilgili tüm faaliyetlerin incelenmesidir (Wikipedia, 2021). </w:t>
      </w:r>
    </w:p>
    <w:p w14:paraId="3FB71103" w14:textId="77777777" w:rsidR="002E3F19" w:rsidRPr="00164238"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Tüketici davranışlarını incelerken kullanılan yaklaşımlar üç sınıfa ayrılabilir (Valaskova ve Kliestik, 2015):</w:t>
      </w:r>
    </w:p>
    <w:p w14:paraId="6D1463D3" w14:textId="77777777" w:rsidR="002E3F19" w:rsidRPr="00164238" w:rsidRDefault="002E3F19" w:rsidP="002E3F19">
      <w:pPr>
        <w:spacing w:before="120" w:after="120" w:line="276" w:lineRule="auto"/>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Psikolojik yaklaşım: Tüketici davranışları üzerindeki psikolojik etkileri vurgulamaya, tüketicilerin uyaranlara karşı nasıl tepki verdiğini anlamaya çalışan, tüketici davranış değişkenleri olan deneyim ve öğrenmeyi temel alan yaklaşımdır.</w:t>
      </w:r>
    </w:p>
    <w:p w14:paraId="42467749" w14:textId="77777777" w:rsidR="002E3F19" w:rsidRPr="00164238" w:rsidRDefault="002E3F19" w:rsidP="002E3F19">
      <w:pPr>
        <w:spacing w:before="120" w:after="120" w:line="276" w:lineRule="auto"/>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xml:space="preserve">▪ Sosyolojik yaklaşım: Tüketicinin çeşitli durumlarda ortaya çıkan sosyal etkilere karşı nasıl tepki verdiğini inceleyen bir yaklaşımdır. </w:t>
      </w:r>
    </w:p>
    <w:p w14:paraId="245AF913" w14:textId="77777777" w:rsidR="002E3F19" w:rsidRPr="00164238" w:rsidRDefault="002E3F19" w:rsidP="002E3F19">
      <w:pPr>
        <w:spacing w:before="120" w:after="120" w:line="276" w:lineRule="auto"/>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Ekonomik yaklaşım: Bireysel tüketicinin ihtiyaçlarının piyasada talep şeklinde nasıl ortaya çıktığını açıklayan ve daha sonra belirli bir zamanda piyasadaki teklifle karşılaştığında nasıl denge kurulduğunu vurgulayan yaklaşımdır.</w:t>
      </w:r>
    </w:p>
    <w:p w14:paraId="5112014D" w14:textId="77777777" w:rsidR="002E3F19" w:rsidRPr="00164238"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lastRenderedPageBreak/>
        <w:t>Genel olarak, tüketici davranışını ve nasıl ortaya çıktığını anlamak için, tüm problem çözme sürecini etkileyen iç ve dış faktörleri analiz etmek önemlidir (Wright, 2006)</w:t>
      </w:r>
    </w:p>
    <w:p w14:paraId="3AC8D80A" w14:textId="77777777" w:rsidR="002E3F19" w:rsidRPr="00164238" w:rsidRDefault="002E3F19" w:rsidP="002E3F19">
      <w:pPr>
        <w:spacing w:before="120" w:after="120" w:line="276" w:lineRule="auto"/>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xml:space="preserve">Tüketici davranışları pek çok faktörün etkisi altındadır. Bu faktörler şu şekilde sıralanabilir: </w:t>
      </w:r>
    </w:p>
    <w:p w14:paraId="4614D525" w14:textId="77777777" w:rsidR="002E3F19" w:rsidRPr="00164238" w:rsidRDefault="002E3F19" w:rsidP="002E3F19">
      <w:pPr>
        <w:spacing w:before="120" w:after="120" w:line="276" w:lineRule="auto"/>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xml:space="preserve">Tüketici Davranışlarını Etkileyen Faktörler: </w:t>
      </w:r>
    </w:p>
    <w:p w14:paraId="2841BA4B" w14:textId="77777777" w:rsidR="002E3F19" w:rsidRPr="00164238" w:rsidRDefault="002E3F19" w:rsidP="002E3F19">
      <w:pPr>
        <w:spacing w:before="120" w:after="120" w:line="276" w:lineRule="auto"/>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xml:space="preserve">• Psikolojik faktörler: satın alma güdüsü, ürüne karşı algı ve ürüne karşı tutum. </w:t>
      </w:r>
    </w:p>
    <w:p w14:paraId="7C949E84" w14:textId="77777777" w:rsidR="002E3F19" w:rsidRPr="00164238" w:rsidRDefault="002E3F19" w:rsidP="002E3F19">
      <w:pPr>
        <w:spacing w:before="120" w:after="120" w:line="276" w:lineRule="auto"/>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Kültürel faktörler: din, sosyal sınıf, yöresel zevkler.</w:t>
      </w:r>
    </w:p>
    <w:p w14:paraId="6C9234E6" w14:textId="77777777" w:rsidR="002E3F19" w:rsidRPr="00164238" w:rsidRDefault="002E3F19" w:rsidP="002E3F19">
      <w:pPr>
        <w:spacing w:before="120" w:after="120" w:line="276" w:lineRule="auto"/>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xml:space="preserve">• Durumsal faktörler: satın alma anındaki fiziki koşullar, sosyal çevre, zamanlama. </w:t>
      </w:r>
    </w:p>
    <w:p w14:paraId="40043AA4" w14:textId="77777777" w:rsidR="002E3F19" w:rsidRPr="00164238" w:rsidRDefault="002E3F19" w:rsidP="002E3F19">
      <w:pPr>
        <w:spacing w:before="120" w:after="120" w:line="276" w:lineRule="auto"/>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xml:space="preserve">• Pazarlama faktörleri: ürün tasarımı, fiyat, promosyon, paket, konumlandırma ve dağıtım. </w:t>
      </w:r>
    </w:p>
    <w:p w14:paraId="7D4A6C62" w14:textId="77777777" w:rsidR="002E3F19" w:rsidRPr="00164238" w:rsidRDefault="002E3F19" w:rsidP="002E3F19">
      <w:pPr>
        <w:spacing w:before="120" w:after="120" w:line="276" w:lineRule="auto"/>
        <w:jc w:val="both"/>
        <w:rPr>
          <w:rFonts w:ascii="Times New Roman" w:eastAsia="Calibri"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Sosyal faktörler: sosyal statü, referans grupları.</w:t>
      </w:r>
      <w:r w:rsidRPr="00164238">
        <w:rPr>
          <w:rFonts w:ascii="Times New Roman" w:hAnsi="Times New Roman" w:cs="Times New Roman"/>
          <w:color w:val="000000" w:themeColor="text1"/>
          <w:sz w:val="20"/>
          <w:szCs w:val="20"/>
        </w:rPr>
        <w:t xml:space="preserve"> </w:t>
      </w:r>
    </w:p>
    <w:p w14:paraId="2B2CDE65" w14:textId="77777777" w:rsidR="002E3F19" w:rsidRPr="00164238" w:rsidRDefault="002E3F19" w:rsidP="002E3F19">
      <w:pPr>
        <w:spacing w:before="120" w:after="120" w:line="276" w:lineRule="auto"/>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xml:space="preserve">• Tüketici özellikleri: yaş, cinsiyet, gelir seviyesi, eğitim seviyesi, lokasyon. </w:t>
      </w:r>
    </w:p>
    <w:p w14:paraId="735C86A8" w14:textId="77777777" w:rsidR="002E3F19" w:rsidRPr="00164238"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Tüm bu faktörlerin tüketici davranışları üzerinde önemli etkileri bulunmaktadır. Özellikle psikolojik faktörlerin tüketici davranışları üzerinde güçlü bir etkisi olduğu ifade edilebilir. Tüketicilerin sahip olduğu motivasyon; alacakları kararları, neye dikkat ettikleri ve algılarının nasıl şekilleneceği konusunda etkilemektedir. Bu faktörler aynı zamanda bir tüketicinin algılama sonrası tutumlarının ne yönde oluşacağını da belirlemektedir.</w:t>
      </w:r>
    </w:p>
    <w:p w14:paraId="3FA6BD30" w14:textId="77777777" w:rsidR="002E3F19" w:rsidRPr="00164238"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Tüketici davranışı, satın alma öncesi ve sonrası bir dizi eylemi içeren karmaşık bir süreç olarak görülmektedir. Tüketici tarafından algılanan risk önemli bir faktör olduğundan, kriz zamanlarında tezahür yolunda radikal değişiklikler ortaya koymaktadır (Hansen, Percy ve Hansen, 2004)</w:t>
      </w:r>
    </w:p>
    <w:p w14:paraId="7AB4B27A" w14:textId="77777777" w:rsidR="002E3F19" w:rsidRPr="00164238"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Tüketicilerin ekonomik kriz dönemlerinde riski algılama ve riskten kaçınma şekline bağlı olarak tüketiciler için farklı tipolojilerin ortaya çıkmasına neden olmuştur (Sharma &amp; Sonwalkar, 2013):</w:t>
      </w:r>
    </w:p>
    <w:p w14:paraId="012FDC93" w14:textId="77777777" w:rsidR="002E3F19" w:rsidRPr="00164238" w:rsidRDefault="002E3F19" w:rsidP="002E3F19">
      <w:pPr>
        <w:spacing w:before="120" w:after="120" w:line="276" w:lineRule="auto"/>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Panik tüketici: Bir durumu hemen stresli olarak algılayan, aşırı tepki verme eğiliminde olan ve riske karşı yüksek bir isteksizlik gösteren kişilerdir. Bir kriz durumunda, bu tüketiciler maliyetlerini en aza indirecek, markayı ve hatta ürünü kolayca değiştirecek, kararları ürünlerin fiyatına dayanacaktır.</w:t>
      </w:r>
    </w:p>
    <w:p w14:paraId="242D9665" w14:textId="77777777" w:rsidR="002E3F19" w:rsidRPr="00164238" w:rsidRDefault="002E3F19" w:rsidP="002E3F19">
      <w:pPr>
        <w:spacing w:before="120" w:after="120" w:line="276" w:lineRule="auto"/>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İhtiyatlı tüketici: Risk durumu ile karşı karşıya kaldıklarında karar verme sürecinde bilgi aramak için oldukça kapsamlı bir araştırma yapan ve temkinli davranan tüketicilerin oluşturduğu gruptur.</w:t>
      </w:r>
    </w:p>
    <w:p w14:paraId="03EF73DE" w14:textId="77777777" w:rsidR="002E3F19" w:rsidRPr="00164238" w:rsidRDefault="002E3F19" w:rsidP="002E3F19">
      <w:pPr>
        <w:spacing w:before="120" w:after="120" w:line="276" w:lineRule="auto"/>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xml:space="preserve">▪ Endişeli tüketici: Riske maruz kaldıklarını algıladıkları zaman satın alımlarını dikkatli şekilde planlamaya çalışırlar. Genellikle bir markaya sadıktırlar ve seçimlerini ancak başka bir alternatif gerçekten bir fırsatı temsil ediyorsa yönelirler. </w:t>
      </w:r>
    </w:p>
    <w:p w14:paraId="143CBC18" w14:textId="77777777" w:rsidR="002E3F19" w:rsidRPr="00164238" w:rsidRDefault="002E3F19" w:rsidP="002E3F19">
      <w:pPr>
        <w:spacing w:before="120" w:after="120" w:line="276" w:lineRule="auto"/>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Rasyonel tüketici: Riskten kaçınmayan, kriz zamanlarında bile, bu grupta yer alan tüketiciler, en sevdikleri ürünleri satın almaya devam ederek alışveriş alışkanlıklarını korur.</w:t>
      </w:r>
    </w:p>
    <w:p w14:paraId="79089588" w14:textId="77777777" w:rsidR="002E3F19" w:rsidRPr="00164238"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xml:space="preserve">Bir finansal kriz koşullarında, tüketici davranışındaki büyük değişiklikler aşağıdaki yönlerle ilgilidir: (Nie, Zhao ve Yu, 2010) </w:t>
      </w:r>
    </w:p>
    <w:p w14:paraId="595D7C6D" w14:textId="77777777" w:rsidR="002E3F19" w:rsidRPr="00164238" w:rsidRDefault="002E3F19" w:rsidP="002E3F19">
      <w:pPr>
        <w:spacing w:before="120" w:after="120" w:line="276" w:lineRule="auto"/>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Tüketici güveni, harcamalarda bir azalmaya yol açan ekonomik belirsizlikler nedeniyle azalmaktadır.</w:t>
      </w:r>
    </w:p>
    <w:p w14:paraId="727B471F" w14:textId="77777777" w:rsidR="002E3F19" w:rsidRPr="00164238" w:rsidRDefault="002E3F19" w:rsidP="002E3F19">
      <w:pPr>
        <w:spacing w:before="120" w:after="120" w:line="276" w:lineRule="auto"/>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Tüketici, mal / hizmet satın alırken ürünlerin fiyatı konusunda çok daha rasyonel ve hassas hale gelir.</w:t>
      </w:r>
    </w:p>
    <w:p w14:paraId="7E64752E" w14:textId="77777777" w:rsidR="002E3F19" w:rsidRPr="00164238" w:rsidRDefault="002E3F19" w:rsidP="002E3F19">
      <w:pPr>
        <w:spacing w:before="120" w:after="120" w:line="276" w:lineRule="auto"/>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Çeşitli promosyon araçlarına verilen dikkat değişir: satışlar, ürünlerin ücretsiz testi için örneklerin sağlanması, gerçek mesajlara dayalı reklamlar, bunların hepsi ürünlerin kullanışlılığını ve güvenilirliğini vurgulamaktadır.</w:t>
      </w:r>
    </w:p>
    <w:p w14:paraId="6EF06EE7" w14:textId="77777777" w:rsidR="002E3F19" w:rsidRPr="00164238" w:rsidRDefault="002E3F19" w:rsidP="002E3F19">
      <w:pPr>
        <w:spacing w:before="120" w:after="120" w:line="276" w:lineRule="auto"/>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lastRenderedPageBreak/>
        <w:t>▪ Ürün satın alma yolları ile ilgili tüketici tercihleri değişiyor; tüketiciler, çevrimiçi olarak daha uygun fiyatlar ve zaman tasarrufu avantajı nedeniyle, fiziksel mağazanın yerine çevrimiçi ürün satın almayı tercih ediyor.</w:t>
      </w:r>
    </w:p>
    <w:p w14:paraId="18DB843D" w14:textId="77777777" w:rsidR="002E3F19" w:rsidRPr="00164238"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Ekonomik kriz karşısında, tüketicinin yeni bir sadeliğe, tüketimdeki tutumluluğa yönelmesi, paranın değerine karşı farkındalığın artmasını sağlar ve tüketicileri para, marka veya kişisel konfor için değer açısından taviz vermeye zorlar (Egol, Clyde ve Rangan, 2010)</w:t>
      </w:r>
    </w:p>
    <w:p w14:paraId="386CD66D" w14:textId="031892F8" w:rsidR="002E3F19" w:rsidRPr="00164238" w:rsidRDefault="002E3F19" w:rsidP="002E3F19">
      <w:pPr>
        <w:spacing w:before="120" w:after="120" w:line="276" w:lineRule="auto"/>
        <w:ind w:firstLine="708"/>
        <w:jc w:val="both"/>
        <w:rPr>
          <w:rFonts w:ascii="Times New Roman" w:eastAsia="Times New Roman" w:hAnsi="Times New Roman" w:cs="Times New Roman"/>
          <w:b/>
          <w:color w:val="000000" w:themeColor="text1"/>
          <w:sz w:val="20"/>
          <w:szCs w:val="20"/>
        </w:rPr>
      </w:pPr>
      <w:r w:rsidRPr="00164238">
        <w:rPr>
          <w:rFonts w:ascii="Times New Roman" w:eastAsia="Times New Roman" w:hAnsi="Times New Roman" w:cs="Times New Roman"/>
          <w:b/>
          <w:color w:val="000000" w:themeColor="text1"/>
          <w:sz w:val="20"/>
          <w:szCs w:val="20"/>
        </w:rPr>
        <w:t xml:space="preserve">Covid-19 Pandemisi ve Tüketici Davranışı </w:t>
      </w:r>
    </w:p>
    <w:p w14:paraId="426AEB44" w14:textId="77777777" w:rsidR="002E3F19" w:rsidRPr="00164238"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Covid-19 süresince tüketicilerin satın alma davranışlarının nasıl ve ne yönde değiştiğini anlamaya yönelik birçok çalışma yapılmıştır. Bu çalışmalardan biri de McKinsey &amp; Company danışmanlık şirketi tarafından 15 Mart- 21 Haziran 2020 tarihleri arasında gerçekleştirilmiş olan tüketici davranışlarını ortaya koymaya yönelik hazırlanmış araştırmadır.</w:t>
      </w:r>
    </w:p>
    <w:p w14:paraId="1AD0571D" w14:textId="77777777" w:rsidR="002E3F19" w:rsidRPr="00164238"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highlight w:val="white"/>
        </w:rPr>
      </w:pPr>
      <w:r w:rsidRPr="00164238">
        <w:rPr>
          <w:rFonts w:ascii="Times New Roman" w:eastAsia="Times New Roman" w:hAnsi="Times New Roman" w:cs="Times New Roman"/>
          <w:color w:val="000000" w:themeColor="text1"/>
          <w:sz w:val="20"/>
          <w:szCs w:val="20"/>
        </w:rPr>
        <w:t xml:space="preserve">McKinsey &amp; Company </w:t>
      </w:r>
      <w:r w:rsidRPr="00164238">
        <w:rPr>
          <w:rFonts w:ascii="Times New Roman" w:eastAsia="Times New Roman" w:hAnsi="Times New Roman" w:cs="Times New Roman"/>
          <w:color w:val="000000" w:themeColor="text1"/>
          <w:sz w:val="20"/>
          <w:szCs w:val="20"/>
          <w:highlight w:val="white"/>
        </w:rPr>
        <w:t xml:space="preserve">Amerikalı uluslararası yönetim danışmanlık firmasıdır. 1926 yılında James O. McKinsey tarafından Chicago’da kurulan şirket dünyanın ilk yönetim danışmanlığı şirketi unvanına sahiptir (Wikipedia, 2021) </w:t>
      </w:r>
    </w:p>
    <w:p w14:paraId="45AAAAFB" w14:textId="77777777" w:rsidR="002E3F19" w:rsidRPr="00164238"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highlight w:val="white"/>
        </w:rPr>
        <w:t xml:space="preserve">Yürütülen çalışma toplamda 45 ülkeyi değerlendirmeye alsa da ekonomik önem ve ülkelerin etkilenme boyutu sebebiyle temel olarak odaklanılan ülke sayısı 13’tür. </w:t>
      </w:r>
    </w:p>
    <w:p w14:paraId="3F6E48E8" w14:textId="77777777" w:rsidR="002E3F19" w:rsidRPr="00164238" w:rsidRDefault="002E3F19" w:rsidP="002E3F19">
      <w:pPr>
        <w:spacing w:before="120" w:after="120" w:line="276" w:lineRule="auto"/>
        <w:jc w:val="both"/>
        <w:rPr>
          <w:rFonts w:ascii="Times New Roman" w:eastAsia="Times New Roman" w:hAnsi="Times New Roman" w:cs="Times New Roman"/>
          <w:b/>
          <w:color w:val="000000" w:themeColor="text1"/>
          <w:sz w:val="20"/>
          <w:szCs w:val="20"/>
        </w:rPr>
      </w:pPr>
      <w:r w:rsidRPr="00164238">
        <w:rPr>
          <w:rFonts w:ascii="Times New Roman" w:eastAsia="Times New Roman" w:hAnsi="Times New Roman" w:cs="Times New Roman"/>
          <w:b/>
          <w:color w:val="000000" w:themeColor="text1"/>
          <w:sz w:val="20"/>
          <w:szCs w:val="20"/>
        </w:rPr>
        <w:t>Şekil 1: Covid-19 sonrası tüketicilerin ekonomik toparlanma ile ilgili beklentisi</w:t>
      </w:r>
    </w:p>
    <w:p w14:paraId="04EFD170" w14:textId="34425AE3" w:rsidR="002E3F19" w:rsidRPr="00164238" w:rsidRDefault="002E3F19" w:rsidP="002E3F19">
      <w:pPr>
        <w:spacing w:before="120" w:after="120" w:line="276" w:lineRule="auto"/>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noProof/>
          <w:color w:val="000000" w:themeColor="text1"/>
          <w:sz w:val="20"/>
          <w:szCs w:val="20"/>
          <w:lang w:val="en-US"/>
        </w:rPr>
        <w:drawing>
          <wp:inline distT="0" distB="0" distL="0" distR="0" wp14:anchorId="6368CEAB" wp14:editId="25AB35F9">
            <wp:extent cx="5705475" cy="2981325"/>
            <wp:effectExtent l="0" t="0" r="9525" b="9525"/>
            <wp:docPr id="155" name="Resim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jpg"/>
                    <pic:cNvPicPr>
                      <a:picLocks noChangeAspect="1" noChangeArrowheads="1"/>
                    </pic:cNvPicPr>
                  </pic:nvPicPr>
                  <pic:blipFill>
                    <a:blip r:embed="rId324">
                      <a:extLst>
                        <a:ext uri="{28A0092B-C50C-407E-A947-70E740481C1C}">
                          <a14:useLocalDpi xmlns:a14="http://schemas.microsoft.com/office/drawing/2010/main" val="0"/>
                        </a:ext>
                      </a:extLst>
                    </a:blip>
                    <a:srcRect l="4134" t="21169" r="39319" b="10774"/>
                    <a:stretch>
                      <a:fillRect/>
                    </a:stretch>
                  </pic:blipFill>
                  <pic:spPr bwMode="auto">
                    <a:xfrm>
                      <a:off x="0" y="0"/>
                      <a:ext cx="5705475" cy="2981325"/>
                    </a:xfrm>
                    <a:prstGeom prst="rect">
                      <a:avLst/>
                    </a:prstGeom>
                    <a:noFill/>
                    <a:ln>
                      <a:noFill/>
                    </a:ln>
                  </pic:spPr>
                </pic:pic>
              </a:graphicData>
            </a:graphic>
          </wp:inline>
        </w:drawing>
      </w:r>
    </w:p>
    <w:p w14:paraId="7F427167" w14:textId="77777777" w:rsidR="002E3F19" w:rsidRPr="00164238" w:rsidRDefault="002E3F19" w:rsidP="002E3F19">
      <w:pPr>
        <w:spacing w:before="120" w:after="120" w:line="276" w:lineRule="auto"/>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Kaynak: McKinsey &amp; Company, 2020</w:t>
      </w:r>
    </w:p>
    <w:p w14:paraId="330573B4" w14:textId="77777777" w:rsidR="002E3F19" w:rsidRPr="00164238"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xml:space="preserve">Çin, Hindistan ve ABD’nin, ekonomik toparlanma hakkında iyimser görüşü haftalar boyunca dalgalanma göstermiştir. Ancak bu ülkeler diğer ülkelere kıyasla en iyimser görüşe sahip ülkeler olmuştur. Çoğu Avrupa ülkesinin yanı sıra Japonya ve Kore, ekonomik toparlanma konusunda daha fazla kötümser görüş belirtmiştir. Hindistan, Fransa ve İngiltere’nin, mayıs ayında olumsuz görüş belirtmesinin ardından haziran ayında olumlu yönde belirgin artışlar yaşadığı görülmüştür. Araştırmaya konu olan süreç içerisinde Türkiye’de Covid 19 sonrası ekonomik toparlanmayla ilgili olumlu görüş belirtenlerin oranı %24, ekonomi üzerinde kalıcı ve olumsuz etkisi olacağını düşünenlerin oranı %30 iken, %46 oranında büyük bir çoğunluk ekonomide durgunlaşma veya düşük büyüme beklediklerini ifade etmiştir.  </w:t>
      </w:r>
    </w:p>
    <w:p w14:paraId="5F2BB1CC" w14:textId="77777777" w:rsidR="002E3F19" w:rsidRPr="00164238" w:rsidRDefault="002E3F19" w:rsidP="002E3F19">
      <w:pPr>
        <w:spacing w:before="120" w:after="120" w:line="276" w:lineRule="auto"/>
        <w:jc w:val="both"/>
        <w:rPr>
          <w:rFonts w:ascii="Times New Roman" w:eastAsia="Times New Roman" w:hAnsi="Times New Roman" w:cs="Times New Roman"/>
          <w:b/>
          <w:color w:val="000000" w:themeColor="text1"/>
          <w:sz w:val="20"/>
          <w:szCs w:val="20"/>
        </w:rPr>
      </w:pPr>
    </w:p>
    <w:p w14:paraId="2A50C457" w14:textId="77777777" w:rsidR="002E3F19" w:rsidRPr="00164238" w:rsidRDefault="002E3F19" w:rsidP="002E3F19">
      <w:pPr>
        <w:spacing w:before="120" w:after="120" w:line="276" w:lineRule="auto"/>
        <w:jc w:val="both"/>
        <w:rPr>
          <w:rFonts w:ascii="Times New Roman" w:eastAsia="Times New Roman" w:hAnsi="Times New Roman" w:cs="Times New Roman"/>
          <w:b/>
          <w:color w:val="000000" w:themeColor="text1"/>
          <w:sz w:val="20"/>
          <w:szCs w:val="20"/>
        </w:rPr>
      </w:pPr>
      <w:r w:rsidRPr="00164238">
        <w:rPr>
          <w:rFonts w:ascii="Times New Roman" w:eastAsia="Times New Roman" w:hAnsi="Times New Roman" w:cs="Times New Roman"/>
          <w:b/>
          <w:color w:val="000000" w:themeColor="text1"/>
          <w:sz w:val="20"/>
          <w:szCs w:val="20"/>
        </w:rPr>
        <w:t>Şekil 2: Tüketicilerin gelirlerinde beklediği değişimlerin oransal göstergesi</w:t>
      </w:r>
    </w:p>
    <w:p w14:paraId="7789004A" w14:textId="74664112" w:rsidR="002E3F19" w:rsidRPr="00164238" w:rsidRDefault="002E3F19" w:rsidP="002E3F19">
      <w:pPr>
        <w:spacing w:before="120" w:after="120" w:line="276" w:lineRule="auto"/>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noProof/>
          <w:color w:val="000000" w:themeColor="text1"/>
          <w:sz w:val="20"/>
          <w:szCs w:val="20"/>
          <w:lang w:val="en-US"/>
        </w:rPr>
        <w:drawing>
          <wp:inline distT="0" distB="0" distL="0" distR="0" wp14:anchorId="46CD69A9" wp14:editId="07EB9957">
            <wp:extent cx="5676900" cy="2495550"/>
            <wp:effectExtent l="0" t="0" r="0" b="0"/>
            <wp:docPr id="154" name="Resim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g"/>
                    <pic:cNvPicPr>
                      <a:picLocks noChangeAspect="1" noChangeArrowheads="1"/>
                    </pic:cNvPicPr>
                  </pic:nvPicPr>
                  <pic:blipFill>
                    <a:blip r:embed="rId325">
                      <a:extLst>
                        <a:ext uri="{28A0092B-C50C-407E-A947-70E740481C1C}">
                          <a14:useLocalDpi xmlns:a14="http://schemas.microsoft.com/office/drawing/2010/main" val="0"/>
                        </a:ext>
                      </a:extLst>
                    </a:blip>
                    <a:srcRect t="22638" r="36012" b="9152"/>
                    <a:stretch>
                      <a:fillRect/>
                    </a:stretch>
                  </pic:blipFill>
                  <pic:spPr bwMode="auto">
                    <a:xfrm>
                      <a:off x="0" y="0"/>
                      <a:ext cx="5676900" cy="2495550"/>
                    </a:xfrm>
                    <a:prstGeom prst="rect">
                      <a:avLst/>
                    </a:prstGeom>
                    <a:noFill/>
                    <a:ln>
                      <a:noFill/>
                    </a:ln>
                  </pic:spPr>
                </pic:pic>
              </a:graphicData>
            </a:graphic>
          </wp:inline>
        </w:drawing>
      </w:r>
    </w:p>
    <w:p w14:paraId="5DDD0A0C" w14:textId="77777777" w:rsidR="002E3F19" w:rsidRPr="00164238" w:rsidRDefault="002E3F19" w:rsidP="002E3F19">
      <w:pPr>
        <w:spacing w:before="120" w:after="120" w:line="276" w:lineRule="auto"/>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Kaynak: McKinsey &amp; Company, 2020</w:t>
      </w:r>
    </w:p>
    <w:p w14:paraId="03D74F3F" w14:textId="77777777" w:rsidR="002E3F19" w:rsidRPr="00164238"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highlight w:val="white"/>
        </w:rPr>
      </w:pPr>
      <w:r w:rsidRPr="00164238">
        <w:rPr>
          <w:rFonts w:ascii="Times New Roman" w:eastAsia="Times New Roman" w:hAnsi="Times New Roman" w:cs="Times New Roman"/>
          <w:color w:val="000000" w:themeColor="text1"/>
          <w:sz w:val="20"/>
          <w:szCs w:val="20"/>
          <w:highlight w:val="white"/>
        </w:rPr>
        <w:t>Birçok tüketici, pandemi sonrasındaki iki haftalık süre içerisinde gelirlerinde azalma beklediğini ifade etmiştir. Çin ve Hindistan diğer ülkelerin aksine gelirlerinde artış beklemiştir. Brezilya ve Güney Afrika’da, tüketicilerin yüzde 65’inden fazlası gelirlerinde düşüş yaşanacağını beklemiştir. ABD %35, Kore %46, Avrupa ülkeleri ise %30 ile %50 arasında gelirlerinde düşüş beklentisine girmiştir. Araştırmaya göre Türk katılımcıların %18’lik kısmı gelirlerinin Covid 19’dan etkilenmediği görüşünü belirtirken, %43’lük bir kısım ise Covid 19 nedeniyle gelirlerinin olumsuz yönde etkilendiği yönünde fikir beyan etmiştir.</w:t>
      </w:r>
    </w:p>
    <w:p w14:paraId="7607D20A" w14:textId="77777777" w:rsidR="002E3F19" w:rsidRPr="00164238" w:rsidRDefault="002E3F19" w:rsidP="002E3F19">
      <w:pPr>
        <w:spacing w:before="120" w:after="120" w:line="276" w:lineRule="auto"/>
        <w:jc w:val="both"/>
        <w:rPr>
          <w:rFonts w:ascii="Times New Roman" w:eastAsia="Times New Roman" w:hAnsi="Times New Roman" w:cs="Times New Roman"/>
          <w:b/>
          <w:color w:val="000000" w:themeColor="text1"/>
          <w:sz w:val="20"/>
          <w:szCs w:val="20"/>
        </w:rPr>
      </w:pPr>
      <w:r w:rsidRPr="00164238">
        <w:rPr>
          <w:rFonts w:ascii="Times New Roman" w:eastAsia="Times New Roman" w:hAnsi="Times New Roman" w:cs="Times New Roman"/>
          <w:b/>
          <w:color w:val="000000" w:themeColor="text1"/>
          <w:sz w:val="20"/>
          <w:szCs w:val="20"/>
        </w:rPr>
        <w:t>Şekil 3: Tüketicilerin para harcama yaklaşımları</w:t>
      </w:r>
    </w:p>
    <w:p w14:paraId="2511C5A4" w14:textId="6A7875A7" w:rsidR="002E3F19" w:rsidRPr="00164238" w:rsidRDefault="002E3F19" w:rsidP="002E3F19">
      <w:pPr>
        <w:spacing w:before="120" w:after="120" w:line="276" w:lineRule="auto"/>
        <w:jc w:val="both"/>
        <w:rPr>
          <w:rFonts w:ascii="Times New Roman" w:eastAsia="Times New Roman" w:hAnsi="Times New Roman" w:cs="Times New Roman"/>
          <w:b/>
          <w:color w:val="000000" w:themeColor="text1"/>
          <w:sz w:val="20"/>
          <w:szCs w:val="20"/>
        </w:rPr>
      </w:pPr>
      <w:r w:rsidRPr="00164238">
        <w:rPr>
          <w:rFonts w:ascii="Times New Roman" w:eastAsia="Times New Roman" w:hAnsi="Times New Roman" w:cs="Times New Roman"/>
          <w:noProof/>
          <w:color w:val="000000" w:themeColor="text1"/>
          <w:sz w:val="20"/>
          <w:szCs w:val="20"/>
          <w:lang w:val="en-US"/>
        </w:rPr>
        <w:drawing>
          <wp:inline distT="0" distB="0" distL="0" distR="0" wp14:anchorId="515B55AE" wp14:editId="71CD4261">
            <wp:extent cx="5760720" cy="2671445"/>
            <wp:effectExtent l="0" t="0" r="0" b="0"/>
            <wp:docPr id="153" name="Resim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jpg"/>
                    <pic:cNvPicPr>
                      <a:picLocks noChangeAspect="1" noChangeArrowheads="1"/>
                    </pic:cNvPicPr>
                  </pic:nvPicPr>
                  <pic:blipFill>
                    <a:blip r:embed="rId326">
                      <a:extLst>
                        <a:ext uri="{28A0092B-C50C-407E-A947-70E740481C1C}">
                          <a14:useLocalDpi xmlns:a14="http://schemas.microsoft.com/office/drawing/2010/main" val="0"/>
                        </a:ext>
                      </a:extLst>
                    </a:blip>
                    <a:srcRect t="29951" r="27579" b="7683"/>
                    <a:stretch>
                      <a:fillRect/>
                    </a:stretch>
                  </pic:blipFill>
                  <pic:spPr bwMode="auto">
                    <a:xfrm>
                      <a:off x="0" y="0"/>
                      <a:ext cx="5760720" cy="2671445"/>
                    </a:xfrm>
                    <a:prstGeom prst="rect">
                      <a:avLst/>
                    </a:prstGeom>
                    <a:noFill/>
                    <a:ln>
                      <a:noFill/>
                    </a:ln>
                  </pic:spPr>
                </pic:pic>
              </a:graphicData>
            </a:graphic>
          </wp:inline>
        </w:drawing>
      </w:r>
    </w:p>
    <w:p w14:paraId="35D7EFBB" w14:textId="77777777" w:rsidR="002E3F19" w:rsidRPr="00164238" w:rsidRDefault="002E3F19" w:rsidP="002E3F19">
      <w:pPr>
        <w:spacing w:before="120" w:after="120" w:line="276" w:lineRule="auto"/>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Kaynak: McKinsey &amp; Company, 2020</w:t>
      </w:r>
    </w:p>
    <w:p w14:paraId="3814B9E4" w14:textId="77777777" w:rsidR="002E3F19" w:rsidRPr="00164238"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xml:space="preserve">Birçok tüketicinin, özellikle Hindistan ve Kore'de paralarını nereye harcadıklarına daha fazla dikkat ettikleri sonucuna ulaşılmıştır. Hindistan, Kore ve Çin'de tüketiciler alışveriş yapmadan önce </w:t>
      </w:r>
      <w:r w:rsidRPr="00164238">
        <w:rPr>
          <w:rFonts w:ascii="Times New Roman" w:eastAsia="Times New Roman" w:hAnsi="Times New Roman" w:cs="Times New Roman"/>
          <w:color w:val="000000" w:themeColor="text1"/>
          <w:sz w:val="20"/>
          <w:szCs w:val="20"/>
        </w:rPr>
        <w:lastRenderedPageBreak/>
        <w:t xml:space="preserve">markalar konusunda araştırma yapmak gibi yeni alışkanlıklar edinmiştir. Araştırma neticesinde Türkiye’de tüketim alışkanlıklarının keskin bir şekilde değiştiği sonucuna ulaşılmıştır. Tüketicilerin %47’si yeni ürün satın almak konusunda oldukça tedbirli davranmış, %56’lık kısım da harcamalarını kıstığını ifade etmiştir. %58’lik çoğunluk ise ekonomik sebepler nedeniyle harcamalarında daha dikkatli olmak zorunda kaldıklarını söylemiştir. </w:t>
      </w:r>
    </w:p>
    <w:p w14:paraId="0E2C3B52" w14:textId="77777777" w:rsidR="002E3F19" w:rsidRPr="00164238" w:rsidRDefault="002E3F19" w:rsidP="002E3F19">
      <w:pPr>
        <w:spacing w:before="120" w:after="120" w:line="276" w:lineRule="auto"/>
        <w:jc w:val="both"/>
        <w:rPr>
          <w:rFonts w:ascii="Times New Roman" w:eastAsia="Times New Roman" w:hAnsi="Times New Roman" w:cs="Times New Roman"/>
          <w:b/>
          <w:color w:val="000000" w:themeColor="text1"/>
          <w:sz w:val="20"/>
          <w:szCs w:val="20"/>
        </w:rPr>
      </w:pPr>
      <w:r w:rsidRPr="00164238">
        <w:rPr>
          <w:rFonts w:ascii="Times New Roman" w:eastAsia="Times New Roman" w:hAnsi="Times New Roman" w:cs="Times New Roman"/>
          <w:b/>
          <w:color w:val="000000" w:themeColor="text1"/>
          <w:sz w:val="20"/>
          <w:szCs w:val="20"/>
        </w:rPr>
        <w:t>Şekil 4: Tüketicilerin harcama yaptıkları ürün kategorileri</w:t>
      </w:r>
    </w:p>
    <w:p w14:paraId="51EC63F2" w14:textId="53CE8527" w:rsidR="002E3F19" w:rsidRPr="00164238" w:rsidRDefault="002E3F19" w:rsidP="002E3F19">
      <w:pPr>
        <w:spacing w:before="120" w:after="120" w:line="276" w:lineRule="auto"/>
        <w:jc w:val="both"/>
        <w:rPr>
          <w:rFonts w:ascii="Times New Roman" w:eastAsia="Calibri" w:hAnsi="Times New Roman" w:cs="Times New Roman"/>
          <w:color w:val="000000" w:themeColor="text1"/>
          <w:sz w:val="20"/>
          <w:szCs w:val="20"/>
        </w:rPr>
      </w:pPr>
      <w:r w:rsidRPr="00164238">
        <w:rPr>
          <w:rFonts w:ascii="Times New Roman" w:eastAsia="Times New Roman" w:hAnsi="Times New Roman" w:cs="Times New Roman"/>
          <w:b/>
          <w:noProof/>
          <w:color w:val="000000" w:themeColor="text1"/>
          <w:sz w:val="20"/>
          <w:szCs w:val="20"/>
          <w:lang w:val="en-US"/>
        </w:rPr>
        <w:drawing>
          <wp:inline distT="0" distB="0" distL="0" distR="0" wp14:anchorId="37F2D385" wp14:editId="68851048">
            <wp:extent cx="5619750" cy="2447925"/>
            <wp:effectExtent l="0" t="0" r="0" b="9525"/>
            <wp:docPr id="152" name="Resim 152" descr="tabl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g" descr="tablo içeren bir resim&#10;&#10;Açıklama otomatik olarak oluşturuldu"/>
                    <pic:cNvPicPr>
                      <a:picLocks noChangeAspect="1" noChangeArrowheads="1"/>
                    </pic:cNvPicPr>
                  </pic:nvPicPr>
                  <pic:blipFill>
                    <a:blip r:embed="rId327" cstate="print">
                      <a:extLst>
                        <a:ext uri="{28A0092B-C50C-407E-A947-70E740481C1C}">
                          <a14:useLocalDpi xmlns:a14="http://schemas.microsoft.com/office/drawing/2010/main" val="0"/>
                        </a:ext>
                      </a:extLst>
                    </a:blip>
                    <a:srcRect l="1817" t="30759" r="2779" b="7976"/>
                    <a:stretch>
                      <a:fillRect/>
                    </a:stretch>
                  </pic:blipFill>
                  <pic:spPr bwMode="auto">
                    <a:xfrm>
                      <a:off x="0" y="0"/>
                      <a:ext cx="5619750" cy="2447925"/>
                    </a:xfrm>
                    <a:prstGeom prst="rect">
                      <a:avLst/>
                    </a:prstGeom>
                    <a:noFill/>
                    <a:ln>
                      <a:noFill/>
                    </a:ln>
                  </pic:spPr>
                </pic:pic>
              </a:graphicData>
            </a:graphic>
          </wp:inline>
        </w:drawing>
      </w:r>
    </w:p>
    <w:p w14:paraId="74C32CBA" w14:textId="77777777" w:rsidR="002E3F19" w:rsidRPr="00164238" w:rsidRDefault="002E3F19" w:rsidP="002E3F19">
      <w:pPr>
        <w:spacing w:before="120" w:after="120" w:line="276" w:lineRule="auto"/>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Kaynak: McKinsey &amp; Company, 2020</w:t>
      </w:r>
    </w:p>
    <w:p w14:paraId="7E97D866" w14:textId="60CAE3F9" w:rsidR="002E3F19" w:rsidRPr="00164238"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highlight w:val="white"/>
        </w:rPr>
        <w:t xml:space="preserve">Tüketicilerin birçoğu kişisel bakım ürünleri ve gıda gibi temel ihtiyaçlarını karşılamanın dışında evde vakit geçirirken eğlenmek amaçlı da harcama yapmıştır. Harcama oranlarında en fazla düşüşün yaşandığı kategoriler; aksesuar, seyahat ve giyim eşyası olmuştur. Tüketicilerin Covid-19 Pandemisi öncesi ve sonrasındaki alışveriş davranışları incelendiği zaman gıda alımlarında alışveriş yapma sıklığının düştüğü ancak alım miktarında artış yaşandığı görülmüştür. Bunun yanı sıra tüketiciler sağlıklı yaşam ve cilt bakımı kategorilerinde daha fazla harcama yapmıştır. Türk tüketicilerin pandemi sonrası araştırmaya konu olan süre içerisinde en fazla harcama yaptığı ürün kategorileri; saç boyası, kişisel bakım ürünleri, çamaşır suyu, sabun ve duş jelleri olmuştur. Sektör bazında ise en fazla artış sırasıyla market-gıda, elektronik eşya, sağlık-kozmetik, mobilya ve dekorasyon olmuştur. </w:t>
      </w:r>
    </w:p>
    <w:p w14:paraId="57B36C40" w14:textId="77777777" w:rsidR="002E3F19" w:rsidRPr="00164238" w:rsidRDefault="002E3F19" w:rsidP="002E3F19">
      <w:pPr>
        <w:spacing w:before="120" w:after="120" w:line="276" w:lineRule="auto"/>
        <w:ind w:firstLine="708"/>
        <w:jc w:val="both"/>
        <w:rPr>
          <w:rFonts w:ascii="Times New Roman" w:eastAsia="Times New Roman" w:hAnsi="Times New Roman" w:cs="Times New Roman"/>
          <w:b/>
          <w:color w:val="000000" w:themeColor="text1"/>
          <w:sz w:val="20"/>
          <w:szCs w:val="20"/>
        </w:rPr>
      </w:pPr>
    </w:p>
    <w:p w14:paraId="2255B293" w14:textId="77777777" w:rsidR="002E3F19" w:rsidRPr="00164238" w:rsidRDefault="002E3F19" w:rsidP="002E3F19">
      <w:pPr>
        <w:spacing w:before="120" w:after="120" w:line="276" w:lineRule="auto"/>
        <w:jc w:val="both"/>
        <w:rPr>
          <w:rFonts w:ascii="Times New Roman" w:eastAsia="Times New Roman" w:hAnsi="Times New Roman" w:cs="Times New Roman"/>
          <w:b/>
          <w:color w:val="000000" w:themeColor="text1"/>
          <w:sz w:val="20"/>
          <w:szCs w:val="20"/>
        </w:rPr>
      </w:pPr>
      <w:r w:rsidRPr="00164238">
        <w:rPr>
          <w:rFonts w:ascii="Times New Roman" w:eastAsia="Times New Roman" w:hAnsi="Times New Roman" w:cs="Times New Roman"/>
          <w:b/>
          <w:color w:val="000000" w:themeColor="text1"/>
          <w:sz w:val="20"/>
          <w:szCs w:val="20"/>
        </w:rPr>
        <w:t>Şekil 5: Tüketicilerin çevrimiçi kanalları kullandıkları kategorilerin oransal gösterimi</w:t>
      </w:r>
    </w:p>
    <w:p w14:paraId="4CB06C12" w14:textId="6CFBF03C" w:rsidR="002E3F19" w:rsidRPr="00164238" w:rsidRDefault="002E3F19" w:rsidP="002E3F19">
      <w:pPr>
        <w:spacing w:before="120" w:after="120" w:line="276" w:lineRule="auto"/>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noProof/>
          <w:color w:val="000000" w:themeColor="text1"/>
          <w:sz w:val="20"/>
          <w:szCs w:val="20"/>
          <w:lang w:val="en-US"/>
        </w:rPr>
        <w:lastRenderedPageBreak/>
        <w:drawing>
          <wp:inline distT="0" distB="0" distL="0" distR="0" wp14:anchorId="79A970F3" wp14:editId="6ED142C8">
            <wp:extent cx="5734050" cy="2876550"/>
            <wp:effectExtent l="0" t="0" r="0" b="0"/>
            <wp:docPr id="151" name="Resim 151" descr="tabl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descr="tablo içeren bir resim&#10;&#10;Açıklama otomatik olarak oluşturuldu"/>
                    <pic:cNvPicPr>
                      <a:picLocks noChangeAspect="1" noChangeArrowheads="1"/>
                    </pic:cNvPicPr>
                  </pic:nvPicPr>
                  <pic:blipFill>
                    <a:blip r:embed="rId328">
                      <a:extLst>
                        <a:ext uri="{28A0092B-C50C-407E-A947-70E740481C1C}">
                          <a14:useLocalDpi xmlns:a14="http://schemas.microsoft.com/office/drawing/2010/main" val="0"/>
                        </a:ext>
                      </a:extLst>
                    </a:blip>
                    <a:srcRect t="14993" r="28406" b="11505"/>
                    <a:stretch>
                      <a:fillRect/>
                    </a:stretch>
                  </pic:blipFill>
                  <pic:spPr bwMode="auto">
                    <a:xfrm>
                      <a:off x="0" y="0"/>
                      <a:ext cx="5734050" cy="2876550"/>
                    </a:xfrm>
                    <a:prstGeom prst="rect">
                      <a:avLst/>
                    </a:prstGeom>
                    <a:noFill/>
                    <a:ln>
                      <a:noFill/>
                    </a:ln>
                  </pic:spPr>
                </pic:pic>
              </a:graphicData>
            </a:graphic>
          </wp:inline>
        </w:drawing>
      </w:r>
    </w:p>
    <w:p w14:paraId="272ED0FF" w14:textId="77777777" w:rsidR="002E3F19" w:rsidRPr="00164238" w:rsidRDefault="002E3F19" w:rsidP="002E3F19">
      <w:pPr>
        <w:spacing w:before="120" w:after="120" w:line="276" w:lineRule="auto"/>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Kaynak: McKinsey &amp; Company, 2020</w:t>
      </w:r>
    </w:p>
    <w:p w14:paraId="4A14940A" w14:textId="77777777" w:rsidR="002E3F19" w:rsidRPr="00164238"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ABD ve çoğu Avrupa ülkesi, kriz sona erdikten sonra bile çevrimiçi kanalları kullanmaya devam etmek isteyen tüketici oranında maksimum büyümeye ulaşmıştır. Çin'deki tüketicilerin benzer bir kısmı Covid-19'dan sonra çevrimiçi satın almayı beklediklerini ifade etmiş; alkol, kişisel bakım ürünleri ve reçetesiz ilaç kategorileri tüketicilerin çevrimiçi satın alımlarda en fazla tercih edeceklerini belirttikleri ürünler olarak yer almıştır. Türkiye’de nüfusun büyük bir çoğunluğunun online platformlara, sosyal medya ve çevrimiçi alışverişe karşı yoğun ilgi gösterdiği sonucuna ulaşılmıştır. Bunun yanı sıra dijital kanallar yoluyla gerçekleştirilen aktiviteler içerisinde çevrimiçi öğrenme son sırada yer almıştır.</w:t>
      </w:r>
    </w:p>
    <w:p w14:paraId="12800F77" w14:textId="77777777" w:rsidR="002E3F19" w:rsidRPr="00164238" w:rsidRDefault="002E3F19" w:rsidP="002E3F19">
      <w:pPr>
        <w:spacing w:before="120" w:after="120" w:line="276" w:lineRule="auto"/>
        <w:jc w:val="both"/>
        <w:rPr>
          <w:rFonts w:ascii="Times New Roman" w:eastAsia="Times New Roman" w:hAnsi="Times New Roman" w:cs="Times New Roman"/>
          <w:b/>
          <w:color w:val="000000" w:themeColor="text1"/>
          <w:sz w:val="20"/>
          <w:szCs w:val="20"/>
        </w:rPr>
      </w:pPr>
      <w:r w:rsidRPr="00164238">
        <w:rPr>
          <w:rFonts w:ascii="Times New Roman" w:eastAsia="Times New Roman" w:hAnsi="Times New Roman" w:cs="Times New Roman"/>
          <w:b/>
          <w:color w:val="000000" w:themeColor="text1"/>
          <w:sz w:val="20"/>
          <w:szCs w:val="20"/>
        </w:rPr>
        <w:t>Şekil 6: Tüketicilerin son dönem içerisinde en fazla çevrimiçi alışveriş yaptıkları kategoriler</w:t>
      </w:r>
    </w:p>
    <w:p w14:paraId="55DDF4D0" w14:textId="7189B60F" w:rsidR="002E3F19" w:rsidRPr="00164238" w:rsidRDefault="002E3F19" w:rsidP="002E3F19">
      <w:pPr>
        <w:spacing w:before="120" w:after="120" w:line="276" w:lineRule="auto"/>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noProof/>
          <w:color w:val="000000" w:themeColor="text1"/>
          <w:sz w:val="20"/>
          <w:szCs w:val="20"/>
          <w:lang w:val="en-US"/>
        </w:rPr>
        <w:drawing>
          <wp:inline distT="0" distB="0" distL="0" distR="0" wp14:anchorId="745F2019" wp14:editId="7829AAC8">
            <wp:extent cx="5760720" cy="2587625"/>
            <wp:effectExtent l="0" t="0" r="0" b="3175"/>
            <wp:docPr id="150" name="Resim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g"/>
                    <pic:cNvPicPr>
                      <a:picLocks noChangeAspect="1" noChangeArrowheads="1"/>
                    </pic:cNvPicPr>
                  </pic:nvPicPr>
                  <pic:blipFill>
                    <a:blip r:embed="rId329" cstate="print">
                      <a:extLst>
                        <a:ext uri="{28A0092B-C50C-407E-A947-70E740481C1C}">
                          <a14:useLocalDpi xmlns:a14="http://schemas.microsoft.com/office/drawing/2010/main" val="0"/>
                        </a:ext>
                      </a:extLst>
                    </a:blip>
                    <a:srcRect t="14111" r="28239" b="14153"/>
                    <a:stretch>
                      <a:fillRect/>
                    </a:stretch>
                  </pic:blipFill>
                  <pic:spPr bwMode="auto">
                    <a:xfrm>
                      <a:off x="0" y="0"/>
                      <a:ext cx="5760720" cy="2587625"/>
                    </a:xfrm>
                    <a:prstGeom prst="rect">
                      <a:avLst/>
                    </a:prstGeom>
                    <a:noFill/>
                    <a:ln>
                      <a:noFill/>
                    </a:ln>
                  </pic:spPr>
                </pic:pic>
              </a:graphicData>
            </a:graphic>
          </wp:inline>
        </w:drawing>
      </w:r>
    </w:p>
    <w:p w14:paraId="3F05AC53" w14:textId="77777777" w:rsidR="002E3F19" w:rsidRPr="00164238" w:rsidRDefault="002E3F19" w:rsidP="002E3F19">
      <w:pPr>
        <w:spacing w:before="120" w:after="120" w:line="276" w:lineRule="auto"/>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Kaynak: McKinsey &amp; Company, 2020</w:t>
      </w:r>
    </w:p>
    <w:p w14:paraId="57B0C10C" w14:textId="77777777" w:rsidR="002E3F19" w:rsidRPr="00164238" w:rsidRDefault="002E3F19" w:rsidP="002E3F19">
      <w:pPr>
        <w:shd w:val="clear" w:color="auto" w:fill="FFFFFF"/>
        <w:spacing w:before="120" w:after="120" w:line="276" w:lineRule="auto"/>
        <w:ind w:firstLine="708"/>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xml:space="preserve">Tüketiciler pandemi sırasında farklılaşan koşullar nedeniyle uzaktan çalışmaya, ihtiyaçlarını karşılamaya, iletişim kurmaya ve evden öğrenmeye devam etmek için farklı yollar denemiştir. Online platformların kullanımı birçok ülkede yoğun şekilde artış göstermiştir. Dünya genelinde tüketiciler, işlerini </w:t>
      </w:r>
      <w:r w:rsidRPr="00164238">
        <w:rPr>
          <w:rFonts w:ascii="Times New Roman" w:eastAsia="Times New Roman" w:hAnsi="Times New Roman" w:cs="Times New Roman"/>
          <w:color w:val="000000" w:themeColor="text1"/>
          <w:sz w:val="20"/>
          <w:szCs w:val="20"/>
        </w:rPr>
        <w:lastRenderedPageBreak/>
        <w:t>gerçekleştirebilmek ve sağlık ihtiyaçlarını karşılayabilmek amacıyla dijital kanalları fiziksel kanallara tercih etmiştir. Hem iş hem de bireysel kullanımlar için, online iletişim araçlarının ve video konferans birçok ülkede popüler hale gelmiştir. Tüketiciler kısıtlama nedeniyle oldukça az temas halinde ve yiyeceklerini risk altında olmayacak bir biçimde satın almak için restoran ve market teslimatını tercih etmiştir. Bunun yanı sıra gel-al servis hizmetlerinin kullanımı da artmıştır. Türk tüketicilerin diğer ülkelerden bu konuda farklılaştığı gözlemlenmiştir. Pandemi nedeniyle katılımcıların birçoğu yemek için dışardan sipariş etme yöntemini tercih etmiştir. Türk tüketicilerin %80’lik bir kısmı evde kendi yemeklerini pişirdiklerini ifade etmiştir. Türkiye bu oranla Avrupa’da 1.sırada yer almıştır. Ayrıca Türk katılımcıların evde daha fazla vakit geçirdikleri bu süre içerisinde el işi, örgü gibi bireysel hobi ve alışkanlıklara yoğun eğilim gösterdikleri belirlenmiştir.</w:t>
      </w:r>
    </w:p>
    <w:p w14:paraId="32EABB7B" w14:textId="77777777" w:rsidR="002E3F19" w:rsidRPr="00164238" w:rsidRDefault="002E3F19" w:rsidP="002E3F19">
      <w:pPr>
        <w:shd w:val="clear" w:color="auto" w:fill="FFFFFF"/>
        <w:spacing w:before="120" w:after="120" w:line="276" w:lineRule="auto"/>
        <w:jc w:val="both"/>
        <w:rPr>
          <w:rFonts w:ascii="Times New Roman" w:eastAsia="Times New Roman" w:hAnsi="Times New Roman" w:cs="Times New Roman"/>
          <w:color w:val="000000" w:themeColor="text1"/>
          <w:sz w:val="20"/>
          <w:szCs w:val="20"/>
        </w:rPr>
      </w:pPr>
    </w:p>
    <w:p w14:paraId="72273A84" w14:textId="77777777" w:rsidR="002E3F19" w:rsidRPr="00164238" w:rsidRDefault="002E3F19" w:rsidP="002E3F19">
      <w:pPr>
        <w:spacing w:before="120" w:after="120" w:line="276" w:lineRule="auto"/>
        <w:jc w:val="both"/>
        <w:rPr>
          <w:rFonts w:ascii="Times New Roman" w:eastAsia="Times New Roman" w:hAnsi="Times New Roman" w:cs="Times New Roman"/>
          <w:b/>
          <w:color w:val="000000" w:themeColor="text1"/>
          <w:sz w:val="20"/>
          <w:szCs w:val="20"/>
        </w:rPr>
      </w:pPr>
      <w:r w:rsidRPr="00164238">
        <w:rPr>
          <w:rFonts w:ascii="Times New Roman" w:eastAsia="Times New Roman" w:hAnsi="Times New Roman" w:cs="Times New Roman"/>
          <w:b/>
          <w:color w:val="000000" w:themeColor="text1"/>
          <w:sz w:val="20"/>
          <w:szCs w:val="20"/>
        </w:rPr>
        <w:t xml:space="preserve">Şekil 7: Tüketicilerin değişen alışkanlıklarına dair beklentileri </w:t>
      </w:r>
    </w:p>
    <w:p w14:paraId="65FCDC2D" w14:textId="53944E1E" w:rsidR="002E3F19" w:rsidRPr="00164238" w:rsidRDefault="002E3F19" w:rsidP="002E3F19">
      <w:pPr>
        <w:spacing w:before="120" w:after="120" w:line="276" w:lineRule="auto"/>
        <w:jc w:val="both"/>
        <w:rPr>
          <w:rFonts w:ascii="Times New Roman" w:eastAsia="Times New Roman" w:hAnsi="Times New Roman" w:cs="Times New Roman"/>
          <w:b/>
          <w:color w:val="000000" w:themeColor="text1"/>
          <w:sz w:val="20"/>
          <w:szCs w:val="20"/>
        </w:rPr>
      </w:pPr>
      <w:r w:rsidRPr="00164238">
        <w:rPr>
          <w:rFonts w:ascii="Times New Roman" w:eastAsia="Times New Roman" w:hAnsi="Times New Roman" w:cs="Times New Roman"/>
          <w:b/>
          <w:noProof/>
          <w:color w:val="000000" w:themeColor="text1"/>
          <w:sz w:val="20"/>
          <w:szCs w:val="20"/>
          <w:lang w:val="en-US"/>
        </w:rPr>
        <w:drawing>
          <wp:inline distT="0" distB="0" distL="0" distR="0" wp14:anchorId="005F48CF" wp14:editId="2122EABE">
            <wp:extent cx="5686425" cy="2181225"/>
            <wp:effectExtent l="0" t="0" r="9525" b="9525"/>
            <wp:docPr id="149" name="Resim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g"/>
                    <pic:cNvPicPr>
                      <a:picLocks noChangeAspect="1" noChangeArrowheads="1"/>
                    </pic:cNvPicPr>
                  </pic:nvPicPr>
                  <pic:blipFill>
                    <a:blip r:embed="rId330">
                      <a:extLst>
                        <a:ext uri="{28A0092B-C50C-407E-A947-70E740481C1C}">
                          <a14:useLocalDpi xmlns:a14="http://schemas.microsoft.com/office/drawing/2010/main" val="0"/>
                        </a:ext>
                      </a:extLst>
                    </a:blip>
                    <a:srcRect t="8820" r="26091" b="3566"/>
                    <a:stretch>
                      <a:fillRect/>
                    </a:stretch>
                  </pic:blipFill>
                  <pic:spPr bwMode="auto">
                    <a:xfrm>
                      <a:off x="0" y="0"/>
                      <a:ext cx="5686425" cy="2181225"/>
                    </a:xfrm>
                    <a:prstGeom prst="rect">
                      <a:avLst/>
                    </a:prstGeom>
                    <a:noFill/>
                    <a:ln>
                      <a:noFill/>
                    </a:ln>
                  </pic:spPr>
                </pic:pic>
              </a:graphicData>
            </a:graphic>
          </wp:inline>
        </w:drawing>
      </w:r>
    </w:p>
    <w:p w14:paraId="30979EDD" w14:textId="77777777" w:rsidR="002E3F19" w:rsidRPr="00164238" w:rsidRDefault="002E3F19" w:rsidP="002E3F19">
      <w:pPr>
        <w:spacing w:before="120" w:after="120" w:line="276" w:lineRule="auto"/>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Kaynak: McKinsey &amp; Company, 2020</w:t>
      </w:r>
    </w:p>
    <w:p w14:paraId="43B64912" w14:textId="194CAF57" w:rsidR="002E3F19" w:rsidRPr="00164238"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highlight w:val="white"/>
        </w:rPr>
      </w:pPr>
      <w:r w:rsidRPr="00164238">
        <w:rPr>
          <w:rFonts w:ascii="Times New Roman" w:eastAsia="Times New Roman" w:hAnsi="Times New Roman" w:cs="Times New Roman"/>
          <w:color w:val="000000" w:themeColor="text1"/>
          <w:sz w:val="20"/>
          <w:szCs w:val="20"/>
          <w:highlight w:val="white"/>
        </w:rPr>
        <w:t xml:space="preserve">Tüketiciler pandemi öncesindeki bazı alışkanlıklarına dönme konusunda çekinceleri olduğunu ifade etmiştir. Çoğu tüketici uluslararası seyahatler yapmayı yakın zaman içerisinde düşünmemiştir. Bazı tüketicilerin ise yurt içi seyahatlerini dahi gerçekleştirmekten kaçındığı görülmüştür. Tüketicilerin birçoğunun fiziksel mağazalarda alışveriş yapma sıklığının oldukça azaldığı ve harcamalarını dijital platformlara kaydırdığı sonucuna ulaşılmıştır. Çoğu tüketici pandemi esnasında çevrimiçi kanalları gıda ürünleri için kullanmaya başlamış olsa da gelecekte bu duruma yönelik düşüncelerin ülkeden ülkeye farklılık gösterdiği görülmüştür. İngiltere, İtalya ve Japonya’daki tüketiciler dijital platformları daha yoğun kullanarak alışveriş yapmayı planlamıştır. Amerikan, Alman, Fransız ve İspanyol tüketicilerin dijital kanalları daha az kullanarak market alışverişi yapmayı tercih ettikleri sonucuna ulaşılmıştır. Araştırmaya konu olan ülkelerdeki tüketicilerin birçoğu Covid-19 Pandemisi bitince fiziksel mağazaları tercih edeceğini ifade etmiştir; İngiltere ise bu durumun dışında kalmıştır. Araştırma sonucuna göre eskiye oranla Türk tüketiciler alışveriş için dijital kanalları daha fazla tercih etmiştir. Online alışveriş yapma ortalaması dünya genelinde %27, Avrupa genelinde %22 iken Türkiye’de bu oran %37 olmuştur. Türkiye dijital kanalları tercih etme konusunda Avrupa’dan farklılaşmış; Çin (%64) ve Kore’ye (%57) oldukça yakın bir tutum sergilemiştir.  </w:t>
      </w:r>
    </w:p>
    <w:p w14:paraId="2DEF5926" w14:textId="523BD7A7" w:rsidR="002E3F19" w:rsidRPr="00164238"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highlight w:val="white"/>
        </w:rPr>
      </w:pPr>
    </w:p>
    <w:p w14:paraId="5CCCFB22" w14:textId="3ECB1C8C" w:rsidR="002E3F19" w:rsidRPr="00164238"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highlight w:val="white"/>
        </w:rPr>
      </w:pPr>
    </w:p>
    <w:p w14:paraId="1112EE7E" w14:textId="6F99F10A" w:rsidR="002E3F19"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highlight w:val="white"/>
        </w:rPr>
      </w:pPr>
    </w:p>
    <w:p w14:paraId="7FC0F1EF" w14:textId="77777777" w:rsidR="006A4DC2" w:rsidRPr="00164238" w:rsidRDefault="006A4DC2" w:rsidP="002E3F19">
      <w:pPr>
        <w:spacing w:before="120" w:after="120" w:line="276" w:lineRule="auto"/>
        <w:ind w:firstLine="708"/>
        <w:jc w:val="both"/>
        <w:rPr>
          <w:rFonts w:ascii="Times New Roman" w:eastAsia="Times New Roman" w:hAnsi="Times New Roman" w:cs="Times New Roman"/>
          <w:color w:val="000000" w:themeColor="text1"/>
          <w:sz w:val="20"/>
          <w:szCs w:val="20"/>
          <w:highlight w:val="white"/>
        </w:rPr>
      </w:pPr>
    </w:p>
    <w:p w14:paraId="431E07A3" w14:textId="77777777" w:rsidR="002E3F19" w:rsidRPr="00164238" w:rsidRDefault="002E3F19" w:rsidP="002E3F19">
      <w:pPr>
        <w:shd w:val="clear" w:color="auto" w:fill="FFFFFF"/>
        <w:spacing w:before="120" w:after="120" w:line="276" w:lineRule="auto"/>
        <w:jc w:val="both"/>
        <w:rPr>
          <w:rFonts w:ascii="Times New Roman" w:eastAsia="Times New Roman" w:hAnsi="Times New Roman" w:cs="Times New Roman"/>
          <w:b/>
          <w:color w:val="000000" w:themeColor="text1"/>
          <w:sz w:val="20"/>
          <w:szCs w:val="20"/>
        </w:rPr>
      </w:pPr>
    </w:p>
    <w:p w14:paraId="7217D8B8" w14:textId="77777777" w:rsidR="002E3F19" w:rsidRPr="00164238" w:rsidRDefault="002E3F19" w:rsidP="002E3F19">
      <w:pPr>
        <w:shd w:val="clear" w:color="auto" w:fill="FFFFFF"/>
        <w:spacing w:before="120" w:after="120" w:line="276" w:lineRule="auto"/>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b/>
          <w:color w:val="000000" w:themeColor="text1"/>
          <w:sz w:val="20"/>
          <w:szCs w:val="20"/>
        </w:rPr>
        <w:t>Şekil 8: Tüketicilerin ürün seçerken farklı bir marka/perakendeci tercih etme</w:t>
      </w:r>
      <w:r w:rsidRPr="00164238">
        <w:rPr>
          <w:rFonts w:ascii="Times New Roman" w:eastAsia="Times New Roman" w:hAnsi="Times New Roman" w:cs="Times New Roman"/>
          <w:color w:val="000000" w:themeColor="text1"/>
          <w:sz w:val="20"/>
          <w:szCs w:val="20"/>
        </w:rPr>
        <w:t xml:space="preserve"> </w:t>
      </w:r>
      <w:r w:rsidRPr="00164238">
        <w:rPr>
          <w:rFonts w:ascii="Times New Roman" w:eastAsia="Times New Roman" w:hAnsi="Times New Roman" w:cs="Times New Roman"/>
          <w:b/>
          <w:color w:val="000000" w:themeColor="text1"/>
          <w:sz w:val="20"/>
          <w:szCs w:val="20"/>
        </w:rPr>
        <w:t>oranları</w:t>
      </w:r>
    </w:p>
    <w:p w14:paraId="17E20940" w14:textId="29BC76AC" w:rsidR="002E3F19" w:rsidRPr="00164238" w:rsidRDefault="002E3F19" w:rsidP="002E3F19">
      <w:pPr>
        <w:spacing w:before="120" w:after="120" w:line="276" w:lineRule="auto"/>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noProof/>
          <w:color w:val="000000" w:themeColor="text1"/>
          <w:sz w:val="20"/>
          <w:szCs w:val="20"/>
          <w:lang w:val="en-US"/>
        </w:rPr>
        <w:drawing>
          <wp:inline distT="0" distB="0" distL="0" distR="0" wp14:anchorId="6278EC10" wp14:editId="596C45BE">
            <wp:extent cx="5362575" cy="1857375"/>
            <wp:effectExtent l="0" t="0" r="9525" b="9525"/>
            <wp:docPr id="148" name="Resim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g"/>
                    <pic:cNvPicPr>
                      <a:picLocks noChangeAspect="1" noChangeArrowheads="1"/>
                    </pic:cNvPicPr>
                  </pic:nvPicPr>
                  <pic:blipFill>
                    <a:blip r:embed="rId331">
                      <a:extLst>
                        <a:ext uri="{28A0092B-C50C-407E-A947-70E740481C1C}">
                          <a14:useLocalDpi xmlns:a14="http://schemas.microsoft.com/office/drawing/2010/main" val="0"/>
                        </a:ext>
                      </a:extLst>
                    </a:blip>
                    <a:srcRect t="21461" r="28075" b="33386"/>
                    <a:stretch>
                      <a:fillRect/>
                    </a:stretch>
                  </pic:blipFill>
                  <pic:spPr bwMode="auto">
                    <a:xfrm>
                      <a:off x="0" y="0"/>
                      <a:ext cx="5362575" cy="1857375"/>
                    </a:xfrm>
                    <a:prstGeom prst="rect">
                      <a:avLst/>
                    </a:prstGeom>
                    <a:noFill/>
                    <a:ln>
                      <a:noFill/>
                    </a:ln>
                  </pic:spPr>
                </pic:pic>
              </a:graphicData>
            </a:graphic>
          </wp:inline>
        </w:drawing>
      </w:r>
    </w:p>
    <w:p w14:paraId="5589A035" w14:textId="77777777" w:rsidR="002E3F19" w:rsidRPr="00164238" w:rsidRDefault="002E3F19" w:rsidP="002E3F19">
      <w:pPr>
        <w:spacing w:before="120" w:after="120" w:line="276" w:lineRule="auto"/>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xml:space="preserve"> Kaynak: McKinsey &amp; Company, 2020</w:t>
      </w:r>
    </w:p>
    <w:p w14:paraId="1BD407CB" w14:textId="77777777" w:rsidR="002E3F19" w:rsidRPr="00164238"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xml:space="preserve">Tüketiciler satın almak istedikleri ürünü tercih ettikleri perakendecide bulamadıklarında alışveriş davranışlarını değiştirdikleri gözlemlenmiştir. Birçok tüketicinin kriz sırasında farklı bir markayı denemiş olduğu veya farklı bir perakendeciden alışveriş yapmış olduğu sonucuna ulaşılmıştır. ABD ve Çin'de, tüketicilerin %75'inden fazlası yeni bir alışveriş yöntemini denemiş; kısıtlamaların daha az katı olduğu Japonya'da ise bu oranın yüzde 33 olduğu görülmüştür. Türk katılımcıların marka sadakati konusunda dünya genelindeki tüketiciler ile aynı yönde davrandığı ve marka sadakati kavramından farklı yönde davranış sergilediği sonucuna ulaşılmıştır. Araştırmaya göre Türk tüketiciler farklı bir marka veya perakendeci tercih etmede %72’lik bir oran göstermiştir. </w:t>
      </w:r>
    </w:p>
    <w:p w14:paraId="5129B964" w14:textId="77777777" w:rsidR="002E3F19" w:rsidRPr="00164238" w:rsidRDefault="002E3F19" w:rsidP="002E3F19">
      <w:pPr>
        <w:spacing w:before="120" w:after="120" w:line="276" w:lineRule="auto"/>
        <w:jc w:val="both"/>
        <w:rPr>
          <w:rFonts w:ascii="Times New Roman" w:eastAsia="Times New Roman" w:hAnsi="Times New Roman" w:cs="Times New Roman"/>
          <w:b/>
          <w:color w:val="000000" w:themeColor="text1"/>
          <w:sz w:val="20"/>
          <w:szCs w:val="20"/>
        </w:rPr>
      </w:pPr>
      <w:r w:rsidRPr="00164238">
        <w:rPr>
          <w:rFonts w:ascii="Times New Roman" w:eastAsia="Times New Roman" w:hAnsi="Times New Roman" w:cs="Times New Roman"/>
          <w:b/>
          <w:color w:val="000000" w:themeColor="text1"/>
          <w:sz w:val="20"/>
          <w:szCs w:val="20"/>
        </w:rPr>
        <w:t>Şekil 9: Tüketicilerin yeni bir mağaza veya marka tercih etmesinde etkili olan faktörler</w:t>
      </w:r>
    </w:p>
    <w:p w14:paraId="48BA02A0" w14:textId="3DBE973F" w:rsidR="002E3F19" w:rsidRPr="00164238" w:rsidRDefault="002E3F19" w:rsidP="002E3F19">
      <w:pPr>
        <w:spacing w:before="120" w:after="120" w:line="276" w:lineRule="auto"/>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noProof/>
          <w:color w:val="000000" w:themeColor="text1"/>
          <w:sz w:val="20"/>
          <w:szCs w:val="20"/>
          <w:lang w:val="en-US"/>
        </w:rPr>
        <w:drawing>
          <wp:inline distT="0" distB="0" distL="0" distR="0" wp14:anchorId="54050ADD" wp14:editId="1A1549D8">
            <wp:extent cx="5610225" cy="2609850"/>
            <wp:effectExtent l="0" t="0" r="9525" b="0"/>
            <wp:docPr id="147" name="Resim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g"/>
                    <pic:cNvPicPr>
                      <a:picLocks noChangeAspect="1" noChangeArrowheads="1"/>
                    </pic:cNvPicPr>
                  </pic:nvPicPr>
                  <pic:blipFill>
                    <a:blip r:embed="rId332">
                      <a:extLst>
                        <a:ext uri="{28A0092B-C50C-407E-A947-70E740481C1C}">
                          <a14:useLocalDpi xmlns:a14="http://schemas.microsoft.com/office/drawing/2010/main" val="0"/>
                        </a:ext>
                      </a:extLst>
                    </a:blip>
                    <a:srcRect t="11760" r="27910" b="8565"/>
                    <a:stretch>
                      <a:fillRect/>
                    </a:stretch>
                  </pic:blipFill>
                  <pic:spPr bwMode="auto">
                    <a:xfrm>
                      <a:off x="0" y="0"/>
                      <a:ext cx="5610225" cy="2609850"/>
                    </a:xfrm>
                    <a:prstGeom prst="rect">
                      <a:avLst/>
                    </a:prstGeom>
                    <a:noFill/>
                    <a:ln>
                      <a:noFill/>
                    </a:ln>
                  </pic:spPr>
                </pic:pic>
              </a:graphicData>
            </a:graphic>
          </wp:inline>
        </w:drawing>
      </w:r>
    </w:p>
    <w:p w14:paraId="2303910A" w14:textId="77777777" w:rsidR="002E3F19" w:rsidRPr="00164238" w:rsidRDefault="002E3F19" w:rsidP="002E3F19">
      <w:pPr>
        <w:spacing w:before="120" w:after="120" w:line="276" w:lineRule="auto"/>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Kaynak: McKinsey &amp; Company, 2020</w:t>
      </w:r>
    </w:p>
    <w:p w14:paraId="5ADFE919" w14:textId="77777777" w:rsidR="002E3F19" w:rsidRPr="00164238"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xml:space="preserve">Değer, kolaylık ve kullanılabilirlik tüm ülkelerdeki tüketiciler için alışveriş yaparken farklı bir yer seçmelerinin en önemli nedenleri olmuştur. Değer, dünya çapında yeni bir marka denemede en önemli faktör olmuştur. Asya'da ise tüketicilerin kalite ve organik faktörlere dayalı marka seçimleri yaptıkları </w:t>
      </w:r>
      <w:r w:rsidRPr="00164238">
        <w:rPr>
          <w:rFonts w:ascii="Times New Roman" w:eastAsia="Times New Roman" w:hAnsi="Times New Roman" w:cs="Times New Roman"/>
          <w:color w:val="000000" w:themeColor="text1"/>
          <w:sz w:val="20"/>
          <w:szCs w:val="20"/>
        </w:rPr>
        <w:lastRenderedPageBreak/>
        <w:t>belirlenmiştir. Türk katılımcılar diğer ülke tüketicileri ile benzer tercihler yapmış; yeni bir marka ve/veya perakendeci seçme konusunda değer ve kolaylık faktörlerine öncelik vermiş ve bu doğrultuda seçimler yapmıştır.</w:t>
      </w:r>
    </w:p>
    <w:p w14:paraId="738C2431" w14:textId="77777777" w:rsidR="002E3F19" w:rsidRPr="00164238" w:rsidRDefault="002E3F19" w:rsidP="002E3F19">
      <w:pPr>
        <w:spacing w:before="120" w:after="120" w:line="276" w:lineRule="auto"/>
        <w:jc w:val="both"/>
        <w:rPr>
          <w:rFonts w:ascii="Times New Roman" w:eastAsia="Times New Roman" w:hAnsi="Times New Roman" w:cs="Times New Roman"/>
          <w:b/>
          <w:color w:val="000000" w:themeColor="text1"/>
          <w:sz w:val="20"/>
          <w:szCs w:val="20"/>
        </w:rPr>
      </w:pPr>
    </w:p>
    <w:p w14:paraId="5AFE5453" w14:textId="540F8C74" w:rsidR="002E3F19" w:rsidRPr="00164238" w:rsidRDefault="002E3F19" w:rsidP="002E3F19">
      <w:pPr>
        <w:spacing w:before="120" w:after="120" w:line="276" w:lineRule="auto"/>
        <w:jc w:val="both"/>
        <w:rPr>
          <w:rFonts w:ascii="Times New Roman" w:eastAsia="Times New Roman" w:hAnsi="Times New Roman" w:cs="Times New Roman"/>
          <w:b/>
          <w:color w:val="000000" w:themeColor="text1"/>
          <w:sz w:val="20"/>
          <w:szCs w:val="20"/>
        </w:rPr>
      </w:pPr>
      <w:r w:rsidRPr="00164238">
        <w:rPr>
          <w:rFonts w:ascii="Times New Roman" w:eastAsia="Times New Roman" w:hAnsi="Times New Roman" w:cs="Times New Roman"/>
          <w:b/>
          <w:color w:val="000000" w:themeColor="text1"/>
          <w:sz w:val="20"/>
          <w:szCs w:val="20"/>
        </w:rPr>
        <w:t>Sonuç</w:t>
      </w:r>
    </w:p>
    <w:p w14:paraId="69F5D1BC" w14:textId="77777777" w:rsidR="002E3F19" w:rsidRPr="00164238"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xml:space="preserve">Covid-19 Pandemisinin bir süredir bildiğimiz şekliyle dünyayı kökten değiştirdiğine tanık olduk. </w:t>
      </w:r>
    </w:p>
    <w:p w14:paraId="167C147B" w14:textId="77777777" w:rsidR="002E3F19" w:rsidRPr="00164238"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xml:space="preserve">Covid-19, tüketici davranışlarında beş temel yolla değişikliğe neden olmuştur. Bunlar: </w:t>
      </w:r>
    </w:p>
    <w:p w14:paraId="312A7DD7" w14:textId="77777777" w:rsidR="002E3F19" w:rsidRPr="00164238" w:rsidRDefault="002E3F19" w:rsidP="002E3F19">
      <w:pPr>
        <w:spacing w:before="120" w:after="120" w:line="276" w:lineRule="auto"/>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Değer ve önceliklerde değişim yaşanmıştır:</w:t>
      </w:r>
    </w:p>
    <w:p w14:paraId="462A5BB3" w14:textId="77777777" w:rsidR="002E3F19" w:rsidRPr="00164238"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xml:space="preserve">Dünya çapında birçok tüketici gelirlerinin düştüğünü ve ekonomik toparlanmada iyimserlik ve bir canlanma görmediklerini belirtmiştir. </w:t>
      </w:r>
    </w:p>
    <w:p w14:paraId="620CBD83" w14:textId="77777777" w:rsidR="002E3F19" w:rsidRPr="00164238"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xml:space="preserve">Tüketiciler, Covid-19'un etkisinin dört aydan daha fazla sürmesini beklemiş, harcamalarına ve tüketimlerine daha fazla dikkat ettiklerini ifade etmiştir. </w:t>
      </w:r>
    </w:p>
    <w:p w14:paraId="1DCF427A" w14:textId="77777777" w:rsidR="002E3F19" w:rsidRPr="00164238"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Tüketiciler, harcamalarını büyük ölçüde market ve ev eşyaları gibi temel unsurlara kaydırmış ve isteğe bağlı kategorileri azaltmışlardır.</w:t>
      </w:r>
    </w:p>
    <w:p w14:paraId="33360DC6" w14:textId="77777777" w:rsidR="002E3F19" w:rsidRPr="00164238" w:rsidRDefault="002E3F19" w:rsidP="002E3F19">
      <w:pPr>
        <w:spacing w:before="120" w:after="120" w:line="276" w:lineRule="auto"/>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Dijital ve çok kanallı iletişime geçiş yaşanmıştır:</w:t>
      </w:r>
    </w:p>
    <w:p w14:paraId="3BBB3B66" w14:textId="77777777" w:rsidR="002E3F19" w:rsidRPr="00164238"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xml:space="preserve">Çoğu kategori, pandemi sırasında çevrimiçi müşteri tabanında yüzde 10'dan fazla büyüme görmüştür. </w:t>
      </w:r>
    </w:p>
    <w:p w14:paraId="18E28310" w14:textId="77777777" w:rsidR="002E3F19" w:rsidRPr="00164238"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Pandemi, önceden var olan daha dijital bir dünyaya geçişi hızlandırmıştır. Tüketiciler pandemi sonrasında da çevrimiçi alışverişe devam edeceğini ifade etmiştir.</w:t>
      </w:r>
    </w:p>
    <w:p w14:paraId="44CAA978" w14:textId="77777777" w:rsidR="002E3F19" w:rsidRPr="00164238"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Alışveriş siteleri ve akıllı telefon uygulamaları, ürün ve hizmet siparişi vermek ve işleri halletmek için geleneksel yöntemlerin yerini almıştır.</w:t>
      </w:r>
    </w:p>
    <w:p w14:paraId="2DD44453" w14:textId="77777777" w:rsidR="002E3F19" w:rsidRPr="00164238"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Covid-19 Pandemisinden önce yüksek çevrimiçi dönüşüm oranlarına sahip pazarlarda (örneğin, İngiltere ve ABD), e-ticaret, tüm kategorilerde büyüme göstermiştir.</w:t>
      </w:r>
    </w:p>
    <w:p w14:paraId="19CF7289" w14:textId="77777777" w:rsidR="002E3F19" w:rsidRPr="00164238" w:rsidRDefault="002E3F19" w:rsidP="002E3F19">
      <w:pPr>
        <w:spacing w:before="120" w:after="120" w:line="276" w:lineRule="auto"/>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Sadakat kavramında büyük değişim yaşanmıştır:</w:t>
      </w:r>
    </w:p>
    <w:p w14:paraId="4669B907" w14:textId="77777777" w:rsidR="002E3F19" w:rsidRPr="00164238"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Bazı ürün ve markalarda Covid-19 nedeniyle tedarik zincirinde bozulmalar yaşanmıştır. Bundan ötürü tüketicilerin farklı markaları ve mağazaları denemek de dahil olmak üzere alışveriş davranışlarını değiştirdikleri ve başka perakendecileri tercih ettiği sonucuna ulaşılmıştır. Dünya çapında değer kavramı, yeni bir marka tercih etme veya farklı bir yerden alışveriş yapmayı denemek için tüketicileri iten temel güç olmuştur.</w:t>
      </w:r>
    </w:p>
    <w:p w14:paraId="60EC116A" w14:textId="77777777" w:rsidR="002E3F19" w:rsidRPr="00164238" w:rsidRDefault="002E3F19" w:rsidP="002E3F19">
      <w:pPr>
        <w:spacing w:before="120" w:after="120" w:line="276" w:lineRule="auto"/>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xml:space="preserve">▪ Sağlık ve bakıma ayrılan ekonomide artış olmuştur: </w:t>
      </w:r>
    </w:p>
    <w:p w14:paraId="5B650179" w14:textId="77777777" w:rsidR="002E3F19" w:rsidRPr="00164238"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Araştırmaya konu olan ülkelerde ankete katılanlar, sağlıklı ve hijyenik ambalajlara sahip ürünleri aldıklarını, ayrıca çalışanları için de bu konuda hassas davranmış olduklarını ifade etmiştir.</w:t>
      </w:r>
    </w:p>
    <w:p w14:paraId="4CF6635C" w14:textId="77777777" w:rsidR="002E3F19" w:rsidRPr="00164238" w:rsidRDefault="002E3F19" w:rsidP="002E3F19">
      <w:pPr>
        <w:spacing w:before="120" w:after="120" w:line="276" w:lineRule="auto"/>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Sosyal hayatta değişim yaşanmıştır:</w:t>
      </w:r>
    </w:p>
    <w:p w14:paraId="234EA98C" w14:textId="77777777" w:rsidR="002E3F19" w:rsidRPr="00164238"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xml:space="preserve"> Çoğu ülkede, tüketicilerin yüzde 70'inden fazlası “normal” ev dışı faaliyetlerine devam etmek konusunda güvende hissetmemiştir. Birçok tüketici market alışverişi yapmak ve arkadaşlarıyla sosyalleşmek için dışarı çıkmış; seyahat ve kalabalık alanlardan uzak durmuştur.</w:t>
      </w:r>
    </w:p>
    <w:p w14:paraId="1BCB33A2" w14:textId="77777777" w:rsidR="002E3F19" w:rsidRPr="00164238"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xml:space="preserve">Kriz, tipik tüketici satın alma alışkanlıklarını büyük ölçüde bozmuş; sosyal mesafe koyma zorunlulukları, maske takma gereksinimleri, seyahat yasakları ve diğer halk sağlığı önlemlerinden oluşan 'yeni bir normal' yaratmıştır. </w:t>
      </w:r>
    </w:p>
    <w:p w14:paraId="5D88842C" w14:textId="77777777" w:rsidR="002E3F19" w:rsidRPr="00164238"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lastRenderedPageBreak/>
        <w:t>Bu istisnai koşullar nedeniyle insanlar hızla karar vermiş ve krizin kendilerine dayatmış olduğu yeni gerçeklikle örtüşen yeni alışkanlıklar benimsemiştir. Beklenmedik kriz dönemleri ülkelerin ve bireylerin daha korumacı ve kendilerini güvene alacak şekilde davranmış olduklarını ortaya koymuştur. Araştırma sonucunda da bunu doğrulayan verilere ulaşıldığı görülmüştür.</w:t>
      </w:r>
    </w:p>
    <w:p w14:paraId="59438046" w14:textId="77777777" w:rsidR="002E3F19" w:rsidRPr="00164238" w:rsidRDefault="002E3F19" w:rsidP="002E3F19">
      <w:pPr>
        <w:spacing w:before="120" w:after="120" w:line="276" w:lineRule="auto"/>
        <w:ind w:firstLine="708"/>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Sonuç olarak yalnızca sosyal ve ekonomik değil psikolojik olarak da bireylerin üzerinde etkisi olan Covid-19’un ve yaratmış olduğu değişimlerin bir süre daha bizimle olacağını ifade edebiliriz.</w:t>
      </w:r>
    </w:p>
    <w:p w14:paraId="0D9CD3AD" w14:textId="77777777" w:rsidR="002E3F19" w:rsidRPr="00164238" w:rsidRDefault="002E3F19" w:rsidP="002E3F19">
      <w:pPr>
        <w:spacing w:before="120" w:after="120" w:line="276" w:lineRule="auto"/>
        <w:jc w:val="both"/>
        <w:rPr>
          <w:rFonts w:ascii="Times New Roman" w:eastAsia="Times New Roman" w:hAnsi="Times New Roman" w:cs="Times New Roman"/>
          <w:color w:val="000000" w:themeColor="text1"/>
          <w:sz w:val="20"/>
          <w:szCs w:val="20"/>
        </w:rPr>
      </w:pPr>
    </w:p>
    <w:p w14:paraId="096560CE" w14:textId="6968E587" w:rsidR="006A4DC2" w:rsidRPr="00164238" w:rsidRDefault="00C95516" w:rsidP="006A4DC2">
      <w:pPr>
        <w:spacing w:line="276" w:lineRule="auto"/>
        <w:ind w:firstLine="567"/>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Kaynakça</w:t>
      </w:r>
    </w:p>
    <w:p w14:paraId="354FDCBF" w14:textId="77777777" w:rsidR="002E3F19" w:rsidRPr="00164238" w:rsidRDefault="002E3F19" w:rsidP="002E3F19">
      <w:pPr>
        <w:spacing w:before="120" w:after="120" w:line="276" w:lineRule="auto"/>
        <w:ind w:left="720" w:hanging="720"/>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Biao, N., Feng, Z., &amp; Jiafeng, Y. (2010). </w:t>
      </w:r>
      <w:r w:rsidRPr="00164238">
        <w:rPr>
          <w:rFonts w:ascii="Times New Roman" w:hAnsi="Times New Roman" w:cs="Times New Roman"/>
          <w:i/>
          <w:color w:val="000000" w:themeColor="text1"/>
          <w:sz w:val="20"/>
          <w:szCs w:val="20"/>
        </w:rPr>
        <w:t>The Impact of the Financial Crisis on Consumer Behavior and the.</w:t>
      </w:r>
      <w:r w:rsidRPr="00164238">
        <w:rPr>
          <w:rFonts w:ascii="Times New Roman" w:hAnsi="Times New Roman" w:cs="Times New Roman"/>
          <w:color w:val="000000" w:themeColor="text1"/>
          <w:sz w:val="20"/>
          <w:szCs w:val="20"/>
        </w:rPr>
        <w:t xml:space="preserve"> Zhejiang Gongshang University.</w:t>
      </w:r>
    </w:p>
    <w:p w14:paraId="53D4557D" w14:textId="77777777" w:rsidR="002E3F19" w:rsidRPr="00164238" w:rsidRDefault="002E3F19" w:rsidP="002E3F19">
      <w:pPr>
        <w:spacing w:before="120" w:after="120" w:line="276" w:lineRule="auto"/>
        <w:ind w:left="720" w:hanging="720"/>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Egol, M., Cleyde, A., &amp; Rangan, K. (2010). The New Consumer Fragulity, In Sharma. </w:t>
      </w:r>
      <w:r w:rsidRPr="00164238">
        <w:rPr>
          <w:rFonts w:ascii="Times New Roman" w:hAnsi="Times New Roman" w:cs="Times New Roman"/>
          <w:i/>
          <w:color w:val="000000" w:themeColor="text1"/>
          <w:sz w:val="20"/>
          <w:szCs w:val="20"/>
        </w:rPr>
        <w:t>International Journal of Economics &amp; Business Administration</w:t>
      </w:r>
      <w:r w:rsidRPr="00164238">
        <w:rPr>
          <w:rFonts w:ascii="Times New Roman" w:hAnsi="Times New Roman" w:cs="Times New Roman"/>
          <w:color w:val="000000" w:themeColor="text1"/>
          <w:sz w:val="20"/>
          <w:szCs w:val="20"/>
        </w:rPr>
        <w:t>.</w:t>
      </w:r>
    </w:p>
    <w:p w14:paraId="13E08EE7" w14:textId="77777777" w:rsidR="002E3F19" w:rsidRPr="00164238" w:rsidRDefault="002E3F19" w:rsidP="002E3F19">
      <w:pPr>
        <w:spacing w:before="120" w:after="120" w:line="276" w:lineRule="auto"/>
        <w:ind w:left="720" w:hanging="720"/>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Hansen, F., Percy, L., &amp; Hansen, M. H. (2004). </w:t>
      </w:r>
      <w:r w:rsidRPr="00164238">
        <w:rPr>
          <w:rFonts w:ascii="Times New Roman" w:hAnsi="Times New Roman" w:cs="Times New Roman"/>
          <w:i/>
          <w:color w:val="000000" w:themeColor="text1"/>
          <w:sz w:val="20"/>
          <w:szCs w:val="20"/>
        </w:rPr>
        <w:t>Consumer choice behaviour – an emotional theory.</w:t>
      </w:r>
      <w:r w:rsidRPr="00164238">
        <w:rPr>
          <w:rFonts w:ascii="Times New Roman" w:hAnsi="Times New Roman" w:cs="Times New Roman"/>
          <w:color w:val="000000" w:themeColor="text1"/>
          <w:sz w:val="20"/>
          <w:szCs w:val="20"/>
        </w:rPr>
        <w:t xml:space="preserve"> INSTITUT FOR AFSÆTNING COPENHAGEN BUSINESS SCHOOL.</w:t>
      </w:r>
    </w:p>
    <w:p w14:paraId="28D6FC60" w14:textId="77777777" w:rsidR="002E3F19" w:rsidRPr="00164238" w:rsidRDefault="002E3F19" w:rsidP="002E3F19">
      <w:pPr>
        <w:spacing w:before="120" w:after="120" w:line="276" w:lineRule="auto"/>
        <w:ind w:left="720" w:hanging="720"/>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Kayabaşı, E. T. (2020). Consumer Behavior Observed in the Covid-19 Process . </w:t>
      </w:r>
      <w:r w:rsidRPr="00164238">
        <w:rPr>
          <w:rFonts w:ascii="Times New Roman" w:hAnsi="Times New Roman" w:cs="Times New Roman"/>
          <w:i/>
          <w:color w:val="000000" w:themeColor="text1"/>
          <w:sz w:val="20"/>
          <w:szCs w:val="20"/>
        </w:rPr>
        <w:t>Avrasya Sosyal ve Ekonomi Araştırmaları Dergisi</w:t>
      </w:r>
      <w:r w:rsidRPr="00164238">
        <w:rPr>
          <w:rFonts w:ascii="Times New Roman" w:hAnsi="Times New Roman" w:cs="Times New Roman"/>
          <w:color w:val="000000" w:themeColor="text1"/>
          <w:sz w:val="20"/>
          <w:szCs w:val="20"/>
        </w:rPr>
        <w:t>.</w:t>
      </w:r>
    </w:p>
    <w:p w14:paraId="5A9CBB27" w14:textId="77777777" w:rsidR="002E3F19" w:rsidRPr="00164238" w:rsidRDefault="002E3F19" w:rsidP="002E3F19">
      <w:pPr>
        <w:spacing w:before="120" w:after="120" w:line="276" w:lineRule="auto"/>
        <w:ind w:left="720" w:hanging="720"/>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Lundgren, R. E., &amp; McMakin, A. H. (2018). </w:t>
      </w:r>
      <w:r w:rsidRPr="00164238">
        <w:rPr>
          <w:rFonts w:ascii="Times New Roman" w:hAnsi="Times New Roman" w:cs="Times New Roman"/>
          <w:i/>
          <w:color w:val="000000" w:themeColor="text1"/>
          <w:sz w:val="20"/>
          <w:szCs w:val="20"/>
        </w:rPr>
        <w:t>Risk Communication: A Handbook for Communicating Environmental, Safety, and Health Risks.</w:t>
      </w:r>
      <w:r w:rsidRPr="00164238">
        <w:rPr>
          <w:rFonts w:ascii="Times New Roman" w:hAnsi="Times New Roman" w:cs="Times New Roman"/>
          <w:color w:val="000000" w:themeColor="text1"/>
          <w:sz w:val="20"/>
          <w:szCs w:val="20"/>
        </w:rPr>
        <w:t xml:space="preserve"> Wiley-IEEE Press.</w:t>
      </w:r>
    </w:p>
    <w:p w14:paraId="49C49D8F" w14:textId="77777777" w:rsidR="002E3F19" w:rsidRPr="00164238" w:rsidRDefault="002E3F19" w:rsidP="002E3F19">
      <w:pPr>
        <w:spacing w:before="120" w:after="120" w:line="276" w:lineRule="auto"/>
        <w:ind w:left="720" w:hanging="720"/>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Oana, D. (2020). The impact of the Current Crisis Generated by the Covid-19 Pandemic on Consumer Behavior. </w:t>
      </w:r>
      <w:r w:rsidRPr="00164238">
        <w:rPr>
          <w:rFonts w:ascii="Times New Roman" w:hAnsi="Times New Roman" w:cs="Times New Roman"/>
          <w:i/>
          <w:color w:val="000000" w:themeColor="text1"/>
          <w:sz w:val="20"/>
          <w:szCs w:val="20"/>
        </w:rPr>
        <w:t xml:space="preserve">Studies in Business and Economics </w:t>
      </w:r>
      <w:r w:rsidRPr="00164238">
        <w:rPr>
          <w:rFonts w:ascii="Times New Roman" w:hAnsi="Times New Roman" w:cs="Times New Roman"/>
          <w:color w:val="000000" w:themeColor="text1"/>
          <w:sz w:val="20"/>
          <w:szCs w:val="20"/>
        </w:rPr>
        <w:t>.</w:t>
      </w:r>
    </w:p>
    <w:p w14:paraId="16DD615A" w14:textId="77777777" w:rsidR="002E3F19" w:rsidRPr="00164238" w:rsidRDefault="002E3F19" w:rsidP="002E3F19">
      <w:pPr>
        <w:spacing w:before="120" w:after="120" w:line="276" w:lineRule="auto"/>
        <w:ind w:left="720" w:hanging="720"/>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Sharma, V., &amp; Sonwalkar, J. (2013). Does Consumer Buying Behavior Change During Economic Crisis? </w:t>
      </w:r>
      <w:r w:rsidRPr="00164238">
        <w:rPr>
          <w:rFonts w:ascii="Times New Roman" w:hAnsi="Times New Roman" w:cs="Times New Roman"/>
          <w:i/>
          <w:color w:val="000000" w:themeColor="text1"/>
          <w:sz w:val="20"/>
          <w:szCs w:val="20"/>
        </w:rPr>
        <w:t>International Journal of Economics &amp; Business Administration (IJEBA)</w:t>
      </w:r>
      <w:r w:rsidRPr="00164238">
        <w:rPr>
          <w:rFonts w:ascii="Times New Roman" w:hAnsi="Times New Roman" w:cs="Times New Roman"/>
          <w:color w:val="000000" w:themeColor="text1"/>
          <w:sz w:val="20"/>
          <w:szCs w:val="20"/>
        </w:rPr>
        <w:t>.</w:t>
      </w:r>
    </w:p>
    <w:p w14:paraId="45EC6A79" w14:textId="77777777" w:rsidR="002E3F19" w:rsidRPr="00164238" w:rsidRDefault="002E3F19" w:rsidP="002E3F19">
      <w:pPr>
        <w:spacing w:before="120" w:after="120" w:line="276" w:lineRule="auto"/>
        <w:ind w:left="720" w:hanging="720"/>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Valaskova, K., &amp; Kliestik, T. (2015). Behavioural reactions of consumers to economic recession . </w:t>
      </w:r>
      <w:r w:rsidRPr="00164238">
        <w:rPr>
          <w:rFonts w:ascii="Times New Roman" w:hAnsi="Times New Roman" w:cs="Times New Roman"/>
          <w:i/>
          <w:color w:val="000000" w:themeColor="text1"/>
          <w:sz w:val="20"/>
          <w:szCs w:val="20"/>
        </w:rPr>
        <w:t>Business: Theory and Practice.</w:t>
      </w:r>
    </w:p>
    <w:p w14:paraId="19BD8751" w14:textId="77777777" w:rsidR="002E3F19" w:rsidRPr="00164238" w:rsidRDefault="002E3F19" w:rsidP="002E3F19">
      <w:pPr>
        <w:spacing w:before="120" w:after="120" w:line="276" w:lineRule="auto"/>
        <w:ind w:left="720" w:hanging="720"/>
        <w:jc w:val="both"/>
        <w:rPr>
          <w:rFonts w:ascii="Times New Roman" w:hAnsi="Times New Roman" w:cs="Times New Roman"/>
          <w:color w:val="000000" w:themeColor="text1"/>
          <w:sz w:val="20"/>
          <w:szCs w:val="20"/>
        </w:rPr>
      </w:pPr>
      <w:r w:rsidRPr="00164238">
        <w:rPr>
          <w:rFonts w:ascii="Times New Roman" w:hAnsi="Times New Roman" w:cs="Times New Roman"/>
          <w:i/>
          <w:color w:val="000000" w:themeColor="text1"/>
          <w:sz w:val="20"/>
          <w:szCs w:val="20"/>
        </w:rPr>
        <w:t>Wikipedia (2021) McKinsey &amp; Company.</w:t>
      </w:r>
      <w:r w:rsidRPr="00164238">
        <w:rPr>
          <w:rFonts w:ascii="Times New Roman" w:hAnsi="Times New Roman" w:cs="Times New Roman"/>
          <w:color w:val="000000" w:themeColor="text1"/>
          <w:sz w:val="20"/>
          <w:szCs w:val="20"/>
        </w:rPr>
        <w:t xml:space="preserve"> (16 Şubat, 2021). https://tr.wikipedia.org/wiki/McKinsey_%26_Company adresinden alındı</w:t>
      </w:r>
    </w:p>
    <w:p w14:paraId="16FCDC5C" w14:textId="77777777" w:rsidR="002E3F19" w:rsidRPr="00164238" w:rsidRDefault="002E3F19" w:rsidP="002E3F19">
      <w:pPr>
        <w:spacing w:before="120" w:after="120" w:line="276" w:lineRule="auto"/>
        <w:ind w:left="720" w:hanging="720"/>
        <w:jc w:val="both"/>
        <w:rPr>
          <w:rFonts w:ascii="Times New Roman" w:hAnsi="Times New Roman" w:cs="Times New Roman"/>
          <w:color w:val="000000" w:themeColor="text1"/>
          <w:sz w:val="20"/>
          <w:szCs w:val="20"/>
        </w:rPr>
      </w:pPr>
      <w:r w:rsidRPr="00164238">
        <w:rPr>
          <w:rFonts w:ascii="Times New Roman" w:hAnsi="Times New Roman" w:cs="Times New Roman"/>
          <w:i/>
          <w:color w:val="000000" w:themeColor="text1"/>
          <w:sz w:val="20"/>
          <w:szCs w:val="20"/>
        </w:rPr>
        <w:t>Wikipedia. (2021). Tüketici Davranışı</w:t>
      </w:r>
      <w:r w:rsidRPr="00164238">
        <w:rPr>
          <w:rFonts w:ascii="Times New Roman" w:hAnsi="Times New Roman" w:cs="Times New Roman"/>
          <w:color w:val="000000" w:themeColor="text1"/>
          <w:sz w:val="20"/>
          <w:szCs w:val="20"/>
        </w:rPr>
        <w:t>. (16, Şubat 2021). https://tr.wikipedia.org/wiki/T%C3%BCketici_davran%C4%B1%C5%9F%C4%B1adresinden alındı</w:t>
      </w:r>
    </w:p>
    <w:p w14:paraId="7D9E7628" w14:textId="77777777" w:rsidR="002E3F19" w:rsidRPr="00164238" w:rsidRDefault="002E3F19" w:rsidP="002E3F19">
      <w:pPr>
        <w:spacing w:before="120" w:after="120" w:line="276" w:lineRule="auto"/>
        <w:ind w:left="720" w:hanging="720"/>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Wright, R. (2006). </w:t>
      </w:r>
      <w:r w:rsidRPr="00164238">
        <w:rPr>
          <w:rFonts w:ascii="Times New Roman" w:hAnsi="Times New Roman" w:cs="Times New Roman"/>
          <w:i/>
          <w:color w:val="000000" w:themeColor="text1"/>
          <w:sz w:val="20"/>
          <w:szCs w:val="20"/>
        </w:rPr>
        <w:t>Consumer Behavior.</w:t>
      </w:r>
      <w:r w:rsidRPr="00164238">
        <w:rPr>
          <w:rFonts w:ascii="Times New Roman" w:hAnsi="Times New Roman" w:cs="Times New Roman"/>
          <w:color w:val="000000" w:themeColor="text1"/>
          <w:sz w:val="20"/>
          <w:szCs w:val="20"/>
        </w:rPr>
        <w:t xml:space="preserve"> London: Thomson Learning.</w:t>
      </w:r>
    </w:p>
    <w:p w14:paraId="4327DA56" w14:textId="77777777" w:rsidR="002E3F19" w:rsidRPr="00164238" w:rsidRDefault="002E3F19" w:rsidP="002E3F19">
      <w:pPr>
        <w:spacing w:before="120" w:after="120" w:line="276" w:lineRule="auto"/>
        <w:ind w:left="720" w:hanging="720"/>
        <w:jc w:val="both"/>
        <w:rPr>
          <w:rFonts w:ascii="Times New Roman" w:hAnsi="Times New Roman" w:cs="Times New Roman"/>
          <w:color w:val="000000" w:themeColor="text1"/>
          <w:sz w:val="20"/>
          <w:szCs w:val="20"/>
        </w:rPr>
      </w:pPr>
      <w:r w:rsidRPr="00164238">
        <w:rPr>
          <w:rFonts w:ascii="Times New Roman" w:hAnsi="Times New Roman" w:cs="Times New Roman"/>
          <w:i/>
          <w:color w:val="000000" w:themeColor="text1"/>
          <w:sz w:val="20"/>
          <w:szCs w:val="20"/>
        </w:rPr>
        <w:t>McKinsey &amp; Company www.mckinsey.com</w:t>
      </w:r>
      <w:r w:rsidRPr="00164238">
        <w:rPr>
          <w:rFonts w:ascii="Times New Roman" w:hAnsi="Times New Roman" w:cs="Times New Roman"/>
          <w:color w:val="000000" w:themeColor="text1"/>
          <w:sz w:val="20"/>
          <w:szCs w:val="20"/>
        </w:rPr>
        <w:t>. (16 Şubat, 2021). https://www.mckinsey.com adresinden alındı</w:t>
      </w:r>
    </w:p>
    <w:p w14:paraId="69E1399A" w14:textId="1D00ABE3" w:rsidR="00CA1B1E" w:rsidRPr="00164238" w:rsidRDefault="00CA1B1E" w:rsidP="00E7125F">
      <w:pPr>
        <w:pStyle w:val="Balk1"/>
        <w:rPr>
          <w:rFonts w:ascii="Times New Roman" w:hAnsi="Times New Roman" w:cs="Times New Roman"/>
          <w:b/>
          <w:color w:val="000000" w:themeColor="text1"/>
          <w:sz w:val="24"/>
          <w:szCs w:val="24"/>
        </w:rPr>
      </w:pPr>
    </w:p>
    <w:p w14:paraId="3DCEDF42" w14:textId="77777777" w:rsidR="00CA1B1E" w:rsidRPr="00164238" w:rsidRDefault="00CA1B1E" w:rsidP="00CA1B1E">
      <w:pPr>
        <w:rPr>
          <w:color w:val="000000" w:themeColor="text1"/>
          <w:lang w:eastAsia="tr-TR"/>
        </w:rPr>
      </w:pPr>
    </w:p>
    <w:p w14:paraId="205AD7BF" w14:textId="77777777" w:rsidR="00CA1B1E" w:rsidRPr="00164238" w:rsidRDefault="00CA1B1E" w:rsidP="00E7125F">
      <w:pPr>
        <w:pStyle w:val="Balk1"/>
        <w:rPr>
          <w:rFonts w:ascii="Times New Roman" w:hAnsi="Times New Roman" w:cs="Times New Roman"/>
          <w:b/>
          <w:color w:val="000000" w:themeColor="text1"/>
          <w:sz w:val="24"/>
          <w:szCs w:val="24"/>
        </w:rPr>
      </w:pPr>
    </w:p>
    <w:p w14:paraId="5D248DEF" w14:textId="2CEF4616" w:rsidR="00CA1B1E" w:rsidRPr="00164238" w:rsidRDefault="00CA1B1E" w:rsidP="00E7125F">
      <w:pPr>
        <w:pStyle w:val="Balk1"/>
        <w:rPr>
          <w:rFonts w:ascii="Times New Roman" w:hAnsi="Times New Roman" w:cs="Times New Roman"/>
          <w:b/>
          <w:color w:val="000000" w:themeColor="text1"/>
          <w:sz w:val="24"/>
          <w:szCs w:val="24"/>
        </w:rPr>
      </w:pPr>
    </w:p>
    <w:p w14:paraId="72607795" w14:textId="06CA6DDC" w:rsidR="00CA1B1E" w:rsidRPr="00164238" w:rsidRDefault="00CA1B1E" w:rsidP="00CA1B1E">
      <w:pPr>
        <w:rPr>
          <w:color w:val="000000" w:themeColor="text1"/>
          <w:lang w:eastAsia="tr-TR"/>
        </w:rPr>
      </w:pPr>
    </w:p>
    <w:p w14:paraId="1EE53D22" w14:textId="52B0FD75" w:rsidR="00CA1B1E" w:rsidRPr="00164238" w:rsidRDefault="00CA1B1E" w:rsidP="00CA1B1E">
      <w:pPr>
        <w:rPr>
          <w:color w:val="000000" w:themeColor="text1"/>
          <w:lang w:eastAsia="tr-TR"/>
        </w:rPr>
      </w:pPr>
    </w:p>
    <w:p w14:paraId="411A3AB9" w14:textId="1ADE4C5F" w:rsidR="009835A2" w:rsidRPr="00164238" w:rsidRDefault="009835A2" w:rsidP="00E7125F">
      <w:pPr>
        <w:pStyle w:val="Balk1"/>
        <w:rPr>
          <w:rFonts w:ascii="Times New Roman" w:hAnsi="Times New Roman" w:cs="Times New Roman"/>
          <w:b/>
          <w:color w:val="000000" w:themeColor="text1"/>
          <w:sz w:val="24"/>
          <w:szCs w:val="24"/>
        </w:rPr>
      </w:pPr>
      <w:bookmarkStart w:id="170" w:name="_Toc72961749"/>
      <w:r w:rsidRPr="00164238">
        <w:rPr>
          <w:rFonts w:ascii="Times New Roman" w:hAnsi="Times New Roman" w:cs="Times New Roman"/>
          <w:b/>
          <w:color w:val="000000" w:themeColor="text1"/>
          <w:sz w:val="24"/>
          <w:szCs w:val="24"/>
        </w:rPr>
        <w:lastRenderedPageBreak/>
        <w:t xml:space="preserve">A </w:t>
      </w:r>
      <w:r w:rsidR="001D67F2" w:rsidRPr="00164238">
        <w:rPr>
          <w:rFonts w:ascii="Times New Roman" w:hAnsi="Times New Roman" w:cs="Times New Roman"/>
          <w:b/>
          <w:color w:val="000000" w:themeColor="text1"/>
          <w:sz w:val="24"/>
          <w:szCs w:val="24"/>
        </w:rPr>
        <w:t>QUALITATIVE RESEARCH ON WORK-LIFE BALANCE OF REMOTE AND ROTATING (ALTERNATELY) EMPLOYEES IN THE COVID-19 PANDEMIC PROCESS</w:t>
      </w:r>
      <w:bookmarkEnd w:id="170"/>
    </w:p>
    <w:p w14:paraId="668E3809" w14:textId="77777777" w:rsidR="00E7125F" w:rsidRPr="00164238" w:rsidRDefault="00E7125F" w:rsidP="00E7125F">
      <w:pPr>
        <w:rPr>
          <w:rFonts w:ascii="Times New Roman" w:hAnsi="Times New Roman" w:cs="Times New Roman"/>
          <w:color w:val="000000" w:themeColor="text1"/>
          <w:lang w:eastAsia="tr-TR"/>
        </w:rPr>
      </w:pPr>
    </w:p>
    <w:p w14:paraId="3562F6E2" w14:textId="77777777" w:rsidR="00E7125F" w:rsidRPr="00164238" w:rsidRDefault="00E7125F" w:rsidP="00E7125F">
      <w:pPr>
        <w:pStyle w:val="Balk2"/>
        <w:rPr>
          <w:rFonts w:ascii="Times New Roman" w:hAnsi="Times New Roman" w:cs="Times New Roman"/>
          <w:b w:val="0"/>
          <w:color w:val="000000" w:themeColor="text1"/>
          <w:sz w:val="20"/>
          <w:szCs w:val="20"/>
        </w:rPr>
      </w:pPr>
      <w:bookmarkStart w:id="171" w:name="_Toc72961750"/>
      <w:r w:rsidRPr="00164238">
        <w:rPr>
          <w:rStyle w:val="Balk2Char"/>
          <w:rFonts w:ascii="Times New Roman" w:hAnsi="Times New Roman" w:cs="Times New Roman"/>
          <w:color w:val="000000" w:themeColor="text1"/>
          <w:sz w:val="20"/>
          <w:szCs w:val="20"/>
        </w:rPr>
        <w:t>Assist. Prof. Dr. Pınar ERKAL</w:t>
      </w:r>
      <w:r w:rsidRPr="00164238">
        <w:rPr>
          <w:rFonts w:ascii="Times New Roman" w:eastAsia="Arial" w:hAnsi="Times New Roman" w:cs="Times New Roman"/>
          <w:b w:val="0"/>
          <w:color w:val="000000" w:themeColor="text1"/>
          <w:sz w:val="20"/>
          <w:szCs w:val="20"/>
        </w:rPr>
        <w:t>, Balikesir University, Balikesir Vicational School,10145 Balikesir, Turkey</w:t>
      </w:r>
      <w:bookmarkEnd w:id="171"/>
    </w:p>
    <w:p w14:paraId="30A61DF6" w14:textId="77777777" w:rsidR="00E7125F" w:rsidRPr="00164238" w:rsidRDefault="00E7125F" w:rsidP="00E7125F">
      <w:pPr>
        <w:pStyle w:val="Balk2"/>
        <w:rPr>
          <w:rFonts w:ascii="Times New Roman" w:hAnsi="Times New Roman" w:cs="Times New Roman"/>
          <w:b w:val="0"/>
          <w:color w:val="000000" w:themeColor="text1"/>
          <w:sz w:val="20"/>
          <w:szCs w:val="20"/>
        </w:rPr>
      </w:pPr>
      <w:bookmarkStart w:id="172" w:name="_Toc72352818"/>
      <w:bookmarkStart w:id="173" w:name="_Toc72961751"/>
      <w:r w:rsidRPr="00164238">
        <w:rPr>
          <w:rFonts w:ascii="Times New Roman" w:eastAsia="Arial" w:hAnsi="Times New Roman" w:cs="Times New Roman"/>
          <w:b w:val="0"/>
          <w:color w:val="000000" w:themeColor="text1"/>
          <w:sz w:val="20"/>
          <w:szCs w:val="20"/>
        </w:rPr>
        <w:t>e-mail</w:t>
      </w:r>
      <w:r w:rsidRPr="00164238">
        <w:rPr>
          <w:rFonts w:ascii="Times New Roman" w:hAnsi="Times New Roman" w:cs="Times New Roman"/>
          <w:b w:val="0"/>
          <w:color w:val="000000" w:themeColor="text1"/>
          <w:sz w:val="20"/>
          <w:szCs w:val="20"/>
          <w:shd w:val="clear" w:color="auto" w:fill="FFFFFF"/>
        </w:rPr>
        <w:t>:</w:t>
      </w:r>
      <w:r w:rsidRPr="00164238">
        <w:rPr>
          <w:rFonts w:ascii="Times New Roman" w:hAnsi="Times New Roman" w:cs="Times New Roman"/>
          <w:b w:val="0"/>
          <w:color w:val="000000" w:themeColor="text1"/>
          <w:sz w:val="20"/>
          <w:szCs w:val="20"/>
          <w:u w:val="single"/>
          <w:shd w:val="clear" w:color="auto" w:fill="FFFFFF"/>
        </w:rPr>
        <w:t> pinar@</w:t>
      </w:r>
      <w:r w:rsidRPr="00164238">
        <w:rPr>
          <w:rStyle w:val="Vurgu"/>
          <w:rFonts w:ascii="Times New Roman" w:hAnsi="Times New Roman" w:cs="Times New Roman"/>
          <w:b w:val="0"/>
          <w:iCs/>
          <w:color w:val="000000" w:themeColor="text1"/>
          <w:sz w:val="20"/>
          <w:szCs w:val="20"/>
          <w:u w:val="single"/>
          <w:shd w:val="clear" w:color="auto" w:fill="FFFFFF"/>
        </w:rPr>
        <w:t>balikesir</w:t>
      </w:r>
      <w:r w:rsidRPr="00164238">
        <w:rPr>
          <w:rFonts w:ascii="Times New Roman" w:hAnsi="Times New Roman" w:cs="Times New Roman"/>
          <w:b w:val="0"/>
          <w:color w:val="000000" w:themeColor="text1"/>
          <w:sz w:val="20"/>
          <w:szCs w:val="20"/>
          <w:u w:val="single"/>
          <w:shd w:val="clear" w:color="auto" w:fill="FFFFFF"/>
        </w:rPr>
        <w:t>.edu.tr</w:t>
      </w:r>
      <w:r w:rsidRPr="00164238">
        <w:rPr>
          <w:rFonts w:ascii="Times New Roman" w:hAnsi="Times New Roman" w:cs="Times New Roman"/>
          <w:b w:val="0"/>
          <w:color w:val="000000" w:themeColor="text1"/>
          <w:sz w:val="20"/>
          <w:szCs w:val="20"/>
          <w:shd w:val="clear" w:color="auto" w:fill="FFFFFF"/>
        </w:rPr>
        <w:t> </w:t>
      </w:r>
      <w:r w:rsidRPr="00164238">
        <w:rPr>
          <w:rFonts w:ascii="Times New Roman" w:eastAsia="Arial" w:hAnsi="Times New Roman" w:cs="Times New Roman"/>
          <w:b w:val="0"/>
          <w:color w:val="000000" w:themeColor="text1"/>
          <w:sz w:val="20"/>
          <w:szCs w:val="20"/>
        </w:rPr>
        <w:t xml:space="preserve">: ORCID ID: </w:t>
      </w:r>
      <w:hyperlink r:id="rId333" w:history="1">
        <w:r w:rsidRPr="00164238">
          <w:rPr>
            <w:rStyle w:val="Kpr"/>
            <w:rFonts w:ascii="Times New Roman" w:hAnsi="Times New Roman" w:cs="Times New Roman"/>
            <w:b w:val="0"/>
            <w:color w:val="000000" w:themeColor="text1"/>
            <w:sz w:val="20"/>
            <w:szCs w:val="20"/>
            <w:u w:val="none"/>
            <w:shd w:val="clear" w:color="auto" w:fill="F1F1F1"/>
          </w:rPr>
          <w:t>0000-0003-4698-8475</w:t>
        </w:r>
        <w:bookmarkEnd w:id="172"/>
        <w:bookmarkEnd w:id="173"/>
      </w:hyperlink>
    </w:p>
    <w:p w14:paraId="166D0E1F" w14:textId="77777777" w:rsidR="009835A2" w:rsidRPr="00164238" w:rsidRDefault="009835A2" w:rsidP="009835A2">
      <w:pPr>
        <w:pStyle w:val="ListeParagraf"/>
        <w:spacing w:after="120" w:line="240" w:lineRule="auto"/>
        <w:rPr>
          <w:rFonts w:ascii="Times New Roman" w:hAnsi="Times New Roman" w:cs="Times New Roman"/>
          <w:b/>
          <w:color w:val="000000" w:themeColor="text1"/>
          <w:sz w:val="20"/>
          <w:szCs w:val="20"/>
        </w:rPr>
      </w:pPr>
      <w:r w:rsidRPr="00164238">
        <w:rPr>
          <w:rFonts w:ascii="Times New Roman" w:hAnsi="Times New Roman" w:cs="Times New Roman"/>
          <w:b/>
          <w:color w:val="000000" w:themeColor="text1"/>
          <w:sz w:val="20"/>
          <w:szCs w:val="20"/>
        </w:rPr>
        <w:t xml:space="preserve">Introduction </w:t>
      </w:r>
    </w:p>
    <w:p w14:paraId="70C36DFA" w14:textId="77777777" w:rsidR="009835A2" w:rsidRPr="00164238" w:rsidRDefault="009835A2" w:rsidP="009835A2">
      <w:pPr>
        <w:spacing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It is important that a balance between work and non-work life, for every employees.  Because while employees spend a significant part of their daily life at work, they are interested in a lot of thing outside of work. Work-life balance of  employee  is to management their work and social life and thus get satisfaction. (Dilek ve Yılmaz, 2016: 38). Due to the Covid 19 pandemic, which started to be seen in our country in March 2020, many employees started to carry out their work with flexible working programs. In pandemic process, while some employees are doing their jobs remotely and home environment via computers, some employees start to spend less time at the workplace by sharing their work with other staff in the organization. The purpose of this research is to present the opinion of working remote and rotating (alternately) white-collar employees on work-life balance during the Covid-19 pandemic process. In the research, qualitative research method was applied, and interpretations were made with the descriptive analysis technique. Interviews were fulfilled white-collar employees who carry out their jobs flexible working system. The research result has been analyzed under three headings: First, during the pandemic process, the opinions of remote employees about work-life balance, second third the difficulties in achieving work-life balance, the effect of pandemic to work-life balance. </w:t>
      </w:r>
    </w:p>
    <w:p w14:paraId="145EFFA7" w14:textId="77777777" w:rsidR="009835A2" w:rsidRPr="00164238" w:rsidRDefault="009835A2" w:rsidP="009835A2">
      <w:pPr>
        <w:spacing w:after="120" w:line="240" w:lineRule="auto"/>
        <w:ind w:firstLine="708"/>
        <w:rPr>
          <w:rFonts w:ascii="Times New Roman" w:hAnsi="Times New Roman" w:cs="Times New Roman"/>
          <w:b/>
          <w:color w:val="000000" w:themeColor="text1"/>
          <w:sz w:val="20"/>
          <w:szCs w:val="20"/>
        </w:rPr>
      </w:pPr>
      <w:r w:rsidRPr="00164238">
        <w:rPr>
          <w:rFonts w:ascii="Times New Roman" w:hAnsi="Times New Roman" w:cs="Times New Roman"/>
          <w:b/>
          <w:color w:val="000000" w:themeColor="text1"/>
          <w:sz w:val="20"/>
          <w:szCs w:val="20"/>
        </w:rPr>
        <w:t>Literature Review</w:t>
      </w:r>
    </w:p>
    <w:p w14:paraId="1B827439" w14:textId="77777777" w:rsidR="009835A2" w:rsidRPr="00164238" w:rsidRDefault="009835A2" w:rsidP="009835A2">
      <w:pPr>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Work-life balance is the ability of employees to control their work and non-work life (Sree ve Jyotbi, 2012, Pekdemir ve Koçoğlu, 2014: 309-337). The issue of work-life balance was first emphasized in Rosabeth Moss Kanter's book “Work and Family in the United States” (1977). And in the 1980’s and 1990’s, companies began to offer work/life programs. Three major factors contribute to the importance of, serious consideration of work/life balance: These factors are global competition, renewed interest in personal lives/family values; and an aging workforce (Lockwood, 2003). Work-life balance is the perception that one can carry out harmonious activities in and out of work and that it develops to serve the priorities in life (Kalliath and Brough 2008: 323-327). There are three unifying elements in the work-life balance: time, involvement and satisfaction (Greenhaus, et. al,2003). Time balance refers to equal time being given to both work and nonwork. Involvement balance refers to equal level of psychological involvement in both work and nonwork. Satisfaction balance refers to equal levels of satisfaction in both work and nonwork. And thus in order to balance work and life three elements should be considered. While work-life balance means fulfilling both family and work responsibilities for employees; For managers, it means creating a business culture that will enable employees to focus their attention on their tasks (Parlak, 2016: 109). Many things in life are the determinants of work life balance. This subjects are individual, family, social enviroment, work and organization (Delecta, 2011:187). In Parlak's study (2016:109), it is argued that flexible working is important but not sufficient in terms of work-life balance, and various measures should be taken to reduce the negative effects. </w:t>
      </w:r>
    </w:p>
    <w:p w14:paraId="76B17E47" w14:textId="77777777" w:rsidR="009835A2" w:rsidRPr="00164238" w:rsidRDefault="009835A2" w:rsidP="009835A2">
      <w:pPr>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Work-life balance has various consequences for individuals and organizations. Guest (2002) cites these as job satisfaction, life satisfaction, mental problems, stress, diseases, the effect on job performance, the effect on other employees in their jobs, and the effect on other people outside of work. In various studies, it has been revealed that if employees can achieve work-life balance, their intention to quit will be low (Lee et al., 2013: 165). There are findings indicating that work-life balance increases job satisfaction and reduces work-related stress (Forsyth and Polzer-Debruyne, 2007: 121). </w:t>
      </w:r>
    </w:p>
    <w:p w14:paraId="750FD15D" w14:textId="77777777" w:rsidR="009835A2" w:rsidRPr="00164238" w:rsidRDefault="009835A2" w:rsidP="009835A2">
      <w:pPr>
        <w:spacing w:after="120" w:line="240" w:lineRule="auto"/>
        <w:rPr>
          <w:rFonts w:ascii="Times New Roman" w:hAnsi="Times New Roman" w:cs="Times New Roman"/>
          <w:b/>
          <w:color w:val="000000" w:themeColor="text1"/>
          <w:sz w:val="20"/>
          <w:szCs w:val="20"/>
        </w:rPr>
      </w:pPr>
    </w:p>
    <w:p w14:paraId="7978644B" w14:textId="77777777" w:rsidR="009835A2" w:rsidRPr="00164238" w:rsidRDefault="009835A2" w:rsidP="009835A2">
      <w:pPr>
        <w:spacing w:after="120" w:line="240" w:lineRule="auto"/>
        <w:rPr>
          <w:rFonts w:ascii="Times New Roman" w:hAnsi="Times New Roman" w:cs="Times New Roman"/>
          <w:b/>
          <w:color w:val="000000" w:themeColor="text1"/>
          <w:sz w:val="20"/>
          <w:szCs w:val="20"/>
        </w:rPr>
      </w:pPr>
    </w:p>
    <w:p w14:paraId="12466641" w14:textId="7ADFDEEF" w:rsidR="009835A2" w:rsidRPr="00164238" w:rsidRDefault="009835A2" w:rsidP="009835A2">
      <w:pPr>
        <w:spacing w:after="120" w:line="240" w:lineRule="auto"/>
        <w:ind w:firstLine="708"/>
        <w:rPr>
          <w:rFonts w:ascii="Times New Roman" w:hAnsi="Times New Roman" w:cs="Times New Roman"/>
          <w:b/>
          <w:color w:val="000000" w:themeColor="text1"/>
          <w:sz w:val="20"/>
          <w:szCs w:val="20"/>
        </w:rPr>
      </w:pPr>
      <w:r w:rsidRPr="00164238">
        <w:rPr>
          <w:rFonts w:ascii="Times New Roman" w:hAnsi="Times New Roman" w:cs="Times New Roman"/>
          <w:b/>
          <w:color w:val="000000" w:themeColor="text1"/>
          <w:sz w:val="20"/>
          <w:szCs w:val="20"/>
        </w:rPr>
        <w:t>Method</w:t>
      </w:r>
    </w:p>
    <w:p w14:paraId="31CD73DA" w14:textId="77777777" w:rsidR="009835A2" w:rsidRPr="00164238" w:rsidRDefault="009835A2" w:rsidP="009835A2">
      <w:pPr>
        <w:spacing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The aim of this research is to determine, the opinion of white-collar employees who are working remote and rotating (alternately), on work-life balanece during the Covid-19 pandemic process. Interview method was used to data collection tool in the study. In the study, phenomenological pattern, which is one of the qualitative methods, was preferred. In the study, it was decided that the most appropriate method in order to determine the opinions of the participants working remotely /rotating (alternately) about the work-life balance during the pandemic process was "interview". Participants were determined on a voluntary basis. The typical sampling method, which is a purposeful sampling method, was used for the employees in the face-to-face interview.  In the research, it was tried to reach employees working remotely and in rotations during the pandemic process.  In addition, the interviews lasted between 35-45 minutes. At the end of the interview, the data were interpreted by descriptive analysis method.</w:t>
      </w:r>
    </w:p>
    <w:p w14:paraId="31E23A6D" w14:textId="77777777" w:rsidR="009835A2" w:rsidRPr="00164238" w:rsidRDefault="009835A2" w:rsidP="009835A2">
      <w:pPr>
        <w:spacing w:after="120" w:line="240" w:lineRule="auto"/>
        <w:ind w:firstLine="708"/>
        <w:rPr>
          <w:rFonts w:ascii="Times New Roman" w:hAnsi="Times New Roman" w:cs="Times New Roman"/>
          <w:b/>
          <w:color w:val="000000" w:themeColor="text1"/>
          <w:sz w:val="20"/>
          <w:szCs w:val="20"/>
        </w:rPr>
      </w:pPr>
      <w:r w:rsidRPr="00164238">
        <w:rPr>
          <w:rFonts w:ascii="Times New Roman" w:hAnsi="Times New Roman" w:cs="Times New Roman"/>
          <w:b/>
          <w:color w:val="000000" w:themeColor="text1"/>
          <w:sz w:val="20"/>
          <w:szCs w:val="20"/>
        </w:rPr>
        <w:t>Sampling</w:t>
      </w:r>
    </w:p>
    <w:p w14:paraId="4EE84555" w14:textId="77777777" w:rsidR="009835A2" w:rsidRPr="00164238" w:rsidRDefault="009835A2" w:rsidP="009835A2">
      <w:pPr>
        <w:spacing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In this study, phenomenological qualitative research design was used. The sample of the study consists of white-collar employees who work remotely and rotating (alternately). Phenomenological research is carried out for in-depth investigation of a subject that we have an idea about but do not have in-depth and detailed information. (Sığrı, 2018: 186).  In this direction, white-collar employees who work rotating (alternately) and remotely during the pandemic process were included in the study. 14 employees from different occupational groups participated in the study.  In the research, interviews were made with 14 white collar employees. The occupations of the participants are food engineer, veterinarian, lawyer, secretary, tax officer, accountant, financial expert, academician, human resources specialist and office worker. </w:t>
      </w:r>
    </w:p>
    <w:p w14:paraId="3FB8B0A2" w14:textId="77777777" w:rsidR="009835A2" w:rsidRPr="00164238" w:rsidRDefault="009835A2" w:rsidP="009835A2">
      <w:pPr>
        <w:spacing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8 of the participants are female  and 6 of them male.  2 of the participants are doctoral graduates and 12 of them are undergraduate degrees. The age of participants is between 30 and 51. 11 of the participants are married and 3 are single. 12 of the participants have children, </w:t>
      </w:r>
    </w:p>
    <w:p w14:paraId="2B5D2021" w14:textId="77777777" w:rsidR="009835A2" w:rsidRPr="00164238" w:rsidRDefault="009835A2" w:rsidP="009835A2">
      <w:pPr>
        <w:pStyle w:val="ListeParagraf"/>
        <w:spacing w:after="120" w:line="240" w:lineRule="auto"/>
        <w:jc w:val="both"/>
        <w:rPr>
          <w:rFonts w:ascii="Times New Roman" w:hAnsi="Times New Roman" w:cs="Times New Roman"/>
          <w:b/>
          <w:color w:val="000000" w:themeColor="text1"/>
          <w:sz w:val="20"/>
          <w:szCs w:val="20"/>
        </w:rPr>
      </w:pPr>
      <w:r w:rsidRPr="00164238">
        <w:rPr>
          <w:rFonts w:ascii="Times New Roman" w:hAnsi="Times New Roman" w:cs="Times New Roman"/>
          <w:b/>
          <w:color w:val="000000" w:themeColor="text1"/>
          <w:sz w:val="20"/>
          <w:szCs w:val="20"/>
        </w:rPr>
        <w:t xml:space="preserve">Reliability and Correlation Analyses </w:t>
      </w:r>
    </w:p>
    <w:p w14:paraId="2EA64D55" w14:textId="77777777" w:rsidR="009835A2" w:rsidRPr="00164238" w:rsidRDefault="009835A2" w:rsidP="009835A2">
      <w:pPr>
        <w:spacing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In the internal validity study of the research, firstly the literature was searched and then a pilot study was conducted and then questions were asked to three interviewers. Thus, the comprehensibility of the questions and their relation to the subject were determined.  Participants from different professions, education and age groups were preferred in order to achieve maximum diversity in order to ensure the external validity of the study. (Yıldırım and Şimşek, 2015: 271). </w:t>
      </w:r>
    </w:p>
    <w:p w14:paraId="3CF18A53" w14:textId="77777777" w:rsidR="009835A2" w:rsidRPr="00164238" w:rsidRDefault="009835A2" w:rsidP="009835A2">
      <w:pPr>
        <w:spacing w:after="12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In order to ensure its internal reliability, detailed information was obtained by asking open-ended questions during the interview process. Data were tried to be collected in the same process.</w:t>
      </w:r>
    </w:p>
    <w:p w14:paraId="195460D4" w14:textId="77777777" w:rsidR="009835A2" w:rsidRPr="00164238" w:rsidRDefault="009835A2" w:rsidP="009835A2">
      <w:pPr>
        <w:pStyle w:val="ListeParagraf"/>
        <w:spacing w:after="120" w:line="240" w:lineRule="auto"/>
        <w:jc w:val="both"/>
        <w:rPr>
          <w:rFonts w:ascii="Times New Roman" w:hAnsi="Times New Roman" w:cs="Times New Roman"/>
          <w:b/>
          <w:color w:val="000000" w:themeColor="text1"/>
          <w:sz w:val="20"/>
          <w:szCs w:val="20"/>
        </w:rPr>
      </w:pPr>
      <w:r w:rsidRPr="00164238">
        <w:rPr>
          <w:rFonts w:ascii="Times New Roman" w:hAnsi="Times New Roman" w:cs="Times New Roman"/>
          <w:b/>
          <w:color w:val="000000" w:themeColor="text1"/>
          <w:sz w:val="20"/>
          <w:szCs w:val="20"/>
        </w:rPr>
        <w:t>Data Collection Tools</w:t>
      </w:r>
    </w:p>
    <w:p w14:paraId="55137437" w14:textId="77777777" w:rsidR="009835A2" w:rsidRPr="00164238" w:rsidRDefault="009835A2" w:rsidP="009835A2">
      <w:pPr>
        <w:spacing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The data in the study were collected through semi-structured interview method. In the preparation of the questions, firstly the literature was searched and then open-ended questions were created on the subject.</w:t>
      </w:r>
    </w:p>
    <w:p w14:paraId="665E3B98" w14:textId="77777777" w:rsidR="009835A2" w:rsidRPr="00164238" w:rsidRDefault="009835A2" w:rsidP="009835A2">
      <w:pPr>
        <w:pStyle w:val="ListeParagraf"/>
        <w:spacing w:after="120" w:line="240" w:lineRule="auto"/>
        <w:jc w:val="both"/>
        <w:rPr>
          <w:rFonts w:ascii="Times New Roman" w:hAnsi="Times New Roman" w:cs="Times New Roman"/>
          <w:b/>
          <w:color w:val="000000" w:themeColor="text1"/>
          <w:sz w:val="20"/>
          <w:szCs w:val="20"/>
        </w:rPr>
      </w:pPr>
      <w:r w:rsidRPr="00164238">
        <w:rPr>
          <w:rFonts w:ascii="Times New Roman" w:hAnsi="Times New Roman" w:cs="Times New Roman"/>
          <w:b/>
          <w:color w:val="000000" w:themeColor="text1"/>
          <w:sz w:val="20"/>
          <w:szCs w:val="20"/>
        </w:rPr>
        <w:t xml:space="preserve">Analysis of Data and Finding Verilerin Analizi </w:t>
      </w:r>
    </w:p>
    <w:p w14:paraId="48211959" w14:textId="77777777" w:rsidR="009835A2" w:rsidRPr="00164238" w:rsidRDefault="009835A2" w:rsidP="009835A2">
      <w:pPr>
        <w:spacing w:after="120" w:line="240" w:lineRule="auto"/>
        <w:ind w:firstLine="708"/>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The data obtained in the research will be discussed in 3 parts. These parts are: </w:t>
      </w:r>
    </w:p>
    <w:p w14:paraId="38D65116" w14:textId="77777777" w:rsidR="009835A2" w:rsidRPr="00164238" w:rsidRDefault="009835A2" w:rsidP="009835A2">
      <w:pPr>
        <w:spacing w:after="120" w:line="240" w:lineRule="auto"/>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1- During the pandemic process, the opinions of remote employees about work-life balance.</w:t>
      </w:r>
    </w:p>
    <w:p w14:paraId="10F18619" w14:textId="77777777" w:rsidR="009835A2" w:rsidRPr="00164238" w:rsidRDefault="009835A2" w:rsidP="009835A2">
      <w:pPr>
        <w:spacing w:after="120" w:line="240" w:lineRule="auto"/>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2- The difficulties in achieving work-life balance.       </w:t>
      </w:r>
    </w:p>
    <w:p w14:paraId="1CB21D0A" w14:textId="0BFDB285" w:rsidR="009835A2" w:rsidRDefault="009835A2" w:rsidP="009835A2">
      <w:pPr>
        <w:spacing w:after="120" w:line="240" w:lineRule="auto"/>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3- The effect of pandemic to work-life balance.</w:t>
      </w:r>
    </w:p>
    <w:p w14:paraId="1EB65888" w14:textId="5A6230B6" w:rsidR="006A4DC2" w:rsidRDefault="006A4DC2" w:rsidP="009835A2">
      <w:pPr>
        <w:spacing w:after="120" w:line="240" w:lineRule="auto"/>
        <w:rPr>
          <w:rFonts w:ascii="Times New Roman" w:hAnsi="Times New Roman" w:cs="Times New Roman"/>
          <w:color w:val="000000" w:themeColor="text1"/>
          <w:sz w:val="20"/>
          <w:szCs w:val="20"/>
        </w:rPr>
      </w:pPr>
    </w:p>
    <w:p w14:paraId="03F3AA69" w14:textId="48A2379D" w:rsidR="006A4DC2" w:rsidRDefault="006A4DC2" w:rsidP="009835A2">
      <w:pPr>
        <w:spacing w:after="120" w:line="240" w:lineRule="auto"/>
        <w:rPr>
          <w:rFonts w:ascii="Times New Roman" w:hAnsi="Times New Roman" w:cs="Times New Roman"/>
          <w:color w:val="000000" w:themeColor="text1"/>
          <w:sz w:val="20"/>
          <w:szCs w:val="20"/>
        </w:rPr>
      </w:pPr>
    </w:p>
    <w:p w14:paraId="123C58BB" w14:textId="33D23DDF" w:rsidR="006A4DC2" w:rsidRDefault="006A4DC2" w:rsidP="009835A2">
      <w:pPr>
        <w:spacing w:after="120" w:line="240" w:lineRule="auto"/>
        <w:rPr>
          <w:rFonts w:ascii="Times New Roman" w:hAnsi="Times New Roman" w:cs="Times New Roman"/>
          <w:color w:val="000000" w:themeColor="text1"/>
          <w:sz w:val="20"/>
          <w:szCs w:val="20"/>
        </w:rPr>
      </w:pPr>
    </w:p>
    <w:p w14:paraId="239C6B75" w14:textId="23FDFF9F" w:rsidR="006A4DC2" w:rsidRDefault="006A4DC2" w:rsidP="009835A2">
      <w:pPr>
        <w:spacing w:after="120" w:line="240" w:lineRule="auto"/>
        <w:rPr>
          <w:rFonts w:ascii="Times New Roman" w:hAnsi="Times New Roman" w:cs="Times New Roman"/>
          <w:color w:val="000000" w:themeColor="text1"/>
          <w:sz w:val="20"/>
          <w:szCs w:val="20"/>
        </w:rPr>
      </w:pPr>
    </w:p>
    <w:p w14:paraId="7DF1DD02" w14:textId="77777777" w:rsidR="009835A2" w:rsidRPr="00164238" w:rsidRDefault="009835A2" w:rsidP="009835A2">
      <w:pPr>
        <w:spacing w:after="120" w:line="240" w:lineRule="auto"/>
        <w:jc w:val="both"/>
        <w:rPr>
          <w:rFonts w:ascii="Times New Roman" w:hAnsi="Times New Roman" w:cs="Times New Roman"/>
          <w:b/>
          <w:color w:val="000000" w:themeColor="text1"/>
        </w:rPr>
      </w:pPr>
      <w:r w:rsidRPr="00164238">
        <w:rPr>
          <w:rFonts w:ascii="Times New Roman" w:hAnsi="Times New Roman" w:cs="Times New Roman"/>
          <w:b/>
          <w:color w:val="000000" w:themeColor="text1"/>
        </w:rPr>
        <w:lastRenderedPageBreak/>
        <w:t xml:space="preserve">Table 1. The Opinions of  Participants on Work Life Balance at the Remote / Rotating (Alternately) Working Process, during the Covid-19  Pandemic Process,  </w:t>
      </w:r>
    </w:p>
    <w:tbl>
      <w:tblPr>
        <w:tblStyle w:val="TabloKlavuzu"/>
        <w:tblW w:w="0" w:type="auto"/>
        <w:tblLook w:val="04A0" w:firstRow="1" w:lastRow="0" w:firstColumn="1" w:lastColumn="0" w:noHBand="0" w:noVBand="1"/>
      </w:tblPr>
      <w:tblGrid>
        <w:gridCol w:w="6863"/>
        <w:gridCol w:w="1632"/>
      </w:tblGrid>
      <w:tr w:rsidR="00AE5E6C" w:rsidRPr="00164238" w14:paraId="64D18D1A" w14:textId="77777777" w:rsidTr="00682CBF">
        <w:trPr>
          <w:trHeight w:val="1088"/>
        </w:trPr>
        <w:tc>
          <w:tcPr>
            <w:tcW w:w="7395" w:type="dxa"/>
          </w:tcPr>
          <w:p w14:paraId="42B8A1D8" w14:textId="77777777" w:rsidR="009835A2" w:rsidRPr="00164238" w:rsidRDefault="009835A2" w:rsidP="00682CBF">
            <w:pPr>
              <w:jc w:val="both"/>
              <w:rPr>
                <w:rFonts w:ascii="Times New Roman" w:hAnsi="Times New Roman" w:cs="Times New Roman"/>
                <w:b/>
                <w:color w:val="000000" w:themeColor="text1"/>
              </w:rPr>
            </w:pPr>
            <w:r w:rsidRPr="00164238">
              <w:rPr>
                <w:rFonts w:ascii="Times New Roman" w:hAnsi="Times New Roman" w:cs="Times New Roman"/>
                <w:b/>
                <w:color w:val="000000" w:themeColor="text1"/>
              </w:rPr>
              <w:t>During the pandemic process, the opinions of remote employees about work-life balance</w:t>
            </w:r>
          </w:p>
          <w:p w14:paraId="4025A8B8" w14:textId="77777777" w:rsidR="009835A2" w:rsidRPr="00164238" w:rsidRDefault="009835A2" w:rsidP="00682CBF">
            <w:pPr>
              <w:jc w:val="both"/>
              <w:rPr>
                <w:rFonts w:ascii="Times New Roman" w:hAnsi="Times New Roman" w:cs="Times New Roman"/>
                <w:color w:val="000000" w:themeColor="text1"/>
              </w:rPr>
            </w:pPr>
            <w:r w:rsidRPr="00164238">
              <w:rPr>
                <w:rFonts w:ascii="Times New Roman" w:hAnsi="Times New Roman" w:cs="Times New Roman"/>
                <w:color w:val="000000" w:themeColor="text1"/>
              </w:rPr>
              <w:t>Yes I can balance work and life</w:t>
            </w:r>
          </w:p>
          <w:p w14:paraId="7FC67F18" w14:textId="77777777" w:rsidR="009835A2" w:rsidRPr="00164238" w:rsidRDefault="009835A2" w:rsidP="00682CBF">
            <w:pPr>
              <w:jc w:val="both"/>
              <w:rPr>
                <w:rFonts w:ascii="Times New Roman" w:hAnsi="Times New Roman" w:cs="Times New Roman"/>
                <w:b/>
                <w:color w:val="000000" w:themeColor="text1"/>
              </w:rPr>
            </w:pPr>
            <w:r w:rsidRPr="00164238">
              <w:rPr>
                <w:rFonts w:ascii="Times New Roman" w:hAnsi="Times New Roman" w:cs="Times New Roman"/>
                <w:color w:val="000000" w:themeColor="text1"/>
              </w:rPr>
              <w:t>No, I cannot balance work and life.</w:t>
            </w:r>
          </w:p>
        </w:tc>
        <w:tc>
          <w:tcPr>
            <w:tcW w:w="1667" w:type="dxa"/>
          </w:tcPr>
          <w:p w14:paraId="7D06BD44" w14:textId="77777777" w:rsidR="009835A2" w:rsidRPr="00164238" w:rsidRDefault="009835A2" w:rsidP="00682CBF">
            <w:pPr>
              <w:jc w:val="both"/>
              <w:rPr>
                <w:rFonts w:ascii="Times New Roman" w:hAnsi="Times New Roman" w:cs="Times New Roman"/>
                <w:b/>
                <w:color w:val="000000" w:themeColor="text1"/>
              </w:rPr>
            </w:pPr>
            <w:r w:rsidRPr="00164238">
              <w:rPr>
                <w:rFonts w:ascii="Times New Roman" w:hAnsi="Times New Roman" w:cs="Times New Roman"/>
                <w:b/>
                <w:color w:val="000000" w:themeColor="text1"/>
              </w:rPr>
              <w:t>Participant</w:t>
            </w:r>
          </w:p>
          <w:p w14:paraId="0697DC28" w14:textId="77777777" w:rsidR="009835A2" w:rsidRPr="00164238" w:rsidRDefault="009835A2" w:rsidP="00682CBF">
            <w:pPr>
              <w:jc w:val="both"/>
              <w:rPr>
                <w:rFonts w:ascii="Times New Roman" w:hAnsi="Times New Roman" w:cs="Times New Roman"/>
                <w:b/>
                <w:color w:val="000000" w:themeColor="text1"/>
              </w:rPr>
            </w:pPr>
          </w:p>
          <w:p w14:paraId="0AE5A727" w14:textId="77777777" w:rsidR="009835A2" w:rsidRPr="00164238" w:rsidRDefault="009835A2" w:rsidP="00682CBF">
            <w:pPr>
              <w:jc w:val="both"/>
              <w:rPr>
                <w:rFonts w:ascii="Times New Roman" w:hAnsi="Times New Roman" w:cs="Times New Roman"/>
                <w:b/>
                <w:color w:val="000000" w:themeColor="text1"/>
              </w:rPr>
            </w:pPr>
            <w:r w:rsidRPr="00164238">
              <w:rPr>
                <w:rFonts w:ascii="Times New Roman" w:hAnsi="Times New Roman" w:cs="Times New Roman"/>
                <w:b/>
                <w:color w:val="000000" w:themeColor="text1"/>
              </w:rPr>
              <w:t>6</w:t>
            </w:r>
          </w:p>
          <w:p w14:paraId="274A349F" w14:textId="77777777" w:rsidR="009835A2" w:rsidRPr="00164238" w:rsidRDefault="009835A2" w:rsidP="00682CBF">
            <w:pPr>
              <w:jc w:val="both"/>
              <w:rPr>
                <w:rFonts w:ascii="Times New Roman" w:hAnsi="Times New Roman" w:cs="Times New Roman"/>
                <w:b/>
                <w:color w:val="000000" w:themeColor="text1"/>
              </w:rPr>
            </w:pPr>
            <w:r w:rsidRPr="00164238">
              <w:rPr>
                <w:rFonts w:ascii="Times New Roman" w:hAnsi="Times New Roman" w:cs="Times New Roman"/>
                <w:b/>
                <w:color w:val="000000" w:themeColor="text1"/>
              </w:rPr>
              <w:t>8</w:t>
            </w:r>
          </w:p>
        </w:tc>
      </w:tr>
      <w:tr w:rsidR="00AE5E6C" w:rsidRPr="00164238" w14:paraId="18FD9ED1" w14:textId="77777777" w:rsidTr="00682CBF">
        <w:tc>
          <w:tcPr>
            <w:tcW w:w="7395" w:type="dxa"/>
          </w:tcPr>
          <w:p w14:paraId="561F1A60" w14:textId="77777777" w:rsidR="009835A2" w:rsidRPr="00164238" w:rsidRDefault="009835A2" w:rsidP="00682CBF">
            <w:pPr>
              <w:rPr>
                <w:rFonts w:ascii="Times New Roman" w:hAnsi="Times New Roman" w:cs="Times New Roman"/>
                <w:b/>
                <w:color w:val="000000" w:themeColor="text1"/>
              </w:rPr>
            </w:pPr>
            <w:r w:rsidRPr="00164238">
              <w:rPr>
                <w:rFonts w:ascii="Times New Roman" w:hAnsi="Times New Roman" w:cs="Times New Roman"/>
                <w:b/>
                <w:color w:val="000000" w:themeColor="text1"/>
              </w:rPr>
              <w:t>The difficulties in achieving work-life balance</w:t>
            </w:r>
          </w:p>
          <w:p w14:paraId="0243BF5A" w14:textId="77777777" w:rsidR="009835A2" w:rsidRPr="00164238" w:rsidRDefault="009835A2" w:rsidP="00682CBF">
            <w:pPr>
              <w:jc w:val="both"/>
              <w:rPr>
                <w:rFonts w:ascii="Times New Roman" w:hAnsi="Times New Roman" w:cs="Times New Roman"/>
                <w:color w:val="000000" w:themeColor="text1"/>
              </w:rPr>
            </w:pPr>
            <w:r w:rsidRPr="00164238">
              <w:rPr>
                <w:rFonts w:ascii="Times New Roman" w:hAnsi="Times New Roman" w:cs="Times New Roman"/>
                <w:color w:val="000000" w:themeColor="text1"/>
              </w:rPr>
              <w:t>Childcare and child education</w:t>
            </w:r>
          </w:p>
          <w:p w14:paraId="7C109770" w14:textId="77777777" w:rsidR="009835A2" w:rsidRPr="00164238" w:rsidRDefault="009835A2" w:rsidP="00682CBF">
            <w:pPr>
              <w:jc w:val="both"/>
              <w:rPr>
                <w:rFonts w:ascii="Times New Roman" w:hAnsi="Times New Roman" w:cs="Times New Roman"/>
                <w:color w:val="000000" w:themeColor="text1"/>
              </w:rPr>
            </w:pPr>
            <w:r w:rsidRPr="00164238">
              <w:rPr>
                <w:rFonts w:ascii="Times New Roman" w:hAnsi="Times New Roman" w:cs="Times New Roman"/>
                <w:color w:val="000000" w:themeColor="text1"/>
              </w:rPr>
              <w:t>Lack of work discipline at home</w:t>
            </w:r>
          </w:p>
          <w:p w14:paraId="238EA94A" w14:textId="77777777" w:rsidR="009835A2" w:rsidRPr="00164238" w:rsidRDefault="009835A2" w:rsidP="00682CBF">
            <w:pPr>
              <w:jc w:val="both"/>
              <w:rPr>
                <w:rFonts w:ascii="Times New Roman" w:hAnsi="Times New Roman" w:cs="Times New Roman"/>
                <w:color w:val="000000" w:themeColor="text1"/>
              </w:rPr>
            </w:pPr>
            <w:r w:rsidRPr="00164238">
              <w:rPr>
                <w:rFonts w:ascii="Times New Roman" w:hAnsi="Times New Roman" w:cs="Times New Roman"/>
                <w:color w:val="000000" w:themeColor="text1"/>
              </w:rPr>
              <w:t>Increased workload</w:t>
            </w:r>
          </w:p>
          <w:p w14:paraId="33014131" w14:textId="77777777" w:rsidR="009835A2" w:rsidRPr="00164238" w:rsidRDefault="009835A2" w:rsidP="00682CBF">
            <w:pPr>
              <w:jc w:val="both"/>
              <w:rPr>
                <w:rFonts w:ascii="Times New Roman" w:hAnsi="Times New Roman" w:cs="Times New Roman"/>
                <w:color w:val="000000" w:themeColor="text1"/>
              </w:rPr>
            </w:pPr>
            <w:r w:rsidRPr="00164238">
              <w:rPr>
                <w:rFonts w:ascii="Times New Roman" w:hAnsi="Times New Roman" w:cs="Times New Roman"/>
                <w:color w:val="000000" w:themeColor="text1"/>
              </w:rPr>
              <w:t>Housework, cleaning</w:t>
            </w:r>
          </w:p>
          <w:p w14:paraId="522ECF50" w14:textId="77777777" w:rsidR="009835A2" w:rsidRPr="00164238" w:rsidRDefault="009835A2" w:rsidP="00682CBF">
            <w:pPr>
              <w:jc w:val="both"/>
              <w:rPr>
                <w:rFonts w:ascii="Times New Roman" w:hAnsi="Times New Roman" w:cs="Times New Roman"/>
                <w:color w:val="000000" w:themeColor="text1"/>
              </w:rPr>
            </w:pPr>
            <w:r w:rsidRPr="00164238">
              <w:rPr>
                <w:rFonts w:ascii="Times New Roman" w:hAnsi="Times New Roman" w:cs="Times New Roman"/>
                <w:color w:val="000000" w:themeColor="text1"/>
              </w:rPr>
              <w:t>Manager's expectations increase due to working at home</w:t>
            </w:r>
          </w:p>
          <w:p w14:paraId="68D41A15" w14:textId="77777777" w:rsidR="009835A2" w:rsidRPr="00164238" w:rsidRDefault="009835A2" w:rsidP="00682CBF">
            <w:pPr>
              <w:jc w:val="both"/>
              <w:rPr>
                <w:rFonts w:ascii="Times New Roman" w:hAnsi="Times New Roman" w:cs="Times New Roman"/>
                <w:b/>
                <w:color w:val="000000" w:themeColor="text1"/>
              </w:rPr>
            </w:pPr>
            <w:r w:rsidRPr="00164238">
              <w:rPr>
                <w:rFonts w:ascii="Times New Roman" w:hAnsi="Times New Roman" w:cs="Times New Roman"/>
                <w:color w:val="000000" w:themeColor="text1"/>
              </w:rPr>
              <w:t>Planning problems</w:t>
            </w:r>
          </w:p>
        </w:tc>
        <w:tc>
          <w:tcPr>
            <w:tcW w:w="1667" w:type="dxa"/>
          </w:tcPr>
          <w:p w14:paraId="2BF998A8" w14:textId="77777777" w:rsidR="009835A2" w:rsidRPr="00164238" w:rsidRDefault="009835A2" w:rsidP="00682CBF">
            <w:pPr>
              <w:jc w:val="both"/>
              <w:rPr>
                <w:rFonts w:ascii="Times New Roman" w:hAnsi="Times New Roman" w:cs="Times New Roman"/>
                <w:b/>
                <w:color w:val="000000" w:themeColor="text1"/>
              </w:rPr>
            </w:pPr>
          </w:p>
          <w:p w14:paraId="216236A1" w14:textId="77777777" w:rsidR="009835A2" w:rsidRPr="00164238" w:rsidRDefault="009835A2" w:rsidP="00682CBF">
            <w:pPr>
              <w:jc w:val="both"/>
              <w:rPr>
                <w:rFonts w:ascii="Times New Roman" w:hAnsi="Times New Roman" w:cs="Times New Roman"/>
                <w:b/>
                <w:color w:val="000000" w:themeColor="text1"/>
              </w:rPr>
            </w:pPr>
            <w:r w:rsidRPr="00164238">
              <w:rPr>
                <w:rFonts w:ascii="Times New Roman" w:hAnsi="Times New Roman" w:cs="Times New Roman"/>
                <w:b/>
                <w:color w:val="000000" w:themeColor="text1"/>
              </w:rPr>
              <w:t>6</w:t>
            </w:r>
          </w:p>
          <w:p w14:paraId="4FD690E9" w14:textId="77777777" w:rsidR="009835A2" w:rsidRPr="00164238" w:rsidRDefault="009835A2" w:rsidP="00682CBF">
            <w:pPr>
              <w:jc w:val="both"/>
              <w:rPr>
                <w:rFonts w:ascii="Times New Roman" w:hAnsi="Times New Roman" w:cs="Times New Roman"/>
                <w:b/>
                <w:color w:val="000000" w:themeColor="text1"/>
              </w:rPr>
            </w:pPr>
            <w:r w:rsidRPr="00164238">
              <w:rPr>
                <w:rFonts w:ascii="Times New Roman" w:hAnsi="Times New Roman" w:cs="Times New Roman"/>
                <w:b/>
                <w:color w:val="000000" w:themeColor="text1"/>
              </w:rPr>
              <w:t>7</w:t>
            </w:r>
          </w:p>
          <w:p w14:paraId="75820CFD" w14:textId="77777777" w:rsidR="009835A2" w:rsidRPr="00164238" w:rsidRDefault="009835A2" w:rsidP="00682CBF">
            <w:pPr>
              <w:jc w:val="both"/>
              <w:rPr>
                <w:rFonts w:ascii="Times New Roman" w:hAnsi="Times New Roman" w:cs="Times New Roman"/>
                <w:b/>
                <w:color w:val="000000" w:themeColor="text1"/>
              </w:rPr>
            </w:pPr>
            <w:r w:rsidRPr="00164238">
              <w:rPr>
                <w:rFonts w:ascii="Times New Roman" w:hAnsi="Times New Roman" w:cs="Times New Roman"/>
                <w:b/>
                <w:color w:val="000000" w:themeColor="text1"/>
              </w:rPr>
              <w:t>5</w:t>
            </w:r>
          </w:p>
          <w:p w14:paraId="193937A7" w14:textId="77777777" w:rsidR="009835A2" w:rsidRPr="00164238" w:rsidRDefault="009835A2" w:rsidP="00682CBF">
            <w:pPr>
              <w:jc w:val="both"/>
              <w:rPr>
                <w:rFonts w:ascii="Times New Roman" w:hAnsi="Times New Roman" w:cs="Times New Roman"/>
                <w:b/>
                <w:color w:val="000000" w:themeColor="text1"/>
              </w:rPr>
            </w:pPr>
            <w:r w:rsidRPr="00164238">
              <w:rPr>
                <w:rFonts w:ascii="Times New Roman" w:hAnsi="Times New Roman" w:cs="Times New Roman"/>
                <w:b/>
                <w:color w:val="000000" w:themeColor="text1"/>
              </w:rPr>
              <w:t>7</w:t>
            </w:r>
          </w:p>
          <w:p w14:paraId="4318D151" w14:textId="77777777" w:rsidR="009835A2" w:rsidRPr="00164238" w:rsidRDefault="009835A2" w:rsidP="00682CBF">
            <w:pPr>
              <w:jc w:val="both"/>
              <w:rPr>
                <w:rFonts w:ascii="Times New Roman" w:hAnsi="Times New Roman" w:cs="Times New Roman"/>
                <w:b/>
                <w:color w:val="000000" w:themeColor="text1"/>
              </w:rPr>
            </w:pPr>
            <w:r w:rsidRPr="00164238">
              <w:rPr>
                <w:rFonts w:ascii="Times New Roman" w:hAnsi="Times New Roman" w:cs="Times New Roman"/>
                <w:b/>
                <w:color w:val="000000" w:themeColor="text1"/>
              </w:rPr>
              <w:t>3</w:t>
            </w:r>
          </w:p>
          <w:p w14:paraId="2A22ED7D" w14:textId="77777777" w:rsidR="009835A2" w:rsidRPr="00164238" w:rsidRDefault="009835A2" w:rsidP="00682CBF">
            <w:pPr>
              <w:jc w:val="both"/>
              <w:rPr>
                <w:rFonts w:ascii="Times New Roman" w:hAnsi="Times New Roman" w:cs="Times New Roman"/>
                <w:b/>
                <w:color w:val="000000" w:themeColor="text1"/>
              </w:rPr>
            </w:pPr>
            <w:r w:rsidRPr="00164238">
              <w:rPr>
                <w:rFonts w:ascii="Times New Roman" w:hAnsi="Times New Roman" w:cs="Times New Roman"/>
                <w:b/>
                <w:color w:val="000000" w:themeColor="text1"/>
              </w:rPr>
              <w:t>4</w:t>
            </w:r>
          </w:p>
        </w:tc>
      </w:tr>
      <w:tr w:rsidR="009835A2" w:rsidRPr="00164238" w14:paraId="19F4B75D" w14:textId="77777777" w:rsidTr="00682CBF">
        <w:tc>
          <w:tcPr>
            <w:tcW w:w="7395" w:type="dxa"/>
          </w:tcPr>
          <w:p w14:paraId="54C27990" w14:textId="77777777" w:rsidR="009835A2" w:rsidRPr="00164238" w:rsidRDefault="009835A2" w:rsidP="00682CBF">
            <w:pPr>
              <w:jc w:val="both"/>
              <w:rPr>
                <w:rFonts w:ascii="Times New Roman" w:hAnsi="Times New Roman" w:cs="Times New Roman"/>
                <w:b/>
                <w:color w:val="000000" w:themeColor="text1"/>
              </w:rPr>
            </w:pPr>
            <w:r w:rsidRPr="00164238">
              <w:rPr>
                <w:rFonts w:ascii="Times New Roman" w:hAnsi="Times New Roman" w:cs="Times New Roman"/>
                <w:b/>
                <w:color w:val="000000" w:themeColor="text1"/>
              </w:rPr>
              <w:t>The effect of pandemic to work-life balance</w:t>
            </w:r>
          </w:p>
          <w:p w14:paraId="43BE67A6" w14:textId="77777777" w:rsidR="009835A2" w:rsidRPr="00164238" w:rsidRDefault="009835A2" w:rsidP="00682CBF">
            <w:pPr>
              <w:jc w:val="both"/>
              <w:rPr>
                <w:rFonts w:ascii="Times New Roman" w:hAnsi="Times New Roman" w:cs="Times New Roman"/>
                <w:color w:val="000000" w:themeColor="text1"/>
              </w:rPr>
            </w:pPr>
            <w:r w:rsidRPr="00164238">
              <w:rPr>
                <w:rFonts w:ascii="Times New Roman" w:hAnsi="Times New Roman" w:cs="Times New Roman"/>
                <w:color w:val="000000" w:themeColor="text1"/>
              </w:rPr>
              <w:t>Psychological problems (unhappiness, sadness, stress, .. etc.)</w:t>
            </w:r>
          </w:p>
          <w:p w14:paraId="7A9B1914" w14:textId="77777777" w:rsidR="009835A2" w:rsidRPr="00164238" w:rsidRDefault="009835A2" w:rsidP="00682CBF">
            <w:pPr>
              <w:jc w:val="both"/>
              <w:rPr>
                <w:rFonts w:ascii="Times New Roman" w:hAnsi="Times New Roman" w:cs="Times New Roman"/>
                <w:color w:val="000000" w:themeColor="text1"/>
              </w:rPr>
            </w:pPr>
            <w:r w:rsidRPr="00164238">
              <w:rPr>
                <w:rFonts w:ascii="Times New Roman" w:hAnsi="Times New Roman" w:cs="Times New Roman"/>
                <w:color w:val="000000" w:themeColor="text1"/>
              </w:rPr>
              <w:t>Physical problems (blood pressure, headache, eye problems, getting fat ... etc).</w:t>
            </w:r>
          </w:p>
          <w:p w14:paraId="2B1E02F0" w14:textId="77777777" w:rsidR="009835A2" w:rsidRPr="00164238" w:rsidRDefault="009835A2" w:rsidP="00682CBF">
            <w:pPr>
              <w:jc w:val="both"/>
              <w:rPr>
                <w:rFonts w:ascii="Times New Roman" w:hAnsi="Times New Roman" w:cs="Times New Roman"/>
                <w:b/>
                <w:color w:val="000000" w:themeColor="text1"/>
              </w:rPr>
            </w:pPr>
            <w:r w:rsidRPr="00164238">
              <w:rPr>
                <w:rFonts w:ascii="Times New Roman" w:hAnsi="Times New Roman" w:cs="Times New Roman"/>
                <w:color w:val="000000" w:themeColor="text1"/>
              </w:rPr>
              <w:t>I have no problem</w:t>
            </w:r>
          </w:p>
        </w:tc>
        <w:tc>
          <w:tcPr>
            <w:tcW w:w="1667" w:type="dxa"/>
          </w:tcPr>
          <w:p w14:paraId="39636F9A" w14:textId="77777777" w:rsidR="009835A2" w:rsidRPr="00164238" w:rsidRDefault="009835A2" w:rsidP="00682CBF">
            <w:pPr>
              <w:jc w:val="both"/>
              <w:rPr>
                <w:rFonts w:ascii="Times New Roman" w:hAnsi="Times New Roman" w:cs="Times New Roman"/>
                <w:b/>
                <w:color w:val="000000" w:themeColor="text1"/>
              </w:rPr>
            </w:pPr>
          </w:p>
          <w:p w14:paraId="36BD4C8D" w14:textId="77777777" w:rsidR="009835A2" w:rsidRPr="00164238" w:rsidRDefault="009835A2" w:rsidP="00682CBF">
            <w:pPr>
              <w:jc w:val="both"/>
              <w:rPr>
                <w:rFonts w:ascii="Times New Roman" w:hAnsi="Times New Roman" w:cs="Times New Roman"/>
                <w:b/>
                <w:color w:val="000000" w:themeColor="text1"/>
              </w:rPr>
            </w:pPr>
            <w:r w:rsidRPr="00164238">
              <w:rPr>
                <w:rFonts w:ascii="Times New Roman" w:hAnsi="Times New Roman" w:cs="Times New Roman"/>
                <w:b/>
                <w:color w:val="000000" w:themeColor="text1"/>
              </w:rPr>
              <w:t>4</w:t>
            </w:r>
          </w:p>
          <w:p w14:paraId="172E7C64" w14:textId="77777777" w:rsidR="009835A2" w:rsidRPr="00164238" w:rsidRDefault="009835A2" w:rsidP="00682CBF">
            <w:pPr>
              <w:jc w:val="both"/>
              <w:rPr>
                <w:rFonts w:ascii="Times New Roman" w:hAnsi="Times New Roman" w:cs="Times New Roman"/>
                <w:b/>
                <w:color w:val="000000" w:themeColor="text1"/>
              </w:rPr>
            </w:pPr>
            <w:r w:rsidRPr="00164238">
              <w:rPr>
                <w:rFonts w:ascii="Times New Roman" w:hAnsi="Times New Roman" w:cs="Times New Roman"/>
                <w:b/>
                <w:color w:val="000000" w:themeColor="text1"/>
              </w:rPr>
              <w:t>5</w:t>
            </w:r>
          </w:p>
          <w:p w14:paraId="6D66C086" w14:textId="77777777" w:rsidR="009835A2" w:rsidRPr="00164238" w:rsidRDefault="009835A2" w:rsidP="00682CBF">
            <w:pPr>
              <w:jc w:val="both"/>
              <w:rPr>
                <w:rFonts w:ascii="Times New Roman" w:hAnsi="Times New Roman" w:cs="Times New Roman"/>
                <w:b/>
                <w:color w:val="000000" w:themeColor="text1"/>
              </w:rPr>
            </w:pPr>
            <w:r w:rsidRPr="00164238">
              <w:rPr>
                <w:rFonts w:ascii="Times New Roman" w:hAnsi="Times New Roman" w:cs="Times New Roman"/>
                <w:b/>
                <w:color w:val="000000" w:themeColor="text1"/>
              </w:rPr>
              <w:t>5</w:t>
            </w:r>
          </w:p>
        </w:tc>
      </w:tr>
    </w:tbl>
    <w:p w14:paraId="5C2B26CD" w14:textId="77777777" w:rsidR="009835A2" w:rsidRPr="00164238" w:rsidRDefault="009835A2" w:rsidP="009835A2">
      <w:pPr>
        <w:spacing w:after="120" w:line="240" w:lineRule="auto"/>
        <w:jc w:val="both"/>
        <w:rPr>
          <w:rFonts w:ascii="Times New Roman" w:hAnsi="Times New Roman" w:cs="Times New Roman"/>
          <w:color w:val="000000" w:themeColor="text1"/>
        </w:rPr>
      </w:pPr>
    </w:p>
    <w:p w14:paraId="7E7C7344" w14:textId="77777777" w:rsidR="009835A2" w:rsidRPr="00164238" w:rsidRDefault="009835A2" w:rsidP="009835A2">
      <w:pPr>
        <w:spacing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As seen in Table 1, during the Covid-19 outbreak, some of the participants stated that they could not achieve the work-life balance, while others stated that they could achieve the work life balance. During the pandemic process, new problems have emerged such as child care, education of children, more house cleaning and more "housework". This new situation has brought new problems with the setting up of work-life balance. They stated that the inability to balance the work life of employees during the pandemic process caused psychological and physical problems.</w:t>
      </w:r>
    </w:p>
    <w:p w14:paraId="075EEE05" w14:textId="77777777" w:rsidR="009835A2" w:rsidRPr="00164238" w:rsidRDefault="009835A2" w:rsidP="009835A2">
      <w:pPr>
        <w:spacing w:after="12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rPr>
        <w:t>Participant:</w:t>
      </w:r>
      <w:r w:rsidRPr="00164238">
        <w:rPr>
          <w:rFonts w:ascii="Times New Roman" w:hAnsi="Times New Roman" w:cs="Times New Roman"/>
          <w:color w:val="000000" w:themeColor="text1"/>
          <w:sz w:val="20"/>
          <w:szCs w:val="20"/>
        </w:rPr>
        <w:t xml:space="preserve">  During the pandemic process, I work rotating (alternetaly) in my job and I am attending my doctorate education. In this process, I can spare more time for my education due to the rotational work.</w:t>
      </w:r>
    </w:p>
    <w:p w14:paraId="5FDDE219" w14:textId="77777777" w:rsidR="009835A2" w:rsidRPr="00164238" w:rsidRDefault="009835A2" w:rsidP="009835A2">
      <w:pPr>
        <w:spacing w:after="12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rPr>
        <w:t>Participant:</w:t>
      </w:r>
      <w:r w:rsidRPr="00164238">
        <w:rPr>
          <w:rFonts w:ascii="Times New Roman" w:hAnsi="Times New Roman" w:cs="Times New Roman"/>
          <w:color w:val="000000" w:themeColor="text1"/>
          <w:sz w:val="20"/>
          <w:szCs w:val="20"/>
        </w:rPr>
        <w:t xml:space="preserve">  I have great difficult to work at home.  Because my children are at home, I sometimes have problems even in business call.</w:t>
      </w:r>
    </w:p>
    <w:p w14:paraId="5E37C055" w14:textId="77777777" w:rsidR="009835A2" w:rsidRPr="00164238" w:rsidRDefault="009835A2" w:rsidP="009835A2">
      <w:pPr>
        <w:spacing w:after="12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rPr>
        <w:t>Participant:</w:t>
      </w:r>
      <w:r w:rsidRPr="00164238">
        <w:rPr>
          <w:rFonts w:ascii="Times New Roman" w:hAnsi="Times New Roman" w:cs="Times New Roman"/>
          <w:color w:val="000000" w:themeColor="text1"/>
          <w:sz w:val="20"/>
          <w:szCs w:val="20"/>
        </w:rPr>
        <w:t xml:space="preserve">  I cannot maintain work discipline at home. I put off my works by saying I can do things anyway and I try to do them at the last minute.</w:t>
      </w:r>
    </w:p>
    <w:p w14:paraId="1BDA6242" w14:textId="77777777" w:rsidR="009835A2" w:rsidRPr="00164238" w:rsidRDefault="009835A2" w:rsidP="009835A2">
      <w:pPr>
        <w:spacing w:after="12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rPr>
        <w:t>Participant:</w:t>
      </w:r>
      <w:r w:rsidRPr="00164238">
        <w:rPr>
          <w:rFonts w:ascii="Times New Roman" w:hAnsi="Times New Roman" w:cs="Times New Roman"/>
          <w:color w:val="000000" w:themeColor="text1"/>
          <w:sz w:val="20"/>
          <w:szCs w:val="20"/>
        </w:rPr>
        <w:t xml:space="preserve">  We lost our social side during the pandemic process. When we were at work, we used to exchanged ideas with our friends. Now we work alone at home and I am being connected to the computer, its very unhappy for me.  </w:t>
      </w:r>
    </w:p>
    <w:p w14:paraId="23F84E9A" w14:textId="77777777" w:rsidR="009835A2" w:rsidRPr="00164238" w:rsidRDefault="009835A2" w:rsidP="009835A2">
      <w:pPr>
        <w:spacing w:after="12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rPr>
        <w:t>Participant:</w:t>
      </w:r>
      <w:r w:rsidRPr="00164238">
        <w:rPr>
          <w:rFonts w:ascii="Times New Roman" w:hAnsi="Times New Roman" w:cs="Times New Roman"/>
          <w:color w:val="000000" w:themeColor="text1"/>
          <w:sz w:val="20"/>
          <w:szCs w:val="20"/>
        </w:rPr>
        <w:t xml:space="preserve">  My eyes are tired and my blood pressure rises because I am constantly working on the computer at home.</w:t>
      </w:r>
    </w:p>
    <w:p w14:paraId="07EC2E82" w14:textId="77777777" w:rsidR="009835A2" w:rsidRPr="00164238" w:rsidRDefault="009835A2" w:rsidP="009835A2">
      <w:pPr>
        <w:spacing w:after="12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rPr>
        <w:t>Particiapant:</w:t>
      </w:r>
      <w:r w:rsidRPr="00164238">
        <w:rPr>
          <w:rFonts w:ascii="Times New Roman" w:hAnsi="Times New Roman" w:cs="Times New Roman"/>
          <w:color w:val="000000" w:themeColor="text1"/>
          <w:sz w:val="20"/>
          <w:szCs w:val="20"/>
        </w:rPr>
        <w:t xml:space="preserve"> I have to make long phone calls about my work. These long phone calls negatively affect both my work and other family members at home.</w:t>
      </w:r>
    </w:p>
    <w:p w14:paraId="3808B7C4" w14:textId="77777777" w:rsidR="009835A2" w:rsidRPr="00164238" w:rsidRDefault="009835A2" w:rsidP="009835A2">
      <w:pPr>
        <w:spacing w:after="120" w:line="240" w:lineRule="auto"/>
        <w:jc w:val="both"/>
        <w:rPr>
          <w:rFonts w:ascii="Times New Roman" w:hAnsi="Times New Roman" w:cs="Times New Roman"/>
          <w:b/>
          <w:color w:val="000000" w:themeColor="text1"/>
        </w:rPr>
      </w:pPr>
    </w:p>
    <w:p w14:paraId="0AC0EC6C" w14:textId="5230DFDB" w:rsidR="009835A2" w:rsidRPr="00164238" w:rsidRDefault="009835A2" w:rsidP="009835A2">
      <w:pPr>
        <w:spacing w:after="120" w:line="240" w:lineRule="auto"/>
        <w:ind w:firstLine="708"/>
        <w:jc w:val="both"/>
        <w:rPr>
          <w:rFonts w:ascii="Times New Roman" w:hAnsi="Times New Roman" w:cs="Times New Roman"/>
          <w:b/>
          <w:color w:val="000000" w:themeColor="text1"/>
          <w:sz w:val="20"/>
          <w:szCs w:val="20"/>
        </w:rPr>
      </w:pPr>
      <w:r w:rsidRPr="00164238">
        <w:rPr>
          <w:rFonts w:ascii="Times New Roman" w:hAnsi="Times New Roman" w:cs="Times New Roman"/>
          <w:b/>
          <w:color w:val="000000" w:themeColor="text1"/>
          <w:sz w:val="20"/>
          <w:szCs w:val="20"/>
        </w:rPr>
        <w:t>Conclusion and Discussion</w:t>
      </w:r>
    </w:p>
    <w:p w14:paraId="263AB1BE" w14:textId="77777777" w:rsidR="009835A2" w:rsidRPr="00164238" w:rsidRDefault="009835A2" w:rsidP="009835A2">
      <w:pPr>
        <w:spacing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Nowadays, the Covid-19 pandemic has created changes in the working conditions of white-collar employees  especially. As you guess, this is not easy for employees who have been performing their duties in the workplace environment for many years; moreover, the rapidly progressing process still continues with the same flexible working systems. In this research, it was determined the opinions of individuals who are working remotely and rotational, about work-life balance in this new work- life system.  The research results were obtained by using the descriptive analysis technique. According to the research results, some responsibilities of female employees such as housework and cleaning, childcare, and distance education of </w:t>
      </w:r>
      <w:r w:rsidRPr="00164238">
        <w:rPr>
          <w:rFonts w:ascii="Times New Roman" w:hAnsi="Times New Roman" w:cs="Times New Roman"/>
          <w:color w:val="000000" w:themeColor="text1"/>
          <w:sz w:val="20"/>
          <w:szCs w:val="20"/>
        </w:rPr>
        <w:lastRenderedPageBreak/>
        <w:t>children are seen as growing problems when working remotely. These responsibility in the home environment affect work-life balance and  concentration on work during remote work. On the other hand, some of the male participants stated that they both do their jobs and continue their education and do some hobbies.  Especially single participants stated that, there is no work dicipline at home.  As a result, there are many factors that provide work life balance. these factors may be related to business or private life. Every employee may have different responsibilities in daily life. Unfortunately, neither employees nor managers passed by preparing to remote and rotational work. According to the research results, remote working,  may be more appropriate and preferable for some professions and some people, but it may not be appropriate for some professions and employees. Even if the pandemic ends, remote work applications seem to continue to increase. This sudden change in work-life balance, will be an prototype, for some professions to work remotely in near future.</w:t>
      </w:r>
    </w:p>
    <w:p w14:paraId="29DEE319" w14:textId="77777777" w:rsidR="009835A2" w:rsidRPr="00164238" w:rsidRDefault="009835A2" w:rsidP="009835A2">
      <w:pPr>
        <w:spacing w:after="120" w:line="240" w:lineRule="auto"/>
        <w:rPr>
          <w:rFonts w:ascii="Times New Roman" w:hAnsi="Times New Roman" w:cs="Times New Roman"/>
          <w:b/>
          <w:color w:val="000000" w:themeColor="text1"/>
        </w:rPr>
      </w:pPr>
    </w:p>
    <w:p w14:paraId="34C19CF1" w14:textId="73D064A2" w:rsidR="009835A2" w:rsidRPr="00164238" w:rsidRDefault="00C95516" w:rsidP="009835A2">
      <w:pPr>
        <w:spacing w:after="120" w:line="240" w:lineRule="auto"/>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Kaynakça</w:t>
      </w:r>
    </w:p>
    <w:p w14:paraId="02AE9801" w14:textId="77777777" w:rsidR="009835A2" w:rsidRPr="00164238" w:rsidRDefault="009835A2" w:rsidP="009835A2">
      <w:pPr>
        <w:spacing w:after="120"/>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Delecta,P. (2011). Work Life Balance. International Journal of Current Research 3(4):186-189. </w:t>
      </w:r>
    </w:p>
    <w:p w14:paraId="7F0A18A7" w14:textId="77777777" w:rsidR="009835A2" w:rsidRPr="00164238" w:rsidRDefault="009835A2" w:rsidP="009835A2">
      <w:pPr>
        <w:spacing w:after="120"/>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Dilek, S., Yılmaz, K. (2016). “Öğretmenlerin İşkoliklik Eğilimleri ile İş-Yaşam Dengeleri”, E-Kafkas Eğitim Araştırmaları Dergisi, 3(1): 36-55.</w:t>
      </w:r>
    </w:p>
    <w:p w14:paraId="4160CB03" w14:textId="77777777" w:rsidR="009835A2" w:rsidRPr="00164238" w:rsidRDefault="009835A2" w:rsidP="009835A2">
      <w:pPr>
        <w:spacing w:after="120"/>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Forsyth, S. &amp; Polzer‐Debruyne, A. (2007). The Organisational Pay‐offs for Perceived Work- life Balance Support. Asia Pacific Journal of Human Resources, 45(1): 113-123.</w:t>
      </w:r>
    </w:p>
    <w:p w14:paraId="395904BD" w14:textId="77777777" w:rsidR="009835A2" w:rsidRPr="00164238" w:rsidRDefault="009835A2" w:rsidP="009835A2">
      <w:pPr>
        <w:spacing w:after="12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Greenhaus, H.J. &amp; Collins, M.K. &amp; Shaw, D. J. (2003). The Relation Between Work-family Balance and Quality of Life. Journal of Vocational Behavior, 63: 510-531.</w:t>
      </w:r>
    </w:p>
    <w:p w14:paraId="2717878D" w14:textId="77777777" w:rsidR="009835A2" w:rsidRPr="00164238" w:rsidRDefault="009835A2" w:rsidP="009835A2">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Guest, David E. 2002. Perspevtives on the Study of Work-Life Balance, Social Sciences Information, 41(2): 255-279.</w:t>
      </w:r>
    </w:p>
    <w:p w14:paraId="4CB7EB3D" w14:textId="77777777" w:rsidR="009835A2" w:rsidRPr="00164238" w:rsidRDefault="009835A2" w:rsidP="009835A2">
      <w:pPr>
        <w:spacing w:after="120"/>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Kalliath, T. &amp; Brough, P. (2008). Work–Life Balance: A Review of the Meaning of the Balance Construct. Journal of Management &amp; Organization. 4: 323–327.</w:t>
      </w:r>
    </w:p>
    <w:p w14:paraId="46C853C8" w14:textId="77777777" w:rsidR="009835A2" w:rsidRPr="00164238" w:rsidRDefault="009835A2" w:rsidP="009835A2">
      <w:pPr>
        <w:spacing w:after="120"/>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Lee, Y. W., et.al (2013). Predicting quality of work life on nurses’ intention to leave. Journal of Nursing Scholarship, 45(2): 160-168.</w:t>
      </w:r>
    </w:p>
    <w:p w14:paraId="0E430A95" w14:textId="77777777" w:rsidR="009835A2" w:rsidRPr="00164238" w:rsidRDefault="009835A2" w:rsidP="009835A2">
      <w:pPr>
        <w:spacing w:after="120"/>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Lockwood, N.R. (2003). </w:t>
      </w:r>
      <w:r w:rsidRPr="00164238">
        <w:rPr>
          <w:rFonts w:ascii="Times New Roman" w:hAnsi="Times New Roman" w:cs="Times New Roman"/>
          <w:i/>
          <w:color w:val="000000" w:themeColor="text1"/>
          <w:sz w:val="20"/>
          <w:szCs w:val="20"/>
        </w:rPr>
        <w:t>Work/Life Balance Challenges and Solutions</w:t>
      </w:r>
      <w:r w:rsidRPr="00164238">
        <w:rPr>
          <w:rFonts w:ascii="Times New Roman" w:hAnsi="Times New Roman" w:cs="Times New Roman"/>
          <w:color w:val="000000" w:themeColor="text1"/>
          <w:sz w:val="20"/>
          <w:szCs w:val="20"/>
        </w:rPr>
        <w:t xml:space="preserve">. SHRM Research Quarterly, Society for Human Resource Management.  </w:t>
      </w:r>
    </w:p>
    <w:p w14:paraId="3CF9B153" w14:textId="77777777" w:rsidR="009835A2" w:rsidRPr="00164238" w:rsidRDefault="009835A2" w:rsidP="009835A2">
      <w:pPr>
        <w:spacing w:after="120"/>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Parlak, N.K. (2016). İş Yaşam Dengesi Açısından Esnek Çalışmanın Analizi. Kırklareli Üniversitesi İktisadi ve İdari Bilimler Fakültesi Dergisi, 5 (2): 109-137.</w:t>
      </w:r>
    </w:p>
    <w:p w14:paraId="521483A9" w14:textId="77777777" w:rsidR="009835A2" w:rsidRPr="00164238" w:rsidRDefault="009835A2" w:rsidP="009835A2">
      <w:pPr>
        <w:spacing w:after="120"/>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Pekdemir, I. ve Koçoğlu Sazkaya, M. (2014). İşkoliklik İle İş Yaşam Dengesi Arasındaki İlişkide Kişilik Özelliklerinin Aracılık Rolü Üzerine Bir Araştırma. AİBÜ Sosyal Bilimler Enstitüsü Dergisi. 14(1): 309-337. </w:t>
      </w:r>
    </w:p>
    <w:p w14:paraId="780BC14F" w14:textId="77777777" w:rsidR="009835A2" w:rsidRPr="00164238" w:rsidRDefault="009835A2" w:rsidP="009835A2">
      <w:pPr>
        <w:spacing w:after="120"/>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Sığrı, Ü. (2018). </w:t>
      </w:r>
      <w:r w:rsidRPr="00164238">
        <w:rPr>
          <w:rFonts w:ascii="Times New Roman" w:hAnsi="Times New Roman" w:cs="Times New Roman"/>
          <w:i/>
          <w:color w:val="000000" w:themeColor="text1"/>
          <w:sz w:val="20"/>
          <w:szCs w:val="20"/>
        </w:rPr>
        <w:t>Nitel Araştırma Yöntemleri</w:t>
      </w:r>
      <w:r w:rsidRPr="00164238">
        <w:rPr>
          <w:rFonts w:ascii="Times New Roman" w:hAnsi="Times New Roman" w:cs="Times New Roman"/>
          <w:color w:val="000000" w:themeColor="text1"/>
          <w:sz w:val="20"/>
          <w:szCs w:val="20"/>
        </w:rPr>
        <w:t xml:space="preserve">, Beta Yayınları, Ankara. </w:t>
      </w:r>
    </w:p>
    <w:p w14:paraId="7603E882" w14:textId="77777777" w:rsidR="009835A2" w:rsidRPr="00164238" w:rsidRDefault="009835A2" w:rsidP="009835A2">
      <w:pPr>
        <w:spacing w:after="120"/>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Yıldırım, A. &amp; Şimşek, H. (2015). </w:t>
      </w:r>
      <w:r w:rsidRPr="00164238">
        <w:rPr>
          <w:rFonts w:ascii="Times New Roman" w:hAnsi="Times New Roman" w:cs="Times New Roman"/>
          <w:i/>
          <w:iCs/>
          <w:color w:val="000000" w:themeColor="text1"/>
          <w:sz w:val="20"/>
          <w:szCs w:val="20"/>
        </w:rPr>
        <w:t xml:space="preserve">Sosyal bilimlerde nitel araştırma yöntemleri. </w:t>
      </w:r>
      <w:r w:rsidRPr="00164238">
        <w:rPr>
          <w:rFonts w:ascii="Times New Roman" w:hAnsi="Times New Roman" w:cs="Times New Roman"/>
          <w:color w:val="000000" w:themeColor="text1"/>
          <w:sz w:val="20"/>
          <w:szCs w:val="20"/>
        </w:rPr>
        <w:t>Seçkin Yayınları.</w:t>
      </w:r>
    </w:p>
    <w:p w14:paraId="0EFBCA53" w14:textId="77777777" w:rsidR="009835A2" w:rsidRPr="00164238" w:rsidRDefault="009835A2" w:rsidP="009835A2">
      <w:pPr>
        <w:spacing w:after="120"/>
        <w:jc w:val="both"/>
        <w:rPr>
          <w:rFonts w:ascii="Times New Roman" w:hAnsi="Times New Roman" w:cs="Times New Roman"/>
          <w:color w:val="000000" w:themeColor="text1"/>
          <w:sz w:val="20"/>
          <w:szCs w:val="20"/>
        </w:rPr>
      </w:pPr>
    </w:p>
    <w:p w14:paraId="6C8D98CF" w14:textId="77777777" w:rsidR="009835A2" w:rsidRPr="00164238" w:rsidRDefault="009835A2" w:rsidP="009835A2">
      <w:pPr>
        <w:spacing w:after="120"/>
        <w:jc w:val="both"/>
        <w:rPr>
          <w:rFonts w:ascii="Times New Roman" w:hAnsi="Times New Roman" w:cs="Times New Roman"/>
          <w:color w:val="000000" w:themeColor="text1"/>
          <w:sz w:val="20"/>
          <w:szCs w:val="20"/>
        </w:rPr>
      </w:pPr>
    </w:p>
    <w:p w14:paraId="4AC6E8F9" w14:textId="48E35876" w:rsidR="002E3F19" w:rsidRPr="00164238" w:rsidRDefault="002E3F19" w:rsidP="002E3F19">
      <w:pPr>
        <w:rPr>
          <w:rFonts w:ascii="Times New Roman" w:hAnsi="Times New Roman" w:cs="Times New Roman"/>
          <w:color w:val="000000" w:themeColor="text1"/>
          <w:sz w:val="20"/>
          <w:szCs w:val="20"/>
        </w:rPr>
      </w:pPr>
    </w:p>
    <w:p w14:paraId="54C59131" w14:textId="13FE8772" w:rsidR="001D67F2" w:rsidRPr="00164238" w:rsidRDefault="001D67F2" w:rsidP="002E3F19">
      <w:pPr>
        <w:rPr>
          <w:rFonts w:ascii="Times New Roman" w:hAnsi="Times New Roman" w:cs="Times New Roman"/>
          <w:color w:val="000000" w:themeColor="text1"/>
          <w:sz w:val="20"/>
          <w:szCs w:val="20"/>
        </w:rPr>
      </w:pPr>
    </w:p>
    <w:p w14:paraId="269ED564" w14:textId="388B5721" w:rsidR="001D67F2" w:rsidRPr="00164238" w:rsidRDefault="001D67F2" w:rsidP="002E3F19">
      <w:pPr>
        <w:rPr>
          <w:rFonts w:ascii="Times New Roman" w:hAnsi="Times New Roman" w:cs="Times New Roman"/>
          <w:color w:val="000000" w:themeColor="text1"/>
          <w:sz w:val="20"/>
          <w:szCs w:val="20"/>
        </w:rPr>
      </w:pPr>
    </w:p>
    <w:p w14:paraId="549A4D93" w14:textId="03B34361" w:rsidR="001D67F2" w:rsidRPr="00164238" w:rsidRDefault="001D67F2" w:rsidP="002E3F19">
      <w:pPr>
        <w:rPr>
          <w:rFonts w:ascii="Times New Roman" w:hAnsi="Times New Roman" w:cs="Times New Roman"/>
          <w:color w:val="000000" w:themeColor="text1"/>
          <w:sz w:val="20"/>
          <w:szCs w:val="20"/>
        </w:rPr>
      </w:pPr>
    </w:p>
    <w:p w14:paraId="0F2CA1F4" w14:textId="6AB86E1A" w:rsidR="001D67F2" w:rsidRPr="00164238" w:rsidRDefault="001D67F2" w:rsidP="002E3F19">
      <w:pPr>
        <w:rPr>
          <w:rFonts w:ascii="Times New Roman" w:hAnsi="Times New Roman" w:cs="Times New Roman"/>
          <w:color w:val="000000" w:themeColor="text1"/>
          <w:sz w:val="20"/>
          <w:szCs w:val="20"/>
        </w:rPr>
      </w:pPr>
    </w:p>
    <w:p w14:paraId="705C354B" w14:textId="77777777" w:rsidR="009835A2" w:rsidRPr="00164238" w:rsidRDefault="009835A2" w:rsidP="00E7125F">
      <w:pPr>
        <w:pStyle w:val="Balk1"/>
        <w:rPr>
          <w:rFonts w:ascii="Times New Roman" w:hAnsi="Times New Roman" w:cs="Times New Roman"/>
          <w:b/>
          <w:bCs/>
          <w:color w:val="000000" w:themeColor="text1"/>
          <w:sz w:val="24"/>
          <w:szCs w:val="24"/>
        </w:rPr>
      </w:pPr>
      <w:bookmarkStart w:id="174" w:name="_Toc72961752"/>
      <w:r w:rsidRPr="00164238">
        <w:rPr>
          <w:rFonts w:ascii="Times New Roman" w:hAnsi="Times New Roman" w:cs="Times New Roman"/>
          <w:b/>
          <w:bCs/>
          <w:color w:val="000000" w:themeColor="text1"/>
          <w:sz w:val="24"/>
          <w:szCs w:val="24"/>
        </w:rPr>
        <w:lastRenderedPageBreak/>
        <w:t>PANDEMİ SONRASI KÜRESEL DEĞER ZİNCİRLERİ: YÖNETİŞİM SÜRECİNE İLİŞKİN BİR DEĞERLENDİRME</w:t>
      </w:r>
      <w:bookmarkEnd w:id="174"/>
    </w:p>
    <w:p w14:paraId="116B462A" w14:textId="77777777" w:rsidR="009835A2" w:rsidRPr="00164238" w:rsidRDefault="009835A2" w:rsidP="009835A2">
      <w:pPr>
        <w:spacing w:before="120" w:after="120" w:line="360" w:lineRule="auto"/>
        <w:jc w:val="center"/>
        <w:rPr>
          <w:rFonts w:ascii="Times New Roman" w:hAnsi="Times New Roman" w:cs="Times New Roman"/>
          <w:b/>
          <w:bCs/>
          <w:color w:val="000000" w:themeColor="text1"/>
          <w:sz w:val="20"/>
          <w:szCs w:val="20"/>
        </w:rPr>
      </w:pPr>
    </w:p>
    <w:p w14:paraId="44CB91D7" w14:textId="1EA53EA3" w:rsidR="00AE6EC7" w:rsidRPr="00164238" w:rsidRDefault="00AE6EC7" w:rsidP="001D67F2">
      <w:pPr>
        <w:pStyle w:val="Balk2"/>
        <w:rPr>
          <w:rFonts w:ascii="Times New Roman" w:hAnsi="Times New Roman" w:cs="Times New Roman"/>
          <w:b w:val="0"/>
          <w:color w:val="000000" w:themeColor="text1"/>
          <w:sz w:val="20"/>
          <w:szCs w:val="20"/>
        </w:rPr>
      </w:pPr>
      <w:bookmarkStart w:id="175" w:name="_Toc72961753"/>
      <w:r w:rsidRPr="00164238">
        <w:rPr>
          <w:rFonts w:ascii="Times New Roman" w:hAnsi="Times New Roman" w:cs="Times New Roman"/>
          <w:b w:val="0"/>
          <w:i w:val="0"/>
          <w:color w:val="000000" w:themeColor="text1"/>
          <w:sz w:val="20"/>
          <w:szCs w:val="20"/>
        </w:rPr>
        <w:t>Dr. Öğretim Üyesi</w:t>
      </w:r>
      <w:r w:rsidRPr="00164238">
        <w:rPr>
          <w:rFonts w:ascii="Times New Roman" w:hAnsi="Times New Roman" w:cs="Times New Roman"/>
          <w:b w:val="0"/>
          <w:bCs w:val="0"/>
          <w:i w:val="0"/>
          <w:color w:val="000000" w:themeColor="text1"/>
          <w:sz w:val="20"/>
          <w:szCs w:val="20"/>
        </w:rPr>
        <w:t xml:space="preserve"> </w:t>
      </w:r>
      <w:r w:rsidR="009835A2" w:rsidRPr="00164238">
        <w:rPr>
          <w:rFonts w:ascii="Times New Roman" w:hAnsi="Times New Roman" w:cs="Times New Roman"/>
          <w:b w:val="0"/>
          <w:bCs w:val="0"/>
          <w:i w:val="0"/>
          <w:color w:val="000000" w:themeColor="text1"/>
          <w:sz w:val="20"/>
          <w:szCs w:val="20"/>
        </w:rPr>
        <w:t xml:space="preserve">Osman Seraceddin </w:t>
      </w:r>
      <w:r w:rsidR="00CA1B1E" w:rsidRPr="00164238">
        <w:rPr>
          <w:rFonts w:ascii="Times New Roman" w:hAnsi="Times New Roman" w:cs="Times New Roman"/>
          <w:b w:val="0"/>
          <w:bCs w:val="0"/>
          <w:i w:val="0"/>
          <w:color w:val="000000" w:themeColor="text1"/>
          <w:sz w:val="20"/>
          <w:szCs w:val="20"/>
        </w:rPr>
        <w:t>SESLİOKUYUCU</w:t>
      </w:r>
      <w:r w:rsidRPr="00164238">
        <w:rPr>
          <w:rFonts w:ascii="Times New Roman" w:hAnsi="Times New Roman" w:cs="Times New Roman"/>
          <w:color w:val="000000" w:themeColor="text1"/>
          <w:sz w:val="20"/>
          <w:szCs w:val="20"/>
        </w:rPr>
        <w:t xml:space="preserve">, </w:t>
      </w:r>
      <w:r w:rsidRPr="00164238">
        <w:rPr>
          <w:rFonts w:ascii="Times New Roman" w:hAnsi="Times New Roman" w:cs="Times New Roman"/>
          <w:b w:val="0"/>
          <w:color w:val="000000" w:themeColor="text1"/>
          <w:sz w:val="20"/>
          <w:szCs w:val="20"/>
        </w:rPr>
        <w:t xml:space="preserve">Süleyman Demirel Üniversitesi, Sivil Havacılık Yüksekokulu, </w:t>
      </w:r>
      <w:r w:rsidR="009835A2" w:rsidRPr="00164238">
        <w:rPr>
          <w:rFonts w:ascii="Times New Roman" w:hAnsi="Times New Roman" w:cs="Times New Roman"/>
          <w:b w:val="0"/>
          <w:color w:val="000000" w:themeColor="text1"/>
          <w:sz w:val="20"/>
          <w:szCs w:val="20"/>
        </w:rPr>
        <w:t>Havacılık Yönetimi,</w:t>
      </w:r>
      <w:r w:rsidRPr="00164238">
        <w:rPr>
          <w:rFonts w:ascii="Times New Roman" w:hAnsi="Times New Roman" w:cs="Times New Roman"/>
          <w:b w:val="0"/>
          <w:color w:val="000000" w:themeColor="text1"/>
          <w:sz w:val="20"/>
          <w:szCs w:val="20"/>
        </w:rPr>
        <w:t>32260, Isparta, Türkiye</w:t>
      </w:r>
      <w:bookmarkEnd w:id="175"/>
    </w:p>
    <w:p w14:paraId="677E9E4C" w14:textId="77777777" w:rsidR="00AE6EC7" w:rsidRPr="00164238" w:rsidRDefault="009835A2" w:rsidP="00AE6EC7">
      <w:pPr>
        <w:rPr>
          <w:rFonts w:ascii="Times New Roman" w:eastAsia="Arial"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 </w:t>
      </w:r>
      <w:r w:rsidR="00AE6EC7" w:rsidRPr="00164238">
        <w:rPr>
          <w:rFonts w:ascii="Times New Roman" w:eastAsia="Arial" w:hAnsi="Times New Roman" w:cs="Times New Roman"/>
          <w:i/>
          <w:color w:val="000000" w:themeColor="text1"/>
          <w:sz w:val="20"/>
          <w:szCs w:val="20"/>
        </w:rPr>
        <w:t>e-mail</w:t>
      </w:r>
      <w:r w:rsidR="00AE6EC7" w:rsidRPr="00164238">
        <w:rPr>
          <w:rFonts w:ascii="Times New Roman" w:eastAsia="Arial" w:hAnsi="Times New Roman" w:cs="Times New Roman"/>
          <w:color w:val="000000" w:themeColor="text1"/>
          <w:sz w:val="20"/>
          <w:szCs w:val="20"/>
        </w:rPr>
        <w:t xml:space="preserve">: </w:t>
      </w:r>
      <w:hyperlink r:id="rId334" w:history="1">
        <w:r w:rsidR="00AE6EC7" w:rsidRPr="00164238">
          <w:rPr>
            <w:rStyle w:val="Kpr"/>
            <w:rFonts w:ascii="Times New Roman" w:eastAsia="Arial" w:hAnsi="Times New Roman" w:cs="Times New Roman"/>
            <w:color w:val="000000" w:themeColor="text1"/>
            <w:sz w:val="20"/>
            <w:szCs w:val="20"/>
          </w:rPr>
          <w:t>osmansesliokuyucu@sdu.edu.tr</w:t>
        </w:r>
      </w:hyperlink>
      <w:r w:rsidR="00AE6EC7" w:rsidRPr="00164238">
        <w:rPr>
          <w:rFonts w:ascii="Times New Roman" w:eastAsia="Arial" w:hAnsi="Times New Roman" w:cs="Times New Roman"/>
          <w:color w:val="000000" w:themeColor="text1"/>
          <w:sz w:val="20"/>
          <w:szCs w:val="20"/>
        </w:rPr>
        <w:t xml:space="preserve"> </w:t>
      </w:r>
      <w:r w:rsidR="00AE6EC7" w:rsidRPr="00164238">
        <w:rPr>
          <w:rFonts w:ascii="Times New Roman" w:eastAsia="Arial" w:hAnsi="Times New Roman" w:cs="Times New Roman"/>
          <w:i/>
          <w:color w:val="000000" w:themeColor="text1"/>
          <w:sz w:val="20"/>
          <w:szCs w:val="20"/>
        </w:rPr>
        <w:t>ORDIC ID</w:t>
      </w:r>
      <w:r w:rsidR="00AE6EC7" w:rsidRPr="00164238">
        <w:rPr>
          <w:rFonts w:ascii="Times New Roman" w:eastAsia="Arial" w:hAnsi="Times New Roman" w:cs="Times New Roman"/>
          <w:color w:val="000000" w:themeColor="text1"/>
          <w:sz w:val="20"/>
          <w:szCs w:val="20"/>
        </w:rPr>
        <w:t>: 0000-0001-6539-0992</w:t>
      </w:r>
    </w:p>
    <w:p w14:paraId="79DF24B1" w14:textId="4D483DFB" w:rsidR="009835A2" w:rsidRPr="00164238" w:rsidRDefault="009835A2" w:rsidP="00AE6EC7">
      <w:pPr>
        <w:spacing w:before="120" w:after="120" w:line="360" w:lineRule="auto"/>
        <w:jc w:val="center"/>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Özet</w:t>
      </w:r>
    </w:p>
    <w:p w14:paraId="008F9DF4" w14:textId="77777777" w:rsidR="009835A2" w:rsidRPr="00164238" w:rsidRDefault="009835A2" w:rsidP="009835A2">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COVID-19 ile ilgili belirsizlikler ülkeler ve firmalar için önemli ekonomik sorunları beraberinde getirmiştir. Pandeminin neden olduğu ekonomik krizler ve kilitlenmeler, ticaret kesintileri dünyada eşi benzeri görülmemiş sorunlara neden olurken; uluslararası segmentlere ayrılan üretim süreçlerini de etkilemiştir. Bu belirsizlikler, üretimin farklı bölge ve firmalar tarafından gerçekleştirildiği ve üretim sonrası süreçleri de içeren bütüncül bir yaklaşımı ifade eden küresel değer zincirlerinin (KDZ) yeniden değerlendirilmesini gündeme getirmiştir. Küresel endüstrilerin KDZ analizlerinde yukarıdan aşağıya bir bakış açısıyla ele alınan yönetişim kavramının değerlendirmesi, pandemi sonrası sürecin yönetilmesi için özellikle önemlidir. KDZ içerisindeki yönetişim süreçlerinin net olarak algılanmasının bir sonucu olarak, zincirlerde ve/veya ağda faaliyet gösteren firmaların katma değeri yüksek üretim süreçlerine geçmesine ve lider firmalarla yakınlaşmalarına imkan sağlamaktadır. Bu bağlamda çalışma, KDZ'deki lider firmaları ve çeşitli tedarikçi ağlarını birbirine bağlayan yönetişim kavramını ele alarak salgın sonrası ile ilgili bir politika önerisi sunmayı amaçlamaktadır. Çalışmada elde edilen bulguların yerel, bölgesel ve uluslararası düzeyde faaliyet gösteren aktörler açısından pandemi sonrası KDZ'ye yönelik öneriler sunmaktadır.</w:t>
      </w:r>
    </w:p>
    <w:p w14:paraId="20AB52AA" w14:textId="77777777" w:rsidR="009835A2" w:rsidRPr="00164238" w:rsidRDefault="009835A2" w:rsidP="009835A2">
      <w:pPr>
        <w:spacing w:before="120" w:after="120" w:line="360" w:lineRule="auto"/>
        <w:jc w:val="both"/>
        <w:rPr>
          <w:rFonts w:ascii="Times New Roman" w:hAnsi="Times New Roman" w:cs="Times New Roman"/>
          <w:color w:val="000000" w:themeColor="text1"/>
          <w:sz w:val="20"/>
          <w:szCs w:val="20"/>
        </w:rPr>
      </w:pPr>
      <w:r w:rsidRPr="00164238">
        <w:rPr>
          <w:rFonts w:ascii="Times New Roman" w:hAnsi="Times New Roman" w:cs="Times New Roman"/>
          <w:b/>
          <w:bCs/>
          <w:color w:val="000000" w:themeColor="text1"/>
          <w:sz w:val="20"/>
          <w:szCs w:val="20"/>
          <w:u w:val="single"/>
        </w:rPr>
        <w:t xml:space="preserve">Anahtar Kelimeler: </w:t>
      </w:r>
      <w:r w:rsidRPr="00164238">
        <w:rPr>
          <w:rFonts w:ascii="Times New Roman" w:hAnsi="Times New Roman" w:cs="Times New Roman"/>
          <w:color w:val="000000" w:themeColor="text1"/>
          <w:sz w:val="20"/>
          <w:szCs w:val="20"/>
        </w:rPr>
        <w:t>Küresel Değer Zincirleri, Yönetişim, COVID-19</w:t>
      </w:r>
    </w:p>
    <w:p w14:paraId="678F0000" w14:textId="77777777" w:rsidR="009835A2" w:rsidRPr="00164238" w:rsidRDefault="009835A2" w:rsidP="009835A2">
      <w:pPr>
        <w:spacing w:before="120" w:after="120" w:line="240" w:lineRule="auto"/>
        <w:jc w:val="center"/>
        <w:rPr>
          <w:rFonts w:ascii="Times New Roman" w:hAnsi="Times New Roman" w:cs="Times New Roman"/>
          <w:b/>
          <w:bCs/>
          <w:color w:val="000000" w:themeColor="text1"/>
          <w:sz w:val="24"/>
          <w:szCs w:val="20"/>
          <w:lang w:val="en-US"/>
        </w:rPr>
      </w:pPr>
      <w:r w:rsidRPr="00164238">
        <w:rPr>
          <w:rFonts w:ascii="Times New Roman" w:hAnsi="Times New Roman" w:cs="Times New Roman"/>
          <w:b/>
          <w:bCs/>
          <w:color w:val="000000" w:themeColor="text1"/>
          <w:sz w:val="24"/>
          <w:szCs w:val="20"/>
          <w:lang w:val="en-US"/>
        </w:rPr>
        <w:t>GLOBAL VALUE CHAINS IN THE POST-PANDEMIC PERIOD: AN EVALUATION ON GOVERNANCE PROCESSES</w:t>
      </w:r>
    </w:p>
    <w:p w14:paraId="73FFE6D6" w14:textId="77777777" w:rsidR="009835A2" w:rsidRPr="00164238" w:rsidRDefault="009835A2" w:rsidP="009835A2">
      <w:pPr>
        <w:spacing w:before="120" w:after="120" w:line="240" w:lineRule="auto"/>
        <w:ind w:left="708"/>
        <w:jc w:val="both"/>
        <w:rPr>
          <w:rFonts w:ascii="Times New Roman" w:hAnsi="Times New Roman" w:cs="Times New Roman"/>
          <w:b/>
          <w:bCs/>
          <w:color w:val="000000" w:themeColor="text1"/>
          <w:sz w:val="20"/>
          <w:szCs w:val="20"/>
          <w:shd w:val="clear" w:color="auto" w:fill="FFFFFF"/>
        </w:rPr>
      </w:pPr>
      <w:r w:rsidRPr="00164238">
        <w:rPr>
          <w:rFonts w:ascii="Times New Roman" w:hAnsi="Times New Roman" w:cs="Times New Roman"/>
          <w:color w:val="000000" w:themeColor="text1"/>
          <w:sz w:val="20"/>
          <w:szCs w:val="20"/>
        </w:rPr>
        <w:br/>
      </w:r>
      <w:r w:rsidRPr="00164238">
        <w:rPr>
          <w:rFonts w:ascii="Times New Roman" w:hAnsi="Times New Roman" w:cs="Times New Roman"/>
          <w:b/>
          <w:bCs/>
          <w:color w:val="000000" w:themeColor="text1"/>
          <w:sz w:val="20"/>
          <w:szCs w:val="20"/>
          <w:shd w:val="clear" w:color="auto" w:fill="FFFFFF"/>
        </w:rPr>
        <w:t>Abstract</w:t>
      </w:r>
    </w:p>
    <w:p w14:paraId="3B479861" w14:textId="77777777" w:rsidR="009835A2" w:rsidRPr="00164238" w:rsidRDefault="009835A2" w:rsidP="009835A2">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The COVID-19 related uncertainties in the world economy have brought important problems for countries and firms. The economic crises and locks, trade interruptions caused by the pandemic have caused unprecedented problems in the world. These uncertainties, which also affect the production processes that are segmented internationally, have brought to the agenda the re-evaluation of global value chains (GVC) that refers to a holistic approach in which production is carried out by different regions and firms and includes post-production activities. Reassessing the concept of governance, in which global industries are handled with a top-down perspective in GVC analyzes, is particularly important for managing the post-pandemic process. As a result of the clear perception of the governance processes within the GVC, the transition to high value-added production processes within the chains and/or the firms operating in the network may converge with the leading firms.  In this context, the study aims to present a policy proposal regarding the post-pandemic by addressing the governance concept that connects the leading firms and various supplier networks in GVC.  The findings obtained in the study offered suggestions regarding GVC after the pandemic in terms of actors operating at the local, regional and international levels.</w:t>
      </w:r>
    </w:p>
    <w:p w14:paraId="44AD85CC" w14:textId="77777777" w:rsidR="009835A2" w:rsidRPr="00164238" w:rsidRDefault="009835A2" w:rsidP="009835A2">
      <w:pPr>
        <w:spacing w:before="120" w:after="120" w:line="360" w:lineRule="auto"/>
        <w:jc w:val="both"/>
        <w:rPr>
          <w:rFonts w:ascii="Times New Roman" w:hAnsi="Times New Roman" w:cs="Times New Roman"/>
          <w:color w:val="000000" w:themeColor="text1"/>
          <w:sz w:val="20"/>
          <w:szCs w:val="20"/>
        </w:rPr>
      </w:pPr>
      <w:r w:rsidRPr="00164238">
        <w:rPr>
          <w:rFonts w:ascii="Times New Roman" w:hAnsi="Times New Roman" w:cs="Times New Roman"/>
          <w:b/>
          <w:bCs/>
          <w:color w:val="000000" w:themeColor="text1"/>
          <w:sz w:val="20"/>
          <w:szCs w:val="20"/>
          <w:u w:val="single"/>
        </w:rPr>
        <w:t xml:space="preserve">Key Words: </w:t>
      </w:r>
      <w:r w:rsidRPr="00164238">
        <w:rPr>
          <w:rFonts w:ascii="Times New Roman" w:hAnsi="Times New Roman" w:cs="Times New Roman"/>
          <w:color w:val="000000" w:themeColor="text1"/>
          <w:sz w:val="20"/>
          <w:szCs w:val="20"/>
        </w:rPr>
        <w:t>Global Value Chains, Governance, COVID-19</w:t>
      </w:r>
    </w:p>
    <w:p w14:paraId="4FF2C4AA" w14:textId="77777777" w:rsidR="009835A2" w:rsidRPr="00164238" w:rsidRDefault="009835A2" w:rsidP="009835A2">
      <w:pPr>
        <w:rPr>
          <w:rFonts w:ascii="Times New Roman" w:hAnsi="Times New Roman" w:cs="Times New Roman"/>
          <w:color w:val="000000" w:themeColor="text1"/>
          <w:sz w:val="20"/>
          <w:szCs w:val="20"/>
          <w:shd w:val="clear" w:color="auto" w:fill="FFFFFF"/>
        </w:rPr>
      </w:pPr>
      <w:r w:rsidRPr="00164238">
        <w:rPr>
          <w:rFonts w:ascii="Times New Roman" w:hAnsi="Times New Roman" w:cs="Times New Roman"/>
          <w:color w:val="000000" w:themeColor="text1"/>
          <w:sz w:val="20"/>
          <w:szCs w:val="20"/>
          <w:shd w:val="clear" w:color="auto" w:fill="FFFFFF"/>
        </w:rPr>
        <w:br w:type="page"/>
      </w:r>
    </w:p>
    <w:p w14:paraId="2F6F9AA1" w14:textId="6FFBB11C" w:rsidR="009835A2" w:rsidRPr="00164238" w:rsidRDefault="009835A2" w:rsidP="009835A2">
      <w:pPr>
        <w:spacing w:before="120" w:after="120" w:line="240" w:lineRule="auto"/>
        <w:ind w:firstLine="708"/>
        <w:jc w:val="both"/>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lastRenderedPageBreak/>
        <w:t>GİRİŞ</w:t>
      </w:r>
    </w:p>
    <w:p w14:paraId="678BE967" w14:textId="77777777" w:rsidR="009835A2" w:rsidRPr="00164238" w:rsidRDefault="009835A2" w:rsidP="009835A2">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Uluslararası ticari bağlantılarla Çok Uluslu Şirketler (ÇUŞ), küçük ve orta büyüklükteki işletmeler (KOBİ), yeni girişimler ve tedarik zincirlerinde yer alan ağ ortakları da dahil olmak üzere işletmeleri içine alan pandemi Küresel Değer Zincirleri (KDZ)’nin gelecekteki işlerliği ve alacağı şekil üzerinde de birtakım tartışmaları beraberinde getirmiştir (Verbeke, 2020). KDZ’nin pandemi öncesi dönemde var olan ve farkında olunmayan kırılganlıklarını ortaya çıkaran süreç (Silverthorne, 2020), KDZ içerisinde yer alan ve lider konumda bulunan işletmelerin operasyonlarını yeniden şekillendirerek, dikey olarak entegre ederek ve ağlarının coğrafi dağılımlarını azaltarak krizden çıkış yolları aramasına neden olmaktadır (Kano ve Oh, 2020). Stratejik tedarik zincirlerinin çeşitlendirilmesi (Gereffi, 2020), küresel mal üretiminin daha fazla yerel hale getirilmesi ve yurtdışındaki yatırımların azaltılması (Verbeke, 2020) gibi farklı sonuçların oluşmasında etkin rol oynayan pandemi süreci, zincirlerin yönetişimi konusunda da bir takım yapısal farklılıkları meydana getirebilecek ortamı hazırlamaktadır. </w:t>
      </w:r>
    </w:p>
    <w:p w14:paraId="7D86093A" w14:textId="77777777" w:rsidR="009835A2" w:rsidRPr="00164238" w:rsidRDefault="009835A2" w:rsidP="009835A2">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Geride bıraktığımız çeyrek asırlık süreçte uluslararası ticaretin değişen yapısı ve üretimin farklı bölgeler ve ülkeler arasında parçalanması, sadece nihai ürün hareketinin değil aynı zamanda bu süreçte var olan ve yürütülen görevlerin de dikkate alınması gerekliliğini doğurmaktadır (Inomata, 2017). Üretim süreçlerinin farklı bölgelerde konumlanması ve her bir bölgenin üretim yapısını oluşturan zincirin halkaları haline gelmesi küresel tedarik sistemindeki yapının değişmesine yol açmıştır. Farklı aktörlerin üretim ağlarına farklı bölgelerden katılması sonucu zincir içerisinde yer alan aktör sayılarının artması uluslararası kaynak ağlarının artışına neden olmuştur (Klassen ve Whybark, 1994).  Kaynak ağlarının çeşitlenmesi ile firmalar faaliyetlerinin koordinasyonuna daha fazla odaklanarak değerin nasıl yaratılacağına ve değerin transferine önem vermektedirler. Firmaların üretim süreçlerinin öncesi ve sonrasına ilişkin tüm faaliyetleri kapsayan geniş bir aralıkta değerlendirilen KDZ; yeni piyasalara giriş, yabancı bilgi ve stratejik kaynaklara erişim gibi farklı motivasyonlarla zincirde yer alan firmaların oynadıkları aktif rollerin artmasını sağlamaktadır (De Backer ve Yomano, 2011). Ekonomik anlamda basit bir durgunluktan ziyade küresel bir felaket olarak değerlendirilen (Krugman, 2020) pandemi süreci, endüstriler üzerindeki doğrudan ve dolaylı etkilerle ara mal tüketimini ve gelir dağılımını etkileyerek KDZ üzerinde etkisini göstermiştir. Son derece parçalanmış olarak faaliyet gösteren üretim faaliyetleri nedeniyle pandemi gibi kriz dönemlerindeki ekonomik şokların etkilerinin daha net bir şekilde görülebilmesi ve ölçülmesi için KDZ’nin anlaşılması gerekmektedir (De Gortari, 2019). </w:t>
      </w:r>
    </w:p>
    <w:p w14:paraId="1A1CFD18" w14:textId="77777777" w:rsidR="009835A2" w:rsidRPr="00164238" w:rsidRDefault="009835A2" w:rsidP="009835A2">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Yerel üreticilerin; üretim süreçlerini nasıl geliştirecekleri, kalitelerini sürdürülebilir olarak nasıl yüksek tutacaklarını ve süreçlere uyum düzeylerini nasıl arttıracaklarını küresel tedarikçilerden/üreticilerden nasıl öğrenebileceklerini gösteren KDZ ilişkilerinde; </w:t>
      </w:r>
      <w:r w:rsidRPr="00164238">
        <w:rPr>
          <w:rFonts w:ascii="Times New Roman" w:hAnsi="Times New Roman" w:cs="Times New Roman"/>
          <w:b/>
          <w:bCs/>
          <w:i/>
          <w:iCs/>
          <w:color w:val="000000" w:themeColor="text1"/>
          <w:sz w:val="20"/>
          <w:szCs w:val="20"/>
        </w:rPr>
        <w:t>ne üretileceğine</w:t>
      </w:r>
      <w:r w:rsidRPr="00164238">
        <w:rPr>
          <w:rFonts w:ascii="Times New Roman" w:hAnsi="Times New Roman" w:cs="Times New Roman"/>
          <w:color w:val="000000" w:themeColor="text1"/>
          <w:sz w:val="20"/>
          <w:szCs w:val="20"/>
        </w:rPr>
        <w:t xml:space="preserve">, </w:t>
      </w:r>
      <w:r w:rsidRPr="00164238">
        <w:rPr>
          <w:rFonts w:ascii="Times New Roman" w:hAnsi="Times New Roman" w:cs="Times New Roman"/>
          <w:b/>
          <w:bCs/>
          <w:i/>
          <w:iCs/>
          <w:color w:val="000000" w:themeColor="text1"/>
          <w:sz w:val="20"/>
          <w:szCs w:val="20"/>
        </w:rPr>
        <w:t>nasıl üretileceğine</w:t>
      </w:r>
      <w:r w:rsidRPr="00164238">
        <w:rPr>
          <w:rFonts w:ascii="Times New Roman" w:hAnsi="Times New Roman" w:cs="Times New Roman"/>
          <w:color w:val="000000" w:themeColor="text1"/>
          <w:sz w:val="20"/>
          <w:szCs w:val="20"/>
        </w:rPr>
        <w:t xml:space="preserve"> ve </w:t>
      </w:r>
      <w:r w:rsidRPr="00164238">
        <w:rPr>
          <w:rFonts w:ascii="Times New Roman" w:hAnsi="Times New Roman" w:cs="Times New Roman"/>
          <w:b/>
          <w:bCs/>
          <w:i/>
          <w:iCs/>
          <w:color w:val="000000" w:themeColor="text1"/>
          <w:sz w:val="20"/>
          <w:szCs w:val="20"/>
        </w:rPr>
        <w:t>fiziksel ürün akışının nasıl olacağına</w:t>
      </w:r>
      <w:r w:rsidRPr="00164238">
        <w:rPr>
          <w:rFonts w:ascii="Times New Roman" w:hAnsi="Times New Roman" w:cs="Times New Roman"/>
          <w:color w:val="000000" w:themeColor="text1"/>
          <w:sz w:val="20"/>
          <w:szCs w:val="20"/>
        </w:rPr>
        <w:t xml:space="preserve"> dair sorularla koordinasyon sağlanmaktadır. Aynı zincir içerisindeki bölümlerin farklı şekillerde yönetilebilmesine imkan sağlayan KDZ Yönetişim süreçleri (Humphrey ve Schmitz, 2002); zincir içerisinde faaliyet gösteren aktörler arasındaki koordinasyon ve kontrole ilişkin bir değerlendirme yöntemidir (Gereffi ve </w:t>
      </w:r>
      <w:r w:rsidRPr="00164238">
        <w:rPr>
          <w:rFonts w:ascii="Times New Roman" w:hAnsi="Times New Roman" w:cs="Times New Roman"/>
          <w:color w:val="000000" w:themeColor="text1"/>
          <w:sz w:val="20"/>
          <w:szCs w:val="20"/>
          <w:shd w:val="clear" w:color="auto" w:fill="FFFFFF"/>
        </w:rPr>
        <w:t>Korzeniewicz</w:t>
      </w:r>
      <w:r w:rsidRPr="00164238">
        <w:rPr>
          <w:rFonts w:ascii="Times New Roman" w:hAnsi="Times New Roman" w:cs="Times New Roman"/>
          <w:color w:val="000000" w:themeColor="text1"/>
          <w:sz w:val="20"/>
          <w:szCs w:val="20"/>
        </w:rPr>
        <w:t xml:space="preserve"> 1994). Firmalar arasındaki yönetişim süreçleri; bilgi transferinin karmaşıklığı, bilginin kodlanması ve tedarikçi yetenekleri ile ilişkilidir ve bu faktörlerden etkilenmektedir. Üç faktörden etkilenen yönetişim süreçleri temel olarak 5 alt başlıkta incelenmektedir. Ürüne ilişkin bilgilerin kolaylıkla iletilebildiği ve aktörler tarafından minimum girdi ile üretimin yapılabildiği basit işlemleri içeren </w:t>
      </w:r>
      <w:r w:rsidRPr="00164238">
        <w:rPr>
          <w:rFonts w:ascii="Times New Roman" w:hAnsi="Times New Roman" w:cs="Times New Roman"/>
          <w:b/>
          <w:bCs/>
          <w:i/>
          <w:iCs/>
          <w:color w:val="000000" w:themeColor="text1"/>
          <w:sz w:val="20"/>
          <w:szCs w:val="20"/>
        </w:rPr>
        <w:t>piyasa yönetişim</w:t>
      </w:r>
      <w:r w:rsidRPr="00164238">
        <w:rPr>
          <w:rFonts w:ascii="Times New Roman" w:hAnsi="Times New Roman" w:cs="Times New Roman"/>
          <w:color w:val="000000" w:themeColor="text1"/>
          <w:sz w:val="20"/>
          <w:szCs w:val="20"/>
        </w:rPr>
        <w:t xml:space="preserve"> mekanizmasında güç lider firma değil fiyat’tır. Karmaşık işlemlerin kolayca kodlanabildiği ve zincirde yer alan aktörlerin müşteri özelliklerine göre üretim yaptığı </w:t>
      </w:r>
      <w:r w:rsidRPr="00164238">
        <w:rPr>
          <w:rFonts w:ascii="Times New Roman" w:hAnsi="Times New Roman" w:cs="Times New Roman"/>
          <w:b/>
          <w:bCs/>
          <w:i/>
          <w:iCs/>
          <w:color w:val="000000" w:themeColor="text1"/>
          <w:sz w:val="20"/>
          <w:szCs w:val="20"/>
        </w:rPr>
        <w:t>modüler yönetişim</w:t>
      </w:r>
      <w:r w:rsidRPr="00164238">
        <w:rPr>
          <w:rFonts w:ascii="Times New Roman" w:hAnsi="Times New Roman" w:cs="Times New Roman"/>
          <w:color w:val="000000" w:themeColor="text1"/>
          <w:sz w:val="20"/>
          <w:szCs w:val="20"/>
        </w:rPr>
        <w:t xml:space="preserve">de; oldukça yüksek bilgi akışı ve bu akışta kullanılan teknoloji ve standartlar işleyiş için kilit rol oynamaktadır. Lider firma ve aktörler arasındaki bilgi paylaşımının karmaşık olması veya kolayca aktarılamaması sonucu ortaya çıkan </w:t>
      </w:r>
      <w:r w:rsidRPr="00164238">
        <w:rPr>
          <w:rFonts w:ascii="Times New Roman" w:hAnsi="Times New Roman" w:cs="Times New Roman"/>
          <w:b/>
          <w:bCs/>
          <w:i/>
          <w:iCs/>
          <w:color w:val="000000" w:themeColor="text1"/>
          <w:sz w:val="20"/>
          <w:szCs w:val="20"/>
        </w:rPr>
        <w:t>ilişkisel yönetişim</w:t>
      </w:r>
      <w:r w:rsidRPr="00164238">
        <w:rPr>
          <w:rFonts w:ascii="Times New Roman" w:hAnsi="Times New Roman" w:cs="Times New Roman"/>
          <w:color w:val="000000" w:themeColor="text1"/>
          <w:sz w:val="20"/>
          <w:szCs w:val="20"/>
        </w:rPr>
        <w:t xml:space="preserve"> mekanizması, lider firmalardaki kontrol yetkisinin kısmi olarak tedarikçilere kaymasına da neden olmaktadır. Bu kaymanın temel nedeni aktörler arasındaki karşılıklı bağımlılığın yüksek olmasıdır. Zincir içerisinde yer alan aktörler arasındaki işlevsel bağlılık sonucu ortaya çıkan </w:t>
      </w:r>
      <w:r w:rsidRPr="00164238">
        <w:rPr>
          <w:rFonts w:ascii="Times New Roman" w:hAnsi="Times New Roman" w:cs="Times New Roman"/>
          <w:b/>
          <w:bCs/>
          <w:i/>
          <w:iCs/>
          <w:color w:val="000000" w:themeColor="text1"/>
          <w:sz w:val="20"/>
          <w:szCs w:val="20"/>
        </w:rPr>
        <w:t>tutsak yönetişim</w:t>
      </w:r>
      <w:r w:rsidRPr="00164238">
        <w:rPr>
          <w:rFonts w:ascii="Times New Roman" w:hAnsi="Times New Roman" w:cs="Times New Roman"/>
          <w:color w:val="000000" w:themeColor="text1"/>
          <w:sz w:val="20"/>
          <w:szCs w:val="20"/>
        </w:rPr>
        <w:t xml:space="preserve">, yüksek tedarikçi değişim maliyetleri nedeniyle güç asimetrisinin ortaya çıkmasına neden olan bir süreçtir. Son yönetişim biçimi olan hiyerarşik yönetişimde ise küresel anlamda dikey entegrasyon ortaya çıkmakta ve firmaları kendi içlerinde gelişime yönlendirmektedir (Gereffi, 2005). Literatürde farklı bakış açılarından ele alınan KDZ yönetişim süreçleri zincirlerde yer alan firmaların; koordinasyon, işlem yeteneği, güç dağılımı konusunda farklılaştıkları ve zincirlerin etkileşimli yapıları nedeniyle ekonomik ve sosyal kalkınmaya yönelik etkilerinin farklı olduğunu göstermektedir. </w:t>
      </w:r>
    </w:p>
    <w:p w14:paraId="6526417B" w14:textId="77777777" w:rsidR="009835A2" w:rsidRPr="00164238" w:rsidRDefault="009835A2" w:rsidP="009835A2">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lastRenderedPageBreak/>
        <w:t xml:space="preserve">Bu bağlamda çalışmanın ikinci kısmında KDZ ve yönetişim süreçlerinin pandemi dönemi ve sonrasında nasıl tepkiler vereceğine dair teorik ve pratik öneriler sunulmaktadır. Sonuç ve öneriler kısmında ise pandemi sonrası için KDZ ve yönetişim süreçlerine ilişkin genel değerlendirmeler sunulacaktır.      </w:t>
      </w:r>
    </w:p>
    <w:p w14:paraId="07AAFBA1" w14:textId="77777777" w:rsidR="009835A2" w:rsidRPr="00164238" w:rsidRDefault="009835A2" w:rsidP="009835A2">
      <w:pPr>
        <w:spacing w:before="120" w:after="120" w:line="240" w:lineRule="auto"/>
        <w:ind w:firstLine="708"/>
        <w:jc w:val="both"/>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Pandemi Sürecinde KDZ ve Yönetişim</w:t>
      </w:r>
    </w:p>
    <w:p w14:paraId="45841133" w14:textId="77777777" w:rsidR="009835A2" w:rsidRPr="00164238" w:rsidRDefault="009835A2" w:rsidP="009835A2">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Dünya genelinde yönetilen bölümlendirilmiş üretim süreçlerine ilişkin risklerin daha net görülmesine neden olan COVID-19 salgını, temel mallarda ithalata bağımlılığın sınırlandırılması ve zincirlerin dayanıklılığının arttırılmasında değer zincirlerinin yeniden düzenlenmesi için müdahaleler yapılması gerekliliğini de beraberinde getirmiştir. Pandemi süreci öncesinde hali hazırda var olan ve üretim süreçlerinin ana ülkeye kaydırılması ve sanayi politikalarının yeniden canlandırılması gibi hedeflerle uyumluluk gösteren süreç ulusal ve uluslararası alanda alınan kararları önemli düzeyde etkilemiştir (Bacchetta vd., 2021). Temelde uluslararası ticaret, yatırım ve finansla </w:t>
      </w:r>
      <w:r w:rsidRPr="00164238">
        <w:rPr>
          <w:rFonts w:ascii="Times New Roman" w:hAnsi="Times New Roman" w:cs="Times New Roman"/>
          <w:b/>
          <w:bCs/>
          <w:i/>
          <w:iCs/>
          <w:color w:val="000000" w:themeColor="text1"/>
          <w:sz w:val="20"/>
          <w:szCs w:val="20"/>
        </w:rPr>
        <w:t>makro</w:t>
      </w:r>
      <w:r w:rsidRPr="00164238">
        <w:rPr>
          <w:rFonts w:ascii="Times New Roman" w:hAnsi="Times New Roman" w:cs="Times New Roman"/>
          <w:color w:val="000000" w:themeColor="text1"/>
          <w:sz w:val="20"/>
          <w:szCs w:val="20"/>
        </w:rPr>
        <w:t xml:space="preserve"> düzeyde; ulusal ve bölgesel ekonomilerle </w:t>
      </w:r>
      <w:r w:rsidRPr="00164238">
        <w:rPr>
          <w:rFonts w:ascii="Times New Roman" w:hAnsi="Times New Roman" w:cs="Times New Roman"/>
          <w:b/>
          <w:bCs/>
          <w:i/>
          <w:iCs/>
          <w:color w:val="000000" w:themeColor="text1"/>
          <w:sz w:val="20"/>
          <w:szCs w:val="20"/>
        </w:rPr>
        <w:t>orta (meso)</w:t>
      </w:r>
      <w:r w:rsidRPr="00164238">
        <w:rPr>
          <w:rFonts w:ascii="Times New Roman" w:hAnsi="Times New Roman" w:cs="Times New Roman"/>
          <w:color w:val="000000" w:themeColor="text1"/>
          <w:sz w:val="20"/>
          <w:szCs w:val="20"/>
        </w:rPr>
        <w:t xml:space="preserve"> düzeyde ve topluluk ve çalışanlarla ise </w:t>
      </w:r>
      <w:r w:rsidRPr="00164238">
        <w:rPr>
          <w:rFonts w:ascii="Times New Roman" w:hAnsi="Times New Roman" w:cs="Times New Roman"/>
          <w:b/>
          <w:bCs/>
          <w:i/>
          <w:iCs/>
          <w:color w:val="000000" w:themeColor="text1"/>
          <w:sz w:val="20"/>
          <w:szCs w:val="20"/>
        </w:rPr>
        <w:t>mikro</w:t>
      </w:r>
      <w:r w:rsidRPr="00164238">
        <w:rPr>
          <w:rFonts w:ascii="Times New Roman" w:hAnsi="Times New Roman" w:cs="Times New Roman"/>
          <w:color w:val="000000" w:themeColor="text1"/>
          <w:sz w:val="20"/>
          <w:szCs w:val="20"/>
        </w:rPr>
        <w:t xml:space="preserve"> düzeyde ilişkilendirilen KDZ; pandemi ürünlerinin tedarik zincirlerine ilişkin analiz için bir çerçeve sunmaktadır (Gereffi, 2020).   </w:t>
      </w:r>
    </w:p>
    <w:p w14:paraId="7694B6D4" w14:textId="77777777" w:rsidR="009835A2" w:rsidRPr="00164238" w:rsidRDefault="009835A2" w:rsidP="007C3550">
      <w:pPr>
        <w:pStyle w:val="ListeParagraf"/>
        <w:numPr>
          <w:ilvl w:val="0"/>
          <w:numId w:val="49"/>
        </w:numPr>
        <w:spacing w:before="120" w:after="12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bCs/>
          <w:i/>
          <w:iCs/>
          <w:color w:val="000000" w:themeColor="text1"/>
          <w:sz w:val="20"/>
          <w:szCs w:val="20"/>
        </w:rPr>
        <w:t>Küresel düzeyde faaliyet gösteren endüstrilerin yönetişim yapıları vardır.</w:t>
      </w:r>
      <w:r w:rsidRPr="00164238">
        <w:rPr>
          <w:rFonts w:ascii="Times New Roman" w:hAnsi="Times New Roman" w:cs="Times New Roman"/>
          <w:color w:val="000000" w:themeColor="text1"/>
          <w:sz w:val="20"/>
          <w:szCs w:val="20"/>
        </w:rPr>
        <w:t xml:space="preserve"> KDZ lider firmalarının stratejileri doğrultusunda farklı lokasyonlara dağılmış aktörler için performans gereksinimlerini (fiyat, kalite, teslimat programları gibi) belirler. </w:t>
      </w:r>
    </w:p>
    <w:p w14:paraId="4236D309" w14:textId="77777777" w:rsidR="009835A2" w:rsidRPr="00164238" w:rsidRDefault="009835A2" w:rsidP="007C3550">
      <w:pPr>
        <w:pStyle w:val="ListeParagraf"/>
        <w:numPr>
          <w:ilvl w:val="0"/>
          <w:numId w:val="49"/>
        </w:numPr>
        <w:spacing w:before="120" w:after="12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bCs/>
          <w:i/>
          <w:iCs/>
          <w:color w:val="000000" w:themeColor="text1"/>
          <w:sz w:val="20"/>
          <w:szCs w:val="20"/>
        </w:rPr>
        <w:t>Küresel tedarik zincirlerinde uzmanlaşmış iş bölümleri vardır.</w:t>
      </w:r>
      <w:r w:rsidRPr="00164238">
        <w:rPr>
          <w:rFonts w:ascii="Times New Roman" w:hAnsi="Times New Roman" w:cs="Times New Roman"/>
          <w:color w:val="000000" w:themeColor="text1"/>
          <w:sz w:val="20"/>
          <w:szCs w:val="20"/>
        </w:rPr>
        <w:t xml:space="preserve"> Özel iş bölümlerine ayrılmış olan küresel zincirler içerisinde yer alan aktörler zincirin verimliliğini arttıran belirli bileşenler ve nihai ürünler üretirler. Üretilen ürünlerde üretim ve kaynak çeşitlendirmesi yapılmaması tüm zincirin tehlikeye girmesi söz konusu olabilmektedir (Sturgeon vd., 2008; Buckley ve Strange, 2015; Sun ve Grimes, 2018).</w:t>
      </w:r>
    </w:p>
    <w:p w14:paraId="4C4AC906" w14:textId="77777777" w:rsidR="009835A2" w:rsidRPr="00164238" w:rsidRDefault="009835A2" w:rsidP="007C3550">
      <w:pPr>
        <w:pStyle w:val="ListeParagraf"/>
        <w:numPr>
          <w:ilvl w:val="0"/>
          <w:numId w:val="49"/>
        </w:numPr>
        <w:spacing w:before="120" w:after="12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bCs/>
          <w:i/>
          <w:iCs/>
          <w:color w:val="000000" w:themeColor="text1"/>
          <w:sz w:val="20"/>
          <w:szCs w:val="20"/>
        </w:rPr>
        <w:t>Coğrafyası zaman içerisinde değişebilir nitelikte olan zincirler</w:t>
      </w:r>
      <w:r w:rsidRPr="00164238">
        <w:rPr>
          <w:rFonts w:ascii="Times New Roman" w:hAnsi="Times New Roman" w:cs="Times New Roman"/>
          <w:color w:val="000000" w:themeColor="text1"/>
          <w:sz w:val="20"/>
          <w:szCs w:val="20"/>
        </w:rPr>
        <w:t xml:space="preserve">; ülke koşulları, şirket stratejileri, teknoloji değişiklikleri veya hükümet politikaları gibi birden çok faktör tarafından etkilenebilmektedirler (Gereffi ve Wu, 2020). </w:t>
      </w:r>
    </w:p>
    <w:p w14:paraId="6C0ED354" w14:textId="77777777" w:rsidR="009835A2" w:rsidRPr="00164238" w:rsidRDefault="009835A2" w:rsidP="007C3550">
      <w:pPr>
        <w:pStyle w:val="ListeParagraf"/>
        <w:numPr>
          <w:ilvl w:val="0"/>
          <w:numId w:val="49"/>
        </w:numPr>
        <w:spacing w:before="120" w:after="12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bCs/>
          <w:i/>
          <w:iCs/>
          <w:color w:val="000000" w:themeColor="text1"/>
          <w:sz w:val="20"/>
          <w:szCs w:val="20"/>
        </w:rPr>
        <w:t>Zincirler arasında yaratılan değer eşit olmayan şekilde dağılmaktadır.</w:t>
      </w:r>
      <w:r w:rsidRPr="00164238">
        <w:rPr>
          <w:rFonts w:ascii="Times New Roman" w:hAnsi="Times New Roman" w:cs="Times New Roman"/>
          <w:color w:val="000000" w:themeColor="text1"/>
          <w:sz w:val="20"/>
          <w:szCs w:val="20"/>
        </w:rPr>
        <w:t xml:space="preserve"> Zincirler içerisinde yaratılan en yüksek değerler üretim öncesi (Ar-Ge, Tasarım gibi) ve üretim sonrası (pazarlama, marka gibi) hizmetler tarafından yaratılmaktadır (Fernandez-Stark ve Gereffi, 2019).</w:t>
      </w:r>
    </w:p>
    <w:p w14:paraId="0FCE29CA" w14:textId="77777777" w:rsidR="009835A2" w:rsidRPr="00164238" w:rsidRDefault="009835A2" w:rsidP="007C3550">
      <w:pPr>
        <w:pStyle w:val="ListeParagraf"/>
        <w:numPr>
          <w:ilvl w:val="0"/>
          <w:numId w:val="49"/>
        </w:numPr>
        <w:spacing w:before="120" w:after="12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bCs/>
          <w:i/>
          <w:iCs/>
          <w:color w:val="000000" w:themeColor="text1"/>
          <w:sz w:val="20"/>
          <w:szCs w:val="20"/>
        </w:rPr>
        <w:t>Ulusal devletler tarafından uygulanan politikalar, zincirlerde yer alan lider firmalar üzerinde önemli baskılar oluşmasına yol açabilir.</w:t>
      </w:r>
      <w:r w:rsidRPr="00164238">
        <w:rPr>
          <w:rFonts w:ascii="Times New Roman" w:hAnsi="Times New Roman" w:cs="Times New Roman"/>
          <w:color w:val="000000" w:themeColor="text1"/>
          <w:sz w:val="20"/>
          <w:szCs w:val="20"/>
        </w:rPr>
        <w:t xml:space="preserve"> Özellikle 2008-2009 küresel durgunluk ve son zamanlarda yeniden canlanan ekonomik milliyetçilik süreçleri gibi devam eden ekonomik baskılar pandemi süreci sonrasında da etkisini sürdürmeye devam edecektir. </w:t>
      </w:r>
    </w:p>
    <w:p w14:paraId="7325EFFD" w14:textId="77777777" w:rsidR="009835A2" w:rsidRPr="00164238" w:rsidRDefault="009835A2" w:rsidP="009835A2">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Büyüklükleri ve kilit kurumsal varlıklar (yatırım sermayesi, teknoloji, yönetimsel uzmanlık ve pazarlama kanalları gibi) üzerindeki kontrolleri göz önüne alındığında, küresel tedarik ağlarını oluşturan uluslararası ölçekte dağılmış firma ağlarının faaliyetlerini düzenleyen ve bu aktörler üzerinde önemli bir güce sahip olan lider firmaların stratejileri ile tanımlanan KDZ yönetişim yapıları (Gereffi ve Wu, 2020); pandemi sürecinde endüstri segmentlerine bağlı olarak farklı tepkiler göstermiştir. KDZ yönetişimi literatüründeki temel argümanlar, küresel lider firmalarla dikey bağlantılara sahip tedarikçilerin yabancı bilgiye erişim sağladıkları ve bu durumda üretim merkezli inovasyon süreçlerinin yeteneklerini geliştirmelerine yardımcı olacağı şeklindedir (Gereffi vd., 2005; Morrison vd., 2008). Bu açıdan ele alındığında pandemi gibi kriz dönemlerinde artan dış şoklar ve belirsizlikler lider firmalar ve zincirler içerisinde yer alan firmaların uyguladıkları politikalarda radikal değişikliklere yol açarak farklı süreçlerde yenilikler yoluyla yeteneklerini iyileştirme zorunluluğunu ortaya çıkarabilmektedir. Pandemi döneminde zincirler içerisindeki ilk tepkiler, bilgi sistemlerine ve bunlarla ilişkili süreçlere yatırımların artma eğiliminde olduğunu göstermiştir. ÇUŞ tarafından ilgili bilgilere hızlı bir şekilde erişilmesi ve olası senaryo analizlerinin yapılarak tepkilerin dışsal şoklara uygun tasarlanması sonucu zamandan tasarruf edilmesini sağlamaktadır.    Ampirik bulgular, Nike gibi lider ÇUŞ üretimi ve dağıtımı yeniden yönlendirmek için tahmine dayalı analitiğe güvendiklerini ve sonuç olarak değer zincirlerindeki COVID-19 kesintilerini hafifletmeyi başardıklarını göstermektedir (Lund vd., 2020). </w:t>
      </w:r>
    </w:p>
    <w:p w14:paraId="1174B34D" w14:textId="77777777" w:rsidR="009835A2" w:rsidRPr="00164238" w:rsidRDefault="009835A2" w:rsidP="009835A2">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Kriz dönemlerinde zincirler içerisinde bilgi akışlarının gerçekleşmesinin yanı sıra bilgi akışlarının iyileştirilmesi de önem arz eden bir konudur. Pandemi sürecinde ortaya çıkan zorluklar ve belirsizlikler KDZ’lerde ilişkisel yönetişime bağlılığın artmasına yol açarak taahhütlerin güvence altına alınması ve girişimci eylemin teşvik edilmesini doğuracaktır (Kano, 2018; Verbeke, 2020). Lider ÇUŞ, dışsal zorluklara tutarlı bir KDZ düzeyinde yanıt vermeyi kolaylaştırmak için uyumlu hedef ve stratejilere sahip </w:t>
      </w:r>
      <w:r w:rsidRPr="00164238">
        <w:rPr>
          <w:rFonts w:ascii="Times New Roman" w:hAnsi="Times New Roman" w:cs="Times New Roman"/>
          <w:color w:val="000000" w:themeColor="text1"/>
          <w:sz w:val="20"/>
          <w:szCs w:val="20"/>
        </w:rPr>
        <w:lastRenderedPageBreak/>
        <w:t xml:space="preserve">ortakları hedefleyeceklerdir. Buna ek olarak, lider ÇUŞ, dış şoklara yerel, ulusal ve uluslararası tepkileri şekillendirme gücüne sahip olan ana ülke ve ev sahibi ülke düzenleyicileri gibi firmaların acil değer zincirlerinin dışındaki ilgili paydaşlarla bağlantılarını güçlendirmeye odaklanacaktır (Lund vd., 2020).  </w:t>
      </w:r>
    </w:p>
    <w:p w14:paraId="450F4426" w14:textId="77777777" w:rsidR="009835A2" w:rsidRPr="00164238" w:rsidRDefault="009835A2" w:rsidP="009835A2">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KDZ yönetişimi için pandemi döneminde ortaya çıkan diğer önemli problemler ise sürdürülebilirlik ve istikrar konularıdır. Pandemi öncesi dönemde süregelen küresel fabrika tarzı düzenleme uygulamalarının pandemi sonrası dönemde daha fazla ağırlık kazanmaya başlaması öngörülmektedir. Küresel fabrika düzenlemelerinde tüm yönetişim biçimleri maksimum etkinliği sağlayacak biçimde çalışırlar (Buckley, 2009). Ancak pandemi sürecinde küresel fabrika yaklaşımında temel eksen daha düşük maliyetlerden girdi konusunda istikrarın sağlanması eksenine kaymaktadır. Hızlı arz ve talep değişimlerine yenilikçi ve etkin bir şekilde cevap verilebilmesi temelinde değerlendirildiğinde; daha fazla çok taraflı iş birliklerinin doğması ve zincirlerin sektörler arası yakınsaması ön plana çıkacaktır (Lund vd., 2020). Özellikle sağlık malzemeleri ve ekipmanlarındaki ihtiyaçların artış göstermesi ve tıbbi Ar-Ge alanında iş birliklerinin artması bu süreçte gözlemlenen en belirgin KDZ yönetişimi bulgularıdır.   </w:t>
      </w:r>
    </w:p>
    <w:p w14:paraId="56047C48" w14:textId="77777777" w:rsidR="0028542D" w:rsidRDefault="0028542D" w:rsidP="009835A2">
      <w:pPr>
        <w:spacing w:before="120" w:after="120" w:line="240" w:lineRule="auto"/>
        <w:ind w:firstLine="708"/>
        <w:jc w:val="both"/>
        <w:rPr>
          <w:rFonts w:ascii="Times New Roman" w:hAnsi="Times New Roman" w:cs="Times New Roman"/>
          <w:b/>
          <w:bCs/>
          <w:color w:val="000000" w:themeColor="text1"/>
          <w:sz w:val="20"/>
          <w:szCs w:val="20"/>
        </w:rPr>
      </w:pPr>
    </w:p>
    <w:p w14:paraId="75B641F7" w14:textId="30876A44" w:rsidR="009835A2" w:rsidRPr="00164238" w:rsidRDefault="009835A2" w:rsidP="009835A2">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b/>
          <w:bCs/>
          <w:color w:val="000000" w:themeColor="text1"/>
          <w:sz w:val="20"/>
          <w:szCs w:val="20"/>
        </w:rPr>
        <w:t>SONUÇ VE ÖNERİLER</w:t>
      </w:r>
    </w:p>
    <w:p w14:paraId="6C0D8A9A" w14:textId="77777777" w:rsidR="009835A2" w:rsidRPr="00164238" w:rsidRDefault="009835A2" w:rsidP="009835A2">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Üretim ağlarının dünya geneline yayıldığı günümüz dünyasında ekonomik ve sosyal bağlamda ortaya çıkan krizlerden etkilenen aktör sayısı geçmiş dönemlere göre oldukça yüksek sayıdadır. Tüm dünyada etkisini ekonomik anlamda yoğun olarak hissettiren pandemi süreci firmalar ve yer aldıkları zincirlerin dış şoklara karşı dirençlerinin de ölçüldüğü bir süreç olarak ortaya çıkmıştır. Dış şoklara karşı dirençli ve sürdürülebilir nitelikteki KDZ ağlarının hayatta kalmaya devam ettiği pandemi sürecinde verimlilik ve cevap verebilme yeteneği başarının önemli bir ölçütü olarak görülmektedir (Kano vd., 2020).  KDZ yönetişimi temelinde yer alan argümanların uzun vadeli süreçte değişmeden kalabilecek olmasının altında yatan neden zincir içerisindeki ilişkilerin güvenirlik ilkesi üzerine kurulu olmasıdır. Yönetişim süreçlerindeki karşılaşılan zorlukların artmasına neden olan krizlerin kaçınılmaz olması nedeniyle uzun vadeli ve sistematik bir uyarlama ile zincirlerin devamlılığı sağlanmalıdır. </w:t>
      </w:r>
    </w:p>
    <w:p w14:paraId="5E8B291C" w14:textId="77777777" w:rsidR="009835A2" w:rsidRPr="00164238" w:rsidRDefault="009835A2" w:rsidP="009835A2">
      <w:pPr>
        <w:spacing w:before="120" w:after="12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KDZ içerisinde yer alan aktörler arasındaki ilişkilerde etkilerini farklı biçimlerde gösteren pandemi sürecine ilişkin yönetişim etkilerini değerlendiren çalışmanın en önemli kısıtını KDZ’nin sadece yönetişim boyutundan ele alınması oluşturmaktadır. Daha sonraki süreçte yapılacak çalışmalarda pandemi süreci içerisinde oluşan veri setlerinin kullanılması konunun daha detaylı olarak değerlendirilmesine olanak sağlayacaktır.   </w:t>
      </w:r>
    </w:p>
    <w:p w14:paraId="1BB4F80F" w14:textId="64CFB73F" w:rsidR="009835A2" w:rsidRPr="00164238" w:rsidRDefault="00C95516" w:rsidP="009835A2">
      <w:pPr>
        <w:spacing w:before="120" w:after="120" w:line="240" w:lineRule="auto"/>
        <w:jc w:val="both"/>
        <w:rPr>
          <w:rFonts w:ascii="Times New Roman" w:hAnsi="Times New Roman" w:cs="Times New Roman"/>
          <w:b/>
          <w:bCs/>
          <w:color w:val="000000" w:themeColor="text1"/>
          <w:sz w:val="20"/>
          <w:szCs w:val="20"/>
        </w:rPr>
      </w:pPr>
      <w:r>
        <w:rPr>
          <w:rFonts w:ascii="Times New Roman" w:hAnsi="Times New Roman" w:cs="Times New Roman"/>
          <w:b/>
          <w:bCs/>
          <w:color w:val="000000" w:themeColor="text1"/>
          <w:sz w:val="20"/>
          <w:szCs w:val="20"/>
        </w:rPr>
        <w:t>Kaynakça</w:t>
      </w:r>
    </w:p>
    <w:p w14:paraId="089D059C" w14:textId="77777777" w:rsidR="009835A2" w:rsidRPr="00164238" w:rsidRDefault="009835A2" w:rsidP="009835A2">
      <w:pPr>
        <w:spacing w:before="120" w:after="120" w:line="240" w:lineRule="auto"/>
        <w:ind w:left="709" w:hanging="709"/>
        <w:jc w:val="both"/>
        <w:rPr>
          <w:rFonts w:ascii="Times New Roman" w:hAnsi="Times New Roman" w:cs="Times New Roman"/>
          <w:color w:val="000000" w:themeColor="text1"/>
          <w:sz w:val="20"/>
          <w:szCs w:val="20"/>
          <w:shd w:val="clear" w:color="auto" w:fill="FFFFFF"/>
        </w:rPr>
      </w:pPr>
      <w:r w:rsidRPr="00164238">
        <w:rPr>
          <w:rFonts w:ascii="Times New Roman" w:hAnsi="Times New Roman" w:cs="Times New Roman"/>
          <w:color w:val="000000" w:themeColor="text1"/>
          <w:sz w:val="20"/>
          <w:szCs w:val="20"/>
          <w:shd w:val="clear" w:color="auto" w:fill="FFFFFF"/>
        </w:rPr>
        <w:t>Bacchetta, M., Bekkers, E., Piermartini, R., Rubinova, S., Stolzenburg, V., &amp; Xu, A. (2021). </w:t>
      </w:r>
      <w:r w:rsidRPr="00164238">
        <w:rPr>
          <w:rFonts w:ascii="Times New Roman" w:hAnsi="Times New Roman" w:cs="Times New Roman"/>
          <w:i/>
          <w:iCs/>
          <w:color w:val="000000" w:themeColor="text1"/>
          <w:sz w:val="20"/>
          <w:szCs w:val="20"/>
          <w:shd w:val="clear" w:color="auto" w:fill="FFFFFF"/>
        </w:rPr>
        <w:t>COVID-19 and global value chains: A discussion of arguments on value chain organization and the role of the WTO</w:t>
      </w:r>
      <w:r w:rsidRPr="00164238">
        <w:rPr>
          <w:rFonts w:ascii="Times New Roman" w:hAnsi="Times New Roman" w:cs="Times New Roman"/>
          <w:color w:val="000000" w:themeColor="text1"/>
          <w:sz w:val="20"/>
          <w:szCs w:val="20"/>
          <w:shd w:val="clear" w:color="auto" w:fill="FFFFFF"/>
        </w:rPr>
        <w:t> (No. ERSD-2021-3). WTO Staff Working Paper.</w:t>
      </w:r>
    </w:p>
    <w:p w14:paraId="0AECE0F5" w14:textId="77777777" w:rsidR="009835A2" w:rsidRPr="00164238" w:rsidRDefault="009835A2" w:rsidP="009835A2">
      <w:pPr>
        <w:spacing w:before="120" w:after="120" w:line="240" w:lineRule="auto"/>
        <w:ind w:left="709" w:hanging="709"/>
        <w:jc w:val="both"/>
        <w:rPr>
          <w:rFonts w:ascii="Times New Roman" w:hAnsi="Times New Roman" w:cs="Times New Roman"/>
          <w:color w:val="000000" w:themeColor="text1"/>
          <w:sz w:val="20"/>
          <w:szCs w:val="20"/>
          <w:shd w:val="clear" w:color="auto" w:fill="FFFFFF"/>
        </w:rPr>
      </w:pPr>
      <w:r w:rsidRPr="00164238">
        <w:rPr>
          <w:rFonts w:ascii="Times New Roman" w:hAnsi="Times New Roman" w:cs="Times New Roman"/>
          <w:color w:val="000000" w:themeColor="text1"/>
          <w:sz w:val="20"/>
          <w:szCs w:val="20"/>
          <w:shd w:val="clear" w:color="auto" w:fill="FFFFFF"/>
        </w:rPr>
        <w:t>Buckley, P. J. (2009). The impact of the global factory on economic development. </w:t>
      </w:r>
      <w:r w:rsidRPr="00164238">
        <w:rPr>
          <w:rFonts w:ascii="Times New Roman" w:hAnsi="Times New Roman" w:cs="Times New Roman"/>
          <w:i/>
          <w:iCs/>
          <w:color w:val="000000" w:themeColor="text1"/>
          <w:sz w:val="20"/>
          <w:szCs w:val="20"/>
          <w:shd w:val="clear" w:color="auto" w:fill="FFFFFF"/>
        </w:rPr>
        <w:t>Journal of World Business</w:t>
      </w:r>
      <w:r w:rsidRPr="00164238">
        <w:rPr>
          <w:rFonts w:ascii="Times New Roman" w:hAnsi="Times New Roman" w:cs="Times New Roman"/>
          <w:color w:val="000000" w:themeColor="text1"/>
          <w:sz w:val="20"/>
          <w:szCs w:val="20"/>
          <w:shd w:val="clear" w:color="auto" w:fill="FFFFFF"/>
        </w:rPr>
        <w:t>, 44(2), 131-143.</w:t>
      </w:r>
    </w:p>
    <w:p w14:paraId="3C7EBBB8" w14:textId="77777777" w:rsidR="009835A2" w:rsidRPr="00164238" w:rsidRDefault="009835A2" w:rsidP="009835A2">
      <w:pPr>
        <w:spacing w:before="120" w:after="120" w:line="240" w:lineRule="auto"/>
        <w:ind w:left="709" w:hanging="709"/>
        <w:jc w:val="both"/>
        <w:rPr>
          <w:rFonts w:ascii="Times New Roman" w:hAnsi="Times New Roman" w:cs="Times New Roman"/>
          <w:color w:val="000000" w:themeColor="text1"/>
          <w:sz w:val="20"/>
          <w:szCs w:val="20"/>
          <w:shd w:val="clear" w:color="auto" w:fill="FFFFFF"/>
        </w:rPr>
      </w:pPr>
      <w:r w:rsidRPr="00164238">
        <w:rPr>
          <w:rFonts w:ascii="Times New Roman" w:hAnsi="Times New Roman" w:cs="Times New Roman"/>
          <w:color w:val="000000" w:themeColor="text1"/>
          <w:sz w:val="20"/>
          <w:szCs w:val="20"/>
          <w:shd w:val="clear" w:color="auto" w:fill="FFFFFF"/>
        </w:rPr>
        <w:t>Buckley, P. J., &amp; Strange, R. (2015). The governance of the global factory: Location and control of world economic activity. </w:t>
      </w:r>
      <w:r w:rsidRPr="00164238">
        <w:rPr>
          <w:rFonts w:ascii="Times New Roman" w:hAnsi="Times New Roman" w:cs="Times New Roman"/>
          <w:i/>
          <w:iCs/>
          <w:color w:val="000000" w:themeColor="text1"/>
          <w:sz w:val="20"/>
          <w:szCs w:val="20"/>
          <w:shd w:val="clear" w:color="auto" w:fill="FFFFFF"/>
        </w:rPr>
        <w:t>Academy of Management Perspectives</w:t>
      </w:r>
      <w:r w:rsidRPr="00164238">
        <w:rPr>
          <w:rFonts w:ascii="Times New Roman" w:hAnsi="Times New Roman" w:cs="Times New Roman"/>
          <w:color w:val="000000" w:themeColor="text1"/>
          <w:sz w:val="20"/>
          <w:szCs w:val="20"/>
          <w:shd w:val="clear" w:color="auto" w:fill="FFFFFF"/>
        </w:rPr>
        <w:t>, 29(2), 237-249.</w:t>
      </w:r>
    </w:p>
    <w:p w14:paraId="64F45BD5" w14:textId="77777777" w:rsidR="009835A2" w:rsidRPr="00164238" w:rsidRDefault="009835A2" w:rsidP="009835A2">
      <w:pPr>
        <w:spacing w:before="120" w:after="120" w:line="240" w:lineRule="auto"/>
        <w:ind w:left="709" w:hanging="709"/>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De Gortari, A.  (2019). </w:t>
      </w:r>
      <w:r w:rsidRPr="00164238">
        <w:rPr>
          <w:rFonts w:ascii="Times New Roman" w:hAnsi="Times New Roman" w:cs="Times New Roman"/>
          <w:i/>
          <w:iCs/>
          <w:color w:val="000000" w:themeColor="text1"/>
          <w:sz w:val="20"/>
          <w:szCs w:val="20"/>
        </w:rPr>
        <w:t>Disentangling global value chains</w:t>
      </w:r>
      <w:r w:rsidRPr="00164238">
        <w:rPr>
          <w:rFonts w:ascii="Times New Roman" w:hAnsi="Times New Roman" w:cs="Times New Roman"/>
          <w:color w:val="000000" w:themeColor="text1"/>
          <w:sz w:val="20"/>
          <w:szCs w:val="20"/>
        </w:rPr>
        <w:t>. Working paper No.  w25868. National Bureau of Economic Research.</w:t>
      </w:r>
    </w:p>
    <w:p w14:paraId="0D73D9FE" w14:textId="77777777" w:rsidR="009835A2" w:rsidRPr="00164238" w:rsidRDefault="009835A2" w:rsidP="009835A2">
      <w:pPr>
        <w:spacing w:before="120" w:after="120" w:line="240" w:lineRule="auto"/>
        <w:ind w:left="709" w:hanging="709"/>
        <w:jc w:val="both"/>
        <w:rPr>
          <w:rFonts w:ascii="Times New Roman" w:hAnsi="Times New Roman" w:cs="Times New Roman"/>
          <w:color w:val="000000" w:themeColor="text1"/>
          <w:sz w:val="20"/>
          <w:szCs w:val="20"/>
          <w:shd w:val="clear" w:color="auto" w:fill="FFFFFF"/>
        </w:rPr>
      </w:pPr>
      <w:r w:rsidRPr="00164238">
        <w:rPr>
          <w:rFonts w:ascii="Times New Roman" w:hAnsi="Times New Roman" w:cs="Times New Roman"/>
          <w:color w:val="000000" w:themeColor="text1"/>
          <w:sz w:val="20"/>
          <w:szCs w:val="20"/>
          <w:shd w:val="clear" w:color="auto" w:fill="FFFFFF"/>
        </w:rPr>
        <w:t xml:space="preserve">De Backer, K., &amp; Yamano, N. (2011). </w:t>
      </w:r>
      <w:r w:rsidRPr="00164238">
        <w:rPr>
          <w:rFonts w:ascii="Times New Roman" w:hAnsi="Times New Roman" w:cs="Times New Roman"/>
          <w:i/>
          <w:iCs/>
          <w:color w:val="000000" w:themeColor="text1"/>
          <w:sz w:val="20"/>
          <w:szCs w:val="20"/>
          <w:shd w:val="clear" w:color="auto" w:fill="FFFFFF"/>
        </w:rPr>
        <w:t>International comparative evidence on global value chains</w:t>
      </w:r>
      <w:r w:rsidRPr="00164238">
        <w:rPr>
          <w:rFonts w:ascii="Times New Roman" w:hAnsi="Times New Roman" w:cs="Times New Roman"/>
          <w:color w:val="000000" w:themeColor="text1"/>
          <w:sz w:val="20"/>
          <w:szCs w:val="20"/>
          <w:shd w:val="clear" w:color="auto" w:fill="FFFFFF"/>
        </w:rPr>
        <w:t>. Available at SSRN 2179937.</w:t>
      </w:r>
    </w:p>
    <w:p w14:paraId="307E900F" w14:textId="77777777" w:rsidR="009835A2" w:rsidRPr="00164238" w:rsidRDefault="009835A2" w:rsidP="009835A2">
      <w:pPr>
        <w:spacing w:before="120" w:after="120" w:line="240" w:lineRule="auto"/>
        <w:ind w:left="709" w:hanging="709"/>
        <w:jc w:val="both"/>
        <w:rPr>
          <w:rFonts w:ascii="Times New Roman" w:hAnsi="Times New Roman" w:cs="Times New Roman"/>
          <w:color w:val="000000" w:themeColor="text1"/>
          <w:sz w:val="20"/>
          <w:szCs w:val="20"/>
          <w:shd w:val="clear" w:color="auto" w:fill="FFFFFF"/>
        </w:rPr>
      </w:pPr>
      <w:r w:rsidRPr="00164238">
        <w:rPr>
          <w:rFonts w:ascii="Times New Roman" w:hAnsi="Times New Roman" w:cs="Times New Roman"/>
          <w:color w:val="000000" w:themeColor="text1"/>
          <w:sz w:val="20"/>
          <w:szCs w:val="20"/>
          <w:shd w:val="clear" w:color="auto" w:fill="FFFFFF"/>
        </w:rPr>
        <w:t xml:space="preserve">Fernandez-Stark, K., &amp; Gereffi, G. (2019). </w:t>
      </w:r>
      <w:r w:rsidRPr="00164238">
        <w:rPr>
          <w:rFonts w:ascii="Times New Roman" w:hAnsi="Times New Roman" w:cs="Times New Roman"/>
          <w:i/>
          <w:iCs/>
          <w:color w:val="000000" w:themeColor="text1"/>
          <w:sz w:val="20"/>
          <w:szCs w:val="20"/>
          <w:shd w:val="clear" w:color="auto" w:fill="FFFFFF"/>
        </w:rPr>
        <w:t>Global value chain analysis: a primer</w:t>
      </w:r>
      <w:r w:rsidRPr="00164238">
        <w:rPr>
          <w:rFonts w:ascii="Times New Roman" w:hAnsi="Times New Roman" w:cs="Times New Roman"/>
          <w:color w:val="000000" w:themeColor="text1"/>
          <w:sz w:val="20"/>
          <w:szCs w:val="20"/>
          <w:shd w:val="clear" w:color="auto" w:fill="FFFFFF"/>
        </w:rPr>
        <w:t>. In Handbook on Global Value Chains. Edward Elgar Publishing.</w:t>
      </w:r>
    </w:p>
    <w:p w14:paraId="02695E6D" w14:textId="77777777" w:rsidR="009835A2" w:rsidRPr="00164238" w:rsidRDefault="009835A2" w:rsidP="009835A2">
      <w:pPr>
        <w:spacing w:before="120" w:after="120" w:line="240" w:lineRule="auto"/>
        <w:ind w:left="709" w:hanging="709"/>
        <w:jc w:val="both"/>
        <w:rPr>
          <w:rFonts w:ascii="Times New Roman" w:hAnsi="Times New Roman" w:cs="Times New Roman"/>
          <w:color w:val="000000" w:themeColor="text1"/>
          <w:sz w:val="20"/>
          <w:szCs w:val="20"/>
          <w:shd w:val="clear" w:color="auto" w:fill="FFFFFF"/>
        </w:rPr>
      </w:pPr>
      <w:r w:rsidRPr="00164238">
        <w:rPr>
          <w:rFonts w:ascii="Times New Roman" w:hAnsi="Times New Roman" w:cs="Times New Roman"/>
          <w:color w:val="000000" w:themeColor="text1"/>
          <w:sz w:val="20"/>
          <w:szCs w:val="20"/>
          <w:shd w:val="clear" w:color="auto" w:fill="FFFFFF"/>
        </w:rPr>
        <w:t>Ferreira, J. P., Ramos, P., Barata, E., Court, C., &amp; Cruz, L. (2021) The impact of Covid‐19 on global value chains: Disruption in nonessential goods production. </w:t>
      </w:r>
      <w:r w:rsidRPr="00164238">
        <w:rPr>
          <w:rFonts w:ascii="Times New Roman" w:hAnsi="Times New Roman" w:cs="Times New Roman"/>
          <w:i/>
          <w:iCs/>
          <w:color w:val="000000" w:themeColor="text1"/>
          <w:sz w:val="20"/>
          <w:szCs w:val="20"/>
          <w:shd w:val="clear" w:color="auto" w:fill="FFFFFF"/>
        </w:rPr>
        <w:t>Regional Science Policy &amp; Practice</w:t>
      </w:r>
      <w:r w:rsidRPr="00164238">
        <w:rPr>
          <w:rFonts w:ascii="Times New Roman" w:hAnsi="Times New Roman" w:cs="Times New Roman"/>
          <w:color w:val="000000" w:themeColor="text1"/>
          <w:sz w:val="20"/>
          <w:szCs w:val="20"/>
          <w:shd w:val="clear" w:color="auto" w:fill="FFFFFF"/>
        </w:rPr>
        <w:t>.</w:t>
      </w:r>
    </w:p>
    <w:p w14:paraId="1F58404F" w14:textId="77777777" w:rsidR="009835A2" w:rsidRPr="00164238" w:rsidRDefault="009835A2" w:rsidP="009835A2">
      <w:pPr>
        <w:spacing w:before="120" w:after="120" w:line="240" w:lineRule="auto"/>
        <w:ind w:left="709" w:hanging="709"/>
        <w:jc w:val="both"/>
        <w:rPr>
          <w:rFonts w:ascii="Times New Roman" w:hAnsi="Times New Roman" w:cs="Times New Roman"/>
          <w:color w:val="000000" w:themeColor="text1"/>
          <w:sz w:val="20"/>
          <w:szCs w:val="20"/>
          <w:shd w:val="clear" w:color="auto" w:fill="FFFFFF"/>
        </w:rPr>
      </w:pPr>
      <w:r w:rsidRPr="00164238">
        <w:rPr>
          <w:rFonts w:ascii="Times New Roman" w:hAnsi="Times New Roman" w:cs="Times New Roman"/>
          <w:color w:val="000000" w:themeColor="text1"/>
          <w:sz w:val="20"/>
          <w:szCs w:val="20"/>
          <w:shd w:val="clear" w:color="auto" w:fill="FFFFFF"/>
        </w:rPr>
        <w:t xml:space="preserve">Gereffi, G. (2005). </w:t>
      </w:r>
      <w:r w:rsidRPr="00164238">
        <w:rPr>
          <w:rFonts w:ascii="Times New Roman" w:hAnsi="Times New Roman" w:cs="Times New Roman"/>
          <w:i/>
          <w:iCs/>
          <w:color w:val="000000" w:themeColor="text1"/>
          <w:sz w:val="20"/>
          <w:szCs w:val="20"/>
          <w:shd w:val="clear" w:color="auto" w:fill="FFFFFF"/>
        </w:rPr>
        <w:t>The global economy: organization, governance, and development</w:t>
      </w:r>
      <w:r w:rsidRPr="00164238">
        <w:rPr>
          <w:rFonts w:ascii="Times New Roman" w:hAnsi="Times New Roman" w:cs="Times New Roman"/>
          <w:color w:val="000000" w:themeColor="text1"/>
          <w:sz w:val="20"/>
          <w:szCs w:val="20"/>
          <w:shd w:val="clear" w:color="auto" w:fill="FFFFFF"/>
        </w:rPr>
        <w:t>. The handbook of economic sociology, 2, 160-182.</w:t>
      </w:r>
    </w:p>
    <w:p w14:paraId="17A7DFD6" w14:textId="77777777" w:rsidR="009835A2" w:rsidRPr="00164238" w:rsidRDefault="009835A2" w:rsidP="009835A2">
      <w:pPr>
        <w:spacing w:before="120" w:after="120" w:line="240" w:lineRule="auto"/>
        <w:ind w:left="709" w:hanging="709"/>
        <w:jc w:val="both"/>
        <w:rPr>
          <w:rFonts w:ascii="Times New Roman" w:hAnsi="Times New Roman" w:cs="Times New Roman"/>
          <w:color w:val="000000" w:themeColor="text1"/>
          <w:sz w:val="20"/>
          <w:szCs w:val="20"/>
          <w:shd w:val="clear" w:color="auto" w:fill="FFFFFF"/>
        </w:rPr>
      </w:pPr>
      <w:r w:rsidRPr="00164238">
        <w:rPr>
          <w:rFonts w:ascii="Times New Roman" w:hAnsi="Times New Roman" w:cs="Times New Roman"/>
          <w:color w:val="000000" w:themeColor="text1"/>
          <w:sz w:val="20"/>
          <w:szCs w:val="20"/>
          <w:shd w:val="clear" w:color="auto" w:fill="FFFFFF"/>
        </w:rPr>
        <w:lastRenderedPageBreak/>
        <w:t>Gereffi, G. (2020). What does the COVID-19 pandemic teach us about global value chains? The case of medical supplies. </w:t>
      </w:r>
      <w:r w:rsidRPr="00164238">
        <w:rPr>
          <w:rFonts w:ascii="Times New Roman" w:hAnsi="Times New Roman" w:cs="Times New Roman"/>
          <w:i/>
          <w:iCs/>
          <w:color w:val="000000" w:themeColor="text1"/>
          <w:sz w:val="20"/>
          <w:szCs w:val="20"/>
          <w:shd w:val="clear" w:color="auto" w:fill="FFFFFF"/>
        </w:rPr>
        <w:t>Journal of International Business Policy</w:t>
      </w:r>
      <w:r w:rsidRPr="00164238">
        <w:rPr>
          <w:rFonts w:ascii="Times New Roman" w:hAnsi="Times New Roman" w:cs="Times New Roman"/>
          <w:color w:val="000000" w:themeColor="text1"/>
          <w:sz w:val="20"/>
          <w:szCs w:val="20"/>
          <w:shd w:val="clear" w:color="auto" w:fill="FFFFFF"/>
        </w:rPr>
        <w:t>, 3(3), 287-301.</w:t>
      </w:r>
    </w:p>
    <w:p w14:paraId="1E42C3A6" w14:textId="77777777" w:rsidR="009835A2" w:rsidRPr="00164238" w:rsidRDefault="009835A2" w:rsidP="009835A2">
      <w:pPr>
        <w:spacing w:before="120" w:after="120" w:line="240" w:lineRule="auto"/>
        <w:ind w:left="709" w:hanging="709"/>
        <w:jc w:val="both"/>
        <w:rPr>
          <w:rFonts w:ascii="Times New Roman" w:hAnsi="Times New Roman" w:cs="Times New Roman"/>
          <w:color w:val="000000" w:themeColor="text1"/>
          <w:sz w:val="20"/>
          <w:szCs w:val="20"/>
          <w:shd w:val="clear" w:color="auto" w:fill="FFFFFF"/>
        </w:rPr>
      </w:pPr>
      <w:r w:rsidRPr="00164238">
        <w:rPr>
          <w:rFonts w:ascii="Times New Roman" w:hAnsi="Times New Roman" w:cs="Times New Roman"/>
          <w:color w:val="000000" w:themeColor="text1"/>
          <w:sz w:val="20"/>
          <w:szCs w:val="20"/>
          <w:shd w:val="clear" w:color="auto" w:fill="FFFFFF"/>
        </w:rPr>
        <w:t>Gereffi, G., ve Korzeniewicz, M. (Eds.). (1994). </w:t>
      </w:r>
      <w:r w:rsidRPr="00164238">
        <w:rPr>
          <w:rFonts w:ascii="Times New Roman" w:hAnsi="Times New Roman" w:cs="Times New Roman"/>
          <w:i/>
          <w:iCs/>
          <w:color w:val="000000" w:themeColor="text1"/>
          <w:sz w:val="20"/>
          <w:szCs w:val="20"/>
          <w:shd w:val="clear" w:color="auto" w:fill="FFFFFF"/>
        </w:rPr>
        <w:t>Commodity chains and global capitalism</w:t>
      </w:r>
      <w:r w:rsidRPr="00164238">
        <w:rPr>
          <w:rFonts w:ascii="Times New Roman" w:hAnsi="Times New Roman" w:cs="Times New Roman"/>
          <w:color w:val="000000" w:themeColor="text1"/>
          <w:sz w:val="20"/>
          <w:szCs w:val="20"/>
          <w:shd w:val="clear" w:color="auto" w:fill="FFFFFF"/>
        </w:rPr>
        <w:t> (No. 149). ABC-CLIO.</w:t>
      </w:r>
    </w:p>
    <w:p w14:paraId="025885E9" w14:textId="77777777" w:rsidR="009835A2" w:rsidRPr="00164238" w:rsidRDefault="009835A2" w:rsidP="009835A2">
      <w:pPr>
        <w:spacing w:before="120" w:after="120" w:line="240" w:lineRule="auto"/>
        <w:ind w:left="709" w:hanging="709"/>
        <w:jc w:val="both"/>
        <w:rPr>
          <w:rFonts w:ascii="Times New Roman" w:hAnsi="Times New Roman" w:cs="Times New Roman"/>
          <w:color w:val="000000" w:themeColor="text1"/>
          <w:sz w:val="20"/>
          <w:szCs w:val="20"/>
          <w:shd w:val="clear" w:color="auto" w:fill="FFFFFF"/>
        </w:rPr>
      </w:pPr>
      <w:r w:rsidRPr="00164238">
        <w:rPr>
          <w:rFonts w:ascii="Times New Roman" w:hAnsi="Times New Roman" w:cs="Times New Roman"/>
          <w:color w:val="000000" w:themeColor="text1"/>
          <w:sz w:val="20"/>
          <w:szCs w:val="20"/>
          <w:shd w:val="clear" w:color="auto" w:fill="FFFFFF"/>
        </w:rPr>
        <w:t xml:space="preserve">Gereffi, G., &amp; Wu, X. (2020). </w:t>
      </w:r>
      <w:r w:rsidRPr="00164238">
        <w:rPr>
          <w:rFonts w:ascii="Times New Roman" w:hAnsi="Times New Roman" w:cs="Times New Roman"/>
          <w:i/>
          <w:iCs/>
          <w:color w:val="000000" w:themeColor="text1"/>
          <w:sz w:val="20"/>
          <w:szCs w:val="20"/>
          <w:shd w:val="clear" w:color="auto" w:fill="FFFFFF"/>
        </w:rPr>
        <w:t>Global value chains, industrial hubs,and economic development in the 21st century</w:t>
      </w:r>
      <w:r w:rsidRPr="00164238">
        <w:rPr>
          <w:rFonts w:ascii="Times New Roman" w:hAnsi="Times New Roman" w:cs="Times New Roman"/>
          <w:color w:val="000000" w:themeColor="text1"/>
          <w:sz w:val="20"/>
          <w:szCs w:val="20"/>
          <w:shd w:val="clear" w:color="auto" w:fill="FFFFFF"/>
        </w:rPr>
        <w:t>. In J. Lin &amp; A.Oqubay (Eds),The [Oxford] handbook of economic hubs andindustrial  development:  pp.  1049–1068.  Oxford: OxfordUniversity Press.</w:t>
      </w:r>
    </w:p>
    <w:p w14:paraId="1915DD84" w14:textId="77777777" w:rsidR="009835A2" w:rsidRPr="00164238" w:rsidRDefault="009835A2" w:rsidP="009835A2">
      <w:pPr>
        <w:spacing w:before="120" w:after="120" w:line="240" w:lineRule="auto"/>
        <w:ind w:left="709" w:hanging="709"/>
        <w:jc w:val="both"/>
        <w:rPr>
          <w:rFonts w:ascii="Times New Roman" w:hAnsi="Times New Roman" w:cs="Times New Roman"/>
          <w:color w:val="000000" w:themeColor="text1"/>
          <w:sz w:val="20"/>
          <w:szCs w:val="20"/>
          <w:shd w:val="clear" w:color="auto" w:fill="FFFFFF"/>
        </w:rPr>
      </w:pPr>
      <w:r w:rsidRPr="00164238">
        <w:rPr>
          <w:rFonts w:ascii="Times New Roman" w:hAnsi="Times New Roman" w:cs="Times New Roman"/>
          <w:color w:val="000000" w:themeColor="text1"/>
          <w:sz w:val="20"/>
          <w:szCs w:val="20"/>
          <w:shd w:val="clear" w:color="auto" w:fill="FFFFFF"/>
        </w:rPr>
        <w:t>Humphrey, J., &amp; Schmitz, H. (2001). Governance in global value chains. </w:t>
      </w:r>
      <w:r w:rsidRPr="00164238">
        <w:rPr>
          <w:rFonts w:ascii="Times New Roman" w:hAnsi="Times New Roman" w:cs="Times New Roman"/>
          <w:i/>
          <w:iCs/>
          <w:color w:val="000000" w:themeColor="text1"/>
          <w:sz w:val="20"/>
          <w:szCs w:val="20"/>
          <w:shd w:val="clear" w:color="auto" w:fill="FFFFFF"/>
        </w:rPr>
        <w:t>IDS Bulletin</w:t>
      </w:r>
      <w:r w:rsidRPr="00164238">
        <w:rPr>
          <w:rFonts w:ascii="Times New Roman" w:hAnsi="Times New Roman" w:cs="Times New Roman"/>
          <w:color w:val="000000" w:themeColor="text1"/>
          <w:sz w:val="20"/>
          <w:szCs w:val="20"/>
          <w:shd w:val="clear" w:color="auto" w:fill="FFFFFF"/>
        </w:rPr>
        <w:t>, </w:t>
      </w:r>
      <w:r w:rsidRPr="00164238">
        <w:rPr>
          <w:rFonts w:ascii="Times New Roman" w:hAnsi="Times New Roman" w:cs="Times New Roman"/>
          <w:i/>
          <w:iCs/>
          <w:color w:val="000000" w:themeColor="text1"/>
          <w:sz w:val="20"/>
          <w:szCs w:val="20"/>
          <w:shd w:val="clear" w:color="auto" w:fill="FFFFFF"/>
        </w:rPr>
        <w:t>32</w:t>
      </w:r>
      <w:r w:rsidRPr="00164238">
        <w:rPr>
          <w:rFonts w:ascii="Times New Roman" w:hAnsi="Times New Roman" w:cs="Times New Roman"/>
          <w:color w:val="000000" w:themeColor="text1"/>
          <w:sz w:val="20"/>
          <w:szCs w:val="20"/>
          <w:shd w:val="clear" w:color="auto" w:fill="FFFFFF"/>
        </w:rPr>
        <w:t>(3), 19-29.</w:t>
      </w:r>
    </w:p>
    <w:p w14:paraId="76DFC853" w14:textId="77777777" w:rsidR="009835A2" w:rsidRPr="00164238" w:rsidRDefault="009835A2" w:rsidP="009835A2">
      <w:pPr>
        <w:spacing w:before="120" w:after="120" w:line="240" w:lineRule="auto"/>
        <w:ind w:left="709" w:hanging="709"/>
        <w:jc w:val="both"/>
        <w:rPr>
          <w:rFonts w:ascii="Times New Roman" w:hAnsi="Times New Roman" w:cs="Times New Roman"/>
          <w:color w:val="000000" w:themeColor="text1"/>
          <w:sz w:val="20"/>
          <w:szCs w:val="20"/>
          <w:shd w:val="clear" w:color="auto" w:fill="FFFFFF"/>
        </w:rPr>
      </w:pPr>
      <w:r w:rsidRPr="00164238">
        <w:rPr>
          <w:rFonts w:ascii="Times New Roman" w:hAnsi="Times New Roman" w:cs="Times New Roman"/>
          <w:color w:val="000000" w:themeColor="text1"/>
          <w:sz w:val="20"/>
          <w:szCs w:val="20"/>
          <w:shd w:val="clear" w:color="auto" w:fill="FFFFFF"/>
        </w:rPr>
        <w:t xml:space="preserve">Humphrey, J., &amp; Schmitz, H. (2002). </w:t>
      </w:r>
      <w:r w:rsidRPr="00164238">
        <w:rPr>
          <w:rFonts w:ascii="Times New Roman" w:hAnsi="Times New Roman" w:cs="Times New Roman"/>
          <w:i/>
          <w:iCs/>
          <w:color w:val="000000" w:themeColor="text1"/>
          <w:sz w:val="20"/>
          <w:szCs w:val="20"/>
          <w:shd w:val="clear" w:color="auto" w:fill="FFFFFF"/>
        </w:rPr>
        <w:t>Developing country firms in the world economy: Governance and upgrading in global value chains.</w:t>
      </w:r>
    </w:p>
    <w:p w14:paraId="021511EA" w14:textId="77777777" w:rsidR="009835A2" w:rsidRPr="00164238" w:rsidRDefault="009835A2" w:rsidP="009835A2">
      <w:pPr>
        <w:spacing w:before="120" w:after="120" w:line="240" w:lineRule="auto"/>
        <w:ind w:left="709" w:hanging="709"/>
        <w:jc w:val="both"/>
        <w:rPr>
          <w:rFonts w:ascii="Times New Roman" w:hAnsi="Times New Roman" w:cs="Times New Roman"/>
          <w:color w:val="000000" w:themeColor="text1"/>
          <w:sz w:val="20"/>
          <w:szCs w:val="20"/>
          <w:shd w:val="clear" w:color="auto" w:fill="FFFFFF"/>
        </w:rPr>
      </w:pPr>
      <w:r w:rsidRPr="00164238">
        <w:rPr>
          <w:rFonts w:ascii="Times New Roman" w:hAnsi="Times New Roman" w:cs="Times New Roman"/>
          <w:color w:val="000000" w:themeColor="text1"/>
          <w:sz w:val="20"/>
          <w:szCs w:val="20"/>
          <w:shd w:val="clear" w:color="auto" w:fill="FFFFFF"/>
        </w:rPr>
        <w:t xml:space="preserve">Inomata, S. (2017). </w:t>
      </w:r>
      <w:r w:rsidRPr="00164238">
        <w:rPr>
          <w:rFonts w:ascii="Times New Roman" w:hAnsi="Times New Roman" w:cs="Times New Roman"/>
          <w:i/>
          <w:iCs/>
          <w:color w:val="000000" w:themeColor="text1"/>
          <w:sz w:val="20"/>
          <w:szCs w:val="20"/>
          <w:shd w:val="clear" w:color="auto" w:fill="FFFFFF"/>
        </w:rPr>
        <w:t>Analytical frameworks for global value chains: An overview</w:t>
      </w:r>
      <w:r w:rsidRPr="00164238">
        <w:rPr>
          <w:rFonts w:ascii="Times New Roman" w:hAnsi="Times New Roman" w:cs="Times New Roman"/>
          <w:color w:val="000000" w:themeColor="text1"/>
          <w:sz w:val="20"/>
          <w:szCs w:val="20"/>
          <w:shd w:val="clear" w:color="auto" w:fill="FFFFFF"/>
        </w:rPr>
        <w:t>. Global Value Chain Development Report.</w:t>
      </w:r>
    </w:p>
    <w:p w14:paraId="7D5CF7ED" w14:textId="77777777" w:rsidR="009835A2" w:rsidRPr="00164238" w:rsidRDefault="009835A2" w:rsidP="009835A2">
      <w:pPr>
        <w:spacing w:before="120" w:after="120" w:line="240" w:lineRule="auto"/>
        <w:ind w:left="709" w:hanging="709"/>
        <w:jc w:val="both"/>
        <w:rPr>
          <w:rFonts w:ascii="Times New Roman" w:hAnsi="Times New Roman" w:cs="Times New Roman"/>
          <w:color w:val="000000" w:themeColor="text1"/>
          <w:sz w:val="20"/>
          <w:szCs w:val="20"/>
          <w:shd w:val="clear" w:color="auto" w:fill="FFFFFF"/>
        </w:rPr>
      </w:pPr>
      <w:r w:rsidRPr="00164238">
        <w:rPr>
          <w:rFonts w:ascii="Times New Roman" w:hAnsi="Times New Roman" w:cs="Times New Roman"/>
          <w:color w:val="000000" w:themeColor="text1"/>
          <w:sz w:val="20"/>
          <w:szCs w:val="20"/>
          <w:shd w:val="clear" w:color="auto" w:fill="FFFFFF"/>
        </w:rPr>
        <w:t>Kano, L. (2018). Global value chain governance: A relational perspective. </w:t>
      </w:r>
      <w:r w:rsidRPr="00164238">
        <w:rPr>
          <w:rFonts w:ascii="Times New Roman" w:hAnsi="Times New Roman" w:cs="Times New Roman"/>
          <w:i/>
          <w:iCs/>
          <w:color w:val="000000" w:themeColor="text1"/>
          <w:sz w:val="20"/>
          <w:szCs w:val="20"/>
          <w:shd w:val="clear" w:color="auto" w:fill="FFFFFF"/>
        </w:rPr>
        <w:t>Journal of International Business Studies</w:t>
      </w:r>
      <w:r w:rsidRPr="00164238">
        <w:rPr>
          <w:rFonts w:ascii="Times New Roman" w:hAnsi="Times New Roman" w:cs="Times New Roman"/>
          <w:color w:val="000000" w:themeColor="text1"/>
          <w:sz w:val="20"/>
          <w:szCs w:val="20"/>
          <w:shd w:val="clear" w:color="auto" w:fill="FFFFFF"/>
        </w:rPr>
        <w:t>, 49(6), 684-705.</w:t>
      </w:r>
    </w:p>
    <w:p w14:paraId="72A02899" w14:textId="77777777" w:rsidR="009835A2" w:rsidRPr="00164238" w:rsidRDefault="009835A2" w:rsidP="009835A2">
      <w:pPr>
        <w:spacing w:before="120" w:after="120" w:line="240" w:lineRule="auto"/>
        <w:ind w:left="709" w:hanging="709"/>
        <w:jc w:val="both"/>
        <w:rPr>
          <w:rFonts w:ascii="Times New Roman" w:hAnsi="Times New Roman" w:cs="Times New Roman"/>
          <w:color w:val="000000" w:themeColor="text1"/>
          <w:sz w:val="20"/>
          <w:szCs w:val="20"/>
          <w:shd w:val="clear" w:color="auto" w:fill="FFFFFF"/>
        </w:rPr>
      </w:pPr>
      <w:r w:rsidRPr="00164238">
        <w:rPr>
          <w:rFonts w:ascii="Times New Roman" w:hAnsi="Times New Roman" w:cs="Times New Roman"/>
          <w:color w:val="000000" w:themeColor="text1"/>
          <w:sz w:val="20"/>
          <w:szCs w:val="20"/>
          <w:shd w:val="clear" w:color="auto" w:fill="FFFFFF"/>
        </w:rPr>
        <w:t>Kano, L., &amp; Oh, C. H. (2020). Global value chains in the post‐COVID world: Governance for reliability. </w:t>
      </w:r>
      <w:r w:rsidRPr="00164238">
        <w:rPr>
          <w:rFonts w:ascii="Times New Roman" w:hAnsi="Times New Roman" w:cs="Times New Roman"/>
          <w:i/>
          <w:iCs/>
          <w:color w:val="000000" w:themeColor="text1"/>
          <w:sz w:val="20"/>
          <w:szCs w:val="20"/>
          <w:shd w:val="clear" w:color="auto" w:fill="FFFFFF"/>
        </w:rPr>
        <w:t>Journal of Management Studies</w:t>
      </w:r>
      <w:r w:rsidRPr="00164238">
        <w:rPr>
          <w:rFonts w:ascii="Times New Roman" w:hAnsi="Times New Roman" w:cs="Times New Roman"/>
          <w:color w:val="000000" w:themeColor="text1"/>
          <w:sz w:val="20"/>
          <w:szCs w:val="20"/>
          <w:shd w:val="clear" w:color="auto" w:fill="FFFFFF"/>
        </w:rPr>
        <w:t>, </w:t>
      </w:r>
      <w:r w:rsidRPr="00164238">
        <w:rPr>
          <w:rFonts w:ascii="Times New Roman" w:hAnsi="Times New Roman" w:cs="Times New Roman"/>
          <w:i/>
          <w:iCs/>
          <w:color w:val="000000" w:themeColor="text1"/>
          <w:sz w:val="20"/>
          <w:szCs w:val="20"/>
          <w:shd w:val="clear" w:color="auto" w:fill="FFFFFF"/>
        </w:rPr>
        <w:t>57</w:t>
      </w:r>
      <w:r w:rsidRPr="00164238">
        <w:rPr>
          <w:rFonts w:ascii="Times New Roman" w:hAnsi="Times New Roman" w:cs="Times New Roman"/>
          <w:color w:val="000000" w:themeColor="text1"/>
          <w:sz w:val="20"/>
          <w:szCs w:val="20"/>
          <w:shd w:val="clear" w:color="auto" w:fill="FFFFFF"/>
        </w:rPr>
        <w:t>(8), 1773-1777.</w:t>
      </w:r>
    </w:p>
    <w:p w14:paraId="05425CE9" w14:textId="77777777" w:rsidR="009835A2" w:rsidRPr="00164238" w:rsidRDefault="009835A2" w:rsidP="009835A2">
      <w:pPr>
        <w:spacing w:before="120" w:after="120" w:line="240" w:lineRule="auto"/>
        <w:ind w:left="709" w:hanging="709"/>
        <w:jc w:val="both"/>
        <w:rPr>
          <w:rFonts w:ascii="Times New Roman" w:hAnsi="Times New Roman" w:cs="Times New Roman"/>
          <w:color w:val="000000" w:themeColor="text1"/>
          <w:sz w:val="20"/>
          <w:szCs w:val="20"/>
          <w:shd w:val="clear" w:color="auto" w:fill="FFFFFF"/>
        </w:rPr>
      </w:pPr>
      <w:r w:rsidRPr="00164238">
        <w:rPr>
          <w:rFonts w:ascii="Times New Roman" w:hAnsi="Times New Roman" w:cs="Times New Roman"/>
          <w:color w:val="000000" w:themeColor="text1"/>
          <w:sz w:val="20"/>
          <w:szCs w:val="20"/>
          <w:shd w:val="clear" w:color="auto" w:fill="FFFFFF"/>
        </w:rPr>
        <w:t>Kano, L., Tsang, E. W., &amp; Yeung, H. W. C. (2020). Global value chains: A review of the multi-disciplinary literature. </w:t>
      </w:r>
      <w:r w:rsidRPr="00164238">
        <w:rPr>
          <w:rFonts w:ascii="Times New Roman" w:hAnsi="Times New Roman" w:cs="Times New Roman"/>
          <w:i/>
          <w:iCs/>
          <w:color w:val="000000" w:themeColor="text1"/>
          <w:sz w:val="20"/>
          <w:szCs w:val="20"/>
          <w:shd w:val="clear" w:color="auto" w:fill="FFFFFF"/>
        </w:rPr>
        <w:t>Journal of International Business Studies</w:t>
      </w:r>
      <w:r w:rsidRPr="00164238">
        <w:rPr>
          <w:rFonts w:ascii="Times New Roman" w:hAnsi="Times New Roman" w:cs="Times New Roman"/>
          <w:color w:val="000000" w:themeColor="text1"/>
          <w:sz w:val="20"/>
          <w:szCs w:val="20"/>
          <w:shd w:val="clear" w:color="auto" w:fill="FFFFFF"/>
        </w:rPr>
        <w:t>, 1-46.</w:t>
      </w:r>
    </w:p>
    <w:p w14:paraId="5DF31CB3" w14:textId="77777777" w:rsidR="009835A2" w:rsidRPr="00164238" w:rsidRDefault="009835A2" w:rsidP="009835A2">
      <w:pPr>
        <w:spacing w:before="120" w:after="120" w:line="240" w:lineRule="auto"/>
        <w:ind w:left="709" w:hanging="709"/>
        <w:jc w:val="both"/>
        <w:rPr>
          <w:rFonts w:ascii="Times New Roman" w:hAnsi="Times New Roman" w:cs="Times New Roman"/>
          <w:color w:val="000000" w:themeColor="text1"/>
          <w:sz w:val="20"/>
          <w:szCs w:val="20"/>
          <w:shd w:val="clear" w:color="auto" w:fill="FFFFFF"/>
        </w:rPr>
      </w:pPr>
      <w:r w:rsidRPr="00164238">
        <w:rPr>
          <w:rFonts w:ascii="Times New Roman" w:hAnsi="Times New Roman" w:cs="Times New Roman"/>
          <w:color w:val="000000" w:themeColor="text1"/>
          <w:sz w:val="20"/>
          <w:szCs w:val="20"/>
          <w:shd w:val="clear" w:color="auto" w:fill="FFFFFF"/>
        </w:rPr>
        <w:t>Klassen, R. D., &amp; Whybark, D. C. (1994). Barriers to the management of international operations. </w:t>
      </w:r>
      <w:r w:rsidRPr="00164238">
        <w:rPr>
          <w:rFonts w:ascii="Times New Roman" w:hAnsi="Times New Roman" w:cs="Times New Roman"/>
          <w:i/>
          <w:iCs/>
          <w:color w:val="000000" w:themeColor="text1"/>
          <w:sz w:val="20"/>
          <w:szCs w:val="20"/>
          <w:shd w:val="clear" w:color="auto" w:fill="FFFFFF"/>
        </w:rPr>
        <w:t>Journal of Operations Management</w:t>
      </w:r>
      <w:r w:rsidRPr="00164238">
        <w:rPr>
          <w:rFonts w:ascii="Times New Roman" w:hAnsi="Times New Roman" w:cs="Times New Roman"/>
          <w:color w:val="000000" w:themeColor="text1"/>
          <w:sz w:val="20"/>
          <w:szCs w:val="20"/>
          <w:shd w:val="clear" w:color="auto" w:fill="FFFFFF"/>
        </w:rPr>
        <w:t>, 11(4), 385-396.</w:t>
      </w:r>
    </w:p>
    <w:p w14:paraId="52A0F8DC" w14:textId="77777777" w:rsidR="009835A2" w:rsidRPr="00164238" w:rsidRDefault="009835A2" w:rsidP="009835A2">
      <w:pPr>
        <w:spacing w:before="120" w:after="120" w:line="240" w:lineRule="auto"/>
        <w:ind w:left="709" w:hanging="709"/>
        <w:jc w:val="both"/>
        <w:rPr>
          <w:rFonts w:ascii="Times New Roman" w:hAnsi="Times New Roman" w:cs="Times New Roman"/>
          <w:color w:val="000000" w:themeColor="text1"/>
          <w:sz w:val="20"/>
          <w:szCs w:val="20"/>
          <w:shd w:val="clear" w:color="auto" w:fill="FFFFFF"/>
        </w:rPr>
      </w:pPr>
      <w:r w:rsidRPr="00164238">
        <w:rPr>
          <w:rFonts w:ascii="Times New Roman" w:hAnsi="Times New Roman" w:cs="Times New Roman"/>
          <w:color w:val="000000" w:themeColor="text1"/>
          <w:sz w:val="20"/>
          <w:szCs w:val="20"/>
          <w:shd w:val="clear" w:color="auto" w:fill="FFFFFF"/>
        </w:rPr>
        <w:t>Lund, S., Manyika, J., Woetzel, J., Barriball, E., Krishnan, M., Alicke, K., Birshan, M., George, K., Smit, S., Swan, D. and Hutzler, K. (2020). R</w:t>
      </w:r>
      <w:r w:rsidRPr="00164238">
        <w:rPr>
          <w:rFonts w:ascii="Times New Roman" w:hAnsi="Times New Roman" w:cs="Times New Roman"/>
          <w:i/>
          <w:iCs/>
          <w:color w:val="000000" w:themeColor="text1"/>
          <w:sz w:val="20"/>
          <w:szCs w:val="20"/>
          <w:shd w:val="clear" w:color="auto" w:fill="FFFFFF"/>
        </w:rPr>
        <w:t>isk, Resilience, and Rebalancing in Global Value Chains</w:t>
      </w:r>
      <w:r w:rsidRPr="00164238">
        <w:rPr>
          <w:rFonts w:ascii="Times New Roman" w:hAnsi="Times New Roman" w:cs="Times New Roman"/>
          <w:color w:val="000000" w:themeColor="text1"/>
          <w:sz w:val="20"/>
          <w:szCs w:val="20"/>
          <w:shd w:val="clear" w:color="auto" w:fill="FFFFFF"/>
        </w:rPr>
        <w:t>. McKinsey Global Institute.</w:t>
      </w:r>
    </w:p>
    <w:p w14:paraId="0477F71A" w14:textId="77777777" w:rsidR="009835A2" w:rsidRPr="00164238" w:rsidRDefault="009835A2" w:rsidP="009835A2">
      <w:pPr>
        <w:spacing w:before="120" w:after="120" w:line="240" w:lineRule="auto"/>
        <w:ind w:left="709" w:hanging="709"/>
        <w:jc w:val="both"/>
        <w:rPr>
          <w:rFonts w:ascii="Times New Roman" w:hAnsi="Times New Roman" w:cs="Times New Roman"/>
          <w:color w:val="000000" w:themeColor="text1"/>
          <w:sz w:val="20"/>
          <w:szCs w:val="20"/>
          <w:shd w:val="clear" w:color="auto" w:fill="FFFFFF"/>
        </w:rPr>
      </w:pPr>
      <w:r w:rsidRPr="00164238">
        <w:rPr>
          <w:rFonts w:ascii="Times New Roman" w:hAnsi="Times New Roman" w:cs="Times New Roman"/>
          <w:color w:val="000000" w:themeColor="text1"/>
          <w:sz w:val="20"/>
          <w:szCs w:val="20"/>
          <w:shd w:val="clear" w:color="auto" w:fill="FFFFFF"/>
        </w:rPr>
        <w:t xml:space="preserve">Morrison, A. , Pietrobelli, C. , and Rabellotti, R., (2008). Global value chains and technological capabilities: A framework to study learning and innovation in developing countries </w:t>
      </w:r>
      <w:r w:rsidRPr="00164238">
        <w:rPr>
          <w:rFonts w:ascii="Times New Roman" w:hAnsi="Times New Roman" w:cs="Times New Roman"/>
          <w:i/>
          <w:iCs/>
          <w:color w:val="000000" w:themeColor="text1"/>
          <w:sz w:val="20"/>
          <w:szCs w:val="20"/>
          <w:shd w:val="clear" w:color="auto" w:fill="FFFFFF"/>
        </w:rPr>
        <w:t>Oxford Development Studies</w:t>
      </w:r>
      <w:r w:rsidRPr="00164238">
        <w:rPr>
          <w:rFonts w:ascii="Times New Roman" w:hAnsi="Times New Roman" w:cs="Times New Roman"/>
          <w:color w:val="000000" w:themeColor="text1"/>
          <w:sz w:val="20"/>
          <w:szCs w:val="20"/>
          <w:shd w:val="clear" w:color="auto" w:fill="FFFFFF"/>
        </w:rPr>
        <w:t>, 36 (1), pp. 39-58.</w:t>
      </w:r>
    </w:p>
    <w:p w14:paraId="094F587F" w14:textId="77777777" w:rsidR="009835A2" w:rsidRPr="00164238" w:rsidRDefault="009835A2" w:rsidP="009835A2">
      <w:pPr>
        <w:spacing w:before="120" w:after="120" w:line="240" w:lineRule="auto"/>
        <w:ind w:left="709" w:hanging="709"/>
        <w:jc w:val="both"/>
        <w:rPr>
          <w:rFonts w:ascii="Times New Roman" w:hAnsi="Times New Roman" w:cs="Times New Roman"/>
          <w:color w:val="000000" w:themeColor="text1"/>
          <w:sz w:val="20"/>
          <w:szCs w:val="20"/>
          <w:shd w:val="clear" w:color="auto" w:fill="FFFFFF"/>
        </w:rPr>
      </w:pPr>
      <w:r w:rsidRPr="00164238">
        <w:rPr>
          <w:rFonts w:ascii="Times New Roman" w:hAnsi="Times New Roman" w:cs="Times New Roman"/>
          <w:color w:val="000000" w:themeColor="text1"/>
          <w:sz w:val="20"/>
          <w:szCs w:val="20"/>
          <w:shd w:val="clear" w:color="auto" w:fill="FFFFFF"/>
        </w:rPr>
        <w:t xml:space="preserve">Silverthorne, S. (2020). </w:t>
      </w:r>
      <w:r w:rsidRPr="00164238">
        <w:rPr>
          <w:rFonts w:ascii="Times New Roman" w:hAnsi="Times New Roman" w:cs="Times New Roman"/>
          <w:i/>
          <w:iCs/>
          <w:color w:val="000000" w:themeColor="text1"/>
          <w:sz w:val="20"/>
          <w:szCs w:val="20"/>
          <w:shd w:val="clear" w:color="auto" w:fill="FFFFFF"/>
        </w:rPr>
        <w:t>Has COVID‐19 Broken the Global Value Chain?</w:t>
      </w:r>
      <w:r w:rsidRPr="00164238">
        <w:rPr>
          <w:rFonts w:ascii="Times New Roman" w:hAnsi="Times New Roman" w:cs="Times New Roman"/>
          <w:color w:val="000000" w:themeColor="text1"/>
          <w:sz w:val="20"/>
          <w:szCs w:val="20"/>
          <w:shd w:val="clear" w:color="auto" w:fill="FFFFFF"/>
        </w:rPr>
        <w:t>. Harvard Business Review.</w:t>
      </w:r>
    </w:p>
    <w:p w14:paraId="4402AE84" w14:textId="77777777" w:rsidR="009835A2" w:rsidRPr="00164238" w:rsidRDefault="009835A2" w:rsidP="009835A2">
      <w:pPr>
        <w:spacing w:before="120" w:after="120" w:line="240" w:lineRule="auto"/>
        <w:ind w:left="709" w:hanging="709"/>
        <w:jc w:val="both"/>
        <w:rPr>
          <w:rFonts w:ascii="Times New Roman" w:hAnsi="Times New Roman" w:cs="Times New Roman"/>
          <w:color w:val="000000" w:themeColor="text1"/>
          <w:sz w:val="20"/>
          <w:szCs w:val="20"/>
          <w:shd w:val="clear" w:color="auto" w:fill="FFFFFF"/>
        </w:rPr>
      </w:pPr>
      <w:r w:rsidRPr="00164238">
        <w:rPr>
          <w:rFonts w:ascii="Times New Roman" w:hAnsi="Times New Roman" w:cs="Times New Roman"/>
          <w:color w:val="000000" w:themeColor="text1"/>
          <w:sz w:val="20"/>
          <w:szCs w:val="20"/>
          <w:shd w:val="clear" w:color="auto" w:fill="FFFFFF"/>
        </w:rPr>
        <w:t>Sturgeon, T., Van Biesebroeck, J., &amp; Gereffi, G. (2008). Value chains, networks and clusters: reframing the global automotive industry. </w:t>
      </w:r>
      <w:r w:rsidRPr="00164238">
        <w:rPr>
          <w:rFonts w:ascii="Times New Roman" w:hAnsi="Times New Roman" w:cs="Times New Roman"/>
          <w:i/>
          <w:iCs/>
          <w:color w:val="000000" w:themeColor="text1"/>
          <w:sz w:val="20"/>
          <w:szCs w:val="20"/>
          <w:shd w:val="clear" w:color="auto" w:fill="FFFFFF"/>
        </w:rPr>
        <w:t>Journal of economic geography</w:t>
      </w:r>
      <w:r w:rsidRPr="00164238">
        <w:rPr>
          <w:rFonts w:ascii="Times New Roman" w:hAnsi="Times New Roman" w:cs="Times New Roman"/>
          <w:color w:val="000000" w:themeColor="text1"/>
          <w:sz w:val="20"/>
          <w:szCs w:val="20"/>
          <w:shd w:val="clear" w:color="auto" w:fill="FFFFFF"/>
        </w:rPr>
        <w:t>, 8(3), 297-321.</w:t>
      </w:r>
    </w:p>
    <w:p w14:paraId="35EDE881" w14:textId="77777777" w:rsidR="009835A2" w:rsidRPr="00164238" w:rsidRDefault="009835A2" w:rsidP="009835A2">
      <w:pPr>
        <w:spacing w:before="120" w:after="120" w:line="240" w:lineRule="auto"/>
        <w:ind w:left="709" w:hanging="709"/>
        <w:jc w:val="both"/>
        <w:rPr>
          <w:rFonts w:ascii="Times New Roman" w:hAnsi="Times New Roman" w:cs="Times New Roman"/>
          <w:color w:val="000000" w:themeColor="text1"/>
          <w:sz w:val="20"/>
          <w:szCs w:val="20"/>
          <w:shd w:val="clear" w:color="auto" w:fill="FFFFFF"/>
        </w:rPr>
      </w:pPr>
      <w:r w:rsidRPr="00164238">
        <w:rPr>
          <w:rFonts w:ascii="Times New Roman" w:hAnsi="Times New Roman" w:cs="Times New Roman"/>
          <w:color w:val="000000" w:themeColor="text1"/>
          <w:sz w:val="20"/>
          <w:szCs w:val="20"/>
          <w:shd w:val="clear" w:color="auto" w:fill="FFFFFF"/>
        </w:rPr>
        <w:t>Sun, Y., &amp; Grimes, S. 2018. </w:t>
      </w:r>
      <w:r w:rsidRPr="00164238">
        <w:rPr>
          <w:rFonts w:ascii="Times New Roman" w:hAnsi="Times New Roman" w:cs="Times New Roman"/>
          <w:i/>
          <w:iCs/>
          <w:color w:val="000000" w:themeColor="text1"/>
          <w:sz w:val="20"/>
          <w:szCs w:val="20"/>
          <w:shd w:val="clear" w:color="auto" w:fill="FFFFFF"/>
        </w:rPr>
        <w:t>China and global value chains: Globalization and the information and communications technology Sector</w:t>
      </w:r>
      <w:r w:rsidRPr="00164238">
        <w:rPr>
          <w:rFonts w:ascii="Times New Roman" w:hAnsi="Times New Roman" w:cs="Times New Roman"/>
          <w:color w:val="000000" w:themeColor="text1"/>
          <w:sz w:val="20"/>
          <w:szCs w:val="20"/>
          <w:shd w:val="clear" w:color="auto" w:fill="FFFFFF"/>
        </w:rPr>
        <w:t>. London: Routledge.</w:t>
      </w:r>
    </w:p>
    <w:p w14:paraId="02FD5B95" w14:textId="77777777" w:rsidR="009835A2" w:rsidRPr="00164238" w:rsidRDefault="009835A2" w:rsidP="009835A2">
      <w:pPr>
        <w:spacing w:before="120" w:after="120" w:line="240" w:lineRule="auto"/>
        <w:ind w:left="709" w:hanging="709"/>
        <w:jc w:val="both"/>
        <w:rPr>
          <w:rFonts w:ascii="Times New Roman" w:hAnsi="Times New Roman" w:cs="Times New Roman"/>
          <w:color w:val="000000" w:themeColor="text1"/>
          <w:sz w:val="20"/>
          <w:szCs w:val="20"/>
          <w:shd w:val="clear" w:color="auto" w:fill="FFFFFF"/>
        </w:rPr>
      </w:pPr>
      <w:r w:rsidRPr="00164238">
        <w:rPr>
          <w:rFonts w:ascii="Times New Roman" w:hAnsi="Times New Roman" w:cs="Times New Roman"/>
          <w:color w:val="000000" w:themeColor="text1"/>
          <w:sz w:val="20"/>
          <w:szCs w:val="20"/>
          <w:shd w:val="clear" w:color="auto" w:fill="FFFFFF"/>
        </w:rPr>
        <w:t>Verbeke, A. (2020). Will the COVID‐19 pandemic really change the governance of global value chains?. </w:t>
      </w:r>
      <w:r w:rsidRPr="00164238">
        <w:rPr>
          <w:rFonts w:ascii="Times New Roman" w:hAnsi="Times New Roman" w:cs="Times New Roman"/>
          <w:i/>
          <w:iCs/>
          <w:color w:val="000000" w:themeColor="text1"/>
          <w:sz w:val="20"/>
          <w:szCs w:val="20"/>
          <w:shd w:val="clear" w:color="auto" w:fill="FFFFFF"/>
        </w:rPr>
        <w:t>British Journal of Management</w:t>
      </w:r>
      <w:r w:rsidRPr="00164238">
        <w:rPr>
          <w:rFonts w:ascii="Times New Roman" w:hAnsi="Times New Roman" w:cs="Times New Roman"/>
          <w:color w:val="000000" w:themeColor="text1"/>
          <w:sz w:val="20"/>
          <w:szCs w:val="20"/>
          <w:shd w:val="clear" w:color="auto" w:fill="FFFFFF"/>
        </w:rPr>
        <w:t>, </w:t>
      </w:r>
      <w:r w:rsidRPr="00164238">
        <w:rPr>
          <w:rFonts w:ascii="Times New Roman" w:hAnsi="Times New Roman" w:cs="Times New Roman"/>
          <w:i/>
          <w:iCs/>
          <w:color w:val="000000" w:themeColor="text1"/>
          <w:sz w:val="20"/>
          <w:szCs w:val="20"/>
          <w:shd w:val="clear" w:color="auto" w:fill="FFFFFF"/>
        </w:rPr>
        <w:t>31</w:t>
      </w:r>
      <w:r w:rsidRPr="00164238">
        <w:rPr>
          <w:rFonts w:ascii="Times New Roman" w:hAnsi="Times New Roman" w:cs="Times New Roman"/>
          <w:color w:val="000000" w:themeColor="text1"/>
          <w:sz w:val="20"/>
          <w:szCs w:val="20"/>
          <w:shd w:val="clear" w:color="auto" w:fill="FFFFFF"/>
        </w:rPr>
        <w:t>(3), 444.</w:t>
      </w:r>
    </w:p>
    <w:p w14:paraId="4CAF17E1" w14:textId="77777777" w:rsidR="009835A2" w:rsidRPr="00164238" w:rsidRDefault="009835A2" w:rsidP="009835A2">
      <w:pPr>
        <w:spacing w:before="120" w:after="120" w:line="240" w:lineRule="auto"/>
        <w:ind w:hanging="709"/>
        <w:jc w:val="both"/>
        <w:rPr>
          <w:rFonts w:ascii="Times New Roman" w:hAnsi="Times New Roman" w:cs="Times New Roman"/>
          <w:color w:val="000000" w:themeColor="text1"/>
          <w:shd w:val="clear" w:color="auto" w:fill="FFFFFF"/>
        </w:rPr>
      </w:pPr>
    </w:p>
    <w:p w14:paraId="14B14E6A" w14:textId="77777777" w:rsidR="002E3F19" w:rsidRPr="00164238" w:rsidRDefault="002E3F19" w:rsidP="002E3F19">
      <w:pPr>
        <w:rPr>
          <w:rFonts w:ascii="Times New Roman" w:hAnsi="Times New Roman" w:cs="Times New Roman"/>
          <w:color w:val="000000" w:themeColor="text1"/>
          <w:sz w:val="20"/>
          <w:szCs w:val="20"/>
        </w:rPr>
      </w:pPr>
    </w:p>
    <w:p w14:paraId="6609D64F" w14:textId="77777777" w:rsidR="002E3F19" w:rsidRPr="00164238" w:rsidRDefault="002E3F19" w:rsidP="002E3F19">
      <w:pPr>
        <w:rPr>
          <w:rFonts w:ascii="Times New Roman" w:hAnsi="Times New Roman" w:cs="Times New Roman"/>
          <w:color w:val="000000" w:themeColor="text1"/>
          <w:sz w:val="18"/>
          <w:szCs w:val="18"/>
        </w:rPr>
      </w:pPr>
    </w:p>
    <w:p w14:paraId="08D7D1AE" w14:textId="1E02A2CE" w:rsidR="002E3F19" w:rsidRPr="00164238" w:rsidRDefault="002E3F19" w:rsidP="00F17FEC">
      <w:pPr>
        <w:spacing w:before="120" w:after="120" w:line="360" w:lineRule="auto"/>
        <w:jc w:val="both"/>
        <w:rPr>
          <w:rFonts w:ascii="Times New Roman" w:hAnsi="Times New Roman" w:cs="Times New Roman"/>
          <w:color w:val="000000" w:themeColor="text1"/>
          <w:sz w:val="20"/>
          <w:szCs w:val="20"/>
        </w:rPr>
      </w:pPr>
    </w:p>
    <w:p w14:paraId="662C86AF" w14:textId="7D381BA4" w:rsidR="001D67F2" w:rsidRPr="00164238" w:rsidRDefault="001D67F2" w:rsidP="00F17FEC">
      <w:pPr>
        <w:spacing w:before="120" w:after="120" w:line="360" w:lineRule="auto"/>
        <w:jc w:val="both"/>
        <w:rPr>
          <w:rFonts w:ascii="Times New Roman" w:hAnsi="Times New Roman" w:cs="Times New Roman"/>
          <w:color w:val="000000" w:themeColor="text1"/>
          <w:sz w:val="20"/>
          <w:szCs w:val="20"/>
        </w:rPr>
      </w:pPr>
    </w:p>
    <w:p w14:paraId="6C8962C7" w14:textId="152A77CA" w:rsidR="001D67F2" w:rsidRPr="00164238" w:rsidRDefault="001D67F2" w:rsidP="00F17FEC">
      <w:pPr>
        <w:spacing w:before="120" w:after="120" w:line="360" w:lineRule="auto"/>
        <w:jc w:val="both"/>
        <w:rPr>
          <w:rFonts w:ascii="Times New Roman" w:hAnsi="Times New Roman" w:cs="Times New Roman"/>
          <w:color w:val="000000" w:themeColor="text1"/>
          <w:sz w:val="20"/>
          <w:szCs w:val="20"/>
        </w:rPr>
      </w:pPr>
    </w:p>
    <w:p w14:paraId="194240F9" w14:textId="7FB62F9F" w:rsidR="001D67F2" w:rsidRPr="00164238" w:rsidRDefault="001D67F2" w:rsidP="00F17FEC">
      <w:pPr>
        <w:spacing w:before="120" w:after="120" w:line="360" w:lineRule="auto"/>
        <w:jc w:val="both"/>
        <w:rPr>
          <w:rFonts w:ascii="Times New Roman" w:hAnsi="Times New Roman" w:cs="Times New Roman"/>
          <w:color w:val="000000" w:themeColor="text1"/>
          <w:sz w:val="20"/>
          <w:szCs w:val="20"/>
        </w:rPr>
      </w:pPr>
    </w:p>
    <w:p w14:paraId="0B4DD5F5" w14:textId="6B69B69A" w:rsidR="001D67F2" w:rsidRPr="00164238" w:rsidRDefault="001D67F2" w:rsidP="00F17FEC">
      <w:pPr>
        <w:spacing w:before="120" w:after="120" w:line="360" w:lineRule="auto"/>
        <w:jc w:val="both"/>
        <w:rPr>
          <w:rFonts w:ascii="Times New Roman" w:hAnsi="Times New Roman" w:cs="Times New Roman"/>
          <w:color w:val="000000" w:themeColor="text1"/>
          <w:sz w:val="20"/>
          <w:szCs w:val="20"/>
        </w:rPr>
      </w:pPr>
    </w:p>
    <w:p w14:paraId="4AD78F92" w14:textId="31C160BE" w:rsidR="00522634" w:rsidRPr="00164238" w:rsidRDefault="00AE6EC7" w:rsidP="00AE6EC7">
      <w:pPr>
        <w:pStyle w:val="Balk1"/>
        <w:rPr>
          <w:rFonts w:ascii="Times New Roman" w:hAnsi="Times New Roman" w:cs="Times New Roman"/>
          <w:b/>
          <w:bCs/>
          <w:color w:val="000000" w:themeColor="text1"/>
          <w:sz w:val="24"/>
          <w:szCs w:val="28"/>
        </w:rPr>
      </w:pPr>
      <w:bookmarkStart w:id="176" w:name="_Toc72961754"/>
      <w:r w:rsidRPr="00164238">
        <w:rPr>
          <w:rFonts w:ascii="Times New Roman" w:hAnsi="Times New Roman" w:cs="Times New Roman"/>
          <w:b/>
          <w:bCs/>
          <w:color w:val="000000" w:themeColor="text1"/>
          <w:sz w:val="24"/>
          <w:szCs w:val="28"/>
        </w:rPr>
        <w:lastRenderedPageBreak/>
        <w:t>SAĞLIK EKONOMİSİ VE COVID-19: SAĞLIK HİZMETLERİNE ERİŞİMİN ULUSLARARASI ÖRNEKLERLE KARŞILAŞTIRILMASI</w:t>
      </w:r>
      <w:bookmarkEnd w:id="176"/>
    </w:p>
    <w:p w14:paraId="4AABA32A" w14:textId="77777777" w:rsidR="00522634" w:rsidRPr="00164238" w:rsidRDefault="00522634" w:rsidP="00522634">
      <w:pPr>
        <w:spacing w:before="120" w:after="120" w:line="276" w:lineRule="auto"/>
        <w:rPr>
          <w:rFonts w:ascii="Times New Roman" w:hAnsi="Times New Roman" w:cs="Times New Roman"/>
          <w:b/>
          <w:bCs/>
          <w:color w:val="000000" w:themeColor="text1"/>
          <w:sz w:val="20"/>
          <w:szCs w:val="20"/>
        </w:rPr>
      </w:pPr>
    </w:p>
    <w:p w14:paraId="359F54E8" w14:textId="5B776B87" w:rsidR="00522634" w:rsidRPr="00164238" w:rsidRDefault="00AE6EC7" w:rsidP="00AE6EC7">
      <w:pPr>
        <w:pStyle w:val="Balk2"/>
        <w:rPr>
          <w:rFonts w:ascii="Times New Roman" w:hAnsi="Times New Roman" w:cs="Times New Roman"/>
          <w:b w:val="0"/>
          <w:bCs w:val="0"/>
          <w:color w:val="000000" w:themeColor="text1"/>
          <w:sz w:val="20"/>
          <w:szCs w:val="20"/>
        </w:rPr>
      </w:pPr>
      <w:bookmarkStart w:id="177" w:name="_Toc72961755"/>
      <w:r w:rsidRPr="00164238">
        <w:rPr>
          <w:rFonts w:ascii="Times New Roman" w:hAnsi="Times New Roman" w:cs="Times New Roman"/>
          <w:b w:val="0"/>
          <w:bCs w:val="0"/>
          <w:color w:val="000000" w:themeColor="text1"/>
          <w:sz w:val="20"/>
          <w:szCs w:val="20"/>
        </w:rPr>
        <w:t xml:space="preserve">Öğr.Gör. </w:t>
      </w:r>
      <w:r w:rsidR="00522634" w:rsidRPr="00164238">
        <w:rPr>
          <w:rFonts w:ascii="Times New Roman" w:hAnsi="Times New Roman" w:cs="Times New Roman"/>
          <w:b w:val="0"/>
          <w:bCs w:val="0"/>
          <w:color w:val="000000" w:themeColor="text1"/>
          <w:sz w:val="20"/>
          <w:szCs w:val="20"/>
        </w:rPr>
        <w:t>Suzan ODABAŞI</w:t>
      </w:r>
      <w:r w:rsidRPr="00164238">
        <w:rPr>
          <w:rFonts w:ascii="Times New Roman" w:hAnsi="Times New Roman" w:cs="Times New Roman"/>
          <w:b w:val="0"/>
          <w:bCs w:val="0"/>
          <w:color w:val="000000" w:themeColor="text1"/>
          <w:sz w:val="20"/>
          <w:szCs w:val="20"/>
        </w:rPr>
        <w:t>, Uşak Üniversitesi, İktisadi ve İdari Bilimler Fakültesi, İktisat Bölümü, Uşak, Türkiye</w:t>
      </w:r>
      <w:bookmarkEnd w:id="177"/>
    </w:p>
    <w:p w14:paraId="40615475" w14:textId="77777777" w:rsidR="00AE6EC7" w:rsidRPr="00164238" w:rsidRDefault="00AE6EC7" w:rsidP="00AE6EC7">
      <w:pPr>
        <w:jc w:val="both"/>
        <w:rPr>
          <w:rFonts w:ascii="Times New Roman" w:hAnsi="Times New Roman" w:cs="Times New Roman"/>
          <w:color w:val="000000" w:themeColor="text1"/>
          <w:sz w:val="20"/>
          <w:szCs w:val="20"/>
        </w:rPr>
      </w:pPr>
      <w:r w:rsidRPr="00164238">
        <w:rPr>
          <w:rFonts w:ascii="Times New Roman" w:eastAsia="Arial" w:hAnsi="Times New Roman" w:cs="Times New Roman"/>
          <w:color w:val="000000" w:themeColor="text1"/>
          <w:sz w:val="20"/>
          <w:szCs w:val="20"/>
        </w:rPr>
        <w:t xml:space="preserve">e-mail: </w:t>
      </w:r>
      <w:hyperlink r:id="rId335" w:history="1">
        <w:r w:rsidRPr="00164238">
          <w:rPr>
            <w:rStyle w:val="Kpr"/>
            <w:rFonts w:ascii="Times New Roman" w:eastAsia="Arial" w:hAnsi="Times New Roman" w:cs="Times New Roman"/>
            <w:color w:val="000000" w:themeColor="text1"/>
            <w:sz w:val="20"/>
            <w:szCs w:val="20"/>
          </w:rPr>
          <w:t>suzan.gurgil@usak.edu.tr</w:t>
        </w:r>
      </w:hyperlink>
      <w:r w:rsidRPr="00164238">
        <w:rPr>
          <w:rFonts w:ascii="Times New Roman" w:eastAsia="Arial" w:hAnsi="Times New Roman" w:cs="Times New Roman"/>
          <w:color w:val="000000" w:themeColor="text1"/>
          <w:sz w:val="20"/>
          <w:szCs w:val="20"/>
        </w:rPr>
        <w:t xml:space="preserve">  ORCID ID: </w:t>
      </w:r>
      <w:hyperlink r:id="rId336" w:history="1">
        <w:r w:rsidRPr="00164238">
          <w:rPr>
            <w:rStyle w:val="Kpr"/>
            <w:rFonts w:ascii="Times New Roman" w:hAnsi="Times New Roman" w:cs="Times New Roman"/>
            <w:color w:val="000000" w:themeColor="text1"/>
            <w:sz w:val="20"/>
            <w:szCs w:val="20"/>
            <w:u w:val="none"/>
          </w:rPr>
          <w:t>0000-0002-4646-8640</w:t>
        </w:r>
      </w:hyperlink>
    </w:p>
    <w:p w14:paraId="552B7D21" w14:textId="77777777" w:rsidR="00522634" w:rsidRPr="00164238" w:rsidRDefault="00522634" w:rsidP="00522634">
      <w:pPr>
        <w:spacing w:before="120" w:after="120" w:line="276" w:lineRule="auto"/>
        <w:jc w:val="center"/>
        <w:rPr>
          <w:rFonts w:ascii="Times New Roman" w:hAnsi="Times New Roman" w:cs="Times New Roman"/>
          <w:b/>
          <w:bCs/>
          <w:color w:val="000000" w:themeColor="text1"/>
          <w:sz w:val="20"/>
          <w:szCs w:val="20"/>
        </w:rPr>
      </w:pPr>
    </w:p>
    <w:p w14:paraId="006C4803" w14:textId="77777777" w:rsidR="00522634" w:rsidRPr="00164238" w:rsidRDefault="00522634" w:rsidP="00522634">
      <w:pPr>
        <w:spacing w:before="120" w:after="120" w:line="276" w:lineRule="auto"/>
        <w:ind w:firstLine="708"/>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t>Giriş</w:t>
      </w:r>
    </w:p>
    <w:p w14:paraId="55135994" w14:textId="77777777" w:rsidR="00522634" w:rsidRPr="00164238" w:rsidRDefault="00522634" w:rsidP="00522634">
      <w:pPr>
        <w:spacing w:before="120" w:after="120" w:line="276" w:lineRule="auto"/>
        <w:ind w:firstLine="708"/>
        <w:jc w:val="both"/>
        <w:rPr>
          <w:rFonts w:ascii="Times New Roman" w:hAnsi="Times New Roman" w:cs="Times New Roman"/>
          <w:color w:val="000000" w:themeColor="text1"/>
          <w:sz w:val="20"/>
          <w:szCs w:val="20"/>
          <w:shd w:val="clear" w:color="auto" w:fill="FFFFFF"/>
        </w:rPr>
      </w:pPr>
      <w:r w:rsidRPr="00164238">
        <w:rPr>
          <w:rFonts w:ascii="Times New Roman" w:hAnsi="Times New Roman" w:cs="Times New Roman"/>
          <w:color w:val="000000" w:themeColor="text1"/>
          <w:sz w:val="20"/>
          <w:szCs w:val="20"/>
          <w:shd w:val="clear" w:color="auto" w:fill="FFFFFF"/>
        </w:rPr>
        <w:t>11 Mart 2020 tarihinde Dünya Sağlık Örgütü’nün (DSO), Covid-19 için pandemi açıklaması yapması, tüm dünyada beklenmedik bir ekonomik krizin de başlangıcı oldu. 2021 Mart ayı sonuna kadar dünya genelinde 128 milyon vaka sayısının görüldüğü bu süre zarfında, Covid-19 ve pandemi sürecinin sosyo-ekonomik belirleyicileri üzerine hem sağlık alanında hem de sosyal bilimler alanında çalışmaların artarak devam ettiği görülmektedir</w:t>
      </w:r>
      <w:r w:rsidRPr="00164238">
        <w:rPr>
          <w:rFonts w:ascii="Times New Roman" w:hAnsi="Times New Roman" w:cs="Times New Roman"/>
          <w:noProof/>
          <w:color w:val="000000" w:themeColor="text1"/>
          <w:sz w:val="20"/>
          <w:szCs w:val="20"/>
          <w:shd w:val="clear" w:color="auto" w:fill="FFFFFF"/>
        </w:rPr>
        <w:t xml:space="preserve"> (Rollston &amp; Galea, 2020; Al-Oraibi, et al., 2021; Eaton, 2020)</w:t>
      </w:r>
      <w:r w:rsidRPr="00164238">
        <w:rPr>
          <w:rFonts w:ascii="Times New Roman" w:hAnsi="Times New Roman" w:cs="Times New Roman"/>
          <w:color w:val="000000" w:themeColor="text1"/>
          <w:sz w:val="20"/>
          <w:szCs w:val="20"/>
          <w:shd w:val="clear" w:color="auto" w:fill="FFFFFF"/>
        </w:rPr>
        <w:t xml:space="preserve">. Özellikle ekonomi alanında Covid-19 süreci ile birlikte iki ana konu üzerine çalışmaların yoğunlaştığını görmek mümkündür: (1) pandemi sürecinde sağlığa erişim ve (2) pandemi surecinde ülkelerin karşılaştıkları iktisadi sorunlar. Öncelikle sağlığa ulusal ve uluslararası düzeyde erişim üzerine yönelen çalışmalarda gelir eşitsizliği, sağlık sigortasına sahip nüfusun oranı, sağlık sisteminin yapısı ve sağlık harcamalarının finansman yöntemi gibi konuların incelendiği görülmektedir </w:t>
      </w:r>
      <w:r w:rsidRPr="00164238">
        <w:rPr>
          <w:rFonts w:ascii="Times New Roman" w:hAnsi="Times New Roman" w:cs="Times New Roman"/>
          <w:noProof/>
          <w:color w:val="000000" w:themeColor="text1"/>
          <w:sz w:val="20"/>
          <w:szCs w:val="20"/>
          <w:shd w:val="clear" w:color="auto" w:fill="FFFFFF"/>
        </w:rPr>
        <w:t>(Woolhandler &amp; Himmelstein, 2020; Cutler , 2020; Garrett &amp; Gangopadhyaya, 2020)</w:t>
      </w:r>
      <w:r w:rsidRPr="00164238">
        <w:rPr>
          <w:rFonts w:ascii="Times New Roman" w:hAnsi="Times New Roman" w:cs="Times New Roman"/>
          <w:color w:val="000000" w:themeColor="text1"/>
          <w:sz w:val="20"/>
          <w:szCs w:val="20"/>
          <w:shd w:val="clear" w:color="auto" w:fill="FFFFFF"/>
        </w:rPr>
        <w:t>. İkinci olarak ise pandemi surecinde ülkelerin karşılaşmış oldukları iktisadi sorunlar arasında en dikkat çeken göstergelerden biri işsizlik oranı olmakla birlikte, sektörlerde meydana gelen gelir kayıpları, sağlık harcamaları ve işgücü piyasasında görülen kayıplar da sosyal bilimler literatüründe yer almaktadır</w:t>
      </w:r>
      <w:r w:rsidRPr="00164238">
        <w:rPr>
          <w:rFonts w:ascii="Times New Roman" w:hAnsi="Times New Roman" w:cs="Times New Roman"/>
          <w:noProof/>
          <w:color w:val="000000" w:themeColor="text1"/>
          <w:sz w:val="20"/>
          <w:szCs w:val="20"/>
          <w:shd w:val="clear" w:color="auto" w:fill="FFFFFF"/>
        </w:rPr>
        <w:t xml:space="preserve"> (Gangopadhyaya &amp; Garrett, 2020; Kawohl &amp; Nordt, 2020; Fairlie, Couch , &amp; Xu, 2020)</w:t>
      </w:r>
      <w:r w:rsidRPr="00164238">
        <w:rPr>
          <w:rFonts w:ascii="Times New Roman" w:hAnsi="Times New Roman" w:cs="Times New Roman"/>
          <w:color w:val="000000" w:themeColor="text1"/>
          <w:sz w:val="20"/>
          <w:szCs w:val="20"/>
          <w:shd w:val="clear" w:color="auto" w:fill="FFFFFF"/>
        </w:rPr>
        <w:t xml:space="preserve">. </w:t>
      </w:r>
    </w:p>
    <w:p w14:paraId="62606F56" w14:textId="77777777" w:rsidR="00522634" w:rsidRPr="00164238" w:rsidRDefault="00522634" w:rsidP="00522634">
      <w:pPr>
        <w:spacing w:before="120" w:after="120" w:line="276" w:lineRule="auto"/>
        <w:jc w:val="both"/>
        <w:rPr>
          <w:rFonts w:ascii="Times New Roman" w:hAnsi="Times New Roman" w:cs="Times New Roman"/>
          <w:color w:val="000000" w:themeColor="text1"/>
          <w:sz w:val="20"/>
          <w:szCs w:val="20"/>
          <w:shd w:val="clear" w:color="auto" w:fill="FFFFFF"/>
        </w:rPr>
      </w:pPr>
      <w:r w:rsidRPr="00164238">
        <w:rPr>
          <w:rFonts w:ascii="Times New Roman" w:hAnsi="Times New Roman" w:cs="Times New Roman"/>
          <w:color w:val="000000" w:themeColor="text1"/>
          <w:sz w:val="20"/>
          <w:szCs w:val="20"/>
          <w:shd w:val="clear" w:color="auto" w:fill="FFFFFF"/>
        </w:rPr>
        <w:tab/>
        <w:t xml:space="preserve">Amerika Birleşik Devletleri İşgücü istatistikleri Bürosu’nun 2020 yılı ilk çeyreği için hazırlamış olduğu rapor, 1929 Büyük Buhran’dan itibaren görülmüş en yüksek işsizlik oranlarının gerçekleştiğini ortaya koymaktadır </w:t>
      </w:r>
      <w:sdt>
        <w:sdtPr>
          <w:rPr>
            <w:rFonts w:ascii="Times New Roman" w:hAnsi="Times New Roman" w:cs="Times New Roman"/>
            <w:color w:val="000000" w:themeColor="text1"/>
            <w:sz w:val="20"/>
            <w:szCs w:val="20"/>
            <w:shd w:val="clear" w:color="auto" w:fill="FFFFFF"/>
          </w:rPr>
          <w:id w:val="63463134"/>
          <w:citation/>
        </w:sdtPr>
        <w:sdtContent>
          <w:r w:rsidRPr="00164238">
            <w:rPr>
              <w:rFonts w:ascii="Times New Roman" w:hAnsi="Times New Roman" w:cs="Times New Roman"/>
              <w:color w:val="000000" w:themeColor="text1"/>
              <w:sz w:val="20"/>
              <w:szCs w:val="20"/>
              <w:shd w:val="clear" w:color="auto" w:fill="FFFFFF"/>
            </w:rPr>
            <w:fldChar w:fldCharType="begin"/>
          </w:r>
          <w:r w:rsidRPr="00164238">
            <w:rPr>
              <w:rFonts w:ascii="Times New Roman" w:hAnsi="Times New Roman" w:cs="Times New Roman"/>
              <w:color w:val="000000" w:themeColor="text1"/>
              <w:sz w:val="20"/>
              <w:szCs w:val="20"/>
              <w:shd w:val="clear" w:color="auto" w:fill="FFFFFF"/>
            </w:rPr>
            <w:instrText xml:space="preserve"> CITATION Emp20 \l 1033 </w:instrText>
          </w:r>
          <w:r w:rsidRPr="00164238">
            <w:rPr>
              <w:rFonts w:ascii="Times New Roman" w:hAnsi="Times New Roman" w:cs="Times New Roman"/>
              <w:color w:val="000000" w:themeColor="text1"/>
              <w:sz w:val="20"/>
              <w:szCs w:val="20"/>
              <w:shd w:val="clear" w:color="auto" w:fill="FFFFFF"/>
            </w:rPr>
            <w:fldChar w:fldCharType="separate"/>
          </w:r>
          <w:r w:rsidRPr="00164238">
            <w:rPr>
              <w:rFonts w:ascii="Times New Roman" w:hAnsi="Times New Roman" w:cs="Times New Roman"/>
              <w:noProof/>
              <w:color w:val="000000" w:themeColor="text1"/>
              <w:sz w:val="20"/>
              <w:szCs w:val="20"/>
              <w:shd w:val="clear" w:color="auto" w:fill="FFFFFF"/>
            </w:rPr>
            <w:t>(Employment Situation Summary, 2020)</w:t>
          </w:r>
          <w:r w:rsidRPr="00164238">
            <w:rPr>
              <w:rFonts w:ascii="Times New Roman" w:hAnsi="Times New Roman" w:cs="Times New Roman"/>
              <w:color w:val="000000" w:themeColor="text1"/>
              <w:sz w:val="20"/>
              <w:szCs w:val="20"/>
              <w:shd w:val="clear" w:color="auto" w:fill="FFFFFF"/>
            </w:rPr>
            <w:fldChar w:fldCharType="end"/>
          </w:r>
        </w:sdtContent>
      </w:sdt>
      <w:r w:rsidRPr="00164238">
        <w:rPr>
          <w:rFonts w:ascii="Times New Roman" w:hAnsi="Times New Roman" w:cs="Times New Roman"/>
          <w:color w:val="000000" w:themeColor="text1"/>
          <w:sz w:val="20"/>
          <w:szCs w:val="20"/>
          <w:shd w:val="clear" w:color="auto" w:fill="FFFFFF"/>
        </w:rPr>
        <w:t>. 2019 Mart ayında yaklaşık olarak %4 olan işsizlik oranının, Covid-19 vakalarındaki hızlı artışların da etkisiyle 2020 Mart ayında %14’un üzerinde bir değere ulaştığı bilinmektedir.  Sektörler arası yapılan analizlerde ise işsizlik oranının her sektörde artış eğiliminde olduğu ancak otel ve eğlence sektöründe en yüksek seviyeye ulaştığı (%39.3) görülmektedir. Finans sektörü ise işsizlik oranında görülen artışın en az oranda gerçekleştiği sektör olarak dikkatleri çekmektedir. (Tablo 1). Sektörel incelemelerin yanısıra farklı demografik gruplar için de mevcut krizin etkisinin eşit olmadığı görülmüştür. Hane halkı anket sonuçlarına göre özellikle genç nüfus, göçmen nüfus ve yarı zamanlı çalışan nüfus en yüksek işsizlik oranlarının görüldüğü kitleleri oluşturmaktadır</w:t>
      </w:r>
      <w:sdt>
        <w:sdtPr>
          <w:rPr>
            <w:rFonts w:ascii="Times New Roman" w:hAnsi="Times New Roman" w:cs="Times New Roman"/>
            <w:color w:val="000000" w:themeColor="text1"/>
            <w:sz w:val="20"/>
            <w:szCs w:val="20"/>
            <w:shd w:val="clear" w:color="auto" w:fill="FFFFFF"/>
          </w:rPr>
          <w:id w:val="-886565795"/>
          <w:citation/>
        </w:sdtPr>
        <w:sdtContent>
          <w:r w:rsidRPr="00164238">
            <w:rPr>
              <w:rFonts w:ascii="Times New Roman" w:hAnsi="Times New Roman" w:cs="Times New Roman"/>
              <w:color w:val="000000" w:themeColor="text1"/>
              <w:sz w:val="20"/>
              <w:szCs w:val="20"/>
              <w:shd w:val="clear" w:color="auto" w:fill="FFFFFF"/>
            </w:rPr>
            <w:fldChar w:fldCharType="begin"/>
          </w:r>
          <w:r w:rsidRPr="00164238">
            <w:rPr>
              <w:rFonts w:ascii="Times New Roman" w:hAnsi="Times New Roman" w:cs="Times New Roman"/>
              <w:color w:val="000000" w:themeColor="text1"/>
              <w:sz w:val="20"/>
              <w:szCs w:val="20"/>
              <w:shd w:val="clear" w:color="auto" w:fill="FFFFFF"/>
            </w:rPr>
            <w:instrText xml:space="preserve"> CITATION Emp20 \l 1033 </w:instrText>
          </w:r>
          <w:r w:rsidRPr="00164238">
            <w:rPr>
              <w:rFonts w:ascii="Times New Roman" w:hAnsi="Times New Roman" w:cs="Times New Roman"/>
              <w:color w:val="000000" w:themeColor="text1"/>
              <w:sz w:val="20"/>
              <w:szCs w:val="20"/>
              <w:shd w:val="clear" w:color="auto" w:fill="FFFFFF"/>
            </w:rPr>
            <w:fldChar w:fldCharType="separate"/>
          </w:r>
          <w:r w:rsidRPr="00164238">
            <w:rPr>
              <w:rFonts w:ascii="Times New Roman" w:hAnsi="Times New Roman" w:cs="Times New Roman"/>
              <w:noProof/>
              <w:color w:val="000000" w:themeColor="text1"/>
              <w:sz w:val="20"/>
              <w:szCs w:val="20"/>
              <w:shd w:val="clear" w:color="auto" w:fill="FFFFFF"/>
            </w:rPr>
            <w:t xml:space="preserve"> (Employment Situation Summary, 2020)</w:t>
          </w:r>
          <w:r w:rsidRPr="00164238">
            <w:rPr>
              <w:rFonts w:ascii="Times New Roman" w:hAnsi="Times New Roman" w:cs="Times New Roman"/>
              <w:color w:val="000000" w:themeColor="text1"/>
              <w:sz w:val="20"/>
              <w:szCs w:val="20"/>
              <w:shd w:val="clear" w:color="auto" w:fill="FFFFFF"/>
            </w:rPr>
            <w:fldChar w:fldCharType="end"/>
          </w:r>
        </w:sdtContent>
      </w:sdt>
      <w:r w:rsidRPr="00164238">
        <w:rPr>
          <w:rFonts w:ascii="Times New Roman" w:hAnsi="Times New Roman" w:cs="Times New Roman"/>
          <w:color w:val="000000" w:themeColor="text1"/>
          <w:sz w:val="20"/>
          <w:szCs w:val="20"/>
          <w:shd w:val="clear" w:color="auto" w:fill="FFFFFF"/>
        </w:rPr>
        <w:t xml:space="preserve">.  </w:t>
      </w:r>
    </w:p>
    <w:p w14:paraId="289C231D" w14:textId="77777777" w:rsidR="00522634" w:rsidRPr="00164238" w:rsidRDefault="00522634" w:rsidP="00522634">
      <w:pPr>
        <w:spacing w:before="120" w:after="120" w:line="276" w:lineRule="auto"/>
        <w:jc w:val="both"/>
        <w:rPr>
          <w:rFonts w:ascii="Times New Roman" w:hAnsi="Times New Roman" w:cs="Times New Roman"/>
          <w:color w:val="000000" w:themeColor="text1"/>
          <w:sz w:val="20"/>
          <w:szCs w:val="20"/>
          <w:shd w:val="clear" w:color="auto" w:fill="FFFFFF"/>
        </w:rPr>
      </w:pPr>
      <w:r w:rsidRPr="00164238">
        <w:rPr>
          <w:rFonts w:ascii="Times New Roman" w:hAnsi="Times New Roman" w:cs="Times New Roman"/>
          <w:color w:val="000000" w:themeColor="text1"/>
          <w:sz w:val="20"/>
          <w:szCs w:val="20"/>
          <w:shd w:val="clear" w:color="auto" w:fill="FFFFFF"/>
        </w:rPr>
        <w:tab/>
        <w:t>Covid-19 sonrası oluşan literatüre göre OECD ülkelerinde de benzer iktisadi sorunların ülke ekonomilerinde yer aldığı bilinmektedir. 2019 Nisan ayında %5,2 olan OECD işsizlik oranı, 2020 Nisan ayında %8,4 oranında gerçekleşmiştir. ABD verilerine oranla, OECD ülkelerinde işsizlik oranlarındaki artış daha az gerçekleşmiş olmakla birlikte, OECD ülkeleri arasında da ciddi farklılıklar içermektedir (Grafik 1)</w:t>
      </w:r>
      <w:sdt>
        <w:sdtPr>
          <w:rPr>
            <w:rFonts w:ascii="Times New Roman" w:hAnsi="Times New Roman" w:cs="Times New Roman"/>
            <w:color w:val="000000" w:themeColor="text1"/>
            <w:sz w:val="20"/>
            <w:szCs w:val="20"/>
            <w:shd w:val="clear" w:color="auto" w:fill="FFFFFF"/>
          </w:rPr>
          <w:id w:val="-213588235"/>
          <w:citation/>
        </w:sdtPr>
        <w:sdtContent>
          <w:r w:rsidRPr="00164238">
            <w:rPr>
              <w:rFonts w:ascii="Times New Roman" w:hAnsi="Times New Roman" w:cs="Times New Roman"/>
              <w:color w:val="000000" w:themeColor="text1"/>
              <w:sz w:val="20"/>
              <w:szCs w:val="20"/>
              <w:shd w:val="clear" w:color="auto" w:fill="FFFFFF"/>
            </w:rPr>
            <w:fldChar w:fldCharType="begin"/>
          </w:r>
          <w:r w:rsidRPr="00164238">
            <w:rPr>
              <w:rFonts w:ascii="Times New Roman" w:hAnsi="Times New Roman" w:cs="Times New Roman"/>
              <w:color w:val="000000" w:themeColor="text1"/>
              <w:sz w:val="20"/>
              <w:szCs w:val="20"/>
              <w:shd w:val="clear" w:color="auto" w:fill="FFFFFF"/>
            </w:rPr>
            <w:instrText xml:space="preserve">CITATION Org20 \l 1033 </w:instrText>
          </w:r>
          <w:r w:rsidRPr="00164238">
            <w:rPr>
              <w:rFonts w:ascii="Times New Roman" w:hAnsi="Times New Roman" w:cs="Times New Roman"/>
              <w:color w:val="000000" w:themeColor="text1"/>
              <w:sz w:val="20"/>
              <w:szCs w:val="20"/>
              <w:shd w:val="clear" w:color="auto" w:fill="FFFFFF"/>
            </w:rPr>
            <w:fldChar w:fldCharType="separate"/>
          </w:r>
          <w:r w:rsidRPr="00164238">
            <w:rPr>
              <w:rFonts w:ascii="Times New Roman" w:hAnsi="Times New Roman" w:cs="Times New Roman"/>
              <w:noProof/>
              <w:color w:val="000000" w:themeColor="text1"/>
              <w:sz w:val="20"/>
              <w:szCs w:val="20"/>
              <w:shd w:val="clear" w:color="auto" w:fill="FFFFFF"/>
            </w:rPr>
            <w:t xml:space="preserve"> (OECD, 2020)</w:t>
          </w:r>
          <w:r w:rsidRPr="00164238">
            <w:rPr>
              <w:rFonts w:ascii="Times New Roman" w:hAnsi="Times New Roman" w:cs="Times New Roman"/>
              <w:color w:val="000000" w:themeColor="text1"/>
              <w:sz w:val="20"/>
              <w:szCs w:val="20"/>
              <w:shd w:val="clear" w:color="auto" w:fill="FFFFFF"/>
            </w:rPr>
            <w:fldChar w:fldCharType="end"/>
          </w:r>
        </w:sdtContent>
      </w:sdt>
      <w:r w:rsidRPr="00164238">
        <w:rPr>
          <w:rFonts w:ascii="Times New Roman" w:hAnsi="Times New Roman" w:cs="Times New Roman"/>
          <w:color w:val="000000" w:themeColor="text1"/>
          <w:sz w:val="20"/>
          <w:szCs w:val="20"/>
          <w:shd w:val="clear" w:color="auto" w:fill="FFFFFF"/>
        </w:rPr>
        <w:t>. Bu çalışmanın amacı Covid-19 ile birlikte OECD ülkelerinde görülen işsizlik verilerinin özetlenmesi ve bu işsizlik verilerinin ülkeler arasında göstermiş olduğu farklılığının dinamiklerinden biri olan sağlık hizmetleri ile ilgili göstergelerinin karşılaştırmalı olarak incelenmesidir.</w:t>
      </w:r>
    </w:p>
    <w:p w14:paraId="08FBE675" w14:textId="77777777" w:rsidR="00522634" w:rsidRPr="00164238" w:rsidRDefault="00522634" w:rsidP="00522634">
      <w:pPr>
        <w:spacing w:before="120" w:after="120" w:line="276" w:lineRule="auto"/>
        <w:ind w:firstLine="708"/>
        <w:jc w:val="both"/>
        <w:rPr>
          <w:rFonts w:ascii="Times New Roman" w:hAnsi="Times New Roman" w:cs="Times New Roman"/>
          <w:color w:val="000000" w:themeColor="text1"/>
          <w:sz w:val="20"/>
          <w:szCs w:val="20"/>
          <w:shd w:val="clear" w:color="auto" w:fill="FFFFFF"/>
        </w:rPr>
      </w:pPr>
      <w:r w:rsidRPr="00164238">
        <w:rPr>
          <w:rFonts w:ascii="Times New Roman" w:hAnsi="Times New Roman" w:cs="Times New Roman"/>
          <w:color w:val="000000" w:themeColor="text1"/>
          <w:sz w:val="20"/>
          <w:szCs w:val="20"/>
          <w:shd w:val="clear" w:color="auto" w:fill="FFFFFF"/>
        </w:rPr>
        <w:t xml:space="preserve">Çalışmanın devamında sırası ile ikinci bölümde mevcut literatür özetlenecek ve OECD ülkelerinin işsizlik ve sağlık göstergeleri arasındaki ilişki tartışılacaktır. Ardından uygulanan yöntem ve veri setinin </w:t>
      </w:r>
      <w:r w:rsidRPr="00164238">
        <w:rPr>
          <w:rFonts w:ascii="Times New Roman" w:hAnsi="Times New Roman" w:cs="Times New Roman"/>
          <w:color w:val="000000" w:themeColor="text1"/>
          <w:sz w:val="20"/>
          <w:szCs w:val="20"/>
          <w:shd w:val="clear" w:color="auto" w:fill="FFFFFF"/>
        </w:rPr>
        <w:lastRenderedPageBreak/>
        <w:t>açıklanmasına yer verilecektir. Üçüncü bölümde ise analiz sonuçları tartışılacak ve bulgular sağlık ekonomisi-işgücü piyasası kapsamında değerlendirilecektir.</w:t>
      </w:r>
    </w:p>
    <w:p w14:paraId="42C4BE97" w14:textId="77777777" w:rsidR="00522634" w:rsidRPr="00164238" w:rsidRDefault="00522634" w:rsidP="00522634">
      <w:pPr>
        <w:spacing w:before="120" w:after="120" w:line="276" w:lineRule="auto"/>
        <w:ind w:firstLine="708"/>
        <w:jc w:val="both"/>
        <w:rPr>
          <w:rFonts w:ascii="Times New Roman" w:hAnsi="Times New Roman" w:cs="Times New Roman"/>
          <w:color w:val="000000" w:themeColor="text1"/>
          <w:sz w:val="20"/>
          <w:szCs w:val="20"/>
          <w:shd w:val="clear" w:color="auto" w:fill="FFFFFF"/>
        </w:rPr>
      </w:pPr>
    </w:p>
    <w:p w14:paraId="10D08784" w14:textId="77777777" w:rsidR="00522634" w:rsidRPr="00164238" w:rsidRDefault="00522634" w:rsidP="00522634">
      <w:pPr>
        <w:spacing w:before="120" w:after="120" w:line="276" w:lineRule="auto"/>
        <w:ind w:firstLine="708"/>
        <w:jc w:val="both"/>
        <w:rPr>
          <w:rFonts w:ascii="Times New Roman" w:hAnsi="Times New Roman" w:cs="Times New Roman"/>
          <w:b/>
          <w:bCs/>
          <w:color w:val="000000" w:themeColor="text1"/>
          <w:sz w:val="20"/>
          <w:szCs w:val="20"/>
          <w:shd w:val="clear" w:color="auto" w:fill="FFFFFF"/>
        </w:rPr>
      </w:pPr>
      <w:r w:rsidRPr="00164238">
        <w:rPr>
          <w:rFonts w:ascii="Times New Roman" w:hAnsi="Times New Roman" w:cs="Times New Roman"/>
          <w:b/>
          <w:bCs/>
          <w:color w:val="000000" w:themeColor="text1"/>
          <w:sz w:val="20"/>
          <w:szCs w:val="20"/>
          <w:shd w:val="clear" w:color="auto" w:fill="FFFFFF"/>
        </w:rPr>
        <w:t>Model ve Veri</w:t>
      </w:r>
    </w:p>
    <w:p w14:paraId="2AEB9292" w14:textId="77777777" w:rsidR="00522634" w:rsidRPr="00164238" w:rsidRDefault="00522634" w:rsidP="00522634">
      <w:pPr>
        <w:spacing w:before="120" w:after="120" w:line="276" w:lineRule="auto"/>
        <w:ind w:firstLine="706"/>
        <w:jc w:val="both"/>
        <w:rPr>
          <w:rFonts w:ascii="Times New Roman" w:hAnsi="Times New Roman" w:cs="Times New Roman"/>
          <w:color w:val="000000" w:themeColor="text1"/>
          <w:sz w:val="20"/>
          <w:szCs w:val="20"/>
          <w:shd w:val="clear" w:color="auto" w:fill="FFFFFF"/>
        </w:rPr>
      </w:pPr>
      <w:r w:rsidRPr="00164238">
        <w:rPr>
          <w:rFonts w:ascii="Times New Roman" w:hAnsi="Times New Roman" w:cs="Times New Roman"/>
          <w:color w:val="000000" w:themeColor="text1"/>
          <w:sz w:val="20"/>
          <w:szCs w:val="20"/>
          <w:shd w:val="clear" w:color="auto" w:fill="FFFFFF"/>
        </w:rPr>
        <w:t xml:space="preserve">Covid-19 süreci ile birlikte ülke ekonomilerinde görülen olumsuz göstergeler, toplumun her kesiminde farklı şiddette yansımıştır. Kamu sağlığında karşılaşılan kriz süreci, işsizlik oranları başta olmak üzere ülke ekonomilerinde birçok göstergeleri de olumsuz yönde etkilemiştir </w:t>
      </w:r>
      <w:r w:rsidRPr="00164238">
        <w:rPr>
          <w:rFonts w:ascii="Times New Roman" w:hAnsi="Times New Roman" w:cs="Times New Roman"/>
          <w:noProof/>
          <w:color w:val="000000" w:themeColor="text1"/>
          <w:sz w:val="20"/>
          <w:szCs w:val="20"/>
          <w:shd w:val="clear" w:color="auto" w:fill="FFFFFF"/>
        </w:rPr>
        <w:t>( Fernandes, 2020; McKibbin &amp; Fernando, 2020; Yang &amp; Deng , 2021)</w:t>
      </w:r>
      <w:r w:rsidRPr="00164238">
        <w:rPr>
          <w:rFonts w:ascii="Times New Roman" w:hAnsi="Times New Roman" w:cs="Times New Roman"/>
          <w:color w:val="000000" w:themeColor="text1"/>
          <w:sz w:val="20"/>
          <w:szCs w:val="20"/>
          <w:shd w:val="clear" w:color="auto" w:fill="FFFFFF"/>
        </w:rPr>
        <w:t>. Son yılların en yüksek işsizlik verilerinin, beşeri sermaye kayıplarının, yüksek yoksulluk oranlarının yaşandığı pandemi sürecinde, sağlık ekonomisi alanında yürütülen çalışmalarda iki ana konuya yoğunlaşma olduğu görülmektedir: (1) Pandemi surecinin meydana getirmiş olduğu iktisadi sorunlar ve (2) ekonomik daralma sürecini hızlandıran sosyo-ekonomik faktörler</w:t>
      </w:r>
      <w:r w:rsidRPr="00164238">
        <w:rPr>
          <w:rFonts w:ascii="Times New Roman" w:hAnsi="Times New Roman" w:cs="Times New Roman"/>
          <w:noProof/>
          <w:color w:val="000000" w:themeColor="text1"/>
          <w:sz w:val="20"/>
          <w:szCs w:val="20"/>
          <w:shd w:val="clear" w:color="auto" w:fill="FFFFFF"/>
        </w:rPr>
        <w:t xml:space="preserve"> (Ozili, 2020; Martin, Markhvida, Hallegatte, &amp; Walsh , 2020)</w:t>
      </w:r>
      <w:r w:rsidRPr="00164238">
        <w:rPr>
          <w:rFonts w:ascii="Times New Roman" w:hAnsi="Times New Roman" w:cs="Times New Roman"/>
          <w:color w:val="000000" w:themeColor="text1"/>
          <w:sz w:val="20"/>
          <w:szCs w:val="20"/>
          <w:shd w:val="clear" w:color="auto" w:fill="FFFFFF"/>
        </w:rPr>
        <w:t>.</w:t>
      </w:r>
    </w:p>
    <w:p w14:paraId="2A62A6AF" w14:textId="77777777" w:rsidR="00522634" w:rsidRPr="00164238" w:rsidRDefault="00522634" w:rsidP="00522634">
      <w:pPr>
        <w:spacing w:before="120" w:after="120" w:line="276" w:lineRule="auto"/>
        <w:ind w:firstLine="706"/>
        <w:jc w:val="both"/>
        <w:rPr>
          <w:rFonts w:ascii="Times New Roman" w:hAnsi="Times New Roman" w:cs="Times New Roman"/>
          <w:color w:val="000000" w:themeColor="text1"/>
          <w:sz w:val="20"/>
          <w:szCs w:val="20"/>
          <w:shd w:val="clear" w:color="auto" w:fill="FFFFFF"/>
        </w:rPr>
      </w:pPr>
      <w:r w:rsidRPr="00164238">
        <w:rPr>
          <w:rFonts w:ascii="Times New Roman" w:hAnsi="Times New Roman" w:cs="Times New Roman"/>
          <w:color w:val="000000" w:themeColor="text1"/>
          <w:sz w:val="20"/>
          <w:szCs w:val="20"/>
          <w:shd w:val="clear" w:color="auto" w:fill="FFFFFF"/>
        </w:rPr>
        <w:t xml:space="preserve">Bu çalışmada 2020 yılı içerisinde Covid-19 ile bağlantılı olarak gerçekleşen ölümlerin, sağlık ve ekonomi ile ilgili göstergelerle olan bağlantısını analiz etmek üzere OECD ülkeleri düzeyinde bir veri seti ile çalışılmıştır. Çalışmada yer alan ülkeler belirlenirken ise verilerin mevcut olup olmaması baz alınmış ve modelde yer alan değişkenlere ait istatistiksel bilgilerin mevcut olduğu tüm OECD ülkeleri analizde yer almıştır. Bu noktada, refah düzeyi görece daha yüksek olan ve iktisadi kalkınma hedeflerine ulaşmış olan ülkelerin veri paylaşma oranlarının daha yüksek olduğunu belirtmek gerekmektedir. Ulaşılabilen en güncel veriler kullanılarak oluşturulan modelde bağımsız değişken olarak yer alan göstergeler 2018 yılı değerlerini göstermektedir. Bağımlı değişken olarak yer alan Covid-19 sonucu gerçekleşen ölümler ise en güncel istatistikleri içermekte ve bağımlı değişken olarak modelde yer almaktadır. Ülkelerde ilk vakaların duyurulması ile birlikte, Covid-19 ile ilişkili olarak gerçekleşen tüm Covid-19 ilişkili ölümler, her 1 milyon kişi için hesaplanarak analizde yer verilmiştir. </w:t>
      </w:r>
    </w:p>
    <w:p w14:paraId="25A15188" w14:textId="77777777" w:rsidR="00522634" w:rsidRPr="00164238" w:rsidRDefault="00522634" w:rsidP="00522634">
      <w:pPr>
        <w:spacing w:before="120" w:after="120" w:line="276" w:lineRule="auto"/>
        <w:ind w:firstLine="706"/>
        <w:jc w:val="both"/>
        <w:rPr>
          <w:rFonts w:ascii="Times New Roman" w:hAnsi="Times New Roman" w:cs="Times New Roman"/>
          <w:color w:val="000000" w:themeColor="text1"/>
          <w:sz w:val="20"/>
          <w:szCs w:val="20"/>
          <w:shd w:val="clear" w:color="auto" w:fill="FFFFFF"/>
        </w:rPr>
      </w:pPr>
      <w:r w:rsidRPr="00164238">
        <w:rPr>
          <w:rFonts w:ascii="Times New Roman" w:hAnsi="Times New Roman" w:cs="Times New Roman"/>
          <w:color w:val="000000" w:themeColor="text1"/>
          <w:sz w:val="20"/>
          <w:szCs w:val="20"/>
          <w:shd w:val="clear" w:color="auto" w:fill="FFFFFF"/>
        </w:rPr>
        <w:t xml:space="preserve"> Modelde yer alan bağımsız değişkenler ise iki ana kısımda değerlendirilebilir: (1) ekonomi ve  (2) sağlık ile ilgili istatistikler. Ekonomi ile bağlantılı olarak çalışılan göstergelerden biri olarak gini katsayısı, ülkeler için gelir eşitsizliğini bir katsayı ile ifade etmektedir. Sıfır ile bir arasında bir değer alan gini katsayısı için değerin 0 olması gelir eşitsizliğinin mevcut olmadığını, bir olması ise gelir eşitsizliğinin en yüksek düzeyde olduğunu göstermektedir. Bir diğer ekonomi ile bağlantılı gösterge ise ülkelerin gelir düzeyi ve sağlık harcamalarıdır. Hane halkı gelir düzeyi verisi, yıllık olarak hesaplanmakta ve gösterildiği para birimi olarak ise Amerikan Doları para birimi kullanılmaktadır. Modelde yer alan, sağlık harcamaları değişkeni ise hem bireylerin hem de devletlerin yapmış oldukları sağlık harcamalarını Amerikan Doları olarak göstermektedir. OECD veri merkezini sunmuş olduğu raporlara göre Meksika 1144.8 Dolar ile en düşük sağlık harcamasına sahip OECD ülkesi olmuştur, en yüksek sağlık harcamasına sahip ülkeler ise Amerika Birleşik Devletleri (10637$), İsviçre (7279$) ve Norveç’tir</w:t>
      </w:r>
      <w:r w:rsidRPr="00164238">
        <w:rPr>
          <w:rFonts w:ascii="Times New Roman" w:hAnsi="Times New Roman" w:cs="Times New Roman"/>
          <w:color w:val="000000" w:themeColor="text1"/>
          <w:sz w:val="20"/>
          <w:szCs w:val="20"/>
        </w:rPr>
        <w:t xml:space="preserve"> (</w:t>
      </w:r>
      <w:r w:rsidRPr="00164238">
        <w:rPr>
          <w:rFonts w:ascii="Times New Roman" w:hAnsi="Times New Roman" w:cs="Times New Roman"/>
          <w:color w:val="000000" w:themeColor="text1"/>
          <w:sz w:val="20"/>
          <w:szCs w:val="20"/>
          <w:shd w:val="clear" w:color="auto" w:fill="FFFFFF"/>
        </w:rPr>
        <w:t xml:space="preserve">6283$)  </w:t>
      </w:r>
      <w:sdt>
        <w:sdtPr>
          <w:rPr>
            <w:rFonts w:ascii="Times New Roman" w:hAnsi="Times New Roman" w:cs="Times New Roman"/>
            <w:color w:val="000000" w:themeColor="text1"/>
            <w:sz w:val="20"/>
            <w:szCs w:val="20"/>
            <w:shd w:val="clear" w:color="auto" w:fill="FFFFFF"/>
          </w:rPr>
          <w:id w:val="1834720698"/>
          <w:citation/>
        </w:sdtPr>
        <w:sdtContent>
          <w:r w:rsidRPr="00164238">
            <w:rPr>
              <w:rFonts w:ascii="Times New Roman" w:hAnsi="Times New Roman" w:cs="Times New Roman"/>
              <w:color w:val="000000" w:themeColor="text1"/>
              <w:sz w:val="20"/>
              <w:szCs w:val="20"/>
              <w:shd w:val="clear" w:color="auto" w:fill="FFFFFF"/>
            </w:rPr>
            <w:fldChar w:fldCharType="begin"/>
          </w:r>
          <w:r w:rsidRPr="00164238">
            <w:rPr>
              <w:rFonts w:ascii="Times New Roman" w:hAnsi="Times New Roman" w:cs="Times New Roman"/>
              <w:color w:val="000000" w:themeColor="text1"/>
              <w:sz w:val="20"/>
              <w:szCs w:val="20"/>
              <w:shd w:val="clear" w:color="auto" w:fill="FFFFFF"/>
            </w:rPr>
            <w:instrText xml:space="preserve"> CITATION OEC21 \l 1033 </w:instrText>
          </w:r>
          <w:r w:rsidRPr="00164238">
            <w:rPr>
              <w:rFonts w:ascii="Times New Roman" w:hAnsi="Times New Roman" w:cs="Times New Roman"/>
              <w:color w:val="000000" w:themeColor="text1"/>
              <w:sz w:val="20"/>
              <w:szCs w:val="20"/>
              <w:shd w:val="clear" w:color="auto" w:fill="FFFFFF"/>
            </w:rPr>
            <w:fldChar w:fldCharType="separate"/>
          </w:r>
          <w:r w:rsidRPr="00164238">
            <w:rPr>
              <w:rFonts w:ascii="Times New Roman" w:hAnsi="Times New Roman" w:cs="Times New Roman"/>
              <w:noProof/>
              <w:color w:val="000000" w:themeColor="text1"/>
              <w:sz w:val="20"/>
              <w:szCs w:val="20"/>
              <w:shd w:val="clear" w:color="auto" w:fill="FFFFFF"/>
            </w:rPr>
            <w:t>(OECD, 2021)</w:t>
          </w:r>
          <w:r w:rsidRPr="00164238">
            <w:rPr>
              <w:rFonts w:ascii="Times New Roman" w:hAnsi="Times New Roman" w:cs="Times New Roman"/>
              <w:color w:val="000000" w:themeColor="text1"/>
              <w:sz w:val="20"/>
              <w:szCs w:val="20"/>
              <w:shd w:val="clear" w:color="auto" w:fill="FFFFFF"/>
            </w:rPr>
            <w:fldChar w:fldCharType="end"/>
          </w:r>
        </w:sdtContent>
      </w:sdt>
      <w:r w:rsidRPr="00164238">
        <w:rPr>
          <w:rFonts w:ascii="Times New Roman" w:hAnsi="Times New Roman" w:cs="Times New Roman"/>
          <w:color w:val="000000" w:themeColor="text1"/>
          <w:sz w:val="20"/>
          <w:szCs w:val="20"/>
          <w:shd w:val="clear" w:color="auto" w:fill="FFFFFF"/>
        </w:rPr>
        <w:t>.</w:t>
      </w:r>
    </w:p>
    <w:p w14:paraId="38C18C99" w14:textId="77777777" w:rsidR="00522634" w:rsidRPr="00164238" w:rsidRDefault="00522634" w:rsidP="00522634">
      <w:pPr>
        <w:spacing w:before="120" w:after="120" w:line="276" w:lineRule="auto"/>
        <w:ind w:firstLine="706"/>
        <w:jc w:val="both"/>
        <w:rPr>
          <w:rFonts w:ascii="Times New Roman" w:hAnsi="Times New Roman" w:cs="Times New Roman"/>
          <w:color w:val="000000" w:themeColor="text1"/>
          <w:sz w:val="20"/>
          <w:szCs w:val="20"/>
          <w:shd w:val="clear" w:color="auto" w:fill="FFFFFF"/>
        </w:rPr>
      </w:pPr>
      <w:r w:rsidRPr="00164238">
        <w:rPr>
          <w:rFonts w:ascii="Times New Roman" w:hAnsi="Times New Roman" w:cs="Times New Roman"/>
          <w:color w:val="000000" w:themeColor="text1"/>
          <w:sz w:val="20"/>
          <w:szCs w:val="20"/>
          <w:shd w:val="clear" w:color="auto" w:fill="FFFFFF"/>
        </w:rPr>
        <w:t xml:space="preserve">Sağlık alanında ise fazla kilolu ve obez sınıflandırması içerisinde olan nüfusun toplam nüfusa oranı ile her 1000 kişi için tıp doktoru sayısı modelde yer almaktadır.  Fazla kilo ve obez nüfusun toplam nüfusa oranı hesaplanırken bireylerin vücut kitle endeksleri baz alınmıştır. Vücut kitle endeksine göre 25 ve üzere değere sahip olan bireyler fazla kilo kabul edilmiş, 30 ve üzeri değere sahip olan bireyler ise obezite dahilinde sınıflandırılmıştır. Özetlenirse, vücut kitle endeksi 25 ve üzeri olan nüfusun toplam nüfusa oranı fazla kilolu / obez olarak belirlenmiştir. Bir diğer sağlık göstergesi olarak ise her 1000 kişi için doktor sayısı modelde yer almaktadır. OECD üyesi bir ülke olmamasına rağmen ekonomik işbirliklerde önemli yere sahip olan Hindistan, her 1000 kişi için 0.8 doktor sayısı ile en düşük orana sahiptir. Ardında ise Türkiye 1000 kişi için 1.9 doktor sayısı ile OECD ortalamasında en düşük orana sahip bir diğer  ülke olmuştur. En yüksek orana sahip ilk üç ülke ise sırası ile Avusturya (5.2), Norveç (4.9)  ve Litvanya’dır (4.6). </w:t>
      </w:r>
    </w:p>
    <w:p w14:paraId="743B9A47" w14:textId="77777777" w:rsidR="00522634" w:rsidRPr="00164238" w:rsidRDefault="00522634" w:rsidP="00522634">
      <w:pPr>
        <w:spacing w:before="120" w:after="120" w:line="276" w:lineRule="auto"/>
        <w:ind w:firstLine="706"/>
        <w:jc w:val="both"/>
        <w:rPr>
          <w:rFonts w:ascii="Times New Roman" w:hAnsi="Times New Roman" w:cs="Times New Roman"/>
          <w:color w:val="000000" w:themeColor="text1"/>
          <w:sz w:val="20"/>
          <w:szCs w:val="20"/>
          <w:shd w:val="clear" w:color="auto" w:fill="FFFFFF"/>
        </w:rPr>
      </w:pPr>
      <w:r w:rsidRPr="00164238">
        <w:rPr>
          <w:rFonts w:ascii="Times New Roman" w:hAnsi="Times New Roman" w:cs="Times New Roman"/>
          <w:color w:val="000000" w:themeColor="text1"/>
          <w:sz w:val="20"/>
          <w:szCs w:val="20"/>
          <w:shd w:val="clear" w:color="auto" w:fill="FFFFFF"/>
        </w:rPr>
        <w:lastRenderedPageBreak/>
        <w:t>Yukarıda özetlenen faktörler ile OECD ülkelerinde 2020 yılı içerisinde Covid-19 bağlantılı olarak gerçeklesen ölümlerin arasındaki ilişkiyi analiz etmek için aşağıda yer alan regresyon kullanılmıştır.</w:t>
      </w:r>
    </w:p>
    <w:p w14:paraId="2D9A87AF" w14:textId="77777777" w:rsidR="00522634" w:rsidRPr="00164238" w:rsidRDefault="00E839E1" w:rsidP="00522634">
      <w:pPr>
        <w:spacing w:before="120" w:after="120" w:line="276" w:lineRule="auto"/>
        <w:ind w:firstLine="708"/>
        <w:jc w:val="both"/>
        <w:rPr>
          <w:rFonts w:ascii="Times New Roman" w:eastAsiaTheme="minorEastAsia" w:hAnsi="Times New Roman" w:cs="Times New Roman"/>
          <w:color w:val="000000" w:themeColor="text1"/>
          <w:sz w:val="20"/>
          <w:szCs w:val="20"/>
          <w:shd w:val="clear" w:color="auto" w:fill="FFFFFF"/>
        </w:rPr>
      </w:pPr>
      <m:oMath>
        <m:sSub>
          <m:sSubPr>
            <m:ctrlPr>
              <w:rPr>
                <w:rFonts w:ascii="Cambria Math" w:hAnsi="Cambria Math" w:cs="Times New Roman"/>
                <w:i/>
                <w:color w:val="000000" w:themeColor="text1"/>
                <w:sz w:val="20"/>
                <w:szCs w:val="20"/>
                <w:shd w:val="clear" w:color="auto" w:fill="FFFFFF"/>
              </w:rPr>
            </m:ctrlPr>
          </m:sSubPr>
          <m:e>
            <m:r>
              <w:rPr>
                <w:rFonts w:ascii="Cambria Math" w:hAnsi="Cambria Math" w:cs="Times New Roman"/>
                <w:color w:val="000000" w:themeColor="text1"/>
                <w:sz w:val="20"/>
                <w:szCs w:val="20"/>
                <w:shd w:val="clear" w:color="auto" w:fill="FFFFFF"/>
              </w:rPr>
              <m:t>C</m:t>
            </m:r>
          </m:e>
          <m:sub>
            <m:r>
              <w:rPr>
                <w:rFonts w:ascii="Cambria Math" w:hAnsi="Cambria Math" w:cs="Times New Roman"/>
                <w:color w:val="000000" w:themeColor="text1"/>
                <w:sz w:val="20"/>
                <w:szCs w:val="20"/>
                <w:shd w:val="clear" w:color="auto" w:fill="FFFFFF"/>
              </w:rPr>
              <m:t>i</m:t>
            </m:r>
          </m:sub>
        </m:sSub>
      </m:oMath>
      <w:r w:rsidR="00522634" w:rsidRPr="00164238">
        <w:rPr>
          <w:rFonts w:ascii="Times New Roman" w:hAnsi="Times New Roman" w:cs="Times New Roman"/>
          <w:color w:val="000000" w:themeColor="text1"/>
          <w:sz w:val="20"/>
          <w:szCs w:val="20"/>
          <w:shd w:val="clear" w:color="auto" w:fill="FFFFFF"/>
        </w:rPr>
        <w:t>=</w:t>
      </w:r>
      <m:oMath>
        <m:sSub>
          <m:sSubPr>
            <m:ctrlPr>
              <w:rPr>
                <w:rFonts w:ascii="Cambria Math" w:hAnsi="Cambria Math" w:cs="Times New Roman"/>
                <w:i/>
                <w:color w:val="000000" w:themeColor="text1"/>
                <w:sz w:val="20"/>
                <w:szCs w:val="20"/>
                <w:shd w:val="clear" w:color="auto" w:fill="FFFFFF"/>
              </w:rPr>
            </m:ctrlPr>
          </m:sSubPr>
          <m:e>
            <m:r>
              <w:rPr>
                <w:rFonts w:ascii="Cambria Math" w:hAnsi="Cambria Math" w:cs="Times New Roman"/>
                <w:color w:val="000000" w:themeColor="text1"/>
                <w:sz w:val="20"/>
                <w:szCs w:val="20"/>
                <w:shd w:val="clear" w:color="auto" w:fill="FFFFFF"/>
              </w:rPr>
              <m:t>β</m:t>
            </m:r>
          </m:e>
          <m:sub>
            <m:r>
              <w:rPr>
                <w:rFonts w:ascii="Cambria Math" w:hAnsi="Cambria Math" w:cs="Times New Roman"/>
                <w:color w:val="000000" w:themeColor="text1"/>
                <w:sz w:val="20"/>
                <w:szCs w:val="20"/>
                <w:shd w:val="clear" w:color="auto" w:fill="FFFFFF"/>
              </w:rPr>
              <m:t>0</m:t>
            </m:r>
          </m:sub>
        </m:sSub>
        <m:r>
          <w:rPr>
            <w:rFonts w:ascii="Cambria Math" w:hAnsi="Cambria Math" w:cs="Times New Roman"/>
            <w:color w:val="000000" w:themeColor="text1"/>
            <w:sz w:val="20"/>
            <w:szCs w:val="20"/>
            <w:shd w:val="clear" w:color="auto" w:fill="FFFFFF"/>
          </w:rPr>
          <m:t>+</m:t>
        </m:r>
        <m:sSub>
          <m:sSubPr>
            <m:ctrlPr>
              <w:rPr>
                <w:rFonts w:ascii="Cambria Math" w:hAnsi="Cambria Math" w:cs="Times New Roman"/>
                <w:i/>
                <w:color w:val="000000" w:themeColor="text1"/>
                <w:sz w:val="20"/>
                <w:szCs w:val="20"/>
                <w:shd w:val="clear" w:color="auto" w:fill="FFFFFF"/>
              </w:rPr>
            </m:ctrlPr>
          </m:sSubPr>
          <m:e>
            <m:r>
              <w:rPr>
                <w:rFonts w:ascii="Cambria Math" w:hAnsi="Cambria Math" w:cs="Times New Roman"/>
                <w:color w:val="000000" w:themeColor="text1"/>
                <w:sz w:val="20"/>
                <w:szCs w:val="20"/>
                <w:shd w:val="clear" w:color="auto" w:fill="FFFFFF"/>
              </w:rPr>
              <m:t>β</m:t>
            </m:r>
          </m:e>
          <m:sub>
            <m:r>
              <w:rPr>
                <w:rFonts w:ascii="Cambria Math" w:hAnsi="Cambria Math" w:cs="Times New Roman"/>
                <w:color w:val="000000" w:themeColor="text1"/>
                <w:sz w:val="20"/>
                <w:szCs w:val="20"/>
                <w:shd w:val="clear" w:color="auto" w:fill="FFFFFF"/>
              </w:rPr>
              <m:t>1</m:t>
            </m:r>
          </m:sub>
        </m:sSub>
        <m:sSub>
          <m:sSubPr>
            <m:ctrlPr>
              <w:rPr>
                <w:rFonts w:ascii="Cambria Math" w:hAnsi="Cambria Math" w:cs="Times New Roman"/>
                <w:i/>
                <w:color w:val="000000" w:themeColor="text1"/>
                <w:sz w:val="20"/>
                <w:szCs w:val="20"/>
                <w:shd w:val="clear" w:color="auto" w:fill="FFFFFF"/>
              </w:rPr>
            </m:ctrlPr>
          </m:sSubPr>
          <m:e>
            <m:r>
              <w:rPr>
                <w:rFonts w:ascii="Cambria Math" w:hAnsi="Cambria Math" w:cs="Times New Roman"/>
                <w:color w:val="000000" w:themeColor="text1"/>
                <w:sz w:val="20"/>
                <w:szCs w:val="20"/>
                <w:shd w:val="clear" w:color="auto" w:fill="FFFFFF"/>
              </w:rPr>
              <m:t>gdp</m:t>
            </m:r>
          </m:e>
          <m:sub>
            <m:r>
              <w:rPr>
                <w:rFonts w:ascii="Cambria Math" w:hAnsi="Cambria Math" w:cs="Times New Roman"/>
                <w:color w:val="000000" w:themeColor="text1"/>
                <w:sz w:val="20"/>
                <w:szCs w:val="20"/>
                <w:shd w:val="clear" w:color="auto" w:fill="FFFFFF"/>
              </w:rPr>
              <m:t>i</m:t>
            </m:r>
          </m:sub>
        </m:sSub>
        <m:r>
          <w:rPr>
            <w:rFonts w:ascii="Cambria Math" w:hAnsi="Cambria Math" w:cs="Times New Roman"/>
            <w:color w:val="000000" w:themeColor="text1"/>
            <w:sz w:val="20"/>
            <w:szCs w:val="20"/>
            <w:shd w:val="clear" w:color="auto" w:fill="FFFFFF"/>
          </w:rPr>
          <m:t>+</m:t>
        </m:r>
        <m:sSub>
          <m:sSubPr>
            <m:ctrlPr>
              <w:rPr>
                <w:rFonts w:ascii="Cambria Math" w:hAnsi="Cambria Math" w:cs="Times New Roman"/>
                <w:i/>
                <w:color w:val="000000" w:themeColor="text1"/>
                <w:sz w:val="20"/>
                <w:szCs w:val="20"/>
                <w:shd w:val="clear" w:color="auto" w:fill="FFFFFF"/>
              </w:rPr>
            </m:ctrlPr>
          </m:sSubPr>
          <m:e>
            <m:r>
              <w:rPr>
                <w:rFonts w:ascii="Cambria Math" w:hAnsi="Cambria Math" w:cs="Times New Roman"/>
                <w:color w:val="000000" w:themeColor="text1"/>
                <w:sz w:val="20"/>
                <w:szCs w:val="20"/>
                <w:shd w:val="clear" w:color="auto" w:fill="FFFFFF"/>
              </w:rPr>
              <m:t>β</m:t>
            </m:r>
          </m:e>
          <m:sub>
            <m:r>
              <w:rPr>
                <w:rFonts w:ascii="Cambria Math" w:hAnsi="Cambria Math" w:cs="Times New Roman"/>
                <w:color w:val="000000" w:themeColor="text1"/>
                <w:sz w:val="20"/>
                <w:szCs w:val="20"/>
                <w:shd w:val="clear" w:color="auto" w:fill="FFFFFF"/>
              </w:rPr>
              <m:t>2</m:t>
            </m:r>
          </m:sub>
        </m:sSub>
        <m:sSub>
          <m:sSubPr>
            <m:ctrlPr>
              <w:rPr>
                <w:rFonts w:ascii="Cambria Math" w:hAnsi="Cambria Math" w:cs="Times New Roman"/>
                <w:i/>
                <w:color w:val="000000" w:themeColor="text1"/>
                <w:sz w:val="20"/>
                <w:szCs w:val="20"/>
                <w:shd w:val="clear" w:color="auto" w:fill="FFFFFF"/>
              </w:rPr>
            </m:ctrlPr>
          </m:sSubPr>
          <m:e>
            <m:r>
              <w:rPr>
                <w:rFonts w:ascii="Cambria Math" w:hAnsi="Cambria Math" w:cs="Times New Roman"/>
                <w:color w:val="000000" w:themeColor="text1"/>
                <w:sz w:val="20"/>
                <w:szCs w:val="20"/>
                <w:shd w:val="clear" w:color="auto" w:fill="FFFFFF"/>
              </w:rPr>
              <m:t>gini</m:t>
            </m:r>
          </m:e>
          <m:sub>
            <m:r>
              <w:rPr>
                <w:rFonts w:ascii="Cambria Math" w:hAnsi="Cambria Math" w:cs="Times New Roman"/>
                <w:color w:val="000000" w:themeColor="text1"/>
                <w:sz w:val="20"/>
                <w:szCs w:val="20"/>
                <w:shd w:val="clear" w:color="auto" w:fill="FFFFFF"/>
              </w:rPr>
              <m:t>i</m:t>
            </m:r>
          </m:sub>
        </m:sSub>
        <m:r>
          <w:rPr>
            <w:rFonts w:ascii="Cambria Math" w:eastAsiaTheme="minorEastAsia" w:hAnsi="Cambria Math" w:cs="Times New Roman"/>
            <w:color w:val="000000" w:themeColor="text1"/>
            <w:sz w:val="20"/>
            <w:szCs w:val="20"/>
            <w:shd w:val="clear" w:color="auto" w:fill="FFFFFF"/>
          </w:rPr>
          <m:t>+</m:t>
        </m:r>
        <m:sSub>
          <m:sSubPr>
            <m:ctrlPr>
              <w:rPr>
                <w:rFonts w:ascii="Cambria Math" w:eastAsiaTheme="minorEastAsia" w:hAnsi="Cambria Math" w:cs="Times New Roman"/>
                <w:i/>
                <w:color w:val="000000" w:themeColor="text1"/>
                <w:sz w:val="20"/>
                <w:szCs w:val="20"/>
                <w:shd w:val="clear" w:color="auto" w:fill="FFFFFF"/>
              </w:rPr>
            </m:ctrlPr>
          </m:sSubPr>
          <m:e>
            <m:r>
              <w:rPr>
                <w:rFonts w:ascii="Cambria Math" w:eastAsiaTheme="minorEastAsia" w:hAnsi="Cambria Math" w:cs="Times New Roman"/>
                <w:color w:val="000000" w:themeColor="text1"/>
                <w:sz w:val="20"/>
                <w:szCs w:val="20"/>
                <w:shd w:val="clear" w:color="auto" w:fill="FFFFFF"/>
              </w:rPr>
              <m:t>β</m:t>
            </m:r>
          </m:e>
          <m:sub>
            <m:r>
              <w:rPr>
                <w:rFonts w:ascii="Cambria Math" w:eastAsiaTheme="minorEastAsia" w:hAnsi="Cambria Math" w:cs="Times New Roman"/>
                <w:color w:val="000000" w:themeColor="text1"/>
                <w:sz w:val="20"/>
                <w:szCs w:val="20"/>
                <w:shd w:val="clear" w:color="auto" w:fill="FFFFFF"/>
              </w:rPr>
              <m:t>3</m:t>
            </m:r>
          </m:sub>
        </m:sSub>
        <m:sSub>
          <m:sSubPr>
            <m:ctrlPr>
              <w:rPr>
                <w:rFonts w:ascii="Cambria Math" w:eastAsiaTheme="minorEastAsia" w:hAnsi="Cambria Math" w:cs="Times New Roman"/>
                <w:i/>
                <w:color w:val="000000" w:themeColor="text1"/>
                <w:sz w:val="20"/>
                <w:szCs w:val="20"/>
                <w:shd w:val="clear" w:color="auto" w:fill="FFFFFF"/>
              </w:rPr>
            </m:ctrlPr>
          </m:sSubPr>
          <m:e>
            <m:r>
              <w:rPr>
                <w:rFonts w:ascii="Cambria Math" w:eastAsiaTheme="minorEastAsia" w:hAnsi="Cambria Math" w:cs="Times New Roman"/>
                <w:color w:val="000000" w:themeColor="text1"/>
                <w:sz w:val="20"/>
                <w:szCs w:val="20"/>
                <w:shd w:val="clear" w:color="auto" w:fill="FFFFFF"/>
              </w:rPr>
              <m:t>hexp</m:t>
            </m:r>
          </m:e>
          <m:sub>
            <m:r>
              <w:rPr>
                <w:rFonts w:ascii="Cambria Math" w:eastAsiaTheme="minorEastAsia" w:hAnsi="Cambria Math" w:cs="Times New Roman"/>
                <w:color w:val="000000" w:themeColor="text1"/>
                <w:sz w:val="20"/>
                <w:szCs w:val="20"/>
                <w:shd w:val="clear" w:color="auto" w:fill="FFFFFF"/>
              </w:rPr>
              <m:t>i</m:t>
            </m:r>
          </m:sub>
        </m:sSub>
        <m:r>
          <w:rPr>
            <w:rFonts w:ascii="Cambria Math" w:eastAsiaTheme="minorEastAsia" w:hAnsi="Cambria Math" w:cs="Times New Roman"/>
            <w:color w:val="000000" w:themeColor="text1"/>
            <w:sz w:val="20"/>
            <w:szCs w:val="20"/>
            <w:shd w:val="clear" w:color="auto" w:fill="FFFFFF"/>
          </w:rPr>
          <m:t>+</m:t>
        </m:r>
        <m:sSub>
          <m:sSubPr>
            <m:ctrlPr>
              <w:rPr>
                <w:rFonts w:ascii="Cambria Math" w:eastAsiaTheme="minorEastAsia" w:hAnsi="Cambria Math" w:cs="Times New Roman"/>
                <w:i/>
                <w:color w:val="000000" w:themeColor="text1"/>
                <w:sz w:val="20"/>
                <w:szCs w:val="20"/>
                <w:shd w:val="clear" w:color="auto" w:fill="FFFFFF"/>
              </w:rPr>
            </m:ctrlPr>
          </m:sSubPr>
          <m:e>
            <m:r>
              <w:rPr>
                <w:rFonts w:ascii="Cambria Math" w:eastAsiaTheme="minorEastAsia" w:hAnsi="Cambria Math" w:cs="Times New Roman"/>
                <w:color w:val="000000" w:themeColor="text1"/>
                <w:sz w:val="20"/>
                <w:szCs w:val="20"/>
                <w:shd w:val="clear" w:color="auto" w:fill="FFFFFF"/>
              </w:rPr>
              <m:t>β</m:t>
            </m:r>
          </m:e>
          <m:sub>
            <m:r>
              <w:rPr>
                <w:rFonts w:ascii="Cambria Math" w:eastAsiaTheme="minorEastAsia" w:hAnsi="Cambria Math" w:cs="Times New Roman"/>
                <w:color w:val="000000" w:themeColor="text1"/>
                <w:sz w:val="20"/>
                <w:szCs w:val="20"/>
                <w:shd w:val="clear" w:color="auto" w:fill="FFFFFF"/>
              </w:rPr>
              <m:t>4</m:t>
            </m:r>
          </m:sub>
        </m:sSub>
        <m:sSub>
          <m:sSubPr>
            <m:ctrlPr>
              <w:rPr>
                <w:rFonts w:ascii="Cambria Math" w:eastAsiaTheme="minorEastAsia" w:hAnsi="Cambria Math" w:cs="Times New Roman"/>
                <w:i/>
                <w:color w:val="000000" w:themeColor="text1"/>
                <w:sz w:val="20"/>
                <w:szCs w:val="20"/>
                <w:shd w:val="clear" w:color="auto" w:fill="FFFFFF"/>
              </w:rPr>
            </m:ctrlPr>
          </m:sSubPr>
          <m:e>
            <m:r>
              <w:rPr>
                <w:rFonts w:ascii="Cambria Math" w:eastAsiaTheme="minorEastAsia" w:hAnsi="Cambria Math" w:cs="Times New Roman"/>
                <w:color w:val="000000" w:themeColor="text1"/>
                <w:sz w:val="20"/>
                <w:szCs w:val="20"/>
                <w:shd w:val="clear" w:color="auto" w:fill="FFFFFF"/>
              </w:rPr>
              <m:t>W</m:t>
            </m:r>
          </m:e>
          <m:sub>
            <m:r>
              <w:rPr>
                <w:rFonts w:ascii="Cambria Math" w:eastAsiaTheme="minorEastAsia" w:hAnsi="Cambria Math" w:cs="Times New Roman"/>
                <w:color w:val="000000" w:themeColor="text1"/>
                <w:sz w:val="20"/>
                <w:szCs w:val="20"/>
                <w:shd w:val="clear" w:color="auto" w:fill="FFFFFF"/>
              </w:rPr>
              <m:t>i</m:t>
            </m:r>
          </m:sub>
        </m:sSub>
        <m:r>
          <w:rPr>
            <w:rFonts w:ascii="Cambria Math" w:eastAsiaTheme="minorEastAsia" w:hAnsi="Cambria Math" w:cs="Times New Roman"/>
            <w:color w:val="000000" w:themeColor="text1"/>
            <w:sz w:val="20"/>
            <w:szCs w:val="20"/>
            <w:shd w:val="clear" w:color="auto" w:fill="FFFFFF"/>
          </w:rPr>
          <m:t>+</m:t>
        </m:r>
        <m:sSub>
          <m:sSubPr>
            <m:ctrlPr>
              <w:rPr>
                <w:rFonts w:ascii="Cambria Math" w:eastAsiaTheme="minorEastAsia" w:hAnsi="Cambria Math" w:cs="Times New Roman"/>
                <w:i/>
                <w:color w:val="000000" w:themeColor="text1"/>
                <w:sz w:val="20"/>
                <w:szCs w:val="20"/>
                <w:shd w:val="clear" w:color="auto" w:fill="FFFFFF"/>
              </w:rPr>
            </m:ctrlPr>
          </m:sSubPr>
          <m:e>
            <m:r>
              <w:rPr>
                <w:rFonts w:ascii="Cambria Math" w:eastAsiaTheme="minorEastAsia" w:hAnsi="Cambria Math" w:cs="Times New Roman"/>
                <w:color w:val="000000" w:themeColor="text1"/>
                <w:sz w:val="20"/>
                <w:szCs w:val="20"/>
                <w:shd w:val="clear" w:color="auto" w:fill="FFFFFF"/>
              </w:rPr>
              <m:t>β</m:t>
            </m:r>
          </m:e>
          <m:sub>
            <m:r>
              <w:rPr>
                <w:rFonts w:ascii="Cambria Math" w:eastAsiaTheme="minorEastAsia" w:hAnsi="Cambria Math" w:cs="Times New Roman"/>
                <w:color w:val="000000" w:themeColor="text1"/>
                <w:sz w:val="20"/>
                <w:szCs w:val="20"/>
                <w:shd w:val="clear" w:color="auto" w:fill="FFFFFF"/>
              </w:rPr>
              <m:t>5</m:t>
            </m:r>
          </m:sub>
        </m:sSub>
        <m:sSub>
          <m:sSubPr>
            <m:ctrlPr>
              <w:rPr>
                <w:rFonts w:ascii="Cambria Math" w:eastAsiaTheme="minorEastAsia" w:hAnsi="Cambria Math" w:cs="Times New Roman"/>
                <w:i/>
                <w:color w:val="000000" w:themeColor="text1"/>
                <w:sz w:val="20"/>
                <w:szCs w:val="20"/>
                <w:shd w:val="clear" w:color="auto" w:fill="FFFFFF"/>
              </w:rPr>
            </m:ctrlPr>
          </m:sSubPr>
          <m:e>
            <m:r>
              <w:rPr>
                <w:rFonts w:ascii="Cambria Math" w:eastAsiaTheme="minorEastAsia" w:hAnsi="Cambria Math" w:cs="Times New Roman"/>
                <w:color w:val="000000" w:themeColor="text1"/>
                <w:sz w:val="20"/>
                <w:szCs w:val="20"/>
                <w:shd w:val="clear" w:color="auto" w:fill="FFFFFF"/>
              </w:rPr>
              <m:t>Dr</m:t>
            </m:r>
          </m:e>
          <m:sub>
            <m:r>
              <w:rPr>
                <w:rFonts w:ascii="Cambria Math" w:eastAsiaTheme="minorEastAsia" w:hAnsi="Cambria Math" w:cs="Times New Roman"/>
                <w:color w:val="000000" w:themeColor="text1"/>
                <w:sz w:val="20"/>
                <w:szCs w:val="20"/>
                <w:shd w:val="clear" w:color="auto" w:fill="FFFFFF"/>
              </w:rPr>
              <m:t>i</m:t>
            </m:r>
          </m:sub>
        </m:sSub>
        <m:r>
          <w:rPr>
            <w:rFonts w:ascii="Cambria Math" w:eastAsiaTheme="minorEastAsia" w:hAnsi="Cambria Math" w:cs="Times New Roman"/>
            <w:color w:val="000000" w:themeColor="text1"/>
            <w:sz w:val="20"/>
            <w:szCs w:val="20"/>
            <w:shd w:val="clear" w:color="auto" w:fill="FFFFFF"/>
          </w:rPr>
          <m:t>+</m:t>
        </m:r>
        <m:sSub>
          <m:sSubPr>
            <m:ctrlPr>
              <w:rPr>
                <w:rFonts w:ascii="Cambria Math" w:eastAsiaTheme="minorEastAsia" w:hAnsi="Cambria Math" w:cs="Times New Roman"/>
                <w:i/>
                <w:color w:val="000000" w:themeColor="text1"/>
                <w:sz w:val="20"/>
                <w:szCs w:val="20"/>
                <w:shd w:val="clear" w:color="auto" w:fill="FFFFFF"/>
              </w:rPr>
            </m:ctrlPr>
          </m:sSubPr>
          <m:e>
            <m:r>
              <w:rPr>
                <w:rFonts w:ascii="Cambria Math" w:eastAsiaTheme="minorEastAsia" w:hAnsi="Cambria Math" w:cs="Times New Roman"/>
                <w:color w:val="000000" w:themeColor="text1"/>
                <w:sz w:val="20"/>
                <w:szCs w:val="20"/>
                <w:shd w:val="clear" w:color="auto" w:fill="FFFFFF"/>
              </w:rPr>
              <m:t>β</m:t>
            </m:r>
          </m:e>
          <m:sub>
            <m:r>
              <w:rPr>
                <w:rFonts w:ascii="Cambria Math" w:eastAsiaTheme="minorEastAsia" w:hAnsi="Cambria Math" w:cs="Times New Roman"/>
                <w:color w:val="000000" w:themeColor="text1"/>
                <w:sz w:val="20"/>
                <w:szCs w:val="20"/>
                <w:shd w:val="clear" w:color="auto" w:fill="FFFFFF"/>
              </w:rPr>
              <m:t>6</m:t>
            </m:r>
          </m:sub>
        </m:sSub>
        <m:sSub>
          <m:sSubPr>
            <m:ctrlPr>
              <w:rPr>
                <w:rFonts w:ascii="Cambria Math" w:eastAsiaTheme="minorEastAsia" w:hAnsi="Cambria Math" w:cs="Times New Roman"/>
                <w:i/>
                <w:color w:val="000000" w:themeColor="text1"/>
                <w:sz w:val="20"/>
                <w:szCs w:val="20"/>
                <w:shd w:val="clear" w:color="auto" w:fill="FFFFFF"/>
              </w:rPr>
            </m:ctrlPr>
          </m:sSubPr>
          <m:e>
            <m:r>
              <w:rPr>
                <w:rFonts w:ascii="Cambria Math" w:eastAsiaTheme="minorEastAsia" w:hAnsi="Cambria Math" w:cs="Times New Roman"/>
                <w:color w:val="000000" w:themeColor="text1"/>
                <w:sz w:val="20"/>
                <w:szCs w:val="20"/>
                <w:shd w:val="clear" w:color="auto" w:fill="FFFFFF"/>
              </w:rPr>
              <m:t>Issizlik</m:t>
            </m:r>
          </m:e>
          <m:sub>
            <m:r>
              <w:rPr>
                <w:rFonts w:ascii="Cambria Math" w:eastAsiaTheme="minorEastAsia" w:hAnsi="Cambria Math" w:cs="Times New Roman"/>
                <w:color w:val="000000" w:themeColor="text1"/>
                <w:sz w:val="20"/>
                <w:szCs w:val="20"/>
                <w:shd w:val="clear" w:color="auto" w:fill="FFFFFF"/>
              </w:rPr>
              <m:t>i</m:t>
            </m:r>
          </m:sub>
        </m:sSub>
        <m:r>
          <w:rPr>
            <w:rFonts w:ascii="Cambria Math" w:eastAsiaTheme="minorEastAsia" w:hAnsi="Cambria Math" w:cs="Times New Roman"/>
            <w:color w:val="000000" w:themeColor="text1"/>
            <w:sz w:val="20"/>
            <w:szCs w:val="20"/>
            <w:shd w:val="clear" w:color="auto" w:fill="FFFFFF"/>
          </w:rPr>
          <m:t>+</m:t>
        </m:r>
        <m:sSub>
          <m:sSubPr>
            <m:ctrlPr>
              <w:rPr>
                <w:rFonts w:ascii="Cambria Math" w:eastAsiaTheme="minorEastAsia" w:hAnsi="Cambria Math" w:cs="Times New Roman"/>
                <w:i/>
                <w:color w:val="000000" w:themeColor="text1"/>
                <w:sz w:val="20"/>
                <w:szCs w:val="20"/>
                <w:shd w:val="clear" w:color="auto" w:fill="FFFFFF"/>
              </w:rPr>
            </m:ctrlPr>
          </m:sSubPr>
          <m:e>
            <m:r>
              <w:rPr>
                <w:rFonts w:ascii="Cambria Math" w:eastAsiaTheme="minorEastAsia" w:hAnsi="Cambria Math" w:cs="Times New Roman"/>
                <w:color w:val="000000" w:themeColor="text1"/>
                <w:sz w:val="20"/>
                <w:szCs w:val="20"/>
                <w:shd w:val="clear" w:color="auto" w:fill="FFFFFF"/>
              </w:rPr>
              <m:t>u</m:t>
            </m:r>
          </m:e>
          <m:sub>
            <m:r>
              <w:rPr>
                <w:rFonts w:ascii="Cambria Math" w:eastAsiaTheme="minorEastAsia" w:hAnsi="Cambria Math" w:cs="Times New Roman"/>
                <w:color w:val="000000" w:themeColor="text1"/>
                <w:sz w:val="20"/>
                <w:szCs w:val="20"/>
                <w:shd w:val="clear" w:color="auto" w:fill="FFFFFF"/>
              </w:rPr>
              <m:t>i</m:t>
            </m:r>
          </m:sub>
        </m:sSub>
      </m:oMath>
    </w:p>
    <w:p w14:paraId="1C542203" w14:textId="77777777" w:rsidR="00522634" w:rsidRPr="00164238" w:rsidRDefault="00522634" w:rsidP="00522634">
      <w:pPr>
        <w:spacing w:before="120" w:after="120" w:line="276" w:lineRule="auto"/>
        <w:ind w:firstLine="708"/>
        <w:jc w:val="both"/>
        <w:rPr>
          <w:rFonts w:ascii="Times New Roman" w:eastAsiaTheme="minorEastAsia" w:hAnsi="Times New Roman" w:cs="Times New Roman"/>
          <w:color w:val="000000" w:themeColor="text1"/>
          <w:sz w:val="20"/>
          <w:szCs w:val="20"/>
          <w:shd w:val="clear" w:color="auto" w:fill="FFFFFF"/>
        </w:rPr>
      </w:pPr>
    </w:p>
    <w:p w14:paraId="62A993F8" w14:textId="77777777" w:rsidR="00522634" w:rsidRPr="00164238" w:rsidRDefault="00E839E1" w:rsidP="00522634">
      <w:pPr>
        <w:spacing w:before="120" w:after="120" w:line="276" w:lineRule="auto"/>
        <w:ind w:firstLine="706"/>
        <w:jc w:val="both"/>
        <w:rPr>
          <w:rFonts w:ascii="Times New Roman" w:eastAsiaTheme="minorEastAsia" w:hAnsi="Times New Roman" w:cs="Times New Roman"/>
          <w:color w:val="000000" w:themeColor="text1"/>
          <w:sz w:val="20"/>
          <w:szCs w:val="20"/>
          <w:shd w:val="clear" w:color="auto" w:fill="FFFFFF"/>
        </w:rPr>
      </w:pPr>
      <m:oMath>
        <m:sSub>
          <m:sSubPr>
            <m:ctrlPr>
              <w:rPr>
                <w:rFonts w:ascii="Cambria Math" w:hAnsi="Cambria Math" w:cs="Times New Roman"/>
                <w:i/>
                <w:color w:val="000000" w:themeColor="text1"/>
                <w:sz w:val="20"/>
                <w:szCs w:val="20"/>
                <w:shd w:val="clear" w:color="auto" w:fill="FFFFFF"/>
              </w:rPr>
            </m:ctrlPr>
          </m:sSubPr>
          <m:e>
            <m:r>
              <w:rPr>
                <w:rFonts w:ascii="Cambria Math" w:hAnsi="Cambria Math" w:cs="Times New Roman"/>
                <w:color w:val="000000" w:themeColor="text1"/>
                <w:sz w:val="20"/>
                <w:szCs w:val="20"/>
                <w:shd w:val="clear" w:color="auto" w:fill="FFFFFF"/>
              </w:rPr>
              <m:t>C</m:t>
            </m:r>
          </m:e>
          <m:sub>
            <m:r>
              <w:rPr>
                <w:rFonts w:ascii="Cambria Math" w:hAnsi="Cambria Math" w:cs="Times New Roman"/>
                <w:color w:val="000000" w:themeColor="text1"/>
                <w:sz w:val="20"/>
                <w:szCs w:val="20"/>
                <w:shd w:val="clear" w:color="auto" w:fill="FFFFFF"/>
              </w:rPr>
              <m:t>i</m:t>
            </m:r>
          </m:sub>
        </m:sSub>
      </m:oMath>
      <w:r w:rsidR="00522634" w:rsidRPr="00164238">
        <w:rPr>
          <w:rFonts w:ascii="Times New Roman" w:eastAsiaTheme="minorEastAsia" w:hAnsi="Times New Roman" w:cs="Times New Roman"/>
          <w:color w:val="000000" w:themeColor="text1"/>
          <w:sz w:val="20"/>
          <w:szCs w:val="20"/>
          <w:shd w:val="clear" w:color="auto" w:fill="FFFFFF"/>
        </w:rPr>
        <w:t xml:space="preserve"> bağ</w:t>
      </w:r>
      <w:r w:rsidR="00522634" w:rsidRPr="00164238">
        <w:rPr>
          <w:rFonts w:ascii="Times New Roman" w:hAnsi="Times New Roman" w:cs="Times New Roman"/>
          <w:color w:val="000000" w:themeColor="text1"/>
          <w:sz w:val="20"/>
          <w:szCs w:val="20"/>
          <w:shd w:val="clear" w:color="auto" w:fill="FFFFFF"/>
        </w:rPr>
        <w:t>ı</w:t>
      </w:r>
      <w:r w:rsidR="00522634" w:rsidRPr="00164238">
        <w:rPr>
          <w:rFonts w:ascii="Times New Roman" w:eastAsiaTheme="minorEastAsia" w:hAnsi="Times New Roman" w:cs="Times New Roman"/>
          <w:color w:val="000000" w:themeColor="text1"/>
          <w:sz w:val="20"/>
          <w:szCs w:val="20"/>
          <w:shd w:val="clear" w:color="auto" w:fill="FFFFFF"/>
        </w:rPr>
        <w:t>ml</w:t>
      </w:r>
      <w:r w:rsidR="00522634" w:rsidRPr="00164238">
        <w:rPr>
          <w:rFonts w:ascii="Times New Roman" w:hAnsi="Times New Roman" w:cs="Times New Roman"/>
          <w:color w:val="000000" w:themeColor="text1"/>
          <w:sz w:val="20"/>
          <w:szCs w:val="20"/>
          <w:shd w:val="clear" w:color="auto" w:fill="FFFFFF"/>
        </w:rPr>
        <w:t>ı</w:t>
      </w:r>
      <w:r w:rsidR="00522634" w:rsidRPr="00164238">
        <w:rPr>
          <w:rFonts w:ascii="Times New Roman" w:eastAsiaTheme="minorEastAsia" w:hAnsi="Times New Roman" w:cs="Times New Roman"/>
          <w:color w:val="000000" w:themeColor="text1"/>
          <w:sz w:val="20"/>
          <w:szCs w:val="20"/>
          <w:shd w:val="clear" w:color="auto" w:fill="FFFFFF"/>
        </w:rPr>
        <w:t xml:space="preserve"> değişken olarak eşitliğin sol tarafında yer almakta ve her bir milyon nüfus için Covid-19 ilişkili ölüm say</w:t>
      </w:r>
      <w:r w:rsidR="00522634" w:rsidRPr="00164238">
        <w:rPr>
          <w:rFonts w:ascii="Times New Roman" w:hAnsi="Times New Roman" w:cs="Times New Roman"/>
          <w:color w:val="000000" w:themeColor="text1"/>
          <w:sz w:val="20"/>
          <w:szCs w:val="20"/>
          <w:shd w:val="clear" w:color="auto" w:fill="FFFFFF"/>
        </w:rPr>
        <w:t>ı</w:t>
      </w:r>
      <w:r w:rsidR="00522634" w:rsidRPr="00164238">
        <w:rPr>
          <w:rFonts w:ascii="Times New Roman" w:eastAsiaTheme="minorEastAsia" w:hAnsi="Times New Roman" w:cs="Times New Roman"/>
          <w:color w:val="000000" w:themeColor="text1"/>
          <w:sz w:val="20"/>
          <w:szCs w:val="20"/>
          <w:shd w:val="clear" w:color="auto" w:fill="FFFFFF"/>
        </w:rPr>
        <w:t>s</w:t>
      </w:r>
      <w:r w:rsidR="00522634" w:rsidRPr="00164238">
        <w:rPr>
          <w:rFonts w:ascii="Times New Roman" w:hAnsi="Times New Roman" w:cs="Times New Roman"/>
          <w:color w:val="000000" w:themeColor="text1"/>
          <w:sz w:val="20"/>
          <w:szCs w:val="20"/>
          <w:shd w:val="clear" w:color="auto" w:fill="FFFFFF"/>
        </w:rPr>
        <w:t>ı</w:t>
      </w:r>
      <w:r w:rsidR="00522634" w:rsidRPr="00164238">
        <w:rPr>
          <w:rFonts w:ascii="Times New Roman" w:eastAsiaTheme="minorEastAsia" w:hAnsi="Times New Roman" w:cs="Times New Roman"/>
          <w:color w:val="000000" w:themeColor="text1"/>
          <w:sz w:val="20"/>
          <w:szCs w:val="20"/>
          <w:shd w:val="clear" w:color="auto" w:fill="FFFFFF"/>
        </w:rPr>
        <w:t>n</w:t>
      </w:r>
      <w:r w:rsidR="00522634" w:rsidRPr="00164238">
        <w:rPr>
          <w:rFonts w:ascii="Times New Roman" w:hAnsi="Times New Roman" w:cs="Times New Roman"/>
          <w:color w:val="000000" w:themeColor="text1"/>
          <w:sz w:val="20"/>
          <w:szCs w:val="20"/>
          <w:shd w:val="clear" w:color="auto" w:fill="FFFFFF"/>
        </w:rPr>
        <w:t>ı</w:t>
      </w:r>
      <w:r w:rsidR="00522634" w:rsidRPr="00164238">
        <w:rPr>
          <w:rFonts w:ascii="Times New Roman" w:eastAsiaTheme="minorEastAsia" w:hAnsi="Times New Roman" w:cs="Times New Roman"/>
          <w:color w:val="000000" w:themeColor="text1"/>
          <w:sz w:val="20"/>
          <w:szCs w:val="20"/>
          <w:shd w:val="clear" w:color="auto" w:fill="FFFFFF"/>
        </w:rPr>
        <w:t xml:space="preserve"> vermektedir. Ülkelerin hane halkı için gelir düzeyleri </w:t>
      </w:r>
      <m:oMath>
        <m:sSub>
          <m:sSubPr>
            <m:ctrlPr>
              <w:rPr>
                <w:rFonts w:ascii="Cambria Math" w:hAnsi="Cambria Math" w:cs="Times New Roman"/>
                <w:i/>
                <w:color w:val="000000" w:themeColor="text1"/>
                <w:sz w:val="20"/>
                <w:szCs w:val="20"/>
                <w:shd w:val="clear" w:color="auto" w:fill="FFFFFF"/>
              </w:rPr>
            </m:ctrlPr>
          </m:sSubPr>
          <m:e>
            <m:r>
              <w:rPr>
                <w:rFonts w:ascii="Cambria Math" w:hAnsi="Cambria Math" w:cs="Times New Roman"/>
                <w:color w:val="000000" w:themeColor="text1"/>
                <w:sz w:val="20"/>
                <w:szCs w:val="20"/>
                <w:shd w:val="clear" w:color="auto" w:fill="FFFFFF"/>
              </w:rPr>
              <m:t>gdp</m:t>
            </m:r>
          </m:e>
          <m:sub>
            <m:r>
              <w:rPr>
                <w:rFonts w:ascii="Cambria Math" w:hAnsi="Cambria Math" w:cs="Times New Roman"/>
                <w:color w:val="000000" w:themeColor="text1"/>
                <w:sz w:val="20"/>
                <w:szCs w:val="20"/>
                <w:shd w:val="clear" w:color="auto" w:fill="FFFFFF"/>
              </w:rPr>
              <m:t>i</m:t>
            </m:r>
          </m:sub>
        </m:sSub>
      </m:oMath>
      <w:r w:rsidR="00522634" w:rsidRPr="00164238">
        <w:rPr>
          <w:rFonts w:ascii="Times New Roman" w:eastAsiaTheme="minorEastAsia" w:hAnsi="Times New Roman" w:cs="Times New Roman"/>
          <w:color w:val="000000" w:themeColor="text1"/>
          <w:sz w:val="20"/>
          <w:szCs w:val="20"/>
          <w:shd w:val="clear" w:color="auto" w:fill="FFFFFF"/>
        </w:rPr>
        <w:t xml:space="preserve"> ile, gelir eşitsizliği istatistikleri  </w:t>
      </w:r>
      <m:oMath>
        <m:sSub>
          <m:sSubPr>
            <m:ctrlPr>
              <w:rPr>
                <w:rFonts w:ascii="Cambria Math" w:hAnsi="Cambria Math" w:cs="Times New Roman"/>
                <w:i/>
                <w:color w:val="000000" w:themeColor="text1"/>
                <w:sz w:val="20"/>
                <w:szCs w:val="20"/>
                <w:shd w:val="clear" w:color="auto" w:fill="FFFFFF"/>
              </w:rPr>
            </m:ctrlPr>
          </m:sSubPr>
          <m:e>
            <m:r>
              <w:rPr>
                <w:rFonts w:ascii="Cambria Math" w:hAnsi="Cambria Math" w:cs="Times New Roman"/>
                <w:color w:val="000000" w:themeColor="text1"/>
                <w:sz w:val="20"/>
                <w:szCs w:val="20"/>
                <w:shd w:val="clear" w:color="auto" w:fill="FFFFFF"/>
              </w:rPr>
              <m:t>gini</m:t>
            </m:r>
          </m:e>
          <m:sub>
            <m:r>
              <w:rPr>
                <w:rFonts w:ascii="Cambria Math" w:hAnsi="Cambria Math" w:cs="Times New Roman"/>
                <w:color w:val="000000" w:themeColor="text1"/>
                <w:sz w:val="20"/>
                <w:szCs w:val="20"/>
                <w:shd w:val="clear" w:color="auto" w:fill="FFFFFF"/>
              </w:rPr>
              <m:t>i</m:t>
            </m:r>
          </m:sub>
        </m:sSub>
      </m:oMath>
      <w:r w:rsidR="00522634" w:rsidRPr="00164238">
        <w:rPr>
          <w:rFonts w:ascii="Times New Roman" w:eastAsiaTheme="minorEastAsia" w:hAnsi="Times New Roman" w:cs="Times New Roman"/>
          <w:color w:val="000000" w:themeColor="text1"/>
          <w:sz w:val="20"/>
          <w:szCs w:val="20"/>
          <w:shd w:val="clear" w:color="auto" w:fill="FFFFFF"/>
        </w:rPr>
        <w:t xml:space="preserve"> ile, sağlık harcamaları (bireysel ve devlet)  </w:t>
      </w:r>
      <m:oMath>
        <m:sSub>
          <m:sSubPr>
            <m:ctrlPr>
              <w:rPr>
                <w:rFonts w:ascii="Cambria Math" w:eastAsiaTheme="minorEastAsia" w:hAnsi="Cambria Math" w:cs="Times New Roman"/>
                <w:i/>
                <w:color w:val="000000" w:themeColor="text1"/>
                <w:sz w:val="20"/>
                <w:szCs w:val="20"/>
                <w:shd w:val="clear" w:color="auto" w:fill="FFFFFF"/>
              </w:rPr>
            </m:ctrlPr>
          </m:sSubPr>
          <m:e>
            <m:r>
              <w:rPr>
                <w:rFonts w:ascii="Cambria Math" w:eastAsiaTheme="minorEastAsia" w:hAnsi="Cambria Math" w:cs="Times New Roman"/>
                <w:color w:val="000000" w:themeColor="text1"/>
                <w:sz w:val="20"/>
                <w:szCs w:val="20"/>
                <w:shd w:val="clear" w:color="auto" w:fill="FFFFFF"/>
              </w:rPr>
              <m:t>hexp</m:t>
            </m:r>
          </m:e>
          <m:sub>
            <m:r>
              <w:rPr>
                <w:rFonts w:ascii="Cambria Math" w:eastAsiaTheme="minorEastAsia" w:hAnsi="Cambria Math" w:cs="Times New Roman"/>
                <w:color w:val="000000" w:themeColor="text1"/>
                <w:sz w:val="20"/>
                <w:szCs w:val="20"/>
                <w:shd w:val="clear" w:color="auto" w:fill="FFFFFF"/>
              </w:rPr>
              <m:t>i</m:t>
            </m:r>
          </m:sub>
        </m:sSub>
      </m:oMath>
      <w:r w:rsidR="00522634" w:rsidRPr="00164238">
        <w:rPr>
          <w:rFonts w:ascii="Times New Roman" w:eastAsiaTheme="minorEastAsia" w:hAnsi="Times New Roman" w:cs="Times New Roman"/>
          <w:color w:val="000000" w:themeColor="text1"/>
          <w:sz w:val="20"/>
          <w:szCs w:val="20"/>
          <w:shd w:val="clear" w:color="auto" w:fill="FFFFFF"/>
        </w:rPr>
        <w:t xml:space="preserve"> ile, fazla kilolu ve obez nüfusun orani </w:t>
      </w:r>
      <m:oMath>
        <m:sSub>
          <m:sSubPr>
            <m:ctrlPr>
              <w:rPr>
                <w:rFonts w:ascii="Cambria Math" w:eastAsiaTheme="minorEastAsia" w:hAnsi="Cambria Math" w:cs="Times New Roman"/>
                <w:i/>
                <w:color w:val="000000" w:themeColor="text1"/>
                <w:sz w:val="20"/>
                <w:szCs w:val="20"/>
                <w:shd w:val="clear" w:color="auto" w:fill="FFFFFF"/>
              </w:rPr>
            </m:ctrlPr>
          </m:sSubPr>
          <m:e>
            <m:r>
              <w:rPr>
                <w:rFonts w:ascii="Cambria Math" w:eastAsiaTheme="minorEastAsia" w:hAnsi="Cambria Math" w:cs="Times New Roman"/>
                <w:color w:val="000000" w:themeColor="text1"/>
                <w:sz w:val="20"/>
                <w:szCs w:val="20"/>
                <w:shd w:val="clear" w:color="auto" w:fill="FFFFFF"/>
              </w:rPr>
              <m:t>W</m:t>
            </m:r>
          </m:e>
          <m:sub>
            <m:r>
              <w:rPr>
                <w:rFonts w:ascii="Cambria Math" w:eastAsiaTheme="minorEastAsia" w:hAnsi="Cambria Math" w:cs="Times New Roman"/>
                <w:color w:val="000000" w:themeColor="text1"/>
                <w:sz w:val="20"/>
                <w:szCs w:val="20"/>
                <w:shd w:val="clear" w:color="auto" w:fill="FFFFFF"/>
              </w:rPr>
              <m:t>i</m:t>
            </m:r>
          </m:sub>
        </m:sSub>
      </m:oMath>
      <w:r w:rsidR="00522634" w:rsidRPr="00164238">
        <w:rPr>
          <w:rFonts w:ascii="Times New Roman" w:eastAsiaTheme="minorEastAsia" w:hAnsi="Times New Roman" w:cs="Times New Roman"/>
          <w:color w:val="000000" w:themeColor="text1"/>
          <w:sz w:val="20"/>
          <w:szCs w:val="20"/>
          <w:shd w:val="clear" w:color="auto" w:fill="FFFFFF"/>
        </w:rPr>
        <w:t xml:space="preserve"> ile ve her 1000 kisi için doktor sayisi </w:t>
      </w:r>
      <m:oMath>
        <m:sSub>
          <m:sSubPr>
            <m:ctrlPr>
              <w:rPr>
                <w:rFonts w:ascii="Cambria Math" w:eastAsiaTheme="minorEastAsia" w:hAnsi="Cambria Math" w:cs="Times New Roman"/>
                <w:i/>
                <w:color w:val="000000" w:themeColor="text1"/>
                <w:sz w:val="20"/>
                <w:szCs w:val="20"/>
                <w:shd w:val="clear" w:color="auto" w:fill="FFFFFF"/>
              </w:rPr>
            </m:ctrlPr>
          </m:sSubPr>
          <m:e>
            <m:r>
              <w:rPr>
                <w:rFonts w:ascii="Cambria Math" w:eastAsiaTheme="minorEastAsia" w:hAnsi="Cambria Math" w:cs="Times New Roman"/>
                <w:color w:val="000000" w:themeColor="text1"/>
                <w:sz w:val="20"/>
                <w:szCs w:val="20"/>
                <w:shd w:val="clear" w:color="auto" w:fill="FFFFFF"/>
              </w:rPr>
              <m:t>Dr</m:t>
            </m:r>
          </m:e>
          <m:sub>
            <m:r>
              <w:rPr>
                <w:rFonts w:ascii="Cambria Math" w:eastAsiaTheme="minorEastAsia" w:hAnsi="Cambria Math" w:cs="Times New Roman"/>
                <w:color w:val="000000" w:themeColor="text1"/>
                <w:sz w:val="20"/>
                <w:szCs w:val="20"/>
                <w:shd w:val="clear" w:color="auto" w:fill="FFFFFF"/>
              </w:rPr>
              <m:t>i</m:t>
            </m:r>
          </m:sub>
        </m:sSub>
      </m:oMath>
      <w:r w:rsidR="00522634" w:rsidRPr="00164238">
        <w:rPr>
          <w:rFonts w:ascii="Times New Roman" w:eastAsiaTheme="minorEastAsia" w:hAnsi="Times New Roman" w:cs="Times New Roman"/>
          <w:color w:val="000000" w:themeColor="text1"/>
          <w:sz w:val="20"/>
          <w:szCs w:val="20"/>
          <w:shd w:val="clear" w:color="auto" w:fill="FFFFFF"/>
        </w:rPr>
        <w:t xml:space="preserve"> ile gösterilmiştir. </w:t>
      </w:r>
      <m:oMath>
        <m:sSub>
          <m:sSubPr>
            <m:ctrlPr>
              <w:rPr>
                <w:rFonts w:ascii="Cambria Math" w:eastAsiaTheme="minorEastAsia" w:hAnsi="Cambria Math" w:cs="Times New Roman"/>
                <w:i/>
                <w:color w:val="000000" w:themeColor="text1"/>
                <w:sz w:val="20"/>
                <w:szCs w:val="20"/>
                <w:shd w:val="clear" w:color="auto" w:fill="FFFFFF"/>
              </w:rPr>
            </m:ctrlPr>
          </m:sSubPr>
          <m:e>
            <m:r>
              <w:rPr>
                <w:rFonts w:ascii="Cambria Math" w:eastAsiaTheme="minorEastAsia" w:hAnsi="Cambria Math" w:cs="Times New Roman"/>
                <w:color w:val="000000" w:themeColor="text1"/>
                <w:sz w:val="20"/>
                <w:szCs w:val="20"/>
                <w:shd w:val="clear" w:color="auto" w:fill="FFFFFF"/>
              </w:rPr>
              <m:t>Issizlik</m:t>
            </m:r>
          </m:e>
          <m:sub>
            <m:r>
              <w:rPr>
                <w:rFonts w:ascii="Cambria Math" w:eastAsiaTheme="minorEastAsia" w:hAnsi="Cambria Math" w:cs="Times New Roman"/>
                <w:color w:val="000000" w:themeColor="text1"/>
                <w:sz w:val="20"/>
                <w:szCs w:val="20"/>
                <w:shd w:val="clear" w:color="auto" w:fill="FFFFFF"/>
              </w:rPr>
              <m:t>i</m:t>
            </m:r>
          </m:sub>
        </m:sSub>
      </m:oMath>
      <w:r w:rsidR="00522634" w:rsidRPr="00164238">
        <w:rPr>
          <w:rFonts w:ascii="Times New Roman" w:eastAsiaTheme="minorEastAsia" w:hAnsi="Times New Roman" w:cs="Times New Roman"/>
          <w:color w:val="000000" w:themeColor="text1"/>
          <w:sz w:val="20"/>
          <w:szCs w:val="20"/>
          <w:shd w:val="clear" w:color="auto" w:fill="FFFFFF"/>
        </w:rPr>
        <w:t xml:space="preserve"> değişkeni ise OECD ülkelerinde görülen işsizlik oranlarını göstermektedir.</w:t>
      </w:r>
    </w:p>
    <w:p w14:paraId="1E9E8ADB" w14:textId="77777777" w:rsidR="00522634" w:rsidRPr="00164238" w:rsidRDefault="00522634" w:rsidP="00522634">
      <w:pPr>
        <w:spacing w:before="120" w:after="120" w:line="276" w:lineRule="auto"/>
        <w:ind w:firstLine="706"/>
        <w:jc w:val="both"/>
        <w:rPr>
          <w:rFonts w:ascii="Times New Roman" w:eastAsiaTheme="minorEastAsia" w:hAnsi="Times New Roman" w:cs="Times New Roman"/>
          <w:color w:val="000000" w:themeColor="text1"/>
          <w:sz w:val="20"/>
          <w:szCs w:val="20"/>
          <w:shd w:val="clear" w:color="auto" w:fill="FFFFFF"/>
        </w:rPr>
      </w:pPr>
      <w:r w:rsidRPr="00164238">
        <w:rPr>
          <w:rFonts w:ascii="Times New Roman" w:eastAsiaTheme="minorEastAsia" w:hAnsi="Times New Roman" w:cs="Times New Roman"/>
          <w:color w:val="000000" w:themeColor="text1"/>
          <w:sz w:val="20"/>
          <w:szCs w:val="20"/>
          <w:shd w:val="clear" w:color="auto" w:fill="FFFFFF"/>
        </w:rPr>
        <w:t>Çalışmanın ikinci kısmında ise modelde yer alan bağımsız değişkenlerin işsizlik oranları üzerine etkisi aynı ekonometrik yaklaşımlar benimsenerek analiz edilmiştir.</w:t>
      </w:r>
    </w:p>
    <w:p w14:paraId="4341AD67" w14:textId="77777777" w:rsidR="00522634" w:rsidRPr="00164238" w:rsidRDefault="00E839E1" w:rsidP="00522634">
      <w:pPr>
        <w:spacing w:before="120" w:after="120" w:line="276" w:lineRule="auto"/>
        <w:ind w:firstLine="708"/>
        <w:jc w:val="both"/>
        <w:rPr>
          <w:rFonts w:ascii="Times New Roman" w:eastAsiaTheme="minorEastAsia" w:hAnsi="Times New Roman" w:cs="Times New Roman"/>
          <w:color w:val="000000" w:themeColor="text1"/>
          <w:sz w:val="20"/>
          <w:szCs w:val="20"/>
          <w:shd w:val="clear" w:color="auto" w:fill="FFFFFF"/>
        </w:rPr>
      </w:pPr>
      <m:oMath>
        <m:sSub>
          <m:sSubPr>
            <m:ctrlPr>
              <w:rPr>
                <w:rFonts w:ascii="Cambria Math" w:hAnsi="Cambria Math" w:cs="Times New Roman"/>
                <w:i/>
                <w:color w:val="000000" w:themeColor="text1"/>
                <w:sz w:val="20"/>
                <w:szCs w:val="20"/>
                <w:shd w:val="clear" w:color="auto" w:fill="FFFFFF"/>
              </w:rPr>
            </m:ctrlPr>
          </m:sSubPr>
          <m:e>
            <m:r>
              <w:rPr>
                <w:rFonts w:ascii="Cambria Math" w:hAnsi="Cambria Math" w:cs="Times New Roman"/>
                <w:color w:val="000000" w:themeColor="text1"/>
                <w:sz w:val="20"/>
                <w:szCs w:val="20"/>
                <w:shd w:val="clear" w:color="auto" w:fill="FFFFFF"/>
              </w:rPr>
              <m:t>Issizlik</m:t>
            </m:r>
          </m:e>
          <m:sub>
            <m:r>
              <w:rPr>
                <w:rFonts w:ascii="Cambria Math" w:hAnsi="Cambria Math" w:cs="Times New Roman"/>
                <w:color w:val="000000" w:themeColor="text1"/>
                <w:sz w:val="20"/>
                <w:szCs w:val="20"/>
                <w:shd w:val="clear" w:color="auto" w:fill="FFFFFF"/>
              </w:rPr>
              <m:t>i</m:t>
            </m:r>
          </m:sub>
        </m:sSub>
      </m:oMath>
      <w:r w:rsidR="00522634" w:rsidRPr="00164238">
        <w:rPr>
          <w:rFonts w:ascii="Times New Roman" w:hAnsi="Times New Roman" w:cs="Times New Roman"/>
          <w:color w:val="000000" w:themeColor="text1"/>
          <w:sz w:val="20"/>
          <w:szCs w:val="20"/>
          <w:shd w:val="clear" w:color="auto" w:fill="FFFFFF"/>
        </w:rPr>
        <w:t>=</w:t>
      </w:r>
      <m:oMath>
        <m:sSub>
          <m:sSubPr>
            <m:ctrlPr>
              <w:rPr>
                <w:rFonts w:ascii="Cambria Math" w:hAnsi="Cambria Math" w:cs="Times New Roman"/>
                <w:i/>
                <w:color w:val="000000" w:themeColor="text1"/>
                <w:sz w:val="20"/>
                <w:szCs w:val="20"/>
                <w:shd w:val="clear" w:color="auto" w:fill="FFFFFF"/>
              </w:rPr>
            </m:ctrlPr>
          </m:sSubPr>
          <m:e>
            <m:r>
              <w:rPr>
                <w:rFonts w:ascii="Cambria Math" w:hAnsi="Cambria Math" w:cs="Times New Roman"/>
                <w:color w:val="000000" w:themeColor="text1"/>
                <w:sz w:val="20"/>
                <w:szCs w:val="20"/>
                <w:shd w:val="clear" w:color="auto" w:fill="FFFFFF"/>
              </w:rPr>
              <m:t>β</m:t>
            </m:r>
          </m:e>
          <m:sub>
            <m:r>
              <w:rPr>
                <w:rFonts w:ascii="Cambria Math" w:hAnsi="Cambria Math" w:cs="Times New Roman"/>
                <w:color w:val="000000" w:themeColor="text1"/>
                <w:sz w:val="20"/>
                <w:szCs w:val="20"/>
                <w:shd w:val="clear" w:color="auto" w:fill="FFFFFF"/>
              </w:rPr>
              <m:t>0</m:t>
            </m:r>
          </m:sub>
        </m:sSub>
        <m:r>
          <w:rPr>
            <w:rFonts w:ascii="Cambria Math" w:hAnsi="Cambria Math" w:cs="Times New Roman"/>
            <w:color w:val="000000" w:themeColor="text1"/>
            <w:sz w:val="20"/>
            <w:szCs w:val="20"/>
            <w:shd w:val="clear" w:color="auto" w:fill="FFFFFF"/>
          </w:rPr>
          <m:t>+</m:t>
        </m:r>
        <m:sSub>
          <m:sSubPr>
            <m:ctrlPr>
              <w:rPr>
                <w:rFonts w:ascii="Cambria Math" w:hAnsi="Cambria Math" w:cs="Times New Roman"/>
                <w:i/>
                <w:color w:val="000000" w:themeColor="text1"/>
                <w:sz w:val="20"/>
                <w:szCs w:val="20"/>
                <w:shd w:val="clear" w:color="auto" w:fill="FFFFFF"/>
              </w:rPr>
            </m:ctrlPr>
          </m:sSubPr>
          <m:e>
            <m:r>
              <w:rPr>
                <w:rFonts w:ascii="Cambria Math" w:hAnsi="Cambria Math" w:cs="Times New Roman"/>
                <w:color w:val="000000" w:themeColor="text1"/>
                <w:sz w:val="20"/>
                <w:szCs w:val="20"/>
                <w:shd w:val="clear" w:color="auto" w:fill="FFFFFF"/>
              </w:rPr>
              <m:t>β</m:t>
            </m:r>
          </m:e>
          <m:sub>
            <m:r>
              <w:rPr>
                <w:rFonts w:ascii="Cambria Math" w:hAnsi="Cambria Math" w:cs="Times New Roman"/>
                <w:color w:val="000000" w:themeColor="text1"/>
                <w:sz w:val="20"/>
                <w:szCs w:val="20"/>
                <w:shd w:val="clear" w:color="auto" w:fill="FFFFFF"/>
              </w:rPr>
              <m:t>1</m:t>
            </m:r>
          </m:sub>
        </m:sSub>
        <m:sSub>
          <m:sSubPr>
            <m:ctrlPr>
              <w:rPr>
                <w:rFonts w:ascii="Cambria Math" w:hAnsi="Cambria Math" w:cs="Times New Roman"/>
                <w:i/>
                <w:color w:val="000000" w:themeColor="text1"/>
                <w:sz w:val="20"/>
                <w:szCs w:val="20"/>
                <w:shd w:val="clear" w:color="auto" w:fill="FFFFFF"/>
              </w:rPr>
            </m:ctrlPr>
          </m:sSubPr>
          <m:e>
            <m:r>
              <w:rPr>
                <w:rFonts w:ascii="Cambria Math" w:hAnsi="Cambria Math" w:cs="Times New Roman"/>
                <w:color w:val="000000" w:themeColor="text1"/>
                <w:sz w:val="20"/>
                <w:szCs w:val="20"/>
                <w:shd w:val="clear" w:color="auto" w:fill="FFFFFF"/>
              </w:rPr>
              <m:t>gdp</m:t>
            </m:r>
          </m:e>
          <m:sub>
            <m:r>
              <w:rPr>
                <w:rFonts w:ascii="Cambria Math" w:hAnsi="Cambria Math" w:cs="Times New Roman"/>
                <w:color w:val="000000" w:themeColor="text1"/>
                <w:sz w:val="20"/>
                <w:szCs w:val="20"/>
                <w:shd w:val="clear" w:color="auto" w:fill="FFFFFF"/>
              </w:rPr>
              <m:t>i</m:t>
            </m:r>
          </m:sub>
        </m:sSub>
        <m:r>
          <w:rPr>
            <w:rFonts w:ascii="Cambria Math" w:hAnsi="Cambria Math" w:cs="Times New Roman"/>
            <w:color w:val="000000" w:themeColor="text1"/>
            <w:sz w:val="20"/>
            <w:szCs w:val="20"/>
            <w:shd w:val="clear" w:color="auto" w:fill="FFFFFF"/>
          </w:rPr>
          <m:t>+</m:t>
        </m:r>
        <m:sSub>
          <m:sSubPr>
            <m:ctrlPr>
              <w:rPr>
                <w:rFonts w:ascii="Cambria Math" w:hAnsi="Cambria Math" w:cs="Times New Roman"/>
                <w:i/>
                <w:color w:val="000000" w:themeColor="text1"/>
                <w:sz w:val="20"/>
                <w:szCs w:val="20"/>
                <w:shd w:val="clear" w:color="auto" w:fill="FFFFFF"/>
              </w:rPr>
            </m:ctrlPr>
          </m:sSubPr>
          <m:e>
            <m:r>
              <w:rPr>
                <w:rFonts w:ascii="Cambria Math" w:hAnsi="Cambria Math" w:cs="Times New Roman"/>
                <w:color w:val="000000" w:themeColor="text1"/>
                <w:sz w:val="20"/>
                <w:szCs w:val="20"/>
                <w:shd w:val="clear" w:color="auto" w:fill="FFFFFF"/>
              </w:rPr>
              <m:t>β</m:t>
            </m:r>
          </m:e>
          <m:sub>
            <m:r>
              <w:rPr>
                <w:rFonts w:ascii="Cambria Math" w:hAnsi="Cambria Math" w:cs="Times New Roman"/>
                <w:color w:val="000000" w:themeColor="text1"/>
                <w:sz w:val="20"/>
                <w:szCs w:val="20"/>
                <w:shd w:val="clear" w:color="auto" w:fill="FFFFFF"/>
              </w:rPr>
              <m:t>2</m:t>
            </m:r>
          </m:sub>
        </m:sSub>
        <m:sSub>
          <m:sSubPr>
            <m:ctrlPr>
              <w:rPr>
                <w:rFonts w:ascii="Cambria Math" w:hAnsi="Cambria Math" w:cs="Times New Roman"/>
                <w:i/>
                <w:color w:val="000000" w:themeColor="text1"/>
                <w:sz w:val="20"/>
                <w:szCs w:val="20"/>
                <w:shd w:val="clear" w:color="auto" w:fill="FFFFFF"/>
              </w:rPr>
            </m:ctrlPr>
          </m:sSubPr>
          <m:e>
            <m:r>
              <w:rPr>
                <w:rFonts w:ascii="Cambria Math" w:hAnsi="Cambria Math" w:cs="Times New Roman"/>
                <w:color w:val="000000" w:themeColor="text1"/>
                <w:sz w:val="20"/>
                <w:szCs w:val="20"/>
                <w:shd w:val="clear" w:color="auto" w:fill="FFFFFF"/>
              </w:rPr>
              <m:t>gini</m:t>
            </m:r>
          </m:e>
          <m:sub>
            <m:r>
              <w:rPr>
                <w:rFonts w:ascii="Cambria Math" w:hAnsi="Cambria Math" w:cs="Times New Roman"/>
                <w:color w:val="000000" w:themeColor="text1"/>
                <w:sz w:val="20"/>
                <w:szCs w:val="20"/>
                <w:shd w:val="clear" w:color="auto" w:fill="FFFFFF"/>
              </w:rPr>
              <m:t>i</m:t>
            </m:r>
          </m:sub>
        </m:sSub>
        <m:r>
          <w:rPr>
            <w:rFonts w:ascii="Cambria Math" w:eastAsiaTheme="minorEastAsia" w:hAnsi="Cambria Math" w:cs="Times New Roman"/>
            <w:color w:val="000000" w:themeColor="text1"/>
            <w:sz w:val="20"/>
            <w:szCs w:val="20"/>
            <w:shd w:val="clear" w:color="auto" w:fill="FFFFFF"/>
          </w:rPr>
          <m:t>+</m:t>
        </m:r>
        <m:sSub>
          <m:sSubPr>
            <m:ctrlPr>
              <w:rPr>
                <w:rFonts w:ascii="Cambria Math" w:eastAsiaTheme="minorEastAsia" w:hAnsi="Cambria Math" w:cs="Times New Roman"/>
                <w:i/>
                <w:color w:val="000000" w:themeColor="text1"/>
                <w:sz w:val="20"/>
                <w:szCs w:val="20"/>
                <w:shd w:val="clear" w:color="auto" w:fill="FFFFFF"/>
              </w:rPr>
            </m:ctrlPr>
          </m:sSubPr>
          <m:e>
            <m:r>
              <w:rPr>
                <w:rFonts w:ascii="Cambria Math" w:eastAsiaTheme="minorEastAsia" w:hAnsi="Cambria Math" w:cs="Times New Roman"/>
                <w:color w:val="000000" w:themeColor="text1"/>
                <w:sz w:val="20"/>
                <w:szCs w:val="20"/>
                <w:shd w:val="clear" w:color="auto" w:fill="FFFFFF"/>
              </w:rPr>
              <m:t>β</m:t>
            </m:r>
          </m:e>
          <m:sub>
            <m:r>
              <w:rPr>
                <w:rFonts w:ascii="Cambria Math" w:eastAsiaTheme="minorEastAsia" w:hAnsi="Cambria Math" w:cs="Times New Roman"/>
                <w:color w:val="000000" w:themeColor="text1"/>
                <w:sz w:val="20"/>
                <w:szCs w:val="20"/>
                <w:shd w:val="clear" w:color="auto" w:fill="FFFFFF"/>
              </w:rPr>
              <m:t>3</m:t>
            </m:r>
          </m:sub>
        </m:sSub>
        <m:sSub>
          <m:sSubPr>
            <m:ctrlPr>
              <w:rPr>
                <w:rFonts w:ascii="Cambria Math" w:eastAsiaTheme="minorEastAsia" w:hAnsi="Cambria Math" w:cs="Times New Roman"/>
                <w:i/>
                <w:color w:val="000000" w:themeColor="text1"/>
                <w:sz w:val="20"/>
                <w:szCs w:val="20"/>
                <w:shd w:val="clear" w:color="auto" w:fill="FFFFFF"/>
              </w:rPr>
            </m:ctrlPr>
          </m:sSubPr>
          <m:e>
            <m:r>
              <w:rPr>
                <w:rFonts w:ascii="Cambria Math" w:eastAsiaTheme="minorEastAsia" w:hAnsi="Cambria Math" w:cs="Times New Roman"/>
                <w:color w:val="000000" w:themeColor="text1"/>
                <w:sz w:val="20"/>
                <w:szCs w:val="20"/>
                <w:shd w:val="clear" w:color="auto" w:fill="FFFFFF"/>
              </w:rPr>
              <m:t>hexp</m:t>
            </m:r>
          </m:e>
          <m:sub>
            <m:r>
              <w:rPr>
                <w:rFonts w:ascii="Cambria Math" w:eastAsiaTheme="minorEastAsia" w:hAnsi="Cambria Math" w:cs="Times New Roman"/>
                <w:color w:val="000000" w:themeColor="text1"/>
                <w:sz w:val="20"/>
                <w:szCs w:val="20"/>
                <w:shd w:val="clear" w:color="auto" w:fill="FFFFFF"/>
              </w:rPr>
              <m:t>i</m:t>
            </m:r>
          </m:sub>
        </m:sSub>
        <m:r>
          <w:rPr>
            <w:rFonts w:ascii="Cambria Math" w:eastAsiaTheme="minorEastAsia" w:hAnsi="Cambria Math" w:cs="Times New Roman"/>
            <w:color w:val="000000" w:themeColor="text1"/>
            <w:sz w:val="20"/>
            <w:szCs w:val="20"/>
            <w:shd w:val="clear" w:color="auto" w:fill="FFFFFF"/>
          </w:rPr>
          <m:t>+</m:t>
        </m:r>
        <m:sSub>
          <m:sSubPr>
            <m:ctrlPr>
              <w:rPr>
                <w:rFonts w:ascii="Cambria Math" w:eastAsiaTheme="minorEastAsia" w:hAnsi="Cambria Math" w:cs="Times New Roman"/>
                <w:i/>
                <w:color w:val="000000" w:themeColor="text1"/>
                <w:sz w:val="20"/>
                <w:szCs w:val="20"/>
                <w:shd w:val="clear" w:color="auto" w:fill="FFFFFF"/>
              </w:rPr>
            </m:ctrlPr>
          </m:sSubPr>
          <m:e>
            <m:r>
              <w:rPr>
                <w:rFonts w:ascii="Cambria Math" w:eastAsiaTheme="minorEastAsia" w:hAnsi="Cambria Math" w:cs="Times New Roman"/>
                <w:color w:val="000000" w:themeColor="text1"/>
                <w:sz w:val="20"/>
                <w:szCs w:val="20"/>
                <w:shd w:val="clear" w:color="auto" w:fill="FFFFFF"/>
              </w:rPr>
              <m:t>β</m:t>
            </m:r>
          </m:e>
          <m:sub>
            <m:r>
              <w:rPr>
                <w:rFonts w:ascii="Cambria Math" w:eastAsiaTheme="minorEastAsia" w:hAnsi="Cambria Math" w:cs="Times New Roman"/>
                <w:color w:val="000000" w:themeColor="text1"/>
                <w:sz w:val="20"/>
                <w:szCs w:val="20"/>
                <w:shd w:val="clear" w:color="auto" w:fill="FFFFFF"/>
              </w:rPr>
              <m:t>4</m:t>
            </m:r>
          </m:sub>
        </m:sSub>
        <m:sSub>
          <m:sSubPr>
            <m:ctrlPr>
              <w:rPr>
                <w:rFonts w:ascii="Cambria Math" w:eastAsiaTheme="minorEastAsia" w:hAnsi="Cambria Math" w:cs="Times New Roman"/>
                <w:i/>
                <w:color w:val="000000" w:themeColor="text1"/>
                <w:sz w:val="20"/>
                <w:szCs w:val="20"/>
                <w:shd w:val="clear" w:color="auto" w:fill="FFFFFF"/>
              </w:rPr>
            </m:ctrlPr>
          </m:sSubPr>
          <m:e>
            <m:r>
              <w:rPr>
                <w:rFonts w:ascii="Cambria Math" w:eastAsiaTheme="minorEastAsia" w:hAnsi="Cambria Math" w:cs="Times New Roman"/>
                <w:color w:val="000000" w:themeColor="text1"/>
                <w:sz w:val="20"/>
                <w:szCs w:val="20"/>
                <w:shd w:val="clear" w:color="auto" w:fill="FFFFFF"/>
              </w:rPr>
              <m:t>W</m:t>
            </m:r>
          </m:e>
          <m:sub>
            <m:r>
              <w:rPr>
                <w:rFonts w:ascii="Cambria Math" w:eastAsiaTheme="minorEastAsia" w:hAnsi="Cambria Math" w:cs="Times New Roman"/>
                <w:color w:val="000000" w:themeColor="text1"/>
                <w:sz w:val="20"/>
                <w:szCs w:val="20"/>
                <w:shd w:val="clear" w:color="auto" w:fill="FFFFFF"/>
              </w:rPr>
              <m:t>i</m:t>
            </m:r>
          </m:sub>
        </m:sSub>
        <m:r>
          <w:rPr>
            <w:rFonts w:ascii="Cambria Math" w:eastAsiaTheme="minorEastAsia" w:hAnsi="Cambria Math" w:cs="Times New Roman"/>
            <w:color w:val="000000" w:themeColor="text1"/>
            <w:sz w:val="20"/>
            <w:szCs w:val="20"/>
            <w:shd w:val="clear" w:color="auto" w:fill="FFFFFF"/>
          </w:rPr>
          <m:t>+</m:t>
        </m:r>
        <m:sSub>
          <m:sSubPr>
            <m:ctrlPr>
              <w:rPr>
                <w:rFonts w:ascii="Cambria Math" w:eastAsiaTheme="minorEastAsia" w:hAnsi="Cambria Math" w:cs="Times New Roman"/>
                <w:i/>
                <w:color w:val="000000" w:themeColor="text1"/>
                <w:sz w:val="20"/>
                <w:szCs w:val="20"/>
                <w:shd w:val="clear" w:color="auto" w:fill="FFFFFF"/>
              </w:rPr>
            </m:ctrlPr>
          </m:sSubPr>
          <m:e>
            <m:r>
              <w:rPr>
                <w:rFonts w:ascii="Cambria Math" w:eastAsiaTheme="minorEastAsia" w:hAnsi="Cambria Math" w:cs="Times New Roman"/>
                <w:color w:val="000000" w:themeColor="text1"/>
                <w:sz w:val="20"/>
                <w:szCs w:val="20"/>
                <w:shd w:val="clear" w:color="auto" w:fill="FFFFFF"/>
              </w:rPr>
              <m:t>β</m:t>
            </m:r>
          </m:e>
          <m:sub>
            <m:r>
              <w:rPr>
                <w:rFonts w:ascii="Cambria Math" w:eastAsiaTheme="minorEastAsia" w:hAnsi="Cambria Math" w:cs="Times New Roman"/>
                <w:color w:val="000000" w:themeColor="text1"/>
                <w:sz w:val="20"/>
                <w:szCs w:val="20"/>
                <w:shd w:val="clear" w:color="auto" w:fill="FFFFFF"/>
              </w:rPr>
              <m:t>5</m:t>
            </m:r>
          </m:sub>
        </m:sSub>
        <m:sSub>
          <m:sSubPr>
            <m:ctrlPr>
              <w:rPr>
                <w:rFonts w:ascii="Cambria Math" w:eastAsiaTheme="minorEastAsia" w:hAnsi="Cambria Math" w:cs="Times New Roman"/>
                <w:i/>
                <w:color w:val="000000" w:themeColor="text1"/>
                <w:sz w:val="20"/>
                <w:szCs w:val="20"/>
                <w:shd w:val="clear" w:color="auto" w:fill="FFFFFF"/>
              </w:rPr>
            </m:ctrlPr>
          </m:sSubPr>
          <m:e>
            <m:r>
              <w:rPr>
                <w:rFonts w:ascii="Cambria Math" w:eastAsiaTheme="minorEastAsia" w:hAnsi="Cambria Math" w:cs="Times New Roman"/>
                <w:color w:val="000000" w:themeColor="text1"/>
                <w:sz w:val="20"/>
                <w:szCs w:val="20"/>
                <w:shd w:val="clear" w:color="auto" w:fill="FFFFFF"/>
              </w:rPr>
              <m:t>Dr</m:t>
            </m:r>
          </m:e>
          <m:sub>
            <m:r>
              <w:rPr>
                <w:rFonts w:ascii="Cambria Math" w:eastAsiaTheme="minorEastAsia" w:hAnsi="Cambria Math" w:cs="Times New Roman"/>
                <w:color w:val="000000" w:themeColor="text1"/>
                <w:sz w:val="20"/>
                <w:szCs w:val="20"/>
                <w:shd w:val="clear" w:color="auto" w:fill="FFFFFF"/>
              </w:rPr>
              <m:t>i</m:t>
            </m:r>
          </m:sub>
        </m:sSub>
        <m:r>
          <w:rPr>
            <w:rFonts w:ascii="Cambria Math" w:eastAsiaTheme="minorEastAsia" w:hAnsi="Cambria Math" w:cs="Times New Roman"/>
            <w:color w:val="000000" w:themeColor="text1"/>
            <w:sz w:val="20"/>
            <w:szCs w:val="20"/>
            <w:shd w:val="clear" w:color="auto" w:fill="FFFFFF"/>
          </w:rPr>
          <m:t>+</m:t>
        </m:r>
        <m:sSub>
          <m:sSubPr>
            <m:ctrlPr>
              <w:rPr>
                <w:rFonts w:ascii="Cambria Math" w:eastAsiaTheme="minorEastAsia" w:hAnsi="Cambria Math" w:cs="Times New Roman"/>
                <w:i/>
                <w:color w:val="000000" w:themeColor="text1"/>
                <w:sz w:val="20"/>
                <w:szCs w:val="20"/>
                <w:shd w:val="clear" w:color="auto" w:fill="FFFFFF"/>
              </w:rPr>
            </m:ctrlPr>
          </m:sSubPr>
          <m:e>
            <m:r>
              <w:rPr>
                <w:rFonts w:ascii="Cambria Math" w:eastAsiaTheme="minorEastAsia" w:hAnsi="Cambria Math" w:cs="Times New Roman"/>
                <w:color w:val="000000" w:themeColor="text1"/>
                <w:sz w:val="20"/>
                <w:szCs w:val="20"/>
                <w:shd w:val="clear" w:color="auto" w:fill="FFFFFF"/>
              </w:rPr>
              <m:t>u</m:t>
            </m:r>
          </m:e>
          <m:sub>
            <m:r>
              <w:rPr>
                <w:rFonts w:ascii="Cambria Math" w:eastAsiaTheme="minorEastAsia" w:hAnsi="Cambria Math" w:cs="Times New Roman"/>
                <w:color w:val="000000" w:themeColor="text1"/>
                <w:sz w:val="20"/>
                <w:szCs w:val="20"/>
                <w:shd w:val="clear" w:color="auto" w:fill="FFFFFF"/>
              </w:rPr>
              <m:t>i</m:t>
            </m:r>
          </m:sub>
        </m:sSub>
      </m:oMath>
    </w:p>
    <w:p w14:paraId="49A62AF3" w14:textId="77777777" w:rsidR="00522634" w:rsidRPr="00164238" w:rsidRDefault="00522634" w:rsidP="00522634">
      <w:pPr>
        <w:spacing w:before="120" w:after="120" w:line="276" w:lineRule="auto"/>
        <w:ind w:firstLine="708"/>
        <w:jc w:val="both"/>
        <w:rPr>
          <w:rFonts w:ascii="Times New Roman" w:eastAsiaTheme="minorEastAsia" w:hAnsi="Times New Roman" w:cs="Times New Roman"/>
          <w:color w:val="000000" w:themeColor="text1"/>
          <w:sz w:val="20"/>
          <w:szCs w:val="20"/>
          <w:shd w:val="clear" w:color="auto" w:fill="FFFFFF"/>
        </w:rPr>
      </w:pPr>
    </w:p>
    <w:p w14:paraId="06CA80A7" w14:textId="77777777" w:rsidR="00522634" w:rsidRPr="00164238" w:rsidRDefault="00522634" w:rsidP="00522634">
      <w:pPr>
        <w:spacing w:before="120" w:after="120" w:line="276" w:lineRule="auto"/>
        <w:ind w:firstLine="706"/>
        <w:jc w:val="both"/>
        <w:rPr>
          <w:rFonts w:ascii="Times New Roman" w:eastAsiaTheme="minorEastAsia" w:hAnsi="Times New Roman" w:cs="Times New Roman"/>
          <w:color w:val="000000" w:themeColor="text1"/>
          <w:sz w:val="20"/>
          <w:szCs w:val="20"/>
          <w:shd w:val="clear" w:color="auto" w:fill="FFFFFF"/>
        </w:rPr>
      </w:pPr>
      <w:r w:rsidRPr="00164238">
        <w:rPr>
          <w:rFonts w:ascii="Times New Roman" w:eastAsiaTheme="minorEastAsia" w:hAnsi="Times New Roman" w:cs="Times New Roman"/>
          <w:color w:val="000000" w:themeColor="text1"/>
          <w:sz w:val="20"/>
          <w:szCs w:val="20"/>
          <w:shd w:val="clear" w:color="auto" w:fill="FFFFFF"/>
        </w:rPr>
        <w:t>Tablo 2, modelde yer alan bağımlı ve bağımsız değişkenler için özet istatistikleri göstermektedir. Mevcut çalışmada görece küçük bir veri seti kullanılıyor olması nedeni ile ağırlıklandırılmış en küçük kareler yöntemi benimsenmiş ve sonuçların test edilmesi için bir başka yaklaşım olarak lojistik regresyon kullanılmıştır</w:t>
      </w:r>
      <w:r w:rsidRPr="00164238">
        <w:rPr>
          <w:rFonts w:ascii="Times New Roman" w:eastAsiaTheme="minorEastAsia" w:hAnsi="Times New Roman" w:cs="Times New Roman"/>
          <w:noProof/>
          <w:color w:val="000000" w:themeColor="text1"/>
          <w:sz w:val="20"/>
          <w:szCs w:val="20"/>
          <w:shd w:val="clear" w:color="auto" w:fill="FFFFFF"/>
        </w:rPr>
        <w:t xml:space="preserve"> (Bircan, 2004; Wildman, 2021; Almeshal , Almazrouee, Alenizi , &amp; Alhajeri , 2020)</w:t>
      </w:r>
      <w:r w:rsidRPr="00164238">
        <w:rPr>
          <w:rFonts w:ascii="Times New Roman" w:eastAsiaTheme="minorEastAsia" w:hAnsi="Times New Roman" w:cs="Times New Roman"/>
          <w:color w:val="000000" w:themeColor="text1"/>
          <w:sz w:val="20"/>
          <w:szCs w:val="20"/>
          <w:shd w:val="clear" w:color="auto" w:fill="FFFFFF"/>
        </w:rPr>
        <w:t xml:space="preserve">. Az sayıda değişken ile çalışılması nedeni ile bazı değişkenlerin öne çıkması ve istatistiksel olarak etkili sonuçlar göstermesi beklenmektedir. Güncel literatürde benzer veri setleri ile ortaya konmuş olan çalışmalarda paralel bulgulara rastlanmıştır </w:t>
      </w:r>
      <w:sdt>
        <w:sdtPr>
          <w:rPr>
            <w:rFonts w:ascii="Times New Roman" w:eastAsiaTheme="minorEastAsia" w:hAnsi="Times New Roman" w:cs="Times New Roman"/>
            <w:color w:val="000000" w:themeColor="text1"/>
            <w:sz w:val="20"/>
            <w:szCs w:val="20"/>
            <w:shd w:val="clear" w:color="auto" w:fill="FFFFFF"/>
          </w:rPr>
          <w:id w:val="-1526553960"/>
          <w:citation/>
        </w:sdtPr>
        <w:sdtContent>
          <w:r w:rsidRPr="00164238">
            <w:rPr>
              <w:rFonts w:ascii="Times New Roman" w:eastAsiaTheme="minorEastAsia" w:hAnsi="Times New Roman" w:cs="Times New Roman"/>
              <w:color w:val="000000" w:themeColor="text1"/>
              <w:sz w:val="20"/>
              <w:szCs w:val="20"/>
              <w:shd w:val="clear" w:color="auto" w:fill="FFFFFF"/>
            </w:rPr>
            <w:fldChar w:fldCharType="begin"/>
          </w:r>
          <w:r w:rsidRPr="00164238">
            <w:rPr>
              <w:rFonts w:ascii="Times New Roman" w:eastAsiaTheme="minorEastAsia" w:hAnsi="Times New Roman" w:cs="Times New Roman"/>
              <w:color w:val="000000" w:themeColor="text1"/>
              <w:sz w:val="20"/>
              <w:szCs w:val="20"/>
              <w:shd w:val="clear" w:color="auto" w:fill="FFFFFF"/>
            </w:rPr>
            <w:instrText xml:space="preserve"> CITATION Wil21 \l 1033 </w:instrText>
          </w:r>
          <w:r w:rsidRPr="00164238">
            <w:rPr>
              <w:rFonts w:ascii="Times New Roman" w:eastAsiaTheme="minorEastAsia" w:hAnsi="Times New Roman" w:cs="Times New Roman"/>
              <w:color w:val="000000" w:themeColor="text1"/>
              <w:sz w:val="20"/>
              <w:szCs w:val="20"/>
              <w:shd w:val="clear" w:color="auto" w:fill="FFFFFF"/>
            </w:rPr>
            <w:fldChar w:fldCharType="separate"/>
          </w:r>
          <w:r w:rsidRPr="00164238">
            <w:rPr>
              <w:rFonts w:ascii="Times New Roman" w:eastAsiaTheme="minorEastAsia" w:hAnsi="Times New Roman" w:cs="Times New Roman"/>
              <w:noProof/>
              <w:color w:val="000000" w:themeColor="text1"/>
              <w:sz w:val="20"/>
              <w:szCs w:val="20"/>
              <w:shd w:val="clear" w:color="auto" w:fill="FFFFFF"/>
            </w:rPr>
            <w:t>(Wildman, 2021)</w:t>
          </w:r>
          <w:r w:rsidRPr="00164238">
            <w:rPr>
              <w:rFonts w:ascii="Times New Roman" w:eastAsiaTheme="minorEastAsia" w:hAnsi="Times New Roman" w:cs="Times New Roman"/>
              <w:color w:val="000000" w:themeColor="text1"/>
              <w:sz w:val="20"/>
              <w:szCs w:val="20"/>
              <w:shd w:val="clear" w:color="auto" w:fill="FFFFFF"/>
            </w:rPr>
            <w:fldChar w:fldCharType="end"/>
          </w:r>
        </w:sdtContent>
      </w:sdt>
      <w:r w:rsidRPr="00164238">
        <w:rPr>
          <w:rFonts w:ascii="Times New Roman" w:eastAsiaTheme="minorEastAsia" w:hAnsi="Times New Roman" w:cs="Times New Roman"/>
          <w:color w:val="000000" w:themeColor="text1"/>
          <w:sz w:val="20"/>
          <w:szCs w:val="20"/>
          <w:shd w:val="clear" w:color="auto" w:fill="FFFFFF"/>
        </w:rPr>
        <w:t xml:space="preserve">. </w:t>
      </w:r>
    </w:p>
    <w:p w14:paraId="21B62803" w14:textId="77777777" w:rsidR="00522634" w:rsidRPr="00164238" w:rsidRDefault="00522634" w:rsidP="00522634">
      <w:pPr>
        <w:spacing w:before="120" w:after="120" w:line="276" w:lineRule="auto"/>
        <w:ind w:firstLine="706"/>
        <w:jc w:val="both"/>
        <w:rPr>
          <w:rFonts w:ascii="Times New Roman" w:eastAsiaTheme="minorEastAsia" w:hAnsi="Times New Roman" w:cs="Times New Roman"/>
          <w:b/>
          <w:bCs/>
          <w:color w:val="000000" w:themeColor="text1"/>
          <w:sz w:val="20"/>
          <w:szCs w:val="20"/>
          <w:shd w:val="clear" w:color="auto" w:fill="FFFFFF"/>
        </w:rPr>
      </w:pPr>
      <w:r w:rsidRPr="00164238">
        <w:rPr>
          <w:rFonts w:ascii="Times New Roman" w:eastAsiaTheme="minorEastAsia" w:hAnsi="Times New Roman" w:cs="Times New Roman"/>
          <w:b/>
          <w:bCs/>
          <w:color w:val="000000" w:themeColor="text1"/>
          <w:sz w:val="20"/>
          <w:szCs w:val="20"/>
          <w:shd w:val="clear" w:color="auto" w:fill="FFFFFF"/>
        </w:rPr>
        <w:t>Analiz Sonuçları</w:t>
      </w:r>
    </w:p>
    <w:p w14:paraId="6429CE69" w14:textId="77777777" w:rsidR="00522634" w:rsidRPr="00164238" w:rsidRDefault="00522634" w:rsidP="00522634">
      <w:pPr>
        <w:spacing w:before="120" w:after="120" w:line="276" w:lineRule="auto"/>
        <w:ind w:firstLine="706"/>
        <w:jc w:val="both"/>
        <w:rPr>
          <w:rFonts w:ascii="Times New Roman" w:eastAsiaTheme="minorEastAsia" w:hAnsi="Times New Roman" w:cs="Times New Roman"/>
          <w:color w:val="000000" w:themeColor="text1"/>
          <w:sz w:val="20"/>
          <w:szCs w:val="20"/>
          <w:shd w:val="clear" w:color="auto" w:fill="FFFFFF"/>
        </w:rPr>
      </w:pPr>
      <w:r w:rsidRPr="00164238">
        <w:rPr>
          <w:rFonts w:ascii="Times New Roman" w:eastAsiaTheme="minorEastAsia" w:hAnsi="Times New Roman" w:cs="Times New Roman"/>
          <w:color w:val="000000" w:themeColor="text1"/>
          <w:sz w:val="20"/>
          <w:szCs w:val="20"/>
          <w:shd w:val="clear" w:color="auto" w:fill="FFFFFF"/>
        </w:rPr>
        <w:t xml:space="preserve">Mevcut çalışmada OECD ülkelerinde 2020 yılı içerisinde meydana gelen Covid-19 ilişkili ölümler ile ülkelerin sahip oldukları iktisadi dinamikler arasındaki ilişki iki farklı yaklaşım kullanılarak analiz edilmiştir. İktisadi bir sonuç olan işsizlik oranı ve kamu sağlığı alanında dikkatle takip edilen bir başka değişken olan ölüm oranları bağımlı değişkenler olarak modelde yer almaktadır. </w:t>
      </w:r>
    </w:p>
    <w:p w14:paraId="32E06B63" w14:textId="77777777" w:rsidR="00522634" w:rsidRPr="00164238" w:rsidRDefault="00522634" w:rsidP="00522634">
      <w:pPr>
        <w:spacing w:before="120" w:after="120" w:line="276" w:lineRule="auto"/>
        <w:ind w:firstLine="706"/>
        <w:jc w:val="both"/>
        <w:rPr>
          <w:rFonts w:ascii="Times New Roman" w:eastAsiaTheme="minorEastAsia" w:hAnsi="Times New Roman" w:cs="Times New Roman"/>
          <w:color w:val="000000" w:themeColor="text1"/>
          <w:sz w:val="20"/>
          <w:szCs w:val="20"/>
          <w:shd w:val="clear" w:color="auto" w:fill="FFFFFF"/>
        </w:rPr>
      </w:pPr>
      <w:r w:rsidRPr="00164238">
        <w:rPr>
          <w:rFonts w:ascii="Times New Roman" w:eastAsiaTheme="minorEastAsia" w:hAnsi="Times New Roman" w:cs="Times New Roman"/>
          <w:color w:val="000000" w:themeColor="text1"/>
          <w:sz w:val="20"/>
          <w:szCs w:val="20"/>
          <w:shd w:val="clear" w:color="auto" w:fill="FFFFFF"/>
        </w:rPr>
        <w:t xml:space="preserve">Başlıca yaklaşım olarak benimsenen ağırlıklandırılmış en küçük kareler yöntemi (AEKK) kullanılarak elde edilmiş tahmin sonuçları Tablo 3 ve Tablo 4’de sırası ile işsizlik ve ölüm oranları için gösterilmektedir. İşsizlik oranı değişkeninin bağımlı değişken olarak yer aldığı ilk modelde, iki açıklayıcı değişkenin istatistiksel olarak anlamlı sonuçlara sahip olduğu görülmektedir. Gelir eşitsizliği ile ilgili olarak kullanılmakta olan Gini katsayısı ile işsizlik oranı arasında pozitif yönlü bir ilişkinin varlığı tahmin edilmiştir (58.21). Bu noktada güncel literatürde de tartışıldığı üzere  gelir eşitsizliği alanında yüksek gini katsayısına sahip olan ülkelerde pandemi sürecinde işsizlik oranlarında daha yüksek bir artış olduğu tahmin edilmektedir </w:t>
      </w:r>
      <w:sdt>
        <w:sdtPr>
          <w:rPr>
            <w:rFonts w:ascii="Times New Roman" w:eastAsiaTheme="minorEastAsia" w:hAnsi="Times New Roman" w:cs="Times New Roman"/>
            <w:color w:val="000000" w:themeColor="text1"/>
            <w:sz w:val="20"/>
            <w:szCs w:val="20"/>
            <w:shd w:val="clear" w:color="auto" w:fill="FFFFFF"/>
          </w:rPr>
          <w:id w:val="489525553"/>
          <w:citation/>
        </w:sdtPr>
        <w:sdtContent>
          <w:r w:rsidRPr="00164238">
            <w:rPr>
              <w:rFonts w:ascii="Times New Roman" w:eastAsiaTheme="minorEastAsia" w:hAnsi="Times New Roman" w:cs="Times New Roman"/>
              <w:color w:val="000000" w:themeColor="text1"/>
              <w:sz w:val="20"/>
              <w:szCs w:val="20"/>
              <w:shd w:val="clear" w:color="auto" w:fill="FFFFFF"/>
            </w:rPr>
            <w:fldChar w:fldCharType="begin"/>
          </w:r>
          <w:r w:rsidRPr="00164238">
            <w:rPr>
              <w:rFonts w:ascii="Times New Roman" w:eastAsiaTheme="minorEastAsia" w:hAnsi="Times New Roman" w:cs="Times New Roman"/>
              <w:color w:val="000000" w:themeColor="text1"/>
              <w:sz w:val="20"/>
              <w:szCs w:val="20"/>
              <w:shd w:val="clear" w:color="auto" w:fill="FFFFFF"/>
            </w:rPr>
            <w:instrText xml:space="preserve"> CITATION Wil21 \l 1033 </w:instrText>
          </w:r>
          <w:r w:rsidRPr="00164238">
            <w:rPr>
              <w:rFonts w:ascii="Times New Roman" w:eastAsiaTheme="minorEastAsia" w:hAnsi="Times New Roman" w:cs="Times New Roman"/>
              <w:color w:val="000000" w:themeColor="text1"/>
              <w:sz w:val="20"/>
              <w:szCs w:val="20"/>
              <w:shd w:val="clear" w:color="auto" w:fill="FFFFFF"/>
            </w:rPr>
            <w:fldChar w:fldCharType="separate"/>
          </w:r>
          <w:r w:rsidRPr="00164238">
            <w:rPr>
              <w:rFonts w:ascii="Times New Roman" w:eastAsiaTheme="minorEastAsia" w:hAnsi="Times New Roman" w:cs="Times New Roman"/>
              <w:noProof/>
              <w:color w:val="000000" w:themeColor="text1"/>
              <w:sz w:val="20"/>
              <w:szCs w:val="20"/>
              <w:shd w:val="clear" w:color="auto" w:fill="FFFFFF"/>
            </w:rPr>
            <w:t>(Wildman, 2021)</w:t>
          </w:r>
          <w:r w:rsidRPr="00164238">
            <w:rPr>
              <w:rFonts w:ascii="Times New Roman" w:eastAsiaTheme="minorEastAsia" w:hAnsi="Times New Roman" w:cs="Times New Roman"/>
              <w:color w:val="000000" w:themeColor="text1"/>
              <w:sz w:val="20"/>
              <w:szCs w:val="20"/>
              <w:shd w:val="clear" w:color="auto" w:fill="FFFFFF"/>
            </w:rPr>
            <w:fldChar w:fldCharType="end"/>
          </w:r>
        </w:sdtContent>
      </w:sdt>
      <w:r w:rsidRPr="00164238">
        <w:rPr>
          <w:rFonts w:ascii="Times New Roman" w:eastAsiaTheme="minorEastAsia" w:hAnsi="Times New Roman" w:cs="Times New Roman"/>
          <w:color w:val="000000" w:themeColor="text1"/>
          <w:sz w:val="20"/>
          <w:szCs w:val="20"/>
          <w:shd w:val="clear" w:color="auto" w:fill="FFFFFF"/>
        </w:rPr>
        <w:t xml:space="preserve">. Tablo 3’te yer alan bir diğer önemli sonuç ise her 1000 kişi için doktor sayısı ve işsizlik oranı arasında gözlemlenen negatif yönlü ilişkidir. Tahmin sonuçlarına dayanarak her 1000 kişi için doktor sayısında artış ile birlikte işsizlik oranında bir azalış olması beklenmektedir. </w:t>
      </w:r>
    </w:p>
    <w:p w14:paraId="66847540" w14:textId="77777777" w:rsidR="00522634" w:rsidRPr="00164238" w:rsidRDefault="00522634" w:rsidP="00522634">
      <w:pPr>
        <w:spacing w:before="120" w:after="120" w:line="276" w:lineRule="auto"/>
        <w:ind w:firstLine="706"/>
        <w:jc w:val="both"/>
        <w:rPr>
          <w:rFonts w:ascii="Times New Roman" w:eastAsiaTheme="minorEastAsia" w:hAnsi="Times New Roman" w:cs="Times New Roman"/>
          <w:color w:val="000000" w:themeColor="text1"/>
          <w:sz w:val="20"/>
          <w:szCs w:val="20"/>
          <w:shd w:val="clear" w:color="auto" w:fill="FFFFFF"/>
        </w:rPr>
      </w:pPr>
      <w:r w:rsidRPr="00164238">
        <w:rPr>
          <w:rFonts w:ascii="Times New Roman" w:eastAsiaTheme="minorEastAsia" w:hAnsi="Times New Roman" w:cs="Times New Roman"/>
          <w:color w:val="000000" w:themeColor="text1"/>
          <w:sz w:val="20"/>
          <w:szCs w:val="20"/>
          <w:shd w:val="clear" w:color="auto" w:fill="FFFFFF"/>
        </w:rPr>
        <w:t>Ağırlıklandırılmış en küçük kareler yöntemi uygulanmış bir diğer modelde ise Covid-19 nedeniyle gerçekleşmiş ölüm oranları bağımlı değişken olarak kabul edilmiştir. Tablo 4’te yer alan tahmin sonuçlarına göre gini katsayısı ve işsizlik oranı değişkenleri ile ölüm oranları arasında istatistiksel olarak anlamlı ve pozitif bir ilişki olduğunu görülmektedir. Gelir adaletsizliğinde görülen olumsuz tablonun kamu sağlığı alanında ölüm oranları aracılıyla etkiye sahip olduğu söylemek mümkündür. Literatürde yer alan benzer çalışmalarda da değinildiği gibi pandemi sürecinde karşılaşılan “kapanma politikalarının” farklı gelir gruplarında etkisi aynı olmamakta, özellikle alt gelir gruplarında daha ciddi ekonomik problemlerin ortaya çıkması ile sonuçlanmaktadır</w:t>
      </w:r>
      <w:sdt>
        <w:sdtPr>
          <w:rPr>
            <w:rFonts w:ascii="Times New Roman" w:eastAsiaTheme="minorEastAsia" w:hAnsi="Times New Roman" w:cs="Times New Roman"/>
            <w:color w:val="000000" w:themeColor="text1"/>
            <w:sz w:val="20"/>
            <w:szCs w:val="20"/>
            <w:shd w:val="clear" w:color="auto" w:fill="FFFFFF"/>
          </w:rPr>
          <w:id w:val="-1785178066"/>
          <w:citation/>
        </w:sdtPr>
        <w:sdtContent>
          <w:r w:rsidRPr="00164238">
            <w:rPr>
              <w:rFonts w:ascii="Times New Roman" w:eastAsiaTheme="minorEastAsia" w:hAnsi="Times New Roman" w:cs="Times New Roman"/>
              <w:color w:val="000000" w:themeColor="text1"/>
              <w:sz w:val="20"/>
              <w:szCs w:val="20"/>
              <w:shd w:val="clear" w:color="auto" w:fill="FFFFFF"/>
            </w:rPr>
            <w:fldChar w:fldCharType="begin"/>
          </w:r>
          <w:r w:rsidRPr="00164238">
            <w:rPr>
              <w:rFonts w:ascii="Times New Roman" w:eastAsiaTheme="minorEastAsia" w:hAnsi="Times New Roman" w:cs="Times New Roman"/>
              <w:color w:val="000000" w:themeColor="text1"/>
              <w:sz w:val="20"/>
              <w:szCs w:val="20"/>
              <w:shd w:val="clear" w:color="auto" w:fill="FFFFFF"/>
            </w:rPr>
            <w:instrText xml:space="preserve"> CITATION Rui20 \l 1033 </w:instrText>
          </w:r>
          <w:r w:rsidRPr="00164238">
            <w:rPr>
              <w:rFonts w:ascii="Times New Roman" w:eastAsiaTheme="minorEastAsia" w:hAnsi="Times New Roman" w:cs="Times New Roman"/>
              <w:color w:val="000000" w:themeColor="text1"/>
              <w:sz w:val="20"/>
              <w:szCs w:val="20"/>
              <w:shd w:val="clear" w:color="auto" w:fill="FFFFFF"/>
            </w:rPr>
            <w:fldChar w:fldCharType="separate"/>
          </w:r>
          <w:r w:rsidRPr="00164238">
            <w:rPr>
              <w:rFonts w:ascii="Times New Roman" w:eastAsiaTheme="minorEastAsia" w:hAnsi="Times New Roman" w:cs="Times New Roman"/>
              <w:noProof/>
              <w:color w:val="000000" w:themeColor="text1"/>
              <w:sz w:val="20"/>
              <w:szCs w:val="20"/>
              <w:shd w:val="clear" w:color="auto" w:fill="FFFFFF"/>
            </w:rPr>
            <w:t xml:space="preserve"> (Ruiz-Euler, Privitera, Giuffrida, Lake, &amp; Zara, 2020)</w:t>
          </w:r>
          <w:r w:rsidRPr="00164238">
            <w:rPr>
              <w:rFonts w:ascii="Times New Roman" w:eastAsiaTheme="minorEastAsia" w:hAnsi="Times New Roman" w:cs="Times New Roman"/>
              <w:color w:val="000000" w:themeColor="text1"/>
              <w:sz w:val="20"/>
              <w:szCs w:val="20"/>
              <w:shd w:val="clear" w:color="auto" w:fill="FFFFFF"/>
            </w:rPr>
            <w:fldChar w:fldCharType="end"/>
          </w:r>
        </w:sdtContent>
      </w:sdt>
      <w:r w:rsidRPr="00164238">
        <w:rPr>
          <w:rFonts w:ascii="Times New Roman" w:eastAsiaTheme="minorEastAsia" w:hAnsi="Times New Roman" w:cs="Times New Roman"/>
          <w:color w:val="000000" w:themeColor="text1"/>
          <w:sz w:val="20"/>
          <w:szCs w:val="20"/>
          <w:shd w:val="clear" w:color="auto" w:fill="FFFFFF"/>
        </w:rPr>
        <w:t xml:space="preserve">.  İkinci önemli sonuç </w:t>
      </w:r>
      <w:r w:rsidRPr="00164238">
        <w:rPr>
          <w:rFonts w:ascii="Times New Roman" w:eastAsiaTheme="minorEastAsia" w:hAnsi="Times New Roman" w:cs="Times New Roman"/>
          <w:color w:val="000000" w:themeColor="text1"/>
          <w:sz w:val="20"/>
          <w:szCs w:val="20"/>
          <w:shd w:val="clear" w:color="auto" w:fill="FFFFFF"/>
        </w:rPr>
        <w:lastRenderedPageBreak/>
        <w:t xml:space="preserve">olarak ise işsizlik oranlarında görülen artış ile bir milyon nüfusta görülen ölümlerin arasında tahmin edilen pozitif ilişki dikkatleri çekmektedir. </w:t>
      </w:r>
    </w:p>
    <w:p w14:paraId="0293129D" w14:textId="77777777" w:rsidR="00522634" w:rsidRPr="00164238" w:rsidRDefault="00522634" w:rsidP="00522634">
      <w:pPr>
        <w:spacing w:before="120" w:after="120" w:line="276" w:lineRule="auto"/>
        <w:jc w:val="both"/>
        <w:rPr>
          <w:rFonts w:ascii="Times New Roman" w:eastAsiaTheme="minorEastAsia" w:hAnsi="Times New Roman" w:cs="Times New Roman"/>
          <w:color w:val="000000" w:themeColor="text1"/>
          <w:sz w:val="20"/>
          <w:szCs w:val="20"/>
          <w:shd w:val="clear" w:color="auto" w:fill="FFFFFF"/>
        </w:rPr>
      </w:pPr>
      <w:r w:rsidRPr="00164238">
        <w:rPr>
          <w:rFonts w:ascii="Times New Roman" w:eastAsiaTheme="minorEastAsia" w:hAnsi="Times New Roman" w:cs="Times New Roman"/>
          <w:color w:val="000000" w:themeColor="text1"/>
          <w:sz w:val="20"/>
          <w:szCs w:val="20"/>
          <w:shd w:val="clear" w:color="auto" w:fill="FFFFFF"/>
        </w:rPr>
        <w:tab/>
        <w:t>Analiz sonuçlarının bir başka model yardımı ile test edilmesi amaçlanarak lojistik regresyon (LR) modeli uygulanmıştır. Tablo 5 ve Tablo 6’da yer alan sonuçlara göre ağırlıklandırılmış en küçük kareler yöntemi uygulanarak elde edilen sonuçlar ile benzer bulgulara ulaşıldığını söylemek mümkündür. İşsizlik oranı ile istatistiksel anlamlı sonuçların iki değişken için mevcut olduğu tahmin edilmektedir: (1) gini katsayısı ve (2) doktor sayısı. AEKK yöntemine ile genel itibariyle benzer olan bu sonuçlar katsayı değerleri noktasında önemli ölçüde farklılıklar içermektedir (</w:t>
      </w:r>
      <w:r w:rsidRPr="00164238">
        <w:rPr>
          <w:rFonts w:ascii="Times New Roman" w:eastAsia="Times New Roman" w:hAnsi="Times New Roman" w:cs="Times New Roman"/>
          <w:color w:val="000000" w:themeColor="text1"/>
          <w:sz w:val="20"/>
          <w:szCs w:val="20"/>
          <w:lang w:eastAsia="tr-TR"/>
        </w:rPr>
        <w:t>-0.283 ve 7.707</w:t>
      </w:r>
      <w:r w:rsidRPr="00164238">
        <w:rPr>
          <w:rFonts w:ascii="Times New Roman" w:eastAsiaTheme="minorEastAsia" w:hAnsi="Times New Roman" w:cs="Times New Roman"/>
          <w:color w:val="000000" w:themeColor="text1"/>
          <w:sz w:val="20"/>
          <w:szCs w:val="20"/>
          <w:shd w:val="clear" w:color="auto" w:fill="FFFFFF"/>
        </w:rPr>
        <w:t>). Covid-19 ile ilişkili ölüm oranları için yapılmış olan analizde ise etkiye sahip olan tek değişkenin işsizlik oranı olduğu tahmin edilmiştir.</w:t>
      </w:r>
    </w:p>
    <w:p w14:paraId="5F3DB5E6" w14:textId="77777777" w:rsidR="00522634" w:rsidRPr="00164238" w:rsidRDefault="00522634" w:rsidP="00522634">
      <w:pPr>
        <w:spacing w:before="120" w:after="120" w:line="276" w:lineRule="auto"/>
        <w:ind w:firstLine="708"/>
        <w:jc w:val="both"/>
        <w:rPr>
          <w:rFonts w:ascii="Times New Roman" w:eastAsiaTheme="minorEastAsia" w:hAnsi="Times New Roman" w:cs="Times New Roman"/>
          <w:b/>
          <w:bCs/>
          <w:color w:val="000000" w:themeColor="text1"/>
          <w:sz w:val="20"/>
          <w:szCs w:val="20"/>
          <w:shd w:val="clear" w:color="auto" w:fill="FFFFFF"/>
        </w:rPr>
      </w:pPr>
      <w:r w:rsidRPr="00164238">
        <w:rPr>
          <w:rFonts w:ascii="Times New Roman" w:eastAsiaTheme="minorEastAsia" w:hAnsi="Times New Roman" w:cs="Times New Roman"/>
          <w:b/>
          <w:bCs/>
          <w:color w:val="000000" w:themeColor="text1"/>
          <w:sz w:val="20"/>
          <w:szCs w:val="20"/>
          <w:shd w:val="clear" w:color="auto" w:fill="FFFFFF"/>
        </w:rPr>
        <w:t>Sonuç</w:t>
      </w:r>
    </w:p>
    <w:p w14:paraId="5D78207B" w14:textId="77777777" w:rsidR="00522634" w:rsidRPr="00164238" w:rsidRDefault="00522634" w:rsidP="00522634">
      <w:pPr>
        <w:spacing w:before="120" w:after="120" w:line="276" w:lineRule="auto"/>
        <w:ind w:firstLine="708"/>
        <w:jc w:val="both"/>
        <w:rPr>
          <w:rFonts w:ascii="Times New Roman" w:eastAsiaTheme="minorEastAsia" w:hAnsi="Times New Roman" w:cs="Times New Roman"/>
          <w:color w:val="000000" w:themeColor="text1"/>
          <w:sz w:val="20"/>
          <w:szCs w:val="20"/>
          <w:shd w:val="clear" w:color="auto" w:fill="FFFFFF"/>
        </w:rPr>
      </w:pPr>
      <w:r w:rsidRPr="00164238">
        <w:rPr>
          <w:rFonts w:ascii="Times New Roman" w:eastAsiaTheme="minorEastAsia" w:hAnsi="Times New Roman" w:cs="Times New Roman"/>
          <w:color w:val="000000" w:themeColor="text1"/>
          <w:sz w:val="20"/>
          <w:szCs w:val="20"/>
          <w:shd w:val="clear" w:color="auto" w:fill="FFFFFF"/>
        </w:rPr>
        <w:t>Bu çalışmada 2020 yılı içerisinde Covid-19 ile bağlantılı olarak gerçeklesen ölümlerin, sağlık ve ekonomi ile ilgili göstergelerle olan bağlantısını analiz etmek amaçlanmıştır. OECD ülkeleri üzerine yapılmış olan bu çalışmada ulaşılan en güncel istatistikler kullanılarak iki farklı yöntem uygulanmış (AEKK VE LR) ve bu iki yöntemden elde edilmiş olan bulguların büyük ölçüde uyumlu olduğu sonucuna ulaşılmıştır,</w:t>
      </w:r>
    </w:p>
    <w:p w14:paraId="6482FD0D" w14:textId="77777777" w:rsidR="00522634" w:rsidRPr="00164238" w:rsidRDefault="00522634" w:rsidP="00522634">
      <w:pPr>
        <w:spacing w:before="120" w:after="120" w:line="276" w:lineRule="auto"/>
        <w:ind w:firstLine="708"/>
        <w:jc w:val="both"/>
        <w:rPr>
          <w:rFonts w:ascii="Times New Roman" w:eastAsiaTheme="minorEastAsia" w:hAnsi="Times New Roman" w:cs="Times New Roman"/>
          <w:color w:val="000000" w:themeColor="text1"/>
          <w:sz w:val="20"/>
          <w:szCs w:val="20"/>
          <w:shd w:val="clear" w:color="auto" w:fill="FFFFFF"/>
        </w:rPr>
      </w:pPr>
      <w:r w:rsidRPr="00164238">
        <w:rPr>
          <w:rFonts w:ascii="Times New Roman" w:eastAsiaTheme="minorEastAsia" w:hAnsi="Times New Roman" w:cs="Times New Roman"/>
          <w:color w:val="000000" w:themeColor="text1"/>
          <w:sz w:val="20"/>
          <w:szCs w:val="20"/>
          <w:shd w:val="clear" w:color="auto" w:fill="FFFFFF"/>
        </w:rPr>
        <w:t xml:space="preserve">İşsizlik oranı ve Covid-19 nedeniyle gerçeklesen ölüm oranlarını açıklamak üzere modelde yer alan değişkenler arasında gelir eşitsizliği (gini katsayısı) ve her 1000 kişi için doktor sayısının önemli düzeyde etkiye sahip olduğu görülmüştür.   </w:t>
      </w:r>
    </w:p>
    <w:p w14:paraId="1032CAEB" w14:textId="77777777" w:rsidR="00522634" w:rsidRPr="00164238" w:rsidRDefault="00522634" w:rsidP="00522634">
      <w:pPr>
        <w:spacing w:before="120" w:after="120" w:line="276" w:lineRule="auto"/>
        <w:ind w:firstLine="708"/>
        <w:jc w:val="both"/>
        <w:rPr>
          <w:rFonts w:ascii="Times New Roman" w:eastAsiaTheme="minorEastAsia" w:hAnsi="Times New Roman" w:cs="Times New Roman"/>
          <w:color w:val="000000" w:themeColor="text1"/>
          <w:sz w:val="20"/>
          <w:szCs w:val="20"/>
          <w:shd w:val="clear" w:color="auto" w:fill="FFFFFF"/>
        </w:rPr>
      </w:pPr>
      <w:r w:rsidRPr="00164238">
        <w:rPr>
          <w:rFonts w:ascii="Times New Roman" w:eastAsiaTheme="minorEastAsia" w:hAnsi="Times New Roman" w:cs="Times New Roman"/>
          <w:color w:val="000000" w:themeColor="text1"/>
          <w:sz w:val="20"/>
          <w:szCs w:val="20"/>
          <w:shd w:val="clear" w:color="auto" w:fill="FFFFFF"/>
        </w:rPr>
        <w:t xml:space="preserve">Bu noktada, kamu sağlığı alanında politika belirleyicilerinin sağlık çalışanlarının istihdamı üzerine verecekleri kararlarda sadece toplum sağlığı değil aynı zamanda işsizlik oranı gibi iktisadi göstereler üzerinde de olumlu yönde etkinin görüleceği tahmin edilmektedir. </w:t>
      </w:r>
    </w:p>
    <w:bookmarkStart w:id="178" w:name="_Toc72352823" w:displacedByCustomXml="next"/>
    <w:sdt>
      <w:sdtPr>
        <w:rPr>
          <w:rFonts w:ascii="Times New Roman" w:hAnsi="Times New Roman" w:cs="Times New Roman"/>
          <w:color w:val="000000" w:themeColor="text1"/>
          <w:sz w:val="20"/>
          <w:szCs w:val="20"/>
        </w:rPr>
        <w:id w:val="757416092"/>
        <w:docPartObj>
          <w:docPartGallery w:val="Bibliographies"/>
          <w:docPartUnique/>
        </w:docPartObj>
      </w:sdtPr>
      <w:sdtContent>
        <w:bookmarkEnd w:id="178" w:displacedByCustomXml="prev"/>
        <w:p w14:paraId="468C5F58" w14:textId="4B8EE0D2" w:rsidR="006A4DC2" w:rsidRPr="00164238" w:rsidRDefault="00C95516" w:rsidP="006A4DC2">
          <w:pPr>
            <w:spacing w:line="276" w:lineRule="auto"/>
            <w:ind w:firstLine="567"/>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Kaynakça</w:t>
          </w:r>
        </w:p>
        <w:sdt>
          <w:sdtPr>
            <w:rPr>
              <w:rFonts w:ascii="Times New Roman" w:eastAsiaTheme="minorHAnsi" w:hAnsi="Times New Roman" w:cs="Times New Roman"/>
              <w:color w:val="000000" w:themeColor="text1"/>
              <w:sz w:val="20"/>
              <w:szCs w:val="20"/>
              <w:lang w:eastAsia="en-US"/>
            </w:rPr>
            <w:id w:val="-754664627"/>
            <w:bibliography/>
          </w:sdtPr>
          <w:sdtContent>
            <w:p w14:paraId="6BFA3B28" w14:textId="392B208C" w:rsidR="00522634" w:rsidRPr="00164238" w:rsidRDefault="00522634" w:rsidP="006A4DC2">
              <w:pPr>
                <w:pStyle w:val="Balk1"/>
                <w:spacing w:before="120" w:after="120" w:line="276" w:lineRule="auto"/>
                <w:rPr>
                  <w:rFonts w:ascii="Times New Roman" w:hAnsi="Times New Roman" w:cs="Times New Roman"/>
                  <w:noProof/>
                  <w:color w:val="000000" w:themeColor="text1"/>
                  <w:sz w:val="20"/>
                  <w:szCs w:val="20"/>
                </w:rPr>
              </w:pPr>
              <w:r w:rsidRPr="00164238">
                <w:rPr>
                  <w:rFonts w:ascii="Times New Roman" w:hAnsi="Times New Roman" w:cs="Times New Roman"/>
                  <w:color w:val="000000" w:themeColor="text1"/>
                  <w:sz w:val="20"/>
                  <w:szCs w:val="20"/>
                </w:rPr>
                <w:fldChar w:fldCharType="begin"/>
              </w:r>
              <w:r w:rsidRPr="00164238">
                <w:rPr>
                  <w:rFonts w:ascii="Times New Roman" w:hAnsi="Times New Roman" w:cs="Times New Roman"/>
                  <w:color w:val="000000" w:themeColor="text1"/>
                  <w:sz w:val="20"/>
                  <w:szCs w:val="20"/>
                </w:rPr>
                <w:instrText xml:space="preserve"> BIBLIOGRAPHY </w:instrText>
              </w:r>
              <w:r w:rsidRPr="00164238">
                <w:rPr>
                  <w:rFonts w:ascii="Times New Roman" w:hAnsi="Times New Roman" w:cs="Times New Roman"/>
                  <w:color w:val="000000" w:themeColor="text1"/>
                  <w:sz w:val="20"/>
                  <w:szCs w:val="20"/>
                </w:rPr>
                <w:fldChar w:fldCharType="separate"/>
              </w:r>
              <w:bookmarkStart w:id="179" w:name="_Toc72961756"/>
              <w:r w:rsidRPr="00164238">
                <w:rPr>
                  <w:rFonts w:ascii="Times New Roman" w:hAnsi="Times New Roman" w:cs="Times New Roman"/>
                  <w:noProof/>
                  <w:color w:val="000000" w:themeColor="text1"/>
                  <w:sz w:val="20"/>
                  <w:szCs w:val="20"/>
                </w:rPr>
                <w:t xml:space="preserve">Almeshal , A. M., Almazrouee, A. I., Alenizi , M. R., &amp; Alhajeri , S. N. (2020). Forecasting the Spread of COVID-19 in Kuwait Using Compartmental and Logistic Regression Models. </w:t>
              </w:r>
              <w:r w:rsidRPr="00164238">
                <w:rPr>
                  <w:rFonts w:ascii="Times New Roman" w:hAnsi="Times New Roman" w:cs="Times New Roman"/>
                  <w:i/>
                  <w:iCs/>
                  <w:noProof/>
                  <w:color w:val="000000" w:themeColor="text1"/>
                  <w:sz w:val="20"/>
                  <w:szCs w:val="20"/>
                </w:rPr>
                <w:t>Appl. Sci</w:t>
              </w:r>
              <w:r w:rsidRPr="00164238">
                <w:rPr>
                  <w:rFonts w:ascii="Times New Roman" w:hAnsi="Times New Roman" w:cs="Times New Roman"/>
                  <w:noProof/>
                  <w:color w:val="000000" w:themeColor="text1"/>
                  <w:sz w:val="20"/>
                  <w:szCs w:val="20"/>
                </w:rPr>
                <w:t>.</w:t>
              </w:r>
              <w:bookmarkEnd w:id="179"/>
            </w:p>
            <w:p w14:paraId="79BC7167" w14:textId="77777777" w:rsidR="00522634" w:rsidRPr="00164238" w:rsidRDefault="00522634" w:rsidP="00522634">
              <w:pPr>
                <w:pStyle w:val="Kaynaka"/>
                <w:spacing w:before="120" w:after="120" w:line="276" w:lineRule="auto"/>
                <w:ind w:left="720" w:hanging="720"/>
                <w:rPr>
                  <w:rFonts w:ascii="Times New Roman" w:hAnsi="Times New Roman" w:cs="Times New Roman"/>
                  <w:noProof/>
                  <w:color w:val="000000" w:themeColor="text1"/>
                  <w:sz w:val="20"/>
                  <w:szCs w:val="20"/>
                </w:rPr>
              </w:pPr>
              <w:r w:rsidRPr="00164238">
                <w:rPr>
                  <w:rFonts w:ascii="Times New Roman" w:hAnsi="Times New Roman" w:cs="Times New Roman"/>
                  <w:noProof/>
                  <w:color w:val="000000" w:themeColor="text1"/>
                  <w:sz w:val="20"/>
                  <w:szCs w:val="20"/>
                </w:rPr>
                <w:t xml:space="preserve">Al-Oraibi, A., Martin, C. A., Hassan, O., Wickramage, K., Nellums, L. B., &amp; Pareek, M. (2021). Migrant health is public health: a call for equitable access to COVID-19 vaccines. </w:t>
              </w:r>
              <w:r w:rsidRPr="00164238">
                <w:rPr>
                  <w:rFonts w:ascii="Times New Roman" w:hAnsi="Times New Roman" w:cs="Times New Roman"/>
                  <w:i/>
                  <w:iCs/>
                  <w:noProof/>
                  <w:color w:val="000000" w:themeColor="text1"/>
                  <w:sz w:val="20"/>
                  <w:szCs w:val="20"/>
                </w:rPr>
                <w:t>The Lancet Public Health</w:t>
              </w:r>
              <w:r w:rsidRPr="00164238">
                <w:rPr>
                  <w:rFonts w:ascii="Times New Roman" w:hAnsi="Times New Roman" w:cs="Times New Roman"/>
                  <w:noProof/>
                  <w:color w:val="000000" w:themeColor="text1"/>
                  <w:sz w:val="20"/>
                  <w:szCs w:val="20"/>
                </w:rPr>
                <w:t>, VOLUME 6, ISSUE 3, E144.</w:t>
              </w:r>
            </w:p>
            <w:p w14:paraId="4D5770A2" w14:textId="77777777" w:rsidR="00522634" w:rsidRPr="00164238" w:rsidRDefault="00522634" w:rsidP="00522634">
              <w:pPr>
                <w:pStyle w:val="Kaynaka"/>
                <w:spacing w:before="120" w:after="120" w:line="276" w:lineRule="auto"/>
                <w:ind w:left="720" w:hanging="720"/>
                <w:rPr>
                  <w:rFonts w:ascii="Times New Roman" w:hAnsi="Times New Roman" w:cs="Times New Roman"/>
                  <w:noProof/>
                  <w:color w:val="000000" w:themeColor="text1"/>
                  <w:sz w:val="20"/>
                  <w:szCs w:val="20"/>
                </w:rPr>
              </w:pPr>
              <w:r w:rsidRPr="00164238">
                <w:rPr>
                  <w:rFonts w:ascii="Times New Roman" w:hAnsi="Times New Roman" w:cs="Times New Roman"/>
                  <w:noProof/>
                  <w:color w:val="000000" w:themeColor="text1"/>
                  <w:sz w:val="20"/>
                  <w:szCs w:val="20"/>
                </w:rPr>
                <w:t xml:space="preserve">Fernandes, N. (2020). Economic Effects of Coronavirus Outbreak (COVID-19) on the World Economy. </w:t>
              </w:r>
              <w:r w:rsidRPr="00164238">
                <w:rPr>
                  <w:rFonts w:ascii="Times New Roman" w:hAnsi="Times New Roman" w:cs="Times New Roman"/>
                  <w:i/>
                  <w:iCs/>
                  <w:noProof/>
                  <w:color w:val="000000" w:themeColor="text1"/>
                  <w:sz w:val="20"/>
                  <w:szCs w:val="20"/>
                </w:rPr>
                <w:t>IESE Business School Working Paper No. WP-1240-E</w:t>
              </w:r>
              <w:r w:rsidRPr="00164238">
                <w:rPr>
                  <w:rFonts w:ascii="Times New Roman" w:hAnsi="Times New Roman" w:cs="Times New Roman"/>
                  <w:noProof/>
                  <w:color w:val="000000" w:themeColor="text1"/>
                  <w:sz w:val="20"/>
                  <w:szCs w:val="20"/>
                </w:rPr>
                <w:t>.</w:t>
              </w:r>
            </w:p>
            <w:p w14:paraId="2E88C634" w14:textId="77777777" w:rsidR="00522634" w:rsidRPr="00164238" w:rsidRDefault="00522634" w:rsidP="00522634">
              <w:pPr>
                <w:pStyle w:val="Kaynaka"/>
                <w:spacing w:before="120" w:after="120" w:line="276" w:lineRule="auto"/>
                <w:ind w:left="720" w:hanging="720"/>
                <w:rPr>
                  <w:rFonts w:ascii="Times New Roman" w:hAnsi="Times New Roman" w:cs="Times New Roman"/>
                  <w:noProof/>
                  <w:color w:val="000000" w:themeColor="text1"/>
                  <w:sz w:val="20"/>
                  <w:szCs w:val="20"/>
                </w:rPr>
              </w:pPr>
              <w:r w:rsidRPr="00164238">
                <w:rPr>
                  <w:rFonts w:ascii="Times New Roman" w:hAnsi="Times New Roman" w:cs="Times New Roman"/>
                  <w:noProof/>
                  <w:color w:val="000000" w:themeColor="text1"/>
                  <w:sz w:val="20"/>
                  <w:szCs w:val="20"/>
                </w:rPr>
                <w:t xml:space="preserve">McKibbin, W., &amp; Fernando, R. (2020). The global macroeconomic impacts of COVID-19: Seven scenarios. </w:t>
              </w:r>
              <w:r w:rsidRPr="00164238">
                <w:rPr>
                  <w:rFonts w:ascii="Times New Roman" w:hAnsi="Times New Roman" w:cs="Times New Roman"/>
                  <w:i/>
                  <w:iCs/>
                  <w:noProof/>
                  <w:color w:val="000000" w:themeColor="text1"/>
                  <w:sz w:val="20"/>
                  <w:szCs w:val="20"/>
                </w:rPr>
                <w:t>Asian Ecconomic Papers</w:t>
              </w:r>
              <w:r w:rsidRPr="00164238">
                <w:rPr>
                  <w:rFonts w:ascii="Times New Roman" w:hAnsi="Times New Roman" w:cs="Times New Roman"/>
                  <w:noProof/>
                  <w:color w:val="000000" w:themeColor="text1"/>
                  <w:sz w:val="20"/>
                  <w:szCs w:val="20"/>
                </w:rPr>
                <w:t>, 1-30.</w:t>
              </w:r>
            </w:p>
            <w:p w14:paraId="50287A14" w14:textId="77777777" w:rsidR="00522634" w:rsidRPr="00164238" w:rsidRDefault="00522634" w:rsidP="00522634">
              <w:pPr>
                <w:pStyle w:val="Kaynaka"/>
                <w:spacing w:before="120" w:after="120" w:line="276" w:lineRule="auto"/>
                <w:ind w:left="720" w:hanging="720"/>
                <w:rPr>
                  <w:rFonts w:ascii="Times New Roman" w:hAnsi="Times New Roman" w:cs="Times New Roman"/>
                  <w:noProof/>
                  <w:color w:val="000000" w:themeColor="text1"/>
                  <w:sz w:val="20"/>
                  <w:szCs w:val="20"/>
                </w:rPr>
              </w:pPr>
              <w:r w:rsidRPr="00164238">
                <w:rPr>
                  <w:rFonts w:ascii="Times New Roman" w:hAnsi="Times New Roman" w:cs="Times New Roman"/>
                  <w:noProof/>
                  <w:color w:val="000000" w:themeColor="text1"/>
                  <w:sz w:val="20"/>
                  <w:szCs w:val="20"/>
                </w:rPr>
                <w:t xml:space="preserve">Bircan, H. (2004). Lojistik Regresyon Analizi:Tıp Verileri Üzerine Bir Uygulama. </w:t>
              </w:r>
              <w:r w:rsidRPr="00164238">
                <w:rPr>
                  <w:rFonts w:ascii="Times New Roman" w:hAnsi="Times New Roman" w:cs="Times New Roman"/>
                  <w:i/>
                  <w:iCs/>
                  <w:noProof/>
                  <w:color w:val="000000" w:themeColor="text1"/>
                  <w:sz w:val="20"/>
                  <w:szCs w:val="20"/>
                </w:rPr>
                <w:t>Kocaeli Üniversitesi Sosyal Bilimler Enstitüsü Dergisi,</w:t>
              </w:r>
              <w:r w:rsidRPr="00164238">
                <w:rPr>
                  <w:rFonts w:ascii="Times New Roman" w:hAnsi="Times New Roman" w:cs="Times New Roman"/>
                  <w:noProof/>
                  <w:color w:val="000000" w:themeColor="text1"/>
                  <w:sz w:val="20"/>
                  <w:szCs w:val="20"/>
                </w:rPr>
                <w:t>, 185-208.</w:t>
              </w:r>
            </w:p>
            <w:p w14:paraId="3BE02C27" w14:textId="77777777" w:rsidR="00522634" w:rsidRPr="00164238" w:rsidRDefault="00522634" w:rsidP="00522634">
              <w:pPr>
                <w:pStyle w:val="Kaynaka"/>
                <w:spacing w:before="120" w:after="120" w:line="276" w:lineRule="auto"/>
                <w:ind w:left="720" w:hanging="720"/>
                <w:rPr>
                  <w:rFonts w:ascii="Times New Roman" w:hAnsi="Times New Roman" w:cs="Times New Roman"/>
                  <w:noProof/>
                  <w:color w:val="000000" w:themeColor="text1"/>
                  <w:sz w:val="20"/>
                  <w:szCs w:val="20"/>
                </w:rPr>
              </w:pPr>
              <w:r w:rsidRPr="00164238">
                <w:rPr>
                  <w:rFonts w:ascii="Times New Roman" w:hAnsi="Times New Roman" w:cs="Times New Roman"/>
                  <w:noProof/>
                  <w:color w:val="000000" w:themeColor="text1"/>
                  <w:sz w:val="20"/>
                  <w:szCs w:val="20"/>
                </w:rPr>
                <w:t xml:space="preserve">Cutler , D. (2020). How will COVID-19 affect the health care economy? </w:t>
              </w:r>
              <w:r w:rsidRPr="00164238">
                <w:rPr>
                  <w:rFonts w:ascii="Times New Roman" w:hAnsi="Times New Roman" w:cs="Times New Roman"/>
                  <w:i/>
                  <w:iCs/>
                  <w:noProof/>
                  <w:color w:val="000000" w:themeColor="text1"/>
                  <w:sz w:val="20"/>
                  <w:szCs w:val="20"/>
                </w:rPr>
                <w:t>Jama</w:t>
              </w:r>
              <w:r w:rsidRPr="00164238">
                <w:rPr>
                  <w:rFonts w:ascii="Times New Roman" w:hAnsi="Times New Roman" w:cs="Times New Roman"/>
                  <w:noProof/>
                  <w:color w:val="000000" w:themeColor="text1"/>
                  <w:sz w:val="20"/>
                  <w:szCs w:val="20"/>
                </w:rPr>
                <w:t>.</w:t>
              </w:r>
            </w:p>
            <w:p w14:paraId="220ABAAC" w14:textId="77777777" w:rsidR="00522634" w:rsidRPr="00164238" w:rsidRDefault="00522634" w:rsidP="00522634">
              <w:pPr>
                <w:pStyle w:val="Kaynaka"/>
                <w:spacing w:before="120" w:after="120" w:line="276" w:lineRule="auto"/>
                <w:ind w:left="720" w:hanging="720"/>
                <w:rPr>
                  <w:rFonts w:ascii="Times New Roman" w:hAnsi="Times New Roman" w:cs="Times New Roman"/>
                  <w:noProof/>
                  <w:color w:val="000000" w:themeColor="text1"/>
                  <w:sz w:val="20"/>
                  <w:szCs w:val="20"/>
                </w:rPr>
              </w:pPr>
              <w:r w:rsidRPr="00164238">
                <w:rPr>
                  <w:rFonts w:ascii="Times New Roman" w:hAnsi="Times New Roman" w:cs="Times New Roman"/>
                  <w:noProof/>
                  <w:color w:val="000000" w:themeColor="text1"/>
                  <w:sz w:val="20"/>
                  <w:szCs w:val="20"/>
                </w:rPr>
                <w:t xml:space="preserve">Eaton, L. (2020). Covid-19 has harmed poorest countries the most across Asia Pacific, says OECD. </w:t>
              </w:r>
              <w:r w:rsidRPr="00164238">
                <w:rPr>
                  <w:rFonts w:ascii="Times New Roman" w:hAnsi="Times New Roman" w:cs="Times New Roman"/>
                  <w:i/>
                  <w:iCs/>
                  <w:noProof/>
                  <w:color w:val="000000" w:themeColor="text1"/>
                  <w:sz w:val="20"/>
                  <w:szCs w:val="20"/>
                </w:rPr>
                <w:t>BMJ 2020</w:t>
              </w:r>
              <w:r w:rsidRPr="00164238">
                <w:rPr>
                  <w:rFonts w:ascii="Times New Roman" w:hAnsi="Times New Roman" w:cs="Times New Roman"/>
                  <w:noProof/>
                  <w:color w:val="000000" w:themeColor="text1"/>
                  <w:sz w:val="20"/>
                  <w:szCs w:val="20"/>
                </w:rPr>
                <w:t>, 371:m4660.</w:t>
              </w:r>
            </w:p>
            <w:p w14:paraId="10A81E8C" w14:textId="77777777" w:rsidR="00522634" w:rsidRPr="00164238" w:rsidRDefault="00522634" w:rsidP="00522634">
              <w:pPr>
                <w:pStyle w:val="Kaynaka"/>
                <w:spacing w:before="120" w:after="120" w:line="276" w:lineRule="auto"/>
                <w:ind w:left="720" w:hanging="720"/>
                <w:rPr>
                  <w:rFonts w:ascii="Times New Roman" w:hAnsi="Times New Roman" w:cs="Times New Roman"/>
                  <w:noProof/>
                  <w:color w:val="000000" w:themeColor="text1"/>
                  <w:sz w:val="20"/>
                  <w:szCs w:val="20"/>
                </w:rPr>
              </w:pPr>
              <w:r w:rsidRPr="00164238">
                <w:rPr>
                  <w:rFonts w:ascii="Times New Roman" w:hAnsi="Times New Roman" w:cs="Times New Roman"/>
                  <w:noProof/>
                  <w:color w:val="000000" w:themeColor="text1"/>
                  <w:sz w:val="20"/>
                  <w:szCs w:val="20"/>
                </w:rPr>
                <w:t xml:space="preserve">(2020). </w:t>
              </w:r>
              <w:r w:rsidRPr="00164238">
                <w:rPr>
                  <w:rFonts w:ascii="Times New Roman" w:hAnsi="Times New Roman" w:cs="Times New Roman"/>
                  <w:i/>
                  <w:iCs/>
                  <w:noProof/>
                  <w:color w:val="000000" w:themeColor="text1"/>
                  <w:sz w:val="20"/>
                  <w:szCs w:val="20"/>
                </w:rPr>
                <w:t>Employment Situation Summary.</w:t>
              </w:r>
              <w:r w:rsidRPr="00164238">
                <w:rPr>
                  <w:rFonts w:ascii="Times New Roman" w:hAnsi="Times New Roman" w:cs="Times New Roman"/>
                  <w:noProof/>
                  <w:color w:val="000000" w:themeColor="text1"/>
                  <w:sz w:val="20"/>
                  <w:szCs w:val="20"/>
                </w:rPr>
                <w:t xml:space="preserve"> Washington, DC: U.S. Bureau of Labor Statistics.</w:t>
              </w:r>
            </w:p>
            <w:p w14:paraId="1CA88DF8" w14:textId="77777777" w:rsidR="00522634" w:rsidRPr="00164238" w:rsidRDefault="00522634" w:rsidP="00522634">
              <w:pPr>
                <w:pStyle w:val="Kaynaka"/>
                <w:spacing w:before="120" w:after="120" w:line="276" w:lineRule="auto"/>
                <w:ind w:left="720" w:hanging="720"/>
                <w:rPr>
                  <w:rFonts w:ascii="Times New Roman" w:hAnsi="Times New Roman" w:cs="Times New Roman"/>
                  <w:noProof/>
                  <w:color w:val="000000" w:themeColor="text1"/>
                  <w:sz w:val="20"/>
                  <w:szCs w:val="20"/>
                </w:rPr>
              </w:pPr>
              <w:r w:rsidRPr="00164238">
                <w:rPr>
                  <w:rFonts w:ascii="Times New Roman" w:hAnsi="Times New Roman" w:cs="Times New Roman"/>
                  <w:noProof/>
                  <w:color w:val="000000" w:themeColor="text1"/>
                  <w:sz w:val="20"/>
                  <w:szCs w:val="20"/>
                </w:rPr>
                <w:t xml:space="preserve">Fairlie, R. W., Couch , K., &amp; Xu, H. (2020). The Impacts of COVID-19 on Minority Unemployment: First Evidence from April 2020 CPS Microdata. </w:t>
              </w:r>
              <w:r w:rsidRPr="00164238">
                <w:rPr>
                  <w:rFonts w:ascii="Times New Roman" w:hAnsi="Times New Roman" w:cs="Times New Roman"/>
                  <w:i/>
                  <w:iCs/>
                  <w:noProof/>
                  <w:color w:val="000000" w:themeColor="text1"/>
                  <w:sz w:val="20"/>
                  <w:szCs w:val="20"/>
                </w:rPr>
                <w:t>National Bureau of Economic research-Working Papers</w:t>
              </w:r>
              <w:r w:rsidRPr="00164238">
                <w:rPr>
                  <w:rFonts w:ascii="Times New Roman" w:hAnsi="Times New Roman" w:cs="Times New Roman"/>
                  <w:noProof/>
                  <w:color w:val="000000" w:themeColor="text1"/>
                  <w:sz w:val="20"/>
                  <w:szCs w:val="20"/>
                </w:rPr>
                <w:t>.</w:t>
              </w:r>
            </w:p>
            <w:p w14:paraId="095B23E9" w14:textId="77777777" w:rsidR="00522634" w:rsidRPr="00164238" w:rsidRDefault="00522634" w:rsidP="00522634">
              <w:pPr>
                <w:pStyle w:val="Kaynaka"/>
                <w:spacing w:before="120" w:after="120" w:line="276" w:lineRule="auto"/>
                <w:ind w:left="720" w:hanging="720"/>
                <w:rPr>
                  <w:rFonts w:ascii="Times New Roman" w:hAnsi="Times New Roman" w:cs="Times New Roman"/>
                  <w:noProof/>
                  <w:color w:val="000000" w:themeColor="text1"/>
                  <w:sz w:val="20"/>
                  <w:szCs w:val="20"/>
                </w:rPr>
              </w:pPr>
              <w:r w:rsidRPr="00164238">
                <w:rPr>
                  <w:rFonts w:ascii="Times New Roman" w:hAnsi="Times New Roman" w:cs="Times New Roman"/>
                  <w:noProof/>
                  <w:color w:val="000000" w:themeColor="text1"/>
                  <w:sz w:val="20"/>
                  <w:szCs w:val="20"/>
                </w:rPr>
                <w:lastRenderedPageBreak/>
                <w:t>Gangopadhyaya, A., &amp; Garrett, A. B. (2020). Unemployment, Health Insurance, and the COVID-19 Recession.</w:t>
              </w:r>
            </w:p>
            <w:p w14:paraId="087D59B2" w14:textId="77777777" w:rsidR="00522634" w:rsidRPr="00164238" w:rsidRDefault="00522634" w:rsidP="00522634">
              <w:pPr>
                <w:pStyle w:val="Kaynaka"/>
                <w:spacing w:before="120" w:after="120" w:line="276" w:lineRule="auto"/>
                <w:ind w:left="720" w:hanging="720"/>
                <w:rPr>
                  <w:rFonts w:ascii="Times New Roman" w:hAnsi="Times New Roman" w:cs="Times New Roman"/>
                  <w:noProof/>
                  <w:color w:val="000000" w:themeColor="text1"/>
                  <w:sz w:val="20"/>
                  <w:szCs w:val="20"/>
                </w:rPr>
              </w:pPr>
              <w:r w:rsidRPr="00164238">
                <w:rPr>
                  <w:rFonts w:ascii="Times New Roman" w:hAnsi="Times New Roman" w:cs="Times New Roman"/>
                  <w:noProof/>
                  <w:color w:val="000000" w:themeColor="text1"/>
                  <w:sz w:val="20"/>
                  <w:szCs w:val="20"/>
                </w:rPr>
                <w:t xml:space="preserve">Garrett, A. B., &amp; Gangopadhyaya, A. (2020). </w:t>
              </w:r>
              <w:r w:rsidRPr="00164238">
                <w:rPr>
                  <w:rFonts w:ascii="Times New Roman" w:hAnsi="Times New Roman" w:cs="Times New Roman"/>
                  <w:i/>
                  <w:iCs/>
                  <w:noProof/>
                  <w:color w:val="000000" w:themeColor="text1"/>
                  <w:sz w:val="20"/>
                  <w:szCs w:val="20"/>
                </w:rPr>
                <w:t>Timely Analysis of Immediate Health Policy Issues</w:t>
              </w:r>
              <w:r w:rsidRPr="00164238">
                <w:rPr>
                  <w:rFonts w:ascii="Times New Roman" w:hAnsi="Times New Roman" w:cs="Times New Roman"/>
                  <w:noProof/>
                  <w:color w:val="000000" w:themeColor="text1"/>
                  <w:sz w:val="20"/>
                  <w:szCs w:val="20"/>
                </w:rPr>
                <w:t>.</w:t>
              </w:r>
            </w:p>
            <w:p w14:paraId="4BE6B00B" w14:textId="77777777" w:rsidR="00522634" w:rsidRPr="00164238" w:rsidRDefault="00522634" w:rsidP="00522634">
              <w:pPr>
                <w:pStyle w:val="Kaynaka"/>
                <w:spacing w:before="120" w:after="120" w:line="276" w:lineRule="auto"/>
                <w:ind w:left="720" w:hanging="720"/>
                <w:rPr>
                  <w:rFonts w:ascii="Times New Roman" w:hAnsi="Times New Roman" w:cs="Times New Roman"/>
                  <w:noProof/>
                  <w:color w:val="000000" w:themeColor="text1"/>
                  <w:sz w:val="20"/>
                  <w:szCs w:val="20"/>
                </w:rPr>
              </w:pPr>
              <w:r w:rsidRPr="00164238">
                <w:rPr>
                  <w:rFonts w:ascii="Times New Roman" w:hAnsi="Times New Roman" w:cs="Times New Roman"/>
                  <w:noProof/>
                  <w:color w:val="000000" w:themeColor="text1"/>
                  <w:sz w:val="20"/>
                  <w:szCs w:val="20"/>
                </w:rPr>
                <w:t xml:space="preserve">Kawohl, W., &amp; Nordt, C. (2020). COVID-19, unemployment, and suicide. </w:t>
              </w:r>
              <w:r w:rsidRPr="00164238">
                <w:rPr>
                  <w:rFonts w:ascii="Times New Roman" w:hAnsi="Times New Roman" w:cs="Times New Roman"/>
                  <w:i/>
                  <w:iCs/>
                  <w:noProof/>
                  <w:color w:val="000000" w:themeColor="text1"/>
                  <w:sz w:val="20"/>
                  <w:szCs w:val="20"/>
                </w:rPr>
                <w:t>The Lancet Psychiatry</w:t>
              </w:r>
              <w:r w:rsidRPr="00164238">
                <w:rPr>
                  <w:rFonts w:ascii="Times New Roman" w:hAnsi="Times New Roman" w:cs="Times New Roman"/>
                  <w:noProof/>
                  <w:color w:val="000000" w:themeColor="text1"/>
                  <w:sz w:val="20"/>
                  <w:szCs w:val="20"/>
                </w:rPr>
                <w:t>, 389-390.</w:t>
              </w:r>
            </w:p>
            <w:p w14:paraId="6BFC808B" w14:textId="77777777" w:rsidR="00522634" w:rsidRPr="00164238" w:rsidRDefault="00522634" w:rsidP="00522634">
              <w:pPr>
                <w:pStyle w:val="Kaynaka"/>
                <w:spacing w:before="120" w:after="120" w:line="276" w:lineRule="auto"/>
                <w:ind w:left="720" w:hanging="720"/>
                <w:rPr>
                  <w:rFonts w:ascii="Times New Roman" w:hAnsi="Times New Roman" w:cs="Times New Roman"/>
                  <w:noProof/>
                  <w:color w:val="000000" w:themeColor="text1"/>
                  <w:sz w:val="20"/>
                  <w:szCs w:val="20"/>
                </w:rPr>
              </w:pPr>
              <w:r w:rsidRPr="00164238">
                <w:rPr>
                  <w:rFonts w:ascii="Times New Roman" w:hAnsi="Times New Roman" w:cs="Times New Roman"/>
                  <w:noProof/>
                  <w:color w:val="000000" w:themeColor="text1"/>
                  <w:sz w:val="20"/>
                  <w:szCs w:val="20"/>
                </w:rPr>
                <w:t xml:space="preserve">Martin, A., Markhvida, M., Hallegatte, S., &amp; Walsh , B. (2020). Socio-Economic Impacts of COVID-19 on Household Consumption and Poverty. </w:t>
              </w:r>
              <w:r w:rsidRPr="00164238">
                <w:rPr>
                  <w:rFonts w:ascii="Times New Roman" w:hAnsi="Times New Roman" w:cs="Times New Roman"/>
                  <w:i/>
                  <w:iCs/>
                  <w:noProof/>
                  <w:color w:val="000000" w:themeColor="text1"/>
                  <w:sz w:val="20"/>
                  <w:szCs w:val="20"/>
                </w:rPr>
                <w:t>Economics of Disasters and Climate Change</w:t>
              </w:r>
              <w:r w:rsidRPr="00164238">
                <w:rPr>
                  <w:rFonts w:ascii="Times New Roman" w:hAnsi="Times New Roman" w:cs="Times New Roman"/>
                  <w:noProof/>
                  <w:color w:val="000000" w:themeColor="text1"/>
                  <w:sz w:val="20"/>
                  <w:szCs w:val="20"/>
                </w:rPr>
                <w:t>, 453–479.</w:t>
              </w:r>
            </w:p>
            <w:p w14:paraId="50DC3993" w14:textId="77777777" w:rsidR="00522634" w:rsidRPr="00164238" w:rsidRDefault="00522634" w:rsidP="00522634">
              <w:pPr>
                <w:pStyle w:val="Kaynaka"/>
                <w:spacing w:before="120" w:after="120" w:line="276" w:lineRule="auto"/>
                <w:ind w:left="720" w:hanging="720"/>
                <w:rPr>
                  <w:rFonts w:ascii="Times New Roman" w:hAnsi="Times New Roman" w:cs="Times New Roman"/>
                  <w:noProof/>
                  <w:color w:val="000000" w:themeColor="text1"/>
                  <w:sz w:val="20"/>
                  <w:szCs w:val="20"/>
                </w:rPr>
              </w:pPr>
              <w:r w:rsidRPr="00164238">
                <w:rPr>
                  <w:rFonts w:ascii="Times New Roman" w:hAnsi="Times New Roman" w:cs="Times New Roman"/>
                  <w:noProof/>
                  <w:color w:val="000000" w:themeColor="text1"/>
                  <w:sz w:val="20"/>
                  <w:szCs w:val="20"/>
                </w:rPr>
                <w:t xml:space="preserve">(2020). </w:t>
              </w:r>
              <w:r w:rsidRPr="00164238">
                <w:rPr>
                  <w:rFonts w:ascii="Times New Roman" w:hAnsi="Times New Roman" w:cs="Times New Roman"/>
                  <w:i/>
                  <w:iCs/>
                  <w:noProof/>
                  <w:color w:val="000000" w:themeColor="text1"/>
                  <w:sz w:val="20"/>
                  <w:szCs w:val="20"/>
                </w:rPr>
                <w:t>OECD.</w:t>
              </w:r>
              <w:r w:rsidRPr="00164238">
                <w:rPr>
                  <w:rFonts w:ascii="Times New Roman" w:hAnsi="Times New Roman" w:cs="Times New Roman"/>
                  <w:noProof/>
                  <w:color w:val="000000" w:themeColor="text1"/>
                  <w:sz w:val="20"/>
                  <w:szCs w:val="20"/>
                </w:rPr>
                <w:t xml:space="preserve"> Organisation for Economic Co-operation and Development.</w:t>
              </w:r>
            </w:p>
            <w:p w14:paraId="2B999797" w14:textId="77777777" w:rsidR="00522634" w:rsidRPr="00164238" w:rsidRDefault="00522634" w:rsidP="00522634">
              <w:pPr>
                <w:pStyle w:val="Kaynaka"/>
                <w:spacing w:before="120" w:after="120" w:line="276" w:lineRule="auto"/>
                <w:ind w:left="720" w:hanging="720"/>
                <w:rPr>
                  <w:rFonts w:ascii="Times New Roman" w:hAnsi="Times New Roman" w:cs="Times New Roman"/>
                  <w:noProof/>
                  <w:color w:val="000000" w:themeColor="text1"/>
                  <w:sz w:val="20"/>
                  <w:szCs w:val="20"/>
                </w:rPr>
              </w:pPr>
              <w:r w:rsidRPr="00164238">
                <w:rPr>
                  <w:rFonts w:ascii="Times New Roman" w:hAnsi="Times New Roman" w:cs="Times New Roman"/>
                  <w:noProof/>
                  <w:color w:val="000000" w:themeColor="text1"/>
                  <w:sz w:val="20"/>
                  <w:szCs w:val="20"/>
                </w:rPr>
                <w:t xml:space="preserve">Ozili, P. (2020). COVID-19 in Africa: socio-economic impact, policy response and opportunities. </w:t>
              </w:r>
              <w:r w:rsidRPr="00164238">
                <w:rPr>
                  <w:rFonts w:ascii="Times New Roman" w:hAnsi="Times New Roman" w:cs="Times New Roman"/>
                  <w:i/>
                  <w:iCs/>
                  <w:noProof/>
                  <w:color w:val="000000" w:themeColor="text1"/>
                  <w:sz w:val="20"/>
                  <w:szCs w:val="20"/>
                </w:rPr>
                <w:t>International Journal of Sociology and Social Policy</w:t>
              </w:r>
              <w:r w:rsidRPr="00164238">
                <w:rPr>
                  <w:rFonts w:ascii="Times New Roman" w:hAnsi="Times New Roman" w:cs="Times New Roman"/>
                  <w:noProof/>
                  <w:color w:val="000000" w:themeColor="text1"/>
                  <w:sz w:val="20"/>
                  <w:szCs w:val="20"/>
                </w:rPr>
                <w:t>.</w:t>
              </w:r>
            </w:p>
            <w:p w14:paraId="3E5957DE" w14:textId="77777777" w:rsidR="00522634" w:rsidRPr="00164238" w:rsidRDefault="00522634" w:rsidP="00522634">
              <w:pPr>
                <w:pStyle w:val="Kaynaka"/>
                <w:spacing w:before="120" w:after="120" w:line="276" w:lineRule="auto"/>
                <w:ind w:left="720" w:hanging="720"/>
                <w:rPr>
                  <w:rFonts w:ascii="Times New Roman" w:hAnsi="Times New Roman" w:cs="Times New Roman"/>
                  <w:noProof/>
                  <w:color w:val="000000" w:themeColor="text1"/>
                  <w:sz w:val="20"/>
                  <w:szCs w:val="20"/>
                </w:rPr>
              </w:pPr>
              <w:r w:rsidRPr="00164238">
                <w:rPr>
                  <w:rFonts w:ascii="Times New Roman" w:hAnsi="Times New Roman" w:cs="Times New Roman"/>
                  <w:noProof/>
                  <w:color w:val="000000" w:themeColor="text1"/>
                  <w:sz w:val="20"/>
                  <w:szCs w:val="20"/>
                </w:rPr>
                <w:t xml:space="preserve">Rollston, R., &amp; Galea, S. (2020). COVID-19 and the social determinants of health. </w:t>
              </w:r>
              <w:r w:rsidRPr="00164238">
                <w:rPr>
                  <w:rFonts w:ascii="Times New Roman" w:hAnsi="Times New Roman" w:cs="Times New Roman"/>
                  <w:i/>
                  <w:iCs/>
                  <w:noProof/>
                  <w:color w:val="000000" w:themeColor="text1"/>
                  <w:sz w:val="20"/>
                  <w:szCs w:val="20"/>
                </w:rPr>
                <w:t>American Journal of Health Promotion</w:t>
              </w:r>
              <w:r w:rsidRPr="00164238">
                <w:rPr>
                  <w:rFonts w:ascii="Times New Roman" w:hAnsi="Times New Roman" w:cs="Times New Roman"/>
                  <w:noProof/>
                  <w:color w:val="000000" w:themeColor="text1"/>
                  <w:sz w:val="20"/>
                  <w:szCs w:val="20"/>
                </w:rPr>
                <w:t>.</w:t>
              </w:r>
            </w:p>
            <w:p w14:paraId="048CBB97" w14:textId="77777777" w:rsidR="00522634" w:rsidRPr="00164238" w:rsidRDefault="00522634" w:rsidP="00522634">
              <w:pPr>
                <w:pStyle w:val="Kaynaka"/>
                <w:spacing w:before="120" w:after="120" w:line="276" w:lineRule="auto"/>
                <w:ind w:left="720" w:hanging="720"/>
                <w:rPr>
                  <w:rFonts w:ascii="Times New Roman" w:hAnsi="Times New Roman" w:cs="Times New Roman"/>
                  <w:noProof/>
                  <w:color w:val="000000" w:themeColor="text1"/>
                  <w:sz w:val="20"/>
                  <w:szCs w:val="20"/>
                </w:rPr>
              </w:pPr>
              <w:r w:rsidRPr="00164238">
                <w:rPr>
                  <w:rFonts w:ascii="Times New Roman" w:hAnsi="Times New Roman" w:cs="Times New Roman"/>
                  <w:noProof/>
                  <w:color w:val="000000" w:themeColor="text1"/>
                  <w:sz w:val="20"/>
                  <w:szCs w:val="20"/>
                </w:rPr>
                <w:t xml:space="preserve">Ruiz-Euler, A., Privitera, F., Giuffrida, D., Lake, B., &amp; Zara, I. (2020). Mobility Patterns and Income Distribution in Times of Crisis: U.S. Urban Centers During the COVID-19 Pandemic. </w:t>
              </w:r>
              <w:r w:rsidRPr="00164238">
                <w:rPr>
                  <w:rFonts w:ascii="Times New Roman" w:hAnsi="Times New Roman" w:cs="Times New Roman"/>
                  <w:i/>
                  <w:iCs/>
                  <w:noProof/>
                  <w:color w:val="000000" w:themeColor="text1"/>
                  <w:sz w:val="20"/>
                  <w:szCs w:val="20"/>
                </w:rPr>
                <w:t>SSRN</w:t>
              </w:r>
              <w:r w:rsidRPr="00164238">
                <w:rPr>
                  <w:rFonts w:ascii="Times New Roman" w:hAnsi="Times New Roman" w:cs="Times New Roman"/>
                  <w:noProof/>
                  <w:color w:val="000000" w:themeColor="text1"/>
                  <w:sz w:val="20"/>
                  <w:szCs w:val="20"/>
                </w:rPr>
                <w:t>.</w:t>
              </w:r>
            </w:p>
            <w:p w14:paraId="26053E76" w14:textId="77777777" w:rsidR="00522634" w:rsidRPr="00164238" w:rsidRDefault="00522634" w:rsidP="00522634">
              <w:pPr>
                <w:pStyle w:val="Kaynaka"/>
                <w:spacing w:before="120" w:after="120" w:line="276" w:lineRule="auto"/>
                <w:ind w:left="720" w:hanging="720"/>
                <w:rPr>
                  <w:rFonts w:ascii="Times New Roman" w:hAnsi="Times New Roman" w:cs="Times New Roman"/>
                  <w:noProof/>
                  <w:color w:val="000000" w:themeColor="text1"/>
                  <w:sz w:val="20"/>
                  <w:szCs w:val="20"/>
                </w:rPr>
              </w:pPr>
              <w:r w:rsidRPr="00164238">
                <w:rPr>
                  <w:rFonts w:ascii="Times New Roman" w:hAnsi="Times New Roman" w:cs="Times New Roman"/>
                  <w:noProof/>
                  <w:color w:val="000000" w:themeColor="text1"/>
                  <w:sz w:val="20"/>
                  <w:szCs w:val="20"/>
                </w:rPr>
                <w:t>Wildman, J. (2021). COVID</w:t>
              </w:r>
              <w:r w:rsidRPr="00164238">
                <w:rPr>
                  <w:rFonts w:ascii="Times New Roman" w:hAnsi="Times New Roman" w:cs="Times New Roman"/>
                  <w:noProof/>
                  <w:color w:val="000000" w:themeColor="text1"/>
                  <w:sz w:val="20"/>
                  <w:szCs w:val="20"/>
                </w:rPr>
                <w:noBreakHyphen/>
                <w:t xml:space="preserve">19 and income inequality in OECD countries. </w:t>
              </w:r>
              <w:r w:rsidRPr="00164238">
                <w:rPr>
                  <w:rFonts w:ascii="Times New Roman" w:hAnsi="Times New Roman" w:cs="Times New Roman"/>
                  <w:i/>
                  <w:iCs/>
                  <w:noProof/>
                  <w:color w:val="000000" w:themeColor="text1"/>
                  <w:sz w:val="20"/>
                  <w:szCs w:val="20"/>
                </w:rPr>
                <w:t xml:space="preserve">The European Journal of Health Economics </w:t>
              </w:r>
              <w:r w:rsidRPr="00164238">
                <w:rPr>
                  <w:rFonts w:ascii="Times New Roman" w:hAnsi="Times New Roman" w:cs="Times New Roman"/>
                  <w:noProof/>
                  <w:color w:val="000000" w:themeColor="text1"/>
                  <w:sz w:val="20"/>
                  <w:szCs w:val="20"/>
                </w:rPr>
                <w:t>, 22:455–462.</w:t>
              </w:r>
            </w:p>
            <w:p w14:paraId="323A0DF5" w14:textId="77777777" w:rsidR="00522634" w:rsidRPr="00164238" w:rsidRDefault="00522634" w:rsidP="00522634">
              <w:pPr>
                <w:pStyle w:val="Kaynaka"/>
                <w:spacing w:before="120" w:after="120" w:line="276" w:lineRule="auto"/>
                <w:ind w:left="720" w:hanging="720"/>
                <w:rPr>
                  <w:rFonts w:ascii="Times New Roman" w:hAnsi="Times New Roman" w:cs="Times New Roman"/>
                  <w:noProof/>
                  <w:color w:val="000000" w:themeColor="text1"/>
                  <w:sz w:val="20"/>
                  <w:szCs w:val="20"/>
                </w:rPr>
              </w:pPr>
              <w:r w:rsidRPr="00164238">
                <w:rPr>
                  <w:rFonts w:ascii="Times New Roman" w:hAnsi="Times New Roman" w:cs="Times New Roman"/>
                  <w:noProof/>
                  <w:color w:val="000000" w:themeColor="text1"/>
                  <w:sz w:val="20"/>
                  <w:szCs w:val="20"/>
                </w:rPr>
                <w:t xml:space="preserve">Woolhandler, S., &amp; Himmelstein, D. U. (2020). Intersecting US epidemics: COVID-19 and lack of health insurance. </w:t>
              </w:r>
              <w:r w:rsidRPr="00164238">
                <w:rPr>
                  <w:rFonts w:ascii="Times New Roman" w:hAnsi="Times New Roman" w:cs="Times New Roman"/>
                  <w:i/>
                  <w:iCs/>
                  <w:noProof/>
                  <w:color w:val="000000" w:themeColor="text1"/>
                  <w:sz w:val="20"/>
                  <w:szCs w:val="20"/>
                </w:rPr>
                <w:t>Annals of Internal Medicine</w:t>
              </w:r>
              <w:r w:rsidRPr="00164238">
                <w:rPr>
                  <w:rFonts w:ascii="Times New Roman" w:hAnsi="Times New Roman" w:cs="Times New Roman"/>
                  <w:noProof/>
                  <w:color w:val="000000" w:themeColor="text1"/>
                  <w:sz w:val="20"/>
                  <w:szCs w:val="20"/>
                </w:rPr>
                <w:t>.</w:t>
              </w:r>
            </w:p>
            <w:p w14:paraId="783648B7" w14:textId="77777777" w:rsidR="00522634" w:rsidRPr="00164238" w:rsidRDefault="00522634" w:rsidP="00522634">
              <w:pPr>
                <w:pStyle w:val="Kaynaka"/>
                <w:spacing w:before="120" w:after="120" w:line="276" w:lineRule="auto"/>
                <w:ind w:left="720" w:hanging="720"/>
                <w:rPr>
                  <w:rFonts w:ascii="Times New Roman" w:hAnsi="Times New Roman" w:cs="Times New Roman"/>
                  <w:noProof/>
                  <w:color w:val="000000" w:themeColor="text1"/>
                  <w:sz w:val="20"/>
                  <w:szCs w:val="20"/>
                </w:rPr>
              </w:pPr>
              <w:r w:rsidRPr="00164238">
                <w:rPr>
                  <w:rFonts w:ascii="Times New Roman" w:hAnsi="Times New Roman" w:cs="Times New Roman"/>
                  <w:noProof/>
                  <w:color w:val="000000" w:themeColor="text1"/>
                  <w:sz w:val="20"/>
                  <w:szCs w:val="20"/>
                </w:rPr>
                <w:t xml:space="preserve">Yang, H., &amp; Deng , P. (2021). The Impact of COVID-19 and Government Intervention on Stock Markets of OECD Countries. </w:t>
              </w:r>
              <w:r w:rsidRPr="00164238">
                <w:rPr>
                  <w:rFonts w:ascii="Times New Roman" w:hAnsi="Times New Roman" w:cs="Times New Roman"/>
                  <w:i/>
                  <w:iCs/>
                  <w:noProof/>
                  <w:color w:val="000000" w:themeColor="text1"/>
                  <w:sz w:val="20"/>
                  <w:szCs w:val="20"/>
                </w:rPr>
                <w:t>Asian Economic Letters</w:t>
              </w:r>
              <w:r w:rsidRPr="00164238">
                <w:rPr>
                  <w:rFonts w:ascii="Times New Roman" w:hAnsi="Times New Roman" w:cs="Times New Roman"/>
                  <w:noProof/>
                  <w:color w:val="000000" w:themeColor="text1"/>
                  <w:sz w:val="20"/>
                  <w:szCs w:val="20"/>
                </w:rPr>
                <w:t>.</w:t>
              </w:r>
            </w:p>
            <w:p w14:paraId="55909714" w14:textId="77777777" w:rsidR="00522634" w:rsidRPr="00164238" w:rsidRDefault="00522634" w:rsidP="00522634">
              <w:pPr>
                <w:spacing w:before="120" w:after="120" w:line="276" w:lineRule="auto"/>
                <w:rPr>
                  <w:rFonts w:ascii="Times New Roman" w:hAnsi="Times New Roman" w:cs="Times New Roman"/>
                  <w:color w:val="000000" w:themeColor="text1"/>
                  <w:sz w:val="20"/>
                  <w:szCs w:val="20"/>
                </w:rPr>
              </w:pPr>
              <w:r w:rsidRPr="00164238">
                <w:rPr>
                  <w:rFonts w:ascii="Times New Roman" w:hAnsi="Times New Roman" w:cs="Times New Roman"/>
                  <w:b/>
                  <w:bCs/>
                  <w:noProof/>
                  <w:color w:val="000000" w:themeColor="text1"/>
                  <w:sz w:val="20"/>
                  <w:szCs w:val="20"/>
                </w:rPr>
                <w:fldChar w:fldCharType="end"/>
              </w:r>
            </w:p>
          </w:sdtContent>
        </w:sdt>
      </w:sdtContent>
    </w:sdt>
    <w:p w14:paraId="2700CB2F" w14:textId="3D5260E4" w:rsidR="00522634" w:rsidRDefault="00522634" w:rsidP="00522634">
      <w:pPr>
        <w:spacing w:before="120" w:after="120" w:line="276" w:lineRule="auto"/>
        <w:jc w:val="both"/>
        <w:rPr>
          <w:rFonts w:ascii="Times New Roman" w:hAnsi="Times New Roman" w:cs="Times New Roman"/>
          <w:color w:val="000000" w:themeColor="text1"/>
          <w:sz w:val="20"/>
          <w:szCs w:val="20"/>
          <w:shd w:val="clear" w:color="auto" w:fill="FFFFFF"/>
        </w:rPr>
      </w:pPr>
    </w:p>
    <w:p w14:paraId="1C5BE6D8" w14:textId="446AF255" w:rsidR="00C95516" w:rsidRDefault="00C95516" w:rsidP="00522634">
      <w:pPr>
        <w:spacing w:before="120" w:after="120" w:line="276" w:lineRule="auto"/>
        <w:jc w:val="both"/>
        <w:rPr>
          <w:rFonts w:ascii="Times New Roman" w:hAnsi="Times New Roman" w:cs="Times New Roman"/>
          <w:color w:val="000000" w:themeColor="text1"/>
          <w:sz w:val="20"/>
          <w:szCs w:val="20"/>
          <w:shd w:val="clear" w:color="auto" w:fill="FFFFFF"/>
        </w:rPr>
      </w:pPr>
    </w:p>
    <w:p w14:paraId="55DF9266" w14:textId="71F3C12A" w:rsidR="00C95516" w:rsidRDefault="00C95516" w:rsidP="00522634">
      <w:pPr>
        <w:spacing w:before="120" w:after="120" w:line="276" w:lineRule="auto"/>
        <w:jc w:val="both"/>
        <w:rPr>
          <w:rFonts w:ascii="Times New Roman" w:hAnsi="Times New Roman" w:cs="Times New Roman"/>
          <w:color w:val="000000" w:themeColor="text1"/>
          <w:sz w:val="20"/>
          <w:szCs w:val="20"/>
          <w:shd w:val="clear" w:color="auto" w:fill="FFFFFF"/>
        </w:rPr>
      </w:pPr>
    </w:p>
    <w:p w14:paraId="2F466910" w14:textId="53054438" w:rsidR="00C95516" w:rsidRDefault="00C95516" w:rsidP="00522634">
      <w:pPr>
        <w:spacing w:before="120" w:after="120" w:line="276" w:lineRule="auto"/>
        <w:jc w:val="both"/>
        <w:rPr>
          <w:rFonts w:ascii="Times New Roman" w:hAnsi="Times New Roman" w:cs="Times New Roman"/>
          <w:color w:val="000000" w:themeColor="text1"/>
          <w:sz w:val="20"/>
          <w:szCs w:val="20"/>
          <w:shd w:val="clear" w:color="auto" w:fill="FFFFFF"/>
        </w:rPr>
      </w:pPr>
    </w:p>
    <w:p w14:paraId="0C16F808" w14:textId="77873D41" w:rsidR="00C95516" w:rsidRDefault="00C95516" w:rsidP="00522634">
      <w:pPr>
        <w:spacing w:before="120" w:after="120" w:line="276" w:lineRule="auto"/>
        <w:jc w:val="both"/>
        <w:rPr>
          <w:rFonts w:ascii="Times New Roman" w:hAnsi="Times New Roman" w:cs="Times New Roman"/>
          <w:color w:val="000000" w:themeColor="text1"/>
          <w:sz w:val="20"/>
          <w:szCs w:val="20"/>
          <w:shd w:val="clear" w:color="auto" w:fill="FFFFFF"/>
        </w:rPr>
      </w:pPr>
    </w:p>
    <w:p w14:paraId="1A45E88B" w14:textId="3BD7EE4C" w:rsidR="00C95516" w:rsidRDefault="00C95516" w:rsidP="00522634">
      <w:pPr>
        <w:spacing w:before="120" w:after="120" w:line="276" w:lineRule="auto"/>
        <w:jc w:val="both"/>
        <w:rPr>
          <w:rFonts w:ascii="Times New Roman" w:hAnsi="Times New Roman" w:cs="Times New Roman"/>
          <w:color w:val="000000" w:themeColor="text1"/>
          <w:sz w:val="20"/>
          <w:szCs w:val="20"/>
          <w:shd w:val="clear" w:color="auto" w:fill="FFFFFF"/>
        </w:rPr>
      </w:pPr>
    </w:p>
    <w:p w14:paraId="65DDB4CC" w14:textId="5EDC0055" w:rsidR="00C95516" w:rsidRDefault="00C95516" w:rsidP="00522634">
      <w:pPr>
        <w:spacing w:before="120" w:after="120" w:line="276" w:lineRule="auto"/>
        <w:jc w:val="both"/>
        <w:rPr>
          <w:rFonts w:ascii="Times New Roman" w:hAnsi="Times New Roman" w:cs="Times New Roman"/>
          <w:color w:val="000000" w:themeColor="text1"/>
          <w:sz w:val="20"/>
          <w:szCs w:val="20"/>
          <w:shd w:val="clear" w:color="auto" w:fill="FFFFFF"/>
        </w:rPr>
      </w:pPr>
    </w:p>
    <w:p w14:paraId="39059479" w14:textId="12DFDC1C" w:rsidR="00C95516" w:rsidRDefault="00C95516" w:rsidP="00522634">
      <w:pPr>
        <w:spacing w:before="120" w:after="120" w:line="276" w:lineRule="auto"/>
        <w:jc w:val="both"/>
        <w:rPr>
          <w:rFonts w:ascii="Times New Roman" w:hAnsi="Times New Roman" w:cs="Times New Roman"/>
          <w:color w:val="000000" w:themeColor="text1"/>
          <w:sz w:val="20"/>
          <w:szCs w:val="20"/>
          <w:shd w:val="clear" w:color="auto" w:fill="FFFFFF"/>
        </w:rPr>
      </w:pPr>
    </w:p>
    <w:p w14:paraId="310BCAD5" w14:textId="6D487A3C" w:rsidR="00C95516" w:rsidRDefault="00C95516" w:rsidP="00522634">
      <w:pPr>
        <w:spacing w:before="120" w:after="120" w:line="276" w:lineRule="auto"/>
        <w:jc w:val="both"/>
        <w:rPr>
          <w:rFonts w:ascii="Times New Roman" w:hAnsi="Times New Roman" w:cs="Times New Roman"/>
          <w:color w:val="000000" w:themeColor="text1"/>
          <w:sz w:val="20"/>
          <w:szCs w:val="20"/>
          <w:shd w:val="clear" w:color="auto" w:fill="FFFFFF"/>
        </w:rPr>
      </w:pPr>
    </w:p>
    <w:p w14:paraId="10863E9E" w14:textId="5303BC9E" w:rsidR="00C95516" w:rsidRDefault="00C95516" w:rsidP="00522634">
      <w:pPr>
        <w:spacing w:before="120" w:after="120" w:line="276" w:lineRule="auto"/>
        <w:jc w:val="both"/>
        <w:rPr>
          <w:rFonts w:ascii="Times New Roman" w:hAnsi="Times New Roman" w:cs="Times New Roman"/>
          <w:color w:val="000000" w:themeColor="text1"/>
          <w:sz w:val="20"/>
          <w:szCs w:val="20"/>
          <w:shd w:val="clear" w:color="auto" w:fill="FFFFFF"/>
        </w:rPr>
      </w:pPr>
    </w:p>
    <w:p w14:paraId="5167CEF7" w14:textId="04E02D1C" w:rsidR="00C95516" w:rsidRDefault="00C95516" w:rsidP="00522634">
      <w:pPr>
        <w:spacing w:before="120" w:after="120" w:line="276" w:lineRule="auto"/>
        <w:jc w:val="both"/>
        <w:rPr>
          <w:rFonts w:ascii="Times New Roman" w:hAnsi="Times New Roman" w:cs="Times New Roman"/>
          <w:color w:val="000000" w:themeColor="text1"/>
          <w:sz w:val="20"/>
          <w:szCs w:val="20"/>
          <w:shd w:val="clear" w:color="auto" w:fill="FFFFFF"/>
        </w:rPr>
      </w:pPr>
    </w:p>
    <w:p w14:paraId="272F3B47" w14:textId="122F0BC5" w:rsidR="00C95516" w:rsidRDefault="00C95516" w:rsidP="00522634">
      <w:pPr>
        <w:spacing w:before="120" w:after="120" w:line="276" w:lineRule="auto"/>
        <w:jc w:val="both"/>
        <w:rPr>
          <w:rFonts w:ascii="Times New Roman" w:hAnsi="Times New Roman" w:cs="Times New Roman"/>
          <w:color w:val="000000" w:themeColor="text1"/>
          <w:sz w:val="20"/>
          <w:szCs w:val="20"/>
          <w:shd w:val="clear" w:color="auto" w:fill="FFFFFF"/>
        </w:rPr>
      </w:pPr>
    </w:p>
    <w:p w14:paraId="31E33A71" w14:textId="034753B4" w:rsidR="00C95516" w:rsidRDefault="00C95516" w:rsidP="00522634">
      <w:pPr>
        <w:spacing w:before="120" w:after="120" w:line="276" w:lineRule="auto"/>
        <w:jc w:val="both"/>
        <w:rPr>
          <w:rFonts w:ascii="Times New Roman" w:hAnsi="Times New Roman" w:cs="Times New Roman"/>
          <w:color w:val="000000" w:themeColor="text1"/>
          <w:sz w:val="20"/>
          <w:szCs w:val="20"/>
          <w:shd w:val="clear" w:color="auto" w:fill="FFFFFF"/>
        </w:rPr>
      </w:pPr>
    </w:p>
    <w:p w14:paraId="6262D956" w14:textId="6CE87F69" w:rsidR="00C95516" w:rsidRDefault="00C95516" w:rsidP="00522634">
      <w:pPr>
        <w:spacing w:before="120" w:after="120" w:line="276" w:lineRule="auto"/>
        <w:jc w:val="both"/>
        <w:rPr>
          <w:rFonts w:ascii="Times New Roman" w:hAnsi="Times New Roman" w:cs="Times New Roman"/>
          <w:color w:val="000000" w:themeColor="text1"/>
          <w:sz w:val="20"/>
          <w:szCs w:val="20"/>
          <w:shd w:val="clear" w:color="auto" w:fill="FFFFFF"/>
        </w:rPr>
      </w:pPr>
    </w:p>
    <w:p w14:paraId="2E6CC456" w14:textId="77777777" w:rsidR="00C95516" w:rsidRPr="00164238" w:rsidRDefault="00C95516" w:rsidP="00522634">
      <w:pPr>
        <w:spacing w:before="120" w:after="120" w:line="276" w:lineRule="auto"/>
        <w:jc w:val="both"/>
        <w:rPr>
          <w:rFonts w:ascii="Times New Roman" w:hAnsi="Times New Roman" w:cs="Times New Roman"/>
          <w:color w:val="000000" w:themeColor="text1"/>
          <w:sz w:val="20"/>
          <w:szCs w:val="20"/>
          <w:shd w:val="clear" w:color="auto" w:fill="FFFFFF"/>
        </w:rPr>
      </w:pPr>
    </w:p>
    <w:p w14:paraId="5B7C8168" w14:textId="77777777" w:rsidR="00522634" w:rsidRPr="00164238" w:rsidRDefault="00522634" w:rsidP="00522634">
      <w:pPr>
        <w:spacing w:before="120" w:after="120" w:line="276" w:lineRule="auto"/>
        <w:jc w:val="both"/>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rPr>
        <w:lastRenderedPageBreak/>
        <w:t>Tablo ve Grafikler</w:t>
      </w:r>
    </w:p>
    <w:tbl>
      <w:tblPr>
        <w:tblW w:w="10762" w:type="dxa"/>
        <w:tblInd w:w="-810" w:type="dxa"/>
        <w:tblCellMar>
          <w:left w:w="70" w:type="dxa"/>
          <w:right w:w="70" w:type="dxa"/>
        </w:tblCellMar>
        <w:tblLook w:val="04A0" w:firstRow="1" w:lastRow="0" w:firstColumn="1" w:lastColumn="0" w:noHBand="0" w:noVBand="1"/>
      </w:tblPr>
      <w:tblGrid>
        <w:gridCol w:w="5130"/>
        <w:gridCol w:w="1170"/>
        <w:gridCol w:w="1902"/>
        <w:gridCol w:w="1300"/>
        <w:gridCol w:w="1260"/>
      </w:tblGrid>
      <w:tr w:rsidR="00AE5E6C" w:rsidRPr="00164238" w14:paraId="6B3A18E1" w14:textId="77777777" w:rsidTr="00682CBF">
        <w:trPr>
          <w:trHeight w:val="312"/>
        </w:trPr>
        <w:tc>
          <w:tcPr>
            <w:tcW w:w="8202" w:type="dxa"/>
            <w:gridSpan w:val="3"/>
            <w:tcBorders>
              <w:top w:val="nil"/>
              <w:left w:val="nil"/>
              <w:bottom w:val="nil"/>
              <w:right w:val="nil"/>
            </w:tcBorders>
            <w:shd w:val="clear" w:color="000000" w:fill="FFFFFF"/>
            <w:noWrap/>
            <w:vAlign w:val="bottom"/>
            <w:hideMark/>
          </w:tcPr>
          <w:p w14:paraId="527D6C77" w14:textId="77777777" w:rsidR="00522634" w:rsidRPr="00164238" w:rsidRDefault="00522634" w:rsidP="00522634">
            <w:pPr>
              <w:spacing w:before="120" w:after="120" w:line="276" w:lineRule="auto"/>
              <w:rPr>
                <w:rFonts w:ascii="Times New Roman" w:eastAsia="Times New Roman" w:hAnsi="Times New Roman" w:cs="Times New Roman"/>
                <w:b/>
                <w:bCs/>
                <w:color w:val="000000" w:themeColor="text1"/>
                <w:sz w:val="20"/>
                <w:szCs w:val="20"/>
                <w:lang w:eastAsia="tr-TR"/>
              </w:rPr>
            </w:pPr>
            <w:r w:rsidRPr="00164238">
              <w:rPr>
                <w:rFonts w:ascii="Times New Roman" w:eastAsia="Times New Roman" w:hAnsi="Times New Roman" w:cs="Times New Roman"/>
                <w:b/>
                <w:bCs/>
                <w:color w:val="000000" w:themeColor="text1"/>
                <w:sz w:val="20"/>
                <w:szCs w:val="20"/>
                <w:lang w:eastAsia="tr-TR"/>
              </w:rPr>
              <w:t>Tablo 1: Amerika Birleşik Devletleri, endüstrilere göre işsizlik oranları              (Nisan 2019- Nisan 2020)</w:t>
            </w:r>
          </w:p>
        </w:tc>
        <w:tc>
          <w:tcPr>
            <w:tcW w:w="1300" w:type="dxa"/>
            <w:tcBorders>
              <w:top w:val="nil"/>
              <w:left w:val="nil"/>
              <w:bottom w:val="nil"/>
              <w:right w:val="nil"/>
            </w:tcBorders>
            <w:shd w:val="clear" w:color="000000" w:fill="FFFFFF"/>
            <w:noWrap/>
            <w:vAlign w:val="bottom"/>
            <w:hideMark/>
          </w:tcPr>
          <w:p w14:paraId="30B6EA79" w14:textId="77777777" w:rsidR="00522634" w:rsidRPr="00164238" w:rsidRDefault="00522634" w:rsidP="00522634">
            <w:pPr>
              <w:spacing w:before="120" w:after="120" w:line="276"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c>
          <w:tcPr>
            <w:tcW w:w="1260" w:type="dxa"/>
            <w:tcBorders>
              <w:top w:val="nil"/>
              <w:left w:val="nil"/>
              <w:bottom w:val="nil"/>
              <w:right w:val="nil"/>
            </w:tcBorders>
            <w:shd w:val="clear" w:color="000000" w:fill="FFFFFF"/>
            <w:noWrap/>
            <w:vAlign w:val="bottom"/>
            <w:hideMark/>
          </w:tcPr>
          <w:p w14:paraId="744DE43E" w14:textId="77777777" w:rsidR="00522634" w:rsidRPr="00164238" w:rsidRDefault="00522634" w:rsidP="00522634">
            <w:pPr>
              <w:spacing w:before="120" w:after="120" w:line="276"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r>
      <w:tr w:rsidR="00AE5E6C" w:rsidRPr="00164238" w14:paraId="1DF555DD" w14:textId="77777777" w:rsidTr="00682CBF">
        <w:trPr>
          <w:trHeight w:val="636"/>
        </w:trPr>
        <w:tc>
          <w:tcPr>
            <w:tcW w:w="5130" w:type="dxa"/>
            <w:tcBorders>
              <w:top w:val="single" w:sz="4" w:space="0" w:color="auto"/>
              <w:left w:val="nil"/>
              <w:bottom w:val="nil"/>
              <w:right w:val="nil"/>
            </w:tcBorders>
            <w:shd w:val="clear" w:color="000000" w:fill="FFFFFF"/>
            <w:noWrap/>
            <w:vAlign w:val="bottom"/>
            <w:hideMark/>
          </w:tcPr>
          <w:p w14:paraId="2ED96168" w14:textId="77777777" w:rsidR="00522634" w:rsidRPr="00164238" w:rsidRDefault="00522634" w:rsidP="00522634">
            <w:pPr>
              <w:spacing w:before="120" w:after="120" w:line="276"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Endüstriler</w:t>
            </w:r>
          </w:p>
        </w:tc>
        <w:tc>
          <w:tcPr>
            <w:tcW w:w="3072" w:type="dxa"/>
            <w:gridSpan w:val="2"/>
            <w:tcBorders>
              <w:top w:val="single" w:sz="4" w:space="0" w:color="auto"/>
              <w:left w:val="nil"/>
              <w:bottom w:val="nil"/>
              <w:right w:val="nil"/>
            </w:tcBorders>
            <w:shd w:val="clear" w:color="000000" w:fill="FFFFFF"/>
            <w:vAlign w:val="center"/>
            <w:hideMark/>
          </w:tcPr>
          <w:p w14:paraId="647A9B63" w14:textId="77777777" w:rsidR="00522634" w:rsidRPr="00164238" w:rsidRDefault="00522634" w:rsidP="00522634">
            <w:pPr>
              <w:spacing w:before="120" w:after="120" w:line="276"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10000 kişide istihdam dışında kalan nüfus</w:t>
            </w:r>
          </w:p>
        </w:tc>
        <w:tc>
          <w:tcPr>
            <w:tcW w:w="2560" w:type="dxa"/>
            <w:gridSpan w:val="2"/>
            <w:tcBorders>
              <w:top w:val="single" w:sz="4" w:space="0" w:color="auto"/>
              <w:left w:val="nil"/>
              <w:bottom w:val="nil"/>
              <w:right w:val="nil"/>
            </w:tcBorders>
            <w:shd w:val="clear" w:color="000000" w:fill="FFFFFF"/>
            <w:noWrap/>
            <w:vAlign w:val="center"/>
            <w:hideMark/>
          </w:tcPr>
          <w:p w14:paraId="4EA7FF2E" w14:textId="77777777" w:rsidR="00522634" w:rsidRPr="00164238" w:rsidRDefault="00522634" w:rsidP="00522634">
            <w:pPr>
              <w:spacing w:before="120" w:after="120" w:line="276" w:lineRule="auto"/>
              <w:jc w:val="center"/>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İşsizlik oranı</w:t>
            </w:r>
          </w:p>
        </w:tc>
      </w:tr>
      <w:tr w:rsidR="00AE5E6C" w:rsidRPr="00164238" w14:paraId="01A80713" w14:textId="77777777" w:rsidTr="00682CBF">
        <w:trPr>
          <w:trHeight w:val="312"/>
        </w:trPr>
        <w:tc>
          <w:tcPr>
            <w:tcW w:w="5130" w:type="dxa"/>
            <w:tcBorders>
              <w:top w:val="nil"/>
              <w:left w:val="nil"/>
              <w:bottom w:val="single" w:sz="4" w:space="0" w:color="auto"/>
              <w:right w:val="nil"/>
            </w:tcBorders>
            <w:shd w:val="clear" w:color="000000" w:fill="FFFFFF"/>
            <w:noWrap/>
            <w:vAlign w:val="bottom"/>
            <w:hideMark/>
          </w:tcPr>
          <w:p w14:paraId="67EBC411" w14:textId="77777777" w:rsidR="00522634" w:rsidRPr="00164238" w:rsidRDefault="00522634" w:rsidP="00522634">
            <w:pPr>
              <w:spacing w:before="120" w:after="120" w:line="276"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c>
          <w:tcPr>
            <w:tcW w:w="1170" w:type="dxa"/>
            <w:tcBorders>
              <w:top w:val="nil"/>
              <w:left w:val="nil"/>
              <w:bottom w:val="single" w:sz="4" w:space="0" w:color="auto"/>
              <w:right w:val="nil"/>
            </w:tcBorders>
            <w:shd w:val="clear" w:color="000000" w:fill="FFFFFF"/>
            <w:noWrap/>
            <w:vAlign w:val="bottom"/>
            <w:hideMark/>
          </w:tcPr>
          <w:p w14:paraId="5ACDB6A3" w14:textId="77777777" w:rsidR="00522634" w:rsidRPr="00164238" w:rsidRDefault="00522634" w:rsidP="00522634">
            <w:pPr>
              <w:spacing w:before="120" w:after="120" w:line="276"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Nisan-19</w:t>
            </w:r>
          </w:p>
        </w:tc>
        <w:tc>
          <w:tcPr>
            <w:tcW w:w="1902" w:type="dxa"/>
            <w:tcBorders>
              <w:top w:val="nil"/>
              <w:left w:val="nil"/>
              <w:bottom w:val="single" w:sz="4" w:space="0" w:color="auto"/>
              <w:right w:val="nil"/>
            </w:tcBorders>
            <w:shd w:val="clear" w:color="000000" w:fill="FFFFFF"/>
            <w:noWrap/>
            <w:vAlign w:val="bottom"/>
            <w:hideMark/>
          </w:tcPr>
          <w:p w14:paraId="20E46BBA" w14:textId="77777777" w:rsidR="00522634" w:rsidRPr="00164238" w:rsidRDefault="00522634" w:rsidP="00522634">
            <w:pPr>
              <w:spacing w:before="120" w:after="120" w:line="276"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Nisan-20</w:t>
            </w:r>
          </w:p>
        </w:tc>
        <w:tc>
          <w:tcPr>
            <w:tcW w:w="1300" w:type="dxa"/>
            <w:tcBorders>
              <w:top w:val="nil"/>
              <w:left w:val="nil"/>
              <w:bottom w:val="single" w:sz="4" w:space="0" w:color="auto"/>
              <w:right w:val="nil"/>
            </w:tcBorders>
            <w:shd w:val="clear" w:color="000000" w:fill="FFFFFF"/>
            <w:noWrap/>
            <w:vAlign w:val="bottom"/>
            <w:hideMark/>
          </w:tcPr>
          <w:p w14:paraId="7605703F" w14:textId="77777777" w:rsidR="00522634" w:rsidRPr="00164238" w:rsidRDefault="00522634" w:rsidP="00522634">
            <w:pPr>
              <w:spacing w:before="120" w:after="120" w:line="276"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Nisan-19</w:t>
            </w:r>
          </w:p>
        </w:tc>
        <w:tc>
          <w:tcPr>
            <w:tcW w:w="1260" w:type="dxa"/>
            <w:tcBorders>
              <w:top w:val="nil"/>
              <w:left w:val="nil"/>
              <w:bottom w:val="single" w:sz="4" w:space="0" w:color="auto"/>
              <w:right w:val="nil"/>
            </w:tcBorders>
            <w:shd w:val="clear" w:color="000000" w:fill="FFFFFF"/>
            <w:noWrap/>
            <w:vAlign w:val="bottom"/>
            <w:hideMark/>
          </w:tcPr>
          <w:p w14:paraId="49B00B23" w14:textId="77777777" w:rsidR="00522634" w:rsidRPr="00164238" w:rsidRDefault="00522634" w:rsidP="00522634">
            <w:pPr>
              <w:spacing w:before="120" w:after="120" w:line="276"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Nisan-20</w:t>
            </w:r>
          </w:p>
        </w:tc>
      </w:tr>
      <w:tr w:rsidR="00AE5E6C" w:rsidRPr="00164238" w14:paraId="0A763522" w14:textId="77777777" w:rsidTr="00682CBF">
        <w:trPr>
          <w:trHeight w:val="312"/>
        </w:trPr>
        <w:tc>
          <w:tcPr>
            <w:tcW w:w="5130" w:type="dxa"/>
            <w:tcBorders>
              <w:top w:val="nil"/>
              <w:left w:val="nil"/>
              <w:bottom w:val="nil"/>
              <w:right w:val="nil"/>
            </w:tcBorders>
            <w:shd w:val="clear" w:color="000000" w:fill="FFFFFF"/>
            <w:noWrap/>
            <w:vAlign w:val="bottom"/>
            <w:hideMark/>
          </w:tcPr>
          <w:p w14:paraId="262410B6" w14:textId="77777777" w:rsidR="00522634" w:rsidRPr="00164238" w:rsidRDefault="00522634" w:rsidP="00522634">
            <w:pPr>
              <w:spacing w:before="120" w:after="120" w:line="276"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c>
          <w:tcPr>
            <w:tcW w:w="1170" w:type="dxa"/>
            <w:tcBorders>
              <w:top w:val="nil"/>
              <w:left w:val="nil"/>
              <w:bottom w:val="nil"/>
              <w:right w:val="nil"/>
            </w:tcBorders>
            <w:shd w:val="clear" w:color="000000" w:fill="FFFFFF"/>
            <w:noWrap/>
            <w:vAlign w:val="bottom"/>
            <w:hideMark/>
          </w:tcPr>
          <w:p w14:paraId="50A1E16C" w14:textId="77777777" w:rsidR="00522634" w:rsidRPr="00164238" w:rsidRDefault="00522634" w:rsidP="00522634">
            <w:pPr>
              <w:spacing w:before="120" w:after="120" w:line="276"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c>
          <w:tcPr>
            <w:tcW w:w="1902" w:type="dxa"/>
            <w:tcBorders>
              <w:top w:val="nil"/>
              <w:left w:val="nil"/>
              <w:bottom w:val="nil"/>
              <w:right w:val="nil"/>
            </w:tcBorders>
            <w:shd w:val="clear" w:color="000000" w:fill="FFFFFF"/>
            <w:noWrap/>
            <w:vAlign w:val="bottom"/>
            <w:hideMark/>
          </w:tcPr>
          <w:p w14:paraId="6D51C044" w14:textId="77777777" w:rsidR="00522634" w:rsidRPr="00164238" w:rsidRDefault="00522634" w:rsidP="00522634">
            <w:pPr>
              <w:spacing w:before="120" w:after="120" w:line="276"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c>
          <w:tcPr>
            <w:tcW w:w="1300" w:type="dxa"/>
            <w:tcBorders>
              <w:top w:val="nil"/>
              <w:left w:val="nil"/>
              <w:bottom w:val="nil"/>
              <w:right w:val="nil"/>
            </w:tcBorders>
            <w:shd w:val="clear" w:color="000000" w:fill="FFFFFF"/>
            <w:noWrap/>
            <w:vAlign w:val="bottom"/>
            <w:hideMark/>
          </w:tcPr>
          <w:p w14:paraId="7449D28E" w14:textId="77777777" w:rsidR="00522634" w:rsidRPr="00164238" w:rsidRDefault="00522634" w:rsidP="00522634">
            <w:pPr>
              <w:spacing w:before="120" w:after="120" w:line="276"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c>
          <w:tcPr>
            <w:tcW w:w="1260" w:type="dxa"/>
            <w:tcBorders>
              <w:top w:val="nil"/>
              <w:left w:val="nil"/>
              <w:bottom w:val="nil"/>
              <w:right w:val="nil"/>
            </w:tcBorders>
            <w:shd w:val="clear" w:color="000000" w:fill="FFFFFF"/>
            <w:noWrap/>
            <w:vAlign w:val="bottom"/>
            <w:hideMark/>
          </w:tcPr>
          <w:p w14:paraId="4F1F9A7B" w14:textId="77777777" w:rsidR="00522634" w:rsidRPr="00164238" w:rsidRDefault="00522634" w:rsidP="00522634">
            <w:pPr>
              <w:spacing w:before="120" w:after="120" w:line="276"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r>
      <w:tr w:rsidR="00AE5E6C" w:rsidRPr="00164238" w14:paraId="55FFE46A" w14:textId="77777777" w:rsidTr="00682CBF">
        <w:trPr>
          <w:trHeight w:val="312"/>
        </w:trPr>
        <w:tc>
          <w:tcPr>
            <w:tcW w:w="5130" w:type="dxa"/>
            <w:tcBorders>
              <w:top w:val="nil"/>
              <w:left w:val="nil"/>
              <w:bottom w:val="nil"/>
              <w:right w:val="nil"/>
            </w:tcBorders>
            <w:shd w:val="clear" w:color="000000" w:fill="FFFFFF"/>
            <w:noWrap/>
            <w:vAlign w:val="bottom"/>
            <w:hideMark/>
          </w:tcPr>
          <w:p w14:paraId="73E101A9" w14:textId="77777777" w:rsidR="00522634" w:rsidRPr="00164238" w:rsidRDefault="00522634" w:rsidP="00522634">
            <w:pPr>
              <w:spacing w:before="120" w:after="120" w:line="276"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Toplam, 16 yas ve üzeri</w:t>
            </w:r>
          </w:p>
        </w:tc>
        <w:tc>
          <w:tcPr>
            <w:tcW w:w="1170" w:type="dxa"/>
            <w:tcBorders>
              <w:top w:val="nil"/>
              <w:left w:val="nil"/>
              <w:bottom w:val="nil"/>
              <w:right w:val="nil"/>
            </w:tcBorders>
            <w:shd w:val="clear" w:color="000000" w:fill="FFFFFF"/>
            <w:noWrap/>
            <w:vAlign w:val="bottom"/>
            <w:hideMark/>
          </w:tcPr>
          <w:p w14:paraId="1A09A5F6" w14:textId="77777777" w:rsidR="00522634" w:rsidRPr="00164238" w:rsidRDefault="00522634" w:rsidP="00522634">
            <w:pPr>
              <w:spacing w:before="120" w:after="120" w:line="276"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5,387</w:t>
            </w:r>
          </w:p>
        </w:tc>
        <w:tc>
          <w:tcPr>
            <w:tcW w:w="1902" w:type="dxa"/>
            <w:tcBorders>
              <w:top w:val="nil"/>
              <w:left w:val="nil"/>
              <w:bottom w:val="nil"/>
              <w:right w:val="nil"/>
            </w:tcBorders>
            <w:shd w:val="clear" w:color="000000" w:fill="FFFFFF"/>
            <w:noWrap/>
            <w:vAlign w:val="bottom"/>
            <w:hideMark/>
          </w:tcPr>
          <w:p w14:paraId="7F3081B1" w14:textId="77777777" w:rsidR="00522634" w:rsidRPr="00164238" w:rsidRDefault="00522634" w:rsidP="00522634">
            <w:pPr>
              <w:spacing w:before="120" w:after="120" w:line="276"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22,504</w:t>
            </w:r>
          </w:p>
        </w:tc>
        <w:tc>
          <w:tcPr>
            <w:tcW w:w="1300" w:type="dxa"/>
            <w:tcBorders>
              <w:top w:val="nil"/>
              <w:left w:val="nil"/>
              <w:bottom w:val="nil"/>
              <w:right w:val="nil"/>
            </w:tcBorders>
            <w:shd w:val="clear" w:color="000000" w:fill="FFFFFF"/>
            <w:noWrap/>
            <w:vAlign w:val="bottom"/>
            <w:hideMark/>
          </w:tcPr>
          <w:p w14:paraId="02EC4D67" w14:textId="77777777" w:rsidR="00522634" w:rsidRPr="00164238" w:rsidRDefault="00522634" w:rsidP="00522634">
            <w:pPr>
              <w:spacing w:before="120" w:after="120" w:line="276"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3.3</w:t>
            </w:r>
          </w:p>
        </w:tc>
        <w:tc>
          <w:tcPr>
            <w:tcW w:w="1260" w:type="dxa"/>
            <w:tcBorders>
              <w:top w:val="nil"/>
              <w:left w:val="nil"/>
              <w:bottom w:val="nil"/>
              <w:right w:val="nil"/>
            </w:tcBorders>
            <w:shd w:val="clear" w:color="000000" w:fill="FFFFFF"/>
            <w:noWrap/>
            <w:vAlign w:val="bottom"/>
            <w:hideMark/>
          </w:tcPr>
          <w:p w14:paraId="3E6223B0" w14:textId="77777777" w:rsidR="00522634" w:rsidRPr="00164238" w:rsidRDefault="00522634" w:rsidP="00522634">
            <w:pPr>
              <w:spacing w:before="120" w:after="120" w:line="276"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14.4</w:t>
            </w:r>
          </w:p>
        </w:tc>
      </w:tr>
      <w:tr w:rsidR="00AE5E6C" w:rsidRPr="00164238" w14:paraId="2F189E79" w14:textId="77777777" w:rsidTr="00682CBF">
        <w:trPr>
          <w:trHeight w:val="312"/>
        </w:trPr>
        <w:tc>
          <w:tcPr>
            <w:tcW w:w="5130" w:type="dxa"/>
            <w:tcBorders>
              <w:top w:val="nil"/>
              <w:left w:val="nil"/>
              <w:bottom w:val="nil"/>
              <w:right w:val="nil"/>
            </w:tcBorders>
            <w:shd w:val="clear" w:color="000000" w:fill="FFFFFF"/>
            <w:noWrap/>
            <w:vAlign w:val="bottom"/>
            <w:hideMark/>
          </w:tcPr>
          <w:p w14:paraId="54EAA04E" w14:textId="77777777" w:rsidR="00522634" w:rsidRPr="00164238" w:rsidRDefault="00522634" w:rsidP="00522634">
            <w:pPr>
              <w:spacing w:before="120" w:after="120" w:line="276"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xml:space="preserve">Tarım dışında kalan </w:t>
            </w:r>
          </w:p>
        </w:tc>
        <w:tc>
          <w:tcPr>
            <w:tcW w:w="1170" w:type="dxa"/>
            <w:tcBorders>
              <w:top w:val="nil"/>
              <w:left w:val="nil"/>
              <w:bottom w:val="nil"/>
              <w:right w:val="nil"/>
            </w:tcBorders>
            <w:shd w:val="clear" w:color="000000" w:fill="FFFFFF"/>
            <w:noWrap/>
            <w:vAlign w:val="bottom"/>
            <w:hideMark/>
          </w:tcPr>
          <w:p w14:paraId="4814BC75" w14:textId="77777777" w:rsidR="00522634" w:rsidRPr="00164238" w:rsidRDefault="00522634" w:rsidP="00522634">
            <w:pPr>
              <w:spacing w:before="120" w:after="120" w:line="276"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4,254</w:t>
            </w:r>
          </w:p>
        </w:tc>
        <w:tc>
          <w:tcPr>
            <w:tcW w:w="1902" w:type="dxa"/>
            <w:tcBorders>
              <w:top w:val="nil"/>
              <w:left w:val="nil"/>
              <w:bottom w:val="nil"/>
              <w:right w:val="nil"/>
            </w:tcBorders>
            <w:shd w:val="clear" w:color="000000" w:fill="FFFFFF"/>
            <w:noWrap/>
            <w:vAlign w:val="bottom"/>
            <w:hideMark/>
          </w:tcPr>
          <w:p w14:paraId="5E8EB276" w14:textId="77777777" w:rsidR="00522634" w:rsidRPr="00164238" w:rsidRDefault="00522634" w:rsidP="00522634">
            <w:pPr>
              <w:spacing w:before="120" w:after="120" w:line="276"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19,167</w:t>
            </w:r>
          </w:p>
        </w:tc>
        <w:tc>
          <w:tcPr>
            <w:tcW w:w="1300" w:type="dxa"/>
            <w:tcBorders>
              <w:top w:val="nil"/>
              <w:left w:val="nil"/>
              <w:bottom w:val="nil"/>
              <w:right w:val="nil"/>
            </w:tcBorders>
            <w:shd w:val="clear" w:color="000000" w:fill="FFFFFF"/>
            <w:noWrap/>
            <w:vAlign w:val="bottom"/>
            <w:hideMark/>
          </w:tcPr>
          <w:p w14:paraId="23615088" w14:textId="77777777" w:rsidR="00522634" w:rsidRPr="00164238" w:rsidRDefault="00522634" w:rsidP="00522634">
            <w:pPr>
              <w:spacing w:before="120" w:after="120" w:line="276"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3.3</w:t>
            </w:r>
          </w:p>
        </w:tc>
        <w:tc>
          <w:tcPr>
            <w:tcW w:w="1260" w:type="dxa"/>
            <w:tcBorders>
              <w:top w:val="nil"/>
              <w:left w:val="nil"/>
              <w:bottom w:val="nil"/>
              <w:right w:val="nil"/>
            </w:tcBorders>
            <w:shd w:val="clear" w:color="000000" w:fill="FFFFFF"/>
            <w:noWrap/>
            <w:vAlign w:val="bottom"/>
            <w:hideMark/>
          </w:tcPr>
          <w:p w14:paraId="675B27F4" w14:textId="77777777" w:rsidR="00522634" w:rsidRPr="00164238" w:rsidRDefault="00522634" w:rsidP="00522634">
            <w:pPr>
              <w:spacing w:before="120" w:after="120" w:line="276"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15.6</w:t>
            </w:r>
          </w:p>
        </w:tc>
      </w:tr>
      <w:tr w:rsidR="00AE5E6C" w:rsidRPr="00164238" w14:paraId="1D5183AA" w14:textId="77777777" w:rsidTr="00682CBF">
        <w:trPr>
          <w:trHeight w:val="312"/>
        </w:trPr>
        <w:tc>
          <w:tcPr>
            <w:tcW w:w="5130" w:type="dxa"/>
            <w:tcBorders>
              <w:top w:val="nil"/>
              <w:left w:val="nil"/>
              <w:bottom w:val="nil"/>
              <w:right w:val="nil"/>
            </w:tcBorders>
            <w:shd w:val="clear" w:color="000000" w:fill="FFFFFF"/>
            <w:noWrap/>
            <w:vAlign w:val="bottom"/>
            <w:hideMark/>
          </w:tcPr>
          <w:p w14:paraId="5E8451D6" w14:textId="77777777" w:rsidR="00522634" w:rsidRPr="00164238" w:rsidRDefault="00522634" w:rsidP="00522634">
            <w:pPr>
              <w:spacing w:before="120" w:after="120" w:line="276"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Madencilik</w:t>
            </w:r>
          </w:p>
        </w:tc>
        <w:tc>
          <w:tcPr>
            <w:tcW w:w="1170" w:type="dxa"/>
            <w:tcBorders>
              <w:top w:val="nil"/>
              <w:left w:val="nil"/>
              <w:bottom w:val="nil"/>
              <w:right w:val="nil"/>
            </w:tcBorders>
            <w:shd w:val="clear" w:color="000000" w:fill="FFFFFF"/>
            <w:noWrap/>
            <w:vAlign w:val="bottom"/>
            <w:hideMark/>
          </w:tcPr>
          <w:p w14:paraId="15445C55" w14:textId="77777777" w:rsidR="00522634" w:rsidRPr="00164238" w:rsidRDefault="00522634" w:rsidP="00522634">
            <w:pPr>
              <w:spacing w:before="120" w:after="120" w:line="276"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17</w:t>
            </w:r>
          </w:p>
        </w:tc>
        <w:tc>
          <w:tcPr>
            <w:tcW w:w="1902" w:type="dxa"/>
            <w:tcBorders>
              <w:top w:val="nil"/>
              <w:left w:val="nil"/>
              <w:bottom w:val="nil"/>
              <w:right w:val="nil"/>
            </w:tcBorders>
            <w:shd w:val="clear" w:color="000000" w:fill="FFFFFF"/>
            <w:noWrap/>
            <w:vAlign w:val="bottom"/>
            <w:hideMark/>
          </w:tcPr>
          <w:p w14:paraId="7A96D755" w14:textId="77777777" w:rsidR="00522634" w:rsidRPr="00164238" w:rsidRDefault="00522634" w:rsidP="00522634">
            <w:pPr>
              <w:spacing w:before="120" w:after="120" w:line="276"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77</w:t>
            </w:r>
          </w:p>
        </w:tc>
        <w:tc>
          <w:tcPr>
            <w:tcW w:w="1300" w:type="dxa"/>
            <w:tcBorders>
              <w:top w:val="nil"/>
              <w:left w:val="nil"/>
              <w:bottom w:val="nil"/>
              <w:right w:val="nil"/>
            </w:tcBorders>
            <w:shd w:val="clear" w:color="000000" w:fill="FFFFFF"/>
            <w:noWrap/>
            <w:vAlign w:val="bottom"/>
            <w:hideMark/>
          </w:tcPr>
          <w:p w14:paraId="07CFC966" w14:textId="77777777" w:rsidR="00522634" w:rsidRPr="00164238" w:rsidRDefault="00522634" w:rsidP="00522634">
            <w:pPr>
              <w:spacing w:before="120" w:after="120" w:line="276"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2.4</w:t>
            </w:r>
          </w:p>
        </w:tc>
        <w:tc>
          <w:tcPr>
            <w:tcW w:w="1260" w:type="dxa"/>
            <w:tcBorders>
              <w:top w:val="nil"/>
              <w:left w:val="nil"/>
              <w:bottom w:val="nil"/>
              <w:right w:val="nil"/>
            </w:tcBorders>
            <w:shd w:val="clear" w:color="000000" w:fill="FFFFFF"/>
            <w:noWrap/>
            <w:vAlign w:val="bottom"/>
            <w:hideMark/>
          </w:tcPr>
          <w:p w14:paraId="496E08B9" w14:textId="77777777" w:rsidR="00522634" w:rsidRPr="00164238" w:rsidRDefault="00522634" w:rsidP="00522634">
            <w:pPr>
              <w:spacing w:before="120" w:after="120" w:line="276"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10.2</w:t>
            </w:r>
          </w:p>
        </w:tc>
      </w:tr>
      <w:tr w:rsidR="00AE5E6C" w:rsidRPr="00164238" w14:paraId="04501E2F" w14:textId="77777777" w:rsidTr="00682CBF">
        <w:trPr>
          <w:trHeight w:val="312"/>
        </w:trPr>
        <w:tc>
          <w:tcPr>
            <w:tcW w:w="5130" w:type="dxa"/>
            <w:tcBorders>
              <w:top w:val="nil"/>
              <w:left w:val="nil"/>
              <w:bottom w:val="nil"/>
              <w:right w:val="nil"/>
            </w:tcBorders>
            <w:shd w:val="clear" w:color="000000" w:fill="FFFFFF"/>
            <w:noWrap/>
            <w:vAlign w:val="bottom"/>
            <w:hideMark/>
          </w:tcPr>
          <w:p w14:paraId="5B34DE28" w14:textId="77777777" w:rsidR="00522634" w:rsidRPr="00164238" w:rsidRDefault="00522634" w:rsidP="00522634">
            <w:pPr>
              <w:spacing w:before="120" w:after="120" w:line="276"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İnşaat</w:t>
            </w:r>
          </w:p>
        </w:tc>
        <w:tc>
          <w:tcPr>
            <w:tcW w:w="1170" w:type="dxa"/>
            <w:tcBorders>
              <w:top w:val="nil"/>
              <w:left w:val="nil"/>
              <w:bottom w:val="nil"/>
              <w:right w:val="nil"/>
            </w:tcBorders>
            <w:shd w:val="clear" w:color="000000" w:fill="FFFFFF"/>
            <w:noWrap/>
            <w:vAlign w:val="bottom"/>
            <w:hideMark/>
          </w:tcPr>
          <w:p w14:paraId="163B96BA" w14:textId="77777777" w:rsidR="00522634" w:rsidRPr="00164238" w:rsidRDefault="00522634" w:rsidP="00522634">
            <w:pPr>
              <w:spacing w:before="120" w:after="120" w:line="276"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439</w:t>
            </w:r>
          </w:p>
        </w:tc>
        <w:tc>
          <w:tcPr>
            <w:tcW w:w="1902" w:type="dxa"/>
            <w:tcBorders>
              <w:top w:val="nil"/>
              <w:left w:val="nil"/>
              <w:bottom w:val="nil"/>
              <w:right w:val="nil"/>
            </w:tcBorders>
            <w:shd w:val="clear" w:color="000000" w:fill="FFFFFF"/>
            <w:noWrap/>
            <w:vAlign w:val="bottom"/>
            <w:hideMark/>
          </w:tcPr>
          <w:p w14:paraId="07120A28" w14:textId="77777777" w:rsidR="00522634" w:rsidRPr="00164238" w:rsidRDefault="00522634" w:rsidP="00522634">
            <w:pPr>
              <w:spacing w:before="120" w:after="120" w:line="276"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1,531</w:t>
            </w:r>
          </w:p>
        </w:tc>
        <w:tc>
          <w:tcPr>
            <w:tcW w:w="1300" w:type="dxa"/>
            <w:tcBorders>
              <w:top w:val="nil"/>
              <w:left w:val="nil"/>
              <w:bottom w:val="nil"/>
              <w:right w:val="nil"/>
            </w:tcBorders>
            <w:shd w:val="clear" w:color="000000" w:fill="FFFFFF"/>
            <w:noWrap/>
            <w:vAlign w:val="bottom"/>
            <w:hideMark/>
          </w:tcPr>
          <w:p w14:paraId="5A1C56EE" w14:textId="77777777" w:rsidR="00522634" w:rsidRPr="00164238" w:rsidRDefault="00522634" w:rsidP="00522634">
            <w:pPr>
              <w:spacing w:before="120" w:after="120" w:line="276"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4.7</w:t>
            </w:r>
          </w:p>
        </w:tc>
        <w:tc>
          <w:tcPr>
            <w:tcW w:w="1260" w:type="dxa"/>
            <w:tcBorders>
              <w:top w:val="nil"/>
              <w:left w:val="nil"/>
              <w:bottom w:val="nil"/>
              <w:right w:val="nil"/>
            </w:tcBorders>
            <w:shd w:val="clear" w:color="000000" w:fill="FFFFFF"/>
            <w:noWrap/>
            <w:vAlign w:val="bottom"/>
            <w:hideMark/>
          </w:tcPr>
          <w:p w14:paraId="0C3FBD5C" w14:textId="77777777" w:rsidR="00522634" w:rsidRPr="00164238" w:rsidRDefault="00522634" w:rsidP="00522634">
            <w:pPr>
              <w:spacing w:before="120" w:after="120" w:line="276"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16.6</w:t>
            </w:r>
          </w:p>
        </w:tc>
      </w:tr>
      <w:tr w:rsidR="00AE5E6C" w:rsidRPr="00164238" w14:paraId="29964BE0" w14:textId="77777777" w:rsidTr="00682CBF">
        <w:trPr>
          <w:trHeight w:val="312"/>
        </w:trPr>
        <w:tc>
          <w:tcPr>
            <w:tcW w:w="5130" w:type="dxa"/>
            <w:tcBorders>
              <w:top w:val="nil"/>
              <w:left w:val="nil"/>
              <w:bottom w:val="nil"/>
              <w:right w:val="nil"/>
            </w:tcBorders>
            <w:shd w:val="clear" w:color="000000" w:fill="FFFFFF"/>
            <w:noWrap/>
            <w:vAlign w:val="bottom"/>
            <w:hideMark/>
          </w:tcPr>
          <w:p w14:paraId="10A2A78D" w14:textId="77777777" w:rsidR="00522634" w:rsidRPr="00164238" w:rsidRDefault="00522634" w:rsidP="00522634">
            <w:pPr>
              <w:spacing w:before="120" w:after="120" w:line="276"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xml:space="preserve">İmalat </w:t>
            </w:r>
          </w:p>
        </w:tc>
        <w:tc>
          <w:tcPr>
            <w:tcW w:w="1170" w:type="dxa"/>
            <w:tcBorders>
              <w:top w:val="nil"/>
              <w:left w:val="nil"/>
              <w:bottom w:val="nil"/>
              <w:right w:val="nil"/>
            </w:tcBorders>
            <w:shd w:val="clear" w:color="000000" w:fill="FFFFFF"/>
            <w:noWrap/>
            <w:vAlign w:val="bottom"/>
            <w:hideMark/>
          </w:tcPr>
          <w:p w14:paraId="4B0281B9" w14:textId="77777777" w:rsidR="00522634" w:rsidRPr="00164238" w:rsidRDefault="00522634" w:rsidP="00522634">
            <w:pPr>
              <w:spacing w:before="120" w:after="120" w:line="276"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483</w:t>
            </w:r>
          </w:p>
        </w:tc>
        <w:tc>
          <w:tcPr>
            <w:tcW w:w="1902" w:type="dxa"/>
            <w:tcBorders>
              <w:top w:val="nil"/>
              <w:left w:val="nil"/>
              <w:bottom w:val="nil"/>
              <w:right w:val="nil"/>
            </w:tcBorders>
            <w:shd w:val="clear" w:color="000000" w:fill="FFFFFF"/>
            <w:noWrap/>
            <w:vAlign w:val="bottom"/>
            <w:hideMark/>
          </w:tcPr>
          <w:p w14:paraId="3A376435" w14:textId="77777777" w:rsidR="00522634" w:rsidRPr="00164238" w:rsidRDefault="00522634" w:rsidP="00522634">
            <w:pPr>
              <w:spacing w:before="120" w:after="120" w:line="276"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1,992</w:t>
            </w:r>
          </w:p>
        </w:tc>
        <w:tc>
          <w:tcPr>
            <w:tcW w:w="1300" w:type="dxa"/>
            <w:tcBorders>
              <w:top w:val="nil"/>
              <w:left w:val="nil"/>
              <w:bottom w:val="nil"/>
              <w:right w:val="nil"/>
            </w:tcBorders>
            <w:shd w:val="clear" w:color="000000" w:fill="FFFFFF"/>
            <w:noWrap/>
            <w:vAlign w:val="bottom"/>
            <w:hideMark/>
          </w:tcPr>
          <w:p w14:paraId="7A0C2276" w14:textId="77777777" w:rsidR="00522634" w:rsidRPr="00164238" w:rsidRDefault="00522634" w:rsidP="00522634">
            <w:pPr>
              <w:spacing w:before="120" w:after="120" w:line="276"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3</w:t>
            </w:r>
          </w:p>
        </w:tc>
        <w:tc>
          <w:tcPr>
            <w:tcW w:w="1260" w:type="dxa"/>
            <w:tcBorders>
              <w:top w:val="nil"/>
              <w:left w:val="nil"/>
              <w:bottom w:val="nil"/>
              <w:right w:val="nil"/>
            </w:tcBorders>
            <w:shd w:val="clear" w:color="000000" w:fill="FFFFFF"/>
            <w:noWrap/>
            <w:vAlign w:val="bottom"/>
            <w:hideMark/>
          </w:tcPr>
          <w:p w14:paraId="3E930792" w14:textId="77777777" w:rsidR="00522634" w:rsidRPr="00164238" w:rsidRDefault="00522634" w:rsidP="00522634">
            <w:pPr>
              <w:spacing w:before="120" w:after="120" w:line="276"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13.2</w:t>
            </w:r>
          </w:p>
        </w:tc>
      </w:tr>
      <w:tr w:rsidR="00AE5E6C" w:rsidRPr="00164238" w14:paraId="64A7B793" w14:textId="77777777" w:rsidTr="00682CBF">
        <w:trPr>
          <w:trHeight w:val="312"/>
        </w:trPr>
        <w:tc>
          <w:tcPr>
            <w:tcW w:w="5130" w:type="dxa"/>
            <w:tcBorders>
              <w:top w:val="nil"/>
              <w:left w:val="nil"/>
              <w:bottom w:val="nil"/>
              <w:right w:val="nil"/>
            </w:tcBorders>
            <w:shd w:val="clear" w:color="000000" w:fill="FFFFFF"/>
            <w:noWrap/>
            <w:vAlign w:val="bottom"/>
            <w:hideMark/>
          </w:tcPr>
          <w:p w14:paraId="05E99011" w14:textId="77777777" w:rsidR="00522634" w:rsidRPr="00164238" w:rsidRDefault="00522634" w:rsidP="00682CBF">
            <w:pPr>
              <w:spacing w:after="0" w:line="293" w:lineRule="atLeas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Dayanıklı tüketim malları</w:t>
            </w:r>
          </w:p>
        </w:tc>
        <w:tc>
          <w:tcPr>
            <w:tcW w:w="1170" w:type="dxa"/>
            <w:tcBorders>
              <w:top w:val="nil"/>
              <w:left w:val="nil"/>
              <w:bottom w:val="nil"/>
              <w:right w:val="nil"/>
            </w:tcBorders>
            <w:shd w:val="clear" w:color="000000" w:fill="FFFFFF"/>
            <w:noWrap/>
            <w:vAlign w:val="bottom"/>
            <w:hideMark/>
          </w:tcPr>
          <w:p w14:paraId="6C489EC9"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265</w:t>
            </w:r>
          </w:p>
        </w:tc>
        <w:tc>
          <w:tcPr>
            <w:tcW w:w="1902" w:type="dxa"/>
            <w:tcBorders>
              <w:top w:val="nil"/>
              <w:left w:val="nil"/>
              <w:bottom w:val="nil"/>
              <w:right w:val="nil"/>
            </w:tcBorders>
            <w:shd w:val="clear" w:color="000000" w:fill="FFFFFF"/>
            <w:noWrap/>
            <w:vAlign w:val="bottom"/>
            <w:hideMark/>
          </w:tcPr>
          <w:p w14:paraId="39007137"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1,416</w:t>
            </w:r>
          </w:p>
        </w:tc>
        <w:tc>
          <w:tcPr>
            <w:tcW w:w="1300" w:type="dxa"/>
            <w:tcBorders>
              <w:top w:val="nil"/>
              <w:left w:val="nil"/>
              <w:bottom w:val="nil"/>
              <w:right w:val="nil"/>
            </w:tcBorders>
            <w:shd w:val="clear" w:color="000000" w:fill="FFFFFF"/>
            <w:noWrap/>
            <w:vAlign w:val="bottom"/>
            <w:hideMark/>
          </w:tcPr>
          <w:p w14:paraId="61042FE8"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2.6</w:t>
            </w:r>
          </w:p>
        </w:tc>
        <w:tc>
          <w:tcPr>
            <w:tcW w:w="1260" w:type="dxa"/>
            <w:tcBorders>
              <w:top w:val="nil"/>
              <w:left w:val="nil"/>
              <w:bottom w:val="nil"/>
              <w:right w:val="nil"/>
            </w:tcBorders>
            <w:shd w:val="clear" w:color="000000" w:fill="FFFFFF"/>
            <w:noWrap/>
            <w:vAlign w:val="bottom"/>
            <w:hideMark/>
          </w:tcPr>
          <w:p w14:paraId="78AECAD1"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15.1</w:t>
            </w:r>
          </w:p>
        </w:tc>
      </w:tr>
      <w:tr w:rsidR="00AE5E6C" w:rsidRPr="00164238" w14:paraId="09D4397C" w14:textId="77777777" w:rsidTr="00682CBF">
        <w:trPr>
          <w:trHeight w:val="312"/>
        </w:trPr>
        <w:tc>
          <w:tcPr>
            <w:tcW w:w="5130" w:type="dxa"/>
            <w:tcBorders>
              <w:top w:val="nil"/>
              <w:left w:val="nil"/>
              <w:bottom w:val="nil"/>
              <w:right w:val="nil"/>
            </w:tcBorders>
            <w:shd w:val="clear" w:color="000000" w:fill="FFFFFF"/>
            <w:noWrap/>
            <w:vAlign w:val="bottom"/>
            <w:hideMark/>
          </w:tcPr>
          <w:p w14:paraId="113A61CA" w14:textId="77777777" w:rsidR="00522634" w:rsidRPr="00164238" w:rsidRDefault="00522634" w:rsidP="00682CBF">
            <w:pPr>
              <w:spacing w:after="0" w:line="293" w:lineRule="atLeas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Dayanıklı olmayan mallar</w:t>
            </w:r>
          </w:p>
        </w:tc>
        <w:tc>
          <w:tcPr>
            <w:tcW w:w="1170" w:type="dxa"/>
            <w:tcBorders>
              <w:top w:val="nil"/>
              <w:left w:val="nil"/>
              <w:bottom w:val="nil"/>
              <w:right w:val="nil"/>
            </w:tcBorders>
            <w:shd w:val="clear" w:color="000000" w:fill="FFFFFF"/>
            <w:noWrap/>
            <w:vAlign w:val="bottom"/>
            <w:hideMark/>
          </w:tcPr>
          <w:p w14:paraId="07C63EA1"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218</w:t>
            </w:r>
          </w:p>
        </w:tc>
        <w:tc>
          <w:tcPr>
            <w:tcW w:w="1902" w:type="dxa"/>
            <w:tcBorders>
              <w:top w:val="nil"/>
              <w:left w:val="nil"/>
              <w:bottom w:val="nil"/>
              <w:right w:val="nil"/>
            </w:tcBorders>
            <w:shd w:val="clear" w:color="000000" w:fill="FFFFFF"/>
            <w:noWrap/>
            <w:vAlign w:val="bottom"/>
            <w:hideMark/>
          </w:tcPr>
          <w:p w14:paraId="5B5D5B76"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576</w:t>
            </w:r>
          </w:p>
        </w:tc>
        <w:tc>
          <w:tcPr>
            <w:tcW w:w="1300" w:type="dxa"/>
            <w:tcBorders>
              <w:top w:val="nil"/>
              <w:left w:val="nil"/>
              <w:bottom w:val="nil"/>
              <w:right w:val="nil"/>
            </w:tcBorders>
            <w:shd w:val="clear" w:color="000000" w:fill="FFFFFF"/>
            <w:noWrap/>
            <w:vAlign w:val="bottom"/>
            <w:hideMark/>
          </w:tcPr>
          <w:p w14:paraId="278AA7D1"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3.6</w:t>
            </w:r>
          </w:p>
        </w:tc>
        <w:tc>
          <w:tcPr>
            <w:tcW w:w="1260" w:type="dxa"/>
            <w:tcBorders>
              <w:top w:val="nil"/>
              <w:left w:val="nil"/>
              <w:bottom w:val="nil"/>
              <w:right w:val="nil"/>
            </w:tcBorders>
            <w:shd w:val="clear" w:color="000000" w:fill="FFFFFF"/>
            <w:noWrap/>
            <w:vAlign w:val="bottom"/>
            <w:hideMark/>
          </w:tcPr>
          <w:p w14:paraId="0D54D0A0"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10.2</w:t>
            </w:r>
          </w:p>
        </w:tc>
      </w:tr>
      <w:tr w:rsidR="00AE5E6C" w:rsidRPr="00164238" w14:paraId="5B26E3CA" w14:textId="77777777" w:rsidTr="00682CBF">
        <w:trPr>
          <w:trHeight w:val="312"/>
        </w:trPr>
        <w:tc>
          <w:tcPr>
            <w:tcW w:w="5130" w:type="dxa"/>
            <w:tcBorders>
              <w:top w:val="nil"/>
              <w:left w:val="nil"/>
              <w:bottom w:val="nil"/>
              <w:right w:val="nil"/>
            </w:tcBorders>
            <w:shd w:val="clear" w:color="000000" w:fill="FFFFFF"/>
            <w:noWrap/>
            <w:vAlign w:val="bottom"/>
            <w:hideMark/>
          </w:tcPr>
          <w:p w14:paraId="2DADF5BB" w14:textId="77777777" w:rsidR="00522634" w:rsidRPr="00164238" w:rsidRDefault="00522634" w:rsidP="00682CBF">
            <w:pPr>
              <w:spacing w:after="0" w:line="293" w:lineRule="atLeas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Toptan ve perakende satış</w:t>
            </w:r>
          </w:p>
        </w:tc>
        <w:tc>
          <w:tcPr>
            <w:tcW w:w="1170" w:type="dxa"/>
            <w:tcBorders>
              <w:top w:val="nil"/>
              <w:left w:val="nil"/>
              <w:bottom w:val="nil"/>
              <w:right w:val="nil"/>
            </w:tcBorders>
            <w:shd w:val="clear" w:color="000000" w:fill="FFFFFF"/>
            <w:noWrap/>
            <w:vAlign w:val="bottom"/>
            <w:hideMark/>
          </w:tcPr>
          <w:p w14:paraId="05B8DCCE"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829</w:t>
            </w:r>
          </w:p>
        </w:tc>
        <w:tc>
          <w:tcPr>
            <w:tcW w:w="1902" w:type="dxa"/>
            <w:tcBorders>
              <w:top w:val="nil"/>
              <w:left w:val="nil"/>
              <w:bottom w:val="nil"/>
              <w:right w:val="nil"/>
            </w:tcBorders>
            <w:shd w:val="clear" w:color="000000" w:fill="FFFFFF"/>
            <w:noWrap/>
            <w:vAlign w:val="bottom"/>
            <w:hideMark/>
          </w:tcPr>
          <w:p w14:paraId="1FFB8475"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3,223</w:t>
            </w:r>
          </w:p>
        </w:tc>
        <w:tc>
          <w:tcPr>
            <w:tcW w:w="1300" w:type="dxa"/>
            <w:tcBorders>
              <w:top w:val="nil"/>
              <w:left w:val="nil"/>
              <w:bottom w:val="nil"/>
              <w:right w:val="nil"/>
            </w:tcBorders>
            <w:shd w:val="clear" w:color="000000" w:fill="FFFFFF"/>
            <w:noWrap/>
            <w:vAlign w:val="bottom"/>
            <w:hideMark/>
          </w:tcPr>
          <w:p w14:paraId="0F154A22"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4.3</w:t>
            </w:r>
          </w:p>
        </w:tc>
        <w:tc>
          <w:tcPr>
            <w:tcW w:w="1260" w:type="dxa"/>
            <w:tcBorders>
              <w:top w:val="nil"/>
              <w:left w:val="nil"/>
              <w:bottom w:val="nil"/>
              <w:right w:val="nil"/>
            </w:tcBorders>
            <w:shd w:val="clear" w:color="000000" w:fill="FFFFFF"/>
            <w:noWrap/>
            <w:vAlign w:val="bottom"/>
            <w:hideMark/>
          </w:tcPr>
          <w:p w14:paraId="3EC9B4B9"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17.1</w:t>
            </w:r>
          </w:p>
        </w:tc>
      </w:tr>
      <w:tr w:rsidR="00AE5E6C" w:rsidRPr="00164238" w14:paraId="14C7C077" w14:textId="77777777" w:rsidTr="00682CBF">
        <w:trPr>
          <w:trHeight w:val="312"/>
        </w:trPr>
        <w:tc>
          <w:tcPr>
            <w:tcW w:w="5130" w:type="dxa"/>
            <w:tcBorders>
              <w:top w:val="nil"/>
              <w:left w:val="nil"/>
              <w:bottom w:val="nil"/>
              <w:right w:val="nil"/>
            </w:tcBorders>
            <w:shd w:val="clear" w:color="000000" w:fill="FFFFFF"/>
            <w:noWrap/>
            <w:vAlign w:val="bottom"/>
            <w:hideMark/>
          </w:tcPr>
          <w:p w14:paraId="7DFD9A44" w14:textId="77777777" w:rsidR="00522634" w:rsidRPr="00164238" w:rsidRDefault="00522634" w:rsidP="00682CBF">
            <w:pPr>
              <w:spacing w:after="0" w:line="293" w:lineRule="atLeas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Ulaşım</w:t>
            </w:r>
          </w:p>
        </w:tc>
        <w:tc>
          <w:tcPr>
            <w:tcW w:w="1170" w:type="dxa"/>
            <w:tcBorders>
              <w:top w:val="nil"/>
              <w:left w:val="nil"/>
              <w:bottom w:val="nil"/>
              <w:right w:val="nil"/>
            </w:tcBorders>
            <w:shd w:val="clear" w:color="000000" w:fill="FFFFFF"/>
            <w:noWrap/>
            <w:vAlign w:val="bottom"/>
            <w:hideMark/>
          </w:tcPr>
          <w:p w14:paraId="05141366"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255</w:t>
            </w:r>
          </w:p>
        </w:tc>
        <w:tc>
          <w:tcPr>
            <w:tcW w:w="1902" w:type="dxa"/>
            <w:tcBorders>
              <w:top w:val="nil"/>
              <w:left w:val="nil"/>
              <w:bottom w:val="nil"/>
              <w:right w:val="nil"/>
            </w:tcBorders>
            <w:shd w:val="clear" w:color="000000" w:fill="FFFFFF"/>
            <w:noWrap/>
            <w:vAlign w:val="bottom"/>
            <w:hideMark/>
          </w:tcPr>
          <w:p w14:paraId="6E38EAB9"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989</w:t>
            </w:r>
          </w:p>
        </w:tc>
        <w:tc>
          <w:tcPr>
            <w:tcW w:w="1300" w:type="dxa"/>
            <w:tcBorders>
              <w:top w:val="nil"/>
              <w:left w:val="nil"/>
              <w:bottom w:val="nil"/>
              <w:right w:val="nil"/>
            </w:tcBorders>
            <w:shd w:val="clear" w:color="000000" w:fill="FFFFFF"/>
            <w:noWrap/>
            <w:vAlign w:val="bottom"/>
            <w:hideMark/>
          </w:tcPr>
          <w:p w14:paraId="18919DAA"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3.4</w:t>
            </w:r>
          </w:p>
        </w:tc>
        <w:tc>
          <w:tcPr>
            <w:tcW w:w="1260" w:type="dxa"/>
            <w:tcBorders>
              <w:top w:val="nil"/>
              <w:left w:val="nil"/>
              <w:bottom w:val="nil"/>
              <w:right w:val="nil"/>
            </w:tcBorders>
            <w:shd w:val="clear" w:color="000000" w:fill="FFFFFF"/>
            <w:noWrap/>
            <w:vAlign w:val="bottom"/>
            <w:hideMark/>
          </w:tcPr>
          <w:p w14:paraId="255A5050"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13.5</w:t>
            </w:r>
          </w:p>
        </w:tc>
      </w:tr>
      <w:tr w:rsidR="00AE5E6C" w:rsidRPr="00164238" w14:paraId="0467F550" w14:textId="77777777" w:rsidTr="00682CBF">
        <w:trPr>
          <w:trHeight w:val="312"/>
        </w:trPr>
        <w:tc>
          <w:tcPr>
            <w:tcW w:w="5130" w:type="dxa"/>
            <w:tcBorders>
              <w:top w:val="nil"/>
              <w:left w:val="nil"/>
              <w:bottom w:val="nil"/>
              <w:right w:val="nil"/>
            </w:tcBorders>
            <w:shd w:val="clear" w:color="000000" w:fill="FFFFFF"/>
            <w:noWrap/>
            <w:vAlign w:val="bottom"/>
            <w:hideMark/>
          </w:tcPr>
          <w:p w14:paraId="4E2F5FEF" w14:textId="77777777" w:rsidR="00522634" w:rsidRPr="00164238" w:rsidRDefault="00522634" w:rsidP="00682CBF">
            <w:pPr>
              <w:spacing w:after="0" w:line="293" w:lineRule="atLeas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Bilgi işlem</w:t>
            </w:r>
          </w:p>
        </w:tc>
        <w:tc>
          <w:tcPr>
            <w:tcW w:w="1170" w:type="dxa"/>
            <w:tcBorders>
              <w:top w:val="nil"/>
              <w:left w:val="nil"/>
              <w:bottom w:val="nil"/>
              <w:right w:val="nil"/>
            </w:tcBorders>
            <w:shd w:val="clear" w:color="000000" w:fill="FFFFFF"/>
            <w:noWrap/>
            <w:vAlign w:val="bottom"/>
            <w:hideMark/>
          </w:tcPr>
          <w:p w14:paraId="0A803157"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87</w:t>
            </w:r>
          </w:p>
        </w:tc>
        <w:tc>
          <w:tcPr>
            <w:tcW w:w="1902" w:type="dxa"/>
            <w:tcBorders>
              <w:top w:val="nil"/>
              <w:left w:val="nil"/>
              <w:bottom w:val="nil"/>
              <w:right w:val="nil"/>
            </w:tcBorders>
            <w:shd w:val="clear" w:color="000000" w:fill="FFFFFF"/>
            <w:noWrap/>
            <w:vAlign w:val="bottom"/>
            <w:hideMark/>
          </w:tcPr>
          <w:p w14:paraId="72F17E17"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279</w:t>
            </w:r>
          </w:p>
        </w:tc>
        <w:tc>
          <w:tcPr>
            <w:tcW w:w="1300" w:type="dxa"/>
            <w:tcBorders>
              <w:top w:val="nil"/>
              <w:left w:val="nil"/>
              <w:bottom w:val="nil"/>
              <w:right w:val="nil"/>
            </w:tcBorders>
            <w:shd w:val="clear" w:color="000000" w:fill="FFFFFF"/>
            <w:noWrap/>
            <w:vAlign w:val="bottom"/>
            <w:hideMark/>
          </w:tcPr>
          <w:p w14:paraId="357F2DFE"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3.5</w:t>
            </w:r>
          </w:p>
        </w:tc>
        <w:tc>
          <w:tcPr>
            <w:tcW w:w="1260" w:type="dxa"/>
            <w:tcBorders>
              <w:top w:val="nil"/>
              <w:left w:val="nil"/>
              <w:bottom w:val="nil"/>
              <w:right w:val="nil"/>
            </w:tcBorders>
            <w:shd w:val="clear" w:color="000000" w:fill="FFFFFF"/>
            <w:noWrap/>
            <w:vAlign w:val="bottom"/>
            <w:hideMark/>
          </w:tcPr>
          <w:p w14:paraId="6B144A01"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11</w:t>
            </w:r>
          </w:p>
        </w:tc>
      </w:tr>
      <w:tr w:rsidR="00AE5E6C" w:rsidRPr="00164238" w14:paraId="213E4C86" w14:textId="77777777" w:rsidTr="00682CBF">
        <w:trPr>
          <w:trHeight w:val="312"/>
        </w:trPr>
        <w:tc>
          <w:tcPr>
            <w:tcW w:w="5130" w:type="dxa"/>
            <w:tcBorders>
              <w:top w:val="nil"/>
              <w:left w:val="nil"/>
              <w:bottom w:val="nil"/>
              <w:right w:val="nil"/>
            </w:tcBorders>
            <w:shd w:val="clear" w:color="000000" w:fill="FFFFFF"/>
            <w:noWrap/>
            <w:vAlign w:val="bottom"/>
            <w:hideMark/>
          </w:tcPr>
          <w:p w14:paraId="233AB5BC" w14:textId="77777777" w:rsidR="00522634" w:rsidRPr="00164238" w:rsidRDefault="00522634" w:rsidP="00682CBF">
            <w:pPr>
              <w:spacing w:after="0" w:line="293" w:lineRule="atLeas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Finans</w:t>
            </w:r>
          </w:p>
        </w:tc>
        <w:tc>
          <w:tcPr>
            <w:tcW w:w="1170" w:type="dxa"/>
            <w:tcBorders>
              <w:top w:val="nil"/>
              <w:left w:val="nil"/>
              <w:bottom w:val="nil"/>
              <w:right w:val="nil"/>
            </w:tcBorders>
            <w:shd w:val="clear" w:color="000000" w:fill="FFFFFF"/>
            <w:noWrap/>
            <w:vAlign w:val="bottom"/>
            <w:hideMark/>
          </w:tcPr>
          <w:p w14:paraId="1E5AC591"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210</w:t>
            </w:r>
          </w:p>
        </w:tc>
        <w:tc>
          <w:tcPr>
            <w:tcW w:w="1902" w:type="dxa"/>
            <w:tcBorders>
              <w:top w:val="nil"/>
              <w:left w:val="nil"/>
              <w:bottom w:val="nil"/>
              <w:right w:val="nil"/>
            </w:tcBorders>
            <w:shd w:val="clear" w:color="000000" w:fill="FFFFFF"/>
            <w:noWrap/>
            <w:vAlign w:val="bottom"/>
            <w:hideMark/>
          </w:tcPr>
          <w:p w14:paraId="1B59FE1B"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545</w:t>
            </w:r>
          </w:p>
        </w:tc>
        <w:tc>
          <w:tcPr>
            <w:tcW w:w="1300" w:type="dxa"/>
            <w:tcBorders>
              <w:top w:val="nil"/>
              <w:left w:val="nil"/>
              <w:bottom w:val="nil"/>
              <w:right w:val="nil"/>
            </w:tcBorders>
            <w:shd w:val="clear" w:color="000000" w:fill="FFFFFF"/>
            <w:noWrap/>
            <w:vAlign w:val="bottom"/>
            <w:hideMark/>
          </w:tcPr>
          <w:p w14:paraId="66760EA6"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2.1</w:t>
            </w:r>
          </w:p>
        </w:tc>
        <w:tc>
          <w:tcPr>
            <w:tcW w:w="1260" w:type="dxa"/>
            <w:tcBorders>
              <w:top w:val="nil"/>
              <w:left w:val="nil"/>
              <w:bottom w:val="nil"/>
              <w:right w:val="nil"/>
            </w:tcBorders>
            <w:shd w:val="clear" w:color="000000" w:fill="FFFFFF"/>
            <w:noWrap/>
            <w:vAlign w:val="bottom"/>
            <w:hideMark/>
          </w:tcPr>
          <w:p w14:paraId="5A1CE306"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5.4</w:t>
            </w:r>
          </w:p>
        </w:tc>
      </w:tr>
      <w:tr w:rsidR="00AE5E6C" w:rsidRPr="00164238" w14:paraId="0576E411" w14:textId="77777777" w:rsidTr="00682CBF">
        <w:trPr>
          <w:trHeight w:val="312"/>
        </w:trPr>
        <w:tc>
          <w:tcPr>
            <w:tcW w:w="5130" w:type="dxa"/>
            <w:tcBorders>
              <w:top w:val="nil"/>
              <w:left w:val="nil"/>
              <w:bottom w:val="nil"/>
              <w:right w:val="nil"/>
            </w:tcBorders>
            <w:shd w:val="clear" w:color="000000" w:fill="FFFFFF"/>
            <w:noWrap/>
            <w:vAlign w:val="bottom"/>
            <w:hideMark/>
          </w:tcPr>
          <w:p w14:paraId="6E0A875F" w14:textId="77777777" w:rsidR="00522634" w:rsidRPr="00164238" w:rsidRDefault="00522634" w:rsidP="00682CBF">
            <w:pPr>
              <w:spacing w:after="0" w:line="293" w:lineRule="atLeas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Is ve yönetim</w:t>
            </w:r>
          </w:p>
        </w:tc>
        <w:tc>
          <w:tcPr>
            <w:tcW w:w="1170" w:type="dxa"/>
            <w:tcBorders>
              <w:top w:val="nil"/>
              <w:left w:val="nil"/>
              <w:bottom w:val="nil"/>
              <w:right w:val="nil"/>
            </w:tcBorders>
            <w:shd w:val="clear" w:color="000000" w:fill="FFFFFF"/>
            <w:noWrap/>
            <w:vAlign w:val="bottom"/>
            <w:hideMark/>
          </w:tcPr>
          <w:p w14:paraId="24F8276C"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611</w:t>
            </w:r>
          </w:p>
        </w:tc>
        <w:tc>
          <w:tcPr>
            <w:tcW w:w="1902" w:type="dxa"/>
            <w:tcBorders>
              <w:top w:val="nil"/>
              <w:left w:val="nil"/>
              <w:bottom w:val="nil"/>
              <w:right w:val="nil"/>
            </w:tcBorders>
            <w:shd w:val="clear" w:color="000000" w:fill="FFFFFF"/>
            <w:noWrap/>
            <w:vAlign w:val="bottom"/>
            <w:hideMark/>
          </w:tcPr>
          <w:p w14:paraId="5F0D20E4"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1,697</w:t>
            </w:r>
          </w:p>
        </w:tc>
        <w:tc>
          <w:tcPr>
            <w:tcW w:w="1300" w:type="dxa"/>
            <w:tcBorders>
              <w:top w:val="nil"/>
              <w:left w:val="nil"/>
              <w:bottom w:val="nil"/>
              <w:right w:val="nil"/>
            </w:tcBorders>
            <w:shd w:val="clear" w:color="000000" w:fill="FFFFFF"/>
            <w:noWrap/>
            <w:vAlign w:val="bottom"/>
            <w:hideMark/>
          </w:tcPr>
          <w:p w14:paraId="15B3AFAF"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3.5</w:t>
            </w:r>
          </w:p>
        </w:tc>
        <w:tc>
          <w:tcPr>
            <w:tcW w:w="1260" w:type="dxa"/>
            <w:tcBorders>
              <w:top w:val="nil"/>
              <w:left w:val="nil"/>
              <w:bottom w:val="nil"/>
              <w:right w:val="nil"/>
            </w:tcBorders>
            <w:shd w:val="clear" w:color="000000" w:fill="FFFFFF"/>
            <w:noWrap/>
            <w:vAlign w:val="bottom"/>
            <w:hideMark/>
          </w:tcPr>
          <w:p w14:paraId="296792C9"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9.8</w:t>
            </w:r>
          </w:p>
        </w:tc>
      </w:tr>
      <w:tr w:rsidR="00AE5E6C" w:rsidRPr="00164238" w14:paraId="18C09040" w14:textId="77777777" w:rsidTr="00682CBF">
        <w:trPr>
          <w:trHeight w:val="312"/>
        </w:trPr>
        <w:tc>
          <w:tcPr>
            <w:tcW w:w="5130" w:type="dxa"/>
            <w:tcBorders>
              <w:top w:val="nil"/>
              <w:left w:val="nil"/>
              <w:bottom w:val="nil"/>
              <w:right w:val="nil"/>
            </w:tcBorders>
            <w:shd w:val="clear" w:color="000000" w:fill="FFFFFF"/>
            <w:noWrap/>
            <w:vAlign w:val="bottom"/>
            <w:hideMark/>
          </w:tcPr>
          <w:p w14:paraId="3D1818BF" w14:textId="77777777" w:rsidR="00522634" w:rsidRPr="00164238" w:rsidRDefault="00522634" w:rsidP="00682CBF">
            <w:pPr>
              <w:spacing w:after="0" w:line="293" w:lineRule="atLeas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Eğitim ve sağlık</w:t>
            </w:r>
          </w:p>
        </w:tc>
        <w:tc>
          <w:tcPr>
            <w:tcW w:w="1170" w:type="dxa"/>
            <w:tcBorders>
              <w:top w:val="nil"/>
              <w:left w:val="nil"/>
              <w:bottom w:val="nil"/>
              <w:right w:val="nil"/>
            </w:tcBorders>
            <w:shd w:val="clear" w:color="000000" w:fill="FFFFFF"/>
            <w:noWrap/>
            <w:vAlign w:val="bottom"/>
            <w:hideMark/>
          </w:tcPr>
          <w:p w14:paraId="607A368B"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512</w:t>
            </w:r>
          </w:p>
        </w:tc>
        <w:tc>
          <w:tcPr>
            <w:tcW w:w="1902" w:type="dxa"/>
            <w:tcBorders>
              <w:top w:val="nil"/>
              <w:left w:val="nil"/>
              <w:bottom w:val="nil"/>
              <w:right w:val="nil"/>
            </w:tcBorders>
            <w:shd w:val="clear" w:color="000000" w:fill="FFFFFF"/>
            <w:noWrap/>
            <w:vAlign w:val="bottom"/>
            <w:hideMark/>
          </w:tcPr>
          <w:p w14:paraId="4B8B668F"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2,552</w:t>
            </w:r>
          </w:p>
        </w:tc>
        <w:tc>
          <w:tcPr>
            <w:tcW w:w="1300" w:type="dxa"/>
            <w:tcBorders>
              <w:top w:val="nil"/>
              <w:left w:val="nil"/>
              <w:bottom w:val="nil"/>
              <w:right w:val="nil"/>
            </w:tcBorders>
            <w:shd w:val="clear" w:color="000000" w:fill="FFFFFF"/>
            <w:noWrap/>
            <w:vAlign w:val="bottom"/>
            <w:hideMark/>
          </w:tcPr>
          <w:p w14:paraId="3DEA63A7"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2.1</w:t>
            </w:r>
          </w:p>
        </w:tc>
        <w:tc>
          <w:tcPr>
            <w:tcW w:w="1260" w:type="dxa"/>
            <w:tcBorders>
              <w:top w:val="nil"/>
              <w:left w:val="nil"/>
              <w:bottom w:val="nil"/>
              <w:right w:val="nil"/>
            </w:tcBorders>
            <w:shd w:val="clear" w:color="000000" w:fill="FFFFFF"/>
            <w:noWrap/>
            <w:vAlign w:val="bottom"/>
            <w:hideMark/>
          </w:tcPr>
          <w:p w14:paraId="63FDC021"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10.9</w:t>
            </w:r>
          </w:p>
        </w:tc>
      </w:tr>
      <w:tr w:rsidR="00AE5E6C" w:rsidRPr="00164238" w14:paraId="7B29390F" w14:textId="77777777" w:rsidTr="00682CBF">
        <w:trPr>
          <w:trHeight w:val="312"/>
        </w:trPr>
        <w:tc>
          <w:tcPr>
            <w:tcW w:w="5130" w:type="dxa"/>
            <w:tcBorders>
              <w:top w:val="nil"/>
              <w:left w:val="nil"/>
              <w:bottom w:val="nil"/>
              <w:right w:val="nil"/>
            </w:tcBorders>
            <w:shd w:val="clear" w:color="000000" w:fill="FFFFFF"/>
            <w:noWrap/>
            <w:vAlign w:val="bottom"/>
            <w:hideMark/>
          </w:tcPr>
          <w:p w14:paraId="2E6AAE0F" w14:textId="77777777" w:rsidR="00522634" w:rsidRPr="00164238" w:rsidRDefault="00522634" w:rsidP="00682CBF">
            <w:pPr>
              <w:spacing w:after="0" w:line="293" w:lineRule="atLeas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Turizm ve konaklama</w:t>
            </w:r>
          </w:p>
        </w:tc>
        <w:tc>
          <w:tcPr>
            <w:tcW w:w="1170" w:type="dxa"/>
            <w:tcBorders>
              <w:top w:val="nil"/>
              <w:left w:val="nil"/>
              <w:bottom w:val="nil"/>
              <w:right w:val="nil"/>
            </w:tcBorders>
            <w:shd w:val="clear" w:color="000000" w:fill="FFFFFF"/>
            <w:noWrap/>
            <w:vAlign w:val="bottom"/>
            <w:hideMark/>
          </w:tcPr>
          <w:p w14:paraId="4DA441E0"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647</w:t>
            </w:r>
          </w:p>
        </w:tc>
        <w:tc>
          <w:tcPr>
            <w:tcW w:w="1902" w:type="dxa"/>
            <w:tcBorders>
              <w:top w:val="nil"/>
              <w:left w:val="nil"/>
              <w:bottom w:val="nil"/>
              <w:right w:val="nil"/>
            </w:tcBorders>
            <w:shd w:val="clear" w:color="000000" w:fill="FFFFFF"/>
            <w:noWrap/>
            <w:vAlign w:val="bottom"/>
            <w:hideMark/>
          </w:tcPr>
          <w:p w14:paraId="318012B5"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4,860</w:t>
            </w:r>
          </w:p>
        </w:tc>
        <w:tc>
          <w:tcPr>
            <w:tcW w:w="1300" w:type="dxa"/>
            <w:tcBorders>
              <w:top w:val="nil"/>
              <w:left w:val="nil"/>
              <w:bottom w:val="nil"/>
              <w:right w:val="nil"/>
            </w:tcBorders>
            <w:shd w:val="clear" w:color="000000" w:fill="FFFFFF"/>
            <w:noWrap/>
            <w:vAlign w:val="bottom"/>
            <w:hideMark/>
          </w:tcPr>
          <w:p w14:paraId="195A658D"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4.5</w:t>
            </w:r>
          </w:p>
        </w:tc>
        <w:tc>
          <w:tcPr>
            <w:tcW w:w="1260" w:type="dxa"/>
            <w:tcBorders>
              <w:top w:val="nil"/>
              <w:left w:val="nil"/>
              <w:bottom w:val="nil"/>
              <w:right w:val="nil"/>
            </w:tcBorders>
            <w:shd w:val="clear" w:color="000000" w:fill="FFFFFF"/>
            <w:noWrap/>
            <w:vAlign w:val="bottom"/>
            <w:hideMark/>
          </w:tcPr>
          <w:p w14:paraId="3BF683C0"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39.3</w:t>
            </w:r>
          </w:p>
        </w:tc>
      </w:tr>
      <w:tr w:rsidR="00AE5E6C" w:rsidRPr="00164238" w14:paraId="4746B967" w14:textId="77777777" w:rsidTr="00682CBF">
        <w:trPr>
          <w:trHeight w:val="312"/>
        </w:trPr>
        <w:tc>
          <w:tcPr>
            <w:tcW w:w="5130" w:type="dxa"/>
            <w:tcBorders>
              <w:top w:val="nil"/>
              <w:left w:val="nil"/>
              <w:bottom w:val="nil"/>
              <w:right w:val="nil"/>
            </w:tcBorders>
            <w:shd w:val="clear" w:color="000000" w:fill="FFFFFF"/>
            <w:noWrap/>
            <w:vAlign w:val="bottom"/>
            <w:hideMark/>
          </w:tcPr>
          <w:p w14:paraId="777EEC42" w14:textId="77777777" w:rsidR="00522634" w:rsidRPr="00164238" w:rsidRDefault="00522634" w:rsidP="00682CBF">
            <w:pPr>
              <w:spacing w:after="0" w:line="293" w:lineRule="atLeas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Diğer</w:t>
            </w:r>
          </w:p>
        </w:tc>
        <w:tc>
          <w:tcPr>
            <w:tcW w:w="1170" w:type="dxa"/>
            <w:tcBorders>
              <w:top w:val="nil"/>
              <w:left w:val="nil"/>
              <w:bottom w:val="nil"/>
              <w:right w:val="nil"/>
            </w:tcBorders>
            <w:shd w:val="clear" w:color="000000" w:fill="FFFFFF"/>
            <w:noWrap/>
            <w:vAlign w:val="bottom"/>
            <w:hideMark/>
          </w:tcPr>
          <w:p w14:paraId="5B3A8AE6"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164</w:t>
            </w:r>
          </w:p>
        </w:tc>
        <w:tc>
          <w:tcPr>
            <w:tcW w:w="1902" w:type="dxa"/>
            <w:tcBorders>
              <w:top w:val="nil"/>
              <w:left w:val="nil"/>
              <w:bottom w:val="nil"/>
              <w:right w:val="nil"/>
            </w:tcBorders>
            <w:shd w:val="clear" w:color="000000" w:fill="FFFFFF"/>
            <w:noWrap/>
            <w:vAlign w:val="bottom"/>
            <w:hideMark/>
          </w:tcPr>
          <w:p w14:paraId="6FEF7B2F"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1,421</w:t>
            </w:r>
          </w:p>
        </w:tc>
        <w:tc>
          <w:tcPr>
            <w:tcW w:w="1300" w:type="dxa"/>
            <w:tcBorders>
              <w:top w:val="nil"/>
              <w:left w:val="nil"/>
              <w:bottom w:val="nil"/>
              <w:right w:val="nil"/>
            </w:tcBorders>
            <w:shd w:val="clear" w:color="000000" w:fill="FFFFFF"/>
            <w:noWrap/>
            <w:vAlign w:val="bottom"/>
            <w:hideMark/>
          </w:tcPr>
          <w:p w14:paraId="5155ADEA"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2.5</w:t>
            </w:r>
          </w:p>
        </w:tc>
        <w:tc>
          <w:tcPr>
            <w:tcW w:w="1260" w:type="dxa"/>
            <w:tcBorders>
              <w:top w:val="nil"/>
              <w:left w:val="nil"/>
              <w:bottom w:val="nil"/>
              <w:right w:val="nil"/>
            </w:tcBorders>
            <w:shd w:val="clear" w:color="000000" w:fill="FFFFFF"/>
            <w:noWrap/>
            <w:vAlign w:val="bottom"/>
            <w:hideMark/>
          </w:tcPr>
          <w:p w14:paraId="5EFDBCF4"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23</w:t>
            </w:r>
          </w:p>
        </w:tc>
      </w:tr>
      <w:tr w:rsidR="00AE5E6C" w:rsidRPr="00164238" w14:paraId="280F1048" w14:textId="77777777" w:rsidTr="00682CBF">
        <w:trPr>
          <w:trHeight w:val="312"/>
        </w:trPr>
        <w:tc>
          <w:tcPr>
            <w:tcW w:w="5130" w:type="dxa"/>
            <w:tcBorders>
              <w:top w:val="nil"/>
              <w:left w:val="nil"/>
              <w:bottom w:val="nil"/>
              <w:right w:val="nil"/>
            </w:tcBorders>
            <w:shd w:val="clear" w:color="000000" w:fill="FFFFFF"/>
            <w:noWrap/>
            <w:vAlign w:val="bottom"/>
            <w:hideMark/>
          </w:tcPr>
          <w:p w14:paraId="7F43794F" w14:textId="77777777" w:rsidR="00522634" w:rsidRPr="00164238" w:rsidRDefault="00522634" w:rsidP="00682CBF">
            <w:pPr>
              <w:spacing w:after="0" w:line="293" w:lineRule="atLeas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Tarım</w:t>
            </w:r>
          </w:p>
        </w:tc>
        <w:tc>
          <w:tcPr>
            <w:tcW w:w="1170" w:type="dxa"/>
            <w:tcBorders>
              <w:top w:val="nil"/>
              <w:left w:val="nil"/>
              <w:bottom w:val="nil"/>
              <w:right w:val="nil"/>
            </w:tcBorders>
            <w:shd w:val="clear" w:color="000000" w:fill="FFFFFF"/>
            <w:noWrap/>
            <w:vAlign w:val="bottom"/>
            <w:hideMark/>
          </w:tcPr>
          <w:p w14:paraId="5A91C42F"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121</w:t>
            </w:r>
          </w:p>
        </w:tc>
        <w:tc>
          <w:tcPr>
            <w:tcW w:w="1902" w:type="dxa"/>
            <w:tcBorders>
              <w:top w:val="nil"/>
              <w:left w:val="nil"/>
              <w:bottom w:val="nil"/>
              <w:right w:val="nil"/>
            </w:tcBorders>
            <w:shd w:val="clear" w:color="000000" w:fill="FFFFFF"/>
            <w:noWrap/>
            <w:vAlign w:val="bottom"/>
            <w:hideMark/>
          </w:tcPr>
          <w:p w14:paraId="25201BEA"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163</w:t>
            </w:r>
          </w:p>
        </w:tc>
        <w:tc>
          <w:tcPr>
            <w:tcW w:w="1300" w:type="dxa"/>
            <w:tcBorders>
              <w:top w:val="nil"/>
              <w:left w:val="nil"/>
              <w:bottom w:val="nil"/>
              <w:right w:val="nil"/>
            </w:tcBorders>
            <w:shd w:val="clear" w:color="000000" w:fill="FFFFFF"/>
            <w:noWrap/>
            <w:vAlign w:val="bottom"/>
            <w:hideMark/>
          </w:tcPr>
          <w:p w14:paraId="5BDB9581"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7.3</w:t>
            </w:r>
          </w:p>
        </w:tc>
        <w:tc>
          <w:tcPr>
            <w:tcW w:w="1260" w:type="dxa"/>
            <w:tcBorders>
              <w:top w:val="nil"/>
              <w:left w:val="nil"/>
              <w:bottom w:val="nil"/>
              <w:right w:val="nil"/>
            </w:tcBorders>
            <w:shd w:val="clear" w:color="000000" w:fill="FFFFFF"/>
            <w:noWrap/>
            <w:vAlign w:val="bottom"/>
            <w:hideMark/>
          </w:tcPr>
          <w:p w14:paraId="12036A3B"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9.6</w:t>
            </w:r>
          </w:p>
        </w:tc>
      </w:tr>
      <w:tr w:rsidR="00AE5E6C" w:rsidRPr="00164238" w14:paraId="41C1CBD7" w14:textId="77777777" w:rsidTr="00682CBF">
        <w:trPr>
          <w:trHeight w:val="312"/>
        </w:trPr>
        <w:tc>
          <w:tcPr>
            <w:tcW w:w="5130" w:type="dxa"/>
            <w:tcBorders>
              <w:top w:val="nil"/>
              <w:left w:val="nil"/>
              <w:bottom w:val="nil"/>
              <w:right w:val="nil"/>
            </w:tcBorders>
            <w:shd w:val="clear" w:color="000000" w:fill="FFFFFF"/>
            <w:noWrap/>
            <w:vAlign w:val="bottom"/>
            <w:hideMark/>
          </w:tcPr>
          <w:p w14:paraId="64F0727F" w14:textId="77777777" w:rsidR="00522634" w:rsidRPr="00164238" w:rsidRDefault="00522634" w:rsidP="00682CBF">
            <w:pPr>
              <w:spacing w:after="0" w:line="293" w:lineRule="atLeas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Resmi hizmetler</w:t>
            </w:r>
          </w:p>
        </w:tc>
        <w:tc>
          <w:tcPr>
            <w:tcW w:w="1170" w:type="dxa"/>
            <w:tcBorders>
              <w:top w:val="nil"/>
              <w:left w:val="nil"/>
              <w:bottom w:val="nil"/>
              <w:right w:val="nil"/>
            </w:tcBorders>
            <w:shd w:val="clear" w:color="000000" w:fill="FFFFFF"/>
            <w:noWrap/>
            <w:vAlign w:val="bottom"/>
            <w:hideMark/>
          </w:tcPr>
          <w:p w14:paraId="776551E4"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347</w:t>
            </w:r>
          </w:p>
        </w:tc>
        <w:tc>
          <w:tcPr>
            <w:tcW w:w="1902" w:type="dxa"/>
            <w:tcBorders>
              <w:top w:val="nil"/>
              <w:left w:val="nil"/>
              <w:bottom w:val="nil"/>
              <w:right w:val="nil"/>
            </w:tcBorders>
            <w:shd w:val="clear" w:color="000000" w:fill="FFFFFF"/>
            <w:noWrap/>
            <w:vAlign w:val="bottom"/>
            <w:hideMark/>
          </w:tcPr>
          <w:p w14:paraId="05039D48"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2,017</w:t>
            </w:r>
          </w:p>
        </w:tc>
        <w:tc>
          <w:tcPr>
            <w:tcW w:w="1300" w:type="dxa"/>
            <w:tcBorders>
              <w:top w:val="nil"/>
              <w:left w:val="nil"/>
              <w:bottom w:val="nil"/>
              <w:right w:val="nil"/>
            </w:tcBorders>
            <w:shd w:val="clear" w:color="000000" w:fill="FFFFFF"/>
            <w:noWrap/>
            <w:vAlign w:val="bottom"/>
            <w:hideMark/>
          </w:tcPr>
          <w:p w14:paraId="76B57399"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1.6</w:t>
            </w:r>
          </w:p>
        </w:tc>
        <w:tc>
          <w:tcPr>
            <w:tcW w:w="1260" w:type="dxa"/>
            <w:tcBorders>
              <w:top w:val="nil"/>
              <w:left w:val="nil"/>
              <w:bottom w:val="nil"/>
              <w:right w:val="nil"/>
            </w:tcBorders>
            <w:shd w:val="clear" w:color="000000" w:fill="FFFFFF"/>
            <w:noWrap/>
            <w:vAlign w:val="bottom"/>
            <w:hideMark/>
          </w:tcPr>
          <w:p w14:paraId="2A20A760"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9.4</w:t>
            </w:r>
          </w:p>
        </w:tc>
      </w:tr>
      <w:tr w:rsidR="00AE5E6C" w:rsidRPr="00164238" w14:paraId="7FF31FA8" w14:textId="77777777" w:rsidTr="00682CBF">
        <w:trPr>
          <w:trHeight w:val="312"/>
        </w:trPr>
        <w:tc>
          <w:tcPr>
            <w:tcW w:w="5130" w:type="dxa"/>
            <w:tcBorders>
              <w:top w:val="nil"/>
              <w:left w:val="nil"/>
              <w:bottom w:val="single" w:sz="4" w:space="0" w:color="auto"/>
              <w:right w:val="nil"/>
            </w:tcBorders>
            <w:shd w:val="clear" w:color="000000" w:fill="FFFFFF"/>
            <w:noWrap/>
            <w:vAlign w:val="bottom"/>
            <w:hideMark/>
          </w:tcPr>
          <w:p w14:paraId="42B5D943" w14:textId="77777777" w:rsidR="00522634" w:rsidRPr="00164238" w:rsidRDefault="00522634" w:rsidP="00682CBF">
            <w:pPr>
              <w:spacing w:after="0" w:line="293" w:lineRule="atLeas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xml:space="preserve">Serbest </w:t>
            </w:r>
          </w:p>
        </w:tc>
        <w:tc>
          <w:tcPr>
            <w:tcW w:w="1170" w:type="dxa"/>
            <w:tcBorders>
              <w:top w:val="nil"/>
              <w:left w:val="nil"/>
              <w:bottom w:val="single" w:sz="4" w:space="0" w:color="auto"/>
              <w:right w:val="nil"/>
            </w:tcBorders>
            <w:shd w:val="clear" w:color="000000" w:fill="FFFFFF"/>
            <w:noWrap/>
            <w:vAlign w:val="bottom"/>
            <w:hideMark/>
          </w:tcPr>
          <w:p w14:paraId="555CB73B"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208</w:t>
            </w:r>
          </w:p>
        </w:tc>
        <w:tc>
          <w:tcPr>
            <w:tcW w:w="1902" w:type="dxa"/>
            <w:tcBorders>
              <w:top w:val="nil"/>
              <w:left w:val="nil"/>
              <w:bottom w:val="single" w:sz="4" w:space="0" w:color="auto"/>
              <w:right w:val="nil"/>
            </w:tcBorders>
            <w:shd w:val="clear" w:color="000000" w:fill="FFFFFF"/>
            <w:noWrap/>
            <w:vAlign w:val="bottom"/>
            <w:hideMark/>
          </w:tcPr>
          <w:p w14:paraId="60EE2EBE"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886</w:t>
            </w:r>
          </w:p>
        </w:tc>
        <w:tc>
          <w:tcPr>
            <w:tcW w:w="1300" w:type="dxa"/>
            <w:tcBorders>
              <w:top w:val="nil"/>
              <w:left w:val="nil"/>
              <w:bottom w:val="single" w:sz="4" w:space="0" w:color="auto"/>
              <w:right w:val="nil"/>
            </w:tcBorders>
            <w:shd w:val="clear" w:color="000000" w:fill="FFFFFF"/>
            <w:noWrap/>
            <w:vAlign w:val="bottom"/>
            <w:hideMark/>
          </w:tcPr>
          <w:p w14:paraId="2C8426D6"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2.2</w:t>
            </w:r>
          </w:p>
        </w:tc>
        <w:tc>
          <w:tcPr>
            <w:tcW w:w="1260" w:type="dxa"/>
            <w:tcBorders>
              <w:top w:val="nil"/>
              <w:left w:val="nil"/>
              <w:bottom w:val="single" w:sz="4" w:space="0" w:color="auto"/>
              <w:right w:val="nil"/>
            </w:tcBorders>
            <w:shd w:val="clear" w:color="000000" w:fill="FFFFFF"/>
            <w:noWrap/>
            <w:vAlign w:val="bottom"/>
            <w:hideMark/>
          </w:tcPr>
          <w:p w14:paraId="64D2A43A" w14:textId="77777777" w:rsidR="00522634" w:rsidRPr="00164238" w:rsidRDefault="00522634" w:rsidP="00682CBF">
            <w:pPr>
              <w:spacing w:after="0" w:line="293" w:lineRule="atLeast"/>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9.7</w:t>
            </w:r>
          </w:p>
        </w:tc>
      </w:tr>
    </w:tbl>
    <w:p w14:paraId="2D126106" w14:textId="77777777" w:rsidR="00522634" w:rsidRPr="00164238" w:rsidRDefault="00522634" w:rsidP="00522634">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Kaynak: </w:t>
      </w:r>
      <w:r w:rsidRPr="00164238">
        <w:rPr>
          <w:rFonts w:ascii="Times New Roman" w:hAnsi="Times New Roman" w:cs="Times New Roman"/>
          <w:noProof/>
          <w:color w:val="000000" w:themeColor="text1"/>
          <w:sz w:val="20"/>
          <w:szCs w:val="20"/>
        </w:rPr>
        <w:t>U.</w:t>
      </w:r>
      <w:r w:rsidRPr="00164238">
        <w:rPr>
          <w:rFonts w:ascii="Times New Roman" w:hAnsi="Times New Roman" w:cs="Times New Roman"/>
          <w:color w:val="000000" w:themeColor="text1"/>
          <w:sz w:val="20"/>
          <w:szCs w:val="20"/>
        </w:rPr>
        <w:t>S. Bureau of Labor Statistics,</w:t>
      </w:r>
      <w:r w:rsidRPr="00164238">
        <w:rPr>
          <w:rFonts w:ascii="Times New Roman" w:hAnsi="Times New Roman" w:cs="Times New Roman"/>
          <w:noProof/>
          <w:color w:val="000000" w:themeColor="text1"/>
          <w:sz w:val="20"/>
          <w:szCs w:val="20"/>
        </w:rPr>
        <w:t xml:space="preserve"> Employment Situation Summary</w:t>
      </w:r>
      <w:r w:rsidRPr="00164238">
        <w:rPr>
          <w:rFonts w:ascii="Times New Roman" w:hAnsi="Times New Roman" w:cs="Times New Roman"/>
          <w:color w:val="000000" w:themeColor="text1"/>
          <w:sz w:val="20"/>
          <w:szCs w:val="20"/>
        </w:rPr>
        <w:t>, 2020 Nisan</w:t>
      </w:r>
    </w:p>
    <w:p w14:paraId="3520F9B9" w14:textId="77777777" w:rsidR="00522634" w:rsidRPr="00164238" w:rsidRDefault="00522634" w:rsidP="00522634">
      <w:pPr>
        <w:jc w:val="both"/>
        <w:rPr>
          <w:rFonts w:ascii="Times New Roman" w:hAnsi="Times New Roman" w:cs="Times New Roman"/>
          <w:color w:val="000000" w:themeColor="text1"/>
          <w:sz w:val="20"/>
          <w:szCs w:val="20"/>
        </w:rPr>
      </w:pPr>
    </w:p>
    <w:p w14:paraId="4D19002E" w14:textId="77777777" w:rsidR="00522634" w:rsidRPr="00164238" w:rsidRDefault="00522634" w:rsidP="00522634">
      <w:pPr>
        <w:jc w:val="both"/>
        <w:rPr>
          <w:rFonts w:ascii="Times New Roman" w:hAnsi="Times New Roman" w:cs="Times New Roman"/>
          <w:color w:val="000000" w:themeColor="text1"/>
          <w:sz w:val="20"/>
          <w:szCs w:val="20"/>
        </w:rPr>
      </w:pPr>
    </w:p>
    <w:p w14:paraId="5328B39C" w14:textId="77777777" w:rsidR="00522634" w:rsidRPr="00164238" w:rsidRDefault="00522634" w:rsidP="00522634">
      <w:pPr>
        <w:jc w:val="both"/>
        <w:rPr>
          <w:rFonts w:ascii="Times New Roman" w:hAnsi="Times New Roman" w:cs="Times New Roman"/>
          <w:color w:val="000000" w:themeColor="text1"/>
          <w:sz w:val="20"/>
          <w:szCs w:val="20"/>
        </w:rPr>
      </w:pPr>
    </w:p>
    <w:p w14:paraId="5B7F4BC6" w14:textId="77777777" w:rsidR="00522634" w:rsidRPr="00164238" w:rsidRDefault="00522634" w:rsidP="00522634">
      <w:pPr>
        <w:jc w:val="both"/>
        <w:rPr>
          <w:rFonts w:ascii="Times New Roman" w:hAnsi="Times New Roman" w:cs="Times New Roman"/>
          <w:color w:val="000000" w:themeColor="text1"/>
          <w:sz w:val="20"/>
          <w:szCs w:val="20"/>
        </w:rPr>
      </w:pPr>
    </w:p>
    <w:p w14:paraId="3D8ADE8B" w14:textId="77777777" w:rsidR="00522634" w:rsidRPr="00164238" w:rsidRDefault="00522634" w:rsidP="00522634">
      <w:pPr>
        <w:jc w:val="both"/>
        <w:rPr>
          <w:rFonts w:ascii="Times New Roman" w:hAnsi="Times New Roman" w:cs="Times New Roman"/>
          <w:color w:val="000000" w:themeColor="text1"/>
          <w:sz w:val="20"/>
          <w:szCs w:val="20"/>
        </w:rPr>
      </w:pPr>
    </w:p>
    <w:p w14:paraId="13885EC1" w14:textId="77777777" w:rsidR="00522634" w:rsidRPr="00164238" w:rsidRDefault="00522634" w:rsidP="00522634">
      <w:pPr>
        <w:jc w:val="both"/>
        <w:rPr>
          <w:rFonts w:ascii="Times New Roman" w:hAnsi="Times New Roman" w:cs="Times New Roman"/>
          <w:color w:val="000000" w:themeColor="text1"/>
          <w:sz w:val="20"/>
          <w:szCs w:val="20"/>
        </w:rPr>
      </w:pPr>
    </w:p>
    <w:p w14:paraId="71A7C6EF" w14:textId="77777777" w:rsidR="00522634" w:rsidRPr="00164238" w:rsidRDefault="00522634" w:rsidP="00522634">
      <w:pPr>
        <w:jc w:val="both"/>
        <w:rPr>
          <w:rFonts w:ascii="Times New Roman" w:hAnsi="Times New Roman" w:cs="Times New Roman"/>
          <w:color w:val="000000" w:themeColor="text1"/>
          <w:sz w:val="20"/>
          <w:szCs w:val="20"/>
        </w:rPr>
      </w:pPr>
    </w:p>
    <w:p w14:paraId="4C87C133" w14:textId="77777777" w:rsidR="00522634" w:rsidRPr="00164238" w:rsidRDefault="00522634" w:rsidP="00522634">
      <w:pPr>
        <w:jc w:val="both"/>
        <w:rPr>
          <w:rFonts w:ascii="Times New Roman" w:hAnsi="Times New Roman" w:cs="Times New Roman"/>
          <w:color w:val="000000" w:themeColor="text1"/>
          <w:sz w:val="20"/>
          <w:szCs w:val="20"/>
        </w:rPr>
      </w:pPr>
    </w:p>
    <w:p w14:paraId="0F0B9D78" w14:textId="77777777" w:rsidR="00522634" w:rsidRPr="00164238" w:rsidRDefault="00522634" w:rsidP="00522634">
      <w:pPr>
        <w:jc w:val="both"/>
        <w:rPr>
          <w:rFonts w:ascii="Times New Roman" w:hAnsi="Times New Roman" w:cs="Times New Roman"/>
          <w:color w:val="000000" w:themeColor="text1"/>
          <w:sz w:val="20"/>
          <w:szCs w:val="20"/>
        </w:rPr>
      </w:pPr>
    </w:p>
    <w:p w14:paraId="4BA4B333" w14:textId="77777777" w:rsidR="00522634" w:rsidRPr="00164238" w:rsidRDefault="00522634" w:rsidP="00522634">
      <w:pPr>
        <w:jc w:val="both"/>
        <w:rPr>
          <w:rFonts w:ascii="Times New Roman" w:hAnsi="Times New Roman" w:cs="Times New Roman"/>
          <w:color w:val="000000" w:themeColor="text1"/>
          <w:sz w:val="20"/>
          <w:szCs w:val="20"/>
        </w:rPr>
      </w:pPr>
    </w:p>
    <w:p w14:paraId="087B849F" w14:textId="77777777" w:rsidR="00522634" w:rsidRPr="00164238" w:rsidRDefault="00522634" w:rsidP="00522634">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Tablo 2: Kullanılan Değişkenlere İlişkin Tanımlayıcı İstatistikler</w:t>
      </w:r>
    </w:p>
    <w:tbl>
      <w:tblPr>
        <w:tblW w:w="8965" w:type="dxa"/>
        <w:tblCellMar>
          <w:left w:w="70" w:type="dxa"/>
          <w:right w:w="70" w:type="dxa"/>
        </w:tblCellMar>
        <w:tblLook w:val="04A0" w:firstRow="1" w:lastRow="0" w:firstColumn="1" w:lastColumn="0" w:noHBand="0" w:noVBand="1"/>
      </w:tblPr>
      <w:tblGrid>
        <w:gridCol w:w="3060"/>
        <w:gridCol w:w="1470"/>
        <w:gridCol w:w="994"/>
        <w:gridCol w:w="960"/>
        <w:gridCol w:w="1167"/>
        <w:gridCol w:w="1314"/>
      </w:tblGrid>
      <w:tr w:rsidR="00AE5E6C" w:rsidRPr="00164238" w14:paraId="789D5EE2" w14:textId="77777777" w:rsidTr="00682CBF">
        <w:trPr>
          <w:trHeight w:val="492"/>
        </w:trPr>
        <w:tc>
          <w:tcPr>
            <w:tcW w:w="3060" w:type="dxa"/>
            <w:tcBorders>
              <w:top w:val="single" w:sz="4" w:space="0" w:color="auto"/>
              <w:left w:val="nil"/>
              <w:bottom w:val="single" w:sz="4" w:space="0" w:color="auto"/>
              <w:right w:val="nil"/>
            </w:tcBorders>
            <w:shd w:val="clear" w:color="000000" w:fill="FFFFFF"/>
            <w:noWrap/>
            <w:vAlign w:val="bottom"/>
            <w:hideMark/>
          </w:tcPr>
          <w:p w14:paraId="059B7A1E"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c>
          <w:tcPr>
            <w:tcW w:w="1470" w:type="dxa"/>
            <w:tcBorders>
              <w:top w:val="single" w:sz="4" w:space="0" w:color="auto"/>
              <w:left w:val="nil"/>
              <w:bottom w:val="single" w:sz="4" w:space="0" w:color="auto"/>
              <w:right w:val="nil"/>
            </w:tcBorders>
            <w:shd w:val="clear" w:color="000000" w:fill="FFFFFF"/>
            <w:noWrap/>
            <w:vAlign w:val="bottom"/>
            <w:hideMark/>
          </w:tcPr>
          <w:p w14:paraId="38A886C6" w14:textId="77777777" w:rsidR="00522634" w:rsidRPr="00164238" w:rsidRDefault="00522634" w:rsidP="00682CBF">
            <w:pPr>
              <w:spacing w:after="0" w:line="240" w:lineRule="auto"/>
              <w:rPr>
                <w:rFonts w:ascii="Times New Roman" w:eastAsia="Times New Roman" w:hAnsi="Times New Roman" w:cs="Times New Roman"/>
                <w:b/>
                <w:bCs/>
                <w:color w:val="000000" w:themeColor="text1"/>
                <w:sz w:val="20"/>
                <w:szCs w:val="20"/>
                <w:lang w:eastAsia="tr-TR"/>
              </w:rPr>
            </w:pPr>
            <w:r w:rsidRPr="00164238">
              <w:rPr>
                <w:rFonts w:ascii="Times New Roman" w:eastAsia="Times New Roman" w:hAnsi="Times New Roman" w:cs="Times New Roman"/>
                <w:b/>
                <w:bCs/>
                <w:color w:val="000000" w:themeColor="text1"/>
                <w:sz w:val="20"/>
                <w:szCs w:val="20"/>
                <w:lang w:eastAsia="tr-TR"/>
              </w:rPr>
              <w:t>Ortalama</w:t>
            </w:r>
          </w:p>
        </w:tc>
        <w:tc>
          <w:tcPr>
            <w:tcW w:w="994" w:type="dxa"/>
            <w:tcBorders>
              <w:top w:val="single" w:sz="4" w:space="0" w:color="auto"/>
              <w:left w:val="nil"/>
              <w:bottom w:val="single" w:sz="4" w:space="0" w:color="auto"/>
              <w:right w:val="nil"/>
            </w:tcBorders>
            <w:shd w:val="clear" w:color="000000" w:fill="FFFFFF"/>
            <w:noWrap/>
            <w:vAlign w:val="bottom"/>
            <w:hideMark/>
          </w:tcPr>
          <w:p w14:paraId="34472469" w14:textId="77777777" w:rsidR="00522634" w:rsidRPr="00164238" w:rsidRDefault="00522634" w:rsidP="00682CBF">
            <w:pPr>
              <w:spacing w:after="0" w:line="240" w:lineRule="auto"/>
              <w:rPr>
                <w:rFonts w:ascii="Times New Roman" w:eastAsia="Times New Roman" w:hAnsi="Times New Roman" w:cs="Times New Roman"/>
                <w:b/>
                <w:bCs/>
                <w:color w:val="000000" w:themeColor="text1"/>
                <w:sz w:val="20"/>
                <w:szCs w:val="20"/>
                <w:lang w:eastAsia="tr-TR"/>
              </w:rPr>
            </w:pPr>
            <w:r w:rsidRPr="00164238">
              <w:rPr>
                <w:rFonts w:ascii="Times New Roman" w:eastAsia="Times New Roman" w:hAnsi="Times New Roman" w:cs="Times New Roman"/>
                <w:b/>
                <w:bCs/>
                <w:color w:val="000000" w:themeColor="text1"/>
                <w:sz w:val="20"/>
                <w:szCs w:val="20"/>
                <w:lang w:eastAsia="tr-TR"/>
              </w:rPr>
              <w:t>Ortanca</w:t>
            </w:r>
          </w:p>
        </w:tc>
        <w:tc>
          <w:tcPr>
            <w:tcW w:w="960" w:type="dxa"/>
            <w:tcBorders>
              <w:top w:val="single" w:sz="4" w:space="0" w:color="auto"/>
              <w:left w:val="nil"/>
              <w:bottom w:val="single" w:sz="4" w:space="0" w:color="auto"/>
              <w:right w:val="nil"/>
            </w:tcBorders>
            <w:shd w:val="clear" w:color="000000" w:fill="FFFFFF"/>
            <w:noWrap/>
            <w:vAlign w:val="bottom"/>
            <w:hideMark/>
          </w:tcPr>
          <w:p w14:paraId="284C98C0" w14:textId="77777777" w:rsidR="00522634" w:rsidRPr="00164238" w:rsidRDefault="00522634" w:rsidP="00682CBF">
            <w:pPr>
              <w:spacing w:after="0" w:line="240" w:lineRule="auto"/>
              <w:rPr>
                <w:rFonts w:ascii="Times New Roman" w:eastAsia="Times New Roman" w:hAnsi="Times New Roman" w:cs="Times New Roman"/>
                <w:b/>
                <w:bCs/>
                <w:color w:val="000000" w:themeColor="text1"/>
                <w:sz w:val="20"/>
                <w:szCs w:val="20"/>
                <w:lang w:eastAsia="tr-TR"/>
              </w:rPr>
            </w:pPr>
            <w:r w:rsidRPr="00164238">
              <w:rPr>
                <w:rFonts w:ascii="Times New Roman" w:eastAsia="Times New Roman" w:hAnsi="Times New Roman" w:cs="Times New Roman"/>
                <w:b/>
                <w:bCs/>
                <w:color w:val="000000" w:themeColor="text1"/>
                <w:sz w:val="20"/>
                <w:szCs w:val="20"/>
                <w:lang w:eastAsia="tr-TR"/>
              </w:rPr>
              <w:t>St sapma</w:t>
            </w:r>
          </w:p>
        </w:tc>
        <w:tc>
          <w:tcPr>
            <w:tcW w:w="1167" w:type="dxa"/>
            <w:tcBorders>
              <w:top w:val="single" w:sz="4" w:space="0" w:color="auto"/>
              <w:left w:val="nil"/>
              <w:bottom w:val="single" w:sz="4" w:space="0" w:color="auto"/>
              <w:right w:val="nil"/>
            </w:tcBorders>
            <w:shd w:val="clear" w:color="000000" w:fill="FFFFFF"/>
            <w:noWrap/>
            <w:vAlign w:val="bottom"/>
            <w:hideMark/>
          </w:tcPr>
          <w:p w14:paraId="1D8CD7F7" w14:textId="77777777" w:rsidR="00522634" w:rsidRPr="00164238" w:rsidRDefault="00522634" w:rsidP="00682CBF">
            <w:pPr>
              <w:spacing w:after="0" w:line="240" w:lineRule="auto"/>
              <w:rPr>
                <w:rFonts w:ascii="Times New Roman" w:eastAsia="Times New Roman" w:hAnsi="Times New Roman" w:cs="Times New Roman"/>
                <w:b/>
                <w:bCs/>
                <w:color w:val="000000" w:themeColor="text1"/>
                <w:sz w:val="20"/>
                <w:szCs w:val="20"/>
                <w:lang w:eastAsia="tr-TR"/>
              </w:rPr>
            </w:pPr>
            <w:r w:rsidRPr="00164238">
              <w:rPr>
                <w:rFonts w:ascii="Times New Roman" w:eastAsia="Times New Roman" w:hAnsi="Times New Roman" w:cs="Times New Roman"/>
                <w:b/>
                <w:bCs/>
                <w:color w:val="000000" w:themeColor="text1"/>
                <w:sz w:val="20"/>
                <w:szCs w:val="20"/>
                <w:lang w:eastAsia="tr-TR"/>
              </w:rPr>
              <w:t>Minimum</w:t>
            </w:r>
          </w:p>
        </w:tc>
        <w:tc>
          <w:tcPr>
            <w:tcW w:w="1314" w:type="dxa"/>
            <w:tcBorders>
              <w:top w:val="single" w:sz="4" w:space="0" w:color="auto"/>
              <w:left w:val="nil"/>
              <w:bottom w:val="single" w:sz="4" w:space="0" w:color="auto"/>
              <w:right w:val="nil"/>
            </w:tcBorders>
            <w:shd w:val="clear" w:color="000000" w:fill="FFFFFF"/>
            <w:noWrap/>
            <w:vAlign w:val="bottom"/>
            <w:hideMark/>
          </w:tcPr>
          <w:p w14:paraId="3F45ECE2" w14:textId="77777777" w:rsidR="00522634" w:rsidRPr="00164238" w:rsidRDefault="00522634" w:rsidP="00682CBF">
            <w:pPr>
              <w:spacing w:after="0" w:line="240" w:lineRule="auto"/>
              <w:rPr>
                <w:rFonts w:ascii="Times New Roman" w:eastAsia="Times New Roman" w:hAnsi="Times New Roman" w:cs="Times New Roman"/>
                <w:b/>
                <w:bCs/>
                <w:color w:val="000000" w:themeColor="text1"/>
                <w:sz w:val="20"/>
                <w:szCs w:val="20"/>
                <w:lang w:eastAsia="tr-TR"/>
              </w:rPr>
            </w:pPr>
            <w:r w:rsidRPr="00164238">
              <w:rPr>
                <w:rFonts w:ascii="Times New Roman" w:eastAsia="Times New Roman" w:hAnsi="Times New Roman" w:cs="Times New Roman"/>
                <w:b/>
                <w:bCs/>
                <w:color w:val="000000" w:themeColor="text1"/>
                <w:sz w:val="20"/>
                <w:szCs w:val="20"/>
                <w:lang w:eastAsia="tr-TR"/>
              </w:rPr>
              <w:t>Maksimum</w:t>
            </w:r>
          </w:p>
        </w:tc>
      </w:tr>
      <w:tr w:rsidR="00AE5E6C" w:rsidRPr="00164238" w14:paraId="3999EC95" w14:textId="77777777" w:rsidTr="00682CBF">
        <w:trPr>
          <w:trHeight w:val="312"/>
        </w:trPr>
        <w:tc>
          <w:tcPr>
            <w:tcW w:w="3060" w:type="dxa"/>
            <w:tcBorders>
              <w:top w:val="nil"/>
              <w:left w:val="nil"/>
              <w:bottom w:val="nil"/>
              <w:right w:val="nil"/>
            </w:tcBorders>
            <w:shd w:val="clear" w:color="000000" w:fill="FFFFFF"/>
            <w:noWrap/>
            <w:vAlign w:val="bottom"/>
            <w:hideMark/>
          </w:tcPr>
          <w:p w14:paraId="484DFA90" w14:textId="77777777" w:rsidR="00522634" w:rsidRPr="00164238" w:rsidRDefault="00522634" w:rsidP="00682CBF">
            <w:pPr>
              <w:spacing w:after="0" w:line="240" w:lineRule="auto"/>
              <w:jc w:val="right"/>
              <w:rPr>
                <w:rFonts w:ascii="Times New Roman" w:eastAsia="Times New Roman" w:hAnsi="Times New Roman" w:cs="Times New Roman"/>
                <w:b/>
                <w:bCs/>
                <w:color w:val="000000" w:themeColor="text1"/>
                <w:sz w:val="20"/>
                <w:szCs w:val="20"/>
                <w:lang w:eastAsia="tr-TR"/>
              </w:rPr>
            </w:pPr>
            <w:r w:rsidRPr="00164238">
              <w:rPr>
                <w:rFonts w:ascii="Times New Roman" w:eastAsia="Times New Roman" w:hAnsi="Times New Roman" w:cs="Times New Roman"/>
                <w:b/>
                <w:bCs/>
                <w:color w:val="000000" w:themeColor="text1"/>
                <w:sz w:val="20"/>
                <w:szCs w:val="20"/>
                <w:lang w:eastAsia="tr-TR"/>
              </w:rPr>
              <w:t>Bağımlı değişkenler</w:t>
            </w:r>
          </w:p>
        </w:tc>
        <w:tc>
          <w:tcPr>
            <w:tcW w:w="1470" w:type="dxa"/>
            <w:tcBorders>
              <w:top w:val="nil"/>
              <w:left w:val="nil"/>
              <w:bottom w:val="nil"/>
              <w:right w:val="nil"/>
            </w:tcBorders>
            <w:shd w:val="clear" w:color="000000" w:fill="FFFFFF"/>
            <w:noWrap/>
            <w:vAlign w:val="bottom"/>
            <w:hideMark/>
          </w:tcPr>
          <w:p w14:paraId="729246E4"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c>
          <w:tcPr>
            <w:tcW w:w="994" w:type="dxa"/>
            <w:tcBorders>
              <w:top w:val="nil"/>
              <w:left w:val="nil"/>
              <w:bottom w:val="nil"/>
              <w:right w:val="nil"/>
            </w:tcBorders>
            <w:shd w:val="clear" w:color="000000" w:fill="FFFFFF"/>
            <w:noWrap/>
            <w:vAlign w:val="bottom"/>
            <w:hideMark/>
          </w:tcPr>
          <w:p w14:paraId="70B69E33"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c>
          <w:tcPr>
            <w:tcW w:w="960" w:type="dxa"/>
            <w:tcBorders>
              <w:top w:val="nil"/>
              <w:left w:val="nil"/>
              <w:bottom w:val="nil"/>
              <w:right w:val="nil"/>
            </w:tcBorders>
            <w:shd w:val="clear" w:color="000000" w:fill="FFFFFF"/>
            <w:noWrap/>
            <w:vAlign w:val="bottom"/>
            <w:hideMark/>
          </w:tcPr>
          <w:p w14:paraId="28DFF0A8"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c>
          <w:tcPr>
            <w:tcW w:w="1167" w:type="dxa"/>
            <w:tcBorders>
              <w:top w:val="nil"/>
              <w:left w:val="nil"/>
              <w:bottom w:val="nil"/>
              <w:right w:val="nil"/>
            </w:tcBorders>
            <w:shd w:val="clear" w:color="000000" w:fill="FFFFFF"/>
            <w:noWrap/>
            <w:vAlign w:val="bottom"/>
            <w:hideMark/>
          </w:tcPr>
          <w:p w14:paraId="322026B0"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c>
          <w:tcPr>
            <w:tcW w:w="1314" w:type="dxa"/>
            <w:tcBorders>
              <w:top w:val="nil"/>
              <w:left w:val="nil"/>
              <w:bottom w:val="nil"/>
              <w:right w:val="nil"/>
            </w:tcBorders>
            <w:shd w:val="clear" w:color="000000" w:fill="FFFFFF"/>
            <w:noWrap/>
            <w:vAlign w:val="bottom"/>
            <w:hideMark/>
          </w:tcPr>
          <w:p w14:paraId="1678F69F"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r>
      <w:tr w:rsidR="00AE5E6C" w:rsidRPr="00164238" w14:paraId="30CE00E0" w14:textId="77777777" w:rsidTr="00682CBF">
        <w:trPr>
          <w:trHeight w:val="312"/>
        </w:trPr>
        <w:tc>
          <w:tcPr>
            <w:tcW w:w="3060" w:type="dxa"/>
            <w:tcBorders>
              <w:top w:val="nil"/>
              <w:left w:val="nil"/>
              <w:bottom w:val="nil"/>
              <w:right w:val="nil"/>
            </w:tcBorders>
            <w:shd w:val="clear" w:color="000000" w:fill="FFFFFF"/>
            <w:noWrap/>
            <w:vAlign w:val="bottom"/>
            <w:hideMark/>
          </w:tcPr>
          <w:p w14:paraId="6115DA28"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xml:space="preserve">İşsizlik oranı </w:t>
            </w:r>
          </w:p>
        </w:tc>
        <w:tc>
          <w:tcPr>
            <w:tcW w:w="1470" w:type="dxa"/>
            <w:tcBorders>
              <w:top w:val="nil"/>
              <w:left w:val="nil"/>
              <w:bottom w:val="nil"/>
              <w:right w:val="nil"/>
            </w:tcBorders>
            <w:shd w:val="clear" w:color="000000" w:fill="FFFFFF"/>
            <w:noWrap/>
            <w:vAlign w:val="bottom"/>
            <w:hideMark/>
          </w:tcPr>
          <w:p w14:paraId="1E5F1C0E"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7.333</w:t>
            </w:r>
          </w:p>
        </w:tc>
        <w:tc>
          <w:tcPr>
            <w:tcW w:w="994" w:type="dxa"/>
            <w:tcBorders>
              <w:top w:val="nil"/>
              <w:left w:val="nil"/>
              <w:bottom w:val="nil"/>
              <w:right w:val="nil"/>
            </w:tcBorders>
            <w:shd w:val="clear" w:color="000000" w:fill="FFFFFF"/>
            <w:noWrap/>
            <w:vAlign w:val="bottom"/>
            <w:hideMark/>
          </w:tcPr>
          <w:p w14:paraId="41C411AA"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5.9</w:t>
            </w:r>
          </w:p>
        </w:tc>
        <w:tc>
          <w:tcPr>
            <w:tcW w:w="960" w:type="dxa"/>
            <w:tcBorders>
              <w:top w:val="nil"/>
              <w:left w:val="nil"/>
              <w:bottom w:val="nil"/>
              <w:right w:val="nil"/>
            </w:tcBorders>
            <w:shd w:val="clear" w:color="000000" w:fill="FFFFFF"/>
            <w:noWrap/>
            <w:vAlign w:val="bottom"/>
            <w:hideMark/>
          </w:tcPr>
          <w:p w14:paraId="19E672AA"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3.8</w:t>
            </w:r>
          </w:p>
        </w:tc>
        <w:tc>
          <w:tcPr>
            <w:tcW w:w="1167" w:type="dxa"/>
            <w:tcBorders>
              <w:top w:val="nil"/>
              <w:left w:val="nil"/>
              <w:bottom w:val="nil"/>
              <w:right w:val="nil"/>
            </w:tcBorders>
            <w:shd w:val="clear" w:color="000000" w:fill="FFFFFF"/>
            <w:noWrap/>
            <w:vAlign w:val="bottom"/>
            <w:hideMark/>
          </w:tcPr>
          <w:p w14:paraId="38C9974F"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2.775</w:t>
            </w:r>
          </w:p>
        </w:tc>
        <w:tc>
          <w:tcPr>
            <w:tcW w:w="1314" w:type="dxa"/>
            <w:tcBorders>
              <w:top w:val="nil"/>
              <w:left w:val="nil"/>
              <w:bottom w:val="nil"/>
              <w:right w:val="nil"/>
            </w:tcBorders>
            <w:shd w:val="clear" w:color="000000" w:fill="FFFFFF"/>
            <w:noWrap/>
            <w:vAlign w:val="bottom"/>
            <w:hideMark/>
          </w:tcPr>
          <w:p w14:paraId="28BE8A57"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15.53</w:t>
            </w:r>
          </w:p>
        </w:tc>
      </w:tr>
      <w:tr w:rsidR="00AE5E6C" w:rsidRPr="00164238" w14:paraId="06C89974" w14:textId="77777777" w:rsidTr="00682CBF">
        <w:trPr>
          <w:trHeight w:val="312"/>
        </w:trPr>
        <w:tc>
          <w:tcPr>
            <w:tcW w:w="3060" w:type="dxa"/>
            <w:tcBorders>
              <w:top w:val="nil"/>
              <w:left w:val="nil"/>
              <w:bottom w:val="nil"/>
              <w:right w:val="nil"/>
            </w:tcBorders>
            <w:shd w:val="clear" w:color="000000" w:fill="FFFFFF"/>
            <w:noWrap/>
            <w:vAlign w:val="bottom"/>
            <w:hideMark/>
          </w:tcPr>
          <w:p w14:paraId="6A045FF9"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Ölüm oranı (bir milyonda)</w:t>
            </w:r>
          </w:p>
        </w:tc>
        <w:tc>
          <w:tcPr>
            <w:tcW w:w="1470" w:type="dxa"/>
            <w:tcBorders>
              <w:top w:val="nil"/>
              <w:left w:val="nil"/>
              <w:bottom w:val="nil"/>
              <w:right w:val="nil"/>
            </w:tcBorders>
            <w:shd w:val="clear" w:color="000000" w:fill="FFFFFF"/>
            <w:noWrap/>
            <w:vAlign w:val="bottom"/>
            <w:hideMark/>
          </w:tcPr>
          <w:p w14:paraId="44E2C20D"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809.5</w:t>
            </w:r>
          </w:p>
        </w:tc>
        <w:tc>
          <w:tcPr>
            <w:tcW w:w="994" w:type="dxa"/>
            <w:tcBorders>
              <w:top w:val="nil"/>
              <w:left w:val="nil"/>
              <w:bottom w:val="nil"/>
              <w:right w:val="nil"/>
            </w:tcBorders>
            <w:shd w:val="clear" w:color="000000" w:fill="FFFFFF"/>
            <w:noWrap/>
            <w:vAlign w:val="bottom"/>
            <w:hideMark/>
          </w:tcPr>
          <w:p w14:paraId="4A3B4A75"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741.4</w:t>
            </w:r>
          </w:p>
        </w:tc>
        <w:tc>
          <w:tcPr>
            <w:tcW w:w="960" w:type="dxa"/>
            <w:tcBorders>
              <w:top w:val="nil"/>
              <w:left w:val="nil"/>
              <w:bottom w:val="nil"/>
              <w:right w:val="nil"/>
            </w:tcBorders>
            <w:shd w:val="clear" w:color="000000" w:fill="FFFFFF"/>
            <w:noWrap/>
            <w:vAlign w:val="bottom"/>
            <w:hideMark/>
          </w:tcPr>
          <w:p w14:paraId="5FA44D42"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631.7</w:t>
            </w:r>
          </w:p>
        </w:tc>
        <w:tc>
          <w:tcPr>
            <w:tcW w:w="1167" w:type="dxa"/>
            <w:tcBorders>
              <w:top w:val="nil"/>
              <w:left w:val="nil"/>
              <w:bottom w:val="nil"/>
              <w:right w:val="nil"/>
            </w:tcBorders>
            <w:shd w:val="clear" w:color="000000" w:fill="FFFFFF"/>
            <w:noWrap/>
            <w:vAlign w:val="bottom"/>
            <w:hideMark/>
          </w:tcPr>
          <w:p w14:paraId="3D34C640"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5.29</w:t>
            </w:r>
          </w:p>
        </w:tc>
        <w:tc>
          <w:tcPr>
            <w:tcW w:w="1314" w:type="dxa"/>
            <w:tcBorders>
              <w:top w:val="nil"/>
              <w:left w:val="nil"/>
              <w:bottom w:val="nil"/>
              <w:right w:val="nil"/>
            </w:tcBorders>
            <w:shd w:val="clear" w:color="000000" w:fill="FFFFFF"/>
            <w:noWrap/>
            <w:vAlign w:val="bottom"/>
            <w:hideMark/>
          </w:tcPr>
          <w:p w14:paraId="2CA666F5"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1891</w:t>
            </w:r>
          </w:p>
        </w:tc>
      </w:tr>
      <w:tr w:rsidR="00AE5E6C" w:rsidRPr="00164238" w14:paraId="39013ABD" w14:textId="77777777" w:rsidTr="00682CBF">
        <w:trPr>
          <w:trHeight w:val="312"/>
        </w:trPr>
        <w:tc>
          <w:tcPr>
            <w:tcW w:w="3060" w:type="dxa"/>
            <w:tcBorders>
              <w:top w:val="nil"/>
              <w:left w:val="nil"/>
              <w:bottom w:val="nil"/>
              <w:right w:val="nil"/>
            </w:tcBorders>
            <w:shd w:val="clear" w:color="000000" w:fill="FFFFFF"/>
            <w:noWrap/>
            <w:vAlign w:val="bottom"/>
            <w:hideMark/>
          </w:tcPr>
          <w:p w14:paraId="58B39F73" w14:textId="77777777" w:rsidR="00522634" w:rsidRPr="00164238" w:rsidRDefault="00522634" w:rsidP="00682CBF">
            <w:pPr>
              <w:spacing w:after="0" w:line="240" w:lineRule="auto"/>
              <w:jc w:val="right"/>
              <w:rPr>
                <w:rFonts w:ascii="Times New Roman" w:eastAsia="Times New Roman" w:hAnsi="Times New Roman" w:cs="Times New Roman"/>
                <w:b/>
                <w:bCs/>
                <w:color w:val="000000" w:themeColor="text1"/>
                <w:sz w:val="20"/>
                <w:szCs w:val="20"/>
                <w:lang w:eastAsia="tr-TR"/>
              </w:rPr>
            </w:pPr>
            <w:r w:rsidRPr="00164238">
              <w:rPr>
                <w:rFonts w:ascii="Times New Roman" w:eastAsia="Times New Roman" w:hAnsi="Times New Roman" w:cs="Times New Roman"/>
                <w:b/>
                <w:bCs/>
                <w:color w:val="000000" w:themeColor="text1"/>
                <w:sz w:val="20"/>
                <w:szCs w:val="20"/>
                <w:lang w:eastAsia="tr-TR"/>
              </w:rPr>
              <w:t>Bağımsız değişkenler</w:t>
            </w:r>
          </w:p>
        </w:tc>
        <w:tc>
          <w:tcPr>
            <w:tcW w:w="1470" w:type="dxa"/>
            <w:tcBorders>
              <w:top w:val="nil"/>
              <w:left w:val="nil"/>
              <w:bottom w:val="nil"/>
              <w:right w:val="nil"/>
            </w:tcBorders>
            <w:shd w:val="clear" w:color="000000" w:fill="FFFFFF"/>
            <w:noWrap/>
            <w:vAlign w:val="bottom"/>
            <w:hideMark/>
          </w:tcPr>
          <w:p w14:paraId="7DF8F456"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c>
          <w:tcPr>
            <w:tcW w:w="994" w:type="dxa"/>
            <w:tcBorders>
              <w:top w:val="nil"/>
              <w:left w:val="nil"/>
              <w:bottom w:val="nil"/>
              <w:right w:val="nil"/>
            </w:tcBorders>
            <w:shd w:val="clear" w:color="000000" w:fill="FFFFFF"/>
            <w:noWrap/>
            <w:vAlign w:val="bottom"/>
            <w:hideMark/>
          </w:tcPr>
          <w:p w14:paraId="52C28738"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c>
          <w:tcPr>
            <w:tcW w:w="960" w:type="dxa"/>
            <w:tcBorders>
              <w:top w:val="nil"/>
              <w:left w:val="nil"/>
              <w:bottom w:val="nil"/>
              <w:right w:val="nil"/>
            </w:tcBorders>
            <w:shd w:val="clear" w:color="000000" w:fill="FFFFFF"/>
            <w:noWrap/>
            <w:vAlign w:val="bottom"/>
            <w:hideMark/>
          </w:tcPr>
          <w:p w14:paraId="0BCA527A"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c>
          <w:tcPr>
            <w:tcW w:w="1167" w:type="dxa"/>
            <w:tcBorders>
              <w:top w:val="nil"/>
              <w:left w:val="nil"/>
              <w:bottom w:val="nil"/>
              <w:right w:val="nil"/>
            </w:tcBorders>
            <w:shd w:val="clear" w:color="000000" w:fill="FFFFFF"/>
            <w:noWrap/>
            <w:vAlign w:val="bottom"/>
            <w:hideMark/>
          </w:tcPr>
          <w:p w14:paraId="6BCAD1B5"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c>
          <w:tcPr>
            <w:tcW w:w="1314" w:type="dxa"/>
            <w:tcBorders>
              <w:top w:val="nil"/>
              <w:left w:val="nil"/>
              <w:bottom w:val="nil"/>
              <w:right w:val="nil"/>
            </w:tcBorders>
            <w:shd w:val="clear" w:color="000000" w:fill="FFFFFF"/>
            <w:noWrap/>
            <w:vAlign w:val="bottom"/>
            <w:hideMark/>
          </w:tcPr>
          <w:p w14:paraId="5EDC0038"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r>
      <w:tr w:rsidR="00AE5E6C" w:rsidRPr="00164238" w14:paraId="4FFB899A" w14:textId="77777777" w:rsidTr="00682CBF">
        <w:trPr>
          <w:trHeight w:val="312"/>
        </w:trPr>
        <w:tc>
          <w:tcPr>
            <w:tcW w:w="3060" w:type="dxa"/>
            <w:tcBorders>
              <w:top w:val="nil"/>
              <w:left w:val="nil"/>
              <w:bottom w:val="nil"/>
              <w:right w:val="nil"/>
            </w:tcBorders>
            <w:shd w:val="clear" w:color="000000" w:fill="FFFFFF"/>
            <w:noWrap/>
            <w:vAlign w:val="bottom"/>
            <w:hideMark/>
          </w:tcPr>
          <w:p w14:paraId="7F3728B1"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Hane halkı gelir düzeyi</w:t>
            </w:r>
          </w:p>
        </w:tc>
        <w:tc>
          <w:tcPr>
            <w:tcW w:w="1470" w:type="dxa"/>
            <w:tcBorders>
              <w:top w:val="nil"/>
              <w:left w:val="nil"/>
              <w:bottom w:val="nil"/>
              <w:right w:val="nil"/>
            </w:tcBorders>
            <w:shd w:val="clear" w:color="000000" w:fill="FFFFFF"/>
            <w:noWrap/>
            <w:vAlign w:val="bottom"/>
            <w:hideMark/>
          </w:tcPr>
          <w:p w14:paraId="02210BCF"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27842</w:t>
            </w:r>
          </w:p>
        </w:tc>
        <w:tc>
          <w:tcPr>
            <w:tcW w:w="994" w:type="dxa"/>
            <w:tcBorders>
              <w:top w:val="nil"/>
              <w:left w:val="nil"/>
              <w:bottom w:val="nil"/>
              <w:right w:val="nil"/>
            </w:tcBorders>
            <w:shd w:val="clear" w:color="000000" w:fill="FFFFFF"/>
            <w:noWrap/>
            <w:vAlign w:val="bottom"/>
            <w:hideMark/>
          </w:tcPr>
          <w:p w14:paraId="48CEC144"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28408</w:t>
            </w:r>
          </w:p>
        </w:tc>
        <w:tc>
          <w:tcPr>
            <w:tcW w:w="960" w:type="dxa"/>
            <w:tcBorders>
              <w:top w:val="nil"/>
              <w:left w:val="nil"/>
              <w:bottom w:val="nil"/>
              <w:right w:val="nil"/>
            </w:tcBorders>
            <w:shd w:val="clear" w:color="000000" w:fill="FFFFFF"/>
            <w:noWrap/>
            <w:vAlign w:val="bottom"/>
            <w:hideMark/>
          </w:tcPr>
          <w:p w14:paraId="3ED928F8"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6428</w:t>
            </w:r>
          </w:p>
        </w:tc>
        <w:tc>
          <w:tcPr>
            <w:tcW w:w="1167" w:type="dxa"/>
            <w:tcBorders>
              <w:top w:val="nil"/>
              <w:left w:val="nil"/>
              <w:bottom w:val="nil"/>
              <w:right w:val="nil"/>
            </w:tcBorders>
            <w:shd w:val="clear" w:color="000000" w:fill="FFFFFF"/>
            <w:noWrap/>
            <w:vAlign w:val="bottom"/>
            <w:hideMark/>
          </w:tcPr>
          <w:p w14:paraId="2C0585B7"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17002</w:t>
            </w:r>
          </w:p>
        </w:tc>
        <w:tc>
          <w:tcPr>
            <w:tcW w:w="1314" w:type="dxa"/>
            <w:tcBorders>
              <w:top w:val="nil"/>
              <w:left w:val="nil"/>
              <w:bottom w:val="nil"/>
              <w:right w:val="nil"/>
            </w:tcBorders>
            <w:shd w:val="clear" w:color="000000" w:fill="FFFFFF"/>
            <w:noWrap/>
            <w:vAlign w:val="bottom"/>
            <w:hideMark/>
          </w:tcPr>
          <w:p w14:paraId="6AE78C3A"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44049</w:t>
            </w:r>
          </w:p>
        </w:tc>
      </w:tr>
      <w:tr w:rsidR="00AE5E6C" w:rsidRPr="00164238" w14:paraId="089673F7" w14:textId="77777777" w:rsidTr="00682CBF">
        <w:trPr>
          <w:trHeight w:val="312"/>
        </w:trPr>
        <w:tc>
          <w:tcPr>
            <w:tcW w:w="3060" w:type="dxa"/>
            <w:tcBorders>
              <w:top w:val="nil"/>
              <w:left w:val="nil"/>
              <w:bottom w:val="nil"/>
              <w:right w:val="nil"/>
            </w:tcBorders>
            <w:shd w:val="clear" w:color="000000" w:fill="FFFFFF"/>
            <w:noWrap/>
            <w:vAlign w:val="bottom"/>
            <w:hideMark/>
          </w:tcPr>
          <w:p w14:paraId="7FDAAE96"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xml:space="preserve">Sağlık harcamaları </w:t>
            </w:r>
          </w:p>
        </w:tc>
        <w:tc>
          <w:tcPr>
            <w:tcW w:w="1470" w:type="dxa"/>
            <w:tcBorders>
              <w:top w:val="nil"/>
              <w:left w:val="nil"/>
              <w:bottom w:val="nil"/>
              <w:right w:val="nil"/>
            </w:tcBorders>
            <w:shd w:val="clear" w:color="000000" w:fill="FFFFFF"/>
            <w:noWrap/>
            <w:vAlign w:val="bottom"/>
            <w:hideMark/>
          </w:tcPr>
          <w:p w14:paraId="0368A1F0"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4681</w:t>
            </w:r>
          </w:p>
        </w:tc>
        <w:tc>
          <w:tcPr>
            <w:tcW w:w="994" w:type="dxa"/>
            <w:tcBorders>
              <w:top w:val="nil"/>
              <w:left w:val="nil"/>
              <w:bottom w:val="nil"/>
              <w:right w:val="nil"/>
            </w:tcBorders>
            <w:shd w:val="clear" w:color="000000" w:fill="FFFFFF"/>
            <w:noWrap/>
            <w:vAlign w:val="bottom"/>
            <w:hideMark/>
          </w:tcPr>
          <w:p w14:paraId="601927F6"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4504</w:t>
            </w:r>
          </w:p>
        </w:tc>
        <w:tc>
          <w:tcPr>
            <w:tcW w:w="960" w:type="dxa"/>
            <w:tcBorders>
              <w:top w:val="nil"/>
              <w:left w:val="nil"/>
              <w:bottom w:val="nil"/>
              <w:right w:val="nil"/>
            </w:tcBorders>
            <w:shd w:val="clear" w:color="000000" w:fill="FFFFFF"/>
            <w:noWrap/>
            <w:vAlign w:val="bottom"/>
            <w:hideMark/>
          </w:tcPr>
          <w:p w14:paraId="401EF5EA"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2029</w:t>
            </w:r>
          </w:p>
        </w:tc>
        <w:tc>
          <w:tcPr>
            <w:tcW w:w="1167" w:type="dxa"/>
            <w:tcBorders>
              <w:top w:val="nil"/>
              <w:left w:val="nil"/>
              <w:bottom w:val="nil"/>
              <w:right w:val="nil"/>
            </w:tcBorders>
            <w:shd w:val="clear" w:color="000000" w:fill="FFFFFF"/>
            <w:noWrap/>
            <w:vAlign w:val="bottom"/>
            <w:hideMark/>
          </w:tcPr>
          <w:p w14:paraId="7ECCDAE9"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1224</w:t>
            </w:r>
          </w:p>
        </w:tc>
        <w:tc>
          <w:tcPr>
            <w:tcW w:w="1314" w:type="dxa"/>
            <w:tcBorders>
              <w:top w:val="nil"/>
              <w:left w:val="nil"/>
              <w:bottom w:val="nil"/>
              <w:right w:val="nil"/>
            </w:tcBorders>
            <w:shd w:val="clear" w:color="000000" w:fill="FFFFFF"/>
            <w:noWrap/>
            <w:vAlign w:val="bottom"/>
            <w:hideMark/>
          </w:tcPr>
          <w:p w14:paraId="13F712BC"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10637</w:t>
            </w:r>
          </w:p>
        </w:tc>
      </w:tr>
      <w:tr w:rsidR="00AE5E6C" w:rsidRPr="00164238" w14:paraId="723ED230" w14:textId="77777777" w:rsidTr="00682CBF">
        <w:trPr>
          <w:trHeight w:val="312"/>
        </w:trPr>
        <w:tc>
          <w:tcPr>
            <w:tcW w:w="3060" w:type="dxa"/>
            <w:tcBorders>
              <w:top w:val="nil"/>
              <w:left w:val="nil"/>
              <w:bottom w:val="nil"/>
              <w:right w:val="nil"/>
            </w:tcBorders>
            <w:shd w:val="clear" w:color="000000" w:fill="FFFFFF"/>
            <w:noWrap/>
            <w:vAlign w:val="bottom"/>
            <w:hideMark/>
          </w:tcPr>
          <w:p w14:paraId="0EEB9104"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Doktor sayısı (1000 kişi için)</w:t>
            </w:r>
          </w:p>
        </w:tc>
        <w:tc>
          <w:tcPr>
            <w:tcW w:w="1470" w:type="dxa"/>
            <w:tcBorders>
              <w:top w:val="nil"/>
              <w:left w:val="nil"/>
              <w:bottom w:val="nil"/>
              <w:right w:val="nil"/>
            </w:tcBorders>
            <w:shd w:val="clear" w:color="000000" w:fill="FFFFFF"/>
            <w:noWrap/>
            <w:vAlign w:val="bottom"/>
            <w:hideMark/>
          </w:tcPr>
          <w:p w14:paraId="7E270876"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3.701</w:t>
            </w:r>
          </w:p>
        </w:tc>
        <w:tc>
          <w:tcPr>
            <w:tcW w:w="994" w:type="dxa"/>
            <w:tcBorders>
              <w:top w:val="nil"/>
              <w:left w:val="nil"/>
              <w:bottom w:val="nil"/>
              <w:right w:val="nil"/>
            </w:tcBorders>
            <w:shd w:val="clear" w:color="000000" w:fill="FFFFFF"/>
            <w:noWrap/>
            <w:vAlign w:val="bottom"/>
            <w:hideMark/>
          </w:tcPr>
          <w:p w14:paraId="3A7C980B"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3.6</w:t>
            </w:r>
          </w:p>
        </w:tc>
        <w:tc>
          <w:tcPr>
            <w:tcW w:w="960" w:type="dxa"/>
            <w:tcBorders>
              <w:top w:val="nil"/>
              <w:left w:val="nil"/>
              <w:bottom w:val="nil"/>
              <w:right w:val="nil"/>
            </w:tcBorders>
            <w:shd w:val="clear" w:color="000000" w:fill="FFFFFF"/>
            <w:noWrap/>
            <w:vAlign w:val="bottom"/>
            <w:hideMark/>
          </w:tcPr>
          <w:p w14:paraId="58E1BD87"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1.221</w:t>
            </w:r>
          </w:p>
        </w:tc>
        <w:tc>
          <w:tcPr>
            <w:tcW w:w="1167" w:type="dxa"/>
            <w:tcBorders>
              <w:top w:val="nil"/>
              <w:left w:val="nil"/>
              <w:bottom w:val="nil"/>
              <w:right w:val="nil"/>
            </w:tcBorders>
            <w:shd w:val="clear" w:color="000000" w:fill="FFFFFF"/>
            <w:noWrap/>
            <w:vAlign w:val="bottom"/>
            <w:hideMark/>
          </w:tcPr>
          <w:p w14:paraId="6730D495"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1.9</w:t>
            </w:r>
          </w:p>
        </w:tc>
        <w:tc>
          <w:tcPr>
            <w:tcW w:w="1314" w:type="dxa"/>
            <w:tcBorders>
              <w:top w:val="nil"/>
              <w:left w:val="nil"/>
              <w:bottom w:val="nil"/>
              <w:right w:val="nil"/>
            </w:tcBorders>
            <w:shd w:val="clear" w:color="000000" w:fill="FFFFFF"/>
            <w:noWrap/>
            <w:vAlign w:val="bottom"/>
            <w:hideMark/>
          </w:tcPr>
          <w:p w14:paraId="57585196"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6.66</w:t>
            </w:r>
          </w:p>
        </w:tc>
      </w:tr>
      <w:tr w:rsidR="00AE5E6C" w:rsidRPr="00164238" w14:paraId="260D5A5B" w14:textId="77777777" w:rsidTr="00682CBF">
        <w:trPr>
          <w:trHeight w:val="312"/>
        </w:trPr>
        <w:tc>
          <w:tcPr>
            <w:tcW w:w="3060" w:type="dxa"/>
            <w:tcBorders>
              <w:top w:val="nil"/>
              <w:left w:val="nil"/>
              <w:bottom w:val="nil"/>
              <w:right w:val="nil"/>
            </w:tcBorders>
            <w:shd w:val="clear" w:color="000000" w:fill="FFFFFF"/>
            <w:noWrap/>
            <w:vAlign w:val="bottom"/>
            <w:hideMark/>
          </w:tcPr>
          <w:p w14:paraId="6F126E73"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Obezite</w:t>
            </w:r>
          </w:p>
        </w:tc>
        <w:tc>
          <w:tcPr>
            <w:tcW w:w="1470" w:type="dxa"/>
            <w:tcBorders>
              <w:top w:val="nil"/>
              <w:left w:val="nil"/>
              <w:bottom w:val="nil"/>
              <w:right w:val="nil"/>
            </w:tcBorders>
            <w:shd w:val="clear" w:color="000000" w:fill="FFFFFF"/>
            <w:noWrap/>
            <w:vAlign w:val="bottom"/>
            <w:hideMark/>
          </w:tcPr>
          <w:p w14:paraId="31242B16"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53.11</w:t>
            </w:r>
          </w:p>
        </w:tc>
        <w:tc>
          <w:tcPr>
            <w:tcW w:w="994" w:type="dxa"/>
            <w:tcBorders>
              <w:top w:val="nil"/>
              <w:left w:val="nil"/>
              <w:bottom w:val="nil"/>
              <w:right w:val="nil"/>
            </w:tcBorders>
            <w:shd w:val="clear" w:color="000000" w:fill="FFFFFF"/>
            <w:noWrap/>
            <w:vAlign w:val="bottom"/>
            <w:hideMark/>
          </w:tcPr>
          <w:p w14:paraId="5395C7D4"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53</w:t>
            </w:r>
          </w:p>
        </w:tc>
        <w:tc>
          <w:tcPr>
            <w:tcW w:w="960" w:type="dxa"/>
            <w:tcBorders>
              <w:top w:val="nil"/>
              <w:left w:val="nil"/>
              <w:bottom w:val="nil"/>
              <w:right w:val="nil"/>
            </w:tcBorders>
            <w:shd w:val="clear" w:color="000000" w:fill="FFFFFF"/>
            <w:noWrap/>
            <w:vAlign w:val="bottom"/>
            <w:hideMark/>
          </w:tcPr>
          <w:p w14:paraId="341FEBE1"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11.16</w:t>
            </w:r>
          </w:p>
        </w:tc>
        <w:tc>
          <w:tcPr>
            <w:tcW w:w="1167" w:type="dxa"/>
            <w:tcBorders>
              <w:top w:val="nil"/>
              <w:left w:val="nil"/>
              <w:bottom w:val="nil"/>
              <w:right w:val="nil"/>
            </w:tcBorders>
            <w:shd w:val="clear" w:color="000000" w:fill="FFFFFF"/>
            <w:noWrap/>
            <w:vAlign w:val="bottom"/>
            <w:hideMark/>
          </w:tcPr>
          <w:p w14:paraId="47A8E4BD"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25.9</w:t>
            </w:r>
          </w:p>
        </w:tc>
        <w:tc>
          <w:tcPr>
            <w:tcW w:w="1314" w:type="dxa"/>
            <w:tcBorders>
              <w:top w:val="nil"/>
              <w:left w:val="nil"/>
              <w:bottom w:val="nil"/>
              <w:right w:val="nil"/>
            </w:tcBorders>
            <w:shd w:val="clear" w:color="000000" w:fill="FFFFFF"/>
            <w:noWrap/>
            <w:vAlign w:val="bottom"/>
            <w:hideMark/>
          </w:tcPr>
          <w:p w14:paraId="355C03DF"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66.6</w:t>
            </w:r>
          </w:p>
        </w:tc>
      </w:tr>
      <w:tr w:rsidR="00AE5E6C" w:rsidRPr="00164238" w14:paraId="122779D4" w14:textId="77777777" w:rsidTr="00682CBF">
        <w:trPr>
          <w:trHeight w:val="312"/>
        </w:trPr>
        <w:tc>
          <w:tcPr>
            <w:tcW w:w="3060" w:type="dxa"/>
            <w:tcBorders>
              <w:top w:val="nil"/>
              <w:left w:val="nil"/>
              <w:bottom w:val="single" w:sz="4" w:space="0" w:color="auto"/>
              <w:right w:val="nil"/>
            </w:tcBorders>
            <w:shd w:val="clear" w:color="000000" w:fill="FFFFFF"/>
            <w:noWrap/>
            <w:vAlign w:val="bottom"/>
            <w:hideMark/>
          </w:tcPr>
          <w:p w14:paraId="69500E74"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Gini katsayısı</w:t>
            </w:r>
          </w:p>
        </w:tc>
        <w:tc>
          <w:tcPr>
            <w:tcW w:w="1470" w:type="dxa"/>
            <w:tcBorders>
              <w:top w:val="nil"/>
              <w:left w:val="nil"/>
              <w:bottom w:val="single" w:sz="4" w:space="0" w:color="auto"/>
              <w:right w:val="nil"/>
            </w:tcBorders>
            <w:shd w:val="clear" w:color="000000" w:fill="FFFFFF"/>
            <w:noWrap/>
            <w:vAlign w:val="bottom"/>
            <w:hideMark/>
          </w:tcPr>
          <w:p w14:paraId="3F47573A"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0.3149</w:t>
            </w:r>
          </w:p>
        </w:tc>
        <w:tc>
          <w:tcPr>
            <w:tcW w:w="994" w:type="dxa"/>
            <w:tcBorders>
              <w:top w:val="nil"/>
              <w:left w:val="nil"/>
              <w:bottom w:val="single" w:sz="4" w:space="0" w:color="auto"/>
              <w:right w:val="nil"/>
            </w:tcBorders>
            <w:shd w:val="clear" w:color="000000" w:fill="FFFFFF"/>
            <w:noWrap/>
            <w:vAlign w:val="bottom"/>
            <w:hideMark/>
          </w:tcPr>
          <w:p w14:paraId="2EEA12CE"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0.306</w:t>
            </w:r>
          </w:p>
        </w:tc>
        <w:tc>
          <w:tcPr>
            <w:tcW w:w="960" w:type="dxa"/>
            <w:tcBorders>
              <w:top w:val="nil"/>
              <w:left w:val="nil"/>
              <w:bottom w:val="single" w:sz="4" w:space="0" w:color="auto"/>
              <w:right w:val="nil"/>
            </w:tcBorders>
            <w:shd w:val="clear" w:color="000000" w:fill="FFFFFF"/>
            <w:noWrap/>
            <w:vAlign w:val="bottom"/>
            <w:hideMark/>
          </w:tcPr>
          <w:p w14:paraId="64E02E4B"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0.04091</w:t>
            </w:r>
          </w:p>
        </w:tc>
        <w:tc>
          <w:tcPr>
            <w:tcW w:w="1167" w:type="dxa"/>
            <w:tcBorders>
              <w:top w:val="nil"/>
              <w:left w:val="nil"/>
              <w:bottom w:val="single" w:sz="4" w:space="0" w:color="auto"/>
              <w:right w:val="nil"/>
            </w:tcBorders>
            <w:shd w:val="clear" w:color="000000" w:fill="FFFFFF"/>
            <w:noWrap/>
            <w:vAlign w:val="bottom"/>
            <w:hideMark/>
          </w:tcPr>
          <w:p w14:paraId="075CDBB3"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0.26</w:t>
            </w:r>
          </w:p>
        </w:tc>
        <w:tc>
          <w:tcPr>
            <w:tcW w:w="1314" w:type="dxa"/>
            <w:tcBorders>
              <w:top w:val="nil"/>
              <w:left w:val="nil"/>
              <w:bottom w:val="single" w:sz="4" w:space="0" w:color="auto"/>
              <w:right w:val="nil"/>
            </w:tcBorders>
            <w:shd w:val="clear" w:color="000000" w:fill="FFFFFF"/>
            <w:noWrap/>
            <w:vAlign w:val="bottom"/>
            <w:hideMark/>
          </w:tcPr>
          <w:p w14:paraId="10651D73"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0.41</w:t>
            </w:r>
          </w:p>
        </w:tc>
      </w:tr>
    </w:tbl>
    <w:p w14:paraId="0F798493" w14:textId="77777777" w:rsidR="00522634" w:rsidRPr="00164238" w:rsidRDefault="00522634" w:rsidP="00522634">
      <w:pPr>
        <w:jc w:val="both"/>
        <w:rPr>
          <w:rFonts w:ascii="Times New Roman" w:hAnsi="Times New Roman" w:cs="Times New Roman"/>
          <w:color w:val="000000" w:themeColor="text1"/>
          <w:sz w:val="20"/>
          <w:szCs w:val="20"/>
        </w:rPr>
      </w:pPr>
    </w:p>
    <w:tbl>
      <w:tblPr>
        <w:tblW w:w="7700" w:type="dxa"/>
        <w:tblCellMar>
          <w:left w:w="70" w:type="dxa"/>
          <w:right w:w="70" w:type="dxa"/>
        </w:tblCellMar>
        <w:tblLook w:val="04A0" w:firstRow="1" w:lastRow="0" w:firstColumn="1" w:lastColumn="0" w:noHBand="0" w:noVBand="1"/>
      </w:tblPr>
      <w:tblGrid>
        <w:gridCol w:w="3474"/>
        <w:gridCol w:w="1147"/>
        <w:gridCol w:w="1988"/>
        <w:gridCol w:w="1091"/>
      </w:tblGrid>
      <w:tr w:rsidR="00AE5E6C" w:rsidRPr="00164238" w14:paraId="37124920" w14:textId="77777777" w:rsidTr="00682CBF">
        <w:trPr>
          <w:trHeight w:val="492"/>
        </w:trPr>
        <w:tc>
          <w:tcPr>
            <w:tcW w:w="7700" w:type="dxa"/>
            <w:gridSpan w:val="4"/>
            <w:tcBorders>
              <w:top w:val="nil"/>
              <w:left w:val="nil"/>
              <w:bottom w:val="nil"/>
              <w:right w:val="nil"/>
            </w:tcBorders>
            <w:shd w:val="clear" w:color="000000" w:fill="FFFFFF"/>
            <w:vAlign w:val="bottom"/>
            <w:hideMark/>
          </w:tcPr>
          <w:p w14:paraId="61DB59D6"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xml:space="preserve">Tablo 3: Ağırlıklandırılmış en küçük kareler yöntemi analiz sonuçları, bağımlı değişken : işsizlik oranı </w:t>
            </w:r>
          </w:p>
        </w:tc>
      </w:tr>
      <w:tr w:rsidR="00AE5E6C" w:rsidRPr="00164238" w14:paraId="387EF648" w14:textId="77777777" w:rsidTr="00682CBF">
        <w:trPr>
          <w:trHeight w:val="312"/>
        </w:trPr>
        <w:tc>
          <w:tcPr>
            <w:tcW w:w="3474" w:type="dxa"/>
            <w:tcBorders>
              <w:top w:val="single" w:sz="4" w:space="0" w:color="auto"/>
              <w:left w:val="nil"/>
              <w:bottom w:val="single" w:sz="4" w:space="0" w:color="auto"/>
              <w:right w:val="nil"/>
            </w:tcBorders>
            <w:shd w:val="clear" w:color="000000" w:fill="FFFFFF"/>
            <w:noWrap/>
            <w:vAlign w:val="bottom"/>
            <w:hideMark/>
          </w:tcPr>
          <w:p w14:paraId="538C170F"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c>
          <w:tcPr>
            <w:tcW w:w="1147" w:type="dxa"/>
            <w:tcBorders>
              <w:top w:val="single" w:sz="4" w:space="0" w:color="auto"/>
              <w:left w:val="nil"/>
              <w:bottom w:val="single" w:sz="4" w:space="0" w:color="auto"/>
              <w:right w:val="nil"/>
            </w:tcBorders>
            <w:shd w:val="clear" w:color="000000" w:fill="FFFFFF"/>
            <w:noWrap/>
            <w:vAlign w:val="bottom"/>
            <w:hideMark/>
          </w:tcPr>
          <w:p w14:paraId="405D6A66"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Katsayı</w:t>
            </w:r>
          </w:p>
        </w:tc>
        <w:tc>
          <w:tcPr>
            <w:tcW w:w="1988" w:type="dxa"/>
            <w:tcBorders>
              <w:top w:val="single" w:sz="4" w:space="0" w:color="auto"/>
              <w:left w:val="nil"/>
              <w:bottom w:val="single" w:sz="4" w:space="0" w:color="auto"/>
              <w:right w:val="nil"/>
            </w:tcBorders>
            <w:shd w:val="clear" w:color="000000" w:fill="FFFFFF"/>
            <w:noWrap/>
            <w:vAlign w:val="bottom"/>
            <w:hideMark/>
          </w:tcPr>
          <w:p w14:paraId="5AC79DA0"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Standart sapma</w:t>
            </w:r>
          </w:p>
        </w:tc>
        <w:tc>
          <w:tcPr>
            <w:tcW w:w="1091" w:type="dxa"/>
            <w:tcBorders>
              <w:top w:val="single" w:sz="4" w:space="0" w:color="auto"/>
              <w:left w:val="nil"/>
              <w:bottom w:val="single" w:sz="4" w:space="0" w:color="auto"/>
              <w:right w:val="nil"/>
            </w:tcBorders>
            <w:shd w:val="clear" w:color="000000" w:fill="FFFFFF"/>
            <w:noWrap/>
            <w:vAlign w:val="bottom"/>
            <w:hideMark/>
          </w:tcPr>
          <w:p w14:paraId="36F6E369"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p-değeri</w:t>
            </w:r>
          </w:p>
        </w:tc>
      </w:tr>
      <w:tr w:rsidR="00AE5E6C" w:rsidRPr="00164238" w14:paraId="734FAD6E" w14:textId="77777777" w:rsidTr="00682CBF">
        <w:trPr>
          <w:trHeight w:val="312"/>
        </w:trPr>
        <w:tc>
          <w:tcPr>
            <w:tcW w:w="3474" w:type="dxa"/>
            <w:tcBorders>
              <w:top w:val="nil"/>
              <w:left w:val="nil"/>
              <w:bottom w:val="nil"/>
              <w:right w:val="nil"/>
            </w:tcBorders>
            <w:shd w:val="clear" w:color="000000" w:fill="FFFFFF"/>
            <w:noWrap/>
            <w:vAlign w:val="bottom"/>
            <w:hideMark/>
          </w:tcPr>
          <w:p w14:paraId="79BAF867"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Sabit</w:t>
            </w:r>
          </w:p>
        </w:tc>
        <w:tc>
          <w:tcPr>
            <w:tcW w:w="1147" w:type="dxa"/>
            <w:tcBorders>
              <w:top w:val="nil"/>
              <w:left w:val="nil"/>
              <w:bottom w:val="nil"/>
              <w:right w:val="nil"/>
            </w:tcBorders>
            <w:shd w:val="clear" w:color="000000" w:fill="FFFFFF"/>
            <w:noWrap/>
            <w:vAlign w:val="bottom"/>
            <w:hideMark/>
          </w:tcPr>
          <w:p w14:paraId="14D875DE"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-12.63</w:t>
            </w:r>
          </w:p>
        </w:tc>
        <w:tc>
          <w:tcPr>
            <w:tcW w:w="1988" w:type="dxa"/>
            <w:tcBorders>
              <w:top w:val="nil"/>
              <w:left w:val="nil"/>
              <w:bottom w:val="nil"/>
              <w:right w:val="nil"/>
            </w:tcBorders>
            <w:shd w:val="clear" w:color="000000" w:fill="FFFFFF"/>
            <w:noWrap/>
            <w:vAlign w:val="bottom"/>
            <w:hideMark/>
          </w:tcPr>
          <w:p w14:paraId="4F2E6F3C"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7.842</w:t>
            </w:r>
          </w:p>
        </w:tc>
        <w:tc>
          <w:tcPr>
            <w:tcW w:w="1091" w:type="dxa"/>
            <w:tcBorders>
              <w:top w:val="nil"/>
              <w:left w:val="nil"/>
              <w:bottom w:val="nil"/>
              <w:right w:val="nil"/>
            </w:tcBorders>
            <w:shd w:val="clear" w:color="000000" w:fill="FFFFFF"/>
            <w:noWrap/>
            <w:vAlign w:val="bottom"/>
            <w:hideMark/>
          </w:tcPr>
          <w:p w14:paraId="436E235E"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0.013</w:t>
            </w:r>
          </w:p>
        </w:tc>
      </w:tr>
      <w:tr w:rsidR="00AE5E6C" w:rsidRPr="00164238" w14:paraId="2C0BD342" w14:textId="77777777" w:rsidTr="00682CBF">
        <w:trPr>
          <w:trHeight w:val="312"/>
        </w:trPr>
        <w:tc>
          <w:tcPr>
            <w:tcW w:w="3474" w:type="dxa"/>
            <w:tcBorders>
              <w:top w:val="nil"/>
              <w:left w:val="nil"/>
              <w:bottom w:val="nil"/>
              <w:right w:val="nil"/>
            </w:tcBorders>
            <w:shd w:val="clear" w:color="000000" w:fill="FFFFFF"/>
            <w:noWrap/>
            <w:vAlign w:val="bottom"/>
            <w:hideMark/>
          </w:tcPr>
          <w:p w14:paraId="52BD3E76"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Obezite</w:t>
            </w:r>
          </w:p>
        </w:tc>
        <w:tc>
          <w:tcPr>
            <w:tcW w:w="1147" w:type="dxa"/>
            <w:tcBorders>
              <w:top w:val="nil"/>
              <w:left w:val="nil"/>
              <w:bottom w:val="nil"/>
              <w:right w:val="nil"/>
            </w:tcBorders>
            <w:shd w:val="clear" w:color="000000" w:fill="FFFFFF"/>
            <w:noWrap/>
            <w:vAlign w:val="bottom"/>
            <w:hideMark/>
          </w:tcPr>
          <w:p w14:paraId="4112051E"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0.037</w:t>
            </w:r>
          </w:p>
        </w:tc>
        <w:tc>
          <w:tcPr>
            <w:tcW w:w="1988" w:type="dxa"/>
            <w:tcBorders>
              <w:top w:val="nil"/>
              <w:left w:val="nil"/>
              <w:bottom w:val="nil"/>
              <w:right w:val="nil"/>
            </w:tcBorders>
            <w:shd w:val="clear" w:color="000000" w:fill="FFFFFF"/>
            <w:noWrap/>
            <w:vAlign w:val="bottom"/>
            <w:hideMark/>
          </w:tcPr>
          <w:p w14:paraId="6B5B17FA"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0.007</w:t>
            </w:r>
          </w:p>
        </w:tc>
        <w:tc>
          <w:tcPr>
            <w:tcW w:w="1091" w:type="dxa"/>
            <w:tcBorders>
              <w:top w:val="nil"/>
              <w:left w:val="nil"/>
              <w:bottom w:val="nil"/>
              <w:right w:val="nil"/>
            </w:tcBorders>
            <w:shd w:val="clear" w:color="000000" w:fill="FFFFFF"/>
            <w:noWrap/>
            <w:vAlign w:val="bottom"/>
            <w:hideMark/>
          </w:tcPr>
          <w:p w14:paraId="20B3C7FC"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0.621</w:t>
            </w:r>
          </w:p>
        </w:tc>
      </w:tr>
      <w:tr w:rsidR="00AE5E6C" w:rsidRPr="00164238" w14:paraId="38AF190B" w14:textId="77777777" w:rsidTr="00682CBF">
        <w:trPr>
          <w:trHeight w:val="312"/>
        </w:trPr>
        <w:tc>
          <w:tcPr>
            <w:tcW w:w="3474" w:type="dxa"/>
            <w:tcBorders>
              <w:top w:val="nil"/>
              <w:left w:val="nil"/>
              <w:bottom w:val="nil"/>
              <w:right w:val="nil"/>
            </w:tcBorders>
            <w:shd w:val="clear" w:color="000000" w:fill="FFFFFF"/>
            <w:noWrap/>
            <w:vAlign w:val="bottom"/>
            <w:hideMark/>
          </w:tcPr>
          <w:p w14:paraId="5CB4541B"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Gini katsayısı</w:t>
            </w:r>
          </w:p>
        </w:tc>
        <w:tc>
          <w:tcPr>
            <w:tcW w:w="1147" w:type="dxa"/>
            <w:tcBorders>
              <w:top w:val="nil"/>
              <w:left w:val="nil"/>
              <w:bottom w:val="nil"/>
              <w:right w:val="nil"/>
            </w:tcBorders>
            <w:shd w:val="clear" w:color="000000" w:fill="FFFFFF"/>
            <w:noWrap/>
            <w:vAlign w:val="bottom"/>
            <w:hideMark/>
          </w:tcPr>
          <w:p w14:paraId="0D0B7471"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58.21**</w:t>
            </w:r>
          </w:p>
        </w:tc>
        <w:tc>
          <w:tcPr>
            <w:tcW w:w="1988" w:type="dxa"/>
            <w:tcBorders>
              <w:top w:val="nil"/>
              <w:left w:val="nil"/>
              <w:bottom w:val="nil"/>
              <w:right w:val="nil"/>
            </w:tcBorders>
            <w:shd w:val="clear" w:color="000000" w:fill="FFFFFF"/>
            <w:noWrap/>
            <w:vAlign w:val="bottom"/>
            <w:hideMark/>
          </w:tcPr>
          <w:p w14:paraId="0B7EC45B"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21.95</w:t>
            </w:r>
          </w:p>
        </w:tc>
        <w:tc>
          <w:tcPr>
            <w:tcW w:w="1091" w:type="dxa"/>
            <w:tcBorders>
              <w:top w:val="nil"/>
              <w:left w:val="nil"/>
              <w:bottom w:val="nil"/>
              <w:right w:val="nil"/>
            </w:tcBorders>
            <w:shd w:val="clear" w:color="000000" w:fill="FFFFFF"/>
            <w:noWrap/>
            <w:vAlign w:val="bottom"/>
            <w:hideMark/>
          </w:tcPr>
          <w:p w14:paraId="193F9E78"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0.02</w:t>
            </w:r>
          </w:p>
        </w:tc>
      </w:tr>
      <w:tr w:rsidR="00AE5E6C" w:rsidRPr="00164238" w14:paraId="4C539436" w14:textId="77777777" w:rsidTr="00682CBF">
        <w:trPr>
          <w:trHeight w:val="312"/>
        </w:trPr>
        <w:tc>
          <w:tcPr>
            <w:tcW w:w="3474" w:type="dxa"/>
            <w:tcBorders>
              <w:top w:val="nil"/>
              <w:left w:val="nil"/>
              <w:bottom w:val="nil"/>
              <w:right w:val="nil"/>
            </w:tcBorders>
            <w:shd w:val="clear" w:color="000000" w:fill="FFFFFF"/>
            <w:noWrap/>
            <w:vAlign w:val="bottom"/>
            <w:hideMark/>
          </w:tcPr>
          <w:p w14:paraId="30607E5C"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Hane halkı gelir düzeyi</w:t>
            </w:r>
          </w:p>
        </w:tc>
        <w:tc>
          <w:tcPr>
            <w:tcW w:w="1147" w:type="dxa"/>
            <w:tcBorders>
              <w:top w:val="nil"/>
              <w:left w:val="nil"/>
              <w:bottom w:val="nil"/>
              <w:right w:val="nil"/>
            </w:tcBorders>
            <w:shd w:val="clear" w:color="000000" w:fill="FFFFFF"/>
            <w:noWrap/>
            <w:vAlign w:val="bottom"/>
            <w:hideMark/>
          </w:tcPr>
          <w:p w14:paraId="00DC4E37"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-0.000*</w:t>
            </w:r>
          </w:p>
        </w:tc>
        <w:tc>
          <w:tcPr>
            <w:tcW w:w="1988" w:type="dxa"/>
            <w:tcBorders>
              <w:top w:val="nil"/>
              <w:left w:val="nil"/>
              <w:bottom w:val="nil"/>
              <w:right w:val="nil"/>
            </w:tcBorders>
            <w:shd w:val="clear" w:color="000000" w:fill="FFFFFF"/>
            <w:noWrap/>
            <w:vAlign w:val="bottom"/>
            <w:hideMark/>
          </w:tcPr>
          <w:p w14:paraId="1EB14FB3"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0.000</w:t>
            </w:r>
          </w:p>
        </w:tc>
        <w:tc>
          <w:tcPr>
            <w:tcW w:w="1091" w:type="dxa"/>
            <w:tcBorders>
              <w:top w:val="nil"/>
              <w:left w:val="nil"/>
              <w:bottom w:val="nil"/>
              <w:right w:val="nil"/>
            </w:tcBorders>
            <w:shd w:val="clear" w:color="000000" w:fill="FFFFFF"/>
            <w:noWrap/>
            <w:vAlign w:val="bottom"/>
            <w:hideMark/>
          </w:tcPr>
          <w:p w14:paraId="134B56F4"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0.085</w:t>
            </w:r>
          </w:p>
        </w:tc>
      </w:tr>
      <w:tr w:rsidR="00AE5E6C" w:rsidRPr="00164238" w14:paraId="736F6894" w14:textId="77777777" w:rsidTr="00682CBF">
        <w:trPr>
          <w:trHeight w:val="312"/>
        </w:trPr>
        <w:tc>
          <w:tcPr>
            <w:tcW w:w="3474" w:type="dxa"/>
            <w:tcBorders>
              <w:top w:val="nil"/>
              <w:left w:val="nil"/>
              <w:bottom w:val="nil"/>
              <w:right w:val="nil"/>
            </w:tcBorders>
            <w:shd w:val="clear" w:color="000000" w:fill="FFFFFF"/>
            <w:noWrap/>
            <w:vAlign w:val="bottom"/>
            <w:hideMark/>
          </w:tcPr>
          <w:p w14:paraId="3D69BB57"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xml:space="preserve">Sağlık harcamaları </w:t>
            </w:r>
          </w:p>
        </w:tc>
        <w:tc>
          <w:tcPr>
            <w:tcW w:w="1147" w:type="dxa"/>
            <w:tcBorders>
              <w:top w:val="nil"/>
              <w:left w:val="nil"/>
              <w:bottom w:val="nil"/>
              <w:right w:val="nil"/>
            </w:tcBorders>
            <w:shd w:val="clear" w:color="000000" w:fill="FFFFFF"/>
            <w:noWrap/>
            <w:vAlign w:val="bottom"/>
            <w:hideMark/>
          </w:tcPr>
          <w:p w14:paraId="1C44C0FD"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0.000</w:t>
            </w:r>
          </w:p>
        </w:tc>
        <w:tc>
          <w:tcPr>
            <w:tcW w:w="1988" w:type="dxa"/>
            <w:tcBorders>
              <w:top w:val="nil"/>
              <w:left w:val="nil"/>
              <w:bottom w:val="nil"/>
              <w:right w:val="nil"/>
            </w:tcBorders>
            <w:shd w:val="clear" w:color="000000" w:fill="FFFFFF"/>
            <w:noWrap/>
            <w:vAlign w:val="bottom"/>
            <w:hideMark/>
          </w:tcPr>
          <w:p w14:paraId="14AC6F39"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0.000</w:t>
            </w:r>
          </w:p>
        </w:tc>
        <w:tc>
          <w:tcPr>
            <w:tcW w:w="1091" w:type="dxa"/>
            <w:tcBorders>
              <w:top w:val="nil"/>
              <w:left w:val="nil"/>
              <w:bottom w:val="nil"/>
              <w:right w:val="nil"/>
            </w:tcBorders>
            <w:shd w:val="clear" w:color="000000" w:fill="FFFFFF"/>
            <w:noWrap/>
            <w:vAlign w:val="bottom"/>
            <w:hideMark/>
          </w:tcPr>
          <w:p w14:paraId="363391DC"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0.209</w:t>
            </w:r>
          </w:p>
        </w:tc>
      </w:tr>
      <w:tr w:rsidR="00AE5E6C" w:rsidRPr="00164238" w14:paraId="1890C7A3" w14:textId="77777777" w:rsidTr="00682CBF">
        <w:trPr>
          <w:trHeight w:val="312"/>
        </w:trPr>
        <w:tc>
          <w:tcPr>
            <w:tcW w:w="3474" w:type="dxa"/>
            <w:tcBorders>
              <w:top w:val="nil"/>
              <w:left w:val="nil"/>
              <w:bottom w:val="nil"/>
              <w:right w:val="nil"/>
            </w:tcBorders>
            <w:shd w:val="clear" w:color="000000" w:fill="FFFFFF"/>
            <w:noWrap/>
            <w:vAlign w:val="bottom"/>
            <w:hideMark/>
          </w:tcPr>
          <w:p w14:paraId="140BF6CC"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Doktor sayısı (1000 kişi için)</w:t>
            </w:r>
          </w:p>
        </w:tc>
        <w:tc>
          <w:tcPr>
            <w:tcW w:w="1147" w:type="dxa"/>
            <w:tcBorders>
              <w:top w:val="nil"/>
              <w:left w:val="nil"/>
              <w:bottom w:val="nil"/>
              <w:right w:val="nil"/>
            </w:tcBorders>
            <w:shd w:val="clear" w:color="000000" w:fill="FFFFFF"/>
            <w:noWrap/>
            <w:vAlign w:val="bottom"/>
            <w:hideMark/>
          </w:tcPr>
          <w:p w14:paraId="2A079B7F"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-2.008**</w:t>
            </w:r>
          </w:p>
        </w:tc>
        <w:tc>
          <w:tcPr>
            <w:tcW w:w="1988" w:type="dxa"/>
            <w:tcBorders>
              <w:top w:val="nil"/>
              <w:left w:val="nil"/>
              <w:bottom w:val="nil"/>
              <w:right w:val="nil"/>
            </w:tcBorders>
            <w:shd w:val="clear" w:color="000000" w:fill="FFFFFF"/>
            <w:noWrap/>
            <w:vAlign w:val="bottom"/>
            <w:hideMark/>
          </w:tcPr>
          <w:p w14:paraId="00E51123"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0.742</w:t>
            </w:r>
          </w:p>
        </w:tc>
        <w:tc>
          <w:tcPr>
            <w:tcW w:w="1091" w:type="dxa"/>
            <w:tcBorders>
              <w:top w:val="nil"/>
              <w:left w:val="nil"/>
              <w:bottom w:val="nil"/>
              <w:right w:val="nil"/>
            </w:tcBorders>
            <w:shd w:val="clear" w:color="000000" w:fill="FFFFFF"/>
            <w:noWrap/>
            <w:vAlign w:val="bottom"/>
            <w:hideMark/>
          </w:tcPr>
          <w:p w14:paraId="6ECF0F74"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0.018</w:t>
            </w:r>
          </w:p>
        </w:tc>
      </w:tr>
      <w:tr w:rsidR="00AE5E6C" w:rsidRPr="00164238" w14:paraId="0D95D26C" w14:textId="77777777" w:rsidTr="00682CBF">
        <w:trPr>
          <w:trHeight w:val="312"/>
        </w:trPr>
        <w:tc>
          <w:tcPr>
            <w:tcW w:w="3474" w:type="dxa"/>
            <w:tcBorders>
              <w:top w:val="nil"/>
              <w:left w:val="nil"/>
              <w:bottom w:val="nil"/>
              <w:right w:val="nil"/>
            </w:tcBorders>
            <w:shd w:val="clear" w:color="000000" w:fill="FFFFFF"/>
            <w:noWrap/>
            <w:vAlign w:val="bottom"/>
            <w:hideMark/>
          </w:tcPr>
          <w:p w14:paraId="054765DA"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c>
          <w:tcPr>
            <w:tcW w:w="1147" w:type="dxa"/>
            <w:tcBorders>
              <w:top w:val="nil"/>
              <w:left w:val="nil"/>
              <w:bottom w:val="nil"/>
              <w:right w:val="nil"/>
            </w:tcBorders>
            <w:shd w:val="clear" w:color="000000" w:fill="FFFFFF"/>
            <w:noWrap/>
            <w:vAlign w:val="bottom"/>
            <w:hideMark/>
          </w:tcPr>
          <w:p w14:paraId="1F1B0110"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c>
          <w:tcPr>
            <w:tcW w:w="1988" w:type="dxa"/>
            <w:tcBorders>
              <w:top w:val="nil"/>
              <w:left w:val="nil"/>
              <w:bottom w:val="nil"/>
              <w:right w:val="nil"/>
            </w:tcBorders>
            <w:shd w:val="clear" w:color="000000" w:fill="FFFFFF"/>
            <w:noWrap/>
            <w:vAlign w:val="bottom"/>
            <w:hideMark/>
          </w:tcPr>
          <w:p w14:paraId="6A04845F"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c>
          <w:tcPr>
            <w:tcW w:w="1091" w:type="dxa"/>
            <w:tcBorders>
              <w:top w:val="nil"/>
              <w:left w:val="nil"/>
              <w:bottom w:val="nil"/>
              <w:right w:val="nil"/>
            </w:tcBorders>
            <w:shd w:val="clear" w:color="000000" w:fill="FFFFFF"/>
            <w:noWrap/>
            <w:vAlign w:val="bottom"/>
            <w:hideMark/>
          </w:tcPr>
          <w:p w14:paraId="4A572E3E"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r>
      <w:tr w:rsidR="00AE5E6C" w:rsidRPr="00164238" w14:paraId="0B51B506" w14:textId="77777777" w:rsidTr="00682CBF">
        <w:trPr>
          <w:trHeight w:val="312"/>
        </w:trPr>
        <w:tc>
          <w:tcPr>
            <w:tcW w:w="3474" w:type="dxa"/>
            <w:tcBorders>
              <w:top w:val="nil"/>
              <w:left w:val="nil"/>
              <w:bottom w:val="single" w:sz="4" w:space="0" w:color="auto"/>
              <w:right w:val="nil"/>
            </w:tcBorders>
            <w:shd w:val="clear" w:color="000000" w:fill="FFFFFF"/>
            <w:noWrap/>
            <w:vAlign w:val="bottom"/>
            <w:hideMark/>
          </w:tcPr>
          <w:p w14:paraId="47B6412A" w14:textId="77777777" w:rsidR="00522634" w:rsidRPr="00164238" w:rsidRDefault="00E839E1" w:rsidP="00682CBF">
            <w:pPr>
              <w:spacing w:after="0" w:line="240" w:lineRule="auto"/>
              <w:rPr>
                <w:rFonts w:ascii="Times New Roman" w:eastAsia="Times New Roman" w:hAnsi="Times New Roman" w:cs="Times New Roman"/>
                <w:color w:val="000000" w:themeColor="text1"/>
                <w:sz w:val="20"/>
                <w:szCs w:val="20"/>
                <w:lang w:eastAsia="tr-TR"/>
              </w:rPr>
            </w:pPr>
            <m:oMathPara>
              <m:oMath>
                <m:sSup>
                  <m:sSupPr>
                    <m:ctrlPr>
                      <w:rPr>
                        <w:rFonts w:ascii="Cambria Math" w:eastAsia="Times New Roman" w:hAnsi="Cambria Math" w:cs="Times New Roman"/>
                        <w:i/>
                        <w:color w:val="000000" w:themeColor="text1"/>
                        <w:sz w:val="20"/>
                        <w:szCs w:val="20"/>
                        <w:lang w:eastAsia="tr-TR"/>
                      </w:rPr>
                    </m:ctrlPr>
                  </m:sSupPr>
                  <m:e>
                    <m:r>
                      <w:rPr>
                        <w:rFonts w:ascii="Cambria Math" w:eastAsia="Times New Roman" w:hAnsi="Cambria Math" w:cs="Times New Roman"/>
                        <w:color w:val="000000" w:themeColor="text1"/>
                        <w:sz w:val="20"/>
                        <w:szCs w:val="20"/>
                        <w:lang w:eastAsia="tr-TR"/>
                      </w:rPr>
                      <m:t>R</m:t>
                    </m:r>
                  </m:e>
                  <m:sup>
                    <m:r>
                      <w:rPr>
                        <w:rFonts w:ascii="Cambria Math" w:eastAsia="Times New Roman" w:hAnsi="Cambria Math" w:cs="Times New Roman"/>
                        <w:color w:val="000000" w:themeColor="text1"/>
                        <w:sz w:val="20"/>
                        <w:szCs w:val="20"/>
                        <w:lang w:eastAsia="tr-TR"/>
                      </w:rPr>
                      <m:t>2</m:t>
                    </m:r>
                  </m:sup>
                </m:sSup>
              </m:oMath>
            </m:oMathPara>
          </w:p>
        </w:tc>
        <w:tc>
          <w:tcPr>
            <w:tcW w:w="1147" w:type="dxa"/>
            <w:tcBorders>
              <w:top w:val="nil"/>
              <w:left w:val="nil"/>
              <w:bottom w:val="single" w:sz="4" w:space="0" w:color="auto"/>
              <w:right w:val="nil"/>
            </w:tcBorders>
            <w:shd w:val="clear" w:color="000000" w:fill="FFFFFF"/>
            <w:noWrap/>
            <w:vAlign w:val="bottom"/>
            <w:hideMark/>
          </w:tcPr>
          <w:p w14:paraId="35EED07C"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0.54</w:t>
            </w:r>
          </w:p>
        </w:tc>
        <w:tc>
          <w:tcPr>
            <w:tcW w:w="1988" w:type="dxa"/>
            <w:tcBorders>
              <w:top w:val="nil"/>
              <w:left w:val="nil"/>
              <w:bottom w:val="single" w:sz="4" w:space="0" w:color="auto"/>
              <w:right w:val="nil"/>
            </w:tcBorders>
            <w:shd w:val="clear" w:color="000000" w:fill="FFFFFF"/>
            <w:noWrap/>
            <w:vAlign w:val="bottom"/>
            <w:hideMark/>
          </w:tcPr>
          <w:p w14:paraId="25C0F1ED"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c>
          <w:tcPr>
            <w:tcW w:w="1091" w:type="dxa"/>
            <w:tcBorders>
              <w:top w:val="nil"/>
              <w:left w:val="nil"/>
              <w:bottom w:val="single" w:sz="4" w:space="0" w:color="auto"/>
              <w:right w:val="nil"/>
            </w:tcBorders>
            <w:shd w:val="clear" w:color="000000" w:fill="FFFFFF"/>
            <w:noWrap/>
            <w:vAlign w:val="bottom"/>
            <w:hideMark/>
          </w:tcPr>
          <w:p w14:paraId="760DD282"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r>
    </w:tbl>
    <w:p w14:paraId="589A5AF4" w14:textId="77777777" w:rsidR="00522634" w:rsidRPr="00164238" w:rsidRDefault="00522634" w:rsidP="00522634">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Not: *%10, ** %5 ve *** %1 anlamlılık seviyelerini ifade etmektedir.</w:t>
      </w:r>
    </w:p>
    <w:p w14:paraId="34A03030" w14:textId="77777777" w:rsidR="00522634" w:rsidRPr="00164238" w:rsidRDefault="00522634" w:rsidP="00522634">
      <w:pPr>
        <w:jc w:val="both"/>
        <w:rPr>
          <w:rFonts w:ascii="Times New Roman" w:hAnsi="Times New Roman" w:cs="Times New Roman"/>
          <w:color w:val="000000" w:themeColor="text1"/>
          <w:sz w:val="20"/>
          <w:szCs w:val="20"/>
        </w:rPr>
      </w:pPr>
    </w:p>
    <w:tbl>
      <w:tblPr>
        <w:tblW w:w="7700" w:type="dxa"/>
        <w:tblCellMar>
          <w:left w:w="70" w:type="dxa"/>
          <w:right w:w="70" w:type="dxa"/>
        </w:tblCellMar>
        <w:tblLook w:val="04A0" w:firstRow="1" w:lastRow="0" w:firstColumn="1" w:lastColumn="0" w:noHBand="0" w:noVBand="1"/>
      </w:tblPr>
      <w:tblGrid>
        <w:gridCol w:w="3518"/>
        <w:gridCol w:w="1065"/>
        <w:gridCol w:w="2013"/>
        <w:gridCol w:w="1104"/>
      </w:tblGrid>
      <w:tr w:rsidR="00AE5E6C" w:rsidRPr="00164238" w14:paraId="5DA193E3" w14:textId="77777777" w:rsidTr="00682CBF">
        <w:trPr>
          <w:trHeight w:val="288"/>
        </w:trPr>
        <w:tc>
          <w:tcPr>
            <w:tcW w:w="7700" w:type="dxa"/>
            <w:gridSpan w:val="4"/>
            <w:tcBorders>
              <w:top w:val="nil"/>
              <w:left w:val="nil"/>
              <w:bottom w:val="nil"/>
              <w:right w:val="nil"/>
            </w:tcBorders>
            <w:shd w:val="clear" w:color="000000" w:fill="FFFFFF"/>
            <w:vAlign w:val="bottom"/>
            <w:hideMark/>
          </w:tcPr>
          <w:p w14:paraId="24514A71"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Tablo 4: Ağırlıklandırılmış en küçük kareler yöntemi analiz sonuçları, bağımlı değişken :Ölüm oranları</w:t>
            </w:r>
          </w:p>
        </w:tc>
      </w:tr>
      <w:tr w:rsidR="00AE5E6C" w:rsidRPr="00164238" w14:paraId="7DDC5DCD" w14:textId="77777777" w:rsidTr="00682CBF">
        <w:trPr>
          <w:trHeight w:val="288"/>
        </w:trPr>
        <w:tc>
          <w:tcPr>
            <w:tcW w:w="3518" w:type="dxa"/>
            <w:tcBorders>
              <w:top w:val="single" w:sz="4" w:space="0" w:color="auto"/>
              <w:left w:val="nil"/>
              <w:bottom w:val="single" w:sz="4" w:space="0" w:color="auto"/>
              <w:right w:val="nil"/>
            </w:tcBorders>
            <w:shd w:val="clear" w:color="000000" w:fill="FFFFFF"/>
            <w:noWrap/>
            <w:vAlign w:val="bottom"/>
            <w:hideMark/>
          </w:tcPr>
          <w:p w14:paraId="1AB34635"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c>
          <w:tcPr>
            <w:tcW w:w="1065" w:type="dxa"/>
            <w:tcBorders>
              <w:top w:val="single" w:sz="4" w:space="0" w:color="auto"/>
              <w:left w:val="nil"/>
              <w:bottom w:val="single" w:sz="4" w:space="0" w:color="auto"/>
              <w:right w:val="nil"/>
            </w:tcBorders>
            <w:shd w:val="clear" w:color="000000" w:fill="FFFFFF"/>
            <w:noWrap/>
            <w:vAlign w:val="bottom"/>
            <w:hideMark/>
          </w:tcPr>
          <w:p w14:paraId="6A991174"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Katsayı</w:t>
            </w:r>
          </w:p>
        </w:tc>
        <w:tc>
          <w:tcPr>
            <w:tcW w:w="2013" w:type="dxa"/>
            <w:tcBorders>
              <w:top w:val="single" w:sz="4" w:space="0" w:color="auto"/>
              <w:left w:val="nil"/>
              <w:bottom w:val="single" w:sz="4" w:space="0" w:color="auto"/>
              <w:right w:val="nil"/>
            </w:tcBorders>
            <w:shd w:val="clear" w:color="000000" w:fill="FFFFFF"/>
            <w:noWrap/>
            <w:vAlign w:val="bottom"/>
            <w:hideMark/>
          </w:tcPr>
          <w:p w14:paraId="0D3F83CF"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Standart sapma</w:t>
            </w:r>
          </w:p>
        </w:tc>
        <w:tc>
          <w:tcPr>
            <w:tcW w:w="1104" w:type="dxa"/>
            <w:tcBorders>
              <w:top w:val="single" w:sz="4" w:space="0" w:color="auto"/>
              <w:left w:val="nil"/>
              <w:bottom w:val="single" w:sz="4" w:space="0" w:color="auto"/>
              <w:right w:val="nil"/>
            </w:tcBorders>
            <w:shd w:val="clear" w:color="000000" w:fill="FFFFFF"/>
            <w:noWrap/>
            <w:vAlign w:val="bottom"/>
            <w:hideMark/>
          </w:tcPr>
          <w:p w14:paraId="58B0488E"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p-değeri</w:t>
            </w:r>
          </w:p>
        </w:tc>
      </w:tr>
      <w:tr w:rsidR="00AE5E6C" w:rsidRPr="00164238" w14:paraId="308DB1E0" w14:textId="77777777" w:rsidTr="00682CBF">
        <w:trPr>
          <w:trHeight w:val="288"/>
        </w:trPr>
        <w:tc>
          <w:tcPr>
            <w:tcW w:w="3518" w:type="dxa"/>
            <w:tcBorders>
              <w:top w:val="nil"/>
              <w:left w:val="nil"/>
              <w:bottom w:val="nil"/>
              <w:right w:val="nil"/>
            </w:tcBorders>
            <w:shd w:val="clear" w:color="000000" w:fill="FFFFFF"/>
            <w:noWrap/>
            <w:vAlign w:val="bottom"/>
            <w:hideMark/>
          </w:tcPr>
          <w:p w14:paraId="0A078919"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Sabit</w:t>
            </w:r>
          </w:p>
        </w:tc>
        <w:tc>
          <w:tcPr>
            <w:tcW w:w="1065" w:type="dxa"/>
            <w:tcBorders>
              <w:top w:val="nil"/>
              <w:left w:val="nil"/>
              <w:bottom w:val="nil"/>
              <w:right w:val="nil"/>
            </w:tcBorders>
            <w:shd w:val="clear" w:color="000000" w:fill="FFFFFF"/>
            <w:noWrap/>
            <w:vAlign w:val="bottom"/>
            <w:hideMark/>
          </w:tcPr>
          <w:p w14:paraId="5E232EDD"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-611.7</w:t>
            </w:r>
          </w:p>
        </w:tc>
        <w:tc>
          <w:tcPr>
            <w:tcW w:w="2013" w:type="dxa"/>
            <w:tcBorders>
              <w:top w:val="nil"/>
              <w:left w:val="nil"/>
              <w:bottom w:val="nil"/>
              <w:right w:val="nil"/>
            </w:tcBorders>
            <w:shd w:val="clear" w:color="000000" w:fill="FFFFFF"/>
            <w:noWrap/>
            <w:vAlign w:val="bottom"/>
            <w:hideMark/>
          </w:tcPr>
          <w:p w14:paraId="06C9C9A0"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1413.4</w:t>
            </w:r>
          </w:p>
        </w:tc>
        <w:tc>
          <w:tcPr>
            <w:tcW w:w="1104" w:type="dxa"/>
            <w:tcBorders>
              <w:top w:val="nil"/>
              <w:left w:val="nil"/>
              <w:bottom w:val="nil"/>
              <w:right w:val="nil"/>
            </w:tcBorders>
            <w:shd w:val="clear" w:color="000000" w:fill="FFFFFF"/>
            <w:noWrap/>
            <w:vAlign w:val="bottom"/>
            <w:hideMark/>
          </w:tcPr>
          <w:p w14:paraId="0648C3D7"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0.671</w:t>
            </w:r>
          </w:p>
        </w:tc>
      </w:tr>
      <w:tr w:rsidR="00AE5E6C" w:rsidRPr="00164238" w14:paraId="70B03CCF" w14:textId="77777777" w:rsidTr="00682CBF">
        <w:trPr>
          <w:trHeight w:val="288"/>
        </w:trPr>
        <w:tc>
          <w:tcPr>
            <w:tcW w:w="3518" w:type="dxa"/>
            <w:tcBorders>
              <w:top w:val="nil"/>
              <w:left w:val="nil"/>
              <w:bottom w:val="nil"/>
              <w:right w:val="nil"/>
            </w:tcBorders>
            <w:shd w:val="clear" w:color="000000" w:fill="FFFFFF"/>
            <w:noWrap/>
            <w:vAlign w:val="bottom"/>
            <w:hideMark/>
          </w:tcPr>
          <w:p w14:paraId="46ED9CA4"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Obezite</w:t>
            </w:r>
          </w:p>
        </w:tc>
        <w:tc>
          <w:tcPr>
            <w:tcW w:w="1065" w:type="dxa"/>
            <w:tcBorders>
              <w:top w:val="nil"/>
              <w:left w:val="nil"/>
              <w:bottom w:val="nil"/>
              <w:right w:val="nil"/>
            </w:tcBorders>
            <w:shd w:val="clear" w:color="000000" w:fill="FFFFFF"/>
            <w:noWrap/>
            <w:vAlign w:val="bottom"/>
            <w:hideMark/>
          </w:tcPr>
          <w:p w14:paraId="249F173F"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1.148</w:t>
            </w:r>
          </w:p>
        </w:tc>
        <w:tc>
          <w:tcPr>
            <w:tcW w:w="2013" w:type="dxa"/>
            <w:tcBorders>
              <w:top w:val="nil"/>
              <w:left w:val="nil"/>
              <w:bottom w:val="nil"/>
              <w:right w:val="nil"/>
            </w:tcBorders>
            <w:shd w:val="clear" w:color="000000" w:fill="FFFFFF"/>
            <w:noWrap/>
            <w:vAlign w:val="bottom"/>
            <w:hideMark/>
          </w:tcPr>
          <w:p w14:paraId="064B934C"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17.41</w:t>
            </w:r>
          </w:p>
        </w:tc>
        <w:tc>
          <w:tcPr>
            <w:tcW w:w="1104" w:type="dxa"/>
            <w:tcBorders>
              <w:top w:val="nil"/>
              <w:left w:val="nil"/>
              <w:bottom w:val="nil"/>
              <w:right w:val="nil"/>
            </w:tcBorders>
            <w:shd w:val="clear" w:color="000000" w:fill="FFFFFF"/>
            <w:noWrap/>
            <w:vAlign w:val="bottom"/>
            <w:hideMark/>
          </w:tcPr>
          <w:p w14:paraId="1C5E820F"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0.948</w:t>
            </w:r>
          </w:p>
        </w:tc>
      </w:tr>
      <w:tr w:rsidR="00AE5E6C" w:rsidRPr="00164238" w14:paraId="42D1A0FC" w14:textId="77777777" w:rsidTr="00682CBF">
        <w:trPr>
          <w:trHeight w:val="288"/>
        </w:trPr>
        <w:tc>
          <w:tcPr>
            <w:tcW w:w="3518" w:type="dxa"/>
            <w:tcBorders>
              <w:top w:val="nil"/>
              <w:left w:val="nil"/>
              <w:bottom w:val="nil"/>
              <w:right w:val="nil"/>
            </w:tcBorders>
            <w:shd w:val="clear" w:color="000000" w:fill="FFFFFF"/>
            <w:noWrap/>
            <w:vAlign w:val="bottom"/>
            <w:hideMark/>
          </w:tcPr>
          <w:p w14:paraId="3419B65A"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Gini katsayısı</w:t>
            </w:r>
          </w:p>
        </w:tc>
        <w:tc>
          <w:tcPr>
            <w:tcW w:w="1065" w:type="dxa"/>
            <w:tcBorders>
              <w:top w:val="nil"/>
              <w:left w:val="nil"/>
              <w:bottom w:val="nil"/>
              <w:right w:val="nil"/>
            </w:tcBorders>
            <w:shd w:val="clear" w:color="000000" w:fill="FFFFFF"/>
            <w:noWrap/>
            <w:vAlign w:val="bottom"/>
            <w:hideMark/>
          </w:tcPr>
          <w:p w14:paraId="59757CED"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16.09**</w:t>
            </w:r>
          </w:p>
        </w:tc>
        <w:tc>
          <w:tcPr>
            <w:tcW w:w="2013" w:type="dxa"/>
            <w:tcBorders>
              <w:top w:val="nil"/>
              <w:left w:val="nil"/>
              <w:bottom w:val="nil"/>
              <w:right w:val="nil"/>
            </w:tcBorders>
            <w:shd w:val="clear" w:color="000000" w:fill="FFFFFF"/>
            <w:noWrap/>
            <w:vAlign w:val="bottom"/>
            <w:hideMark/>
          </w:tcPr>
          <w:p w14:paraId="0B466EF6"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6.891</w:t>
            </w:r>
          </w:p>
        </w:tc>
        <w:tc>
          <w:tcPr>
            <w:tcW w:w="1104" w:type="dxa"/>
            <w:tcBorders>
              <w:top w:val="nil"/>
              <w:left w:val="nil"/>
              <w:bottom w:val="nil"/>
              <w:right w:val="nil"/>
            </w:tcBorders>
            <w:shd w:val="clear" w:color="000000" w:fill="FFFFFF"/>
            <w:noWrap/>
            <w:vAlign w:val="bottom"/>
            <w:hideMark/>
          </w:tcPr>
          <w:p w14:paraId="281B8532"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0.02</w:t>
            </w:r>
          </w:p>
        </w:tc>
      </w:tr>
      <w:tr w:rsidR="00AE5E6C" w:rsidRPr="00164238" w14:paraId="6B0F03B8" w14:textId="77777777" w:rsidTr="00682CBF">
        <w:trPr>
          <w:trHeight w:val="288"/>
        </w:trPr>
        <w:tc>
          <w:tcPr>
            <w:tcW w:w="3518" w:type="dxa"/>
            <w:tcBorders>
              <w:top w:val="nil"/>
              <w:left w:val="nil"/>
              <w:bottom w:val="nil"/>
              <w:right w:val="nil"/>
            </w:tcBorders>
            <w:shd w:val="clear" w:color="000000" w:fill="FFFFFF"/>
            <w:noWrap/>
            <w:vAlign w:val="bottom"/>
            <w:hideMark/>
          </w:tcPr>
          <w:p w14:paraId="7F19CADF"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Hane halkı gelir düzeyi</w:t>
            </w:r>
          </w:p>
        </w:tc>
        <w:tc>
          <w:tcPr>
            <w:tcW w:w="1065" w:type="dxa"/>
            <w:tcBorders>
              <w:top w:val="nil"/>
              <w:left w:val="nil"/>
              <w:bottom w:val="nil"/>
              <w:right w:val="nil"/>
            </w:tcBorders>
            <w:shd w:val="clear" w:color="000000" w:fill="FFFFFF"/>
            <w:noWrap/>
            <w:vAlign w:val="bottom"/>
            <w:hideMark/>
          </w:tcPr>
          <w:p w14:paraId="1B88B95C"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0.025</w:t>
            </w:r>
          </w:p>
        </w:tc>
        <w:tc>
          <w:tcPr>
            <w:tcW w:w="2013" w:type="dxa"/>
            <w:tcBorders>
              <w:top w:val="nil"/>
              <w:left w:val="nil"/>
              <w:bottom w:val="nil"/>
              <w:right w:val="nil"/>
            </w:tcBorders>
            <w:shd w:val="clear" w:color="000000" w:fill="FFFFFF"/>
            <w:noWrap/>
            <w:vAlign w:val="bottom"/>
            <w:hideMark/>
          </w:tcPr>
          <w:p w14:paraId="673BCB12"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0.094</w:t>
            </w:r>
          </w:p>
        </w:tc>
        <w:tc>
          <w:tcPr>
            <w:tcW w:w="1104" w:type="dxa"/>
            <w:tcBorders>
              <w:top w:val="nil"/>
              <w:left w:val="nil"/>
              <w:bottom w:val="nil"/>
              <w:right w:val="nil"/>
            </w:tcBorders>
            <w:shd w:val="clear" w:color="000000" w:fill="FFFFFF"/>
            <w:noWrap/>
            <w:vAlign w:val="bottom"/>
            <w:hideMark/>
          </w:tcPr>
          <w:p w14:paraId="7BEA6AC5"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0.791</w:t>
            </w:r>
          </w:p>
        </w:tc>
      </w:tr>
      <w:tr w:rsidR="00AE5E6C" w:rsidRPr="00164238" w14:paraId="153BDD03" w14:textId="77777777" w:rsidTr="00682CBF">
        <w:trPr>
          <w:trHeight w:val="288"/>
        </w:trPr>
        <w:tc>
          <w:tcPr>
            <w:tcW w:w="3518" w:type="dxa"/>
            <w:tcBorders>
              <w:top w:val="nil"/>
              <w:left w:val="nil"/>
              <w:bottom w:val="nil"/>
              <w:right w:val="nil"/>
            </w:tcBorders>
            <w:shd w:val="clear" w:color="000000" w:fill="FFFFFF"/>
            <w:noWrap/>
            <w:vAlign w:val="bottom"/>
            <w:hideMark/>
          </w:tcPr>
          <w:p w14:paraId="3A0EA94C"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xml:space="preserve">Sağlık harcamaları </w:t>
            </w:r>
          </w:p>
        </w:tc>
        <w:tc>
          <w:tcPr>
            <w:tcW w:w="1065" w:type="dxa"/>
            <w:tcBorders>
              <w:top w:val="nil"/>
              <w:left w:val="nil"/>
              <w:bottom w:val="nil"/>
              <w:right w:val="nil"/>
            </w:tcBorders>
            <w:shd w:val="clear" w:color="000000" w:fill="FFFFFF"/>
            <w:noWrap/>
            <w:vAlign w:val="bottom"/>
            <w:hideMark/>
          </w:tcPr>
          <w:p w14:paraId="5F81A166"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0.073</w:t>
            </w:r>
          </w:p>
        </w:tc>
        <w:tc>
          <w:tcPr>
            <w:tcW w:w="2013" w:type="dxa"/>
            <w:tcBorders>
              <w:top w:val="nil"/>
              <w:left w:val="nil"/>
              <w:bottom w:val="nil"/>
              <w:right w:val="nil"/>
            </w:tcBorders>
            <w:shd w:val="clear" w:color="000000" w:fill="FFFFFF"/>
            <w:noWrap/>
            <w:vAlign w:val="bottom"/>
            <w:hideMark/>
          </w:tcPr>
          <w:p w14:paraId="0B19A943"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0.285</w:t>
            </w:r>
          </w:p>
        </w:tc>
        <w:tc>
          <w:tcPr>
            <w:tcW w:w="1104" w:type="dxa"/>
            <w:tcBorders>
              <w:top w:val="nil"/>
              <w:left w:val="nil"/>
              <w:bottom w:val="nil"/>
              <w:right w:val="nil"/>
            </w:tcBorders>
            <w:shd w:val="clear" w:color="000000" w:fill="FFFFFF"/>
            <w:noWrap/>
            <w:vAlign w:val="bottom"/>
            <w:hideMark/>
          </w:tcPr>
          <w:p w14:paraId="727F35B2"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0.801</w:t>
            </w:r>
          </w:p>
        </w:tc>
      </w:tr>
      <w:tr w:rsidR="00AE5E6C" w:rsidRPr="00164238" w14:paraId="7ECB1450" w14:textId="77777777" w:rsidTr="00682CBF">
        <w:trPr>
          <w:trHeight w:val="288"/>
        </w:trPr>
        <w:tc>
          <w:tcPr>
            <w:tcW w:w="3518" w:type="dxa"/>
            <w:tcBorders>
              <w:top w:val="nil"/>
              <w:left w:val="nil"/>
              <w:bottom w:val="nil"/>
              <w:right w:val="nil"/>
            </w:tcBorders>
            <w:shd w:val="clear" w:color="000000" w:fill="FFFFFF"/>
            <w:noWrap/>
            <w:vAlign w:val="bottom"/>
            <w:hideMark/>
          </w:tcPr>
          <w:p w14:paraId="349A6C92"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Doktor sayısı (1000 kişi için)</w:t>
            </w:r>
          </w:p>
        </w:tc>
        <w:tc>
          <w:tcPr>
            <w:tcW w:w="1065" w:type="dxa"/>
            <w:tcBorders>
              <w:top w:val="nil"/>
              <w:left w:val="nil"/>
              <w:bottom w:val="nil"/>
              <w:right w:val="nil"/>
            </w:tcBorders>
            <w:shd w:val="clear" w:color="000000" w:fill="FFFFFF"/>
            <w:noWrap/>
            <w:vAlign w:val="bottom"/>
            <w:hideMark/>
          </w:tcPr>
          <w:p w14:paraId="2343E486"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-55.19</w:t>
            </w:r>
          </w:p>
        </w:tc>
        <w:tc>
          <w:tcPr>
            <w:tcW w:w="2013" w:type="dxa"/>
            <w:tcBorders>
              <w:top w:val="nil"/>
              <w:left w:val="nil"/>
              <w:bottom w:val="nil"/>
              <w:right w:val="nil"/>
            </w:tcBorders>
            <w:shd w:val="clear" w:color="000000" w:fill="FFFFFF"/>
            <w:noWrap/>
            <w:vAlign w:val="bottom"/>
            <w:hideMark/>
          </w:tcPr>
          <w:p w14:paraId="7EA2A717"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101.5</w:t>
            </w:r>
          </w:p>
        </w:tc>
        <w:tc>
          <w:tcPr>
            <w:tcW w:w="1104" w:type="dxa"/>
            <w:tcBorders>
              <w:top w:val="nil"/>
              <w:left w:val="nil"/>
              <w:bottom w:val="nil"/>
              <w:right w:val="nil"/>
            </w:tcBorders>
            <w:shd w:val="clear" w:color="000000" w:fill="FFFFFF"/>
            <w:noWrap/>
            <w:vAlign w:val="bottom"/>
            <w:hideMark/>
          </w:tcPr>
          <w:p w14:paraId="40F12952"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0.595</w:t>
            </w:r>
          </w:p>
        </w:tc>
      </w:tr>
      <w:tr w:rsidR="00AE5E6C" w:rsidRPr="00164238" w14:paraId="3D0093DE" w14:textId="77777777" w:rsidTr="00682CBF">
        <w:trPr>
          <w:trHeight w:val="288"/>
        </w:trPr>
        <w:tc>
          <w:tcPr>
            <w:tcW w:w="3518" w:type="dxa"/>
            <w:tcBorders>
              <w:top w:val="nil"/>
              <w:left w:val="nil"/>
              <w:bottom w:val="nil"/>
              <w:right w:val="nil"/>
            </w:tcBorders>
            <w:shd w:val="clear" w:color="000000" w:fill="FFFFFF"/>
            <w:noWrap/>
            <w:vAlign w:val="bottom"/>
            <w:hideMark/>
          </w:tcPr>
          <w:p w14:paraId="4FD745FC"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İşsizlik oranı</w:t>
            </w:r>
          </w:p>
        </w:tc>
        <w:tc>
          <w:tcPr>
            <w:tcW w:w="1065" w:type="dxa"/>
            <w:tcBorders>
              <w:top w:val="nil"/>
              <w:left w:val="nil"/>
              <w:bottom w:val="nil"/>
              <w:right w:val="nil"/>
            </w:tcBorders>
            <w:shd w:val="clear" w:color="000000" w:fill="FFFFFF"/>
            <w:noWrap/>
            <w:vAlign w:val="bottom"/>
            <w:hideMark/>
          </w:tcPr>
          <w:p w14:paraId="10A4B761"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78.43**</w:t>
            </w:r>
          </w:p>
        </w:tc>
        <w:tc>
          <w:tcPr>
            <w:tcW w:w="2013" w:type="dxa"/>
            <w:tcBorders>
              <w:top w:val="nil"/>
              <w:left w:val="nil"/>
              <w:bottom w:val="nil"/>
              <w:right w:val="nil"/>
            </w:tcBorders>
            <w:shd w:val="clear" w:color="000000" w:fill="FFFFFF"/>
            <w:noWrap/>
            <w:vAlign w:val="bottom"/>
            <w:hideMark/>
          </w:tcPr>
          <w:p w14:paraId="1A1BCE1F"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34.16</w:t>
            </w:r>
          </w:p>
        </w:tc>
        <w:tc>
          <w:tcPr>
            <w:tcW w:w="1104" w:type="dxa"/>
            <w:tcBorders>
              <w:top w:val="nil"/>
              <w:left w:val="nil"/>
              <w:bottom w:val="nil"/>
              <w:right w:val="nil"/>
            </w:tcBorders>
            <w:shd w:val="clear" w:color="000000" w:fill="FFFFFF"/>
            <w:noWrap/>
            <w:vAlign w:val="bottom"/>
            <w:hideMark/>
          </w:tcPr>
          <w:p w14:paraId="37BF327C"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0.037</w:t>
            </w:r>
          </w:p>
        </w:tc>
      </w:tr>
      <w:tr w:rsidR="00AE5E6C" w:rsidRPr="00164238" w14:paraId="61B6B06C" w14:textId="77777777" w:rsidTr="00682CBF">
        <w:trPr>
          <w:trHeight w:val="288"/>
        </w:trPr>
        <w:tc>
          <w:tcPr>
            <w:tcW w:w="3518" w:type="dxa"/>
            <w:tcBorders>
              <w:top w:val="nil"/>
              <w:left w:val="nil"/>
              <w:bottom w:val="nil"/>
              <w:right w:val="nil"/>
            </w:tcBorders>
            <w:shd w:val="clear" w:color="000000" w:fill="FFFFFF"/>
            <w:noWrap/>
            <w:vAlign w:val="bottom"/>
            <w:hideMark/>
          </w:tcPr>
          <w:p w14:paraId="5A3576CD"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c>
          <w:tcPr>
            <w:tcW w:w="1065" w:type="dxa"/>
            <w:tcBorders>
              <w:top w:val="nil"/>
              <w:left w:val="nil"/>
              <w:bottom w:val="nil"/>
              <w:right w:val="nil"/>
            </w:tcBorders>
            <w:shd w:val="clear" w:color="000000" w:fill="FFFFFF"/>
            <w:noWrap/>
            <w:vAlign w:val="bottom"/>
            <w:hideMark/>
          </w:tcPr>
          <w:p w14:paraId="501B776E"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c>
          <w:tcPr>
            <w:tcW w:w="2013" w:type="dxa"/>
            <w:tcBorders>
              <w:top w:val="nil"/>
              <w:left w:val="nil"/>
              <w:bottom w:val="nil"/>
              <w:right w:val="nil"/>
            </w:tcBorders>
            <w:shd w:val="clear" w:color="000000" w:fill="FFFFFF"/>
            <w:noWrap/>
            <w:vAlign w:val="bottom"/>
            <w:hideMark/>
          </w:tcPr>
          <w:p w14:paraId="48C19273"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c>
          <w:tcPr>
            <w:tcW w:w="1104" w:type="dxa"/>
            <w:tcBorders>
              <w:top w:val="nil"/>
              <w:left w:val="nil"/>
              <w:bottom w:val="nil"/>
              <w:right w:val="nil"/>
            </w:tcBorders>
            <w:shd w:val="clear" w:color="000000" w:fill="FFFFFF"/>
            <w:noWrap/>
            <w:vAlign w:val="bottom"/>
            <w:hideMark/>
          </w:tcPr>
          <w:p w14:paraId="451C174D"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r>
      <w:tr w:rsidR="00AE5E6C" w:rsidRPr="00164238" w14:paraId="3C592D88" w14:textId="77777777" w:rsidTr="00682CBF">
        <w:trPr>
          <w:trHeight w:val="288"/>
        </w:trPr>
        <w:tc>
          <w:tcPr>
            <w:tcW w:w="3518" w:type="dxa"/>
            <w:tcBorders>
              <w:top w:val="nil"/>
              <w:left w:val="nil"/>
              <w:bottom w:val="single" w:sz="4" w:space="0" w:color="auto"/>
              <w:right w:val="nil"/>
            </w:tcBorders>
            <w:shd w:val="clear" w:color="000000" w:fill="FFFFFF"/>
            <w:noWrap/>
            <w:vAlign w:val="bottom"/>
            <w:hideMark/>
          </w:tcPr>
          <w:p w14:paraId="389B1C11" w14:textId="77777777" w:rsidR="00522634" w:rsidRPr="00164238" w:rsidRDefault="00E839E1" w:rsidP="00682CBF">
            <w:pPr>
              <w:spacing w:after="0" w:line="240" w:lineRule="auto"/>
              <w:rPr>
                <w:rFonts w:ascii="Times New Roman" w:eastAsia="Times New Roman" w:hAnsi="Times New Roman" w:cs="Times New Roman"/>
                <w:color w:val="000000" w:themeColor="text1"/>
                <w:sz w:val="20"/>
                <w:szCs w:val="20"/>
                <w:lang w:eastAsia="tr-TR"/>
              </w:rPr>
            </w:pPr>
            <m:oMathPara>
              <m:oMath>
                <m:sSup>
                  <m:sSupPr>
                    <m:ctrlPr>
                      <w:rPr>
                        <w:rFonts w:ascii="Cambria Math" w:eastAsia="Times New Roman" w:hAnsi="Cambria Math" w:cs="Times New Roman"/>
                        <w:i/>
                        <w:color w:val="000000" w:themeColor="text1"/>
                        <w:sz w:val="20"/>
                        <w:szCs w:val="20"/>
                        <w:lang w:eastAsia="tr-TR"/>
                      </w:rPr>
                    </m:ctrlPr>
                  </m:sSupPr>
                  <m:e>
                    <m:r>
                      <w:rPr>
                        <w:rFonts w:ascii="Cambria Math" w:eastAsia="Times New Roman" w:hAnsi="Cambria Math" w:cs="Times New Roman"/>
                        <w:color w:val="000000" w:themeColor="text1"/>
                        <w:sz w:val="20"/>
                        <w:szCs w:val="20"/>
                        <w:lang w:eastAsia="tr-TR"/>
                      </w:rPr>
                      <m:t>R</m:t>
                    </m:r>
                  </m:e>
                  <m:sup>
                    <m:r>
                      <w:rPr>
                        <w:rFonts w:ascii="Cambria Math" w:eastAsia="Times New Roman" w:hAnsi="Cambria Math" w:cs="Times New Roman"/>
                        <w:color w:val="000000" w:themeColor="text1"/>
                        <w:sz w:val="20"/>
                        <w:szCs w:val="20"/>
                        <w:lang w:eastAsia="tr-TR"/>
                      </w:rPr>
                      <m:t>2</m:t>
                    </m:r>
                  </m:sup>
                </m:sSup>
              </m:oMath>
            </m:oMathPara>
          </w:p>
        </w:tc>
        <w:tc>
          <w:tcPr>
            <w:tcW w:w="1065" w:type="dxa"/>
            <w:tcBorders>
              <w:top w:val="nil"/>
              <w:left w:val="nil"/>
              <w:bottom w:val="single" w:sz="4" w:space="0" w:color="auto"/>
              <w:right w:val="nil"/>
            </w:tcBorders>
            <w:shd w:val="clear" w:color="000000" w:fill="FFFFFF"/>
            <w:noWrap/>
            <w:vAlign w:val="bottom"/>
            <w:hideMark/>
          </w:tcPr>
          <w:p w14:paraId="3190832E"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0.43</w:t>
            </w:r>
          </w:p>
        </w:tc>
        <w:tc>
          <w:tcPr>
            <w:tcW w:w="2013" w:type="dxa"/>
            <w:tcBorders>
              <w:top w:val="nil"/>
              <w:left w:val="nil"/>
              <w:bottom w:val="single" w:sz="4" w:space="0" w:color="auto"/>
              <w:right w:val="nil"/>
            </w:tcBorders>
            <w:shd w:val="clear" w:color="000000" w:fill="FFFFFF"/>
            <w:noWrap/>
            <w:vAlign w:val="bottom"/>
            <w:hideMark/>
          </w:tcPr>
          <w:p w14:paraId="10054EBC"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c>
          <w:tcPr>
            <w:tcW w:w="1104" w:type="dxa"/>
            <w:tcBorders>
              <w:top w:val="nil"/>
              <w:left w:val="nil"/>
              <w:bottom w:val="single" w:sz="4" w:space="0" w:color="auto"/>
              <w:right w:val="nil"/>
            </w:tcBorders>
            <w:shd w:val="clear" w:color="000000" w:fill="FFFFFF"/>
            <w:noWrap/>
            <w:vAlign w:val="bottom"/>
            <w:hideMark/>
          </w:tcPr>
          <w:p w14:paraId="36AA3FAA"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r>
    </w:tbl>
    <w:p w14:paraId="44348CE7" w14:textId="77777777" w:rsidR="00522634" w:rsidRPr="00164238" w:rsidRDefault="00522634" w:rsidP="00522634">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lastRenderedPageBreak/>
        <w:t>Not: *%10, ** %5 ve *** %1 anlamlılık seviyelerini ifade etmektedir.</w:t>
      </w:r>
    </w:p>
    <w:tbl>
      <w:tblPr>
        <w:tblW w:w="7840" w:type="dxa"/>
        <w:tblCellMar>
          <w:left w:w="70" w:type="dxa"/>
          <w:right w:w="70" w:type="dxa"/>
        </w:tblCellMar>
        <w:tblLook w:val="04A0" w:firstRow="1" w:lastRow="0" w:firstColumn="1" w:lastColumn="0" w:noHBand="0" w:noVBand="1"/>
      </w:tblPr>
      <w:tblGrid>
        <w:gridCol w:w="3471"/>
        <w:gridCol w:w="1297"/>
        <w:gridCol w:w="1984"/>
        <w:gridCol w:w="1088"/>
      </w:tblGrid>
      <w:tr w:rsidR="00AE5E6C" w:rsidRPr="00164238" w14:paraId="2993DA80" w14:textId="77777777" w:rsidTr="00682CBF">
        <w:trPr>
          <w:trHeight w:val="288"/>
        </w:trPr>
        <w:tc>
          <w:tcPr>
            <w:tcW w:w="7840" w:type="dxa"/>
            <w:gridSpan w:val="4"/>
            <w:tcBorders>
              <w:top w:val="nil"/>
              <w:left w:val="nil"/>
              <w:bottom w:val="nil"/>
              <w:right w:val="nil"/>
            </w:tcBorders>
            <w:shd w:val="clear" w:color="000000" w:fill="FFFFFF"/>
            <w:vAlign w:val="bottom"/>
            <w:hideMark/>
          </w:tcPr>
          <w:p w14:paraId="2F0E533C" w14:textId="217606A7" w:rsidR="00522634" w:rsidRPr="00164238" w:rsidRDefault="00522634" w:rsidP="00682CBF">
            <w:pPr>
              <w:jc w:val="both"/>
              <w:rPr>
                <w:rFonts w:ascii="Times New Roman" w:hAnsi="Times New Roman" w:cs="Times New Roman"/>
                <w:color w:val="000000" w:themeColor="text1"/>
                <w:sz w:val="20"/>
                <w:szCs w:val="20"/>
              </w:rPr>
            </w:pPr>
          </w:p>
          <w:p w14:paraId="47E9F781" w14:textId="75C8EA99" w:rsidR="00522634" w:rsidRPr="00164238" w:rsidRDefault="00522634" w:rsidP="00682CBF">
            <w:pPr>
              <w:jc w:val="both"/>
              <w:rPr>
                <w:rFonts w:ascii="Times New Roman" w:hAnsi="Times New Roman" w:cs="Times New Roman"/>
                <w:color w:val="000000" w:themeColor="text1"/>
                <w:sz w:val="20"/>
                <w:szCs w:val="20"/>
              </w:rPr>
            </w:pPr>
          </w:p>
          <w:p w14:paraId="37DCEE83" w14:textId="77777777" w:rsidR="00522634" w:rsidRPr="00164238" w:rsidRDefault="00522634" w:rsidP="00682CBF">
            <w:pPr>
              <w:jc w:val="both"/>
              <w:rPr>
                <w:rFonts w:ascii="Times New Roman" w:hAnsi="Times New Roman" w:cs="Times New Roman"/>
                <w:color w:val="000000" w:themeColor="text1"/>
                <w:sz w:val="20"/>
                <w:szCs w:val="20"/>
              </w:rPr>
            </w:pPr>
          </w:p>
          <w:tbl>
            <w:tblPr>
              <w:tblW w:w="7700" w:type="dxa"/>
              <w:tblCellMar>
                <w:left w:w="70" w:type="dxa"/>
                <w:right w:w="70" w:type="dxa"/>
              </w:tblCellMar>
              <w:tblLook w:val="04A0" w:firstRow="1" w:lastRow="0" w:firstColumn="1" w:lastColumn="0" w:noHBand="0" w:noVBand="1"/>
            </w:tblPr>
            <w:tblGrid>
              <w:gridCol w:w="7700"/>
            </w:tblGrid>
            <w:tr w:rsidR="00AE5E6C" w:rsidRPr="00164238" w14:paraId="1FBBA4F6" w14:textId="77777777" w:rsidTr="00682CBF">
              <w:trPr>
                <w:trHeight w:val="288"/>
              </w:trPr>
              <w:tc>
                <w:tcPr>
                  <w:tcW w:w="7700" w:type="dxa"/>
                  <w:tcBorders>
                    <w:top w:val="nil"/>
                    <w:left w:val="nil"/>
                    <w:bottom w:val="nil"/>
                    <w:right w:val="nil"/>
                  </w:tcBorders>
                  <w:shd w:val="clear" w:color="000000" w:fill="FFFFFF"/>
                  <w:vAlign w:val="bottom"/>
                  <w:hideMark/>
                </w:tcPr>
                <w:p w14:paraId="539BEC0E"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Tablo 5: Lojistik regresyon yöntemi analiz sonuçları, bağımlı değişken :İşsizlik oranları</w:t>
                  </w:r>
                </w:p>
              </w:tc>
            </w:tr>
          </w:tbl>
          <w:p w14:paraId="7CB43CF7"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p>
        </w:tc>
      </w:tr>
      <w:tr w:rsidR="00AE5E6C" w:rsidRPr="00164238" w14:paraId="4BABD313" w14:textId="77777777" w:rsidTr="00682CBF">
        <w:trPr>
          <w:trHeight w:val="288"/>
        </w:trPr>
        <w:tc>
          <w:tcPr>
            <w:tcW w:w="3471" w:type="dxa"/>
            <w:tcBorders>
              <w:top w:val="single" w:sz="4" w:space="0" w:color="auto"/>
              <w:left w:val="nil"/>
              <w:bottom w:val="single" w:sz="4" w:space="0" w:color="auto"/>
              <w:right w:val="nil"/>
            </w:tcBorders>
            <w:shd w:val="clear" w:color="000000" w:fill="FFFFFF"/>
            <w:noWrap/>
            <w:vAlign w:val="bottom"/>
            <w:hideMark/>
          </w:tcPr>
          <w:p w14:paraId="28322343"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c>
          <w:tcPr>
            <w:tcW w:w="1297" w:type="dxa"/>
            <w:tcBorders>
              <w:top w:val="single" w:sz="4" w:space="0" w:color="auto"/>
              <w:left w:val="nil"/>
              <w:bottom w:val="single" w:sz="4" w:space="0" w:color="auto"/>
              <w:right w:val="nil"/>
            </w:tcBorders>
            <w:shd w:val="clear" w:color="000000" w:fill="FFFFFF"/>
            <w:noWrap/>
            <w:vAlign w:val="bottom"/>
            <w:hideMark/>
          </w:tcPr>
          <w:p w14:paraId="267F951D"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Katsayı</w:t>
            </w:r>
          </w:p>
        </w:tc>
        <w:tc>
          <w:tcPr>
            <w:tcW w:w="1984" w:type="dxa"/>
            <w:tcBorders>
              <w:top w:val="single" w:sz="4" w:space="0" w:color="auto"/>
              <w:left w:val="nil"/>
              <w:bottom w:val="single" w:sz="4" w:space="0" w:color="auto"/>
              <w:right w:val="nil"/>
            </w:tcBorders>
            <w:shd w:val="clear" w:color="000000" w:fill="FFFFFF"/>
            <w:noWrap/>
            <w:vAlign w:val="bottom"/>
            <w:hideMark/>
          </w:tcPr>
          <w:p w14:paraId="07882FDD"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standart sapma</w:t>
            </w:r>
          </w:p>
        </w:tc>
        <w:tc>
          <w:tcPr>
            <w:tcW w:w="1088" w:type="dxa"/>
            <w:tcBorders>
              <w:top w:val="single" w:sz="4" w:space="0" w:color="auto"/>
              <w:left w:val="nil"/>
              <w:bottom w:val="single" w:sz="4" w:space="0" w:color="auto"/>
              <w:right w:val="nil"/>
            </w:tcBorders>
            <w:shd w:val="clear" w:color="000000" w:fill="FFFFFF"/>
            <w:noWrap/>
            <w:vAlign w:val="bottom"/>
            <w:hideMark/>
          </w:tcPr>
          <w:p w14:paraId="0EA0D8DA"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p-değeri</w:t>
            </w:r>
          </w:p>
        </w:tc>
      </w:tr>
      <w:tr w:rsidR="00AE5E6C" w:rsidRPr="00164238" w14:paraId="1ED376CF" w14:textId="77777777" w:rsidTr="00682CBF">
        <w:trPr>
          <w:trHeight w:val="288"/>
        </w:trPr>
        <w:tc>
          <w:tcPr>
            <w:tcW w:w="3471" w:type="dxa"/>
            <w:tcBorders>
              <w:top w:val="nil"/>
              <w:left w:val="nil"/>
              <w:bottom w:val="nil"/>
              <w:right w:val="nil"/>
            </w:tcBorders>
            <w:shd w:val="clear" w:color="000000" w:fill="FFFFFF"/>
            <w:noWrap/>
            <w:vAlign w:val="bottom"/>
            <w:hideMark/>
          </w:tcPr>
          <w:p w14:paraId="19CD5C5E"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Sabit</w:t>
            </w:r>
          </w:p>
        </w:tc>
        <w:tc>
          <w:tcPr>
            <w:tcW w:w="1297" w:type="dxa"/>
            <w:tcBorders>
              <w:top w:val="nil"/>
              <w:left w:val="nil"/>
              <w:bottom w:val="nil"/>
              <w:right w:val="nil"/>
            </w:tcBorders>
            <w:shd w:val="clear" w:color="000000" w:fill="FFFFFF"/>
            <w:noWrap/>
            <w:vAlign w:val="bottom"/>
            <w:hideMark/>
          </w:tcPr>
          <w:p w14:paraId="765D3B2A"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-5.981***</w:t>
            </w:r>
          </w:p>
        </w:tc>
        <w:tc>
          <w:tcPr>
            <w:tcW w:w="1984" w:type="dxa"/>
            <w:tcBorders>
              <w:top w:val="nil"/>
              <w:left w:val="nil"/>
              <w:bottom w:val="nil"/>
              <w:right w:val="nil"/>
            </w:tcBorders>
            <w:shd w:val="clear" w:color="000000" w:fill="FFFFFF"/>
            <w:noWrap/>
            <w:vAlign w:val="bottom"/>
            <w:hideMark/>
          </w:tcPr>
          <w:p w14:paraId="71B3C339"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1.531</w:t>
            </w:r>
          </w:p>
        </w:tc>
        <w:tc>
          <w:tcPr>
            <w:tcW w:w="1088" w:type="dxa"/>
            <w:tcBorders>
              <w:top w:val="nil"/>
              <w:left w:val="nil"/>
              <w:bottom w:val="nil"/>
              <w:right w:val="nil"/>
            </w:tcBorders>
            <w:shd w:val="clear" w:color="000000" w:fill="FFFFFF"/>
            <w:noWrap/>
            <w:vAlign w:val="bottom"/>
            <w:hideMark/>
          </w:tcPr>
          <w:p w14:paraId="18556369"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0.001</w:t>
            </w:r>
          </w:p>
        </w:tc>
      </w:tr>
      <w:tr w:rsidR="00AE5E6C" w:rsidRPr="00164238" w14:paraId="5BC92DFE" w14:textId="77777777" w:rsidTr="00682CBF">
        <w:trPr>
          <w:trHeight w:val="288"/>
        </w:trPr>
        <w:tc>
          <w:tcPr>
            <w:tcW w:w="3471" w:type="dxa"/>
            <w:tcBorders>
              <w:top w:val="nil"/>
              <w:left w:val="nil"/>
              <w:bottom w:val="nil"/>
              <w:right w:val="nil"/>
            </w:tcBorders>
            <w:shd w:val="clear" w:color="000000" w:fill="FFFFFF"/>
            <w:noWrap/>
            <w:vAlign w:val="bottom"/>
            <w:hideMark/>
          </w:tcPr>
          <w:p w14:paraId="31819780"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Obezite</w:t>
            </w:r>
          </w:p>
        </w:tc>
        <w:tc>
          <w:tcPr>
            <w:tcW w:w="1297" w:type="dxa"/>
            <w:tcBorders>
              <w:top w:val="nil"/>
              <w:left w:val="nil"/>
              <w:bottom w:val="nil"/>
              <w:right w:val="nil"/>
            </w:tcBorders>
            <w:shd w:val="clear" w:color="000000" w:fill="FFFFFF"/>
            <w:noWrap/>
            <w:vAlign w:val="bottom"/>
            <w:hideMark/>
          </w:tcPr>
          <w:p w14:paraId="539DDB19"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0.01</w:t>
            </w:r>
          </w:p>
        </w:tc>
        <w:tc>
          <w:tcPr>
            <w:tcW w:w="1984" w:type="dxa"/>
            <w:tcBorders>
              <w:top w:val="nil"/>
              <w:left w:val="nil"/>
              <w:bottom w:val="nil"/>
              <w:right w:val="nil"/>
            </w:tcBorders>
            <w:shd w:val="clear" w:color="000000" w:fill="FFFFFF"/>
            <w:noWrap/>
            <w:vAlign w:val="bottom"/>
            <w:hideMark/>
          </w:tcPr>
          <w:p w14:paraId="69EB2080"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0.009</w:t>
            </w:r>
          </w:p>
        </w:tc>
        <w:tc>
          <w:tcPr>
            <w:tcW w:w="1088" w:type="dxa"/>
            <w:tcBorders>
              <w:top w:val="nil"/>
              <w:left w:val="nil"/>
              <w:bottom w:val="nil"/>
              <w:right w:val="nil"/>
            </w:tcBorders>
            <w:shd w:val="clear" w:color="000000" w:fill="FFFFFF"/>
            <w:noWrap/>
            <w:vAlign w:val="bottom"/>
            <w:hideMark/>
          </w:tcPr>
          <w:p w14:paraId="7C4AC735"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0.299</w:t>
            </w:r>
          </w:p>
        </w:tc>
      </w:tr>
      <w:tr w:rsidR="00AE5E6C" w:rsidRPr="00164238" w14:paraId="63BE171D" w14:textId="77777777" w:rsidTr="00682CBF">
        <w:trPr>
          <w:trHeight w:val="288"/>
        </w:trPr>
        <w:tc>
          <w:tcPr>
            <w:tcW w:w="3471" w:type="dxa"/>
            <w:tcBorders>
              <w:top w:val="nil"/>
              <w:left w:val="nil"/>
              <w:bottom w:val="nil"/>
              <w:right w:val="nil"/>
            </w:tcBorders>
            <w:shd w:val="clear" w:color="000000" w:fill="FFFFFF"/>
            <w:noWrap/>
            <w:vAlign w:val="bottom"/>
            <w:hideMark/>
          </w:tcPr>
          <w:p w14:paraId="4FF65F49"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Gini katsayısı</w:t>
            </w:r>
          </w:p>
        </w:tc>
        <w:tc>
          <w:tcPr>
            <w:tcW w:w="1297" w:type="dxa"/>
            <w:tcBorders>
              <w:top w:val="nil"/>
              <w:left w:val="nil"/>
              <w:bottom w:val="nil"/>
              <w:right w:val="nil"/>
            </w:tcBorders>
            <w:shd w:val="clear" w:color="000000" w:fill="FFFFFF"/>
            <w:noWrap/>
            <w:vAlign w:val="bottom"/>
            <w:hideMark/>
          </w:tcPr>
          <w:p w14:paraId="39B25095"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7.707**</w:t>
            </w:r>
          </w:p>
        </w:tc>
        <w:tc>
          <w:tcPr>
            <w:tcW w:w="1984" w:type="dxa"/>
            <w:tcBorders>
              <w:top w:val="nil"/>
              <w:left w:val="nil"/>
              <w:bottom w:val="nil"/>
              <w:right w:val="nil"/>
            </w:tcBorders>
            <w:shd w:val="clear" w:color="000000" w:fill="FFFFFF"/>
            <w:noWrap/>
            <w:vAlign w:val="bottom"/>
            <w:hideMark/>
          </w:tcPr>
          <w:p w14:paraId="08CA2E89"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3.45</w:t>
            </w:r>
          </w:p>
        </w:tc>
        <w:tc>
          <w:tcPr>
            <w:tcW w:w="1088" w:type="dxa"/>
            <w:tcBorders>
              <w:top w:val="nil"/>
              <w:left w:val="nil"/>
              <w:bottom w:val="nil"/>
              <w:right w:val="nil"/>
            </w:tcBorders>
            <w:shd w:val="clear" w:color="000000" w:fill="FFFFFF"/>
            <w:noWrap/>
            <w:vAlign w:val="bottom"/>
            <w:hideMark/>
          </w:tcPr>
          <w:p w14:paraId="4F67FF68"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0.043</w:t>
            </w:r>
          </w:p>
        </w:tc>
      </w:tr>
      <w:tr w:rsidR="00AE5E6C" w:rsidRPr="00164238" w14:paraId="4909A497" w14:textId="77777777" w:rsidTr="00682CBF">
        <w:trPr>
          <w:trHeight w:val="288"/>
        </w:trPr>
        <w:tc>
          <w:tcPr>
            <w:tcW w:w="3471" w:type="dxa"/>
            <w:tcBorders>
              <w:top w:val="nil"/>
              <w:left w:val="nil"/>
              <w:bottom w:val="nil"/>
              <w:right w:val="nil"/>
            </w:tcBorders>
            <w:shd w:val="clear" w:color="000000" w:fill="FFFFFF"/>
            <w:noWrap/>
            <w:vAlign w:val="bottom"/>
            <w:hideMark/>
          </w:tcPr>
          <w:p w14:paraId="0E89A7AD"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Hane halkı gelir düzeyi</w:t>
            </w:r>
          </w:p>
        </w:tc>
        <w:tc>
          <w:tcPr>
            <w:tcW w:w="1297" w:type="dxa"/>
            <w:tcBorders>
              <w:top w:val="nil"/>
              <w:left w:val="nil"/>
              <w:bottom w:val="nil"/>
              <w:right w:val="nil"/>
            </w:tcBorders>
            <w:shd w:val="clear" w:color="000000" w:fill="FFFFFF"/>
            <w:noWrap/>
            <w:vAlign w:val="bottom"/>
            <w:hideMark/>
          </w:tcPr>
          <w:p w14:paraId="51F26027"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0.000</w:t>
            </w:r>
          </w:p>
        </w:tc>
        <w:tc>
          <w:tcPr>
            <w:tcW w:w="1984" w:type="dxa"/>
            <w:tcBorders>
              <w:top w:val="nil"/>
              <w:left w:val="nil"/>
              <w:bottom w:val="nil"/>
              <w:right w:val="nil"/>
            </w:tcBorders>
            <w:shd w:val="clear" w:color="000000" w:fill="FFFFFF"/>
            <w:noWrap/>
            <w:vAlign w:val="bottom"/>
            <w:hideMark/>
          </w:tcPr>
          <w:p w14:paraId="5A5F9CDF"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0.000</w:t>
            </w:r>
          </w:p>
        </w:tc>
        <w:tc>
          <w:tcPr>
            <w:tcW w:w="1088" w:type="dxa"/>
            <w:tcBorders>
              <w:top w:val="nil"/>
              <w:left w:val="nil"/>
              <w:bottom w:val="nil"/>
              <w:right w:val="nil"/>
            </w:tcBorders>
            <w:shd w:val="clear" w:color="000000" w:fill="FFFFFF"/>
            <w:noWrap/>
            <w:vAlign w:val="bottom"/>
            <w:hideMark/>
          </w:tcPr>
          <w:p w14:paraId="2111F5A6"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0.450</w:t>
            </w:r>
          </w:p>
        </w:tc>
      </w:tr>
      <w:tr w:rsidR="00AE5E6C" w:rsidRPr="00164238" w14:paraId="18B6B793" w14:textId="77777777" w:rsidTr="00682CBF">
        <w:trPr>
          <w:trHeight w:val="288"/>
        </w:trPr>
        <w:tc>
          <w:tcPr>
            <w:tcW w:w="3471" w:type="dxa"/>
            <w:tcBorders>
              <w:top w:val="nil"/>
              <w:left w:val="nil"/>
              <w:bottom w:val="nil"/>
              <w:right w:val="nil"/>
            </w:tcBorders>
            <w:shd w:val="clear" w:color="000000" w:fill="FFFFFF"/>
            <w:noWrap/>
            <w:vAlign w:val="bottom"/>
            <w:hideMark/>
          </w:tcPr>
          <w:p w14:paraId="11FC130B"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xml:space="preserve">Sağlık harcamaları </w:t>
            </w:r>
          </w:p>
        </w:tc>
        <w:tc>
          <w:tcPr>
            <w:tcW w:w="1297" w:type="dxa"/>
            <w:tcBorders>
              <w:top w:val="nil"/>
              <w:left w:val="nil"/>
              <w:bottom w:val="nil"/>
              <w:right w:val="nil"/>
            </w:tcBorders>
            <w:shd w:val="clear" w:color="000000" w:fill="FFFFFF"/>
            <w:noWrap/>
            <w:vAlign w:val="bottom"/>
            <w:hideMark/>
          </w:tcPr>
          <w:p w14:paraId="0E734CD7"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0.000</w:t>
            </w:r>
          </w:p>
        </w:tc>
        <w:tc>
          <w:tcPr>
            <w:tcW w:w="1984" w:type="dxa"/>
            <w:tcBorders>
              <w:top w:val="nil"/>
              <w:left w:val="nil"/>
              <w:bottom w:val="nil"/>
              <w:right w:val="nil"/>
            </w:tcBorders>
            <w:shd w:val="clear" w:color="000000" w:fill="FFFFFF"/>
            <w:noWrap/>
            <w:vAlign w:val="bottom"/>
            <w:hideMark/>
          </w:tcPr>
          <w:p w14:paraId="78577E49"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0.000</w:t>
            </w:r>
          </w:p>
        </w:tc>
        <w:tc>
          <w:tcPr>
            <w:tcW w:w="1088" w:type="dxa"/>
            <w:tcBorders>
              <w:top w:val="nil"/>
              <w:left w:val="nil"/>
              <w:bottom w:val="nil"/>
              <w:right w:val="nil"/>
            </w:tcBorders>
            <w:shd w:val="clear" w:color="000000" w:fill="FFFFFF"/>
            <w:noWrap/>
            <w:vAlign w:val="bottom"/>
            <w:hideMark/>
          </w:tcPr>
          <w:p w14:paraId="4F94C0D6"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0.622</w:t>
            </w:r>
          </w:p>
        </w:tc>
      </w:tr>
      <w:tr w:rsidR="00AE5E6C" w:rsidRPr="00164238" w14:paraId="18AA0B0E" w14:textId="77777777" w:rsidTr="00682CBF">
        <w:trPr>
          <w:trHeight w:val="288"/>
        </w:trPr>
        <w:tc>
          <w:tcPr>
            <w:tcW w:w="3471" w:type="dxa"/>
            <w:tcBorders>
              <w:top w:val="nil"/>
              <w:left w:val="nil"/>
              <w:bottom w:val="nil"/>
              <w:right w:val="nil"/>
            </w:tcBorders>
            <w:shd w:val="clear" w:color="000000" w:fill="FFFFFF"/>
            <w:noWrap/>
            <w:vAlign w:val="bottom"/>
            <w:hideMark/>
          </w:tcPr>
          <w:p w14:paraId="34AD301C"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Doktor sayısı (1000 kişi için)</w:t>
            </w:r>
          </w:p>
        </w:tc>
        <w:tc>
          <w:tcPr>
            <w:tcW w:w="1297" w:type="dxa"/>
            <w:tcBorders>
              <w:top w:val="nil"/>
              <w:left w:val="nil"/>
              <w:bottom w:val="nil"/>
              <w:right w:val="nil"/>
            </w:tcBorders>
            <w:shd w:val="clear" w:color="000000" w:fill="FFFFFF"/>
            <w:noWrap/>
            <w:vAlign w:val="bottom"/>
            <w:hideMark/>
          </w:tcPr>
          <w:p w14:paraId="731B745E"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-0.283**</w:t>
            </w:r>
          </w:p>
        </w:tc>
        <w:tc>
          <w:tcPr>
            <w:tcW w:w="1984" w:type="dxa"/>
            <w:tcBorders>
              <w:top w:val="nil"/>
              <w:left w:val="nil"/>
              <w:bottom w:val="nil"/>
              <w:right w:val="nil"/>
            </w:tcBorders>
            <w:shd w:val="clear" w:color="000000" w:fill="FFFFFF"/>
            <w:noWrap/>
            <w:vAlign w:val="bottom"/>
            <w:hideMark/>
          </w:tcPr>
          <w:p w14:paraId="7F4C1DF3"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0.108</w:t>
            </w:r>
          </w:p>
        </w:tc>
        <w:tc>
          <w:tcPr>
            <w:tcW w:w="1088" w:type="dxa"/>
            <w:tcBorders>
              <w:top w:val="nil"/>
              <w:left w:val="nil"/>
              <w:bottom w:val="nil"/>
              <w:right w:val="nil"/>
            </w:tcBorders>
            <w:shd w:val="clear" w:color="000000" w:fill="FFFFFF"/>
            <w:noWrap/>
            <w:vAlign w:val="bottom"/>
            <w:hideMark/>
          </w:tcPr>
          <w:p w14:paraId="2625F162"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0.021</w:t>
            </w:r>
          </w:p>
        </w:tc>
      </w:tr>
      <w:tr w:rsidR="00AE5E6C" w:rsidRPr="00164238" w14:paraId="1063FDD8" w14:textId="77777777" w:rsidTr="00682CBF">
        <w:trPr>
          <w:trHeight w:val="288"/>
        </w:trPr>
        <w:tc>
          <w:tcPr>
            <w:tcW w:w="3471" w:type="dxa"/>
            <w:tcBorders>
              <w:top w:val="nil"/>
              <w:left w:val="nil"/>
              <w:bottom w:val="nil"/>
              <w:right w:val="nil"/>
            </w:tcBorders>
            <w:shd w:val="clear" w:color="000000" w:fill="FFFFFF"/>
            <w:noWrap/>
            <w:vAlign w:val="bottom"/>
            <w:hideMark/>
          </w:tcPr>
          <w:p w14:paraId="4E76D261"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c>
          <w:tcPr>
            <w:tcW w:w="1297" w:type="dxa"/>
            <w:tcBorders>
              <w:top w:val="nil"/>
              <w:left w:val="nil"/>
              <w:bottom w:val="nil"/>
              <w:right w:val="nil"/>
            </w:tcBorders>
            <w:shd w:val="clear" w:color="000000" w:fill="FFFFFF"/>
            <w:noWrap/>
            <w:vAlign w:val="bottom"/>
            <w:hideMark/>
          </w:tcPr>
          <w:p w14:paraId="3F71B937"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c>
          <w:tcPr>
            <w:tcW w:w="1984" w:type="dxa"/>
            <w:tcBorders>
              <w:top w:val="nil"/>
              <w:left w:val="nil"/>
              <w:bottom w:val="nil"/>
              <w:right w:val="nil"/>
            </w:tcBorders>
            <w:shd w:val="clear" w:color="000000" w:fill="FFFFFF"/>
            <w:noWrap/>
            <w:vAlign w:val="bottom"/>
            <w:hideMark/>
          </w:tcPr>
          <w:p w14:paraId="08DB54FE"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c>
          <w:tcPr>
            <w:tcW w:w="1088" w:type="dxa"/>
            <w:tcBorders>
              <w:top w:val="nil"/>
              <w:left w:val="nil"/>
              <w:bottom w:val="nil"/>
              <w:right w:val="nil"/>
            </w:tcBorders>
            <w:shd w:val="clear" w:color="000000" w:fill="FFFFFF"/>
            <w:noWrap/>
            <w:vAlign w:val="bottom"/>
            <w:hideMark/>
          </w:tcPr>
          <w:p w14:paraId="615837DD"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r>
      <w:tr w:rsidR="00AE5E6C" w:rsidRPr="00164238" w14:paraId="414EE967" w14:textId="77777777" w:rsidTr="00682CBF">
        <w:trPr>
          <w:trHeight w:val="288"/>
        </w:trPr>
        <w:tc>
          <w:tcPr>
            <w:tcW w:w="3471" w:type="dxa"/>
            <w:tcBorders>
              <w:top w:val="nil"/>
              <w:left w:val="nil"/>
              <w:bottom w:val="single" w:sz="4" w:space="0" w:color="auto"/>
              <w:right w:val="nil"/>
            </w:tcBorders>
            <w:shd w:val="clear" w:color="000000" w:fill="FFFFFF"/>
            <w:noWrap/>
            <w:vAlign w:val="bottom"/>
            <w:hideMark/>
          </w:tcPr>
          <w:p w14:paraId="670DF1CD" w14:textId="77777777" w:rsidR="00522634" w:rsidRPr="00164238" w:rsidRDefault="00E839E1" w:rsidP="00682CBF">
            <w:pPr>
              <w:spacing w:after="0" w:line="240" w:lineRule="auto"/>
              <w:rPr>
                <w:rFonts w:ascii="Times New Roman" w:eastAsia="Times New Roman" w:hAnsi="Times New Roman" w:cs="Times New Roman"/>
                <w:color w:val="000000" w:themeColor="text1"/>
                <w:sz w:val="20"/>
                <w:szCs w:val="20"/>
                <w:lang w:eastAsia="tr-TR"/>
              </w:rPr>
            </w:pPr>
            <m:oMathPara>
              <m:oMath>
                <m:sSup>
                  <m:sSupPr>
                    <m:ctrlPr>
                      <w:rPr>
                        <w:rFonts w:ascii="Cambria Math" w:eastAsia="Times New Roman" w:hAnsi="Cambria Math" w:cs="Times New Roman"/>
                        <w:i/>
                        <w:color w:val="000000" w:themeColor="text1"/>
                        <w:sz w:val="20"/>
                        <w:szCs w:val="20"/>
                        <w:lang w:eastAsia="tr-TR"/>
                      </w:rPr>
                    </m:ctrlPr>
                  </m:sSupPr>
                  <m:e>
                    <m:r>
                      <w:rPr>
                        <w:rFonts w:ascii="Cambria Math" w:eastAsia="Times New Roman" w:hAnsi="Cambria Math" w:cs="Times New Roman"/>
                        <w:color w:val="000000" w:themeColor="text1"/>
                        <w:sz w:val="20"/>
                        <w:szCs w:val="20"/>
                        <w:lang w:eastAsia="tr-TR"/>
                      </w:rPr>
                      <m:t>R</m:t>
                    </m:r>
                  </m:e>
                  <m:sup>
                    <m:r>
                      <w:rPr>
                        <w:rFonts w:ascii="Cambria Math" w:eastAsia="Times New Roman" w:hAnsi="Cambria Math" w:cs="Times New Roman"/>
                        <w:color w:val="000000" w:themeColor="text1"/>
                        <w:sz w:val="20"/>
                        <w:szCs w:val="20"/>
                        <w:lang w:eastAsia="tr-TR"/>
                      </w:rPr>
                      <m:t>2</m:t>
                    </m:r>
                  </m:sup>
                </m:sSup>
              </m:oMath>
            </m:oMathPara>
          </w:p>
        </w:tc>
        <w:tc>
          <w:tcPr>
            <w:tcW w:w="1297" w:type="dxa"/>
            <w:tcBorders>
              <w:top w:val="nil"/>
              <w:left w:val="nil"/>
              <w:bottom w:val="single" w:sz="4" w:space="0" w:color="auto"/>
              <w:right w:val="nil"/>
            </w:tcBorders>
            <w:shd w:val="clear" w:color="000000" w:fill="FFFFFF"/>
            <w:noWrap/>
            <w:vAlign w:val="bottom"/>
            <w:hideMark/>
          </w:tcPr>
          <w:p w14:paraId="1D02375E"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0.55</w:t>
            </w:r>
          </w:p>
        </w:tc>
        <w:tc>
          <w:tcPr>
            <w:tcW w:w="1984" w:type="dxa"/>
            <w:tcBorders>
              <w:top w:val="nil"/>
              <w:left w:val="nil"/>
              <w:bottom w:val="single" w:sz="4" w:space="0" w:color="auto"/>
              <w:right w:val="nil"/>
            </w:tcBorders>
            <w:shd w:val="clear" w:color="000000" w:fill="FFFFFF"/>
            <w:noWrap/>
            <w:vAlign w:val="bottom"/>
            <w:hideMark/>
          </w:tcPr>
          <w:p w14:paraId="7912C838"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c>
          <w:tcPr>
            <w:tcW w:w="1088" w:type="dxa"/>
            <w:tcBorders>
              <w:top w:val="nil"/>
              <w:left w:val="nil"/>
              <w:bottom w:val="single" w:sz="4" w:space="0" w:color="auto"/>
              <w:right w:val="nil"/>
            </w:tcBorders>
            <w:shd w:val="clear" w:color="000000" w:fill="FFFFFF"/>
            <w:noWrap/>
            <w:vAlign w:val="bottom"/>
            <w:hideMark/>
          </w:tcPr>
          <w:p w14:paraId="6097F996"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r>
      <w:tr w:rsidR="00AE5E6C" w:rsidRPr="00164238" w14:paraId="26E4A0A8" w14:textId="77777777" w:rsidTr="00682CBF">
        <w:trPr>
          <w:trHeight w:val="288"/>
        </w:trPr>
        <w:tc>
          <w:tcPr>
            <w:tcW w:w="3471" w:type="dxa"/>
            <w:tcBorders>
              <w:top w:val="nil"/>
              <w:left w:val="nil"/>
              <w:bottom w:val="single" w:sz="4" w:space="0" w:color="auto"/>
              <w:right w:val="nil"/>
            </w:tcBorders>
            <w:shd w:val="clear" w:color="000000" w:fill="FFFFFF"/>
            <w:noWrap/>
            <w:vAlign w:val="bottom"/>
          </w:tcPr>
          <w:p w14:paraId="0B5CDC34"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p>
        </w:tc>
        <w:tc>
          <w:tcPr>
            <w:tcW w:w="1297" w:type="dxa"/>
            <w:tcBorders>
              <w:top w:val="nil"/>
              <w:left w:val="nil"/>
              <w:bottom w:val="single" w:sz="4" w:space="0" w:color="auto"/>
              <w:right w:val="nil"/>
            </w:tcBorders>
            <w:shd w:val="clear" w:color="000000" w:fill="FFFFFF"/>
            <w:noWrap/>
            <w:vAlign w:val="bottom"/>
          </w:tcPr>
          <w:p w14:paraId="04786AD2"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p>
        </w:tc>
        <w:tc>
          <w:tcPr>
            <w:tcW w:w="1984" w:type="dxa"/>
            <w:tcBorders>
              <w:top w:val="nil"/>
              <w:left w:val="nil"/>
              <w:bottom w:val="single" w:sz="4" w:space="0" w:color="auto"/>
              <w:right w:val="nil"/>
            </w:tcBorders>
            <w:shd w:val="clear" w:color="000000" w:fill="FFFFFF"/>
            <w:noWrap/>
            <w:vAlign w:val="bottom"/>
          </w:tcPr>
          <w:p w14:paraId="1AA6A90C"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p>
        </w:tc>
        <w:tc>
          <w:tcPr>
            <w:tcW w:w="1088" w:type="dxa"/>
            <w:tcBorders>
              <w:top w:val="nil"/>
              <w:left w:val="nil"/>
              <w:bottom w:val="single" w:sz="4" w:space="0" w:color="auto"/>
              <w:right w:val="nil"/>
            </w:tcBorders>
            <w:shd w:val="clear" w:color="000000" w:fill="FFFFFF"/>
            <w:noWrap/>
            <w:vAlign w:val="bottom"/>
          </w:tcPr>
          <w:p w14:paraId="06AFF207"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p>
        </w:tc>
      </w:tr>
    </w:tbl>
    <w:p w14:paraId="2BF403A8" w14:textId="77777777" w:rsidR="00522634" w:rsidRPr="00164238" w:rsidRDefault="00522634" w:rsidP="00522634">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Not: *%10, ** %5 ve *** %1 anlamlılık seviyelerini ifade etmektedir.</w:t>
      </w:r>
    </w:p>
    <w:p w14:paraId="4B3D0777" w14:textId="77777777" w:rsidR="00522634" w:rsidRPr="00164238" w:rsidRDefault="00522634" w:rsidP="00522634">
      <w:pPr>
        <w:jc w:val="both"/>
        <w:rPr>
          <w:rFonts w:ascii="Times New Roman" w:hAnsi="Times New Roman" w:cs="Times New Roman"/>
          <w:color w:val="000000" w:themeColor="text1"/>
          <w:sz w:val="20"/>
          <w:szCs w:val="20"/>
        </w:rPr>
      </w:pPr>
    </w:p>
    <w:tbl>
      <w:tblPr>
        <w:tblW w:w="7700" w:type="dxa"/>
        <w:tblCellMar>
          <w:left w:w="70" w:type="dxa"/>
          <w:right w:w="70" w:type="dxa"/>
        </w:tblCellMar>
        <w:tblLook w:val="04A0" w:firstRow="1" w:lastRow="0" w:firstColumn="1" w:lastColumn="0" w:noHBand="0" w:noVBand="1"/>
      </w:tblPr>
      <w:tblGrid>
        <w:gridCol w:w="3449"/>
        <w:gridCol w:w="1196"/>
        <w:gridCol w:w="1973"/>
        <w:gridCol w:w="1082"/>
      </w:tblGrid>
      <w:tr w:rsidR="00AE5E6C" w:rsidRPr="00164238" w14:paraId="6001F6A7" w14:textId="77777777" w:rsidTr="00682CBF">
        <w:trPr>
          <w:trHeight w:val="288"/>
        </w:trPr>
        <w:tc>
          <w:tcPr>
            <w:tcW w:w="7700" w:type="dxa"/>
            <w:gridSpan w:val="4"/>
            <w:tcBorders>
              <w:top w:val="nil"/>
              <w:left w:val="nil"/>
              <w:bottom w:val="nil"/>
              <w:right w:val="nil"/>
            </w:tcBorders>
            <w:shd w:val="clear" w:color="000000" w:fill="FFFFFF"/>
            <w:vAlign w:val="bottom"/>
            <w:hideMark/>
          </w:tcPr>
          <w:p w14:paraId="7F544C59"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Tablo 6: Lojistik regresyon yöntemi analiz sonuçları, bağımlı değişken: Ölüm oranları</w:t>
            </w:r>
          </w:p>
        </w:tc>
      </w:tr>
      <w:tr w:rsidR="00AE5E6C" w:rsidRPr="00164238" w14:paraId="6AA1084C" w14:textId="77777777" w:rsidTr="00682CBF">
        <w:trPr>
          <w:trHeight w:val="288"/>
        </w:trPr>
        <w:tc>
          <w:tcPr>
            <w:tcW w:w="3449" w:type="dxa"/>
            <w:tcBorders>
              <w:top w:val="single" w:sz="4" w:space="0" w:color="auto"/>
              <w:left w:val="nil"/>
              <w:bottom w:val="single" w:sz="4" w:space="0" w:color="auto"/>
              <w:right w:val="nil"/>
            </w:tcBorders>
            <w:shd w:val="clear" w:color="000000" w:fill="FFFFFF"/>
            <w:noWrap/>
            <w:vAlign w:val="bottom"/>
            <w:hideMark/>
          </w:tcPr>
          <w:p w14:paraId="46605C7A"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c>
          <w:tcPr>
            <w:tcW w:w="1196" w:type="dxa"/>
            <w:tcBorders>
              <w:top w:val="single" w:sz="4" w:space="0" w:color="auto"/>
              <w:left w:val="nil"/>
              <w:bottom w:val="single" w:sz="4" w:space="0" w:color="auto"/>
              <w:right w:val="nil"/>
            </w:tcBorders>
            <w:shd w:val="clear" w:color="000000" w:fill="FFFFFF"/>
            <w:noWrap/>
            <w:vAlign w:val="bottom"/>
            <w:hideMark/>
          </w:tcPr>
          <w:p w14:paraId="79C89F2A"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Katsayı</w:t>
            </w:r>
          </w:p>
        </w:tc>
        <w:tc>
          <w:tcPr>
            <w:tcW w:w="1973" w:type="dxa"/>
            <w:tcBorders>
              <w:top w:val="single" w:sz="4" w:space="0" w:color="auto"/>
              <w:left w:val="nil"/>
              <w:bottom w:val="single" w:sz="4" w:space="0" w:color="auto"/>
              <w:right w:val="nil"/>
            </w:tcBorders>
            <w:shd w:val="clear" w:color="000000" w:fill="FFFFFF"/>
            <w:noWrap/>
            <w:vAlign w:val="bottom"/>
            <w:hideMark/>
          </w:tcPr>
          <w:p w14:paraId="208F0F36"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standart sapma</w:t>
            </w:r>
          </w:p>
        </w:tc>
        <w:tc>
          <w:tcPr>
            <w:tcW w:w="1082" w:type="dxa"/>
            <w:tcBorders>
              <w:top w:val="single" w:sz="4" w:space="0" w:color="auto"/>
              <w:left w:val="nil"/>
              <w:bottom w:val="single" w:sz="4" w:space="0" w:color="auto"/>
              <w:right w:val="nil"/>
            </w:tcBorders>
            <w:shd w:val="clear" w:color="000000" w:fill="FFFFFF"/>
            <w:noWrap/>
            <w:vAlign w:val="bottom"/>
            <w:hideMark/>
          </w:tcPr>
          <w:p w14:paraId="2B475553"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p-değeri</w:t>
            </w:r>
          </w:p>
        </w:tc>
      </w:tr>
      <w:tr w:rsidR="00AE5E6C" w:rsidRPr="00164238" w14:paraId="35D44879" w14:textId="77777777" w:rsidTr="00682CBF">
        <w:trPr>
          <w:trHeight w:val="288"/>
        </w:trPr>
        <w:tc>
          <w:tcPr>
            <w:tcW w:w="3449" w:type="dxa"/>
            <w:tcBorders>
              <w:top w:val="nil"/>
              <w:left w:val="nil"/>
              <w:bottom w:val="nil"/>
              <w:right w:val="nil"/>
            </w:tcBorders>
            <w:shd w:val="clear" w:color="000000" w:fill="FFFFFF"/>
            <w:noWrap/>
            <w:vAlign w:val="bottom"/>
            <w:hideMark/>
          </w:tcPr>
          <w:p w14:paraId="3EC83FD3"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Sabit</w:t>
            </w:r>
          </w:p>
        </w:tc>
        <w:tc>
          <w:tcPr>
            <w:tcW w:w="1196" w:type="dxa"/>
            <w:tcBorders>
              <w:top w:val="nil"/>
              <w:left w:val="nil"/>
              <w:bottom w:val="nil"/>
              <w:right w:val="nil"/>
            </w:tcBorders>
            <w:shd w:val="clear" w:color="000000" w:fill="FFFFFF"/>
            <w:noWrap/>
            <w:vAlign w:val="bottom"/>
            <w:hideMark/>
          </w:tcPr>
          <w:p w14:paraId="234550EE"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-5.428</w:t>
            </w:r>
          </w:p>
        </w:tc>
        <w:tc>
          <w:tcPr>
            <w:tcW w:w="1973" w:type="dxa"/>
            <w:tcBorders>
              <w:top w:val="nil"/>
              <w:left w:val="nil"/>
              <w:bottom w:val="nil"/>
              <w:right w:val="nil"/>
            </w:tcBorders>
            <w:shd w:val="clear" w:color="000000" w:fill="FFFFFF"/>
            <w:noWrap/>
            <w:vAlign w:val="bottom"/>
            <w:hideMark/>
          </w:tcPr>
          <w:p w14:paraId="353E74AE"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8.981</w:t>
            </w:r>
          </w:p>
        </w:tc>
        <w:tc>
          <w:tcPr>
            <w:tcW w:w="1082" w:type="dxa"/>
            <w:tcBorders>
              <w:top w:val="nil"/>
              <w:left w:val="nil"/>
              <w:bottom w:val="nil"/>
              <w:right w:val="nil"/>
            </w:tcBorders>
            <w:shd w:val="clear" w:color="000000" w:fill="FFFFFF"/>
            <w:noWrap/>
            <w:vAlign w:val="bottom"/>
            <w:hideMark/>
          </w:tcPr>
          <w:p w14:paraId="380F1639"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0.556</w:t>
            </w:r>
          </w:p>
        </w:tc>
      </w:tr>
      <w:tr w:rsidR="00AE5E6C" w:rsidRPr="00164238" w14:paraId="477F0D2C" w14:textId="77777777" w:rsidTr="00682CBF">
        <w:trPr>
          <w:trHeight w:val="288"/>
        </w:trPr>
        <w:tc>
          <w:tcPr>
            <w:tcW w:w="3449" w:type="dxa"/>
            <w:tcBorders>
              <w:top w:val="nil"/>
              <w:left w:val="nil"/>
              <w:bottom w:val="nil"/>
              <w:right w:val="nil"/>
            </w:tcBorders>
            <w:shd w:val="clear" w:color="000000" w:fill="FFFFFF"/>
            <w:noWrap/>
            <w:vAlign w:val="bottom"/>
            <w:hideMark/>
          </w:tcPr>
          <w:p w14:paraId="2BED138A"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Obezite</w:t>
            </w:r>
          </w:p>
        </w:tc>
        <w:tc>
          <w:tcPr>
            <w:tcW w:w="1196" w:type="dxa"/>
            <w:tcBorders>
              <w:top w:val="nil"/>
              <w:left w:val="nil"/>
              <w:bottom w:val="nil"/>
              <w:right w:val="nil"/>
            </w:tcBorders>
            <w:shd w:val="clear" w:color="000000" w:fill="FFFFFF"/>
            <w:noWrap/>
            <w:vAlign w:val="bottom"/>
            <w:hideMark/>
          </w:tcPr>
          <w:p w14:paraId="411356D8"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-0.026</w:t>
            </w:r>
          </w:p>
        </w:tc>
        <w:tc>
          <w:tcPr>
            <w:tcW w:w="1973" w:type="dxa"/>
            <w:tcBorders>
              <w:top w:val="nil"/>
              <w:left w:val="nil"/>
              <w:bottom w:val="nil"/>
              <w:right w:val="nil"/>
            </w:tcBorders>
            <w:shd w:val="clear" w:color="000000" w:fill="FFFFFF"/>
            <w:noWrap/>
            <w:vAlign w:val="bottom"/>
            <w:hideMark/>
          </w:tcPr>
          <w:p w14:paraId="1DF781C6"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0.055</w:t>
            </w:r>
          </w:p>
        </w:tc>
        <w:tc>
          <w:tcPr>
            <w:tcW w:w="1082" w:type="dxa"/>
            <w:tcBorders>
              <w:top w:val="nil"/>
              <w:left w:val="nil"/>
              <w:bottom w:val="nil"/>
              <w:right w:val="nil"/>
            </w:tcBorders>
            <w:shd w:val="clear" w:color="000000" w:fill="FFFFFF"/>
            <w:noWrap/>
            <w:vAlign w:val="bottom"/>
            <w:hideMark/>
          </w:tcPr>
          <w:p w14:paraId="3B3A5296"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0.643</w:t>
            </w:r>
          </w:p>
        </w:tc>
      </w:tr>
      <w:tr w:rsidR="00AE5E6C" w:rsidRPr="00164238" w14:paraId="57A07BFE" w14:textId="77777777" w:rsidTr="00682CBF">
        <w:trPr>
          <w:trHeight w:val="288"/>
        </w:trPr>
        <w:tc>
          <w:tcPr>
            <w:tcW w:w="3449" w:type="dxa"/>
            <w:tcBorders>
              <w:top w:val="nil"/>
              <w:left w:val="nil"/>
              <w:bottom w:val="nil"/>
              <w:right w:val="nil"/>
            </w:tcBorders>
            <w:shd w:val="clear" w:color="000000" w:fill="FFFFFF"/>
            <w:noWrap/>
            <w:vAlign w:val="bottom"/>
            <w:hideMark/>
          </w:tcPr>
          <w:p w14:paraId="7029322A"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Gini katsayısı</w:t>
            </w:r>
          </w:p>
        </w:tc>
        <w:tc>
          <w:tcPr>
            <w:tcW w:w="1196" w:type="dxa"/>
            <w:tcBorders>
              <w:top w:val="nil"/>
              <w:left w:val="nil"/>
              <w:bottom w:val="nil"/>
              <w:right w:val="nil"/>
            </w:tcBorders>
            <w:shd w:val="clear" w:color="000000" w:fill="FFFFFF"/>
            <w:noWrap/>
            <w:vAlign w:val="bottom"/>
            <w:hideMark/>
          </w:tcPr>
          <w:p w14:paraId="777665A6"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0.761</w:t>
            </w:r>
          </w:p>
        </w:tc>
        <w:tc>
          <w:tcPr>
            <w:tcW w:w="1973" w:type="dxa"/>
            <w:tcBorders>
              <w:top w:val="nil"/>
              <w:left w:val="nil"/>
              <w:bottom w:val="nil"/>
              <w:right w:val="nil"/>
            </w:tcBorders>
            <w:shd w:val="clear" w:color="000000" w:fill="FFFFFF"/>
            <w:noWrap/>
            <w:vAlign w:val="bottom"/>
            <w:hideMark/>
          </w:tcPr>
          <w:p w14:paraId="14267CD4"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22.91</w:t>
            </w:r>
          </w:p>
        </w:tc>
        <w:tc>
          <w:tcPr>
            <w:tcW w:w="1082" w:type="dxa"/>
            <w:tcBorders>
              <w:top w:val="nil"/>
              <w:left w:val="nil"/>
              <w:bottom w:val="nil"/>
              <w:right w:val="nil"/>
            </w:tcBorders>
            <w:shd w:val="clear" w:color="000000" w:fill="FFFFFF"/>
            <w:noWrap/>
            <w:vAlign w:val="bottom"/>
            <w:hideMark/>
          </w:tcPr>
          <w:p w14:paraId="238F9DAB"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0.972</w:t>
            </w:r>
          </w:p>
        </w:tc>
      </w:tr>
      <w:tr w:rsidR="00AE5E6C" w:rsidRPr="00164238" w14:paraId="092F8C74" w14:textId="77777777" w:rsidTr="00682CBF">
        <w:trPr>
          <w:trHeight w:val="288"/>
        </w:trPr>
        <w:tc>
          <w:tcPr>
            <w:tcW w:w="3449" w:type="dxa"/>
            <w:tcBorders>
              <w:top w:val="nil"/>
              <w:left w:val="nil"/>
              <w:bottom w:val="nil"/>
              <w:right w:val="nil"/>
            </w:tcBorders>
            <w:shd w:val="clear" w:color="000000" w:fill="FFFFFF"/>
            <w:noWrap/>
            <w:vAlign w:val="bottom"/>
            <w:hideMark/>
          </w:tcPr>
          <w:p w14:paraId="42C19511"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Hane halkı gelir düzeyi</w:t>
            </w:r>
          </w:p>
        </w:tc>
        <w:tc>
          <w:tcPr>
            <w:tcW w:w="1196" w:type="dxa"/>
            <w:tcBorders>
              <w:top w:val="nil"/>
              <w:left w:val="nil"/>
              <w:bottom w:val="nil"/>
              <w:right w:val="nil"/>
            </w:tcBorders>
            <w:shd w:val="clear" w:color="000000" w:fill="FFFFFF"/>
            <w:noWrap/>
            <w:vAlign w:val="bottom"/>
            <w:hideMark/>
          </w:tcPr>
          <w:p w14:paraId="17808632"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0.000</w:t>
            </w:r>
          </w:p>
        </w:tc>
        <w:tc>
          <w:tcPr>
            <w:tcW w:w="1973" w:type="dxa"/>
            <w:tcBorders>
              <w:top w:val="nil"/>
              <w:left w:val="nil"/>
              <w:bottom w:val="nil"/>
              <w:right w:val="nil"/>
            </w:tcBorders>
            <w:shd w:val="clear" w:color="000000" w:fill="FFFFFF"/>
            <w:noWrap/>
            <w:vAlign w:val="bottom"/>
            <w:hideMark/>
          </w:tcPr>
          <w:p w14:paraId="38A8D78C"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0.000</w:t>
            </w:r>
          </w:p>
        </w:tc>
        <w:tc>
          <w:tcPr>
            <w:tcW w:w="1082" w:type="dxa"/>
            <w:tcBorders>
              <w:top w:val="nil"/>
              <w:left w:val="nil"/>
              <w:bottom w:val="nil"/>
              <w:right w:val="nil"/>
            </w:tcBorders>
            <w:shd w:val="clear" w:color="000000" w:fill="FFFFFF"/>
            <w:noWrap/>
            <w:vAlign w:val="bottom"/>
            <w:hideMark/>
          </w:tcPr>
          <w:p w14:paraId="4061F638"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00.744</w:t>
            </w:r>
          </w:p>
        </w:tc>
      </w:tr>
      <w:tr w:rsidR="00AE5E6C" w:rsidRPr="00164238" w14:paraId="0A591569" w14:textId="77777777" w:rsidTr="00682CBF">
        <w:trPr>
          <w:trHeight w:val="288"/>
        </w:trPr>
        <w:tc>
          <w:tcPr>
            <w:tcW w:w="3449" w:type="dxa"/>
            <w:tcBorders>
              <w:top w:val="nil"/>
              <w:left w:val="nil"/>
              <w:bottom w:val="nil"/>
              <w:right w:val="nil"/>
            </w:tcBorders>
            <w:shd w:val="clear" w:color="000000" w:fill="FFFFFF"/>
            <w:noWrap/>
            <w:vAlign w:val="bottom"/>
            <w:hideMark/>
          </w:tcPr>
          <w:p w14:paraId="002BE3E9"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xml:space="preserve">Sağlık harcamaları </w:t>
            </w:r>
          </w:p>
        </w:tc>
        <w:tc>
          <w:tcPr>
            <w:tcW w:w="1196" w:type="dxa"/>
            <w:tcBorders>
              <w:top w:val="nil"/>
              <w:left w:val="nil"/>
              <w:bottom w:val="nil"/>
              <w:right w:val="nil"/>
            </w:tcBorders>
            <w:shd w:val="clear" w:color="000000" w:fill="FFFFFF"/>
            <w:noWrap/>
            <w:vAlign w:val="bottom"/>
            <w:hideMark/>
          </w:tcPr>
          <w:p w14:paraId="2ED303BD"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0.000</w:t>
            </w:r>
          </w:p>
        </w:tc>
        <w:tc>
          <w:tcPr>
            <w:tcW w:w="1973" w:type="dxa"/>
            <w:tcBorders>
              <w:top w:val="nil"/>
              <w:left w:val="nil"/>
              <w:bottom w:val="nil"/>
              <w:right w:val="nil"/>
            </w:tcBorders>
            <w:shd w:val="clear" w:color="000000" w:fill="FFFFFF"/>
            <w:noWrap/>
            <w:vAlign w:val="bottom"/>
            <w:hideMark/>
          </w:tcPr>
          <w:p w14:paraId="704335F0"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0.000</w:t>
            </w:r>
          </w:p>
        </w:tc>
        <w:tc>
          <w:tcPr>
            <w:tcW w:w="1082" w:type="dxa"/>
            <w:tcBorders>
              <w:top w:val="nil"/>
              <w:left w:val="nil"/>
              <w:bottom w:val="nil"/>
              <w:right w:val="nil"/>
            </w:tcBorders>
            <w:shd w:val="clear" w:color="000000" w:fill="FFFFFF"/>
            <w:noWrap/>
            <w:vAlign w:val="bottom"/>
            <w:hideMark/>
          </w:tcPr>
          <w:p w14:paraId="5D791CF7"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0.824</w:t>
            </w:r>
          </w:p>
        </w:tc>
      </w:tr>
      <w:tr w:rsidR="00AE5E6C" w:rsidRPr="00164238" w14:paraId="172A5464" w14:textId="77777777" w:rsidTr="00682CBF">
        <w:trPr>
          <w:trHeight w:val="288"/>
        </w:trPr>
        <w:tc>
          <w:tcPr>
            <w:tcW w:w="3449" w:type="dxa"/>
            <w:tcBorders>
              <w:top w:val="nil"/>
              <w:left w:val="nil"/>
              <w:bottom w:val="nil"/>
              <w:right w:val="nil"/>
            </w:tcBorders>
            <w:shd w:val="clear" w:color="000000" w:fill="FFFFFF"/>
            <w:noWrap/>
            <w:vAlign w:val="bottom"/>
            <w:hideMark/>
          </w:tcPr>
          <w:p w14:paraId="16972348"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Doktor sayısı (1000 kişi için)</w:t>
            </w:r>
          </w:p>
        </w:tc>
        <w:tc>
          <w:tcPr>
            <w:tcW w:w="1196" w:type="dxa"/>
            <w:tcBorders>
              <w:top w:val="nil"/>
              <w:left w:val="nil"/>
              <w:bottom w:val="nil"/>
              <w:right w:val="nil"/>
            </w:tcBorders>
            <w:shd w:val="clear" w:color="000000" w:fill="FFFFFF"/>
            <w:noWrap/>
            <w:vAlign w:val="bottom"/>
            <w:hideMark/>
          </w:tcPr>
          <w:p w14:paraId="3F31353B"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-0.095</w:t>
            </w:r>
          </w:p>
        </w:tc>
        <w:tc>
          <w:tcPr>
            <w:tcW w:w="1973" w:type="dxa"/>
            <w:tcBorders>
              <w:top w:val="nil"/>
              <w:left w:val="nil"/>
              <w:bottom w:val="nil"/>
              <w:right w:val="nil"/>
            </w:tcBorders>
            <w:shd w:val="clear" w:color="000000" w:fill="FFFFFF"/>
            <w:noWrap/>
            <w:vAlign w:val="bottom"/>
            <w:hideMark/>
          </w:tcPr>
          <w:p w14:paraId="5DD3FB7D"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0.739</w:t>
            </w:r>
          </w:p>
        </w:tc>
        <w:tc>
          <w:tcPr>
            <w:tcW w:w="1082" w:type="dxa"/>
            <w:tcBorders>
              <w:top w:val="nil"/>
              <w:left w:val="nil"/>
              <w:bottom w:val="nil"/>
              <w:right w:val="nil"/>
            </w:tcBorders>
            <w:shd w:val="clear" w:color="000000" w:fill="FFFFFF"/>
            <w:noWrap/>
            <w:vAlign w:val="bottom"/>
            <w:hideMark/>
          </w:tcPr>
          <w:p w14:paraId="2863C932"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0.899</w:t>
            </w:r>
          </w:p>
        </w:tc>
      </w:tr>
      <w:tr w:rsidR="00AE5E6C" w:rsidRPr="00164238" w14:paraId="5D9EBCB0" w14:textId="77777777" w:rsidTr="00682CBF">
        <w:trPr>
          <w:trHeight w:val="288"/>
        </w:trPr>
        <w:tc>
          <w:tcPr>
            <w:tcW w:w="3449" w:type="dxa"/>
            <w:tcBorders>
              <w:top w:val="nil"/>
              <w:left w:val="nil"/>
              <w:bottom w:val="nil"/>
              <w:right w:val="nil"/>
            </w:tcBorders>
            <w:shd w:val="clear" w:color="000000" w:fill="FFFFFF"/>
            <w:noWrap/>
            <w:vAlign w:val="bottom"/>
            <w:hideMark/>
          </w:tcPr>
          <w:p w14:paraId="4DF42FE8"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İşsizlik oranı</w:t>
            </w:r>
          </w:p>
        </w:tc>
        <w:tc>
          <w:tcPr>
            <w:tcW w:w="1196" w:type="dxa"/>
            <w:tcBorders>
              <w:top w:val="nil"/>
              <w:left w:val="nil"/>
              <w:bottom w:val="nil"/>
              <w:right w:val="nil"/>
            </w:tcBorders>
            <w:shd w:val="clear" w:color="000000" w:fill="FFFFFF"/>
            <w:noWrap/>
            <w:vAlign w:val="bottom"/>
            <w:hideMark/>
          </w:tcPr>
          <w:p w14:paraId="2BDEBE3C"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0.315***</w:t>
            </w:r>
          </w:p>
        </w:tc>
        <w:tc>
          <w:tcPr>
            <w:tcW w:w="1973" w:type="dxa"/>
            <w:tcBorders>
              <w:top w:val="nil"/>
              <w:left w:val="nil"/>
              <w:bottom w:val="nil"/>
              <w:right w:val="nil"/>
            </w:tcBorders>
            <w:shd w:val="clear" w:color="000000" w:fill="FFFFFF"/>
            <w:noWrap/>
            <w:vAlign w:val="bottom"/>
            <w:hideMark/>
          </w:tcPr>
          <w:p w14:paraId="1B34CD4E"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0.211</w:t>
            </w:r>
          </w:p>
        </w:tc>
        <w:tc>
          <w:tcPr>
            <w:tcW w:w="1082" w:type="dxa"/>
            <w:tcBorders>
              <w:top w:val="nil"/>
              <w:left w:val="nil"/>
              <w:bottom w:val="nil"/>
              <w:right w:val="nil"/>
            </w:tcBorders>
            <w:shd w:val="clear" w:color="000000" w:fill="FFFFFF"/>
            <w:noWrap/>
            <w:vAlign w:val="bottom"/>
            <w:hideMark/>
          </w:tcPr>
          <w:p w14:paraId="53B4E414"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0.08</w:t>
            </w:r>
          </w:p>
        </w:tc>
      </w:tr>
      <w:tr w:rsidR="00AE5E6C" w:rsidRPr="00164238" w14:paraId="66D2678A" w14:textId="77777777" w:rsidTr="00682CBF">
        <w:trPr>
          <w:trHeight w:val="288"/>
        </w:trPr>
        <w:tc>
          <w:tcPr>
            <w:tcW w:w="3449" w:type="dxa"/>
            <w:tcBorders>
              <w:top w:val="nil"/>
              <w:left w:val="nil"/>
              <w:bottom w:val="nil"/>
              <w:right w:val="nil"/>
            </w:tcBorders>
            <w:shd w:val="clear" w:color="000000" w:fill="FFFFFF"/>
            <w:noWrap/>
            <w:vAlign w:val="bottom"/>
            <w:hideMark/>
          </w:tcPr>
          <w:p w14:paraId="2DB99B95" w14:textId="77777777" w:rsidR="00522634" w:rsidRPr="00164238" w:rsidRDefault="00522634" w:rsidP="00682CBF">
            <w:pPr>
              <w:spacing w:after="0" w:line="240" w:lineRule="auto"/>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c>
          <w:tcPr>
            <w:tcW w:w="1196" w:type="dxa"/>
            <w:tcBorders>
              <w:top w:val="nil"/>
              <w:left w:val="nil"/>
              <w:bottom w:val="nil"/>
              <w:right w:val="nil"/>
            </w:tcBorders>
            <w:shd w:val="clear" w:color="000000" w:fill="FFFFFF"/>
            <w:noWrap/>
            <w:vAlign w:val="bottom"/>
            <w:hideMark/>
          </w:tcPr>
          <w:p w14:paraId="44926F55"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c>
          <w:tcPr>
            <w:tcW w:w="1973" w:type="dxa"/>
            <w:tcBorders>
              <w:top w:val="nil"/>
              <w:left w:val="nil"/>
              <w:bottom w:val="nil"/>
              <w:right w:val="nil"/>
            </w:tcBorders>
            <w:shd w:val="clear" w:color="000000" w:fill="FFFFFF"/>
            <w:noWrap/>
            <w:vAlign w:val="bottom"/>
            <w:hideMark/>
          </w:tcPr>
          <w:p w14:paraId="40C5DF4E"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c>
          <w:tcPr>
            <w:tcW w:w="1082" w:type="dxa"/>
            <w:tcBorders>
              <w:top w:val="nil"/>
              <w:left w:val="nil"/>
              <w:bottom w:val="nil"/>
              <w:right w:val="nil"/>
            </w:tcBorders>
            <w:shd w:val="clear" w:color="000000" w:fill="FFFFFF"/>
            <w:noWrap/>
            <w:vAlign w:val="bottom"/>
            <w:hideMark/>
          </w:tcPr>
          <w:p w14:paraId="02147B7F"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r>
      <w:tr w:rsidR="00AE5E6C" w:rsidRPr="00164238" w14:paraId="444D6B83" w14:textId="77777777" w:rsidTr="00682CBF">
        <w:trPr>
          <w:trHeight w:val="288"/>
        </w:trPr>
        <w:tc>
          <w:tcPr>
            <w:tcW w:w="3449" w:type="dxa"/>
            <w:tcBorders>
              <w:top w:val="nil"/>
              <w:left w:val="nil"/>
              <w:bottom w:val="single" w:sz="4" w:space="0" w:color="auto"/>
              <w:right w:val="nil"/>
            </w:tcBorders>
            <w:shd w:val="clear" w:color="000000" w:fill="FFFFFF"/>
            <w:noWrap/>
            <w:vAlign w:val="bottom"/>
            <w:hideMark/>
          </w:tcPr>
          <w:p w14:paraId="30DB0003" w14:textId="77777777" w:rsidR="00522634" w:rsidRPr="00164238" w:rsidRDefault="00E839E1" w:rsidP="00682CBF">
            <w:pPr>
              <w:spacing w:after="0" w:line="240" w:lineRule="auto"/>
              <w:rPr>
                <w:rFonts w:ascii="Times New Roman" w:eastAsia="Times New Roman" w:hAnsi="Times New Roman" w:cs="Times New Roman"/>
                <w:color w:val="000000" w:themeColor="text1"/>
                <w:sz w:val="20"/>
                <w:szCs w:val="20"/>
                <w:lang w:eastAsia="tr-TR"/>
              </w:rPr>
            </w:pPr>
            <m:oMathPara>
              <m:oMath>
                <m:sSup>
                  <m:sSupPr>
                    <m:ctrlPr>
                      <w:rPr>
                        <w:rFonts w:ascii="Cambria Math" w:eastAsia="Times New Roman" w:hAnsi="Cambria Math" w:cs="Times New Roman"/>
                        <w:i/>
                        <w:color w:val="000000" w:themeColor="text1"/>
                        <w:sz w:val="20"/>
                        <w:szCs w:val="20"/>
                        <w:lang w:eastAsia="tr-TR"/>
                      </w:rPr>
                    </m:ctrlPr>
                  </m:sSupPr>
                  <m:e>
                    <m:r>
                      <w:rPr>
                        <w:rFonts w:ascii="Cambria Math" w:eastAsia="Times New Roman" w:hAnsi="Cambria Math" w:cs="Times New Roman"/>
                        <w:color w:val="000000" w:themeColor="text1"/>
                        <w:sz w:val="20"/>
                        <w:szCs w:val="20"/>
                        <w:lang w:eastAsia="tr-TR"/>
                      </w:rPr>
                      <m:t>R</m:t>
                    </m:r>
                  </m:e>
                  <m:sup>
                    <m:r>
                      <w:rPr>
                        <w:rFonts w:ascii="Cambria Math" w:eastAsia="Times New Roman" w:hAnsi="Cambria Math" w:cs="Times New Roman"/>
                        <w:color w:val="000000" w:themeColor="text1"/>
                        <w:sz w:val="20"/>
                        <w:szCs w:val="20"/>
                        <w:lang w:eastAsia="tr-TR"/>
                      </w:rPr>
                      <m:t>2</m:t>
                    </m:r>
                  </m:sup>
                </m:sSup>
              </m:oMath>
            </m:oMathPara>
          </w:p>
        </w:tc>
        <w:tc>
          <w:tcPr>
            <w:tcW w:w="1196" w:type="dxa"/>
            <w:tcBorders>
              <w:top w:val="nil"/>
              <w:left w:val="nil"/>
              <w:bottom w:val="single" w:sz="4" w:space="0" w:color="auto"/>
              <w:right w:val="nil"/>
            </w:tcBorders>
            <w:shd w:val="clear" w:color="000000" w:fill="FFFFFF"/>
            <w:noWrap/>
            <w:vAlign w:val="bottom"/>
            <w:hideMark/>
          </w:tcPr>
          <w:p w14:paraId="5C9C4CA1"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0.276</w:t>
            </w:r>
          </w:p>
        </w:tc>
        <w:tc>
          <w:tcPr>
            <w:tcW w:w="1973" w:type="dxa"/>
            <w:tcBorders>
              <w:top w:val="nil"/>
              <w:left w:val="nil"/>
              <w:bottom w:val="single" w:sz="4" w:space="0" w:color="auto"/>
              <w:right w:val="nil"/>
            </w:tcBorders>
            <w:shd w:val="clear" w:color="000000" w:fill="FFFFFF"/>
            <w:noWrap/>
            <w:vAlign w:val="bottom"/>
            <w:hideMark/>
          </w:tcPr>
          <w:p w14:paraId="733498A6"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c>
          <w:tcPr>
            <w:tcW w:w="1082" w:type="dxa"/>
            <w:tcBorders>
              <w:top w:val="nil"/>
              <w:left w:val="nil"/>
              <w:bottom w:val="single" w:sz="4" w:space="0" w:color="auto"/>
              <w:right w:val="nil"/>
            </w:tcBorders>
            <w:shd w:val="clear" w:color="000000" w:fill="FFFFFF"/>
            <w:noWrap/>
            <w:vAlign w:val="bottom"/>
            <w:hideMark/>
          </w:tcPr>
          <w:p w14:paraId="43D1022E" w14:textId="77777777" w:rsidR="00522634" w:rsidRPr="00164238" w:rsidRDefault="00522634" w:rsidP="00682CBF">
            <w:pPr>
              <w:spacing w:after="0" w:line="240" w:lineRule="auto"/>
              <w:jc w:val="right"/>
              <w:rPr>
                <w:rFonts w:ascii="Times New Roman" w:eastAsia="Times New Roman" w:hAnsi="Times New Roman" w:cs="Times New Roman"/>
                <w:color w:val="000000" w:themeColor="text1"/>
                <w:sz w:val="20"/>
                <w:szCs w:val="20"/>
                <w:lang w:eastAsia="tr-TR"/>
              </w:rPr>
            </w:pPr>
            <w:r w:rsidRPr="00164238">
              <w:rPr>
                <w:rFonts w:ascii="Times New Roman" w:eastAsia="Times New Roman" w:hAnsi="Times New Roman" w:cs="Times New Roman"/>
                <w:color w:val="000000" w:themeColor="text1"/>
                <w:sz w:val="20"/>
                <w:szCs w:val="20"/>
                <w:lang w:eastAsia="tr-TR"/>
              </w:rPr>
              <w:t> </w:t>
            </w:r>
          </w:p>
        </w:tc>
      </w:tr>
    </w:tbl>
    <w:p w14:paraId="69226165" w14:textId="77777777" w:rsidR="00522634" w:rsidRPr="00164238" w:rsidRDefault="00522634" w:rsidP="00522634">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Not: *%10, ** %5 ve *** %1 anlamlılık seviyelerini ifade etmektedir.</w:t>
      </w:r>
    </w:p>
    <w:p w14:paraId="04F0A1E6" w14:textId="77777777" w:rsidR="00522634" w:rsidRPr="00164238" w:rsidRDefault="00522634" w:rsidP="00522634">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Grafik 1: OECD ülkeleri işsizlik oranları (2006-2020)</w:t>
      </w:r>
    </w:p>
    <w:p w14:paraId="1E7FA303" w14:textId="77777777" w:rsidR="00522634" w:rsidRPr="00164238" w:rsidRDefault="00522634" w:rsidP="00522634">
      <w:pPr>
        <w:jc w:val="both"/>
        <w:rPr>
          <w:rFonts w:ascii="Times New Roman" w:hAnsi="Times New Roman" w:cs="Times New Roman"/>
          <w:color w:val="000000" w:themeColor="text1"/>
          <w:sz w:val="20"/>
          <w:szCs w:val="20"/>
        </w:rPr>
      </w:pPr>
      <w:r w:rsidRPr="00164238">
        <w:rPr>
          <w:rFonts w:ascii="Times New Roman" w:hAnsi="Times New Roman" w:cs="Times New Roman"/>
          <w:noProof/>
          <w:color w:val="000000" w:themeColor="text1"/>
          <w:sz w:val="20"/>
          <w:szCs w:val="20"/>
          <w:lang w:val="en-US"/>
        </w:rPr>
        <w:lastRenderedPageBreak/>
        <w:drawing>
          <wp:inline distT="0" distB="0" distL="0" distR="0" wp14:anchorId="6C0F5781" wp14:editId="239CE1AE">
            <wp:extent cx="6497699" cy="3314700"/>
            <wp:effectExtent l="0" t="0" r="0" b="0"/>
            <wp:docPr id="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7"/>
                    <a:srcRect l="35391" t="31264" r="22179" b="30256"/>
                    <a:stretch/>
                  </pic:blipFill>
                  <pic:spPr bwMode="auto">
                    <a:xfrm>
                      <a:off x="0" y="0"/>
                      <a:ext cx="6521709" cy="3326949"/>
                    </a:xfrm>
                    <a:prstGeom prst="rect">
                      <a:avLst/>
                    </a:prstGeom>
                    <a:ln>
                      <a:noFill/>
                    </a:ln>
                    <a:extLst>
                      <a:ext uri="{53640926-AAD7-44D8-BBD7-CCE9431645EC}">
                        <a14:shadowObscured xmlns:a14="http://schemas.microsoft.com/office/drawing/2010/main"/>
                      </a:ext>
                    </a:extLst>
                  </pic:spPr>
                </pic:pic>
              </a:graphicData>
            </a:graphic>
          </wp:inline>
        </w:drawing>
      </w:r>
    </w:p>
    <w:p w14:paraId="219D753F" w14:textId="77777777" w:rsidR="00522634" w:rsidRPr="00164238" w:rsidRDefault="00522634" w:rsidP="00522634">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Kaynak: Organisation for Economic Co-operation and Development (OECD), 2020</w:t>
      </w:r>
    </w:p>
    <w:p w14:paraId="52784DCF" w14:textId="77777777" w:rsidR="00C95516" w:rsidRDefault="00C95516" w:rsidP="00AE6EC7">
      <w:pPr>
        <w:pStyle w:val="KonuBal"/>
        <w:spacing w:before="1440" w:after="600"/>
        <w:jc w:val="left"/>
        <w:outlineLvl w:val="0"/>
        <w:rPr>
          <w:color w:val="000000" w:themeColor="text1"/>
          <w:szCs w:val="20"/>
          <w:lang w:val="tr-TR"/>
        </w:rPr>
      </w:pPr>
      <w:bookmarkStart w:id="180" w:name="_Toc72961757"/>
    </w:p>
    <w:p w14:paraId="59AADB01" w14:textId="77777777" w:rsidR="00C95516" w:rsidRDefault="00C95516" w:rsidP="00AE6EC7">
      <w:pPr>
        <w:pStyle w:val="KonuBal"/>
        <w:spacing w:before="1440" w:after="600"/>
        <w:jc w:val="left"/>
        <w:outlineLvl w:val="0"/>
        <w:rPr>
          <w:color w:val="000000" w:themeColor="text1"/>
          <w:szCs w:val="20"/>
          <w:lang w:val="tr-TR"/>
        </w:rPr>
      </w:pPr>
    </w:p>
    <w:p w14:paraId="6F733EEC" w14:textId="77777777" w:rsidR="00C95516" w:rsidRDefault="00C95516" w:rsidP="00AE6EC7">
      <w:pPr>
        <w:pStyle w:val="KonuBal"/>
        <w:spacing w:before="1440" w:after="600"/>
        <w:jc w:val="left"/>
        <w:outlineLvl w:val="0"/>
        <w:rPr>
          <w:color w:val="000000" w:themeColor="text1"/>
          <w:szCs w:val="20"/>
          <w:lang w:val="tr-TR"/>
        </w:rPr>
      </w:pPr>
    </w:p>
    <w:p w14:paraId="27443E78" w14:textId="77777777" w:rsidR="00C95516" w:rsidRDefault="00C95516" w:rsidP="00AE6EC7">
      <w:pPr>
        <w:pStyle w:val="KonuBal"/>
        <w:spacing w:before="1440" w:after="600"/>
        <w:jc w:val="left"/>
        <w:outlineLvl w:val="0"/>
        <w:rPr>
          <w:color w:val="000000" w:themeColor="text1"/>
          <w:szCs w:val="20"/>
          <w:lang w:val="tr-TR"/>
        </w:rPr>
      </w:pPr>
    </w:p>
    <w:p w14:paraId="5867167A" w14:textId="69A62E1F" w:rsidR="005633F5" w:rsidRPr="00164238" w:rsidRDefault="001D67F2" w:rsidP="00AE6EC7">
      <w:pPr>
        <w:pStyle w:val="KonuBal"/>
        <w:spacing w:before="1440" w:after="600"/>
        <w:jc w:val="left"/>
        <w:outlineLvl w:val="0"/>
        <w:rPr>
          <w:color w:val="000000" w:themeColor="text1"/>
          <w:szCs w:val="20"/>
          <w:lang w:val="tr-TR"/>
        </w:rPr>
      </w:pPr>
      <w:r w:rsidRPr="00164238">
        <w:rPr>
          <w:color w:val="000000" w:themeColor="text1"/>
          <w:szCs w:val="20"/>
          <w:lang w:val="tr-TR"/>
        </w:rPr>
        <w:lastRenderedPageBreak/>
        <w:t>ALGILANAN COVİD-19 RİSKİ VE TEMASSIZ ÖDEME KULLANIM NİYETİ ARASINDAKİ İLİŞKİNİN İNCELENMESİ</w:t>
      </w:r>
      <w:bookmarkEnd w:id="180"/>
    </w:p>
    <w:p w14:paraId="5578D359" w14:textId="77777777" w:rsidR="00EF0A33" w:rsidRPr="00164238" w:rsidRDefault="00EF0A33" w:rsidP="00EF0A33">
      <w:pPr>
        <w:pStyle w:val="Balk2"/>
        <w:rPr>
          <w:rFonts w:ascii="Times New Roman" w:eastAsia="Arial" w:hAnsi="Times New Roman" w:cs="Times New Roman"/>
          <w:i w:val="0"/>
          <w:color w:val="000000" w:themeColor="text1"/>
          <w:sz w:val="20"/>
          <w:szCs w:val="20"/>
        </w:rPr>
      </w:pPr>
      <w:bookmarkStart w:id="181" w:name="_Toc72961758"/>
      <w:r w:rsidRPr="00164238">
        <w:rPr>
          <w:rStyle w:val="Balk2Char"/>
          <w:rFonts w:ascii="Times New Roman" w:hAnsi="Times New Roman" w:cs="Times New Roman"/>
          <w:color w:val="000000" w:themeColor="text1"/>
          <w:sz w:val="20"/>
          <w:szCs w:val="20"/>
        </w:rPr>
        <w:t>Dr. Öğr.Üyesi İlhami TUNCER</w:t>
      </w:r>
      <w:r w:rsidRPr="00164238">
        <w:rPr>
          <w:rFonts w:ascii="Times New Roman" w:eastAsia="Arial" w:hAnsi="Times New Roman" w:cs="Times New Roman"/>
          <w:b w:val="0"/>
          <w:color w:val="000000" w:themeColor="text1"/>
          <w:sz w:val="20"/>
          <w:szCs w:val="20"/>
        </w:rPr>
        <w:t>, Karamanoğlu Mehmetbey Üniversitesi, İktisadi ve İdari Bilimler Fakültesi,70200, Karaman, Türkiye</w:t>
      </w:r>
      <w:bookmarkEnd w:id="181"/>
    </w:p>
    <w:p w14:paraId="1750E3C3" w14:textId="77777777" w:rsidR="00EF0A33" w:rsidRPr="00164238" w:rsidRDefault="00EF0A33" w:rsidP="00EF0A33">
      <w:pPr>
        <w:jc w:val="both"/>
        <w:rPr>
          <w:rFonts w:ascii="Times New Roman" w:hAnsi="Times New Roman" w:cs="Times New Roman"/>
          <w:color w:val="000000" w:themeColor="text1"/>
          <w:sz w:val="20"/>
          <w:szCs w:val="20"/>
        </w:rPr>
      </w:pPr>
      <w:r w:rsidRPr="00164238">
        <w:rPr>
          <w:rFonts w:ascii="Times New Roman" w:eastAsia="Arial" w:hAnsi="Times New Roman" w:cs="Times New Roman"/>
          <w:i/>
          <w:color w:val="000000" w:themeColor="text1"/>
          <w:sz w:val="20"/>
          <w:szCs w:val="20"/>
        </w:rPr>
        <w:t xml:space="preserve">e-mail: </w:t>
      </w:r>
      <w:r w:rsidRPr="00164238">
        <w:rPr>
          <w:rFonts w:ascii="Times New Roman" w:eastAsia="Arial" w:hAnsi="Times New Roman" w:cs="Times New Roman"/>
          <w:i/>
          <w:color w:val="000000" w:themeColor="text1"/>
          <w:sz w:val="20"/>
          <w:szCs w:val="20"/>
          <w:u w:val="single"/>
        </w:rPr>
        <w:t>ituncer@kmu.edu.tr</w:t>
      </w:r>
      <w:r w:rsidRPr="00164238">
        <w:rPr>
          <w:rFonts w:ascii="Times New Roman" w:eastAsia="Arial" w:hAnsi="Times New Roman" w:cs="Times New Roman"/>
          <w:i/>
          <w:color w:val="000000" w:themeColor="text1"/>
          <w:sz w:val="20"/>
          <w:szCs w:val="20"/>
        </w:rPr>
        <w:t xml:space="preserve"> ORCID ID:</w:t>
      </w:r>
      <w:r w:rsidRPr="00164238">
        <w:rPr>
          <w:rFonts w:ascii="Times New Roman" w:hAnsi="Times New Roman" w:cs="Times New Roman"/>
          <w:color w:val="000000" w:themeColor="text1"/>
          <w:sz w:val="20"/>
          <w:szCs w:val="20"/>
          <w:shd w:val="clear" w:color="auto" w:fill="FFFFFF"/>
        </w:rPr>
        <w:t xml:space="preserve"> :0000-0002-6883-4461</w:t>
      </w:r>
    </w:p>
    <w:p w14:paraId="50832498" w14:textId="2AF226FD" w:rsidR="005633F5" w:rsidRPr="00164238" w:rsidRDefault="005633F5" w:rsidP="005633F5">
      <w:pPr>
        <w:spacing w:before="360"/>
        <w:ind w:firstLine="708"/>
        <w:rPr>
          <w:rFonts w:ascii="Times New Roman" w:hAnsi="Times New Roman" w:cs="Times New Roman"/>
          <w:b/>
          <w:bCs/>
          <w:color w:val="000000" w:themeColor="text1"/>
        </w:rPr>
      </w:pPr>
      <w:r w:rsidRPr="00164238">
        <w:rPr>
          <w:rFonts w:ascii="Times New Roman" w:hAnsi="Times New Roman" w:cs="Times New Roman"/>
          <w:b/>
          <w:bCs/>
          <w:color w:val="000000" w:themeColor="text1"/>
        </w:rPr>
        <w:t>Öz</w:t>
      </w:r>
    </w:p>
    <w:p w14:paraId="521FCD7C" w14:textId="77777777" w:rsidR="005633F5" w:rsidRPr="00164238" w:rsidRDefault="005633F5" w:rsidP="005633F5">
      <w:pPr>
        <w:spacing w:before="360"/>
        <w:ind w:firstLine="708"/>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Covid-19 salgını ile birlikte dünyada birçok alanda değişim yaşanmış ve yaşanmaya devam etmektedir. Benzer şekilde bu salgın tüketici davranışlarında da değişim yaşanmasına neden olmuştur. Özellikle salgının hızlı yayılım gösterebilme gücü bu değişimin tetiklenmesinde en büyük faktörlerden biri olduğu ifade edilebilmektedir. Literatür incelendiğinde tüketicinin covid-19 risk algısı ile ödeme yöntemleri arasındaki ilişki ile ilgili bir araştırmaya rastlanmamıştır. Dolayısıyla literatürdeki boşluk bu çalışmayı önemli kılmaktadır. Bu çalışmada tüketicilerin Covid-19 risk algısının temassız ödeme kullanım niyeti ile ilişkisinin araştırılması amaçlanmıştır. Bu noktadan hareketle algılanan Covid-19 riski, kullanım kolaylığı, algılanan yararlılık ve temassız ödeme kullanma niyeti arasındaki ilişki incelenmiştir. Bu ilişkiyi ampirik olarak test etmek için 242 katılımcıdan veriler elde edilmiştir. Bu veriler yapısal eşitlik modeli ile analiz edilmiştir.  Bu analiz bulgularına göre, algılanan Covid-19 riski ile algılanan yararlılık ve kullanım kolaylığı arasında pozitif bir ilişki tespit edilmiştir. Diğer taraftan, algılanan yararlılık ve kullanım kolaylığı ile temassız ödeme kullanım niyeti arasında da pozitif bir ilişki bulunmuştur. Bu ilişkiler, covid-19 risk algısının tüketicinin temassız ödeme kullanım niyeti üzerinde dolaylı bir etkisinin olduğunu göstermektedir. Araştırmanın bulguları daha önce benzer bir çalışma olmaması nedeniyle literatürde önemli bir boşluğa teorik olarak katkı sunmaktadır. Ayrıca, araştırmanın bulguları göre uygulayıcı ve işletme yöneticilerine de bir takım önerilerde bulunulmaktadır.</w:t>
      </w:r>
    </w:p>
    <w:p w14:paraId="291AE7F6" w14:textId="77777777" w:rsidR="005633F5" w:rsidRPr="00164238" w:rsidRDefault="005633F5" w:rsidP="005633F5">
      <w:pPr>
        <w:spacing w:before="360"/>
        <w:jc w:val="both"/>
        <w:rPr>
          <w:rFonts w:ascii="Times New Roman" w:hAnsi="Times New Roman" w:cs="Times New Roman"/>
          <w:bCs/>
          <w:color w:val="000000" w:themeColor="text1"/>
        </w:rPr>
      </w:pPr>
      <w:r w:rsidRPr="00164238">
        <w:rPr>
          <w:rFonts w:ascii="Times New Roman" w:hAnsi="Times New Roman" w:cs="Times New Roman"/>
          <w:b/>
          <w:bCs/>
          <w:color w:val="000000" w:themeColor="text1"/>
        </w:rPr>
        <w:t>Anahtar kavramlar:</w:t>
      </w:r>
      <w:r w:rsidRPr="00164238">
        <w:rPr>
          <w:rFonts w:ascii="Times New Roman" w:hAnsi="Times New Roman" w:cs="Times New Roman"/>
          <w:bCs/>
          <w:color w:val="000000" w:themeColor="text1"/>
        </w:rPr>
        <w:t xml:space="preserve"> algılanan covid-19 riski, kullanım kolaylığı, algılanan yararlılık, temassız ödeme kullanım niyeti</w:t>
      </w:r>
    </w:p>
    <w:p w14:paraId="0841A103" w14:textId="77777777" w:rsidR="005633F5" w:rsidRPr="00164238" w:rsidRDefault="005633F5" w:rsidP="005633F5">
      <w:pPr>
        <w:spacing w:before="360"/>
        <w:ind w:firstLine="708"/>
        <w:jc w:val="both"/>
        <w:rPr>
          <w:rFonts w:ascii="Times New Roman" w:hAnsi="Times New Roman" w:cs="Times New Roman"/>
          <w:b/>
          <w:bCs/>
          <w:color w:val="000000" w:themeColor="text1"/>
        </w:rPr>
      </w:pPr>
      <w:r w:rsidRPr="00164238">
        <w:rPr>
          <w:rFonts w:ascii="Times New Roman" w:hAnsi="Times New Roman" w:cs="Times New Roman"/>
          <w:b/>
          <w:bCs/>
          <w:color w:val="000000" w:themeColor="text1"/>
        </w:rPr>
        <w:t>Abstract</w:t>
      </w:r>
    </w:p>
    <w:p w14:paraId="58CA9EFE" w14:textId="77777777" w:rsidR="005633F5" w:rsidRPr="00164238" w:rsidRDefault="005633F5" w:rsidP="005633F5">
      <w:pPr>
        <w:spacing w:before="360"/>
        <w:ind w:firstLine="708"/>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 xml:space="preserve">With the Covid-19 outbreak, changes have been experienced and continue to occur in many areas in the world. Similarly, this epidemic has caused changes in consumer behavior. In particular, it can be stated that the power of the epidemic to spread rapidly is one of the biggest factors in triggering this change. When the literature is examined, no research has been found on the relationship between the consumer's covid-19 risk perception and payment methods. Therefore, the gap in the literature makes this study important. In this study, it was aimed to investigate the relationship between Covid-19 risk perception of consumers and intention to use contactless payment. From this point of view, the relationship between perceived Covid-19 risk, ease of use, perceived usefulness and intention to use contactless payment has been examined. Data were obtained from 242 participants to empirically test this relationship. These data were analyzed with the structural equation model. According to the findings of this analysis, a positive </w:t>
      </w:r>
      <w:r w:rsidRPr="00164238">
        <w:rPr>
          <w:rFonts w:ascii="Times New Roman" w:hAnsi="Times New Roman" w:cs="Times New Roman"/>
          <w:bCs/>
          <w:color w:val="000000" w:themeColor="text1"/>
        </w:rPr>
        <w:lastRenderedPageBreak/>
        <w:t>relationship was found between perceived Covid-19 risk and perceived usefulness and ease of use. These relationships show that the covid-19 risk perception has an indirect effect on the consumer's intention to use contactless payments. The findings of the study make a theoretical contribution to an important gap in the literature, since there was no similar study before. In addition, some suggestions are made to the practitioners and business managers according to the findings of the research.</w:t>
      </w:r>
    </w:p>
    <w:p w14:paraId="70426B3C" w14:textId="77777777" w:rsidR="005633F5" w:rsidRPr="00164238" w:rsidRDefault="005633F5" w:rsidP="005633F5">
      <w:pPr>
        <w:spacing w:before="360"/>
        <w:jc w:val="both"/>
        <w:rPr>
          <w:rFonts w:ascii="Times New Roman" w:hAnsi="Times New Roman" w:cs="Times New Roman"/>
          <w:b/>
          <w:bCs/>
          <w:color w:val="000000" w:themeColor="text1"/>
        </w:rPr>
      </w:pPr>
      <w:r w:rsidRPr="00164238">
        <w:rPr>
          <w:rFonts w:ascii="Times New Roman" w:hAnsi="Times New Roman" w:cs="Times New Roman"/>
          <w:b/>
          <w:bCs/>
          <w:color w:val="000000" w:themeColor="text1"/>
        </w:rPr>
        <w:t xml:space="preserve">Keywords: </w:t>
      </w:r>
      <w:r w:rsidRPr="00164238">
        <w:rPr>
          <w:rFonts w:ascii="Times New Roman" w:hAnsi="Times New Roman" w:cs="Times New Roman"/>
          <w:bCs/>
          <w:color w:val="000000" w:themeColor="text1"/>
        </w:rPr>
        <w:t>perceived covid-19 risk, ease of use, perceived usefulness, intention to use contactless payment</w:t>
      </w:r>
    </w:p>
    <w:p w14:paraId="3F18CB64" w14:textId="77777777" w:rsidR="005633F5" w:rsidRPr="00164238" w:rsidRDefault="005633F5" w:rsidP="005633F5">
      <w:pPr>
        <w:spacing w:before="360"/>
        <w:rPr>
          <w:rFonts w:ascii="Times New Roman" w:hAnsi="Times New Roman" w:cs="Times New Roman"/>
          <w:b/>
          <w:bCs/>
          <w:color w:val="000000" w:themeColor="text1"/>
        </w:rPr>
      </w:pPr>
    </w:p>
    <w:p w14:paraId="353F9910" w14:textId="77777777" w:rsidR="005633F5" w:rsidRPr="00164238" w:rsidRDefault="005633F5" w:rsidP="005633F5">
      <w:pPr>
        <w:tabs>
          <w:tab w:val="left" w:pos="426"/>
        </w:tabs>
        <w:spacing w:before="120" w:after="120"/>
        <w:ind w:firstLine="567"/>
        <w:rPr>
          <w:rFonts w:ascii="Times New Roman" w:hAnsi="Times New Roman" w:cs="Times New Roman"/>
          <w:b/>
          <w:bCs/>
          <w:color w:val="000000" w:themeColor="text1"/>
        </w:rPr>
      </w:pPr>
      <w:r w:rsidRPr="00164238">
        <w:rPr>
          <w:rFonts w:ascii="Times New Roman" w:hAnsi="Times New Roman" w:cs="Times New Roman"/>
          <w:b/>
          <w:bCs/>
          <w:color w:val="000000" w:themeColor="text1"/>
        </w:rPr>
        <w:t>GİRİŞ</w:t>
      </w:r>
    </w:p>
    <w:p w14:paraId="63DFDD91" w14:textId="77777777" w:rsidR="005633F5" w:rsidRPr="00164238" w:rsidRDefault="005633F5" w:rsidP="005633F5">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 xml:space="preserve">Covid-19 salgını dünyada sosyal ve ekonomik düzenin değişmesine neden olmuştur. Salgın Çin’den başlayıp dünyanın geneline kısa zamanda yayılmıştır. Özellikle covid-19 salgının hızlı yayılım etkisi insanları korku ve paniğe sevk etmiştir. Dolayısıyla, işletme olarak yeni normal düzende tüketicilerin ihtiyaçlarına ve isteklerine cevap vermek önemli bir rekabet aracı haline gelmiştir. </w:t>
      </w:r>
    </w:p>
    <w:p w14:paraId="1E43ECF4" w14:textId="77777777" w:rsidR="005633F5" w:rsidRPr="00164238" w:rsidRDefault="005633F5" w:rsidP="005633F5">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 xml:space="preserve">Covid-19’un yaygın bulaşıcı özelliği nedeniyle tüketiciler sosyal mesafeye korumada ve fiziksel temas konusunda oldukça hassas hale gelmiştir. Dolayısıyla işletme yöneticilerinin tüketicilerin bu hassasiyetine çözümler üretmesi stratejik rekabet üstünlüğü sağlayabilecektir. Bu noktada fiziksel para ile temas birçok tüketicinin teması nedeniyle covid-19 salgını için bulaşma riskini doğurmakta ve tüketicilerde endişe oluşturabilmektedir. Birçok işletme bu hassasiyete çözüm olarak temassız ödeme teknolojileri geliştirmiştir ve birçok tüketici tarafından yaygın kullanılmaya başlamıştır. Akademik perspektiften baktığımızda bu konunun bilimsel olarak çalışılmadığını ve literatürde böyle bir boşluğun olduğu bu çalışmada ortaya konmuştur. Temassız ödeme ile ilgili bilimsel çalışmalar var olmasına rağmen covid-19 bağlamında böyle bir çalışmanın olmadığı tespit edilmiştir. Covid-19 temelinde elektronik cüzdan kullanım niyeti ortaya konmuş, ancak ülkemizde bu teknoloji çok fazla yaygın kullanılmamaktadır. Bu noktadan hareketle bu çalışma ortaya konmuştur. </w:t>
      </w:r>
    </w:p>
    <w:p w14:paraId="2EE607FC" w14:textId="77777777" w:rsidR="005633F5" w:rsidRPr="00164238" w:rsidRDefault="005633F5" w:rsidP="005633F5">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Bu çalışmada algılanan Covid-19 riski, algılanan kullanım kolaylığı, algılanan yararlılık ve temassız ödeme kullanım niyeti arasındaki ilişkinin incelenmesi amaçlanmıştır. Bu amaçtan hareketle beş hipotez geliştirilmiştir. Bu hipotez bulgularının literatürdeki boşluğa ve uygulayıcılara önemli katkılar sunacağı düşünülmektedir.</w:t>
      </w:r>
    </w:p>
    <w:p w14:paraId="49CD22FE" w14:textId="77777777" w:rsidR="005633F5" w:rsidRPr="00164238" w:rsidRDefault="005633F5" w:rsidP="005633F5">
      <w:pPr>
        <w:spacing w:before="120" w:after="120" w:line="276" w:lineRule="auto"/>
        <w:ind w:firstLine="567"/>
        <w:jc w:val="both"/>
        <w:rPr>
          <w:rFonts w:ascii="Times New Roman" w:hAnsi="Times New Roman" w:cs="Times New Roman"/>
          <w:b/>
          <w:color w:val="000000" w:themeColor="text1"/>
          <w:lang w:val="fr-FR"/>
        </w:rPr>
      </w:pPr>
      <w:r w:rsidRPr="00164238">
        <w:rPr>
          <w:rFonts w:ascii="Times New Roman" w:hAnsi="Times New Roman" w:cs="Times New Roman"/>
          <w:b/>
          <w:color w:val="000000" w:themeColor="text1"/>
          <w:lang w:val="fr-FR"/>
        </w:rPr>
        <w:t>KAVRAMSAL ÇERÇEVE</w:t>
      </w:r>
    </w:p>
    <w:p w14:paraId="5DC438F2" w14:textId="77777777" w:rsidR="005633F5" w:rsidRPr="00164238" w:rsidRDefault="005633F5" w:rsidP="005633F5">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 xml:space="preserve">Tüketici davranışlarında bağlamında algılanan risk bir satın alma durumunda tüketicinin karşısındaki belirsizlik durum olarak ifade edilmiştir (Im vd., 2008). Bu belirsizlik durumunda tüketicide kayıp beklentisi oluşturmaktadır (Schierz vd., 2010). Dolayısıyla tüketicinin kayıp beklentisi ne kadar yüksek ise algıladığı riskte o kadar büyük olmaktadır (Shaizatulaqma vd., 2018). Farklı bir tanımda ise algılanan risk kavramı, tüketicilerin herhangi bir alışverişte ürün veya hizmet satın almanın aykırı veya değişken sonuçlarına ilişkin algısı olarak ifade edilmiştir (Ko vd., 2004). Literatür incelendiğinde algılanan risk yapısının birçok boyutunun olduğunu tespit edilmiştir. Örneğin, ürün performans riski, finansal risk, zaman riski, hasatlık riski, sosyal </w:t>
      </w:r>
      <w:r w:rsidRPr="00164238">
        <w:rPr>
          <w:rFonts w:ascii="Times New Roman" w:hAnsi="Times New Roman" w:cs="Times New Roman"/>
          <w:color w:val="000000" w:themeColor="text1"/>
          <w:lang w:val="fr-FR"/>
        </w:rPr>
        <w:lastRenderedPageBreak/>
        <w:t xml:space="preserve">risk ve güvenlik riski (Tandon vd., 2018) bunlardan bazılarıdır. Çalışmalarda algılanan riskin boyutlarının çalışmanın alanına veya odağına göre farklılaştığı gözlemlenmiştir. Son dönemde Covid-19 salgının ortaya çıkması algılanan risk kavramına ilgilinin artmasına neden olmuştur. Birçok araştırmada (Heo vd., 2020; Shin ve Kang, 2020) Covid-19 riskinin çeşitli faktörler üzerindeki etkisi incelenmiştir. Bu çalışmada da algılanan risk hastalık riski temeli üzerine kurulmuştur. Yani, bu çalışmada algılanan risk yapısı covid-19 damlacıklarının fiziksel para değişimiyle ilgili kişiye geçme endişesi ile bağlantılı hastalık riskini oluşturmaktadır (Aji vd., 2020). </w:t>
      </w:r>
    </w:p>
    <w:p w14:paraId="4BC9917A" w14:textId="77777777" w:rsidR="005633F5" w:rsidRPr="00164238" w:rsidRDefault="005633F5" w:rsidP="005633F5">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Algılanan yararlılık teknoloji kabul modelinin (TKM) temel yapılarından biridir (Davis, 1989). Ayrıca, davranışsal inançlar, tutumlar, niyetler ve davranışlar arasındaki nedensel etkileşim hakkında içgörüler sağlar ve insan davranışının bu iki inançla açıklanabileceğini öne sürer (Blut vd., 2016). Algılanan yararlılığın bilgi teknoloji kullanım davranışının temel belirleyicisi olduğu farklı bağlamlardaki birçok ampirik çalışmada kanıtlanmıştır (Saeed ve Abdinnour-Helm, 2008). Örneğin, Mou vd. (2017) çalışmalarında elektronik hizmet algılanan yararlılığın davranışsal niyet üzerinde önemli bir etkiye sahip olduğunu ortaya çıkarmıştır. Bu açıklamalardan hareketle bu çalışmada temassız ödeme yönteminin algılanan yararlığı çerçevesinde bir ölçek oluşturulmuştur. TKM’nin diğer bir temel yapısı ise algılanan kullanım kolaylığıdır. Algılanan kullanım kolaylığı bir tüketicinin kullandığı teknolojiye yönelik algıladığı kolaylıktır. Yani, tüketici web sitelerine, internet işlevlerine ve web arayüzüne erişimin kullanımının ne ölçüde kolay olduğu ile ilgili bir durumdur (Davis, 1989). Bu yapının Ajzen ve Fishbein (Ajzen ve Fishbein, 1977) tarafından önerilen gerekçeli eylem teorisine dayandırılması nedeniyle literatürde birçok bağlamda kullanılmıştır. Dolayısıyla bu iki yapı sadece teknolojik alanla sınırlı kalmamıştır. Bu çalışmada algılanan kullanım kolaylığı temassız ödeme yöntemlerinin kullanımının kolaylığına yönelik tüketicinin algısını ölçmek için kullanılmıştır. TKM’den hareketle aşağıdaki hipotezler önerilmetedir.</w:t>
      </w:r>
    </w:p>
    <w:p w14:paraId="0EDECEF0" w14:textId="77777777" w:rsidR="005633F5" w:rsidRPr="00164238" w:rsidRDefault="005633F5" w:rsidP="005633F5">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H1: Algılanan covid-19 riski ve kullanım kolaylığı arasında pozitif ve anlamlı bir ilişki vardır.</w:t>
      </w:r>
    </w:p>
    <w:p w14:paraId="14B589F5" w14:textId="77777777" w:rsidR="005633F5" w:rsidRPr="00164238" w:rsidRDefault="005633F5" w:rsidP="005633F5">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H2: Algılanan covid-19 riski ve algılanan yararlılık arasında pozitif ve anlamlı bir ilişki vardır.</w:t>
      </w:r>
    </w:p>
    <w:p w14:paraId="137A3B65" w14:textId="77777777" w:rsidR="005633F5" w:rsidRPr="00164238" w:rsidRDefault="005633F5" w:rsidP="005633F5">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H3: Algılanan covid-19 riski ve temassız ödeme kullanım niyeti arasında pozitif ve anlamlı bir ilişki vardır.</w:t>
      </w:r>
    </w:p>
    <w:p w14:paraId="53455ECB" w14:textId="77777777" w:rsidR="005633F5" w:rsidRPr="00164238" w:rsidRDefault="005633F5" w:rsidP="005633F5">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H4: Kullanım kolaylığı ve temassız ödeme kullanım niyeti arasında pozitif ve anlamlı bir ilişki vardır.</w:t>
      </w:r>
    </w:p>
    <w:p w14:paraId="27526811" w14:textId="77777777" w:rsidR="005633F5" w:rsidRPr="00164238" w:rsidRDefault="005633F5" w:rsidP="005633F5">
      <w:pPr>
        <w:spacing w:before="120" w:after="120" w:line="276" w:lineRule="auto"/>
        <w:ind w:firstLine="567"/>
        <w:jc w:val="both"/>
        <w:rPr>
          <w:rFonts w:ascii="Times New Roman" w:hAnsi="Times New Roman" w:cs="Times New Roman"/>
          <w:color w:val="000000" w:themeColor="text1"/>
          <w:lang w:val="fr-FR"/>
        </w:rPr>
      </w:pPr>
      <w:r w:rsidRPr="00164238">
        <w:rPr>
          <w:rFonts w:ascii="Times New Roman" w:hAnsi="Times New Roman" w:cs="Times New Roman"/>
          <w:color w:val="000000" w:themeColor="text1"/>
          <w:lang w:val="fr-FR"/>
        </w:rPr>
        <w:t>H5: Algılanan yararlılık ve temassız ödeme kullanım niyeti arasında pozitif ve anlamlı bir ilişki vardır.</w:t>
      </w:r>
    </w:p>
    <w:p w14:paraId="1F6F113F" w14:textId="77777777" w:rsidR="005633F5" w:rsidRPr="00164238" w:rsidRDefault="005633F5" w:rsidP="005633F5">
      <w:pPr>
        <w:spacing w:before="120" w:after="120" w:line="276" w:lineRule="auto"/>
        <w:ind w:firstLine="567"/>
        <w:jc w:val="both"/>
        <w:rPr>
          <w:rFonts w:ascii="Times New Roman" w:hAnsi="Times New Roman" w:cs="Times New Roman"/>
          <w:b/>
          <w:color w:val="000000" w:themeColor="text1"/>
        </w:rPr>
      </w:pPr>
      <w:r w:rsidRPr="00164238">
        <w:rPr>
          <w:rFonts w:ascii="Times New Roman" w:hAnsi="Times New Roman" w:cs="Times New Roman"/>
          <w:color w:val="000000" w:themeColor="text1"/>
          <w:lang w:val="fr-FR"/>
        </w:rPr>
        <w:t xml:space="preserve"> </w:t>
      </w:r>
      <w:r w:rsidRPr="00164238">
        <w:rPr>
          <w:rFonts w:ascii="Times New Roman" w:hAnsi="Times New Roman" w:cs="Times New Roman"/>
          <w:b/>
          <w:color w:val="000000" w:themeColor="text1"/>
        </w:rPr>
        <w:t>YÖNTEM</w:t>
      </w:r>
    </w:p>
    <w:p w14:paraId="02F552CA" w14:textId="77777777" w:rsidR="005633F5" w:rsidRPr="00164238" w:rsidRDefault="005633F5" w:rsidP="005633F5">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Bu çalışmada algılanan Covid-19 riski, algılanan kullanım kolaylığı, algılanan yararlılık ve temassız ödeme kullanım niyeti arasındaki ilişkinin incelenmesi amaçlanmıştır. Bu çalışmanın evrenini Türkiye’de temassız ödeme yöntemini kullanan 18 yaş ve üstü bireylerden oluşmaktadır. Ancak, ulaşılabilir evren olarak Konya-karaman bölgesinde 18 yaş üstü bireylere uygulanmıştır. İlk olarak pilot çalışma ile anketin yüz geçerliliği yapılmıştır. Kolayda örnekleme yoluyla 250 </w:t>
      </w:r>
      <w:r w:rsidRPr="00164238">
        <w:rPr>
          <w:rFonts w:ascii="Times New Roman" w:hAnsi="Times New Roman" w:cs="Times New Roman"/>
          <w:color w:val="000000" w:themeColor="text1"/>
        </w:rPr>
        <w:lastRenderedPageBreak/>
        <w:t xml:space="preserve">bireyden anket tekniği kullanılarak veri elde edilmiş olup kullanılabilir veri sayısı 242 adettir. Anket 2020 aralık ve 2021 ocak sürecinde uygulanmıştır. Anket, demografik bilgiler ve araştırmaya yönelik yapıların ölçeklerinin yer aldığı iki bölümden tasarlanmıştır. Modelde yer alan yapılara ilişkin ölçekler literatürden yararlanarak oluşturulmuştur ve kaynaklara ilişkin bilgiler Tablo 1’de sunulmuştur. Ankete ilişkin etik kurulu raporu alınmıştır (Karamanoğlu Mehmetbey Üniversitesi, Bilimsel Araştırma ve Yayın Etik Kurulu, 01.12.2020 tarihli ve 26037 sayılı yazı). 242 katılımcının % 54’ü kadın ve % 44’ü erkeklerden oluşmaktadır. </w:t>
      </w:r>
    </w:p>
    <w:p w14:paraId="1875CC01" w14:textId="77777777" w:rsidR="005633F5" w:rsidRPr="00164238" w:rsidRDefault="005633F5" w:rsidP="005633F5">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i/>
          <w:color w:val="000000" w:themeColor="text1"/>
        </w:rPr>
        <w:t>Tablo 1.</w:t>
      </w:r>
      <w:r w:rsidRPr="00164238">
        <w:rPr>
          <w:rFonts w:ascii="Times New Roman" w:hAnsi="Times New Roman" w:cs="Times New Roman"/>
          <w:color w:val="000000" w:themeColor="text1"/>
        </w:rPr>
        <w:t xml:space="preserve"> Değişkenlere İlişkin Faktör Yükleri ve Ölçekler</w:t>
      </w:r>
    </w:p>
    <w:tbl>
      <w:tblPr>
        <w:tblW w:w="8602" w:type="dxa"/>
        <w:jc w:val="center"/>
        <w:tblLayout w:type="fixed"/>
        <w:tblLook w:val="04A0" w:firstRow="1" w:lastRow="0" w:firstColumn="1" w:lastColumn="0" w:noHBand="0" w:noVBand="1"/>
      </w:tblPr>
      <w:tblGrid>
        <w:gridCol w:w="709"/>
        <w:gridCol w:w="5387"/>
        <w:gridCol w:w="850"/>
        <w:gridCol w:w="1656"/>
      </w:tblGrid>
      <w:tr w:rsidR="00AE5E6C" w:rsidRPr="00164238" w14:paraId="4A7C4780" w14:textId="77777777" w:rsidTr="00682CBF">
        <w:trPr>
          <w:jc w:val="center"/>
        </w:trPr>
        <w:tc>
          <w:tcPr>
            <w:tcW w:w="6096" w:type="dxa"/>
            <w:gridSpan w:val="2"/>
            <w:vAlign w:val="center"/>
          </w:tcPr>
          <w:p w14:paraId="7A1FF3D1" w14:textId="77777777" w:rsidR="005633F5" w:rsidRPr="00164238" w:rsidRDefault="005633F5" w:rsidP="00682CBF">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Değişken ve Ölçekler</w:t>
            </w:r>
          </w:p>
        </w:tc>
        <w:tc>
          <w:tcPr>
            <w:tcW w:w="850" w:type="dxa"/>
            <w:vAlign w:val="center"/>
          </w:tcPr>
          <w:p w14:paraId="36D98546" w14:textId="77777777" w:rsidR="005633F5" w:rsidRPr="00164238" w:rsidRDefault="005633F5" w:rsidP="00682CBF">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Faktör Yükü</w:t>
            </w:r>
          </w:p>
        </w:tc>
        <w:tc>
          <w:tcPr>
            <w:tcW w:w="1656" w:type="dxa"/>
            <w:vAlign w:val="center"/>
          </w:tcPr>
          <w:p w14:paraId="51DA9B15" w14:textId="77777777" w:rsidR="005633F5" w:rsidRPr="00164238" w:rsidRDefault="005633F5" w:rsidP="00682CBF">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Kaynak</w:t>
            </w:r>
          </w:p>
        </w:tc>
      </w:tr>
      <w:tr w:rsidR="00AE5E6C" w:rsidRPr="00164238" w14:paraId="6B504942" w14:textId="77777777" w:rsidTr="00682CBF">
        <w:trPr>
          <w:jc w:val="center"/>
        </w:trPr>
        <w:tc>
          <w:tcPr>
            <w:tcW w:w="8602" w:type="dxa"/>
            <w:gridSpan w:val="4"/>
            <w:vAlign w:val="center"/>
          </w:tcPr>
          <w:p w14:paraId="1CCFCF4C" w14:textId="77777777" w:rsidR="005633F5" w:rsidRPr="00164238" w:rsidRDefault="005633F5" w:rsidP="00682CBF">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Algılanan Covid-19 Riski</w:t>
            </w:r>
          </w:p>
        </w:tc>
      </w:tr>
      <w:tr w:rsidR="00AE5E6C" w:rsidRPr="00164238" w14:paraId="08669BE8" w14:textId="77777777" w:rsidTr="00682CBF">
        <w:trPr>
          <w:jc w:val="center"/>
        </w:trPr>
        <w:tc>
          <w:tcPr>
            <w:tcW w:w="709" w:type="dxa"/>
            <w:vAlign w:val="center"/>
          </w:tcPr>
          <w:p w14:paraId="02176117" w14:textId="77777777" w:rsidR="005633F5" w:rsidRPr="00164238" w:rsidRDefault="005633F5" w:rsidP="00682CBF">
            <w:pPr>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AC1</w:t>
            </w:r>
          </w:p>
        </w:tc>
        <w:tc>
          <w:tcPr>
            <w:tcW w:w="5387" w:type="dxa"/>
            <w:tcBorders>
              <w:right w:val="nil"/>
            </w:tcBorders>
            <w:vAlign w:val="center"/>
          </w:tcPr>
          <w:p w14:paraId="55F4696D" w14:textId="77777777" w:rsidR="005633F5" w:rsidRPr="00164238" w:rsidRDefault="005633F5" w:rsidP="00682CBF">
            <w:pPr>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Alıverişlerimde nakit para kullanırken Covid-19 bulaşmasından endişeleniyorum.</w:t>
            </w:r>
          </w:p>
        </w:tc>
        <w:tc>
          <w:tcPr>
            <w:tcW w:w="850" w:type="dxa"/>
            <w:tcBorders>
              <w:top w:val="nil"/>
              <w:left w:val="nil"/>
              <w:bottom w:val="nil"/>
              <w:right w:val="nil"/>
            </w:tcBorders>
            <w:vAlign w:val="center"/>
          </w:tcPr>
          <w:p w14:paraId="1C7D4BAD" w14:textId="77777777" w:rsidR="005633F5" w:rsidRPr="00164238" w:rsidRDefault="005633F5" w:rsidP="00682CBF">
            <w:pPr>
              <w:spacing w:line="276" w:lineRule="auto"/>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0,89</w:t>
            </w:r>
          </w:p>
        </w:tc>
        <w:tc>
          <w:tcPr>
            <w:tcW w:w="1656" w:type="dxa"/>
            <w:tcBorders>
              <w:left w:val="nil"/>
            </w:tcBorders>
            <w:vAlign w:val="center"/>
          </w:tcPr>
          <w:p w14:paraId="0DCCE47F" w14:textId="77777777" w:rsidR="005633F5" w:rsidRPr="00164238" w:rsidRDefault="005633F5" w:rsidP="00682CBF">
            <w:pPr>
              <w:spacing w:line="276" w:lineRule="auto"/>
              <w:jc w:val="both"/>
              <w:rPr>
                <w:rFonts w:ascii="Times New Roman" w:hAnsi="Times New Roman" w:cs="Times New Roman"/>
                <w:color w:val="000000" w:themeColor="text1"/>
              </w:rPr>
            </w:pPr>
          </w:p>
        </w:tc>
      </w:tr>
      <w:tr w:rsidR="00AE5E6C" w:rsidRPr="00164238" w14:paraId="50FF2903" w14:textId="77777777" w:rsidTr="00682CBF">
        <w:trPr>
          <w:jc w:val="center"/>
        </w:trPr>
        <w:tc>
          <w:tcPr>
            <w:tcW w:w="709" w:type="dxa"/>
            <w:shd w:val="clear" w:color="auto" w:fill="auto"/>
            <w:vAlign w:val="center"/>
          </w:tcPr>
          <w:p w14:paraId="6377B67F" w14:textId="77777777" w:rsidR="005633F5" w:rsidRPr="00164238" w:rsidRDefault="005633F5" w:rsidP="00682CBF">
            <w:pPr>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AC2</w:t>
            </w:r>
          </w:p>
        </w:tc>
        <w:tc>
          <w:tcPr>
            <w:tcW w:w="5387" w:type="dxa"/>
            <w:shd w:val="clear" w:color="auto" w:fill="auto"/>
            <w:vAlign w:val="center"/>
          </w:tcPr>
          <w:p w14:paraId="02A10E37" w14:textId="77777777" w:rsidR="005633F5" w:rsidRPr="00164238" w:rsidRDefault="005633F5" w:rsidP="00682CBF">
            <w:pPr>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Alıverişlerimde nakit para ile ödeme yaparken rahat değilim.</w:t>
            </w:r>
          </w:p>
        </w:tc>
        <w:tc>
          <w:tcPr>
            <w:tcW w:w="850" w:type="dxa"/>
            <w:tcBorders>
              <w:top w:val="nil"/>
              <w:bottom w:val="nil"/>
            </w:tcBorders>
            <w:shd w:val="clear" w:color="auto" w:fill="auto"/>
            <w:vAlign w:val="center"/>
          </w:tcPr>
          <w:p w14:paraId="77AB12EB" w14:textId="77777777" w:rsidR="005633F5" w:rsidRPr="00164238" w:rsidRDefault="005633F5" w:rsidP="00682CBF">
            <w:pPr>
              <w:spacing w:line="276" w:lineRule="auto"/>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0,93</w:t>
            </w:r>
          </w:p>
        </w:tc>
        <w:tc>
          <w:tcPr>
            <w:tcW w:w="1656" w:type="dxa"/>
            <w:shd w:val="clear" w:color="auto" w:fill="auto"/>
            <w:vAlign w:val="center"/>
          </w:tcPr>
          <w:p w14:paraId="7901B163" w14:textId="77777777" w:rsidR="005633F5" w:rsidRPr="00164238" w:rsidRDefault="005633F5" w:rsidP="00682CBF">
            <w:pPr>
              <w:spacing w:line="276" w:lineRule="auto"/>
              <w:jc w:val="both"/>
              <w:rPr>
                <w:rFonts w:ascii="Times New Roman" w:hAnsi="Times New Roman" w:cs="Times New Roman"/>
                <w:color w:val="000000" w:themeColor="text1"/>
              </w:rPr>
            </w:pPr>
          </w:p>
        </w:tc>
      </w:tr>
      <w:tr w:rsidR="00AE5E6C" w:rsidRPr="00164238" w14:paraId="1F6931C2" w14:textId="77777777" w:rsidTr="00682CBF">
        <w:trPr>
          <w:jc w:val="center"/>
        </w:trPr>
        <w:tc>
          <w:tcPr>
            <w:tcW w:w="709" w:type="dxa"/>
            <w:shd w:val="clear" w:color="auto" w:fill="auto"/>
            <w:vAlign w:val="center"/>
          </w:tcPr>
          <w:p w14:paraId="67D53047" w14:textId="77777777" w:rsidR="005633F5" w:rsidRPr="00164238" w:rsidRDefault="005633F5" w:rsidP="00682CBF">
            <w:pPr>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AC3</w:t>
            </w:r>
          </w:p>
        </w:tc>
        <w:tc>
          <w:tcPr>
            <w:tcW w:w="5387" w:type="dxa"/>
            <w:tcBorders>
              <w:right w:val="nil"/>
            </w:tcBorders>
            <w:shd w:val="clear" w:color="auto" w:fill="auto"/>
            <w:vAlign w:val="center"/>
          </w:tcPr>
          <w:p w14:paraId="78AA0BFA" w14:textId="77777777" w:rsidR="005633F5" w:rsidRPr="00164238" w:rsidRDefault="005633F5" w:rsidP="00682CBF">
            <w:pPr>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Nakit para kullanırken Covid-19 kapmaktan korkuyorum.</w:t>
            </w:r>
          </w:p>
        </w:tc>
        <w:tc>
          <w:tcPr>
            <w:tcW w:w="850" w:type="dxa"/>
            <w:tcBorders>
              <w:top w:val="nil"/>
              <w:left w:val="nil"/>
              <w:bottom w:val="nil"/>
              <w:right w:val="nil"/>
            </w:tcBorders>
            <w:shd w:val="clear" w:color="auto" w:fill="auto"/>
            <w:vAlign w:val="center"/>
          </w:tcPr>
          <w:p w14:paraId="2E9A5D26" w14:textId="77777777" w:rsidR="005633F5" w:rsidRPr="00164238" w:rsidRDefault="005633F5" w:rsidP="00682CBF">
            <w:pPr>
              <w:spacing w:line="276" w:lineRule="auto"/>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0,95</w:t>
            </w:r>
          </w:p>
        </w:tc>
        <w:tc>
          <w:tcPr>
            <w:tcW w:w="1656" w:type="dxa"/>
            <w:tcBorders>
              <w:left w:val="nil"/>
            </w:tcBorders>
            <w:shd w:val="clear" w:color="auto" w:fill="auto"/>
            <w:vAlign w:val="center"/>
          </w:tcPr>
          <w:p w14:paraId="72F440DC" w14:textId="77777777" w:rsidR="005633F5" w:rsidRPr="00164238" w:rsidRDefault="005633F5" w:rsidP="00682CBF">
            <w:pPr>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fldChar w:fldCharType="begin" w:fldLock="1"/>
            </w:r>
            <w:r w:rsidRPr="00164238">
              <w:rPr>
                <w:rFonts w:ascii="Times New Roman" w:hAnsi="Times New Roman" w:cs="Times New Roman"/>
                <w:color w:val="000000" w:themeColor="text1"/>
              </w:rPr>
              <w:instrText>ADDIN CSL_CITATION {"citationItems":[{"id":"ITEM-1","itemData":{"ISSN":"2331-1975","author":[{"dropping-particle":"","family":"Aji","given":"Hendy Mustiko","non-dropping-particle":"","parse-names":false,"suffix":""},{"dropping-particle":"","family":"Berakon","given":"Izra","non-dropping-particle":"","parse-names":false,"suffix":""},{"dropping-particle":"","family":"Husin","given":"Maizaitulaidawati Md","non-dropping-particle":"","parse-names":false,"suffix":""}],"container-title":"Cogent Business &amp; Management","id":"ITEM-1","issue":"1","issued":{"date-parts":[["2020"]]},"page":"1804181","publisher":"Cogent OA","title":"COVID-19 and e-wallet usage intention: A multigroup analysis between Indonesia and Malaysia","type":"article-journal","volume":"7"},"uris":["http://www.mendeley.com/documents/?uuid=c9040d62-6258-4952-b4ff-a1bec5e7e605","http://www.mendeley.com/documents/?uuid=db1287c9-d134-4392-900d-8d4fdfd99473"]}],"mendeley":{"formattedCitation":"(Aji vd., 2020)","plainTextFormattedCitation":"(Aji vd., 2020)","previouslyFormattedCitation":"(Aji vd., 2020)"},"properties":{"noteIndex":0},"schema":"https://github.com/citation-style-language/schema/raw/master/csl-citation.json"}</w:instrText>
            </w:r>
            <w:r w:rsidRPr="00164238">
              <w:rPr>
                <w:rFonts w:ascii="Times New Roman" w:hAnsi="Times New Roman" w:cs="Times New Roman"/>
                <w:color w:val="000000" w:themeColor="text1"/>
              </w:rPr>
              <w:fldChar w:fldCharType="separate"/>
            </w:r>
            <w:r w:rsidRPr="00164238">
              <w:rPr>
                <w:rFonts w:ascii="Times New Roman" w:hAnsi="Times New Roman" w:cs="Times New Roman"/>
                <w:color w:val="000000" w:themeColor="text1"/>
              </w:rPr>
              <w:t>(Aji vd., 2020)</w:t>
            </w:r>
            <w:r w:rsidRPr="00164238">
              <w:rPr>
                <w:rFonts w:ascii="Times New Roman" w:hAnsi="Times New Roman" w:cs="Times New Roman"/>
                <w:color w:val="000000" w:themeColor="text1"/>
              </w:rPr>
              <w:fldChar w:fldCharType="end"/>
            </w:r>
          </w:p>
        </w:tc>
      </w:tr>
      <w:tr w:rsidR="00AE5E6C" w:rsidRPr="00164238" w14:paraId="0009E253" w14:textId="77777777" w:rsidTr="00682CBF">
        <w:trPr>
          <w:jc w:val="center"/>
        </w:trPr>
        <w:tc>
          <w:tcPr>
            <w:tcW w:w="709" w:type="dxa"/>
            <w:shd w:val="clear" w:color="auto" w:fill="auto"/>
            <w:vAlign w:val="center"/>
          </w:tcPr>
          <w:p w14:paraId="21A6A071" w14:textId="77777777" w:rsidR="005633F5" w:rsidRPr="00164238" w:rsidRDefault="005633F5" w:rsidP="00682CBF">
            <w:pPr>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AC4</w:t>
            </w:r>
          </w:p>
        </w:tc>
        <w:tc>
          <w:tcPr>
            <w:tcW w:w="5387" w:type="dxa"/>
            <w:shd w:val="clear" w:color="auto" w:fill="auto"/>
            <w:vAlign w:val="center"/>
          </w:tcPr>
          <w:p w14:paraId="1065D509" w14:textId="77777777" w:rsidR="005633F5" w:rsidRPr="00164238" w:rsidRDefault="005633F5" w:rsidP="00682CBF">
            <w:pPr>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Nakit para kullanırken parada Covid-19 damlası olduğundan endişeleniyorum.</w:t>
            </w:r>
          </w:p>
        </w:tc>
        <w:tc>
          <w:tcPr>
            <w:tcW w:w="850" w:type="dxa"/>
            <w:tcBorders>
              <w:top w:val="nil"/>
              <w:bottom w:val="nil"/>
            </w:tcBorders>
            <w:shd w:val="clear" w:color="auto" w:fill="auto"/>
            <w:vAlign w:val="center"/>
          </w:tcPr>
          <w:p w14:paraId="2DAA86C6" w14:textId="77777777" w:rsidR="005633F5" w:rsidRPr="00164238" w:rsidRDefault="005633F5" w:rsidP="00682CBF">
            <w:pPr>
              <w:spacing w:line="276" w:lineRule="auto"/>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0,87</w:t>
            </w:r>
          </w:p>
        </w:tc>
        <w:tc>
          <w:tcPr>
            <w:tcW w:w="1656" w:type="dxa"/>
            <w:shd w:val="clear" w:color="auto" w:fill="auto"/>
            <w:vAlign w:val="center"/>
          </w:tcPr>
          <w:p w14:paraId="02011EDE" w14:textId="77777777" w:rsidR="005633F5" w:rsidRPr="00164238" w:rsidRDefault="005633F5" w:rsidP="00682CBF">
            <w:pPr>
              <w:spacing w:line="276" w:lineRule="auto"/>
              <w:jc w:val="both"/>
              <w:rPr>
                <w:rFonts w:ascii="Times New Roman" w:hAnsi="Times New Roman" w:cs="Times New Roman"/>
                <w:color w:val="000000" w:themeColor="text1"/>
              </w:rPr>
            </w:pPr>
          </w:p>
        </w:tc>
      </w:tr>
      <w:tr w:rsidR="00AE5E6C" w:rsidRPr="00164238" w14:paraId="6C207158" w14:textId="77777777" w:rsidTr="00682CBF">
        <w:trPr>
          <w:jc w:val="center"/>
        </w:trPr>
        <w:tc>
          <w:tcPr>
            <w:tcW w:w="709" w:type="dxa"/>
            <w:shd w:val="clear" w:color="auto" w:fill="auto"/>
            <w:vAlign w:val="center"/>
          </w:tcPr>
          <w:p w14:paraId="163C3C0F" w14:textId="77777777" w:rsidR="005633F5" w:rsidRPr="00164238" w:rsidRDefault="005633F5" w:rsidP="00682CBF">
            <w:pPr>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AC4</w:t>
            </w:r>
          </w:p>
        </w:tc>
        <w:tc>
          <w:tcPr>
            <w:tcW w:w="5387" w:type="dxa"/>
            <w:tcBorders>
              <w:right w:val="nil"/>
            </w:tcBorders>
            <w:shd w:val="clear" w:color="auto" w:fill="auto"/>
            <w:vAlign w:val="center"/>
          </w:tcPr>
          <w:p w14:paraId="1FD8D4E0" w14:textId="77777777" w:rsidR="005633F5" w:rsidRPr="00164238" w:rsidRDefault="005633F5" w:rsidP="00682CBF">
            <w:pPr>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Alıverişlerimde nakit para kullanırken Covid-19 bulaşmasından endişeleniyorum.</w:t>
            </w:r>
          </w:p>
        </w:tc>
        <w:tc>
          <w:tcPr>
            <w:tcW w:w="850" w:type="dxa"/>
            <w:tcBorders>
              <w:top w:val="nil"/>
              <w:left w:val="nil"/>
              <w:bottom w:val="nil"/>
              <w:right w:val="nil"/>
            </w:tcBorders>
            <w:shd w:val="clear" w:color="auto" w:fill="auto"/>
            <w:vAlign w:val="center"/>
          </w:tcPr>
          <w:p w14:paraId="5C6B5E8B" w14:textId="77777777" w:rsidR="005633F5" w:rsidRPr="00164238" w:rsidRDefault="005633F5" w:rsidP="00682CBF">
            <w:pPr>
              <w:spacing w:line="276" w:lineRule="auto"/>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0,89</w:t>
            </w:r>
          </w:p>
        </w:tc>
        <w:tc>
          <w:tcPr>
            <w:tcW w:w="1656" w:type="dxa"/>
            <w:tcBorders>
              <w:left w:val="nil"/>
            </w:tcBorders>
            <w:shd w:val="clear" w:color="auto" w:fill="auto"/>
            <w:vAlign w:val="center"/>
          </w:tcPr>
          <w:p w14:paraId="1E16CF6E" w14:textId="77777777" w:rsidR="005633F5" w:rsidRPr="00164238" w:rsidRDefault="005633F5" w:rsidP="00682CBF">
            <w:pPr>
              <w:spacing w:line="276" w:lineRule="auto"/>
              <w:jc w:val="both"/>
              <w:rPr>
                <w:rFonts w:ascii="Times New Roman" w:hAnsi="Times New Roman" w:cs="Times New Roman"/>
                <w:color w:val="000000" w:themeColor="text1"/>
              </w:rPr>
            </w:pPr>
          </w:p>
        </w:tc>
      </w:tr>
      <w:tr w:rsidR="00AE5E6C" w:rsidRPr="00164238" w14:paraId="7E3AD720" w14:textId="77777777" w:rsidTr="00682CBF">
        <w:trPr>
          <w:jc w:val="center"/>
        </w:trPr>
        <w:tc>
          <w:tcPr>
            <w:tcW w:w="8602" w:type="dxa"/>
            <w:gridSpan w:val="4"/>
            <w:vAlign w:val="center"/>
          </w:tcPr>
          <w:p w14:paraId="33A93AA0" w14:textId="77777777" w:rsidR="005633F5" w:rsidRPr="00164238" w:rsidRDefault="005633F5" w:rsidP="00682CBF">
            <w:pPr>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Algılanan Yararlılık</w:t>
            </w:r>
          </w:p>
        </w:tc>
      </w:tr>
      <w:tr w:rsidR="00AE5E6C" w:rsidRPr="00164238" w14:paraId="008E7F34" w14:textId="77777777" w:rsidTr="00682CBF">
        <w:trPr>
          <w:jc w:val="center"/>
        </w:trPr>
        <w:tc>
          <w:tcPr>
            <w:tcW w:w="709" w:type="dxa"/>
            <w:vAlign w:val="center"/>
          </w:tcPr>
          <w:p w14:paraId="325BE003" w14:textId="77777777" w:rsidR="005633F5" w:rsidRPr="00164238" w:rsidRDefault="005633F5" w:rsidP="00682CBF">
            <w:pPr>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AY1</w:t>
            </w:r>
          </w:p>
        </w:tc>
        <w:tc>
          <w:tcPr>
            <w:tcW w:w="5387" w:type="dxa"/>
            <w:tcBorders>
              <w:right w:val="nil"/>
            </w:tcBorders>
            <w:vAlign w:val="center"/>
          </w:tcPr>
          <w:p w14:paraId="09AD9076" w14:textId="77777777" w:rsidR="005633F5" w:rsidRPr="00164238" w:rsidRDefault="005633F5" w:rsidP="00682CBF">
            <w:pPr>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Covid-19 salgını sürecinde, temassız ödeme kullanmak bana daha hızlı ödeme yapılmasını sağlıyor.</w:t>
            </w:r>
          </w:p>
        </w:tc>
        <w:tc>
          <w:tcPr>
            <w:tcW w:w="850" w:type="dxa"/>
            <w:tcBorders>
              <w:top w:val="nil"/>
              <w:left w:val="nil"/>
              <w:bottom w:val="nil"/>
              <w:right w:val="nil"/>
            </w:tcBorders>
            <w:vAlign w:val="center"/>
          </w:tcPr>
          <w:p w14:paraId="628BA946" w14:textId="77777777" w:rsidR="005633F5" w:rsidRPr="00164238" w:rsidRDefault="005633F5" w:rsidP="00682CBF">
            <w:pPr>
              <w:spacing w:line="276" w:lineRule="auto"/>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0,89</w:t>
            </w:r>
          </w:p>
        </w:tc>
        <w:tc>
          <w:tcPr>
            <w:tcW w:w="1656" w:type="dxa"/>
            <w:tcBorders>
              <w:left w:val="nil"/>
            </w:tcBorders>
            <w:vAlign w:val="center"/>
          </w:tcPr>
          <w:p w14:paraId="22E9DB4B" w14:textId="77777777" w:rsidR="005633F5" w:rsidRPr="00164238" w:rsidRDefault="005633F5" w:rsidP="00682CBF">
            <w:pPr>
              <w:spacing w:line="276" w:lineRule="auto"/>
              <w:jc w:val="both"/>
              <w:rPr>
                <w:rFonts w:ascii="Times New Roman" w:hAnsi="Times New Roman" w:cs="Times New Roman"/>
                <w:color w:val="000000" w:themeColor="text1"/>
              </w:rPr>
            </w:pPr>
          </w:p>
        </w:tc>
      </w:tr>
      <w:tr w:rsidR="00AE5E6C" w:rsidRPr="00164238" w14:paraId="2B61EE18" w14:textId="77777777" w:rsidTr="00682CBF">
        <w:trPr>
          <w:jc w:val="center"/>
        </w:trPr>
        <w:tc>
          <w:tcPr>
            <w:tcW w:w="709" w:type="dxa"/>
            <w:shd w:val="clear" w:color="auto" w:fill="auto"/>
            <w:vAlign w:val="center"/>
          </w:tcPr>
          <w:p w14:paraId="75B28EC8" w14:textId="77777777" w:rsidR="005633F5" w:rsidRPr="00164238" w:rsidRDefault="005633F5" w:rsidP="00682CBF">
            <w:pPr>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AY2</w:t>
            </w:r>
          </w:p>
        </w:tc>
        <w:tc>
          <w:tcPr>
            <w:tcW w:w="5387" w:type="dxa"/>
            <w:shd w:val="clear" w:color="auto" w:fill="auto"/>
            <w:vAlign w:val="center"/>
          </w:tcPr>
          <w:p w14:paraId="5E1C84E5" w14:textId="77777777" w:rsidR="005633F5" w:rsidRPr="00164238" w:rsidRDefault="005633F5" w:rsidP="00682CBF">
            <w:pPr>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2-  Covid-19 salgını sürecinde, temassız ödeme kullanmak, ödemeleri daha basit hale getirir.</w:t>
            </w:r>
          </w:p>
        </w:tc>
        <w:tc>
          <w:tcPr>
            <w:tcW w:w="850" w:type="dxa"/>
            <w:tcBorders>
              <w:top w:val="nil"/>
              <w:bottom w:val="nil"/>
            </w:tcBorders>
            <w:shd w:val="clear" w:color="auto" w:fill="auto"/>
            <w:vAlign w:val="center"/>
          </w:tcPr>
          <w:p w14:paraId="07231C56" w14:textId="77777777" w:rsidR="005633F5" w:rsidRPr="00164238" w:rsidRDefault="005633F5" w:rsidP="00682CBF">
            <w:pPr>
              <w:spacing w:line="276" w:lineRule="auto"/>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0,78</w:t>
            </w:r>
          </w:p>
        </w:tc>
        <w:tc>
          <w:tcPr>
            <w:tcW w:w="1656" w:type="dxa"/>
            <w:shd w:val="clear" w:color="auto" w:fill="auto"/>
            <w:vAlign w:val="center"/>
          </w:tcPr>
          <w:p w14:paraId="6902CC3B" w14:textId="77777777" w:rsidR="005633F5" w:rsidRPr="00164238" w:rsidRDefault="005633F5" w:rsidP="00682CBF">
            <w:pPr>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fldChar w:fldCharType="begin" w:fldLock="1"/>
            </w:r>
            <w:r w:rsidRPr="00164238">
              <w:rPr>
                <w:rFonts w:ascii="Times New Roman" w:hAnsi="Times New Roman" w:cs="Times New Roman"/>
                <w:color w:val="000000" w:themeColor="text1"/>
              </w:rPr>
              <w:instrText>ADDIN CSL_CITATION {"citationItems":[{"id":"ITEM-1","itemData":{"DOI":"10.2307/249008","ISSN":"02767783","abstract":"[Valid measurement scales for predicting user acceptance of computers are in short supply. Most subjective measures used in practice are unvalidated, and their relationship to system usage is unknown. The present research develops and validates new scales for two specific variables, perceived usefulness and perceived ease of use, which are hypothesized to be fundamental determinants of user acceptance. Definitions for these two variables were used to develop scale items that were pretested for content validity and then tested for reliability and construct validity in two studies involving a total of 152 users and four application programs. The measures were refined and stream-lined, resulting in two six-item scales with reliabilities of.98 for usefulness and.94 for ease of use. The scales exhibited high convergent, discriminant, and factorial validity. Perceived usefulness was significantly correlated with both self-reported current usage (r=.63, Study 1) and self-predicted future usage (r=.85, Study 2). Perceived ease of use was also significantly correlated with current usage (r=.45, Study 1) and future usage (r=.59, Study 2). In both studies, usefulness had a significantly greater correlation with usage behavior than did ease of use. Regression analyses suggest that perceived ease of use may actually be a causal antecedent to perceived usefulness, as opposed to a parallel, direct determinant of system usage. Implications are drawn for future research on user acceptance.]","author":[{"dropping-particle":"","family":"Davis","given":"Fred D","non-dropping-particle":"","parse-names":false,"suffix":""}],"container-title":"MIS Quarterly","id":"ITEM-1","issue":"3","issued":{"date-parts":[["1989","11","25"]]},"page":"319-340","publisher":"Management Information Systems Research Center, University of Minnesota","title":"Perceived Usefulness, Perceived Ease of Use, and User Acceptance of Information Technology","type":"article-journal","volume":"13"},"uris":["http://www.mendeley.com/documents/?uuid=ccebfb5d-18ac-4a3c-958f-728c45945efb"]}],"mendeley":{"formattedCitation":"(Davis, 1989)","plainTextFormattedCitation":"(Davis, 1989)","previouslyFormattedCitation":"(Davis, 1989)"},"properties":{"noteIndex":0},"schema":"https://github.com/citation-style-language/schema/raw/master/csl-citation.json"}</w:instrText>
            </w:r>
            <w:r w:rsidRPr="00164238">
              <w:rPr>
                <w:rFonts w:ascii="Times New Roman" w:hAnsi="Times New Roman" w:cs="Times New Roman"/>
                <w:color w:val="000000" w:themeColor="text1"/>
              </w:rPr>
              <w:fldChar w:fldCharType="separate"/>
            </w:r>
            <w:r w:rsidRPr="00164238">
              <w:rPr>
                <w:rFonts w:ascii="Times New Roman" w:hAnsi="Times New Roman" w:cs="Times New Roman"/>
                <w:color w:val="000000" w:themeColor="text1"/>
              </w:rPr>
              <w:t>(Davis, 1989)</w:t>
            </w:r>
            <w:r w:rsidRPr="00164238">
              <w:rPr>
                <w:rFonts w:ascii="Times New Roman" w:hAnsi="Times New Roman" w:cs="Times New Roman"/>
                <w:color w:val="000000" w:themeColor="text1"/>
              </w:rPr>
              <w:fldChar w:fldCharType="end"/>
            </w:r>
          </w:p>
        </w:tc>
      </w:tr>
      <w:tr w:rsidR="00AE5E6C" w:rsidRPr="00164238" w14:paraId="0430DFD6" w14:textId="77777777" w:rsidTr="00682CBF">
        <w:trPr>
          <w:jc w:val="center"/>
        </w:trPr>
        <w:tc>
          <w:tcPr>
            <w:tcW w:w="709" w:type="dxa"/>
            <w:shd w:val="clear" w:color="auto" w:fill="auto"/>
            <w:vAlign w:val="center"/>
          </w:tcPr>
          <w:p w14:paraId="66F7CF74" w14:textId="77777777" w:rsidR="005633F5" w:rsidRPr="00164238" w:rsidRDefault="005633F5" w:rsidP="00682CBF">
            <w:pPr>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AY3</w:t>
            </w:r>
          </w:p>
        </w:tc>
        <w:tc>
          <w:tcPr>
            <w:tcW w:w="5387" w:type="dxa"/>
            <w:tcBorders>
              <w:right w:val="nil"/>
            </w:tcBorders>
            <w:shd w:val="clear" w:color="auto" w:fill="auto"/>
            <w:vAlign w:val="center"/>
          </w:tcPr>
          <w:p w14:paraId="4BDE92F2" w14:textId="77777777" w:rsidR="005633F5" w:rsidRPr="00164238" w:rsidRDefault="005633F5" w:rsidP="00682CBF">
            <w:pPr>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3- Covid-19 salgını sürecinde, temassız ödeme kullanmak bana avantajlar sağlar.</w:t>
            </w:r>
          </w:p>
        </w:tc>
        <w:tc>
          <w:tcPr>
            <w:tcW w:w="850" w:type="dxa"/>
            <w:tcBorders>
              <w:top w:val="nil"/>
              <w:left w:val="nil"/>
              <w:bottom w:val="nil"/>
              <w:right w:val="nil"/>
            </w:tcBorders>
            <w:shd w:val="clear" w:color="auto" w:fill="auto"/>
            <w:vAlign w:val="center"/>
          </w:tcPr>
          <w:p w14:paraId="34B826C8" w14:textId="77777777" w:rsidR="005633F5" w:rsidRPr="00164238" w:rsidRDefault="005633F5" w:rsidP="00682CBF">
            <w:pPr>
              <w:spacing w:line="276" w:lineRule="auto"/>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0,77</w:t>
            </w:r>
          </w:p>
        </w:tc>
        <w:tc>
          <w:tcPr>
            <w:tcW w:w="1656" w:type="dxa"/>
            <w:tcBorders>
              <w:left w:val="nil"/>
            </w:tcBorders>
            <w:shd w:val="clear" w:color="auto" w:fill="auto"/>
            <w:vAlign w:val="center"/>
          </w:tcPr>
          <w:p w14:paraId="17B48A78" w14:textId="77777777" w:rsidR="005633F5" w:rsidRPr="00164238" w:rsidRDefault="005633F5" w:rsidP="00682CBF">
            <w:pPr>
              <w:spacing w:line="276" w:lineRule="auto"/>
              <w:jc w:val="both"/>
              <w:rPr>
                <w:rFonts w:ascii="Times New Roman" w:hAnsi="Times New Roman" w:cs="Times New Roman"/>
                <w:color w:val="000000" w:themeColor="text1"/>
              </w:rPr>
            </w:pPr>
          </w:p>
        </w:tc>
      </w:tr>
      <w:tr w:rsidR="00AE5E6C" w:rsidRPr="00164238" w14:paraId="5D207A77" w14:textId="77777777" w:rsidTr="00682CBF">
        <w:trPr>
          <w:jc w:val="center"/>
        </w:trPr>
        <w:tc>
          <w:tcPr>
            <w:tcW w:w="8602" w:type="dxa"/>
            <w:gridSpan w:val="4"/>
            <w:vAlign w:val="center"/>
          </w:tcPr>
          <w:p w14:paraId="6207B7BB" w14:textId="77777777" w:rsidR="005633F5" w:rsidRPr="00164238" w:rsidRDefault="005633F5" w:rsidP="00682CBF">
            <w:pPr>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Kullanım Kolaylığı</w:t>
            </w:r>
          </w:p>
        </w:tc>
      </w:tr>
      <w:tr w:rsidR="00AE5E6C" w:rsidRPr="00164238" w14:paraId="7085F3E2" w14:textId="77777777" w:rsidTr="00682CBF">
        <w:trPr>
          <w:jc w:val="center"/>
        </w:trPr>
        <w:tc>
          <w:tcPr>
            <w:tcW w:w="709" w:type="dxa"/>
            <w:vAlign w:val="center"/>
          </w:tcPr>
          <w:p w14:paraId="420718E6" w14:textId="77777777" w:rsidR="005633F5" w:rsidRPr="00164238" w:rsidRDefault="005633F5" w:rsidP="00682CBF">
            <w:pPr>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KK1</w:t>
            </w:r>
          </w:p>
        </w:tc>
        <w:tc>
          <w:tcPr>
            <w:tcW w:w="5387" w:type="dxa"/>
            <w:tcBorders>
              <w:right w:val="nil"/>
            </w:tcBorders>
            <w:vAlign w:val="center"/>
          </w:tcPr>
          <w:p w14:paraId="2552F816" w14:textId="77777777" w:rsidR="005633F5" w:rsidRPr="00164238" w:rsidRDefault="005633F5" w:rsidP="00682CBF">
            <w:pPr>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Covid-19 salgını sürecinde, temassız ödemeyi kullanmak benim için çok kolay.</w:t>
            </w:r>
          </w:p>
        </w:tc>
        <w:tc>
          <w:tcPr>
            <w:tcW w:w="850" w:type="dxa"/>
            <w:tcBorders>
              <w:top w:val="nil"/>
              <w:left w:val="nil"/>
              <w:bottom w:val="nil"/>
              <w:right w:val="nil"/>
            </w:tcBorders>
            <w:vAlign w:val="center"/>
          </w:tcPr>
          <w:p w14:paraId="7B04373C" w14:textId="77777777" w:rsidR="005633F5" w:rsidRPr="00164238" w:rsidRDefault="005633F5" w:rsidP="00682CBF">
            <w:pPr>
              <w:spacing w:line="276" w:lineRule="auto"/>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0,90</w:t>
            </w:r>
          </w:p>
        </w:tc>
        <w:tc>
          <w:tcPr>
            <w:tcW w:w="1656" w:type="dxa"/>
            <w:tcBorders>
              <w:left w:val="nil"/>
            </w:tcBorders>
            <w:vAlign w:val="center"/>
          </w:tcPr>
          <w:p w14:paraId="6BC7F16E" w14:textId="77777777" w:rsidR="005633F5" w:rsidRPr="00164238" w:rsidRDefault="005633F5" w:rsidP="00682CBF">
            <w:pPr>
              <w:spacing w:line="276" w:lineRule="auto"/>
              <w:jc w:val="both"/>
              <w:rPr>
                <w:rFonts w:ascii="Times New Roman" w:hAnsi="Times New Roman" w:cs="Times New Roman"/>
                <w:color w:val="000000" w:themeColor="text1"/>
              </w:rPr>
            </w:pPr>
          </w:p>
        </w:tc>
      </w:tr>
      <w:tr w:rsidR="00AE5E6C" w:rsidRPr="00164238" w14:paraId="1539F6C6" w14:textId="77777777" w:rsidTr="00682CBF">
        <w:trPr>
          <w:jc w:val="center"/>
        </w:trPr>
        <w:tc>
          <w:tcPr>
            <w:tcW w:w="709" w:type="dxa"/>
            <w:shd w:val="clear" w:color="auto" w:fill="auto"/>
            <w:vAlign w:val="center"/>
          </w:tcPr>
          <w:p w14:paraId="5DEA06BB" w14:textId="77777777" w:rsidR="005633F5" w:rsidRPr="00164238" w:rsidRDefault="005633F5" w:rsidP="00682CBF">
            <w:pPr>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KK2</w:t>
            </w:r>
          </w:p>
        </w:tc>
        <w:tc>
          <w:tcPr>
            <w:tcW w:w="5387" w:type="dxa"/>
            <w:shd w:val="clear" w:color="auto" w:fill="auto"/>
            <w:vAlign w:val="center"/>
          </w:tcPr>
          <w:p w14:paraId="761127D8" w14:textId="77777777" w:rsidR="005633F5" w:rsidRPr="00164238" w:rsidRDefault="005633F5" w:rsidP="00682CBF">
            <w:pPr>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Covid-19 salgını sürecinde, temassız ödemeyi kullanmak benim için açık ve anlaşılır.</w:t>
            </w:r>
          </w:p>
        </w:tc>
        <w:tc>
          <w:tcPr>
            <w:tcW w:w="850" w:type="dxa"/>
            <w:tcBorders>
              <w:top w:val="nil"/>
              <w:bottom w:val="nil"/>
            </w:tcBorders>
            <w:shd w:val="clear" w:color="auto" w:fill="auto"/>
            <w:vAlign w:val="center"/>
          </w:tcPr>
          <w:p w14:paraId="0B32899A" w14:textId="77777777" w:rsidR="005633F5" w:rsidRPr="00164238" w:rsidRDefault="005633F5" w:rsidP="00682CBF">
            <w:pPr>
              <w:spacing w:line="276" w:lineRule="auto"/>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0,79</w:t>
            </w:r>
          </w:p>
        </w:tc>
        <w:tc>
          <w:tcPr>
            <w:tcW w:w="1656" w:type="dxa"/>
            <w:shd w:val="clear" w:color="auto" w:fill="auto"/>
            <w:vAlign w:val="center"/>
          </w:tcPr>
          <w:p w14:paraId="2CD57D70" w14:textId="77777777" w:rsidR="005633F5" w:rsidRPr="00164238" w:rsidRDefault="005633F5" w:rsidP="00682CBF">
            <w:pPr>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fldChar w:fldCharType="begin" w:fldLock="1"/>
            </w:r>
            <w:r w:rsidRPr="00164238">
              <w:rPr>
                <w:rFonts w:ascii="Times New Roman" w:hAnsi="Times New Roman" w:cs="Times New Roman"/>
                <w:color w:val="000000" w:themeColor="text1"/>
              </w:rPr>
              <w:instrText>ADDIN CSL_CITATION {"citationItems":[{"id":"ITEM-1","itemData":{"DOI":"10.2307/249008","ISSN":"02767783","abstract":"[Valid measurement scales for predicting user acceptance of computers are in short supply. Most subjective measures used in practice are unvalidated, and their relationship to system usage is unknown. The present research develops and validates new scales for two specific variables, perceived usefulness and perceived ease of use, which are hypothesized to be fundamental determinants of user acceptance. Definitions for these two variables were used to develop scale items that were pretested for content validity and then tested for reliability and construct validity in two studies involving a total of 152 users and four application programs. The measures were refined and stream-lined, resulting in two six-item scales with reliabilities of.98 for usefulness and.94 for ease of use. The scales exhibited high convergent, discriminant, and factorial validity. Perceived usefulness was significantly correlated with both self-reported current usage (r=.63, Study 1) and self-predicted future usage (r=.85, Study 2). Perceived ease of use was also significantly correlated with current usage (r=.45, Study 1) and future usage (r=.59, Study 2). In both studies, usefulness had a significantly greater correlation with usage behavior than did ease of use. Regression analyses suggest that perceived ease of use may actually be a causal antecedent to perceived usefulness, as opposed to a parallel, direct determinant of system usage. Implications are drawn for future research on user acceptance.]","author":[{"dropping-particle":"","family":"Davis","given":"Fred D","non-dropping-particle":"","parse-names":false,"suffix":""}],"container-title":"MIS Quarterly","id":"ITEM-1","issue":"3","issued":{"date-parts":[["1989","11","25"]]},"page":"319-340","publisher":"Management Information Systems Research Center, University of Minnesota","title":"Perceived Usefulness, Perceived Ease of Use, and User Acceptance of Information Technology","type":"article-journal","volume":"13"},"uris":["http://www.mendeley.com/documents/?uuid=ccebfb5d-18ac-4a3c-958f-728c45945efb"]}],"mendeley":{"formattedCitation":"(Davis, 1989)","plainTextFormattedCitation":"(Davis, 1989)"},"properties":{"noteIndex":0},"schema":"https://github.com/citation-style-language/schema/raw/master/csl-citation.json"}</w:instrText>
            </w:r>
            <w:r w:rsidRPr="00164238">
              <w:rPr>
                <w:rFonts w:ascii="Times New Roman" w:hAnsi="Times New Roman" w:cs="Times New Roman"/>
                <w:color w:val="000000" w:themeColor="text1"/>
              </w:rPr>
              <w:fldChar w:fldCharType="separate"/>
            </w:r>
            <w:r w:rsidRPr="00164238">
              <w:rPr>
                <w:rFonts w:ascii="Times New Roman" w:hAnsi="Times New Roman" w:cs="Times New Roman"/>
                <w:color w:val="000000" w:themeColor="text1"/>
              </w:rPr>
              <w:t>(Davis, 1989)</w:t>
            </w:r>
            <w:r w:rsidRPr="00164238">
              <w:rPr>
                <w:rFonts w:ascii="Times New Roman" w:hAnsi="Times New Roman" w:cs="Times New Roman"/>
                <w:color w:val="000000" w:themeColor="text1"/>
              </w:rPr>
              <w:fldChar w:fldCharType="end"/>
            </w:r>
          </w:p>
        </w:tc>
      </w:tr>
      <w:tr w:rsidR="00AE5E6C" w:rsidRPr="00164238" w14:paraId="6AAB5FE6" w14:textId="77777777" w:rsidTr="00682CBF">
        <w:trPr>
          <w:jc w:val="center"/>
        </w:trPr>
        <w:tc>
          <w:tcPr>
            <w:tcW w:w="709" w:type="dxa"/>
            <w:vAlign w:val="center"/>
          </w:tcPr>
          <w:p w14:paraId="6BBCCF89" w14:textId="77777777" w:rsidR="005633F5" w:rsidRPr="00164238" w:rsidRDefault="005633F5" w:rsidP="00682CBF">
            <w:pPr>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KK3</w:t>
            </w:r>
          </w:p>
        </w:tc>
        <w:tc>
          <w:tcPr>
            <w:tcW w:w="5387" w:type="dxa"/>
            <w:tcBorders>
              <w:right w:val="nil"/>
            </w:tcBorders>
            <w:vAlign w:val="center"/>
          </w:tcPr>
          <w:p w14:paraId="4572B128" w14:textId="77777777" w:rsidR="005633F5" w:rsidRPr="00164238" w:rsidRDefault="005633F5" w:rsidP="00682CBF">
            <w:pPr>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Genel olarak, temassız ödeme kullanmanın kolay olduğunu düşünüyorum.</w:t>
            </w:r>
          </w:p>
        </w:tc>
        <w:tc>
          <w:tcPr>
            <w:tcW w:w="850" w:type="dxa"/>
            <w:tcBorders>
              <w:top w:val="nil"/>
              <w:left w:val="nil"/>
              <w:bottom w:val="nil"/>
              <w:right w:val="nil"/>
            </w:tcBorders>
            <w:vAlign w:val="center"/>
          </w:tcPr>
          <w:p w14:paraId="5C032512" w14:textId="77777777" w:rsidR="005633F5" w:rsidRPr="00164238" w:rsidRDefault="005633F5" w:rsidP="00682CBF">
            <w:pPr>
              <w:spacing w:line="276" w:lineRule="auto"/>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0,91</w:t>
            </w:r>
          </w:p>
        </w:tc>
        <w:tc>
          <w:tcPr>
            <w:tcW w:w="1656" w:type="dxa"/>
            <w:tcBorders>
              <w:left w:val="nil"/>
            </w:tcBorders>
            <w:vAlign w:val="center"/>
          </w:tcPr>
          <w:p w14:paraId="7FB1FFB3" w14:textId="77777777" w:rsidR="005633F5" w:rsidRPr="00164238" w:rsidRDefault="005633F5" w:rsidP="00682CBF">
            <w:pPr>
              <w:spacing w:line="276" w:lineRule="auto"/>
              <w:jc w:val="both"/>
              <w:rPr>
                <w:rFonts w:ascii="Times New Roman" w:hAnsi="Times New Roman" w:cs="Times New Roman"/>
                <w:color w:val="000000" w:themeColor="text1"/>
              </w:rPr>
            </w:pPr>
          </w:p>
        </w:tc>
      </w:tr>
      <w:tr w:rsidR="00AE5E6C" w:rsidRPr="00164238" w14:paraId="6BD32E1B" w14:textId="77777777" w:rsidTr="00682CBF">
        <w:trPr>
          <w:jc w:val="center"/>
        </w:trPr>
        <w:tc>
          <w:tcPr>
            <w:tcW w:w="6096" w:type="dxa"/>
            <w:gridSpan w:val="2"/>
            <w:vAlign w:val="center"/>
          </w:tcPr>
          <w:p w14:paraId="4B8AEDB8" w14:textId="77777777" w:rsidR="005633F5" w:rsidRPr="00164238" w:rsidRDefault="005633F5" w:rsidP="00682CBF">
            <w:pPr>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lastRenderedPageBreak/>
              <w:t>Temassız Ödeme Kullanım Niyeti</w:t>
            </w:r>
          </w:p>
        </w:tc>
        <w:tc>
          <w:tcPr>
            <w:tcW w:w="850" w:type="dxa"/>
            <w:tcBorders>
              <w:top w:val="nil"/>
              <w:bottom w:val="nil"/>
            </w:tcBorders>
            <w:vAlign w:val="center"/>
          </w:tcPr>
          <w:p w14:paraId="2BCE8CA7" w14:textId="77777777" w:rsidR="005633F5" w:rsidRPr="00164238" w:rsidRDefault="005633F5" w:rsidP="00682CBF">
            <w:pPr>
              <w:spacing w:line="276" w:lineRule="auto"/>
              <w:jc w:val="both"/>
              <w:rPr>
                <w:rFonts w:ascii="Times New Roman" w:hAnsi="Times New Roman" w:cs="Times New Roman"/>
                <w:color w:val="000000" w:themeColor="text1"/>
              </w:rPr>
            </w:pPr>
          </w:p>
        </w:tc>
        <w:tc>
          <w:tcPr>
            <w:tcW w:w="1656" w:type="dxa"/>
            <w:vAlign w:val="center"/>
          </w:tcPr>
          <w:p w14:paraId="2DF6B038" w14:textId="77777777" w:rsidR="005633F5" w:rsidRPr="00164238" w:rsidRDefault="005633F5" w:rsidP="00682CBF">
            <w:pPr>
              <w:spacing w:line="276" w:lineRule="auto"/>
              <w:jc w:val="both"/>
              <w:rPr>
                <w:rFonts w:ascii="Times New Roman" w:hAnsi="Times New Roman" w:cs="Times New Roman"/>
                <w:color w:val="000000" w:themeColor="text1"/>
              </w:rPr>
            </w:pPr>
          </w:p>
        </w:tc>
      </w:tr>
      <w:tr w:rsidR="00AE5E6C" w:rsidRPr="00164238" w14:paraId="53A047D0" w14:textId="77777777" w:rsidTr="00682CBF">
        <w:trPr>
          <w:jc w:val="center"/>
        </w:trPr>
        <w:tc>
          <w:tcPr>
            <w:tcW w:w="709" w:type="dxa"/>
            <w:vAlign w:val="center"/>
          </w:tcPr>
          <w:p w14:paraId="1F9CB2E1" w14:textId="77777777" w:rsidR="005633F5" w:rsidRPr="00164238" w:rsidRDefault="005633F5" w:rsidP="00682CBF">
            <w:pPr>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TK1</w:t>
            </w:r>
          </w:p>
        </w:tc>
        <w:tc>
          <w:tcPr>
            <w:tcW w:w="5387" w:type="dxa"/>
            <w:tcBorders>
              <w:right w:val="nil"/>
            </w:tcBorders>
            <w:vAlign w:val="center"/>
          </w:tcPr>
          <w:p w14:paraId="598718F6" w14:textId="77777777" w:rsidR="005633F5" w:rsidRPr="00164238" w:rsidRDefault="005633F5" w:rsidP="00682CBF">
            <w:pPr>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Covid-19 salgını sürecinde ödeme işlemleri için temassız ödeme yöntemini kullanacağım.</w:t>
            </w:r>
          </w:p>
        </w:tc>
        <w:tc>
          <w:tcPr>
            <w:tcW w:w="850" w:type="dxa"/>
            <w:tcBorders>
              <w:top w:val="nil"/>
              <w:left w:val="nil"/>
              <w:bottom w:val="nil"/>
              <w:right w:val="nil"/>
            </w:tcBorders>
            <w:vAlign w:val="center"/>
          </w:tcPr>
          <w:p w14:paraId="2ED56A30" w14:textId="77777777" w:rsidR="005633F5" w:rsidRPr="00164238" w:rsidRDefault="005633F5" w:rsidP="00682CBF">
            <w:pPr>
              <w:spacing w:line="276" w:lineRule="auto"/>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0,92</w:t>
            </w:r>
          </w:p>
        </w:tc>
        <w:tc>
          <w:tcPr>
            <w:tcW w:w="1656" w:type="dxa"/>
            <w:tcBorders>
              <w:left w:val="nil"/>
            </w:tcBorders>
            <w:vAlign w:val="center"/>
          </w:tcPr>
          <w:p w14:paraId="4C577E97" w14:textId="77777777" w:rsidR="005633F5" w:rsidRPr="00164238" w:rsidRDefault="005633F5" w:rsidP="00682CBF">
            <w:pPr>
              <w:spacing w:line="276" w:lineRule="auto"/>
              <w:jc w:val="both"/>
              <w:rPr>
                <w:rFonts w:ascii="Times New Roman" w:hAnsi="Times New Roman" w:cs="Times New Roman"/>
                <w:color w:val="000000" w:themeColor="text1"/>
              </w:rPr>
            </w:pPr>
          </w:p>
        </w:tc>
      </w:tr>
      <w:tr w:rsidR="00AE5E6C" w:rsidRPr="00164238" w14:paraId="012C45C8" w14:textId="77777777" w:rsidTr="00682CBF">
        <w:trPr>
          <w:jc w:val="center"/>
        </w:trPr>
        <w:tc>
          <w:tcPr>
            <w:tcW w:w="709" w:type="dxa"/>
            <w:shd w:val="clear" w:color="auto" w:fill="auto"/>
            <w:vAlign w:val="center"/>
          </w:tcPr>
          <w:p w14:paraId="46EFD20D" w14:textId="77777777" w:rsidR="005633F5" w:rsidRPr="00164238" w:rsidRDefault="005633F5" w:rsidP="00682CBF">
            <w:pPr>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TK2</w:t>
            </w:r>
          </w:p>
        </w:tc>
        <w:tc>
          <w:tcPr>
            <w:tcW w:w="5387" w:type="dxa"/>
            <w:shd w:val="clear" w:color="auto" w:fill="auto"/>
            <w:vAlign w:val="center"/>
          </w:tcPr>
          <w:p w14:paraId="795A0E3E" w14:textId="77777777" w:rsidR="005633F5" w:rsidRPr="00164238" w:rsidRDefault="005633F5" w:rsidP="00682CBF">
            <w:pPr>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Covid-19 salgını sürecinde ödeme işlemleri için temassız ödeme yöntemi kullanmayı tercih ediyorum.</w:t>
            </w:r>
          </w:p>
        </w:tc>
        <w:tc>
          <w:tcPr>
            <w:tcW w:w="850" w:type="dxa"/>
            <w:tcBorders>
              <w:top w:val="nil"/>
              <w:bottom w:val="nil"/>
            </w:tcBorders>
            <w:shd w:val="clear" w:color="auto" w:fill="auto"/>
            <w:vAlign w:val="center"/>
          </w:tcPr>
          <w:p w14:paraId="0EE15258" w14:textId="77777777" w:rsidR="005633F5" w:rsidRPr="00164238" w:rsidRDefault="005633F5" w:rsidP="00682CBF">
            <w:pPr>
              <w:spacing w:line="276" w:lineRule="auto"/>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0,90</w:t>
            </w:r>
          </w:p>
        </w:tc>
        <w:tc>
          <w:tcPr>
            <w:tcW w:w="1656" w:type="dxa"/>
            <w:shd w:val="clear" w:color="auto" w:fill="auto"/>
            <w:vAlign w:val="center"/>
          </w:tcPr>
          <w:p w14:paraId="7520AA25" w14:textId="77777777" w:rsidR="005633F5" w:rsidRPr="00164238" w:rsidRDefault="005633F5" w:rsidP="00682CBF">
            <w:pPr>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fldChar w:fldCharType="begin" w:fldLock="1"/>
            </w:r>
            <w:r w:rsidRPr="00164238">
              <w:rPr>
                <w:rFonts w:ascii="Times New Roman" w:hAnsi="Times New Roman" w:cs="Times New Roman"/>
                <w:color w:val="000000" w:themeColor="text1"/>
              </w:rPr>
              <w:instrText>ADDIN CSL_CITATION {"citationItems":[{"id":"ITEM-1","itemData":{"ISSN":"0025-1909","author":[{"dropping-particle":"","family":"Venkatesh","given":"Viswanath","non-dropping-particle":"","parse-names":false,"suffix":""},{"dropping-particle":"","family":"Davis","given":"Fred D","non-dropping-particle":"","parse-names":false,"suffix":""}],"container-title":"Management science","id":"ITEM-1","issue":"2","issued":{"date-parts":[["2000"]]},"page":"186-204","publisher":"INFORMS","title":"A theoretical extension of the technology acceptance model: Four longitudinal field studies","type":"article-journal","volume":"46"},"uris":["http://www.mendeley.com/documents/?uuid=a18b1c8c-a987-4b3d-9bae-8d0d18e6d438"]}],"mendeley":{"formattedCitation":"(Venkatesh &amp; Davis, 2000)","plainTextFormattedCitation":"(Venkatesh &amp; Davis, 2000)","previouslyFormattedCitation":"(Venkatesh &amp; Davis, 2000)"},"properties":{"noteIndex":0},"schema":"https://github.com/citation-style-language/schema/raw/master/csl-citation.json"}</w:instrText>
            </w:r>
            <w:r w:rsidRPr="00164238">
              <w:rPr>
                <w:rFonts w:ascii="Times New Roman" w:hAnsi="Times New Roman" w:cs="Times New Roman"/>
                <w:color w:val="000000" w:themeColor="text1"/>
              </w:rPr>
              <w:fldChar w:fldCharType="separate"/>
            </w:r>
            <w:r w:rsidRPr="00164238">
              <w:rPr>
                <w:rFonts w:ascii="Times New Roman" w:hAnsi="Times New Roman" w:cs="Times New Roman"/>
                <w:color w:val="000000" w:themeColor="text1"/>
              </w:rPr>
              <w:t>(Venkatesh &amp; Davis, 2000)</w:t>
            </w:r>
            <w:r w:rsidRPr="00164238">
              <w:rPr>
                <w:rFonts w:ascii="Times New Roman" w:hAnsi="Times New Roman" w:cs="Times New Roman"/>
                <w:color w:val="000000" w:themeColor="text1"/>
              </w:rPr>
              <w:fldChar w:fldCharType="end"/>
            </w:r>
          </w:p>
        </w:tc>
      </w:tr>
      <w:tr w:rsidR="00AE5E6C" w:rsidRPr="00164238" w14:paraId="22152E79" w14:textId="77777777" w:rsidTr="00682CBF">
        <w:trPr>
          <w:jc w:val="center"/>
        </w:trPr>
        <w:tc>
          <w:tcPr>
            <w:tcW w:w="709" w:type="dxa"/>
            <w:vAlign w:val="center"/>
          </w:tcPr>
          <w:p w14:paraId="1A7DB258" w14:textId="77777777" w:rsidR="005633F5" w:rsidRPr="00164238" w:rsidRDefault="005633F5" w:rsidP="00682CBF">
            <w:pPr>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TK3</w:t>
            </w:r>
          </w:p>
        </w:tc>
        <w:tc>
          <w:tcPr>
            <w:tcW w:w="5387" w:type="dxa"/>
            <w:tcBorders>
              <w:right w:val="nil"/>
            </w:tcBorders>
            <w:vAlign w:val="center"/>
          </w:tcPr>
          <w:p w14:paraId="632FA5A5" w14:textId="77777777" w:rsidR="005633F5" w:rsidRPr="00164238" w:rsidRDefault="005633F5" w:rsidP="00682CBF">
            <w:pPr>
              <w:spacing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Gelecekte, ödeme işlemleri için temassız ödeme yöntemini kullanacağım.</w:t>
            </w:r>
          </w:p>
        </w:tc>
        <w:tc>
          <w:tcPr>
            <w:tcW w:w="850" w:type="dxa"/>
            <w:tcBorders>
              <w:top w:val="nil"/>
              <w:left w:val="nil"/>
              <w:bottom w:val="single" w:sz="8" w:space="0" w:color="000000" w:themeColor="text1"/>
              <w:right w:val="nil"/>
            </w:tcBorders>
            <w:vAlign w:val="center"/>
          </w:tcPr>
          <w:p w14:paraId="35F2A1D1" w14:textId="77777777" w:rsidR="005633F5" w:rsidRPr="00164238" w:rsidRDefault="005633F5" w:rsidP="00682CBF">
            <w:pPr>
              <w:spacing w:line="276" w:lineRule="auto"/>
              <w:jc w:val="both"/>
              <w:rPr>
                <w:rFonts w:ascii="Times New Roman" w:hAnsi="Times New Roman" w:cs="Times New Roman"/>
                <w:bCs/>
                <w:color w:val="000000" w:themeColor="text1"/>
              </w:rPr>
            </w:pPr>
            <w:r w:rsidRPr="00164238">
              <w:rPr>
                <w:rFonts w:ascii="Times New Roman" w:hAnsi="Times New Roman" w:cs="Times New Roman"/>
                <w:bCs/>
                <w:color w:val="000000" w:themeColor="text1"/>
              </w:rPr>
              <w:t>0,93</w:t>
            </w:r>
          </w:p>
        </w:tc>
        <w:tc>
          <w:tcPr>
            <w:tcW w:w="1656" w:type="dxa"/>
            <w:tcBorders>
              <w:left w:val="nil"/>
            </w:tcBorders>
            <w:vAlign w:val="center"/>
          </w:tcPr>
          <w:p w14:paraId="38369C41" w14:textId="77777777" w:rsidR="005633F5" w:rsidRPr="00164238" w:rsidRDefault="005633F5" w:rsidP="00682CBF">
            <w:pPr>
              <w:spacing w:line="276" w:lineRule="auto"/>
              <w:jc w:val="both"/>
              <w:rPr>
                <w:rFonts w:ascii="Times New Roman" w:hAnsi="Times New Roman" w:cs="Times New Roman"/>
                <w:color w:val="000000" w:themeColor="text1"/>
              </w:rPr>
            </w:pPr>
          </w:p>
        </w:tc>
      </w:tr>
    </w:tbl>
    <w:p w14:paraId="21A4AF07" w14:textId="77777777" w:rsidR="005633F5" w:rsidRPr="00164238" w:rsidRDefault="005633F5" w:rsidP="005633F5">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Verilerin analizinde en küçük kareler yöntemi ile yapısal eşitlik modellemesi tercih edilmiştir. Çünkü bu yöntem, karmaşık modellerde en iyi sonucu vermesi, normal dağılım göstermeyen verilerin analizi ve küçük örneklemlerle çalışabilmesi nedeniyle diğer yöntemlere göre avantaj sunmaktadır </w:t>
      </w:r>
      <w:r w:rsidRPr="00164238">
        <w:rPr>
          <w:rFonts w:ascii="Times New Roman" w:hAnsi="Times New Roman" w:cs="Times New Roman"/>
          <w:color w:val="000000" w:themeColor="text1"/>
        </w:rPr>
        <w:fldChar w:fldCharType="begin" w:fldLock="1"/>
      </w:r>
      <w:r w:rsidRPr="00164238">
        <w:rPr>
          <w:rFonts w:ascii="Times New Roman" w:hAnsi="Times New Roman" w:cs="Times New Roman"/>
          <w:color w:val="000000" w:themeColor="text1"/>
        </w:rPr>
        <w:instrText>ADDIN CSL_CITATION {"citationItems":[{"id":"ITEM-1","itemData":{"ISSN":"1047-7047","author":[{"dropping-particle":"","family":"Chin","given":"Wynne W","non-dropping-particle":"","parse-names":false,"suffix":""},{"dropping-particle":"","family":"Marcolin","given":"Barbara L","non-dropping-particle":"","parse-names":false,"suffix":""},{"dropping-particle":"","family":"Newsted","given":"Peter R","non-dropping-particle":"","parse-names":false,"suffix":""}],"container-title":"Information systems research","id":"ITEM-1","issue":"2","issued":{"date-parts":[["2003"]]},"page":"189-217","publisher":"INFORMS","title":"A partial least squares latent variable modeling approach for measuring interaction effects: Results from a Monte Carlo simulation study and an electronic-mail emotion/adoption study","type":"article-journal","volume":"14"},"uris":["http://www.mendeley.com/documents/?uuid=fb4dacbc-630c-42d3-aba1-a8a82f2ed077"]},{"id":"ITEM-2","itemData":{"ISSN":"0276-7783","author":[{"dropping-particle":"","family":"Ringle","given":"Christian M","non-dropping-particle":"","parse-names":false,"suffix":""},{"dropping-particle":"","family":"Sarstedt","given":"Marko","non-dropping-particle":"","parse-names":false,"suffix":""},{"dropping-particle":"","family":"Straub","given":"Detmar W","non-dropping-particle":"","parse-names":false,"suffix":""}],"container-title":"MIS quarterly","id":"ITEM-2","issued":{"date-parts":[["2012"]]},"page":"iii-xiv","publisher":"JSTOR","title":"Editor's Comments: A Critical Look at the Use of PLS-SEM in\" MIS Quarterly\"","type":"article-journal"},"uris":["http://www.mendeley.com/documents/?uuid=633bc9eb-19d5-4271-80ce-a8b5f1ec9b4e"]}],"mendeley":{"formattedCitation":"(Chin vd., 2003; Ringle vd., 2012)","plainTextFormattedCitation":"(Chin vd., 2003; Ringle vd., 2012)","previouslyFormattedCitation":"(Chin vd., 2003; Ringle vd., 2012)"},"properties":{"noteIndex":0},"schema":"https://github.com/citation-style-language/schema/raw/master/csl-citation.json"}</w:instrText>
      </w:r>
      <w:r w:rsidRPr="00164238">
        <w:rPr>
          <w:rFonts w:ascii="Times New Roman" w:hAnsi="Times New Roman" w:cs="Times New Roman"/>
          <w:color w:val="000000" w:themeColor="text1"/>
        </w:rPr>
        <w:fldChar w:fldCharType="separate"/>
      </w:r>
      <w:r w:rsidRPr="00164238">
        <w:rPr>
          <w:rFonts w:ascii="Times New Roman" w:hAnsi="Times New Roman" w:cs="Times New Roman"/>
          <w:color w:val="000000" w:themeColor="text1"/>
        </w:rPr>
        <w:t>(Chin vd., 2003; Ringle vd., 2012)</w:t>
      </w:r>
      <w:r w:rsidRPr="00164238">
        <w:rPr>
          <w:rFonts w:ascii="Times New Roman" w:hAnsi="Times New Roman" w:cs="Times New Roman"/>
          <w:color w:val="000000" w:themeColor="text1"/>
        </w:rPr>
        <w:fldChar w:fldCharType="end"/>
      </w:r>
      <w:r w:rsidRPr="00164238">
        <w:rPr>
          <w:rFonts w:ascii="Times New Roman" w:hAnsi="Times New Roman" w:cs="Times New Roman"/>
          <w:color w:val="000000" w:themeColor="text1"/>
        </w:rPr>
        <w:t>. Bu verilerin analizinde ise SmartPLS 3.0 programı kullanılmıştır.</w:t>
      </w:r>
    </w:p>
    <w:p w14:paraId="45DB5591" w14:textId="77777777" w:rsidR="005633F5" w:rsidRPr="00164238" w:rsidRDefault="005633F5" w:rsidP="005633F5">
      <w:pPr>
        <w:spacing w:before="60" w:after="60" w:line="276" w:lineRule="auto"/>
        <w:ind w:firstLine="567"/>
        <w:rPr>
          <w:rFonts w:ascii="Times New Roman" w:hAnsi="Times New Roman" w:cs="Times New Roman"/>
          <w:b/>
          <w:color w:val="000000" w:themeColor="text1"/>
        </w:rPr>
      </w:pPr>
      <w:r w:rsidRPr="00164238">
        <w:rPr>
          <w:rFonts w:ascii="Times New Roman" w:hAnsi="Times New Roman" w:cs="Times New Roman"/>
          <w:b/>
          <w:color w:val="000000" w:themeColor="text1"/>
        </w:rPr>
        <w:t>BULGULAR</w:t>
      </w:r>
    </w:p>
    <w:p w14:paraId="0A6E7418" w14:textId="77777777" w:rsidR="005633F5" w:rsidRPr="00164238" w:rsidRDefault="005633F5" w:rsidP="005633F5">
      <w:pPr>
        <w:spacing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Bu bölümde yapısal eşitlik modelini oluşturan ölçüm modeli ve yapısal modele ilişkin bulgular sunulmuştur.</w:t>
      </w:r>
    </w:p>
    <w:p w14:paraId="4A687D15" w14:textId="77777777" w:rsidR="005633F5" w:rsidRPr="00164238" w:rsidRDefault="005633F5" w:rsidP="005633F5">
      <w:pPr>
        <w:spacing w:before="120" w:after="120" w:line="276" w:lineRule="auto"/>
        <w:ind w:firstLine="567"/>
        <w:jc w:val="both"/>
        <w:rPr>
          <w:rFonts w:ascii="Times New Roman" w:hAnsi="Times New Roman" w:cs="Times New Roman"/>
          <w:b/>
          <w:color w:val="000000" w:themeColor="text1"/>
        </w:rPr>
      </w:pPr>
      <w:r w:rsidRPr="00164238">
        <w:rPr>
          <w:rFonts w:ascii="Times New Roman" w:hAnsi="Times New Roman" w:cs="Times New Roman"/>
          <w:b/>
          <w:color w:val="000000" w:themeColor="text1"/>
        </w:rPr>
        <w:t>Ölçüm Modeli</w:t>
      </w:r>
    </w:p>
    <w:p w14:paraId="25936998" w14:textId="6A982C11" w:rsidR="005633F5" w:rsidRDefault="005633F5" w:rsidP="005633F5">
      <w:pPr>
        <w:spacing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Bu aşamada araştırma modeline ilişkin güvenirlik ve geçerlilik test bulgularına yer verilecektir. İlk olarak modelin güvenirliğine yönelik alfa (α) ve birleşik güvenirlik (CR) değerleri incelenmiştir. Bu değerlerin 0.70 üzerinde olması gerekmektedir. Tablo 2 deki CR ve alfa değerleri incelediğimizde bu değerleri aştığı ve ölçeğin güvenirliği sağladığı anlaşılmıştır. İkinci olarak ise geçerlilik testi uygulanmıştır. Ölçek geçerliliği yakınsama ve ayrışma geçerlilik olmak üzere iki kısımdan oluşmaktadır. Yakınsama geçerliliğinde ölçeğin faktör değerleri ve değişkenlerin açıklanan ortalama varyans değerleri (AVE) incelenmiştir. Faktör yüklerinin 0.50 </w:t>
      </w:r>
      <w:r w:rsidRPr="00164238">
        <w:rPr>
          <w:rFonts w:ascii="Times New Roman" w:hAnsi="Times New Roman" w:cs="Times New Roman"/>
          <w:color w:val="000000" w:themeColor="text1"/>
        </w:rPr>
        <w:fldChar w:fldCharType="begin" w:fldLock="1"/>
      </w:r>
      <w:r w:rsidRPr="00164238">
        <w:rPr>
          <w:rFonts w:ascii="Times New Roman" w:hAnsi="Times New Roman" w:cs="Times New Roman"/>
          <w:color w:val="000000" w:themeColor="text1"/>
        </w:rPr>
        <w:instrText>ADDIN CSL_CITATION {"citationItems":[{"id":"ITEM-1","itemData":{"author":[{"dropping-particle":"","family":"Sarstedt","given":"Marko","non-dropping-particle":"","parse-names":false,"suffix":""},{"dropping-particle":"","family":"Ringle","given":"Christian M","non-dropping-particle":"","parse-names":false,"suffix":""},{"dropping-particle":"","family":"Hair","given":"Joseph F","non-dropping-particle":"","parse-names":false,"suffix":""}],"id":"ITEM-1","issued":{"date-parts":[["2017"]]},"title":"Partial least squares structural equation modeling","type":"article-journal"},"uris":["http://www.mendeley.com/documents/?uuid=8a635664-68fe-4b67-bb69-f8ce6ced5396"]}],"mendeley":{"formattedCitation":"(Sarstedt vd., 2017)","plainTextFormattedCitation":"(Sarstedt vd., 2017)","previouslyFormattedCitation":"(Sarstedt vd., 2017)"},"properties":{"noteIndex":0},"schema":"https://github.com/citation-style-language/schema/raw/master/csl-citation.json"}</w:instrText>
      </w:r>
      <w:r w:rsidRPr="00164238">
        <w:rPr>
          <w:rFonts w:ascii="Times New Roman" w:hAnsi="Times New Roman" w:cs="Times New Roman"/>
          <w:color w:val="000000" w:themeColor="text1"/>
        </w:rPr>
        <w:fldChar w:fldCharType="separate"/>
      </w:r>
      <w:r w:rsidRPr="00164238">
        <w:rPr>
          <w:rFonts w:ascii="Times New Roman" w:hAnsi="Times New Roman" w:cs="Times New Roman"/>
          <w:color w:val="000000" w:themeColor="text1"/>
        </w:rPr>
        <w:t>(Sarstedt vd., 2017)</w:t>
      </w:r>
      <w:r w:rsidRPr="00164238">
        <w:rPr>
          <w:rFonts w:ascii="Times New Roman" w:hAnsi="Times New Roman" w:cs="Times New Roman"/>
          <w:color w:val="000000" w:themeColor="text1"/>
        </w:rPr>
        <w:fldChar w:fldCharType="end"/>
      </w:r>
      <w:r w:rsidRPr="00164238">
        <w:rPr>
          <w:rFonts w:ascii="Times New Roman" w:hAnsi="Times New Roman" w:cs="Times New Roman"/>
          <w:color w:val="000000" w:themeColor="text1"/>
        </w:rPr>
        <w:t xml:space="preserve"> ve AVE değerlerinin 0.50’nin </w:t>
      </w:r>
      <w:r w:rsidRPr="00164238">
        <w:rPr>
          <w:rFonts w:ascii="Times New Roman" w:hAnsi="Times New Roman" w:cs="Times New Roman"/>
          <w:color w:val="000000" w:themeColor="text1"/>
        </w:rPr>
        <w:fldChar w:fldCharType="begin" w:fldLock="1"/>
      </w:r>
      <w:r w:rsidRPr="00164238">
        <w:rPr>
          <w:rFonts w:ascii="Times New Roman" w:hAnsi="Times New Roman" w:cs="Times New Roman"/>
          <w:color w:val="000000" w:themeColor="text1"/>
        </w:rPr>
        <w:instrText>ADDIN CSL_CITATION {"citationItems":[{"id":"ITEM-1","itemData":{"ISSN":"1573-1898","author":[{"dropping-particle":"","family":"Taber","given":"Keith S","non-dropping-particle":"","parse-names":false,"suffix":""}],"container-title":"Research in Science Education","id":"ITEM-1","issue":"6","issued":{"date-parts":[["2018"]]},"page":"1273-1296","publisher":"Springer","title":"The use of Cronbach’s alpha when developing and reporting research instruments in science education","type":"article-journal","volume":"48"},"uris":["http://www.mendeley.com/documents/?uuid=510d90b5-5731-4cbc-b4f8-37e6341a8dc6"]}],"mendeley":{"formattedCitation":"(Taber, 2018)","plainTextFormattedCitation":"(Taber, 2018)","previouslyFormattedCitation":"(Taber, 2018)"},"properties":{"noteIndex":0},"schema":"https://github.com/citation-style-language/schema/raw/master/csl-citation.json"}</w:instrText>
      </w:r>
      <w:r w:rsidRPr="00164238">
        <w:rPr>
          <w:rFonts w:ascii="Times New Roman" w:hAnsi="Times New Roman" w:cs="Times New Roman"/>
          <w:color w:val="000000" w:themeColor="text1"/>
        </w:rPr>
        <w:fldChar w:fldCharType="separate"/>
      </w:r>
      <w:r w:rsidRPr="00164238">
        <w:rPr>
          <w:rFonts w:ascii="Times New Roman" w:hAnsi="Times New Roman" w:cs="Times New Roman"/>
          <w:color w:val="000000" w:themeColor="text1"/>
        </w:rPr>
        <w:t>(Taber, 2018)</w:t>
      </w:r>
      <w:r w:rsidRPr="00164238">
        <w:rPr>
          <w:rFonts w:ascii="Times New Roman" w:hAnsi="Times New Roman" w:cs="Times New Roman"/>
          <w:color w:val="000000" w:themeColor="text1"/>
        </w:rPr>
        <w:fldChar w:fldCharType="end"/>
      </w:r>
      <w:r w:rsidRPr="00164238">
        <w:rPr>
          <w:rFonts w:ascii="Times New Roman" w:hAnsi="Times New Roman" w:cs="Times New Roman"/>
          <w:color w:val="000000" w:themeColor="text1"/>
        </w:rPr>
        <w:t xml:space="preserve"> üzerinde olması önerilmektedir. Tablo 1 ve Tablo 2’deki değerler incelendiğinde her bir faktör yükü ve AVE değerinin eşik değer üzerinde olduğu anlaşılmaktadır.</w:t>
      </w:r>
    </w:p>
    <w:p w14:paraId="6ADF6AC7" w14:textId="5084137E" w:rsidR="00C95516" w:rsidRDefault="00C95516" w:rsidP="005633F5">
      <w:pPr>
        <w:spacing w:line="276" w:lineRule="auto"/>
        <w:ind w:firstLine="567"/>
        <w:jc w:val="both"/>
        <w:rPr>
          <w:rFonts w:ascii="Times New Roman" w:hAnsi="Times New Roman" w:cs="Times New Roman"/>
          <w:color w:val="000000" w:themeColor="text1"/>
        </w:rPr>
      </w:pPr>
    </w:p>
    <w:p w14:paraId="75ECA322" w14:textId="7BCDD013" w:rsidR="00C95516" w:rsidRDefault="00C95516" w:rsidP="005633F5">
      <w:pPr>
        <w:spacing w:line="276" w:lineRule="auto"/>
        <w:ind w:firstLine="567"/>
        <w:jc w:val="both"/>
        <w:rPr>
          <w:rFonts w:ascii="Times New Roman" w:hAnsi="Times New Roman" w:cs="Times New Roman"/>
          <w:color w:val="000000" w:themeColor="text1"/>
        </w:rPr>
      </w:pPr>
    </w:p>
    <w:p w14:paraId="21B45BFF" w14:textId="23DA4E12" w:rsidR="00C95516" w:rsidRDefault="00C95516" w:rsidP="005633F5">
      <w:pPr>
        <w:spacing w:line="276" w:lineRule="auto"/>
        <w:ind w:firstLine="567"/>
        <w:jc w:val="both"/>
        <w:rPr>
          <w:rFonts w:ascii="Times New Roman" w:hAnsi="Times New Roman" w:cs="Times New Roman"/>
          <w:color w:val="000000" w:themeColor="text1"/>
        </w:rPr>
      </w:pPr>
    </w:p>
    <w:p w14:paraId="08F1D20C" w14:textId="58BCCCD0" w:rsidR="00C95516" w:rsidRDefault="00C95516" w:rsidP="005633F5">
      <w:pPr>
        <w:spacing w:line="276" w:lineRule="auto"/>
        <w:ind w:firstLine="567"/>
        <w:jc w:val="both"/>
        <w:rPr>
          <w:rFonts w:ascii="Times New Roman" w:hAnsi="Times New Roman" w:cs="Times New Roman"/>
          <w:color w:val="000000" w:themeColor="text1"/>
        </w:rPr>
      </w:pPr>
    </w:p>
    <w:p w14:paraId="5E0A3C26" w14:textId="6F38F408" w:rsidR="00C95516" w:rsidRDefault="00C95516" w:rsidP="005633F5">
      <w:pPr>
        <w:spacing w:line="276" w:lineRule="auto"/>
        <w:ind w:firstLine="567"/>
        <w:jc w:val="both"/>
        <w:rPr>
          <w:rFonts w:ascii="Times New Roman" w:hAnsi="Times New Roman" w:cs="Times New Roman"/>
          <w:color w:val="000000" w:themeColor="text1"/>
        </w:rPr>
      </w:pPr>
    </w:p>
    <w:p w14:paraId="76F6D741" w14:textId="30524CDA" w:rsidR="00C95516" w:rsidRDefault="00C95516" w:rsidP="005633F5">
      <w:pPr>
        <w:spacing w:line="276" w:lineRule="auto"/>
        <w:ind w:firstLine="567"/>
        <w:jc w:val="both"/>
        <w:rPr>
          <w:rFonts w:ascii="Times New Roman" w:hAnsi="Times New Roman" w:cs="Times New Roman"/>
          <w:color w:val="000000" w:themeColor="text1"/>
        </w:rPr>
      </w:pPr>
    </w:p>
    <w:p w14:paraId="605B1A70" w14:textId="3FF0D2E0" w:rsidR="00C95516" w:rsidRDefault="00C95516" w:rsidP="005633F5">
      <w:pPr>
        <w:spacing w:line="276" w:lineRule="auto"/>
        <w:ind w:firstLine="567"/>
        <w:jc w:val="both"/>
        <w:rPr>
          <w:rFonts w:ascii="Times New Roman" w:hAnsi="Times New Roman" w:cs="Times New Roman"/>
          <w:color w:val="000000" w:themeColor="text1"/>
        </w:rPr>
      </w:pPr>
    </w:p>
    <w:p w14:paraId="14D6BD16" w14:textId="541263B5" w:rsidR="00C95516" w:rsidRDefault="00C95516" w:rsidP="005633F5">
      <w:pPr>
        <w:spacing w:line="276" w:lineRule="auto"/>
        <w:ind w:firstLine="567"/>
        <w:jc w:val="both"/>
        <w:rPr>
          <w:rFonts w:ascii="Times New Roman" w:hAnsi="Times New Roman" w:cs="Times New Roman"/>
          <w:color w:val="000000" w:themeColor="text1"/>
        </w:rPr>
      </w:pPr>
    </w:p>
    <w:p w14:paraId="6087EA4C" w14:textId="77777777" w:rsidR="00C95516" w:rsidRPr="00164238" w:rsidRDefault="00C95516" w:rsidP="005633F5">
      <w:pPr>
        <w:spacing w:line="276" w:lineRule="auto"/>
        <w:ind w:firstLine="567"/>
        <w:jc w:val="both"/>
        <w:rPr>
          <w:rFonts w:ascii="Times New Roman" w:hAnsi="Times New Roman" w:cs="Times New Roman"/>
          <w:color w:val="000000" w:themeColor="text1"/>
        </w:rPr>
      </w:pPr>
    </w:p>
    <w:p w14:paraId="2346B354" w14:textId="77777777" w:rsidR="005633F5" w:rsidRPr="00164238" w:rsidRDefault="005633F5" w:rsidP="005633F5">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i/>
          <w:color w:val="000000" w:themeColor="text1"/>
        </w:rPr>
        <w:lastRenderedPageBreak/>
        <w:t>Tablo 2.</w:t>
      </w:r>
      <w:r w:rsidRPr="00164238">
        <w:rPr>
          <w:rFonts w:ascii="Times New Roman" w:hAnsi="Times New Roman" w:cs="Times New Roman"/>
          <w:b/>
          <w:color w:val="000000" w:themeColor="text1"/>
        </w:rPr>
        <w:t xml:space="preserve"> </w:t>
      </w:r>
      <w:r w:rsidRPr="00164238">
        <w:rPr>
          <w:rFonts w:ascii="Times New Roman" w:hAnsi="Times New Roman" w:cs="Times New Roman"/>
          <w:color w:val="000000" w:themeColor="text1"/>
        </w:rPr>
        <w:t>Ayrışma Geçerliliği</w:t>
      </w:r>
    </w:p>
    <w:tbl>
      <w:tblPr>
        <w:tblStyle w:val="A3"/>
        <w:tblW w:w="0" w:type="auto"/>
        <w:tblBorders>
          <w:top w:val="single" w:sz="4" w:space="0" w:color="auto"/>
          <w:left w:val="single" w:sz="4" w:space="0" w:color="auto"/>
          <w:bottom w:val="single" w:sz="4" w:space="0" w:color="auto"/>
          <w:right w:val="single" w:sz="4" w:space="0" w:color="auto"/>
          <w:insideH w:val="single" w:sz="4" w:space="0" w:color="auto"/>
        </w:tblBorders>
        <w:tblLook w:val="04A0" w:firstRow="1" w:lastRow="0" w:firstColumn="1" w:lastColumn="0" w:noHBand="0" w:noVBand="1"/>
      </w:tblPr>
      <w:tblGrid>
        <w:gridCol w:w="2204"/>
        <w:gridCol w:w="1444"/>
        <w:gridCol w:w="1420"/>
        <w:gridCol w:w="1725"/>
        <w:gridCol w:w="1702"/>
      </w:tblGrid>
      <w:tr w:rsidR="00AE5E6C" w:rsidRPr="00164238" w14:paraId="462FE919" w14:textId="77777777" w:rsidTr="00682CBF">
        <w:trPr>
          <w:trHeight w:val="556"/>
        </w:trPr>
        <w:tc>
          <w:tcPr>
            <w:tcW w:w="2205" w:type="dxa"/>
            <w:tcBorders>
              <w:bottom w:val="single" w:sz="4" w:space="0" w:color="auto"/>
            </w:tcBorders>
            <w:shd w:val="clear" w:color="auto" w:fill="D9D9D9"/>
            <w:noWrap/>
            <w:vAlign w:val="bottom"/>
            <w:hideMark/>
          </w:tcPr>
          <w:p w14:paraId="6A5A5F73" w14:textId="77777777" w:rsidR="005633F5" w:rsidRPr="00164238" w:rsidRDefault="005633F5" w:rsidP="00682CBF">
            <w:pPr>
              <w:rPr>
                <w:color w:val="000000" w:themeColor="text1"/>
              </w:rPr>
            </w:pPr>
            <w:r w:rsidRPr="00164238">
              <w:rPr>
                <w:color w:val="000000" w:themeColor="text1"/>
              </w:rPr>
              <w:t>Fornell ve Larcker’s (1981)</w:t>
            </w:r>
          </w:p>
        </w:tc>
        <w:tc>
          <w:tcPr>
            <w:tcW w:w="1445" w:type="dxa"/>
            <w:tcBorders>
              <w:bottom w:val="single" w:sz="4" w:space="0" w:color="auto"/>
            </w:tcBorders>
            <w:shd w:val="clear" w:color="auto" w:fill="D9D9D9"/>
            <w:noWrap/>
            <w:vAlign w:val="bottom"/>
            <w:hideMark/>
          </w:tcPr>
          <w:p w14:paraId="280CB8FD" w14:textId="77777777" w:rsidR="005633F5" w:rsidRPr="00164238" w:rsidRDefault="005633F5" w:rsidP="00682CBF">
            <w:pPr>
              <w:rPr>
                <w:color w:val="000000" w:themeColor="text1"/>
              </w:rPr>
            </w:pPr>
            <w:r w:rsidRPr="00164238">
              <w:rPr>
                <w:color w:val="000000" w:themeColor="text1"/>
              </w:rPr>
              <w:t>Algılanan Yararlılık</w:t>
            </w:r>
          </w:p>
        </w:tc>
        <w:tc>
          <w:tcPr>
            <w:tcW w:w="1421" w:type="dxa"/>
            <w:tcBorders>
              <w:bottom w:val="single" w:sz="4" w:space="0" w:color="auto"/>
            </w:tcBorders>
            <w:shd w:val="clear" w:color="auto" w:fill="D9D9D9"/>
            <w:noWrap/>
            <w:vAlign w:val="bottom"/>
            <w:hideMark/>
          </w:tcPr>
          <w:p w14:paraId="0B217F34" w14:textId="77777777" w:rsidR="005633F5" w:rsidRPr="00164238" w:rsidRDefault="005633F5" w:rsidP="00682CBF">
            <w:pPr>
              <w:rPr>
                <w:color w:val="000000" w:themeColor="text1"/>
              </w:rPr>
            </w:pPr>
            <w:r w:rsidRPr="00164238">
              <w:rPr>
                <w:color w:val="000000" w:themeColor="text1"/>
              </w:rPr>
              <w:t>Covid-19 Algısı</w:t>
            </w:r>
          </w:p>
        </w:tc>
        <w:tc>
          <w:tcPr>
            <w:tcW w:w="1726" w:type="dxa"/>
            <w:tcBorders>
              <w:bottom w:val="single" w:sz="4" w:space="0" w:color="auto"/>
            </w:tcBorders>
            <w:shd w:val="clear" w:color="auto" w:fill="D9D9D9"/>
            <w:noWrap/>
            <w:vAlign w:val="bottom"/>
            <w:hideMark/>
          </w:tcPr>
          <w:p w14:paraId="1F19B7B3" w14:textId="77777777" w:rsidR="005633F5" w:rsidRPr="00164238" w:rsidRDefault="005633F5" w:rsidP="00682CBF">
            <w:pPr>
              <w:rPr>
                <w:color w:val="000000" w:themeColor="text1"/>
              </w:rPr>
            </w:pPr>
            <w:r w:rsidRPr="00164238">
              <w:rPr>
                <w:color w:val="000000" w:themeColor="text1"/>
              </w:rPr>
              <w:t>Kullanım Kolaylığı</w:t>
            </w:r>
          </w:p>
        </w:tc>
        <w:tc>
          <w:tcPr>
            <w:tcW w:w="1703" w:type="dxa"/>
            <w:tcBorders>
              <w:bottom w:val="single" w:sz="4" w:space="0" w:color="auto"/>
            </w:tcBorders>
            <w:shd w:val="clear" w:color="auto" w:fill="D9D9D9"/>
            <w:noWrap/>
            <w:vAlign w:val="bottom"/>
            <w:hideMark/>
          </w:tcPr>
          <w:p w14:paraId="38A8FE48" w14:textId="77777777" w:rsidR="005633F5" w:rsidRPr="00164238" w:rsidRDefault="005633F5" w:rsidP="00682CBF">
            <w:pPr>
              <w:rPr>
                <w:color w:val="000000" w:themeColor="text1"/>
              </w:rPr>
            </w:pPr>
            <w:r w:rsidRPr="00164238">
              <w:rPr>
                <w:color w:val="000000" w:themeColor="text1"/>
              </w:rPr>
              <w:t>Temassız Ödeme Kullanım Niyeti</w:t>
            </w:r>
          </w:p>
        </w:tc>
      </w:tr>
      <w:tr w:rsidR="00AE5E6C" w:rsidRPr="00164238" w14:paraId="7522104B" w14:textId="77777777" w:rsidTr="00682CBF">
        <w:trPr>
          <w:trHeight w:hRule="exact" w:val="284"/>
        </w:trPr>
        <w:tc>
          <w:tcPr>
            <w:tcW w:w="2205" w:type="dxa"/>
            <w:shd w:val="clear" w:color="auto" w:fill="D9D9D9"/>
            <w:noWrap/>
            <w:vAlign w:val="bottom"/>
            <w:hideMark/>
          </w:tcPr>
          <w:p w14:paraId="370E2EDD" w14:textId="77777777" w:rsidR="005633F5" w:rsidRPr="00164238" w:rsidRDefault="005633F5" w:rsidP="00682CBF">
            <w:pPr>
              <w:rPr>
                <w:color w:val="000000" w:themeColor="text1"/>
              </w:rPr>
            </w:pPr>
            <w:r w:rsidRPr="00164238">
              <w:rPr>
                <w:color w:val="000000" w:themeColor="text1"/>
              </w:rPr>
              <w:t>Algılanan Yararlılık</w:t>
            </w:r>
          </w:p>
        </w:tc>
        <w:tc>
          <w:tcPr>
            <w:tcW w:w="1445" w:type="dxa"/>
            <w:tcBorders>
              <w:bottom w:val="nil"/>
            </w:tcBorders>
            <w:shd w:val="clear" w:color="auto" w:fill="FFFFFF"/>
            <w:noWrap/>
            <w:vAlign w:val="bottom"/>
            <w:hideMark/>
          </w:tcPr>
          <w:p w14:paraId="36289267" w14:textId="77777777" w:rsidR="005633F5" w:rsidRPr="00164238" w:rsidRDefault="005633F5" w:rsidP="00682CBF">
            <w:pPr>
              <w:rPr>
                <w:b/>
                <w:color w:val="000000" w:themeColor="text1"/>
              </w:rPr>
            </w:pPr>
            <w:r w:rsidRPr="00164238">
              <w:rPr>
                <w:b/>
                <w:color w:val="000000" w:themeColor="text1"/>
              </w:rPr>
              <w:t>0,821</w:t>
            </w:r>
          </w:p>
        </w:tc>
        <w:tc>
          <w:tcPr>
            <w:tcW w:w="1421" w:type="dxa"/>
            <w:tcBorders>
              <w:bottom w:val="nil"/>
            </w:tcBorders>
            <w:shd w:val="clear" w:color="auto" w:fill="FFFFFF"/>
            <w:noWrap/>
            <w:vAlign w:val="bottom"/>
            <w:hideMark/>
          </w:tcPr>
          <w:p w14:paraId="4D854326" w14:textId="77777777" w:rsidR="005633F5" w:rsidRPr="00164238" w:rsidRDefault="005633F5" w:rsidP="00682CBF">
            <w:pPr>
              <w:rPr>
                <w:color w:val="000000" w:themeColor="text1"/>
              </w:rPr>
            </w:pPr>
            <w:r w:rsidRPr="00164238">
              <w:rPr>
                <w:color w:val="000000" w:themeColor="text1"/>
              </w:rPr>
              <w:t> </w:t>
            </w:r>
          </w:p>
        </w:tc>
        <w:tc>
          <w:tcPr>
            <w:tcW w:w="1726" w:type="dxa"/>
            <w:tcBorders>
              <w:bottom w:val="nil"/>
            </w:tcBorders>
            <w:shd w:val="clear" w:color="auto" w:fill="FFFFFF"/>
            <w:noWrap/>
            <w:vAlign w:val="bottom"/>
            <w:hideMark/>
          </w:tcPr>
          <w:p w14:paraId="0C6DD875" w14:textId="77777777" w:rsidR="005633F5" w:rsidRPr="00164238" w:rsidRDefault="005633F5" w:rsidP="00682CBF">
            <w:pPr>
              <w:rPr>
                <w:color w:val="000000" w:themeColor="text1"/>
              </w:rPr>
            </w:pPr>
            <w:r w:rsidRPr="00164238">
              <w:rPr>
                <w:color w:val="000000" w:themeColor="text1"/>
              </w:rPr>
              <w:t> </w:t>
            </w:r>
          </w:p>
        </w:tc>
        <w:tc>
          <w:tcPr>
            <w:tcW w:w="1703" w:type="dxa"/>
            <w:tcBorders>
              <w:bottom w:val="nil"/>
            </w:tcBorders>
            <w:shd w:val="clear" w:color="auto" w:fill="FFFFFF"/>
            <w:noWrap/>
            <w:vAlign w:val="bottom"/>
            <w:hideMark/>
          </w:tcPr>
          <w:p w14:paraId="6D15B733" w14:textId="77777777" w:rsidR="005633F5" w:rsidRPr="00164238" w:rsidRDefault="005633F5" w:rsidP="00682CBF">
            <w:pPr>
              <w:rPr>
                <w:color w:val="000000" w:themeColor="text1"/>
              </w:rPr>
            </w:pPr>
            <w:r w:rsidRPr="00164238">
              <w:rPr>
                <w:color w:val="000000" w:themeColor="text1"/>
              </w:rPr>
              <w:t> </w:t>
            </w:r>
          </w:p>
        </w:tc>
      </w:tr>
      <w:tr w:rsidR="00AE5E6C" w:rsidRPr="00164238" w14:paraId="1A6E6BEA" w14:textId="77777777" w:rsidTr="00682CBF">
        <w:trPr>
          <w:trHeight w:hRule="exact" w:val="284"/>
        </w:trPr>
        <w:tc>
          <w:tcPr>
            <w:tcW w:w="2205" w:type="dxa"/>
            <w:shd w:val="clear" w:color="auto" w:fill="D9D9D9"/>
            <w:noWrap/>
            <w:vAlign w:val="bottom"/>
            <w:hideMark/>
          </w:tcPr>
          <w:p w14:paraId="36D7F553" w14:textId="77777777" w:rsidR="005633F5" w:rsidRPr="00164238" w:rsidRDefault="005633F5" w:rsidP="00682CBF">
            <w:pPr>
              <w:rPr>
                <w:color w:val="000000" w:themeColor="text1"/>
              </w:rPr>
            </w:pPr>
            <w:r w:rsidRPr="00164238">
              <w:rPr>
                <w:color w:val="000000" w:themeColor="text1"/>
              </w:rPr>
              <w:t>Covid-19 Algısı</w:t>
            </w:r>
          </w:p>
        </w:tc>
        <w:tc>
          <w:tcPr>
            <w:tcW w:w="1445" w:type="dxa"/>
            <w:tcBorders>
              <w:top w:val="nil"/>
              <w:bottom w:val="nil"/>
            </w:tcBorders>
            <w:shd w:val="clear" w:color="auto" w:fill="FFFFFF"/>
            <w:noWrap/>
            <w:vAlign w:val="bottom"/>
            <w:hideMark/>
          </w:tcPr>
          <w:p w14:paraId="15EB302C" w14:textId="77777777" w:rsidR="005633F5" w:rsidRPr="00164238" w:rsidRDefault="005633F5" w:rsidP="00682CBF">
            <w:pPr>
              <w:rPr>
                <w:color w:val="000000" w:themeColor="text1"/>
              </w:rPr>
            </w:pPr>
            <w:r w:rsidRPr="00164238">
              <w:rPr>
                <w:color w:val="000000" w:themeColor="text1"/>
              </w:rPr>
              <w:t>0,393</w:t>
            </w:r>
          </w:p>
        </w:tc>
        <w:tc>
          <w:tcPr>
            <w:tcW w:w="1421" w:type="dxa"/>
            <w:tcBorders>
              <w:top w:val="nil"/>
              <w:bottom w:val="nil"/>
            </w:tcBorders>
            <w:shd w:val="clear" w:color="auto" w:fill="FFFFFF"/>
            <w:noWrap/>
            <w:vAlign w:val="bottom"/>
            <w:hideMark/>
          </w:tcPr>
          <w:p w14:paraId="7AA3B23E" w14:textId="77777777" w:rsidR="005633F5" w:rsidRPr="00164238" w:rsidRDefault="005633F5" w:rsidP="00682CBF">
            <w:pPr>
              <w:rPr>
                <w:b/>
                <w:color w:val="000000" w:themeColor="text1"/>
              </w:rPr>
            </w:pPr>
            <w:r w:rsidRPr="00164238">
              <w:rPr>
                <w:b/>
                <w:color w:val="000000" w:themeColor="text1"/>
              </w:rPr>
              <w:t>0,915</w:t>
            </w:r>
          </w:p>
        </w:tc>
        <w:tc>
          <w:tcPr>
            <w:tcW w:w="1726" w:type="dxa"/>
            <w:tcBorders>
              <w:top w:val="nil"/>
              <w:bottom w:val="nil"/>
            </w:tcBorders>
            <w:shd w:val="clear" w:color="auto" w:fill="FFFFFF"/>
            <w:noWrap/>
            <w:vAlign w:val="bottom"/>
            <w:hideMark/>
          </w:tcPr>
          <w:p w14:paraId="74F9DF71" w14:textId="77777777" w:rsidR="005633F5" w:rsidRPr="00164238" w:rsidRDefault="005633F5" w:rsidP="00682CBF">
            <w:pPr>
              <w:rPr>
                <w:color w:val="000000" w:themeColor="text1"/>
              </w:rPr>
            </w:pPr>
            <w:r w:rsidRPr="00164238">
              <w:rPr>
                <w:color w:val="000000" w:themeColor="text1"/>
              </w:rPr>
              <w:t> </w:t>
            </w:r>
          </w:p>
        </w:tc>
        <w:tc>
          <w:tcPr>
            <w:tcW w:w="1703" w:type="dxa"/>
            <w:tcBorders>
              <w:top w:val="nil"/>
              <w:bottom w:val="nil"/>
            </w:tcBorders>
            <w:shd w:val="clear" w:color="auto" w:fill="FFFFFF"/>
            <w:noWrap/>
            <w:vAlign w:val="bottom"/>
            <w:hideMark/>
          </w:tcPr>
          <w:p w14:paraId="30FDFA0C" w14:textId="77777777" w:rsidR="005633F5" w:rsidRPr="00164238" w:rsidRDefault="005633F5" w:rsidP="00682CBF">
            <w:pPr>
              <w:rPr>
                <w:color w:val="000000" w:themeColor="text1"/>
              </w:rPr>
            </w:pPr>
            <w:r w:rsidRPr="00164238">
              <w:rPr>
                <w:color w:val="000000" w:themeColor="text1"/>
              </w:rPr>
              <w:t> </w:t>
            </w:r>
          </w:p>
        </w:tc>
      </w:tr>
      <w:tr w:rsidR="00AE5E6C" w:rsidRPr="00164238" w14:paraId="3F7A275C" w14:textId="77777777" w:rsidTr="00682CBF">
        <w:trPr>
          <w:trHeight w:hRule="exact" w:val="284"/>
        </w:trPr>
        <w:tc>
          <w:tcPr>
            <w:tcW w:w="2205" w:type="dxa"/>
            <w:shd w:val="clear" w:color="auto" w:fill="D9D9D9"/>
            <w:noWrap/>
            <w:vAlign w:val="bottom"/>
            <w:hideMark/>
          </w:tcPr>
          <w:p w14:paraId="192EA369" w14:textId="77777777" w:rsidR="005633F5" w:rsidRPr="00164238" w:rsidRDefault="005633F5" w:rsidP="00682CBF">
            <w:pPr>
              <w:rPr>
                <w:color w:val="000000" w:themeColor="text1"/>
              </w:rPr>
            </w:pPr>
            <w:r w:rsidRPr="00164238">
              <w:rPr>
                <w:color w:val="000000" w:themeColor="text1"/>
              </w:rPr>
              <w:t>Kullanım kolaylığı</w:t>
            </w:r>
          </w:p>
        </w:tc>
        <w:tc>
          <w:tcPr>
            <w:tcW w:w="1445" w:type="dxa"/>
            <w:tcBorders>
              <w:top w:val="nil"/>
              <w:bottom w:val="nil"/>
            </w:tcBorders>
            <w:shd w:val="clear" w:color="auto" w:fill="FFFFFF"/>
            <w:noWrap/>
            <w:vAlign w:val="bottom"/>
            <w:hideMark/>
          </w:tcPr>
          <w:p w14:paraId="2D3FBDD9" w14:textId="77777777" w:rsidR="005633F5" w:rsidRPr="00164238" w:rsidRDefault="005633F5" w:rsidP="00682CBF">
            <w:pPr>
              <w:rPr>
                <w:color w:val="000000" w:themeColor="text1"/>
              </w:rPr>
            </w:pPr>
            <w:r w:rsidRPr="00164238">
              <w:rPr>
                <w:color w:val="000000" w:themeColor="text1"/>
              </w:rPr>
              <w:t>0,780</w:t>
            </w:r>
          </w:p>
        </w:tc>
        <w:tc>
          <w:tcPr>
            <w:tcW w:w="1421" w:type="dxa"/>
            <w:tcBorders>
              <w:top w:val="nil"/>
              <w:bottom w:val="nil"/>
            </w:tcBorders>
            <w:shd w:val="clear" w:color="auto" w:fill="FFFFFF"/>
            <w:noWrap/>
            <w:vAlign w:val="bottom"/>
            <w:hideMark/>
          </w:tcPr>
          <w:p w14:paraId="01630B59" w14:textId="77777777" w:rsidR="005633F5" w:rsidRPr="00164238" w:rsidRDefault="005633F5" w:rsidP="00682CBF">
            <w:pPr>
              <w:rPr>
                <w:color w:val="000000" w:themeColor="text1"/>
              </w:rPr>
            </w:pPr>
            <w:r w:rsidRPr="00164238">
              <w:rPr>
                <w:color w:val="000000" w:themeColor="text1"/>
              </w:rPr>
              <w:t>0,362</w:t>
            </w:r>
          </w:p>
        </w:tc>
        <w:tc>
          <w:tcPr>
            <w:tcW w:w="1726" w:type="dxa"/>
            <w:tcBorders>
              <w:top w:val="nil"/>
              <w:bottom w:val="nil"/>
            </w:tcBorders>
            <w:shd w:val="clear" w:color="auto" w:fill="FFFFFF"/>
            <w:noWrap/>
            <w:vAlign w:val="bottom"/>
            <w:hideMark/>
          </w:tcPr>
          <w:p w14:paraId="4FB6FCD2" w14:textId="77777777" w:rsidR="005633F5" w:rsidRPr="00164238" w:rsidRDefault="005633F5" w:rsidP="00682CBF">
            <w:pPr>
              <w:rPr>
                <w:color w:val="000000" w:themeColor="text1"/>
              </w:rPr>
            </w:pPr>
            <w:r w:rsidRPr="00164238">
              <w:rPr>
                <w:color w:val="000000" w:themeColor="text1"/>
              </w:rPr>
              <w:t>0</w:t>
            </w:r>
            <w:r w:rsidRPr="00164238">
              <w:rPr>
                <w:b/>
                <w:color w:val="000000" w:themeColor="text1"/>
              </w:rPr>
              <w:t>,873</w:t>
            </w:r>
          </w:p>
        </w:tc>
        <w:tc>
          <w:tcPr>
            <w:tcW w:w="1703" w:type="dxa"/>
            <w:tcBorders>
              <w:top w:val="nil"/>
              <w:bottom w:val="nil"/>
            </w:tcBorders>
            <w:shd w:val="clear" w:color="auto" w:fill="FFFFFF"/>
            <w:noWrap/>
            <w:vAlign w:val="bottom"/>
            <w:hideMark/>
          </w:tcPr>
          <w:p w14:paraId="3A0DD391" w14:textId="77777777" w:rsidR="005633F5" w:rsidRPr="00164238" w:rsidRDefault="005633F5" w:rsidP="00682CBF">
            <w:pPr>
              <w:rPr>
                <w:color w:val="000000" w:themeColor="text1"/>
              </w:rPr>
            </w:pPr>
            <w:r w:rsidRPr="00164238">
              <w:rPr>
                <w:color w:val="000000" w:themeColor="text1"/>
              </w:rPr>
              <w:t> </w:t>
            </w:r>
          </w:p>
        </w:tc>
      </w:tr>
      <w:tr w:rsidR="00AE5E6C" w:rsidRPr="00164238" w14:paraId="75E42E96" w14:textId="77777777" w:rsidTr="00682CBF">
        <w:trPr>
          <w:trHeight w:hRule="exact" w:val="454"/>
        </w:trPr>
        <w:tc>
          <w:tcPr>
            <w:tcW w:w="2205" w:type="dxa"/>
            <w:tcBorders>
              <w:left w:val="single" w:sz="4" w:space="0" w:color="auto"/>
              <w:bottom w:val="single" w:sz="4" w:space="0" w:color="auto"/>
            </w:tcBorders>
            <w:shd w:val="clear" w:color="auto" w:fill="D9D9D9"/>
            <w:noWrap/>
            <w:vAlign w:val="bottom"/>
            <w:hideMark/>
          </w:tcPr>
          <w:p w14:paraId="4C44CB6A" w14:textId="77777777" w:rsidR="005633F5" w:rsidRPr="00164238" w:rsidRDefault="005633F5" w:rsidP="00682CBF">
            <w:pPr>
              <w:rPr>
                <w:color w:val="000000" w:themeColor="text1"/>
              </w:rPr>
            </w:pPr>
            <w:r w:rsidRPr="00164238">
              <w:rPr>
                <w:color w:val="000000" w:themeColor="text1"/>
              </w:rPr>
              <w:t>Temassız Ödeme Kullanım Niyeti</w:t>
            </w:r>
          </w:p>
        </w:tc>
        <w:tc>
          <w:tcPr>
            <w:tcW w:w="1445" w:type="dxa"/>
            <w:tcBorders>
              <w:top w:val="nil"/>
              <w:bottom w:val="single" w:sz="4" w:space="0" w:color="auto"/>
            </w:tcBorders>
            <w:shd w:val="clear" w:color="auto" w:fill="FFFFFF"/>
            <w:noWrap/>
            <w:vAlign w:val="bottom"/>
            <w:hideMark/>
          </w:tcPr>
          <w:p w14:paraId="063C76EE" w14:textId="77777777" w:rsidR="005633F5" w:rsidRPr="00164238" w:rsidRDefault="005633F5" w:rsidP="00682CBF">
            <w:pPr>
              <w:rPr>
                <w:color w:val="000000" w:themeColor="text1"/>
              </w:rPr>
            </w:pPr>
            <w:r w:rsidRPr="00164238">
              <w:rPr>
                <w:color w:val="000000" w:themeColor="text1"/>
              </w:rPr>
              <w:t>0,642</w:t>
            </w:r>
          </w:p>
        </w:tc>
        <w:tc>
          <w:tcPr>
            <w:tcW w:w="1421" w:type="dxa"/>
            <w:tcBorders>
              <w:top w:val="nil"/>
              <w:bottom w:val="single" w:sz="4" w:space="0" w:color="auto"/>
            </w:tcBorders>
            <w:shd w:val="clear" w:color="auto" w:fill="FFFFFF"/>
            <w:noWrap/>
            <w:vAlign w:val="bottom"/>
            <w:hideMark/>
          </w:tcPr>
          <w:p w14:paraId="58AB3EA2" w14:textId="77777777" w:rsidR="005633F5" w:rsidRPr="00164238" w:rsidRDefault="005633F5" w:rsidP="00682CBF">
            <w:pPr>
              <w:rPr>
                <w:color w:val="000000" w:themeColor="text1"/>
              </w:rPr>
            </w:pPr>
            <w:r w:rsidRPr="00164238">
              <w:rPr>
                <w:color w:val="000000" w:themeColor="text1"/>
              </w:rPr>
              <w:t>0,409</w:t>
            </w:r>
          </w:p>
        </w:tc>
        <w:tc>
          <w:tcPr>
            <w:tcW w:w="1726" w:type="dxa"/>
            <w:tcBorders>
              <w:top w:val="nil"/>
              <w:bottom w:val="single" w:sz="4" w:space="0" w:color="auto"/>
            </w:tcBorders>
            <w:shd w:val="clear" w:color="auto" w:fill="FFFFFF"/>
            <w:noWrap/>
            <w:vAlign w:val="bottom"/>
            <w:hideMark/>
          </w:tcPr>
          <w:p w14:paraId="3C8EB334" w14:textId="77777777" w:rsidR="005633F5" w:rsidRPr="00164238" w:rsidRDefault="005633F5" w:rsidP="00682CBF">
            <w:pPr>
              <w:rPr>
                <w:color w:val="000000" w:themeColor="text1"/>
              </w:rPr>
            </w:pPr>
            <w:r w:rsidRPr="00164238">
              <w:rPr>
                <w:color w:val="000000" w:themeColor="text1"/>
              </w:rPr>
              <w:t>0,705</w:t>
            </w:r>
          </w:p>
        </w:tc>
        <w:tc>
          <w:tcPr>
            <w:tcW w:w="1703" w:type="dxa"/>
            <w:tcBorders>
              <w:top w:val="nil"/>
              <w:bottom w:val="single" w:sz="4" w:space="0" w:color="auto"/>
            </w:tcBorders>
            <w:shd w:val="clear" w:color="auto" w:fill="FFFFFF"/>
            <w:noWrap/>
            <w:vAlign w:val="bottom"/>
            <w:hideMark/>
          </w:tcPr>
          <w:p w14:paraId="497DB060" w14:textId="77777777" w:rsidR="005633F5" w:rsidRPr="00164238" w:rsidRDefault="005633F5" w:rsidP="00682CBF">
            <w:pPr>
              <w:rPr>
                <w:b/>
                <w:color w:val="000000" w:themeColor="text1"/>
              </w:rPr>
            </w:pPr>
            <w:r w:rsidRPr="00164238">
              <w:rPr>
                <w:b/>
                <w:color w:val="000000" w:themeColor="text1"/>
              </w:rPr>
              <w:t>0,918</w:t>
            </w:r>
          </w:p>
        </w:tc>
      </w:tr>
      <w:tr w:rsidR="00AE5E6C" w:rsidRPr="00164238" w14:paraId="290B939E" w14:textId="77777777" w:rsidTr="00682CBF">
        <w:trPr>
          <w:trHeight w:hRule="exact" w:val="222"/>
        </w:trPr>
        <w:tc>
          <w:tcPr>
            <w:tcW w:w="2205" w:type="dxa"/>
            <w:tcBorders>
              <w:top w:val="single" w:sz="4" w:space="0" w:color="auto"/>
              <w:left w:val="single" w:sz="4" w:space="0" w:color="auto"/>
            </w:tcBorders>
            <w:shd w:val="clear" w:color="auto" w:fill="D9D9D9"/>
            <w:noWrap/>
            <w:vAlign w:val="bottom"/>
          </w:tcPr>
          <w:p w14:paraId="4DDC16EB" w14:textId="77777777" w:rsidR="005633F5" w:rsidRPr="00164238" w:rsidRDefault="005633F5" w:rsidP="00682CBF">
            <w:pPr>
              <w:rPr>
                <w:color w:val="000000" w:themeColor="text1"/>
              </w:rPr>
            </w:pPr>
            <w:r w:rsidRPr="00164238">
              <w:rPr>
                <w:color w:val="000000" w:themeColor="text1"/>
              </w:rPr>
              <w:t>HTMT Değerleri</w:t>
            </w:r>
          </w:p>
          <w:p w14:paraId="0F681AE7" w14:textId="77777777" w:rsidR="005633F5" w:rsidRPr="00164238" w:rsidRDefault="005633F5" w:rsidP="00682CBF">
            <w:pPr>
              <w:rPr>
                <w:color w:val="000000" w:themeColor="text1"/>
              </w:rPr>
            </w:pPr>
          </w:p>
          <w:p w14:paraId="27DCC81E" w14:textId="77777777" w:rsidR="005633F5" w:rsidRPr="00164238" w:rsidRDefault="005633F5" w:rsidP="00682CBF">
            <w:pPr>
              <w:rPr>
                <w:color w:val="000000" w:themeColor="text1"/>
              </w:rPr>
            </w:pPr>
          </w:p>
        </w:tc>
        <w:tc>
          <w:tcPr>
            <w:tcW w:w="1445" w:type="dxa"/>
            <w:tcBorders>
              <w:top w:val="single" w:sz="4" w:space="0" w:color="auto"/>
              <w:bottom w:val="nil"/>
            </w:tcBorders>
            <w:shd w:val="clear" w:color="auto" w:fill="FFFFFF"/>
            <w:noWrap/>
            <w:vAlign w:val="bottom"/>
          </w:tcPr>
          <w:p w14:paraId="5BF5E337" w14:textId="77777777" w:rsidR="005633F5" w:rsidRPr="00164238" w:rsidRDefault="005633F5" w:rsidP="00682CBF">
            <w:pPr>
              <w:rPr>
                <w:color w:val="000000" w:themeColor="text1"/>
              </w:rPr>
            </w:pPr>
          </w:p>
        </w:tc>
        <w:tc>
          <w:tcPr>
            <w:tcW w:w="1421" w:type="dxa"/>
            <w:tcBorders>
              <w:top w:val="single" w:sz="4" w:space="0" w:color="auto"/>
              <w:bottom w:val="nil"/>
            </w:tcBorders>
            <w:shd w:val="clear" w:color="auto" w:fill="FFFFFF"/>
            <w:noWrap/>
            <w:vAlign w:val="bottom"/>
          </w:tcPr>
          <w:p w14:paraId="031A974A" w14:textId="77777777" w:rsidR="005633F5" w:rsidRPr="00164238" w:rsidRDefault="005633F5" w:rsidP="00682CBF">
            <w:pPr>
              <w:rPr>
                <w:color w:val="000000" w:themeColor="text1"/>
              </w:rPr>
            </w:pPr>
          </w:p>
        </w:tc>
        <w:tc>
          <w:tcPr>
            <w:tcW w:w="1726" w:type="dxa"/>
            <w:tcBorders>
              <w:top w:val="single" w:sz="4" w:space="0" w:color="auto"/>
              <w:bottom w:val="nil"/>
            </w:tcBorders>
            <w:shd w:val="clear" w:color="auto" w:fill="FFFFFF"/>
            <w:noWrap/>
            <w:vAlign w:val="bottom"/>
          </w:tcPr>
          <w:p w14:paraId="2E2AB159" w14:textId="77777777" w:rsidR="005633F5" w:rsidRPr="00164238" w:rsidRDefault="005633F5" w:rsidP="00682CBF">
            <w:pPr>
              <w:rPr>
                <w:color w:val="000000" w:themeColor="text1"/>
              </w:rPr>
            </w:pPr>
          </w:p>
        </w:tc>
        <w:tc>
          <w:tcPr>
            <w:tcW w:w="1703" w:type="dxa"/>
            <w:tcBorders>
              <w:top w:val="single" w:sz="4" w:space="0" w:color="auto"/>
              <w:bottom w:val="nil"/>
            </w:tcBorders>
            <w:shd w:val="clear" w:color="auto" w:fill="FFFFFF"/>
            <w:noWrap/>
            <w:vAlign w:val="bottom"/>
          </w:tcPr>
          <w:p w14:paraId="36E27768" w14:textId="77777777" w:rsidR="005633F5" w:rsidRPr="00164238" w:rsidRDefault="005633F5" w:rsidP="00682CBF">
            <w:pPr>
              <w:rPr>
                <w:b/>
                <w:color w:val="000000" w:themeColor="text1"/>
              </w:rPr>
            </w:pPr>
          </w:p>
        </w:tc>
      </w:tr>
      <w:tr w:rsidR="00AE5E6C" w:rsidRPr="00164238" w14:paraId="6750726D" w14:textId="77777777" w:rsidTr="00682CBF">
        <w:trPr>
          <w:trHeight w:hRule="exact" w:val="284"/>
        </w:trPr>
        <w:tc>
          <w:tcPr>
            <w:tcW w:w="2205" w:type="dxa"/>
            <w:tcBorders>
              <w:left w:val="single" w:sz="4" w:space="0" w:color="auto"/>
            </w:tcBorders>
            <w:shd w:val="clear" w:color="auto" w:fill="D9D9D9"/>
            <w:noWrap/>
            <w:vAlign w:val="center"/>
          </w:tcPr>
          <w:p w14:paraId="3C2AEF23" w14:textId="77777777" w:rsidR="005633F5" w:rsidRPr="00164238" w:rsidRDefault="005633F5" w:rsidP="00682CBF">
            <w:pPr>
              <w:rPr>
                <w:color w:val="000000" w:themeColor="text1"/>
              </w:rPr>
            </w:pPr>
            <w:r w:rsidRPr="00164238">
              <w:rPr>
                <w:color w:val="000000" w:themeColor="text1"/>
              </w:rPr>
              <w:t>Algılanan Yararlılık</w:t>
            </w:r>
          </w:p>
        </w:tc>
        <w:tc>
          <w:tcPr>
            <w:tcW w:w="1445" w:type="dxa"/>
            <w:tcBorders>
              <w:top w:val="nil"/>
              <w:bottom w:val="nil"/>
            </w:tcBorders>
            <w:shd w:val="clear" w:color="auto" w:fill="FFFFFF"/>
            <w:noWrap/>
            <w:vAlign w:val="center"/>
          </w:tcPr>
          <w:p w14:paraId="5624EA47" w14:textId="77777777" w:rsidR="005633F5" w:rsidRPr="00164238" w:rsidRDefault="005633F5" w:rsidP="00682CBF">
            <w:pPr>
              <w:rPr>
                <w:bCs/>
                <w:color w:val="000000" w:themeColor="text1"/>
              </w:rPr>
            </w:pPr>
            <w:r w:rsidRPr="00164238">
              <w:rPr>
                <w:bCs/>
                <w:color w:val="000000" w:themeColor="text1"/>
              </w:rPr>
              <w:t> </w:t>
            </w:r>
          </w:p>
        </w:tc>
        <w:tc>
          <w:tcPr>
            <w:tcW w:w="1421" w:type="dxa"/>
            <w:tcBorders>
              <w:top w:val="nil"/>
              <w:bottom w:val="nil"/>
            </w:tcBorders>
            <w:shd w:val="clear" w:color="auto" w:fill="FFFFFF"/>
            <w:noWrap/>
            <w:vAlign w:val="center"/>
          </w:tcPr>
          <w:p w14:paraId="613C9A74" w14:textId="77777777" w:rsidR="005633F5" w:rsidRPr="00164238" w:rsidRDefault="005633F5" w:rsidP="00682CBF">
            <w:pPr>
              <w:rPr>
                <w:bCs/>
                <w:color w:val="000000" w:themeColor="text1"/>
              </w:rPr>
            </w:pPr>
            <w:r w:rsidRPr="00164238">
              <w:rPr>
                <w:bCs/>
                <w:color w:val="000000" w:themeColor="text1"/>
              </w:rPr>
              <w:t> </w:t>
            </w:r>
          </w:p>
        </w:tc>
        <w:tc>
          <w:tcPr>
            <w:tcW w:w="1726" w:type="dxa"/>
            <w:tcBorders>
              <w:top w:val="nil"/>
              <w:bottom w:val="nil"/>
            </w:tcBorders>
            <w:shd w:val="clear" w:color="auto" w:fill="FFFFFF"/>
            <w:noWrap/>
            <w:vAlign w:val="center"/>
          </w:tcPr>
          <w:p w14:paraId="6CFE4D39" w14:textId="77777777" w:rsidR="005633F5" w:rsidRPr="00164238" w:rsidRDefault="005633F5" w:rsidP="00682CBF">
            <w:pPr>
              <w:rPr>
                <w:bCs/>
                <w:color w:val="000000" w:themeColor="text1"/>
              </w:rPr>
            </w:pPr>
            <w:r w:rsidRPr="00164238">
              <w:rPr>
                <w:bCs/>
                <w:color w:val="000000" w:themeColor="text1"/>
              </w:rPr>
              <w:t> </w:t>
            </w:r>
          </w:p>
        </w:tc>
        <w:tc>
          <w:tcPr>
            <w:tcW w:w="1703" w:type="dxa"/>
            <w:tcBorders>
              <w:top w:val="nil"/>
              <w:bottom w:val="nil"/>
            </w:tcBorders>
            <w:shd w:val="clear" w:color="auto" w:fill="FFFFFF"/>
            <w:noWrap/>
            <w:vAlign w:val="center"/>
          </w:tcPr>
          <w:p w14:paraId="72E571EC" w14:textId="77777777" w:rsidR="005633F5" w:rsidRPr="00164238" w:rsidRDefault="005633F5" w:rsidP="00682CBF">
            <w:pPr>
              <w:rPr>
                <w:b/>
                <w:color w:val="000000" w:themeColor="text1"/>
              </w:rPr>
            </w:pPr>
          </w:p>
        </w:tc>
      </w:tr>
      <w:tr w:rsidR="00AE5E6C" w:rsidRPr="00164238" w14:paraId="44C1CC09" w14:textId="77777777" w:rsidTr="00682CBF">
        <w:trPr>
          <w:trHeight w:hRule="exact" w:val="284"/>
        </w:trPr>
        <w:tc>
          <w:tcPr>
            <w:tcW w:w="2205" w:type="dxa"/>
            <w:tcBorders>
              <w:left w:val="single" w:sz="4" w:space="0" w:color="auto"/>
            </w:tcBorders>
            <w:shd w:val="clear" w:color="auto" w:fill="D9D9D9"/>
            <w:noWrap/>
            <w:vAlign w:val="center"/>
          </w:tcPr>
          <w:p w14:paraId="1442BE01" w14:textId="77777777" w:rsidR="005633F5" w:rsidRPr="00164238" w:rsidRDefault="005633F5" w:rsidP="00682CBF">
            <w:pPr>
              <w:rPr>
                <w:color w:val="000000" w:themeColor="text1"/>
              </w:rPr>
            </w:pPr>
            <w:r w:rsidRPr="00164238">
              <w:rPr>
                <w:color w:val="000000" w:themeColor="text1"/>
              </w:rPr>
              <w:t>Covid-19 Algısı</w:t>
            </w:r>
          </w:p>
        </w:tc>
        <w:tc>
          <w:tcPr>
            <w:tcW w:w="1445" w:type="dxa"/>
            <w:tcBorders>
              <w:top w:val="nil"/>
              <w:bottom w:val="nil"/>
            </w:tcBorders>
            <w:shd w:val="clear" w:color="auto" w:fill="FFFFFF"/>
            <w:noWrap/>
            <w:vAlign w:val="center"/>
          </w:tcPr>
          <w:p w14:paraId="5F7FF03F" w14:textId="77777777" w:rsidR="005633F5" w:rsidRPr="00164238" w:rsidRDefault="005633F5" w:rsidP="00682CBF">
            <w:pPr>
              <w:rPr>
                <w:bCs/>
                <w:color w:val="000000" w:themeColor="text1"/>
              </w:rPr>
            </w:pPr>
            <w:r w:rsidRPr="00164238">
              <w:rPr>
                <w:bCs/>
                <w:color w:val="000000" w:themeColor="text1"/>
              </w:rPr>
              <w:t>0,460</w:t>
            </w:r>
          </w:p>
        </w:tc>
        <w:tc>
          <w:tcPr>
            <w:tcW w:w="1421" w:type="dxa"/>
            <w:tcBorders>
              <w:top w:val="nil"/>
              <w:bottom w:val="nil"/>
            </w:tcBorders>
            <w:shd w:val="clear" w:color="auto" w:fill="FFFFFF"/>
            <w:noWrap/>
            <w:vAlign w:val="center"/>
          </w:tcPr>
          <w:p w14:paraId="4A309074" w14:textId="77777777" w:rsidR="005633F5" w:rsidRPr="00164238" w:rsidRDefault="005633F5" w:rsidP="00682CBF">
            <w:pPr>
              <w:rPr>
                <w:bCs/>
                <w:color w:val="000000" w:themeColor="text1"/>
              </w:rPr>
            </w:pPr>
            <w:r w:rsidRPr="00164238">
              <w:rPr>
                <w:bCs/>
                <w:color w:val="000000" w:themeColor="text1"/>
              </w:rPr>
              <w:t> </w:t>
            </w:r>
          </w:p>
        </w:tc>
        <w:tc>
          <w:tcPr>
            <w:tcW w:w="1726" w:type="dxa"/>
            <w:tcBorders>
              <w:top w:val="nil"/>
              <w:bottom w:val="nil"/>
            </w:tcBorders>
            <w:shd w:val="clear" w:color="auto" w:fill="FFFFFF"/>
            <w:noWrap/>
            <w:vAlign w:val="center"/>
          </w:tcPr>
          <w:p w14:paraId="44229DBD" w14:textId="77777777" w:rsidR="005633F5" w:rsidRPr="00164238" w:rsidRDefault="005633F5" w:rsidP="00682CBF">
            <w:pPr>
              <w:rPr>
                <w:bCs/>
                <w:color w:val="000000" w:themeColor="text1"/>
              </w:rPr>
            </w:pPr>
            <w:r w:rsidRPr="00164238">
              <w:rPr>
                <w:bCs/>
                <w:color w:val="000000" w:themeColor="text1"/>
              </w:rPr>
              <w:t> </w:t>
            </w:r>
          </w:p>
        </w:tc>
        <w:tc>
          <w:tcPr>
            <w:tcW w:w="1703" w:type="dxa"/>
            <w:tcBorders>
              <w:top w:val="nil"/>
              <w:bottom w:val="nil"/>
            </w:tcBorders>
            <w:shd w:val="clear" w:color="auto" w:fill="FFFFFF"/>
            <w:noWrap/>
            <w:vAlign w:val="center"/>
          </w:tcPr>
          <w:p w14:paraId="7F0A2F34" w14:textId="77777777" w:rsidR="005633F5" w:rsidRPr="00164238" w:rsidRDefault="005633F5" w:rsidP="00682CBF">
            <w:pPr>
              <w:rPr>
                <w:b/>
                <w:color w:val="000000" w:themeColor="text1"/>
              </w:rPr>
            </w:pPr>
          </w:p>
        </w:tc>
      </w:tr>
      <w:tr w:rsidR="00AE5E6C" w:rsidRPr="00164238" w14:paraId="1BF0D92E" w14:textId="77777777" w:rsidTr="00682CBF">
        <w:trPr>
          <w:trHeight w:hRule="exact" w:val="284"/>
        </w:trPr>
        <w:tc>
          <w:tcPr>
            <w:tcW w:w="2205" w:type="dxa"/>
            <w:tcBorders>
              <w:left w:val="single" w:sz="4" w:space="0" w:color="auto"/>
            </w:tcBorders>
            <w:shd w:val="clear" w:color="auto" w:fill="D9D9D9"/>
            <w:noWrap/>
            <w:vAlign w:val="center"/>
          </w:tcPr>
          <w:p w14:paraId="59BD4FB5" w14:textId="77777777" w:rsidR="005633F5" w:rsidRPr="00164238" w:rsidRDefault="005633F5" w:rsidP="00682CBF">
            <w:pPr>
              <w:rPr>
                <w:color w:val="000000" w:themeColor="text1"/>
              </w:rPr>
            </w:pPr>
            <w:r w:rsidRPr="00164238">
              <w:rPr>
                <w:color w:val="000000" w:themeColor="text1"/>
              </w:rPr>
              <w:t>Kullanım kolaylığı</w:t>
            </w:r>
          </w:p>
        </w:tc>
        <w:tc>
          <w:tcPr>
            <w:tcW w:w="1445" w:type="dxa"/>
            <w:tcBorders>
              <w:top w:val="nil"/>
              <w:bottom w:val="nil"/>
            </w:tcBorders>
            <w:shd w:val="clear" w:color="auto" w:fill="FFFFFF"/>
            <w:noWrap/>
            <w:vAlign w:val="center"/>
          </w:tcPr>
          <w:p w14:paraId="4EA7B5CF" w14:textId="77777777" w:rsidR="005633F5" w:rsidRPr="00164238" w:rsidRDefault="005633F5" w:rsidP="00682CBF">
            <w:pPr>
              <w:rPr>
                <w:bCs/>
                <w:color w:val="000000" w:themeColor="text1"/>
              </w:rPr>
            </w:pPr>
            <w:r w:rsidRPr="00164238">
              <w:rPr>
                <w:bCs/>
                <w:color w:val="000000" w:themeColor="text1"/>
              </w:rPr>
              <w:t>0,873</w:t>
            </w:r>
          </w:p>
        </w:tc>
        <w:tc>
          <w:tcPr>
            <w:tcW w:w="1421" w:type="dxa"/>
            <w:tcBorders>
              <w:top w:val="nil"/>
              <w:bottom w:val="nil"/>
            </w:tcBorders>
            <w:shd w:val="clear" w:color="auto" w:fill="FFFFFF"/>
            <w:noWrap/>
            <w:vAlign w:val="center"/>
          </w:tcPr>
          <w:p w14:paraId="12F6A4FD" w14:textId="77777777" w:rsidR="005633F5" w:rsidRPr="00164238" w:rsidRDefault="005633F5" w:rsidP="00682CBF">
            <w:pPr>
              <w:rPr>
                <w:bCs/>
                <w:color w:val="000000" w:themeColor="text1"/>
              </w:rPr>
            </w:pPr>
            <w:r w:rsidRPr="00164238">
              <w:rPr>
                <w:bCs/>
                <w:color w:val="000000" w:themeColor="text1"/>
              </w:rPr>
              <w:t>0,393</w:t>
            </w:r>
          </w:p>
        </w:tc>
        <w:tc>
          <w:tcPr>
            <w:tcW w:w="1726" w:type="dxa"/>
            <w:tcBorders>
              <w:top w:val="nil"/>
              <w:bottom w:val="nil"/>
            </w:tcBorders>
            <w:shd w:val="clear" w:color="auto" w:fill="FFFFFF"/>
            <w:noWrap/>
            <w:vAlign w:val="center"/>
          </w:tcPr>
          <w:p w14:paraId="1B2428C6" w14:textId="77777777" w:rsidR="005633F5" w:rsidRPr="00164238" w:rsidRDefault="005633F5" w:rsidP="00682CBF">
            <w:pPr>
              <w:rPr>
                <w:bCs/>
                <w:color w:val="000000" w:themeColor="text1"/>
              </w:rPr>
            </w:pPr>
            <w:r w:rsidRPr="00164238">
              <w:rPr>
                <w:bCs/>
                <w:color w:val="000000" w:themeColor="text1"/>
              </w:rPr>
              <w:t> </w:t>
            </w:r>
          </w:p>
        </w:tc>
        <w:tc>
          <w:tcPr>
            <w:tcW w:w="1703" w:type="dxa"/>
            <w:tcBorders>
              <w:top w:val="nil"/>
              <w:bottom w:val="nil"/>
            </w:tcBorders>
            <w:shd w:val="clear" w:color="auto" w:fill="FFFFFF"/>
            <w:noWrap/>
            <w:vAlign w:val="center"/>
          </w:tcPr>
          <w:p w14:paraId="553CE382" w14:textId="77777777" w:rsidR="005633F5" w:rsidRPr="00164238" w:rsidRDefault="005633F5" w:rsidP="00682CBF">
            <w:pPr>
              <w:rPr>
                <w:b/>
                <w:color w:val="000000" w:themeColor="text1"/>
              </w:rPr>
            </w:pPr>
          </w:p>
        </w:tc>
      </w:tr>
      <w:tr w:rsidR="00AE5E6C" w:rsidRPr="00164238" w14:paraId="70D03C2E" w14:textId="77777777" w:rsidTr="00682CBF">
        <w:trPr>
          <w:trHeight w:hRule="exact" w:val="454"/>
        </w:trPr>
        <w:tc>
          <w:tcPr>
            <w:tcW w:w="2205" w:type="dxa"/>
            <w:tcBorders>
              <w:left w:val="single" w:sz="4" w:space="0" w:color="auto"/>
              <w:bottom w:val="single" w:sz="4" w:space="0" w:color="auto"/>
            </w:tcBorders>
            <w:shd w:val="clear" w:color="auto" w:fill="D9D9D9"/>
            <w:noWrap/>
            <w:vAlign w:val="center"/>
          </w:tcPr>
          <w:p w14:paraId="01C88338" w14:textId="77777777" w:rsidR="005633F5" w:rsidRPr="00164238" w:rsidRDefault="005633F5" w:rsidP="00682CBF">
            <w:pPr>
              <w:rPr>
                <w:color w:val="000000" w:themeColor="text1"/>
              </w:rPr>
            </w:pPr>
            <w:r w:rsidRPr="00164238">
              <w:rPr>
                <w:color w:val="000000" w:themeColor="text1"/>
              </w:rPr>
              <w:t>Temassız Ödeme Kullanım Niyeti</w:t>
            </w:r>
          </w:p>
        </w:tc>
        <w:tc>
          <w:tcPr>
            <w:tcW w:w="1445" w:type="dxa"/>
            <w:tcBorders>
              <w:top w:val="nil"/>
              <w:bottom w:val="single" w:sz="4" w:space="0" w:color="auto"/>
            </w:tcBorders>
            <w:shd w:val="clear" w:color="auto" w:fill="FFFFFF"/>
            <w:noWrap/>
            <w:vAlign w:val="center"/>
          </w:tcPr>
          <w:p w14:paraId="045EB617" w14:textId="77777777" w:rsidR="005633F5" w:rsidRPr="00164238" w:rsidRDefault="005633F5" w:rsidP="00682CBF">
            <w:pPr>
              <w:rPr>
                <w:bCs/>
                <w:color w:val="000000" w:themeColor="text1"/>
              </w:rPr>
            </w:pPr>
            <w:r w:rsidRPr="00164238">
              <w:rPr>
                <w:bCs/>
                <w:color w:val="000000" w:themeColor="text1"/>
              </w:rPr>
              <w:t>0,768</w:t>
            </w:r>
          </w:p>
        </w:tc>
        <w:tc>
          <w:tcPr>
            <w:tcW w:w="1421" w:type="dxa"/>
            <w:tcBorders>
              <w:top w:val="nil"/>
              <w:bottom w:val="single" w:sz="4" w:space="0" w:color="auto"/>
            </w:tcBorders>
            <w:shd w:val="clear" w:color="auto" w:fill="FFFFFF"/>
            <w:noWrap/>
            <w:vAlign w:val="center"/>
          </w:tcPr>
          <w:p w14:paraId="407C536B" w14:textId="77777777" w:rsidR="005633F5" w:rsidRPr="00164238" w:rsidRDefault="005633F5" w:rsidP="00682CBF">
            <w:pPr>
              <w:rPr>
                <w:bCs/>
                <w:color w:val="000000" w:themeColor="text1"/>
              </w:rPr>
            </w:pPr>
            <w:r w:rsidRPr="00164238">
              <w:rPr>
                <w:bCs/>
                <w:color w:val="000000" w:themeColor="text1"/>
              </w:rPr>
              <w:t>0,439</w:t>
            </w:r>
          </w:p>
        </w:tc>
        <w:tc>
          <w:tcPr>
            <w:tcW w:w="1726" w:type="dxa"/>
            <w:tcBorders>
              <w:top w:val="nil"/>
              <w:bottom w:val="single" w:sz="4" w:space="0" w:color="auto"/>
            </w:tcBorders>
            <w:shd w:val="clear" w:color="auto" w:fill="FFFFFF"/>
            <w:noWrap/>
            <w:vAlign w:val="center"/>
          </w:tcPr>
          <w:p w14:paraId="7C991024" w14:textId="77777777" w:rsidR="005633F5" w:rsidRPr="00164238" w:rsidRDefault="005633F5" w:rsidP="00682CBF">
            <w:pPr>
              <w:rPr>
                <w:bCs/>
                <w:color w:val="000000" w:themeColor="text1"/>
              </w:rPr>
            </w:pPr>
            <w:r w:rsidRPr="00164238">
              <w:rPr>
                <w:bCs/>
                <w:color w:val="000000" w:themeColor="text1"/>
              </w:rPr>
              <w:t>0,799</w:t>
            </w:r>
          </w:p>
        </w:tc>
        <w:tc>
          <w:tcPr>
            <w:tcW w:w="1703" w:type="dxa"/>
            <w:tcBorders>
              <w:top w:val="nil"/>
              <w:bottom w:val="single" w:sz="4" w:space="0" w:color="auto"/>
            </w:tcBorders>
            <w:shd w:val="clear" w:color="auto" w:fill="FFFFFF"/>
            <w:noWrap/>
            <w:vAlign w:val="center"/>
          </w:tcPr>
          <w:p w14:paraId="170D35A8" w14:textId="77777777" w:rsidR="005633F5" w:rsidRPr="00164238" w:rsidRDefault="005633F5" w:rsidP="00682CBF">
            <w:pPr>
              <w:rPr>
                <w:b/>
                <w:color w:val="000000" w:themeColor="text1"/>
              </w:rPr>
            </w:pPr>
          </w:p>
        </w:tc>
      </w:tr>
      <w:tr w:rsidR="00AE5E6C" w:rsidRPr="00164238" w14:paraId="739C6DA0" w14:textId="77777777" w:rsidTr="00682CBF">
        <w:trPr>
          <w:trHeight w:hRule="exact" w:val="284"/>
        </w:trPr>
        <w:tc>
          <w:tcPr>
            <w:tcW w:w="2205" w:type="dxa"/>
            <w:tcBorders>
              <w:top w:val="single" w:sz="4" w:space="0" w:color="auto"/>
              <w:left w:val="single" w:sz="4" w:space="0" w:color="auto"/>
            </w:tcBorders>
            <w:shd w:val="clear" w:color="auto" w:fill="D9D9D9"/>
            <w:noWrap/>
            <w:vAlign w:val="center"/>
          </w:tcPr>
          <w:p w14:paraId="7FA19BDB" w14:textId="77777777" w:rsidR="005633F5" w:rsidRPr="00164238" w:rsidRDefault="005633F5" w:rsidP="00682CBF">
            <w:pPr>
              <w:rPr>
                <w:color w:val="000000" w:themeColor="text1"/>
              </w:rPr>
            </w:pPr>
            <w:r w:rsidRPr="00164238">
              <w:rPr>
                <w:color w:val="000000" w:themeColor="text1"/>
              </w:rPr>
              <w:t>AVE</w:t>
            </w:r>
          </w:p>
        </w:tc>
        <w:tc>
          <w:tcPr>
            <w:tcW w:w="1445" w:type="dxa"/>
            <w:tcBorders>
              <w:top w:val="single" w:sz="4" w:space="0" w:color="auto"/>
              <w:bottom w:val="nil"/>
            </w:tcBorders>
            <w:shd w:val="clear" w:color="auto" w:fill="FFFFFF"/>
            <w:noWrap/>
            <w:vAlign w:val="bottom"/>
          </w:tcPr>
          <w:p w14:paraId="75E5172B" w14:textId="77777777" w:rsidR="005633F5" w:rsidRPr="00164238" w:rsidRDefault="005633F5" w:rsidP="00682CBF">
            <w:pPr>
              <w:rPr>
                <w:color w:val="000000" w:themeColor="text1"/>
              </w:rPr>
            </w:pPr>
            <w:r w:rsidRPr="00164238">
              <w:rPr>
                <w:color w:val="000000" w:themeColor="text1"/>
              </w:rPr>
              <w:t>0,756</w:t>
            </w:r>
          </w:p>
        </w:tc>
        <w:tc>
          <w:tcPr>
            <w:tcW w:w="1421" w:type="dxa"/>
            <w:tcBorders>
              <w:top w:val="single" w:sz="4" w:space="0" w:color="auto"/>
              <w:bottom w:val="nil"/>
            </w:tcBorders>
            <w:shd w:val="clear" w:color="auto" w:fill="FFFFFF"/>
            <w:noWrap/>
            <w:vAlign w:val="bottom"/>
          </w:tcPr>
          <w:p w14:paraId="70B6BB23" w14:textId="77777777" w:rsidR="005633F5" w:rsidRPr="00164238" w:rsidRDefault="005633F5" w:rsidP="00682CBF">
            <w:pPr>
              <w:rPr>
                <w:color w:val="000000" w:themeColor="text1"/>
              </w:rPr>
            </w:pPr>
            <w:r w:rsidRPr="00164238">
              <w:rPr>
                <w:color w:val="000000" w:themeColor="text1"/>
              </w:rPr>
              <w:t>0,935</w:t>
            </w:r>
          </w:p>
        </w:tc>
        <w:tc>
          <w:tcPr>
            <w:tcW w:w="1726" w:type="dxa"/>
            <w:tcBorders>
              <w:top w:val="single" w:sz="4" w:space="0" w:color="auto"/>
              <w:bottom w:val="nil"/>
            </w:tcBorders>
            <w:shd w:val="clear" w:color="auto" w:fill="FFFFFF"/>
            <w:noWrap/>
            <w:vAlign w:val="bottom"/>
          </w:tcPr>
          <w:p w14:paraId="2D362AEC" w14:textId="77777777" w:rsidR="005633F5" w:rsidRPr="00164238" w:rsidRDefault="005633F5" w:rsidP="00682CBF">
            <w:pPr>
              <w:rPr>
                <w:color w:val="000000" w:themeColor="text1"/>
              </w:rPr>
            </w:pPr>
            <w:r w:rsidRPr="00164238">
              <w:rPr>
                <w:color w:val="000000" w:themeColor="text1"/>
              </w:rPr>
              <w:t>0,844</w:t>
            </w:r>
          </w:p>
        </w:tc>
        <w:tc>
          <w:tcPr>
            <w:tcW w:w="1703" w:type="dxa"/>
            <w:tcBorders>
              <w:top w:val="single" w:sz="4" w:space="0" w:color="auto"/>
              <w:bottom w:val="nil"/>
            </w:tcBorders>
            <w:shd w:val="clear" w:color="auto" w:fill="FFFFFF"/>
            <w:noWrap/>
            <w:vAlign w:val="bottom"/>
          </w:tcPr>
          <w:p w14:paraId="1219674B" w14:textId="77777777" w:rsidR="005633F5" w:rsidRPr="00164238" w:rsidRDefault="005633F5" w:rsidP="00682CBF">
            <w:pPr>
              <w:rPr>
                <w:color w:val="000000" w:themeColor="text1"/>
              </w:rPr>
            </w:pPr>
            <w:r w:rsidRPr="00164238">
              <w:rPr>
                <w:color w:val="000000" w:themeColor="text1"/>
              </w:rPr>
              <w:t>0,907</w:t>
            </w:r>
          </w:p>
        </w:tc>
      </w:tr>
      <w:tr w:rsidR="00AE5E6C" w:rsidRPr="00164238" w14:paraId="02BB899A" w14:textId="77777777" w:rsidTr="00682CBF">
        <w:trPr>
          <w:trHeight w:hRule="exact" w:val="284"/>
        </w:trPr>
        <w:tc>
          <w:tcPr>
            <w:tcW w:w="2205" w:type="dxa"/>
            <w:tcBorders>
              <w:left w:val="single" w:sz="4" w:space="0" w:color="auto"/>
            </w:tcBorders>
            <w:shd w:val="clear" w:color="auto" w:fill="D9D9D9"/>
            <w:noWrap/>
            <w:vAlign w:val="center"/>
          </w:tcPr>
          <w:p w14:paraId="53269AF8" w14:textId="77777777" w:rsidR="005633F5" w:rsidRPr="00164238" w:rsidRDefault="005633F5" w:rsidP="00682CBF">
            <w:pPr>
              <w:rPr>
                <w:color w:val="000000" w:themeColor="text1"/>
              </w:rPr>
            </w:pPr>
            <w:r w:rsidRPr="00164238">
              <w:rPr>
                <w:color w:val="000000" w:themeColor="text1"/>
              </w:rPr>
              <w:t>CR</w:t>
            </w:r>
          </w:p>
        </w:tc>
        <w:tc>
          <w:tcPr>
            <w:tcW w:w="1445" w:type="dxa"/>
            <w:tcBorders>
              <w:top w:val="nil"/>
              <w:bottom w:val="nil"/>
            </w:tcBorders>
            <w:shd w:val="clear" w:color="auto" w:fill="FFFFFF"/>
            <w:noWrap/>
            <w:vAlign w:val="bottom"/>
          </w:tcPr>
          <w:p w14:paraId="0B140213" w14:textId="77777777" w:rsidR="005633F5" w:rsidRPr="00164238" w:rsidRDefault="005633F5" w:rsidP="00682CBF">
            <w:pPr>
              <w:rPr>
                <w:color w:val="000000" w:themeColor="text1"/>
              </w:rPr>
            </w:pPr>
            <w:r w:rsidRPr="00164238">
              <w:rPr>
                <w:color w:val="000000" w:themeColor="text1"/>
              </w:rPr>
              <w:t>0,86</w:t>
            </w:r>
          </w:p>
        </w:tc>
        <w:tc>
          <w:tcPr>
            <w:tcW w:w="1421" w:type="dxa"/>
            <w:tcBorders>
              <w:top w:val="nil"/>
              <w:bottom w:val="nil"/>
            </w:tcBorders>
            <w:shd w:val="clear" w:color="auto" w:fill="FFFFFF"/>
            <w:noWrap/>
            <w:vAlign w:val="bottom"/>
          </w:tcPr>
          <w:p w14:paraId="19A04E8C" w14:textId="77777777" w:rsidR="005633F5" w:rsidRPr="00164238" w:rsidRDefault="005633F5" w:rsidP="00682CBF">
            <w:pPr>
              <w:rPr>
                <w:color w:val="000000" w:themeColor="text1"/>
              </w:rPr>
            </w:pPr>
            <w:r w:rsidRPr="00164238">
              <w:rPr>
                <w:color w:val="000000" w:themeColor="text1"/>
              </w:rPr>
              <w:t>0,953</w:t>
            </w:r>
          </w:p>
        </w:tc>
        <w:tc>
          <w:tcPr>
            <w:tcW w:w="1726" w:type="dxa"/>
            <w:tcBorders>
              <w:top w:val="nil"/>
              <w:bottom w:val="nil"/>
            </w:tcBorders>
            <w:shd w:val="clear" w:color="auto" w:fill="FFFFFF"/>
            <w:noWrap/>
            <w:vAlign w:val="bottom"/>
          </w:tcPr>
          <w:p w14:paraId="35F21AD1" w14:textId="77777777" w:rsidR="005633F5" w:rsidRPr="00164238" w:rsidRDefault="005633F5" w:rsidP="00682CBF">
            <w:pPr>
              <w:rPr>
                <w:color w:val="000000" w:themeColor="text1"/>
              </w:rPr>
            </w:pPr>
            <w:r w:rsidRPr="00164238">
              <w:rPr>
                <w:color w:val="000000" w:themeColor="text1"/>
              </w:rPr>
              <w:t>0,906</w:t>
            </w:r>
          </w:p>
        </w:tc>
        <w:tc>
          <w:tcPr>
            <w:tcW w:w="1703" w:type="dxa"/>
            <w:tcBorders>
              <w:top w:val="nil"/>
              <w:bottom w:val="nil"/>
            </w:tcBorders>
            <w:shd w:val="clear" w:color="auto" w:fill="FFFFFF"/>
            <w:noWrap/>
            <w:vAlign w:val="bottom"/>
          </w:tcPr>
          <w:p w14:paraId="23FB821E" w14:textId="77777777" w:rsidR="005633F5" w:rsidRPr="00164238" w:rsidRDefault="005633F5" w:rsidP="00682CBF">
            <w:pPr>
              <w:rPr>
                <w:color w:val="000000" w:themeColor="text1"/>
              </w:rPr>
            </w:pPr>
            <w:r w:rsidRPr="00164238">
              <w:rPr>
                <w:color w:val="000000" w:themeColor="text1"/>
              </w:rPr>
              <w:t>0,942</w:t>
            </w:r>
          </w:p>
        </w:tc>
      </w:tr>
      <w:tr w:rsidR="00AE5E6C" w:rsidRPr="00164238" w14:paraId="7C2F881B" w14:textId="77777777" w:rsidTr="00682CBF">
        <w:trPr>
          <w:trHeight w:hRule="exact" w:val="284"/>
        </w:trPr>
        <w:tc>
          <w:tcPr>
            <w:tcW w:w="2205" w:type="dxa"/>
            <w:tcBorders>
              <w:left w:val="single" w:sz="4" w:space="0" w:color="auto"/>
              <w:bottom w:val="single" w:sz="4" w:space="0" w:color="auto"/>
            </w:tcBorders>
            <w:shd w:val="clear" w:color="auto" w:fill="D9D9D9"/>
            <w:noWrap/>
            <w:vAlign w:val="center"/>
          </w:tcPr>
          <w:p w14:paraId="6F9A7E1B" w14:textId="77777777" w:rsidR="005633F5" w:rsidRPr="00164238" w:rsidRDefault="005633F5" w:rsidP="00682CBF">
            <w:pPr>
              <w:rPr>
                <w:color w:val="000000" w:themeColor="text1"/>
              </w:rPr>
            </w:pPr>
            <w:r w:rsidRPr="00164238">
              <w:rPr>
                <w:color w:val="000000" w:themeColor="text1"/>
              </w:rPr>
              <w:t>α</w:t>
            </w:r>
          </w:p>
        </w:tc>
        <w:tc>
          <w:tcPr>
            <w:tcW w:w="1445" w:type="dxa"/>
            <w:tcBorders>
              <w:top w:val="nil"/>
              <w:bottom w:val="single" w:sz="4" w:space="0" w:color="auto"/>
            </w:tcBorders>
            <w:shd w:val="clear" w:color="auto" w:fill="FFFFFF"/>
            <w:noWrap/>
            <w:vAlign w:val="bottom"/>
          </w:tcPr>
          <w:p w14:paraId="14E4D59D" w14:textId="77777777" w:rsidR="005633F5" w:rsidRPr="00164238" w:rsidRDefault="005633F5" w:rsidP="00682CBF">
            <w:pPr>
              <w:rPr>
                <w:color w:val="000000" w:themeColor="text1"/>
              </w:rPr>
            </w:pPr>
            <w:r w:rsidRPr="00164238">
              <w:rPr>
                <w:color w:val="000000" w:themeColor="text1"/>
              </w:rPr>
              <w:t>0,756</w:t>
            </w:r>
          </w:p>
        </w:tc>
        <w:tc>
          <w:tcPr>
            <w:tcW w:w="1421" w:type="dxa"/>
            <w:tcBorders>
              <w:top w:val="nil"/>
              <w:bottom w:val="single" w:sz="4" w:space="0" w:color="auto"/>
            </w:tcBorders>
            <w:shd w:val="clear" w:color="auto" w:fill="FFFFFF"/>
            <w:noWrap/>
            <w:vAlign w:val="bottom"/>
          </w:tcPr>
          <w:p w14:paraId="29E39F8F" w14:textId="77777777" w:rsidR="005633F5" w:rsidRPr="00164238" w:rsidRDefault="005633F5" w:rsidP="00682CBF">
            <w:pPr>
              <w:rPr>
                <w:color w:val="000000" w:themeColor="text1"/>
              </w:rPr>
            </w:pPr>
            <w:r w:rsidRPr="00164238">
              <w:rPr>
                <w:color w:val="000000" w:themeColor="text1"/>
              </w:rPr>
              <w:t>0,935</w:t>
            </w:r>
          </w:p>
        </w:tc>
        <w:tc>
          <w:tcPr>
            <w:tcW w:w="1726" w:type="dxa"/>
            <w:tcBorders>
              <w:top w:val="nil"/>
              <w:bottom w:val="single" w:sz="4" w:space="0" w:color="auto"/>
            </w:tcBorders>
            <w:shd w:val="clear" w:color="auto" w:fill="FFFFFF"/>
            <w:noWrap/>
            <w:vAlign w:val="bottom"/>
          </w:tcPr>
          <w:p w14:paraId="1C6CFB48" w14:textId="77777777" w:rsidR="005633F5" w:rsidRPr="00164238" w:rsidRDefault="005633F5" w:rsidP="00682CBF">
            <w:pPr>
              <w:rPr>
                <w:color w:val="000000" w:themeColor="text1"/>
              </w:rPr>
            </w:pPr>
            <w:r w:rsidRPr="00164238">
              <w:rPr>
                <w:color w:val="000000" w:themeColor="text1"/>
              </w:rPr>
              <w:t>0,844</w:t>
            </w:r>
          </w:p>
        </w:tc>
        <w:tc>
          <w:tcPr>
            <w:tcW w:w="1703" w:type="dxa"/>
            <w:tcBorders>
              <w:top w:val="nil"/>
              <w:bottom w:val="single" w:sz="4" w:space="0" w:color="auto"/>
            </w:tcBorders>
            <w:shd w:val="clear" w:color="auto" w:fill="FFFFFF"/>
            <w:noWrap/>
            <w:vAlign w:val="bottom"/>
          </w:tcPr>
          <w:p w14:paraId="1BF0B3D4" w14:textId="77777777" w:rsidR="005633F5" w:rsidRPr="00164238" w:rsidRDefault="005633F5" w:rsidP="00682CBF">
            <w:pPr>
              <w:rPr>
                <w:color w:val="000000" w:themeColor="text1"/>
              </w:rPr>
            </w:pPr>
            <w:r w:rsidRPr="00164238">
              <w:rPr>
                <w:color w:val="000000" w:themeColor="text1"/>
              </w:rPr>
              <w:t>0,907</w:t>
            </w:r>
          </w:p>
        </w:tc>
      </w:tr>
    </w:tbl>
    <w:p w14:paraId="46856793" w14:textId="0F7F4A29" w:rsidR="005633F5" w:rsidRDefault="005633F5" w:rsidP="005633F5">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Ayrışma geçerliliğinde ise Fornell-Larcker kriteri ve HTMT değerleri incelenmiştir.  Fornell-Larcker kriterinde her bir AVE değerinin karekökünün değişkenler arasındaki korelasyon değerinden büyük olması önerilmektedir </w:t>
      </w:r>
      <w:r w:rsidRPr="00164238">
        <w:rPr>
          <w:rFonts w:ascii="Times New Roman" w:hAnsi="Times New Roman" w:cs="Times New Roman"/>
          <w:color w:val="000000" w:themeColor="text1"/>
        </w:rPr>
        <w:fldChar w:fldCharType="begin" w:fldLock="1"/>
      </w:r>
      <w:r w:rsidRPr="00164238">
        <w:rPr>
          <w:rFonts w:ascii="Times New Roman" w:hAnsi="Times New Roman" w:cs="Times New Roman"/>
          <w:color w:val="000000" w:themeColor="text1"/>
        </w:rPr>
        <w:instrText>ADDIN CSL_CITATION {"citationItems":[{"id":"ITEM-1","itemData":{"ISSN":"0268-4012","author":[{"dropping-particle":"","family":"Bawack","given":"Ransome Epie","non-dropping-particle":"","parse-names":false,"suffix":""},{"dropping-particle":"","family":"Kamdjoug","given":"Jean Robert Kala","non-dropping-particle":"","parse-names":false,"suffix":""}],"container-title":"International Journal of Information Management","id":"ITEM-1","issued":{"date-parts":[["2020"]]},"page":"102179","publisher":"Elsevier","title":"The role of digital information use on student performance and collaboration in marginal universities","type":"article-journal","volume":"54"},"uris":["http://www.mendeley.com/documents/?uuid=b64fa7cd-68e7-43b7-89c2-3e33491bd231"]}],"mendeley":{"formattedCitation":"(Bawack &amp; Kamdjoug, 2020)","plainTextFormattedCitation":"(Bawack &amp; Kamdjoug, 2020)","previouslyFormattedCitation":"(Bawack &amp; Kamdjoug, 2020)"},"properties":{"noteIndex":0},"schema":"https://github.com/citation-style-language/schema/raw/master/csl-citation.json"}</w:instrText>
      </w:r>
      <w:r w:rsidRPr="00164238">
        <w:rPr>
          <w:rFonts w:ascii="Times New Roman" w:hAnsi="Times New Roman" w:cs="Times New Roman"/>
          <w:color w:val="000000" w:themeColor="text1"/>
        </w:rPr>
        <w:fldChar w:fldCharType="separate"/>
      </w:r>
      <w:r w:rsidRPr="00164238">
        <w:rPr>
          <w:rFonts w:ascii="Times New Roman" w:hAnsi="Times New Roman" w:cs="Times New Roman"/>
          <w:color w:val="000000" w:themeColor="text1"/>
        </w:rPr>
        <w:t>(Bawack &amp; Kamdjoug, 2020)</w:t>
      </w:r>
      <w:r w:rsidRPr="00164238">
        <w:rPr>
          <w:rFonts w:ascii="Times New Roman" w:hAnsi="Times New Roman" w:cs="Times New Roman"/>
          <w:color w:val="000000" w:themeColor="text1"/>
        </w:rPr>
        <w:fldChar w:fldCharType="end"/>
      </w:r>
      <w:r w:rsidRPr="00164238">
        <w:rPr>
          <w:rFonts w:ascii="Times New Roman" w:hAnsi="Times New Roman" w:cs="Times New Roman"/>
          <w:color w:val="000000" w:themeColor="text1"/>
        </w:rPr>
        <w:t xml:space="preserve">. HTMT değerlerinin ise 0.90’ın altında olması beklenmektedir </w:t>
      </w:r>
      <w:r w:rsidRPr="00164238">
        <w:rPr>
          <w:rFonts w:ascii="Times New Roman" w:hAnsi="Times New Roman" w:cs="Times New Roman"/>
          <w:color w:val="000000" w:themeColor="text1"/>
        </w:rPr>
        <w:fldChar w:fldCharType="begin" w:fldLock="1"/>
      </w:r>
      <w:r w:rsidRPr="00164238">
        <w:rPr>
          <w:rFonts w:ascii="Times New Roman" w:hAnsi="Times New Roman" w:cs="Times New Roman"/>
          <w:color w:val="000000" w:themeColor="text1"/>
        </w:rPr>
        <w:instrText>ADDIN CSL_CITATION {"citationItems":[{"id":"ITEM-1","itemData":{"ISSN":"0092-0703","author":[{"dropping-particle":"","family":"Henseler","given":"J","non-dropping-particle":"","parse-names":false,"suffix":""},{"dropping-particle":"","family":"Ringle","given":"Christian M","non-dropping-particle":"","parse-names":false,"suffix":""},{"dropping-particle":"","family":"Sarstedt","given":"Marko","non-dropping-particle":"","parse-names":false,"suffix":""}],"container-title":"Journal of the academy of marketing science","id":"ITEM-1","issue":"1","issued":{"date-parts":[["2015"]]},"page":"115-135","publisher":"Springer","title":"A new criterion for assessing discriminant validity in variance-based structural equation modeling","type":"article-journal","volume":"43"},"uris":["http://www.mendeley.com/documents/?uuid=417ea8e9-8781-477d-945a-e3ba5e18423d"]},{"id":"ITEM-2","itemData":{"ISSN":"0955-534X","author":[{"dropping-particle":"","family":"Hair","given":"Joseph F","non-dropping-particle":"","parse-names":false,"suffix":""},{"dropping-particle":"","family":"Risher","given":"Jeffrey J","non-dropping-particle":"","parse-names":false,"suffix":""},{"dropping-particle":"","family":"Sarstedt","given":"Marko","non-dropping-particle":"","parse-names":false,"suffix":""},{"dropping-particle":"","family":"Ringle","given":"Christian M","non-dropping-particle":"","parse-names":false,"suffix":""}],"container-title":"European Business Review","id":"ITEM-2","issue":"1","issued":{"date-parts":[["2019"]]},"page":"2-24","publisher":"Emerald Publishing Limited","title":"When to use and how to report the results of PLS-SEM","type":"article-journal","volume":"31"},"uris":["http://www.mendeley.com/documents/?uuid=fab9f78b-a940-4fd0-a625-5ab7bdcefa3a"]}],"mendeley":{"formattedCitation":"(Hair vd., 2019; Henseler vd., 2015)","plainTextFormattedCitation":"(Hair vd., 2019; Henseler vd., 2015)","previouslyFormattedCitation":"(Hair vd., 2019; Henseler vd., 2015)"},"properties":{"noteIndex":0},"schema":"https://github.com/citation-style-language/schema/raw/master/csl-citation.json"}</w:instrText>
      </w:r>
      <w:r w:rsidRPr="00164238">
        <w:rPr>
          <w:rFonts w:ascii="Times New Roman" w:hAnsi="Times New Roman" w:cs="Times New Roman"/>
          <w:color w:val="000000" w:themeColor="text1"/>
        </w:rPr>
        <w:fldChar w:fldCharType="separate"/>
      </w:r>
      <w:r w:rsidRPr="00164238">
        <w:rPr>
          <w:rFonts w:ascii="Times New Roman" w:hAnsi="Times New Roman" w:cs="Times New Roman"/>
          <w:color w:val="000000" w:themeColor="text1"/>
        </w:rPr>
        <w:t>(Hair vd., 2019; Henseler vd., 2015)</w:t>
      </w:r>
      <w:r w:rsidRPr="00164238">
        <w:rPr>
          <w:rFonts w:ascii="Times New Roman" w:hAnsi="Times New Roman" w:cs="Times New Roman"/>
          <w:color w:val="000000" w:themeColor="text1"/>
        </w:rPr>
        <w:fldChar w:fldCharType="end"/>
      </w:r>
      <w:r w:rsidRPr="00164238">
        <w:rPr>
          <w:rFonts w:ascii="Times New Roman" w:hAnsi="Times New Roman" w:cs="Times New Roman"/>
          <w:color w:val="000000" w:themeColor="text1"/>
        </w:rPr>
        <w:t>.  Tablo 2’deki bu çalışamaya ilişkin Fornell-Larcker kriteri değeri ve HTMT değerleri incelendiğinde HTMT değerlerinin 0.90’ın altında olduğu ve her bir AVE karekökü değerinin bulunduğu satır ve sütundaki korelasyon değerlerinden büyük olduğu anlaşılmaktadır. Dolayısıyla araştırma modelinin hem geçerlilik hem de güvenirliği sağladığı doğrulanmıştır.</w:t>
      </w:r>
    </w:p>
    <w:p w14:paraId="214CBFEB" w14:textId="77777777" w:rsidR="006A4DC2" w:rsidRPr="00164238" w:rsidRDefault="006A4DC2" w:rsidP="005633F5">
      <w:pPr>
        <w:spacing w:before="120" w:after="120" w:line="276" w:lineRule="auto"/>
        <w:ind w:firstLine="567"/>
        <w:jc w:val="both"/>
        <w:rPr>
          <w:rFonts w:ascii="Times New Roman" w:hAnsi="Times New Roman" w:cs="Times New Roman"/>
          <w:color w:val="000000" w:themeColor="text1"/>
        </w:rPr>
      </w:pPr>
    </w:p>
    <w:p w14:paraId="06E33E4F" w14:textId="77777777" w:rsidR="005633F5" w:rsidRPr="00164238" w:rsidRDefault="005633F5" w:rsidP="005633F5">
      <w:pPr>
        <w:spacing w:before="120" w:after="120" w:line="276" w:lineRule="auto"/>
        <w:ind w:firstLine="567"/>
        <w:jc w:val="both"/>
        <w:rPr>
          <w:rFonts w:ascii="Times New Roman" w:hAnsi="Times New Roman" w:cs="Times New Roman"/>
          <w:b/>
          <w:color w:val="000000" w:themeColor="text1"/>
        </w:rPr>
      </w:pPr>
      <w:r w:rsidRPr="00164238">
        <w:rPr>
          <w:rFonts w:ascii="Times New Roman" w:hAnsi="Times New Roman" w:cs="Times New Roman"/>
          <w:b/>
          <w:color w:val="000000" w:themeColor="text1"/>
        </w:rPr>
        <w:t>Yapısal Model</w:t>
      </w:r>
    </w:p>
    <w:p w14:paraId="56DA1040" w14:textId="78942FB8" w:rsidR="005633F5" w:rsidRDefault="005633F5" w:rsidP="005633F5">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Bu aşamada beş hipotezin tamamının korelasyon önemini incelemek için kısmi en küçük kareler regresyonunu kullanan yapısal bir model oluşturulmuştur. Tablo 3’teki modele ilişkin analiz sonuçları, algılanan covid-19 riski ile kullanım kolaylığı ve algılanan yararlılık arasında pozitif ve anlamlı bir ilişki olduğunu göstermektedir. Dolayısıyla H1 ve H2 hipotezi kabul edilmiştir. Diğer taraftan, kullanım kolaylığı ve temassız ödeme kullanım niyeti arasında pozitif ve anlamlı ilişki; algılanan yararlılık ve temassız ödeme kullanım niyeti arasında pozitif ve anlamlı ilişki tespit edilmiştir. Böyle H4 ve H5 hipotezleri de kabul edilmiştir. Ancak, algılanan covid-19 ile temassız ödeme kullanım niyeti arasında pozitif ve anlamlı ilişki bulunamamıştır. Dolayısıyla H3 hipotezi ret edilmiştir.</w:t>
      </w:r>
    </w:p>
    <w:p w14:paraId="67F79C74" w14:textId="21FD4767" w:rsidR="006A4DC2" w:rsidRDefault="006A4DC2" w:rsidP="005633F5">
      <w:pPr>
        <w:spacing w:before="120" w:after="120" w:line="276" w:lineRule="auto"/>
        <w:ind w:firstLine="567"/>
        <w:jc w:val="both"/>
        <w:rPr>
          <w:rFonts w:ascii="Times New Roman" w:hAnsi="Times New Roman" w:cs="Times New Roman"/>
          <w:color w:val="000000" w:themeColor="text1"/>
        </w:rPr>
      </w:pPr>
    </w:p>
    <w:p w14:paraId="0CA8F949" w14:textId="06E7ACB3" w:rsidR="006A4DC2" w:rsidRDefault="006A4DC2" w:rsidP="005633F5">
      <w:pPr>
        <w:spacing w:before="120" w:after="120" w:line="276" w:lineRule="auto"/>
        <w:ind w:firstLine="567"/>
        <w:jc w:val="both"/>
        <w:rPr>
          <w:rFonts w:ascii="Times New Roman" w:hAnsi="Times New Roman" w:cs="Times New Roman"/>
          <w:color w:val="000000" w:themeColor="text1"/>
        </w:rPr>
      </w:pPr>
    </w:p>
    <w:p w14:paraId="00D8F64B" w14:textId="2B5D3FAA" w:rsidR="006A4DC2" w:rsidRDefault="006A4DC2" w:rsidP="005633F5">
      <w:pPr>
        <w:spacing w:before="120" w:after="120" w:line="276" w:lineRule="auto"/>
        <w:ind w:firstLine="567"/>
        <w:jc w:val="both"/>
        <w:rPr>
          <w:rFonts w:ascii="Times New Roman" w:hAnsi="Times New Roman" w:cs="Times New Roman"/>
          <w:color w:val="000000" w:themeColor="text1"/>
        </w:rPr>
      </w:pPr>
    </w:p>
    <w:p w14:paraId="336025E4" w14:textId="77777777" w:rsidR="006A4DC2" w:rsidRPr="00164238" w:rsidRDefault="006A4DC2" w:rsidP="005633F5">
      <w:pPr>
        <w:spacing w:before="120" w:after="120" w:line="276" w:lineRule="auto"/>
        <w:ind w:firstLine="567"/>
        <w:jc w:val="both"/>
        <w:rPr>
          <w:rFonts w:ascii="Times New Roman" w:hAnsi="Times New Roman" w:cs="Times New Roman"/>
          <w:color w:val="000000" w:themeColor="text1"/>
        </w:rPr>
      </w:pPr>
    </w:p>
    <w:p w14:paraId="06AE3FE5" w14:textId="77777777" w:rsidR="005633F5" w:rsidRPr="00164238" w:rsidRDefault="005633F5" w:rsidP="005633F5">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i/>
          <w:color w:val="000000" w:themeColor="text1"/>
        </w:rPr>
        <w:lastRenderedPageBreak/>
        <w:t>Tablo 3</w:t>
      </w:r>
      <w:r w:rsidRPr="00164238">
        <w:rPr>
          <w:rFonts w:ascii="Times New Roman" w:hAnsi="Times New Roman" w:cs="Times New Roman"/>
          <w:b/>
          <w:color w:val="000000" w:themeColor="text1"/>
        </w:rPr>
        <w:t>.</w:t>
      </w:r>
      <w:r w:rsidRPr="00164238">
        <w:rPr>
          <w:rFonts w:ascii="Times New Roman" w:hAnsi="Times New Roman" w:cs="Times New Roman"/>
          <w:color w:val="000000" w:themeColor="text1"/>
        </w:rPr>
        <w:t xml:space="preserve"> Hipotez Sonuçları</w:t>
      </w:r>
    </w:p>
    <w:tbl>
      <w:tblPr>
        <w:tblStyle w:val="TabloKlavuzu"/>
        <w:tblW w:w="0" w:type="auto"/>
        <w:tblInd w:w="-5" w:type="dxa"/>
        <w:tblLook w:val="04A0" w:firstRow="1" w:lastRow="0" w:firstColumn="1" w:lastColumn="0" w:noHBand="0" w:noVBand="1"/>
      </w:tblPr>
      <w:tblGrid>
        <w:gridCol w:w="1625"/>
        <w:gridCol w:w="3137"/>
        <w:gridCol w:w="1211"/>
        <w:gridCol w:w="1169"/>
        <w:gridCol w:w="1358"/>
      </w:tblGrid>
      <w:tr w:rsidR="00AE5E6C" w:rsidRPr="00164238" w14:paraId="5B611105" w14:textId="77777777" w:rsidTr="00682CBF">
        <w:trPr>
          <w:trHeight w:val="284"/>
        </w:trPr>
        <w:tc>
          <w:tcPr>
            <w:tcW w:w="1630" w:type="dxa"/>
            <w:vAlign w:val="center"/>
          </w:tcPr>
          <w:p w14:paraId="65D5E318" w14:textId="77777777" w:rsidR="005633F5" w:rsidRPr="00164238" w:rsidRDefault="005633F5" w:rsidP="00682CBF">
            <w:pPr>
              <w:ind w:firstLine="567"/>
              <w:jc w:val="both"/>
              <w:rPr>
                <w:rFonts w:ascii="Times New Roman" w:hAnsi="Times New Roman" w:cs="Times New Roman"/>
                <w:b/>
                <w:color w:val="000000" w:themeColor="text1"/>
              </w:rPr>
            </w:pPr>
            <w:r w:rsidRPr="00164238">
              <w:rPr>
                <w:rFonts w:ascii="Times New Roman" w:hAnsi="Times New Roman" w:cs="Times New Roman"/>
                <w:b/>
                <w:color w:val="000000" w:themeColor="text1"/>
              </w:rPr>
              <w:t>Hipotez</w:t>
            </w:r>
          </w:p>
        </w:tc>
        <w:tc>
          <w:tcPr>
            <w:tcW w:w="3202" w:type="dxa"/>
            <w:vAlign w:val="center"/>
          </w:tcPr>
          <w:p w14:paraId="597604AE" w14:textId="77777777" w:rsidR="005633F5" w:rsidRPr="00164238" w:rsidRDefault="005633F5" w:rsidP="00682CBF">
            <w:pPr>
              <w:ind w:firstLine="567"/>
              <w:jc w:val="both"/>
              <w:rPr>
                <w:rFonts w:ascii="Times New Roman" w:hAnsi="Times New Roman" w:cs="Times New Roman"/>
                <w:b/>
                <w:color w:val="000000" w:themeColor="text1"/>
              </w:rPr>
            </w:pPr>
            <w:r w:rsidRPr="00164238">
              <w:rPr>
                <w:rFonts w:ascii="Times New Roman" w:hAnsi="Times New Roman" w:cs="Times New Roman"/>
                <w:b/>
                <w:color w:val="000000" w:themeColor="text1"/>
              </w:rPr>
              <w:t>İlişki</w:t>
            </w:r>
          </w:p>
        </w:tc>
        <w:tc>
          <w:tcPr>
            <w:tcW w:w="1184" w:type="dxa"/>
            <w:vAlign w:val="center"/>
          </w:tcPr>
          <w:p w14:paraId="1F9E75CF" w14:textId="77777777" w:rsidR="005633F5" w:rsidRPr="00164238" w:rsidRDefault="005633F5" w:rsidP="00682CBF">
            <w:pPr>
              <w:ind w:firstLine="567"/>
              <w:jc w:val="both"/>
              <w:rPr>
                <w:rFonts w:ascii="Times New Roman" w:hAnsi="Times New Roman" w:cs="Times New Roman"/>
                <w:b/>
                <w:color w:val="000000" w:themeColor="text1"/>
              </w:rPr>
            </w:pPr>
            <w:r w:rsidRPr="00164238">
              <w:rPr>
                <w:rFonts w:ascii="Times New Roman" w:hAnsi="Times New Roman" w:cs="Times New Roman"/>
                <w:b/>
                <w:color w:val="000000" w:themeColor="text1"/>
              </w:rPr>
              <w:t xml:space="preserve">Beta </w:t>
            </w:r>
          </w:p>
        </w:tc>
        <w:tc>
          <w:tcPr>
            <w:tcW w:w="1134" w:type="dxa"/>
            <w:vAlign w:val="center"/>
          </w:tcPr>
          <w:p w14:paraId="1D1A3D93" w14:textId="77777777" w:rsidR="005633F5" w:rsidRPr="00164238" w:rsidRDefault="005633F5" w:rsidP="00682CBF">
            <w:pPr>
              <w:ind w:firstLine="567"/>
              <w:jc w:val="both"/>
              <w:rPr>
                <w:rFonts w:ascii="Times New Roman" w:hAnsi="Times New Roman" w:cs="Times New Roman"/>
                <w:b/>
                <w:color w:val="000000" w:themeColor="text1"/>
              </w:rPr>
            </w:pPr>
            <w:r w:rsidRPr="00164238">
              <w:rPr>
                <w:rFonts w:ascii="Times New Roman" w:hAnsi="Times New Roman" w:cs="Times New Roman"/>
                <w:b/>
                <w:color w:val="000000" w:themeColor="text1"/>
              </w:rPr>
              <w:t>T-değeri</w:t>
            </w:r>
          </w:p>
        </w:tc>
        <w:tc>
          <w:tcPr>
            <w:tcW w:w="1350" w:type="dxa"/>
            <w:vAlign w:val="center"/>
          </w:tcPr>
          <w:p w14:paraId="12B8ECCC" w14:textId="77777777" w:rsidR="005633F5" w:rsidRPr="00164238" w:rsidRDefault="005633F5" w:rsidP="00682CBF">
            <w:pPr>
              <w:ind w:firstLine="567"/>
              <w:jc w:val="both"/>
              <w:rPr>
                <w:rFonts w:ascii="Times New Roman" w:hAnsi="Times New Roman" w:cs="Times New Roman"/>
                <w:b/>
                <w:color w:val="000000" w:themeColor="text1"/>
              </w:rPr>
            </w:pPr>
            <w:r w:rsidRPr="00164238">
              <w:rPr>
                <w:rFonts w:ascii="Times New Roman" w:hAnsi="Times New Roman" w:cs="Times New Roman"/>
                <w:b/>
                <w:color w:val="000000" w:themeColor="text1"/>
              </w:rPr>
              <w:t>Sonuç</w:t>
            </w:r>
          </w:p>
        </w:tc>
      </w:tr>
      <w:tr w:rsidR="00AE5E6C" w:rsidRPr="00164238" w14:paraId="7FFFBEDE" w14:textId="77777777" w:rsidTr="00682CBF">
        <w:trPr>
          <w:trHeight w:hRule="exact" w:val="284"/>
        </w:trPr>
        <w:tc>
          <w:tcPr>
            <w:tcW w:w="1630" w:type="dxa"/>
            <w:vAlign w:val="center"/>
          </w:tcPr>
          <w:p w14:paraId="35D6CE86" w14:textId="77777777" w:rsidR="005633F5" w:rsidRPr="00164238" w:rsidRDefault="005633F5" w:rsidP="00682CBF">
            <w:pPr>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H1</w:t>
            </w:r>
          </w:p>
          <w:p w14:paraId="0CBDBF21" w14:textId="77777777" w:rsidR="005633F5" w:rsidRPr="00164238" w:rsidRDefault="005633F5" w:rsidP="00682CBF">
            <w:pPr>
              <w:ind w:firstLine="567"/>
              <w:jc w:val="both"/>
              <w:rPr>
                <w:rFonts w:ascii="Times New Roman" w:hAnsi="Times New Roman" w:cs="Times New Roman"/>
                <w:color w:val="000000" w:themeColor="text1"/>
              </w:rPr>
            </w:pPr>
          </w:p>
        </w:tc>
        <w:tc>
          <w:tcPr>
            <w:tcW w:w="3202" w:type="dxa"/>
            <w:vAlign w:val="center"/>
          </w:tcPr>
          <w:p w14:paraId="6659FD4C" w14:textId="77777777" w:rsidR="005633F5" w:rsidRPr="00164238" w:rsidRDefault="005633F5" w:rsidP="00682CBF">
            <w:pPr>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Algılanan covid-19 riski - Kullanım Kolaylığı</w:t>
            </w:r>
          </w:p>
        </w:tc>
        <w:tc>
          <w:tcPr>
            <w:tcW w:w="1184" w:type="dxa"/>
            <w:vAlign w:val="center"/>
          </w:tcPr>
          <w:p w14:paraId="2557422C" w14:textId="77777777" w:rsidR="005633F5" w:rsidRPr="00164238" w:rsidRDefault="005633F5" w:rsidP="00682CBF">
            <w:pPr>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0.36</w:t>
            </w:r>
          </w:p>
        </w:tc>
        <w:tc>
          <w:tcPr>
            <w:tcW w:w="1134" w:type="dxa"/>
            <w:vAlign w:val="center"/>
          </w:tcPr>
          <w:p w14:paraId="1F926B9A" w14:textId="77777777" w:rsidR="005633F5" w:rsidRPr="00164238" w:rsidRDefault="005633F5" w:rsidP="00682CBF">
            <w:pPr>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3.55</w:t>
            </w:r>
          </w:p>
        </w:tc>
        <w:tc>
          <w:tcPr>
            <w:tcW w:w="1350" w:type="dxa"/>
            <w:vAlign w:val="center"/>
          </w:tcPr>
          <w:p w14:paraId="4F36AFB6" w14:textId="77777777" w:rsidR="005633F5" w:rsidRPr="00164238" w:rsidRDefault="005633F5" w:rsidP="00682CBF">
            <w:pPr>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Kabul</w:t>
            </w:r>
          </w:p>
        </w:tc>
      </w:tr>
      <w:tr w:rsidR="00AE5E6C" w:rsidRPr="00164238" w14:paraId="745B44B5" w14:textId="77777777" w:rsidTr="00682CBF">
        <w:trPr>
          <w:trHeight w:hRule="exact" w:val="284"/>
        </w:trPr>
        <w:tc>
          <w:tcPr>
            <w:tcW w:w="1630" w:type="dxa"/>
            <w:vAlign w:val="center"/>
          </w:tcPr>
          <w:p w14:paraId="114A3E1E" w14:textId="77777777" w:rsidR="005633F5" w:rsidRPr="00164238" w:rsidRDefault="005633F5" w:rsidP="00682CBF">
            <w:pPr>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H2</w:t>
            </w:r>
          </w:p>
        </w:tc>
        <w:tc>
          <w:tcPr>
            <w:tcW w:w="3202" w:type="dxa"/>
            <w:vAlign w:val="center"/>
          </w:tcPr>
          <w:p w14:paraId="683DB4ED" w14:textId="77777777" w:rsidR="005633F5" w:rsidRPr="00164238" w:rsidRDefault="005633F5" w:rsidP="00682CBF">
            <w:pPr>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Algılanan covid-19 riski – Algılanan yararlılık</w:t>
            </w:r>
          </w:p>
          <w:p w14:paraId="2252D27F" w14:textId="77777777" w:rsidR="005633F5" w:rsidRPr="00164238" w:rsidRDefault="005633F5" w:rsidP="00682CBF">
            <w:pPr>
              <w:ind w:firstLine="567"/>
              <w:jc w:val="both"/>
              <w:rPr>
                <w:rFonts w:ascii="Times New Roman" w:hAnsi="Times New Roman" w:cs="Times New Roman"/>
                <w:color w:val="000000" w:themeColor="text1"/>
              </w:rPr>
            </w:pPr>
          </w:p>
          <w:p w14:paraId="5E622947" w14:textId="77777777" w:rsidR="005633F5" w:rsidRPr="00164238" w:rsidRDefault="005633F5" w:rsidP="00682CBF">
            <w:pPr>
              <w:ind w:firstLine="567"/>
              <w:jc w:val="both"/>
              <w:rPr>
                <w:rFonts w:ascii="Times New Roman" w:hAnsi="Times New Roman" w:cs="Times New Roman"/>
                <w:color w:val="000000" w:themeColor="text1"/>
              </w:rPr>
            </w:pPr>
          </w:p>
          <w:p w14:paraId="76D66C25" w14:textId="77777777" w:rsidR="005633F5" w:rsidRPr="00164238" w:rsidRDefault="005633F5" w:rsidP="00682CBF">
            <w:pPr>
              <w:ind w:firstLine="567"/>
              <w:jc w:val="both"/>
              <w:rPr>
                <w:rFonts w:ascii="Times New Roman" w:hAnsi="Times New Roman" w:cs="Times New Roman"/>
                <w:color w:val="000000" w:themeColor="text1"/>
              </w:rPr>
            </w:pPr>
          </w:p>
        </w:tc>
        <w:tc>
          <w:tcPr>
            <w:tcW w:w="1184" w:type="dxa"/>
            <w:vAlign w:val="center"/>
          </w:tcPr>
          <w:p w14:paraId="1AFFC21A" w14:textId="77777777" w:rsidR="005633F5" w:rsidRPr="00164238" w:rsidRDefault="005633F5" w:rsidP="00682CBF">
            <w:pPr>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0.39</w:t>
            </w:r>
          </w:p>
        </w:tc>
        <w:tc>
          <w:tcPr>
            <w:tcW w:w="1134" w:type="dxa"/>
            <w:vAlign w:val="center"/>
          </w:tcPr>
          <w:p w14:paraId="60C62042" w14:textId="77777777" w:rsidR="005633F5" w:rsidRPr="00164238" w:rsidRDefault="005633F5" w:rsidP="00682CBF">
            <w:pPr>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4.05</w:t>
            </w:r>
          </w:p>
        </w:tc>
        <w:tc>
          <w:tcPr>
            <w:tcW w:w="1350" w:type="dxa"/>
            <w:vAlign w:val="center"/>
          </w:tcPr>
          <w:p w14:paraId="2BD06263" w14:textId="77777777" w:rsidR="005633F5" w:rsidRPr="00164238" w:rsidRDefault="005633F5" w:rsidP="00682CBF">
            <w:pPr>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Kabul</w:t>
            </w:r>
          </w:p>
        </w:tc>
      </w:tr>
      <w:tr w:rsidR="00AE5E6C" w:rsidRPr="00164238" w14:paraId="13C591CE" w14:textId="77777777" w:rsidTr="00682CBF">
        <w:trPr>
          <w:trHeight w:hRule="exact" w:val="284"/>
        </w:trPr>
        <w:tc>
          <w:tcPr>
            <w:tcW w:w="1630" w:type="dxa"/>
            <w:vAlign w:val="center"/>
          </w:tcPr>
          <w:p w14:paraId="6C67BE4D" w14:textId="77777777" w:rsidR="005633F5" w:rsidRPr="00164238" w:rsidRDefault="005633F5" w:rsidP="00682CBF">
            <w:pPr>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H3</w:t>
            </w:r>
          </w:p>
        </w:tc>
        <w:tc>
          <w:tcPr>
            <w:tcW w:w="3202" w:type="dxa"/>
            <w:vAlign w:val="center"/>
          </w:tcPr>
          <w:p w14:paraId="62FC7533" w14:textId="77777777" w:rsidR="005633F5" w:rsidRPr="00164238" w:rsidRDefault="005633F5" w:rsidP="00682CBF">
            <w:pPr>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Algılanan covid-19 riski – Temassız Ödeme Kullanım Niyeti</w:t>
            </w:r>
          </w:p>
        </w:tc>
        <w:tc>
          <w:tcPr>
            <w:tcW w:w="1184" w:type="dxa"/>
            <w:vAlign w:val="center"/>
          </w:tcPr>
          <w:p w14:paraId="0A290EA8" w14:textId="77777777" w:rsidR="005633F5" w:rsidRPr="00164238" w:rsidRDefault="005633F5" w:rsidP="00682CBF">
            <w:pPr>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0.15</w:t>
            </w:r>
          </w:p>
        </w:tc>
        <w:tc>
          <w:tcPr>
            <w:tcW w:w="1134" w:type="dxa"/>
            <w:vAlign w:val="center"/>
          </w:tcPr>
          <w:p w14:paraId="6423F070" w14:textId="77777777" w:rsidR="005633F5" w:rsidRPr="00164238" w:rsidRDefault="005633F5" w:rsidP="00682CBF">
            <w:pPr>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1.57</w:t>
            </w:r>
          </w:p>
        </w:tc>
        <w:tc>
          <w:tcPr>
            <w:tcW w:w="1350" w:type="dxa"/>
            <w:vAlign w:val="center"/>
          </w:tcPr>
          <w:p w14:paraId="51CBD55F" w14:textId="77777777" w:rsidR="005633F5" w:rsidRPr="00164238" w:rsidRDefault="005633F5" w:rsidP="00682CBF">
            <w:pPr>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Ret</w:t>
            </w:r>
          </w:p>
        </w:tc>
      </w:tr>
      <w:tr w:rsidR="00AE5E6C" w:rsidRPr="00164238" w14:paraId="7FE63EDA" w14:textId="77777777" w:rsidTr="00682CBF">
        <w:trPr>
          <w:trHeight w:hRule="exact" w:val="284"/>
        </w:trPr>
        <w:tc>
          <w:tcPr>
            <w:tcW w:w="1630" w:type="dxa"/>
            <w:vAlign w:val="center"/>
          </w:tcPr>
          <w:p w14:paraId="1D773BB8" w14:textId="77777777" w:rsidR="005633F5" w:rsidRPr="00164238" w:rsidRDefault="005633F5" w:rsidP="00682CBF">
            <w:pPr>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H4</w:t>
            </w:r>
          </w:p>
        </w:tc>
        <w:tc>
          <w:tcPr>
            <w:tcW w:w="3202" w:type="dxa"/>
            <w:vAlign w:val="center"/>
          </w:tcPr>
          <w:p w14:paraId="023AB7F2" w14:textId="77777777" w:rsidR="005633F5" w:rsidRPr="00164238" w:rsidRDefault="005633F5" w:rsidP="00682CBF">
            <w:pPr>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Kullanım kolaylığı - Temassız Ödeme Kullanım Niyeti</w:t>
            </w:r>
          </w:p>
        </w:tc>
        <w:tc>
          <w:tcPr>
            <w:tcW w:w="1184" w:type="dxa"/>
            <w:vAlign w:val="center"/>
          </w:tcPr>
          <w:p w14:paraId="21AF77F0" w14:textId="77777777" w:rsidR="005633F5" w:rsidRPr="00164238" w:rsidRDefault="005633F5" w:rsidP="00682CBF">
            <w:pPr>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0.49</w:t>
            </w:r>
          </w:p>
        </w:tc>
        <w:tc>
          <w:tcPr>
            <w:tcW w:w="1134" w:type="dxa"/>
            <w:vAlign w:val="center"/>
          </w:tcPr>
          <w:p w14:paraId="6398EE6E" w14:textId="77777777" w:rsidR="005633F5" w:rsidRPr="00164238" w:rsidRDefault="005633F5" w:rsidP="00682CBF">
            <w:pPr>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3.84</w:t>
            </w:r>
          </w:p>
        </w:tc>
        <w:tc>
          <w:tcPr>
            <w:tcW w:w="1350" w:type="dxa"/>
            <w:vAlign w:val="center"/>
          </w:tcPr>
          <w:p w14:paraId="7CFFE44C" w14:textId="77777777" w:rsidR="005633F5" w:rsidRPr="00164238" w:rsidRDefault="005633F5" w:rsidP="00682CBF">
            <w:pPr>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Kabul</w:t>
            </w:r>
          </w:p>
        </w:tc>
      </w:tr>
      <w:tr w:rsidR="00AE5E6C" w:rsidRPr="00164238" w14:paraId="765D2480" w14:textId="77777777" w:rsidTr="00682CBF">
        <w:trPr>
          <w:trHeight w:hRule="exact" w:val="284"/>
        </w:trPr>
        <w:tc>
          <w:tcPr>
            <w:tcW w:w="1630" w:type="dxa"/>
            <w:vAlign w:val="center"/>
          </w:tcPr>
          <w:p w14:paraId="3F062C27" w14:textId="77777777" w:rsidR="005633F5" w:rsidRPr="00164238" w:rsidRDefault="005633F5" w:rsidP="00682CBF">
            <w:pPr>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H5</w:t>
            </w:r>
          </w:p>
        </w:tc>
        <w:tc>
          <w:tcPr>
            <w:tcW w:w="3202" w:type="dxa"/>
            <w:vAlign w:val="center"/>
          </w:tcPr>
          <w:p w14:paraId="6AD8B0DA" w14:textId="77777777" w:rsidR="005633F5" w:rsidRPr="00164238" w:rsidRDefault="005633F5" w:rsidP="00682CBF">
            <w:pPr>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Algılanan Yararlılık - Temassız Ödeme Kullanım Niyeti</w:t>
            </w:r>
          </w:p>
        </w:tc>
        <w:tc>
          <w:tcPr>
            <w:tcW w:w="1184" w:type="dxa"/>
            <w:vAlign w:val="center"/>
          </w:tcPr>
          <w:p w14:paraId="16058F7D" w14:textId="77777777" w:rsidR="005633F5" w:rsidRPr="00164238" w:rsidRDefault="005633F5" w:rsidP="00682CBF">
            <w:pPr>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0.19</w:t>
            </w:r>
          </w:p>
        </w:tc>
        <w:tc>
          <w:tcPr>
            <w:tcW w:w="1134" w:type="dxa"/>
            <w:vAlign w:val="center"/>
          </w:tcPr>
          <w:p w14:paraId="6E5E5E49" w14:textId="77777777" w:rsidR="005633F5" w:rsidRPr="00164238" w:rsidRDefault="005633F5" w:rsidP="00682CBF">
            <w:pPr>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2.03</w:t>
            </w:r>
          </w:p>
        </w:tc>
        <w:tc>
          <w:tcPr>
            <w:tcW w:w="1350" w:type="dxa"/>
            <w:vAlign w:val="center"/>
          </w:tcPr>
          <w:p w14:paraId="35541958" w14:textId="77777777" w:rsidR="005633F5" w:rsidRPr="00164238" w:rsidRDefault="005633F5" w:rsidP="00682CBF">
            <w:pPr>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Kabul</w:t>
            </w:r>
          </w:p>
        </w:tc>
      </w:tr>
    </w:tbl>
    <w:p w14:paraId="6E4E330A" w14:textId="77777777" w:rsidR="005633F5" w:rsidRPr="00164238" w:rsidRDefault="005633F5" w:rsidP="005633F5">
      <w:pPr>
        <w:spacing w:before="120" w:after="120" w:line="276" w:lineRule="auto"/>
        <w:ind w:firstLine="567"/>
        <w:jc w:val="both"/>
        <w:rPr>
          <w:rFonts w:ascii="Times New Roman" w:hAnsi="Times New Roman" w:cs="Times New Roman"/>
          <w:b/>
          <w:color w:val="000000" w:themeColor="text1"/>
        </w:rPr>
      </w:pPr>
      <w:r w:rsidRPr="00164238">
        <w:rPr>
          <w:rFonts w:ascii="Times New Roman" w:hAnsi="Times New Roman" w:cs="Times New Roman"/>
          <w:b/>
          <w:color w:val="000000" w:themeColor="text1"/>
        </w:rPr>
        <w:t>Aracı Değişken Analizi</w:t>
      </w:r>
    </w:p>
    <w:p w14:paraId="4909003E" w14:textId="77777777" w:rsidR="005633F5" w:rsidRPr="00164238" w:rsidRDefault="005633F5" w:rsidP="005633F5">
      <w:pPr>
        <w:spacing w:before="120" w:after="120" w:line="276" w:lineRule="auto"/>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Bu aşamada ise algılanan covid-19 riskinin temassız ödeme kullanım niyeti ile endirekt ilişkisinin olup olmadığı incelenmiştir. SmartPls programı ile yapılan analiz sonucuna ilişkin bulgular Tablo 4’te sunulmuştur.</w:t>
      </w:r>
    </w:p>
    <w:p w14:paraId="795B1CDE" w14:textId="77777777" w:rsidR="005633F5" w:rsidRPr="00164238" w:rsidRDefault="005633F5" w:rsidP="005633F5">
      <w:pPr>
        <w:spacing w:before="120" w:after="120" w:line="276" w:lineRule="auto"/>
        <w:jc w:val="both"/>
        <w:rPr>
          <w:rFonts w:ascii="Times New Roman" w:hAnsi="Times New Roman" w:cs="Times New Roman"/>
          <w:color w:val="000000" w:themeColor="text1"/>
        </w:rPr>
      </w:pPr>
      <w:r w:rsidRPr="00164238">
        <w:rPr>
          <w:rFonts w:ascii="Times New Roman" w:hAnsi="Times New Roman" w:cs="Times New Roman"/>
          <w:i/>
          <w:color w:val="000000" w:themeColor="text1"/>
        </w:rPr>
        <w:t>Tablo 4.</w:t>
      </w:r>
      <w:r w:rsidRPr="00164238">
        <w:rPr>
          <w:rFonts w:ascii="Times New Roman" w:hAnsi="Times New Roman" w:cs="Times New Roman"/>
          <w:color w:val="000000" w:themeColor="text1"/>
        </w:rPr>
        <w:t xml:space="preserve"> Aracı etki Analizi</w:t>
      </w:r>
    </w:p>
    <w:tbl>
      <w:tblPr>
        <w:tblStyle w:val="TabloKlavuzu"/>
        <w:tblW w:w="0" w:type="auto"/>
        <w:tblInd w:w="-5" w:type="dxa"/>
        <w:tblLook w:val="04A0" w:firstRow="1" w:lastRow="0" w:firstColumn="1" w:lastColumn="0" w:noHBand="0" w:noVBand="1"/>
      </w:tblPr>
      <w:tblGrid>
        <w:gridCol w:w="1941"/>
        <w:gridCol w:w="1834"/>
        <w:gridCol w:w="2345"/>
        <w:gridCol w:w="1211"/>
        <w:gridCol w:w="1169"/>
      </w:tblGrid>
      <w:tr w:rsidR="00AE5E6C" w:rsidRPr="00164238" w14:paraId="0CBFA47E" w14:textId="77777777" w:rsidTr="00682CBF">
        <w:trPr>
          <w:trHeight w:val="284"/>
        </w:trPr>
        <w:tc>
          <w:tcPr>
            <w:tcW w:w="1956" w:type="dxa"/>
            <w:vAlign w:val="center"/>
          </w:tcPr>
          <w:p w14:paraId="376F6264" w14:textId="77777777" w:rsidR="005633F5" w:rsidRPr="00164238" w:rsidRDefault="005633F5" w:rsidP="00682CBF">
            <w:pPr>
              <w:ind w:firstLine="567"/>
              <w:jc w:val="both"/>
              <w:rPr>
                <w:rFonts w:ascii="Times New Roman" w:hAnsi="Times New Roman" w:cs="Times New Roman"/>
                <w:b/>
                <w:color w:val="000000" w:themeColor="text1"/>
              </w:rPr>
            </w:pPr>
            <w:r w:rsidRPr="00164238">
              <w:rPr>
                <w:rFonts w:ascii="Times New Roman" w:hAnsi="Times New Roman" w:cs="Times New Roman"/>
                <w:b/>
                <w:color w:val="000000" w:themeColor="text1"/>
              </w:rPr>
              <w:t>Bağımsız değişken</w:t>
            </w:r>
          </w:p>
        </w:tc>
        <w:tc>
          <w:tcPr>
            <w:tcW w:w="1843" w:type="dxa"/>
            <w:vAlign w:val="center"/>
          </w:tcPr>
          <w:p w14:paraId="471E65FA" w14:textId="77777777" w:rsidR="005633F5" w:rsidRPr="00164238" w:rsidRDefault="005633F5" w:rsidP="00682CBF">
            <w:pPr>
              <w:ind w:firstLine="567"/>
              <w:jc w:val="both"/>
              <w:rPr>
                <w:rFonts w:ascii="Times New Roman" w:hAnsi="Times New Roman" w:cs="Times New Roman"/>
                <w:b/>
                <w:color w:val="000000" w:themeColor="text1"/>
              </w:rPr>
            </w:pPr>
            <w:r w:rsidRPr="00164238">
              <w:rPr>
                <w:rFonts w:ascii="Times New Roman" w:hAnsi="Times New Roman" w:cs="Times New Roman"/>
                <w:b/>
                <w:color w:val="000000" w:themeColor="text1"/>
              </w:rPr>
              <w:t xml:space="preserve">Aracı değişken </w:t>
            </w:r>
          </w:p>
        </w:tc>
        <w:tc>
          <w:tcPr>
            <w:tcW w:w="2383" w:type="dxa"/>
            <w:vAlign w:val="center"/>
          </w:tcPr>
          <w:p w14:paraId="743B04E1" w14:textId="77777777" w:rsidR="005633F5" w:rsidRPr="00164238" w:rsidRDefault="005633F5" w:rsidP="00682CBF">
            <w:pPr>
              <w:ind w:firstLine="567"/>
              <w:jc w:val="both"/>
              <w:rPr>
                <w:rFonts w:ascii="Times New Roman" w:hAnsi="Times New Roman" w:cs="Times New Roman"/>
                <w:b/>
                <w:color w:val="000000" w:themeColor="text1"/>
              </w:rPr>
            </w:pPr>
            <w:r w:rsidRPr="00164238">
              <w:rPr>
                <w:rFonts w:ascii="Times New Roman" w:hAnsi="Times New Roman" w:cs="Times New Roman"/>
                <w:b/>
                <w:color w:val="000000" w:themeColor="text1"/>
              </w:rPr>
              <w:t>Bağımlı değişken</w:t>
            </w:r>
          </w:p>
        </w:tc>
        <w:tc>
          <w:tcPr>
            <w:tcW w:w="1184" w:type="dxa"/>
            <w:vAlign w:val="center"/>
          </w:tcPr>
          <w:p w14:paraId="17371C82" w14:textId="77777777" w:rsidR="005633F5" w:rsidRPr="00164238" w:rsidRDefault="005633F5" w:rsidP="00682CBF">
            <w:pPr>
              <w:ind w:firstLine="567"/>
              <w:jc w:val="both"/>
              <w:rPr>
                <w:rFonts w:ascii="Times New Roman" w:hAnsi="Times New Roman" w:cs="Times New Roman"/>
                <w:b/>
                <w:color w:val="000000" w:themeColor="text1"/>
              </w:rPr>
            </w:pPr>
            <w:r w:rsidRPr="00164238">
              <w:rPr>
                <w:rFonts w:ascii="Times New Roman" w:hAnsi="Times New Roman" w:cs="Times New Roman"/>
                <w:b/>
                <w:color w:val="000000" w:themeColor="text1"/>
              </w:rPr>
              <w:t xml:space="preserve">Beta </w:t>
            </w:r>
          </w:p>
        </w:tc>
        <w:tc>
          <w:tcPr>
            <w:tcW w:w="1134" w:type="dxa"/>
            <w:vAlign w:val="center"/>
          </w:tcPr>
          <w:p w14:paraId="384D68F1" w14:textId="77777777" w:rsidR="005633F5" w:rsidRPr="00164238" w:rsidRDefault="005633F5" w:rsidP="00682CBF">
            <w:pPr>
              <w:ind w:firstLine="567"/>
              <w:jc w:val="both"/>
              <w:rPr>
                <w:rFonts w:ascii="Times New Roman" w:hAnsi="Times New Roman" w:cs="Times New Roman"/>
                <w:b/>
                <w:color w:val="000000" w:themeColor="text1"/>
              </w:rPr>
            </w:pPr>
            <w:r w:rsidRPr="00164238">
              <w:rPr>
                <w:rFonts w:ascii="Times New Roman" w:hAnsi="Times New Roman" w:cs="Times New Roman"/>
                <w:b/>
                <w:color w:val="000000" w:themeColor="text1"/>
              </w:rPr>
              <w:t>T-değeri</w:t>
            </w:r>
          </w:p>
        </w:tc>
      </w:tr>
      <w:tr w:rsidR="00AE5E6C" w:rsidRPr="00164238" w14:paraId="3AE88190" w14:textId="77777777" w:rsidTr="00682CBF">
        <w:trPr>
          <w:trHeight w:hRule="exact" w:val="284"/>
        </w:trPr>
        <w:tc>
          <w:tcPr>
            <w:tcW w:w="1956" w:type="dxa"/>
            <w:vAlign w:val="center"/>
          </w:tcPr>
          <w:p w14:paraId="2F163F6E" w14:textId="77777777" w:rsidR="005633F5" w:rsidRPr="00164238" w:rsidRDefault="005633F5" w:rsidP="00682CBF">
            <w:pPr>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Algılanan covid-19 riski</w:t>
            </w:r>
          </w:p>
        </w:tc>
        <w:tc>
          <w:tcPr>
            <w:tcW w:w="1843" w:type="dxa"/>
            <w:vAlign w:val="center"/>
          </w:tcPr>
          <w:p w14:paraId="038C27A5" w14:textId="77777777" w:rsidR="005633F5" w:rsidRPr="00164238" w:rsidRDefault="005633F5" w:rsidP="00682CBF">
            <w:pPr>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Algılanan yararlılık</w:t>
            </w:r>
          </w:p>
        </w:tc>
        <w:tc>
          <w:tcPr>
            <w:tcW w:w="2383" w:type="dxa"/>
            <w:vAlign w:val="center"/>
          </w:tcPr>
          <w:p w14:paraId="32D99FC3" w14:textId="77777777" w:rsidR="005633F5" w:rsidRPr="00164238" w:rsidRDefault="005633F5" w:rsidP="00682CBF">
            <w:pPr>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Temassız Ödeme Kullanım Niyeti</w:t>
            </w:r>
          </w:p>
        </w:tc>
        <w:tc>
          <w:tcPr>
            <w:tcW w:w="1184" w:type="dxa"/>
            <w:vAlign w:val="center"/>
          </w:tcPr>
          <w:p w14:paraId="61D2C5DE" w14:textId="77777777" w:rsidR="005633F5" w:rsidRPr="00164238" w:rsidRDefault="005633F5" w:rsidP="00682CBF">
            <w:pPr>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0.09</w:t>
            </w:r>
          </w:p>
        </w:tc>
        <w:tc>
          <w:tcPr>
            <w:tcW w:w="1134" w:type="dxa"/>
            <w:vAlign w:val="center"/>
          </w:tcPr>
          <w:p w14:paraId="6DFDC12B" w14:textId="77777777" w:rsidR="005633F5" w:rsidRPr="00164238" w:rsidRDefault="005633F5" w:rsidP="00682CBF">
            <w:pPr>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1.56</w:t>
            </w:r>
          </w:p>
        </w:tc>
      </w:tr>
      <w:tr w:rsidR="00AE5E6C" w:rsidRPr="00164238" w14:paraId="2FA71554" w14:textId="77777777" w:rsidTr="00682CBF">
        <w:trPr>
          <w:trHeight w:hRule="exact" w:val="284"/>
        </w:trPr>
        <w:tc>
          <w:tcPr>
            <w:tcW w:w="1956" w:type="dxa"/>
            <w:vAlign w:val="center"/>
          </w:tcPr>
          <w:p w14:paraId="04BF3D5E" w14:textId="77777777" w:rsidR="005633F5" w:rsidRPr="00164238" w:rsidRDefault="005633F5" w:rsidP="00682CBF">
            <w:pPr>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Algılanan covid-19 riski</w:t>
            </w:r>
          </w:p>
        </w:tc>
        <w:tc>
          <w:tcPr>
            <w:tcW w:w="1843" w:type="dxa"/>
            <w:vAlign w:val="center"/>
          </w:tcPr>
          <w:p w14:paraId="37A200A3" w14:textId="77777777" w:rsidR="005633F5" w:rsidRPr="00164238" w:rsidRDefault="005633F5" w:rsidP="00682CBF">
            <w:pPr>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Kullanım Kolaylığı</w:t>
            </w:r>
          </w:p>
        </w:tc>
        <w:tc>
          <w:tcPr>
            <w:tcW w:w="2383" w:type="dxa"/>
            <w:vAlign w:val="center"/>
          </w:tcPr>
          <w:p w14:paraId="5CFF3D9D" w14:textId="77777777" w:rsidR="005633F5" w:rsidRPr="00164238" w:rsidRDefault="005633F5" w:rsidP="00682CBF">
            <w:pPr>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Temassız Ödeme Kullanım Niyeti</w:t>
            </w:r>
          </w:p>
        </w:tc>
        <w:tc>
          <w:tcPr>
            <w:tcW w:w="1184" w:type="dxa"/>
            <w:vAlign w:val="center"/>
          </w:tcPr>
          <w:p w14:paraId="46EB860E" w14:textId="77777777" w:rsidR="005633F5" w:rsidRPr="00164238" w:rsidRDefault="005633F5" w:rsidP="00682CBF">
            <w:pPr>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0.18</w:t>
            </w:r>
          </w:p>
        </w:tc>
        <w:tc>
          <w:tcPr>
            <w:tcW w:w="1134" w:type="dxa"/>
            <w:vAlign w:val="center"/>
          </w:tcPr>
          <w:p w14:paraId="54828EA4" w14:textId="77777777" w:rsidR="005633F5" w:rsidRPr="00164238" w:rsidRDefault="005633F5" w:rsidP="00682CBF">
            <w:pPr>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2.30</w:t>
            </w:r>
          </w:p>
        </w:tc>
      </w:tr>
    </w:tbl>
    <w:p w14:paraId="37E9F2A3" w14:textId="77777777" w:rsidR="005633F5" w:rsidRPr="00164238" w:rsidRDefault="005633F5" w:rsidP="005633F5">
      <w:pPr>
        <w:spacing w:before="120" w:after="120" w:line="276" w:lineRule="auto"/>
        <w:ind w:firstLine="567"/>
        <w:jc w:val="both"/>
        <w:rPr>
          <w:rFonts w:ascii="Times New Roman" w:hAnsi="Times New Roman" w:cs="Times New Roman"/>
          <w:b/>
          <w:color w:val="000000" w:themeColor="text1"/>
        </w:rPr>
      </w:pPr>
      <w:r w:rsidRPr="00164238">
        <w:rPr>
          <w:rFonts w:ascii="Times New Roman" w:hAnsi="Times New Roman" w:cs="Times New Roman"/>
          <w:color w:val="000000" w:themeColor="text1"/>
        </w:rPr>
        <w:t xml:space="preserve">Tablo 4’teki değerleri incelediğimizde algılanan yararlılığın algılanan covid-19 riski ve temassız ödeme kullanım niyeti ilişkisinde aracı bir etkisi bulunmazken, kullanım kolaylığının algılanan covid-19 riski ve temassız ödeme kullanım niyeti ilişkisinde aracı bir etkisi söz konusudur. </w:t>
      </w:r>
    </w:p>
    <w:p w14:paraId="250E16C2" w14:textId="77777777" w:rsidR="005633F5" w:rsidRPr="00164238" w:rsidRDefault="005633F5" w:rsidP="005633F5">
      <w:pPr>
        <w:spacing w:before="120" w:after="120"/>
        <w:ind w:firstLine="567"/>
        <w:jc w:val="both"/>
        <w:rPr>
          <w:rFonts w:ascii="Times New Roman" w:hAnsi="Times New Roman" w:cs="Times New Roman"/>
          <w:color w:val="000000" w:themeColor="text1"/>
        </w:rPr>
      </w:pPr>
      <w:r w:rsidRPr="00164238">
        <w:rPr>
          <w:rFonts w:ascii="Times New Roman" w:hAnsi="Times New Roman" w:cs="Times New Roman"/>
          <w:b/>
          <w:color w:val="000000" w:themeColor="text1"/>
        </w:rPr>
        <w:t>SONUÇ, ÖNERİLER VE KISITLAR</w:t>
      </w:r>
      <w:r w:rsidRPr="00164238">
        <w:rPr>
          <w:rFonts w:ascii="Times New Roman" w:hAnsi="Times New Roman" w:cs="Times New Roman"/>
          <w:b/>
          <w:color w:val="000000" w:themeColor="text1"/>
        </w:rPr>
        <w:cr/>
      </w:r>
      <w:r w:rsidRPr="00164238">
        <w:rPr>
          <w:rFonts w:ascii="Times New Roman" w:hAnsi="Times New Roman" w:cs="Times New Roman"/>
          <w:color w:val="000000" w:themeColor="text1"/>
        </w:rPr>
        <w:t>Bu çalışmada algılanan Covid-19 riski, algılanan kullanım kolaylığı, algılanan yararlılık ve temassız kart kullanım niyeti arasındaki ilişkinin incelenmesi amaçlanmıştır. Bu amaçlar doğrultusunda bu çalışmanın bulguları literatürdeki boşluğa önemli katkılar sunmaktadır.</w:t>
      </w:r>
    </w:p>
    <w:p w14:paraId="288BC527" w14:textId="77777777" w:rsidR="005633F5" w:rsidRPr="00164238" w:rsidRDefault="005633F5" w:rsidP="005633F5">
      <w:pPr>
        <w:spacing w:before="120" w:after="120"/>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Bu çalışmanın bulgularına göre, algılanan covid-19 riski ile algılanan yararlılık ve kullanım niyeti arasında pozitif bir ilişki bulunmuştur. Bu bulgu tüketicilerin risk algısı arttıkça temassız ödeme araçlarında kullanım kolaylığı oluşturacağını ve temassız ödeme araçları ile ilgili yarar algısının artacağını göstermektedir. Diğer taraftan, algılanan covid-19 riskinin tüketicilerin temassız ödeme niyetleri üzerinde doğrudan bir etkisi tespit edilememiştir. Dahası, bu araştırmanın bulgularına göre algılanan yararlılık ve kullanım kolaylığı ile temassız ödeme kullanım niyeti arasında pozitif bir ilişki tespit edilmiştir. Bu bulgular, tüketicilerin kullanım niyetini doğrudan riskin etkilemeyip temassız ödemenin kullanım kolaylığı ve yararının harekete geçirdiğini göstermektedir. Ayrıca, coid-19 risk algısının kullanım niyeti üzerinde kullanım kolaylığı aracı etkisi ile endirekt bir ilişkisinin olduğu anlaşılmaktadır. </w:t>
      </w:r>
    </w:p>
    <w:p w14:paraId="1517373F" w14:textId="77777777" w:rsidR="005633F5" w:rsidRPr="00164238" w:rsidRDefault="005633F5" w:rsidP="005633F5">
      <w:pPr>
        <w:spacing w:before="120" w:after="120"/>
        <w:ind w:firstLine="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Bu çalışmanın bulguları hem teorik hem de uygulayıcılara önemli katkılar sunmaktadır. Teknoloji kabul modeli kullanarak birçok çalışma yapılmıştır. Ancak, bu araştırmada temassız ödeme ve covid-19 bağlamında ilk çalışma ilk defa uygulanıştır. Dolayısıyla, literatürdeki boşluğa önemli katkı sunmaktadır. Diğer taraftan, araştırmanın bulgularına göre temassız ödeme araçları müşteriler için covid-19 riskine karşı önemli bir araç olduğu gözlemlenmiştir. Dolayısıyla, bankaların bu tarz teknolojiler ortaya koyması müşteri tercihinde önemli katkı </w:t>
      </w:r>
      <w:r w:rsidRPr="00164238">
        <w:rPr>
          <w:rFonts w:ascii="Times New Roman" w:hAnsi="Times New Roman" w:cs="Times New Roman"/>
          <w:color w:val="000000" w:themeColor="text1"/>
        </w:rPr>
        <w:lastRenderedPageBreak/>
        <w:t>sağlayacaktır. Dahası, işletme yöneticilerinin de temassız özellikli pos cihazlarını işletmelerine adapte etmesi müşteri memnuniyetine önemli katkılar sağlayacaktır.</w:t>
      </w:r>
    </w:p>
    <w:p w14:paraId="78DFB29B" w14:textId="77777777" w:rsidR="005633F5" w:rsidRPr="00164238" w:rsidRDefault="005633F5" w:rsidP="005633F5">
      <w:pPr>
        <w:spacing w:before="120" w:after="120"/>
        <w:ind w:firstLine="567"/>
        <w:jc w:val="both"/>
        <w:rPr>
          <w:rFonts w:ascii="Times New Roman" w:hAnsi="Times New Roman" w:cs="Times New Roman"/>
          <w:b/>
          <w:color w:val="000000" w:themeColor="text1"/>
        </w:rPr>
      </w:pPr>
    </w:p>
    <w:p w14:paraId="38D3EACE" w14:textId="7BC8DA76" w:rsidR="005633F5" w:rsidRPr="00164238" w:rsidRDefault="00C95516" w:rsidP="005633F5">
      <w:pPr>
        <w:spacing w:before="120" w:after="120"/>
        <w:ind w:firstLine="567"/>
        <w:jc w:val="both"/>
        <w:rPr>
          <w:rFonts w:ascii="Times New Roman" w:hAnsi="Times New Roman" w:cs="Times New Roman"/>
          <w:b/>
          <w:color w:val="000000" w:themeColor="text1"/>
        </w:rPr>
      </w:pPr>
      <w:r>
        <w:rPr>
          <w:rFonts w:ascii="Times New Roman" w:hAnsi="Times New Roman" w:cs="Times New Roman"/>
          <w:b/>
          <w:color w:val="000000" w:themeColor="text1"/>
        </w:rPr>
        <w:t>Kaynakça</w:t>
      </w:r>
    </w:p>
    <w:p w14:paraId="34E3BC79" w14:textId="77777777" w:rsidR="005633F5" w:rsidRPr="00164238" w:rsidRDefault="005633F5" w:rsidP="005633F5">
      <w:pPr>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fldChar w:fldCharType="begin" w:fldLock="1"/>
      </w:r>
      <w:r w:rsidRPr="00164238">
        <w:rPr>
          <w:rFonts w:ascii="Times New Roman" w:hAnsi="Times New Roman" w:cs="Times New Roman"/>
          <w:color w:val="000000" w:themeColor="text1"/>
        </w:rPr>
        <w:instrText xml:space="preserve">ADDIN Mendeley Bibliography CSL_BIBLIOGRAPHY </w:instrText>
      </w:r>
      <w:r w:rsidRPr="00164238">
        <w:rPr>
          <w:rFonts w:ascii="Times New Roman" w:hAnsi="Times New Roman" w:cs="Times New Roman"/>
          <w:color w:val="000000" w:themeColor="text1"/>
        </w:rPr>
        <w:fldChar w:fldCharType="separate"/>
      </w:r>
      <w:r w:rsidRPr="00164238">
        <w:rPr>
          <w:rFonts w:ascii="Times New Roman" w:hAnsi="Times New Roman" w:cs="Times New Roman"/>
          <w:color w:val="000000" w:themeColor="text1"/>
        </w:rPr>
        <w:t xml:space="preserve">Aji, H. M., Berakon, I., &amp; Husin, M. M. (2020). COVID-19 and e-wallet usage intention: A multigroup analysis between Indonesia and Malaysia. </w:t>
      </w:r>
      <w:r w:rsidRPr="00164238">
        <w:rPr>
          <w:rFonts w:ascii="Times New Roman" w:hAnsi="Times New Roman" w:cs="Times New Roman"/>
          <w:i/>
          <w:iCs/>
          <w:color w:val="000000" w:themeColor="text1"/>
        </w:rPr>
        <w:t>Cogent Business &amp; Management</w:t>
      </w:r>
      <w:r w:rsidRPr="00164238">
        <w:rPr>
          <w:rFonts w:ascii="Times New Roman" w:hAnsi="Times New Roman" w:cs="Times New Roman"/>
          <w:color w:val="000000" w:themeColor="text1"/>
        </w:rPr>
        <w:t xml:space="preserve">, </w:t>
      </w:r>
      <w:r w:rsidRPr="00164238">
        <w:rPr>
          <w:rFonts w:ascii="Times New Roman" w:hAnsi="Times New Roman" w:cs="Times New Roman"/>
          <w:i/>
          <w:iCs/>
          <w:color w:val="000000" w:themeColor="text1"/>
        </w:rPr>
        <w:t>7</w:t>
      </w:r>
      <w:r w:rsidRPr="00164238">
        <w:rPr>
          <w:rFonts w:ascii="Times New Roman" w:hAnsi="Times New Roman" w:cs="Times New Roman"/>
          <w:color w:val="000000" w:themeColor="text1"/>
        </w:rPr>
        <w:t>(1), 1804181.</w:t>
      </w:r>
    </w:p>
    <w:p w14:paraId="1FC24D6B" w14:textId="77777777" w:rsidR="005633F5" w:rsidRPr="00164238" w:rsidRDefault="005633F5" w:rsidP="005633F5">
      <w:pPr>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Ajzen, I., &amp; Fishbein, M. (1977). Attitude-behavior relations: A theoretical analysis and review of empirical research. </w:t>
      </w:r>
      <w:r w:rsidRPr="00164238">
        <w:rPr>
          <w:rFonts w:ascii="Times New Roman" w:hAnsi="Times New Roman" w:cs="Times New Roman"/>
          <w:i/>
          <w:iCs/>
          <w:color w:val="000000" w:themeColor="text1"/>
        </w:rPr>
        <w:t>Psychological Bulletin</w:t>
      </w:r>
      <w:r w:rsidRPr="00164238">
        <w:rPr>
          <w:rFonts w:ascii="Times New Roman" w:hAnsi="Times New Roman" w:cs="Times New Roman"/>
          <w:color w:val="000000" w:themeColor="text1"/>
        </w:rPr>
        <w:t xml:space="preserve">, </w:t>
      </w:r>
      <w:r w:rsidRPr="00164238">
        <w:rPr>
          <w:rFonts w:ascii="Times New Roman" w:hAnsi="Times New Roman" w:cs="Times New Roman"/>
          <w:i/>
          <w:iCs/>
          <w:color w:val="000000" w:themeColor="text1"/>
        </w:rPr>
        <w:t>84</w:t>
      </w:r>
      <w:r w:rsidRPr="00164238">
        <w:rPr>
          <w:rFonts w:ascii="Times New Roman" w:hAnsi="Times New Roman" w:cs="Times New Roman"/>
          <w:color w:val="000000" w:themeColor="text1"/>
        </w:rPr>
        <w:t>(5), 888–918. https://doi.org/10.1037/0033-2909.84.5.888</w:t>
      </w:r>
    </w:p>
    <w:p w14:paraId="7C20C514" w14:textId="77777777" w:rsidR="005633F5" w:rsidRPr="00164238" w:rsidRDefault="005633F5" w:rsidP="005633F5">
      <w:pPr>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Bawack, R. E., &amp; Kamdjoug, J. R. K. (2020). The role of digital information use on student performance and collaboration in marginal universities. </w:t>
      </w:r>
      <w:r w:rsidRPr="00164238">
        <w:rPr>
          <w:rFonts w:ascii="Times New Roman" w:hAnsi="Times New Roman" w:cs="Times New Roman"/>
          <w:i/>
          <w:iCs/>
          <w:color w:val="000000" w:themeColor="text1"/>
        </w:rPr>
        <w:t>International Journal of Information Management</w:t>
      </w:r>
      <w:r w:rsidRPr="00164238">
        <w:rPr>
          <w:rFonts w:ascii="Times New Roman" w:hAnsi="Times New Roman" w:cs="Times New Roman"/>
          <w:color w:val="000000" w:themeColor="text1"/>
        </w:rPr>
        <w:t xml:space="preserve">, </w:t>
      </w:r>
      <w:r w:rsidRPr="00164238">
        <w:rPr>
          <w:rFonts w:ascii="Times New Roman" w:hAnsi="Times New Roman" w:cs="Times New Roman"/>
          <w:i/>
          <w:iCs/>
          <w:color w:val="000000" w:themeColor="text1"/>
        </w:rPr>
        <w:t>54</w:t>
      </w:r>
      <w:r w:rsidRPr="00164238">
        <w:rPr>
          <w:rFonts w:ascii="Times New Roman" w:hAnsi="Times New Roman" w:cs="Times New Roman"/>
          <w:color w:val="000000" w:themeColor="text1"/>
        </w:rPr>
        <w:t>, 102179.</w:t>
      </w:r>
    </w:p>
    <w:p w14:paraId="10358DD9" w14:textId="77777777" w:rsidR="005633F5" w:rsidRPr="00164238" w:rsidRDefault="005633F5" w:rsidP="005633F5">
      <w:pPr>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Blut, M., Wang, C., &amp; Schoefer, K. (2016). Factors Influencing the Acceptance of Self-Service Technologies: A Meta-Analysis. </w:t>
      </w:r>
      <w:r w:rsidRPr="00164238">
        <w:rPr>
          <w:rFonts w:ascii="Times New Roman" w:hAnsi="Times New Roman" w:cs="Times New Roman"/>
          <w:i/>
          <w:iCs/>
          <w:color w:val="000000" w:themeColor="text1"/>
        </w:rPr>
        <w:t>Journal of Service Research</w:t>
      </w:r>
      <w:r w:rsidRPr="00164238">
        <w:rPr>
          <w:rFonts w:ascii="Times New Roman" w:hAnsi="Times New Roman" w:cs="Times New Roman"/>
          <w:color w:val="000000" w:themeColor="text1"/>
        </w:rPr>
        <w:t xml:space="preserve">, </w:t>
      </w:r>
      <w:r w:rsidRPr="00164238">
        <w:rPr>
          <w:rFonts w:ascii="Times New Roman" w:hAnsi="Times New Roman" w:cs="Times New Roman"/>
          <w:i/>
          <w:iCs/>
          <w:color w:val="000000" w:themeColor="text1"/>
        </w:rPr>
        <w:t>19</w:t>
      </w:r>
      <w:r w:rsidRPr="00164238">
        <w:rPr>
          <w:rFonts w:ascii="Times New Roman" w:hAnsi="Times New Roman" w:cs="Times New Roman"/>
          <w:color w:val="000000" w:themeColor="text1"/>
        </w:rPr>
        <w:t>(4), 396–416. https://doi.org/10.1177/1094670516662352</w:t>
      </w:r>
    </w:p>
    <w:p w14:paraId="718F81CA" w14:textId="77777777" w:rsidR="005633F5" w:rsidRPr="00164238" w:rsidRDefault="005633F5" w:rsidP="005633F5">
      <w:pPr>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Chin, W. W., Marcolin, B. L., &amp; Newsted, P. R. (2003). A partial least squares latent variable modeling approach for measuring interaction effects: Results from a Monte Carlo simulation study and an electronic-mail emotion/adoption study. </w:t>
      </w:r>
      <w:r w:rsidRPr="00164238">
        <w:rPr>
          <w:rFonts w:ascii="Times New Roman" w:hAnsi="Times New Roman" w:cs="Times New Roman"/>
          <w:i/>
          <w:iCs/>
          <w:color w:val="000000" w:themeColor="text1"/>
        </w:rPr>
        <w:t>Information systems research</w:t>
      </w:r>
      <w:r w:rsidRPr="00164238">
        <w:rPr>
          <w:rFonts w:ascii="Times New Roman" w:hAnsi="Times New Roman" w:cs="Times New Roman"/>
          <w:color w:val="000000" w:themeColor="text1"/>
        </w:rPr>
        <w:t xml:space="preserve">, </w:t>
      </w:r>
      <w:r w:rsidRPr="00164238">
        <w:rPr>
          <w:rFonts w:ascii="Times New Roman" w:hAnsi="Times New Roman" w:cs="Times New Roman"/>
          <w:i/>
          <w:iCs/>
          <w:color w:val="000000" w:themeColor="text1"/>
        </w:rPr>
        <w:t>14</w:t>
      </w:r>
      <w:r w:rsidRPr="00164238">
        <w:rPr>
          <w:rFonts w:ascii="Times New Roman" w:hAnsi="Times New Roman" w:cs="Times New Roman"/>
          <w:color w:val="000000" w:themeColor="text1"/>
        </w:rPr>
        <w:t>(2), 189–217.</w:t>
      </w:r>
    </w:p>
    <w:p w14:paraId="297318EC" w14:textId="77777777" w:rsidR="005633F5" w:rsidRPr="00164238" w:rsidRDefault="005633F5" w:rsidP="005633F5">
      <w:pPr>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Davis, F. D. (1989). Perceived Usefulness, Perceived Ease of Use, and User Acceptance of Information Technology. </w:t>
      </w:r>
      <w:r w:rsidRPr="00164238">
        <w:rPr>
          <w:rFonts w:ascii="Times New Roman" w:hAnsi="Times New Roman" w:cs="Times New Roman"/>
          <w:i/>
          <w:iCs/>
          <w:color w:val="000000" w:themeColor="text1"/>
        </w:rPr>
        <w:t>MIS Quarterly</w:t>
      </w:r>
      <w:r w:rsidRPr="00164238">
        <w:rPr>
          <w:rFonts w:ascii="Times New Roman" w:hAnsi="Times New Roman" w:cs="Times New Roman"/>
          <w:color w:val="000000" w:themeColor="text1"/>
        </w:rPr>
        <w:t xml:space="preserve">, </w:t>
      </w:r>
      <w:r w:rsidRPr="00164238">
        <w:rPr>
          <w:rFonts w:ascii="Times New Roman" w:hAnsi="Times New Roman" w:cs="Times New Roman"/>
          <w:i/>
          <w:iCs/>
          <w:color w:val="000000" w:themeColor="text1"/>
        </w:rPr>
        <w:t>13</w:t>
      </w:r>
      <w:r w:rsidRPr="00164238">
        <w:rPr>
          <w:rFonts w:ascii="Times New Roman" w:hAnsi="Times New Roman" w:cs="Times New Roman"/>
          <w:color w:val="000000" w:themeColor="text1"/>
        </w:rPr>
        <w:t>(3), 319–340. https://doi.org/10.2307/249008</w:t>
      </w:r>
    </w:p>
    <w:p w14:paraId="3F8FD6FF" w14:textId="77777777" w:rsidR="005633F5" w:rsidRPr="00164238" w:rsidRDefault="005633F5" w:rsidP="005633F5">
      <w:pPr>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Hair, J. F., Risher, J. J., Sarstedt, M., &amp; Ringle, C. M. (2019). When to use and how to report the results of PLS-SEM. </w:t>
      </w:r>
      <w:r w:rsidRPr="00164238">
        <w:rPr>
          <w:rFonts w:ascii="Times New Roman" w:hAnsi="Times New Roman" w:cs="Times New Roman"/>
          <w:i/>
          <w:iCs/>
          <w:color w:val="000000" w:themeColor="text1"/>
        </w:rPr>
        <w:t>European Business Review</w:t>
      </w:r>
      <w:r w:rsidRPr="00164238">
        <w:rPr>
          <w:rFonts w:ascii="Times New Roman" w:hAnsi="Times New Roman" w:cs="Times New Roman"/>
          <w:color w:val="000000" w:themeColor="text1"/>
        </w:rPr>
        <w:t xml:space="preserve">, </w:t>
      </w:r>
      <w:r w:rsidRPr="00164238">
        <w:rPr>
          <w:rFonts w:ascii="Times New Roman" w:hAnsi="Times New Roman" w:cs="Times New Roman"/>
          <w:i/>
          <w:iCs/>
          <w:color w:val="000000" w:themeColor="text1"/>
        </w:rPr>
        <w:t>31</w:t>
      </w:r>
      <w:r w:rsidRPr="00164238">
        <w:rPr>
          <w:rFonts w:ascii="Times New Roman" w:hAnsi="Times New Roman" w:cs="Times New Roman"/>
          <w:color w:val="000000" w:themeColor="text1"/>
        </w:rPr>
        <w:t>(1), 2–24.</w:t>
      </w:r>
    </w:p>
    <w:p w14:paraId="0C37D67F" w14:textId="77777777" w:rsidR="005633F5" w:rsidRPr="00164238" w:rsidRDefault="005633F5" w:rsidP="005633F5">
      <w:pPr>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Henseler, J., Ringle, C. M., &amp; Sarstedt, M. (2015). A new criterion for assessing discriminant validity in variance-based structural equation modeling. </w:t>
      </w:r>
      <w:r w:rsidRPr="00164238">
        <w:rPr>
          <w:rFonts w:ascii="Times New Roman" w:hAnsi="Times New Roman" w:cs="Times New Roman"/>
          <w:i/>
          <w:iCs/>
          <w:color w:val="000000" w:themeColor="text1"/>
        </w:rPr>
        <w:t>Journal of the academy of marketing science</w:t>
      </w:r>
      <w:r w:rsidRPr="00164238">
        <w:rPr>
          <w:rFonts w:ascii="Times New Roman" w:hAnsi="Times New Roman" w:cs="Times New Roman"/>
          <w:color w:val="000000" w:themeColor="text1"/>
        </w:rPr>
        <w:t xml:space="preserve">, </w:t>
      </w:r>
      <w:r w:rsidRPr="00164238">
        <w:rPr>
          <w:rFonts w:ascii="Times New Roman" w:hAnsi="Times New Roman" w:cs="Times New Roman"/>
          <w:i/>
          <w:iCs/>
          <w:color w:val="000000" w:themeColor="text1"/>
        </w:rPr>
        <w:t>43</w:t>
      </w:r>
      <w:r w:rsidRPr="00164238">
        <w:rPr>
          <w:rFonts w:ascii="Times New Roman" w:hAnsi="Times New Roman" w:cs="Times New Roman"/>
          <w:color w:val="000000" w:themeColor="text1"/>
        </w:rPr>
        <w:t>(1), 115–135.</w:t>
      </w:r>
    </w:p>
    <w:p w14:paraId="552C8227" w14:textId="77777777" w:rsidR="005633F5" w:rsidRPr="00164238" w:rsidRDefault="005633F5" w:rsidP="005633F5">
      <w:pPr>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Heo, W., Rabbani, A., &amp; Grable, J. E. (2020). An Evaluation of the Effect of the COVID-19 Pandemic on the Risk Tolerance of Financial Decision Makers. </w:t>
      </w:r>
      <w:r w:rsidRPr="00164238">
        <w:rPr>
          <w:rFonts w:ascii="Times New Roman" w:hAnsi="Times New Roman" w:cs="Times New Roman"/>
          <w:i/>
          <w:iCs/>
          <w:color w:val="000000" w:themeColor="text1"/>
        </w:rPr>
        <w:t>Finance Research Letters</w:t>
      </w:r>
      <w:r w:rsidRPr="00164238">
        <w:rPr>
          <w:rFonts w:ascii="Times New Roman" w:hAnsi="Times New Roman" w:cs="Times New Roman"/>
          <w:color w:val="000000" w:themeColor="text1"/>
        </w:rPr>
        <w:t>, 101842. https://doi.org/https://doi.org/10.1016/j.frl.2020.101842</w:t>
      </w:r>
    </w:p>
    <w:p w14:paraId="2789FEF7" w14:textId="77777777" w:rsidR="005633F5" w:rsidRPr="00164238" w:rsidRDefault="005633F5" w:rsidP="005633F5">
      <w:pPr>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Im, I., Kim, Y., &amp; Han, H.-J. (2008). The effects of perceived risk and technology type on users’ acceptance of technologies. </w:t>
      </w:r>
      <w:r w:rsidRPr="00164238">
        <w:rPr>
          <w:rFonts w:ascii="Times New Roman" w:hAnsi="Times New Roman" w:cs="Times New Roman"/>
          <w:i/>
          <w:iCs/>
          <w:color w:val="000000" w:themeColor="text1"/>
        </w:rPr>
        <w:t>Information &amp; Management</w:t>
      </w:r>
      <w:r w:rsidRPr="00164238">
        <w:rPr>
          <w:rFonts w:ascii="Times New Roman" w:hAnsi="Times New Roman" w:cs="Times New Roman"/>
          <w:color w:val="000000" w:themeColor="text1"/>
        </w:rPr>
        <w:t xml:space="preserve">, </w:t>
      </w:r>
      <w:r w:rsidRPr="00164238">
        <w:rPr>
          <w:rFonts w:ascii="Times New Roman" w:hAnsi="Times New Roman" w:cs="Times New Roman"/>
          <w:i/>
          <w:iCs/>
          <w:color w:val="000000" w:themeColor="text1"/>
        </w:rPr>
        <w:t>45</w:t>
      </w:r>
      <w:r w:rsidRPr="00164238">
        <w:rPr>
          <w:rFonts w:ascii="Times New Roman" w:hAnsi="Times New Roman" w:cs="Times New Roman"/>
          <w:color w:val="000000" w:themeColor="text1"/>
        </w:rPr>
        <w:t>(1), 1–9. https://doi.org/https://doi.org/10.1016/j.im.2007.03.005</w:t>
      </w:r>
    </w:p>
    <w:p w14:paraId="740719AD" w14:textId="77777777" w:rsidR="005633F5" w:rsidRPr="00164238" w:rsidRDefault="005633F5" w:rsidP="005633F5">
      <w:pPr>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Ko, H., Jung, J., Kim, J., &amp; Shim, S. W. (2004). Cross-Cultural Differences in Perceived Risk of Online Shopping. </w:t>
      </w:r>
      <w:r w:rsidRPr="00164238">
        <w:rPr>
          <w:rFonts w:ascii="Times New Roman" w:hAnsi="Times New Roman" w:cs="Times New Roman"/>
          <w:i/>
          <w:iCs/>
          <w:color w:val="000000" w:themeColor="text1"/>
        </w:rPr>
        <w:t>Journal of Interactive Advertising</w:t>
      </w:r>
      <w:r w:rsidRPr="00164238">
        <w:rPr>
          <w:rFonts w:ascii="Times New Roman" w:hAnsi="Times New Roman" w:cs="Times New Roman"/>
          <w:color w:val="000000" w:themeColor="text1"/>
        </w:rPr>
        <w:t xml:space="preserve">, </w:t>
      </w:r>
      <w:r w:rsidRPr="00164238">
        <w:rPr>
          <w:rFonts w:ascii="Times New Roman" w:hAnsi="Times New Roman" w:cs="Times New Roman"/>
          <w:i/>
          <w:iCs/>
          <w:color w:val="000000" w:themeColor="text1"/>
        </w:rPr>
        <w:t>4</w:t>
      </w:r>
      <w:r w:rsidRPr="00164238">
        <w:rPr>
          <w:rFonts w:ascii="Times New Roman" w:hAnsi="Times New Roman" w:cs="Times New Roman"/>
          <w:color w:val="000000" w:themeColor="text1"/>
        </w:rPr>
        <w:t>(2), 20–29. https://doi.org/10.1080/15252019.2004.10722084</w:t>
      </w:r>
    </w:p>
    <w:p w14:paraId="4F70FAC8" w14:textId="77777777" w:rsidR="005633F5" w:rsidRPr="00164238" w:rsidRDefault="005633F5" w:rsidP="005633F5">
      <w:pPr>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Mou, J., Shin, D.-H., &amp; Cohen, J. (2017). Understanding trust and perceived usefulness in the consumer acceptance of an e-service: a longitudinal investigation. </w:t>
      </w:r>
      <w:r w:rsidRPr="00164238">
        <w:rPr>
          <w:rFonts w:ascii="Times New Roman" w:hAnsi="Times New Roman" w:cs="Times New Roman"/>
          <w:i/>
          <w:iCs/>
          <w:color w:val="000000" w:themeColor="text1"/>
        </w:rPr>
        <w:t xml:space="preserve">Behaviour &amp; </w:t>
      </w:r>
      <w:r w:rsidRPr="00164238">
        <w:rPr>
          <w:rFonts w:ascii="Times New Roman" w:hAnsi="Times New Roman" w:cs="Times New Roman"/>
          <w:i/>
          <w:iCs/>
          <w:color w:val="000000" w:themeColor="text1"/>
        </w:rPr>
        <w:lastRenderedPageBreak/>
        <w:t>Information Technology</w:t>
      </w:r>
      <w:r w:rsidRPr="00164238">
        <w:rPr>
          <w:rFonts w:ascii="Times New Roman" w:hAnsi="Times New Roman" w:cs="Times New Roman"/>
          <w:color w:val="000000" w:themeColor="text1"/>
        </w:rPr>
        <w:t xml:space="preserve">, </w:t>
      </w:r>
      <w:r w:rsidRPr="00164238">
        <w:rPr>
          <w:rFonts w:ascii="Times New Roman" w:hAnsi="Times New Roman" w:cs="Times New Roman"/>
          <w:i/>
          <w:iCs/>
          <w:color w:val="000000" w:themeColor="text1"/>
        </w:rPr>
        <w:t>36</w:t>
      </w:r>
      <w:r w:rsidRPr="00164238">
        <w:rPr>
          <w:rFonts w:ascii="Times New Roman" w:hAnsi="Times New Roman" w:cs="Times New Roman"/>
          <w:color w:val="000000" w:themeColor="text1"/>
        </w:rPr>
        <w:t>(2), 125–139. https://doi.org/10.1080/0144929X.2016.1203024</w:t>
      </w:r>
    </w:p>
    <w:p w14:paraId="3C51AB17" w14:textId="77777777" w:rsidR="005633F5" w:rsidRPr="00164238" w:rsidRDefault="005633F5" w:rsidP="005633F5">
      <w:pPr>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Ringle, C. M., Sarstedt, M., &amp; Straub, D. W. (2012). Editor’s Comments: A Critical Look at the Use of PLS-SEM in" MIS Quarterly". </w:t>
      </w:r>
      <w:r w:rsidRPr="00164238">
        <w:rPr>
          <w:rFonts w:ascii="Times New Roman" w:hAnsi="Times New Roman" w:cs="Times New Roman"/>
          <w:i/>
          <w:iCs/>
          <w:color w:val="000000" w:themeColor="text1"/>
        </w:rPr>
        <w:t>MIS quarterly</w:t>
      </w:r>
      <w:r w:rsidRPr="00164238">
        <w:rPr>
          <w:rFonts w:ascii="Times New Roman" w:hAnsi="Times New Roman" w:cs="Times New Roman"/>
          <w:color w:val="000000" w:themeColor="text1"/>
        </w:rPr>
        <w:t>, iii–xiv.</w:t>
      </w:r>
    </w:p>
    <w:p w14:paraId="241D626E" w14:textId="77777777" w:rsidR="005633F5" w:rsidRPr="00164238" w:rsidRDefault="005633F5" w:rsidP="005633F5">
      <w:pPr>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Saeed, K. A., &amp; Abdinnour-Helm, S. (2008). Examining the effects of information system characteristics and perceived usefulness on post adoption usage of information systems. </w:t>
      </w:r>
      <w:r w:rsidRPr="00164238">
        <w:rPr>
          <w:rFonts w:ascii="Times New Roman" w:hAnsi="Times New Roman" w:cs="Times New Roman"/>
          <w:i/>
          <w:iCs/>
          <w:color w:val="000000" w:themeColor="text1"/>
        </w:rPr>
        <w:t>Information &amp; Management</w:t>
      </w:r>
      <w:r w:rsidRPr="00164238">
        <w:rPr>
          <w:rFonts w:ascii="Times New Roman" w:hAnsi="Times New Roman" w:cs="Times New Roman"/>
          <w:color w:val="000000" w:themeColor="text1"/>
        </w:rPr>
        <w:t xml:space="preserve">, </w:t>
      </w:r>
      <w:r w:rsidRPr="00164238">
        <w:rPr>
          <w:rFonts w:ascii="Times New Roman" w:hAnsi="Times New Roman" w:cs="Times New Roman"/>
          <w:i/>
          <w:iCs/>
          <w:color w:val="000000" w:themeColor="text1"/>
        </w:rPr>
        <w:t>45</w:t>
      </w:r>
      <w:r w:rsidRPr="00164238">
        <w:rPr>
          <w:rFonts w:ascii="Times New Roman" w:hAnsi="Times New Roman" w:cs="Times New Roman"/>
          <w:color w:val="000000" w:themeColor="text1"/>
        </w:rPr>
        <w:t>(6), 376–386.</w:t>
      </w:r>
    </w:p>
    <w:p w14:paraId="1655DDF8" w14:textId="77777777" w:rsidR="005633F5" w:rsidRPr="00164238" w:rsidRDefault="005633F5" w:rsidP="005633F5">
      <w:pPr>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Sarstedt, M., Ringle, C. M., &amp; Hair, J. F. (2017). </w:t>
      </w:r>
      <w:r w:rsidRPr="00164238">
        <w:rPr>
          <w:rFonts w:ascii="Times New Roman" w:hAnsi="Times New Roman" w:cs="Times New Roman"/>
          <w:i/>
          <w:iCs/>
          <w:color w:val="000000" w:themeColor="text1"/>
        </w:rPr>
        <w:t>Partial least squares structural equation modeling</w:t>
      </w:r>
      <w:r w:rsidRPr="00164238">
        <w:rPr>
          <w:rFonts w:ascii="Times New Roman" w:hAnsi="Times New Roman" w:cs="Times New Roman"/>
          <w:color w:val="000000" w:themeColor="text1"/>
        </w:rPr>
        <w:t>.</w:t>
      </w:r>
    </w:p>
    <w:p w14:paraId="77313BEC" w14:textId="77777777" w:rsidR="005633F5" w:rsidRPr="00164238" w:rsidRDefault="005633F5" w:rsidP="005633F5">
      <w:pPr>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Schierz, P. G., Schilke, O., &amp; Wirtz, B. W. (2010). Understanding consumer acceptance of mobile payment services: An empirical analysis. </w:t>
      </w:r>
      <w:r w:rsidRPr="00164238">
        <w:rPr>
          <w:rFonts w:ascii="Times New Roman" w:hAnsi="Times New Roman" w:cs="Times New Roman"/>
          <w:i/>
          <w:iCs/>
          <w:color w:val="000000" w:themeColor="text1"/>
        </w:rPr>
        <w:t>Electronic Commerce Research and Applications</w:t>
      </w:r>
      <w:r w:rsidRPr="00164238">
        <w:rPr>
          <w:rFonts w:ascii="Times New Roman" w:hAnsi="Times New Roman" w:cs="Times New Roman"/>
          <w:color w:val="000000" w:themeColor="text1"/>
        </w:rPr>
        <w:t xml:space="preserve">, </w:t>
      </w:r>
      <w:r w:rsidRPr="00164238">
        <w:rPr>
          <w:rFonts w:ascii="Times New Roman" w:hAnsi="Times New Roman" w:cs="Times New Roman"/>
          <w:i/>
          <w:iCs/>
          <w:color w:val="000000" w:themeColor="text1"/>
        </w:rPr>
        <w:t>9</w:t>
      </w:r>
      <w:r w:rsidRPr="00164238">
        <w:rPr>
          <w:rFonts w:ascii="Times New Roman" w:hAnsi="Times New Roman" w:cs="Times New Roman"/>
          <w:color w:val="000000" w:themeColor="text1"/>
        </w:rPr>
        <w:t>(3), 209–216. https://doi.org/https://doi.org/10.1016/j.elerap.2009.07.005</w:t>
      </w:r>
    </w:p>
    <w:p w14:paraId="36D4BBDB" w14:textId="77777777" w:rsidR="005633F5" w:rsidRPr="00164238" w:rsidRDefault="005633F5" w:rsidP="005633F5">
      <w:pPr>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Shaizatulaqma, K. A., Thenmoli, M., &amp; Yen-Nee, G. (2018). Influence of consumers’ perceived risk on consumers’ online purchase intention. </w:t>
      </w:r>
      <w:r w:rsidRPr="00164238">
        <w:rPr>
          <w:rFonts w:ascii="Times New Roman" w:hAnsi="Times New Roman" w:cs="Times New Roman"/>
          <w:i/>
          <w:iCs/>
          <w:color w:val="000000" w:themeColor="text1"/>
        </w:rPr>
        <w:t>Journal of Research in Interactive Marketing</w:t>
      </w:r>
      <w:r w:rsidRPr="00164238">
        <w:rPr>
          <w:rFonts w:ascii="Times New Roman" w:hAnsi="Times New Roman" w:cs="Times New Roman"/>
          <w:color w:val="000000" w:themeColor="text1"/>
        </w:rPr>
        <w:t xml:space="preserve">, </w:t>
      </w:r>
      <w:r w:rsidRPr="00164238">
        <w:rPr>
          <w:rFonts w:ascii="Times New Roman" w:hAnsi="Times New Roman" w:cs="Times New Roman"/>
          <w:i/>
          <w:iCs/>
          <w:color w:val="000000" w:themeColor="text1"/>
        </w:rPr>
        <w:t>12</w:t>
      </w:r>
      <w:r w:rsidRPr="00164238">
        <w:rPr>
          <w:rFonts w:ascii="Times New Roman" w:hAnsi="Times New Roman" w:cs="Times New Roman"/>
          <w:color w:val="000000" w:themeColor="text1"/>
        </w:rPr>
        <w:t>(3), 309–327. https://doi.org/10.1108/JRIM-11-2017-0100</w:t>
      </w:r>
    </w:p>
    <w:p w14:paraId="1A37826C" w14:textId="77777777" w:rsidR="005633F5" w:rsidRPr="00164238" w:rsidRDefault="005633F5" w:rsidP="005633F5">
      <w:pPr>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Shin, H., &amp; Kang, J. (2020). Reducing perceived health risk to attract hotel customers in the COVID-19 pandemic era: Focused on technology innovation for social distancing and cleanliness. </w:t>
      </w:r>
      <w:r w:rsidRPr="00164238">
        <w:rPr>
          <w:rFonts w:ascii="Times New Roman" w:hAnsi="Times New Roman" w:cs="Times New Roman"/>
          <w:i/>
          <w:iCs/>
          <w:color w:val="000000" w:themeColor="text1"/>
        </w:rPr>
        <w:t>International Journal of Hospitality Management</w:t>
      </w:r>
      <w:r w:rsidRPr="00164238">
        <w:rPr>
          <w:rFonts w:ascii="Times New Roman" w:hAnsi="Times New Roman" w:cs="Times New Roman"/>
          <w:color w:val="000000" w:themeColor="text1"/>
        </w:rPr>
        <w:t xml:space="preserve">, </w:t>
      </w:r>
      <w:r w:rsidRPr="00164238">
        <w:rPr>
          <w:rFonts w:ascii="Times New Roman" w:hAnsi="Times New Roman" w:cs="Times New Roman"/>
          <w:i/>
          <w:iCs/>
          <w:color w:val="000000" w:themeColor="text1"/>
        </w:rPr>
        <w:t>91</w:t>
      </w:r>
      <w:r w:rsidRPr="00164238">
        <w:rPr>
          <w:rFonts w:ascii="Times New Roman" w:hAnsi="Times New Roman" w:cs="Times New Roman"/>
          <w:color w:val="000000" w:themeColor="text1"/>
        </w:rPr>
        <w:t>, 102664. https://doi.org/https://doi.org/10.1016/j.ijhm.2020.102664</w:t>
      </w:r>
    </w:p>
    <w:p w14:paraId="5E93361C" w14:textId="77777777" w:rsidR="005633F5" w:rsidRPr="00164238" w:rsidRDefault="005633F5" w:rsidP="005633F5">
      <w:pPr>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Taber, K. S. (2018). The use of Cronbach’s alpha when developing and reporting research instruments in science education. </w:t>
      </w:r>
      <w:r w:rsidRPr="00164238">
        <w:rPr>
          <w:rFonts w:ascii="Times New Roman" w:hAnsi="Times New Roman" w:cs="Times New Roman"/>
          <w:i/>
          <w:iCs/>
          <w:color w:val="000000" w:themeColor="text1"/>
        </w:rPr>
        <w:t>Research in Science Education</w:t>
      </w:r>
      <w:r w:rsidRPr="00164238">
        <w:rPr>
          <w:rFonts w:ascii="Times New Roman" w:hAnsi="Times New Roman" w:cs="Times New Roman"/>
          <w:color w:val="000000" w:themeColor="text1"/>
        </w:rPr>
        <w:t xml:space="preserve">, </w:t>
      </w:r>
      <w:r w:rsidRPr="00164238">
        <w:rPr>
          <w:rFonts w:ascii="Times New Roman" w:hAnsi="Times New Roman" w:cs="Times New Roman"/>
          <w:i/>
          <w:iCs/>
          <w:color w:val="000000" w:themeColor="text1"/>
        </w:rPr>
        <w:t>48</w:t>
      </w:r>
      <w:r w:rsidRPr="00164238">
        <w:rPr>
          <w:rFonts w:ascii="Times New Roman" w:hAnsi="Times New Roman" w:cs="Times New Roman"/>
          <w:color w:val="000000" w:themeColor="text1"/>
        </w:rPr>
        <w:t>(6), 1273–1296.</w:t>
      </w:r>
    </w:p>
    <w:p w14:paraId="508FB7F2" w14:textId="77777777" w:rsidR="005633F5" w:rsidRPr="00164238" w:rsidRDefault="005633F5" w:rsidP="005633F5">
      <w:pPr>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Tandon, U., Kiran, R., &amp; Sah, A. N. (2018). The influence of website functionality, drivers and perceived risk on customer satisfaction in online shopping: an emerging economy case. </w:t>
      </w:r>
      <w:r w:rsidRPr="00164238">
        <w:rPr>
          <w:rFonts w:ascii="Times New Roman" w:hAnsi="Times New Roman" w:cs="Times New Roman"/>
          <w:i/>
          <w:iCs/>
          <w:color w:val="000000" w:themeColor="text1"/>
        </w:rPr>
        <w:t>Information Systems and e-Business Management</w:t>
      </w:r>
      <w:r w:rsidRPr="00164238">
        <w:rPr>
          <w:rFonts w:ascii="Times New Roman" w:hAnsi="Times New Roman" w:cs="Times New Roman"/>
          <w:color w:val="000000" w:themeColor="text1"/>
        </w:rPr>
        <w:t xml:space="preserve">, </w:t>
      </w:r>
      <w:r w:rsidRPr="00164238">
        <w:rPr>
          <w:rFonts w:ascii="Times New Roman" w:hAnsi="Times New Roman" w:cs="Times New Roman"/>
          <w:i/>
          <w:iCs/>
          <w:color w:val="000000" w:themeColor="text1"/>
        </w:rPr>
        <w:t>16</w:t>
      </w:r>
      <w:r w:rsidRPr="00164238">
        <w:rPr>
          <w:rFonts w:ascii="Times New Roman" w:hAnsi="Times New Roman" w:cs="Times New Roman"/>
          <w:color w:val="000000" w:themeColor="text1"/>
        </w:rPr>
        <w:t>(1), 57–91. https://doi.org/10.1007/s10257-017-0341-3</w:t>
      </w:r>
    </w:p>
    <w:p w14:paraId="3490AEB5" w14:textId="77777777" w:rsidR="005633F5" w:rsidRPr="00164238" w:rsidRDefault="005633F5" w:rsidP="005633F5">
      <w:pPr>
        <w:spacing w:before="120"/>
        <w:ind w:left="567" w:hanging="567"/>
        <w:jc w:val="both"/>
        <w:rPr>
          <w:rFonts w:ascii="Times New Roman" w:hAnsi="Times New Roman" w:cs="Times New Roman"/>
          <w:color w:val="000000" w:themeColor="text1"/>
        </w:rPr>
      </w:pPr>
      <w:r w:rsidRPr="00164238">
        <w:rPr>
          <w:rFonts w:ascii="Times New Roman" w:hAnsi="Times New Roman" w:cs="Times New Roman"/>
          <w:color w:val="000000" w:themeColor="text1"/>
        </w:rPr>
        <w:t xml:space="preserve">Venkatesh, V., &amp; Davis, F. D. (2000). A theoretical extension of the technology acceptance model: Four longitudinal field studies. </w:t>
      </w:r>
      <w:r w:rsidRPr="00164238">
        <w:rPr>
          <w:rFonts w:ascii="Times New Roman" w:hAnsi="Times New Roman" w:cs="Times New Roman"/>
          <w:i/>
          <w:iCs/>
          <w:color w:val="000000" w:themeColor="text1"/>
        </w:rPr>
        <w:t>Management science</w:t>
      </w:r>
      <w:r w:rsidRPr="00164238">
        <w:rPr>
          <w:rFonts w:ascii="Times New Roman" w:hAnsi="Times New Roman" w:cs="Times New Roman"/>
          <w:color w:val="000000" w:themeColor="text1"/>
        </w:rPr>
        <w:t xml:space="preserve">, </w:t>
      </w:r>
      <w:r w:rsidRPr="00164238">
        <w:rPr>
          <w:rFonts w:ascii="Times New Roman" w:hAnsi="Times New Roman" w:cs="Times New Roman"/>
          <w:i/>
          <w:iCs/>
          <w:color w:val="000000" w:themeColor="text1"/>
        </w:rPr>
        <w:t>46</w:t>
      </w:r>
      <w:r w:rsidRPr="00164238">
        <w:rPr>
          <w:rFonts w:ascii="Times New Roman" w:hAnsi="Times New Roman" w:cs="Times New Roman"/>
          <w:color w:val="000000" w:themeColor="text1"/>
        </w:rPr>
        <w:t>(2), 186–204.</w:t>
      </w:r>
    </w:p>
    <w:p w14:paraId="2D8B2FE5" w14:textId="77777777" w:rsidR="005633F5" w:rsidRPr="00164238" w:rsidRDefault="005633F5" w:rsidP="005633F5">
      <w:pPr>
        <w:spacing w:before="120" w:after="120"/>
        <w:ind w:firstLine="567"/>
        <w:jc w:val="both"/>
        <w:rPr>
          <w:rFonts w:ascii="Times New Roman" w:hAnsi="Times New Roman" w:cs="Times New Roman"/>
          <w:b/>
          <w:color w:val="000000" w:themeColor="text1"/>
        </w:rPr>
      </w:pPr>
      <w:r w:rsidRPr="00164238">
        <w:rPr>
          <w:rFonts w:ascii="Times New Roman" w:hAnsi="Times New Roman" w:cs="Times New Roman"/>
          <w:color w:val="000000" w:themeColor="text1"/>
        </w:rPr>
        <w:fldChar w:fldCharType="end"/>
      </w:r>
    </w:p>
    <w:p w14:paraId="4FB92B5F" w14:textId="77777777" w:rsidR="005633F5" w:rsidRPr="00164238" w:rsidRDefault="005633F5" w:rsidP="005633F5">
      <w:pPr>
        <w:spacing w:before="120" w:after="120"/>
        <w:ind w:firstLine="567"/>
        <w:jc w:val="both"/>
        <w:rPr>
          <w:rFonts w:ascii="Times New Roman" w:hAnsi="Times New Roman" w:cs="Times New Roman"/>
          <w:b/>
          <w:color w:val="000000" w:themeColor="text1"/>
        </w:rPr>
      </w:pPr>
    </w:p>
    <w:p w14:paraId="0DC1CAC9" w14:textId="72B9E137" w:rsidR="005633F5" w:rsidRPr="00164238" w:rsidRDefault="005633F5" w:rsidP="005633F5">
      <w:pPr>
        <w:spacing w:before="120" w:after="120"/>
        <w:ind w:firstLine="567"/>
        <w:jc w:val="both"/>
        <w:rPr>
          <w:rFonts w:ascii="Times New Roman" w:hAnsi="Times New Roman" w:cs="Times New Roman"/>
          <w:b/>
          <w:color w:val="000000" w:themeColor="text1"/>
        </w:rPr>
      </w:pPr>
    </w:p>
    <w:p w14:paraId="6002011A" w14:textId="47F121AE" w:rsidR="004C7073" w:rsidRPr="00164238" w:rsidRDefault="004C7073" w:rsidP="005633F5">
      <w:pPr>
        <w:spacing w:before="120" w:after="120"/>
        <w:ind w:firstLine="567"/>
        <w:jc w:val="both"/>
        <w:rPr>
          <w:rFonts w:ascii="Times New Roman" w:hAnsi="Times New Roman" w:cs="Times New Roman"/>
          <w:b/>
          <w:color w:val="000000" w:themeColor="text1"/>
        </w:rPr>
      </w:pPr>
    </w:p>
    <w:p w14:paraId="08A5E4E2" w14:textId="5F4A6F51" w:rsidR="004C7073" w:rsidRPr="00164238" w:rsidRDefault="004C7073" w:rsidP="005633F5">
      <w:pPr>
        <w:spacing w:before="120" w:after="120"/>
        <w:ind w:firstLine="567"/>
        <w:jc w:val="both"/>
        <w:rPr>
          <w:rFonts w:ascii="Times New Roman" w:hAnsi="Times New Roman" w:cs="Times New Roman"/>
          <w:b/>
          <w:color w:val="000000" w:themeColor="text1"/>
        </w:rPr>
      </w:pPr>
    </w:p>
    <w:p w14:paraId="459D5FA0" w14:textId="416A57DD" w:rsidR="004C7073" w:rsidRPr="00164238" w:rsidRDefault="004C7073" w:rsidP="005633F5">
      <w:pPr>
        <w:spacing w:before="120" w:after="120"/>
        <w:ind w:firstLine="567"/>
        <w:jc w:val="both"/>
        <w:rPr>
          <w:rFonts w:ascii="Times New Roman" w:hAnsi="Times New Roman" w:cs="Times New Roman"/>
          <w:b/>
          <w:color w:val="000000" w:themeColor="text1"/>
        </w:rPr>
      </w:pPr>
    </w:p>
    <w:p w14:paraId="27B991DA" w14:textId="151D2680" w:rsidR="004C7073" w:rsidRPr="00164238" w:rsidRDefault="004C7073" w:rsidP="005633F5">
      <w:pPr>
        <w:spacing w:before="120" w:after="120"/>
        <w:ind w:firstLine="567"/>
        <w:jc w:val="both"/>
        <w:rPr>
          <w:rFonts w:ascii="Times New Roman" w:hAnsi="Times New Roman" w:cs="Times New Roman"/>
          <w:b/>
          <w:color w:val="000000" w:themeColor="text1"/>
        </w:rPr>
      </w:pPr>
    </w:p>
    <w:p w14:paraId="1A5AA8DC" w14:textId="230CC7C8" w:rsidR="004C7073" w:rsidRPr="00164238" w:rsidRDefault="004C7073" w:rsidP="005633F5">
      <w:pPr>
        <w:spacing w:before="120" w:after="120"/>
        <w:ind w:firstLine="567"/>
        <w:jc w:val="both"/>
        <w:rPr>
          <w:rFonts w:ascii="Times New Roman" w:hAnsi="Times New Roman" w:cs="Times New Roman"/>
          <w:b/>
          <w:color w:val="000000" w:themeColor="text1"/>
        </w:rPr>
      </w:pPr>
    </w:p>
    <w:p w14:paraId="3C58FE8D" w14:textId="3D2A3838" w:rsidR="004C7073" w:rsidRPr="00164238" w:rsidRDefault="004C7073" w:rsidP="005633F5">
      <w:pPr>
        <w:spacing w:before="120" w:after="120"/>
        <w:ind w:firstLine="567"/>
        <w:jc w:val="both"/>
        <w:rPr>
          <w:rFonts w:ascii="Times New Roman" w:hAnsi="Times New Roman" w:cs="Times New Roman"/>
          <w:b/>
          <w:color w:val="000000" w:themeColor="text1"/>
        </w:rPr>
      </w:pPr>
    </w:p>
    <w:p w14:paraId="17BBA3BF" w14:textId="1485A357" w:rsidR="004C7073" w:rsidRPr="00164238" w:rsidRDefault="004C7073" w:rsidP="005633F5">
      <w:pPr>
        <w:spacing w:before="120" w:after="120"/>
        <w:ind w:firstLine="567"/>
        <w:jc w:val="both"/>
        <w:rPr>
          <w:rFonts w:ascii="Times New Roman" w:hAnsi="Times New Roman" w:cs="Times New Roman"/>
          <w:b/>
          <w:color w:val="000000" w:themeColor="text1"/>
        </w:rPr>
      </w:pPr>
    </w:p>
    <w:p w14:paraId="65D808FC" w14:textId="2BDD9738" w:rsidR="004C7073" w:rsidRPr="00164238" w:rsidRDefault="004C7073" w:rsidP="005633F5">
      <w:pPr>
        <w:spacing w:before="120" w:after="120"/>
        <w:ind w:firstLine="567"/>
        <w:jc w:val="both"/>
        <w:rPr>
          <w:rFonts w:ascii="Times New Roman" w:hAnsi="Times New Roman" w:cs="Times New Roman"/>
          <w:b/>
          <w:color w:val="000000" w:themeColor="text1"/>
        </w:rPr>
      </w:pPr>
    </w:p>
    <w:p w14:paraId="7B961DC6" w14:textId="01D1E732" w:rsidR="005633F5" w:rsidRPr="00164238" w:rsidRDefault="00EF0A33" w:rsidP="007E061C">
      <w:pPr>
        <w:pStyle w:val="Balk1"/>
        <w:rPr>
          <w:rFonts w:ascii="Times New Roman" w:eastAsia="Calibri" w:hAnsi="Times New Roman" w:cs="Times New Roman"/>
          <w:b/>
          <w:color w:val="000000" w:themeColor="text1"/>
          <w:sz w:val="24"/>
          <w:szCs w:val="24"/>
        </w:rPr>
      </w:pPr>
      <w:bookmarkStart w:id="182" w:name="_Toc72961759"/>
      <w:r w:rsidRPr="00164238">
        <w:rPr>
          <w:rFonts w:ascii="Times New Roman" w:eastAsia="Calibri" w:hAnsi="Times New Roman" w:cs="Times New Roman"/>
          <w:b/>
          <w:color w:val="000000" w:themeColor="text1"/>
          <w:sz w:val="24"/>
          <w:szCs w:val="24"/>
          <w:lang w:val="en"/>
        </w:rPr>
        <w:t>THE EFFECTIVENESS OF THE USE OF ARTIFICIAL INTELLIGENCE IN THE INTERNAL AUDIT PROCESS AND ITS IMPACT ON RISK MANAGEMENT, CONTROL AND GOVERNANCE IN THE PALESTINIAN GOVERNMENT SECTOR</w:t>
      </w:r>
      <w:bookmarkEnd w:id="182"/>
    </w:p>
    <w:p w14:paraId="49013056" w14:textId="77777777" w:rsidR="005633F5" w:rsidRPr="00164238" w:rsidRDefault="005633F5" w:rsidP="005633F5">
      <w:pPr>
        <w:spacing w:after="0" w:line="240" w:lineRule="auto"/>
        <w:jc w:val="center"/>
        <w:rPr>
          <w:rFonts w:ascii="Times New Roman" w:eastAsia="Calibri" w:hAnsi="Times New Roman" w:cs="Times New Roman"/>
          <w:color w:val="000000" w:themeColor="text1"/>
          <w:sz w:val="20"/>
          <w:szCs w:val="20"/>
        </w:rPr>
      </w:pPr>
    </w:p>
    <w:p w14:paraId="16C7335E" w14:textId="77777777" w:rsidR="00EF0A33" w:rsidRPr="00164238" w:rsidRDefault="00EF0A33" w:rsidP="007E061C">
      <w:pPr>
        <w:pStyle w:val="Balk2"/>
        <w:rPr>
          <w:rFonts w:ascii="Times New Roman" w:hAnsi="Times New Roman" w:cs="Times New Roman"/>
          <w:color w:val="000000" w:themeColor="text1"/>
          <w:sz w:val="20"/>
          <w:szCs w:val="20"/>
        </w:rPr>
      </w:pPr>
      <w:bookmarkStart w:id="183" w:name="_Toc72961760"/>
      <w:r w:rsidRPr="00164238">
        <w:rPr>
          <w:rStyle w:val="Balk2Char"/>
          <w:rFonts w:ascii="Times New Roman" w:hAnsi="Times New Roman" w:cs="Times New Roman"/>
          <w:color w:val="000000" w:themeColor="text1"/>
          <w:sz w:val="20"/>
          <w:szCs w:val="20"/>
        </w:rPr>
        <w:t>Assist. Prof. Abdul Rahman M. S. Rashwan</w:t>
      </w:r>
      <w:r w:rsidRPr="00164238">
        <w:rPr>
          <w:rFonts w:ascii="Times New Roman" w:hAnsi="Times New Roman" w:cs="Times New Roman"/>
          <w:color w:val="000000" w:themeColor="text1"/>
          <w:sz w:val="20"/>
          <w:szCs w:val="20"/>
        </w:rPr>
        <w:t xml:space="preserve">, </w:t>
      </w:r>
      <w:r w:rsidRPr="00164238">
        <w:rPr>
          <w:rFonts w:ascii="Times New Roman" w:hAnsi="Times New Roman" w:cs="Times New Roman"/>
          <w:b w:val="0"/>
          <w:color w:val="000000" w:themeColor="text1"/>
          <w:sz w:val="20"/>
          <w:szCs w:val="20"/>
        </w:rPr>
        <w:t>Department of Administrative and Financial Sciences, University College of Science and Technology, Gaza Palestine</w:t>
      </w:r>
      <w:bookmarkEnd w:id="183"/>
    </w:p>
    <w:p w14:paraId="730A4F59" w14:textId="77777777" w:rsidR="00EF0A33" w:rsidRPr="00164238" w:rsidRDefault="00EF0A33" w:rsidP="00EF0A33">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e-mail: </w:t>
      </w:r>
      <w:hyperlink r:id="rId338" w:history="1">
        <w:r w:rsidRPr="00164238">
          <w:rPr>
            <w:rStyle w:val="Kpr"/>
            <w:rFonts w:ascii="Times New Roman" w:hAnsi="Times New Roman" w:cs="Times New Roman"/>
            <w:color w:val="000000" w:themeColor="text1"/>
            <w:sz w:val="20"/>
            <w:szCs w:val="20"/>
          </w:rPr>
          <w:t>abdrashwan@yahoo.com</w:t>
        </w:r>
      </w:hyperlink>
      <w:r w:rsidRPr="00164238">
        <w:rPr>
          <w:rFonts w:ascii="Times New Roman" w:hAnsi="Times New Roman" w:cs="Times New Roman"/>
          <w:color w:val="000000" w:themeColor="text1"/>
          <w:sz w:val="20"/>
          <w:szCs w:val="20"/>
        </w:rPr>
        <w:t xml:space="preserve"> </w:t>
      </w:r>
    </w:p>
    <w:p w14:paraId="6D92FDFE" w14:textId="77777777" w:rsidR="00EF0A33" w:rsidRPr="00164238" w:rsidRDefault="00EF0A33" w:rsidP="00EF0A33">
      <w:pPr>
        <w:jc w:val="both"/>
        <w:rPr>
          <w:rFonts w:ascii="Times New Roman" w:hAnsi="Times New Roman" w:cs="Times New Roman"/>
          <w:color w:val="000000" w:themeColor="text1"/>
          <w:sz w:val="20"/>
          <w:szCs w:val="20"/>
        </w:rPr>
      </w:pPr>
    </w:p>
    <w:p w14:paraId="3B26F26F" w14:textId="77777777" w:rsidR="00EF0A33" w:rsidRPr="00164238" w:rsidRDefault="00EF0A33" w:rsidP="007E061C">
      <w:pPr>
        <w:pStyle w:val="Balk2"/>
        <w:rPr>
          <w:rFonts w:ascii="Times New Roman" w:hAnsi="Times New Roman" w:cs="Times New Roman"/>
          <w:b w:val="0"/>
          <w:color w:val="000000" w:themeColor="text1"/>
          <w:sz w:val="20"/>
          <w:szCs w:val="20"/>
        </w:rPr>
      </w:pPr>
      <w:bookmarkStart w:id="184" w:name="_Toc72961761"/>
      <w:r w:rsidRPr="00164238">
        <w:rPr>
          <w:rStyle w:val="Balk2Char"/>
          <w:rFonts w:ascii="Times New Roman" w:hAnsi="Times New Roman" w:cs="Times New Roman"/>
          <w:color w:val="000000" w:themeColor="text1"/>
          <w:sz w:val="20"/>
          <w:szCs w:val="20"/>
        </w:rPr>
        <w:t>Assist.Prof. Eitedal M. S.  Alhelou</w:t>
      </w:r>
      <w:r w:rsidRPr="00164238">
        <w:rPr>
          <w:rFonts w:ascii="Times New Roman" w:eastAsia="Arial" w:hAnsi="Times New Roman" w:cs="Times New Roman"/>
          <w:color w:val="000000" w:themeColor="text1"/>
          <w:sz w:val="20"/>
          <w:szCs w:val="20"/>
        </w:rPr>
        <w:t>,</w:t>
      </w:r>
      <w:r w:rsidRPr="00164238">
        <w:rPr>
          <w:rFonts w:ascii="Times New Roman" w:hAnsi="Times New Roman" w:cs="Times New Roman"/>
          <w:color w:val="000000" w:themeColor="text1"/>
          <w:sz w:val="20"/>
          <w:szCs w:val="20"/>
        </w:rPr>
        <w:t xml:space="preserve"> </w:t>
      </w:r>
      <w:r w:rsidRPr="00164238">
        <w:rPr>
          <w:rFonts w:ascii="Times New Roman" w:hAnsi="Times New Roman" w:cs="Times New Roman"/>
          <w:b w:val="0"/>
          <w:color w:val="000000" w:themeColor="text1"/>
          <w:sz w:val="20"/>
          <w:szCs w:val="20"/>
        </w:rPr>
        <w:t>Department of Accounting, College of Business Administration, University of Palestine, Gaza, Palestine</w:t>
      </w:r>
      <w:bookmarkEnd w:id="184"/>
      <w:r w:rsidRPr="00164238">
        <w:rPr>
          <w:rFonts w:ascii="Times New Roman" w:hAnsi="Times New Roman" w:cs="Times New Roman"/>
          <w:b w:val="0"/>
          <w:color w:val="000000" w:themeColor="text1"/>
          <w:sz w:val="20"/>
          <w:szCs w:val="20"/>
        </w:rPr>
        <w:t xml:space="preserve"> </w:t>
      </w:r>
    </w:p>
    <w:p w14:paraId="602F5B39" w14:textId="77777777" w:rsidR="00EF0A33" w:rsidRPr="00164238" w:rsidRDefault="00EF0A33" w:rsidP="00EF0A33">
      <w:pPr>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e-mail</w:t>
      </w:r>
      <w:r w:rsidRPr="00164238">
        <w:rPr>
          <w:rFonts w:ascii="Times New Roman" w:hAnsi="Times New Roman" w:cs="Times New Roman"/>
          <w:color w:val="000000" w:themeColor="text1"/>
          <w:sz w:val="20"/>
          <w:szCs w:val="20"/>
          <w:u w:val="single"/>
        </w:rPr>
        <w:t>: e_alhelo@yahoo.com</w:t>
      </w:r>
    </w:p>
    <w:p w14:paraId="298A2638" w14:textId="77777777" w:rsidR="005633F5" w:rsidRPr="00164238" w:rsidRDefault="005633F5" w:rsidP="005633F5">
      <w:pPr>
        <w:jc w:val="both"/>
        <w:rPr>
          <w:rFonts w:ascii="Times New Roman" w:eastAsia="Calibri" w:hAnsi="Times New Roman" w:cs="Times New Roman"/>
          <w:color w:val="000000" w:themeColor="text1"/>
          <w:sz w:val="20"/>
          <w:szCs w:val="20"/>
        </w:rPr>
      </w:pPr>
    </w:p>
    <w:p w14:paraId="32EE322E" w14:textId="77777777" w:rsidR="005633F5" w:rsidRPr="00164238" w:rsidRDefault="005633F5" w:rsidP="005633F5">
      <w:pPr>
        <w:spacing w:after="0" w:line="240" w:lineRule="auto"/>
        <w:ind w:firstLine="708"/>
        <w:rPr>
          <w:rFonts w:ascii="Times New Roman" w:eastAsia="Times New Roman" w:hAnsi="Times New Roman" w:cs="Times New Roman"/>
          <w:b/>
          <w:bCs/>
          <w:color w:val="000000" w:themeColor="text1"/>
          <w:sz w:val="20"/>
          <w:szCs w:val="20"/>
        </w:rPr>
      </w:pPr>
      <w:r w:rsidRPr="00164238">
        <w:rPr>
          <w:rFonts w:ascii="Times New Roman" w:eastAsia="Times New Roman" w:hAnsi="Times New Roman" w:cs="Times New Roman"/>
          <w:b/>
          <w:bCs/>
          <w:color w:val="000000" w:themeColor="text1"/>
          <w:sz w:val="20"/>
          <w:szCs w:val="20"/>
        </w:rPr>
        <w:t>ABSTACT</w:t>
      </w:r>
    </w:p>
    <w:p w14:paraId="7707D60A" w14:textId="77777777" w:rsidR="005633F5" w:rsidRPr="00164238" w:rsidRDefault="005633F5" w:rsidP="005633F5">
      <w:pPr>
        <w:spacing w:after="0" w:line="240" w:lineRule="auto"/>
        <w:ind w:firstLine="708"/>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The study aimed to identify the effectiveness of the use of artificial intelligence in the internal audit process and its impact on the management and evaluation of risks, control and governance in the Palestinian government sector, and to answer the research questions and test the hypotheses of the study, the researchers relied on the descriptive analytical method, and distributed a questionnaire to the study community consisting of department managers and heads of departments and internal auditors working in the internal audit departments of the Palestinian government ministries and the number of (40) auditors, and the use of statistical analysis program(SPSS) to enter and analyze data.</w:t>
      </w:r>
    </w:p>
    <w:p w14:paraId="02AB3AD8" w14:textId="77777777" w:rsidR="005633F5" w:rsidRPr="00164238" w:rsidRDefault="005633F5" w:rsidP="005633F5">
      <w:pPr>
        <w:spacing w:after="0" w:line="240" w:lineRule="auto"/>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The results of the study also showed that there is a significant impact on the use of artificial intelligence in the internal audit process on the management and evaluation of risks and regulatory systems, strengthening governance procedures and mechanisms, improving the efficiency and effectiveness of the audit process, increasing the quality of internal audit services and reducing risk in Palestinian government ministries.</w:t>
      </w:r>
    </w:p>
    <w:p w14:paraId="7DFD11A9" w14:textId="77777777" w:rsidR="005633F5" w:rsidRPr="00164238" w:rsidRDefault="005633F5" w:rsidP="005633F5">
      <w:pPr>
        <w:spacing w:after="0" w:line="240" w:lineRule="auto"/>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The study also recommended the need to direct Palestinian government ministries to adopt the use of Artificial Intelligence applications in the internal audit process, because it provides a reduction in time and cost and increase the efficiency of performing internal audit tasks in light of the huge amount of data and complex reports and then help him reach rational decisions, and should enhance the awareness of internal auditors of the importance of the use of Artificial Intelligence technologies, its role in achieving the quality of the audit, conducting the risk assessment process, examining internal control systems, and strengthening the governance system in Palestinian government ministries.</w:t>
      </w:r>
    </w:p>
    <w:p w14:paraId="709B6C24" w14:textId="77777777" w:rsidR="005633F5" w:rsidRPr="00164238" w:rsidRDefault="005633F5" w:rsidP="005633F5">
      <w:pPr>
        <w:spacing w:after="0" w:line="240" w:lineRule="auto"/>
        <w:jc w:val="both"/>
        <w:rPr>
          <w:rFonts w:ascii="Times New Roman" w:eastAsia="Times New Roman" w:hAnsi="Times New Roman" w:cs="Times New Roman"/>
          <w:color w:val="000000" w:themeColor="text1"/>
          <w:sz w:val="20"/>
          <w:szCs w:val="20"/>
        </w:rPr>
      </w:pPr>
      <w:r w:rsidRPr="00164238">
        <w:rPr>
          <w:rFonts w:ascii="Times New Roman" w:eastAsia="Times New Roman" w:hAnsi="Times New Roman" w:cs="Times New Roman"/>
          <w:b/>
          <w:bCs/>
          <w:color w:val="000000" w:themeColor="text1"/>
          <w:sz w:val="20"/>
          <w:szCs w:val="20"/>
        </w:rPr>
        <w:t>Key words:</w:t>
      </w:r>
      <w:r w:rsidRPr="00164238">
        <w:rPr>
          <w:rFonts w:ascii="Times New Roman" w:eastAsia="Times New Roman" w:hAnsi="Times New Roman" w:cs="Times New Roman"/>
          <w:color w:val="000000" w:themeColor="text1"/>
          <w:sz w:val="20"/>
          <w:szCs w:val="20"/>
        </w:rPr>
        <w:t xml:space="preserve"> Artificial Intelligence, Internal Audit, Risk, Internal Oversight, Governance.</w:t>
      </w:r>
    </w:p>
    <w:p w14:paraId="159099A4" w14:textId="77777777" w:rsidR="005633F5" w:rsidRPr="00164238" w:rsidRDefault="005633F5" w:rsidP="005633F5">
      <w:pPr>
        <w:bidi/>
        <w:spacing w:after="0" w:line="240" w:lineRule="auto"/>
        <w:jc w:val="both"/>
        <w:rPr>
          <w:rFonts w:ascii="Times New Roman" w:eastAsia="Calibri" w:hAnsi="Times New Roman" w:cs="Times New Roman"/>
          <w:b/>
          <w:bCs/>
          <w:color w:val="000000" w:themeColor="text1"/>
          <w:sz w:val="20"/>
          <w:szCs w:val="20"/>
          <w:rtl/>
        </w:rPr>
      </w:pPr>
    </w:p>
    <w:p w14:paraId="6762E618" w14:textId="77777777" w:rsidR="005633F5" w:rsidRPr="00164238" w:rsidRDefault="005633F5" w:rsidP="005633F5">
      <w:pPr>
        <w:spacing w:after="0" w:line="240" w:lineRule="auto"/>
        <w:ind w:firstLine="708"/>
        <w:jc w:val="both"/>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lang w:val="en"/>
        </w:rPr>
        <w:t>Introduction</w:t>
      </w:r>
    </w:p>
    <w:p w14:paraId="5822056D" w14:textId="77777777" w:rsidR="005633F5" w:rsidRPr="00164238" w:rsidRDefault="005633F5" w:rsidP="005633F5">
      <w:pPr>
        <w:spacing w:after="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Artificial intelligence is one of the main pillars of the technology industry in the current era, and is known for the ability of digital machines and computers to perform tasks that mimic those performed by intelligent objects, such as the ability to think or learn from past experiences or other processes that require mental processes, and has become the focus of business communities and economic institutions and the opportunities it creates.</w:t>
      </w:r>
    </w:p>
    <w:p w14:paraId="2C371737" w14:textId="77777777" w:rsidR="005633F5" w:rsidRPr="00164238" w:rsidRDefault="005633F5" w:rsidP="005633F5">
      <w:pPr>
        <w:spacing w:after="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Current trends suggest that AI will have the greatest impact on the global economy, according to a report by the McKinsey Global Research Institute;</w:t>
      </w:r>
    </w:p>
    <w:p w14:paraId="5882730B"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 xml:space="preserve">AI is seen as a supportive strategy for the completion of audit procedures through technology to achieve the quality of the internal audit process, and the audit ing profession is one of the professions affected by modern technology, and has undergone many changes, with the emergence of AI technologies, the term "automation of automated processes" emerged as a new audit ing technique recently, some organizations have collaborated with AI providers to use these systems in the audit process, and frequent manual audit </w:t>
      </w:r>
      <w:r w:rsidRPr="00164238">
        <w:rPr>
          <w:rFonts w:ascii="Times New Roman" w:hAnsi="Times New Roman" w:cs="Times New Roman"/>
          <w:color w:val="000000" w:themeColor="text1"/>
          <w:sz w:val="20"/>
          <w:szCs w:val="20"/>
          <w:lang w:val="en"/>
        </w:rPr>
        <w:lastRenderedPageBreak/>
        <w:t>ing tasks such as risk management and internal control testing can be automated. The auditing process helps with the use of AI technologies, improving the efficiency and effectiveness of internal audit, and completing internal audit tasks at the lowest time and at a lower cost, which contributes to improving the quality of audit services, supporting audit strategy and reducing audit risk (Samurai, Shiraida, 2020).</w:t>
      </w:r>
    </w:p>
    <w:p w14:paraId="1F845393" w14:textId="77777777" w:rsidR="005633F5" w:rsidRPr="00164238" w:rsidRDefault="005633F5" w:rsidP="005633F5">
      <w:pPr>
        <w:spacing w:after="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The auditing profession may now face many challenges, including how to deal with AI technologies that impose a new reality in the audit environment. Auditors must develop their own skills and expertise, through which they can possess scientific knowledge and professional experience to develop positive aspects of AI applications, innovative methods that support their efforts to support auditing, strengthen governance procedures, manage and evaluate risks, and examine and evaluate the internal control system.</w:t>
      </w:r>
    </w:p>
    <w:p w14:paraId="3286FB6E"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 </w:t>
      </w:r>
    </w:p>
    <w:p w14:paraId="7F687A4E" w14:textId="77777777" w:rsidR="005633F5" w:rsidRPr="00164238" w:rsidRDefault="005633F5" w:rsidP="005633F5">
      <w:pPr>
        <w:spacing w:after="0" w:line="240" w:lineRule="auto"/>
        <w:ind w:firstLine="708"/>
        <w:jc w:val="both"/>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lang w:val="en"/>
        </w:rPr>
        <w:t>Study problem</w:t>
      </w:r>
    </w:p>
    <w:p w14:paraId="66291040" w14:textId="77777777" w:rsidR="005633F5" w:rsidRPr="00164238" w:rsidRDefault="005633F5" w:rsidP="005633F5">
      <w:pPr>
        <w:spacing w:after="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The use of AI technology has affected the performance of the audit process, which has led to the emergence of professional auditing standards that guide and guide how to deal with this technology when conducting internal audit, as the audit process using AI technology can help improve the efficiency and effectiveness of the internal audit process, which will contribute to the management and evaluation of risks, the examination and evaluation of the internal control system, and the strengthening of governance procedures in the Palestinian government sector. Accordingly, the study's questions can be formulated as follows:</w:t>
      </w:r>
    </w:p>
    <w:p w14:paraId="5061424A"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The main question:</w:t>
      </w:r>
    </w:p>
    <w:p w14:paraId="3E38DEF5" w14:textId="77777777" w:rsidR="005633F5" w:rsidRPr="00164238" w:rsidRDefault="005633F5" w:rsidP="005633F5">
      <w:pPr>
        <w:spacing w:after="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What is the impact of the use of artificial intelligence on the internal audit process and its impact on risk management, control and governance in the Palestinian government sector?</w:t>
      </w:r>
    </w:p>
    <w:p w14:paraId="26CE412F"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The main question is branched out by the following sub-questions:</w:t>
      </w:r>
    </w:p>
    <w:p w14:paraId="51A77C4B"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1. What is the impact of the use of artificial intelligence in the internal audit process on risk management and evaluation in the Palestinian government sector?</w:t>
      </w:r>
    </w:p>
    <w:p w14:paraId="21582962"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2. What is the impact of the use of artificial intelligence in the internal audit process on the examination and evaluation of the internal control system in the Palestinian government sector?</w:t>
      </w:r>
    </w:p>
    <w:p w14:paraId="4E3849CD"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3. What is the impact of the use of artificial intelligence in the internal audit process on strengthening governance procedures in the Palestinian government sector?</w:t>
      </w:r>
    </w:p>
    <w:p w14:paraId="607415F6"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 </w:t>
      </w:r>
    </w:p>
    <w:p w14:paraId="607B6C10" w14:textId="77777777" w:rsidR="005633F5" w:rsidRPr="00164238" w:rsidRDefault="005633F5" w:rsidP="005633F5">
      <w:pPr>
        <w:spacing w:after="0" w:line="240" w:lineRule="auto"/>
        <w:ind w:firstLine="708"/>
        <w:jc w:val="both"/>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lang w:val="en"/>
        </w:rPr>
        <w:t>The objectives of the study:</w:t>
      </w:r>
    </w:p>
    <w:p w14:paraId="79ED78A7" w14:textId="77777777" w:rsidR="005633F5" w:rsidRPr="00164238" w:rsidRDefault="005633F5" w:rsidP="005633F5">
      <w:pPr>
        <w:spacing w:after="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The main objective of this study is to find out the effectiveness of the use of artificial intelligence in the internal audit process and its impact on risk management, control and governance in the Palestinian government sector, which has been identified through the following sub-objectives:</w:t>
      </w:r>
    </w:p>
    <w:p w14:paraId="263A8C84"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1. To show the impact of the use of artificial intelligence in the internal audit process on the management and evaluation of risks in the Palestinian government sector.</w:t>
      </w:r>
    </w:p>
    <w:p w14:paraId="2F2D6285"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2. To show the impact of the use of artificial intelligence in the internal audit process on the examination and evaluation of the internal control system in the Palestinian government sector.</w:t>
      </w:r>
    </w:p>
    <w:p w14:paraId="7B29557D"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3. To show the impact of the use of artificial intelligence in the internal audit process on strengthening governance procedures in the Palestinian government sector.</w:t>
      </w:r>
    </w:p>
    <w:p w14:paraId="7BC1A00E"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 </w:t>
      </w:r>
    </w:p>
    <w:p w14:paraId="4E263ED5" w14:textId="77777777" w:rsidR="005633F5" w:rsidRPr="00164238" w:rsidRDefault="005633F5" w:rsidP="005633F5">
      <w:pPr>
        <w:spacing w:after="0" w:line="240" w:lineRule="auto"/>
        <w:ind w:firstLine="708"/>
        <w:jc w:val="both"/>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lang w:val="en"/>
        </w:rPr>
        <w:t>The importance of study:</w:t>
      </w:r>
    </w:p>
    <w:p w14:paraId="2C455410" w14:textId="77777777" w:rsidR="005633F5" w:rsidRPr="00164238" w:rsidRDefault="005633F5" w:rsidP="005633F5">
      <w:pPr>
        <w:spacing w:after="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The importance of this study lies in the fact that it deals with one of the most recent topics that dealt with the link between several vital topics, namely the effectiveness of the use of artificial intelligence in the internal audit process and its impact on the management and evaluation of risks, the examination and evaluation of the internal control system, and the strengthening of governance procedures in the government sector in the institutions of the Palestinian National Authority, which constitutes a new scientific addition in the field of audit science.</w:t>
      </w:r>
    </w:p>
    <w:p w14:paraId="7AB6A5C0"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2. This study contributes to the need to keep up with modern technological developments, especially in the process of internal auditing and internal control systems and governance, and training internal auditors on it by raising their professional competence, considering the process of using artificial intelligence techniques in the audit process of the basic requirements to control the quality of the audit process.</w:t>
      </w:r>
    </w:p>
    <w:p w14:paraId="4C01C2F1"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 xml:space="preserve">3. The importance of this study is highlighted in that it examines the effectiveness of the use of Artificial Intelligence in the internal audit process, the impact on the management and evaluation of risks, the examination and evaluation of the internal control system, and the strengthening of governance procedures through the use of digital auditing in the performance of audit services to provide high quality services </w:t>
      </w:r>
      <w:r w:rsidRPr="00164238">
        <w:rPr>
          <w:rFonts w:ascii="Times New Roman" w:hAnsi="Times New Roman" w:cs="Times New Roman"/>
          <w:color w:val="000000" w:themeColor="text1"/>
          <w:sz w:val="20"/>
          <w:szCs w:val="20"/>
          <w:lang w:val="en"/>
        </w:rPr>
        <w:lastRenderedPageBreak/>
        <w:t xml:space="preserve">more than others, because internal audit is an important sector that contributes to the confidence of financial statements.  </w:t>
      </w:r>
    </w:p>
    <w:p w14:paraId="7AA06BB1"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 </w:t>
      </w:r>
    </w:p>
    <w:p w14:paraId="775064D3" w14:textId="77777777" w:rsidR="005633F5" w:rsidRPr="00164238" w:rsidRDefault="005633F5" w:rsidP="006F033D">
      <w:pPr>
        <w:spacing w:after="0" w:line="240" w:lineRule="auto"/>
        <w:ind w:firstLine="708"/>
        <w:jc w:val="both"/>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lang w:val="en"/>
        </w:rPr>
        <w:t>Study hypotheses:</w:t>
      </w:r>
    </w:p>
    <w:p w14:paraId="6238F8D9" w14:textId="77777777" w:rsidR="005633F5" w:rsidRPr="00164238" w:rsidRDefault="005633F5" w:rsidP="006F033D">
      <w:pPr>
        <w:spacing w:after="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In order to achieve the objectives of the study and answer its questions, the following hypotheses have been formulated:</w:t>
      </w:r>
    </w:p>
    <w:p w14:paraId="3EAF82F6"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 xml:space="preserve">- </w:t>
      </w:r>
      <w:r w:rsidRPr="00164238">
        <w:rPr>
          <w:rFonts w:ascii="Times New Roman" w:hAnsi="Times New Roman" w:cs="Times New Roman"/>
          <w:b/>
          <w:bCs/>
          <w:color w:val="000000" w:themeColor="text1"/>
          <w:sz w:val="20"/>
          <w:szCs w:val="20"/>
          <w:lang w:val="en"/>
        </w:rPr>
        <w:t>The main hypothesis:</w:t>
      </w:r>
      <w:r w:rsidRPr="00164238">
        <w:rPr>
          <w:rFonts w:ascii="Times New Roman" w:hAnsi="Times New Roman" w:cs="Times New Roman"/>
          <w:color w:val="000000" w:themeColor="text1"/>
          <w:sz w:val="20"/>
          <w:szCs w:val="20"/>
          <w:lang w:val="en"/>
        </w:rPr>
        <w:t xml:space="preserve"> What is the impact of the use of artificial intelligence in the internal audit process and its impact on risk management, control and governance in the Palestinian government sector.</w:t>
      </w:r>
    </w:p>
    <w:p w14:paraId="6E3FE0F2" w14:textId="77777777" w:rsidR="005633F5" w:rsidRPr="00164238" w:rsidRDefault="005633F5" w:rsidP="005633F5">
      <w:pPr>
        <w:spacing w:after="0" w:line="240" w:lineRule="auto"/>
        <w:jc w:val="both"/>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lang w:val="en"/>
        </w:rPr>
        <w:t>The main hypothesis is branched by the following sub hypotheses:</w:t>
      </w:r>
    </w:p>
    <w:p w14:paraId="23A58BFE"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bCs/>
          <w:color w:val="000000" w:themeColor="text1"/>
          <w:sz w:val="20"/>
          <w:szCs w:val="20"/>
          <w:lang w:val="en"/>
        </w:rPr>
        <w:t>- The first sub-hypothesis:</w:t>
      </w:r>
      <w:r w:rsidRPr="00164238">
        <w:rPr>
          <w:rFonts w:ascii="Times New Roman" w:hAnsi="Times New Roman" w:cs="Times New Roman"/>
          <w:color w:val="000000" w:themeColor="text1"/>
          <w:sz w:val="20"/>
          <w:szCs w:val="20"/>
          <w:lang w:val="en"/>
        </w:rPr>
        <w:t xml:space="preserve"> there is an impact on the management and evaluation of risks in the Palestinian government sector.</w:t>
      </w:r>
    </w:p>
    <w:p w14:paraId="20F84E4A"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bCs/>
          <w:color w:val="000000" w:themeColor="text1"/>
          <w:sz w:val="20"/>
          <w:szCs w:val="20"/>
          <w:lang w:val="en"/>
        </w:rPr>
        <w:t>- The second sub hypothesis:</w:t>
      </w:r>
      <w:r w:rsidRPr="00164238">
        <w:rPr>
          <w:rFonts w:ascii="Times New Roman" w:hAnsi="Times New Roman" w:cs="Times New Roman"/>
          <w:color w:val="000000" w:themeColor="text1"/>
          <w:sz w:val="20"/>
          <w:szCs w:val="20"/>
          <w:lang w:val="en"/>
        </w:rPr>
        <w:t xml:space="preserve"> There is an effect on the use of artificial intelligence in the internal audit process on the examination and evaluation of the internal control system in the Palestinian government sector.</w:t>
      </w:r>
    </w:p>
    <w:p w14:paraId="70E03D81"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bCs/>
          <w:color w:val="000000" w:themeColor="text1"/>
          <w:sz w:val="20"/>
          <w:szCs w:val="20"/>
          <w:lang w:val="en"/>
        </w:rPr>
        <w:t>- The third sub-hypothesis:</w:t>
      </w:r>
      <w:r w:rsidRPr="00164238">
        <w:rPr>
          <w:rFonts w:ascii="Times New Roman" w:hAnsi="Times New Roman" w:cs="Times New Roman"/>
          <w:color w:val="000000" w:themeColor="text1"/>
          <w:sz w:val="20"/>
          <w:szCs w:val="20"/>
          <w:lang w:val="en"/>
        </w:rPr>
        <w:t xml:space="preserve"> There is an impact on the use of artificial intelligence in the internal audit process on strengthening governance procedures in the Palestinian government sector.</w:t>
      </w:r>
    </w:p>
    <w:p w14:paraId="65A468C9"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rPr>
        <w:t xml:space="preserve"> </w:t>
      </w:r>
    </w:p>
    <w:p w14:paraId="6F54C8A6" w14:textId="77777777" w:rsidR="005633F5" w:rsidRPr="00164238" w:rsidRDefault="005633F5" w:rsidP="006F033D">
      <w:pPr>
        <w:spacing w:after="0" w:line="240" w:lineRule="auto"/>
        <w:ind w:firstLine="708"/>
        <w:jc w:val="both"/>
        <w:rPr>
          <w:rFonts w:ascii="Times New Roman" w:hAnsi="Times New Roman" w:cs="Times New Roman"/>
          <w:b/>
          <w:bCs/>
          <w:color w:val="000000" w:themeColor="text1"/>
          <w:sz w:val="20"/>
          <w:szCs w:val="20"/>
        </w:rPr>
      </w:pPr>
      <w:r w:rsidRPr="00164238">
        <w:rPr>
          <w:rFonts w:ascii="Times New Roman" w:hAnsi="Times New Roman" w:cs="Times New Roman"/>
          <w:b/>
          <w:bCs/>
          <w:color w:val="000000" w:themeColor="text1"/>
          <w:sz w:val="20"/>
          <w:szCs w:val="20"/>
          <w:lang w:val="en"/>
        </w:rPr>
        <w:t>Study variables:</w:t>
      </w:r>
    </w:p>
    <w:p w14:paraId="22A27C25"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bCs/>
          <w:color w:val="000000" w:themeColor="text1"/>
          <w:sz w:val="20"/>
          <w:szCs w:val="20"/>
          <w:lang w:val="en"/>
        </w:rPr>
        <w:t>-  The independent variable:</w:t>
      </w:r>
      <w:r w:rsidRPr="00164238">
        <w:rPr>
          <w:rFonts w:ascii="Times New Roman" w:hAnsi="Times New Roman" w:cs="Times New Roman"/>
          <w:color w:val="000000" w:themeColor="text1"/>
          <w:sz w:val="20"/>
          <w:szCs w:val="20"/>
          <w:lang w:val="en"/>
        </w:rPr>
        <w:t xml:space="preserve"> The independent variable in this study is the use of artificial intelligence in the internal audit process.</w:t>
      </w:r>
    </w:p>
    <w:p w14:paraId="4E816A63"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bCs/>
          <w:color w:val="000000" w:themeColor="text1"/>
          <w:sz w:val="20"/>
          <w:szCs w:val="20"/>
          <w:lang w:val="en"/>
        </w:rPr>
        <w:t>- Dependent variables:</w:t>
      </w:r>
      <w:r w:rsidRPr="00164238">
        <w:rPr>
          <w:rFonts w:ascii="Times New Roman" w:hAnsi="Times New Roman" w:cs="Times New Roman"/>
          <w:color w:val="000000" w:themeColor="text1"/>
          <w:sz w:val="20"/>
          <w:szCs w:val="20"/>
          <w:lang w:val="en"/>
        </w:rPr>
        <w:t xml:space="preserve"> The variables of this study are drunk in the following elements:</w:t>
      </w:r>
    </w:p>
    <w:p w14:paraId="55DB34BA"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1. Audit risk management.</w:t>
      </w:r>
    </w:p>
    <w:p w14:paraId="55829877"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2. Examining and evaluating the internal control system.</w:t>
      </w:r>
    </w:p>
    <w:p w14:paraId="0E1FDF5B"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3. Strengthening governance procedures.</w:t>
      </w:r>
    </w:p>
    <w:p w14:paraId="77C85C87" w14:textId="1468C4EF" w:rsidR="005633F5" w:rsidRDefault="005633F5" w:rsidP="005633F5">
      <w:pPr>
        <w:spacing w:after="0" w:line="240" w:lineRule="auto"/>
        <w:jc w:val="both"/>
        <w:rPr>
          <w:rFonts w:ascii="Times New Roman" w:hAnsi="Times New Roman" w:cs="Times New Roman"/>
          <w:b/>
          <w:bCs/>
          <w:color w:val="000000" w:themeColor="text1"/>
          <w:sz w:val="20"/>
          <w:szCs w:val="20"/>
          <w:lang w:val="en"/>
        </w:rPr>
      </w:pPr>
      <w:r w:rsidRPr="00164238">
        <w:rPr>
          <w:rFonts w:ascii="Times New Roman" w:hAnsi="Times New Roman" w:cs="Times New Roman"/>
          <w:b/>
          <w:bCs/>
          <w:color w:val="000000" w:themeColor="text1"/>
          <w:sz w:val="20"/>
          <w:szCs w:val="20"/>
          <w:lang w:val="en"/>
        </w:rPr>
        <w:t>Study model:</w:t>
      </w:r>
    </w:p>
    <w:p w14:paraId="1257C57E" w14:textId="77777777" w:rsidR="00E839E1" w:rsidRPr="00164238" w:rsidRDefault="00E839E1" w:rsidP="005633F5">
      <w:pPr>
        <w:spacing w:after="0" w:line="240" w:lineRule="auto"/>
        <w:jc w:val="both"/>
        <w:rPr>
          <w:rFonts w:ascii="Times New Roman" w:hAnsi="Times New Roman" w:cs="Times New Roman"/>
          <w:b/>
          <w:bCs/>
          <w:color w:val="000000" w:themeColor="text1"/>
          <w:sz w:val="20"/>
          <w:szCs w:val="20"/>
        </w:rPr>
      </w:pPr>
    </w:p>
    <w:p w14:paraId="5C92A944" w14:textId="77777777" w:rsidR="005633F5" w:rsidRPr="00164238" w:rsidRDefault="005633F5" w:rsidP="005633F5">
      <w:pPr>
        <w:bidi/>
        <w:spacing w:after="0" w:line="240" w:lineRule="auto"/>
        <w:rPr>
          <w:rFonts w:ascii="Times New Roman" w:eastAsia="Calibri" w:hAnsi="Times New Roman" w:cs="Times New Roman"/>
          <w:color w:val="000000" w:themeColor="text1"/>
          <w:sz w:val="20"/>
          <w:szCs w:val="20"/>
          <w:rtl/>
        </w:rPr>
      </w:pPr>
      <w:r w:rsidRPr="00164238">
        <w:rPr>
          <w:rFonts w:ascii="Times New Roman" w:eastAsia="Calibri" w:hAnsi="Times New Roman" w:cs="Times New Roman"/>
          <w:b/>
          <w:bCs/>
          <w:noProof/>
          <w:color w:val="000000" w:themeColor="text1"/>
          <w:sz w:val="20"/>
          <w:szCs w:val="20"/>
          <w:lang w:val="en-US"/>
        </w:rPr>
        <mc:AlternateContent>
          <mc:Choice Requires="wps">
            <w:drawing>
              <wp:anchor distT="0" distB="0" distL="114300" distR="114300" simplePos="0" relativeHeight="251721728" behindDoc="0" locked="0" layoutInCell="1" allowOverlap="1" wp14:anchorId="42837931" wp14:editId="6F145C17">
                <wp:simplePos x="0" y="0"/>
                <wp:positionH relativeFrom="column">
                  <wp:posOffset>3033395</wp:posOffset>
                </wp:positionH>
                <wp:positionV relativeFrom="paragraph">
                  <wp:posOffset>27305</wp:posOffset>
                </wp:positionV>
                <wp:extent cx="2139315" cy="333375"/>
                <wp:effectExtent l="19050" t="19050" r="13335" b="28575"/>
                <wp:wrapNone/>
                <wp:docPr id="157" name="مستطيل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9315" cy="333375"/>
                        </a:xfrm>
                        <a:prstGeom prst="rect">
                          <a:avLst/>
                        </a:prstGeom>
                        <a:solidFill>
                          <a:srgbClr val="FFFFFF"/>
                        </a:solidFill>
                        <a:ln w="28575">
                          <a:solidFill>
                            <a:srgbClr val="000000"/>
                          </a:solidFill>
                          <a:miter lim="800000"/>
                          <a:headEnd/>
                          <a:tailEnd/>
                        </a:ln>
                      </wps:spPr>
                      <wps:txbx>
                        <w:txbxContent>
                          <w:p w14:paraId="69BEEF01" w14:textId="77777777" w:rsidR="003B6DB3" w:rsidRPr="00E90322" w:rsidRDefault="003B6DB3" w:rsidP="005633F5">
                            <w:pPr>
                              <w:spacing w:after="0" w:line="240" w:lineRule="auto"/>
                              <w:jc w:val="center"/>
                              <w:rPr>
                                <w:rFonts w:asciiTheme="majorBidi" w:hAnsiTheme="majorBidi" w:cstheme="majorBidi"/>
                                <w:b/>
                                <w:bCs/>
                              </w:rPr>
                            </w:pPr>
                            <w:r w:rsidRPr="00E90322">
                              <w:rPr>
                                <w:rFonts w:asciiTheme="majorBidi" w:hAnsiTheme="majorBidi" w:cstheme="majorBidi"/>
                                <w:b/>
                                <w:bCs/>
                                <w:sz w:val="24"/>
                                <w:szCs w:val="24"/>
                              </w:rPr>
                              <w:t>Dependent variables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837931" id="مستطيل 4" o:spid="_x0000_s1058" style="position:absolute;left:0;text-align:left;margin-left:238.85pt;margin-top:2.15pt;width:168.45pt;height:26.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34eOwIAAFUEAAAOAAAAZHJzL2Uyb0RvYy54bWysVM2O0zAQviPxDpbvNE1/tt2o6WrVpQhp&#10;gZUWHsB1nMTCsc3YbVLOcOFRuHLgVdq3Yex2u+VHHBA+WJ54/M0338xkdtU1imwEOGl0TtNenxKh&#10;uSmkrnL67u3y2ZQS55kumDJa5HQrHL2aP30ya20mBqY2qhBAEES7rLU5rb23WZI4XouGuZ6xQuNl&#10;aaBhHk2okgJYi+iNSgb9/kXSGigsGC6cw683h0s6j/hlKbh/U5ZOeKJyitx83CHuq7An8xnLKmC2&#10;lvxIg/0Di4ZJjUFPUDfMM7IG+RtUIzkYZ0rf46ZJTFlKLmIOmE3a/yWb+5pZEXNBcZw9yeT+Hyx/&#10;vbkDIgus3XhCiWYNFmn/efdt93X3ff9l/4mMgkatdRm63ts7CFk6e2v4e0e0WdRMV+IawLS1YAUy&#10;S4N/8tODYDh8SlbtK1NgALb2JsrVldAEQBSCdLEq21NVROcJx4+DdHg5TMeUcLwb4pqMYwiWPby2&#10;4PwLYRoSDjkFrHpEZ5tb5wMblj24RPZGyWIplYoGVKuFArJh2CHLuI7o7txNadIilekYg/8dox/X&#10;nzAa6bHXlWxyOj05sSzo9lwXsRM9k+pwRs5KH4UM2h1q4LtVF6s1uAgRgrArU2xRWjCH3sZZxENt&#10;4CMlLfZ1Tt2HNQNBiXqpsTyX6WgUBiEao/FkgAac36zOb5jmCJVTT8nhuPCH4VlbkFWNkdIohzbX&#10;WNJSRrUfWR35Y+/GIhznLAzHuR29Hv8G8x8AAAD//wMAUEsDBBQABgAIAAAAIQDfErnV3wAAAAgB&#10;AAAPAAAAZHJzL2Rvd25yZXYueG1sTI9BT4NAEIXvJv6HzZh4MXapUkBkaQzRQ3tS2ou3LTsCkd1F&#10;Ztviv3c86e1N3st73xTr2Q7ihBP13ilYLiIQ6Bpvetcq2O9ebjMQFLQzevAOFXwjwbq8vCh0bvzZ&#10;veGpDq3gEke5VtCFMOZSUtOh1bTwIzr2PvxkdeBzaqWZ9JnL7SDvoiiRVveOFzo9YtVh81kfrQJt&#10;N228+XrY1rSn59Xupnql90qp66v56RFEwDn8heEXn9GhZKaDPzpDYlAQp2nKURb3INjPlnEC4qBg&#10;lWQgy0L+f6D8AQAA//8DAFBLAQItABQABgAIAAAAIQC2gziS/gAAAOEBAAATAAAAAAAAAAAAAAAA&#10;AAAAAABbQ29udGVudF9UeXBlc10ueG1sUEsBAi0AFAAGAAgAAAAhADj9If/WAAAAlAEAAAsAAAAA&#10;AAAAAAAAAAAALwEAAF9yZWxzLy5yZWxzUEsBAi0AFAAGAAgAAAAhALhnfh47AgAAVQQAAA4AAAAA&#10;AAAAAAAAAAAALgIAAGRycy9lMm9Eb2MueG1sUEsBAi0AFAAGAAgAAAAhAN8SudXfAAAACAEAAA8A&#10;AAAAAAAAAAAAAAAAlQQAAGRycy9kb3ducmV2LnhtbFBLBQYAAAAABAAEAPMAAAChBQAAAAA=&#10;" strokeweight="2.25pt">
                <v:textbox>
                  <w:txbxContent>
                    <w:p w14:paraId="69BEEF01" w14:textId="77777777" w:rsidR="003B6DB3" w:rsidRPr="00E90322" w:rsidRDefault="003B6DB3" w:rsidP="005633F5">
                      <w:pPr>
                        <w:spacing w:after="0" w:line="240" w:lineRule="auto"/>
                        <w:jc w:val="center"/>
                        <w:rPr>
                          <w:rFonts w:asciiTheme="majorBidi" w:hAnsiTheme="majorBidi" w:cstheme="majorBidi"/>
                          <w:b/>
                          <w:bCs/>
                        </w:rPr>
                      </w:pPr>
                      <w:r w:rsidRPr="00E90322">
                        <w:rPr>
                          <w:rFonts w:asciiTheme="majorBidi" w:hAnsiTheme="majorBidi" w:cstheme="majorBidi"/>
                          <w:b/>
                          <w:bCs/>
                          <w:sz w:val="24"/>
                          <w:szCs w:val="24"/>
                        </w:rPr>
                        <w:t>Dependent variables</w:t>
                      </w:r>
                    </w:p>
                  </w:txbxContent>
                </v:textbox>
              </v:rect>
            </w:pict>
          </mc:Fallback>
        </mc:AlternateContent>
      </w:r>
      <w:r w:rsidRPr="00164238">
        <w:rPr>
          <w:rFonts w:ascii="Times New Roman" w:eastAsia="Calibri" w:hAnsi="Times New Roman" w:cs="Times New Roman"/>
          <w:b/>
          <w:bCs/>
          <w:noProof/>
          <w:color w:val="000000" w:themeColor="text1"/>
          <w:sz w:val="20"/>
          <w:szCs w:val="20"/>
          <w:lang w:val="en-US"/>
        </w:rPr>
        <mc:AlternateContent>
          <mc:Choice Requires="wps">
            <w:drawing>
              <wp:anchor distT="0" distB="0" distL="114300" distR="114300" simplePos="0" relativeHeight="251722752" behindDoc="0" locked="0" layoutInCell="1" allowOverlap="1" wp14:anchorId="001CA118" wp14:editId="655CB556">
                <wp:simplePos x="0" y="0"/>
                <wp:positionH relativeFrom="column">
                  <wp:posOffset>318770</wp:posOffset>
                </wp:positionH>
                <wp:positionV relativeFrom="paragraph">
                  <wp:posOffset>36831</wp:posOffset>
                </wp:positionV>
                <wp:extent cx="2091690" cy="381000"/>
                <wp:effectExtent l="19050" t="19050" r="22860" b="19050"/>
                <wp:wrapNone/>
                <wp:docPr id="158" name="مستطيل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1690" cy="381000"/>
                        </a:xfrm>
                        <a:prstGeom prst="rect">
                          <a:avLst/>
                        </a:prstGeom>
                        <a:solidFill>
                          <a:srgbClr val="FFFFFF"/>
                        </a:solidFill>
                        <a:ln w="28575">
                          <a:solidFill>
                            <a:srgbClr val="000000"/>
                          </a:solidFill>
                          <a:miter lim="800000"/>
                          <a:headEnd/>
                          <a:tailEnd/>
                        </a:ln>
                      </wps:spPr>
                      <wps:txbx>
                        <w:txbxContent>
                          <w:p w14:paraId="30BC036B" w14:textId="77777777" w:rsidR="003B6DB3" w:rsidRPr="00C67342" w:rsidRDefault="003B6DB3" w:rsidP="005633F5">
                            <w:pPr>
                              <w:spacing w:after="0" w:line="240" w:lineRule="auto"/>
                              <w:rPr>
                                <w:b/>
                                <w:bCs/>
                                <w:sz w:val="30"/>
                                <w:szCs w:val="30"/>
                              </w:rPr>
                            </w:pPr>
                            <w:r w:rsidRPr="00E90322">
                              <w:rPr>
                                <w:rFonts w:asciiTheme="majorBidi" w:hAnsiTheme="majorBidi" w:cstheme="majorBidi"/>
                                <w:b/>
                                <w:bCs/>
                                <w:sz w:val="24"/>
                                <w:szCs w:val="24"/>
                              </w:rPr>
                              <w:t>The independent variable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1CA118" id="مستطيل 1" o:spid="_x0000_s1059" style="position:absolute;left:0;text-align:left;margin-left:25.1pt;margin-top:2.9pt;width:164.7pt;height:30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D52PwIAAFUEAAAOAAAAZHJzL2Uyb0RvYy54bWysVMGO0zAQvSPxD5bvNElpd9uo6WrVpQhp&#10;gZUWPsBxnMTCsc3YbVrOcOFTuHLgV9q/YeK03RZuiB4sT2b8/Oa9cWc3m0aRtQAnjc5oMogpEZqb&#10;Quoqox8/LF9MKHGe6YIpo0VGt8LRm/nzZ7PWpmJoaqMKAQRBtEtbm9Hae5tGkeO1aJgbGCs0JksD&#10;DfMYQhUVwFpEb1Q0jOOrqDVQWDBcOIdf7/oknQf8shTcvy9LJzxRGUVuPqwQ1rxbo/mMpRUwW0t+&#10;oMH+gUXDpMZLT1B3zDOyAvkXVCM5GGdKP+CmiUxZSi5CD9hNEv/RzWPNrAi9oDjOnmRy/w+Wv1s/&#10;AJEFejdGqzRr0KT9t93P3Y/dr/33/VeSdBq11qVY+mgfoOvS2XvDPzmizaJmuhK3AKatBSuQWaiP&#10;Lg50gcOjJG/fmgIvYCtvglybEpoOEIUgm+DK9uSK2HjC8eMwniZXUzSPY+7lJInjYFvE0uNpC86/&#10;FqYh3SajgK4HdLa+dx7ZY+mxJLA3ShZLqVQIoMoXCsia4YQsw69rGI+48zKlSYtUJuPrcYC+SLpz&#10;DKT3xPCirJEeZ13JJqOTUxFLO91e6SJMomdS9XskoDTyOGrXe+A3+Sa4Nbw+2pKbYovSgulnG98i&#10;bmoDXyhpca4z6j6vGAhK1BuN9kyT0ah7CCEYja+HGMB5Jj/PMM0RKqOekn678P3jWVmQVY03JUEO&#10;bW7R0lIGtTvKPasDf5zdoOjhnXWP4zwOVU//BvPfAAAA//8DAFBLAwQUAAYACAAAACEAKYn0h90A&#10;AAAHAQAADwAAAGRycy9kb3ducmV2LnhtbEyPMU/DQAyFdyT+w8lILIheKDTQkEuFIhjaCdIubG7O&#10;JBG5uxBf2/DvMRNMlv2enr+XrybXqyON3AVv4GaWgCJfB9v5xsBu+3L9AIojeot98GTgmxhWxflZ&#10;jpkNJ/9Gxyo2SkI8Z2igjXHItOa6JYc8CwN50T7C6DDKOjbajniScNfreZKk2mHn5UOLA5Ut1Z/V&#10;wRlAt27u1l/LTcU7fl5sr8pXfi+NubyYnh5BRZrinxl+8QUdCmHah4O3rHoDi2QuTplSQOTb+2UK&#10;am8glYMucv2fv/gBAAD//wMAUEsBAi0AFAAGAAgAAAAhALaDOJL+AAAA4QEAABMAAAAAAAAAAAAA&#10;AAAAAAAAAFtDb250ZW50X1R5cGVzXS54bWxQSwECLQAUAAYACAAAACEAOP0h/9YAAACUAQAACwAA&#10;AAAAAAAAAAAAAAAvAQAAX3JlbHMvLnJlbHNQSwECLQAUAAYACAAAACEAtog+dj8CAABVBAAADgAA&#10;AAAAAAAAAAAAAAAuAgAAZHJzL2Uyb0RvYy54bWxQSwECLQAUAAYACAAAACEAKYn0h90AAAAHAQAA&#10;DwAAAAAAAAAAAAAAAACZBAAAZHJzL2Rvd25yZXYueG1sUEsFBgAAAAAEAAQA8wAAAKMFAAAAAA==&#10;" strokeweight="2.25pt">
                <v:textbox>
                  <w:txbxContent>
                    <w:p w14:paraId="30BC036B" w14:textId="77777777" w:rsidR="003B6DB3" w:rsidRPr="00C67342" w:rsidRDefault="003B6DB3" w:rsidP="005633F5">
                      <w:pPr>
                        <w:spacing w:after="0" w:line="240" w:lineRule="auto"/>
                        <w:rPr>
                          <w:b/>
                          <w:bCs/>
                          <w:sz w:val="30"/>
                          <w:szCs w:val="30"/>
                        </w:rPr>
                      </w:pPr>
                      <w:r w:rsidRPr="00E90322">
                        <w:rPr>
                          <w:rFonts w:asciiTheme="majorBidi" w:hAnsiTheme="majorBidi" w:cstheme="majorBidi"/>
                          <w:b/>
                          <w:bCs/>
                          <w:sz w:val="24"/>
                          <w:szCs w:val="24"/>
                        </w:rPr>
                        <w:t>The independent variable</w:t>
                      </w:r>
                    </w:p>
                  </w:txbxContent>
                </v:textbox>
              </v:rect>
            </w:pict>
          </mc:Fallback>
        </mc:AlternateContent>
      </w:r>
      <w:r w:rsidRPr="00164238">
        <w:rPr>
          <w:rFonts w:ascii="Times New Roman" w:eastAsia="Calibri" w:hAnsi="Times New Roman" w:cs="Times New Roman"/>
          <w:b/>
          <w:bCs/>
          <w:noProof/>
          <w:color w:val="000000" w:themeColor="text1"/>
          <w:sz w:val="20"/>
          <w:szCs w:val="20"/>
          <w:lang w:val="en-US"/>
        </w:rPr>
        <mc:AlternateContent>
          <mc:Choice Requires="wps">
            <w:drawing>
              <wp:anchor distT="0" distB="0" distL="114300" distR="114300" simplePos="0" relativeHeight="251723776" behindDoc="0" locked="0" layoutInCell="1" allowOverlap="1" wp14:anchorId="30A5971C" wp14:editId="5BA2E07E">
                <wp:simplePos x="0" y="0"/>
                <wp:positionH relativeFrom="column">
                  <wp:posOffset>2409825</wp:posOffset>
                </wp:positionH>
                <wp:positionV relativeFrom="paragraph">
                  <wp:posOffset>187325</wp:posOffset>
                </wp:positionV>
                <wp:extent cx="552450" cy="133350"/>
                <wp:effectExtent l="19050" t="19050" r="19050" b="38100"/>
                <wp:wrapNone/>
                <wp:docPr id="159" name="سهم إلى اليسار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133350"/>
                        </a:xfrm>
                        <a:prstGeom prst="leftArrow">
                          <a:avLst>
                            <a:gd name="adj1" fmla="val 50000"/>
                            <a:gd name="adj2" fmla="val 10156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shapetype w14:anchorId="0A128748"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سهم إلى اليسار 20" o:spid="_x0000_s1026" type="#_x0000_t66" style="position:absolute;margin-left:189.75pt;margin-top:14.75pt;width:43.5pt;height:10.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CEiaAIAAKYEAAAOAAAAZHJzL2Uyb0RvYy54bWysVM1u1DAQviPxDpbvNJvdTelGzVZVSxFS&#10;gUqFB/DazsbgP2zvZsu5CMF7oJ5RX2b3bRg76ZLCDZGDY2dmvvlmPk+OTzZKojV3Xhhd4fxghBHX&#10;1DChlxV+/+7i2RFGPhDNiDSaV/iGe3wyf/rkuLUlH5vGSMYdAhDty9ZWuAnBllnmacMV8QfGcg3G&#10;2jhFAhzdMmOOtICuZDYejQ6z1jhmnaHce/h63hnxPOHXNafhbV17HpCsMHALaXVpXcQ1mx+TcumI&#10;bQTtaZB/YKGI0JB0D3VOAkErJ/6CUoI6400dDqhRmalrQXmqAarJR39Uc90Qy1Mt0Bxv923y/w+W&#10;vllfOSQYaFfMMNJEgUjb+93X3Re0/bG73X1D2zt4fd/eb++2P9E4tay1voTIa3vlYtHeXhr60SNt&#10;zhqil/zUOdM2nDAgmscWZ48C4sFDKFq0rw2DfGQVTOrepnYqAkJf0CaJdLMXiW8CovCxKMbTAqSk&#10;YMonkwnsYwZSPgRb58NLbhSKmwpLXodEKGUg60sfklCsL5awDzlGtZKg+5pIVIzg6e/FwGc89MlH&#10;eXE46fP2kMDgIXPqiZGCXQgp08EtF2fSIcCv8EV6+mA/dJMatRWeFeMicX1k80OISLEjCVkfuSkR&#10;YJ6kUBU+2juRMorxQrN02wMRsttDsNS9OlGQODW+XBh2A+I40w0LDDdsGuM+Y9TCoFTYf1oRxzGS&#10;rzQIPMun0zhZ6TAtnsMNQW5oWQwtRFOAqnDAqNuehW4aV9aJZQOZ8lS7NqdwKWoRHm5Px6onC8OQ&#10;JO8HN07b8Jy8fv9e5r8AAAD//wMAUEsDBBQABgAIAAAAIQDV/KqZ3gAAAAkBAAAPAAAAZHJzL2Rv&#10;d25yZXYueG1sTI/BTsMwDIbvSLxDZCQuiCVstEBpOiEkhLggUcY9a7y2LHFKk22Fp8c7wcm2/On3&#10;53I5eSf2OMY+kIarmQKB1ATbU6th9f50eQsiJkPWuECo4RsjLKvTk9IUNhzoDfd1agWHUCyMhi6l&#10;oZAyNh16E2dhQOLdJozeJB7HVtrRHDjcOzlXKpfe9MQXOjPgY4fNtt55De71YptLbPF59bH4+vnc&#10;1PFF1Vqfn00P9yASTukPhqM+q0PFTuuwIxuF07C4ucsY1TA/Vgau85ybtYZMZSCrUv7/oPoFAAD/&#10;/wMAUEsBAi0AFAAGAAgAAAAhALaDOJL+AAAA4QEAABMAAAAAAAAAAAAAAAAAAAAAAFtDb250ZW50&#10;X1R5cGVzXS54bWxQSwECLQAUAAYACAAAACEAOP0h/9YAAACUAQAACwAAAAAAAAAAAAAAAAAvAQAA&#10;X3JlbHMvLnJlbHNQSwECLQAUAAYACAAAACEAo6whImgCAACmBAAADgAAAAAAAAAAAAAAAAAuAgAA&#10;ZHJzL2Uyb0RvYy54bWxQSwECLQAUAAYACAAAACEA1fyqmd4AAAAJAQAADwAAAAAAAAAAAAAAAADC&#10;BAAAZHJzL2Rvd25yZXYueG1sUEsFBgAAAAAEAAQA8wAAAM0FAAAAAA==&#10;" adj="5295"/>
            </w:pict>
          </mc:Fallback>
        </mc:AlternateContent>
      </w:r>
    </w:p>
    <w:p w14:paraId="01748A39" w14:textId="05600CF3" w:rsidR="005633F5" w:rsidRPr="00164238" w:rsidRDefault="005633F5" w:rsidP="005633F5">
      <w:pPr>
        <w:bidi/>
        <w:spacing w:after="0" w:line="240" w:lineRule="auto"/>
        <w:rPr>
          <w:rFonts w:ascii="Times New Roman" w:eastAsia="Calibri" w:hAnsi="Times New Roman" w:cs="Times New Roman"/>
          <w:color w:val="000000" w:themeColor="text1"/>
          <w:sz w:val="20"/>
          <w:szCs w:val="20"/>
          <w:rtl/>
        </w:rPr>
      </w:pPr>
    </w:p>
    <w:p w14:paraId="6EE74B20" w14:textId="2F30D701" w:rsidR="005633F5" w:rsidRPr="00164238" w:rsidRDefault="00563597" w:rsidP="005633F5">
      <w:pPr>
        <w:bidi/>
        <w:spacing w:after="0" w:line="240" w:lineRule="auto"/>
        <w:rPr>
          <w:rFonts w:ascii="Times New Roman" w:eastAsia="Calibri" w:hAnsi="Times New Roman" w:cs="Times New Roman"/>
          <w:color w:val="000000" w:themeColor="text1"/>
          <w:sz w:val="20"/>
          <w:szCs w:val="20"/>
          <w:rtl/>
        </w:rPr>
      </w:pPr>
      <w:r w:rsidRPr="00164238">
        <w:rPr>
          <w:rFonts w:ascii="Times New Roman" w:eastAsia="Calibri" w:hAnsi="Times New Roman" w:cs="Times New Roman"/>
          <w:b/>
          <w:bCs/>
          <w:noProof/>
          <w:color w:val="000000" w:themeColor="text1"/>
          <w:sz w:val="20"/>
          <w:szCs w:val="20"/>
          <w:lang w:val="en-US"/>
        </w:rPr>
        <mc:AlternateContent>
          <mc:Choice Requires="wps">
            <w:drawing>
              <wp:anchor distT="0" distB="0" distL="114300" distR="114300" simplePos="0" relativeHeight="251732992" behindDoc="0" locked="0" layoutInCell="1" allowOverlap="1" wp14:anchorId="515FD504" wp14:editId="12256E32">
                <wp:simplePos x="0" y="0"/>
                <wp:positionH relativeFrom="column">
                  <wp:posOffset>4057650</wp:posOffset>
                </wp:positionH>
                <wp:positionV relativeFrom="paragraph">
                  <wp:posOffset>15875</wp:posOffset>
                </wp:positionV>
                <wp:extent cx="123825" cy="200025"/>
                <wp:effectExtent l="19050" t="0" r="47625" b="47625"/>
                <wp:wrapNone/>
                <wp:docPr id="193" name="سهم للأسفل 17"/>
                <wp:cNvGraphicFramePr/>
                <a:graphic xmlns:a="http://schemas.openxmlformats.org/drawingml/2006/main">
                  <a:graphicData uri="http://schemas.microsoft.com/office/word/2010/wordprocessingShape">
                    <wps:wsp>
                      <wps:cNvSpPr/>
                      <wps:spPr>
                        <a:xfrm>
                          <a:off x="0" y="0"/>
                          <a:ext cx="123825" cy="20002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04BB6F7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سهم للأسفل 17" o:spid="_x0000_s1026" type="#_x0000_t67" style="position:absolute;margin-left:319.5pt;margin-top:1.25pt;width:9.75pt;height:15.7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cmFjAIAAAwFAAAOAAAAZHJzL2Uyb0RvYy54bWysVM1u2zAMvg/YOwi6r07SZGuDJkXWIMOA&#10;oi3QDj0zshwbkEWNUuJ0twEd9iB7hL1M8zajZPd3PQ27yKJIkfo+fvTR8bY2YqPJV2gnsr/Xk0Jb&#10;hXllVxP55Wrx7kAKH8DmYNDqibzRXh5P3745atxYD7BEk2sSnMT6ceMmsgzBjbPMq1LX4PfQacvO&#10;AqmGwCatspyg4ey1yQa93vusQcododLe8+m8dcppyl8UWoXzovA6CDOR/LaQVkrrMq7Z9AjGKwJX&#10;Vqp7BvzDK2qoLBd9SDWHAGJN1V+p6koReizCnsI6w6KolE4YGE2/9wLNZQlOJyxMjncPNPn/l1ad&#10;bS5IVDn37nBfCgs1N+nu9+7n7ofY3e5u736x8X13K/ofIleN82O+cukuqLM8byPwbUF1/DIksU38&#10;3jzwq7dBKD7sD/YPBiMpFLu4eT3ec5bs8bIjHz5prEXcTGSOjZ0RYZOohc2pD238fVws6NFU+aIy&#10;Jhm0Wp4YEhvgfg8XB/2P867EszBjRcNPGA17rAkFrLvCQOBt7ZgJb1dSgFmxoFWgVPvZbf9KkVS8&#10;hFy3pUeMLomLwXXhCeizPBHFHHzZXkmu7rHGxnw66bcDHZlvuY67JeY33DfCVtDeqUXF2U7Bhwsg&#10;VjDj4qkM57wUBhksdjspSqRvr53HeBYWe6VoeCKYiK9rIC2F+WxZcof94TCOUDKGow8DNuipZ/nU&#10;Y9f1CXIT+jz/TqVtjA/m/rQgrK95eGexKrvAKq7dUt4ZJ6GdVB5/pWezFMZj4yCc2kunYvLIU+Tx&#10;ansN5DrdBBbcGd5PD4xfKKeNjTctztYBiyrJ6pFXblU0eORS07rfQ5zpp3aKevyJTf8AAAD//wMA&#10;UEsDBBQABgAIAAAAIQA3SALz3QAAAAgBAAAPAAAAZHJzL2Rvd25yZXYueG1sTI/BTsMwEETvSPyD&#10;tUjcqENKohCyqRDQD2iKxNVN3CSqvbZiNw39epYT3GY1q5k31WaxRsx6CqMjhMdVAkJT67qReoTP&#10;/fahABGiok4ZRxrhWwfY1Lc3lSo7d6GdnpvYCw6hUCqEIUZfShnaQVsVVs5rYu/oJqsin1Mvu0ld&#10;ONwamSZJLq0aiRsG5fXboNtTc7YIX43fje11OxfBHE/v6Ud2talHvL9bXl9ARL3Ev2f4xWd0qJnp&#10;4M7UBWEQ8vUzb4kIaQaC/TwrWBwQ1k8JyLqS/wfUPwAAAP//AwBQSwECLQAUAAYACAAAACEAtoM4&#10;kv4AAADhAQAAEwAAAAAAAAAAAAAAAAAAAAAAW0NvbnRlbnRfVHlwZXNdLnhtbFBLAQItABQABgAI&#10;AAAAIQA4/SH/1gAAAJQBAAALAAAAAAAAAAAAAAAAAC8BAABfcmVscy8ucmVsc1BLAQItABQABgAI&#10;AAAAIQDsVcmFjAIAAAwFAAAOAAAAAAAAAAAAAAAAAC4CAABkcnMvZTJvRG9jLnhtbFBLAQItABQA&#10;BgAIAAAAIQA3SALz3QAAAAgBAAAPAAAAAAAAAAAAAAAAAOYEAABkcnMvZG93bnJldi54bWxQSwUG&#10;AAAAAAQABADzAAAA8AUAAAAA&#10;" adj="14914" fillcolor="#4f81bd" strokecolor="#385d8a" strokeweight="2pt"/>
            </w:pict>
          </mc:Fallback>
        </mc:AlternateContent>
      </w:r>
    </w:p>
    <w:p w14:paraId="3A3A0117" w14:textId="7F71B76B" w:rsidR="005633F5" w:rsidRPr="00164238" w:rsidRDefault="00563597" w:rsidP="005633F5">
      <w:pPr>
        <w:bidi/>
        <w:spacing w:after="0" w:line="240" w:lineRule="auto"/>
        <w:rPr>
          <w:rFonts w:ascii="Times New Roman" w:eastAsia="Calibri" w:hAnsi="Times New Roman" w:cs="Times New Roman"/>
          <w:color w:val="000000" w:themeColor="text1"/>
          <w:sz w:val="20"/>
          <w:szCs w:val="20"/>
          <w:rtl/>
        </w:rPr>
      </w:pPr>
      <w:r w:rsidRPr="00164238">
        <w:rPr>
          <w:rFonts w:ascii="Times New Roman" w:eastAsia="Calibri" w:hAnsi="Times New Roman" w:cs="Times New Roman"/>
          <w:b/>
          <w:bCs/>
          <w:noProof/>
          <w:color w:val="000000" w:themeColor="text1"/>
          <w:sz w:val="20"/>
          <w:szCs w:val="20"/>
          <w:lang w:val="en-US"/>
        </w:rPr>
        <mc:AlternateContent>
          <mc:Choice Requires="wps">
            <w:drawing>
              <wp:anchor distT="0" distB="0" distL="114300" distR="114300" simplePos="0" relativeHeight="251729920" behindDoc="0" locked="0" layoutInCell="1" allowOverlap="1" wp14:anchorId="0A787222" wp14:editId="596DAB36">
                <wp:simplePos x="0" y="0"/>
                <wp:positionH relativeFrom="column">
                  <wp:posOffset>2414905</wp:posOffset>
                </wp:positionH>
                <wp:positionV relativeFrom="paragraph">
                  <wp:posOffset>77469</wp:posOffset>
                </wp:positionV>
                <wp:extent cx="619125" cy="561975"/>
                <wp:effectExtent l="0" t="0" r="66675" b="47625"/>
                <wp:wrapNone/>
                <wp:docPr id="199" name="رابط كسهم مستقيم 14"/>
                <wp:cNvGraphicFramePr/>
                <a:graphic xmlns:a="http://schemas.openxmlformats.org/drawingml/2006/main">
                  <a:graphicData uri="http://schemas.microsoft.com/office/word/2010/wordprocessingShape">
                    <wps:wsp>
                      <wps:cNvCnPr/>
                      <wps:spPr>
                        <a:xfrm>
                          <a:off x="0" y="0"/>
                          <a:ext cx="619125" cy="561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2664DB8B" id="رابط كسهم مستقيم 14" o:spid="_x0000_s1026" type="#_x0000_t32" style="position:absolute;margin-left:190.15pt;margin-top:6.1pt;width:48.75pt;height:44.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5XDEAIAANADAAAOAAAAZHJzL2Uyb0RvYy54bWysU82O0zAQviPxDpbvNEm1XbZR05VoKRd+&#10;KgEPMHWcxJJjW7Zp2itohcSLsOKG9sCrpG/D2MmWBW6Ii+sZd76Z75svi+tDK8meWye0Kmg2SSnh&#10;iulSqLqg799tnlxR4jyoEqRWvKBH7uj18vGjRWdyPtWNliW3BEGUyztT0MZ7kyeJYw1vwU204Qof&#10;K21b8BjaOiktdIjeymSappdJp21prGbcOcyuh0e6jPhVxZl/U1WOeyILirP5eNp47sKZLBeQ1xZM&#10;I9g4BvzDFC0IhU3PUGvwQD5Y8RdUK5jVTld+wnSb6KoSjEcOyCZL/2DztgHDIxcUx5mzTO7/wbLX&#10;+60losTdzeeUKGhxSf33/mt/2/8gp0/93enz6Yacbvq7/tvp4+kLBtlFkK0zLsfqldraMXJma4MG&#10;h8q24RfZkUOU+niWmh88YZi8zObZdEYJw6cZBk9nATP5VWys8y+4bkm4FNR5C6Ju/EorhUvVNoty&#10;w/6l80PhfUHorPRGSIl5yKUiXUHns9gM0GGVBI99W4OcnaopAVmjdZm3EdFpKcpQHYqdrXcracke&#10;0D4Xm6vs2Xr4UwMlH7LzWZqONnLgX+lySGfpfR45jTCR32/4YeY1uGaoiU+DIz0I+VyVxB8N7gOs&#10;1d2oj1RhMB6tPXIPmxi0D7edLo9xJUmI0Dax7Wjx4MuHMd4ffojLnwAAAP//AwBQSwMEFAAGAAgA&#10;AAAhAPGhG1XgAAAACgEAAA8AAABkcnMvZG93bnJldi54bWxMj0FLw0AQhe+C/2EZwZvdTSpNidmU&#10;IhR6ULBRsMdpMmZTs7shu23jv3c82eO89/HmvWI12V6caQyddxqSmQJBrvZN51oNH++bhyWIENE1&#10;2HtHGn4owKq8vSkwb/zF7ehcxVZwiAs5ajAxDrmUoTZkMcz8QI69Lz9ajHyOrWxGvHC47WWq1EJa&#10;7Bx/MDjQs6H6uzpZDZ/bZJFUe7OmuDm+vryle9wdt1rf303rJxCRpvgPw199rg4ldzr4k2uC6DXM&#10;l2rOKBtpCoKBxyzjLQcWlMpAloW8nlD+AgAA//8DAFBLAQItABQABgAIAAAAIQC2gziS/gAAAOEB&#10;AAATAAAAAAAAAAAAAAAAAAAAAABbQ29udGVudF9UeXBlc10ueG1sUEsBAi0AFAAGAAgAAAAhADj9&#10;If/WAAAAlAEAAAsAAAAAAAAAAAAAAAAALwEAAF9yZWxzLy5yZWxzUEsBAi0AFAAGAAgAAAAhAF5T&#10;lcMQAgAA0AMAAA4AAAAAAAAAAAAAAAAALgIAAGRycy9lMm9Eb2MueG1sUEsBAi0AFAAGAAgAAAAh&#10;APGhG1XgAAAACgEAAA8AAAAAAAAAAAAAAAAAagQAAGRycy9kb3ducmV2LnhtbFBLBQYAAAAABAAE&#10;APMAAAB3BQAAAAA=&#10;" strokecolor="#4a7ebb">
                <v:stroke endarrow="open"/>
              </v:shape>
            </w:pict>
          </mc:Fallback>
        </mc:AlternateContent>
      </w:r>
      <w:r w:rsidRPr="00164238">
        <w:rPr>
          <w:rFonts w:ascii="Times New Roman" w:eastAsia="Calibri" w:hAnsi="Times New Roman" w:cs="Times New Roman"/>
          <w:b/>
          <w:bCs/>
          <w:noProof/>
          <w:color w:val="000000" w:themeColor="text1"/>
          <w:sz w:val="20"/>
          <w:szCs w:val="20"/>
          <w:lang w:val="en-US"/>
        </w:rPr>
        <mc:AlternateContent>
          <mc:Choice Requires="wps">
            <w:drawing>
              <wp:anchor distT="0" distB="0" distL="114300" distR="114300" simplePos="0" relativeHeight="251731968" behindDoc="0" locked="0" layoutInCell="1" allowOverlap="1" wp14:anchorId="6E3F6479" wp14:editId="3580C1D4">
                <wp:simplePos x="0" y="0"/>
                <wp:positionH relativeFrom="column">
                  <wp:posOffset>2414905</wp:posOffset>
                </wp:positionH>
                <wp:positionV relativeFrom="paragraph">
                  <wp:posOffset>77470</wp:posOffset>
                </wp:positionV>
                <wp:extent cx="609600" cy="1085850"/>
                <wp:effectExtent l="0" t="0" r="57150" b="57150"/>
                <wp:wrapNone/>
                <wp:docPr id="198" name="رابط كسهم مستقيم 16"/>
                <wp:cNvGraphicFramePr/>
                <a:graphic xmlns:a="http://schemas.openxmlformats.org/drawingml/2006/main">
                  <a:graphicData uri="http://schemas.microsoft.com/office/word/2010/wordprocessingShape">
                    <wps:wsp>
                      <wps:cNvCnPr/>
                      <wps:spPr>
                        <a:xfrm>
                          <a:off x="0" y="0"/>
                          <a:ext cx="609600" cy="10858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D0E4A18" id="رابط كسهم مستقيم 16" o:spid="_x0000_s1026" type="#_x0000_t32" style="position:absolute;margin-left:190.15pt;margin-top:6.1pt;width:48pt;height:85.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UvlEwIAANEDAAAOAAAAZHJzL2Uyb0RvYy54bWysU82O0zAQviPxDpbvNElFq7ZquhIt5cJP&#10;JdgHmDpOYsmxLds07RW0QuJFQHtDe+BVkrfZsdMtC9wQF3d+Ot/MN99keXVsJDlw64RWOc1GKSVc&#10;MV0IVeX0+sP22YwS50EVILXiOT1xR69WT58sW7PgY11rWXBLEES5RWtyWntvFkniWM0bcCNtuMJk&#10;qW0DHl1bJYWFFtEbmYzTdJq02hbGasadw+hmSNJVxC9Lzvy7snTcE5lTnM3H18Z3H95ktYRFZcHU&#10;gp3HgH+YogGhsOkFagMeyEcr/oJqBLPa6dKPmG4SXZaC8cgB2WTpH2ze12B45ILLceayJvf/YNnb&#10;w84SUaB2c5RKQYMidT+6b9337ifpP3d3/Zf+hvQ33V1323/qv6KTTcPaWuMWWL1WO3v2nNnZsINj&#10;aZvwi+zIMa76dFk1P3rCMDhN59MUBWGYytLZZDaJWiS/qo11/hXXDQlGTp23IKrar7VSqKq2Wdw3&#10;HF47j/2x8KEgtFZ6K6SM4kpF2pzOJ+MJdgM8sVKCR7MxSNqpihKQFd4u8zYiOi1FEaoDjrPVfi0t&#10;OQDez/PtLHuxGf5UQ8GH6HySIpHYyoF/o4shnKUPcRztDBPH/A0/zLwBVw81MTVAeRDypSqIPxkU&#10;BKzVbUggllRhMB5v+8w9SDEsP1h7XZyiJknw8G5i2fnGw2E+9tF+/CWu7gEAAP//AwBQSwMEFAAG&#10;AAgAAAAhABxevI3gAAAACgEAAA8AAABkcnMvZG93bnJldi54bWxMj8FOwzAQRO9I/IO1SNyoEweF&#10;KMSpKqRKPYDUBiR6dOMlTontKHbb8PddTnDcmafZmWo524GdcQq9dxLSRQIMXet17zoJH+/rhwJY&#10;iMppNXiHEn4wwLK+valUqf3F7fDcxI5RiAulkmBiHEvOQ2vQqrDwIzryvvxkVaRz6rie1IXC7cBF&#10;kuTcqt7RB6NGfDHYfjcnK+Fzk+ZpszcrjOvj2+tW7NXuuJHy/m5ePQOLOMc/GH7rU3WoqdPBn5wO&#10;bJCQFUlGKBlCACPg8Skn4UBCkQngdcX/T6ivAAAA//8DAFBLAQItABQABgAIAAAAIQC2gziS/gAA&#10;AOEBAAATAAAAAAAAAAAAAAAAAAAAAABbQ29udGVudF9UeXBlc10ueG1sUEsBAi0AFAAGAAgAAAAh&#10;ADj9If/WAAAAlAEAAAsAAAAAAAAAAAAAAAAALwEAAF9yZWxzLy5yZWxzUEsBAi0AFAAGAAgAAAAh&#10;ADJ5S+UTAgAA0QMAAA4AAAAAAAAAAAAAAAAALgIAAGRycy9lMm9Eb2MueG1sUEsBAi0AFAAGAAgA&#10;AAAhABxevI3gAAAACgEAAA8AAAAAAAAAAAAAAAAAbQQAAGRycy9kb3ducmV2LnhtbFBLBQYAAAAA&#10;BAAEAPMAAAB6BQAAAAA=&#10;" strokecolor="#4a7ebb">
                <v:stroke endarrow="open"/>
              </v:shape>
            </w:pict>
          </mc:Fallback>
        </mc:AlternateContent>
      </w:r>
      <w:r w:rsidRPr="00164238">
        <w:rPr>
          <w:rFonts w:ascii="Times New Roman" w:eastAsia="Calibri" w:hAnsi="Times New Roman" w:cs="Times New Roman"/>
          <w:b/>
          <w:bCs/>
          <w:noProof/>
          <w:color w:val="000000" w:themeColor="text1"/>
          <w:sz w:val="20"/>
          <w:szCs w:val="20"/>
          <w:lang w:val="en-US"/>
        </w:rPr>
        <mc:AlternateContent>
          <mc:Choice Requires="wps">
            <w:drawing>
              <wp:anchor distT="0" distB="0" distL="114300" distR="114300" simplePos="0" relativeHeight="251725824" behindDoc="0" locked="0" layoutInCell="1" allowOverlap="1" wp14:anchorId="210F998C" wp14:editId="47355091">
                <wp:simplePos x="0" y="0"/>
                <wp:positionH relativeFrom="column">
                  <wp:posOffset>3061970</wp:posOffset>
                </wp:positionH>
                <wp:positionV relativeFrom="paragraph">
                  <wp:posOffset>25400</wp:posOffset>
                </wp:positionV>
                <wp:extent cx="2638425" cy="361950"/>
                <wp:effectExtent l="19050" t="19050" r="28575" b="19050"/>
                <wp:wrapNone/>
                <wp:docPr id="195" name="مستطيل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8425" cy="361950"/>
                        </a:xfrm>
                        <a:prstGeom prst="rect">
                          <a:avLst/>
                        </a:prstGeom>
                        <a:solidFill>
                          <a:srgbClr val="FFFFFF"/>
                        </a:solidFill>
                        <a:ln w="28575">
                          <a:solidFill>
                            <a:srgbClr val="000000"/>
                          </a:solidFill>
                          <a:miter lim="800000"/>
                          <a:headEnd/>
                          <a:tailEnd/>
                        </a:ln>
                      </wps:spPr>
                      <wps:txbx>
                        <w:txbxContent>
                          <w:p w14:paraId="7BE534EE" w14:textId="77777777" w:rsidR="003B6DB3" w:rsidRPr="00307AED" w:rsidRDefault="003B6DB3" w:rsidP="005633F5">
                            <w:pPr>
                              <w:spacing w:after="0" w:line="240" w:lineRule="auto"/>
                              <w:jc w:val="center"/>
                              <w:rPr>
                                <w:rFonts w:ascii="Simplified Arabic" w:hAnsi="Simplified Arabic" w:cs="Simplified Arabic"/>
                                <w:b/>
                                <w:bCs/>
                                <w:sz w:val="20"/>
                                <w:szCs w:val="20"/>
                              </w:rPr>
                            </w:pPr>
                            <w:r w:rsidRPr="00E90322">
                              <w:rPr>
                                <w:rFonts w:asciiTheme="majorBidi" w:hAnsiTheme="majorBidi" w:cstheme="majorBidi"/>
                                <w:sz w:val="20"/>
                                <w:szCs w:val="20"/>
                              </w:rPr>
                              <w:t>Risk assessment and</w:t>
                            </w:r>
                            <w:r w:rsidRPr="00E90322">
                              <w:rPr>
                                <w:rFonts w:ascii="Simplified Arabic" w:hAnsi="Simplified Arabic" w:cs="Simplified Arabic"/>
                                <w:b/>
                                <w:bCs/>
                                <w:sz w:val="20"/>
                                <w:szCs w:val="20"/>
                              </w:rPr>
                              <w:t xml:space="preserve"> management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0F998C" id="مستطيل 6" o:spid="_x0000_s1060" style="position:absolute;left:0;text-align:left;margin-left:241.1pt;margin-top:2pt;width:207.75pt;height:28.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tFgPwIAAFUEAAAOAAAAZHJzL2Uyb0RvYy54bWysVMGO0zAQvSPxD5bvNG227XajpqtVlyKk&#10;BVZa+ADXcRoLxzZjt0k5sxc+hSsHfqX9G8ZOW7rACZGD5cmMX968N870uq0V2Qhw0uicDnp9SoTm&#10;ppB6ldMP7xcvJpQ4z3TBlNEip1vh6PXs+bNpYzORmsqoQgBBEO2yxua08t5mSeJ4JWrmesYKjcnS&#10;QM08hrBKCmANotcqSfv9cdIYKCwYLpzDt7ddks4iflkK7t+VpROeqJwiNx9XiOsyrMlsyrIVMFtJ&#10;fqDB/oFFzaTGj56gbplnZA3yD6hacjDOlL7HTZ2YspRcxB6wm0H/t24eKmZF7AXFcfYkk/t/sPzt&#10;5h6ILNC7qxElmtVo0v5x9333bfdj/3X/hYyDRo11GZY+2HsIXTp7Z/hHR7SZV0yvxA2AaSrBCmQ2&#10;CPXJkwMhcHiULJs3psAPsLU3Ua62hDoAohCkja5sT66I1hOOL9PxxWSYIjmOuYsx8oy2JSw7nrbg&#10;/CthahI2OQV0PaKzzZ3zgQ3LjiWRvVGyWEilYgCr5VwB2TCckEV8YgPY5HmZ0qRBKpPR5ShCP0m6&#10;c4x+fP6GUUuPs65kndPJqYhlQbeXuoiT6JlU3R45K30QMmjXeeDbZRvdSidHW5am2KK0YLrZxruI&#10;m8rAZ0oanOucuk9rBoIS9VqjPVeD4TBchBgMR5cpBnCeWZ5nmOYIlVNPSbed++7yrC3IVYVfGkQ5&#10;tLlBS0sZ1Q52d6wO/HF2owmHexYux3kcq379DWY/AQAA//8DAFBLAwQUAAYACAAAACEAbf9vIt8A&#10;AAAIAQAADwAAAGRycy9kb3ducmV2LnhtbEyPQU+DQBCF7yb+h82YeDF2KaktRZbGED3UU6W9eJvC&#10;CkR2Fplti//e8aS3eXkvb76XbSbXq7MdufNkYD6LQFmqfN1RY+Cwf7lPQHFAqrH3ZA18W4ZNfn2V&#10;YVr7C73ZcxkaJSXEKRpoQxhSrblqrUOe+cGSeB9+dBhEjo2uR7xIuet1HEVL7bAj+dDiYIvWVp/l&#10;yRlAt20W26/1a8kHfn7Y3xU7fi+Mub2Znh5BBTuFvzD84gs65MJ09CeqWfUGFkkcS1QOmSR+sl6t&#10;QB0NLOcR6DzT/wfkPwAAAP//AwBQSwECLQAUAAYACAAAACEAtoM4kv4AAADhAQAAEwAAAAAAAAAA&#10;AAAAAAAAAAAAW0NvbnRlbnRfVHlwZXNdLnhtbFBLAQItABQABgAIAAAAIQA4/SH/1gAAAJQBAAAL&#10;AAAAAAAAAAAAAAAAAC8BAABfcmVscy8ucmVsc1BLAQItABQABgAIAAAAIQCwCtFgPwIAAFUEAAAO&#10;AAAAAAAAAAAAAAAAAC4CAABkcnMvZTJvRG9jLnhtbFBLAQItABQABgAIAAAAIQBt/28i3wAAAAgB&#10;AAAPAAAAAAAAAAAAAAAAAJkEAABkcnMvZG93bnJldi54bWxQSwUGAAAAAAQABADzAAAApQUAAAAA&#10;" strokeweight="2.25pt">
                <v:textbox>
                  <w:txbxContent>
                    <w:p w14:paraId="7BE534EE" w14:textId="77777777" w:rsidR="003B6DB3" w:rsidRPr="00307AED" w:rsidRDefault="003B6DB3" w:rsidP="005633F5">
                      <w:pPr>
                        <w:spacing w:after="0" w:line="240" w:lineRule="auto"/>
                        <w:jc w:val="center"/>
                        <w:rPr>
                          <w:rFonts w:ascii="Simplified Arabic" w:hAnsi="Simplified Arabic" w:cs="Simplified Arabic"/>
                          <w:b/>
                          <w:bCs/>
                          <w:sz w:val="20"/>
                          <w:szCs w:val="20"/>
                        </w:rPr>
                      </w:pPr>
                      <w:r w:rsidRPr="00E90322">
                        <w:rPr>
                          <w:rFonts w:asciiTheme="majorBidi" w:hAnsiTheme="majorBidi" w:cstheme="majorBidi"/>
                          <w:sz w:val="20"/>
                          <w:szCs w:val="20"/>
                        </w:rPr>
                        <w:t>Risk assessment and</w:t>
                      </w:r>
                      <w:r w:rsidRPr="00E90322">
                        <w:rPr>
                          <w:rFonts w:ascii="Simplified Arabic" w:hAnsi="Simplified Arabic" w:cs="Simplified Arabic"/>
                          <w:b/>
                          <w:bCs/>
                          <w:sz w:val="20"/>
                          <w:szCs w:val="20"/>
                        </w:rPr>
                        <w:t xml:space="preserve"> management</w:t>
                      </w:r>
                    </w:p>
                  </w:txbxContent>
                </v:textbox>
              </v:rect>
            </w:pict>
          </mc:Fallback>
        </mc:AlternateContent>
      </w:r>
      <w:r w:rsidRPr="00164238">
        <w:rPr>
          <w:rFonts w:ascii="Times New Roman" w:eastAsia="Calibri" w:hAnsi="Times New Roman" w:cs="Times New Roman"/>
          <w:b/>
          <w:bCs/>
          <w:noProof/>
          <w:color w:val="000000" w:themeColor="text1"/>
          <w:sz w:val="20"/>
          <w:szCs w:val="20"/>
          <w:lang w:val="en-US"/>
        </w:rPr>
        <mc:AlternateContent>
          <mc:Choice Requires="wps">
            <w:drawing>
              <wp:anchor distT="0" distB="0" distL="114300" distR="114300" simplePos="0" relativeHeight="251728896" behindDoc="0" locked="0" layoutInCell="1" allowOverlap="1" wp14:anchorId="128B1B04" wp14:editId="34E260E9">
                <wp:simplePos x="0" y="0"/>
                <wp:positionH relativeFrom="column">
                  <wp:posOffset>1228725</wp:posOffset>
                </wp:positionH>
                <wp:positionV relativeFrom="paragraph">
                  <wp:posOffset>9525</wp:posOffset>
                </wp:positionV>
                <wp:extent cx="123825" cy="219075"/>
                <wp:effectExtent l="19050" t="0" r="47625" b="47625"/>
                <wp:wrapNone/>
                <wp:docPr id="192" name="سهم للأسفل 9"/>
                <wp:cNvGraphicFramePr/>
                <a:graphic xmlns:a="http://schemas.openxmlformats.org/drawingml/2006/main">
                  <a:graphicData uri="http://schemas.microsoft.com/office/word/2010/wordprocessingShape">
                    <wps:wsp>
                      <wps:cNvSpPr/>
                      <wps:spPr>
                        <a:xfrm>
                          <a:off x="0" y="0"/>
                          <a:ext cx="123825" cy="21907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373ABDAD" id="سهم للأسفل 9" o:spid="_x0000_s1026" type="#_x0000_t67" style="position:absolute;margin-left:96.75pt;margin-top:.75pt;width:9.75pt;height:17.2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kT3iwIAAAsFAAAOAAAAZHJzL2Uyb0RvYy54bWysVEtu2zAQ3RfoHQjuG31qN7ERO3BjuCgQ&#10;JAGSIusxRVkCKA5L0pbTXYEUPUiP0MvEt+mQkvNrVkW9oGc4P86bNzo+2TaKbaR1NeoJzw5SzqQW&#10;WNR6NeFfrhfvjjhzHnQBCrWc8Fvp+Mn07Zvj1oxljhWqQlpGSbQbt2bCK+/NOEmcqGQD7gCN1GQs&#10;0TbgSbWrpLDQUvZGJXmafkhatIWxKKRzdDvvjHwa85elFP6iLJ30TE04vc3H08ZzGc5kegzjlQVT&#10;1aJ/BvzDKxqoNRV9SDUHD2xt679SNbWw6LD0BwKbBMuyFjL2QN1k6YturiowMvZC4DjzAJP7f2nF&#10;+ebSsrqg2Y1yzjQ0NKT737ufux9sd7e7u/9FyvfdHRsFqFrjxhRxZS5trzkSQ9/b0jbhnzpi2wjv&#10;7QO8cuuZoMssf3+UDzkTZMqzUXo4DDmTx2Bjnf8ksWFBmPACWz2zFtuILGzOnO/8936hoENVF4ta&#10;qajY1fJUWbYBGvdgcZR9nPclnrkpzVp6wnCQEiUEEO1KBZ7ExhAQTq84A7UiPgtvY+1n0e6VIrF4&#10;BYXsSg9T+u0rd+6x0Wd5QhdzcFUXEk19iNIhn4z07ZsOyHdYB2mJxS2NzWLHZ2fEoqZsZ+D8JVgi&#10;MPVFS+kv6CgVUrPYS5xVaL+9dh/8iVdk5aylhSAgvq7BSs7UZ02MG2WDQdigqAyGhzkp9qll+dSi&#10;180p0hAyWn8johj8vdrflhabG9rdWahKJtCCaneQ98qp7xaVtl/I2Sy60dYY8Gf6yoiQPOAUcLze&#10;3oA1PW88Ee4c98sD4xfM6XxDpMbZ2mNZR1o94kqjCgptXBxa/3UIK/1Uj16P37DpHwAAAP//AwBQ&#10;SwMEFAAGAAgAAAAhAM6HFZfdAAAACAEAAA8AAABkcnMvZG93bnJldi54bWxMT0FOwzAQvCPxB2uR&#10;uFGnjYggjVMBEgcOFFoQiNs23iZR43WI3Tb8nu0JTjujGc3OFIvRdepAQ2g9G5hOElDElbct1wbe&#10;3x6vbkCFiGyx80wGfijAojw/KzC3/sgrOqxjrSSEQ44Gmhj7XOtQNeQwTHxPLNrWDw6j0KHWdsCj&#10;hLtOz5Ik0w5blg8N9vTQULVb752B53GZMT99fn3s8KXXKa1e3fe9MZcX490cVKQx/pnhVF+qQymd&#10;Nn7PNqhO+G16LVYBckSfTVPZtjGQZgnostD/B5S/AAAA//8DAFBLAQItABQABgAIAAAAIQC2gziS&#10;/gAAAOEBAAATAAAAAAAAAAAAAAAAAAAAAABbQ29udGVudF9UeXBlc10ueG1sUEsBAi0AFAAGAAgA&#10;AAAhADj9If/WAAAAlAEAAAsAAAAAAAAAAAAAAAAALwEAAF9yZWxzLy5yZWxzUEsBAi0AFAAGAAgA&#10;AAAhANEeRPeLAgAACwUAAA4AAAAAAAAAAAAAAAAALgIAAGRycy9lMm9Eb2MueG1sUEsBAi0AFAAG&#10;AAgAAAAhAM6HFZfdAAAACAEAAA8AAAAAAAAAAAAAAAAA5QQAAGRycy9kb3ducmV2LnhtbFBLBQYA&#10;AAAABAAEAPMAAADvBQAAAAA=&#10;" adj="15496" fillcolor="#4f81bd" strokecolor="#385d8a" strokeweight="2pt"/>
            </w:pict>
          </mc:Fallback>
        </mc:AlternateContent>
      </w:r>
    </w:p>
    <w:p w14:paraId="5E48951D" w14:textId="7FB50EFC" w:rsidR="005633F5" w:rsidRPr="00164238" w:rsidRDefault="00563597" w:rsidP="005633F5">
      <w:pPr>
        <w:bidi/>
        <w:spacing w:after="0" w:line="240" w:lineRule="auto"/>
        <w:rPr>
          <w:rFonts w:ascii="Times New Roman" w:eastAsia="Calibri" w:hAnsi="Times New Roman" w:cs="Times New Roman"/>
          <w:b/>
          <w:bCs/>
          <w:color w:val="000000" w:themeColor="text1"/>
          <w:sz w:val="20"/>
          <w:szCs w:val="20"/>
          <w:rtl/>
        </w:rPr>
      </w:pPr>
      <w:r w:rsidRPr="00164238">
        <w:rPr>
          <w:rFonts w:ascii="Times New Roman" w:eastAsia="Calibri" w:hAnsi="Times New Roman" w:cs="Times New Roman"/>
          <w:b/>
          <w:bCs/>
          <w:noProof/>
          <w:color w:val="000000" w:themeColor="text1"/>
          <w:sz w:val="20"/>
          <w:szCs w:val="20"/>
          <w:lang w:val="en-US"/>
        </w:rPr>
        <mc:AlternateContent>
          <mc:Choice Requires="wps">
            <w:drawing>
              <wp:anchor distT="0" distB="0" distL="114300" distR="114300" simplePos="0" relativeHeight="251730944" behindDoc="0" locked="0" layoutInCell="1" allowOverlap="1" wp14:anchorId="1AA25AC6" wp14:editId="6C93BC8B">
                <wp:simplePos x="0" y="0"/>
                <wp:positionH relativeFrom="column">
                  <wp:posOffset>2442845</wp:posOffset>
                </wp:positionH>
                <wp:positionV relativeFrom="paragraph">
                  <wp:posOffset>79375</wp:posOffset>
                </wp:positionV>
                <wp:extent cx="628650" cy="85725"/>
                <wp:effectExtent l="0" t="76200" r="0" b="28575"/>
                <wp:wrapNone/>
                <wp:docPr id="196" name="رابط كسهم مستقيم 15"/>
                <wp:cNvGraphicFramePr/>
                <a:graphic xmlns:a="http://schemas.openxmlformats.org/drawingml/2006/main">
                  <a:graphicData uri="http://schemas.microsoft.com/office/word/2010/wordprocessingShape">
                    <wps:wsp>
                      <wps:cNvCnPr/>
                      <wps:spPr>
                        <a:xfrm flipV="1">
                          <a:off x="0" y="0"/>
                          <a:ext cx="628650" cy="8572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366B3F1E" id="رابط كسهم مستقيم 15" o:spid="_x0000_s1026" type="#_x0000_t32" style="position:absolute;margin-left:192.35pt;margin-top:6.25pt;width:49.5pt;height:6.75pt;flip: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TowGAIAANkDAAAOAAAAZHJzL2Uyb0RvYy54bWysU02P0zAQvSPxHyzfadKKlrZquhIt5cJH&#10;JXa5Tx0nseTYlm2a9gpaIfFHQNzQHvgryb9h7GSrBW6Ii+WZyTy/mfeyujrVkhy5dUKrjI5HKSVc&#10;MZ0LVWb05nr3ZE6J86BykFrxjJ65o1frx49WjVnyia60zLklCKLcsjEZrbw3yyRxrOI1uJE2XGGx&#10;0LYGj6Etk9xCg+i1TCZpOksabXNjNePOYXbbF+k64hcFZ/5tUTjuicwocvPxtPE8hDNZr2BZWjCV&#10;YAMN+AcWNQiFj16gtuCBfLDiL6haMKudLvyI6TrRRSEYjzPgNOP0j2neVWB4nAWX48xlTe7/wbI3&#10;x70lIkftFjNKFNQoUvuj/dp+a3+S7lN7133ubkl3296137uP3RcMxtOwtsa4JXZv1N4OkTN7G3Zw&#10;KmxNCinMe0SNW8E5ySku/XxZOj95wjA5m8xnU5SGYWk+fTaJ4EmPEtCMdf4l1zUJl4w6b0GUld9o&#10;pVBdbfsX4PjKeeSBjfcNoVnpnZAyiiwVaTK6mOIDhAFarZDg8VobHN6pkhKQJXqYeRs5Oy1FHroD&#10;jrPlYSMtOQL66OluPn6+7T+qIOd9djFN08FPDvxrnffpcXqfR2oDTKT5G37gvAVX9T2x1FvTg5Av&#10;VE782aAwYK1uQgGxpArEePT4MHuQpBch3A46P0dtkhChf2Lb4PVg0Icx3h/+ketfAAAA//8DAFBL&#10;AwQUAAYACAAAACEATTCh4uAAAAAJAQAADwAAAGRycy9kb3ducmV2LnhtbEyPwU6DQBCG7ya+w2ZM&#10;vNmlUCpBlkZNPPTgQSRpvG3ZKZCys4TdtujTO57sceb/8s83xWa2gzjj5HtHCpaLCARS40xPrYL6&#10;8+0hA+GDJqMHR6jgGz1sytubQufGXegDz1VoBZeQz7WCLoQxl9I3HVrtF25E4uzgJqsDj1MrzaQv&#10;XG4HGUfRWlrdE1/o9IivHTbH6mQVuO3u6L5e6ugnrdNkF89j9b5Nlbq/m5+fQAScwz8Mf/qsDiU7&#10;7d2JjBeDgiRbPTLKQZyCYGCVJbzYK4jXEciykNcflL8AAAD//wMAUEsBAi0AFAAGAAgAAAAhALaD&#10;OJL+AAAA4QEAABMAAAAAAAAAAAAAAAAAAAAAAFtDb250ZW50X1R5cGVzXS54bWxQSwECLQAUAAYA&#10;CAAAACEAOP0h/9YAAACUAQAACwAAAAAAAAAAAAAAAAAvAQAAX3JlbHMvLnJlbHNQSwECLQAUAAYA&#10;CAAAACEAcmU6MBgCAADZAwAADgAAAAAAAAAAAAAAAAAuAgAAZHJzL2Uyb0RvYy54bWxQSwECLQAU&#10;AAYACAAAACEATTCh4uAAAAAJAQAADwAAAAAAAAAAAAAAAAByBAAAZHJzL2Rvd25yZXYueG1sUEsF&#10;BgAAAAAEAAQA8wAAAH8FAAAAAA==&#10;" strokecolor="#4a7ebb">
                <v:stroke endarrow="open"/>
              </v:shape>
            </w:pict>
          </mc:Fallback>
        </mc:AlternateContent>
      </w:r>
      <w:r w:rsidRPr="00164238">
        <w:rPr>
          <w:rFonts w:ascii="Times New Roman" w:eastAsia="Calibri" w:hAnsi="Times New Roman" w:cs="Times New Roman"/>
          <w:b/>
          <w:bCs/>
          <w:noProof/>
          <w:color w:val="000000" w:themeColor="text1"/>
          <w:sz w:val="20"/>
          <w:szCs w:val="20"/>
          <w:lang w:val="en-US"/>
        </w:rPr>
        <mc:AlternateContent>
          <mc:Choice Requires="wps">
            <w:drawing>
              <wp:anchor distT="0" distB="0" distL="114300" distR="114300" simplePos="0" relativeHeight="251724800" behindDoc="0" locked="0" layoutInCell="1" allowOverlap="1" wp14:anchorId="011E29CC" wp14:editId="36EF2BDD">
                <wp:simplePos x="0" y="0"/>
                <wp:positionH relativeFrom="column">
                  <wp:posOffset>141605</wp:posOffset>
                </wp:positionH>
                <wp:positionV relativeFrom="paragraph">
                  <wp:posOffset>127000</wp:posOffset>
                </wp:positionV>
                <wp:extent cx="2263140" cy="800100"/>
                <wp:effectExtent l="19050" t="19050" r="22860" b="19050"/>
                <wp:wrapNone/>
                <wp:docPr id="194" name="مستطيل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3140" cy="800100"/>
                        </a:xfrm>
                        <a:prstGeom prst="rect">
                          <a:avLst/>
                        </a:prstGeom>
                        <a:solidFill>
                          <a:srgbClr val="FFFFFF"/>
                        </a:solidFill>
                        <a:ln w="28575">
                          <a:solidFill>
                            <a:srgbClr val="000000"/>
                          </a:solidFill>
                          <a:miter lim="800000"/>
                          <a:headEnd/>
                          <a:tailEnd/>
                        </a:ln>
                      </wps:spPr>
                      <wps:txbx>
                        <w:txbxContent>
                          <w:p w14:paraId="0B586031" w14:textId="77777777" w:rsidR="003B6DB3" w:rsidRPr="00307AED" w:rsidRDefault="003B6DB3" w:rsidP="005633F5">
                            <w:pPr>
                              <w:spacing w:after="0" w:line="240" w:lineRule="auto"/>
                              <w:jc w:val="center"/>
                              <w:rPr>
                                <w:rFonts w:asciiTheme="majorBidi" w:hAnsiTheme="majorBidi" w:cstheme="majorBidi"/>
                                <w:sz w:val="16"/>
                                <w:szCs w:val="16"/>
                              </w:rPr>
                            </w:pPr>
                          </w:p>
                          <w:p w14:paraId="586EEF2C" w14:textId="77777777" w:rsidR="003B6DB3" w:rsidRPr="00E90322" w:rsidRDefault="003B6DB3" w:rsidP="005633F5">
                            <w:pPr>
                              <w:spacing w:after="0" w:line="240" w:lineRule="auto"/>
                              <w:jc w:val="center"/>
                              <w:rPr>
                                <w:rFonts w:asciiTheme="majorBidi" w:hAnsiTheme="majorBidi" w:cstheme="majorBidi"/>
                                <w:sz w:val="24"/>
                                <w:szCs w:val="24"/>
                              </w:rPr>
                            </w:pPr>
                            <w:r w:rsidRPr="00E90322">
                              <w:rPr>
                                <w:rFonts w:asciiTheme="majorBidi" w:hAnsiTheme="majorBidi" w:cstheme="majorBidi"/>
                                <w:sz w:val="24"/>
                                <w:szCs w:val="24"/>
                              </w:rPr>
                              <w:t>the use of artificial intelligence in the internal audit process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1E29CC" id="مستطيل 2" o:spid="_x0000_s1061" style="position:absolute;left:0;text-align:left;margin-left:11.15pt;margin-top:10pt;width:178.2pt;height:63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DP5PwIAAFUEAAAOAAAAZHJzL2Uyb0RvYy54bWysVMGO0zAQvSPxD5bvNE1od9uo6WrVpQhp&#10;gZUWPsB1nMTCsc3Ybbqc2QufwpUDv9L+DWOn2+0CJ0QO1oxn/Dzz3jizi22ryEaAk0YXNB0MKRGa&#10;m1LquqAfPyxfTChxnumSKaNFQe+Eoxfz589mnc1FZhqjSgEEQbTLO1vQxnubJ4njjWiZGxgrNAYr&#10;Ay3z6EKdlMA6RG9Vkg2HZ0lnoLRguHAOd6/6IJ1H/KoS3L+vKic8UQXF2nxcIa6rsCbzGctrYLaR&#10;/FAG+4cqWiY1XnqEumKekTXIP6BaycE4U/kBN21iqkpyEXvAbtLhb93cNsyK2AuS4+yRJvf/YPm7&#10;zQ0QWaJ20xElmrUo0v5+92P3ffdz/23/lWSBo866HFNv7Q2ELp29NvyTI9osGqZrcQlgukawEitL&#10;Q37y5EBwHB4lq+6tKfECtvYm0rWtoA2ASATZRlXujqqIrSccN7Ps7GU6QvE4xiZDpCnKlrD84bQF&#10;518L05JgFBRQ9YjONtfOh2pY/pASqzdKlkupVHSgXi0UkA3DCVnGLzaATZ6mKU06LGUyPh9H6CdB&#10;d4oxjN/fMFrpcdaVbGMbmBaSWB54e6XLaHsmVW9jzUofiAzc9Rr47Wob1cqm4XAgdmXKO6QWTD/b&#10;+BbRaAx8oaTDuS6o+7xmIChRbzTKM01HgUsfndH4PEMHTiOr0wjTHKEK6inpzYXvH8/agqwbvCmN&#10;dGhziZJWMrL9WNWhfpzdKMLhnYXHcerHrMe/wfwXAAAA//8DAFBLAwQUAAYACAAAACEArcwq6OAA&#10;AAAJAQAADwAAAGRycy9kb3ducmV2LnhtbEyPzU7DMBCE70i8g7VIXBC1SUt/QpwKRXBoT5D20ts2&#10;NklEvA6x24a3ZznBaTWaT7Mz2Xp0nTjbIbSeNDxMFAhLlTct1Rr2u9f7JYgQkQx2nqyGbxtgnV9f&#10;ZZgaf6F3ey5jLTiEQooamhj7VMpQNdZhmPjeEnsffnAYWQ61NANeONx1MlFqLh22xB8a7G3R2Oqz&#10;PDkN6Db1bPO12pZhH14ed3fFWzgUWt/ejM9PIKId4x8Mv/W5OuTc6ehPZILoNCTJlEm+iiexP10s&#10;FyCODM7mCmSeyf8L8h8AAAD//wMAUEsBAi0AFAAGAAgAAAAhALaDOJL+AAAA4QEAABMAAAAAAAAA&#10;AAAAAAAAAAAAAFtDb250ZW50X1R5cGVzXS54bWxQSwECLQAUAAYACAAAACEAOP0h/9YAAACUAQAA&#10;CwAAAAAAAAAAAAAAAAAvAQAAX3JlbHMvLnJlbHNQSwECLQAUAAYACAAAACEAC6Qz+T8CAABVBAAA&#10;DgAAAAAAAAAAAAAAAAAuAgAAZHJzL2Uyb0RvYy54bWxQSwECLQAUAAYACAAAACEArcwq6OAAAAAJ&#10;AQAADwAAAAAAAAAAAAAAAACZBAAAZHJzL2Rvd25yZXYueG1sUEsFBgAAAAAEAAQA8wAAAKYFAAAA&#10;AA==&#10;" strokeweight="2.25pt">
                <v:textbox>
                  <w:txbxContent>
                    <w:p w14:paraId="0B586031" w14:textId="77777777" w:rsidR="003B6DB3" w:rsidRPr="00307AED" w:rsidRDefault="003B6DB3" w:rsidP="005633F5">
                      <w:pPr>
                        <w:spacing w:after="0" w:line="240" w:lineRule="auto"/>
                        <w:jc w:val="center"/>
                        <w:rPr>
                          <w:rFonts w:asciiTheme="majorBidi" w:hAnsiTheme="majorBidi" w:cstheme="majorBidi"/>
                          <w:sz w:val="16"/>
                          <w:szCs w:val="16"/>
                        </w:rPr>
                      </w:pPr>
                    </w:p>
                    <w:p w14:paraId="586EEF2C" w14:textId="77777777" w:rsidR="003B6DB3" w:rsidRPr="00E90322" w:rsidRDefault="003B6DB3" w:rsidP="005633F5">
                      <w:pPr>
                        <w:spacing w:after="0" w:line="240" w:lineRule="auto"/>
                        <w:jc w:val="center"/>
                        <w:rPr>
                          <w:rFonts w:asciiTheme="majorBidi" w:hAnsiTheme="majorBidi" w:cstheme="majorBidi"/>
                          <w:sz w:val="24"/>
                          <w:szCs w:val="24"/>
                        </w:rPr>
                      </w:pPr>
                      <w:r w:rsidRPr="00E90322">
                        <w:rPr>
                          <w:rFonts w:asciiTheme="majorBidi" w:hAnsiTheme="majorBidi" w:cstheme="majorBidi"/>
                          <w:sz w:val="24"/>
                          <w:szCs w:val="24"/>
                        </w:rPr>
                        <w:t>the use of artificial intelligence in the internal audit process</w:t>
                      </w:r>
                    </w:p>
                  </w:txbxContent>
                </v:textbox>
              </v:rect>
            </w:pict>
          </mc:Fallback>
        </mc:AlternateContent>
      </w:r>
    </w:p>
    <w:p w14:paraId="218D577F" w14:textId="16A7E8E7" w:rsidR="005633F5" w:rsidRPr="00164238" w:rsidRDefault="005633F5" w:rsidP="005633F5">
      <w:pPr>
        <w:bidi/>
        <w:spacing w:after="0" w:line="240" w:lineRule="auto"/>
        <w:rPr>
          <w:rFonts w:ascii="Times New Roman" w:eastAsia="Calibri" w:hAnsi="Times New Roman" w:cs="Times New Roman"/>
          <w:b/>
          <w:bCs/>
          <w:color w:val="000000" w:themeColor="text1"/>
          <w:sz w:val="20"/>
          <w:szCs w:val="20"/>
          <w:rtl/>
        </w:rPr>
      </w:pPr>
    </w:p>
    <w:p w14:paraId="4662746F" w14:textId="429EA4C8" w:rsidR="005633F5" w:rsidRDefault="00563597" w:rsidP="005633F5">
      <w:pPr>
        <w:bidi/>
        <w:spacing w:after="0" w:line="240" w:lineRule="auto"/>
        <w:rPr>
          <w:rFonts w:ascii="Times New Roman" w:eastAsia="Calibri" w:hAnsi="Times New Roman" w:cs="Times New Roman"/>
          <w:b/>
          <w:bCs/>
          <w:color w:val="000000" w:themeColor="text1"/>
          <w:sz w:val="20"/>
          <w:szCs w:val="20"/>
          <w:rtl/>
        </w:rPr>
      </w:pPr>
      <w:r w:rsidRPr="00164238">
        <w:rPr>
          <w:rFonts w:ascii="Times New Roman" w:eastAsia="Calibri" w:hAnsi="Times New Roman" w:cs="Times New Roman"/>
          <w:b/>
          <w:bCs/>
          <w:noProof/>
          <w:color w:val="000000" w:themeColor="text1"/>
          <w:sz w:val="20"/>
          <w:szCs w:val="20"/>
          <w:lang w:val="en-US"/>
        </w:rPr>
        <mc:AlternateContent>
          <mc:Choice Requires="wps">
            <w:drawing>
              <wp:anchor distT="0" distB="0" distL="114300" distR="114300" simplePos="0" relativeHeight="251726848" behindDoc="0" locked="0" layoutInCell="1" allowOverlap="1" wp14:anchorId="30828913" wp14:editId="1ADFC85F">
                <wp:simplePos x="0" y="0"/>
                <wp:positionH relativeFrom="column">
                  <wp:posOffset>3061970</wp:posOffset>
                </wp:positionH>
                <wp:positionV relativeFrom="paragraph">
                  <wp:posOffset>29210</wp:posOffset>
                </wp:positionV>
                <wp:extent cx="2638425" cy="533400"/>
                <wp:effectExtent l="19050" t="19050" r="28575" b="19050"/>
                <wp:wrapNone/>
                <wp:docPr id="197" name="مستطيل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8425" cy="533400"/>
                        </a:xfrm>
                        <a:prstGeom prst="rect">
                          <a:avLst/>
                        </a:prstGeom>
                        <a:solidFill>
                          <a:srgbClr val="FFFFFF"/>
                        </a:solidFill>
                        <a:ln w="28575">
                          <a:solidFill>
                            <a:srgbClr val="000000"/>
                          </a:solidFill>
                          <a:miter lim="800000"/>
                          <a:headEnd/>
                          <a:tailEnd/>
                        </a:ln>
                      </wps:spPr>
                      <wps:txbx>
                        <w:txbxContent>
                          <w:p w14:paraId="0097B3DB" w14:textId="77777777" w:rsidR="003B6DB3" w:rsidRPr="005703A7" w:rsidRDefault="003B6DB3" w:rsidP="005633F5">
                            <w:pPr>
                              <w:spacing w:after="0" w:line="240" w:lineRule="auto"/>
                              <w:jc w:val="center"/>
                              <w:rPr>
                                <w:rFonts w:ascii="Simplified Arabic" w:hAnsi="Simplified Arabic" w:cs="Simplified Arabic"/>
                                <w:b/>
                                <w:bCs/>
                                <w:sz w:val="24"/>
                                <w:szCs w:val="24"/>
                              </w:rPr>
                            </w:pPr>
                            <w:r w:rsidRPr="00E90322">
                              <w:rPr>
                                <w:rFonts w:ascii="Simplified Arabic" w:hAnsi="Simplified Arabic" w:cs="Simplified Arabic"/>
                                <w:b/>
                                <w:bCs/>
                                <w:sz w:val="20"/>
                                <w:szCs w:val="20"/>
                              </w:rPr>
                              <w:t>Examination and evaluation of the</w:t>
                            </w:r>
                            <w:r>
                              <w:rPr>
                                <w:rFonts w:ascii="Simplified Arabic" w:hAnsi="Simplified Arabic" w:cs="Simplified Arabic"/>
                                <w:b/>
                                <w:bCs/>
                                <w:sz w:val="24"/>
                                <w:szCs w:val="24"/>
                              </w:rPr>
                              <w:t xml:space="preserve"> </w:t>
                            </w:r>
                            <w:r w:rsidRPr="00E90322">
                              <w:rPr>
                                <w:rFonts w:ascii="Simplified Arabic" w:hAnsi="Simplified Arabic" w:cs="Simplified Arabic"/>
                                <w:b/>
                                <w:bCs/>
                                <w:sz w:val="20"/>
                                <w:szCs w:val="20"/>
                              </w:rPr>
                              <w:t>independent internal control system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828913" id="مستطيل 7" o:spid="_x0000_s1062" style="position:absolute;left:0;text-align:left;margin-left:241.1pt;margin-top:2.3pt;width:207.75pt;height:42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TNPwIAAFUEAAAOAAAAZHJzL2Uyb0RvYy54bWysVM2O0zAQviPxDpbvNOnfths1Xa26FCEt&#10;sNLCAziO01g4thm7TcoZLjwKVw68Svs2jN1utwucEDlYHs/488z3zWR21TWKbAQ4aXRO+72UEqG5&#10;KaVe5fTD++WLKSXOM10yZbTI6VY4ejV//mzW2kwMTG1UKYAgiHZZa3Nae2+zJHG8Fg1zPWOFRmdl&#10;oGEeTVglJbAW0RuVDNL0ImkNlBYMF87h6c3BSecRv6oE9++qyglPVE4xNx9XiGsR1mQ+Y9kKmK0l&#10;P6bB/iGLhkmNj56gbphnZA3yD6hGcjDOVL7HTZOYqpJcxBqwmn76WzX3NbMi1oLkOHuiyf0/WP52&#10;cwdElqjd5YQSzRoUaf9192P3ffdz/23/hUwCR611GYbe2zsIVTp7a/hHR7RZ1EyvxDWAaWvBSsys&#10;H+KTJxeC4fAqKdo3psQH2NqbSFdXQRMAkQjSRVW2J1VE5wnHw8HFcDoajCnh6BsPh6M0ypaw7OG2&#10;BedfCdOQsMkpoOoRnW1unQ/ZsOwhJGZvlCyXUqlowKpYKCAbhh2yjF8sAIs8D1OatJjKdDwZR+gn&#10;TneOkcbvbxiN9NjrSjY5nZ6CWBZ4e6nL2ImeSXXYY85KH4kM3B008F3RRbWGkYNAbGHKLVIL5tDb&#10;OIu4qQ18pqTFvs6p+7RmIChRrzXKc9kfjcIgRGM0ngzQgHNPce5hmiNUTj0lh+3CH4ZnbUGuanyp&#10;H+nQ5holrWRk+zGrY/7Yu1GE45yF4Ti3Y9Tj32D+CwAA//8DAFBLAwQUAAYACAAAACEAxuIAXd4A&#10;AAAIAQAADwAAAGRycy9kb3ducmV2LnhtbEyPQU+DQBCF7yb+h82YeDF2kVRKkaUxRA/1pLQXb1sY&#10;gcjOIrNt8d87nvT2Ju/lzffyzewGdcKJe08G7hYRKKTaNz21Bva759sUFAdLjR08oYFvZNgUlxe5&#10;zRp/pjc8VaFVUkKcWQNdCGOmNdcdOssLPyKJ9+EnZ4OcU6ubyZ6l3A06jqJEO9uTfOjsiGWH9Wd1&#10;dAas27bL7df6peI9P93vbspXfi+Nub6aHx9ABZzDXxh+8QUdCmE6+CM1rAYDyzSOJSoiASV+ul6t&#10;QB1EpAnoItf/BxQ/AAAA//8DAFBLAQItABQABgAIAAAAIQC2gziS/gAAAOEBAAATAAAAAAAAAAAA&#10;AAAAAAAAAABbQ29udGVudF9UeXBlc10ueG1sUEsBAi0AFAAGAAgAAAAhADj9If/WAAAAlAEAAAsA&#10;AAAAAAAAAAAAAAAALwEAAF9yZWxzLy5yZWxzUEsBAi0AFAAGAAgAAAAhAEr4JM0/AgAAVQQAAA4A&#10;AAAAAAAAAAAAAAAALgIAAGRycy9lMm9Eb2MueG1sUEsBAi0AFAAGAAgAAAAhAMbiAF3eAAAACAEA&#10;AA8AAAAAAAAAAAAAAAAAmQQAAGRycy9kb3ducmV2LnhtbFBLBQYAAAAABAAEAPMAAACkBQAAAAA=&#10;" strokeweight="2.25pt">
                <v:textbox>
                  <w:txbxContent>
                    <w:p w14:paraId="0097B3DB" w14:textId="77777777" w:rsidR="003B6DB3" w:rsidRPr="005703A7" w:rsidRDefault="003B6DB3" w:rsidP="005633F5">
                      <w:pPr>
                        <w:spacing w:after="0" w:line="240" w:lineRule="auto"/>
                        <w:jc w:val="center"/>
                        <w:rPr>
                          <w:rFonts w:ascii="Simplified Arabic" w:hAnsi="Simplified Arabic" w:cs="Simplified Arabic"/>
                          <w:b/>
                          <w:bCs/>
                          <w:sz w:val="24"/>
                          <w:szCs w:val="24"/>
                        </w:rPr>
                      </w:pPr>
                      <w:r w:rsidRPr="00E90322">
                        <w:rPr>
                          <w:rFonts w:ascii="Simplified Arabic" w:hAnsi="Simplified Arabic" w:cs="Simplified Arabic"/>
                          <w:b/>
                          <w:bCs/>
                          <w:sz w:val="20"/>
                          <w:szCs w:val="20"/>
                        </w:rPr>
                        <w:t>Examination and evaluation of the</w:t>
                      </w:r>
                      <w:r>
                        <w:rPr>
                          <w:rFonts w:ascii="Simplified Arabic" w:hAnsi="Simplified Arabic" w:cs="Simplified Arabic"/>
                          <w:b/>
                          <w:bCs/>
                          <w:sz w:val="24"/>
                          <w:szCs w:val="24"/>
                        </w:rPr>
                        <w:t xml:space="preserve"> </w:t>
                      </w:r>
                      <w:r w:rsidRPr="00E90322">
                        <w:rPr>
                          <w:rFonts w:ascii="Simplified Arabic" w:hAnsi="Simplified Arabic" w:cs="Simplified Arabic"/>
                          <w:b/>
                          <w:bCs/>
                          <w:sz w:val="20"/>
                          <w:szCs w:val="20"/>
                        </w:rPr>
                        <w:t>independent internal control system</w:t>
                      </w:r>
                    </w:p>
                  </w:txbxContent>
                </v:textbox>
              </v:rect>
            </w:pict>
          </mc:Fallback>
        </mc:AlternateContent>
      </w:r>
    </w:p>
    <w:p w14:paraId="5B365943" w14:textId="6C406958" w:rsidR="00563597" w:rsidRDefault="00563597" w:rsidP="00563597">
      <w:pPr>
        <w:bidi/>
        <w:spacing w:after="0" w:line="240" w:lineRule="auto"/>
        <w:rPr>
          <w:rFonts w:ascii="Times New Roman" w:eastAsia="Calibri" w:hAnsi="Times New Roman" w:cs="Times New Roman"/>
          <w:b/>
          <w:bCs/>
          <w:color w:val="000000" w:themeColor="text1"/>
          <w:sz w:val="20"/>
          <w:szCs w:val="20"/>
          <w:rtl/>
        </w:rPr>
      </w:pPr>
    </w:p>
    <w:p w14:paraId="7E0E99F7" w14:textId="419B4CEB" w:rsidR="00563597" w:rsidRDefault="00563597" w:rsidP="00563597">
      <w:pPr>
        <w:bidi/>
        <w:spacing w:after="0" w:line="240" w:lineRule="auto"/>
        <w:rPr>
          <w:rFonts w:ascii="Times New Roman" w:eastAsia="Calibri" w:hAnsi="Times New Roman" w:cs="Times New Roman"/>
          <w:b/>
          <w:bCs/>
          <w:color w:val="000000" w:themeColor="text1"/>
          <w:sz w:val="20"/>
          <w:szCs w:val="20"/>
          <w:rtl/>
        </w:rPr>
      </w:pPr>
    </w:p>
    <w:p w14:paraId="6A19261C" w14:textId="67F97F27" w:rsidR="00563597" w:rsidRDefault="00563597" w:rsidP="00563597">
      <w:pPr>
        <w:bidi/>
        <w:spacing w:after="0" w:line="240" w:lineRule="auto"/>
        <w:rPr>
          <w:rFonts w:ascii="Times New Roman" w:eastAsia="Calibri" w:hAnsi="Times New Roman" w:cs="Times New Roman"/>
          <w:b/>
          <w:bCs/>
          <w:color w:val="000000" w:themeColor="text1"/>
          <w:sz w:val="20"/>
          <w:szCs w:val="20"/>
          <w:rtl/>
        </w:rPr>
      </w:pPr>
    </w:p>
    <w:p w14:paraId="41D049EB" w14:textId="2B0E4815" w:rsidR="00563597" w:rsidRDefault="00563597" w:rsidP="00563597">
      <w:pPr>
        <w:bidi/>
        <w:spacing w:after="0" w:line="240" w:lineRule="auto"/>
        <w:rPr>
          <w:rFonts w:ascii="Times New Roman" w:eastAsia="Calibri" w:hAnsi="Times New Roman" w:cs="Times New Roman"/>
          <w:b/>
          <w:bCs/>
          <w:color w:val="000000" w:themeColor="text1"/>
          <w:sz w:val="20"/>
          <w:szCs w:val="20"/>
          <w:rtl/>
        </w:rPr>
      </w:pPr>
    </w:p>
    <w:p w14:paraId="526EC3E1" w14:textId="5DF00C0B" w:rsidR="00563597" w:rsidRDefault="00E839E1" w:rsidP="00563597">
      <w:pPr>
        <w:bidi/>
        <w:spacing w:after="0" w:line="240" w:lineRule="auto"/>
        <w:rPr>
          <w:rFonts w:ascii="Times New Roman" w:eastAsia="Calibri" w:hAnsi="Times New Roman" w:cs="Times New Roman"/>
          <w:b/>
          <w:bCs/>
          <w:color w:val="000000" w:themeColor="text1"/>
          <w:sz w:val="20"/>
          <w:szCs w:val="20"/>
          <w:rtl/>
        </w:rPr>
      </w:pPr>
      <w:r w:rsidRPr="00164238">
        <w:rPr>
          <w:rFonts w:ascii="Times New Roman" w:eastAsia="Calibri" w:hAnsi="Times New Roman" w:cs="Times New Roman"/>
          <w:b/>
          <w:bCs/>
          <w:noProof/>
          <w:color w:val="000000" w:themeColor="text1"/>
          <w:sz w:val="20"/>
          <w:szCs w:val="20"/>
          <w:lang w:val="en-US"/>
        </w:rPr>
        <mc:AlternateContent>
          <mc:Choice Requires="wps">
            <w:drawing>
              <wp:anchor distT="0" distB="0" distL="114300" distR="114300" simplePos="0" relativeHeight="251727872" behindDoc="0" locked="0" layoutInCell="1" allowOverlap="1" wp14:anchorId="458F8E10" wp14:editId="2EBBC61A">
                <wp:simplePos x="0" y="0"/>
                <wp:positionH relativeFrom="margin">
                  <wp:posOffset>3114675</wp:posOffset>
                </wp:positionH>
                <wp:positionV relativeFrom="paragraph">
                  <wp:posOffset>29210</wp:posOffset>
                </wp:positionV>
                <wp:extent cx="2638425" cy="342900"/>
                <wp:effectExtent l="19050" t="19050" r="28575" b="19050"/>
                <wp:wrapNone/>
                <wp:docPr id="200" name="مستطيل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8425" cy="342900"/>
                        </a:xfrm>
                        <a:prstGeom prst="rect">
                          <a:avLst/>
                        </a:prstGeom>
                        <a:solidFill>
                          <a:srgbClr val="FFFFFF"/>
                        </a:solidFill>
                        <a:ln w="28575">
                          <a:solidFill>
                            <a:srgbClr val="000000"/>
                          </a:solidFill>
                          <a:miter lim="800000"/>
                          <a:headEnd/>
                          <a:tailEnd/>
                        </a:ln>
                      </wps:spPr>
                      <wps:txbx>
                        <w:txbxContent>
                          <w:p w14:paraId="3DEBBA36" w14:textId="77777777" w:rsidR="003B6DB3" w:rsidRPr="005703A7" w:rsidRDefault="003B6DB3" w:rsidP="005633F5">
                            <w:pPr>
                              <w:spacing w:after="0" w:line="240" w:lineRule="auto"/>
                              <w:jc w:val="center"/>
                              <w:rPr>
                                <w:rFonts w:ascii="Simplified Arabic" w:hAnsi="Simplified Arabic" w:cs="Simplified Arabic"/>
                                <w:b/>
                                <w:bCs/>
                                <w:sz w:val="24"/>
                                <w:szCs w:val="24"/>
                              </w:rPr>
                            </w:pPr>
                            <w:r w:rsidRPr="00E90322">
                              <w:rPr>
                                <w:rFonts w:ascii="Simplified Arabic" w:hAnsi="Simplified Arabic" w:cs="Simplified Arabic"/>
                                <w:b/>
                                <w:bCs/>
                                <w:sz w:val="20"/>
                                <w:szCs w:val="20"/>
                              </w:rPr>
                              <w:t>Strengthening governance</w:t>
                            </w:r>
                            <w:r w:rsidRPr="00E90322">
                              <w:rPr>
                                <w:rFonts w:ascii="Simplified Arabic" w:hAnsi="Simplified Arabic" w:cs="Simplified Arabic"/>
                                <w:b/>
                                <w:bCs/>
                                <w:sz w:val="24"/>
                                <w:szCs w:val="24"/>
                              </w:rPr>
                              <w:t xml:space="preserve"> </w:t>
                            </w:r>
                            <w:r w:rsidRPr="00E90322">
                              <w:rPr>
                                <w:rFonts w:ascii="Simplified Arabic" w:hAnsi="Simplified Arabic" w:cs="Simplified Arabic"/>
                                <w:b/>
                                <w:bCs/>
                                <w:sz w:val="20"/>
                                <w:szCs w:val="20"/>
                              </w:rPr>
                              <w:t>procedures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8F8E10" id="مستطيل 8" o:spid="_x0000_s1063" style="position:absolute;left:0;text-align:left;margin-left:245.25pt;margin-top:2.3pt;width:207.75pt;height:27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dIPPgIAAFUEAAAOAAAAZHJzL2Uyb0RvYy54bWysVMGO0zAQvSPxD5bvNG3a7najpqtVlyKk&#10;BVZa+ADHcRILxzZjt+lyhgufwpUDv9L+DWOn2+0CJ0QOlsczfn7zZibzy22ryEaAk0bndDQYUiI0&#10;N6XUdU4/vF+9mFHiPNMlU0aLnN4LRy8Xz5/NO5uJ1DRGlQIIgmiXdTanjfc2SxLHG9EyNzBWaHRW&#10;Blrm0YQ6KYF1iN6qJB0Oz5LOQGnBcOEcnl73TrqI+FUluH9XVU54onKK3HxcIa5FWJPFnGU1MNtI&#10;fqDB/oFFy6TGR49Q18wzsgb5B1QrORhnKj/gpk1MVUkuYg6YzWj4WzZ3DbMi5oLiOHuUyf0/WP52&#10;cwtEljlFNSnRrMUi7b/ufuy+737uv+2/kFnQqLMuw9A7ewshS2dvDP/oiDbLhulaXAGYrhGsRGaj&#10;EJ88uRAMh1dJ0b0xJT7A1t5EubYVtAEQhSDbWJX7Y1XE1hOOh+nZeDZJp5Rw9I0n6QUSDU+w7OG2&#10;BedfCdOSsMkpYNUjOtvcON+HPoRE9kbJciWVigbUxVIB2TDskFX8DujuNExp0iGV2fR8GqGfON0p&#10;xjB+f8NopcdeV7LN6ewYxLKg20tdIk+WeSZVv8f0lD4IGbTra+C3xTZWaxxlDsIWprxHacH0vY2z&#10;iJvGwGdKOuzrnLpPawaCEvVaY3kuRpNJGIRoTKbnKRpw6ilOPUxzhMqpp6TfLn0/PGsLsm7wpVGU&#10;Q5srLGklo9qPrA78sXdjvQ5zFobj1I5Rj3+DxS8AAAD//wMAUEsDBBQABgAIAAAAIQCotsYu3gAA&#10;AAgBAAAPAAAAZHJzL2Rvd25yZXYueG1sTI/BTsMwEETvSPyDtUhcELVBTdSkcSoUwaGcIO2F2zbe&#10;JhGxHWK3DX/PcoLbjmY0+6bYzHYQZ5pC752Gh4UCQa7xpnethv3u5X4FIkR0BgfvSMM3BdiU11cF&#10;5sZf3Dud69gKLnEhRw1djGMuZWg6shgWfiTH3tFPFiPLqZVmwguX20E+KpVKi73jDx2OVHXUfNYn&#10;qwHttl1uv7LXOuzDc7K7q97CR6X17c38tAYRaY5/YfjFZ3QomengT84EMWhYZirhKB8pCPYzlfK2&#10;g4ZklYIsC/l/QPkDAAD//wMAUEsBAi0AFAAGAAgAAAAhALaDOJL+AAAA4QEAABMAAAAAAAAAAAAA&#10;AAAAAAAAAFtDb250ZW50X1R5cGVzXS54bWxQSwECLQAUAAYACAAAACEAOP0h/9YAAACUAQAACwAA&#10;AAAAAAAAAAAAAAAvAQAAX3JlbHMvLnJlbHNQSwECLQAUAAYACAAAACEAPJXSDz4CAABVBAAADgAA&#10;AAAAAAAAAAAAAAAuAgAAZHJzL2Uyb0RvYy54bWxQSwECLQAUAAYACAAAACEAqLbGLt4AAAAIAQAA&#10;DwAAAAAAAAAAAAAAAACYBAAAZHJzL2Rvd25yZXYueG1sUEsFBgAAAAAEAAQA8wAAAKMFAAAAAA==&#10;" strokeweight="2.25pt">
                <v:textbox>
                  <w:txbxContent>
                    <w:p w14:paraId="3DEBBA36" w14:textId="77777777" w:rsidR="003B6DB3" w:rsidRPr="005703A7" w:rsidRDefault="003B6DB3" w:rsidP="005633F5">
                      <w:pPr>
                        <w:spacing w:after="0" w:line="240" w:lineRule="auto"/>
                        <w:jc w:val="center"/>
                        <w:rPr>
                          <w:rFonts w:ascii="Simplified Arabic" w:hAnsi="Simplified Arabic" w:cs="Simplified Arabic"/>
                          <w:b/>
                          <w:bCs/>
                          <w:sz w:val="24"/>
                          <w:szCs w:val="24"/>
                        </w:rPr>
                      </w:pPr>
                      <w:r w:rsidRPr="00E90322">
                        <w:rPr>
                          <w:rFonts w:ascii="Simplified Arabic" w:hAnsi="Simplified Arabic" w:cs="Simplified Arabic"/>
                          <w:b/>
                          <w:bCs/>
                          <w:sz w:val="20"/>
                          <w:szCs w:val="20"/>
                        </w:rPr>
                        <w:t>Strengthening governance</w:t>
                      </w:r>
                      <w:r w:rsidRPr="00E90322">
                        <w:rPr>
                          <w:rFonts w:ascii="Simplified Arabic" w:hAnsi="Simplified Arabic" w:cs="Simplified Arabic"/>
                          <w:b/>
                          <w:bCs/>
                          <w:sz w:val="24"/>
                          <w:szCs w:val="24"/>
                        </w:rPr>
                        <w:t xml:space="preserve"> </w:t>
                      </w:r>
                      <w:r w:rsidRPr="00E90322">
                        <w:rPr>
                          <w:rFonts w:ascii="Simplified Arabic" w:hAnsi="Simplified Arabic" w:cs="Simplified Arabic"/>
                          <w:b/>
                          <w:bCs/>
                          <w:sz w:val="20"/>
                          <w:szCs w:val="20"/>
                        </w:rPr>
                        <w:t>procedures</w:t>
                      </w:r>
                    </w:p>
                  </w:txbxContent>
                </v:textbox>
                <w10:wrap anchorx="margin"/>
              </v:rect>
            </w:pict>
          </mc:Fallback>
        </mc:AlternateContent>
      </w:r>
    </w:p>
    <w:p w14:paraId="051B8A7C" w14:textId="643A5CF7" w:rsidR="00563597" w:rsidRDefault="00563597" w:rsidP="00563597">
      <w:pPr>
        <w:bidi/>
        <w:spacing w:after="0" w:line="240" w:lineRule="auto"/>
        <w:rPr>
          <w:rFonts w:ascii="Times New Roman" w:eastAsia="Calibri" w:hAnsi="Times New Roman" w:cs="Times New Roman"/>
          <w:b/>
          <w:bCs/>
          <w:color w:val="000000" w:themeColor="text1"/>
          <w:sz w:val="20"/>
          <w:szCs w:val="20"/>
          <w:rtl/>
        </w:rPr>
      </w:pPr>
    </w:p>
    <w:p w14:paraId="2E0D691E" w14:textId="77777777" w:rsidR="00563597" w:rsidRDefault="00563597" w:rsidP="00563597">
      <w:pPr>
        <w:bidi/>
        <w:spacing w:after="0" w:line="240" w:lineRule="auto"/>
        <w:rPr>
          <w:rFonts w:ascii="Times New Roman" w:eastAsia="Calibri" w:hAnsi="Times New Roman" w:cs="Times New Roman"/>
          <w:b/>
          <w:bCs/>
          <w:color w:val="000000" w:themeColor="text1"/>
          <w:sz w:val="20"/>
          <w:szCs w:val="20"/>
          <w:rtl/>
        </w:rPr>
      </w:pPr>
    </w:p>
    <w:p w14:paraId="2EB28C92" w14:textId="77777777" w:rsidR="00563597" w:rsidRPr="00164238" w:rsidRDefault="00563597" w:rsidP="00563597">
      <w:pPr>
        <w:bidi/>
        <w:spacing w:after="0" w:line="240" w:lineRule="auto"/>
        <w:rPr>
          <w:rFonts w:ascii="Times New Roman" w:eastAsia="Calibri" w:hAnsi="Times New Roman" w:cs="Times New Roman"/>
          <w:b/>
          <w:bCs/>
          <w:color w:val="000000" w:themeColor="text1"/>
          <w:sz w:val="20"/>
          <w:szCs w:val="20"/>
          <w:rtl/>
        </w:rPr>
      </w:pPr>
    </w:p>
    <w:p w14:paraId="4A19A33C" w14:textId="77777777" w:rsidR="005633F5" w:rsidRPr="00164238" w:rsidRDefault="005633F5" w:rsidP="005633F5">
      <w:pPr>
        <w:bidi/>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Figure 1: Study model</w:t>
      </w:r>
    </w:p>
    <w:p w14:paraId="549817A0" w14:textId="77777777" w:rsidR="005633F5" w:rsidRPr="00164238" w:rsidRDefault="005633F5" w:rsidP="005633F5">
      <w:pPr>
        <w:bidi/>
        <w:spacing w:after="0" w:line="240" w:lineRule="auto"/>
        <w:jc w:val="center"/>
        <w:rPr>
          <w:rFonts w:ascii="Times New Roman" w:eastAsia="Calibri" w:hAnsi="Times New Roman" w:cs="Times New Roman"/>
          <w:color w:val="000000" w:themeColor="text1"/>
          <w:sz w:val="20"/>
          <w:szCs w:val="20"/>
        </w:rPr>
      </w:pPr>
    </w:p>
    <w:p w14:paraId="69CF455E"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bCs/>
          <w:color w:val="000000" w:themeColor="text1"/>
          <w:sz w:val="20"/>
          <w:szCs w:val="20"/>
          <w:lang w:val="en"/>
        </w:rPr>
        <w:t>The limits of the study:</w:t>
      </w:r>
      <w:r w:rsidRPr="00164238">
        <w:rPr>
          <w:rFonts w:ascii="Times New Roman" w:hAnsi="Times New Roman" w:cs="Times New Roman"/>
          <w:color w:val="000000" w:themeColor="text1"/>
          <w:sz w:val="20"/>
          <w:szCs w:val="20"/>
          <w:lang w:val="en"/>
        </w:rPr>
        <w:t xml:space="preserve"> The results of this study are determined by the following limits:</w:t>
      </w:r>
    </w:p>
    <w:p w14:paraId="4FA504BC"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bCs/>
          <w:color w:val="000000" w:themeColor="text1"/>
          <w:sz w:val="20"/>
          <w:szCs w:val="20"/>
          <w:lang w:val="en"/>
        </w:rPr>
        <w:t>- Time limit:</w:t>
      </w:r>
      <w:r w:rsidRPr="00164238">
        <w:rPr>
          <w:rFonts w:ascii="Times New Roman" w:hAnsi="Times New Roman" w:cs="Times New Roman"/>
          <w:color w:val="000000" w:themeColor="text1"/>
          <w:sz w:val="20"/>
          <w:szCs w:val="20"/>
          <w:lang w:val="en"/>
        </w:rPr>
        <w:t xml:space="preserve"> The period it takes to prepare this study during 2021.</w:t>
      </w:r>
    </w:p>
    <w:p w14:paraId="08B3751F"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Human limit: Director of audit department, head of audit department, and internal audit examiners.</w:t>
      </w:r>
    </w:p>
    <w:p w14:paraId="67A0CB0D"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bCs/>
          <w:color w:val="000000" w:themeColor="text1"/>
          <w:sz w:val="20"/>
          <w:szCs w:val="20"/>
          <w:lang w:val="en"/>
        </w:rPr>
        <w:t>- Spatial limit:</w:t>
      </w:r>
      <w:r w:rsidRPr="00164238">
        <w:rPr>
          <w:rFonts w:ascii="Times New Roman" w:hAnsi="Times New Roman" w:cs="Times New Roman"/>
          <w:color w:val="000000" w:themeColor="text1"/>
          <w:sz w:val="20"/>
          <w:szCs w:val="20"/>
          <w:lang w:val="en"/>
        </w:rPr>
        <w:t xml:space="preserve"> Palestinian government ministries.</w:t>
      </w:r>
    </w:p>
    <w:p w14:paraId="1E9A92AF"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 xml:space="preserve">- </w:t>
      </w:r>
      <w:r w:rsidRPr="00164238">
        <w:rPr>
          <w:rFonts w:ascii="Times New Roman" w:hAnsi="Times New Roman" w:cs="Times New Roman"/>
          <w:b/>
          <w:bCs/>
          <w:color w:val="000000" w:themeColor="text1"/>
          <w:sz w:val="20"/>
          <w:szCs w:val="20"/>
          <w:lang w:val="en"/>
        </w:rPr>
        <w:t>Objective limit:</w:t>
      </w:r>
      <w:r w:rsidRPr="00164238">
        <w:rPr>
          <w:rFonts w:ascii="Times New Roman" w:hAnsi="Times New Roman" w:cs="Times New Roman"/>
          <w:color w:val="000000" w:themeColor="text1"/>
          <w:sz w:val="20"/>
          <w:szCs w:val="20"/>
          <w:lang w:val="en"/>
        </w:rPr>
        <w:t xml:space="preserve"> Examining the effectiveness of the use of artificial intelligence in the internal audit process and its impact on risk management, control and governance in the Palestinian government sector.</w:t>
      </w:r>
    </w:p>
    <w:p w14:paraId="2AF9F8B3"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p>
    <w:p w14:paraId="52C6BC8C" w14:textId="77777777" w:rsidR="005633F5" w:rsidRPr="00164238" w:rsidRDefault="005633F5" w:rsidP="006F033D">
      <w:pPr>
        <w:spacing w:after="0" w:line="240" w:lineRule="auto"/>
        <w:ind w:firstLine="708"/>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Previous studies:</w:t>
      </w:r>
    </w:p>
    <w:p w14:paraId="2D3C38AD" w14:textId="77777777" w:rsidR="005633F5" w:rsidRPr="00164238" w:rsidRDefault="005633F5" w:rsidP="006F033D">
      <w:pPr>
        <w:spacing w:after="0" w:line="240" w:lineRule="auto"/>
        <w:ind w:firstLine="708"/>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Previous studies and literature represent the basis on which the researchers draw the contents of their study, which dealt with the variables of the subject matter of the study as follows:</w:t>
      </w:r>
    </w:p>
    <w:p w14:paraId="7A571B50"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 xml:space="preserve">The (Mardini, Alkurdi, 2021) study aimed at conducting an extensive review of a literature review on artificial intelligence and its impact on accounting, which identified the study's problems in critically using AI in accounting, which support researchers in investigating  the study gaps in the near future and the </w:t>
      </w:r>
      <w:r w:rsidRPr="00164238">
        <w:rPr>
          <w:rFonts w:ascii="Times New Roman" w:eastAsia="Calibri" w:hAnsi="Times New Roman" w:cs="Times New Roman"/>
          <w:color w:val="000000" w:themeColor="text1"/>
          <w:sz w:val="20"/>
          <w:szCs w:val="20"/>
          <w:lang w:val="en"/>
        </w:rPr>
        <w:lastRenderedPageBreak/>
        <w:t xml:space="preserve">methodology used. </w:t>
      </w:r>
      <w:r w:rsidRPr="00164238">
        <w:rPr>
          <w:rFonts w:ascii="Times New Roman" w:eastAsia="Calibri" w:hAnsi="Times New Roman" w:cs="Times New Roman"/>
          <w:color w:val="000000" w:themeColor="text1"/>
          <w:sz w:val="20"/>
          <w:szCs w:val="20"/>
        </w:rPr>
        <w:t>(Al bawwata, Al Frija, 2021</w:t>
      </w:r>
      <w:r w:rsidRPr="00164238">
        <w:rPr>
          <w:rFonts w:ascii="Times New Roman" w:eastAsia="Calibri" w:hAnsi="Times New Roman" w:cs="Times New Roman"/>
          <w:color w:val="000000" w:themeColor="text1"/>
          <w:sz w:val="20"/>
          <w:szCs w:val="20"/>
          <w:lang w:val="en"/>
        </w:rPr>
        <w:t xml:space="preserve">) Analyzes Auditors' Perceptions of AI and Its Contribution to Quality Audit, where AI systems  have made significant changes in the audit process, yet opponents of the AI revolution view this growth as a step backwards as many auditors fail to adapt to this new environment and this will lead to their regression. This study also provides empirical evidence on how local corporate auditors in Jordan understand the use of artificial intelligence in auditing, while a study (Al-Samarrai, Shirida, 2020) examined the role of AI techniques using digital auditing in achieving the quality of auditing and supporting the audit strategy used by auditing companies in the Kingdom of Bahrain, The study found that the use of Artificial Intelligence techniques contributes to the achievement of quality in the audit process, as well as contribute to supporting the implementation of the audit strategy in the Kingdom of Bahrain, and the progress of the use of ICT in business organizations in the Kingdom of Bahrain imposes on audit companies in the Kingdom of Bahrain a new reality that requires auditors to keep pace with this development, and to move towards the use of ICT in the provision of audit services, while the study (ucoglu, 2020) The results of the study revealed that the use of  AI techniques  led  to the emergence of different ways to accomplish the tasks of the audit process, which affected the auditing profession, and despite these flaws, the application of AI technologies has many advantages, such as: increase efficiency and effectiveness through faster data analysis, high-quality auditing, reduced errors, early risk identification, and creating a competitive advantage. The big four audit firms have developed several AI technologies that are used to manage the audit process, and automated auditing has been carried out in certain areas, such as cash auditing, data analysis, and risk assessment, as study (Munoko, et al, 2020) has addressed, The ethical implications of using Artificial Intelligence in the review, the study concluded that the four major audit firms reported the use of Artificial Intelligence (AI) in their audit and consulting  functions, and in areas such as audit planning risk assessments, transaction testing, analysis, audit worksheets, and other uses and advantages of AI. In the audit profession, while  the (Ghanoum, Alaba, 2020) study explored the role of artificial intelligence in enhancing the effectiveness of the audit process, the study found that Artificial Intelligence has a wide-ranging positive impact on the overall quality of audits, and AI enhances the quality of auditing by facilitating and enhancing effectiveness in key steps involved in the audit process. The field explored by this study is that the main link between Artificial Intelligence and the effectiveness of the audit process is to reduce errors that were causing auditors to repeat work, and AI reduces the time needed to categorize and compare transactions further, which is important because it contains useful reference tools in the analysis of transactions in the general ledger. Therefore, in the study sample, they prefer to use AI-based auditing systems rather than traditional auditing tools, and the Study (Al Jaber, 2020) discussed the impact of Artificial Intelligence In its dimensions (expert systems, representation of knowledge and inference, automatic learning) on the efficiency of accounting systems in its dimensions (accounting system integration, accounting information system interconnection, accuracy of accounting work, quality interpretation of accounting information, quality presentation of accounting information in Jordanian banks) and showed results The study showed the impact of the use of artificial intelligence on the efficiency of accounting systems in Jordanian banks, and a study (Tasedit, Araban, 2019) showed the importance of adopting the ICT environment resulting from the modern digital economy in activating auditing work under accounting information systems using intelligence applications Industrial, the results of the study revealed that the use of the expert system in the field of accounting and auditing entails the preservation of knowledge and its transfer from experts arbitrators to new auditors and accountants, thus playing an important role in the development of performance and improvement of skills in decision-making, especially when there are no highly experienced professionals, as Expert systems play an important role in many areas of auditing, including improved efficiency and expertise, planning, internal control and reporting, and a study (Anbar, Mohammed, 2016) on the role of AI technology in improving the performance of auditing and documentation, In order to positively affect the auditing profession, determine the expected impact of relying on AI technology in improving the quality of the audit process, and prepare a proposed electronic program that conducts auditing work starting with planning, through sampling and documentation of work sheets, and ending with the preparation of the draft report and evaluation reports of the performance of the regulatory work, and based on the premise (the adoption of Artificial Intelligence technology in the stages of the audit process will lead to the success of the auditing profession and improve its quality, intelligence The study (Othman, Mahmoud, 2012) talked about the possibility of using artificial intelligence techniques in controlling the quality of internal audit in Jordanian public joint stock companies, and concluded that there is an impact on the use of Artificial Intelligence techniques in controlling the quality of internal audit (professional care, management of internal audit </w:t>
      </w:r>
      <w:r w:rsidRPr="00164238">
        <w:rPr>
          <w:rFonts w:ascii="Times New Roman" w:eastAsia="Calibri" w:hAnsi="Times New Roman" w:cs="Times New Roman"/>
          <w:color w:val="000000" w:themeColor="text1"/>
          <w:sz w:val="20"/>
          <w:szCs w:val="20"/>
          <w:lang w:val="en"/>
        </w:rPr>
        <w:lastRenderedPageBreak/>
        <w:t>activities, risk management evaluation, planning and implementation of the audit process, delivery of results) in Jordanian public joint stock companies.</w:t>
      </w:r>
    </w:p>
    <w:p w14:paraId="7ABFBD6D" w14:textId="77777777" w:rsidR="005633F5" w:rsidRPr="00164238" w:rsidRDefault="005633F5" w:rsidP="005633F5">
      <w:pPr>
        <w:tabs>
          <w:tab w:val="left" w:pos="930"/>
        </w:tabs>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rPr>
        <w:tab/>
      </w:r>
    </w:p>
    <w:p w14:paraId="28D2F80F" w14:textId="77777777" w:rsidR="005633F5" w:rsidRPr="00164238" w:rsidRDefault="005633F5" w:rsidP="006F033D">
      <w:pPr>
        <w:spacing w:after="0" w:line="240" w:lineRule="auto"/>
        <w:ind w:firstLine="708"/>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Analysis of previous studies for the current study:</w:t>
      </w:r>
    </w:p>
    <w:p w14:paraId="40831BDC" w14:textId="77777777" w:rsidR="005633F5" w:rsidRPr="00164238" w:rsidRDefault="005633F5" w:rsidP="006F033D">
      <w:pPr>
        <w:spacing w:after="0" w:line="240" w:lineRule="auto"/>
        <w:ind w:firstLine="708"/>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Through the researchers' reading of previous studies and the extent to which they are used in the field of study subject of the study, it was found that the studies are distributed on the following axes and trends:</w:t>
      </w:r>
    </w:p>
    <w:p w14:paraId="00D09A8C"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 Identify the role of AI technologies in improving the performance of auditing work and documenting them, which positively affects the audit ing profession, and determine the expected impact of ai technology in improving the quality of the audit process.</w:t>
      </w:r>
    </w:p>
    <w:p w14:paraId="5DC5953F"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 Demonstrating the importance of adopting the ICT environment resulting from the modern digital economy in activating auditing, under accounting information systems using artificial intelligence applications.</w:t>
      </w:r>
    </w:p>
    <w:p w14:paraId="7FFB680D"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3. To show the impact of ai in its dimensions (expert systems, representation of knowledge and inference, automatic learning) on the efficiency of accounting systems in their dimensions (accounting system integration, accounting information system interconnection, accuracy of accounting work, quality interpretation of accounting information, quality presentation of accounting information).</w:t>
      </w:r>
    </w:p>
    <w:p w14:paraId="6AD3C20A"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4. Impact statement for the use of AI techniques in adjusting the quality of internal audit through (professional care, internal audit activities management, risk management assessment, planning and implementation of the audit process, delivery of results).</w:t>
      </w:r>
    </w:p>
    <w:p w14:paraId="58C7FBA2" w14:textId="77777777" w:rsidR="005633F5" w:rsidRPr="00164238" w:rsidRDefault="005633F5" w:rsidP="006F033D">
      <w:pPr>
        <w:spacing w:after="0" w:line="240" w:lineRule="auto"/>
        <w:ind w:firstLine="708"/>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Therefore, what distinguishes this current study is:</w:t>
      </w:r>
    </w:p>
    <w:p w14:paraId="0B0D5564"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1. Create a theoretical and thought framework, and provide theoretical and field milestones for organizations about the use of artificial intelligence in internal audit.</w:t>
      </w:r>
    </w:p>
    <w:p w14:paraId="19918126"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2. This study, according to the researchers, is one of the first studies in Palestine that measure the effectiveness of the use of artificial intelligence in the internal audit process, and its impact on risk management, control and governance in the Palestinian government sector.</w:t>
      </w:r>
    </w:p>
    <w:p w14:paraId="7E143B89"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3. This study was characterized by the measurement of the use of artificial intelligence in the internal audit process through (risk management and evaluation, examination and evaluation of the internal control system, and strengthening governance procedures), where previous studies used other dimensions to measure them according to the researchers.</w:t>
      </w:r>
    </w:p>
    <w:p w14:paraId="693CE177"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4. The time period of previous studies and the size of the sample selected, where the study addressed the opinions of internal auditors in the Palestinian ministries of the Palestinian National Authority.</w:t>
      </w:r>
    </w:p>
    <w:p w14:paraId="5FA2853E"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Simplified Arabic" w:hAnsi="Times New Roman" w:cs="Times New Roman"/>
          <w:color w:val="000000" w:themeColor="text1"/>
          <w:sz w:val="20"/>
          <w:szCs w:val="20"/>
        </w:rPr>
        <w:t xml:space="preserve"> </w:t>
      </w:r>
    </w:p>
    <w:p w14:paraId="78DE94C1" w14:textId="63D5E6F4"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 xml:space="preserve"> </w:t>
      </w:r>
      <w:r w:rsidR="006F033D" w:rsidRPr="00164238">
        <w:rPr>
          <w:rFonts w:ascii="Times New Roman" w:eastAsia="Calibri" w:hAnsi="Times New Roman" w:cs="Times New Roman"/>
          <w:b/>
          <w:color w:val="000000" w:themeColor="text1"/>
          <w:sz w:val="20"/>
          <w:szCs w:val="20"/>
          <w:lang w:val="en"/>
        </w:rPr>
        <w:tab/>
      </w:r>
      <w:r w:rsidRPr="00164238">
        <w:rPr>
          <w:rFonts w:ascii="Times New Roman" w:eastAsia="Calibri" w:hAnsi="Times New Roman" w:cs="Times New Roman"/>
          <w:b/>
          <w:color w:val="000000" w:themeColor="text1"/>
          <w:sz w:val="20"/>
          <w:szCs w:val="20"/>
          <w:lang w:val="en"/>
        </w:rPr>
        <w:t>Theoretical framework of the study</w:t>
      </w:r>
    </w:p>
    <w:p w14:paraId="0DFDAC46" w14:textId="77777777" w:rsidR="005633F5" w:rsidRPr="00164238" w:rsidRDefault="005633F5" w:rsidP="006F033D">
      <w:pPr>
        <w:spacing w:after="0" w:line="240" w:lineRule="auto"/>
        <w:ind w:firstLine="708"/>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First: Introduction to Artificial Intelligence:</w:t>
      </w:r>
    </w:p>
    <w:p w14:paraId="57C6AC28" w14:textId="77777777" w:rsidR="005633F5" w:rsidRPr="00164238" w:rsidRDefault="005633F5" w:rsidP="006F033D">
      <w:pPr>
        <w:spacing w:after="0" w:line="240" w:lineRule="auto"/>
        <w:ind w:firstLine="708"/>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The term artificial intelligence appeared in the 50th century by the world (Alan turing), means the assessment of the intelligence of the computer for its ability to simulate the human mind, and then attempts followed but did not achieve high-level progress for twenty years due to the limitations of computer capabilities, yet these attempts did not stop; Artificial intelligence aims to understand the complex mental processes performed by the human mind during the process of thinking and who seamounts have been translated into the corresponding accounting processes that increase the ability of the computer to solve complex problems (Samurai, Shreta, 2020).</w:t>
      </w:r>
    </w:p>
    <w:p w14:paraId="7BC7533E"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Simplified Arabic" w:hAnsi="Times New Roman" w:cs="Times New Roman"/>
          <w:b/>
          <w:bCs/>
          <w:color w:val="000000" w:themeColor="text1"/>
          <w:sz w:val="20"/>
          <w:szCs w:val="20"/>
        </w:rPr>
        <w:t xml:space="preserve"> </w:t>
      </w:r>
    </w:p>
    <w:p w14:paraId="28D17420" w14:textId="141BB838" w:rsidR="005633F5" w:rsidRPr="00164238" w:rsidRDefault="005633F5" w:rsidP="006F033D">
      <w:pPr>
        <w:spacing w:after="0" w:line="240" w:lineRule="auto"/>
        <w:ind w:firstLine="708"/>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The concept and components of artificial intelligence</w:t>
      </w:r>
    </w:p>
    <w:p w14:paraId="0660BA2F" w14:textId="77777777" w:rsidR="005633F5" w:rsidRPr="00164238" w:rsidRDefault="005633F5" w:rsidP="006F033D">
      <w:pPr>
        <w:spacing w:after="0" w:line="240" w:lineRule="auto"/>
        <w:ind w:firstLine="708"/>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 xml:space="preserve">The idea of artificial intelligence depends on the ability of the machine (computer) to communicate or communicate information to individuals (as feedback) as if they were dealing with the same sex, without realizing that they are communicating with a smart machine (Rashwan, Alhelou, 2020),   artificial intelligence (Tuomi, 2018) is known as "a machine that understands and interprets sounds and languages, works to solve problems, can diagnose medical conditions, control cars on roads, play chess, play chess.  It is often a system that possesses the ability to perform tasks associated with living things" which is the intelligence manufactured by man in machines or computers and is a qualitative leap in the rights of theoretical and applied sciences and by which the intelligence of the human brain was transferred to computers (Atham, 2019), and is known as part of computer science aimed at designing intelligent systems that give the same characteristics that we know intelligence in human behavior, and it works based on the principle of Matching the formations by which things, events and processes can be described using their qualitative properties and their logical and computational relationship (Jamil, Osman, 2015), and i know it </w:t>
      </w:r>
      <w:r w:rsidRPr="00164238">
        <w:rPr>
          <w:rFonts w:ascii="Times New Roman" w:eastAsia="Calibri" w:hAnsi="Times New Roman" w:cs="Times New Roman"/>
          <w:color w:val="000000" w:themeColor="text1"/>
          <w:sz w:val="20"/>
          <w:szCs w:val="20"/>
          <w:lang w:val="en"/>
        </w:rPr>
        <w:lastRenderedPageBreak/>
        <w:t>(Al Jaber, 2020) as a technique that contributes to the management of processes and tasks with more sophisticated and intelligent mechanisms than the man who created it and give sensuous knowledge and ingredients, helping it to learn spontaneously and self-development.  (Hussain, 2018), has classified Artificial Intelligence into three types: narrow artificial intelligence, which is related to only one area, and the second: artificial intelligence, which relates to systems that operate on their own without human intervention, and the third: super-artificial intelligence, which is far beyond the capabilities and intelligence of humans.</w:t>
      </w:r>
    </w:p>
    <w:p w14:paraId="47D34649"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The researchers believe that artificial intelligence is machines or systems that learn and acquire skills beyond the capabilities of humans, and perform complex tasks and have the ability to decipher sounds, analyze and interpret languages, and can think, lead and make decisions fully without human intervention.</w:t>
      </w:r>
    </w:p>
    <w:p w14:paraId="0F3C349E"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Simplified Arabic" w:hAnsi="Times New Roman" w:cs="Times New Roman"/>
          <w:b/>
          <w:bCs/>
          <w:color w:val="000000" w:themeColor="text1"/>
          <w:sz w:val="20"/>
          <w:szCs w:val="20"/>
          <w:highlight w:val="yellow"/>
        </w:rPr>
        <w:t xml:space="preserve"> </w:t>
      </w:r>
    </w:p>
    <w:p w14:paraId="13BB3990" w14:textId="4FE4B1E9" w:rsidR="005633F5" w:rsidRPr="00164238" w:rsidRDefault="005633F5" w:rsidP="006F033D">
      <w:pPr>
        <w:spacing w:after="0" w:line="240" w:lineRule="auto"/>
        <w:ind w:firstLine="708"/>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AI technologies and systems</w:t>
      </w:r>
    </w:p>
    <w:p w14:paraId="109C0A94" w14:textId="77777777" w:rsidR="005633F5" w:rsidRPr="00164238" w:rsidRDefault="005633F5" w:rsidP="006F033D">
      <w:pPr>
        <w:spacing w:after="0" w:line="240" w:lineRule="auto"/>
        <w:ind w:firstLine="708"/>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 xml:space="preserve">AI is a method that corresponds to a certain extent with the human method of problem solving and data processing, and it also provides alternatives to human energy, and its characteristics are also: independence, prediction and the performance of complex tasks, as well as surveillance (Al Jaber, 2020), and the most prominent developments on artificial intelligence during the previous two years include the following </w:t>
      </w:r>
      <w:hyperlink>
        <w:r w:rsidRPr="00164238">
          <w:rPr>
            <w:rFonts w:ascii="Times New Roman" w:eastAsia="Calibri" w:hAnsi="Times New Roman" w:cs="Times New Roman"/>
            <w:color w:val="000000" w:themeColor="text1"/>
            <w:sz w:val="20"/>
            <w:szCs w:val="20"/>
          </w:rPr>
          <w:t>(www.alarabiya.net):</w:t>
        </w:r>
      </w:hyperlink>
    </w:p>
    <w:p w14:paraId="4D4E8B42"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1. Machine learning and deep learning:</w:t>
      </w:r>
      <w:r w:rsidRPr="00164238">
        <w:rPr>
          <w:rFonts w:ascii="Times New Roman" w:eastAsia="Calibri" w:hAnsi="Times New Roman" w:cs="Times New Roman"/>
          <w:color w:val="000000" w:themeColor="text1"/>
          <w:sz w:val="20"/>
          <w:szCs w:val="20"/>
          <w:lang w:val="en"/>
        </w:rPr>
        <w:t xml:space="preserve"> it is one of the most important applications of artificial intelligence that allows the machine to learn and access a huge amount of data and then make decisions, such as prediction systems, classification, speech recognition, computer vision and self-driving cars.</w:t>
      </w:r>
    </w:p>
    <w:p w14:paraId="5941455B"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2. The technique of converting a fixed image into a video:</w:t>
      </w:r>
      <w:r w:rsidRPr="00164238">
        <w:rPr>
          <w:rFonts w:ascii="Times New Roman" w:eastAsia="Calibri" w:hAnsi="Times New Roman" w:cs="Times New Roman"/>
          <w:color w:val="000000" w:themeColor="text1"/>
          <w:sz w:val="20"/>
          <w:szCs w:val="20"/>
          <w:lang w:val="en"/>
        </w:rPr>
        <w:t xml:space="preserve"> through which a fixed image of a specific person is focused and the geometric shape of his face is recognized, and is added as a mask on the face of another person speaking in a video.</w:t>
      </w:r>
    </w:p>
    <w:p w14:paraId="380EA0DB"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3. Writing content:</w:t>
      </w:r>
      <w:r w:rsidRPr="00164238">
        <w:rPr>
          <w:rFonts w:ascii="Times New Roman" w:eastAsia="Calibri" w:hAnsi="Times New Roman" w:cs="Times New Roman"/>
          <w:color w:val="000000" w:themeColor="text1"/>
          <w:sz w:val="20"/>
          <w:szCs w:val="20"/>
          <w:lang w:val="en"/>
        </w:rPr>
        <w:t xml:space="preserve">  Through this technique, coherent text paragraphs are created and machine translation and answer questions.</w:t>
      </w:r>
    </w:p>
    <w:p w14:paraId="243DC182"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 xml:space="preserve">4. AI-based treatments: </w:t>
      </w:r>
      <w:r w:rsidRPr="00164238">
        <w:rPr>
          <w:rFonts w:ascii="Times New Roman" w:eastAsia="Calibri" w:hAnsi="Times New Roman" w:cs="Times New Roman"/>
          <w:color w:val="000000" w:themeColor="text1"/>
          <w:sz w:val="20"/>
          <w:szCs w:val="20"/>
          <w:lang w:val="en"/>
        </w:rPr>
        <w:t xml:space="preserve"> these are rapidly evolving treatments in terms of facial recognition, speech and machine learning, these are used in cars and healthcare and one of their most important features is saving human lives.</w:t>
      </w:r>
    </w:p>
    <w:p w14:paraId="70356ACC"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5. Artificial intelligence technologies adapted to human uses:</w:t>
      </w:r>
      <w:r w:rsidRPr="00164238">
        <w:rPr>
          <w:rFonts w:ascii="Times New Roman" w:eastAsia="Calibri" w:hAnsi="Times New Roman" w:cs="Times New Roman"/>
          <w:color w:val="000000" w:themeColor="text1"/>
          <w:sz w:val="20"/>
          <w:szCs w:val="20"/>
          <w:lang w:val="en"/>
        </w:rPr>
        <w:t xml:space="preserve"> it specializes in speakers and the resulting areas of shopping by Google Home and Alexa, which are high-speed technologies in development and relate to smartphones, tablets, computers and Televisions.</w:t>
      </w:r>
    </w:p>
    <w:p w14:paraId="4C4EF464"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6. Improving facial recognition technology:</w:t>
      </w:r>
      <w:r w:rsidRPr="00164238">
        <w:rPr>
          <w:rFonts w:ascii="Times New Roman" w:eastAsia="Calibri" w:hAnsi="Times New Roman" w:cs="Times New Roman"/>
          <w:color w:val="000000" w:themeColor="text1"/>
          <w:sz w:val="20"/>
          <w:szCs w:val="20"/>
          <w:lang w:val="en"/>
        </w:rPr>
        <w:t xml:space="preserve">  an important and necessary technology in the field of airports, railways, shopping malls and financial services, which is a rapid technology in progress.</w:t>
      </w:r>
    </w:p>
    <w:p w14:paraId="0C0289E8"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7. Cloud Computing:</w:t>
      </w:r>
      <w:r w:rsidRPr="00164238">
        <w:rPr>
          <w:rFonts w:ascii="Times New Roman" w:eastAsia="Calibri" w:hAnsi="Times New Roman" w:cs="Times New Roman"/>
          <w:color w:val="000000" w:themeColor="text1"/>
          <w:sz w:val="20"/>
          <w:szCs w:val="20"/>
          <w:lang w:val="en"/>
        </w:rPr>
        <w:t xml:space="preserve">  A technology developed through artificial intelligence that has facilitated data storage, retrieval and analysis to help reduce costs.</w:t>
      </w:r>
    </w:p>
    <w:p w14:paraId="58713A22"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8. Cyber security:</w:t>
      </w:r>
      <w:r w:rsidRPr="00164238">
        <w:rPr>
          <w:rFonts w:ascii="Times New Roman" w:eastAsia="Calibri" w:hAnsi="Times New Roman" w:cs="Times New Roman"/>
          <w:color w:val="000000" w:themeColor="text1"/>
          <w:sz w:val="20"/>
          <w:szCs w:val="20"/>
          <w:lang w:val="en"/>
        </w:rPr>
        <w:t xml:space="preserve">  By relying on cloud computing and for fear of security breaches, companies have resorted to smarter ways of electronic insurance, so repeated neural networks have been used to address breaches.</w:t>
      </w:r>
    </w:p>
    <w:p w14:paraId="0AD014AE"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Simplified Arabic" w:hAnsi="Times New Roman" w:cs="Times New Roman"/>
          <w:color w:val="000000" w:themeColor="text1"/>
          <w:sz w:val="20"/>
          <w:szCs w:val="20"/>
        </w:rPr>
        <w:t xml:space="preserve">  </w:t>
      </w:r>
    </w:p>
    <w:p w14:paraId="6BB60105" w14:textId="2B9389F7" w:rsidR="005633F5" w:rsidRPr="00164238" w:rsidRDefault="005633F5" w:rsidP="006F033D">
      <w:pPr>
        <w:spacing w:after="0" w:line="240" w:lineRule="auto"/>
        <w:ind w:firstLine="708"/>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Adopt artificial intelligence in internal audit</w:t>
      </w:r>
    </w:p>
    <w:p w14:paraId="4052044B" w14:textId="77777777" w:rsidR="005633F5" w:rsidRPr="00164238" w:rsidRDefault="005633F5" w:rsidP="006F033D">
      <w:pPr>
        <w:spacing w:after="0" w:line="240" w:lineRule="auto"/>
        <w:ind w:firstLine="708"/>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Internal audit is defined as an independent function within the organization carried out by persons affiliated with the institution, and their role is to periodically examine all information and financial and administrative data, which is the responsibility of the management of the institution and check whether the procedures in place and guarantees are sufficient, that the processes are legitimate and the information is sincere, and that all activities within the organization are conducted in accordance with the regulations established (Mohammed, 2018), where the audit procedures are processes that include the progress of activities to convert inputs, which consist of information that is audited to the outputs and outputs are the opinions of the auditors (Zhang, 2019), because the acceleration and abundance of data and daily transactions led to the reliance on modern technologies represented by expert systems and others in conducting internal audits in order to enhance the processing capacity of this data while maintaining the effectiveness and reliability of the audit process  (Ghanoum, 2020).  Artificial intelligence in the audit process has three types identified by  (Munoko, et al, 2020):</w:t>
      </w:r>
    </w:p>
    <w:p w14:paraId="257B853E" w14:textId="77777777" w:rsidR="005633F5" w:rsidRPr="00164238" w:rsidRDefault="005633F5" w:rsidP="007C3550">
      <w:pPr>
        <w:numPr>
          <w:ilvl w:val="0"/>
          <w:numId w:val="51"/>
        </w:numPr>
        <w:spacing w:after="0" w:line="240" w:lineRule="auto"/>
        <w:contextualSpacing/>
        <w:jc w:val="both"/>
        <w:rPr>
          <w:rFonts w:ascii="Times New Roman" w:eastAsia="Times New Roman" w:hAnsi="Times New Roman" w:cs="Times New Roman"/>
          <w:b/>
          <w:bCs/>
          <w:color w:val="000000" w:themeColor="text1"/>
          <w:sz w:val="20"/>
          <w:szCs w:val="20"/>
        </w:rPr>
      </w:pPr>
      <w:r w:rsidRPr="00164238">
        <w:rPr>
          <w:rFonts w:ascii="Times New Roman" w:eastAsia="Calibri" w:hAnsi="Times New Roman" w:cs="Times New Roman"/>
          <w:b/>
          <w:color w:val="000000" w:themeColor="text1"/>
          <w:sz w:val="20"/>
          <w:szCs w:val="20"/>
          <w:lang w:val="en"/>
        </w:rPr>
        <w:t>AI Assistive Systems:</w:t>
      </w:r>
      <w:r w:rsidRPr="00164238">
        <w:rPr>
          <w:rFonts w:ascii="Times New Roman" w:eastAsia="Calibri" w:hAnsi="Times New Roman" w:cs="Times New Roman"/>
          <w:color w:val="000000" w:themeColor="text1"/>
          <w:sz w:val="20"/>
          <w:szCs w:val="20"/>
          <w:lang w:val="en"/>
        </w:rPr>
        <w:t xml:space="preserve"> Systems that help auditors in the decision-making process, where machines do repetitive daily work and tasks performed by the auditor on a daily basis, but the decision-making process is made only by auditors.</w:t>
      </w:r>
    </w:p>
    <w:p w14:paraId="0EB366C1" w14:textId="77777777" w:rsidR="005633F5" w:rsidRPr="00164238" w:rsidRDefault="005633F5" w:rsidP="007C3550">
      <w:pPr>
        <w:numPr>
          <w:ilvl w:val="0"/>
          <w:numId w:val="51"/>
        </w:numPr>
        <w:spacing w:after="0" w:line="240" w:lineRule="auto"/>
        <w:contextualSpacing/>
        <w:jc w:val="both"/>
        <w:rPr>
          <w:rFonts w:ascii="Times New Roman" w:eastAsia="Times New Roman" w:hAnsi="Times New Roman" w:cs="Times New Roman"/>
          <w:b/>
          <w:bCs/>
          <w:color w:val="000000" w:themeColor="text1"/>
          <w:sz w:val="20"/>
          <w:szCs w:val="20"/>
        </w:rPr>
      </w:pPr>
      <w:r w:rsidRPr="00164238">
        <w:rPr>
          <w:rFonts w:ascii="Times New Roman" w:eastAsia="Calibri" w:hAnsi="Times New Roman" w:cs="Times New Roman"/>
          <w:b/>
          <w:color w:val="000000" w:themeColor="text1"/>
          <w:sz w:val="20"/>
          <w:szCs w:val="20"/>
          <w:lang w:val="en"/>
        </w:rPr>
        <w:lastRenderedPageBreak/>
        <w:t>Enhanced AI systems:</w:t>
      </w:r>
      <w:r w:rsidRPr="00164238">
        <w:rPr>
          <w:rFonts w:ascii="Times New Roman" w:eastAsia="Calibri" w:hAnsi="Times New Roman" w:cs="Times New Roman"/>
          <w:color w:val="000000" w:themeColor="text1"/>
          <w:sz w:val="20"/>
          <w:szCs w:val="20"/>
          <w:lang w:val="en"/>
        </w:rPr>
        <w:t xml:space="preserve"> These are analytical intelligence because they give the interaction between systems and their environment and learn from the checker, and therefore decisions are made in cooperation between the checker and the machine, and here the auditors and AI systems cooperate in decision-making.</w:t>
      </w:r>
    </w:p>
    <w:p w14:paraId="1379BBAE" w14:textId="77777777" w:rsidR="005633F5" w:rsidRPr="00164238" w:rsidRDefault="005633F5" w:rsidP="007C3550">
      <w:pPr>
        <w:numPr>
          <w:ilvl w:val="0"/>
          <w:numId w:val="51"/>
        </w:numPr>
        <w:spacing w:after="0" w:line="240" w:lineRule="auto"/>
        <w:contextualSpacing/>
        <w:jc w:val="both"/>
        <w:rPr>
          <w:rFonts w:ascii="Times New Roman" w:eastAsia="Times New Roman" w:hAnsi="Times New Roman" w:cs="Times New Roman"/>
          <w:b/>
          <w:bCs/>
          <w:color w:val="000000" w:themeColor="text1"/>
          <w:sz w:val="20"/>
          <w:szCs w:val="20"/>
        </w:rPr>
      </w:pPr>
      <w:r w:rsidRPr="00164238">
        <w:rPr>
          <w:rFonts w:ascii="Times New Roman" w:eastAsia="Calibri" w:hAnsi="Times New Roman" w:cs="Times New Roman"/>
          <w:b/>
          <w:color w:val="000000" w:themeColor="text1"/>
          <w:sz w:val="20"/>
          <w:szCs w:val="20"/>
          <w:lang w:val="en"/>
        </w:rPr>
        <w:t>Independent AI systems:</w:t>
      </w:r>
      <w:r w:rsidRPr="00164238">
        <w:rPr>
          <w:rFonts w:ascii="Times New Roman" w:eastAsia="Calibri" w:hAnsi="Times New Roman" w:cs="Times New Roman"/>
          <w:color w:val="000000" w:themeColor="text1"/>
          <w:sz w:val="20"/>
          <w:szCs w:val="20"/>
          <w:lang w:val="en"/>
        </w:rPr>
        <w:t xml:space="preserve"> systems that operate without human intervention, in which case the systems adapt to a variety of conditions, and here the actions are taken independently by Artificial Intelligence without the intervention of the auditor.</w:t>
      </w:r>
    </w:p>
    <w:p w14:paraId="4021B337" w14:textId="77777777" w:rsidR="005633F5" w:rsidRPr="00164238" w:rsidRDefault="005633F5" w:rsidP="006F033D">
      <w:pPr>
        <w:spacing w:after="0" w:line="240" w:lineRule="auto"/>
        <w:ind w:firstLine="708"/>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AI systems have dramatically changed the vetting process, and auditors believe enhanced AI systems are easy to use for auditing, unlike independent AI systems, and as AI assistive systems have a high contribution to audit quality, independent AI systems are working to pass the entire decision-making process while a large part of them are passed if enhanced AI systems (Al bawwat, Frijat, 2020) are adopted. The importance of AI technologies in internal auditing is shown as follows:</w:t>
      </w:r>
    </w:p>
    <w:p w14:paraId="67E516E0" w14:textId="77777777" w:rsidR="005633F5" w:rsidRPr="00164238" w:rsidRDefault="005633F5" w:rsidP="007C3550">
      <w:pPr>
        <w:numPr>
          <w:ilvl w:val="0"/>
          <w:numId w:val="50"/>
        </w:numPr>
        <w:spacing w:after="0" w:line="240" w:lineRule="auto"/>
        <w:contextualSpacing/>
        <w:jc w:val="both"/>
        <w:rPr>
          <w:rFonts w:ascii="Times New Roman" w:eastAsia="Times New Roman"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The adoption of AI technologies in internal audit invests time, in the sense of reducing the time and effort needed to plan the internal audit program by relying on expert systems and electronic auditing.</w:t>
      </w:r>
    </w:p>
    <w:p w14:paraId="5AAB7DAB" w14:textId="77777777" w:rsidR="005633F5" w:rsidRPr="00164238" w:rsidRDefault="005633F5" w:rsidP="007C3550">
      <w:pPr>
        <w:numPr>
          <w:ilvl w:val="0"/>
          <w:numId w:val="50"/>
        </w:numPr>
        <w:spacing w:after="0" w:line="240" w:lineRule="auto"/>
        <w:contextualSpacing/>
        <w:jc w:val="both"/>
        <w:rPr>
          <w:rFonts w:ascii="Times New Roman" w:eastAsia="Times New Roman"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Relying on digital and electronic auditing reduces the cost of conducting internal audits.</w:t>
      </w:r>
    </w:p>
    <w:p w14:paraId="0000F15A" w14:textId="77777777" w:rsidR="005633F5" w:rsidRPr="00164238" w:rsidRDefault="005633F5" w:rsidP="007C3550">
      <w:pPr>
        <w:numPr>
          <w:ilvl w:val="0"/>
          <w:numId w:val="50"/>
        </w:numPr>
        <w:spacing w:after="0" w:line="240" w:lineRule="auto"/>
        <w:contextualSpacing/>
        <w:jc w:val="both"/>
        <w:rPr>
          <w:rFonts w:ascii="Times New Roman" w:eastAsia="Times New Roman"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The use of business technology technologies increases the efficiency and effectiveness of internal audit procedures.</w:t>
      </w:r>
    </w:p>
    <w:p w14:paraId="3F37B035" w14:textId="77777777" w:rsidR="005633F5" w:rsidRPr="00164238" w:rsidRDefault="005633F5" w:rsidP="007C3550">
      <w:pPr>
        <w:numPr>
          <w:ilvl w:val="0"/>
          <w:numId w:val="50"/>
        </w:numPr>
        <w:spacing w:after="0" w:line="240" w:lineRule="auto"/>
        <w:contextualSpacing/>
        <w:jc w:val="both"/>
        <w:rPr>
          <w:rFonts w:ascii="Times New Roman" w:eastAsia="Times New Roman"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The use of electronic technologies in the internal audit process reinforces objectivity and non-bias in auditing public sector financial statements.</w:t>
      </w:r>
    </w:p>
    <w:p w14:paraId="566FC908" w14:textId="77777777" w:rsidR="005633F5" w:rsidRPr="00164238" w:rsidRDefault="005633F5" w:rsidP="007C3550">
      <w:pPr>
        <w:numPr>
          <w:ilvl w:val="0"/>
          <w:numId w:val="50"/>
        </w:numPr>
        <w:spacing w:after="0" w:line="240" w:lineRule="auto"/>
        <w:contextualSpacing/>
        <w:jc w:val="both"/>
        <w:rPr>
          <w:rFonts w:ascii="Times New Roman" w:eastAsia="Times New Roman"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The use of advanced accounting software and systems detects fundamental errors and protects public assets and property through electronic follow-up.</w:t>
      </w:r>
    </w:p>
    <w:p w14:paraId="19800F20" w14:textId="77777777" w:rsidR="005633F5" w:rsidRPr="00164238" w:rsidRDefault="005633F5" w:rsidP="006F033D">
      <w:pPr>
        <w:spacing w:after="0" w:line="240" w:lineRule="auto"/>
        <w:ind w:firstLine="360"/>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The (Noor, Mansor, 2019) study emphasizes that Artificial Intelligence enhances the audit process through the correct exchange of information between auditors and systems and exchange of conversation between all stakeholders involved in the audit process.</w:t>
      </w:r>
    </w:p>
    <w:p w14:paraId="60D10295"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p>
    <w:p w14:paraId="4D5D04AA" w14:textId="77777777" w:rsidR="005633F5" w:rsidRPr="00164238" w:rsidRDefault="005633F5" w:rsidP="006F033D">
      <w:pPr>
        <w:spacing w:after="0" w:line="240" w:lineRule="auto"/>
        <w:ind w:firstLine="708"/>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Second: The use of artificial intelligence in internal audit and its impact on risk management and assessment</w:t>
      </w:r>
    </w:p>
    <w:p w14:paraId="0488D53D"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A vast amount of information produced daily passes through the internal audit environment, which increases the risk and therefore data must be analysed in the context of managing these risks, which play a major role in decision-making, and to complete the internal audit process in the public sector efficiently, effectively and on time, artificial intelligence is used in the processing of natural languages, reading receipts and payments, contracts, registration bonds, financial matches, adjustments, etc., and then matching pre-defined texts by auditors to prepare samples for items of relative importance that are of relative importance. It needs special attention, because it is highly risky, and also uses artificial intelligence in the processes of data extraction, identification of exceptions or paradoxes, analysis of patterns and trends, sending custom warnings, and marking of risky data that relates to assessments, inventory and adjustments, and the role of auditors lies in extracting accounting and financial data from the institutional and financial systems of institutions and uploading them to artificial intelligence tools, which in turn identify errors in cases of anomalies, manipulation and forgery and the creation of dynamic panels of digital devices by using algorithms and comparing them with indicators identified by the auditor, and thus Identify strengths and weaknesses, detect accounting irregularities, abuses and accurately assess risks (World Bank, 2020).</w:t>
      </w:r>
    </w:p>
    <w:p w14:paraId="106932B8"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tl/>
          <w:lang w:val="en"/>
        </w:rPr>
      </w:pPr>
      <w:r w:rsidRPr="00164238">
        <w:rPr>
          <w:rFonts w:ascii="Times New Roman" w:eastAsia="Calibri" w:hAnsi="Times New Roman" w:cs="Times New Roman"/>
          <w:color w:val="000000" w:themeColor="text1"/>
          <w:sz w:val="20"/>
          <w:szCs w:val="20"/>
          <w:lang w:val="en"/>
        </w:rPr>
        <w:t>The use of Artificial Intelligence in the audit process is described as "a hybrid set of technologies that complement and change audits" (Isa, et al., 2016), and the adoption of Artificial Intelligence in internal audit facilitates the work of auditors and accelerates the completion of their tasks, and detects risks very quickly in the case of traditional audits. (Kokina, Davenport, 2017) confirmed that relying on artificial intelligence in the internal   audit process accomplishes repetitive tasks and processes and analyzes large numbers of data in a small time, which facilitates  the work of internal auditors</w:t>
      </w:r>
      <w:r w:rsidRPr="00164238">
        <w:rPr>
          <w:rFonts w:ascii="Times New Roman" w:eastAsia="Calibri" w:hAnsi="Times New Roman" w:cs="Times New Roman"/>
          <w:color w:val="000000" w:themeColor="text1"/>
          <w:sz w:val="20"/>
          <w:szCs w:val="20"/>
          <w:rtl/>
          <w:lang w:val="en"/>
        </w:rPr>
        <w:t xml:space="preserve">) </w:t>
      </w:r>
      <w:r w:rsidRPr="00164238">
        <w:rPr>
          <w:rFonts w:ascii="Times New Roman" w:eastAsia="Calibri" w:hAnsi="Times New Roman" w:cs="Times New Roman"/>
          <w:color w:val="000000" w:themeColor="text1"/>
          <w:sz w:val="20"/>
          <w:szCs w:val="20"/>
        </w:rPr>
        <w:t>Luoetal, 2018)</w:t>
      </w:r>
      <w:r w:rsidRPr="00164238">
        <w:rPr>
          <w:rFonts w:ascii="Times New Roman" w:eastAsia="Calibri" w:hAnsi="Times New Roman" w:cs="Times New Roman"/>
          <w:color w:val="000000" w:themeColor="text1"/>
          <w:sz w:val="20"/>
          <w:szCs w:val="20"/>
          <w:rtl/>
          <w:lang w:val="en"/>
        </w:rPr>
        <w:t>.</w:t>
      </w:r>
    </w:p>
    <w:p w14:paraId="2ECB811B"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p>
    <w:p w14:paraId="5024AE7E" w14:textId="77777777" w:rsidR="005633F5" w:rsidRPr="00164238" w:rsidRDefault="005633F5" w:rsidP="006F033D">
      <w:pPr>
        <w:spacing w:after="0" w:line="240" w:lineRule="auto"/>
        <w:ind w:firstLine="708"/>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Third: The use of artificial intelligence in internal audit and its impact on the examination and evaluation of the internal control system</w:t>
      </w:r>
    </w:p>
    <w:p w14:paraId="2A46EEC4"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 xml:space="preserve">Auditors are interested in Artificial Intelligence as a supporting system for the achievement of their multiple tasks depending on the multiplicity and diversity of companies, where relying on technology in the audit process to reach the highest quality, strengthening internal control and conducting the audit process in a timely manner, and to ensure that the internal audit process is carried out in a timely manner, requires an effective internal control system to ensure the reliability of information and ensure the effectiveness and </w:t>
      </w:r>
      <w:r w:rsidRPr="00164238">
        <w:rPr>
          <w:rFonts w:ascii="Times New Roman" w:eastAsia="Calibri" w:hAnsi="Times New Roman" w:cs="Times New Roman"/>
          <w:color w:val="000000" w:themeColor="text1"/>
          <w:sz w:val="20"/>
          <w:szCs w:val="20"/>
          <w:lang w:val="en"/>
        </w:rPr>
        <w:lastRenderedPageBreak/>
        <w:t>integrity of internal controls (Shen, et al, 2017) and to achieve this is based on the tools of artificial intelligence as follows:</w:t>
      </w:r>
    </w:p>
    <w:p w14:paraId="7E42AA9E" w14:textId="77777777" w:rsidR="005633F5" w:rsidRPr="00164238" w:rsidRDefault="005633F5" w:rsidP="007C3550">
      <w:pPr>
        <w:numPr>
          <w:ilvl w:val="0"/>
          <w:numId w:val="52"/>
        </w:numPr>
        <w:spacing w:after="0" w:line="240" w:lineRule="auto"/>
        <w:contextualSpacing/>
        <w:rPr>
          <w:rFonts w:ascii="Times New Roman" w:eastAsia="Times New Roman"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Internal auditors in the audit process rely on decision support systems, which are computer applications consisting of inputs, processes, outputs, and feedback, and collect and analyze accounting, financial and administrative data to assist management indecision-making.</w:t>
      </w:r>
    </w:p>
    <w:p w14:paraId="5E98724C" w14:textId="77777777" w:rsidR="005633F5" w:rsidRPr="00164238" w:rsidRDefault="005633F5" w:rsidP="007C3550">
      <w:pPr>
        <w:numPr>
          <w:ilvl w:val="0"/>
          <w:numId w:val="52"/>
        </w:numPr>
        <w:spacing w:after="0" w:line="240" w:lineRule="auto"/>
        <w:contextualSpacing/>
        <w:rPr>
          <w:rFonts w:ascii="Times New Roman" w:eastAsia="Times New Roman"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Relying on a robot as a kind of artificial intelligence to perform internal audits helps in risk assessment and planning for the internal audit process.</w:t>
      </w:r>
    </w:p>
    <w:p w14:paraId="1965B40A" w14:textId="77777777" w:rsidR="005633F5" w:rsidRPr="00164238" w:rsidRDefault="005633F5" w:rsidP="007C3550">
      <w:pPr>
        <w:numPr>
          <w:ilvl w:val="0"/>
          <w:numId w:val="52"/>
        </w:numPr>
        <w:spacing w:after="0" w:line="240" w:lineRule="auto"/>
        <w:contextualSpacing/>
        <w:rPr>
          <w:rFonts w:ascii="Times New Roman" w:eastAsia="Times New Roman"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Through expert systems and programming models, internal auditors are able to easily examine and evaluate the internal control system, plan the audit process, distribute tasks to auditors, analyze accounts and processes, assess relative importance, perform analytical examination procedures, detect and identify problems, analyze budget deviations, evaluate performance, and form an opinion on the continuity of the facility.</w:t>
      </w:r>
    </w:p>
    <w:p w14:paraId="6DB8A2B8" w14:textId="77777777" w:rsidR="005633F5" w:rsidRPr="00164238" w:rsidRDefault="005633F5" w:rsidP="007C3550">
      <w:pPr>
        <w:numPr>
          <w:ilvl w:val="0"/>
          <w:numId w:val="52"/>
        </w:numPr>
        <w:spacing w:after="0" w:line="240" w:lineRule="auto"/>
        <w:contextualSpacing/>
        <w:rPr>
          <w:rFonts w:ascii="Times New Roman" w:eastAsia="Times New Roman"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Internal auditors rely on neural networks as a type of AI tool in forecasting and looking ahead, assessing the company's financial position, selecting a review sample, detecting errors, fraud and any substantial financial or administrative irregularities.</w:t>
      </w:r>
    </w:p>
    <w:p w14:paraId="5F476ACC" w14:textId="77777777" w:rsidR="005633F5" w:rsidRPr="00164238" w:rsidRDefault="005633F5" w:rsidP="007C3550">
      <w:pPr>
        <w:numPr>
          <w:ilvl w:val="0"/>
          <w:numId w:val="52"/>
        </w:numPr>
        <w:spacing w:after="0" w:line="240" w:lineRule="auto"/>
        <w:contextualSpacing/>
        <w:rPr>
          <w:rFonts w:ascii="Times New Roman" w:eastAsia="Times New Roman"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Through the use of AI tools, internal auditors ensure that the internal audit process is completed in high quality and in accordance with international and professional standards, in addition to the possibility of developing and updating the management of internal audit activities, and providing internal auditors with high skills in the preparation of internal audit programs and writing financial and administrative reports, according to which the company's critical decisions are made.</w:t>
      </w:r>
    </w:p>
    <w:p w14:paraId="51D8FAFC"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Simplified Arabic" w:hAnsi="Times New Roman" w:cs="Times New Roman"/>
          <w:color w:val="000000" w:themeColor="text1"/>
          <w:sz w:val="20"/>
          <w:szCs w:val="20"/>
        </w:rPr>
        <w:t xml:space="preserve"> </w:t>
      </w:r>
    </w:p>
    <w:p w14:paraId="0C217E73" w14:textId="77777777" w:rsidR="005633F5" w:rsidRPr="00164238" w:rsidRDefault="005633F5" w:rsidP="006F033D">
      <w:pPr>
        <w:spacing w:after="0" w:line="240" w:lineRule="auto"/>
        <w:ind w:firstLine="708"/>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Fourth: The use of artificial intelligence in internal audit and its impact on strengthening governance procedures</w:t>
      </w:r>
    </w:p>
    <w:p w14:paraId="7BFCC0A4"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The auditing method has shifted from documentary auditing to digital audit, which is a type of artificial intelligence, and has been relied upon through expert systems, computerized systems and accounting programs to facilitate the auditing process in major private and public institutions, reflecting on the possibility of administrative control over the assets and funds of public institutions directly, and this led to the devolution of powers and the emergence of an administrative pyramid based on an organizational method in which the work, objectives, duties and responsibilities required, implementation of strategic tasks and protection of public rights and interests, and maintaining the principle of transparency and accountability, and this This strengthens governance in the public sector (Samurai, Shreida, 2020).</w:t>
      </w:r>
    </w:p>
    <w:p w14:paraId="2A773CA1"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Simplified Arabic" w:hAnsi="Times New Roman" w:cs="Times New Roman"/>
          <w:color w:val="000000" w:themeColor="text1"/>
          <w:sz w:val="20"/>
          <w:szCs w:val="20"/>
        </w:rPr>
        <w:t xml:space="preserve"> </w:t>
      </w:r>
    </w:p>
    <w:p w14:paraId="3B5DB971"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u w:val="single"/>
          <w:lang w:val="en"/>
        </w:rPr>
        <w:t>*Practical framework of the study (field study):</w:t>
      </w:r>
    </w:p>
    <w:p w14:paraId="159FEC6F"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 xml:space="preserve">    The researchers conducted the field study to test the hypotheses of the study and achieve its objectives as follows:</w:t>
      </w:r>
    </w:p>
    <w:p w14:paraId="333E23A2"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First: The curriculum:</w:t>
      </w:r>
    </w:p>
    <w:p w14:paraId="71E9D85D"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The descriptive analytical approach has been used as the appropriate method for the study of social and human phenomena, and the collection of data is based on secondary and primary sources as follows:</w:t>
      </w:r>
    </w:p>
    <w:p w14:paraId="331E51CF"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u w:val="single"/>
          <w:lang w:val="en"/>
        </w:rPr>
        <w:t>Secondary sources:</w:t>
      </w:r>
      <w:r w:rsidRPr="00164238">
        <w:rPr>
          <w:rFonts w:ascii="Times New Roman" w:eastAsia="Calibri" w:hAnsi="Times New Roman" w:cs="Times New Roman"/>
          <w:color w:val="000000" w:themeColor="text1"/>
          <w:sz w:val="20"/>
          <w:szCs w:val="20"/>
          <w:lang w:val="en"/>
        </w:rPr>
        <w:t xml:space="preserve">  it consists of books, research, scientific messages, periodicals and the Internet.</w:t>
      </w:r>
    </w:p>
    <w:p w14:paraId="2D354CF0"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u w:val="single"/>
          <w:lang w:val="en"/>
        </w:rPr>
        <w:t>- Primary sources:</w:t>
      </w:r>
      <w:r w:rsidRPr="00164238">
        <w:rPr>
          <w:rFonts w:ascii="Times New Roman" w:eastAsia="Calibri" w:hAnsi="Times New Roman" w:cs="Times New Roman"/>
          <w:color w:val="000000" w:themeColor="text1"/>
          <w:sz w:val="20"/>
          <w:szCs w:val="20"/>
          <w:lang w:val="en"/>
        </w:rPr>
        <w:t xml:space="preserve">  It consists of a questionnaire specifically prepared for this purpose to obtain the required information, and the Statistical Program (SPSS) is used to analyze the survey list and test the study assignments.</w:t>
      </w:r>
    </w:p>
    <w:p w14:paraId="70D56BC0"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Simplified Arabic" w:hAnsi="Times New Roman" w:cs="Times New Roman"/>
          <w:b/>
          <w:bCs/>
          <w:color w:val="000000" w:themeColor="text1"/>
          <w:sz w:val="20"/>
          <w:szCs w:val="20"/>
        </w:rPr>
        <w:t xml:space="preserve"> </w:t>
      </w:r>
    </w:p>
    <w:p w14:paraId="4693996A"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Second: Study society:</w:t>
      </w:r>
    </w:p>
    <w:p w14:paraId="27714A4E"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The study community consists of the director of the audit department, the head of the audit department, and the internal audit auditors in the 40-member Palestinian government ministries, and the method of comprehensive inventory was used for the small size of the society.</w:t>
      </w:r>
    </w:p>
    <w:p w14:paraId="403C6129"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Simplified Arabic" w:hAnsi="Times New Roman" w:cs="Times New Roman"/>
          <w:b/>
          <w:bCs/>
          <w:color w:val="000000" w:themeColor="text1"/>
          <w:sz w:val="20"/>
          <w:szCs w:val="20"/>
        </w:rPr>
        <w:t xml:space="preserve"> </w:t>
      </w:r>
    </w:p>
    <w:p w14:paraId="67683F07"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Third: The study tool:</w:t>
      </w:r>
    </w:p>
    <w:p w14:paraId="2546E748"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The study used the questionnaire list as a key tool in the field study, where the survey list was developed in the light of a comprehensive review of previous theoretical and scientific studies on the study variables, and the survey list included two main sections:</w:t>
      </w:r>
    </w:p>
    <w:p w14:paraId="2C2372AD"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 The first section:</w:t>
      </w:r>
      <w:r w:rsidRPr="00164238">
        <w:rPr>
          <w:rFonts w:ascii="Times New Roman" w:eastAsia="Calibri" w:hAnsi="Times New Roman" w:cs="Times New Roman"/>
          <w:color w:val="000000" w:themeColor="text1"/>
          <w:sz w:val="20"/>
          <w:szCs w:val="20"/>
          <w:lang w:val="en"/>
        </w:rPr>
        <w:t xml:space="preserve">  consists of personal and functional data for the study community,  and consists of 3 paragraphs.</w:t>
      </w:r>
    </w:p>
    <w:p w14:paraId="66F30F31"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 Section 2:</w:t>
      </w:r>
      <w:r w:rsidRPr="00164238">
        <w:rPr>
          <w:rFonts w:ascii="Times New Roman" w:eastAsia="Calibri" w:hAnsi="Times New Roman" w:cs="Times New Roman"/>
          <w:color w:val="000000" w:themeColor="text1"/>
          <w:sz w:val="20"/>
          <w:szCs w:val="20"/>
          <w:lang w:val="en"/>
        </w:rPr>
        <w:t xml:space="preserve">  It was divided into three axes as follows:</w:t>
      </w:r>
    </w:p>
    <w:p w14:paraId="159ABB6C"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lastRenderedPageBreak/>
        <w:t>* The first axis:</w:t>
      </w:r>
      <w:r w:rsidRPr="00164238">
        <w:rPr>
          <w:rFonts w:ascii="Times New Roman" w:eastAsia="Calibri" w:hAnsi="Times New Roman" w:cs="Times New Roman"/>
          <w:color w:val="000000" w:themeColor="text1"/>
          <w:sz w:val="20"/>
          <w:szCs w:val="20"/>
          <w:lang w:val="en"/>
        </w:rPr>
        <w:t xml:space="preserve">  risk management and evaluation, consisting of (8) paragraphs.</w:t>
      </w:r>
    </w:p>
    <w:p w14:paraId="6C14D1EF"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 xml:space="preserve">* The second axis: </w:t>
      </w:r>
      <w:r w:rsidRPr="00164238">
        <w:rPr>
          <w:rFonts w:ascii="Times New Roman" w:eastAsia="Calibri" w:hAnsi="Times New Roman" w:cs="Times New Roman"/>
          <w:color w:val="000000" w:themeColor="text1"/>
          <w:sz w:val="20"/>
          <w:szCs w:val="20"/>
          <w:lang w:val="en"/>
        </w:rPr>
        <w:t xml:space="preserve"> the examination and evaluation of the internal control system, consisting of (6) paragraphs.</w:t>
      </w:r>
    </w:p>
    <w:p w14:paraId="75C6A466"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 The third axis:</w:t>
      </w:r>
      <w:r w:rsidRPr="00164238">
        <w:rPr>
          <w:rFonts w:ascii="Times New Roman" w:eastAsia="Calibri" w:hAnsi="Times New Roman" w:cs="Times New Roman"/>
          <w:color w:val="000000" w:themeColor="text1"/>
          <w:sz w:val="20"/>
          <w:szCs w:val="20"/>
          <w:lang w:val="en"/>
        </w:rPr>
        <w:t xml:space="preserve">  strengthening governance procedures, consisting of (7) paragraphs.</w:t>
      </w:r>
    </w:p>
    <w:p w14:paraId="609DD084"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The answers to the paragraphs of the axes were according to the Five-Point Leckert scale, as described in the following table:</w:t>
      </w:r>
    </w:p>
    <w:p w14:paraId="215554B6" w14:textId="77777777" w:rsidR="005633F5" w:rsidRPr="00164238" w:rsidRDefault="005633F5" w:rsidP="005633F5">
      <w:pPr>
        <w:spacing w:after="0" w:line="240" w:lineRule="auto"/>
        <w:ind w:firstLine="720"/>
        <w:jc w:val="center"/>
        <w:rPr>
          <w:rFonts w:ascii="Times New Roman" w:eastAsia="Calibri" w:hAnsi="Times New Roman" w:cs="Times New Roman"/>
          <w:color w:val="000000" w:themeColor="text1"/>
          <w:sz w:val="20"/>
          <w:szCs w:val="20"/>
          <w:lang w:val="en"/>
        </w:rPr>
      </w:pPr>
      <w:r w:rsidRPr="00164238">
        <w:rPr>
          <w:rFonts w:ascii="Times New Roman" w:eastAsia="Calibri" w:hAnsi="Times New Roman" w:cs="Times New Roman"/>
          <w:b/>
          <w:color w:val="000000" w:themeColor="text1"/>
          <w:sz w:val="20"/>
          <w:szCs w:val="20"/>
          <w:lang w:val="en"/>
        </w:rPr>
        <w:t>Table No..1: the Five-Point Leckert scale</w:t>
      </w:r>
    </w:p>
    <w:tbl>
      <w:tblPr>
        <w:tblStyle w:val="OrtaGlgeleme2-Vurgu61"/>
        <w:tblW w:w="0" w:type="auto"/>
        <w:tblLayout w:type="fixed"/>
        <w:tblLook w:val="04A0" w:firstRow="1" w:lastRow="0" w:firstColumn="1" w:lastColumn="0" w:noHBand="0" w:noVBand="1"/>
      </w:tblPr>
      <w:tblGrid>
        <w:gridCol w:w="2660"/>
        <w:gridCol w:w="2126"/>
        <w:gridCol w:w="709"/>
        <w:gridCol w:w="1134"/>
        <w:gridCol w:w="992"/>
        <w:gridCol w:w="1418"/>
      </w:tblGrid>
      <w:tr w:rsidR="00AE5E6C" w:rsidRPr="00164238" w14:paraId="6B53AE4C" w14:textId="77777777" w:rsidTr="00682CB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60" w:type="dxa"/>
            <w:tcBorders>
              <w:top w:val="single" w:sz="8" w:space="0" w:color="auto"/>
              <w:left w:val="single" w:sz="8" w:space="0" w:color="auto"/>
              <w:bottom w:val="single" w:sz="8" w:space="0" w:color="auto"/>
              <w:right w:val="single" w:sz="8" w:space="0" w:color="auto"/>
            </w:tcBorders>
            <w:shd w:val="clear" w:color="auto" w:fill="F2F2F2" w:themeFill="background1" w:themeFillShade="F2"/>
          </w:tcPr>
          <w:p w14:paraId="619F8E26" w14:textId="77777777" w:rsidR="005633F5" w:rsidRPr="00164238" w:rsidRDefault="005633F5" w:rsidP="00682CBF">
            <w:pPr>
              <w:jc w:val="center"/>
              <w:rPr>
                <w:rFonts w:ascii="Times New Roman" w:hAnsi="Times New Roman"/>
                <w:color w:val="000000" w:themeColor="text1"/>
                <w:sz w:val="20"/>
                <w:szCs w:val="20"/>
              </w:rPr>
            </w:pPr>
            <w:r w:rsidRPr="00164238">
              <w:rPr>
                <w:rFonts w:ascii="Times New Roman" w:hAnsi="Times New Roman"/>
                <w:b w:val="0"/>
                <w:color w:val="000000" w:themeColor="text1"/>
                <w:sz w:val="20"/>
                <w:szCs w:val="20"/>
                <w:lang w:val="en"/>
              </w:rPr>
              <w:t>Classification</w:t>
            </w:r>
          </w:p>
        </w:tc>
        <w:tc>
          <w:tcPr>
            <w:tcW w:w="2126" w:type="dxa"/>
            <w:tcBorders>
              <w:top w:val="single" w:sz="8" w:space="0" w:color="auto"/>
              <w:left w:val="single" w:sz="8" w:space="0" w:color="auto"/>
              <w:bottom w:val="single" w:sz="8" w:space="0" w:color="auto"/>
            </w:tcBorders>
            <w:shd w:val="clear" w:color="auto" w:fill="F2F2F2" w:themeFill="background1" w:themeFillShade="F2"/>
          </w:tcPr>
          <w:p w14:paraId="411D454F" w14:textId="77777777" w:rsidR="005633F5" w:rsidRPr="00164238" w:rsidRDefault="005633F5" w:rsidP="00682CB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color w:val="000000" w:themeColor="text1"/>
                <w:sz w:val="20"/>
                <w:szCs w:val="20"/>
              </w:rPr>
            </w:pPr>
            <w:r w:rsidRPr="00164238">
              <w:rPr>
                <w:rFonts w:ascii="Times New Roman" w:hAnsi="Times New Roman"/>
                <w:bCs w:val="0"/>
                <w:color w:val="000000" w:themeColor="text1"/>
                <w:sz w:val="20"/>
                <w:szCs w:val="20"/>
                <w:lang w:val="en"/>
              </w:rPr>
              <w:t>Too  big.</w:t>
            </w:r>
          </w:p>
        </w:tc>
        <w:tc>
          <w:tcPr>
            <w:tcW w:w="709" w:type="dxa"/>
            <w:tcBorders>
              <w:top w:val="single" w:sz="8" w:space="0" w:color="auto"/>
              <w:left w:val="single" w:sz="8" w:space="0" w:color="auto"/>
              <w:bottom w:val="single" w:sz="8" w:space="0" w:color="auto"/>
            </w:tcBorders>
            <w:shd w:val="clear" w:color="auto" w:fill="F2F2F2" w:themeFill="background1" w:themeFillShade="F2"/>
          </w:tcPr>
          <w:p w14:paraId="1AF8CB0F" w14:textId="77777777" w:rsidR="005633F5" w:rsidRPr="00164238" w:rsidRDefault="005633F5" w:rsidP="00682CB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color w:val="000000" w:themeColor="text1"/>
                <w:sz w:val="20"/>
                <w:szCs w:val="20"/>
              </w:rPr>
            </w:pPr>
            <w:r w:rsidRPr="00164238">
              <w:rPr>
                <w:rFonts w:ascii="Times New Roman" w:hAnsi="Times New Roman"/>
                <w:bCs w:val="0"/>
                <w:color w:val="000000" w:themeColor="text1"/>
                <w:sz w:val="20"/>
                <w:szCs w:val="20"/>
                <w:lang w:val="en"/>
              </w:rPr>
              <w:t>Big.</w:t>
            </w:r>
          </w:p>
        </w:tc>
        <w:tc>
          <w:tcPr>
            <w:tcW w:w="1134" w:type="dxa"/>
            <w:tcBorders>
              <w:top w:val="single" w:sz="8" w:space="0" w:color="auto"/>
              <w:left w:val="single" w:sz="8" w:space="0" w:color="auto"/>
              <w:bottom w:val="single" w:sz="8" w:space="0" w:color="auto"/>
            </w:tcBorders>
            <w:shd w:val="clear" w:color="auto" w:fill="F2F2F2" w:themeFill="background1" w:themeFillShade="F2"/>
          </w:tcPr>
          <w:p w14:paraId="5592AC61" w14:textId="77777777" w:rsidR="005633F5" w:rsidRPr="00164238" w:rsidRDefault="005633F5" w:rsidP="00682CB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color w:val="000000" w:themeColor="text1"/>
                <w:sz w:val="20"/>
                <w:szCs w:val="20"/>
              </w:rPr>
            </w:pPr>
            <w:r w:rsidRPr="00164238">
              <w:rPr>
                <w:rFonts w:ascii="Times New Roman" w:hAnsi="Times New Roman"/>
                <w:bCs w:val="0"/>
                <w:color w:val="000000" w:themeColor="text1"/>
                <w:sz w:val="20"/>
                <w:szCs w:val="20"/>
                <w:lang w:val="en"/>
              </w:rPr>
              <w:t>Medium</w:t>
            </w:r>
          </w:p>
        </w:tc>
        <w:tc>
          <w:tcPr>
            <w:tcW w:w="992" w:type="dxa"/>
            <w:tcBorders>
              <w:top w:val="single" w:sz="8" w:space="0" w:color="auto"/>
              <w:left w:val="single" w:sz="8" w:space="0" w:color="auto"/>
              <w:bottom w:val="single" w:sz="8" w:space="0" w:color="auto"/>
            </w:tcBorders>
            <w:shd w:val="clear" w:color="auto" w:fill="F2F2F2" w:themeFill="background1" w:themeFillShade="F2"/>
          </w:tcPr>
          <w:p w14:paraId="76EBEC56" w14:textId="77777777" w:rsidR="005633F5" w:rsidRPr="00164238" w:rsidRDefault="005633F5" w:rsidP="00682CB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color w:val="000000" w:themeColor="text1"/>
                <w:sz w:val="20"/>
                <w:szCs w:val="20"/>
              </w:rPr>
            </w:pPr>
            <w:r w:rsidRPr="00164238">
              <w:rPr>
                <w:rFonts w:ascii="Times New Roman" w:hAnsi="Times New Roman"/>
                <w:bCs w:val="0"/>
                <w:color w:val="000000" w:themeColor="text1"/>
                <w:sz w:val="20"/>
                <w:szCs w:val="20"/>
                <w:lang w:val="en"/>
              </w:rPr>
              <w:t>A few.</w:t>
            </w:r>
          </w:p>
        </w:tc>
        <w:tc>
          <w:tcPr>
            <w:tcW w:w="1418" w:type="dxa"/>
            <w:tcBorders>
              <w:top w:val="single" w:sz="8" w:space="0" w:color="auto"/>
              <w:left w:val="single" w:sz="8" w:space="0" w:color="auto"/>
              <w:bottom w:val="single" w:sz="8" w:space="0" w:color="auto"/>
              <w:right w:val="single" w:sz="4" w:space="0" w:color="auto"/>
            </w:tcBorders>
            <w:shd w:val="clear" w:color="auto" w:fill="F2F2F2" w:themeFill="background1" w:themeFillShade="F2"/>
          </w:tcPr>
          <w:p w14:paraId="53D69D0C" w14:textId="77777777" w:rsidR="005633F5" w:rsidRPr="00164238" w:rsidRDefault="005633F5" w:rsidP="00682CB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color w:val="000000" w:themeColor="text1"/>
                <w:sz w:val="20"/>
                <w:szCs w:val="20"/>
              </w:rPr>
            </w:pPr>
            <w:r w:rsidRPr="00164238">
              <w:rPr>
                <w:rFonts w:ascii="Times New Roman" w:hAnsi="Times New Roman"/>
                <w:bCs w:val="0"/>
                <w:color w:val="000000" w:themeColor="text1"/>
                <w:sz w:val="20"/>
                <w:szCs w:val="20"/>
                <w:lang w:val="en"/>
              </w:rPr>
              <w:t>Very  little.</w:t>
            </w:r>
          </w:p>
        </w:tc>
      </w:tr>
      <w:tr w:rsidR="00AE5E6C" w:rsidRPr="00164238" w14:paraId="404DBE9F" w14:textId="77777777" w:rsidTr="00682C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Borders>
              <w:top w:val="single" w:sz="8" w:space="0" w:color="auto"/>
              <w:left w:val="single" w:sz="8" w:space="0" w:color="auto"/>
              <w:bottom w:val="single" w:sz="8" w:space="0" w:color="auto"/>
              <w:right w:val="single" w:sz="8" w:space="0" w:color="auto"/>
            </w:tcBorders>
            <w:shd w:val="clear" w:color="auto" w:fill="F2F2F2" w:themeFill="background1" w:themeFillShade="F2"/>
          </w:tcPr>
          <w:p w14:paraId="04528AC1" w14:textId="77777777" w:rsidR="005633F5" w:rsidRPr="00164238" w:rsidRDefault="005633F5" w:rsidP="00682CBF">
            <w:pPr>
              <w:jc w:val="center"/>
              <w:rPr>
                <w:rFonts w:ascii="Times New Roman" w:hAnsi="Times New Roman"/>
                <w:color w:val="000000" w:themeColor="text1"/>
                <w:sz w:val="20"/>
                <w:szCs w:val="20"/>
              </w:rPr>
            </w:pPr>
            <w:r w:rsidRPr="00164238">
              <w:rPr>
                <w:rFonts w:ascii="Times New Roman" w:hAnsi="Times New Roman"/>
                <w:b w:val="0"/>
                <w:color w:val="000000" w:themeColor="text1"/>
                <w:sz w:val="20"/>
                <w:szCs w:val="20"/>
                <w:lang w:val="en"/>
              </w:rPr>
              <w:t>The degree of approval</w:t>
            </w:r>
          </w:p>
        </w:tc>
        <w:tc>
          <w:tcPr>
            <w:tcW w:w="2126" w:type="dxa"/>
            <w:tcBorders>
              <w:top w:val="single" w:sz="8" w:space="0" w:color="auto"/>
              <w:left w:val="single" w:sz="8" w:space="0" w:color="auto"/>
              <w:bottom w:val="single" w:sz="8" w:space="0" w:color="auto"/>
              <w:right w:val="nil"/>
            </w:tcBorders>
          </w:tcPr>
          <w:p w14:paraId="6DA1CC60" w14:textId="77777777" w:rsidR="005633F5" w:rsidRPr="00164238" w:rsidRDefault="005633F5" w:rsidP="00682C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themeColor="text1"/>
                <w:sz w:val="20"/>
                <w:szCs w:val="20"/>
              </w:rPr>
            </w:pPr>
            <w:r w:rsidRPr="00164238">
              <w:rPr>
                <w:rFonts w:ascii="Times New Roman" w:hAnsi="Times New Roman"/>
                <w:bCs/>
                <w:color w:val="000000" w:themeColor="text1"/>
                <w:sz w:val="20"/>
                <w:szCs w:val="20"/>
                <w:lang w:val="en"/>
              </w:rPr>
              <w:t>5</w:t>
            </w:r>
          </w:p>
        </w:tc>
        <w:tc>
          <w:tcPr>
            <w:tcW w:w="709" w:type="dxa"/>
            <w:tcBorders>
              <w:top w:val="single" w:sz="8" w:space="0" w:color="auto"/>
              <w:left w:val="single" w:sz="8" w:space="0" w:color="auto"/>
              <w:bottom w:val="single" w:sz="8" w:space="0" w:color="auto"/>
              <w:right w:val="nil"/>
            </w:tcBorders>
          </w:tcPr>
          <w:p w14:paraId="732A7CE7" w14:textId="77777777" w:rsidR="005633F5" w:rsidRPr="00164238" w:rsidRDefault="005633F5" w:rsidP="00682C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themeColor="text1"/>
                <w:sz w:val="20"/>
                <w:szCs w:val="20"/>
              </w:rPr>
            </w:pPr>
            <w:r w:rsidRPr="00164238">
              <w:rPr>
                <w:rFonts w:ascii="Times New Roman" w:hAnsi="Times New Roman"/>
                <w:bCs/>
                <w:color w:val="000000" w:themeColor="text1"/>
                <w:sz w:val="20"/>
                <w:szCs w:val="20"/>
                <w:lang w:val="en"/>
              </w:rPr>
              <w:t>4</w:t>
            </w:r>
          </w:p>
        </w:tc>
        <w:tc>
          <w:tcPr>
            <w:tcW w:w="1134" w:type="dxa"/>
            <w:tcBorders>
              <w:top w:val="single" w:sz="8" w:space="0" w:color="auto"/>
              <w:left w:val="single" w:sz="8" w:space="0" w:color="auto"/>
              <w:bottom w:val="single" w:sz="8" w:space="0" w:color="auto"/>
              <w:right w:val="nil"/>
            </w:tcBorders>
          </w:tcPr>
          <w:p w14:paraId="400697D7" w14:textId="77777777" w:rsidR="005633F5" w:rsidRPr="00164238" w:rsidRDefault="005633F5" w:rsidP="00682C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themeColor="text1"/>
                <w:sz w:val="20"/>
                <w:szCs w:val="20"/>
              </w:rPr>
            </w:pPr>
            <w:r w:rsidRPr="00164238">
              <w:rPr>
                <w:rFonts w:ascii="Times New Roman" w:hAnsi="Times New Roman"/>
                <w:bCs/>
                <w:color w:val="000000" w:themeColor="text1"/>
                <w:sz w:val="20"/>
                <w:szCs w:val="20"/>
                <w:lang w:val="en"/>
              </w:rPr>
              <w:t>3</w:t>
            </w:r>
          </w:p>
        </w:tc>
        <w:tc>
          <w:tcPr>
            <w:tcW w:w="992" w:type="dxa"/>
            <w:tcBorders>
              <w:top w:val="single" w:sz="8" w:space="0" w:color="auto"/>
              <w:left w:val="single" w:sz="8" w:space="0" w:color="auto"/>
              <w:bottom w:val="single" w:sz="8" w:space="0" w:color="auto"/>
              <w:right w:val="nil"/>
            </w:tcBorders>
          </w:tcPr>
          <w:p w14:paraId="57FBD890" w14:textId="77777777" w:rsidR="005633F5" w:rsidRPr="00164238" w:rsidRDefault="005633F5" w:rsidP="00682C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themeColor="text1"/>
                <w:sz w:val="20"/>
                <w:szCs w:val="20"/>
              </w:rPr>
            </w:pPr>
            <w:r w:rsidRPr="00164238">
              <w:rPr>
                <w:rFonts w:ascii="Times New Roman" w:hAnsi="Times New Roman"/>
                <w:bCs/>
                <w:color w:val="000000" w:themeColor="text1"/>
                <w:sz w:val="20"/>
                <w:szCs w:val="20"/>
                <w:lang w:val="en"/>
              </w:rPr>
              <w:t>2</w:t>
            </w:r>
          </w:p>
        </w:tc>
        <w:tc>
          <w:tcPr>
            <w:tcW w:w="1418" w:type="dxa"/>
            <w:tcBorders>
              <w:top w:val="single" w:sz="8" w:space="0" w:color="auto"/>
              <w:left w:val="single" w:sz="8" w:space="0" w:color="auto"/>
              <w:bottom w:val="single" w:sz="8" w:space="0" w:color="auto"/>
              <w:right w:val="single" w:sz="4" w:space="0" w:color="auto"/>
            </w:tcBorders>
          </w:tcPr>
          <w:p w14:paraId="73AFF4C2" w14:textId="77777777" w:rsidR="005633F5" w:rsidRPr="00164238" w:rsidRDefault="005633F5" w:rsidP="00682C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000000" w:themeColor="text1"/>
                <w:sz w:val="20"/>
                <w:szCs w:val="20"/>
              </w:rPr>
            </w:pPr>
            <w:r w:rsidRPr="00164238">
              <w:rPr>
                <w:rFonts w:ascii="Times New Roman" w:hAnsi="Times New Roman"/>
                <w:bCs/>
                <w:color w:val="000000" w:themeColor="text1"/>
                <w:sz w:val="20"/>
                <w:szCs w:val="20"/>
                <w:lang w:val="en"/>
              </w:rPr>
              <w:t>1</w:t>
            </w:r>
          </w:p>
        </w:tc>
      </w:tr>
    </w:tbl>
    <w:p w14:paraId="0196B541"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Simplified Arabic" w:hAnsi="Times New Roman" w:cs="Times New Roman"/>
          <w:b/>
          <w:bCs/>
          <w:color w:val="000000" w:themeColor="text1"/>
          <w:sz w:val="20"/>
          <w:szCs w:val="20"/>
          <w:lang w:bidi="ar-YE"/>
        </w:rPr>
        <w:t xml:space="preserve"> </w:t>
      </w:r>
    </w:p>
    <w:p w14:paraId="0DB429C6"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 xml:space="preserve">Fourth: The validity of the questionnaire: the </w:t>
      </w:r>
      <w:r w:rsidRPr="00164238">
        <w:rPr>
          <w:rFonts w:ascii="Times New Roman" w:eastAsia="Calibri" w:hAnsi="Times New Roman" w:cs="Times New Roman"/>
          <w:color w:val="000000" w:themeColor="text1"/>
          <w:sz w:val="20"/>
          <w:szCs w:val="20"/>
          <w:lang w:val="en"/>
        </w:rPr>
        <w:t>questions of the questionnaire that were formulated measure what was developed to measure it, as it means by truth: the inclusion of the questionnaire for all the elements that must appear in the analysis on the one hand, and the clarity of its paragraphs and vocabulary on the other, so that they are understandable to all who use it, and the researchers measured the sincerity of the questionnaire in two ways:</w:t>
      </w:r>
    </w:p>
    <w:p w14:paraId="53B35C62" w14:textId="77777777" w:rsidR="005633F5" w:rsidRPr="00164238" w:rsidRDefault="005633F5" w:rsidP="005633F5">
      <w:pPr>
        <w:spacing w:after="0" w:line="240" w:lineRule="auto"/>
        <w:ind w:firstLine="720"/>
        <w:jc w:val="both"/>
        <w:rPr>
          <w:rFonts w:ascii="Times New Roman" w:eastAsia="Calibri" w:hAnsi="Times New Roman" w:cs="Times New Roman"/>
          <w:color w:val="000000" w:themeColor="text1"/>
          <w:sz w:val="20"/>
          <w:szCs w:val="20"/>
        </w:rPr>
      </w:pPr>
    </w:p>
    <w:p w14:paraId="22EBFD93"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lang w:val="en"/>
        </w:rPr>
      </w:pPr>
      <w:r w:rsidRPr="00164238">
        <w:rPr>
          <w:rFonts w:ascii="Times New Roman" w:eastAsia="Calibri" w:hAnsi="Times New Roman" w:cs="Times New Roman"/>
          <w:b/>
          <w:color w:val="000000" w:themeColor="text1"/>
          <w:sz w:val="20"/>
          <w:szCs w:val="20"/>
          <w:lang w:val="en"/>
        </w:rPr>
        <w:t xml:space="preserve">A- The honesty of the arbitrators (virtual honesty): </w:t>
      </w:r>
      <w:r w:rsidRPr="00164238">
        <w:rPr>
          <w:rFonts w:ascii="Times New Roman" w:eastAsia="Calibri" w:hAnsi="Times New Roman" w:cs="Times New Roman"/>
          <w:color w:val="000000" w:themeColor="text1"/>
          <w:sz w:val="20"/>
          <w:szCs w:val="20"/>
          <w:lang w:val="en"/>
        </w:rPr>
        <w:t>The researchers presented the questionnaire to a group of arbitrators made up of university professors specializing in accounting and statistics.</w:t>
      </w:r>
    </w:p>
    <w:p w14:paraId="526BA3A7"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lang w:val="en"/>
        </w:rPr>
      </w:pPr>
    </w:p>
    <w:p w14:paraId="067220CD"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B- The correct measurement:</w:t>
      </w:r>
    </w:p>
    <w:p w14:paraId="636117DC"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 xml:space="preserve">1. Internal consistency of the resolution paragraphs: </w:t>
      </w:r>
      <w:r w:rsidRPr="00164238">
        <w:rPr>
          <w:rFonts w:ascii="Times New Roman" w:eastAsia="Calibri" w:hAnsi="Times New Roman" w:cs="Times New Roman"/>
          <w:color w:val="000000" w:themeColor="text1"/>
          <w:sz w:val="20"/>
          <w:szCs w:val="20"/>
          <w:lang w:val="en"/>
        </w:rPr>
        <w:t>The researchers calculated the internal consistency of the questionnaires on the 30-individual survey community by calculating the coefficient of correlation between each of the questionnaire sparagraphands and the total grade of the same field.</w:t>
      </w:r>
    </w:p>
    <w:p w14:paraId="1EDD4664"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 Table (2) shows the coefficient of correlation between each of the paragraphs of the first hypothesis</w:t>
      </w:r>
      <w:r w:rsidRPr="00164238">
        <w:rPr>
          <w:rFonts w:ascii="Times New Roman" w:eastAsia="Calibri" w:hAnsi="Times New Roman" w:cs="Times New Roman"/>
          <w:b/>
          <w:color w:val="000000" w:themeColor="text1"/>
          <w:sz w:val="20"/>
          <w:szCs w:val="20"/>
          <w:lang w:val="en"/>
        </w:rPr>
        <w:t xml:space="preserve"> "there</w:t>
      </w:r>
      <w:r w:rsidRPr="00164238">
        <w:rPr>
          <w:rFonts w:ascii="Times New Roman" w:eastAsia="Calibri" w:hAnsi="Times New Roman" w:cs="Times New Roman"/>
          <w:color w:val="000000" w:themeColor="text1"/>
          <w:sz w:val="20"/>
          <w:szCs w:val="20"/>
          <w:lang w:val="en"/>
        </w:rPr>
        <w:t xml:space="preserve"> is an effect of the use of artificial intelligence in the internal audit process on the management and evaluation of risks in the Palestinian government sector" and the overall degree of the hypothesis, which shows that the correlation coefficients shown range from (0.593 - 0.799), which is a function at a moral level (α  = 0.01) and thus is considered to be true of what was set to measure it.</w:t>
      </w:r>
    </w:p>
    <w:p w14:paraId="62171F96" w14:textId="77777777" w:rsidR="005633F5" w:rsidRPr="00164238" w:rsidRDefault="005633F5" w:rsidP="005633F5">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Table No. (2) Pearson's correlation coefficient between each of the first hypothesis paragraphs and the overall degree of the hypothesis.</w:t>
      </w:r>
    </w:p>
    <w:tbl>
      <w:tblPr>
        <w:tblW w:w="0" w:type="auto"/>
        <w:tblLayout w:type="fixed"/>
        <w:tblLook w:val="04A0" w:firstRow="1" w:lastRow="0" w:firstColumn="1" w:lastColumn="0" w:noHBand="0" w:noVBand="1"/>
      </w:tblPr>
      <w:tblGrid>
        <w:gridCol w:w="6345"/>
        <w:gridCol w:w="1985"/>
        <w:gridCol w:w="850"/>
      </w:tblGrid>
      <w:tr w:rsidR="00AE5E6C" w:rsidRPr="00164238" w14:paraId="76D28C1C" w14:textId="77777777" w:rsidTr="00682CBF">
        <w:trPr>
          <w:trHeight w:val="255"/>
        </w:trPr>
        <w:tc>
          <w:tcPr>
            <w:tcW w:w="6345" w:type="dxa"/>
            <w:tcBorders>
              <w:top w:val="single" w:sz="8" w:space="0" w:color="auto"/>
              <w:left w:val="single" w:sz="8" w:space="0" w:color="auto"/>
              <w:bottom w:val="single" w:sz="8" w:space="0" w:color="auto"/>
              <w:right w:val="nil"/>
            </w:tcBorders>
            <w:vAlign w:val="center"/>
          </w:tcPr>
          <w:p w14:paraId="2C2398C2"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Axis</w:t>
            </w:r>
          </w:p>
        </w:tc>
        <w:tc>
          <w:tcPr>
            <w:tcW w:w="1985" w:type="dxa"/>
            <w:tcBorders>
              <w:top w:val="single" w:sz="8" w:space="0" w:color="auto"/>
              <w:left w:val="single" w:sz="8" w:space="0" w:color="auto"/>
              <w:bottom w:val="single" w:sz="8" w:space="0" w:color="auto"/>
              <w:right w:val="nil"/>
            </w:tcBorders>
            <w:vAlign w:val="center"/>
          </w:tcPr>
          <w:p w14:paraId="6CA80717"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Pearson Correlation Coefficient</w:t>
            </w:r>
          </w:p>
        </w:tc>
        <w:tc>
          <w:tcPr>
            <w:tcW w:w="850" w:type="dxa"/>
            <w:tcBorders>
              <w:top w:val="single" w:sz="8" w:space="0" w:color="auto"/>
              <w:left w:val="single" w:sz="8" w:space="0" w:color="auto"/>
              <w:bottom w:val="single" w:sz="8" w:space="0" w:color="auto"/>
              <w:right w:val="single" w:sz="4" w:space="0" w:color="auto"/>
            </w:tcBorders>
          </w:tcPr>
          <w:p w14:paraId="0524FB8A"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Moral level</w:t>
            </w:r>
          </w:p>
        </w:tc>
      </w:tr>
      <w:tr w:rsidR="00AE5E6C" w:rsidRPr="00164238" w14:paraId="2AC57BB3" w14:textId="77777777" w:rsidTr="00682CBF">
        <w:trPr>
          <w:trHeight w:val="255"/>
        </w:trPr>
        <w:tc>
          <w:tcPr>
            <w:tcW w:w="6345" w:type="dxa"/>
            <w:tcBorders>
              <w:top w:val="single" w:sz="8" w:space="0" w:color="auto"/>
              <w:left w:val="single" w:sz="8" w:space="0" w:color="auto"/>
              <w:bottom w:val="single" w:sz="8" w:space="0" w:color="auto"/>
              <w:right w:val="nil"/>
            </w:tcBorders>
            <w:vAlign w:val="center"/>
          </w:tcPr>
          <w:p w14:paraId="06560A1B"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Internal auditing using AI technologies helps improve the efficiency and effectiveness of the audit process.</w:t>
            </w:r>
          </w:p>
        </w:tc>
        <w:tc>
          <w:tcPr>
            <w:tcW w:w="1985" w:type="dxa"/>
            <w:tcBorders>
              <w:top w:val="single" w:sz="8" w:space="0" w:color="auto"/>
              <w:left w:val="single" w:sz="8" w:space="0" w:color="auto"/>
              <w:bottom w:val="single" w:sz="8" w:space="0" w:color="auto"/>
              <w:right w:val="nil"/>
            </w:tcBorders>
            <w:vAlign w:val="center"/>
          </w:tcPr>
          <w:p w14:paraId="2DCE7212"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0.593**</w:t>
            </w:r>
          </w:p>
        </w:tc>
        <w:tc>
          <w:tcPr>
            <w:tcW w:w="850" w:type="dxa"/>
            <w:tcBorders>
              <w:top w:val="single" w:sz="8" w:space="0" w:color="auto"/>
              <w:left w:val="single" w:sz="8" w:space="0" w:color="auto"/>
              <w:bottom w:val="single" w:sz="8" w:space="0" w:color="auto"/>
              <w:right w:val="single" w:sz="4" w:space="0" w:color="auto"/>
            </w:tcBorders>
            <w:vAlign w:val="center"/>
          </w:tcPr>
          <w:p w14:paraId="63FAE238"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0.00</w:t>
            </w:r>
          </w:p>
        </w:tc>
      </w:tr>
      <w:tr w:rsidR="00AE5E6C" w:rsidRPr="00164238" w14:paraId="3D1DDAD8" w14:textId="77777777" w:rsidTr="00682CBF">
        <w:trPr>
          <w:trHeight w:val="720"/>
        </w:trPr>
        <w:tc>
          <w:tcPr>
            <w:tcW w:w="6345" w:type="dxa"/>
            <w:tcBorders>
              <w:top w:val="single" w:sz="8" w:space="0" w:color="auto"/>
              <w:left w:val="single" w:sz="8" w:space="0" w:color="auto"/>
              <w:bottom w:val="single" w:sz="8" w:space="0" w:color="auto"/>
              <w:right w:val="nil"/>
            </w:tcBorders>
            <w:vAlign w:val="center"/>
          </w:tcPr>
          <w:p w14:paraId="75275771"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The use of AI tools increases the quality of internal audit services and reduces risk.</w:t>
            </w:r>
          </w:p>
        </w:tc>
        <w:tc>
          <w:tcPr>
            <w:tcW w:w="1985" w:type="dxa"/>
            <w:tcBorders>
              <w:top w:val="single" w:sz="8" w:space="0" w:color="auto"/>
              <w:left w:val="single" w:sz="8" w:space="0" w:color="auto"/>
              <w:bottom w:val="single" w:sz="8" w:space="0" w:color="auto"/>
              <w:right w:val="nil"/>
            </w:tcBorders>
            <w:vAlign w:val="center"/>
          </w:tcPr>
          <w:p w14:paraId="01528CF4"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0.799**</w:t>
            </w:r>
          </w:p>
        </w:tc>
        <w:tc>
          <w:tcPr>
            <w:tcW w:w="850" w:type="dxa"/>
            <w:tcBorders>
              <w:top w:val="single" w:sz="8" w:space="0" w:color="auto"/>
              <w:left w:val="single" w:sz="8" w:space="0" w:color="auto"/>
              <w:bottom w:val="single" w:sz="8" w:space="0" w:color="auto"/>
              <w:right w:val="single" w:sz="4" w:space="0" w:color="auto"/>
            </w:tcBorders>
            <w:vAlign w:val="center"/>
          </w:tcPr>
          <w:p w14:paraId="56F62CB4"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0.00</w:t>
            </w:r>
          </w:p>
        </w:tc>
      </w:tr>
      <w:tr w:rsidR="00AE5E6C" w:rsidRPr="00164238" w14:paraId="0CE99016" w14:textId="77777777" w:rsidTr="00682CBF">
        <w:trPr>
          <w:trHeight w:val="255"/>
        </w:trPr>
        <w:tc>
          <w:tcPr>
            <w:tcW w:w="6345" w:type="dxa"/>
            <w:tcBorders>
              <w:top w:val="single" w:sz="8" w:space="0" w:color="auto"/>
              <w:left w:val="single" w:sz="8" w:space="0" w:color="auto"/>
              <w:bottom w:val="single" w:sz="8" w:space="0" w:color="auto"/>
              <w:right w:val="nil"/>
            </w:tcBorders>
            <w:vAlign w:val="center"/>
          </w:tcPr>
          <w:p w14:paraId="3D617386"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AI applications and innovative methods support internal audit, helping to manage and evaluate risks.</w:t>
            </w:r>
          </w:p>
        </w:tc>
        <w:tc>
          <w:tcPr>
            <w:tcW w:w="1985" w:type="dxa"/>
            <w:tcBorders>
              <w:top w:val="single" w:sz="8" w:space="0" w:color="auto"/>
              <w:left w:val="single" w:sz="8" w:space="0" w:color="auto"/>
              <w:bottom w:val="single" w:sz="8" w:space="0" w:color="auto"/>
              <w:right w:val="nil"/>
            </w:tcBorders>
            <w:vAlign w:val="center"/>
          </w:tcPr>
          <w:p w14:paraId="5E99BA76"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0.547**</w:t>
            </w:r>
          </w:p>
        </w:tc>
        <w:tc>
          <w:tcPr>
            <w:tcW w:w="850" w:type="dxa"/>
            <w:tcBorders>
              <w:top w:val="single" w:sz="8" w:space="0" w:color="auto"/>
              <w:left w:val="single" w:sz="8" w:space="0" w:color="auto"/>
              <w:bottom w:val="single" w:sz="8" w:space="0" w:color="auto"/>
              <w:right w:val="single" w:sz="4" w:space="0" w:color="auto"/>
            </w:tcBorders>
            <w:vAlign w:val="center"/>
          </w:tcPr>
          <w:p w14:paraId="4A933874"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0.00</w:t>
            </w:r>
          </w:p>
        </w:tc>
      </w:tr>
      <w:tr w:rsidR="00AE5E6C" w:rsidRPr="00164238" w14:paraId="51C73C4C" w14:textId="77777777" w:rsidTr="00682CBF">
        <w:trPr>
          <w:trHeight w:val="255"/>
        </w:trPr>
        <w:tc>
          <w:tcPr>
            <w:tcW w:w="6345" w:type="dxa"/>
            <w:tcBorders>
              <w:top w:val="single" w:sz="8" w:space="0" w:color="auto"/>
              <w:left w:val="single" w:sz="8" w:space="0" w:color="auto"/>
              <w:bottom w:val="single" w:sz="8" w:space="0" w:color="auto"/>
              <w:right w:val="nil"/>
            </w:tcBorders>
            <w:vAlign w:val="center"/>
          </w:tcPr>
          <w:p w14:paraId="77495C94"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AI technologies contribute to improved internal audit activities and the development of risk management and regulatory systems.</w:t>
            </w:r>
          </w:p>
        </w:tc>
        <w:tc>
          <w:tcPr>
            <w:tcW w:w="1985" w:type="dxa"/>
            <w:tcBorders>
              <w:top w:val="single" w:sz="8" w:space="0" w:color="auto"/>
              <w:left w:val="single" w:sz="8" w:space="0" w:color="auto"/>
              <w:bottom w:val="single" w:sz="8" w:space="0" w:color="auto"/>
              <w:right w:val="nil"/>
            </w:tcBorders>
            <w:vAlign w:val="center"/>
          </w:tcPr>
          <w:p w14:paraId="547189A2"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0.712**</w:t>
            </w:r>
          </w:p>
        </w:tc>
        <w:tc>
          <w:tcPr>
            <w:tcW w:w="850" w:type="dxa"/>
            <w:tcBorders>
              <w:top w:val="single" w:sz="8" w:space="0" w:color="auto"/>
              <w:left w:val="single" w:sz="8" w:space="0" w:color="auto"/>
              <w:bottom w:val="single" w:sz="8" w:space="0" w:color="auto"/>
              <w:right w:val="single" w:sz="4" w:space="0" w:color="auto"/>
            </w:tcBorders>
            <w:vAlign w:val="center"/>
          </w:tcPr>
          <w:p w14:paraId="22B9ED09"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0.00</w:t>
            </w:r>
          </w:p>
        </w:tc>
      </w:tr>
      <w:tr w:rsidR="00AE5E6C" w:rsidRPr="00164238" w14:paraId="4E9732B3" w14:textId="77777777" w:rsidTr="00682CBF">
        <w:trPr>
          <w:trHeight w:val="720"/>
        </w:trPr>
        <w:tc>
          <w:tcPr>
            <w:tcW w:w="6345" w:type="dxa"/>
            <w:tcBorders>
              <w:top w:val="single" w:sz="8" w:space="0" w:color="auto"/>
              <w:left w:val="single" w:sz="8" w:space="0" w:color="auto"/>
              <w:bottom w:val="single" w:sz="8" w:space="0" w:color="auto"/>
              <w:right w:val="nil"/>
            </w:tcBorders>
            <w:vAlign w:val="center"/>
          </w:tcPr>
          <w:p w14:paraId="63611B21"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Internal auditors determine the extent to which objectives and policies are achieved, and identify and report deviations.</w:t>
            </w:r>
          </w:p>
        </w:tc>
        <w:tc>
          <w:tcPr>
            <w:tcW w:w="1985" w:type="dxa"/>
            <w:tcBorders>
              <w:top w:val="single" w:sz="8" w:space="0" w:color="auto"/>
              <w:left w:val="single" w:sz="8" w:space="0" w:color="auto"/>
              <w:bottom w:val="single" w:sz="8" w:space="0" w:color="auto"/>
              <w:right w:val="nil"/>
            </w:tcBorders>
            <w:vAlign w:val="center"/>
          </w:tcPr>
          <w:p w14:paraId="1F5AB3EE"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0.673**</w:t>
            </w:r>
          </w:p>
        </w:tc>
        <w:tc>
          <w:tcPr>
            <w:tcW w:w="850" w:type="dxa"/>
            <w:tcBorders>
              <w:top w:val="single" w:sz="8" w:space="0" w:color="auto"/>
              <w:left w:val="single" w:sz="8" w:space="0" w:color="auto"/>
              <w:bottom w:val="single" w:sz="8" w:space="0" w:color="auto"/>
              <w:right w:val="single" w:sz="4" w:space="0" w:color="auto"/>
            </w:tcBorders>
            <w:vAlign w:val="center"/>
          </w:tcPr>
          <w:p w14:paraId="75B57D5C"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0.00</w:t>
            </w:r>
          </w:p>
        </w:tc>
      </w:tr>
      <w:tr w:rsidR="00AE5E6C" w:rsidRPr="00164238" w14:paraId="49C3DAC4" w14:textId="77777777" w:rsidTr="00682CBF">
        <w:trPr>
          <w:trHeight w:val="255"/>
        </w:trPr>
        <w:tc>
          <w:tcPr>
            <w:tcW w:w="6345" w:type="dxa"/>
            <w:tcBorders>
              <w:top w:val="single" w:sz="8" w:space="0" w:color="auto"/>
              <w:left w:val="single" w:sz="8" w:space="0" w:color="auto"/>
              <w:bottom w:val="single" w:sz="8" w:space="0" w:color="auto"/>
              <w:right w:val="nil"/>
            </w:tcBorders>
            <w:vAlign w:val="center"/>
          </w:tcPr>
          <w:p w14:paraId="1980D5AC"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The use of AI tools in the internal audit process helps improve the means used to protect and control your organization's assets.</w:t>
            </w:r>
          </w:p>
        </w:tc>
        <w:tc>
          <w:tcPr>
            <w:tcW w:w="1985" w:type="dxa"/>
            <w:tcBorders>
              <w:top w:val="single" w:sz="8" w:space="0" w:color="auto"/>
              <w:left w:val="single" w:sz="8" w:space="0" w:color="auto"/>
              <w:bottom w:val="single" w:sz="8" w:space="0" w:color="auto"/>
              <w:right w:val="nil"/>
            </w:tcBorders>
            <w:vAlign w:val="center"/>
          </w:tcPr>
          <w:p w14:paraId="7E91D663"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0.784**</w:t>
            </w:r>
          </w:p>
        </w:tc>
        <w:tc>
          <w:tcPr>
            <w:tcW w:w="850" w:type="dxa"/>
            <w:tcBorders>
              <w:top w:val="single" w:sz="8" w:space="0" w:color="auto"/>
              <w:left w:val="single" w:sz="8" w:space="0" w:color="auto"/>
              <w:bottom w:val="single" w:sz="8" w:space="0" w:color="auto"/>
              <w:right w:val="single" w:sz="4" w:space="0" w:color="auto"/>
            </w:tcBorders>
            <w:vAlign w:val="center"/>
          </w:tcPr>
          <w:p w14:paraId="3BDA88EE"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0.00</w:t>
            </w:r>
          </w:p>
        </w:tc>
      </w:tr>
      <w:tr w:rsidR="00AE5E6C" w:rsidRPr="00164238" w14:paraId="06793817" w14:textId="77777777" w:rsidTr="00682CBF">
        <w:trPr>
          <w:trHeight w:val="255"/>
        </w:trPr>
        <w:tc>
          <w:tcPr>
            <w:tcW w:w="6345" w:type="dxa"/>
            <w:tcBorders>
              <w:top w:val="single" w:sz="8" w:space="0" w:color="auto"/>
              <w:left w:val="single" w:sz="8" w:space="0" w:color="auto"/>
              <w:bottom w:val="single" w:sz="8" w:space="0" w:color="auto"/>
              <w:right w:val="nil"/>
            </w:tcBorders>
            <w:vAlign w:val="center"/>
          </w:tcPr>
          <w:p w14:paraId="79AC75E7"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In-house auditors are trained to keep up with technological developments in the audit process to improve their performance in risk management and evaluation.</w:t>
            </w:r>
          </w:p>
        </w:tc>
        <w:tc>
          <w:tcPr>
            <w:tcW w:w="1985" w:type="dxa"/>
            <w:tcBorders>
              <w:top w:val="single" w:sz="8" w:space="0" w:color="auto"/>
              <w:left w:val="single" w:sz="8" w:space="0" w:color="auto"/>
              <w:bottom w:val="single" w:sz="8" w:space="0" w:color="auto"/>
              <w:right w:val="nil"/>
            </w:tcBorders>
            <w:vAlign w:val="center"/>
          </w:tcPr>
          <w:p w14:paraId="683423EA"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0.722**</w:t>
            </w:r>
          </w:p>
        </w:tc>
        <w:tc>
          <w:tcPr>
            <w:tcW w:w="850" w:type="dxa"/>
            <w:tcBorders>
              <w:top w:val="single" w:sz="8" w:space="0" w:color="auto"/>
              <w:left w:val="single" w:sz="8" w:space="0" w:color="auto"/>
              <w:bottom w:val="single" w:sz="8" w:space="0" w:color="auto"/>
              <w:right w:val="single" w:sz="4" w:space="0" w:color="auto"/>
            </w:tcBorders>
            <w:vAlign w:val="center"/>
          </w:tcPr>
          <w:p w14:paraId="3352B1BC"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0.00</w:t>
            </w:r>
          </w:p>
        </w:tc>
      </w:tr>
      <w:tr w:rsidR="00AE5E6C" w:rsidRPr="00164238" w14:paraId="1EE48F11" w14:textId="77777777" w:rsidTr="00682CBF">
        <w:trPr>
          <w:trHeight w:val="720"/>
        </w:trPr>
        <w:tc>
          <w:tcPr>
            <w:tcW w:w="6345" w:type="dxa"/>
            <w:tcBorders>
              <w:top w:val="single" w:sz="8" w:space="0" w:color="auto"/>
              <w:left w:val="single" w:sz="8" w:space="0" w:color="auto"/>
              <w:bottom w:val="single" w:sz="8" w:space="0" w:color="auto"/>
              <w:right w:val="nil"/>
            </w:tcBorders>
            <w:vAlign w:val="center"/>
          </w:tcPr>
          <w:p w14:paraId="73698612"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The use of AI technologies in the internal audit process helps to disclose the underlying risks.</w:t>
            </w:r>
          </w:p>
        </w:tc>
        <w:tc>
          <w:tcPr>
            <w:tcW w:w="1985" w:type="dxa"/>
            <w:tcBorders>
              <w:top w:val="single" w:sz="8" w:space="0" w:color="auto"/>
              <w:left w:val="single" w:sz="8" w:space="0" w:color="auto"/>
              <w:bottom w:val="single" w:sz="8" w:space="0" w:color="auto"/>
              <w:right w:val="nil"/>
            </w:tcBorders>
            <w:vAlign w:val="center"/>
          </w:tcPr>
          <w:p w14:paraId="324957D3"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0.741**</w:t>
            </w:r>
          </w:p>
        </w:tc>
        <w:tc>
          <w:tcPr>
            <w:tcW w:w="850" w:type="dxa"/>
            <w:tcBorders>
              <w:top w:val="single" w:sz="8" w:space="0" w:color="auto"/>
              <w:left w:val="single" w:sz="8" w:space="0" w:color="auto"/>
              <w:bottom w:val="single" w:sz="8" w:space="0" w:color="auto"/>
              <w:right w:val="single" w:sz="4" w:space="0" w:color="auto"/>
            </w:tcBorders>
            <w:vAlign w:val="center"/>
          </w:tcPr>
          <w:p w14:paraId="42BB1A16"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0.00</w:t>
            </w:r>
          </w:p>
        </w:tc>
      </w:tr>
    </w:tbl>
    <w:p w14:paraId="4151472F"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 Link D statistically at indication level</w:t>
      </w:r>
      <w:r w:rsidRPr="00164238">
        <w:rPr>
          <w:rFonts w:ascii="Times New Roman" w:eastAsia="Calibri" w:hAnsi="Times New Roman" w:cs="Times New Roman"/>
          <w:color w:val="000000" w:themeColor="text1"/>
          <w:sz w:val="20"/>
          <w:szCs w:val="20"/>
          <w:lang w:val="en"/>
        </w:rPr>
        <w:t xml:space="preserve"> </w:t>
      </w:r>
      <w:r w:rsidRPr="00164238">
        <w:rPr>
          <w:rFonts w:ascii="Times New Roman" w:eastAsia="Calibri" w:hAnsi="Times New Roman" w:cs="Times New Roman"/>
          <w:b/>
          <w:color w:val="000000" w:themeColor="text1"/>
          <w:sz w:val="20"/>
          <w:szCs w:val="20"/>
          <w:lang w:val="en"/>
        </w:rPr>
        <w:t xml:space="preserve"> (α=0.01)</w:t>
      </w:r>
    </w:p>
    <w:p w14:paraId="66249EE7" w14:textId="6CC0DD83" w:rsidR="005633F5" w:rsidRDefault="005633F5" w:rsidP="005633F5">
      <w:pPr>
        <w:spacing w:after="0" w:line="240" w:lineRule="auto"/>
        <w:jc w:val="both"/>
        <w:rPr>
          <w:rFonts w:ascii="Times New Roman" w:eastAsia="Calibri" w:hAnsi="Times New Roman" w:cs="Times New Roman"/>
          <w:color w:val="000000" w:themeColor="text1"/>
          <w:sz w:val="20"/>
          <w:szCs w:val="20"/>
          <w:lang w:val="en"/>
        </w:rPr>
      </w:pPr>
      <w:r w:rsidRPr="00164238">
        <w:rPr>
          <w:rFonts w:ascii="Times New Roman" w:eastAsia="Calibri" w:hAnsi="Times New Roman" w:cs="Times New Roman"/>
          <w:color w:val="000000" w:themeColor="text1"/>
          <w:sz w:val="20"/>
          <w:szCs w:val="20"/>
          <w:lang w:val="en"/>
        </w:rPr>
        <w:lastRenderedPageBreak/>
        <w:t xml:space="preserve">- Table 3 shows the coefficient of correlation between each of the second paragraphs of hypothesis: </w:t>
      </w:r>
      <w:r w:rsidRPr="00164238">
        <w:rPr>
          <w:rFonts w:ascii="Times New Roman" w:eastAsia="Calibri" w:hAnsi="Times New Roman" w:cs="Times New Roman"/>
          <w:bCs/>
          <w:color w:val="000000" w:themeColor="text1"/>
          <w:sz w:val="20"/>
          <w:szCs w:val="20"/>
          <w:lang w:val="en"/>
        </w:rPr>
        <w:t>"There</w:t>
      </w:r>
      <w:r w:rsidRPr="00164238">
        <w:rPr>
          <w:rFonts w:ascii="Times New Roman" w:eastAsia="Calibri" w:hAnsi="Times New Roman" w:cs="Times New Roman"/>
          <w:color w:val="000000" w:themeColor="text1"/>
          <w:sz w:val="20"/>
          <w:szCs w:val="20"/>
          <w:lang w:val="en"/>
        </w:rPr>
        <w:t xml:space="preserve"> is an effect on the use of artificial intelligence in the internal audit process on the examination and evaluation of the internal control system in the Palestinian government sector" and the overall degree of the hypothesis, which shows that the correlation coefficients shown range from (0.547 to 0.841), which is a function at a moral level (α=0.01)  and thus is considered to be true of what it has developed.  </w:t>
      </w:r>
    </w:p>
    <w:p w14:paraId="3DFECAB9" w14:textId="04B2ED48" w:rsidR="00E839E1" w:rsidRDefault="00E839E1" w:rsidP="005633F5">
      <w:pPr>
        <w:spacing w:after="0" w:line="240" w:lineRule="auto"/>
        <w:jc w:val="both"/>
        <w:rPr>
          <w:rFonts w:ascii="Times New Roman" w:eastAsia="Calibri" w:hAnsi="Times New Roman" w:cs="Times New Roman"/>
          <w:color w:val="000000" w:themeColor="text1"/>
          <w:sz w:val="20"/>
          <w:szCs w:val="20"/>
          <w:lang w:val="en"/>
        </w:rPr>
      </w:pPr>
    </w:p>
    <w:p w14:paraId="27A8886C" w14:textId="77777777" w:rsidR="005633F5" w:rsidRPr="00164238" w:rsidRDefault="005633F5" w:rsidP="005633F5">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Table No. (3) Pearson's correlation coefficient between each of the second hypothesis paragraphs and the overall degree of the hypothesis.</w:t>
      </w:r>
    </w:p>
    <w:tbl>
      <w:tblPr>
        <w:tblW w:w="0" w:type="auto"/>
        <w:tblInd w:w="60" w:type="dxa"/>
        <w:tblLayout w:type="fixed"/>
        <w:tblLook w:val="04A0" w:firstRow="1" w:lastRow="0" w:firstColumn="1" w:lastColumn="0" w:noHBand="0" w:noVBand="1"/>
      </w:tblPr>
      <w:tblGrid>
        <w:gridCol w:w="6002"/>
        <w:gridCol w:w="2268"/>
        <w:gridCol w:w="850"/>
      </w:tblGrid>
      <w:tr w:rsidR="00AE5E6C" w:rsidRPr="00164238" w14:paraId="2D81F309" w14:textId="77777777" w:rsidTr="00682CBF">
        <w:trPr>
          <w:trHeight w:val="255"/>
        </w:trPr>
        <w:tc>
          <w:tcPr>
            <w:tcW w:w="6002" w:type="dxa"/>
            <w:tcBorders>
              <w:top w:val="single" w:sz="8" w:space="0" w:color="auto"/>
              <w:left w:val="single" w:sz="8" w:space="0" w:color="auto"/>
              <w:bottom w:val="single" w:sz="8" w:space="0" w:color="auto"/>
              <w:right w:val="single" w:sz="8" w:space="0" w:color="auto"/>
            </w:tcBorders>
            <w:vAlign w:val="center"/>
          </w:tcPr>
          <w:p w14:paraId="07865D25"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Axis</w:t>
            </w:r>
          </w:p>
        </w:tc>
        <w:tc>
          <w:tcPr>
            <w:tcW w:w="2268" w:type="dxa"/>
            <w:tcBorders>
              <w:top w:val="single" w:sz="8" w:space="0" w:color="auto"/>
              <w:left w:val="single" w:sz="8" w:space="0" w:color="auto"/>
              <w:bottom w:val="single" w:sz="8" w:space="0" w:color="auto"/>
              <w:right w:val="nil"/>
            </w:tcBorders>
            <w:vAlign w:val="center"/>
          </w:tcPr>
          <w:p w14:paraId="48B019FA"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Pearson Correlation Coefficient</w:t>
            </w:r>
          </w:p>
        </w:tc>
        <w:tc>
          <w:tcPr>
            <w:tcW w:w="850" w:type="dxa"/>
            <w:tcBorders>
              <w:top w:val="single" w:sz="8" w:space="0" w:color="auto"/>
              <w:left w:val="single" w:sz="8" w:space="0" w:color="auto"/>
              <w:bottom w:val="single" w:sz="8" w:space="0" w:color="auto"/>
              <w:right w:val="single" w:sz="4" w:space="0" w:color="auto"/>
            </w:tcBorders>
          </w:tcPr>
          <w:p w14:paraId="26E154E1"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Moral level</w:t>
            </w:r>
          </w:p>
        </w:tc>
      </w:tr>
      <w:tr w:rsidR="00AE5E6C" w:rsidRPr="00164238" w14:paraId="0B12A36C" w14:textId="77777777" w:rsidTr="00682CBF">
        <w:trPr>
          <w:trHeight w:val="255"/>
        </w:trPr>
        <w:tc>
          <w:tcPr>
            <w:tcW w:w="6002" w:type="dxa"/>
            <w:tcBorders>
              <w:top w:val="single" w:sz="8" w:space="0" w:color="auto"/>
              <w:left w:val="single" w:sz="8" w:space="0" w:color="auto"/>
              <w:bottom w:val="single" w:sz="8" w:space="0" w:color="auto"/>
              <w:right w:val="single" w:sz="8" w:space="0" w:color="auto"/>
            </w:tcBorders>
            <w:vAlign w:val="center"/>
          </w:tcPr>
          <w:p w14:paraId="6D557C0E"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AI tools are a supportive strategy for completing internal audit procedures by using technology to achieve the quality of the audit process.</w:t>
            </w:r>
          </w:p>
        </w:tc>
        <w:tc>
          <w:tcPr>
            <w:tcW w:w="2268" w:type="dxa"/>
            <w:tcBorders>
              <w:top w:val="single" w:sz="8" w:space="0" w:color="auto"/>
              <w:left w:val="single" w:sz="8" w:space="0" w:color="auto"/>
              <w:bottom w:val="single" w:sz="8" w:space="0" w:color="auto"/>
              <w:right w:val="nil"/>
            </w:tcBorders>
            <w:vAlign w:val="center"/>
          </w:tcPr>
          <w:p w14:paraId="0385127C"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0.708**</w:t>
            </w:r>
          </w:p>
        </w:tc>
        <w:tc>
          <w:tcPr>
            <w:tcW w:w="850" w:type="dxa"/>
            <w:tcBorders>
              <w:top w:val="single" w:sz="8" w:space="0" w:color="auto"/>
              <w:left w:val="single" w:sz="8" w:space="0" w:color="auto"/>
              <w:bottom w:val="single" w:sz="8" w:space="0" w:color="auto"/>
              <w:right w:val="single" w:sz="4" w:space="0" w:color="auto"/>
            </w:tcBorders>
            <w:vAlign w:val="center"/>
          </w:tcPr>
          <w:p w14:paraId="2322DA04"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0.00</w:t>
            </w:r>
          </w:p>
        </w:tc>
      </w:tr>
      <w:tr w:rsidR="00AE5E6C" w:rsidRPr="00164238" w14:paraId="5C3965B4" w14:textId="77777777" w:rsidTr="00682CBF">
        <w:trPr>
          <w:trHeight w:val="720"/>
        </w:trPr>
        <w:tc>
          <w:tcPr>
            <w:tcW w:w="6002" w:type="dxa"/>
            <w:tcBorders>
              <w:top w:val="single" w:sz="8" w:space="0" w:color="auto"/>
              <w:left w:val="single" w:sz="8" w:space="0" w:color="auto"/>
              <w:bottom w:val="single" w:sz="8" w:space="0" w:color="auto"/>
              <w:right w:val="single" w:sz="8" w:space="0" w:color="auto"/>
            </w:tcBorders>
            <w:vAlign w:val="center"/>
          </w:tcPr>
          <w:p w14:paraId="65142326"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The use of AI technologies helps automate the audit, examination and testing of the internal control system.</w:t>
            </w:r>
          </w:p>
        </w:tc>
        <w:tc>
          <w:tcPr>
            <w:tcW w:w="2268" w:type="dxa"/>
            <w:tcBorders>
              <w:top w:val="single" w:sz="8" w:space="0" w:color="auto"/>
              <w:left w:val="single" w:sz="8" w:space="0" w:color="auto"/>
              <w:bottom w:val="single" w:sz="8" w:space="0" w:color="auto"/>
              <w:right w:val="nil"/>
            </w:tcBorders>
            <w:vAlign w:val="center"/>
          </w:tcPr>
          <w:p w14:paraId="50955C7E"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0.547**</w:t>
            </w:r>
          </w:p>
        </w:tc>
        <w:tc>
          <w:tcPr>
            <w:tcW w:w="850" w:type="dxa"/>
            <w:tcBorders>
              <w:top w:val="single" w:sz="8" w:space="0" w:color="auto"/>
              <w:left w:val="single" w:sz="8" w:space="0" w:color="auto"/>
              <w:bottom w:val="single" w:sz="8" w:space="0" w:color="auto"/>
              <w:right w:val="single" w:sz="4" w:space="0" w:color="auto"/>
            </w:tcBorders>
            <w:vAlign w:val="center"/>
          </w:tcPr>
          <w:p w14:paraId="0D0A3900"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0.00</w:t>
            </w:r>
          </w:p>
        </w:tc>
      </w:tr>
      <w:tr w:rsidR="00AE5E6C" w:rsidRPr="00164238" w14:paraId="4B3C8FA5" w14:textId="77777777" w:rsidTr="00682CBF">
        <w:trPr>
          <w:trHeight w:val="255"/>
        </w:trPr>
        <w:tc>
          <w:tcPr>
            <w:tcW w:w="6002" w:type="dxa"/>
            <w:tcBorders>
              <w:top w:val="single" w:sz="8" w:space="0" w:color="auto"/>
              <w:left w:val="single" w:sz="8" w:space="0" w:color="auto"/>
              <w:bottom w:val="single" w:sz="8" w:space="0" w:color="auto"/>
              <w:right w:val="single" w:sz="8" w:space="0" w:color="auto"/>
            </w:tcBorders>
            <w:vAlign w:val="center"/>
          </w:tcPr>
          <w:p w14:paraId="20FF86C8"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The use of Artificial Intelligence technologies in the internal audit process is one of the most important means used to verify the effectiveness of the internal control system.</w:t>
            </w:r>
          </w:p>
        </w:tc>
        <w:tc>
          <w:tcPr>
            <w:tcW w:w="2268" w:type="dxa"/>
            <w:tcBorders>
              <w:top w:val="single" w:sz="8" w:space="0" w:color="auto"/>
              <w:left w:val="single" w:sz="8" w:space="0" w:color="auto"/>
              <w:bottom w:val="single" w:sz="8" w:space="0" w:color="auto"/>
              <w:right w:val="nil"/>
            </w:tcBorders>
            <w:vAlign w:val="center"/>
          </w:tcPr>
          <w:p w14:paraId="05E258B6"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0.841**</w:t>
            </w:r>
          </w:p>
        </w:tc>
        <w:tc>
          <w:tcPr>
            <w:tcW w:w="850" w:type="dxa"/>
            <w:tcBorders>
              <w:top w:val="single" w:sz="8" w:space="0" w:color="auto"/>
              <w:left w:val="single" w:sz="8" w:space="0" w:color="auto"/>
              <w:bottom w:val="single" w:sz="8" w:space="0" w:color="auto"/>
              <w:right w:val="single" w:sz="4" w:space="0" w:color="auto"/>
            </w:tcBorders>
            <w:vAlign w:val="center"/>
          </w:tcPr>
          <w:p w14:paraId="5771FE7B"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0.00</w:t>
            </w:r>
          </w:p>
        </w:tc>
      </w:tr>
      <w:tr w:rsidR="00AE5E6C" w:rsidRPr="00164238" w14:paraId="714932A1" w14:textId="77777777" w:rsidTr="00682CBF">
        <w:trPr>
          <w:trHeight w:val="255"/>
        </w:trPr>
        <w:tc>
          <w:tcPr>
            <w:tcW w:w="6002" w:type="dxa"/>
            <w:tcBorders>
              <w:top w:val="single" w:sz="8" w:space="0" w:color="auto"/>
              <w:left w:val="single" w:sz="8" w:space="0" w:color="auto"/>
              <w:bottom w:val="single" w:sz="8" w:space="0" w:color="auto"/>
              <w:right w:val="single" w:sz="8" w:space="0" w:color="auto"/>
            </w:tcBorders>
            <w:vAlign w:val="center"/>
          </w:tcPr>
          <w:p w14:paraId="6D5F9A69"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The efficiency of the audit process is utilized by using artificial intelligence to evaluate the financial and accounting system.</w:t>
            </w:r>
          </w:p>
        </w:tc>
        <w:tc>
          <w:tcPr>
            <w:tcW w:w="2268" w:type="dxa"/>
            <w:tcBorders>
              <w:top w:val="single" w:sz="8" w:space="0" w:color="auto"/>
              <w:left w:val="single" w:sz="8" w:space="0" w:color="auto"/>
              <w:bottom w:val="single" w:sz="8" w:space="0" w:color="auto"/>
              <w:right w:val="nil"/>
            </w:tcBorders>
            <w:vAlign w:val="center"/>
          </w:tcPr>
          <w:p w14:paraId="07B39673"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0.753**</w:t>
            </w:r>
          </w:p>
        </w:tc>
        <w:tc>
          <w:tcPr>
            <w:tcW w:w="850" w:type="dxa"/>
            <w:tcBorders>
              <w:top w:val="single" w:sz="8" w:space="0" w:color="auto"/>
              <w:left w:val="single" w:sz="8" w:space="0" w:color="auto"/>
              <w:bottom w:val="single" w:sz="8" w:space="0" w:color="auto"/>
              <w:right w:val="single" w:sz="4" w:space="0" w:color="auto"/>
            </w:tcBorders>
            <w:vAlign w:val="center"/>
          </w:tcPr>
          <w:p w14:paraId="0F9F6743"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0.00</w:t>
            </w:r>
          </w:p>
        </w:tc>
      </w:tr>
      <w:tr w:rsidR="00AE5E6C" w:rsidRPr="00164238" w14:paraId="79AF578D" w14:textId="77777777" w:rsidTr="00682CBF">
        <w:trPr>
          <w:trHeight w:val="720"/>
        </w:trPr>
        <w:tc>
          <w:tcPr>
            <w:tcW w:w="6002" w:type="dxa"/>
            <w:tcBorders>
              <w:top w:val="single" w:sz="8" w:space="0" w:color="auto"/>
              <w:left w:val="single" w:sz="8" w:space="0" w:color="auto"/>
              <w:bottom w:val="single" w:sz="8" w:space="0" w:color="auto"/>
              <w:right w:val="single" w:sz="8" w:space="0" w:color="auto"/>
            </w:tcBorders>
            <w:vAlign w:val="center"/>
          </w:tcPr>
          <w:p w14:paraId="20283AA9"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The use of artificial intelligence in the internal audit process plays a critical role in correcting the deviations of the internal control system and providing timely advice and solutions.</w:t>
            </w:r>
          </w:p>
        </w:tc>
        <w:tc>
          <w:tcPr>
            <w:tcW w:w="2268" w:type="dxa"/>
            <w:tcBorders>
              <w:top w:val="single" w:sz="8" w:space="0" w:color="auto"/>
              <w:left w:val="single" w:sz="8" w:space="0" w:color="auto"/>
              <w:bottom w:val="single" w:sz="8" w:space="0" w:color="auto"/>
              <w:right w:val="nil"/>
            </w:tcBorders>
            <w:vAlign w:val="center"/>
          </w:tcPr>
          <w:p w14:paraId="425F15B9"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0.696**</w:t>
            </w:r>
          </w:p>
        </w:tc>
        <w:tc>
          <w:tcPr>
            <w:tcW w:w="850" w:type="dxa"/>
            <w:tcBorders>
              <w:top w:val="single" w:sz="8" w:space="0" w:color="auto"/>
              <w:left w:val="single" w:sz="8" w:space="0" w:color="auto"/>
              <w:bottom w:val="single" w:sz="8" w:space="0" w:color="auto"/>
              <w:right w:val="single" w:sz="4" w:space="0" w:color="auto"/>
            </w:tcBorders>
            <w:vAlign w:val="center"/>
          </w:tcPr>
          <w:p w14:paraId="54D13A1D"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0.00</w:t>
            </w:r>
          </w:p>
        </w:tc>
      </w:tr>
      <w:tr w:rsidR="00AE5E6C" w:rsidRPr="00164238" w14:paraId="3651F378" w14:textId="77777777" w:rsidTr="00682CBF">
        <w:trPr>
          <w:trHeight w:val="255"/>
        </w:trPr>
        <w:tc>
          <w:tcPr>
            <w:tcW w:w="6002" w:type="dxa"/>
            <w:tcBorders>
              <w:top w:val="single" w:sz="8" w:space="0" w:color="auto"/>
              <w:left w:val="single" w:sz="8" w:space="0" w:color="auto"/>
              <w:bottom w:val="single" w:sz="8" w:space="0" w:color="auto"/>
              <w:right w:val="single" w:sz="8" w:space="0" w:color="auto"/>
            </w:tcBorders>
            <w:vAlign w:val="center"/>
          </w:tcPr>
          <w:p w14:paraId="56BEC770"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The use of artificial intelligence in the internal audit process helps identify weaknesses in the internal control system and develop appropriate solutions to eliminate them.</w:t>
            </w:r>
          </w:p>
        </w:tc>
        <w:tc>
          <w:tcPr>
            <w:tcW w:w="2268" w:type="dxa"/>
            <w:tcBorders>
              <w:top w:val="single" w:sz="8" w:space="0" w:color="auto"/>
              <w:left w:val="single" w:sz="8" w:space="0" w:color="auto"/>
              <w:bottom w:val="single" w:sz="8" w:space="0" w:color="auto"/>
              <w:right w:val="nil"/>
            </w:tcBorders>
            <w:vAlign w:val="center"/>
          </w:tcPr>
          <w:p w14:paraId="6FF60068"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0.583**</w:t>
            </w:r>
          </w:p>
        </w:tc>
        <w:tc>
          <w:tcPr>
            <w:tcW w:w="850" w:type="dxa"/>
            <w:tcBorders>
              <w:top w:val="single" w:sz="8" w:space="0" w:color="auto"/>
              <w:left w:val="single" w:sz="8" w:space="0" w:color="auto"/>
              <w:bottom w:val="single" w:sz="8" w:space="0" w:color="auto"/>
              <w:right w:val="single" w:sz="4" w:space="0" w:color="auto"/>
            </w:tcBorders>
            <w:vAlign w:val="center"/>
          </w:tcPr>
          <w:p w14:paraId="4B7A8520"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0.00</w:t>
            </w:r>
          </w:p>
        </w:tc>
      </w:tr>
    </w:tbl>
    <w:p w14:paraId="00F60A14"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 Link D statistically at indication level</w:t>
      </w:r>
      <w:r w:rsidRPr="00164238">
        <w:rPr>
          <w:rFonts w:ascii="Times New Roman" w:eastAsia="Calibri" w:hAnsi="Times New Roman" w:cs="Times New Roman"/>
          <w:color w:val="000000" w:themeColor="text1"/>
          <w:sz w:val="20"/>
          <w:szCs w:val="20"/>
          <w:lang w:val="en"/>
        </w:rPr>
        <w:t xml:space="preserve"> </w:t>
      </w:r>
      <w:r w:rsidRPr="00164238">
        <w:rPr>
          <w:rFonts w:ascii="Times New Roman" w:eastAsia="Calibri" w:hAnsi="Times New Roman" w:cs="Times New Roman"/>
          <w:b/>
          <w:color w:val="000000" w:themeColor="text1"/>
          <w:sz w:val="20"/>
          <w:szCs w:val="20"/>
          <w:lang w:val="en"/>
        </w:rPr>
        <w:t xml:space="preserve"> (α=0.01)</w:t>
      </w:r>
    </w:p>
    <w:p w14:paraId="79ED5FAD" w14:textId="77777777" w:rsidR="005633F5" w:rsidRPr="00164238" w:rsidRDefault="005633F5" w:rsidP="006F033D">
      <w:pPr>
        <w:spacing w:after="0" w:line="240" w:lineRule="auto"/>
        <w:ind w:firstLine="708"/>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 Table 4 shows the coefficient of correlation between each of the third paragraphs of hypothesis" there is an effect on the use of artificial intelligence in the internal audit process on strengthening governance procedures in the Palestinian government sector" and the overall degree of the hypothesis, which shows that the correlation coefficients shown range from (0.522 to 0.774), which is a function at a moral level (α=0.01)  and thus considers this hypothesis to be true to what it has been developed  to measure.</w:t>
      </w:r>
    </w:p>
    <w:p w14:paraId="227C7BD1" w14:textId="77777777" w:rsidR="005633F5" w:rsidRPr="00164238" w:rsidRDefault="005633F5" w:rsidP="005633F5">
      <w:pPr>
        <w:spacing w:after="0" w:line="240" w:lineRule="auto"/>
        <w:jc w:val="both"/>
        <w:rPr>
          <w:rFonts w:ascii="Times New Roman" w:eastAsia="Calibri" w:hAnsi="Times New Roman" w:cs="Times New Roman"/>
          <w:b/>
          <w:color w:val="000000" w:themeColor="text1"/>
          <w:sz w:val="20"/>
          <w:szCs w:val="20"/>
          <w:lang w:val="en"/>
        </w:rPr>
      </w:pPr>
    </w:p>
    <w:p w14:paraId="1CA6CBA2" w14:textId="77777777" w:rsidR="005633F5" w:rsidRPr="00164238" w:rsidRDefault="005633F5" w:rsidP="005633F5">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Table No. (4) Pearson's correlation coefficient between each of the third hypothesis paragraphs and the overall degree of the hypothesis.</w:t>
      </w:r>
    </w:p>
    <w:tbl>
      <w:tblPr>
        <w:tblW w:w="0" w:type="auto"/>
        <w:tblLayout w:type="fixed"/>
        <w:tblLook w:val="04A0" w:firstRow="1" w:lastRow="0" w:firstColumn="1" w:lastColumn="0" w:noHBand="0" w:noVBand="1"/>
      </w:tblPr>
      <w:tblGrid>
        <w:gridCol w:w="6345"/>
        <w:gridCol w:w="1985"/>
        <w:gridCol w:w="850"/>
      </w:tblGrid>
      <w:tr w:rsidR="00AE5E6C" w:rsidRPr="00164238" w14:paraId="0627D42E" w14:textId="77777777" w:rsidTr="00682CBF">
        <w:trPr>
          <w:trHeight w:val="255"/>
        </w:trPr>
        <w:tc>
          <w:tcPr>
            <w:tcW w:w="6345" w:type="dxa"/>
            <w:tcBorders>
              <w:top w:val="single" w:sz="8" w:space="0" w:color="auto"/>
              <w:left w:val="single" w:sz="8" w:space="0" w:color="auto"/>
              <w:bottom w:val="single" w:sz="8" w:space="0" w:color="auto"/>
              <w:right w:val="single" w:sz="8" w:space="0" w:color="auto"/>
            </w:tcBorders>
            <w:vAlign w:val="center"/>
          </w:tcPr>
          <w:p w14:paraId="45DEBD00" w14:textId="77777777" w:rsidR="005633F5" w:rsidRPr="00164238" w:rsidRDefault="005633F5" w:rsidP="00C95516">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Axis</w:t>
            </w:r>
          </w:p>
        </w:tc>
        <w:tc>
          <w:tcPr>
            <w:tcW w:w="1985" w:type="dxa"/>
            <w:tcBorders>
              <w:top w:val="single" w:sz="8" w:space="0" w:color="auto"/>
              <w:left w:val="single" w:sz="8" w:space="0" w:color="auto"/>
              <w:bottom w:val="single" w:sz="8" w:space="0" w:color="auto"/>
              <w:right w:val="nil"/>
            </w:tcBorders>
            <w:vAlign w:val="center"/>
          </w:tcPr>
          <w:p w14:paraId="0D0576DB" w14:textId="77777777" w:rsidR="005633F5" w:rsidRPr="00164238" w:rsidRDefault="005633F5" w:rsidP="00C95516">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Pearson Correlation Coefficient</w:t>
            </w:r>
          </w:p>
        </w:tc>
        <w:tc>
          <w:tcPr>
            <w:tcW w:w="850" w:type="dxa"/>
            <w:tcBorders>
              <w:top w:val="single" w:sz="8" w:space="0" w:color="auto"/>
              <w:left w:val="single" w:sz="8" w:space="0" w:color="auto"/>
              <w:bottom w:val="single" w:sz="8" w:space="0" w:color="auto"/>
              <w:right w:val="single" w:sz="4" w:space="0" w:color="auto"/>
            </w:tcBorders>
          </w:tcPr>
          <w:p w14:paraId="25AD5879" w14:textId="77777777" w:rsidR="005633F5" w:rsidRPr="00164238" w:rsidRDefault="005633F5" w:rsidP="00C95516">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Moral level</w:t>
            </w:r>
          </w:p>
        </w:tc>
      </w:tr>
      <w:tr w:rsidR="00AE5E6C" w:rsidRPr="00164238" w14:paraId="4C666687" w14:textId="77777777" w:rsidTr="00682CBF">
        <w:trPr>
          <w:trHeight w:val="255"/>
        </w:trPr>
        <w:tc>
          <w:tcPr>
            <w:tcW w:w="6345" w:type="dxa"/>
            <w:tcBorders>
              <w:top w:val="single" w:sz="8" w:space="0" w:color="auto"/>
              <w:left w:val="single" w:sz="8" w:space="0" w:color="auto"/>
              <w:bottom w:val="single" w:sz="8" w:space="0" w:color="auto"/>
              <w:right w:val="single" w:sz="8" w:space="0" w:color="auto"/>
            </w:tcBorders>
            <w:vAlign w:val="bottom"/>
          </w:tcPr>
          <w:p w14:paraId="4103A15B" w14:textId="77777777" w:rsidR="005633F5" w:rsidRPr="00164238" w:rsidRDefault="005633F5" w:rsidP="00C95516">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The use of AI tools in the internal audit process requires attention to technical and administrative governance and the promotion of transparency and responsibility as their principles.</w:t>
            </w:r>
          </w:p>
        </w:tc>
        <w:tc>
          <w:tcPr>
            <w:tcW w:w="1985" w:type="dxa"/>
            <w:tcBorders>
              <w:top w:val="single" w:sz="8" w:space="0" w:color="auto"/>
              <w:left w:val="single" w:sz="8" w:space="0" w:color="auto"/>
              <w:bottom w:val="single" w:sz="8" w:space="0" w:color="auto"/>
              <w:right w:val="nil"/>
            </w:tcBorders>
            <w:vAlign w:val="center"/>
          </w:tcPr>
          <w:p w14:paraId="43520630" w14:textId="77777777" w:rsidR="005633F5" w:rsidRPr="00164238" w:rsidRDefault="005633F5" w:rsidP="00C95516">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0.733**</w:t>
            </w:r>
          </w:p>
        </w:tc>
        <w:tc>
          <w:tcPr>
            <w:tcW w:w="850" w:type="dxa"/>
            <w:tcBorders>
              <w:top w:val="single" w:sz="8" w:space="0" w:color="auto"/>
              <w:left w:val="single" w:sz="8" w:space="0" w:color="auto"/>
              <w:bottom w:val="single" w:sz="8" w:space="0" w:color="auto"/>
              <w:right w:val="single" w:sz="4" w:space="0" w:color="auto"/>
            </w:tcBorders>
            <w:vAlign w:val="center"/>
          </w:tcPr>
          <w:p w14:paraId="3CC42905" w14:textId="77777777" w:rsidR="005633F5" w:rsidRPr="00164238" w:rsidRDefault="005633F5" w:rsidP="00C95516">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0.00</w:t>
            </w:r>
          </w:p>
        </w:tc>
      </w:tr>
      <w:tr w:rsidR="00AE5E6C" w:rsidRPr="00164238" w14:paraId="4FA86909" w14:textId="77777777" w:rsidTr="00682CBF">
        <w:trPr>
          <w:trHeight w:val="255"/>
        </w:trPr>
        <w:tc>
          <w:tcPr>
            <w:tcW w:w="6345" w:type="dxa"/>
            <w:tcBorders>
              <w:top w:val="single" w:sz="8" w:space="0" w:color="auto"/>
              <w:left w:val="single" w:sz="8" w:space="0" w:color="auto"/>
              <w:bottom w:val="single" w:sz="8" w:space="0" w:color="auto"/>
              <w:right w:val="single" w:sz="8" w:space="0" w:color="auto"/>
            </w:tcBorders>
            <w:vAlign w:val="bottom"/>
          </w:tcPr>
          <w:p w14:paraId="0F782E59" w14:textId="77777777" w:rsidR="005633F5" w:rsidRPr="00164238" w:rsidRDefault="005633F5" w:rsidP="00C95516">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The use of AI technologies in the internal audit process helps evaluate its governance system and risks.</w:t>
            </w:r>
          </w:p>
        </w:tc>
        <w:tc>
          <w:tcPr>
            <w:tcW w:w="1985" w:type="dxa"/>
            <w:tcBorders>
              <w:top w:val="single" w:sz="8" w:space="0" w:color="auto"/>
              <w:left w:val="single" w:sz="8" w:space="0" w:color="auto"/>
              <w:bottom w:val="single" w:sz="8" w:space="0" w:color="auto"/>
              <w:right w:val="nil"/>
            </w:tcBorders>
            <w:vAlign w:val="center"/>
          </w:tcPr>
          <w:p w14:paraId="1096D5FD" w14:textId="77777777" w:rsidR="005633F5" w:rsidRPr="00164238" w:rsidRDefault="005633F5" w:rsidP="00C95516">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0.774**</w:t>
            </w:r>
          </w:p>
        </w:tc>
        <w:tc>
          <w:tcPr>
            <w:tcW w:w="850" w:type="dxa"/>
            <w:tcBorders>
              <w:top w:val="single" w:sz="8" w:space="0" w:color="auto"/>
              <w:left w:val="single" w:sz="8" w:space="0" w:color="auto"/>
              <w:bottom w:val="single" w:sz="8" w:space="0" w:color="auto"/>
              <w:right w:val="single" w:sz="4" w:space="0" w:color="auto"/>
            </w:tcBorders>
            <w:vAlign w:val="center"/>
          </w:tcPr>
          <w:p w14:paraId="059C1398" w14:textId="77777777" w:rsidR="005633F5" w:rsidRPr="00164238" w:rsidRDefault="005633F5" w:rsidP="00C95516">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0.00</w:t>
            </w:r>
          </w:p>
        </w:tc>
      </w:tr>
      <w:tr w:rsidR="00AE5E6C" w:rsidRPr="00164238" w14:paraId="30ED212E" w14:textId="77777777" w:rsidTr="00682CBF">
        <w:trPr>
          <w:trHeight w:val="255"/>
        </w:trPr>
        <w:tc>
          <w:tcPr>
            <w:tcW w:w="6345" w:type="dxa"/>
            <w:tcBorders>
              <w:top w:val="single" w:sz="8" w:space="0" w:color="auto"/>
              <w:left w:val="single" w:sz="8" w:space="0" w:color="auto"/>
              <w:bottom w:val="single" w:sz="8" w:space="0" w:color="auto"/>
              <w:right w:val="single" w:sz="8" w:space="0" w:color="auto"/>
            </w:tcBorders>
            <w:vAlign w:val="bottom"/>
          </w:tcPr>
          <w:p w14:paraId="0AD26EAA" w14:textId="77777777" w:rsidR="005633F5" w:rsidRPr="00164238" w:rsidRDefault="005633F5" w:rsidP="00C95516">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The use of AI tools contributes to internal auditing in the proper application of governance mechanisms.</w:t>
            </w:r>
          </w:p>
        </w:tc>
        <w:tc>
          <w:tcPr>
            <w:tcW w:w="1985" w:type="dxa"/>
            <w:tcBorders>
              <w:top w:val="single" w:sz="8" w:space="0" w:color="auto"/>
              <w:left w:val="single" w:sz="8" w:space="0" w:color="auto"/>
              <w:bottom w:val="single" w:sz="8" w:space="0" w:color="auto"/>
              <w:right w:val="nil"/>
            </w:tcBorders>
            <w:vAlign w:val="center"/>
          </w:tcPr>
          <w:p w14:paraId="45EC34EB" w14:textId="77777777" w:rsidR="005633F5" w:rsidRPr="00164238" w:rsidRDefault="005633F5" w:rsidP="00C95516">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0.648**</w:t>
            </w:r>
          </w:p>
        </w:tc>
        <w:tc>
          <w:tcPr>
            <w:tcW w:w="850" w:type="dxa"/>
            <w:tcBorders>
              <w:top w:val="single" w:sz="8" w:space="0" w:color="auto"/>
              <w:left w:val="single" w:sz="8" w:space="0" w:color="auto"/>
              <w:bottom w:val="single" w:sz="8" w:space="0" w:color="auto"/>
              <w:right w:val="single" w:sz="4" w:space="0" w:color="auto"/>
            </w:tcBorders>
            <w:vAlign w:val="center"/>
          </w:tcPr>
          <w:p w14:paraId="11B6E7F3" w14:textId="77777777" w:rsidR="005633F5" w:rsidRPr="00164238" w:rsidRDefault="005633F5" w:rsidP="00C95516">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0.00</w:t>
            </w:r>
          </w:p>
        </w:tc>
      </w:tr>
      <w:tr w:rsidR="00AE5E6C" w:rsidRPr="00164238" w14:paraId="71D05DB4" w14:textId="77777777" w:rsidTr="00682CBF">
        <w:trPr>
          <w:trHeight w:val="255"/>
        </w:trPr>
        <w:tc>
          <w:tcPr>
            <w:tcW w:w="6345" w:type="dxa"/>
            <w:tcBorders>
              <w:top w:val="single" w:sz="8" w:space="0" w:color="auto"/>
              <w:left w:val="single" w:sz="8" w:space="0" w:color="auto"/>
              <w:bottom w:val="single" w:sz="8" w:space="0" w:color="auto"/>
              <w:right w:val="single" w:sz="8" w:space="0" w:color="auto"/>
            </w:tcBorders>
            <w:vAlign w:val="bottom"/>
          </w:tcPr>
          <w:p w14:paraId="141EBBA1" w14:textId="77777777" w:rsidR="005633F5" w:rsidRPr="00164238" w:rsidRDefault="005633F5" w:rsidP="00C95516">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The use of AI technologies in the internal audit process contributes to the activation of the role of governance by assessing and achieving accountability, and instilling confidence in management processes and financial reporting.</w:t>
            </w:r>
          </w:p>
        </w:tc>
        <w:tc>
          <w:tcPr>
            <w:tcW w:w="1985" w:type="dxa"/>
            <w:tcBorders>
              <w:top w:val="single" w:sz="8" w:space="0" w:color="auto"/>
              <w:left w:val="single" w:sz="8" w:space="0" w:color="auto"/>
              <w:bottom w:val="single" w:sz="8" w:space="0" w:color="auto"/>
              <w:right w:val="nil"/>
            </w:tcBorders>
            <w:vAlign w:val="center"/>
          </w:tcPr>
          <w:p w14:paraId="7A10C1C3" w14:textId="77777777" w:rsidR="005633F5" w:rsidRPr="00164238" w:rsidRDefault="005633F5" w:rsidP="00C95516">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0.646**</w:t>
            </w:r>
          </w:p>
        </w:tc>
        <w:tc>
          <w:tcPr>
            <w:tcW w:w="850" w:type="dxa"/>
            <w:tcBorders>
              <w:top w:val="single" w:sz="8" w:space="0" w:color="auto"/>
              <w:left w:val="single" w:sz="8" w:space="0" w:color="auto"/>
              <w:bottom w:val="single" w:sz="8" w:space="0" w:color="auto"/>
              <w:right w:val="single" w:sz="4" w:space="0" w:color="auto"/>
            </w:tcBorders>
            <w:vAlign w:val="center"/>
          </w:tcPr>
          <w:p w14:paraId="6FE65178" w14:textId="77777777" w:rsidR="005633F5" w:rsidRPr="00164238" w:rsidRDefault="005633F5" w:rsidP="00C95516">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0.00</w:t>
            </w:r>
          </w:p>
        </w:tc>
      </w:tr>
      <w:tr w:rsidR="00AE5E6C" w:rsidRPr="00164238" w14:paraId="21BA28E1" w14:textId="77777777" w:rsidTr="00682CBF">
        <w:trPr>
          <w:trHeight w:val="255"/>
        </w:trPr>
        <w:tc>
          <w:tcPr>
            <w:tcW w:w="6345" w:type="dxa"/>
            <w:tcBorders>
              <w:top w:val="single" w:sz="8" w:space="0" w:color="auto"/>
              <w:left w:val="single" w:sz="8" w:space="0" w:color="auto"/>
              <w:bottom w:val="single" w:sz="8" w:space="0" w:color="auto"/>
              <w:right w:val="single" w:sz="8" w:space="0" w:color="auto"/>
            </w:tcBorders>
            <w:vAlign w:val="bottom"/>
          </w:tcPr>
          <w:p w14:paraId="61A7BEFF" w14:textId="77777777" w:rsidR="005633F5" w:rsidRPr="00164238" w:rsidRDefault="005633F5" w:rsidP="00C95516">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The use of AI tools in the internal audit process helps add value to the organization through the functions it is now performing under the governance system.</w:t>
            </w:r>
          </w:p>
        </w:tc>
        <w:tc>
          <w:tcPr>
            <w:tcW w:w="1985" w:type="dxa"/>
            <w:tcBorders>
              <w:top w:val="single" w:sz="8" w:space="0" w:color="auto"/>
              <w:left w:val="single" w:sz="8" w:space="0" w:color="auto"/>
              <w:bottom w:val="single" w:sz="8" w:space="0" w:color="auto"/>
              <w:right w:val="nil"/>
            </w:tcBorders>
            <w:vAlign w:val="center"/>
          </w:tcPr>
          <w:p w14:paraId="7B57192B" w14:textId="77777777" w:rsidR="005633F5" w:rsidRPr="00164238" w:rsidRDefault="005633F5" w:rsidP="00C95516">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0.679**</w:t>
            </w:r>
          </w:p>
        </w:tc>
        <w:tc>
          <w:tcPr>
            <w:tcW w:w="850" w:type="dxa"/>
            <w:tcBorders>
              <w:top w:val="single" w:sz="8" w:space="0" w:color="auto"/>
              <w:left w:val="single" w:sz="8" w:space="0" w:color="auto"/>
              <w:bottom w:val="single" w:sz="8" w:space="0" w:color="auto"/>
              <w:right w:val="single" w:sz="4" w:space="0" w:color="auto"/>
            </w:tcBorders>
            <w:vAlign w:val="center"/>
          </w:tcPr>
          <w:p w14:paraId="576D9356" w14:textId="77777777" w:rsidR="005633F5" w:rsidRPr="00164238" w:rsidRDefault="005633F5" w:rsidP="00C95516">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0.00</w:t>
            </w:r>
          </w:p>
        </w:tc>
      </w:tr>
      <w:tr w:rsidR="00AE5E6C" w:rsidRPr="00164238" w14:paraId="3B28EE54" w14:textId="77777777" w:rsidTr="00682CBF">
        <w:trPr>
          <w:trHeight w:val="255"/>
        </w:trPr>
        <w:tc>
          <w:tcPr>
            <w:tcW w:w="6345" w:type="dxa"/>
            <w:tcBorders>
              <w:top w:val="single" w:sz="8" w:space="0" w:color="auto"/>
              <w:left w:val="single" w:sz="8" w:space="0" w:color="auto"/>
              <w:bottom w:val="single" w:sz="8" w:space="0" w:color="auto"/>
              <w:right w:val="single" w:sz="8" w:space="0" w:color="auto"/>
            </w:tcBorders>
            <w:vAlign w:val="bottom"/>
          </w:tcPr>
          <w:p w14:paraId="7DBF0305" w14:textId="77777777" w:rsidR="005633F5" w:rsidRPr="00164238" w:rsidRDefault="005633F5" w:rsidP="00C95516">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The use of AI technologies in internal audit is a key pillar to ensure an effective governance framework.</w:t>
            </w:r>
          </w:p>
        </w:tc>
        <w:tc>
          <w:tcPr>
            <w:tcW w:w="1985" w:type="dxa"/>
            <w:tcBorders>
              <w:top w:val="single" w:sz="8" w:space="0" w:color="auto"/>
              <w:left w:val="single" w:sz="8" w:space="0" w:color="auto"/>
              <w:bottom w:val="single" w:sz="8" w:space="0" w:color="auto"/>
              <w:right w:val="nil"/>
            </w:tcBorders>
            <w:vAlign w:val="center"/>
          </w:tcPr>
          <w:p w14:paraId="23E3DB5E" w14:textId="77777777" w:rsidR="005633F5" w:rsidRPr="00164238" w:rsidRDefault="005633F5" w:rsidP="00C95516">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0.522**</w:t>
            </w:r>
          </w:p>
        </w:tc>
        <w:tc>
          <w:tcPr>
            <w:tcW w:w="850" w:type="dxa"/>
            <w:tcBorders>
              <w:top w:val="single" w:sz="8" w:space="0" w:color="auto"/>
              <w:left w:val="single" w:sz="8" w:space="0" w:color="auto"/>
              <w:bottom w:val="single" w:sz="8" w:space="0" w:color="auto"/>
              <w:right w:val="single" w:sz="4" w:space="0" w:color="auto"/>
            </w:tcBorders>
            <w:vAlign w:val="center"/>
          </w:tcPr>
          <w:p w14:paraId="7763650F" w14:textId="77777777" w:rsidR="005633F5" w:rsidRPr="00164238" w:rsidRDefault="005633F5" w:rsidP="00C95516">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0.00</w:t>
            </w:r>
          </w:p>
        </w:tc>
      </w:tr>
      <w:tr w:rsidR="00AE5E6C" w:rsidRPr="00164238" w14:paraId="2879E3AD" w14:textId="77777777" w:rsidTr="00682CBF">
        <w:trPr>
          <w:trHeight w:val="255"/>
        </w:trPr>
        <w:tc>
          <w:tcPr>
            <w:tcW w:w="6345" w:type="dxa"/>
            <w:tcBorders>
              <w:top w:val="single" w:sz="8" w:space="0" w:color="auto"/>
              <w:left w:val="single" w:sz="8" w:space="0" w:color="auto"/>
              <w:bottom w:val="single" w:sz="8" w:space="0" w:color="auto"/>
              <w:right w:val="single" w:sz="8" w:space="0" w:color="auto"/>
            </w:tcBorders>
            <w:vAlign w:val="bottom"/>
          </w:tcPr>
          <w:p w14:paraId="2C4BEC5A" w14:textId="77777777" w:rsidR="005633F5" w:rsidRPr="00164238" w:rsidRDefault="005633F5" w:rsidP="00C95516">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lastRenderedPageBreak/>
              <w:t>The use of AI tools in the internal audit process helps support the governance system to help your organization's management exploit its resources efficiently.</w:t>
            </w:r>
          </w:p>
        </w:tc>
        <w:tc>
          <w:tcPr>
            <w:tcW w:w="1985" w:type="dxa"/>
            <w:tcBorders>
              <w:top w:val="single" w:sz="8" w:space="0" w:color="auto"/>
              <w:left w:val="single" w:sz="8" w:space="0" w:color="auto"/>
              <w:bottom w:val="single" w:sz="8" w:space="0" w:color="auto"/>
              <w:right w:val="nil"/>
            </w:tcBorders>
            <w:vAlign w:val="center"/>
          </w:tcPr>
          <w:p w14:paraId="77B6F862" w14:textId="77777777" w:rsidR="005633F5" w:rsidRPr="00164238" w:rsidRDefault="005633F5" w:rsidP="00C95516">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0.524**</w:t>
            </w:r>
          </w:p>
        </w:tc>
        <w:tc>
          <w:tcPr>
            <w:tcW w:w="850" w:type="dxa"/>
            <w:tcBorders>
              <w:top w:val="single" w:sz="8" w:space="0" w:color="auto"/>
              <w:left w:val="single" w:sz="8" w:space="0" w:color="auto"/>
              <w:bottom w:val="single" w:sz="8" w:space="0" w:color="auto"/>
              <w:right w:val="single" w:sz="4" w:space="0" w:color="auto"/>
            </w:tcBorders>
            <w:vAlign w:val="center"/>
          </w:tcPr>
          <w:p w14:paraId="4163B094" w14:textId="77777777" w:rsidR="005633F5" w:rsidRPr="00164238" w:rsidRDefault="005633F5" w:rsidP="00C95516">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0.00</w:t>
            </w:r>
          </w:p>
        </w:tc>
      </w:tr>
    </w:tbl>
    <w:p w14:paraId="67202961"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**Link D statistically at indication level</w:t>
      </w:r>
      <w:r w:rsidRPr="00164238">
        <w:rPr>
          <w:rFonts w:ascii="Times New Roman" w:eastAsia="Calibri" w:hAnsi="Times New Roman" w:cs="Times New Roman"/>
          <w:color w:val="000000" w:themeColor="text1"/>
          <w:sz w:val="20"/>
          <w:szCs w:val="20"/>
          <w:lang w:val="en"/>
        </w:rPr>
        <w:t xml:space="preserve"> </w:t>
      </w:r>
      <w:r w:rsidRPr="00164238">
        <w:rPr>
          <w:rFonts w:ascii="Times New Roman" w:eastAsia="Calibri" w:hAnsi="Times New Roman" w:cs="Times New Roman"/>
          <w:b/>
          <w:color w:val="000000" w:themeColor="text1"/>
          <w:sz w:val="20"/>
          <w:szCs w:val="20"/>
          <w:lang w:val="en"/>
        </w:rPr>
        <w:t xml:space="preserve"> (α=0.01)</w:t>
      </w:r>
    </w:p>
    <w:p w14:paraId="57E05DA8"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p>
    <w:p w14:paraId="5575D3B1"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 xml:space="preserve">2. </w:t>
      </w:r>
      <w:r w:rsidRPr="00164238">
        <w:rPr>
          <w:rFonts w:ascii="Times New Roman" w:eastAsia="Calibri" w:hAnsi="Times New Roman" w:cs="Times New Roman"/>
          <w:color w:val="000000" w:themeColor="text1"/>
          <w:sz w:val="20"/>
          <w:szCs w:val="20"/>
          <w:lang w:val="en"/>
        </w:rPr>
        <w:t xml:space="preserve"> </w:t>
      </w:r>
      <w:r w:rsidRPr="00164238">
        <w:rPr>
          <w:rFonts w:ascii="Times New Roman" w:eastAsia="Calibri" w:hAnsi="Times New Roman" w:cs="Times New Roman"/>
          <w:b/>
          <w:color w:val="000000" w:themeColor="text1"/>
          <w:sz w:val="20"/>
          <w:szCs w:val="20"/>
          <w:lang w:val="en"/>
        </w:rPr>
        <w:t xml:space="preserve">The constructive honesty of the list areas: </w:t>
      </w:r>
      <w:r w:rsidRPr="00164238">
        <w:rPr>
          <w:rFonts w:ascii="Times New Roman" w:eastAsia="Calibri" w:hAnsi="Times New Roman" w:cs="Times New Roman"/>
          <w:color w:val="000000" w:themeColor="text1"/>
          <w:sz w:val="20"/>
          <w:szCs w:val="20"/>
          <w:lang w:val="en"/>
        </w:rPr>
        <w:t>the constructive honesty of the questionnaire paragraphs was calculated on the study community, by calculating the correlation coefficient between the total score of each axis and the total score of the questionnaire.</w:t>
      </w:r>
    </w:p>
    <w:p w14:paraId="24470917"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Table 6 shows that all correlation coefficients in all resolution axes are statistically functioning at a moral level (α =0.01), so that all resolution axes are considered to be true of what they were designed to measure.</w:t>
      </w:r>
    </w:p>
    <w:p w14:paraId="54347E63" w14:textId="77777777" w:rsidR="005633F5" w:rsidRPr="00164238" w:rsidRDefault="005633F5" w:rsidP="005633F5">
      <w:pPr>
        <w:spacing w:after="0" w:line="240" w:lineRule="auto"/>
        <w:jc w:val="both"/>
        <w:rPr>
          <w:rFonts w:ascii="Times New Roman" w:eastAsia="Calibri" w:hAnsi="Times New Roman" w:cs="Times New Roman"/>
          <w:b/>
          <w:color w:val="000000" w:themeColor="text1"/>
          <w:sz w:val="20"/>
          <w:szCs w:val="20"/>
          <w:lang w:val="en"/>
        </w:rPr>
      </w:pPr>
    </w:p>
    <w:p w14:paraId="7CE17D4B" w14:textId="77777777" w:rsidR="005633F5" w:rsidRPr="00164238" w:rsidRDefault="005633F5" w:rsidP="005633F5">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Table (6) Pearson correlation coefficient between the score of each area of resolution with the overall degree of resolution</w:t>
      </w:r>
    </w:p>
    <w:tbl>
      <w:tblPr>
        <w:tblW w:w="0" w:type="auto"/>
        <w:tblInd w:w="195" w:type="dxa"/>
        <w:tblLayout w:type="fixed"/>
        <w:tblLook w:val="06A0" w:firstRow="1" w:lastRow="0" w:firstColumn="1" w:lastColumn="0" w:noHBand="1" w:noVBand="1"/>
      </w:tblPr>
      <w:tblGrid>
        <w:gridCol w:w="660"/>
        <w:gridCol w:w="5207"/>
        <w:gridCol w:w="1984"/>
        <w:gridCol w:w="993"/>
      </w:tblGrid>
      <w:tr w:rsidR="00AE5E6C" w:rsidRPr="00164238" w14:paraId="296E79CF" w14:textId="77777777" w:rsidTr="00682CBF">
        <w:trPr>
          <w:trHeight w:val="570"/>
        </w:trPr>
        <w:tc>
          <w:tcPr>
            <w:tcW w:w="6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vAlign w:val="center"/>
          </w:tcPr>
          <w:p w14:paraId="7190A493"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R.M.</w:t>
            </w:r>
          </w:p>
        </w:tc>
        <w:tc>
          <w:tcPr>
            <w:tcW w:w="5207" w:type="dxa"/>
            <w:tcBorders>
              <w:top w:val="single" w:sz="8" w:space="0" w:color="000000" w:themeColor="text1"/>
              <w:left w:val="single" w:sz="8" w:space="0" w:color="000000" w:themeColor="text1"/>
              <w:bottom w:val="single" w:sz="8" w:space="0" w:color="000000" w:themeColor="text1"/>
              <w:right w:val="nil"/>
            </w:tcBorders>
            <w:shd w:val="clear" w:color="auto" w:fill="F2F2F2" w:themeFill="background1" w:themeFillShade="F2"/>
            <w:vAlign w:val="center"/>
          </w:tcPr>
          <w:p w14:paraId="55067ED5"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Axis</w:t>
            </w:r>
          </w:p>
        </w:tc>
        <w:tc>
          <w:tcPr>
            <w:tcW w:w="1984" w:type="dxa"/>
            <w:tcBorders>
              <w:top w:val="single" w:sz="8" w:space="0" w:color="000000" w:themeColor="text1"/>
              <w:left w:val="single" w:sz="8" w:space="0" w:color="000000" w:themeColor="text1"/>
              <w:bottom w:val="single" w:sz="8" w:space="0" w:color="000000" w:themeColor="text1"/>
              <w:right w:val="nil"/>
            </w:tcBorders>
            <w:shd w:val="clear" w:color="auto" w:fill="F2F2F2" w:themeFill="background1" w:themeFillShade="F2"/>
            <w:vAlign w:val="center"/>
          </w:tcPr>
          <w:p w14:paraId="753C8CB7"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Pearson Correlation Coefficient</w:t>
            </w:r>
          </w:p>
        </w:tc>
        <w:tc>
          <w:tcPr>
            <w:tcW w:w="993" w:type="dxa"/>
            <w:tcBorders>
              <w:top w:val="single" w:sz="8" w:space="0" w:color="000000" w:themeColor="text1"/>
              <w:left w:val="single" w:sz="8" w:space="0" w:color="000000" w:themeColor="text1"/>
              <w:bottom w:val="single" w:sz="8" w:space="0" w:color="000000" w:themeColor="text1"/>
              <w:right w:val="single" w:sz="4" w:space="0" w:color="auto"/>
            </w:tcBorders>
            <w:shd w:val="clear" w:color="auto" w:fill="F2F2F2" w:themeFill="background1" w:themeFillShade="F2"/>
          </w:tcPr>
          <w:p w14:paraId="2EEF326E"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Moral level</w:t>
            </w:r>
          </w:p>
        </w:tc>
      </w:tr>
      <w:tr w:rsidR="00AE5E6C" w:rsidRPr="00164238" w14:paraId="28E3E947" w14:textId="77777777" w:rsidTr="00682CBF">
        <w:tc>
          <w:tcPr>
            <w:tcW w:w="6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vAlign w:val="center"/>
          </w:tcPr>
          <w:p w14:paraId="0E43B77E"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The first</w:t>
            </w:r>
          </w:p>
        </w:tc>
        <w:tc>
          <w:tcPr>
            <w:tcW w:w="5207" w:type="dxa"/>
            <w:tcBorders>
              <w:top w:val="single" w:sz="8" w:space="0" w:color="000000" w:themeColor="text1"/>
              <w:left w:val="single" w:sz="8" w:space="0" w:color="000000" w:themeColor="text1"/>
              <w:bottom w:val="single" w:sz="8" w:space="0" w:color="000000" w:themeColor="text1"/>
              <w:right w:val="nil"/>
            </w:tcBorders>
            <w:shd w:val="clear" w:color="auto" w:fill="FFFFFF" w:themeFill="background1"/>
          </w:tcPr>
          <w:p w14:paraId="56E32694"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Risk management and evaluation.</w:t>
            </w:r>
          </w:p>
        </w:tc>
        <w:tc>
          <w:tcPr>
            <w:tcW w:w="1984" w:type="dxa"/>
            <w:tcBorders>
              <w:top w:val="single" w:sz="8" w:space="0" w:color="000000" w:themeColor="text1"/>
              <w:left w:val="single" w:sz="8" w:space="0" w:color="000000" w:themeColor="text1"/>
              <w:bottom w:val="single" w:sz="8" w:space="0" w:color="000000" w:themeColor="text1"/>
              <w:right w:val="nil"/>
            </w:tcBorders>
            <w:shd w:val="clear" w:color="auto" w:fill="FFFFFF" w:themeFill="background1"/>
            <w:vAlign w:val="center"/>
          </w:tcPr>
          <w:p w14:paraId="634BD262"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0.911**</w:t>
            </w:r>
          </w:p>
        </w:tc>
        <w:tc>
          <w:tcPr>
            <w:tcW w:w="993" w:type="dxa"/>
            <w:tcBorders>
              <w:top w:val="single" w:sz="8" w:space="0" w:color="000000" w:themeColor="text1"/>
              <w:left w:val="single" w:sz="8" w:space="0" w:color="000000" w:themeColor="text1"/>
              <w:bottom w:val="single" w:sz="8" w:space="0" w:color="000000" w:themeColor="text1"/>
              <w:right w:val="single" w:sz="4" w:space="0" w:color="auto"/>
            </w:tcBorders>
            <w:shd w:val="clear" w:color="auto" w:fill="FFFFFF" w:themeFill="background1"/>
            <w:vAlign w:val="center"/>
          </w:tcPr>
          <w:p w14:paraId="6ED2D28A"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0.00</w:t>
            </w:r>
          </w:p>
        </w:tc>
      </w:tr>
      <w:tr w:rsidR="00AE5E6C" w:rsidRPr="00164238" w14:paraId="78332B2A" w14:textId="77777777" w:rsidTr="00682CBF">
        <w:tc>
          <w:tcPr>
            <w:tcW w:w="6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vAlign w:val="center"/>
          </w:tcPr>
          <w:p w14:paraId="4A79070F"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Second</w:t>
            </w:r>
          </w:p>
        </w:tc>
        <w:tc>
          <w:tcPr>
            <w:tcW w:w="5207" w:type="dxa"/>
            <w:tcBorders>
              <w:top w:val="single" w:sz="8" w:space="0" w:color="000000" w:themeColor="text1"/>
              <w:left w:val="single" w:sz="8" w:space="0" w:color="000000" w:themeColor="text1"/>
              <w:bottom w:val="single" w:sz="8" w:space="0" w:color="000000" w:themeColor="text1"/>
              <w:right w:val="nil"/>
            </w:tcBorders>
            <w:shd w:val="clear" w:color="auto" w:fill="FFFFFF" w:themeFill="background1"/>
          </w:tcPr>
          <w:p w14:paraId="2010A21E"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Examining and evaluating the internal control system.</w:t>
            </w:r>
          </w:p>
        </w:tc>
        <w:tc>
          <w:tcPr>
            <w:tcW w:w="1984" w:type="dxa"/>
            <w:tcBorders>
              <w:top w:val="single" w:sz="8" w:space="0" w:color="000000" w:themeColor="text1"/>
              <w:left w:val="single" w:sz="8" w:space="0" w:color="000000" w:themeColor="text1"/>
              <w:bottom w:val="single" w:sz="8" w:space="0" w:color="000000" w:themeColor="text1"/>
              <w:right w:val="nil"/>
            </w:tcBorders>
            <w:shd w:val="clear" w:color="auto" w:fill="FFFFFF" w:themeFill="background1"/>
            <w:vAlign w:val="center"/>
          </w:tcPr>
          <w:p w14:paraId="3928204E"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0.908**</w:t>
            </w:r>
          </w:p>
        </w:tc>
        <w:tc>
          <w:tcPr>
            <w:tcW w:w="993" w:type="dxa"/>
            <w:tcBorders>
              <w:top w:val="single" w:sz="8" w:space="0" w:color="000000" w:themeColor="text1"/>
              <w:left w:val="single" w:sz="8" w:space="0" w:color="000000" w:themeColor="text1"/>
              <w:bottom w:val="single" w:sz="8" w:space="0" w:color="000000" w:themeColor="text1"/>
              <w:right w:val="single" w:sz="4" w:space="0" w:color="auto"/>
            </w:tcBorders>
            <w:shd w:val="clear" w:color="auto" w:fill="FFFFFF" w:themeFill="background1"/>
            <w:vAlign w:val="center"/>
          </w:tcPr>
          <w:p w14:paraId="536C2E25"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0.00</w:t>
            </w:r>
          </w:p>
        </w:tc>
      </w:tr>
      <w:tr w:rsidR="00AE5E6C" w:rsidRPr="00164238" w14:paraId="7AED1F3B" w14:textId="77777777" w:rsidTr="00682CBF">
        <w:tc>
          <w:tcPr>
            <w:tcW w:w="6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vAlign w:val="center"/>
          </w:tcPr>
          <w:p w14:paraId="5E0BCF69"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Third</w:t>
            </w:r>
          </w:p>
        </w:tc>
        <w:tc>
          <w:tcPr>
            <w:tcW w:w="5207" w:type="dxa"/>
            <w:tcBorders>
              <w:top w:val="single" w:sz="8" w:space="0" w:color="000000" w:themeColor="text1"/>
              <w:left w:val="single" w:sz="8" w:space="0" w:color="000000" w:themeColor="text1"/>
              <w:bottom w:val="single" w:sz="8" w:space="0" w:color="000000" w:themeColor="text1"/>
              <w:right w:val="nil"/>
            </w:tcBorders>
            <w:shd w:val="clear" w:color="auto" w:fill="FFFFFF" w:themeFill="background1"/>
          </w:tcPr>
          <w:p w14:paraId="0620D161"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Strengthening governance procedures.</w:t>
            </w:r>
          </w:p>
        </w:tc>
        <w:tc>
          <w:tcPr>
            <w:tcW w:w="1984" w:type="dxa"/>
            <w:tcBorders>
              <w:top w:val="single" w:sz="8" w:space="0" w:color="000000" w:themeColor="text1"/>
              <w:left w:val="single" w:sz="8" w:space="0" w:color="000000" w:themeColor="text1"/>
              <w:bottom w:val="single" w:sz="8" w:space="0" w:color="000000" w:themeColor="text1"/>
              <w:right w:val="nil"/>
            </w:tcBorders>
            <w:shd w:val="clear" w:color="auto" w:fill="FFFFFF" w:themeFill="background1"/>
            <w:vAlign w:val="center"/>
          </w:tcPr>
          <w:p w14:paraId="340D2EBC"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0.863**</w:t>
            </w:r>
          </w:p>
        </w:tc>
        <w:tc>
          <w:tcPr>
            <w:tcW w:w="993" w:type="dxa"/>
            <w:tcBorders>
              <w:top w:val="single" w:sz="8" w:space="0" w:color="000000" w:themeColor="text1"/>
              <w:left w:val="single" w:sz="8" w:space="0" w:color="000000" w:themeColor="text1"/>
              <w:bottom w:val="single" w:sz="8" w:space="0" w:color="000000" w:themeColor="text1"/>
              <w:right w:val="single" w:sz="4" w:space="0" w:color="auto"/>
            </w:tcBorders>
            <w:shd w:val="clear" w:color="auto" w:fill="FFFFFF" w:themeFill="background1"/>
            <w:vAlign w:val="center"/>
          </w:tcPr>
          <w:p w14:paraId="78C6BA7C"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0.00</w:t>
            </w:r>
          </w:p>
        </w:tc>
      </w:tr>
    </w:tbl>
    <w:p w14:paraId="75D401C2"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 Link D statistically at indication level</w:t>
      </w:r>
      <w:r w:rsidRPr="00164238">
        <w:rPr>
          <w:rFonts w:ascii="Times New Roman" w:eastAsia="Calibri" w:hAnsi="Times New Roman" w:cs="Times New Roman"/>
          <w:color w:val="000000" w:themeColor="text1"/>
          <w:sz w:val="20"/>
          <w:szCs w:val="20"/>
          <w:lang w:val="en"/>
        </w:rPr>
        <w:t xml:space="preserve"> </w:t>
      </w:r>
      <w:r w:rsidRPr="00164238">
        <w:rPr>
          <w:rFonts w:ascii="Times New Roman" w:eastAsia="Calibri" w:hAnsi="Times New Roman" w:cs="Times New Roman"/>
          <w:b/>
          <w:color w:val="000000" w:themeColor="text1"/>
          <w:sz w:val="20"/>
          <w:szCs w:val="20"/>
          <w:lang w:val="en"/>
        </w:rPr>
        <w:t xml:space="preserve"> (α=0.01)</w:t>
      </w:r>
    </w:p>
    <w:p w14:paraId="61545BE5" w14:textId="77777777" w:rsidR="005633F5" w:rsidRPr="00164238" w:rsidRDefault="005633F5" w:rsidP="006F033D">
      <w:pPr>
        <w:spacing w:after="0" w:line="240" w:lineRule="auto"/>
        <w:ind w:firstLine="708"/>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The results of pearson link coefficients in table 6 in the previous table (6) indicate the availability of the sincerity of internal consistency in the area of the list of resolutions, with the highest correlation coefficient of 0.911 for the first axis, while the lowest correlation coefficient was 0.863  for the third axis.</w:t>
      </w:r>
    </w:p>
    <w:p w14:paraId="7C565A19"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Simplified Arabic" w:hAnsi="Times New Roman" w:cs="Times New Roman"/>
          <w:b/>
          <w:bCs/>
          <w:color w:val="000000" w:themeColor="text1"/>
          <w:sz w:val="20"/>
          <w:szCs w:val="20"/>
          <w:lang w:bidi="ar-EG"/>
        </w:rPr>
        <w:t xml:space="preserve"> </w:t>
      </w:r>
    </w:p>
    <w:p w14:paraId="17CB5F3B"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 xml:space="preserve">Khamsa: Stability: </w:t>
      </w:r>
      <w:r w:rsidRPr="00164238">
        <w:rPr>
          <w:rFonts w:ascii="Times New Roman" w:eastAsia="Calibri" w:hAnsi="Times New Roman" w:cs="Times New Roman"/>
          <w:color w:val="000000" w:themeColor="text1"/>
          <w:sz w:val="20"/>
          <w:szCs w:val="20"/>
          <w:lang w:val="en"/>
        </w:rPr>
        <w:t xml:space="preserve"> </w:t>
      </w:r>
    </w:p>
    <w:p w14:paraId="70110E82"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The researchers tested the resolution stability  by calculating  the Cronbach Alpha correlation coefficient for each of the list   areas, as shown in table 7:</w:t>
      </w:r>
    </w:p>
    <w:p w14:paraId="59667448" w14:textId="77777777" w:rsidR="005633F5" w:rsidRPr="00164238" w:rsidRDefault="005633F5" w:rsidP="005633F5">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Table No. (7) Resolution stability results using alpha kronbach correlation coefficient</w:t>
      </w:r>
    </w:p>
    <w:tbl>
      <w:tblPr>
        <w:tblW w:w="0" w:type="auto"/>
        <w:tblLayout w:type="fixed"/>
        <w:tblLook w:val="06A0" w:firstRow="1" w:lastRow="0" w:firstColumn="1" w:lastColumn="0" w:noHBand="1" w:noVBand="1"/>
      </w:tblPr>
      <w:tblGrid>
        <w:gridCol w:w="1140"/>
        <w:gridCol w:w="3363"/>
        <w:gridCol w:w="1275"/>
        <w:gridCol w:w="1843"/>
        <w:gridCol w:w="1418"/>
      </w:tblGrid>
      <w:tr w:rsidR="00AE5E6C" w:rsidRPr="00164238" w14:paraId="7D6B25B7" w14:textId="77777777" w:rsidTr="00682CBF">
        <w:trPr>
          <w:trHeight w:val="540"/>
        </w:trPr>
        <w:tc>
          <w:tcPr>
            <w:tcW w:w="1140"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vAlign w:val="center"/>
          </w:tcPr>
          <w:p w14:paraId="4A87CD17"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R.M.</w:t>
            </w:r>
          </w:p>
        </w:tc>
        <w:tc>
          <w:tcPr>
            <w:tcW w:w="3363" w:type="dxa"/>
            <w:tcBorders>
              <w:top w:val="single" w:sz="12" w:space="0" w:color="auto"/>
              <w:left w:val="single" w:sz="12" w:space="0" w:color="auto"/>
              <w:bottom w:val="single" w:sz="12" w:space="0" w:color="auto"/>
              <w:right w:val="nil"/>
            </w:tcBorders>
            <w:shd w:val="clear" w:color="auto" w:fill="F2F2F2" w:themeFill="background1" w:themeFillShade="F2"/>
            <w:vAlign w:val="center"/>
          </w:tcPr>
          <w:p w14:paraId="56D3CA83"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Axis</w:t>
            </w:r>
          </w:p>
        </w:tc>
        <w:tc>
          <w:tcPr>
            <w:tcW w:w="1275" w:type="dxa"/>
            <w:tcBorders>
              <w:top w:val="single" w:sz="12" w:space="0" w:color="auto"/>
              <w:left w:val="single" w:sz="12" w:space="0" w:color="auto"/>
              <w:bottom w:val="single" w:sz="12" w:space="0" w:color="auto"/>
              <w:right w:val="nil"/>
            </w:tcBorders>
            <w:shd w:val="clear" w:color="auto" w:fill="F2F2F2" w:themeFill="background1" w:themeFillShade="F2"/>
            <w:vAlign w:val="center"/>
          </w:tcPr>
          <w:p w14:paraId="160CF7A8"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Number of paragraphs</w:t>
            </w:r>
          </w:p>
        </w:tc>
        <w:tc>
          <w:tcPr>
            <w:tcW w:w="1843" w:type="dxa"/>
            <w:tcBorders>
              <w:top w:val="single" w:sz="12" w:space="0" w:color="auto"/>
              <w:left w:val="single" w:sz="8" w:space="0" w:color="000000" w:themeColor="text1"/>
              <w:bottom w:val="single" w:sz="12" w:space="0" w:color="auto"/>
              <w:right w:val="nil"/>
            </w:tcBorders>
            <w:shd w:val="clear" w:color="auto" w:fill="F2F2F2" w:themeFill="background1" w:themeFillShade="F2"/>
            <w:vAlign w:val="center"/>
          </w:tcPr>
          <w:p w14:paraId="0A85A95F"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Stability Factor (Alpha Kronbach)</w:t>
            </w:r>
          </w:p>
        </w:tc>
        <w:tc>
          <w:tcPr>
            <w:tcW w:w="1418" w:type="dxa"/>
            <w:tcBorders>
              <w:top w:val="single" w:sz="12" w:space="0" w:color="auto"/>
              <w:left w:val="single" w:sz="12" w:space="0" w:color="auto"/>
              <w:bottom w:val="single" w:sz="12" w:space="0" w:color="auto"/>
              <w:right w:val="single" w:sz="4" w:space="0" w:color="auto"/>
            </w:tcBorders>
            <w:shd w:val="clear" w:color="auto" w:fill="F2F2F2" w:themeFill="background1" w:themeFillShade="F2"/>
          </w:tcPr>
          <w:p w14:paraId="44BF63F9"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Structural honesty laboratory</w:t>
            </w:r>
          </w:p>
        </w:tc>
      </w:tr>
      <w:tr w:rsidR="00AE5E6C" w:rsidRPr="00164238" w14:paraId="373C2926" w14:textId="77777777" w:rsidTr="00682CBF">
        <w:tc>
          <w:tcPr>
            <w:tcW w:w="1140" w:type="dxa"/>
            <w:tcBorders>
              <w:top w:val="single" w:sz="12" w:space="0" w:color="auto"/>
              <w:left w:val="single" w:sz="12" w:space="0" w:color="auto"/>
              <w:bottom w:val="single" w:sz="8" w:space="0" w:color="000000" w:themeColor="text1"/>
              <w:right w:val="single" w:sz="12" w:space="0" w:color="auto"/>
            </w:tcBorders>
            <w:shd w:val="clear" w:color="auto" w:fill="F2F2F2" w:themeFill="background1" w:themeFillShade="F2"/>
            <w:vAlign w:val="center"/>
          </w:tcPr>
          <w:p w14:paraId="1292CAA7"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The first</w:t>
            </w:r>
          </w:p>
        </w:tc>
        <w:tc>
          <w:tcPr>
            <w:tcW w:w="3363" w:type="dxa"/>
            <w:tcBorders>
              <w:top w:val="single" w:sz="12" w:space="0" w:color="auto"/>
              <w:left w:val="single" w:sz="12" w:space="0" w:color="auto"/>
              <w:bottom w:val="single" w:sz="8" w:space="0" w:color="000000" w:themeColor="text1"/>
              <w:right w:val="nil"/>
            </w:tcBorders>
            <w:shd w:val="clear" w:color="auto" w:fill="FFFFFF" w:themeFill="background1"/>
          </w:tcPr>
          <w:p w14:paraId="2475352C"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Risk management and evaluation.</w:t>
            </w:r>
          </w:p>
        </w:tc>
        <w:tc>
          <w:tcPr>
            <w:tcW w:w="1275" w:type="dxa"/>
            <w:tcBorders>
              <w:top w:val="single" w:sz="12" w:space="0" w:color="auto"/>
              <w:left w:val="single" w:sz="12" w:space="0" w:color="auto"/>
              <w:bottom w:val="single" w:sz="8" w:space="0" w:color="000000" w:themeColor="text1"/>
              <w:right w:val="nil"/>
            </w:tcBorders>
            <w:shd w:val="clear" w:color="auto" w:fill="FFFFFF" w:themeFill="background1"/>
            <w:vAlign w:val="center"/>
          </w:tcPr>
          <w:p w14:paraId="3F859DEB"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8</w:t>
            </w:r>
          </w:p>
        </w:tc>
        <w:tc>
          <w:tcPr>
            <w:tcW w:w="1843" w:type="dxa"/>
            <w:tcBorders>
              <w:top w:val="single" w:sz="12" w:space="0" w:color="auto"/>
              <w:left w:val="single" w:sz="8" w:space="0" w:color="000000" w:themeColor="text1"/>
              <w:bottom w:val="single" w:sz="8" w:space="0" w:color="000000" w:themeColor="text1"/>
              <w:right w:val="nil"/>
            </w:tcBorders>
            <w:shd w:val="clear" w:color="auto" w:fill="FFFFFF" w:themeFill="background1"/>
            <w:vAlign w:val="center"/>
          </w:tcPr>
          <w:p w14:paraId="04081E69"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0.842</w:t>
            </w:r>
          </w:p>
        </w:tc>
        <w:tc>
          <w:tcPr>
            <w:tcW w:w="1418" w:type="dxa"/>
            <w:tcBorders>
              <w:top w:val="single" w:sz="12" w:space="0" w:color="auto"/>
              <w:left w:val="single" w:sz="12" w:space="0" w:color="auto"/>
              <w:bottom w:val="single" w:sz="8" w:space="0" w:color="000000" w:themeColor="text1"/>
              <w:right w:val="single" w:sz="4" w:space="0" w:color="auto"/>
            </w:tcBorders>
            <w:shd w:val="clear" w:color="auto" w:fill="FFFFFF" w:themeFill="background1"/>
            <w:vAlign w:val="center"/>
          </w:tcPr>
          <w:p w14:paraId="4683540C"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0.918</w:t>
            </w:r>
          </w:p>
        </w:tc>
      </w:tr>
      <w:tr w:rsidR="00AE5E6C" w:rsidRPr="00164238" w14:paraId="48591510" w14:textId="77777777" w:rsidTr="00682CBF">
        <w:tc>
          <w:tcPr>
            <w:tcW w:w="1140" w:type="dxa"/>
            <w:tcBorders>
              <w:top w:val="single" w:sz="8" w:space="0" w:color="000000" w:themeColor="text1"/>
              <w:left w:val="single" w:sz="12" w:space="0" w:color="auto"/>
              <w:bottom w:val="single" w:sz="8" w:space="0" w:color="000000" w:themeColor="text1"/>
              <w:right w:val="single" w:sz="12" w:space="0" w:color="auto"/>
            </w:tcBorders>
            <w:shd w:val="clear" w:color="auto" w:fill="F2F2F2" w:themeFill="background1" w:themeFillShade="F2"/>
            <w:vAlign w:val="center"/>
          </w:tcPr>
          <w:p w14:paraId="1A037A03"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Second</w:t>
            </w:r>
          </w:p>
        </w:tc>
        <w:tc>
          <w:tcPr>
            <w:tcW w:w="3363" w:type="dxa"/>
            <w:tcBorders>
              <w:top w:val="single" w:sz="8" w:space="0" w:color="000000" w:themeColor="text1"/>
              <w:left w:val="single" w:sz="12" w:space="0" w:color="auto"/>
              <w:bottom w:val="single" w:sz="8" w:space="0" w:color="000000" w:themeColor="text1"/>
              <w:right w:val="nil"/>
            </w:tcBorders>
            <w:shd w:val="clear" w:color="auto" w:fill="FFFFFF" w:themeFill="background1"/>
          </w:tcPr>
          <w:p w14:paraId="126C8B73"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Examining and evaluating the internal control system.</w:t>
            </w:r>
          </w:p>
        </w:tc>
        <w:tc>
          <w:tcPr>
            <w:tcW w:w="1275" w:type="dxa"/>
            <w:tcBorders>
              <w:top w:val="single" w:sz="8" w:space="0" w:color="000000" w:themeColor="text1"/>
              <w:left w:val="single" w:sz="12" w:space="0" w:color="auto"/>
              <w:bottom w:val="single" w:sz="8" w:space="0" w:color="000000" w:themeColor="text1"/>
              <w:right w:val="nil"/>
            </w:tcBorders>
            <w:shd w:val="clear" w:color="auto" w:fill="FFFFFF" w:themeFill="background1"/>
            <w:vAlign w:val="center"/>
          </w:tcPr>
          <w:p w14:paraId="692E83C1"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6</w:t>
            </w:r>
          </w:p>
        </w:tc>
        <w:tc>
          <w:tcPr>
            <w:tcW w:w="1843" w:type="dxa"/>
            <w:tcBorders>
              <w:top w:val="single" w:sz="8" w:space="0" w:color="000000" w:themeColor="text1"/>
              <w:left w:val="single" w:sz="8" w:space="0" w:color="000000" w:themeColor="text1"/>
              <w:bottom w:val="single" w:sz="8" w:space="0" w:color="000000" w:themeColor="text1"/>
              <w:right w:val="nil"/>
            </w:tcBorders>
            <w:shd w:val="clear" w:color="auto" w:fill="FFFFFF" w:themeFill="background1"/>
            <w:vAlign w:val="center"/>
          </w:tcPr>
          <w:p w14:paraId="3881802B"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0.780</w:t>
            </w:r>
          </w:p>
        </w:tc>
        <w:tc>
          <w:tcPr>
            <w:tcW w:w="1418" w:type="dxa"/>
            <w:tcBorders>
              <w:top w:val="single" w:sz="8" w:space="0" w:color="000000" w:themeColor="text1"/>
              <w:left w:val="single" w:sz="12" w:space="0" w:color="auto"/>
              <w:bottom w:val="single" w:sz="8" w:space="0" w:color="000000" w:themeColor="text1"/>
              <w:right w:val="single" w:sz="4" w:space="0" w:color="auto"/>
            </w:tcBorders>
            <w:shd w:val="clear" w:color="auto" w:fill="FFFFFF" w:themeFill="background1"/>
            <w:vAlign w:val="center"/>
          </w:tcPr>
          <w:p w14:paraId="5B1ED187"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0.883</w:t>
            </w:r>
          </w:p>
        </w:tc>
      </w:tr>
      <w:tr w:rsidR="00AE5E6C" w:rsidRPr="00164238" w14:paraId="3535FF02" w14:textId="77777777" w:rsidTr="00682CBF">
        <w:trPr>
          <w:trHeight w:val="180"/>
        </w:trPr>
        <w:tc>
          <w:tcPr>
            <w:tcW w:w="1140" w:type="dxa"/>
            <w:tcBorders>
              <w:top w:val="single" w:sz="8" w:space="0" w:color="000000" w:themeColor="text1"/>
              <w:left w:val="single" w:sz="12" w:space="0" w:color="auto"/>
              <w:bottom w:val="single" w:sz="8" w:space="0" w:color="000000" w:themeColor="text1"/>
              <w:right w:val="single" w:sz="12" w:space="0" w:color="auto"/>
            </w:tcBorders>
            <w:shd w:val="clear" w:color="auto" w:fill="F2F2F2" w:themeFill="background1" w:themeFillShade="F2"/>
            <w:vAlign w:val="center"/>
          </w:tcPr>
          <w:p w14:paraId="1C89EBAB"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Third</w:t>
            </w:r>
          </w:p>
        </w:tc>
        <w:tc>
          <w:tcPr>
            <w:tcW w:w="3363" w:type="dxa"/>
            <w:tcBorders>
              <w:top w:val="single" w:sz="8" w:space="0" w:color="000000" w:themeColor="text1"/>
              <w:left w:val="single" w:sz="12" w:space="0" w:color="auto"/>
              <w:bottom w:val="single" w:sz="8" w:space="0" w:color="000000" w:themeColor="text1"/>
              <w:right w:val="nil"/>
            </w:tcBorders>
            <w:shd w:val="clear" w:color="auto" w:fill="FFFFFF" w:themeFill="background1"/>
          </w:tcPr>
          <w:p w14:paraId="7222C553"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Strengthening governance procedures.</w:t>
            </w:r>
          </w:p>
        </w:tc>
        <w:tc>
          <w:tcPr>
            <w:tcW w:w="1275" w:type="dxa"/>
            <w:tcBorders>
              <w:top w:val="single" w:sz="8" w:space="0" w:color="000000" w:themeColor="text1"/>
              <w:left w:val="single" w:sz="12" w:space="0" w:color="auto"/>
              <w:bottom w:val="single" w:sz="8" w:space="0" w:color="000000" w:themeColor="text1"/>
              <w:right w:val="nil"/>
            </w:tcBorders>
            <w:shd w:val="clear" w:color="auto" w:fill="FFFFFF" w:themeFill="background1"/>
            <w:vAlign w:val="center"/>
          </w:tcPr>
          <w:p w14:paraId="3AF908EC"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7</w:t>
            </w:r>
          </w:p>
        </w:tc>
        <w:tc>
          <w:tcPr>
            <w:tcW w:w="1843" w:type="dxa"/>
            <w:tcBorders>
              <w:top w:val="single" w:sz="8" w:space="0" w:color="000000" w:themeColor="text1"/>
              <w:left w:val="single" w:sz="8" w:space="0" w:color="000000" w:themeColor="text1"/>
              <w:bottom w:val="single" w:sz="8" w:space="0" w:color="000000" w:themeColor="text1"/>
              <w:right w:val="nil"/>
            </w:tcBorders>
            <w:shd w:val="clear" w:color="auto" w:fill="FFFFFF" w:themeFill="background1"/>
            <w:vAlign w:val="center"/>
          </w:tcPr>
          <w:p w14:paraId="7ED824AA"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0.768</w:t>
            </w:r>
          </w:p>
        </w:tc>
        <w:tc>
          <w:tcPr>
            <w:tcW w:w="1418" w:type="dxa"/>
            <w:tcBorders>
              <w:top w:val="single" w:sz="8" w:space="0" w:color="000000" w:themeColor="text1"/>
              <w:left w:val="single" w:sz="12" w:space="0" w:color="auto"/>
              <w:bottom w:val="single" w:sz="8" w:space="0" w:color="000000" w:themeColor="text1"/>
              <w:right w:val="single" w:sz="4" w:space="0" w:color="auto"/>
            </w:tcBorders>
            <w:shd w:val="clear" w:color="auto" w:fill="FFFFFF" w:themeFill="background1"/>
            <w:vAlign w:val="center"/>
          </w:tcPr>
          <w:p w14:paraId="45039348"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0.876</w:t>
            </w:r>
          </w:p>
        </w:tc>
      </w:tr>
      <w:tr w:rsidR="00AE5E6C" w:rsidRPr="00164238" w14:paraId="3725FFF1" w14:textId="77777777" w:rsidTr="00682CBF">
        <w:trPr>
          <w:trHeight w:val="315"/>
        </w:trPr>
        <w:tc>
          <w:tcPr>
            <w:tcW w:w="4503" w:type="dxa"/>
            <w:gridSpan w:val="2"/>
            <w:tcBorders>
              <w:top w:val="single" w:sz="8" w:space="0" w:color="000000" w:themeColor="text1"/>
              <w:left w:val="single" w:sz="12" w:space="0" w:color="auto"/>
              <w:bottom w:val="single" w:sz="12" w:space="0" w:color="auto"/>
              <w:right w:val="single" w:sz="12" w:space="0" w:color="auto"/>
            </w:tcBorders>
            <w:shd w:val="clear" w:color="auto" w:fill="F2F2F2" w:themeFill="background1" w:themeFillShade="F2"/>
            <w:vAlign w:val="center"/>
          </w:tcPr>
          <w:p w14:paraId="7384BEFF"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Total grade of all axles</w:t>
            </w:r>
          </w:p>
        </w:tc>
        <w:tc>
          <w:tcPr>
            <w:tcW w:w="1275" w:type="dxa"/>
            <w:tcBorders>
              <w:top w:val="single" w:sz="8" w:space="0" w:color="000000" w:themeColor="text1"/>
              <w:left w:val="single" w:sz="12" w:space="0" w:color="auto"/>
              <w:bottom w:val="single" w:sz="12" w:space="0" w:color="auto"/>
              <w:right w:val="nil"/>
            </w:tcBorders>
            <w:shd w:val="clear" w:color="auto" w:fill="FFFFFF" w:themeFill="background1"/>
            <w:vAlign w:val="center"/>
          </w:tcPr>
          <w:p w14:paraId="46A04395"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21</w:t>
            </w:r>
          </w:p>
        </w:tc>
        <w:tc>
          <w:tcPr>
            <w:tcW w:w="1843" w:type="dxa"/>
            <w:tcBorders>
              <w:top w:val="single" w:sz="8" w:space="0" w:color="000000" w:themeColor="text1"/>
              <w:left w:val="single" w:sz="8" w:space="0" w:color="000000" w:themeColor="text1"/>
              <w:bottom w:val="single" w:sz="12" w:space="0" w:color="auto"/>
              <w:right w:val="nil"/>
            </w:tcBorders>
            <w:shd w:val="clear" w:color="auto" w:fill="FFFFFF" w:themeFill="background1"/>
            <w:vAlign w:val="center"/>
          </w:tcPr>
          <w:p w14:paraId="0D4D8A37"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bCs/>
                <w:color w:val="000000" w:themeColor="text1"/>
                <w:sz w:val="20"/>
                <w:szCs w:val="20"/>
                <w:lang w:val="en"/>
              </w:rPr>
              <w:t>0.913</w:t>
            </w:r>
          </w:p>
        </w:tc>
        <w:tc>
          <w:tcPr>
            <w:tcW w:w="1418" w:type="dxa"/>
            <w:tcBorders>
              <w:top w:val="single" w:sz="8" w:space="0" w:color="000000" w:themeColor="text1"/>
              <w:left w:val="single" w:sz="12" w:space="0" w:color="auto"/>
              <w:bottom w:val="single" w:sz="12" w:space="0" w:color="auto"/>
              <w:right w:val="single" w:sz="4" w:space="0" w:color="auto"/>
            </w:tcBorders>
            <w:shd w:val="clear" w:color="auto" w:fill="FFFFFF" w:themeFill="background1"/>
            <w:vAlign w:val="center"/>
          </w:tcPr>
          <w:p w14:paraId="72BC26B6"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bCs/>
                <w:color w:val="000000" w:themeColor="text1"/>
                <w:sz w:val="20"/>
                <w:szCs w:val="20"/>
                <w:lang w:val="en"/>
              </w:rPr>
              <w:t>0.956</w:t>
            </w:r>
          </w:p>
        </w:tc>
      </w:tr>
    </w:tbl>
    <w:p w14:paraId="47D882B6"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Source: The researcher's preparation based on resolution data, 2021.</w:t>
      </w:r>
    </w:p>
    <w:p w14:paraId="581B68DE"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It is clear from the previous table that the coefficients of Alpha Kronbach range from 0.842-0.768, while the transactions of honesty ranged from 0.876-0.918, which indicates that the resolution enjoys consistency and honesty, so that the researchers have confirmed the stability and credibility of the questionnaire, thus making them fully confident in the validity of the questionnaire and its validity to analyze the results, and to answer the study's questions and test its hypotheses.</w:t>
      </w:r>
    </w:p>
    <w:p w14:paraId="2E92E3F1"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Simplified Arabic" w:hAnsi="Times New Roman" w:cs="Times New Roman"/>
          <w:b/>
          <w:bCs/>
          <w:color w:val="000000" w:themeColor="text1"/>
          <w:sz w:val="20"/>
          <w:szCs w:val="20"/>
        </w:rPr>
        <w:t xml:space="preserve"> </w:t>
      </w:r>
    </w:p>
    <w:p w14:paraId="543F5F7A"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Sixth: Results of the field study:</w:t>
      </w:r>
    </w:p>
    <w:p w14:paraId="1E3EBDBD"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A- Descriptive statistics of the personal information of the sample:</w:t>
      </w:r>
    </w:p>
    <w:p w14:paraId="6801BD25" w14:textId="1888A5BA"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lang w:val="en"/>
        </w:rPr>
      </w:pPr>
      <w:r w:rsidRPr="00164238">
        <w:rPr>
          <w:rFonts w:ascii="Times New Roman" w:eastAsia="Calibri" w:hAnsi="Times New Roman" w:cs="Times New Roman"/>
          <w:color w:val="000000" w:themeColor="text1"/>
          <w:sz w:val="20"/>
          <w:szCs w:val="20"/>
          <w:lang w:val="en"/>
        </w:rPr>
        <w:t>Table 8 shows the personal characteristics of the study sample in terms of scientific qualification, specialization, job title, and years of experience:</w:t>
      </w:r>
    </w:p>
    <w:p w14:paraId="4D4A8758" w14:textId="61C72443" w:rsidR="006F033D" w:rsidRDefault="006F033D" w:rsidP="005633F5">
      <w:pPr>
        <w:spacing w:after="0" w:line="240" w:lineRule="auto"/>
        <w:jc w:val="both"/>
        <w:rPr>
          <w:rFonts w:ascii="Times New Roman" w:eastAsia="Calibri" w:hAnsi="Times New Roman" w:cs="Times New Roman"/>
          <w:color w:val="000000" w:themeColor="text1"/>
          <w:sz w:val="20"/>
          <w:szCs w:val="20"/>
          <w:lang w:val="en"/>
        </w:rPr>
      </w:pPr>
    </w:p>
    <w:p w14:paraId="2FC7110F" w14:textId="75DA0534" w:rsidR="00563597" w:rsidRDefault="00563597" w:rsidP="005633F5">
      <w:pPr>
        <w:spacing w:after="0" w:line="240" w:lineRule="auto"/>
        <w:jc w:val="both"/>
        <w:rPr>
          <w:rFonts w:ascii="Times New Roman" w:eastAsia="Calibri" w:hAnsi="Times New Roman" w:cs="Times New Roman"/>
          <w:color w:val="000000" w:themeColor="text1"/>
          <w:sz w:val="20"/>
          <w:szCs w:val="20"/>
          <w:lang w:val="en"/>
        </w:rPr>
      </w:pPr>
    </w:p>
    <w:p w14:paraId="4806A41C" w14:textId="4A73EAFE" w:rsidR="00563597" w:rsidRDefault="00563597" w:rsidP="005633F5">
      <w:pPr>
        <w:spacing w:after="0" w:line="240" w:lineRule="auto"/>
        <w:jc w:val="both"/>
        <w:rPr>
          <w:rFonts w:ascii="Times New Roman" w:eastAsia="Calibri" w:hAnsi="Times New Roman" w:cs="Times New Roman"/>
          <w:color w:val="000000" w:themeColor="text1"/>
          <w:sz w:val="20"/>
          <w:szCs w:val="20"/>
          <w:lang w:val="en"/>
        </w:rPr>
      </w:pPr>
    </w:p>
    <w:p w14:paraId="5C0AFFBE" w14:textId="05624019" w:rsidR="00563597" w:rsidRDefault="00563597" w:rsidP="005633F5">
      <w:pPr>
        <w:spacing w:after="0" w:line="240" w:lineRule="auto"/>
        <w:jc w:val="both"/>
        <w:rPr>
          <w:rFonts w:ascii="Times New Roman" w:eastAsia="Calibri" w:hAnsi="Times New Roman" w:cs="Times New Roman"/>
          <w:color w:val="000000" w:themeColor="text1"/>
          <w:sz w:val="20"/>
          <w:szCs w:val="20"/>
          <w:lang w:val="en"/>
        </w:rPr>
      </w:pPr>
    </w:p>
    <w:p w14:paraId="2541B0C3" w14:textId="176F7069" w:rsidR="00563597" w:rsidRDefault="00563597" w:rsidP="005633F5">
      <w:pPr>
        <w:spacing w:after="0" w:line="240" w:lineRule="auto"/>
        <w:jc w:val="both"/>
        <w:rPr>
          <w:rFonts w:ascii="Times New Roman" w:eastAsia="Calibri" w:hAnsi="Times New Roman" w:cs="Times New Roman"/>
          <w:color w:val="000000" w:themeColor="text1"/>
          <w:sz w:val="20"/>
          <w:szCs w:val="20"/>
          <w:lang w:val="en"/>
        </w:rPr>
      </w:pPr>
    </w:p>
    <w:p w14:paraId="29381D86" w14:textId="1E15EC9B" w:rsidR="00563597" w:rsidRDefault="00563597" w:rsidP="005633F5">
      <w:pPr>
        <w:spacing w:after="0" w:line="240" w:lineRule="auto"/>
        <w:jc w:val="both"/>
        <w:rPr>
          <w:rFonts w:ascii="Times New Roman" w:eastAsia="Calibri" w:hAnsi="Times New Roman" w:cs="Times New Roman"/>
          <w:color w:val="000000" w:themeColor="text1"/>
          <w:sz w:val="20"/>
          <w:szCs w:val="20"/>
          <w:lang w:val="en"/>
        </w:rPr>
      </w:pPr>
    </w:p>
    <w:p w14:paraId="4A22AD15" w14:textId="20AC6C9F" w:rsidR="00563597" w:rsidRDefault="00563597" w:rsidP="005633F5">
      <w:pPr>
        <w:spacing w:after="0" w:line="240" w:lineRule="auto"/>
        <w:jc w:val="both"/>
        <w:rPr>
          <w:rFonts w:ascii="Times New Roman" w:eastAsia="Calibri" w:hAnsi="Times New Roman" w:cs="Times New Roman"/>
          <w:color w:val="000000" w:themeColor="text1"/>
          <w:sz w:val="20"/>
          <w:szCs w:val="20"/>
          <w:lang w:val="en"/>
        </w:rPr>
      </w:pPr>
    </w:p>
    <w:p w14:paraId="11CFDD77" w14:textId="38C03386" w:rsidR="00563597" w:rsidRDefault="00563597" w:rsidP="005633F5">
      <w:pPr>
        <w:spacing w:after="0" w:line="240" w:lineRule="auto"/>
        <w:jc w:val="both"/>
        <w:rPr>
          <w:rFonts w:ascii="Times New Roman" w:eastAsia="Calibri" w:hAnsi="Times New Roman" w:cs="Times New Roman"/>
          <w:color w:val="000000" w:themeColor="text1"/>
          <w:sz w:val="20"/>
          <w:szCs w:val="20"/>
          <w:lang w:val="en"/>
        </w:rPr>
      </w:pPr>
    </w:p>
    <w:p w14:paraId="40856735" w14:textId="4909ADE9" w:rsidR="00563597" w:rsidRDefault="00563597" w:rsidP="005633F5">
      <w:pPr>
        <w:spacing w:after="0" w:line="240" w:lineRule="auto"/>
        <w:jc w:val="both"/>
        <w:rPr>
          <w:rFonts w:ascii="Times New Roman" w:eastAsia="Calibri" w:hAnsi="Times New Roman" w:cs="Times New Roman"/>
          <w:color w:val="000000" w:themeColor="text1"/>
          <w:sz w:val="20"/>
          <w:szCs w:val="20"/>
          <w:lang w:val="en"/>
        </w:rPr>
      </w:pPr>
    </w:p>
    <w:p w14:paraId="13619D43" w14:textId="77777777" w:rsidR="00563597" w:rsidRPr="00164238" w:rsidRDefault="00563597" w:rsidP="005633F5">
      <w:pPr>
        <w:spacing w:after="0" w:line="240" w:lineRule="auto"/>
        <w:jc w:val="both"/>
        <w:rPr>
          <w:rFonts w:ascii="Times New Roman" w:eastAsia="Calibri" w:hAnsi="Times New Roman" w:cs="Times New Roman"/>
          <w:color w:val="000000" w:themeColor="text1"/>
          <w:sz w:val="20"/>
          <w:szCs w:val="20"/>
          <w:lang w:val="en"/>
        </w:rPr>
      </w:pPr>
    </w:p>
    <w:p w14:paraId="25C22B34" w14:textId="77777777" w:rsidR="005633F5" w:rsidRPr="00164238" w:rsidRDefault="005633F5" w:rsidP="005633F5">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Table 8 shows the distribution of the sample according to their personal variables</w:t>
      </w:r>
    </w:p>
    <w:tbl>
      <w:tblPr>
        <w:tblW w:w="0" w:type="auto"/>
        <w:tblLayout w:type="fixed"/>
        <w:tblLook w:val="04A0" w:firstRow="1" w:lastRow="0" w:firstColumn="1" w:lastColumn="0" w:noHBand="0" w:noVBand="1"/>
      </w:tblPr>
      <w:tblGrid>
        <w:gridCol w:w="2093"/>
        <w:gridCol w:w="3118"/>
        <w:gridCol w:w="1560"/>
        <w:gridCol w:w="1701"/>
      </w:tblGrid>
      <w:tr w:rsidR="00AE5E6C" w:rsidRPr="00164238" w14:paraId="3305ABEA" w14:textId="77777777" w:rsidTr="00682CBF">
        <w:trPr>
          <w:trHeight w:val="405"/>
        </w:trPr>
        <w:tc>
          <w:tcPr>
            <w:tcW w:w="5211"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FDFDF"/>
            <w:vAlign w:val="center"/>
          </w:tcPr>
          <w:p w14:paraId="25003FE9"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Statement</w:t>
            </w:r>
          </w:p>
        </w:tc>
        <w:tc>
          <w:tcPr>
            <w:tcW w:w="1560" w:type="dxa"/>
            <w:tcBorders>
              <w:top w:val="single" w:sz="8" w:space="0" w:color="000000" w:themeColor="text1"/>
              <w:left w:val="single" w:sz="8" w:space="0" w:color="000000" w:themeColor="text1"/>
              <w:bottom w:val="single" w:sz="8" w:space="0" w:color="000000" w:themeColor="text1"/>
              <w:right w:val="nil"/>
            </w:tcBorders>
            <w:shd w:val="clear" w:color="auto" w:fill="DFDFDF"/>
            <w:vAlign w:val="center"/>
          </w:tcPr>
          <w:p w14:paraId="15A09534"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Iteration</w:t>
            </w:r>
          </w:p>
        </w:tc>
        <w:tc>
          <w:tcPr>
            <w:tcW w:w="1701" w:type="dxa"/>
            <w:tcBorders>
              <w:top w:val="single" w:sz="8" w:space="0" w:color="000000" w:themeColor="text1"/>
              <w:left w:val="single" w:sz="8" w:space="0" w:color="000000" w:themeColor="text1"/>
              <w:bottom w:val="single" w:sz="8" w:space="0" w:color="000000" w:themeColor="text1"/>
              <w:right w:val="single" w:sz="4" w:space="0" w:color="auto"/>
            </w:tcBorders>
            <w:shd w:val="clear" w:color="auto" w:fill="DFDFDF"/>
            <w:vAlign w:val="center"/>
          </w:tcPr>
          <w:p w14:paraId="4C88B146"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Percentage %</w:t>
            </w:r>
          </w:p>
        </w:tc>
      </w:tr>
      <w:tr w:rsidR="00AE5E6C" w:rsidRPr="00164238" w14:paraId="3122C73B" w14:textId="77777777" w:rsidTr="00682CBF">
        <w:trPr>
          <w:trHeight w:val="405"/>
        </w:trPr>
        <w:tc>
          <w:tcPr>
            <w:tcW w:w="2093" w:type="dxa"/>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vAlign w:val="center"/>
          </w:tcPr>
          <w:p w14:paraId="7BA0EF8B"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Scientific qualification</w:t>
            </w:r>
          </w:p>
        </w:tc>
        <w:tc>
          <w:tcPr>
            <w:tcW w:w="3118" w:type="dxa"/>
            <w:tcBorders>
              <w:top w:val="nil"/>
              <w:left w:val="single" w:sz="8" w:space="0" w:color="000000" w:themeColor="text1"/>
              <w:bottom w:val="single" w:sz="8" w:space="0" w:color="000000" w:themeColor="text1"/>
              <w:right w:val="nil"/>
            </w:tcBorders>
            <w:vAlign w:val="center"/>
          </w:tcPr>
          <w:p w14:paraId="6812A8E5"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Doctor</w:t>
            </w:r>
          </w:p>
        </w:tc>
        <w:tc>
          <w:tcPr>
            <w:tcW w:w="1560" w:type="dxa"/>
            <w:tcBorders>
              <w:top w:val="single" w:sz="8" w:space="0" w:color="000000" w:themeColor="text1"/>
              <w:left w:val="single" w:sz="8" w:space="0" w:color="000000" w:themeColor="text1"/>
              <w:bottom w:val="single" w:sz="8" w:space="0" w:color="000000" w:themeColor="text1"/>
              <w:right w:val="nil"/>
            </w:tcBorders>
            <w:vAlign w:val="center"/>
          </w:tcPr>
          <w:p w14:paraId="2EE64DB5"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5</w:t>
            </w:r>
          </w:p>
        </w:tc>
        <w:tc>
          <w:tcPr>
            <w:tcW w:w="1701" w:type="dxa"/>
            <w:tcBorders>
              <w:top w:val="single" w:sz="8" w:space="0" w:color="000000" w:themeColor="text1"/>
              <w:left w:val="single" w:sz="8" w:space="0" w:color="000000" w:themeColor="text1"/>
              <w:bottom w:val="single" w:sz="8" w:space="0" w:color="000000" w:themeColor="text1"/>
              <w:right w:val="single" w:sz="4" w:space="0" w:color="auto"/>
            </w:tcBorders>
            <w:vAlign w:val="center"/>
          </w:tcPr>
          <w:p w14:paraId="543FDD8A"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12.5</w:t>
            </w:r>
          </w:p>
        </w:tc>
      </w:tr>
      <w:tr w:rsidR="00AE5E6C" w:rsidRPr="00164238" w14:paraId="3DE9F6BC" w14:textId="77777777" w:rsidTr="00682CBF">
        <w:trPr>
          <w:trHeight w:val="405"/>
        </w:trPr>
        <w:tc>
          <w:tcPr>
            <w:tcW w:w="2093" w:type="dxa"/>
            <w:vMerge/>
            <w:vAlign w:val="center"/>
          </w:tcPr>
          <w:p w14:paraId="1E4202F2"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p>
        </w:tc>
        <w:tc>
          <w:tcPr>
            <w:tcW w:w="3118" w:type="dxa"/>
            <w:tcBorders>
              <w:top w:val="single" w:sz="8" w:space="0" w:color="000000" w:themeColor="text1"/>
              <w:left w:val="single" w:sz="8" w:space="0" w:color="000000" w:themeColor="text1"/>
              <w:bottom w:val="single" w:sz="8" w:space="0" w:color="000000" w:themeColor="text1"/>
              <w:right w:val="nil"/>
            </w:tcBorders>
            <w:vAlign w:val="center"/>
          </w:tcPr>
          <w:p w14:paraId="6577AF97"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Master</w:t>
            </w:r>
          </w:p>
        </w:tc>
        <w:tc>
          <w:tcPr>
            <w:tcW w:w="1560" w:type="dxa"/>
            <w:tcBorders>
              <w:top w:val="single" w:sz="8" w:space="0" w:color="000000" w:themeColor="text1"/>
              <w:left w:val="single" w:sz="8" w:space="0" w:color="000000" w:themeColor="text1"/>
              <w:bottom w:val="single" w:sz="8" w:space="0" w:color="000000" w:themeColor="text1"/>
              <w:right w:val="nil"/>
            </w:tcBorders>
            <w:vAlign w:val="center"/>
          </w:tcPr>
          <w:p w14:paraId="3B981E1B"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11</w:t>
            </w:r>
          </w:p>
        </w:tc>
        <w:tc>
          <w:tcPr>
            <w:tcW w:w="1701" w:type="dxa"/>
            <w:tcBorders>
              <w:top w:val="single" w:sz="8" w:space="0" w:color="000000" w:themeColor="text1"/>
              <w:left w:val="single" w:sz="8" w:space="0" w:color="000000" w:themeColor="text1"/>
              <w:bottom w:val="single" w:sz="8" w:space="0" w:color="000000" w:themeColor="text1"/>
              <w:right w:val="single" w:sz="4" w:space="0" w:color="auto"/>
            </w:tcBorders>
            <w:vAlign w:val="center"/>
          </w:tcPr>
          <w:p w14:paraId="55C7BB03"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27.5</w:t>
            </w:r>
          </w:p>
        </w:tc>
      </w:tr>
      <w:tr w:rsidR="00AE5E6C" w:rsidRPr="00164238" w14:paraId="6E6D2412" w14:textId="77777777" w:rsidTr="00682CBF">
        <w:trPr>
          <w:trHeight w:val="405"/>
        </w:trPr>
        <w:tc>
          <w:tcPr>
            <w:tcW w:w="2093" w:type="dxa"/>
            <w:vMerge/>
            <w:vAlign w:val="center"/>
          </w:tcPr>
          <w:p w14:paraId="3ED72C7C"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p>
        </w:tc>
        <w:tc>
          <w:tcPr>
            <w:tcW w:w="3118" w:type="dxa"/>
            <w:tcBorders>
              <w:top w:val="single" w:sz="8" w:space="0" w:color="000000" w:themeColor="text1"/>
              <w:left w:val="single" w:sz="8" w:space="0" w:color="000000" w:themeColor="text1"/>
              <w:bottom w:val="single" w:sz="8" w:space="0" w:color="000000" w:themeColor="text1"/>
              <w:right w:val="nil"/>
            </w:tcBorders>
            <w:vAlign w:val="center"/>
          </w:tcPr>
          <w:p w14:paraId="5FD258D4"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Bachelor</w:t>
            </w:r>
          </w:p>
        </w:tc>
        <w:tc>
          <w:tcPr>
            <w:tcW w:w="1560" w:type="dxa"/>
            <w:tcBorders>
              <w:top w:val="single" w:sz="8" w:space="0" w:color="000000" w:themeColor="text1"/>
              <w:left w:val="single" w:sz="8" w:space="0" w:color="000000" w:themeColor="text1"/>
              <w:bottom w:val="single" w:sz="8" w:space="0" w:color="000000" w:themeColor="text1"/>
              <w:right w:val="nil"/>
            </w:tcBorders>
            <w:vAlign w:val="center"/>
          </w:tcPr>
          <w:p w14:paraId="23A6974E"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24</w:t>
            </w:r>
          </w:p>
        </w:tc>
        <w:tc>
          <w:tcPr>
            <w:tcW w:w="1701" w:type="dxa"/>
            <w:tcBorders>
              <w:top w:val="single" w:sz="8" w:space="0" w:color="000000" w:themeColor="text1"/>
              <w:left w:val="single" w:sz="8" w:space="0" w:color="000000" w:themeColor="text1"/>
              <w:bottom w:val="single" w:sz="8" w:space="0" w:color="000000" w:themeColor="text1"/>
              <w:right w:val="single" w:sz="4" w:space="0" w:color="auto"/>
            </w:tcBorders>
            <w:vAlign w:val="center"/>
          </w:tcPr>
          <w:p w14:paraId="49076074"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60.0</w:t>
            </w:r>
          </w:p>
        </w:tc>
      </w:tr>
      <w:tr w:rsidR="00AE5E6C" w:rsidRPr="00164238" w14:paraId="47ED348F" w14:textId="77777777" w:rsidTr="00682CBF">
        <w:trPr>
          <w:trHeight w:val="405"/>
        </w:trPr>
        <w:tc>
          <w:tcPr>
            <w:tcW w:w="5211" w:type="dxa"/>
            <w:gridSpan w:val="2"/>
            <w:tcBorders>
              <w:top w:val="nil"/>
              <w:left w:val="single" w:sz="8" w:space="0" w:color="000000" w:themeColor="text1"/>
              <w:bottom w:val="single" w:sz="8" w:space="0" w:color="000000" w:themeColor="text1"/>
              <w:right w:val="single" w:sz="8" w:space="0" w:color="000000" w:themeColor="text1"/>
            </w:tcBorders>
            <w:shd w:val="clear" w:color="auto" w:fill="F2F2F2" w:themeFill="background1" w:themeFillShade="F2"/>
            <w:vAlign w:val="center"/>
          </w:tcPr>
          <w:p w14:paraId="5C942718"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Total</w:t>
            </w:r>
          </w:p>
        </w:tc>
        <w:tc>
          <w:tcPr>
            <w:tcW w:w="1560" w:type="dxa"/>
            <w:tcBorders>
              <w:top w:val="single" w:sz="8" w:space="0" w:color="000000" w:themeColor="text1"/>
              <w:left w:val="single" w:sz="8" w:space="0" w:color="000000" w:themeColor="text1"/>
              <w:bottom w:val="single" w:sz="8" w:space="0" w:color="000000" w:themeColor="text1"/>
              <w:right w:val="nil"/>
            </w:tcBorders>
            <w:shd w:val="clear" w:color="auto" w:fill="F2F2F2" w:themeFill="background1" w:themeFillShade="F2"/>
            <w:vAlign w:val="center"/>
          </w:tcPr>
          <w:p w14:paraId="3AACA0B5"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bCs/>
                <w:color w:val="000000" w:themeColor="text1"/>
                <w:sz w:val="20"/>
                <w:szCs w:val="20"/>
                <w:lang w:val="en"/>
              </w:rPr>
              <w:t>40</w:t>
            </w:r>
          </w:p>
        </w:tc>
        <w:tc>
          <w:tcPr>
            <w:tcW w:w="1701" w:type="dxa"/>
            <w:tcBorders>
              <w:top w:val="single" w:sz="8" w:space="0" w:color="000000" w:themeColor="text1"/>
              <w:left w:val="single" w:sz="8" w:space="0" w:color="000000" w:themeColor="text1"/>
              <w:bottom w:val="single" w:sz="8" w:space="0" w:color="000000" w:themeColor="text1"/>
              <w:right w:val="single" w:sz="4" w:space="0" w:color="auto"/>
            </w:tcBorders>
            <w:shd w:val="clear" w:color="auto" w:fill="F2F2F2" w:themeFill="background1" w:themeFillShade="F2"/>
            <w:vAlign w:val="center"/>
          </w:tcPr>
          <w:p w14:paraId="0B9E0331"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bCs/>
                <w:color w:val="000000" w:themeColor="text1"/>
                <w:sz w:val="20"/>
                <w:szCs w:val="20"/>
                <w:lang w:val="en"/>
              </w:rPr>
              <w:t>100.0</w:t>
            </w:r>
          </w:p>
        </w:tc>
      </w:tr>
      <w:tr w:rsidR="00AE5E6C" w:rsidRPr="00164238" w14:paraId="5C13E3AB" w14:textId="77777777" w:rsidTr="00682CBF">
        <w:trPr>
          <w:trHeight w:val="405"/>
        </w:trPr>
        <w:tc>
          <w:tcPr>
            <w:tcW w:w="2093" w:type="dxa"/>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vAlign w:val="center"/>
          </w:tcPr>
          <w:p w14:paraId="72062FE8"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Job title</w:t>
            </w:r>
          </w:p>
        </w:tc>
        <w:tc>
          <w:tcPr>
            <w:tcW w:w="3118" w:type="dxa"/>
            <w:tcBorders>
              <w:top w:val="nil"/>
              <w:left w:val="single" w:sz="8" w:space="0" w:color="000000" w:themeColor="text1"/>
              <w:bottom w:val="single" w:sz="8" w:space="0" w:color="000000" w:themeColor="text1"/>
              <w:right w:val="nil"/>
            </w:tcBorders>
          </w:tcPr>
          <w:p w14:paraId="7268CEF0"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Director of audit</w:t>
            </w:r>
          </w:p>
        </w:tc>
        <w:tc>
          <w:tcPr>
            <w:tcW w:w="1560" w:type="dxa"/>
            <w:tcBorders>
              <w:top w:val="single" w:sz="8" w:space="0" w:color="000000" w:themeColor="text1"/>
              <w:left w:val="single" w:sz="8" w:space="0" w:color="000000" w:themeColor="text1"/>
              <w:bottom w:val="single" w:sz="8" w:space="0" w:color="000000" w:themeColor="text1"/>
              <w:right w:val="nil"/>
            </w:tcBorders>
          </w:tcPr>
          <w:p w14:paraId="39D7D08A"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5</w:t>
            </w:r>
          </w:p>
        </w:tc>
        <w:tc>
          <w:tcPr>
            <w:tcW w:w="1701" w:type="dxa"/>
            <w:tcBorders>
              <w:top w:val="single" w:sz="8" w:space="0" w:color="000000" w:themeColor="text1"/>
              <w:left w:val="single" w:sz="8" w:space="0" w:color="000000" w:themeColor="text1"/>
              <w:bottom w:val="single" w:sz="8" w:space="0" w:color="000000" w:themeColor="text1"/>
              <w:right w:val="single" w:sz="4" w:space="0" w:color="auto"/>
            </w:tcBorders>
          </w:tcPr>
          <w:p w14:paraId="276801A5"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12.5</w:t>
            </w:r>
          </w:p>
        </w:tc>
      </w:tr>
      <w:tr w:rsidR="00AE5E6C" w:rsidRPr="00164238" w14:paraId="6391C69B" w14:textId="77777777" w:rsidTr="00682CBF">
        <w:trPr>
          <w:trHeight w:val="405"/>
        </w:trPr>
        <w:tc>
          <w:tcPr>
            <w:tcW w:w="2093" w:type="dxa"/>
            <w:vMerge/>
            <w:vAlign w:val="center"/>
          </w:tcPr>
          <w:p w14:paraId="0211F0F7"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p>
        </w:tc>
        <w:tc>
          <w:tcPr>
            <w:tcW w:w="3118" w:type="dxa"/>
            <w:tcBorders>
              <w:top w:val="single" w:sz="8" w:space="0" w:color="000000" w:themeColor="text1"/>
              <w:left w:val="single" w:sz="8" w:space="0" w:color="000000" w:themeColor="text1"/>
              <w:bottom w:val="single" w:sz="8" w:space="0" w:color="000000" w:themeColor="text1"/>
              <w:right w:val="nil"/>
            </w:tcBorders>
          </w:tcPr>
          <w:p w14:paraId="0555DF0B"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Head of Audit</w:t>
            </w:r>
          </w:p>
        </w:tc>
        <w:tc>
          <w:tcPr>
            <w:tcW w:w="1560" w:type="dxa"/>
            <w:tcBorders>
              <w:top w:val="single" w:sz="8" w:space="0" w:color="000000" w:themeColor="text1"/>
              <w:left w:val="single" w:sz="8" w:space="0" w:color="000000" w:themeColor="text1"/>
              <w:bottom w:val="single" w:sz="8" w:space="0" w:color="000000" w:themeColor="text1"/>
              <w:right w:val="nil"/>
            </w:tcBorders>
          </w:tcPr>
          <w:p w14:paraId="4A5A5C06"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11</w:t>
            </w:r>
          </w:p>
        </w:tc>
        <w:tc>
          <w:tcPr>
            <w:tcW w:w="1701" w:type="dxa"/>
            <w:tcBorders>
              <w:top w:val="single" w:sz="8" w:space="0" w:color="000000" w:themeColor="text1"/>
              <w:left w:val="single" w:sz="8" w:space="0" w:color="000000" w:themeColor="text1"/>
              <w:bottom w:val="single" w:sz="8" w:space="0" w:color="000000" w:themeColor="text1"/>
              <w:right w:val="single" w:sz="4" w:space="0" w:color="auto"/>
            </w:tcBorders>
          </w:tcPr>
          <w:p w14:paraId="07893767"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27.5</w:t>
            </w:r>
          </w:p>
        </w:tc>
      </w:tr>
      <w:tr w:rsidR="00AE5E6C" w:rsidRPr="00164238" w14:paraId="59803533" w14:textId="77777777" w:rsidTr="00682CBF">
        <w:trPr>
          <w:trHeight w:val="405"/>
        </w:trPr>
        <w:tc>
          <w:tcPr>
            <w:tcW w:w="2093" w:type="dxa"/>
            <w:vMerge/>
            <w:vAlign w:val="center"/>
          </w:tcPr>
          <w:p w14:paraId="62C7CBFE"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p>
        </w:tc>
        <w:tc>
          <w:tcPr>
            <w:tcW w:w="3118" w:type="dxa"/>
            <w:tcBorders>
              <w:top w:val="single" w:sz="8" w:space="0" w:color="000000" w:themeColor="text1"/>
              <w:left w:val="single" w:sz="8" w:space="0" w:color="000000" w:themeColor="text1"/>
              <w:bottom w:val="single" w:sz="8" w:space="0" w:color="000000" w:themeColor="text1"/>
              <w:right w:val="nil"/>
            </w:tcBorders>
          </w:tcPr>
          <w:p w14:paraId="25E9ACC9"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Internal Auditor</w:t>
            </w:r>
          </w:p>
        </w:tc>
        <w:tc>
          <w:tcPr>
            <w:tcW w:w="1560" w:type="dxa"/>
            <w:tcBorders>
              <w:top w:val="single" w:sz="8" w:space="0" w:color="000000" w:themeColor="text1"/>
              <w:left w:val="single" w:sz="8" w:space="0" w:color="000000" w:themeColor="text1"/>
              <w:bottom w:val="single" w:sz="8" w:space="0" w:color="000000" w:themeColor="text1"/>
              <w:right w:val="nil"/>
            </w:tcBorders>
          </w:tcPr>
          <w:p w14:paraId="109668E0"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24</w:t>
            </w:r>
          </w:p>
        </w:tc>
        <w:tc>
          <w:tcPr>
            <w:tcW w:w="1701" w:type="dxa"/>
            <w:tcBorders>
              <w:top w:val="single" w:sz="8" w:space="0" w:color="000000" w:themeColor="text1"/>
              <w:left w:val="single" w:sz="8" w:space="0" w:color="000000" w:themeColor="text1"/>
              <w:bottom w:val="single" w:sz="8" w:space="0" w:color="000000" w:themeColor="text1"/>
              <w:right w:val="single" w:sz="4" w:space="0" w:color="auto"/>
            </w:tcBorders>
          </w:tcPr>
          <w:p w14:paraId="75420248"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60.0</w:t>
            </w:r>
          </w:p>
        </w:tc>
      </w:tr>
      <w:tr w:rsidR="00AE5E6C" w:rsidRPr="00164238" w14:paraId="283F5064" w14:textId="77777777" w:rsidTr="00682CBF">
        <w:trPr>
          <w:trHeight w:val="405"/>
        </w:trPr>
        <w:tc>
          <w:tcPr>
            <w:tcW w:w="5211" w:type="dxa"/>
            <w:gridSpan w:val="2"/>
            <w:tcBorders>
              <w:top w:val="nil"/>
              <w:left w:val="single" w:sz="8" w:space="0" w:color="000000" w:themeColor="text1"/>
              <w:bottom w:val="single" w:sz="8" w:space="0" w:color="auto"/>
              <w:right w:val="single" w:sz="8" w:space="0" w:color="000000" w:themeColor="text1"/>
            </w:tcBorders>
            <w:shd w:val="clear" w:color="auto" w:fill="F2F2F2" w:themeFill="background1" w:themeFillShade="F2"/>
            <w:vAlign w:val="center"/>
          </w:tcPr>
          <w:p w14:paraId="460B4387"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Total</w:t>
            </w:r>
          </w:p>
        </w:tc>
        <w:tc>
          <w:tcPr>
            <w:tcW w:w="1560" w:type="dxa"/>
            <w:tcBorders>
              <w:top w:val="single" w:sz="8" w:space="0" w:color="000000" w:themeColor="text1"/>
              <w:left w:val="single" w:sz="8" w:space="0" w:color="000000" w:themeColor="text1"/>
              <w:bottom w:val="single" w:sz="8" w:space="0" w:color="000000" w:themeColor="text1"/>
              <w:right w:val="nil"/>
            </w:tcBorders>
            <w:shd w:val="clear" w:color="auto" w:fill="F2F2F2" w:themeFill="background1" w:themeFillShade="F2"/>
            <w:vAlign w:val="center"/>
          </w:tcPr>
          <w:p w14:paraId="392A7F24"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40</w:t>
            </w:r>
          </w:p>
        </w:tc>
        <w:tc>
          <w:tcPr>
            <w:tcW w:w="1701" w:type="dxa"/>
            <w:tcBorders>
              <w:top w:val="single" w:sz="8" w:space="0" w:color="000000" w:themeColor="text1"/>
              <w:left w:val="single" w:sz="8" w:space="0" w:color="000000" w:themeColor="text1"/>
              <w:bottom w:val="single" w:sz="8" w:space="0" w:color="000000" w:themeColor="text1"/>
              <w:right w:val="single" w:sz="4" w:space="0" w:color="auto"/>
            </w:tcBorders>
            <w:shd w:val="clear" w:color="auto" w:fill="F2F2F2" w:themeFill="background1" w:themeFillShade="F2"/>
            <w:vAlign w:val="center"/>
          </w:tcPr>
          <w:p w14:paraId="2E5C5BED"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bCs/>
                <w:color w:val="000000" w:themeColor="text1"/>
                <w:sz w:val="20"/>
                <w:szCs w:val="20"/>
                <w:lang w:val="en"/>
              </w:rPr>
              <w:t>100.0</w:t>
            </w:r>
          </w:p>
        </w:tc>
      </w:tr>
      <w:tr w:rsidR="00AE5E6C" w:rsidRPr="00164238" w14:paraId="6F027BD6" w14:textId="77777777" w:rsidTr="00682CBF">
        <w:trPr>
          <w:trHeight w:val="405"/>
        </w:trPr>
        <w:tc>
          <w:tcPr>
            <w:tcW w:w="2093" w:type="dxa"/>
            <w:vMerge w:val="restart"/>
            <w:tcBorders>
              <w:top w:val="single" w:sz="8" w:space="0" w:color="auto"/>
              <w:left w:val="single" w:sz="8" w:space="0" w:color="000000" w:themeColor="text1"/>
              <w:bottom w:val="single" w:sz="8" w:space="0" w:color="auto"/>
              <w:right w:val="single" w:sz="8" w:space="0" w:color="000000" w:themeColor="text1"/>
            </w:tcBorders>
            <w:shd w:val="clear" w:color="auto" w:fill="F2F2F2" w:themeFill="background1" w:themeFillShade="F2"/>
            <w:vAlign w:val="center"/>
          </w:tcPr>
          <w:p w14:paraId="1FFBD623"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Years of experience</w:t>
            </w:r>
          </w:p>
        </w:tc>
        <w:tc>
          <w:tcPr>
            <w:tcW w:w="3118" w:type="dxa"/>
            <w:tcBorders>
              <w:top w:val="nil"/>
              <w:left w:val="single" w:sz="8" w:space="0" w:color="000000" w:themeColor="text1"/>
              <w:bottom w:val="single" w:sz="8" w:space="0" w:color="000000" w:themeColor="text1"/>
              <w:right w:val="nil"/>
            </w:tcBorders>
          </w:tcPr>
          <w:p w14:paraId="1B52ACF9"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5 to 10 years</w:t>
            </w:r>
          </w:p>
        </w:tc>
        <w:tc>
          <w:tcPr>
            <w:tcW w:w="1560" w:type="dxa"/>
            <w:tcBorders>
              <w:top w:val="single" w:sz="8" w:space="0" w:color="000000" w:themeColor="text1"/>
              <w:left w:val="single" w:sz="8" w:space="0" w:color="000000" w:themeColor="text1"/>
              <w:bottom w:val="single" w:sz="8" w:space="0" w:color="000000" w:themeColor="text1"/>
              <w:right w:val="nil"/>
            </w:tcBorders>
          </w:tcPr>
          <w:p w14:paraId="4DC27F08"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15</w:t>
            </w:r>
          </w:p>
        </w:tc>
        <w:tc>
          <w:tcPr>
            <w:tcW w:w="1701" w:type="dxa"/>
            <w:tcBorders>
              <w:top w:val="single" w:sz="8" w:space="0" w:color="000000" w:themeColor="text1"/>
              <w:left w:val="single" w:sz="8" w:space="0" w:color="000000" w:themeColor="text1"/>
              <w:bottom w:val="single" w:sz="8" w:space="0" w:color="000000" w:themeColor="text1"/>
              <w:right w:val="single" w:sz="4" w:space="0" w:color="auto"/>
            </w:tcBorders>
          </w:tcPr>
          <w:p w14:paraId="3990470C"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37.5</w:t>
            </w:r>
          </w:p>
        </w:tc>
      </w:tr>
      <w:tr w:rsidR="00AE5E6C" w:rsidRPr="00164238" w14:paraId="74B20351" w14:textId="77777777" w:rsidTr="00682CBF">
        <w:trPr>
          <w:trHeight w:val="405"/>
        </w:trPr>
        <w:tc>
          <w:tcPr>
            <w:tcW w:w="2093" w:type="dxa"/>
            <w:vMerge/>
            <w:vAlign w:val="center"/>
          </w:tcPr>
          <w:p w14:paraId="4D55B0D6"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p>
        </w:tc>
        <w:tc>
          <w:tcPr>
            <w:tcW w:w="3118" w:type="dxa"/>
            <w:tcBorders>
              <w:top w:val="single" w:sz="8" w:space="0" w:color="000000" w:themeColor="text1"/>
              <w:left w:val="single" w:sz="8" w:space="0" w:color="000000" w:themeColor="text1"/>
              <w:bottom w:val="single" w:sz="8" w:space="0" w:color="000000" w:themeColor="text1"/>
              <w:right w:val="nil"/>
            </w:tcBorders>
          </w:tcPr>
          <w:p w14:paraId="6B6DD163"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11-15 years</w:t>
            </w:r>
          </w:p>
        </w:tc>
        <w:tc>
          <w:tcPr>
            <w:tcW w:w="1560" w:type="dxa"/>
            <w:tcBorders>
              <w:top w:val="single" w:sz="8" w:space="0" w:color="000000" w:themeColor="text1"/>
              <w:left w:val="single" w:sz="8" w:space="0" w:color="000000" w:themeColor="text1"/>
              <w:bottom w:val="single" w:sz="8" w:space="0" w:color="000000" w:themeColor="text1"/>
              <w:right w:val="nil"/>
            </w:tcBorders>
          </w:tcPr>
          <w:p w14:paraId="6F06C663"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17</w:t>
            </w:r>
          </w:p>
        </w:tc>
        <w:tc>
          <w:tcPr>
            <w:tcW w:w="1701" w:type="dxa"/>
            <w:tcBorders>
              <w:top w:val="single" w:sz="8" w:space="0" w:color="000000" w:themeColor="text1"/>
              <w:left w:val="single" w:sz="8" w:space="0" w:color="000000" w:themeColor="text1"/>
              <w:bottom w:val="single" w:sz="8" w:space="0" w:color="000000" w:themeColor="text1"/>
              <w:right w:val="single" w:sz="4" w:space="0" w:color="auto"/>
            </w:tcBorders>
          </w:tcPr>
          <w:p w14:paraId="71F5B4E1"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42.5</w:t>
            </w:r>
          </w:p>
        </w:tc>
      </w:tr>
      <w:tr w:rsidR="00AE5E6C" w:rsidRPr="00164238" w14:paraId="760F9445" w14:textId="77777777" w:rsidTr="00682CBF">
        <w:trPr>
          <w:trHeight w:val="405"/>
        </w:trPr>
        <w:tc>
          <w:tcPr>
            <w:tcW w:w="2093" w:type="dxa"/>
            <w:vMerge/>
            <w:vAlign w:val="center"/>
          </w:tcPr>
          <w:p w14:paraId="149ACFE4"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p>
        </w:tc>
        <w:tc>
          <w:tcPr>
            <w:tcW w:w="3118" w:type="dxa"/>
            <w:tcBorders>
              <w:top w:val="single" w:sz="8" w:space="0" w:color="000000" w:themeColor="text1"/>
              <w:left w:val="single" w:sz="8" w:space="0" w:color="000000" w:themeColor="text1"/>
              <w:bottom w:val="single" w:sz="8" w:space="0" w:color="000000" w:themeColor="text1"/>
              <w:right w:val="nil"/>
            </w:tcBorders>
          </w:tcPr>
          <w:p w14:paraId="122608EA" w14:textId="77777777" w:rsidR="005633F5" w:rsidRPr="00164238" w:rsidRDefault="005633F5" w:rsidP="00682CBF">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More than 15 years</w:t>
            </w:r>
          </w:p>
        </w:tc>
        <w:tc>
          <w:tcPr>
            <w:tcW w:w="1560" w:type="dxa"/>
            <w:tcBorders>
              <w:top w:val="single" w:sz="8" w:space="0" w:color="000000" w:themeColor="text1"/>
              <w:left w:val="single" w:sz="8" w:space="0" w:color="000000" w:themeColor="text1"/>
              <w:bottom w:val="single" w:sz="8" w:space="0" w:color="000000" w:themeColor="text1"/>
              <w:right w:val="nil"/>
            </w:tcBorders>
          </w:tcPr>
          <w:p w14:paraId="5830BD7E"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8</w:t>
            </w:r>
          </w:p>
        </w:tc>
        <w:tc>
          <w:tcPr>
            <w:tcW w:w="1701" w:type="dxa"/>
            <w:tcBorders>
              <w:top w:val="single" w:sz="8" w:space="0" w:color="000000" w:themeColor="text1"/>
              <w:left w:val="single" w:sz="8" w:space="0" w:color="000000" w:themeColor="text1"/>
              <w:bottom w:val="single" w:sz="8" w:space="0" w:color="000000" w:themeColor="text1"/>
              <w:right w:val="single" w:sz="4" w:space="0" w:color="auto"/>
            </w:tcBorders>
          </w:tcPr>
          <w:p w14:paraId="60E2655C"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20.0</w:t>
            </w:r>
          </w:p>
        </w:tc>
      </w:tr>
      <w:tr w:rsidR="00AE5E6C" w:rsidRPr="00164238" w14:paraId="6490C328" w14:textId="77777777" w:rsidTr="00682CBF">
        <w:trPr>
          <w:trHeight w:val="405"/>
        </w:trPr>
        <w:tc>
          <w:tcPr>
            <w:tcW w:w="5211" w:type="dxa"/>
            <w:gridSpan w:val="2"/>
            <w:tcBorders>
              <w:top w:val="nil"/>
              <w:left w:val="single" w:sz="8" w:space="0" w:color="000000" w:themeColor="text1"/>
              <w:bottom w:val="single" w:sz="8" w:space="0" w:color="000000" w:themeColor="text1"/>
              <w:right w:val="single" w:sz="8" w:space="0" w:color="000000" w:themeColor="text1"/>
            </w:tcBorders>
            <w:shd w:val="clear" w:color="auto" w:fill="F2F2F2" w:themeFill="background1" w:themeFillShade="F2"/>
            <w:vAlign w:val="center"/>
          </w:tcPr>
          <w:p w14:paraId="7CC0980C"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Total</w:t>
            </w:r>
          </w:p>
        </w:tc>
        <w:tc>
          <w:tcPr>
            <w:tcW w:w="1560" w:type="dxa"/>
            <w:tcBorders>
              <w:top w:val="single" w:sz="8" w:space="0" w:color="000000" w:themeColor="text1"/>
              <w:left w:val="single" w:sz="8" w:space="0" w:color="000000" w:themeColor="text1"/>
              <w:bottom w:val="single" w:sz="8" w:space="0" w:color="000000" w:themeColor="text1"/>
              <w:right w:val="nil"/>
            </w:tcBorders>
            <w:shd w:val="clear" w:color="auto" w:fill="F2F2F2" w:themeFill="background1" w:themeFillShade="F2"/>
            <w:vAlign w:val="center"/>
          </w:tcPr>
          <w:p w14:paraId="0395FCB3"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bCs/>
                <w:color w:val="000000" w:themeColor="text1"/>
                <w:sz w:val="20"/>
                <w:szCs w:val="20"/>
                <w:lang w:val="en"/>
              </w:rPr>
              <w:t>40</w:t>
            </w:r>
          </w:p>
        </w:tc>
        <w:tc>
          <w:tcPr>
            <w:tcW w:w="1701" w:type="dxa"/>
            <w:tcBorders>
              <w:top w:val="single" w:sz="8" w:space="0" w:color="000000" w:themeColor="text1"/>
              <w:left w:val="single" w:sz="8" w:space="0" w:color="000000" w:themeColor="text1"/>
              <w:bottom w:val="single" w:sz="8" w:space="0" w:color="000000" w:themeColor="text1"/>
              <w:right w:val="single" w:sz="4" w:space="0" w:color="auto"/>
            </w:tcBorders>
            <w:shd w:val="clear" w:color="auto" w:fill="F2F2F2" w:themeFill="background1" w:themeFillShade="F2"/>
            <w:vAlign w:val="center"/>
          </w:tcPr>
          <w:p w14:paraId="2C0C07B7"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bCs/>
                <w:color w:val="000000" w:themeColor="text1"/>
                <w:sz w:val="20"/>
                <w:szCs w:val="20"/>
                <w:lang w:val="en"/>
              </w:rPr>
              <w:t>100.0</w:t>
            </w:r>
          </w:p>
        </w:tc>
      </w:tr>
    </w:tbl>
    <w:p w14:paraId="209BC0E8"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It is clear from the previous table that:</w:t>
      </w:r>
    </w:p>
    <w:p w14:paraId="124442ED" w14:textId="77777777" w:rsidR="005633F5" w:rsidRPr="00164238" w:rsidRDefault="005633F5" w:rsidP="007C3550">
      <w:pPr>
        <w:numPr>
          <w:ilvl w:val="0"/>
          <w:numId w:val="53"/>
        </w:numPr>
        <w:spacing w:after="0" w:line="240" w:lineRule="auto"/>
        <w:contextualSpacing/>
        <w:jc w:val="both"/>
        <w:rPr>
          <w:rFonts w:ascii="Times New Roman" w:eastAsia="Times New Roman"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 xml:space="preserve">The study community is represented by department directors, department heads and internal auditors working in the internal audit department of Palestinian government ministries, and is directly related to the nature of the use of artificial intelligence in the internal audit process in the Palestinian Ministry of Finance, which makes the society suitable for study.  </w:t>
      </w:r>
    </w:p>
    <w:p w14:paraId="5FC82BE1" w14:textId="77777777" w:rsidR="005633F5" w:rsidRPr="00164238" w:rsidRDefault="005633F5" w:rsidP="007C3550">
      <w:pPr>
        <w:numPr>
          <w:ilvl w:val="0"/>
          <w:numId w:val="53"/>
        </w:numPr>
        <w:spacing w:after="0" w:line="240" w:lineRule="auto"/>
        <w:contextualSpacing/>
        <w:jc w:val="both"/>
        <w:rPr>
          <w:rFonts w:ascii="Times New Roman" w:eastAsia="Times New Roman"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The scientific qualifications of members of the community range from ph.d., master and bachelor's degree, and the study community has great career experience in their work, making the study community representative of all practical qualifications and appropriate experiences.</w:t>
      </w:r>
    </w:p>
    <w:p w14:paraId="1D482FE8" w14:textId="77777777" w:rsidR="005633F5" w:rsidRPr="00164238" w:rsidRDefault="005633F5" w:rsidP="007C3550">
      <w:pPr>
        <w:numPr>
          <w:ilvl w:val="0"/>
          <w:numId w:val="53"/>
        </w:numPr>
        <w:spacing w:after="0" w:line="240" w:lineRule="auto"/>
        <w:contextualSpacing/>
        <w:jc w:val="both"/>
        <w:rPr>
          <w:rFonts w:ascii="Times New Roman" w:eastAsia="Times New Roman"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Years of working experience for community members are less than 5 to 10 years, from 11 to 15 years, and from 15 years and over, and the members of the study community have years of great experience in their work, making them the right experience to do their job to the fullest.</w:t>
      </w:r>
    </w:p>
    <w:p w14:paraId="75629099" w14:textId="77777777" w:rsidR="005633F5" w:rsidRPr="00164238" w:rsidRDefault="005633F5" w:rsidP="005633F5">
      <w:pPr>
        <w:spacing w:after="0" w:line="240" w:lineRule="auto"/>
        <w:jc w:val="both"/>
        <w:rPr>
          <w:rFonts w:ascii="Times New Roman" w:eastAsiaTheme="minorEastAsia" w:hAnsi="Times New Roman" w:cs="Times New Roman"/>
          <w:b/>
          <w:bCs/>
          <w:color w:val="000000" w:themeColor="text1"/>
          <w:sz w:val="20"/>
          <w:szCs w:val="20"/>
        </w:rPr>
      </w:pPr>
      <w:r w:rsidRPr="00164238">
        <w:rPr>
          <w:rFonts w:ascii="Times New Roman" w:hAnsi="Times New Roman" w:cs="Times New Roman"/>
          <w:b/>
          <w:color w:val="000000" w:themeColor="text1"/>
          <w:sz w:val="20"/>
          <w:szCs w:val="20"/>
          <w:lang w:val="en"/>
        </w:rPr>
        <w:t>1. Statistical analysis of the results of the study and testing hypotheses:</w:t>
      </w:r>
    </w:p>
    <w:p w14:paraId="61523C0F" w14:textId="5E4FB0F9" w:rsidR="005633F5" w:rsidRDefault="005633F5" w:rsidP="005633F5">
      <w:pPr>
        <w:spacing w:after="0" w:line="240" w:lineRule="auto"/>
        <w:jc w:val="both"/>
        <w:rPr>
          <w:rFonts w:ascii="Times New Roman" w:hAnsi="Times New Roman" w:cs="Times New Roman"/>
          <w:color w:val="000000" w:themeColor="text1"/>
          <w:sz w:val="20"/>
          <w:szCs w:val="20"/>
          <w:lang w:val="en"/>
        </w:rPr>
      </w:pPr>
      <w:r w:rsidRPr="00164238">
        <w:rPr>
          <w:rFonts w:ascii="Times New Roman" w:hAnsi="Times New Roman" w:cs="Times New Roman"/>
          <w:b/>
          <w:color w:val="000000" w:themeColor="text1"/>
          <w:sz w:val="20"/>
          <w:szCs w:val="20"/>
          <w:u w:val="single"/>
          <w:lang w:val="en"/>
        </w:rPr>
        <w:t>* Analysis and testing of the first hypothesis paragraphs:</w:t>
      </w:r>
      <w:r w:rsidRPr="00164238">
        <w:rPr>
          <w:rFonts w:ascii="Times New Roman" w:hAnsi="Times New Roman" w:cs="Times New Roman"/>
          <w:color w:val="000000" w:themeColor="text1"/>
          <w:sz w:val="20"/>
          <w:szCs w:val="20"/>
          <w:lang w:val="en"/>
        </w:rPr>
        <w:t xml:space="preserve"> (There is an effect on the use of artificial intelligence in the internal audit process on the management and evaluation of</w:t>
      </w:r>
      <w:r w:rsidRPr="00164238">
        <w:rPr>
          <w:rFonts w:ascii="Times New Roman" w:hAnsi="Times New Roman" w:cs="Times New Roman"/>
          <w:b/>
          <w:color w:val="000000" w:themeColor="text1"/>
          <w:sz w:val="20"/>
          <w:szCs w:val="20"/>
          <w:lang w:val="en"/>
        </w:rPr>
        <w:t xml:space="preserve"> risks in the Palestinian government sector),</w:t>
      </w:r>
      <w:r w:rsidRPr="00164238">
        <w:rPr>
          <w:rFonts w:ascii="Times New Roman" w:hAnsi="Times New Roman" w:cs="Times New Roman"/>
          <w:color w:val="000000" w:themeColor="text1"/>
          <w:sz w:val="20"/>
          <w:szCs w:val="20"/>
          <w:lang w:val="en"/>
        </w:rPr>
        <w:t xml:space="preserve"> the Test (T)  was used to determine the average response score reached the average score of (3) or not in the individuals of the sample, and the results are shown in the following table:</w:t>
      </w:r>
    </w:p>
    <w:p w14:paraId="32451A86" w14:textId="7FE7D068" w:rsidR="00563597" w:rsidRDefault="00563597" w:rsidP="005633F5">
      <w:pPr>
        <w:spacing w:after="0" w:line="240" w:lineRule="auto"/>
        <w:jc w:val="both"/>
        <w:rPr>
          <w:rFonts w:ascii="Times New Roman" w:hAnsi="Times New Roman" w:cs="Times New Roman"/>
          <w:color w:val="000000" w:themeColor="text1"/>
          <w:sz w:val="20"/>
          <w:szCs w:val="20"/>
          <w:lang w:val="en"/>
        </w:rPr>
      </w:pPr>
    </w:p>
    <w:p w14:paraId="7B331F9D" w14:textId="33633F1C" w:rsidR="00563597" w:rsidRDefault="00563597" w:rsidP="005633F5">
      <w:pPr>
        <w:spacing w:after="0" w:line="240" w:lineRule="auto"/>
        <w:jc w:val="both"/>
        <w:rPr>
          <w:rFonts w:ascii="Times New Roman" w:hAnsi="Times New Roman" w:cs="Times New Roman"/>
          <w:color w:val="000000" w:themeColor="text1"/>
          <w:sz w:val="20"/>
          <w:szCs w:val="20"/>
          <w:lang w:val="en"/>
        </w:rPr>
      </w:pPr>
    </w:p>
    <w:p w14:paraId="0178D829" w14:textId="636636A6" w:rsidR="00563597" w:rsidRDefault="00563597" w:rsidP="005633F5">
      <w:pPr>
        <w:spacing w:after="0" w:line="240" w:lineRule="auto"/>
        <w:jc w:val="both"/>
        <w:rPr>
          <w:rFonts w:ascii="Times New Roman" w:hAnsi="Times New Roman" w:cs="Times New Roman"/>
          <w:color w:val="000000" w:themeColor="text1"/>
          <w:sz w:val="20"/>
          <w:szCs w:val="20"/>
          <w:lang w:val="en"/>
        </w:rPr>
      </w:pPr>
    </w:p>
    <w:p w14:paraId="634B5824" w14:textId="3321B825" w:rsidR="00563597" w:rsidRDefault="00563597" w:rsidP="005633F5">
      <w:pPr>
        <w:spacing w:after="0" w:line="240" w:lineRule="auto"/>
        <w:jc w:val="both"/>
        <w:rPr>
          <w:rFonts w:ascii="Times New Roman" w:hAnsi="Times New Roman" w:cs="Times New Roman"/>
          <w:color w:val="000000" w:themeColor="text1"/>
          <w:sz w:val="20"/>
          <w:szCs w:val="20"/>
          <w:lang w:val="en"/>
        </w:rPr>
      </w:pPr>
    </w:p>
    <w:p w14:paraId="2FA23890" w14:textId="2A02725F" w:rsidR="00563597" w:rsidRDefault="00563597" w:rsidP="005633F5">
      <w:pPr>
        <w:spacing w:after="0" w:line="240" w:lineRule="auto"/>
        <w:jc w:val="both"/>
        <w:rPr>
          <w:rFonts w:ascii="Times New Roman" w:hAnsi="Times New Roman" w:cs="Times New Roman"/>
          <w:color w:val="000000" w:themeColor="text1"/>
          <w:sz w:val="20"/>
          <w:szCs w:val="20"/>
          <w:lang w:val="en"/>
        </w:rPr>
      </w:pPr>
    </w:p>
    <w:p w14:paraId="3AEA6D52" w14:textId="18815237" w:rsidR="00563597" w:rsidRDefault="00563597" w:rsidP="005633F5">
      <w:pPr>
        <w:spacing w:after="0" w:line="240" w:lineRule="auto"/>
        <w:jc w:val="both"/>
        <w:rPr>
          <w:rFonts w:ascii="Times New Roman" w:hAnsi="Times New Roman" w:cs="Times New Roman"/>
          <w:color w:val="000000" w:themeColor="text1"/>
          <w:sz w:val="20"/>
          <w:szCs w:val="20"/>
          <w:lang w:val="en"/>
        </w:rPr>
      </w:pPr>
    </w:p>
    <w:p w14:paraId="343BBC95" w14:textId="6F1ACAD9" w:rsidR="00563597" w:rsidRDefault="00563597" w:rsidP="005633F5">
      <w:pPr>
        <w:spacing w:after="0" w:line="240" w:lineRule="auto"/>
        <w:jc w:val="both"/>
        <w:rPr>
          <w:rFonts w:ascii="Times New Roman" w:hAnsi="Times New Roman" w:cs="Times New Roman"/>
          <w:color w:val="000000" w:themeColor="text1"/>
          <w:sz w:val="20"/>
          <w:szCs w:val="20"/>
          <w:lang w:val="en"/>
        </w:rPr>
      </w:pPr>
    </w:p>
    <w:p w14:paraId="71E4D7F9" w14:textId="03B6AC68" w:rsidR="00563597" w:rsidRDefault="00563597" w:rsidP="005633F5">
      <w:pPr>
        <w:spacing w:after="0" w:line="240" w:lineRule="auto"/>
        <w:jc w:val="both"/>
        <w:rPr>
          <w:rFonts w:ascii="Times New Roman" w:hAnsi="Times New Roman" w:cs="Times New Roman"/>
          <w:color w:val="000000" w:themeColor="text1"/>
          <w:sz w:val="20"/>
          <w:szCs w:val="20"/>
          <w:lang w:val="en"/>
        </w:rPr>
      </w:pPr>
    </w:p>
    <w:p w14:paraId="1200D1D9" w14:textId="5D6A9909" w:rsidR="00563597" w:rsidRDefault="00563597" w:rsidP="005633F5">
      <w:pPr>
        <w:spacing w:after="0" w:line="240" w:lineRule="auto"/>
        <w:jc w:val="both"/>
        <w:rPr>
          <w:rFonts w:ascii="Times New Roman" w:hAnsi="Times New Roman" w:cs="Times New Roman"/>
          <w:color w:val="000000" w:themeColor="text1"/>
          <w:sz w:val="20"/>
          <w:szCs w:val="20"/>
          <w:lang w:val="en"/>
        </w:rPr>
      </w:pPr>
    </w:p>
    <w:p w14:paraId="5D7DCAE1" w14:textId="394639DC" w:rsidR="00E839E1" w:rsidRDefault="00E839E1" w:rsidP="005633F5">
      <w:pPr>
        <w:spacing w:after="0" w:line="240" w:lineRule="auto"/>
        <w:jc w:val="both"/>
        <w:rPr>
          <w:rFonts w:ascii="Times New Roman" w:hAnsi="Times New Roman" w:cs="Times New Roman"/>
          <w:color w:val="000000" w:themeColor="text1"/>
          <w:sz w:val="20"/>
          <w:szCs w:val="20"/>
          <w:lang w:val="en"/>
        </w:rPr>
      </w:pPr>
    </w:p>
    <w:p w14:paraId="5626748D" w14:textId="77777777" w:rsidR="00E839E1" w:rsidRDefault="00E839E1" w:rsidP="005633F5">
      <w:pPr>
        <w:spacing w:after="0" w:line="240" w:lineRule="auto"/>
        <w:jc w:val="both"/>
        <w:rPr>
          <w:rFonts w:ascii="Times New Roman" w:hAnsi="Times New Roman" w:cs="Times New Roman"/>
          <w:color w:val="000000" w:themeColor="text1"/>
          <w:sz w:val="20"/>
          <w:szCs w:val="20"/>
          <w:lang w:val="en"/>
        </w:rPr>
      </w:pPr>
    </w:p>
    <w:p w14:paraId="526F049E" w14:textId="38A2D91B" w:rsidR="00563597" w:rsidRDefault="00563597" w:rsidP="005633F5">
      <w:pPr>
        <w:spacing w:after="0" w:line="240" w:lineRule="auto"/>
        <w:jc w:val="both"/>
        <w:rPr>
          <w:rFonts w:ascii="Times New Roman" w:hAnsi="Times New Roman" w:cs="Times New Roman"/>
          <w:color w:val="000000" w:themeColor="text1"/>
          <w:sz w:val="20"/>
          <w:szCs w:val="20"/>
          <w:lang w:val="en"/>
        </w:rPr>
      </w:pPr>
    </w:p>
    <w:p w14:paraId="5A6FB39A" w14:textId="3901B5E2" w:rsidR="00563597" w:rsidRDefault="00563597" w:rsidP="005633F5">
      <w:pPr>
        <w:spacing w:after="0" w:line="240" w:lineRule="auto"/>
        <w:jc w:val="both"/>
        <w:rPr>
          <w:rFonts w:ascii="Times New Roman" w:hAnsi="Times New Roman" w:cs="Times New Roman"/>
          <w:color w:val="000000" w:themeColor="text1"/>
          <w:sz w:val="20"/>
          <w:szCs w:val="20"/>
          <w:lang w:val="en"/>
        </w:rPr>
      </w:pPr>
    </w:p>
    <w:p w14:paraId="11AB623E" w14:textId="7E877B36" w:rsidR="00563597" w:rsidRDefault="00563597" w:rsidP="005633F5">
      <w:pPr>
        <w:spacing w:after="0" w:line="240" w:lineRule="auto"/>
        <w:jc w:val="both"/>
        <w:rPr>
          <w:rFonts w:ascii="Times New Roman" w:hAnsi="Times New Roman" w:cs="Times New Roman"/>
          <w:color w:val="000000" w:themeColor="text1"/>
          <w:sz w:val="20"/>
          <w:szCs w:val="20"/>
          <w:lang w:val="en"/>
        </w:rPr>
      </w:pPr>
    </w:p>
    <w:p w14:paraId="2E8EB523" w14:textId="51E82846" w:rsidR="00563597" w:rsidRDefault="00563597" w:rsidP="005633F5">
      <w:pPr>
        <w:spacing w:after="0" w:line="240" w:lineRule="auto"/>
        <w:jc w:val="both"/>
        <w:rPr>
          <w:rFonts w:ascii="Times New Roman" w:hAnsi="Times New Roman" w:cs="Times New Roman"/>
          <w:color w:val="000000" w:themeColor="text1"/>
          <w:sz w:val="20"/>
          <w:szCs w:val="20"/>
          <w:lang w:val="en"/>
        </w:rPr>
      </w:pPr>
    </w:p>
    <w:p w14:paraId="2AD6FCAB" w14:textId="77777777" w:rsidR="005633F5" w:rsidRPr="00164238" w:rsidRDefault="005633F5" w:rsidP="005633F5">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Table No. (9) Results of statistical analysis of the first hypothesis paragraphs</w:t>
      </w:r>
    </w:p>
    <w:tbl>
      <w:tblPr>
        <w:tblW w:w="9360" w:type="dxa"/>
        <w:tblLayout w:type="fixed"/>
        <w:tblLook w:val="04A0" w:firstRow="1" w:lastRow="0" w:firstColumn="1" w:lastColumn="0" w:noHBand="0" w:noVBand="1"/>
      </w:tblPr>
      <w:tblGrid>
        <w:gridCol w:w="431"/>
        <w:gridCol w:w="3221"/>
        <w:gridCol w:w="992"/>
        <w:gridCol w:w="993"/>
        <w:gridCol w:w="850"/>
        <w:gridCol w:w="898"/>
        <w:gridCol w:w="1087"/>
        <w:gridCol w:w="708"/>
        <w:gridCol w:w="180"/>
      </w:tblGrid>
      <w:tr w:rsidR="00AE5E6C" w:rsidRPr="00164238" w14:paraId="30BF6E23" w14:textId="77777777" w:rsidTr="00682CBF">
        <w:trPr>
          <w:gridAfter w:val="1"/>
          <w:wAfter w:w="180" w:type="dxa"/>
          <w:trHeight w:val="675"/>
        </w:trPr>
        <w:tc>
          <w:tcPr>
            <w:tcW w:w="431" w:type="dxa"/>
            <w:tcBorders>
              <w:top w:val="double" w:sz="10" w:space="0" w:color="auto"/>
              <w:left w:val="single" w:sz="8" w:space="0" w:color="auto"/>
              <w:bottom w:val="double" w:sz="10" w:space="0" w:color="auto"/>
              <w:right w:val="double" w:sz="10" w:space="0" w:color="auto"/>
            </w:tcBorders>
            <w:shd w:val="clear" w:color="auto" w:fill="D9D9D9" w:themeFill="background1" w:themeFillShade="D9"/>
          </w:tcPr>
          <w:p w14:paraId="14A7F135"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M</w:t>
            </w:r>
          </w:p>
        </w:tc>
        <w:tc>
          <w:tcPr>
            <w:tcW w:w="3221" w:type="dxa"/>
            <w:tcBorders>
              <w:top w:val="double" w:sz="10" w:space="0" w:color="auto"/>
              <w:left w:val="single" w:sz="8" w:space="0" w:color="auto"/>
              <w:bottom w:val="double" w:sz="10" w:space="0" w:color="auto"/>
              <w:right w:val="nil"/>
            </w:tcBorders>
            <w:shd w:val="clear" w:color="auto" w:fill="D9D9D9" w:themeFill="background1" w:themeFillShade="D9"/>
            <w:vAlign w:val="center"/>
          </w:tcPr>
          <w:p w14:paraId="09DD43DE"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Phrases</w:t>
            </w:r>
          </w:p>
        </w:tc>
        <w:tc>
          <w:tcPr>
            <w:tcW w:w="992" w:type="dxa"/>
            <w:tcBorders>
              <w:top w:val="double" w:sz="10" w:space="0" w:color="auto"/>
              <w:left w:val="single" w:sz="8" w:space="0" w:color="auto"/>
              <w:bottom w:val="double" w:sz="10" w:space="0" w:color="auto"/>
              <w:right w:val="nil"/>
            </w:tcBorders>
            <w:shd w:val="clear" w:color="auto" w:fill="D9D9D9" w:themeFill="background1" w:themeFillShade="D9"/>
            <w:vAlign w:val="center"/>
          </w:tcPr>
          <w:p w14:paraId="08814550"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Arithmetic medium</w:t>
            </w:r>
          </w:p>
        </w:tc>
        <w:tc>
          <w:tcPr>
            <w:tcW w:w="993" w:type="dxa"/>
            <w:tcBorders>
              <w:top w:val="double" w:sz="10" w:space="0" w:color="auto"/>
              <w:left w:val="single" w:sz="8" w:space="0" w:color="auto"/>
              <w:bottom w:val="double" w:sz="10" w:space="0" w:color="auto"/>
              <w:right w:val="nil"/>
            </w:tcBorders>
            <w:shd w:val="clear" w:color="auto" w:fill="D9D9D9" w:themeFill="background1" w:themeFillShade="D9"/>
            <w:vAlign w:val="center"/>
          </w:tcPr>
          <w:p w14:paraId="624CC13D"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Standard deviation</w:t>
            </w:r>
          </w:p>
        </w:tc>
        <w:tc>
          <w:tcPr>
            <w:tcW w:w="850" w:type="dxa"/>
            <w:tcBorders>
              <w:top w:val="double" w:sz="10" w:space="0" w:color="auto"/>
              <w:left w:val="single" w:sz="8" w:space="0" w:color="auto"/>
              <w:bottom w:val="double" w:sz="10" w:space="0" w:color="auto"/>
              <w:right w:val="nil"/>
            </w:tcBorders>
            <w:shd w:val="clear" w:color="auto" w:fill="D9D9D9" w:themeFill="background1" w:themeFillShade="D9"/>
            <w:vAlign w:val="center"/>
          </w:tcPr>
          <w:p w14:paraId="359E1D53"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Relative weight</w:t>
            </w:r>
          </w:p>
        </w:tc>
        <w:tc>
          <w:tcPr>
            <w:tcW w:w="898" w:type="dxa"/>
            <w:tcBorders>
              <w:top w:val="double" w:sz="10" w:space="0" w:color="auto"/>
              <w:left w:val="single" w:sz="8" w:space="0" w:color="auto"/>
              <w:bottom w:val="double" w:sz="10" w:space="0" w:color="auto"/>
              <w:right w:val="nil"/>
            </w:tcBorders>
            <w:shd w:val="clear" w:color="auto" w:fill="D9D9D9" w:themeFill="background1" w:themeFillShade="D9"/>
            <w:vAlign w:val="center"/>
          </w:tcPr>
          <w:p w14:paraId="0DD7BCAB"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T</w:t>
            </w:r>
            <w:r w:rsidRPr="00164238">
              <w:rPr>
                <w:rFonts w:ascii="Times New Roman" w:hAnsi="Times New Roman" w:cs="Times New Roman"/>
                <w:color w:val="000000" w:themeColor="text1"/>
                <w:sz w:val="20"/>
                <w:szCs w:val="20"/>
                <w:lang w:val="en"/>
              </w:rPr>
              <w:t xml:space="preserve"> test value</w:t>
            </w:r>
          </w:p>
        </w:tc>
        <w:tc>
          <w:tcPr>
            <w:tcW w:w="1087" w:type="dxa"/>
            <w:tcBorders>
              <w:top w:val="double" w:sz="10" w:space="0" w:color="auto"/>
              <w:left w:val="single" w:sz="8" w:space="0" w:color="auto"/>
              <w:bottom w:val="double" w:sz="10" w:space="0" w:color="auto"/>
              <w:right w:val="single" w:sz="8" w:space="0" w:color="auto"/>
            </w:tcBorders>
            <w:shd w:val="clear" w:color="auto" w:fill="D9D9D9" w:themeFill="background1" w:themeFillShade="D9"/>
            <w:vAlign w:val="center"/>
          </w:tcPr>
          <w:p w14:paraId="286D927C"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Probability value (.sig)</w:t>
            </w:r>
          </w:p>
        </w:tc>
        <w:tc>
          <w:tcPr>
            <w:tcW w:w="708" w:type="dxa"/>
            <w:tcBorders>
              <w:top w:val="single" w:sz="8" w:space="0" w:color="auto"/>
              <w:left w:val="single" w:sz="8" w:space="0" w:color="auto"/>
              <w:bottom w:val="single" w:sz="8" w:space="0" w:color="auto"/>
              <w:right w:val="single" w:sz="4" w:space="0" w:color="auto"/>
            </w:tcBorders>
            <w:shd w:val="clear" w:color="auto" w:fill="D9D9D9" w:themeFill="background1" w:themeFillShade="D9"/>
            <w:vAlign w:val="center"/>
          </w:tcPr>
          <w:p w14:paraId="0E9978E4"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Order</w:t>
            </w:r>
          </w:p>
        </w:tc>
      </w:tr>
      <w:tr w:rsidR="00AE5E6C" w:rsidRPr="00164238" w14:paraId="131D58F2" w14:textId="77777777" w:rsidTr="00682CBF">
        <w:trPr>
          <w:gridAfter w:val="1"/>
          <w:wAfter w:w="180" w:type="dxa"/>
          <w:trHeight w:val="675"/>
        </w:trPr>
        <w:tc>
          <w:tcPr>
            <w:tcW w:w="431" w:type="dxa"/>
            <w:tcBorders>
              <w:top w:val="double" w:sz="10" w:space="0" w:color="auto"/>
              <w:left w:val="single" w:sz="8" w:space="0" w:color="auto"/>
              <w:bottom w:val="single" w:sz="8" w:space="0" w:color="auto"/>
              <w:right w:val="double" w:sz="10" w:space="0" w:color="auto"/>
            </w:tcBorders>
          </w:tcPr>
          <w:p w14:paraId="3AF10E1B" w14:textId="77777777" w:rsidR="005633F5" w:rsidRPr="00164238" w:rsidRDefault="005633F5" w:rsidP="00682CBF">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1</w:t>
            </w:r>
          </w:p>
        </w:tc>
        <w:tc>
          <w:tcPr>
            <w:tcW w:w="3221" w:type="dxa"/>
            <w:tcBorders>
              <w:top w:val="double" w:sz="10" w:space="0" w:color="auto"/>
              <w:left w:val="single" w:sz="8" w:space="0" w:color="auto"/>
              <w:bottom w:val="single" w:sz="8" w:space="0" w:color="auto"/>
              <w:right w:val="nil"/>
            </w:tcBorders>
            <w:vAlign w:val="center"/>
          </w:tcPr>
          <w:p w14:paraId="4CB6F009" w14:textId="77777777" w:rsidR="005633F5" w:rsidRPr="00164238" w:rsidRDefault="005633F5" w:rsidP="00682CBF">
            <w:pPr>
              <w:spacing w:after="0" w:line="240" w:lineRule="auto"/>
              <w:jc w:val="lowKashida"/>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Internal auditing using AI technologies helps improve the efficiency and effectiveness of the audit process.</w:t>
            </w:r>
          </w:p>
        </w:tc>
        <w:tc>
          <w:tcPr>
            <w:tcW w:w="992" w:type="dxa"/>
            <w:tcBorders>
              <w:top w:val="double" w:sz="10" w:space="0" w:color="auto"/>
              <w:left w:val="single" w:sz="8" w:space="0" w:color="auto"/>
              <w:bottom w:val="single" w:sz="8" w:space="0" w:color="auto"/>
              <w:right w:val="nil"/>
            </w:tcBorders>
            <w:vAlign w:val="center"/>
          </w:tcPr>
          <w:p w14:paraId="21235506"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4.33</w:t>
            </w:r>
          </w:p>
        </w:tc>
        <w:tc>
          <w:tcPr>
            <w:tcW w:w="993" w:type="dxa"/>
            <w:tcBorders>
              <w:top w:val="double" w:sz="10" w:space="0" w:color="auto"/>
              <w:left w:val="single" w:sz="8" w:space="0" w:color="auto"/>
              <w:bottom w:val="single" w:sz="8" w:space="0" w:color="auto"/>
              <w:right w:val="nil"/>
            </w:tcBorders>
            <w:vAlign w:val="center"/>
          </w:tcPr>
          <w:p w14:paraId="63819328"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0.656</w:t>
            </w:r>
          </w:p>
        </w:tc>
        <w:tc>
          <w:tcPr>
            <w:tcW w:w="850" w:type="dxa"/>
            <w:tcBorders>
              <w:top w:val="double" w:sz="10" w:space="0" w:color="auto"/>
              <w:left w:val="single" w:sz="8" w:space="0" w:color="auto"/>
              <w:bottom w:val="single" w:sz="8" w:space="0" w:color="auto"/>
              <w:right w:val="nil"/>
            </w:tcBorders>
            <w:vAlign w:val="center"/>
          </w:tcPr>
          <w:p w14:paraId="7CF74669"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86.50</w:t>
            </w:r>
          </w:p>
        </w:tc>
        <w:tc>
          <w:tcPr>
            <w:tcW w:w="898" w:type="dxa"/>
            <w:tcBorders>
              <w:top w:val="double" w:sz="10" w:space="0" w:color="auto"/>
              <w:left w:val="single" w:sz="8" w:space="0" w:color="auto"/>
              <w:bottom w:val="single" w:sz="8" w:space="0" w:color="auto"/>
              <w:right w:val="nil"/>
            </w:tcBorders>
            <w:vAlign w:val="center"/>
          </w:tcPr>
          <w:p w14:paraId="35552507"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12.778</w:t>
            </w:r>
          </w:p>
        </w:tc>
        <w:tc>
          <w:tcPr>
            <w:tcW w:w="1087" w:type="dxa"/>
            <w:tcBorders>
              <w:top w:val="double" w:sz="10" w:space="0" w:color="auto"/>
              <w:left w:val="single" w:sz="8" w:space="0" w:color="auto"/>
              <w:bottom w:val="single" w:sz="8" w:space="0" w:color="auto"/>
              <w:right w:val="single" w:sz="8" w:space="0" w:color="auto"/>
            </w:tcBorders>
            <w:vAlign w:val="center"/>
          </w:tcPr>
          <w:p w14:paraId="1E7A5330"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0.000</w:t>
            </w:r>
          </w:p>
        </w:tc>
        <w:tc>
          <w:tcPr>
            <w:tcW w:w="708" w:type="dxa"/>
            <w:tcBorders>
              <w:top w:val="single" w:sz="8" w:space="0" w:color="auto"/>
              <w:left w:val="single" w:sz="8" w:space="0" w:color="auto"/>
              <w:bottom w:val="single" w:sz="8" w:space="0" w:color="auto"/>
              <w:right w:val="single" w:sz="4" w:space="0" w:color="auto"/>
            </w:tcBorders>
            <w:vAlign w:val="center"/>
          </w:tcPr>
          <w:p w14:paraId="55D62384"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1</w:t>
            </w:r>
          </w:p>
        </w:tc>
      </w:tr>
      <w:tr w:rsidR="00AE5E6C" w:rsidRPr="00164238" w14:paraId="53DBD0D2" w14:textId="77777777" w:rsidTr="00682CBF">
        <w:trPr>
          <w:gridAfter w:val="1"/>
          <w:wAfter w:w="180" w:type="dxa"/>
          <w:trHeight w:val="675"/>
        </w:trPr>
        <w:tc>
          <w:tcPr>
            <w:tcW w:w="431" w:type="dxa"/>
            <w:tcBorders>
              <w:top w:val="single" w:sz="8" w:space="0" w:color="auto"/>
              <w:left w:val="single" w:sz="8" w:space="0" w:color="auto"/>
              <w:bottom w:val="single" w:sz="8" w:space="0" w:color="auto"/>
              <w:right w:val="double" w:sz="10" w:space="0" w:color="auto"/>
            </w:tcBorders>
          </w:tcPr>
          <w:p w14:paraId="67E9F528" w14:textId="77777777" w:rsidR="005633F5" w:rsidRPr="00164238" w:rsidRDefault="005633F5" w:rsidP="00682CBF">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2</w:t>
            </w:r>
          </w:p>
        </w:tc>
        <w:tc>
          <w:tcPr>
            <w:tcW w:w="3221" w:type="dxa"/>
            <w:tcBorders>
              <w:top w:val="single" w:sz="8" w:space="0" w:color="auto"/>
              <w:left w:val="single" w:sz="8" w:space="0" w:color="auto"/>
              <w:bottom w:val="single" w:sz="8" w:space="0" w:color="auto"/>
              <w:right w:val="nil"/>
            </w:tcBorders>
            <w:vAlign w:val="center"/>
          </w:tcPr>
          <w:p w14:paraId="156EF70B" w14:textId="77777777" w:rsidR="005633F5" w:rsidRPr="00164238" w:rsidRDefault="005633F5" w:rsidP="00682CBF">
            <w:pPr>
              <w:spacing w:after="0" w:line="240" w:lineRule="auto"/>
              <w:jc w:val="lowKashida"/>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The use of AI tools increases the quality of internal audit services and reduces risk.</w:t>
            </w:r>
          </w:p>
        </w:tc>
        <w:tc>
          <w:tcPr>
            <w:tcW w:w="992" w:type="dxa"/>
            <w:tcBorders>
              <w:top w:val="single" w:sz="8" w:space="0" w:color="auto"/>
              <w:left w:val="single" w:sz="8" w:space="0" w:color="auto"/>
              <w:bottom w:val="single" w:sz="8" w:space="0" w:color="auto"/>
              <w:right w:val="nil"/>
            </w:tcBorders>
            <w:vAlign w:val="center"/>
          </w:tcPr>
          <w:p w14:paraId="5D082FF8"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4.25</w:t>
            </w:r>
          </w:p>
        </w:tc>
        <w:tc>
          <w:tcPr>
            <w:tcW w:w="993" w:type="dxa"/>
            <w:tcBorders>
              <w:top w:val="single" w:sz="8" w:space="0" w:color="auto"/>
              <w:left w:val="single" w:sz="8" w:space="0" w:color="auto"/>
              <w:bottom w:val="single" w:sz="8" w:space="0" w:color="auto"/>
              <w:right w:val="nil"/>
            </w:tcBorders>
            <w:vAlign w:val="center"/>
          </w:tcPr>
          <w:p w14:paraId="1E25282B"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0.494</w:t>
            </w:r>
          </w:p>
        </w:tc>
        <w:tc>
          <w:tcPr>
            <w:tcW w:w="850" w:type="dxa"/>
            <w:tcBorders>
              <w:top w:val="single" w:sz="8" w:space="0" w:color="auto"/>
              <w:left w:val="single" w:sz="8" w:space="0" w:color="auto"/>
              <w:bottom w:val="single" w:sz="8" w:space="0" w:color="auto"/>
              <w:right w:val="nil"/>
            </w:tcBorders>
            <w:vAlign w:val="center"/>
          </w:tcPr>
          <w:p w14:paraId="1282C2C1"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85.00</w:t>
            </w:r>
          </w:p>
        </w:tc>
        <w:tc>
          <w:tcPr>
            <w:tcW w:w="898" w:type="dxa"/>
            <w:tcBorders>
              <w:top w:val="single" w:sz="8" w:space="0" w:color="auto"/>
              <w:left w:val="single" w:sz="8" w:space="0" w:color="auto"/>
              <w:bottom w:val="single" w:sz="8" w:space="0" w:color="auto"/>
              <w:right w:val="nil"/>
            </w:tcBorders>
            <w:vAlign w:val="center"/>
          </w:tcPr>
          <w:p w14:paraId="3D762461"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16.018</w:t>
            </w:r>
          </w:p>
        </w:tc>
        <w:tc>
          <w:tcPr>
            <w:tcW w:w="1087" w:type="dxa"/>
            <w:tcBorders>
              <w:top w:val="single" w:sz="8" w:space="0" w:color="auto"/>
              <w:left w:val="single" w:sz="8" w:space="0" w:color="auto"/>
              <w:bottom w:val="single" w:sz="8" w:space="0" w:color="auto"/>
              <w:right w:val="single" w:sz="8" w:space="0" w:color="auto"/>
            </w:tcBorders>
            <w:vAlign w:val="center"/>
          </w:tcPr>
          <w:p w14:paraId="785E74E7"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0.000</w:t>
            </w:r>
          </w:p>
        </w:tc>
        <w:tc>
          <w:tcPr>
            <w:tcW w:w="708" w:type="dxa"/>
            <w:tcBorders>
              <w:top w:val="single" w:sz="8" w:space="0" w:color="auto"/>
              <w:left w:val="single" w:sz="8" w:space="0" w:color="auto"/>
              <w:bottom w:val="single" w:sz="8" w:space="0" w:color="auto"/>
              <w:right w:val="single" w:sz="4" w:space="0" w:color="auto"/>
            </w:tcBorders>
            <w:vAlign w:val="center"/>
          </w:tcPr>
          <w:p w14:paraId="5AB7AFB0"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2</w:t>
            </w:r>
          </w:p>
        </w:tc>
      </w:tr>
      <w:tr w:rsidR="00AE5E6C" w:rsidRPr="00164238" w14:paraId="69D272E2" w14:textId="77777777" w:rsidTr="00682CBF">
        <w:trPr>
          <w:gridAfter w:val="1"/>
          <w:wAfter w:w="180" w:type="dxa"/>
          <w:trHeight w:val="675"/>
        </w:trPr>
        <w:tc>
          <w:tcPr>
            <w:tcW w:w="431" w:type="dxa"/>
            <w:tcBorders>
              <w:top w:val="single" w:sz="8" w:space="0" w:color="auto"/>
              <w:left w:val="single" w:sz="8" w:space="0" w:color="auto"/>
              <w:bottom w:val="single" w:sz="8" w:space="0" w:color="auto"/>
              <w:right w:val="double" w:sz="10" w:space="0" w:color="auto"/>
            </w:tcBorders>
          </w:tcPr>
          <w:p w14:paraId="32E6F8FB" w14:textId="77777777" w:rsidR="005633F5" w:rsidRPr="00164238" w:rsidRDefault="005633F5" w:rsidP="00682CBF">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3</w:t>
            </w:r>
          </w:p>
        </w:tc>
        <w:tc>
          <w:tcPr>
            <w:tcW w:w="3221" w:type="dxa"/>
            <w:tcBorders>
              <w:top w:val="single" w:sz="8" w:space="0" w:color="auto"/>
              <w:left w:val="single" w:sz="8" w:space="0" w:color="auto"/>
              <w:bottom w:val="single" w:sz="8" w:space="0" w:color="auto"/>
              <w:right w:val="nil"/>
            </w:tcBorders>
            <w:vAlign w:val="center"/>
          </w:tcPr>
          <w:p w14:paraId="61EA9637" w14:textId="77777777" w:rsidR="005633F5" w:rsidRPr="00164238" w:rsidRDefault="005633F5" w:rsidP="00682CBF">
            <w:pPr>
              <w:spacing w:after="0" w:line="240" w:lineRule="auto"/>
              <w:jc w:val="lowKashida"/>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AI applications and innovative methods support internal audit, helping to manage and evaluate risks.</w:t>
            </w:r>
          </w:p>
        </w:tc>
        <w:tc>
          <w:tcPr>
            <w:tcW w:w="992" w:type="dxa"/>
            <w:tcBorders>
              <w:top w:val="single" w:sz="8" w:space="0" w:color="auto"/>
              <w:left w:val="single" w:sz="8" w:space="0" w:color="auto"/>
              <w:bottom w:val="single" w:sz="8" w:space="0" w:color="auto"/>
              <w:right w:val="nil"/>
            </w:tcBorders>
            <w:vAlign w:val="center"/>
          </w:tcPr>
          <w:p w14:paraId="7F919E6F"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4.05</w:t>
            </w:r>
          </w:p>
        </w:tc>
        <w:tc>
          <w:tcPr>
            <w:tcW w:w="993" w:type="dxa"/>
            <w:tcBorders>
              <w:top w:val="single" w:sz="8" w:space="0" w:color="auto"/>
              <w:left w:val="single" w:sz="8" w:space="0" w:color="auto"/>
              <w:bottom w:val="single" w:sz="8" w:space="0" w:color="auto"/>
              <w:right w:val="nil"/>
            </w:tcBorders>
            <w:vAlign w:val="center"/>
          </w:tcPr>
          <w:p w14:paraId="1077FC17"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0.552</w:t>
            </w:r>
          </w:p>
        </w:tc>
        <w:tc>
          <w:tcPr>
            <w:tcW w:w="850" w:type="dxa"/>
            <w:tcBorders>
              <w:top w:val="single" w:sz="8" w:space="0" w:color="auto"/>
              <w:left w:val="single" w:sz="8" w:space="0" w:color="auto"/>
              <w:bottom w:val="single" w:sz="8" w:space="0" w:color="auto"/>
              <w:right w:val="nil"/>
            </w:tcBorders>
            <w:vAlign w:val="center"/>
          </w:tcPr>
          <w:p w14:paraId="660ECA41"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81.00</w:t>
            </w:r>
          </w:p>
        </w:tc>
        <w:tc>
          <w:tcPr>
            <w:tcW w:w="898" w:type="dxa"/>
            <w:tcBorders>
              <w:top w:val="single" w:sz="8" w:space="0" w:color="auto"/>
              <w:left w:val="single" w:sz="8" w:space="0" w:color="auto"/>
              <w:bottom w:val="single" w:sz="8" w:space="0" w:color="auto"/>
              <w:right w:val="nil"/>
            </w:tcBorders>
            <w:vAlign w:val="center"/>
          </w:tcPr>
          <w:p w14:paraId="60721FE4"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12.022</w:t>
            </w:r>
          </w:p>
        </w:tc>
        <w:tc>
          <w:tcPr>
            <w:tcW w:w="1087" w:type="dxa"/>
            <w:tcBorders>
              <w:top w:val="single" w:sz="8" w:space="0" w:color="auto"/>
              <w:left w:val="single" w:sz="8" w:space="0" w:color="auto"/>
              <w:bottom w:val="single" w:sz="8" w:space="0" w:color="auto"/>
              <w:right w:val="single" w:sz="8" w:space="0" w:color="auto"/>
            </w:tcBorders>
            <w:vAlign w:val="center"/>
          </w:tcPr>
          <w:p w14:paraId="153E4679"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0.000</w:t>
            </w:r>
          </w:p>
        </w:tc>
        <w:tc>
          <w:tcPr>
            <w:tcW w:w="708" w:type="dxa"/>
            <w:tcBorders>
              <w:top w:val="single" w:sz="8" w:space="0" w:color="auto"/>
              <w:left w:val="single" w:sz="8" w:space="0" w:color="auto"/>
              <w:bottom w:val="single" w:sz="8" w:space="0" w:color="auto"/>
              <w:right w:val="single" w:sz="4" w:space="0" w:color="auto"/>
            </w:tcBorders>
            <w:vAlign w:val="center"/>
          </w:tcPr>
          <w:p w14:paraId="11223EDE"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7</w:t>
            </w:r>
          </w:p>
        </w:tc>
      </w:tr>
      <w:tr w:rsidR="00AE5E6C" w:rsidRPr="00164238" w14:paraId="062BA0CE" w14:textId="77777777" w:rsidTr="00682CBF">
        <w:trPr>
          <w:gridAfter w:val="1"/>
          <w:wAfter w:w="180" w:type="dxa"/>
          <w:trHeight w:val="675"/>
        </w:trPr>
        <w:tc>
          <w:tcPr>
            <w:tcW w:w="431" w:type="dxa"/>
            <w:tcBorders>
              <w:top w:val="single" w:sz="8" w:space="0" w:color="auto"/>
              <w:left w:val="single" w:sz="8" w:space="0" w:color="auto"/>
              <w:bottom w:val="single" w:sz="8" w:space="0" w:color="auto"/>
              <w:right w:val="double" w:sz="10" w:space="0" w:color="auto"/>
            </w:tcBorders>
          </w:tcPr>
          <w:p w14:paraId="498E36B2" w14:textId="77777777" w:rsidR="005633F5" w:rsidRPr="00164238" w:rsidRDefault="005633F5" w:rsidP="00682CBF">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4</w:t>
            </w:r>
          </w:p>
        </w:tc>
        <w:tc>
          <w:tcPr>
            <w:tcW w:w="3221" w:type="dxa"/>
            <w:tcBorders>
              <w:top w:val="single" w:sz="8" w:space="0" w:color="auto"/>
              <w:left w:val="single" w:sz="8" w:space="0" w:color="auto"/>
              <w:bottom w:val="single" w:sz="8" w:space="0" w:color="auto"/>
              <w:right w:val="nil"/>
            </w:tcBorders>
            <w:vAlign w:val="center"/>
          </w:tcPr>
          <w:p w14:paraId="6FD52866" w14:textId="77777777" w:rsidR="005633F5" w:rsidRPr="00164238" w:rsidRDefault="005633F5" w:rsidP="00682CBF">
            <w:pPr>
              <w:spacing w:after="0" w:line="240" w:lineRule="auto"/>
              <w:jc w:val="lowKashida"/>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AI technologies contribute to improved internal audit activities and the development of risk management and regulatory systems.</w:t>
            </w:r>
          </w:p>
        </w:tc>
        <w:tc>
          <w:tcPr>
            <w:tcW w:w="992" w:type="dxa"/>
            <w:tcBorders>
              <w:top w:val="single" w:sz="8" w:space="0" w:color="auto"/>
              <w:left w:val="single" w:sz="8" w:space="0" w:color="auto"/>
              <w:bottom w:val="single" w:sz="8" w:space="0" w:color="auto"/>
              <w:right w:val="nil"/>
            </w:tcBorders>
            <w:vAlign w:val="center"/>
          </w:tcPr>
          <w:p w14:paraId="5F7BB3CF"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4.20</w:t>
            </w:r>
          </w:p>
        </w:tc>
        <w:tc>
          <w:tcPr>
            <w:tcW w:w="993" w:type="dxa"/>
            <w:tcBorders>
              <w:top w:val="single" w:sz="8" w:space="0" w:color="auto"/>
              <w:left w:val="single" w:sz="8" w:space="0" w:color="auto"/>
              <w:bottom w:val="single" w:sz="8" w:space="0" w:color="auto"/>
              <w:right w:val="nil"/>
            </w:tcBorders>
            <w:vAlign w:val="center"/>
          </w:tcPr>
          <w:p w14:paraId="27ADF5A0"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0.648</w:t>
            </w:r>
          </w:p>
        </w:tc>
        <w:tc>
          <w:tcPr>
            <w:tcW w:w="850" w:type="dxa"/>
            <w:tcBorders>
              <w:top w:val="single" w:sz="8" w:space="0" w:color="auto"/>
              <w:left w:val="single" w:sz="8" w:space="0" w:color="auto"/>
              <w:bottom w:val="single" w:sz="8" w:space="0" w:color="auto"/>
              <w:right w:val="nil"/>
            </w:tcBorders>
            <w:vAlign w:val="center"/>
          </w:tcPr>
          <w:p w14:paraId="57B4C467"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84.00</w:t>
            </w:r>
          </w:p>
        </w:tc>
        <w:tc>
          <w:tcPr>
            <w:tcW w:w="898" w:type="dxa"/>
            <w:tcBorders>
              <w:top w:val="single" w:sz="8" w:space="0" w:color="auto"/>
              <w:left w:val="single" w:sz="8" w:space="0" w:color="auto"/>
              <w:bottom w:val="single" w:sz="8" w:space="0" w:color="auto"/>
              <w:right w:val="nil"/>
            </w:tcBorders>
            <w:vAlign w:val="center"/>
          </w:tcPr>
          <w:p w14:paraId="4CDF95FC"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11.704</w:t>
            </w:r>
          </w:p>
        </w:tc>
        <w:tc>
          <w:tcPr>
            <w:tcW w:w="1087" w:type="dxa"/>
            <w:tcBorders>
              <w:top w:val="single" w:sz="8" w:space="0" w:color="auto"/>
              <w:left w:val="single" w:sz="8" w:space="0" w:color="auto"/>
              <w:bottom w:val="single" w:sz="8" w:space="0" w:color="auto"/>
              <w:right w:val="single" w:sz="8" w:space="0" w:color="auto"/>
            </w:tcBorders>
            <w:vAlign w:val="center"/>
          </w:tcPr>
          <w:p w14:paraId="3889B3F9"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0.000</w:t>
            </w:r>
          </w:p>
        </w:tc>
        <w:tc>
          <w:tcPr>
            <w:tcW w:w="708" w:type="dxa"/>
            <w:tcBorders>
              <w:top w:val="single" w:sz="8" w:space="0" w:color="auto"/>
              <w:left w:val="single" w:sz="8" w:space="0" w:color="auto"/>
              <w:bottom w:val="single" w:sz="8" w:space="0" w:color="auto"/>
              <w:right w:val="single" w:sz="4" w:space="0" w:color="auto"/>
            </w:tcBorders>
            <w:vAlign w:val="center"/>
          </w:tcPr>
          <w:p w14:paraId="15CA1F9E"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4</w:t>
            </w:r>
          </w:p>
        </w:tc>
      </w:tr>
      <w:tr w:rsidR="00AE5E6C" w:rsidRPr="00164238" w14:paraId="2F26998F" w14:textId="77777777" w:rsidTr="00682CBF">
        <w:trPr>
          <w:gridAfter w:val="1"/>
          <w:wAfter w:w="180" w:type="dxa"/>
          <w:trHeight w:val="420"/>
        </w:trPr>
        <w:tc>
          <w:tcPr>
            <w:tcW w:w="431" w:type="dxa"/>
            <w:tcBorders>
              <w:top w:val="single" w:sz="8" w:space="0" w:color="auto"/>
              <w:left w:val="single" w:sz="8" w:space="0" w:color="auto"/>
              <w:bottom w:val="single" w:sz="8" w:space="0" w:color="auto"/>
              <w:right w:val="double" w:sz="10" w:space="0" w:color="auto"/>
            </w:tcBorders>
          </w:tcPr>
          <w:p w14:paraId="52C4BF59" w14:textId="77777777" w:rsidR="005633F5" w:rsidRPr="00164238" w:rsidRDefault="005633F5" w:rsidP="00682CBF">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5</w:t>
            </w:r>
          </w:p>
        </w:tc>
        <w:tc>
          <w:tcPr>
            <w:tcW w:w="3221" w:type="dxa"/>
            <w:tcBorders>
              <w:top w:val="single" w:sz="8" w:space="0" w:color="auto"/>
              <w:left w:val="single" w:sz="8" w:space="0" w:color="auto"/>
              <w:bottom w:val="single" w:sz="8" w:space="0" w:color="auto"/>
              <w:right w:val="nil"/>
            </w:tcBorders>
            <w:vAlign w:val="center"/>
          </w:tcPr>
          <w:p w14:paraId="60EDA23B" w14:textId="77777777" w:rsidR="005633F5" w:rsidRPr="00164238" w:rsidRDefault="005633F5" w:rsidP="00682CBF">
            <w:pPr>
              <w:spacing w:after="0" w:line="240" w:lineRule="auto"/>
              <w:jc w:val="lowKashida"/>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Internal auditors determine the extent to which objectives and policies are achieved, and identify and report deviations.</w:t>
            </w:r>
          </w:p>
        </w:tc>
        <w:tc>
          <w:tcPr>
            <w:tcW w:w="992" w:type="dxa"/>
            <w:tcBorders>
              <w:top w:val="single" w:sz="8" w:space="0" w:color="auto"/>
              <w:left w:val="single" w:sz="8" w:space="0" w:color="auto"/>
              <w:bottom w:val="single" w:sz="8" w:space="0" w:color="auto"/>
              <w:right w:val="nil"/>
            </w:tcBorders>
            <w:vAlign w:val="center"/>
          </w:tcPr>
          <w:p w14:paraId="177596AA"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4.18</w:t>
            </w:r>
          </w:p>
        </w:tc>
        <w:tc>
          <w:tcPr>
            <w:tcW w:w="993" w:type="dxa"/>
            <w:tcBorders>
              <w:top w:val="single" w:sz="8" w:space="0" w:color="auto"/>
              <w:left w:val="single" w:sz="8" w:space="0" w:color="auto"/>
              <w:bottom w:val="single" w:sz="8" w:space="0" w:color="auto"/>
              <w:right w:val="nil"/>
            </w:tcBorders>
            <w:vAlign w:val="center"/>
          </w:tcPr>
          <w:p w14:paraId="1521BA72"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0.636</w:t>
            </w:r>
          </w:p>
        </w:tc>
        <w:tc>
          <w:tcPr>
            <w:tcW w:w="850" w:type="dxa"/>
            <w:tcBorders>
              <w:top w:val="single" w:sz="8" w:space="0" w:color="auto"/>
              <w:left w:val="single" w:sz="8" w:space="0" w:color="auto"/>
              <w:bottom w:val="single" w:sz="8" w:space="0" w:color="auto"/>
              <w:right w:val="nil"/>
            </w:tcBorders>
            <w:vAlign w:val="center"/>
          </w:tcPr>
          <w:p w14:paraId="49FA7437"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83.50</w:t>
            </w:r>
          </w:p>
        </w:tc>
        <w:tc>
          <w:tcPr>
            <w:tcW w:w="898" w:type="dxa"/>
            <w:tcBorders>
              <w:top w:val="single" w:sz="8" w:space="0" w:color="auto"/>
              <w:left w:val="single" w:sz="8" w:space="0" w:color="auto"/>
              <w:bottom w:val="single" w:sz="8" w:space="0" w:color="auto"/>
              <w:right w:val="nil"/>
            </w:tcBorders>
            <w:vAlign w:val="center"/>
          </w:tcPr>
          <w:p w14:paraId="284942CA"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11.685</w:t>
            </w:r>
          </w:p>
        </w:tc>
        <w:tc>
          <w:tcPr>
            <w:tcW w:w="1087" w:type="dxa"/>
            <w:tcBorders>
              <w:top w:val="single" w:sz="8" w:space="0" w:color="auto"/>
              <w:left w:val="single" w:sz="8" w:space="0" w:color="auto"/>
              <w:bottom w:val="single" w:sz="8" w:space="0" w:color="auto"/>
              <w:right w:val="single" w:sz="8" w:space="0" w:color="auto"/>
            </w:tcBorders>
            <w:vAlign w:val="center"/>
          </w:tcPr>
          <w:p w14:paraId="1D940CF0"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0.000</w:t>
            </w:r>
          </w:p>
        </w:tc>
        <w:tc>
          <w:tcPr>
            <w:tcW w:w="708" w:type="dxa"/>
            <w:tcBorders>
              <w:top w:val="single" w:sz="8" w:space="0" w:color="auto"/>
              <w:left w:val="single" w:sz="8" w:space="0" w:color="auto"/>
              <w:bottom w:val="single" w:sz="8" w:space="0" w:color="auto"/>
              <w:right w:val="single" w:sz="4" w:space="0" w:color="auto"/>
            </w:tcBorders>
            <w:vAlign w:val="center"/>
          </w:tcPr>
          <w:p w14:paraId="53C10696"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5</w:t>
            </w:r>
          </w:p>
        </w:tc>
      </w:tr>
      <w:tr w:rsidR="00AE5E6C" w:rsidRPr="00164238" w14:paraId="3EF3CBB6" w14:textId="77777777" w:rsidTr="00682CBF">
        <w:trPr>
          <w:gridAfter w:val="1"/>
          <w:wAfter w:w="180" w:type="dxa"/>
          <w:trHeight w:val="405"/>
        </w:trPr>
        <w:tc>
          <w:tcPr>
            <w:tcW w:w="431" w:type="dxa"/>
            <w:tcBorders>
              <w:top w:val="single" w:sz="8" w:space="0" w:color="auto"/>
              <w:left w:val="single" w:sz="8" w:space="0" w:color="auto"/>
              <w:bottom w:val="single" w:sz="8" w:space="0" w:color="auto"/>
              <w:right w:val="double" w:sz="10" w:space="0" w:color="auto"/>
            </w:tcBorders>
          </w:tcPr>
          <w:p w14:paraId="76DDE075" w14:textId="77777777" w:rsidR="005633F5" w:rsidRPr="00164238" w:rsidRDefault="005633F5" w:rsidP="00682CBF">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6</w:t>
            </w:r>
          </w:p>
        </w:tc>
        <w:tc>
          <w:tcPr>
            <w:tcW w:w="3221" w:type="dxa"/>
            <w:tcBorders>
              <w:top w:val="single" w:sz="8" w:space="0" w:color="auto"/>
              <w:left w:val="single" w:sz="8" w:space="0" w:color="auto"/>
              <w:bottom w:val="single" w:sz="8" w:space="0" w:color="auto"/>
              <w:right w:val="nil"/>
            </w:tcBorders>
            <w:vAlign w:val="center"/>
          </w:tcPr>
          <w:p w14:paraId="38F8DCB8" w14:textId="77777777" w:rsidR="005633F5" w:rsidRPr="00164238" w:rsidRDefault="005633F5" w:rsidP="00682CBF">
            <w:pPr>
              <w:spacing w:after="0" w:line="240" w:lineRule="auto"/>
              <w:jc w:val="lowKashida"/>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The use of AI tools in the internal audit process helps improve the means used to protect and control your organization's assets.</w:t>
            </w:r>
          </w:p>
        </w:tc>
        <w:tc>
          <w:tcPr>
            <w:tcW w:w="992" w:type="dxa"/>
            <w:tcBorders>
              <w:top w:val="single" w:sz="8" w:space="0" w:color="auto"/>
              <w:left w:val="single" w:sz="8" w:space="0" w:color="auto"/>
              <w:bottom w:val="single" w:sz="8" w:space="0" w:color="auto"/>
              <w:right w:val="nil"/>
            </w:tcBorders>
            <w:vAlign w:val="center"/>
          </w:tcPr>
          <w:p w14:paraId="3E384E31"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4.25</w:t>
            </w:r>
          </w:p>
        </w:tc>
        <w:tc>
          <w:tcPr>
            <w:tcW w:w="993" w:type="dxa"/>
            <w:tcBorders>
              <w:top w:val="single" w:sz="8" w:space="0" w:color="auto"/>
              <w:left w:val="single" w:sz="8" w:space="0" w:color="auto"/>
              <w:bottom w:val="single" w:sz="8" w:space="0" w:color="auto"/>
              <w:right w:val="nil"/>
            </w:tcBorders>
            <w:vAlign w:val="center"/>
          </w:tcPr>
          <w:p w14:paraId="111C955B"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0.630</w:t>
            </w:r>
          </w:p>
        </w:tc>
        <w:tc>
          <w:tcPr>
            <w:tcW w:w="850" w:type="dxa"/>
            <w:tcBorders>
              <w:top w:val="single" w:sz="8" w:space="0" w:color="auto"/>
              <w:left w:val="single" w:sz="8" w:space="0" w:color="auto"/>
              <w:bottom w:val="single" w:sz="8" w:space="0" w:color="auto"/>
              <w:right w:val="nil"/>
            </w:tcBorders>
            <w:vAlign w:val="center"/>
          </w:tcPr>
          <w:p w14:paraId="109A7896"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85.00</w:t>
            </w:r>
          </w:p>
        </w:tc>
        <w:tc>
          <w:tcPr>
            <w:tcW w:w="898" w:type="dxa"/>
            <w:tcBorders>
              <w:top w:val="single" w:sz="8" w:space="0" w:color="auto"/>
              <w:left w:val="single" w:sz="8" w:space="0" w:color="auto"/>
              <w:bottom w:val="single" w:sz="8" w:space="0" w:color="auto"/>
              <w:right w:val="nil"/>
            </w:tcBorders>
            <w:vAlign w:val="center"/>
          </w:tcPr>
          <w:p w14:paraId="1110D2A2"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12.540</w:t>
            </w:r>
          </w:p>
        </w:tc>
        <w:tc>
          <w:tcPr>
            <w:tcW w:w="1087" w:type="dxa"/>
            <w:tcBorders>
              <w:top w:val="single" w:sz="8" w:space="0" w:color="auto"/>
              <w:left w:val="single" w:sz="8" w:space="0" w:color="auto"/>
              <w:bottom w:val="single" w:sz="8" w:space="0" w:color="auto"/>
              <w:right w:val="single" w:sz="8" w:space="0" w:color="auto"/>
            </w:tcBorders>
            <w:vAlign w:val="center"/>
          </w:tcPr>
          <w:p w14:paraId="4D6D56E9"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0.000</w:t>
            </w:r>
          </w:p>
        </w:tc>
        <w:tc>
          <w:tcPr>
            <w:tcW w:w="708" w:type="dxa"/>
            <w:tcBorders>
              <w:top w:val="single" w:sz="8" w:space="0" w:color="auto"/>
              <w:left w:val="single" w:sz="8" w:space="0" w:color="auto"/>
              <w:bottom w:val="single" w:sz="8" w:space="0" w:color="auto"/>
              <w:right w:val="single" w:sz="4" w:space="0" w:color="auto"/>
            </w:tcBorders>
            <w:vAlign w:val="center"/>
          </w:tcPr>
          <w:p w14:paraId="76ABFC1D"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2</w:t>
            </w:r>
          </w:p>
        </w:tc>
      </w:tr>
      <w:tr w:rsidR="00AE5E6C" w:rsidRPr="00164238" w14:paraId="017C5C20" w14:textId="77777777" w:rsidTr="00682CBF">
        <w:trPr>
          <w:gridAfter w:val="1"/>
          <w:wAfter w:w="180" w:type="dxa"/>
          <w:trHeight w:val="90"/>
        </w:trPr>
        <w:tc>
          <w:tcPr>
            <w:tcW w:w="431" w:type="dxa"/>
            <w:tcBorders>
              <w:top w:val="single" w:sz="8" w:space="0" w:color="auto"/>
              <w:left w:val="single" w:sz="8" w:space="0" w:color="auto"/>
              <w:bottom w:val="single" w:sz="8" w:space="0" w:color="auto"/>
              <w:right w:val="double" w:sz="10" w:space="0" w:color="auto"/>
            </w:tcBorders>
          </w:tcPr>
          <w:p w14:paraId="29DAE39A" w14:textId="77777777" w:rsidR="005633F5" w:rsidRPr="00164238" w:rsidRDefault="005633F5" w:rsidP="00682CBF">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7</w:t>
            </w:r>
          </w:p>
        </w:tc>
        <w:tc>
          <w:tcPr>
            <w:tcW w:w="3221" w:type="dxa"/>
            <w:tcBorders>
              <w:top w:val="single" w:sz="8" w:space="0" w:color="auto"/>
              <w:left w:val="single" w:sz="8" w:space="0" w:color="auto"/>
              <w:bottom w:val="single" w:sz="8" w:space="0" w:color="auto"/>
              <w:right w:val="nil"/>
            </w:tcBorders>
            <w:vAlign w:val="center"/>
          </w:tcPr>
          <w:p w14:paraId="4D5A66A8" w14:textId="77777777" w:rsidR="005633F5" w:rsidRPr="00164238" w:rsidRDefault="005633F5" w:rsidP="00682CBF">
            <w:pPr>
              <w:spacing w:after="0" w:line="240" w:lineRule="auto"/>
              <w:jc w:val="lowKashida"/>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Internal auditors are trained to keep up with technological developments in the audit process to improve their performance in risk management and evaluation.</w:t>
            </w:r>
          </w:p>
        </w:tc>
        <w:tc>
          <w:tcPr>
            <w:tcW w:w="992" w:type="dxa"/>
            <w:tcBorders>
              <w:top w:val="single" w:sz="8" w:space="0" w:color="auto"/>
              <w:left w:val="single" w:sz="8" w:space="0" w:color="auto"/>
              <w:bottom w:val="single" w:sz="8" w:space="0" w:color="auto"/>
              <w:right w:val="nil"/>
            </w:tcBorders>
            <w:vAlign w:val="center"/>
          </w:tcPr>
          <w:p w14:paraId="20212176"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3.83</w:t>
            </w:r>
          </w:p>
        </w:tc>
        <w:tc>
          <w:tcPr>
            <w:tcW w:w="993" w:type="dxa"/>
            <w:tcBorders>
              <w:top w:val="single" w:sz="8" w:space="0" w:color="auto"/>
              <w:left w:val="single" w:sz="8" w:space="0" w:color="auto"/>
              <w:bottom w:val="single" w:sz="8" w:space="0" w:color="auto"/>
              <w:right w:val="nil"/>
            </w:tcBorders>
            <w:vAlign w:val="center"/>
          </w:tcPr>
          <w:p w14:paraId="320D6AF5"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0.844</w:t>
            </w:r>
          </w:p>
        </w:tc>
        <w:tc>
          <w:tcPr>
            <w:tcW w:w="850" w:type="dxa"/>
            <w:tcBorders>
              <w:top w:val="single" w:sz="8" w:space="0" w:color="auto"/>
              <w:left w:val="single" w:sz="8" w:space="0" w:color="auto"/>
              <w:bottom w:val="single" w:sz="8" w:space="0" w:color="auto"/>
              <w:right w:val="nil"/>
            </w:tcBorders>
            <w:vAlign w:val="center"/>
          </w:tcPr>
          <w:p w14:paraId="47CD1098"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76.50</w:t>
            </w:r>
          </w:p>
        </w:tc>
        <w:tc>
          <w:tcPr>
            <w:tcW w:w="898" w:type="dxa"/>
            <w:tcBorders>
              <w:top w:val="single" w:sz="8" w:space="0" w:color="auto"/>
              <w:left w:val="single" w:sz="8" w:space="0" w:color="auto"/>
              <w:bottom w:val="single" w:sz="8" w:space="0" w:color="auto"/>
              <w:right w:val="nil"/>
            </w:tcBorders>
            <w:vAlign w:val="center"/>
          </w:tcPr>
          <w:p w14:paraId="21027E06"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6.183</w:t>
            </w:r>
          </w:p>
        </w:tc>
        <w:tc>
          <w:tcPr>
            <w:tcW w:w="1087" w:type="dxa"/>
            <w:tcBorders>
              <w:top w:val="single" w:sz="8" w:space="0" w:color="auto"/>
              <w:left w:val="single" w:sz="8" w:space="0" w:color="auto"/>
              <w:bottom w:val="single" w:sz="8" w:space="0" w:color="auto"/>
              <w:right w:val="single" w:sz="8" w:space="0" w:color="auto"/>
            </w:tcBorders>
            <w:vAlign w:val="center"/>
          </w:tcPr>
          <w:p w14:paraId="77A967BF"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0.000</w:t>
            </w:r>
          </w:p>
        </w:tc>
        <w:tc>
          <w:tcPr>
            <w:tcW w:w="708" w:type="dxa"/>
            <w:tcBorders>
              <w:top w:val="single" w:sz="8" w:space="0" w:color="auto"/>
              <w:left w:val="single" w:sz="8" w:space="0" w:color="auto"/>
              <w:bottom w:val="single" w:sz="8" w:space="0" w:color="auto"/>
              <w:right w:val="single" w:sz="4" w:space="0" w:color="auto"/>
            </w:tcBorders>
            <w:vAlign w:val="center"/>
          </w:tcPr>
          <w:p w14:paraId="38FDF3BD"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8</w:t>
            </w:r>
          </w:p>
        </w:tc>
      </w:tr>
      <w:tr w:rsidR="00AE5E6C" w:rsidRPr="00164238" w14:paraId="7F57293D" w14:textId="77777777" w:rsidTr="00682CBF">
        <w:trPr>
          <w:gridAfter w:val="1"/>
          <w:wAfter w:w="180" w:type="dxa"/>
          <w:trHeight w:val="90"/>
        </w:trPr>
        <w:tc>
          <w:tcPr>
            <w:tcW w:w="431" w:type="dxa"/>
            <w:tcBorders>
              <w:top w:val="single" w:sz="8" w:space="0" w:color="auto"/>
              <w:left w:val="single" w:sz="8" w:space="0" w:color="auto"/>
              <w:bottom w:val="single" w:sz="8" w:space="0" w:color="auto"/>
              <w:right w:val="double" w:sz="10" w:space="0" w:color="auto"/>
            </w:tcBorders>
          </w:tcPr>
          <w:p w14:paraId="1AE6EF86" w14:textId="77777777" w:rsidR="005633F5" w:rsidRPr="00164238" w:rsidRDefault="005633F5" w:rsidP="00682CBF">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8</w:t>
            </w:r>
          </w:p>
        </w:tc>
        <w:tc>
          <w:tcPr>
            <w:tcW w:w="3221" w:type="dxa"/>
            <w:tcBorders>
              <w:top w:val="single" w:sz="8" w:space="0" w:color="auto"/>
              <w:left w:val="single" w:sz="8" w:space="0" w:color="auto"/>
              <w:bottom w:val="single" w:sz="8" w:space="0" w:color="auto"/>
              <w:right w:val="nil"/>
            </w:tcBorders>
            <w:vAlign w:val="center"/>
          </w:tcPr>
          <w:p w14:paraId="287FAE7D" w14:textId="77777777" w:rsidR="005633F5" w:rsidRPr="00164238" w:rsidRDefault="005633F5" w:rsidP="00682CBF">
            <w:pPr>
              <w:spacing w:after="0" w:line="240" w:lineRule="auto"/>
              <w:jc w:val="lowKashida"/>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The use of AI technologies in the internal audit process helps to disclose the underlying risks.</w:t>
            </w:r>
          </w:p>
        </w:tc>
        <w:tc>
          <w:tcPr>
            <w:tcW w:w="992" w:type="dxa"/>
            <w:tcBorders>
              <w:top w:val="single" w:sz="8" w:space="0" w:color="auto"/>
              <w:left w:val="single" w:sz="8" w:space="0" w:color="auto"/>
              <w:bottom w:val="single" w:sz="8" w:space="0" w:color="auto"/>
              <w:right w:val="nil"/>
            </w:tcBorders>
            <w:vAlign w:val="center"/>
          </w:tcPr>
          <w:p w14:paraId="4555C957"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4.18</w:t>
            </w:r>
          </w:p>
        </w:tc>
        <w:tc>
          <w:tcPr>
            <w:tcW w:w="993" w:type="dxa"/>
            <w:tcBorders>
              <w:top w:val="single" w:sz="8" w:space="0" w:color="auto"/>
              <w:left w:val="single" w:sz="8" w:space="0" w:color="auto"/>
              <w:bottom w:val="single" w:sz="8" w:space="0" w:color="auto"/>
              <w:right w:val="nil"/>
            </w:tcBorders>
            <w:vAlign w:val="center"/>
          </w:tcPr>
          <w:p w14:paraId="0719DB39"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0.712</w:t>
            </w:r>
          </w:p>
        </w:tc>
        <w:tc>
          <w:tcPr>
            <w:tcW w:w="850" w:type="dxa"/>
            <w:tcBorders>
              <w:top w:val="single" w:sz="8" w:space="0" w:color="auto"/>
              <w:left w:val="single" w:sz="8" w:space="0" w:color="auto"/>
              <w:bottom w:val="single" w:sz="8" w:space="0" w:color="auto"/>
              <w:right w:val="nil"/>
            </w:tcBorders>
            <w:vAlign w:val="center"/>
          </w:tcPr>
          <w:p w14:paraId="05FBD5F4"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83.50</w:t>
            </w:r>
          </w:p>
        </w:tc>
        <w:tc>
          <w:tcPr>
            <w:tcW w:w="898" w:type="dxa"/>
            <w:tcBorders>
              <w:top w:val="single" w:sz="8" w:space="0" w:color="auto"/>
              <w:left w:val="single" w:sz="8" w:space="0" w:color="auto"/>
              <w:bottom w:val="single" w:sz="8" w:space="0" w:color="auto"/>
              <w:right w:val="nil"/>
            </w:tcBorders>
            <w:vAlign w:val="center"/>
          </w:tcPr>
          <w:p w14:paraId="294BA69E"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10.436</w:t>
            </w:r>
          </w:p>
        </w:tc>
        <w:tc>
          <w:tcPr>
            <w:tcW w:w="1087" w:type="dxa"/>
            <w:tcBorders>
              <w:top w:val="single" w:sz="8" w:space="0" w:color="auto"/>
              <w:left w:val="single" w:sz="8" w:space="0" w:color="auto"/>
              <w:bottom w:val="single" w:sz="8" w:space="0" w:color="auto"/>
              <w:right w:val="single" w:sz="8" w:space="0" w:color="auto"/>
            </w:tcBorders>
            <w:vAlign w:val="center"/>
          </w:tcPr>
          <w:p w14:paraId="5643BEFC"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0.000</w:t>
            </w:r>
          </w:p>
        </w:tc>
        <w:tc>
          <w:tcPr>
            <w:tcW w:w="708" w:type="dxa"/>
            <w:tcBorders>
              <w:top w:val="single" w:sz="8" w:space="0" w:color="auto"/>
              <w:left w:val="single" w:sz="8" w:space="0" w:color="auto"/>
              <w:bottom w:val="single" w:sz="8" w:space="0" w:color="auto"/>
              <w:right w:val="single" w:sz="4" w:space="0" w:color="auto"/>
            </w:tcBorders>
            <w:vAlign w:val="center"/>
          </w:tcPr>
          <w:p w14:paraId="00029D3F"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5</w:t>
            </w:r>
          </w:p>
        </w:tc>
      </w:tr>
      <w:tr w:rsidR="00AE5E6C" w:rsidRPr="00164238" w14:paraId="55F71D0A" w14:textId="77777777" w:rsidTr="00682CBF">
        <w:trPr>
          <w:gridAfter w:val="1"/>
          <w:wAfter w:w="180" w:type="dxa"/>
          <w:trHeight w:val="90"/>
        </w:trPr>
        <w:tc>
          <w:tcPr>
            <w:tcW w:w="3652" w:type="dxa"/>
            <w:gridSpan w:val="2"/>
            <w:tcBorders>
              <w:top w:val="single" w:sz="8" w:space="0" w:color="auto"/>
              <w:left w:val="single" w:sz="8" w:space="0" w:color="auto"/>
              <w:bottom w:val="double" w:sz="10" w:space="0" w:color="auto"/>
              <w:right w:val="double" w:sz="10" w:space="0" w:color="auto"/>
            </w:tcBorders>
          </w:tcPr>
          <w:p w14:paraId="4DD60192"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Total paragraphs</w:t>
            </w:r>
          </w:p>
        </w:tc>
        <w:tc>
          <w:tcPr>
            <w:tcW w:w="992" w:type="dxa"/>
            <w:tcBorders>
              <w:top w:val="single" w:sz="8" w:space="0" w:color="auto"/>
              <w:left w:val="single" w:sz="8" w:space="0" w:color="auto"/>
              <w:bottom w:val="double" w:sz="10" w:space="0" w:color="auto"/>
              <w:right w:val="nil"/>
            </w:tcBorders>
            <w:vAlign w:val="center"/>
          </w:tcPr>
          <w:p w14:paraId="260721C5"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bCs/>
                <w:color w:val="000000" w:themeColor="text1"/>
                <w:sz w:val="20"/>
                <w:szCs w:val="20"/>
                <w:lang w:val="en"/>
              </w:rPr>
              <w:t>4.15</w:t>
            </w:r>
          </w:p>
        </w:tc>
        <w:tc>
          <w:tcPr>
            <w:tcW w:w="993" w:type="dxa"/>
            <w:tcBorders>
              <w:top w:val="single" w:sz="8" w:space="0" w:color="auto"/>
              <w:left w:val="single" w:sz="8" w:space="0" w:color="auto"/>
              <w:bottom w:val="double" w:sz="10" w:space="0" w:color="auto"/>
              <w:right w:val="nil"/>
            </w:tcBorders>
            <w:vAlign w:val="center"/>
          </w:tcPr>
          <w:p w14:paraId="7AA75356"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bCs/>
                <w:color w:val="000000" w:themeColor="text1"/>
                <w:sz w:val="20"/>
                <w:szCs w:val="20"/>
                <w:lang w:val="en"/>
              </w:rPr>
              <w:t>0.451</w:t>
            </w:r>
          </w:p>
        </w:tc>
        <w:tc>
          <w:tcPr>
            <w:tcW w:w="850" w:type="dxa"/>
            <w:tcBorders>
              <w:top w:val="single" w:sz="8" w:space="0" w:color="auto"/>
              <w:left w:val="single" w:sz="8" w:space="0" w:color="auto"/>
              <w:bottom w:val="double" w:sz="10" w:space="0" w:color="auto"/>
              <w:right w:val="nil"/>
            </w:tcBorders>
            <w:vAlign w:val="center"/>
          </w:tcPr>
          <w:p w14:paraId="0035031B"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bCs/>
                <w:color w:val="000000" w:themeColor="text1"/>
                <w:sz w:val="20"/>
                <w:szCs w:val="20"/>
                <w:lang w:val="en"/>
              </w:rPr>
              <w:t>83.12</w:t>
            </w:r>
          </w:p>
        </w:tc>
        <w:tc>
          <w:tcPr>
            <w:tcW w:w="898" w:type="dxa"/>
            <w:tcBorders>
              <w:top w:val="single" w:sz="8" w:space="0" w:color="auto"/>
              <w:left w:val="single" w:sz="8" w:space="0" w:color="auto"/>
              <w:bottom w:val="double" w:sz="10" w:space="0" w:color="auto"/>
              <w:right w:val="nil"/>
            </w:tcBorders>
            <w:vAlign w:val="center"/>
          </w:tcPr>
          <w:p w14:paraId="0CC4D5D7"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bCs/>
                <w:color w:val="000000" w:themeColor="text1"/>
                <w:sz w:val="20"/>
                <w:szCs w:val="20"/>
                <w:lang w:val="en"/>
              </w:rPr>
              <w:t>16.218</w:t>
            </w:r>
          </w:p>
        </w:tc>
        <w:tc>
          <w:tcPr>
            <w:tcW w:w="1087" w:type="dxa"/>
            <w:tcBorders>
              <w:top w:val="single" w:sz="8" w:space="0" w:color="auto"/>
              <w:left w:val="single" w:sz="8" w:space="0" w:color="auto"/>
              <w:bottom w:val="double" w:sz="10" w:space="0" w:color="auto"/>
              <w:right w:val="single" w:sz="8" w:space="0" w:color="auto"/>
            </w:tcBorders>
            <w:vAlign w:val="center"/>
          </w:tcPr>
          <w:p w14:paraId="764C40F7"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bCs/>
                <w:color w:val="000000" w:themeColor="text1"/>
                <w:sz w:val="20"/>
                <w:szCs w:val="20"/>
                <w:lang w:val="en"/>
              </w:rPr>
              <w:t>0.000</w:t>
            </w:r>
          </w:p>
        </w:tc>
        <w:tc>
          <w:tcPr>
            <w:tcW w:w="708" w:type="dxa"/>
            <w:tcBorders>
              <w:top w:val="single" w:sz="8" w:space="0" w:color="auto"/>
              <w:left w:val="single" w:sz="8" w:space="0" w:color="auto"/>
              <w:bottom w:val="single" w:sz="8" w:space="0" w:color="auto"/>
              <w:right w:val="single" w:sz="4" w:space="0" w:color="auto"/>
            </w:tcBorders>
            <w:vAlign w:val="center"/>
          </w:tcPr>
          <w:p w14:paraId="66654439"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bCs/>
                <w:color w:val="000000" w:themeColor="text1"/>
                <w:sz w:val="20"/>
                <w:szCs w:val="20"/>
                <w:lang w:val="en"/>
              </w:rPr>
              <w:t>-</w:t>
            </w:r>
          </w:p>
        </w:tc>
      </w:tr>
      <w:tr w:rsidR="00AE5E6C" w:rsidRPr="00164238" w14:paraId="26EB003D" w14:textId="77777777" w:rsidTr="00682CBF">
        <w:tblPrEx>
          <w:tblBorders>
            <w:top w:val="single" w:sz="8" w:space="0" w:color="auto"/>
          </w:tblBorders>
          <w:tblLook w:val="0000" w:firstRow="0" w:lastRow="0" w:firstColumn="0" w:lastColumn="0" w:noHBand="0" w:noVBand="0"/>
        </w:tblPrEx>
        <w:trPr>
          <w:gridBefore w:val="7"/>
          <w:wBefore w:w="8472" w:type="dxa"/>
          <w:trHeight w:val="100"/>
        </w:trPr>
        <w:tc>
          <w:tcPr>
            <w:tcW w:w="888" w:type="dxa"/>
            <w:gridSpan w:val="2"/>
          </w:tcPr>
          <w:p w14:paraId="0421FCC7" w14:textId="77777777" w:rsidR="005633F5" w:rsidRPr="00164238" w:rsidRDefault="005633F5" w:rsidP="00682CBF">
            <w:pPr>
              <w:spacing w:after="0" w:line="240" w:lineRule="auto"/>
              <w:jc w:val="both"/>
              <w:rPr>
                <w:rFonts w:ascii="Times New Roman" w:hAnsi="Times New Roman" w:cs="Times New Roman"/>
                <w:color w:val="000000" w:themeColor="text1"/>
                <w:sz w:val="20"/>
                <w:szCs w:val="20"/>
                <w:lang w:val="en"/>
              </w:rPr>
            </w:pPr>
          </w:p>
        </w:tc>
      </w:tr>
    </w:tbl>
    <w:p w14:paraId="2074E281"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The above table shows the following:</w:t>
      </w:r>
    </w:p>
    <w:p w14:paraId="3F222723"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 The result of approval of the first area, where the average answers in the special paragraphs of the hypothesis range from (3.83) to (4.33).</w:t>
      </w:r>
    </w:p>
    <w:p w14:paraId="1C442D01"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Paragraph (1), which states that "internal auditing using AI techniques helps improve the efficiency and effectiveness of the audit process", has the highest computational average of (4.33), relative weight (86.50%), while paragraph (7) which states that "auditors are trained to keep up with technological developments in the audit process to improve their performance in risk management and evaluation" has obtained the lowest computational average of (3.83%) and relative weight (76.50%).</w:t>
      </w:r>
    </w:p>
    <w:p w14:paraId="7E7F372E"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 The arithmetic average for all the hypothesis paragraphs (4.15) and a relative weight of 83.12.</w:t>
      </w:r>
    </w:p>
    <w:p w14:paraId="7174EC46"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u w:val="single"/>
          <w:lang w:val="en"/>
        </w:rPr>
        <w:t>The result of the hypothesis</w:t>
      </w:r>
      <w:r w:rsidRPr="00164238">
        <w:rPr>
          <w:rFonts w:ascii="Times New Roman" w:hAnsi="Times New Roman" w:cs="Times New Roman"/>
          <w:color w:val="000000" w:themeColor="text1"/>
          <w:sz w:val="20"/>
          <w:szCs w:val="20"/>
          <w:u w:val="single"/>
          <w:lang w:val="en"/>
        </w:rPr>
        <w:t xml:space="preserve"> </w:t>
      </w:r>
      <w:r w:rsidRPr="00164238">
        <w:rPr>
          <w:rFonts w:ascii="Times New Roman" w:hAnsi="Times New Roman" w:cs="Times New Roman"/>
          <w:b/>
          <w:bCs/>
          <w:color w:val="000000" w:themeColor="text1"/>
          <w:sz w:val="20"/>
          <w:szCs w:val="20"/>
          <w:u w:val="single"/>
          <w:lang w:val="en"/>
        </w:rPr>
        <w:t>test</w:t>
      </w:r>
      <w:r w:rsidRPr="00164238">
        <w:rPr>
          <w:rFonts w:ascii="Times New Roman" w:hAnsi="Times New Roman" w:cs="Times New Roman"/>
          <w:color w:val="000000" w:themeColor="text1"/>
          <w:sz w:val="20"/>
          <w:szCs w:val="20"/>
          <w:u w:val="single"/>
          <w:lang w:val="en"/>
        </w:rPr>
        <w:t>:</w:t>
      </w:r>
      <w:r w:rsidRPr="00164238">
        <w:rPr>
          <w:rFonts w:ascii="Times New Roman" w:hAnsi="Times New Roman" w:cs="Times New Roman"/>
          <w:color w:val="000000" w:themeColor="text1"/>
          <w:sz w:val="20"/>
          <w:szCs w:val="20"/>
          <w:lang w:val="en"/>
        </w:rPr>
        <w:t xml:space="preserve"> From the above it can be concluded that  (T)  is less scheduled than the calculated (T),  which means rejecting the nihilistic hypothesis and accepting the alternative hypothesis that </w:t>
      </w:r>
      <w:r w:rsidRPr="00164238">
        <w:rPr>
          <w:rFonts w:ascii="Times New Roman" w:hAnsi="Times New Roman" w:cs="Times New Roman"/>
          <w:color w:val="000000" w:themeColor="text1"/>
          <w:sz w:val="20"/>
          <w:szCs w:val="20"/>
          <w:lang w:val="en"/>
        </w:rPr>
        <w:lastRenderedPageBreak/>
        <w:t>"there is an effect on the use of artificial intelligence in the internal audit process on the management and evaluation of risks in the Palestinian government sector."</w:t>
      </w:r>
    </w:p>
    <w:p w14:paraId="2D993058"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 xml:space="preserve">The researchers believe as a result of the hypothesis test that the current study is consistent with the results of the study of each (ucoglu, 2020), (Munoko, et al, 2020), (Ghanoum, Alaba, 2020),(Osman, Mahmoud, 2012) that there is an effect on the use of artificial intelligence in the internal audit process on the management and evaluation of risks that cause auditors to repeat their work, and determine early, but differ with the results of the study of both (Mardini, Alkurdi, 2021, (Al bawwata, Al Frija, 2021), (Samurai, Shiraida, 2020), (Tasit, Araban, 2019), (Anbar, Mohammed, 2016). </w:t>
      </w:r>
    </w:p>
    <w:p w14:paraId="68E05DA2"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eastAsia="Simplified Arabic" w:hAnsi="Times New Roman" w:cs="Times New Roman"/>
          <w:color w:val="000000" w:themeColor="text1"/>
          <w:sz w:val="20"/>
          <w:szCs w:val="20"/>
        </w:rPr>
        <w:t xml:space="preserve"> </w:t>
      </w:r>
    </w:p>
    <w:p w14:paraId="0274FC80" w14:textId="4293AD95" w:rsidR="005633F5" w:rsidRDefault="005633F5" w:rsidP="005633F5">
      <w:pPr>
        <w:spacing w:after="0" w:line="240" w:lineRule="auto"/>
        <w:jc w:val="both"/>
        <w:rPr>
          <w:rFonts w:ascii="Times New Roman" w:hAnsi="Times New Roman" w:cs="Times New Roman"/>
          <w:color w:val="000000" w:themeColor="text1"/>
          <w:sz w:val="20"/>
          <w:szCs w:val="20"/>
          <w:lang w:val="en"/>
        </w:rPr>
      </w:pPr>
      <w:r w:rsidRPr="00164238">
        <w:rPr>
          <w:rFonts w:ascii="Times New Roman" w:hAnsi="Times New Roman" w:cs="Times New Roman"/>
          <w:b/>
          <w:color w:val="000000" w:themeColor="text1"/>
          <w:sz w:val="20"/>
          <w:szCs w:val="20"/>
          <w:u w:val="single"/>
          <w:lang w:val="en"/>
        </w:rPr>
        <w:t>* Analysis of the test of the second hypothesis paragraphs:</w:t>
      </w:r>
      <w:r w:rsidRPr="00164238">
        <w:rPr>
          <w:rFonts w:ascii="Times New Roman" w:hAnsi="Times New Roman" w:cs="Times New Roman"/>
          <w:b/>
          <w:color w:val="000000" w:themeColor="text1"/>
          <w:sz w:val="20"/>
          <w:szCs w:val="20"/>
          <w:lang w:val="en"/>
        </w:rPr>
        <w:t xml:space="preserve">(There is an effect of the use </w:t>
      </w:r>
      <w:r w:rsidRPr="00164238">
        <w:rPr>
          <w:rFonts w:ascii="Times New Roman" w:hAnsi="Times New Roman" w:cs="Times New Roman"/>
          <w:bCs/>
          <w:color w:val="000000" w:themeColor="text1"/>
          <w:sz w:val="20"/>
          <w:szCs w:val="20"/>
          <w:lang w:val="en"/>
        </w:rPr>
        <w:t>of artificial intelligence in the</w:t>
      </w:r>
      <w:r w:rsidRPr="00164238">
        <w:rPr>
          <w:rFonts w:ascii="Times New Roman" w:hAnsi="Times New Roman" w:cs="Times New Roman"/>
          <w:color w:val="000000" w:themeColor="text1"/>
          <w:sz w:val="20"/>
          <w:szCs w:val="20"/>
          <w:lang w:val="en"/>
        </w:rPr>
        <w:t xml:space="preserve"> internal audit process on the examination and evaluation of the internal control system in the Palestinian government sector), the test (T) was used to determine the average response score has reached the intermediate score of (3) or not in the members of the sample, and the results are shown in the following table:</w:t>
      </w:r>
    </w:p>
    <w:p w14:paraId="3676F5F3" w14:textId="3100CB0E" w:rsidR="00563597" w:rsidRDefault="00563597" w:rsidP="005633F5">
      <w:pPr>
        <w:spacing w:after="0" w:line="240" w:lineRule="auto"/>
        <w:jc w:val="both"/>
        <w:rPr>
          <w:rFonts w:ascii="Times New Roman" w:hAnsi="Times New Roman" w:cs="Times New Roman"/>
          <w:color w:val="000000" w:themeColor="text1"/>
          <w:sz w:val="20"/>
          <w:szCs w:val="20"/>
          <w:lang w:val="en"/>
        </w:rPr>
      </w:pPr>
    </w:p>
    <w:p w14:paraId="5D077C83" w14:textId="77777777" w:rsidR="005633F5" w:rsidRPr="00164238" w:rsidRDefault="005633F5" w:rsidP="005633F5">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Table No. (10) Results of statistical analysis of the second hypothesis paragraphs</w:t>
      </w:r>
    </w:p>
    <w:tbl>
      <w:tblPr>
        <w:tblW w:w="0" w:type="auto"/>
        <w:tblLayout w:type="fixed"/>
        <w:tblLook w:val="04A0" w:firstRow="1" w:lastRow="0" w:firstColumn="1" w:lastColumn="0" w:noHBand="0" w:noVBand="1"/>
      </w:tblPr>
      <w:tblGrid>
        <w:gridCol w:w="343"/>
        <w:gridCol w:w="3309"/>
        <w:gridCol w:w="992"/>
        <w:gridCol w:w="993"/>
        <w:gridCol w:w="850"/>
        <w:gridCol w:w="874"/>
        <w:gridCol w:w="1111"/>
        <w:gridCol w:w="708"/>
      </w:tblGrid>
      <w:tr w:rsidR="00AE5E6C" w:rsidRPr="00164238" w14:paraId="020F0D9B" w14:textId="77777777" w:rsidTr="00682CBF">
        <w:trPr>
          <w:trHeight w:val="675"/>
        </w:trPr>
        <w:tc>
          <w:tcPr>
            <w:tcW w:w="343" w:type="dxa"/>
            <w:tcBorders>
              <w:top w:val="double" w:sz="10" w:space="0" w:color="auto"/>
              <w:left w:val="single" w:sz="8" w:space="0" w:color="auto"/>
              <w:bottom w:val="double" w:sz="10" w:space="0" w:color="auto"/>
              <w:right w:val="double" w:sz="10" w:space="0" w:color="auto"/>
            </w:tcBorders>
            <w:shd w:val="clear" w:color="auto" w:fill="D9D9D9" w:themeFill="background1" w:themeFillShade="D9"/>
            <w:vAlign w:val="center"/>
          </w:tcPr>
          <w:p w14:paraId="03408869"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M</w:t>
            </w:r>
          </w:p>
        </w:tc>
        <w:tc>
          <w:tcPr>
            <w:tcW w:w="3309" w:type="dxa"/>
            <w:tcBorders>
              <w:top w:val="double" w:sz="10" w:space="0" w:color="auto"/>
              <w:left w:val="single" w:sz="8" w:space="0" w:color="auto"/>
              <w:bottom w:val="double" w:sz="10" w:space="0" w:color="auto"/>
              <w:right w:val="nil"/>
            </w:tcBorders>
            <w:shd w:val="clear" w:color="auto" w:fill="D9D9D9" w:themeFill="background1" w:themeFillShade="D9"/>
            <w:vAlign w:val="center"/>
          </w:tcPr>
          <w:p w14:paraId="5DBDCDF4"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Phrases</w:t>
            </w:r>
          </w:p>
        </w:tc>
        <w:tc>
          <w:tcPr>
            <w:tcW w:w="992" w:type="dxa"/>
            <w:tcBorders>
              <w:top w:val="double" w:sz="10" w:space="0" w:color="auto"/>
              <w:left w:val="single" w:sz="8" w:space="0" w:color="auto"/>
              <w:bottom w:val="double" w:sz="10" w:space="0" w:color="auto"/>
              <w:right w:val="nil"/>
            </w:tcBorders>
            <w:shd w:val="clear" w:color="auto" w:fill="D9D9D9" w:themeFill="background1" w:themeFillShade="D9"/>
            <w:vAlign w:val="center"/>
          </w:tcPr>
          <w:p w14:paraId="5592F11E"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Arithmetic medium</w:t>
            </w:r>
          </w:p>
        </w:tc>
        <w:tc>
          <w:tcPr>
            <w:tcW w:w="993" w:type="dxa"/>
            <w:tcBorders>
              <w:top w:val="double" w:sz="10" w:space="0" w:color="auto"/>
              <w:left w:val="single" w:sz="8" w:space="0" w:color="auto"/>
              <w:bottom w:val="double" w:sz="10" w:space="0" w:color="auto"/>
              <w:right w:val="nil"/>
            </w:tcBorders>
            <w:shd w:val="clear" w:color="auto" w:fill="D9D9D9" w:themeFill="background1" w:themeFillShade="D9"/>
            <w:vAlign w:val="center"/>
          </w:tcPr>
          <w:p w14:paraId="0138F6D3"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Standard deviation</w:t>
            </w:r>
          </w:p>
        </w:tc>
        <w:tc>
          <w:tcPr>
            <w:tcW w:w="850" w:type="dxa"/>
            <w:tcBorders>
              <w:top w:val="double" w:sz="10" w:space="0" w:color="auto"/>
              <w:left w:val="single" w:sz="8" w:space="0" w:color="auto"/>
              <w:bottom w:val="double" w:sz="10" w:space="0" w:color="auto"/>
              <w:right w:val="nil"/>
            </w:tcBorders>
            <w:shd w:val="clear" w:color="auto" w:fill="D9D9D9" w:themeFill="background1" w:themeFillShade="D9"/>
            <w:vAlign w:val="center"/>
          </w:tcPr>
          <w:p w14:paraId="0161B7DA"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Relative weight</w:t>
            </w:r>
          </w:p>
        </w:tc>
        <w:tc>
          <w:tcPr>
            <w:tcW w:w="874" w:type="dxa"/>
            <w:tcBorders>
              <w:top w:val="double" w:sz="10" w:space="0" w:color="auto"/>
              <w:left w:val="single" w:sz="8" w:space="0" w:color="auto"/>
              <w:bottom w:val="double" w:sz="10" w:space="0" w:color="auto"/>
              <w:right w:val="nil"/>
            </w:tcBorders>
            <w:shd w:val="clear" w:color="auto" w:fill="D9D9D9" w:themeFill="background1" w:themeFillShade="D9"/>
            <w:vAlign w:val="center"/>
          </w:tcPr>
          <w:p w14:paraId="1CD6C658"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T</w:t>
            </w:r>
            <w:r w:rsidRPr="00164238">
              <w:rPr>
                <w:rFonts w:ascii="Times New Roman" w:hAnsi="Times New Roman" w:cs="Times New Roman"/>
                <w:color w:val="000000" w:themeColor="text1"/>
                <w:sz w:val="20"/>
                <w:szCs w:val="20"/>
                <w:lang w:val="en"/>
              </w:rPr>
              <w:t xml:space="preserve"> test value</w:t>
            </w:r>
          </w:p>
        </w:tc>
        <w:tc>
          <w:tcPr>
            <w:tcW w:w="1111" w:type="dxa"/>
            <w:tcBorders>
              <w:top w:val="double" w:sz="10" w:space="0" w:color="auto"/>
              <w:left w:val="single" w:sz="8" w:space="0" w:color="auto"/>
              <w:bottom w:val="double" w:sz="10" w:space="0" w:color="auto"/>
              <w:right w:val="single" w:sz="8" w:space="0" w:color="auto"/>
            </w:tcBorders>
            <w:shd w:val="clear" w:color="auto" w:fill="D9D9D9" w:themeFill="background1" w:themeFillShade="D9"/>
            <w:vAlign w:val="center"/>
          </w:tcPr>
          <w:p w14:paraId="7683DA05"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Probability value (.sig)</w:t>
            </w:r>
          </w:p>
        </w:tc>
        <w:tc>
          <w:tcPr>
            <w:tcW w:w="708" w:type="dxa"/>
            <w:tcBorders>
              <w:top w:val="double" w:sz="12" w:space="0" w:color="auto"/>
              <w:left w:val="single" w:sz="8" w:space="0" w:color="auto"/>
              <w:bottom w:val="double" w:sz="10" w:space="0" w:color="auto"/>
              <w:right w:val="single" w:sz="8" w:space="0" w:color="auto"/>
            </w:tcBorders>
            <w:shd w:val="clear" w:color="auto" w:fill="D9D9D9" w:themeFill="background1" w:themeFillShade="D9"/>
            <w:vAlign w:val="center"/>
          </w:tcPr>
          <w:p w14:paraId="3B4FDE47"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Order</w:t>
            </w:r>
          </w:p>
        </w:tc>
      </w:tr>
      <w:tr w:rsidR="00AE5E6C" w:rsidRPr="00164238" w14:paraId="6B96866C" w14:textId="77777777" w:rsidTr="00682CBF">
        <w:trPr>
          <w:trHeight w:val="675"/>
        </w:trPr>
        <w:tc>
          <w:tcPr>
            <w:tcW w:w="343" w:type="dxa"/>
            <w:tcBorders>
              <w:top w:val="double" w:sz="10" w:space="0" w:color="auto"/>
              <w:left w:val="single" w:sz="8" w:space="0" w:color="auto"/>
              <w:bottom w:val="single" w:sz="8" w:space="0" w:color="auto"/>
              <w:right w:val="double" w:sz="10" w:space="0" w:color="auto"/>
            </w:tcBorders>
          </w:tcPr>
          <w:p w14:paraId="1689B58C" w14:textId="77777777" w:rsidR="005633F5" w:rsidRPr="00164238" w:rsidRDefault="005633F5" w:rsidP="00682CBF">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1</w:t>
            </w:r>
          </w:p>
        </w:tc>
        <w:tc>
          <w:tcPr>
            <w:tcW w:w="3309" w:type="dxa"/>
            <w:tcBorders>
              <w:top w:val="double" w:sz="10" w:space="0" w:color="auto"/>
              <w:left w:val="single" w:sz="8" w:space="0" w:color="auto"/>
              <w:bottom w:val="single" w:sz="8" w:space="0" w:color="auto"/>
              <w:right w:val="nil"/>
            </w:tcBorders>
            <w:vAlign w:val="center"/>
          </w:tcPr>
          <w:p w14:paraId="3C068538" w14:textId="77777777" w:rsidR="005633F5" w:rsidRPr="00164238" w:rsidRDefault="005633F5" w:rsidP="00682CBF">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AI tools are a supportive strategy for completing internal audit procedures by using technology to achieve the quality of the audit process.</w:t>
            </w:r>
          </w:p>
        </w:tc>
        <w:tc>
          <w:tcPr>
            <w:tcW w:w="992" w:type="dxa"/>
            <w:tcBorders>
              <w:top w:val="double" w:sz="10" w:space="0" w:color="auto"/>
              <w:left w:val="single" w:sz="8" w:space="0" w:color="auto"/>
              <w:bottom w:val="single" w:sz="8" w:space="0" w:color="auto"/>
              <w:right w:val="nil"/>
            </w:tcBorders>
            <w:vAlign w:val="center"/>
          </w:tcPr>
          <w:p w14:paraId="61317927"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4.18</w:t>
            </w:r>
          </w:p>
        </w:tc>
        <w:tc>
          <w:tcPr>
            <w:tcW w:w="993" w:type="dxa"/>
            <w:tcBorders>
              <w:top w:val="double" w:sz="10" w:space="0" w:color="auto"/>
              <w:left w:val="single" w:sz="8" w:space="0" w:color="auto"/>
              <w:bottom w:val="single" w:sz="8" w:space="0" w:color="auto"/>
              <w:right w:val="nil"/>
            </w:tcBorders>
            <w:vAlign w:val="center"/>
          </w:tcPr>
          <w:p w14:paraId="4201B5C5"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0.712</w:t>
            </w:r>
          </w:p>
        </w:tc>
        <w:tc>
          <w:tcPr>
            <w:tcW w:w="850" w:type="dxa"/>
            <w:tcBorders>
              <w:top w:val="double" w:sz="10" w:space="0" w:color="auto"/>
              <w:left w:val="single" w:sz="8" w:space="0" w:color="auto"/>
              <w:bottom w:val="single" w:sz="8" w:space="0" w:color="auto"/>
              <w:right w:val="nil"/>
            </w:tcBorders>
            <w:vAlign w:val="center"/>
          </w:tcPr>
          <w:p w14:paraId="56A70FEC"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83.49</w:t>
            </w:r>
          </w:p>
        </w:tc>
        <w:tc>
          <w:tcPr>
            <w:tcW w:w="874" w:type="dxa"/>
            <w:tcBorders>
              <w:top w:val="double" w:sz="10" w:space="0" w:color="auto"/>
              <w:left w:val="single" w:sz="8" w:space="0" w:color="auto"/>
              <w:bottom w:val="single" w:sz="8" w:space="0" w:color="auto"/>
              <w:right w:val="nil"/>
            </w:tcBorders>
            <w:vAlign w:val="center"/>
          </w:tcPr>
          <w:p w14:paraId="621AA3E7"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10.436</w:t>
            </w:r>
          </w:p>
        </w:tc>
        <w:tc>
          <w:tcPr>
            <w:tcW w:w="1111" w:type="dxa"/>
            <w:tcBorders>
              <w:top w:val="double" w:sz="10" w:space="0" w:color="auto"/>
              <w:left w:val="single" w:sz="8" w:space="0" w:color="auto"/>
              <w:bottom w:val="single" w:sz="8" w:space="0" w:color="auto"/>
              <w:right w:val="single" w:sz="8" w:space="0" w:color="auto"/>
            </w:tcBorders>
            <w:vAlign w:val="center"/>
          </w:tcPr>
          <w:p w14:paraId="330EC696"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0.000</w:t>
            </w:r>
          </w:p>
        </w:tc>
        <w:tc>
          <w:tcPr>
            <w:tcW w:w="708" w:type="dxa"/>
            <w:tcBorders>
              <w:top w:val="double" w:sz="10" w:space="0" w:color="auto"/>
              <w:left w:val="single" w:sz="8" w:space="0" w:color="auto"/>
              <w:bottom w:val="single" w:sz="8" w:space="0" w:color="auto"/>
              <w:right w:val="single" w:sz="8" w:space="0" w:color="auto"/>
            </w:tcBorders>
            <w:vAlign w:val="center"/>
          </w:tcPr>
          <w:p w14:paraId="58E53106"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2</w:t>
            </w:r>
          </w:p>
        </w:tc>
      </w:tr>
      <w:tr w:rsidR="00AE5E6C" w:rsidRPr="00164238" w14:paraId="4CE9F7DE" w14:textId="77777777" w:rsidTr="00682CBF">
        <w:trPr>
          <w:trHeight w:val="660"/>
        </w:trPr>
        <w:tc>
          <w:tcPr>
            <w:tcW w:w="343" w:type="dxa"/>
            <w:tcBorders>
              <w:top w:val="single" w:sz="8" w:space="0" w:color="auto"/>
              <w:left w:val="single" w:sz="8" w:space="0" w:color="auto"/>
              <w:bottom w:val="single" w:sz="8" w:space="0" w:color="auto"/>
              <w:right w:val="double" w:sz="10" w:space="0" w:color="auto"/>
            </w:tcBorders>
          </w:tcPr>
          <w:p w14:paraId="08AFD5DF" w14:textId="77777777" w:rsidR="005633F5" w:rsidRPr="00164238" w:rsidRDefault="005633F5" w:rsidP="00682CBF">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2</w:t>
            </w:r>
          </w:p>
        </w:tc>
        <w:tc>
          <w:tcPr>
            <w:tcW w:w="3309" w:type="dxa"/>
            <w:tcBorders>
              <w:top w:val="single" w:sz="8" w:space="0" w:color="auto"/>
              <w:left w:val="single" w:sz="8" w:space="0" w:color="auto"/>
              <w:bottom w:val="single" w:sz="8" w:space="0" w:color="auto"/>
              <w:right w:val="nil"/>
            </w:tcBorders>
            <w:vAlign w:val="center"/>
          </w:tcPr>
          <w:p w14:paraId="5CAC9092" w14:textId="77777777" w:rsidR="005633F5" w:rsidRPr="00164238" w:rsidRDefault="005633F5" w:rsidP="00682CBF">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The use of AI technologies helps automate the audit, examination and testing of the internal control system.</w:t>
            </w:r>
          </w:p>
        </w:tc>
        <w:tc>
          <w:tcPr>
            <w:tcW w:w="992" w:type="dxa"/>
            <w:tcBorders>
              <w:top w:val="single" w:sz="8" w:space="0" w:color="auto"/>
              <w:left w:val="single" w:sz="8" w:space="0" w:color="auto"/>
              <w:bottom w:val="single" w:sz="8" w:space="0" w:color="auto"/>
              <w:right w:val="nil"/>
            </w:tcBorders>
            <w:vAlign w:val="center"/>
          </w:tcPr>
          <w:p w14:paraId="63331298"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4.13</w:t>
            </w:r>
          </w:p>
        </w:tc>
        <w:tc>
          <w:tcPr>
            <w:tcW w:w="993" w:type="dxa"/>
            <w:tcBorders>
              <w:top w:val="single" w:sz="8" w:space="0" w:color="auto"/>
              <w:left w:val="single" w:sz="8" w:space="0" w:color="auto"/>
              <w:bottom w:val="single" w:sz="8" w:space="0" w:color="auto"/>
              <w:right w:val="nil"/>
            </w:tcBorders>
            <w:vAlign w:val="center"/>
          </w:tcPr>
          <w:p w14:paraId="395D3E17"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0.607</w:t>
            </w:r>
          </w:p>
        </w:tc>
        <w:tc>
          <w:tcPr>
            <w:tcW w:w="850" w:type="dxa"/>
            <w:tcBorders>
              <w:top w:val="single" w:sz="8" w:space="0" w:color="auto"/>
              <w:left w:val="single" w:sz="8" w:space="0" w:color="auto"/>
              <w:bottom w:val="single" w:sz="8" w:space="0" w:color="auto"/>
              <w:right w:val="nil"/>
            </w:tcBorders>
            <w:vAlign w:val="center"/>
          </w:tcPr>
          <w:p w14:paraId="4923CF46"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82.50</w:t>
            </w:r>
          </w:p>
        </w:tc>
        <w:tc>
          <w:tcPr>
            <w:tcW w:w="874" w:type="dxa"/>
            <w:tcBorders>
              <w:top w:val="single" w:sz="8" w:space="0" w:color="auto"/>
              <w:left w:val="single" w:sz="8" w:space="0" w:color="auto"/>
              <w:bottom w:val="single" w:sz="8" w:space="0" w:color="auto"/>
              <w:right w:val="nil"/>
            </w:tcBorders>
            <w:vAlign w:val="center"/>
          </w:tcPr>
          <w:p w14:paraId="7DD37EE0"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11.720</w:t>
            </w:r>
          </w:p>
        </w:tc>
        <w:tc>
          <w:tcPr>
            <w:tcW w:w="1111" w:type="dxa"/>
            <w:tcBorders>
              <w:top w:val="single" w:sz="8" w:space="0" w:color="auto"/>
              <w:left w:val="single" w:sz="8" w:space="0" w:color="auto"/>
              <w:bottom w:val="single" w:sz="8" w:space="0" w:color="auto"/>
              <w:right w:val="single" w:sz="8" w:space="0" w:color="auto"/>
            </w:tcBorders>
            <w:vAlign w:val="center"/>
          </w:tcPr>
          <w:p w14:paraId="35B75E66"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0.000</w:t>
            </w:r>
          </w:p>
        </w:tc>
        <w:tc>
          <w:tcPr>
            <w:tcW w:w="708" w:type="dxa"/>
            <w:tcBorders>
              <w:top w:val="single" w:sz="8" w:space="0" w:color="auto"/>
              <w:left w:val="single" w:sz="8" w:space="0" w:color="auto"/>
              <w:bottom w:val="single" w:sz="8" w:space="0" w:color="auto"/>
              <w:right w:val="single" w:sz="8" w:space="0" w:color="auto"/>
            </w:tcBorders>
            <w:vAlign w:val="center"/>
          </w:tcPr>
          <w:p w14:paraId="56AD2ED1"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3</w:t>
            </w:r>
          </w:p>
        </w:tc>
      </w:tr>
      <w:tr w:rsidR="00AE5E6C" w:rsidRPr="00164238" w14:paraId="171291A1" w14:textId="77777777" w:rsidTr="00682CBF">
        <w:trPr>
          <w:trHeight w:val="675"/>
        </w:trPr>
        <w:tc>
          <w:tcPr>
            <w:tcW w:w="343" w:type="dxa"/>
            <w:tcBorders>
              <w:top w:val="single" w:sz="8" w:space="0" w:color="auto"/>
              <w:left w:val="single" w:sz="8" w:space="0" w:color="auto"/>
              <w:bottom w:val="single" w:sz="8" w:space="0" w:color="auto"/>
              <w:right w:val="double" w:sz="10" w:space="0" w:color="auto"/>
            </w:tcBorders>
          </w:tcPr>
          <w:p w14:paraId="46D6E7B9" w14:textId="77777777" w:rsidR="005633F5" w:rsidRPr="00164238" w:rsidRDefault="005633F5" w:rsidP="00682CBF">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3</w:t>
            </w:r>
          </w:p>
        </w:tc>
        <w:tc>
          <w:tcPr>
            <w:tcW w:w="3309" w:type="dxa"/>
            <w:tcBorders>
              <w:top w:val="single" w:sz="8" w:space="0" w:color="auto"/>
              <w:left w:val="single" w:sz="8" w:space="0" w:color="auto"/>
              <w:bottom w:val="single" w:sz="8" w:space="0" w:color="auto"/>
              <w:right w:val="nil"/>
            </w:tcBorders>
            <w:vAlign w:val="center"/>
          </w:tcPr>
          <w:p w14:paraId="3D848983" w14:textId="77777777" w:rsidR="005633F5" w:rsidRPr="00164238" w:rsidRDefault="005633F5" w:rsidP="00682CBF">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The use of Artificial Intelligence technologies in the internal audit process is one of the most important means used to verify the effectiveness of the internal control system.</w:t>
            </w:r>
          </w:p>
        </w:tc>
        <w:tc>
          <w:tcPr>
            <w:tcW w:w="992" w:type="dxa"/>
            <w:tcBorders>
              <w:top w:val="single" w:sz="8" w:space="0" w:color="auto"/>
              <w:left w:val="single" w:sz="8" w:space="0" w:color="auto"/>
              <w:bottom w:val="single" w:sz="8" w:space="0" w:color="auto"/>
              <w:right w:val="nil"/>
            </w:tcBorders>
            <w:vAlign w:val="center"/>
          </w:tcPr>
          <w:p w14:paraId="209C303F"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3.83</w:t>
            </w:r>
          </w:p>
        </w:tc>
        <w:tc>
          <w:tcPr>
            <w:tcW w:w="993" w:type="dxa"/>
            <w:tcBorders>
              <w:top w:val="single" w:sz="8" w:space="0" w:color="auto"/>
              <w:left w:val="single" w:sz="8" w:space="0" w:color="auto"/>
              <w:bottom w:val="single" w:sz="8" w:space="0" w:color="auto"/>
              <w:right w:val="nil"/>
            </w:tcBorders>
            <w:vAlign w:val="center"/>
          </w:tcPr>
          <w:p w14:paraId="22F3A992"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0.813</w:t>
            </w:r>
          </w:p>
        </w:tc>
        <w:tc>
          <w:tcPr>
            <w:tcW w:w="850" w:type="dxa"/>
            <w:tcBorders>
              <w:top w:val="single" w:sz="8" w:space="0" w:color="auto"/>
              <w:left w:val="single" w:sz="8" w:space="0" w:color="auto"/>
              <w:bottom w:val="single" w:sz="8" w:space="0" w:color="auto"/>
              <w:right w:val="nil"/>
            </w:tcBorders>
            <w:vAlign w:val="center"/>
          </w:tcPr>
          <w:p w14:paraId="78BD00DB"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76.48</w:t>
            </w:r>
          </w:p>
        </w:tc>
        <w:tc>
          <w:tcPr>
            <w:tcW w:w="874" w:type="dxa"/>
            <w:tcBorders>
              <w:top w:val="single" w:sz="8" w:space="0" w:color="auto"/>
              <w:left w:val="single" w:sz="8" w:space="0" w:color="auto"/>
              <w:bottom w:val="single" w:sz="8" w:space="0" w:color="auto"/>
              <w:right w:val="nil"/>
            </w:tcBorders>
            <w:vAlign w:val="center"/>
          </w:tcPr>
          <w:p w14:paraId="05D6C1F4"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6.418</w:t>
            </w:r>
          </w:p>
        </w:tc>
        <w:tc>
          <w:tcPr>
            <w:tcW w:w="1111" w:type="dxa"/>
            <w:tcBorders>
              <w:top w:val="single" w:sz="8" w:space="0" w:color="auto"/>
              <w:left w:val="single" w:sz="8" w:space="0" w:color="auto"/>
              <w:bottom w:val="single" w:sz="8" w:space="0" w:color="auto"/>
              <w:right w:val="single" w:sz="8" w:space="0" w:color="auto"/>
            </w:tcBorders>
            <w:vAlign w:val="center"/>
          </w:tcPr>
          <w:p w14:paraId="1ADB72CD"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0.000</w:t>
            </w:r>
          </w:p>
        </w:tc>
        <w:tc>
          <w:tcPr>
            <w:tcW w:w="708" w:type="dxa"/>
            <w:tcBorders>
              <w:top w:val="single" w:sz="8" w:space="0" w:color="auto"/>
              <w:left w:val="single" w:sz="8" w:space="0" w:color="auto"/>
              <w:bottom w:val="single" w:sz="8" w:space="0" w:color="auto"/>
              <w:right w:val="single" w:sz="8" w:space="0" w:color="auto"/>
            </w:tcBorders>
            <w:vAlign w:val="center"/>
          </w:tcPr>
          <w:p w14:paraId="6FCFEF0C"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6</w:t>
            </w:r>
          </w:p>
        </w:tc>
      </w:tr>
      <w:tr w:rsidR="00AE5E6C" w:rsidRPr="00164238" w14:paraId="6B345644" w14:textId="77777777" w:rsidTr="00682CBF">
        <w:trPr>
          <w:trHeight w:val="675"/>
        </w:trPr>
        <w:tc>
          <w:tcPr>
            <w:tcW w:w="343" w:type="dxa"/>
            <w:tcBorders>
              <w:top w:val="single" w:sz="8" w:space="0" w:color="auto"/>
              <w:left w:val="single" w:sz="8" w:space="0" w:color="auto"/>
              <w:bottom w:val="single" w:sz="8" w:space="0" w:color="auto"/>
              <w:right w:val="double" w:sz="10" w:space="0" w:color="auto"/>
            </w:tcBorders>
          </w:tcPr>
          <w:p w14:paraId="3E69811D" w14:textId="77777777" w:rsidR="005633F5" w:rsidRPr="00164238" w:rsidRDefault="005633F5" w:rsidP="00682CBF">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4</w:t>
            </w:r>
          </w:p>
        </w:tc>
        <w:tc>
          <w:tcPr>
            <w:tcW w:w="3309" w:type="dxa"/>
            <w:tcBorders>
              <w:top w:val="single" w:sz="8" w:space="0" w:color="auto"/>
              <w:left w:val="single" w:sz="8" w:space="0" w:color="auto"/>
              <w:bottom w:val="single" w:sz="8" w:space="0" w:color="auto"/>
              <w:right w:val="nil"/>
            </w:tcBorders>
            <w:vAlign w:val="center"/>
          </w:tcPr>
          <w:p w14:paraId="708B1524" w14:textId="77777777" w:rsidR="005633F5" w:rsidRPr="00164238" w:rsidRDefault="005633F5" w:rsidP="00682CBF">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The efficiency of the audit process is utilized by using artificial intelligence to evaluate the financial and accounting system.</w:t>
            </w:r>
          </w:p>
        </w:tc>
        <w:tc>
          <w:tcPr>
            <w:tcW w:w="992" w:type="dxa"/>
            <w:tcBorders>
              <w:top w:val="single" w:sz="8" w:space="0" w:color="auto"/>
              <w:left w:val="single" w:sz="8" w:space="0" w:color="auto"/>
              <w:bottom w:val="single" w:sz="8" w:space="0" w:color="auto"/>
              <w:right w:val="nil"/>
            </w:tcBorders>
            <w:vAlign w:val="center"/>
          </w:tcPr>
          <w:p w14:paraId="22B6FD97"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4.25</w:t>
            </w:r>
          </w:p>
        </w:tc>
        <w:tc>
          <w:tcPr>
            <w:tcW w:w="993" w:type="dxa"/>
            <w:tcBorders>
              <w:top w:val="single" w:sz="8" w:space="0" w:color="auto"/>
              <w:left w:val="single" w:sz="8" w:space="0" w:color="auto"/>
              <w:bottom w:val="single" w:sz="8" w:space="0" w:color="auto"/>
              <w:right w:val="nil"/>
            </w:tcBorders>
            <w:vAlign w:val="center"/>
          </w:tcPr>
          <w:p w14:paraId="612B58E7"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0.588</w:t>
            </w:r>
          </w:p>
        </w:tc>
        <w:tc>
          <w:tcPr>
            <w:tcW w:w="850" w:type="dxa"/>
            <w:tcBorders>
              <w:top w:val="single" w:sz="8" w:space="0" w:color="auto"/>
              <w:left w:val="single" w:sz="8" w:space="0" w:color="auto"/>
              <w:bottom w:val="single" w:sz="8" w:space="0" w:color="auto"/>
              <w:right w:val="nil"/>
            </w:tcBorders>
            <w:vAlign w:val="center"/>
          </w:tcPr>
          <w:p w14:paraId="56FE87F5"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85.00</w:t>
            </w:r>
          </w:p>
        </w:tc>
        <w:tc>
          <w:tcPr>
            <w:tcW w:w="874" w:type="dxa"/>
            <w:tcBorders>
              <w:top w:val="single" w:sz="8" w:space="0" w:color="auto"/>
              <w:left w:val="single" w:sz="8" w:space="0" w:color="auto"/>
              <w:bottom w:val="single" w:sz="8" w:space="0" w:color="auto"/>
              <w:right w:val="nil"/>
            </w:tcBorders>
            <w:vAlign w:val="center"/>
          </w:tcPr>
          <w:p w14:paraId="7DB2AD5F"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13.437</w:t>
            </w:r>
          </w:p>
        </w:tc>
        <w:tc>
          <w:tcPr>
            <w:tcW w:w="1111" w:type="dxa"/>
            <w:tcBorders>
              <w:top w:val="single" w:sz="8" w:space="0" w:color="auto"/>
              <w:left w:val="single" w:sz="8" w:space="0" w:color="auto"/>
              <w:bottom w:val="single" w:sz="8" w:space="0" w:color="auto"/>
              <w:right w:val="single" w:sz="8" w:space="0" w:color="auto"/>
            </w:tcBorders>
            <w:vAlign w:val="center"/>
          </w:tcPr>
          <w:p w14:paraId="4AB220E1"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0.000</w:t>
            </w:r>
          </w:p>
        </w:tc>
        <w:tc>
          <w:tcPr>
            <w:tcW w:w="708" w:type="dxa"/>
            <w:tcBorders>
              <w:top w:val="single" w:sz="8" w:space="0" w:color="auto"/>
              <w:left w:val="single" w:sz="8" w:space="0" w:color="auto"/>
              <w:bottom w:val="single" w:sz="8" w:space="0" w:color="auto"/>
              <w:right w:val="single" w:sz="8" w:space="0" w:color="auto"/>
            </w:tcBorders>
            <w:vAlign w:val="center"/>
          </w:tcPr>
          <w:p w14:paraId="2EA42BE2"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1</w:t>
            </w:r>
          </w:p>
        </w:tc>
      </w:tr>
      <w:tr w:rsidR="00AE5E6C" w:rsidRPr="00164238" w14:paraId="3CBC5D00" w14:textId="77777777" w:rsidTr="00682CBF">
        <w:trPr>
          <w:trHeight w:val="675"/>
        </w:trPr>
        <w:tc>
          <w:tcPr>
            <w:tcW w:w="343" w:type="dxa"/>
            <w:tcBorders>
              <w:top w:val="single" w:sz="8" w:space="0" w:color="auto"/>
              <w:left w:val="single" w:sz="8" w:space="0" w:color="auto"/>
              <w:bottom w:val="single" w:sz="8" w:space="0" w:color="auto"/>
              <w:right w:val="double" w:sz="10" w:space="0" w:color="auto"/>
            </w:tcBorders>
          </w:tcPr>
          <w:p w14:paraId="51DE4E63" w14:textId="77777777" w:rsidR="005633F5" w:rsidRPr="00164238" w:rsidRDefault="005633F5" w:rsidP="00682CBF">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5</w:t>
            </w:r>
          </w:p>
        </w:tc>
        <w:tc>
          <w:tcPr>
            <w:tcW w:w="3309" w:type="dxa"/>
            <w:tcBorders>
              <w:top w:val="single" w:sz="8" w:space="0" w:color="auto"/>
              <w:left w:val="single" w:sz="8" w:space="0" w:color="auto"/>
              <w:bottom w:val="single" w:sz="8" w:space="0" w:color="auto"/>
              <w:right w:val="nil"/>
            </w:tcBorders>
            <w:vAlign w:val="center"/>
          </w:tcPr>
          <w:p w14:paraId="58720427" w14:textId="77777777" w:rsidR="005633F5" w:rsidRPr="00164238" w:rsidRDefault="005633F5" w:rsidP="00682CBF">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The use of artificial intelligence in the internal audit process plays a critical role in correcting the deviations of the internal control system and providing timely advice and solutions.</w:t>
            </w:r>
          </w:p>
        </w:tc>
        <w:tc>
          <w:tcPr>
            <w:tcW w:w="992" w:type="dxa"/>
            <w:tcBorders>
              <w:top w:val="single" w:sz="8" w:space="0" w:color="auto"/>
              <w:left w:val="single" w:sz="8" w:space="0" w:color="auto"/>
              <w:bottom w:val="single" w:sz="8" w:space="0" w:color="auto"/>
              <w:right w:val="nil"/>
            </w:tcBorders>
            <w:vAlign w:val="center"/>
          </w:tcPr>
          <w:p w14:paraId="2916445B"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3.98</w:t>
            </w:r>
          </w:p>
        </w:tc>
        <w:tc>
          <w:tcPr>
            <w:tcW w:w="993" w:type="dxa"/>
            <w:tcBorders>
              <w:top w:val="single" w:sz="8" w:space="0" w:color="auto"/>
              <w:left w:val="single" w:sz="8" w:space="0" w:color="auto"/>
              <w:bottom w:val="single" w:sz="8" w:space="0" w:color="auto"/>
              <w:right w:val="nil"/>
            </w:tcBorders>
            <w:vAlign w:val="center"/>
          </w:tcPr>
          <w:p w14:paraId="56491805"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0.768</w:t>
            </w:r>
          </w:p>
        </w:tc>
        <w:tc>
          <w:tcPr>
            <w:tcW w:w="850" w:type="dxa"/>
            <w:tcBorders>
              <w:top w:val="single" w:sz="8" w:space="0" w:color="auto"/>
              <w:left w:val="single" w:sz="8" w:space="0" w:color="auto"/>
              <w:bottom w:val="single" w:sz="8" w:space="0" w:color="auto"/>
              <w:right w:val="nil"/>
            </w:tcBorders>
            <w:vAlign w:val="center"/>
          </w:tcPr>
          <w:p w14:paraId="4D2B642A"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79.52</w:t>
            </w:r>
          </w:p>
        </w:tc>
        <w:tc>
          <w:tcPr>
            <w:tcW w:w="874" w:type="dxa"/>
            <w:tcBorders>
              <w:top w:val="single" w:sz="8" w:space="0" w:color="auto"/>
              <w:left w:val="single" w:sz="8" w:space="0" w:color="auto"/>
              <w:bottom w:val="single" w:sz="8" w:space="0" w:color="auto"/>
              <w:right w:val="nil"/>
            </w:tcBorders>
            <w:vAlign w:val="center"/>
          </w:tcPr>
          <w:p w14:paraId="14AE6BC3"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8.034</w:t>
            </w:r>
          </w:p>
        </w:tc>
        <w:tc>
          <w:tcPr>
            <w:tcW w:w="1111" w:type="dxa"/>
            <w:tcBorders>
              <w:top w:val="single" w:sz="8" w:space="0" w:color="auto"/>
              <w:left w:val="single" w:sz="8" w:space="0" w:color="auto"/>
              <w:bottom w:val="single" w:sz="8" w:space="0" w:color="auto"/>
              <w:right w:val="single" w:sz="8" w:space="0" w:color="auto"/>
            </w:tcBorders>
            <w:vAlign w:val="center"/>
          </w:tcPr>
          <w:p w14:paraId="0268DCC7"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0.000</w:t>
            </w:r>
          </w:p>
        </w:tc>
        <w:tc>
          <w:tcPr>
            <w:tcW w:w="708" w:type="dxa"/>
            <w:tcBorders>
              <w:top w:val="single" w:sz="8" w:space="0" w:color="auto"/>
              <w:left w:val="single" w:sz="8" w:space="0" w:color="auto"/>
              <w:bottom w:val="single" w:sz="8" w:space="0" w:color="auto"/>
              <w:right w:val="single" w:sz="8" w:space="0" w:color="auto"/>
            </w:tcBorders>
            <w:vAlign w:val="center"/>
          </w:tcPr>
          <w:p w14:paraId="0BEA75F8"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4</w:t>
            </w:r>
          </w:p>
        </w:tc>
      </w:tr>
      <w:tr w:rsidR="00AE5E6C" w:rsidRPr="00164238" w14:paraId="644951EB" w14:textId="77777777" w:rsidTr="00682CBF">
        <w:trPr>
          <w:trHeight w:val="675"/>
        </w:trPr>
        <w:tc>
          <w:tcPr>
            <w:tcW w:w="343" w:type="dxa"/>
            <w:tcBorders>
              <w:top w:val="single" w:sz="8" w:space="0" w:color="auto"/>
              <w:left w:val="single" w:sz="8" w:space="0" w:color="auto"/>
              <w:bottom w:val="single" w:sz="8" w:space="0" w:color="auto"/>
              <w:right w:val="double" w:sz="10" w:space="0" w:color="auto"/>
            </w:tcBorders>
          </w:tcPr>
          <w:p w14:paraId="2148926C" w14:textId="77777777" w:rsidR="005633F5" w:rsidRPr="00164238" w:rsidRDefault="005633F5" w:rsidP="00682CBF">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6</w:t>
            </w:r>
          </w:p>
        </w:tc>
        <w:tc>
          <w:tcPr>
            <w:tcW w:w="3309" w:type="dxa"/>
            <w:tcBorders>
              <w:top w:val="single" w:sz="8" w:space="0" w:color="auto"/>
              <w:left w:val="single" w:sz="8" w:space="0" w:color="auto"/>
              <w:bottom w:val="single" w:sz="8" w:space="0" w:color="auto"/>
              <w:right w:val="nil"/>
            </w:tcBorders>
            <w:vAlign w:val="center"/>
          </w:tcPr>
          <w:p w14:paraId="78260416" w14:textId="77777777" w:rsidR="005633F5" w:rsidRPr="00164238" w:rsidRDefault="005633F5" w:rsidP="00682CBF">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The use of artificial intelligence in the internal audit process helps identify weaknesses in the internal control system and develop appropriate solutions to eliminate them.</w:t>
            </w:r>
          </w:p>
        </w:tc>
        <w:tc>
          <w:tcPr>
            <w:tcW w:w="992" w:type="dxa"/>
            <w:tcBorders>
              <w:top w:val="single" w:sz="8" w:space="0" w:color="auto"/>
              <w:left w:val="single" w:sz="8" w:space="0" w:color="auto"/>
              <w:bottom w:val="single" w:sz="8" w:space="0" w:color="auto"/>
              <w:right w:val="nil"/>
            </w:tcBorders>
            <w:vAlign w:val="center"/>
          </w:tcPr>
          <w:p w14:paraId="6577AB70"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3.95</w:t>
            </w:r>
          </w:p>
        </w:tc>
        <w:tc>
          <w:tcPr>
            <w:tcW w:w="993" w:type="dxa"/>
            <w:tcBorders>
              <w:top w:val="single" w:sz="8" w:space="0" w:color="auto"/>
              <w:left w:val="single" w:sz="8" w:space="0" w:color="auto"/>
              <w:bottom w:val="single" w:sz="8" w:space="0" w:color="auto"/>
              <w:right w:val="nil"/>
            </w:tcBorders>
            <w:vAlign w:val="center"/>
          </w:tcPr>
          <w:p w14:paraId="3AF8D3CF"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0.677</w:t>
            </w:r>
          </w:p>
        </w:tc>
        <w:tc>
          <w:tcPr>
            <w:tcW w:w="850" w:type="dxa"/>
            <w:tcBorders>
              <w:top w:val="single" w:sz="8" w:space="0" w:color="auto"/>
              <w:left w:val="single" w:sz="8" w:space="0" w:color="auto"/>
              <w:bottom w:val="single" w:sz="8" w:space="0" w:color="auto"/>
              <w:right w:val="nil"/>
            </w:tcBorders>
            <w:vAlign w:val="center"/>
          </w:tcPr>
          <w:p w14:paraId="76E28A28"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79.00</w:t>
            </w:r>
          </w:p>
        </w:tc>
        <w:tc>
          <w:tcPr>
            <w:tcW w:w="874" w:type="dxa"/>
            <w:tcBorders>
              <w:top w:val="single" w:sz="8" w:space="0" w:color="auto"/>
              <w:left w:val="single" w:sz="8" w:space="0" w:color="auto"/>
              <w:bottom w:val="single" w:sz="8" w:space="0" w:color="auto"/>
              <w:right w:val="nil"/>
            </w:tcBorders>
            <w:vAlign w:val="center"/>
          </w:tcPr>
          <w:p w14:paraId="6BDB1830"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8.869</w:t>
            </w:r>
          </w:p>
        </w:tc>
        <w:tc>
          <w:tcPr>
            <w:tcW w:w="1111" w:type="dxa"/>
            <w:tcBorders>
              <w:top w:val="single" w:sz="8" w:space="0" w:color="auto"/>
              <w:left w:val="single" w:sz="8" w:space="0" w:color="auto"/>
              <w:bottom w:val="single" w:sz="8" w:space="0" w:color="auto"/>
              <w:right w:val="single" w:sz="8" w:space="0" w:color="auto"/>
            </w:tcBorders>
            <w:vAlign w:val="center"/>
          </w:tcPr>
          <w:p w14:paraId="4F3BECC9"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0.000</w:t>
            </w:r>
          </w:p>
        </w:tc>
        <w:tc>
          <w:tcPr>
            <w:tcW w:w="708" w:type="dxa"/>
            <w:tcBorders>
              <w:top w:val="single" w:sz="8" w:space="0" w:color="auto"/>
              <w:left w:val="single" w:sz="8" w:space="0" w:color="auto"/>
              <w:bottom w:val="single" w:sz="8" w:space="0" w:color="auto"/>
              <w:right w:val="single" w:sz="8" w:space="0" w:color="auto"/>
            </w:tcBorders>
            <w:vAlign w:val="center"/>
          </w:tcPr>
          <w:p w14:paraId="48F7C4E5"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5</w:t>
            </w:r>
          </w:p>
        </w:tc>
      </w:tr>
      <w:tr w:rsidR="00AE5E6C" w:rsidRPr="00164238" w14:paraId="5A128F04" w14:textId="77777777" w:rsidTr="00682CBF">
        <w:trPr>
          <w:trHeight w:val="90"/>
        </w:trPr>
        <w:tc>
          <w:tcPr>
            <w:tcW w:w="3652" w:type="dxa"/>
            <w:gridSpan w:val="2"/>
            <w:tcBorders>
              <w:top w:val="single" w:sz="8" w:space="0" w:color="auto"/>
              <w:left w:val="single" w:sz="8" w:space="0" w:color="auto"/>
              <w:bottom w:val="double" w:sz="10" w:space="0" w:color="auto"/>
              <w:right w:val="double" w:sz="10" w:space="0" w:color="auto"/>
            </w:tcBorders>
          </w:tcPr>
          <w:p w14:paraId="6BD87E35"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Total paragraphs</w:t>
            </w:r>
          </w:p>
        </w:tc>
        <w:tc>
          <w:tcPr>
            <w:tcW w:w="992" w:type="dxa"/>
            <w:tcBorders>
              <w:top w:val="single" w:sz="8" w:space="0" w:color="auto"/>
              <w:left w:val="single" w:sz="8" w:space="0" w:color="auto"/>
              <w:bottom w:val="double" w:sz="10" w:space="0" w:color="auto"/>
              <w:right w:val="nil"/>
            </w:tcBorders>
          </w:tcPr>
          <w:p w14:paraId="6B6EAF49"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bCs/>
                <w:color w:val="000000" w:themeColor="text1"/>
                <w:sz w:val="20"/>
                <w:szCs w:val="20"/>
                <w:lang w:val="en"/>
              </w:rPr>
              <w:t>4.05</w:t>
            </w:r>
          </w:p>
        </w:tc>
        <w:tc>
          <w:tcPr>
            <w:tcW w:w="993" w:type="dxa"/>
            <w:tcBorders>
              <w:top w:val="single" w:sz="8" w:space="0" w:color="auto"/>
              <w:left w:val="single" w:sz="8" w:space="0" w:color="auto"/>
              <w:bottom w:val="double" w:sz="10" w:space="0" w:color="auto"/>
              <w:right w:val="nil"/>
            </w:tcBorders>
          </w:tcPr>
          <w:p w14:paraId="1047836D"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bCs/>
                <w:color w:val="000000" w:themeColor="text1"/>
                <w:sz w:val="20"/>
                <w:szCs w:val="20"/>
                <w:lang w:val="en"/>
              </w:rPr>
              <w:t>0.482</w:t>
            </w:r>
          </w:p>
        </w:tc>
        <w:tc>
          <w:tcPr>
            <w:tcW w:w="850" w:type="dxa"/>
            <w:tcBorders>
              <w:top w:val="single" w:sz="8" w:space="0" w:color="auto"/>
              <w:left w:val="single" w:sz="8" w:space="0" w:color="auto"/>
              <w:bottom w:val="double" w:sz="10" w:space="0" w:color="auto"/>
              <w:right w:val="nil"/>
            </w:tcBorders>
          </w:tcPr>
          <w:p w14:paraId="2289A279"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bCs/>
                <w:color w:val="000000" w:themeColor="text1"/>
                <w:sz w:val="20"/>
                <w:szCs w:val="20"/>
                <w:lang w:val="en"/>
              </w:rPr>
              <w:t>81.00</w:t>
            </w:r>
          </w:p>
        </w:tc>
        <w:tc>
          <w:tcPr>
            <w:tcW w:w="874" w:type="dxa"/>
            <w:tcBorders>
              <w:top w:val="single" w:sz="8" w:space="0" w:color="auto"/>
              <w:left w:val="single" w:sz="8" w:space="0" w:color="auto"/>
              <w:bottom w:val="double" w:sz="10" w:space="0" w:color="auto"/>
              <w:right w:val="nil"/>
            </w:tcBorders>
          </w:tcPr>
          <w:p w14:paraId="152AC670"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bCs/>
                <w:color w:val="000000" w:themeColor="text1"/>
                <w:sz w:val="20"/>
                <w:szCs w:val="20"/>
                <w:lang w:val="en"/>
              </w:rPr>
              <w:t>13.773</w:t>
            </w:r>
          </w:p>
        </w:tc>
        <w:tc>
          <w:tcPr>
            <w:tcW w:w="1111" w:type="dxa"/>
            <w:tcBorders>
              <w:top w:val="single" w:sz="8" w:space="0" w:color="auto"/>
              <w:left w:val="single" w:sz="8" w:space="0" w:color="auto"/>
              <w:bottom w:val="double" w:sz="10" w:space="0" w:color="auto"/>
              <w:right w:val="single" w:sz="8" w:space="0" w:color="auto"/>
            </w:tcBorders>
            <w:vAlign w:val="center"/>
          </w:tcPr>
          <w:p w14:paraId="250B7F4C"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0.000</w:t>
            </w:r>
          </w:p>
        </w:tc>
        <w:tc>
          <w:tcPr>
            <w:tcW w:w="708" w:type="dxa"/>
            <w:tcBorders>
              <w:top w:val="single" w:sz="8" w:space="0" w:color="auto"/>
              <w:left w:val="single" w:sz="8" w:space="0" w:color="auto"/>
              <w:bottom w:val="single" w:sz="8" w:space="0" w:color="auto"/>
              <w:right w:val="single" w:sz="8" w:space="0" w:color="auto"/>
            </w:tcBorders>
            <w:vAlign w:val="center"/>
          </w:tcPr>
          <w:p w14:paraId="451F3A76"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w:t>
            </w:r>
          </w:p>
        </w:tc>
      </w:tr>
    </w:tbl>
    <w:p w14:paraId="1505779B"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eastAsia="Simplified Arabic" w:hAnsi="Times New Roman" w:cs="Times New Roman"/>
          <w:b/>
          <w:bCs/>
          <w:color w:val="000000" w:themeColor="text1"/>
          <w:sz w:val="20"/>
          <w:szCs w:val="20"/>
        </w:rPr>
        <w:t xml:space="preserve"> </w:t>
      </w:r>
    </w:p>
    <w:p w14:paraId="0DCA1F0C"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The above table shows the following:</w:t>
      </w:r>
    </w:p>
    <w:p w14:paraId="1E15C982" w14:textId="77777777" w:rsidR="005633F5" w:rsidRPr="00164238" w:rsidRDefault="005633F5" w:rsidP="006F033D">
      <w:pPr>
        <w:spacing w:after="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 The result of approval of the first area as the average of the answers in the special paragraphs of the hypothesis ranges from (3.83) to (4.25).</w:t>
      </w:r>
    </w:p>
    <w:p w14:paraId="44E031E7"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 xml:space="preserve">Paragraph sup allow (3) which states that "big data analysis helps reduce time, design and develop new products to achieve competition", and paragraph (7) which states that "big data analysis helps estimate the company's market share by determining the volume of sales to maintain the same level of profits or perhaps </w:t>
      </w:r>
      <w:r w:rsidRPr="00164238">
        <w:rPr>
          <w:rFonts w:ascii="Times New Roman" w:hAnsi="Times New Roman" w:cs="Times New Roman"/>
          <w:color w:val="000000" w:themeColor="text1"/>
          <w:sz w:val="20"/>
          <w:szCs w:val="20"/>
          <w:lang w:val="en"/>
        </w:rPr>
        <w:lastRenderedPageBreak/>
        <w:t>higher levels of profits" has obtained the highest computational average of (4.25), the relative weight (85.00%), while paragraph (4) which states that "big data analysis enhances efficiency for operational activities, resulting in increased revenue and added value to the company" has the lowest computational average of (3.83%) and relative weight (76.48%).</w:t>
      </w:r>
    </w:p>
    <w:p w14:paraId="67E7552A" w14:textId="77777777" w:rsidR="005633F5" w:rsidRPr="00164238" w:rsidRDefault="005633F5" w:rsidP="006F033D">
      <w:pPr>
        <w:spacing w:after="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 The arithmetic average for all the hypothesis paragraphs (4.05) and a relative weight of 81.00.</w:t>
      </w:r>
    </w:p>
    <w:p w14:paraId="30BB1BD4"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u w:val="single"/>
          <w:lang w:val="en"/>
        </w:rPr>
        <w:t>The result of the hypothesis</w:t>
      </w:r>
      <w:r w:rsidRPr="00164238">
        <w:rPr>
          <w:rFonts w:ascii="Times New Roman" w:hAnsi="Times New Roman" w:cs="Times New Roman"/>
          <w:color w:val="000000" w:themeColor="text1"/>
          <w:sz w:val="20"/>
          <w:szCs w:val="20"/>
          <w:u w:val="single"/>
          <w:lang w:val="en"/>
        </w:rPr>
        <w:t xml:space="preserve"> test:</w:t>
      </w:r>
      <w:r w:rsidRPr="00164238">
        <w:rPr>
          <w:rFonts w:ascii="Times New Roman" w:hAnsi="Times New Roman" w:cs="Times New Roman"/>
          <w:color w:val="000000" w:themeColor="text1"/>
          <w:sz w:val="20"/>
          <w:szCs w:val="20"/>
          <w:lang w:val="en"/>
        </w:rPr>
        <w:t xml:space="preserve"> From the above it can be concluded that  (T)  is less scheduled than the calculated (T),  which means rejecting the nihilistic hypothesis and accepting the alternative hypothesis that "there is an effect of the use of artificial intelligence in the internal audit process on the examination and evaluation of the internal control system in the Palestinian government</w:t>
      </w:r>
      <w:r w:rsidRPr="00164238">
        <w:rPr>
          <w:rFonts w:ascii="Times New Roman" w:hAnsi="Times New Roman" w:cs="Times New Roman"/>
          <w:b/>
          <w:color w:val="000000" w:themeColor="text1"/>
          <w:sz w:val="20"/>
          <w:szCs w:val="20"/>
          <w:lang w:val="en"/>
        </w:rPr>
        <w:t xml:space="preserve"> sector."</w:t>
      </w:r>
    </w:p>
    <w:p w14:paraId="15275941"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 xml:space="preserve">The researchers believe that the current study is consistent with the results of the study of each (Tsaedit, Araban, 2019), (Anbar, Mohammed, 2016) that there is an effect on the use of artificial intelligence in the internal audit process on the examination and evaluation of the internal control system and oversight work within institutions, and improve the efficiency of the internal control system, but differ with the results of the study of both (Mardini, Alkurdi, 2021), (ucoglu, 2020), (Munoko, et al, 2020), (AlJaber, 2020), (Ghanoum, Alaba, 2020), (Al bawwata, Al Frija, 2021), (Samurai, Shiraida, 2020), (Osman, Mahmoud, 2012). </w:t>
      </w:r>
    </w:p>
    <w:p w14:paraId="2197BFCC"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eastAsia="Simplified Arabic" w:hAnsi="Times New Roman" w:cs="Times New Roman"/>
          <w:color w:val="000000" w:themeColor="text1"/>
          <w:sz w:val="20"/>
          <w:szCs w:val="20"/>
        </w:rPr>
        <w:t xml:space="preserve"> </w:t>
      </w:r>
    </w:p>
    <w:p w14:paraId="55A5BCE4"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u w:val="single"/>
          <w:lang w:val="en"/>
        </w:rPr>
        <w:t>* Analysis and testing of the paragraphs of the third hypothesis:</w:t>
      </w:r>
      <w:r w:rsidRPr="00164238">
        <w:rPr>
          <w:rFonts w:ascii="Times New Roman" w:hAnsi="Times New Roman" w:cs="Times New Roman"/>
          <w:color w:val="000000" w:themeColor="text1"/>
          <w:sz w:val="20"/>
          <w:szCs w:val="20"/>
          <w:lang w:val="en"/>
        </w:rPr>
        <w:t xml:space="preserve">  (There is an effect of the use of artificial intelligence in the internal audit process on the strengthening of governance procedures in the Palestinian government sector), the test (T) was used to determine the average degree of response has reached the average score which is (3) or not in the individuals of the sample, and the results are shown in the following table:</w:t>
      </w:r>
    </w:p>
    <w:p w14:paraId="524C511E" w14:textId="77777777" w:rsidR="005633F5" w:rsidRPr="00164238" w:rsidRDefault="005633F5" w:rsidP="005633F5">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Table No. (11) Results of statistical analysis of the third hypothesis paragraphs</w:t>
      </w:r>
    </w:p>
    <w:tbl>
      <w:tblPr>
        <w:tblW w:w="0" w:type="auto"/>
        <w:tblLayout w:type="fixed"/>
        <w:tblLook w:val="04A0" w:firstRow="1" w:lastRow="0" w:firstColumn="1" w:lastColumn="0" w:noHBand="0" w:noVBand="1"/>
      </w:tblPr>
      <w:tblGrid>
        <w:gridCol w:w="335"/>
        <w:gridCol w:w="3574"/>
        <w:gridCol w:w="817"/>
        <w:gridCol w:w="833"/>
        <w:gridCol w:w="883"/>
        <w:gridCol w:w="941"/>
        <w:gridCol w:w="916"/>
        <w:gridCol w:w="716"/>
      </w:tblGrid>
      <w:tr w:rsidR="00AE5E6C" w:rsidRPr="00164238" w14:paraId="0F070B07" w14:textId="77777777" w:rsidTr="00682CBF">
        <w:trPr>
          <w:trHeight w:val="675"/>
        </w:trPr>
        <w:tc>
          <w:tcPr>
            <w:tcW w:w="335" w:type="dxa"/>
            <w:tcBorders>
              <w:top w:val="double" w:sz="12" w:space="0" w:color="auto"/>
              <w:left w:val="single" w:sz="8" w:space="0" w:color="auto"/>
              <w:bottom w:val="double" w:sz="10" w:space="0" w:color="auto"/>
              <w:right w:val="double" w:sz="10" w:space="0" w:color="auto"/>
            </w:tcBorders>
            <w:shd w:val="clear" w:color="auto" w:fill="D9D9D9" w:themeFill="background1" w:themeFillShade="D9"/>
            <w:vAlign w:val="center"/>
          </w:tcPr>
          <w:p w14:paraId="54D0C104" w14:textId="77777777" w:rsidR="005633F5" w:rsidRPr="00164238" w:rsidRDefault="005633F5" w:rsidP="00682CBF">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M</w:t>
            </w:r>
          </w:p>
        </w:tc>
        <w:tc>
          <w:tcPr>
            <w:tcW w:w="3574" w:type="dxa"/>
            <w:tcBorders>
              <w:top w:val="double" w:sz="12" w:space="0" w:color="auto"/>
              <w:left w:val="single" w:sz="8" w:space="0" w:color="auto"/>
              <w:bottom w:val="double" w:sz="10" w:space="0" w:color="auto"/>
              <w:right w:val="nil"/>
            </w:tcBorders>
            <w:shd w:val="clear" w:color="auto" w:fill="D9D9D9" w:themeFill="background1" w:themeFillShade="D9"/>
            <w:vAlign w:val="center"/>
          </w:tcPr>
          <w:p w14:paraId="67899D7A"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Phrases</w:t>
            </w:r>
          </w:p>
        </w:tc>
        <w:tc>
          <w:tcPr>
            <w:tcW w:w="817" w:type="dxa"/>
            <w:tcBorders>
              <w:top w:val="double" w:sz="12" w:space="0" w:color="auto"/>
              <w:left w:val="single" w:sz="8" w:space="0" w:color="auto"/>
              <w:bottom w:val="double" w:sz="10" w:space="0" w:color="auto"/>
              <w:right w:val="nil"/>
            </w:tcBorders>
            <w:shd w:val="clear" w:color="auto" w:fill="D9D9D9" w:themeFill="background1" w:themeFillShade="D9"/>
            <w:vAlign w:val="center"/>
          </w:tcPr>
          <w:p w14:paraId="256B4829"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Arithmetic medium</w:t>
            </w:r>
          </w:p>
        </w:tc>
        <w:tc>
          <w:tcPr>
            <w:tcW w:w="833" w:type="dxa"/>
            <w:tcBorders>
              <w:top w:val="double" w:sz="12" w:space="0" w:color="auto"/>
              <w:left w:val="single" w:sz="8" w:space="0" w:color="auto"/>
              <w:bottom w:val="double" w:sz="10" w:space="0" w:color="auto"/>
              <w:right w:val="nil"/>
            </w:tcBorders>
            <w:shd w:val="clear" w:color="auto" w:fill="D9D9D9" w:themeFill="background1" w:themeFillShade="D9"/>
            <w:vAlign w:val="center"/>
          </w:tcPr>
          <w:p w14:paraId="1FBC0385"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Standard deviation</w:t>
            </w:r>
          </w:p>
        </w:tc>
        <w:tc>
          <w:tcPr>
            <w:tcW w:w="883" w:type="dxa"/>
            <w:tcBorders>
              <w:top w:val="double" w:sz="12" w:space="0" w:color="auto"/>
              <w:left w:val="single" w:sz="8" w:space="0" w:color="auto"/>
              <w:bottom w:val="double" w:sz="10" w:space="0" w:color="auto"/>
              <w:right w:val="nil"/>
            </w:tcBorders>
            <w:shd w:val="clear" w:color="auto" w:fill="D9D9D9" w:themeFill="background1" w:themeFillShade="D9"/>
            <w:vAlign w:val="center"/>
          </w:tcPr>
          <w:p w14:paraId="0ADFC8C1"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Relative weight</w:t>
            </w:r>
          </w:p>
        </w:tc>
        <w:tc>
          <w:tcPr>
            <w:tcW w:w="941" w:type="dxa"/>
            <w:tcBorders>
              <w:top w:val="double" w:sz="12" w:space="0" w:color="auto"/>
              <w:left w:val="single" w:sz="8" w:space="0" w:color="auto"/>
              <w:bottom w:val="double" w:sz="10" w:space="0" w:color="auto"/>
              <w:right w:val="nil"/>
            </w:tcBorders>
            <w:shd w:val="clear" w:color="auto" w:fill="D9D9D9" w:themeFill="background1" w:themeFillShade="D9"/>
            <w:vAlign w:val="center"/>
          </w:tcPr>
          <w:p w14:paraId="462559DF"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T</w:t>
            </w:r>
            <w:r w:rsidRPr="00164238">
              <w:rPr>
                <w:rFonts w:ascii="Times New Roman" w:hAnsi="Times New Roman" w:cs="Times New Roman"/>
                <w:color w:val="000000" w:themeColor="text1"/>
                <w:sz w:val="20"/>
                <w:szCs w:val="20"/>
                <w:lang w:val="en"/>
              </w:rPr>
              <w:t xml:space="preserve"> test value</w:t>
            </w:r>
          </w:p>
        </w:tc>
        <w:tc>
          <w:tcPr>
            <w:tcW w:w="916" w:type="dxa"/>
            <w:tcBorders>
              <w:top w:val="double" w:sz="12" w:space="0" w:color="auto"/>
              <w:left w:val="single" w:sz="8" w:space="0" w:color="auto"/>
              <w:bottom w:val="double" w:sz="10" w:space="0" w:color="auto"/>
              <w:right w:val="single" w:sz="8" w:space="0" w:color="auto"/>
            </w:tcBorders>
            <w:shd w:val="clear" w:color="auto" w:fill="D9D9D9" w:themeFill="background1" w:themeFillShade="D9"/>
            <w:vAlign w:val="center"/>
          </w:tcPr>
          <w:p w14:paraId="21F59DF9"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Probability value(.sig)</w:t>
            </w:r>
          </w:p>
        </w:tc>
        <w:tc>
          <w:tcPr>
            <w:tcW w:w="716" w:type="dxa"/>
            <w:tcBorders>
              <w:top w:val="double" w:sz="12" w:space="0" w:color="auto"/>
              <w:left w:val="single" w:sz="8" w:space="0" w:color="auto"/>
              <w:bottom w:val="double" w:sz="10" w:space="0" w:color="auto"/>
              <w:right w:val="single" w:sz="8" w:space="0" w:color="auto"/>
            </w:tcBorders>
            <w:shd w:val="clear" w:color="auto" w:fill="D9D9D9" w:themeFill="background1" w:themeFillShade="D9"/>
            <w:vAlign w:val="center"/>
          </w:tcPr>
          <w:p w14:paraId="66BA2AC1"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Order</w:t>
            </w:r>
          </w:p>
        </w:tc>
      </w:tr>
      <w:tr w:rsidR="00AE5E6C" w:rsidRPr="00164238" w14:paraId="11F5D650" w14:textId="77777777" w:rsidTr="00682CBF">
        <w:trPr>
          <w:trHeight w:val="345"/>
        </w:trPr>
        <w:tc>
          <w:tcPr>
            <w:tcW w:w="335" w:type="dxa"/>
            <w:tcBorders>
              <w:top w:val="double" w:sz="10" w:space="0" w:color="auto"/>
              <w:left w:val="single" w:sz="8" w:space="0" w:color="auto"/>
              <w:bottom w:val="single" w:sz="8" w:space="0" w:color="auto"/>
              <w:right w:val="double" w:sz="10" w:space="0" w:color="auto"/>
            </w:tcBorders>
          </w:tcPr>
          <w:p w14:paraId="1C3EC803" w14:textId="77777777" w:rsidR="005633F5" w:rsidRPr="00164238" w:rsidRDefault="005633F5" w:rsidP="00682CBF">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1</w:t>
            </w:r>
          </w:p>
        </w:tc>
        <w:tc>
          <w:tcPr>
            <w:tcW w:w="3574" w:type="dxa"/>
            <w:tcBorders>
              <w:top w:val="double" w:sz="10" w:space="0" w:color="auto"/>
              <w:left w:val="single" w:sz="8" w:space="0" w:color="auto"/>
              <w:bottom w:val="single" w:sz="8" w:space="0" w:color="auto"/>
              <w:right w:val="nil"/>
            </w:tcBorders>
            <w:vAlign w:val="bottom"/>
          </w:tcPr>
          <w:p w14:paraId="2F8BE4F8" w14:textId="77777777" w:rsidR="005633F5" w:rsidRPr="00164238" w:rsidRDefault="005633F5" w:rsidP="00682CBF">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The use of AI tools in the internal audit process requires attention to technical and administrative governance and the promotion of transparency and responsibility as their principles.</w:t>
            </w:r>
          </w:p>
        </w:tc>
        <w:tc>
          <w:tcPr>
            <w:tcW w:w="817" w:type="dxa"/>
            <w:tcBorders>
              <w:top w:val="double" w:sz="10" w:space="0" w:color="auto"/>
              <w:left w:val="single" w:sz="8" w:space="0" w:color="auto"/>
              <w:bottom w:val="single" w:sz="8" w:space="0" w:color="auto"/>
              <w:right w:val="nil"/>
            </w:tcBorders>
            <w:vAlign w:val="center"/>
          </w:tcPr>
          <w:p w14:paraId="24DBDBAE"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4.05</w:t>
            </w:r>
          </w:p>
        </w:tc>
        <w:tc>
          <w:tcPr>
            <w:tcW w:w="833" w:type="dxa"/>
            <w:tcBorders>
              <w:top w:val="double" w:sz="10" w:space="0" w:color="auto"/>
              <w:left w:val="single" w:sz="8" w:space="0" w:color="auto"/>
              <w:bottom w:val="single" w:sz="8" w:space="0" w:color="auto"/>
              <w:right w:val="nil"/>
            </w:tcBorders>
            <w:vAlign w:val="center"/>
          </w:tcPr>
          <w:p w14:paraId="21877708"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0.749</w:t>
            </w:r>
          </w:p>
        </w:tc>
        <w:tc>
          <w:tcPr>
            <w:tcW w:w="883" w:type="dxa"/>
            <w:tcBorders>
              <w:top w:val="double" w:sz="10" w:space="0" w:color="auto"/>
              <w:left w:val="single" w:sz="8" w:space="0" w:color="auto"/>
              <w:bottom w:val="single" w:sz="8" w:space="0" w:color="auto"/>
              <w:right w:val="nil"/>
            </w:tcBorders>
            <w:vAlign w:val="center"/>
          </w:tcPr>
          <w:p w14:paraId="64EE390F"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81.00</w:t>
            </w:r>
          </w:p>
        </w:tc>
        <w:tc>
          <w:tcPr>
            <w:tcW w:w="941" w:type="dxa"/>
            <w:tcBorders>
              <w:top w:val="double" w:sz="10" w:space="0" w:color="auto"/>
              <w:left w:val="single" w:sz="8" w:space="0" w:color="auto"/>
              <w:bottom w:val="single" w:sz="8" w:space="0" w:color="auto"/>
              <w:right w:val="nil"/>
            </w:tcBorders>
            <w:vAlign w:val="center"/>
          </w:tcPr>
          <w:p w14:paraId="220FD569"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8.862</w:t>
            </w:r>
          </w:p>
        </w:tc>
        <w:tc>
          <w:tcPr>
            <w:tcW w:w="916" w:type="dxa"/>
            <w:tcBorders>
              <w:top w:val="double" w:sz="10" w:space="0" w:color="auto"/>
              <w:left w:val="single" w:sz="8" w:space="0" w:color="auto"/>
              <w:bottom w:val="single" w:sz="8" w:space="0" w:color="auto"/>
              <w:right w:val="single" w:sz="8" w:space="0" w:color="auto"/>
            </w:tcBorders>
            <w:vAlign w:val="center"/>
          </w:tcPr>
          <w:p w14:paraId="547AD245"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0.000</w:t>
            </w:r>
          </w:p>
        </w:tc>
        <w:tc>
          <w:tcPr>
            <w:tcW w:w="716" w:type="dxa"/>
            <w:tcBorders>
              <w:top w:val="double" w:sz="10" w:space="0" w:color="auto"/>
              <w:left w:val="single" w:sz="8" w:space="0" w:color="auto"/>
              <w:bottom w:val="single" w:sz="8" w:space="0" w:color="auto"/>
              <w:right w:val="single" w:sz="8" w:space="0" w:color="auto"/>
            </w:tcBorders>
            <w:vAlign w:val="center"/>
          </w:tcPr>
          <w:p w14:paraId="06E17298"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1</w:t>
            </w:r>
          </w:p>
        </w:tc>
      </w:tr>
      <w:tr w:rsidR="00AE5E6C" w:rsidRPr="00164238" w14:paraId="09455451" w14:textId="77777777" w:rsidTr="00682CBF">
        <w:trPr>
          <w:trHeight w:val="420"/>
        </w:trPr>
        <w:tc>
          <w:tcPr>
            <w:tcW w:w="335" w:type="dxa"/>
            <w:tcBorders>
              <w:top w:val="single" w:sz="8" w:space="0" w:color="auto"/>
              <w:left w:val="single" w:sz="8" w:space="0" w:color="auto"/>
              <w:bottom w:val="single" w:sz="8" w:space="0" w:color="auto"/>
              <w:right w:val="double" w:sz="10" w:space="0" w:color="auto"/>
            </w:tcBorders>
          </w:tcPr>
          <w:p w14:paraId="1F2B6B2B" w14:textId="77777777" w:rsidR="005633F5" w:rsidRPr="00164238" w:rsidRDefault="005633F5" w:rsidP="00682CBF">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2</w:t>
            </w:r>
          </w:p>
        </w:tc>
        <w:tc>
          <w:tcPr>
            <w:tcW w:w="3574" w:type="dxa"/>
            <w:tcBorders>
              <w:top w:val="single" w:sz="8" w:space="0" w:color="auto"/>
              <w:left w:val="single" w:sz="8" w:space="0" w:color="auto"/>
              <w:bottom w:val="single" w:sz="8" w:space="0" w:color="auto"/>
              <w:right w:val="nil"/>
            </w:tcBorders>
            <w:vAlign w:val="bottom"/>
          </w:tcPr>
          <w:p w14:paraId="5FBB1B9F" w14:textId="77777777" w:rsidR="005633F5" w:rsidRPr="00164238" w:rsidRDefault="005633F5" w:rsidP="00682CBF">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The use of AI technologies in the internal audit process helps evaluate its governance system and risks.</w:t>
            </w:r>
          </w:p>
        </w:tc>
        <w:tc>
          <w:tcPr>
            <w:tcW w:w="817" w:type="dxa"/>
            <w:tcBorders>
              <w:top w:val="single" w:sz="8" w:space="0" w:color="auto"/>
              <w:left w:val="single" w:sz="8" w:space="0" w:color="auto"/>
              <w:bottom w:val="single" w:sz="8" w:space="0" w:color="auto"/>
              <w:right w:val="nil"/>
            </w:tcBorders>
            <w:vAlign w:val="center"/>
          </w:tcPr>
          <w:p w14:paraId="281F9C26"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3.98</w:t>
            </w:r>
          </w:p>
        </w:tc>
        <w:tc>
          <w:tcPr>
            <w:tcW w:w="833" w:type="dxa"/>
            <w:tcBorders>
              <w:top w:val="single" w:sz="8" w:space="0" w:color="auto"/>
              <w:left w:val="single" w:sz="8" w:space="0" w:color="auto"/>
              <w:bottom w:val="single" w:sz="8" w:space="0" w:color="auto"/>
              <w:right w:val="nil"/>
            </w:tcBorders>
            <w:vAlign w:val="center"/>
          </w:tcPr>
          <w:p w14:paraId="5FB61B2B"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0.620</w:t>
            </w:r>
          </w:p>
        </w:tc>
        <w:tc>
          <w:tcPr>
            <w:tcW w:w="883" w:type="dxa"/>
            <w:tcBorders>
              <w:top w:val="single" w:sz="8" w:space="0" w:color="auto"/>
              <w:left w:val="single" w:sz="8" w:space="0" w:color="auto"/>
              <w:bottom w:val="single" w:sz="8" w:space="0" w:color="auto"/>
              <w:right w:val="nil"/>
            </w:tcBorders>
            <w:vAlign w:val="center"/>
          </w:tcPr>
          <w:p w14:paraId="683D37C1"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79.51</w:t>
            </w:r>
          </w:p>
        </w:tc>
        <w:tc>
          <w:tcPr>
            <w:tcW w:w="941" w:type="dxa"/>
            <w:tcBorders>
              <w:top w:val="single" w:sz="8" w:space="0" w:color="auto"/>
              <w:left w:val="single" w:sz="8" w:space="0" w:color="auto"/>
              <w:bottom w:val="single" w:sz="8" w:space="0" w:color="auto"/>
              <w:right w:val="nil"/>
            </w:tcBorders>
            <w:vAlign w:val="center"/>
          </w:tcPr>
          <w:p w14:paraId="0F90DFFA"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9.951</w:t>
            </w:r>
          </w:p>
        </w:tc>
        <w:tc>
          <w:tcPr>
            <w:tcW w:w="916" w:type="dxa"/>
            <w:tcBorders>
              <w:top w:val="single" w:sz="8" w:space="0" w:color="auto"/>
              <w:left w:val="single" w:sz="8" w:space="0" w:color="auto"/>
              <w:bottom w:val="single" w:sz="8" w:space="0" w:color="auto"/>
              <w:right w:val="single" w:sz="8" w:space="0" w:color="auto"/>
            </w:tcBorders>
            <w:vAlign w:val="center"/>
          </w:tcPr>
          <w:p w14:paraId="43ED2CC6"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0.000</w:t>
            </w:r>
          </w:p>
        </w:tc>
        <w:tc>
          <w:tcPr>
            <w:tcW w:w="716" w:type="dxa"/>
            <w:tcBorders>
              <w:top w:val="single" w:sz="8" w:space="0" w:color="auto"/>
              <w:left w:val="single" w:sz="8" w:space="0" w:color="auto"/>
              <w:bottom w:val="single" w:sz="8" w:space="0" w:color="auto"/>
              <w:right w:val="single" w:sz="8" w:space="0" w:color="auto"/>
            </w:tcBorders>
            <w:vAlign w:val="center"/>
          </w:tcPr>
          <w:p w14:paraId="7CDB6F2F"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2</w:t>
            </w:r>
          </w:p>
        </w:tc>
      </w:tr>
      <w:tr w:rsidR="00AE5E6C" w:rsidRPr="00164238" w14:paraId="6259E9A4" w14:textId="77777777" w:rsidTr="00682CBF">
        <w:trPr>
          <w:trHeight w:val="675"/>
        </w:trPr>
        <w:tc>
          <w:tcPr>
            <w:tcW w:w="335" w:type="dxa"/>
            <w:tcBorders>
              <w:top w:val="single" w:sz="8" w:space="0" w:color="auto"/>
              <w:left w:val="single" w:sz="8" w:space="0" w:color="auto"/>
              <w:bottom w:val="single" w:sz="8" w:space="0" w:color="auto"/>
              <w:right w:val="double" w:sz="10" w:space="0" w:color="auto"/>
            </w:tcBorders>
          </w:tcPr>
          <w:p w14:paraId="43C04CD1" w14:textId="77777777" w:rsidR="005633F5" w:rsidRPr="00164238" w:rsidRDefault="005633F5" w:rsidP="00682CBF">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3</w:t>
            </w:r>
          </w:p>
        </w:tc>
        <w:tc>
          <w:tcPr>
            <w:tcW w:w="3574" w:type="dxa"/>
            <w:tcBorders>
              <w:top w:val="single" w:sz="8" w:space="0" w:color="auto"/>
              <w:left w:val="single" w:sz="8" w:space="0" w:color="auto"/>
              <w:bottom w:val="single" w:sz="8" w:space="0" w:color="auto"/>
              <w:right w:val="nil"/>
            </w:tcBorders>
            <w:vAlign w:val="bottom"/>
          </w:tcPr>
          <w:p w14:paraId="434FB9E7" w14:textId="77777777" w:rsidR="005633F5" w:rsidRPr="00164238" w:rsidRDefault="005633F5" w:rsidP="00682CBF">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The use of AI tools contributes to internal auditing in the proper application of governance mechanisms.</w:t>
            </w:r>
          </w:p>
        </w:tc>
        <w:tc>
          <w:tcPr>
            <w:tcW w:w="817" w:type="dxa"/>
            <w:tcBorders>
              <w:top w:val="single" w:sz="8" w:space="0" w:color="auto"/>
              <w:left w:val="single" w:sz="8" w:space="0" w:color="auto"/>
              <w:bottom w:val="single" w:sz="8" w:space="0" w:color="auto"/>
              <w:right w:val="nil"/>
            </w:tcBorders>
            <w:vAlign w:val="center"/>
          </w:tcPr>
          <w:p w14:paraId="649BB3CC"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3.90</w:t>
            </w:r>
          </w:p>
        </w:tc>
        <w:tc>
          <w:tcPr>
            <w:tcW w:w="833" w:type="dxa"/>
            <w:tcBorders>
              <w:top w:val="single" w:sz="8" w:space="0" w:color="auto"/>
              <w:left w:val="single" w:sz="8" w:space="0" w:color="auto"/>
              <w:bottom w:val="single" w:sz="8" w:space="0" w:color="auto"/>
              <w:right w:val="nil"/>
            </w:tcBorders>
            <w:vAlign w:val="center"/>
          </w:tcPr>
          <w:p w14:paraId="444D93FE"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0.591</w:t>
            </w:r>
          </w:p>
        </w:tc>
        <w:tc>
          <w:tcPr>
            <w:tcW w:w="883" w:type="dxa"/>
            <w:tcBorders>
              <w:top w:val="single" w:sz="8" w:space="0" w:color="auto"/>
              <w:left w:val="single" w:sz="8" w:space="0" w:color="auto"/>
              <w:bottom w:val="single" w:sz="8" w:space="0" w:color="auto"/>
              <w:right w:val="nil"/>
            </w:tcBorders>
            <w:vAlign w:val="center"/>
          </w:tcPr>
          <w:p w14:paraId="6F334CEA"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78.00</w:t>
            </w:r>
          </w:p>
        </w:tc>
        <w:tc>
          <w:tcPr>
            <w:tcW w:w="941" w:type="dxa"/>
            <w:tcBorders>
              <w:top w:val="single" w:sz="8" w:space="0" w:color="auto"/>
              <w:left w:val="single" w:sz="8" w:space="0" w:color="auto"/>
              <w:bottom w:val="single" w:sz="8" w:space="0" w:color="auto"/>
              <w:right w:val="nil"/>
            </w:tcBorders>
            <w:vAlign w:val="center"/>
          </w:tcPr>
          <w:p w14:paraId="1E1A9E74"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9.639</w:t>
            </w:r>
          </w:p>
        </w:tc>
        <w:tc>
          <w:tcPr>
            <w:tcW w:w="916" w:type="dxa"/>
            <w:tcBorders>
              <w:top w:val="single" w:sz="8" w:space="0" w:color="auto"/>
              <w:left w:val="single" w:sz="8" w:space="0" w:color="auto"/>
              <w:bottom w:val="single" w:sz="8" w:space="0" w:color="auto"/>
              <w:right w:val="single" w:sz="8" w:space="0" w:color="auto"/>
            </w:tcBorders>
            <w:vAlign w:val="center"/>
          </w:tcPr>
          <w:p w14:paraId="7E3D7BEA"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0.000</w:t>
            </w:r>
          </w:p>
        </w:tc>
        <w:tc>
          <w:tcPr>
            <w:tcW w:w="716" w:type="dxa"/>
            <w:tcBorders>
              <w:top w:val="single" w:sz="8" w:space="0" w:color="auto"/>
              <w:left w:val="single" w:sz="8" w:space="0" w:color="auto"/>
              <w:bottom w:val="single" w:sz="8" w:space="0" w:color="auto"/>
              <w:right w:val="single" w:sz="8" w:space="0" w:color="auto"/>
            </w:tcBorders>
            <w:vAlign w:val="center"/>
          </w:tcPr>
          <w:p w14:paraId="17C7AD8E"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6</w:t>
            </w:r>
          </w:p>
        </w:tc>
      </w:tr>
      <w:tr w:rsidR="00AE5E6C" w:rsidRPr="00164238" w14:paraId="19DA6969" w14:textId="77777777" w:rsidTr="00682CBF">
        <w:trPr>
          <w:trHeight w:val="675"/>
        </w:trPr>
        <w:tc>
          <w:tcPr>
            <w:tcW w:w="335" w:type="dxa"/>
            <w:tcBorders>
              <w:top w:val="single" w:sz="8" w:space="0" w:color="auto"/>
              <w:left w:val="single" w:sz="8" w:space="0" w:color="auto"/>
              <w:bottom w:val="single" w:sz="8" w:space="0" w:color="auto"/>
              <w:right w:val="double" w:sz="10" w:space="0" w:color="auto"/>
            </w:tcBorders>
          </w:tcPr>
          <w:p w14:paraId="2E65163D" w14:textId="77777777" w:rsidR="005633F5" w:rsidRPr="00164238" w:rsidRDefault="005633F5" w:rsidP="00682CBF">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4</w:t>
            </w:r>
          </w:p>
        </w:tc>
        <w:tc>
          <w:tcPr>
            <w:tcW w:w="3574" w:type="dxa"/>
            <w:tcBorders>
              <w:top w:val="single" w:sz="8" w:space="0" w:color="auto"/>
              <w:left w:val="single" w:sz="8" w:space="0" w:color="auto"/>
              <w:bottom w:val="single" w:sz="8" w:space="0" w:color="auto"/>
              <w:right w:val="nil"/>
            </w:tcBorders>
            <w:vAlign w:val="bottom"/>
          </w:tcPr>
          <w:p w14:paraId="7712FDF2" w14:textId="77777777" w:rsidR="005633F5" w:rsidRPr="00164238" w:rsidRDefault="005633F5" w:rsidP="00682CBF">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The use of AI technologies in the internal audit process contributes to the activation of the role of governance by assessing and achieving accountability, and instilling confidence in management processes and financial reporting.</w:t>
            </w:r>
          </w:p>
        </w:tc>
        <w:tc>
          <w:tcPr>
            <w:tcW w:w="817" w:type="dxa"/>
            <w:tcBorders>
              <w:top w:val="single" w:sz="8" w:space="0" w:color="auto"/>
              <w:left w:val="single" w:sz="8" w:space="0" w:color="auto"/>
              <w:bottom w:val="single" w:sz="8" w:space="0" w:color="auto"/>
              <w:right w:val="nil"/>
            </w:tcBorders>
            <w:vAlign w:val="center"/>
          </w:tcPr>
          <w:p w14:paraId="2EA51A50"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3.98</w:t>
            </w:r>
          </w:p>
        </w:tc>
        <w:tc>
          <w:tcPr>
            <w:tcW w:w="833" w:type="dxa"/>
            <w:tcBorders>
              <w:top w:val="single" w:sz="8" w:space="0" w:color="auto"/>
              <w:left w:val="single" w:sz="8" w:space="0" w:color="auto"/>
              <w:bottom w:val="single" w:sz="8" w:space="0" w:color="auto"/>
              <w:right w:val="nil"/>
            </w:tcBorders>
            <w:vAlign w:val="center"/>
          </w:tcPr>
          <w:p w14:paraId="0EEF2A09"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0.660</w:t>
            </w:r>
          </w:p>
        </w:tc>
        <w:tc>
          <w:tcPr>
            <w:tcW w:w="883" w:type="dxa"/>
            <w:tcBorders>
              <w:top w:val="single" w:sz="8" w:space="0" w:color="auto"/>
              <w:left w:val="single" w:sz="8" w:space="0" w:color="auto"/>
              <w:bottom w:val="single" w:sz="8" w:space="0" w:color="auto"/>
              <w:right w:val="nil"/>
            </w:tcBorders>
            <w:vAlign w:val="center"/>
          </w:tcPr>
          <w:p w14:paraId="082C4CE0"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79.50</w:t>
            </w:r>
          </w:p>
        </w:tc>
        <w:tc>
          <w:tcPr>
            <w:tcW w:w="941" w:type="dxa"/>
            <w:tcBorders>
              <w:top w:val="single" w:sz="8" w:space="0" w:color="auto"/>
              <w:left w:val="single" w:sz="8" w:space="0" w:color="auto"/>
              <w:bottom w:val="single" w:sz="8" w:space="0" w:color="auto"/>
              <w:right w:val="nil"/>
            </w:tcBorders>
            <w:vAlign w:val="center"/>
          </w:tcPr>
          <w:p w14:paraId="268DEA4B"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9.347</w:t>
            </w:r>
          </w:p>
        </w:tc>
        <w:tc>
          <w:tcPr>
            <w:tcW w:w="916" w:type="dxa"/>
            <w:tcBorders>
              <w:top w:val="single" w:sz="8" w:space="0" w:color="auto"/>
              <w:left w:val="single" w:sz="8" w:space="0" w:color="auto"/>
              <w:bottom w:val="single" w:sz="8" w:space="0" w:color="auto"/>
              <w:right w:val="single" w:sz="8" w:space="0" w:color="auto"/>
            </w:tcBorders>
            <w:vAlign w:val="center"/>
          </w:tcPr>
          <w:p w14:paraId="2D620C93"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0.000</w:t>
            </w:r>
          </w:p>
        </w:tc>
        <w:tc>
          <w:tcPr>
            <w:tcW w:w="716" w:type="dxa"/>
            <w:tcBorders>
              <w:top w:val="single" w:sz="8" w:space="0" w:color="auto"/>
              <w:left w:val="single" w:sz="8" w:space="0" w:color="auto"/>
              <w:bottom w:val="single" w:sz="8" w:space="0" w:color="auto"/>
              <w:right w:val="single" w:sz="8" w:space="0" w:color="auto"/>
            </w:tcBorders>
            <w:vAlign w:val="center"/>
          </w:tcPr>
          <w:p w14:paraId="25892843"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2</w:t>
            </w:r>
          </w:p>
        </w:tc>
      </w:tr>
      <w:tr w:rsidR="00AE5E6C" w:rsidRPr="00164238" w14:paraId="55B5E9B2" w14:textId="77777777" w:rsidTr="00682CBF">
        <w:trPr>
          <w:trHeight w:val="675"/>
        </w:trPr>
        <w:tc>
          <w:tcPr>
            <w:tcW w:w="335" w:type="dxa"/>
            <w:tcBorders>
              <w:top w:val="single" w:sz="8" w:space="0" w:color="auto"/>
              <w:left w:val="single" w:sz="8" w:space="0" w:color="auto"/>
              <w:bottom w:val="single" w:sz="8" w:space="0" w:color="auto"/>
              <w:right w:val="double" w:sz="10" w:space="0" w:color="auto"/>
            </w:tcBorders>
          </w:tcPr>
          <w:p w14:paraId="6B0A972A" w14:textId="77777777" w:rsidR="005633F5" w:rsidRPr="00164238" w:rsidRDefault="005633F5" w:rsidP="00682CBF">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5</w:t>
            </w:r>
          </w:p>
        </w:tc>
        <w:tc>
          <w:tcPr>
            <w:tcW w:w="3574" w:type="dxa"/>
            <w:tcBorders>
              <w:top w:val="single" w:sz="8" w:space="0" w:color="auto"/>
              <w:left w:val="single" w:sz="8" w:space="0" w:color="auto"/>
              <w:bottom w:val="single" w:sz="8" w:space="0" w:color="auto"/>
              <w:right w:val="nil"/>
            </w:tcBorders>
            <w:vAlign w:val="bottom"/>
          </w:tcPr>
          <w:p w14:paraId="1056250A" w14:textId="77777777" w:rsidR="005633F5" w:rsidRPr="00164238" w:rsidRDefault="005633F5" w:rsidP="00682CBF">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The use of AI tools in the internal audit process helps add value to the organization through the functions it is now performing under the governance system.</w:t>
            </w:r>
          </w:p>
        </w:tc>
        <w:tc>
          <w:tcPr>
            <w:tcW w:w="817" w:type="dxa"/>
            <w:tcBorders>
              <w:top w:val="single" w:sz="8" w:space="0" w:color="auto"/>
              <w:left w:val="single" w:sz="8" w:space="0" w:color="auto"/>
              <w:bottom w:val="single" w:sz="8" w:space="0" w:color="auto"/>
              <w:right w:val="nil"/>
            </w:tcBorders>
            <w:vAlign w:val="center"/>
          </w:tcPr>
          <w:p w14:paraId="53D7B0FF"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3.95</w:t>
            </w:r>
          </w:p>
        </w:tc>
        <w:tc>
          <w:tcPr>
            <w:tcW w:w="833" w:type="dxa"/>
            <w:tcBorders>
              <w:top w:val="single" w:sz="8" w:space="0" w:color="auto"/>
              <w:left w:val="single" w:sz="8" w:space="0" w:color="auto"/>
              <w:bottom w:val="single" w:sz="8" w:space="0" w:color="auto"/>
              <w:right w:val="nil"/>
            </w:tcBorders>
            <w:vAlign w:val="center"/>
          </w:tcPr>
          <w:p w14:paraId="14AE019A"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0.597</w:t>
            </w:r>
          </w:p>
        </w:tc>
        <w:tc>
          <w:tcPr>
            <w:tcW w:w="883" w:type="dxa"/>
            <w:tcBorders>
              <w:top w:val="single" w:sz="8" w:space="0" w:color="auto"/>
              <w:left w:val="single" w:sz="8" w:space="0" w:color="auto"/>
              <w:bottom w:val="single" w:sz="8" w:space="0" w:color="auto"/>
              <w:right w:val="nil"/>
            </w:tcBorders>
            <w:vAlign w:val="center"/>
          </w:tcPr>
          <w:p w14:paraId="7280380D"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79.00</w:t>
            </w:r>
          </w:p>
        </w:tc>
        <w:tc>
          <w:tcPr>
            <w:tcW w:w="941" w:type="dxa"/>
            <w:tcBorders>
              <w:top w:val="single" w:sz="8" w:space="0" w:color="auto"/>
              <w:left w:val="single" w:sz="8" w:space="0" w:color="auto"/>
              <w:bottom w:val="single" w:sz="8" w:space="0" w:color="auto"/>
              <w:right w:val="nil"/>
            </w:tcBorders>
            <w:vAlign w:val="center"/>
          </w:tcPr>
          <w:p w14:paraId="3BF33306"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10.064</w:t>
            </w:r>
          </w:p>
        </w:tc>
        <w:tc>
          <w:tcPr>
            <w:tcW w:w="916" w:type="dxa"/>
            <w:tcBorders>
              <w:top w:val="single" w:sz="8" w:space="0" w:color="auto"/>
              <w:left w:val="single" w:sz="8" w:space="0" w:color="auto"/>
              <w:bottom w:val="single" w:sz="8" w:space="0" w:color="auto"/>
              <w:right w:val="single" w:sz="8" w:space="0" w:color="auto"/>
            </w:tcBorders>
            <w:vAlign w:val="center"/>
          </w:tcPr>
          <w:p w14:paraId="7BF94105"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0.000</w:t>
            </w:r>
          </w:p>
        </w:tc>
        <w:tc>
          <w:tcPr>
            <w:tcW w:w="716" w:type="dxa"/>
            <w:tcBorders>
              <w:top w:val="single" w:sz="8" w:space="0" w:color="auto"/>
              <w:left w:val="single" w:sz="8" w:space="0" w:color="auto"/>
              <w:bottom w:val="single" w:sz="8" w:space="0" w:color="auto"/>
              <w:right w:val="single" w:sz="8" w:space="0" w:color="auto"/>
            </w:tcBorders>
            <w:vAlign w:val="center"/>
          </w:tcPr>
          <w:p w14:paraId="244066D6"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5</w:t>
            </w:r>
          </w:p>
        </w:tc>
      </w:tr>
      <w:tr w:rsidR="00AE5E6C" w:rsidRPr="00164238" w14:paraId="784B55A4" w14:textId="77777777" w:rsidTr="00682CBF">
        <w:trPr>
          <w:trHeight w:val="675"/>
        </w:trPr>
        <w:tc>
          <w:tcPr>
            <w:tcW w:w="335" w:type="dxa"/>
            <w:tcBorders>
              <w:top w:val="single" w:sz="8" w:space="0" w:color="auto"/>
              <w:left w:val="single" w:sz="8" w:space="0" w:color="auto"/>
              <w:bottom w:val="single" w:sz="8" w:space="0" w:color="auto"/>
              <w:right w:val="double" w:sz="10" w:space="0" w:color="auto"/>
            </w:tcBorders>
          </w:tcPr>
          <w:p w14:paraId="3ED33638" w14:textId="77777777" w:rsidR="005633F5" w:rsidRPr="00164238" w:rsidRDefault="005633F5" w:rsidP="00682CBF">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6</w:t>
            </w:r>
          </w:p>
        </w:tc>
        <w:tc>
          <w:tcPr>
            <w:tcW w:w="3574" w:type="dxa"/>
            <w:tcBorders>
              <w:top w:val="single" w:sz="8" w:space="0" w:color="auto"/>
              <w:left w:val="single" w:sz="8" w:space="0" w:color="auto"/>
              <w:bottom w:val="single" w:sz="8" w:space="0" w:color="auto"/>
              <w:right w:val="nil"/>
            </w:tcBorders>
            <w:vAlign w:val="bottom"/>
          </w:tcPr>
          <w:p w14:paraId="47D3D30B" w14:textId="77777777" w:rsidR="005633F5" w:rsidRPr="00164238" w:rsidRDefault="005633F5" w:rsidP="00682CBF">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The use of AI technologies in internal audit is a key pillar to ensure an effective governance framework.</w:t>
            </w:r>
          </w:p>
        </w:tc>
        <w:tc>
          <w:tcPr>
            <w:tcW w:w="817" w:type="dxa"/>
            <w:tcBorders>
              <w:top w:val="single" w:sz="8" w:space="0" w:color="auto"/>
              <w:left w:val="single" w:sz="8" w:space="0" w:color="auto"/>
              <w:bottom w:val="single" w:sz="8" w:space="0" w:color="auto"/>
              <w:right w:val="nil"/>
            </w:tcBorders>
            <w:vAlign w:val="center"/>
          </w:tcPr>
          <w:p w14:paraId="24541887"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3.90</w:t>
            </w:r>
          </w:p>
        </w:tc>
        <w:tc>
          <w:tcPr>
            <w:tcW w:w="833" w:type="dxa"/>
            <w:tcBorders>
              <w:top w:val="single" w:sz="8" w:space="0" w:color="auto"/>
              <w:left w:val="single" w:sz="8" w:space="0" w:color="auto"/>
              <w:bottom w:val="single" w:sz="8" w:space="0" w:color="auto"/>
              <w:right w:val="nil"/>
            </w:tcBorders>
            <w:vAlign w:val="center"/>
          </w:tcPr>
          <w:p w14:paraId="493DAA1D"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0.545</w:t>
            </w:r>
          </w:p>
        </w:tc>
        <w:tc>
          <w:tcPr>
            <w:tcW w:w="883" w:type="dxa"/>
            <w:tcBorders>
              <w:top w:val="single" w:sz="8" w:space="0" w:color="auto"/>
              <w:left w:val="single" w:sz="8" w:space="0" w:color="auto"/>
              <w:bottom w:val="single" w:sz="8" w:space="0" w:color="auto"/>
              <w:right w:val="nil"/>
            </w:tcBorders>
            <w:vAlign w:val="center"/>
          </w:tcPr>
          <w:p w14:paraId="5DB407C7"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78.00</w:t>
            </w:r>
          </w:p>
        </w:tc>
        <w:tc>
          <w:tcPr>
            <w:tcW w:w="941" w:type="dxa"/>
            <w:tcBorders>
              <w:top w:val="single" w:sz="8" w:space="0" w:color="auto"/>
              <w:left w:val="single" w:sz="8" w:space="0" w:color="auto"/>
              <w:bottom w:val="single" w:sz="8" w:space="0" w:color="auto"/>
              <w:right w:val="nil"/>
            </w:tcBorders>
            <w:vAlign w:val="center"/>
          </w:tcPr>
          <w:p w14:paraId="5E9B570D"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10.437</w:t>
            </w:r>
          </w:p>
        </w:tc>
        <w:tc>
          <w:tcPr>
            <w:tcW w:w="916" w:type="dxa"/>
            <w:tcBorders>
              <w:top w:val="single" w:sz="8" w:space="0" w:color="auto"/>
              <w:left w:val="single" w:sz="8" w:space="0" w:color="auto"/>
              <w:bottom w:val="single" w:sz="8" w:space="0" w:color="auto"/>
              <w:right w:val="single" w:sz="8" w:space="0" w:color="auto"/>
            </w:tcBorders>
            <w:vAlign w:val="center"/>
          </w:tcPr>
          <w:p w14:paraId="08676DEF"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0.000</w:t>
            </w:r>
          </w:p>
        </w:tc>
        <w:tc>
          <w:tcPr>
            <w:tcW w:w="716" w:type="dxa"/>
            <w:tcBorders>
              <w:top w:val="single" w:sz="8" w:space="0" w:color="auto"/>
              <w:left w:val="single" w:sz="8" w:space="0" w:color="auto"/>
              <w:bottom w:val="single" w:sz="8" w:space="0" w:color="auto"/>
              <w:right w:val="single" w:sz="8" w:space="0" w:color="auto"/>
            </w:tcBorders>
            <w:vAlign w:val="center"/>
          </w:tcPr>
          <w:p w14:paraId="02F125FF"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6</w:t>
            </w:r>
          </w:p>
        </w:tc>
      </w:tr>
      <w:tr w:rsidR="00AE5E6C" w:rsidRPr="00164238" w14:paraId="2338BA8D" w14:textId="77777777" w:rsidTr="00682CBF">
        <w:trPr>
          <w:trHeight w:val="90"/>
        </w:trPr>
        <w:tc>
          <w:tcPr>
            <w:tcW w:w="335" w:type="dxa"/>
            <w:tcBorders>
              <w:top w:val="single" w:sz="8" w:space="0" w:color="auto"/>
              <w:left w:val="single" w:sz="8" w:space="0" w:color="auto"/>
              <w:bottom w:val="single" w:sz="8" w:space="0" w:color="auto"/>
              <w:right w:val="double" w:sz="10" w:space="0" w:color="auto"/>
            </w:tcBorders>
          </w:tcPr>
          <w:p w14:paraId="7D2162A6" w14:textId="77777777" w:rsidR="005633F5" w:rsidRPr="00164238" w:rsidRDefault="005633F5" w:rsidP="00682CBF">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7</w:t>
            </w:r>
          </w:p>
        </w:tc>
        <w:tc>
          <w:tcPr>
            <w:tcW w:w="3574" w:type="dxa"/>
            <w:tcBorders>
              <w:top w:val="single" w:sz="8" w:space="0" w:color="auto"/>
              <w:left w:val="single" w:sz="8" w:space="0" w:color="auto"/>
              <w:bottom w:val="single" w:sz="8" w:space="0" w:color="auto"/>
              <w:right w:val="nil"/>
            </w:tcBorders>
            <w:vAlign w:val="bottom"/>
          </w:tcPr>
          <w:p w14:paraId="04D264A2" w14:textId="77777777" w:rsidR="005633F5" w:rsidRPr="00164238" w:rsidRDefault="005633F5" w:rsidP="00682CBF">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 xml:space="preserve">The use of AI tools in the internal audit process helps support the governance </w:t>
            </w:r>
            <w:r w:rsidRPr="00164238">
              <w:rPr>
                <w:rFonts w:ascii="Times New Roman" w:hAnsi="Times New Roman" w:cs="Times New Roman"/>
                <w:color w:val="000000" w:themeColor="text1"/>
                <w:sz w:val="20"/>
                <w:szCs w:val="20"/>
                <w:lang w:val="en"/>
              </w:rPr>
              <w:lastRenderedPageBreak/>
              <w:t>system to help your organization's management exploit its resources efficiently.</w:t>
            </w:r>
          </w:p>
        </w:tc>
        <w:tc>
          <w:tcPr>
            <w:tcW w:w="817" w:type="dxa"/>
            <w:tcBorders>
              <w:top w:val="single" w:sz="8" w:space="0" w:color="auto"/>
              <w:left w:val="single" w:sz="8" w:space="0" w:color="auto"/>
              <w:bottom w:val="single" w:sz="8" w:space="0" w:color="auto"/>
              <w:right w:val="nil"/>
            </w:tcBorders>
            <w:vAlign w:val="center"/>
          </w:tcPr>
          <w:p w14:paraId="166B44BD"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lastRenderedPageBreak/>
              <w:t>3.98</w:t>
            </w:r>
          </w:p>
        </w:tc>
        <w:tc>
          <w:tcPr>
            <w:tcW w:w="833" w:type="dxa"/>
            <w:tcBorders>
              <w:top w:val="single" w:sz="8" w:space="0" w:color="auto"/>
              <w:left w:val="single" w:sz="8" w:space="0" w:color="auto"/>
              <w:bottom w:val="single" w:sz="8" w:space="0" w:color="auto"/>
              <w:right w:val="nil"/>
            </w:tcBorders>
            <w:vAlign w:val="center"/>
          </w:tcPr>
          <w:p w14:paraId="2C38CEBE"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0.660</w:t>
            </w:r>
          </w:p>
        </w:tc>
        <w:tc>
          <w:tcPr>
            <w:tcW w:w="883" w:type="dxa"/>
            <w:tcBorders>
              <w:top w:val="single" w:sz="8" w:space="0" w:color="auto"/>
              <w:left w:val="single" w:sz="8" w:space="0" w:color="auto"/>
              <w:bottom w:val="single" w:sz="8" w:space="0" w:color="auto"/>
              <w:right w:val="nil"/>
            </w:tcBorders>
            <w:vAlign w:val="center"/>
          </w:tcPr>
          <w:p w14:paraId="1A601ED3"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79.50</w:t>
            </w:r>
          </w:p>
        </w:tc>
        <w:tc>
          <w:tcPr>
            <w:tcW w:w="941" w:type="dxa"/>
            <w:tcBorders>
              <w:top w:val="single" w:sz="8" w:space="0" w:color="auto"/>
              <w:left w:val="single" w:sz="8" w:space="0" w:color="auto"/>
              <w:bottom w:val="single" w:sz="8" w:space="0" w:color="auto"/>
              <w:right w:val="nil"/>
            </w:tcBorders>
            <w:vAlign w:val="center"/>
          </w:tcPr>
          <w:p w14:paraId="748B4949"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9.347</w:t>
            </w:r>
          </w:p>
        </w:tc>
        <w:tc>
          <w:tcPr>
            <w:tcW w:w="916" w:type="dxa"/>
            <w:tcBorders>
              <w:top w:val="single" w:sz="8" w:space="0" w:color="auto"/>
              <w:left w:val="single" w:sz="8" w:space="0" w:color="auto"/>
              <w:bottom w:val="single" w:sz="8" w:space="0" w:color="auto"/>
              <w:right w:val="single" w:sz="8" w:space="0" w:color="auto"/>
            </w:tcBorders>
            <w:vAlign w:val="center"/>
          </w:tcPr>
          <w:p w14:paraId="1E875E0C"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0.000</w:t>
            </w:r>
          </w:p>
        </w:tc>
        <w:tc>
          <w:tcPr>
            <w:tcW w:w="716" w:type="dxa"/>
            <w:tcBorders>
              <w:top w:val="single" w:sz="8" w:space="0" w:color="auto"/>
              <w:left w:val="single" w:sz="8" w:space="0" w:color="auto"/>
              <w:bottom w:val="single" w:sz="8" w:space="0" w:color="auto"/>
              <w:right w:val="single" w:sz="8" w:space="0" w:color="auto"/>
            </w:tcBorders>
            <w:vAlign w:val="center"/>
          </w:tcPr>
          <w:p w14:paraId="4A2FB4D2"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2</w:t>
            </w:r>
          </w:p>
        </w:tc>
      </w:tr>
      <w:tr w:rsidR="00AE5E6C" w:rsidRPr="00164238" w14:paraId="5C431D53" w14:textId="77777777" w:rsidTr="00682CBF">
        <w:trPr>
          <w:trHeight w:val="90"/>
        </w:trPr>
        <w:tc>
          <w:tcPr>
            <w:tcW w:w="3909" w:type="dxa"/>
            <w:gridSpan w:val="2"/>
            <w:tcBorders>
              <w:top w:val="single" w:sz="8" w:space="0" w:color="auto"/>
              <w:left w:val="single" w:sz="8" w:space="0" w:color="auto"/>
              <w:bottom w:val="double" w:sz="12" w:space="0" w:color="auto"/>
              <w:right w:val="double" w:sz="10" w:space="0" w:color="auto"/>
            </w:tcBorders>
          </w:tcPr>
          <w:p w14:paraId="52597A07"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lastRenderedPageBreak/>
              <w:t>Total paragraphs</w:t>
            </w:r>
          </w:p>
        </w:tc>
        <w:tc>
          <w:tcPr>
            <w:tcW w:w="817" w:type="dxa"/>
            <w:tcBorders>
              <w:top w:val="single" w:sz="8" w:space="0" w:color="auto"/>
              <w:left w:val="single" w:sz="8" w:space="0" w:color="auto"/>
              <w:bottom w:val="double" w:sz="12" w:space="0" w:color="auto"/>
              <w:right w:val="nil"/>
            </w:tcBorders>
          </w:tcPr>
          <w:p w14:paraId="4DAB5155"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bCs/>
                <w:color w:val="000000" w:themeColor="text1"/>
                <w:sz w:val="20"/>
                <w:szCs w:val="20"/>
                <w:lang w:val="en"/>
              </w:rPr>
              <w:t>3.96</w:t>
            </w:r>
          </w:p>
        </w:tc>
        <w:tc>
          <w:tcPr>
            <w:tcW w:w="833" w:type="dxa"/>
            <w:tcBorders>
              <w:top w:val="single" w:sz="8" w:space="0" w:color="auto"/>
              <w:left w:val="single" w:sz="8" w:space="0" w:color="auto"/>
              <w:bottom w:val="double" w:sz="12" w:space="0" w:color="auto"/>
              <w:right w:val="nil"/>
            </w:tcBorders>
          </w:tcPr>
          <w:p w14:paraId="405C0E35"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bCs/>
                <w:color w:val="000000" w:themeColor="text1"/>
                <w:sz w:val="20"/>
                <w:szCs w:val="20"/>
                <w:lang w:val="en"/>
              </w:rPr>
              <w:t>0.410</w:t>
            </w:r>
          </w:p>
        </w:tc>
        <w:tc>
          <w:tcPr>
            <w:tcW w:w="883" w:type="dxa"/>
            <w:tcBorders>
              <w:top w:val="single" w:sz="8" w:space="0" w:color="auto"/>
              <w:left w:val="single" w:sz="8" w:space="0" w:color="auto"/>
              <w:bottom w:val="double" w:sz="12" w:space="0" w:color="auto"/>
              <w:right w:val="nil"/>
            </w:tcBorders>
            <w:vAlign w:val="bottom"/>
          </w:tcPr>
          <w:p w14:paraId="2699E969"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bCs/>
                <w:color w:val="000000" w:themeColor="text1"/>
                <w:sz w:val="20"/>
                <w:szCs w:val="20"/>
                <w:lang w:val="en"/>
              </w:rPr>
              <w:t>79.21</w:t>
            </w:r>
          </w:p>
        </w:tc>
        <w:tc>
          <w:tcPr>
            <w:tcW w:w="941" w:type="dxa"/>
            <w:tcBorders>
              <w:top w:val="single" w:sz="8" w:space="0" w:color="auto"/>
              <w:left w:val="single" w:sz="8" w:space="0" w:color="auto"/>
              <w:bottom w:val="double" w:sz="12" w:space="0" w:color="auto"/>
              <w:right w:val="nil"/>
            </w:tcBorders>
          </w:tcPr>
          <w:p w14:paraId="799C3908"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bCs/>
                <w:color w:val="000000" w:themeColor="text1"/>
                <w:sz w:val="20"/>
                <w:szCs w:val="20"/>
                <w:lang w:val="en"/>
              </w:rPr>
              <w:t>14.803</w:t>
            </w:r>
          </w:p>
        </w:tc>
        <w:tc>
          <w:tcPr>
            <w:tcW w:w="916" w:type="dxa"/>
            <w:tcBorders>
              <w:top w:val="single" w:sz="8" w:space="0" w:color="auto"/>
              <w:left w:val="single" w:sz="8" w:space="0" w:color="auto"/>
              <w:bottom w:val="double" w:sz="12" w:space="0" w:color="auto"/>
              <w:right w:val="single" w:sz="8" w:space="0" w:color="auto"/>
            </w:tcBorders>
            <w:vAlign w:val="center"/>
          </w:tcPr>
          <w:p w14:paraId="7944EA94"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bCs/>
                <w:color w:val="000000" w:themeColor="text1"/>
                <w:sz w:val="20"/>
                <w:szCs w:val="20"/>
                <w:lang w:val="en"/>
              </w:rPr>
              <w:t>0.001</w:t>
            </w:r>
          </w:p>
        </w:tc>
        <w:tc>
          <w:tcPr>
            <w:tcW w:w="716" w:type="dxa"/>
            <w:tcBorders>
              <w:top w:val="single" w:sz="8" w:space="0" w:color="auto"/>
              <w:left w:val="single" w:sz="8" w:space="0" w:color="auto"/>
              <w:bottom w:val="single" w:sz="8" w:space="0" w:color="auto"/>
              <w:right w:val="single" w:sz="8" w:space="0" w:color="auto"/>
            </w:tcBorders>
            <w:vAlign w:val="center"/>
          </w:tcPr>
          <w:p w14:paraId="63E82793" w14:textId="77777777" w:rsidR="005633F5" w:rsidRPr="00164238" w:rsidRDefault="005633F5" w:rsidP="00682CBF">
            <w:pPr>
              <w:spacing w:after="0" w:line="240" w:lineRule="auto"/>
              <w:jc w:val="center"/>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lang w:val="en"/>
              </w:rPr>
              <w:t>-</w:t>
            </w:r>
          </w:p>
        </w:tc>
      </w:tr>
    </w:tbl>
    <w:p w14:paraId="15C8DAB6"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The above table shows the following:</w:t>
      </w:r>
    </w:p>
    <w:p w14:paraId="557B3EA0" w14:textId="77777777" w:rsidR="005633F5" w:rsidRPr="00164238" w:rsidRDefault="005633F5" w:rsidP="006F033D">
      <w:pPr>
        <w:spacing w:after="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 The result of approval of the third area as the average of the answers in the paragraphs of the hypothesis ranges from (3.90) to (4.05).</w:t>
      </w:r>
    </w:p>
    <w:p w14:paraId="741E570A" w14:textId="77777777" w:rsidR="005633F5" w:rsidRPr="00164238" w:rsidRDefault="005633F5" w:rsidP="006F033D">
      <w:pPr>
        <w:spacing w:after="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 Paragraph (1), which states that "the use of AI tools in the internal audit process requires attention to technical and administrative governance and the promotion of transparency and responsibility as its principles", has received the highest average account of (4.05) and relative weight (81.00%), while the two paragraphs, paragraph 3, which states that "The use of AI tools contributes to the internal audit process in the proper application of governance mechanisms" and paragraph (6), which states that "the use of AI techniques in the internal audit process is one of the prerequisites for ensuring an effective governance framework" with the lowest computational average of (3.90) and relative weight (79.00%).</w:t>
      </w:r>
    </w:p>
    <w:p w14:paraId="4AFE0F72" w14:textId="77777777" w:rsidR="005633F5" w:rsidRPr="00164238" w:rsidRDefault="005633F5" w:rsidP="006F033D">
      <w:pPr>
        <w:spacing w:after="0" w:line="240" w:lineRule="auto"/>
        <w:ind w:firstLine="708"/>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 The arithmetic average for all the hypothesis paragraphs (3.96) and a relative weight of 79.21.</w:t>
      </w:r>
    </w:p>
    <w:p w14:paraId="0FA36926"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b/>
          <w:color w:val="000000" w:themeColor="text1"/>
          <w:sz w:val="20"/>
          <w:szCs w:val="20"/>
          <w:u w:val="single"/>
          <w:lang w:val="en"/>
        </w:rPr>
        <w:t>The result of the hypothesis</w:t>
      </w:r>
      <w:r w:rsidRPr="00164238">
        <w:rPr>
          <w:rFonts w:ascii="Times New Roman" w:hAnsi="Times New Roman" w:cs="Times New Roman"/>
          <w:color w:val="000000" w:themeColor="text1"/>
          <w:sz w:val="20"/>
          <w:szCs w:val="20"/>
          <w:u w:val="single"/>
          <w:lang w:val="en"/>
        </w:rPr>
        <w:t xml:space="preserve"> test:</w:t>
      </w:r>
      <w:r w:rsidRPr="00164238">
        <w:rPr>
          <w:rFonts w:ascii="Times New Roman" w:hAnsi="Times New Roman" w:cs="Times New Roman"/>
          <w:color w:val="000000" w:themeColor="text1"/>
          <w:sz w:val="20"/>
          <w:szCs w:val="20"/>
          <w:lang w:val="en"/>
        </w:rPr>
        <w:t xml:space="preserve"> From the above it can be concluded that  (T)  is less scheduled than the calculated (T),  which means rejecting the nihilistic hypothesis and accepting the alternative hypothesis that "there is an effect on the use of artificial intelligence in the internal audit process to strengthen governance procedures in the Palestinian government sector."</w:t>
      </w:r>
    </w:p>
    <w:p w14:paraId="0B059D64"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r w:rsidRPr="00164238">
        <w:rPr>
          <w:rFonts w:ascii="Times New Roman" w:hAnsi="Times New Roman" w:cs="Times New Roman"/>
          <w:color w:val="000000" w:themeColor="text1"/>
          <w:sz w:val="20"/>
          <w:szCs w:val="20"/>
          <w:lang w:val="en"/>
        </w:rPr>
        <w:t xml:space="preserve">The researchers believe as a result of the hypothesis test that the current study is not consistent with the results of any previous study (Mardini, Alkurdi, 2021), (Albawwata, Al Frija, 2021), (ucoglu, 2020), Munoko, et al, 2020), (AlJaber, 2020), (Ghanoum, Alaba, 2020), (Samrai, Shiraida, 2020), (Tasit, Araban, 2019), (Anbar, Mohammed, 2016), (Osman, Mahmoud, 2012). </w:t>
      </w:r>
    </w:p>
    <w:p w14:paraId="7173BCD9" w14:textId="77777777" w:rsidR="005633F5" w:rsidRPr="00164238" w:rsidRDefault="005633F5" w:rsidP="005633F5">
      <w:pPr>
        <w:spacing w:after="0" w:line="240" w:lineRule="auto"/>
        <w:jc w:val="both"/>
        <w:rPr>
          <w:rFonts w:ascii="Times New Roman" w:eastAsia="Simplified Arabic" w:hAnsi="Times New Roman" w:cs="Times New Roman"/>
          <w:color w:val="000000" w:themeColor="text1"/>
          <w:sz w:val="20"/>
          <w:szCs w:val="20"/>
        </w:rPr>
      </w:pPr>
    </w:p>
    <w:p w14:paraId="0020C187" w14:textId="77777777" w:rsidR="005633F5" w:rsidRPr="00164238" w:rsidRDefault="005633F5" w:rsidP="005633F5">
      <w:pPr>
        <w:spacing w:after="0" w:line="240" w:lineRule="auto"/>
        <w:jc w:val="lowKashida"/>
        <w:rPr>
          <w:rFonts w:ascii="Times New Roman" w:eastAsia="Times New Roman" w:hAnsi="Times New Roman" w:cs="Times New Roman"/>
          <w:b/>
          <w:bCs/>
          <w:color w:val="000000" w:themeColor="text1"/>
          <w:sz w:val="20"/>
          <w:szCs w:val="20"/>
        </w:rPr>
      </w:pPr>
      <w:r w:rsidRPr="00164238">
        <w:rPr>
          <w:rFonts w:ascii="Times New Roman" w:eastAsia="Calibri" w:hAnsi="Times New Roman" w:cs="Times New Roman"/>
          <w:b/>
          <w:color w:val="000000" w:themeColor="text1"/>
          <w:sz w:val="20"/>
          <w:szCs w:val="20"/>
          <w:lang w:val="en"/>
        </w:rPr>
        <w:t>- Analysis of the measurement regression of the study variables:</w:t>
      </w:r>
    </w:p>
    <w:p w14:paraId="03AD12B7" w14:textId="77777777" w:rsidR="005633F5" w:rsidRPr="00164238" w:rsidRDefault="005633F5" w:rsidP="005633F5">
      <w:pPr>
        <w:spacing w:after="0" w:line="240" w:lineRule="auto"/>
        <w:jc w:val="lowKashida"/>
        <w:rPr>
          <w:rFonts w:ascii="Times New Roman" w:eastAsia="Times New Roman" w:hAnsi="Times New Roman" w:cs="Times New Roman"/>
          <w:b/>
          <w:bCs/>
          <w:color w:val="000000" w:themeColor="text1"/>
          <w:sz w:val="20"/>
          <w:szCs w:val="20"/>
        </w:rPr>
      </w:pPr>
      <w:r w:rsidRPr="00164238">
        <w:rPr>
          <w:rFonts w:ascii="Times New Roman" w:eastAsia="Calibri" w:hAnsi="Times New Roman" w:cs="Times New Roman"/>
          <w:b/>
          <w:color w:val="000000" w:themeColor="text1"/>
          <w:sz w:val="20"/>
          <w:szCs w:val="20"/>
        </w:rPr>
        <w:t xml:space="preserve">1. </w:t>
      </w:r>
      <w:r w:rsidRPr="00164238">
        <w:rPr>
          <w:rFonts w:ascii="Times New Roman" w:eastAsia="Calibri" w:hAnsi="Times New Roman" w:cs="Times New Roman"/>
          <w:b/>
          <w:color w:val="000000" w:themeColor="text1"/>
          <w:sz w:val="20"/>
          <w:szCs w:val="20"/>
          <w:lang w:val="en"/>
        </w:rPr>
        <w:t>Regression analysis of the first child variable: (Risk Management and Assessment).</w:t>
      </w:r>
    </w:p>
    <w:p w14:paraId="21B3B294" w14:textId="77777777" w:rsidR="005633F5" w:rsidRPr="00164238" w:rsidRDefault="005633F5" w:rsidP="005633F5">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Table (13) Slope Analysis of the Variable of the "Risk Management and Assessment"</w:t>
      </w:r>
    </w:p>
    <w:tbl>
      <w:tblPr>
        <w:tblW w:w="0" w:type="auto"/>
        <w:tblLayout w:type="fixed"/>
        <w:tblLook w:val="04A0" w:firstRow="1" w:lastRow="0" w:firstColumn="1" w:lastColumn="0" w:noHBand="0" w:noVBand="1"/>
      </w:tblPr>
      <w:tblGrid>
        <w:gridCol w:w="2235"/>
        <w:gridCol w:w="1417"/>
        <w:gridCol w:w="142"/>
        <w:gridCol w:w="992"/>
        <w:gridCol w:w="992"/>
        <w:gridCol w:w="709"/>
        <w:gridCol w:w="1276"/>
        <w:gridCol w:w="1276"/>
      </w:tblGrid>
      <w:tr w:rsidR="00AE5E6C" w:rsidRPr="00164238" w14:paraId="0F7D44CE" w14:textId="77777777" w:rsidTr="00682CBF">
        <w:trPr>
          <w:trHeight w:val="945"/>
        </w:trPr>
        <w:tc>
          <w:tcPr>
            <w:tcW w:w="2235" w:type="dxa"/>
            <w:vMerge w:val="restart"/>
            <w:tcBorders>
              <w:top w:val="single" w:sz="8" w:space="0" w:color="auto"/>
              <w:left w:val="single" w:sz="8" w:space="0" w:color="auto"/>
              <w:bottom w:val="single" w:sz="8" w:space="0" w:color="000000" w:themeColor="text1"/>
              <w:right w:val="single" w:sz="8" w:space="0" w:color="auto"/>
            </w:tcBorders>
            <w:shd w:val="clear" w:color="auto" w:fill="F2F2F2" w:themeFill="background1" w:themeFillShade="F2"/>
            <w:vAlign w:val="center"/>
          </w:tcPr>
          <w:p w14:paraId="05D68D2E"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Independent variables</w:t>
            </w:r>
          </w:p>
        </w:tc>
        <w:tc>
          <w:tcPr>
            <w:tcW w:w="1417" w:type="dxa"/>
            <w:vMerge w:val="restart"/>
            <w:tcBorders>
              <w:top w:val="single" w:sz="8" w:space="0" w:color="auto"/>
              <w:left w:val="single" w:sz="8" w:space="0" w:color="auto"/>
              <w:bottom w:val="single" w:sz="8" w:space="0" w:color="000000" w:themeColor="text1"/>
              <w:right w:val="nil"/>
            </w:tcBorders>
            <w:shd w:val="clear" w:color="auto" w:fill="F2F2F2" w:themeFill="background1" w:themeFillShade="F2"/>
            <w:vAlign w:val="center"/>
          </w:tcPr>
          <w:p w14:paraId="12F2CDDB"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Regression coefficients</w:t>
            </w:r>
          </w:p>
        </w:tc>
        <w:tc>
          <w:tcPr>
            <w:tcW w:w="1134" w:type="dxa"/>
            <w:gridSpan w:val="2"/>
            <w:vMerge w:val="restart"/>
            <w:tcBorders>
              <w:top w:val="single" w:sz="8" w:space="0" w:color="auto"/>
              <w:left w:val="single" w:sz="8" w:space="0" w:color="auto"/>
              <w:bottom w:val="single" w:sz="8" w:space="0" w:color="000000" w:themeColor="text1"/>
              <w:right w:val="single" w:sz="8" w:space="0" w:color="auto"/>
            </w:tcBorders>
            <w:shd w:val="clear" w:color="auto" w:fill="F2F2F2" w:themeFill="background1" w:themeFillShade="F2"/>
            <w:vAlign w:val="center"/>
          </w:tcPr>
          <w:p w14:paraId="07D005DE"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Regression</w:t>
            </w:r>
          </w:p>
          <w:p w14:paraId="527DD36D"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bCs/>
                <w:color w:val="000000" w:themeColor="text1"/>
                <w:sz w:val="20"/>
                <w:szCs w:val="20"/>
                <w:lang w:val="en"/>
              </w:rPr>
              <w:t>R</w:t>
            </w:r>
          </w:p>
        </w:tc>
        <w:tc>
          <w:tcPr>
            <w:tcW w:w="992" w:type="dxa"/>
            <w:tcBorders>
              <w:top w:val="single" w:sz="8" w:space="0" w:color="auto"/>
              <w:left w:val="single" w:sz="8" w:space="0" w:color="auto"/>
              <w:bottom w:val="nil"/>
              <w:right w:val="nil"/>
            </w:tcBorders>
            <w:shd w:val="clear" w:color="auto" w:fill="F2F2F2" w:themeFill="background1" w:themeFillShade="F2"/>
            <w:vAlign w:val="center"/>
          </w:tcPr>
          <w:p w14:paraId="4024E084"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 xml:space="preserve">   Selection Factor</w:t>
            </w:r>
          </w:p>
          <w:p w14:paraId="61C5F6ED"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R2</w:t>
            </w:r>
          </w:p>
        </w:tc>
        <w:tc>
          <w:tcPr>
            <w:tcW w:w="709" w:type="dxa"/>
            <w:vMerge w:val="restart"/>
            <w:tcBorders>
              <w:top w:val="single" w:sz="8" w:space="0" w:color="auto"/>
              <w:left w:val="single" w:sz="8" w:space="0" w:color="auto"/>
              <w:bottom w:val="single" w:sz="8" w:space="0" w:color="000000" w:themeColor="text1"/>
              <w:right w:val="single" w:sz="8" w:space="0" w:color="auto"/>
            </w:tcBorders>
            <w:shd w:val="clear" w:color="auto" w:fill="F2F2F2" w:themeFill="background1" w:themeFillShade="F2"/>
            <w:vAlign w:val="center"/>
          </w:tcPr>
          <w:p w14:paraId="029ECD2D"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Value</w:t>
            </w:r>
          </w:p>
          <w:p w14:paraId="2131DA1E"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t</w:t>
            </w:r>
          </w:p>
        </w:tc>
        <w:tc>
          <w:tcPr>
            <w:tcW w:w="1276" w:type="dxa"/>
            <w:tcBorders>
              <w:top w:val="single" w:sz="8" w:space="0" w:color="auto"/>
              <w:left w:val="single" w:sz="8" w:space="0" w:color="auto"/>
              <w:bottom w:val="nil"/>
              <w:right w:val="nil"/>
            </w:tcBorders>
            <w:shd w:val="clear" w:color="auto" w:fill="F2F2F2" w:themeFill="background1" w:themeFillShade="F2"/>
            <w:vAlign w:val="center"/>
          </w:tcPr>
          <w:p w14:paraId="10896F2B"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Probability value</w:t>
            </w:r>
          </w:p>
        </w:tc>
        <w:tc>
          <w:tcPr>
            <w:tcW w:w="1276" w:type="dxa"/>
            <w:vMerge w:val="restart"/>
            <w:tcBorders>
              <w:top w:val="single" w:sz="8" w:space="0" w:color="auto"/>
              <w:left w:val="single" w:sz="8" w:space="0" w:color="auto"/>
              <w:bottom w:val="single" w:sz="8" w:space="0" w:color="auto"/>
              <w:right w:val="single" w:sz="8" w:space="0" w:color="auto"/>
            </w:tcBorders>
            <w:shd w:val="clear" w:color="auto" w:fill="F2F2F2" w:themeFill="background1" w:themeFillShade="F2"/>
            <w:vAlign w:val="center"/>
          </w:tcPr>
          <w:p w14:paraId="037A8CEE"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Indication level at (0.05)</w:t>
            </w:r>
          </w:p>
        </w:tc>
      </w:tr>
      <w:tr w:rsidR="00AE5E6C" w:rsidRPr="00164238" w14:paraId="050F9971" w14:textId="77777777" w:rsidTr="00682CBF">
        <w:trPr>
          <w:trHeight w:val="330"/>
        </w:trPr>
        <w:tc>
          <w:tcPr>
            <w:tcW w:w="2235" w:type="dxa"/>
            <w:vMerge/>
            <w:vAlign w:val="center"/>
          </w:tcPr>
          <w:p w14:paraId="53C54B1B"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p>
        </w:tc>
        <w:tc>
          <w:tcPr>
            <w:tcW w:w="1417" w:type="dxa"/>
            <w:vMerge/>
            <w:vAlign w:val="center"/>
          </w:tcPr>
          <w:p w14:paraId="52DF3475"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p>
        </w:tc>
        <w:tc>
          <w:tcPr>
            <w:tcW w:w="1134" w:type="dxa"/>
            <w:gridSpan w:val="2"/>
            <w:vMerge/>
            <w:vAlign w:val="center"/>
          </w:tcPr>
          <w:p w14:paraId="57EC4AB0"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p>
        </w:tc>
        <w:tc>
          <w:tcPr>
            <w:tcW w:w="992" w:type="dxa"/>
            <w:tcBorders>
              <w:top w:val="nil"/>
              <w:left w:val="single" w:sz="8" w:space="0" w:color="auto"/>
              <w:bottom w:val="single" w:sz="8" w:space="0" w:color="auto"/>
              <w:right w:val="nil"/>
            </w:tcBorders>
            <w:shd w:val="clear" w:color="auto" w:fill="F2F2F2" w:themeFill="background1" w:themeFillShade="F2"/>
            <w:vAlign w:val="center"/>
          </w:tcPr>
          <w:p w14:paraId="1EFA2824"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p>
        </w:tc>
        <w:tc>
          <w:tcPr>
            <w:tcW w:w="709" w:type="dxa"/>
            <w:vMerge/>
            <w:vAlign w:val="center"/>
          </w:tcPr>
          <w:p w14:paraId="7DE2BD9F"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p>
        </w:tc>
        <w:tc>
          <w:tcPr>
            <w:tcW w:w="1276" w:type="dxa"/>
            <w:tcBorders>
              <w:top w:val="nil"/>
              <w:left w:val="single" w:sz="8" w:space="0" w:color="auto"/>
              <w:bottom w:val="single" w:sz="8" w:space="0" w:color="auto"/>
              <w:right w:val="nil"/>
            </w:tcBorders>
            <w:shd w:val="clear" w:color="auto" w:fill="F2F2F2" w:themeFill="background1" w:themeFillShade="F2"/>
            <w:vAlign w:val="center"/>
          </w:tcPr>
          <w:p w14:paraId="7E918713"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bCs/>
                <w:color w:val="000000" w:themeColor="text1"/>
                <w:sz w:val="20"/>
                <w:szCs w:val="20"/>
                <w:lang w:val="fr-FR"/>
              </w:rPr>
              <w:t>sig.</w:t>
            </w:r>
            <w:r w:rsidRPr="00164238">
              <w:rPr>
                <w:rFonts w:ascii="Times New Roman" w:eastAsia="Calibri" w:hAnsi="Times New Roman" w:cs="Times New Roman"/>
                <w:b/>
                <w:color w:val="000000" w:themeColor="text1"/>
                <w:sz w:val="20"/>
                <w:szCs w:val="20"/>
                <w:lang w:val="en"/>
              </w:rPr>
              <w:t>.</w:t>
            </w:r>
          </w:p>
        </w:tc>
        <w:tc>
          <w:tcPr>
            <w:tcW w:w="1276" w:type="dxa"/>
            <w:vMerge/>
            <w:vAlign w:val="center"/>
          </w:tcPr>
          <w:p w14:paraId="2FF7F018"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p>
        </w:tc>
      </w:tr>
      <w:tr w:rsidR="00AE5E6C" w:rsidRPr="00164238" w14:paraId="0C4E2361" w14:textId="77777777" w:rsidTr="00682CBF">
        <w:trPr>
          <w:trHeight w:val="510"/>
        </w:trPr>
        <w:tc>
          <w:tcPr>
            <w:tcW w:w="2235" w:type="dxa"/>
            <w:tcBorders>
              <w:top w:val="nil"/>
              <w:left w:val="single" w:sz="8" w:space="0" w:color="auto"/>
              <w:bottom w:val="single" w:sz="8" w:space="0" w:color="auto"/>
              <w:right w:val="single" w:sz="8" w:space="0" w:color="auto"/>
            </w:tcBorders>
            <w:vAlign w:val="center"/>
          </w:tcPr>
          <w:p w14:paraId="2608A374"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Hard</w:t>
            </w:r>
          </w:p>
        </w:tc>
        <w:tc>
          <w:tcPr>
            <w:tcW w:w="1417" w:type="dxa"/>
            <w:tcBorders>
              <w:top w:val="nil"/>
              <w:left w:val="single" w:sz="8" w:space="0" w:color="auto"/>
              <w:bottom w:val="single" w:sz="8" w:space="0" w:color="auto"/>
              <w:right w:val="single" w:sz="8" w:space="0" w:color="auto"/>
            </w:tcBorders>
            <w:vAlign w:val="center"/>
          </w:tcPr>
          <w:p w14:paraId="34735276"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bCs/>
                <w:color w:val="000000" w:themeColor="text1"/>
                <w:sz w:val="20"/>
                <w:szCs w:val="20"/>
                <w:lang w:val="en"/>
              </w:rPr>
              <w:t>0.752</w:t>
            </w:r>
          </w:p>
        </w:tc>
        <w:tc>
          <w:tcPr>
            <w:tcW w:w="1134" w:type="dxa"/>
            <w:gridSpan w:val="2"/>
            <w:tcBorders>
              <w:top w:val="nil"/>
              <w:left w:val="single" w:sz="8" w:space="0" w:color="auto"/>
              <w:bottom w:val="single" w:sz="8" w:space="0" w:color="auto"/>
              <w:right w:val="single" w:sz="8" w:space="0" w:color="auto"/>
            </w:tcBorders>
            <w:vAlign w:val="center"/>
          </w:tcPr>
          <w:p w14:paraId="472F50FC"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p>
        </w:tc>
        <w:tc>
          <w:tcPr>
            <w:tcW w:w="992" w:type="dxa"/>
            <w:tcBorders>
              <w:top w:val="single" w:sz="8" w:space="0" w:color="auto"/>
              <w:left w:val="single" w:sz="8" w:space="0" w:color="auto"/>
              <w:bottom w:val="single" w:sz="8" w:space="0" w:color="auto"/>
              <w:right w:val="single" w:sz="8" w:space="0" w:color="auto"/>
            </w:tcBorders>
            <w:vAlign w:val="center"/>
          </w:tcPr>
          <w:p w14:paraId="7D429E66"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p>
        </w:tc>
        <w:tc>
          <w:tcPr>
            <w:tcW w:w="709" w:type="dxa"/>
            <w:tcBorders>
              <w:top w:val="nil"/>
              <w:left w:val="single" w:sz="8" w:space="0" w:color="auto"/>
              <w:bottom w:val="single" w:sz="8" w:space="0" w:color="auto"/>
              <w:right w:val="single" w:sz="8" w:space="0" w:color="auto"/>
            </w:tcBorders>
          </w:tcPr>
          <w:p w14:paraId="7FC39A80"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1.482</w:t>
            </w:r>
          </w:p>
        </w:tc>
        <w:tc>
          <w:tcPr>
            <w:tcW w:w="1276" w:type="dxa"/>
            <w:tcBorders>
              <w:top w:val="single" w:sz="8" w:space="0" w:color="auto"/>
              <w:left w:val="single" w:sz="8" w:space="0" w:color="auto"/>
              <w:bottom w:val="single" w:sz="8" w:space="0" w:color="auto"/>
              <w:right w:val="single" w:sz="8" w:space="0" w:color="auto"/>
            </w:tcBorders>
            <w:vAlign w:val="center"/>
          </w:tcPr>
          <w:p w14:paraId="0E0B0CA0"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0.147</w:t>
            </w:r>
          </w:p>
        </w:tc>
        <w:tc>
          <w:tcPr>
            <w:tcW w:w="1276" w:type="dxa"/>
            <w:tcBorders>
              <w:top w:val="nil"/>
              <w:left w:val="single" w:sz="8" w:space="0" w:color="auto"/>
              <w:bottom w:val="single" w:sz="8" w:space="0" w:color="auto"/>
              <w:right w:val="single" w:sz="8" w:space="0" w:color="auto"/>
            </w:tcBorders>
            <w:vAlign w:val="center"/>
          </w:tcPr>
          <w:p w14:paraId="58F00DCC"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p>
        </w:tc>
      </w:tr>
      <w:tr w:rsidR="00AE5E6C" w:rsidRPr="00164238" w14:paraId="4366DAA5" w14:textId="77777777" w:rsidTr="00682CBF">
        <w:trPr>
          <w:trHeight w:val="510"/>
        </w:trPr>
        <w:tc>
          <w:tcPr>
            <w:tcW w:w="2235" w:type="dxa"/>
            <w:tcBorders>
              <w:top w:val="single" w:sz="8" w:space="0" w:color="auto"/>
              <w:left w:val="single" w:sz="8" w:space="0" w:color="auto"/>
              <w:bottom w:val="single" w:sz="8" w:space="0" w:color="000000" w:themeColor="text1"/>
              <w:right w:val="single" w:sz="8" w:space="0" w:color="auto"/>
            </w:tcBorders>
            <w:vAlign w:val="center"/>
          </w:tcPr>
          <w:p w14:paraId="2CAFF2AB"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Risk management and evaluation</w:t>
            </w:r>
          </w:p>
        </w:tc>
        <w:tc>
          <w:tcPr>
            <w:tcW w:w="1417" w:type="dxa"/>
            <w:tcBorders>
              <w:top w:val="single" w:sz="8" w:space="0" w:color="auto"/>
              <w:left w:val="single" w:sz="8" w:space="0" w:color="auto"/>
              <w:bottom w:val="single" w:sz="8" w:space="0" w:color="000000" w:themeColor="text1"/>
              <w:right w:val="single" w:sz="8" w:space="0" w:color="auto"/>
            </w:tcBorders>
            <w:vAlign w:val="center"/>
          </w:tcPr>
          <w:p w14:paraId="74FD46F6"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0.322</w:t>
            </w:r>
          </w:p>
        </w:tc>
        <w:tc>
          <w:tcPr>
            <w:tcW w:w="1134" w:type="dxa"/>
            <w:gridSpan w:val="2"/>
            <w:tcBorders>
              <w:top w:val="single" w:sz="8" w:space="0" w:color="auto"/>
              <w:left w:val="single" w:sz="8" w:space="0" w:color="auto"/>
              <w:bottom w:val="single" w:sz="8" w:space="0" w:color="000000" w:themeColor="text1"/>
              <w:right w:val="single" w:sz="8" w:space="0" w:color="auto"/>
            </w:tcBorders>
            <w:vAlign w:val="center"/>
          </w:tcPr>
          <w:p w14:paraId="33983817"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0.752</w:t>
            </w:r>
          </w:p>
        </w:tc>
        <w:tc>
          <w:tcPr>
            <w:tcW w:w="992" w:type="dxa"/>
            <w:tcBorders>
              <w:top w:val="single" w:sz="8" w:space="0" w:color="auto"/>
              <w:left w:val="single" w:sz="8" w:space="0" w:color="auto"/>
              <w:bottom w:val="single" w:sz="8" w:space="0" w:color="auto"/>
              <w:right w:val="single" w:sz="8" w:space="0" w:color="auto"/>
            </w:tcBorders>
            <w:vAlign w:val="center"/>
          </w:tcPr>
          <w:p w14:paraId="71AC9368"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0.565</w:t>
            </w:r>
          </w:p>
        </w:tc>
        <w:tc>
          <w:tcPr>
            <w:tcW w:w="709" w:type="dxa"/>
            <w:tcBorders>
              <w:top w:val="single" w:sz="8" w:space="0" w:color="auto"/>
              <w:left w:val="single" w:sz="8" w:space="0" w:color="auto"/>
              <w:bottom w:val="single" w:sz="8" w:space="0" w:color="000000" w:themeColor="text1"/>
              <w:right w:val="single" w:sz="8" w:space="0" w:color="auto"/>
            </w:tcBorders>
            <w:vAlign w:val="center"/>
          </w:tcPr>
          <w:p w14:paraId="04A000CF"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7.029</w:t>
            </w:r>
          </w:p>
        </w:tc>
        <w:tc>
          <w:tcPr>
            <w:tcW w:w="1276" w:type="dxa"/>
            <w:tcBorders>
              <w:top w:val="single" w:sz="8" w:space="0" w:color="auto"/>
              <w:left w:val="single" w:sz="8" w:space="0" w:color="auto"/>
              <w:bottom w:val="single" w:sz="8" w:space="0" w:color="auto"/>
              <w:right w:val="single" w:sz="8" w:space="0" w:color="auto"/>
            </w:tcBorders>
            <w:vAlign w:val="center"/>
          </w:tcPr>
          <w:p w14:paraId="094BBAC7"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0.000</w:t>
            </w:r>
          </w:p>
        </w:tc>
        <w:tc>
          <w:tcPr>
            <w:tcW w:w="1276" w:type="dxa"/>
            <w:tcBorders>
              <w:top w:val="single" w:sz="8" w:space="0" w:color="auto"/>
              <w:left w:val="single" w:sz="8" w:space="0" w:color="auto"/>
              <w:bottom w:val="single" w:sz="8" w:space="0" w:color="auto"/>
              <w:right w:val="single" w:sz="8" w:space="0" w:color="auto"/>
            </w:tcBorders>
            <w:vAlign w:val="center"/>
          </w:tcPr>
          <w:p w14:paraId="394912E6"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Slab</w:t>
            </w:r>
          </w:p>
        </w:tc>
      </w:tr>
      <w:tr w:rsidR="00AE5E6C" w:rsidRPr="00164238" w14:paraId="0C2B3D45" w14:textId="77777777" w:rsidTr="00682CBF">
        <w:trPr>
          <w:trHeight w:val="420"/>
        </w:trPr>
        <w:tc>
          <w:tcPr>
            <w:tcW w:w="9039" w:type="dxa"/>
            <w:gridSpan w:val="8"/>
            <w:tcBorders>
              <w:top w:val="single" w:sz="8" w:space="0" w:color="auto"/>
              <w:left w:val="single" w:sz="8" w:space="0" w:color="auto"/>
              <w:bottom w:val="single" w:sz="8" w:space="0" w:color="auto"/>
              <w:right w:val="single" w:sz="8" w:space="0" w:color="auto"/>
            </w:tcBorders>
            <w:vAlign w:val="center"/>
          </w:tcPr>
          <w:p w14:paraId="5BDEC4A8" w14:textId="77777777" w:rsidR="005633F5" w:rsidRPr="00164238" w:rsidRDefault="005633F5" w:rsidP="00682CBF">
            <w:pPr>
              <w:spacing w:after="0" w:line="240" w:lineRule="auto"/>
              <w:jc w:val="center"/>
              <w:rPr>
                <w:rFonts w:ascii="Times New Roman" w:eastAsia="Calibri" w:hAnsi="Times New Roman" w:cs="Times New Roman"/>
                <w:b/>
                <w:color w:val="000000" w:themeColor="text1"/>
                <w:sz w:val="20"/>
                <w:szCs w:val="20"/>
              </w:rPr>
            </w:pPr>
            <w:r w:rsidRPr="00164238">
              <w:rPr>
                <w:rFonts w:ascii="Times New Roman" w:eastAsia="Calibri" w:hAnsi="Times New Roman" w:cs="Times New Roman"/>
                <w:b/>
                <w:color w:val="000000" w:themeColor="text1"/>
                <w:sz w:val="20"/>
                <w:szCs w:val="20"/>
                <w:lang w:val="en"/>
              </w:rPr>
              <w:t>ANOVA Contrast Analysis</w:t>
            </w:r>
          </w:p>
        </w:tc>
      </w:tr>
      <w:tr w:rsidR="00AE5E6C" w:rsidRPr="00164238" w14:paraId="3FC0278E" w14:textId="77777777" w:rsidTr="00682CBF">
        <w:trPr>
          <w:trHeight w:val="510"/>
        </w:trPr>
        <w:tc>
          <w:tcPr>
            <w:tcW w:w="2235" w:type="dxa"/>
            <w:tcBorders>
              <w:top w:val="single" w:sz="8" w:space="0" w:color="auto"/>
              <w:left w:val="single" w:sz="8" w:space="0" w:color="000000" w:themeColor="text1"/>
              <w:bottom w:val="single" w:sz="8" w:space="0" w:color="auto"/>
              <w:right w:val="single" w:sz="8" w:space="0" w:color="auto"/>
            </w:tcBorders>
            <w:vAlign w:val="center"/>
          </w:tcPr>
          <w:p w14:paraId="71DA4A8B" w14:textId="77777777" w:rsidR="005633F5" w:rsidRPr="00164238" w:rsidRDefault="005633F5" w:rsidP="00682CBF">
            <w:pPr>
              <w:spacing w:after="0" w:line="240" w:lineRule="auto"/>
              <w:jc w:val="lowKashida"/>
              <w:rPr>
                <w:rFonts w:ascii="Times New Roman" w:eastAsia="Calibri" w:hAnsi="Times New Roman" w:cs="Times New Roman"/>
                <w:bCs/>
                <w:color w:val="000000" w:themeColor="text1"/>
                <w:sz w:val="20"/>
                <w:szCs w:val="20"/>
              </w:rPr>
            </w:pPr>
            <w:r w:rsidRPr="00164238">
              <w:rPr>
                <w:rFonts w:ascii="Times New Roman" w:eastAsia="Calibri" w:hAnsi="Times New Roman" w:cs="Times New Roman"/>
                <w:bCs/>
                <w:color w:val="000000" w:themeColor="text1"/>
                <w:sz w:val="20"/>
                <w:szCs w:val="20"/>
                <w:lang w:val="en"/>
              </w:rPr>
              <w:t>F test value</w:t>
            </w:r>
          </w:p>
        </w:tc>
        <w:tc>
          <w:tcPr>
            <w:tcW w:w="1559" w:type="dxa"/>
            <w:gridSpan w:val="2"/>
            <w:tcBorders>
              <w:top w:val="nil"/>
              <w:left w:val="single" w:sz="8" w:space="0" w:color="000000" w:themeColor="text1"/>
              <w:bottom w:val="single" w:sz="8" w:space="0" w:color="auto"/>
              <w:right w:val="nil"/>
            </w:tcBorders>
            <w:vAlign w:val="center"/>
          </w:tcPr>
          <w:p w14:paraId="5E6AA577"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bCs/>
                <w:color w:val="000000" w:themeColor="text1"/>
                <w:sz w:val="20"/>
                <w:szCs w:val="20"/>
                <w:lang w:val="en"/>
              </w:rPr>
              <w:t>49.41</w:t>
            </w:r>
          </w:p>
        </w:tc>
        <w:tc>
          <w:tcPr>
            <w:tcW w:w="1984" w:type="dxa"/>
            <w:gridSpan w:val="2"/>
            <w:tcBorders>
              <w:top w:val="nil"/>
              <w:left w:val="single" w:sz="8" w:space="0" w:color="000000" w:themeColor="text1"/>
              <w:bottom w:val="single" w:sz="8" w:space="0" w:color="auto"/>
              <w:right w:val="nil"/>
            </w:tcBorders>
            <w:vAlign w:val="center"/>
          </w:tcPr>
          <w:p w14:paraId="3C5AA085"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R-2</w:t>
            </w:r>
          </w:p>
        </w:tc>
        <w:tc>
          <w:tcPr>
            <w:tcW w:w="709" w:type="dxa"/>
            <w:tcBorders>
              <w:top w:val="nil"/>
              <w:left w:val="single" w:sz="8" w:space="0" w:color="auto"/>
              <w:bottom w:val="single" w:sz="8" w:space="0" w:color="auto"/>
              <w:right w:val="nil"/>
            </w:tcBorders>
            <w:vAlign w:val="center"/>
          </w:tcPr>
          <w:p w14:paraId="7BCCE36E"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0.554</w:t>
            </w:r>
          </w:p>
        </w:tc>
        <w:tc>
          <w:tcPr>
            <w:tcW w:w="1276" w:type="dxa"/>
            <w:tcBorders>
              <w:top w:val="nil"/>
              <w:left w:val="single" w:sz="8" w:space="0" w:color="auto"/>
              <w:bottom w:val="single" w:sz="8" w:space="0" w:color="auto"/>
              <w:right w:val="nil"/>
            </w:tcBorders>
            <w:vAlign w:val="center"/>
          </w:tcPr>
          <w:p w14:paraId="7E3E0059"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Probability value</w:t>
            </w:r>
          </w:p>
        </w:tc>
        <w:tc>
          <w:tcPr>
            <w:tcW w:w="1276" w:type="dxa"/>
            <w:tcBorders>
              <w:top w:val="nil"/>
              <w:left w:val="single" w:sz="8" w:space="0" w:color="auto"/>
              <w:bottom w:val="single" w:sz="8" w:space="0" w:color="auto"/>
              <w:right w:val="single" w:sz="8" w:space="0" w:color="auto"/>
            </w:tcBorders>
            <w:vAlign w:val="center"/>
          </w:tcPr>
          <w:p w14:paraId="2BA04D3F"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0.000</w:t>
            </w:r>
          </w:p>
        </w:tc>
      </w:tr>
    </w:tbl>
    <w:p w14:paraId="49BA38DE" w14:textId="77777777" w:rsidR="005633F5" w:rsidRPr="00164238" w:rsidRDefault="005633F5" w:rsidP="005633F5">
      <w:pPr>
        <w:spacing w:after="0" w:line="240" w:lineRule="auto"/>
        <w:jc w:val="lowKashida"/>
        <w:rPr>
          <w:rFonts w:ascii="Times New Roman" w:eastAsia="Calibri" w:hAnsi="Times New Roman" w:cs="Times New Roman"/>
          <w:b/>
          <w:color w:val="000000" w:themeColor="text1"/>
          <w:sz w:val="20"/>
          <w:szCs w:val="20"/>
        </w:rPr>
      </w:pPr>
      <w:r w:rsidRPr="00164238">
        <w:rPr>
          <w:rFonts w:ascii="Times New Roman" w:eastAsia="Calibri" w:hAnsi="Times New Roman" w:cs="Times New Roman"/>
          <w:b/>
          <w:color w:val="000000" w:themeColor="text1"/>
          <w:sz w:val="20"/>
          <w:szCs w:val="20"/>
          <w:lang w:val="en"/>
        </w:rPr>
        <w:t>* Variable-dependent  D-cost driving strategy at  0.05 indicative level</w:t>
      </w:r>
    </w:p>
    <w:p w14:paraId="08248507" w14:textId="77777777" w:rsidR="005633F5" w:rsidRPr="00164238" w:rsidRDefault="005633F5" w:rsidP="006F033D">
      <w:pPr>
        <w:spacing w:after="0" w:line="240" w:lineRule="auto"/>
        <w:ind w:firstLine="708"/>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To determine the impact of the use of Artificial Intelligence in the internal audit process on risk management and evaluation in the Palestinian government sector, regression analysis was carried out, and the previous table shows that the adjusted selection factor = 0.554, meaning risk management and evaluation (dependent variable) was explained by the change using Artificial Intelligence in the internal audit process (independent variable). The probability value (Sig.)   Below  the 0.05 level of indication≥  α this indicates the effect of using artificial intelligence in the internal audit process to manage risk in the Palestinian government sector according to the following regression equation:</w:t>
      </w:r>
    </w:p>
    <w:p w14:paraId="7C1011FD" w14:textId="77777777" w:rsidR="005633F5" w:rsidRPr="00164238" w:rsidRDefault="005633F5" w:rsidP="005633F5">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Y -0.752 + 0.322X</w:t>
      </w:r>
      <w:r w:rsidRPr="00164238">
        <w:rPr>
          <w:rFonts w:ascii="Times New Roman" w:eastAsia="Calibri" w:hAnsi="Times New Roman" w:cs="Times New Roman"/>
          <w:color w:val="000000" w:themeColor="text1"/>
          <w:sz w:val="20"/>
          <w:szCs w:val="20"/>
          <w:vertAlign w:val="subscript"/>
          <w:lang w:val="en"/>
        </w:rPr>
        <w:t>1</w:t>
      </w:r>
    </w:p>
    <w:p w14:paraId="0F8F1CCF" w14:textId="77777777" w:rsidR="005633F5" w:rsidRPr="00164238" w:rsidRDefault="005633F5" w:rsidP="006F033D">
      <w:pPr>
        <w:spacing w:after="0" w:line="240" w:lineRule="auto"/>
        <w:ind w:firstLine="708"/>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This means that the use of Artificial Intelligence in internal audit affects the dependent variable (risk management and assessment) by 32.2%.</w:t>
      </w:r>
    </w:p>
    <w:p w14:paraId="0050FB75" w14:textId="77777777" w:rsidR="005633F5" w:rsidRPr="00164238" w:rsidRDefault="005633F5" w:rsidP="005633F5">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Simplified Arabic" w:hAnsi="Times New Roman" w:cs="Times New Roman"/>
          <w:color w:val="000000" w:themeColor="text1"/>
          <w:sz w:val="20"/>
          <w:szCs w:val="20"/>
        </w:rPr>
        <w:t xml:space="preserve"> </w:t>
      </w:r>
    </w:p>
    <w:p w14:paraId="3DCB6B34" w14:textId="4138AC7F" w:rsidR="005633F5" w:rsidRDefault="005633F5" w:rsidP="007C3550">
      <w:pPr>
        <w:pStyle w:val="ListeParagraf"/>
        <w:numPr>
          <w:ilvl w:val="0"/>
          <w:numId w:val="17"/>
        </w:numPr>
        <w:spacing w:after="0" w:line="240" w:lineRule="auto"/>
        <w:jc w:val="lowKashida"/>
        <w:rPr>
          <w:rFonts w:ascii="Times New Roman" w:eastAsia="Calibri" w:hAnsi="Times New Roman" w:cs="Times New Roman"/>
          <w:b/>
          <w:color w:val="000000" w:themeColor="text1"/>
          <w:sz w:val="20"/>
          <w:szCs w:val="20"/>
          <w:lang w:val="en"/>
        </w:rPr>
      </w:pPr>
      <w:r w:rsidRPr="00164238">
        <w:rPr>
          <w:rFonts w:ascii="Times New Roman" w:eastAsia="Calibri" w:hAnsi="Times New Roman" w:cs="Times New Roman"/>
          <w:b/>
          <w:color w:val="000000" w:themeColor="text1"/>
          <w:sz w:val="20"/>
          <w:szCs w:val="20"/>
          <w:lang w:val="en"/>
        </w:rPr>
        <w:lastRenderedPageBreak/>
        <w:t>Regression analysis of the second dependent variable:(examination and evaluation of the internal control system).</w:t>
      </w:r>
    </w:p>
    <w:p w14:paraId="363E5C1A" w14:textId="37ED81F9" w:rsidR="00E839E1" w:rsidRDefault="00E839E1" w:rsidP="00E839E1">
      <w:pPr>
        <w:spacing w:after="0" w:line="240" w:lineRule="auto"/>
        <w:jc w:val="lowKashida"/>
        <w:rPr>
          <w:rFonts w:ascii="Times New Roman" w:eastAsia="Calibri" w:hAnsi="Times New Roman" w:cs="Times New Roman"/>
          <w:b/>
          <w:color w:val="000000" w:themeColor="text1"/>
          <w:sz w:val="20"/>
          <w:szCs w:val="20"/>
          <w:lang w:val="en"/>
        </w:rPr>
      </w:pPr>
    </w:p>
    <w:p w14:paraId="2D9FFBAF" w14:textId="03D42D5F" w:rsidR="00E839E1" w:rsidRDefault="00E839E1" w:rsidP="00E839E1">
      <w:pPr>
        <w:spacing w:after="0" w:line="240" w:lineRule="auto"/>
        <w:jc w:val="lowKashida"/>
        <w:rPr>
          <w:rFonts w:ascii="Times New Roman" w:eastAsia="Calibri" w:hAnsi="Times New Roman" w:cs="Times New Roman"/>
          <w:b/>
          <w:color w:val="000000" w:themeColor="text1"/>
          <w:sz w:val="20"/>
          <w:szCs w:val="20"/>
          <w:lang w:val="en"/>
        </w:rPr>
      </w:pPr>
    </w:p>
    <w:p w14:paraId="7DDD514D" w14:textId="77777777" w:rsidR="00E839E1" w:rsidRPr="00E839E1" w:rsidRDefault="00E839E1" w:rsidP="00E839E1">
      <w:pPr>
        <w:spacing w:after="0" w:line="240" w:lineRule="auto"/>
        <w:jc w:val="lowKashida"/>
        <w:rPr>
          <w:rFonts w:ascii="Times New Roman" w:eastAsia="Calibri" w:hAnsi="Times New Roman" w:cs="Times New Roman"/>
          <w:b/>
          <w:color w:val="000000" w:themeColor="text1"/>
          <w:sz w:val="20"/>
          <w:szCs w:val="20"/>
          <w:lang w:val="en"/>
        </w:rPr>
      </w:pPr>
    </w:p>
    <w:p w14:paraId="1530B438" w14:textId="03D47C62" w:rsidR="006F033D" w:rsidRPr="00164238" w:rsidRDefault="006F033D" w:rsidP="006F033D">
      <w:pPr>
        <w:spacing w:after="0" w:line="240" w:lineRule="auto"/>
        <w:jc w:val="lowKashida"/>
        <w:rPr>
          <w:rFonts w:ascii="Times New Roman" w:eastAsia="Calibri" w:hAnsi="Times New Roman" w:cs="Times New Roman"/>
          <w:color w:val="000000" w:themeColor="text1"/>
          <w:sz w:val="20"/>
          <w:szCs w:val="20"/>
        </w:rPr>
      </w:pPr>
    </w:p>
    <w:p w14:paraId="3FDC9078" w14:textId="77777777" w:rsidR="005633F5" w:rsidRPr="00164238" w:rsidRDefault="005633F5" w:rsidP="005633F5">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Table (14) Regression analysis of the variable of the "Internal Control System Examination and Evaluation"</w:t>
      </w:r>
    </w:p>
    <w:tbl>
      <w:tblPr>
        <w:tblW w:w="0" w:type="auto"/>
        <w:tblLayout w:type="fixed"/>
        <w:tblLook w:val="04A0" w:firstRow="1" w:lastRow="0" w:firstColumn="1" w:lastColumn="0" w:noHBand="0" w:noVBand="1"/>
      </w:tblPr>
      <w:tblGrid>
        <w:gridCol w:w="2518"/>
        <w:gridCol w:w="1134"/>
        <w:gridCol w:w="1134"/>
        <w:gridCol w:w="659"/>
        <w:gridCol w:w="475"/>
        <w:gridCol w:w="709"/>
        <w:gridCol w:w="1134"/>
        <w:gridCol w:w="1417"/>
      </w:tblGrid>
      <w:tr w:rsidR="00AE5E6C" w:rsidRPr="00164238" w14:paraId="1B9CD0FD" w14:textId="77777777" w:rsidTr="00682CBF">
        <w:trPr>
          <w:trHeight w:val="945"/>
        </w:trPr>
        <w:tc>
          <w:tcPr>
            <w:tcW w:w="2518" w:type="dxa"/>
            <w:vMerge w:val="restart"/>
            <w:tcBorders>
              <w:top w:val="single" w:sz="8" w:space="0" w:color="auto"/>
              <w:left w:val="single" w:sz="8" w:space="0" w:color="auto"/>
              <w:bottom w:val="single" w:sz="8" w:space="0" w:color="000000" w:themeColor="text1"/>
              <w:right w:val="single" w:sz="8" w:space="0" w:color="auto"/>
            </w:tcBorders>
            <w:shd w:val="clear" w:color="auto" w:fill="F2F2F2" w:themeFill="background1" w:themeFillShade="F2"/>
            <w:vAlign w:val="center"/>
          </w:tcPr>
          <w:p w14:paraId="0B9F2703"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Independent variables</w:t>
            </w:r>
          </w:p>
        </w:tc>
        <w:tc>
          <w:tcPr>
            <w:tcW w:w="1134" w:type="dxa"/>
            <w:vMerge w:val="restart"/>
            <w:tcBorders>
              <w:top w:val="single" w:sz="8" w:space="0" w:color="auto"/>
              <w:left w:val="single" w:sz="8" w:space="0" w:color="auto"/>
              <w:bottom w:val="single" w:sz="8" w:space="0" w:color="000000" w:themeColor="text1"/>
              <w:right w:val="nil"/>
            </w:tcBorders>
            <w:shd w:val="clear" w:color="auto" w:fill="F2F2F2" w:themeFill="background1" w:themeFillShade="F2"/>
            <w:vAlign w:val="center"/>
          </w:tcPr>
          <w:p w14:paraId="73A84247"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Regression coefficients</w:t>
            </w:r>
          </w:p>
        </w:tc>
        <w:tc>
          <w:tcPr>
            <w:tcW w:w="1134" w:type="dxa"/>
            <w:vMerge w:val="restart"/>
            <w:tcBorders>
              <w:top w:val="single" w:sz="8" w:space="0" w:color="auto"/>
              <w:left w:val="single" w:sz="8" w:space="0" w:color="auto"/>
              <w:bottom w:val="single" w:sz="8" w:space="0" w:color="000000" w:themeColor="text1"/>
              <w:right w:val="single" w:sz="8" w:space="0" w:color="auto"/>
            </w:tcBorders>
            <w:shd w:val="clear" w:color="auto" w:fill="F2F2F2" w:themeFill="background1" w:themeFillShade="F2"/>
            <w:vAlign w:val="center"/>
          </w:tcPr>
          <w:p w14:paraId="190393BC"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Regression</w:t>
            </w:r>
          </w:p>
          <w:p w14:paraId="3947432D"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bCs/>
                <w:color w:val="000000" w:themeColor="text1"/>
                <w:sz w:val="20"/>
                <w:szCs w:val="20"/>
                <w:lang w:val="en"/>
              </w:rPr>
              <w:t>R</w:t>
            </w:r>
          </w:p>
        </w:tc>
        <w:tc>
          <w:tcPr>
            <w:tcW w:w="1134" w:type="dxa"/>
            <w:gridSpan w:val="2"/>
            <w:tcBorders>
              <w:top w:val="single" w:sz="8" w:space="0" w:color="auto"/>
              <w:left w:val="single" w:sz="8" w:space="0" w:color="auto"/>
              <w:bottom w:val="nil"/>
              <w:right w:val="nil"/>
            </w:tcBorders>
            <w:shd w:val="clear" w:color="auto" w:fill="F2F2F2" w:themeFill="background1" w:themeFillShade="F2"/>
            <w:vAlign w:val="center"/>
          </w:tcPr>
          <w:p w14:paraId="7DE8F1CE"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 xml:space="preserve">   Selection Factor</w:t>
            </w:r>
          </w:p>
          <w:p w14:paraId="6C917195"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R2</w:t>
            </w:r>
          </w:p>
        </w:tc>
        <w:tc>
          <w:tcPr>
            <w:tcW w:w="709" w:type="dxa"/>
            <w:vMerge w:val="restart"/>
            <w:tcBorders>
              <w:top w:val="single" w:sz="8" w:space="0" w:color="auto"/>
              <w:left w:val="single" w:sz="8" w:space="0" w:color="auto"/>
              <w:bottom w:val="single" w:sz="8" w:space="0" w:color="000000" w:themeColor="text1"/>
              <w:right w:val="single" w:sz="8" w:space="0" w:color="auto"/>
            </w:tcBorders>
            <w:shd w:val="clear" w:color="auto" w:fill="F2F2F2" w:themeFill="background1" w:themeFillShade="F2"/>
            <w:vAlign w:val="center"/>
          </w:tcPr>
          <w:p w14:paraId="22BF43D0"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Value</w:t>
            </w:r>
          </w:p>
          <w:p w14:paraId="1E993E95"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t</w:t>
            </w:r>
          </w:p>
        </w:tc>
        <w:tc>
          <w:tcPr>
            <w:tcW w:w="1134" w:type="dxa"/>
            <w:tcBorders>
              <w:top w:val="single" w:sz="8" w:space="0" w:color="auto"/>
              <w:left w:val="single" w:sz="8" w:space="0" w:color="auto"/>
              <w:bottom w:val="nil"/>
              <w:right w:val="nil"/>
            </w:tcBorders>
            <w:shd w:val="clear" w:color="auto" w:fill="F2F2F2" w:themeFill="background1" w:themeFillShade="F2"/>
            <w:vAlign w:val="center"/>
          </w:tcPr>
          <w:p w14:paraId="7802A08F"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Probability value</w:t>
            </w:r>
          </w:p>
        </w:tc>
        <w:tc>
          <w:tcPr>
            <w:tcW w:w="1417" w:type="dxa"/>
            <w:vMerge w:val="restart"/>
            <w:tcBorders>
              <w:top w:val="single" w:sz="8" w:space="0" w:color="auto"/>
              <w:left w:val="single" w:sz="8" w:space="0" w:color="auto"/>
              <w:bottom w:val="single" w:sz="8" w:space="0" w:color="auto"/>
              <w:right w:val="single" w:sz="8" w:space="0" w:color="auto"/>
            </w:tcBorders>
            <w:shd w:val="clear" w:color="auto" w:fill="F2F2F2" w:themeFill="background1" w:themeFillShade="F2"/>
            <w:vAlign w:val="center"/>
          </w:tcPr>
          <w:p w14:paraId="17D68444"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Indication level at (0.05)</w:t>
            </w:r>
          </w:p>
        </w:tc>
      </w:tr>
      <w:tr w:rsidR="00AE5E6C" w:rsidRPr="00164238" w14:paraId="7FB7A11E" w14:textId="77777777" w:rsidTr="00682CBF">
        <w:trPr>
          <w:trHeight w:val="330"/>
        </w:trPr>
        <w:tc>
          <w:tcPr>
            <w:tcW w:w="2518" w:type="dxa"/>
            <w:vMerge/>
            <w:vAlign w:val="center"/>
          </w:tcPr>
          <w:p w14:paraId="6A0A3ACC"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p>
        </w:tc>
        <w:tc>
          <w:tcPr>
            <w:tcW w:w="1134" w:type="dxa"/>
            <w:vMerge/>
            <w:vAlign w:val="center"/>
          </w:tcPr>
          <w:p w14:paraId="257E897D"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p>
        </w:tc>
        <w:tc>
          <w:tcPr>
            <w:tcW w:w="1134" w:type="dxa"/>
            <w:vMerge/>
            <w:vAlign w:val="center"/>
          </w:tcPr>
          <w:p w14:paraId="026D5109"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p>
        </w:tc>
        <w:tc>
          <w:tcPr>
            <w:tcW w:w="1134" w:type="dxa"/>
            <w:gridSpan w:val="2"/>
            <w:tcBorders>
              <w:top w:val="nil"/>
              <w:left w:val="single" w:sz="8" w:space="0" w:color="auto"/>
              <w:bottom w:val="single" w:sz="8" w:space="0" w:color="auto"/>
              <w:right w:val="nil"/>
            </w:tcBorders>
            <w:shd w:val="clear" w:color="auto" w:fill="F2F2F2" w:themeFill="background1" w:themeFillShade="F2"/>
            <w:vAlign w:val="center"/>
          </w:tcPr>
          <w:p w14:paraId="36CA8AD4" w14:textId="77777777" w:rsidR="005633F5" w:rsidRPr="00164238" w:rsidRDefault="005633F5" w:rsidP="00682CBF">
            <w:pPr>
              <w:spacing w:after="0" w:line="240" w:lineRule="auto"/>
              <w:rPr>
                <w:rFonts w:ascii="Times New Roman" w:eastAsia="Calibri" w:hAnsi="Times New Roman" w:cs="Times New Roman"/>
                <w:color w:val="000000" w:themeColor="text1"/>
                <w:sz w:val="20"/>
                <w:szCs w:val="20"/>
              </w:rPr>
            </w:pPr>
          </w:p>
        </w:tc>
        <w:tc>
          <w:tcPr>
            <w:tcW w:w="709" w:type="dxa"/>
            <w:vMerge/>
            <w:vAlign w:val="center"/>
          </w:tcPr>
          <w:p w14:paraId="133CC894"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p>
        </w:tc>
        <w:tc>
          <w:tcPr>
            <w:tcW w:w="1134" w:type="dxa"/>
            <w:tcBorders>
              <w:top w:val="nil"/>
              <w:left w:val="single" w:sz="8" w:space="0" w:color="auto"/>
              <w:bottom w:val="single" w:sz="8" w:space="0" w:color="auto"/>
              <w:right w:val="nil"/>
            </w:tcBorders>
            <w:shd w:val="clear" w:color="auto" w:fill="F2F2F2" w:themeFill="background1" w:themeFillShade="F2"/>
            <w:vAlign w:val="center"/>
          </w:tcPr>
          <w:p w14:paraId="1DE78CEA"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bCs/>
                <w:color w:val="000000" w:themeColor="text1"/>
                <w:sz w:val="20"/>
                <w:szCs w:val="20"/>
                <w:lang w:val="fr-FR"/>
              </w:rPr>
              <w:t>sig.</w:t>
            </w:r>
          </w:p>
        </w:tc>
        <w:tc>
          <w:tcPr>
            <w:tcW w:w="1417" w:type="dxa"/>
            <w:vMerge/>
            <w:vAlign w:val="center"/>
          </w:tcPr>
          <w:p w14:paraId="5715BADB"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p>
        </w:tc>
      </w:tr>
      <w:tr w:rsidR="00AE5E6C" w:rsidRPr="00164238" w14:paraId="7AFF7BA0" w14:textId="77777777" w:rsidTr="00682CBF">
        <w:trPr>
          <w:trHeight w:val="510"/>
        </w:trPr>
        <w:tc>
          <w:tcPr>
            <w:tcW w:w="2518" w:type="dxa"/>
            <w:tcBorders>
              <w:top w:val="nil"/>
              <w:left w:val="single" w:sz="8" w:space="0" w:color="auto"/>
              <w:bottom w:val="single" w:sz="8" w:space="0" w:color="auto"/>
              <w:right w:val="single" w:sz="8" w:space="0" w:color="auto"/>
            </w:tcBorders>
            <w:vAlign w:val="center"/>
          </w:tcPr>
          <w:p w14:paraId="76A0B3BE"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Hard</w:t>
            </w:r>
          </w:p>
        </w:tc>
        <w:tc>
          <w:tcPr>
            <w:tcW w:w="1134" w:type="dxa"/>
            <w:tcBorders>
              <w:top w:val="nil"/>
              <w:left w:val="single" w:sz="8" w:space="0" w:color="auto"/>
              <w:bottom w:val="single" w:sz="8" w:space="0" w:color="auto"/>
              <w:right w:val="single" w:sz="8" w:space="0" w:color="auto"/>
            </w:tcBorders>
            <w:vAlign w:val="center"/>
          </w:tcPr>
          <w:p w14:paraId="0E1C8579"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0.650</w:t>
            </w:r>
          </w:p>
        </w:tc>
        <w:tc>
          <w:tcPr>
            <w:tcW w:w="1134" w:type="dxa"/>
            <w:tcBorders>
              <w:top w:val="nil"/>
              <w:left w:val="single" w:sz="8" w:space="0" w:color="auto"/>
              <w:bottom w:val="single" w:sz="8" w:space="0" w:color="auto"/>
              <w:right w:val="single" w:sz="8" w:space="0" w:color="auto"/>
            </w:tcBorders>
            <w:vAlign w:val="center"/>
          </w:tcPr>
          <w:p w14:paraId="773939C3"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p>
        </w:tc>
        <w:tc>
          <w:tcPr>
            <w:tcW w:w="1134" w:type="dxa"/>
            <w:gridSpan w:val="2"/>
            <w:tcBorders>
              <w:top w:val="single" w:sz="8" w:space="0" w:color="auto"/>
              <w:left w:val="single" w:sz="8" w:space="0" w:color="auto"/>
              <w:bottom w:val="single" w:sz="8" w:space="0" w:color="auto"/>
              <w:right w:val="single" w:sz="8" w:space="0" w:color="auto"/>
            </w:tcBorders>
            <w:vAlign w:val="center"/>
          </w:tcPr>
          <w:p w14:paraId="6969E0A1"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Simplified Arabic" w:hAnsi="Times New Roman" w:cs="Times New Roman"/>
                <w:b/>
                <w:bCs/>
                <w:color w:val="000000" w:themeColor="text1"/>
                <w:sz w:val="20"/>
                <w:szCs w:val="20"/>
                <w:lang w:val="fr"/>
              </w:rPr>
              <w:t xml:space="preserve"> </w:t>
            </w:r>
          </w:p>
        </w:tc>
        <w:tc>
          <w:tcPr>
            <w:tcW w:w="709" w:type="dxa"/>
            <w:tcBorders>
              <w:top w:val="nil"/>
              <w:left w:val="single" w:sz="8" w:space="0" w:color="auto"/>
              <w:bottom w:val="single" w:sz="8" w:space="0" w:color="auto"/>
              <w:right w:val="single" w:sz="8" w:space="0" w:color="auto"/>
            </w:tcBorders>
            <w:vAlign w:val="center"/>
          </w:tcPr>
          <w:p w14:paraId="1DDB64D2"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3.201</w:t>
            </w:r>
          </w:p>
        </w:tc>
        <w:tc>
          <w:tcPr>
            <w:tcW w:w="1134" w:type="dxa"/>
            <w:tcBorders>
              <w:top w:val="single" w:sz="8" w:space="0" w:color="auto"/>
              <w:left w:val="single" w:sz="8" w:space="0" w:color="auto"/>
              <w:bottom w:val="single" w:sz="8" w:space="0" w:color="auto"/>
              <w:right w:val="single" w:sz="8" w:space="0" w:color="auto"/>
            </w:tcBorders>
            <w:vAlign w:val="center"/>
          </w:tcPr>
          <w:p w14:paraId="04B78816"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0.003</w:t>
            </w:r>
          </w:p>
        </w:tc>
        <w:tc>
          <w:tcPr>
            <w:tcW w:w="1417" w:type="dxa"/>
            <w:tcBorders>
              <w:top w:val="nil"/>
              <w:left w:val="single" w:sz="8" w:space="0" w:color="auto"/>
              <w:bottom w:val="single" w:sz="8" w:space="0" w:color="auto"/>
              <w:right w:val="single" w:sz="8" w:space="0" w:color="auto"/>
            </w:tcBorders>
            <w:vAlign w:val="center"/>
          </w:tcPr>
          <w:p w14:paraId="0FEC6586"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Simplified Arabic" w:hAnsi="Times New Roman" w:cs="Times New Roman"/>
                <w:color w:val="000000" w:themeColor="text1"/>
                <w:sz w:val="20"/>
                <w:szCs w:val="20"/>
              </w:rPr>
              <w:t xml:space="preserve"> </w:t>
            </w:r>
          </w:p>
        </w:tc>
      </w:tr>
      <w:tr w:rsidR="00AE5E6C" w:rsidRPr="00164238" w14:paraId="0D75262E" w14:textId="77777777" w:rsidTr="00682CBF">
        <w:trPr>
          <w:trHeight w:val="510"/>
        </w:trPr>
        <w:tc>
          <w:tcPr>
            <w:tcW w:w="2518" w:type="dxa"/>
            <w:tcBorders>
              <w:top w:val="single" w:sz="8" w:space="0" w:color="auto"/>
              <w:left w:val="single" w:sz="8" w:space="0" w:color="auto"/>
              <w:bottom w:val="single" w:sz="8" w:space="0" w:color="000000" w:themeColor="text1"/>
              <w:right w:val="single" w:sz="8" w:space="0" w:color="auto"/>
            </w:tcBorders>
            <w:vAlign w:val="center"/>
          </w:tcPr>
          <w:p w14:paraId="3636A0F0"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Inspection and evaluation of the internal control system</w:t>
            </w:r>
          </w:p>
        </w:tc>
        <w:tc>
          <w:tcPr>
            <w:tcW w:w="1134" w:type="dxa"/>
            <w:tcBorders>
              <w:top w:val="single" w:sz="8" w:space="0" w:color="auto"/>
              <w:left w:val="single" w:sz="8" w:space="0" w:color="auto"/>
              <w:bottom w:val="single" w:sz="8" w:space="0" w:color="000000" w:themeColor="text1"/>
              <w:right w:val="single" w:sz="8" w:space="0" w:color="auto"/>
            </w:tcBorders>
            <w:vAlign w:val="center"/>
          </w:tcPr>
          <w:p w14:paraId="68C8DBBF"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0.316</w:t>
            </w:r>
          </w:p>
        </w:tc>
        <w:tc>
          <w:tcPr>
            <w:tcW w:w="1134" w:type="dxa"/>
            <w:tcBorders>
              <w:top w:val="single" w:sz="8" w:space="0" w:color="auto"/>
              <w:left w:val="single" w:sz="8" w:space="0" w:color="auto"/>
              <w:bottom w:val="single" w:sz="8" w:space="0" w:color="000000" w:themeColor="text1"/>
              <w:right w:val="single" w:sz="8" w:space="0" w:color="auto"/>
            </w:tcBorders>
            <w:vAlign w:val="center"/>
          </w:tcPr>
          <w:p w14:paraId="7CA30FF1"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0.650</w:t>
            </w:r>
          </w:p>
        </w:tc>
        <w:tc>
          <w:tcPr>
            <w:tcW w:w="1134" w:type="dxa"/>
            <w:gridSpan w:val="2"/>
            <w:tcBorders>
              <w:top w:val="single" w:sz="8" w:space="0" w:color="auto"/>
              <w:left w:val="single" w:sz="8" w:space="0" w:color="auto"/>
              <w:bottom w:val="single" w:sz="8" w:space="0" w:color="auto"/>
              <w:right w:val="single" w:sz="8" w:space="0" w:color="auto"/>
            </w:tcBorders>
          </w:tcPr>
          <w:p w14:paraId="16A77D6D"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Simplified Arabic" w:hAnsi="Times New Roman" w:cs="Times New Roman"/>
                <w:b/>
                <w:bCs/>
                <w:color w:val="000000" w:themeColor="text1"/>
                <w:sz w:val="20"/>
                <w:szCs w:val="20"/>
                <w:lang w:val="fr"/>
              </w:rPr>
              <w:t xml:space="preserve"> </w:t>
            </w:r>
          </w:p>
          <w:p w14:paraId="32836F3A"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Simplified Arabic" w:hAnsi="Times New Roman" w:cs="Times New Roman"/>
                <w:b/>
                <w:bCs/>
                <w:color w:val="000000" w:themeColor="text1"/>
                <w:sz w:val="20"/>
                <w:szCs w:val="20"/>
                <w:lang w:val="fr"/>
              </w:rPr>
              <w:t xml:space="preserve"> </w:t>
            </w:r>
          </w:p>
          <w:p w14:paraId="774ED97C"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0.423</w:t>
            </w:r>
          </w:p>
          <w:p w14:paraId="26FA6CF3"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Simplified Arabic" w:hAnsi="Times New Roman" w:cs="Times New Roman"/>
                <w:b/>
                <w:bCs/>
                <w:color w:val="000000" w:themeColor="text1"/>
                <w:sz w:val="20"/>
                <w:szCs w:val="20"/>
                <w:lang w:val="fr"/>
              </w:rPr>
              <w:t xml:space="preserve"> </w:t>
            </w:r>
          </w:p>
        </w:tc>
        <w:tc>
          <w:tcPr>
            <w:tcW w:w="709" w:type="dxa"/>
            <w:tcBorders>
              <w:top w:val="single" w:sz="8" w:space="0" w:color="auto"/>
              <w:left w:val="single" w:sz="8" w:space="0" w:color="auto"/>
              <w:bottom w:val="single" w:sz="8" w:space="0" w:color="000000" w:themeColor="text1"/>
              <w:right w:val="single" w:sz="8" w:space="0" w:color="auto"/>
            </w:tcBorders>
            <w:vAlign w:val="center"/>
          </w:tcPr>
          <w:p w14:paraId="70326657"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5.273</w:t>
            </w:r>
          </w:p>
        </w:tc>
        <w:tc>
          <w:tcPr>
            <w:tcW w:w="1134" w:type="dxa"/>
            <w:tcBorders>
              <w:top w:val="single" w:sz="8" w:space="0" w:color="auto"/>
              <w:left w:val="single" w:sz="8" w:space="0" w:color="auto"/>
              <w:bottom w:val="single" w:sz="8" w:space="0" w:color="auto"/>
              <w:right w:val="single" w:sz="8" w:space="0" w:color="auto"/>
            </w:tcBorders>
            <w:vAlign w:val="center"/>
          </w:tcPr>
          <w:p w14:paraId="588CFD0F"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0.000</w:t>
            </w:r>
          </w:p>
        </w:tc>
        <w:tc>
          <w:tcPr>
            <w:tcW w:w="1417" w:type="dxa"/>
            <w:tcBorders>
              <w:top w:val="single" w:sz="8" w:space="0" w:color="auto"/>
              <w:left w:val="single" w:sz="8" w:space="0" w:color="auto"/>
              <w:bottom w:val="single" w:sz="8" w:space="0" w:color="auto"/>
              <w:right w:val="single" w:sz="8" w:space="0" w:color="auto"/>
            </w:tcBorders>
            <w:vAlign w:val="center"/>
          </w:tcPr>
          <w:p w14:paraId="33D50031"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Slab</w:t>
            </w:r>
          </w:p>
        </w:tc>
      </w:tr>
      <w:tr w:rsidR="00AE5E6C" w:rsidRPr="00164238" w14:paraId="41C5515E" w14:textId="77777777" w:rsidTr="00682CBF">
        <w:trPr>
          <w:trHeight w:val="540"/>
        </w:trPr>
        <w:tc>
          <w:tcPr>
            <w:tcW w:w="9180" w:type="dxa"/>
            <w:gridSpan w:val="8"/>
            <w:tcBorders>
              <w:top w:val="single" w:sz="8" w:space="0" w:color="auto"/>
              <w:left w:val="single" w:sz="8" w:space="0" w:color="auto"/>
              <w:bottom w:val="single" w:sz="8" w:space="0" w:color="auto"/>
              <w:right w:val="single" w:sz="8" w:space="0" w:color="auto"/>
            </w:tcBorders>
            <w:vAlign w:val="center"/>
          </w:tcPr>
          <w:p w14:paraId="62466609"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ANOVA Contrast Analysis</w:t>
            </w:r>
          </w:p>
        </w:tc>
      </w:tr>
      <w:tr w:rsidR="00AE5E6C" w:rsidRPr="00164238" w14:paraId="487FBD04" w14:textId="77777777" w:rsidTr="00682CBF">
        <w:trPr>
          <w:trHeight w:val="510"/>
        </w:trPr>
        <w:tc>
          <w:tcPr>
            <w:tcW w:w="2518" w:type="dxa"/>
            <w:tcBorders>
              <w:top w:val="single" w:sz="8" w:space="0" w:color="auto"/>
              <w:left w:val="single" w:sz="8" w:space="0" w:color="000000" w:themeColor="text1"/>
              <w:bottom w:val="single" w:sz="8" w:space="0" w:color="auto"/>
              <w:right w:val="single" w:sz="8" w:space="0" w:color="auto"/>
            </w:tcBorders>
            <w:vAlign w:val="center"/>
          </w:tcPr>
          <w:p w14:paraId="49CF64C8"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F test value</w:t>
            </w:r>
          </w:p>
        </w:tc>
        <w:tc>
          <w:tcPr>
            <w:tcW w:w="1134" w:type="dxa"/>
            <w:tcBorders>
              <w:top w:val="nil"/>
              <w:left w:val="single" w:sz="8" w:space="0" w:color="000000" w:themeColor="text1"/>
              <w:bottom w:val="single" w:sz="8" w:space="0" w:color="auto"/>
              <w:right w:val="nil"/>
            </w:tcBorders>
            <w:vAlign w:val="center"/>
          </w:tcPr>
          <w:p w14:paraId="345A1A22"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27.801</w:t>
            </w:r>
          </w:p>
        </w:tc>
        <w:tc>
          <w:tcPr>
            <w:tcW w:w="1793" w:type="dxa"/>
            <w:gridSpan w:val="2"/>
            <w:tcBorders>
              <w:top w:val="nil"/>
              <w:left w:val="single" w:sz="8" w:space="0" w:color="000000" w:themeColor="text1"/>
              <w:bottom w:val="single" w:sz="8" w:space="0" w:color="auto"/>
              <w:right w:val="nil"/>
            </w:tcBorders>
            <w:vAlign w:val="center"/>
          </w:tcPr>
          <w:p w14:paraId="7FA95D25"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R-2</w:t>
            </w:r>
          </w:p>
        </w:tc>
        <w:tc>
          <w:tcPr>
            <w:tcW w:w="1184" w:type="dxa"/>
            <w:gridSpan w:val="2"/>
            <w:tcBorders>
              <w:top w:val="nil"/>
              <w:left w:val="single" w:sz="8" w:space="0" w:color="auto"/>
              <w:bottom w:val="single" w:sz="8" w:space="0" w:color="auto"/>
              <w:right w:val="nil"/>
            </w:tcBorders>
            <w:vAlign w:val="center"/>
          </w:tcPr>
          <w:p w14:paraId="1F6749A2"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bCs/>
                <w:color w:val="000000" w:themeColor="text1"/>
                <w:sz w:val="20"/>
                <w:szCs w:val="20"/>
                <w:lang w:val="en"/>
              </w:rPr>
              <w:t>0.407</w:t>
            </w:r>
          </w:p>
        </w:tc>
        <w:tc>
          <w:tcPr>
            <w:tcW w:w="1134" w:type="dxa"/>
            <w:tcBorders>
              <w:top w:val="nil"/>
              <w:left w:val="single" w:sz="8" w:space="0" w:color="auto"/>
              <w:bottom w:val="single" w:sz="8" w:space="0" w:color="auto"/>
              <w:right w:val="nil"/>
            </w:tcBorders>
            <w:vAlign w:val="center"/>
          </w:tcPr>
          <w:p w14:paraId="5880829F"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Probability value</w:t>
            </w:r>
          </w:p>
        </w:tc>
        <w:tc>
          <w:tcPr>
            <w:tcW w:w="1417" w:type="dxa"/>
            <w:tcBorders>
              <w:top w:val="nil"/>
              <w:left w:val="single" w:sz="8" w:space="0" w:color="auto"/>
              <w:bottom w:val="single" w:sz="8" w:space="0" w:color="auto"/>
              <w:right w:val="single" w:sz="8" w:space="0" w:color="auto"/>
            </w:tcBorders>
            <w:vAlign w:val="center"/>
          </w:tcPr>
          <w:p w14:paraId="5520057F"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bCs/>
                <w:color w:val="000000" w:themeColor="text1"/>
                <w:sz w:val="20"/>
                <w:szCs w:val="20"/>
                <w:lang w:val="en"/>
              </w:rPr>
              <w:t>0.000</w:t>
            </w:r>
          </w:p>
        </w:tc>
      </w:tr>
    </w:tbl>
    <w:p w14:paraId="67832129" w14:textId="77777777" w:rsidR="005633F5" w:rsidRPr="00164238" w:rsidRDefault="005633F5" w:rsidP="005633F5">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 Variable Affiliate Strategy Excellence D at 0.05</w:t>
      </w:r>
    </w:p>
    <w:p w14:paraId="2C9C1283" w14:textId="77777777" w:rsidR="005633F5" w:rsidRPr="00164238" w:rsidRDefault="005633F5" w:rsidP="006F033D">
      <w:pPr>
        <w:spacing w:after="0" w:line="240" w:lineRule="auto"/>
        <w:ind w:firstLine="708"/>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To see the impact of the use of artificial intelligence in the internal audit process on the examination and evaluation of the internal control system in the Palestinian government sector, regression analysis was carried out, and the previous table shows that the adjusted selection coefficient = 0.407, which means that the change in the examination and evaluation of the internal control system _ so that the internal control system is reliable (dependent variable) (x-variable) was explained by the change in the use of Artificial Intelligence in the internal audit process (independent variable), and the probability value (Sig.)   Below  the 0.05 level of indication≥  α this indicates the effect of the use of artificial intelligence in the internal audit process on the examination and evaluation of the internal control system in the Palestinian government sector so that it can be relied upon according to the following regression equation:</w:t>
      </w:r>
    </w:p>
    <w:p w14:paraId="7A7F05A7" w14:textId="77777777" w:rsidR="005633F5" w:rsidRPr="00164238" w:rsidRDefault="005633F5" w:rsidP="005633F5">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And 0.650 + 0. 0.316X</w:t>
      </w:r>
      <w:r w:rsidRPr="00164238">
        <w:rPr>
          <w:rFonts w:ascii="Times New Roman" w:eastAsia="Calibri" w:hAnsi="Times New Roman" w:cs="Times New Roman"/>
          <w:color w:val="000000" w:themeColor="text1"/>
          <w:sz w:val="20"/>
          <w:szCs w:val="20"/>
          <w:vertAlign w:val="subscript"/>
          <w:lang w:val="en"/>
        </w:rPr>
        <w:t>3</w:t>
      </w:r>
    </w:p>
    <w:p w14:paraId="7608BE3E" w14:textId="25536F30" w:rsidR="005633F5" w:rsidRPr="00164238" w:rsidRDefault="005633F5" w:rsidP="005633F5">
      <w:pPr>
        <w:spacing w:after="0" w:line="240" w:lineRule="auto"/>
        <w:jc w:val="lowKashida"/>
        <w:rPr>
          <w:rFonts w:ascii="Times New Roman" w:eastAsia="Calibri" w:hAnsi="Times New Roman" w:cs="Times New Roman"/>
          <w:color w:val="000000" w:themeColor="text1"/>
          <w:sz w:val="20"/>
          <w:szCs w:val="20"/>
          <w:lang w:val="en"/>
        </w:rPr>
      </w:pPr>
      <w:r w:rsidRPr="00164238">
        <w:rPr>
          <w:rFonts w:ascii="Times New Roman" w:eastAsia="Calibri" w:hAnsi="Times New Roman" w:cs="Times New Roman"/>
          <w:color w:val="000000" w:themeColor="text1"/>
          <w:sz w:val="20"/>
          <w:szCs w:val="20"/>
          <w:lang w:val="en"/>
        </w:rPr>
        <w:t>This means that the use of artificial intelligence in the internal audit process affects the dependent variable (internal control system check and evaluation) by 31.6%.</w:t>
      </w:r>
    </w:p>
    <w:p w14:paraId="0CDD5C2F" w14:textId="77777777" w:rsidR="006F033D" w:rsidRPr="00164238" w:rsidRDefault="006F033D" w:rsidP="005633F5">
      <w:pPr>
        <w:spacing w:after="0" w:line="240" w:lineRule="auto"/>
        <w:jc w:val="lowKashida"/>
        <w:rPr>
          <w:rFonts w:ascii="Times New Roman" w:eastAsia="Calibri" w:hAnsi="Times New Roman" w:cs="Times New Roman"/>
          <w:color w:val="000000" w:themeColor="text1"/>
          <w:sz w:val="20"/>
          <w:szCs w:val="20"/>
        </w:rPr>
      </w:pPr>
    </w:p>
    <w:p w14:paraId="487743FD" w14:textId="77777777" w:rsidR="005633F5" w:rsidRPr="00164238" w:rsidRDefault="005633F5" w:rsidP="005633F5">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 xml:space="preserve">3. Regression analysis of the third dependent variable: </w:t>
      </w:r>
      <w:r w:rsidRPr="00164238">
        <w:rPr>
          <w:rFonts w:ascii="Times New Roman" w:eastAsia="Calibri" w:hAnsi="Times New Roman" w:cs="Times New Roman"/>
          <w:color w:val="000000" w:themeColor="text1"/>
          <w:sz w:val="20"/>
          <w:szCs w:val="20"/>
          <w:lang w:val="en"/>
        </w:rPr>
        <w:t xml:space="preserve"> </w:t>
      </w:r>
      <w:r w:rsidRPr="00164238">
        <w:rPr>
          <w:rFonts w:ascii="Times New Roman" w:eastAsia="Calibri" w:hAnsi="Times New Roman" w:cs="Times New Roman"/>
          <w:b/>
          <w:color w:val="000000" w:themeColor="text1"/>
          <w:sz w:val="20"/>
          <w:szCs w:val="20"/>
          <w:lang w:val="en"/>
        </w:rPr>
        <w:t>(strengthening governance procedures).</w:t>
      </w:r>
    </w:p>
    <w:p w14:paraId="2278174E" w14:textId="77777777" w:rsidR="005633F5" w:rsidRPr="00164238" w:rsidRDefault="005633F5" w:rsidP="005633F5">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Table (9) Regression analysis of the variable of the affiliate "Strengthening governance procedures"</w:t>
      </w:r>
    </w:p>
    <w:tbl>
      <w:tblPr>
        <w:tblW w:w="0" w:type="auto"/>
        <w:tblLayout w:type="fixed"/>
        <w:tblLook w:val="04A0" w:firstRow="1" w:lastRow="0" w:firstColumn="1" w:lastColumn="0" w:noHBand="0" w:noVBand="1"/>
      </w:tblPr>
      <w:tblGrid>
        <w:gridCol w:w="2518"/>
        <w:gridCol w:w="1134"/>
        <w:gridCol w:w="1134"/>
        <w:gridCol w:w="1134"/>
        <w:gridCol w:w="709"/>
        <w:gridCol w:w="1134"/>
        <w:gridCol w:w="1417"/>
      </w:tblGrid>
      <w:tr w:rsidR="00AE5E6C" w:rsidRPr="00164238" w14:paraId="1E8CB0FE" w14:textId="77777777" w:rsidTr="00682CBF">
        <w:trPr>
          <w:trHeight w:val="945"/>
        </w:trPr>
        <w:tc>
          <w:tcPr>
            <w:tcW w:w="2518" w:type="dxa"/>
            <w:vMerge w:val="restart"/>
            <w:tcBorders>
              <w:top w:val="single" w:sz="8" w:space="0" w:color="auto"/>
              <w:left w:val="single" w:sz="8" w:space="0" w:color="auto"/>
              <w:bottom w:val="single" w:sz="8" w:space="0" w:color="000000" w:themeColor="text1"/>
              <w:right w:val="single" w:sz="8" w:space="0" w:color="auto"/>
            </w:tcBorders>
            <w:shd w:val="clear" w:color="auto" w:fill="F2F2F2" w:themeFill="background1" w:themeFillShade="F2"/>
            <w:vAlign w:val="center"/>
          </w:tcPr>
          <w:p w14:paraId="7422CF5E"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Independent variables</w:t>
            </w:r>
          </w:p>
        </w:tc>
        <w:tc>
          <w:tcPr>
            <w:tcW w:w="1134" w:type="dxa"/>
            <w:vMerge w:val="restart"/>
            <w:tcBorders>
              <w:top w:val="single" w:sz="8" w:space="0" w:color="auto"/>
              <w:left w:val="single" w:sz="8" w:space="0" w:color="auto"/>
              <w:bottom w:val="single" w:sz="8" w:space="0" w:color="000000" w:themeColor="text1"/>
              <w:right w:val="nil"/>
            </w:tcBorders>
            <w:shd w:val="clear" w:color="auto" w:fill="F2F2F2" w:themeFill="background1" w:themeFillShade="F2"/>
            <w:vAlign w:val="center"/>
          </w:tcPr>
          <w:p w14:paraId="767A46A6"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Regression coefficients</w:t>
            </w:r>
          </w:p>
        </w:tc>
        <w:tc>
          <w:tcPr>
            <w:tcW w:w="1134" w:type="dxa"/>
            <w:vMerge w:val="restart"/>
            <w:tcBorders>
              <w:top w:val="single" w:sz="8" w:space="0" w:color="auto"/>
              <w:left w:val="single" w:sz="8" w:space="0" w:color="auto"/>
              <w:bottom w:val="single" w:sz="8" w:space="0" w:color="000000" w:themeColor="text1"/>
              <w:right w:val="single" w:sz="8" w:space="0" w:color="auto"/>
            </w:tcBorders>
            <w:shd w:val="clear" w:color="auto" w:fill="F2F2F2" w:themeFill="background1" w:themeFillShade="F2"/>
            <w:vAlign w:val="center"/>
          </w:tcPr>
          <w:p w14:paraId="4BF55819" w14:textId="77777777" w:rsidR="005633F5" w:rsidRPr="00164238" w:rsidRDefault="005633F5" w:rsidP="00682CBF">
            <w:pPr>
              <w:spacing w:after="0" w:line="240" w:lineRule="auto"/>
              <w:jc w:val="center"/>
              <w:rPr>
                <w:rFonts w:ascii="Times New Roman" w:eastAsia="Calibri" w:hAnsi="Times New Roman" w:cs="Times New Roman"/>
                <w:b/>
                <w:color w:val="000000" w:themeColor="text1"/>
                <w:sz w:val="20"/>
                <w:szCs w:val="20"/>
              </w:rPr>
            </w:pPr>
            <w:r w:rsidRPr="00164238">
              <w:rPr>
                <w:rFonts w:ascii="Times New Roman" w:eastAsia="Calibri" w:hAnsi="Times New Roman" w:cs="Times New Roman"/>
                <w:b/>
                <w:color w:val="000000" w:themeColor="text1"/>
                <w:sz w:val="20"/>
                <w:szCs w:val="20"/>
                <w:lang w:val="en"/>
              </w:rPr>
              <w:t>Regression</w:t>
            </w:r>
          </w:p>
          <w:p w14:paraId="1E41926C"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bCs/>
                <w:color w:val="000000" w:themeColor="text1"/>
                <w:sz w:val="20"/>
                <w:szCs w:val="20"/>
                <w:lang w:val="en"/>
              </w:rPr>
              <w:t>R</w:t>
            </w:r>
          </w:p>
        </w:tc>
        <w:tc>
          <w:tcPr>
            <w:tcW w:w="1134" w:type="dxa"/>
            <w:tcBorders>
              <w:top w:val="single" w:sz="8" w:space="0" w:color="auto"/>
              <w:left w:val="single" w:sz="8" w:space="0" w:color="auto"/>
              <w:bottom w:val="nil"/>
              <w:right w:val="nil"/>
            </w:tcBorders>
            <w:shd w:val="clear" w:color="auto" w:fill="F2F2F2" w:themeFill="background1" w:themeFillShade="F2"/>
            <w:vAlign w:val="center"/>
          </w:tcPr>
          <w:p w14:paraId="549AFCD2"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Selection coefficient</w:t>
            </w:r>
          </w:p>
          <w:p w14:paraId="58E1D7FC"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bCs/>
                <w:color w:val="000000" w:themeColor="text1"/>
                <w:sz w:val="20"/>
                <w:szCs w:val="20"/>
                <w:lang w:val="en"/>
              </w:rPr>
              <w:t>R2</w:t>
            </w:r>
          </w:p>
        </w:tc>
        <w:tc>
          <w:tcPr>
            <w:tcW w:w="709" w:type="dxa"/>
            <w:vMerge w:val="restart"/>
            <w:tcBorders>
              <w:top w:val="single" w:sz="8" w:space="0" w:color="auto"/>
              <w:left w:val="single" w:sz="8" w:space="0" w:color="auto"/>
              <w:bottom w:val="single" w:sz="8" w:space="0" w:color="000000" w:themeColor="text1"/>
              <w:right w:val="single" w:sz="8" w:space="0" w:color="auto"/>
            </w:tcBorders>
            <w:shd w:val="clear" w:color="auto" w:fill="F2F2F2" w:themeFill="background1" w:themeFillShade="F2"/>
            <w:vAlign w:val="center"/>
          </w:tcPr>
          <w:p w14:paraId="6B27B443"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Value</w:t>
            </w:r>
          </w:p>
          <w:p w14:paraId="6D3B66BF"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t</w:t>
            </w:r>
          </w:p>
        </w:tc>
        <w:tc>
          <w:tcPr>
            <w:tcW w:w="1134" w:type="dxa"/>
            <w:tcBorders>
              <w:top w:val="single" w:sz="8" w:space="0" w:color="auto"/>
              <w:left w:val="single" w:sz="8" w:space="0" w:color="auto"/>
              <w:bottom w:val="nil"/>
              <w:right w:val="nil"/>
            </w:tcBorders>
            <w:shd w:val="clear" w:color="auto" w:fill="F2F2F2" w:themeFill="background1" w:themeFillShade="F2"/>
            <w:vAlign w:val="center"/>
          </w:tcPr>
          <w:p w14:paraId="1AE1A9B2"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Probability value</w:t>
            </w:r>
          </w:p>
        </w:tc>
        <w:tc>
          <w:tcPr>
            <w:tcW w:w="1417" w:type="dxa"/>
            <w:vMerge w:val="restart"/>
            <w:tcBorders>
              <w:top w:val="single" w:sz="8" w:space="0" w:color="auto"/>
              <w:left w:val="single" w:sz="8" w:space="0" w:color="auto"/>
              <w:bottom w:val="single" w:sz="8" w:space="0" w:color="auto"/>
              <w:right w:val="single" w:sz="8" w:space="0" w:color="auto"/>
            </w:tcBorders>
            <w:shd w:val="clear" w:color="auto" w:fill="F2F2F2" w:themeFill="background1" w:themeFillShade="F2"/>
            <w:vAlign w:val="center"/>
          </w:tcPr>
          <w:p w14:paraId="5E37D253"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Indication level at (0.05)</w:t>
            </w:r>
          </w:p>
        </w:tc>
      </w:tr>
      <w:tr w:rsidR="00AE5E6C" w:rsidRPr="00164238" w14:paraId="7E7EC393" w14:textId="77777777" w:rsidTr="00682CBF">
        <w:trPr>
          <w:trHeight w:val="330"/>
        </w:trPr>
        <w:tc>
          <w:tcPr>
            <w:tcW w:w="2518" w:type="dxa"/>
            <w:vMerge/>
            <w:vAlign w:val="center"/>
          </w:tcPr>
          <w:p w14:paraId="166EB6E6"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p>
        </w:tc>
        <w:tc>
          <w:tcPr>
            <w:tcW w:w="1134" w:type="dxa"/>
            <w:vMerge/>
            <w:vAlign w:val="center"/>
          </w:tcPr>
          <w:p w14:paraId="306B58FE"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p>
        </w:tc>
        <w:tc>
          <w:tcPr>
            <w:tcW w:w="1134" w:type="dxa"/>
            <w:vMerge/>
            <w:vAlign w:val="center"/>
          </w:tcPr>
          <w:p w14:paraId="2141CE09"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p>
        </w:tc>
        <w:tc>
          <w:tcPr>
            <w:tcW w:w="1134" w:type="dxa"/>
            <w:tcBorders>
              <w:top w:val="nil"/>
              <w:left w:val="single" w:sz="8" w:space="0" w:color="auto"/>
              <w:bottom w:val="single" w:sz="8" w:space="0" w:color="auto"/>
              <w:right w:val="nil"/>
            </w:tcBorders>
            <w:shd w:val="clear" w:color="auto" w:fill="F2F2F2" w:themeFill="background1" w:themeFillShade="F2"/>
            <w:vAlign w:val="center"/>
          </w:tcPr>
          <w:p w14:paraId="7489E6DD"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p>
        </w:tc>
        <w:tc>
          <w:tcPr>
            <w:tcW w:w="709" w:type="dxa"/>
            <w:vMerge/>
            <w:vAlign w:val="center"/>
          </w:tcPr>
          <w:p w14:paraId="696AA3F2"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p>
        </w:tc>
        <w:tc>
          <w:tcPr>
            <w:tcW w:w="1134" w:type="dxa"/>
            <w:tcBorders>
              <w:top w:val="nil"/>
              <w:left w:val="single" w:sz="8" w:space="0" w:color="auto"/>
              <w:bottom w:val="single" w:sz="8" w:space="0" w:color="auto"/>
              <w:right w:val="nil"/>
            </w:tcBorders>
            <w:shd w:val="clear" w:color="auto" w:fill="F2F2F2" w:themeFill="background1" w:themeFillShade="F2"/>
            <w:vAlign w:val="center"/>
          </w:tcPr>
          <w:p w14:paraId="3B2057E7"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bCs/>
                <w:color w:val="000000" w:themeColor="text1"/>
                <w:sz w:val="20"/>
                <w:szCs w:val="20"/>
                <w:lang w:val="fr-FR"/>
              </w:rPr>
              <w:t>sig.</w:t>
            </w:r>
          </w:p>
        </w:tc>
        <w:tc>
          <w:tcPr>
            <w:tcW w:w="1417" w:type="dxa"/>
            <w:vMerge/>
            <w:vAlign w:val="center"/>
          </w:tcPr>
          <w:p w14:paraId="62D8FC5A"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p>
        </w:tc>
      </w:tr>
      <w:tr w:rsidR="00AE5E6C" w:rsidRPr="00164238" w14:paraId="055DDB42" w14:textId="77777777" w:rsidTr="00682CBF">
        <w:trPr>
          <w:trHeight w:val="510"/>
        </w:trPr>
        <w:tc>
          <w:tcPr>
            <w:tcW w:w="2518" w:type="dxa"/>
            <w:tcBorders>
              <w:top w:val="nil"/>
              <w:left w:val="single" w:sz="8" w:space="0" w:color="auto"/>
              <w:bottom w:val="single" w:sz="8" w:space="0" w:color="auto"/>
              <w:right w:val="single" w:sz="8" w:space="0" w:color="auto"/>
            </w:tcBorders>
            <w:vAlign w:val="center"/>
          </w:tcPr>
          <w:p w14:paraId="319DD3E3"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Hard</w:t>
            </w:r>
          </w:p>
        </w:tc>
        <w:tc>
          <w:tcPr>
            <w:tcW w:w="1134" w:type="dxa"/>
            <w:tcBorders>
              <w:top w:val="nil"/>
              <w:left w:val="single" w:sz="8" w:space="0" w:color="auto"/>
              <w:bottom w:val="single" w:sz="8" w:space="0" w:color="auto"/>
              <w:right w:val="single" w:sz="8" w:space="0" w:color="auto"/>
            </w:tcBorders>
            <w:vAlign w:val="center"/>
          </w:tcPr>
          <w:p w14:paraId="0ED67CC4"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0.663</w:t>
            </w:r>
          </w:p>
        </w:tc>
        <w:tc>
          <w:tcPr>
            <w:tcW w:w="1134" w:type="dxa"/>
            <w:tcBorders>
              <w:top w:val="nil"/>
              <w:left w:val="single" w:sz="8" w:space="0" w:color="auto"/>
              <w:bottom w:val="single" w:sz="8" w:space="0" w:color="auto"/>
              <w:right w:val="single" w:sz="8" w:space="0" w:color="auto"/>
            </w:tcBorders>
            <w:vAlign w:val="center"/>
          </w:tcPr>
          <w:p w14:paraId="557D21C0"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p>
        </w:tc>
        <w:tc>
          <w:tcPr>
            <w:tcW w:w="1134" w:type="dxa"/>
            <w:tcBorders>
              <w:top w:val="single" w:sz="8" w:space="0" w:color="auto"/>
              <w:left w:val="single" w:sz="8" w:space="0" w:color="auto"/>
              <w:bottom w:val="single" w:sz="8" w:space="0" w:color="auto"/>
              <w:right w:val="single" w:sz="8" w:space="0" w:color="auto"/>
            </w:tcBorders>
            <w:vAlign w:val="center"/>
          </w:tcPr>
          <w:p w14:paraId="3C84A595"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p>
        </w:tc>
        <w:tc>
          <w:tcPr>
            <w:tcW w:w="709" w:type="dxa"/>
            <w:tcBorders>
              <w:top w:val="nil"/>
              <w:left w:val="single" w:sz="8" w:space="0" w:color="auto"/>
              <w:bottom w:val="single" w:sz="8" w:space="0" w:color="auto"/>
              <w:right w:val="single" w:sz="8" w:space="0" w:color="auto"/>
            </w:tcBorders>
            <w:vAlign w:val="center"/>
          </w:tcPr>
          <w:p w14:paraId="47D10F02"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1.501</w:t>
            </w:r>
          </w:p>
        </w:tc>
        <w:tc>
          <w:tcPr>
            <w:tcW w:w="1134" w:type="dxa"/>
            <w:tcBorders>
              <w:top w:val="single" w:sz="8" w:space="0" w:color="auto"/>
              <w:left w:val="single" w:sz="8" w:space="0" w:color="auto"/>
              <w:bottom w:val="single" w:sz="8" w:space="0" w:color="auto"/>
              <w:right w:val="single" w:sz="8" w:space="0" w:color="auto"/>
            </w:tcBorders>
            <w:vAlign w:val="center"/>
          </w:tcPr>
          <w:p w14:paraId="3A399D50"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0.139</w:t>
            </w:r>
          </w:p>
        </w:tc>
        <w:tc>
          <w:tcPr>
            <w:tcW w:w="1417" w:type="dxa"/>
            <w:tcBorders>
              <w:top w:val="nil"/>
              <w:left w:val="single" w:sz="8" w:space="0" w:color="auto"/>
              <w:bottom w:val="single" w:sz="8" w:space="0" w:color="auto"/>
              <w:right w:val="single" w:sz="8" w:space="0" w:color="auto"/>
            </w:tcBorders>
            <w:vAlign w:val="center"/>
          </w:tcPr>
          <w:p w14:paraId="4F54DAE1"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p>
        </w:tc>
      </w:tr>
      <w:tr w:rsidR="00AE5E6C" w:rsidRPr="00164238" w14:paraId="30934F44" w14:textId="77777777" w:rsidTr="00682CBF">
        <w:trPr>
          <w:trHeight w:val="510"/>
        </w:trPr>
        <w:tc>
          <w:tcPr>
            <w:tcW w:w="2518" w:type="dxa"/>
            <w:tcBorders>
              <w:top w:val="single" w:sz="8" w:space="0" w:color="auto"/>
              <w:left w:val="single" w:sz="8" w:space="0" w:color="auto"/>
              <w:bottom w:val="single" w:sz="8" w:space="0" w:color="000000" w:themeColor="text1"/>
              <w:right w:val="single" w:sz="8" w:space="0" w:color="auto"/>
            </w:tcBorders>
            <w:vAlign w:val="center"/>
          </w:tcPr>
          <w:p w14:paraId="7CB12D91"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Strengthening governance procedures</w:t>
            </w:r>
          </w:p>
        </w:tc>
        <w:tc>
          <w:tcPr>
            <w:tcW w:w="1134" w:type="dxa"/>
            <w:tcBorders>
              <w:top w:val="single" w:sz="8" w:space="0" w:color="auto"/>
              <w:left w:val="single" w:sz="8" w:space="0" w:color="auto"/>
              <w:bottom w:val="single" w:sz="8" w:space="0" w:color="000000" w:themeColor="text1"/>
              <w:right w:val="single" w:sz="8" w:space="0" w:color="auto"/>
            </w:tcBorders>
            <w:vAlign w:val="center"/>
          </w:tcPr>
          <w:p w14:paraId="342E1587"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0.321</w:t>
            </w:r>
          </w:p>
        </w:tc>
        <w:tc>
          <w:tcPr>
            <w:tcW w:w="1134" w:type="dxa"/>
            <w:tcBorders>
              <w:top w:val="single" w:sz="8" w:space="0" w:color="auto"/>
              <w:left w:val="single" w:sz="8" w:space="0" w:color="auto"/>
              <w:bottom w:val="single" w:sz="8" w:space="0" w:color="000000" w:themeColor="text1"/>
              <w:right w:val="single" w:sz="8" w:space="0" w:color="auto"/>
            </w:tcBorders>
            <w:vAlign w:val="center"/>
          </w:tcPr>
          <w:p w14:paraId="66FCADA3"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0.663</w:t>
            </w:r>
          </w:p>
        </w:tc>
        <w:tc>
          <w:tcPr>
            <w:tcW w:w="1134" w:type="dxa"/>
            <w:tcBorders>
              <w:top w:val="single" w:sz="8" w:space="0" w:color="auto"/>
              <w:left w:val="single" w:sz="8" w:space="0" w:color="auto"/>
              <w:bottom w:val="single" w:sz="8" w:space="0" w:color="auto"/>
              <w:right w:val="single" w:sz="8" w:space="0" w:color="auto"/>
            </w:tcBorders>
            <w:vAlign w:val="center"/>
          </w:tcPr>
          <w:p w14:paraId="069E3F01"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0.586</w:t>
            </w:r>
          </w:p>
        </w:tc>
        <w:tc>
          <w:tcPr>
            <w:tcW w:w="709" w:type="dxa"/>
            <w:tcBorders>
              <w:top w:val="single" w:sz="8" w:space="0" w:color="auto"/>
              <w:left w:val="single" w:sz="8" w:space="0" w:color="auto"/>
              <w:bottom w:val="single" w:sz="8" w:space="0" w:color="000000" w:themeColor="text1"/>
              <w:right w:val="single" w:sz="8" w:space="0" w:color="auto"/>
            </w:tcBorders>
          </w:tcPr>
          <w:p w14:paraId="7FE3B558"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0.592</w:t>
            </w:r>
          </w:p>
        </w:tc>
        <w:tc>
          <w:tcPr>
            <w:tcW w:w="1134" w:type="dxa"/>
            <w:tcBorders>
              <w:top w:val="single" w:sz="8" w:space="0" w:color="auto"/>
              <w:left w:val="single" w:sz="8" w:space="0" w:color="auto"/>
              <w:bottom w:val="single" w:sz="8" w:space="0" w:color="auto"/>
              <w:right w:val="single" w:sz="8" w:space="0" w:color="auto"/>
            </w:tcBorders>
            <w:vAlign w:val="center"/>
          </w:tcPr>
          <w:p w14:paraId="5DB0E2B5"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0.000</w:t>
            </w:r>
          </w:p>
        </w:tc>
        <w:tc>
          <w:tcPr>
            <w:tcW w:w="1417" w:type="dxa"/>
            <w:tcBorders>
              <w:top w:val="single" w:sz="8" w:space="0" w:color="auto"/>
              <w:left w:val="single" w:sz="8" w:space="0" w:color="auto"/>
              <w:bottom w:val="single" w:sz="8" w:space="0" w:color="auto"/>
              <w:right w:val="single" w:sz="8" w:space="0" w:color="auto"/>
            </w:tcBorders>
            <w:vAlign w:val="center"/>
          </w:tcPr>
          <w:p w14:paraId="65F62FC4" w14:textId="77777777" w:rsidR="005633F5" w:rsidRPr="00164238" w:rsidRDefault="005633F5" w:rsidP="00682CBF">
            <w:pPr>
              <w:spacing w:after="0" w:line="240" w:lineRule="auto"/>
              <w:jc w:val="center"/>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Slab</w:t>
            </w:r>
          </w:p>
        </w:tc>
      </w:tr>
      <w:tr w:rsidR="00AE5E6C" w:rsidRPr="00164238" w14:paraId="31A829CF" w14:textId="77777777" w:rsidTr="00682CBF">
        <w:trPr>
          <w:trHeight w:val="540"/>
        </w:trPr>
        <w:tc>
          <w:tcPr>
            <w:tcW w:w="9180" w:type="dxa"/>
            <w:gridSpan w:val="7"/>
            <w:tcBorders>
              <w:top w:val="single" w:sz="8" w:space="0" w:color="auto"/>
              <w:left w:val="single" w:sz="8" w:space="0" w:color="auto"/>
              <w:bottom w:val="single" w:sz="8" w:space="0" w:color="auto"/>
              <w:right w:val="single" w:sz="8" w:space="0" w:color="auto"/>
            </w:tcBorders>
            <w:vAlign w:val="center"/>
          </w:tcPr>
          <w:p w14:paraId="1E54AE1C" w14:textId="77777777" w:rsidR="005633F5" w:rsidRPr="00164238" w:rsidRDefault="005633F5" w:rsidP="00682CBF">
            <w:pPr>
              <w:spacing w:after="0" w:line="240" w:lineRule="auto"/>
              <w:jc w:val="center"/>
              <w:rPr>
                <w:rFonts w:ascii="Times New Roman" w:eastAsia="Calibri" w:hAnsi="Times New Roman" w:cs="Times New Roman"/>
                <w:b/>
                <w:color w:val="000000" w:themeColor="text1"/>
                <w:sz w:val="20"/>
                <w:szCs w:val="20"/>
              </w:rPr>
            </w:pPr>
            <w:r w:rsidRPr="00164238">
              <w:rPr>
                <w:rFonts w:ascii="Times New Roman" w:eastAsia="Calibri" w:hAnsi="Times New Roman" w:cs="Times New Roman"/>
                <w:b/>
                <w:color w:val="000000" w:themeColor="text1"/>
                <w:sz w:val="20"/>
                <w:szCs w:val="20"/>
                <w:lang w:val="en"/>
              </w:rPr>
              <w:t>ANOVA Contrast Analysis</w:t>
            </w:r>
          </w:p>
        </w:tc>
      </w:tr>
      <w:tr w:rsidR="00AE5E6C" w:rsidRPr="00164238" w14:paraId="20D5567E" w14:textId="77777777" w:rsidTr="00682CBF">
        <w:trPr>
          <w:trHeight w:val="510"/>
        </w:trPr>
        <w:tc>
          <w:tcPr>
            <w:tcW w:w="2518" w:type="dxa"/>
            <w:tcBorders>
              <w:top w:val="single" w:sz="8" w:space="0" w:color="auto"/>
              <w:left w:val="single" w:sz="8" w:space="0" w:color="000000" w:themeColor="text1"/>
              <w:bottom w:val="single" w:sz="8" w:space="0" w:color="auto"/>
              <w:right w:val="single" w:sz="8" w:space="0" w:color="auto"/>
            </w:tcBorders>
            <w:vAlign w:val="center"/>
          </w:tcPr>
          <w:p w14:paraId="1B58C889"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lastRenderedPageBreak/>
              <w:t>F test value</w:t>
            </w:r>
          </w:p>
        </w:tc>
        <w:tc>
          <w:tcPr>
            <w:tcW w:w="1134" w:type="dxa"/>
            <w:tcBorders>
              <w:top w:val="nil"/>
              <w:left w:val="single" w:sz="8" w:space="0" w:color="000000" w:themeColor="text1"/>
              <w:bottom w:val="single" w:sz="8" w:space="0" w:color="auto"/>
              <w:right w:val="nil"/>
            </w:tcBorders>
            <w:vAlign w:val="center"/>
          </w:tcPr>
          <w:p w14:paraId="3811FD8C"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36.25</w:t>
            </w:r>
          </w:p>
        </w:tc>
        <w:tc>
          <w:tcPr>
            <w:tcW w:w="2268" w:type="dxa"/>
            <w:gridSpan w:val="2"/>
            <w:tcBorders>
              <w:top w:val="nil"/>
              <w:left w:val="single" w:sz="8" w:space="0" w:color="000000" w:themeColor="text1"/>
              <w:bottom w:val="single" w:sz="8" w:space="0" w:color="auto"/>
              <w:right w:val="nil"/>
            </w:tcBorders>
            <w:vAlign w:val="center"/>
          </w:tcPr>
          <w:p w14:paraId="2538AC2B"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R-2</w:t>
            </w:r>
          </w:p>
        </w:tc>
        <w:tc>
          <w:tcPr>
            <w:tcW w:w="709" w:type="dxa"/>
            <w:tcBorders>
              <w:top w:val="nil"/>
              <w:left w:val="single" w:sz="8" w:space="0" w:color="auto"/>
              <w:bottom w:val="single" w:sz="8" w:space="0" w:color="auto"/>
              <w:right w:val="nil"/>
            </w:tcBorders>
            <w:vAlign w:val="center"/>
          </w:tcPr>
          <w:p w14:paraId="0A31ABF7"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bCs/>
                <w:color w:val="000000" w:themeColor="text1"/>
                <w:sz w:val="20"/>
                <w:szCs w:val="20"/>
                <w:lang w:val="en"/>
              </w:rPr>
              <w:t>0.545</w:t>
            </w:r>
          </w:p>
        </w:tc>
        <w:tc>
          <w:tcPr>
            <w:tcW w:w="1134" w:type="dxa"/>
            <w:tcBorders>
              <w:top w:val="nil"/>
              <w:left w:val="single" w:sz="8" w:space="0" w:color="auto"/>
              <w:bottom w:val="single" w:sz="8" w:space="0" w:color="auto"/>
              <w:right w:val="nil"/>
            </w:tcBorders>
            <w:vAlign w:val="center"/>
          </w:tcPr>
          <w:p w14:paraId="2E9EDB01"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Probability value</w:t>
            </w:r>
          </w:p>
        </w:tc>
        <w:tc>
          <w:tcPr>
            <w:tcW w:w="1417" w:type="dxa"/>
            <w:tcBorders>
              <w:top w:val="nil"/>
              <w:left w:val="single" w:sz="8" w:space="0" w:color="auto"/>
              <w:bottom w:val="single" w:sz="8" w:space="0" w:color="auto"/>
              <w:right w:val="single" w:sz="8" w:space="0" w:color="auto"/>
            </w:tcBorders>
            <w:vAlign w:val="center"/>
          </w:tcPr>
          <w:p w14:paraId="1F4478A7" w14:textId="77777777" w:rsidR="005633F5" w:rsidRPr="00164238" w:rsidRDefault="005633F5" w:rsidP="00682CBF">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bCs/>
                <w:color w:val="000000" w:themeColor="text1"/>
                <w:sz w:val="20"/>
                <w:szCs w:val="20"/>
                <w:lang w:val="en"/>
              </w:rPr>
              <w:t>0.000</w:t>
            </w:r>
          </w:p>
        </w:tc>
      </w:tr>
    </w:tbl>
    <w:p w14:paraId="3363DF9D" w14:textId="77777777" w:rsidR="005633F5" w:rsidRPr="00164238" w:rsidRDefault="005633F5" w:rsidP="005633F5">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 Variable dependent D focus strategy at 0.05 indicative level</w:t>
      </w:r>
    </w:p>
    <w:p w14:paraId="19865A96" w14:textId="77777777" w:rsidR="005633F5" w:rsidRPr="00164238" w:rsidRDefault="005633F5" w:rsidP="006F033D">
      <w:pPr>
        <w:spacing w:after="0" w:line="240" w:lineRule="auto"/>
        <w:ind w:firstLine="708"/>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To determine the impact of the use of Artificial Intelligence in the internal audit process on strengthening governance procedures in the Palestinian government sector, regression analysis was carried out, and the previous table shows that the adjusted determination coefficient =0.545 means that the change in the strengthening of governance procedures (the dependent variable) was explained by     the change in the use of Artificial Intelligence in the internal audit process (independent variable). Below  the 0.05 level of significance≥  α this indicates the effect of the use of artificial intelligence in the internal audit process on strengthening governance procedures in the Palestinian government sector according to the following regression equation:</w:t>
      </w:r>
    </w:p>
    <w:p w14:paraId="524DEA15" w14:textId="77777777" w:rsidR="005633F5" w:rsidRPr="00164238" w:rsidRDefault="005633F5" w:rsidP="005633F5">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And 0.663 + 0. 0.321X</w:t>
      </w:r>
      <w:r w:rsidRPr="00164238">
        <w:rPr>
          <w:rFonts w:ascii="Times New Roman" w:eastAsia="Calibri" w:hAnsi="Times New Roman" w:cs="Times New Roman"/>
          <w:color w:val="000000" w:themeColor="text1"/>
          <w:sz w:val="20"/>
          <w:szCs w:val="20"/>
          <w:vertAlign w:val="subscript"/>
          <w:lang w:val="en"/>
        </w:rPr>
        <w:t>3</w:t>
      </w:r>
    </w:p>
    <w:p w14:paraId="121A0D4F" w14:textId="77777777" w:rsidR="005633F5" w:rsidRPr="00164238" w:rsidRDefault="005633F5" w:rsidP="006F033D">
      <w:pPr>
        <w:spacing w:after="0" w:line="240" w:lineRule="auto"/>
        <w:ind w:firstLine="708"/>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This means that the use of Artificial Intelligence in the internal audit process affects the dependent variable (strengthening governance procedures) by 32.1%.</w:t>
      </w:r>
    </w:p>
    <w:p w14:paraId="0C7D55D6" w14:textId="77777777" w:rsidR="005633F5" w:rsidRPr="00164238" w:rsidRDefault="005633F5" w:rsidP="005633F5">
      <w:pPr>
        <w:spacing w:after="0" w:line="240" w:lineRule="auto"/>
        <w:jc w:val="lowKashida"/>
        <w:rPr>
          <w:rFonts w:ascii="Times New Roman" w:eastAsia="Calibri" w:hAnsi="Times New Roman" w:cs="Times New Roman"/>
          <w:color w:val="000000" w:themeColor="text1"/>
          <w:sz w:val="20"/>
          <w:szCs w:val="20"/>
        </w:rPr>
      </w:pPr>
      <w:r w:rsidRPr="00164238">
        <w:rPr>
          <w:rFonts w:ascii="Times New Roman" w:eastAsia="Times New Roman" w:hAnsi="Times New Roman" w:cs="Times New Roman"/>
          <w:color w:val="000000" w:themeColor="text1"/>
          <w:sz w:val="20"/>
          <w:szCs w:val="20"/>
        </w:rPr>
        <w:t xml:space="preserve"> </w:t>
      </w:r>
    </w:p>
    <w:p w14:paraId="3F52A6D1" w14:textId="77777777" w:rsidR="005633F5" w:rsidRPr="00164238" w:rsidRDefault="005633F5" w:rsidP="006F033D">
      <w:pPr>
        <w:spacing w:after="0" w:line="240" w:lineRule="auto"/>
        <w:ind w:firstLine="708"/>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Conclusions and recommendations</w:t>
      </w:r>
    </w:p>
    <w:p w14:paraId="60D682FB" w14:textId="77777777" w:rsidR="005633F5" w:rsidRPr="00164238" w:rsidRDefault="005633F5" w:rsidP="006F033D">
      <w:pPr>
        <w:spacing w:after="0" w:line="240" w:lineRule="auto"/>
        <w:ind w:firstLine="708"/>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This study aimed at finding out the effectiveness of the use of artificial intelligence in the internal audit process and its impact on the management and evaluation of risks, control and governance in the Palestinian government ministries, as artificial intelligence technologies have imposed a new reality and challenge on the auditors and the audit profession as a result of the dependence of the activities and transactions of government ministries on the computer, which led to the need to keep up with the auditor The internal architects of this technological development, and the internal auditors had to use modern tools to keep pace with that development in modern technology, one of the most important of those tools that proved their ability and efficiency in practice artificial intelligence techniques, and based on the results of data analysis and test hypotheses, the study reached a set of results and conclusions, the most important of which:</w:t>
      </w:r>
    </w:p>
    <w:p w14:paraId="206BB5F8" w14:textId="77777777" w:rsidR="005633F5" w:rsidRPr="00164238" w:rsidRDefault="005633F5" w:rsidP="007C3550">
      <w:pPr>
        <w:numPr>
          <w:ilvl w:val="0"/>
          <w:numId w:val="54"/>
        </w:numPr>
        <w:spacing w:after="0" w:line="240" w:lineRule="auto"/>
        <w:contextualSpacing/>
        <w:jc w:val="lowKashida"/>
        <w:rPr>
          <w:rFonts w:ascii="Times New Roman" w:eastAsia="Times New Roman"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The use of artificial intelligence in the internal audit process has a significant impact on the management and evaluation of risks in Palestinian government ministries, and internal auditing using AI techniques helps improve the efficiency and effectiveness of the audit process, and contributes to increasing the quality of internal audit services and reducing risk by helping the company's management improve the means used to protect the organization's assets and control performance.</w:t>
      </w:r>
    </w:p>
    <w:p w14:paraId="5F30BC50" w14:textId="77777777" w:rsidR="005633F5" w:rsidRPr="00164238" w:rsidRDefault="005633F5" w:rsidP="007C3550">
      <w:pPr>
        <w:numPr>
          <w:ilvl w:val="0"/>
          <w:numId w:val="54"/>
        </w:numPr>
        <w:spacing w:after="0" w:line="240" w:lineRule="auto"/>
        <w:contextualSpacing/>
        <w:jc w:val="lowKashida"/>
        <w:rPr>
          <w:rFonts w:ascii="Times New Roman" w:eastAsia="Times New Roman"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There is a significant impact on the use of artificial intelligence in the internal audit process on the examination and evaluation of the internal control system and control systems in the Palestinian government ministries, and AI tools are a supportive strategy for the completion of internal audit procedures through the use of technology to achieve the efficiency and quality of the audit process, where the efficiency of the audit process is utilized in the evaluation of the financial and accounting control system, and the use of Artificial Intelligence in the internal audit process plays a critical role in identifying weaknesses and deviations related to internal control and providing advice and solutions. appropriate to eliminate them.</w:t>
      </w:r>
    </w:p>
    <w:p w14:paraId="6BB5455E" w14:textId="77777777" w:rsidR="005633F5" w:rsidRPr="00164238" w:rsidRDefault="005633F5" w:rsidP="007C3550">
      <w:pPr>
        <w:numPr>
          <w:ilvl w:val="0"/>
          <w:numId w:val="54"/>
        </w:numPr>
        <w:spacing w:after="0" w:line="240" w:lineRule="auto"/>
        <w:contextualSpacing/>
        <w:jc w:val="lowKashida"/>
        <w:rPr>
          <w:rFonts w:ascii="Times New Roman" w:eastAsia="Times New Roman"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There is a significant impact on the use of Artificial Intelligence in the internal audit process to strengthen governance procedures and mechanisms in Palestinian government ministries, through the evaluation and realization of transparency and responsibility as their principles, and to give confidence to management processes and financial reports, as the use of AI tools helps in the internal audit process to support ensuring an effective governance framework to help the management of the institution to exploit its resources efficiently, making it indispensable to rely on it, which will prompt many government ministries to pay attention to improving and developing The performance of internal auditors, thereby raising the efficiency and effectiveness of the internal audit process. There are also many difficulties and greetings that limit the use of Artificial Intelligence technologies in the field of internal audit in palestinian government ministries, including the high cost of purchasing or developing and developing specialized electronic auditing techniques and software. In addition, the electronic internal audit process needs to be regulated in terms of the issuance of professional laws and standards governing the use of electronic digital auditing.</w:t>
      </w:r>
    </w:p>
    <w:p w14:paraId="24330E1A" w14:textId="77777777" w:rsidR="005633F5" w:rsidRPr="00164238" w:rsidRDefault="005633F5" w:rsidP="005633F5">
      <w:pPr>
        <w:spacing w:after="0" w:line="240" w:lineRule="auto"/>
        <w:ind w:left="709"/>
        <w:jc w:val="lowKashida"/>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lastRenderedPageBreak/>
        <w:t>In light of the objectives of the study, the nature of the problem and its findings and conclusions, the most important recommendations can be identified:</w:t>
      </w:r>
    </w:p>
    <w:p w14:paraId="55B0C519" w14:textId="77777777" w:rsidR="005633F5" w:rsidRPr="00164238" w:rsidRDefault="005633F5" w:rsidP="007C3550">
      <w:pPr>
        <w:numPr>
          <w:ilvl w:val="0"/>
          <w:numId w:val="54"/>
        </w:numPr>
        <w:spacing w:after="0" w:line="240" w:lineRule="auto"/>
        <w:contextualSpacing/>
        <w:jc w:val="lowKashida"/>
        <w:rPr>
          <w:rFonts w:ascii="Times New Roman" w:eastAsia="Times New Roman"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The need to direct Palestinian government ministries to adopt the use of Artificial Intelligence applications in the internal audit process, as they provide reduced time and cost and increase the efficiency of the functions of the internal audit process in light of the vast amount of data and complex reports, and then help him reach rational decisions, and the need to enhance the awareness of internal auditors of the importance of the use of AI technologies, and its role in achieving the quality of the audit, conducting the risk assessment process, examining internal control systems, and strengthening the governance system in Palestinian government ministries.</w:t>
      </w:r>
    </w:p>
    <w:p w14:paraId="79863F1F" w14:textId="77777777" w:rsidR="005633F5" w:rsidRPr="00164238" w:rsidRDefault="005633F5" w:rsidP="007C3550">
      <w:pPr>
        <w:numPr>
          <w:ilvl w:val="0"/>
          <w:numId w:val="54"/>
        </w:numPr>
        <w:spacing w:after="0" w:line="240" w:lineRule="auto"/>
        <w:contextualSpacing/>
        <w:jc w:val="lowKashida"/>
        <w:rPr>
          <w:rFonts w:ascii="Times New Roman" w:eastAsia="Times New Roman"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The difficulties and greetings that limit the use of Artificial Intelligence techniques in the field of internal auditing in Palestinian government ministries must be overcome. These include the high cost of purchasing or developing and developing specialized technology and software in the field of auditing. In addition, the electronic internal audit process needs to be regulated in terms of the issuance of professional laws and standards governing the use of electronic digital auditing. It is also worth focusing on training internal auditors in Palestinian government ministries to use AI technologies and programs to use their services in the audit process, so that they can see the latest technological advances in the field of artificial intelligence.</w:t>
      </w:r>
    </w:p>
    <w:p w14:paraId="2E308FCF" w14:textId="77777777" w:rsidR="005633F5" w:rsidRPr="00164238" w:rsidRDefault="005633F5" w:rsidP="005633F5">
      <w:pPr>
        <w:spacing w:after="0" w:line="240" w:lineRule="auto"/>
        <w:contextualSpacing/>
        <w:jc w:val="lowKashida"/>
        <w:rPr>
          <w:rFonts w:ascii="Times New Roman" w:eastAsia="Times New Roman" w:hAnsi="Times New Roman" w:cs="Times New Roman"/>
          <w:color w:val="000000" w:themeColor="text1"/>
          <w:sz w:val="20"/>
          <w:szCs w:val="20"/>
        </w:rPr>
      </w:pPr>
    </w:p>
    <w:p w14:paraId="1809C24E"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b/>
          <w:color w:val="000000" w:themeColor="text1"/>
          <w:sz w:val="20"/>
          <w:szCs w:val="20"/>
          <w:lang w:val="en"/>
        </w:rPr>
        <w:t>References</w:t>
      </w:r>
    </w:p>
    <w:p w14:paraId="496FF676" w14:textId="77777777" w:rsidR="005633F5" w:rsidRPr="00164238" w:rsidRDefault="005633F5" w:rsidP="005633F5">
      <w:pPr>
        <w:spacing w:after="0" w:line="240" w:lineRule="auto"/>
        <w:jc w:val="both"/>
        <w:rPr>
          <w:rFonts w:ascii="Times New Roman" w:eastAsia="Calibri" w:hAnsi="Times New Roman" w:cs="Times New Roman"/>
          <w:b/>
          <w:bCs/>
          <w:color w:val="000000" w:themeColor="text1"/>
          <w:sz w:val="20"/>
          <w:szCs w:val="20"/>
        </w:rPr>
      </w:pPr>
    </w:p>
    <w:p w14:paraId="674EFBAF"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lang w:val="en"/>
        </w:rPr>
      </w:pPr>
      <w:r w:rsidRPr="00164238">
        <w:rPr>
          <w:rFonts w:ascii="Times New Roman" w:eastAsia="Calibri" w:hAnsi="Times New Roman" w:cs="Times New Roman"/>
          <w:color w:val="000000" w:themeColor="text1"/>
          <w:sz w:val="20"/>
          <w:szCs w:val="20"/>
        </w:rPr>
        <w:t xml:space="preserve">1. Al bawwata, Ibrahim and Al Frijat. (2021). Yaser An analysis of auditors’ perceptions towards artificial intelligence and its contribution to audit quality, journal Accounting, No.7, 755–762, Contents lists available at Growing Science, Canada, </w:t>
      </w:r>
      <w:hyperlink r:id="rId339" w:history="1">
        <w:r w:rsidRPr="00164238">
          <w:rPr>
            <w:rFonts w:ascii="Times New Roman" w:hAnsi="Times New Roman" w:cs="Times New Roman"/>
            <w:color w:val="000000" w:themeColor="text1"/>
            <w:sz w:val="20"/>
            <w:szCs w:val="20"/>
            <w:lang w:val="en"/>
          </w:rPr>
          <w:t>www.GrowingScience.com/ac/ac.</w:t>
        </w:r>
        <w:r w:rsidRPr="00164238">
          <w:rPr>
            <w:rFonts w:ascii="Times New Roman" w:eastAsia="Calibri" w:hAnsi="Times New Roman" w:cs="Times New Roman"/>
            <w:color w:val="000000" w:themeColor="text1"/>
            <w:sz w:val="20"/>
            <w:szCs w:val="20"/>
            <w:lang w:val="en"/>
          </w:rPr>
          <w:t>html</w:t>
        </w:r>
      </w:hyperlink>
      <w:r w:rsidRPr="00164238">
        <w:rPr>
          <w:rFonts w:ascii="Times New Roman" w:eastAsia="Calibri" w:hAnsi="Times New Roman" w:cs="Times New Roman"/>
          <w:color w:val="000000" w:themeColor="text1"/>
          <w:sz w:val="20"/>
          <w:szCs w:val="20"/>
          <w:lang w:val="en"/>
        </w:rPr>
        <w:t>.</w:t>
      </w:r>
    </w:p>
    <w:p w14:paraId="5C1A5B37"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2. Al Jaber, Ghadir Mohammed Odeh, (2020), The Impact of Artificial Intelligence on The Efficiency of Accounting Systems in Jordanian Banks, Unpublished Master's Thesis, Accounting Department, Middle East University, Amman, Jordan.</w:t>
      </w:r>
    </w:p>
    <w:p w14:paraId="7A2A235F"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3. Al-Samarrai, Ammar Essam, Al-Sharda, Nadia Abdul Jabbar, (2020), the role of Artificial Intelligence techniques using digital auditing in achieving the quality of auditing and supporting its strategy from the point of view of the auditors" field study in auditing companies in the Kingdom of Bahrain, The World Journal of Economics and Business, Vol. 8, No. 1, 15-31.</w:t>
      </w:r>
    </w:p>
    <w:p w14:paraId="3D9BDDE9"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lang w:val="en"/>
        </w:rPr>
      </w:pPr>
      <w:r w:rsidRPr="00164238">
        <w:rPr>
          <w:rFonts w:ascii="Times New Roman" w:eastAsia="Calibri" w:hAnsi="Times New Roman" w:cs="Times New Roman"/>
          <w:color w:val="000000" w:themeColor="text1"/>
          <w:sz w:val="20"/>
          <w:szCs w:val="20"/>
          <w:lang w:val="en"/>
        </w:rPr>
        <w:t xml:space="preserve">4. Al-Shayazmi, Mohammed, (2020), in the midst of the technological revolution, does artificial intelligence terminate the job of financial auditor?, retrieved 10/2/2021 on the website: </w:t>
      </w:r>
      <w:hyperlink r:id="rId340">
        <w:r w:rsidRPr="00164238">
          <w:rPr>
            <w:rFonts w:ascii="Times New Roman" w:eastAsia="Calibri" w:hAnsi="Times New Roman" w:cs="Times New Roman"/>
            <w:color w:val="000000" w:themeColor="text1"/>
            <w:sz w:val="20"/>
            <w:szCs w:val="20"/>
            <w:lang w:val="en"/>
          </w:rPr>
          <w:t xml:space="preserve"> https://www.aljazeera.net/news/scienceandtechnology/2020/2/4/</w:t>
        </w:r>
      </w:hyperlink>
    </w:p>
    <w:p w14:paraId="1F9D0ACA"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5. Anbar, Sami Jabbar, Mohammed, Muwaffaq Abdul Hussein, (2016), Quality Audit for The Adoption of Artificial Intelligence - Applied Research in a sample of regulatory bodies working in the Federal Financial Supervisory Office, Journal of Accounting and Financial Studies, Vol. 11, No. 4, 28-76.</w:t>
      </w:r>
    </w:p>
    <w:p w14:paraId="66B3A45F"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lang w:val="en"/>
        </w:rPr>
      </w:pPr>
      <w:r w:rsidRPr="00164238">
        <w:rPr>
          <w:rFonts w:ascii="Times New Roman" w:eastAsia="Calibri" w:hAnsi="Times New Roman" w:cs="Times New Roman"/>
          <w:color w:val="000000" w:themeColor="text1"/>
          <w:sz w:val="20"/>
          <w:szCs w:val="20"/>
          <w:lang w:val="en"/>
        </w:rPr>
        <w:t>6. Ghanoum, Salim and Alaba, Folasade Modupe. (2020). Integration of Artificial Intelligence in Auditing: The Effect on Auditing Process, Master Thesis Master Thesis, Master degree of Master of Science in Business Administration:Auditing and Control, Kristianstad University, Swedish.</w:t>
      </w:r>
    </w:p>
    <w:p w14:paraId="14B5CB2C"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lang w:val="en"/>
        </w:rPr>
      </w:pPr>
      <w:r w:rsidRPr="00164238">
        <w:rPr>
          <w:rFonts w:ascii="Times New Roman" w:eastAsia="Calibri" w:hAnsi="Times New Roman" w:cs="Times New Roman"/>
          <w:color w:val="000000" w:themeColor="text1"/>
          <w:sz w:val="20"/>
          <w:szCs w:val="20"/>
          <w:lang w:val="en"/>
        </w:rPr>
        <w:t>7. Hussain, K (2018). Artificial Intelligence and its Applications goal, International Research Journal of Engineering and Technology (IRJET), Vol. 5, No. 1.</w:t>
      </w:r>
    </w:p>
    <w:p w14:paraId="1D4017BA"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rPr>
        <w:t>8. Mardini, Ghassan and Alkurdi, Amneh. (2021). Artificial Intelligence Literature in Accounting: A Panel Systematic Approach. 10.1007/978-3-030-62796-6_18.</w:t>
      </w:r>
    </w:p>
    <w:p w14:paraId="3EDAEBA6"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9. Mohammed, Abdul Wahid. (2018). An attempt to assess the governance of information systems through internal audit of the Economic Institution Evolutec International,  a letter for a Ph.D. in business sciences: Accounting, Faculty of Economics, Management and Business Sciences, Mohamed Kheder University- Biskra, Algerian People's Democratic Republic.</w:t>
      </w:r>
    </w:p>
    <w:p w14:paraId="6F8F182B"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rPr>
        <w:t>10. Munoko, Ivy, Brown-Liburd, Helen and Vasarhelyi, Miklos. (2020). The Ethical Implications of Using Artificial Intelligence in Auditing. Journal of Business Ethics. 167. 10.1007/s10551-019-04407-1.</w:t>
      </w:r>
    </w:p>
    <w:p w14:paraId="5F9F13CB"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rPr>
        <w:t>11. Noor, N.R.A.M., &amp; Mansor, N. (2019). Exploring the Adaptation of Artificial Intelligence in Whistleblowing Practice of the Internal Auditors in Malaysia. Procedia Computer Science, 434-439.</w:t>
      </w:r>
    </w:p>
    <w:p w14:paraId="74C73B6B"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12. Othman, Hussein Osman, Mahmoud, Ahmed Adel, (2012), the possibility of using Artificial Intelligence techniques to control the quality of internal audit - a field study in Jordanian public joint stock companies, the 11th Annual Scientific Conference on Business Intelligence and Knowledge Economy, Zaytouna University of Jordan, Faculty of Economics and Management Sciences, Amman-Jordan.</w:t>
      </w:r>
    </w:p>
    <w:p w14:paraId="1A3F6E8F"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rPr>
        <w:lastRenderedPageBreak/>
        <w:t>13. Shen, J., Chen, X., Huang, X. and Susilo, W. (2017). An efficient public auditing protocol with novel dynamic structure for cloud data. IEEE Transactions on Information Forensics and Security, Vol. 12,</w:t>
      </w:r>
      <w:r w:rsidRPr="00164238">
        <w:rPr>
          <w:rFonts w:ascii="Times New Roman" w:eastAsia="Calibri" w:hAnsi="Times New Roman" w:cs="Times New Roman"/>
          <w:color w:val="000000" w:themeColor="text1"/>
          <w:sz w:val="20"/>
          <w:szCs w:val="20"/>
          <w:lang w:val="en"/>
        </w:rPr>
        <w:t xml:space="preserve"> No. </w:t>
      </w:r>
      <w:r w:rsidRPr="00164238">
        <w:rPr>
          <w:rFonts w:ascii="Times New Roman" w:eastAsia="Calibri" w:hAnsi="Times New Roman" w:cs="Times New Roman"/>
          <w:color w:val="000000" w:themeColor="text1"/>
          <w:sz w:val="20"/>
          <w:szCs w:val="20"/>
        </w:rPr>
        <w:t>10, pp.2402-2415.</w:t>
      </w:r>
    </w:p>
    <w:p w14:paraId="0E813300"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lang w:val="en"/>
        </w:rPr>
        <w:t>14. Taedit, Seventy, Araban, Amrush, (2019), auditing accounting information systems using the applications of expert systems in the ICT environment (System Expert for Artificial Intelligence in the ICT environment, accounting journal, audit and finance, Volume 1, Issue 2, 30-41).</w:t>
      </w:r>
    </w:p>
    <w:p w14:paraId="0D8E52AE"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rPr>
        <w:t>15. ucoglu, Derya. (2020). Current machine learning applications in accounting and auditing, Istanbul Bilgi University, Business Administration Department, Istanbul, Turkey, Published by Press Academia (PAP)</w:t>
      </w:r>
      <w:r w:rsidRPr="00164238">
        <w:rPr>
          <w:rFonts w:ascii="Times New Roman" w:eastAsia="Calibri" w:hAnsi="Times New Roman" w:cs="Times New Roman"/>
          <w:color w:val="000000" w:themeColor="text1"/>
          <w:sz w:val="20"/>
          <w:szCs w:val="20"/>
          <w:rtl/>
        </w:rPr>
        <w:t xml:space="preserve">، </w:t>
      </w:r>
      <w:r w:rsidRPr="00164238">
        <w:rPr>
          <w:rFonts w:ascii="Times New Roman" w:eastAsia="Calibri" w:hAnsi="Times New Roman" w:cs="Times New Roman"/>
          <w:color w:val="000000" w:themeColor="text1"/>
          <w:sz w:val="20"/>
          <w:szCs w:val="20"/>
        </w:rPr>
        <w:t xml:space="preserve">V.12, </w:t>
      </w:r>
      <w:hyperlink r:id="rId341" w:history="1">
        <w:r w:rsidRPr="00164238">
          <w:rPr>
            <w:rFonts w:ascii="Times New Roman" w:hAnsi="Times New Roman" w:cs="Times New Roman"/>
            <w:color w:val="000000" w:themeColor="text1"/>
            <w:sz w:val="20"/>
            <w:szCs w:val="20"/>
          </w:rPr>
          <w:t>https://www.researchgate.net/publication/348114505</w:t>
        </w:r>
      </w:hyperlink>
      <w:r w:rsidRPr="00164238">
        <w:rPr>
          <w:rFonts w:ascii="Times New Roman" w:eastAsia="Calibri" w:hAnsi="Times New Roman" w:cs="Times New Roman"/>
          <w:color w:val="000000" w:themeColor="text1"/>
          <w:sz w:val="20"/>
          <w:szCs w:val="20"/>
        </w:rPr>
        <w:t>.</w:t>
      </w:r>
    </w:p>
    <w:p w14:paraId="2806A239"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rPr>
        <w:t xml:space="preserve">16. Zhang, C. A. (2019). Intelligent Process Automation in Audit. Journal of Emerging Technologies in Accounting, Vol. 16, </w:t>
      </w:r>
      <w:r w:rsidRPr="00164238">
        <w:rPr>
          <w:rFonts w:ascii="Times New Roman" w:eastAsia="Calibri" w:hAnsi="Times New Roman" w:cs="Times New Roman"/>
          <w:color w:val="000000" w:themeColor="text1"/>
          <w:sz w:val="20"/>
          <w:szCs w:val="20"/>
          <w:lang w:val="en"/>
        </w:rPr>
        <w:t xml:space="preserve">No. </w:t>
      </w:r>
      <w:r w:rsidRPr="00164238">
        <w:rPr>
          <w:rFonts w:ascii="Times New Roman" w:eastAsia="Calibri" w:hAnsi="Times New Roman" w:cs="Times New Roman"/>
          <w:color w:val="000000" w:themeColor="text1"/>
          <w:sz w:val="20"/>
          <w:szCs w:val="20"/>
        </w:rPr>
        <w:t>2, 69–88.</w:t>
      </w:r>
    </w:p>
    <w:p w14:paraId="218A2359"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rPr>
        <w:t xml:space="preserve">17. </w:t>
      </w:r>
      <w:hyperlink r:id="rId342" w:history="1">
        <w:r w:rsidRPr="00164238">
          <w:rPr>
            <w:rFonts w:ascii="Times New Roman" w:eastAsia="Calibri" w:hAnsi="Times New Roman" w:cs="Times New Roman"/>
            <w:color w:val="000000" w:themeColor="text1"/>
            <w:sz w:val="20"/>
            <w:szCs w:val="20"/>
          </w:rPr>
          <w:t>https://www.alarabiya.net/technology/2019/12/30</w:t>
        </w:r>
      </w:hyperlink>
      <w:r w:rsidRPr="00164238">
        <w:rPr>
          <w:rFonts w:ascii="Times New Roman" w:eastAsia="Calibri" w:hAnsi="Times New Roman" w:cs="Times New Roman"/>
          <w:color w:val="000000" w:themeColor="text1"/>
          <w:sz w:val="20"/>
          <w:szCs w:val="20"/>
        </w:rPr>
        <w:t>.</w:t>
      </w:r>
    </w:p>
    <w:p w14:paraId="4B7AE17A"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rPr>
        <w:t>18. https://www.aljazeera.net/news/scienceandtechnology/2020/2/4.</w:t>
      </w:r>
    </w:p>
    <w:p w14:paraId="4428DE7C"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tl/>
        </w:rPr>
      </w:pPr>
    </w:p>
    <w:p w14:paraId="6EEC1ABA"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p>
    <w:p w14:paraId="72CA500C"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r w:rsidRPr="00164238">
        <w:rPr>
          <w:rFonts w:ascii="Times New Roman" w:eastAsia="Calibri" w:hAnsi="Times New Roman" w:cs="Times New Roman"/>
          <w:color w:val="000000" w:themeColor="text1"/>
          <w:sz w:val="20"/>
          <w:szCs w:val="20"/>
          <w:rtl/>
        </w:rPr>
        <w:t xml:space="preserve"> </w:t>
      </w:r>
    </w:p>
    <w:p w14:paraId="566DCD93"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p>
    <w:p w14:paraId="4D746BED"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p>
    <w:p w14:paraId="065D2FAE"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p>
    <w:p w14:paraId="3FFACBC0" w14:textId="77777777" w:rsidR="005633F5" w:rsidRPr="00164238" w:rsidRDefault="005633F5" w:rsidP="005633F5">
      <w:pPr>
        <w:spacing w:after="0" w:line="240" w:lineRule="auto"/>
        <w:jc w:val="lowKashida"/>
        <w:rPr>
          <w:rFonts w:ascii="Times New Roman" w:eastAsia="Simplified Arabic" w:hAnsi="Times New Roman" w:cs="Times New Roman"/>
          <w:b/>
          <w:bCs/>
          <w:color w:val="000000" w:themeColor="text1"/>
          <w:sz w:val="20"/>
          <w:szCs w:val="20"/>
        </w:rPr>
      </w:pPr>
    </w:p>
    <w:p w14:paraId="13675EAB" w14:textId="77777777" w:rsidR="005633F5" w:rsidRPr="00164238" w:rsidRDefault="005633F5" w:rsidP="005633F5">
      <w:pPr>
        <w:spacing w:after="0" w:line="240" w:lineRule="auto"/>
        <w:jc w:val="lowKashida"/>
        <w:rPr>
          <w:rFonts w:ascii="Times New Roman" w:eastAsia="Calibri" w:hAnsi="Times New Roman" w:cs="Times New Roman"/>
          <w:color w:val="000000" w:themeColor="text1"/>
          <w:sz w:val="20"/>
          <w:szCs w:val="20"/>
        </w:rPr>
      </w:pPr>
    </w:p>
    <w:p w14:paraId="7FA77865"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p>
    <w:p w14:paraId="56C2B652" w14:textId="77777777" w:rsidR="005633F5" w:rsidRPr="00164238" w:rsidRDefault="005633F5" w:rsidP="005633F5">
      <w:pPr>
        <w:spacing w:after="0" w:line="240" w:lineRule="auto"/>
        <w:contextualSpacing/>
        <w:jc w:val="both"/>
        <w:rPr>
          <w:rFonts w:ascii="Times New Roman" w:eastAsia="Times New Roman" w:hAnsi="Times New Roman" w:cs="Times New Roman"/>
          <w:color w:val="000000" w:themeColor="text1"/>
          <w:sz w:val="20"/>
          <w:szCs w:val="20"/>
        </w:rPr>
      </w:pPr>
    </w:p>
    <w:p w14:paraId="06D95CE8"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p>
    <w:p w14:paraId="5BCDE016" w14:textId="77777777" w:rsidR="005633F5" w:rsidRPr="00164238" w:rsidRDefault="005633F5" w:rsidP="005633F5">
      <w:pPr>
        <w:spacing w:after="0" w:line="240" w:lineRule="auto"/>
        <w:jc w:val="both"/>
        <w:rPr>
          <w:rFonts w:ascii="Times New Roman" w:eastAsia="Calibri" w:hAnsi="Times New Roman" w:cs="Times New Roman"/>
          <w:color w:val="000000" w:themeColor="text1"/>
          <w:sz w:val="20"/>
          <w:szCs w:val="20"/>
        </w:rPr>
      </w:pPr>
    </w:p>
    <w:p w14:paraId="041A817D" w14:textId="77777777" w:rsidR="005633F5" w:rsidRPr="00164238" w:rsidRDefault="005633F5" w:rsidP="005633F5">
      <w:pPr>
        <w:spacing w:after="0" w:line="240" w:lineRule="auto"/>
        <w:rPr>
          <w:rFonts w:ascii="Times New Roman" w:eastAsia="Calibri" w:hAnsi="Times New Roman" w:cs="Times New Roman"/>
          <w:color w:val="000000" w:themeColor="text1"/>
          <w:sz w:val="20"/>
          <w:szCs w:val="20"/>
        </w:rPr>
      </w:pPr>
    </w:p>
    <w:p w14:paraId="07E6558E"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p>
    <w:p w14:paraId="2A6CE475"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p>
    <w:p w14:paraId="2E851500" w14:textId="77777777" w:rsidR="005633F5" w:rsidRPr="00164238" w:rsidRDefault="005633F5" w:rsidP="005633F5">
      <w:pPr>
        <w:spacing w:after="0" w:line="240" w:lineRule="auto"/>
        <w:jc w:val="both"/>
        <w:rPr>
          <w:rFonts w:ascii="Times New Roman" w:hAnsi="Times New Roman" w:cs="Times New Roman"/>
          <w:color w:val="000000" w:themeColor="text1"/>
          <w:sz w:val="20"/>
          <w:szCs w:val="20"/>
        </w:rPr>
      </w:pPr>
    </w:p>
    <w:p w14:paraId="5A49B091" w14:textId="74C63FAF" w:rsidR="005633F5" w:rsidRDefault="005633F5" w:rsidP="005633F5">
      <w:pPr>
        <w:spacing w:before="120" w:after="120"/>
        <w:ind w:firstLine="567"/>
        <w:jc w:val="both"/>
        <w:rPr>
          <w:rFonts w:ascii="Times New Roman" w:hAnsi="Times New Roman" w:cs="Times New Roman"/>
          <w:b/>
          <w:color w:val="000000" w:themeColor="text1"/>
          <w:sz w:val="20"/>
          <w:szCs w:val="20"/>
        </w:rPr>
      </w:pPr>
    </w:p>
    <w:p w14:paraId="74861D4C" w14:textId="4C49A527" w:rsidR="00E839E1" w:rsidRDefault="00E839E1" w:rsidP="005633F5">
      <w:pPr>
        <w:spacing w:before="120" w:after="120"/>
        <w:ind w:firstLine="567"/>
        <w:jc w:val="both"/>
        <w:rPr>
          <w:rFonts w:ascii="Times New Roman" w:hAnsi="Times New Roman" w:cs="Times New Roman"/>
          <w:b/>
          <w:color w:val="000000" w:themeColor="text1"/>
          <w:sz w:val="20"/>
          <w:szCs w:val="20"/>
        </w:rPr>
      </w:pPr>
    </w:p>
    <w:p w14:paraId="4051B776" w14:textId="5F0EAF50" w:rsidR="00E839E1" w:rsidRDefault="00E839E1" w:rsidP="005633F5">
      <w:pPr>
        <w:spacing w:before="120" w:after="120"/>
        <w:ind w:firstLine="567"/>
        <w:jc w:val="both"/>
        <w:rPr>
          <w:rFonts w:ascii="Times New Roman" w:hAnsi="Times New Roman" w:cs="Times New Roman"/>
          <w:b/>
          <w:color w:val="000000" w:themeColor="text1"/>
          <w:sz w:val="20"/>
          <w:szCs w:val="20"/>
        </w:rPr>
      </w:pPr>
    </w:p>
    <w:p w14:paraId="51687D9B" w14:textId="6BDC6041" w:rsidR="00E839E1" w:rsidRDefault="00E839E1" w:rsidP="005633F5">
      <w:pPr>
        <w:spacing w:before="120" w:after="120"/>
        <w:ind w:firstLine="567"/>
        <w:jc w:val="both"/>
        <w:rPr>
          <w:rFonts w:ascii="Times New Roman" w:hAnsi="Times New Roman" w:cs="Times New Roman"/>
          <w:b/>
          <w:color w:val="000000" w:themeColor="text1"/>
          <w:sz w:val="20"/>
          <w:szCs w:val="20"/>
        </w:rPr>
      </w:pPr>
    </w:p>
    <w:p w14:paraId="006583E5" w14:textId="119F401D" w:rsidR="00E839E1" w:rsidRDefault="00E839E1" w:rsidP="005633F5">
      <w:pPr>
        <w:spacing w:before="120" w:after="120"/>
        <w:ind w:firstLine="567"/>
        <w:jc w:val="both"/>
        <w:rPr>
          <w:rFonts w:ascii="Times New Roman" w:hAnsi="Times New Roman" w:cs="Times New Roman"/>
          <w:b/>
          <w:color w:val="000000" w:themeColor="text1"/>
          <w:sz w:val="20"/>
          <w:szCs w:val="20"/>
        </w:rPr>
      </w:pPr>
    </w:p>
    <w:p w14:paraId="256B5FF2" w14:textId="74CF0CE4" w:rsidR="00E839E1" w:rsidRDefault="00E839E1" w:rsidP="005633F5">
      <w:pPr>
        <w:spacing w:before="120" w:after="120"/>
        <w:ind w:firstLine="567"/>
        <w:jc w:val="both"/>
        <w:rPr>
          <w:rFonts w:ascii="Times New Roman" w:hAnsi="Times New Roman" w:cs="Times New Roman"/>
          <w:b/>
          <w:color w:val="000000" w:themeColor="text1"/>
          <w:sz w:val="20"/>
          <w:szCs w:val="20"/>
        </w:rPr>
      </w:pPr>
    </w:p>
    <w:p w14:paraId="462E8DA0" w14:textId="3E4326D8" w:rsidR="00E839E1" w:rsidRDefault="00E839E1" w:rsidP="005633F5">
      <w:pPr>
        <w:spacing w:before="120" w:after="120"/>
        <w:ind w:firstLine="567"/>
        <w:jc w:val="both"/>
        <w:rPr>
          <w:rFonts w:ascii="Times New Roman" w:hAnsi="Times New Roman" w:cs="Times New Roman"/>
          <w:b/>
          <w:color w:val="000000" w:themeColor="text1"/>
          <w:sz w:val="20"/>
          <w:szCs w:val="20"/>
        </w:rPr>
      </w:pPr>
    </w:p>
    <w:p w14:paraId="313604F6" w14:textId="5CAB02FE" w:rsidR="00E839E1" w:rsidRDefault="00E839E1" w:rsidP="005633F5">
      <w:pPr>
        <w:spacing w:before="120" w:after="120"/>
        <w:ind w:firstLine="567"/>
        <w:jc w:val="both"/>
        <w:rPr>
          <w:rFonts w:ascii="Times New Roman" w:hAnsi="Times New Roman" w:cs="Times New Roman"/>
          <w:b/>
          <w:color w:val="000000" w:themeColor="text1"/>
          <w:sz w:val="20"/>
          <w:szCs w:val="20"/>
        </w:rPr>
      </w:pPr>
    </w:p>
    <w:p w14:paraId="279EBE30" w14:textId="5F78234B" w:rsidR="00E839E1" w:rsidRDefault="00E839E1" w:rsidP="005633F5">
      <w:pPr>
        <w:spacing w:before="120" w:after="120"/>
        <w:ind w:firstLine="567"/>
        <w:jc w:val="both"/>
        <w:rPr>
          <w:rFonts w:ascii="Times New Roman" w:hAnsi="Times New Roman" w:cs="Times New Roman"/>
          <w:b/>
          <w:color w:val="000000" w:themeColor="text1"/>
          <w:sz w:val="20"/>
          <w:szCs w:val="20"/>
        </w:rPr>
      </w:pPr>
    </w:p>
    <w:p w14:paraId="1EEED4D5" w14:textId="59193789" w:rsidR="00E839E1" w:rsidRDefault="00E839E1" w:rsidP="005633F5">
      <w:pPr>
        <w:spacing w:before="120" w:after="120"/>
        <w:ind w:firstLine="567"/>
        <w:jc w:val="both"/>
        <w:rPr>
          <w:rFonts w:ascii="Times New Roman" w:hAnsi="Times New Roman" w:cs="Times New Roman"/>
          <w:b/>
          <w:color w:val="000000" w:themeColor="text1"/>
          <w:sz w:val="20"/>
          <w:szCs w:val="20"/>
        </w:rPr>
      </w:pPr>
    </w:p>
    <w:p w14:paraId="37745E7C" w14:textId="319A0723" w:rsidR="00E839E1" w:rsidRDefault="00E839E1" w:rsidP="005633F5">
      <w:pPr>
        <w:spacing w:before="120" w:after="120"/>
        <w:ind w:firstLine="567"/>
        <w:jc w:val="both"/>
        <w:rPr>
          <w:rFonts w:ascii="Times New Roman" w:hAnsi="Times New Roman" w:cs="Times New Roman"/>
          <w:b/>
          <w:color w:val="000000" w:themeColor="text1"/>
          <w:sz w:val="20"/>
          <w:szCs w:val="20"/>
        </w:rPr>
      </w:pPr>
    </w:p>
    <w:p w14:paraId="7D1090F8" w14:textId="103C7D77" w:rsidR="00E839E1" w:rsidRDefault="00E839E1" w:rsidP="005633F5">
      <w:pPr>
        <w:spacing w:before="120" w:after="120"/>
        <w:ind w:firstLine="567"/>
        <w:jc w:val="both"/>
        <w:rPr>
          <w:rFonts w:ascii="Times New Roman" w:hAnsi="Times New Roman" w:cs="Times New Roman"/>
          <w:b/>
          <w:color w:val="000000" w:themeColor="text1"/>
          <w:sz w:val="20"/>
          <w:szCs w:val="20"/>
        </w:rPr>
      </w:pPr>
    </w:p>
    <w:p w14:paraId="7BA5E9D6" w14:textId="7D1215BC" w:rsidR="00E839E1" w:rsidRDefault="00E839E1" w:rsidP="005633F5">
      <w:pPr>
        <w:spacing w:before="120" w:after="120"/>
        <w:ind w:firstLine="567"/>
        <w:jc w:val="both"/>
        <w:rPr>
          <w:rFonts w:ascii="Times New Roman" w:hAnsi="Times New Roman" w:cs="Times New Roman"/>
          <w:b/>
          <w:color w:val="000000" w:themeColor="text1"/>
          <w:sz w:val="20"/>
          <w:szCs w:val="20"/>
        </w:rPr>
      </w:pPr>
    </w:p>
    <w:p w14:paraId="39D8CAE1" w14:textId="547455E1" w:rsidR="00E839E1" w:rsidRDefault="00E839E1" w:rsidP="005633F5">
      <w:pPr>
        <w:spacing w:before="120" w:after="120"/>
        <w:ind w:firstLine="567"/>
        <w:jc w:val="both"/>
        <w:rPr>
          <w:rFonts w:ascii="Times New Roman" w:hAnsi="Times New Roman" w:cs="Times New Roman"/>
          <w:b/>
          <w:color w:val="000000" w:themeColor="text1"/>
          <w:sz w:val="20"/>
          <w:szCs w:val="20"/>
        </w:rPr>
      </w:pPr>
    </w:p>
    <w:p w14:paraId="0E0F8AC8" w14:textId="03C18C71" w:rsidR="00E839E1" w:rsidRDefault="00E839E1" w:rsidP="005633F5">
      <w:pPr>
        <w:spacing w:before="120" w:after="120"/>
        <w:ind w:firstLine="567"/>
        <w:jc w:val="both"/>
        <w:rPr>
          <w:rFonts w:ascii="Times New Roman" w:hAnsi="Times New Roman" w:cs="Times New Roman"/>
          <w:b/>
          <w:color w:val="000000" w:themeColor="text1"/>
          <w:sz w:val="20"/>
          <w:szCs w:val="20"/>
        </w:rPr>
      </w:pPr>
    </w:p>
    <w:p w14:paraId="333586C5" w14:textId="409FB91A" w:rsidR="00E839E1" w:rsidRDefault="00E839E1" w:rsidP="005633F5">
      <w:pPr>
        <w:spacing w:before="120" w:after="120"/>
        <w:ind w:firstLine="567"/>
        <w:jc w:val="both"/>
        <w:rPr>
          <w:rFonts w:ascii="Times New Roman" w:hAnsi="Times New Roman" w:cs="Times New Roman"/>
          <w:b/>
          <w:color w:val="000000" w:themeColor="text1"/>
          <w:sz w:val="20"/>
          <w:szCs w:val="20"/>
        </w:rPr>
      </w:pPr>
    </w:p>
    <w:p w14:paraId="7E0DF449" w14:textId="77777777" w:rsidR="00E839E1" w:rsidRPr="000A2E75" w:rsidRDefault="00E839E1" w:rsidP="00C95516">
      <w:pPr>
        <w:pStyle w:val="Balk1"/>
        <w:rPr>
          <w:rFonts w:ascii="Times New Roman" w:hAnsi="Times New Roman" w:cs="Times New Roman"/>
          <w:b/>
          <w:color w:val="000000" w:themeColor="text1"/>
          <w:sz w:val="24"/>
          <w:szCs w:val="24"/>
        </w:rPr>
      </w:pPr>
      <w:bookmarkStart w:id="185" w:name="_Toc70612044"/>
      <w:bookmarkStart w:id="186" w:name="_Toc72754678"/>
      <w:bookmarkStart w:id="187" w:name="_Toc72755950"/>
      <w:bookmarkStart w:id="188" w:name="_Toc72961762"/>
      <w:r w:rsidRPr="000A2E75">
        <w:rPr>
          <w:rFonts w:ascii="Times New Roman" w:hAnsi="Times New Roman" w:cs="Times New Roman"/>
          <w:b/>
          <w:color w:val="000000" w:themeColor="text1"/>
          <w:sz w:val="24"/>
          <w:szCs w:val="24"/>
        </w:rPr>
        <w:lastRenderedPageBreak/>
        <w:t>DOLAŞIM SİSTEMİ KONUSUNUN ORTAOKUL VE LİSE DERS KİTAPLARINDA DIŞ DİDAKTİKSEL DÖNÜŞÜM TEORİSİNE GÖRE İNCELENMESİ</w:t>
      </w:r>
      <w:bookmarkEnd w:id="185"/>
      <w:bookmarkEnd w:id="186"/>
      <w:bookmarkEnd w:id="187"/>
      <w:bookmarkEnd w:id="188"/>
    </w:p>
    <w:p w14:paraId="78618715" w14:textId="77777777" w:rsidR="00E839E1" w:rsidRPr="000A2E75" w:rsidRDefault="00E839E1" w:rsidP="00E839E1">
      <w:pPr>
        <w:jc w:val="both"/>
        <w:rPr>
          <w:rFonts w:ascii="Times New Roman" w:hAnsi="Times New Roman" w:cs="Times New Roman"/>
          <w:color w:val="000000" w:themeColor="text1"/>
        </w:rPr>
      </w:pPr>
      <w:bookmarkStart w:id="189" w:name="_Toc69817023"/>
    </w:p>
    <w:p w14:paraId="5088267E" w14:textId="77777777" w:rsidR="00E839E1" w:rsidRPr="000A2E75" w:rsidRDefault="00E839E1" w:rsidP="00E839E1">
      <w:pPr>
        <w:pStyle w:val="Balk2"/>
        <w:rPr>
          <w:rFonts w:ascii="Times New Roman" w:hAnsi="Times New Roman" w:cs="Times New Roman"/>
          <w:color w:val="000000" w:themeColor="text1"/>
          <w:sz w:val="20"/>
          <w:szCs w:val="20"/>
          <w:lang w:val="tr-TR"/>
        </w:rPr>
      </w:pPr>
      <w:bookmarkStart w:id="190" w:name="_Toc70612045"/>
      <w:bookmarkStart w:id="191" w:name="_Toc72754679"/>
      <w:bookmarkStart w:id="192" w:name="_Toc72755951"/>
      <w:bookmarkStart w:id="193" w:name="_Toc72961763"/>
      <w:r w:rsidRPr="000A2E75">
        <w:rPr>
          <w:rStyle w:val="Balk2Char"/>
          <w:rFonts w:ascii="Times New Roman" w:hAnsi="Times New Roman" w:cs="Times New Roman"/>
          <w:sz w:val="20"/>
          <w:szCs w:val="20"/>
        </w:rPr>
        <w:t>Tutku İNEÇ</w:t>
      </w:r>
      <w:bookmarkEnd w:id="190"/>
      <w:r w:rsidRPr="000A2E75">
        <w:rPr>
          <w:rFonts w:ascii="Times New Roman" w:hAnsi="Times New Roman" w:cs="Times New Roman"/>
          <w:color w:val="000000" w:themeColor="text1"/>
          <w:sz w:val="20"/>
          <w:szCs w:val="20"/>
          <w:lang w:val="tr-TR"/>
        </w:rPr>
        <w:t xml:space="preserve">, </w:t>
      </w:r>
      <w:r w:rsidRPr="000A2E75">
        <w:rPr>
          <w:rFonts w:ascii="Times New Roman" w:hAnsi="Times New Roman" w:cs="Times New Roman"/>
          <w:b w:val="0"/>
          <w:color w:val="000000" w:themeColor="text1"/>
          <w:sz w:val="20"/>
          <w:szCs w:val="20"/>
          <w:lang w:val="tr-TR"/>
        </w:rPr>
        <w:t>Ondokuz Mayis Universitesi, Lisansüstü Eğitim Enstitüsü,</w:t>
      </w:r>
      <w:r w:rsidRPr="000A2E75">
        <w:rPr>
          <w:rFonts w:ascii="Times New Roman" w:hAnsi="Times New Roman" w:cs="Times New Roman"/>
          <w:b w:val="0"/>
          <w:i w:val="0"/>
          <w:color w:val="000000" w:themeColor="text1"/>
          <w:sz w:val="20"/>
          <w:szCs w:val="20"/>
          <w:lang w:val="tr-TR"/>
        </w:rPr>
        <w:t xml:space="preserve"> 55139, Samsun, Türkiye</w:t>
      </w:r>
      <w:bookmarkEnd w:id="189"/>
      <w:bookmarkEnd w:id="191"/>
      <w:bookmarkEnd w:id="192"/>
      <w:bookmarkEnd w:id="193"/>
    </w:p>
    <w:p w14:paraId="12397EFA" w14:textId="77777777" w:rsidR="00E839E1" w:rsidRPr="000A2E75" w:rsidRDefault="00E839E1" w:rsidP="00E839E1">
      <w:pPr>
        <w:jc w:val="both"/>
        <w:rPr>
          <w:rFonts w:ascii="Times New Roman" w:hAnsi="Times New Roman" w:cs="Times New Roman"/>
          <w:color w:val="000000" w:themeColor="text1"/>
        </w:rPr>
      </w:pPr>
      <w:r w:rsidRPr="000A2E75">
        <w:rPr>
          <w:rFonts w:ascii="Times New Roman" w:hAnsi="Times New Roman" w:cs="Times New Roman"/>
          <w:i/>
          <w:color w:val="000000" w:themeColor="text1"/>
        </w:rPr>
        <w:t xml:space="preserve"> e-mail:</w:t>
      </w:r>
      <w:r w:rsidRPr="000A2E75">
        <w:rPr>
          <w:rFonts w:ascii="Times New Roman" w:hAnsi="Times New Roman" w:cs="Times New Roman"/>
          <w:color w:val="000000" w:themeColor="text1"/>
        </w:rPr>
        <w:t xml:space="preserve"> </w:t>
      </w:r>
      <w:r w:rsidRPr="000A2E75">
        <w:rPr>
          <w:rFonts w:ascii="Times New Roman" w:hAnsi="Times New Roman" w:cs="Times New Roman"/>
          <w:color w:val="000000" w:themeColor="text1"/>
          <w:u w:val="single"/>
        </w:rPr>
        <w:t>tutkuinec@hotmail.com</w:t>
      </w:r>
      <w:r w:rsidRPr="000A2E75">
        <w:rPr>
          <w:rFonts w:ascii="Times New Roman" w:hAnsi="Times New Roman" w:cs="Times New Roman"/>
          <w:color w:val="000000" w:themeColor="text1"/>
        </w:rPr>
        <w:t xml:space="preserve"> </w:t>
      </w:r>
      <w:r w:rsidRPr="000A2E75">
        <w:rPr>
          <w:rFonts w:ascii="Times New Roman" w:hAnsi="Times New Roman" w:cs="Times New Roman"/>
          <w:i/>
          <w:color w:val="000000" w:themeColor="text1"/>
        </w:rPr>
        <w:t>ORCID ID:</w:t>
      </w:r>
      <w:r w:rsidRPr="000A2E75">
        <w:rPr>
          <w:rFonts w:ascii="Times New Roman" w:hAnsi="Times New Roman" w:cs="Times New Roman"/>
          <w:color w:val="000000" w:themeColor="text1"/>
        </w:rPr>
        <w:t xml:space="preserve"> 0000-0002-9011-0996</w:t>
      </w:r>
    </w:p>
    <w:p w14:paraId="42C8F012" w14:textId="77777777" w:rsidR="00E839E1" w:rsidRPr="000A2E75" w:rsidRDefault="00E839E1" w:rsidP="00E839E1">
      <w:pPr>
        <w:pStyle w:val="Balk2"/>
        <w:rPr>
          <w:rFonts w:ascii="Times New Roman" w:hAnsi="Times New Roman" w:cs="Times New Roman"/>
          <w:b w:val="0"/>
          <w:sz w:val="20"/>
          <w:szCs w:val="20"/>
          <w:lang w:val="tr-TR"/>
        </w:rPr>
      </w:pPr>
      <w:bookmarkStart w:id="194" w:name="_Toc69817024"/>
      <w:bookmarkStart w:id="195" w:name="_Toc70612046"/>
      <w:bookmarkStart w:id="196" w:name="_Toc72754680"/>
      <w:bookmarkStart w:id="197" w:name="_Toc72755952"/>
      <w:bookmarkStart w:id="198" w:name="_Toc72961764"/>
      <w:r w:rsidRPr="000A2E75">
        <w:rPr>
          <w:rFonts w:ascii="Times New Roman" w:hAnsi="Times New Roman" w:cs="Times New Roman"/>
          <w:b w:val="0"/>
          <w:i w:val="0"/>
          <w:sz w:val="20"/>
          <w:szCs w:val="20"/>
          <w:lang w:val="tr-TR"/>
        </w:rPr>
        <w:t>Doç.Dr.. Mustafa ERGUN</w:t>
      </w:r>
      <w:r w:rsidRPr="000A2E75">
        <w:rPr>
          <w:rFonts w:ascii="Times New Roman" w:hAnsi="Times New Roman" w:cs="Times New Roman"/>
          <w:b w:val="0"/>
          <w:sz w:val="20"/>
          <w:szCs w:val="20"/>
          <w:lang w:val="tr-TR"/>
        </w:rPr>
        <w:t>, Ondokuz Mayis Universitesi, Eğitim Fakültesi, 55139, Samsun, Turkiye</w:t>
      </w:r>
      <w:bookmarkEnd w:id="194"/>
      <w:bookmarkEnd w:id="195"/>
      <w:bookmarkEnd w:id="196"/>
      <w:bookmarkEnd w:id="197"/>
      <w:bookmarkEnd w:id="198"/>
      <w:r w:rsidRPr="000A2E75">
        <w:rPr>
          <w:rFonts w:ascii="Times New Roman" w:hAnsi="Times New Roman" w:cs="Times New Roman"/>
          <w:b w:val="0"/>
          <w:sz w:val="20"/>
          <w:szCs w:val="20"/>
          <w:lang w:val="tr-TR"/>
        </w:rPr>
        <w:t xml:space="preserve"> </w:t>
      </w:r>
    </w:p>
    <w:p w14:paraId="31AEC5AC" w14:textId="77777777" w:rsidR="00E839E1" w:rsidRPr="000A2E75" w:rsidRDefault="00E839E1" w:rsidP="00E839E1">
      <w:pPr>
        <w:jc w:val="both"/>
        <w:rPr>
          <w:rFonts w:ascii="Times New Roman" w:hAnsi="Times New Roman" w:cs="Times New Roman"/>
          <w:color w:val="000000" w:themeColor="text1"/>
        </w:rPr>
      </w:pPr>
      <w:r w:rsidRPr="000A2E75">
        <w:rPr>
          <w:rFonts w:ascii="Times New Roman" w:hAnsi="Times New Roman" w:cs="Times New Roman"/>
          <w:color w:val="000000" w:themeColor="text1"/>
        </w:rPr>
        <w:t xml:space="preserve">e-mail: </w:t>
      </w:r>
      <w:hyperlink r:id="rId343" w:history="1">
        <w:r w:rsidRPr="000A2E75">
          <w:rPr>
            <w:rStyle w:val="Kpr"/>
            <w:rFonts w:ascii="Times New Roman" w:hAnsi="Times New Roman" w:cs="Times New Roman"/>
          </w:rPr>
          <w:t>mergun@omu.edu.tr</w:t>
        </w:r>
      </w:hyperlink>
      <w:r w:rsidRPr="000A2E75">
        <w:rPr>
          <w:rFonts w:ascii="Times New Roman" w:hAnsi="Times New Roman" w:cs="Times New Roman"/>
          <w:color w:val="000000" w:themeColor="text1"/>
        </w:rPr>
        <w:t xml:space="preserve"> </w:t>
      </w:r>
      <w:r w:rsidRPr="000A2E75">
        <w:rPr>
          <w:rFonts w:ascii="Times New Roman" w:hAnsi="Times New Roman" w:cs="Times New Roman"/>
          <w:i/>
          <w:color w:val="000000" w:themeColor="text1"/>
        </w:rPr>
        <w:t>ORCID ID</w:t>
      </w:r>
      <w:r w:rsidRPr="000A2E75">
        <w:rPr>
          <w:rFonts w:ascii="Times New Roman" w:hAnsi="Times New Roman" w:cs="Times New Roman"/>
          <w:color w:val="000000" w:themeColor="text1"/>
        </w:rPr>
        <w:t xml:space="preserve">: </w:t>
      </w:r>
      <w:hyperlink r:id="rId344" w:history="1">
        <w:r w:rsidRPr="000A2E75">
          <w:rPr>
            <w:rStyle w:val="Kpr"/>
            <w:rFonts w:ascii="Times New Roman" w:hAnsi="Times New Roman" w:cs="Times New Roman"/>
          </w:rPr>
          <w:t>0000-0003-4471-6601</w:t>
        </w:r>
      </w:hyperlink>
    </w:p>
    <w:p w14:paraId="18E216E0" w14:textId="77777777" w:rsidR="00E839E1" w:rsidRPr="000A2E75" w:rsidRDefault="00E839E1" w:rsidP="00E839E1">
      <w:pPr>
        <w:jc w:val="both"/>
        <w:rPr>
          <w:rFonts w:ascii="Times New Roman" w:hAnsi="Times New Roman" w:cs="Times New Roman"/>
          <w:color w:val="000000" w:themeColor="text1"/>
        </w:rPr>
      </w:pPr>
    </w:p>
    <w:p w14:paraId="34945C7A" w14:textId="77777777" w:rsidR="00E839E1" w:rsidRPr="000A2E75" w:rsidRDefault="00E839E1" w:rsidP="00E839E1">
      <w:pPr>
        <w:tabs>
          <w:tab w:val="left" w:pos="426"/>
        </w:tabs>
        <w:spacing w:before="120" w:after="120"/>
        <w:ind w:firstLine="567"/>
        <w:rPr>
          <w:rFonts w:ascii="Times New Roman" w:hAnsi="Times New Roman" w:cs="Times New Roman"/>
          <w:b/>
          <w:bCs/>
        </w:rPr>
      </w:pPr>
      <w:r w:rsidRPr="000A2E75">
        <w:rPr>
          <w:rFonts w:ascii="Times New Roman" w:hAnsi="Times New Roman" w:cs="Times New Roman"/>
          <w:b/>
          <w:bCs/>
        </w:rPr>
        <w:t>ÖZET</w:t>
      </w:r>
    </w:p>
    <w:p w14:paraId="3AAC8AA3" w14:textId="77777777" w:rsidR="00E839E1" w:rsidRPr="000A2E75" w:rsidRDefault="00E839E1" w:rsidP="00E839E1">
      <w:pPr>
        <w:tabs>
          <w:tab w:val="left" w:pos="426"/>
        </w:tabs>
        <w:spacing w:before="120" w:after="120"/>
        <w:ind w:firstLine="567"/>
        <w:jc w:val="both"/>
        <w:rPr>
          <w:rFonts w:ascii="Times New Roman" w:hAnsi="Times New Roman" w:cs="Times New Roman"/>
          <w:bCs/>
        </w:rPr>
      </w:pPr>
      <w:r w:rsidRPr="000A2E75">
        <w:rPr>
          <w:rFonts w:ascii="Times New Roman" w:hAnsi="Times New Roman" w:cs="Times New Roman"/>
          <w:bCs/>
        </w:rPr>
        <w:t>Üniversitelerde üretilen bilimsel bilgiler farklı seviyedeki öğrencilere öğretim programları kapsamında öğretilirken bazı değişikliklere uğramaktadır. Bu değişikliklerden bazıları ele alınan bilimsel kavramların derinliklerinin sadeleştirmesi şeklinde olurken bazen de öğretim programındaki kazanımların sınırlılıklarını içermektedir. Didaktiksel dönüşüm teorisi bilimsel bir bilginin öğretilen bilgi oluncaya kadar geçirdiği dönüşümlerin tamamını ele almaktadır. Dış didaktiksel dönüşüm ise bilimsel bilgiden öğretilecek bilgiye ilk basamakta gerçekleşen dönüşümün program geliştirme uzmanları, araştırmacılar ve ders kitabı yazarları tarafından nasıl yapıldığını açıklamaya yardımcı olmaktadır. Bu çalışmada dolaşım sistemi konusunun ortaokul ve lise ders kitaplarında dış didaktiksel dönüşüm teorisi kuramsal çerçevesine göre incelenmesi amaçlanmıştır. Nitel araştırma desenlerinden olan doküman incelemesi çalışmada tercih edilmiştir. Farklı sınıf seviyelerindeki ders kitaplarındaki dolaşım sistemi konusu öğretilecek bilgi kapsamında incelenmiştir. Bu kapsamda Milli Eğitim Bakanlığı tarafından ortaokul 6. sınıf fen bilimleri ders kitabı ve lise 11. sınıf biyoloji ders kitabı görseller, etkinlikler, kazanımlar, okuma parçaları, dolaşım sistemi kavramları üzerinden analiz edilmiştir. Elde edilen bulgular sonucunda bilimsel bilginin öğrenci seviyesine göre dış didaktiksel dönüşüm teorisi kapsamında değişime uğradığı, kuramsal çerçevenin yansımalarının görseller ve dolaşım sistemi temel kavramlarında belirgin şekilde ön plana çıktığı bulunmuştur. Konu içeriğinin dış didaktiksel dönüşüm teorisi çerçevesinde öğrenci seviyesine göre indirgendiği sonucuna varılmıştır. Elde edilen bulgular ışığından hem dolaşım sistemi hem de dış didaktiksel dönüşüm teorisini fen eğitimdeki yansımaları hakkında önerilerde bulunulmuştur.</w:t>
      </w:r>
    </w:p>
    <w:p w14:paraId="084F72A6" w14:textId="77777777" w:rsidR="00E839E1" w:rsidRPr="000A2E75" w:rsidRDefault="00E839E1" w:rsidP="00E839E1">
      <w:pPr>
        <w:tabs>
          <w:tab w:val="left" w:pos="426"/>
        </w:tabs>
        <w:spacing w:before="120" w:after="120"/>
        <w:ind w:firstLine="567"/>
        <w:rPr>
          <w:rFonts w:ascii="Times New Roman" w:hAnsi="Times New Roman" w:cs="Times New Roman"/>
          <w:bCs/>
        </w:rPr>
      </w:pPr>
      <w:r w:rsidRPr="000A2E75">
        <w:rPr>
          <w:rFonts w:ascii="Times New Roman" w:hAnsi="Times New Roman" w:cs="Times New Roman"/>
          <w:b/>
          <w:bCs/>
        </w:rPr>
        <w:t xml:space="preserve">Anahtar Kelimeler: </w:t>
      </w:r>
      <w:r w:rsidRPr="000A2E75">
        <w:rPr>
          <w:rFonts w:ascii="Times New Roman" w:hAnsi="Times New Roman" w:cs="Times New Roman"/>
          <w:bCs/>
        </w:rPr>
        <w:t>Didaktiksel dönüşüm teorisi, Dolaşım sistemi, Fen bilimleri, Biyoloji</w:t>
      </w:r>
    </w:p>
    <w:p w14:paraId="6AEDFF34" w14:textId="77777777" w:rsidR="00E839E1" w:rsidRPr="000A2E75" w:rsidRDefault="00E839E1" w:rsidP="00E839E1">
      <w:pPr>
        <w:tabs>
          <w:tab w:val="left" w:pos="426"/>
        </w:tabs>
        <w:spacing w:before="120" w:after="120"/>
        <w:ind w:firstLine="567"/>
        <w:rPr>
          <w:rFonts w:ascii="Times New Roman" w:hAnsi="Times New Roman" w:cs="Times New Roman"/>
          <w:b/>
          <w:bCs/>
        </w:rPr>
      </w:pPr>
    </w:p>
    <w:p w14:paraId="476450DF" w14:textId="77777777" w:rsidR="00E839E1" w:rsidRPr="000A2E75" w:rsidRDefault="00E839E1" w:rsidP="00E839E1">
      <w:pPr>
        <w:tabs>
          <w:tab w:val="left" w:pos="426"/>
        </w:tabs>
        <w:spacing w:before="120" w:after="120"/>
        <w:ind w:firstLine="567"/>
        <w:rPr>
          <w:rFonts w:ascii="Times New Roman" w:hAnsi="Times New Roman" w:cs="Times New Roman"/>
          <w:b/>
          <w:bCs/>
        </w:rPr>
      </w:pPr>
      <w:r w:rsidRPr="000A2E75">
        <w:rPr>
          <w:rFonts w:ascii="Times New Roman" w:hAnsi="Times New Roman" w:cs="Times New Roman"/>
          <w:b/>
          <w:bCs/>
        </w:rPr>
        <w:t>GİRİŞ</w:t>
      </w:r>
    </w:p>
    <w:p w14:paraId="6E7F52E6" w14:textId="77777777" w:rsidR="00E839E1" w:rsidRPr="000A2E75" w:rsidRDefault="00E839E1" w:rsidP="00E839E1">
      <w:pPr>
        <w:spacing w:before="120" w:after="120" w:line="276" w:lineRule="auto"/>
        <w:ind w:firstLine="567"/>
        <w:jc w:val="both"/>
        <w:rPr>
          <w:rFonts w:ascii="Times New Roman" w:hAnsi="Times New Roman" w:cs="Times New Roman"/>
        </w:rPr>
      </w:pPr>
      <w:r w:rsidRPr="000A2E75">
        <w:rPr>
          <w:rFonts w:ascii="Times New Roman" w:hAnsi="Times New Roman" w:cs="Times New Roman"/>
        </w:rPr>
        <w:t xml:space="preserve">Günümüzde bilimsel bilgi, çağa ayak uydurmak amacıyla sürekli değişim halindedir. Bilgi kavramının farklı dönemler ve bulunduğu alanlar içerisindeki özelliklere göre değişiklikler içermesinin ve farklılaşmasının kaçınılmaz olduğu görülmektedir. Bu değişim eğitim ve öğretim programlarına da yansımaktadır. Öğretilecek bilgilerdeki bu değişimler ders kitaplarında ve öğretmenin konuyu işleyiş biçiminde de değişime neden olmaktadır. Bu değişim ve dönüşümler “Didaktiksel Dönüşüm Teorisi” kapsamında incelenmektedir. Bu kavram öğretilen bilgi ile öğretilecek bilgi (okul uygulamalarında gözlemlenen bilgi) arasında ve öğretilecek bilgi ile </w:t>
      </w:r>
      <w:r w:rsidRPr="000A2E75">
        <w:rPr>
          <w:rFonts w:ascii="Times New Roman" w:hAnsi="Times New Roman" w:cs="Times New Roman"/>
        </w:rPr>
        <w:lastRenderedPageBreak/>
        <w:t>bilimsel bilgi (bilimsel araştırmalar sonucunda üretilen bilgi) arasında var olduğu düşünülen farkları ortaya çıkarmaya çalışmaktadır (Komis, 2001). Didaktiksel Dönüşüm Chevallard (1985) tarafından “bir bilginin öğretilen bir bilgi oluncaya kadar geçirdiği dönüşümlerin tamamı” olarak ifade edilmiştir.</w:t>
      </w:r>
    </w:p>
    <w:p w14:paraId="259C443B" w14:textId="77777777" w:rsidR="00E839E1" w:rsidRPr="000A2E75" w:rsidRDefault="00E839E1" w:rsidP="00E839E1">
      <w:pPr>
        <w:spacing w:before="120" w:after="120" w:line="276" w:lineRule="auto"/>
        <w:ind w:firstLine="567"/>
        <w:jc w:val="both"/>
        <w:rPr>
          <w:rFonts w:ascii="Times New Roman" w:hAnsi="Times New Roman" w:cs="Times New Roman"/>
        </w:rPr>
      </w:pPr>
      <w:r w:rsidRPr="000A2E75">
        <w:rPr>
          <w:rFonts w:ascii="Times New Roman" w:eastAsia="Calibri" w:hAnsi="Times New Roman" w:cs="Times New Roman"/>
          <w:noProof/>
          <w:lang w:val="en-US"/>
        </w:rPr>
        <w:drawing>
          <wp:anchor distT="0" distB="0" distL="114300" distR="114300" simplePos="0" relativeHeight="251735040" behindDoc="0" locked="0" layoutInCell="1" allowOverlap="1" wp14:anchorId="37632749" wp14:editId="71E6FFB2">
            <wp:simplePos x="0" y="0"/>
            <wp:positionH relativeFrom="column">
              <wp:posOffset>224790</wp:posOffset>
            </wp:positionH>
            <wp:positionV relativeFrom="paragraph">
              <wp:posOffset>42545</wp:posOffset>
            </wp:positionV>
            <wp:extent cx="4991100" cy="438150"/>
            <wp:effectExtent l="38100" t="57150" r="38100" b="57150"/>
            <wp:wrapNone/>
            <wp:docPr id="187" name="Diyagram 18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5" r:lo="rId346" r:qs="rId347" r:cs="rId348"/>
              </a:graphicData>
            </a:graphic>
            <wp14:sizeRelH relativeFrom="page">
              <wp14:pctWidth>0</wp14:pctWidth>
            </wp14:sizeRelH>
            <wp14:sizeRelV relativeFrom="page">
              <wp14:pctHeight>0</wp14:pctHeight>
            </wp14:sizeRelV>
          </wp:anchor>
        </w:drawing>
      </w:r>
    </w:p>
    <w:p w14:paraId="76F25CE1" w14:textId="77777777" w:rsidR="00E839E1" w:rsidRPr="000A2E75" w:rsidRDefault="00E839E1" w:rsidP="00E839E1">
      <w:pPr>
        <w:spacing w:before="120" w:after="120" w:line="276" w:lineRule="auto"/>
        <w:ind w:firstLine="567"/>
        <w:jc w:val="both"/>
        <w:rPr>
          <w:rFonts w:ascii="Times New Roman" w:hAnsi="Times New Roman" w:cs="Times New Roman"/>
        </w:rPr>
      </w:pPr>
    </w:p>
    <w:p w14:paraId="4AE20E96" w14:textId="77777777" w:rsidR="00E839E1" w:rsidRPr="000A2E75" w:rsidRDefault="00E839E1" w:rsidP="00E839E1">
      <w:pPr>
        <w:spacing w:before="120" w:after="120" w:line="276" w:lineRule="auto"/>
        <w:ind w:firstLine="567"/>
        <w:jc w:val="both"/>
        <w:rPr>
          <w:rFonts w:ascii="Times New Roman" w:hAnsi="Times New Roman" w:cs="Times New Roman"/>
        </w:rPr>
      </w:pPr>
      <w:r w:rsidRPr="000A2E75">
        <w:rPr>
          <w:rFonts w:ascii="Times New Roman" w:hAnsi="Times New Roman" w:cs="Times New Roman"/>
        </w:rPr>
        <w:t xml:space="preserve"> Şekil 1. Didaktiksel Dönüşümün Basamakları (Bosch, Chevallard ve Gascon, 2005)</w:t>
      </w:r>
    </w:p>
    <w:p w14:paraId="5D566B3B" w14:textId="77777777" w:rsidR="00E839E1" w:rsidRPr="000A2E75" w:rsidRDefault="00E839E1" w:rsidP="00E839E1">
      <w:pPr>
        <w:spacing w:before="120" w:after="120" w:line="276" w:lineRule="auto"/>
        <w:ind w:firstLine="567"/>
        <w:jc w:val="both"/>
        <w:rPr>
          <w:rFonts w:ascii="Times New Roman" w:hAnsi="Times New Roman" w:cs="Times New Roman"/>
        </w:rPr>
      </w:pPr>
      <w:r w:rsidRPr="000A2E75">
        <w:rPr>
          <w:rFonts w:ascii="Times New Roman" w:hAnsi="Times New Roman" w:cs="Times New Roman"/>
        </w:rPr>
        <w:t>İlk bilgi türü “Bilimsel Bilgi”dir. Bilimsel bilgi, araştırma ve gözlemler yoluyla elde edilen, doğruluğu herkes tarafından kabul edilen bilgilerdir. Didaktiksel dönüşüm sürecinde ikinci bilgi türü ise “Öğretilecek Bilgi”dir. Chevallard (1985), öğretilecek bilgiden bahsederken referans olarak öğretim programlarından ve öğretmen yardımcı kitaplarından bahsetmektedir. Ders kitapları, programın birer yansıması olarak kabul edilmektedir. Bir başka deyişle, öğretim programı bilgisi, ders kitabı bilgisi, öğretmenin ders planı hazırlamak için kullandığı bilgi öğretilecek bilgi olarak adlandırılır. Üçüncü bilgi türü de “Öğretilen Bilgi”dir. Öğretilen bilgi öğretmenin öğretilecek bilgiyi yorumlayarak konuyu işlerken kullandığı bilgidir. Bilimsel bilgiler her okul seviyesine göre yeniden düzenlenmektedir. İşte bu düzenleme süreci ve aşamaları didaktiksel dönüşüm süreci olarak isimlendirilmektedir. Didaktiksel dönüşüm bu bağlamda iki aşamadan oluşur ve dönüşüm sırasıyla aşağıdaki şekildeki gibi kategorize edilir: Şekil 2’de dış ve iç dönüşüm gösterilmektedir (Komis, 2001).</w:t>
      </w:r>
    </w:p>
    <w:p w14:paraId="575C8EFF" w14:textId="77777777" w:rsidR="00E839E1" w:rsidRPr="000A2E75" w:rsidRDefault="00E839E1" w:rsidP="00E839E1">
      <w:pPr>
        <w:spacing w:before="120" w:after="120" w:line="276" w:lineRule="auto"/>
        <w:ind w:firstLine="567"/>
        <w:jc w:val="both"/>
        <w:rPr>
          <w:rFonts w:ascii="Times New Roman" w:hAnsi="Times New Roman" w:cs="Times New Roman"/>
          <w:lang w:val="fr-FR"/>
        </w:rPr>
      </w:pPr>
      <w:r w:rsidRPr="000A2E75">
        <w:rPr>
          <w:rFonts w:ascii="Times New Roman" w:hAnsi="Times New Roman" w:cs="Times New Roman"/>
          <w:noProof/>
          <w:lang w:val="en-US"/>
        </w:rPr>
        <mc:AlternateContent>
          <mc:Choice Requires="wpg">
            <w:drawing>
              <wp:anchor distT="0" distB="0" distL="114300" distR="114300" simplePos="0" relativeHeight="251736064" behindDoc="0" locked="0" layoutInCell="1" allowOverlap="1" wp14:anchorId="45EC4A3F" wp14:editId="14E93306">
                <wp:simplePos x="0" y="0"/>
                <wp:positionH relativeFrom="column">
                  <wp:posOffset>929640</wp:posOffset>
                </wp:positionH>
                <wp:positionV relativeFrom="paragraph">
                  <wp:posOffset>377190</wp:posOffset>
                </wp:positionV>
                <wp:extent cx="3705225" cy="1018488"/>
                <wp:effectExtent l="0" t="0" r="28575" b="10795"/>
                <wp:wrapNone/>
                <wp:docPr id="35" name="Grup 8"/>
                <wp:cNvGraphicFramePr/>
                <a:graphic xmlns:a="http://schemas.openxmlformats.org/drawingml/2006/main">
                  <a:graphicData uri="http://schemas.microsoft.com/office/word/2010/wordprocessingGroup">
                    <wpg:wgp>
                      <wpg:cNvGrpSpPr/>
                      <wpg:grpSpPr bwMode="auto">
                        <a:xfrm>
                          <a:off x="0" y="0"/>
                          <a:ext cx="3705225" cy="1018488"/>
                          <a:chOff x="348245" y="169527"/>
                          <a:chExt cx="5115615" cy="1029315"/>
                        </a:xfrm>
                      </wpg:grpSpPr>
                      <wps:wsp>
                        <wps:cNvPr id="160" name="Metin Kutusu 160"/>
                        <wps:cNvSpPr txBox="1">
                          <a:spLocks noChangeArrowheads="1"/>
                        </wps:cNvSpPr>
                        <wps:spPr bwMode="auto">
                          <a:xfrm>
                            <a:off x="348245" y="513072"/>
                            <a:ext cx="2553342" cy="685770"/>
                          </a:xfrm>
                          <a:prstGeom prst="rect">
                            <a:avLst/>
                          </a:prstGeom>
                          <a:solidFill>
                            <a:srgbClr val="FFFFFF"/>
                          </a:solidFill>
                          <a:ln w="9525">
                            <a:solidFill>
                              <a:srgbClr val="000000"/>
                            </a:solidFill>
                            <a:miter lim="800000"/>
                            <a:headEnd/>
                            <a:tailEnd/>
                          </a:ln>
                        </wps:spPr>
                        <wps:txbx>
                          <w:txbxContent>
                            <w:p w14:paraId="7351B443" w14:textId="77777777" w:rsidR="003B6DB3" w:rsidRPr="008B25D1" w:rsidRDefault="003B6DB3" w:rsidP="00E839E1">
                              <w:pPr>
                                <w:pStyle w:val="NormalWeb"/>
                                <w:spacing w:before="120" w:beforeAutospacing="0" w:after="120" w:afterAutospacing="0"/>
                                <w:jc w:val="center"/>
                                <w:textAlignment w:val="baseline"/>
                                <w:rPr>
                                  <w:rFonts w:ascii="Book Antiqua" w:hAnsi="Book Antiqua"/>
                                  <w:sz w:val="20"/>
                                  <w:szCs w:val="20"/>
                                </w:rPr>
                              </w:pPr>
                              <w:r w:rsidRPr="008B25D1">
                                <w:rPr>
                                  <w:rFonts w:ascii="Book Antiqua" w:hAnsi="Book Antiqua"/>
                                  <w:b/>
                                  <w:bCs/>
                                  <w:color w:val="000000"/>
                                  <w:kern w:val="24"/>
                                  <w:sz w:val="20"/>
                                  <w:szCs w:val="20"/>
                                </w:rPr>
                                <w:t>Dış Didaktiksel Dönüşüm</w:t>
                              </w:r>
                              <w:r w:rsidRPr="008B25D1">
                                <w:rPr>
                                  <w:rFonts w:ascii="Book Antiqua" w:hAnsi="Book Antiqua"/>
                                  <w:color w:val="000000"/>
                                  <w:kern w:val="24"/>
                                  <w:sz w:val="20"/>
                                  <w:szCs w:val="20"/>
                                </w:rPr>
                                <w:br/>
                                <w:t>Yazarlar, araştırmacılar, program tasarımcıları</w:t>
                              </w:r>
                            </w:p>
                          </w:txbxContent>
                        </wps:txbx>
                        <wps:bodyPr/>
                      </wps:wsp>
                      <wps:wsp>
                        <wps:cNvPr id="161" name="Metin Kutusu 2"/>
                        <wps:cNvSpPr txBox="1">
                          <a:spLocks noChangeArrowheads="1"/>
                        </wps:cNvSpPr>
                        <wps:spPr bwMode="auto">
                          <a:xfrm>
                            <a:off x="3210689" y="509776"/>
                            <a:ext cx="2253171" cy="689066"/>
                          </a:xfrm>
                          <a:prstGeom prst="rect">
                            <a:avLst/>
                          </a:prstGeom>
                          <a:solidFill>
                            <a:srgbClr val="FFFFFF"/>
                          </a:solidFill>
                          <a:ln w="9525">
                            <a:solidFill>
                              <a:srgbClr val="000000"/>
                            </a:solidFill>
                            <a:miter lim="800000"/>
                            <a:headEnd/>
                            <a:tailEnd/>
                          </a:ln>
                        </wps:spPr>
                        <wps:txbx>
                          <w:txbxContent>
                            <w:p w14:paraId="0523B1F9" w14:textId="77777777" w:rsidR="003B6DB3" w:rsidRPr="008B25D1" w:rsidRDefault="003B6DB3" w:rsidP="00E839E1">
                              <w:pPr>
                                <w:pStyle w:val="NormalWeb"/>
                                <w:spacing w:before="120" w:beforeAutospacing="0" w:after="120" w:afterAutospacing="0"/>
                                <w:jc w:val="center"/>
                                <w:textAlignment w:val="baseline"/>
                                <w:rPr>
                                  <w:rFonts w:ascii="Book Antiqua" w:hAnsi="Book Antiqua"/>
                                  <w:sz w:val="20"/>
                                  <w:szCs w:val="20"/>
                                </w:rPr>
                              </w:pPr>
                              <w:r w:rsidRPr="008B25D1">
                                <w:rPr>
                                  <w:rFonts w:ascii="Book Antiqua" w:hAnsi="Book Antiqua"/>
                                  <w:b/>
                                  <w:bCs/>
                                  <w:color w:val="000000"/>
                                  <w:kern w:val="24"/>
                                  <w:sz w:val="20"/>
                                  <w:szCs w:val="20"/>
                                </w:rPr>
                                <w:t>İç Didaktiksel Dönüşüm</w:t>
                              </w:r>
                              <w:r w:rsidRPr="008B25D1">
                                <w:rPr>
                                  <w:rFonts w:ascii="Book Antiqua" w:hAnsi="Book Antiqua"/>
                                  <w:color w:val="000000"/>
                                  <w:kern w:val="24"/>
                                  <w:sz w:val="20"/>
                                  <w:szCs w:val="20"/>
                                </w:rPr>
                                <w:br/>
                                <w:t>Eğitimciler</w:t>
                              </w:r>
                            </w:p>
                          </w:txbxContent>
                        </wps:txbx>
                        <wps:bodyPr/>
                      </wps:wsp>
                      <wps:wsp>
                        <wps:cNvPr id="162" name="Düz Ok Bağlayıcısı 162"/>
                        <wps:cNvCnPr>
                          <a:cxnSpLocks noChangeShapeType="1"/>
                        </wps:cNvCnPr>
                        <wps:spPr bwMode="auto">
                          <a:xfrm>
                            <a:off x="1645724" y="169527"/>
                            <a:ext cx="0" cy="269506"/>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63" name="Düz Ok Bağlayıcısı 163"/>
                        <wps:cNvCnPr>
                          <a:cxnSpLocks noChangeShapeType="1"/>
                        </wps:cNvCnPr>
                        <wps:spPr bwMode="auto">
                          <a:xfrm>
                            <a:off x="4023294" y="169527"/>
                            <a:ext cx="0" cy="264553"/>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45EC4A3F" id="Grup 8" o:spid="_x0000_s1064" style="position:absolute;left:0;text-align:left;margin-left:73.2pt;margin-top:29.7pt;width:291.75pt;height:80.2pt;z-index:251736064;mso-position-horizontal-relative:text;mso-position-vertical-relative:text;mso-width-relative:margin;mso-height-relative:margin" coordorigin="3482,1695" coordsize="51156,10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YW9uwMAAGMNAAAOAAAAZHJzL2Uyb0RvYy54bWzsV9tu3DYQfS/QfyD0vpao+wqWg2QvfmjS&#10;BHD6AVyJuiASKZBca7dFv6Xf4Pe+1R/WIalV7U0CBynqoGj3QcvLaDhzZuZwdPni0HfolgrZcpY7&#10;+MJzEGUFL1tW585P77eL1EFSEVaSjjOaO0cqnRdX3393OQ4Z9XnDu5IKBEqYzMYhdxqlhsx1ZdHQ&#10;nsgLPlAGmxUXPVEwFbVbCjKC9r5zfc+L3ZGLchC8oFLC6tpuOldGf1XRQr2tKkkV6nIHbFPmKcxz&#10;p5/u1SXJakGGpi0mM8hXWNGTlsGhs6o1UQTtRfuRqr4tBJe8UhcF711eVW1BjQ/gDfbOvLkWfD8Y&#10;X+psrIcZJoD2DKevVlv8ePtOoLbMnSByECM9xOha7AeUamjGoc5A4loMN8M7MS3UdoZ24xtegjjZ&#10;K258P1Si1xiAV+hgID7OENODQgUsBokX+T4cVcAe9nAapuYkkhUNREq/F4SpH4KEFoiXkZ/YIBXN&#10;ZtIRYRzFeNbhLwOYgHEuyawJrrZ7MlM7Aakl/0JP/j30bhoyUBMUqbGZ0MMxZJeF7w1VLUM/7NVe&#10;7pFeN7gZYY0iUodXHNzEBjM5vObFB4kYXzWE1fSlEHxsKCnBSmyc0ubDOfpV64vUSp4C/wGIEQ68&#10;xLcgnsLgR1EQhL4NQ5xGSWLMnBEk2SCkuqa8R3qQOwIqyRhMbl9LZcE+ieiYS9615bbtOjMR9W7V&#10;CXRLoOq25jfF55FYx9CYOxDhyELxWRWe+X1KRd8qoI+u7XMnnYVIpgHcsBLMJJkibWfH4F3HIE00&#10;ohpEC6c67A62AAxGenPHy6NJdyMKufNsSYQ/mUSzYVMePFMK+diL06UpxMhbJkl8lkN+FOAELNal&#10;DIJebAT+2zkUaIy+bQ5BVVsiWv/x+8/o7Qf0itz/1pHj/V1xfyfv74CTHibUiulKAP49sJszMjJU&#10;9/44AMk/4iL7yqmMnuQiHIdR4ocfMfqJjIA5dQr5QPbeEykklSBt3agVZwwYiQvLop8hJcY1IxkW&#10;sFwTBxEcRroaepVCiWegHaQMfEq0wO4ddTTj9bR0UEfBBj2yXKqJiWSACLDrNLL9wy9Lb7lJN2m4&#10;CP14swi99XrxcrsKF/EWJ9E6WK9Wa/yr9gSHWdOWJWXa6VMvg8Mvu+2mrsp2IXM3MwPoPtZu7low&#10;9vRvjD7j1W9HosHTBTCXKTDqP18AoecH/vILCiCEa3lKiFMzdbpkp3v4/wL4NxeAaUyhkzd1M311&#10;6E+Fh3MYP/w2uvoTAAD//wMAUEsDBBQABgAIAAAAIQDbDR8z4QAAAAoBAAAPAAAAZHJzL2Rvd25y&#10;ZXYueG1sTI/BSsNAEIbvgu+wjODNbhLb2sRsSinqqQi2gnjbZqdJaHY2ZLdJ+vaOJz0NP/Pxzzf5&#10;erKtGLD3jSMF8SwCgVQ601Cl4PPw+rAC4YMmo1tHqOCKHtbF7U2uM+NG+sBhHyrBJeQzraAOocuk&#10;9GWNVvuZ65B4d3K91YFjX0nT65HLbSuTKFpKqxviC7XucFtjed5frIK3UY+bx/hl2J1P2+v3YfH+&#10;tYtRqfu7afMMIuAU/mD41Wd1KNjp6C5kvGg5z5dzRhUsUp4MPCVpCuKoIInTFcgil/9fKH4AAAD/&#10;/wMAUEsBAi0AFAAGAAgAAAAhALaDOJL+AAAA4QEAABMAAAAAAAAAAAAAAAAAAAAAAFtDb250ZW50&#10;X1R5cGVzXS54bWxQSwECLQAUAAYACAAAACEAOP0h/9YAAACUAQAACwAAAAAAAAAAAAAAAAAvAQAA&#10;X3JlbHMvLnJlbHNQSwECLQAUAAYACAAAACEA7QmFvbsDAABjDQAADgAAAAAAAAAAAAAAAAAuAgAA&#10;ZHJzL2Uyb0RvYy54bWxQSwECLQAUAAYACAAAACEA2w0fM+EAAAAKAQAADwAAAAAAAAAAAAAAAAAV&#10;BgAAZHJzL2Rvd25yZXYueG1sUEsFBgAAAAAEAAQA8wAAACMHAAAAAA==&#10;">
                <v:shape id="Metin Kutusu 160" o:spid="_x0000_s1065" type="#_x0000_t202" style="position:absolute;left:3482;top:5130;width:25533;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9mGxgAAANwAAAAPAAAAZHJzL2Rvd25yZXYueG1sRI9BT8JA&#10;EIXvJv6HzZh4IbBVSYHKQoyJBm6IBK6T7tA2dmfr7lrqv3cOJN5m8t68981yPbhW9RRi49nAwyQD&#10;RVx623Bl4PD5Np6DignZYuuZDPxShPXq9maJhfUX/qB+nyolIRwLNFCn1BVax7Imh3HiO2LRzj44&#10;TLKGStuAFwl3rX7Mslw7bFgaauzotabya//jDMynm/4Ut0+7Y5mf20Uazfr372DM/d3w8gwq0ZD+&#10;zdfrjRX8XPDlGZlAr/4AAAD//wMAUEsBAi0AFAAGAAgAAAAhANvh9svuAAAAhQEAABMAAAAAAAAA&#10;AAAAAAAAAAAAAFtDb250ZW50X1R5cGVzXS54bWxQSwECLQAUAAYACAAAACEAWvQsW78AAAAVAQAA&#10;CwAAAAAAAAAAAAAAAAAfAQAAX3JlbHMvLnJlbHNQSwECLQAUAAYACAAAACEAdA/ZhsYAAADcAAAA&#10;DwAAAAAAAAAAAAAAAAAHAgAAZHJzL2Rvd25yZXYueG1sUEsFBgAAAAADAAMAtwAAAPoCAAAAAA==&#10;">
                  <v:textbox>
                    <w:txbxContent>
                      <w:p w14:paraId="7351B443" w14:textId="77777777" w:rsidR="003B6DB3" w:rsidRPr="008B25D1" w:rsidRDefault="003B6DB3" w:rsidP="00E839E1">
                        <w:pPr>
                          <w:pStyle w:val="NormalWeb"/>
                          <w:spacing w:before="120" w:beforeAutospacing="0" w:after="120" w:afterAutospacing="0"/>
                          <w:jc w:val="center"/>
                          <w:textAlignment w:val="baseline"/>
                          <w:rPr>
                            <w:rFonts w:ascii="Book Antiqua" w:hAnsi="Book Antiqua"/>
                            <w:sz w:val="20"/>
                            <w:szCs w:val="20"/>
                          </w:rPr>
                        </w:pPr>
                        <w:r w:rsidRPr="008B25D1">
                          <w:rPr>
                            <w:rFonts w:ascii="Book Antiqua" w:hAnsi="Book Antiqua"/>
                            <w:b/>
                            <w:bCs/>
                            <w:color w:val="000000"/>
                            <w:kern w:val="24"/>
                            <w:sz w:val="20"/>
                            <w:szCs w:val="20"/>
                          </w:rPr>
                          <w:t>Dış Didaktiksel Dönüşüm</w:t>
                        </w:r>
                        <w:r w:rsidRPr="008B25D1">
                          <w:rPr>
                            <w:rFonts w:ascii="Book Antiqua" w:hAnsi="Book Antiqua"/>
                            <w:color w:val="000000"/>
                            <w:kern w:val="24"/>
                            <w:sz w:val="20"/>
                            <w:szCs w:val="20"/>
                          </w:rPr>
                          <w:br/>
                          <w:t>Yazarlar, araştırmacılar, program tasarımcıları</w:t>
                        </w:r>
                      </w:p>
                    </w:txbxContent>
                  </v:textbox>
                </v:shape>
                <v:shape id="Metin Kutusu 2" o:spid="_x0000_s1066" type="#_x0000_t202" style="position:absolute;left:32106;top:5097;width:22532;height:68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3wdwwAAANwAAAAPAAAAZHJzL2Rvd25yZXYueG1sRE9Na8JA&#10;EL0L/Q/LCF6kbrQSbeoqIrTozWppr0N2TILZ2XR3G+O/dwWht3m8z1msOlOLlpyvLCsYjxIQxLnV&#10;FRcKvo7vz3MQPiBrrC2Tgit5WC2fegvMtL3wJ7WHUIgYwj5DBWUITSalz0sy6Ee2IY7cyTqDIUJX&#10;SO3wEsNNLSdJkkqDFceGEhvalJSfD39GwXy6bX/87mX/naen+jUMZ+3Hr1Nq0O/WbyACdeFf/HBv&#10;dZyfjuH+TLxALm8AAAD//wMAUEsBAi0AFAAGAAgAAAAhANvh9svuAAAAhQEAABMAAAAAAAAAAAAA&#10;AAAAAAAAAFtDb250ZW50X1R5cGVzXS54bWxQSwECLQAUAAYACAAAACEAWvQsW78AAAAVAQAACwAA&#10;AAAAAAAAAAAAAAAfAQAAX3JlbHMvLnJlbHNQSwECLQAUAAYACAAAACEAG0N8HcMAAADcAAAADwAA&#10;AAAAAAAAAAAAAAAHAgAAZHJzL2Rvd25yZXYueG1sUEsFBgAAAAADAAMAtwAAAPcCAAAAAA==&#10;">
                  <v:textbox>
                    <w:txbxContent>
                      <w:p w14:paraId="0523B1F9" w14:textId="77777777" w:rsidR="003B6DB3" w:rsidRPr="008B25D1" w:rsidRDefault="003B6DB3" w:rsidP="00E839E1">
                        <w:pPr>
                          <w:pStyle w:val="NormalWeb"/>
                          <w:spacing w:before="120" w:beforeAutospacing="0" w:after="120" w:afterAutospacing="0"/>
                          <w:jc w:val="center"/>
                          <w:textAlignment w:val="baseline"/>
                          <w:rPr>
                            <w:rFonts w:ascii="Book Antiqua" w:hAnsi="Book Antiqua"/>
                            <w:sz w:val="20"/>
                            <w:szCs w:val="20"/>
                          </w:rPr>
                        </w:pPr>
                        <w:r w:rsidRPr="008B25D1">
                          <w:rPr>
                            <w:rFonts w:ascii="Book Antiqua" w:hAnsi="Book Antiqua"/>
                            <w:b/>
                            <w:bCs/>
                            <w:color w:val="000000"/>
                            <w:kern w:val="24"/>
                            <w:sz w:val="20"/>
                            <w:szCs w:val="20"/>
                          </w:rPr>
                          <w:t>İç Didaktiksel Dönüşüm</w:t>
                        </w:r>
                        <w:r w:rsidRPr="008B25D1">
                          <w:rPr>
                            <w:rFonts w:ascii="Book Antiqua" w:hAnsi="Book Antiqua"/>
                            <w:color w:val="000000"/>
                            <w:kern w:val="24"/>
                            <w:sz w:val="20"/>
                            <w:szCs w:val="20"/>
                          </w:rPr>
                          <w:br/>
                          <w:t>Eğitimciler</w:t>
                        </w:r>
                      </w:p>
                    </w:txbxContent>
                  </v:textbox>
                </v:shape>
                <v:shape id="Düz Ok Bağlayıcısı 162" o:spid="_x0000_s1067" type="#_x0000_t32" style="position:absolute;left:16457;top:1695;width:0;height:26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WNavgAAANwAAAAPAAAAZHJzL2Rvd25yZXYueG1sRE9LCsIw&#10;EN0L3iGM4EY01YVINYoIols/iMuxGdtqM6lNrPX2RhDczeN9Z7ZoTCFqqlxuWcFwEIEgTqzOOVVw&#10;PKz7ExDOI2ssLJOCNzlYzNutGcbavnhH9d6nIoSwi1FB5n0ZS+mSjAy6gS2JA3e1lUEfYJVKXeEr&#10;hJtCjqJoLA3mHBoyLGmVUXLfP42Cx/WWn3frEk+byz29PM+9utj2lOp2muUUhKfG/8U/91aH+eMR&#10;fJ8JF8j5BwAA//8DAFBLAQItABQABgAIAAAAIQDb4fbL7gAAAIUBAAATAAAAAAAAAAAAAAAAAAAA&#10;AABbQ29udGVudF9UeXBlc10ueG1sUEsBAi0AFAAGAAgAAAAhAFr0LFu/AAAAFQEAAAsAAAAAAAAA&#10;AAAAAAAAHwEAAF9yZWxzLy5yZWxzUEsBAi0AFAAGAAgAAAAhAFVpY1q+AAAA3AAAAA8AAAAAAAAA&#10;AAAAAAAABwIAAGRycy9kb3ducmV2LnhtbFBLBQYAAAAAAwADALcAAADyAgAAAAA=&#10;" strokeweight=".5pt">
                  <v:stroke endarrow="block" joinstyle="miter"/>
                </v:shape>
                <v:shape id="Düz Ok Bağlayıcısı 163" o:spid="_x0000_s1068" type="#_x0000_t32" style="position:absolute;left:40232;top:1695;width:0;height:26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cbBwgAAANwAAAAPAAAAZHJzL2Rvd25yZXYueG1sRE9Na8JA&#10;EL0X/A/LFLyIbqwQJHUNRZB6NS2S45gdk9TsbMyuSfz3bqHQ2zze52zS0TSip87VlhUsFxEI4sLq&#10;mksF31/7+RqE88gaG8uk4EEO0u3kZYOJtgMfqc98KUIIuwQVVN63iZSuqMigW9iWOHAX2xn0AXal&#10;1B0OIdw08i2KYmmw5tBQYUu7ioprdjcKbpefOj/uWzx9nq/l+Z7P+uYwU2r6On68g/A0+n/xn/ug&#10;w/x4Bb/PhAvk9gkAAP//AwBQSwECLQAUAAYACAAAACEA2+H2y+4AAACFAQAAEwAAAAAAAAAAAAAA&#10;AAAAAAAAW0NvbnRlbnRfVHlwZXNdLnhtbFBLAQItABQABgAIAAAAIQBa9CxbvwAAABUBAAALAAAA&#10;AAAAAAAAAAAAAB8BAABfcmVscy8ucmVsc1BLAQItABQABgAIAAAAIQA6JcbBwgAAANwAAAAPAAAA&#10;AAAAAAAAAAAAAAcCAABkcnMvZG93bnJldi54bWxQSwUGAAAAAAMAAwC3AAAA9gIAAAAA&#10;" strokeweight=".5pt">
                  <v:stroke endarrow="block" joinstyle="miter"/>
                </v:shape>
              </v:group>
            </w:pict>
          </mc:Fallback>
        </mc:AlternateContent>
      </w:r>
      <w:r w:rsidRPr="000A2E75">
        <w:rPr>
          <w:rFonts w:ascii="Times New Roman" w:hAnsi="Times New Roman" w:cs="Times New Roman"/>
          <w:noProof/>
          <w:lang w:val="en-US"/>
        </w:rPr>
        <w:drawing>
          <wp:inline distT="0" distB="0" distL="0" distR="0" wp14:anchorId="51572261" wp14:editId="16CEBBBB">
            <wp:extent cx="4686300" cy="466725"/>
            <wp:effectExtent l="38100" t="57150" r="38100" b="47625"/>
            <wp:docPr id="188" name="Diyagram 18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0" r:lo="rId351" r:qs="rId352" r:cs="rId353"/>
              </a:graphicData>
            </a:graphic>
          </wp:inline>
        </w:drawing>
      </w:r>
    </w:p>
    <w:p w14:paraId="14E6C14E" w14:textId="77777777" w:rsidR="00E839E1" w:rsidRPr="000A2E75" w:rsidRDefault="00E839E1" w:rsidP="00E839E1">
      <w:pPr>
        <w:spacing w:before="120" w:after="120" w:line="276" w:lineRule="auto"/>
        <w:ind w:firstLine="567"/>
        <w:jc w:val="both"/>
        <w:rPr>
          <w:rFonts w:ascii="Times New Roman" w:hAnsi="Times New Roman" w:cs="Times New Roman"/>
          <w:lang w:val="fr-FR"/>
        </w:rPr>
      </w:pPr>
    </w:p>
    <w:p w14:paraId="739279B1" w14:textId="77777777" w:rsidR="00E839E1" w:rsidRPr="000A2E75" w:rsidRDefault="00E839E1" w:rsidP="00E839E1">
      <w:pPr>
        <w:spacing w:before="120" w:after="120" w:line="276" w:lineRule="auto"/>
        <w:ind w:firstLine="567"/>
        <w:jc w:val="both"/>
        <w:rPr>
          <w:rFonts w:ascii="Times New Roman" w:hAnsi="Times New Roman" w:cs="Times New Roman"/>
          <w:lang w:val="fr-FR"/>
        </w:rPr>
      </w:pPr>
    </w:p>
    <w:p w14:paraId="55536985" w14:textId="77777777" w:rsidR="00E839E1" w:rsidRPr="000A2E75" w:rsidRDefault="00E839E1" w:rsidP="00E839E1">
      <w:pPr>
        <w:spacing w:before="120" w:after="120" w:line="276" w:lineRule="auto"/>
        <w:ind w:firstLine="567"/>
        <w:jc w:val="both"/>
        <w:rPr>
          <w:rFonts w:ascii="Times New Roman" w:hAnsi="Times New Roman" w:cs="Times New Roman"/>
          <w:lang w:val="fr-FR"/>
        </w:rPr>
      </w:pPr>
    </w:p>
    <w:p w14:paraId="7C03F4A5" w14:textId="77777777" w:rsidR="00E839E1" w:rsidRPr="000A2E75" w:rsidRDefault="00E839E1" w:rsidP="00E839E1">
      <w:pPr>
        <w:spacing w:before="120" w:after="120" w:line="276" w:lineRule="auto"/>
        <w:ind w:firstLine="567"/>
        <w:jc w:val="center"/>
        <w:rPr>
          <w:rFonts w:ascii="Times New Roman" w:hAnsi="Times New Roman" w:cs="Times New Roman"/>
          <w:lang w:val="fr-FR"/>
        </w:rPr>
      </w:pPr>
      <w:r w:rsidRPr="000A2E75">
        <w:rPr>
          <w:rFonts w:ascii="Times New Roman" w:hAnsi="Times New Roman" w:cs="Times New Roman"/>
          <w:lang w:val="fr-FR"/>
        </w:rPr>
        <w:t>Şekil 2. Didaktiksel Dönüşümün Teorisinin Aşamaları</w:t>
      </w:r>
    </w:p>
    <w:p w14:paraId="3ECD5C45" w14:textId="77777777" w:rsidR="00E839E1" w:rsidRPr="000A2E75" w:rsidRDefault="00E839E1" w:rsidP="00E839E1">
      <w:pPr>
        <w:spacing w:before="120" w:after="120" w:line="276" w:lineRule="auto"/>
        <w:ind w:firstLine="567"/>
        <w:jc w:val="both"/>
        <w:rPr>
          <w:rFonts w:ascii="Times New Roman" w:hAnsi="Times New Roman" w:cs="Times New Roman"/>
          <w:lang w:val="fr-FR"/>
        </w:rPr>
      </w:pPr>
      <w:r w:rsidRPr="000A2E75">
        <w:rPr>
          <w:rFonts w:ascii="Times New Roman" w:hAnsi="Times New Roman" w:cs="Times New Roman"/>
          <w:lang w:val="fr-FR"/>
        </w:rPr>
        <w:t xml:space="preserve">Bilimsel bilgilerin, öğretilecek bilgiye dönüşümü dış didaktiksel dönüşüm süreci olarak tanımlanmaktadır. “Öğretilecek bilginin” içeriği bilimsel araştırmalar yapan gruplar tarafından belirlenen ve isimlendirilen bilgilerden yani “bilimsel bilgilerden” meydana gelir. Sonuç olarak, didaktiksel dönüşüm kavramı bilimsel bilginin öğretilecek bilgi içeriğine dönüşmesinin doğrudan olmadığını göstermektedir. Her eğitimci sürecin ikinci aşaması boyunca yapılan özel dönüşüm ayarlamasını meydana getirir. Bununla beraber, didaktiksel dönüşüm, eğitimcilerin namına, sınıflarında bilimsel bilgilere dayanan derslerin oluşturulmasını, programlar tarafından (öğretilecek bilgilerin içeriğini) yönlendirilmesini ve düzenleme içerisine alınmasını gerektirir (Komis, 2001). </w:t>
      </w:r>
    </w:p>
    <w:p w14:paraId="6759A67F" w14:textId="77777777" w:rsidR="00E839E1" w:rsidRPr="000A2E75" w:rsidRDefault="00E839E1" w:rsidP="00E839E1">
      <w:pPr>
        <w:spacing w:before="120" w:after="120" w:line="276" w:lineRule="auto"/>
        <w:ind w:firstLine="567"/>
        <w:jc w:val="both"/>
        <w:rPr>
          <w:rFonts w:ascii="Times New Roman" w:hAnsi="Times New Roman" w:cs="Times New Roman"/>
          <w:lang w:val="fr-FR"/>
        </w:rPr>
      </w:pPr>
      <w:r w:rsidRPr="000A2E75">
        <w:rPr>
          <w:rFonts w:ascii="Times New Roman" w:hAnsi="Times New Roman" w:cs="Times New Roman"/>
          <w:lang w:val="fr-FR"/>
        </w:rPr>
        <w:t xml:space="preserve">Literatürde didaktiksel dönüşüm teorisi ile ilgili çalışmalar mevcuttur. Yıldırım (2008) fen eğitiminde genetik kavramının dönüşümünü, Kaya ve Ergun (2012) maddenin tanecikli yapısındaki dönüşümü, Kırtman (2019) hücre kavramının dönüşümünü, Kırtoklu ve Ergun (2019) hücre ve bölünmeler konusundaki dönüşümü, Yıldırım ve Şahin (2009) fen eğitiminde didaktiksel </w:t>
      </w:r>
      <w:r w:rsidRPr="000A2E75">
        <w:rPr>
          <w:rFonts w:ascii="Times New Roman" w:hAnsi="Times New Roman" w:cs="Times New Roman"/>
          <w:lang w:val="fr-FR"/>
        </w:rPr>
        <w:lastRenderedPageBreak/>
        <w:t>dönüşüm teorisinin kullanılmasını, Schlemminger (1995) dil öğretimindeki didaktiksel dönüşümü, Koca ve Ergun (2019) organeller kavranının dönüşümünü, Gürsoy ve Ergun (2019) organaneller konusundaki analojilerin dönüşümünü, Yıldırım (2002) kromozom kavramının Fransa ve Türkiye'deki dönüşümünü, Bulut Atalar ve Ergun (2018) öğretmenlerin gerçekleştirdiği didaktiksel dönüşümü, Özgür ve Pelitoğlu (2008) Türkiye’deki sindirim sistemi kavramındaki dönüşümü didaktiksel dönüşüm teorisine göre incelemişlerdir. Fakat dolaşım sistemi konusunun farklı sınıf seviyelerine göre geçirdiği didaktiksel dönüşümlerin incelendiği bir çalışma bulunmaması bu çalışmanın yapılmasını gerekli kılmıştır.</w:t>
      </w:r>
    </w:p>
    <w:p w14:paraId="75553165" w14:textId="77777777" w:rsidR="00E839E1" w:rsidRPr="000A2E75" w:rsidRDefault="00E839E1" w:rsidP="00E839E1">
      <w:pPr>
        <w:spacing w:before="120" w:after="120" w:line="276" w:lineRule="auto"/>
        <w:ind w:firstLine="567"/>
        <w:jc w:val="both"/>
        <w:rPr>
          <w:rFonts w:ascii="Times New Roman" w:hAnsi="Times New Roman" w:cs="Times New Roman"/>
          <w:b/>
          <w:lang w:val="fr-FR"/>
        </w:rPr>
      </w:pPr>
      <w:r w:rsidRPr="000A2E75">
        <w:rPr>
          <w:rFonts w:ascii="Times New Roman" w:hAnsi="Times New Roman" w:cs="Times New Roman"/>
          <w:b/>
          <w:lang w:val="fr-FR"/>
        </w:rPr>
        <w:t>Çalışmanın Amacı</w:t>
      </w:r>
    </w:p>
    <w:p w14:paraId="6054F909" w14:textId="77777777" w:rsidR="00E839E1" w:rsidRPr="000A2E75" w:rsidRDefault="00E839E1" w:rsidP="00E839E1">
      <w:pPr>
        <w:spacing w:before="120" w:after="120" w:line="276" w:lineRule="auto"/>
        <w:ind w:firstLine="567"/>
        <w:jc w:val="both"/>
        <w:rPr>
          <w:rFonts w:ascii="Times New Roman" w:hAnsi="Times New Roman" w:cs="Times New Roman"/>
          <w:lang w:val="fr-FR"/>
        </w:rPr>
      </w:pPr>
      <w:r w:rsidRPr="000A2E75">
        <w:rPr>
          <w:rFonts w:ascii="Times New Roman" w:hAnsi="Times New Roman" w:cs="Times New Roman"/>
          <w:lang w:val="fr-FR"/>
        </w:rPr>
        <w:t>Yapılan bu çalışmada Milli Eğitim Bakanlığı (MEB) tarafından onaylanan ve okullarda okutulan 6. sınıf fen bilimleri ders kitabı ve 11. sınıf biyoloji ders kitabındaki dolaşım sistemi konusu dış didaktiksel dönüşüm teorisi açısından ele alınmıştır. Bu çalışmayla farklı sınıf seviyelerine göre dolaşım sistemi konusunun bilimsel bilgiden öğretilecek bilgiye dönüşümünün incelenmesi amaçlanmıştır.</w:t>
      </w:r>
    </w:p>
    <w:p w14:paraId="36E2A629" w14:textId="77777777" w:rsidR="00E839E1" w:rsidRPr="000A2E75" w:rsidRDefault="00E839E1" w:rsidP="00E839E1">
      <w:pPr>
        <w:spacing w:before="120" w:after="120" w:line="276" w:lineRule="auto"/>
        <w:ind w:firstLine="567"/>
        <w:jc w:val="both"/>
        <w:rPr>
          <w:rFonts w:ascii="Times New Roman" w:hAnsi="Times New Roman" w:cs="Times New Roman"/>
          <w:b/>
          <w:lang w:val="fr-FR"/>
        </w:rPr>
      </w:pPr>
      <w:r w:rsidRPr="000A2E75">
        <w:rPr>
          <w:rFonts w:ascii="Times New Roman" w:hAnsi="Times New Roman" w:cs="Times New Roman"/>
          <w:lang w:val="fr-FR"/>
        </w:rPr>
        <w:t xml:space="preserve"> </w:t>
      </w:r>
      <w:r w:rsidRPr="000A2E75">
        <w:rPr>
          <w:rFonts w:ascii="Times New Roman" w:hAnsi="Times New Roman" w:cs="Times New Roman"/>
          <w:b/>
          <w:lang w:val="fr-FR"/>
        </w:rPr>
        <w:t>YÖNTEM</w:t>
      </w:r>
    </w:p>
    <w:p w14:paraId="300D4F35" w14:textId="77777777" w:rsidR="00E839E1" w:rsidRPr="000A2E75" w:rsidRDefault="00E839E1" w:rsidP="00E839E1">
      <w:pPr>
        <w:spacing w:before="120" w:after="120" w:line="276" w:lineRule="auto"/>
        <w:ind w:firstLine="567"/>
        <w:jc w:val="both"/>
        <w:rPr>
          <w:rFonts w:ascii="Times New Roman" w:hAnsi="Times New Roman" w:cs="Times New Roman"/>
          <w:lang w:val="fr-FR"/>
        </w:rPr>
      </w:pPr>
      <w:r w:rsidRPr="000A2E75">
        <w:rPr>
          <w:rFonts w:ascii="Times New Roman" w:hAnsi="Times New Roman" w:cs="Times New Roman"/>
          <w:lang w:val="fr-FR"/>
        </w:rPr>
        <w:t>Bu çalışmada nitel araştırma yaklaşımı benimsenmiş ve doküman analizi deseninden yararlanılmıştır. Doküman analizi, incelenmesi amaçlanan konuya yönelik yazılı bilgi kaynaklarının analizini içermektedir (Yıldırım ve Şimşek, 2013). MEB’in önerdiği ve okullarda okutulan 6. sınıf fen bilimleri ders kitabı (Ek-1) ve 11. sınıf biyoloji ders kitabındaki (Ek-2) dolaşım sistemi konusu incelenmiştir. Bu analizlerdeki temel amaç, didaktiksel dönüşüm teorisi kapsamında bilimsel bilginin, öğretilecek bilgiye dönüşürken sınıf düzeyinde ne gibi farklılıklar gösterdiğinin tespit edilmesidir.</w:t>
      </w:r>
    </w:p>
    <w:p w14:paraId="09A475B4" w14:textId="77777777" w:rsidR="00E839E1" w:rsidRPr="000A2E75" w:rsidRDefault="00E839E1" w:rsidP="00E839E1">
      <w:pPr>
        <w:spacing w:before="60" w:after="60" w:line="276" w:lineRule="auto"/>
        <w:ind w:firstLine="567"/>
        <w:rPr>
          <w:rFonts w:ascii="Times New Roman" w:hAnsi="Times New Roman" w:cs="Times New Roman"/>
          <w:b/>
        </w:rPr>
      </w:pPr>
      <w:r w:rsidRPr="000A2E75">
        <w:rPr>
          <w:rFonts w:ascii="Times New Roman" w:hAnsi="Times New Roman" w:cs="Times New Roman"/>
          <w:b/>
        </w:rPr>
        <w:t>BULGULAR</w:t>
      </w:r>
    </w:p>
    <w:p w14:paraId="05443EE1"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rPr>
        <w:t>6. sınıf fen bilimleri ders kitabı (K1) ve 11.sınıf biyoloji ders kitabındaki (K2) doküman analizine ait bulgular ayrı ayrı iki başlık halinde belirtilmiştir. 6. sınıf fen bilimleri ve 11. sınıf biyoloji ders kitabı karşılaştırılmıştır. 6. sınıf fen bilimleri ders kitabındaki kavramlar ve 11. sınıf biyoloji ders kitabındaki kavramlar 2 farklı tablo halinde verilerek incelenmiştir. 6. sınıf fen bilimleri ve 11.sınıf biyoloji ders kitabındaki ortak kavramlar tabloda gösterilerek incelenmiştir. Her iki sınıf düzeyinin kazanımları tablo olarak verilerek karşılaştırılmıştır.</w:t>
      </w:r>
    </w:p>
    <w:p w14:paraId="262CF1F7" w14:textId="77777777" w:rsidR="00E839E1" w:rsidRPr="000A2E75" w:rsidRDefault="00E839E1" w:rsidP="00E839E1">
      <w:pPr>
        <w:spacing w:line="276" w:lineRule="auto"/>
        <w:ind w:firstLine="567"/>
        <w:jc w:val="both"/>
        <w:rPr>
          <w:rFonts w:ascii="Times New Roman" w:hAnsi="Times New Roman" w:cs="Times New Roman"/>
        </w:rPr>
      </w:pPr>
    </w:p>
    <w:p w14:paraId="254B5B5C"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b/>
        </w:rPr>
        <w:t>1. 6. Sınıf Fen Bilimleri Ders Kitabındaki “Dolaşım Sistemi” Konusu İle İlgili Bulgular</w:t>
      </w:r>
    </w:p>
    <w:p w14:paraId="56FCAEF7" w14:textId="77777777" w:rsidR="00E839E1"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rPr>
        <w:t>Konuya dolaşım sisteminin tanımı yapılıp, sistemin görevlerinden bahsederek giriş yapılmıştır. Daha sonra kalbin konumu, yapısı ve büyüklüğünden bahsedilmiştir.</w:t>
      </w:r>
    </w:p>
    <w:p w14:paraId="36D10BB4" w14:textId="6D189114" w:rsidR="00E839E1" w:rsidRDefault="00E839E1" w:rsidP="00E839E1">
      <w:pPr>
        <w:spacing w:line="276" w:lineRule="auto"/>
        <w:ind w:firstLine="567"/>
        <w:jc w:val="both"/>
        <w:rPr>
          <w:rFonts w:ascii="Times New Roman" w:hAnsi="Times New Roman" w:cs="Times New Roman"/>
        </w:rPr>
      </w:pPr>
    </w:p>
    <w:p w14:paraId="6282922B" w14:textId="6E369382" w:rsidR="00E839E1" w:rsidRDefault="00E839E1" w:rsidP="00E839E1">
      <w:pPr>
        <w:spacing w:line="276" w:lineRule="auto"/>
        <w:ind w:firstLine="567"/>
        <w:jc w:val="both"/>
        <w:rPr>
          <w:rFonts w:ascii="Times New Roman" w:hAnsi="Times New Roman" w:cs="Times New Roman"/>
        </w:rPr>
      </w:pPr>
    </w:p>
    <w:p w14:paraId="3EC5CA27" w14:textId="77777777" w:rsidR="00E839E1" w:rsidRDefault="00E839E1" w:rsidP="00E839E1">
      <w:pPr>
        <w:spacing w:line="276" w:lineRule="auto"/>
        <w:ind w:firstLine="567"/>
        <w:jc w:val="both"/>
        <w:rPr>
          <w:rFonts w:ascii="Times New Roman" w:hAnsi="Times New Roman" w:cs="Times New Roman"/>
        </w:rPr>
      </w:pPr>
    </w:p>
    <w:p w14:paraId="0CBAC74B" w14:textId="77777777" w:rsidR="00E839E1" w:rsidRPr="000A2E75" w:rsidRDefault="00E839E1" w:rsidP="00E839E1">
      <w:pPr>
        <w:spacing w:line="276" w:lineRule="auto"/>
        <w:ind w:firstLine="567"/>
        <w:jc w:val="both"/>
        <w:rPr>
          <w:rFonts w:ascii="Times New Roman" w:hAnsi="Times New Roman" w:cs="Times New Roman"/>
        </w:rPr>
      </w:pPr>
    </w:p>
    <w:p w14:paraId="747C45FC"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noProof/>
          <w:lang w:val="en-US"/>
        </w:rPr>
        <w:lastRenderedPageBreak/>
        <w:drawing>
          <wp:anchor distT="0" distB="0" distL="114300" distR="114300" simplePos="0" relativeHeight="251739136" behindDoc="0" locked="0" layoutInCell="1" allowOverlap="1" wp14:anchorId="1404BC45" wp14:editId="14B7538C">
            <wp:simplePos x="0" y="0"/>
            <wp:positionH relativeFrom="column">
              <wp:posOffset>3568065</wp:posOffset>
            </wp:positionH>
            <wp:positionV relativeFrom="paragraph">
              <wp:posOffset>140742</wp:posOffset>
            </wp:positionV>
            <wp:extent cx="1649095" cy="1352550"/>
            <wp:effectExtent l="0" t="0" r="8255" b="0"/>
            <wp:wrapNone/>
            <wp:docPr id="190" name="Resim 190" descr="C:\Users\yaw\Desktop\2020\didaktik\6\capture-20201117-1444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aw\Desktop\2020\didaktik\6\capture-20201117-144459.png"/>
                    <pic:cNvPicPr>
                      <a:picLocks noChangeAspect="1" noChangeArrowheads="1"/>
                    </pic:cNvPicPr>
                  </pic:nvPicPr>
                  <pic:blipFill rotWithShape="1">
                    <a:blip r:embed="rId355" cstate="print">
                      <a:extLst>
                        <a:ext uri="{28A0092B-C50C-407E-A947-70E740481C1C}">
                          <a14:useLocalDpi xmlns:a14="http://schemas.microsoft.com/office/drawing/2010/main" val="0"/>
                        </a:ext>
                      </a:extLst>
                    </a:blip>
                    <a:srcRect l="8792" t="6237" r="6888" b="43058"/>
                    <a:stretch/>
                  </pic:blipFill>
                  <pic:spPr bwMode="auto">
                    <a:xfrm>
                      <a:off x="0" y="0"/>
                      <a:ext cx="1649095" cy="1352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2E75">
        <w:rPr>
          <w:rFonts w:ascii="Times New Roman" w:hAnsi="Times New Roman" w:cs="Times New Roman"/>
          <w:noProof/>
          <w:lang w:val="en-US"/>
        </w:rPr>
        <w:drawing>
          <wp:anchor distT="0" distB="0" distL="114300" distR="114300" simplePos="0" relativeHeight="251737088" behindDoc="0" locked="0" layoutInCell="1" allowOverlap="1" wp14:anchorId="580CE957" wp14:editId="02609363">
            <wp:simplePos x="0" y="0"/>
            <wp:positionH relativeFrom="column">
              <wp:posOffset>2225040</wp:posOffset>
            </wp:positionH>
            <wp:positionV relativeFrom="paragraph">
              <wp:posOffset>82550</wp:posOffset>
            </wp:positionV>
            <wp:extent cx="1149985" cy="1438275"/>
            <wp:effectExtent l="0" t="0" r="0" b="9525"/>
            <wp:wrapNone/>
            <wp:docPr id="191" name="Resim 191" descr="C:\Users\yaw\Desktop\2020\didaktik\6\capture-20201117-144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aw\Desktop\2020\didaktik\6\capture-20201117-144444.png"/>
                    <pic:cNvPicPr>
                      <a:picLocks noChangeAspect="1" noChangeArrowheads="1"/>
                    </pic:cNvPicPr>
                  </pic:nvPicPr>
                  <pic:blipFill rotWithShape="1">
                    <a:blip r:embed="rId356" cstate="print">
                      <a:extLst>
                        <a:ext uri="{28A0092B-C50C-407E-A947-70E740481C1C}">
                          <a14:useLocalDpi xmlns:a14="http://schemas.microsoft.com/office/drawing/2010/main" val="0"/>
                        </a:ext>
                      </a:extLst>
                    </a:blip>
                    <a:srcRect l="7143" t="15493" r="31863" b="28773"/>
                    <a:stretch/>
                  </pic:blipFill>
                  <pic:spPr bwMode="auto">
                    <a:xfrm>
                      <a:off x="0" y="0"/>
                      <a:ext cx="1149985" cy="1438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2E75">
        <w:rPr>
          <w:rFonts w:ascii="Times New Roman" w:hAnsi="Times New Roman" w:cs="Times New Roman"/>
          <w:noProof/>
          <w:lang w:val="en-US"/>
        </w:rPr>
        <w:drawing>
          <wp:anchor distT="0" distB="0" distL="114300" distR="114300" simplePos="0" relativeHeight="251738112" behindDoc="0" locked="0" layoutInCell="1" allowOverlap="1" wp14:anchorId="4E02FC34" wp14:editId="63923C6B">
            <wp:simplePos x="0" y="0"/>
            <wp:positionH relativeFrom="column">
              <wp:posOffset>421640</wp:posOffset>
            </wp:positionH>
            <wp:positionV relativeFrom="paragraph">
              <wp:posOffset>148590</wp:posOffset>
            </wp:positionV>
            <wp:extent cx="1602740" cy="1343025"/>
            <wp:effectExtent l="0" t="0" r="0" b="9525"/>
            <wp:wrapNone/>
            <wp:docPr id="201" name="Resim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1602740" cy="1343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95C829" w14:textId="77777777" w:rsidR="00E839E1" w:rsidRPr="000A2E75" w:rsidRDefault="00E839E1" w:rsidP="00E839E1">
      <w:pPr>
        <w:rPr>
          <w:rFonts w:ascii="Times New Roman" w:hAnsi="Times New Roman" w:cs="Times New Roman"/>
        </w:rPr>
      </w:pPr>
    </w:p>
    <w:p w14:paraId="332CB13A" w14:textId="77777777" w:rsidR="00E839E1" w:rsidRPr="000A2E75" w:rsidRDefault="00E839E1" w:rsidP="00E839E1">
      <w:pPr>
        <w:rPr>
          <w:rFonts w:ascii="Times New Roman" w:hAnsi="Times New Roman" w:cs="Times New Roman"/>
        </w:rPr>
      </w:pPr>
    </w:p>
    <w:p w14:paraId="5497B9DD" w14:textId="77777777" w:rsidR="00E839E1" w:rsidRPr="000A2E75" w:rsidRDefault="00E839E1" w:rsidP="00E839E1">
      <w:pPr>
        <w:spacing w:line="276" w:lineRule="auto"/>
        <w:ind w:firstLine="567"/>
        <w:jc w:val="both"/>
        <w:rPr>
          <w:rFonts w:ascii="Times New Roman" w:hAnsi="Times New Roman" w:cs="Times New Roman"/>
        </w:rPr>
      </w:pPr>
    </w:p>
    <w:p w14:paraId="5BC22B2D" w14:textId="77777777" w:rsidR="00E839E1" w:rsidRPr="000A2E75" w:rsidRDefault="00E839E1" w:rsidP="00E839E1">
      <w:pPr>
        <w:spacing w:line="276" w:lineRule="auto"/>
        <w:ind w:firstLine="567"/>
        <w:jc w:val="both"/>
        <w:rPr>
          <w:rFonts w:ascii="Times New Roman" w:hAnsi="Times New Roman" w:cs="Times New Roman"/>
        </w:rPr>
      </w:pPr>
    </w:p>
    <w:p w14:paraId="42FF39A9" w14:textId="77777777" w:rsidR="00E839E1" w:rsidRPr="000A2E75" w:rsidRDefault="00E839E1" w:rsidP="00E839E1">
      <w:pPr>
        <w:spacing w:line="276" w:lineRule="auto"/>
        <w:ind w:firstLine="567"/>
        <w:jc w:val="both"/>
        <w:rPr>
          <w:rFonts w:ascii="Times New Roman" w:hAnsi="Times New Roman" w:cs="Times New Roman"/>
        </w:rPr>
      </w:pPr>
    </w:p>
    <w:p w14:paraId="5453D9D7"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rPr>
        <w:t xml:space="preserve">                 Şekil 3. Kalp                  Şekil 4. Kalbin Yapısı</w:t>
      </w:r>
      <w:r w:rsidRPr="000A2E75">
        <w:rPr>
          <w:rFonts w:ascii="Times New Roman" w:hAnsi="Times New Roman" w:cs="Times New Roman"/>
        </w:rPr>
        <w:tab/>
        <w:t xml:space="preserve">         Şekil 5. Etkinlik</w:t>
      </w:r>
    </w:p>
    <w:p w14:paraId="2FD8F7F4"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rPr>
        <w:t>Sadece kalbin görünümü verilmiş, resim üzerinde kalbin bölümleri gösterilmemiştir. Kalbin sağ tarafında kirli, sol tarafında temiz kan bulunur bilgisi verildikten sonra nabız ve tansiyon kavramları tanımlanmıştır. Bu tanımdan sonra Şekil 5’te verilen “Nabız Hareketini Hep Birlikte Gözlemleyelim” etkinliği konulmuştur.</w:t>
      </w:r>
    </w:p>
    <w:p w14:paraId="31AD263B" w14:textId="77777777" w:rsidR="00E839E1" w:rsidRPr="000A2E75" w:rsidRDefault="00E839E1" w:rsidP="00E839E1">
      <w:pPr>
        <w:spacing w:line="276" w:lineRule="auto"/>
        <w:ind w:firstLine="567"/>
        <w:jc w:val="both"/>
        <w:rPr>
          <w:rFonts w:ascii="Times New Roman" w:hAnsi="Times New Roman" w:cs="Times New Roman"/>
        </w:rPr>
      </w:pPr>
    </w:p>
    <w:p w14:paraId="5AA07010" w14:textId="77777777" w:rsidR="00E839E1" w:rsidRPr="000A2E75" w:rsidRDefault="00E839E1" w:rsidP="00E839E1">
      <w:pPr>
        <w:spacing w:line="276" w:lineRule="auto"/>
        <w:ind w:firstLine="567"/>
        <w:jc w:val="both"/>
        <w:rPr>
          <w:rFonts w:ascii="Times New Roman" w:hAnsi="Times New Roman" w:cs="Times New Roman"/>
        </w:rPr>
      </w:pPr>
    </w:p>
    <w:p w14:paraId="57F7EC5B"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b/>
          <w:noProof/>
          <w:lang w:val="en-US"/>
        </w:rPr>
        <w:drawing>
          <wp:anchor distT="0" distB="0" distL="114300" distR="114300" simplePos="0" relativeHeight="251741184" behindDoc="0" locked="0" layoutInCell="1" allowOverlap="1" wp14:anchorId="7C24CA6E" wp14:editId="2A76DDF1">
            <wp:simplePos x="0" y="0"/>
            <wp:positionH relativeFrom="column">
              <wp:posOffset>3131681</wp:posOffset>
            </wp:positionH>
            <wp:positionV relativeFrom="paragraph">
              <wp:posOffset>118745</wp:posOffset>
            </wp:positionV>
            <wp:extent cx="2227084" cy="1323975"/>
            <wp:effectExtent l="0" t="0" r="1905" b="0"/>
            <wp:wrapNone/>
            <wp:docPr id="202" name="Resim 202" descr="C:\Users\yaw\Desktop\2020\didaktik\6\capture-20201117-1445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yaw\Desktop\2020\didaktik\6\capture-20201117-144514.png"/>
                    <pic:cNvPicPr>
                      <a:picLocks noChangeAspect="1" noChangeArrowheads="1"/>
                    </pic:cNvPicPr>
                  </pic:nvPicPr>
                  <pic:blipFill rotWithShape="1">
                    <a:blip r:embed="rId358">
                      <a:extLst>
                        <a:ext uri="{28A0092B-C50C-407E-A947-70E740481C1C}">
                          <a14:useLocalDpi xmlns:a14="http://schemas.microsoft.com/office/drawing/2010/main" val="0"/>
                        </a:ext>
                      </a:extLst>
                    </a:blip>
                    <a:srcRect l="8242" t="63380" r="8235" b="6237"/>
                    <a:stretch/>
                  </pic:blipFill>
                  <pic:spPr bwMode="auto">
                    <a:xfrm>
                      <a:off x="0" y="0"/>
                      <a:ext cx="2227084" cy="1323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333107"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eastAsia="Calibri" w:hAnsi="Times New Roman" w:cs="Times New Roman"/>
          <w:b/>
          <w:noProof/>
          <w:lang w:val="en-US"/>
        </w:rPr>
        <w:drawing>
          <wp:anchor distT="0" distB="0" distL="114300" distR="114300" simplePos="0" relativeHeight="251740160" behindDoc="0" locked="0" layoutInCell="1" allowOverlap="1" wp14:anchorId="2D2D2352" wp14:editId="37B0C02E">
            <wp:simplePos x="0" y="0"/>
            <wp:positionH relativeFrom="column">
              <wp:posOffset>577215</wp:posOffset>
            </wp:positionH>
            <wp:positionV relativeFrom="paragraph">
              <wp:posOffset>61595</wp:posOffset>
            </wp:positionV>
            <wp:extent cx="2333625" cy="1196975"/>
            <wp:effectExtent l="0" t="0" r="9525" b="3175"/>
            <wp:wrapNone/>
            <wp:docPr id="203" name="Resim 203" descr="C:\Users\yaw\Desktop\2020\didaktik\6\capture-20201117-1445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aw\Desktop\2020\didaktik\6\capture-20201117-144514.png"/>
                    <pic:cNvPicPr>
                      <a:picLocks noChangeAspect="1" noChangeArrowheads="1"/>
                    </pic:cNvPicPr>
                  </pic:nvPicPr>
                  <pic:blipFill rotWithShape="1">
                    <a:blip r:embed="rId358">
                      <a:extLst>
                        <a:ext uri="{28A0092B-C50C-407E-A947-70E740481C1C}">
                          <a14:useLocalDpi xmlns:a14="http://schemas.microsoft.com/office/drawing/2010/main" val="0"/>
                        </a:ext>
                      </a:extLst>
                    </a:blip>
                    <a:srcRect l="12103" t="12851" r="15056" b="59759"/>
                    <a:stretch/>
                  </pic:blipFill>
                  <pic:spPr bwMode="auto">
                    <a:xfrm>
                      <a:off x="0" y="0"/>
                      <a:ext cx="2333625" cy="1196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ECCECF" w14:textId="77777777" w:rsidR="00E839E1" w:rsidRPr="000A2E75" w:rsidRDefault="00E839E1" w:rsidP="00E839E1">
      <w:pPr>
        <w:spacing w:line="276" w:lineRule="auto"/>
        <w:ind w:firstLine="567"/>
        <w:jc w:val="both"/>
        <w:rPr>
          <w:rFonts w:ascii="Times New Roman" w:hAnsi="Times New Roman" w:cs="Times New Roman"/>
        </w:rPr>
      </w:pPr>
    </w:p>
    <w:p w14:paraId="0AC698F2" w14:textId="77777777" w:rsidR="00E839E1" w:rsidRPr="000A2E75" w:rsidRDefault="00E839E1" w:rsidP="00E839E1">
      <w:pPr>
        <w:spacing w:line="276" w:lineRule="auto"/>
        <w:ind w:firstLine="567"/>
        <w:jc w:val="both"/>
        <w:rPr>
          <w:rFonts w:ascii="Times New Roman" w:hAnsi="Times New Roman" w:cs="Times New Roman"/>
        </w:rPr>
      </w:pPr>
    </w:p>
    <w:p w14:paraId="7FE622CC" w14:textId="77777777" w:rsidR="00E839E1" w:rsidRPr="000A2E75" w:rsidRDefault="00E839E1" w:rsidP="00E839E1">
      <w:pPr>
        <w:spacing w:line="276" w:lineRule="auto"/>
        <w:ind w:firstLine="567"/>
        <w:jc w:val="both"/>
        <w:rPr>
          <w:rFonts w:ascii="Times New Roman" w:hAnsi="Times New Roman" w:cs="Times New Roman"/>
        </w:rPr>
      </w:pPr>
    </w:p>
    <w:p w14:paraId="3AD1F6BA" w14:textId="77777777" w:rsidR="00E839E1" w:rsidRPr="000A2E75" w:rsidRDefault="00E839E1" w:rsidP="00E839E1">
      <w:pPr>
        <w:spacing w:line="276" w:lineRule="auto"/>
        <w:ind w:firstLine="567"/>
        <w:jc w:val="both"/>
        <w:rPr>
          <w:rFonts w:ascii="Times New Roman" w:hAnsi="Times New Roman" w:cs="Times New Roman"/>
        </w:rPr>
      </w:pPr>
    </w:p>
    <w:p w14:paraId="23F318E9"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rPr>
        <w:t xml:space="preserve">  Şekil 6. Atardamar, kılcal damar ve toplardamar               Şekil 7. Pekiştirelim</w:t>
      </w:r>
    </w:p>
    <w:p w14:paraId="400F663B"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rPr>
        <w:t>Etkinlikten sonra “Bilime Yön Verenler” başlığı altında kısa bir okuma metni verilmiştir. Daha sonra kan damarları konusuna geçiş yapılmıştır. Kan damarlarının atardamar, toplardamar ve kılcal damar olmak üzere 3 tane olduğu söylenmiştir. Daha sonra Bu damarlar tanımlanmış ve görevleri açıklanmıştır. Öğrencilerin konuyu pekiştirmesi için damar çeşitlerinin görevlerinin olduğu bir etkinlik konulmuştur.</w:t>
      </w:r>
    </w:p>
    <w:p w14:paraId="29D1B921" w14:textId="77777777" w:rsidR="00E839E1" w:rsidRPr="000A2E75" w:rsidRDefault="00E839E1" w:rsidP="00E839E1">
      <w:pPr>
        <w:spacing w:line="276" w:lineRule="auto"/>
        <w:ind w:firstLine="567"/>
        <w:jc w:val="both"/>
        <w:rPr>
          <w:rFonts w:ascii="Times New Roman" w:hAnsi="Times New Roman" w:cs="Times New Roman"/>
          <w:b/>
          <w:lang w:eastAsia="tr-TR"/>
        </w:rPr>
      </w:pPr>
      <w:r w:rsidRPr="000A2E75">
        <w:rPr>
          <w:rFonts w:ascii="Times New Roman" w:hAnsi="Times New Roman" w:cs="Times New Roman"/>
          <w:b/>
          <w:noProof/>
          <w:lang w:val="en-US"/>
        </w:rPr>
        <w:drawing>
          <wp:anchor distT="0" distB="0" distL="114300" distR="114300" simplePos="0" relativeHeight="251745280" behindDoc="0" locked="0" layoutInCell="1" allowOverlap="1" wp14:anchorId="12C971D1" wp14:editId="55200EE1">
            <wp:simplePos x="0" y="0"/>
            <wp:positionH relativeFrom="column">
              <wp:posOffset>4177665</wp:posOffset>
            </wp:positionH>
            <wp:positionV relativeFrom="paragraph">
              <wp:posOffset>139065</wp:posOffset>
            </wp:positionV>
            <wp:extent cx="1095375" cy="1047750"/>
            <wp:effectExtent l="0" t="0" r="9525" b="0"/>
            <wp:wrapNone/>
            <wp:docPr id="204" name="Resim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1095375" cy="1047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2E75">
        <w:rPr>
          <w:rFonts w:ascii="Times New Roman" w:hAnsi="Times New Roman" w:cs="Times New Roman"/>
          <w:b/>
          <w:noProof/>
          <w:lang w:val="en-US"/>
        </w:rPr>
        <w:drawing>
          <wp:anchor distT="0" distB="0" distL="114300" distR="114300" simplePos="0" relativeHeight="251743232" behindDoc="0" locked="0" layoutInCell="1" allowOverlap="1" wp14:anchorId="49E7B12B" wp14:editId="588499E2">
            <wp:simplePos x="0" y="0"/>
            <wp:positionH relativeFrom="column">
              <wp:posOffset>1663700</wp:posOffset>
            </wp:positionH>
            <wp:positionV relativeFrom="paragraph">
              <wp:posOffset>139065</wp:posOffset>
            </wp:positionV>
            <wp:extent cx="1095375" cy="1049020"/>
            <wp:effectExtent l="0" t="0" r="9525" b="0"/>
            <wp:wrapNone/>
            <wp:docPr id="205" name="Resim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1095375" cy="1049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2E75">
        <w:rPr>
          <w:rFonts w:ascii="Times New Roman" w:hAnsi="Times New Roman" w:cs="Times New Roman"/>
          <w:b/>
          <w:noProof/>
          <w:lang w:val="en-US"/>
        </w:rPr>
        <w:drawing>
          <wp:anchor distT="0" distB="0" distL="114300" distR="114300" simplePos="0" relativeHeight="251744256" behindDoc="0" locked="0" layoutInCell="1" allowOverlap="1" wp14:anchorId="72105614" wp14:editId="77C33B71">
            <wp:simplePos x="0" y="0"/>
            <wp:positionH relativeFrom="column">
              <wp:posOffset>2910840</wp:posOffset>
            </wp:positionH>
            <wp:positionV relativeFrom="paragraph">
              <wp:posOffset>139065</wp:posOffset>
            </wp:positionV>
            <wp:extent cx="1095375" cy="1050290"/>
            <wp:effectExtent l="0" t="0" r="9525" b="0"/>
            <wp:wrapNone/>
            <wp:docPr id="206" name="Resi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1095375" cy="1050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2E75">
        <w:rPr>
          <w:rFonts w:ascii="Times New Roman" w:hAnsi="Times New Roman" w:cs="Times New Roman"/>
          <w:b/>
          <w:noProof/>
          <w:lang w:val="en-US"/>
        </w:rPr>
        <w:drawing>
          <wp:anchor distT="0" distB="0" distL="114300" distR="114300" simplePos="0" relativeHeight="251742208" behindDoc="0" locked="0" layoutInCell="1" allowOverlap="1" wp14:anchorId="17CC59C3" wp14:editId="159C3D1F">
            <wp:simplePos x="0" y="0"/>
            <wp:positionH relativeFrom="column">
              <wp:posOffset>358140</wp:posOffset>
            </wp:positionH>
            <wp:positionV relativeFrom="paragraph">
              <wp:posOffset>62865</wp:posOffset>
            </wp:positionV>
            <wp:extent cx="1143000" cy="1123315"/>
            <wp:effectExtent l="0" t="0" r="0" b="635"/>
            <wp:wrapNone/>
            <wp:docPr id="207" name="Resim 207" descr="C:\Users\yaw\Desktop\kan ser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aw\Desktop\kan serum.jpg"/>
                    <pic:cNvPicPr>
                      <a:picLocks noChangeAspect="1" noChangeArrowheads="1"/>
                    </pic:cNvPicPr>
                  </pic:nvPicPr>
                  <pic:blipFill rotWithShape="1">
                    <a:blip r:embed="rId362">
                      <a:extLst>
                        <a:ext uri="{28A0092B-C50C-407E-A947-70E740481C1C}">
                          <a14:useLocalDpi xmlns:a14="http://schemas.microsoft.com/office/drawing/2010/main" val="0"/>
                        </a:ext>
                      </a:extLst>
                    </a:blip>
                    <a:srcRect l="7853" r="20648"/>
                    <a:stretch/>
                  </pic:blipFill>
                  <pic:spPr bwMode="auto">
                    <a:xfrm>
                      <a:off x="0" y="0"/>
                      <a:ext cx="1143000" cy="11233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B7FCB4" w14:textId="77777777" w:rsidR="00E839E1" w:rsidRPr="000A2E75" w:rsidRDefault="00E839E1" w:rsidP="00E839E1">
      <w:pPr>
        <w:spacing w:line="276" w:lineRule="auto"/>
        <w:ind w:firstLine="567"/>
        <w:jc w:val="both"/>
        <w:rPr>
          <w:rFonts w:ascii="Times New Roman" w:hAnsi="Times New Roman" w:cs="Times New Roman"/>
        </w:rPr>
      </w:pPr>
    </w:p>
    <w:p w14:paraId="46667DCD" w14:textId="77777777" w:rsidR="00E839E1" w:rsidRPr="000A2E75" w:rsidRDefault="00E839E1" w:rsidP="00E839E1">
      <w:pPr>
        <w:spacing w:line="276" w:lineRule="auto"/>
        <w:ind w:firstLine="567"/>
        <w:jc w:val="both"/>
        <w:rPr>
          <w:rFonts w:ascii="Times New Roman" w:hAnsi="Times New Roman" w:cs="Times New Roman"/>
        </w:rPr>
      </w:pPr>
    </w:p>
    <w:p w14:paraId="64F4F76A" w14:textId="77777777" w:rsidR="00E839E1" w:rsidRPr="000A2E75" w:rsidRDefault="00E839E1" w:rsidP="00E839E1">
      <w:pPr>
        <w:spacing w:line="276" w:lineRule="auto"/>
        <w:ind w:firstLine="567"/>
        <w:jc w:val="both"/>
        <w:rPr>
          <w:rFonts w:ascii="Times New Roman" w:hAnsi="Times New Roman" w:cs="Times New Roman"/>
        </w:rPr>
      </w:pPr>
    </w:p>
    <w:p w14:paraId="24C48476" w14:textId="77777777" w:rsidR="00E839E1" w:rsidRPr="000A2E75" w:rsidRDefault="00E839E1" w:rsidP="00E839E1">
      <w:pPr>
        <w:spacing w:line="276" w:lineRule="auto"/>
        <w:jc w:val="both"/>
        <w:rPr>
          <w:rFonts w:ascii="Times New Roman" w:hAnsi="Times New Roman" w:cs="Times New Roman"/>
        </w:rPr>
      </w:pPr>
    </w:p>
    <w:p w14:paraId="221A6C60"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 xml:space="preserve">           Şekil 7.Kanın Yapısı      Şekil 8. Alyuvarlar        Şekil 9. Akyuvar       Şekil 10. Kan Pulcuğu</w:t>
      </w:r>
    </w:p>
    <w:p w14:paraId="6ABC599E" w14:textId="77777777" w:rsidR="00E839E1" w:rsidRPr="000A2E75" w:rsidRDefault="00E839E1" w:rsidP="00E839E1">
      <w:pPr>
        <w:spacing w:line="276" w:lineRule="auto"/>
        <w:ind w:firstLine="567"/>
        <w:jc w:val="both"/>
        <w:rPr>
          <w:rFonts w:ascii="Times New Roman" w:hAnsi="Times New Roman" w:cs="Times New Roman"/>
        </w:rPr>
      </w:pPr>
    </w:p>
    <w:p w14:paraId="56C6EBD2"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rPr>
        <w:t>“Pekiştirelim” etkinliğinden sonra “Kan” başlığı atıldıktan sonra kanın ve kan plazmasının yapısını oluşturulan maddeler anlatıldıktan sonra kan dokusunun görevleri maddeler halinde bahsedilmiştir. Daha sonra alyuvar, akyuvar ve kan pulcukları görselleri verilip ayrı ayrı açıklanmıştır. Kan pulcukları açıklandıktan sonra, pıhtılaşma olayına değinilmiş ve bu olay yine bir görselle desteklenmiştir.</w:t>
      </w:r>
    </w:p>
    <w:p w14:paraId="2851C6EF"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b/>
          <w:noProof/>
          <w:lang w:val="en-US"/>
        </w:rPr>
        <w:drawing>
          <wp:anchor distT="0" distB="0" distL="114300" distR="114300" simplePos="0" relativeHeight="251746304" behindDoc="0" locked="0" layoutInCell="1" allowOverlap="1" wp14:anchorId="25E19957" wp14:editId="5AC47898">
            <wp:simplePos x="0" y="0"/>
            <wp:positionH relativeFrom="column">
              <wp:posOffset>525145</wp:posOffset>
            </wp:positionH>
            <wp:positionV relativeFrom="paragraph">
              <wp:posOffset>15875</wp:posOffset>
            </wp:positionV>
            <wp:extent cx="4830445" cy="525780"/>
            <wp:effectExtent l="0" t="0" r="8255" b="7620"/>
            <wp:wrapNone/>
            <wp:docPr id="208" name="Resim 208" descr="C:\Users\yaw\Desktop\iskelet\capture-20210120-022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aw\Desktop\iskelet\capture-20210120-022123.png"/>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4830445" cy="525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498B06" w14:textId="77777777" w:rsidR="00E839E1" w:rsidRPr="000A2E75" w:rsidRDefault="00E839E1" w:rsidP="00E839E1">
      <w:pPr>
        <w:spacing w:line="276" w:lineRule="auto"/>
        <w:ind w:firstLine="567"/>
        <w:jc w:val="both"/>
        <w:rPr>
          <w:rFonts w:ascii="Times New Roman" w:hAnsi="Times New Roman" w:cs="Times New Roman"/>
        </w:rPr>
      </w:pPr>
    </w:p>
    <w:p w14:paraId="74675AF7" w14:textId="77777777" w:rsidR="00E839E1" w:rsidRPr="000A2E75" w:rsidRDefault="00E839E1" w:rsidP="00E839E1">
      <w:pPr>
        <w:spacing w:line="276" w:lineRule="auto"/>
        <w:ind w:firstLine="567"/>
        <w:jc w:val="both"/>
        <w:rPr>
          <w:rFonts w:ascii="Times New Roman" w:hAnsi="Times New Roman" w:cs="Times New Roman"/>
        </w:rPr>
      </w:pPr>
    </w:p>
    <w:p w14:paraId="3C19A440" w14:textId="77777777" w:rsidR="00E839E1" w:rsidRPr="000A2E75" w:rsidRDefault="00E839E1" w:rsidP="00E839E1">
      <w:pPr>
        <w:spacing w:line="276" w:lineRule="auto"/>
        <w:ind w:firstLine="567"/>
        <w:jc w:val="center"/>
        <w:rPr>
          <w:rFonts w:ascii="Times New Roman" w:hAnsi="Times New Roman" w:cs="Times New Roman"/>
        </w:rPr>
      </w:pPr>
      <w:r w:rsidRPr="000A2E75">
        <w:rPr>
          <w:rFonts w:ascii="Times New Roman" w:hAnsi="Times New Roman" w:cs="Times New Roman"/>
        </w:rPr>
        <w:t>Şekil 11. Pıhtılaşma Olayı</w:t>
      </w:r>
    </w:p>
    <w:p w14:paraId="3EBF0218"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eastAsia="Calibri" w:hAnsi="Times New Roman" w:cs="Times New Roman"/>
          <w:b/>
          <w:noProof/>
          <w:lang w:val="en-US"/>
        </w:rPr>
        <w:drawing>
          <wp:anchor distT="0" distB="0" distL="114300" distR="114300" simplePos="0" relativeHeight="251747328" behindDoc="0" locked="0" layoutInCell="1" allowOverlap="1" wp14:anchorId="3E533ED4" wp14:editId="1A9E1C2A">
            <wp:simplePos x="0" y="0"/>
            <wp:positionH relativeFrom="column">
              <wp:posOffset>2333625</wp:posOffset>
            </wp:positionH>
            <wp:positionV relativeFrom="paragraph">
              <wp:posOffset>40640</wp:posOffset>
            </wp:positionV>
            <wp:extent cx="1019175" cy="1682115"/>
            <wp:effectExtent l="0" t="0" r="9525" b="0"/>
            <wp:wrapNone/>
            <wp:docPr id="259" name="Resim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1019175" cy="1682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C01A33" w14:textId="77777777" w:rsidR="00E839E1" w:rsidRPr="000A2E75" w:rsidRDefault="00E839E1" w:rsidP="00E839E1">
      <w:pPr>
        <w:spacing w:line="276" w:lineRule="auto"/>
        <w:ind w:firstLine="567"/>
        <w:jc w:val="both"/>
        <w:rPr>
          <w:rFonts w:ascii="Times New Roman" w:hAnsi="Times New Roman" w:cs="Times New Roman"/>
        </w:rPr>
      </w:pPr>
    </w:p>
    <w:p w14:paraId="24B9FB4F" w14:textId="77777777" w:rsidR="00E839E1" w:rsidRPr="000A2E75" w:rsidRDefault="00E839E1" w:rsidP="00E839E1">
      <w:pPr>
        <w:spacing w:line="276" w:lineRule="auto"/>
        <w:ind w:firstLine="567"/>
        <w:jc w:val="both"/>
        <w:rPr>
          <w:rFonts w:ascii="Times New Roman" w:hAnsi="Times New Roman" w:cs="Times New Roman"/>
        </w:rPr>
      </w:pPr>
    </w:p>
    <w:p w14:paraId="0DEAC4F1" w14:textId="77777777" w:rsidR="00E839E1" w:rsidRPr="000A2E75" w:rsidRDefault="00E839E1" w:rsidP="00E839E1">
      <w:pPr>
        <w:spacing w:line="276" w:lineRule="auto"/>
        <w:ind w:firstLine="567"/>
        <w:jc w:val="both"/>
        <w:rPr>
          <w:rFonts w:ascii="Times New Roman" w:hAnsi="Times New Roman" w:cs="Times New Roman"/>
        </w:rPr>
      </w:pPr>
    </w:p>
    <w:p w14:paraId="029210B8" w14:textId="77777777" w:rsidR="00E839E1" w:rsidRPr="000A2E75" w:rsidRDefault="00E839E1" w:rsidP="00E839E1">
      <w:pPr>
        <w:spacing w:line="276" w:lineRule="auto"/>
        <w:ind w:firstLine="567"/>
        <w:jc w:val="both"/>
        <w:rPr>
          <w:rFonts w:ascii="Times New Roman" w:hAnsi="Times New Roman" w:cs="Times New Roman"/>
        </w:rPr>
      </w:pPr>
    </w:p>
    <w:p w14:paraId="38981B0A" w14:textId="77777777" w:rsidR="00E839E1" w:rsidRPr="000A2E75" w:rsidRDefault="00E839E1" w:rsidP="00E839E1">
      <w:pPr>
        <w:spacing w:line="276" w:lineRule="auto"/>
        <w:ind w:firstLine="567"/>
        <w:jc w:val="both"/>
        <w:rPr>
          <w:rFonts w:ascii="Times New Roman" w:hAnsi="Times New Roman" w:cs="Times New Roman"/>
        </w:rPr>
      </w:pPr>
    </w:p>
    <w:p w14:paraId="3E523151" w14:textId="77777777" w:rsidR="00E839E1" w:rsidRPr="000A2E75" w:rsidRDefault="00E839E1" w:rsidP="00E839E1">
      <w:pPr>
        <w:spacing w:line="276" w:lineRule="auto"/>
        <w:ind w:firstLine="567"/>
        <w:jc w:val="both"/>
        <w:rPr>
          <w:rFonts w:ascii="Times New Roman" w:hAnsi="Times New Roman" w:cs="Times New Roman"/>
        </w:rPr>
      </w:pPr>
    </w:p>
    <w:p w14:paraId="723AC35E" w14:textId="77777777" w:rsidR="00E839E1" w:rsidRPr="000A2E75" w:rsidRDefault="00E839E1" w:rsidP="00E839E1">
      <w:pPr>
        <w:spacing w:line="276" w:lineRule="auto"/>
        <w:ind w:firstLine="567"/>
        <w:jc w:val="center"/>
        <w:rPr>
          <w:rFonts w:ascii="Times New Roman" w:hAnsi="Times New Roman" w:cs="Times New Roman"/>
        </w:rPr>
      </w:pPr>
      <w:r w:rsidRPr="000A2E75">
        <w:rPr>
          <w:rFonts w:ascii="Times New Roman" w:hAnsi="Times New Roman" w:cs="Times New Roman"/>
        </w:rPr>
        <w:t>Şekil 12. Büyük ve küçük kan dolaşımı</w:t>
      </w:r>
    </w:p>
    <w:p w14:paraId="5365F046"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rPr>
        <w:t>Genel olarak kan dolaşımı kavramı açıklandıktan sonra büyük ve küçük kan dolaşımından bahsedilmiştir. Şekil 12’de verilen görselde ayrıntıya girilmemiştir. Küçük ve büyük kan dolaşımından sonra kan grupları ve kan alışverişi konusuna geçiş yapılmıştır. Kan naklinden bahsedip, kan bağışının önemine vurgu yapılmıştır. Ülkemizde kan bağışı konusunda Türk Kızılay’ının önemli projeler üzerinde çalıştığından ve bu projelerin içeriğinden kısaca bahsedilmiştir. Öğrencilerin kan bağışçısı olmanın şartlarını, kan bağışının hangi kurumlara yapılabileceğini öğrenmeleri açısından “Araştıralım-Tartışalım” başlığı altında bir etkinlik görevi verilmiştir. Bu etkinlikten sonra değerlendirme sorularına geçilmiştir.</w:t>
      </w:r>
    </w:p>
    <w:p w14:paraId="08BF827A" w14:textId="77777777" w:rsidR="00E839E1" w:rsidRPr="000A2E75" w:rsidRDefault="00E839E1" w:rsidP="00E839E1">
      <w:pPr>
        <w:spacing w:line="276" w:lineRule="auto"/>
        <w:ind w:firstLine="567"/>
        <w:jc w:val="both"/>
        <w:rPr>
          <w:rFonts w:ascii="Times New Roman" w:hAnsi="Times New Roman" w:cs="Times New Roman"/>
        </w:rPr>
      </w:pPr>
    </w:p>
    <w:p w14:paraId="35FD3C04" w14:textId="77777777" w:rsidR="00E839E1" w:rsidRPr="000A2E75" w:rsidRDefault="00E839E1" w:rsidP="00E839E1">
      <w:pPr>
        <w:spacing w:line="276" w:lineRule="auto"/>
        <w:ind w:firstLine="567"/>
        <w:jc w:val="both"/>
        <w:rPr>
          <w:rFonts w:ascii="Times New Roman" w:hAnsi="Times New Roman" w:cs="Times New Roman"/>
          <w:b/>
        </w:rPr>
      </w:pPr>
      <w:r w:rsidRPr="000A2E75">
        <w:rPr>
          <w:rFonts w:ascii="Times New Roman" w:hAnsi="Times New Roman" w:cs="Times New Roman"/>
          <w:b/>
        </w:rPr>
        <w:t>2. 11. Sınıf Biyoloji Ders Kitabındaki “Dolaşım Sistemi” Konusu İle İlgili Bulgular</w:t>
      </w:r>
    </w:p>
    <w:p w14:paraId="4EF43A0C"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rPr>
        <w:t>Dolaşım sistemi konusuna başlamadan önce Bilim Teknik dergisinden alınan bir yazıyla üniteye giriş yapılmıştır. “Kalbin, Damarların Ve Kanın Yapısı, Görevi Ve İşleyişi” şeklinde ana bir başlık açıldıktan sonra kalp konusundan bahsedilmeye başlanmıştır. Kalbin konumu, erkeklerde ve kadınlarda büyüklüğünün farklı olduğu ve bu farkın sebebi açıklanıp, kalbin 3 tabakadan oluştuğu bilgisi verilmiştir. Perikard, miyokard ve endokard tanımlandıktan sonra karıncık ve kulakçıklar arasında bulunan kapakçıklar hakkında bilgi verilmiş, triküsbit, biküsbit ve yarım ay kapakçıkları açıklanmıştır.</w:t>
      </w:r>
    </w:p>
    <w:p w14:paraId="0A63BAF9"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noProof/>
          <w:color w:val="000000" w:themeColor="text1"/>
          <w:lang w:val="en-US"/>
        </w:rPr>
        <w:lastRenderedPageBreak/>
        <w:drawing>
          <wp:anchor distT="0" distB="0" distL="114300" distR="114300" simplePos="0" relativeHeight="251748352" behindDoc="0" locked="0" layoutInCell="1" allowOverlap="1" wp14:anchorId="3EAB463C" wp14:editId="4BB23081">
            <wp:simplePos x="0" y="0"/>
            <wp:positionH relativeFrom="column">
              <wp:posOffset>758190</wp:posOffset>
            </wp:positionH>
            <wp:positionV relativeFrom="paragraph">
              <wp:posOffset>12065</wp:posOffset>
            </wp:positionV>
            <wp:extent cx="1771650" cy="1278890"/>
            <wp:effectExtent l="0" t="0" r="0" b="0"/>
            <wp:wrapNone/>
            <wp:docPr id="260" name="Resim 260" descr="C:\Users\yaw\Desktop\capture-20201117-1447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aw\Desktop\capture-20201117-144718.png"/>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771650" cy="1278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2E75">
        <w:rPr>
          <w:rFonts w:ascii="Times New Roman" w:hAnsi="Times New Roman" w:cs="Times New Roman"/>
          <w:b/>
          <w:noProof/>
          <w:color w:val="000000" w:themeColor="text1"/>
          <w:lang w:val="en-US"/>
        </w:rPr>
        <w:drawing>
          <wp:anchor distT="0" distB="0" distL="114300" distR="114300" simplePos="0" relativeHeight="251749376" behindDoc="0" locked="0" layoutInCell="1" allowOverlap="1" wp14:anchorId="0DFBB45C" wp14:editId="0C42EBB1">
            <wp:simplePos x="0" y="0"/>
            <wp:positionH relativeFrom="column">
              <wp:posOffset>3006090</wp:posOffset>
            </wp:positionH>
            <wp:positionV relativeFrom="paragraph">
              <wp:posOffset>21590</wp:posOffset>
            </wp:positionV>
            <wp:extent cx="1817453" cy="1266825"/>
            <wp:effectExtent l="0" t="0" r="0" b="0"/>
            <wp:wrapNone/>
            <wp:docPr id="261" name="Resim 261" descr="C:\Users\yaw\Desktop\capture-20201117-1447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aw\Desktop\capture-20201117-144727.png"/>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817453" cy="1266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08A96A" w14:textId="77777777" w:rsidR="00E839E1" w:rsidRPr="000A2E75" w:rsidRDefault="00E839E1" w:rsidP="00E839E1">
      <w:pPr>
        <w:spacing w:line="276" w:lineRule="auto"/>
        <w:ind w:firstLine="567"/>
        <w:jc w:val="both"/>
        <w:rPr>
          <w:rFonts w:ascii="Times New Roman" w:hAnsi="Times New Roman" w:cs="Times New Roman"/>
        </w:rPr>
      </w:pPr>
    </w:p>
    <w:p w14:paraId="7A5821DE" w14:textId="77777777" w:rsidR="00E839E1" w:rsidRPr="000A2E75" w:rsidRDefault="00E839E1" w:rsidP="00E839E1">
      <w:pPr>
        <w:spacing w:line="276" w:lineRule="auto"/>
        <w:ind w:firstLine="567"/>
        <w:jc w:val="both"/>
        <w:rPr>
          <w:rFonts w:ascii="Times New Roman" w:hAnsi="Times New Roman" w:cs="Times New Roman"/>
        </w:rPr>
      </w:pPr>
    </w:p>
    <w:p w14:paraId="2218441A" w14:textId="77777777" w:rsidR="00E839E1" w:rsidRPr="000A2E75" w:rsidRDefault="00E839E1" w:rsidP="00E839E1">
      <w:pPr>
        <w:spacing w:line="276" w:lineRule="auto"/>
        <w:ind w:firstLine="567"/>
        <w:jc w:val="both"/>
        <w:rPr>
          <w:rFonts w:ascii="Times New Roman" w:hAnsi="Times New Roman" w:cs="Times New Roman"/>
        </w:rPr>
      </w:pPr>
    </w:p>
    <w:p w14:paraId="17F95611" w14:textId="77777777" w:rsidR="00E839E1" w:rsidRPr="000A2E75" w:rsidRDefault="00E839E1" w:rsidP="00E839E1">
      <w:pPr>
        <w:spacing w:line="276" w:lineRule="auto"/>
        <w:ind w:firstLine="567"/>
        <w:jc w:val="both"/>
        <w:rPr>
          <w:rFonts w:ascii="Times New Roman" w:hAnsi="Times New Roman" w:cs="Times New Roman"/>
        </w:rPr>
      </w:pPr>
    </w:p>
    <w:p w14:paraId="53677BA1" w14:textId="77777777" w:rsidR="00E839E1" w:rsidRPr="000A2E75" w:rsidRDefault="00E839E1" w:rsidP="00E839E1">
      <w:pPr>
        <w:spacing w:line="276" w:lineRule="auto"/>
        <w:ind w:firstLine="567"/>
        <w:jc w:val="both"/>
        <w:rPr>
          <w:rFonts w:ascii="Times New Roman" w:hAnsi="Times New Roman" w:cs="Times New Roman"/>
        </w:rPr>
      </w:pPr>
    </w:p>
    <w:p w14:paraId="43FEA4D5" w14:textId="77777777" w:rsidR="00E839E1" w:rsidRPr="000A2E75" w:rsidRDefault="00E839E1" w:rsidP="00E839E1">
      <w:pPr>
        <w:spacing w:line="276" w:lineRule="auto"/>
        <w:ind w:firstLine="567"/>
        <w:jc w:val="both"/>
        <w:rPr>
          <w:rFonts w:ascii="Times New Roman" w:hAnsi="Times New Roman" w:cs="Times New Roman"/>
        </w:rPr>
      </w:pPr>
    </w:p>
    <w:p w14:paraId="1B0654F3" w14:textId="77777777" w:rsidR="00E839E1" w:rsidRPr="000A2E75" w:rsidRDefault="00E839E1" w:rsidP="00E839E1">
      <w:pPr>
        <w:spacing w:line="276" w:lineRule="auto"/>
        <w:ind w:firstLine="567"/>
        <w:jc w:val="center"/>
        <w:rPr>
          <w:rFonts w:ascii="Times New Roman" w:hAnsi="Times New Roman" w:cs="Times New Roman"/>
        </w:rPr>
      </w:pPr>
      <w:r w:rsidRPr="000A2E75">
        <w:rPr>
          <w:rFonts w:ascii="Times New Roman" w:hAnsi="Times New Roman" w:cs="Times New Roman"/>
        </w:rPr>
        <w:t>Şekil 13. Kalbin yapısı                           Şekil 14. Kalbin impuls iletimi</w:t>
      </w:r>
    </w:p>
    <w:p w14:paraId="5CF5B263" w14:textId="77777777" w:rsidR="00E839E1" w:rsidRPr="000A2E75" w:rsidRDefault="00E839E1" w:rsidP="00E839E1">
      <w:pPr>
        <w:spacing w:line="276" w:lineRule="auto"/>
        <w:ind w:firstLine="567"/>
        <w:jc w:val="both"/>
        <w:rPr>
          <w:rFonts w:ascii="Times New Roman" w:hAnsi="Times New Roman" w:cs="Times New Roman"/>
        </w:rPr>
      </w:pPr>
    </w:p>
    <w:p w14:paraId="58C95E13"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b/>
          <w:noProof/>
          <w:color w:val="000000" w:themeColor="text1"/>
          <w:lang w:val="en-US"/>
        </w:rPr>
        <w:drawing>
          <wp:anchor distT="0" distB="0" distL="114300" distR="114300" simplePos="0" relativeHeight="251750400" behindDoc="0" locked="0" layoutInCell="1" allowOverlap="1" wp14:anchorId="7E58969A" wp14:editId="27967FB8">
            <wp:simplePos x="0" y="0"/>
            <wp:positionH relativeFrom="column">
              <wp:posOffset>1015365</wp:posOffset>
            </wp:positionH>
            <wp:positionV relativeFrom="paragraph">
              <wp:posOffset>1940560</wp:posOffset>
            </wp:positionV>
            <wp:extent cx="1132205" cy="1514475"/>
            <wp:effectExtent l="0" t="0" r="0" b="9525"/>
            <wp:wrapNone/>
            <wp:docPr id="262" name="Resim 262" descr="C:\Users\yaw\Desktop\2020\didaktik\11\capture-20201117-1447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aw\Desktop\2020\didaktik\11\capture-20201117-144743.png"/>
                    <pic:cNvPicPr>
                      <a:picLocks noChangeAspect="1" noChangeArrowheads="1"/>
                    </pic:cNvPicPr>
                  </pic:nvPicPr>
                  <pic:blipFill rotWithShape="1">
                    <a:blip r:embed="rId367" cstate="print">
                      <a:extLst>
                        <a:ext uri="{28A0092B-C50C-407E-A947-70E740481C1C}">
                          <a14:useLocalDpi xmlns:a14="http://schemas.microsoft.com/office/drawing/2010/main" val="0"/>
                        </a:ext>
                      </a:extLst>
                    </a:blip>
                    <a:srcRect t="8039"/>
                    <a:stretch/>
                  </pic:blipFill>
                  <pic:spPr bwMode="auto">
                    <a:xfrm>
                      <a:off x="0" y="0"/>
                      <a:ext cx="1132205" cy="1514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2E75">
        <w:rPr>
          <w:rFonts w:ascii="Times New Roman" w:hAnsi="Times New Roman" w:cs="Times New Roman"/>
          <w:b/>
          <w:noProof/>
          <w:color w:val="000000" w:themeColor="text1"/>
          <w:lang w:val="en-US"/>
        </w:rPr>
        <w:drawing>
          <wp:anchor distT="0" distB="0" distL="114300" distR="114300" simplePos="0" relativeHeight="251751424" behindDoc="0" locked="0" layoutInCell="1" allowOverlap="1" wp14:anchorId="53AE6D5D" wp14:editId="65A6797A">
            <wp:simplePos x="0" y="0"/>
            <wp:positionH relativeFrom="column">
              <wp:posOffset>3312947</wp:posOffset>
            </wp:positionH>
            <wp:positionV relativeFrom="paragraph">
              <wp:posOffset>1940560</wp:posOffset>
            </wp:positionV>
            <wp:extent cx="1047750" cy="1469736"/>
            <wp:effectExtent l="0" t="0" r="0" b="0"/>
            <wp:wrapNone/>
            <wp:docPr id="263" name="Resim 263" descr="C:\Users\yaw\Desktop\capture-20201208-1614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aw\Desktop\capture-20201208-161408.png"/>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1047750" cy="1469736"/>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2E75">
        <w:rPr>
          <w:rFonts w:ascii="Times New Roman" w:hAnsi="Times New Roman" w:cs="Times New Roman"/>
        </w:rPr>
        <w:t>Şekil 13’te görüldüğü gibi tanım olarak verilen her kavram resim üzerinde de gösterilmiştir. Bu görselin peşine kalpteki impuls iletimi konusuna giriş yapılmıştır. Kalpte impulsu oluşturan iki düğüm ve impulsu taşıyan özel iletim demetleri olduğu bilgisi verilmiş, sinoatriyal (SA) düğüm, atrioventriküler (AV) düğüm, his demeti ve purkinje liflerinin görevleri açıklanmıştır. Bu açıklamalar Şekil 14‘teki görselle desteklenmiştir. “Bilgileniyorum” başlığı altında aritmi hakkında öğrenci bilgilendirilmiş, nabız kavramından bahsedilmiştir. Bu bilginin peşine sistol ve diastolun kalbin kasılıp gevşemesinin diğer adı olduğu yazılmış, kanın kalpte nasıl pompalandığı hakkında bilgi verilmiştir. Karıncıklardaki kasılmaların ve gevşemelerin yarattığı basınca tansiyon adı verildiğinden, büyük ve küçük tansiyonun nasıl ölçüldüğünden bahsedilmiştir. Kalp üfürümü rahatsızlığına değinilip, etkinliğe geçiş yapılmıştır.</w:t>
      </w:r>
    </w:p>
    <w:p w14:paraId="402ADE23" w14:textId="77777777" w:rsidR="00E839E1" w:rsidRPr="000A2E75" w:rsidRDefault="00E839E1" w:rsidP="00E839E1">
      <w:pPr>
        <w:spacing w:line="276" w:lineRule="auto"/>
        <w:ind w:firstLine="567"/>
        <w:jc w:val="both"/>
        <w:rPr>
          <w:rFonts w:ascii="Times New Roman" w:hAnsi="Times New Roman" w:cs="Times New Roman"/>
        </w:rPr>
      </w:pPr>
    </w:p>
    <w:p w14:paraId="4798B962" w14:textId="77777777" w:rsidR="00E839E1" w:rsidRPr="000A2E75" w:rsidRDefault="00E839E1" w:rsidP="00E839E1">
      <w:pPr>
        <w:spacing w:line="276" w:lineRule="auto"/>
        <w:ind w:firstLine="567"/>
        <w:jc w:val="both"/>
        <w:rPr>
          <w:rFonts w:ascii="Times New Roman" w:hAnsi="Times New Roman" w:cs="Times New Roman"/>
        </w:rPr>
      </w:pPr>
    </w:p>
    <w:p w14:paraId="490CC82E" w14:textId="77777777" w:rsidR="00E839E1" w:rsidRPr="000A2E75" w:rsidRDefault="00E839E1" w:rsidP="00E839E1">
      <w:pPr>
        <w:spacing w:line="276" w:lineRule="auto"/>
        <w:ind w:firstLine="567"/>
        <w:jc w:val="both"/>
        <w:rPr>
          <w:rFonts w:ascii="Times New Roman" w:hAnsi="Times New Roman" w:cs="Times New Roman"/>
        </w:rPr>
      </w:pPr>
    </w:p>
    <w:p w14:paraId="0A6875EA" w14:textId="77777777" w:rsidR="00E839E1" w:rsidRPr="000A2E75" w:rsidRDefault="00E839E1" w:rsidP="00E839E1">
      <w:pPr>
        <w:spacing w:line="276" w:lineRule="auto"/>
        <w:ind w:firstLine="567"/>
        <w:jc w:val="both"/>
        <w:rPr>
          <w:rFonts w:ascii="Times New Roman" w:hAnsi="Times New Roman" w:cs="Times New Roman"/>
        </w:rPr>
      </w:pPr>
    </w:p>
    <w:p w14:paraId="64804661" w14:textId="77777777" w:rsidR="00E839E1" w:rsidRPr="000A2E75" w:rsidRDefault="00E839E1" w:rsidP="00E839E1">
      <w:pPr>
        <w:spacing w:line="276" w:lineRule="auto"/>
        <w:ind w:firstLine="567"/>
        <w:jc w:val="both"/>
        <w:rPr>
          <w:rFonts w:ascii="Times New Roman" w:hAnsi="Times New Roman" w:cs="Times New Roman"/>
        </w:rPr>
      </w:pPr>
    </w:p>
    <w:p w14:paraId="2818F62B" w14:textId="77777777" w:rsidR="00E839E1" w:rsidRPr="000A2E75" w:rsidRDefault="00E839E1" w:rsidP="00E839E1">
      <w:pPr>
        <w:spacing w:line="276" w:lineRule="auto"/>
        <w:ind w:firstLine="567"/>
        <w:jc w:val="both"/>
        <w:rPr>
          <w:rFonts w:ascii="Times New Roman" w:hAnsi="Times New Roman" w:cs="Times New Roman"/>
        </w:rPr>
      </w:pPr>
    </w:p>
    <w:p w14:paraId="60A89DEB" w14:textId="77777777" w:rsidR="00E839E1" w:rsidRPr="000A2E75" w:rsidRDefault="00E839E1" w:rsidP="00E839E1">
      <w:pPr>
        <w:spacing w:line="276" w:lineRule="auto"/>
        <w:ind w:firstLine="567"/>
        <w:jc w:val="both"/>
        <w:rPr>
          <w:rFonts w:ascii="Times New Roman" w:hAnsi="Times New Roman" w:cs="Times New Roman"/>
        </w:rPr>
      </w:pPr>
    </w:p>
    <w:p w14:paraId="3FBF3975" w14:textId="77777777" w:rsidR="00E839E1" w:rsidRPr="000A2E75" w:rsidRDefault="00E839E1" w:rsidP="00E839E1">
      <w:pPr>
        <w:spacing w:line="276" w:lineRule="auto"/>
        <w:ind w:firstLine="567"/>
        <w:jc w:val="both"/>
        <w:rPr>
          <w:rFonts w:ascii="Times New Roman" w:hAnsi="Times New Roman" w:cs="Times New Roman"/>
        </w:rPr>
      </w:pPr>
    </w:p>
    <w:p w14:paraId="260C055D"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rPr>
        <w:t xml:space="preserve">Şekil 15. “Memeli kalbinin incelenmesi”           Şekil 16. Küçük kan dolaşımı ve                      </w:t>
      </w:r>
    </w:p>
    <w:p w14:paraId="36367BAE"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rPr>
        <w:t xml:space="preserve">                               Etkinliği                                                     büyük kan dolaşımı</w:t>
      </w:r>
    </w:p>
    <w:p w14:paraId="63339335"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rPr>
        <w:t xml:space="preserve">“Memeli kalbinin incelenmesi” etkinliği ile öğrencinin kalbin yapısını ve bölümlerini daha iyi anlaması amaçlanmıştır. Büyük ve küçük kan dolaşımının izlediği yol Şekil 16 üzerinde ayrıntılı bir şekilde gösterilmiştir. Şekil 17 kullanılarak atardamar, toplardamar ve kılcal damarlar ayrıntılı bir şekilde ele alınmış ve görevleri açıklanmıştır. Bu üç damar arasındaki kan basıncı, </w:t>
      </w:r>
      <w:r w:rsidRPr="000A2E75">
        <w:rPr>
          <w:rFonts w:ascii="Times New Roman" w:hAnsi="Times New Roman" w:cs="Times New Roman"/>
        </w:rPr>
        <w:lastRenderedPageBreak/>
        <w:t>damarın kesit alan ve damardaki kanın akış hızları arasındaki fark üç farklı grafik ile gösterilmiştir. Şekil 18 ile kan ile doku sıvısı arasındaki madde değişimi sırasında görev alan elemanlar gösterilerek bu değişimin nasıl gerçekleştiği açıklanmıştır. Kılcal damarlar ile doku sıvısı arasında madde geçişinin anlatılması görselle desteklenmiştir. Kan basıncı ve osmotik basıncın geçirdiği değişim grafik ile gösterilmiştir.</w:t>
      </w:r>
    </w:p>
    <w:p w14:paraId="4CA33FA8"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noProof/>
          <w:lang w:val="en-US"/>
        </w:rPr>
        <w:drawing>
          <wp:anchor distT="0" distB="0" distL="114300" distR="114300" simplePos="0" relativeHeight="251752448" behindDoc="0" locked="0" layoutInCell="1" allowOverlap="1" wp14:anchorId="3E8F1E5A" wp14:editId="138C4527">
            <wp:simplePos x="0" y="0"/>
            <wp:positionH relativeFrom="column">
              <wp:posOffset>843915</wp:posOffset>
            </wp:positionH>
            <wp:positionV relativeFrom="paragraph">
              <wp:posOffset>142575</wp:posOffset>
            </wp:positionV>
            <wp:extent cx="1295400" cy="1654475"/>
            <wp:effectExtent l="0" t="0" r="0" b="3175"/>
            <wp:wrapNone/>
            <wp:docPr id="264" name="Resim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1295400" cy="1654475"/>
                    </a:xfrm>
                    <a:prstGeom prst="rect">
                      <a:avLst/>
                    </a:prstGeom>
                    <a:noFill/>
                  </pic:spPr>
                </pic:pic>
              </a:graphicData>
            </a:graphic>
            <wp14:sizeRelH relativeFrom="page">
              <wp14:pctWidth>0</wp14:pctWidth>
            </wp14:sizeRelH>
            <wp14:sizeRelV relativeFrom="page">
              <wp14:pctHeight>0</wp14:pctHeight>
            </wp14:sizeRelV>
          </wp:anchor>
        </w:drawing>
      </w:r>
    </w:p>
    <w:p w14:paraId="2DCDDCFC"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b/>
          <w:noProof/>
          <w:color w:val="000000" w:themeColor="text1"/>
          <w:lang w:val="en-US"/>
        </w:rPr>
        <w:drawing>
          <wp:anchor distT="0" distB="0" distL="114300" distR="114300" simplePos="0" relativeHeight="251753472" behindDoc="0" locked="0" layoutInCell="1" allowOverlap="1" wp14:anchorId="0745B693" wp14:editId="1879CADF">
            <wp:simplePos x="0" y="0"/>
            <wp:positionH relativeFrom="column">
              <wp:posOffset>2577465</wp:posOffset>
            </wp:positionH>
            <wp:positionV relativeFrom="paragraph">
              <wp:posOffset>92075</wp:posOffset>
            </wp:positionV>
            <wp:extent cx="2352675" cy="1442547"/>
            <wp:effectExtent l="0" t="0" r="0" b="5715"/>
            <wp:wrapNone/>
            <wp:docPr id="265" name="Resim 265" descr="C:\Users\yaw\Desktop\capture-20201208-1656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aw\Desktop\capture-20201208-165609.png"/>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2352675" cy="144254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A377ED"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rPr>
        <w:t xml:space="preserve">            Şekil 17. Damarların yapısı                           Şekil 18. Madde geçişi</w:t>
      </w:r>
    </w:p>
    <w:p w14:paraId="133CAAC6" w14:textId="77777777" w:rsidR="00E839E1" w:rsidRPr="000A2E75" w:rsidRDefault="00E839E1" w:rsidP="00E839E1">
      <w:pPr>
        <w:spacing w:line="276" w:lineRule="auto"/>
        <w:ind w:firstLine="567"/>
        <w:jc w:val="both"/>
        <w:rPr>
          <w:rFonts w:ascii="Times New Roman" w:hAnsi="Times New Roman" w:cs="Times New Roman"/>
        </w:rPr>
      </w:pPr>
    </w:p>
    <w:p w14:paraId="19702215" w14:textId="77777777" w:rsidR="00E839E1" w:rsidRPr="000A2E75" w:rsidRDefault="00E839E1" w:rsidP="00E839E1">
      <w:pPr>
        <w:spacing w:line="276" w:lineRule="auto"/>
        <w:ind w:firstLine="567"/>
        <w:jc w:val="both"/>
        <w:rPr>
          <w:rFonts w:ascii="Times New Roman" w:hAnsi="Times New Roman" w:cs="Times New Roman"/>
        </w:rPr>
      </w:pPr>
    </w:p>
    <w:p w14:paraId="7DD84349"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noProof/>
          <w:color w:val="000000" w:themeColor="text1"/>
          <w:lang w:val="en-US"/>
        </w:rPr>
        <w:drawing>
          <wp:anchor distT="0" distB="0" distL="114300" distR="114300" simplePos="0" relativeHeight="251755520" behindDoc="0" locked="0" layoutInCell="1" allowOverlap="1" wp14:anchorId="13687999" wp14:editId="2A0D98FB">
            <wp:simplePos x="0" y="0"/>
            <wp:positionH relativeFrom="column">
              <wp:posOffset>2658745</wp:posOffset>
            </wp:positionH>
            <wp:positionV relativeFrom="paragraph">
              <wp:posOffset>3203</wp:posOffset>
            </wp:positionV>
            <wp:extent cx="2308860" cy="1171575"/>
            <wp:effectExtent l="0" t="0" r="0" b="9525"/>
            <wp:wrapNone/>
            <wp:docPr id="266" name="Resim 266" descr="C:\Users\yaw\Desktop\capture-20201208-171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aw\Desktop\capture-20201208-171201.png"/>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2308860" cy="1171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2E75">
        <w:rPr>
          <w:rFonts w:ascii="Times New Roman" w:hAnsi="Times New Roman" w:cs="Times New Roman"/>
          <w:noProof/>
          <w:color w:val="000000" w:themeColor="text1"/>
          <w:lang w:val="en-US"/>
        </w:rPr>
        <w:drawing>
          <wp:anchor distT="0" distB="0" distL="114300" distR="114300" simplePos="0" relativeHeight="251754496" behindDoc="0" locked="0" layoutInCell="1" allowOverlap="1" wp14:anchorId="66B2AA13" wp14:editId="6F339362">
            <wp:simplePos x="0" y="0"/>
            <wp:positionH relativeFrom="column">
              <wp:posOffset>553085</wp:posOffset>
            </wp:positionH>
            <wp:positionV relativeFrom="paragraph">
              <wp:posOffset>9525</wp:posOffset>
            </wp:positionV>
            <wp:extent cx="1868805" cy="1171575"/>
            <wp:effectExtent l="0" t="0" r="0" b="9525"/>
            <wp:wrapNone/>
            <wp:docPr id="267" name="Resim 267" descr="C:\Users\yaw\Desktop\capture-20201208-171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aw\Desktop\capture-20201208-171135.png"/>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1868805" cy="1171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9A488B" w14:textId="77777777" w:rsidR="00E839E1" w:rsidRPr="000A2E75" w:rsidRDefault="00E839E1" w:rsidP="00E839E1">
      <w:pPr>
        <w:spacing w:line="276" w:lineRule="auto"/>
        <w:ind w:firstLine="567"/>
        <w:jc w:val="both"/>
        <w:rPr>
          <w:rFonts w:ascii="Times New Roman" w:hAnsi="Times New Roman" w:cs="Times New Roman"/>
        </w:rPr>
      </w:pPr>
    </w:p>
    <w:p w14:paraId="75DDF49A" w14:textId="77777777" w:rsidR="00E839E1" w:rsidRPr="000A2E75" w:rsidRDefault="00E839E1" w:rsidP="00E839E1">
      <w:pPr>
        <w:spacing w:line="276" w:lineRule="auto"/>
        <w:ind w:firstLine="567"/>
        <w:jc w:val="both"/>
        <w:rPr>
          <w:rFonts w:ascii="Times New Roman" w:hAnsi="Times New Roman" w:cs="Times New Roman"/>
        </w:rPr>
      </w:pPr>
    </w:p>
    <w:p w14:paraId="5EFDBEBD" w14:textId="77777777" w:rsidR="00E839E1" w:rsidRPr="000A2E75" w:rsidRDefault="00E839E1" w:rsidP="00E839E1">
      <w:pPr>
        <w:spacing w:line="276" w:lineRule="auto"/>
        <w:ind w:firstLine="567"/>
        <w:jc w:val="both"/>
        <w:rPr>
          <w:rFonts w:ascii="Times New Roman" w:hAnsi="Times New Roman" w:cs="Times New Roman"/>
        </w:rPr>
      </w:pPr>
    </w:p>
    <w:p w14:paraId="478B502C" w14:textId="77777777" w:rsidR="00E839E1" w:rsidRPr="000A2E75" w:rsidRDefault="00E839E1" w:rsidP="00E839E1">
      <w:pPr>
        <w:spacing w:line="276" w:lineRule="auto"/>
        <w:ind w:firstLine="567"/>
        <w:jc w:val="both"/>
        <w:rPr>
          <w:rFonts w:ascii="Times New Roman" w:hAnsi="Times New Roman" w:cs="Times New Roman"/>
        </w:rPr>
      </w:pPr>
    </w:p>
    <w:p w14:paraId="468F76F5" w14:textId="77777777" w:rsidR="00E839E1" w:rsidRPr="000A2E75" w:rsidRDefault="00E839E1" w:rsidP="00E839E1">
      <w:pPr>
        <w:spacing w:line="276" w:lineRule="auto"/>
        <w:ind w:firstLine="567"/>
        <w:jc w:val="both"/>
        <w:rPr>
          <w:rFonts w:ascii="Times New Roman" w:hAnsi="Times New Roman" w:cs="Times New Roman"/>
        </w:rPr>
      </w:pPr>
    </w:p>
    <w:p w14:paraId="08D38015"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rPr>
        <w:t xml:space="preserve">                Şekil 19. Kanın içeriği                       Şekil 20. Kan Plazmasının İçeriği</w:t>
      </w:r>
    </w:p>
    <w:p w14:paraId="34E54866"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rPr>
        <w:t>Kan başlığı adı altında kan dokunun, kan hücreleri ve plazma olmak üzere iki bölümde incelendiğinden, kanın taşıma, koruma, düzenleme ve savunma gibi başlıca dört görevi olduğundan bahsedilmiştir. Kan serumu açıklanmış, kan plazmasında bulunan maddeler ve bu maddelerin görevleri Şekil 20’deki gibi verilmiştir. Kanın hücresel elemanları başlığı altında kanda alyuvarlar (eritrosit), akyuvarlar (lökosit) ve kan pulcuğu (trombosit) olmak üzere üç hücresel eleman bulunduğu yazılmış ve bu üç kavram ayrıntılı bir şekilde açıklanmıştır.</w:t>
      </w:r>
    </w:p>
    <w:p w14:paraId="5B172F52"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noProof/>
          <w:color w:val="000000" w:themeColor="text1"/>
          <w:lang w:val="en-US"/>
        </w:rPr>
        <w:drawing>
          <wp:anchor distT="0" distB="0" distL="114300" distR="114300" simplePos="0" relativeHeight="251756544" behindDoc="0" locked="0" layoutInCell="1" allowOverlap="1" wp14:anchorId="28AA19CE" wp14:editId="20ACA969">
            <wp:simplePos x="0" y="0"/>
            <wp:positionH relativeFrom="column">
              <wp:posOffset>1548130</wp:posOffset>
            </wp:positionH>
            <wp:positionV relativeFrom="paragraph">
              <wp:posOffset>100330</wp:posOffset>
            </wp:positionV>
            <wp:extent cx="2619375" cy="1268121"/>
            <wp:effectExtent l="0" t="0" r="0" b="8255"/>
            <wp:wrapNone/>
            <wp:docPr id="268" name="Resim 268" descr="C:\Users\yaw\Desktop\capture-20201213-222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aw\Desktop\capture-20201213-222412.png"/>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2619375" cy="126812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7F3475" w14:textId="77777777" w:rsidR="00E839E1" w:rsidRPr="000A2E75" w:rsidRDefault="00E839E1" w:rsidP="00E839E1">
      <w:pPr>
        <w:spacing w:line="276" w:lineRule="auto"/>
        <w:ind w:firstLine="567"/>
        <w:jc w:val="both"/>
        <w:rPr>
          <w:rFonts w:ascii="Times New Roman" w:hAnsi="Times New Roman" w:cs="Times New Roman"/>
        </w:rPr>
      </w:pPr>
    </w:p>
    <w:p w14:paraId="620C33E9" w14:textId="77777777" w:rsidR="00E839E1" w:rsidRPr="000A2E75" w:rsidRDefault="00E839E1" w:rsidP="00E839E1">
      <w:pPr>
        <w:spacing w:line="276" w:lineRule="auto"/>
        <w:ind w:firstLine="567"/>
        <w:jc w:val="both"/>
        <w:rPr>
          <w:rFonts w:ascii="Times New Roman" w:hAnsi="Times New Roman" w:cs="Times New Roman"/>
        </w:rPr>
      </w:pPr>
    </w:p>
    <w:p w14:paraId="09304F75" w14:textId="77777777" w:rsidR="00E839E1" w:rsidRPr="000A2E75" w:rsidRDefault="00E839E1" w:rsidP="00E839E1">
      <w:pPr>
        <w:spacing w:line="276" w:lineRule="auto"/>
        <w:ind w:firstLine="567"/>
        <w:jc w:val="both"/>
        <w:rPr>
          <w:rFonts w:ascii="Times New Roman" w:hAnsi="Times New Roman" w:cs="Times New Roman"/>
        </w:rPr>
      </w:pPr>
    </w:p>
    <w:p w14:paraId="1D64FEDE" w14:textId="77777777" w:rsidR="00E839E1" w:rsidRPr="000A2E75" w:rsidRDefault="00E839E1" w:rsidP="00E839E1">
      <w:pPr>
        <w:spacing w:line="276" w:lineRule="auto"/>
        <w:ind w:firstLine="567"/>
        <w:jc w:val="both"/>
        <w:rPr>
          <w:rFonts w:ascii="Times New Roman" w:hAnsi="Times New Roman" w:cs="Times New Roman"/>
        </w:rPr>
      </w:pPr>
    </w:p>
    <w:p w14:paraId="46924970" w14:textId="77777777" w:rsidR="00E839E1" w:rsidRPr="000A2E75" w:rsidRDefault="00E839E1" w:rsidP="00E839E1">
      <w:pPr>
        <w:spacing w:line="276" w:lineRule="auto"/>
        <w:ind w:firstLine="567"/>
        <w:jc w:val="center"/>
        <w:rPr>
          <w:rFonts w:ascii="Times New Roman" w:hAnsi="Times New Roman" w:cs="Times New Roman"/>
        </w:rPr>
      </w:pPr>
      <w:r w:rsidRPr="000A2E75">
        <w:rPr>
          <w:rFonts w:ascii="Times New Roman" w:hAnsi="Times New Roman" w:cs="Times New Roman"/>
        </w:rPr>
        <w:t>Şekil 21. ABO Kan Grubu Sistemi Antijen ve Antikorları</w:t>
      </w:r>
    </w:p>
    <w:p w14:paraId="75182FC4" w14:textId="77777777" w:rsidR="00E839E1" w:rsidRPr="000A2E75" w:rsidRDefault="00E839E1" w:rsidP="00E839E1">
      <w:pPr>
        <w:spacing w:line="276" w:lineRule="auto"/>
        <w:ind w:firstLine="567"/>
        <w:jc w:val="center"/>
        <w:rPr>
          <w:rFonts w:ascii="Times New Roman" w:hAnsi="Times New Roman" w:cs="Times New Roman"/>
        </w:rPr>
      </w:pPr>
    </w:p>
    <w:p w14:paraId="3BED697D"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rPr>
        <w:t xml:space="preserve">Şekil 21 kullanılarak kan gruplarından, kan naklinden, aglütinasyondan (çökelme) ve kan naklinden kaynaklı çeşitli hastalıklardan söz edilmiştir. “Araştırıyorum” başlığı altında </w:t>
      </w:r>
      <w:r w:rsidRPr="000A2E75">
        <w:rPr>
          <w:rFonts w:ascii="Times New Roman" w:hAnsi="Times New Roman" w:cs="Times New Roman"/>
        </w:rPr>
        <w:lastRenderedPageBreak/>
        <w:t>öğrencilerden kan ve kemik iliği bağışıyla ilgili afiş, broşür hazırlamaları istenerek konu bitirilmiştir. Yeni konu olarak lenf dolaşımına başlanmış, lenf sistemi lenf sıvısı, lenf damarları ve lenf düğümlerinden oluştuğu bilgisi verilmiştir. Lenf dolaşımının işleyişi Şekil 22 ile gösterilmiştir. Lenf dolaşımının görevinden, lenf düğümlerinin vücutta nerede bulunduğundan, bağışıklıkta önemli rol oynadığından bahsedilmiştir. Ödem kavramı açıklandıktan sonra dolaşım sistemi rahatsızlıklarına geçilmiştir.</w:t>
      </w:r>
    </w:p>
    <w:p w14:paraId="1DF4C0D8"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b/>
          <w:noProof/>
          <w:color w:val="000000" w:themeColor="text1"/>
          <w:lang w:val="en-US"/>
        </w:rPr>
        <w:drawing>
          <wp:anchor distT="0" distB="0" distL="114300" distR="114300" simplePos="0" relativeHeight="251758592" behindDoc="0" locked="0" layoutInCell="1" allowOverlap="1" wp14:anchorId="1AEBF61E" wp14:editId="694D8F9F">
            <wp:simplePos x="0" y="0"/>
            <wp:positionH relativeFrom="column">
              <wp:posOffset>3054985</wp:posOffset>
            </wp:positionH>
            <wp:positionV relativeFrom="paragraph">
              <wp:posOffset>26670</wp:posOffset>
            </wp:positionV>
            <wp:extent cx="1579317" cy="1781175"/>
            <wp:effectExtent l="0" t="0" r="1905" b="0"/>
            <wp:wrapNone/>
            <wp:docPr id="269" name="Resim 269" descr="C:\Users\yaw\Desktop\capture-20201213-2248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aw\Desktop\capture-20201213-224808.png"/>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1579912" cy="17818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2E75">
        <w:rPr>
          <w:rFonts w:ascii="Times New Roman" w:hAnsi="Times New Roman" w:cs="Times New Roman"/>
          <w:b/>
          <w:noProof/>
          <w:color w:val="000000" w:themeColor="text1"/>
          <w:lang w:val="en-US"/>
        </w:rPr>
        <w:drawing>
          <wp:anchor distT="0" distB="0" distL="114300" distR="114300" simplePos="0" relativeHeight="251757568" behindDoc="0" locked="0" layoutInCell="1" allowOverlap="1" wp14:anchorId="5F8BC5D7" wp14:editId="1031A558">
            <wp:simplePos x="0" y="0"/>
            <wp:positionH relativeFrom="column">
              <wp:posOffset>1034415</wp:posOffset>
            </wp:positionH>
            <wp:positionV relativeFrom="paragraph">
              <wp:posOffset>26670</wp:posOffset>
            </wp:positionV>
            <wp:extent cx="1736725" cy="1781175"/>
            <wp:effectExtent l="0" t="0" r="0" b="9525"/>
            <wp:wrapNone/>
            <wp:docPr id="270" name="Resim 270" descr="C:\Users\yaw\Desktop\capture-20201213-224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aw\Desktop\capture-20201213-224720.png"/>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1736725" cy="1781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96EF8A" w14:textId="77777777" w:rsidR="00E839E1" w:rsidRPr="000A2E75" w:rsidRDefault="00E839E1" w:rsidP="00E839E1">
      <w:pPr>
        <w:spacing w:line="276" w:lineRule="auto"/>
        <w:ind w:firstLine="567"/>
        <w:jc w:val="both"/>
        <w:rPr>
          <w:rFonts w:ascii="Times New Roman" w:hAnsi="Times New Roman" w:cs="Times New Roman"/>
        </w:rPr>
      </w:pPr>
    </w:p>
    <w:p w14:paraId="26706F81" w14:textId="77777777" w:rsidR="00E839E1" w:rsidRPr="000A2E75" w:rsidRDefault="00E839E1" w:rsidP="00E839E1">
      <w:pPr>
        <w:spacing w:line="276" w:lineRule="auto"/>
        <w:ind w:firstLine="567"/>
        <w:jc w:val="both"/>
        <w:rPr>
          <w:rFonts w:ascii="Times New Roman" w:hAnsi="Times New Roman" w:cs="Times New Roman"/>
        </w:rPr>
      </w:pPr>
    </w:p>
    <w:p w14:paraId="427270B2" w14:textId="77777777" w:rsidR="00E839E1" w:rsidRPr="000A2E75" w:rsidRDefault="00E839E1" w:rsidP="00E839E1">
      <w:pPr>
        <w:spacing w:line="276" w:lineRule="auto"/>
        <w:ind w:firstLine="567"/>
        <w:jc w:val="both"/>
        <w:rPr>
          <w:rFonts w:ascii="Times New Roman" w:hAnsi="Times New Roman" w:cs="Times New Roman"/>
        </w:rPr>
      </w:pPr>
    </w:p>
    <w:p w14:paraId="3B5A256C" w14:textId="77777777" w:rsidR="00E839E1" w:rsidRPr="000A2E75" w:rsidRDefault="00E839E1" w:rsidP="00E839E1">
      <w:pPr>
        <w:spacing w:line="276" w:lineRule="auto"/>
        <w:ind w:firstLine="567"/>
        <w:jc w:val="both"/>
        <w:rPr>
          <w:rFonts w:ascii="Times New Roman" w:hAnsi="Times New Roman" w:cs="Times New Roman"/>
        </w:rPr>
      </w:pPr>
    </w:p>
    <w:p w14:paraId="0C5A6206" w14:textId="77777777" w:rsidR="00E839E1" w:rsidRPr="000A2E75" w:rsidRDefault="00E839E1" w:rsidP="00E839E1">
      <w:pPr>
        <w:spacing w:line="276" w:lineRule="auto"/>
        <w:ind w:firstLine="567"/>
        <w:jc w:val="both"/>
        <w:rPr>
          <w:rFonts w:ascii="Times New Roman" w:hAnsi="Times New Roman" w:cs="Times New Roman"/>
        </w:rPr>
      </w:pPr>
    </w:p>
    <w:p w14:paraId="026F4618" w14:textId="77777777" w:rsidR="00E839E1" w:rsidRPr="000A2E75" w:rsidRDefault="00E839E1" w:rsidP="00E839E1">
      <w:pPr>
        <w:spacing w:line="276" w:lineRule="auto"/>
        <w:ind w:firstLine="567"/>
        <w:jc w:val="both"/>
        <w:rPr>
          <w:rFonts w:ascii="Times New Roman" w:hAnsi="Times New Roman" w:cs="Times New Roman"/>
        </w:rPr>
      </w:pPr>
    </w:p>
    <w:p w14:paraId="01E0A5E5"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rPr>
        <w:t xml:space="preserve">         </w:t>
      </w:r>
    </w:p>
    <w:p w14:paraId="2248E4E3" w14:textId="77777777" w:rsidR="00E839E1" w:rsidRPr="000A2E75" w:rsidRDefault="00E839E1" w:rsidP="00E839E1">
      <w:pPr>
        <w:spacing w:line="276" w:lineRule="auto"/>
        <w:ind w:firstLine="567"/>
        <w:jc w:val="center"/>
        <w:rPr>
          <w:rFonts w:ascii="Times New Roman" w:hAnsi="Times New Roman" w:cs="Times New Roman"/>
        </w:rPr>
      </w:pPr>
      <w:r w:rsidRPr="000A2E75">
        <w:rPr>
          <w:rFonts w:ascii="Times New Roman" w:hAnsi="Times New Roman" w:cs="Times New Roman"/>
        </w:rPr>
        <w:t>Şekil 22. Lenf dolaşımı                       Şekil 23. Lenfatik sistem</w:t>
      </w:r>
    </w:p>
    <w:p w14:paraId="6181A6C2"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rPr>
        <w:t>Kalp krizi, damar tıkanıklığı, tansiyon, varis, kangren, anemi, lösemi gibi rahatsızlıklar en sık rastlanılan dolaşım sistemi rahatsızlıkları olduğu söylendikten sonra hepsi tek tek açıklanmıştır. Dolaşım sistemi sağlığını korumak için yapılması gerekenler hakkında bilgi verilmiştir. Bu konulardan bahsettikten sonra bağışıklık sistemine geçilmiştir.</w:t>
      </w:r>
    </w:p>
    <w:p w14:paraId="45E751EB"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noProof/>
          <w:color w:val="000000" w:themeColor="text1"/>
          <w:lang w:val="en-US"/>
        </w:rPr>
        <w:drawing>
          <wp:anchor distT="0" distB="0" distL="114300" distR="114300" simplePos="0" relativeHeight="251759616" behindDoc="0" locked="0" layoutInCell="1" allowOverlap="1" wp14:anchorId="5BA0EB72" wp14:editId="47756362">
            <wp:simplePos x="0" y="0"/>
            <wp:positionH relativeFrom="column">
              <wp:posOffset>2081530</wp:posOffset>
            </wp:positionH>
            <wp:positionV relativeFrom="paragraph">
              <wp:posOffset>161614</wp:posOffset>
            </wp:positionV>
            <wp:extent cx="1585413" cy="2009775"/>
            <wp:effectExtent l="0" t="0" r="0" b="0"/>
            <wp:wrapNone/>
            <wp:docPr id="271" name="Resim 271" descr="C:\Users\yaw\Desktop\capture-20201220-210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aw\Desktop\capture-20201220-210827.png"/>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1585413" cy="2009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3E7E5C" w14:textId="77777777" w:rsidR="00E839E1" w:rsidRPr="000A2E75" w:rsidRDefault="00E839E1" w:rsidP="00E839E1">
      <w:pPr>
        <w:spacing w:line="276" w:lineRule="auto"/>
        <w:ind w:firstLine="567"/>
        <w:jc w:val="both"/>
        <w:rPr>
          <w:rFonts w:ascii="Times New Roman" w:hAnsi="Times New Roman" w:cs="Times New Roman"/>
        </w:rPr>
      </w:pPr>
    </w:p>
    <w:p w14:paraId="36826F08" w14:textId="77777777" w:rsidR="00E839E1" w:rsidRPr="000A2E75" w:rsidRDefault="00E839E1" w:rsidP="00E839E1">
      <w:pPr>
        <w:spacing w:line="276" w:lineRule="auto"/>
        <w:ind w:firstLine="567"/>
        <w:jc w:val="both"/>
        <w:rPr>
          <w:rFonts w:ascii="Times New Roman" w:hAnsi="Times New Roman" w:cs="Times New Roman"/>
        </w:rPr>
      </w:pPr>
    </w:p>
    <w:p w14:paraId="44EA570E" w14:textId="77777777" w:rsidR="00E839E1" w:rsidRPr="000A2E75" w:rsidRDefault="00E839E1" w:rsidP="00E839E1">
      <w:pPr>
        <w:spacing w:line="276" w:lineRule="auto"/>
        <w:ind w:firstLine="567"/>
        <w:jc w:val="both"/>
        <w:rPr>
          <w:rFonts w:ascii="Times New Roman" w:hAnsi="Times New Roman" w:cs="Times New Roman"/>
        </w:rPr>
      </w:pPr>
    </w:p>
    <w:p w14:paraId="6D1A830F" w14:textId="77777777" w:rsidR="00E839E1" w:rsidRPr="000A2E75" w:rsidRDefault="00E839E1" w:rsidP="00E839E1">
      <w:pPr>
        <w:spacing w:line="276" w:lineRule="auto"/>
        <w:ind w:firstLine="567"/>
        <w:jc w:val="both"/>
        <w:rPr>
          <w:rFonts w:ascii="Times New Roman" w:hAnsi="Times New Roman" w:cs="Times New Roman"/>
        </w:rPr>
      </w:pPr>
    </w:p>
    <w:p w14:paraId="2D22C186" w14:textId="77777777" w:rsidR="00E839E1" w:rsidRPr="000A2E75" w:rsidRDefault="00E839E1" w:rsidP="00E839E1">
      <w:pPr>
        <w:spacing w:line="276" w:lineRule="auto"/>
        <w:ind w:firstLine="567"/>
        <w:jc w:val="both"/>
        <w:rPr>
          <w:rFonts w:ascii="Times New Roman" w:hAnsi="Times New Roman" w:cs="Times New Roman"/>
        </w:rPr>
      </w:pPr>
    </w:p>
    <w:p w14:paraId="2966FAE3" w14:textId="77777777" w:rsidR="00E839E1" w:rsidRPr="000A2E75" w:rsidRDefault="00E839E1" w:rsidP="00E839E1">
      <w:pPr>
        <w:spacing w:line="276" w:lineRule="auto"/>
        <w:ind w:firstLine="567"/>
        <w:jc w:val="both"/>
        <w:rPr>
          <w:rFonts w:ascii="Times New Roman" w:hAnsi="Times New Roman" w:cs="Times New Roman"/>
        </w:rPr>
      </w:pPr>
    </w:p>
    <w:p w14:paraId="6EB39BB2" w14:textId="77777777" w:rsidR="00E839E1" w:rsidRPr="000A2E75" w:rsidRDefault="00E839E1" w:rsidP="00E839E1">
      <w:pPr>
        <w:spacing w:line="276" w:lineRule="auto"/>
        <w:ind w:firstLine="567"/>
        <w:jc w:val="both"/>
        <w:rPr>
          <w:rFonts w:ascii="Times New Roman" w:hAnsi="Times New Roman" w:cs="Times New Roman"/>
        </w:rPr>
      </w:pPr>
    </w:p>
    <w:p w14:paraId="7B68F592" w14:textId="77777777" w:rsidR="00E839E1" w:rsidRPr="000A2E75" w:rsidRDefault="00E839E1" w:rsidP="00E839E1">
      <w:pPr>
        <w:spacing w:line="276" w:lineRule="auto"/>
        <w:ind w:firstLine="567"/>
        <w:jc w:val="center"/>
        <w:rPr>
          <w:rFonts w:ascii="Times New Roman" w:hAnsi="Times New Roman" w:cs="Times New Roman"/>
        </w:rPr>
      </w:pPr>
      <w:r w:rsidRPr="000A2E75">
        <w:rPr>
          <w:rFonts w:ascii="Times New Roman" w:hAnsi="Times New Roman" w:cs="Times New Roman"/>
        </w:rPr>
        <w:t>Şekil 24. Bağışıklık sistemine genel bakış</w:t>
      </w:r>
    </w:p>
    <w:p w14:paraId="04A1D043"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rPr>
        <w:t xml:space="preserve">Şekil 24’te verilen bağışıklık sistemine genel bakış görselinden sonra görselde bulunan her bir kavram açıklanmıştır. İlk olarak konuya doğal bağışıklık ile başlanmıştır. Doğal bağışıklığın patojenlere karşı vücudun ilk savunma hattı olduğu bilgisi verilmiş, vücuda giren mikroorganizmalara karşı vücudun tepkiler geliştirdiğinden bahsedilmiştir. Bu tepkilerden fiziksel engeller, fagositoz yapan hücreler, doğal katil hücreler, interferonlar, kompleman </w:t>
      </w:r>
      <w:r w:rsidRPr="000A2E75">
        <w:rPr>
          <w:rFonts w:ascii="Times New Roman" w:hAnsi="Times New Roman" w:cs="Times New Roman"/>
        </w:rPr>
        <w:lastRenderedPageBreak/>
        <w:t>sistemler ve iltihaplanma, ateş gibi yangısal tepkiler ayrı ayrı açıklanmıştır. Bu kavramlar açıklandıktan sonra kazanılmış bağışıklığa geçilmiştir. Kazanılmış bağışıklık B ve T lenfositleri tarafından oluşturulan bağışıklık olarak tanımlanmış, humoral (sıvısal) bağışıklık ve hücresel bağışıklık kavramları açıklanmıştır. Daha sonra aktif ve pasif bağışıklama başlığı altında aşı ve serumdan söz edilmiştir. Son olarak alerji ve otoimmün hastalıklardan bahsedilerek dolaşım sistemi konusu bitirilmiştir.</w:t>
      </w:r>
    </w:p>
    <w:p w14:paraId="4EBF554F" w14:textId="77777777" w:rsidR="00E839E1" w:rsidRPr="000A2E75" w:rsidRDefault="00E839E1" w:rsidP="00E839E1">
      <w:pPr>
        <w:spacing w:line="276" w:lineRule="auto"/>
        <w:ind w:firstLine="567"/>
        <w:jc w:val="both"/>
        <w:rPr>
          <w:rFonts w:ascii="Times New Roman" w:hAnsi="Times New Roman" w:cs="Times New Roman"/>
        </w:rPr>
      </w:pPr>
    </w:p>
    <w:p w14:paraId="1D388FAB" w14:textId="77777777" w:rsidR="00E839E1" w:rsidRPr="000A2E75" w:rsidRDefault="00E839E1" w:rsidP="00E839E1">
      <w:pPr>
        <w:spacing w:line="276" w:lineRule="auto"/>
        <w:ind w:firstLine="567"/>
        <w:jc w:val="both"/>
        <w:rPr>
          <w:rFonts w:ascii="Times New Roman" w:hAnsi="Times New Roman" w:cs="Times New Roman"/>
          <w:b/>
        </w:rPr>
      </w:pPr>
      <w:r w:rsidRPr="000A2E75">
        <w:rPr>
          <w:rFonts w:ascii="Times New Roman" w:hAnsi="Times New Roman" w:cs="Times New Roman"/>
          <w:b/>
        </w:rPr>
        <w:t>3. 6. Sınıf Fen Bilimleri ve 11. Sınıf Biyoloji Ders Kitabının Karşılaştırılması</w:t>
      </w:r>
    </w:p>
    <w:p w14:paraId="1DEC500A" w14:textId="77777777" w:rsidR="00E839E1" w:rsidRPr="000A2E75" w:rsidRDefault="00E839E1" w:rsidP="00E839E1">
      <w:pPr>
        <w:spacing w:line="276" w:lineRule="auto"/>
        <w:jc w:val="both"/>
        <w:rPr>
          <w:rFonts w:ascii="Times New Roman" w:hAnsi="Times New Roman" w:cs="Times New Roman"/>
          <w:b/>
        </w:rPr>
      </w:pPr>
      <w:r w:rsidRPr="000A2E75">
        <w:rPr>
          <w:rFonts w:ascii="Times New Roman" w:hAnsi="Times New Roman" w:cs="Times New Roman"/>
          <w:i/>
        </w:rPr>
        <w:t>Tablo 1.</w:t>
      </w:r>
      <w:r w:rsidRPr="000A2E75">
        <w:rPr>
          <w:rFonts w:ascii="Times New Roman" w:hAnsi="Times New Roman" w:cs="Times New Roman"/>
        </w:rPr>
        <w:t xml:space="preserve"> 6. Sınıf Fen Bilimleri ve 11. Sınıf Biyoloji Ders Kitabının Karşılaştırılması</w:t>
      </w:r>
    </w:p>
    <w:tbl>
      <w:tblPr>
        <w:tblW w:w="0" w:type="auto"/>
        <w:tblInd w:w="108" w:type="dxa"/>
        <w:tblBorders>
          <w:top w:val="single" w:sz="4" w:space="0" w:color="auto"/>
          <w:bottom w:val="single" w:sz="4" w:space="0" w:color="auto"/>
          <w:insideH w:val="single" w:sz="4" w:space="0" w:color="auto"/>
        </w:tblBorders>
        <w:tblLook w:val="04A0" w:firstRow="1" w:lastRow="0" w:firstColumn="1" w:lastColumn="0" w:noHBand="0" w:noVBand="1"/>
      </w:tblPr>
      <w:tblGrid>
        <w:gridCol w:w="2718"/>
        <w:gridCol w:w="2747"/>
        <w:gridCol w:w="2932"/>
      </w:tblGrid>
      <w:tr w:rsidR="00E839E1" w:rsidRPr="000A2E75" w14:paraId="3EF8B085" w14:textId="77777777" w:rsidTr="00E839E1">
        <w:trPr>
          <w:trHeight w:val="834"/>
        </w:trPr>
        <w:tc>
          <w:tcPr>
            <w:tcW w:w="2752" w:type="dxa"/>
          </w:tcPr>
          <w:p w14:paraId="0DC75CF6"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ab/>
            </w:r>
          </w:p>
        </w:tc>
        <w:tc>
          <w:tcPr>
            <w:tcW w:w="2781" w:type="dxa"/>
          </w:tcPr>
          <w:p w14:paraId="34460E3A" w14:textId="77777777" w:rsidR="00E839E1" w:rsidRPr="000A2E75" w:rsidRDefault="00E839E1" w:rsidP="00E839E1">
            <w:pPr>
              <w:spacing w:line="276" w:lineRule="auto"/>
              <w:jc w:val="center"/>
              <w:rPr>
                <w:rFonts w:ascii="Times New Roman" w:hAnsi="Times New Roman" w:cs="Times New Roman"/>
                <w:b/>
              </w:rPr>
            </w:pPr>
            <w:r w:rsidRPr="000A2E75">
              <w:rPr>
                <w:rFonts w:ascii="Times New Roman" w:hAnsi="Times New Roman" w:cs="Times New Roman"/>
                <w:b/>
              </w:rPr>
              <w:t>6. Sınıf Fen Bilimleri</w:t>
            </w:r>
          </w:p>
          <w:p w14:paraId="7E9C9E22" w14:textId="77777777" w:rsidR="00E839E1" w:rsidRPr="000A2E75" w:rsidRDefault="00E839E1" w:rsidP="00E839E1">
            <w:pPr>
              <w:spacing w:line="276" w:lineRule="auto"/>
              <w:jc w:val="center"/>
              <w:rPr>
                <w:rFonts w:ascii="Times New Roman" w:hAnsi="Times New Roman" w:cs="Times New Roman"/>
                <w:b/>
              </w:rPr>
            </w:pPr>
            <w:r w:rsidRPr="000A2E75">
              <w:rPr>
                <w:rFonts w:ascii="Times New Roman" w:hAnsi="Times New Roman" w:cs="Times New Roman"/>
                <w:b/>
              </w:rPr>
              <w:t>Ders Kitabı</w:t>
            </w:r>
          </w:p>
        </w:tc>
        <w:tc>
          <w:tcPr>
            <w:tcW w:w="2972" w:type="dxa"/>
          </w:tcPr>
          <w:p w14:paraId="596B811A" w14:textId="77777777" w:rsidR="00E839E1" w:rsidRPr="000A2E75" w:rsidRDefault="00E839E1" w:rsidP="00E839E1">
            <w:pPr>
              <w:spacing w:line="276" w:lineRule="auto"/>
              <w:jc w:val="center"/>
              <w:rPr>
                <w:rFonts w:ascii="Times New Roman" w:hAnsi="Times New Roman" w:cs="Times New Roman"/>
                <w:b/>
              </w:rPr>
            </w:pPr>
            <w:r w:rsidRPr="000A2E75">
              <w:rPr>
                <w:rFonts w:ascii="Times New Roman" w:hAnsi="Times New Roman" w:cs="Times New Roman"/>
                <w:b/>
              </w:rPr>
              <w:t>11. Sınıf Biyoloji</w:t>
            </w:r>
          </w:p>
          <w:p w14:paraId="0C449AF0" w14:textId="77777777" w:rsidR="00E839E1" w:rsidRPr="000A2E75" w:rsidRDefault="00E839E1" w:rsidP="00E839E1">
            <w:pPr>
              <w:spacing w:line="276" w:lineRule="auto"/>
              <w:jc w:val="center"/>
              <w:rPr>
                <w:rFonts w:ascii="Times New Roman" w:hAnsi="Times New Roman" w:cs="Times New Roman"/>
                <w:b/>
              </w:rPr>
            </w:pPr>
            <w:r w:rsidRPr="000A2E75">
              <w:rPr>
                <w:rFonts w:ascii="Times New Roman" w:hAnsi="Times New Roman" w:cs="Times New Roman"/>
                <w:b/>
              </w:rPr>
              <w:t>Ders Kitabı</w:t>
            </w:r>
          </w:p>
        </w:tc>
      </w:tr>
      <w:tr w:rsidR="00E839E1" w:rsidRPr="000A2E75" w14:paraId="47138C45" w14:textId="77777777" w:rsidTr="00E839E1">
        <w:trPr>
          <w:trHeight w:val="221"/>
        </w:trPr>
        <w:tc>
          <w:tcPr>
            <w:tcW w:w="2752" w:type="dxa"/>
          </w:tcPr>
          <w:p w14:paraId="6598B528"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Sayfa Sayısı</w:t>
            </w:r>
          </w:p>
        </w:tc>
        <w:tc>
          <w:tcPr>
            <w:tcW w:w="2781" w:type="dxa"/>
          </w:tcPr>
          <w:p w14:paraId="2E6AAD61" w14:textId="77777777" w:rsidR="00E839E1" w:rsidRPr="000A2E75" w:rsidRDefault="00E839E1" w:rsidP="00E839E1">
            <w:pPr>
              <w:spacing w:line="276" w:lineRule="auto"/>
              <w:jc w:val="center"/>
              <w:rPr>
                <w:rFonts w:ascii="Times New Roman" w:hAnsi="Times New Roman" w:cs="Times New Roman"/>
              </w:rPr>
            </w:pPr>
            <w:r w:rsidRPr="000A2E75">
              <w:rPr>
                <w:rFonts w:ascii="Times New Roman" w:hAnsi="Times New Roman" w:cs="Times New Roman"/>
              </w:rPr>
              <w:t>8</w:t>
            </w:r>
          </w:p>
        </w:tc>
        <w:tc>
          <w:tcPr>
            <w:tcW w:w="2972" w:type="dxa"/>
          </w:tcPr>
          <w:p w14:paraId="4D8A20A7" w14:textId="77777777" w:rsidR="00E839E1" w:rsidRPr="000A2E75" w:rsidRDefault="00E839E1" w:rsidP="00E839E1">
            <w:pPr>
              <w:spacing w:line="276" w:lineRule="auto"/>
              <w:jc w:val="center"/>
              <w:rPr>
                <w:rFonts w:ascii="Times New Roman" w:hAnsi="Times New Roman" w:cs="Times New Roman"/>
              </w:rPr>
            </w:pPr>
            <w:r w:rsidRPr="000A2E75">
              <w:rPr>
                <w:rFonts w:ascii="Times New Roman" w:hAnsi="Times New Roman" w:cs="Times New Roman"/>
              </w:rPr>
              <w:t>27</w:t>
            </w:r>
          </w:p>
        </w:tc>
      </w:tr>
      <w:tr w:rsidR="00E839E1" w:rsidRPr="000A2E75" w14:paraId="11D89BC4" w14:textId="77777777" w:rsidTr="00E839E1">
        <w:trPr>
          <w:trHeight w:val="213"/>
        </w:trPr>
        <w:tc>
          <w:tcPr>
            <w:tcW w:w="2752" w:type="dxa"/>
          </w:tcPr>
          <w:p w14:paraId="53F91898"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Görsel Sayısı</w:t>
            </w:r>
          </w:p>
        </w:tc>
        <w:tc>
          <w:tcPr>
            <w:tcW w:w="2781" w:type="dxa"/>
          </w:tcPr>
          <w:p w14:paraId="16315DC8" w14:textId="77777777" w:rsidR="00E839E1" w:rsidRPr="000A2E75" w:rsidRDefault="00E839E1" w:rsidP="00E839E1">
            <w:pPr>
              <w:spacing w:line="276" w:lineRule="auto"/>
              <w:jc w:val="center"/>
              <w:rPr>
                <w:rFonts w:ascii="Times New Roman" w:hAnsi="Times New Roman" w:cs="Times New Roman"/>
              </w:rPr>
            </w:pPr>
            <w:r w:rsidRPr="000A2E75">
              <w:rPr>
                <w:rFonts w:ascii="Times New Roman" w:hAnsi="Times New Roman" w:cs="Times New Roman"/>
              </w:rPr>
              <w:t>12</w:t>
            </w:r>
          </w:p>
        </w:tc>
        <w:tc>
          <w:tcPr>
            <w:tcW w:w="2972" w:type="dxa"/>
          </w:tcPr>
          <w:p w14:paraId="7EE77DF8" w14:textId="77777777" w:rsidR="00E839E1" w:rsidRPr="000A2E75" w:rsidRDefault="00E839E1" w:rsidP="00E839E1">
            <w:pPr>
              <w:spacing w:line="276" w:lineRule="auto"/>
              <w:jc w:val="center"/>
              <w:rPr>
                <w:rFonts w:ascii="Times New Roman" w:hAnsi="Times New Roman" w:cs="Times New Roman"/>
              </w:rPr>
            </w:pPr>
            <w:r w:rsidRPr="000A2E75">
              <w:rPr>
                <w:rFonts w:ascii="Times New Roman" w:hAnsi="Times New Roman" w:cs="Times New Roman"/>
              </w:rPr>
              <w:t>30</w:t>
            </w:r>
          </w:p>
        </w:tc>
      </w:tr>
      <w:tr w:rsidR="00E839E1" w:rsidRPr="000A2E75" w14:paraId="71E73470" w14:textId="77777777" w:rsidTr="00E839E1">
        <w:trPr>
          <w:trHeight w:val="275"/>
        </w:trPr>
        <w:tc>
          <w:tcPr>
            <w:tcW w:w="2752" w:type="dxa"/>
          </w:tcPr>
          <w:p w14:paraId="3DDC6DAB"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Okuma Parçası</w:t>
            </w:r>
          </w:p>
        </w:tc>
        <w:tc>
          <w:tcPr>
            <w:tcW w:w="2781" w:type="dxa"/>
          </w:tcPr>
          <w:p w14:paraId="4C680D31" w14:textId="77777777" w:rsidR="00E839E1" w:rsidRPr="000A2E75" w:rsidRDefault="00E839E1" w:rsidP="00E839E1">
            <w:pPr>
              <w:spacing w:line="276" w:lineRule="auto"/>
              <w:jc w:val="center"/>
              <w:rPr>
                <w:rFonts w:ascii="Times New Roman" w:hAnsi="Times New Roman" w:cs="Times New Roman"/>
              </w:rPr>
            </w:pPr>
            <w:r w:rsidRPr="000A2E75">
              <w:rPr>
                <w:rFonts w:ascii="Times New Roman" w:hAnsi="Times New Roman" w:cs="Times New Roman"/>
              </w:rPr>
              <w:t>1</w:t>
            </w:r>
          </w:p>
        </w:tc>
        <w:tc>
          <w:tcPr>
            <w:tcW w:w="2972" w:type="dxa"/>
          </w:tcPr>
          <w:p w14:paraId="4ECEE2FF" w14:textId="77777777" w:rsidR="00E839E1" w:rsidRPr="000A2E75" w:rsidRDefault="00E839E1" w:rsidP="00E839E1">
            <w:pPr>
              <w:spacing w:line="276" w:lineRule="auto"/>
              <w:jc w:val="center"/>
              <w:rPr>
                <w:rFonts w:ascii="Times New Roman" w:hAnsi="Times New Roman" w:cs="Times New Roman"/>
              </w:rPr>
            </w:pPr>
            <w:r w:rsidRPr="000A2E75">
              <w:rPr>
                <w:rFonts w:ascii="Times New Roman" w:hAnsi="Times New Roman" w:cs="Times New Roman"/>
              </w:rPr>
              <w:t>3</w:t>
            </w:r>
          </w:p>
        </w:tc>
      </w:tr>
      <w:tr w:rsidR="00E839E1" w:rsidRPr="000A2E75" w14:paraId="7C3B6043" w14:textId="77777777" w:rsidTr="00E839E1">
        <w:trPr>
          <w:trHeight w:val="195"/>
        </w:trPr>
        <w:tc>
          <w:tcPr>
            <w:tcW w:w="2752" w:type="dxa"/>
          </w:tcPr>
          <w:p w14:paraId="4DD3AACB"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Kazanım Sayısı</w:t>
            </w:r>
          </w:p>
        </w:tc>
        <w:tc>
          <w:tcPr>
            <w:tcW w:w="2781" w:type="dxa"/>
          </w:tcPr>
          <w:p w14:paraId="4C4BFC32" w14:textId="77777777" w:rsidR="00E839E1" w:rsidRPr="000A2E75" w:rsidRDefault="00E839E1" w:rsidP="00E839E1">
            <w:pPr>
              <w:spacing w:line="276" w:lineRule="auto"/>
              <w:jc w:val="center"/>
              <w:rPr>
                <w:rFonts w:ascii="Times New Roman" w:hAnsi="Times New Roman" w:cs="Times New Roman"/>
              </w:rPr>
            </w:pPr>
            <w:r w:rsidRPr="000A2E75">
              <w:rPr>
                <w:rFonts w:ascii="Times New Roman" w:hAnsi="Times New Roman" w:cs="Times New Roman"/>
              </w:rPr>
              <w:t>5</w:t>
            </w:r>
          </w:p>
        </w:tc>
        <w:tc>
          <w:tcPr>
            <w:tcW w:w="2972" w:type="dxa"/>
          </w:tcPr>
          <w:p w14:paraId="1A16EAD3" w14:textId="77777777" w:rsidR="00E839E1" w:rsidRPr="000A2E75" w:rsidRDefault="00E839E1" w:rsidP="00E839E1">
            <w:pPr>
              <w:spacing w:line="276" w:lineRule="auto"/>
              <w:jc w:val="center"/>
              <w:rPr>
                <w:rFonts w:ascii="Times New Roman" w:hAnsi="Times New Roman" w:cs="Times New Roman"/>
              </w:rPr>
            </w:pPr>
            <w:r w:rsidRPr="000A2E75">
              <w:rPr>
                <w:rFonts w:ascii="Times New Roman" w:hAnsi="Times New Roman" w:cs="Times New Roman"/>
              </w:rPr>
              <w:t>5</w:t>
            </w:r>
          </w:p>
        </w:tc>
      </w:tr>
      <w:tr w:rsidR="00E839E1" w:rsidRPr="000A2E75" w14:paraId="4A058E6B" w14:textId="77777777" w:rsidTr="00E839E1">
        <w:trPr>
          <w:trHeight w:val="46"/>
        </w:trPr>
        <w:tc>
          <w:tcPr>
            <w:tcW w:w="2752" w:type="dxa"/>
          </w:tcPr>
          <w:p w14:paraId="0CE8F2B6"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Etkinlik Sayısı</w:t>
            </w:r>
          </w:p>
        </w:tc>
        <w:tc>
          <w:tcPr>
            <w:tcW w:w="2781" w:type="dxa"/>
          </w:tcPr>
          <w:p w14:paraId="5FB3FA12" w14:textId="77777777" w:rsidR="00E839E1" w:rsidRPr="000A2E75" w:rsidRDefault="00E839E1" w:rsidP="00E839E1">
            <w:pPr>
              <w:spacing w:line="276" w:lineRule="auto"/>
              <w:jc w:val="center"/>
              <w:rPr>
                <w:rFonts w:ascii="Times New Roman" w:hAnsi="Times New Roman" w:cs="Times New Roman"/>
              </w:rPr>
            </w:pPr>
            <w:r w:rsidRPr="000A2E75">
              <w:rPr>
                <w:rFonts w:ascii="Times New Roman" w:hAnsi="Times New Roman" w:cs="Times New Roman"/>
              </w:rPr>
              <w:t>1</w:t>
            </w:r>
          </w:p>
        </w:tc>
        <w:tc>
          <w:tcPr>
            <w:tcW w:w="2972" w:type="dxa"/>
          </w:tcPr>
          <w:p w14:paraId="168D6918" w14:textId="77777777" w:rsidR="00E839E1" w:rsidRPr="000A2E75" w:rsidRDefault="00E839E1" w:rsidP="00E839E1">
            <w:pPr>
              <w:spacing w:line="276" w:lineRule="auto"/>
              <w:jc w:val="center"/>
              <w:rPr>
                <w:rFonts w:ascii="Times New Roman" w:hAnsi="Times New Roman" w:cs="Times New Roman"/>
              </w:rPr>
            </w:pPr>
            <w:r w:rsidRPr="000A2E75">
              <w:rPr>
                <w:rFonts w:ascii="Times New Roman" w:hAnsi="Times New Roman" w:cs="Times New Roman"/>
              </w:rPr>
              <w:t>1</w:t>
            </w:r>
          </w:p>
        </w:tc>
      </w:tr>
    </w:tbl>
    <w:p w14:paraId="52356A66" w14:textId="77777777" w:rsidR="00E839E1" w:rsidRPr="000A2E75" w:rsidRDefault="00E839E1" w:rsidP="00E839E1">
      <w:pPr>
        <w:spacing w:line="276" w:lineRule="auto"/>
        <w:ind w:firstLine="567"/>
        <w:jc w:val="both"/>
        <w:rPr>
          <w:rFonts w:ascii="Times New Roman" w:hAnsi="Times New Roman" w:cs="Times New Roman"/>
        </w:rPr>
      </w:pPr>
    </w:p>
    <w:p w14:paraId="663FA87D"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rPr>
        <w:t>6. sınıf fen bilimleri ve 11. sınıf biyoloji ders kitapları incelendiğinde sayfa sayısında değişiklik olduğu görülmektedir. Dolaşım sistemi konusu 6. sınıf fen bilimleri ders kitabında 8 sayfada anlatılmışken, 11.sınıf biyoloji ders kitabında 27 sayfada anlatılmıştır. Aynı zamanda bu iki kitaptaki görsel sayısında da farklılık olduğu görülmektedir. 6. sınıf fen bilimleri ders kitabında 12 tane görsel kullanılmışken, 11.sınıf biyoloji ders kitabında 30 tane görsel kullanılmıştır. Kitaplarda yer alan etkinlik sayısının her iki kitapta da eşit olduğu görülmektedir. Kitaplardaki okuma parçalarına bakıldığında 6. sınıf fen bilimleri ders kitabında 1 tane okuma parçasına yer verilmişken, 11.sınıf biyoloji ders kitabında 3 tane okuma parçasına yer verilmiştir. 2017 öğretim programındaki 6.sınıf ve 11. sınıf dolaşım sistemi ile ilgili kazanımlara bakıldığında her iki sınıf düzeyinde eşit sayıda kazanıma yer verildiği tespit edilmiştir.</w:t>
      </w:r>
    </w:p>
    <w:p w14:paraId="332FB0A8" w14:textId="35AF87B8" w:rsidR="00E839E1" w:rsidRDefault="00E839E1" w:rsidP="00E839E1">
      <w:pPr>
        <w:spacing w:line="276" w:lineRule="auto"/>
        <w:ind w:firstLine="567"/>
        <w:jc w:val="both"/>
        <w:rPr>
          <w:rFonts w:ascii="Times New Roman" w:hAnsi="Times New Roman" w:cs="Times New Roman"/>
        </w:rPr>
      </w:pPr>
    </w:p>
    <w:p w14:paraId="29F67C68" w14:textId="03802D55" w:rsidR="00E839E1" w:rsidRDefault="00E839E1" w:rsidP="00E839E1">
      <w:pPr>
        <w:spacing w:line="276" w:lineRule="auto"/>
        <w:ind w:firstLine="567"/>
        <w:jc w:val="both"/>
        <w:rPr>
          <w:rFonts w:ascii="Times New Roman" w:hAnsi="Times New Roman" w:cs="Times New Roman"/>
        </w:rPr>
      </w:pPr>
    </w:p>
    <w:p w14:paraId="6757C3E2" w14:textId="0751299F" w:rsidR="00E839E1" w:rsidRDefault="00E839E1" w:rsidP="00E839E1">
      <w:pPr>
        <w:spacing w:line="276" w:lineRule="auto"/>
        <w:ind w:firstLine="567"/>
        <w:jc w:val="both"/>
        <w:rPr>
          <w:rFonts w:ascii="Times New Roman" w:hAnsi="Times New Roman" w:cs="Times New Roman"/>
        </w:rPr>
      </w:pPr>
    </w:p>
    <w:p w14:paraId="4FB66F89" w14:textId="284B18BD" w:rsidR="00E839E1" w:rsidRDefault="00E839E1" w:rsidP="00E839E1">
      <w:pPr>
        <w:spacing w:line="276" w:lineRule="auto"/>
        <w:ind w:firstLine="567"/>
        <w:jc w:val="both"/>
        <w:rPr>
          <w:rFonts w:ascii="Times New Roman" w:hAnsi="Times New Roman" w:cs="Times New Roman"/>
        </w:rPr>
      </w:pPr>
    </w:p>
    <w:p w14:paraId="6400CA0C" w14:textId="17354A42" w:rsidR="00E839E1" w:rsidRDefault="00E839E1" w:rsidP="00E839E1">
      <w:pPr>
        <w:spacing w:line="276" w:lineRule="auto"/>
        <w:ind w:firstLine="567"/>
        <w:jc w:val="both"/>
        <w:rPr>
          <w:rFonts w:ascii="Times New Roman" w:hAnsi="Times New Roman" w:cs="Times New Roman"/>
        </w:rPr>
      </w:pPr>
    </w:p>
    <w:p w14:paraId="726E71A8" w14:textId="77777777" w:rsidR="00E839E1" w:rsidRPr="000A2E75" w:rsidRDefault="00E839E1" w:rsidP="00E839E1">
      <w:pPr>
        <w:spacing w:line="276" w:lineRule="auto"/>
        <w:ind w:firstLine="567"/>
        <w:jc w:val="both"/>
        <w:rPr>
          <w:rFonts w:ascii="Times New Roman" w:hAnsi="Times New Roman" w:cs="Times New Roman"/>
        </w:rPr>
      </w:pPr>
    </w:p>
    <w:p w14:paraId="4798F06D"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i/>
        </w:rPr>
        <w:lastRenderedPageBreak/>
        <w:t>Tablo 2.</w:t>
      </w:r>
      <w:r w:rsidRPr="000A2E75">
        <w:rPr>
          <w:rFonts w:ascii="Times New Roman" w:hAnsi="Times New Roman" w:cs="Times New Roman"/>
        </w:rPr>
        <w:t xml:space="preserve"> 6. Sınıf Fen Bilimleri Ders Kitabındaki Kavramlar ve Sayıları</w:t>
      </w:r>
    </w:p>
    <w:tbl>
      <w:tblPr>
        <w:tblW w:w="8505" w:type="dxa"/>
        <w:tblInd w:w="108"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1418"/>
        <w:gridCol w:w="567"/>
        <w:gridCol w:w="1559"/>
        <w:gridCol w:w="425"/>
        <w:gridCol w:w="2127"/>
        <w:gridCol w:w="425"/>
        <w:gridCol w:w="1559"/>
        <w:gridCol w:w="425"/>
      </w:tblGrid>
      <w:tr w:rsidR="00E839E1" w:rsidRPr="000A2E75" w14:paraId="652E1C7D" w14:textId="77777777" w:rsidTr="00E839E1">
        <w:tc>
          <w:tcPr>
            <w:tcW w:w="1418" w:type="dxa"/>
          </w:tcPr>
          <w:p w14:paraId="514C65CE" w14:textId="77777777" w:rsidR="00E839E1" w:rsidRPr="000A2E75" w:rsidRDefault="00E839E1" w:rsidP="00E839E1">
            <w:pPr>
              <w:spacing w:line="276" w:lineRule="auto"/>
              <w:jc w:val="both"/>
              <w:rPr>
                <w:rFonts w:ascii="Times New Roman" w:hAnsi="Times New Roman" w:cs="Times New Roman"/>
                <w:b/>
              </w:rPr>
            </w:pPr>
            <w:r w:rsidRPr="000A2E75">
              <w:rPr>
                <w:rFonts w:ascii="Times New Roman" w:hAnsi="Times New Roman" w:cs="Times New Roman"/>
                <w:b/>
              </w:rPr>
              <w:t xml:space="preserve">Kan        </w:t>
            </w:r>
          </w:p>
        </w:tc>
        <w:tc>
          <w:tcPr>
            <w:tcW w:w="567" w:type="dxa"/>
          </w:tcPr>
          <w:p w14:paraId="7AEA725D"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140</w:t>
            </w:r>
          </w:p>
        </w:tc>
        <w:tc>
          <w:tcPr>
            <w:tcW w:w="1559" w:type="dxa"/>
          </w:tcPr>
          <w:p w14:paraId="0F325485" w14:textId="77777777" w:rsidR="00E839E1" w:rsidRPr="000A2E75" w:rsidRDefault="00E839E1" w:rsidP="00E839E1">
            <w:pPr>
              <w:spacing w:line="276" w:lineRule="auto"/>
              <w:jc w:val="both"/>
              <w:rPr>
                <w:rFonts w:ascii="Times New Roman" w:hAnsi="Times New Roman" w:cs="Times New Roman"/>
                <w:b/>
              </w:rPr>
            </w:pPr>
            <w:r w:rsidRPr="000A2E75">
              <w:rPr>
                <w:rFonts w:ascii="Times New Roman" w:hAnsi="Times New Roman" w:cs="Times New Roman"/>
                <w:b/>
              </w:rPr>
              <w:t>Karbondioksit</w:t>
            </w:r>
          </w:p>
        </w:tc>
        <w:tc>
          <w:tcPr>
            <w:tcW w:w="425" w:type="dxa"/>
          </w:tcPr>
          <w:p w14:paraId="18E13A2D"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8</w:t>
            </w:r>
          </w:p>
        </w:tc>
        <w:tc>
          <w:tcPr>
            <w:tcW w:w="2127" w:type="dxa"/>
          </w:tcPr>
          <w:p w14:paraId="13818B3F" w14:textId="77777777" w:rsidR="00E839E1" w:rsidRPr="000A2E75" w:rsidRDefault="00E839E1" w:rsidP="00E839E1">
            <w:pPr>
              <w:spacing w:line="276" w:lineRule="auto"/>
              <w:jc w:val="both"/>
              <w:rPr>
                <w:rFonts w:ascii="Times New Roman" w:hAnsi="Times New Roman" w:cs="Times New Roman"/>
                <w:b/>
              </w:rPr>
            </w:pPr>
            <w:r w:rsidRPr="000A2E75">
              <w:rPr>
                <w:rFonts w:ascii="Times New Roman" w:hAnsi="Times New Roman" w:cs="Times New Roman"/>
                <w:b/>
              </w:rPr>
              <w:t>Küçük kan dolaşımı</w:t>
            </w:r>
          </w:p>
        </w:tc>
        <w:tc>
          <w:tcPr>
            <w:tcW w:w="425" w:type="dxa"/>
          </w:tcPr>
          <w:p w14:paraId="6BC79A85"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6</w:t>
            </w:r>
          </w:p>
        </w:tc>
        <w:tc>
          <w:tcPr>
            <w:tcW w:w="1559" w:type="dxa"/>
          </w:tcPr>
          <w:p w14:paraId="637FC7B7" w14:textId="77777777" w:rsidR="00E839E1" w:rsidRPr="000A2E75" w:rsidRDefault="00E839E1" w:rsidP="00E839E1">
            <w:pPr>
              <w:spacing w:line="276" w:lineRule="auto"/>
              <w:jc w:val="both"/>
              <w:rPr>
                <w:rFonts w:ascii="Times New Roman" w:hAnsi="Times New Roman" w:cs="Times New Roman"/>
                <w:b/>
              </w:rPr>
            </w:pPr>
            <w:r w:rsidRPr="000A2E75">
              <w:rPr>
                <w:rFonts w:ascii="Times New Roman" w:hAnsi="Times New Roman" w:cs="Times New Roman"/>
                <w:b/>
              </w:rPr>
              <w:t xml:space="preserve"> Kan doku</w:t>
            </w:r>
          </w:p>
        </w:tc>
        <w:tc>
          <w:tcPr>
            <w:tcW w:w="425" w:type="dxa"/>
          </w:tcPr>
          <w:p w14:paraId="381DAACC"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2</w:t>
            </w:r>
          </w:p>
        </w:tc>
      </w:tr>
      <w:tr w:rsidR="00E839E1" w:rsidRPr="000A2E75" w14:paraId="6896F1B5" w14:textId="77777777" w:rsidTr="00E839E1">
        <w:tc>
          <w:tcPr>
            <w:tcW w:w="1418" w:type="dxa"/>
          </w:tcPr>
          <w:p w14:paraId="3507D315" w14:textId="77777777" w:rsidR="00E839E1" w:rsidRPr="000A2E75" w:rsidRDefault="00E839E1" w:rsidP="00E839E1">
            <w:pPr>
              <w:spacing w:line="276" w:lineRule="auto"/>
              <w:jc w:val="both"/>
              <w:rPr>
                <w:rFonts w:ascii="Times New Roman" w:hAnsi="Times New Roman" w:cs="Times New Roman"/>
                <w:b/>
              </w:rPr>
            </w:pPr>
            <w:r w:rsidRPr="000A2E75">
              <w:rPr>
                <w:rFonts w:ascii="Times New Roman" w:hAnsi="Times New Roman" w:cs="Times New Roman"/>
                <w:b/>
              </w:rPr>
              <w:t>Atardamar</w:t>
            </w:r>
          </w:p>
        </w:tc>
        <w:tc>
          <w:tcPr>
            <w:tcW w:w="567" w:type="dxa"/>
          </w:tcPr>
          <w:p w14:paraId="0839A725"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15</w:t>
            </w:r>
          </w:p>
        </w:tc>
        <w:tc>
          <w:tcPr>
            <w:tcW w:w="1559" w:type="dxa"/>
          </w:tcPr>
          <w:p w14:paraId="26CDFA1B" w14:textId="77777777" w:rsidR="00E839E1" w:rsidRPr="000A2E75" w:rsidRDefault="00E839E1" w:rsidP="00E839E1">
            <w:pPr>
              <w:spacing w:line="276" w:lineRule="auto"/>
              <w:jc w:val="both"/>
              <w:rPr>
                <w:rFonts w:ascii="Times New Roman" w:hAnsi="Times New Roman" w:cs="Times New Roman"/>
                <w:b/>
              </w:rPr>
            </w:pPr>
            <w:r w:rsidRPr="000A2E75">
              <w:rPr>
                <w:rFonts w:ascii="Times New Roman" w:hAnsi="Times New Roman" w:cs="Times New Roman"/>
                <w:b/>
              </w:rPr>
              <w:t>Akyuvar</w:t>
            </w:r>
          </w:p>
        </w:tc>
        <w:tc>
          <w:tcPr>
            <w:tcW w:w="425" w:type="dxa"/>
          </w:tcPr>
          <w:p w14:paraId="4700921C"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7</w:t>
            </w:r>
          </w:p>
        </w:tc>
        <w:tc>
          <w:tcPr>
            <w:tcW w:w="2127" w:type="dxa"/>
          </w:tcPr>
          <w:p w14:paraId="7BF20DC4" w14:textId="77777777" w:rsidR="00E839E1" w:rsidRPr="000A2E75" w:rsidRDefault="00E839E1" w:rsidP="00E839E1">
            <w:pPr>
              <w:spacing w:line="276" w:lineRule="auto"/>
              <w:jc w:val="both"/>
              <w:rPr>
                <w:rFonts w:ascii="Times New Roman" w:hAnsi="Times New Roman" w:cs="Times New Roman"/>
                <w:b/>
              </w:rPr>
            </w:pPr>
            <w:r w:rsidRPr="000A2E75">
              <w:rPr>
                <w:rFonts w:ascii="Times New Roman" w:hAnsi="Times New Roman" w:cs="Times New Roman"/>
                <w:b/>
              </w:rPr>
              <w:t xml:space="preserve">Kan alışverişi  </w:t>
            </w:r>
          </w:p>
        </w:tc>
        <w:tc>
          <w:tcPr>
            <w:tcW w:w="425" w:type="dxa"/>
          </w:tcPr>
          <w:p w14:paraId="100710FE"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5</w:t>
            </w:r>
          </w:p>
        </w:tc>
        <w:tc>
          <w:tcPr>
            <w:tcW w:w="1559" w:type="dxa"/>
          </w:tcPr>
          <w:p w14:paraId="7A238C41" w14:textId="77777777" w:rsidR="00E839E1" w:rsidRPr="000A2E75" w:rsidRDefault="00E839E1" w:rsidP="00E839E1">
            <w:pPr>
              <w:spacing w:line="276" w:lineRule="auto"/>
              <w:jc w:val="both"/>
              <w:rPr>
                <w:rFonts w:ascii="Times New Roman" w:hAnsi="Times New Roman" w:cs="Times New Roman"/>
                <w:b/>
              </w:rPr>
            </w:pPr>
            <w:r w:rsidRPr="000A2E75">
              <w:rPr>
                <w:rFonts w:ascii="Times New Roman" w:hAnsi="Times New Roman" w:cs="Times New Roman"/>
                <w:b/>
              </w:rPr>
              <w:t xml:space="preserve"> Nabız</w:t>
            </w:r>
          </w:p>
        </w:tc>
        <w:tc>
          <w:tcPr>
            <w:tcW w:w="425" w:type="dxa"/>
          </w:tcPr>
          <w:p w14:paraId="40C88B5B"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2</w:t>
            </w:r>
          </w:p>
        </w:tc>
      </w:tr>
      <w:tr w:rsidR="00E839E1" w:rsidRPr="000A2E75" w14:paraId="2DE92E57" w14:textId="77777777" w:rsidTr="00E839E1">
        <w:tc>
          <w:tcPr>
            <w:tcW w:w="1418" w:type="dxa"/>
          </w:tcPr>
          <w:p w14:paraId="01C389D2" w14:textId="77777777" w:rsidR="00E839E1" w:rsidRPr="000A2E75" w:rsidRDefault="00E839E1" w:rsidP="00E839E1">
            <w:pPr>
              <w:spacing w:line="276" w:lineRule="auto"/>
              <w:jc w:val="both"/>
              <w:rPr>
                <w:rFonts w:ascii="Times New Roman" w:hAnsi="Times New Roman" w:cs="Times New Roman"/>
                <w:b/>
              </w:rPr>
            </w:pPr>
            <w:r w:rsidRPr="000A2E75">
              <w:rPr>
                <w:rFonts w:ascii="Times New Roman" w:hAnsi="Times New Roman" w:cs="Times New Roman"/>
                <w:b/>
              </w:rPr>
              <w:t xml:space="preserve">Oksijen </w:t>
            </w:r>
          </w:p>
        </w:tc>
        <w:tc>
          <w:tcPr>
            <w:tcW w:w="567" w:type="dxa"/>
          </w:tcPr>
          <w:p w14:paraId="458AE154"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12</w:t>
            </w:r>
          </w:p>
        </w:tc>
        <w:tc>
          <w:tcPr>
            <w:tcW w:w="1559" w:type="dxa"/>
          </w:tcPr>
          <w:p w14:paraId="7BF33B84" w14:textId="77777777" w:rsidR="00E839E1" w:rsidRPr="000A2E75" w:rsidRDefault="00E839E1" w:rsidP="00E839E1">
            <w:pPr>
              <w:spacing w:line="276" w:lineRule="auto"/>
              <w:jc w:val="both"/>
              <w:rPr>
                <w:rFonts w:ascii="Times New Roman" w:hAnsi="Times New Roman" w:cs="Times New Roman"/>
                <w:b/>
              </w:rPr>
            </w:pPr>
            <w:r w:rsidRPr="000A2E75">
              <w:rPr>
                <w:rFonts w:ascii="Times New Roman" w:hAnsi="Times New Roman" w:cs="Times New Roman"/>
                <w:b/>
              </w:rPr>
              <w:t>Mikrop</w:t>
            </w:r>
          </w:p>
        </w:tc>
        <w:tc>
          <w:tcPr>
            <w:tcW w:w="425" w:type="dxa"/>
          </w:tcPr>
          <w:p w14:paraId="3D3F2C4B"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7</w:t>
            </w:r>
          </w:p>
        </w:tc>
        <w:tc>
          <w:tcPr>
            <w:tcW w:w="2127" w:type="dxa"/>
          </w:tcPr>
          <w:p w14:paraId="3B92FE1B" w14:textId="77777777" w:rsidR="00E839E1" w:rsidRPr="000A2E75" w:rsidRDefault="00E839E1" w:rsidP="00E839E1">
            <w:pPr>
              <w:spacing w:line="276" w:lineRule="auto"/>
              <w:jc w:val="both"/>
              <w:rPr>
                <w:rFonts w:ascii="Times New Roman" w:hAnsi="Times New Roman" w:cs="Times New Roman"/>
                <w:b/>
              </w:rPr>
            </w:pPr>
            <w:r w:rsidRPr="000A2E75">
              <w:rPr>
                <w:rFonts w:ascii="Times New Roman" w:hAnsi="Times New Roman" w:cs="Times New Roman"/>
                <w:b/>
              </w:rPr>
              <w:t>Pıhtılaşma</w:t>
            </w:r>
          </w:p>
        </w:tc>
        <w:tc>
          <w:tcPr>
            <w:tcW w:w="425" w:type="dxa"/>
          </w:tcPr>
          <w:p w14:paraId="112B28E1"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5</w:t>
            </w:r>
          </w:p>
        </w:tc>
        <w:tc>
          <w:tcPr>
            <w:tcW w:w="1559" w:type="dxa"/>
          </w:tcPr>
          <w:p w14:paraId="3FCBF5C3" w14:textId="77777777" w:rsidR="00E839E1" w:rsidRPr="000A2E75" w:rsidRDefault="00E839E1" w:rsidP="00E839E1">
            <w:pPr>
              <w:spacing w:line="276" w:lineRule="auto"/>
              <w:jc w:val="both"/>
              <w:rPr>
                <w:rFonts w:ascii="Times New Roman" w:hAnsi="Times New Roman" w:cs="Times New Roman"/>
                <w:b/>
              </w:rPr>
            </w:pPr>
            <w:r w:rsidRPr="000A2E75">
              <w:rPr>
                <w:rFonts w:ascii="Times New Roman" w:hAnsi="Times New Roman" w:cs="Times New Roman"/>
                <w:b/>
              </w:rPr>
              <w:t xml:space="preserve"> Tansiyon</w:t>
            </w:r>
          </w:p>
        </w:tc>
        <w:tc>
          <w:tcPr>
            <w:tcW w:w="425" w:type="dxa"/>
          </w:tcPr>
          <w:p w14:paraId="0EA01242"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2</w:t>
            </w:r>
          </w:p>
        </w:tc>
      </w:tr>
      <w:tr w:rsidR="00E839E1" w:rsidRPr="000A2E75" w14:paraId="7779EC15" w14:textId="77777777" w:rsidTr="00E839E1">
        <w:tc>
          <w:tcPr>
            <w:tcW w:w="1418" w:type="dxa"/>
          </w:tcPr>
          <w:p w14:paraId="65A39A91" w14:textId="77777777" w:rsidR="00E839E1" w:rsidRPr="000A2E75" w:rsidRDefault="00E839E1" w:rsidP="00E839E1">
            <w:pPr>
              <w:spacing w:line="276" w:lineRule="auto"/>
              <w:jc w:val="both"/>
              <w:rPr>
                <w:rFonts w:ascii="Times New Roman" w:hAnsi="Times New Roman" w:cs="Times New Roman"/>
                <w:b/>
              </w:rPr>
            </w:pPr>
            <w:r w:rsidRPr="000A2E75">
              <w:rPr>
                <w:rFonts w:ascii="Times New Roman" w:hAnsi="Times New Roman" w:cs="Times New Roman"/>
                <w:b/>
              </w:rPr>
              <w:t>Toplardamar</w:t>
            </w:r>
          </w:p>
        </w:tc>
        <w:tc>
          <w:tcPr>
            <w:tcW w:w="567" w:type="dxa"/>
          </w:tcPr>
          <w:p w14:paraId="506D9A25"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11</w:t>
            </w:r>
          </w:p>
        </w:tc>
        <w:tc>
          <w:tcPr>
            <w:tcW w:w="1559" w:type="dxa"/>
          </w:tcPr>
          <w:p w14:paraId="17BF65BF" w14:textId="77777777" w:rsidR="00E839E1" w:rsidRPr="000A2E75" w:rsidRDefault="00E839E1" w:rsidP="00E839E1">
            <w:pPr>
              <w:spacing w:line="276" w:lineRule="auto"/>
              <w:jc w:val="both"/>
              <w:rPr>
                <w:rFonts w:ascii="Times New Roman" w:hAnsi="Times New Roman" w:cs="Times New Roman"/>
                <w:b/>
              </w:rPr>
            </w:pPr>
            <w:r w:rsidRPr="000A2E75">
              <w:rPr>
                <w:rFonts w:ascii="Times New Roman" w:hAnsi="Times New Roman" w:cs="Times New Roman"/>
                <w:b/>
              </w:rPr>
              <w:t>Kan grubu</w:t>
            </w:r>
          </w:p>
        </w:tc>
        <w:tc>
          <w:tcPr>
            <w:tcW w:w="425" w:type="dxa"/>
          </w:tcPr>
          <w:p w14:paraId="24AEFDDF"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7</w:t>
            </w:r>
          </w:p>
        </w:tc>
        <w:tc>
          <w:tcPr>
            <w:tcW w:w="2127" w:type="dxa"/>
          </w:tcPr>
          <w:p w14:paraId="684E114D" w14:textId="77777777" w:rsidR="00E839E1" w:rsidRPr="000A2E75" w:rsidRDefault="00E839E1" w:rsidP="00E839E1">
            <w:pPr>
              <w:spacing w:line="276" w:lineRule="auto"/>
              <w:jc w:val="both"/>
              <w:rPr>
                <w:rFonts w:ascii="Times New Roman" w:hAnsi="Times New Roman" w:cs="Times New Roman"/>
                <w:b/>
              </w:rPr>
            </w:pPr>
            <w:r w:rsidRPr="000A2E75">
              <w:rPr>
                <w:rFonts w:ascii="Times New Roman" w:hAnsi="Times New Roman" w:cs="Times New Roman"/>
                <w:b/>
              </w:rPr>
              <w:t>Kirli kan</w:t>
            </w:r>
          </w:p>
        </w:tc>
        <w:tc>
          <w:tcPr>
            <w:tcW w:w="425" w:type="dxa"/>
          </w:tcPr>
          <w:p w14:paraId="15FAA725"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4</w:t>
            </w:r>
          </w:p>
        </w:tc>
        <w:tc>
          <w:tcPr>
            <w:tcW w:w="1559" w:type="dxa"/>
          </w:tcPr>
          <w:p w14:paraId="4BEAE6B2" w14:textId="77777777" w:rsidR="00E839E1" w:rsidRPr="000A2E75" w:rsidRDefault="00E839E1" w:rsidP="00E839E1">
            <w:pPr>
              <w:spacing w:line="276" w:lineRule="auto"/>
              <w:jc w:val="both"/>
              <w:rPr>
                <w:rFonts w:ascii="Times New Roman" w:hAnsi="Times New Roman" w:cs="Times New Roman"/>
                <w:b/>
              </w:rPr>
            </w:pPr>
            <w:r w:rsidRPr="000A2E75">
              <w:rPr>
                <w:rFonts w:ascii="Times New Roman" w:hAnsi="Times New Roman" w:cs="Times New Roman"/>
                <w:b/>
              </w:rPr>
              <w:t xml:space="preserve"> Kan Nakli</w:t>
            </w:r>
          </w:p>
        </w:tc>
        <w:tc>
          <w:tcPr>
            <w:tcW w:w="425" w:type="dxa"/>
          </w:tcPr>
          <w:p w14:paraId="0DA1139B"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1</w:t>
            </w:r>
          </w:p>
        </w:tc>
      </w:tr>
      <w:tr w:rsidR="00E839E1" w:rsidRPr="000A2E75" w14:paraId="51A325D9" w14:textId="77777777" w:rsidTr="00E839E1">
        <w:tc>
          <w:tcPr>
            <w:tcW w:w="1418" w:type="dxa"/>
          </w:tcPr>
          <w:p w14:paraId="1B62EC79" w14:textId="77777777" w:rsidR="00E839E1" w:rsidRPr="000A2E75" w:rsidRDefault="00E839E1" w:rsidP="00E839E1">
            <w:pPr>
              <w:spacing w:line="276" w:lineRule="auto"/>
              <w:jc w:val="both"/>
              <w:rPr>
                <w:rFonts w:ascii="Times New Roman" w:hAnsi="Times New Roman" w:cs="Times New Roman"/>
                <w:b/>
              </w:rPr>
            </w:pPr>
            <w:r w:rsidRPr="000A2E75">
              <w:rPr>
                <w:rFonts w:ascii="Times New Roman" w:hAnsi="Times New Roman" w:cs="Times New Roman"/>
                <w:b/>
              </w:rPr>
              <w:t>Kan bağışı</w:t>
            </w:r>
          </w:p>
        </w:tc>
        <w:tc>
          <w:tcPr>
            <w:tcW w:w="567" w:type="dxa"/>
          </w:tcPr>
          <w:p w14:paraId="3D16A7C3"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10</w:t>
            </w:r>
          </w:p>
        </w:tc>
        <w:tc>
          <w:tcPr>
            <w:tcW w:w="1559" w:type="dxa"/>
          </w:tcPr>
          <w:p w14:paraId="292EBA75" w14:textId="77777777" w:rsidR="00E839E1" w:rsidRPr="000A2E75" w:rsidRDefault="00E839E1" w:rsidP="00E839E1">
            <w:pPr>
              <w:spacing w:line="276" w:lineRule="auto"/>
              <w:jc w:val="both"/>
              <w:rPr>
                <w:rFonts w:ascii="Times New Roman" w:hAnsi="Times New Roman" w:cs="Times New Roman"/>
                <w:b/>
              </w:rPr>
            </w:pPr>
            <w:r w:rsidRPr="000A2E75">
              <w:rPr>
                <w:rFonts w:ascii="Times New Roman" w:hAnsi="Times New Roman" w:cs="Times New Roman"/>
                <w:b/>
              </w:rPr>
              <w:t>Akciğer</w:t>
            </w:r>
          </w:p>
        </w:tc>
        <w:tc>
          <w:tcPr>
            <w:tcW w:w="425" w:type="dxa"/>
          </w:tcPr>
          <w:p w14:paraId="00B3F373"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6</w:t>
            </w:r>
          </w:p>
        </w:tc>
        <w:tc>
          <w:tcPr>
            <w:tcW w:w="2127" w:type="dxa"/>
          </w:tcPr>
          <w:p w14:paraId="128F2732" w14:textId="77777777" w:rsidR="00E839E1" w:rsidRPr="000A2E75" w:rsidRDefault="00E839E1" w:rsidP="00E839E1">
            <w:pPr>
              <w:spacing w:line="276" w:lineRule="auto"/>
              <w:jc w:val="both"/>
              <w:rPr>
                <w:rFonts w:ascii="Times New Roman" w:hAnsi="Times New Roman" w:cs="Times New Roman"/>
                <w:b/>
              </w:rPr>
            </w:pPr>
            <w:r w:rsidRPr="000A2E75">
              <w:rPr>
                <w:rFonts w:ascii="Times New Roman" w:hAnsi="Times New Roman" w:cs="Times New Roman"/>
                <w:b/>
              </w:rPr>
              <w:t>Kan pulcuğu</w:t>
            </w:r>
          </w:p>
        </w:tc>
        <w:tc>
          <w:tcPr>
            <w:tcW w:w="425" w:type="dxa"/>
          </w:tcPr>
          <w:p w14:paraId="18DF6749"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4</w:t>
            </w:r>
          </w:p>
        </w:tc>
        <w:tc>
          <w:tcPr>
            <w:tcW w:w="1559" w:type="dxa"/>
          </w:tcPr>
          <w:p w14:paraId="4D8A0A63" w14:textId="77777777" w:rsidR="00E839E1" w:rsidRPr="000A2E75" w:rsidRDefault="00E839E1" w:rsidP="00E839E1">
            <w:pPr>
              <w:spacing w:line="276" w:lineRule="auto"/>
              <w:jc w:val="both"/>
              <w:rPr>
                <w:rFonts w:ascii="Times New Roman" w:hAnsi="Times New Roman" w:cs="Times New Roman"/>
                <w:b/>
              </w:rPr>
            </w:pPr>
            <w:r w:rsidRPr="000A2E75">
              <w:rPr>
                <w:rFonts w:ascii="Times New Roman" w:hAnsi="Times New Roman" w:cs="Times New Roman"/>
                <w:b/>
              </w:rPr>
              <w:t xml:space="preserve"> Kök hücre</w:t>
            </w:r>
          </w:p>
        </w:tc>
        <w:tc>
          <w:tcPr>
            <w:tcW w:w="425" w:type="dxa"/>
          </w:tcPr>
          <w:p w14:paraId="43BD5643"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1</w:t>
            </w:r>
          </w:p>
        </w:tc>
      </w:tr>
      <w:tr w:rsidR="00E839E1" w:rsidRPr="000A2E75" w14:paraId="12C6F8BE" w14:textId="77777777" w:rsidTr="00E839E1">
        <w:tc>
          <w:tcPr>
            <w:tcW w:w="1418" w:type="dxa"/>
          </w:tcPr>
          <w:p w14:paraId="7AEFEA0B" w14:textId="77777777" w:rsidR="00E839E1" w:rsidRPr="000A2E75" w:rsidRDefault="00E839E1" w:rsidP="00E839E1">
            <w:pPr>
              <w:spacing w:line="276" w:lineRule="auto"/>
              <w:jc w:val="both"/>
              <w:rPr>
                <w:rFonts w:ascii="Times New Roman" w:hAnsi="Times New Roman" w:cs="Times New Roman"/>
                <w:b/>
              </w:rPr>
            </w:pPr>
            <w:r w:rsidRPr="000A2E75">
              <w:rPr>
                <w:rFonts w:ascii="Times New Roman" w:hAnsi="Times New Roman" w:cs="Times New Roman"/>
                <w:b/>
              </w:rPr>
              <w:t>Rh</w:t>
            </w:r>
          </w:p>
        </w:tc>
        <w:tc>
          <w:tcPr>
            <w:tcW w:w="567" w:type="dxa"/>
          </w:tcPr>
          <w:p w14:paraId="60F29DA2"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10</w:t>
            </w:r>
          </w:p>
        </w:tc>
        <w:tc>
          <w:tcPr>
            <w:tcW w:w="1559" w:type="dxa"/>
          </w:tcPr>
          <w:p w14:paraId="56963095" w14:textId="77777777" w:rsidR="00E839E1" w:rsidRPr="000A2E75" w:rsidRDefault="00E839E1" w:rsidP="00E839E1">
            <w:pPr>
              <w:spacing w:line="276" w:lineRule="auto"/>
              <w:jc w:val="both"/>
              <w:rPr>
                <w:rFonts w:ascii="Times New Roman" w:hAnsi="Times New Roman" w:cs="Times New Roman"/>
                <w:b/>
              </w:rPr>
            </w:pPr>
            <w:r w:rsidRPr="000A2E75">
              <w:rPr>
                <w:rFonts w:ascii="Times New Roman" w:hAnsi="Times New Roman" w:cs="Times New Roman"/>
                <w:b/>
              </w:rPr>
              <w:t>Kılcal damar</w:t>
            </w:r>
          </w:p>
        </w:tc>
        <w:tc>
          <w:tcPr>
            <w:tcW w:w="425" w:type="dxa"/>
          </w:tcPr>
          <w:p w14:paraId="5AD2B113"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6</w:t>
            </w:r>
          </w:p>
        </w:tc>
        <w:tc>
          <w:tcPr>
            <w:tcW w:w="2127" w:type="dxa"/>
          </w:tcPr>
          <w:p w14:paraId="5FE003C9" w14:textId="77777777" w:rsidR="00E839E1" w:rsidRPr="000A2E75" w:rsidRDefault="00E839E1" w:rsidP="00E839E1">
            <w:pPr>
              <w:spacing w:line="276" w:lineRule="auto"/>
              <w:jc w:val="both"/>
              <w:rPr>
                <w:rFonts w:ascii="Times New Roman" w:hAnsi="Times New Roman" w:cs="Times New Roman"/>
                <w:b/>
              </w:rPr>
            </w:pPr>
            <w:r w:rsidRPr="000A2E75">
              <w:rPr>
                <w:rFonts w:ascii="Times New Roman" w:hAnsi="Times New Roman" w:cs="Times New Roman"/>
                <w:b/>
              </w:rPr>
              <w:t>Plazma</w:t>
            </w:r>
          </w:p>
        </w:tc>
        <w:tc>
          <w:tcPr>
            <w:tcW w:w="425" w:type="dxa"/>
          </w:tcPr>
          <w:p w14:paraId="2FFE26B7"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4</w:t>
            </w:r>
          </w:p>
        </w:tc>
        <w:tc>
          <w:tcPr>
            <w:tcW w:w="1559" w:type="dxa"/>
          </w:tcPr>
          <w:p w14:paraId="441FF526" w14:textId="77777777" w:rsidR="00E839E1" w:rsidRPr="000A2E75" w:rsidRDefault="00E839E1" w:rsidP="00E839E1">
            <w:pPr>
              <w:spacing w:line="276" w:lineRule="auto"/>
              <w:jc w:val="both"/>
              <w:rPr>
                <w:rFonts w:ascii="Times New Roman" w:hAnsi="Times New Roman" w:cs="Times New Roman"/>
                <w:b/>
              </w:rPr>
            </w:pPr>
            <w:r w:rsidRPr="000A2E75">
              <w:rPr>
                <w:rFonts w:ascii="Times New Roman" w:hAnsi="Times New Roman" w:cs="Times New Roman"/>
                <w:b/>
              </w:rPr>
              <w:t xml:space="preserve"> Kapakçık</w:t>
            </w:r>
          </w:p>
        </w:tc>
        <w:tc>
          <w:tcPr>
            <w:tcW w:w="425" w:type="dxa"/>
          </w:tcPr>
          <w:p w14:paraId="190C9543"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1</w:t>
            </w:r>
          </w:p>
        </w:tc>
      </w:tr>
      <w:tr w:rsidR="00E839E1" w:rsidRPr="000A2E75" w14:paraId="25A9041D" w14:textId="77777777" w:rsidTr="00E839E1">
        <w:tc>
          <w:tcPr>
            <w:tcW w:w="1418" w:type="dxa"/>
          </w:tcPr>
          <w:p w14:paraId="76415CD9" w14:textId="77777777" w:rsidR="00E839E1" w:rsidRPr="000A2E75" w:rsidRDefault="00E839E1" w:rsidP="00E839E1">
            <w:pPr>
              <w:spacing w:line="276" w:lineRule="auto"/>
              <w:jc w:val="both"/>
              <w:rPr>
                <w:rFonts w:ascii="Times New Roman" w:hAnsi="Times New Roman" w:cs="Times New Roman"/>
                <w:b/>
              </w:rPr>
            </w:pPr>
            <w:r w:rsidRPr="000A2E75">
              <w:rPr>
                <w:rFonts w:ascii="Times New Roman" w:hAnsi="Times New Roman" w:cs="Times New Roman"/>
                <w:b/>
              </w:rPr>
              <w:t>Alyuvar</w:t>
            </w:r>
          </w:p>
        </w:tc>
        <w:tc>
          <w:tcPr>
            <w:tcW w:w="567" w:type="dxa"/>
          </w:tcPr>
          <w:p w14:paraId="4493EA24"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9</w:t>
            </w:r>
          </w:p>
        </w:tc>
        <w:tc>
          <w:tcPr>
            <w:tcW w:w="1559" w:type="dxa"/>
          </w:tcPr>
          <w:p w14:paraId="798A43E9" w14:textId="77777777" w:rsidR="00E839E1" w:rsidRPr="000A2E75" w:rsidRDefault="00E839E1" w:rsidP="00E839E1">
            <w:pPr>
              <w:spacing w:line="276" w:lineRule="auto"/>
              <w:jc w:val="both"/>
              <w:rPr>
                <w:rFonts w:ascii="Times New Roman" w:hAnsi="Times New Roman" w:cs="Times New Roman"/>
                <w:b/>
              </w:rPr>
            </w:pPr>
            <w:r w:rsidRPr="000A2E75">
              <w:rPr>
                <w:rFonts w:ascii="Times New Roman" w:hAnsi="Times New Roman" w:cs="Times New Roman"/>
                <w:b/>
              </w:rPr>
              <w:t>Temiz kan</w:t>
            </w:r>
          </w:p>
        </w:tc>
        <w:tc>
          <w:tcPr>
            <w:tcW w:w="425" w:type="dxa"/>
          </w:tcPr>
          <w:p w14:paraId="485C43DF"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6</w:t>
            </w:r>
          </w:p>
        </w:tc>
        <w:tc>
          <w:tcPr>
            <w:tcW w:w="2127" w:type="dxa"/>
          </w:tcPr>
          <w:p w14:paraId="16A4902A" w14:textId="77777777" w:rsidR="00E839E1" w:rsidRPr="000A2E75" w:rsidRDefault="00E839E1" w:rsidP="00E839E1">
            <w:pPr>
              <w:spacing w:line="276" w:lineRule="auto"/>
              <w:jc w:val="both"/>
              <w:rPr>
                <w:rFonts w:ascii="Times New Roman" w:hAnsi="Times New Roman" w:cs="Times New Roman"/>
                <w:b/>
              </w:rPr>
            </w:pPr>
            <w:r w:rsidRPr="000A2E75">
              <w:rPr>
                <w:rFonts w:ascii="Times New Roman" w:hAnsi="Times New Roman" w:cs="Times New Roman"/>
                <w:b/>
              </w:rPr>
              <w:t>Büyük kan dolaşımı</w:t>
            </w:r>
          </w:p>
        </w:tc>
        <w:tc>
          <w:tcPr>
            <w:tcW w:w="425" w:type="dxa"/>
          </w:tcPr>
          <w:p w14:paraId="423B600B"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4</w:t>
            </w:r>
          </w:p>
        </w:tc>
        <w:tc>
          <w:tcPr>
            <w:tcW w:w="1559" w:type="dxa"/>
          </w:tcPr>
          <w:p w14:paraId="7AE05617" w14:textId="77777777" w:rsidR="00E839E1" w:rsidRPr="000A2E75" w:rsidRDefault="00E839E1" w:rsidP="00E839E1">
            <w:pPr>
              <w:spacing w:line="276" w:lineRule="auto"/>
              <w:jc w:val="both"/>
              <w:rPr>
                <w:rFonts w:ascii="Times New Roman" w:hAnsi="Times New Roman" w:cs="Times New Roman"/>
                <w:b/>
              </w:rPr>
            </w:pPr>
            <w:r w:rsidRPr="000A2E75">
              <w:rPr>
                <w:rFonts w:ascii="Times New Roman" w:hAnsi="Times New Roman" w:cs="Times New Roman"/>
                <w:b/>
              </w:rPr>
              <w:t xml:space="preserve"> Çökelme </w:t>
            </w:r>
          </w:p>
        </w:tc>
        <w:tc>
          <w:tcPr>
            <w:tcW w:w="425" w:type="dxa"/>
          </w:tcPr>
          <w:p w14:paraId="0B53B73B"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1</w:t>
            </w:r>
          </w:p>
        </w:tc>
      </w:tr>
      <w:tr w:rsidR="00E839E1" w:rsidRPr="000A2E75" w14:paraId="2150640A" w14:textId="77777777" w:rsidTr="00E839E1">
        <w:tc>
          <w:tcPr>
            <w:tcW w:w="1418" w:type="dxa"/>
          </w:tcPr>
          <w:p w14:paraId="600F906B" w14:textId="77777777" w:rsidR="00E839E1" w:rsidRPr="000A2E75" w:rsidRDefault="00E839E1" w:rsidP="00E839E1">
            <w:pPr>
              <w:spacing w:line="276" w:lineRule="auto"/>
              <w:jc w:val="both"/>
              <w:rPr>
                <w:rFonts w:ascii="Times New Roman" w:hAnsi="Times New Roman" w:cs="Times New Roman"/>
                <w:b/>
              </w:rPr>
            </w:pPr>
            <w:r w:rsidRPr="000A2E75">
              <w:rPr>
                <w:rFonts w:ascii="Times New Roman" w:hAnsi="Times New Roman" w:cs="Times New Roman"/>
                <w:b/>
              </w:rPr>
              <w:t>Kalp</w:t>
            </w:r>
          </w:p>
        </w:tc>
        <w:tc>
          <w:tcPr>
            <w:tcW w:w="567" w:type="dxa"/>
          </w:tcPr>
          <w:p w14:paraId="50244870"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9</w:t>
            </w:r>
          </w:p>
        </w:tc>
        <w:tc>
          <w:tcPr>
            <w:tcW w:w="1559" w:type="dxa"/>
          </w:tcPr>
          <w:p w14:paraId="1AFBDC4A" w14:textId="77777777" w:rsidR="00E839E1" w:rsidRPr="000A2E75" w:rsidRDefault="00E839E1" w:rsidP="00E839E1">
            <w:pPr>
              <w:spacing w:line="276" w:lineRule="auto"/>
              <w:jc w:val="both"/>
              <w:rPr>
                <w:rFonts w:ascii="Times New Roman" w:hAnsi="Times New Roman" w:cs="Times New Roman"/>
                <w:b/>
              </w:rPr>
            </w:pPr>
            <w:r w:rsidRPr="000A2E75">
              <w:rPr>
                <w:rFonts w:ascii="Times New Roman" w:hAnsi="Times New Roman" w:cs="Times New Roman"/>
                <w:b/>
              </w:rPr>
              <w:t>Kızılay</w:t>
            </w:r>
          </w:p>
        </w:tc>
        <w:tc>
          <w:tcPr>
            <w:tcW w:w="425" w:type="dxa"/>
          </w:tcPr>
          <w:p w14:paraId="4B3EB010"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6</w:t>
            </w:r>
          </w:p>
        </w:tc>
        <w:tc>
          <w:tcPr>
            <w:tcW w:w="2127" w:type="dxa"/>
          </w:tcPr>
          <w:p w14:paraId="3EF543F5" w14:textId="77777777" w:rsidR="00E839E1" w:rsidRPr="000A2E75" w:rsidRDefault="00E839E1" w:rsidP="00E839E1">
            <w:pPr>
              <w:spacing w:line="276" w:lineRule="auto"/>
              <w:jc w:val="both"/>
              <w:rPr>
                <w:rFonts w:ascii="Times New Roman" w:hAnsi="Times New Roman" w:cs="Times New Roman"/>
                <w:b/>
              </w:rPr>
            </w:pPr>
            <w:r w:rsidRPr="000A2E75">
              <w:rPr>
                <w:rFonts w:ascii="Times New Roman" w:hAnsi="Times New Roman" w:cs="Times New Roman"/>
                <w:b/>
              </w:rPr>
              <w:t>Kan hücresi</w:t>
            </w:r>
          </w:p>
        </w:tc>
        <w:tc>
          <w:tcPr>
            <w:tcW w:w="425" w:type="dxa"/>
          </w:tcPr>
          <w:p w14:paraId="623CE84A"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3</w:t>
            </w:r>
          </w:p>
        </w:tc>
        <w:tc>
          <w:tcPr>
            <w:tcW w:w="1559" w:type="dxa"/>
          </w:tcPr>
          <w:p w14:paraId="55A85A5D" w14:textId="77777777" w:rsidR="00E839E1" w:rsidRPr="000A2E75" w:rsidRDefault="00E839E1" w:rsidP="00E839E1">
            <w:pPr>
              <w:spacing w:line="276" w:lineRule="auto"/>
              <w:jc w:val="both"/>
              <w:rPr>
                <w:rFonts w:ascii="Times New Roman" w:hAnsi="Times New Roman" w:cs="Times New Roman"/>
                <w:b/>
              </w:rPr>
            </w:pPr>
            <w:r w:rsidRPr="000A2E75">
              <w:rPr>
                <w:rFonts w:ascii="Times New Roman" w:hAnsi="Times New Roman" w:cs="Times New Roman"/>
                <w:b/>
              </w:rPr>
              <w:t xml:space="preserve"> İlik nakli</w:t>
            </w:r>
          </w:p>
        </w:tc>
        <w:tc>
          <w:tcPr>
            <w:tcW w:w="425" w:type="dxa"/>
          </w:tcPr>
          <w:p w14:paraId="369F88D0"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1</w:t>
            </w:r>
          </w:p>
        </w:tc>
      </w:tr>
    </w:tbl>
    <w:p w14:paraId="241A8A42" w14:textId="77777777" w:rsidR="00E839E1" w:rsidRPr="000A2E75" w:rsidRDefault="00E839E1" w:rsidP="00E839E1">
      <w:pPr>
        <w:spacing w:line="276" w:lineRule="auto"/>
        <w:ind w:firstLine="567"/>
        <w:jc w:val="both"/>
        <w:rPr>
          <w:rFonts w:ascii="Times New Roman" w:hAnsi="Times New Roman" w:cs="Times New Roman"/>
        </w:rPr>
      </w:pPr>
    </w:p>
    <w:p w14:paraId="2936C96A"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rPr>
        <w:t xml:space="preserve">6. sınıf fen bilimleri ders kitabındaki dolaşım sistemi ile ilgili kavramlar incelendiğinde toplam 32 tane kavram olduğu tespit edilmiştir. Bu kavramlar arasında </w:t>
      </w:r>
      <w:r w:rsidRPr="000A2E75">
        <w:rPr>
          <w:rFonts w:ascii="Times New Roman" w:hAnsi="Times New Roman" w:cs="Times New Roman"/>
          <w:i/>
        </w:rPr>
        <w:t>kan</w:t>
      </w:r>
      <w:r w:rsidRPr="000A2E75">
        <w:rPr>
          <w:rFonts w:ascii="Times New Roman" w:hAnsi="Times New Roman" w:cs="Times New Roman"/>
        </w:rPr>
        <w:t xml:space="preserve"> kavramının en fazla (140) geçen kavram olduğu; </w:t>
      </w:r>
      <w:r w:rsidRPr="000A2E75">
        <w:rPr>
          <w:rFonts w:ascii="Times New Roman" w:hAnsi="Times New Roman" w:cs="Times New Roman"/>
          <w:i/>
        </w:rPr>
        <w:t>kan nakli, kök hücre, kapakçık, çökelme, ilik nakli</w:t>
      </w:r>
      <w:r w:rsidRPr="000A2E75">
        <w:rPr>
          <w:rFonts w:ascii="Times New Roman" w:hAnsi="Times New Roman" w:cs="Times New Roman"/>
        </w:rPr>
        <w:t xml:space="preserve"> kavramlarının en az (1) geçtiği görülmüştür. Kitapta kan kavramından sonra sırasıyla </w:t>
      </w:r>
      <w:r w:rsidRPr="000A2E75">
        <w:rPr>
          <w:rFonts w:ascii="Times New Roman" w:hAnsi="Times New Roman" w:cs="Times New Roman"/>
          <w:i/>
        </w:rPr>
        <w:t>atardamar, oksijen, toplardamar, kan bağışı, Rh</w:t>
      </w:r>
      <w:r w:rsidRPr="000A2E75">
        <w:rPr>
          <w:rFonts w:ascii="Times New Roman" w:hAnsi="Times New Roman" w:cs="Times New Roman"/>
        </w:rPr>
        <w:t xml:space="preserve"> kavramlarının en fazla görüldüğü tespit edilmiştir.</w:t>
      </w:r>
    </w:p>
    <w:p w14:paraId="35D9AD44" w14:textId="77777777" w:rsidR="00E839E1" w:rsidRPr="000A2E75" w:rsidRDefault="00E839E1" w:rsidP="00E839E1">
      <w:pPr>
        <w:spacing w:line="276" w:lineRule="auto"/>
        <w:jc w:val="both"/>
        <w:rPr>
          <w:rFonts w:ascii="Times New Roman" w:hAnsi="Times New Roman" w:cs="Times New Roman"/>
          <w:i/>
        </w:rPr>
      </w:pPr>
    </w:p>
    <w:p w14:paraId="7AD8E7A9"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i/>
        </w:rPr>
        <w:t>Tablo 3.</w:t>
      </w:r>
      <w:r w:rsidRPr="000A2E75">
        <w:rPr>
          <w:rFonts w:ascii="Times New Roman" w:hAnsi="Times New Roman" w:cs="Times New Roman"/>
        </w:rPr>
        <w:t xml:space="preserve"> 11. Sınıf Biyoloji Ders Kitabındaki Kavramlar ve Sayıları</w:t>
      </w:r>
    </w:p>
    <w:tbl>
      <w:tblPr>
        <w:tblW w:w="8505" w:type="dxa"/>
        <w:tblInd w:w="108"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1418"/>
        <w:gridCol w:w="567"/>
        <w:gridCol w:w="1701"/>
        <w:gridCol w:w="425"/>
        <w:gridCol w:w="2126"/>
        <w:gridCol w:w="284"/>
        <w:gridCol w:w="1701"/>
        <w:gridCol w:w="283"/>
      </w:tblGrid>
      <w:tr w:rsidR="00E839E1" w:rsidRPr="000A2E75" w14:paraId="4DB652C6" w14:textId="77777777" w:rsidTr="00E839E1">
        <w:tc>
          <w:tcPr>
            <w:tcW w:w="1418" w:type="dxa"/>
          </w:tcPr>
          <w:p w14:paraId="6E3C360D"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 xml:space="preserve">Kan </w:t>
            </w:r>
          </w:p>
        </w:tc>
        <w:tc>
          <w:tcPr>
            <w:tcW w:w="567" w:type="dxa"/>
          </w:tcPr>
          <w:p w14:paraId="16F29413"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314</w:t>
            </w:r>
          </w:p>
        </w:tc>
        <w:tc>
          <w:tcPr>
            <w:tcW w:w="1701" w:type="dxa"/>
          </w:tcPr>
          <w:p w14:paraId="73276069"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Osmotik basınç</w:t>
            </w:r>
          </w:p>
        </w:tc>
        <w:tc>
          <w:tcPr>
            <w:tcW w:w="425" w:type="dxa"/>
          </w:tcPr>
          <w:p w14:paraId="48AA8F3C"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15</w:t>
            </w:r>
          </w:p>
        </w:tc>
        <w:tc>
          <w:tcPr>
            <w:tcW w:w="2126" w:type="dxa"/>
          </w:tcPr>
          <w:p w14:paraId="5245CAA3"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Küçük kan dolaşımı</w:t>
            </w:r>
          </w:p>
        </w:tc>
        <w:tc>
          <w:tcPr>
            <w:tcW w:w="284" w:type="dxa"/>
          </w:tcPr>
          <w:p w14:paraId="5A7BA0E3"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7</w:t>
            </w:r>
          </w:p>
        </w:tc>
        <w:tc>
          <w:tcPr>
            <w:tcW w:w="1701" w:type="dxa"/>
          </w:tcPr>
          <w:p w14:paraId="53D7FDDA"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 xml:space="preserve"> Sinoatriyal </w:t>
            </w:r>
          </w:p>
        </w:tc>
        <w:tc>
          <w:tcPr>
            <w:tcW w:w="283" w:type="dxa"/>
          </w:tcPr>
          <w:p w14:paraId="203288C9"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3</w:t>
            </w:r>
          </w:p>
        </w:tc>
      </w:tr>
      <w:tr w:rsidR="00E839E1" w:rsidRPr="000A2E75" w14:paraId="5EB816B8" w14:textId="77777777" w:rsidTr="00E839E1">
        <w:tc>
          <w:tcPr>
            <w:tcW w:w="1418" w:type="dxa"/>
          </w:tcPr>
          <w:p w14:paraId="669241E8"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 xml:space="preserve">Damar </w:t>
            </w:r>
          </w:p>
        </w:tc>
        <w:tc>
          <w:tcPr>
            <w:tcW w:w="567" w:type="dxa"/>
          </w:tcPr>
          <w:p w14:paraId="13F7422B"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235</w:t>
            </w:r>
          </w:p>
        </w:tc>
        <w:tc>
          <w:tcPr>
            <w:tcW w:w="1701" w:type="dxa"/>
          </w:tcPr>
          <w:p w14:paraId="0FB219C8"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Kemik iliği</w:t>
            </w:r>
          </w:p>
        </w:tc>
        <w:tc>
          <w:tcPr>
            <w:tcW w:w="425" w:type="dxa"/>
          </w:tcPr>
          <w:p w14:paraId="3E93BCF0"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15</w:t>
            </w:r>
          </w:p>
        </w:tc>
        <w:tc>
          <w:tcPr>
            <w:tcW w:w="2126" w:type="dxa"/>
          </w:tcPr>
          <w:p w14:paraId="44C40E44"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Damar tıkanıklığı</w:t>
            </w:r>
          </w:p>
        </w:tc>
        <w:tc>
          <w:tcPr>
            <w:tcW w:w="284" w:type="dxa"/>
          </w:tcPr>
          <w:p w14:paraId="306420B1"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7</w:t>
            </w:r>
          </w:p>
        </w:tc>
        <w:tc>
          <w:tcPr>
            <w:tcW w:w="1701" w:type="dxa"/>
          </w:tcPr>
          <w:p w14:paraId="0C4705EA"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 xml:space="preserve"> Kan doku </w:t>
            </w:r>
          </w:p>
        </w:tc>
        <w:tc>
          <w:tcPr>
            <w:tcW w:w="283" w:type="dxa"/>
          </w:tcPr>
          <w:p w14:paraId="1BBA8CCB"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2</w:t>
            </w:r>
          </w:p>
        </w:tc>
      </w:tr>
      <w:tr w:rsidR="00E839E1" w:rsidRPr="000A2E75" w14:paraId="7A6AF9FB" w14:textId="77777777" w:rsidTr="00E839E1">
        <w:tc>
          <w:tcPr>
            <w:tcW w:w="1418" w:type="dxa"/>
          </w:tcPr>
          <w:p w14:paraId="574C7BEA"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Kalp</w:t>
            </w:r>
          </w:p>
        </w:tc>
        <w:tc>
          <w:tcPr>
            <w:tcW w:w="567" w:type="dxa"/>
          </w:tcPr>
          <w:p w14:paraId="2C3AAF81"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71</w:t>
            </w:r>
          </w:p>
        </w:tc>
        <w:tc>
          <w:tcPr>
            <w:tcW w:w="1701" w:type="dxa"/>
          </w:tcPr>
          <w:p w14:paraId="626BA620"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Trombosit</w:t>
            </w:r>
          </w:p>
        </w:tc>
        <w:tc>
          <w:tcPr>
            <w:tcW w:w="425" w:type="dxa"/>
          </w:tcPr>
          <w:p w14:paraId="56D117A7"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15</w:t>
            </w:r>
          </w:p>
        </w:tc>
        <w:tc>
          <w:tcPr>
            <w:tcW w:w="2126" w:type="dxa"/>
          </w:tcPr>
          <w:p w14:paraId="2E854F70"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 xml:space="preserve">İmpuls </w:t>
            </w:r>
          </w:p>
        </w:tc>
        <w:tc>
          <w:tcPr>
            <w:tcW w:w="284" w:type="dxa"/>
          </w:tcPr>
          <w:p w14:paraId="4B45597F"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6</w:t>
            </w:r>
          </w:p>
        </w:tc>
        <w:tc>
          <w:tcPr>
            <w:tcW w:w="1701" w:type="dxa"/>
          </w:tcPr>
          <w:p w14:paraId="3E8746DC"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Otonom sinir</w:t>
            </w:r>
          </w:p>
        </w:tc>
        <w:tc>
          <w:tcPr>
            <w:tcW w:w="283" w:type="dxa"/>
          </w:tcPr>
          <w:p w14:paraId="66B64B13"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2</w:t>
            </w:r>
          </w:p>
        </w:tc>
      </w:tr>
      <w:tr w:rsidR="00E839E1" w:rsidRPr="000A2E75" w14:paraId="570FCB0C" w14:textId="77777777" w:rsidTr="00E839E1">
        <w:tc>
          <w:tcPr>
            <w:tcW w:w="1418" w:type="dxa"/>
          </w:tcPr>
          <w:p w14:paraId="75050977"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Atardamar</w:t>
            </w:r>
          </w:p>
        </w:tc>
        <w:tc>
          <w:tcPr>
            <w:tcW w:w="567" w:type="dxa"/>
          </w:tcPr>
          <w:p w14:paraId="5D492106"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56</w:t>
            </w:r>
          </w:p>
        </w:tc>
        <w:tc>
          <w:tcPr>
            <w:tcW w:w="1701" w:type="dxa"/>
          </w:tcPr>
          <w:p w14:paraId="5984DAB0"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 xml:space="preserve">Rh </w:t>
            </w:r>
          </w:p>
        </w:tc>
        <w:tc>
          <w:tcPr>
            <w:tcW w:w="425" w:type="dxa"/>
          </w:tcPr>
          <w:p w14:paraId="58C68746"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13</w:t>
            </w:r>
          </w:p>
        </w:tc>
        <w:tc>
          <w:tcPr>
            <w:tcW w:w="2126" w:type="dxa"/>
          </w:tcPr>
          <w:p w14:paraId="53407380"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Lenf dolaşımı</w:t>
            </w:r>
          </w:p>
        </w:tc>
        <w:tc>
          <w:tcPr>
            <w:tcW w:w="284" w:type="dxa"/>
          </w:tcPr>
          <w:p w14:paraId="6A9BE4FE"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6</w:t>
            </w:r>
          </w:p>
        </w:tc>
        <w:tc>
          <w:tcPr>
            <w:tcW w:w="1701" w:type="dxa"/>
          </w:tcPr>
          <w:p w14:paraId="79ACC8E6"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 xml:space="preserve">Çökelme </w:t>
            </w:r>
          </w:p>
        </w:tc>
        <w:tc>
          <w:tcPr>
            <w:tcW w:w="283" w:type="dxa"/>
          </w:tcPr>
          <w:p w14:paraId="74A41D95"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2</w:t>
            </w:r>
          </w:p>
        </w:tc>
      </w:tr>
      <w:tr w:rsidR="00E839E1" w:rsidRPr="000A2E75" w14:paraId="768CE0F9" w14:textId="77777777" w:rsidTr="00E839E1">
        <w:tc>
          <w:tcPr>
            <w:tcW w:w="1418" w:type="dxa"/>
          </w:tcPr>
          <w:p w14:paraId="13ED772F"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Antijen</w:t>
            </w:r>
          </w:p>
        </w:tc>
        <w:tc>
          <w:tcPr>
            <w:tcW w:w="567" w:type="dxa"/>
          </w:tcPr>
          <w:p w14:paraId="1802082A"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55</w:t>
            </w:r>
          </w:p>
        </w:tc>
        <w:tc>
          <w:tcPr>
            <w:tcW w:w="1701" w:type="dxa"/>
          </w:tcPr>
          <w:p w14:paraId="20FFEEAE"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Lenf düğümü</w:t>
            </w:r>
          </w:p>
        </w:tc>
        <w:tc>
          <w:tcPr>
            <w:tcW w:w="425" w:type="dxa"/>
          </w:tcPr>
          <w:p w14:paraId="15743E43"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11</w:t>
            </w:r>
          </w:p>
        </w:tc>
        <w:tc>
          <w:tcPr>
            <w:tcW w:w="2126" w:type="dxa"/>
          </w:tcPr>
          <w:p w14:paraId="27855AE5" w14:textId="77777777" w:rsidR="00E839E1" w:rsidRPr="000A2E75" w:rsidRDefault="00E839E1" w:rsidP="00E839E1">
            <w:pPr>
              <w:spacing w:line="276" w:lineRule="auto"/>
              <w:jc w:val="both"/>
              <w:rPr>
                <w:rFonts w:ascii="Times New Roman" w:hAnsi="Times New Roman" w:cs="Times New Roman"/>
                <w:b/>
              </w:rPr>
            </w:pPr>
            <w:r w:rsidRPr="000A2E75">
              <w:rPr>
                <w:rFonts w:ascii="Times New Roman" w:hAnsi="Times New Roman" w:cs="Times New Roman"/>
                <w:b/>
              </w:rPr>
              <w:t xml:space="preserve">Perikart </w:t>
            </w:r>
          </w:p>
        </w:tc>
        <w:tc>
          <w:tcPr>
            <w:tcW w:w="284" w:type="dxa"/>
          </w:tcPr>
          <w:p w14:paraId="41FCD2C4"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6</w:t>
            </w:r>
          </w:p>
        </w:tc>
        <w:tc>
          <w:tcPr>
            <w:tcW w:w="1701" w:type="dxa"/>
          </w:tcPr>
          <w:p w14:paraId="1B2E7F4C"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Vagus siniri</w:t>
            </w:r>
          </w:p>
        </w:tc>
        <w:tc>
          <w:tcPr>
            <w:tcW w:w="283" w:type="dxa"/>
          </w:tcPr>
          <w:p w14:paraId="61D65522"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2</w:t>
            </w:r>
          </w:p>
        </w:tc>
      </w:tr>
      <w:tr w:rsidR="00E839E1" w:rsidRPr="000A2E75" w14:paraId="6B419CBD" w14:textId="77777777" w:rsidTr="00E839E1">
        <w:tc>
          <w:tcPr>
            <w:tcW w:w="1418" w:type="dxa"/>
          </w:tcPr>
          <w:p w14:paraId="159FB8AE"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Toplardamar</w:t>
            </w:r>
          </w:p>
        </w:tc>
        <w:tc>
          <w:tcPr>
            <w:tcW w:w="567" w:type="dxa"/>
          </w:tcPr>
          <w:p w14:paraId="2B7CA761"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51</w:t>
            </w:r>
          </w:p>
        </w:tc>
        <w:tc>
          <w:tcPr>
            <w:tcW w:w="1701" w:type="dxa"/>
          </w:tcPr>
          <w:p w14:paraId="682E089B"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Kan dolaşımı</w:t>
            </w:r>
          </w:p>
        </w:tc>
        <w:tc>
          <w:tcPr>
            <w:tcW w:w="425" w:type="dxa"/>
          </w:tcPr>
          <w:p w14:paraId="490D1061"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11</w:t>
            </w:r>
          </w:p>
        </w:tc>
        <w:tc>
          <w:tcPr>
            <w:tcW w:w="2126" w:type="dxa"/>
          </w:tcPr>
          <w:p w14:paraId="153A2C90" w14:textId="77777777" w:rsidR="00E839E1" w:rsidRPr="000A2E75" w:rsidRDefault="00E839E1" w:rsidP="00E839E1">
            <w:pPr>
              <w:spacing w:line="276" w:lineRule="auto"/>
              <w:jc w:val="both"/>
              <w:rPr>
                <w:rFonts w:ascii="Times New Roman" w:hAnsi="Times New Roman" w:cs="Times New Roman"/>
                <w:b/>
              </w:rPr>
            </w:pPr>
            <w:r w:rsidRPr="000A2E75">
              <w:rPr>
                <w:rFonts w:ascii="Times New Roman" w:hAnsi="Times New Roman" w:cs="Times New Roman"/>
                <w:b/>
              </w:rPr>
              <w:t xml:space="preserve">Aşı </w:t>
            </w:r>
          </w:p>
        </w:tc>
        <w:tc>
          <w:tcPr>
            <w:tcW w:w="284" w:type="dxa"/>
          </w:tcPr>
          <w:p w14:paraId="73CC4330"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5</w:t>
            </w:r>
          </w:p>
        </w:tc>
        <w:tc>
          <w:tcPr>
            <w:tcW w:w="1701" w:type="dxa"/>
          </w:tcPr>
          <w:p w14:paraId="7E3A6F16"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Peke sarnıcı</w:t>
            </w:r>
          </w:p>
        </w:tc>
        <w:tc>
          <w:tcPr>
            <w:tcW w:w="283" w:type="dxa"/>
          </w:tcPr>
          <w:p w14:paraId="22C49981"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2</w:t>
            </w:r>
          </w:p>
        </w:tc>
      </w:tr>
      <w:tr w:rsidR="00E839E1" w:rsidRPr="000A2E75" w14:paraId="1CD1C634" w14:textId="77777777" w:rsidTr="00E839E1">
        <w:tc>
          <w:tcPr>
            <w:tcW w:w="1418" w:type="dxa"/>
          </w:tcPr>
          <w:p w14:paraId="4F26E550"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lastRenderedPageBreak/>
              <w:t xml:space="preserve">Kılcal damar </w:t>
            </w:r>
          </w:p>
        </w:tc>
        <w:tc>
          <w:tcPr>
            <w:tcW w:w="567" w:type="dxa"/>
          </w:tcPr>
          <w:p w14:paraId="22380236"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49</w:t>
            </w:r>
          </w:p>
        </w:tc>
        <w:tc>
          <w:tcPr>
            <w:tcW w:w="1701" w:type="dxa"/>
          </w:tcPr>
          <w:p w14:paraId="59B9846B"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Aort</w:t>
            </w:r>
          </w:p>
        </w:tc>
        <w:tc>
          <w:tcPr>
            <w:tcW w:w="425" w:type="dxa"/>
          </w:tcPr>
          <w:p w14:paraId="3D19DC8E"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11</w:t>
            </w:r>
          </w:p>
        </w:tc>
        <w:tc>
          <w:tcPr>
            <w:tcW w:w="2126" w:type="dxa"/>
          </w:tcPr>
          <w:p w14:paraId="242F0BB4" w14:textId="77777777" w:rsidR="00E839E1" w:rsidRPr="000A2E75" w:rsidRDefault="00E839E1" w:rsidP="00E839E1">
            <w:pPr>
              <w:spacing w:line="276" w:lineRule="auto"/>
              <w:jc w:val="both"/>
              <w:rPr>
                <w:rFonts w:ascii="Times New Roman" w:hAnsi="Times New Roman" w:cs="Times New Roman"/>
                <w:b/>
              </w:rPr>
            </w:pPr>
            <w:r w:rsidRPr="000A2E75">
              <w:rPr>
                <w:rFonts w:ascii="Times New Roman" w:hAnsi="Times New Roman" w:cs="Times New Roman"/>
                <w:b/>
              </w:rPr>
              <w:t>Purkinje lifleri</w:t>
            </w:r>
          </w:p>
        </w:tc>
        <w:tc>
          <w:tcPr>
            <w:tcW w:w="284" w:type="dxa"/>
          </w:tcPr>
          <w:p w14:paraId="3BE0C33F"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5</w:t>
            </w:r>
          </w:p>
        </w:tc>
        <w:tc>
          <w:tcPr>
            <w:tcW w:w="1701" w:type="dxa"/>
          </w:tcPr>
          <w:p w14:paraId="38AF0CF9"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 xml:space="preserve">Endokard </w:t>
            </w:r>
          </w:p>
        </w:tc>
        <w:tc>
          <w:tcPr>
            <w:tcW w:w="283" w:type="dxa"/>
          </w:tcPr>
          <w:p w14:paraId="2E917211"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2</w:t>
            </w:r>
          </w:p>
        </w:tc>
      </w:tr>
      <w:tr w:rsidR="00E839E1" w:rsidRPr="000A2E75" w14:paraId="2E527822" w14:textId="77777777" w:rsidTr="00E839E1">
        <w:tc>
          <w:tcPr>
            <w:tcW w:w="1418" w:type="dxa"/>
          </w:tcPr>
          <w:p w14:paraId="36AD6C11"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Antikor</w:t>
            </w:r>
          </w:p>
        </w:tc>
        <w:tc>
          <w:tcPr>
            <w:tcW w:w="567" w:type="dxa"/>
          </w:tcPr>
          <w:p w14:paraId="3617A457"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43</w:t>
            </w:r>
          </w:p>
        </w:tc>
        <w:tc>
          <w:tcPr>
            <w:tcW w:w="1701" w:type="dxa"/>
          </w:tcPr>
          <w:p w14:paraId="4408611E"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Kan dolaşımı</w:t>
            </w:r>
          </w:p>
        </w:tc>
        <w:tc>
          <w:tcPr>
            <w:tcW w:w="425" w:type="dxa"/>
          </w:tcPr>
          <w:p w14:paraId="108288A1"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11</w:t>
            </w:r>
          </w:p>
        </w:tc>
        <w:tc>
          <w:tcPr>
            <w:tcW w:w="2126" w:type="dxa"/>
          </w:tcPr>
          <w:p w14:paraId="7AC03BF6" w14:textId="77777777" w:rsidR="00E839E1" w:rsidRPr="000A2E75" w:rsidRDefault="00E839E1" w:rsidP="00E839E1">
            <w:pPr>
              <w:spacing w:line="276" w:lineRule="auto"/>
              <w:jc w:val="both"/>
              <w:rPr>
                <w:rFonts w:ascii="Times New Roman" w:hAnsi="Times New Roman" w:cs="Times New Roman"/>
                <w:b/>
              </w:rPr>
            </w:pPr>
            <w:r w:rsidRPr="000A2E75">
              <w:rPr>
                <w:rFonts w:ascii="Times New Roman" w:hAnsi="Times New Roman" w:cs="Times New Roman"/>
                <w:b/>
              </w:rPr>
              <w:t xml:space="preserve">Uyartı </w:t>
            </w:r>
          </w:p>
        </w:tc>
        <w:tc>
          <w:tcPr>
            <w:tcW w:w="284" w:type="dxa"/>
          </w:tcPr>
          <w:p w14:paraId="3BC94467"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5</w:t>
            </w:r>
          </w:p>
        </w:tc>
        <w:tc>
          <w:tcPr>
            <w:tcW w:w="1701" w:type="dxa"/>
          </w:tcPr>
          <w:p w14:paraId="3351FCF5"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 xml:space="preserve">Hematokrit </w:t>
            </w:r>
          </w:p>
        </w:tc>
        <w:tc>
          <w:tcPr>
            <w:tcW w:w="283" w:type="dxa"/>
          </w:tcPr>
          <w:p w14:paraId="6B621F2A"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2</w:t>
            </w:r>
          </w:p>
        </w:tc>
      </w:tr>
      <w:tr w:rsidR="00E839E1" w:rsidRPr="000A2E75" w14:paraId="6916D46B" w14:textId="77777777" w:rsidTr="00E839E1">
        <w:tc>
          <w:tcPr>
            <w:tcW w:w="1418" w:type="dxa"/>
          </w:tcPr>
          <w:p w14:paraId="2CD77D28"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Alyuvar</w:t>
            </w:r>
          </w:p>
        </w:tc>
        <w:tc>
          <w:tcPr>
            <w:tcW w:w="567" w:type="dxa"/>
          </w:tcPr>
          <w:p w14:paraId="61E921F9"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39</w:t>
            </w:r>
          </w:p>
        </w:tc>
        <w:tc>
          <w:tcPr>
            <w:tcW w:w="1701" w:type="dxa"/>
          </w:tcPr>
          <w:p w14:paraId="47C9415F"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Enfeksiyon</w:t>
            </w:r>
          </w:p>
        </w:tc>
        <w:tc>
          <w:tcPr>
            <w:tcW w:w="425" w:type="dxa"/>
          </w:tcPr>
          <w:p w14:paraId="0EDDB347"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10</w:t>
            </w:r>
          </w:p>
        </w:tc>
        <w:tc>
          <w:tcPr>
            <w:tcW w:w="2126" w:type="dxa"/>
          </w:tcPr>
          <w:p w14:paraId="6A33757F" w14:textId="77777777" w:rsidR="00E839E1" w:rsidRPr="000A2E75" w:rsidRDefault="00E839E1" w:rsidP="00E839E1">
            <w:pPr>
              <w:spacing w:line="276" w:lineRule="auto"/>
              <w:jc w:val="both"/>
              <w:rPr>
                <w:rFonts w:ascii="Times New Roman" w:hAnsi="Times New Roman" w:cs="Times New Roman"/>
                <w:b/>
              </w:rPr>
            </w:pPr>
            <w:r w:rsidRPr="000A2E75">
              <w:rPr>
                <w:rFonts w:ascii="Times New Roman" w:hAnsi="Times New Roman" w:cs="Times New Roman"/>
                <w:b/>
              </w:rPr>
              <w:t xml:space="preserve">Kangren </w:t>
            </w:r>
          </w:p>
        </w:tc>
        <w:tc>
          <w:tcPr>
            <w:tcW w:w="284" w:type="dxa"/>
          </w:tcPr>
          <w:p w14:paraId="532F66A5"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5</w:t>
            </w:r>
          </w:p>
        </w:tc>
        <w:tc>
          <w:tcPr>
            <w:tcW w:w="1701" w:type="dxa"/>
          </w:tcPr>
          <w:p w14:paraId="5C81BC27"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 xml:space="preserve">Santrifüj </w:t>
            </w:r>
          </w:p>
        </w:tc>
        <w:tc>
          <w:tcPr>
            <w:tcW w:w="283" w:type="dxa"/>
          </w:tcPr>
          <w:p w14:paraId="781C19CD"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2</w:t>
            </w:r>
          </w:p>
        </w:tc>
      </w:tr>
      <w:tr w:rsidR="00E839E1" w:rsidRPr="000A2E75" w14:paraId="6672F178" w14:textId="77777777" w:rsidTr="00E839E1">
        <w:tc>
          <w:tcPr>
            <w:tcW w:w="1418" w:type="dxa"/>
          </w:tcPr>
          <w:p w14:paraId="2BDFEBF5"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Tansiyon</w:t>
            </w:r>
          </w:p>
        </w:tc>
        <w:tc>
          <w:tcPr>
            <w:tcW w:w="567" w:type="dxa"/>
          </w:tcPr>
          <w:p w14:paraId="486BDCBC"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36</w:t>
            </w:r>
          </w:p>
        </w:tc>
        <w:tc>
          <w:tcPr>
            <w:tcW w:w="1701" w:type="dxa"/>
          </w:tcPr>
          <w:p w14:paraId="6D00041E"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İnterferon</w:t>
            </w:r>
          </w:p>
        </w:tc>
        <w:tc>
          <w:tcPr>
            <w:tcW w:w="425" w:type="dxa"/>
          </w:tcPr>
          <w:p w14:paraId="34AADB59"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10</w:t>
            </w:r>
          </w:p>
        </w:tc>
        <w:tc>
          <w:tcPr>
            <w:tcW w:w="2126" w:type="dxa"/>
          </w:tcPr>
          <w:p w14:paraId="19ADC744" w14:textId="77777777" w:rsidR="00E839E1" w:rsidRPr="000A2E75" w:rsidRDefault="00E839E1" w:rsidP="00E839E1">
            <w:pPr>
              <w:spacing w:line="276" w:lineRule="auto"/>
              <w:jc w:val="both"/>
              <w:rPr>
                <w:rFonts w:ascii="Times New Roman" w:hAnsi="Times New Roman" w:cs="Times New Roman"/>
                <w:b/>
              </w:rPr>
            </w:pPr>
            <w:r w:rsidRPr="000A2E75">
              <w:rPr>
                <w:rFonts w:ascii="Times New Roman" w:hAnsi="Times New Roman" w:cs="Times New Roman"/>
                <w:b/>
              </w:rPr>
              <w:t xml:space="preserve">Karbondioksit </w:t>
            </w:r>
          </w:p>
        </w:tc>
        <w:tc>
          <w:tcPr>
            <w:tcW w:w="284" w:type="dxa"/>
          </w:tcPr>
          <w:p w14:paraId="3AC23EB1"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5</w:t>
            </w:r>
          </w:p>
        </w:tc>
        <w:tc>
          <w:tcPr>
            <w:tcW w:w="1701" w:type="dxa"/>
          </w:tcPr>
          <w:p w14:paraId="48EBCE9D"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Kan nakli</w:t>
            </w:r>
          </w:p>
        </w:tc>
        <w:tc>
          <w:tcPr>
            <w:tcW w:w="283" w:type="dxa"/>
          </w:tcPr>
          <w:p w14:paraId="19622D5C"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2</w:t>
            </w:r>
          </w:p>
        </w:tc>
      </w:tr>
      <w:tr w:rsidR="00E839E1" w:rsidRPr="000A2E75" w14:paraId="428944EF" w14:textId="77777777" w:rsidTr="00E839E1">
        <w:tc>
          <w:tcPr>
            <w:tcW w:w="1418" w:type="dxa"/>
          </w:tcPr>
          <w:p w14:paraId="62A67AA2"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Karıncık</w:t>
            </w:r>
          </w:p>
        </w:tc>
        <w:tc>
          <w:tcPr>
            <w:tcW w:w="567" w:type="dxa"/>
          </w:tcPr>
          <w:p w14:paraId="27BB843A"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34</w:t>
            </w:r>
          </w:p>
        </w:tc>
        <w:tc>
          <w:tcPr>
            <w:tcW w:w="1701" w:type="dxa"/>
          </w:tcPr>
          <w:p w14:paraId="5FCC63B5"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Lösemi</w:t>
            </w:r>
          </w:p>
        </w:tc>
        <w:tc>
          <w:tcPr>
            <w:tcW w:w="425" w:type="dxa"/>
          </w:tcPr>
          <w:p w14:paraId="3F1A1143"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10</w:t>
            </w:r>
          </w:p>
        </w:tc>
        <w:tc>
          <w:tcPr>
            <w:tcW w:w="2126" w:type="dxa"/>
          </w:tcPr>
          <w:p w14:paraId="66151081" w14:textId="77777777" w:rsidR="00E839E1" w:rsidRPr="000A2E75" w:rsidRDefault="00E839E1" w:rsidP="00E839E1">
            <w:pPr>
              <w:spacing w:line="276" w:lineRule="auto"/>
              <w:jc w:val="both"/>
              <w:rPr>
                <w:rFonts w:ascii="Times New Roman" w:hAnsi="Times New Roman" w:cs="Times New Roman"/>
                <w:b/>
              </w:rPr>
            </w:pPr>
            <w:r w:rsidRPr="000A2E75">
              <w:rPr>
                <w:rFonts w:ascii="Times New Roman" w:hAnsi="Times New Roman" w:cs="Times New Roman"/>
                <w:b/>
              </w:rPr>
              <w:t>Büyük kan dolaşımı</w:t>
            </w:r>
          </w:p>
        </w:tc>
        <w:tc>
          <w:tcPr>
            <w:tcW w:w="284" w:type="dxa"/>
          </w:tcPr>
          <w:p w14:paraId="5127048C"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4</w:t>
            </w:r>
          </w:p>
        </w:tc>
        <w:tc>
          <w:tcPr>
            <w:tcW w:w="1701" w:type="dxa"/>
          </w:tcPr>
          <w:p w14:paraId="60E646F9"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Temiz kan</w:t>
            </w:r>
          </w:p>
        </w:tc>
        <w:tc>
          <w:tcPr>
            <w:tcW w:w="283" w:type="dxa"/>
          </w:tcPr>
          <w:p w14:paraId="7D3DAFAC"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2</w:t>
            </w:r>
          </w:p>
        </w:tc>
      </w:tr>
      <w:tr w:rsidR="00E839E1" w:rsidRPr="000A2E75" w14:paraId="5DC771CD" w14:textId="77777777" w:rsidTr="00E839E1">
        <w:tc>
          <w:tcPr>
            <w:tcW w:w="1418" w:type="dxa"/>
          </w:tcPr>
          <w:p w14:paraId="27264A96"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Bağışıklık</w:t>
            </w:r>
          </w:p>
        </w:tc>
        <w:tc>
          <w:tcPr>
            <w:tcW w:w="567" w:type="dxa"/>
          </w:tcPr>
          <w:p w14:paraId="03081418"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30</w:t>
            </w:r>
          </w:p>
        </w:tc>
        <w:tc>
          <w:tcPr>
            <w:tcW w:w="1701" w:type="dxa"/>
          </w:tcPr>
          <w:p w14:paraId="67F787A7"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Kök hücre</w:t>
            </w:r>
          </w:p>
        </w:tc>
        <w:tc>
          <w:tcPr>
            <w:tcW w:w="425" w:type="dxa"/>
          </w:tcPr>
          <w:p w14:paraId="1E1BEE95"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10</w:t>
            </w:r>
          </w:p>
        </w:tc>
        <w:tc>
          <w:tcPr>
            <w:tcW w:w="2126" w:type="dxa"/>
          </w:tcPr>
          <w:p w14:paraId="309C9D9A" w14:textId="77777777" w:rsidR="00E839E1" w:rsidRPr="000A2E75" w:rsidRDefault="00E839E1" w:rsidP="00E839E1">
            <w:pPr>
              <w:spacing w:line="276" w:lineRule="auto"/>
              <w:jc w:val="both"/>
              <w:rPr>
                <w:rFonts w:ascii="Times New Roman" w:hAnsi="Times New Roman" w:cs="Times New Roman"/>
                <w:b/>
              </w:rPr>
            </w:pPr>
            <w:r w:rsidRPr="000A2E75">
              <w:rPr>
                <w:rFonts w:ascii="Times New Roman" w:hAnsi="Times New Roman" w:cs="Times New Roman"/>
                <w:b/>
              </w:rPr>
              <w:t>Plazma proteini</w:t>
            </w:r>
          </w:p>
        </w:tc>
        <w:tc>
          <w:tcPr>
            <w:tcW w:w="284" w:type="dxa"/>
          </w:tcPr>
          <w:p w14:paraId="0356DDC3"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4</w:t>
            </w:r>
          </w:p>
        </w:tc>
        <w:tc>
          <w:tcPr>
            <w:tcW w:w="1701" w:type="dxa"/>
          </w:tcPr>
          <w:p w14:paraId="368639E3"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 xml:space="preserve">Triküsbit </w:t>
            </w:r>
          </w:p>
        </w:tc>
        <w:tc>
          <w:tcPr>
            <w:tcW w:w="283" w:type="dxa"/>
          </w:tcPr>
          <w:p w14:paraId="56678E35"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2</w:t>
            </w:r>
          </w:p>
        </w:tc>
      </w:tr>
      <w:tr w:rsidR="00E839E1" w:rsidRPr="000A2E75" w14:paraId="79DFCA25" w14:textId="77777777" w:rsidTr="00E839E1">
        <w:tc>
          <w:tcPr>
            <w:tcW w:w="1418" w:type="dxa"/>
          </w:tcPr>
          <w:p w14:paraId="4765AA8D"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Akyuvar</w:t>
            </w:r>
          </w:p>
        </w:tc>
        <w:tc>
          <w:tcPr>
            <w:tcW w:w="567" w:type="dxa"/>
          </w:tcPr>
          <w:p w14:paraId="224CBE56"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30</w:t>
            </w:r>
          </w:p>
        </w:tc>
        <w:tc>
          <w:tcPr>
            <w:tcW w:w="1701" w:type="dxa"/>
          </w:tcPr>
          <w:p w14:paraId="752EBE48"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Kalp krizi</w:t>
            </w:r>
          </w:p>
        </w:tc>
        <w:tc>
          <w:tcPr>
            <w:tcW w:w="425" w:type="dxa"/>
          </w:tcPr>
          <w:p w14:paraId="1D46D694"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10</w:t>
            </w:r>
          </w:p>
        </w:tc>
        <w:tc>
          <w:tcPr>
            <w:tcW w:w="2126" w:type="dxa"/>
          </w:tcPr>
          <w:p w14:paraId="41A2C082"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Kan pulcuğu</w:t>
            </w:r>
          </w:p>
        </w:tc>
        <w:tc>
          <w:tcPr>
            <w:tcW w:w="284" w:type="dxa"/>
          </w:tcPr>
          <w:p w14:paraId="1BC025C7"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4</w:t>
            </w:r>
          </w:p>
        </w:tc>
        <w:tc>
          <w:tcPr>
            <w:tcW w:w="1701" w:type="dxa"/>
          </w:tcPr>
          <w:p w14:paraId="35760202"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 xml:space="preserve">Biküsbit </w:t>
            </w:r>
          </w:p>
        </w:tc>
        <w:tc>
          <w:tcPr>
            <w:tcW w:w="283" w:type="dxa"/>
          </w:tcPr>
          <w:p w14:paraId="0B37E1D8"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2</w:t>
            </w:r>
          </w:p>
        </w:tc>
      </w:tr>
      <w:tr w:rsidR="00E839E1" w:rsidRPr="000A2E75" w14:paraId="2E584C56" w14:textId="77777777" w:rsidTr="00E839E1">
        <w:tc>
          <w:tcPr>
            <w:tcW w:w="1418" w:type="dxa"/>
          </w:tcPr>
          <w:p w14:paraId="195AF3DE"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Plazma</w:t>
            </w:r>
          </w:p>
        </w:tc>
        <w:tc>
          <w:tcPr>
            <w:tcW w:w="567" w:type="dxa"/>
          </w:tcPr>
          <w:p w14:paraId="514A3A07"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30</w:t>
            </w:r>
          </w:p>
        </w:tc>
        <w:tc>
          <w:tcPr>
            <w:tcW w:w="1701" w:type="dxa"/>
          </w:tcPr>
          <w:p w14:paraId="27A10918"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Lenf sıvısı</w:t>
            </w:r>
          </w:p>
        </w:tc>
        <w:tc>
          <w:tcPr>
            <w:tcW w:w="425" w:type="dxa"/>
          </w:tcPr>
          <w:p w14:paraId="67E69C6E"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9</w:t>
            </w:r>
          </w:p>
        </w:tc>
        <w:tc>
          <w:tcPr>
            <w:tcW w:w="2126" w:type="dxa"/>
          </w:tcPr>
          <w:p w14:paraId="150C2971"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 xml:space="preserve">Endotel tabaka </w:t>
            </w:r>
          </w:p>
        </w:tc>
        <w:tc>
          <w:tcPr>
            <w:tcW w:w="284" w:type="dxa"/>
          </w:tcPr>
          <w:p w14:paraId="0E9E82BC"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4</w:t>
            </w:r>
          </w:p>
        </w:tc>
        <w:tc>
          <w:tcPr>
            <w:tcW w:w="1701" w:type="dxa"/>
          </w:tcPr>
          <w:p w14:paraId="720A1FFD"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 xml:space="preserve">Atrioventriküler </w:t>
            </w:r>
          </w:p>
        </w:tc>
        <w:tc>
          <w:tcPr>
            <w:tcW w:w="283" w:type="dxa"/>
          </w:tcPr>
          <w:p w14:paraId="097A27DF"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2</w:t>
            </w:r>
          </w:p>
        </w:tc>
      </w:tr>
      <w:tr w:rsidR="00E839E1" w:rsidRPr="000A2E75" w14:paraId="28A18885" w14:textId="77777777" w:rsidTr="00E839E1">
        <w:tc>
          <w:tcPr>
            <w:tcW w:w="1418" w:type="dxa"/>
          </w:tcPr>
          <w:p w14:paraId="0C754D2C"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Akciğer</w:t>
            </w:r>
          </w:p>
        </w:tc>
        <w:tc>
          <w:tcPr>
            <w:tcW w:w="567" w:type="dxa"/>
          </w:tcPr>
          <w:p w14:paraId="0B1E40DE"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29</w:t>
            </w:r>
          </w:p>
        </w:tc>
        <w:tc>
          <w:tcPr>
            <w:tcW w:w="1701" w:type="dxa"/>
          </w:tcPr>
          <w:p w14:paraId="22AB3AC0"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Gevşeme</w:t>
            </w:r>
          </w:p>
        </w:tc>
        <w:tc>
          <w:tcPr>
            <w:tcW w:w="425" w:type="dxa"/>
          </w:tcPr>
          <w:p w14:paraId="1DF990C6"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9</w:t>
            </w:r>
          </w:p>
        </w:tc>
        <w:tc>
          <w:tcPr>
            <w:tcW w:w="2126" w:type="dxa"/>
          </w:tcPr>
          <w:p w14:paraId="0A33B82D"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 xml:space="preserve">Nabız </w:t>
            </w:r>
          </w:p>
        </w:tc>
        <w:tc>
          <w:tcPr>
            <w:tcW w:w="284" w:type="dxa"/>
          </w:tcPr>
          <w:p w14:paraId="7D2D4B52"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4</w:t>
            </w:r>
          </w:p>
        </w:tc>
        <w:tc>
          <w:tcPr>
            <w:tcW w:w="1701" w:type="dxa"/>
          </w:tcPr>
          <w:p w14:paraId="4DAF72BD"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 xml:space="preserve"> Tiroksin </w:t>
            </w:r>
          </w:p>
        </w:tc>
        <w:tc>
          <w:tcPr>
            <w:tcW w:w="283" w:type="dxa"/>
          </w:tcPr>
          <w:p w14:paraId="5ED19081"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2</w:t>
            </w:r>
          </w:p>
        </w:tc>
      </w:tr>
      <w:tr w:rsidR="00E839E1" w:rsidRPr="000A2E75" w14:paraId="051661A5" w14:textId="77777777" w:rsidTr="00E839E1">
        <w:tc>
          <w:tcPr>
            <w:tcW w:w="1418" w:type="dxa"/>
          </w:tcPr>
          <w:p w14:paraId="57FF201F"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Kulakçık</w:t>
            </w:r>
          </w:p>
        </w:tc>
        <w:tc>
          <w:tcPr>
            <w:tcW w:w="567" w:type="dxa"/>
          </w:tcPr>
          <w:p w14:paraId="71801BE0"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27</w:t>
            </w:r>
          </w:p>
        </w:tc>
        <w:tc>
          <w:tcPr>
            <w:tcW w:w="1701" w:type="dxa"/>
          </w:tcPr>
          <w:p w14:paraId="5ABA5FAD"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 xml:space="preserve">Kan grubu </w:t>
            </w:r>
          </w:p>
        </w:tc>
        <w:tc>
          <w:tcPr>
            <w:tcW w:w="425" w:type="dxa"/>
          </w:tcPr>
          <w:p w14:paraId="3AF56111"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8</w:t>
            </w:r>
          </w:p>
        </w:tc>
        <w:tc>
          <w:tcPr>
            <w:tcW w:w="2126" w:type="dxa"/>
          </w:tcPr>
          <w:p w14:paraId="72998E42"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 xml:space="preserve"> Timüs </w:t>
            </w:r>
          </w:p>
        </w:tc>
        <w:tc>
          <w:tcPr>
            <w:tcW w:w="284" w:type="dxa"/>
          </w:tcPr>
          <w:p w14:paraId="07F365F4"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4</w:t>
            </w:r>
          </w:p>
        </w:tc>
        <w:tc>
          <w:tcPr>
            <w:tcW w:w="1701" w:type="dxa"/>
          </w:tcPr>
          <w:p w14:paraId="1F9AEB61"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 xml:space="preserve"> Bradikardi </w:t>
            </w:r>
          </w:p>
        </w:tc>
        <w:tc>
          <w:tcPr>
            <w:tcW w:w="283" w:type="dxa"/>
          </w:tcPr>
          <w:p w14:paraId="1544A263"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1</w:t>
            </w:r>
          </w:p>
        </w:tc>
      </w:tr>
      <w:tr w:rsidR="00E839E1" w:rsidRPr="000A2E75" w14:paraId="1F89EBE1" w14:textId="77777777" w:rsidTr="00E839E1">
        <w:tc>
          <w:tcPr>
            <w:tcW w:w="1418" w:type="dxa"/>
          </w:tcPr>
          <w:p w14:paraId="46ACBAD4"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Oksijen</w:t>
            </w:r>
          </w:p>
        </w:tc>
        <w:tc>
          <w:tcPr>
            <w:tcW w:w="567" w:type="dxa"/>
          </w:tcPr>
          <w:p w14:paraId="6B882038"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26</w:t>
            </w:r>
          </w:p>
        </w:tc>
        <w:tc>
          <w:tcPr>
            <w:tcW w:w="1701" w:type="dxa"/>
          </w:tcPr>
          <w:p w14:paraId="6048EFF0"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Koroner damar</w:t>
            </w:r>
          </w:p>
        </w:tc>
        <w:tc>
          <w:tcPr>
            <w:tcW w:w="425" w:type="dxa"/>
          </w:tcPr>
          <w:p w14:paraId="6929C418"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8</w:t>
            </w:r>
          </w:p>
        </w:tc>
        <w:tc>
          <w:tcPr>
            <w:tcW w:w="2126" w:type="dxa"/>
          </w:tcPr>
          <w:p w14:paraId="0254BADE"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 xml:space="preserve"> Alerji </w:t>
            </w:r>
          </w:p>
        </w:tc>
        <w:tc>
          <w:tcPr>
            <w:tcW w:w="284" w:type="dxa"/>
          </w:tcPr>
          <w:p w14:paraId="07918A94"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4</w:t>
            </w:r>
          </w:p>
        </w:tc>
        <w:tc>
          <w:tcPr>
            <w:tcW w:w="1701" w:type="dxa"/>
          </w:tcPr>
          <w:p w14:paraId="757DFE85"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 xml:space="preserve"> Kan serumu </w:t>
            </w:r>
          </w:p>
        </w:tc>
        <w:tc>
          <w:tcPr>
            <w:tcW w:w="283" w:type="dxa"/>
          </w:tcPr>
          <w:p w14:paraId="7D9A3255"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1</w:t>
            </w:r>
          </w:p>
        </w:tc>
      </w:tr>
      <w:tr w:rsidR="00E839E1" w:rsidRPr="000A2E75" w14:paraId="72EBF65B" w14:textId="77777777" w:rsidTr="00E839E1">
        <w:tc>
          <w:tcPr>
            <w:tcW w:w="1418" w:type="dxa"/>
          </w:tcPr>
          <w:p w14:paraId="092ADA1A"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Lenfosit</w:t>
            </w:r>
          </w:p>
        </w:tc>
        <w:tc>
          <w:tcPr>
            <w:tcW w:w="567" w:type="dxa"/>
          </w:tcPr>
          <w:p w14:paraId="4BFDD63C"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26</w:t>
            </w:r>
          </w:p>
        </w:tc>
        <w:tc>
          <w:tcPr>
            <w:tcW w:w="1701" w:type="dxa"/>
          </w:tcPr>
          <w:p w14:paraId="64109DE0"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Serum</w:t>
            </w:r>
          </w:p>
        </w:tc>
        <w:tc>
          <w:tcPr>
            <w:tcW w:w="425" w:type="dxa"/>
          </w:tcPr>
          <w:p w14:paraId="6C8591A9"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8</w:t>
            </w:r>
          </w:p>
        </w:tc>
        <w:tc>
          <w:tcPr>
            <w:tcW w:w="2126" w:type="dxa"/>
          </w:tcPr>
          <w:p w14:paraId="5B31E0D3"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 xml:space="preserve"> Kan bağışı </w:t>
            </w:r>
          </w:p>
        </w:tc>
        <w:tc>
          <w:tcPr>
            <w:tcW w:w="284" w:type="dxa"/>
          </w:tcPr>
          <w:p w14:paraId="238AF62A"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3</w:t>
            </w:r>
          </w:p>
        </w:tc>
        <w:tc>
          <w:tcPr>
            <w:tcW w:w="1701" w:type="dxa"/>
          </w:tcPr>
          <w:p w14:paraId="2512783C"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 xml:space="preserve"> Kas lifi</w:t>
            </w:r>
          </w:p>
        </w:tc>
        <w:tc>
          <w:tcPr>
            <w:tcW w:w="283" w:type="dxa"/>
          </w:tcPr>
          <w:p w14:paraId="509B5A81"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1</w:t>
            </w:r>
          </w:p>
        </w:tc>
      </w:tr>
      <w:tr w:rsidR="00E839E1" w:rsidRPr="000A2E75" w14:paraId="61A36EE2" w14:textId="77777777" w:rsidTr="00E839E1">
        <w:tc>
          <w:tcPr>
            <w:tcW w:w="1418" w:type="dxa"/>
          </w:tcPr>
          <w:p w14:paraId="6156E5B0"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Doku sıvısı</w:t>
            </w:r>
          </w:p>
        </w:tc>
        <w:tc>
          <w:tcPr>
            <w:tcW w:w="567" w:type="dxa"/>
          </w:tcPr>
          <w:p w14:paraId="5DB668AD"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25</w:t>
            </w:r>
          </w:p>
        </w:tc>
        <w:tc>
          <w:tcPr>
            <w:tcW w:w="1701" w:type="dxa"/>
          </w:tcPr>
          <w:p w14:paraId="39DAA996"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 xml:space="preserve">Varis </w:t>
            </w:r>
          </w:p>
        </w:tc>
        <w:tc>
          <w:tcPr>
            <w:tcW w:w="425" w:type="dxa"/>
          </w:tcPr>
          <w:p w14:paraId="14A8B92F"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8</w:t>
            </w:r>
          </w:p>
        </w:tc>
        <w:tc>
          <w:tcPr>
            <w:tcW w:w="2126" w:type="dxa"/>
          </w:tcPr>
          <w:p w14:paraId="27D503D0"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 xml:space="preserve"> Aritmi </w:t>
            </w:r>
          </w:p>
        </w:tc>
        <w:tc>
          <w:tcPr>
            <w:tcW w:w="284" w:type="dxa"/>
          </w:tcPr>
          <w:p w14:paraId="31FFFDD5"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3</w:t>
            </w:r>
          </w:p>
        </w:tc>
        <w:tc>
          <w:tcPr>
            <w:tcW w:w="1701" w:type="dxa"/>
          </w:tcPr>
          <w:p w14:paraId="44B9A1DB"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 xml:space="preserve"> Taşikardi </w:t>
            </w:r>
          </w:p>
        </w:tc>
        <w:tc>
          <w:tcPr>
            <w:tcW w:w="283" w:type="dxa"/>
          </w:tcPr>
          <w:p w14:paraId="2083215B"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1</w:t>
            </w:r>
          </w:p>
        </w:tc>
      </w:tr>
      <w:tr w:rsidR="00E839E1" w:rsidRPr="000A2E75" w14:paraId="100CB3D3" w14:textId="77777777" w:rsidTr="00E839E1">
        <w:tc>
          <w:tcPr>
            <w:tcW w:w="1418" w:type="dxa"/>
          </w:tcPr>
          <w:p w14:paraId="55E1B13D"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 xml:space="preserve">Kan basıncı </w:t>
            </w:r>
          </w:p>
        </w:tc>
        <w:tc>
          <w:tcPr>
            <w:tcW w:w="567" w:type="dxa"/>
          </w:tcPr>
          <w:p w14:paraId="4E594288"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25</w:t>
            </w:r>
          </w:p>
        </w:tc>
        <w:tc>
          <w:tcPr>
            <w:tcW w:w="1701" w:type="dxa"/>
          </w:tcPr>
          <w:p w14:paraId="515A3F49"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 xml:space="preserve">Anemi </w:t>
            </w:r>
          </w:p>
        </w:tc>
        <w:tc>
          <w:tcPr>
            <w:tcW w:w="425" w:type="dxa"/>
          </w:tcPr>
          <w:p w14:paraId="0E3AB23B"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8</w:t>
            </w:r>
          </w:p>
        </w:tc>
        <w:tc>
          <w:tcPr>
            <w:tcW w:w="2126" w:type="dxa"/>
          </w:tcPr>
          <w:p w14:paraId="7CD44BAF"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 xml:space="preserve"> Adrenalin </w:t>
            </w:r>
          </w:p>
        </w:tc>
        <w:tc>
          <w:tcPr>
            <w:tcW w:w="284" w:type="dxa"/>
          </w:tcPr>
          <w:p w14:paraId="77687900"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3</w:t>
            </w:r>
          </w:p>
        </w:tc>
        <w:tc>
          <w:tcPr>
            <w:tcW w:w="1701" w:type="dxa"/>
          </w:tcPr>
          <w:p w14:paraId="7DF6DBB9"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 xml:space="preserve"> İlik nakli </w:t>
            </w:r>
          </w:p>
        </w:tc>
        <w:tc>
          <w:tcPr>
            <w:tcW w:w="283" w:type="dxa"/>
          </w:tcPr>
          <w:p w14:paraId="0258499D"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1</w:t>
            </w:r>
          </w:p>
        </w:tc>
      </w:tr>
      <w:tr w:rsidR="00E839E1" w:rsidRPr="000A2E75" w14:paraId="47CD44D1" w14:textId="77777777" w:rsidTr="00E839E1">
        <w:tc>
          <w:tcPr>
            <w:tcW w:w="1418" w:type="dxa"/>
          </w:tcPr>
          <w:p w14:paraId="525B6A70"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Kan hücresi</w:t>
            </w:r>
          </w:p>
        </w:tc>
        <w:tc>
          <w:tcPr>
            <w:tcW w:w="567" w:type="dxa"/>
          </w:tcPr>
          <w:p w14:paraId="180F31CB"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20</w:t>
            </w:r>
          </w:p>
        </w:tc>
        <w:tc>
          <w:tcPr>
            <w:tcW w:w="1701" w:type="dxa"/>
          </w:tcPr>
          <w:p w14:paraId="19F5E9D4"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Hemoglobin</w:t>
            </w:r>
          </w:p>
        </w:tc>
        <w:tc>
          <w:tcPr>
            <w:tcW w:w="425" w:type="dxa"/>
          </w:tcPr>
          <w:p w14:paraId="0A181C85"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7</w:t>
            </w:r>
          </w:p>
        </w:tc>
        <w:tc>
          <w:tcPr>
            <w:tcW w:w="2126" w:type="dxa"/>
          </w:tcPr>
          <w:p w14:paraId="5A0ADE20"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 xml:space="preserve"> Miyokart </w:t>
            </w:r>
          </w:p>
        </w:tc>
        <w:tc>
          <w:tcPr>
            <w:tcW w:w="284" w:type="dxa"/>
          </w:tcPr>
          <w:p w14:paraId="6DF85A39"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3</w:t>
            </w:r>
          </w:p>
        </w:tc>
        <w:tc>
          <w:tcPr>
            <w:tcW w:w="1701" w:type="dxa"/>
          </w:tcPr>
          <w:p w14:paraId="6BAA2C6C"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 xml:space="preserve"> İletim demeti </w:t>
            </w:r>
          </w:p>
        </w:tc>
        <w:tc>
          <w:tcPr>
            <w:tcW w:w="283" w:type="dxa"/>
          </w:tcPr>
          <w:p w14:paraId="7A7724D7"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1</w:t>
            </w:r>
          </w:p>
        </w:tc>
      </w:tr>
      <w:tr w:rsidR="00E839E1" w:rsidRPr="000A2E75" w14:paraId="52D18582" w14:textId="77777777" w:rsidTr="00E839E1">
        <w:tc>
          <w:tcPr>
            <w:tcW w:w="1418" w:type="dxa"/>
          </w:tcPr>
          <w:p w14:paraId="28D5D161"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Kasılma</w:t>
            </w:r>
          </w:p>
        </w:tc>
        <w:tc>
          <w:tcPr>
            <w:tcW w:w="567" w:type="dxa"/>
          </w:tcPr>
          <w:p w14:paraId="2DCE4CB5"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19</w:t>
            </w:r>
          </w:p>
        </w:tc>
        <w:tc>
          <w:tcPr>
            <w:tcW w:w="1701" w:type="dxa"/>
          </w:tcPr>
          <w:p w14:paraId="5E6186C1"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Ödem</w:t>
            </w:r>
          </w:p>
        </w:tc>
        <w:tc>
          <w:tcPr>
            <w:tcW w:w="425" w:type="dxa"/>
          </w:tcPr>
          <w:p w14:paraId="5E7B937F"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7</w:t>
            </w:r>
          </w:p>
        </w:tc>
        <w:tc>
          <w:tcPr>
            <w:tcW w:w="2126" w:type="dxa"/>
          </w:tcPr>
          <w:p w14:paraId="45D652DE"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 xml:space="preserve"> His demeti </w:t>
            </w:r>
          </w:p>
        </w:tc>
        <w:tc>
          <w:tcPr>
            <w:tcW w:w="284" w:type="dxa"/>
          </w:tcPr>
          <w:p w14:paraId="4A35DF6C"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3</w:t>
            </w:r>
          </w:p>
        </w:tc>
        <w:tc>
          <w:tcPr>
            <w:tcW w:w="1701" w:type="dxa"/>
          </w:tcPr>
          <w:p w14:paraId="0FC904BC"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 xml:space="preserve"> Noradrenalin </w:t>
            </w:r>
          </w:p>
        </w:tc>
        <w:tc>
          <w:tcPr>
            <w:tcW w:w="283" w:type="dxa"/>
          </w:tcPr>
          <w:p w14:paraId="2DC75340"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1</w:t>
            </w:r>
          </w:p>
        </w:tc>
      </w:tr>
      <w:tr w:rsidR="00E839E1" w:rsidRPr="000A2E75" w14:paraId="13B30160" w14:textId="77777777" w:rsidTr="00E839E1">
        <w:tc>
          <w:tcPr>
            <w:tcW w:w="1418" w:type="dxa"/>
          </w:tcPr>
          <w:p w14:paraId="4AFB9C1A"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 xml:space="preserve">Ritim </w:t>
            </w:r>
          </w:p>
        </w:tc>
        <w:tc>
          <w:tcPr>
            <w:tcW w:w="567" w:type="dxa"/>
          </w:tcPr>
          <w:p w14:paraId="31A05D0D"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19</w:t>
            </w:r>
          </w:p>
        </w:tc>
        <w:tc>
          <w:tcPr>
            <w:tcW w:w="1701" w:type="dxa"/>
          </w:tcPr>
          <w:p w14:paraId="701E79C3" w14:textId="77777777" w:rsidR="00E839E1" w:rsidRPr="000A2E75" w:rsidRDefault="00E839E1" w:rsidP="00E839E1">
            <w:pPr>
              <w:spacing w:line="276" w:lineRule="auto"/>
              <w:jc w:val="both"/>
              <w:rPr>
                <w:rFonts w:ascii="Times New Roman" w:hAnsi="Times New Roman" w:cs="Times New Roman"/>
                <w:b/>
              </w:rPr>
            </w:pPr>
            <w:r w:rsidRPr="000A2E75">
              <w:rPr>
                <w:rFonts w:ascii="Times New Roman" w:hAnsi="Times New Roman" w:cs="Times New Roman"/>
                <w:b/>
              </w:rPr>
              <w:t>Fibrin</w:t>
            </w:r>
          </w:p>
        </w:tc>
        <w:tc>
          <w:tcPr>
            <w:tcW w:w="425" w:type="dxa"/>
          </w:tcPr>
          <w:p w14:paraId="5C3216F6"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7</w:t>
            </w:r>
          </w:p>
        </w:tc>
        <w:tc>
          <w:tcPr>
            <w:tcW w:w="2126" w:type="dxa"/>
          </w:tcPr>
          <w:p w14:paraId="08A7D594"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 xml:space="preserve"> Asetilkolin </w:t>
            </w:r>
          </w:p>
        </w:tc>
        <w:tc>
          <w:tcPr>
            <w:tcW w:w="284" w:type="dxa"/>
          </w:tcPr>
          <w:p w14:paraId="29B94C0F"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3</w:t>
            </w:r>
          </w:p>
        </w:tc>
        <w:tc>
          <w:tcPr>
            <w:tcW w:w="1701" w:type="dxa"/>
          </w:tcPr>
          <w:p w14:paraId="44A7A541"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 xml:space="preserve"> Kalp üfürümü</w:t>
            </w:r>
          </w:p>
        </w:tc>
        <w:tc>
          <w:tcPr>
            <w:tcW w:w="283" w:type="dxa"/>
          </w:tcPr>
          <w:p w14:paraId="6E7B853A"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1</w:t>
            </w:r>
          </w:p>
        </w:tc>
      </w:tr>
      <w:tr w:rsidR="00E839E1" w:rsidRPr="000A2E75" w14:paraId="6617FCB0" w14:textId="77777777" w:rsidTr="00E839E1">
        <w:tc>
          <w:tcPr>
            <w:tcW w:w="1418" w:type="dxa"/>
          </w:tcPr>
          <w:p w14:paraId="55488ABA"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Pıhtılaşma</w:t>
            </w:r>
          </w:p>
        </w:tc>
        <w:tc>
          <w:tcPr>
            <w:tcW w:w="567" w:type="dxa"/>
          </w:tcPr>
          <w:p w14:paraId="5AFEED04"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16</w:t>
            </w:r>
          </w:p>
        </w:tc>
        <w:tc>
          <w:tcPr>
            <w:tcW w:w="1701" w:type="dxa"/>
          </w:tcPr>
          <w:p w14:paraId="00D79E6E"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Bağ doku</w:t>
            </w:r>
          </w:p>
        </w:tc>
        <w:tc>
          <w:tcPr>
            <w:tcW w:w="425" w:type="dxa"/>
          </w:tcPr>
          <w:p w14:paraId="6AE58B9E"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7</w:t>
            </w:r>
          </w:p>
        </w:tc>
        <w:tc>
          <w:tcPr>
            <w:tcW w:w="2126" w:type="dxa"/>
          </w:tcPr>
          <w:p w14:paraId="032A2C4E"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 xml:space="preserve"> Kirli kan </w:t>
            </w:r>
          </w:p>
        </w:tc>
        <w:tc>
          <w:tcPr>
            <w:tcW w:w="284" w:type="dxa"/>
          </w:tcPr>
          <w:p w14:paraId="03F26DC1"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3</w:t>
            </w:r>
          </w:p>
        </w:tc>
        <w:tc>
          <w:tcPr>
            <w:tcW w:w="1701" w:type="dxa"/>
          </w:tcPr>
          <w:p w14:paraId="06692830"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 xml:space="preserve"> Perikardiyal sıvı </w:t>
            </w:r>
          </w:p>
        </w:tc>
        <w:tc>
          <w:tcPr>
            <w:tcW w:w="283" w:type="dxa"/>
          </w:tcPr>
          <w:p w14:paraId="0B375DD9"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1</w:t>
            </w:r>
          </w:p>
        </w:tc>
      </w:tr>
    </w:tbl>
    <w:p w14:paraId="4145E157" w14:textId="77777777" w:rsidR="00E839E1" w:rsidRPr="000A2E75" w:rsidRDefault="00E839E1" w:rsidP="00E839E1">
      <w:pPr>
        <w:spacing w:line="276" w:lineRule="auto"/>
        <w:ind w:firstLine="567"/>
        <w:jc w:val="both"/>
        <w:rPr>
          <w:rFonts w:ascii="Times New Roman" w:hAnsi="Times New Roman" w:cs="Times New Roman"/>
        </w:rPr>
      </w:pPr>
    </w:p>
    <w:p w14:paraId="30E2A95D"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rPr>
        <w:t xml:space="preserve">11. sınıf biyoloji ders kitabındaki dolaşım sistemi ile ilgili kavramlar incelendiğinde toplam 96 tane kavram olduğu tespit edilmiştir. Bu kavramlar arasında </w:t>
      </w:r>
      <w:r w:rsidRPr="000A2E75">
        <w:rPr>
          <w:rFonts w:ascii="Times New Roman" w:hAnsi="Times New Roman" w:cs="Times New Roman"/>
          <w:i/>
        </w:rPr>
        <w:t>kan</w:t>
      </w:r>
      <w:r w:rsidRPr="000A2E75">
        <w:rPr>
          <w:rFonts w:ascii="Times New Roman" w:hAnsi="Times New Roman" w:cs="Times New Roman"/>
        </w:rPr>
        <w:t xml:space="preserve"> kavramının en fazla (314) geçen kavram olduğu; </w:t>
      </w:r>
      <w:r w:rsidRPr="000A2E75">
        <w:rPr>
          <w:rFonts w:ascii="Times New Roman" w:hAnsi="Times New Roman" w:cs="Times New Roman"/>
          <w:i/>
        </w:rPr>
        <w:t>bradikardi, kan serumu, kas lifi, taşikardi, ilik nakli, iletim demeti, noradrenalin, kalp üfürümü</w:t>
      </w:r>
      <w:r w:rsidRPr="000A2E75">
        <w:rPr>
          <w:rFonts w:ascii="Times New Roman" w:hAnsi="Times New Roman" w:cs="Times New Roman"/>
        </w:rPr>
        <w:t xml:space="preserve"> ve </w:t>
      </w:r>
      <w:r w:rsidRPr="000A2E75">
        <w:rPr>
          <w:rFonts w:ascii="Times New Roman" w:hAnsi="Times New Roman" w:cs="Times New Roman"/>
          <w:i/>
        </w:rPr>
        <w:t>perikardiyal sıvı</w:t>
      </w:r>
      <w:r w:rsidRPr="000A2E75">
        <w:rPr>
          <w:rFonts w:ascii="Times New Roman" w:hAnsi="Times New Roman" w:cs="Times New Roman"/>
        </w:rPr>
        <w:t xml:space="preserve"> kavramlarının en az (1) geçtiği görülmüştür. </w:t>
      </w:r>
      <w:r w:rsidRPr="000A2E75">
        <w:rPr>
          <w:rFonts w:ascii="Times New Roman" w:hAnsi="Times New Roman" w:cs="Times New Roman"/>
        </w:rPr>
        <w:lastRenderedPageBreak/>
        <w:t xml:space="preserve">Kitapta kan kavramından sonra en fazla geçen 5 kavramın sırasıyla </w:t>
      </w:r>
      <w:r w:rsidRPr="000A2E75">
        <w:rPr>
          <w:rFonts w:ascii="Times New Roman" w:hAnsi="Times New Roman" w:cs="Times New Roman"/>
          <w:i/>
        </w:rPr>
        <w:t>damar, kalp, atardamar, antij</w:t>
      </w:r>
      <w:r w:rsidRPr="000A2E75">
        <w:rPr>
          <w:rFonts w:ascii="Times New Roman" w:hAnsi="Times New Roman" w:cs="Times New Roman"/>
        </w:rPr>
        <w:t xml:space="preserve">en ve </w:t>
      </w:r>
      <w:r w:rsidRPr="000A2E75">
        <w:rPr>
          <w:rFonts w:ascii="Times New Roman" w:hAnsi="Times New Roman" w:cs="Times New Roman"/>
          <w:i/>
        </w:rPr>
        <w:t>toplardamar</w:t>
      </w:r>
      <w:r w:rsidRPr="000A2E75">
        <w:rPr>
          <w:rFonts w:ascii="Times New Roman" w:hAnsi="Times New Roman" w:cs="Times New Roman"/>
        </w:rPr>
        <w:t xml:space="preserve"> kavramları olduğu tespit edilmiştir.</w:t>
      </w:r>
    </w:p>
    <w:p w14:paraId="028817B3" w14:textId="77777777" w:rsidR="00E839E1" w:rsidRPr="000A2E75" w:rsidRDefault="00E839E1" w:rsidP="00E839E1">
      <w:pPr>
        <w:spacing w:line="276" w:lineRule="auto"/>
        <w:ind w:firstLine="567"/>
        <w:jc w:val="both"/>
        <w:rPr>
          <w:rFonts w:ascii="Times New Roman" w:hAnsi="Times New Roman" w:cs="Times New Roman"/>
        </w:rPr>
      </w:pPr>
    </w:p>
    <w:p w14:paraId="3A01E95F"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i/>
        </w:rPr>
        <w:t>Tablo 4.</w:t>
      </w:r>
      <w:r w:rsidRPr="000A2E75">
        <w:rPr>
          <w:rFonts w:ascii="Times New Roman" w:hAnsi="Times New Roman" w:cs="Times New Roman"/>
        </w:rPr>
        <w:t xml:space="preserve"> 6. Sınıf Fen Bilimleri Ve 11.Sınıf Biyoloji Ders Kitabındaki Ortak Kavramlar</w:t>
      </w:r>
    </w:p>
    <w:tbl>
      <w:tblPr>
        <w:tblW w:w="8505" w:type="dxa"/>
        <w:tblInd w:w="108"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1560"/>
        <w:gridCol w:w="1559"/>
        <w:gridCol w:w="2126"/>
        <w:gridCol w:w="1701"/>
        <w:gridCol w:w="1559"/>
      </w:tblGrid>
      <w:tr w:rsidR="00E839E1" w:rsidRPr="000A2E75" w14:paraId="42F1448C" w14:textId="77777777" w:rsidTr="00E839E1">
        <w:tc>
          <w:tcPr>
            <w:tcW w:w="1560" w:type="dxa"/>
          </w:tcPr>
          <w:p w14:paraId="7662B5F5"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Kan</w:t>
            </w:r>
          </w:p>
        </w:tc>
        <w:tc>
          <w:tcPr>
            <w:tcW w:w="1559" w:type="dxa"/>
          </w:tcPr>
          <w:p w14:paraId="43EB5DAF"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Karbondioksit</w:t>
            </w:r>
          </w:p>
        </w:tc>
        <w:tc>
          <w:tcPr>
            <w:tcW w:w="2126" w:type="dxa"/>
          </w:tcPr>
          <w:p w14:paraId="3775C8C8"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Küçük kan dolaşımı</w:t>
            </w:r>
          </w:p>
        </w:tc>
        <w:tc>
          <w:tcPr>
            <w:tcW w:w="1701" w:type="dxa"/>
          </w:tcPr>
          <w:p w14:paraId="3CA48210"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Kan doku</w:t>
            </w:r>
          </w:p>
        </w:tc>
        <w:tc>
          <w:tcPr>
            <w:tcW w:w="1559" w:type="dxa"/>
          </w:tcPr>
          <w:p w14:paraId="0E1E7EC0"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İlik nakli</w:t>
            </w:r>
          </w:p>
        </w:tc>
      </w:tr>
      <w:tr w:rsidR="00E839E1" w:rsidRPr="000A2E75" w14:paraId="6CA49FE0" w14:textId="77777777" w:rsidTr="00E839E1">
        <w:tc>
          <w:tcPr>
            <w:tcW w:w="1560" w:type="dxa"/>
          </w:tcPr>
          <w:p w14:paraId="3CDF7C8F"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Atardamar</w:t>
            </w:r>
          </w:p>
        </w:tc>
        <w:tc>
          <w:tcPr>
            <w:tcW w:w="1559" w:type="dxa"/>
          </w:tcPr>
          <w:p w14:paraId="64BA61A6"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Akyuvar</w:t>
            </w:r>
          </w:p>
        </w:tc>
        <w:tc>
          <w:tcPr>
            <w:tcW w:w="2126" w:type="dxa"/>
          </w:tcPr>
          <w:p w14:paraId="5D410621"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Büyük kan dolaşımı</w:t>
            </w:r>
          </w:p>
        </w:tc>
        <w:tc>
          <w:tcPr>
            <w:tcW w:w="1701" w:type="dxa"/>
          </w:tcPr>
          <w:p w14:paraId="2294FE40"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Nabız</w:t>
            </w:r>
          </w:p>
        </w:tc>
        <w:tc>
          <w:tcPr>
            <w:tcW w:w="1559" w:type="dxa"/>
          </w:tcPr>
          <w:p w14:paraId="48EAA40F"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Çökelme</w:t>
            </w:r>
          </w:p>
        </w:tc>
      </w:tr>
      <w:tr w:rsidR="00E839E1" w:rsidRPr="000A2E75" w14:paraId="49B58CA0" w14:textId="77777777" w:rsidTr="00E839E1">
        <w:tc>
          <w:tcPr>
            <w:tcW w:w="1560" w:type="dxa"/>
          </w:tcPr>
          <w:p w14:paraId="029638B5"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Oksijen</w:t>
            </w:r>
          </w:p>
        </w:tc>
        <w:tc>
          <w:tcPr>
            <w:tcW w:w="1559" w:type="dxa"/>
          </w:tcPr>
          <w:p w14:paraId="580A339F"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 xml:space="preserve">Kalp </w:t>
            </w:r>
          </w:p>
        </w:tc>
        <w:tc>
          <w:tcPr>
            <w:tcW w:w="2126" w:type="dxa"/>
          </w:tcPr>
          <w:p w14:paraId="1A6B39A0"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Pıhtılaşma</w:t>
            </w:r>
          </w:p>
        </w:tc>
        <w:tc>
          <w:tcPr>
            <w:tcW w:w="1701" w:type="dxa"/>
          </w:tcPr>
          <w:p w14:paraId="1E8E77F5"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Tansiyon</w:t>
            </w:r>
          </w:p>
        </w:tc>
        <w:tc>
          <w:tcPr>
            <w:tcW w:w="1559" w:type="dxa"/>
          </w:tcPr>
          <w:p w14:paraId="5A9CBAC2"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Kan hücresi</w:t>
            </w:r>
          </w:p>
        </w:tc>
      </w:tr>
      <w:tr w:rsidR="00E839E1" w:rsidRPr="000A2E75" w14:paraId="55C44B66" w14:textId="77777777" w:rsidTr="00E839E1">
        <w:tc>
          <w:tcPr>
            <w:tcW w:w="1560" w:type="dxa"/>
          </w:tcPr>
          <w:p w14:paraId="54E0C265"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Akciğer</w:t>
            </w:r>
          </w:p>
        </w:tc>
        <w:tc>
          <w:tcPr>
            <w:tcW w:w="1559" w:type="dxa"/>
          </w:tcPr>
          <w:p w14:paraId="4D8E8896"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Kan grubu</w:t>
            </w:r>
          </w:p>
        </w:tc>
        <w:tc>
          <w:tcPr>
            <w:tcW w:w="2126" w:type="dxa"/>
          </w:tcPr>
          <w:p w14:paraId="701AD1E8"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Kirli kan</w:t>
            </w:r>
          </w:p>
        </w:tc>
        <w:tc>
          <w:tcPr>
            <w:tcW w:w="1701" w:type="dxa"/>
          </w:tcPr>
          <w:p w14:paraId="4FF3B54E"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Kan Nakli</w:t>
            </w:r>
          </w:p>
        </w:tc>
        <w:tc>
          <w:tcPr>
            <w:tcW w:w="1559" w:type="dxa"/>
          </w:tcPr>
          <w:p w14:paraId="537F4D46"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Temiz kan</w:t>
            </w:r>
          </w:p>
        </w:tc>
      </w:tr>
      <w:tr w:rsidR="00E839E1" w:rsidRPr="000A2E75" w14:paraId="7CD0E4AF" w14:textId="77777777" w:rsidTr="00E839E1">
        <w:tc>
          <w:tcPr>
            <w:tcW w:w="1560" w:type="dxa"/>
          </w:tcPr>
          <w:p w14:paraId="668D6124"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Kan bağışı</w:t>
            </w:r>
          </w:p>
        </w:tc>
        <w:tc>
          <w:tcPr>
            <w:tcW w:w="1559" w:type="dxa"/>
          </w:tcPr>
          <w:p w14:paraId="58D4A128"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Toplardamar</w:t>
            </w:r>
          </w:p>
        </w:tc>
        <w:tc>
          <w:tcPr>
            <w:tcW w:w="2126" w:type="dxa"/>
          </w:tcPr>
          <w:p w14:paraId="703757C4"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Kan pulcuğu</w:t>
            </w:r>
          </w:p>
        </w:tc>
        <w:tc>
          <w:tcPr>
            <w:tcW w:w="1701" w:type="dxa"/>
          </w:tcPr>
          <w:p w14:paraId="162EEB0C"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Kök hücre</w:t>
            </w:r>
          </w:p>
        </w:tc>
        <w:tc>
          <w:tcPr>
            <w:tcW w:w="1559" w:type="dxa"/>
          </w:tcPr>
          <w:p w14:paraId="20FBF41E"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Alyuvar</w:t>
            </w:r>
          </w:p>
        </w:tc>
      </w:tr>
      <w:tr w:rsidR="00E839E1" w:rsidRPr="000A2E75" w14:paraId="48AE7CB2" w14:textId="77777777" w:rsidTr="00E839E1">
        <w:tc>
          <w:tcPr>
            <w:tcW w:w="1560" w:type="dxa"/>
          </w:tcPr>
          <w:p w14:paraId="74E1F9D8"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Rh</w:t>
            </w:r>
          </w:p>
        </w:tc>
        <w:tc>
          <w:tcPr>
            <w:tcW w:w="1559" w:type="dxa"/>
          </w:tcPr>
          <w:p w14:paraId="1C3ABF71"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Plazma</w:t>
            </w:r>
          </w:p>
        </w:tc>
        <w:tc>
          <w:tcPr>
            <w:tcW w:w="2126" w:type="dxa"/>
          </w:tcPr>
          <w:p w14:paraId="14CF2227"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Kılcal damar</w:t>
            </w:r>
          </w:p>
        </w:tc>
        <w:tc>
          <w:tcPr>
            <w:tcW w:w="1701" w:type="dxa"/>
          </w:tcPr>
          <w:p w14:paraId="695DEC4F" w14:textId="77777777" w:rsidR="00E839E1" w:rsidRPr="000A2E75" w:rsidRDefault="00E839E1" w:rsidP="00E839E1">
            <w:pPr>
              <w:spacing w:line="276" w:lineRule="auto"/>
              <w:jc w:val="both"/>
              <w:rPr>
                <w:rFonts w:ascii="Times New Roman" w:hAnsi="Times New Roman" w:cs="Times New Roman"/>
              </w:rPr>
            </w:pPr>
            <w:r w:rsidRPr="000A2E75">
              <w:rPr>
                <w:rFonts w:ascii="Times New Roman" w:hAnsi="Times New Roman" w:cs="Times New Roman"/>
              </w:rPr>
              <w:t>Kapakçık</w:t>
            </w:r>
          </w:p>
        </w:tc>
        <w:tc>
          <w:tcPr>
            <w:tcW w:w="1559" w:type="dxa"/>
          </w:tcPr>
          <w:p w14:paraId="533F911A" w14:textId="77777777" w:rsidR="00E839E1" w:rsidRPr="000A2E75" w:rsidRDefault="00E839E1" w:rsidP="00E839E1">
            <w:pPr>
              <w:spacing w:line="276" w:lineRule="auto"/>
              <w:jc w:val="both"/>
              <w:rPr>
                <w:rFonts w:ascii="Times New Roman" w:hAnsi="Times New Roman" w:cs="Times New Roman"/>
              </w:rPr>
            </w:pPr>
          </w:p>
        </w:tc>
      </w:tr>
    </w:tbl>
    <w:p w14:paraId="68F281DE" w14:textId="77777777" w:rsidR="00E839E1" w:rsidRPr="000A2E75" w:rsidRDefault="00E839E1" w:rsidP="00E839E1">
      <w:pPr>
        <w:spacing w:line="276" w:lineRule="auto"/>
        <w:ind w:firstLine="720"/>
        <w:jc w:val="both"/>
        <w:rPr>
          <w:rFonts w:ascii="Times New Roman" w:hAnsi="Times New Roman" w:cs="Times New Roman"/>
        </w:rPr>
      </w:pPr>
    </w:p>
    <w:p w14:paraId="3A6D0D3F"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rPr>
        <w:t>6. sınıf fen bilimleri ve 11.sınıf biyoloji ders kitabındaki ortak kavramlar incelendiğinde toplam 30 tane kavram olduğu tespit edilmiştir. Tablo 2 ve Tablo 3’teki değerlere bakıldığında her iki sınıf düzeyinde de en fazla kan kavramının geçtiği görülmüştür.</w:t>
      </w:r>
    </w:p>
    <w:p w14:paraId="04A1FD70" w14:textId="77777777" w:rsidR="00E839E1" w:rsidRPr="000A2E75" w:rsidRDefault="00E839E1" w:rsidP="00E839E1">
      <w:pPr>
        <w:spacing w:line="276" w:lineRule="auto"/>
        <w:ind w:firstLine="567"/>
        <w:jc w:val="both"/>
        <w:rPr>
          <w:rFonts w:ascii="Times New Roman" w:hAnsi="Times New Roman" w:cs="Times New Roman"/>
        </w:rPr>
      </w:pPr>
    </w:p>
    <w:p w14:paraId="5584531B" w14:textId="77777777" w:rsidR="00E839E1" w:rsidRPr="000A2E75" w:rsidRDefault="00E839E1" w:rsidP="00E839E1">
      <w:pPr>
        <w:spacing w:line="276" w:lineRule="auto"/>
        <w:ind w:firstLine="567"/>
        <w:jc w:val="both"/>
        <w:rPr>
          <w:rFonts w:ascii="Times New Roman" w:hAnsi="Times New Roman" w:cs="Times New Roman"/>
        </w:rPr>
      </w:pPr>
    </w:p>
    <w:p w14:paraId="50750D19" w14:textId="77777777" w:rsidR="00E839E1" w:rsidRPr="000A2E75" w:rsidRDefault="00E839E1" w:rsidP="00E839E1">
      <w:pPr>
        <w:spacing w:line="276" w:lineRule="auto"/>
        <w:ind w:firstLine="567"/>
        <w:jc w:val="both"/>
        <w:rPr>
          <w:rFonts w:ascii="Times New Roman" w:hAnsi="Times New Roman" w:cs="Times New Roman"/>
          <w:b/>
        </w:rPr>
      </w:pPr>
      <w:r w:rsidRPr="000A2E75">
        <w:rPr>
          <w:rFonts w:ascii="Times New Roman" w:hAnsi="Times New Roman" w:cs="Times New Roman"/>
          <w:b/>
        </w:rPr>
        <w:t>4. Öğretim Programındaki 6. Sınıf ve 11. Sınıf Dolaşım Sistemi İle İlgili Kazanımlar</w:t>
      </w:r>
    </w:p>
    <w:tbl>
      <w:tblPr>
        <w:tblStyle w:val="TabloKlavuzu"/>
        <w:tblW w:w="8505" w:type="dxa"/>
        <w:tblInd w:w="108" w:type="dxa"/>
        <w:tblLook w:val="04A0" w:firstRow="1" w:lastRow="0" w:firstColumn="1" w:lastColumn="0" w:noHBand="0" w:noVBand="1"/>
      </w:tblPr>
      <w:tblGrid>
        <w:gridCol w:w="8505"/>
      </w:tblGrid>
      <w:tr w:rsidR="00E839E1" w:rsidRPr="000A2E75" w14:paraId="6B8532D2" w14:textId="77777777" w:rsidTr="00E839E1">
        <w:tc>
          <w:tcPr>
            <w:tcW w:w="8505" w:type="dxa"/>
          </w:tcPr>
          <w:p w14:paraId="35844D34"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F.6.2.3.1. Dolaşım sistemini oluşturan yapı ve organların görevlerini model kullanarak açıklar.</w:t>
            </w:r>
          </w:p>
          <w:p w14:paraId="2F92848E" w14:textId="77777777" w:rsidR="00E839E1" w:rsidRPr="000A2E75" w:rsidRDefault="00E839E1" w:rsidP="00E839E1">
            <w:pPr>
              <w:spacing w:line="276" w:lineRule="auto"/>
              <w:ind w:left="720"/>
              <w:rPr>
                <w:rFonts w:ascii="Times New Roman" w:hAnsi="Times New Roman" w:cs="Times New Roman"/>
                <w:i/>
                <w:iCs/>
              </w:rPr>
            </w:pPr>
            <w:r w:rsidRPr="000A2E75">
              <w:rPr>
                <w:rFonts w:ascii="Times New Roman" w:hAnsi="Times New Roman" w:cs="Times New Roman"/>
                <w:i/>
                <w:iCs/>
              </w:rPr>
              <w:t>a. Kalbin dört odacığı, kalbi oluşturan yapılar ve isimleri verilmeden belirtilir.</w:t>
            </w:r>
          </w:p>
          <w:p w14:paraId="22F40C10" w14:textId="77777777" w:rsidR="00E839E1" w:rsidRPr="000A2E75" w:rsidRDefault="00E839E1" w:rsidP="00E839E1">
            <w:pPr>
              <w:spacing w:line="276" w:lineRule="auto"/>
              <w:ind w:left="720"/>
              <w:rPr>
                <w:rFonts w:ascii="Times New Roman" w:hAnsi="Times New Roman" w:cs="Times New Roman"/>
                <w:i/>
                <w:iCs/>
              </w:rPr>
            </w:pPr>
            <w:r w:rsidRPr="000A2E75">
              <w:rPr>
                <w:rFonts w:ascii="Times New Roman" w:hAnsi="Times New Roman" w:cs="Times New Roman"/>
                <w:i/>
                <w:iCs/>
              </w:rPr>
              <w:t>b. Kalbi oluşturan yapıların ve kapakçıkların isimlerine yer verilmez.</w:t>
            </w:r>
          </w:p>
          <w:p w14:paraId="077F7870" w14:textId="77777777" w:rsidR="00E839E1" w:rsidRPr="000A2E75" w:rsidRDefault="00E839E1" w:rsidP="00E839E1">
            <w:pPr>
              <w:spacing w:line="276" w:lineRule="auto"/>
              <w:ind w:left="720"/>
              <w:rPr>
                <w:rFonts w:ascii="Times New Roman" w:hAnsi="Times New Roman" w:cs="Times New Roman"/>
                <w:i/>
                <w:iCs/>
              </w:rPr>
            </w:pPr>
            <w:r w:rsidRPr="000A2E75">
              <w:rPr>
                <w:rFonts w:ascii="Times New Roman" w:hAnsi="Times New Roman" w:cs="Times New Roman"/>
                <w:i/>
                <w:iCs/>
              </w:rPr>
              <w:t>c. Kalbin çalışma mekanizmasına değinilmez.</w:t>
            </w:r>
          </w:p>
          <w:p w14:paraId="403C2420" w14:textId="77777777" w:rsidR="00E839E1" w:rsidRPr="000A2E75" w:rsidRDefault="00E839E1" w:rsidP="00E839E1">
            <w:pPr>
              <w:spacing w:line="276" w:lineRule="auto"/>
              <w:ind w:left="720"/>
              <w:rPr>
                <w:rFonts w:ascii="Times New Roman" w:hAnsi="Times New Roman" w:cs="Times New Roman"/>
                <w:i/>
                <w:iCs/>
              </w:rPr>
            </w:pPr>
            <w:r w:rsidRPr="000A2E75">
              <w:rPr>
                <w:rFonts w:ascii="Times New Roman" w:hAnsi="Times New Roman" w:cs="Times New Roman"/>
                <w:i/>
                <w:iCs/>
              </w:rPr>
              <w:t>ç. Nabız ve tansiyona değinilir.</w:t>
            </w:r>
          </w:p>
          <w:p w14:paraId="5E42A562" w14:textId="77777777" w:rsidR="00E839E1" w:rsidRPr="000A2E75" w:rsidRDefault="00E839E1" w:rsidP="00E839E1">
            <w:pPr>
              <w:spacing w:line="276" w:lineRule="auto"/>
              <w:ind w:left="720"/>
              <w:rPr>
                <w:rFonts w:ascii="Times New Roman" w:hAnsi="Times New Roman" w:cs="Times New Roman"/>
                <w:i/>
                <w:iCs/>
              </w:rPr>
            </w:pPr>
            <w:r w:rsidRPr="000A2E75">
              <w:rPr>
                <w:rFonts w:ascii="Times New Roman" w:hAnsi="Times New Roman" w:cs="Times New Roman"/>
                <w:i/>
                <w:iCs/>
              </w:rPr>
              <w:t>d. Lenf dolaşımına değinilmez.</w:t>
            </w:r>
          </w:p>
          <w:p w14:paraId="3DCF7E90"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F.6.2.3.2. Büyük ve küçük kan dolaşımını şema üzerinde inceleyerek bunların görevlerini açıklar.</w:t>
            </w:r>
          </w:p>
          <w:p w14:paraId="5C372B9C" w14:textId="77777777" w:rsidR="00E839E1" w:rsidRPr="000A2E75" w:rsidRDefault="00E839E1" w:rsidP="00E839E1">
            <w:pPr>
              <w:spacing w:line="276" w:lineRule="auto"/>
              <w:ind w:left="720"/>
              <w:rPr>
                <w:rFonts w:ascii="Times New Roman" w:hAnsi="Times New Roman" w:cs="Times New Roman"/>
                <w:i/>
                <w:iCs/>
              </w:rPr>
            </w:pPr>
            <w:r w:rsidRPr="000A2E75">
              <w:rPr>
                <w:rFonts w:ascii="Times New Roman" w:hAnsi="Times New Roman" w:cs="Times New Roman"/>
                <w:i/>
                <w:iCs/>
              </w:rPr>
              <w:t>Atardamar, toplardamar ve kılcal damarların ayrıntılı yapısına girilmeden görevleri belirtilir.</w:t>
            </w:r>
          </w:p>
          <w:p w14:paraId="4B90DC95"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F.6.2.3.3. Kanın yapısını ve görevlerini tanımlar.</w:t>
            </w:r>
          </w:p>
          <w:p w14:paraId="0F6B22F6" w14:textId="77777777" w:rsidR="00E839E1" w:rsidRPr="000A2E75" w:rsidRDefault="00E839E1" w:rsidP="00E839E1">
            <w:pPr>
              <w:spacing w:line="276" w:lineRule="auto"/>
              <w:ind w:left="720"/>
              <w:rPr>
                <w:rFonts w:ascii="Times New Roman" w:hAnsi="Times New Roman" w:cs="Times New Roman"/>
                <w:i/>
                <w:iCs/>
              </w:rPr>
            </w:pPr>
            <w:r w:rsidRPr="000A2E75">
              <w:rPr>
                <w:rFonts w:ascii="Times New Roman" w:hAnsi="Times New Roman" w:cs="Times New Roman"/>
                <w:i/>
                <w:iCs/>
              </w:rPr>
              <w:t>a. Kan hücrelerinin yapısı verilmeden sadece görevleri açıklanır.</w:t>
            </w:r>
          </w:p>
          <w:p w14:paraId="1C290140" w14:textId="77777777" w:rsidR="00E839E1" w:rsidRPr="000A2E75" w:rsidRDefault="00E839E1" w:rsidP="00E839E1">
            <w:pPr>
              <w:spacing w:line="276" w:lineRule="auto"/>
              <w:ind w:left="720"/>
              <w:rPr>
                <w:rFonts w:ascii="Times New Roman" w:hAnsi="Times New Roman" w:cs="Times New Roman"/>
                <w:i/>
                <w:iCs/>
              </w:rPr>
            </w:pPr>
            <w:r w:rsidRPr="000A2E75">
              <w:rPr>
                <w:rFonts w:ascii="Times New Roman" w:hAnsi="Times New Roman" w:cs="Times New Roman"/>
                <w:i/>
                <w:iCs/>
              </w:rPr>
              <w:t>b. Alyuvarlarda hemoglobin ile gaz alışverişine değinilmez.</w:t>
            </w:r>
          </w:p>
          <w:p w14:paraId="6C21AB78"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t>F.6.2.3.4. Kan grupları arasındaki kan alışverişini ifade eder.</w:t>
            </w:r>
          </w:p>
          <w:p w14:paraId="62BC15C6" w14:textId="77777777" w:rsidR="00E839E1" w:rsidRPr="000A2E75" w:rsidRDefault="00E839E1" w:rsidP="00E839E1">
            <w:pPr>
              <w:spacing w:line="276" w:lineRule="auto"/>
              <w:ind w:left="720"/>
              <w:rPr>
                <w:rFonts w:ascii="Times New Roman" w:hAnsi="Times New Roman" w:cs="Times New Roman"/>
                <w:i/>
                <w:iCs/>
              </w:rPr>
            </w:pPr>
            <w:r w:rsidRPr="000A2E75">
              <w:rPr>
                <w:rFonts w:ascii="Times New Roman" w:hAnsi="Times New Roman" w:cs="Times New Roman"/>
                <w:i/>
                <w:iCs/>
              </w:rPr>
              <w:t>a. Kan gruplarında moleküler temellere girilmez.</w:t>
            </w:r>
          </w:p>
          <w:p w14:paraId="649C3E72" w14:textId="77777777" w:rsidR="00E839E1" w:rsidRPr="000A2E75" w:rsidRDefault="00E839E1" w:rsidP="00E839E1">
            <w:pPr>
              <w:spacing w:line="276" w:lineRule="auto"/>
              <w:ind w:left="720"/>
              <w:rPr>
                <w:rFonts w:ascii="Times New Roman" w:hAnsi="Times New Roman" w:cs="Times New Roman"/>
                <w:i/>
                <w:iCs/>
              </w:rPr>
            </w:pPr>
            <w:r w:rsidRPr="000A2E75">
              <w:rPr>
                <w:rFonts w:ascii="Times New Roman" w:hAnsi="Times New Roman" w:cs="Times New Roman"/>
                <w:i/>
                <w:iCs/>
              </w:rPr>
              <w:t>b. Kan alışverişinin, uygulamalarda aynı gruplar arasında yapılması esas alındığından “genel alıcı” ve “genel verici” ifadeleri kullanılmaz.</w:t>
            </w:r>
          </w:p>
          <w:p w14:paraId="59147C5F" w14:textId="77777777" w:rsidR="00E839E1" w:rsidRPr="000A2E75" w:rsidRDefault="00E839E1" w:rsidP="00E839E1">
            <w:pPr>
              <w:spacing w:line="276" w:lineRule="auto"/>
              <w:ind w:left="720"/>
              <w:rPr>
                <w:rFonts w:ascii="Times New Roman" w:hAnsi="Times New Roman" w:cs="Times New Roman"/>
                <w:i/>
                <w:iCs/>
              </w:rPr>
            </w:pPr>
            <w:r w:rsidRPr="000A2E75">
              <w:rPr>
                <w:rFonts w:ascii="Times New Roman" w:hAnsi="Times New Roman" w:cs="Times New Roman"/>
                <w:i/>
                <w:iCs/>
              </w:rPr>
              <w:t>c. Rh faktörüne kısaca değinilir ancak kan uyuşmazlığına girilmez.</w:t>
            </w:r>
          </w:p>
          <w:p w14:paraId="01F42401" w14:textId="77777777" w:rsidR="00E839E1" w:rsidRPr="000A2E75" w:rsidRDefault="00E839E1" w:rsidP="00E839E1">
            <w:pPr>
              <w:spacing w:line="276" w:lineRule="auto"/>
              <w:rPr>
                <w:rFonts w:ascii="Times New Roman" w:hAnsi="Times New Roman" w:cs="Times New Roman"/>
                <w:b/>
              </w:rPr>
            </w:pPr>
            <w:r w:rsidRPr="000A2E75">
              <w:rPr>
                <w:rFonts w:ascii="Times New Roman" w:hAnsi="Times New Roman" w:cs="Times New Roman"/>
                <w:b/>
              </w:rPr>
              <w:lastRenderedPageBreak/>
              <w:t>F.6.2.3.5. Kan bağışının toplum açısından önemini değerlendirir.</w:t>
            </w:r>
          </w:p>
          <w:p w14:paraId="0E15E586" w14:textId="77777777" w:rsidR="00E839E1" w:rsidRPr="000A2E75" w:rsidRDefault="00E839E1" w:rsidP="00E839E1">
            <w:pPr>
              <w:spacing w:line="276" w:lineRule="auto"/>
              <w:ind w:left="720"/>
              <w:rPr>
                <w:rFonts w:ascii="Times New Roman" w:hAnsi="Times New Roman" w:cs="Times New Roman"/>
                <w:i/>
                <w:iCs/>
              </w:rPr>
            </w:pPr>
            <w:r w:rsidRPr="000A2E75">
              <w:rPr>
                <w:rFonts w:ascii="Times New Roman" w:hAnsi="Times New Roman" w:cs="Times New Roman"/>
                <w:i/>
                <w:iCs/>
              </w:rPr>
              <w:t>a. Kızılay‘a vurgu yapılır.</w:t>
            </w:r>
          </w:p>
          <w:p w14:paraId="79131122" w14:textId="77777777" w:rsidR="00E839E1" w:rsidRPr="000A2E75" w:rsidRDefault="00E839E1" w:rsidP="00E839E1">
            <w:pPr>
              <w:spacing w:line="276" w:lineRule="auto"/>
              <w:ind w:left="720"/>
              <w:rPr>
                <w:rFonts w:ascii="Times New Roman" w:hAnsi="Times New Roman" w:cs="Times New Roman"/>
                <w:b/>
                <w:i/>
                <w:iCs/>
              </w:rPr>
            </w:pPr>
            <w:r w:rsidRPr="000A2E75">
              <w:rPr>
                <w:rFonts w:ascii="Times New Roman" w:hAnsi="Times New Roman" w:cs="Times New Roman"/>
                <w:i/>
                <w:iCs/>
              </w:rPr>
              <w:t>b. Kan bağışı sırasında dikkat edilmesi gereken hijyene vurgu yapılır.</w:t>
            </w:r>
          </w:p>
        </w:tc>
      </w:tr>
      <w:tr w:rsidR="00E839E1" w:rsidRPr="000A2E75" w14:paraId="553F26A8" w14:textId="77777777" w:rsidTr="00E839E1">
        <w:tc>
          <w:tcPr>
            <w:tcW w:w="8505" w:type="dxa"/>
          </w:tcPr>
          <w:p w14:paraId="6FFB8AA9" w14:textId="77777777" w:rsidR="00E839E1" w:rsidRPr="000A2E75" w:rsidRDefault="00E839E1" w:rsidP="00E839E1">
            <w:pPr>
              <w:spacing w:line="276" w:lineRule="auto"/>
              <w:rPr>
                <w:rFonts w:ascii="Times New Roman" w:hAnsi="Times New Roman" w:cs="Times New Roman"/>
              </w:rPr>
            </w:pPr>
            <w:r w:rsidRPr="000A2E75">
              <w:rPr>
                <w:rFonts w:ascii="Times New Roman" w:hAnsi="Times New Roman" w:cs="Times New Roman"/>
                <w:b/>
                <w:bCs/>
              </w:rPr>
              <w:lastRenderedPageBreak/>
              <w:t xml:space="preserve">11.1.4.1. Kalp, kan ve damarların yapı, görev ve işleyişini açıklar. </w:t>
            </w:r>
          </w:p>
          <w:p w14:paraId="200376A6" w14:textId="77777777" w:rsidR="00E839E1" w:rsidRPr="000A2E75" w:rsidRDefault="00E839E1" w:rsidP="00E839E1">
            <w:pPr>
              <w:spacing w:line="276" w:lineRule="auto"/>
              <w:ind w:left="720"/>
              <w:rPr>
                <w:rFonts w:ascii="Times New Roman" w:hAnsi="Times New Roman" w:cs="Times New Roman"/>
              </w:rPr>
            </w:pPr>
            <w:r w:rsidRPr="000A2E75">
              <w:rPr>
                <w:rFonts w:ascii="Times New Roman" w:hAnsi="Times New Roman" w:cs="Times New Roman"/>
                <w:i/>
                <w:iCs/>
              </w:rPr>
              <w:t>a.Kan doku açıklanır.</w:t>
            </w:r>
          </w:p>
          <w:p w14:paraId="3FEB7E85" w14:textId="77777777" w:rsidR="00E839E1" w:rsidRPr="000A2E75" w:rsidRDefault="00E839E1" w:rsidP="00E839E1">
            <w:pPr>
              <w:spacing w:line="276" w:lineRule="auto"/>
              <w:ind w:left="720"/>
              <w:rPr>
                <w:rFonts w:ascii="Times New Roman" w:hAnsi="Times New Roman" w:cs="Times New Roman"/>
              </w:rPr>
            </w:pPr>
            <w:r w:rsidRPr="000A2E75">
              <w:rPr>
                <w:rFonts w:ascii="Times New Roman" w:hAnsi="Times New Roman" w:cs="Times New Roman"/>
                <w:i/>
                <w:iCs/>
              </w:rPr>
              <w:t xml:space="preserve">b.Dolaşım sistemi işlenirken görsel ögeler, grafik düzenleyiciler, e-öğrenme nesnesi ve uygulamalarından yararlanılır. </w:t>
            </w:r>
          </w:p>
          <w:p w14:paraId="48618158" w14:textId="77777777" w:rsidR="00E839E1" w:rsidRPr="000A2E75" w:rsidRDefault="00E839E1" w:rsidP="00E839E1">
            <w:pPr>
              <w:spacing w:line="276" w:lineRule="auto"/>
              <w:ind w:left="720"/>
              <w:rPr>
                <w:rFonts w:ascii="Times New Roman" w:hAnsi="Times New Roman" w:cs="Times New Roman"/>
              </w:rPr>
            </w:pPr>
            <w:r w:rsidRPr="000A2E75">
              <w:rPr>
                <w:rFonts w:ascii="Times New Roman" w:hAnsi="Times New Roman" w:cs="Times New Roman"/>
                <w:i/>
                <w:iCs/>
              </w:rPr>
              <w:t xml:space="preserve">c.Kalbin çalışmasına etki eden faktörler (adrenalin, tiroksin, kafein, tein, asetilkolin, </w:t>
            </w:r>
          </w:p>
          <w:p w14:paraId="5FABDC51" w14:textId="77777777" w:rsidR="00E839E1" w:rsidRPr="000A2E75" w:rsidRDefault="00E839E1" w:rsidP="00E839E1">
            <w:pPr>
              <w:spacing w:line="276" w:lineRule="auto"/>
              <w:ind w:left="720"/>
              <w:rPr>
                <w:rFonts w:ascii="Times New Roman" w:hAnsi="Times New Roman" w:cs="Times New Roman"/>
                <w:i/>
                <w:iCs/>
              </w:rPr>
            </w:pPr>
            <w:r w:rsidRPr="000A2E75">
              <w:rPr>
                <w:rFonts w:ascii="Times New Roman" w:hAnsi="Times New Roman" w:cs="Times New Roman"/>
                <w:i/>
                <w:iCs/>
              </w:rPr>
              <w:t xml:space="preserve">vagus siniri) üzerinde durulur. </w:t>
            </w:r>
          </w:p>
          <w:p w14:paraId="5F2FF6FA" w14:textId="77777777" w:rsidR="00E839E1" w:rsidRPr="000A2E75" w:rsidRDefault="00E839E1" w:rsidP="00E839E1">
            <w:pPr>
              <w:spacing w:line="276" w:lineRule="auto"/>
              <w:ind w:left="720"/>
              <w:rPr>
                <w:rFonts w:ascii="Times New Roman" w:hAnsi="Times New Roman" w:cs="Times New Roman"/>
              </w:rPr>
            </w:pPr>
            <w:r w:rsidRPr="000A2E75">
              <w:rPr>
                <w:rFonts w:ascii="Times New Roman" w:hAnsi="Times New Roman" w:cs="Times New Roman"/>
                <w:i/>
                <w:iCs/>
              </w:rPr>
              <w:t xml:space="preserve">ç. Alyuvar, akyuvar ve kan pulcukları üzerinde durulur. Akyuvar çeşitleri B ve T lenfositleri ile sınırlandırılır. </w:t>
            </w:r>
          </w:p>
          <w:p w14:paraId="4E22AFB5" w14:textId="77777777" w:rsidR="00E839E1" w:rsidRPr="000A2E75" w:rsidRDefault="00E839E1" w:rsidP="00E839E1">
            <w:pPr>
              <w:spacing w:line="276" w:lineRule="auto"/>
              <w:ind w:left="720"/>
              <w:rPr>
                <w:rFonts w:ascii="Times New Roman" w:hAnsi="Times New Roman" w:cs="Times New Roman"/>
              </w:rPr>
            </w:pPr>
            <w:r w:rsidRPr="000A2E75">
              <w:rPr>
                <w:rFonts w:ascii="Times New Roman" w:hAnsi="Times New Roman" w:cs="Times New Roman"/>
                <w:i/>
                <w:iCs/>
              </w:rPr>
              <w:t xml:space="preserve">d.Kan grupları üzerinde durulur. Kan nakillerinde kendi grubundan kan alıp vermenin gerekliliği vurgulanır. Kan nakillerinde genel alıcı ve genel verici kavramları kullanılmaz. </w:t>
            </w:r>
          </w:p>
          <w:p w14:paraId="23BB9942" w14:textId="77777777" w:rsidR="00E839E1" w:rsidRPr="000A2E75" w:rsidRDefault="00E839E1" w:rsidP="00E839E1">
            <w:pPr>
              <w:spacing w:line="276" w:lineRule="auto"/>
              <w:ind w:left="720"/>
              <w:rPr>
                <w:rFonts w:ascii="Times New Roman" w:hAnsi="Times New Roman" w:cs="Times New Roman"/>
              </w:rPr>
            </w:pPr>
            <w:r w:rsidRPr="000A2E75">
              <w:rPr>
                <w:rFonts w:ascii="Times New Roman" w:hAnsi="Times New Roman" w:cs="Times New Roman"/>
                <w:i/>
                <w:iCs/>
              </w:rPr>
              <w:t xml:space="preserve">e.Öğrencilerin kan ve kemik iliği bağışının önemi ile ilgili farkındalık oluşturmaya yönelik çalışma (broşür, kamu spotu, anket vb.) yapmaları sağlanır. </w:t>
            </w:r>
          </w:p>
          <w:p w14:paraId="6EF33F08" w14:textId="77777777" w:rsidR="00E839E1" w:rsidRPr="000A2E75" w:rsidRDefault="00E839E1" w:rsidP="00E839E1">
            <w:pPr>
              <w:spacing w:line="276" w:lineRule="auto"/>
              <w:ind w:left="720"/>
              <w:rPr>
                <w:rFonts w:ascii="Times New Roman" w:hAnsi="Times New Roman" w:cs="Times New Roman"/>
              </w:rPr>
            </w:pPr>
            <w:r w:rsidRPr="000A2E75">
              <w:rPr>
                <w:rFonts w:ascii="Times New Roman" w:hAnsi="Times New Roman" w:cs="Times New Roman"/>
                <w:i/>
                <w:iCs/>
              </w:rPr>
              <w:t>f. Konunun işlenişi sırasında model ve analojilerden yararlanılır.</w:t>
            </w:r>
          </w:p>
          <w:p w14:paraId="04C60FBE" w14:textId="77777777" w:rsidR="00E839E1" w:rsidRPr="000A2E75" w:rsidRDefault="00E839E1" w:rsidP="00E839E1">
            <w:pPr>
              <w:spacing w:line="276" w:lineRule="auto"/>
              <w:ind w:left="720"/>
              <w:rPr>
                <w:rFonts w:ascii="Times New Roman" w:hAnsi="Times New Roman" w:cs="Times New Roman"/>
                <w:i/>
                <w:iCs/>
              </w:rPr>
            </w:pPr>
            <w:r w:rsidRPr="000A2E75">
              <w:rPr>
                <w:rFonts w:ascii="Times New Roman" w:hAnsi="Times New Roman" w:cs="Times New Roman"/>
                <w:i/>
                <w:iCs/>
              </w:rPr>
              <w:t>g. İbn Nefs’i dolaşımla ilgili görüşleri vurgulanır.</w:t>
            </w:r>
          </w:p>
          <w:p w14:paraId="3D56ACFD" w14:textId="77777777" w:rsidR="00E839E1" w:rsidRPr="000A2E75" w:rsidRDefault="00E839E1" w:rsidP="00E839E1">
            <w:pPr>
              <w:spacing w:line="276" w:lineRule="auto"/>
              <w:rPr>
                <w:rFonts w:ascii="Times New Roman" w:hAnsi="Times New Roman" w:cs="Times New Roman"/>
              </w:rPr>
            </w:pPr>
            <w:r w:rsidRPr="000A2E75">
              <w:rPr>
                <w:rFonts w:ascii="Times New Roman" w:hAnsi="Times New Roman" w:cs="Times New Roman"/>
                <w:b/>
                <w:bCs/>
              </w:rPr>
              <w:t xml:space="preserve">11.1.4.2. Lenf dolaşımını açıklar. </w:t>
            </w:r>
          </w:p>
          <w:p w14:paraId="41372BE5" w14:textId="77777777" w:rsidR="00E839E1" w:rsidRPr="000A2E75" w:rsidRDefault="00E839E1" w:rsidP="00E839E1">
            <w:pPr>
              <w:spacing w:line="276" w:lineRule="auto"/>
              <w:ind w:left="720"/>
              <w:rPr>
                <w:rFonts w:ascii="Times New Roman" w:hAnsi="Times New Roman" w:cs="Times New Roman"/>
                <w:i/>
                <w:iCs/>
              </w:rPr>
            </w:pPr>
            <w:r w:rsidRPr="000A2E75">
              <w:rPr>
                <w:rFonts w:ascii="Times New Roman" w:hAnsi="Times New Roman" w:cs="Times New Roman"/>
                <w:i/>
                <w:iCs/>
              </w:rPr>
              <w:t xml:space="preserve">a. Lenf dolaşımı işlenirken görsel ögeler, grafik düzenleyiciler, e-öğrenme nesnesi ve uygulamalarından yararlanılır. </w:t>
            </w:r>
          </w:p>
          <w:p w14:paraId="7C9BBCB1" w14:textId="77777777" w:rsidR="00E839E1" w:rsidRPr="000A2E75" w:rsidRDefault="00E839E1" w:rsidP="00E839E1">
            <w:pPr>
              <w:spacing w:line="276" w:lineRule="auto"/>
              <w:ind w:left="720"/>
              <w:rPr>
                <w:rFonts w:ascii="Times New Roman" w:hAnsi="Times New Roman" w:cs="Times New Roman"/>
                <w:i/>
                <w:iCs/>
              </w:rPr>
            </w:pPr>
            <w:r w:rsidRPr="000A2E75">
              <w:rPr>
                <w:rFonts w:ascii="Times New Roman" w:hAnsi="Times New Roman" w:cs="Times New Roman"/>
                <w:i/>
                <w:iCs/>
              </w:rPr>
              <w:t>b. Lenf dolaşımı, kan dolaşımı ile ilişkilendirilerek ele alınır.</w:t>
            </w:r>
          </w:p>
          <w:p w14:paraId="7DA2BD98" w14:textId="77777777" w:rsidR="00E839E1" w:rsidRPr="000A2E75" w:rsidRDefault="00E839E1" w:rsidP="00E839E1">
            <w:pPr>
              <w:spacing w:line="276" w:lineRule="auto"/>
              <w:ind w:left="720"/>
              <w:rPr>
                <w:rFonts w:ascii="Times New Roman" w:hAnsi="Times New Roman" w:cs="Times New Roman"/>
                <w:i/>
                <w:iCs/>
              </w:rPr>
            </w:pPr>
            <w:r w:rsidRPr="000A2E75">
              <w:rPr>
                <w:rFonts w:ascii="Times New Roman" w:hAnsi="Times New Roman" w:cs="Times New Roman"/>
                <w:i/>
                <w:iCs/>
              </w:rPr>
              <w:t xml:space="preserve">c. Ödem oluşumu üzerinde durulur. </w:t>
            </w:r>
          </w:p>
          <w:p w14:paraId="6750749D" w14:textId="77777777" w:rsidR="00E839E1" w:rsidRPr="000A2E75" w:rsidRDefault="00E839E1" w:rsidP="00E839E1">
            <w:pPr>
              <w:spacing w:line="276" w:lineRule="auto"/>
              <w:ind w:left="720"/>
              <w:rPr>
                <w:rFonts w:ascii="Times New Roman" w:hAnsi="Times New Roman" w:cs="Times New Roman"/>
                <w:i/>
                <w:iCs/>
              </w:rPr>
            </w:pPr>
            <w:r w:rsidRPr="000A2E75">
              <w:rPr>
                <w:rFonts w:ascii="Times New Roman" w:hAnsi="Times New Roman" w:cs="Times New Roman"/>
                <w:i/>
                <w:iCs/>
              </w:rPr>
              <w:t xml:space="preserve">ç. Lenf dolaşımının bağışıklık ile ilişkisi açıklanır. </w:t>
            </w:r>
          </w:p>
          <w:p w14:paraId="1496A9BE" w14:textId="77777777" w:rsidR="00E839E1" w:rsidRPr="000A2E75" w:rsidRDefault="00E839E1" w:rsidP="00E839E1">
            <w:pPr>
              <w:spacing w:line="276" w:lineRule="auto"/>
              <w:ind w:left="720"/>
              <w:rPr>
                <w:rFonts w:ascii="Times New Roman" w:hAnsi="Times New Roman" w:cs="Times New Roman"/>
                <w:i/>
                <w:iCs/>
              </w:rPr>
            </w:pPr>
            <w:r w:rsidRPr="000A2E75">
              <w:rPr>
                <w:rFonts w:ascii="Times New Roman" w:hAnsi="Times New Roman" w:cs="Times New Roman"/>
                <w:i/>
                <w:iCs/>
              </w:rPr>
              <w:t>d.Kan ve lenf dolaşımıyla ilgili model tasarlanması sağlanır.</w:t>
            </w:r>
          </w:p>
          <w:p w14:paraId="72FA976A" w14:textId="77777777" w:rsidR="00E839E1" w:rsidRPr="000A2E75" w:rsidRDefault="00E839E1" w:rsidP="00E839E1">
            <w:pPr>
              <w:spacing w:line="276" w:lineRule="auto"/>
              <w:rPr>
                <w:rFonts w:ascii="Times New Roman" w:hAnsi="Times New Roman" w:cs="Times New Roman"/>
              </w:rPr>
            </w:pPr>
            <w:r w:rsidRPr="000A2E75">
              <w:rPr>
                <w:rFonts w:ascii="Times New Roman" w:hAnsi="Times New Roman" w:cs="Times New Roman"/>
                <w:b/>
                <w:bCs/>
              </w:rPr>
              <w:t xml:space="preserve">11.1.4.3. Dolaşım sistemi rahatsızlıklarını açıklar. </w:t>
            </w:r>
          </w:p>
          <w:p w14:paraId="128FC2F5" w14:textId="77777777" w:rsidR="00E839E1" w:rsidRPr="000A2E75" w:rsidRDefault="00E839E1" w:rsidP="00E839E1">
            <w:pPr>
              <w:spacing w:line="276" w:lineRule="auto"/>
              <w:ind w:left="720"/>
              <w:rPr>
                <w:rFonts w:ascii="Times New Roman" w:hAnsi="Times New Roman" w:cs="Times New Roman"/>
                <w:i/>
                <w:iCs/>
              </w:rPr>
            </w:pPr>
            <w:r w:rsidRPr="000A2E75">
              <w:rPr>
                <w:rFonts w:ascii="Times New Roman" w:hAnsi="Times New Roman" w:cs="Times New Roman"/>
                <w:i/>
                <w:iCs/>
              </w:rPr>
              <w:t xml:space="preserve">Kalp krizi, damar tıkanıklığı, yüksek tansiyon, varis, kangren, anemi ve lösemi hastalıkları üzerinde durulur. </w:t>
            </w:r>
          </w:p>
          <w:p w14:paraId="3036F7D0" w14:textId="77777777" w:rsidR="00E839E1" w:rsidRPr="000A2E75" w:rsidRDefault="00E839E1" w:rsidP="00E839E1">
            <w:pPr>
              <w:spacing w:line="276" w:lineRule="auto"/>
              <w:rPr>
                <w:rFonts w:ascii="Times New Roman" w:hAnsi="Times New Roman" w:cs="Times New Roman"/>
                <w:b/>
                <w:bCs/>
              </w:rPr>
            </w:pPr>
            <w:r w:rsidRPr="000A2E75">
              <w:rPr>
                <w:rFonts w:ascii="Times New Roman" w:hAnsi="Times New Roman" w:cs="Times New Roman"/>
                <w:b/>
                <w:bCs/>
              </w:rPr>
              <w:t xml:space="preserve">11.1.4.4. Dolaşım sisteminin sağlıklı yapısının korunması için yapılması gerekenlere ilişkin çıkarımlarda bulunur. </w:t>
            </w:r>
          </w:p>
          <w:p w14:paraId="47CDB2FD" w14:textId="77777777" w:rsidR="00E839E1" w:rsidRPr="000A2E75" w:rsidRDefault="00E839E1" w:rsidP="00E839E1">
            <w:pPr>
              <w:spacing w:line="276" w:lineRule="auto"/>
              <w:rPr>
                <w:rFonts w:ascii="Times New Roman" w:hAnsi="Times New Roman" w:cs="Times New Roman"/>
              </w:rPr>
            </w:pPr>
            <w:r w:rsidRPr="000A2E75">
              <w:rPr>
                <w:rFonts w:ascii="Times New Roman" w:hAnsi="Times New Roman" w:cs="Times New Roman"/>
                <w:b/>
                <w:bCs/>
              </w:rPr>
              <w:t xml:space="preserve">11.1.4.5. Bağışıklık çeşitlerini ve vücudun doğal savunma mekanizmalarını açıklar. </w:t>
            </w:r>
          </w:p>
          <w:p w14:paraId="3958783D" w14:textId="77777777" w:rsidR="00E839E1" w:rsidRPr="000A2E75" w:rsidRDefault="00E839E1" w:rsidP="00E839E1">
            <w:pPr>
              <w:spacing w:line="276" w:lineRule="auto"/>
              <w:ind w:left="720"/>
              <w:rPr>
                <w:rFonts w:ascii="Times New Roman" w:hAnsi="Times New Roman" w:cs="Times New Roman"/>
              </w:rPr>
            </w:pPr>
            <w:r w:rsidRPr="000A2E75">
              <w:rPr>
                <w:rFonts w:ascii="Times New Roman" w:hAnsi="Times New Roman" w:cs="Times New Roman"/>
                <w:i/>
                <w:iCs/>
              </w:rPr>
              <w:t xml:space="preserve">a.Hastalık yapan organizmalar ve yabancı maddelere karşı deri, tükürük, mide öz suyu, mukus ve gözyaşının vücut savunmasındaki rolleri örneklendirilir. </w:t>
            </w:r>
          </w:p>
          <w:p w14:paraId="12099E52" w14:textId="77777777" w:rsidR="00E839E1" w:rsidRPr="000A2E75" w:rsidRDefault="00E839E1" w:rsidP="00E839E1">
            <w:pPr>
              <w:spacing w:line="276" w:lineRule="auto"/>
              <w:ind w:left="720"/>
              <w:rPr>
                <w:rFonts w:ascii="Times New Roman" w:hAnsi="Times New Roman" w:cs="Times New Roman"/>
              </w:rPr>
            </w:pPr>
            <w:r w:rsidRPr="000A2E75">
              <w:rPr>
                <w:rFonts w:ascii="Times New Roman" w:hAnsi="Times New Roman" w:cs="Times New Roman"/>
                <w:i/>
                <w:iCs/>
              </w:rPr>
              <w:t>b.Enfeksiyon ve alerji gibi durumların bağışıklık ile ilişkisi örnekler üzerinden açıklanır.</w:t>
            </w:r>
          </w:p>
          <w:p w14:paraId="160B6152" w14:textId="77777777" w:rsidR="00E839E1" w:rsidRPr="000A2E75" w:rsidRDefault="00E839E1" w:rsidP="00E839E1">
            <w:pPr>
              <w:spacing w:line="276" w:lineRule="auto"/>
              <w:ind w:left="720"/>
              <w:rPr>
                <w:rFonts w:ascii="Times New Roman" w:hAnsi="Times New Roman" w:cs="Times New Roman"/>
              </w:rPr>
            </w:pPr>
            <w:r w:rsidRPr="000A2E75">
              <w:rPr>
                <w:rFonts w:ascii="Times New Roman" w:hAnsi="Times New Roman" w:cs="Times New Roman"/>
                <w:i/>
                <w:iCs/>
              </w:rPr>
              <w:t>c.İmmünoglobulinler verilmez.</w:t>
            </w:r>
          </w:p>
          <w:p w14:paraId="4DA13CBD" w14:textId="77777777" w:rsidR="00E839E1" w:rsidRPr="000A2E75" w:rsidRDefault="00E839E1" w:rsidP="00E839E1">
            <w:pPr>
              <w:spacing w:line="276" w:lineRule="auto"/>
              <w:ind w:left="720"/>
              <w:rPr>
                <w:rFonts w:ascii="Times New Roman" w:hAnsi="Times New Roman" w:cs="Times New Roman"/>
              </w:rPr>
            </w:pPr>
            <w:r w:rsidRPr="000A2E75">
              <w:rPr>
                <w:rFonts w:ascii="Times New Roman" w:hAnsi="Times New Roman" w:cs="Times New Roman"/>
                <w:i/>
                <w:iCs/>
              </w:rPr>
              <w:t xml:space="preserve">ç. Aşılanmanın önemi üzerinde durulur. Bazı aşıların zaman içerisinde değiştirilmesinin nedenleri araştırılır. </w:t>
            </w:r>
          </w:p>
          <w:p w14:paraId="3DA3F01C" w14:textId="77777777" w:rsidR="00E839E1" w:rsidRPr="000A2E75" w:rsidRDefault="00E839E1" w:rsidP="00E839E1">
            <w:pPr>
              <w:spacing w:line="276" w:lineRule="auto"/>
              <w:ind w:left="720"/>
              <w:rPr>
                <w:rFonts w:ascii="Times New Roman" w:hAnsi="Times New Roman" w:cs="Times New Roman"/>
              </w:rPr>
            </w:pPr>
            <w:r w:rsidRPr="000A2E75">
              <w:rPr>
                <w:rFonts w:ascii="Times New Roman" w:hAnsi="Times New Roman" w:cs="Times New Roman"/>
                <w:i/>
                <w:iCs/>
              </w:rPr>
              <w:t>d.Hastalık yapan organizmaların genetik yapılarının hızlı değişimi nedeniyle insan sağlığına sürekli bir tehdit oluşturduğu vurgulanır.</w:t>
            </w:r>
          </w:p>
        </w:tc>
      </w:tr>
    </w:tbl>
    <w:p w14:paraId="72BAD59E" w14:textId="77777777" w:rsidR="00E839E1" w:rsidRPr="000A2E75" w:rsidRDefault="00E839E1" w:rsidP="00E839E1">
      <w:pPr>
        <w:spacing w:line="276" w:lineRule="auto"/>
        <w:ind w:firstLine="567"/>
        <w:jc w:val="both"/>
        <w:rPr>
          <w:rFonts w:ascii="Times New Roman" w:hAnsi="Times New Roman" w:cs="Times New Roman"/>
        </w:rPr>
      </w:pPr>
    </w:p>
    <w:p w14:paraId="04A1FF65"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rPr>
        <w:t xml:space="preserve">6. sınıf fen bilimleri ve 11. sınıf biyoloji dersi öğretim programlarına bakıldığında dolaşım sistemi konusuna ait belirlenen kazanımların sayıca aynı olduğu (5) görülmektedir. 11. Sınıf </w:t>
      </w:r>
      <w:r w:rsidRPr="000A2E75">
        <w:rPr>
          <w:rFonts w:ascii="Times New Roman" w:hAnsi="Times New Roman" w:cs="Times New Roman"/>
        </w:rPr>
        <w:lastRenderedPageBreak/>
        <w:t>kazanımlarına bakıldığında 6.sınıf kazanımlarına göre daha ayrıntılı ve kapsamlı olduğu tespit edilmiştir.</w:t>
      </w:r>
    </w:p>
    <w:p w14:paraId="55CF75DF" w14:textId="77777777" w:rsidR="00E839E1" w:rsidRPr="000A2E75" w:rsidRDefault="00E839E1" w:rsidP="00E839E1">
      <w:pPr>
        <w:spacing w:line="276" w:lineRule="auto"/>
        <w:ind w:firstLine="567"/>
        <w:jc w:val="both"/>
        <w:rPr>
          <w:rFonts w:ascii="Times New Roman" w:hAnsi="Times New Roman" w:cs="Times New Roman"/>
        </w:rPr>
      </w:pPr>
    </w:p>
    <w:p w14:paraId="12E9BDFD" w14:textId="77777777" w:rsidR="00E839E1" w:rsidRPr="000A2E75" w:rsidRDefault="00E839E1" w:rsidP="00E839E1">
      <w:pPr>
        <w:spacing w:line="276" w:lineRule="auto"/>
        <w:ind w:firstLine="567"/>
        <w:jc w:val="both"/>
        <w:rPr>
          <w:rFonts w:ascii="Times New Roman" w:hAnsi="Times New Roman" w:cs="Times New Roman"/>
          <w:b/>
        </w:rPr>
      </w:pPr>
      <w:r w:rsidRPr="000A2E75">
        <w:rPr>
          <w:rFonts w:ascii="Times New Roman" w:hAnsi="Times New Roman" w:cs="Times New Roman"/>
          <w:b/>
        </w:rPr>
        <w:t>SONUÇ VE TARTIŞMA</w:t>
      </w:r>
    </w:p>
    <w:p w14:paraId="2C2A3B73"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rPr>
        <w:t xml:space="preserve">Yapılan bu çalışmada MEB’in önerdiği ve okullarda okutulan 6. sınıf fen bilimleri ders kitabı ve 11. sınıf biyoloji ders kitabındaki dolaşım sistemi konusu dış didaktiksel dönüşüm teorisi açısından ele alınmıştır. Bu çalışmayla farklı sınıf seviyelerine göre dolaşım sistemi konusunun bilimsel bilgiden öğretilecek bilgiye dönüşümünün incelenmesi amaçlanmıştır. </w:t>
      </w:r>
    </w:p>
    <w:p w14:paraId="6B376884"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rPr>
        <w:t>K1 ve K2 kitapları incelendiğinde her iki kitabın da öğretim programlarında verilen kazanımlara uygun bir içeriğe sahip olduğu görülmüştür. Öğretim programlarına bakıldığında her iki sınıf düzeyinde de ortak kazanımlar olduğu belirlenmiş ve verilen kazanımların sayısının eşit olduğu tespit edilmiştir. Fakat 11. sınıf biyoloji dersi öğretim programına bakıldığında alt kazanımların daha ayrıntılı olduğu görülmektedir. Kazanımların ayrıntılı olması kitapta bulunan kavramların sayısına da yansımıştır. Kitaplarda verilen kavramlara bakıldığında 11.sınıfta bulunan kavramların, 6. sınıftaki kavramlara göre daha fazla olduğu görülmektedir. Bilimsel bilginin dış didaktiksel dönüşüm teorisi ile 6. sınıf düzeyine indirgenirken sadeleştirilmesi bu farklılığın oluşmasına neden olmuştur.</w:t>
      </w:r>
    </w:p>
    <w:p w14:paraId="47B18391"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rPr>
        <w:t xml:space="preserve">K2 kitabı incelendiğinde K1 kitabına göre daha geniş kapsamlı olduğu ve kitapta konunun daha ayrıntılı bir şekilde anlatıldığı tespit edilmiştir. Bilimsel bilginin öğrenci seviyesine göre dış didaktiksel dönüşüm teorisi kapsamında değişime uğraması, bu farklılığın görülmesine sebep olmuştur. </w:t>
      </w:r>
    </w:p>
    <w:p w14:paraId="00113602"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rPr>
        <w:t xml:space="preserve">Görsellik açısından incelendiğinde K1 kitabında daha sade ve üzerinde çok fazla ayrıntı olmayan görsellerin kullanıldığı tespit edilmiştir. K2 kitabında daha fazla görsele yer verilmiştir. K2 kitabının hitap ettiği sınıf seviyesinde konunun daha kapsamlı ve ayrıntılı anlatılmış olması görsel sayısına da yansımıştır. Her iki kitapta da kullanılan görsellerin canlı renkte olmasının tercih edildiği görülmüştür. </w:t>
      </w:r>
    </w:p>
    <w:p w14:paraId="2F51A685"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rPr>
        <w:t>K1 ve K2 kitapları incelendiğinde konuların genelden özele ve basitten karmaşığa doğru sıralandığı görülmüştür. Aynı zamanda K1 ve K2 kitaplarında bulunan etkinliklerin öğretim ilkelerinden açıklık ve yaşama yakınlık ilkelerine uygun olarak yazıldığı tespit edilmiştir.</w:t>
      </w:r>
    </w:p>
    <w:p w14:paraId="6A6E1435"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rPr>
        <w:t>Yapılan incelemeler sonucunda her iki kitabın da kazanımlara uygun olduğu, kullanılan görsellerin ve konunun içeriğinin dış didaktiksel dönüşüm teorisinin öngördüğü gibi bilginin öğrenci seviyesine göre indirgenerek yazıldığı sonucuna varılmıştır.</w:t>
      </w:r>
    </w:p>
    <w:p w14:paraId="1C0A1F34" w14:textId="77777777" w:rsidR="00E839E1" w:rsidRPr="000A2E75" w:rsidRDefault="00E839E1" w:rsidP="00E839E1">
      <w:pPr>
        <w:spacing w:line="276" w:lineRule="auto"/>
        <w:ind w:firstLine="567"/>
        <w:jc w:val="both"/>
        <w:rPr>
          <w:rFonts w:ascii="Times New Roman" w:hAnsi="Times New Roman" w:cs="Times New Roman"/>
        </w:rPr>
      </w:pPr>
    </w:p>
    <w:p w14:paraId="4B5BE196" w14:textId="77777777" w:rsidR="00E839E1" w:rsidRPr="000A2E75" w:rsidRDefault="00E839E1" w:rsidP="00E839E1">
      <w:pPr>
        <w:spacing w:line="276" w:lineRule="auto"/>
        <w:ind w:firstLine="567"/>
        <w:jc w:val="both"/>
        <w:rPr>
          <w:rFonts w:ascii="Times New Roman" w:hAnsi="Times New Roman" w:cs="Times New Roman"/>
          <w:b/>
        </w:rPr>
      </w:pPr>
      <w:r w:rsidRPr="000A2E75">
        <w:rPr>
          <w:rFonts w:ascii="Times New Roman" w:hAnsi="Times New Roman" w:cs="Times New Roman"/>
          <w:b/>
        </w:rPr>
        <w:t>ÖNERİLER</w:t>
      </w:r>
    </w:p>
    <w:p w14:paraId="1EEA0D36"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rPr>
        <w:t>Çalışma sonucunda elde edilen verilerden yola çıkarak aşağıdaki önerilerde bulunulabilir.</w:t>
      </w:r>
    </w:p>
    <w:p w14:paraId="1409A2AB"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rPr>
        <w:t>•</w:t>
      </w:r>
      <w:r w:rsidRPr="000A2E75">
        <w:rPr>
          <w:rFonts w:ascii="Times New Roman" w:hAnsi="Times New Roman" w:cs="Times New Roman"/>
        </w:rPr>
        <w:tab/>
        <w:t>Bilimsel bilginin sürekli bir değişim halinde olması sebebiyle eğitim ve öğretimde kullanılan kitaplar her dönem güncellenmelidir.</w:t>
      </w:r>
    </w:p>
    <w:p w14:paraId="50B229A0"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rPr>
        <w:lastRenderedPageBreak/>
        <w:t>•</w:t>
      </w:r>
      <w:r w:rsidRPr="000A2E75">
        <w:rPr>
          <w:rFonts w:ascii="Times New Roman" w:hAnsi="Times New Roman" w:cs="Times New Roman"/>
        </w:rPr>
        <w:tab/>
        <w:t xml:space="preserve">Değişen bilimsel bilgi, didaktiksel dönüşüm teorisi dikkate alınarak öğrencinin düzeyine uygun hale getirilerek ders kitaplarında sunulmalıdır. </w:t>
      </w:r>
    </w:p>
    <w:p w14:paraId="5DF3BF1B"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rPr>
        <w:t>•</w:t>
      </w:r>
      <w:r w:rsidRPr="000A2E75">
        <w:rPr>
          <w:rFonts w:ascii="Times New Roman" w:hAnsi="Times New Roman" w:cs="Times New Roman"/>
        </w:rPr>
        <w:tab/>
        <w:t>Farklı zeka türlerine hitap edebilmesi açısından kitaplarda verilen etkinlikler çeşitlendirilmeli, okuma parçalarına yer verilmelidir.</w:t>
      </w:r>
    </w:p>
    <w:p w14:paraId="6AF762CC" w14:textId="77777777" w:rsidR="00E839E1" w:rsidRPr="000A2E75" w:rsidRDefault="00E839E1" w:rsidP="00E839E1">
      <w:pPr>
        <w:spacing w:before="120"/>
        <w:ind w:firstLine="567"/>
        <w:jc w:val="both"/>
        <w:rPr>
          <w:rFonts w:ascii="Times New Roman" w:hAnsi="Times New Roman" w:cs="Times New Roman"/>
          <w:b/>
        </w:rPr>
        <w:sectPr w:rsidR="00E839E1" w:rsidRPr="000A2E75" w:rsidSect="00E839E1">
          <w:headerReference w:type="first" r:id="rId377"/>
          <w:pgSz w:w="11907" w:h="16840" w:code="9"/>
          <w:pgMar w:top="1701" w:right="1701" w:bottom="1701" w:left="1701" w:header="1134" w:footer="1134" w:gutter="0"/>
          <w:cols w:space="720"/>
          <w:titlePg/>
          <w:docGrid w:linePitch="360"/>
        </w:sectPr>
      </w:pPr>
    </w:p>
    <w:p w14:paraId="2F960CD8" w14:textId="20A97A53" w:rsidR="00E839E1" w:rsidRDefault="00C95516" w:rsidP="00E839E1">
      <w:pPr>
        <w:spacing w:before="120"/>
        <w:ind w:firstLine="567"/>
        <w:jc w:val="both"/>
        <w:rPr>
          <w:rFonts w:ascii="Times New Roman" w:hAnsi="Times New Roman" w:cs="Times New Roman"/>
          <w:b/>
        </w:rPr>
      </w:pPr>
      <w:r>
        <w:rPr>
          <w:rFonts w:ascii="Times New Roman" w:hAnsi="Times New Roman" w:cs="Times New Roman"/>
          <w:b/>
        </w:rPr>
        <w:lastRenderedPageBreak/>
        <w:t>Kaynakça</w:t>
      </w:r>
    </w:p>
    <w:p w14:paraId="2A778121" w14:textId="77777777" w:rsidR="00E839E1" w:rsidRPr="000A2E75" w:rsidRDefault="00E839E1" w:rsidP="00E839E1">
      <w:pPr>
        <w:spacing w:before="120"/>
        <w:ind w:left="567" w:hanging="567"/>
        <w:jc w:val="both"/>
        <w:rPr>
          <w:rFonts w:ascii="Times New Roman" w:hAnsi="Times New Roman" w:cs="Times New Roman"/>
        </w:rPr>
      </w:pPr>
      <w:r w:rsidRPr="000A2E75">
        <w:rPr>
          <w:rFonts w:ascii="Times New Roman" w:hAnsi="Times New Roman" w:cs="Times New Roman"/>
        </w:rPr>
        <w:t xml:space="preserve">Bosch, M., Chevallard, Y., &amp; Gascón, J. (2006). Science or magic? The use of models and theories in didactics of mathematics. In </w:t>
      </w:r>
      <w:r w:rsidRPr="000A2E75">
        <w:rPr>
          <w:rFonts w:ascii="Times New Roman" w:hAnsi="Times New Roman" w:cs="Times New Roman"/>
          <w:i/>
          <w:iCs/>
        </w:rPr>
        <w:t>Proceedings of the fourth congress of the European Society for research in mathematics education</w:t>
      </w:r>
      <w:r w:rsidRPr="000A2E75">
        <w:rPr>
          <w:rFonts w:ascii="Times New Roman" w:hAnsi="Times New Roman" w:cs="Times New Roman"/>
        </w:rPr>
        <w:t xml:space="preserve"> (pp. 1254-1263).</w:t>
      </w:r>
    </w:p>
    <w:p w14:paraId="45A18D7A" w14:textId="77777777" w:rsidR="00E839E1" w:rsidRPr="000A2E75" w:rsidRDefault="00E839E1" w:rsidP="00E839E1">
      <w:pPr>
        <w:spacing w:before="120"/>
        <w:ind w:left="567" w:hanging="567"/>
        <w:jc w:val="both"/>
        <w:rPr>
          <w:rFonts w:ascii="Times New Roman" w:hAnsi="Times New Roman" w:cs="Times New Roman"/>
        </w:rPr>
      </w:pPr>
      <w:r w:rsidRPr="000A2E75">
        <w:rPr>
          <w:rFonts w:ascii="Times New Roman" w:hAnsi="Times New Roman" w:cs="Times New Roman"/>
        </w:rPr>
        <w:t xml:space="preserve">Bulut Atalar, F. &amp; Ergun, M. (2018). Evaluation of the Knowledge of Science Teachers with Didactic Transposition Theory, </w:t>
      </w:r>
      <w:r w:rsidRPr="000A2E75">
        <w:rPr>
          <w:rFonts w:ascii="Times New Roman" w:hAnsi="Times New Roman" w:cs="Times New Roman"/>
          <w:i/>
          <w:iCs/>
        </w:rPr>
        <w:t>Universal Journal of Educational Research</w:t>
      </w:r>
      <w:r w:rsidRPr="000A2E75">
        <w:rPr>
          <w:rFonts w:ascii="Times New Roman" w:hAnsi="Times New Roman" w:cs="Times New Roman"/>
        </w:rPr>
        <w:t xml:space="preserve">, 6(1), 298–307. </w:t>
      </w:r>
    </w:p>
    <w:p w14:paraId="61BD6DE4" w14:textId="77777777" w:rsidR="00E839E1" w:rsidRPr="000A2E75" w:rsidRDefault="00E839E1" w:rsidP="00E839E1">
      <w:pPr>
        <w:spacing w:before="120"/>
        <w:ind w:left="567" w:hanging="567"/>
        <w:jc w:val="both"/>
        <w:rPr>
          <w:rFonts w:ascii="Times New Roman" w:hAnsi="Times New Roman" w:cs="Times New Roman"/>
        </w:rPr>
      </w:pPr>
      <w:r w:rsidRPr="000A2E75">
        <w:rPr>
          <w:rFonts w:ascii="Times New Roman" w:hAnsi="Times New Roman" w:cs="Times New Roman"/>
        </w:rPr>
        <w:t xml:space="preserve">Chevallard, Y. (1985). </w:t>
      </w:r>
      <w:r w:rsidRPr="000A2E75">
        <w:rPr>
          <w:rFonts w:ascii="Times New Roman" w:hAnsi="Times New Roman" w:cs="Times New Roman"/>
          <w:i/>
        </w:rPr>
        <w:t>La transposition didactique. Du savoir savant au savoir enseigné</w:t>
      </w:r>
      <w:r w:rsidRPr="000A2E75">
        <w:rPr>
          <w:rFonts w:ascii="Times New Roman" w:hAnsi="Times New Roman" w:cs="Times New Roman"/>
        </w:rPr>
        <w:t>. Grenoble: La Pensée Sauvage Ed.</w:t>
      </w:r>
    </w:p>
    <w:p w14:paraId="3B2DA53C" w14:textId="77777777" w:rsidR="00E839E1" w:rsidRPr="000A2E75" w:rsidRDefault="00E839E1" w:rsidP="00E839E1">
      <w:pPr>
        <w:spacing w:before="120"/>
        <w:ind w:left="567" w:hanging="567"/>
        <w:jc w:val="both"/>
        <w:rPr>
          <w:rFonts w:ascii="Times New Roman" w:hAnsi="Times New Roman" w:cs="Times New Roman"/>
        </w:rPr>
      </w:pPr>
      <w:r w:rsidRPr="000A2E75">
        <w:rPr>
          <w:rFonts w:ascii="Times New Roman" w:hAnsi="Times New Roman" w:cs="Times New Roman"/>
        </w:rPr>
        <w:t xml:space="preserve">Gürsoy, E., &amp; Ergun, M. (2019). Didaktiksel Dönüşüm Teorisine Göre Hücrenin Organelleri Konusundaki Analojilerin İncelenmesi. </w:t>
      </w:r>
      <w:r w:rsidRPr="000A2E75">
        <w:rPr>
          <w:rFonts w:ascii="Times New Roman" w:hAnsi="Times New Roman" w:cs="Times New Roman"/>
          <w:i/>
        </w:rPr>
        <w:t>Presented at the Ondokuz Mayıs Üniversitesi Uluslararası 100.Yıl Eğitim Sempozyumu</w:t>
      </w:r>
      <w:r w:rsidRPr="000A2E75">
        <w:rPr>
          <w:rFonts w:ascii="Times New Roman" w:hAnsi="Times New Roman" w:cs="Times New Roman"/>
        </w:rPr>
        <w:t>, Samsun.</w:t>
      </w:r>
    </w:p>
    <w:p w14:paraId="6128CDBB" w14:textId="77777777" w:rsidR="00E839E1" w:rsidRPr="000A2E75" w:rsidRDefault="00E839E1" w:rsidP="00E839E1">
      <w:pPr>
        <w:spacing w:before="120"/>
        <w:ind w:left="567" w:hanging="567"/>
        <w:jc w:val="both"/>
        <w:rPr>
          <w:rFonts w:ascii="Times New Roman" w:hAnsi="Times New Roman" w:cs="Times New Roman"/>
        </w:rPr>
      </w:pPr>
      <w:r w:rsidRPr="000A2E75">
        <w:rPr>
          <w:rFonts w:ascii="Times New Roman" w:hAnsi="Times New Roman" w:cs="Times New Roman"/>
        </w:rPr>
        <w:t xml:space="preserve">Kaya, G., &amp; Ergun, M. (2012). Didaktiksel Dönüşüm Teorisine Göre Maddenin Tanecikli Yapısı Ünitesinin İncelenmesi. </w:t>
      </w:r>
      <w:r w:rsidRPr="000A2E75">
        <w:rPr>
          <w:rFonts w:ascii="Times New Roman" w:hAnsi="Times New Roman" w:cs="Times New Roman"/>
          <w:i/>
          <w:iCs/>
        </w:rPr>
        <w:t>İlköğretim Online Dergisi</w:t>
      </w:r>
      <w:r w:rsidRPr="000A2E75">
        <w:rPr>
          <w:rFonts w:ascii="Times New Roman" w:hAnsi="Times New Roman" w:cs="Times New Roman"/>
        </w:rPr>
        <w:t xml:space="preserve">, </w:t>
      </w:r>
      <w:r w:rsidRPr="000A2E75">
        <w:rPr>
          <w:rFonts w:ascii="Times New Roman" w:hAnsi="Times New Roman" w:cs="Times New Roman"/>
          <w:i/>
          <w:iCs/>
        </w:rPr>
        <w:t>11</w:t>
      </w:r>
      <w:r w:rsidRPr="000A2E75">
        <w:rPr>
          <w:rFonts w:ascii="Times New Roman" w:hAnsi="Times New Roman" w:cs="Times New Roman"/>
        </w:rPr>
        <w:t>(4), 1101–1120.</w:t>
      </w:r>
    </w:p>
    <w:p w14:paraId="75695E17" w14:textId="77777777" w:rsidR="00E839E1" w:rsidRPr="000A2E75" w:rsidRDefault="00E839E1" w:rsidP="00E839E1">
      <w:pPr>
        <w:spacing w:before="120"/>
        <w:ind w:left="567" w:hanging="567"/>
        <w:jc w:val="both"/>
        <w:rPr>
          <w:rFonts w:ascii="Times New Roman" w:hAnsi="Times New Roman" w:cs="Times New Roman"/>
        </w:rPr>
      </w:pPr>
      <w:r w:rsidRPr="000A2E75">
        <w:rPr>
          <w:rFonts w:ascii="Times New Roman" w:hAnsi="Times New Roman" w:cs="Times New Roman"/>
        </w:rPr>
        <w:t xml:space="preserve">Koca, G., &amp; Ergun, M. (2019). Organeller Konusunun Didaktiksel Dönüşüm Teorisine Göre İncelenmesi. </w:t>
      </w:r>
      <w:r w:rsidRPr="000A2E75">
        <w:rPr>
          <w:rFonts w:ascii="Times New Roman" w:hAnsi="Times New Roman" w:cs="Times New Roman"/>
          <w:i/>
        </w:rPr>
        <w:t>Presented at the Uluslararası Öğrenme, Öğretim ve Eğitim Araştırmaları (Second International Learning, Teaching and Educational Research Congress)</w:t>
      </w:r>
      <w:r w:rsidRPr="000A2E75">
        <w:rPr>
          <w:rFonts w:ascii="Times New Roman" w:hAnsi="Times New Roman" w:cs="Times New Roman"/>
        </w:rPr>
        <w:t>, Amasya.</w:t>
      </w:r>
    </w:p>
    <w:p w14:paraId="664B8C6B" w14:textId="77777777" w:rsidR="00E839E1" w:rsidRPr="000A2E75" w:rsidRDefault="00E839E1" w:rsidP="00E839E1">
      <w:pPr>
        <w:spacing w:before="120"/>
        <w:ind w:left="567" w:hanging="567"/>
        <w:jc w:val="both"/>
        <w:rPr>
          <w:rFonts w:ascii="Times New Roman" w:hAnsi="Times New Roman" w:cs="Times New Roman"/>
        </w:rPr>
      </w:pPr>
      <w:r w:rsidRPr="000A2E75">
        <w:rPr>
          <w:rFonts w:ascii="Times New Roman" w:hAnsi="Times New Roman" w:cs="Times New Roman"/>
        </w:rPr>
        <w:t xml:space="preserve">Kırtman, H. (2019). </w:t>
      </w:r>
      <w:r w:rsidRPr="000A2E75">
        <w:rPr>
          <w:rFonts w:ascii="Times New Roman" w:hAnsi="Times New Roman" w:cs="Times New Roman"/>
          <w:i/>
          <w:iCs/>
        </w:rPr>
        <w:t>Fen bilimleri program ve ders kitaplarındaki hücre kavramının didaktiksel dönüşüm teorisi yaklaşımıyla karşılaştırmalı olarak incelenmesi</w:t>
      </w:r>
      <w:r w:rsidRPr="000A2E75">
        <w:rPr>
          <w:rFonts w:ascii="Times New Roman" w:hAnsi="Times New Roman" w:cs="Times New Roman"/>
        </w:rPr>
        <w:t xml:space="preserve"> Doctoral dissertation, Marmara Universitesi Turkey.</w:t>
      </w:r>
    </w:p>
    <w:p w14:paraId="7B56CCA5" w14:textId="77777777" w:rsidR="00E839E1" w:rsidRPr="000A2E75" w:rsidRDefault="00E839E1" w:rsidP="00E839E1">
      <w:pPr>
        <w:spacing w:before="120"/>
        <w:ind w:left="567" w:hanging="567"/>
        <w:jc w:val="both"/>
        <w:rPr>
          <w:rFonts w:ascii="Times New Roman" w:hAnsi="Times New Roman" w:cs="Times New Roman"/>
        </w:rPr>
      </w:pPr>
      <w:r w:rsidRPr="000A2E75">
        <w:rPr>
          <w:rFonts w:ascii="Times New Roman" w:hAnsi="Times New Roman" w:cs="Times New Roman"/>
        </w:rPr>
        <w:t xml:space="preserve">Kırtoklu, E., &amp; Ergun, M. (2019). Hücre ve Bölünmeler Konusunun Didaktiksel Dönüşüm Teorisine Göre İncelenmesi. </w:t>
      </w:r>
      <w:r w:rsidRPr="000A2E75">
        <w:rPr>
          <w:rFonts w:ascii="Times New Roman" w:hAnsi="Times New Roman" w:cs="Times New Roman"/>
          <w:i/>
        </w:rPr>
        <w:t>Presented at the The Twelfth International Congress of Educational Research</w:t>
      </w:r>
      <w:r w:rsidRPr="000A2E75">
        <w:rPr>
          <w:rFonts w:ascii="Times New Roman" w:hAnsi="Times New Roman" w:cs="Times New Roman"/>
        </w:rPr>
        <w:t>, Rize.</w:t>
      </w:r>
    </w:p>
    <w:p w14:paraId="4BF5C5BC" w14:textId="77777777" w:rsidR="00E839E1" w:rsidRPr="000A2E75" w:rsidRDefault="00E839E1" w:rsidP="00E839E1">
      <w:pPr>
        <w:spacing w:before="120"/>
        <w:ind w:left="567" w:hanging="567"/>
        <w:jc w:val="both"/>
        <w:rPr>
          <w:rFonts w:ascii="Times New Roman" w:hAnsi="Times New Roman" w:cs="Times New Roman"/>
        </w:rPr>
      </w:pPr>
      <w:r w:rsidRPr="000A2E75">
        <w:rPr>
          <w:rFonts w:ascii="Times New Roman" w:hAnsi="Times New Roman" w:cs="Times New Roman"/>
        </w:rPr>
        <w:t>Komis, V. (2001). Didactics of Informatics: from the Formation of the Scientific Field to the Conjunction among Research and School Practice</w:t>
      </w:r>
      <w:r w:rsidRPr="000A2E75">
        <w:rPr>
          <w:rFonts w:ascii="Times New Roman" w:hAnsi="Times New Roman" w:cs="Times New Roman"/>
          <w:i/>
        </w:rPr>
        <w:t>.</w:t>
      </w:r>
      <w:r w:rsidRPr="000A2E75">
        <w:rPr>
          <w:rFonts w:ascii="Times New Roman" w:hAnsi="Times New Roman" w:cs="Times New Roman"/>
        </w:rPr>
        <w:t xml:space="preserve"> in Manolopoulos Y &amp; Evripidou S (editors), </w:t>
      </w:r>
      <w:r w:rsidRPr="000A2E75">
        <w:rPr>
          <w:rFonts w:ascii="Times New Roman" w:hAnsi="Times New Roman" w:cs="Times New Roman"/>
          <w:i/>
        </w:rPr>
        <w:t>Proceedings of 8th Panhellenic Conference on Informatics with international participation</w:t>
      </w:r>
      <w:r w:rsidRPr="000A2E75">
        <w:rPr>
          <w:rFonts w:ascii="Times New Roman" w:hAnsi="Times New Roman" w:cs="Times New Roman"/>
        </w:rPr>
        <w:t>, Greek Computer Society, University of Cyprus, November 2001, 463-471</w:t>
      </w:r>
    </w:p>
    <w:p w14:paraId="2EAF9770" w14:textId="77777777" w:rsidR="00E839E1" w:rsidRPr="000A2E75" w:rsidRDefault="00E839E1" w:rsidP="00E839E1">
      <w:pPr>
        <w:spacing w:before="120"/>
        <w:jc w:val="both"/>
        <w:rPr>
          <w:rFonts w:ascii="Times New Roman" w:hAnsi="Times New Roman" w:cs="Times New Roman"/>
        </w:rPr>
      </w:pPr>
      <w:r w:rsidRPr="000A2E75">
        <w:rPr>
          <w:rFonts w:ascii="Times New Roman" w:hAnsi="Times New Roman" w:cs="Times New Roman"/>
        </w:rPr>
        <w:t xml:space="preserve">MEB. (2018). </w:t>
      </w:r>
      <w:r w:rsidRPr="000A2E75">
        <w:rPr>
          <w:rFonts w:ascii="Times New Roman" w:hAnsi="Times New Roman" w:cs="Times New Roman"/>
          <w:i/>
        </w:rPr>
        <w:t>Fen bilimleri dersi öğretim programı</w:t>
      </w:r>
      <w:r w:rsidRPr="000A2E75">
        <w:rPr>
          <w:rFonts w:ascii="Times New Roman" w:hAnsi="Times New Roman" w:cs="Times New Roman"/>
        </w:rPr>
        <w:t xml:space="preserve"> Ankara: Talim ve Terbiye Kurulu Başkanlığı</w:t>
      </w:r>
    </w:p>
    <w:p w14:paraId="21516ADF" w14:textId="77777777" w:rsidR="00E839E1" w:rsidRPr="000A2E75" w:rsidRDefault="00E839E1" w:rsidP="00E839E1">
      <w:pPr>
        <w:spacing w:before="120"/>
        <w:jc w:val="both"/>
        <w:rPr>
          <w:rFonts w:ascii="Times New Roman" w:hAnsi="Times New Roman" w:cs="Times New Roman"/>
        </w:rPr>
      </w:pPr>
      <w:r w:rsidRPr="000A2E75">
        <w:rPr>
          <w:rFonts w:ascii="Times New Roman" w:hAnsi="Times New Roman" w:cs="Times New Roman"/>
        </w:rPr>
        <w:t xml:space="preserve">MEB. (2018). </w:t>
      </w:r>
      <w:r w:rsidRPr="000A2E75">
        <w:rPr>
          <w:rFonts w:ascii="Times New Roman" w:hAnsi="Times New Roman" w:cs="Times New Roman"/>
          <w:i/>
        </w:rPr>
        <w:t>Biyoloji dersi öğretim programı</w:t>
      </w:r>
      <w:r w:rsidRPr="000A2E75">
        <w:rPr>
          <w:rFonts w:ascii="Times New Roman" w:hAnsi="Times New Roman" w:cs="Times New Roman"/>
        </w:rPr>
        <w:t xml:space="preserve"> Ankara: Talim ve Terbiye Kurulu Başkanlığı</w:t>
      </w:r>
    </w:p>
    <w:p w14:paraId="4B7DB5EB" w14:textId="77777777" w:rsidR="00E839E1" w:rsidRPr="000A2E75" w:rsidRDefault="00E839E1" w:rsidP="00E839E1">
      <w:pPr>
        <w:spacing w:before="120"/>
        <w:ind w:left="567" w:hanging="567"/>
        <w:jc w:val="both"/>
        <w:rPr>
          <w:rFonts w:ascii="Times New Roman" w:hAnsi="Times New Roman" w:cs="Times New Roman"/>
        </w:rPr>
      </w:pPr>
      <w:r w:rsidRPr="000A2E75">
        <w:rPr>
          <w:rFonts w:ascii="Times New Roman" w:hAnsi="Times New Roman" w:cs="Times New Roman"/>
        </w:rPr>
        <w:t xml:space="preserve">Özgür, S., &amp; Pelitoğlu, F. Ç. (2008). The investigation of 6th grade student misconceptions originated from didactic about the Digestive System subject. </w:t>
      </w:r>
      <w:r w:rsidRPr="000A2E75">
        <w:rPr>
          <w:rFonts w:ascii="Times New Roman" w:hAnsi="Times New Roman" w:cs="Times New Roman"/>
          <w:i/>
        </w:rPr>
        <w:t>Educational Sciences: Theory and Practice</w:t>
      </w:r>
      <w:r w:rsidRPr="000A2E75">
        <w:rPr>
          <w:rFonts w:ascii="Times New Roman" w:hAnsi="Times New Roman" w:cs="Times New Roman"/>
        </w:rPr>
        <w:t>, 8(1), 149-159.</w:t>
      </w:r>
    </w:p>
    <w:p w14:paraId="30B8C819" w14:textId="77777777" w:rsidR="00E839E1" w:rsidRPr="000A2E75" w:rsidRDefault="00E839E1" w:rsidP="00E839E1">
      <w:pPr>
        <w:spacing w:before="120"/>
        <w:ind w:left="567" w:hanging="567"/>
        <w:jc w:val="both"/>
        <w:rPr>
          <w:rFonts w:ascii="Times New Roman" w:hAnsi="Times New Roman" w:cs="Times New Roman"/>
        </w:rPr>
      </w:pPr>
      <w:r w:rsidRPr="000A2E75">
        <w:rPr>
          <w:rFonts w:ascii="Times New Roman" w:hAnsi="Times New Roman" w:cs="Times New Roman"/>
        </w:rPr>
        <w:t xml:space="preserve">Schlemminger, G. (1995). L’enseignement des langues au défi de la transposition didactique. </w:t>
      </w:r>
      <w:r w:rsidRPr="000A2E75">
        <w:rPr>
          <w:rFonts w:ascii="Times New Roman" w:hAnsi="Times New Roman" w:cs="Times New Roman"/>
          <w:i/>
          <w:iCs/>
        </w:rPr>
        <w:t>Spirale-Revue de recherches en éducation</w:t>
      </w:r>
      <w:r w:rsidRPr="000A2E75">
        <w:rPr>
          <w:rFonts w:ascii="Times New Roman" w:hAnsi="Times New Roman" w:cs="Times New Roman"/>
        </w:rPr>
        <w:t xml:space="preserve">, </w:t>
      </w:r>
      <w:r w:rsidRPr="000A2E75">
        <w:rPr>
          <w:rFonts w:ascii="Times New Roman" w:hAnsi="Times New Roman" w:cs="Times New Roman"/>
          <w:i/>
          <w:iCs/>
        </w:rPr>
        <w:t>16</w:t>
      </w:r>
      <w:r w:rsidRPr="000A2E75">
        <w:rPr>
          <w:rFonts w:ascii="Times New Roman" w:hAnsi="Times New Roman" w:cs="Times New Roman"/>
        </w:rPr>
        <w:t>(1), 147-168.</w:t>
      </w:r>
    </w:p>
    <w:p w14:paraId="3BE124C0" w14:textId="77777777" w:rsidR="00E839E1" w:rsidRPr="000A2E75" w:rsidRDefault="00E839E1" w:rsidP="00E839E1">
      <w:pPr>
        <w:spacing w:before="120"/>
        <w:jc w:val="both"/>
        <w:rPr>
          <w:rFonts w:ascii="Times New Roman" w:hAnsi="Times New Roman" w:cs="Times New Roman"/>
        </w:rPr>
      </w:pPr>
      <w:r w:rsidRPr="000A2E75">
        <w:rPr>
          <w:rFonts w:ascii="Times New Roman" w:hAnsi="Times New Roman" w:cs="Times New Roman"/>
        </w:rPr>
        <w:t xml:space="preserve">Tokgöz H. vd. (2019). </w:t>
      </w:r>
      <w:r w:rsidRPr="000A2E75">
        <w:rPr>
          <w:rFonts w:ascii="Times New Roman" w:hAnsi="Times New Roman" w:cs="Times New Roman"/>
          <w:i/>
        </w:rPr>
        <w:t>Biyoloji 11 Ders Kitabı</w:t>
      </w:r>
      <w:r w:rsidRPr="000A2E75">
        <w:rPr>
          <w:rFonts w:ascii="Times New Roman" w:hAnsi="Times New Roman" w:cs="Times New Roman"/>
        </w:rPr>
        <w:t>. İstanbul: MEB</w:t>
      </w:r>
    </w:p>
    <w:p w14:paraId="474BA008" w14:textId="77777777" w:rsidR="00E839E1" w:rsidRPr="000A2E75" w:rsidRDefault="00E839E1" w:rsidP="00E839E1">
      <w:pPr>
        <w:spacing w:before="120"/>
        <w:ind w:left="567" w:hanging="567"/>
        <w:jc w:val="both"/>
        <w:rPr>
          <w:rFonts w:ascii="Times New Roman" w:hAnsi="Times New Roman" w:cs="Times New Roman"/>
        </w:rPr>
      </w:pPr>
      <w:r w:rsidRPr="000A2E75">
        <w:rPr>
          <w:rFonts w:ascii="Times New Roman" w:hAnsi="Times New Roman" w:cs="Times New Roman"/>
        </w:rPr>
        <w:t xml:space="preserve">Yıldırım, M. (2002). </w:t>
      </w:r>
      <w:r w:rsidRPr="000A2E75">
        <w:rPr>
          <w:rFonts w:ascii="Times New Roman" w:hAnsi="Times New Roman" w:cs="Times New Roman"/>
          <w:i/>
        </w:rPr>
        <w:t xml:space="preserve">Le Concept De Chromosome Dans L’enseignement Génétique En France et En Turquie Dans L’enseignement Sécondaire. Approche Didactique. </w:t>
      </w:r>
      <w:r w:rsidRPr="000A2E75">
        <w:rPr>
          <w:rFonts w:ascii="Times New Roman" w:hAnsi="Times New Roman" w:cs="Times New Roman"/>
        </w:rPr>
        <w:t>Unpublished Memoire de D.E.A. Université Réné Descartes Paris 5. Faculté des Sciences Humaines et Sociales-Sorbonne, Paris, France.</w:t>
      </w:r>
    </w:p>
    <w:p w14:paraId="3B473B48" w14:textId="77777777" w:rsidR="00E839E1" w:rsidRPr="000A2E75" w:rsidRDefault="00E839E1" w:rsidP="00E839E1">
      <w:pPr>
        <w:spacing w:before="120"/>
        <w:ind w:left="567" w:hanging="567"/>
        <w:jc w:val="both"/>
        <w:rPr>
          <w:rFonts w:ascii="Times New Roman" w:hAnsi="Times New Roman" w:cs="Times New Roman"/>
        </w:rPr>
      </w:pPr>
      <w:r w:rsidRPr="000A2E75">
        <w:rPr>
          <w:rFonts w:ascii="Times New Roman" w:hAnsi="Times New Roman" w:cs="Times New Roman"/>
        </w:rPr>
        <w:t xml:space="preserve">Yıldırım, A. ve Şimşek, H. (2013). </w:t>
      </w:r>
      <w:r w:rsidRPr="000A2E75">
        <w:rPr>
          <w:rFonts w:ascii="Times New Roman" w:hAnsi="Times New Roman" w:cs="Times New Roman"/>
          <w:i/>
        </w:rPr>
        <w:t>Sosyal bilimlerde nitel araştırma yöntemleri.</w:t>
      </w:r>
      <w:r w:rsidRPr="000A2E75">
        <w:rPr>
          <w:rFonts w:ascii="Times New Roman" w:hAnsi="Times New Roman" w:cs="Times New Roman"/>
        </w:rPr>
        <w:t xml:space="preserve"> Ankara: Seçkin Yayınevi.</w:t>
      </w:r>
    </w:p>
    <w:p w14:paraId="36BA13F8" w14:textId="77777777" w:rsidR="00E839E1" w:rsidRPr="000A2E75" w:rsidRDefault="00E839E1" w:rsidP="00E839E1">
      <w:pPr>
        <w:spacing w:before="120"/>
        <w:ind w:left="567" w:hanging="567"/>
        <w:jc w:val="both"/>
        <w:rPr>
          <w:rFonts w:ascii="Times New Roman" w:hAnsi="Times New Roman" w:cs="Times New Roman"/>
        </w:rPr>
      </w:pPr>
      <w:r w:rsidRPr="000A2E75">
        <w:rPr>
          <w:rFonts w:ascii="Times New Roman" w:hAnsi="Times New Roman" w:cs="Times New Roman"/>
        </w:rPr>
        <w:lastRenderedPageBreak/>
        <w:t>Yıldırım, M. (2008). İlköğretim fen ve teknoloji dersinde genetik ünitesinin bilimsel bilgilerden öğretmen bilgilerine geçişinin didaktiksel dönüşüm teorisi yaklaşımıyla değerlendirilmesi.</w:t>
      </w:r>
      <w:r w:rsidRPr="000A2E75">
        <w:rPr>
          <w:rFonts w:ascii="Times New Roman" w:hAnsi="Times New Roman" w:cs="Times New Roman"/>
          <w:i/>
        </w:rPr>
        <w:t xml:space="preserve"> Ondokuz Mayıs Üniversitesi Eğitim Fakültesi Dergisi, </w:t>
      </w:r>
      <w:r w:rsidRPr="000A2E75">
        <w:rPr>
          <w:rFonts w:ascii="Times New Roman" w:hAnsi="Times New Roman" w:cs="Times New Roman"/>
        </w:rPr>
        <w:t>31(1), 294–324</w:t>
      </w:r>
      <w:r w:rsidRPr="000A2E75">
        <w:rPr>
          <w:rFonts w:ascii="Times New Roman" w:hAnsi="Times New Roman" w:cs="Times New Roman"/>
          <w:i/>
        </w:rPr>
        <w:t>.</w:t>
      </w:r>
    </w:p>
    <w:p w14:paraId="1B9CF0A1" w14:textId="77777777" w:rsidR="00E839E1" w:rsidRPr="000A2E75" w:rsidRDefault="00E839E1" w:rsidP="00E839E1">
      <w:pPr>
        <w:spacing w:before="120"/>
        <w:ind w:left="567" w:hanging="567"/>
        <w:jc w:val="both"/>
        <w:rPr>
          <w:rFonts w:ascii="Times New Roman" w:hAnsi="Times New Roman" w:cs="Times New Roman"/>
        </w:rPr>
      </w:pPr>
      <w:r w:rsidRPr="000A2E75">
        <w:rPr>
          <w:rFonts w:ascii="Times New Roman" w:hAnsi="Times New Roman" w:cs="Times New Roman"/>
        </w:rPr>
        <w:t xml:space="preserve">Yıldırım, M., &amp; Şahin, F. (2009). Didaktiksel Dönüşüm Teorisi ve Fen Eğitimi. </w:t>
      </w:r>
      <w:r w:rsidRPr="000A2E75">
        <w:rPr>
          <w:rFonts w:ascii="Times New Roman" w:hAnsi="Times New Roman" w:cs="Times New Roman"/>
          <w:i/>
          <w:iCs/>
        </w:rPr>
        <w:t>Necatibey Faculty of Education Electronic Journal of Science &amp; Mathematics Education</w:t>
      </w:r>
      <w:r w:rsidRPr="000A2E75">
        <w:rPr>
          <w:rFonts w:ascii="Times New Roman" w:hAnsi="Times New Roman" w:cs="Times New Roman"/>
        </w:rPr>
        <w:t xml:space="preserve">, </w:t>
      </w:r>
      <w:r w:rsidRPr="000A2E75">
        <w:rPr>
          <w:rFonts w:ascii="Times New Roman" w:hAnsi="Times New Roman" w:cs="Times New Roman"/>
          <w:i/>
          <w:iCs/>
        </w:rPr>
        <w:t>3</w:t>
      </w:r>
      <w:r w:rsidRPr="000A2E75">
        <w:rPr>
          <w:rFonts w:ascii="Times New Roman" w:hAnsi="Times New Roman" w:cs="Times New Roman"/>
        </w:rPr>
        <w:t xml:space="preserve">(1), 17-45. </w:t>
      </w:r>
    </w:p>
    <w:p w14:paraId="6EC81AAA" w14:textId="77777777" w:rsidR="00E839E1" w:rsidRPr="000A2E75" w:rsidRDefault="00E839E1" w:rsidP="00E839E1">
      <w:pPr>
        <w:spacing w:before="120"/>
        <w:jc w:val="both"/>
        <w:rPr>
          <w:rFonts w:ascii="Times New Roman" w:hAnsi="Times New Roman" w:cs="Times New Roman"/>
        </w:rPr>
      </w:pPr>
      <w:r w:rsidRPr="000A2E75">
        <w:rPr>
          <w:rFonts w:ascii="Times New Roman" w:hAnsi="Times New Roman" w:cs="Times New Roman"/>
        </w:rPr>
        <w:t xml:space="preserve">Yıldırım S., Aydın A. &amp; Sarıkavak İ. (2019). </w:t>
      </w:r>
      <w:r w:rsidRPr="000A2E75">
        <w:rPr>
          <w:rFonts w:ascii="Times New Roman" w:hAnsi="Times New Roman" w:cs="Times New Roman"/>
          <w:i/>
        </w:rPr>
        <w:t xml:space="preserve">Fen Bilimleri 6 Ders Kitabı. </w:t>
      </w:r>
      <w:r w:rsidRPr="000A2E75">
        <w:rPr>
          <w:rFonts w:ascii="Times New Roman" w:hAnsi="Times New Roman" w:cs="Times New Roman"/>
        </w:rPr>
        <w:t>İstanbul: MEB</w:t>
      </w:r>
      <w:r w:rsidRPr="000A2E75">
        <w:rPr>
          <w:rFonts w:ascii="Times New Roman" w:hAnsi="Times New Roman" w:cs="Times New Roman"/>
        </w:rPr>
        <w:br w:type="page"/>
      </w:r>
    </w:p>
    <w:p w14:paraId="0DB3E538" w14:textId="77777777" w:rsidR="00E839E1" w:rsidRPr="000A2E75" w:rsidRDefault="00E839E1" w:rsidP="00E839E1">
      <w:pPr>
        <w:pStyle w:val="Balk1"/>
        <w:rPr>
          <w:rFonts w:ascii="Times New Roman" w:hAnsi="Times New Roman" w:cs="Times New Roman"/>
          <w:b/>
          <w:color w:val="000000" w:themeColor="text1"/>
          <w:sz w:val="24"/>
          <w:szCs w:val="24"/>
        </w:rPr>
      </w:pPr>
      <w:bookmarkStart w:id="199" w:name="_Toc69817020"/>
      <w:bookmarkStart w:id="200" w:name="_Toc70612042"/>
      <w:bookmarkStart w:id="201" w:name="_Toc72754681"/>
      <w:bookmarkStart w:id="202" w:name="_Toc72755953"/>
      <w:bookmarkStart w:id="203" w:name="_Toc72961765"/>
      <w:r w:rsidRPr="000A2E75">
        <w:rPr>
          <w:rFonts w:ascii="Times New Roman" w:hAnsi="Times New Roman" w:cs="Times New Roman"/>
          <w:b/>
          <w:color w:val="000000" w:themeColor="text1"/>
          <w:sz w:val="24"/>
          <w:szCs w:val="24"/>
        </w:rPr>
        <w:lastRenderedPageBreak/>
        <w:t>YAZILI İFADE ÖĞRETİMİNDE KANIT TEMELLİ BİR UYGULAMA MODELİ: KENDİNİ DÜZENLEME STRATEJİLERİNİ GELİŞTİRME</w:t>
      </w:r>
      <w:bookmarkEnd w:id="199"/>
      <w:bookmarkEnd w:id="200"/>
      <w:bookmarkEnd w:id="201"/>
      <w:bookmarkEnd w:id="202"/>
      <w:bookmarkEnd w:id="203"/>
    </w:p>
    <w:p w14:paraId="496D59C1" w14:textId="77777777" w:rsidR="00E839E1" w:rsidRPr="000A2E75" w:rsidRDefault="00E839E1" w:rsidP="00E839E1">
      <w:pPr>
        <w:jc w:val="both"/>
        <w:rPr>
          <w:rFonts w:ascii="Times New Roman" w:hAnsi="Times New Roman" w:cs="Times New Roman"/>
          <w:color w:val="000000" w:themeColor="text1"/>
        </w:rPr>
      </w:pPr>
      <w:bookmarkStart w:id="204" w:name="_Toc69817021"/>
    </w:p>
    <w:p w14:paraId="031914BD" w14:textId="77777777" w:rsidR="00E839E1" w:rsidRPr="000A2E75" w:rsidRDefault="00E839E1" w:rsidP="00E839E1">
      <w:pPr>
        <w:pStyle w:val="Balk2"/>
        <w:rPr>
          <w:rFonts w:ascii="Times New Roman" w:hAnsi="Times New Roman" w:cs="Times New Roman"/>
          <w:color w:val="000000" w:themeColor="text1"/>
          <w:sz w:val="20"/>
          <w:szCs w:val="20"/>
          <w:lang w:val="tr-TR"/>
        </w:rPr>
      </w:pPr>
      <w:bookmarkStart w:id="205" w:name="_Toc70612043"/>
      <w:bookmarkStart w:id="206" w:name="_Toc72754682"/>
      <w:bookmarkStart w:id="207" w:name="_Toc72755954"/>
      <w:bookmarkStart w:id="208" w:name="_Toc72961766"/>
      <w:r w:rsidRPr="000A2E75">
        <w:rPr>
          <w:rStyle w:val="Balk2Char"/>
          <w:rFonts w:ascii="Times New Roman" w:hAnsi="Times New Roman" w:cs="Times New Roman"/>
          <w:sz w:val="20"/>
          <w:szCs w:val="20"/>
          <w:lang w:val="tr-TR"/>
        </w:rPr>
        <w:t>Dr.Ozgul Güler BÜLBÜL</w:t>
      </w:r>
      <w:bookmarkEnd w:id="205"/>
      <w:r w:rsidRPr="000A2E75">
        <w:rPr>
          <w:rFonts w:ascii="Times New Roman" w:hAnsi="Times New Roman" w:cs="Times New Roman"/>
          <w:color w:val="000000" w:themeColor="text1"/>
          <w:sz w:val="20"/>
          <w:szCs w:val="20"/>
          <w:lang w:val="tr-TR"/>
        </w:rPr>
        <w:t xml:space="preserve">, </w:t>
      </w:r>
      <w:r w:rsidRPr="000A2E75">
        <w:rPr>
          <w:rFonts w:ascii="Times New Roman" w:hAnsi="Times New Roman" w:cs="Times New Roman"/>
          <w:b w:val="0"/>
          <w:color w:val="000000" w:themeColor="text1"/>
          <w:sz w:val="20"/>
          <w:szCs w:val="20"/>
          <w:lang w:val="tr-TR"/>
        </w:rPr>
        <w:t>Başkent Üniversitesi, 06790, Ankara, Turkiye</w:t>
      </w:r>
      <w:bookmarkEnd w:id="204"/>
      <w:bookmarkEnd w:id="206"/>
      <w:bookmarkEnd w:id="207"/>
      <w:bookmarkEnd w:id="208"/>
    </w:p>
    <w:p w14:paraId="743D3F0B" w14:textId="77777777" w:rsidR="00E839E1" w:rsidRPr="000A2E75" w:rsidRDefault="00E839E1" w:rsidP="00E839E1">
      <w:pPr>
        <w:spacing w:after="120"/>
        <w:jc w:val="both"/>
        <w:rPr>
          <w:rFonts w:ascii="Times New Roman" w:hAnsi="Times New Roman" w:cs="Times New Roman"/>
          <w:color w:val="000000" w:themeColor="text1"/>
        </w:rPr>
      </w:pPr>
      <w:r w:rsidRPr="000A2E75">
        <w:rPr>
          <w:rFonts w:ascii="Times New Roman" w:hAnsi="Times New Roman" w:cs="Times New Roman"/>
          <w:i/>
          <w:color w:val="000000" w:themeColor="text1"/>
        </w:rPr>
        <w:t>e-mail</w:t>
      </w:r>
      <w:r w:rsidRPr="000A2E75">
        <w:rPr>
          <w:rFonts w:ascii="Times New Roman" w:hAnsi="Times New Roman" w:cs="Times New Roman"/>
          <w:color w:val="000000" w:themeColor="text1"/>
        </w:rPr>
        <w:t xml:space="preserve">:  </w:t>
      </w:r>
      <w:hyperlink r:id="rId378" w:history="1">
        <w:r w:rsidRPr="000A2E75">
          <w:rPr>
            <w:rStyle w:val="Kpr"/>
            <w:rFonts w:ascii="Times New Roman" w:hAnsi="Times New Roman" w:cs="Times New Roman"/>
          </w:rPr>
          <w:t>ozgulbulbul@gmail.com</w:t>
        </w:r>
      </w:hyperlink>
      <w:r w:rsidRPr="000A2E75">
        <w:rPr>
          <w:rFonts w:ascii="Times New Roman" w:hAnsi="Times New Roman" w:cs="Times New Roman"/>
          <w:color w:val="000000" w:themeColor="text1"/>
        </w:rPr>
        <w:t xml:space="preserve"> </w:t>
      </w:r>
      <w:r w:rsidRPr="000A2E75">
        <w:rPr>
          <w:rFonts w:ascii="Times New Roman" w:hAnsi="Times New Roman" w:cs="Times New Roman"/>
          <w:i/>
          <w:color w:val="000000" w:themeColor="text1"/>
        </w:rPr>
        <w:t>ORCID ID</w:t>
      </w:r>
      <w:r w:rsidRPr="000A2E75">
        <w:rPr>
          <w:rFonts w:ascii="Times New Roman" w:hAnsi="Times New Roman" w:cs="Times New Roman"/>
          <w:color w:val="000000" w:themeColor="text1"/>
        </w:rPr>
        <w:t>: 0000-0003-1859-1585</w:t>
      </w:r>
    </w:p>
    <w:p w14:paraId="6CA88587" w14:textId="77777777" w:rsidR="00E839E1" w:rsidRPr="000A2E75" w:rsidRDefault="00E839E1" w:rsidP="00E839E1">
      <w:pPr>
        <w:spacing w:after="120"/>
        <w:jc w:val="both"/>
        <w:rPr>
          <w:rFonts w:ascii="Times New Roman" w:hAnsi="Times New Roman" w:cs="Times New Roman"/>
          <w:color w:val="000000" w:themeColor="text1"/>
        </w:rPr>
      </w:pPr>
    </w:p>
    <w:p w14:paraId="1817789E" w14:textId="77777777" w:rsidR="00E839E1" w:rsidRPr="000A2E75" w:rsidRDefault="00E839E1" w:rsidP="00E839E1">
      <w:pPr>
        <w:spacing w:after="120"/>
        <w:jc w:val="both"/>
        <w:rPr>
          <w:rStyle w:val="orcid-id-https"/>
          <w:rFonts w:ascii="Times New Roman" w:hAnsi="Times New Roman" w:cs="Times New Roman"/>
          <w:b/>
        </w:rPr>
      </w:pPr>
      <w:r w:rsidRPr="000A2E75">
        <w:rPr>
          <w:rStyle w:val="orcid-id-https"/>
          <w:rFonts w:ascii="Times New Roman" w:hAnsi="Times New Roman" w:cs="Times New Roman"/>
        </w:rPr>
        <w:t>Özet</w:t>
      </w:r>
    </w:p>
    <w:p w14:paraId="577B0084" w14:textId="77777777" w:rsidR="00E839E1" w:rsidRPr="000A2E75" w:rsidRDefault="00E839E1" w:rsidP="00E839E1">
      <w:pPr>
        <w:spacing w:after="120"/>
        <w:jc w:val="both"/>
        <w:rPr>
          <w:rFonts w:ascii="Times New Roman" w:hAnsi="Times New Roman" w:cs="Times New Roman"/>
        </w:rPr>
      </w:pPr>
      <w:r w:rsidRPr="000A2E75">
        <w:rPr>
          <w:rFonts w:ascii="Times New Roman" w:hAnsi="Times New Roman" w:cs="Times New Roman"/>
          <w:lang w:eastAsia="tr-TR"/>
        </w:rPr>
        <w:tab/>
      </w:r>
      <w:r w:rsidRPr="000A2E75">
        <w:rPr>
          <w:rFonts w:ascii="Times New Roman" w:hAnsi="Times New Roman" w:cs="Times New Roman"/>
        </w:rPr>
        <w:t>Kendini düzenleme stratejilerini geliştirme modeli (KDSG) yazılı ifade öğretiminde kullanılan kanıt temelli uygulama modellerinden biridir.</w:t>
      </w:r>
    </w:p>
    <w:p w14:paraId="24CFADDC" w14:textId="77777777" w:rsidR="00E839E1" w:rsidRPr="000A2E75" w:rsidRDefault="00E839E1" w:rsidP="00E839E1">
      <w:pPr>
        <w:spacing w:after="120"/>
        <w:ind w:firstLine="708"/>
        <w:jc w:val="both"/>
        <w:rPr>
          <w:rFonts w:ascii="Times New Roman" w:hAnsi="Times New Roman" w:cs="Times New Roman"/>
        </w:rPr>
      </w:pPr>
      <w:r w:rsidRPr="000A2E75">
        <w:rPr>
          <w:rFonts w:ascii="Times New Roman" w:hAnsi="Times New Roman" w:cs="Times New Roman"/>
        </w:rPr>
        <w:t>Bu derleme çalışmasının amacı, KDSG modelinin temel özellikleri ile öğretim aşamalarını açıklamak ve bu modelin kullanıldığı belirli stratejileri tanıtarak ilgili araştırma örneklerini okuyucuyla paylaşmaktır.</w:t>
      </w:r>
    </w:p>
    <w:p w14:paraId="4E4D8599" w14:textId="77777777" w:rsidR="00E839E1" w:rsidRPr="000A2E75" w:rsidRDefault="00E839E1" w:rsidP="00E839E1">
      <w:pPr>
        <w:spacing w:after="120"/>
        <w:ind w:firstLine="709"/>
        <w:jc w:val="both"/>
        <w:rPr>
          <w:rFonts w:ascii="Times New Roman" w:hAnsi="Times New Roman" w:cs="Times New Roman"/>
        </w:rPr>
      </w:pPr>
      <w:r w:rsidRPr="000A2E75">
        <w:rPr>
          <w:rFonts w:ascii="Times New Roman" w:hAnsi="Times New Roman" w:cs="Times New Roman"/>
        </w:rPr>
        <w:t>Çalışmada öncelikle yazılı ifade sürecinde kullanılan bilişsel ve üst bilişsel stratejiler tanıtılacaktır. Daha sonra KDSG modelini diğer öğretim modellerinden ayıran temel özellikler ve modelin öğretim aşamaları açıklanacaktır. Son olarak KDSG modelinin kullanıldığı farklı türlerde metin yazmaya yönelik etkililiği kanıtlanmış stratejiler tanıtılarak bu stratejilerin kullanıldığı araştırma örneklerine yer verilecektir.</w:t>
      </w:r>
    </w:p>
    <w:p w14:paraId="0F0B0CA9" w14:textId="77777777" w:rsidR="00E839E1" w:rsidRPr="000A2E75" w:rsidRDefault="00E839E1" w:rsidP="00E839E1">
      <w:pPr>
        <w:spacing w:after="120"/>
        <w:ind w:firstLine="709"/>
        <w:jc w:val="both"/>
        <w:rPr>
          <w:rFonts w:ascii="Times New Roman" w:hAnsi="Times New Roman" w:cs="Times New Roman"/>
        </w:rPr>
      </w:pPr>
      <w:r w:rsidRPr="000A2E75">
        <w:rPr>
          <w:rFonts w:ascii="Times New Roman" w:hAnsi="Times New Roman" w:cs="Times New Roman"/>
        </w:rPr>
        <w:t xml:space="preserve">Bu çalışmanın yazılı ifade alanında çalışan akademisyenlere ve öğrencilerinin yazılı ifade becerilerini geliştirmeyi hedefleyen öğretmenlere ışık tutacağı düşünülmektedir. </w:t>
      </w:r>
    </w:p>
    <w:p w14:paraId="35F16D36" w14:textId="77777777" w:rsidR="00E839E1" w:rsidRPr="000A2E75" w:rsidRDefault="00E839E1" w:rsidP="00E839E1">
      <w:pPr>
        <w:autoSpaceDE w:val="0"/>
        <w:autoSpaceDN w:val="0"/>
        <w:adjustRightInd w:val="0"/>
        <w:spacing w:after="120"/>
        <w:ind w:left="709" w:hanging="709"/>
        <w:jc w:val="both"/>
        <w:rPr>
          <w:rFonts w:ascii="Times New Roman" w:hAnsi="Times New Roman" w:cs="Times New Roman"/>
        </w:rPr>
      </w:pPr>
      <w:r w:rsidRPr="000A2E75">
        <w:rPr>
          <w:rFonts w:ascii="Times New Roman" w:hAnsi="Times New Roman" w:cs="Times New Roman"/>
          <w:b/>
        </w:rPr>
        <w:t xml:space="preserve">Anahtar kelimeler: </w:t>
      </w:r>
      <w:r w:rsidRPr="000A2E75">
        <w:rPr>
          <w:rFonts w:ascii="Times New Roman" w:hAnsi="Times New Roman" w:cs="Times New Roman"/>
        </w:rPr>
        <w:t>Yazılı ifade, strateji öğretimi, kendini düzenleme, kanıt temelli uygulama.</w:t>
      </w:r>
    </w:p>
    <w:p w14:paraId="09F784D7" w14:textId="77777777" w:rsidR="00E839E1" w:rsidRPr="000A2E75" w:rsidRDefault="00E839E1" w:rsidP="00E839E1">
      <w:pPr>
        <w:autoSpaceDE w:val="0"/>
        <w:autoSpaceDN w:val="0"/>
        <w:adjustRightInd w:val="0"/>
        <w:spacing w:after="120"/>
        <w:ind w:left="709" w:hanging="709"/>
        <w:jc w:val="both"/>
        <w:rPr>
          <w:rFonts w:ascii="Times New Roman" w:hAnsi="Times New Roman" w:cs="Times New Roman"/>
        </w:rPr>
      </w:pPr>
    </w:p>
    <w:p w14:paraId="77AFE5DF" w14:textId="77777777" w:rsidR="00E839E1" w:rsidRPr="000A2E75" w:rsidRDefault="00E839E1" w:rsidP="00E839E1">
      <w:pPr>
        <w:pStyle w:val="Balk2"/>
        <w:spacing w:after="120"/>
        <w:rPr>
          <w:rFonts w:ascii="Times New Roman" w:hAnsi="Times New Roman" w:cs="Times New Roman"/>
          <w:b w:val="0"/>
          <w:sz w:val="22"/>
          <w:szCs w:val="22"/>
          <w:lang w:val="tr-TR"/>
        </w:rPr>
      </w:pPr>
      <w:bookmarkStart w:id="209" w:name="_Toc72739695"/>
      <w:bookmarkStart w:id="210" w:name="_Toc72754176"/>
      <w:bookmarkStart w:id="211" w:name="_Toc72754683"/>
      <w:bookmarkStart w:id="212" w:name="_Toc72755955"/>
      <w:bookmarkStart w:id="213" w:name="_Toc72961767"/>
      <w:r w:rsidRPr="000A2E75">
        <w:rPr>
          <w:rFonts w:ascii="Times New Roman" w:hAnsi="Times New Roman" w:cs="Times New Roman"/>
          <w:sz w:val="22"/>
          <w:szCs w:val="22"/>
          <w:lang w:val="tr-TR"/>
        </w:rPr>
        <w:t>Yazılı İfade Sürecinde Kullanılan Bilişsel Stratejiler</w:t>
      </w:r>
      <w:bookmarkEnd w:id="209"/>
      <w:bookmarkEnd w:id="210"/>
      <w:bookmarkEnd w:id="211"/>
      <w:bookmarkEnd w:id="212"/>
      <w:bookmarkEnd w:id="213"/>
    </w:p>
    <w:p w14:paraId="32129DF0" w14:textId="77777777" w:rsidR="00E839E1" w:rsidRPr="000A2E75" w:rsidRDefault="00E839E1" w:rsidP="00E839E1">
      <w:pPr>
        <w:ind w:firstLine="708"/>
        <w:jc w:val="both"/>
        <w:rPr>
          <w:rFonts w:ascii="Times New Roman" w:hAnsi="Times New Roman" w:cs="Times New Roman"/>
          <w:b/>
        </w:rPr>
      </w:pPr>
      <w:r w:rsidRPr="000A2E75">
        <w:rPr>
          <w:rFonts w:ascii="Times New Roman" w:hAnsi="Times New Roman" w:cs="Times New Roman"/>
          <w:lang w:eastAsia="tr-TR"/>
        </w:rPr>
        <w:t>Kendimizi ifade ettiğimiz önemli kanallardan biri yazılı metinlerdir. Metinler yoluyla duygularımızı, düşüncelerimizi, bilgilerimizi ve hayallerimizi okuyanlara aktararak kendimizi gerçekleştirme sürecinde önemli adımlar atarız. Fikir aktarımını başarılı bir şekilde gerçekleştiren yazarlar yazılı ifade stratejilerini gelişmiş şekilde uygulayan yazarlardır (</w:t>
      </w:r>
      <w:r w:rsidRPr="000A2E75">
        <w:rPr>
          <w:rFonts w:ascii="Times New Roman" w:hAnsi="Times New Roman" w:cs="Times New Roman"/>
        </w:rPr>
        <w:t xml:space="preserve">Reid ve Lienemann, 2006). Bir metin ortaya çıkarma süreci hem bilişsel hem de üstbilişel stratejilerin kullanılmasını gerektirir (Englert, 1990; Harris Santangelo, ve Graham, 2010).  </w:t>
      </w:r>
    </w:p>
    <w:p w14:paraId="0F41D8D5" w14:textId="77777777" w:rsidR="00E839E1" w:rsidRPr="000A2E75" w:rsidRDefault="00E839E1" w:rsidP="00E839E1">
      <w:pPr>
        <w:spacing w:after="120"/>
        <w:ind w:firstLine="709"/>
        <w:jc w:val="both"/>
        <w:rPr>
          <w:rFonts w:ascii="Times New Roman" w:hAnsi="Times New Roman" w:cs="Times New Roman"/>
        </w:rPr>
      </w:pPr>
      <w:r w:rsidRPr="000A2E75">
        <w:rPr>
          <w:rFonts w:ascii="Times New Roman" w:hAnsi="Times New Roman" w:cs="Times New Roman"/>
        </w:rPr>
        <w:t xml:space="preserve">Bilişsel stratejiler bir problemi çözmek için izlediğimiz yolları oluşturur (Friend, 2006). Yazma sürecinde kullanılan bilişsel stratejiler yetkin yazarlar temel alınarak oluşturulmuştur (Englert, 1990). Bu stratejiler sırasıyla, </w:t>
      </w:r>
      <w:r w:rsidRPr="000A2E75">
        <w:rPr>
          <w:rFonts w:ascii="Times New Roman" w:hAnsi="Times New Roman" w:cs="Times New Roman"/>
          <w:i/>
        </w:rPr>
        <w:t xml:space="preserve">planlama ve düzenleme, yazma/taslak oluşturma, düzeltme </w:t>
      </w:r>
      <w:r w:rsidRPr="000A2E75">
        <w:rPr>
          <w:rFonts w:ascii="Times New Roman" w:hAnsi="Times New Roman" w:cs="Times New Roman"/>
        </w:rPr>
        <w:t>ve</w:t>
      </w:r>
      <w:r w:rsidRPr="000A2E75">
        <w:rPr>
          <w:rFonts w:ascii="Times New Roman" w:hAnsi="Times New Roman" w:cs="Times New Roman"/>
          <w:i/>
        </w:rPr>
        <w:t xml:space="preserve"> gözden geçirme </w:t>
      </w:r>
      <w:r w:rsidRPr="000A2E75">
        <w:rPr>
          <w:rFonts w:ascii="Times New Roman" w:hAnsi="Times New Roman" w:cs="Times New Roman"/>
        </w:rPr>
        <w:t xml:space="preserve">olarak sınıflandırılmaktadır (Englert ve Mariage, 1991; Harris ve Graham, 1996). </w:t>
      </w:r>
    </w:p>
    <w:p w14:paraId="6C281248" w14:textId="77777777" w:rsidR="00E839E1" w:rsidRPr="000A2E75" w:rsidRDefault="00E839E1" w:rsidP="00E839E1">
      <w:pPr>
        <w:spacing w:before="120" w:after="120"/>
        <w:ind w:firstLine="709"/>
        <w:jc w:val="both"/>
        <w:rPr>
          <w:rFonts w:ascii="Times New Roman" w:hAnsi="Times New Roman" w:cs="Times New Roman"/>
          <w:lang w:val="fr-FR"/>
        </w:rPr>
      </w:pPr>
      <w:r w:rsidRPr="000A2E75">
        <w:rPr>
          <w:rFonts w:ascii="Times New Roman" w:hAnsi="Times New Roman" w:cs="Times New Roman"/>
          <w:lang w:val="fr-FR"/>
        </w:rPr>
        <w:t xml:space="preserve">Yazma süreci planlama ile başlar. Bu aşamada yetkin yazarlar okuyucu kitlesine göre yazma amacını belirleyerek konu ile ilgili ön bilgilerini harekete geçirir (Englert ve Mariage, 1991; Englert ve Raphael, 1988). Yetkin yazarlar ön bilgilerini harekete geçirmek için beyin fırtınası yapma gibi bilişsel stratejiler kullanırlar (Scardamalia ve Bereiter, 1986). Planlamaya yer vermeyen yazarlar ise aklına gelen fikirleri doğrudan yazma eğilimi gösterirler (Hillocks, 1986; Scardamalia ve Bereiter, 1986; Thomas, Englert ve Gregg, 1987). Planlama aşaması beraberinde fikirleri </w:t>
      </w:r>
      <w:r w:rsidRPr="000A2E75">
        <w:rPr>
          <w:rFonts w:ascii="Times New Roman" w:hAnsi="Times New Roman" w:cs="Times New Roman"/>
          <w:i/>
          <w:lang w:val="fr-FR"/>
        </w:rPr>
        <w:t>düzenleme</w:t>
      </w:r>
      <w:r w:rsidRPr="000A2E75">
        <w:rPr>
          <w:rFonts w:ascii="Times New Roman" w:hAnsi="Times New Roman" w:cs="Times New Roman"/>
          <w:lang w:val="fr-FR"/>
        </w:rPr>
        <w:t xml:space="preserve"> aşamasını getirir. Bu süreçte yazarlar fikirlerini düzenlemek için çeşitli grafikler, tablolar ya da metin bölümleri, anahtar sözcükler, hatırlatıcı sorular gibi bir takım ipuçları içeren kâğıtlar kullanabilirler (Englert, 2009; Harris ve Graham, 1996). Bazı araştırmacılar planlama ve fikirleri düzenleme aşamalarını ayrı ayrı ele alırken (Englert, 1991) bazıları bu iki aşamayı tek bir çatı altında işlemektedir (Harris ve Graham, 1996).</w:t>
      </w:r>
    </w:p>
    <w:p w14:paraId="5852491E" w14:textId="77777777" w:rsidR="00E839E1" w:rsidRPr="000A2E75" w:rsidRDefault="00E839E1" w:rsidP="00E839E1">
      <w:pPr>
        <w:spacing w:before="120" w:after="120"/>
        <w:ind w:firstLine="709"/>
        <w:jc w:val="both"/>
        <w:rPr>
          <w:rFonts w:ascii="Times New Roman" w:hAnsi="Times New Roman" w:cs="Times New Roman"/>
          <w:lang w:val="fr-FR"/>
        </w:rPr>
      </w:pPr>
      <w:r w:rsidRPr="000A2E75">
        <w:rPr>
          <w:rFonts w:ascii="Times New Roman" w:hAnsi="Times New Roman" w:cs="Times New Roman"/>
          <w:lang w:val="fr-FR"/>
        </w:rPr>
        <w:lastRenderedPageBreak/>
        <w:t>Planlama sürecinin ardından taslak oluşturma aşaması gelir. Bu aşamada yazarlar okuyucu kitlesini düşünerek ve planlarına bakarak metinlerine ilk halini verirler. Taslak oluşturma, bir önceki aşamada kısa kısa alınan notların cümlelere ve bölümlere ayrılarak yazıldığı ve fikirlerin metin formunu aldığı aşamadır. Ancak bu metinler henüz tam işlenmemiş ve gerekli iyileştirmeler yapılmamış olduğundan metnin ham halini oluşturur ve bu nedenle “taslak” olarak nitelendirilir (Englert ve Mariage, 1991). Taslak oluşturma stratejisine yer vermeyen yazarlar aklına gelen fikirleri rasgele yazıp öğretmen vb. dış kaynakların olurlarına ya da “bir sayfa, kâğıt bitene kadar” vb. niceliksel ölçütlere göre yazma sürecini bitirerek metinlerinin ilk ve son hallerini oluştururlar (Hillocks, 1986; Scardamalia ve Bereiter, 1986; Thomas, Englert ve Gregg, 1987).</w:t>
      </w:r>
    </w:p>
    <w:p w14:paraId="67CBF291" w14:textId="77777777" w:rsidR="00E839E1" w:rsidRPr="000A2E75" w:rsidRDefault="00E839E1" w:rsidP="00E839E1">
      <w:pPr>
        <w:spacing w:before="120" w:after="120"/>
        <w:ind w:firstLine="709"/>
        <w:jc w:val="both"/>
        <w:rPr>
          <w:rFonts w:ascii="Times New Roman" w:hAnsi="Times New Roman" w:cs="Times New Roman"/>
          <w:lang w:val="fr-FR"/>
        </w:rPr>
      </w:pPr>
      <w:r w:rsidRPr="000A2E75">
        <w:rPr>
          <w:rFonts w:ascii="Times New Roman" w:hAnsi="Times New Roman" w:cs="Times New Roman"/>
          <w:lang w:val="fr-FR"/>
        </w:rPr>
        <w:t>Taslak halde yazılan metinlerin üzerinde bir takım gözden geçirme ve düzeltme stratejileri uygulanarak daha gelişmiş metinler elde etme yolunda çalışılır. Tipik bir yeniden düzenleme işlemi (revizyon) yazarın yazdığı metni okuması, metnindeki problemleri tespit etmesi ve yeniden yazması gibi işlemlerden oluşur (Hayes ve Flower, 1980). Metni okuma ve değerlendirme işlemi yazar dışında alanda uzman kişiler, akranlar ya da öğretmenler tarafından da yapılabilir (Englert, 2009; Harris ve Graham, 1996; MacArthur, Schwartz ve Graham, 1991). Gözden geçirme işleminde metnin güçlü ve zayıf yanlarını fark etme ve metni okuyucuya daha iyi organize edilmiş şekilde aktarma üzerinde odaklanılır (Graham, 1997; Graham ve Harris, 2005). Bu süreçte yazar metnine yeni fikirler ekleyebilir, fikir sıralamasını değiştirebilir ya da okuyucuya iyi aktaramadığını düşündüğü fikirleri metninden çıkarabilir. Düzeltme sürecinde ise metindeki düşünceye odaklanılırken düzeltme sürecinde metindeki yazım hataları, kelime/cümle seçimi, dilbilgisi kurallarına uygunluğu gibi daha çok ürün üzerinde durulur. Çoğu zaman birbirini tamamlayan bu iki süreci ayırt etmek için süreçte neye odaklandığına bakmak gerekir. Gözden geçirme sürecinde metni var eden düşüncelere odaklanılırken düzeltme sürecinde düşüncelerin aktarıldığı metin üzerinde yoğunlaşılır (Graham, 1997; Scardamalia ve Bereiter, 1986).</w:t>
      </w:r>
    </w:p>
    <w:p w14:paraId="16258962" w14:textId="77777777" w:rsidR="00E839E1" w:rsidRPr="000A2E75" w:rsidRDefault="00E839E1" w:rsidP="00E839E1">
      <w:pPr>
        <w:spacing w:before="120" w:after="120"/>
        <w:ind w:firstLine="709"/>
        <w:jc w:val="both"/>
        <w:rPr>
          <w:rFonts w:ascii="Times New Roman" w:hAnsi="Times New Roman" w:cs="Times New Roman"/>
        </w:rPr>
      </w:pPr>
      <w:r w:rsidRPr="000A2E75">
        <w:rPr>
          <w:rFonts w:ascii="Times New Roman" w:hAnsi="Times New Roman" w:cs="Times New Roman"/>
          <w:lang w:val="fr-FR"/>
        </w:rPr>
        <w:t xml:space="preserve">Yazma süreci planlamadan düzeltmeye doğru bir sıra izlese de süreç içinde eklenebilecek fikirler ve yapılacak düzenlemelerle bazı aşamalar tekrarlanabilir. Örneğin yazar, aklına gelen fikirleri not ettiği planlama kâğıdına bakarak metnin taslağını oluştururken o sırada aklına gelen yeni bir fikri planlama kâğıdına ekleyebilir hatta planlama kâğıdını bu yeni fikirle birlikte yeniden şekillendirebilir. Ya da düzeltme aşamasında arkadaşının, ebeveyninin veya öğretmeninin önerilerine göre metnini yeniden yazabilir ve bu son halini tekrar gözden geçirebilir. Yazma süreci bu nedenle ardı ardına tamamlanması gereken bir iş listesi olmaktan çok bazen bir önceki aşamaya dönmeyi gerektiren ancak her zaman metni daha fazla geliştirerek ilerleyen aktif bir süreçtir.  </w:t>
      </w:r>
      <w:r w:rsidRPr="000A2E75">
        <w:rPr>
          <w:rFonts w:ascii="Times New Roman" w:hAnsi="Times New Roman" w:cs="Times New Roman"/>
        </w:rPr>
        <w:t>Bu süreçte yapılan her işlem metin kalitesini geliştirir (Graham ve Harris, 2005).</w:t>
      </w:r>
    </w:p>
    <w:p w14:paraId="39142CE0" w14:textId="1D113E72" w:rsidR="00E839E1" w:rsidRDefault="00E839E1" w:rsidP="00E839E1">
      <w:pPr>
        <w:spacing w:before="120" w:after="120"/>
        <w:ind w:firstLine="709"/>
        <w:jc w:val="both"/>
        <w:rPr>
          <w:rFonts w:ascii="Times New Roman" w:hAnsi="Times New Roman" w:cs="Times New Roman"/>
        </w:rPr>
      </w:pPr>
      <w:r w:rsidRPr="000A2E75">
        <w:rPr>
          <w:rFonts w:ascii="Times New Roman" w:hAnsi="Times New Roman" w:cs="Times New Roman"/>
        </w:rPr>
        <w:t>Yazma sürecinin her bir alt işlemini gerçekleştirmeye yönelik uygulanabilecek çeşitli bilişsel stratejiler bulunmaktadır. Tablo 1’de yazılı ifade alt işlemleri yetkin yazarlar ile yazma sürecinde zorlanan ve bu nedenle düşük performans gösteren yazarların kullandıkları stratejilere örnekler verilerek açıklanmıştır.</w:t>
      </w:r>
    </w:p>
    <w:p w14:paraId="39956824" w14:textId="2CD02A12" w:rsidR="00E839E1" w:rsidRDefault="00E839E1" w:rsidP="00E839E1">
      <w:pPr>
        <w:spacing w:before="120" w:after="120"/>
        <w:ind w:firstLine="709"/>
        <w:jc w:val="both"/>
        <w:rPr>
          <w:rFonts w:ascii="Times New Roman" w:hAnsi="Times New Roman" w:cs="Times New Roman"/>
        </w:rPr>
      </w:pPr>
    </w:p>
    <w:p w14:paraId="48EAB67A" w14:textId="23916FEB" w:rsidR="00E839E1" w:rsidRDefault="00E839E1" w:rsidP="00E839E1">
      <w:pPr>
        <w:spacing w:before="120" w:after="120"/>
        <w:ind w:firstLine="709"/>
        <w:jc w:val="both"/>
        <w:rPr>
          <w:rFonts w:ascii="Times New Roman" w:hAnsi="Times New Roman" w:cs="Times New Roman"/>
        </w:rPr>
      </w:pPr>
    </w:p>
    <w:p w14:paraId="1D7F41AC" w14:textId="3F01C9DC" w:rsidR="00E839E1" w:rsidRDefault="00E839E1" w:rsidP="00E839E1">
      <w:pPr>
        <w:spacing w:before="120" w:after="120"/>
        <w:ind w:firstLine="709"/>
        <w:jc w:val="both"/>
        <w:rPr>
          <w:rFonts w:ascii="Times New Roman" w:hAnsi="Times New Roman" w:cs="Times New Roman"/>
        </w:rPr>
      </w:pPr>
    </w:p>
    <w:p w14:paraId="42A9CC32" w14:textId="54D7C6C1" w:rsidR="00E839E1" w:rsidRDefault="00E839E1" w:rsidP="00E839E1">
      <w:pPr>
        <w:spacing w:before="120" w:after="120"/>
        <w:ind w:firstLine="709"/>
        <w:jc w:val="both"/>
        <w:rPr>
          <w:rFonts w:ascii="Times New Roman" w:hAnsi="Times New Roman" w:cs="Times New Roman"/>
        </w:rPr>
      </w:pPr>
    </w:p>
    <w:p w14:paraId="74F0CC9A" w14:textId="046CDAB4" w:rsidR="00E839E1" w:rsidRDefault="00E839E1" w:rsidP="00E839E1">
      <w:pPr>
        <w:spacing w:before="120" w:after="120"/>
        <w:ind w:firstLine="709"/>
        <w:jc w:val="both"/>
        <w:rPr>
          <w:rFonts w:ascii="Times New Roman" w:hAnsi="Times New Roman" w:cs="Times New Roman"/>
        </w:rPr>
      </w:pPr>
    </w:p>
    <w:p w14:paraId="5F0EEF59" w14:textId="6813A34B" w:rsidR="00E839E1" w:rsidRDefault="00E839E1" w:rsidP="00E839E1">
      <w:pPr>
        <w:spacing w:before="120" w:after="120"/>
        <w:ind w:firstLine="709"/>
        <w:jc w:val="both"/>
        <w:rPr>
          <w:rFonts w:ascii="Times New Roman" w:hAnsi="Times New Roman" w:cs="Times New Roman"/>
        </w:rPr>
      </w:pPr>
    </w:p>
    <w:p w14:paraId="546C5E58" w14:textId="0AD13DE6" w:rsidR="00E839E1" w:rsidRDefault="00E839E1" w:rsidP="00E839E1">
      <w:pPr>
        <w:spacing w:before="120" w:after="120"/>
        <w:ind w:firstLine="709"/>
        <w:jc w:val="both"/>
        <w:rPr>
          <w:rFonts w:ascii="Times New Roman" w:hAnsi="Times New Roman" w:cs="Times New Roman"/>
        </w:rPr>
      </w:pPr>
    </w:p>
    <w:p w14:paraId="18405DEC" w14:textId="248D7739" w:rsidR="00E839E1" w:rsidRDefault="00E839E1" w:rsidP="00E839E1">
      <w:pPr>
        <w:spacing w:before="120" w:after="120"/>
        <w:ind w:firstLine="709"/>
        <w:jc w:val="both"/>
        <w:rPr>
          <w:rFonts w:ascii="Times New Roman" w:hAnsi="Times New Roman" w:cs="Times New Roman"/>
        </w:rPr>
      </w:pPr>
    </w:p>
    <w:p w14:paraId="6223944E" w14:textId="77777777" w:rsidR="00E839E1" w:rsidRPr="000A2E75" w:rsidRDefault="00E839E1" w:rsidP="00E839E1">
      <w:pPr>
        <w:spacing w:before="120" w:after="120"/>
        <w:ind w:firstLine="709"/>
        <w:jc w:val="both"/>
        <w:rPr>
          <w:rFonts w:ascii="Times New Roman" w:hAnsi="Times New Roman" w:cs="Times New Roman"/>
        </w:rPr>
      </w:pPr>
    </w:p>
    <w:p w14:paraId="560A50A9" w14:textId="77777777" w:rsidR="00E839E1" w:rsidRPr="000A2E75" w:rsidRDefault="00E839E1" w:rsidP="00E839E1">
      <w:pPr>
        <w:pStyle w:val="Tablo"/>
        <w:rPr>
          <w:rStyle w:val="TabloChar"/>
          <w:b/>
        </w:rPr>
      </w:pPr>
      <w:bookmarkStart w:id="214" w:name="_Toc442285281"/>
      <w:r w:rsidRPr="000A2E75">
        <w:rPr>
          <w:rStyle w:val="TabloChar"/>
          <w:b/>
        </w:rPr>
        <w:lastRenderedPageBreak/>
        <w:t>Tablo 1</w:t>
      </w:r>
    </w:p>
    <w:p w14:paraId="64C54194" w14:textId="77777777" w:rsidR="00E839E1" w:rsidRPr="000A2E75" w:rsidRDefault="00E839E1" w:rsidP="00E839E1">
      <w:pPr>
        <w:pStyle w:val="Tablo"/>
        <w:rPr>
          <w:rStyle w:val="TabloChar"/>
          <w:i/>
        </w:rPr>
      </w:pPr>
      <w:r w:rsidRPr="000A2E75">
        <w:rPr>
          <w:rStyle w:val="TabloChar"/>
        </w:rPr>
        <w:t>Yazılı İfade Sürecinde, Yetkin ve Yazmada Düşük Performans Gösteren Yazarların Kullandıkları Bilişsel Stratejiler</w:t>
      </w:r>
      <w:bookmarkEnd w:id="214"/>
    </w:p>
    <w:tbl>
      <w:tblPr>
        <w:tblW w:w="0" w:type="auto"/>
        <w:tblLook w:val="00A0" w:firstRow="1" w:lastRow="0" w:firstColumn="1" w:lastColumn="0" w:noHBand="0" w:noVBand="0"/>
      </w:tblPr>
      <w:tblGrid>
        <w:gridCol w:w="1205"/>
        <w:gridCol w:w="5132"/>
        <w:gridCol w:w="2663"/>
      </w:tblGrid>
      <w:tr w:rsidR="00E839E1" w:rsidRPr="000A2E75" w14:paraId="26F21BF5" w14:textId="77777777" w:rsidTr="00E839E1">
        <w:tc>
          <w:tcPr>
            <w:tcW w:w="1205" w:type="dxa"/>
          </w:tcPr>
          <w:p w14:paraId="7E71B0F7" w14:textId="77777777" w:rsidR="00E839E1" w:rsidRPr="000A2E75" w:rsidRDefault="00E839E1" w:rsidP="00E839E1">
            <w:pPr>
              <w:spacing w:after="120"/>
              <w:jc w:val="center"/>
              <w:rPr>
                <w:bCs/>
              </w:rPr>
            </w:pPr>
            <w:r w:rsidRPr="000A2E75">
              <w:rPr>
                <w:bCs/>
              </w:rPr>
              <w:t>Yazılı İfade Alt İşlemi</w:t>
            </w:r>
          </w:p>
        </w:tc>
        <w:tc>
          <w:tcPr>
            <w:tcW w:w="5132" w:type="dxa"/>
          </w:tcPr>
          <w:p w14:paraId="6A9EEAA4" w14:textId="77777777" w:rsidR="00E839E1" w:rsidRPr="000A2E75" w:rsidRDefault="00E839E1" w:rsidP="00E839E1">
            <w:pPr>
              <w:spacing w:after="120"/>
              <w:jc w:val="center"/>
              <w:rPr>
                <w:bCs/>
              </w:rPr>
            </w:pPr>
            <w:r w:rsidRPr="000A2E75">
              <w:rPr>
                <w:bCs/>
              </w:rPr>
              <w:t>Yetkin Yazarların Kullandığı Bilişsel Stratejiler</w:t>
            </w:r>
          </w:p>
        </w:tc>
        <w:tc>
          <w:tcPr>
            <w:tcW w:w="2663" w:type="dxa"/>
          </w:tcPr>
          <w:p w14:paraId="6D9C799B" w14:textId="77777777" w:rsidR="00E839E1" w:rsidRPr="000A2E75" w:rsidRDefault="00E839E1" w:rsidP="00E839E1">
            <w:pPr>
              <w:spacing w:after="120"/>
              <w:jc w:val="center"/>
              <w:rPr>
                <w:bCs/>
              </w:rPr>
            </w:pPr>
            <w:r w:rsidRPr="000A2E75">
              <w:rPr>
                <w:bCs/>
              </w:rPr>
              <w:t>Yazmada Düşük Performans Gösteren Yazarların Kullandığı Bilişsel Stratejiler</w:t>
            </w:r>
          </w:p>
        </w:tc>
      </w:tr>
      <w:tr w:rsidR="00E839E1" w:rsidRPr="000A2E75" w14:paraId="67C7B989" w14:textId="77777777" w:rsidTr="00E839E1">
        <w:trPr>
          <w:trHeight w:val="745"/>
        </w:trPr>
        <w:tc>
          <w:tcPr>
            <w:tcW w:w="1205" w:type="dxa"/>
          </w:tcPr>
          <w:p w14:paraId="3127482B" w14:textId="77777777" w:rsidR="00E839E1" w:rsidRPr="000A2E75" w:rsidRDefault="00E839E1" w:rsidP="00E839E1">
            <w:pPr>
              <w:spacing w:after="120"/>
              <w:rPr>
                <w:bCs/>
                <w:i/>
              </w:rPr>
            </w:pPr>
            <w:r w:rsidRPr="000A2E75">
              <w:rPr>
                <w:bCs/>
                <w:i/>
              </w:rPr>
              <w:t>Planlama</w:t>
            </w:r>
          </w:p>
        </w:tc>
        <w:tc>
          <w:tcPr>
            <w:tcW w:w="5132" w:type="dxa"/>
          </w:tcPr>
          <w:p w14:paraId="4B085C02" w14:textId="77777777" w:rsidR="00E839E1" w:rsidRPr="000A2E75" w:rsidRDefault="00E839E1" w:rsidP="008934F8">
            <w:pPr>
              <w:pStyle w:val="ListeParagraf"/>
              <w:numPr>
                <w:ilvl w:val="0"/>
                <w:numId w:val="59"/>
              </w:numPr>
              <w:spacing w:before="120" w:after="120"/>
              <w:contextualSpacing w:val="0"/>
            </w:pPr>
            <w:r w:rsidRPr="000A2E75">
              <w:t>Hedef kitleyi belirleme</w:t>
            </w:r>
          </w:p>
          <w:p w14:paraId="1ABE9005" w14:textId="77777777" w:rsidR="00E839E1" w:rsidRPr="000A2E75" w:rsidRDefault="00E839E1" w:rsidP="008934F8">
            <w:pPr>
              <w:pStyle w:val="ListeParagraf"/>
              <w:numPr>
                <w:ilvl w:val="0"/>
                <w:numId w:val="59"/>
              </w:numPr>
              <w:spacing w:before="120" w:after="120"/>
              <w:contextualSpacing w:val="0"/>
            </w:pPr>
            <w:r w:rsidRPr="000A2E75">
              <w:t>Yazma amacını belirleme</w:t>
            </w:r>
          </w:p>
          <w:p w14:paraId="1BA7DABF" w14:textId="77777777" w:rsidR="00E839E1" w:rsidRPr="000A2E75" w:rsidRDefault="00E839E1" w:rsidP="008934F8">
            <w:pPr>
              <w:pStyle w:val="ListeParagraf"/>
              <w:numPr>
                <w:ilvl w:val="0"/>
                <w:numId w:val="59"/>
              </w:numPr>
              <w:spacing w:before="120" w:after="120"/>
              <w:contextualSpacing w:val="0"/>
            </w:pPr>
            <w:r w:rsidRPr="000A2E75">
              <w:t xml:space="preserve">Beyin fırtınası yapma </w:t>
            </w:r>
          </w:p>
        </w:tc>
        <w:tc>
          <w:tcPr>
            <w:tcW w:w="2663" w:type="dxa"/>
          </w:tcPr>
          <w:p w14:paraId="117F9D71" w14:textId="77777777" w:rsidR="00E839E1" w:rsidRPr="000A2E75" w:rsidRDefault="00E839E1" w:rsidP="008934F8">
            <w:pPr>
              <w:pStyle w:val="ListeParagraf"/>
              <w:numPr>
                <w:ilvl w:val="0"/>
                <w:numId w:val="59"/>
              </w:numPr>
              <w:spacing w:before="120" w:after="120"/>
              <w:contextualSpacing w:val="0"/>
            </w:pPr>
            <w:r w:rsidRPr="000A2E75">
              <w:t>Başlık atıp yazmaya başlama</w:t>
            </w:r>
          </w:p>
        </w:tc>
      </w:tr>
      <w:tr w:rsidR="00E839E1" w:rsidRPr="000A2E75" w14:paraId="52A1C4A3" w14:textId="77777777" w:rsidTr="00E839E1">
        <w:trPr>
          <w:trHeight w:val="463"/>
        </w:trPr>
        <w:tc>
          <w:tcPr>
            <w:tcW w:w="1205" w:type="dxa"/>
          </w:tcPr>
          <w:p w14:paraId="7425B387" w14:textId="77777777" w:rsidR="00E839E1" w:rsidRPr="000A2E75" w:rsidRDefault="00E839E1" w:rsidP="00E839E1">
            <w:pPr>
              <w:spacing w:after="120"/>
              <w:rPr>
                <w:bCs/>
                <w:i/>
              </w:rPr>
            </w:pPr>
            <w:r w:rsidRPr="000A2E75">
              <w:rPr>
                <w:bCs/>
                <w:i/>
              </w:rPr>
              <w:t>Düzenleme</w:t>
            </w:r>
          </w:p>
        </w:tc>
        <w:tc>
          <w:tcPr>
            <w:tcW w:w="5132" w:type="dxa"/>
          </w:tcPr>
          <w:p w14:paraId="65653E6C" w14:textId="77777777" w:rsidR="00E839E1" w:rsidRPr="000A2E75" w:rsidRDefault="00E839E1" w:rsidP="008934F8">
            <w:pPr>
              <w:pStyle w:val="ListeParagraf"/>
              <w:numPr>
                <w:ilvl w:val="0"/>
                <w:numId w:val="59"/>
              </w:numPr>
              <w:spacing w:before="120" w:after="120"/>
              <w:contextualSpacing w:val="0"/>
            </w:pPr>
            <w:r w:rsidRPr="000A2E75">
              <w:t>Fikirlerini gruplama</w:t>
            </w:r>
          </w:p>
          <w:p w14:paraId="7818A327" w14:textId="77777777" w:rsidR="00E839E1" w:rsidRPr="000A2E75" w:rsidRDefault="00E839E1" w:rsidP="008934F8">
            <w:pPr>
              <w:pStyle w:val="ListeParagraf"/>
              <w:numPr>
                <w:ilvl w:val="0"/>
                <w:numId w:val="59"/>
              </w:numPr>
              <w:spacing w:before="120" w:after="120"/>
              <w:contextualSpacing w:val="0"/>
            </w:pPr>
            <w:r w:rsidRPr="000A2E75">
              <w:t>Fikirlerini düzenleme</w:t>
            </w:r>
          </w:p>
        </w:tc>
        <w:tc>
          <w:tcPr>
            <w:tcW w:w="2663" w:type="dxa"/>
          </w:tcPr>
          <w:p w14:paraId="6437FAEA" w14:textId="77777777" w:rsidR="00E839E1" w:rsidRPr="000A2E75" w:rsidRDefault="00E839E1" w:rsidP="008934F8">
            <w:pPr>
              <w:pStyle w:val="ListeParagraf"/>
              <w:numPr>
                <w:ilvl w:val="0"/>
                <w:numId w:val="59"/>
              </w:numPr>
              <w:spacing w:before="120" w:after="120"/>
              <w:contextualSpacing w:val="0"/>
            </w:pPr>
            <w:r w:rsidRPr="000A2E75">
              <w:t>Başlık atıp yazmaya başlama</w:t>
            </w:r>
          </w:p>
        </w:tc>
      </w:tr>
      <w:tr w:rsidR="00E839E1" w:rsidRPr="000A2E75" w14:paraId="448FA11D" w14:textId="77777777" w:rsidTr="00E839E1">
        <w:trPr>
          <w:trHeight w:val="1134"/>
        </w:trPr>
        <w:tc>
          <w:tcPr>
            <w:tcW w:w="1205" w:type="dxa"/>
          </w:tcPr>
          <w:p w14:paraId="2301950E" w14:textId="77777777" w:rsidR="00E839E1" w:rsidRPr="000A2E75" w:rsidRDefault="00E839E1" w:rsidP="00E839E1">
            <w:pPr>
              <w:spacing w:after="120"/>
              <w:rPr>
                <w:bCs/>
                <w:i/>
              </w:rPr>
            </w:pPr>
            <w:r w:rsidRPr="000A2E75">
              <w:rPr>
                <w:bCs/>
                <w:i/>
              </w:rPr>
              <w:t>Taslak oluşturma ve Yazma</w:t>
            </w:r>
          </w:p>
        </w:tc>
        <w:tc>
          <w:tcPr>
            <w:tcW w:w="5132" w:type="dxa"/>
          </w:tcPr>
          <w:p w14:paraId="0EC00CE3" w14:textId="77777777" w:rsidR="00E839E1" w:rsidRPr="000A2E75" w:rsidRDefault="00E839E1" w:rsidP="008934F8">
            <w:pPr>
              <w:pStyle w:val="ListeParagraf"/>
              <w:numPr>
                <w:ilvl w:val="0"/>
                <w:numId w:val="59"/>
              </w:numPr>
              <w:spacing w:before="120" w:after="120"/>
              <w:contextualSpacing w:val="0"/>
            </w:pPr>
            <w:r w:rsidRPr="000A2E75">
              <w:t xml:space="preserve">Planlama kâğıdından yararlanarak yazma </w:t>
            </w:r>
          </w:p>
          <w:p w14:paraId="78BB08EC" w14:textId="77777777" w:rsidR="00E839E1" w:rsidRPr="000A2E75" w:rsidRDefault="00E839E1" w:rsidP="008934F8">
            <w:pPr>
              <w:pStyle w:val="ListeParagraf"/>
              <w:numPr>
                <w:ilvl w:val="0"/>
                <w:numId w:val="59"/>
              </w:numPr>
              <w:spacing w:before="120" w:after="120"/>
              <w:contextualSpacing w:val="0"/>
            </w:pPr>
            <w:r w:rsidRPr="000A2E75">
              <w:t>Yazım dilini okuyucuya göre belirleme</w:t>
            </w:r>
          </w:p>
          <w:p w14:paraId="3A52493C" w14:textId="77777777" w:rsidR="00E839E1" w:rsidRPr="000A2E75" w:rsidRDefault="00E839E1" w:rsidP="008934F8">
            <w:pPr>
              <w:pStyle w:val="ListeParagraf"/>
              <w:numPr>
                <w:ilvl w:val="0"/>
                <w:numId w:val="59"/>
              </w:numPr>
              <w:spacing w:before="120" w:after="120"/>
              <w:contextualSpacing w:val="0"/>
            </w:pPr>
            <w:r w:rsidRPr="000A2E75">
              <w:t>Aklıma yeni gelen fikirleri planlama kâğıdına ve taslağına ekleme</w:t>
            </w:r>
          </w:p>
          <w:p w14:paraId="01D05440" w14:textId="77777777" w:rsidR="00E839E1" w:rsidRPr="000A2E75" w:rsidRDefault="00E839E1" w:rsidP="008934F8">
            <w:pPr>
              <w:pStyle w:val="ListeParagraf"/>
              <w:numPr>
                <w:ilvl w:val="0"/>
                <w:numId w:val="59"/>
              </w:numPr>
              <w:spacing w:before="120" w:after="120"/>
              <w:contextualSpacing w:val="0"/>
            </w:pPr>
            <w:r w:rsidRPr="000A2E75">
              <w:t>Beğenmediği fikirleri silme</w:t>
            </w:r>
          </w:p>
          <w:p w14:paraId="303CB95F" w14:textId="77777777" w:rsidR="00E839E1" w:rsidRPr="000A2E75" w:rsidRDefault="00E839E1" w:rsidP="008934F8">
            <w:pPr>
              <w:pStyle w:val="ListeParagraf"/>
              <w:numPr>
                <w:ilvl w:val="0"/>
                <w:numId w:val="59"/>
              </w:numPr>
              <w:spacing w:before="120" w:after="120"/>
              <w:contextualSpacing w:val="0"/>
            </w:pPr>
            <w:r w:rsidRPr="000A2E75">
              <w:t>Yazarken anahtar kelimeleri kullanma ve geçiş cümleleri yazma</w:t>
            </w:r>
          </w:p>
          <w:p w14:paraId="24A04C1B" w14:textId="77777777" w:rsidR="00E839E1" w:rsidRPr="000A2E75" w:rsidRDefault="00E839E1" w:rsidP="008934F8">
            <w:pPr>
              <w:pStyle w:val="ListeParagraf"/>
              <w:numPr>
                <w:ilvl w:val="0"/>
                <w:numId w:val="59"/>
              </w:numPr>
              <w:spacing w:before="120" w:after="120"/>
              <w:contextualSpacing w:val="0"/>
            </w:pPr>
            <w:r w:rsidRPr="000A2E75">
              <w:t>Noktalama işaretlerini doğru kullanma</w:t>
            </w:r>
          </w:p>
        </w:tc>
        <w:tc>
          <w:tcPr>
            <w:tcW w:w="2663" w:type="dxa"/>
          </w:tcPr>
          <w:p w14:paraId="34946314" w14:textId="77777777" w:rsidR="00E839E1" w:rsidRPr="000A2E75" w:rsidRDefault="00E839E1" w:rsidP="008934F8">
            <w:pPr>
              <w:pStyle w:val="ListeParagraf"/>
              <w:numPr>
                <w:ilvl w:val="0"/>
                <w:numId w:val="59"/>
              </w:numPr>
              <w:spacing w:before="120" w:after="120"/>
              <w:contextualSpacing w:val="0"/>
            </w:pPr>
            <w:r w:rsidRPr="000A2E75">
              <w:t>Aklına gelen fikirleri rastgele yazma</w:t>
            </w:r>
          </w:p>
          <w:p w14:paraId="3BA9C3BE" w14:textId="77777777" w:rsidR="00E839E1" w:rsidRPr="000A2E75" w:rsidRDefault="00E839E1" w:rsidP="008934F8">
            <w:pPr>
              <w:pStyle w:val="ListeParagraf"/>
              <w:numPr>
                <w:ilvl w:val="0"/>
                <w:numId w:val="59"/>
              </w:numPr>
              <w:spacing w:before="120" w:after="120"/>
              <w:contextualSpacing w:val="0"/>
            </w:pPr>
            <w:r w:rsidRPr="000A2E75">
              <w:t>Öğretmeni “tamam” deyince yazmayı bitirme</w:t>
            </w:r>
          </w:p>
          <w:p w14:paraId="7AC722D1" w14:textId="77777777" w:rsidR="00E839E1" w:rsidRPr="000A2E75" w:rsidRDefault="00E839E1" w:rsidP="008934F8">
            <w:pPr>
              <w:pStyle w:val="ListeParagraf"/>
              <w:numPr>
                <w:ilvl w:val="0"/>
                <w:numId w:val="59"/>
              </w:numPr>
              <w:spacing w:before="120" w:after="120"/>
              <w:contextualSpacing w:val="0"/>
            </w:pPr>
            <w:r w:rsidRPr="000A2E75">
              <w:t>Belirli bir miktar yazdıktan sonra yazmayı bitirme</w:t>
            </w:r>
          </w:p>
        </w:tc>
      </w:tr>
      <w:tr w:rsidR="00E839E1" w:rsidRPr="000A2E75" w14:paraId="00E9E984" w14:textId="77777777" w:rsidTr="00E839E1">
        <w:trPr>
          <w:trHeight w:val="1607"/>
        </w:trPr>
        <w:tc>
          <w:tcPr>
            <w:tcW w:w="1205" w:type="dxa"/>
          </w:tcPr>
          <w:p w14:paraId="5524B2AC" w14:textId="77777777" w:rsidR="00E839E1" w:rsidRPr="000A2E75" w:rsidRDefault="00E839E1" w:rsidP="00E839E1">
            <w:pPr>
              <w:spacing w:after="120"/>
              <w:rPr>
                <w:bCs/>
                <w:i/>
              </w:rPr>
            </w:pPr>
            <w:r w:rsidRPr="000A2E75">
              <w:rPr>
                <w:bCs/>
                <w:i/>
              </w:rPr>
              <w:t xml:space="preserve">Gözden geçirme </w:t>
            </w:r>
          </w:p>
        </w:tc>
        <w:tc>
          <w:tcPr>
            <w:tcW w:w="5132" w:type="dxa"/>
          </w:tcPr>
          <w:p w14:paraId="7BE741DA" w14:textId="77777777" w:rsidR="00E839E1" w:rsidRPr="000A2E75" w:rsidRDefault="00E839E1" w:rsidP="008934F8">
            <w:pPr>
              <w:pStyle w:val="ListeParagraf"/>
              <w:numPr>
                <w:ilvl w:val="0"/>
                <w:numId w:val="59"/>
              </w:numPr>
              <w:spacing w:before="120"/>
              <w:contextualSpacing w:val="0"/>
            </w:pPr>
            <w:r w:rsidRPr="000A2E75">
              <w:t>Yazma amacına ulaşıp ulaşmadığını kontrol etme</w:t>
            </w:r>
          </w:p>
          <w:p w14:paraId="71D6526F" w14:textId="77777777" w:rsidR="00E839E1" w:rsidRPr="000A2E75" w:rsidRDefault="00E839E1" w:rsidP="008934F8">
            <w:pPr>
              <w:pStyle w:val="ListeParagraf"/>
              <w:numPr>
                <w:ilvl w:val="0"/>
                <w:numId w:val="59"/>
              </w:numPr>
              <w:spacing w:before="120"/>
              <w:contextualSpacing w:val="0"/>
            </w:pPr>
            <w:r w:rsidRPr="000A2E75">
              <w:t>Metnin tüm ögeleri içerip içermediğini ve eksik ögeleri belirleme</w:t>
            </w:r>
          </w:p>
          <w:p w14:paraId="46257179" w14:textId="77777777" w:rsidR="00E839E1" w:rsidRPr="000A2E75" w:rsidRDefault="00E839E1" w:rsidP="008934F8">
            <w:pPr>
              <w:pStyle w:val="ListeParagraf"/>
              <w:numPr>
                <w:ilvl w:val="0"/>
                <w:numId w:val="59"/>
              </w:numPr>
              <w:spacing w:before="120"/>
              <w:contextualSpacing w:val="0"/>
            </w:pPr>
            <w:r w:rsidRPr="000A2E75">
              <w:t>Metindeki gelişmemiş ögeleri okuyucunun gözünde canlandıracağı şekilde gelişmiş olarak nasıl yazabileceğini belirleme</w:t>
            </w:r>
          </w:p>
          <w:p w14:paraId="257F0042" w14:textId="77777777" w:rsidR="00E839E1" w:rsidRPr="000A2E75" w:rsidRDefault="00E839E1" w:rsidP="008934F8">
            <w:pPr>
              <w:pStyle w:val="ListeParagraf"/>
              <w:numPr>
                <w:ilvl w:val="0"/>
                <w:numId w:val="59"/>
              </w:numPr>
              <w:spacing w:before="120"/>
              <w:contextualSpacing w:val="0"/>
            </w:pPr>
            <w:r w:rsidRPr="000A2E75">
              <w:t>Yazım yanlışlarını kontrol etme</w:t>
            </w:r>
          </w:p>
        </w:tc>
        <w:tc>
          <w:tcPr>
            <w:tcW w:w="2663" w:type="dxa"/>
            <w:vAlign w:val="center"/>
          </w:tcPr>
          <w:p w14:paraId="14399A87" w14:textId="77777777" w:rsidR="00E839E1" w:rsidRPr="000A2E75" w:rsidRDefault="00E839E1" w:rsidP="008934F8">
            <w:pPr>
              <w:pStyle w:val="ListeParagraf"/>
              <w:numPr>
                <w:ilvl w:val="0"/>
                <w:numId w:val="59"/>
              </w:numPr>
              <w:spacing w:before="120"/>
              <w:contextualSpacing w:val="0"/>
            </w:pPr>
            <w:r w:rsidRPr="000A2E75">
              <w:t>Metne kısa bir süre göz gezdirme</w:t>
            </w:r>
          </w:p>
        </w:tc>
      </w:tr>
      <w:tr w:rsidR="00E839E1" w:rsidRPr="000A2E75" w14:paraId="16512E0D" w14:textId="77777777" w:rsidTr="00E839E1">
        <w:trPr>
          <w:trHeight w:val="39"/>
        </w:trPr>
        <w:tc>
          <w:tcPr>
            <w:tcW w:w="1205" w:type="dxa"/>
          </w:tcPr>
          <w:p w14:paraId="28B01079" w14:textId="77777777" w:rsidR="00E839E1" w:rsidRPr="000A2E75" w:rsidRDefault="00E839E1" w:rsidP="00E839E1">
            <w:pPr>
              <w:spacing w:after="120"/>
              <w:rPr>
                <w:bCs/>
                <w:i/>
              </w:rPr>
            </w:pPr>
            <w:r w:rsidRPr="000A2E75">
              <w:rPr>
                <w:bCs/>
                <w:i/>
              </w:rPr>
              <w:t>Düzeltme</w:t>
            </w:r>
          </w:p>
        </w:tc>
        <w:tc>
          <w:tcPr>
            <w:tcW w:w="5132" w:type="dxa"/>
          </w:tcPr>
          <w:p w14:paraId="0574A92F" w14:textId="77777777" w:rsidR="00E839E1" w:rsidRPr="000A2E75" w:rsidRDefault="00E839E1" w:rsidP="008934F8">
            <w:pPr>
              <w:pStyle w:val="ListeParagraf"/>
              <w:numPr>
                <w:ilvl w:val="0"/>
                <w:numId w:val="59"/>
              </w:numPr>
              <w:spacing w:before="120"/>
              <w:contextualSpacing w:val="0"/>
            </w:pPr>
            <w:r w:rsidRPr="000A2E75">
              <w:t>Yaptığı değerlendirmelere ve aldığı notlara bakarak düzeltme yapma</w:t>
            </w:r>
          </w:p>
          <w:p w14:paraId="678B2A07" w14:textId="77777777" w:rsidR="00E839E1" w:rsidRPr="000A2E75" w:rsidRDefault="00E839E1" w:rsidP="008934F8">
            <w:pPr>
              <w:pStyle w:val="ListeParagraf"/>
              <w:numPr>
                <w:ilvl w:val="0"/>
                <w:numId w:val="59"/>
              </w:numPr>
              <w:spacing w:before="120"/>
              <w:contextualSpacing w:val="0"/>
            </w:pPr>
            <w:r w:rsidRPr="000A2E75">
              <w:t>Arkadaşlarının ve öğretmeninin önerilerine göre düzeltme yapma</w:t>
            </w:r>
          </w:p>
          <w:p w14:paraId="60D84EB5" w14:textId="77777777" w:rsidR="00E839E1" w:rsidRPr="000A2E75" w:rsidRDefault="00E839E1" w:rsidP="008934F8">
            <w:pPr>
              <w:pStyle w:val="ListeParagraf"/>
              <w:numPr>
                <w:ilvl w:val="0"/>
                <w:numId w:val="59"/>
              </w:numPr>
              <w:spacing w:before="120"/>
              <w:contextualSpacing w:val="0"/>
            </w:pPr>
            <w:r w:rsidRPr="000A2E75">
              <w:t>Yazım yanlışlarını düzeltme</w:t>
            </w:r>
          </w:p>
          <w:p w14:paraId="65505729" w14:textId="77777777" w:rsidR="00E839E1" w:rsidRPr="000A2E75" w:rsidRDefault="00E839E1" w:rsidP="008934F8">
            <w:pPr>
              <w:pStyle w:val="ListeParagraf"/>
              <w:numPr>
                <w:ilvl w:val="0"/>
                <w:numId w:val="59"/>
              </w:numPr>
              <w:spacing w:before="120"/>
              <w:contextualSpacing w:val="0"/>
            </w:pPr>
            <w:r w:rsidRPr="000A2E75">
              <w:lastRenderedPageBreak/>
              <w:t>Tüm düzeltmeleri yapıp yapmadığını kontrol etme</w:t>
            </w:r>
          </w:p>
          <w:p w14:paraId="562C9ED4" w14:textId="77777777" w:rsidR="00E839E1" w:rsidRPr="000A2E75" w:rsidRDefault="00E839E1" w:rsidP="008934F8">
            <w:pPr>
              <w:pStyle w:val="ListeParagraf"/>
              <w:numPr>
                <w:ilvl w:val="0"/>
                <w:numId w:val="59"/>
              </w:numPr>
              <w:spacing w:before="120"/>
              <w:contextualSpacing w:val="0"/>
            </w:pPr>
            <w:r w:rsidRPr="000A2E75">
              <w:t>Düzeltme yaptıktan sonra kâğıdını tekrar okuma ve gerekli yerlerde tekrar düzeltme yapma</w:t>
            </w:r>
          </w:p>
        </w:tc>
        <w:tc>
          <w:tcPr>
            <w:tcW w:w="2663" w:type="dxa"/>
            <w:vAlign w:val="center"/>
          </w:tcPr>
          <w:p w14:paraId="08D60A2E" w14:textId="77777777" w:rsidR="00E839E1" w:rsidRPr="000A2E75" w:rsidRDefault="00E839E1" w:rsidP="008934F8">
            <w:pPr>
              <w:pStyle w:val="ListeParagraf"/>
              <w:numPr>
                <w:ilvl w:val="0"/>
                <w:numId w:val="59"/>
              </w:numPr>
              <w:spacing w:before="120"/>
              <w:contextualSpacing w:val="0"/>
            </w:pPr>
            <w:r w:rsidRPr="000A2E75">
              <w:lastRenderedPageBreak/>
              <w:t>Birkaç kelimede yazım yanlışını düzeltme</w:t>
            </w:r>
          </w:p>
        </w:tc>
      </w:tr>
    </w:tbl>
    <w:p w14:paraId="43606A0F" w14:textId="77777777" w:rsidR="00E839E1" w:rsidRPr="000A2E75" w:rsidRDefault="00E839E1" w:rsidP="00E839E1">
      <w:pPr>
        <w:spacing w:after="120"/>
        <w:jc w:val="both"/>
        <w:rPr>
          <w:rFonts w:ascii="Times New Roman" w:hAnsi="Times New Roman" w:cs="Times New Roman"/>
        </w:rPr>
      </w:pPr>
      <w:r w:rsidRPr="000A2E75">
        <w:rPr>
          <w:rFonts w:ascii="Times New Roman" w:hAnsi="Times New Roman" w:cs="Times New Roman"/>
          <w:i/>
        </w:rPr>
        <w:lastRenderedPageBreak/>
        <w:t>Not.</w:t>
      </w:r>
      <w:r w:rsidRPr="000A2E75">
        <w:rPr>
          <w:rFonts w:ascii="Times New Roman" w:hAnsi="Times New Roman" w:cs="Times New Roman"/>
        </w:rPr>
        <w:t xml:space="preserve"> Güler Bülbül, 2016’dan alınmıştır.</w:t>
      </w:r>
    </w:p>
    <w:p w14:paraId="64D1AA46" w14:textId="77777777" w:rsidR="00E839E1" w:rsidRPr="000A2E75" w:rsidRDefault="00E839E1" w:rsidP="00E839E1">
      <w:pPr>
        <w:pStyle w:val="Balk2"/>
        <w:rPr>
          <w:rFonts w:ascii="Times New Roman" w:hAnsi="Times New Roman" w:cs="Times New Roman"/>
          <w:b w:val="0"/>
          <w:sz w:val="22"/>
          <w:szCs w:val="22"/>
        </w:rPr>
      </w:pPr>
    </w:p>
    <w:p w14:paraId="5A7E1DB0" w14:textId="77777777" w:rsidR="00E839E1" w:rsidRPr="000A2E75" w:rsidRDefault="00E839E1" w:rsidP="00E839E1">
      <w:pPr>
        <w:pStyle w:val="Balk2"/>
        <w:spacing w:after="120"/>
        <w:rPr>
          <w:rFonts w:ascii="Times New Roman" w:hAnsi="Times New Roman" w:cs="Times New Roman"/>
          <w:b w:val="0"/>
          <w:sz w:val="22"/>
          <w:szCs w:val="22"/>
        </w:rPr>
      </w:pPr>
      <w:bookmarkStart w:id="215" w:name="_Toc72739696"/>
      <w:bookmarkStart w:id="216" w:name="_Toc72754177"/>
      <w:bookmarkStart w:id="217" w:name="_Toc72754684"/>
      <w:bookmarkStart w:id="218" w:name="_Toc72755956"/>
      <w:bookmarkStart w:id="219" w:name="_Toc72961768"/>
      <w:r w:rsidRPr="000A2E75">
        <w:rPr>
          <w:rFonts w:ascii="Times New Roman" w:hAnsi="Times New Roman" w:cs="Times New Roman"/>
          <w:sz w:val="22"/>
          <w:szCs w:val="22"/>
        </w:rPr>
        <w:t>Yazılı İfade Sürecinde Kullanılan Üst Bilişsel Stratejiler</w:t>
      </w:r>
      <w:bookmarkEnd w:id="215"/>
      <w:bookmarkEnd w:id="216"/>
      <w:bookmarkEnd w:id="217"/>
      <w:bookmarkEnd w:id="218"/>
      <w:bookmarkEnd w:id="219"/>
    </w:p>
    <w:p w14:paraId="3345D61C" w14:textId="77777777" w:rsidR="00E839E1" w:rsidRPr="000A2E75" w:rsidRDefault="00E839E1" w:rsidP="00E839E1">
      <w:pPr>
        <w:spacing w:after="120"/>
        <w:ind w:firstLine="709"/>
        <w:jc w:val="both"/>
        <w:rPr>
          <w:rFonts w:ascii="Times New Roman" w:hAnsi="Times New Roman" w:cs="Times New Roman"/>
        </w:rPr>
      </w:pPr>
      <w:r w:rsidRPr="000A2E75">
        <w:rPr>
          <w:rFonts w:ascii="Times New Roman" w:hAnsi="Times New Roman" w:cs="Times New Roman"/>
        </w:rPr>
        <w:t>Yukarıda açıklanan her bilişsel stratejiyi doğru zamanda ve etkili bir şekilde kullanabilmek için yazarın bilişsel süreçlerini kontrol edebilmesi ve hedefe yönelik örgütlemesi gerekir. Bilişsel süreçlerin üzerinde gerçekleştirilen bu farkındalık, üst biliş olarak ifade edilir (Flavell, 1979). Bireylerin çeşitli problemler için geliştirdikleri ya da öğrendikleri bilişsel stratejiler üzerindeki hâkimiyetlerini artırmak ve hedefe yönelik düzenlemek için çeşitli üst bilişsel stratejileri kullanmaları gerekir (Ertmer ve Newby, 1996; McCormick, 2003; Sitko, 1998; Wong, 1999).</w:t>
      </w:r>
    </w:p>
    <w:p w14:paraId="1933BC9A" w14:textId="77777777" w:rsidR="00E839E1" w:rsidRPr="000A2E75" w:rsidRDefault="00E839E1" w:rsidP="00E839E1">
      <w:pPr>
        <w:spacing w:after="120"/>
        <w:ind w:firstLine="709"/>
        <w:jc w:val="both"/>
        <w:rPr>
          <w:rFonts w:ascii="Times New Roman" w:hAnsi="Times New Roman" w:cs="Times New Roman"/>
        </w:rPr>
      </w:pPr>
      <w:r w:rsidRPr="000A2E75">
        <w:rPr>
          <w:rFonts w:ascii="Times New Roman" w:hAnsi="Times New Roman" w:cs="Times New Roman"/>
        </w:rPr>
        <w:t xml:space="preserve">Yazma sürecinde kullanılan üst bilişsel stratejiler hedef belirleme, kendini talimatlandırma, kendini izleme, kendini pekiştirme gibi gruplanabilen </w:t>
      </w:r>
      <w:r w:rsidRPr="000A2E75">
        <w:rPr>
          <w:rFonts w:ascii="Times New Roman" w:hAnsi="Times New Roman" w:cs="Times New Roman"/>
          <w:i/>
        </w:rPr>
        <w:t xml:space="preserve">kendini düzenleme stratejileridir </w:t>
      </w:r>
      <w:r w:rsidRPr="000A2E75">
        <w:rPr>
          <w:rFonts w:ascii="Times New Roman" w:hAnsi="Times New Roman" w:cs="Times New Roman"/>
        </w:rPr>
        <w:t xml:space="preserve">(Harris ve Graham, 1996). Bu üst bilişsel stratejiler tıpkı bilişsel stratejiler gibi yetkin yazarların yazma süreçleri incelenerek belirlenmiştir (Englert, 1990; Hayes ve Flower, 1980; Harris Santangelo, ve Graham, 2010). </w:t>
      </w:r>
    </w:p>
    <w:p w14:paraId="70D71DE9" w14:textId="77777777" w:rsidR="00E839E1" w:rsidRPr="000A2E75" w:rsidRDefault="00E839E1" w:rsidP="00E839E1">
      <w:pPr>
        <w:spacing w:after="120"/>
        <w:ind w:firstLine="709"/>
        <w:jc w:val="both"/>
        <w:rPr>
          <w:rFonts w:ascii="Times New Roman" w:hAnsi="Times New Roman" w:cs="Times New Roman"/>
        </w:rPr>
      </w:pPr>
      <w:r w:rsidRPr="000A2E75">
        <w:rPr>
          <w:rFonts w:ascii="Times New Roman" w:hAnsi="Times New Roman" w:cs="Times New Roman"/>
        </w:rPr>
        <w:t>Tablo 2’de yazılı ifade sürecinde kullanılan kendini düzenleme stratejileri çeşitli örnek ifadelere yer verilerek açıklanmıştır.</w:t>
      </w:r>
    </w:p>
    <w:p w14:paraId="07A355CE" w14:textId="77777777" w:rsidR="00E839E1" w:rsidRPr="000A2E75" w:rsidRDefault="00E839E1" w:rsidP="00E839E1">
      <w:pPr>
        <w:spacing w:before="120" w:after="120"/>
        <w:jc w:val="both"/>
        <w:rPr>
          <w:rFonts w:ascii="Times New Roman" w:hAnsi="Times New Roman" w:cs="Times New Roman"/>
          <w:b/>
          <w:caps/>
        </w:rPr>
      </w:pPr>
      <w:r w:rsidRPr="000A2E75">
        <w:rPr>
          <w:rFonts w:ascii="Times New Roman" w:hAnsi="Times New Roman" w:cs="Times New Roman"/>
          <w:b/>
        </w:rPr>
        <w:t>Tablo</w:t>
      </w:r>
      <w:r w:rsidRPr="000A2E75">
        <w:rPr>
          <w:rFonts w:ascii="Times New Roman" w:hAnsi="Times New Roman" w:cs="Times New Roman"/>
          <w:b/>
          <w:caps/>
        </w:rPr>
        <w:t xml:space="preserve"> 2</w:t>
      </w:r>
    </w:p>
    <w:p w14:paraId="201F7184" w14:textId="77777777" w:rsidR="00E839E1" w:rsidRPr="000A2E75" w:rsidRDefault="00E839E1" w:rsidP="00E839E1">
      <w:pPr>
        <w:spacing w:before="120" w:after="120"/>
        <w:jc w:val="both"/>
        <w:rPr>
          <w:rFonts w:ascii="Times New Roman" w:hAnsi="Times New Roman" w:cs="Times New Roman"/>
          <w:i/>
        </w:rPr>
      </w:pPr>
      <w:r w:rsidRPr="000A2E75">
        <w:rPr>
          <w:rFonts w:ascii="Times New Roman" w:hAnsi="Times New Roman" w:cs="Times New Roman"/>
          <w:i/>
          <w:caps/>
        </w:rPr>
        <w:t>Y</w:t>
      </w:r>
      <w:r w:rsidRPr="000A2E75">
        <w:rPr>
          <w:rFonts w:ascii="Times New Roman" w:hAnsi="Times New Roman" w:cs="Times New Roman"/>
          <w:i/>
        </w:rPr>
        <w:t>azılı</w:t>
      </w:r>
      <w:r w:rsidRPr="000A2E75">
        <w:rPr>
          <w:rFonts w:ascii="Times New Roman" w:hAnsi="Times New Roman" w:cs="Times New Roman"/>
          <w:i/>
          <w:caps/>
        </w:rPr>
        <w:t xml:space="preserve"> </w:t>
      </w:r>
      <w:r w:rsidRPr="000A2E75">
        <w:rPr>
          <w:rFonts w:ascii="Times New Roman" w:hAnsi="Times New Roman" w:cs="Times New Roman"/>
          <w:i/>
        </w:rPr>
        <w:t>ifade sürecinde kullanılan üst bilişsel stratejiler</w:t>
      </w:r>
    </w:p>
    <w:tbl>
      <w:tblPr>
        <w:tblW w:w="0" w:type="auto"/>
        <w:tblLook w:val="00A0" w:firstRow="1" w:lastRow="0" w:firstColumn="1" w:lastColumn="0" w:noHBand="0" w:noVBand="0"/>
      </w:tblPr>
      <w:tblGrid>
        <w:gridCol w:w="2155"/>
        <w:gridCol w:w="6820"/>
      </w:tblGrid>
      <w:tr w:rsidR="00E839E1" w:rsidRPr="000A2E75" w14:paraId="04A97760" w14:textId="77777777" w:rsidTr="00E839E1">
        <w:trPr>
          <w:trHeight w:val="665"/>
        </w:trPr>
        <w:tc>
          <w:tcPr>
            <w:tcW w:w="2155" w:type="dxa"/>
          </w:tcPr>
          <w:p w14:paraId="715298D6" w14:textId="77777777" w:rsidR="00E839E1" w:rsidRPr="000A2E75" w:rsidRDefault="00E839E1" w:rsidP="00E839E1">
            <w:pPr>
              <w:spacing w:after="120"/>
              <w:jc w:val="center"/>
              <w:rPr>
                <w:bCs/>
              </w:rPr>
            </w:pPr>
            <w:r w:rsidRPr="000A2E75">
              <w:rPr>
                <w:bCs/>
              </w:rPr>
              <w:t>Kendini Düzenleme Stratejileri</w:t>
            </w:r>
          </w:p>
        </w:tc>
        <w:tc>
          <w:tcPr>
            <w:tcW w:w="6820" w:type="dxa"/>
          </w:tcPr>
          <w:p w14:paraId="08BE3950" w14:textId="77777777" w:rsidR="00E839E1" w:rsidRPr="000A2E75" w:rsidRDefault="00E839E1" w:rsidP="00E839E1">
            <w:pPr>
              <w:spacing w:after="120"/>
              <w:jc w:val="center"/>
              <w:rPr>
                <w:bCs/>
              </w:rPr>
            </w:pPr>
            <w:r w:rsidRPr="000A2E75">
              <w:rPr>
                <w:bCs/>
              </w:rPr>
              <w:t>Bu Stratejileri Gerçekleştirme Sürecindeki Örnek İfadeler</w:t>
            </w:r>
          </w:p>
        </w:tc>
      </w:tr>
      <w:tr w:rsidR="00E839E1" w:rsidRPr="000A2E75" w14:paraId="5FE4EB89" w14:textId="77777777" w:rsidTr="00E839E1">
        <w:trPr>
          <w:trHeight w:val="577"/>
        </w:trPr>
        <w:tc>
          <w:tcPr>
            <w:tcW w:w="2155" w:type="dxa"/>
            <w:vAlign w:val="center"/>
          </w:tcPr>
          <w:p w14:paraId="74555206" w14:textId="77777777" w:rsidR="00E839E1" w:rsidRPr="000A2E75" w:rsidRDefault="00E839E1" w:rsidP="00E839E1">
            <w:pPr>
              <w:spacing w:after="120"/>
              <w:rPr>
                <w:bCs/>
                <w:i/>
              </w:rPr>
            </w:pPr>
            <w:r w:rsidRPr="000A2E75">
              <w:rPr>
                <w:bCs/>
                <w:i/>
              </w:rPr>
              <w:t>Hedef belirleme</w:t>
            </w:r>
          </w:p>
        </w:tc>
        <w:tc>
          <w:tcPr>
            <w:tcW w:w="6820" w:type="dxa"/>
            <w:vAlign w:val="center"/>
          </w:tcPr>
          <w:p w14:paraId="08389A35" w14:textId="77777777" w:rsidR="00E839E1" w:rsidRPr="000A2E75" w:rsidRDefault="00E839E1" w:rsidP="008934F8">
            <w:pPr>
              <w:pStyle w:val="ListeParagraf"/>
              <w:numPr>
                <w:ilvl w:val="0"/>
                <w:numId w:val="59"/>
              </w:numPr>
              <w:spacing w:before="120" w:after="120"/>
              <w:contextualSpacing w:val="0"/>
            </w:pPr>
            <w:r w:rsidRPr="000A2E75">
              <w:t>7 ögesi olan bir öykü yazacağım.</w:t>
            </w:r>
          </w:p>
          <w:p w14:paraId="7E8097A0" w14:textId="77777777" w:rsidR="00E839E1" w:rsidRPr="000A2E75" w:rsidRDefault="00E839E1" w:rsidP="008934F8">
            <w:pPr>
              <w:pStyle w:val="ListeParagraf"/>
              <w:numPr>
                <w:ilvl w:val="0"/>
                <w:numId w:val="59"/>
              </w:numPr>
              <w:spacing w:before="120" w:after="120"/>
              <w:contextualSpacing w:val="0"/>
            </w:pPr>
            <w:r w:rsidRPr="000A2E75">
              <w:t>Arkadaşlarımın okumaktan keyif alacağı bir öykü yazacağım.</w:t>
            </w:r>
          </w:p>
          <w:p w14:paraId="2645D40E" w14:textId="77777777" w:rsidR="00E839E1" w:rsidRPr="000A2E75" w:rsidRDefault="00E839E1" w:rsidP="008934F8">
            <w:pPr>
              <w:pStyle w:val="ListeParagraf"/>
              <w:numPr>
                <w:ilvl w:val="0"/>
                <w:numId w:val="59"/>
              </w:numPr>
              <w:spacing w:before="120" w:after="120"/>
              <w:contextualSpacing w:val="0"/>
            </w:pPr>
            <w:r w:rsidRPr="000A2E75">
              <w:t>Bu dersin sonunda bir tartışma metni yazacağım.</w:t>
            </w:r>
          </w:p>
        </w:tc>
      </w:tr>
      <w:tr w:rsidR="00E839E1" w:rsidRPr="000A2E75" w14:paraId="3D4F4A87" w14:textId="77777777" w:rsidTr="00E839E1">
        <w:trPr>
          <w:trHeight w:val="607"/>
        </w:trPr>
        <w:tc>
          <w:tcPr>
            <w:tcW w:w="2155" w:type="dxa"/>
            <w:vAlign w:val="center"/>
          </w:tcPr>
          <w:p w14:paraId="6C2CC76D" w14:textId="77777777" w:rsidR="00E839E1" w:rsidRPr="000A2E75" w:rsidRDefault="00E839E1" w:rsidP="00E839E1">
            <w:pPr>
              <w:spacing w:after="120"/>
              <w:rPr>
                <w:bCs/>
                <w:i/>
              </w:rPr>
            </w:pPr>
            <w:r w:rsidRPr="000A2E75">
              <w:rPr>
                <w:bCs/>
                <w:i/>
              </w:rPr>
              <w:t>Kendini talimatlandırma</w:t>
            </w:r>
          </w:p>
        </w:tc>
        <w:tc>
          <w:tcPr>
            <w:tcW w:w="6820" w:type="dxa"/>
            <w:vAlign w:val="center"/>
          </w:tcPr>
          <w:p w14:paraId="0CEB8694" w14:textId="77777777" w:rsidR="00E839E1" w:rsidRPr="000A2E75" w:rsidRDefault="00E839E1" w:rsidP="008934F8">
            <w:pPr>
              <w:pStyle w:val="ListeParagraf"/>
              <w:numPr>
                <w:ilvl w:val="0"/>
                <w:numId w:val="59"/>
              </w:numPr>
              <w:spacing w:before="120" w:after="120"/>
              <w:contextualSpacing w:val="0"/>
            </w:pPr>
            <w:r w:rsidRPr="000A2E75">
              <w:t>Şimdi plan kâğıdımı hazırlamalıyım.</w:t>
            </w:r>
          </w:p>
          <w:p w14:paraId="4296977C" w14:textId="77777777" w:rsidR="00E839E1" w:rsidRPr="000A2E75" w:rsidRDefault="00E839E1" w:rsidP="008934F8">
            <w:pPr>
              <w:pStyle w:val="ListeParagraf"/>
              <w:numPr>
                <w:ilvl w:val="0"/>
                <w:numId w:val="59"/>
              </w:numPr>
              <w:spacing w:before="120" w:after="120"/>
              <w:contextualSpacing w:val="0"/>
              <w:rPr>
                <w:lang w:val="fr-FR"/>
              </w:rPr>
            </w:pPr>
            <w:r w:rsidRPr="000A2E75">
              <w:rPr>
                <w:lang w:val="fr-FR"/>
              </w:rPr>
              <w:t>Burada ne yapmalıyım? Şimdi sırada ne var?</w:t>
            </w:r>
          </w:p>
          <w:p w14:paraId="263E40F9" w14:textId="77777777" w:rsidR="00E839E1" w:rsidRPr="000A2E75" w:rsidRDefault="00E839E1" w:rsidP="008934F8">
            <w:pPr>
              <w:pStyle w:val="ListeParagraf"/>
              <w:numPr>
                <w:ilvl w:val="0"/>
                <w:numId w:val="59"/>
              </w:numPr>
              <w:spacing w:before="120" w:after="120"/>
              <w:contextualSpacing w:val="0"/>
              <w:rPr>
                <w:lang w:val="fr-FR"/>
              </w:rPr>
            </w:pPr>
            <w:r w:rsidRPr="000A2E75">
              <w:rPr>
                <w:lang w:val="fr-FR"/>
              </w:rPr>
              <w:t>Sakin olmalıyım. Endişelenmek yazmamı zorlaştırıyor.</w:t>
            </w:r>
          </w:p>
        </w:tc>
      </w:tr>
      <w:tr w:rsidR="00E839E1" w:rsidRPr="000A2E75" w14:paraId="3709F64B" w14:textId="77777777" w:rsidTr="00E839E1">
        <w:trPr>
          <w:trHeight w:val="1088"/>
        </w:trPr>
        <w:tc>
          <w:tcPr>
            <w:tcW w:w="2155" w:type="dxa"/>
            <w:vAlign w:val="center"/>
          </w:tcPr>
          <w:p w14:paraId="25EAEE1E" w14:textId="77777777" w:rsidR="00E839E1" w:rsidRPr="000A2E75" w:rsidRDefault="00E839E1" w:rsidP="00E839E1">
            <w:pPr>
              <w:spacing w:after="120"/>
              <w:rPr>
                <w:bCs/>
                <w:i/>
              </w:rPr>
            </w:pPr>
            <w:r w:rsidRPr="000A2E75">
              <w:rPr>
                <w:bCs/>
                <w:i/>
              </w:rPr>
              <w:t>Kendini izleme</w:t>
            </w:r>
          </w:p>
        </w:tc>
        <w:tc>
          <w:tcPr>
            <w:tcW w:w="6820" w:type="dxa"/>
            <w:vAlign w:val="center"/>
          </w:tcPr>
          <w:p w14:paraId="40BDBCE8" w14:textId="77777777" w:rsidR="00E839E1" w:rsidRPr="000A2E75" w:rsidRDefault="00E839E1" w:rsidP="008934F8">
            <w:pPr>
              <w:pStyle w:val="ListeParagraf"/>
              <w:numPr>
                <w:ilvl w:val="0"/>
                <w:numId w:val="59"/>
              </w:numPr>
              <w:spacing w:before="120" w:after="120"/>
              <w:contextualSpacing w:val="0"/>
            </w:pPr>
            <w:r w:rsidRPr="000A2E75">
              <w:t>Şimdi kaç tane öykü ögesi kullandığımı sayacağım. Daha sonra eksiklerimi tamamlarım.</w:t>
            </w:r>
          </w:p>
          <w:p w14:paraId="4A04D91C" w14:textId="77777777" w:rsidR="00E839E1" w:rsidRPr="000A2E75" w:rsidRDefault="00E839E1" w:rsidP="008934F8">
            <w:pPr>
              <w:pStyle w:val="ListeParagraf"/>
              <w:numPr>
                <w:ilvl w:val="0"/>
                <w:numId w:val="59"/>
              </w:numPr>
              <w:spacing w:before="120" w:after="120"/>
              <w:contextualSpacing w:val="0"/>
            </w:pPr>
            <w:r w:rsidRPr="000A2E75">
              <w:t>Kahramanlarımı okuyucuların gözünde canlandırabileceği şekilde yazmış mıyım? Bi bakayım.</w:t>
            </w:r>
          </w:p>
        </w:tc>
      </w:tr>
      <w:tr w:rsidR="00E839E1" w:rsidRPr="000A2E75" w14:paraId="173BB237" w14:textId="77777777" w:rsidTr="00E839E1">
        <w:trPr>
          <w:trHeight w:val="286"/>
        </w:trPr>
        <w:tc>
          <w:tcPr>
            <w:tcW w:w="2155" w:type="dxa"/>
            <w:vAlign w:val="center"/>
          </w:tcPr>
          <w:p w14:paraId="143A5D09" w14:textId="77777777" w:rsidR="00E839E1" w:rsidRPr="000A2E75" w:rsidRDefault="00E839E1" w:rsidP="00E839E1">
            <w:pPr>
              <w:spacing w:after="120"/>
              <w:rPr>
                <w:bCs/>
                <w:i/>
              </w:rPr>
            </w:pPr>
            <w:r w:rsidRPr="000A2E75">
              <w:rPr>
                <w:bCs/>
                <w:i/>
              </w:rPr>
              <w:t>Kendini pekiştirme</w:t>
            </w:r>
          </w:p>
        </w:tc>
        <w:tc>
          <w:tcPr>
            <w:tcW w:w="6820" w:type="dxa"/>
            <w:vAlign w:val="center"/>
          </w:tcPr>
          <w:p w14:paraId="1E0FE82E" w14:textId="77777777" w:rsidR="00E839E1" w:rsidRPr="000A2E75" w:rsidRDefault="00E839E1" w:rsidP="008934F8">
            <w:pPr>
              <w:pStyle w:val="ListeParagraf"/>
              <w:numPr>
                <w:ilvl w:val="0"/>
                <w:numId w:val="59"/>
              </w:numPr>
              <w:spacing w:before="120" w:after="120"/>
              <w:contextualSpacing w:val="0"/>
            </w:pPr>
            <w:r w:rsidRPr="000A2E75">
              <w:t xml:space="preserve">Aferin bana! </w:t>
            </w:r>
          </w:p>
          <w:p w14:paraId="634AF23E" w14:textId="77777777" w:rsidR="00E839E1" w:rsidRPr="000A2E75" w:rsidRDefault="00E839E1" w:rsidP="008934F8">
            <w:pPr>
              <w:pStyle w:val="ListeParagraf"/>
              <w:numPr>
                <w:ilvl w:val="0"/>
                <w:numId w:val="59"/>
              </w:numPr>
              <w:spacing w:before="120" w:after="120"/>
              <w:contextualSpacing w:val="0"/>
            </w:pPr>
            <w:r w:rsidRPr="000A2E75">
              <w:t>Harika iş çıkarmışım!</w:t>
            </w:r>
          </w:p>
          <w:p w14:paraId="4D3C23F1" w14:textId="77777777" w:rsidR="00E839E1" w:rsidRPr="000A2E75" w:rsidRDefault="00E839E1" w:rsidP="008934F8">
            <w:pPr>
              <w:pStyle w:val="ListeParagraf"/>
              <w:numPr>
                <w:ilvl w:val="0"/>
                <w:numId w:val="59"/>
              </w:numPr>
              <w:spacing w:before="120" w:after="120"/>
              <w:contextualSpacing w:val="0"/>
            </w:pPr>
            <w:r w:rsidRPr="000A2E75">
              <w:lastRenderedPageBreak/>
              <w:t>Başardım!</w:t>
            </w:r>
          </w:p>
        </w:tc>
      </w:tr>
    </w:tbl>
    <w:p w14:paraId="68309D67" w14:textId="77777777" w:rsidR="00E839E1" w:rsidRPr="000A2E75" w:rsidRDefault="00E839E1" w:rsidP="00E839E1">
      <w:pPr>
        <w:spacing w:after="120"/>
        <w:jc w:val="both"/>
        <w:rPr>
          <w:rFonts w:ascii="Times New Roman" w:hAnsi="Times New Roman" w:cs="Times New Roman"/>
        </w:rPr>
      </w:pPr>
      <w:r w:rsidRPr="000A2E75">
        <w:rPr>
          <w:rFonts w:ascii="Times New Roman" w:hAnsi="Times New Roman" w:cs="Times New Roman"/>
          <w:i/>
        </w:rPr>
        <w:lastRenderedPageBreak/>
        <w:t>Not.</w:t>
      </w:r>
      <w:r w:rsidRPr="000A2E75">
        <w:rPr>
          <w:rFonts w:ascii="Times New Roman" w:hAnsi="Times New Roman" w:cs="Times New Roman"/>
        </w:rPr>
        <w:t xml:space="preserve"> Güler Bülbül, 2016’dan alınmıştır.</w:t>
      </w:r>
    </w:p>
    <w:p w14:paraId="2C1365D1" w14:textId="77777777" w:rsidR="00E839E1" w:rsidRPr="000A2E75" w:rsidRDefault="00E839E1" w:rsidP="00E839E1">
      <w:pPr>
        <w:spacing w:after="120"/>
        <w:ind w:firstLine="709"/>
        <w:jc w:val="both"/>
        <w:rPr>
          <w:rFonts w:ascii="Times New Roman" w:hAnsi="Times New Roman" w:cs="Times New Roman"/>
        </w:rPr>
      </w:pPr>
      <w:r w:rsidRPr="000A2E75">
        <w:rPr>
          <w:rFonts w:ascii="Times New Roman" w:hAnsi="Times New Roman" w:cs="Times New Roman"/>
          <w:i/>
        </w:rPr>
        <w:t>Hedef belirleme</w:t>
      </w:r>
      <w:r w:rsidRPr="000A2E75">
        <w:rPr>
          <w:rFonts w:ascii="Times New Roman" w:hAnsi="Times New Roman" w:cs="Times New Roman"/>
        </w:rPr>
        <w:t xml:space="preserve"> stratejisi yazarlara ne amaçla, ne tür ve nasıl bir içerikle metin yazacaklarına ilişkin hedeflerini ortaya koymayı ifade eder. Yazılı ifade sürecinde başarıya ulaşmak için belirlenen hedeflerin açık ve gözlenebilir olması, ulaşılması ne çok kolay ne de çok zor olması ve yakın bir zamanda yapılabilir olması gerekir (Harris ve Graham, 1996; Reid ve Lienemann, 2006). Bu ögelere uygun konulan hedeflerin gerçekleştirilme olasılığı yüksektir.</w:t>
      </w:r>
    </w:p>
    <w:p w14:paraId="7F35BDE4" w14:textId="77777777" w:rsidR="00E839E1" w:rsidRPr="000A2E75" w:rsidRDefault="00E839E1" w:rsidP="00E839E1">
      <w:pPr>
        <w:spacing w:after="120"/>
        <w:ind w:firstLine="709"/>
        <w:jc w:val="both"/>
        <w:rPr>
          <w:rFonts w:ascii="Times New Roman" w:hAnsi="Times New Roman" w:cs="Times New Roman"/>
        </w:rPr>
      </w:pPr>
      <w:r w:rsidRPr="000A2E75">
        <w:rPr>
          <w:rFonts w:ascii="Times New Roman" w:hAnsi="Times New Roman" w:cs="Times New Roman"/>
        </w:rPr>
        <w:t>Yazma sürecinde sıklıkla kullanılan bir diğer kendini düzenleme stratejisi k</w:t>
      </w:r>
      <w:r w:rsidRPr="000A2E75">
        <w:rPr>
          <w:rFonts w:ascii="Times New Roman" w:hAnsi="Times New Roman" w:cs="Times New Roman"/>
          <w:i/>
        </w:rPr>
        <w:t>endini talimatlandırmadır.</w:t>
      </w:r>
      <w:r w:rsidRPr="000A2E75">
        <w:rPr>
          <w:rFonts w:ascii="Times New Roman" w:hAnsi="Times New Roman" w:cs="Times New Roman"/>
        </w:rPr>
        <w:t xml:space="preserve"> Davranışlarımızı düzenlemek amacıyla kendimize söylediğimiz her bir söz kendini talimatlandırma ifadesine birer örnek oluşturur (Harris ve Graham, 1996). Kendini talimatlandırma temelde altı farklı şekilde yapılabilmektedir. Tablo 3’de bu farklı türlerde kendini talimatlandırma ifadelerine örnekler verilmektedir.</w:t>
      </w:r>
    </w:p>
    <w:p w14:paraId="4BC2D228" w14:textId="4F4AE5D5" w:rsidR="00E839E1" w:rsidRDefault="00E839E1" w:rsidP="00E839E1">
      <w:pPr>
        <w:pStyle w:val="Tablo"/>
        <w:rPr>
          <w:b/>
          <w:i w:val="0"/>
        </w:rPr>
      </w:pPr>
      <w:bookmarkStart w:id="220" w:name="_Toc442285282"/>
    </w:p>
    <w:p w14:paraId="075FFE50" w14:textId="77777777" w:rsidR="00E839E1" w:rsidRPr="000A2E75" w:rsidRDefault="00E839E1" w:rsidP="00E839E1">
      <w:pPr>
        <w:pStyle w:val="Tablo"/>
        <w:rPr>
          <w:b/>
          <w:i w:val="0"/>
        </w:rPr>
      </w:pPr>
    </w:p>
    <w:p w14:paraId="0C052BF7" w14:textId="77777777" w:rsidR="00E839E1" w:rsidRPr="000A2E75" w:rsidRDefault="00E839E1" w:rsidP="00E839E1">
      <w:pPr>
        <w:pStyle w:val="Tablo"/>
        <w:rPr>
          <w:b/>
          <w:i w:val="0"/>
        </w:rPr>
      </w:pPr>
      <w:r w:rsidRPr="000A2E75">
        <w:rPr>
          <w:b/>
          <w:i w:val="0"/>
        </w:rPr>
        <w:t>Tablo 3</w:t>
      </w:r>
    </w:p>
    <w:p w14:paraId="3D7457A1" w14:textId="77777777" w:rsidR="00E839E1" w:rsidRPr="000A2E75" w:rsidRDefault="00E839E1" w:rsidP="00E839E1">
      <w:pPr>
        <w:pStyle w:val="Tablo"/>
      </w:pPr>
      <w:r w:rsidRPr="000A2E75">
        <w:t>Kendini Talimatlandırma Türleri ve İlişkili Örnekleri</w:t>
      </w:r>
      <w:bookmarkEnd w:id="220"/>
      <w:r w:rsidRPr="000A2E75">
        <w:t xml:space="preserve"> </w:t>
      </w:r>
    </w:p>
    <w:tbl>
      <w:tblPr>
        <w:tblW w:w="0" w:type="auto"/>
        <w:tblBorders>
          <w:top w:val="single" w:sz="4" w:space="0" w:color="7F7F7F"/>
          <w:bottom w:val="single" w:sz="4" w:space="0" w:color="7F7F7F"/>
        </w:tblBorders>
        <w:tblLook w:val="00A0" w:firstRow="1" w:lastRow="0" w:firstColumn="1" w:lastColumn="0" w:noHBand="0" w:noVBand="0"/>
      </w:tblPr>
      <w:tblGrid>
        <w:gridCol w:w="4531"/>
        <w:gridCol w:w="4531"/>
      </w:tblGrid>
      <w:tr w:rsidR="00E839E1" w:rsidRPr="000A2E75" w14:paraId="3525467D" w14:textId="77777777" w:rsidTr="00E839E1">
        <w:tc>
          <w:tcPr>
            <w:tcW w:w="4531" w:type="dxa"/>
            <w:tcBorders>
              <w:top w:val="single" w:sz="4" w:space="0" w:color="7F7F7F"/>
              <w:bottom w:val="single" w:sz="4" w:space="0" w:color="7F7F7F"/>
            </w:tcBorders>
          </w:tcPr>
          <w:p w14:paraId="33529E78" w14:textId="77777777" w:rsidR="00E839E1" w:rsidRPr="000A2E75" w:rsidRDefault="00E839E1" w:rsidP="00E839E1">
            <w:pPr>
              <w:autoSpaceDE w:val="0"/>
              <w:autoSpaceDN w:val="0"/>
              <w:adjustRightInd w:val="0"/>
              <w:rPr>
                <w:rFonts w:ascii="Times New Roman" w:hAnsi="Times New Roman" w:cs="Times New Roman"/>
                <w:bCs/>
              </w:rPr>
            </w:pPr>
            <w:r w:rsidRPr="000A2E75">
              <w:rPr>
                <w:rFonts w:ascii="Times New Roman" w:hAnsi="Times New Roman" w:cs="Times New Roman"/>
                <w:bCs/>
              </w:rPr>
              <w:t>Kendini Talimatlandırma Türü</w:t>
            </w:r>
          </w:p>
        </w:tc>
        <w:tc>
          <w:tcPr>
            <w:tcW w:w="4531" w:type="dxa"/>
            <w:tcBorders>
              <w:top w:val="single" w:sz="4" w:space="0" w:color="7F7F7F"/>
              <w:bottom w:val="single" w:sz="4" w:space="0" w:color="7F7F7F"/>
            </w:tcBorders>
          </w:tcPr>
          <w:p w14:paraId="0396396A" w14:textId="77777777" w:rsidR="00E839E1" w:rsidRPr="000A2E75" w:rsidRDefault="00E839E1" w:rsidP="00E839E1">
            <w:pPr>
              <w:autoSpaceDE w:val="0"/>
              <w:autoSpaceDN w:val="0"/>
              <w:adjustRightInd w:val="0"/>
              <w:rPr>
                <w:rFonts w:ascii="Times New Roman" w:hAnsi="Times New Roman" w:cs="Times New Roman"/>
                <w:bCs/>
              </w:rPr>
            </w:pPr>
            <w:r w:rsidRPr="000A2E75">
              <w:rPr>
                <w:rFonts w:ascii="Times New Roman" w:hAnsi="Times New Roman" w:cs="Times New Roman"/>
                <w:bCs/>
              </w:rPr>
              <w:t xml:space="preserve">Örnek İfadeler </w:t>
            </w:r>
          </w:p>
        </w:tc>
      </w:tr>
      <w:tr w:rsidR="00E839E1" w:rsidRPr="000A2E75" w14:paraId="68465DD5" w14:textId="77777777" w:rsidTr="00E839E1">
        <w:tc>
          <w:tcPr>
            <w:tcW w:w="4531" w:type="dxa"/>
            <w:tcBorders>
              <w:top w:val="single" w:sz="4" w:space="0" w:color="7F7F7F"/>
              <w:bottom w:val="single" w:sz="4" w:space="0" w:color="FFFFFF"/>
            </w:tcBorders>
          </w:tcPr>
          <w:p w14:paraId="720DFEFA" w14:textId="77777777" w:rsidR="00E839E1" w:rsidRPr="000A2E75" w:rsidRDefault="00E839E1" w:rsidP="00E839E1">
            <w:pPr>
              <w:autoSpaceDE w:val="0"/>
              <w:autoSpaceDN w:val="0"/>
              <w:adjustRightInd w:val="0"/>
              <w:rPr>
                <w:rFonts w:ascii="Times New Roman" w:hAnsi="Times New Roman" w:cs="Times New Roman"/>
                <w:bCs/>
                <w:i/>
              </w:rPr>
            </w:pPr>
            <w:r w:rsidRPr="000A2E75">
              <w:rPr>
                <w:rFonts w:ascii="Times New Roman" w:hAnsi="Times New Roman" w:cs="Times New Roman"/>
                <w:bCs/>
                <w:i/>
              </w:rPr>
              <w:t xml:space="preserve">Problemi tanımlama </w:t>
            </w:r>
          </w:p>
          <w:p w14:paraId="1DFBA74C" w14:textId="77777777" w:rsidR="00E839E1" w:rsidRPr="000A2E75" w:rsidRDefault="00E839E1" w:rsidP="00E839E1">
            <w:pPr>
              <w:autoSpaceDE w:val="0"/>
              <w:autoSpaceDN w:val="0"/>
              <w:adjustRightInd w:val="0"/>
              <w:rPr>
                <w:rFonts w:ascii="Times New Roman" w:hAnsi="Times New Roman" w:cs="Times New Roman"/>
                <w:b/>
                <w:bCs/>
              </w:rPr>
            </w:pPr>
            <w:r w:rsidRPr="000A2E75">
              <w:rPr>
                <w:rFonts w:ascii="Times New Roman" w:hAnsi="Times New Roman" w:cs="Times New Roman"/>
                <w:bCs/>
              </w:rPr>
              <w:t>Görevin doğasını ve gereksinimlerini tanımlama:</w:t>
            </w:r>
          </w:p>
        </w:tc>
        <w:tc>
          <w:tcPr>
            <w:tcW w:w="4531" w:type="dxa"/>
            <w:tcBorders>
              <w:top w:val="single" w:sz="4" w:space="0" w:color="7F7F7F"/>
              <w:bottom w:val="single" w:sz="4" w:space="0" w:color="FFFFFF"/>
            </w:tcBorders>
          </w:tcPr>
          <w:p w14:paraId="5A4DC66E" w14:textId="77777777" w:rsidR="00E839E1" w:rsidRPr="000A2E75" w:rsidRDefault="00E839E1" w:rsidP="00E839E1">
            <w:pPr>
              <w:autoSpaceDE w:val="0"/>
              <w:autoSpaceDN w:val="0"/>
              <w:adjustRightInd w:val="0"/>
              <w:rPr>
                <w:rFonts w:ascii="Times New Roman" w:hAnsi="Times New Roman" w:cs="Times New Roman"/>
              </w:rPr>
            </w:pPr>
            <w:r w:rsidRPr="000A2E75">
              <w:rPr>
                <w:rFonts w:ascii="Times New Roman" w:hAnsi="Times New Roman" w:cs="Times New Roman"/>
              </w:rPr>
              <w:t>Burada ne yapmam gerekiyor?</w:t>
            </w:r>
          </w:p>
          <w:p w14:paraId="74C25029" w14:textId="77777777" w:rsidR="00E839E1" w:rsidRPr="000A2E75" w:rsidRDefault="00E839E1" w:rsidP="00E839E1">
            <w:pPr>
              <w:autoSpaceDE w:val="0"/>
              <w:autoSpaceDN w:val="0"/>
              <w:adjustRightInd w:val="0"/>
              <w:rPr>
                <w:rFonts w:ascii="Times New Roman" w:hAnsi="Times New Roman" w:cs="Times New Roman"/>
              </w:rPr>
            </w:pPr>
            <w:r w:rsidRPr="000A2E75">
              <w:rPr>
                <w:rFonts w:ascii="Times New Roman" w:hAnsi="Times New Roman" w:cs="Times New Roman"/>
              </w:rPr>
              <w:t>Amacım ne?</w:t>
            </w:r>
          </w:p>
          <w:p w14:paraId="5D8A2BCE" w14:textId="77777777" w:rsidR="00E839E1" w:rsidRPr="000A2E75" w:rsidRDefault="00E839E1" w:rsidP="00E839E1">
            <w:pPr>
              <w:autoSpaceDE w:val="0"/>
              <w:autoSpaceDN w:val="0"/>
              <w:adjustRightInd w:val="0"/>
              <w:rPr>
                <w:rFonts w:ascii="Times New Roman" w:hAnsi="Times New Roman" w:cs="Times New Roman"/>
              </w:rPr>
            </w:pPr>
            <w:r w:rsidRPr="000A2E75">
              <w:rPr>
                <w:rFonts w:ascii="Times New Roman" w:hAnsi="Times New Roman" w:cs="Times New Roman"/>
              </w:rPr>
              <w:t>İlk yapmam gereken şey ne?</w:t>
            </w:r>
          </w:p>
          <w:p w14:paraId="18BF61DE" w14:textId="77777777" w:rsidR="00E839E1" w:rsidRPr="000A2E75" w:rsidRDefault="00E839E1" w:rsidP="00E839E1">
            <w:pPr>
              <w:autoSpaceDE w:val="0"/>
              <w:autoSpaceDN w:val="0"/>
              <w:adjustRightInd w:val="0"/>
              <w:rPr>
                <w:rFonts w:ascii="Times New Roman" w:hAnsi="Times New Roman" w:cs="Times New Roman"/>
              </w:rPr>
            </w:pPr>
            <w:r w:rsidRPr="000A2E75">
              <w:rPr>
                <w:rFonts w:ascii="Times New Roman" w:hAnsi="Times New Roman" w:cs="Times New Roman"/>
              </w:rPr>
              <w:t>Ben ikna edici bir metin yazmak istiyorum.</w:t>
            </w:r>
          </w:p>
          <w:p w14:paraId="011A47EF" w14:textId="77777777" w:rsidR="00E839E1" w:rsidRPr="000A2E75" w:rsidRDefault="00E839E1" w:rsidP="00E839E1">
            <w:pPr>
              <w:autoSpaceDE w:val="0"/>
              <w:autoSpaceDN w:val="0"/>
              <w:adjustRightInd w:val="0"/>
              <w:rPr>
                <w:rFonts w:ascii="Times New Roman" w:hAnsi="Times New Roman" w:cs="Times New Roman"/>
              </w:rPr>
            </w:pPr>
          </w:p>
        </w:tc>
      </w:tr>
      <w:tr w:rsidR="00E839E1" w:rsidRPr="000A2E75" w14:paraId="45FAAC30" w14:textId="77777777" w:rsidTr="00E839E1">
        <w:tc>
          <w:tcPr>
            <w:tcW w:w="4531" w:type="dxa"/>
            <w:tcBorders>
              <w:top w:val="single" w:sz="4" w:space="0" w:color="FFFFFF"/>
              <w:bottom w:val="single" w:sz="4" w:space="0" w:color="FFFFFF"/>
            </w:tcBorders>
          </w:tcPr>
          <w:p w14:paraId="6E8AB58E" w14:textId="77777777" w:rsidR="00E839E1" w:rsidRPr="000A2E75" w:rsidRDefault="00E839E1" w:rsidP="00E839E1">
            <w:pPr>
              <w:autoSpaceDE w:val="0"/>
              <w:autoSpaceDN w:val="0"/>
              <w:adjustRightInd w:val="0"/>
              <w:rPr>
                <w:rFonts w:ascii="Times New Roman" w:hAnsi="Times New Roman" w:cs="Times New Roman"/>
                <w:bCs/>
                <w:i/>
              </w:rPr>
            </w:pPr>
            <w:r w:rsidRPr="000A2E75">
              <w:rPr>
                <w:rFonts w:ascii="Times New Roman" w:hAnsi="Times New Roman" w:cs="Times New Roman"/>
                <w:bCs/>
                <w:i/>
              </w:rPr>
              <w:t>Dikkati odaklama ve planlama</w:t>
            </w:r>
          </w:p>
          <w:p w14:paraId="5A63F395" w14:textId="77777777" w:rsidR="00E839E1" w:rsidRPr="000A2E75" w:rsidRDefault="00E839E1" w:rsidP="00E839E1">
            <w:pPr>
              <w:autoSpaceDE w:val="0"/>
              <w:autoSpaceDN w:val="0"/>
              <w:adjustRightInd w:val="0"/>
              <w:rPr>
                <w:rFonts w:ascii="Times New Roman" w:hAnsi="Times New Roman" w:cs="Times New Roman"/>
                <w:b/>
                <w:bCs/>
              </w:rPr>
            </w:pPr>
            <w:r w:rsidRPr="000A2E75">
              <w:rPr>
                <w:rFonts w:ascii="Times New Roman" w:hAnsi="Times New Roman" w:cs="Times New Roman"/>
                <w:bCs/>
              </w:rPr>
              <w:t>Göreve devam etme ve bir plan oluşturma:</w:t>
            </w:r>
          </w:p>
        </w:tc>
        <w:tc>
          <w:tcPr>
            <w:tcW w:w="4531" w:type="dxa"/>
            <w:tcBorders>
              <w:top w:val="single" w:sz="4" w:space="0" w:color="FFFFFF"/>
              <w:bottom w:val="single" w:sz="4" w:space="0" w:color="FFFFFF"/>
            </w:tcBorders>
          </w:tcPr>
          <w:p w14:paraId="478483A7" w14:textId="77777777" w:rsidR="00E839E1" w:rsidRPr="000A2E75" w:rsidRDefault="00E839E1" w:rsidP="00E839E1">
            <w:pPr>
              <w:autoSpaceDE w:val="0"/>
              <w:autoSpaceDN w:val="0"/>
              <w:adjustRightInd w:val="0"/>
              <w:rPr>
                <w:rFonts w:ascii="Times New Roman" w:hAnsi="Times New Roman" w:cs="Times New Roman"/>
              </w:rPr>
            </w:pPr>
            <w:r w:rsidRPr="000A2E75">
              <w:rPr>
                <w:rFonts w:ascii="Times New Roman" w:hAnsi="Times New Roman" w:cs="Times New Roman"/>
              </w:rPr>
              <w:t>Konsantre olmalıyım, dikkatli olmalıyım… Adımlarımı düşünmeliyim.</w:t>
            </w:r>
          </w:p>
          <w:p w14:paraId="41BB866B" w14:textId="77777777" w:rsidR="00E839E1" w:rsidRPr="000A2E75" w:rsidRDefault="00E839E1" w:rsidP="00E839E1">
            <w:pPr>
              <w:autoSpaceDE w:val="0"/>
              <w:autoSpaceDN w:val="0"/>
              <w:adjustRightInd w:val="0"/>
              <w:rPr>
                <w:rFonts w:ascii="Times New Roman" w:hAnsi="Times New Roman" w:cs="Times New Roman"/>
              </w:rPr>
            </w:pPr>
            <w:r w:rsidRPr="000A2E75">
              <w:rPr>
                <w:rFonts w:ascii="Times New Roman" w:hAnsi="Times New Roman" w:cs="Times New Roman"/>
              </w:rPr>
              <w:t>Bunu doğru yapabilmek için bir plan yapmalıyım.</w:t>
            </w:r>
          </w:p>
          <w:p w14:paraId="52208E29" w14:textId="77777777" w:rsidR="00E839E1" w:rsidRPr="000A2E75" w:rsidRDefault="00E839E1" w:rsidP="00E839E1">
            <w:pPr>
              <w:autoSpaceDE w:val="0"/>
              <w:autoSpaceDN w:val="0"/>
              <w:adjustRightInd w:val="0"/>
              <w:rPr>
                <w:rFonts w:ascii="Times New Roman" w:hAnsi="Times New Roman" w:cs="Times New Roman"/>
              </w:rPr>
            </w:pPr>
            <w:r w:rsidRPr="000A2E75">
              <w:rPr>
                <w:rFonts w:ascii="Times New Roman" w:hAnsi="Times New Roman" w:cs="Times New Roman"/>
              </w:rPr>
              <w:t>Önce şunu yapmalıyım… Sonra da…</w:t>
            </w:r>
          </w:p>
        </w:tc>
      </w:tr>
      <w:tr w:rsidR="00E839E1" w:rsidRPr="000A2E75" w14:paraId="2C2F3EF4" w14:textId="77777777" w:rsidTr="00E839E1">
        <w:tc>
          <w:tcPr>
            <w:tcW w:w="4531" w:type="dxa"/>
            <w:tcBorders>
              <w:top w:val="single" w:sz="4" w:space="0" w:color="FFFFFF"/>
              <w:bottom w:val="single" w:sz="4" w:space="0" w:color="FFFFFF"/>
            </w:tcBorders>
          </w:tcPr>
          <w:p w14:paraId="3CAC797E" w14:textId="77777777" w:rsidR="00E839E1" w:rsidRPr="000A2E75" w:rsidRDefault="00E839E1" w:rsidP="00E839E1">
            <w:pPr>
              <w:autoSpaceDE w:val="0"/>
              <w:autoSpaceDN w:val="0"/>
              <w:adjustRightInd w:val="0"/>
              <w:rPr>
                <w:rFonts w:ascii="Times New Roman" w:hAnsi="Times New Roman" w:cs="Times New Roman"/>
                <w:bCs/>
                <w:i/>
              </w:rPr>
            </w:pPr>
            <w:r w:rsidRPr="000A2E75">
              <w:rPr>
                <w:rFonts w:ascii="Times New Roman" w:hAnsi="Times New Roman" w:cs="Times New Roman"/>
                <w:bCs/>
                <w:i/>
              </w:rPr>
              <w:t xml:space="preserve">Strateji </w:t>
            </w:r>
          </w:p>
          <w:p w14:paraId="3FBD9843" w14:textId="77777777" w:rsidR="00E839E1" w:rsidRPr="000A2E75" w:rsidRDefault="00E839E1" w:rsidP="00E839E1">
            <w:pPr>
              <w:autoSpaceDE w:val="0"/>
              <w:autoSpaceDN w:val="0"/>
              <w:adjustRightInd w:val="0"/>
              <w:rPr>
                <w:rFonts w:ascii="Times New Roman" w:hAnsi="Times New Roman" w:cs="Times New Roman"/>
                <w:bCs/>
              </w:rPr>
            </w:pPr>
            <w:r w:rsidRPr="000A2E75">
              <w:rPr>
                <w:rFonts w:ascii="Times New Roman" w:hAnsi="Times New Roman" w:cs="Times New Roman"/>
                <w:bCs/>
              </w:rPr>
              <w:t>Bir stratejiyi kullanma ve onunla meşgul olma ya da kendini düzenleme stratejileri:</w:t>
            </w:r>
          </w:p>
        </w:tc>
        <w:tc>
          <w:tcPr>
            <w:tcW w:w="4531" w:type="dxa"/>
            <w:tcBorders>
              <w:top w:val="single" w:sz="4" w:space="0" w:color="FFFFFF"/>
              <w:bottom w:val="single" w:sz="4" w:space="0" w:color="FFFFFF"/>
            </w:tcBorders>
          </w:tcPr>
          <w:p w14:paraId="678712BC" w14:textId="77777777" w:rsidR="00E839E1" w:rsidRPr="000A2E75" w:rsidRDefault="00E839E1" w:rsidP="00E839E1">
            <w:pPr>
              <w:autoSpaceDE w:val="0"/>
              <w:autoSpaceDN w:val="0"/>
              <w:adjustRightInd w:val="0"/>
              <w:rPr>
                <w:rFonts w:ascii="Times New Roman" w:hAnsi="Times New Roman" w:cs="Times New Roman"/>
              </w:rPr>
            </w:pPr>
            <w:r w:rsidRPr="000A2E75">
              <w:rPr>
                <w:rFonts w:ascii="Times New Roman" w:hAnsi="Times New Roman" w:cs="Times New Roman"/>
              </w:rPr>
              <w:t>Önce metin yazma hatırlatıcımı yazacağım.</w:t>
            </w:r>
          </w:p>
          <w:p w14:paraId="43E6B2AE" w14:textId="77777777" w:rsidR="00E839E1" w:rsidRPr="000A2E75" w:rsidRDefault="00E839E1" w:rsidP="00E839E1">
            <w:pPr>
              <w:autoSpaceDE w:val="0"/>
              <w:autoSpaceDN w:val="0"/>
              <w:adjustRightInd w:val="0"/>
              <w:rPr>
                <w:rFonts w:ascii="Times New Roman" w:hAnsi="Times New Roman" w:cs="Times New Roman"/>
              </w:rPr>
            </w:pPr>
            <w:r w:rsidRPr="000A2E75">
              <w:rPr>
                <w:rFonts w:ascii="Times New Roman" w:hAnsi="Times New Roman" w:cs="Times New Roman"/>
              </w:rPr>
              <w:t>Bi metin yazmanın ilk adımı…</w:t>
            </w:r>
          </w:p>
          <w:p w14:paraId="046184C5" w14:textId="77777777" w:rsidR="00E839E1" w:rsidRPr="000A2E75" w:rsidRDefault="00E839E1" w:rsidP="00E839E1">
            <w:pPr>
              <w:autoSpaceDE w:val="0"/>
              <w:autoSpaceDN w:val="0"/>
              <w:adjustRightInd w:val="0"/>
              <w:rPr>
                <w:rFonts w:ascii="Times New Roman" w:hAnsi="Times New Roman" w:cs="Times New Roman"/>
              </w:rPr>
            </w:pPr>
            <w:r w:rsidRPr="000A2E75">
              <w:rPr>
                <w:rFonts w:ascii="Times New Roman" w:hAnsi="Times New Roman" w:cs="Times New Roman"/>
              </w:rPr>
              <w:t>Bu metindeki hedeflerim…; kendimi kayıt edeceğim…</w:t>
            </w:r>
          </w:p>
        </w:tc>
      </w:tr>
      <w:tr w:rsidR="00E839E1" w:rsidRPr="000A2E75" w14:paraId="641DC33C" w14:textId="77777777" w:rsidTr="00E839E1">
        <w:tc>
          <w:tcPr>
            <w:tcW w:w="4531" w:type="dxa"/>
            <w:tcBorders>
              <w:top w:val="single" w:sz="4" w:space="0" w:color="FFFFFF"/>
              <w:bottom w:val="single" w:sz="4" w:space="0" w:color="FFFFFF"/>
            </w:tcBorders>
          </w:tcPr>
          <w:p w14:paraId="2B8ED1C3" w14:textId="77777777" w:rsidR="00E839E1" w:rsidRPr="000A2E75" w:rsidRDefault="00E839E1" w:rsidP="00E839E1">
            <w:pPr>
              <w:autoSpaceDE w:val="0"/>
              <w:autoSpaceDN w:val="0"/>
              <w:adjustRightInd w:val="0"/>
              <w:rPr>
                <w:rFonts w:ascii="Times New Roman" w:hAnsi="Times New Roman" w:cs="Times New Roman"/>
                <w:bCs/>
                <w:i/>
              </w:rPr>
            </w:pPr>
            <w:r w:rsidRPr="000A2E75">
              <w:rPr>
                <w:rFonts w:ascii="Times New Roman" w:hAnsi="Times New Roman" w:cs="Times New Roman"/>
                <w:bCs/>
                <w:i/>
              </w:rPr>
              <w:t>Kendini değerlendirme ve hata düzeltme</w:t>
            </w:r>
          </w:p>
          <w:p w14:paraId="2111E562" w14:textId="77777777" w:rsidR="00E839E1" w:rsidRPr="000A2E75" w:rsidRDefault="00E839E1" w:rsidP="00E839E1">
            <w:pPr>
              <w:autoSpaceDE w:val="0"/>
              <w:autoSpaceDN w:val="0"/>
              <w:adjustRightInd w:val="0"/>
              <w:rPr>
                <w:rFonts w:ascii="Times New Roman" w:hAnsi="Times New Roman" w:cs="Times New Roman"/>
                <w:b/>
                <w:bCs/>
              </w:rPr>
            </w:pPr>
            <w:r w:rsidRPr="000A2E75">
              <w:rPr>
                <w:rFonts w:ascii="Times New Roman" w:hAnsi="Times New Roman" w:cs="Times New Roman"/>
                <w:bCs/>
              </w:rPr>
              <w:t>Performansını değerlendirme, hataları yakalama ve onları düzeltme:</w:t>
            </w:r>
          </w:p>
        </w:tc>
        <w:tc>
          <w:tcPr>
            <w:tcW w:w="4531" w:type="dxa"/>
            <w:tcBorders>
              <w:top w:val="single" w:sz="4" w:space="0" w:color="FFFFFF"/>
              <w:bottom w:val="single" w:sz="4" w:space="0" w:color="FFFFFF"/>
            </w:tcBorders>
          </w:tcPr>
          <w:p w14:paraId="46999547" w14:textId="77777777" w:rsidR="00E839E1" w:rsidRPr="000A2E75" w:rsidRDefault="00E839E1" w:rsidP="00E839E1">
            <w:pPr>
              <w:autoSpaceDE w:val="0"/>
              <w:autoSpaceDN w:val="0"/>
              <w:adjustRightInd w:val="0"/>
              <w:rPr>
                <w:rFonts w:ascii="Times New Roman" w:hAnsi="Times New Roman" w:cs="Times New Roman"/>
              </w:rPr>
            </w:pPr>
            <w:r w:rsidRPr="000A2E75">
              <w:rPr>
                <w:rFonts w:ascii="Times New Roman" w:hAnsi="Times New Roman" w:cs="Times New Roman"/>
              </w:rPr>
              <w:t>Tüm öykü ögelerimi kullandım mı? -Bi bakayım.</w:t>
            </w:r>
          </w:p>
          <w:p w14:paraId="0D0092DF" w14:textId="77777777" w:rsidR="00E839E1" w:rsidRPr="000A2E75" w:rsidRDefault="00E839E1" w:rsidP="00E839E1">
            <w:pPr>
              <w:autoSpaceDE w:val="0"/>
              <w:autoSpaceDN w:val="0"/>
              <w:adjustRightInd w:val="0"/>
              <w:rPr>
                <w:rFonts w:ascii="Times New Roman" w:hAnsi="Times New Roman" w:cs="Times New Roman"/>
              </w:rPr>
            </w:pPr>
            <w:r w:rsidRPr="000A2E75">
              <w:rPr>
                <w:rFonts w:ascii="Times New Roman" w:hAnsi="Times New Roman" w:cs="Times New Roman"/>
              </w:rPr>
              <w:t>Ah bi tane kaçırmışım; sorum yok düzeltirim.</w:t>
            </w:r>
          </w:p>
          <w:p w14:paraId="6A0F32D3" w14:textId="77777777" w:rsidR="00E839E1" w:rsidRPr="000A2E75" w:rsidRDefault="00E839E1" w:rsidP="00E839E1">
            <w:pPr>
              <w:autoSpaceDE w:val="0"/>
              <w:autoSpaceDN w:val="0"/>
              <w:adjustRightInd w:val="0"/>
              <w:rPr>
                <w:rFonts w:ascii="Times New Roman" w:hAnsi="Times New Roman" w:cs="Times New Roman"/>
              </w:rPr>
            </w:pPr>
            <w:r w:rsidRPr="000A2E75">
              <w:rPr>
                <w:rFonts w:ascii="Times New Roman" w:hAnsi="Times New Roman" w:cs="Times New Roman"/>
              </w:rPr>
              <w:t>Planımı uygun gidiyor muyum?</w:t>
            </w:r>
          </w:p>
        </w:tc>
      </w:tr>
      <w:tr w:rsidR="00E839E1" w:rsidRPr="000A2E75" w14:paraId="4A8197E6" w14:textId="77777777" w:rsidTr="00E839E1">
        <w:tc>
          <w:tcPr>
            <w:tcW w:w="4531" w:type="dxa"/>
            <w:tcBorders>
              <w:top w:val="single" w:sz="4" w:space="0" w:color="FFFFFF"/>
              <w:bottom w:val="single" w:sz="4" w:space="0" w:color="FFFFFF"/>
            </w:tcBorders>
          </w:tcPr>
          <w:p w14:paraId="64D7B4EE" w14:textId="77777777" w:rsidR="00E839E1" w:rsidRPr="000A2E75" w:rsidRDefault="00E839E1" w:rsidP="00E839E1">
            <w:pPr>
              <w:autoSpaceDE w:val="0"/>
              <w:autoSpaceDN w:val="0"/>
              <w:adjustRightInd w:val="0"/>
              <w:rPr>
                <w:rFonts w:ascii="Times New Roman" w:hAnsi="Times New Roman" w:cs="Times New Roman"/>
                <w:bCs/>
                <w:i/>
              </w:rPr>
            </w:pPr>
            <w:r w:rsidRPr="000A2E75">
              <w:rPr>
                <w:rFonts w:ascii="Times New Roman" w:hAnsi="Times New Roman" w:cs="Times New Roman"/>
                <w:bCs/>
                <w:i/>
              </w:rPr>
              <w:t>Sorunların üstesinden gelme ve kendini kontrol</w:t>
            </w:r>
          </w:p>
          <w:p w14:paraId="4244EA06" w14:textId="77777777" w:rsidR="00E839E1" w:rsidRPr="000A2E75" w:rsidRDefault="00E839E1" w:rsidP="00E839E1">
            <w:pPr>
              <w:autoSpaceDE w:val="0"/>
              <w:autoSpaceDN w:val="0"/>
              <w:adjustRightInd w:val="0"/>
              <w:rPr>
                <w:rFonts w:ascii="Times New Roman" w:hAnsi="Times New Roman" w:cs="Times New Roman"/>
                <w:b/>
                <w:bCs/>
              </w:rPr>
            </w:pPr>
            <w:r w:rsidRPr="000A2E75">
              <w:rPr>
                <w:rFonts w:ascii="Times New Roman" w:hAnsi="Times New Roman" w:cs="Times New Roman"/>
                <w:bCs/>
              </w:rPr>
              <w:lastRenderedPageBreak/>
              <w:t>Zorlukları ve ya başarısızlıkları sınıflandırma ve uyaranlarla baş etme:</w:t>
            </w:r>
          </w:p>
        </w:tc>
        <w:tc>
          <w:tcPr>
            <w:tcW w:w="4531" w:type="dxa"/>
            <w:tcBorders>
              <w:top w:val="single" w:sz="4" w:space="0" w:color="FFFFFF"/>
              <w:bottom w:val="single" w:sz="4" w:space="0" w:color="FFFFFF"/>
            </w:tcBorders>
          </w:tcPr>
          <w:p w14:paraId="68D2C0AB" w14:textId="77777777" w:rsidR="00E839E1" w:rsidRPr="000A2E75" w:rsidRDefault="00E839E1" w:rsidP="00E839E1">
            <w:pPr>
              <w:autoSpaceDE w:val="0"/>
              <w:autoSpaceDN w:val="0"/>
              <w:adjustRightInd w:val="0"/>
              <w:rPr>
                <w:rFonts w:ascii="Times New Roman" w:hAnsi="Times New Roman" w:cs="Times New Roman"/>
              </w:rPr>
            </w:pPr>
            <w:r w:rsidRPr="000A2E75">
              <w:rPr>
                <w:rFonts w:ascii="Times New Roman" w:hAnsi="Times New Roman" w:cs="Times New Roman"/>
              </w:rPr>
              <w:lastRenderedPageBreak/>
              <w:t>Endişelenme, endişelenmek işe yaramaz.</w:t>
            </w:r>
          </w:p>
          <w:p w14:paraId="78364DD0" w14:textId="77777777" w:rsidR="00E839E1" w:rsidRPr="000A2E75" w:rsidRDefault="00E839E1" w:rsidP="00E839E1">
            <w:pPr>
              <w:autoSpaceDE w:val="0"/>
              <w:autoSpaceDN w:val="0"/>
              <w:adjustRightInd w:val="0"/>
              <w:rPr>
                <w:rFonts w:ascii="Times New Roman" w:hAnsi="Times New Roman" w:cs="Times New Roman"/>
              </w:rPr>
            </w:pPr>
            <w:r w:rsidRPr="000A2E75">
              <w:rPr>
                <w:rFonts w:ascii="Times New Roman" w:hAnsi="Times New Roman" w:cs="Times New Roman"/>
              </w:rPr>
              <w:lastRenderedPageBreak/>
              <w:t>Biraz kaygılı hissetmek normal, birazcık kaygı yardımcı olabilir.</w:t>
            </w:r>
          </w:p>
          <w:p w14:paraId="565421C4" w14:textId="77777777" w:rsidR="00E839E1" w:rsidRPr="000A2E75" w:rsidRDefault="00E839E1" w:rsidP="00E839E1">
            <w:pPr>
              <w:autoSpaceDE w:val="0"/>
              <w:autoSpaceDN w:val="0"/>
              <w:adjustRightInd w:val="0"/>
              <w:rPr>
                <w:rFonts w:ascii="Times New Roman" w:hAnsi="Times New Roman" w:cs="Times New Roman"/>
              </w:rPr>
            </w:pPr>
            <w:r w:rsidRPr="000A2E75">
              <w:rPr>
                <w:rFonts w:ascii="Times New Roman" w:hAnsi="Times New Roman" w:cs="Times New Roman"/>
              </w:rPr>
              <w:t>Sinirlenmeyeceğim, sinirlenmek kötü şeyler yapmama sebep oluyor.</w:t>
            </w:r>
          </w:p>
          <w:p w14:paraId="74A04A1F" w14:textId="77777777" w:rsidR="00E839E1" w:rsidRPr="000A2E75" w:rsidRDefault="00E839E1" w:rsidP="00E839E1">
            <w:pPr>
              <w:autoSpaceDE w:val="0"/>
              <w:autoSpaceDN w:val="0"/>
              <w:adjustRightInd w:val="0"/>
              <w:rPr>
                <w:rFonts w:ascii="Times New Roman" w:hAnsi="Times New Roman" w:cs="Times New Roman"/>
              </w:rPr>
            </w:pPr>
            <w:r w:rsidRPr="000A2E75">
              <w:rPr>
                <w:rFonts w:ascii="Times New Roman" w:hAnsi="Times New Roman" w:cs="Times New Roman"/>
              </w:rPr>
              <w:t>Bununla baş edebilirim.</w:t>
            </w:r>
          </w:p>
          <w:p w14:paraId="44487302" w14:textId="77777777" w:rsidR="00E839E1" w:rsidRPr="000A2E75" w:rsidRDefault="00E839E1" w:rsidP="00E839E1">
            <w:pPr>
              <w:autoSpaceDE w:val="0"/>
              <w:autoSpaceDN w:val="0"/>
              <w:adjustRightInd w:val="0"/>
              <w:rPr>
                <w:rFonts w:ascii="Times New Roman" w:hAnsi="Times New Roman" w:cs="Times New Roman"/>
              </w:rPr>
            </w:pPr>
            <w:r w:rsidRPr="000A2E75">
              <w:rPr>
                <w:rFonts w:ascii="Times New Roman" w:hAnsi="Times New Roman" w:cs="Times New Roman"/>
              </w:rPr>
              <w:t>Yavaş yavaş ilerleyip zamanı düşünmemeliyim.</w:t>
            </w:r>
          </w:p>
          <w:p w14:paraId="2A70F55C" w14:textId="77777777" w:rsidR="00E839E1" w:rsidRPr="000A2E75" w:rsidRDefault="00E839E1" w:rsidP="00E839E1">
            <w:pPr>
              <w:autoSpaceDE w:val="0"/>
              <w:autoSpaceDN w:val="0"/>
              <w:adjustRightInd w:val="0"/>
              <w:rPr>
                <w:rFonts w:ascii="Times New Roman" w:hAnsi="Times New Roman" w:cs="Times New Roman"/>
              </w:rPr>
            </w:pPr>
          </w:p>
        </w:tc>
      </w:tr>
      <w:tr w:rsidR="00E839E1" w:rsidRPr="000A2E75" w14:paraId="5035B35F" w14:textId="77777777" w:rsidTr="00E839E1">
        <w:tc>
          <w:tcPr>
            <w:tcW w:w="4531" w:type="dxa"/>
            <w:tcBorders>
              <w:top w:val="single" w:sz="4" w:space="0" w:color="FFFFFF"/>
              <w:bottom w:val="single" w:sz="4" w:space="0" w:color="7F7F7F"/>
            </w:tcBorders>
          </w:tcPr>
          <w:p w14:paraId="68AD2559" w14:textId="77777777" w:rsidR="00E839E1" w:rsidRPr="000A2E75" w:rsidRDefault="00E839E1" w:rsidP="00E839E1">
            <w:pPr>
              <w:autoSpaceDE w:val="0"/>
              <w:autoSpaceDN w:val="0"/>
              <w:adjustRightInd w:val="0"/>
              <w:rPr>
                <w:rFonts w:ascii="Times New Roman" w:hAnsi="Times New Roman" w:cs="Times New Roman"/>
                <w:bCs/>
                <w:i/>
              </w:rPr>
            </w:pPr>
            <w:r w:rsidRPr="000A2E75">
              <w:rPr>
                <w:rFonts w:ascii="Times New Roman" w:hAnsi="Times New Roman" w:cs="Times New Roman"/>
                <w:bCs/>
                <w:i/>
              </w:rPr>
              <w:lastRenderedPageBreak/>
              <w:t>Kendini pekiştirme</w:t>
            </w:r>
          </w:p>
          <w:p w14:paraId="557EBC85" w14:textId="77777777" w:rsidR="00E839E1" w:rsidRPr="000A2E75" w:rsidRDefault="00E839E1" w:rsidP="00E839E1">
            <w:pPr>
              <w:autoSpaceDE w:val="0"/>
              <w:autoSpaceDN w:val="0"/>
              <w:adjustRightInd w:val="0"/>
              <w:rPr>
                <w:rFonts w:ascii="Times New Roman" w:hAnsi="Times New Roman" w:cs="Times New Roman"/>
                <w:b/>
                <w:bCs/>
              </w:rPr>
            </w:pPr>
            <w:r w:rsidRPr="000A2E75">
              <w:rPr>
                <w:rFonts w:ascii="Times New Roman" w:hAnsi="Times New Roman" w:cs="Times New Roman"/>
                <w:bCs/>
              </w:rPr>
              <w:t>Ödül sağlama:</w:t>
            </w:r>
          </w:p>
        </w:tc>
        <w:tc>
          <w:tcPr>
            <w:tcW w:w="4531" w:type="dxa"/>
            <w:tcBorders>
              <w:top w:val="single" w:sz="4" w:space="0" w:color="FFFFFF"/>
              <w:bottom w:val="single" w:sz="4" w:space="0" w:color="7F7F7F"/>
            </w:tcBorders>
          </w:tcPr>
          <w:p w14:paraId="7A131773" w14:textId="77777777" w:rsidR="00E839E1" w:rsidRPr="000A2E75" w:rsidRDefault="00E839E1" w:rsidP="00E839E1">
            <w:pPr>
              <w:autoSpaceDE w:val="0"/>
              <w:autoSpaceDN w:val="0"/>
              <w:adjustRightInd w:val="0"/>
              <w:rPr>
                <w:rFonts w:ascii="Times New Roman" w:hAnsi="Times New Roman" w:cs="Times New Roman"/>
              </w:rPr>
            </w:pPr>
            <w:r w:rsidRPr="000A2E75">
              <w:rPr>
                <w:rFonts w:ascii="Times New Roman" w:hAnsi="Times New Roman" w:cs="Times New Roman"/>
              </w:rPr>
              <w:t>Bu işte gittikçe daha iyi oluyorum.</w:t>
            </w:r>
          </w:p>
          <w:p w14:paraId="49778E83" w14:textId="77777777" w:rsidR="00E839E1" w:rsidRPr="000A2E75" w:rsidRDefault="00E839E1" w:rsidP="00E839E1">
            <w:pPr>
              <w:autoSpaceDE w:val="0"/>
              <w:autoSpaceDN w:val="0"/>
              <w:adjustRightInd w:val="0"/>
              <w:rPr>
                <w:rFonts w:ascii="Times New Roman" w:hAnsi="Times New Roman" w:cs="Times New Roman"/>
              </w:rPr>
            </w:pPr>
            <w:r w:rsidRPr="000A2E75">
              <w:rPr>
                <w:rFonts w:ascii="Times New Roman" w:hAnsi="Times New Roman" w:cs="Times New Roman"/>
              </w:rPr>
              <w:t>Bu sonu beğendim.</w:t>
            </w:r>
          </w:p>
          <w:p w14:paraId="0AA31B9F" w14:textId="77777777" w:rsidR="00E839E1" w:rsidRPr="000A2E75" w:rsidRDefault="00E839E1" w:rsidP="00E839E1">
            <w:pPr>
              <w:autoSpaceDE w:val="0"/>
              <w:autoSpaceDN w:val="0"/>
              <w:adjustRightInd w:val="0"/>
              <w:rPr>
                <w:rFonts w:ascii="Times New Roman" w:hAnsi="Times New Roman" w:cs="Times New Roman"/>
              </w:rPr>
            </w:pPr>
            <w:r w:rsidRPr="000A2E75">
              <w:rPr>
                <w:rFonts w:ascii="Times New Roman" w:hAnsi="Times New Roman" w:cs="Times New Roman"/>
              </w:rPr>
              <w:t>Bunu öğretmenim okusun da gör!</w:t>
            </w:r>
          </w:p>
          <w:p w14:paraId="2E67690C" w14:textId="77777777" w:rsidR="00E839E1" w:rsidRPr="000A2E75" w:rsidRDefault="00E839E1" w:rsidP="00E839E1">
            <w:pPr>
              <w:autoSpaceDE w:val="0"/>
              <w:autoSpaceDN w:val="0"/>
              <w:adjustRightInd w:val="0"/>
              <w:rPr>
                <w:rFonts w:ascii="Times New Roman" w:hAnsi="Times New Roman" w:cs="Times New Roman"/>
              </w:rPr>
            </w:pPr>
            <w:r w:rsidRPr="000A2E75">
              <w:rPr>
                <w:rFonts w:ascii="Times New Roman" w:hAnsi="Times New Roman" w:cs="Times New Roman"/>
              </w:rPr>
              <w:t>Yaşasın başardım!</w:t>
            </w:r>
          </w:p>
        </w:tc>
      </w:tr>
    </w:tbl>
    <w:p w14:paraId="372F1E53" w14:textId="77777777" w:rsidR="00E839E1" w:rsidRPr="000A2E75" w:rsidRDefault="00E839E1" w:rsidP="00E839E1">
      <w:pPr>
        <w:spacing w:before="120" w:after="120"/>
        <w:jc w:val="both"/>
        <w:rPr>
          <w:rFonts w:ascii="Times New Roman" w:hAnsi="Times New Roman" w:cs="Times New Roman"/>
        </w:rPr>
      </w:pPr>
      <w:r w:rsidRPr="000A2E75">
        <w:rPr>
          <w:rFonts w:ascii="Times New Roman" w:hAnsi="Times New Roman" w:cs="Times New Roman"/>
          <w:i/>
        </w:rPr>
        <w:t>Not.</w:t>
      </w:r>
      <w:r w:rsidRPr="000A2E75">
        <w:rPr>
          <w:rFonts w:ascii="Times New Roman" w:hAnsi="Times New Roman" w:cs="Times New Roman"/>
        </w:rPr>
        <w:t xml:space="preserve"> Harris ve Graham 1996’dan alınmıştır.</w:t>
      </w:r>
    </w:p>
    <w:p w14:paraId="25AB35B0" w14:textId="77777777" w:rsidR="00E839E1" w:rsidRPr="000A2E75" w:rsidRDefault="00E839E1" w:rsidP="00E839E1">
      <w:pPr>
        <w:spacing w:before="120" w:after="120"/>
        <w:jc w:val="both"/>
        <w:rPr>
          <w:rFonts w:ascii="Times New Roman" w:hAnsi="Times New Roman" w:cs="Times New Roman"/>
        </w:rPr>
      </w:pPr>
    </w:p>
    <w:p w14:paraId="34376B1E" w14:textId="77777777" w:rsidR="00E839E1" w:rsidRPr="000A2E75" w:rsidRDefault="00E839E1" w:rsidP="00E839E1">
      <w:pPr>
        <w:spacing w:before="120" w:after="120"/>
        <w:jc w:val="both"/>
        <w:rPr>
          <w:rFonts w:ascii="Times New Roman" w:hAnsi="Times New Roman" w:cs="Times New Roman"/>
        </w:rPr>
      </w:pPr>
      <w:r w:rsidRPr="000A2E75">
        <w:rPr>
          <w:rFonts w:ascii="Times New Roman" w:hAnsi="Times New Roman" w:cs="Times New Roman"/>
        </w:rPr>
        <w:tab/>
        <w:t xml:space="preserve">Yazılı ifade sürecinde kullanılan bir diğer üst bilişsel strateji </w:t>
      </w:r>
      <w:r w:rsidRPr="000A2E75">
        <w:rPr>
          <w:rFonts w:ascii="Times New Roman" w:hAnsi="Times New Roman" w:cs="Times New Roman"/>
          <w:i/>
        </w:rPr>
        <w:t>kendini izlemedir</w:t>
      </w:r>
      <w:r w:rsidRPr="000A2E75">
        <w:rPr>
          <w:rFonts w:ascii="Times New Roman" w:hAnsi="Times New Roman" w:cs="Times New Roman"/>
        </w:rPr>
        <w:t>. Kendini izleme iki türlü gerçekleşir: Kendini kayıt etme ve kendini değerlendirme (Harris ve Graham, 1996). Yazar kendini izleme stratejisini kullanırken metindeki ögelerinin sayısını ya da gelişmişliğini, öge sıralamasını, anlatım biçimini, ifadelerini, yazım hatalarını vb., pek çok şeyi kayıt edebilir ve bu kayıt sonuçlarına göre metnini değerlendirir (Graham ve Harris, 2005). Tüm bu kayıtlar ve değerlendirmeler sonucunda metnini yeniden düzenleyerek daha gelişmiş/iyi hale getirir. Bu izleme sadece performans üzerinde değil, yazarın yazma sürecine verdiği dikkat üzerinde de yapılabilir (Harris, Graham, MacArthur, Reid ve Mason, 2011; Reid ve Lienemann, 2006).</w:t>
      </w:r>
    </w:p>
    <w:p w14:paraId="4D1530FE" w14:textId="77777777" w:rsidR="00E839E1" w:rsidRPr="000A2E75" w:rsidRDefault="00E839E1" w:rsidP="00E839E1">
      <w:pPr>
        <w:spacing w:after="120"/>
        <w:ind w:firstLine="709"/>
        <w:jc w:val="both"/>
        <w:rPr>
          <w:rFonts w:ascii="Times New Roman" w:hAnsi="Times New Roman" w:cs="Times New Roman"/>
        </w:rPr>
      </w:pPr>
      <w:r w:rsidRPr="000A2E75">
        <w:rPr>
          <w:rFonts w:ascii="Times New Roman" w:hAnsi="Times New Roman" w:cs="Times New Roman"/>
          <w:i/>
        </w:rPr>
        <w:t xml:space="preserve">Kendini pekiştirme </w:t>
      </w:r>
      <w:r w:rsidRPr="000A2E75">
        <w:rPr>
          <w:rFonts w:ascii="Times New Roman" w:hAnsi="Times New Roman" w:cs="Times New Roman"/>
        </w:rPr>
        <w:t xml:space="preserve">kişinin belirlediği hedefe ulaştığında kendini ödüllendirmesi yoluyla gerçekleşir (Reid ve Lienemann, 2006). İstenen davranışlarımızı artırma ve sürdürmede başkalarının pekiştirmelerinin etkililiği gibi (Wolery, Bailey, ve Sugai, </w:t>
      </w:r>
      <w:r w:rsidRPr="000A2E75">
        <w:rPr>
          <w:rStyle w:val="nlmyear"/>
          <w:rFonts w:ascii="Times New Roman" w:hAnsi="Times New Roman" w:cs="Times New Roman"/>
        </w:rPr>
        <w:t>1988</w:t>
      </w:r>
      <w:r w:rsidRPr="000A2E75">
        <w:rPr>
          <w:rFonts w:ascii="Times New Roman" w:hAnsi="Times New Roman" w:cs="Times New Roman"/>
        </w:rPr>
        <w:t>) kendimizi pekiştirmemiz de etkilidir (Harris ve Graham, 1996). Bu yönüyle kendini pekiştirme yazarı bağımsız, başarılı bir yazar yapan üst bilişsel stratejilerden biridir.</w:t>
      </w:r>
    </w:p>
    <w:p w14:paraId="41056AF9" w14:textId="77777777" w:rsidR="00E839E1" w:rsidRPr="000A2E75" w:rsidRDefault="00E839E1" w:rsidP="00E839E1">
      <w:pPr>
        <w:spacing w:after="120"/>
        <w:ind w:firstLine="709"/>
        <w:jc w:val="both"/>
        <w:rPr>
          <w:rFonts w:ascii="Times New Roman" w:hAnsi="Times New Roman" w:cs="Times New Roman"/>
        </w:rPr>
      </w:pPr>
    </w:p>
    <w:p w14:paraId="07E59F1D" w14:textId="77777777" w:rsidR="00E839E1" w:rsidRPr="000A2E75" w:rsidRDefault="00E839E1" w:rsidP="00E839E1">
      <w:pPr>
        <w:pStyle w:val="Balk2"/>
        <w:spacing w:before="0" w:after="120"/>
        <w:rPr>
          <w:rFonts w:ascii="Times New Roman" w:hAnsi="Times New Roman" w:cs="Times New Roman"/>
          <w:b w:val="0"/>
          <w:sz w:val="22"/>
          <w:szCs w:val="22"/>
        </w:rPr>
      </w:pPr>
      <w:bookmarkStart w:id="221" w:name="_Toc72739697"/>
      <w:bookmarkStart w:id="222" w:name="_Toc72754178"/>
      <w:bookmarkStart w:id="223" w:name="_Toc72754685"/>
      <w:bookmarkStart w:id="224" w:name="_Toc72755957"/>
      <w:bookmarkStart w:id="225" w:name="_Toc72961769"/>
      <w:r w:rsidRPr="000A2E75">
        <w:rPr>
          <w:rFonts w:ascii="Times New Roman" w:hAnsi="Times New Roman" w:cs="Times New Roman"/>
          <w:sz w:val="22"/>
          <w:szCs w:val="22"/>
        </w:rPr>
        <w:t>Kendini Düzenleme Stratejilerini Geliştirme Modeli</w:t>
      </w:r>
      <w:bookmarkEnd w:id="221"/>
      <w:bookmarkEnd w:id="222"/>
      <w:bookmarkEnd w:id="223"/>
      <w:bookmarkEnd w:id="224"/>
      <w:bookmarkEnd w:id="225"/>
    </w:p>
    <w:p w14:paraId="0F15C80C" w14:textId="77777777" w:rsidR="00E839E1" w:rsidRPr="000A2E75" w:rsidRDefault="00E839E1" w:rsidP="00E839E1">
      <w:pPr>
        <w:spacing w:after="120"/>
        <w:ind w:firstLine="709"/>
        <w:jc w:val="both"/>
        <w:rPr>
          <w:rFonts w:ascii="Times New Roman" w:hAnsi="Times New Roman" w:cs="Times New Roman"/>
        </w:rPr>
      </w:pPr>
      <w:r w:rsidRPr="000A2E75">
        <w:rPr>
          <w:rFonts w:ascii="Times New Roman" w:hAnsi="Times New Roman" w:cs="Times New Roman"/>
        </w:rPr>
        <w:t xml:space="preserve">Yazılı ifadenin bireyler için anlamı ile birlikte yazılı ifade öğretimi de her geçen yıl yenilenmekte ve gelişmektedir. Bu değişim çeşitli öğretim modellerinin kanıt temelli uygulamaları yoluyla gerçekleşmektedir. </w:t>
      </w:r>
    </w:p>
    <w:p w14:paraId="51A823CA" w14:textId="77777777" w:rsidR="00E839E1" w:rsidRPr="000A2E75" w:rsidRDefault="00E839E1" w:rsidP="00E839E1">
      <w:pPr>
        <w:spacing w:before="120" w:after="120"/>
        <w:ind w:firstLine="709"/>
        <w:jc w:val="both"/>
        <w:rPr>
          <w:rFonts w:ascii="Times New Roman" w:hAnsi="Times New Roman" w:cs="Times New Roman"/>
        </w:rPr>
      </w:pPr>
      <w:r w:rsidRPr="000A2E75">
        <w:rPr>
          <w:rFonts w:ascii="Times New Roman" w:hAnsi="Times New Roman" w:cs="Times New Roman"/>
        </w:rPr>
        <w:t>Yapılan meta analiz çalışmalarında yazılı ifade becerisini geliştirmede sistematik strateji öğretimlerinin etki gücü yüksek rapor edilmiştir (</w:t>
      </w:r>
      <w:r w:rsidRPr="000A2E75">
        <w:rPr>
          <w:rFonts w:ascii="Times New Roman" w:eastAsia="TimesNewRomanPSMT" w:hAnsi="Times New Roman" w:cs="Times New Roman"/>
        </w:rPr>
        <w:t>Gersten ve Baker, 2001</w:t>
      </w:r>
      <w:r w:rsidRPr="000A2E75">
        <w:rPr>
          <w:rFonts w:ascii="Times New Roman" w:hAnsi="Times New Roman" w:cs="Times New Roman"/>
        </w:rPr>
        <w:t xml:space="preserve">; </w:t>
      </w:r>
      <w:r w:rsidRPr="000A2E75">
        <w:rPr>
          <w:rFonts w:ascii="Times New Roman" w:eastAsia="TimesNewRomanPSMT" w:hAnsi="Times New Roman" w:cs="Times New Roman"/>
        </w:rPr>
        <w:t>Gillespie ve Graham, 2014; Graham ve Perin, 2007)</w:t>
      </w:r>
      <w:r w:rsidRPr="000A2E75">
        <w:rPr>
          <w:rFonts w:ascii="Times New Roman" w:hAnsi="Times New Roman" w:cs="Times New Roman"/>
        </w:rPr>
        <w:t xml:space="preserve">. Yazılı ifade becerilerini kazandırmada etkili strateji öğretim modelleri bulunmaktadır. Kanıt temelli bu uygulama modellerinden biri kendini düzenleme stratejilerini geliştirme (KDSG) modelidir (Harris ve Graham, 1991). KDSG modelinin etkililiği; öğrenme güçlüğü olan, duygu davranış problemi olan, zihinsel yetersizlikten etkilenmiş, üstün zekâlı, normal gelişim gösteren ancak yazmada düşük performans sergileyen, otizm spektrum bozukluğu olan çocuklar gibi pek çok öğrenci grubunda çoğunlukla kurgusal metin yazma üzerinde denenmiş ve öğrencilerin metin yazma becerilerinde başlama düzeyine göre belirgin artışlar görülmüştür (ör. Asaro-Saddler ve Saddler, 2010; Graham, Harris, ve Mason, 2005; Güler Bülbül ve Özmen, 2020; Lane vd., 2010; Saddler, 2006). </w:t>
      </w:r>
    </w:p>
    <w:p w14:paraId="3A71D566" w14:textId="77777777" w:rsidR="00E839E1" w:rsidRPr="000A2E75" w:rsidRDefault="00E839E1" w:rsidP="00E839E1">
      <w:pPr>
        <w:spacing w:before="120" w:after="120"/>
        <w:ind w:firstLine="709"/>
        <w:jc w:val="both"/>
        <w:rPr>
          <w:rFonts w:ascii="Times New Roman" w:hAnsi="Times New Roman" w:cs="Times New Roman"/>
          <w:b/>
        </w:rPr>
      </w:pPr>
      <w:r w:rsidRPr="000A2E75">
        <w:rPr>
          <w:rFonts w:ascii="Times New Roman" w:hAnsi="Times New Roman" w:cs="Times New Roman"/>
        </w:rPr>
        <w:lastRenderedPageBreak/>
        <w:t xml:space="preserve">KDSG bünyesinde hem bilişsel hem de üst bilişsel stratejilerin kullanımını öğretmeye dayalı bir yazılı ifade öğretim modelidir. Harris ve Graham (1985) tarafından 20. yüzyılın sonralarında temelleri atılan bu model yaygın olarak öykü, ikna edici metin gibi belli başlı kurgusal metin türlerini yazma öğretiminde kullanılmaktadır. </w:t>
      </w:r>
    </w:p>
    <w:p w14:paraId="3C147BCD" w14:textId="77777777" w:rsidR="00E839E1" w:rsidRPr="000A2E75" w:rsidRDefault="00E839E1" w:rsidP="00E839E1">
      <w:pPr>
        <w:spacing w:after="120"/>
        <w:ind w:firstLine="709"/>
        <w:jc w:val="both"/>
        <w:rPr>
          <w:rFonts w:ascii="Times New Roman" w:hAnsi="Times New Roman" w:cs="Times New Roman"/>
          <w:b/>
        </w:rPr>
      </w:pPr>
      <w:r w:rsidRPr="000A2E75">
        <w:rPr>
          <w:rFonts w:ascii="Times New Roman" w:hAnsi="Times New Roman" w:cs="Times New Roman"/>
        </w:rPr>
        <w:t>Bu modelde yazma alt işlemlerinden (planlama, düzenleme, yazma/taslak oluşturma gözden geçirme ve düzeltme) bir kaçı bir arada olacak şekilde (örneğin planlama + taslak oluşturma + yazma) farklı stratejiler üzerinden odaklanılır. KDSG modelini diğer yazılı ifade öğretim modellerinden ayıran temel özellik öğrenciye yazma stratejilerinin içine gömülü olarak kendini düzenleme stratejilerini kullanmayı da öğretmesidir (Graham ve Harris, 2005; Harris ve Graham, 1992; 1996).</w:t>
      </w:r>
    </w:p>
    <w:p w14:paraId="78DE47D4" w14:textId="77777777" w:rsidR="00E839E1" w:rsidRPr="000A2E75" w:rsidRDefault="00E839E1" w:rsidP="00E839E1">
      <w:pPr>
        <w:spacing w:before="120" w:after="120"/>
        <w:ind w:firstLine="709"/>
        <w:jc w:val="both"/>
        <w:rPr>
          <w:rFonts w:ascii="Times New Roman" w:hAnsi="Times New Roman" w:cs="Times New Roman"/>
        </w:rPr>
      </w:pPr>
      <w:r w:rsidRPr="000A2E75">
        <w:rPr>
          <w:rFonts w:ascii="Times New Roman" w:hAnsi="Times New Roman" w:cs="Times New Roman"/>
        </w:rPr>
        <w:t xml:space="preserve">Öğretim aşamaları sorumluluğun öğretmenden öğrenciye doğru aşamalı olarak geçişinden oluşur (Graham ve Harris, 2005). Bu aşamalardan birinden diğerine geçmek için öğrencinin belirlenen ölçütlere ulaşması sağlanır. Öğretimin temelde altı aşaması vardır. Bunlar; geçmiş bilgileri geliştirme, tartışma, model olma, ezberleme, rehberli uygulamalar ve bağımsız uygulamalardır (Graham ve Harris, 2005; Harris ve Graham, 1992; 1996). Bu aşamalardan bazıları birbirinin içine geçebileceği gibi bazılarına da gerekli olmaması durumunda yer verilmeyebilir. Aynı zamanda her bir aşamanın sıralaması hedeflenen strateji ve öğrenci özelliklerine göre farklılaşabilir (Harris ve Graham, 1996). Aşağıda açıklanan KDSG modeli öğretim aşamaları Harris ve Graham (1996) ve Harris, Graham ve Mason (2003)’den derlenerek özetlenmiştir. </w:t>
      </w:r>
    </w:p>
    <w:p w14:paraId="0276807D" w14:textId="77777777" w:rsidR="00E839E1" w:rsidRPr="000A2E75" w:rsidRDefault="00E839E1" w:rsidP="008934F8">
      <w:pPr>
        <w:pStyle w:val="ListeParagraf"/>
        <w:numPr>
          <w:ilvl w:val="0"/>
          <w:numId w:val="58"/>
        </w:numPr>
        <w:spacing w:before="120" w:after="120" w:line="240" w:lineRule="auto"/>
        <w:jc w:val="both"/>
        <w:rPr>
          <w:rFonts w:ascii="Times New Roman" w:hAnsi="Times New Roman" w:cs="Times New Roman"/>
          <w:b/>
        </w:rPr>
      </w:pPr>
      <w:r w:rsidRPr="000A2E75">
        <w:rPr>
          <w:rFonts w:ascii="Times New Roman" w:hAnsi="Times New Roman" w:cs="Times New Roman"/>
          <w:b/>
        </w:rPr>
        <w:t xml:space="preserve">Ön bilgileri geliştirme: </w:t>
      </w:r>
      <w:r w:rsidRPr="000A2E75">
        <w:rPr>
          <w:rFonts w:ascii="Times New Roman" w:hAnsi="Times New Roman" w:cs="Times New Roman"/>
        </w:rPr>
        <w:t>Bu aşamada öğrenciler yazacakları metin türüne ve yazma sürecinde kendilerine yardımcı olacak kendini düzenleme stratejilerine ilişkin gerekli olan ön bilgileri edinerek metin yazma sürecine hazırlanırlar. Bu ön bilgiler çoğu zaman metin yapısı, metin (ögeleri), yazma stratejileri ya da kendini düzenleme stratejileridir. Bu aşamada strateji tanıtım kâğıtları, çeşitli kartlar vb. kullanılabilir.</w:t>
      </w:r>
    </w:p>
    <w:p w14:paraId="172BE140" w14:textId="77777777" w:rsidR="00E839E1" w:rsidRPr="000A2E75" w:rsidRDefault="00E839E1" w:rsidP="008934F8">
      <w:pPr>
        <w:pStyle w:val="ListeParagraf"/>
        <w:numPr>
          <w:ilvl w:val="0"/>
          <w:numId w:val="58"/>
        </w:numPr>
        <w:spacing w:before="120" w:after="120" w:line="240" w:lineRule="auto"/>
        <w:jc w:val="both"/>
        <w:rPr>
          <w:rFonts w:ascii="Times New Roman" w:hAnsi="Times New Roman" w:cs="Times New Roman"/>
          <w:b/>
        </w:rPr>
      </w:pPr>
      <w:r w:rsidRPr="000A2E75">
        <w:rPr>
          <w:rFonts w:ascii="Times New Roman" w:hAnsi="Times New Roman" w:cs="Times New Roman"/>
          <w:b/>
        </w:rPr>
        <w:t xml:space="preserve">Tartışma: </w:t>
      </w:r>
      <w:r w:rsidRPr="000A2E75">
        <w:rPr>
          <w:rFonts w:ascii="Times New Roman" w:hAnsi="Times New Roman" w:cs="Times New Roman"/>
        </w:rPr>
        <w:t>Bu aşamada olumlu ve olumsuz metin örnekleri ve kendini düzenleme ifadeleri incelenerek iyi bir metnin ve iyi bir yazarın özellikleri tartışılır. Bu örnekler öğrencilerin daha önce yazmış oldukları metinler olabileceği gibi öğrencinin yazma süreci içerisinde kendisine söylediği sözler (üst bilişsel stratejileri) de olabilir. Bu aşamada öne çıkan yazmada bilişsel ve üst bilişsel strateji kullanmanın önemidir. Bu tartışmalar yoluyla öğrencilerin yazmaya karşı olumlu tutum geliştirmeleri ve motivasyonlarını artırmaları desteklenir. Bu tartışmaların sonunda öğretmen yazma stratejisinin tüm aşamalarını ve hangi aşamada hangi materyali kullanacaklarını öğrenciye açıklar.</w:t>
      </w:r>
    </w:p>
    <w:p w14:paraId="096D23AE" w14:textId="77777777" w:rsidR="00E839E1" w:rsidRPr="000A2E75" w:rsidRDefault="00E839E1" w:rsidP="008934F8">
      <w:pPr>
        <w:pStyle w:val="ListeParagraf"/>
        <w:numPr>
          <w:ilvl w:val="0"/>
          <w:numId w:val="58"/>
        </w:numPr>
        <w:spacing w:before="120" w:after="120" w:line="240" w:lineRule="auto"/>
        <w:jc w:val="both"/>
        <w:rPr>
          <w:rFonts w:ascii="Times New Roman" w:hAnsi="Times New Roman" w:cs="Times New Roman"/>
          <w:b/>
        </w:rPr>
      </w:pPr>
      <w:r w:rsidRPr="000A2E75">
        <w:rPr>
          <w:rFonts w:ascii="Times New Roman" w:hAnsi="Times New Roman" w:cs="Times New Roman"/>
          <w:b/>
        </w:rPr>
        <w:t xml:space="preserve">Model olma: </w:t>
      </w:r>
      <w:r w:rsidRPr="000A2E75">
        <w:rPr>
          <w:rFonts w:ascii="Times New Roman" w:hAnsi="Times New Roman" w:cs="Times New Roman"/>
        </w:rPr>
        <w:t>Bu aşamada</w:t>
      </w:r>
      <w:r w:rsidRPr="000A2E75">
        <w:rPr>
          <w:rFonts w:ascii="Times New Roman" w:hAnsi="Times New Roman" w:cs="Times New Roman"/>
          <w:b/>
        </w:rPr>
        <w:t xml:space="preserve"> </w:t>
      </w:r>
      <w:r w:rsidRPr="000A2E75">
        <w:rPr>
          <w:rFonts w:ascii="Times New Roman" w:hAnsi="Times New Roman" w:cs="Times New Roman"/>
        </w:rPr>
        <w:t>öğretmen stratejinin tüm aşamalarına ve kendini düzenleme stratejilerine model olur. Model olma sürecinde yüksek sesle düşünür ve öğrencilerin stratejiyi gerçekleştirmede faydalanacakları tüm materyalleri de kullanır. Model olma süreci birden fazla kez tekrarlanabilir. Bu aşamada kendini düzenleme kâğıdı, planlama kağıdı, strateji panosu, metin ögeleri hatırlatıcısı gibi çeşitli işlemsel kolaylaştırıcılar kullanılabilir.</w:t>
      </w:r>
    </w:p>
    <w:p w14:paraId="3AFE8302" w14:textId="77777777" w:rsidR="00E839E1" w:rsidRPr="000A2E75" w:rsidRDefault="00E839E1" w:rsidP="008934F8">
      <w:pPr>
        <w:pStyle w:val="ListeParagraf"/>
        <w:numPr>
          <w:ilvl w:val="0"/>
          <w:numId w:val="58"/>
        </w:numPr>
        <w:spacing w:before="120" w:after="120" w:line="240" w:lineRule="auto"/>
        <w:jc w:val="both"/>
        <w:rPr>
          <w:rFonts w:ascii="Times New Roman" w:hAnsi="Times New Roman" w:cs="Times New Roman"/>
          <w:b/>
        </w:rPr>
      </w:pPr>
      <w:r w:rsidRPr="000A2E75">
        <w:rPr>
          <w:rFonts w:ascii="Times New Roman" w:hAnsi="Times New Roman" w:cs="Times New Roman"/>
          <w:b/>
        </w:rPr>
        <w:t xml:space="preserve">Ezberleme: </w:t>
      </w:r>
      <w:r w:rsidRPr="000A2E75">
        <w:rPr>
          <w:rFonts w:ascii="Times New Roman" w:hAnsi="Times New Roman" w:cs="Times New Roman"/>
        </w:rPr>
        <w:t>Yazma stratejisini uygulayabilmek için stratejinin tüm aşamalarını bilmek gerekir. Bu aşamalar öğretmenin model olma sürecinde öğrenilebileceği gibi gerekirse bir ezberleme oturumuna yer verilerek de öğretilebilir. Ezberleme çalışması strateji basamaklarının birden çok tekrarı sağlanarak yapılır. Bu çalışma çeşitli oyunlar yoluyla gerçekleştirilebilir.  Bu aşamada strateji basamaklarını ezberlemeyi kolaylaştırmak için hatırlatıcı kartlar kullanılabilir.</w:t>
      </w:r>
    </w:p>
    <w:p w14:paraId="50F4B16D" w14:textId="77777777" w:rsidR="00E839E1" w:rsidRPr="000A2E75" w:rsidRDefault="00E839E1" w:rsidP="008934F8">
      <w:pPr>
        <w:pStyle w:val="ListeParagraf"/>
        <w:numPr>
          <w:ilvl w:val="0"/>
          <w:numId w:val="58"/>
        </w:numPr>
        <w:spacing w:before="120" w:after="120" w:line="240" w:lineRule="auto"/>
        <w:jc w:val="both"/>
        <w:rPr>
          <w:rFonts w:ascii="Times New Roman" w:hAnsi="Times New Roman" w:cs="Times New Roman"/>
          <w:b/>
        </w:rPr>
      </w:pPr>
      <w:r w:rsidRPr="000A2E75">
        <w:rPr>
          <w:rFonts w:ascii="Times New Roman" w:hAnsi="Times New Roman" w:cs="Times New Roman"/>
          <w:b/>
        </w:rPr>
        <w:t xml:space="preserve">Rehberli uygulamalar: </w:t>
      </w:r>
      <w:r w:rsidRPr="000A2E75">
        <w:rPr>
          <w:rFonts w:ascii="Times New Roman" w:hAnsi="Times New Roman" w:cs="Times New Roman"/>
        </w:rPr>
        <w:t>Bu aşamada sorumluluk öğrenciye geçer. Öğrencilere verilen destekleyicilerle strateji basamaklarını gerçekleştirmeleri beklenir. Ancak öğrencilere verilen destekleyiciler aşamalı olarak geri çekilir. Öğretmen gerekli durumlarda öğrencilere ipuçları vererek stratejiyi bağımsız olarak gerçekleştirmeleri yönünde destekler sunar. Model olma aşamasında öğretmenin kullandığı işlemsel kolaylaştırıcıların aynıları öğrenciler için de sunulur.</w:t>
      </w:r>
    </w:p>
    <w:p w14:paraId="56478A4C" w14:textId="77777777" w:rsidR="00E839E1" w:rsidRPr="000A2E75" w:rsidRDefault="00E839E1" w:rsidP="008934F8">
      <w:pPr>
        <w:pStyle w:val="ListeParagraf"/>
        <w:numPr>
          <w:ilvl w:val="0"/>
          <w:numId w:val="58"/>
        </w:numPr>
        <w:spacing w:before="120" w:after="120" w:line="240" w:lineRule="auto"/>
        <w:jc w:val="both"/>
        <w:rPr>
          <w:rFonts w:ascii="Times New Roman" w:hAnsi="Times New Roman" w:cs="Times New Roman"/>
          <w:b/>
        </w:rPr>
      </w:pPr>
      <w:r w:rsidRPr="000A2E75">
        <w:rPr>
          <w:rFonts w:ascii="Times New Roman" w:hAnsi="Times New Roman" w:cs="Times New Roman"/>
          <w:b/>
        </w:rPr>
        <w:t xml:space="preserve">Bağımsız uygulamalar: </w:t>
      </w:r>
      <w:r w:rsidRPr="000A2E75">
        <w:rPr>
          <w:rFonts w:ascii="Times New Roman" w:hAnsi="Times New Roman" w:cs="Times New Roman"/>
        </w:rPr>
        <w:t xml:space="preserve">Stratejiyi gerçekleştirmede sorumluluğun öğrenciye verildiği aşamadır. Ancak ihtiyaç hissedilmesi durumunda öğretmen öğrenciye bir önceki aşamaya dönerek destek vermeye devam edebilir. Bu aşama öğrenci öğretmen desteği olmadan </w:t>
      </w:r>
      <w:r w:rsidRPr="000A2E75">
        <w:rPr>
          <w:rFonts w:ascii="Times New Roman" w:hAnsi="Times New Roman" w:cs="Times New Roman"/>
        </w:rPr>
        <w:lastRenderedPageBreak/>
        <w:t>stratejiyi bağımsız olarak gerçekleştirinceye kadar devam eder. Bu aşamada metin ögelerini kontrol etmeyi ya da değerlendirmeyi kolaylaştırıcı roket grafikler, metin ögeleri değerlendirme kâğıdı gibi işlemsel kolaylaştırıcılar öğrenciye verilebilir.</w:t>
      </w:r>
    </w:p>
    <w:p w14:paraId="11916E70" w14:textId="77777777" w:rsidR="00E839E1" w:rsidRPr="000A2E75" w:rsidRDefault="00E839E1" w:rsidP="00E839E1">
      <w:pPr>
        <w:pStyle w:val="ListeParagraf"/>
        <w:spacing w:before="120" w:after="120" w:line="240" w:lineRule="auto"/>
        <w:ind w:left="1069"/>
        <w:jc w:val="both"/>
        <w:rPr>
          <w:rFonts w:ascii="Times New Roman" w:hAnsi="Times New Roman" w:cs="Times New Roman"/>
          <w:b/>
        </w:rPr>
      </w:pPr>
    </w:p>
    <w:p w14:paraId="13467696" w14:textId="77777777" w:rsidR="00E839E1" w:rsidRPr="000A2E75" w:rsidRDefault="00E839E1" w:rsidP="00E839E1">
      <w:pPr>
        <w:spacing w:before="120" w:after="120"/>
        <w:ind w:firstLine="708"/>
        <w:jc w:val="both"/>
        <w:rPr>
          <w:rFonts w:ascii="Times New Roman" w:hAnsi="Times New Roman" w:cs="Times New Roman"/>
        </w:rPr>
      </w:pPr>
      <w:r w:rsidRPr="000A2E75">
        <w:rPr>
          <w:rFonts w:ascii="Times New Roman" w:hAnsi="Times New Roman" w:cs="Times New Roman"/>
        </w:rPr>
        <w:t>Aşağıda KDSG modelinin aşamalarına göre öğretimi yapılan stratejiler tanıtılarak bu stratejilerin etkililiğinin denendiği araştırma örnekleri açıklanmaktadır.</w:t>
      </w:r>
    </w:p>
    <w:p w14:paraId="11401F4D" w14:textId="77777777" w:rsidR="00E839E1" w:rsidRPr="000A2E75" w:rsidRDefault="00E839E1" w:rsidP="00E839E1">
      <w:pPr>
        <w:pStyle w:val="Balk2"/>
        <w:spacing w:after="120"/>
        <w:jc w:val="both"/>
        <w:rPr>
          <w:rFonts w:ascii="Times New Roman" w:hAnsi="Times New Roman" w:cs="Times New Roman"/>
          <w:b w:val="0"/>
          <w:sz w:val="22"/>
          <w:szCs w:val="22"/>
        </w:rPr>
      </w:pPr>
      <w:bookmarkStart w:id="226" w:name="_Toc72739698"/>
      <w:bookmarkStart w:id="227" w:name="_Toc72754179"/>
      <w:bookmarkStart w:id="228" w:name="_Toc72754686"/>
      <w:bookmarkStart w:id="229" w:name="_Toc72755958"/>
      <w:bookmarkStart w:id="230" w:name="_Toc72961770"/>
      <w:r w:rsidRPr="000A2E75">
        <w:rPr>
          <w:rFonts w:ascii="Times New Roman" w:hAnsi="Times New Roman" w:cs="Times New Roman"/>
          <w:sz w:val="22"/>
          <w:szCs w:val="22"/>
        </w:rPr>
        <w:t>KDSG Modelinin Temel Stratejisi: POW</w:t>
      </w:r>
      <w:bookmarkEnd w:id="226"/>
      <w:bookmarkEnd w:id="227"/>
      <w:bookmarkEnd w:id="228"/>
      <w:bookmarkEnd w:id="229"/>
      <w:bookmarkEnd w:id="230"/>
      <w:r w:rsidRPr="000A2E75">
        <w:rPr>
          <w:rFonts w:ascii="Times New Roman" w:hAnsi="Times New Roman" w:cs="Times New Roman"/>
          <w:sz w:val="22"/>
          <w:szCs w:val="22"/>
        </w:rPr>
        <w:t xml:space="preserve"> </w:t>
      </w:r>
    </w:p>
    <w:p w14:paraId="63FD9966" w14:textId="77777777" w:rsidR="00E839E1" w:rsidRPr="000A2E75" w:rsidRDefault="00E839E1" w:rsidP="00E839E1">
      <w:pPr>
        <w:spacing w:after="120"/>
        <w:jc w:val="both"/>
        <w:rPr>
          <w:rFonts w:ascii="Times New Roman" w:hAnsi="Times New Roman" w:cs="Times New Roman"/>
        </w:rPr>
      </w:pPr>
      <w:r w:rsidRPr="000A2E75">
        <w:rPr>
          <w:rFonts w:ascii="Times New Roman" w:hAnsi="Times New Roman" w:cs="Times New Roman"/>
        </w:rPr>
        <w:tab/>
        <w:t>KDSG modeli yukarıda açıklanan yazılı ifade sürecinde planlama, taslak oluşturma ve yazma alt işlemlerine odaklanır. Yazılı ifade performansları düşük çeşitli öğrenci gruplarında planlama, taslak oluşturma ve yazma alt işlemlerini başarıyla gerçekleştirmek için geliştirilen temel strateji POW’dır (Harris, Graham ve Mason, 2003). Bu stratejinin ismi aynı zamanda her bir alt işlemin hatırlatıcısı olma işlevi görür. P (Pick) kendisine verilen seçeneklerden ona en uygun konuyu seçmeyi, O (Organize) konuyla ilgili beyin fırtınası yaparak aklına gelen fikirleri organize etmeyi -planlama kâğıdında düzenlemeyi-, W (Write), metnini yazmayı ifade eder (Harris, Graham ve Mason, 2003). Bu alt işlemler için uygulanan bilişsel stratejiler sırasıyla: (P): konu listesinden aklına en fazla fikir gelen konuyu seçme, (O): aklına gelen fikirleri planlama kâğıdına not alma (planlama kâğıdı her bir metin türüne ilişkin farklılaşmaktadır) ve son olarak (W): planlama kâğıdına aldığı notlara göre metnini yazma ve genişletmedir. Bu üç basamak metin türü farkı gözetmeksizin her seferinde aynı şekilde uygulanır. Metin türlerine göre değişiklik gösteren tek öge O basamağında (Organize) öykü, ikna edici metin gibi farklı metin türlerinin ögelerini özetleyen hatırlatıcılar devreye girer.</w:t>
      </w:r>
    </w:p>
    <w:p w14:paraId="12F2C263" w14:textId="77777777" w:rsidR="00E839E1" w:rsidRPr="000A2E75" w:rsidRDefault="00E839E1" w:rsidP="00E839E1">
      <w:pPr>
        <w:spacing w:after="120"/>
        <w:ind w:firstLine="708"/>
        <w:jc w:val="both"/>
        <w:rPr>
          <w:rFonts w:ascii="Times New Roman" w:hAnsi="Times New Roman" w:cs="Times New Roman"/>
        </w:rPr>
      </w:pPr>
      <w:r w:rsidRPr="000A2E75">
        <w:rPr>
          <w:rFonts w:ascii="Times New Roman" w:hAnsi="Times New Roman" w:cs="Times New Roman"/>
        </w:rPr>
        <w:t>Aşağıda bu stratejinin öykü ve ikna edici metin yazmada nasıl kullanıldığı açıklanmaktadır.</w:t>
      </w:r>
    </w:p>
    <w:p w14:paraId="06180BC3" w14:textId="77777777" w:rsidR="00E839E1" w:rsidRPr="000A2E75" w:rsidRDefault="00E839E1" w:rsidP="00E839E1">
      <w:pPr>
        <w:spacing w:after="120"/>
        <w:ind w:firstLine="708"/>
        <w:jc w:val="both"/>
        <w:rPr>
          <w:rFonts w:ascii="Times New Roman" w:hAnsi="Times New Roman" w:cs="Times New Roman"/>
        </w:rPr>
      </w:pPr>
    </w:p>
    <w:p w14:paraId="6387E95E" w14:textId="77777777" w:rsidR="00E839E1" w:rsidRPr="000A2E75" w:rsidRDefault="00E839E1" w:rsidP="00E839E1">
      <w:pPr>
        <w:pStyle w:val="Balk2"/>
        <w:spacing w:after="120"/>
        <w:jc w:val="both"/>
        <w:rPr>
          <w:rFonts w:ascii="Times New Roman" w:hAnsi="Times New Roman" w:cs="Times New Roman"/>
          <w:b w:val="0"/>
          <w:sz w:val="22"/>
          <w:szCs w:val="22"/>
        </w:rPr>
      </w:pPr>
      <w:bookmarkStart w:id="231" w:name="_Toc72739699"/>
      <w:bookmarkStart w:id="232" w:name="_Toc72754180"/>
      <w:bookmarkStart w:id="233" w:name="_Toc72754687"/>
      <w:bookmarkStart w:id="234" w:name="_Toc72755959"/>
      <w:bookmarkStart w:id="235" w:name="_Toc72961771"/>
      <w:r w:rsidRPr="000A2E75">
        <w:rPr>
          <w:rFonts w:ascii="Times New Roman" w:hAnsi="Times New Roman" w:cs="Times New Roman"/>
          <w:sz w:val="22"/>
          <w:szCs w:val="22"/>
        </w:rPr>
        <w:t>POW + WWW, What=2, How=2: Öykü Yazma Stratejisi</w:t>
      </w:r>
      <w:bookmarkEnd w:id="231"/>
      <w:bookmarkEnd w:id="232"/>
      <w:bookmarkEnd w:id="233"/>
      <w:bookmarkEnd w:id="234"/>
      <w:bookmarkEnd w:id="235"/>
    </w:p>
    <w:p w14:paraId="70109775" w14:textId="77777777" w:rsidR="00E839E1" w:rsidRPr="000A2E75" w:rsidRDefault="00E839E1" w:rsidP="00E839E1">
      <w:pPr>
        <w:spacing w:after="120"/>
        <w:jc w:val="both"/>
        <w:rPr>
          <w:rFonts w:ascii="Times New Roman" w:hAnsi="Times New Roman" w:cs="Times New Roman"/>
        </w:rPr>
      </w:pPr>
      <w:r w:rsidRPr="000A2E75">
        <w:rPr>
          <w:rFonts w:ascii="Times New Roman" w:hAnsi="Times New Roman" w:cs="Times New Roman"/>
        </w:rPr>
        <w:tab/>
        <w:t>KDSG modelinde öykü yazma öğretiminde kullanılan strateji POW + WWW, What=2, How=2 stratejisidir (Harris, Graham ve Mason, 2003). Yularıda açıklanan temel strateji POW’ın O (Organize) bölümünde öğrencilere bir öykü yazmak için yedi öykü ögesini hatırlatma işlevi gören WWW, What=2, How=2 hatırlatıcısı (mnemonic) öğretilir. Bu hatırlatıcı her öykü ögesine ilişkin sorulan soruları içerir.</w:t>
      </w:r>
    </w:p>
    <w:p w14:paraId="478F5B50" w14:textId="77777777" w:rsidR="00E839E1" w:rsidRPr="000A2E75" w:rsidRDefault="00E839E1" w:rsidP="00E839E1">
      <w:pPr>
        <w:pStyle w:val="ListeParagraf"/>
        <w:autoSpaceDE w:val="0"/>
        <w:autoSpaceDN w:val="0"/>
        <w:adjustRightInd w:val="0"/>
        <w:spacing w:after="120" w:line="240" w:lineRule="auto"/>
        <w:ind w:left="0"/>
        <w:jc w:val="both"/>
        <w:rPr>
          <w:rFonts w:ascii="Times New Roman" w:hAnsi="Times New Roman" w:cs="Times New Roman"/>
          <w:bCs/>
        </w:rPr>
      </w:pPr>
      <w:r w:rsidRPr="000A2E75">
        <w:rPr>
          <w:rFonts w:ascii="Times New Roman" w:hAnsi="Times New Roman" w:cs="Times New Roman"/>
          <w:b/>
        </w:rPr>
        <w:t>W</w:t>
      </w:r>
      <w:r w:rsidRPr="000A2E75">
        <w:rPr>
          <w:rFonts w:ascii="Times New Roman" w:hAnsi="Times New Roman" w:cs="Times New Roman"/>
        </w:rPr>
        <w:t xml:space="preserve">ho are the main characters?: Kahraman(lar)  </w:t>
      </w:r>
      <w:r w:rsidRPr="000A2E75">
        <w:rPr>
          <w:rFonts w:ascii="Times New Roman" w:hAnsi="Times New Roman" w:cs="Times New Roman"/>
          <w:i/>
        </w:rPr>
        <w:t>kim</w:t>
      </w:r>
      <w:r w:rsidRPr="000A2E75">
        <w:rPr>
          <w:rFonts w:ascii="Times New Roman" w:hAnsi="Times New Roman" w:cs="Times New Roman"/>
        </w:rPr>
        <w:t>?</w:t>
      </w:r>
    </w:p>
    <w:p w14:paraId="61AEF6FC" w14:textId="77777777" w:rsidR="00E839E1" w:rsidRPr="000A2E75" w:rsidRDefault="00E839E1" w:rsidP="00E839E1">
      <w:pPr>
        <w:pStyle w:val="ListeParagraf"/>
        <w:autoSpaceDE w:val="0"/>
        <w:autoSpaceDN w:val="0"/>
        <w:adjustRightInd w:val="0"/>
        <w:spacing w:after="120" w:line="240" w:lineRule="auto"/>
        <w:ind w:left="0"/>
        <w:jc w:val="both"/>
        <w:rPr>
          <w:rFonts w:ascii="Times New Roman" w:hAnsi="Times New Roman" w:cs="Times New Roman"/>
          <w:bCs/>
        </w:rPr>
      </w:pPr>
      <w:r w:rsidRPr="000A2E75">
        <w:rPr>
          <w:rFonts w:ascii="Times New Roman" w:hAnsi="Times New Roman" w:cs="Times New Roman"/>
          <w:b/>
        </w:rPr>
        <w:t>W</w:t>
      </w:r>
      <w:r w:rsidRPr="000A2E75">
        <w:rPr>
          <w:rFonts w:ascii="Times New Roman" w:hAnsi="Times New Roman" w:cs="Times New Roman"/>
        </w:rPr>
        <w:t xml:space="preserve">hen does the story take place?: Öykü </w:t>
      </w:r>
      <w:r w:rsidRPr="000A2E75">
        <w:rPr>
          <w:rFonts w:ascii="Times New Roman" w:hAnsi="Times New Roman" w:cs="Times New Roman"/>
          <w:i/>
        </w:rPr>
        <w:t>ne zaman</w:t>
      </w:r>
      <w:r w:rsidRPr="000A2E75">
        <w:rPr>
          <w:rFonts w:ascii="Times New Roman" w:hAnsi="Times New Roman" w:cs="Times New Roman"/>
        </w:rPr>
        <w:t xml:space="preserve"> geçiyor?</w:t>
      </w:r>
    </w:p>
    <w:p w14:paraId="1046031B" w14:textId="77777777" w:rsidR="00E839E1" w:rsidRPr="000A2E75" w:rsidRDefault="00E839E1" w:rsidP="00E839E1">
      <w:pPr>
        <w:pStyle w:val="ListeParagraf"/>
        <w:autoSpaceDE w:val="0"/>
        <w:autoSpaceDN w:val="0"/>
        <w:adjustRightInd w:val="0"/>
        <w:spacing w:after="120" w:line="240" w:lineRule="auto"/>
        <w:ind w:left="0"/>
        <w:jc w:val="both"/>
        <w:rPr>
          <w:rFonts w:ascii="Times New Roman" w:hAnsi="Times New Roman" w:cs="Times New Roman"/>
          <w:bCs/>
        </w:rPr>
      </w:pPr>
      <w:r w:rsidRPr="000A2E75">
        <w:rPr>
          <w:rFonts w:ascii="Times New Roman" w:hAnsi="Times New Roman" w:cs="Times New Roman"/>
          <w:b/>
        </w:rPr>
        <w:t>W</w:t>
      </w:r>
      <w:r w:rsidRPr="000A2E75">
        <w:rPr>
          <w:rFonts w:ascii="Times New Roman" w:hAnsi="Times New Roman" w:cs="Times New Roman"/>
        </w:rPr>
        <w:t xml:space="preserve">here does the story take place?: Öykü </w:t>
      </w:r>
      <w:r w:rsidRPr="000A2E75">
        <w:rPr>
          <w:rFonts w:ascii="Times New Roman" w:hAnsi="Times New Roman" w:cs="Times New Roman"/>
          <w:i/>
        </w:rPr>
        <w:t>nerede</w:t>
      </w:r>
      <w:r w:rsidRPr="000A2E75">
        <w:rPr>
          <w:rFonts w:ascii="Times New Roman" w:hAnsi="Times New Roman" w:cs="Times New Roman"/>
        </w:rPr>
        <w:t xml:space="preserve"> geçiyor?</w:t>
      </w:r>
    </w:p>
    <w:p w14:paraId="68F1E950" w14:textId="77777777" w:rsidR="00E839E1" w:rsidRPr="000A2E75" w:rsidRDefault="00E839E1" w:rsidP="00E839E1">
      <w:pPr>
        <w:pStyle w:val="ListeParagraf"/>
        <w:autoSpaceDE w:val="0"/>
        <w:autoSpaceDN w:val="0"/>
        <w:adjustRightInd w:val="0"/>
        <w:spacing w:after="120" w:line="240" w:lineRule="auto"/>
        <w:ind w:left="0"/>
        <w:jc w:val="both"/>
        <w:rPr>
          <w:rFonts w:ascii="Times New Roman" w:hAnsi="Times New Roman" w:cs="Times New Roman"/>
          <w:bCs/>
        </w:rPr>
      </w:pPr>
      <w:r w:rsidRPr="000A2E75">
        <w:rPr>
          <w:rFonts w:ascii="Times New Roman" w:hAnsi="Times New Roman" w:cs="Times New Roman"/>
          <w:b/>
        </w:rPr>
        <w:t>W</w:t>
      </w:r>
      <w:r w:rsidRPr="000A2E75">
        <w:rPr>
          <w:rFonts w:ascii="Times New Roman" w:hAnsi="Times New Roman" w:cs="Times New Roman"/>
        </w:rPr>
        <w:t xml:space="preserve">hat do the main characters want to do?: Kahraman(lar) </w:t>
      </w:r>
      <w:r w:rsidRPr="000A2E75">
        <w:rPr>
          <w:rFonts w:ascii="Times New Roman" w:hAnsi="Times New Roman" w:cs="Times New Roman"/>
          <w:i/>
        </w:rPr>
        <w:t>ne</w:t>
      </w:r>
      <w:r w:rsidRPr="000A2E75">
        <w:rPr>
          <w:rFonts w:ascii="Times New Roman" w:hAnsi="Times New Roman" w:cs="Times New Roman"/>
        </w:rPr>
        <w:t xml:space="preserve"> yapmak istiyorlar?</w:t>
      </w:r>
    </w:p>
    <w:p w14:paraId="23909F58" w14:textId="77777777" w:rsidR="00E839E1" w:rsidRPr="000A2E75" w:rsidRDefault="00E839E1" w:rsidP="00E839E1">
      <w:pPr>
        <w:pStyle w:val="ListeParagraf"/>
        <w:autoSpaceDE w:val="0"/>
        <w:autoSpaceDN w:val="0"/>
        <w:adjustRightInd w:val="0"/>
        <w:spacing w:after="120" w:line="240" w:lineRule="auto"/>
        <w:ind w:left="0"/>
        <w:jc w:val="both"/>
        <w:rPr>
          <w:rFonts w:ascii="Times New Roman" w:hAnsi="Times New Roman" w:cs="Times New Roman"/>
        </w:rPr>
      </w:pPr>
      <w:r w:rsidRPr="000A2E75">
        <w:rPr>
          <w:rFonts w:ascii="Times New Roman" w:hAnsi="Times New Roman" w:cs="Times New Roman"/>
          <w:b/>
        </w:rPr>
        <w:t>W</w:t>
      </w:r>
      <w:r w:rsidRPr="000A2E75">
        <w:rPr>
          <w:rFonts w:ascii="Times New Roman" w:hAnsi="Times New Roman" w:cs="Times New Roman"/>
        </w:rPr>
        <w:t xml:space="preserve">hat happens when the main charecters try to do it?: Kahraman(lar) sonuca ulaşmak için </w:t>
      </w:r>
      <w:r w:rsidRPr="000A2E75">
        <w:rPr>
          <w:rFonts w:ascii="Times New Roman" w:hAnsi="Times New Roman" w:cs="Times New Roman"/>
          <w:i/>
        </w:rPr>
        <w:t>neler</w:t>
      </w:r>
      <w:r w:rsidRPr="000A2E75">
        <w:rPr>
          <w:rFonts w:ascii="Times New Roman" w:hAnsi="Times New Roman" w:cs="Times New Roman"/>
        </w:rPr>
        <w:t xml:space="preserve"> yapıyor? </w:t>
      </w:r>
    </w:p>
    <w:p w14:paraId="7E3DC16A" w14:textId="77777777" w:rsidR="00E839E1" w:rsidRPr="000A2E75" w:rsidRDefault="00E839E1" w:rsidP="00E839E1">
      <w:pPr>
        <w:pStyle w:val="ListeParagraf"/>
        <w:autoSpaceDE w:val="0"/>
        <w:autoSpaceDN w:val="0"/>
        <w:adjustRightInd w:val="0"/>
        <w:spacing w:after="120" w:line="240" w:lineRule="auto"/>
        <w:ind w:left="0"/>
        <w:jc w:val="both"/>
        <w:rPr>
          <w:rFonts w:ascii="Times New Roman" w:hAnsi="Times New Roman" w:cs="Times New Roman"/>
          <w:bCs/>
        </w:rPr>
      </w:pPr>
      <w:r w:rsidRPr="000A2E75">
        <w:rPr>
          <w:rFonts w:ascii="Times New Roman" w:hAnsi="Times New Roman" w:cs="Times New Roman"/>
          <w:b/>
        </w:rPr>
        <w:t>H</w:t>
      </w:r>
      <w:r w:rsidRPr="000A2E75">
        <w:rPr>
          <w:rFonts w:ascii="Times New Roman" w:hAnsi="Times New Roman" w:cs="Times New Roman"/>
        </w:rPr>
        <w:t xml:space="preserve">ow does the story end?: Öykü </w:t>
      </w:r>
      <w:r w:rsidRPr="000A2E75">
        <w:rPr>
          <w:rFonts w:ascii="Times New Roman" w:hAnsi="Times New Roman" w:cs="Times New Roman"/>
          <w:i/>
        </w:rPr>
        <w:t>nasıl</w:t>
      </w:r>
      <w:r w:rsidRPr="000A2E75">
        <w:rPr>
          <w:rFonts w:ascii="Times New Roman" w:hAnsi="Times New Roman" w:cs="Times New Roman"/>
        </w:rPr>
        <w:t xml:space="preserve"> sonlanıyor?</w:t>
      </w:r>
    </w:p>
    <w:p w14:paraId="22320688" w14:textId="77777777" w:rsidR="00E839E1" w:rsidRPr="000A2E75" w:rsidRDefault="00E839E1" w:rsidP="00E839E1">
      <w:pPr>
        <w:pStyle w:val="ListeParagraf"/>
        <w:autoSpaceDE w:val="0"/>
        <w:autoSpaceDN w:val="0"/>
        <w:adjustRightInd w:val="0"/>
        <w:spacing w:after="120" w:line="240" w:lineRule="auto"/>
        <w:ind w:left="0"/>
        <w:jc w:val="both"/>
        <w:rPr>
          <w:rFonts w:ascii="Times New Roman" w:hAnsi="Times New Roman" w:cs="Times New Roman"/>
        </w:rPr>
      </w:pPr>
      <w:r w:rsidRPr="000A2E75">
        <w:rPr>
          <w:rFonts w:ascii="Times New Roman" w:hAnsi="Times New Roman" w:cs="Times New Roman"/>
          <w:b/>
        </w:rPr>
        <w:t>H</w:t>
      </w:r>
      <w:r w:rsidRPr="000A2E75">
        <w:rPr>
          <w:rFonts w:ascii="Times New Roman" w:hAnsi="Times New Roman" w:cs="Times New Roman"/>
        </w:rPr>
        <w:t xml:space="preserve">ow do the main caracters feel?: Kahraman(lar) </w:t>
      </w:r>
      <w:r w:rsidRPr="000A2E75">
        <w:rPr>
          <w:rFonts w:ascii="Times New Roman" w:hAnsi="Times New Roman" w:cs="Times New Roman"/>
          <w:i/>
        </w:rPr>
        <w:t>nasıl</w:t>
      </w:r>
      <w:r w:rsidRPr="000A2E75">
        <w:rPr>
          <w:rFonts w:ascii="Times New Roman" w:hAnsi="Times New Roman" w:cs="Times New Roman"/>
        </w:rPr>
        <w:t xml:space="preserve"> hissediyorlar?</w:t>
      </w:r>
    </w:p>
    <w:p w14:paraId="74314F2B" w14:textId="77777777" w:rsidR="00E839E1" w:rsidRPr="000A2E75" w:rsidRDefault="00E839E1" w:rsidP="00E839E1">
      <w:pPr>
        <w:autoSpaceDE w:val="0"/>
        <w:autoSpaceDN w:val="0"/>
        <w:adjustRightInd w:val="0"/>
        <w:spacing w:after="120"/>
        <w:jc w:val="both"/>
        <w:rPr>
          <w:rFonts w:ascii="Times New Roman" w:hAnsi="Times New Roman" w:cs="Times New Roman"/>
        </w:rPr>
      </w:pPr>
      <w:r w:rsidRPr="000A2E75">
        <w:rPr>
          <w:rFonts w:ascii="Times New Roman" w:hAnsi="Times New Roman" w:cs="Times New Roman"/>
        </w:rPr>
        <w:tab/>
        <w:t>Bu sorular Kim?, Ne zaman?, Nerede? gibi tek kelime olacak şekilde kısaltılarak planlama kağıdında kullanılır.</w:t>
      </w:r>
    </w:p>
    <w:p w14:paraId="22B71491" w14:textId="77777777" w:rsidR="00E839E1" w:rsidRPr="000A2E75" w:rsidRDefault="00E839E1" w:rsidP="00E839E1">
      <w:pPr>
        <w:autoSpaceDE w:val="0"/>
        <w:autoSpaceDN w:val="0"/>
        <w:adjustRightInd w:val="0"/>
        <w:spacing w:after="120"/>
        <w:ind w:firstLine="708"/>
        <w:jc w:val="both"/>
        <w:rPr>
          <w:rFonts w:ascii="Times New Roman" w:hAnsi="Times New Roman" w:cs="Times New Roman"/>
        </w:rPr>
      </w:pPr>
      <w:r w:rsidRPr="000A2E75">
        <w:rPr>
          <w:rFonts w:ascii="Times New Roman" w:hAnsi="Times New Roman" w:cs="Times New Roman"/>
        </w:rPr>
        <w:t xml:space="preserve">Öğrenciler stratejinin ilk basamağı olan P (Pick)’de öğretmenleri tarafından kendilerine sunulan birkaç öykü konusundan akıllarına en fazla öykü ögesi gelen konuyu seçerler. Ardından WWW, What=2, How=2 hatırlatıcısının her bir ögeye ilişkin bölümleri olan planlama kâğıdına akıllarına gelen fikirleri not ederler. Örneğin </w:t>
      </w:r>
      <w:r w:rsidRPr="000A2E75">
        <w:rPr>
          <w:rFonts w:ascii="Times New Roman" w:hAnsi="Times New Roman" w:cs="Times New Roman"/>
          <w:i/>
        </w:rPr>
        <w:t xml:space="preserve">Kim? </w:t>
      </w:r>
      <w:r w:rsidRPr="000A2E75">
        <w:rPr>
          <w:rFonts w:ascii="Times New Roman" w:hAnsi="Times New Roman" w:cs="Times New Roman"/>
        </w:rPr>
        <w:t xml:space="preserve">bölümüne “Ayşe/bir kuzu/” </w:t>
      </w:r>
      <w:r w:rsidRPr="000A2E75">
        <w:rPr>
          <w:rFonts w:ascii="Times New Roman" w:hAnsi="Times New Roman" w:cs="Times New Roman"/>
          <w:i/>
        </w:rPr>
        <w:t>Nerede?</w:t>
      </w:r>
      <w:r w:rsidRPr="000A2E75">
        <w:rPr>
          <w:rFonts w:ascii="Times New Roman" w:hAnsi="Times New Roman" w:cs="Times New Roman"/>
        </w:rPr>
        <w:t xml:space="preserve"> bölümüne “Çiftlikte/Okulda” gibi. Daha sonra planlama kâğıdına aldıkları notlara bakarak metinlerini yazar ve gerekirse eklemeler ya da düzenlemeler yaparlar.</w:t>
      </w:r>
    </w:p>
    <w:p w14:paraId="649CC089" w14:textId="77777777" w:rsidR="00E839E1" w:rsidRPr="000A2E75" w:rsidRDefault="00E839E1" w:rsidP="00E839E1">
      <w:pPr>
        <w:autoSpaceDE w:val="0"/>
        <w:autoSpaceDN w:val="0"/>
        <w:adjustRightInd w:val="0"/>
        <w:spacing w:after="120"/>
        <w:ind w:firstLine="708"/>
        <w:jc w:val="both"/>
        <w:rPr>
          <w:rFonts w:ascii="Times New Roman" w:hAnsi="Times New Roman" w:cs="Times New Roman"/>
        </w:rPr>
      </w:pPr>
    </w:p>
    <w:p w14:paraId="6C933B02" w14:textId="77777777" w:rsidR="00E839E1" w:rsidRPr="000A2E75" w:rsidRDefault="00E839E1" w:rsidP="00E839E1">
      <w:pPr>
        <w:pStyle w:val="Balk2"/>
        <w:spacing w:after="120"/>
        <w:rPr>
          <w:rFonts w:ascii="Times New Roman" w:hAnsi="Times New Roman" w:cs="Times New Roman"/>
          <w:b w:val="0"/>
          <w:sz w:val="22"/>
          <w:szCs w:val="22"/>
        </w:rPr>
      </w:pPr>
      <w:bookmarkStart w:id="236" w:name="_Toc72739700"/>
      <w:bookmarkStart w:id="237" w:name="_Toc72754181"/>
      <w:bookmarkStart w:id="238" w:name="_Toc72754688"/>
      <w:bookmarkStart w:id="239" w:name="_Toc72755960"/>
      <w:bookmarkStart w:id="240" w:name="_Toc72961772"/>
      <w:r w:rsidRPr="000A2E75">
        <w:rPr>
          <w:rFonts w:ascii="Times New Roman" w:hAnsi="Times New Roman" w:cs="Times New Roman"/>
          <w:sz w:val="22"/>
          <w:szCs w:val="22"/>
        </w:rPr>
        <w:lastRenderedPageBreak/>
        <w:t>POW + TREE: İkna Edici Metin Yazma Stratejisi (1)</w:t>
      </w:r>
      <w:bookmarkEnd w:id="236"/>
      <w:bookmarkEnd w:id="237"/>
      <w:bookmarkEnd w:id="238"/>
      <w:bookmarkEnd w:id="239"/>
      <w:bookmarkEnd w:id="240"/>
    </w:p>
    <w:p w14:paraId="674BA380" w14:textId="77777777" w:rsidR="00E839E1" w:rsidRPr="000A2E75" w:rsidRDefault="00E839E1" w:rsidP="00E839E1">
      <w:pPr>
        <w:spacing w:after="120"/>
        <w:ind w:firstLine="709"/>
        <w:jc w:val="both"/>
        <w:rPr>
          <w:rFonts w:ascii="Times New Roman" w:hAnsi="Times New Roman" w:cs="Times New Roman"/>
        </w:rPr>
      </w:pPr>
      <w:r w:rsidRPr="000A2E75">
        <w:rPr>
          <w:rFonts w:ascii="Times New Roman" w:hAnsi="Times New Roman" w:cs="Times New Roman"/>
        </w:rPr>
        <w:t>POW+TREE ikna edici metin yazma stratejisinin POW bölümü yukarıda öykü yazma stratejisinde olduğu gibi planlama ve yazma aşamalarında kullanılan stratejileri ifade etmektedir. Ancak POW stratejinin konu seçiminden sonra gelen planlama basamağında (</w:t>
      </w:r>
      <w:r w:rsidRPr="000A2E75">
        <w:rPr>
          <w:rFonts w:ascii="Times New Roman" w:hAnsi="Times New Roman" w:cs="Times New Roman"/>
          <w:b/>
        </w:rPr>
        <w:t>O</w:t>
      </w:r>
      <w:r w:rsidRPr="000A2E75">
        <w:rPr>
          <w:rFonts w:ascii="Times New Roman" w:hAnsi="Times New Roman" w:cs="Times New Roman"/>
        </w:rPr>
        <w:t xml:space="preserve">rganize my notes) ikna edici metin ögelerinin hatırlatıcısı olma işlevi gören TREE bölümü devreye girer. TREE: </w:t>
      </w:r>
      <w:r w:rsidRPr="000A2E75">
        <w:rPr>
          <w:rFonts w:ascii="Times New Roman" w:hAnsi="Times New Roman" w:cs="Times New Roman"/>
          <w:b/>
        </w:rPr>
        <w:t>T</w:t>
      </w:r>
      <w:r w:rsidRPr="000A2E75">
        <w:rPr>
          <w:rFonts w:ascii="Times New Roman" w:hAnsi="Times New Roman" w:cs="Times New Roman"/>
        </w:rPr>
        <w:t>ell what you believe: Hangi görüşe inandığını belirt,</w:t>
      </w:r>
      <w:r w:rsidRPr="000A2E75">
        <w:rPr>
          <w:rFonts w:ascii="Times New Roman" w:hAnsi="Times New Roman" w:cs="Times New Roman"/>
          <w:b/>
        </w:rPr>
        <w:t xml:space="preserve"> R</w:t>
      </w:r>
      <w:r w:rsidRPr="000A2E75">
        <w:rPr>
          <w:rFonts w:ascii="Times New Roman" w:hAnsi="Times New Roman" w:cs="Times New Roman"/>
        </w:rPr>
        <w:t>eason</w:t>
      </w:r>
      <w:r w:rsidRPr="000A2E75">
        <w:rPr>
          <w:rFonts w:ascii="Times New Roman" w:hAnsi="Times New Roman" w:cs="Times New Roman"/>
          <w:b/>
        </w:rPr>
        <w:t>s</w:t>
      </w:r>
      <w:r w:rsidRPr="000A2E75">
        <w:rPr>
          <w:rFonts w:ascii="Times New Roman" w:hAnsi="Times New Roman" w:cs="Times New Roman"/>
        </w:rPr>
        <w:t>:  Why do I believe this?: Neden bu görüşe inanmam gerektiğini açıkla (en az üç neden yaz), End it: Wrap it up right: metnini bir sonuç bölümüyle bitir anlamına gelmektedir. Son basamakta (Write) öğrenci metnini planlama kâğıdına aldığı notlara bakarak yazar ve gerekirse yeni fikirler ekleyerek metnini genişletir ve düzenler.</w:t>
      </w:r>
    </w:p>
    <w:p w14:paraId="5BCC555E" w14:textId="77777777" w:rsidR="00E839E1" w:rsidRPr="000A2E75" w:rsidRDefault="00E839E1" w:rsidP="00E839E1">
      <w:pPr>
        <w:autoSpaceDE w:val="0"/>
        <w:autoSpaceDN w:val="0"/>
        <w:adjustRightInd w:val="0"/>
        <w:spacing w:after="120"/>
        <w:ind w:firstLine="708"/>
        <w:jc w:val="both"/>
        <w:rPr>
          <w:rFonts w:ascii="Times New Roman" w:hAnsi="Times New Roman" w:cs="Times New Roman"/>
        </w:rPr>
      </w:pPr>
      <w:r w:rsidRPr="000A2E75">
        <w:rPr>
          <w:rFonts w:ascii="Times New Roman" w:hAnsi="Times New Roman" w:cs="Times New Roman"/>
        </w:rPr>
        <w:t>Graham, Harris ve Mason (2005) POW + WWW, What=2, How=2 stratejisi ile POW + TREE stratejisinin yazılı ifadede güçlüğü olan öğrencilerin öykü ve ikna edici metin yazma becerileri üzerindeki etkililiğini belirlemeyi amaçlamışlardır. Araştırmada deneysel desenlerden ön test son test kontrol gruplu desen kullanılmıştır. Deney grupları akran destekli (N=24) ve akran desteksiz (N=24) KDSG koşulunun uygulandığı iki grup ve kontrol grubu (N=24) şeklinde düzenlenmiştir. Araştırmaya üçüncü sınıfa devam eden toplam 72 öğrenci katılmıştır. Araştırma sonunda her iki deney grubuna devam eden öğrencilerin hem öykü hem de ikna edici metin puanlarında öğretim öncesine göre anlamlı artışlar görülmüştür. Öğrencilerin metin ögeleri, yazma süreleri, metin uzunlukları, metin kaliteleri ve yazma öz yeterlilik inançları ön test puanlarına göre anlamlı düzeyde artmıştır. Ancak her iki deney koşulu arasında anlamlı bir farklılık görülmemiştir.</w:t>
      </w:r>
    </w:p>
    <w:p w14:paraId="48F3D841" w14:textId="77777777" w:rsidR="00E839E1" w:rsidRPr="000A2E75" w:rsidRDefault="00E839E1" w:rsidP="00E839E1">
      <w:pPr>
        <w:spacing w:before="120" w:after="120"/>
        <w:ind w:firstLine="709"/>
        <w:jc w:val="both"/>
        <w:rPr>
          <w:rFonts w:ascii="Times New Roman" w:hAnsi="Times New Roman" w:cs="Times New Roman"/>
          <w:b/>
        </w:rPr>
      </w:pPr>
    </w:p>
    <w:p w14:paraId="4DBC1F09" w14:textId="77777777" w:rsidR="00E839E1" w:rsidRPr="000A2E75" w:rsidRDefault="00E839E1" w:rsidP="00E839E1">
      <w:pPr>
        <w:pStyle w:val="Balk2"/>
        <w:spacing w:after="120"/>
        <w:rPr>
          <w:rFonts w:ascii="Times New Roman" w:eastAsiaTheme="minorHAnsi" w:hAnsi="Times New Roman" w:cs="Times New Roman"/>
          <w:sz w:val="22"/>
          <w:szCs w:val="22"/>
        </w:rPr>
      </w:pPr>
      <w:bookmarkStart w:id="241" w:name="_Toc72739701"/>
      <w:bookmarkStart w:id="242" w:name="_Toc72754182"/>
      <w:bookmarkStart w:id="243" w:name="_Toc72754689"/>
      <w:bookmarkStart w:id="244" w:name="_Toc72755961"/>
      <w:bookmarkStart w:id="245" w:name="_Toc72961773"/>
      <w:r w:rsidRPr="000A2E75">
        <w:rPr>
          <w:rFonts w:ascii="Times New Roman" w:hAnsi="Times New Roman" w:cs="Times New Roman"/>
          <w:sz w:val="22"/>
          <w:szCs w:val="22"/>
        </w:rPr>
        <w:t>STOP and DARE: İkna edici metin yazma stratejisi (2)</w:t>
      </w:r>
      <w:bookmarkEnd w:id="241"/>
      <w:bookmarkEnd w:id="242"/>
      <w:bookmarkEnd w:id="243"/>
      <w:bookmarkEnd w:id="244"/>
      <w:bookmarkEnd w:id="245"/>
      <w:r w:rsidRPr="000A2E75">
        <w:rPr>
          <w:rFonts w:ascii="Times New Roman" w:eastAsiaTheme="minorHAnsi" w:hAnsi="Times New Roman" w:cs="Times New Roman"/>
          <w:sz w:val="22"/>
          <w:szCs w:val="22"/>
        </w:rPr>
        <w:t xml:space="preserve"> </w:t>
      </w:r>
    </w:p>
    <w:p w14:paraId="44FF8BEA" w14:textId="77777777" w:rsidR="00E839E1" w:rsidRPr="000A2E75" w:rsidRDefault="00E839E1" w:rsidP="00E839E1">
      <w:pPr>
        <w:autoSpaceDE w:val="0"/>
        <w:autoSpaceDN w:val="0"/>
        <w:adjustRightInd w:val="0"/>
        <w:spacing w:after="120"/>
        <w:ind w:firstLine="708"/>
        <w:jc w:val="both"/>
        <w:rPr>
          <w:rFonts w:ascii="Times New Roman" w:hAnsi="Times New Roman" w:cs="Times New Roman"/>
        </w:rPr>
      </w:pPr>
      <w:r w:rsidRPr="000A2E75">
        <w:rPr>
          <w:rFonts w:ascii="Times New Roman" w:hAnsi="Times New Roman" w:cs="Times New Roman"/>
        </w:rPr>
        <w:t>KDSG modelinde ikna edici metin yazmaya yönelik geliştirilen bir diğer strateji STOP and DARE stratejisidir. POW + TREE stratejisinde yazar inandığı fikri belirtip neden buna inandığını açıklarken STOP and DARE stratejisinde sadece savunulan düşünce açıklanmakla kalmaz aynı zamanda karşı çıkılan düşünceler de tartışılır. Dahası, POW + TREE stratejisinde yazar verilen konulardan inandığı fikri hemen belirleyip planını o fikin etrafında oluştururken STOP and DARE stratejisinde yazar planlama aşamasında her iki düşünceyi listeleyerek hangi tarafı savunacağını bu listeye göre karar verir. Her iki ikna edici metin yazma stratejisi bu açılardan karşılaştırıldığında STOP and DARE stratejisinin POW +TREE stratejisine göre daha gelişmiş bir ikna edici metin yazma becerisini kazandırmayı hedeflemektedir (Graham ve Harris, 2005). Stratejinin basamakları şu şekildedir:</w:t>
      </w:r>
    </w:p>
    <w:p w14:paraId="1AA75C36" w14:textId="77777777" w:rsidR="00E839E1" w:rsidRPr="000A2E75" w:rsidRDefault="00E839E1" w:rsidP="00E839E1">
      <w:pPr>
        <w:autoSpaceDE w:val="0"/>
        <w:autoSpaceDN w:val="0"/>
        <w:adjustRightInd w:val="0"/>
        <w:spacing w:after="120"/>
        <w:ind w:firstLine="708"/>
        <w:jc w:val="both"/>
        <w:rPr>
          <w:rFonts w:ascii="Times New Roman" w:hAnsi="Times New Roman" w:cs="Times New Roman"/>
        </w:rPr>
      </w:pPr>
      <w:r w:rsidRPr="000A2E75">
        <w:rPr>
          <w:rFonts w:ascii="Times New Roman" w:hAnsi="Times New Roman" w:cs="Times New Roman"/>
          <w:b/>
        </w:rPr>
        <w:t>S</w:t>
      </w:r>
      <w:r w:rsidRPr="000A2E75">
        <w:rPr>
          <w:rFonts w:ascii="Times New Roman" w:hAnsi="Times New Roman" w:cs="Times New Roman"/>
        </w:rPr>
        <w:t>uspend judgment: Kararını askıya al.</w:t>
      </w:r>
    </w:p>
    <w:p w14:paraId="2189530B" w14:textId="77777777" w:rsidR="00E839E1" w:rsidRPr="000A2E75" w:rsidRDefault="00E839E1" w:rsidP="00E839E1">
      <w:pPr>
        <w:autoSpaceDE w:val="0"/>
        <w:autoSpaceDN w:val="0"/>
        <w:adjustRightInd w:val="0"/>
        <w:spacing w:after="120"/>
        <w:ind w:firstLine="708"/>
        <w:jc w:val="both"/>
        <w:rPr>
          <w:rFonts w:ascii="Times New Roman" w:hAnsi="Times New Roman" w:cs="Times New Roman"/>
        </w:rPr>
      </w:pPr>
      <w:r w:rsidRPr="000A2E75">
        <w:rPr>
          <w:rFonts w:ascii="Times New Roman" w:hAnsi="Times New Roman" w:cs="Times New Roman"/>
          <w:b/>
        </w:rPr>
        <w:t>T</w:t>
      </w:r>
      <w:r w:rsidRPr="000A2E75">
        <w:rPr>
          <w:rFonts w:ascii="Times New Roman" w:hAnsi="Times New Roman" w:cs="Times New Roman"/>
        </w:rPr>
        <w:t>ake a side: Bir taraf tut.</w:t>
      </w:r>
    </w:p>
    <w:p w14:paraId="2C439527" w14:textId="77777777" w:rsidR="00E839E1" w:rsidRPr="000A2E75" w:rsidRDefault="00E839E1" w:rsidP="00E839E1">
      <w:pPr>
        <w:autoSpaceDE w:val="0"/>
        <w:autoSpaceDN w:val="0"/>
        <w:adjustRightInd w:val="0"/>
        <w:spacing w:after="120"/>
        <w:ind w:firstLine="708"/>
        <w:jc w:val="both"/>
        <w:rPr>
          <w:rFonts w:ascii="Times New Roman" w:hAnsi="Times New Roman" w:cs="Times New Roman"/>
        </w:rPr>
      </w:pPr>
      <w:r w:rsidRPr="000A2E75">
        <w:rPr>
          <w:rFonts w:ascii="Times New Roman" w:hAnsi="Times New Roman" w:cs="Times New Roman"/>
          <w:b/>
        </w:rPr>
        <w:t>O</w:t>
      </w:r>
      <w:r w:rsidRPr="000A2E75">
        <w:rPr>
          <w:rFonts w:ascii="Times New Roman" w:hAnsi="Times New Roman" w:cs="Times New Roman"/>
        </w:rPr>
        <w:t>rganize ideas: Fikirlerini düzenle.</w:t>
      </w:r>
    </w:p>
    <w:p w14:paraId="37BDCFF0" w14:textId="77777777" w:rsidR="00E839E1" w:rsidRPr="000A2E75" w:rsidRDefault="00E839E1" w:rsidP="00E839E1">
      <w:pPr>
        <w:autoSpaceDE w:val="0"/>
        <w:autoSpaceDN w:val="0"/>
        <w:adjustRightInd w:val="0"/>
        <w:spacing w:after="120"/>
        <w:ind w:firstLine="708"/>
        <w:jc w:val="both"/>
        <w:rPr>
          <w:rFonts w:ascii="Times New Roman" w:hAnsi="Times New Roman" w:cs="Times New Roman"/>
        </w:rPr>
      </w:pPr>
      <w:r w:rsidRPr="000A2E75">
        <w:rPr>
          <w:rFonts w:ascii="Times New Roman" w:hAnsi="Times New Roman" w:cs="Times New Roman"/>
          <w:b/>
        </w:rPr>
        <w:t>P</w:t>
      </w:r>
      <w:r w:rsidRPr="000A2E75">
        <w:rPr>
          <w:rFonts w:ascii="Times New Roman" w:hAnsi="Times New Roman" w:cs="Times New Roman"/>
        </w:rPr>
        <w:t>lan more as you write: Yazarken daha fazlasını planına dahil et.</w:t>
      </w:r>
    </w:p>
    <w:p w14:paraId="07DEEAB4" w14:textId="77777777" w:rsidR="00E839E1" w:rsidRPr="000A2E75" w:rsidRDefault="00E839E1" w:rsidP="00E839E1">
      <w:pPr>
        <w:autoSpaceDE w:val="0"/>
        <w:autoSpaceDN w:val="0"/>
        <w:adjustRightInd w:val="0"/>
        <w:spacing w:after="120"/>
        <w:ind w:firstLine="708"/>
        <w:jc w:val="both"/>
        <w:rPr>
          <w:rFonts w:ascii="Times New Roman" w:hAnsi="Times New Roman" w:cs="Times New Roman"/>
        </w:rPr>
      </w:pPr>
      <w:r w:rsidRPr="000A2E75">
        <w:rPr>
          <w:rFonts w:ascii="Times New Roman" w:hAnsi="Times New Roman" w:cs="Times New Roman"/>
          <w:b/>
        </w:rPr>
        <w:t>and</w:t>
      </w:r>
      <w:r w:rsidRPr="000A2E75">
        <w:rPr>
          <w:rFonts w:ascii="Times New Roman" w:hAnsi="Times New Roman" w:cs="Times New Roman"/>
        </w:rPr>
        <w:t>: ve</w:t>
      </w:r>
    </w:p>
    <w:p w14:paraId="0DDEBDEE" w14:textId="77777777" w:rsidR="00E839E1" w:rsidRPr="000A2E75" w:rsidRDefault="00E839E1" w:rsidP="00E839E1">
      <w:pPr>
        <w:autoSpaceDE w:val="0"/>
        <w:autoSpaceDN w:val="0"/>
        <w:adjustRightInd w:val="0"/>
        <w:spacing w:after="120"/>
        <w:ind w:firstLine="708"/>
        <w:jc w:val="both"/>
        <w:rPr>
          <w:rFonts w:ascii="Times New Roman" w:hAnsi="Times New Roman" w:cs="Times New Roman"/>
        </w:rPr>
      </w:pPr>
      <w:r w:rsidRPr="000A2E75">
        <w:rPr>
          <w:rFonts w:ascii="Times New Roman" w:hAnsi="Times New Roman" w:cs="Times New Roman"/>
          <w:b/>
        </w:rPr>
        <w:t>D</w:t>
      </w:r>
      <w:r w:rsidRPr="000A2E75">
        <w:rPr>
          <w:rFonts w:ascii="Times New Roman" w:hAnsi="Times New Roman" w:cs="Times New Roman"/>
        </w:rPr>
        <w:t>evelop a topic sentence: Konu/fikir cümlesi geliştirin.</w:t>
      </w:r>
    </w:p>
    <w:p w14:paraId="35291254" w14:textId="77777777" w:rsidR="00E839E1" w:rsidRPr="000A2E75" w:rsidRDefault="00E839E1" w:rsidP="00E839E1">
      <w:pPr>
        <w:autoSpaceDE w:val="0"/>
        <w:autoSpaceDN w:val="0"/>
        <w:adjustRightInd w:val="0"/>
        <w:spacing w:after="120"/>
        <w:ind w:firstLine="708"/>
        <w:jc w:val="both"/>
        <w:rPr>
          <w:rFonts w:ascii="Times New Roman" w:hAnsi="Times New Roman" w:cs="Times New Roman"/>
        </w:rPr>
      </w:pPr>
      <w:r w:rsidRPr="000A2E75">
        <w:rPr>
          <w:rFonts w:ascii="Times New Roman" w:hAnsi="Times New Roman" w:cs="Times New Roman"/>
          <w:b/>
        </w:rPr>
        <w:t>A</w:t>
      </w:r>
      <w:r w:rsidRPr="000A2E75">
        <w:rPr>
          <w:rFonts w:ascii="Times New Roman" w:hAnsi="Times New Roman" w:cs="Times New Roman"/>
        </w:rPr>
        <w:t xml:space="preserve">dd supporting ideas: Destekleyici fikirler ekleyin. </w:t>
      </w:r>
    </w:p>
    <w:p w14:paraId="03B0E335" w14:textId="77777777" w:rsidR="00E839E1" w:rsidRPr="000A2E75" w:rsidRDefault="00E839E1" w:rsidP="00E839E1">
      <w:pPr>
        <w:autoSpaceDE w:val="0"/>
        <w:autoSpaceDN w:val="0"/>
        <w:adjustRightInd w:val="0"/>
        <w:spacing w:after="120"/>
        <w:ind w:firstLine="708"/>
        <w:jc w:val="both"/>
        <w:rPr>
          <w:rFonts w:ascii="Times New Roman" w:hAnsi="Times New Roman" w:cs="Times New Roman"/>
        </w:rPr>
      </w:pPr>
      <w:r w:rsidRPr="000A2E75">
        <w:rPr>
          <w:rFonts w:ascii="Times New Roman" w:hAnsi="Times New Roman" w:cs="Times New Roman"/>
          <w:b/>
        </w:rPr>
        <w:t>R</w:t>
      </w:r>
      <w:r w:rsidRPr="000A2E75">
        <w:rPr>
          <w:rFonts w:ascii="Times New Roman" w:hAnsi="Times New Roman" w:cs="Times New Roman"/>
        </w:rPr>
        <w:t xml:space="preserve">eject arguments for the other side: Karşı tarafın fikirlerini çürütün. </w:t>
      </w:r>
    </w:p>
    <w:p w14:paraId="34090EB1" w14:textId="77777777" w:rsidR="00E839E1" w:rsidRPr="000A2E75" w:rsidRDefault="00E839E1" w:rsidP="00E839E1">
      <w:pPr>
        <w:autoSpaceDE w:val="0"/>
        <w:autoSpaceDN w:val="0"/>
        <w:adjustRightInd w:val="0"/>
        <w:spacing w:after="120"/>
        <w:ind w:firstLine="708"/>
        <w:jc w:val="both"/>
        <w:rPr>
          <w:rFonts w:ascii="Times New Roman" w:hAnsi="Times New Roman" w:cs="Times New Roman"/>
        </w:rPr>
      </w:pPr>
      <w:r w:rsidRPr="000A2E75">
        <w:rPr>
          <w:rFonts w:ascii="Times New Roman" w:hAnsi="Times New Roman" w:cs="Times New Roman"/>
          <w:b/>
        </w:rPr>
        <w:t>E</w:t>
      </w:r>
      <w:r w:rsidRPr="000A2E75">
        <w:rPr>
          <w:rFonts w:ascii="Times New Roman" w:hAnsi="Times New Roman" w:cs="Times New Roman"/>
        </w:rPr>
        <w:t>nd with a conclusion: Bir sonuçla bitirin.</w:t>
      </w:r>
    </w:p>
    <w:p w14:paraId="5A857D1B" w14:textId="77777777" w:rsidR="00E839E1" w:rsidRPr="000A2E75" w:rsidRDefault="00E839E1" w:rsidP="00E839E1">
      <w:pPr>
        <w:autoSpaceDE w:val="0"/>
        <w:autoSpaceDN w:val="0"/>
        <w:adjustRightInd w:val="0"/>
        <w:spacing w:after="120"/>
        <w:ind w:firstLine="708"/>
        <w:jc w:val="both"/>
        <w:rPr>
          <w:rFonts w:ascii="Times New Roman" w:hAnsi="Times New Roman" w:cs="Times New Roman"/>
        </w:rPr>
      </w:pPr>
      <w:r w:rsidRPr="000A2E75">
        <w:rPr>
          <w:rFonts w:ascii="Times New Roman" w:hAnsi="Times New Roman" w:cs="Times New Roman"/>
        </w:rPr>
        <w:t xml:space="preserve">De La Paz ve Graham (1997), KDSG modeline göre düzenlenmiş </w:t>
      </w:r>
      <w:r w:rsidRPr="000A2E75">
        <w:rPr>
          <w:rFonts w:ascii="Times New Roman" w:hAnsi="Times New Roman" w:cs="Times New Roman"/>
          <w:i/>
        </w:rPr>
        <w:t xml:space="preserve">Stop and DARE </w:t>
      </w:r>
      <w:r w:rsidRPr="000A2E75">
        <w:rPr>
          <w:rFonts w:ascii="Times New Roman" w:hAnsi="Times New Roman" w:cs="Times New Roman"/>
        </w:rPr>
        <w:t xml:space="preserve">stratejisinin öğrenme güçlüğü olan ve 5. Sınıfa devam eden iki öğrenci ve hafif düzeyde zihinsel yetersizliği olan bir öğrencinin ikna edici metin yazma becerileri üzerindeki etkililiğini belirlemeyi amaçlamıştır. Öğrenciler planlama aşamasında fikirlerini bu ögelere göre düzenlerler. İkna edici metin yazma stratejisinin </w:t>
      </w:r>
      <w:r w:rsidRPr="000A2E75">
        <w:rPr>
          <w:rFonts w:ascii="Times New Roman" w:hAnsi="Times New Roman" w:cs="Times New Roman"/>
        </w:rPr>
        <w:lastRenderedPageBreak/>
        <w:t xml:space="preserve">öğretimi KDSG modelinin aşamalarına göre düzenlenen altı ders şeklinde düzenlenmiştir. Araştırma denekler arası çoklu yoklama modeline göre desenlenmiştir. Bulgulara bakıldığında, tüm öğrencilerin metin yazma süreleri, metin uzunlukları, metin ögeleri, bağdaşıklık ve metin kalitelerinde başlama düzeyine göre artışlar olmuş ve öğrenciler bu kazanımlarını izleme oturumlarında da devam ettirmişlerdir. Ayrıca öğretim sonunda öğrenciler öğrendikleri stratejiye dair olumlu görüş bildirmişlerdir. </w:t>
      </w:r>
    </w:p>
    <w:p w14:paraId="4E1D68B9" w14:textId="77777777" w:rsidR="00E839E1" w:rsidRPr="000A2E75" w:rsidRDefault="00E839E1" w:rsidP="00E839E1">
      <w:pPr>
        <w:spacing w:after="120"/>
        <w:jc w:val="both"/>
        <w:rPr>
          <w:rFonts w:ascii="Times New Roman" w:hAnsi="Times New Roman" w:cs="Times New Roman"/>
        </w:rPr>
      </w:pPr>
      <w:r w:rsidRPr="000A2E75">
        <w:rPr>
          <w:rFonts w:ascii="Times New Roman" w:hAnsi="Times New Roman" w:cs="Times New Roman"/>
        </w:rPr>
        <w:tab/>
        <w:t>Yukarıda açıklanan stratejiler yazma sürecinin planlama, taslak oluşturma ve yazma aşmalarına odaklanırken aşağıdaki bölümde yazma sürecinin gözden geçirme ve düzeltme aşamasına odaklanan stratejilere yer verilmiştir. SRSD modelinde gözden geçirme aşaması düzeltme aşaması ile birlikte ele alınmaktadır. Dolayısıyla gözden geçirme stratejilerini beraberinde düzeltme yapmayı da getiren stratejiler olarak düşünülmelidir.</w:t>
      </w:r>
    </w:p>
    <w:p w14:paraId="59475AF8" w14:textId="77777777" w:rsidR="00E839E1" w:rsidRPr="000A2E75" w:rsidRDefault="00E839E1" w:rsidP="00E839E1">
      <w:pPr>
        <w:spacing w:after="120"/>
        <w:jc w:val="both"/>
        <w:rPr>
          <w:rFonts w:ascii="Times New Roman" w:hAnsi="Times New Roman" w:cs="Times New Roman"/>
        </w:rPr>
      </w:pPr>
    </w:p>
    <w:p w14:paraId="2179CD2A" w14:textId="77777777" w:rsidR="00E839E1" w:rsidRPr="000A2E75" w:rsidRDefault="00E839E1" w:rsidP="00E839E1">
      <w:pPr>
        <w:pStyle w:val="Balk2"/>
        <w:spacing w:after="120"/>
        <w:jc w:val="both"/>
        <w:rPr>
          <w:rFonts w:ascii="Times New Roman" w:hAnsi="Times New Roman" w:cs="Times New Roman"/>
          <w:b w:val="0"/>
          <w:sz w:val="22"/>
          <w:szCs w:val="22"/>
        </w:rPr>
      </w:pPr>
      <w:bookmarkStart w:id="246" w:name="_Toc72739702"/>
      <w:bookmarkStart w:id="247" w:name="_Toc72754183"/>
      <w:bookmarkStart w:id="248" w:name="_Toc72754690"/>
      <w:bookmarkStart w:id="249" w:name="_Toc72755962"/>
      <w:bookmarkStart w:id="250" w:name="_Toc72961774"/>
      <w:r w:rsidRPr="000A2E75">
        <w:rPr>
          <w:rFonts w:ascii="Times New Roman" w:hAnsi="Times New Roman" w:cs="Times New Roman"/>
          <w:sz w:val="22"/>
          <w:szCs w:val="22"/>
        </w:rPr>
        <w:t>SCAN: Gözden Geçirme Stratejisi (1)</w:t>
      </w:r>
      <w:bookmarkEnd w:id="246"/>
      <w:bookmarkEnd w:id="247"/>
      <w:bookmarkEnd w:id="248"/>
      <w:bookmarkEnd w:id="249"/>
      <w:bookmarkEnd w:id="250"/>
      <w:r w:rsidRPr="000A2E75">
        <w:rPr>
          <w:rFonts w:ascii="Times New Roman" w:hAnsi="Times New Roman" w:cs="Times New Roman"/>
          <w:sz w:val="22"/>
          <w:szCs w:val="22"/>
        </w:rPr>
        <w:t xml:space="preserve"> </w:t>
      </w:r>
    </w:p>
    <w:p w14:paraId="58C07B67" w14:textId="77777777" w:rsidR="00E839E1" w:rsidRPr="000A2E75" w:rsidRDefault="00E839E1" w:rsidP="00E839E1">
      <w:pPr>
        <w:spacing w:after="120"/>
        <w:jc w:val="both"/>
        <w:rPr>
          <w:rFonts w:ascii="Times New Roman" w:hAnsi="Times New Roman" w:cs="Times New Roman"/>
        </w:rPr>
      </w:pPr>
      <w:r w:rsidRPr="000A2E75">
        <w:rPr>
          <w:rFonts w:ascii="Times New Roman" w:hAnsi="Times New Roman" w:cs="Times New Roman"/>
        </w:rPr>
        <w:t xml:space="preserve">Yazılı metinleri / kompozisyonları biçim ve içerik yönünden inceleyip düzeltmeye dayanan bir gözden geçirme stratejisi SCAN beş adımdan oluşur (Graham ve Harris, 2005; Harris ve Graham, 1996). </w:t>
      </w:r>
    </w:p>
    <w:p w14:paraId="6B4B12A1" w14:textId="77777777" w:rsidR="00E839E1" w:rsidRPr="000A2E75" w:rsidRDefault="00E839E1" w:rsidP="00E839E1">
      <w:pPr>
        <w:spacing w:after="120"/>
        <w:jc w:val="both"/>
        <w:rPr>
          <w:rFonts w:ascii="Times New Roman" w:hAnsi="Times New Roman" w:cs="Times New Roman"/>
        </w:rPr>
      </w:pPr>
      <w:r w:rsidRPr="000A2E75">
        <w:rPr>
          <w:rFonts w:ascii="Times New Roman" w:hAnsi="Times New Roman" w:cs="Times New Roman"/>
          <w:b/>
        </w:rPr>
        <w:t>Adım 1:</w:t>
      </w:r>
      <w:r w:rsidRPr="000A2E75">
        <w:rPr>
          <w:rFonts w:ascii="Times New Roman" w:hAnsi="Times New Roman" w:cs="Times New Roman"/>
        </w:rPr>
        <w:t xml:space="preserve"> Metnin ilk taslağını oku.</w:t>
      </w:r>
    </w:p>
    <w:p w14:paraId="3A16A020" w14:textId="77777777" w:rsidR="00E839E1" w:rsidRPr="000A2E75" w:rsidRDefault="00E839E1" w:rsidP="00E839E1">
      <w:pPr>
        <w:spacing w:after="120"/>
        <w:jc w:val="both"/>
        <w:rPr>
          <w:rFonts w:ascii="Times New Roman" w:hAnsi="Times New Roman" w:cs="Times New Roman"/>
        </w:rPr>
      </w:pPr>
      <w:r w:rsidRPr="000A2E75">
        <w:rPr>
          <w:rFonts w:ascii="Times New Roman" w:hAnsi="Times New Roman" w:cs="Times New Roman"/>
          <w:b/>
        </w:rPr>
        <w:t>Adım 2:</w:t>
      </w:r>
      <w:r w:rsidRPr="000A2E75">
        <w:rPr>
          <w:rFonts w:ascii="Times New Roman" w:hAnsi="Times New Roman" w:cs="Times New Roman"/>
        </w:rPr>
        <w:t xml:space="preserve"> inandığın fikri ifade ettiğin cümleyi bul. Açıkça yazılmış mı?</w:t>
      </w:r>
    </w:p>
    <w:p w14:paraId="1109CC5C" w14:textId="77777777" w:rsidR="00E839E1" w:rsidRPr="000A2E75" w:rsidRDefault="00E839E1" w:rsidP="00E839E1">
      <w:pPr>
        <w:spacing w:after="120"/>
        <w:jc w:val="both"/>
        <w:rPr>
          <w:rFonts w:ascii="Times New Roman" w:hAnsi="Times New Roman" w:cs="Times New Roman"/>
        </w:rPr>
      </w:pPr>
      <w:r w:rsidRPr="000A2E75">
        <w:rPr>
          <w:rFonts w:ascii="Times New Roman" w:hAnsi="Times New Roman" w:cs="Times New Roman"/>
          <w:b/>
        </w:rPr>
        <w:t>Adım 3:</w:t>
      </w:r>
      <w:r w:rsidRPr="000A2E75">
        <w:rPr>
          <w:rFonts w:ascii="Times New Roman" w:hAnsi="Times New Roman" w:cs="Times New Roman"/>
        </w:rPr>
        <w:t xml:space="preserve"> Neden bu fikri inandığını en az iki neden yazarak ifade et (Eğer yeterli sayıda neden yazılmışsa bu ekleme yapılmaz).</w:t>
      </w:r>
    </w:p>
    <w:p w14:paraId="3FF1AC01" w14:textId="77777777" w:rsidR="00E839E1" w:rsidRPr="000A2E75" w:rsidRDefault="00E839E1" w:rsidP="00E839E1">
      <w:pPr>
        <w:spacing w:after="120"/>
        <w:jc w:val="both"/>
        <w:rPr>
          <w:rFonts w:ascii="Times New Roman" w:hAnsi="Times New Roman" w:cs="Times New Roman"/>
        </w:rPr>
      </w:pPr>
      <w:r w:rsidRPr="000A2E75">
        <w:rPr>
          <w:rFonts w:ascii="Times New Roman" w:hAnsi="Times New Roman" w:cs="Times New Roman"/>
          <w:b/>
        </w:rPr>
        <w:t>Adım 4:</w:t>
      </w:r>
      <w:r w:rsidRPr="000A2E75">
        <w:rPr>
          <w:rFonts w:ascii="Times New Roman" w:hAnsi="Times New Roman" w:cs="Times New Roman"/>
        </w:rPr>
        <w:t xml:space="preserve"> Her bir cümleyi gözden geçir (SCAN) ve sor:</w:t>
      </w:r>
    </w:p>
    <w:p w14:paraId="35608040" w14:textId="77777777" w:rsidR="00E839E1" w:rsidRPr="000A2E75" w:rsidRDefault="00E839E1" w:rsidP="00E839E1">
      <w:pPr>
        <w:spacing w:after="120"/>
        <w:jc w:val="both"/>
        <w:rPr>
          <w:rFonts w:ascii="Times New Roman" w:hAnsi="Times New Roman" w:cs="Times New Roman"/>
          <w:i/>
        </w:rPr>
      </w:pPr>
      <w:r w:rsidRPr="000A2E75">
        <w:rPr>
          <w:rFonts w:ascii="Times New Roman" w:hAnsi="Times New Roman" w:cs="Times New Roman"/>
          <w:i/>
        </w:rPr>
        <w:t>Bu mantıklı mı?</w:t>
      </w:r>
    </w:p>
    <w:p w14:paraId="5224E194" w14:textId="77777777" w:rsidR="00E839E1" w:rsidRPr="000A2E75" w:rsidRDefault="00E839E1" w:rsidP="00E839E1">
      <w:pPr>
        <w:spacing w:after="120"/>
        <w:jc w:val="both"/>
        <w:rPr>
          <w:rFonts w:ascii="Times New Roman" w:hAnsi="Times New Roman" w:cs="Times New Roman"/>
          <w:i/>
        </w:rPr>
      </w:pPr>
      <w:r w:rsidRPr="000A2E75">
        <w:rPr>
          <w:rFonts w:ascii="Times New Roman" w:hAnsi="Times New Roman" w:cs="Times New Roman"/>
          <w:i/>
        </w:rPr>
        <w:t>Benim düşüncemle bağlantılı mı?</w:t>
      </w:r>
    </w:p>
    <w:p w14:paraId="6BEECBCC" w14:textId="77777777" w:rsidR="00E839E1" w:rsidRPr="000A2E75" w:rsidRDefault="00E839E1" w:rsidP="00E839E1">
      <w:pPr>
        <w:spacing w:after="120"/>
        <w:jc w:val="both"/>
        <w:rPr>
          <w:rFonts w:ascii="Times New Roman" w:hAnsi="Times New Roman" w:cs="Times New Roman"/>
          <w:i/>
        </w:rPr>
      </w:pPr>
      <w:r w:rsidRPr="000A2E75">
        <w:rPr>
          <w:rFonts w:ascii="Times New Roman" w:hAnsi="Times New Roman" w:cs="Times New Roman"/>
          <w:i/>
        </w:rPr>
        <w:t>Daha fazla ekleme yapabilir miyim?</w:t>
      </w:r>
    </w:p>
    <w:p w14:paraId="430D3391" w14:textId="77777777" w:rsidR="00E839E1" w:rsidRPr="000A2E75" w:rsidRDefault="00E839E1" w:rsidP="00E839E1">
      <w:pPr>
        <w:spacing w:after="120"/>
        <w:jc w:val="both"/>
        <w:rPr>
          <w:rFonts w:ascii="Times New Roman" w:hAnsi="Times New Roman" w:cs="Times New Roman"/>
        </w:rPr>
      </w:pPr>
      <w:r w:rsidRPr="000A2E75">
        <w:rPr>
          <w:rFonts w:ascii="Times New Roman" w:hAnsi="Times New Roman" w:cs="Times New Roman"/>
        </w:rPr>
        <w:t>Hataları not et.</w:t>
      </w:r>
    </w:p>
    <w:p w14:paraId="6C800F39" w14:textId="77777777" w:rsidR="00E839E1" w:rsidRPr="000A2E75" w:rsidRDefault="00E839E1" w:rsidP="00E839E1">
      <w:pPr>
        <w:spacing w:after="120"/>
        <w:jc w:val="both"/>
        <w:rPr>
          <w:rFonts w:ascii="Times New Roman" w:hAnsi="Times New Roman" w:cs="Times New Roman"/>
        </w:rPr>
      </w:pPr>
      <w:r w:rsidRPr="000A2E75">
        <w:rPr>
          <w:rFonts w:ascii="Times New Roman" w:hAnsi="Times New Roman" w:cs="Times New Roman"/>
          <w:b/>
        </w:rPr>
        <w:t>Adım 5:</w:t>
      </w:r>
      <w:r w:rsidRPr="000A2E75">
        <w:rPr>
          <w:rFonts w:ascii="Times New Roman" w:hAnsi="Times New Roman" w:cs="Times New Roman"/>
        </w:rPr>
        <w:t xml:space="preserve"> Değişiklikleri yap. </w:t>
      </w:r>
    </w:p>
    <w:p w14:paraId="07D4FDD7" w14:textId="77777777" w:rsidR="00E839E1" w:rsidRPr="000A2E75" w:rsidRDefault="00E839E1" w:rsidP="00E839E1">
      <w:pPr>
        <w:jc w:val="both"/>
        <w:rPr>
          <w:rFonts w:ascii="Times New Roman" w:hAnsi="Times New Roman" w:cs="Times New Roman"/>
        </w:rPr>
      </w:pPr>
      <w:r w:rsidRPr="000A2E75">
        <w:rPr>
          <w:rFonts w:ascii="Times New Roman" w:hAnsi="Times New Roman" w:cs="Times New Roman"/>
        </w:rPr>
        <w:tab/>
        <w:t xml:space="preserve">Graham ve MacArthur (1988), SCAN stratejisini beşinci ve altıncı sınıfa devam eden öğrenme güçlüğü olan öğrencilerin gözden geçirme ve yazdıkları tartışma metinlerini geliştirmeleri üzerindeki etkisini araştırmışlardır. Strateji öğretimi öncesinde öğrencilerin metinlerini %31 oranında yeniden düzenledikleri görülürken strateji öğretimi sonrası bu oran %62’ye çıkmıştır. Gözden geçirme stratejisini uygulayan öğrencilerin metinleri daha fazla fikir eklenmesi sayesinde daha uzun ve daha kaliteli hale gelmiştir. Ayrıca yazım hataları da azalmıştır.  </w:t>
      </w:r>
    </w:p>
    <w:p w14:paraId="111AC599" w14:textId="77777777" w:rsidR="00E839E1" w:rsidRPr="000A2E75" w:rsidRDefault="00E839E1" w:rsidP="00E839E1">
      <w:pPr>
        <w:pStyle w:val="Balk2"/>
        <w:spacing w:after="120"/>
        <w:rPr>
          <w:rFonts w:ascii="Times New Roman" w:hAnsi="Times New Roman" w:cs="Times New Roman"/>
          <w:b w:val="0"/>
          <w:sz w:val="22"/>
          <w:szCs w:val="22"/>
        </w:rPr>
      </w:pPr>
      <w:bookmarkStart w:id="251" w:name="_Toc72739703"/>
      <w:bookmarkStart w:id="252" w:name="_Toc72754184"/>
      <w:bookmarkStart w:id="253" w:name="_Toc72754691"/>
      <w:bookmarkStart w:id="254" w:name="_Toc72755963"/>
      <w:bookmarkStart w:id="255" w:name="_Toc72961775"/>
      <w:r w:rsidRPr="000A2E75">
        <w:rPr>
          <w:rFonts w:ascii="Times New Roman" w:hAnsi="Times New Roman" w:cs="Times New Roman"/>
          <w:sz w:val="22"/>
          <w:szCs w:val="22"/>
        </w:rPr>
        <w:t>CDO: Gözden Geçirme Stratejisi (2)</w:t>
      </w:r>
      <w:bookmarkEnd w:id="251"/>
      <w:bookmarkEnd w:id="252"/>
      <w:bookmarkEnd w:id="253"/>
      <w:bookmarkEnd w:id="254"/>
      <w:bookmarkEnd w:id="255"/>
    </w:p>
    <w:p w14:paraId="4B1B43AA" w14:textId="77777777" w:rsidR="00E839E1" w:rsidRPr="000A2E75" w:rsidRDefault="00E839E1" w:rsidP="00E839E1">
      <w:pPr>
        <w:jc w:val="both"/>
        <w:rPr>
          <w:rFonts w:ascii="Times New Roman" w:hAnsi="Times New Roman" w:cs="Times New Roman"/>
        </w:rPr>
      </w:pPr>
      <w:r w:rsidRPr="000A2E75">
        <w:rPr>
          <w:rFonts w:ascii="Times New Roman" w:hAnsi="Times New Roman" w:cs="Times New Roman"/>
        </w:rPr>
        <w:tab/>
        <w:t>KDSG modeli ile öğretimi yapılan bir başka gözden geçirme stratejisi CDO stratejisidir (Graham, 1997; Graham ve Harris, 2005, Harris ve Graham, 1996). CDO öğrencilerin yazdığı metinleri ilk cümleden son sümleye tek tek kontrol ederek gözden geçirmelerine ve gerekli düzenlemeleri yapmalarına hizmet eden bir stratejidir. Stratejide gözden geçirme ve düzeltme işlemlerine yardımcı olan kartlar kullanılır. Öğrenci her bir cümleyi elindeki değerlendirme kartlarına göre inceler, daha sonra bu cümleyi daha iyi hale getirebilmek için taktik kartlarından uygun olanı seçer ve buna göre cümlesini yeniden düzenler. Öğrenci için ipucu niteliği taşıması açısından değerlendirme ve taktik kartlarının renkleri farklılaşır.  Strateji dört adımdan oluşur:</w:t>
      </w:r>
    </w:p>
    <w:p w14:paraId="6FFFBCBA" w14:textId="77777777" w:rsidR="00E839E1" w:rsidRPr="000A2E75" w:rsidRDefault="00E839E1" w:rsidP="00E839E1">
      <w:pPr>
        <w:jc w:val="both"/>
        <w:rPr>
          <w:rFonts w:ascii="Times New Roman" w:hAnsi="Times New Roman" w:cs="Times New Roman"/>
        </w:rPr>
      </w:pPr>
      <w:r w:rsidRPr="000A2E75">
        <w:rPr>
          <w:rFonts w:ascii="Times New Roman" w:hAnsi="Times New Roman" w:cs="Times New Roman"/>
          <w:b/>
        </w:rPr>
        <w:t>Adım 1. Karşılaştır:</w:t>
      </w:r>
      <w:r w:rsidRPr="000A2E75">
        <w:rPr>
          <w:rFonts w:ascii="Times New Roman" w:hAnsi="Times New Roman" w:cs="Times New Roman"/>
        </w:rPr>
        <w:t xml:space="preserve"> Cümleyi oku.</w:t>
      </w:r>
    </w:p>
    <w:p w14:paraId="40F821F5" w14:textId="77777777" w:rsidR="00E839E1" w:rsidRPr="000A2E75" w:rsidRDefault="00E839E1" w:rsidP="00E839E1">
      <w:pPr>
        <w:jc w:val="both"/>
        <w:rPr>
          <w:rFonts w:ascii="Times New Roman" w:hAnsi="Times New Roman" w:cs="Times New Roman"/>
        </w:rPr>
      </w:pPr>
      <w:r w:rsidRPr="000A2E75">
        <w:rPr>
          <w:rFonts w:ascii="Times New Roman" w:hAnsi="Times New Roman" w:cs="Times New Roman"/>
          <w:b/>
        </w:rPr>
        <w:lastRenderedPageBreak/>
        <w:t xml:space="preserve">Adım 2. Teşhis et: </w:t>
      </w:r>
      <w:r w:rsidRPr="000A2E75">
        <w:rPr>
          <w:rFonts w:ascii="Times New Roman" w:hAnsi="Times New Roman" w:cs="Times New Roman"/>
        </w:rPr>
        <w:t>En iyi değerlendirme kartını seç.</w:t>
      </w:r>
    </w:p>
    <w:p w14:paraId="0A3B8D8C" w14:textId="77777777" w:rsidR="00E839E1" w:rsidRPr="000A2E75" w:rsidRDefault="00E839E1" w:rsidP="00E839E1">
      <w:pPr>
        <w:jc w:val="both"/>
        <w:rPr>
          <w:rFonts w:ascii="Times New Roman" w:hAnsi="Times New Roman" w:cs="Times New Roman"/>
          <w:i/>
        </w:rPr>
      </w:pPr>
      <w:r w:rsidRPr="000A2E75">
        <w:rPr>
          <w:rFonts w:ascii="Times New Roman" w:hAnsi="Times New Roman" w:cs="Times New Roman"/>
          <w:i/>
        </w:rPr>
        <w:t>Bu kulağa doğru gelmiyor.</w:t>
      </w:r>
    </w:p>
    <w:p w14:paraId="29B1E9A9" w14:textId="77777777" w:rsidR="00E839E1" w:rsidRPr="000A2E75" w:rsidRDefault="00E839E1" w:rsidP="00E839E1">
      <w:pPr>
        <w:jc w:val="both"/>
        <w:rPr>
          <w:rFonts w:ascii="Times New Roman" w:hAnsi="Times New Roman" w:cs="Times New Roman"/>
          <w:i/>
        </w:rPr>
      </w:pPr>
      <w:r w:rsidRPr="000A2E75">
        <w:rPr>
          <w:rFonts w:ascii="Times New Roman" w:hAnsi="Times New Roman" w:cs="Times New Roman"/>
          <w:i/>
        </w:rPr>
        <w:t>Söylemek istediğim bu değil.</w:t>
      </w:r>
    </w:p>
    <w:p w14:paraId="295DBBE8" w14:textId="77777777" w:rsidR="00E839E1" w:rsidRPr="000A2E75" w:rsidRDefault="00E839E1" w:rsidP="00E839E1">
      <w:pPr>
        <w:jc w:val="both"/>
        <w:rPr>
          <w:rFonts w:ascii="Times New Roman" w:hAnsi="Times New Roman" w:cs="Times New Roman"/>
          <w:i/>
        </w:rPr>
      </w:pPr>
      <w:r w:rsidRPr="000A2E75">
        <w:rPr>
          <w:rFonts w:ascii="Times New Roman" w:hAnsi="Times New Roman" w:cs="Times New Roman"/>
          <w:i/>
        </w:rPr>
        <w:t>Bu benim metnim için yararlı değil.</w:t>
      </w:r>
    </w:p>
    <w:p w14:paraId="0BFE8003" w14:textId="77777777" w:rsidR="00E839E1" w:rsidRPr="000A2E75" w:rsidRDefault="00E839E1" w:rsidP="00E839E1">
      <w:pPr>
        <w:jc w:val="both"/>
        <w:rPr>
          <w:rFonts w:ascii="Times New Roman" w:hAnsi="Times New Roman" w:cs="Times New Roman"/>
          <w:i/>
        </w:rPr>
      </w:pPr>
      <w:r w:rsidRPr="000A2E75">
        <w:rPr>
          <w:rFonts w:ascii="Times New Roman" w:hAnsi="Times New Roman" w:cs="Times New Roman"/>
          <w:i/>
        </w:rPr>
        <w:t>Bu iyi.</w:t>
      </w:r>
    </w:p>
    <w:p w14:paraId="3D81A691" w14:textId="77777777" w:rsidR="00E839E1" w:rsidRPr="000A2E75" w:rsidRDefault="00E839E1" w:rsidP="00E839E1">
      <w:pPr>
        <w:jc w:val="both"/>
        <w:rPr>
          <w:rFonts w:ascii="Times New Roman" w:hAnsi="Times New Roman" w:cs="Times New Roman"/>
          <w:i/>
        </w:rPr>
      </w:pPr>
      <w:r w:rsidRPr="000A2E75">
        <w:rPr>
          <w:rFonts w:ascii="Times New Roman" w:hAnsi="Times New Roman" w:cs="Times New Roman"/>
          <w:i/>
        </w:rPr>
        <w:t>İnsanlar bu kısmı anlamayabilir.</w:t>
      </w:r>
    </w:p>
    <w:p w14:paraId="31DFDA59" w14:textId="77777777" w:rsidR="00E839E1" w:rsidRPr="000A2E75" w:rsidRDefault="00E839E1" w:rsidP="00E839E1">
      <w:pPr>
        <w:jc w:val="both"/>
        <w:rPr>
          <w:rFonts w:ascii="Times New Roman" w:hAnsi="Times New Roman" w:cs="Times New Roman"/>
          <w:i/>
        </w:rPr>
      </w:pPr>
      <w:r w:rsidRPr="000A2E75">
        <w:rPr>
          <w:rFonts w:ascii="Times New Roman" w:hAnsi="Times New Roman" w:cs="Times New Roman"/>
          <w:i/>
        </w:rPr>
        <w:t>İnsanlar bu bölümle ilgilenmeyecek.</w:t>
      </w:r>
    </w:p>
    <w:p w14:paraId="73C861B8" w14:textId="77777777" w:rsidR="00E839E1" w:rsidRPr="000A2E75" w:rsidRDefault="00E839E1" w:rsidP="00E839E1">
      <w:pPr>
        <w:jc w:val="both"/>
        <w:rPr>
          <w:rFonts w:ascii="Times New Roman" w:hAnsi="Times New Roman" w:cs="Times New Roman"/>
          <w:i/>
        </w:rPr>
      </w:pPr>
      <w:r w:rsidRPr="000A2E75">
        <w:rPr>
          <w:rFonts w:ascii="Times New Roman" w:hAnsi="Times New Roman" w:cs="Times New Roman"/>
          <w:i/>
        </w:rPr>
        <w:t>İnsanlar bu kısma inanmayacak.</w:t>
      </w:r>
    </w:p>
    <w:p w14:paraId="6959C46E" w14:textId="77777777" w:rsidR="00E839E1" w:rsidRPr="000A2E75" w:rsidRDefault="00E839E1" w:rsidP="00E839E1">
      <w:pPr>
        <w:jc w:val="both"/>
        <w:rPr>
          <w:rFonts w:ascii="Times New Roman" w:hAnsi="Times New Roman" w:cs="Times New Roman"/>
        </w:rPr>
      </w:pPr>
      <w:r w:rsidRPr="000A2E75">
        <w:rPr>
          <w:rFonts w:ascii="Times New Roman" w:hAnsi="Times New Roman" w:cs="Times New Roman"/>
          <w:b/>
        </w:rPr>
        <w:t xml:space="preserve">Adım 3. Düzeltme yolunu bul: </w:t>
      </w:r>
      <w:r w:rsidRPr="000A2E75">
        <w:rPr>
          <w:rFonts w:ascii="Times New Roman" w:hAnsi="Times New Roman" w:cs="Times New Roman"/>
        </w:rPr>
        <w:t>Taktik kartını seç.</w:t>
      </w:r>
    </w:p>
    <w:p w14:paraId="33D1A214" w14:textId="77777777" w:rsidR="00E839E1" w:rsidRPr="000A2E75" w:rsidRDefault="00E839E1" w:rsidP="00E839E1">
      <w:pPr>
        <w:jc w:val="both"/>
        <w:rPr>
          <w:rFonts w:ascii="Times New Roman" w:hAnsi="Times New Roman" w:cs="Times New Roman"/>
          <w:i/>
        </w:rPr>
      </w:pPr>
      <w:r w:rsidRPr="000A2E75">
        <w:rPr>
          <w:rFonts w:ascii="Times New Roman" w:hAnsi="Times New Roman" w:cs="Times New Roman"/>
          <w:i/>
        </w:rPr>
        <w:t>Yeniden yaz.</w:t>
      </w:r>
    </w:p>
    <w:p w14:paraId="0C43A53F" w14:textId="77777777" w:rsidR="00E839E1" w:rsidRPr="000A2E75" w:rsidRDefault="00E839E1" w:rsidP="00E839E1">
      <w:pPr>
        <w:jc w:val="both"/>
        <w:rPr>
          <w:rFonts w:ascii="Times New Roman" w:hAnsi="Times New Roman" w:cs="Times New Roman"/>
          <w:i/>
        </w:rPr>
      </w:pPr>
      <w:r w:rsidRPr="000A2E75">
        <w:rPr>
          <w:rFonts w:ascii="Times New Roman" w:hAnsi="Times New Roman" w:cs="Times New Roman"/>
          <w:i/>
        </w:rPr>
        <w:t>Ekleme yap.</w:t>
      </w:r>
    </w:p>
    <w:p w14:paraId="1A271C69" w14:textId="77777777" w:rsidR="00E839E1" w:rsidRPr="000A2E75" w:rsidRDefault="00E839E1" w:rsidP="00E839E1">
      <w:pPr>
        <w:jc w:val="both"/>
        <w:rPr>
          <w:rFonts w:ascii="Times New Roman" w:hAnsi="Times New Roman" w:cs="Times New Roman"/>
          <w:i/>
        </w:rPr>
      </w:pPr>
      <w:r w:rsidRPr="000A2E75">
        <w:rPr>
          <w:rFonts w:ascii="Times New Roman" w:hAnsi="Times New Roman" w:cs="Times New Roman"/>
          <w:i/>
        </w:rPr>
        <w:t>Bu kısmı çıkar.</w:t>
      </w:r>
    </w:p>
    <w:p w14:paraId="6979964C" w14:textId="77777777" w:rsidR="00E839E1" w:rsidRPr="000A2E75" w:rsidRDefault="00E839E1" w:rsidP="00E839E1">
      <w:pPr>
        <w:jc w:val="both"/>
        <w:rPr>
          <w:rFonts w:ascii="Times New Roman" w:hAnsi="Times New Roman" w:cs="Times New Roman"/>
          <w:i/>
        </w:rPr>
      </w:pPr>
      <w:r w:rsidRPr="000A2E75">
        <w:rPr>
          <w:rFonts w:ascii="Times New Roman" w:hAnsi="Times New Roman" w:cs="Times New Roman"/>
          <w:i/>
        </w:rPr>
        <w:t>İfadeyi değiştir.</w:t>
      </w:r>
    </w:p>
    <w:p w14:paraId="7887DD9D" w14:textId="77777777" w:rsidR="00E839E1" w:rsidRPr="000A2E75" w:rsidRDefault="00E839E1" w:rsidP="00E839E1">
      <w:pPr>
        <w:jc w:val="both"/>
        <w:rPr>
          <w:rFonts w:ascii="Times New Roman" w:hAnsi="Times New Roman" w:cs="Times New Roman"/>
        </w:rPr>
      </w:pPr>
      <w:r w:rsidRPr="000A2E75">
        <w:rPr>
          <w:rFonts w:ascii="Times New Roman" w:hAnsi="Times New Roman" w:cs="Times New Roman"/>
          <w:b/>
        </w:rPr>
        <w:t xml:space="preserve">Adım 4. Uygula: </w:t>
      </w:r>
      <w:r w:rsidRPr="000A2E75">
        <w:rPr>
          <w:rFonts w:ascii="Times New Roman" w:hAnsi="Times New Roman" w:cs="Times New Roman"/>
        </w:rPr>
        <w:t>Düzeltmeni yap.</w:t>
      </w:r>
    </w:p>
    <w:p w14:paraId="0F4DC17B" w14:textId="77777777" w:rsidR="00E839E1" w:rsidRPr="000A2E75" w:rsidRDefault="00E839E1" w:rsidP="00E839E1">
      <w:pPr>
        <w:jc w:val="both"/>
        <w:rPr>
          <w:rFonts w:ascii="Times New Roman" w:hAnsi="Times New Roman" w:cs="Times New Roman"/>
        </w:rPr>
      </w:pPr>
      <w:r w:rsidRPr="000A2E75">
        <w:rPr>
          <w:rFonts w:ascii="Times New Roman" w:hAnsi="Times New Roman" w:cs="Times New Roman"/>
        </w:rPr>
        <w:tab/>
        <w:t>Sherman (2011), altıncı sınıfa devam eden ve içlerinde 2, düşük başarılı, 2 yüksek başarılı ve 2 orta düzeyde başarılı ve 2 öğrenme güçlüğü olan öğrencinin bulunduğu üç ayrı sınıfta toplam 23 öğrenci ye CDO stratejisini FIX hatırlatıcısıyla uyarlayarak öğretmişlerdir. Araştırmada çoklu yoklama modeli kullanılmıştır. Araştırma sonunda öğrencilerin metinlerinde başlama düzeyine göre anlamlı oranda düzeltmeler yaptıkları bununla beraber metin kalite puanlarını başlama düzeyine göre iki katına varan düzeyde artırdıkları belirlenmiştir.</w:t>
      </w:r>
    </w:p>
    <w:p w14:paraId="35043F76" w14:textId="77777777" w:rsidR="00E839E1" w:rsidRPr="000A2E75" w:rsidRDefault="00E839E1" w:rsidP="00E839E1">
      <w:pPr>
        <w:pStyle w:val="Balk2"/>
        <w:spacing w:after="120"/>
        <w:rPr>
          <w:rFonts w:ascii="Times New Roman" w:hAnsi="Times New Roman" w:cs="Times New Roman"/>
          <w:b w:val="0"/>
          <w:sz w:val="22"/>
          <w:szCs w:val="22"/>
        </w:rPr>
      </w:pPr>
      <w:bookmarkStart w:id="256" w:name="_Toc72739704"/>
      <w:bookmarkStart w:id="257" w:name="_Toc72754185"/>
      <w:bookmarkStart w:id="258" w:name="_Toc72754692"/>
      <w:bookmarkStart w:id="259" w:name="_Toc72755964"/>
      <w:bookmarkStart w:id="260" w:name="_Toc72961776"/>
      <w:r w:rsidRPr="000A2E75">
        <w:rPr>
          <w:rFonts w:ascii="Times New Roman" w:hAnsi="Times New Roman" w:cs="Times New Roman"/>
          <w:sz w:val="22"/>
          <w:szCs w:val="22"/>
        </w:rPr>
        <w:t>Sonuç</w:t>
      </w:r>
      <w:bookmarkEnd w:id="256"/>
      <w:bookmarkEnd w:id="257"/>
      <w:bookmarkEnd w:id="258"/>
      <w:bookmarkEnd w:id="259"/>
      <w:bookmarkEnd w:id="260"/>
    </w:p>
    <w:p w14:paraId="7F03590C" w14:textId="77777777" w:rsidR="00E839E1" w:rsidRPr="000A2E75" w:rsidRDefault="00E839E1" w:rsidP="00E839E1">
      <w:pPr>
        <w:spacing w:after="120"/>
        <w:ind w:firstLine="708"/>
        <w:jc w:val="both"/>
        <w:rPr>
          <w:rFonts w:ascii="Times New Roman" w:hAnsi="Times New Roman" w:cs="Times New Roman"/>
        </w:rPr>
      </w:pPr>
      <w:r w:rsidRPr="000A2E75">
        <w:rPr>
          <w:rFonts w:ascii="Times New Roman" w:hAnsi="Times New Roman" w:cs="Times New Roman"/>
        </w:rPr>
        <w:t>Farklı düzeyde ve özellikte öğrenci grupları üzerinde etkililiği denenen KDSG modeli öğrencilerin yazılı ifadelerini geliştirmede etkili kanıt temelli uygulamalardan biridir. Bu modelin uygulanmasıyla birlikte öğrencilerin metin ögelerinde, metin kalitesinde, metin uzunluklarında ve yazma sürelerinde önemli artışlar görülmekle beraber gözden geçirme stratejilerinin devreye girmesiyle birlikte öğrencilerin metinlerinde daha fazla düzeltmeye yer verdikleri ve metin gelişmişlik puanlarını artırdıkları görülmektedir. Bu nedenle yazlı ifade alanında çalışan araştırmacıların ve öğretmenlerin öğretim planlarını geliştirirken KDSG modeli ile programlarını zenginleştirmeleri önerilir.</w:t>
      </w:r>
    </w:p>
    <w:p w14:paraId="3E7C10A1" w14:textId="77777777" w:rsidR="00E839E1" w:rsidRPr="000A2E75" w:rsidRDefault="00E839E1" w:rsidP="00E839E1">
      <w:pPr>
        <w:spacing w:after="120"/>
        <w:ind w:firstLine="708"/>
        <w:jc w:val="both"/>
        <w:rPr>
          <w:rFonts w:ascii="Times New Roman" w:hAnsi="Times New Roman" w:cs="Times New Roman"/>
        </w:rPr>
      </w:pPr>
      <w:r w:rsidRPr="000A2E75">
        <w:rPr>
          <w:rFonts w:ascii="Times New Roman" w:hAnsi="Times New Roman" w:cs="Times New Roman"/>
        </w:rPr>
        <w:t>KDSG modeline dayalı öğretimi yapılan ve yukarıda açıklanan stratejilerin yazma sürecinde planlama, taslak oluşturma ile yazmaya yönelik (POW + WWW, What=2, How=2 ve POW + TREE) ve gözden geçirme ile düzeltme aşamalarına yönelik (SCAN ve CDO) stratejilerinin etkililiğine yönelik araştırma bulguları yazma sürecinin her bir aşamasının metin kalitesini artırmada önemli olduğunu bize göstermektedir. Bu nedenle yazılı ifade alt işlemlerinde zorlanan öğrenciler için uygun stratejileri belirlemek ve geliştirmek önemlidir.</w:t>
      </w:r>
      <w:bookmarkStart w:id="261" w:name="_Toc72739705"/>
      <w:bookmarkStart w:id="262" w:name="_Toc72754186"/>
    </w:p>
    <w:p w14:paraId="3896C04A" w14:textId="77777777" w:rsidR="00E839E1" w:rsidRPr="000A2E75" w:rsidRDefault="00E839E1" w:rsidP="00E839E1">
      <w:pPr>
        <w:pStyle w:val="Balk2"/>
        <w:rPr>
          <w:rFonts w:ascii="Times New Roman" w:hAnsi="Times New Roman" w:cs="Times New Roman"/>
          <w:sz w:val="22"/>
          <w:szCs w:val="22"/>
        </w:rPr>
      </w:pPr>
    </w:p>
    <w:p w14:paraId="18D32E32" w14:textId="77777777" w:rsidR="00E839E1" w:rsidRDefault="00E839E1" w:rsidP="00E839E1">
      <w:pPr>
        <w:rPr>
          <w:lang w:val="en-US"/>
        </w:rPr>
      </w:pPr>
    </w:p>
    <w:p w14:paraId="789FF2CD" w14:textId="77777777" w:rsidR="00E839E1" w:rsidRPr="00596466" w:rsidRDefault="00E839E1" w:rsidP="00E839E1">
      <w:pPr>
        <w:rPr>
          <w:lang w:val="en-US"/>
        </w:rPr>
      </w:pPr>
    </w:p>
    <w:p w14:paraId="2B329CFB" w14:textId="77777777" w:rsidR="00E839E1" w:rsidRPr="000A2E75" w:rsidRDefault="00E839E1" w:rsidP="00E839E1">
      <w:pPr>
        <w:rPr>
          <w:rFonts w:ascii="Times New Roman" w:hAnsi="Times New Roman" w:cs="Times New Roman"/>
        </w:rPr>
      </w:pPr>
    </w:p>
    <w:bookmarkEnd w:id="261"/>
    <w:bookmarkEnd w:id="262"/>
    <w:p w14:paraId="4FBD226C" w14:textId="3816B51B" w:rsidR="00E839E1" w:rsidRPr="000A2E75" w:rsidRDefault="00C95516" w:rsidP="00E839E1">
      <w:pPr>
        <w:pStyle w:val="Balk2"/>
        <w:rPr>
          <w:rFonts w:ascii="Times New Roman" w:hAnsi="Times New Roman" w:cs="Times New Roman"/>
          <w:b w:val="0"/>
          <w:i w:val="0"/>
          <w:sz w:val="22"/>
          <w:szCs w:val="22"/>
        </w:rPr>
      </w:pPr>
      <w:r>
        <w:rPr>
          <w:rFonts w:ascii="Times New Roman" w:hAnsi="Times New Roman" w:cs="Times New Roman"/>
          <w:i w:val="0"/>
          <w:sz w:val="22"/>
          <w:szCs w:val="22"/>
        </w:rPr>
        <w:lastRenderedPageBreak/>
        <w:t>Kaynakça</w:t>
      </w:r>
    </w:p>
    <w:p w14:paraId="25DE6FE3" w14:textId="77777777" w:rsidR="00E839E1" w:rsidRPr="000A2E75" w:rsidRDefault="00E839E1" w:rsidP="00E839E1">
      <w:pPr>
        <w:pStyle w:val="ListeParagraf"/>
        <w:spacing w:before="120" w:after="120" w:line="240" w:lineRule="auto"/>
        <w:jc w:val="both"/>
        <w:rPr>
          <w:rFonts w:ascii="Times New Roman" w:hAnsi="Times New Roman" w:cs="Times New Roman"/>
          <w:b/>
        </w:rPr>
      </w:pPr>
    </w:p>
    <w:p w14:paraId="61772B75" w14:textId="77777777" w:rsidR="00E839E1" w:rsidRPr="000A2E75" w:rsidRDefault="00E839E1" w:rsidP="00E839E1">
      <w:pPr>
        <w:autoSpaceDE w:val="0"/>
        <w:autoSpaceDN w:val="0"/>
        <w:adjustRightInd w:val="0"/>
        <w:spacing w:after="120"/>
        <w:ind w:left="709" w:hanging="709"/>
        <w:rPr>
          <w:rFonts w:ascii="Times New Roman" w:hAnsi="Times New Roman" w:cs="Times New Roman"/>
          <w:lang w:val="fr-FR"/>
        </w:rPr>
      </w:pPr>
      <w:r w:rsidRPr="000A2E75">
        <w:rPr>
          <w:rFonts w:ascii="Times New Roman" w:hAnsi="Times New Roman" w:cs="Times New Roman"/>
        </w:rPr>
        <w:t xml:space="preserve">Asaro-Saddler, K., &amp; Saddler, B., (2010). Planning instruction and self-regulation training: Effects on writers with autism spectrum disorders. </w:t>
      </w:r>
      <w:r w:rsidRPr="000A2E75">
        <w:rPr>
          <w:rFonts w:ascii="Times New Roman" w:hAnsi="Times New Roman" w:cs="Times New Roman"/>
          <w:i/>
          <w:lang w:val="fr-FR"/>
        </w:rPr>
        <w:t>Exceptional Children</w:t>
      </w:r>
      <w:r w:rsidRPr="000A2E75">
        <w:rPr>
          <w:rFonts w:ascii="Times New Roman" w:hAnsi="Times New Roman" w:cs="Times New Roman"/>
          <w:lang w:val="fr-FR"/>
        </w:rPr>
        <w:t xml:space="preserve">, </w:t>
      </w:r>
      <w:r w:rsidRPr="000A2E75">
        <w:rPr>
          <w:rFonts w:ascii="Times New Roman" w:hAnsi="Times New Roman" w:cs="Times New Roman"/>
          <w:i/>
          <w:lang w:val="fr-FR"/>
        </w:rPr>
        <w:t>77</w:t>
      </w:r>
      <w:r w:rsidRPr="000A2E75">
        <w:rPr>
          <w:rFonts w:ascii="Times New Roman" w:hAnsi="Times New Roman" w:cs="Times New Roman"/>
          <w:lang w:val="fr-FR"/>
        </w:rPr>
        <w:t>(1), 107-124.</w:t>
      </w:r>
    </w:p>
    <w:p w14:paraId="33CB1919" w14:textId="77777777" w:rsidR="00E839E1" w:rsidRPr="000A2E75" w:rsidRDefault="00E839E1" w:rsidP="00E839E1">
      <w:pPr>
        <w:autoSpaceDE w:val="0"/>
        <w:autoSpaceDN w:val="0"/>
        <w:adjustRightInd w:val="0"/>
        <w:spacing w:after="120"/>
        <w:ind w:left="709" w:hanging="709"/>
        <w:rPr>
          <w:rFonts w:ascii="Times New Roman" w:hAnsi="Times New Roman" w:cs="Times New Roman"/>
        </w:rPr>
      </w:pPr>
      <w:r w:rsidRPr="000A2E75">
        <w:rPr>
          <w:rFonts w:ascii="Times New Roman" w:hAnsi="Times New Roman" w:cs="Times New Roman"/>
          <w:lang w:val="fr-FR"/>
        </w:rPr>
        <w:t xml:space="preserve">De La Paz, S., Swanson, P. N., &amp; Graham, S. (1998). </w:t>
      </w:r>
      <w:r w:rsidRPr="000A2E75">
        <w:rPr>
          <w:rFonts w:ascii="Times New Roman" w:hAnsi="Times New Roman" w:cs="Times New Roman"/>
        </w:rPr>
        <w:t xml:space="preserve">The contribution of executive control to the revising by students with writing and learning difficulties. </w:t>
      </w:r>
      <w:r w:rsidRPr="000A2E75">
        <w:rPr>
          <w:rStyle w:val="Vurgu"/>
          <w:rFonts w:ascii="Times New Roman" w:hAnsi="Times New Roman" w:cs="Times New Roman"/>
        </w:rPr>
        <w:t>Journal of Educational Psychology, 90</w:t>
      </w:r>
      <w:r w:rsidRPr="000A2E75">
        <w:rPr>
          <w:rFonts w:ascii="Times New Roman" w:hAnsi="Times New Roman" w:cs="Times New Roman"/>
        </w:rPr>
        <w:t xml:space="preserve">(3), 448–460. </w:t>
      </w:r>
      <w:hyperlink r:id="rId379" w:tgtFrame="_blank" w:history="1">
        <w:r w:rsidRPr="000A2E75">
          <w:rPr>
            <w:rStyle w:val="Kpr"/>
            <w:rFonts w:ascii="Times New Roman" w:hAnsi="Times New Roman" w:cs="Times New Roman"/>
          </w:rPr>
          <w:t>https://doi.org/10.1037/0022-0663.90.3.448</w:t>
        </w:r>
      </w:hyperlink>
    </w:p>
    <w:p w14:paraId="118E95A6" w14:textId="77777777" w:rsidR="00E839E1" w:rsidRPr="000A2E75" w:rsidRDefault="00E839E1" w:rsidP="00E839E1">
      <w:pPr>
        <w:ind w:left="709" w:hanging="709"/>
        <w:rPr>
          <w:rFonts w:ascii="Times New Roman" w:hAnsi="Times New Roman" w:cs="Times New Roman"/>
        </w:rPr>
      </w:pPr>
      <w:r w:rsidRPr="000A2E75">
        <w:rPr>
          <w:rFonts w:ascii="Times New Roman" w:hAnsi="Times New Roman" w:cs="Times New Roman"/>
          <w:lang w:val="es-ES"/>
        </w:rPr>
        <w:t xml:space="preserve">De La Paz, S., &amp; Graham, S. (1997). </w:t>
      </w:r>
      <w:r w:rsidRPr="000A2E75">
        <w:rPr>
          <w:rFonts w:ascii="Times New Roman" w:hAnsi="Times New Roman" w:cs="Times New Roman"/>
        </w:rPr>
        <w:t xml:space="preserve">Strategy instruction in planning: Effects on the writing performance and behavior of students with learning difficulties. </w:t>
      </w:r>
      <w:r w:rsidRPr="000A2E75">
        <w:rPr>
          <w:rFonts w:ascii="Times New Roman" w:hAnsi="Times New Roman" w:cs="Times New Roman"/>
          <w:i/>
        </w:rPr>
        <w:t>Exceptional Children, 63</w:t>
      </w:r>
      <w:r w:rsidRPr="000A2E75">
        <w:rPr>
          <w:rFonts w:ascii="Times New Roman" w:hAnsi="Times New Roman" w:cs="Times New Roman"/>
        </w:rPr>
        <w:t>, 167-181.</w:t>
      </w:r>
    </w:p>
    <w:p w14:paraId="260FB24F" w14:textId="77777777" w:rsidR="00E839E1" w:rsidRPr="000A2E75" w:rsidRDefault="00E839E1" w:rsidP="00E839E1">
      <w:pPr>
        <w:autoSpaceDE w:val="0"/>
        <w:autoSpaceDN w:val="0"/>
        <w:adjustRightInd w:val="0"/>
        <w:spacing w:after="120"/>
        <w:ind w:left="709" w:hanging="709"/>
        <w:rPr>
          <w:rFonts w:ascii="Times New Roman" w:hAnsi="Times New Roman" w:cs="Times New Roman"/>
        </w:rPr>
      </w:pPr>
      <w:r w:rsidRPr="000A2E75">
        <w:rPr>
          <w:rFonts w:ascii="Times New Roman" w:hAnsi="Times New Roman" w:cs="Times New Roman"/>
        </w:rPr>
        <w:t xml:space="preserve">Englert, C. S, (1990). Unraveling the mysteries of writing through strategy instruction. In T, E. Scruggs &amp; B, Y. L. Wong (Eds.), </w:t>
      </w:r>
      <w:r w:rsidRPr="000A2E75">
        <w:rPr>
          <w:rFonts w:ascii="Times New Roman" w:hAnsi="Times New Roman" w:cs="Times New Roman"/>
          <w:i/>
        </w:rPr>
        <w:t xml:space="preserve">Intervention research in learning disabilities </w:t>
      </w:r>
      <w:r w:rsidRPr="000A2E75">
        <w:rPr>
          <w:rFonts w:ascii="Times New Roman" w:hAnsi="Times New Roman" w:cs="Times New Roman"/>
        </w:rPr>
        <w:t>(pp. 186-223), New York: Springer-Verlag.</w:t>
      </w:r>
    </w:p>
    <w:p w14:paraId="43385299" w14:textId="77777777" w:rsidR="00E839E1" w:rsidRPr="000A2E75" w:rsidRDefault="00E839E1" w:rsidP="00E839E1">
      <w:pPr>
        <w:autoSpaceDE w:val="0"/>
        <w:autoSpaceDN w:val="0"/>
        <w:adjustRightInd w:val="0"/>
        <w:ind w:left="709" w:hanging="709"/>
        <w:rPr>
          <w:rFonts w:ascii="Times New Roman" w:hAnsi="Times New Roman" w:cs="Times New Roman"/>
        </w:rPr>
      </w:pPr>
      <w:r w:rsidRPr="000A2E75">
        <w:rPr>
          <w:rFonts w:ascii="Times New Roman" w:hAnsi="Times New Roman" w:cs="Times New Roman"/>
        </w:rPr>
        <w:t xml:space="preserve">Englert, C. S. (2009) Connecting the dots in a research program to develop, ımplement, and evaluate strategic literacy ınterventions for struggling readers and writers. </w:t>
      </w:r>
      <w:r w:rsidRPr="000A2E75">
        <w:rPr>
          <w:rFonts w:ascii="Times New Roman" w:hAnsi="Times New Roman" w:cs="Times New Roman"/>
          <w:i/>
        </w:rPr>
        <w:t>Learning Disabilities Research &amp; Practice,</w:t>
      </w:r>
      <w:r w:rsidRPr="000A2E75">
        <w:rPr>
          <w:rFonts w:ascii="Times New Roman" w:hAnsi="Times New Roman" w:cs="Times New Roman"/>
        </w:rPr>
        <w:t xml:space="preserve"> </w:t>
      </w:r>
      <w:r w:rsidRPr="000A2E75">
        <w:rPr>
          <w:rFonts w:ascii="Times New Roman" w:hAnsi="Times New Roman" w:cs="Times New Roman"/>
          <w:i/>
          <w:iCs/>
        </w:rPr>
        <w:t>24</w:t>
      </w:r>
      <w:r w:rsidRPr="000A2E75">
        <w:rPr>
          <w:rFonts w:ascii="Times New Roman" w:hAnsi="Times New Roman" w:cs="Times New Roman"/>
        </w:rPr>
        <w:t>(2), 104–120.</w:t>
      </w:r>
    </w:p>
    <w:p w14:paraId="62C57F83" w14:textId="77777777" w:rsidR="00E839E1" w:rsidRPr="000A2E75" w:rsidRDefault="00E839E1" w:rsidP="00E839E1">
      <w:pPr>
        <w:autoSpaceDE w:val="0"/>
        <w:autoSpaceDN w:val="0"/>
        <w:adjustRightInd w:val="0"/>
        <w:ind w:left="709" w:hanging="709"/>
        <w:rPr>
          <w:rFonts w:ascii="Times New Roman" w:hAnsi="Times New Roman" w:cs="Times New Roman"/>
        </w:rPr>
      </w:pPr>
      <w:r w:rsidRPr="000A2E75">
        <w:rPr>
          <w:rFonts w:ascii="Times New Roman" w:eastAsia="TimesNewRomanPSMT" w:hAnsi="Times New Roman" w:cs="Times New Roman"/>
        </w:rPr>
        <w:t>Englert, C. S., &amp; Raphael, T. E. (1988). Constructing well-formed prose: Process, structure and</w:t>
      </w:r>
      <w:r w:rsidRPr="000A2E75">
        <w:rPr>
          <w:rFonts w:ascii="Times New Roman" w:hAnsi="Times New Roman" w:cs="Times New Roman"/>
        </w:rPr>
        <w:t xml:space="preserve"> </w:t>
      </w:r>
      <w:r w:rsidRPr="000A2E75">
        <w:rPr>
          <w:rFonts w:ascii="Times New Roman" w:eastAsia="TimesNewRomanPSMT" w:hAnsi="Times New Roman" w:cs="Times New Roman"/>
        </w:rPr>
        <w:t xml:space="preserve">metacognitive knowledge. </w:t>
      </w:r>
      <w:r w:rsidRPr="000A2E75">
        <w:rPr>
          <w:rFonts w:ascii="Times New Roman" w:eastAsia="TimesNewRomanPSMT" w:hAnsi="Times New Roman" w:cs="Times New Roman"/>
          <w:i/>
          <w:iCs/>
        </w:rPr>
        <w:t xml:space="preserve">Exceptional Children, 54, </w:t>
      </w:r>
      <w:r w:rsidRPr="000A2E75">
        <w:rPr>
          <w:rFonts w:ascii="Times New Roman" w:eastAsia="TimesNewRomanPSMT" w:hAnsi="Times New Roman" w:cs="Times New Roman"/>
        </w:rPr>
        <w:t>513-520.</w:t>
      </w:r>
    </w:p>
    <w:p w14:paraId="4DB9ACD1" w14:textId="77777777" w:rsidR="00E839E1" w:rsidRPr="000A2E75" w:rsidRDefault="00E839E1" w:rsidP="00E839E1">
      <w:pPr>
        <w:autoSpaceDE w:val="0"/>
        <w:autoSpaceDN w:val="0"/>
        <w:adjustRightInd w:val="0"/>
        <w:spacing w:after="120"/>
        <w:ind w:left="709" w:hanging="709"/>
        <w:rPr>
          <w:rFonts w:ascii="Times New Roman" w:hAnsi="Times New Roman" w:cs="Times New Roman"/>
        </w:rPr>
      </w:pPr>
      <w:r w:rsidRPr="000A2E75">
        <w:rPr>
          <w:rFonts w:ascii="Times New Roman" w:hAnsi="Times New Roman" w:cs="Times New Roman"/>
        </w:rPr>
        <w:t xml:space="preserve">Englert, G. S., &amp; Mariage, T. (1991). Shared understandings: Structuring the writing experience through </w:t>
      </w:r>
      <w:r w:rsidRPr="000A2E75">
        <w:rPr>
          <w:rFonts w:ascii="Times New Roman" w:hAnsi="Times New Roman" w:cs="Times New Roman"/>
          <w:iCs/>
        </w:rPr>
        <w:t>dialogue.</w:t>
      </w:r>
      <w:r w:rsidRPr="000A2E75">
        <w:rPr>
          <w:rFonts w:ascii="Times New Roman" w:hAnsi="Times New Roman" w:cs="Times New Roman"/>
          <w:i/>
          <w:iCs/>
        </w:rPr>
        <w:t xml:space="preserve"> Journal of Learning Disabilities, </w:t>
      </w:r>
      <w:r w:rsidRPr="000A2E75">
        <w:rPr>
          <w:rFonts w:ascii="Times New Roman" w:hAnsi="Times New Roman" w:cs="Times New Roman"/>
          <w:bCs/>
          <w:i/>
          <w:iCs/>
        </w:rPr>
        <w:t>24,</w:t>
      </w:r>
      <w:r w:rsidRPr="000A2E75">
        <w:rPr>
          <w:rFonts w:ascii="Times New Roman" w:hAnsi="Times New Roman" w:cs="Times New Roman"/>
          <w:b/>
          <w:bCs/>
          <w:i/>
          <w:iCs/>
        </w:rPr>
        <w:t xml:space="preserve"> </w:t>
      </w:r>
      <w:r w:rsidRPr="000A2E75">
        <w:rPr>
          <w:rFonts w:ascii="Times New Roman" w:hAnsi="Times New Roman" w:cs="Times New Roman"/>
        </w:rPr>
        <w:t>330-342.</w:t>
      </w:r>
    </w:p>
    <w:p w14:paraId="67279ACD" w14:textId="77777777" w:rsidR="00E839E1" w:rsidRPr="000A2E75" w:rsidRDefault="00E839E1" w:rsidP="00E839E1">
      <w:pPr>
        <w:autoSpaceDE w:val="0"/>
        <w:autoSpaceDN w:val="0"/>
        <w:adjustRightInd w:val="0"/>
        <w:spacing w:after="120"/>
        <w:ind w:left="709" w:hanging="709"/>
        <w:rPr>
          <w:rFonts w:ascii="Times New Roman" w:hAnsi="Times New Roman" w:cs="Times New Roman"/>
        </w:rPr>
      </w:pPr>
      <w:r w:rsidRPr="000A2E75">
        <w:rPr>
          <w:rFonts w:ascii="Times New Roman" w:hAnsi="Times New Roman" w:cs="Times New Roman"/>
        </w:rPr>
        <w:t xml:space="preserve">Ertmer, P. A., &amp; Newby, T. J. (1996). The expert learner: Strategic, self-regulated and reflective. </w:t>
      </w:r>
      <w:r w:rsidRPr="000A2E75">
        <w:rPr>
          <w:rFonts w:ascii="Times New Roman" w:hAnsi="Times New Roman" w:cs="Times New Roman"/>
          <w:i/>
          <w:iCs/>
        </w:rPr>
        <w:t>Instructional Science, 24</w:t>
      </w:r>
      <w:r w:rsidRPr="000A2E75">
        <w:rPr>
          <w:rFonts w:ascii="Times New Roman" w:hAnsi="Times New Roman" w:cs="Times New Roman"/>
        </w:rPr>
        <w:t>, 1-24.</w:t>
      </w:r>
    </w:p>
    <w:p w14:paraId="756A923F" w14:textId="77777777" w:rsidR="00E839E1" w:rsidRPr="000A2E75" w:rsidRDefault="00E839E1" w:rsidP="00E839E1">
      <w:pPr>
        <w:autoSpaceDE w:val="0"/>
        <w:autoSpaceDN w:val="0"/>
        <w:adjustRightInd w:val="0"/>
        <w:spacing w:after="120"/>
        <w:ind w:left="709" w:hanging="709"/>
        <w:rPr>
          <w:rFonts w:ascii="Times New Roman" w:hAnsi="Times New Roman" w:cs="Times New Roman"/>
        </w:rPr>
      </w:pPr>
      <w:r w:rsidRPr="000A2E75">
        <w:rPr>
          <w:rFonts w:ascii="Times New Roman" w:hAnsi="Times New Roman" w:cs="Times New Roman"/>
        </w:rPr>
        <w:t xml:space="preserve">Flavell, J. H. (1979). Metacognition and cognitive monitoring: A new area of cognitive–developmental inquiry. </w:t>
      </w:r>
      <w:r w:rsidRPr="000A2E75">
        <w:rPr>
          <w:rStyle w:val="Vurgu"/>
          <w:rFonts w:ascii="Times New Roman" w:hAnsi="Times New Roman" w:cs="Times New Roman"/>
        </w:rPr>
        <w:t>American Psychologist, 34</w:t>
      </w:r>
      <w:r w:rsidRPr="000A2E75">
        <w:rPr>
          <w:rFonts w:ascii="Times New Roman" w:hAnsi="Times New Roman" w:cs="Times New Roman"/>
        </w:rPr>
        <w:t xml:space="preserve">(10), 906–911. </w:t>
      </w:r>
      <w:hyperlink r:id="rId380" w:tgtFrame="_blank" w:history="1">
        <w:r w:rsidRPr="000A2E75">
          <w:rPr>
            <w:rStyle w:val="Kpr"/>
            <w:rFonts w:ascii="Times New Roman" w:hAnsi="Times New Roman" w:cs="Times New Roman"/>
          </w:rPr>
          <w:t>https://doi.org/10.1037/0003-066X.34.10.906</w:t>
        </w:r>
      </w:hyperlink>
    </w:p>
    <w:p w14:paraId="14796AAF" w14:textId="77777777" w:rsidR="00E839E1" w:rsidRPr="000A2E75" w:rsidRDefault="00E839E1" w:rsidP="00E839E1">
      <w:pPr>
        <w:autoSpaceDE w:val="0"/>
        <w:autoSpaceDN w:val="0"/>
        <w:adjustRightInd w:val="0"/>
        <w:ind w:left="709" w:hanging="709"/>
        <w:rPr>
          <w:rFonts w:ascii="Times New Roman" w:hAnsi="Times New Roman" w:cs="Times New Roman"/>
        </w:rPr>
      </w:pPr>
      <w:r w:rsidRPr="000A2E75">
        <w:rPr>
          <w:rFonts w:ascii="Times New Roman" w:hAnsi="Times New Roman" w:cs="Times New Roman"/>
        </w:rPr>
        <w:t xml:space="preserve">Friend, M. (2006). </w:t>
      </w:r>
      <w:r w:rsidRPr="000A2E75">
        <w:rPr>
          <w:rFonts w:ascii="Times New Roman" w:hAnsi="Times New Roman" w:cs="Times New Roman"/>
          <w:i/>
          <w:iCs/>
        </w:rPr>
        <w:t>Special education: Contemporary perspectives for school professionals</w:t>
      </w:r>
      <w:r w:rsidRPr="000A2E75">
        <w:rPr>
          <w:rFonts w:ascii="Times New Roman" w:hAnsi="Times New Roman" w:cs="Times New Roman"/>
        </w:rPr>
        <w:t>. Boston: Pearson.</w:t>
      </w:r>
    </w:p>
    <w:p w14:paraId="10FE6F5A" w14:textId="77777777" w:rsidR="00E839E1" w:rsidRPr="000A2E75" w:rsidRDefault="00E839E1" w:rsidP="00E839E1">
      <w:pPr>
        <w:autoSpaceDE w:val="0"/>
        <w:autoSpaceDN w:val="0"/>
        <w:adjustRightInd w:val="0"/>
        <w:spacing w:after="120" w:line="247" w:lineRule="auto"/>
        <w:ind w:left="709" w:hanging="709"/>
        <w:rPr>
          <w:rFonts w:ascii="Times New Roman" w:eastAsia="TimesNewRomanPSMT" w:hAnsi="Times New Roman" w:cs="Times New Roman"/>
        </w:rPr>
      </w:pPr>
      <w:r w:rsidRPr="000A2E75">
        <w:rPr>
          <w:rFonts w:ascii="Times New Roman" w:eastAsia="TimesNewRomanPSMT" w:hAnsi="Times New Roman" w:cs="Times New Roman"/>
        </w:rPr>
        <w:t xml:space="preserve">Gersten, R., &amp; Baker, S. (2001). Teaching expressive writing to students with learning disabilities: A meta-analysis. </w:t>
      </w:r>
      <w:r w:rsidRPr="000A2E75">
        <w:rPr>
          <w:rFonts w:ascii="Times New Roman" w:eastAsia="TimesNewRomanPSMT" w:hAnsi="Times New Roman" w:cs="Times New Roman"/>
          <w:i/>
          <w:iCs/>
        </w:rPr>
        <w:t>Elementary School Journal</w:t>
      </w:r>
      <w:r w:rsidRPr="000A2E75">
        <w:rPr>
          <w:rFonts w:ascii="Times New Roman" w:eastAsia="TimesNewRomanPSMT" w:hAnsi="Times New Roman" w:cs="Times New Roman"/>
        </w:rPr>
        <w:t xml:space="preserve">, </w:t>
      </w:r>
      <w:r w:rsidRPr="000A2E75">
        <w:rPr>
          <w:rFonts w:ascii="Times New Roman" w:eastAsia="TimesNewRomanPSMT" w:hAnsi="Times New Roman" w:cs="Times New Roman"/>
          <w:i/>
          <w:iCs/>
        </w:rPr>
        <w:t>101</w:t>
      </w:r>
      <w:r w:rsidRPr="000A2E75">
        <w:rPr>
          <w:rFonts w:ascii="Times New Roman" w:eastAsia="TimesNewRomanPSMT" w:hAnsi="Times New Roman" w:cs="Times New Roman"/>
        </w:rPr>
        <w:t>, 251-272.</w:t>
      </w:r>
    </w:p>
    <w:p w14:paraId="0C0296E1" w14:textId="77777777" w:rsidR="00E839E1" w:rsidRPr="000A2E75" w:rsidRDefault="00E839E1" w:rsidP="00E839E1">
      <w:pPr>
        <w:autoSpaceDE w:val="0"/>
        <w:autoSpaceDN w:val="0"/>
        <w:adjustRightInd w:val="0"/>
        <w:spacing w:after="120" w:line="247" w:lineRule="auto"/>
        <w:ind w:left="709" w:hanging="709"/>
        <w:rPr>
          <w:rFonts w:ascii="Times New Roman" w:eastAsia="TimesNewRomanPSMT" w:hAnsi="Times New Roman" w:cs="Times New Roman"/>
        </w:rPr>
      </w:pPr>
      <w:r w:rsidRPr="000A2E75">
        <w:rPr>
          <w:rFonts w:ascii="Times New Roman" w:eastAsia="TimesNewRomanPSMT" w:hAnsi="Times New Roman" w:cs="Times New Roman"/>
        </w:rPr>
        <w:t xml:space="preserve">Gillespie, A., &amp; Graham, S. (2014). A meta analysis of writing interventions for students with learning disabilities. </w:t>
      </w:r>
      <w:r w:rsidRPr="000A2E75">
        <w:rPr>
          <w:rFonts w:ascii="Times New Roman" w:eastAsia="TimesNewRomanPSMT" w:hAnsi="Times New Roman" w:cs="Times New Roman"/>
          <w:i/>
          <w:iCs/>
        </w:rPr>
        <w:t>Exceptional Children</w:t>
      </w:r>
      <w:r w:rsidRPr="000A2E75">
        <w:rPr>
          <w:rFonts w:ascii="Times New Roman" w:eastAsia="TimesNewRomanPSMT" w:hAnsi="Times New Roman" w:cs="Times New Roman"/>
        </w:rPr>
        <w:t xml:space="preserve">, </w:t>
      </w:r>
      <w:r w:rsidRPr="000A2E75">
        <w:rPr>
          <w:rFonts w:ascii="Times New Roman" w:eastAsia="TimesNewRomanPSMT" w:hAnsi="Times New Roman" w:cs="Times New Roman"/>
          <w:i/>
          <w:iCs/>
        </w:rPr>
        <w:t>80</w:t>
      </w:r>
      <w:r w:rsidRPr="000A2E75">
        <w:rPr>
          <w:rFonts w:ascii="Times New Roman" w:eastAsia="TimesNewRomanPSMT" w:hAnsi="Times New Roman" w:cs="Times New Roman"/>
        </w:rPr>
        <w:t>, 454-473. doi:10.1177/0014402914527238</w:t>
      </w:r>
    </w:p>
    <w:p w14:paraId="5A62FEA4" w14:textId="77777777" w:rsidR="00E839E1" w:rsidRPr="000A2E75" w:rsidRDefault="00E839E1" w:rsidP="00E839E1">
      <w:pPr>
        <w:autoSpaceDE w:val="0"/>
        <w:autoSpaceDN w:val="0"/>
        <w:adjustRightInd w:val="0"/>
        <w:ind w:left="709" w:hanging="709"/>
        <w:rPr>
          <w:rFonts w:ascii="Times New Roman" w:hAnsi="Times New Roman" w:cs="Times New Roman"/>
        </w:rPr>
      </w:pPr>
      <w:r w:rsidRPr="000A2E75">
        <w:rPr>
          <w:rFonts w:ascii="Times New Roman" w:hAnsi="Times New Roman" w:cs="Times New Roman"/>
        </w:rPr>
        <w:t xml:space="preserve">Graham, S. (1997). Executive control in the revising of students with learning and writing difficulties. </w:t>
      </w:r>
      <w:r w:rsidRPr="000A2E75">
        <w:rPr>
          <w:rFonts w:ascii="Times New Roman" w:hAnsi="Times New Roman" w:cs="Times New Roman"/>
          <w:i/>
        </w:rPr>
        <w:t>Journal of Educational Psychology, 89</w:t>
      </w:r>
      <w:r w:rsidRPr="000A2E75">
        <w:rPr>
          <w:rFonts w:ascii="Times New Roman" w:hAnsi="Times New Roman" w:cs="Times New Roman"/>
        </w:rPr>
        <w:t>, 223-234.</w:t>
      </w:r>
    </w:p>
    <w:p w14:paraId="22CFCFAB" w14:textId="77777777" w:rsidR="00E839E1" w:rsidRPr="000A2E75" w:rsidRDefault="00E839E1" w:rsidP="00E839E1">
      <w:pPr>
        <w:autoSpaceDE w:val="0"/>
        <w:autoSpaceDN w:val="0"/>
        <w:adjustRightInd w:val="0"/>
        <w:ind w:left="709" w:hanging="709"/>
        <w:rPr>
          <w:rFonts w:ascii="Times New Roman" w:hAnsi="Times New Roman" w:cs="Times New Roman"/>
        </w:rPr>
      </w:pPr>
      <w:r w:rsidRPr="000A2E75">
        <w:rPr>
          <w:rFonts w:ascii="Times New Roman" w:hAnsi="Times New Roman" w:cs="Times New Roman"/>
        </w:rPr>
        <w:t xml:space="preserve">Graham, S., &amp; Harris, K.R. (2005). </w:t>
      </w:r>
      <w:r w:rsidRPr="000A2E75">
        <w:rPr>
          <w:rFonts w:ascii="Times New Roman" w:hAnsi="Times New Roman" w:cs="Times New Roman"/>
          <w:i/>
          <w:iCs/>
        </w:rPr>
        <w:t>Writing better: Teaching writing process and self-regulation to students with learning problems.</w:t>
      </w:r>
      <w:r w:rsidRPr="000A2E75">
        <w:rPr>
          <w:rFonts w:ascii="Times New Roman" w:hAnsi="Times New Roman" w:cs="Times New Roman"/>
        </w:rPr>
        <w:t xml:space="preserve"> Baltimore, MD: Brookes. </w:t>
      </w:r>
    </w:p>
    <w:p w14:paraId="195E90CA" w14:textId="77777777" w:rsidR="00E839E1" w:rsidRPr="000A2E75" w:rsidRDefault="00E839E1" w:rsidP="00E839E1">
      <w:pPr>
        <w:autoSpaceDE w:val="0"/>
        <w:autoSpaceDN w:val="0"/>
        <w:adjustRightInd w:val="0"/>
        <w:spacing w:after="120"/>
        <w:ind w:left="709" w:hanging="709"/>
        <w:rPr>
          <w:rFonts w:ascii="Times New Roman" w:hAnsi="Times New Roman" w:cs="Times New Roman"/>
        </w:rPr>
      </w:pPr>
      <w:r w:rsidRPr="000A2E75">
        <w:rPr>
          <w:rFonts w:ascii="Times New Roman" w:hAnsi="Times New Roman" w:cs="Times New Roman"/>
        </w:rPr>
        <w:t>Graham, S., Harris, K.R., &amp; Mason, L. (2005). Improving the writing performance, knowledge, and motivation of struggling young writers: The effects of self</w:t>
      </w:r>
      <w:r w:rsidRPr="000A2E75">
        <w:rPr>
          <w:rFonts w:ascii="Times New Roman" w:hAnsi="Times New Roman" w:cs="Times New Roman"/>
        </w:rPr>
        <w:noBreakHyphen/>
        <w:t xml:space="preserve">regulated strategy development. </w:t>
      </w:r>
      <w:r w:rsidRPr="000A2E75">
        <w:rPr>
          <w:rFonts w:ascii="Times New Roman" w:hAnsi="Times New Roman" w:cs="Times New Roman"/>
          <w:i/>
          <w:iCs/>
        </w:rPr>
        <w:t>Contemporary Educational Psychology, 30</w:t>
      </w:r>
      <w:r w:rsidRPr="000A2E75">
        <w:rPr>
          <w:rFonts w:ascii="Times New Roman" w:hAnsi="Times New Roman" w:cs="Times New Roman"/>
        </w:rPr>
        <w:t>, 207</w:t>
      </w:r>
      <w:r w:rsidRPr="000A2E75">
        <w:rPr>
          <w:rFonts w:ascii="Times New Roman" w:hAnsi="Times New Roman" w:cs="Times New Roman"/>
        </w:rPr>
        <w:noBreakHyphen/>
        <w:t>241.</w:t>
      </w:r>
    </w:p>
    <w:p w14:paraId="5BE55BAA" w14:textId="77777777" w:rsidR="00E839E1" w:rsidRPr="000A2E75" w:rsidRDefault="00E839E1" w:rsidP="00E839E1">
      <w:pPr>
        <w:autoSpaceDE w:val="0"/>
        <w:autoSpaceDN w:val="0"/>
        <w:adjustRightInd w:val="0"/>
        <w:spacing w:after="120"/>
        <w:ind w:left="709" w:hanging="709"/>
        <w:rPr>
          <w:rFonts w:ascii="Times New Roman" w:hAnsi="Times New Roman" w:cs="Times New Roman"/>
        </w:rPr>
      </w:pPr>
      <w:r w:rsidRPr="000A2E75">
        <w:rPr>
          <w:rStyle w:val="cls-response"/>
          <w:rFonts w:ascii="Times New Roman" w:hAnsi="Times New Roman" w:cs="Times New Roman"/>
        </w:rPr>
        <w:t xml:space="preserve">Graham S, MacArthur C. Improving Learning Disabled Students’ Skills at revising Essays Produced on a Word Processor: Self-Instructional Strategy Training. </w:t>
      </w:r>
      <w:r w:rsidRPr="000A2E75">
        <w:rPr>
          <w:rStyle w:val="cls-response"/>
          <w:rFonts w:ascii="Times New Roman" w:hAnsi="Times New Roman" w:cs="Times New Roman"/>
          <w:i/>
          <w:iCs/>
        </w:rPr>
        <w:t>The Journal of Special Education</w:t>
      </w:r>
      <w:r w:rsidRPr="000A2E75">
        <w:rPr>
          <w:rStyle w:val="cls-response"/>
          <w:rFonts w:ascii="Times New Roman" w:hAnsi="Times New Roman" w:cs="Times New Roman"/>
        </w:rPr>
        <w:t>. 1988;22(2):133-152. doi:</w:t>
      </w:r>
      <w:hyperlink r:id="rId381" w:history="1">
        <w:r w:rsidRPr="000A2E75">
          <w:rPr>
            <w:rStyle w:val="Kpr"/>
            <w:rFonts w:ascii="Times New Roman" w:hAnsi="Times New Roman" w:cs="Times New Roman"/>
          </w:rPr>
          <w:t>10.1177/002246698802200202</w:t>
        </w:r>
      </w:hyperlink>
    </w:p>
    <w:p w14:paraId="08FA7123" w14:textId="77777777" w:rsidR="00E839E1" w:rsidRPr="000A2E75" w:rsidRDefault="00E839E1" w:rsidP="00E839E1">
      <w:pPr>
        <w:autoSpaceDE w:val="0"/>
        <w:autoSpaceDN w:val="0"/>
        <w:adjustRightInd w:val="0"/>
        <w:spacing w:after="120" w:line="247" w:lineRule="auto"/>
        <w:ind w:left="709" w:hanging="709"/>
        <w:rPr>
          <w:rFonts w:ascii="Times New Roman" w:eastAsia="TimesNewRomanPSMT" w:hAnsi="Times New Roman" w:cs="Times New Roman"/>
        </w:rPr>
      </w:pPr>
      <w:r w:rsidRPr="000A2E75">
        <w:rPr>
          <w:rFonts w:ascii="Times New Roman" w:eastAsia="TimesNewRomanPSMT" w:hAnsi="Times New Roman" w:cs="Times New Roman"/>
        </w:rPr>
        <w:lastRenderedPageBreak/>
        <w:t xml:space="preserve">Graham, S., &amp; Perin, D. (2007). A meta-analysis of writing instruction for adolescent students. </w:t>
      </w:r>
      <w:r w:rsidRPr="000A2E75">
        <w:rPr>
          <w:rFonts w:ascii="Times New Roman" w:eastAsia="TimesNewRomanPSMT" w:hAnsi="Times New Roman" w:cs="Times New Roman"/>
          <w:i/>
          <w:iCs/>
        </w:rPr>
        <w:t>Journal of Educational Psychology</w:t>
      </w:r>
      <w:r w:rsidRPr="000A2E75">
        <w:rPr>
          <w:rFonts w:ascii="Times New Roman" w:eastAsia="TimesNewRomanPSMT" w:hAnsi="Times New Roman" w:cs="Times New Roman"/>
        </w:rPr>
        <w:t xml:space="preserve">, </w:t>
      </w:r>
      <w:r w:rsidRPr="000A2E75">
        <w:rPr>
          <w:rFonts w:ascii="Times New Roman" w:eastAsia="TimesNewRomanPSMT" w:hAnsi="Times New Roman" w:cs="Times New Roman"/>
          <w:i/>
          <w:iCs/>
        </w:rPr>
        <w:t>99</w:t>
      </w:r>
      <w:r w:rsidRPr="000A2E75">
        <w:rPr>
          <w:rFonts w:ascii="Times New Roman" w:eastAsia="TimesNewRomanPSMT" w:hAnsi="Times New Roman" w:cs="Times New Roman"/>
        </w:rPr>
        <w:t>, 445– 476. doi:10.1037/0022-0663.99.3.445</w:t>
      </w:r>
    </w:p>
    <w:p w14:paraId="0AD3002B" w14:textId="77777777" w:rsidR="00E839E1" w:rsidRPr="000A2E75" w:rsidRDefault="00E839E1" w:rsidP="00E839E1">
      <w:pPr>
        <w:autoSpaceDE w:val="0"/>
        <w:autoSpaceDN w:val="0"/>
        <w:adjustRightInd w:val="0"/>
        <w:spacing w:after="120"/>
        <w:ind w:left="709" w:hanging="709"/>
        <w:rPr>
          <w:rFonts w:ascii="Times New Roman" w:hAnsi="Times New Roman" w:cs="Times New Roman"/>
        </w:rPr>
      </w:pPr>
      <w:r w:rsidRPr="000A2E75">
        <w:rPr>
          <w:rFonts w:ascii="Times New Roman" w:hAnsi="Times New Roman" w:cs="Times New Roman"/>
        </w:rPr>
        <w:t xml:space="preserve">Güler Bülbül, Ö. (2016). </w:t>
      </w:r>
      <w:r w:rsidRPr="000A2E75">
        <w:rPr>
          <w:rFonts w:ascii="Times New Roman" w:hAnsi="Times New Roman" w:cs="Times New Roman"/>
          <w:i/>
        </w:rPr>
        <w:t xml:space="preserve">Zihinsel Yetersizlikten Etkilenmiş Öğrencilerin ve Yazmada Düşük Performans Gösteren Akranlarının Öykü Yazma Becerilerinde “Seç+Düzenle+Yaz ve Oku-Düzelt+Paylaş-Düzelt” Stratejisinin Etkililiği. </w:t>
      </w:r>
      <w:r w:rsidRPr="000A2E75">
        <w:rPr>
          <w:rFonts w:ascii="Times New Roman" w:hAnsi="Times New Roman" w:cs="Times New Roman"/>
        </w:rPr>
        <w:t>Yayınlanmamış doktora tezi. Gazi Üniversitesi, Ankara.</w:t>
      </w:r>
    </w:p>
    <w:p w14:paraId="5BBA2ACA" w14:textId="77777777" w:rsidR="00E839E1" w:rsidRPr="000A2E75" w:rsidRDefault="00E839E1" w:rsidP="00E839E1">
      <w:pPr>
        <w:autoSpaceDE w:val="0"/>
        <w:autoSpaceDN w:val="0"/>
        <w:adjustRightInd w:val="0"/>
        <w:spacing w:after="120" w:line="247" w:lineRule="auto"/>
        <w:ind w:left="709" w:hanging="709"/>
        <w:rPr>
          <w:rFonts w:ascii="Times New Roman" w:hAnsi="Times New Roman" w:cs="Times New Roman"/>
        </w:rPr>
      </w:pPr>
      <w:r w:rsidRPr="000A2E75">
        <w:rPr>
          <w:rFonts w:ascii="Times New Roman" w:hAnsi="Times New Roman" w:cs="Times New Roman"/>
        </w:rPr>
        <w:t>Güler Bülbül Ö., &amp; Özmen, E. R</w:t>
      </w:r>
      <w:r w:rsidRPr="000A2E75">
        <w:rPr>
          <w:rStyle w:val="authors"/>
          <w:rFonts w:ascii="Times New Roman" w:hAnsi="Times New Roman" w:cs="Times New Roman"/>
        </w:rPr>
        <w:t>.</w:t>
      </w:r>
      <w:r w:rsidRPr="000A2E75">
        <w:rPr>
          <w:rFonts w:ascii="Times New Roman" w:hAnsi="Times New Roman" w:cs="Times New Roman"/>
        </w:rPr>
        <w:t xml:space="preserve"> </w:t>
      </w:r>
      <w:r w:rsidRPr="000A2E75">
        <w:rPr>
          <w:rStyle w:val="Tarih1"/>
          <w:rFonts w:ascii="Times New Roman" w:hAnsi="Times New Roman" w:cs="Times New Roman"/>
        </w:rPr>
        <w:t>(2020).</w:t>
      </w:r>
      <w:r w:rsidRPr="000A2E75">
        <w:rPr>
          <w:rFonts w:ascii="Times New Roman" w:hAnsi="Times New Roman" w:cs="Times New Roman"/>
        </w:rPr>
        <w:t xml:space="preserve"> </w:t>
      </w:r>
      <w:r w:rsidRPr="000A2E75">
        <w:rPr>
          <w:rStyle w:val="arttitle"/>
          <w:rFonts w:ascii="Times New Roman" w:hAnsi="Times New Roman" w:cs="Times New Roman"/>
        </w:rPr>
        <w:t>Effectiveness of teaching story-writing strategy to students with intellectual disabilities and their non-disabled peers,</w:t>
      </w:r>
      <w:r w:rsidRPr="000A2E75">
        <w:rPr>
          <w:rFonts w:ascii="Times New Roman" w:hAnsi="Times New Roman" w:cs="Times New Roman"/>
        </w:rPr>
        <w:t xml:space="preserve"> </w:t>
      </w:r>
      <w:r w:rsidRPr="000A2E75">
        <w:rPr>
          <w:rStyle w:val="serialtitle"/>
          <w:rFonts w:ascii="Times New Roman" w:hAnsi="Times New Roman" w:cs="Times New Roman"/>
          <w:i/>
        </w:rPr>
        <w:t>Journal of Intellectual &amp; Developmental Disability</w:t>
      </w:r>
      <w:r w:rsidRPr="000A2E75">
        <w:rPr>
          <w:rStyle w:val="serialtitle"/>
          <w:rFonts w:ascii="Times New Roman" w:hAnsi="Times New Roman" w:cs="Times New Roman"/>
        </w:rPr>
        <w:t>,</w:t>
      </w:r>
      <w:r w:rsidRPr="000A2E75">
        <w:rPr>
          <w:rFonts w:ascii="Times New Roman" w:hAnsi="Times New Roman" w:cs="Times New Roman"/>
        </w:rPr>
        <w:t xml:space="preserve"> </w:t>
      </w:r>
      <w:r w:rsidRPr="000A2E75">
        <w:rPr>
          <w:rStyle w:val="doilink"/>
          <w:rFonts w:ascii="Times New Roman" w:hAnsi="Times New Roman" w:cs="Times New Roman"/>
        </w:rPr>
        <w:t xml:space="preserve">DOI: </w:t>
      </w:r>
      <w:hyperlink r:id="rId382" w:history="1">
        <w:r w:rsidRPr="000A2E75">
          <w:rPr>
            <w:rStyle w:val="Kpr"/>
            <w:rFonts w:ascii="Times New Roman" w:hAnsi="Times New Roman" w:cs="Times New Roman"/>
          </w:rPr>
          <w:t>10.3109/13668250.2019.1698286</w:t>
        </w:r>
      </w:hyperlink>
      <w:r w:rsidRPr="000A2E75">
        <w:rPr>
          <w:rFonts w:ascii="Times New Roman" w:hAnsi="Times New Roman" w:cs="Times New Roman"/>
        </w:rPr>
        <w:t xml:space="preserve"> </w:t>
      </w:r>
    </w:p>
    <w:p w14:paraId="100877EE" w14:textId="77777777" w:rsidR="00E839E1" w:rsidRPr="000A2E75" w:rsidRDefault="00E839E1" w:rsidP="00E839E1">
      <w:pPr>
        <w:autoSpaceDE w:val="0"/>
        <w:autoSpaceDN w:val="0"/>
        <w:adjustRightInd w:val="0"/>
        <w:ind w:left="709" w:hanging="709"/>
        <w:rPr>
          <w:rFonts w:ascii="Times New Roman" w:hAnsi="Times New Roman" w:cs="Times New Roman"/>
        </w:rPr>
      </w:pPr>
      <w:r w:rsidRPr="000A2E75">
        <w:rPr>
          <w:rFonts w:ascii="Times New Roman" w:hAnsi="Times New Roman" w:cs="Times New Roman"/>
        </w:rPr>
        <w:t>Harris, K.R., &amp; Graham, S. (1985). Improving learning disabled students’ composition skills: Self</w:t>
      </w:r>
      <w:r w:rsidRPr="000A2E75">
        <w:rPr>
          <w:rFonts w:ascii="Times New Roman" w:hAnsi="Times New Roman" w:cs="Times New Roman"/>
        </w:rPr>
        <w:noBreakHyphen/>
        <w:t xml:space="preserve">control strategy training. </w:t>
      </w:r>
      <w:r w:rsidRPr="000A2E75">
        <w:rPr>
          <w:rFonts w:ascii="Times New Roman" w:hAnsi="Times New Roman" w:cs="Times New Roman"/>
          <w:i/>
          <w:iCs/>
        </w:rPr>
        <w:t>Learning Disability Quarterly, 8</w:t>
      </w:r>
      <w:r w:rsidRPr="000A2E75">
        <w:rPr>
          <w:rFonts w:ascii="Times New Roman" w:hAnsi="Times New Roman" w:cs="Times New Roman"/>
        </w:rPr>
        <w:t>, 27</w:t>
      </w:r>
      <w:r w:rsidRPr="000A2E75">
        <w:rPr>
          <w:rFonts w:ascii="Times New Roman" w:hAnsi="Times New Roman" w:cs="Times New Roman"/>
        </w:rPr>
        <w:noBreakHyphen/>
        <w:t>36.</w:t>
      </w:r>
    </w:p>
    <w:p w14:paraId="2FED9232" w14:textId="77777777" w:rsidR="00E839E1" w:rsidRPr="000A2E75" w:rsidRDefault="00E839E1" w:rsidP="00E839E1">
      <w:pPr>
        <w:autoSpaceDE w:val="0"/>
        <w:autoSpaceDN w:val="0"/>
        <w:adjustRightInd w:val="0"/>
        <w:spacing w:after="120"/>
        <w:ind w:left="709" w:hanging="709"/>
        <w:rPr>
          <w:rFonts w:ascii="Times New Roman" w:hAnsi="Times New Roman" w:cs="Times New Roman"/>
        </w:rPr>
      </w:pPr>
      <w:r w:rsidRPr="000A2E75">
        <w:rPr>
          <w:rFonts w:ascii="Times New Roman" w:hAnsi="Times New Roman" w:cs="Times New Roman"/>
        </w:rPr>
        <w:t xml:space="preserve">Harris, K. R., &amp; Graham, S. (1992). </w:t>
      </w:r>
      <w:r w:rsidRPr="000A2E75">
        <w:rPr>
          <w:rFonts w:ascii="Times New Roman" w:hAnsi="Times New Roman" w:cs="Times New Roman"/>
          <w:i/>
        </w:rPr>
        <w:t xml:space="preserve">Helping young writers master the craft: Strategy instruction and self-regulation in the writing process. </w:t>
      </w:r>
      <w:r w:rsidRPr="000A2E75">
        <w:rPr>
          <w:rFonts w:ascii="Times New Roman" w:hAnsi="Times New Roman" w:cs="Times New Roman"/>
        </w:rPr>
        <w:t xml:space="preserve">Cambridge, MA: Brookline Books. </w:t>
      </w:r>
    </w:p>
    <w:p w14:paraId="480E4C80" w14:textId="77777777" w:rsidR="00E839E1" w:rsidRPr="000A2E75" w:rsidRDefault="00E839E1" w:rsidP="00E839E1">
      <w:pPr>
        <w:autoSpaceDE w:val="0"/>
        <w:autoSpaceDN w:val="0"/>
        <w:adjustRightInd w:val="0"/>
        <w:ind w:left="709" w:hanging="709"/>
        <w:rPr>
          <w:rFonts w:ascii="Times New Roman" w:hAnsi="Times New Roman" w:cs="Times New Roman"/>
        </w:rPr>
      </w:pPr>
      <w:r w:rsidRPr="000A2E75">
        <w:rPr>
          <w:rFonts w:ascii="Times New Roman" w:hAnsi="Times New Roman" w:cs="Times New Roman"/>
        </w:rPr>
        <w:t xml:space="preserve">Harris, K. R., &amp; Graham, S. (1996). </w:t>
      </w:r>
      <w:r w:rsidRPr="000A2E75">
        <w:rPr>
          <w:rFonts w:ascii="Times New Roman" w:hAnsi="Times New Roman" w:cs="Times New Roman"/>
          <w:i/>
        </w:rPr>
        <w:t xml:space="preserve">Making the writing process work: Strategies for composition and self-regulation. </w:t>
      </w:r>
      <w:r w:rsidRPr="000A2E75">
        <w:rPr>
          <w:rFonts w:ascii="Times New Roman" w:hAnsi="Times New Roman" w:cs="Times New Roman"/>
        </w:rPr>
        <w:t>Cambridge, MA: Brookline.</w:t>
      </w:r>
    </w:p>
    <w:p w14:paraId="67999726" w14:textId="77777777" w:rsidR="00E839E1" w:rsidRPr="000A2E75" w:rsidRDefault="00E839E1" w:rsidP="00E839E1">
      <w:pPr>
        <w:autoSpaceDE w:val="0"/>
        <w:autoSpaceDN w:val="0"/>
        <w:adjustRightInd w:val="0"/>
        <w:ind w:left="709" w:hanging="709"/>
        <w:rPr>
          <w:rFonts w:ascii="Times New Roman" w:hAnsi="Times New Roman" w:cs="Times New Roman"/>
        </w:rPr>
      </w:pPr>
      <w:r w:rsidRPr="000A2E75">
        <w:rPr>
          <w:rFonts w:ascii="Times New Roman" w:hAnsi="Times New Roman" w:cs="Times New Roman"/>
        </w:rPr>
        <w:t xml:space="preserve">Harris, K. R., Graham, S., &amp; Mason, L. (2003). Self-regulated strategy development in the classroom: Part of a balanced approach to writing instruction for students with disabilities. </w:t>
      </w:r>
      <w:r w:rsidRPr="000A2E75">
        <w:rPr>
          <w:rFonts w:ascii="Times New Roman" w:hAnsi="Times New Roman" w:cs="Times New Roman"/>
          <w:i/>
          <w:iCs/>
        </w:rPr>
        <w:t>Focus on Exceptional Children,</w:t>
      </w:r>
      <w:r w:rsidRPr="000A2E75">
        <w:rPr>
          <w:rFonts w:ascii="Times New Roman" w:hAnsi="Times New Roman" w:cs="Times New Roman"/>
        </w:rPr>
        <w:t xml:space="preserve"> </w:t>
      </w:r>
      <w:r w:rsidRPr="000A2E75">
        <w:rPr>
          <w:rFonts w:ascii="Times New Roman" w:hAnsi="Times New Roman" w:cs="Times New Roman"/>
          <w:i/>
          <w:iCs/>
        </w:rPr>
        <w:t>35</w:t>
      </w:r>
      <w:r w:rsidRPr="000A2E75">
        <w:rPr>
          <w:rFonts w:ascii="Times New Roman" w:hAnsi="Times New Roman" w:cs="Times New Roman"/>
        </w:rPr>
        <w:t>(7), 1–16.</w:t>
      </w:r>
    </w:p>
    <w:p w14:paraId="0A48860B" w14:textId="77777777" w:rsidR="00E839E1" w:rsidRPr="000A2E75" w:rsidRDefault="00E839E1" w:rsidP="00E839E1">
      <w:pPr>
        <w:autoSpaceDE w:val="0"/>
        <w:autoSpaceDN w:val="0"/>
        <w:adjustRightInd w:val="0"/>
        <w:ind w:left="709" w:hanging="709"/>
        <w:rPr>
          <w:rFonts w:ascii="Times New Roman" w:hAnsi="Times New Roman" w:cs="Times New Roman"/>
        </w:rPr>
      </w:pPr>
      <w:r w:rsidRPr="000A2E75">
        <w:rPr>
          <w:rFonts w:ascii="Times New Roman" w:hAnsi="Times New Roman" w:cs="Times New Roman"/>
        </w:rPr>
        <w:t xml:space="preserve">Harris, K. R., Santangelo, T. &amp; Graham, S. (2010). Metacognition and strategies instruction in writing. In H.S. Waters &amp; W. Schneider (Eds.), </w:t>
      </w:r>
      <w:r w:rsidRPr="000A2E75">
        <w:rPr>
          <w:rStyle w:val="Vurgu"/>
          <w:rFonts w:ascii="Times New Roman" w:hAnsi="Times New Roman" w:cs="Times New Roman"/>
        </w:rPr>
        <w:t>Metacognition, strategy use, and instruction</w:t>
      </w:r>
      <w:r w:rsidRPr="000A2E75">
        <w:rPr>
          <w:rFonts w:ascii="Times New Roman" w:hAnsi="Times New Roman" w:cs="Times New Roman"/>
        </w:rPr>
        <w:t xml:space="preserve"> (pp. 226-256). New York, NY: Guilford Press. </w:t>
      </w:r>
    </w:p>
    <w:p w14:paraId="1B4B036E" w14:textId="77777777" w:rsidR="00E839E1" w:rsidRPr="000A2E75" w:rsidRDefault="00E839E1" w:rsidP="00E839E1">
      <w:pPr>
        <w:autoSpaceDE w:val="0"/>
        <w:autoSpaceDN w:val="0"/>
        <w:adjustRightInd w:val="0"/>
        <w:ind w:left="709" w:hanging="709"/>
        <w:rPr>
          <w:rFonts w:ascii="Times New Roman" w:hAnsi="Times New Roman" w:cs="Times New Roman"/>
        </w:rPr>
      </w:pPr>
      <w:r w:rsidRPr="000A2E75">
        <w:rPr>
          <w:rFonts w:ascii="Times New Roman" w:hAnsi="Times New Roman" w:cs="Times New Roman"/>
        </w:rPr>
        <w:t xml:space="preserve">Hayes, J. R., &amp; Flower, L. (1980). Identifying the Organization of Writing Processes. In L. W. Gregg, &amp; E. R. Steinberg (Eds.), </w:t>
      </w:r>
      <w:r w:rsidRPr="000A2E75">
        <w:rPr>
          <w:rFonts w:ascii="Times New Roman" w:hAnsi="Times New Roman" w:cs="Times New Roman"/>
          <w:i/>
        </w:rPr>
        <w:t>Cognitive Processes in Writing: An Interdisciplinary Approach</w:t>
      </w:r>
      <w:r w:rsidRPr="000A2E75">
        <w:rPr>
          <w:rFonts w:ascii="Times New Roman" w:hAnsi="Times New Roman" w:cs="Times New Roman"/>
        </w:rPr>
        <w:t xml:space="preserve"> (pp. 3-30). Hillsdale, NJ: Lawrence Erlbaum.</w:t>
      </w:r>
    </w:p>
    <w:p w14:paraId="27CF459D" w14:textId="77777777" w:rsidR="00E839E1" w:rsidRPr="000A2E75" w:rsidRDefault="00E839E1" w:rsidP="00E839E1">
      <w:pPr>
        <w:autoSpaceDE w:val="0"/>
        <w:autoSpaceDN w:val="0"/>
        <w:adjustRightInd w:val="0"/>
        <w:ind w:left="709" w:hanging="709"/>
        <w:rPr>
          <w:rFonts w:ascii="Times New Roman" w:hAnsi="Times New Roman" w:cs="Times New Roman"/>
        </w:rPr>
      </w:pPr>
      <w:r w:rsidRPr="000A2E75">
        <w:rPr>
          <w:rFonts w:ascii="Times New Roman" w:hAnsi="Times New Roman" w:cs="Times New Roman"/>
        </w:rPr>
        <w:t xml:space="preserve">Hillocks, G. (1986). </w:t>
      </w:r>
      <w:r w:rsidRPr="000A2E75">
        <w:rPr>
          <w:rFonts w:ascii="Times New Roman" w:hAnsi="Times New Roman" w:cs="Times New Roman"/>
          <w:i/>
          <w:iCs/>
        </w:rPr>
        <w:t xml:space="preserve">Research on written composition: New directions for teaching. </w:t>
      </w:r>
      <w:r w:rsidRPr="000A2E75">
        <w:rPr>
          <w:rFonts w:ascii="Times New Roman" w:hAnsi="Times New Roman" w:cs="Times New Roman"/>
        </w:rPr>
        <w:t>Urbana, IL: National Council of Teachers of English.</w:t>
      </w:r>
    </w:p>
    <w:p w14:paraId="55AE69C8" w14:textId="77777777" w:rsidR="00E839E1" w:rsidRPr="000A2E75" w:rsidRDefault="00E839E1" w:rsidP="00E839E1">
      <w:pPr>
        <w:autoSpaceDE w:val="0"/>
        <w:autoSpaceDN w:val="0"/>
        <w:adjustRightInd w:val="0"/>
        <w:spacing w:after="120"/>
        <w:ind w:left="709" w:hanging="709"/>
        <w:rPr>
          <w:rFonts w:ascii="Times New Roman" w:hAnsi="Times New Roman" w:cs="Times New Roman"/>
        </w:rPr>
      </w:pPr>
      <w:r w:rsidRPr="000A2E75">
        <w:rPr>
          <w:rFonts w:ascii="Times New Roman" w:hAnsi="Times New Roman" w:cs="Times New Roman"/>
        </w:rPr>
        <w:t xml:space="preserve">Lane, K. L., Graham, S., Harris, K. R., Little, M. A., Sandmel, K., &amp; Brindle, M. (2010). Story writing: The effects of self-regulated strategy development for second-grade students with writing and behavioral difficulties. </w:t>
      </w:r>
      <w:r w:rsidRPr="000A2E75">
        <w:rPr>
          <w:rFonts w:ascii="Times New Roman" w:hAnsi="Times New Roman" w:cs="Times New Roman"/>
          <w:i/>
          <w:iCs/>
        </w:rPr>
        <w:t>Journal of Special Education, 44,</w:t>
      </w:r>
      <w:r w:rsidRPr="000A2E75">
        <w:rPr>
          <w:rFonts w:ascii="Times New Roman" w:hAnsi="Times New Roman" w:cs="Times New Roman"/>
        </w:rPr>
        <w:t xml:space="preserve"> 107 – 128.</w:t>
      </w:r>
    </w:p>
    <w:p w14:paraId="1F1CFE04" w14:textId="77777777" w:rsidR="00E839E1" w:rsidRPr="000A2E75" w:rsidRDefault="00E839E1" w:rsidP="00E839E1">
      <w:pPr>
        <w:autoSpaceDE w:val="0"/>
        <w:autoSpaceDN w:val="0"/>
        <w:adjustRightInd w:val="0"/>
        <w:spacing w:after="120"/>
        <w:ind w:left="709" w:hanging="709"/>
        <w:rPr>
          <w:rFonts w:ascii="Times New Roman" w:hAnsi="Times New Roman" w:cs="Times New Roman"/>
        </w:rPr>
      </w:pPr>
      <w:r w:rsidRPr="000A2E75">
        <w:rPr>
          <w:rFonts w:ascii="Times New Roman" w:hAnsi="Times New Roman" w:cs="Times New Roman"/>
        </w:rPr>
        <w:t xml:space="preserve">McCormick, C. B. (2003). Metacognition and Learning. In I. B. Weiner, D. K. Freedheim, W. M. Reynolds, J. A. Schinka, &amp; G. E. Miller (Eds.), </w:t>
      </w:r>
      <w:r w:rsidRPr="000A2E75">
        <w:rPr>
          <w:rFonts w:ascii="Times New Roman" w:hAnsi="Times New Roman" w:cs="Times New Roman"/>
          <w:i/>
        </w:rPr>
        <w:t>Handbook of Psychology: Educational Psychology</w:t>
      </w:r>
      <w:r w:rsidRPr="000A2E75">
        <w:rPr>
          <w:rFonts w:ascii="Times New Roman" w:hAnsi="Times New Roman" w:cs="Times New Roman"/>
        </w:rPr>
        <w:t xml:space="preserve"> (pp. 79-102). New Jersey: John Wiley &amp; Sons. http://dx.doi.org/10.1002/0471264385.wei0705 </w:t>
      </w:r>
    </w:p>
    <w:p w14:paraId="3649A98F" w14:textId="77777777" w:rsidR="00E839E1" w:rsidRPr="000A2E75" w:rsidRDefault="00E839E1" w:rsidP="00E839E1">
      <w:pPr>
        <w:autoSpaceDE w:val="0"/>
        <w:autoSpaceDN w:val="0"/>
        <w:adjustRightInd w:val="0"/>
        <w:spacing w:after="120"/>
        <w:ind w:left="709" w:hanging="709"/>
        <w:rPr>
          <w:rFonts w:ascii="Times New Roman" w:hAnsi="Times New Roman" w:cs="Times New Roman"/>
          <w:color w:val="131413"/>
        </w:rPr>
      </w:pPr>
      <w:r w:rsidRPr="000A2E75">
        <w:rPr>
          <w:rFonts w:ascii="Times New Roman" w:hAnsi="Times New Roman" w:cs="Times New Roman"/>
        </w:rPr>
        <w:t>Reid, R., &amp; Lienemann, T.O. (2006).</w:t>
      </w:r>
      <w:r w:rsidRPr="000A2E75">
        <w:rPr>
          <w:rFonts w:ascii="Times New Roman" w:hAnsi="Times New Roman" w:cs="Times New Roman"/>
          <w:color w:val="131413"/>
        </w:rPr>
        <w:t xml:space="preserve"> Strategy instruction for students with learning disabilities. New York:</w:t>
      </w:r>
      <w:r w:rsidRPr="000A2E75">
        <w:rPr>
          <w:rFonts w:ascii="Times New Roman" w:hAnsi="Times New Roman" w:cs="Times New Roman"/>
        </w:rPr>
        <w:t xml:space="preserve"> </w:t>
      </w:r>
      <w:r w:rsidRPr="000A2E75">
        <w:rPr>
          <w:rFonts w:ascii="Times New Roman" w:hAnsi="Times New Roman" w:cs="Times New Roman"/>
          <w:color w:val="131413"/>
        </w:rPr>
        <w:t>Guilford.</w:t>
      </w:r>
    </w:p>
    <w:p w14:paraId="42FA9F14" w14:textId="77777777" w:rsidR="00E839E1" w:rsidRPr="000A2E75" w:rsidRDefault="00E839E1" w:rsidP="00E839E1">
      <w:pPr>
        <w:autoSpaceDE w:val="0"/>
        <w:autoSpaceDN w:val="0"/>
        <w:adjustRightInd w:val="0"/>
        <w:spacing w:after="120"/>
        <w:ind w:left="709" w:hanging="709"/>
        <w:rPr>
          <w:rFonts w:ascii="Times New Roman" w:hAnsi="Times New Roman" w:cs="Times New Roman"/>
          <w:color w:val="131413"/>
        </w:rPr>
      </w:pPr>
      <w:r w:rsidRPr="000A2E75">
        <w:rPr>
          <w:rFonts w:ascii="Times New Roman" w:hAnsi="Times New Roman" w:cs="Times New Roman"/>
        </w:rPr>
        <w:t xml:space="preserve">Saddler, B. (2006). Increasing story-writing ability through self-regulated strategy development: Effects on young writers with learning disabilities. </w:t>
      </w:r>
      <w:r w:rsidRPr="000A2E75">
        <w:rPr>
          <w:rFonts w:ascii="Times New Roman" w:hAnsi="Times New Roman" w:cs="Times New Roman"/>
          <w:i/>
        </w:rPr>
        <w:t>Learning Disability Quarterly, 29,</w:t>
      </w:r>
      <w:r w:rsidRPr="000A2E75">
        <w:rPr>
          <w:rFonts w:ascii="Times New Roman" w:hAnsi="Times New Roman" w:cs="Times New Roman"/>
        </w:rPr>
        <w:t xml:space="preserve"> 291-305.</w:t>
      </w:r>
    </w:p>
    <w:p w14:paraId="23B58AB9" w14:textId="77777777" w:rsidR="00E839E1" w:rsidRPr="000A2E75" w:rsidRDefault="00E839E1" w:rsidP="00E839E1">
      <w:pPr>
        <w:autoSpaceDE w:val="0"/>
        <w:autoSpaceDN w:val="0"/>
        <w:adjustRightInd w:val="0"/>
        <w:ind w:left="709" w:hanging="709"/>
        <w:rPr>
          <w:rFonts w:ascii="Times New Roman" w:hAnsi="Times New Roman" w:cs="Times New Roman"/>
        </w:rPr>
      </w:pPr>
      <w:r w:rsidRPr="000A2E75">
        <w:rPr>
          <w:rFonts w:ascii="Times New Roman" w:hAnsi="Times New Roman" w:cs="Times New Roman"/>
        </w:rPr>
        <w:t xml:space="preserve">Scardamalia, M., &amp; Bereiter, C. (1986). Written composition. In M. Wittrock (Ed.), </w:t>
      </w:r>
      <w:r w:rsidRPr="000A2E75">
        <w:rPr>
          <w:rFonts w:ascii="Times New Roman" w:hAnsi="Times New Roman" w:cs="Times New Roman"/>
          <w:i/>
          <w:iCs/>
        </w:rPr>
        <w:t xml:space="preserve">Handbook of research on teaching. </w:t>
      </w:r>
      <w:r w:rsidRPr="000A2E75">
        <w:rPr>
          <w:rFonts w:ascii="Times New Roman" w:hAnsi="Times New Roman" w:cs="Times New Roman"/>
        </w:rPr>
        <w:t>(3rd ed., pp. 778—803). New York: Macmillan.</w:t>
      </w:r>
    </w:p>
    <w:p w14:paraId="0697A77D" w14:textId="77777777" w:rsidR="00E839E1" w:rsidRPr="000A2E75" w:rsidRDefault="00E839E1" w:rsidP="00E839E1">
      <w:pPr>
        <w:autoSpaceDE w:val="0"/>
        <w:autoSpaceDN w:val="0"/>
        <w:adjustRightInd w:val="0"/>
        <w:ind w:left="709" w:hanging="709"/>
        <w:rPr>
          <w:rFonts w:ascii="Times New Roman" w:hAnsi="Times New Roman" w:cs="Times New Roman"/>
        </w:rPr>
      </w:pPr>
      <w:r w:rsidRPr="000A2E75">
        <w:rPr>
          <w:rFonts w:ascii="Times New Roman" w:hAnsi="Times New Roman" w:cs="Times New Roman"/>
        </w:rPr>
        <w:t xml:space="preserve">Sherman, C. K., (2011). </w:t>
      </w:r>
      <w:r w:rsidRPr="000A2E75">
        <w:rPr>
          <w:rFonts w:ascii="Times New Roman" w:hAnsi="Times New Roman" w:cs="Times New Roman"/>
          <w:i/>
        </w:rPr>
        <w:t xml:space="preserve">The Effects of Strategy Instruction with a CDO Procedure in General Education Settings. </w:t>
      </w:r>
      <w:r w:rsidRPr="000A2E75">
        <w:rPr>
          <w:rFonts w:ascii="Times New Roman" w:hAnsi="Times New Roman" w:cs="Times New Roman"/>
        </w:rPr>
        <w:t xml:space="preserve"> </w:t>
      </w:r>
      <w:r w:rsidRPr="000A2E75">
        <w:rPr>
          <w:rStyle w:val="jlqj4b"/>
          <w:rFonts w:ascii="Times New Roman" w:hAnsi="Times New Roman" w:cs="Times New Roman"/>
          <w:lang w:val="en"/>
        </w:rPr>
        <w:t xml:space="preserve">Unpublished doctoral dissertation. University of Maryland, </w:t>
      </w:r>
      <w:r w:rsidRPr="000A2E75">
        <w:rPr>
          <w:rStyle w:val="lrzxr"/>
          <w:rFonts w:ascii="Times New Roman" w:hAnsi="Times New Roman" w:cs="Times New Roman"/>
        </w:rPr>
        <w:t xml:space="preserve">College Park, </w:t>
      </w:r>
      <w:r w:rsidRPr="000A2E75">
        <w:rPr>
          <w:rStyle w:val="jlqj4b"/>
          <w:rFonts w:ascii="Times New Roman" w:hAnsi="Times New Roman" w:cs="Times New Roman"/>
          <w:lang w:val="en"/>
        </w:rPr>
        <w:t xml:space="preserve">USA. </w:t>
      </w:r>
    </w:p>
    <w:p w14:paraId="03011671" w14:textId="77777777" w:rsidR="00E839E1" w:rsidRPr="000A2E75" w:rsidRDefault="00E839E1" w:rsidP="00E839E1">
      <w:pPr>
        <w:autoSpaceDE w:val="0"/>
        <w:autoSpaceDN w:val="0"/>
        <w:adjustRightInd w:val="0"/>
        <w:ind w:left="709" w:hanging="709"/>
        <w:rPr>
          <w:rFonts w:ascii="Times New Roman" w:hAnsi="Times New Roman" w:cs="Times New Roman"/>
        </w:rPr>
      </w:pPr>
      <w:r w:rsidRPr="000A2E75">
        <w:rPr>
          <w:rFonts w:ascii="Times New Roman" w:hAnsi="Times New Roman" w:cs="Times New Roman"/>
        </w:rPr>
        <w:lastRenderedPageBreak/>
        <w:t xml:space="preserve">Sitko, B. M. (1998). Knowing how to write: Metacognition and writing instruction. In Hacker, D. J., Dunlosky, J., &amp; Graesser, A. C. (Eds.), </w:t>
      </w:r>
      <w:r w:rsidRPr="000A2E75">
        <w:rPr>
          <w:rFonts w:ascii="Times New Roman" w:hAnsi="Times New Roman" w:cs="Times New Roman"/>
          <w:i/>
          <w:iCs/>
        </w:rPr>
        <w:t>Metacognition in educational theory and practice</w:t>
      </w:r>
      <w:r w:rsidRPr="000A2E75">
        <w:rPr>
          <w:rFonts w:ascii="Times New Roman" w:hAnsi="Times New Roman" w:cs="Times New Roman"/>
        </w:rPr>
        <w:t xml:space="preserve"> (pp. 93-116)</w:t>
      </w:r>
      <w:r w:rsidRPr="000A2E75">
        <w:rPr>
          <w:rFonts w:ascii="Times New Roman" w:hAnsi="Times New Roman" w:cs="Times New Roman"/>
          <w:i/>
          <w:iCs/>
        </w:rPr>
        <w:t xml:space="preserve">. </w:t>
      </w:r>
      <w:r w:rsidRPr="000A2E75">
        <w:rPr>
          <w:rFonts w:ascii="Times New Roman" w:hAnsi="Times New Roman" w:cs="Times New Roman"/>
        </w:rPr>
        <w:t>Hillsdale, NJ: Erlbaum.</w:t>
      </w:r>
    </w:p>
    <w:p w14:paraId="5BC6B116" w14:textId="77777777" w:rsidR="00E839E1" w:rsidRPr="000A2E75" w:rsidRDefault="00E839E1" w:rsidP="00E839E1">
      <w:pPr>
        <w:autoSpaceDE w:val="0"/>
        <w:autoSpaceDN w:val="0"/>
        <w:adjustRightInd w:val="0"/>
        <w:ind w:left="709" w:hanging="709"/>
        <w:rPr>
          <w:rFonts w:ascii="Times New Roman" w:hAnsi="Times New Roman" w:cs="Times New Roman"/>
        </w:rPr>
      </w:pPr>
      <w:r w:rsidRPr="000A2E75">
        <w:rPr>
          <w:rFonts w:ascii="Times New Roman" w:hAnsi="Times New Roman" w:cs="Times New Roman"/>
        </w:rPr>
        <w:t xml:space="preserve">Thomas, C. C., Englert, C. S., &amp; Gregg, S. (1987). An analysis of errors and strategies in the expository writing of learning disabled students. </w:t>
      </w:r>
      <w:r w:rsidRPr="000A2E75">
        <w:rPr>
          <w:rFonts w:ascii="Times New Roman" w:hAnsi="Times New Roman" w:cs="Times New Roman"/>
          <w:i/>
        </w:rPr>
        <w:t>Remedial and Special Education, 8</w:t>
      </w:r>
      <w:r w:rsidRPr="000A2E75">
        <w:rPr>
          <w:rFonts w:ascii="Times New Roman" w:hAnsi="Times New Roman" w:cs="Times New Roman"/>
        </w:rPr>
        <w:t>(1), 21-30.</w:t>
      </w:r>
    </w:p>
    <w:p w14:paraId="70847022" w14:textId="77777777" w:rsidR="00E839E1" w:rsidRPr="000A2E75" w:rsidRDefault="00E839E1" w:rsidP="00E839E1">
      <w:pPr>
        <w:autoSpaceDE w:val="0"/>
        <w:autoSpaceDN w:val="0"/>
        <w:adjustRightInd w:val="0"/>
        <w:ind w:left="709" w:hanging="709"/>
        <w:rPr>
          <w:rFonts w:ascii="Times New Roman" w:hAnsi="Times New Roman" w:cs="Times New Roman"/>
        </w:rPr>
      </w:pPr>
      <w:r w:rsidRPr="000A2E75">
        <w:rPr>
          <w:rFonts w:ascii="Times New Roman" w:hAnsi="Times New Roman" w:cs="Times New Roman"/>
        </w:rPr>
        <w:t>Wolery, M., Bailey, D. B. , &amp; Sugai, G. M. (</w:t>
      </w:r>
      <w:r w:rsidRPr="000A2E75">
        <w:rPr>
          <w:rStyle w:val="nlmyear"/>
          <w:rFonts w:ascii="Times New Roman" w:hAnsi="Times New Roman" w:cs="Times New Roman"/>
        </w:rPr>
        <w:t>1988</w:t>
      </w:r>
      <w:r w:rsidRPr="000A2E75">
        <w:rPr>
          <w:rFonts w:ascii="Times New Roman" w:hAnsi="Times New Roman" w:cs="Times New Roman"/>
        </w:rPr>
        <w:t xml:space="preserve">). Effective teaching: Principles and procedures of applied behavior analysis with exceptional students. </w:t>
      </w:r>
      <w:r w:rsidRPr="000A2E75">
        <w:rPr>
          <w:rStyle w:val="nlmpublisher-loc"/>
          <w:rFonts w:ascii="Times New Roman" w:hAnsi="Times New Roman" w:cs="Times New Roman"/>
        </w:rPr>
        <w:t>Boston</w:t>
      </w:r>
      <w:r w:rsidRPr="000A2E75">
        <w:rPr>
          <w:rFonts w:ascii="Times New Roman" w:hAnsi="Times New Roman" w:cs="Times New Roman"/>
        </w:rPr>
        <w:t xml:space="preserve">: </w:t>
      </w:r>
      <w:r w:rsidRPr="000A2E75">
        <w:rPr>
          <w:rStyle w:val="nlmpublisher-name"/>
          <w:rFonts w:ascii="Times New Roman" w:hAnsi="Times New Roman" w:cs="Times New Roman"/>
        </w:rPr>
        <w:t>Allyn &amp; Bacon</w:t>
      </w:r>
      <w:r w:rsidRPr="000A2E75">
        <w:rPr>
          <w:rFonts w:ascii="Times New Roman" w:hAnsi="Times New Roman" w:cs="Times New Roman"/>
        </w:rPr>
        <w:t>.</w:t>
      </w:r>
    </w:p>
    <w:p w14:paraId="23CEC2B6" w14:textId="77777777" w:rsidR="00E839E1" w:rsidRPr="000A2E75" w:rsidRDefault="00E839E1" w:rsidP="00E839E1">
      <w:pPr>
        <w:autoSpaceDE w:val="0"/>
        <w:autoSpaceDN w:val="0"/>
        <w:adjustRightInd w:val="0"/>
        <w:ind w:left="709" w:hanging="709"/>
        <w:rPr>
          <w:rFonts w:ascii="Times New Roman" w:hAnsi="Times New Roman" w:cs="Times New Roman"/>
        </w:rPr>
      </w:pPr>
      <w:r w:rsidRPr="000A2E75">
        <w:rPr>
          <w:rFonts w:ascii="Times New Roman" w:hAnsi="Times New Roman" w:cs="Times New Roman"/>
        </w:rPr>
        <w:t>Wong, B. (1999). Metacognition in writing. In R. Gallimore, L. P., Bernheimer, D. L., MacMillan, D. L., Speece, S. Vaughn (Ed</w:t>
      </w:r>
      <w:r w:rsidRPr="000A2E75">
        <w:rPr>
          <w:rFonts w:ascii="Times New Roman" w:hAnsi="Times New Roman" w:cs="Times New Roman"/>
          <w:i/>
        </w:rPr>
        <w:t>.), Developmental perspectives on children with high-incidence disabilities</w:t>
      </w:r>
      <w:r w:rsidRPr="000A2E75">
        <w:rPr>
          <w:rFonts w:ascii="Times New Roman" w:hAnsi="Times New Roman" w:cs="Times New Roman"/>
        </w:rPr>
        <w:t xml:space="preserve"> (pp. 183–198). Mahwah, NJ: Erlbaum.</w:t>
      </w:r>
      <w:r w:rsidRPr="000A2E75">
        <w:rPr>
          <w:rFonts w:ascii="Times New Roman" w:hAnsi="Times New Roman" w:cs="Times New Roman"/>
        </w:rPr>
        <w:br w:type="page"/>
      </w:r>
    </w:p>
    <w:p w14:paraId="4E108B6B" w14:textId="77777777" w:rsidR="00E839E1" w:rsidRPr="000A2E75" w:rsidRDefault="00E839E1" w:rsidP="00E839E1">
      <w:pPr>
        <w:pStyle w:val="Balk1"/>
        <w:rPr>
          <w:rFonts w:ascii="Times New Roman" w:hAnsi="Times New Roman" w:cs="Times New Roman"/>
          <w:b/>
          <w:color w:val="000000" w:themeColor="text1"/>
          <w:sz w:val="24"/>
          <w:szCs w:val="24"/>
        </w:rPr>
      </w:pPr>
      <w:bookmarkStart w:id="263" w:name="_Toc70612052"/>
      <w:bookmarkStart w:id="264" w:name="_Toc72754694"/>
      <w:bookmarkStart w:id="265" w:name="_Toc72755966"/>
      <w:bookmarkStart w:id="266" w:name="_Toc72961778"/>
      <w:r w:rsidRPr="000A2E75">
        <w:rPr>
          <w:rFonts w:ascii="Times New Roman" w:hAnsi="Times New Roman" w:cs="Times New Roman"/>
          <w:b/>
          <w:color w:val="000000" w:themeColor="text1"/>
          <w:sz w:val="24"/>
          <w:szCs w:val="24"/>
        </w:rPr>
        <w:lastRenderedPageBreak/>
        <w:t>COVID-19 PANDEMİSİNİN HEMŞİRELİK EĞİTİMINE ETKİLERI</w:t>
      </w:r>
      <w:bookmarkEnd w:id="263"/>
      <w:bookmarkEnd w:id="264"/>
      <w:bookmarkEnd w:id="265"/>
      <w:bookmarkEnd w:id="266"/>
    </w:p>
    <w:p w14:paraId="6BC176C3" w14:textId="77777777" w:rsidR="00E839E1" w:rsidRPr="000A2E75" w:rsidRDefault="00E839E1" w:rsidP="00E839E1">
      <w:pPr>
        <w:jc w:val="both"/>
        <w:rPr>
          <w:rFonts w:ascii="Times New Roman" w:hAnsi="Times New Roman" w:cs="Times New Roman"/>
          <w:color w:val="000000" w:themeColor="text1"/>
        </w:rPr>
      </w:pPr>
      <w:bookmarkStart w:id="267" w:name="_Toc69817031"/>
    </w:p>
    <w:p w14:paraId="77F61072" w14:textId="77777777" w:rsidR="00E839E1" w:rsidRPr="000A2E75" w:rsidRDefault="00E839E1" w:rsidP="00E839E1">
      <w:pPr>
        <w:pStyle w:val="Balk2"/>
        <w:rPr>
          <w:rFonts w:ascii="Times New Roman" w:hAnsi="Times New Roman" w:cs="Times New Roman"/>
          <w:color w:val="000000" w:themeColor="text1"/>
          <w:sz w:val="22"/>
          <w:szCs w:val="22"/>
          <w:lang w:val="tr-TR"/>
        </w:rPr>
      </w:pPr>
      <w:bookmarkStart w:id="268" w:name="_Toc70612053"/>
      <w:bookmarkStart w:id="269" w:name="_Toc72754695"/>
      <w:bookmarkStart w:id="270" w:name="_Toc72755967"/>
      <w:bookmarkStart w:id="271" w:name="_Toc72961779"/>
      <w:r w:rsidRPr="000A2E75">
        <w:rPr>
          <w:rStyle w:val="Balk2Char"/>
          <w:rFonts w:ascii="Times New Roman" w:hAnsi="Times New Roman" w:cs="Times New Roman"/>
          <w:sz w:val="22"/>
          <w:szCs w:val="22"/>
        </w:rPr>
        <w:t>Dr. Öğr.Üyesi Sevcan TOPÇU</w:t>
      </w:r>
      <w:bookmarkEnd w:id="268"/>
      <w:r w:rsidRPr="000A2E75">
        <w:rPr>
          <w:rFonts w:ascii="Times New Roman" w:hAnsi="Times New Roman" w:cs="Times New Roman"/>
          <w:color w:val="000000" w:themeColor="text1"/>
          <w:sz w:val="22"/>
          <w:szCs w:val="22"/>
          <w:lang w:val="tr-TR"/>
        </w:rPr>
        <w:t xml:space="preserve">, </w:t>
      </w:r>
      <w:r w:rsidRPr="000A2E75">
        <w:rPr>
          <w:rFonts w:ascii="Times New Roman" w:hAnsi="Times New Roman" w:cs="Times New Roman"/>
          <w:b w:val="0"/>
          <w:color w:val="000000" w:themeColor="text1"/>
          <w:sz w:val="22"/>
          <w:szCs w:val="22"/>
          <w:lang w:val="tr-TR"/>
        </w:rPr>
        <w:t>Ege Universitesi, Hemşirelik Fakültesi, Izmir, Turkiye</w:t>
      </w:r>
      <w:bookmarkEnd w:id="267"/>
      <w:bookmarkEnd w:id="269"/>
      <w:bookmarkEnd w:id="270"/>
      <w:bookmarkEnd w:id="271"/>
    </w:p>
    <w:p w14:paraId="35E1DE20" w14:textId="77777777" w:rsidR="00E839E1" w:rsidRPr="000A2E75" w:rsidRDefault="00E839E1" w:rsidP="00E839E1">
      <w:pPr>
        <w:jc w:val="both"/>
        <w:rPr>
          <w:rFonts w:ascii="Times New Roman" w:hAnsi="Times New Roman" w:cs="Times New Roman"/>
          <w:color w:val="000000" w:themeColor="text1"/>
        </w:rPr>
      </w:pPr>
      <w:r w:rsidRPr="000A2E75">
        <w:rPr>
          <w:rFonts w:ascii="Times New Roman" w:hAnsi="Times New Roman" w:cs="Times New Roman"/>
          <w:i/>
          <w:color w:val="000000" w:themeColor="text1"/>
        </w:rPr>
        <w:t xml:space="preserve">e-mail: </w:t>
      </w:r>
      <w:hyperlink r:id="rId383" w:history="1">
        <w:r w:rsidRPr="000A2E75">
          <w:rPr>
            <w:rStyle w:val="Kpr"/>
            <w:rFonts w:ascii="Times New Roman" w:hAnsi="Times New Roman" w:cs="Times New Roman"/>
          </w:rPr>
          <w:t>sevcan.topcu@ege.edu.tr</w:t>
        </w:r>
      </w:hyperlink>
      <w:r w:rsidRPr="000A2E75">
        <w:rPr>
          <w:rFonts w:ascii="Times New Roman" w:hAnsi="Times New Roman" w:cs="Times New Roman"/>
          <w:i/>
          <w:color w:val="000000" w:themeColor="text1"/>
        </w:rPr>
        <w:t xml:space="preserve"> ORCID ID: </w:t>
      </w:r>
      <w:r w:rsidRPr="000A2E75">
        <w:rPr>
          <w:rFonts w:ascii="Times New Roman" w:hAnsi="Times New Roman" w:cs="Times New Roman"/>
          <w:color w:val="000000" w:themeColor="text1"/>
        </w:rPr>
        <w:t>0000-0002-6228-1720</w:t>
      </w:r>
    </w:p>
    <w:p w14:paraId="35133D14" w14:textId="77777777" w:rsidR="00E839E1" w:rsidRPr="000A2E75" w:rsidRDefault="00E839E1" w:rsidP="00E839E1">
      <w:pPr>
        <w:jc w:val="both"/>
        <w:rPr>
          <w:rFonts w:ascii="Times New Roman" w:hAnsi="Times New Roman" w:cs="Times New Roman"/>
          <w:color w:val="000000" w:themeColor="text1"/>
        </w:rPr>
      </w:pPr>
      <w:bookmarkStart w:id="272" w:name="_Toc69817032"/>
    </w:p>
    <w:p w14:paraId="3E1AFEBC" w14:textId="77777777" w:rsidR="00E839E1" w:rsidRPr="000A2E75" w:rsidRDefault="00E839E1" w:rsidP="00E839E1">
      <w:pPr>
        <w:pStyle w:val="Balk2"/>
        <w:rPr>
          <w:rFonts w:ascii="Times New Roman" w:hAnsi="Times New Roman" w:cs="Times New Roman"/>
          <w:b w:val="0"/>
          <w:i w:val="0"/>
          <w:color w:val="000000" w:themeColor="text1"/>
          <w:sz w:val="22"/>
          <w:szCs w:val="22"/>
          <w:lang w:val="tr-TR"/>
        </w:rPr>
      </w:pPr>
      <w:bookmarkStart w:id="273" w:name="_Toc70612054"/>
      <w:bookmarkStart w:id="274" w:name="_Toc72754696"/>
      <w:bookmarkStart w:id="275" w:name="_Toc72755968"/>
      <w:bookmarkStart w:id="276" w:name="_Toc72961780"/>
      <w:r w:rsidRPr="000A2E75">
        <w:rPr>
          <w:rStyle w:val="Balk2Char"/>
          <w:rFonts w:ascii="Times New Roman" w:hAnsi="Times New Roman" w:cs="Times New Roman"/>
          <w:sz w:val="22"/>
          <w:szCs w:val="22"/>
        </w:rPr>
        <w:t>Öğr.Gör. Dr. Zuhal Emlek SERT</w:t>
      </w:r>
      <w:bookmarkEnd w:id="273"/>
      <w:r w:rsidRPr="000A2E75">
        <w:rPr>
          <w:rFonts w:ascii="Times New Roman" w:hAnsi="Times New Roman" w:cs="Times New Roman"/>
          <w:b w:val="0"/>
          <w:color w:val="000000" w:themeColor="text1"/>
          <w:sz w:val="22"/>
          <w:szCs w:val="22"/>
          <w:lang w:val="tr-TR"/>
        </w:rPr>
        <w:t>, Ege Universitesi, Hemşirelik Fakültesi, Izmir,Turkiye</w:t>
      </w:r>
      <w:bookmarkEnd w:id="274"/>
      <w:bookmarkEnd w:id="275"/>
      <w:bookmarkEnd w:id="276"/>
      <w:r w:rsidRPr="000A2E75">
        <w:rPr>
          <w:rFonts w:ascii="Times New Roman" w:hAnsi="Times New Roman" w:cs="Times New Roman"/>
          <w:b w:val="0"/>
          <w:i w:val="0"/>
          <w:color w:val="000000" w:themeColor="text1"/>
          <w:sz w:val="22"/>
          <w:szCs w:val="22"/>
          <w:lang w:val="tr-TR"/>
        </w:rPr>
        <w:t xml:space="preserve"> </w:t>
      </w:r>
    </w:p>
    <w:p w14:paraId="2CAB3D4D" w14:textId="77777777" w:rsidR="00E839E1" w:rsidRPr="000A2E75" w:rsidRDefault="00E839E1" w:rsidP="00E839E1">
      <w:pPr>
        <w:pStyle w:val="Balk2"/>
        <w:rPr>
          <w:rFonts w:ascii="Times New Roman" w:hAnsi="Times New Roman" w:cs="Times New Roman"/>
          <w:color w:val="000000" w:themeColor="text1"/>
          <w:sz w:val="22"/>
          <w:szCs w:val="22"/>
          <w:lang w:val="tr-TR"/>
        </w:rPr>
      </w:pPr>
      <w:bookmarkStart w:id="277" w:name="_Toc72754697"/>
      <w:bookmarkStart w:id="278" w:name="_Toc72755969"/>
      <w:bookmarkStart w:id="279" w:name="_Toc72961781"/>
      <w:r w:rsidRPr="000A2E75">
        <w:rPr>
          <w:rFonts w:ascii="Times New Roman" w:hAnsi="Times New Roman" w:cs="Times New Roman"/>
          <w:b w:val="0"/>
          <w:color w:val="000000" w:themeColor="text1"/>
          <w:sz w:val="22"/>
          <w:szCs w:val="22"/>
          <w:lang w:val="tr-TR"/>
        </w:rPr>
        <w:t>e-mail:</w:t>
      </w:r>
      <w:r w:rsidRPr="000A2E75">
        <w:rPr>
          <w:rFonts w:ascii="Times New Roman" w:hAnsi="Times New Roman" w:cs="Times New Roman"/>
          <w:b w:val="0"/>
          <w:i w:val="0"/>
          <w:color w:val="000000" w:themeColor="text1"/>
          <w:sz w:val="22"/>
          <w:szCs w:val="22"/>
          <w:lang w:val="tr-TR"/>
        </w:rPr>
        <w:t xml:space="preserve"> </w:t>
      </w:r>
      <w:hyperlink r:id="rId384" w:history="1">
        <w:r w:rsidRPr="000A2E75">
          <w:rPr>
            <w:rStyle w:val="Kpr"/>
            <w:rFonts w:ascii="Times New Roman" w:hAnsi="Times New Roman" w:cs="Times New Roman"/>
            <w:sz w:val="22"/>
            <w:szCs w:val="22"/>
            <w:lang w:val="tr-TR"/>
          </w:rPr>
          <w:t>zuhal.emlek.sert@ege.edu.tr</w:t>
        </w:r>
      </w:hyperlink>
      <w:r w:rsidRPr="000A2E75">
        <w:rPr>
          <w:rFonts w:ascii="Times New Roman" w:hAnsi="Times New Roman" w:cs="Times New Roman"/>
          <w:b w:val="0"/>
          <w:i w:val="0"/>
          <w:color w:val="000000" w:themeColor="text1"/>
          <w:sz w:val="22"/>
          <w:szCs w:val="22"/>
          <w:lang w:val="tr-TR"/>
        </w:rPr>
        <w:t xml:space="preserve"> </w:t>
      </w:r>
      <w:r w:rsidRPr="000A2E75">
        <w:rPr>
          <w:rFonts w:ascii="Times New Roman" w:hAnsi="Times New Roman" w:cs="Times New Roman"/>
          <w:b w:val="0"/>
          <w:color w:val="000000" w:themeColor="text1"/>
          <w:sz w:val="22"/>
          <w:szCs w:val="22"/>
          <w:lang w:val="tr-TR"/>
        </w:rPr>
        <w:t>ORCID ID</w:t>
      </w:r>
      <w:r w:rsidRPr="000A2E75">
        <w:rPr>
          <w:rFonts w:ascii="Times New Roman" w:hAnsi="Times New Roman" w:cs="Times New Roman"/>
          <w:b w:val="0"/>
          <w:i w:val="0"/>
          <w:color w:val="000000" w:themeColor="text1"/>
          <w:sz w:val="22"/>
          <w:szCs w:val="22"/>
          <w:lang w:val="tr-TR"/>
        </w:rPr>
        <w:t>:</w:t>
      </w:r>
      <w:r w:rsidRPr="000A2E75">
        <w:rPr>
          <w:rFonts w:ascii="Times New Roman" w:hAnsi="Times New Roman" w:cs="Times New Roman"/>
          <w:b w:val="0"/>
          <w:color w:val="000000" w:themeColor="text1"/>
          <w:sz w:val="22"/>
          <w:szCs w:val="22"/>
          <w:lang w:val="tr-TR"/>
        </w:rPr>
        <w:t xml:space="preserve"> 0000-0002-2809-5617</w:t>
      </w:r>
      <w:bookmarkEnd w:id="272"/>
      <w:bookmarkEnd w:id="277"/>
      <w:bookmarkEnd w:id="278"/>
      <w:bookmarkEnd w:id="279"/>
    </w:p>
    <w:p w14:paraId="60D40822" w14:textId="77777777" w:rsidR="00E839E1" w:rsidRPr="000A2E75" w:rsidRDefault="00E839E1" w:rsidP="00E839E1">
      <w:pPr>
        <w:jc w:val="center"/>
        <w:rPr>
          <w:rFonts w:ascii="Times New Roman" w:hAnsi="Times New Roman" w:cs="Times New Roman"/>
          <w:b/>
          <w:bCs/>
        </w:rPr>
      </w:pPr>
    </w:p>
    <w:p w14:paraId="4148F936" w14:textId="77777777" w:rsidR="00E839E1" w:rsidRPr="000A2E75" w:rsidRDefault="00E839E1" w:rsidP="00E839E1">
      <w:pPr>
        <w:ind w:firstLine="567"/>
        <w:rPr>
          <w:rFonts w:ascii="Times New Roman" w:hAnsi="Times New Roman" w:cs="Times New Roman"/>
          <w:b/>
          <w:bCs/>
        </w:rPr>
      </w:pPr>
      <w:r w:rsidRPr="000A2E75">
        <w:rPr>
          <w:rFonts w:ascii="Times New Roman" w:hAnsi="Times New Roman" w:cs="Times New Roman"/>
          <w:b/>
          <w:bCs/>
        </w:rPr>
        <w:t>GİRİŞ</w:t>
      </w:r>
    </w:p>
    <w:p w14:paraId="278D65EF" w14:textId="77777777" w:rsidR="00E839E1" w:rsidRPr="000A2E75" w:rsidRDefault="00E839E1" w:rsidP="00E839E1">
      <w:pPr>
        <w:spacing w:before="120" w:after="120" w:line="276" w:lineRule="auto"/>
        <w:ind w:firstLine="567"/>
        <w:jc w:val="both"/>
        <w:rPr>
          <w:rFonts w:ascii="Times New Roman" w:hAnsi="Times New Roman" w:cs="Times New Roman"/>
        </w:rPr>
      </w:pPr>
      <w:r w:rsidRPr="000A2E75">
        <w:rPr>
          <w:rFonts w:ascii="Times New Roman" w:hAnsi="Times New Roman" w:cs="Times New Roman"/>
        </w:rPr>
        <w:t>Dünyada ilk kez 2019 yılı Aralık ayında ortaya çıkan ve daha sonrasında hızla yayılarak Dünya Sağlık Örgütü tarafından Ocak 2020’de pandemi olarak ilan edilen Covid-19 hastalığı, sadece sağlık sitemini değil aynı zamanda eğitim sistemini de etkilemiştir. Ülkemizde ilk vakanın tespit edilmesinden sonra Yükseköğretim Kurulu (YÖK) Başkanlığı tarafından 16 Mart 2020 tarihinde ilk olarak eğitime ara verilmiş, sonrasında ise uzaktan eğitim imkanlarına sahip olan üniversitelerde uzaktan eğitim sürecine geçilmiştir. YÖK mezuniyet aşamasındaki öğrencilerin uygulamalı eğitimlerini sağlık birimlerinde yapabilecekleri gibi uzaktan eğitim yolu ile de tamamlayabileceklerini bildirmiştir. Hemşirelik 1., 2., ve 3., sınıf öğrencilerinin uygulamalı derslerinin uygulamaları için YÖK kararı ve Hemşirelik Fakülteleri Dekanlar Konseyi (HEMDEK) önerisine göre akademik takvim uzatılarak veya bir sonraki öğretim dönemi başında veya içerisinde klinik/saha ortamında tamamlanması planlanmıştır. Bu süreçte hemşirelik eğitimi üniversitelere göre farklılık göstermekle birlikte çoğunlukla uzaktan eğitim uygulamaları ile yürütülmüştür (Vatan ve ark., 2020).</w:t>
      </w:r>
    </w:p>
    <w:p w14:paraId="768C4914" w14:textId="77777777" w:rsidR="00E839E1" w:rsidRPr="000A2E75" w:rsidRDefault="00E839E1" w:rsidP="00E839E1">
      <w:pPr>
        <w:spacing w:before="120" w:after="120" w:line="276" w:lineRule="auto"/>
        <w:ind w:firstLine="567"/>
        <w:jc w:val="both"/>
        <w:rPr>
          <w:rFonts w:ascii="Times New Roman" w:hAnsi="Times New Roman" w:cs="Times New Roman"/>
        </w:rPr>
      </w:pPr>
      <w:r w:rsidRPr="000A2E75">
        <w:rPr>
          <w:rFonts w:ascii="Times New Roman" w:hAnsi="Times New Roman" w:cs="Times New Roman"/>
        </w:rPr>
        <w:t xml:space="preserve">Sağlık sistemi içinde en büyük mesleki grubu oluşturan hemşireler ve hemşirelik de bu pandemiden önemli ölçüde etkilenmiştir. Bu durum hemşirelik eğitiminin mevcut durumunun ve geleceğinin de sorgulanmasına yol açmıştır. Yapılandırılmış bir sağlık eğitimi ile bilişsel, duyuşsal ve psikomotor öğrenme alanlarının kullanımına dayanan hemşirelik eğitimi, Covid-19 pandemisi sırasında gereksinimi karşılayabilmek için geleneksel eğitim yöntemleri bırakmak zorunda kalmıştır  (Nashwan, Mohamed, Kelly, 2020). </w:t>
      </w:r>
    </w:p>
    <w:p w14:paraId="7EDC7A80" w14:textId="77777777" w:rsidR="00E839E1" w:rsidRPr="000A2E75" w:rsidRDefault="00E839E1" w:rsidP="00E839E1">
      <w:pPr>
        <w:spacing w:before="120" w:after="120" w:line="276" w:lineRule="auto"/>
        <w:ind w:firstLine="567"/>
        <w:jc w:val="both"/>
        <w:rPr>
          <w:rFonts w:ascii="Times New Roman" w:hAnsi="Times New Roman" w:cs="Times New Roman"/>
        </w:rPr>
      </w:pPr>
      <w:r w:rsidRPr="000A2E75">
        <w:rPr>
          <w:rFonts w:ascii="Times New Roman" w:hAnsi="Times New Roman" w:cs="Times New Roman"/>
        </w:rPr>
        <w:t xml:space="preserve">Uzaktan eğitim ve yüz-yüze eğitimin birlikte kullanıldığı çalışmalardan elde edilen deneyimler, öğrencilerin uzaktan eğitim yerine yüz-yüze eğitimi tercih ettiğini göstermektedir (Hainey, Kelly, Green, 2017). Yalnızca uzaktan öğrenmenin kullanılması yerine, uzaktan ve yüz-yüze eğitimin birlikte kullanıldığı öğrenme yaklaşımları hemşirelik öğrencilerine öğrenme süreçlerinde daha fazla motivasyon sağlamaktadır (McCutcheon, O’Halloran, Lohan, 2018). </w:t>
      </w:r>
    </w:p>
    <w:p w14:paraId="6B54729D" w14:textId="77777777" w:rsidR="00E839E1" w:rsidRPr="000A2E75" w:rsidRDefault="00E839E1" w:rsidP="00E839E1">
      <w:pPr>
        <w:spacing w:before="120" w:after="120" w:line="276" w:lineRule="auto"/>
        <w:ind w:firstLine="567"/>
        <w:jc w:val="both"/>
        <w:rPr>
          <w:rFonts w:ascii="Times New Roman" w:hAnsi="Times New Roman" w:cs="Times New Roman"/>
        </w:rPr>
      </w:pPr>
      <w:r w:rsidRPr="000A2E75">
        <w:rPr>
          <w:rFonts w:ascii="Times New Roman" w:hAnsi="Times New Roman" w:cs="Times New Roman"/>
        </w:rPr>
        <w:t>Covid-19 pandemisi sürecinde geleneksel eğitimden uzaktan öğrenmeye geçiş hemşirelik eğitimi için birçok zorluğu da beraberinde getirmiştir. Bu çalışmanın amacı Covid-19 pandemisi süresince ülkemizde hemşirelik eğitimi ile ilgili yürütülen çalışmaların incelenmesidir.</w:t>
      </w:r>
    </w:p>
    <w:p w14:paraId="79FAC2C1" w14:textId="77777777" w:rsidR="00E839E1" w:rsidRPr="000A2E75" w:rsidRDefault="00E839E1" w:rsidP="00E839E1">
      <w:pPr>
        <w:spacing w:before="120" w:after="120" w:line="276" w:lineRule="auto"/>
        <w:ind w:firstLine="567"/>
        <w:jc w:val="both"/>
        <w:rPr>
          <w:rFonts w:ascii="Times New Roman" w:hAnsi="Times New Roman" w:cs="Times New Roman"/>
          <w:b/>
        </w:rPr>
      </w:pPr>
      <w:r w:rsidRPr="000A2E75">
        <w:rPr>
          <w:rFonts w:ascii="Times New Roman" w:hAnsi="Times New Roman" w:cs="Times New Roman"/>
          <w:b/>
        </w:rPr>
        <w:t>YÖNTEM</w:t>
      </w:r>
    </w:p>
    <w:p w14:paraId="240E5E60" w14:textId="77777777" w:rsidR="00E839E1" w:rsidRPr="000A2E75" w:rsidRDefault="00E839E1" w:rsidP="00E839E1">
      <w:pPr>
        <w:spacing w:before="120" w:after="120" w:line="276" w:lineRule="auto"/>
        <w:ind w:firstLine="567"/>
        <w:jc w:val="both"/>
        <w:rPr>
          <w:rFonts w:ascii="Times New Roman" w:hAnsi="Times New Roman" w:cs="Times New Roman"/>
        </w:rPr>
      </w:pPr>
      <w:r w:rsidRPr="000A2E75">
        <w:rPr>
          <w:rFonts w:ascii="Times New Roman" w:hAnsi="Times New Roman" w:cs="Times New Roman"/>
        </w:rPr>
        <w:t xml:space="preserve">Retrospektif tanımlayıcı olarak planlanan çalışmanın evrenini Aralık-20191-Mart 2021 tarihleri arasında Covid-19 pandemisinin hemşirelik eğitimi üzerindeki etkisinin değerlendirilmesi amacı ile ülkemizde yürütülen tüm çalışmalar oluşturmaktadır. </w:t>
      </w:r>
    </w:p>
    <w:p w14:paraId="564750E1" w14:textId="77777777" w:rsidR="00E839E1" w:rsidRPr="000A2E75" w:rsidRDefault="00E839E1" w:rsidP="00E839E1">
      <w:pPr>
        <w:spacing w:before="120" w:after="120" w:line="276" w:lineRule="auto"/>
        <w:ind w:firstLine="567"/>
        <w:jc w:val="both"/>
        <w:rPr>
          <w:rFonts w:ascii="Times New Roman" w:hAnsi="Times New Roman" w:cs="Times New Roman"/>
          <w:b/>
        </w:rPr>
      </w:pPr>
      <w:r w:rsidRPr="000A2E75">
        <w:rPr>
          <w:rFonts w:ascii="Times New Roman" w:hAnsi="Times New Roman" w:cs="Times New Roman"/>
          <w:b/>
        </w:rPr>
        <w:t>Dahil Edilme ve Dışlanma Ölçütleri</w:t>
      </w:r>
    </w:p>
    <w:p w14:paraId="08F6B6F0" w14:textId="77777777" w:rsidR="00E839E1" w:rsidRPr="000A2E75" w:rsidRDefault="00E839E1" w:rsidP="00E839E1">
      <w:pPr>
        <w:spacing w:before="120" w:after="120" w:line="276" w:lineRule="auto"/>
        <w:ind w:firstLine="567"/>
        <w:jc w:val="both"/>
        <w:rPr>
          <w:rFonts w:ascii="Times New Roman" w:hAnsi="Times New Roman" w:cs="Times New Roman"/>
        </w:rPr>
      </w:pPr>
      <w:r w:rsidRPr="000A2E75">
        <w:rPr>
          <w:rFonts w:ascii="Times New Roman" w:hAnsi="Times New Roman" w:cs="Times New Roman"/>
        </w:rPr>
        <w:lastRenderedPageBreak/>
        <w:t xml:space="preserve">İncelemeye dahil etme ölçütleri; (a) Örnekleminin içindeki hemşirelik öğrencilerinin yer alması (b) Çalışmanın Covid-19 pandemisi sürecinde yürütülmüş olması (c) Hemşirelik eğitimini değerlendiriyor olması (d) Türkçe ve İngilizce olarak yayınlanmış olması ve (e) Özgün araştırma makalesi olması ve (f) Araştırmanın tam metnine ulaşılabiliyor olmasıdır.  Literatür taraması öncesi “hemşirelik eğitimi” (nursing education), “Covid-19”, pandemi (pandemic), “hemşirelik öğrencileri” (nursing students), “uzaktan eğitim” (distance learning) anahtar kelimleri belirlenmiş ve bu doğrultuda MEDLINE, CINAHL, COCHRANE, SCOPUS, EBSCOhost, PubMed, Web of Science, Türkiye Atıf Dizini, DergiPark, Google Akademik veri tabanlarında tarama yapılmıştır. Tarama sonucunda altı çalışmaya ulaşılmıştır. </w:t>
      </w:r>
    </w:p>
    <w:p w14:paraId="7BD4B794" w14:textId="77777777" w:rsidR="00E839E1" w:rsidRPr="000A2E75" w:rsidRDefault="00E839E1" w:rsidP="00E839E1">
      <w:pPr>
        <w:spacing w:before="120" w:after="120" w:line="276" w:lineRule="auto"/>
        <w:ind w:firstLine="567"/>
        <w:jc w:val="both"/>
        <w:rPr>
          <w:rFonts w:ascii="Times New Roman" w:hAnsi="Times New Roman" w:cs="Times New Roman"/>
          <w:b/>
          <w:bCs/>
        </w:rPr>
      </w:pPr>
      <w:r w:rsidRPr="000A2E75">
        <w:rPr>
          <w:rFonts w:ascii="Times New Roman" w:hAnsi="Times New Roman" w:cs="Times New Roman"/>
          <w:b/>
          <w:bCs/>
        </w:rPr>
        <w:t>Dahil Edilen Araştırmaların Özellikleri</w:t>
      </w:r>
    </w:p>
    <w:p w14:paraId="2A9390EB" w14:textId="77777777" w:rsidR="00E839E1" w:rsidRPr="000A2E75" w:rsidRDefault="00E839E1" w:rsidP="00E839E1">
      <w:pPr>
        <w:spacing w:before="120" w:after="120" w:line="276" w:lineRule="auto"/>
        <w:ind w:firstLine="567"/>
        <w:jc w:val="both"/>
        <w:rPr>
          <w:rFonts w:ascii="Times New Roman" w:hAnsi="Times New Roman" w:cs="Times New Roman"/>
        </w:rPr>
      </w:pPr>
      <w:r w:rsidRPr="000A2E75">
        <w:rPr>
          <w:rFonts w:ascii="Times New Roman" w:hAnsi="Times New Roman" w:cs="Times New Roman"/>
        </w:rPr>
        <w:t xml:space="preserve">Dahil edilen araştırmaların amacı, yöntemi, örneklemi ve veri toplama araçları Tablo 1’de verilmiştir. Bu çalışmada yer alan tüm araştırmalar tanımlayıcı çalışmalar olup, hemşirelik öğrencilerinin uzaktan öğrenme sürecine yönelik geri bildirimlerine odaklanmaktadır. </w:t>
      </w:r>
    </w:p>
    <w:p w14:paraId="7A2B4D6D" w14:textId="77777777" w:rsidR="00E839E1" w:rsidRPr="000A2E75" w:rsidRDefault="00E839E1" w:rsidP="00E839E1">
      <w:pPr>
        <w:spacing w:before="120" w:after="120" w:line="276" w:lineRule="auto"/>
        <w:jc w:val="both"/>
        <w:rPr>
          <w:rFonts w:ascii="Times New Roman" w:hAnsi="Times New Roman" w:cs="Times New Roman"/>
        </w:rPr>
      </w:pPr>
      <w:r w:rsidRPr="000A2E75">
        <w:rPr>
          <w:rFonts w:ascii="Times New Roman" w:hAnsi="Times New Roman" w:cs="Times New Roman"/>
          <w:i/>
          <w:iCs/>
        </w:rPr>
        <w:t>Tablo 1.</w:t>
      </w:r>
      <w:r w:rsidRPr="000A2E75">
        <w:rPr>
          <w:rFonts w:ascii="Times New Roman" w:hAnsi="Times New Roman" w:cs="Times New Roman"/>
        </w:rPr>
        <w:t xml:space="preserve"> İncelenen Araştırmaların Özellikleri</w:t>
      </w:r>
    </w:p>
    <w:tbl>
      <w:tblPr>
        <w:tblStyle w:val="TabloKlavuzu"/>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7"/>
        <w:gridCol w:w="1782"/>
        <w:gridCol w:w="1501"/>
        <w:gridCol w:w="1559"/>
        <w:gridCol w:w="2126"/>
      </w:tblGrid>
      <w:tr w:rsidR="00E839E1" w:rsidRPr="00E839E1" w14:paraId="01F4EC7C" w14:textId="77777777" w:rsidTr="00E839E1">
        <w:tc>
          <w:tcPr>
            <w:tcW w:w="1537" w:type="dxa"/>
            <w:tcBorders>
              <w:top w:val="single" w:sz="4" w:space="0" w:color="auto"/>
              <w:bottom w:val="single" w:sz="4" w:space="0" w:color="auto"/>
            </w:tcBorders>
          </w:tcPr>
          <w:p w14:paraId="6A46486E" w14:textId="77777777" w:rsidR="00E839E1" w:rsidRPr="00E839E1" w:rsidRDefault="00E839E1" w:rsidP="00E839E1">
            <w:pPr>
              <w:jc w:val="center"/>
              <w:rPr>
                <w:rFonts w:ascii="Times New Roman" w:hAnsi="Times New Roman" w:cs="Times New Roman"/>
                <w:sz w:val="20"/>
                <w:szCs w:val="20"/>
              </w:rPr>
            </w:pPr>
            <w:r w:rsidRPr="00E839E1">
              <w:rPr>
                <w:rFonts w:ascii="Times New Roman" w:hAnsi="Times New Roman" w:cs="Times New Roman"/>
                <w:b/>
                <w:bCs/>
                <w:sz w:val="20"/>
                <w:szCs w:val="20"/>
              </w:rPr>
              <w:t xml:space="preserve">Araştırma </w:t>
            </w:r>
          </w:p>
        </w:tc>
        <w:tc>
          <w:tcPr>
            <w:tcW w:w="1782" w:type="dxa"/>
            <w:tcBorders>
              <w:top w:val="single" w:sz="4" w:space="0" w:color="auto"/>
              <w:bottom w:val="single" w:sz="4" w:space="0" w:color="auto"/>
            </w:tcBorders>
          </w:tcPr>
          <w:p w14:paraId="25558B4A" w14:textId="77777777" w:rsidR="00E839E1" w:rsidRPr="00E839E1" w:rsidRDefault="00E839E1" w:rsidP="00E839E1">
            <w:pPr>
              <w:jc w:val="center"/>
              <w:rPr>
                <w:rFonts w:ascii="Times New Roman" w:hAnsi="Times New Roman" w:cs="Times New Roman"/>
                <w:sz w:val="20"/>
                <w:szCs w:val="20"/>
              </w:rPr>
            </w:pPr>
            <w:r w:rsidRPr="00E839E1">
              <w:rPr>
                <w:rFonts w:ascii="Times New Roman" w:hAnsi="Times New Roman" w:cs="Times New Roman"/>
                <w:b/>
                <w:bCs/>
                <w:sz w:val="20"/>
                <w:szCs w:val="20"/>
              </w:rPr>
              <w:t>Amaç</w:t>
            </w:r>
          </w:p>
        </w:tc>
        <w:tc>
          <w:tcPr>
            <w:tcW w:w="1501" w:type="dxa"/>
            <w:tcBorders>
              <w:top w:val="single" w:sz="4" w:space="0" w:color="auto"/>
              <w:bottom w:val="single" w:sz="4" w:space="0" w:color="auto"/>
            </w:tcBorders>
          </w:tcPr>
          <w:p w14:paraId="5DCD5BDD" w14:textId="77777777" w:rsidR="00E839E1" w:rsidRPr="00E839E1" w:rsidRDefault="00E839E1" w:rsidP="00E839E1">
            <w:pPr>
              <w:jc w:val="center"/>
              <w:rPr>
                <w:rFonts w:ascii="Times New Roman" w:hAnsi="Times New Roman" w:cs="Times New Roman"/>
                <w:sz w:val="20"/>
                <w:szCs w:val="20"/>
              </w:rPr>
            </w:pPr>
            <w:r w:rsidRPr="00E839E1">
              <w:rPr>
                <w:rFonts w:ascii="Times New Roman" w:hAnsi="Times New Roman" w:cs="Times New Roman"/>
                <w:b/>
                <w:bCs/>
                <w:sz w:val="20"/>
                <w:szCs w:val="20"/>
              </w:rPr>
              <w:t>Yöntem</w:t>
            </w:r>
          </w:p>
        </w:tc>
        <w:tc>
          <w:tcPr>
            <w:tcW w:w="1559" w:type="dxa"/>
            <w:tcBorders>
              <w:top w:val="single" w:sz="4" w:space="0" w:color="auto"/>
              <w:bottom w:val="single" w:sz="4" w:space="0" w:color="auto"/>
            </w:tcBorders>
          </w:tcPr>
          <w:p w14:paraId="2A4A2027" w14:textId="77777777" w:rsidR="00E839E1" w:rsidRPr="00E839E1" w:rsidRDefault="00E839E1" w:rsidP="00E839E1">
            <w:pPr>
              <w:jc w:val="center"/>
              <w:rPr>
                <w:rFonts w:ascii="Times New Roman" w:hAnsi="Times New Roman" w:cs="Times New Roman"/>
                <w:sz w:val="20"/>
                <w:szCs w:val="20"/>
              </w:rPr>
            </w:pPr>
            <w:r w:rsidRPr="00E839E1">
              <w:rPr>
                <w:rFonts w:ascii="Times New Roman" w:hAnsi="Times New Roman" w:cs="Times New Roman"/>
                <w:b/>
                <w:bCs/>
                <w:sz w:val="20"/>
                <w:szCs w:val="20"/>
              </w:rPr>
              <w:t>Örneklem</w:t>
            </w:r>
          </w:p>
        </w:tc>
        <w:tc>
          <w:tcPr>
            <w:tcW w:w="2126" w:type="dxa"/>
            <w:tcBorders>
              <w:top w:val="single" w:sz="4" w:space="0" w:color="auto"/>
              <w:bottom w:val="single" w:sz="4" w:space="0" w:color="auto"/>
            </w:tcBorders>
          </w:tcPr>
          <w:p w14:paraId="78C03D19" w14:textId="77777777" w:rsidR="00E839E1" w:rsidRPr="00E839E1" w:rsidRDefault="00E839E1" w:rsidP="00E839E1">
            <w:pPr>
              <w:jc w:val="center"/>
              <w:rPr>
                <w:rFonts w:ascii="Times New Roman" w:hAnsi="Times New Roman" w:cs="Times New Roman"/>
                <w:sz w:val="20"/>
                <w:szCs w:val="20"/>
              </w:rPr>
            </w:pPr>
            <w:r w:rsidRPr="00E839E1">
              <w:rPr>
                <w:rFonts w:ascii="Times New Roman" w:hAnsi="Times New Roman" w:cs="Times New Roman"/>
                <w:b/>
                <w:bCs/>
                <w:sz w:val="20"/>
                <w:szCs w:val="20"/>
              </w:rPr>
              <w:t>Veri Toplama Araçları</w:t>
            </w:r>
          </w:p>
        </w:tc>
      </w:tr>
      <w:tr w:rsidR="00E839E1" w:rsidRPr="00E839E1" w14:paraId="5CDA812E" w14:textId="77777777" w:rsidTr="00E839E1">
        <w:tc>
          <w:tcPr>
            <w:tcW w:w="1537" w:type="dxa"/>
            <w:tcBorders>
              <w:top w:val="single" w:sz="4" w:space="0" w:color="auto"/>
            </w:tcBorders>
          </w:tcPr>
          <w:p w14:paraId="2C210307" w14:textId="77777777" w:rsidR="00E839E1" w:rsidRPr="00E839E1" w:rsidRDefault="00E839E1" w:rsidP="00E839E1">
            <w:pPr>
              <w:rPr>
                <w:rFonts w:ascii="Times New Roman" w:hAnsi="Times New Roman" w:cs="Times New Roman"/>
                <w:sz w:val="20"/>
                <w:szCs w:val="20"/>
              </w:rPr>
            </w:pPr>
            <w:r w:rsidRPr="00E839E1">
              <w:rPr>
                <w:rFonts w:ascii="Times New Roman" w:hAnsi="Times New Roman" w:cs="Times New Roman"/>
                <w:sz w:val="20"/>
                <w:szCs w:val="20"/>
              </w:rPr>
              <w:t>Keskin ve Özer Kaya (2020)</w:t>
            </w:r>
          </w:p>
        </w:tc>
        <w:tc>
          <w:tcPr>
            <w:tcW w:w="1782" w:type="dxa"/>
            <w:tcBorders>
              <w:top w:val="single" w:sz="4" w:space="0" w:color="auto"/>
            </w:tcBorders>
          </w:tcPr>
          <w:p w14:paraId="097DDCF2" w14:textId="77777777" w:rsidR="00E839E1" w:rsidRPr="00E839E1" w:rsidRDefault="00E839E1" w:rsidP="00E839E1">
            <w:pPr>
              <w:rPr>
                <w:rFonts w:ascii="Times New Roman" w:hAnsi="Times New Roman" w:cs="Times New Roman"/>
                <w:sz w:val="20"/>
                <w:szCs w:val="20"/>
              </w:rPr>
            </w:pPr>
            <w:r w:rsidRPr="00E839E1">
              <w:rPr>
                <w:rFonts w:ascii="Times New Roman" w:hAnsi="Times New Roman" w:cs="Times New Roman"/>
                <w:sz w:val="20"/>
                <w:szCs w:val="20"/>
              </w:rPr>
              <w:t>COVID-19 pandemisi sürecinde eğitimlerine uzaktan devam eden öğrencilerin acil yapılandırılmış web tabanlı eğitim hakkındaki geri bildirimlerinin değerlendirilmesi</w:t>
            </w:r>
          </w:p>
        </w:tc>
        <w:tc>
          <w:tcPr>
            <w:tcW w:w="1501" w:type="dxa"/>
            <w:tcBorders>
              <w:top w:val="single" w:sz="4" w:space="0" w:color="auto"/>
            </w:tcBorders>
          </w:tcPr>
          <w:p w14:paraId="3C91D946" w14:textId="77777777" w:rsidR="00E839E1" w:rsidRPr="00E839E1" w:rsidRDefault="00E839E1" w:rsidP="00E839E1">
            <w:pPr>
              <w:rPr>
                <w:rFonts w:ascii="Times New Roman" w:hAnsi="Times New Roman" w:cs="Times New Roman"/>
                <w:sz w:val="20"/>
                <w:szCs w:val="20"/>
              </w:rPr>
            </w:pPr>
            <w:r w:rsidRPr="00E839E1">
              <w:rPr>
                <w:rFonts w:ascii="Times New Roman" w:hAnsi="Times New Roman" w:cs="Times New Roman"/>
                <w:sz w:val="20"/>
                <w:szCs w:val="20"/>
              </w:rPr>
              <w:t>Kesitsel araştırma</w:t>
            </w:r>
          </w:p>
        </w:tc>
        <w:tc>
          <w:tcPr>
            <w:tcW w:w="1559" w:type="dxa"/>
            <w:tcBorders>
              <w:top w:val="single" w:sz="4" w:space="0" w:color="auto"/>
            </w:tcBorders>
          </w:tcPr>
          <w:p w14:paraId="42493676" w14:textId="77777777" w:rsidR="00E839E1" w:rsidRPr="00E839E1" w:rsidRDefault="00E839E1" w:rsidP="00E839E1">
            <w:pPr>
              <w:rPr>
                <w:rFonts w:ascii="Times New Roman" w:hAnsi="Times New Roman" w:cs="Times New Roman"/>
                <w:sz w:val="20"/>
                <w:szCs w:val="20"/>
              </w:rPr>
            </w:pPr>
            <w:r w:rsidRPr="00E839E1">
              <w:rPr>
                <w:rFonts w:ascii="Times New Roman" w:hAnsi="Times New Roman" w:cs="Times New Roman"/>
                <w:sz w:val="20"/>
                <w:szCs w:val="20"/>
              </w:rPr>
              <w:t>652 üniversite öğrencisi (178’i hemşirelik öğrencisi)</w:t>
            </w:r>
          </w:p>
        </w:tc>
        <w:tc>
          <w:tcPr>
            <w:tcW w:w="2126" w:type="dxa"/>
            <w:tcBorders>
              <w:top w:val="single" w:sz="4" w:space="0" w:color="auto"/>
            </w:tcBorders>
          </w:tcPr>
          <w:p w14:paraId="0DBB1327" w14:textId="77777777" w:rsidR="00E839E1" w:rsidRPr="00E839E1" w:rsidRDefault="00E839E1" w:rsidP="00E839E1">
            <w:pPr>
              <w:rPr>
                <w:rFonts w:ascii="Times New Roman" w:hAnsi="Times New Roman" w:cs="Times New Roman"/>
                <w:sz w:val="20"/>
                <w:szCs w:val="20"/>
              </w:rPr>
            </w:pPr>
            <w:r w:rsidRPr="00E839E1">
              <w:rPr>
                <w:rFonts w:ascii="Times New Roman" w:hAnsi="Times New Roman" w:cs="Times New Roman"/>
                <w:sz w:val="20"/>
                <w:szCs w:val="20"/>
              </w:rPr>
              <w:t>Değerlendirme aracı olarak araştırmacılar tarafından oluşturulan, web tabanlı uzaktan eğitimin, öğrencilerin teorik bilgi düzeyine, genel kültür düzeyine ve mesleki uygulama becerisine katkısını değerlendiren anket formu kullanılmıştır.  Öğrencilerden, web tabanlı uzaktan eğitimin kendilerine olan katkılarını “0: hiç katkısı olmadı”, “10:çok katkısı oldu” anlamına gelen 0 ile 10 arasındaki ölçek üzerinde kendilerine uygun gelen puanlamayı işaretlemeleri istenmiştir.</w:t>
            </w:r>
          </w:p>
        </w:tc>
      </w:tr>
      <w:tr w:rsidR="00E839E1" w:rsidRPr="00E839E1" w14:paraId="0BC0E854" w14:textId="77777777" w:rsidTr="00E839E1">
        <w:tc>
          <w:tcPr>
            <w:tcW w:w="1537" w:type="dxa"/>
          </w:tcPr>
          <w:p w14:paraId="459A9C86" w14:textId="77777777" w:rsidR="00E839E1" w:rsidRPr="00E839E1" w:rsidRDefault="00E839E1" w:rsidP="00E839E1">
            <w:pPr>
              <w:rPr>
                <w:rFonts w:ascii="Times New Roman" w:hAnsi="Times New Roman" w:cs="Times New Roman"/>
                <w:sz w:val="20"/>
                <w:szCs w:val="20"/>
              </w:rPr>
            </w:pPr>
            <w:r w:rsidRPr="00E839E1">
              <w:rPr>
                <w:rFonts w:ascii="Times New Roman" w:hAnsi="Times New Roman" w:cs="Times New Roman"/>
                <w:sz w:val="20"/>
                <w:szCs w:val="20"/>
              </w:rPr>
              <w:t>Keskin Kızıltepe ve Kurtgöz (2020)</w:t>
            </w:r>
          </w:p>
        </w:tc>
        <w:tc>
          <w:tcPr>
            <w:tcW w:w="1782" w:type="dxa"/>
          </w:tcPr>
          <w:p w14:paraId="5773A036" w14:textId="77777777" w:rsidR="00E839E1" w:rsidRPr="00E839E1" w:rsidRDefault="00E839E1" w:rsidP="00E839E1">
            <w:pPr>
              <w:rPr>
                <w:rFonts w:ascii="Times New Roman" w:hAnsi="Times New Roman" w:cs="Times New Roman"/>
                <w:sz w:val="20"/>
                <w:szCs w:val="20"/>
              </w:rPr>
            </w:pPr>
            <w:r w:rsidRPr="00E839E1">
              <w:rPr>
                <w:rFonts w:ascii="Times New Roman" w:hAnsi="Times New Roman" w:cs="Times New Roman"/>
                <w:sz w:val="20"/>
                <w:szCs w:val="20"/>
              </w:rPr>
              <w:t>Hemşirelik öğrencilerinin Covid-19 pandemisi sürecinde aldıkları uzaktan eğitime yönelik tutum ve görüşlerinin belirlenmesi</w:t>
            </w:r>
          </w:p>
        </w:tc>
        <w:tc>
          <w:tcPr>
            <w:tcW w:w="1501" w:type="dxa"/>
          </w:tcPr>
          <w:p w14:paraId="09D6282A" w14:textId="77777777" w:rsidR="00E839E1" w:rsidRPr="00E839E1" w:rsidRDefault="00E839E1" w:rsidP="00E839E1">
            <w:pPr>
              <w:rPr>
                <w:rFonts w:ascii="Times New Roman" w:hAnsi="Times New Roman" w:cs="Times New Roman"/>
                <w:sz w:val="20"/>
                <w:szCs w:val="20"/>
              </w:rPr>
            </w:pPr>
            <w:r w:rsidRPr="00E839E1">
              <w:rPr>
                <w:rFonts w:ascii="Times New Roman" w:hAnsi="Times New Roman" w:cs="Times New Roman"/>
                <w:sz w:val="20"/>
                <w:szCs w:val="20"/>
              </w:rPr>
              <w:t>Tanımlayıcı çalışma</w:t>
            </w:r>
          </w:p>
        </w:tc>
        <w:tc>
          <w:tcPr>
            <w:tcW w:w="1559" w:type="dxa"/>
          </w:tcPr>
          <w:p w14:paraId="77CF7FFD" w14:textId="77777777" w:rsidR="00E839E1" w:rsidRPr="00E839E1" w:rsidRDefault="00E839E1" w:rsidP="00E839E1">
            <w:pPr>
              <w:rPr>
                <w:rFonts w:ascii="Times New Roman" w:hAnsi="Times New Roman" w:cs="Times New Roman"/>
                <w:sz w:val="20"/>
                <w:szCs w:val="20"/>
              </w:rPr>
            </w:pPr>
            <w:r w:rsidRPr="00E839E1">
              <w:rPr>
                <w:rFonts w:ascii="Times New Roman" w:hAnsi="Times New Roman" w:cs="Times New Roman"/>
                <w:sz w:val="20"/>
                <w:szCs w:val="20"/>
              </w:rPr>
              <w:t>322 hemşirelik öğrencisi</w:t>
            </w:r>
          </w:p>
        </w:tc>
        <w:tc>
          <w:tcPr>
            <w:tcW w:w="2126" w:type="dxa"/>
          </w:tcPr>
          <w:p w14:paraId="6E6DF79B" w14:textId="77777777" w:rsidR="00E839E1" w:rsidRPr="00E839E1" w:rsidRDefault="00E839E1" w:rsidP="00E839E1">
            <w:pPr>
              <w:rPr>
                <w:rFonts w:ascii="Times New Roman" w:hAnsi="Times New Roman" w:cs="Times New Roman"/>
                <w:sz w:val="20"/>
                <w:szCs w:val="20"/>
              </w:rPr>
            </w:pPr>
            <w:r w:rsidRPr="00E839E1">
              <w:rPr>
                <w:rFonts w:ascii="Times New Roman" w:hAnsi="Times New Roman" w:cs="Times New Roman"/>
                <w:sz w:val="20"/>
                <w:szCs w:val="20"/>
              </w:rPr>
              <w:t>Veri toplama aracı olarak “Bilgi Formu” ve “Uzaktan Eğitime Yönelik Tutum Ölçeği” kullanılmıştır.</w:t>
            </w:r>
          </w:p>
        </w:tc>
      </w:tr>
      <w:tr w:rsidR="00E839E1" w:rsidRPr="00E839E1" w14:paraId="72CA7610" w14:textId="77777777" w:rsidTr="00E839E1">
        <w:tc>
          <w:tcPr>
            <w:tcW w:w="1537" w:type="dxa"/>
          </w:tcPr>
          <w:p w14:paraId="029D8B1A" w14:textId="77777777" w:rsidR="00E839E1" w:rsidRPr="00E839E1" w:rsidRDefault="00E839E1" w:rsidP="00E839E1">
            <w:pPr>
              <w:rPr>
                <w:rFonts w:ascii="Times New Roman" w:hAnsi="Times New Roman" w:cs="Times New Roman"/>
                <w:sz w:val="20"/>
                <w:szCs w:val="20"/>
              </w:rPr>
            </w:pPr>
            <w:r w:rsidRPr="00E839E1">
              <w:rPr>
                <w:rFonts w:ascii="Times New Roman" w:hAnsi="Times New Roman" w:cs="Times New Roman"/>
                <w:sz w:val="20"/>
                <w:szCs w:val="20"/>
              </w:rPr>
              <w:t>Kürtüncü ve Kurt (2020)</w:t>
            </w:r>
          </w:p>
        </w:tc>
        <w:tc>
          <w:tcPr>
            <w:tcW w:w="1782" w:type="dxa"/>
          </w:tcPr>
          <w:p w14:paraId="70EE1AD7" w14:textId="77777777" w:rsidR="00E839E1" w:rsidRPr="00E839E1" w:rsidRDefault="00E839E1" w:rsidP="00E839E1">
            <w:pPr>
              <w:rPr>
                <w:rFonts w:ascii="Times New Roman" w:hAnsi="Times New Roman" w:cs="Times New Roman"/>
                <w:sz w:val="20"/>
                <w:szCs w:val="20"/>
              </w:rPr>
            </w:pPr>
            <w:r w:rsidRPr="00E839E1">
              <w:rPr>
                <w:rFonts w:ascii="Times New Roman" w:hAnsi="Times New Roman" w:cs="Times New Roman"/>
                <w:sz w:val="20"/>
                <w:szCs w:val="20"/>
              </w:rPr>
              <w:t xml:space="preserve">Covid-19 pandemi döneminde hemşirelik öğrencilerinin </w:t>
            </w:r>
            <w:r w:rsidRPr="00E839E1">
              <w:rPr>
                <w:rFonts w:ascii="Times New Roman" w:hAnsi="Times New Roman" w:cs="Times New Roman"/>
                <w:sz w:val="20"/>
                <w:szCs w:val="20"/>
              </w:rPr>
              <w:lastRenderedPageBreak/>
              <w:t>yaşadıkları sorunların belirlenmesi</w:t>
            </w:r>
          </w:p>
        </w:tc>
        <w:tc>
          <w:tcPr>
            <w:tcW w:w="1501" w:type="dxa"/>
          </w:tcPr>
          <w:p w14:paraId="7988A55D" w14:textId="77777777" w:rsidR="00E839E1" w:rsidRPr="00E839E1" w:rsidRDefault="00E839E1" w:rsidP="00E839E1">
            <w:pPr>
              <w:rPr>
                <w:rFonts w:ascii="Times New Roman" w:hAnsi="Times New Roman" w:cs="Times New Roman"/>
                <w:sz w:val="20"/>
                <w:szCs w:val="20"/>
              </w:rPr>
            </w:pPr>
            <w:r w:rsidRPr="00E839E1">
              <w:rPr>
                <w:rFonts w:ascii="Times New Roman" w:hAnsi="Times New Roman" w:cs="Times New Roman"/>
                <w:sz w:val="20"/>
                <w:szCs w:val="20"/>
              </w:rPr>
              <w:lastRenderedPageBreak/>
              <w:t>Tanımlayıcı çalışma</w:t>
            </w:r>
          </w:p>
        </w:tc>
        <w:tc>
          <w:tcPr>
            <w:tcW w:w="1559" w:type="dxa"/>
          </w:tcPr>
          <w:p w14:paraId="0A3CC9EA" w14:textId="77777777" w:rsidR="00E839E1" w:rsidRPr="00E839E1" w:rsidRDefault="00E839E1" w:rsidP="00E839E1">
            <w:pPr>
              <w:rPr>
                <w:rFonts w:ascii="Times New Roman" w:hAnsi="Times New Roman" w:cs="Times New Roman"/>
                <w:sz w:val="20"/>
                <w:szCs w:val="20"/>
              </w:rPr>
            </w:pPr>
            <w:r w:rsidRPr="00E839E1">
              <w:rPr>
                <w:rFonts w:ascii="Times New Roman" w:hAnsi="Times New Roman" w:cs="Times New Roman"/>
                <w:sz w:val="20"/>
                <w:szCs w:val="20"/>
              </w:rPr>
              <w:t>516 hemşirelik öğrencisi</w:t>
            </w:r>
          </w:p>
        </w:tc>
        <w:tc>
          <w:tcPr>
            <w:tcW w:w="2126" w:type="dxa"/>
          </w:tcPr>
          <w:p w14:paraId="591AC37D" w14:textId="77777777" w:rsidR="00E839E1" w:rsidRPr="00E839E1" w:rsidRDefault="00E839E1" w:rsidP="00E839E1">
            <w:pPr>
              <w:rPr>
                <w:rFonts w:ascii="Times New Roman" w:hAnsi="Times New Roman" w:cs="Times New Roman"/>
                <w:sz w:val="20"/>
                <w:szCs w:val="20"/>
              </w:rPr>
            </w:pPr>
            <w:r w:rsidRPr="00E839E1">
              <w:rPr>
                <w:rFonts w:ascii="Times New Roman" w:hAnsi="Times New Roman" w:cs="Times New Roman"/>
                <w:sz w:val="20"/>
                <w:szCs w:val="20"/>
              </w:rPr>
              <w:t xml:space="preserve">Veriler Covid-19 pandemisi döneminde hemşirelik öğrencilerinin eğitimle </w:t>
            </w:r>
            <w:r w:rsidRPr="00E839E1">
              <w:rPr>
                <w:rFonts w:ascii="Times New Roman" w:hAnsi="Times New Roman" w:cs="Times New Roman"/>
                <w:sz w:val="20"/>
                <w:szCs w:val="20"/>
              </w:rPr>
              <w:lastRenderedPageBreak/>
              <w:t>ilgili yaşadıkları sorunları ele alan ve bu sorunlara yönelik öğrencilerin çözüm önerilerinin sorgulandığı açık ve kapalı uçlu olmak üzere 21 sorudan oluşan bir anket formu ile toplanmıştır.</w:t>
            </w:r>
          </w:p>
        </w:tc>
      </w:tr>
      <w:tr w:rsidR="00E839E1" w:rsidRPr="00E839E1" w14:paraId="190AC61A" w14:textId="77777777" w:rsidTr="00E839E1">
        <w:tc>
          <w:tcPr>
            <w:tcW w:w="1537" w:type="dxa"/>
          </w:tcPr>
          <w:p w14:paraId="5C2033FB" w14:textId="77777777" w:rsidR="00E839E1" w:rsidRPr="00E839E1" w:rsidRDefault="00E839E1" w:rsidP="00E839E1">
            <w:pPr>
              <w:rPr>
                <w:rFonts w:ascii="Times New Roman" w:hAnsi="Times New Roman" w:cs="Times New Roman"/>
                <w:sz w:val="20"/>
                <w:szCs w:val="20"/>
              </w:rPr>
            </w:pPr>
            <w:r w:rsidRPr="00E839E1">
              <w:rPr>
                <w:rFonts w:ascii="Times New Roman" w:hAnsi="Times New Roman" w:cs="Times New Roman"/>
                <w:sz w:val="20"/>
                <w:szCs w:val="20"/>
              </w:rPr>
              <w:lastRenderedPageBreak/>
              <w:t>Özbay ve Çınar (2020)</w:t>
            </w:r>
          </w:p>
        </w:tc>
        <w:tc>
          <w:tcPr>
            <w:tcW w:w="1782" w:type="dxa"/>
          </w:tcPr>
          <w:p w14:paraId="5A76FAE0" w14:textId="77777777" w:rsidR="00E839E1" w:rsidRPr="00E839E1" w:rsidRDefault="00E839E1" w:rsidP="00E839E1">
            <w:pPr>
              <w:rPr>
                <w:rFonts w:ascii="Times New Roman" w:hAnsi="Times New Roman" w:cs="Times New Roman"/>
                <w:sz w:val="20"/>
                <w:szCs w:val="20"/>
              </w:rPr>
            </w:pPr>
            <w:r w:rsidRPr="00E839E1">
              <w:rPr>
                <w:rFonts w:ascii="Times New Roman" w:hAnsi="Times New Roman" w:cs="Times New Roman"/>
                <w:sz w:val="20"/>
                <w:szCs w:val="20"/>
              </w:rPr>
              <w:t>Hemşirelik öğrencilerinin uzaktan eğitime yönelik görüşlerini değerlendirmek</w:t>
            </w:r>
          </w:p>
        </w:tc>
        <w:tc>
          <w:tcPr>
            <w:tcW w:w="1501" w:type="dxa"/>
          </w:tcPr>
          <w:p w14:paraId="21834349" w14:textId="77777777" w:rsidR="00E839E1" w:rsidRPr="00E839E1" w:rsidRDefault="00E839E1" w:rsidP="00E839E1">
            <w:pPr>
              <w:rPr>
                <w:rFonts w:ascii="Times New Roman" w:hAnsi="Times New Roman" w:cs="Times New Roman"/>
                <w:sz w:val="20"/>
                <w:szCs w:val="20"/>
              </w:rPr>
            </w:pPr>
            <w:r w:rsidRPr="00E839E1">
              <w:rPr>
                <w:rFonts w:ascii="Times New Roman" w:hAnsi="Times New Roman" w:cs="Times New Roman"/>
                <w:sz w:val="20"/>
                <w:szCs w:val="20"/>
              </w:rPr>
              <w:t>Tanımlayıcı, kesitsel araştırma</w:t>
            </w:r>
          </w:p>
        </w:tc>
        <w:tc>
          <w:tcPr>
            <w:tcW w:w="1559" w:type="dxa"/>
          </w:tcPr>
          <w:p w14:paraId="43B90E2D" w14:textId="77777777" w:rsidR="00E839E1" w:rsidRPr="00E839E1" w:rsidRDefault="00E839E1" w:rsidP="00E839E1">
            <w:pPr>
              <w:rPr>
                <w:rFonts w:ascii="Times New Roman" w:hAnsi="Times New Roman" w:cs="Times New Roman"/>
                <w:sz w:val="20"/>
                <w:szCs w:val="20"/>
              </w:rPr>
            </w:pPr>
            <w:r w:rsidRPr="00E839E1">
              <w:rPr>
                <w:rFonts w:ascii="Times New Roman" w:hAnsi="Times New Roman" w:cs="Times New Roman"/>
                <w:sz w:val="20"/>
                <w:szCs w:val="20"/>
              </w:rPr>
              <w:t>225 hemşirelik öğrencisi</w:t>
            </w:r>
          </w:p>
        </w:tc>
        <w:tc>
          <w:tcPr>
            <w:tcW w:w="2126" w:type="dxa"/>
          </w:tcPr>
          <w:p w14:paraId="2D61B934" w14:textId="77777777" w:rsidR="00E839E1" w:rsidRPr="00E839E1" w:rsidRDefault="00E839E1" w:rsidP="00E839E1">
            <w:pPr>
              <w:rPr>
                <w:rFonts w:ascii="Times New Roman" w:hAnsi="Times New Roman" w:cs="Times New Roman"/>
                <w:sz w:val="20"/>
                <w:szCs w:val="20"/>
              </w:rPr>
            </w:pPr>
            <w:r w:rsidRPr="00E839E1">
              <w:rPr>
                <w:rFonts w:ascii="Times New Roman" w:hAnsi="Times New Roman" w:cs="Times New Roman"/>
                <w:sz w:val="20"/>
                <w:szCs w:val="20"/>
              </w:rPr>
              <w:t>Verilerin toplanması için “Kişisel Bilgi Formu”, “Uzaktan Eğitim Öğrencilerinin Uzaktan Eğitime Yönelik Görüşleri Ölçeği” ve “Uzaktan Eğitime Yönelik Tutum Ölçeği” kullanılmıştır.</w:t>
            </w:r>
          </w:p>
        </w:tc>
      </w:tr>
      <w:tr w:rsidR="00E839E1" w:rsidRPr="00E839E1" w14:paraId="19B4930B" w14:textId="77777777" w:rsidTr="00E839E1">
        <w:tc>
          <w:tcPr>
            <w:tcW w:w="1537" w:type="dxa"/>
          </w:tcPr>
          <w:p w14:paraId="4D5E8E7D" w14:textId="77777777" w:rsidR="00E839E1" w:rsidRPr="00E839E1" w:rsidRDefault="00E839E1" w:rsidP="00E839E1">
            <w:pPr>
              <w:rPr>
                <w:rFonts w:ascii="Times New Roman" w:hAnsi="Times New Roman" w:cs="Times New Roman"/>
                <w:sz w:val="20"/>
                <w:szCs w:val="20"/>
              </w:rPr>
            </w:pPr>
            <w:r w:rsidRPr="00E839E1">
              <w:rPr>
                <w:rFonts w:ascii="Times New Roman" w:hAnsi="Times New Roman" w:cs="Times New Roman"/>
                <w:sz w:val="20"/>
                <w:szCs w:val="20"/>
              </w:rPr>
              <w:t>Güven Özdemir ve Sönmez (2020)</w:t>
            </w:r>
          </w:p>
        </w:tc>
        <w:tc>
          <w:tcPr>
            <w:tcW w:w="1782" w:type="dxa"/>
          </w:tcPr>
          <w:p w14:paraId="3F8D3058" w14:textId="77777777" w:rsidR="00E839E1" w:rsidRPr="00E839E1" w:rsidRDefault="00E839E1" w:rsidP="00E839E1">
            <w:pPr>
              <w:rPr>
                <w:rFonts w:ascii="Times New Roman" w:hAnsi="Times New Roman" w:cs="Times New Roman"/>
                <w:sz w:val="20"/>
                <w:szCs w:val="20"/>
              </w:rPr>
            </w:pPr>
            <w:r w:rsidRPr="00E839E1">
              <w:rPr>
                <w:rFonts w:ascii="Times New Roman" w:hAnsi="Times New Roman" w:cs="Times New Roman"/>
                <w:sz w:val="20"/>
                <w:szCs w:val="20"/>
              </w:rPr>
              <w:t>hemşirelik öğrencilerinin teknoloji bağımlılıklarının ve e-öğrenmeye yönelik tutumlarının değerlendirilmesi</w:t>
            </w:r>
          </w:p>
        </w:tc>
        <w:tc>
          <w:tcPr>
            <w:tcW w:w="1501" w:type="dxa"/>
          </w:tcPr>
          <w:p w14:paraId="26847F21" w14:textId="77777777" w:rsidR="00E839E1" w:rsidRPr="00E839E1" w:rsidRDefault="00E839E1" w:rsidP="00E839E1">
            <w:pPr>
              <w:rPr>
                <w:rFonts w:ascii="Times New Roman" w:hAnsi="Times New Roman" w:cs="Times New Roman"/>
                <w:sz w:val="20"/>
                <w:szCs w:val="20"/>
              </w:rPr>
            </w:pPr>
            <w:r w:rsidRPr="00E839E1">
              <w:rPr>
                <w:rFonts w:ascii="Times New Roman" w:hAnsi="Times New Roman" w:cs="Times New Roman"/>
                <w:sz w:val="20"/>
                <w:szCs w:val="20"/>
              </w:rPr>
              <w:t>Kesitsel çalışma</w:t>
            </w:r>
          </w:p>
        </w:tc>
        <w:tc>
          <w:tcPr>
            <w:tcW w:w="1559" w:type="dxa"/>
          </w:tcPr>
          <w:p w14:paraId="440DE2B0" w14:textId="77777777" w:rsidR="00E839E1" w:rsidRPr="00E839E1" w:rsidRDefault="00E839E1" w:rsidP="00E839E1">
            <w:pPr>
              <w:rPr>
                <w:rFonts w:ascii="Times New Roman" w:hAnsi="Times New Roman" w:cs="Times New Roman"/>
                <w:sz w:val="20"/>
                <w:szCs w:val="20"/>
              </w:rPr>
            </w:pPr>
            <w:r w:rsidRPr="00E839E1">
              <w:rPr>
                <w:rFonts w:ascii="Times New Roman" w:hAnsi="Times New Roman" w:cs="Times New Roman"/>
                <w:sz w:val="20"/>
                <w:szCs w:val="20"/>
              </w:rPr>
              <w:t>434 hemşirelik öğrencisi</w:t>
            </w:r>
          </w:p>
        </w:tc>
        <w:tc>
          <w:tcPr>
            <w:tcW w:w="2126" w:type="dxa"/>
          </w:tcPr>
          <w:p w14:paraId="63BE61A3" w14:textId="77777777" w:rsidR="00E839E1" w:rsidRPr="00E839E1" w:rsidRDefault="00E839E1" w:rsidP="00E839E1">
            <w:pPr>
              <w:rPr>
                <w:rFonts w:ascii="Times New Roman" w:hAnsi="Times New Roman" w:cs="Times New Roman"/>
                <w:sz w:val="20"/>
                <w:szCs w:val="20"/>
              </w:rPr>
            </w:pPr>
            <w:r w:rsidRPr="00E839E1">
              <w:rPr>
                <w:rFonts w:ascii="Times New Roman" w:hAnsi="Times New Roman" w:cs="Times New Roman"/>
                <w:sz w:val="20"/>
                <w:szCs w:val="20"/>
              </w:rPr>
              <w:t>Verilerin toplanmasında “Yapılandırılmış Anket Formu”, “Teknoloji Bağımlılığı Ölçeği” ve “E-Öğrenmeye Yönelik Genel Tutum Ölçeği” kullanılarak toplanmıştır.</w:t>
            </w:r>
          </w:p>
        </w:tc>
      </w:tr>
      <w:tr w:rsidR="00E839E1" w:rsidRPr="00E839E1" w14:paraId="453E4C60" w14:textId="77777777" w:rsidTr="00E839E1">
        <w:tc>
          <w:tcPr>
            <w:tcW w:w="1537" w:type="dxa"/>
          </w:tcPr>
          <w:p w14:paraId="3F79C4E5" w14:textId="77777777" w:rsidR="00E839E1" w:rsidRPr="00E839E1" w:rsidRDefault="00E839E1" w:rsidP="00E839E1">
            <w:pPr>
              <w:rPr>
                <w:rFonts w:ascii="Times New Roman" w:hAnsi="Times New Roman" w:cs="Times New Roman"/>
                <w:sz w:val="20"/>
                <w:szCs w:val="20"/>
              </w:rPr>
            </w:pPr>
            <w:r w:rsidRPr="00E839E1">
              <w:rPr>
                <w:rFonts w:ascii="Times New Roman" w:hAnsi="Times New Roman" w:cs="Times New Roman"/>
                <w:sz w:val="20"/>
                <w:szCs w:val="20"/>
              </w:rPr>
              <w:t>Terzi, Azizoğlu &amp; Özhan (2021)</w:t>
            </w:r>
          </w:p>
        </w:tc>
        <w:tc>
          <w:tcPr>
            <w:tcW w:w="1782" w:type="dxa"/>
          </w:tcPr>
          <w:p w14:paraId="3D834C00" w14:textId="77777777" w:rsidR="00E839E1" w:rsidRPr="00E839E1" w:rsidRDefault="00E839E1" w:rsidP="00E839E1">
            <w:pPr>
              <w:rPr>
                <w:rFonts w:ascii="Times New Roman" w:hAnsi="Times New Roman" w:cs="Times New Roman"/>
                <w:sz w:val="20"/>
                <w:szCs w:val="20"/>
              </w:rPr>
            </w:pPr>
            <w:r w:rsidRPr="00E839E1">
              <w:rPr>
                <w:rFonts w:ascii="Times New Roman" w:hAnsi="Times New Roman" w:cs="Times New Roman"/>
                <w:sz w:val="20"/>
                <w:szCs w:val="20"/>
              </w:rPr>
              <w:t>Hemşirelik öğrencilerinin uzaktan eğitime yönelik tutumlarının değerlendirilmesi</w:t>
            </w:r>
          </w:p>
        </w:tc>
        <w:tc>
          <w:tcPr>
            <w:tcW w:w="1501" w:type="dxa"/>
          </w:tcPr>
          <w:p w14:paraId="7107686D" w14:textId="77777777" w:rsidR="00E839E1" w:rsidRPr="00E839E1" w:rsidRDefault="00E839E1" w:rsidP="00E839E1">
            <w:pPr>
              <w:rPr>
                <w:rFonts w:ascii="Times New Roman" w:hAnsi="Times New Roman" w:cs="Times New Roman"/>
                <w:sz w:val="20"/>
                <w:szCs w:val="20"/>
              </w:rPr>
            </w:pPr>
            <w:r w:rsidRPr="00E839E1">
              <w:rPr>
                <w:rFonts w:ascii="Times New Roman" w:hAnsi="Times New Roman" w:cs="Times New Roman"/>
                <w:sz w:val="20"/>
                <w:szCs w:val="20"/>
              </w:rPr>
              <w:t>Tanımlayıcı, kesitsel çalışma</w:t>
            </w:r>
          </w:p>
        </w:tc>
        <w:tc>
          <w:tcPr>
            <w:tcW w:w="1559" w:type="dxa"/>
          </w:tcPr>
          <w:p w14:paraId="443E01ED" w14:textId="77777777" w:rsidR="00E839E1" w:rsidRPr="00E839E1" w:rsidRDefault="00E839E1" w:rsidP="00E839E1">
            <w:pPr>
              <w:rPr>
                <w:rFonts w:ascii="Times New Roman" w:hAnsi="Times New Roman" w:cs="Times New Roman"/>
                <w:sz w:val="20"/>
                <w:szCs w:val="20"/>
              </w:rPr>
            </w:pPr>
            <w:r w:rsidRPr="00E839E1">
              <w:rPr>
                <w:rFonts w:ascii="Times New Roman" w:hAnsi="Times New Roman" w:cs="Times New Roman"/>
                <w:sz w:val="20"/>
                <w:szCs w:val="20"/>
              </w:rPr>
              <w:t>318 hemşirelik öğrencisi</w:t>
            </w:r>
          </w:p>
        </w:tc>
        <w:tc>
          <w:tcPr>
            <w:tcW w:w="2126" w:type="dxa"/>
          </w:tcPr>
          <w:p w14:paraId="19DCC355" w14:textId="77777777" w:rsidR="00E839E1" w:rsidRPr="00E839E1" w:rsidRDefault="00E839E1" w:rsidP="00E839E1">
            <w:pPr>
              <w:rPr>
                <w:rFonts w:ascii="Times New Roman" w:hAnsi="Times New Roman" w:cs="Times New Roman"/>
                <w:sz w:val="20"/>
                <w:szCs w:val="20"/>
              </w:rPr>
            </w:pPr>
            <w:r w:rsidRPr="00E839E1">
              <w:rPr>
                <w:rFonts w:ascii="Times New Roman" w:hAnsi="Times New Roman" w:cs="Times New Roman"/>
                <w:sz w:val="20"/>
                <w:szCs w:val="20"/>
              </w:rPr>
              <w:t>Verilerin toplanmasında öğrenci bilgi formu ve Uzaktan Eğitime Yönelik Tutum Ölçeği kullanılmıştır. Öğrencilerin uzaktan eğitime yönelik düşünceleri Öğrencilerin Covid-19 pandemisi ve hemşirelik eğitimi hakkındaki görüşleri için 1:Kesinlikle katılmıyorum, 2: Katılmıyorum, 3:Kararsızım, 4:Katılıyorum, 5:Kesinlikle Katılıyorum şeklinde 5’li likert tipi bir değerlendirme yapılmıştır.</w:t>
            </w:r>
          </w:p>
        </w:tc>
      </w:tr>
    </w:tbl>
    <w:p w14:paraId="0204D712" w14:textId="77777777" w:rsidR="00E839E1" w:rsidRPr="000A2E75" w:rsidRDefault="00E839E1" w:rsidP="00E839E1">
      <w:pPr>
        <w:spacing w:before="120" w:after="120" w:line="276" w:lineRule="auto"/>
        <w:jc w:val="both"/>
        <w:rPr>
          <w:rFonts w:ascii="Times New Roman" w:hAnsi="Times New Roman" w:cs="Times New Roman"/>
        </w:rPr>
      </w:pPr>
    </w:p>
    <w:p w14:paraId="0EBB7900" w14:textId="77777777" w:rsidR="00E839E1" w:rsidRPr="000A2E75" w:rsidRDefault="00E839E1" w:rsidP="00E839E1">
      <w:pPr>
        <w:spacing w:before="60" w:after="60" w:line="276" w:lineRule="auto"/>
        <w:ind w:firstLine="567"/>
        <w:rPr>
          <w:rFonts w:ascii="Times New Roman" w:hAnsi="Times New Roman" w:cs="Times New Roman"/>
          <w:b/>
        </w:rPr>
      </w:pPr>
      <w:r w:rsidRPr="000A2E75">
        <w:rPr>
          <w:rFonts w:ascii="Times New Roman" w:hAnsi="Times New Roman" w:cs="Times New Roman"/>
          <w:b/>
        </w:rPr>
        <w:t>BULGULAR</w:t>
      </w:r>
    </w:p>
    <w:p w14:paraId="491DB5F7"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rPr>
        <w:t xml:space="preserve">Çalışmaya dahil edilen araştırmaların verileri teorik eğitime yönelik bulgular ve uygulamalı eğitime yönelik bulgular başlıkları altında değerlendirilmiştir. </w:t>
      </w:r>
    </w:p>
    <w:p w14:paraId="13DAA1B8" w14:textId="77777777" w:rsidR="00E839E1" w:rsidRPr="000A2E75" w:rsidRDefault="00E839E1" w:rsidP="00E839E1">
      <w:pPr>
        <w:spacing w:line="276" w:lineRule="auto"/>
        <w:ind w:firstLine="567"/>
        <w:jc w:val="both"/>
        <w:rPr>
          <w:rFonts w:ascii="Times New Roman" w:hAnsi="Times New Roman" w:cs="Times New Roman"/>
          <w:b/>
          <w:bCs/>
        </w:rPr>
      </w:pPr>
      <w:r w:rsidRPr="000A2E75">
        <w:rPr>
          <w:rFonts w:ascii="Times New Roman" w:hAnsi="Times New Roman" w:cs="Times New Roman"/>
          <w:b/>
          <w:bCs/>
        </w:rPr>
        <w:lastRenderedPageBreak/>
        <w:t>Teorik Eğitime Yönelik Bulgular</w:t>
      </w:r>
    </w:p>
    <w:p w14:paraId="457AD347"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rPr>
        <w:t>Keskin ve Kaya (2020) tarafından yürütülen çalışmada web tabanlı uzaktan eğitimin teorik bilgi düzeyine katkısı puan ortalaması 4.07±2.42, genel kültüre katkı puan ortalaması 3.46±2.38 olarak bulunmuştur. Öğrencilerin, web tabanlı eğitimin kendi hızlarında öğrenmelerine olanak tanıdığına ancak öğrendikleri konuları çabuk unuttuklarına yönelik eğilimleri olduğu saptanmıştır.</w:t>
      </w:r>
    </w:p>
    <w:p w14:paraId="140836EB"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rPr>
        <w:t xml:space="preserve">Keskin Kızıltepe ve Kurtgöz (2020) tarafından hemşirelik öğrencilerinin Covid-19 pandemisi sürecinde aldıkları uzaktan eğitime yönelik tutum ve görüşlerinin belirlenmesi amacı ile yürütülen çalışmada öğrencilerin bu süreçteki derslerde daha çok ödev yöntemini kullandıkları (%73,0) ve teorik derslerde çevirim içi ders anlatımının (%48,8) daha etkili olduğunu ifade ettikleri saptanmıştır. </w:t>
      </w:r>
    </w:p>
    <w:p w14:paraId="1A2F8CF8"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rPr>
        <w:t xml:space="preserve">Kürtüncü &amp; Kurt (2020) tarafından Covid-19 pandemi döneminde hemşirelik öğrencilerinin yaşadıkları sorunların belirlenmesi amacı ile gerçekleştirilen çalışmada öğrencilerden elde edilen yanıtların toplamına bakıldığında, öğrencilerin çoğu teori ve uygulamada olsa tüm derslerin uzaktan eğitim ile yetersiz olacağını ifade etmiştir. Birinci ve dördüncü sınıf hemşirelik öğrencilerinin uzaktan eğitim sistemi ile derslerin verimliliği konusunda endişeli olduğu saptanmıştır. </w:t>
      </w:r>
    </w:p>
    <w:p w14:paraId="2D3FD764"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rPr>
        <w:t>Özbay &amp; Çınar (2020) tarafından hemşirelik öğrencilerinin uzaktan eğitime yönelik görüşlerini değerlendirmek amacı ile yürütülen çalışmada yer alan öğrencilerin çoğunluğunun (%79,1) daha önce uzaktan eğitimle ders alma deneyiminin olmadığı belirlenmiştir. Öğrencilerin %52,0’sinin uzaktan eğitimin internet üzerinden işbirlikçi öğrenmeye olanak sağladığını düşünmediği, %52,9’unun uzaktan eğitimin öğretmen ve öğrenci arasında hızlı geri bildirim sağladığını düşünmediği, %77,3’ünün hemşirelik lisans programının uzaktan eğitimle öğrenim görmeye uygun bir program olduğunu düşünmediği belirlenmiştir.</w:t>
      </w:r>
    </w:p>
    <w:p w14:paraId="0536F43E"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rPr>
        <w:t>Güven Özdemir ve Sönmez (2020) tarafından hemşirelik öğrencilerinin teknoloji bağımlılıklarını ve e-öğrenmeye yönelik tutumlarının değerlendirildiği çalışmada öğrencilerin %65’inin e-öğrenmenin etkili olduğunu düşünmedikleri bulunmuştur.</w:t>
      </w:r>
    </w:p>
    <w:p w14:paraId="2844AAFE"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rPr>
        <w:t>Terzi, Azizoğlu &amp; Özhan (2021) tarafından hemşirelik öğrencilerinin uzaktan eğitime yönelik tutumlarının değerlendirildiği çalışmada öğrencilerin “Uzaktan eğitim, hemşirelik eğitimi için uygun bir yöntemdir” puan ortalaması 2.38±1.29, “Uzaktan eğitim sistemi yeterlidir” puan ortalaması 2.94±1.24’dir. Hemşirelik öğrencilerinin Covid-19 salgını sırasında uzaktan eğitime karşı olumlu tutumlarının olduğu, uzaktan eğitime yönelik belirsizlik ve Covid-19’a bağlı olarak gelişen azalmış öğrenme algısının ise uzaktan eğitime yönelik negatif tutumlara yol açtığı bulunmuştur.</w:t>
      </w:r>
    </w:p>
    <w:p w14:paraId="6D609C26" w14:textId="77777777" w:rsidR="00E839E1" w:rsidRPr="000A2E75" w:rsidRDefault="00E839E1" w:rsidP="00E839E1">
      <w:pPr>
        <w:spacing w:line="276" w:lineRule="auto"/>
        <w:ind w:firstLine="567"/>
        <w:jc w:val="both"/>
        <w:rPr>
          <w:rFonts w:ascii="Times New Roman" w:hAnsi="Times New Roman" w:cs="Times New Roman"/>
          <w:b/>
          <w:bCs/>
        </w:rPr>
      </w:pPr>
      <w:r w:rsidRPr="000A2E75">
        <w:rPr>
          <w:rFonts w:ascii="Times New Roman" w:hAnsi="Times New Roman" w:cs="Times New Roman"/>
          <w:b/>
          <w:bCs/>
        </w:rPr>
        <w:t>Uygulamalı Eğitime Yönelik Bulgular</w:t>
      </w:r>
    </w:p>
    <w:p w14:paraId="2E5361C1"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rPr>
        <w:t>Keskin ve Kaya (2020) tarafından yürütülen çalışmada web tabanlı uzaktan eğitimin mesleki uygulama becerilerine katkı puan ortalaması 2.48±1.98 olarak bulunmuştur. Keskin Kızıltepe ve Kurtgöz (2020) tarafından yürütülen çalışmada hemşirelik öğrencileri uygulamalı derslerde vaka tartışmasının (%33,5) etkili olduğunu, derslerin uygulama kısımlarını kavramada ve öğrenmede güçlük yaşadıklarını (%73.6) bildirmişlerdir. Öğrencilerin büyük bir çoğunluğunun (%82,0) hemşirelik eğitiminin tamamıyla uzaktan eğitimle yapılmasını istemediği saptanmıştır. Kürtüncü &amp; Kurt (2020) tarafından yapılan çalışmada, 4.sınıf öğrencilerinin uygulamaya dayalı derslerin uzaktan verilmesinin yeterli olmadığını düşündüğü bulunmuştur. Öğrenciler, uygulama derslerini yüz yüze alamadıkları için bu dersleri farklı dönemlerde hızlandırılmış şekilde alabileceklerini belirtmiştir.</w:t>
      </w:r>
    </w:p>
    <w:p w14:paraId="4FD9FE02" w14:textId="77777777" w:rsidR="00E839E1" w:rsidRPr="000A2E75" w:rsidRDefault="00E839E1" w:rsidP="00E839E1">
      <w:pPr>
        <w:spacing w:line="276" w:lineRule="auto"/>
        <w:ind w:firstLine="567"/>
        <w:jc w:val="both"/>
        <w:rPr>
          <w:rFonts w:ascii="Times New Roman" w:hAnsi="Times New Roman" w:cs="Times New Roman"/>
        </w:rPr>
      </w:pPr>
      <w:r w:rsidRPr="000A2E75">
        <w:rPr>
          <w:rFonts w:ascii="Times New Roman" w:hAnsi="Times New Roman" w:cs="Times New Roman"/>
        </w:rPr>
        <w:t xml:space="preserve">Özbay &amp; Çınar (2020) tarafından yürütülen çalışmada öğrenciler, uzaktan eğitimin hemşirelik alanında uygulamaya dayalı yetkinlikler kazandırmada yetersiz olduğunu (%76,4) ve hemşirelik </w:t>
      </w:r>
      <w:r w:rsidRPr="000A2E75">
        <w:rPr>
          <w:rFonts w:ascii="Times New Roman" w:hAnsi="Times New Roman" w:cs="Times New Roman"/>
        </w:rPr>
        <w:lastRenderedPageBreak/>
        <w:t>alanında önemli bir yeri olan laboratuvar ve klinik uygulamalarda eksikliklere neden olabileceğini (%88,0) belirtmiştir. Öğrencilere uzaktan eğitimin dezavantajları sorulduğunda klinik uygulamanın yapılmaması (%35,5) öğrenciler tarafından en sık ifade edilen dezavantaj olmuştur. Terzi, Azizoğlu &amp; Özhan (2021) tarafından yürütülen çalışmada “Uzaktan eğitim temel hemşirelik becerilerini öğrenmek için uygundur” puan ortalaması 2.23±1.31, “Covid-19 pandemisi döneminde sanal hastanelerde temel klinik hemşirelik uygulamalarının yürütülmesi uygundur” puan ortalaması 2.64±1.45’dir. Araştırmada öğrenciler, uzaktan eğitimin hemşirelik eğitimi ve temel uygulamalı hemşirelik becerileri için uygun olmadığını, uzaktan eğitim sisteminin yeterince iyi işlemediğini ve sanal hastanelerde hemşirelik için zorunlu klinik uygulamaların yapılmasının uygun olmadığını belirtmişlerdir.</w:t>
      </w:r>
    </w:p>
    <w:p w14:paraId="78F264D8" w14:textId="77777777" w:rsidR="00E839E1" w:rsidRPr="000A2E75" w:rsidRDefault="00E839E1" w:rsidP="00E839E1">
      <w:pPr>
        <w:spacing w:before="120" w:after="120" w:line="276" w:lineRule="auto"/>
        <w:ind w:firstLine="567"/>
        <w:rPr>
          <w:rFonts w:ascii="Times New Roman" w:hAnsi="Times New Roman" w:cs="Times New Roman"/>
          <w:b/>
        </w:rPr>
      </w:pPr>
      <w:r w:rsidRPr="000A2E75">
        <w:rPr>
          <w:rFonts w:ascii="Times New Roman" w:hAnsi="Times New Roman" w:cs="Times New Roman"/>
          <w:b/>
        </w:rPr>
        <w:t>TARTIŞMA</w:t>
      </w:r>
    </w:p>
    <w:p w14:paraId="0613B5AC" w14:textId="77777777" w:rsidR="00E839E1" w:rsidRPr="000A2E75" w:rsidRDefault="00E839E1" w:rsidP="00E839E1">
      <w:pPr>
        <w:spacing w:before="120" w:after="60" w:line="276" w:lineRule="auto"/>
        <w:ind w:firstLine="567"/>
        <w:jc w:val="both"/>
        <w:rPr>
          <w:rFonts w:ascii="Times New Roman" w:hAnsi="Times New Roman" w:cs="Times New Roman"/>
        </w:rPr>
      </w:pPr>
      <w:r w:rsidRPr="000A2E75">
        <w:rPr>
          <w:rFonts w:ascii="Times New Roman" w:hAnsi="Times New Roman" w:cs="Times New Roman"/>
        </w:rPr>
        <w:t xml:space="preserve">Bu araştırmaya dahil edilen altı çalışma ile teorik ve uygulamalı hemşirelik eğitiminde Covid-19 pandemisinin etkileri değerlendirilmiştir. </w:t>
      </w:r>
    </w:p>
    <w:p w14:paraId="3D2D3D0F" w14:textId="77777777" w:rsidR="00E839E1" w:rsidRPr="000A2E75" w:rsidRDefault="00E839E1" w:rsidP="00E839E1">
      <w:pPr>
        <w:spacing w:before="120" w:after="60" w:line="276" w:lineRule="auto"/>
        <w:ind w:firstLine="567"/>
        <w:jc w:val="both"/>
        <w:rPr>
          <w:rFonts w:ascii="Times New Roman" w:hAnsi="Times New Roman" w:cs="Times New Roman"/>
          <w:b/>
          <w:bCs/>
        </w:rPr>
      </w:pPr>
      <w:r w:rsidRPr="000A2E75">
        <w:rPr>
          <w:rFonts w:ascii="Times New Roman" w:hAnsi="Times New Roman" w:cs="Times New Roman"/>
          <w:b/>
          <w:bCs/>
        </w:rPr>
        <w:t>Teorik Eğitim</w:t>
      </w:r>
    </w:p>
    <w:p w14:paraId="0B8C3D6C" w14:textId="77777777" w:rsidR="00E839E1" w:rsidRPr="000A2E75" w:rsidRDefault="00E839E1" w:rsidP="00E839E1">
      <w:pPr>
        <w:spacing w:before="120" w:after="60" w:line="276" w:lineRule="auto"/>
        <w:ind w:firstLine="567"/>
        <w:jc w:val="both"/>
        <w:rPr>
          <w:rFonts w:ascii="Times New Roman" w:hAnsi="Times New Roman" w:cs="Times New Roman"/>
          <w:bCs/>
        </w:rPr>
      </w:pPr>
      <w:r w:rsidRPr="000A2E75">
        <w:rPr>
          <w:rFonts w:ascii="Times New Roman" w:hAnsi="Times New Roman" w:cs="Times New Roman"/>
          <w:bCs/>
        </w:rPr>
        <w:t>Araştırmalarda Covid-19 pandemisi sürecinde hemşirelik eğitiminin teorik yönüne ilişkin birçok değerlendirme gerçekleştirilmiştir. Teorik eğitimin, bilgi düzeyine katkısı değerlendirildiğinde yüz-yüze eğitim kadar etkili olmamakla birlikte, bu süreçte bir alternatif olarak kullanılabileceği, teorik derslerin senkron/çevrim içi olarak anlatılmasının etkili olduğu, ancak yine de öğrencilerin dersleri kavramada ve öğrenmede sorun yaşadıkları, derslerin verimliliği konusunda endişelendikleri, öğretmen ve öğrenci arasındaki işbirlikçi öğrenmenin olumsuz etkilendiği, özellikle hızlı geri bildirim sağlanamadığı, öğrencilerin kendi hızlarında öğrenmelerine olanak sağlamasına karşın öğrendiklerini daha çabuk unuttukları saptanmıştır.</w:t>
      </w:r>
    </w:p>
    <w:p w14:paraId="1E1D0AF7" w14:textId="77777777" w:rsidR="00E839E1" w:rsidRPr="000A2E75" w:rsidRDefault="00E839E1" w:rsidP="00E839E1">
      <w:pPr>
        <w:spacing w:before="120" w:after="60" w:line="276" w:lineRule="auto"/>
        <w:ind w:firstLine="567"/>
        <w:jc w:val="both"/>
        <w:rPr>
          <w:rFonts w:ascii="Times New Roman" w:hAnsi="Times New Roman" w:cs="Times New Roman"/>
          <w:bCs/>
        </w:rPr>
      </w:pPr>
      <w:r w:rsidRPr="000A2E75">
        <w:rPr>
          <w:rFonts w:ascii="Times New Roman" w:hAnsi="Times New Roman" w:cs="Times New Roman"/>
          <w:bCs/>
        </w:rPr>
        <w:t>Eğitimde dijital öğrenme araçlarının kullanımı, öğrenmeyi kolaylaştırdığı ve öğrenme şeklimizi değiştirdiği için oldukça önemlidir. Ancak hemşirelik öğrencileri ile ülkemizde yürütülen çalışmalar, öğrencilerin uzaktan eğitimde kullanılan dijital öğrenme araçlarına yeterince uyum sağlayamadığını ve uzaktan öğrenmeden memnun olmadığını göstermektedir.</w:t>
      </w:r>
    </w:p>
    <w:p w14:paraId="5B3A5815" w14:textId="77777777" w:rsidR="00E839E1" w:rsidRPr="000A2E75" w:rsidRDefault="00E839E1" w:rsidP="00E839E1">
      <w:pPr>
        <w:spacing w:before="120" w:after="60" w:line="276" w:lineRule="auto"/>
        <w:ind w:firstLine="567"/>
        <w:jc w:val="both"/>
        <w:rPr>
          <w:rFonts w:ascii="Times New Roman" w:hAnsi="Times New Roman" w:cs="Times New Roman"/>
          <w:b/>
          <w:bCs/>
        </w:rPr>
      </w:pPr>
      <w:r w:rsidRPr="000A2E75">
        <w:rPr>
          <w:rFonts w:ascii="Times New Roman" w:hAnsi="Times New Roman" w:cs="Times New Roman"/>
          <w:b/>
          <w:bCs/>
        </w:rPr>
        <w:t>Uygulamalı Eğitim</w:t>
      </w:r>
    </w:p>
    <w:p w14:paraId="6851F9DD" w14:textId="77777777" w:rsidR="00E839E1" w:rsidRPr="000A2E75" w:rsidRDefault="00E839E1" w:rsidP="00E839E1">
      <w:pPr>
        <w:spacing w:before="120" w:after="60" w:line="276" w:lineRule="auto"/>
        <w:ind w:firstLine="567"/>
        <w:jc w:val="both"/>
        <w:rPr>
          <w:rFonts w:ascii="Times New Roman" w:hAnsi="Times New Roman" w:cs="Times New Roman"/>
        </w:rPr>
      </w:pPr>
      <w:r w:rsidRPr="000A2E75">
        <w:rPr>
          <w:rFonts w:ascii="Times New Roman" w:hAnsi="Times New Roman" w:cs="Times New Roman"/>
          <w:bCs/>
        </w:rPr>
        <w:t xml:space="preserve">Bu makalede yer alan araştırmalarda Covid-19 pandemisinin hemşirelik uygulamalı eğitimine etkileri değerlendirilmiştir. Pandemi sürecinde uzaktan eğitim yolu ile gerçekleştirilen hemşirelik uygulamalı eğitimlerinin öğrencilerin mesleki uygulama becerilerine katkısının oldukça düşük olduğu, uygulamalı derslerde vaka tartışması kullanımının öğrenmede etkili olduğu, uygulamalı dersleri kavramada ve öğrenmede ciddi derecede sorunlar yaşadıkları, uygulamalı derslerin uzaktan eğitimle verilmesinin temel yetkinliklerin kazandırılması konusunda yeterli olmadığı bu nedenle öğrencilerin bu dersleri sonraki dönemlerde hızlandırılmış olarak yüz yüze almak istedikleri, </w:t>
      </w:r>
      <w:r w:rsidRPr="000A2E75">
        <w:rPr>
          <w:rFonts w:ascii="Times New Roman" w:hAnsi="Times New Roman" w:cs="Times New Roman"/>
        </w:rPr>
        <w:t>sanal hastanelerde hemşirelik için zorunlu klinik uygulamaların yapılmasının uygun olmadığı bulunmuştur.</w:t>
      </w:r>
    </w:p>
    <w:p w14:paraId="2BEB8421" w14:textId="77777777" w:rsidR="00E839E1" w:rsidRPr="000A2E75" w:rsidRDefault="00E839E1" w:rsidP="00E839E1">
      <w:pPr>
        <w:spacing w:before="120" w:after="60" w:line="276" w:lineRule="auto"/>
        <w:ind w:firstLine="567"/>
        <w:jc w:val="both"/>
        <w:rPr>
          <w:rFonts w:ascii="Times New Roman" w:hAnsi="Times New Roman" w:cs="Times New Roman"/>
          <w:bCs/>
        </w:rPr>
      </w:pPr>
      <w:r w:rsidRPr="000A2E75">
        <w:rPr>
          <w:rFonts w:ascii="Times New Roman" w:hAnsi="Times New Roman" w:cs="Times New Roman"/>
          <w:bCs/>
        </w:rPr>
        <w:t xml:space="preserve">Brezilya’da yürütülen bir çalışmada da bizim ülkemizde yürütülen çalışmalara benzer sonuçlar elde edilmiş, insan sağlığı ile ilgilenecek meslek profesyonellerinin oluşturulabilmesi için hemşirelik eğitiminin gerekli bilgi, beceri ve tutumları kazandırması gerektiği belirtilmiştir (Lira ve ark., 2020). </w:t>
      </w:r>
      <w:r w:rsidRPr="000A2E75">
        <w:rPr>
          <w:rFonts w:ascii="Times New Roman" w:hAnsi="Times New Roman" w:cs="Times New Roman"/>
        </w:rPr>
        <w:t xml:space="preserve">Bakım verme hemşirelik eğitiminin merkezinde yer almakta ve temel bir uygulama olarak kabul edilmektedir. Ülkemizde ve dünyada yürütülen çalışmalar hemşirelik uygulamalı eğitiminin uzaktan eğitimle gerçekleştirilmesinin öğrenciler tarafından yeterli bulunmadığını açıkça göstermektedir. </w:t>
      </w:r>
    </w:p>
    <w:p w14:paraId="0538AE99" w14:textId="77777777" w:rsidR="00E839E1" w:rsidRPr="000A2E75" w:rsidRDefault="00E839E1" w:rsidP="00E839E1">
      <w:pPr>
        <w:spacing w:before="120" w:after="60" w:line="276" w:lineRule="auto"/>
        <w:ind w:firstLine="567"/>
        <w:rPr>
          <w:rFonts w:ascii="Times New Roman" w:hAnsi="Times New Roman" w:cs="Times New Roman"/>
          <w:b/>
        </w:rPr>
      </w:pPr>
      <w:r w:rsidRPr="000A2E75">
        <w:rPr>
          <w:rFonts w:ascii="Times New Roman" w:hAnsi="Times New Roman" w:cs="Times New Roman"/>
          <w:b/>
        </w:rPr>
        <w:t>ÖNERİLER</w:t>
      </w:r>
    </w:p>
    <w:p w14:paraId="6A8ED76E" w14:textId="77777777" w:rsidR="00E839E1" w:rsidRPr="000A2E75" w:rsidRDefault="00E839E1" w:rsidP="00E839E1">
      <w:pPr>
        <w:spacing w:before="120" w:after="120"/>
        <w:ind w:firstLine="567"/>
        <w:jc w:val="both"/>
        <w:rPr>
          <w:rFonts w:ascii="Times New Roman" w:hAnsi="Times New Roman" w:cs="Times New Roman"/>
          <w:bCs/>
        </w:rPr>
      </w:pPr>
      <w:r w:rsidRPr="000A2E75">
        <w:rPr>
          <w:rFonts w:ascii="Times New Roman" w:hAnsi="Times New Roman" w:cs="Times New Roman"/>
          <w:bCs/>
        </w:rPr>
        <w:t xml:space="preserve">Covid-19 pandemisi hızlı bir şekilde yüz-yüze öğrenmenin uzaktan öğrenmeye dönüşmesine neden olarak hem kurumlar hem eğiticiler hem de öğrenciler için bu sürece hızlı bir adaptasyonun </w:t>
      </w:r>
      <w:r w:rsidRPr="000A2E75">
        <w:rPr>
          <w:rFonts w:ascii="Times New Roman" w:hAnsi="Times New Roman" w:cs="Times New Roman"/>
          <w:bCs/>
        </w:rPr>
        <w:lastRenderedPageBreak/>
        <w:t xml:space="preserve">gerçekleşmesini gerekli hale getirmiştir. Uzaktan öğrenme ile ilgili teknolojik sistemlerin derslerde nasıl kullanılacağı, öğrenci öğretmen etkileşiminin nasıl korunup sürdürüleceği, uygulamalı derslerin nasıl gerçekleştirileceği gibi konularda büyük sorunlara yol açmıştır. Bu durum hemşirelik eğitiminin Covid-19 pandemisinden olumsuz bir şekilde etkilenmesine neden olmuştur. </w:t>
      </w:r>
    </w:p>
    <w:p w14:paraId="04EB8B7A" w14:textId="77777777" w:rsidR="00E839E1" w:rsidRDefault="00E839E1" w:rsidP="00E839E1">
      <w:pPr>
        <w:spacing w:before="120" w:after="120"/>
        <w:ind w:firstLine="567"/>
        <w:jc w:val="both"/>
        <w:rPr>
          <w:rFonts w:ascii="Times New Roman" w:hAnsi="Times New Roman" w:cs="Times New Roman"/>
          <w:bCs/>
        </w:rPr>
      </w:pPr>
      <w:r w:rsidRPr="000A2E75">
        <w:rPr>
          <w:rFonts w:ascii="Times New Roman" w:hAnsi="Times New Roman" w:cs="Times New Roman"/>
          <w:bCs/>
        </w:rPr>
        <w:t xml:space="preserve">Sonuç olarak bu araştırmadan elde edilen sonuçlar Covid-19 pandemisi süresince teorik ve uygulamalı derslerin uzaktan eğitim ile yürütülmesinin hemşirelik öğrencileri tarafından olumsuz olarak değerlendirildiğini göstermektedir. Teorik ve uygulamanın birleştiği hemşirelik eğitiminde öğrencilere temel yeterliliklerin kazandırılabilmesi, uzaktan ve yüz yüze eğitimin birlikte yürütülmesi, öğrencilerin çevrimiçi derslere olan ilgisinin arttırılabilmesi için farklı pedagojik yaklaşımların kullanılması önerilmektedir. </w:t>
      </w:r>
    </w:p>
    <w:p w14:paraId="5B528C1A" w14:textId="77777777" w:rsidR="00E839E1" w:rsidRDefault="00E839E1" w:rsidP="00E839E1">
      <w:pPr>
        <w:spacing w:before="120" w:after="120"/>
        <w:ind w:firstLine="567"/>
        <w:jc w:val="both"/>
        <w:rPr>
          <w:rFonts w:ascii="Times New Roman" w:hAnsi="Times New Roman" w:cs="Times New Roman"/>
          <w:bCs/>
        </w:rPr>
      </w:pPr>
    </w:p>
    <w:p w14:paraId="08D5B7E9" w14:textId="753052E9" w:rsidR="00E839E1" w:rsidRDefault="00E839E1" w:rsidP="00E839E1">
      <w:pPr>
        <w:spacing w:before="120" w:after="120"/>
        <w:ind w:firstLine="567"/>
        <w:jc w:val="both"/>
        <w:rPr>
          <w:rFonts w:ascii="Times New Roman" w:hAnsi="Times New Roman" w:cs="Times New Roman"/>
          <w:bCs/>
        </w:rPr>
      </w:pPr>
    </w:p>
    <w:p w14:paraId="59E9ACC1" w14:textId="332762F3" w:rsidR="008934F8" w:rsidRDefault="008934F8" w:rsidP="00E839E1">
      <w:pPr>
        <w:spacing w:before="120" w:after="120"/>
        <w:ind w:firstLine="567"/>
        <w:jc w:val="both"/>
        <w:rPr>
          <w:rFonts w:ascii="Times New Roman" w:hAnsi="Times New Roman" w:cs="Times New Roman"/>
          <w:bCs/>
        </w:rPr>
      </w:pPr>
    </w:p>
    <w:p w14:paraId="090BD641" w14:textId="3FCA8D3F" w:rsidR="008934F8" w:rsidRDefault="008934F8" w:rsidP="00E839E1">
      <w:pPr>
        <w:spacing w:before="120" w:after="120"/>
        <w:ind w:firstLine="567"/>
        <w:jc w:val="both"/>
        <w:rPr>
          <w:rFonts w:ascii="Times New Roman" w:hAnsi="Times New Roman" w:cs="Times New Roman"/>
          <w:bCs/>
        </w:rPr>
      </w:pPr>
    </w:p>
    <w:p w14:paraId="5899703E" w14:textId="2CE11759" w:rsidR="008934F8" w:rsidRDefault="008934F8" w:rsidP="00E839E1">
      <w:pPr>
        <w:spacing w:before="120" w:after="120"/>
        <w:ind w:firstLine="567"/>
        <w:jc w:val="both"/>
        <w:rPr>
          <w:rFonts w:ascii="Times New Roman" w:hAnsi="Times New Roman" w:cs="Times New Roman"/>
          <w:bCs/>
        </w:rPr>
      </w:pPr>
    </w:p>
    <w:p w14:paraId="52498121" w14:textId="6C702459" w:rsidR="008934F8" w:rsidRDefault="008934F8" w:rsidP="00E839E1">
      <w:pPr>
        <w:spacing w:before="120" w:after="120"/>
        <w:ind w:firstLine="567"/>
        <w:jc w:val="both"/>
        <w:rPr>
          <w:rFonts w:ascii="Times New Roman" w:hAnsi="Times New Roman" w:cs="Times New Roman"/>
          <w:bCs/>
        </w:rPr>
      </w:pPr>
    </w:p>
    <w:p w14:paraId="252F6092" w14:textId="296D572C" w:rsidR="008934F8" w:rsidRDefault="008934F8" w:rsidP="00E839E1">
      <w:pPr>
        <w:spacing w:before="120" w:after="120"/>
        <w:ind w:firstLine="567"/>
        <w:jc w:val="both"/>
        <w:rPr>
          <w:rFonts w:ascii="Times New Roman" w:hAnsi="Times New Roman" w:cs="Times New Roman"/>
          <w:bCs/>
        </w:rPr>
      </w:pPr>
    </w:p>
    <w:p w14:paraId="62B5F897" w14:textId="0876D524" w:rsidR="008934F8" w:rsidRDefault="008934F8" w:rsidP="00E839E1">
      <w:pPr>
        <w:spacing w:before="120" w:after="120"/>
        <w:ind w:firstLine="567"/>
        <w:jc w:val="both"/>
        <w:rPr>
          <w:rFonts w:ascii="Times New Roman" w:hAnsi="Times New Roman" w:cs="Times New Roman"/>
          <w:bCs/>
        </w:rPr>
      </w:pPr>
    </w:p>
    <w:p w14:paraId="51DB6D0A" w14:textId="067A2BDB" w:rsidR="008934F8" w:rsidRDefault="008934F8" w:rsidP="00E839E1">
      <w:pPr>
        <w:spacing w:before="120" w:after="120"/>
        <w:ind w:firstLine="567"/>
        <w:jc w:val="both"/>
        <w:rPr>
          <w:rFonts w:ascii="Times New Roman" w:hAnsi="Times New Roman" w:cs="Times New Roman"/>
          <w:bCs/>
        </w:rPr>
      </w:pPr>
    </w:p>
    <w:p w14:paraId="17F131AD" w14:textId="72887364" w:rsidR="008934F8" w:rsidRDefault="008934F8" w:rsidP="00E839E1">
      <w:pPr>
        <w:spacing w:before="120" w:after="120"/>
        <w:ind w:firstLine="567"/>
        <w:jc w:val="both"/>
        <w:rPr>
          <w:rFonts w:ascii="Times New Roman" w:hAnsi="Times New Roman" w:cs="Times New Roman"/>
          <w:bCs/>
        </w:rPr>
      </w:pPr>
    </w:p>
    <w:p w14:paraId="77BFC148" w14:textId="0F886E9F" w:rsidR="008934F8" w:rsidRDefault="008934F8" w:rsidP="00E839E1">
      <w:pPr>
        <w:spacing w:before="120" w:after="120"/>
        <w:ind w:firstLine="567"/>
        <w:jc w:val="both"/>
        <w:rPr>
          <w:rFonts w:ascii="Times New Roman" w:hAnsi="Times New Roman" w:cs="Times New Roman"/>
          <w:bCs/>
        </w:rPr>
      </w:pPr>
    </w:p>
    <w:p w14:paraId="000885C9" w14:textId="2B74A0B6" w:rsidR="008934F8" w:rsidRDefault="008934F8" w:rsidP="00E839E1">
      <w:pPr>
        <w:spacing w:before="120" w:after="120"/>
        <w:ind w:firstLine="567"/>
        <w:jc w:val="both"/>
        <w:rPr>
          <w:rFonts w:ascii="Times New Roman" w:hAnsi="Times New Roman" w:cs="Times New Roman"/>
          <w:bCs/>
        </w:rPr>
      </w:pPr>
    </w:p>
    <w:p w14:paraId="34463611" w14:textId="5B40FCBD" w:rsidR="008934F8" w:rsidRDefault="008934F8" w:rsidP="00E839E1">
      <w:pPr>
        <w:spacing w:before="120" w:after="120"/>
        <w:ind w:firstLine="567"/>
        <w:jc w:val="both"/>
        <w:rPr>
          <w:rFonts w:ascii="Times New Roman" w:hAnsi="Times New Roman" w:cs="Times New Roman"/>
          <w:bCs/>
        </w:rPr>
      </w:pPr>
    </w:p>
    <w:p w14:paraId="672CC622" w14:textId="6663EC35" w:rsidR="008934F8" w:rsidRDefault="008934F8" w:rsidP="00E839E1">
      <w:pPr>
        <w:spacing w:before="120" w:after="120"/>
        <w:ind w:firstLine="567"/>
        <w:jc w:val="both"/>
        <w:rPr>
          <w:rFonts w:ascii="Times New Roman" w:hAnsi="Times New Roman" w:cs="Times New Roman"/>
          <w:bCs/>
        </w:rPr>
      </w:pPr>
    </w:p>
    <w:p w14:paraId="226997BB" w14:textId="38E09F61" w:rsidR="008934F8" w:rsidRDefault="008934F8" w:rsidP="00E839E1">
      <w:pPr>
        <w:spacing w:before="120" w:after="120"/>
        <w:ind w:firstLine="567"/>
        <w:jc w:val="both"/>
        <w:rPr>
          <w:rFonts w:ascii="Times New Roman" w:hAnsi="Times New Roman" w:cs="Times New Roman"/>
          <w:bCs/>
        </w:rPr>
      </w:pPr>
    </w:p>
    <w:p w14:paraId="1C4F2182" w14:textId="22F7FBB4" w:rsidR="008934F8" w:rsidRDefault="008934F8" w:rsidP="00E839E1">
      <w:pPr>
        <w:spacing w:before="120" w:after="120"/>
        <w:ind w:firstLine="567"/>
        <w:jc w:val="both"/>
        <w:rPr>
          <w:rFonts w:ascii="Times New Roman" w:hAnsi="Times New Roman" w:cs="Times New Roman"/>
          <w:bCs/>
        </w:rPr>
      </w:pPr>
    </w:p>
    <w:p w14:paraId="1E7FE828" w14:textId="62573FBF" w:rsidR="008934F8" w:rsidRDefault="008934F8" w:rsidP="00E839E1">
      <w:pPr>
        <w:spacing w:before="120" w:after="120"/>
        <w:ind w:firstLine="567"/>
        <w:jc w:val="both"/>
        <w:rPr>
          <w:rFonts w:ascii="Times New Roman" w:hAnsi="Times New Roman" w:cs="Times New Roman"/>
          <w:bCs/>
        </w:rPr>
      </w:pPr>
    </w:p>
    <w:p w14:paraId="483565AB" w14:textId="5BCF3A2F" w:rsidR="008934F8" w:rsidRDefault="008934F8" w:rsidP="00E839E1">
      <w:pPr>
        <w:spacing w:before="120" w:after="120"/>
        <w:ind w:firstLine="567"/>
        <w:jc w:val="both"/>
        <w:rPr>
          <w:rFonts w:ascii="Times New Roman" w:hAnsi="Times New Roman" w:cs="Times New Roman"/>
          <w:bCs/>
        </w:rPr>
      </w:pPr>
    </w:p>
    <w:p w14:paraId="37F80ED1" w14:textId="6E021F12" w:rsidR="008934F8" w:rsidRDefault="008934F8" w:rsidP="00E839E1">
      <w:pPr>
        <w:spacing w:before="120" w:after="120"/>
        <w:ind w:firstLine="567"/>
        <w:jc w:val="both"/>
        <w:rPr>
          <w:rFonts w:ascii="Times New Roman" w:hAnsi="Times New Roman" w:cs="Times New Roman"/>
          <w:bCs/>
        </w:rPr>
      </w:pPr>
    </w:p>
    <w:p w14:paraId="626ED718" w14:textId="717B8525" w:rsidR="008934F8" w:rsidRDefault="008934F8" w:rsidP="00E839E1">
      <w:pPr>
        <w:spacing w:before="120" w:after="120"/>
        <w:ind w:firstLine="567"/>
        <w:jc w:val="both"/>
        <w:rPr>
          <w:rFonts w:ascii="Times New Roman" w:hAnsi="Times New Roman" w:cs="Times New Roman"/>
          <w:bCs/>
        </w:rPr>
      </w:pPr>
    </w:p>
    <w:p w14:paraId="2AAFDC92" w14:textId="3988C8CF" w:rsidR="008934F8" w:rsidRDefault="008934F8" w:rsidP="00E839E1">
      <w:pPr>
        <w:spacing w:before="120" w:after="120"/>
        <w:ind w:firstLine="567"/>
        <w:jc w:val="both"/>
        <w:rPr>
          <w:rFonts w:ascii="Times New Roman" w:hAnsi="Times New Roman" w:cs="Times New Roman"/>
          <w:bCs/>
        </w:rPr>
      </w:pPr>
    </w:p>
    <w:p w14:paraId="4F8C81DE" w14:textId="77777777" w:rsidR="008934F8" w:rsidRDefault="008934F8" w:rsidP="00E839E1">
      <w:pPr>
        <w:spacing w:before="120" w:after="120"/>
        <w:ind w:firstLine="567"/>
        <w:jc w:val="both"/>
        <w:rPr>
          <w:rFonts w:ascii="Times New Roman" w:hAnsi="Times New Roman" w:cs="Times New Roman"/>
          <w:bCs/>
        </w:rPr>
      </w:pPr>
    </w:p>
    <w:p w14:paraId="09FD1FCB" w14:textId="77777777" w:rsidR="00E839E1" w:rsidRDefault="00E839E1" w:rsidP="00E839E1">
      <w:pPr>
        <w:spacing w:before="120" w:after="120"/>
        <w:ind w:firstLine="567"/>
        <w:jc w:val="both"/>
        <w:rPr>
          <w:rFonts w:ascii="Times New Roman" w:hAnsi="Times New Roman" w:cs="Times New Roman"/>
          <w:bCs/>
        </w:rPr>
      </w:pPr>
    </w:p>
    <w:p w14:paraId="4EB9606C" w14:textId="77777777" w:rsidR="00E839E1" w:rsidRDefault="00E839E1" w:rsidP="00E839E1">
      <w:pPr>
        <w:spacing w:before="120" w:after="120"/>
        <w:ind w:firstLine="567"/>
        <w:jc w:val="both"/>
        <w:rPr>
          <w:rFonts w:ascii="Times New Roman" w:hAnsi="Times New Roman" w:cs="Times New Roman"/>
          <w:bCs/>
        </w:rPr>
      </w:pPr>
    </w:p>
    <w:p w14:paraId="38B4F97C" w14:textId="77777777" w:rsidR="00E839E1" w:rsidRDefault="00E839E1" w:rsidP="00E839E1">
      <w:pPr>
        <w:spacing w:before="120" w:after="120"/>
        <w:ind w:firstLine="567"/>
        <w:jc w:val="both"/>
        <w:rPr>
          <w:rFonts w:ascii="Times New Roman" w:hAnsi="Times New Roman" w:cs="Times New Roman"/>
          <w:bCs/>
        </w:rPr>
      </w:pPr>
    </w:p>
    <w:p w14:paraId="11D3D341" w14:textId="77777777" w:rsidR="00E839E1" w:rsidRDefault="00E839E1" w:rsidP="00E839E1">
      <w:pPr>
        <w:spacing w:before="120" w:after="120"/>
        <w:ind w:firstLine="567"/>
        <w:jc w:val="both"/>
        <w:rPr>
          <w:rFonts w:ascii="Times New Roman" w:hAnsi="Times New Roman" w:cs="Times New Roman"/>
          <w:bCs/>
        </w:rPr>
      </w:pPr>
    </w:p>
    <w:p w14:paraId="065C29DA" w14:textId="77777777" w:rsidR="00E839E1" w:rsidRPr="000A2E75" w:rsidRDefault="00E839E1" w:rsidP="00E839E1">
      <w:pPr>
        <w:spacing w:before="120" w:after="120"/>
        <w:ind w:firstLine="567"/>
        <w:jc w:val="both"/>
        <w:rPr>
          <w:rFonts w:ascii="Times New Roman" w:hAnsi="Times New Roman" w:cs="Times New Roman"/>
          <w:bCs/>
        </w:rPr>
      </w:pPr>
    </w:p>
    <w:p w14:paraId="18BE3D61" w14:textId="3EABCC7D" w:rsidR="00E839E1" w:rsidRPr="000A2E75" w:rsidRDefault="00C95516" w:rsidP="00E839E1">
      <w:pPr>
        <w:spacing w:before="120"/>
        <w:ind w:firstLine="567"/>
        <w:jc w:val="both"/>
        <w:rPr>
          <w:rFonts w:ascii="Times New Roman" w:hAnsi="Times New Roman" w:cs="Times New Roman"/>
          <w:b/>
        </w:rPr>
      </w:pPr>
      <w:r>
        <w:rPr>
          <w:rFonts w:ascii="Times New Roman" w:hAnsi="Times New Roman" w:cs="Times New Roman"/>
          <w:b/>
        </w:rPr>
        <w:lastRenderedPageBreak/>
        <w:t>Kaynakça</w:t>
      </w:r>
    </w:p>
    <w:p w14:paraId="55457A05" w14:textId="77777777" w:rsidR="00E839E1" w:rsidRPr="000A2E75" w:rsidRDefault="00E839E1" w:rsidP="00E839E1">
      <w:pPr>
        <w:spacing w:before="120"/>
        <w:jc w:val="both"/>
        <w:rPr>
          <w:rFonts w:ascii="Times New Roman" w:hAnsi="Times New Roman" w:cs="Times New Roman"/>
          <w:bCs/>
        </w:rPr>
      </w:pPr>
      <w:r w:rsidRPr="000A2E75">
        <w:rPr>
          <w:rFonts w:ascii="Times New Roman" w:hAnsi="Times New Roman" w:cs="Times New Roman"/>
          <w:bCs/>
        </w:rPr>
        <w:t>Güven Özdemir, N., &amp; Sönmez, M. (2020). The relationship between nursing students' technology addiction levels and attitudes toward e‐learning during the COVID‐19 pandemic: A cross‐sectional study. Perspectives in psychiatric care.</w:t>
      </w:r>
    </w:p>
    <w:p w14:paraId="6566EC1A" w14:textId="77777777" w:rsidR="00E839E1" w:rsidRPr="000A2E75" w:rsidRDefault="00E839E1" w:rsidP="00E839E1">
      <w:pPr>
        <w:spacing w:before="120"/>
        <w:jc w:val="both"/>
        <w:rPr>
          <w:rFonts w:ascii="Times New Roman" w:hAnsi="Times New Roman" w:cs="Times New Roman"/>
          <w:bCs/>
        </w:rPr>
      </w:pPr>
      <w:r w:rsidRPr="000A2E75">
        <w:rPr>
          <w:rFonts w:ascii="Times New Roman" w:hAnsi="Times New Roman" w:cs="Times New Roman"/>
          <w:bCs/>
        </w:rPr>
        <w:t>Hainey K, Kelly LJ, Green A. A (2017) blended learning approach to teaching CVAD care and maintenance. Br J Nurs. 26(2):S4–S12.</w:t>
      </w:r>
    </w:p>
    <w:p w14:paraId="387C9CEE" w14:textId="77777777" w:rsidR="00E839E1" w:rsidRPr="000A2E75" w:rsidRDefault="00E839E1" w:rsidP="00E839E1">
      <w:pPr>
        <w:spacing w:before="120"/>
        <w:jc w:val="both"/>
        <w:rPr>
          <w:rFonts w:ascii="Times New Roman" w:hAnsi="Times New Roman" w:cs="Times New Roman"/>
          <w:bCs/>
        </w:rPr>
      </w:pPr>
      <w:r w:rsidRPr="000A2E75">
        <w:rPr>
          <w:rFonts w:ascii="Times New Roman" w:hAnsi="Times New Roman" w:cs="Times New Roman"/>
          <w:bCs/>
        </w:rPr>
        <w:t>Keskin, M., &amp; Derya, Özer (2020). Covıd-19 Sürecinde Öğrencilerin Web Tabanlı Uzaktan Eğitime Yönelik Geri Bildirimlerinin Değerlendirilmesi. İzmir Katip Çelebi Üniversitesi Sağlık Bilimleri Fakültesi Dergisi, 5(2), 59-67.</w:t>
      </w:r>
    </w:p>
    <w:p w14:paraId="1F9D1720" w14:textId="77777777" w:rsidR="00E839E1" w:rsidRPr="000A2E75" w:rsidRDefault="00E839E1" w:rsidP="00E839E1">
      <w:pPr>
        <w:spacing w:before="120"/>
        <w:jc w:val="both"/>
        <w:rPr>
          <w:rFonts w:ascii="Times New Roman" w:hAnsi="Times New Roman" w:cs="Times New Roman"/>
          <w:bCs/>
        </w:rPr>
      </w:pPr>
      <w:r w:rsidRPr="000A2E75">
        <w:rPr>
          <w:rFonts w:ascii="Times New Roman" w:hAnsi="Times New Roman" w:cs="Times New Roman"/>
          <w:bCs/>
        </w:rPr>
        <w:t>Kürtüncü, M., &amp; Kurt A. (2020). COVID-19 pandemisi döneminde hemşirelik öğrencilerinin uzaktan eğitim konusunda yaşadiklari sorunlar. Avrasya Sosyal ve Ekonomi Araştırmaları Dergisi, 7(5), 66-77.</w:t>
      </w:r>
    </w:p>
    <w:p w14:paraId="688CF719" w14:textId="77777777" w:rsidR="00E839E1" w:rsidRPr="000A2E75" w:rsidRDefault="00E839E1" w:rsidP="00E839E1">
      <w:pPr>
        <w:spacing w:before="120"/>
        <w:jc w:val="both"/>
        <w:rPr>
          <w:rFonts w:ascii="Times New Roman" w:hAnsi="Times New Roman" w:cs="Times New Roman"/>
          <w:bCs/>
        </w:rPr>
      </w:pPr>
      <w:r w:rsidRPr="000A2E75">
        <w:rPr>
          <w:rFonts w:ascii="Times New Roman" w:hAnsi="Times New Roman" w:cs="Times New Roman"/>
          <w:bCs/>
        </w:rPr>
        <w:t>Langegård, U., Kiani, K., Nielsen, S. J., &amp; Svensson, P. A. (2021). Nursing students’ experiences of a pedagogical transition from campus learning to distance learning using digital tools. BMC nursing, 20(1), 1-10.</w:t>
      </w:r>
    </w:p>
    <w:p w14:paraId="02F05712" w14:textId="77777777" w:rsidR="00E839E1" w:rsidRPr="000A2E75" w:rsidRDefault="00E839E1" w:rsidP="00E839E1">
      <w:pPr>
        <w:spacing w:before="120"/>
        <w:jc w:val="both"/>
        <w:rPr>
          <w:rFonts w:ascii="Times New Roman" w:hAnsi="Times New Roman" w:cs="Times New Roman"/>
          <w:bCs/>
        </w:rPr>
      </w:pPr>
      <w:r w:rsidRPr="000A2E75">
        <w:rPr>
          <w:rFonts w:ascii="Times New Roman" w:hAnsi="Times New Roman" w:cs="Times New Roman"/>
          <w:bCs/>
        </w:rPr>
        <w:t>Lira, A. L. B. D. C., Adamy, E. K., Teixeira, E., &amp; Silva, F. V. D. (2020). Nursing education: challenges and perspectives in times of the COVID-19 pandemic. Revista brasileira de enfermagem, 73.</w:t>
      </w:r>
    </w:p>
    <w:p w14:paraId="594910F9" w14:textId="77777777" w:rsidR="00E839E1" w:rsidRPr="000A2E75" w:rsidRDefault="00E839E1" w:rsidP="00E839E1">
      <w:pPr>
        <w:spacing w:before="120"/>
        <w:jc w:val="both"/>
        <w:rPr>
          <w:rFonts w:ascii="Times New Roman" w:hAnsi="Times New Roman" w:cs="Times New Roman"/>
          <w:bCs/>
        </w:rPr>
      </w:pPr>
      <w:r w:rsidRPr="000A2E75">
        <w:rPr>
          <w:rFonts w:ascii="Times New Roman" w:hAnsi="Times New Roman" w:cs="Times New Roman"/>
          <w:bCs/>
        </w:rPr>
        <w:t>Lira, A. L. B. D. C., Adamy, E. K., Teixeira, E., &amp; Silva, F. V. D. (2020). Nursing education: challenges and perspectives in times of the COVID-19 pandemic. Revista brasileira de enfermagem, 73.</w:t>
      </w:r>
    </w:p>
    <w:p w14:paraId="631D0C94" w14:textId="77777777" w:rsidR="00E839E1" w:rsidRPr="000A2E75" w:rsidRDefault="00E839E1" w:rsidP="00E839E1">
      <w:pPr>
        <w:spacing w:before="120"/>
        <w:jc w:val="both"/>
        <w:rPr>
          <w:rFonts w:ascii="Times New Roman" w:hAnsi="Times New Roman" w:cs="Times New Roman"/>
          <w:bCs/>
        </w:rPr>
      </w:pPr>
      <w:r w:rsidRPr="000A2E75">
        <w:rPr>
          <w:rFonts w:ascii="Times New Roman" w:hAnsi="Times New Roman" w:cs="Times New Roman"/>
          <w:bCs/>
        </w:rPr>
        <w:t>McCutcheon K, O’Halloran P, Lohan M. (2018)nOnline learning versus blended learning of clinical supervisee skills with pre-registration nursing students: a randomised controlled trial. Int J Nurs Stud. 82:30–9.</w:t>
      </w:r>
    </w:p>
    <w:p w14:paraId="6C787EBA" w14:textId="77777777" w:rsidR="00E839E1" w:rsidRPr="000A2E75" w:rsidRDefault="00E839E1" w:rsidP="00E839E1">
      <w:pPr>
        <w:spacing w:before="120"/>
        <w:jc w:val="both"/>
        <w:rPr>
          <w:rFonts w:ascii="Times New Roman" w:hAnsi="Times New Roman" w:cs="Times New Roman"/>
          <w:bCs/>
        </w:rPr>
      </w:pPr>
      <w:r w:rsidRPr="000A2E75">
        <w:rPr>
          <w:rFonts w:ascii="Times New Roman" w:hAnsi="Times New Roman" w:cs="Times New Roman"/>
          <w:bCs/>
        </w:rPr>
        <w:t>Nashwan, A. J., Mohamed, A. S., &amp; Kelly, D. R. (2020). Nursing Education in the Emergence of COVID-19. Open Journal of Nursing, 10(06), 595.</w:t>
      </w:r>
    </w:p>
    <w:p w14:paraId="65A2942A" w14:textId="77777777" w:rsidR="00E839E1" w:rsidRPr="000A2E75" w:rsidRDefault="00E839E1" w:rsidP="00E839E1">
      <w:pPr>
        <w:spacing w:before="120"/>
        <w:jc w:val="both"/>
        <w:rPr>
          <w:rFonts w:ascii="Times New Roman" w:hAnsi="Times New Roman" w:cs="Times New Roman"/>
          <w:bCs/>
        </w:rPr>
      </w:pPr>
      <w:r w:rsidRPr="000A2E75">
        <w:rPr>
          <w:rFonts w:ascii="Times New Roman" w:hAnsi="Times New Roman" w:cs="Times New Roman"/>
          <w:bCs/>
        </w:rPr>
        <w:t xml:space="preserve">Özbay Ö, Çınar S. (2020) Views of Nursing Students on Distance Education. Education Conference (EDUCCON) 2020 Empower Teaching Studies. </w:t>
      </w:r>
    </w:p>
    <w:p w14:paraId="291AECFF" w14:textId="77777777" w:rsidR="00E839E1" w:rsidRPr="000A2E75" w:rsidRDefault="00E839E1" w:rsidP="00E839E1">
      <w:pPr>
        <w:spacing w:before="120"/>
        <w:jc w:val="both"/>
        <w:rPr>
          <w:rFonts w:ascii="Times New Roman" w:hAnsi="Times New Roman" w:cs="Times New Roman"/>
          <w:bCs/>
        </w:rPr>
      </w:pPr>
      <w:r w:rsidRPr="000A2E75">
        <w:rPr>
          <w:rFonts w:ascii="Times New Roman" w:hAnsi="Times New Roman" w:cs="Times New Roman"/>
          <w:bCs/>
        </w:rPr>
        <w:t>Terzi, B., Azizoğlu, F., &amp; Özhan, F. (2021). Factors affecting attitudes of nursing students towards distance education during the COVID-19 pandemic: A web-based cross-sectional survey. Perspectives in psychiatric care.</w:t>
      </w:r>
    </w:p>
    <w:p w14:paraId="0902AF08" w14:textId="77777777" w:rsidR="00E839E1" w:rsidRPr="000A2E75" w:rsidRDefault="00E839E1" w:rsidP="00E839E1">
      <w:pPr>
        <w:spacing w:before="120"/>
        <w:jc w:val="both"/>
        <w:rPr>
          <w:rFonts w:ascii="Times New Roman" w:hAnsi="Times New Roman" w:cs="Times New Roman"/>
          <w:bCs/>
        </w:rPr>
      </w:pPr>
      <w:r w:rsidRPr="000A2E75">
        <w:rPr>
          <w:rFonts w:ascii="Times New Roman" w:hAnsi="Times New Roman" w:cs="Times New Roman"/>
          <w:bCs/>
        </w:rPr>
        <w:t>Vatan, F., Avdal, E. Ü., Yağcan, H., &amp; Şanlı, D. (2020) Covıd-19 Pandemisi ve Hemşirelik Eğitimi Derneği Faaliyetleri. Koç Üniversitesi Hemşirelikte Eğitim ve Araştırma Dergisi.17,4.369-373</w:t>
      </w:r>
    </w:p>
    <w:p w14:paraId="470188D1" w14:textId="77777777" w:rsidR="00E839E1" w:rsidRPr="000A2E75" w:rsidRDefault="00E839E1" w:rsidP="00E839E1">
      <w:pPr>
        <w:spacing w:before="120"/>
        <w:jc w:val="both"/>
        <w:rPr>
          <w:rFonts w:ascii="Times New Roman" w:hAnsi="Times New Roman" w:cs="Times New Roman"/>
          <w:b/>
        </w:rPr>
      </w:pPr>
    </w:p>
    <w:p w14:paraId="20EA9BA2" w14:textId="77777777" w:rsidR="00E839E1" w:rsidRPr="000A2E75" w:rsidRDefault="00E839E1" w:rsidP="00E839E1">
      <w:pPr>
        <w:spacing w:before="120"/>
        <w:ind w:firstLine="567"/>
        <w:jc w:val="both"/>
        <w:rPr>
          <w:rFonts w:ascii="Times New Roman" w:hAnsi="Times New Roman" w:cs="Times New Roman"/>
          <w:b/>
        </w:rPr>
      </w:pPr>
    </w:p>
    <w:p w14:paraId="63616A4B" w14:textId="77777777" w:rsidR="00E839E1" w:rsidRPr="000A2E75" w:rsidRDefault="00E839E1" w:rsidP="00E839E1">
      <w:pPr>
        <w:spacing w:before="120"/>
        <w:ind w:firstLine="567"/>
        <w:jc w:val="both"/>
        <w:rPr>
          <w:rFonts w:ascii="Times New Roman" w:hAnsi="Times New Roman" w:cs="Times New Roman"/>
          <w:b/>
        </w:rPr>
      </w:pPr>
    </w:p>
    <w:p w14:paraId="2B37B449" w14:textId="77777777" w:rsidR="00E839E1" w:rsidRDefault="00E839E1" w:rsidP="00E839E1">
      <w:pPr>
        <w:spacing w:before="120"/>
        <w:ind w:firstLine="567"/>
        <w:jc w:val="both"/>
        <w:rPr>
          <w:rFonts w:ascii="Times New Roman" w:hAnsi="Times New Roman" w:cs="Times New Roman"/>
          <w:b/>
        </w:rPr>
      </w:pPr>
    </w:p>
    <w:p w14:paraId="130C23B9" w14:textId="77777777" w:rsidR="00E839E1" w:rsidRDefault="00E839E1" w:rsidP="00E839E1">
      <w:pPr>
        <w:spacing w:before="120"/>
        <w:ind w:firstLine="567"/>
        <w:jc w:val="both"/>
        <w:rPr>
          <w:rFonts w:ascii="Times New Roman" w:hAnsi="Times New Roman" w:cs="Times New Roman"/>
          <w:b/>
        </w:rPr>
      </w:pPr>
    </w:p>
    <w:p w14:paraId="53C32375" w14:textId="77777777" w:rsidR="00E839E1" w:rsidRDefault="00E839E1" w:rsidP="00E839E1">
      <w:pPr>
        <w:spacing w:before="120"/>
        <w:ind w:firstLine="567"/>
        <w:jc w:val="both"/>
        <w:rPr>
          <w:rFonts w:ascii="Times New Roman" w:hAnsi="Times New Roman" w:cs="Times New Roman"/>
          <w:b/>
        </w:rPr>
      </w:pPr>
    </w:p>
    <w:p w14:paraId="003422A3" w14:textId="77777777" w:rsidR="00E839E1" w:rsidRPr="000A2E75" w:rsidRDefault="00E839E1" w:rsidP="00E839E1">
      <w:pPr>
        <w:spacing w:before="120"/>
        <w:ind w:firstLine="567"/>
        <w:jc w:val="both"/>
        <w:rPr>
          <w:rFonts w:ascii="Times New Roman" w:hAnsi="Times New Roman" w:cs="Times New Roman"/>
          <w:b/>
        </w:rPr>
      </w:pPr>
    </w:p>
    <w:p w14:paraId="6B21869A" w14:textId="77777777" w:rsidR="00E839E1" w:rsidRPr="000A2E75" w:rsidRDefault="00E839E1" w:rsidP="00E839E1">
      <w:pPr>
        <w:spacing w:before="120"/>
        <w:ind w:firstLine="567"/>
        <w:jc w:val="both"/>
        <w:rPr>
          <w:rFonts w:ascii="Times New Roman" w:hAnsi="Times New Roman" w:cs="Times New Roman"/>
          <w:b/>
        </w:rPr>
      </w:pPr>
    </w:p>
    <w:p w14:paraId="0035B56A" w14:textId="77777777" w:rsidR="00E839E1" w:rsidRPr="000A2E75" w:rsidRDefault="00E839E1" w:rsidP="00E839E1">
      <w:pPr>
        <w:spacing w:before="120"/>
        <w:ind w:firstLine="567"/>
        <w:jc w:val="both"/>
        <w:rPr>
          <w:rFonts w:ascii="Times New Roman" w:hAnsi="Times New Roman" w:cs="Times New Roman"/>
          <w:b/>
        </w:rPr>
      </w:pPr>
    </w:p>
    <w:p w14:paraId="277D61ED" w14:textId="77777777" w:rsidR="00E839E1" w:rsidRPr="000A2E75" w:rsidRDefault="00E839E1" w:rsidP="00E839E1">
      <w:pPr>
        <w:pStyle w:val="Balk1"/>
        <w:rPr>
          <w:rFonts w:ascii="Times New Roman" w:hAnsi="Times New Roman" w:cs="Times New Roman"/>
          <w:b/>
          <w:color w:val="000000" w:themeColor="text1"/>
          <w:sz w:val="24"/>
          <w:szCs w:val="24"/>
        </w:rPr>
      </w:pPr>
      <w:bookmarkStart w:id="280" w:name="_Toc69817059"/>
      <w:bookmarkStart w:id="281" w:name="_Toc70612081"/>
      <w:bookmarkStart w:id="282" w:name="_Toc72754698"/>
      <w:bookmarkStart w:id="283" w:name="_Toc72755970"/>
      <w:bookmarkStart w:id="284" w:name="_Toc72961782"/>
      <w:r w:rsidRPr="000A2E75">
        <w:rPr>
          <w:rFonts w:ascii="Times New Roman" w:hAnsi="Times New Roman" w:cs="Times New Roman"/>
          <w:b/>
          <w:color w:val="000000" w:themeColor="text1"/>
          <w:sz w:val="24"/>
          <w:szCs w:val="24"/>
        </w:rPr>
        <w:t>BECERİ TEMELLİ MATEMATİK SORULARINA İLİŞKİN ORTAOKUL ÖĞRETMENLERİN GÖRÜŞLERİ: NİTEL BİR ÇALIŞMA</w:t>
      </w:r>
      <w:bookmarkEnd w:id="280"/>
      <w:bookmarkEnd w:id="281"/>
      <w:bookmarkEnd w:id="282"/>
      <w:bookmarkEnd w:id="283"/>
      <w:bookmarkEnd w:id="284"/>
    </w:p>
    <w:p w14:paraId="10228058" w14:textId="77777777" w:rsidR="00E839E1" w:rsidRPr="000A2E75" w:rsidRDefault="00E839E1" w:rsidP="00E839E1">
      <w:pPr>
        <w:jc w:val="both"/>
        <w:rPr>
          <w:rFonts w:ascii="Times New Roman" w:hAnsi="Times New Roman" w:cs="Times New Roman"/>
          <w:color w:val="000000" w:themeColor="text1"/>
        </w:rPr>
      </w:pPr>
      <w:bookmarkStart w:id="285" w:name="_Toc69817060"/>
    </w:p>
    <w:p w14:paraId="16A25729" w14:textId="77777777" w:rsidR="00E839E1" w:rsidRPr="000A2E75" w:rsidRDefault="00E839E1" w:rsidP="00E839E1">
      <w:pPr>
        <w:pStyle w:val="Balk2"/>
        <w:rPr>
          <w:rFonts w:ascii="Times New Roman" w:hAnsi="Times New Roman" w:cs="Times New Roman"/>
          <w:b w:val="0"/>
          <w:i w:val="0"/>
          <w:color w:val="000000" w:themeColor="text1"/>
          <w:sz w:val="20"/>
          <w:szCs w:val="20"/>
          <w:lang w:val="tr-TR"/>
        </w:rPr>
      </w:pPr>
      <w:bookmarkStart w:id="286" w:name="_Toc70612082"/>
      <w:bookmarkStart w:id="287" w:name="_Toc72754699"/>
      <w:bookmarkStart w:id="288" w:name="_Toc72755971"/>
      <w:bookmarkStart w:id="289" w:name="_Toc72961783"/>
      <w:r w:rsidRPr="000A2E75">
        <w:rPr>
          <w:rStyle w:val="Balk2Char"/>
          <w:rFonts w:ascii="Times New Roman" w:hAnsi="Times New Roman" w:cs="Times New Roman"/>
          <w:sz w:val="20"/>
          <w:szCs w:val="20"/>
        </w:rPr>
        <w:t>Dr. Tuğba KILCAN</w:t>
      </w:r>
      <w:bookmarkEnd w:id="286"/>
      <w:r w:rsidRPr="000A2E75">
        <w:rPr>
          <w:rFonts w:ascii="Times New Roman" w:hAnsi="Times New Roman" w:cs="Times New Roman"/>
          <w:b w:val="0"/>
          <w:i w:val="0"/>
          <w:color w:val="000000" w:themeColor="text1"/>
          <w:sz w:val="20"/>
          <w:szCs w:val="20"/>
          <w:lang w:val="tr-TR"/>
        </w:rPr>
        <w:t>,</w:t>
      </w:r>
      <w:r w:rsidRPr="000A2E75">
        <w:rPr>
          <w:rFonts w:ascii="Times New Roman" w:hAnsi="Times New Roman" w:cs="Times New Roman"/>
          <w:b w:val="0"/>
          <w:color w:val="000000" w:themeColor="text1"/>
          <w:sz w:val="20"/>
          <w:szCs w:val="20"/>
          <w:lang w:val="tr-TR"/>
        </w:rPr>
        <w:t>Milli Eğitim Bakanlığı</w:t>
      </w:r>
      <w:r w:rsidRPr="000A2E75">
        <w:rPr>
          <w:rFonts w:ascii="Times New Roman" w:hAnsi="Times New Roman" w:cs="Times New Roman"/>
          <w:b w:val="0"/>
          <w:i w:val="0"/>
          <w:color w:val="000000" w:themeColor="text1"/>
          <w:sz w:val="20"/>
          <w:szCs w:val="20"/>
          <w:lang w:val="tr-TR"/>
        </w:rPr>
        <w:t>, Ankara,Türkiye</w:t>
      </w:r>
      <w:bookmarkEnd w:id="285"/>
      <w:bookmarkEnd w:id="287"/>
      <w:bookmarkEnd w:id="288"/>
      <w:bookmarkEnd w:id="289"/>
    </w:p>
    <w:p w14:paraId="6CF6734B" w14:textId="77777777" w:rsidR="00E839E1" w:rsidRPr="000A2E75" w:rsidRDefault="00E839E1" w:rsidP="00E839E1">
      <w:pPr>
        <w:jc w:val="both"/>
        <w:rPr>
          <w:rFonts w:ascii="Times New Roman" w:hAnsi="Times New Roman" w:cs="Times New Roman"/>
          <w:i/>
          <w:color w:val="000000" w:themeColor="text1"/>
        </w:rPr>
      </w:pPr>
      <w:r w:rsidRPr="000A2E75">
        <w:rPr>
          <w:rFonts w:ascii="Times New Roman" w:hAnsi="Times New Roman" w:cs="Times New Roman"/>
          <w:i/>
          <w:color w:val="000000" w:themeColor="text1"/>
        </w:rPr>
        <w:t>e-mail</w:t>
      </w:r>
      <w:r w:rsidRPr="000A2E75">
        <w:rPr>
          <w:rFonts w:ascii="Times New Roman" w:hAnsi="Times New Roman" w:cs="Times New Roman"/>
          <w:b/>
          <w:i/>
          <w:color w:val="000000" w:themeColor="text1"/>
        </w:rPr>
        <w:t xml:space="preserve">: </w:t>
      </w:r>
      <w:hyperlink r:id="rId385" w:history="1">
        <w:r w:rsidRPr="000A2E75">
          <w:rPr>
            <w:rStyle w:val="Kpr"/>
            <w:rFonts w:ascii="Times New Roman" w:hAnsi="Times New Roman" w:cs="Times New Roman"/>
          </w:rPr>
          <w:t>kilcantuğba@gmail.com</w:t>
        </w:r>
      </w:hyperlink>
      <w:r w:rsidRPr="000A2E75">
        <w:rPr>
          <w:rFonts w:ascii="Times New Roman" w:hAnsi="Times New Roman" w:cs="Times New Roman"/>
          <w:b/>
          <w:i/>
          <w:color w:val="000000" w:themeColor="text1"/>
        </w:rPr>
        <w:t xml:space="preserve"> </w:t>
      </w:r>
      <w:r w:rsidRPr="000A2E75">
        <w:rPr>
          <w:rFonts w:ascii="Times New Roman" w:hAnsi="Times New Roman" w:cs="Times New Roman"/>
          <w:i/>
          <w:color w:val="000000" w:themeColor="text1"/>
        </w:rPr>
        <w:t xml:space="preserve">ORCID ID : </w:t>
      </w:r>
      <w:r w:rsidRPr="000A2E75">
        <w:rPr>
          <w:rFonts w:ascii="Times New Roman" w:hAnsi="Times New Roman" w:cs="Times New Roman"/>
          <w:color w:val="000000" w:themeColor="text1"/>
        </w:rPr>
        <w:t>0000-0002-7154-6399</w:t>
      </w:r>
    </w:p>
    <w:p w14:paraId="45B1F550" w14:textId="77777777" w:rsidR="00E839E1" w:rsidRPr="000A2E75" w:rsidRDefault="00E839E1" w:rsidP="00E839E1">
      <w:pPr>
        <w:spacing w:before="120" w:after="120"/>
        <w:rPr>
          <w:rFonts w:ascii="Times New Roman" w:hAnsi="Times New Roman" w:cs="Times New Roman"/>
        </w:rPr>
      </w:pPr>
    </w:p>
    <w:p w14:paraId="571CDBA6" w14:textId="77777777" w:rsidR="00E839E1" w:rsidRPr="000A2E75" w:rsidRDefault="00E839E1" w:rsidP="00E839E1">
      <w:pPr>
        <w:spacing w:before="120" w:after="120"/>
        <w:rPr>
          <w:rFonts w:ascii="Times New Roman" w:hAnsi="Times New Roman" w:cs="Times New Roman"/>
          <w:b/>
        </w:rPr>
      </w:pPr>
      <w:r w:rsidRPr="000A2E75">
        <w:rPr>
          <w:rFonts w:ascii="Times New Roman" w:hAnsi="Times New Roman" w:cs="Times New Roman"/>
          <w:b/>
        </w:rPr>
        <w:t>Öz</w:t>
      </w:r>
    </w:p>
    <w:p w14:paraId="09234421" w14:textId="77777777" w:rsidR="00E839E1" w:rsidRPr="000A2E75" w:rsidRDefault="00E839E1" w:rsidP="00E839E1">
      <w:pPr>
        <w:spacing w:before="120" w:after="120"/>
        <w:jc w:val="both"/>
        <w:rPr>
          <w:rFonts w:ascii="Times New Roman" w:hAnsi="Times New Roman" w:cs="Times New Roman"/>
        </w:rPr>
      </w:pPr>
      <w:r w:rsidRPr="000A2E75">
        <w:rPr>
          <w:rFonts w:ascii="Times New Roman" w:hAnsi="Times New Roman" w:cs="Times New Roman"/>
        </w:rPr>
        <w:t>Günümüzde çağdaş eğitim sitemini benimsediğini söyleyen ve buna yönelik faaliyetler yapan her ülke, kendi eğitim sitemini ve buna bağlı olarak ortaya çıkan başarısını uluslararası boyuta taşımaktadır. Bu başarıların göstergesi olarak genelde uluslararası manada yapılan TIMSS, PISA gibi sınavların sonuçları gösterilmektedir. Dünyanın farklı ülkelerinin katıldığı bu sınavlarda ülkelerin elde ettikleri başarı sıralamaları, ülkelerin eğitim sistemlerinde değişikliğe gitmeleri için sebep oluşturabilmektedir. Bu bağlamda ülkemizin hem çağın gereklilikleri hem de uluslararası sınavlardaki başarı durumu göz önünde bulundurularak, Milli Eğitim Bakanlığı tarafından, Ortaöğretime Geçiş Uygulamasında belirlenen merkezi sınavın; kazanımlar çerçevesinde öğrencilerin okuduğunu anlama, yorumlama, sonuç çıkarma, problem çözme, analiz yapma, eleştirel düşünme, bilimsel süreç becerileri ve benzeri becerilerini ölçecek nitelikte hazırlanması gerektiğinin altı çizilmiştir. Değinilen bu nokta öğrencilerin uluslararası sınavlarda da karşılarına çıkan beceri temelli sorularla tanışmalarına yol açmıştır.  Yapılan mevcut çalışma, öğrencilerin karşılaştıkları beceri temelli soruların yer aldığı derslerden biri olan matematik dersini okutan öğretmenlerin beceri temelli sorulara ilişkin görüşlerini ortaya koymak amacıyla yapılmıştır. Nitel araştırma yöntemine uygun olarak 2020-2021 eğitim öğretim bahar döneminde Ankara ili Mamak, Çankaya ve Yenimahalle ilçelerinde görev yapan sekiz matematik öğretmeni ile yürütülen çalışmada veriler araştırmacı tarafından oluşturulan beceri temelli matematik sorularına ilişkin görüşme formu ile elde edilmiştir. İlgili form çalışma grubundaki kişilerden e-mail aracılığıyla elde edilmiş ve içerik analizi ile çözümlenmiştir. Çözümleme sonucunda araştırmanın bulguları beş temel boyut altında toplanmıştır. Bunlar “genel olarak beceri temelli sorular”, “beceri temelli soruların kazanımlarla ilişkisi”, “beceri temelli sorular ile ders kitabı ilişkisi”, “beceri temelli sorular ile kullanılan yöntem/teknik/strateji ilişkisi” ve “öğrenciler açısından beceri temelli sorular” şeklindedir. Sonuç olarak katılımcılar beceri temelli soruları önemli olarak görmekle birlikte, öğrencilerin bu sorulara alışmaları için hazırlanan müfredatın, ders kitaplarının ve ders süresinin yeterli olmadığını; beceri temelli soruların çözümünü kazandırmak için genel manada kullandıkları yöntem, teknik ve stratejiyi değiştirdiklerini ve öğrencilerin beceri temelli sorulara ilişkin olumsuz bir tutum içinde olduklarını dile getirmektedirler. Bu sonuçlardan yola çıkarak; beceri temelli matematik sorularının çözümünün kazandırılmasında ilgili dersin müfredatının ve ders kitaplarının her seviyeye ilişkin soru tarzlarından oluşacak şekilde, amaca uygun olarak güncellenmesinin hedeflenen başarıya ulaşmada katkı sağlayacağı düşünülebilir.</w:t>
      </w:r>
    </w:p>
    <w:p w14:paraId="28F94AC8" w14:textId="77777777" w:rsidR="00E839E1" w:rsidRPr="000A2E75" w:rsidRDefault="00E839E1" w:rsidP="00E839E1">
      <w:pPr>
        <w:spacing w:before="120" w:after="120"/>
        <w:jc w:val="both"/>
        <w:rPr>
          <w:rFonts w:ascii="Times New Roman" w:hAnsi="Times New Roman" w:cs="Times New Roman"/>
        </w:rPr>
      </w:pPr>
      <w:r w:rsidRPr="000A2E75">
        <w:rPr>
          <w:rFonts w:ascii="Times New Roman" w:hAnsi="Times New Roman" w:cs="Times New Roman"/>
          <w:b/>
        </w:rPr>
        <w:t>Anahtar kelimeler</w:t>
      </w:r>
      <w:r w:rsidRPr="000A2E75">
        <w:rPr>
          <w:rFonts w:ascii="Times New Roman" w:hAnsi="Times New Roman" w:cs="Times New Roman"/>
        </w:rPr>
        <w:t>: Beceri temelli sorular, ortaokul öğretmenleri, matematik dersi, nitel araştırma</w:t>
      </w:r>
    </w:p>
    <w:p w14:paraId="7EB6953F" w14:textId="34077222" w:rsidR="00E839E1" w:rsidRDefault="00E839E1" w:rsidP="00E839E1">
      <w:pPr>
        <w:spacing w:before="120" w:after="120"/>
        <w:jc w:val="both"/>
        <w:rPr>
          <w:rFonts w:ascii="Times New Roman" w:hAnsi="Times New Roman" w:cs="Times New Roman"/>
        </w:rPr>
      </w:pPr>
    </w:p>
    <w:p w14:paraId="1CB24869" w14:textId="568AC6A3" w:rsidR="008934F8" w:rsidRDefault="008934F8" w:rsidP="00E839E1">
      <w:pPr>
        <w:spacing w:before="120" w:after="120"/>
        <w:jc w:val="both"/>
        <w:rPr>
          <w:rFonts w:ascii="Times New Roman" w:hAnsi="Times New Roman" w:cs="Times New Roman"/>
        </w:rPr>
      </w:pPr>
    </w:p>
    <w:p w14:paraId="24F351D4" w14:textId="24B50743" w:rsidR="008934F8" w:rsidRDefault="008934F8" w:rsidP="00E839E1">
      <w:pPr>
        <w:spacing w:before="120" w:after="120"/>
        <w:jc w:val="both"/>
        <w:rPr>
          <w:rFonts w:ascii="Times New Roman" w:hAnsi="Times New Roman" w:cs="Times New Roman"/>
        </w:rPr>
      </w:pPr>
    </w:p>
    <w:p w14:paraId="4FE4576D" w14:textId="77777777" w:rsidR="008934F8" w:rsidRPr="000A2E75" w:rsidRDefault="008934F8" w:rsidP="00E839E1">
      <w:pPr>
        <w:spacing w:before="120" w:after="120"/>
        <w:jc w:val="both"/>
        <w:rPr>
          <w:rFonts w:ascii="Times New Roman" w:hAnsi="Times New Roman" w:cs="Times New Roman"/>
        </w:rPr>
      </w:pPr>
    </w:p>
    <w:p w14:paraId="3D8893BD" w14:textId="77777777" w:rsidR="00E839E1" w:rsidRPr="000A2E75" w:rsidRDefault="00E839E1" w:rsidP="00E839E1">
      <w:pPr>
        <w:spacing w:before="120" w:after="120"/>
        <w:jc w:val="both"/>
        <w:rPr>
          <w:rFonts w:ascii="Times New Roman" w:hAnsi="Times New Roman" w:cs="Times New Roman"/>
        </w:rPr>
      </w:pPr>
    </w:p>
    <w:p w14:paraId="3B988B42" w14:textId="77777777" w:rsidR="00E839E1" w:rsidRPr="000A2E75" w:rsidRDefault="00E839E1" w:rsidP="00E839E1">
      <w:pPr>
        <w:spacing w:before="120" w:after="120"/>
        <w:jc w:val="center"/>
        <w:rPr>
          <w:rFonts w:ascii="Times New Roman" w:hAnsi="Times New Roman" w:cs="Times New Roman"/>
          <w:b/>
          <w:sz w:val="24"/>
          <w:szCs w:val="24"/>
        </w:rPr>
      </w:pPr>
      <w:r w:rsidRPr="000A2E75">
        <w:rPr>
          <w:rFonts w:ascii="Times New Roman" w:hAnsi="Times New Roman" w:cs="Times New Roman"/>
          <w:b/>
          <w:sz w:val="24"/>
          <w:szCs w:val="24"/>
        </w:rPr>
        <w:lastRenderedPageBreak/>
        <w:t>OPINIONS OF SECONDARY SCHOOL TEACHERS ON SKILL-BASED MATH QUESTIONS: A QUALITATIVE STUDY</w:t>
      </w:r>
    </w:p>
    <w:p w14:paraId="66233565" w14:textId="77777777" w:rsidR="00E839E1" w:rsidRPr="000A2E75" w:rsidRDefault="00E839E1" w:rsidP="00E839E1">
      <w:pPr>
        <w:spacing w:before="120" w:after="120"/>
        <w:jc w:val="both"/>
        <w:rPr>
          <w:rFonts w:ascii="Times New Roman" w:hAnsi="Times New Roman" w:cs="Times New Roman"/>
        </w:rPr>
      </w:pPr>
    </w:p>
    <w:p w14:paraId="6FC45C66" w14:textId="77777777" w:rsidR="00E839E1" w:rsidRPr="000A2E75" w:rsidRDefault="00E839E1" w:rsidP="00E839E1">
      <w:pPr>
        <w:spacing w:before="120" w:after="120"/>
        <w:jc w:val="both"/>
        <w:rPr>
          <w:rFonts w:ascii="Times New Roman" w:hAnsi="Times New Roman" w:cs="Times New Roman"/>
          <w:b/>
        </w:rPr>
      </w:pPr>
    </w:p>
    <w:p w14:paraId="5B19A6CB" w14:textId="77777777" w:rsidR="00E839E1" w:rsidRPr="000A2E75" w:rsidRDefault="00E839E1" w:rsidP="00E839E1">
      <w:pPr>
        <w:spacing w:before="120" w:after="120"/>
        <w:jc w:val="both"/>
        <w:rPr>
          <w:rFonts w:ascii="Times New Roman" w:hAnsi="Times New Roman" w:cs="Times New Roman"/>
          <w:b/>
        </w:rPr>
      </w:pPr>
      <w:r w:rsidRPr="000A2E75">
        <w:rPr>
          <w:rFonts w:ascii="Times New Roman" w:hAnsi="Times New Roman" w:cs="Times New Roman"/>
          <w:b/>
        </w:rPr>
        <w:t>Abstract</w:t>
      </w:r>
    </w:p>
    <w:p w14:paraId="0220AFC3" w14:textId="77777777" w:rsidR="00E839E1" w:rsidRPr="000A2E75" w:rsidRDefault="00E839E1" w:rsidP="00E839E1">
      <w:pPr>
        <w:spacing w:before="120" w:after="120"/>
        <w:jc w:val="both"/>
        <w:rPr>
          <w:rFonts w:ascii="Times New Roman" w:hAnsi="Times New Roman" w:cs="Times New Roman"/>
        </w:rPr>
      </w:pPr>
      <w:r w:rsidRPr="000A2E75">
        <w:rPr>
          <w:rFonts w:ascii="Times New Roman" w:hAnsi="Times New Roman" w:cs="Times New Roman"/>
        </w:rPr>
        <w:t>Today, every country which says that it adopts the modern education system and does activities related to it, carries its own education system and its success to the international dimension. As an indicator of these successes, the results of international exams such as TIMSS and PISA are shown. The rankings of success achieved by countries in these exams, in which different countries of the world participate, may cause countries to change their education systems. In this context, taking into account both the requirements of our country and the success in international exams, the central exam determined by the Ministry of National Education in the Transition to Secondary Education Practice, it was underlined that it should be prepared in a way to measure students' reading comprehension, interpretation, inference, problem solving, analysis, critical thinking, scientific process and similar skills. This point made the students meet with the skill-based questions they encountered in international exams. The present study was done to reveal the opinions of teachers who teach the mathematics lesson that is one of the skills-based questions faced by students on the skill-based questions. In the study conducted with eight mathematics teachers working in Mamak, Çankaya and Yenimahalle districts of Ankara province in the spring term of 2020-2021 academic year in accordance with the qualitative research method, the data were obtained through the interview form regarding the skill-based mathematics questions created by the researcher. The relevant form was obtained from the people in the working group via e-mail and analyzed by content analysis. As a result of the analysis, the findings of the research were collected under five basic dimensions. These are "skill-based questions in general", "relation of skill-based questions with acquisitions", "relation of skill-based questions with textbook", "relation of method / technique / strategy with skill-based questions" and "skill-based questions for students". As a result, although the participants see the skill-based questions as important, the curriculum, textbooks and course time prepared for the students to get used to these questions are not sufficient; they stated that they changed the general method, technique and strategy they used to solve skills-based questions and that students had a negative attitude towards skill-based questions. Based on these results it can be thought that updating the curriculum and textbooks of the relevant course in accordance with the purpose, consisting of question styles related to each level, will contribute to achieving the targeted success.</w:t>
      </w:r>
    </w:p>
    <w:p w14:paraId="3B03828A" w14:textId="77777777" w:rsidR="00E839E1" w:rsidRPr="000A2E75" w:rsidRDefault="00E839E1" w:rsidP="00E839E1">
      <w:pPr>
        <w:spacing w:before="120" w:after="120"/>
        <w:jc w:val="both"/>
        <w:rPr>
          <w:rFonts w:ascii="Times New Roman" w:hAnsi="Times New Roman" w:cs="Times New Roman"/>
        </w:rPr>
      </w:pPr>
      <w:r w:rsidRPr="000A2E75">
        <w:rPr>
          <w:rFonts w:ascii="Times New Roman" w:hAnsi="Times New Roman" w:cs="Times New Roman"/>
          <w:b/>
        </w:rPr>
        <w:t>Key words</w:t>
      </w:r>
      <w:r w:rsidRPr="000A2E75">
        <w:rPr>
          <w:rFonts w:ascii="Times New Roman" w:hAnsi="Times New Roman" w:cs="Times New Roman"/>
        </w:rPr>
        <w:t>: Skill-based questions, middle school teachers, maths lesson, qualitative research</w:t>
      </w:r>
    </w:p>
    <w:p w14:paraId="10B3B28B" w14:textId="77777777" w:rsidR="00E839E1" w:rsidRPr="000A2E75" w:rsidRDefault="00E839E1" w:rsidP="00E839E1">
      <w:pPr>
        <w:spacing w:before="120" w:after="120"/>
        <w:jc w:val="both"/>
        <w:rPr>
          <w:rFonts w:ascii="Times New Roman" w:hAnsi="Times New Roman" w:cs="Times New Roman"/>
        </w:rPr>
      </w:pPr>
    </w:p>
    <w:p w14:paraId="58D530C6" w14:textId="77777777" w:rsidR="00E839E1" w:rsidRPr="000A2E75" w:rsidRDefault="00E839E1" w:rsidP="00E839E1">
      <w:pPr>
        <w:spacing w:before="120" w:after="120"/>
        <w:jc w:val="both"/>
        <w:rPr>
          <w:rFonts w:ascii="Times New Roman" w:hAnsi="Times New Roman" w:cs="Times New Roman"/>
          <w:b/>
        </w:rPr>
      </w:pPr>
      <w:r w:rsidRPr="000A2E75">
        <w:rPr>
          <w:rFonts w:ascii="Times New Roman" w:hAnsi="Times New Roman" w:cs="Times New Roman"/>
          <w:b/>
        </w:rPr>
        <w:t>Giriş</w:t>
      </w:r>
    </w:p>
    <w:p w14:paraId="05BCF134" w14:textId="77777777" w:rsidR="00E839E1" w:rsidRPr="000A2E75" w:rsidRDefault="00E839E1" w:rsidP="00E839E1">
      <w:pPr>
        <w:spacing w:before="120" w:after="120"/>
        <w:jc w:val="both"/>
        <w:rPr>
          <w:rFonts w:ascii="Times New Roman" w:hAnsi="Times New Roman" w:cs="Times New Roman"/>
          <w:color w:val="000000"/>
        </w:rPr>
      </w:pPr>
      <w:r w:rsidRPr="000A2E75">
        <w:rPr>
          <w:rFonts w:ascii="Times New Roman" w:hAnsi="Times New Roman" w:cs="Times New Roman"/>
        </w:rPr>
        <w:t xml:space="preserve">Yaşadığımız çağda hızla gerçekleşen değişim ve dönüşümler toplumları ve bu toplumların içerisinde yer alan eğitim kurumlarını şekillendirmektedir. Eğitim kurumları bir yandan bu değişim ve dönüşümler çerçevesinde kendini şekillendirirken bir yandan da yetiştirdiği bireylerin bu değişimlere uyumlu olmaları konusunda gayret göstermekte (Erden, 2020) </w:t>
      </w:r>
      <w:r w:rsidRPr="000A2E75">
        <w:rPr>
          <w:rFonts w:ascii="Times New Roman" w:hAnsi="Times New Roman" w:cs="Times New Roman"/>
          <w:color w:val="000000"/>
        </w:rPr>
        <w:t>öğrencilerin okul ortamında sadece bilgi edinen değil aynı zamanda yenetekli, kendinden emin ve öğrenmeye istekli bireyler olmalarını da amaçlamaktadır. Bu nedenle, eğitim kurumlarında alınan eğitimin sonuçlarının genel bir değerlendirmesinin sadece öğrencilerin bilgi ve anlayışlarını değil, aynı zamanda öğrenme yaklaşımlarını da dikkate alınarak yapılması çağdaş eğitim sitemi ile hedeflenenlerin görülmesi bakımından önemlidir (</w:t>
      </w:r>
      <w:r w:rsidRPr="000A2E75">
        <w:rPr>
          <w:rFonts w:ascii="Times New Roman" w:hAnsi="Times New Roman" w:cs="Times New Roman"/>
        </w:rPr>
        <w:t>Artelt, Baumert, Julius-McElvany, &amp; Peschar, 2003). </w:t>
      </w:r>
    </w:p>
    <w:p w14:paraId="3C7E0021" w14:textId="77777777" w:rsidR="00E839E1" w:rsidRPr="000A2E75" w:rsidRDefault="00E839E1" w:rsidP="00E839E1">
      <w:pPr>
        <w:spacing w:before="120" w:after="120"/>
        <w:jc w:val="both"/>
        <w:rPr>
          <w:rFonts w:ascii="Times New Roman" w:hAnsi="Times New Roman" w:cs="Times New Roman"/>
          <w:color w:val="000000"/>
        </w:rPr>
      </w:pPr>
      <w:r w:rsidRPr="000A2E75">
        <w:rPr>
          <w:rFonts w:ascii="Times New Roman" w:hAnsi="Times New Roman" w:cs="Times New Roman"/>
          <w:color w:val="000000"/>
        </w:rPr>
        <w:t xml:space="preserve">Dünyada soğuk savaşın sona ermesine paralel olarak küreselleşmenin yükselişi, ülkelerin eğitim sistemlerindeki başarılarını diğer ülkelerin yakaladıkları başarı ile karşılaştırmalarına ve bu da ülkelerin ulusal eğitim politikalarında uluslararası başarı sıralamalarını yakalayabilmek için artan bir baskının </w:t>
      </w:r>
      <w:r w:rsidRPr="000A2E75">
        <w:rPr>
          <w:rFonts w:ascii="Times New Roman" w:hAnsi="Times New Roman" w:cs="Times New Roman"/>
          <w:color w:val="000000"/>
        </w:rPr>
        <w:lastRenderedPageBreak/>
        <w:t>ortaya çıkmasına yol açarken (</w:t>
      </w:r>
      <w:r w:rsidRPr="000A2E75">
        <w:rPr>
          <w:rFonts w:ascii="Times New Roman" w:hAnsi="Times New Roman" w:cs="Times New Roman"/>
        </w:rPr>
        <w:t>Sellar and Lingard, 2014</w:t>
      </w:r>
      <w:r w:rsidRPr="000A2E75">
        <w:rPr>
          <w:rFonts w:ascii="Times New Roman" w:hAnsi="Times New Roman" w:cs="Times New Roman"/>
          <w:color w:val="000000"/>
        </w:rPr>
        <w:t>) bu durum aynı zamanda, ülkelerin hem yürüttükleri eğitimsel faaliyetlerin sonucunu görmelerine hem de benimsedikleri eğitim sistemleri ve politikaları hakkında bilgi sahibi olmalarına imkan sağlayan merkezi değerlendirme sınavlarına katılmalarını gerekli hale getirmiştir.</w:t>
      </w:r>
    </w:p>
    <w:p w14:paraId="48D7BA38" w14:textId="77777777" w:rsidR="00E839E1" w:rsidRPr="000A2E75" w:rsidRDefault="00E839E1" w:rsidP="00E839E1">
      <w:pPr>
        <w:spacing w:before="120" w:after="120"/>
        <w:jc w:val="both"/>
        <w:rPr>
          <w:rFonts w:ascii="Times New Roman" w:hAnsi="Times New Roman" w:cs="Times New Roman"/>
        </w:rPr>
      </w:pPr>
      <w:r w:rsidRPr="000A2E75">
        <w:rPr>
          <w:rFonts w:ascii="Times New Roman" w:hAnsi="Times New Roman" w:cs="Times New Roman"/>
          <w:color w:val="000000"/>
        </w:rPr>
        <w:t>Literatürde yüksek risk içerin sınavlar  (</w:t>
      </w:r>
      <w:r w:rsidRPr="000A2E75">
        <w:rPr>
          <w:rFonts w:ascii="Times New Roman" w:hAnsi="Times New Roman" w:cs="Times New Roman"/>
          <w:bCs/>
        </w:rPr>
        <w:t xml:space="preserve">Diamond, 2007; </w:t>
      </w:r>
      <w:r w:rsidRPr="000A2E75">
        <w:rPr>
          <w:rFonts w:ascii="Times New Roman" w:hAnsi="Times New Roman" w:cs="Times New Roman"/>
          <w:color w:val="000000"/>
        </w:rPr>
        <w:t xml:space="preserve"> </w:t>
      </w:r>
      <w:r w:rsidRPr="000A2E75">
        <w:rPr>
          <w:rFonts w:ascii="Times New Roman" w:hAnsi="Times New Roman" w:cs="Times New Roman"/>
          <w:bCs/>
          <w:iCs/>
        </w:rPr>
        <w:t xml:space="preserve">Hamilton,Stecher and Klein, 2002) </w:t>
      </w:r>
      <w:r w:rsidRPr="000A2E75">
        <w:rPr>
          <w:rFonts w:ascii="Times New Roman" w:hAnsi="Times New Roman" w:cs="Times New Roman"/>
          <w:color w:val="000000"/>
        </w:rPr>
        <w:t xml:space="preserve">şeklinde tarif edilen ve ülkelerin eğitim sistemlerinin mevcut başarı düzeylerinin belirlenmesinde kullanılan ve ülkelerin diğer ülkelerle başarılarının karşılaştırılmasına da imkan sağlayan geniş ölçekli bu sınavların sayısı çok da fazla değildir. </w:t>
      </w:r>
      <w:r w:rsidRPr="000A2E75">
        <w:rPr>
          <w:rFonts w:ascii="Times New Roman" w:hAnsi="Times New Roman" w:cs="Times New Roman"/>
        </w:rPr>
        <w:t xml:space="preserve">İlerlemecilik felsefesi bakış açısıyla günlük hayatta karşılığı olan müfredatların sonucunda, uluslararası normlara sahip ölçme değerlendirmede sınavları olan PISA, TIMSS (Çepni, 2020) gibi sınavlar birçok ülke tarafından katılımın sağlandığı ve kamuoyu tarafından da dikkatle takip edilen </w:t>
      </w:r>
      <w:r w:rsidRPr="000A2E75">
        <w:rPr>
          <w:rFonts w:ascii="Times New Roman" w:hAnsi="Times New Roman" w:cs="Times New Roman"/>
          <w:color w:val="000000"/>
        </w:rPr>
        <w:t xml:space="preserve">geniş ölçekli </w:t>
      </w:r>
      <w:r w:rsidRPr="000A2E75">
        <w:rPr>
          <w:rFonts w:ascii="Times New Roman" w:hAnsi="Times New Roman" w:cs="Times New Roman"/>
        </w:rPr>
        <w:t>sınavlar arasında yer almaktadır (Gürlen, Demirkaya ve Doğan, 2019).</w:t>
      </w:r>
    </w:p>
    <w:p w14:paraId="170FD415" w14:textId="77777777" w:rsidR="00E839E1" w:rsidRPr="000A2E75" w:rsidRDefault="00E839E1" w:rsidP="00E839E1">
      <w:pPr>
        <w:spacing w:before="120" w:after="120"/>
        <w:jc w:val="both"/>
        <w:rPr>
          <w:rFonts w:ascii="Times New Roman" w:hAnsi="Times New Roman" w:cs="Times New Roman"/>
        </w:rPr>
      </w:pPr>
      <w:r w:rsidRPr="000A2E75">
        <w:rPr>
          <w:rFonts w:ascii="Times New Roman" w:hAnsi="Times New Roman" w:cs="Times New Roman"/>
        </w:rPr>
        <w:t xml:space="preserve">Program for International Student Assesment (PISA), 2000 yılından itibaren üç yılda bir, 15 yaş grubundaki öğrencilerin katıldığı sosyal ve ekonomik hayata tam manasıyla katılım sağlayabilmek için onların </w:t>
      </w:r>
      <w:r w:rsidRPr="000A2E75">
        <w:rPr>
          <w:rStyle w:val="A7"/>
          <w:rFonts w:ascii="Times New Roman" w:hAnsi="Times New Roman" w:cs="Times New Roman"/>
          <w:sz w:val="22"/>
          <w:szCs w:val="22"/>
        </w:rPr>
        <w:t xml:space="preserve">fen, matematik ve okuma alanlarındaki </w:t>
      </w:r>
      <w:r w:rsidRPr="000A2E75">
        <w:rPr>
          <w:rFonts w:ascii="Times New Roman" w:hAnsi="Times New Roman" w:cs="Times New Roman"/>
        </w:rPr>
        <w:t xml:space="preserve">temel bilgi ve becerileri ne ölçüde edinmiş olduklarını </w:t>
      </w:r>
      <w:r w:rsidRPr="000A2E75">
        <w:rPr>
          <w:rFonts w:ascii="Times New Roman" w:hAnsi="Times New Roman" w:cs="Times New Roman"/>
          <w:color w:val="000000"/>
        </w:rPr>
        <w:t>uluslararası kabul görmüş bir ölçüt aracılığıyla doğrudan test etmeye imkan tanımaktadır (</w:t>
      </w:r>
      <w:r w:rsidRPr="000A2E75">
        <w:rPr>
          <w:rFonts w:ascii="Times New Roman" w:hAnsi="Times New Roman" w:cs="Times New Roman"/>
        </w:rPr>
        <w:t xml:space="preserve">Altun ve Bozkurt, 2017; Altun ve Akkaya, 2014; </w:t>
      </w:r>
      <w:r w:rsidRPr="000A2E75">
        <w:rPr>
          <w:rStyle w:val="A7"/>
          <w:rFonts w:ascii="Times New Roman" w:hAnsi="Times New Roman" w:cs="Times New Roman"/>
          <w:sz w:val="22"/>
          <w:szCs w:val="22"/>
        </w:rPr>
        <w:t xml:space="preserve">OECD, 2016; 2019, </w:t>
      </w:r>
      <w:r w:rsidRPr="000A2E75">
        <w:rPr>
          <w:rFonts w:ascii="Times New Roman" w:hAnsi="Times New Roman" w:cs="Times New Roman"/>
        </w:rPr>
        <w:t xml:space="preserve">Batur, Ulutaş ve Beyret, 2019; Schleicher, 2019; Stacey, 2011; </w:t>
      </w:r>
      <w:r w:rsidRPr="000A2E75">
        <w:rPr>
          <w:rFonts w:ascii="Times New Roman" w:hAnsi="Times New Roman" w:cs="Times New Roman"/>
          <w:color w:val="000000"/>
          <w:shd w:val="clear" w:color="auto" w:fill="FFFFFF"/>
        </w:rPr>
        <w:t>Thomson, De Bortoli, Nicholas, Hillman, &amp; Buckley, 2010).</w:t>
      </w:r>
      <w:r w:rsidRPr="000A2E75">
        <w:rPr>
          <w:rFonts w:ascii="Times New Roman" w:hAnsi="Times New Roman" w:cs="Times New Roman"/>
        </w:rPr>
        <w:t xml:space="preserve"> </w:t>
      </w:r>
      <w:r w:rsidRPr="000A2E75">
        <w:rPr>
          <w:rFonts w:ascii="Times New Roman" w:hAnsi="Times New Roman" w:cs="Times New Roman"/>
          <w:color w:val="000000"/>
        </w:rPr>
        <w:t xml:space="preserve">Trends in International Mathematics and Science Study (TIMSS) ise 1995 yılından itibaren </w:t>
      </w:r>
      <w:r w:rsidRPr="000A2E75">
        <w:rPr>
          <w:rFonts w:ascii="Times New Roman" w:hAnsi="Times New Roman" w:cs="Times New Roman"/>
        </w:rPr>
        <w:t xml:space="preserve">dört yıllık periyotlarda eğitim sistemlerinin üç </w:t>
      </w:r>
      <w:r w:rsidRPr="000A2E75">
        <w:rPr>
          <w:rFonts w:ascii="Times New Roman" w:hAnsi="Times New Roman" w:cs="Times New Roman"/>
          <w:color w:val="000000"/>
        </w:rPr>
        <w:t xml:space="preserve">seviyesinde yürütülen matematik ve fen alanlarında öğrenci </w:t>
      </w:r>
      <w:r w:rsidRPr="000A2E75">
        <w:rPr>
          <w:rFonts w:ascii="Times New Roman" w:hAnsi="Times New Roman" w:cs="Times New Roman"/>
        </w:rPr>
        <w:t>başarısı izleme araştırması (Martin and Kelly, 1996; MEB, 2020)</w:t>
      </w:r>
      <w:r w:rsidRPr="000A2E75">
        <w:rPr>
          <w:rFonts w:ascii="Times New Roman" w:hAnsi="Times New Roman" w:cs="Times New Roman"/>
          <w:color w:val="000000"/>
        </w:rPr>
        <w:t xml:space="preserve"> olarak bilinmektedir.</w:t>
      </w:r>
    </w:p>
    <w:p w14:paraId="5547E605" w14:textId="77777777" w:rsidR="00E839E1" w:rsidRPr="000A2E75" w:rsidRDefault="00E839E1" w:rsidP="00E839E1">
      <w:pPr>
        <w:spacing w:before="120" w:after="120"/>
        <w:jc w:val="both"/>
        <w:rPr>
          <w:rFonts w:ascii="Times New Roman" w:hAnsi="Times New Roman" w:cs="Times New Roman"/>
        </w:rPr>
      </w:pPr>
      <w:r w:rsidRPr="000A2E75">
        <w:rPr>
          <w:rFonts w:ascii="Times New Roman" w:hAnsi="Times New Roman" w:cs="Times New Roman"/>
        </w:rPr>
        <w:t xml:space="preserve">Dünya çapında gerçekleştirilen bu sınavlar gerçekleştirildikleri ilk günlerden bu yana bazı ülkelerin eğitim sistemlerine </w:t>
      </w:r>
      <w:r w:rsidRPr="000A2E75">
        <w:rPr>
          <w:rFonts w:ascii="Times New Roman" w:hAnsi="Times New Roman" w:cs="Times New Roman"/>
          <w:color w:val="000000"/>
        </w:rPr>
        <w:t>büyük ölçüde başarı getirmekte, bu sayede katılım sağlayan ülkelerin kamuoyunda önemli ölçüde yankı uyandırmakta (</w:t>
      </w:r>
      <w:r w:rsidRPr="000A2E75">
        <w:rPr>
          <w:rFonts w:ascii="Times New Roman" w:hAnsi="Times New Roman" w:cs="Times New Roman"/>
        </w:rPr>
        <w:t>Sellar and Lingard, 2014</w:t>
      </w:r>
      <w:r w:rsidRPr="000A2E75">
        <w:rPr>
          <w:rFonts w:ascii="Times New Roman" w:hAnsi="Times New Roman" w:cs="Times New Roman"/>
          <w:color w:val="000000"/>
        </w:rPr>
        <w:t xml:space="preserve">) ve </w:t>
      </w:r>
      <w:r w:rsidRPr="000A2E75">
        <w:rPr>
          <w:rFonts w:ascii="Times New Roman" w:hAnsi="Times New Roman" w:cs="Times New Roman"/>
        </w:rPr>
        <w:t>ülkelerin eğitimsel argümanlarının ve politikalarının şekillenmesine etki etmektedir (Gürlen, Demirkaya ve Doğan, 2019)</w:t>
      </w:r>
    </w:p>
    <w:p w14:paraId="42503717" w14:textId="77777777" w:rsidR="00E839E1" w:rsidRPr="000A2E75" w:rsidRDefault="00E839E1" w:rsidP="00E839E1">
      <w:pPr>
        <w:autoSpaceDE w:val="0"/>
        <w:autoSpaceDN w:val="0"/>
        <w:adjustRightInd w:val="0"/>
        <w:spacing w:before="120" w:after="120"/>
        <w:jc w:val="both"/>
        <w:rPr>
          <w:rFonts w:ascii="Times New Roman" w:hAnsi="Times New Roman" w:cs="Times New Roman"/>
        </w:rPr>
      </w:pPr>
      <w:r w:rsidRPr="000A2E75">
        <w:rPr>
          <w:rFonts w:ascii="Times New Roman" w:hAnsi="Times New Roman" w:cs="Times New Roman"/>
        </w:rPr>
        <w:t xml:space="preserve">Ülkemizin, uluslararası düzeyde uygulanan ve ülkelerin eğitim düzeylerinin birbirleriyle karşılaştırılmasına imkân veren PISA, TIMSS gibi merkezi yüksek riskli sınavlardaki başarı düzeyinin diğer ülkelere göre gerilerde kalması, eğitim sitemimizde bir takım sorunların olduğunun ve değişime ihtiyaç duyulduğunun göstergesi olmuştur. Bu bağlamda, uluslararası sınavlarda istenilen başarının yakalanabilmesi için öğretim programlarında davranışçı yaklaşım terk edilerek yapılandırmacı yaklaşım esas alınmış ve böylelikle öğrenme ortamlarının tasarımından ders materyallerine kadar olan birçok eğitimsel argümanda değişiklikler yapılmıştır (Altun ve Akkaya, 2014). Bu değişikliklerden birisi de Türkiye’deki merkezi yüksek riskli sınavlardan olan ve sekizinci </w:t>
      </w:r>
      <w:r w:rsidRPr="000A2E75">
        <w:rPr>
          <w:rFonts w:ascii="Times New Roman" w:hAnsi="Times New Roman" w:cs="Times New Roman"/>
          <w:color w:val="000000"/>
        </w:rPr>
        <w:t xml:space="preserve">sınıf öğrencilerinin liselere yerleşebilmelerine 2018 yılından beridir imkan </w:t>
      </w:r>
      <w:r w:rsidRPr="000A2E75">
        <w:rPr>
          <w:rFonts w:ascii="Times New Roman" w:hAnsi="Times New Roman" w:cs="Times New Roman"/>
        </w:rPr>
        <w:t xml:space="preserve">sağlayan </w:t>
      </w:r>
      <w:r w:rsidRPr="000A2E75">
        <w:rPr>
          <w:rFonts w:ascii="Times New Roman" w:hAnsi="Times New Roman" w:cs="Times New Roman"/>
          <w:color w:val="000000"/>
        </w:rPr>
        <w:t>Liselere Geçiş Sistemidir (LGS). Bu sınav sistemi aynı uluslararası öğrenci değerlendirme sınavları (PISA, TIMSS) gibi bilginin yanında, öğrencilerin okulda öğrendikleri bilgileri günlük hayatta uygulamalarına yarayan becerilerin de ölçüldüğü bir sınav olarak görülmektedir (Ormancı, 2019). Öğrenciler bu sınavda, yukarıda değinilen PISA, TIMSS gibi sınavlarda sorulan sorulara hazırlık olabilecek mahiyette beceri temelli sorular, yeni nesil sorular, bağlam temelli sorular gibi tanımlamalarla da ifadelendirilen sorularla karşılaşmaktadır (Erden, 2020; Kertil, Gülbağcı-Dede ve Ulusoy, 2021).</w:t>
      </w:r>
    </w:p>
    <w:p w14:paraId="1A5E4F11" w14:textId="77777777" w:rsidR="00E839E1" w:rsidRPr="000A2E75" w:rsidRDefault="00E839E1" w:rsidP="00E839E1">
      <w:pPr>
        <w:autoSpaceDE w:val="0"/>
        <w:autoSpaceDN w:val="0"/>
        <w:adjustRightInd w:val="0"/>
        <w:spacing w:before="120" w:after="120"/>
        <w:jc w:val="both"/>
        <w:rPr>
          <w:rFonts w:ascii="Times New Roman" w:hAnsi="Times New Roman" w:cs="Times New Roman"/>
        </w:rPr>
      </w:pPr>
      <w:r w:rsidRPr="000A2E75">
        <w:rPr>
          <w:rFonts w:ascii="Times New Roman" w:hAnsi="Times New Roman" w:cs="Times New Roman"/>
        </w:rPr>
        <w:t>Beceri temelli sorular öğrencinin</w:t>
      </w:r>
      <w:r w:rsidRPr="000A2E75">
        <w:rPr>
          <w:rFonts w:ascii="Times New Roman" w:hAnsi="Times New Roman" w:cs="Times New Roman"/>
          <w:color w:val="000000"/>
        </w:rPr>
        <w:t xml:space="preserve"> bir problemi çözerken, problemin durumunu deneyimleriyle ilişkilendirebildiği (Wijaya, Van den Heuvel-Panhuizen, Doorman, &amp; Robitzsch, 2014) </w:t>
      </w:r>
      <w:r w:rsidRPr="000A2E75">
        <w:rPr>
          <w:rFonts w:ascii="Times New Roman" w:hAnsi="Times New Roman" w:cs="Times New Roman"/>
        </w:rPr>
        <w:t>ve öğrencilere bazı becerileri kazandırmaları beklenen (</w:t>
      </w:r>
      <w:r w:rsidRPr="000A2E75">
        <w:rPr>
          <w:rFonts w:ascii="Times New Roman" w:hAnsi="Times New Roman" w:cs="Times New Roman"/>
          <w:bCs/>
        </w:rPr>
        <w:t xml:space="preserve">Sanca, Artun, Bakırcı, ve Okur, 2021) </w:t>
      </w:r>
      <w:r w:rsidRPr="000A2E75">
        <w:rPr>
          <w:rFonts w:ascii="Times New Roman" w:hAnsi="Times New Roman" w:cs="Times New Roman"/>
        </w:rPr>
        <w:t xml:space="preserve">eğitimcilere de bilindik objektif maddelerle ölçülmesi mümkün görünmeyen üst düzey düşünme becerilerini ölçmeye imkan tanıyan (Miller, Linn, &amp; Gronlund, 2009 aktaran </w:t>
      </w:r>
      <w:r w:rsidRPr="000A2E75">
        <w:rPr>
          <w:rFonts w:ascii="Times New Roman" w:hAnsi="Times New Roman" w:cs="Times New Roman"/>
          <w:color w:val="000000"/>
        </w:rPr>
        <w:t>Kertil, Gülbağcı-Dede ve Ulusoy, 2021</w:t>
      </w:r>
      <w:r w:rsidRPr="000A2E75">
        <w:rPr>
          <w:rFonts w:ascii="Times New Roman" w:hAnsi="Times New Roman" w:cs="Times New Roman"/>
        </w:rPr>
        <w:t>) sorular olarak bilinmektedir.</w:t>
      </w:r>
    </w:p>
    <w:p w14:paraId="2F0BED42" w14:textId="77777777" w:rsidR="00E839E1" w:rsidRPr="000A2E75" w:rsidRDefault="00E839E1" w:rsidP="00E839E1">
      <w:pPr>
        <w:spacing w:before="120" w:after="120"/>
        <w:jc w:val="both"/>
        <w:rPr>
          <w:rFonts w:ascii="Times New Roman" w:hAnsi="Times New Roman" w:cs="Times New Roman"/>
        </w:rPr>
      </w:pPr>
      <w:r w:rsidRPr="000A2E75">
        <w:rPr>
          <w:rFonts w:ascii="Times New Roman" w:hAnsi="Times New Roman" w:cs="Times New Roman"/>
        </w:rPr>
        <w:lastRenderedPageBreak/>
        <w:t>Ülkemizde alışıldık şekilde direkt bilgiye dayalı ve işlem gerektiren çoktan seçmeli sorularda öğrencilerin genelde başarı gösterdikleri, bilginin nasıl kullanıldığını ve problem çözme için üst düzey beceriler gerektiren beceri temelli sorularda ise zorlandıkları bilinmektedir (Çepni, 2020). Bu durum uluslararası boyutta gerçekleştirilen TIMSS ve PISA gibi sınavlarda yakalanan başarıların değerlendirildiği raporlara yansımaktadır. İlgili raporlarda ülkemizin ders ve yıl bazlı değerlendirmelerinde farklılıklar görülse de her iki sınava yönelik son değerlendirmelerde (MEB, 2019; 2020) beklentilerin istendik düzeylerde olmadığı görülmektedir.</w:t>
      </w:r>
    </w:p>
    <w:p w14:paraId="7799CBA6" w14:textId="77777777" w:rsidR="00E839E1" w:rsidRPr="000A2E75" w:rsidRDefault="00E839E1" w:rsidP="00E839E1">
      <w:pPr>
        <w:spacing w:before="120" w:after="120"/>
        <w:jc w:val="both"/>
        <w:rPr>
          <w:rFonts w:ascii="Times New Roman" w:hAnsi="Times New Roman" w:cs="Times New Roman"/>
        </w:rPr>
      </w:pPr>
      <w:r w:rsidRPr="000A2E75">
        <w:rPr>
          <w:rFonts w:ascii="Times New Roman" w:hAnsi="Times New Roman" w:cs="Times New Roman"/>
        </w:rPr>
        <w:t>PISA ve TIMSS gibi sınavlara ülkelerin eğitim sıralamalarının belirlenmesinde matematik sorularındaki başarısı önemli bir role sahiptir.  Çünkü ulusal manada yapılan LGS sınavında matematik dersi başarısı diğer derslerin ortalamasının çok altındadır (MEB, 2018). Dolaysıyla hem ulusal manada yapılan sınavlarda hem de uluslararası sınavlarda istenilen başarı seviyelerini yakalamak beceri temelli matematik sorularında yeterli ortalama puanı yakalamakla mümkün görünmektedir.</w:t>
      </w:r>
    </w:p>
    <w:p w14:paraId="622694DE" w14:textId="77777777" w:rsidR="00E839E1" w:rsidRPr="000A2E75" w:rsidRDefault="00E839E1" w:rsidP="00E839E1">
      <w:pPr>
        <w:autoSpaceDE w:val="0"/>
        <w:autoSpaceDN w:val="0"/>
        <w:adjustRightInd w:val="0"/>
        <w:spacing w:before="120" w:after="120"/>
        <w:jc w:val="both"/>
        <w:rPr>
          <w:rFonts w:ascii="Times New Roman" w:hAnsi="Times New Roman" w:cs="Times New Roman"/>
          <w:color w:val="000000"/>
        </w:rPr>
      </w:pPr>
      <w:r w:rsidRPr="000A2E75">
        <w:rPr>
          <w:rFonts w:ascii="Times New Roman" w:hAnsi="Times New Roman" w:cs="Times New Roman"/>
        </w:rPr>
        <w:t xml:space="preserve">Beceri temelli matematik sorularında istenen başarının yakalanmasında şüphesiz matematik öğretmenlerinin payı büyüktür. Çünkü 2005 yılındaki bir konferansta </w:t>
      </w:r>
      <w:r w:rsidRPr="000A2E75">
        <w:rPr>
          <w:rFonts w:ascii="Times New Roman" w:hAnsi="Times New Roman" w:cs="Times New Roman"/>
          <w:color w:val="000000"/>
        </w:rPr>
        <w:t xml:space="preserve">Finlandiya'nın PISA'daki başarısının sırrı ile ilgili Eğitim Bakanlığı'nın en üst düzey memurlarından Arvo Jäppinen, Finlandiya'nın yakalamış olduğu başarının nedenlerine ilişkin yaptığı açıklamada bu başarının nedeninin “Öğretmenler, öğretmenler ve öğretmenler!” olduğunu açıklamıştır (Jäppinen, 2005 aktaran </w:t>
      </w:r>
      <w:r w:rsidRPr="000A2E75">
        <w:rPr>
          <w:rFonts w:ascii="Times New Roman" w:hAnsi="Times New Roman" w:cs="Times New Roman"/>
        </w:rPr>
        <w:t>Stacey, 2011</w:t>
      </w:r>
      <w:r w:rsidRPr="000A2E75">
        <w:rPr>
          <w:rFonts w:ascii="Times New Roman" w:hAnsi="Times New Roman" w:cs="Times New Roman"/>
          <w:color w:val="000000"/>
        </w:rPr>
        <w:t xml:space="preserve">). Bu yüzden matematik öğretmelerinin beceri temelli sorulara yönelik genel olarak görüşlerini belirlemek ve bu sorulara ilişkin yapılan eğitimsel/öğretimsel faaliyetlere yönelik düşüncelerini tespit etmek hem beceri temelli matematik soruları için müfredat ve buna bağlı olarak materyal oluşturulmasına hem de uluslararası sınavlardan elde edilecek başarıya katkı sağlayacaktır. Bu bağlamda mevcut çalışmanın </w:t>
      </w:r>
      <w:r w:rsidRPr="000A2E75">
        <w:rPr>
          <w:rFonts w:ascii="Times New Roman" w:hAnsi="Times New Roman" w:cs="Times New Roman"/>
        </w:rPr>
        <w:t xml:space="preserve">amacı ortaokul ve imam hatip ortaokullarında görev yapan matematik öğretmenlerinin beceri temelli sorulara ilişkin görüşlerini belirlemek amacıyla gerçekleştirilmiştir. </w:t>
      </w:r>
      <w:r w:rsidRPr="000A2E75">
        <w:rPr>
          <w:rFonts w:ascii="Times New Roman" w:hAnsi="Times New Roman" w:cs="Times New Roman"/>
          <w:color w:val="000000"/>
        </w:rPr>
        <w:t>Bu amaç doğrultusunda aşağıdaki sorulara yanıt aranmıştır:</w:t>
      </w:r>
    </w:p>
    <w:p w14:paraId="7D29E256" w14:textId="77777777" w:rsidR="00E839E1" w:rsidRPr="000A2E75" w:rsidRDefault="00E839E1" w:rsidP="00E839E1">
      <w:pPr>
        <w:pStyle w:val="Normal1"/>
        <w:spacing w:before="120" w:after="120" w:line="240" w:lineRule="auto"/>
        <w:ind w:firstLine="550"/>
        <w:jc w:val="both"/>
        <w:rPr>
          <w:rFonts w:ascii="Times New Roman" w:eastAsia="Palatino Linotype" w:hAnsi="Times New Roman" w:cs="Times New Roman"/>
        </w:rPr>
      </w:pPr>
      <w:r w:rsidRPr="000A2E75">
        <w:rPr>
          <w:rFonts w:ascii="Times New Roman" w:eastAsia="Palatino Linotype" w:hAnsi="Times New Roman" w:cs="Times New Roman"/>
        </w:rPr>
        <w:t>1. Ortaokul matematik branşında sorulan beceri temelli sorular hakkında neler düşünüyorsunuz?</w:t>
      </w:r>
    </w:p>
    <w:p w14:paraId="4ADCE757" w14:textId="77777777" w:rsidR="00E839E1" w:rsidRPr="000A2E75" w:rsidRDefault="00E839E1" w:rsidP="00E839E1">
      <w:pPr>
        <w:pStyle w:val="Normal1"/>
        <w:spacing w:before="120" w:after="120" w:line="240" w:lineRule="auto"/>
        <w:ind w:firstLine="550"/>
        <w:jc w:val="both"/>
        <w:rPr>
          <w:rFonts w:ascii="Times New Roman" w:eastAsia="Palatino Linotype" w:hAnsi="Times New Roman" w:cs="Times New Roman"/>
        </w:rPr>
      </w:pPr>
      <w:r w:rsidRPr="000A2E75">
        <w:rPr>
          <w:rFonts w:ascii="Times New Roman" w:eastAsia="Palatino Linotype" w:hAnsi="Times New Roman" w:cs="Times New Roman"/>
        </w:rPr>
        <w:t>2. Ortaokul matematik branşında sorulan beceri temelli soruların matematik öğretim programında yer alan kazanımlarla uyumu hakkında neler söyleyebilirsiniz?</w:t>
      </w:r>
    </w:p>
    <w:p w14:paraId="17A3D63D" w14:textId="77777777" w:rsidR="00E839E1" w:rsidRPr="000A2E75" w:rsidRDefault="00E839E1" w:rsidP="00E839E1">
      <w:pPr>
        <w:pStyle w:val="Normal1"/>
        <w:spacing w:before="120" w:after="120" w:line="240" w:lineRule="auto"/>
        <w:ind w:firstLine="550"/>
        <w:jc w:val="both"/>
        <w:rPr>
          <w:rFonts w:ascii="Times New Roman" w:eastAsia="Palatino Linotype" w:hAnsi="Times New Roman" w:cs="Times New Roman"/>
        </w:rPr>
      </w:pPr>
      <w:r w:rsidRPr="000A2E75">
        <w:rPr>
          <w:rFonts w:ascii="Times New Roman" w:eastAsia="Palatino Linotype" w:hAnsi="Times New Roman" w:cs="Times New Roman"/>
        </w:rPr>
        <w:t>3. Ortaokul matematik branşında sorulan beceri temelli soruların çözümü için matematik ders kitabının yeterliği konusunda neler söylersiniz?</w:t>
      </w:r>
    </w:p>
    <w:p w14:paraId="035EAFA4" w14:textId="77777777" w:rsidR="00E839E1" w:rsidRPr="000A2E75" w:rsidRDefault="00E839E1" w:rsidP="00E839E1">
      <w:pPr>
        <w:pStyle w:val="Normal1"/>
        <w:spacing w:before="120" w:after="120" w:line="240" w:lineRule="auto"/>
        <w:ind w:firstLine="550"/>
        <w:jc w:val="both"/>
        <w:rPr>
          <w:rFonts w:ascii="Times New Roman" w:eastAsia="Palatino Linotype" w:hAnsi="Times New Roman" w:cs="Times New Roman"/>
        </w:rPr>
      </w:pPr>
      <w:r w:rsidRPr="000A2E75">
        <w:rPr>
          <w:rFonts w:ascii="Times New Roman" w:eastAsia="Palatino Linotype" w:hAnsi="Times New Roman" w:cs="Times New Roman"/>
        </w:rPr>
        <w:t>4. Sizce ortaokul matematik branşında soruların beceri temelli sorular anlattığınız matematik dersindeki yöntem/teknik/stratejinin değişmesine neden oldu mu, açıklayınız?</w:t>
      </w:r>
    </w:p>
    <w:p w14:paraId="6284D302" w14:textId="77777777" w:rsidR="00E839E1" w:rsidRPr="000A2E75" w:rsidRDefault="00E839E1" w:rsidP="00E839E1">
      <w:pPr>
        <w:pStyle w:val="Normal1"/>
        <w:spacing w:before="120" w:after="120" w:line="240" w:lineRule="auto"/>
        <w:ind w:firstLine="550"/>
        <w:jc w:val="both"/>
        <w:rPr>
          <w:rFonts w:ascii="Times New Roman" w:eastAsia="Palatino Linotype" w:hAnsi="Times New Roman" w:cs="Times New Roman"/>
        </w:rPr>
      </w:pPr>
      <w:r w:rsidRPr="000A2E75">
        <w:rPr>
          <w:rFonts w:ascii="Times New Roman" w:eastAsia="Palatino Linotype" w:hAnsi="Times New Roman" w:cs="Times New Roman"/>
        </w:rPr>
        <w:t>5. Ortaokul matematik branşında sorulan beceri temelli sorular hakkında sizce öğrencilerinizin düşünceleri nelerdir?</w:t>
      </w:r>
    </w:p>
    <w:p w14:paraId="1C9FE8EB" w14:textId="77777777" w:rsidR="00E839E1" w:rsidRPr="000A2E75" w:rsidRDefault="00E839E1" w:rsidP="00E839E1">
      <w:pPr>
        <w:autoSpaceDE w:val="0"/>
        <w:autoSpaceDN w:val="0"/>
        <w:adjustRightInd w:val="0"/>
        <w:spacing w:before="120" w:after="120"/>
        <w:jc w:val="both"/>
        <w:rPr>
          <w:rFonts w:ascii="Times New Roman" w:hAnsi="Times New Roman" w:cs="Times New Roman"/>
          <w:b/>
          <w:bCs/>
        </w:rPr>
      </w:pPr>
      <w:r w:rsidRPr="000A2E75">
        <w:rPr>
          <w:rFonts w:ascii="Times New Roman" w:hAnsi="Times New Roman" w:cs="Times New Roman"/>
          <w:b/>
          <w:bCs/>
        </w:rPr>
        <w:t>Yöntem</w:t>
      </w:r>
    </w:p>
    <w:p w14:paraId="3DB73625" w14:textId="77777777" w:rsidR="00E839E1" w:rsidRPr="000A2E75" w:rsidRDefault="00E839E1" w:rsidP="00E839E1">
      <w:pPr>
        <w:autoSpaceDE w:val="0"/>
        <w:autoSpaceDN w:val="0"/>
        <w:adjustRightInd w:val="0"/>
        <w:spacing w:before="120" w:after="120"/>
        <w:jc w:val="both"/>
        <w:rPr>
          <w:rFonts w:ascii="Times New Roman" w:hAnsi="Times New Roman" w:cs="Times New Roman"/>
          <w:b/>
          <w:bCs/>
        </w:rPr>
      </w:pPr>
      <w:r w:rsidRPr="000A2E75">
        <w:rPr>
          <w:rFonts w:ascii="Times New Roman" w:hAnsi="Times New Roman" w:cs="Times New Roman"/>
          <w:b/>
          <w:bCs/>
        </w:rPr>
        <w:t>Araştırmanın Modeli</w:t>
      </w:r>
    </w:p>
    <w:p w14:paraId="38A4FAD0" w14:textId="77777777" w:rsidR="00E839E1" w:rsidRPr="000A2E75" w:rsidRDefault="00E839E1" w:rsidP="00E839E1">
      <w:pPr>
        <w:autoSpaceDE w:val="0"/>
        <w:autoSpaceDN w:val="0"/>
        <w:adjustRightInd w:val="0"/>
        <w:spacing w:before="120" w:after="120"/>
        <w:jc w:val="both"/>
        <w:rPr>
          <w:rFonts w:ascii="Times New Roman" w:hAnsi="Times New Roman" w:cs="Times New Roman"/>
        </w:rPr>
      </w:pPr>
      <w:r w:rsidRPr="000A2E75">
        <w:rPr>
          <w:rFonts w:ascii="Times New Roman" w:hAnsi="Times New Roman" w:cs="Times New Roman"/>
        </w:rPr>
        <w:t>Beceri temelli matematik sorularına ilişkin ortaokul öğretmenlerin görüşlerini ortaya koymayı amaçlayan bu çalışma nitel araştırma perspektifinde bulunan temel nitel araştırma desenine uygun olarak gerçekleştirilmiştir. Temel nitel araştırma deseni, araştırmaya katılan bireylerin kendi hayatlarını nasıl yorumlayabildikleri ve ona nasıl anlamlar yükleyebildiklerini ortaya çıkarmaya odaklanan (Merriam, 2009) desen olarak bilinmektedir. Bu bağlamda, ortaokul ve imam hatip ortaokullarında görevli matematik öğretmenlerinin beceri temelli matematik sorularına yönelik yorumlarını ve anlamlandırmalarını ortaya koymaya çalışan bu çalışmanın temel nitel araştırma deseninde yürütülmesine karar verilmiştir.</w:t>
      </w:r>
    </w:p>
    <w:p w14:paraId="2C36E172" w14:textId="77777777" w:rsidR="00E839E1" w:rsidRPr="000A2E75" w:rsidRDefault="00E839E1" w:rsidP="00E839E1">
      <w:pPr>
        <w:autoSpaceDE w:val="0"/>
        <w:autoSpaceDN w:val="0"/>
        <w:adjustRightInd w:val="0"/>
        <w:spacing w:before="120" w:after="120"/>
        <w:jc w:val="both"/>
        <w:rPr>
          <w:rFonts w:ascii="Times New Roman" w:hAnsi="Times New Roman" w:cs="Times New Roman"/>
          <w:b/>
          <w:bCs/>
        </w:rPr>
      </w:pPr>
      <w:r w:rsidRPr="000A2E75">
        <w:rPr>
          <w:rFonts w:ascii="Times New Roman" w:hAnsi="Times New Roman" w:cs="Times New Roman"/>
          <w:b/>
          <w:bCs/>
        </w:rPr>
        <w:t>Katılımcılar</w:t>
      </w:r>
    </w:p>
    <w:p w14:paraId="50738AC2" w14:textId="77777777" w:rsidR="00E839E1" w:rsidRPr="000A2E75" w:rsidRDefault="00E839E1" w:rsidP="00E839E1">
      <w:pPr>
        <w:autoSpaceDE w:val="0"/>
        <w:autoSpaceDN w:val="0"/>
        <w:adjustRightInd w:val="0"/>
        <w:spacing w:before="120" w:after="120"/>
        <w:jc w:val="both"/>
        <w:rPr>
          <w:rFonts w:ascii="Times New Roman" w:hAnsi="Times New Roman" w:cs="Times New Roman"/>
        </w:rPr>
      </w:pPr>
      <w:r w:rsidRPr="000A2E75">
        <w:rPr>
          <w:rFonts w:ascii="Times New Roman" w:hAnsi="Times New Roman" w:cs="Times New Roman"/>
        </w:rPr>
        <w:lastRenderedPageBreak/>
        <w:t>Araştırmaya katılım gösteren grup 2020-2021 eğitim öğretim bahar döneminde Ankara ili Mamak, Çankaya ve Yenimahalle ilçelerinde yer alan ortaokul ve imam hatip ortaokullarında görev yapan sekiz matematik öğretmeninden oluşmaktadır. Öğretmenlerin belirlenmesinde amaçlı örnekleme yöntemlerinden kolay ulaşılabilir durum örneklemesi kullanılmıştır. Katılımcıların belirlenmesindeki kolay ulaşılabilirlik, araştırmacının çalışma grubundaki öğretmenlerle daha önceden tanışıyor olmasıyla ve bazı katılımcılar ile de aynı zümrede görev yapıyor olması ile açıklanabilir.  Buna göre araştırmaya katılan öğretmenlerin 3’ü erkek 5’ kadındır ve tamamı kadrolu olarak görev yapmaktadır. Bunun yanında öğretmenlerin ikisi 5 yıl -10 yıl arası, dördü 10 yıl- 15 yıl arası ve ikisi de 15 yıl üzeri bir kıdeme sahiptir.</w:t>
      </w:r>
    </w:p>
    <w:p w14:paraId="7B9F2517" w14:textId="77777777" w:rsidR="00E839E1" w:rsidRPr="000A2E75" w:rsidRDefault="00E839E1" w:rsidP="00E839E1">
      <w:pPr>
        <w:autoSpaceDE w:val="0"/>
        <w:autoSpaceDN w:val="0"/>
        <w:adjustRightInd w:val="0"/>
        <w:spacing w:before="120" w:after="120"/>
        <w:jc w:val="both"/>
        <w:rPr>
          <w:rFonts w:ascii="Times New Roman" w:hAnsi="Times New Roman" w:cs="Times New Roman"/>
          <w:b/>
          <w:bCs/>
        </w:rPr>
      </w:pPr>
      <w:r w:rsidRPr="000A2E75">
        <w:rPr>
          <w:rFonts w:ascii="Times New Roman" w:hAnsi="Times New Roman" w:cs="Times New Roman"/>
          <w:b/>
          <w:bCs/>
        </w:rPr>
        <w:t xml:space="preserve">Veri Toplama Aracı </w:t>
      </w:r>
    </w:p>
    <w:p w14:paraId="235EE3C9" w14:textId="77777777" w:rsidR="00E839E1" w:rsidRPr="000A2E75" w:rsidRDefault="00E839E1" w:rsidP="00E839E1">
      <w:pPr>
        <w:autoSpaceDE w:val="0"/>
        <w:autoSpaceDN w:val="0"/>
        <w:adjustRightInd w:val="0"/>
        <w:spacing w:before="120" w:after="120"/>
        <w:jc w:val="both"/>
        <w:rPr>
          <w:rFonts w:ascii="Times New Roman" w:hAnsi="Times New Roman" w:cs="Times New Roman"/>
        </w:rPr>
      </w:pPr>
      <w:r w:rsidRPr="000A2E75">
        <w:rPr>
          <w:rFonts w:ascii="Times New Roman" w:hAnsi="Times New Roman" w:cs="Times New Roman"/>
        </w:rPr>
        <w:t xml:space="preserve">Araştırmada veri elde etmek amacıyla yarı yapılandırılmış bir görüşme formu (beceri temelli matematik sorularına ilişkin görüşme formu) kullanılmıştır. Beceri temelli matematik sorularına ilişkin sorular araştırmacı tarafından belirlenmiştir. Belirlenen sorular öncelikle üç alan uzmanının görüşüne başvurulmak üzere gönderilmiş ve uzmanlardan gelen dönütler sonrasında iki sorunun kapsamında değişikliğe gidilmiş ve iki soru da görüşme formundan çıkarılarak veri toplama aracına son hali verilmiştir. </w:t>
      </w:r>
    </w:p>
    <w:p w14:paraId="0A555663" w14:textId="77777777" w:rsidR="00E839E1" w:rsidRPr="000A2E75" w:rsidRDefault="00E839E1" w:rsidP="00E839E1">
      <w:pPr>
        <w:autoSpaceDE w:val="0"/>
        <w:autoSpaceDN w:val="0"/>
        <w:adjustRightInd w:val="0"/>
        <w:spacing w:before="120" w:after="120"/>
        <w:jc w:val="both"/>
        <w:rPr>
          <w:rFonts w:ascii="Times New Roman" w:hAnsi="Times New Roman" w:cs="Times New Roman"/>
        </w:rPr>
      </w:pPr>
      <w:r w:rsidRPr="000A2E75">
        <w:rPr>
          <w:rFonts w:ascii="Times New Roman" w:hAnsi="Times New Roman" w:cs="Times New Roman"/>
          <w:b/>
          <w:bCs/>
        </w:rPr>
        <w:t>Verilerin toplanması</w:t>
      </w:r>
    </w:p>
    <w:p w14:paraId="06DFC891" w14:textId="77777777" w:rsidR="00E839E1" w:rsidRPr="000A2E75" w:rsidRDefault="00E839E1" w:rsidP="00E839E1">
      <w:pPr>
        <w:autoSpaceDE w:val="0"/>
        <w:autoSpaceDN w:val="0"/>
        <w:adjustRightInd w:val="0"/>
        <w:spacing w:before="120" w:after="120"/>
        <w:jc w:val="both"/>
        <w:rPr>
          <w:rFonts w:ascii="Times New Roman" w:hAnsi="Times New Roman" w:cs="Times New Roman"/>
        </w:rPr>
      </w:pPr>
      <w:r w:rsidRPr="000A2E75">
        <w:rPr>
          <w:rFonts w:ascii="Times New Roman" w:hAnsi="Times New Roman" w:cs="Times New Roman"/>
        </w:rPr>
        <w:t>Araştırmacı çalışma grubunda yer alan öğretmenlere gerek mail ortamından gerekse mesajlaşma programı aracılığıyla görüşme formunu göndermiştir. Araştırmacının aynı zümrede yer aldığı katılımcılarla bile yüz yüze görüşme yapmaması Covid 19 salgınından dolayı tüm öğretmenlerin aynı anda okulda bulunmamaları ve online eğitimlerin yoğun bir şekilde devam etmesiyle açıklanabilir. Dolaysıyla araştırmacı Covid 19 salgınından dolayı hem kendisinin hem de katılımcıların sağlığını tehlikeye atmadan online veri toplama yöntemi seçmiştir. Bu bağlamda online şekilde veri toplama formu ellerine ulaşan katılımcılar yaklaşık on günlük bir süre içerisinde veri toplama formunda yer alan sorular için ayrılan boşluklara gerekli cevapları vererek veri toplama formlarını araştırmacının mail adresine göndermişlerdir.</w:t>
      </w:r>
    </w:p>
    <w:p w14:paraId="521E29C8" w14:textId="77777777" w:rsidR="00E839E1" w:rsidRPr="000A2E75" w:rsidRDefault="00E839E1" w:rsidP="00E839E1">
      <w:pPr>
        <w:autoSpaceDE w:val="0"/>
        <w:autoSpaceDN w:val="0"/>
        <w:adjustRightInd w:val="0"/>
        <w:spacing w:before="120" w:after="120"/>
        <w:jc w:val="both"/>
        <w:rPr>
          <w:rFonts w:ascii="Times New Roman" w:hAnsi="Times New Roman" w:cs="Times New Roman"/>
          <w:b/>
          <w:bCs/>
        </w:rPr>
      </w:pPr>
      <w:r w:rsidRPr="000A2E75">
        <w:rPr>
          <w:rFonts w:ascii="Times New Roman" w:hAnsi="Times New Roman" w:cs="Times New Roman"/>
          <w:b/>
          <w:bCs/>
        </w:rPr>
        <w:t>Verilerin Analizi</w:t>
      </w:r>
    </w:p>
    <w:p w14:paraId="6A35C5F4" w14:textId="77777777" w:rsidR="00E839E1" w:rsidRPr="000A2E75" w:rsidRDefault="00E839E1" w:rsidP="00E839E1">
      <w:pPr>
        <w:autoSpaceDE w:val="0"/>
        <w:autoSpaceDN w:val="0"/>
        <w:adjustRightInd w:val="0"/>
        <w:spacing w:before="120" w:after="120"/>
        <w:jc w:val="both"/>
        <w:rPr>
          <w:rFonts w:ascii="Times New Roman" w:hAnsi="Times New Roman" w:cs="Times New Roman"/>
        </w:rPr>
      </w:pPr>
      <w:r w:rsidRPr="000A2E75">
        <w:rPr>
          <w:rFonts w:ascii="Times New Roman" w:hAnsi="Times New Roman" w:cs="Times New Roman"/>
        </w:rPr>
        <w:t>Araştırmaya katılım sağlayan öğretmenlerden elde edilen verilerin analizinde, sosyal bilimlerde sıklıkla tercih edilen analiz tekniklerinden sayılan içerik analizi kullanılmıştır. Bu teknikteki amaç, belli ilke ve kurallara uymak suretiyle bir metnin kodlanması ve temalar şeklinde özetlenebilmesidir (Büyüköztürk, Çakmak, Akgün, Karadeniz ve Demirel, 2011). Bu bağlamda araştırmacı tarafından mail yoluyla elde edilen verilerin basılı halleri birden sekize kadar numaralandırılarak belli bir sisteme sokulmuş, daha sonra ilgili formlarda öğretmenlere ait cevaplamalara Microsoft Office programı yardımıyla kodlamalar yapılmış ve sonrasında yapılan bu kodlamalardan yola çıkarak kategorilere ulaşılmıştır. Ulaşılan kategorilerde, katılımcıların her bir soruya yönelik verdikleri cevaplar kodlamalar şeklinde bir araya toplanmış ve bu kodlamalardan yola çıkarak oluşturulmuş olan temalar görsellerle sunulmuştur. Aynı zamanda her bir tema ve o temayı oluşturan kodlamalar katılımcıların görüşlerinden aynen alıntılar yapılarak raporlanmıştır. Yapılana aynen alıntılamalarda katılımcılara ait K-3, K-5 şeklinde kodlamalar kullanılmıştır.</w:t>
      </w:r>
    </w:p>
    <w:p w14:paraId="2BF81BDA" w14:textId="77777777" w:rsidR="00E839E1" w:rsidRPr="000A2E75" w:rsidRDefault="00E839E1" w:rsidP="00E839E1">
      <w:pPr>
        <w:spacing w:before="120" w:after="120"/>
        <w:jc w:val="both"/>
        <w:rPr>
          <w:rFonts w:ascii="Times New Roman" w:hAnsi="Times New Roman" w:cs="Times New Roman"/>
          <w:b/>
        </w:rPr>
      </w:pPr>
      <w:r w:rsidRPr="000A2E75">
        <w:rPr>
          <w:rFonts w:ascii="Times New Roman" w:hAnsi="Times New Roman" w:cs="Times New Roman"/>
          <w:b/>
        </w:rPr>
        <w:t>Bulgular</w:t>
      </w:r>
    </w:p>
    <w:p w14:paraId="6851377C" w14:textId="77777777" w:rsidR="00E839E1" w:rsidRPr="000A2E75" w:rsidRDefault="00E839E1" w:rsidP="00E839E1">
      <w:pPr>
        <w:spacing w:before="120" w:after="120"/>
        <w:jc w:val="both"/>
        <w:rPr>
          <w:rFonts w:ascii="Times New Roman" w:hAnsi="Times New Roman" w:cs="Times New Roman"/>
          <w:b/>
        </w:rPr>
      </w:pPr>
      <w:r w:rsidRPr="000A2E75">
        <w:rPr>
          <w:rFonts w:ascii="Times New Roman" w:hAnsi="Times New Roman" w:cs="Times New Roman"/>
        </w:rPr>
        <w:t>Katılımcılardan elde edilen veriler ışığında yapılan analiz sonucunda</w:t>
      </w:r>
      <w:r w:rsidRPr="000A2E75">
        <w:rPr>
          <w:rFonts w:ascii="Times New Roman" w:hAnsi="Times New Roman" w:cs="Times New Roman"/>
          <w:b/>
        </w:rPr>
        <w:t xml:space="preserve"> </w:t>
      </w:r>
      <w:r w:rsidRPr="000A2E75">
        <w:rPr>
          <w:rFonts w:ascii="Times New Roman" w:hAnsi="Times New Roman" w:cs="Times New Roman"/>
        </w:rPr>
        <w:t xml:space="preserve">araştırmanın bulguları beş temel boyut altında toplanmıştır. Bunlar “genel olarak beceri temelli sorular”, “beceri temelli soruların kazanımlarla ilişkisi”, “beceri temelli sorular ile ders kitabı ilişkisi”, “beceri temelli sorular ile kullanılan yöntem/teknik/strateji ilişkisi” ve “öğrenciler açısından beceri temelli sorular” şeklindedir. Çalışmada benimsenen içerik analizi sonucunda verilere ait ulaşılan kodlar ve bu kodlamalar sonucunda oluşturulan temalar arasındaki ilişki araştırmanın bu başlığı altında sunulmuştur. Bu sunumlarda ulaşılan temalar ile </w:t>
      </w:r>
      <w:r w:rsidRPr="000A2E75">
        <w:rPr>
          <w:rFonts w:ascii="Times New Roman" w:hAnsi="Times New Roman" w:cs="Times New Roman"/>
        </w:rPr>
        <w:lastRenderedPageBreak/>
        <w:t>ilgili tema altında yer alan kodlamalar arasındaki ilişkiler görseller aracılığıyla, katılımcı görüşlerinden faydalanılarak ve doğrudan alıntılanılarak raporlaştırılmıştır.</w:t>
      </w:r>
    </w:p>
    <w:p w14:paraId="0ECA8038" w14:textId="77777777" w:rsidR="00E839E1" w:rsidRPr="000A2E75" w:rsidRDefault="00E839E1" w:rsidP="00E839E1">
      <w:pPr>
        <w:autoSpaceDE w:val="0"/>
        <w:autoSpaceDN w:val="0"/>
        <w:adjustRightInd w:val="0"/>
        <w:spacing w:before="120" w:after="120"/>
        <w:jc w:val="both"/>
        <w:rPr>
          <w:rFonts w:ascii="Times New Roman" w:hAnsi="Times New Roman" w:cs="Times New Roman"/>
          <w:i/>
        </w:rPr>
      </w:pPr>
      <w:r w:rsidRPr="000A2E75">
        <w:rPr>
          <w:rFonts w:ascii="Times New Roman" w:hAnsi="Times New Roman" w:cs="Times New Roman"/>
          <w:i/>
        </w:rPr>
        <w:t>GENEL OLARAK BECERİ TEMELLİ SORULAR</w:t>
      </w:r>
    </w:p>
    <w:p w14:paraId="09A5949A" w14:textId="77777777" w:rsidR="00E839E1" w:rsidRPr="000A2E75" w:rsidRDefault="00E839E1" w:rsidP="00E839E1">
      <w:pPr>
        <w:autoSpaceDE w:val="0"/>
        <w:autoSpaceDN w:val="0"/>
        <w:adjustRightInd w:val="0"/>
        <w:spacing w:before="120" w:after="120"/>
        <w:jc w:val="both"/>
        <w:rPr>
          <w:rFonts w:ascii="Times New Roman" w:hAnsi="Times New Roman" w:cs="Times New Roman"/>
        </w:rPr>
      </w:pPr>
      <w:r w:rsidRPr="000A2E75">
        <w:rPr>
          <w:rFonts w:ascii="Times New Roman" w:hAnsi="Times New Roman" w:cs="Times New Roman"/>
          <w:noProof/>
          <w:lang w:val="en-US"/>
        </w:rPr>
        <mc:AlternateContent>
          <mc:Choice Requires="wps">
            <w:drawing>
              <wp:anchor distT="0" distB="0" distL="114300" distR="114300" simplePos="0" relativeHeight="251760640" behindDoc="0" locked="0" layoutInCell="1" allowOverlap="1" wp14:anchorId="7D7280D0" wp14:editId="2CC4A014">
                <wp:simplePos x="0" y="0"/>
                <wp:positionH relativeFrom="column">
                  <wp:posOffset>-4934585</wp:posOffset>
                </wp:positionH>
                <wp:positionV relativeFrom="paragraph">
                  <wp:posOffset>1619885</wp:posOffset>
                </wp:positionV>
                <wp:extent cx="984250" cy="1062990"/>
                <wp:effectExtent l="13335" t="9525" r="12065" b="13335"/>
                <wp:wrapNone/>
                <wp:docPr id="253" name="Akış Çizelgesi: Öteki İşlem 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0" cy="1062990"/>
                        </a:xfrm>
                        <a:prstGeom prst="flowChartAlternateProcess">
                          <a:avLst/>
                        </a:prstGeom>
                        <a:solidFill>
                          <a:srgbClr val="FFFFFF"/>
                        </a:solidFill>
                        <a:ln w="9525">
                          <a:solidFill>
                            <a:srgbClr val="000000"/>
                          </a:solidFill>
                          <a:miter lim="800000"/>
                          <a:headEnd/>
                          <a:tailEnd/>
                        </a:ln>
                      </wps:spPr>
                      <wps:txbx>
                        <w:txbxContent>
                          <w:p w14:paraId="5BBFC424" w14:textId="77777777" w:rsidR="003B6DB3" w:rsidRDefault="003B6DB3" w:rsidP="00E839E1">
                            <w:pPr>
                              <w:spacing w:before="240"/>
                              <w:jc w:val="center"/>
                            </w:pPr>
                            <w:r>
                              <w:t>Lisansüstü Eğitim İçin Gönderme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7280D0"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kış Çizelgesi: Öteki İşlem 253" o:spid="_x0000_s1069" type="#_x0000_t176" style="position:absolute;left:0;text-align:left;margin-left:-388.55pt;margin-top:127.55pt;width:77.5pt;height:83.7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bhKXAIAAIAEAAAOAAAAZHJzL2Uyb0RvYy54bWysVF1uEzEQfkfiDpbf6SbbpCSrbKqopQip&#10;QKXCARyvd9eK/xg72bQX4Aa89gpwhrb3YuxNQwo8IfbB8njsz998n2dnp1utyEaAl9aUdHg0oEQY&#10;bitpmpJ+/nTxakKJD8xUTFkjSnojPD2dv3wx61whcttaVQkgCGJ80bmStiG4Iss8b4Vm/sg6YTBZ&#10;W9AsYAhNVgHrEF2rLB8MTrLOQuXAcuE9rp73STpP+HUtePhY114EokqK3EIaIY3LOGbzGSsaYK6V&#10;fEeD/QMLzaTBS/dQ5ywwsgb5B5SWHKy3dTjiVme2riUXqQasZjj4rZrrljmRakFxvNvL5P8fLP+w&#10;uQIiq5Lm42NKDNNo0mL18OPxjtx/lbdCNcLLgtx/C2IlycP3xzslNImbUbrO+QIRrt0VxOK9u7R8&#10;5YmxZy0zjVgA2K4VrELCw7g/e3YgBh6PkmX33lZ4L1sHm1Tc1qAjIOpDtsmsm71ZYhsIx8XpZJSP&#10;0VKOqeHgJJ9Ok5sZK55OO/DhrbCaxElJa2U75AVhoYIAw4K46t9NupJtLn2IFFnxdC6VZJWsLqRS&#10;KYBmeaaAbBi+pov0paqw8sNtypAO+Y3zcUJ+lvOHEIP0/Q1CS6RIlNQlnew3sSJq+cZU6dEGJlU/&#10;R8rK7MSNeva+hO1ym4w9Hj1ZtbTVDcoNtm8DbFuctBZuKemwBUrqv6wZCErUO4OWTYejUeyZFIzG&#10;r3MM4DCzPMwwwxGqpIGSfnoW+j5bO5BNizcNkxzGLtDmWiax4xPoWe344zNPHuxaMvbRYZx2/fpx&#10;zH8CAAD//wMAUEsDBBQABgAIAAAAIQD+DWAr4AAAAA0BAAAPAAAAZHJzL2Rvd25yZXYueG1sTI/B&#10;ToQwEIbvJr5DMybe2EIVWJGy2Wj05EXcxGuhFYh0Smhh0ad3POntn8yXf74pD5sd2WpmPziUkOxi&#10;YAZbpwfsJJzenqI9MB8UajU6NBK+jIdDdXlRqkK7M76atQ4doxL0hZLQhzAVnPu2N1b5nZsM0u7D&#10;zVYFGueO61mdqdyOXMRxxq0akC70ajIPvWk/68VK2F6+m7vlOWnr0O+z/P1mfTyeuJTXV9vxHlgw&#10;W/iD4Vef1KEip8YtqD0bJUR5nifEShBpSoGQKBOCUiPhVogUeFXy/19UPwAAAP//AwBQSwECLQAU&#10;AAYACAAAACEAtoM4kv4AAADhAQAAEwAAAAAAAAAAAAAAAAAAAAAAW0NvbnRlbnRfVHlwZXNdLnht&#10;bFBLAQItABQABgAIAAAAIQA4/SH/1gAAAJQBAAALAAAAAAAAAAAAAAAAAC8BAABfcmVscy8ucmVs&#10;c1BLAQItABQABgAIAAAAIQBAwbhKXAIAAIAEAAAOAAAAAAAAAAAAAAAAAC4CAABkcnMvZTJvRG9j&#10;LnhtbFBLAQItABQABgAIAAAAIQD+DWAr4AAAAA0BAAAPAAAAAAAAAAAAAAAAALYEAABkcnMvZG93&#10;bnJldi54bWxQSwUGAAAAAAQABADzAAAAwwUAAAAA&#10;">
                <v:textbox>
                  <w:txbxContent>
                    <w:p w14:paraId="5BBFC424" w14:textId="77777777" w:rsidR="003B6DB3" w:rsidRDefault="003B6DB3" w:rsidP="00E839E1">
                      <w:pPr>
                        <w:spacing w:before="240"/>
                        <w:jc w:val="center"/>
                      </w:pPr>
                      <w:r>
                        <w:t>Lisansüstü Eğitim İçin Gönderme</w:t>
                      </w:r>
                    </w:p>
                  </w:txbxContent>
                </v:textbox>
              </v:shape>
            </w:pict>
          </mc:Fallback>
        </mc:AlternateContent>
      </w:r>
      <w:r w:rsidRPr="000A2E75">
        <w:rPr>
          <w:rFonts w:ascii="Times New Roman" w:hAnsi="Times New Roman" w:cs="Times New Roman"/>
          <w:noProof/>
          <w:lang w:val="en-US"/>
        </w:rPr>
        <mc:AlternateContent>
          <mc:Choice Requires="wps">
            <w:drawing>
              <wp:anchor distT="0" distB="0" distL="114300" distR="114300" simplePos="0" relativeHeight="251761664" behindDoc="0" locked="0" layoutInCell="1" allowOverlap="1" wp14:anchorId="0E3DE421" wp14:editId="776576B0">
                <wp:simplePos x="0" y="0"/>
                <wp:positionH relativeFrom="column">
                  <wp:posOffset>-9824085</wp:posOffset>
                </wp:positionH>
                <wp:positionV relativeFrom="paragraph">
                  <wp:posOffset>467360</wp:posOffset>
                </wp:positionV>
                <wp:extent cx="984250" cy="1062990"/>
                <wp:effectExtent l="10160" t="9525" r="5715" b="13335"/>
                <wp:wrapNone/>
                <wp:docPr id="252" name="Akış Çizelgesi: Öteki İşlem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0" cy="1062990"/>
                        </a:xfrm>
                        <a:prstGeom prst="flowChartAlternateProcess">
                          <a:avLst/>
                        </a:prstGeom>
                        <a:solidFill>
                          <a:srgbClr val="FFFFFF"/>
                        </a:solidFill>
                        <a:ln w="9525">
                          <a:solidFill>
                            <a:srgbClr val="000000"/>
                          </a:solidFill>
                          <a:miter lim="800000"/>
                          <a:headEnd/>
                          <a:tailEnd/>
                        </a:ln>
                      </wps:spPr>
                      <wps:txbx>
                        <w:txbxContent>
                          <w:p w14:paraId="7FA84EC6" w14:textId="77777777" w:rsidR="003B6DB3" w:rsidRDefault="003B6DB3" w:rsidP="00E839E1">
                            <w:pPr>
                              <w:jc w:val="center"/>
                            </w:pPr>
                            <w:r>
                              <w:t>Öğretim Üyeliği İçin Yurt Dışından Davet</w:t>
                            </w:r>
                          </w:p>
                          <w:p w14:paraId="76E2ECC6" w14:textId="77777777" w:rsidR="003B6DB3" w:rsidRDefault="003B6DB3" w:rsidP="00E839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3DE421" id="Akış Çizelgesi: Öteki İşlem 252" o:spid="_x0000_s1070" type="#_x0000_t176" style="position:absolute;left:0;text-align:left;margin-left:-773.55pt;margin-top:36.8pt;width:77.5pt;height:83.7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i+dXAIAAIAEAAAOAAAAZHJzL2Uyb0RvYy54bWysVF1uEzEQfkfiDpbf6SZLUpJVNlXUUoRU&#10;oFLhAI7Xu2vFf4ydbNoLcIO+9gpwhrb3YuxNQwo8IfbB8njsz998n2dnJ1utyEaAl9aUdHg0oEQY&#10;bitpmpJ++Xz+akKJD8xUTFkjSnotPD2Zv3wx61whcttaVQkgCGJ80bmStiG4Iss8b4Vm/sg6YTBZ&#10;W9AsYAhNVgHrEF2rLB8MjrPOQuXAcuE9rp71STpP+HUtePhU114EokqK3EIaIY3LOGbzGSsaYK6V&#10;fEeD/QMLzaTBS/dQZywwsgb5B5SWHKy3dTjiVme2riUXqQasZjj4rZqrljmRakFxvNvL5P8fLP+4&#10;uQQiq5Lm45wSwzSatFg9/Hi8I/ff5I1QjfCyIPe3Qawkefj+eKeEJnEzStc5XyDClbuEWLx3F5av&#10;PDH2tGWmEQsA27WCVUh4GPdnzw7EwONRsuw+2ArvZetgk4rbGnQERH3INpl1vTdLbAPhuDidjPIx&#10;WsoxNRwc59NpcjNjxdNpBz68E1aTOClprWyHvCAsVBBgWBCX/btJV7LNhQ+RIiuezqWSrJLVuVQq&#10;BdAsTxWQDcPXdJ6+VBVWfrhNGdIhv3E+TsjPcv4QYpC+v0FoiRSJkrqkk/0mVkQt35oqPdrApOrn&#10;SFmZnbhRz96XsF1uk7Gvx09WLW11jXKD7dsA2xYnrYUbSjpsgZL6r2sGghL13qBl0+FoFHsmBaPx&#10;mxwDOMwsDzPMcIQqaaCkn56Gvs/WDmTT4k3DJIexC7S5lkns+AR6Vjv++MyTB7uWjH10GKddv34c&#10;858AAAD//wMAUEsDBBQABgAIAAAAIQA1Q+nI4gAAAA4BAAAPAAAAZHJzL2Rvd25yZXYueG1sTI/B&#10;ToQwEIbvJr5DMybe2FJYYZelbDYaPXkRN/FaaJcS6ZTQwqJPbz3pcWa+/PP95XE1A1nU5HqLHNgm&#10;BqKwtbLHjsP5/TnaAXFeoBSDRcXhSzk4Vrc3pSikveKbWmrfkRCCrhActPdjQalrtTLCbeyoMNwu&#10;djLCh3HqqJzENYSbgSZxnFEjegwftBjVo1btZz0bDuvrd7OfX1hbe73L8o90eTqdKef3d+vpAMSr&#10;1f/B8Ksf1KEKTo2dUToycIjYwzZnAeaQpxmQgEQs3Sdh1XBItiwGWpX0f43qBwAA//8DAFBLAQIt&#10;ABQABgAIAAAAIQC2gziS/gAAAOEBAAATAAAAAAAAAAAAAAAAAAAAAABbQ29udGVudF9UeXBlc10u&#10;eG1sUEsBAi0AFAAGAAgAAAAhADj9If/WAAAAlAEAAAsAAAAAAAAAAAAAAAAALwEAAF9yZWxzLy5y&#10;ZWxzUEsBAi0AFAAGAAgAAAAhANVGL51cAgAAgAQAAA4AAAAAAAAAAAAAAAAALgIAAGRycy9lMm9E&#10;b2MueG1sUEsBAi0AFAAGAAgAAAAhADVD6cjiAAAADgEAAA8AAAAAAAAAAAAAAAAAtgQAAGRycy9k&#10;b3ducmV2LnhtbFBLBQYAAAAABAAEAPMAAADFBQAAAAA=&#10;">
                <v:textbox>
                  <w:txbxContent>
                    <w:p w14:paraId="7FA84EC6" w14:textId="77777777" w:rsidR="003B6DB3" w:rsidRDefault="003B6DB3" w:rsidP="00E839E1">
                      <w:pPr>
                        <w:jc w:val="center"/>
                      </w:pPr>
                      <w:r>
                        <w:t>Öğretim Üyeliği İçin Yurt Dışından Davet</w:t>
                      </w:r>
                    </w:p>
                    <w:p w14:paraId="76E2ECC6" w14:textId="77777777" w:rsidR="003B6DB3" w:rsidRDefault="003B6DB3" w:rsidP="00E839E1"/>
                  </w:txbxContent>
                </v:textbox>
              </v:shape>
            </w:pict>
          </mc:Fallback>
        </mc:AlternateContent>
      </w:r>
      <w:r w:rsidRPr="000A2E75">
        <w:rPr>
          <w:rFonts w:ascii="Times New Roman" w:hAnsi="Times New Roman" w:cs="Times New Roman"/>
          <w:noProof/>
          <w:lang w:val="en-US"/>
        </w:rPr>
        <mc:AlternateContent>
          <mc:Choice Requires="wps">
            <w:drawing>
              <wp:anchor distT="0" distB="0" distL="114300" distR="114300" simplePos="0" relativeHeight="251762688" behindDoc="0" locked="0" layoutInCell="1" allowOverlap="1" wp14:anchorId="0A8740B1" wp14:editId="01C9786F">
                <wp:simplePos x="0" y="0"/>
                <wp:positionH relativeFrom="column">
                  <wp:posOffset>-4934585</wp:posOffset>
                </wp:positionH>
                <wp:positionV relativeFrom="paragraph">
                  <wp:posOffset>467360</wp:posOffset>
                </wp:positionV>
                <wp:extent cx="984250" cy="1062990"/>
                <wp:effectExtent l="13335" t="9525" r="12065" b="13335"/>
                <wp:wrapNone/>
                <wp:docPr id="251" name="Akış Çizelgesi: Öteki İşlem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0" cy="1062990"/>
                        </a:xfrm>
                        <a:prstGeom prst="flowChartAlternateProcess">
                          <a:avLst/>
                        </a:prstGeom>
                        <a:solidFill>
                          <a:srgbClr val="FFFFFF"/>
                        </a:solidFill>
                        <a:ln w="9525">
                          <a:solidFill>
                            <a:srgbClr val="000000"/>
                          </a:solidFill>
                          <a:miter lim="800000"/>
                          <a:headEnd/>
                          <a:tailEnd/>
                        </a:ln>
                      </wps:spPr>
                      <wps:txbx>
                        <w:txbxContent>
                          <w:p w14:paraId="43A4308C" w14:textId="77777777" w:rsidR="003B6DB3" w:rsidRDefault="003B6DB3" w:rsidP="00E839E1">
                            <w:pPr>
                              <w:jc w:val="center"/>
                            </w:pPr>
                            <w:r>
                              <w:t>Öğretim Üyeliği İçin Yurt Dışından Davet</w:t>
                            </w:r>
                          </w:p>
                          <w:p w14:paraId="0CE74035" w14:textId="77777777" w:rsidR="003B6DB3" w:rsidRDefault="003B6DB3" w:rsidP="00E839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8740B1" id="Akış Çizelgesi: Öteki İşlem 251" o:spid="_x0000_s1071" type="#_x0000_t176" style="position:absolute;left:0;text-align:left;margin-left:-388.55pt;margin-top:36.8pt;width:77.5pt;height:83.7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OY+WwIAAIAEAAAOAAAAZHJzL2Uyb0RvYy54bWysVFFuEzEQ/UfiDpb/6SZLUppVN1XUUoRU&#10;oFLhAI7Xu2vV9pixk025ADfgt1eAM7S9F7PeJqTAF2I/LI/H8+bNG88en2ysYWuFQYMr+fhgxJly&#10;EirtmpJ/+nj+4oizEIWrhAGnSn6jAj+ZP3923PlC5dCCqRQyAnGh6HzJ2xh9kWVBtsqKcABeOXLW&#10;gFZEMrHJKhQdoVuT5aPRYdYBVh5BqhDo9Gxw8nnCr2sl44e6DioyU3LiFtOKaV32azY/FkWDwrda&#10;PtIQ/8DCCu0o6Q7qTETBVqj/gLJaIgSo44EEm0Fda6lSDVTNePRbNVet8CrVQuIEv5Mp/D9Y+X59&#10;iUxXJc+nY86csNSkxfX9j4dbdvdVf1GmUUEX7O5bVNea3X9/uDXKsv4ySdf5UBDClb/EvvjgL0Be&#10;B+bgtBWuUQtE6FolKiKc7mdPAnojUChbdu+gorxiFSGpuKnR9oCkD9ukZt3smqU2kUk6nB1N8im1&#10;VJJrPDrMZ7PUzUwU22iPIb5RYFm/KXltoCNeGBcmKnQiqsvh3aSUYn0RIpVE8du4VBIYXZ1rY5KB&#10;zfLUIFsLek3n6etVoJCwf8041hG/aT5NyE98YR9ilL6/QVhNFJnRtuRHu0ui6LV87ar0aKPQZthT&#10;fuOIxlbPoS9xs9ykxr483LZqCdUNyY0wjAGNLW1awC+cdTQCJQ+fVwIVZ+ato5bNxpNJPzPJmExf&#10;5WTgvme57xFOElTJI2fD9jQOc7byqJuWMo2THA4W1OZaJ7F7ygOrR/70zJOgjyPZz9G+nW79+nHM&#10;fwIAAP//AwBQSwMEFAAGAAgAAAAhAEFzOV3gAAAADAEAAA8AAABkcnMvZG93bnJldi54bWxMj8FO&#10;hDAQhu8mvkMzJt7YAmvoylI2G42evIibeC20Alk6JbSw6NM7ntzjzHz55/uLw2oHtpjJ9w4lJJsY&#10;mMHG6R5bCaePl2gHzAeFWg0OjYRv4+FQ3t4UKtfugu9mqULLKAR9riR0IYw5577pjFV+40aDdPty&#10;k1WBxqnlelIXCrcDT+M441b1SB86NZqnzjTnarYS1ref+nF+TZoqdLtMfG6X5+OJS3l/tx73wIJZ&#10;wz8Mf/qkDiU51W5G7dkgIRJCJMRKENsMGBFRlqa0qSWkD0kMvCz4dYnyFwAA//8DAFBLAQItABQA&#10;BgAIAAAAIQC2gziS/gAAAOEBAAATAAAAAAAAAAAAAAAAAAAAAABbQ29udGVudF9UeXBlc10ueG1s&#10;UEsBAi0AFAAGAAgAAAAhADj9If/WAAAAlAEAAAsAAAAAAAAAAAAAAAAALwEAAF9yZWxzLy5yZWxz&#10;UEsBAi0AFAAGAAgAAAAhACvI5j5bAgAAgAQAAA4AAAAAAAAAAAAAAAAALgIAAGRycy9lMm9Eb2Mu&#10;eG1sUEsBAi0AFAAGAAgAAAAhAEFzOV3gAAAADAEAAA8AAAAAAAAAAAAAAAAAtQQAAGRycy9kb3du&#10;cmV2LnhtbFBLBQYAAAAABAAEAPMAAADCBQAAAAA=&#10;">
                <v:textbox>
                  <w:txbxContent>
                    <w:p w14:paraId="43A4308C" w14:textId="77777777" w:rsidR="003B6DB3" w:rsidRDefault="003B6DB3" w:rsidP="00E839E1">
                      <w:pPr>
                        <w:jc w:val="center"/>
                      </w:pPr>
                      <w:r>
                        <w:t>Öğretim Üyeliği İçin Yurt Dışından Davet</w:t>
                      </w:r>
                    </w:p>
                    <w:p w14:paraId="0CE74035" w14:textId="77777777" w:rsidR="003B6DB3" w:rsidRDefault="003B6DB3" w:rsidP="00E839E1"/>
                  </w:txbxContent>
                </v:textbox>
              </v:shape>
            </w:pict>
          </mc:Fallback>
        </mc:AlternateContent>
      </w:r>
      <w:r w:rsidRPr="000A2E75">
        <w:rPr>
          <w:rFonts w:ascii="Times New Roman" w:hAnsi="Times New Roman" w:cs="Times New Roman"/>
        </w:rPr>
        <w:t>Elde edilen verilerden hareketle yapılan analiz sonucunda beceri temelli matematik sorularının genel durumuna ilişkin katılımcı görüşlerinin aşağıdaki gibi temellendirildiği görülmektedir.</w:t>
      </w:r>
    </w:p>
    <w:p w14:paraId="30428A86" w14:textId="77777777" w:rsidR="00E839E1" w:rsidRPr="000A2E75" w:rsidRDefault="00E839E1" w:rsidP="00E839E1">
      <w:pPr>
        <w:autoSpaceDE w:val="0"/>
        <w:autoSpaceDN w:val="0"/>
        <w:adjustRightInd w:val="0"/>
        <w:spacing w:before="120" w:after="120" w:line="360" w:lineRule="auto"/>
        <w:jc w:val="center"/>
        <w:rPr>
          <w:rFonts w:ascii="Times New Roman" w:hAnsi="Times New Roman" w:cs="Times New Roman"/>
        </w:rPr>
      </w:pPr>
      <w:r w:rsidRPr="000A2E75">
        <w:rPr>
          <w:rFonts w:ascii="Times New Roman" w:hAnsi="Times New Roman" w:cs="Times New Roman"/>
          <w:noProof/>
          <w:lang w:val="en-US"/>
        </w:rPr>
        <mc:AlternateContent>
          <mc:Choice Requires="wpg">
            <w:drawing>
              <wp:anchor distT="0" distB="0" distL="114300" distR="114300" simplePos="0" relativeHeight="251763712" behindDoc="0" locked="0" layoutInCell="1" allowOverlap="1" wp14:anchorId="291DDB4B" wp14:editId="7972A316">
                <wp:simplePos x="0" y="0"/>
                <wp:positionH relativeFrom="column">
                  <wp:posOffset>114300</wp:posOffset>
                </wp:positionH>
                <wp:positionV relativeFrom="paragraph">
                  <wp:posOffset>218440</wp:posOffset>
                </wp:positionV>
                <wp:extent cx="4998720" cy="1443990"/>
                <wp:effectExtent l="13970" t="5715" r="6985" b="7620"/>
                <wp:wrapNone/>
                <wp:docPr id="241" name="Gr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98720" cy="1443990"/>
                          <a:chOff x="1777" y="8617"/>
                          <a:chExt cx="7872" cy="2274"/>
                        </a:xfrm>
                      </wpg:grpSpPr>
                      <wps:wsp>
                        <wps:cNvPr id="242" name="Oval 142"/>
                        <wps:cNvSpPr>
                          <a:spLocks noChangeArrowheads="1"/>
                        </wps:cNvSpPr>
                        <wps:spPr bwMode="auto">
                          <a:xfrm>
                            <a:off x="1777" y="8910"/>
                            <a:ext cx="2160" cy="1503"/>
                          </a:xfrm>
                          <a:prstGeom prst="ellipse">
                            <a:avLst/>
                          </a:prstGeom>
                          <a:solidFill>
                            <a:srgbClr val="FFFFFF"/>
                          </a:solidFill>
                          <a:ln w="9525">
                            <a:solidFill>
                              <a:srgbClr val="000000"/>
                            </a:solidFill>
                            <a:round/>
                            <a:headEnd/>
                            <a:tailEnd/>
                          </a:ln>
                        </wps:spPr>
                        <wps:txbx>
                          <w:txbxContent>
                            <w:p w14:paraId="1D2DD2FB" w14:textId="77777777" w:rsidR="003B6DB3" w:rsidRPr="00EB2334" w:rsidRDefault="003B6DB3" w:rsidP="00E839E1">
                              <w:pPr>
                                <w:jc w:val="center"/>
                              </w:pPr>
                              <w:r w:rsidRPr="00EB2334">
                                <w:t>Genel olarak Beceri Temelli Sorular</w:t>
                              </w:r>
                            </w:p>
                          </w:txbxContent>
                        </wps:txbx>
                        <wps:bodyPr rot="0" vert="horz" wrap="square" lIns="91440" tIns="45720" rIns="91440" bIns="45720" anchor="t" anchorCtr="0" upright="1">
                          <a:noAutofit/>
                        </wps:bodyPr>
                      </wps:wsp>
                      <wps:wsp>
                        <wps:cNvPr id="243" name="AutoShape 143"/>
                        <wps:cNvSpPr>
                          <a:spLocks noChangeArrowheads="1"/>
                        </wps:cNvSpPr>
                        <wps:spPr bwMode="auto">
                          <a:xfrm>
                            <a:off x="4837" y="8617"/>
                            <a:ext cx="1659" cy="498"/>
                          </a:xfrm>
                          <a:prstGeom prst="flowChartProcess">
                            <a:avLst/>
                          </a:prstGeom>
                          <a:solidFill>
                            <a:srgbClr val="FFFFFF"/>
                          </a:solidFill>
                          <a:ln w="9525">
                            <a:solidFill>
                              <a:srgbClr val="000000"/>
                            </a:solidFill>
                            <a:miter lim="800000"/>
                            <a:headEnd/>
                            <a:tailEnd/>
                          </a:ln>
                        </wps:spPr>
                        <wps:txbx>
                          <w:txbxContent>
                            <w:p w14:paraId="5FF4EFB1" w14:textId="77777777" w:rsidR="003B6DB3" w:rsidRPr="00EB2334" w:rsidRDefault="003B6DB3" w:rsidP="00E839E1">
                              <w:pPr>
                                <w:jc w:val="center"/>
                              </w:pPr>
                              <w:r w:rsidRPr="00EB2334">
                                <w:t>Amaca Uygun</w:t>
                              </w:r>
                            </w:p>
                          </w:txbxContent>
                        </wps:txbx>
                        <wps:bodyPr rot="0" vert="horz" wrap="square" lIns="91440" tIns="45720" rIns="91440" bIns="45720" anchor="t" anchorCtr="0" upright="1">
                          <a:noAutofit/>
                        </wps:bodyPr>
                      </wps:wsp>
                      <wps:wsp>
                        <wps:cNvPr id="244" name="AutoShape 144"/>
                        <wps:cNvCnPr>
                          <a:cxnSpLocks noChangeShapeType="1"/>
                        </wps:cNvCnPr>
                        <wps:spPr bwMode="auto">
                          <a:xfrm flipV="1">
                            <a:off x="3937" y="8910"/>
                            <a:ext cx="900" cy="60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5" name="AutoShape 145"/>
                        <wps:cNvCnPr>
                          <a:cxnSpLocks noChangeShapeType="1"/>
                        </wps:cNvCnPr>
                        <wps:spPr bwMode="auto">
                          <a:xfrm>
                            <a:off x="3937" y="9697"/>
                            <a:ext cx="900" cy="2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6" name="AutoShape 146"/>
                        <wps:cNvCnPr>
                          <a:cxnSpLocks noChangeShapeType="1"/>
                        </wps:cNvCnPr>
                        <wps:spPr bwMode="auto">
                          <a:xfrm flipV="1">
                            <a:off x="6496" y="9697"/>
                            <a:ext cx="696" cy="2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7" name="AutoShape 147"/>
                        <wps:cNvCnPr>
                          <a:cxnSpLocks noChangeShapeType="1"/>
                        </wps:cNvCnPr>
                        <wps:spPr bwMode="auto">
                          <a:xfrm>
                            <a:off x="6457" y="10194"/>
                            <a:ext cx="735" cy="40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8" name="AutoShape 148"/>
                        <wps:cNvSpPr>
                          <a:spLocks noChangeArrowheads="1"/>
                        </wps:cNvSpPr>
                        <wps:spPr bwMode="auto">
                          <a:xfrm>
                            <a:off x="4837" y="9627"/>
                            <a:ext cx="1659" cy="752"/>
                          </a:xfrm>
                          <a:prstGeom prst="flowChartProcess">
                            <a:avLst/>
                          </a:prstGeom>
                          <a:solidFill>
                            <a:srgbClr val="FFFFFF"/>
                          </a:solidFill>
                          <a:ln w="9525">
                            <a:solidFill>
                              <a:srgbClr val="000000"/>
                            </a:solidFill>
                            <a:miter lim="800000"/>
                            <a:headEnd/>
                            <a:tailEnd/>
                          </a:ln>
                        </wps:spPr>
                        <wps:txbx>
                          <w:txbxContent>
                            <w:p w14:paraId="525C3B76" w14:textId="77777777" w:rsidR="003B6DB3" w:rsidRPr="00EB2334" w:rsidRDefault="003B6DB3" w:rsidP="00E839E1">
                              <w:pPr>
                                <w:jc w:val="center"/>
                              </w:pPr>
                              <w:r w:rsidRPr="00EB2334">
                                <w:t>Amaca Uygun Ama!</w:t>
                              </w:r>
                            </w:p>
                          </w:txbxContent>
                        </wps:txbx>
                        <wps:bodyPr rot="0" vert="horz" wrap="square" lIns="91440" tIns="45720" rIns="91440" bIns="45720" anchor="t" anchorCtr="0" upright="1">
                          <a:noAutofit/>
                        </wps:bodyPr>
                      </wps:wsp>
                      <wps:wsp>
                        <wps:cNvPr id="249" name="AutoShape 149"/>
                        <wps:cNvSpPr>
                          <a:spLocks noChangeArrowheads="1"/>
                        </wps:cNvSpPr>
                        <wps:spPr bwMode="auto">
                          <a:xfrm>
                            <a:off x="7192" y="10379"/>
                            <a:ext cx="2457" cy="512"/>
                          </a:xfrm>
                          <a:prstGeom prst="flowChartAlternateProcess">
                            <a:avLst/>
                          </a:prstGeom>
                          <a:solidFill>
                            <a:srgbClr val="FFFFFF"/>
                          </a:solidFill>
                          <a:ln w="9525">
                            <a:solidFill>
                              <a:srgbClr val="000000"/>
                            </a:solidFill>
                            <a:miter lim="800000"/>
                            <a:headEnd/>
                            <a:tailEnd/>
                          </a:ln>
                        </wps:spPr>
                        <wps:txbx>
                          <w:txbxContent>
                            <w:p w14:paraId="455A2190" w14:textId="77777777" w:rsidR="003B6DB3" w:rsidRPr="00EB2334" w:rsidRDefault="003B6DB3" w:rsidP="00E839E1">
                              <w:pPr>
                                <w:jc w:val="center"/>
                              </w:pPr>
                              <w:r w:rsidRPr="00EB2334">
                                <w:t>Her seviyeye uygun değil</w:t>
                              </w:r>
                            </w:p>
                            <w:p w14:paraId="2DC669CE" w14:textId="77777777" w:rsidR="003B6DB3" w:rsidRPr="00EB2334" w:rsidRDefault="003B6DB3" w:rsidP="00E839E1"/>
                          </w:txbxContent>
                        </wps:txbx>
                        <wps:bodyPr rot="0" vert="horz" wrap="square" lIns="91440" tIns="45720" rIns="91440" bIns="45720" anchor="t" anchorCtr="0" upright="1">
                          <a:noAutofit/>
                        </wps:bodyPr>
                      </wps:wsp>
                      <wps:wsp>
                        <wps:cNvPr id="250" name="AutoShape 150"/>
                        <wps:cNvSpPr>
                          <a:spLocks noChangeArrowheads="1"/>
                        </wps:cNvSpPr>
                        <wps:spPr bwMode="auto">
                          <a:xfrm>
                            <a:off x="7192" y="9365"/>
                            <a:ext cx="2457" cy="512"/>
                          </a:xfrm>
                          <a:prstGeom prst="flowChartAlternateProcess">
                            <a:avLst/>
                          </a:prstGeom>
                          <a:solidFill>
                            <a:srgbClr val="FFFFFF"/>
                          </a:solidFill>
                          <a:ln w="9525">
                            <a:solidFill>
                              <a:srgbClr val="000000"/>
                            </a:solidFill>
                            <a:miter lim="800000"/>
                            <a:headEnd/>
                            <a:tailEnd/>
                          </a:ln>
                        </wps:spPr>
                        <wps:txbx>
                          <w:txbxContent>
                            <w:p w14:paraId="37E00777" w14:textId="77777777" w:rsidR="003B6DB3" w:rsidRPr="00EB2334" w:rsidRDefault="003B6DB3" w:rsidP="00E839E1">
                              <w:pPr>
                                <w:jc w:val="center"/>
                              </w:pPr>
                              <w:r w:rsidRPr="00EB2334">
                                <w:t>Süre yetersiz</w:t>
                              </w:r>
                            </w:p>
                            <w:p w14:paraId="288B27B7" w14:textId="77777777" w:rsidR="003B6DB3" w:rsidRPr="00EB2334" w:rsidRDefault="003B6DB3" w:rsidP="00E839E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1DDB4B" id="Grup 241" o:spid="_x0000_s1072" style="position:absolute;left:0;text-align:left;margin-left:9pt;margin-top:17.2pt;width:393.6pt;height:113.7pt;z-index:251763712;mso-position-horizontal-relative:text;mso-position-vertical-relative:text" coordorigin="1777,8617" coordsize="7872,2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ZXzgQAAF0cAAAOAAAAZHJzL2Uyb0RvYy54bWzsWd9vpDYQfq/U/8HiPVlgWVhQyCnaTaJK&#10;116ku/bdC2ZBBZva3uymp/7vHY+B/ZX0olQbtbrNw8ZgbMbffP5mxlx92DQ1eWRSVYKnjnfpOoTx&#10;TOQVX6bOr1/uLqYOUZrynNaCs9R5Ysr5cP3jD1frNmG+KEWdM0lgEq6SdZs6pdZtMhqprGQNVZei&#10;ZRw6CyEbquFSLke5pGuYvalHvuuGo7WQeStFxpSCu3Pb6Vzj/EXBMv2pKBTTpE4dsE3jr8Tfhfkd&#10;XV/RZClpW1ZZZwZ9gxUNrTi8dJhqTjUlK1kdTdVUmRRKFPoyE81IFEWVMVwDrMZzD1ZzL8WqxbUs&#10;k/WyHWACaA9wevO02S+PD5JUeer4gecQThtw0r1ctcRcAzrrdpnAQ/ey/dw+SLtEaH4U2e8KukeH&#10;/eZ6aR8mi/XPIof56EoLRGdTyMZMAesmG3TC0+AEttEkg5tBHE8jH3yVQZ8XBOM47tyUleBLM86L&#10;osgh0D0Nvci6MCtvu/ERjLaDfT8KTO+IJvbFaGxnnFkZUE5tUVX/DtXPJW0ZOksZwAZUwRiL6qdH&#10;WhMv8C2q+FAPqbJ4Ei5mJeVLdiOlWJeM5mATegEs3xlgLhR445sAb4GKvQ7EHmbfC3uMJ+54Dyaa&#10;tFLpeyYaYhqpw+q6apVZHE3o40elLaj9U+a2EnWV31V1jRdyuZjVksCCU+cO/7oX7D1Wc7JOnXji&#10;T3DmvT61O4WLf89NARuE52ANTQxat11b06q2bXB9zZGlFjHrdb1ZbJDzY2SPgXMh8icAVAqrEKBo&#10;0CiF/NMha1CH1FF/rKhkDql/4uCUGIhp5AQvggnyVe72LHZ7KM9gqtTRDrHNmbYStGpltSzhTR4i&#10;wMUN7JSiQny3VnX2A1ffjbTjnrTGIGQ2MBdZskdE8PuJmBtMwTf7W7xnrhdOYrvBg3j6z8QtarGG&#10;HSX1g40Q/0EGN5WGAFhXDajZQPO30hnh2BLnTOcusgXP0RljQ0fnGbexLdvwLrYNWozs//LUQhzb&#10;k2I7xIx/WYpJAcL5W7+9u6g3jntqH4ly7HaaHLqoTEPkOpJkpSU10jETnEOSI6RVkBfUmQsjzaiT&#10;pxZdohEqLSsIZDUIJkh8w3IQTgYJomnZ4GFkmSawpyGcdC2bMH2N3fh2ejsNLgI/vL0I3Pn84uZu&#10;FlyEd140mY/ns9nc+8vsZC9IyirPGTeL65M3L3hdGO/SSJt2DenbANRof3ZMIsDY/j8ajUHZON/K&#10;sg0hZnWGFO+p1pPn6D0xQJ+W3sZvh6SOw7hLyXq9Hkjtx2jTmdRnUu+UbKivsJ07qg55c/gcqcPT&#10;k/pZzQ6DGOyBiuOY3qHpMbXKmd5nzT6u4V+iN2S3tizczbCHcgQKyBOlJDuaHULhgqT2XC/GbAgD&#10;Mlbh0RiCimF18K3i8JyJnDORQbThtO+Y1UNVAqw+9YnHUDfGoX+Qh2zrxmiChzAvJyLfW90Y92H1&#10;fAyyd3YH5wzHdB7Aegc6R14M54cgw547jvDFW4n2Ub6NRk+81/L5pobTBk41+z4OROCMriuCzsTe&#10;JfYEjhmOiA03txXjqXV6IHY8DrEqPPOaJq8+t+4/zfx/zq3x0wt8w8IDlO57m/lItnuNJyfbr4LX&#10;fwMAAP//AwBQSwMEFAAGAAgAAAAhAPada6ngAAAACQEAAA8AAABkcnMvZG93bnJldi54bWxMj81q&#10;wzAQhO+FvoPYQG+NbOcH41gOIbQ9hUKTQultY21sE0sylmI7b9/tqT0OM8x8k28n04qBet84qyCe&#10;RyDIlk43tlLweXp9TkH4gFZj6ywpuJOHbfH4kGOm3Wg/aDiGSnCJ9RkqqEPoMil9WZNBP3cdWfYu&#10;rjcYWPaV1D2OXG5amUTRWhpsLC/U2NG+pvJ6vBkFbyOOu0X8Mhyul/39+7R6/zrEpNTTbNptQASa&#10;wl8YfvEZHQpmOrub1V60rFO+EhQslksQ7KfRKgFxVpCs4xRkkcv/D4ofAAAA//8DAFBLAQItABQA&#10;BgAIAAAAIQC2gziS/gAAAOEBAAATAAAAAAAAAAAAAAAAAAAAAABbQ29udGVudF9UeXBlc10ueG1s&#10;UEsBAi0AFAAGAAgAAAAhADj9If/WAAAAlAEAAAsAAAAAAAAAAAAAAAAALwEAAF9yZWxzLy5yZWxz&#10;UEsBAi0AFAAGAAgAAAAhANJP9lfOBAAAXRwAAA4AAAAAAAAAAAAAAAAALgIAAGRycy9lMm9Eb2Mu&#10;eG1sUEsBAi0AFAAGAAgAAAAhAPada6ngAAAACQEAAA8AAAAAAAAAAAAAAAAAKAcAAGRycy9kb3du&#10;cmV2LnhtbFBLBQYAAAAABAAEAPMAAAA1CAAAAAA=&#10;">
                <v:oval id="Oval 142" o:spid="_x0000_s1073" style="position:absolute;left:1777;top:8910;width:2160;height: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Iq+xAAAANwAAAAPAAAAZHJzL2Rvd25yZXYueG1sRI9Ba8JA&#10;FITvBf/D8gre6sZEpaSuIkpBDz00be+P7DMJZt+G7GuM/94VCj0OM/MNs96OrlUD9aHxbGA+S0AR&#10;l942XBn4/np/eQUVBNli65kM3CjAdjN5WmNu/ZU/aSikUhHCIUcDtUiXax3KmhyGme+Io3f2vUOJ&#10;sq+07fEa4a7VaZKstMOG40KNHe1rKi/FrzNwqHbFatCZLLPz4SjLy8/HKZsbM30ed2+ghEb5D/+1&#10;j9ZAukjhcSYeAb25AwAA//8DAFBLAQItABQABgAIAAAAIQDb4fbL7gAAAIUBAAATAAAAAAAAAAAA&#10;AAAAAAAAAABbQ29udGVudF9UeXBlc10ueG1sUEsBAi0AFAAGAAgAAAAhAFr0LFu/AAAAFQEAAAsA&#10;AAAAAAAAAAAAAAAAHwEAAF9yZWxzLy5yZWxzUEsBAi0AFAAGAAgAAAAhADNwir7EAAAA3AAAAA8A&#10;AAAAAAAAAAAAAAAABwIAAGRycy9kb3ducmV2LnhtbFBLBQYAAAAAAwADALcAAAD4AgAAAAA=&#10;">
                  <v:textbox>
                    <w:txbxContent>
                      <w:p w14:paraId="1D2DD2FB" w14:textId="77777777" w:rsidR="003B6DB3" w:rsidRPr="00EB2334" w:rsidRDefault="003B6DB3" w:rsidP="00E839E1">
                        <w:pPr>
                          <w:jc w:val="center"/>
                        </w:pPr>
                        <w:r w:rsidRPr="00EB2334">
                          <w:t>Genel olarak Beceri Temelli Sorular</w:t>
                        </w:r>
                      </w:p>
                    </w:txbxContent>
                  </v:textbox>
                </v:oval>
                <v:shapetype id="_x0000_t109" coordsize="21600,21600" o:spt="109" path="m,l,21600r21600,l21600,xe">
                  <v:stroke joinstyle="miter"/>
                  <v:path gradientshapeok="t" o:connecttype="rect"/>
                </v:shapetype>
                <v:shape id="AutoShape 143" o:spid="_x0000_s1074" type="#_x0000_t109" style="position:absolute;left:4837;top:8617;width:1659;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UzpxgAAANwAAAAPAAAAZHJzL2Rvd25yZXYueG1sRI9Ba8JA&#10;FITvgv9heUIv0mw0WkLqKqUQiYcejL309pp9TUKzb0N2G+O/7xYKHoeZb4bZHSbTiZEG11pWsIpi&#10;EMSV1S3XCt4v+WMKwnlkjZ1lUnAjB4f9fLbDTNsrn2ksfS1CCbsMFTTe95mUrmrIoItsTxy8LzsY&#10;9EEOtdQDXkO56eQ6jp+kwZbDQoM9vTZUfZc/RsE6XZZHfsuLzedJ57hdfYzL5KTUw2J6eQbhafL3&#10;8D9d6MBtEvg7E46A3P8CAAD//wMAUEsBAi0AFAAGAAgAAAAhANvh9svuAAAAhQEAABMAAAAAAAAA&#10;AAAAAAAAAAAAAFtDb250ZW50X1R5cGVzXS54bWxQSwECLQAUAAYACAAAACEAWvQsW78AAAAVAQAA&#10;CwAAAAAAAAAAAAAAAAAfAQAAX3JlbHMvLnJlbHNQSwECLQAUAAYACAAAACEApcVM6cYAAADcAAAA&#10;DwAAAAAAAAAAAAAAAAAHAgAAZHJzL2Rvd25yZXYueG1sUEsFBgAAAAADAAMAtwAAAPoCAAAAAA==&#10;">
                  <v:textbox>
                    <w:txbxContent>
                      <w:p w14:paraId="5FF4EFB1" w14:textId="77777777" w:rsidR="003B6DB3" w:rsidRPr="00EB2334" w:rsidRDefault="003B6DB3" w:rsidP="00E839E1">
                        <w:pPr>
                          <w:jc w:val="center"/>
                        </w:pPr>
                        <w:r w:rsidRPr="00EB2334">
                          <w:t>Amaca Uygun</w:t>
                        </w:r>
                      </w:p>
                    </w:txbxContent>
                  </v:textbox>
                </v:shape>
                <v:shape id="AutoShape 144" o:spid="_x0000_s1075" type="#_x0000_t32" style="position:absolute;left:3937;top:8910;width:900;height:60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rtowwAAANwAAAAPAAAAZHJzL2Rvd25yZXYueG1sRI9PawIx&#10;FMTvBb9DeIK3mlW0yNYoVSiIF/EP6PGxed0N3bwsm3SzfnsjCD0OM/MbZrnubS06ar1xrGAyzkAQ&#10;F04bLhVczt/vCxA+IGusHZOCO3lYrwZvS8y1i3yk7hRKkSDsc1RQhdDkUvqiIot+7Bri5P241mJI&#10;si2lbjEmuK3lNMs+pEXDaaHChrYVFb+nP6vAxIPpmt02bvbXm9eRzH3ujFKjYf/1CSJQH/7Dr/ZO&#10;K5jOZvA8k46AXD0AAAD//wMAUEsBAi0AFAAGAAgAAAAhANvh9svuAAAAhQEAABMAAAAAAAAAAAAA&#10;AAAAAAAAAFtDb250ZW50X1R5cGVzXS54bWxQSwECLQAUAAYACAAAACEAWvQsW78AAAAVAQAACwAA&#10;AAAAAAAAAAAAAAAfAQAAX3JlbHMvLnJlbHNQSwECLQAUAAYACAAAACEA1Nq7aMMAAADcAAAADwAA&#10;AAAAAAAAAAAAAAAHAgAAZHJzL2Rvd25yZXYueG1sUEsFBgAAAAADAAMAtwAAAPcCAAAAAA==&#10;">
                  <v:stroke endarrow="block"/>
                </v:shape>
                <v:shape id="AutoShape 145" o:spid="_x0000_s1076" type="#_x0000_t32" style="position:absolute;left:3937;top:9697;width:900;height:2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1WwxQAAANwAAAAPAAAAZHJzL2Rvd25yZXYueG1sRI9BawIx&#10;FITvBf9DeIK3mlVq0dUoUmgRpYeqLHp7bJ67i5uXJYm6+utNodDjMDPfMLNFa2pxJecrywoG/QQE&#10;cW51xYWC/e7zdQzCB2SNtWVScCcPi3nnZYaptjf+oes2FCJC2KeooAyhSaX0eUkGfd82xNE7WWcw&#10;ROkKqR3eItzUcpgk79JgxXGhxIY+SsrP24tRcNhMLtk9+6Z1Npisj+iMf+y+lOp12+UURKA2/If/&#10;2iutYPg2gt8z8QjI+RMAAP//AwBQSwECLQAUAAYACAAAACEA2+H2y+4AAACFAQAAEwAAAAAAAAAA&#10;AAAAAAAAAAAAW0NvbnRlbnRfVHlwZXNdLnhtbFBLAQItABQABgAIAAAAIQBa9CxbvwAAABUBAAAL&#10;AAAAAAAAAAAAAAAAAB8BAABfcmVscy8ucmVsc1BLAQItABQABgAIAAAAIQCqh1WwxQAAANwAAAAP&#10;AAAAAAAAAAAAAAAAAAcCAABkcnMvZG93bnJldi54bWxQSwUGAAAAAAMAAwC3AAAA+QIAAAAA&#10;">
                  <v:stroke endarrow="block"/>
                </v:shape>
                <v:shape id="AutoShape 146" o:spid="_x0000_s1077" type="#_x0000_t32" style="position:absolute;left:6496;top:9697;width:696;height:29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ICEwgAAANwAAAAPAAAAZHJzL2Rvd25yZXYueG1sRI9BawIx&#10;FITvQv9DeAVvmq2olNUoViiIF1EL7fGxee4GNy/LJt2s/94IgsdhZr5hluve1qKj1hvHCj7GGQji&#10;wmnDpYKf8/foE4QPyBprx6TgRh7Wq7fBEnPtIh+pO4VSJAj7HBVUITS5lL6oyKIfu4Y4eRfXWgxJ&#10;tqXULcYEt7WcZNlcWjScFipsaFtRcT39WwUmHkzX7Lbxa//753Ukc5s5o9Twvd8sQATqwyv8bO+0&#10;gsl0Do8z6QjI1R0AAP//AwBQSwECLQAUAAYACAAAACEA2+H2y+4AAACFAQAAEwAAAAAAAAAAAAAA&#10;AAAAAAAAW0NvbnRlbnRfVHlwZXNdLnhtbFBLAQItABQABgAIAAAAIQBa9CxbvwAAABUBAAALAAAA&#10;AAAAAAAAAAAAAB8BAABfcmVscy8ucmVsc1BLAQItABQABgAIAAAAIQBLRICEwgAAANwAAAAPAAAA&#10;AAAAAAAAAAAAAAcCAABkcnMvZG93bnJldi54bWxQSwUGAAAAAAMAAwC3AAAA9gIAAAAA&#10;">
                  <v:stroke endarrow="block"/>
                </v:shape>
                <v:shape id="AutoShape 147" o:spid="_x0000_s1078" type="#_x0000_t32" style="position:absolute;left:6457;top:10194;width:735;height:4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W5cxQAAANwAAAAPAAAAZHJzL2Rvd25yZXYueG1sRI9BawIx&#10;FITvBf9DeIK3mlWK1dUoUmgRpYeqLHp7bJ67i5uXJYm6+utNodDjMDPfMLNFa2pxJecrywoG/QQE&#10;cW51xYWC/e7zdQzCB2SNtWVScCcPi3nnZYaptjf+oes2FCJC2KeooAyhSaX0eUkGfd82xNE7WWcw&#10;ROkKqR3eItzUcpgkI2mw4rhQYkMfJeXn7cUoOGwml+yefdM6G0zWR3TGP3ZfSvW67XIKIlAb/sN/&#10;7ZVWMHx7h98z8QjI+RMAAP//AwBQSwECLQAUAAYACAAAACEA2+H2y+4AAACFAQAAEwAAAAAAAAAA&#10;AAAAAAAAAAAAW0NvbnRlbnRfVHlwZXNdLnhtbFBLAQItABQABgAIAAAAIQBa9CxbvwAAABUBAAAL&#10;AAAAAAAAAAAAAAAAAB8BAABfcmVscy8ucmVsc1BLAQItABQABgAIAAAAIQA1GW5cxQAAANwAAAAP&#10;AAAAAAAAAAAAAAAAAAcCAABkcnMvZG93bnJldi54bWxQSwUGAAAAAAMAAwC3AAAA+QIAAAAA&#10;">
                  <v:stroke endarrow="block"/>
                </v:shape>
                <v:shape id="AutoShape 148" o:spid="_x0000_s1079" type="#_x0000_t109" style="position:absolute;left:4837;top:9627;width:1659;height: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d6YwwAAANwAAAAPAAAAZHJzL2Rvd25yZXYueG1sRE9La8JA&#10;EL4L/Q/LFLyIbny0hNRVSiFFDx5Me/E2zU6T0OxsyK4x/ffOodDjx/fe7kfXqoH60Hg2sFwkoIhL&#10;bxuuDHx+5PMUVIjIFlvPZOCXAux3D5MtZtbf+ExDESslIRwyNFDH2GVah7Imh2HhO2Lhvn3vMArs&#10;K217vEm4a/UqSZ61w4alocaO3moqf4qrM7BKZ8U7n/LD5utoc3xaXobZ+mjM9HF8fQEVaYz/4j/3&#10;wYpvI2vljBwBvbsDAAD//wMAUEsBAi0AFAAGAAgAAAAhANvh9svuAAAAhQEAABMAAAAAAAAAAAAA&#10;AAAAAAAAAFtDb250ZW50X1R5cGVzXS54bWxQSwECLQAUAAYACAAAACEAWvQsW78AAAAVAQAACwAA&#10;AAAAAAAAAAAAAAAfAQAAX3JlbHMvLnJlbHNQSwECLQAUAAYACAAAACEAq2HemMMAAADcAAAADwAA&#10;AAAAAAAAAAAAAAAHAgAAZHJzL2Rvd25yZXYueG1sUEsFBgAAAAADAAMAtwAAAPcCAAAAAA==&#10;">
                  <v:textbox>
                    <w:txbxContent>
                      <w:p w14:paraId="525C3B76" w14:textId="77777777" w:rsidR="003B6DB3" w:rsidRPr="00EB2334" w:rsidRDefault="003B6DB3" w:rsidP="00E839E1">
                        <w:pPr>
                          <w:jc w:val="center"/>
                        </w:pPr>
                        <w:r w:rsidRPr="00EB2334">
                          <w:t>Amaca Uygun Ama!</w:t>
                        </w:r>
                      </w:p>
                    </w:txbxContent>
                  </v:textbox>
                </v:shape>
                <v:shape id="AutoShape 149" o:spid="_x0000_s1080" type="#_x0000_t176" style="position:absolute;left:7192;top:10379;width:2457;height: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zg/xgAAANwAAAAPAAAAZHJzL2Rvd25yZXYueG1sRI9Pa8JA&#10;FMTvBb/D8gRvdaMt/omuIhalh16Mgtdn9pkNZt+G7BpjP323UOhxmJnfMMt1ZyvRUuNLxwpGwwQE&#10;ce50yYWC03H3OgPhA7LGyjEpeJKH9ar3ssRUuwcfqM1CISKEfYoKTAh1KqXPDVn0Q1cTR+/qGosh&#10;yqaQusFHhNtKjpNkIi2WHBcM1rQ1lN+yu1XQfX1f5vf9KM+CmU2m57f2Y3OSSg363WYBIlAX/sN/&#10;7U+tYPw+h98z8QjI1Q8AAAD//wMAUEsBAi0AFAAGAAgAAAAhANvh9svuAAAAhQEAABMAAAAAAAAA&#10;AAAAAAAAAAAAAFtDb250ZW50X1R5cGVzXS54bWxQSwECLQAUAAYACAAAACEAWvQsW78AAAAVAQAA&#10;CwAAAAAAAAAAAAAAAAAfAQAAX3JlbHMvLnJlbHNQSwECLQAUAAYACAAAACEAe6M4P8YAAADcAAAA&#10;DwAAAAAAAAAAAAAAAAAHAgAAZHJzL2Rvd25yZXYueG1sUEsFBgAAAAADAAMAtwAAAPoCAAAAAA==&#10;">
                  <v:textbox>
                    <w:txbxContent>
                      <w:p w14:paraId="455A2190" w14:textId="77777777" w:rsidR="003B6DB3" w:rsidRPr="00EB2334" w:rsidRDefault="003B6DB3" w:rsidP="00E839E1">
                        <w:pPr>
                          <w:jc w:val="center"/>
                        </w:pPr>
                        <w:r w:rsidRPr="00EB2334">
                          <w:t>Her seviyeye uygun değil</w:t>
                        </w:r>
                      </w:p>
                      <w:p w14:paraId="2DC669CE" w14:textId="77777777" w:rsidR="003B6DB3" w:rsidRPr="00EB2334" w:rsidRDefault="003B6DB3" w:rsidP="00E839E1"/>
                    </w:txbxContent>
                  </v:textbox>
                </v:shape>
                <v:shape id="AutoShape 150" o:spid="_x0000_s1081" type="#_x0000_t176" style="position:absolute;left:7192;top:9365;width:2457;height: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Ad/wgAAANwAAAAPAAAAZHJzL2Rvd25yZXYueG1sRE/Pa8Iw&#10;FL4L/g/hCd40VdF1nVFkY7KDFzth17fm2RSbl9LE2vnXm8PA48f3e73tbS06an3lWMFsmoAgLpyu&#10;uFRw+v6cpCB8QNZYOyYFf+RhuxkO1phpd+MjdXkoRQxhn6ECE0KTSekLQxb91DXEkTu71mKIsC2l&#10;bvEWw20t50mykhYrjg0GG3o3VFzyq1XQH+6/r9f9rMiDSVcvP4vuY3eSSo1H/e4NRKA+PMX/7i+t&#10;YL6M8+OZeATk5gEAAP//AwBQSwECLQAUAAYACAAAACEA2+H2y+4AAACFAQAAEwAAAAAAAAAAAAAA&#10;AAAAAAAAW0NvbnRlbnRfVHlwZXNdLnhtbFBLAQItABQABgAIAAAAIQBa9CxbvwAAABUBAAALAAAA&#10;AAAAAAAAAAAAAB8BAABfcmVscy8ucmVsc1BLAQItABQABgAIAAAAIQBvQAd/wgAAANwAAAAPAAAA&#10;AAAAAAAAAAAAAAcCAABkcnMvZG93bnJldi54bWxQSwUGAAAAAAMAAwC3AAAA9gIAAAAA&#10;">
                  <v:textbox>
                    <w:txbxContent>
                      <w:p w14:paraId="37E00777" w14:textId="77777777" w:rsidR="003B6DB3" w:rsidRPr="00EB2334" w:rsidRDefault="003B6DB3" w:rsidP="00E839E1">
                        <w:pPr>
                          <w:jc w:val="center"/>
                        </w:pPr>
                        <w:r w:rsidRPr="00EB2334">
                          <w:t>Süre yetersiz</w:t>
                        </w:r>
                      </w:p>
                      <w:p w14:paraId="288B27B7" w14:textId="77777777" w:rsidR="003B6DB3" w:rsidRPr="00EB2334" w:rsidRDefault="003B6DB3" w:rsidP="00E839E1"/>
                    </w:txbxContent>
                  </v:textbox>
                </v:shape>
              </v:group>
            </w:pict>
          </mc:Fallback>
        </mc:AlternateContent>
      </w:r>
    </w:p>
    <w:p w14:paraId="03C90176" w14:textId="77777777" w:rsidR="00E839E1" w:rsidRPr="000A2E75" w:rsidRDefault="00E839E1" w:rsidP="00E839E1">
      <w:pPr>
        <w:autoSpaceDE w:val="0"/>
        <w:autoSpaceDN w:val="0"/>
        <w:adjustRightInd w:val="0"/>
        <w:spacing w:before="120" w:after="120" w:line="360" w:lineRule="auto"/>
        <w:jc w:val="center"/>
        <w:rPr>
          <w:rFonts w:ascii="Times New Roman" w:hAnsi="Times New Roman" w:cs="Times New Roman"/>
        </w:rPr>
      </w:pPr>
    </w:p>
    <w:p w14:paraId="5149C9FB" w14:textId="77777777" w:rsidR="00E839E1" w:rsidRPr="000A2E75" w:rsidRDefault="00E839E1" w:rsidP="00E839E1">
      <w:pPr>
        <w:autoSpaceDE w:val="0"/>
        <w:autoSpaceDN w:val="0"/>
        <w:adjustRightInd w:val="0"/>
        <w:spacing w:before="120" w:after="120" w:line="360" w:lineRule="auto"/>
        <w:jc w:val="center"/>
        <w:rPr>
          <w:rFonts w:ascii="Times New Roman" w:hAnsi="Times New Roman" w:cs="Times New Roman"/>
        </w:rPr>
      </w:pPr>
    </w:p>
    <w:p w14:paraId="16D69247" w14:textId="77777777" w:rsidR="00E839E1" w:rsidRPr="000A2E75" w:rsidRDefault="00E839E1" w:rsidP="00E839E1">
      <w:pPr>
        <w:autoSpaceDE w:val="0"/>
        <w:autoSpaceDN w:val="0"/>
        <w:adjustRightInd w:val="0"/>
        <w:spacing w:before="120" w:after="120" w:line="360" w:lineRule="auto"/>
        <w:jc w:val="center"/>
        <w:rPr>
          <w:rFonts w:ascii="Times New Roman" w:hAnsi="Times New Roman" w:cs="Times New Roman"/>
        </w:rPr>
      </w:pPr>
    </w:p>
    <w:p w14:paraId="40B67D71" w14:textId="77777777" w:rsidR="00E839E1" w:rsidRPr="000A2E75" w:rsidRDefault="00E839E1" w:rsidP="00E839E1">
      <w:pPr>
        <w:autoSpaceDE w:val="0"/>
        <w:autoSpaceDN w:val="0"/>
        <w:adjustRightInd w:val="0"/>
        <w:spacing w:before="120" w:after="120" w:line="360" w:lineRule="auto"/>
        <w:jc w:val="center"/>
        <w:rPr>
          <w:rFonts w:ascii="Times New Roman" w:hAnsi="Times New Roman" w:cs="Times New Roman"/>
        </w:rPr>
      </w:pPr>
    </w:p>
    <w:p w14:paraId="33F7351D" w14:textId="77777777" w:rsidR="00E839E1" w:rsidRPr="000A2E75" w:rsidRDefault="00E839E1" w:rsidP="00E839E1">
      <w:pPr>
        <w:autoSpaceDE w:val="0"/>
        <w:autoSpaceDN w:val="0"/>
        <w:adjustRightInd w:val="0"/>
        <w:spacing w:before="120" w:after="120" w:line="360" w:lineRule="auto"/>
        <w:jc w:val="center"/>
        <w:rPr>
          <w:rFonts w:ascii="Times New Roman" w:hAnsi="Times New Roman" w:cs="Times New Roman"/>
        </w:rPr>
      </w:pPr>
    </w:p>
    <w:p w14:paraId="2DBD63F1" w14:textId="77777777" w:rsidR="00E839E1" w:rsidRPr="000A2E75" w:rsidRDefault="00E839E1" w:rsidP="00E839E1">
      <w:pPr>
        <w:autoSpaceDE w:val="0"/>
        <w:autoSpaceDN w:val="0"/>
        <w:adjustRightInd w:val="0"/>
        <w:spacing w:before="120" w:after="120"/>
        <w:jc w:val="center"/>
        <w:rPr>
          <w:rFonts w:ascii="Times New Roman" w:hAnsi="Times New Roman" w:cs="Times New Roman"/>
        </w:rPr>
      </w:pPr>
      <w:r w:rsidRPr="000A2E75">
        <w:rPr>
          <w:rFonts w:ascii="Times New Roman" w:hAnsi="Times New Roman" w:cs="Times New Roman"/>
        </w:rPr>
        <w:t xml:space="preserve">Şekil </w:t>
      </w:r>
      <w:r w:rsidRPr="000A2E75">
        <w:rPr>
          <w:rFonts w:ascii="Times New Roman" w:hAnsi="Times New Roman" w:cs="Times New Roman"/>
        </w:rPr>
        <w:fldChar w:fldCharType="begin"/>
      </w:r>
      <w:r w:rsidRPr="000A2E75">
        <w:rPr>
          <w:rFonts w:ascii="Times New Roman" w:hAnsi="Times New Roman" w:cs="Times New Roman"/>
        </w:rPr>
        <w:instrText xml:space="preserve"> SEQ Şekil \* ARABIC </w:instrText>
      </w:r>
      <w:r w:rsidRPr="000A2E75">
        <w:rPr>
          <w:rFonts w:ascii="Times New Roman" w:hAnsi="Times New Roman" w:cs="Times New Roman"/>
        </w:rPr>
        <w:fldChar w:fldCharType="separate"/>
      </w:r>
      <w:r w:rsidRPr="000A2E75">
        <w:rPr>
          <w:rFonts w:ascii="Times New Roman" w:hAnsi="Times New Roman" w:cs="Times New Roman"/>
          <w:noProof/>
        </w:rPr>
        <w:t>1</w:t>
      </w:r>
      <w:r w:rsidRPr="000A2E75">
        <w:rPr>
          <w:rFonts w:ascii="Times New Roman" w:hAnsi="Times New Roman" w:cs="Times New Roman"/>
        </w:rPr>
        <w:fldChar w:fldCharType="end"/>
      </w:r>
      <w:r w:rsidRPr="000A2E75">
        <w:rPr>
          <w:rFonts w:ascii="Times New Roman" w:hAnsi="Times New Roman" w:cs="Times New Roman"/>
        </w:rPr>
        <w:t>. Genel Olarak Beceri Temelli Sorulara İlişkin Görüşler</w:t>
      </w:r>
    </w:p>
    <w:p w14:paraId="55AFD630" w14:textId="77777777" w:rsidR="00E839E1" w:rsidRPr="000A2E75" w:rsidRDefault="00E839E1" w:rsidP="00E839E1">
      <w:pPr>
        <w:autoSpaceDE w:val="0"/>
        <w:autoSpaceDN w:val="0"/>
        <w:adjustRightInd w:val="0"/>
        <w:spacing w:before="120" w:after="120"/>
        <w:jc w:val="both"/>
        <w:rPr>
          <w:rFonts w:ascii="Times New Roman" w:hAnsi="Times New Roman" w:cs="Times New Roman"/>
        </w:rPr>
      </w:pPr>
      <w:r w:rsidRPr="000A2E75">
        <w:rPr>
          <w:rFonts w:ascii="Times New Roman" w:hAnsi="Times New Roman" w:cs="Times New Roman"/>
        </w:rPr>
        <w:t>Şekil 1’de yer alan katılımcı görüşleri doğrultusunda yapılan analiz sonrasında; katılımcıların bir kısmının beceri temelli soruların “</w:t>
      </w:r>
      <w:r w:rsidRPr="000A2E75">
        <w:rPr>
          <w:rFonts w:ascii="Times New Roman" w:hAnsi="Times New Roman" w:cs="Times New Roman"/>
          <w:i/>
        </w:rPr>
        <w:t>amaca uygun”</w:t>
      </w:r>
      <w:r w:rsidRPr="000A2E75">
        <w:rPr>
          <w:rFonts w:ascii="Times New Roman" w:hAnsi="Times New Roman" w:cs="Times New Roman"/>
        </w:rPr>
        <w:t xml:space="preserve"> olduğunu dile getirmekte oldukları, bir kısmının ise amaca uygun olduğunu dile getirmenin yanında, </w:t>
      </w:r>
      <w:r w:rsidRPr="000A2E75">
        <w:rPr>
          <w:rFonts w:ascii="Times New Roman" w:hAnsi="Times New Roman" w:cs="Times New Roman"/>
          <w:i/>
        </w:rPr>
        <w:t>ders süresinin yetersiz</w:t>
      </w:r>
      <w:r w:rsidRPr="000A2E75">
        <w:rPr>
          <w:rFonts w:ascii="Times New Roman" w:hAnsi="Times New Roman" w:cs="Times New Roman"/>
        </w:rPr>
        <w:t xml:space="preserve"> olmasından ve bu soruların </w:t>
      </w:r>
      <w:r w:rsidRPr="000A2E75">
        <w:rPr>
          <w:rFonts w:ascii="Times New Roman" w:hAnsi="Times New Roman" w:cs="Times New Roman"/>
          <w:i/>
        </w:rPr>
        <w:t>her seviyeye uygun olmadığını</w:t>
      </w:r>
      <w:r w:rsidRPr="000A2E75">
        <w:rPr>
          <w:rFonts w:ascii="Times New Roman" w:hAnsi="Times New Roman" w:cs="Times New Roman"/>
        </w:rPr>
        <w:t xml:space="preserve"> da dile getirerek bu durumdan şikâyetçi oldukları görülmektedir. </w:t>
      </w:r>
    </w:p>
    <w:p w14:paraId="55B8CDC5" w14:textId="77777777" w:rsidR="00E839E1" w:rsidRPr="000A2E75" w:rsidRDefault="00E839E1" w:rsidP="00E839E1">
      <w:pPr>
        <w:autoSpaceDE w:val="0"/>
        <w:autoSpaceDN w:val="0"/>
        <w:adjustRightInd w:val="0"/>
        <w:spacing w:before="120" w:after="120"/>
        <w:jc w:val="both"/>
        <w:rPr>
          <w:rFonts w:ascii="Times New Roman" w:hAnsi="Times New Roman" w:cs="Times New Roman"/>
          <w:i/>
        </w:rPr>
      </w:pPr>
      <w:r w:rsidRPr="000A2E75">
        <w:rPr>
          <w:rFonts w:ascii="Times New Roman" w:hAnsi="Times New Roman" w:cs="Times New Roman"/>
          <w:i/>
        </w:rPr>
        <w:t>Amaca Uygun</w:t>
      </w:r>
    </w:p>
    <w:p w14:paraId="2DBAF2B5" w14:textId="77777777" w:rsidR="00E839E1" w:rsidRPr="000A2E75" w:rsidRDefault="00E839E1" w:rsidP="00E839E1">
      <w:pPr>
        <w:spacing w:before="120" w:after="120"/>
        <w:jc w:val="both"/>
        <w:rPr>
          <w:rFonts w:ascii="Times New Roman" w:hAnsi="Times New Roman" w:cs="Times New Roman"/>
          <w:bCs/>
          <w:lang w:eastAsia="tr-TR"/>
        </w:rPr>
      </w:pPr>
      <w:r w:rsidRPr="000A2E75">
        <w:rPr>
          <w:rFonts w:ascii="Times New Roman" w:hAnsi="Times New Roman" w:cs="Times New Roman"/>
          <w:iCs/>
        </w:rPr>
        <w:t>Katılımcıların bir kısmı beceri temelli matematik sorularının amaca uygun oldukları dile getirmektedirler. Katılımcılar bu görüşlerini “</w:t>
      </w:r>
      <w:r w:rsidRPr="000A2E75">
        <w:rPr>
          <w:rFonts w:ascii="Times New Roman" w:hAnsi="Times New Roman" w:cs="Times New Roman"/>
          <w:bCs/>
          <w:i/>
          <w:lang w:eastAsia="tr-TR"/>
        </w:rPr>
        <w:t>Okuma anlamaya yönelik sorular olduğundan kitap okuyan çocukları ön plana çıkardığı için amaca hizmet ettiğini düşünüyorum</w:t>
      </w:r>
      <w:r w:rsidRPr="000A2E75">
        <w:rPr>
          <w:rFonts w:ascii="Times New Roman" w:hAnsi="Times New Roman" w:cs="Times New Roman"/>
          <w:bCs/>
          <w:lang w:eastAsia="tr-TR"/>
        </w:rPr>
        <w:t>.” (K-3), “</w:t>
      </w:r>
      <w:r w:rsidRPr="000A2E75">
        <w:rPr>
          <w:rFonts w:ascii="Times New Roman" w:hAnsi="Times New Roman" w:cs="Times New Roman"/>
          <w:i/>
          <w:lang w:eastAsia="tr-TR"/>
        </w:rPr>
        <w:t>Yeni nesil matematik soruları, Liselere Giriş Sınavı’nda günlük hayat becerilerini matematik dersinde doğru kullanabilen ve verilen zamanı etkili yönetebilen öğrencileri ön plana çıkarabilmektedir. Amaca uygun olduğunu, hizmet ettiğini düşünüyorum</w:t>
      </w:r>
      <w:r w:rsidRPr="000A2E75">
        <w:rPr>
          <w:rFonts w:ascii="Times New Roman" w:hAnsi="Times New Roman" w:cs="Times New Roman"/>
          <w:lang w:eastAsia="tr-TR"/>
        </w:rPr>
        <w:t>”</w:t>
      </w:r>
      <w:r w:rsidRPr="000A2E75">
        <w:rPr>
          <w:rFonts w:ascii="Times New Roman" w:hAnsi="Times New Roman" w:cs="Times New Roman"/>
          <w:bCs/>
          <w:lang w:eastAsia="tr-TR"/>
        </w:rPr>
        <w:t xml:space="preserve"> (K-5) ve “</w:t>
      </w:r>
      <w:r w:rsidRPr="000A2E75">
        <w:rPr>
          <w:rFonts w:ascii="Times New Roman" w:hAnsi="Times New Roman" w:cs="Times New Roman"/>
          <w:bCs/>
          <w:i/>
          <w:lang w:eastAsia="tr-TR"/>
        </w:rPr>
        <w:t>Hedeflendiği şekilde hizmet edebilecek sorulardır bence. Düşünmeyi, günlük hayatla ilişkilendirmeyi yaptığı kanısındayım</w:t>
      </w:r>
      <w:r w:rsidRPr="000A2E75">
        <w:rPr>
          <w:rFonts w:ascii="Times New Roman" w:hAnsi="Times New Roman" w:cs="Times New Roman"/>
          <w:bCs/>
          <w:lang w:eastAsia="tr-TR"/>
        </w:rPr>
        <w:t>” (K-8) şeklinde ifadelendirmektedirler. Bu durum matematik öğretmenleri tarafından beceri temelli soruların amaca uygun olarak görüldüğünün kanıtı olarak söylenebilir.</w:t>
      </w:r>
    </w:p>
    <w:p w14:paraId="77FDD20E" w14:textId="77777777" w:rsidR="00E839E1" w:rsidRPr="000A2E75" w:rsidRDefault="00E839E1" w:rsidP="00E839E1">
      <w:pPr>
        <w:autoSpaceDE w:val="0"/>
        <w:autoSpaceDN w:val="0"/>
        <w:adjustRightInd w:val="0"/>
        <w:spacing w:before="120" w:after="120"/>
        <w:jc w:val="both"/>
        <w:rPr>
          <w:rFonts w:ascii="Times New Roman" w:hAnsi="Times New Roman" w:cs="Times New Roman"/>
          <w:i/>
        </w:rPr>
      </w:pPr>
      <w:r w:rsidRPr="000A2E75">
        <w:rPr>
          <w:rFonts w:ascii="Times New Roman" w:hAnsi="Times New Roman" w:cs="Times New Roman"/>
          <w:i/>
        </w:rPr>
        <w:t>Amaca Uygun Ama!</w:t>
      </w:r>
    </w:p>
    <w:p w14:paraId="5F706E27" w14:textId="77777777" w:rsidR="00E839E1" w:rsidRPr="000A2E75" w:rsidRDefault="00E839E1" w:rsidP="00E839E1">
      <w:pPr>
        <w:spacing w:before="120" w:after="120"/>
        <w:jc w:val="both"/>
        <w:rPr>
          <w:rFonts w:ascii="Times New Roman" w:hAnsi="Times New Roman" w:cs="Times New Roman"/>
          <w:bCs/>
          <w:lang w:eastAsia="tr-TR"/>
        </w:rPr>
      </w:pPr>
      <w:r w:rsidRPr="000A2E75">
        <w:rPr>
          <w:rFonts w:ascii="Times New Roman" w:hAnsi="Times New Roman" w:cs="Times New Roman"/>
          <w:iCs/>
        </w:rPr>
        <w:t>Katılımcıların büyük çoğunluğu, beceri temelli matematik sorularını amaca uygun olduklarını değerlendirmenin yanında bu soruların her seviyeye uygun olmadığını ve soruları çözmek için yeterli zamanın öğrenciler tarafından elde edilmediğini düşünmektedirler ve bu düşüncelerini “</w:t>
      </w:r>
      <w:r w:rsidRPr="000A2E75">
        <w:rPr>
          <w:rFonts w:ascii="Times New Roman" w:eastAsia="Palatino Linotype" w:hAnsi="Times New Roman" w:cs="Times New Roman"/>
          <w:i/>
        </w:rPr>
        <w:t>Faydalı. Ancak her öğrenciye uygun seviyede olduğunu düşünmüyorum</w:t>
      </w:r>
      <w:r w:rsidRPr="000A2E75">
        <w:rPr>
          <w:rFonts w:ascii="Times New Roman" w:hAnsi="Times New Roman" w:cs="Times New Roman"/>
          <w:bCs/>
          <w:i/>
          <w:lang w:eastAsia="tr-TR"/>
        </w:rPr>
        <w:t>.</w:t>
      </w:r>
      <w:r w:rsidRPr="000A2E75">
        <w:rPr>
          <w:rFonts w:ascii="Times New Roman" w:hAnsi="Times New Roman" w:cs="Times New Roman"/>
          <w:bCs/>
          <w:lang w:eastAsia="tr-TR"/>
        </w:rPr>
        <w:t>” (K-</w:t>
      </w:r>
      <w:r w:rsidRPr="000A2E75">
        <w:rPr>
          <w:rFonts w:ascii="Times New Roman" w:hAnsi="Times New Roman" w:cs="Times New Roman"/>
          <w:bCs/>
        </w:rPr>
        <w:t>1</w:t>
      </w:r>
      <w:r w:rsidRPr="000A2E75">
        <w:rPr>
          <w:rFonts w:ascii="Times New Roman" w:hAnsi="Times New Roman" w:cs="Times New Roman"/>
          <w:bCs/>
          <w:lang w:eastAsia="tr-TR"/>
        </w:rPr>
        <w:t>), “</w:t>
      </w:r>
      <w:r w:rsidRPr="000A2E75">
        <w:rPr>
          <w:rFonts w:ascii="Times New Roman" w:hAnsi="Times New Roman" w:cs="Times New Roman"/>
          <w:i/>
          <w:lang w:eastAsia="tr-TR"/>
        </w:rPr>
        <w:t>Bazı yeni nesil soruları ortaokul düzeyi öğrenciler için uygun bulmuyorum. Çünkü bu tarz sorular analiz ederek, yorumlayarak ve soruyu birçok açıdan düşünerek çözülüyor ve bunun için de belli bir bilgi birikiminin olması gerekli. 5.6 veya 7.sınıf öğrencileri yaşları gereği bu birikime düşünme yeteneğine sahip değiller</w:t>
      </w:r>
      <w:r w:rsidRPr="000A2E75">
        <w:rPr>
          <w:rFonts w:ascii="Times New Roman" w:hAnsi="Times New Roman" w:cs="Times New Roman"/>
          <w:lang w:eastAsia="tr-TR"/>
        </w:rPr>
        <w:t>”</w:t>
      </w:r>
      <w:r w:rsidRPr="000A2E75">
        <w:rPr>
          <w:rFonts w:ascii="Times New Roman" w:hAnsi="Times New Roman" w:cs="Times New Roman"/>
          <w:bCs/>
          <w:lang w:eastAsia="tr-TR"/>
        </w:rPr>
        <w:t xml:space="preserve"> (K-2) ve “</w:t>
      </w:r>
      <w:r w:rsidRPr="000A2E75">
        <w:rPr>
          <w:rFonts w:ascii="Times New Roman" w:hAnsi="Times New Roman" w:cs="Times New Roman"/>
          <w:i/>
          <w:lang w:eastAsia="tr-TR"/>
        </w:rPr>
        <w:t>Muhakeme yeteneği kazandırmayı amaçlayan soruların olması gerektiğini düşünüyorum. Çünkü matematik sadece 4 işlemden ibaret olmamalı. Fakat sistem çok yanlış. Diyor ki sen bunları bunları anlat ama lise giriş sınavında bunları sormayacağız’. Haftalık ders saati içinde hem kazanım hem yeni nesil soruları yetiştirmek Destekleme Yetiştirme Kursları olmasa imkânsız</w:t>
      </w:r>
      <w:r w:rsidRPr="000A2E75">
        <w:rPr>
          <w:rFonts w:ascii="Times New Roman" w:hAnsi="Times New Roman" w:cs="Times New Roman"/>
          <w:lang w:eastAsia="tr-TR"/>
        </w:rPr>
        <w:t>.</w:t>
      </w:r>
      <w:r w:rsidRPr="000A2E75">
        <w:rPr>
          <w:rFonts w:ascii="Times New Roman" w:hAnsi="Times New Roman" w:cs="Times New Roman"/>
          <w:bCs/>
          <w:lang w:eastAsia="tr-TR"/>
        </w:rPr>
        <w:t xml:space="preserve">” (K-4) şeklinde ifadelendirmektedirler. Bu durum katılımcıların beceri temelli matematik sorularının mantığını doğru bulduklarını ancak gerek soruların her seviyeye uygun olmayışı gerekse uygulamalardan kaynaklı sorunlardan dolayı hedeflenenlere hizmet etmede sorunlar yaşandığını dile getirmesi bakımından önemli görülebilir. </w:t>
      </w:r>
    </w:p>
    <w:p w14:paraId="773EACCD" w14:textId="77777777" w:rsidR="00E839E1" w:rsidRPr="000A2E75" w:rsidRDefault="00E839E1" w:rsidP="00E839E1">
      <w:pPr>
        <w:autoSpaceDE w:val="0"/>
        <w:autoSpaceDN w:val="0"/>
        <w:adjustRightInd w:val="0"/>
        <w:spacing w:before="120" w:after="120"/>
        <w:jc w:val="both"/>
        <w:rPr>
          <w:rFonts w:ascii="Times New Roman" w:hAnsi="Times New Roman" w:cs="Times New Roman"/>
          <w:i/>
        </w:rPr>
      </w:pPr>
      <w:r w:rsidRPr="000A2E75">
        <w:rPr>
          <w:rFonts w:ascii="Times New Roman" w:hAnsi="Times New Roman" w:cs="Times New Roman"/>
          <w:i/>
        </w:rPr>
        <w:lastRenderedPageBreak/>
        <w:t>BECERİ TEMELLİ SORULARIN KAZANIMLARLA İLİŞKİSİ</w:t>
      </w:r>
    </w:p>
    <w:p w14:paraId="3A781E1F" w14:textId="77777777" w:rsidR="00E839E1" w:rsidRPr="000A2E75" w:rsidRDefault="00E839E1" w:rsidP="00E839E1">
      <w:pPr>
        <w:autoSpaceDE w:val="0"/>
        <w:autoSpaceDN w:val="0"/>
        <w:adjustRightInd w:val="0"/>
        <w:spacing w:before="120" w:after="120"/>
        <w:jc w:val="both"/>
        <w:rPr>
          <w:rFonts w:ascii="Times New Roman" w:hAnsi="Times New Roman" w:cs="Times New Roman"/>
        </w:rPr>
      </w:pPr>
      <w:r w:rsidRPr="000A2E75">
        <w:rPr>
          <w:rFonts w:ascii="Times New Roman" w:hAnsi="Times New Roman" w:cs="Times New Roman"/>
          <w:noProof/>
          <w:lang w:val="en-US"/>
        </w:rPr>
        <mc:AlternateContent>
          <mc:Choice Requires="wps">
            <w:drawing>
              <wp:anchor distT="0" distB="0" distL="114300" distR="114300" simplePos="0" relativeHeight="251764736" behindDoc="0" locked="0" layoutInCell="1" allowOverlap="1" wp14:anchorId="3DE787D7" wp14:editId="76531EE4">
                <wp:simplePos x="0" y="0"/>
                <wp:positionH relativeFrom="column">
                  <wp:posOffset>-4934585</wp:posOffset>
                </wp:positionH>
                <wp:positionV relativeFrom="paragraph">
                  <wp:posOffset>1619885</wp:posOffset>
                </wp:positionV>
                <wp:extent cx="984250" cy="1062990"/>
                <wp:effectExtent l="13335" t="5080" r="12065" b="8255"/>
                <wp:wrapNone/>
                <wp:docPr id="240" name="Akış Çizelgesi: Öteki İşlem 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0" cy="1062990"/>
                        </a:xfrm>
                        <a:prstGeom prst="flowChartAlternateProcess">
                          <a:avLst/>
                        </a:prstGeom>
                        <a:solidFill>
                          <a:srgbClr val="FFFFFF"/>
                        </a:solidFill>
                        <a:ln w="9525">
                          <a:solidFill>
                            <a:srgbClr val="000000"/>
                          </a:solidFill>
                          <a:miter lim="800000"/>
                          <a:headEnd/>
                          <a:tailEnd/>
                        </a:ln>
                      </wps:spPr>
                      <wps:txbx>
                        <w:txbxContent>
                          <w:p w14:paraId="190F17CC" w14:textId="77777777" w:rsidR="003B6DB3" w:rsidRDefault="003B6DB3" w:rsidP="00E839E1">
                            <w:pPr>
                              <w:spacing w:before="240"/>
                              <w:jc w:val="center"/>
                            </w:pPr>
                            <w:r>
                              <w:t>Lisansüstü Eğitim İçin Gönderme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E787D7" id="Akış Çizelgesi: Öteki İşlem 240" o:spid="_x0000_s1082" type="#_x0000_t176" style="position:absolute;left:0;text-align:left;margin-left:-388.55pt;margin-top:127.55pt;width:77.5pt;height:83.7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g8ZWgIAAIAEAAAOAAAAZHJzL2Uyb0RvYy54bWysVF1uEzEQfkfiDpbfySarpDSrbKqopQip&#10;QKTCARyvd9eq/xg72aQX4Aa89gpwhrb3YuxNQwo8IfbB8njGn7/5ZmZnZ1utyEaAl9aUdDQYUiIM&#10;t5U0TUk/f7p8dUqJD8xUTFkjSroTnp7NX76Yda4QuW2tqgQQBDG+6FxJ2xBckWWet0IzP7BOGHTW&#10;FjQLaEKTVcA6RNcqy4fDk6yzUDmwXHiPpxe9k84Tfl0LHj7WtReBqJIit5BWSOsqrtl8xooGmGsl&#10;39Ng/8BCM2nw0QPUBQuMrEH+AaUlB+ttHQbc6szWteQi5YDZjIa/ZXPdMidSLiiOdweZ/P+D5R82&#10;SyCyKmk+Rn0M01ikxc3Dj8c7cv9V3grVCC8Lcv8tiBtJHr4/3imhSQxG6TrnC0S4dkuIyXt3ZfmN&#10;J8aet8w0YgFgu1awCgmPYnz27EI0PF4lq+69rfBdtg42qbitQUdA1IdsU7F2h2KJbSAcD6en43yC&#10;lDm6RsOTfDpNlDJWPN124MNbYTWJm5LWynbIC8JCBQGGBbHs+yY9yTZXPkSKrHi6l1KySlaXUqlk&#10;QLM6V0A2DLvpMn0pK8z8OEwZ0iG/ST5JyM98/hhimL6/QWiJFImSuqSnhyBWRC3fmCo1bWBS9Xuk&#10;rMxe3KhnX5ewXW1TYcf5U6lWttqh3GD7McCxxU1r4ZaSDkegpP7LmoGgRL0zWLLpaBx7IiRjPHmd&#10;owHHntWxhxmOUCUNlPTb89DP2dqBbFp8aZTkMHaBZa5lEju2QM9qzx/bPNVgP5Jxjo7tFPXrxzH/&#10;CQAA//8DAFBLAwQUAAYACAAAACEA/g1gK+AAAAANAQAADwAAAGRycy9kb3ducmV2LnhtbEyPwU6E&#10;MBCG7ya+QzMm3thCFViRstlo9ORF3MRroRWIdEpoYdGndzzp7Z/Ml3++KQ+bHdlqZj84lJDsYmAG&#10;W6cH7CSc3p6iPTAfFGo1OjQSvoyHQ3V5UapCuzO+mrUOHaMS9IWS0IcwFZz7tjdW+Z2bDNLuw81W&#10;BRrnjutZnancjlzEccatGpAu9GoyD71pP+vFSthevpu75Tlp69Dvs/z9Zn08nriU11fb8R5YMFv4&#10;g+FXn9ShIqfGLag9GyVEeZ4nxEoQaUqBkCgTglIj4VaIFHhV8v9fVD8AAAD//wMAUEsBAi0AFAAG&#10;AAgAAAAhALaDOJL+AAAA4QEAABMAAAAAAAAAAAAAAAAAAAAAAFtDb250ZW50X1R5cGVzXS54bWxQ&#10;SwECLQAUAAYACAAAACEAOP0h/9YAAACUAQAACwAAAAAAAAAAAAAAAAAvAQAAX3JlbHMvLnJlbHNQ&#10;SwECLQAUAAYACAAAACEARzoPGVoCAACABAAADgAAAAAAAAAAAAAAAAAuAgAAZHJzL2Uyb0RvYy54&#10;bWxQSwECLQAUAAYACAAAACEA/g1gK+AAAAANAQAADwAAAAAAAAAAAAAAAAC0BAAAZHJzL2Rvd25y&#10;ZXYueG1sUEsFBgAAAAAEAAQA8wAAAMEFAAAAAA==&#10;">
                <v:textbox>
                  <w:txbxContent>
                    <w:p w14:paraId="190F17CC" w14:textId="77777777" w:rsidR="003B6DB3" w:rsidRDefault="003B6DB3" w:rsidP="00E839E1">
                      <w:pPr>
                        <w:spacing w:before="240"/>
                        <w:jc w:val="center"/>
                      </w:pPr>
                      <w:r>
                        <w:t>Lisansüstü Eğitim İçin Gönderme</w:t>
                      </w:r>
                    </w:p>
                  </w:txbxContent>
                </v:textbox>
              </v:shape>
            </w:pict>
          </mc:Fallback>
        </mc:AlternateContent>
      </w:r>
      <w:r w:rsidRPr="000A2E75">
        <w:rPr>
          <w:rFonts w:ascii="Times New Roman" w:hAnsi="Times New Roman" w:cs="Times New Roman"/>
          <w:noProof/>
          <w:lang w:val="en-US"/>
        </w:rPr>
        <mc:AlternateContent>
          <mc:Choice Requires="wps">
            <w:drawing>
              <wp:anchor distT="0" distB="0" distL="114300" distR="114300" simplePos="0" relativeHeight="251765760" behindDoc="0" locked="0" layoutInCell="1" allowOverlap="1" wp14:anchorId="6DD4FE39" wp14:editId="1F29B20B">
                <wp:simplePos x="0" y="0"/>
                <wp:positionH relativeFrom="column">
                  <wp:posOffset>-9824085</wp:posOffset>
                </wp:positionH>
                <wp:positionV relativeFrom="paragraph">
                  <wp:posOffset>467360</wp:posOffset>
                </wp:positionV>
                <wp:extent cx="984250" cy="1062990"/>
                <wp:effectExtent l="10160" t="5080" r="5715" b="8255"/>
                <wp:wrapNone/>
                <wp:docPr id="239" name="Akış Çizelgesi: Öteki İşlem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0" cy="1062990"/>
                        </a:xfrm>
                        <a:prstGeom prst="flowChartAlternateProcess">
                          <a:avLst/>
                        </a:prstGeom>
                        <a:solidFill>
                          <a:srgbClr val="FFFFFF"/>
                        </a:solidFill>
                        <a:ln w="9525">
                          <a:solidFill>
                            <a:srgbClr val="000000"/>
                          </a:solidFill>
                          <a:miter lim="800000"/>
                          <a:headEnd/>
                          <a:tailEnd/>
                        </a:ln>
                      </wps:spPr>
                      <wps:txbx>
                        <w:txbxContent>
                          <w:p w14:paraId="61ADD7FD" w14:textId="77777777" w:rsidR="003B6DB3" w:rsidRDefault="003B6DB3" w:rsidP="00E839E1">
                            <w:pPr>
                              <w:jc w:val="center"/>
                            </w:pPr>
                            <w:r>
                              <w:t>Öğretim Üyeliği İçin Yurt Dışından Davet</w:t>
                            </w:r>
                          </w:p>
                          <w:p w14:paraId="6543E7BD" w14:textId="77777777" w:rsidR="003B6DB3" w:rsidRDefault="003B6DB3" w:rsidP="00E839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D4FE39" id="Akış Çizelgesi: Öteki İşlem 239" o:spid="_x0000_s1083" type="#_x0000_t176" style="position:absolute;left:0;text-align:left;margin-left:-773.55pt;margin-top:36.8pt;width:77.5pt;height:83.7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DW0XAIAAIAEAAAOAAAAZHJzL2Uyb0RvYy54bWysVF1uEzEQfkfiDpbf6SbbpCSrbKqopQip&#10;QKXCARyvd9eK/xg72bQX4Aa89gpwhrb3YuxNQwo8IfbB8njsz998n2dnp1utyEaAl9aUdHg0oEQY&#10;bitpmpJ+/nTxakKJD8xUTFkjSnojPD2dv3wx61whcttaVQkgCGJ80bmStiG4Iss8b4Vm/sg6YTBZ&#10;W9AsYAhNVgHrEF2rLB8MTrLOQuXAcuE9rp73STpP+HUtePhY114EokqK3EIaIY3LOGbzGSsaYK6V&#10;fEeD/QMLzaTBS/dQ5ywwsgb5B5SWHKy3dTjiVme2riUXqQasZjj4rZrrljmRakFxvNvL5P8fLP+w&#10;uQIiq5Lmx1NKDNNo0mL18OPxjtx/lbdCNcLLgtx/C2IlycP3xzslNImbUbrO+QIRrt0VxOK9u7R8&#10;5YmxZy0zjVgA2K4VrELCw7g/e3YgBh6PkmX33lZ4L1sHm1Tc1qAjIOpDtsmsm71ZYhsIx8XpZJSP&#10;0VKOqeHgJJ9Ok5sZK55OO/DhrbCaxElJa2U75AVhoYIAw4K46t9NupJtLn2IFFnxdC6VZJWsLqRS&#10;KYBmeaaAbBi+pov0paqw8sNtypAO+Y3zcUJ+lvOHEIP0/Q1CS6RIlNQlnew3sSJq+cZU6dEGJlU/&#10;R8rK7MSNeva+hO1ym4wdHT9ZtbTVDcoNtm8DbFuctBZuKemwBUrqv6wZCErUO4OWTYejUeyZFIzG&#10;r3MM4DCzPMwwwxGqpIGSfnoW+j5bO5BNizcNkxzGLtDmWiax4xPoWe344zNPHuxaMvbRYZx2/fpx&#10;zH8CAAD//wMAUEsDBBQABgAIAAAAIQA1Q+nI4gAAAA4BAAAPAAAAZHJzL2Rvd25yZXYueG1sTI/B&#10;ToQwEIbvJr5DMybe2FJYYZelbDYaPXkRN/FaaJcS6ZTQwqJPbz3pcWa+/PP95XE1A1nU5HqLHNgm&#10;BqKwtbLHjsP5/TnaAXFeoBSDRcXhSzk4Vrc3pSikveKbWmrfkRCCrhActPdjQalrtTLCbeyoMNwu&#10;djLCh3HqqJzENYSbgSZxnFEjegwftBjVo1btZz0bDuvrd7OfX1hbe73L8o90eTqdKef3d+vpAMSr&#10;1f/B8Ksf1KEKTo2dUToycIjYwzZnAeaQpxmQgEQs3Sdh1XBItiwGWpX0f43qBwAA//8DAFBLAQIt&#10;ABQABgAIAAAAIQC2gziS/gAAAOEBAAATAAAAAAAAAAAAAAAAAAAAAABbQ29udGVudF9UeXBlc10u&#10;eG1sUEsBAi0AFAAGAAgAAAAhADj9If/WAAAAlAEAAAsAAAAAAAAAAAAAAAAALwEAAF9yZWxzLy5y&#10;ZWxzUEsBAi0AFAAGAAgAAAAhAOyENbRcAgAAgAQAAA4AAAAAAAAAAAAAAAAALgIAAGRycy9lMm9E&#10;b2MueG1sUEsBAi0AFAAGAAgAAAAhADVD6cjiAAAADgEAAA8AAAAAAAAAAAAAAAAAtgQAAGRycy9k&#10;b3ducmV2LnhtbFBLBQYAAAAABAAEAPMAAADFBQAAAAA=&#10;">
                <v:textbox>
                  <w:txbxContent>
                    <w:p w14:paraId="61ADD7FD" w14:textId="77777777" w:rsidR="003B6DB3" w:rsidRDefault="003B6DB3" w:rsidP="00E839E1">
                      <w:pPr>
                        <w:jc w:val="center"/>
                      </w:pPr>
                      <w:r>
                        <w:t>Öğretim Üyeliği İçin Yurt Dışından Davet</w:t>
                      </w:r>
                    </w:p>
                    <w:p w14:paraId="6543E7BD" w14:textId="77777777" w:rsidR="003B6DB3" w:rsidRDefault="003B6DB3" w:rsidP="00E839E1"/>
                  </w:txbxContent>
                </v:textbox>
              </v:shape>
            </w:pict>
          </mc:Fallback>
        </mc:AlternateContent>
      </w:r>
      <w:r w:rsidRPr="000A2E75">
        <w:rPr>
          <w:rFonts w:ascii="Times New Roman" w:hAnsi="Times New Roman" w:cs="Times New Roman"/>
          <w:noProof/>
          <w:lang w:val="en-US"/>
        </w:rPr>
        <mc:AlternateContent>
          <mc:Choice Requires="wps">
            <w:drawing>
              <wp:anchor distT="0" distB="0" distL="114300" distR="114300" simplePos="0" relativeHeight="251766784" behindDoc="0" locked="0" layoutInCell="1" allowOverlap="1" wp14:anchorId="1DA001AD" wp14:editId="1E6D0DBC">
                <wp:simplePos x="0" y="0"/>
                <wp:positionH relativeFrom="column">
                  <wp:posOffset>-4934585</wp:posOffset>
                </wp:positionH>
                <wp:positionV relativeFrom="paragraph">
                  <wp:posOffset>467360</wp:posOffset>
                </wp:positionV>
                <wp:extent cx="984250" cy="1062990"/>
                <wp:effectExtent l="13335" t="5080" r="12065" b="8255"/>
                <wp:wrapNone/>
                <wp:docPr id="238" name="Akış Çizelgesi: Öteki İşlem 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0" cy="1062990"/>
                        </a:xfrm>
                        <a:prstGeom prst="flowChartAlternateProcess">
                          <a:avLst/>
                        </a:prstGeom>
                        <a:solidFill>
                          <a:srgbClr val="FFFFFF"/>
                        </a:solidFill>
                        <a:ln w="9525">
                          <a:solidFill>
                            <a:srgbClr val="000000"/>
                          </a:solidFill>
                          <a:miter lim="800000"/>
                          <a:headEnd/>
                          <a:tailEnd/>
                        </a:ln>
                      </wps:spPr>
                      <wps:txbx>
                        <w:txbxContent>
                          <w:p w14:paraId="15D3D482" w14:textId="77777777" w:rsidR="003B6DB3" w:rsidRDefault="003B6DB3" w:rsidP="00E839E1">
                            <w:pPr>
                              <w:jc w:val="center"/>
                            </w:pPr>
                            <w:r>
                              <w:t>Öğretim Üyeliği İçin Yurt Dışından Davet</w:t>
                            </w:r>
                          </w:p>
                          <w:p w14:paraId="7A8C2DC1" w14:textId="77777777" w:rsidR="003B6DB3" w:rsidRDefault="003B6DB3" w:rsidP="00E839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A001AD" id="Akış Çizelgesi: Öteki İşlem 238" o:spid="_x0000_s1084" type="#_x0000_t176" style="position:absolute;left:0;text-align:left;margin-left:-388.55pt;margin-top:36.8pt;width:77.5pt;height:83.7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g5kXAIAAIAEAAAOAAAAZHJzL2Uyb0RvYy54bWysVF1uEzEQfkfiDpbf6SZLUpJVNlXUUoRU&#10;oFLhAI7Xu2vFf4ydbNoLcIO+9gpwhrb3YuxNQwo8IfbB8njsz998n2dnJ1utyEaAl9aUdHg0oEQY&#10;bitpmpJ++Xz+akKJD8xUTFkjSnotPD2Zv3wx61whcttaVQkgCGJ80bmStiG4Iss8b4Vm/sg6YTBZ&#10;W9AsYAhNVgHrEF2rLB8MjrPOQuXAcuE9rp71STpP+HUtePhU114EokqK3EIaIY3LOGbzGSsaYK6V&#10;fEeD/QMLzaTBS/dQZywwsgb5B5SWHKy3dTjiVme2riUXqQasZjj4rZqrljmRakFxvNvL5P8fLP+4&#10;uQQiq5Lmr9EqwzSatFg9/Hi8I/ff5I1QjfCyIPe3Qawkefj+eKeEJnEzStc5XyDClbuEWLx3F5av&#10;PDH2tGWmEQsA27WCVUh4GPdnzw7EwONRsuw+2ArvZetgk4rbGnQERH3INpl1vTdLbAPhuDidjPIx&#10;WsoxNRwc59NpcjNjxdNpBz68E1aTOClprWyHvCAsVBBgWBCX/btJV7LNhQ+RIiuezqWSrJLVuVQq&#10;BdAsTxWQDcPXdJ6+VBVWfrhNGdIhv3E+TsjPcv4QYpC+v0FoiRSJkrqkk/0mVkQt35oqPdrApOrn&#10;SFmZnbhRz96XsF1uk7Gj0ZNVS1tdo9xg+zbAtsVJa+GGkg5boKT+65qBoES9N2jZdDgaxZ5JwWj8&#10;JscADjPLwwwzHKFKGijpp6eh77O1A9m0eNMwyWHsAm2uZRI7PoGe1Y4/PvPkwa4lYx8dxmnXrx/H&#10;/CcAAAD//wMAUEsDBBQABgAIAAAAIQBBczld4AAAAAwBAAAPAAAAZHJzL2Rvd25yZXYueG1sTI/B&#10;ToQwEIbvJr5DMybe2AJr6MpSNhuNnryIm3gttAJZOiW0sOjTO57c48x8+ef7i8NqB7aYyfcOJSSb&#10;GJjBxukeWwmnj5doB8wHhVoNDo2Eb+PhUN7eFCrX7oLvZqlCyygEfa4kdCGMOee+6YxVfuNGg3T7&#10;cpNVgcap5XpSFwq3A0/jOONW9UgfOjWap84052q2Eta3n/pxfk2aKnS7THxul+fjiUt5f7ce98CC&#10;WcM/DH/6pA4lOdVuRu3ZICESQiTEShDbDBgRUZamtKklpA9JDLws+HWJ8hcAAP//AwBQSwECLQAU&#10;AAYACAAAACEAtoM4kv4AAADhAQAAEwAAAAAAAAAAAAAAAAAAAAAAW0NvbnRlbnRfVHlwZXNdLnht&#10;bFBLAQItABQABgAIAAAAIQA4/SH/1gAAAJQBAAALAAAAAAAAAAAAAAAAAC8BAABfcmVscy8ucmVs&#10;c1BLAQItABQABgAIAAAAIQB6rg5kXAIAAIAEAAAOAAAAAAAAAAAAAAAAAC4CAABkcnMvZTJvRG9j&#10;LnhtbFBLAQItABQABgAIAAAAIQBBczld4AAAAAwBAAAPAAAAAAAAAAAAAAAAALYEAABkcnMvZG93&#10;bnJldi54bWxQSwUGAAAAAAQABADzAAAAwwUAAAAA&#10;">
                <v:textbox>
                  <w:txbxContent>
                    <w:p w14:paraId="15D3D482" w14:textId="77777777" w:rsidR="003B6DB3" w:rsidRDefault="003B6DB3" w:rsidP="00E839E1">
                      <w:pPr>
                        <w:jc w:val="center"/>
                      </w:pPr>
                      <w:r>
                        <w:t>Öğretim Üyeliği İçin Yurt Dışından Davet</w:t>
                      </w:r>
                    </w:p>
                    <w:p w14:paraId="7A8C2DC1" w14:textId="77777777" w:rsidR="003B6DB3" w:rsidRDefault="003B6DB3" w:rsidP="00E839E1"/>
                  </w:txbxContent>
                </v:textbox>
              </v:shape>
            </w:pict>
          </mc:Fallback>
        </mc:AlternateContent>
      </w:r>
      <w:r w:rsidRPr="000A2E75">
        <w:rPr>
          <w:rFonts w:ascii="Times New Roman" w:hAnsi="Times New Roman" w:cs="Times New Roman"/>
        </w:rPr>
        <w:t>Katılımcılardan elde edilen veriler ışığında, beceri temelli matematik sorularının matematik dersi kazanımlarıyla ilişkisine yönelik görüşlerin aşağıdaki gibi ifade edildiği görülmektedir.</w:t>
      </w:r>
    </w:p>
    <w:p w14:paraId="2D286999" w14:textId="77777777" w:rsidR="00E839E1" w:rsidRPr="000A2E75" w:rsidRDefault="00E839E1" w:rsidP="00E839E1">
      <w:pPr>
        <w:autoSpaceDE w:val="0"/>
        <w:autoSpaceDN w:val="0"/>
        <w:adjustRightInd w:val="0"/>
        <w:spacing w:before="120" w:after="120" w:line="360" w:lineRule="auto"/>
        <w:jc w:val="both"/>
        <w:rPr>
          <w:rFonts w:ascii="Times New Roman" w:hAnsi="Times New Roman" w:cs="Times New Roman"/>
          <w:i/>
        </w:rPr>
      </w:pPr>
      <w:r w:rsidRPr="000A2E75">
        <w:rPr>
          <w:rFonts w:ascii="Times New Roman" w:hAnsi="Times New Roman" w:cs="Times New Roman"/>
          <w:i/>
          <w:noProof/>
          <w:lang w:val="en-US"/>
        </w:rPr>
        <mc:AlternateContent>
          <mc:Choice Requires="wpg">
            <w:drawing>
              <wp:anchor distT="0" distB="0" distL="114300" distR="114300" simplePos="0" relativeHeight="251767808" behindDoc="0" locked="0" layoutInCell="1" allowOverlap="1" wp14:anchorId="58B4AE80" wp14:editId="26975019">
                <wp:simplePos x="0" y="0"/>
                <wp:positionH relativeFrom="column">
                  <wp:posOffset>266700</wp:posOffset>
                </wp:positionH>
                <wp:positionV relativeFrom="paragraph">
                  <wp:posOffset>146050</wp:posOffset>
                </wp:positionV>
                <wp:extent cx="5090160" cy="1443990"/>
                <wp:effectExtent l="13970" t="5080" r="10795" b="8255"/>
                <wp:wrapNone/>
                <wp:docPr id="225" name="Gr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90160" cy="1443990"/>
                          <a:chOff x="1837" y="7053"/>
                          <a:chExt cx="8016" cy="2274"/>
                        </a:xfrm>
                      </wpg:grpSpPr>
                      <wps:wsp>
                        <wps:cNvPr id="226" name="Oval 155"/>
                        <wps:cNvSpPr>
                          <a:spLocks noChangeArrowheads="1"/>
                        </wps:cNvSpPr>
                        <wps:spPr bwMode="auto">
                          <a:xfrm>
                            <a:off x="1837" y="7233"/>
                            <a:ext cx="2160" cy="1687"/>
                          </a:xfrm>
                          <a:prstGeom prst="ellipse">
                            <a:avLst/>
                          </a:prstGeom>
                          <a:solidFill>
                            <a:srgbClr val="FFFFFF"/>
                          </a:solidFill>
                          <a:ln w="9525">
                            <a:solidFill>
                              <a:srgbClr val="000000"/>
                            </a:solidFill>
                            <a:round/>
                            <a:headEnd/>
                            <a:tailEnd/>
                          </a:ln>
                        </wps:spPr>
                        <wps:txbx>
                          <w:txbxContent>
                            <w:p w14:paraId="797BF36A" w14:textId="77777777" w:rsidR="003B6DB3" w:rsidRPr="00F654B5" w:rsidRDefault="003B6DB3" w:rsidP="00E839E1">
                              <w:pPr>
                                <w:jc w:val="center"/>
                              </w:pPr>
                              <w:r w:rsidRPr="00F654B5">
                                <w:t>Beceri Temelli Soruların Kazanımlarla İlişkisi</w:t>
                              </w:r>
                            </w:p>
                          </w:txbxContent>
                        </wps:txbx>
                        <wps:bodyPr rot="0" vert="horz" wrap="square" lIns="91440" tIns="45720" rIns="91440" bIns="45720" anchor="t" anchorCtr="0" upright="1">
                          <a:noAutofit/>
                        </wps:bodyPr>
                      </wps:wsp>
                      <wpg:grpSp>
                        <wpg:cNvPr id="227" name="Group 156"/>
                        <wpg:cNvGrpSpPr>
                          <a:grpSpLocks/>
                        </wpg:cNvGrpSpPr>
                        <wpg:grpSpPr bwMode="auto">
                          <a:xfrm>
                            <a:off x="3997" y="7053"/>
                            <a:ext cx="5856" cy="2274"/>
                            <a:chOff x="3997" y="6457"/>
                            <a:chExt cx="5856" cy="2274"/>
                          </a:xfrm>
                        </wpg:grpSpPr>
                        <wps:wsp>
                          <wps:cNvPr id="228" name="AutoShape 157"/>
                          <wps:cNvSpPr>
                            <a:spLocks noChangeArrowheads="1"/>
                          </wps:cNvSpPr>
                          <wps:spPr bwMode="auto">
                            <a:xfrm>
                              <a:off x="4897" y="6457"/>
                              <a:ext cx="1659" cy="748"/>
                            </a:xfrm>
                            <a:prstGeom prst="flowChartProcess">
                              <a:avLst/>
                            </a:prstGeom>
                            <a:solidFill>
                              <a:srgbClr val="FFFFFF"/>
                            </a:solidFill>
                            <a:ln w="9525">
                              <a:solidFill>
                                <a:srgbClr val="000000"/>
                              </a:solidFill>
                              <a:miter lim="800000"/>
                              <a:headEnd/>
                              <a:tailEnd/>
                            </a:ln>
                          </wps:spPr>
                          <wps:txbx>
                            <w:txbxContent>
                              <w:p w14:paraId="703B793D" w14:textId="77777777" w:rsidR="003B6DB3" w:rsidRPr="00F654B5" w:rsidRDefault="003B6DB3" w:rsidP="00E839E1">
                                <w:pPr>
                                  <w:jc w:val="center"/>
                                </w:pPr>
                                <w:r w:rsidRPr="00F654B5">
                                  <w:t>Uyumlu</w:t>
                                </w:r>
                              </w:p>
                              <w:p w14:paraId="34A71F95" w14:textId="77777777" w:rsidR="003B6DB3" w:rsidRPr="00F654B5" w:rsidRDefault="003B6DB3" w:rsidP="00E839E1">
                                <w:pPr>
                                  <w:jc w:val="center"/>
                                </w:pPr>
                                <w:r w:rsidRPr="00F654B5">
                                  <w:t>Ama!</w:t>
                                </w:r>
                              </w:p>
                            </w:txbxContent>
                          </wps:txbx>
                          <wps:bodyPr rot="0" vert="horz" wrap="square" lIns="91440" tIns="45720" rIns="91440" bIns="45720" anchor="t" anchorCtr="0" upright="1">
                            <a:noAutofit/>
                          </wps:bodyPr>
                        </wps:wsp>
                        <wps:wsp>
                          <wps:cNvPr id="229" name="AutoShape 158"/>
                          <wps:cNvCnPr>
                            <a:cxnSpLocks noChangeShapeType="1"/>
                          </wps:cNvCnPr>
                          <wps:spPr bwMode="auto">
                            <a:xfrm flipV="1">
                              <a:off x="3997" y="6750"/>
                              <a:ext cx="900" cy="60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0" name="AutoShape 159"/>
                          <wps:cNvCnPr>
                            <a:cxnSpLocks noChangeShapeType="1"/>
                          </wps:cNvCnPr>
                          <wps:spPr bwMode="auto">
                            <a:xfrm>
                              <a:off x="3997" y="7537"/>
                              <a:ext cx="900" cy="2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1" name="AutoShape 160"/>
                          <wps:cNvCnPr>
                            <a:cxnSpLocks noChangeShapeType="1"/>
                          </wps:cNvCnPr>
                          <wps:spPr bwMode="auto">
                            <a:xfrm flipV="1">
                              <a:off x="6556" y="7711"/>
                              <a:ext cx="840" cy="12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2" name="AutoShape 161"/>
                          <wps:cNvCnPr>
                            <a:cxnSpLocks noChangeShapeType="1"/>
                          </wps:cNvCnPr>
                          <wps:spPr bwMode="auto">
                            <a:xfrm>
                              <a:off x="6517" y="8034"/>
                              <a:ext cx="879" cy="40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3" name="AutoShape 162"/>
                          <wps:cNvSpPr>
                            <a:spLocks noChangeArrowheads="1"/>
                          </wps:cNvSpPr>
                          <wps:spPr bwMode="auto">
                            <a:xfrm>
                              <a:off x="4897" y="7467"/>
                              <a:ext cx="1659" cy="752"/>
                            </a:xfrm>
                            <a:prstGeom prst="flowChartProcess">
                              <a:avLst/>
                            </a:prstGeom>
                            <a:solidFill>
                              <a:srgbClr val="FFFFFF"/>
                            </a:solidFill>
                            <a:ln w="9525">
                              <a:solidFill>
                                <a:srgbClr val="000000"/>
                              </a:solidFill>
                              <a:miter lim="800000"/>
                              <a:headEnd/>
                              <a:tailEnd/>
                            </a:ln>
                          </wps:spPr>
                          <wps:txbx>
                            <w:txbxContent>
                              <w:p w14:paraId="08FE3490" w14:textId="77777777" w:rsidR="003B6DB3" w:rsidRPr="00F654B5" w:rsidRDefault="003B6DB3" w:rsidP="00E839E1">
                                <w:pPr>
                                  <w:jc w:val="center"/>
                                </w:pPr>
                                <w:r w:rsidRPr="00F654B5">
                                  <w:t xml:space="preserve">Uyumlu </w:t>
                                </w:r>
                              </w:p>
                              <w:p w14:paraId="1B333708" w14:textId="77777777" w:rsidR="003B6DB3" w:rsidRPr="00F654B5" w:rsidRDefault="003B6DB3" w:rsidP="00E839E1">
                                <w:pPr>
                                  <w:jc w:val="center"/>
                                </w:pPr>
                                <w:r w:rsidRPr="00F654B5">
                                  <w:t>Değil</w:t>
                                </w:r>
                              </w:p>
                            </w:txbxContent>
                          </wps:txbx>
                          <wps:bodyPr rot="0" vert="horz" wrap="square" lIns="91440" tIns="45720" rIns="91440" bIns="45720" anchor="t" anchorCtr="0" upright="1">
                            <a:noAutofit/>
                          </wps:bodyPr>
                        </wps:wsp>
                        <wps:wsp>
                          <wps:cNvPr id="234" name="AutoShape 163"/>
                          <wps:cNvSpPr>
                            <a:spLocks noChangeArrowheads="1"/>
                          </wps:cNvSpPr>
                          <wps:spPr bwMode="auto">
                            <a:xfrm>
                              <a:off x="7396" y="8219"/>
                              <a:ext cx="2457" cy="512"/>
                            </a:xfrm>
                            <a:prstGeom prst="flowChartAlternateProcess">
                              <a:avLst/>
                            </a:prstGeom>
                            <a:solidFill>
                              <a:srgbClr val="FFFFFF"/>
                            </a:solidFill>
                            <a:ln w="9525">
                              <a:solidFill>
                                <a:srgbClr val="000000"/>
                              </a:solidFill>
                              <a:miter lim="800000"/>
                              <a:headEnd/>
                              <a:tailEnd/>
                            </a:ln>
                          </wps:spPr>
                          <wps:txbx>
                            <w:txbxContent>
                              <w:p w14:paraId="334E1C13" w14:textId="77777777" w:rsidR="003B6DB3" w:rsidRPr="00F654B5" w:rsidRDefault="003B6DB3" w:rsidP="00E839E1">
                                <w:pPr>
                                  <w:jc w:val="center"/>
                                </w:pPr>
                                <w:r w:rsidRPr="00F654B5">
                                  <w:t>Yeni kazanım eklenmeli</w:t>
                                </w:r>
                              </w:p>
                              <w:p w14:paraId="5697E4F6" w14:textId="77777777" w:rsidR="003B6DB3" w:rsidRPr="00F654B5" w:rsidRDefault="003B6DB3" w:rsidP="00E839E1"/>
                            </w:txbxContent>
                          </wps:txbx>
                          <wps:bodyPr rot="0" vert="horz" wrap="square" lIns="91440" tIns="45720" rIns="91440" bIns="45720" anchor="t" anchorCtr="0" upright="1">
                            <a:noAutofit/>
                          </wps:bodyPr>
                        </wps:wsp>
                        <wps:wsp>
                          <wps:cNvPr id="235" name="AutoShape 164"/>
                          <wps:cNvSpPr>
                            <a:spLocks noChangeArrowheads="1"/>
                          </wps:cNvSpPr>
                          <wps:spPr bwMode="auto">
                            <a:xfrm>
                              <a:off x="7396" y="7522"/>
                              <a:ext cx="2457" cy="512"/>
                            </a:xfrm>
                            <a:prstGeom prst="flowChartAlternateProcess">
                              <a:avLst/>
                            </a:prstGeom>
                            <a:solidFill>
                              <a:srgbClr val="FFFFFF"/>
                            </a:solidFill>
                            <a:ln w="9525">
                              <a:solidFill>
                                <a:srgbClr val="000000"/>
                              </a:solidFill>
                              <a:miter lim="800000"/>
                              <a:headEnd/>
                              <a:tailEnd/>
                            </a:ln>
                          </wps:spPr>
                          <wps:txbx>
                            <w:txbxContent>
                              <w:p w14:paraId="191B0AFB" w14:textId="77777777" w:rsidR="003B6DB3" w:rsidRPr="00F654B5" w:rsidRDefault="003B6DB3" w:rsidP="00E839E1">
                                <w:pPr>
                                  <w:jc w:val="center"/>
                                </w:pPr>
                                <w:r w:rsidRPr="00F654B5">
                                  <w:t xml:space="preserve"> Zaman yetersiz</w:t>
                                </w:r>
                              </w:p>
                              <w:p w14:paraId="3D810624" w14:textId="77777777" w:rsidR="003B6DB3" w:rsidRPr="00F654B5" w:rsidRDefault="003B6DB3" w:rsidP="00E839E1"/>
                            </w:txbxContent>
                          </wps:txbx>
                          <wps:bodyPr rot="0" vert="horz" wrap="square" lIns="91440" tIns="45720" rIns="91440" bIns="45720" anchor="t" anchorCtr="0" upright="1">
                            <a:noAutofit/>
                          </wps:bodyPr>
                        </wps:wsp>
                        <wps:wsp>
                          <wps:cNvPr id="236" name="AutoShape 165"/>
                          <wps:cNvCnPr>
                            <a:cxnSpLocks noChangeShapeType="1"/>
                          </wps:cNvCnPr>
                          <wps:spPr bwMode="auto">
                            <a:xfrm flipV="1">
                              <a:off x="6556" y="6746"/>
                              <a:ext cx="840" cy="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7" name="AutoShape 166"/>
                          <wps:cNvSpPr>
                            <a:spLocks noChangeArrowheads="1"/>
                          </wps:cNvSpPr>
                          <wps:spPr bwMode="auto">
                            <a:xfrm>
                              <a:off x="7396" y="6457"/>
                              <a:ext cx="2457" cy="512"/>
                            </a:xfrm>
                            <a:prstGeom prst="flowChartAlternateProcess">
                              <a:avLst/>
                            </a:prstGeom>
                            <a:solidFill>
                              <a:srgbClr val="FFFFFF"/>
                            </a:solidFill>
                            <a:ln w="9525">
                              <a:solidFill>
                                <a:srgbClr val="000000"/>
                              </a:solidFill>
                              <a:miter lim="800000"/>
                              <a:headEnd/>
                              <a:tailEnd/>
                            </a:ln>
                          </wps:spPr>
                          <wps:txbx>
                            <w:txbxContent>
                              <w:p w14:paraId="2BD46424" w14:textId="77777777" w:rsidR="003B6DB3" w:rsidRPr="00F654B5" w:rsidRDefault="003B6DB3" w:rsidP="00E839E1">
                                <w:pPr>
                                  <w:jc w:val="center"/>
                                </w:pPr>
                                <w:r w:rsidRPr="00F654B5">
                                  <w:t>Soyut kalıyor</w:t>
                                </w:r>
                              </w:p>
                              <w:p w14:paraId="0E1275A0" w14:textId="77777777" w:rsidR="003B6DB3" w:rsidRPr="00F654B5" w:rsidRDefault="003B6DB3" w:rsidP="00E839E1"/>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8B4AE80" id="Grup 225" o:spid="_x0000_s1085" style="position:absolute;left:0;text-align:left;margin-left:21pt;margin-top:11.5pt;width:400.8pt;height:113.7pt;z-index:251767808;mso-position-horizontal-relative:text;mso-position-vertical-relative:text" coordorigin="1837,7053" coordsize="8016,2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fZnXwUAACcjAAAOAAAAZHJzL2Uyb0RvYy54bWzsWltvpDYUfq/U/4B4TwYY7gpZRTNJVGnb&#10;jbTbvnu4DKhgU0Myk1b97z0+Nh7mkk2UdrKNdvIwwRib48/fuZqLD+umNh5y3lWMJqZ9bplGTlOW&#10;VXSZmL9+uTkLTaPrCc1IzWiemI95Z364/PGHi1Ub5w4rWZ3l3IBJaBev2sQs+76NJ5MuLfOGdOes&#10;zSl0Fow3pIcmX04yTlYwe1NPHMvyJyvGs5azNO86uDuXneYlzl8Uedp/Koou7406MUG2Hn85/i7E&#10;7+TygsRLTtqySpUY5BVSNKSi8FI91Zz0xLjn1d5UTZVy1rGiP09ZM2FFUaU5rgFWY1s7q7nl7L7F&#10;tSzj1bLVMAG0Ozi9etr0l4c7blRZYjqOZxqUNLBJt/y+NUQb0Fm1yxgeuuXt5/aOyyXC5UeW/t5B&#10;92S3X7SX8mFjsfqZZTAfue8ZorMueCOmgHUba9yER70J+bo3UrjpWZFl+7BXKfTZrjuNIrVNaQl7&#10;KcbZ4TQwDegOLG8qtzAtr9X4EEbLwY4TuKJ3QmL5YhRWCSdWBpTrNqh2/w7VzyVpc9ysTgCmUQVh&#10;JKqfHkht2J5CFR8aIO0kngZls5LQZX7FOVuVOclAJhuXIISFWeUA0ehgN54FeAOUM1VADTA7G4z9&#10;MNiCicQt7/rbnDWGuEjMvK6rthOLIzF5+Nj1EtThKXG7Y3WV3VR1jQ2+XMxqbsCCE/MG/9QLth6r&#10;qbFKzMgDon19Cgv/Dk0BCkIzkIbEAq1rdd2TqpbXsPU1RZZKxOSu9+vFGjnv6s1YsOwRAOVMWgiw&#10;aHBRMv6naazAOiRm98c94blp1D9R2JQIiCnMCTZcL3Cgwcc9i3EPoSlMlZi9acjLWS9N0H3Lq2UJ&#10;b7IRAcquQFOKCvEVmyylUvIDV6U6IoO1ZmqigUoM6gtmA5jmC8R29VOYqP9Kf0E1d/VwoJcXwutR&#10;hQctJLHWXz3OB+iEkKJv0N/9kd9Wf8GBSVjF3qCSA7Qo9ZZOggocSYndUKG8QWtA2fa9SKIcuKHS&#10;j8HGDtqpdLio2QqMC+/vpLP8HypzU/UQC9RVk5ih1vjXarYi/6BD70Gz38QdAV/26YzcUXSeUenm&#10;0zVVbl67JWT/l8cWXPqWV5JDvu6VjAJ8yG+DpVMBwMYQBJ5y8gO1I0uFAL71jHfqek6EFZ0xSiHe&#10;Y1wa0yccFWXCS6HNObb/MXqEqucV+PQafAd4uybPwIfkECuLKxBDeSgSw8LBswpbKCDA2PGvyIqu&#10;w+vQPXMd//rMtebzs6ubmXvm39iBN5/OZ7O5/bfQZNuNyyrLcioWN8SxtvuyiEZF1DIC1ZGsBmqy&#10;PTuKDCIO/1FoiKzGDlb6LbE6cV85rreg9xRIs0/vSDpCjKCORG+xb7ukDjwIU5Fpe6R2Iow8tGfb&#10;C7lOpD6ReojspvYBUkOGBNT6Bjbb90RkJ5KvwEYvIA2WSN1CERNj2uZI/zAkXid6n2w2XWL4AN5K&#10;kVbT2zlEbyTQcek9stm+Z8tMJrSmWDMYkTpQIbZrYQp9stmnQGRUcXyK1NNDpHZGNvvYtR+dNgau&#10;vxOGjNJGD0V6mtPfW9qoE/v3UxB6k7jaPURntIfKRh+bzsE0kmFH6NgYz28stCOqSBh3ePZL6XxV&#10;Q62Bkj7/TsohOsM/8XpcnZ/qM49Rdc/HCOCteR14DpL3xGsSv7yAr1P7E6+3eK1Pnca81qcdcJJ0&#10;pDrIwTKfThl9iEW2KyI6ZXzGcJ/qIad6iE4Y9UnXmNy64K+PSY93JKODkf0jmVMwomvaO0Vhfeoq&#10;S/3Cv74Xo735cABL2vg1Bi5TfTkiPvcYt/Gpzfctl/8AAAD//wMAUEsDBBQABgAIAAAAIQBP+72n&#10;4AAAAAkBAAAPAAAAZHJzL2Rvd25yZXYueG1sTI9PS8NAEMXvgt9hGcGb3fxrKTGbUop6KoKtIN6m&#10;2WkSmt0N2W2SfnvHk56Gmfd483vFZjadGGnwrbMK4kUEgmzldGtrBZ/H16c1CB/QauycJQU38rAp&#10;7+8KzLWb7AeNh1ALDrE+RwVNCH0upa8aMugXrifL2tkNBgOvQy31gBOHm04mUbSSBlvLHxrsaddQ&#10;dTlcjYK3CadtGr+M+8t5d/s+Lt+/9jEp9fgwb59BBJrDnxl+8RkdSmY6uavVXnQKsoSrBAVJypP1&#10;dZauQJz4sIwykGUh/zcofwAAAP//AwBQSwECLQAUAAYACAAAACEAtoM4kv4AAADhAQAAEwAAAAAA&#10;AAAAAAAAAAAAAAAAW0NvbnRlbnRfVHlwZXNdLnhtbFBLAQItABQABgAIAAAAIQA4/SH/1gAAAJQB&#10;AAALAAAAAAAAAAAAAAAAAC8BAABfcmVscy8ucmVsc1BLAQItABQABgAIAAAAIQC1XfZnXwUAACcj&#10;AAAOAAAAAAAAAAAAAAAAAC4CAABkcnMvZTJvRG9jLnhtbFBLAQItABQABgAIAAAAIQBP+72n4AAA&#10;AAkBAAAPAAAAAAAAAAAAAAAAALkHAABkcnMvZG93bnJldi54bWxQSwUGAAAAAAQABADzAAAAxggA&#10;AAAA&#10;">
                <v:oval id="Oval 155" o:spid="_x0000_s1086" style="position:absolute;left:1837;top:7233;width:2160;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GkdxAAAANwAAAAPAAAAZHJzL2Rvd25yZXYueG1sRI9Ba8JA&#10;FITvBf/D8oTe6sYEg6SuIkrBHnpotPdH9pkEs29D9hnTf98tFHocZuYbZrObXKdGGkLr2cBykYAi&#10;rrxtuTZwOb+9rEEFQbbYeSYD3xRgt509bbCw/sGfNJZSqwjhUKCBRqQvtA5VQw7DwvfE0bv6waFE&#10;OdTaDviIcNfpNEly7bDluNBgT4eGqlt5dwaO9b7MR53JKrseT7K6fX28Z0tjnufT/hWU0CT/4b/2&#10;yRpI0xx+z8QjoLc/AAAA//8DAFBLAQItABQABgAIAAAAIQDb4fbL7gAAAIUBAAATAAAAAAAAAAAA&#10;AAAAAAAAAABbQ29udGVudF9UeXBlc10ueG1sUEsBAi0AFAAGAAgAAAAhAFr0LFu/AAAAFQEAAAsA&#10;AAAAAAAAAAAAAAAAHwEAAF9yZWxzLy5yZWxzUEsBAi0AFAAGAAgAAAAhAJGUaR3EAAAA3AAAAA8A&#10;AAAAAAAAAAAAAAAABwIAAGRycy9kb3ducmV2LnhtbFBLBQYAAAAAAwADALcAAAD4AgAAAAA=&#10;">
                  <v:textbox>
                    <w:txbxContent>
                      <w:p w14:paraId="797BF36A" w14:textId="77777777" w:rsidR="003B6DB3" w:rsidRPr="00F654B5" w:rsidRDefault="003B6DB3" w:rsidP="00E839E1">
                        <w:pPr>
                          <w:jc w:val="center"/>
                        </w:pPr>
                        <w:r w:rsidRPr="00F654B5">
                          <w:t>Beceri Temelli Soruların Kazanımlarla İlişkisi</w:t>
                        </w:r>
                      </w:p>
                    </w:txbxContent>
                  </v:textbox>
                </v:oval>
                <v:group id="Group 156" o:spid="_x0000_s1087" style="position:absolute;left:3997;top:7053;width:5856;height:2274" coordorigin="3997,6457" coordsize="5856,2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T80xQAAANwAAAAPAAAAZHJzL2Rvd25yZXYueG1sRI9Pa8JA&#10;FMTvBb/D8gRvdZNIq0RXEVHpQQr+AfH2yD6TYPZtyK5J/PbdQqHHYWZ+wyxWvalES40rLSuIxxEI&#10;4szqknMFl/PufQbCeWSNlWVS8CIHq+XgbYGpth0fqT35XAQIuxQVFN7XqZQuK8igG9uaOHh32xj0&#10;QTa51A12AW4qmUTRpzRYclgosKZNQdnj9DQK9h1260m8bQ+P++Z1O398Xw8xKTUa9us5CE+9/w//&#10;tb+0giSZwu+ZcATk8gcAAP//AwBQSwECLQAUAAYACAAAACEA2+H2y+4AAACFAQAAEwAAAAAAAAAA&#10;AAAAAAAAAAAAW0NvbnRlbnRfVHlwZXNdLnhtbFBLAQItABQABgAIAAAAIQBa9CxbvwAAABUBAAAL&#10;AAAAAAAAAAAAAAAAAB8BAABfcmVscy8ucmVsc1BLAQItABQABgAIAAAAIQBUvT80xQAAANwAAAAP&#10;AAAAAAAAAAAAAAAAAAcCAABkcnMvZG93bnJldi54bWxQSwUGAAAAAAMAAwC3AAAA+QIAAAAA&#10;">
                  <v:shape id="AutoShape 157" o:spid="_x0000_s1088" type="#_x0000_t109" style="position:absolute;left:4897;top:6457;width:1659;height: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js4wwAAANwAAAAPAAAAZHJzL2Rvd25yZXYueG1sRE9Na8JA&#10;EL0X+h+WKfQiujGtItFVSiFFDz2Y9uJtzI5JaHY2ZLcx/ffOQejx8b43u9G1aqA+NJ4NzGcJKOLS&#10;24YrA99f+XQFKkRki61nMvBHAXbbx4cNZtZf+UhDESslIRwyNFDH2GVah7Imh2HmO2LhLr53GAX2&#10;lbY9XiXctTpNkqV22LA01NjRe03lT/HrDKSrSfHBn/n+9XywOS7mp2HycjDm+Wl8W4OKNMZ/8d29&#10;t+JLZa2ckSOgtzcAAAD//wMAUEsBAi0AFAAGAAgAAAAhANvh9svuAAAAhQEAABMAAAAAAAAAAAAA&#10;AAAAAAAAAFtDb250ZW50X1R5cGVzXS54bWxQSwECLQAUAAYACAAAACEAWvQsW78AAAAVAQAACwAA&#10;AAAAAAAAAAAAAAAfAQAAX3JlbHMvLnJlbHNQSwECLQAUAAYACAAAACEAdr47OMMAAADcAAAADwAA&#10;AAAAAAAAAAAAAAAHAgAAZHJzL2Rvd25yZXYueG1sUEsFBgAAAAADAAMAtwAAAPcCAAAAAA==&#10;">
                    <v:textbox>
                      <w:txbxContent>
                        <w:p w14:paraId="703B793D" w14:textId="77777777" w:rsidR="003B6DB3" w:rsidRPr="00F654B5" w:rsidRDefault="003B6DB3" w:rsidP="00E839E1">
                          <w:pPr>
                            <w:jc w:val="center"/>
                          </w:pPr>
                          <w:r w:rsidRPr="00F654B5">
                            <w:t>Uyumlu</w:t>
                          </w:r>
                        </w:p>
                        <w:p w14:paraId="34A71F95" w14:textId="77777777" w:rsidR="003B6DB3" w:rsidRPr="00F654B5" w:rsidRDefault="003B6DB3" w:rsidP="00E839E1">
                          <w:pPr>
                            <w:jc w:val="center"/>
                          </w:pPr>
                          <w:r w:rsidRPr="00F654B5">
                            <w:t>Ama!</w:t>
                          </w:r>
                        </w:p>
                      </w:txbxContent>
                    </v:textbox>
                  </v:shape>
                  <v:shape id="AutoShape 158" o:spid="_x0000_s1089" type="#_x0000_t32" style="position:absolute;left:3997;top:6750;width:900;height:60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PFWxAAAANwAAAAPAAAAZHJzL2Rvd25yZXYueG1sRI/BasMw&#10;EETvhfyD2EBvjRxDS+JGNkmgEHopTQLpcbG2tqi1MpZiOX9fFQo5DjPzhtlUk+3ESIM3jhUsFxkI&#10;4tppw42C8+ntaQXCB2SNnWNScCMPVTl72GChXeRPGo+hEQnCvkAFbQh9IaWvW7LoF64nTt63GyyG&#10;JIdG6gFjgttO5ln2Ii0aTgst9rRvqf45Xq0CEz/M2B/2cfd++fI6krk9O6PU43zavoIINIV7+L99&#10;0AryfA1/Z9IRkOUvAAAA//8DAFBLAQItABQABgAIAAAAIQDb4fbL7gAAAIUBAAATAAAAAAAAAAAA&#10;AAAAAAAAAABbQ29udGVudF9UeXBlc10ueG1sUEsBAi0AFAAGAAgAAAAhAFr0LFu/AAAAFQEAAAsA&#10;AAAAAAAAAAAAAAAAHwEAAF9yZWxzLy5yZWxzUEsBAi0AFAAGAAgAAAAhAOcE8VbEAAAA3AAAAA8A&#10;AAAAAAAAAAAAAAAABwIAAGRycy9kb3ducmV2LnhtbFBLBQYAAAAAAwADALcAAAD4AgAAAAA=&#10;">
                    <v:stroke endarrow="block"/>
                  </v:shape>
                  <v:shape id="AutoShape 159" o:spid="_x0000_s1090" type="#_x0000_t32" style="position:absolute;left:3997;top:7537;width:900;height:2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oVVwgAAANwAAAAPAAAAZHJzL2Rvd25yZXYueG1sRE9Ni8Iw&#10;EL0v+B/CCN7WVAVZq1FEUETxsLoUvQ3N2BabSUmi1v31m4Owx8f7ni1aU4sHOV9ZVjDoJyCIc6sr&#10;LhT8nNafXyB8QNZYWyYFL/KwmHc+Zphq++RvehxDIWII+xQVlCE0qZQ+L8mg79uGOHJX6wyGCF0h&#10;tcNnDDe1HCbJWBqsODaU2NCqpPx2vBsF5/3knr2yA+2ywWR3QWf872mjVK/bLqcgArXhX/x2b7WC&#10;4SjOj2fiEZDzPwAAAP//AwBQSwECLQAUAAYACAAAACEA2+H2y+4AAACFAQAAEwAAAAAAAAAAAAAA&#10;AAAAAAAAW0NvbnRlbnRfVHlwZXNdLnhtbFBLAQItABQABgAIAAAAIQBa9CxbvwAAABUBAAALAAAA&#10;AAAAAAAAAAAAAB8BAABfcmVscy8ucmVsc1BLAQItABQABgAIAAAAIQDi9oVVwgAAANwAAAAPAAAA&#10;AAAAAAAAAAAAAAcCAABkcnMvZG93bnJldi54bWxQSwUGAAAAAAMAAwC3AAAA9gIAAAAA&#10;">
                    <v:stroke endarrow="block"/>
                  </v:shape>
                  <v:shape id="AutoShape 160" o:spid="_x0000_s1091" type="#_x0000_t32" style="position:absolute;left:6556;top:7711;width:840;height:12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2uNwgAAANwAAAAPAAAAZHJzL2Rvd25yZXYueG1sRI9BawIx&#10;FITvQv9DeAVvmlWxlNUoVhDEi6iF9vjYPHeDm5dlk27Wf28EocdhZr5hluve1qKj1hvHCibjDARx&#10;4bThUsH3ZTf6BOEDssbaMSm4k4f16m2wxFy7yCfqzqEUCcI+RwVVCE0upS8qsujHriFO3tW1FkOS&#10;bSl1izHBbS2nWfYhLRpOCxU2tK2ouJ3/rAITj6Zr9tv4dfj59TqSuc+dUWr43m8WIAL14T/8au+1&#10;gulsAs8z6QjI1QMAAP//AwBQSwECLQAUAAYACAAAACEA2+H2y+4AAACFAQAAEwAAAAAAAAAAAAAA&#10;AAAAAAAAW0NvbnRlbnRfVHlwZXNdLnhtbFBLAQItABQABgAIAAAAIQBa9CxbvwAAABUBAAALAAAA&#10;AAAAAAAAAAAAAB8BAABfcmVscy8ucmVsc1BLAQItABQABgAIAAAAIQCcq2uNwgAAANwAAAAPAAAA&#10;AAAAAAAAAAAAAAcCAABkcnMvZG93bnJldi54bWxQSwUGAAAAAAMAAwC3AAAA9gIAAAAA&#10;">
                    <v:stroke endarrow="block"/>
                  </v:shape>
                  <v:shape id="AutoShape 161" o:spid="_x0000_s1092" type="#_x0000_t32" style="position:absolute;left:6517;top:8034;width:879;height:4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L65xQAAANwAAAAPAAAAZHJzL2Rvd25yZXYueG1sRI9Ba8JA&#10;FITvgv9heUJvujGFotFVpFARSw9qCXp7ZJ9JMPs27K4a++u7BaHHYWa+YebLzjTiRs7XlhWMRwkI&#10;4sLqmksF34eP4QSED8gaG8uk4EEelot+b46Ztnfe0W0fShEh7DNUUIXQZlL6oiKDfmRb4uidrTMY&#10;onSl1A7vEW4amSbJmzRYc1yosKX3iorL/moUHD+n1/yRf9E2H0+3J3TG/xzWSr0MutUMRKAu/Ief&#10;7Y1WkL6m8HcmHgG5+AUAAP//AwBQSwECLQAUAAYACAAAACEA2+H2y+4AAACFAQAAEwAAAAAAAAAA&#10;AAAAAAAAAAAAW0NvbnRlbnRfVHlwZXNdLnhtbFBLAQItABQABgAIAAAAIQBa9CxbvwAAABUBAAAL&#10;AAAAAAAAAAAAAAAAAB8BAABfcmVscy8ucmVsc1BLAQItABQABgAIAAAAIQB9aL65xQAAANwAAAAP&#10;AAAAAAAAAAAAAAAAAAcCAABkcnMvZG93bnJldi54bWxQSwUGAAAAAAMAAwC3AAAA+QIAAAAA&#10;">
                    <v:stroke endarrow="block"/>
                  </v:shape>
                  <v:shape id="AutoShape 162" o:spid="_x0000_s1093" type="#_x0000_t109" style="position:absolute;left:4897;top:7467;width:1659;height: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z+UxgAAANwAAAAPAAAAZHJzL2Rvd25yZXYueG1sRI9Ba8JA&#10;FITvQv/D8gq9iG40VkJ0E4qQogcPTXvp7TX7TEKzb0N2jem/7xYKHoeZb4bZ55PpxEiDay0rWC0j&#10;EMSV1S3XCj7ei0UCwnlkjZ1lUvBDDvLsYbbHVNsbv9FY+lqEEnYpKmi871MpXdWQQbe0PXHwLnYw&#10;6IMcaqkHvIVy08l1FG2lwZbDQoM9HRqqvsurUbBO5uUrn4vj5uukC3xefY7z+KTU0+P0sgPhafL3&#10;8D991IGLY/g7E46AzH4BAAD//wMAUEsBAi0AFAAGAAgAAAAhANvh9svuAAAAhQEAABMAAAAAAAAA&#10;AAAAAAAAAAAAAFtDb250ZW50X1R5cGVzXS54bWxQSwECLQAUAAYACAAAACEAWvQsW78AAAAVAQAA&#10;CwAAAAAAAAAAAAAAAAAfAQAAX3JlbHMvLnJlbHNQSwECLQAUAAYACAAAACEA/cM/lMYAAADcAAAA&#10;DwAAAAAAAAAAAAAAAAAHAgAAZHJzL2Rvd25yZXYueG1sUEsFBgAAAAADAAMAtwAAAPoCAAAAAA==&#10;">
                    <v:textbox>
                      <w:txbxContent>
                        <w:p w14:paraId="08FE3490" w14:textId="77777777" w:rsidR="003B6DB3" w:rsidRPr="00F654B5" w:rsidRDefault="003B6DB3" w:rsidP="00E839E1">
                          <w:pPr>
                            <w:jc w:val="center"/>
                          </w:pPr>
                          <w:r w:rsidRPr="00F654B5">
                            <w:t xml:space="preserve">Uyumlu </w:t>
                          </w:r>
                        </w:p>
                        <w:p w14:paraId="1B333708" w14:textId="77777777" w:rsidR="003B6DB3" w:rsidRPr="00F654B5" w:rsidRDefault="003B6DB3" w:rsidP="00E839E1">
                          <w:pPr>
                            <w:jc w:val="center"/>
                          </w:pPr>
                          <w:r w:rsidRPr="00F654B5">
                            <w:t>Değil</w:t>
                          </w:r>
                        </w:p>
                      </w:txbxContent>
                    </v:textbox>
                  </v:shape>
                  <v:shape id="AutoShape 163" o:spid="_x0000_s1094" type="#_x0000_t176" style="position:absolute;left:7396;top:8219;width:2457;height: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OTcxgAAANwAAAAPAAAAZHJzL2Rvd25yZXYueG1sRI9Ba8JA&#10;FITvBf/D8oTedBMt1kY3IkpLD15MhV6f2ddsaPZtyK4x7a/vCkKPw8x8w6w3g21ET52vHStIpwkI&#10;4tLpmisFp4/XyRKED8gaG8ek4Ic8bPLRwxoz7a58pL4IlYgQ9hkqMCG0mZS+NGTRT11LHL0v11kM&#10;UXaV1B1eI9w2cpYkC2mx5rhgsKWdofK7uFgFw+H3/HJ5S8simOXi+XPe77cnqdTjeNiuQAQawn/4&#10;3n7XCmbzJ7idiUdA5n8AAAD//wMAUEsBAi0AFAAGAAgAAAAhANvh9svuAAAAhQEAABMAAAAAAAAA&#10;AAAAAAAAAAAAAFtDb250ZW50X1R5cGVzXS54bWxQSwECLQAUAAYACAAAACEAWvQsW78AAAAVAQAA&#10;CwAAAAAAAAAAAAAAAAAfAQAAX3JlbHMvLnJlbHNQSwECLQAUAAYACAAAACEAzaTk3MYAAADcAAAA&#10;DwAAAAAAAAAAAAAAAAAHAgAAZHJzL2Rvd25yZXYueG1sUEsFBgAAAAADAAMAtwAAAPoCAAAAAA==&#10;">
                    <v:textbox>
                      <w:txbxContent>
                        <w:p w14:paraId="334E1C13" w14:textId="77777777" w:rsidR="003B6DB3" w:rsidRPr="00F654B5" w:rsidRDefault="003B6DB3" w:rsidP="00E839E1">
                          <w:pPr>
                            <w:jc w:val="center"/>
                          </w:pPr>
                          <w:r w:rsidRPr="00F654B5">
                            <w:t>Yeni kazanım eklenmeli</w:t>
                          </w:r>
                        </w:p>
                        <w:p w14:paraId="5697E4F6" w14:textId="77777777" w:rsidR="003B6DB3" w:rsidRPr="00F654B5" w:rsidRDefault="003B6DB3" w:rsidP="00E839E1"/>
                      </w:txbxContent>
                    </v:textbox>
                  </v:shape>
                  <v:shape id="AutoShape 164" o:spid="_x0000_s1095" type="#_x0000_t176" style="position:absolute;left:7396;top:7522;width:2457;height: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EFHxgAAANwAAAAPAAAAZHJzL2Rvd25yZXYueG1sRI9Ba8JA&#10;FITvBf/D8oTedBOl1kY3IkpLD15MhV6f2ddsaPZtyK4x7a/vCkKPw8x8w6w3g21ET52vHStIpwkI&#10;4tLpmisFp4/XyRKED8gaG8ek4Ic8bPLRwxoz7a58pL4IlYgQ9hkqMCG0mZS+NGTRT11LHL0v11kM&#10;UXaV1B1eI9w2cpYkC2mx5rhgsKWdofK7uFgFw+H3/HJ5S8simOXi+XPe77cnqdTjeNiuQAQawn/4&#10;3n7XCmbzJ7idiUdA5n8AAAD//wMAUEsBAi0AFAAGAAgAAAAhANvh9svuAAAAhQEAABMAAAAAAAAA&#10;AAAAAAAAAAAAAFtDb250ZW50X1R5cGVzXS54bWxQSwECLQAUAAYACAAAACEAWvQsW78AAAAVAQAA&#10;CwAAAAAAAAAAAAAAAAAfAQAAX3JlbHMvLnJlbHNQSwECLQAUAAYACAAAACEAouhBR8YAAADcAAAA&#10;DwAAAAAAAAAAAAAAAAAHAgAAZHJzL2Rvd25yZXYueG1sUEsFBgAAAAADAAMAtwAAAPoCAAAAAA==&#10;">
                    <v:textbox>
                      <w:txbxContent>
                        <w:p w14:paraId="191B0AFB" w14:textId="77777777" w:rsidR="003B6DB3" w:rsidRPr="00F654B5" w:rsidRDefault="003B6DB3" w:rsidP="00E839E1">
                          <w:pPr>
                            <w:jc w:val="center"/>
                          </w:pPr>
                          <w:r w:rsidRPr="00F654B5">
                            <w:t xml:space="preserve"> Zaman yetersiz</w:t>
                          </w:r>
                        </w:p>
                        <w:p w14:paraId="3D810624" w14:textId="77777777" w:rsidR="003B6DB3" w:rsidRPr="00F654B5" w:rsidRDefault="003B6DB3" w:rsidP="00E839E1"/>
                      </w:txbxContent>
                    </v:textbox>
                  </v:shape>
                  <v:shape id="AutoShape 165" o:spid="_x0000_s1096" type="#_x0000_t32" style="position:absolute;left:6556;top:6746;width:840;height: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vP5wgAAANwAAAAPAAAAZHJzL2Rvd25yZXYueG1sRI9BawIx&#10;FITvQv9DeAVvmq2ilNUoViiIF1EL7fGxee4GNy/LJt2s/94IgsdhZr5hluve1qKj1hvHCj7GGQji&#10;wmnDpYKf8/foE4QPyBprx6TgRh7Wq7fBEnPtIh+pO4VSJAj7HBVUITS5lL6oyKIfu4Y4eRfXWgxJ&#10;tqXULcYEt7WcZNlcWjScFipsaFtRcT39WwUmHkzX7Lbxa//753Ukc5s5o9Twvd8sQATqwyv8bO+0&#10;gsl0Do8z6QjI1R0AAP//AwBQSwECLQAUAAYACAAAACEA2+H2y+4AAACFAQAAEwAAAAAAAAAAAAAA&#10;AAAAAAAAW0NvbnRlbnRfVHlwZXNdLnhtbFBLAQItABQABgAIAAAAIQBa9CxbvwAAABUBAAALAAAA&#10;AAAAAAAAAAAAAB8BAABfcmVscy8ucmVsc1BLAQItABQABgAIAAAAIQATQvP5wgAAANwAAAAPAAAA&#10;AAAAAAAAAAAAAAcCAABkcnMvZG93bnJldi54bWxQSwUGAAAAAAMAAwC3AAAA9gIAAAAA&#10;">
                    <v:stroke endarrow="block"/>
                  </v:shape>
                  <v:shape id="AutoShape 166" o:spid="_x0000_s1097" type="#_x0000_t176" style="position:absolute;left:7396;top:6457;width:2457;height: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nqrxQAAANwAAAAPAAAAZHJzL2Rvd25yZXYueG1sRI9Pi8Iw&#10;FMTvC36H8ARva6qCf6pRxGVlD3vZKnh9Ns+m2LyUJtbqp98sLHgcZuY3zGrT2Uq01PjSsYLRMAFB&#10;nDtdcqHgePh8n4PwAVlj5ZgUPMjDZt17W2Gq3Z1/qM1CISKEfYoKTAh1KqXPDVn0Q1cTR+/iGosh&#10;yqaQusF7hNtKjpNkKi2WHBcM1rQzlF+zm1XQfT/Pi9t+lGfBzKez06T92B6lUoN+t12CCNSFV/i/&#10;/aUVjCcz+DsTj4Bc/wIAAP//AwBQSwECLQAUAAYACAAAACEA2+H2y+4AAACFAQAAEwAAAAAAAAAA&#10;AAAAAAAAAAAAW0NvbnRlbnRfVHlwZXNdLnhtbFBLAQItABQABgAIAAAAIQBa9CxbvwAAABUBAAAL&#10;AAAAAAAAAAAAAAAAAB8BAABfcmVscy8ucmVsc1BLAQItABQABgAIAAAAIQA9dnqrxQAAANwAAAAP&#10;AAAAAAAAAAAAAAAAAAcCAABkcnMvZG93bnJldi54bWxQSwUGAAAAAAMAAwC3AAAA+QIAAAAA&#10;">
                    <v:textbox>
                      <w:txbxContent>
                        <w:p w14:paraId="2BD46424" w14:textId="77777777" w:rsidR="003B6DB3" w:rsidRPr="00F654B5" w:rsidRDefault="003B6DB3" w:rsidP="00E839E1">
                          <w:pPr>
                            <w:jc w:val="center"/>
                          </w:pPr>
                          <w:r w:rsidRPr="00F654B5">
                            <w:t>Soyut kalıyor</w:t>
                          </w:r>
                        </w:p>
                        <w:p w14:paraId="0E1275A0" w14:textId="77777777" w:rsidR="003B6DB3" w:rsidRPr="00F654B5" w:rsidRDefault="003B6DB3" w:rsidP="00E839E1"/>
                      </w:txbxContent>
                    </v:textbox>
                  </v:shape>
                </v:group>
              </v:group>
            </w:pict>
          </mc:Fallback>
        </mc:AlternateContent>
      </w:r>
    </w:p>
    <w:p w14:paraId="0267E05D" w14:textId="77777777" w:rsidR="00E839E1" w:rsidRPr="000A2E75" w:rsidRDefault="00E839E1" w:rsidP="00E839E1">
      <w:pPr>
        <w:autoSpaceDE w:val="0"/>
        <w:autoSpaceDN w:val="0"/>
        <w:adjustRightInd w:val="0"/>
        <w:spacing w:before="120" w:after="120" w:line="360" w:lineRule="auto"/>
        <w:jc w:val="center"/>
        <w:rPr>
          <w:rFonts w:ascii="Times New Roman" w:hAnsi="Times New Roman" w:cs="Times New Roman"/>
          <w:i/>
        </w:rPr>
      </w:pPr>
    </w:p>
    <w:p w14:paraId="6616F1BA" w14:textId="77777777" w:rsidR="00E839E1" w:rsidRPr="000A2E75" w:rsidRDefault="00E839E1" w:rsidP="00E839E1">
      <w:pPr>
        <w:rPr>
          <w:rFonts w:ascii="Times New Roman" w:hAnsi="Times New Roman" w:cs="Times New Roman"/>
        </w:rPr>
      </w:pPr>
    </w:p>
    <w:p w14:paraId="19445147" w14:textId="77777777" w:rsidR="00E839E1" w:rsidRPr="000A2E75" w:rsidRDefault="00E839E1" w:rsidP="00E839E1">
      <w:pPr>
        <w:rPr>
          <w:rFonts w:ascii="Times New Roman" w:hAnsi="Times New Roman" w:cs="Times New Roman"/>
        </w:rPr>
      </w:pPr>
    </w:p>
    <w:p w14:paraId="6CEEE011" w14:textId="77777777" w:rsidR="00E839E1" w:rsidRPr="000A2E75" w:rsidRDefault="00E839E1" w:rsidP="00E839E1">
      <w:pPr>
        <w:rPr>
          <w:rFonts w:ascii="Times New Roman" w:hAnsi="Times New Roman" w:cs="Times New Roman"/>
        </w:rPr>
      </w:pPr>
    </w:p>
    <w:p w14:paraId="2316CCC3" w14:textId="77777777" w:rsidR="00E839E1" w:rsidRPr="000A2E75" w:rsidRDefault="00E839E1" w:rsidP="00E839E1">
      <w:pPr>
        <w:rPr>
          <w:rFonts w:ascii="Times New Roman" w:hAnsi="Times New Roman" w:cs="Times New Roman"/>
        </w:rPr>
      </w:pPr>
    </w:p>
    <w:p w14:paraId="3CBA0D90" w14:textId="77777777" w:rsidR="00E839E1" w:rsidRPr="000A2E75" w:rsidRDefault="00E839E1" w:rsidP="00E839E1">
      <w:pPr>
        <w:autoSpaceDE w:val="0"/>
        <w:autoSpaceDN w:val="0"/>
        <w:adjustRightInd w:val="0"/>
        <w:spacing w:before="120" w:after="120"/>
        <w:jc w:val="center"/>
        <w:rPr>
          <w:rFonts w:ascii="Times New Roman" w:hAnsi="Times New Roman" w:cs="Times New Roman"/>
        </w:rPr>
      </w:pPr>
    </w:p>
    <w:p w14:paraId="48A7140B" w14:textId="77777777" w:rsidR="00E839E1" w:rsidRPr="000A2E75" w:rsidRDefault="00E839E1" w:rsidP="00E839E1">
      <w:pPr>
        <w:autoSpaceDE w:val="0"/>
        <w:autoSpaceDN w:val="0"/>
        <w:adjustRightInd w:val="0"/>
        <w:spacing w:before="120" w:after="120"/>
        <w:jc w:val="center"/>
        <w:rPr>
          <w:rFonts w:ascii="Times New Roman" w:hAnsi="Times New Roman" w:cs="Times New Roman"/>
        </w:rPr>
      </w:pPr>
    </w:p>
    <w:p w14:paraId="4CB8D5D1" w14:textId="77777777" w:rsidR="00E839E1" w:rsidRPr="000A2E75" w:rsidRDefault="00E839E1" w:rsidP="00E839E1">
      <w:pPr>
        <w:autoSpaceDE w:val="0"/>
        <w:autoSpaceDN w:val="0"/>
        <w:adjustRightInd w:val="0"/>
        <w:spacing w:before="120" w:after="120"/>
        <w:jc w:val="center"/>
        <w:rPr>
          <w:rFonts w:ascii="Times New Roman" w:hAnsi="Times New Roman" w:cs="Times New Roman"/>
        </w:rPr>
      </w:pPr>
    </w:p>
    <w:p w14:paraId="69EF9B60" w14:textId="77777777" w:rsidR="00E839E1" w:rsidRPr="000A2E75" w:rsidRDefault="00E839E1" w:rsidP="00E839E1">
      <w:pPr>
        <w:autoSpaceDE w:val="0"/>
        <w:autoSpaceDN w:val="0"/>
        <w:adjustRightInd w:val="0"/>
        <w:spacing w:before="120" w:after="120"/>
        <w:jc w:val="center"/>
        <w:rPr>
          <w:rFonts w:ascii="Times New Roman" w:hAnsi="Times New Roman" w:cs="Times New Roman"/>
        </w:rPr>
      </w:pPr>
      <w:r w:rsidRPr="000A2E75">
        <w:rPr>
          <w:rFonts w:ascii="Times New Roman" w:hAnsi="Times New Roman" w:cs="Times New Roman"/>
        </w:rPr>
        <w:t>Şekil 2. Beceri Temelli Soruların Kazanımlarla İlişkisine Yönelik Görüşler</w:t>
      </w:r>
    </w:p>
    <w:p w14:paraId="282893A8" w14:textId="77777777" w:rsidR="00E839E1" w:rsidRPr="000A2E75" w:rsidRDefault="00E839E1" w:rsidP="00E839E1">
      <w:pPr>
        <w:autoSpaceDE w:val="0"/>
        <w:autoSpaceDN w:val="0"/>
        <w:adjustRightInd w:val="0"/>
        <w:spacing w:before="120" w:after="120"/>
        <w:jc w:val="both"/>
        <w:rPr>
          <w:rFonts w:ascii="Times New Roman" w:hAnsi="Times New Roman" w:cs="Times New Roman"/>
        </w:rPr>
      </w:pPr>
      <w:r w:rsidRPr="000A2E75">
        <w:rPr>
          <w:rFonts w:ascii="Times New Roman" w:hAnsi="Times New Roman" w:cs="Times New Roman"/>
        </w:rPr>
        <w:t>Şekil 2’de yer alan katılımcı görüşleri ışığında yapılan analiz sonrasında; katılımcıların küçük bir kısmının beceri temelli soruların “</w:t>
      </w:r>
      <w:r w:rsidRPr="000A2E75">
        <w:rPr>
          <w:rFonts w:ascii="Times New Roman" w:hAnsi="Times New Roman" w:cs="Times New Roman"/>
          <w:i/>
        </w:rPr>
        <w:t>kazanımlarla uyumlu”</w:t>
      </w:r>
      <w:r w:rsidRPr="000A2E75">
        <w:rPr>
          <w:rFonts w:ascii="Times New Roman" w:hAnsi="Times New Roman" w:cs="Times New Roman"/>
        </w:rPr>
        <w:t xml:space="preserve"> olduğunu ancak “</w:t>
      </w:r>
      <w:r w:rsidRPr="000A2E75">
        <w:rPr>
          <w:rFonts w:ascii="Times New Roman" w:hAnsi="Times New Roman" w:cs="Times New Roman"/>
          <w:i/>
        </w:rPr>
        <w:t>soyut</w:t>
      </w:r>
      <w:r w:rsidRPr="000A2E75">
        <w:rPr>
          <w:rFonts w:ascii="Times New Roman" w:hAnsi="Times New Roman" w:cs="Times New Roman"/>
        </w:rPr>
        <w:t>” kaldığından dolayı tam anlamıyla uyumlu sayılamayacağını dile getirdikleri; bazı katılımcıların ise beceri temelli sorular ile kazanımların “</w:t>
      </w:r>
      <w:r w:rsidRPr="000A2E75">
        <w:rPr>
          <w:rFonts w:ascii="Times New Roman" w:hAnsi="Times New Roman" w:cs="Times New Roman"/>
          <w:i/>
        </w:rPr>
        <w:t>uyumlu olmadığını</w:t>
      </w:r>
      <w:r w:rsidRPr="000A2E75">
        <w:rPr>
          <w:rFonts w:ascii="Times New Roman" w:hAnsi="Times New Roman" w:cs="Times New Roman"/>
        </w:rPr>
        <w:t>” ifade etmekle beraber uyumsuzluğun “</w:t>
      </w:r>
      <w:r w:rsidRPr="000A2E75">
        <w:rPr>
          <w:rFonts w:ascii="Times New Roman" w:hAnsi="Times New Roman" w:cs="Times New Roman"/>
          <w:i/>
        </w:rPr>
        <w:t>zaman yetersizliğinden</w:t>
      </w:r>
      <w:r w:rsidRPr="000A2E75">
        <w:rPr>
          <w:rFonts w:ascii="Times New Roman" w:hAnsi="Times New Roman" w:cs="Times New Roman"/>
        </w:rPr>
        <w:t>” kaynaklandığını ve “</w:t>
      </w:r>
      <w:r w:rsidRPr="000A2E75">
        <w:rPr>
          <w:rFonts w:ascii="Times New Roman" w:hAnsi="Times New Roman" w:cs="Times New Roman"/>
          <w:i/>
        </w:rPr>
        <w:t>yeni kazanımlar eklenmeli</w:t>
      </w:r>
      <w:r w:rsidRPr="000A2E75">
        <w:rPr>
          <w:rFonts w:ascii="Times New Roman" w:hAnsi="Times New Roman" w:cs="Times New Roman"/>
        </w:rPr>
        <w:t xml:space="preserve">” diyerek bu uyumun oluşacağını dile getirmektedirler. </w:t>
      </w:r>
    </w:p>
    <w:p w14:paraId="37B56F72" w14:textId="77777777" w:rsidR="00E839E1" w:rsidRPr="000A2E75" w:rsidRDefault="00E839E1" w:rsidP="00E839E1">
      <w:pPr>
        <w:autoSpaceDE w:val="0"/>
        <w:autoSpaceDN w:val="0"/>
        <w:adjustRightInd w:val="0"/>
        <w:spacing w:before="120" w:after="120"/>
        <w:jc w:val="both"/>
        <w:rPr>
          <w:rFonts w:ascii="Times New Roman" w:hAnsi="Times New Roman" w:cs="Times New Roman"/>
          <w:i/>
        </w:rPr>
      </w:pPr>
      <w:r w:rsidRPr="000A2E75">
        <w:rPr>
          <w:rFonts w:ascii="Times New Roman" w:hAnsi="Times New Roman" w:cs="Times New Roman"/>
          <w:i/>
        </w:rPr>
        <w:t>Uyumlu, Ama!</w:t>
      </w:r>
    </w:p>
    <w:p w14:paraId="468132F8" w14:textId="77777777" w:rsidR="00E839E1" w:rsidRPr="000A2E75" w:rsidRDefault="00E839E1" w:rsidP="00E839E1">
      <w:pPr>
        <w:spacing w:before="120" w:after="120"/>
        <w:jc w:val="both"/>
        <w:rPr>
          <w:rFonts w:ascii="Times New Roman" w:hAnsi="Times New Roman" w:cs="Times New Roman"/>
          <w:bCs/>
          <w:lang w:eastAsia="tr-TR"/>
        </w:rPr>
      </w:pPr>
      <w:r w:rsidRPr="000A2E75">
        <w:rPr>
          <w:rFonts w:ascii="Times New Roman" w:hAnsi="Times New Roman" w:cs="Times New Roman"/>
          <w:iCs/>
        </w:rPr>
        <w:t>Katılımcıların bir kısmı beceri temelli matematik soruları ile matematik dersi kazanımlarının uyumlu olduğunu ancak soyutluktan kaynaklı sıkıntılardan dolayı tam anlamıyla bu uyumun gerçekleşmediğine inandıklarını “</w:t>
      </w:r>
      <w:r w:rsidRPr="000A2E75">
        <w:rPr>
          <w:rFonts w:ascii="Times New Roman" w:hAnsi="Times New Roman" w:cs="Times New Roman"/>
          <w:bCs/>
          <w:i/>
          <w:lang w:eastAsia="tr-TR"/>
        </w:rPr>
        <w:t>Soruların kazanımlara uyumu güzel ancak soruları çözebilmek için kazanımları kavramak yeterli değil.</w:t>
      </w:r>
      <w:r w:rsidRPr="000A2E75">
        <w:rPr>
          <w:rFonts w:ascii="Times New Roman" w:hAnsi="Times New Roman" w:cs="Times New Roman"/>
          <w:iCs/>
        </w:rPr>
        <w:t>”</w:t>
      </w:r>
      <w:r w:rsidRPr="000A2E75">
        <w:rPr>
          <w:rFonts w:ascii="Times New Roman" w:hAnsi="Times New Roman" w:cs="Times New Roman"/>
          <w:bCs/>
          <w:lang w:eastAsia="tr-TR"/>
        </w:rPr>
        <w:t xml:space="preserve"> (K-3), “</w:t>
      </w:r>
      <w:r w:rsidRPr="000A2E75">
        <w:rPr>
          <w:rFonts w:ascii="Times New Roman" w:hAnsi="Times New Roman" w:cs="Times New Roman"/>
          <w:bCs/>
          <w:i/>
          <w:lang w:eastAsia="tr-TR"/>
        </w:rPr>
        <w:t>S</w:t>
      </w:r>
      <w:r w:rsidRPr="000A2E75">
        <w:rPr>
          <w:rFonts w:ascii="Times New Roman" w:hAnsi="Times New Roman" w:cs="Times New Roman"/>
          <w:i/>
          <w:lang w:eastAsia="tr-TR"/>
        </w:rPr>
        <w:t>orular kazanımlara uygun olarak hazırlanabiliyor. Fakat daha soyut düşünme gerektiren sorular oluyor.</w:t>
      </w:r>
      <w:r w:rsidRPr="000A2E75">
        <w:rPr>
          <w:rFonts w:ascii="Times New Roman" w:hAnsi="Times New Roman" w:cs="Times New Roman"/>
          <w:lang w:eastAsia="tr-TR"/>
        </w:rPr>
        <w:t>”</w:t>
      </w:r>
      <w:r w:rsidRPr="000A2E75">
        <w:rPr>
          <w:rFonts w:ascii="Times New Roman" w:hAnsi="Times New Roman" w:cs="Times New Roman"/>
          <w:bCs/>
          <w:lang w:eastAsia="tr-TR"/>
        </w:rPr>
        <w:t xml:space="preserve"> (K-2) şeklindeki ifadelerle belirtmektedirler. Bu durum aslında katılımcıların beceri temelli soruları kazanımlarla ilişkilendirdiklerini ancak soruların soyutluğuna ilişkin eksikliklerden kaynaklı bir takım sorunların varlığına inandıklarını işaret etmesi bakımından önemli olarak görülebilir. </w:t>
      </w:r>
    </w:p>
    <w:p w14:paraId="658D23AA" w14:textId="77777777" w:rsidR="00E839E1" w:rsidRPr="000A2E75" w:rsidRDefault="00E839E1" w:rsidP="00E839E1">
      <w:pPr>
        <w:autoSpaceDE w:val="0"/>
        <w:autoSpaceDN w:val="0"/>
        <w:adjustRightInd w:val="0"/>
        <w:spacing w:before="120" w:after="120"/>
        <w:jc w:val="both"/>
        <w:rPr>
          <w:rFonts w:ascii="Times New Roman" w:hAnsi="Times New Roman" w:cs="Times New Roman"/>
          <w:i/>
        </w:rPr>
      </w:pPr>
      <w:r w:rsidRPr="000A2E75">
        <w:rPr>
          <w:rFonts w:ascii="Times New Roman" w:hAnsi="Times New Roman" w:cs="Times New Roman"/>
          <w:i/>
        </w:rPr>
        <w:t>Uyumlu Değil</w:t>
      </w:r>
    </w:p>
    <w:p w14:paraId="729E2D36" w14:textId="77777777" w:rsidR="00E839E1" w:rsidRPr="000A2E75" w:rsidRDefault="00E839E1" w:rsidP="00E839E1">
      <w:pPr>
        <w:spacing w:before="120" w:after="120"/>
        <w:jc w:val="both"/>
        <w:rPr>
          <w:rFonts w:ascii="Times New Roman" w:hAnsi="Times New Roman" w:cs="Times New Roman"/>
          <w:lang w:eastAsia="tr-TR"/>
        </w:rPr>
      </w:pPr>
      <w:r w:rsidRPr="000A2E75">
        <w:rPr>
          <w:rFonts w:ascii="Times New Roman" w:hAnsi="Times New Roman" w:cs="Times New Roman"/>
          <w:iCs/>
        </w:rPr>
        <w:t>Katılımcıların bazıları ise beceri temelli matematik soruları ile matematik dersi kazanımlarının uyumlu olmadığını dile getirmektedirler ve bu uyumsuzluğun soruların çözümü için zamanın yetersiz olmasından ve eldeki kazanımların mevcut haliyle soruları çözmede yetersiz kaldığından dolayı oluştuğunu “</w:t>
      </w:r>
      <w:r w:rsidRPr="000A2E75">
        <w:rPr>
          <w:rFonts w:ascii="Times New Roman" w:hAnsi="Times New Roman" w:cs="Times New Roman"/>
          <w:i/>
          <w:lang w:eastAsia="tr-TR"/>
        </w:rPr>
        <w:t>Kazanımlarla uyumlu olduğunu düşünmüyorum. Kazanımlarda istenen sadece konunun anlatılması (dersimiz için belirlenen ders saati de anca bu kadar yapmamıza izin veriyor)</w:t>
      </w:r>
      <w:r w:rsidRPr="000A2E75">
        <w:rPr>
          <w:rFonts w:ascii="Times New Roman" w:hAnsi="Times New Roman" w:cs="Times New Roman"/>
          <w:lang w:eastAsia="tr-TR"/>
        </w:rPr>
        <w:t>”</w:t>
      </w:r>
      <w:r w:rsidRPr="000A2E75">
        <w:rPr>
          <w:rFonts w:ascii="Times New Roman" w:hAnsi="Times New Roman" w:cs="Times New Roman"/>
          <w:bCs/>
          <w:lang w:eastAsia="tr-TR"/>
        </w:rPr>
        <w:t xml:space="preserve"> (K-4) “</w:t>
      </w:r>
      <w:r w:rsidRPr="000A2E75">
        <w:rPr>
          <w:rFonts w:ascii="Times New Roman" w:hAnsi="Times New Roman" w:cs="Times New Roman"/>
          <w:bCs/>
          <w:i/>
          <w:lang w:eastAsia="tr-TR"/>
        </w:rPr>
        <w:t>Bence uyumlu olmadığını düşünüyorum. Çünkü düşünmeye yönelik yoğun sorular var. Kazanımlarda bunlar yok.</w:t>
      </w:r>
      <w:r w:rsidRPr="000A2E75">
        <w:rPr>
          <w:rFonts w:ascii="Times New Roman" w:hAnsi="Times New Roman" w:cs="Times New Roman"/>
          <w:bCs/>
          <w:lang w:eastAsia="tr-TR"/>
        </w:rPr>
        <w:t>” (K-7) ve “</w:t>
      </w:r>
      <w:r w:rsidRPr="000A2E75">
        <w:rPr>
          <w:rFonts w:ascii="Times New Roman" w:hAnsi="Times New Roman" w:cs="Times New Roman"/>
          <w:i/>
          <w:lang w:eastAsia="tr-TR"/>
        </w:rPr>
        <w:t>Kazanımların yeni nesil sorulardan ziyade alıştırma tarzı eski tip sorulara daha uygun olduğunu düşünüyorum. İşlem becerilerine ek olarak akıl yürütme becerileri kazandırmaya yönelik kazanımlar da eklenmelidir.”</w:t>
      </w:r>
      <w:r w:rsidRPr="000A2E75">
        <w:rPr>
          <w:rFonts w:ascii="Times New Roman" w:hAnsi="Times New Roman" w:cs="Times New Roman"/>
          <w:bCs/>
          <w:lang w:eastAsia="tr-TR"/>
        </w:rPr>
        <w:t xml:space="preserve"> (K-5) şeklindeki ifadelerle dile getirmektedirler.</w:t>
      </w:r>
    </w:p>
    <w:p w14:paraId="39396582" w14:textId="77777777" w:rsidR="00E839E1" w:rsidRPr="000A2E75" w:rsidRDefault="00E839E1" w:rsidP="00E839E1">
      <w:pPr>
        <w:spacing w:before="120" w:after="120"/>
        <w:jc w:val="both"/>
        <w:rPr>
          <w:rFonts w:ascii="Times New Roman" w:hAnsi="Times New Roman" w:cs="Times New Roman"/>
          <w:i/>
        </w:rPr>
      </w:pPr>
      <w:r w:rsidRPr="000A2E75">
        <w:rPr>
          <w:rFonts w:ascii="Times New Roman" w:hAnsi="Times New Roman" w:cs="Times New Roman"/>
          <w:i/>
        </w:rPr>
        <w:t>BECERİ TEMELLİ SORULAR İLE DERS KİTABI İLİŞKİSİ</w:t>
      </w:r>
    </w:p>
    <w:p w14:paraId="69F7ED7D" w14:textId="77777777" w:rsidR="00E839E1" w:rsidRPr="000A2E75" w:rsidRDefault="00E839E1" w:rsidP="00E839E1">
      <w:pPr>
        <w:autoSpaceDE w:val="0"/>
        <w:autoSpaceDN w:val="0"/>
        <w:adjustRightInd w:val="0"/>
        <w:spacing w:before="120" w:after="120"/>
        <w:jc w:val="both"/>
        <w:rPr>
          <w:rFonts w:ascii="Times New Roman" w:hAnsi="Times New Roman" w:cs="Times New Roman"/>
        </w:rPr>
      </w:pPr>
      <w:r w:rsidRPr="000A2E75">
        <w:rPr>
          <w:rFonts w:ascii="Times New Roman" w:hAnsi="Times New Roman" w:cs="Times New Roman"/>
          <w:noProof/>
          <w:lang w:val="en-US"/>
        </w:rPr>
        <mc:AlternateContent>
          <mc:Choice Requires="wps">
            <w:drawing>
              <wp:anchor distT="0" distB="0" distL="114300" distR="114300" simplePos="0" relativeHeight="251768832" behindDoc="0" locked="0" layoutInCell="1" allowOverlap="1" wp14:anchorId="15E8A2A1" wp14:editId="18B3C246">
                <wp:simplePos x="0" y="0"/>
                <wp:positionH relativeFrom="column">
                  <wp:posOffset>-4934585</wp:posOffset>
                </wp:positionH>
                <wp:positionV relativeFrom="paragraph">
                  <wp:posOffset>1619885</wp:posOffset>
                </wp:positionV>
                <wp:extent cx="984250" cy="1062990"/>
                <wp:effectExtent l="13335" t="12065" r="12065" b="10795"/>
                <wp:wrapNone/>
                <wp:docPr id="224" name="Akış Çizelgesi: Öteki İşlem 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0" cy="1062990"/>
                        </a:xfrm>
                        <a:prstGeom prst="flowChartAlternateProcess">
                          <a:avLst/>
                        </a:prstGeom>
                        <a:solidFill>
                          <a:srgbClr val="FFFFFF"/>
                        </a:solidFill>
                        <a:ln w="9525">
                          <a:solidFill>
                            <a:srgbClr val="000000"/>
                          </a:solidFill>
                          <a:miter lim="800000"/>
                          <a:headEnd/>
                          <a:tailEnd/>
                        </a:ln>
                      </wps:spPr>
                      <wps:txbx>
                        <w:txbxContent>
                          <w:p w14:paraId="5FAAAB22" w14:textId="77777777" w:rsidR="003B6DB3" w:rsidRDefault="003B6DB3" w:rsidP="00E839E1">
                            <w:pPr>
                              <w:spacing w:before="240"/>
                              <w:jc w:val="center"/>
                            </w:pPr>
                            <w:r>
                              <w:t>Lisansüstü Eğitim İçin Gönderme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E8A2A1" id="Akış Çizelgesi: Öteki İşlem 224" o:spid="_x0000_s1098" type="#_x0000_t176" style="position:absolute;left:0;text-align:left;margin-left:-388.55pt;margin-top:127.55pt;width:77.5pt;height:83.7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ZLgWgIAAIAEAAAOAAAAZHJzL2Uyb0RvYy54bWysVEtu2zAQ3RfoHQjuG9mCncZC5MBw6qJA&#10;2hpIewCaoiQi/HVIW04u0Bt0myukZ0hyrw4px3HaropqQXA45OOb9zg6PdtqRTYCvLSmpMOjASXC&#10;cFtJ05T065fFmxNKfGCmYsoaUdJr4enZ9PWr084VIretVZUAgiDGF50raRuCK7LM81Zo5o+sEwaT&#10;tQXNAobQZBWwDtG1yvLB4DjrLFQOLBfe4+p5n6TThF/XgofPde1FIKqkyC2kEdK4imM2PWVFA8y1&#10;ku9osH9goZk0eOke6pwFRtYg/4DSkoP1tg5H3OrM1rXkItWA1QwHv1Vz2TInUi0ojnd7mfz/g+Wf&#10;Nksgsippno8oMUyjSbOrh5+Pt+T+u7wRqhFeFuT+RxBXkjzcPd4qoUncjNJ1zheIcOmWEIv37sLy&#10;K0+MnbfMNGIGYLtWsAoJD+P+7MWBGHg8SlbdR1vhvWwdbFJxW4OOgKgP2SazrvdmiW0gHBcnJ6N8&#10;jJZyTA0Hx/lkktzMWPF02oEP74XVJE5KWivbIS8IMxUEGBbEsn836Uq2ufAhUmTF07lUklWyWkil&#10;UgDNaq6AbBi+pkX6UlVY+eE2ZUiH/Mb5OCG/yPlDiEH6/gahJVIkSuqSnuw3sSJq+c5U6dEGJlU/&#10;R8rK7MSNeva+hO1qm4wdJ+mj2CtbXaPcYPs2wLbFSWvhhpIOW6Ck/tuagaBEfTBo2WQ4GsWeScFo&#10;/DbHAA4zq8MMMxyhShoo6afz0PfZ2oFsWrxpmOQwdoY21zKJ/cxqxx+fefJg15Kxjw7jtOv5xzH9&#10;BQAA//8DAFBLAwQUAAYACAAAACEA/g1gK+AAAAANAQAADwAAAGRycy9kb3ducmV2LnhtbEyPwU6E&#10;MBCG7ya+QzMm3thCFViRstlo9ORF3MRroRWIdEpoYdGndzzp7Z/Ml3++KQ+bHdlqZj84lJDsYmAG&#10;W6cH7CSc3p6iPTAfFGo1OjQSvoyHQ3V5UapCuzO+mrUOHaMS9IWS0IcwFZz7tjdW+Z2bDNLuw81W&#10;BRrnjutZnancjlzEccatGpAu9GoyD71pP+vFSthevpu75Tlp69Dvs/z9Zn08nriU11fb8R5YMFv4&#10;g+FXn9ShIqfGLag9GyVEeZ4nxEoQaUqBkCgTglIj4VaIFHhV8v9fVD8AAAD//wMAUEsBAi0AFAAG&#10;AAgAAAAhALaDOJL+AAAA4QEAABMAAAAAAAAAAAAAAAAAAAAAAFtDb250ZW50X1R5cGVzXS54bWxQ&#10;SwECLQAUAAYACAAAACEAOP0h/9YAAACUAQAACwAAAAAAAAAAAAAAAAAvAQAAX3JlbHMvLnJlbHNQ&#10;SwECLQAUAAYACAAAACEAqU2S4FoCAACABAAADgAAAAAAAAAAAAAAAAAuAgAAZHJzL2Uyb0RvYy54&#10;bWxQSwECLQAUAAYACAAAACEA/g1gK+AAAAANAQAADwAAAAAAAAAAAAAAAAC0BAAAZHJzL2Rvd25y&#10;ZXYueG1sUEsFBgAAAAAEAAQA8wAAAMEFAAAAAA==&#10;">
                <v:textbox>
                  <w:txbxContent>
                    <w:p w14:paraId="5FAAAB22" w14:textId="77777777" w:rsidR="003B6DB3" w:rsidRDefault="003B6DB3" w:rsidP="00E839E1">
                      <w:pPr>
                        <w:spacing w:before="240"/>
                        <w:jc w:val="center"/>
                      </w:pPr>
                      <w:r>
                        <w:t>Lisansüstü Eğitim İçin Gönderme</w:t>
                      </w:r>
                    </w:p>
                  </w:txbxContent>
                </v:textbox>
              </v:shape>
            </w:pict>
          </mc:Fallback>
        </mc:AlternateContent>
      </w:r>
      <w:r w:rsidRPr="000A2E75">
        <w:rPr>
          <w:rFonts w:ascii="Times New Roman" w:hAnsi="Times New Roman" w:cs="Times New Roman"/>
          <w:noProof/>
          <w:lang w:val="en-US"/>
        </w:rPr>
        <mc:AlternateContent>
          <mc:Choice Requires="wps">
            <w:drawing>
              <wp:anchor distT="0" distB="0" distL="114300" distR="114300" simplePos="0" relativeHeight="251769856" behindDoc="0" locked="0" layoutInCell="1" allowOverlap="1" wp14:anchorId="4330AB5B" wp14:editId="3D2A972D">
                <wp:simplePos x="0" y="0"/>
                <wp:positionH relativeFrom="column">
                  <wp:posOffset>-9824085</wp:posOffset>
                </wp:positionH>
                <wp:positionV relativeFrom="paragraph">
                  <wp:posOffset>467360</wp:posOffset>
                </wp:positionV>
                <wp:extent cx="984250" cy="1062990"/>
                <wp:effectExtent l="10160" t="12065" r="5715" b="10795"/>
                <wp:wrapNone/>
                <wp:docPr id="223" name="Akış Çizelgesi: Öteki İşlem 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0" cy="1062990"/>
                        </a:xfrm>
                        <a:prstGeom prst="flowChartAlternateProcess">
                          <a:avLst/>
                        </a:prstGeom>
                        <a:solidFill>
                          <a:srgbClr val="FFFFFF"/>
                        </a:solidFill>
                        <a:ln w="9525">
                          <a:solidFill>
                            <a:srgbClr val="000000"/>
                          </a:solidFill>
                          <a:miter lim="800000"/>
                          <a:headEnd/>
                          <a:tailEnd/>
                        </a:ln>
                      </wps:spPr>
                      <wps:txbx>
                        <w:txbxContent>
                          <w:p w14:paraId="51D79C04" w14:textId="77777777" w:rsidR="003B6DB3" w:rsidRDefault="003B6DB3" w:rsidP="00E839E1">
                            <w:pPr>
                              <w:jc w:val="center"/>
                            </w:pPr>
                            <w:r>
                              <w:t>Öğretim Üyeliği İçin Yurt Dışından Davet</w:t>
                            </w:r>
                          </w:p>
                          <w:p w14:paraId="57892FED" w14:textId="77777777" w:rsidR="003B6DB3" w:rsidRDefault="003B6DB3" w:rsidP="00E839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30AB5B" id="Akış Çizelgesi: Öteki İşlem 223" o:spid="_x0000_s1099" type="#_x0000_t176" style="position:absolute;left:0;text-align:left;margin-left:-773.55pt;margin-top:36.8pt;width:77.5pt;height:83.7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9CuXAIAAIAEAAAOAAAAZHJzL2Uyb0RvYy54bWysVF1uEzEQfkfiDpbf6SZLUpJVNlXUUoRU&#10;oFLhAI7Xu2vFf4ydbNoLcIO+9gpwhrb3YuxNQwo8IfbB8njsz998n2dnJ1utyEaAl9aUdHg0oEQY&#10;bitpmpJ++Xz+akKJD8xUTFkjSnotPD2Zv3wx61whcttaVQkgCGJ80bmStiG4Iss8b4Vm/sg6YTBZ&#10;W9AsYAhNVgHrEF2rLB8MjrPOQuXAcuE9rp71STpP+HUtePhU114EokqK3EIaIY3LOGbzGSsaYK6V&#10;fEeD/QMLzaTBS/dQZywwsgb5B5SWHKy3dTjiVme2riUXqQasZjj4rZqrljmRakFxvNvL5P8fLP+4&#10;uQQiq5Lm+WtKDNNo0mL18OPxjtx/kzdCNcLLgtzfBrGS5OH7450SmsTNKF3nfIEIV+4SYvHeXVi+&#10;8sTY05aZRiwAbNcKViHhYdyfPTsQA49HybL7YCu8l62DTSpua9AREPUh22TW9d4ssQ2E4+J0MsrH&#10;aCnH1HBwnE+nyc2MFU+nHfjwTlhN4qSktbId8oKwUEGAYUFc9u8mXck2Fz5Eiqx4OpdKskpW51Kp&#10;FECzPFVANgxf03n6UlVY+eE2ZUiH/Mb5OCE/y/lDiEH6/gahJVIkSuqSTvabWBG1fGuq9GgDk6qf&#10;I2VlduJGPXtfwna5TcaO8yerlra6RrnB9m2AbYuT1sINJR22QEn91zUDQYl6b9Cy6XA0ij2TgtH4&#10;TY4BHGaWhxlmOEKVNFDST09D32drB7Jp8aZhksPYBdpcyyR2fAI9qx1/fObJg11Lxj46jNOuXz+O&#10;+U8AAAD//wMAUEsDBBQABgAIAAAAIQA1Q+nI4gAAAA4BAAAPAAAAZHJzL2Rvd25yZXYueG1sTI/B&#10;ToQwEIbvJr5DMybe2FJYYZelbDYaPXkRN/FaaJcS6ZTQwqJPbz3pcWa+/PP95XE1A1nU5HqLHNgm&#10;BqKwtbLHjsP5/TnaAXFeoBSDRcXhSzk4Vrc3pSikveKbWmrfkRCCrhActPdjQalrtTLCbeyoMNwu&#10;djLCh3HqqJzENYSbgSZxnFEjegwftBjVo1btZz0bDuvrd7OfX1hbe73L8o90eTqdKef3d+vpAMSr&#10;1f/B8Ksf1KEKTo2dUToycIjYwzZnAeaQpxmQgEQs3Sdh1XBItiwGWpX0f43qBwAA//8DAFBLAQIt&#10;ABQABgAIAAAAIQC2gziS/gAAAOEBAAATAAAAAAAAAAAAAAAAAAAAAABbQ29udGVudF9UeXBlc10u&#10;eG1sUEsBAi0AFAAGAAgAAAAhADj9If/WAAAAlAEAAAsAAAAAAAAAAAAAAAAALwEAAF9yZWxzLy5y&#10;ZWxzUEsBAi0AFAAGAAgAAAAhAIPn0K5cAgAAgAQAAA4AAAAAAAAAAAAAAAAALgIAAGRycy9lMm9E&#10;b2MueG1sUEsBAi0AFAAGAAgAAAAhADVD6cjiAAAADgEAAA8AAAAAAAAAAAAAAAAAtgQAAGRycy9k&#10;b3ducmV2LnhtbFBLBQYAAAAABAAEAPMAAADFBQAAAAA=&#10;">
                <v:textbox>
                  <w:txbxContent>
                    <w:p w14:paraId="51D79C04" w14:textId="77777777" w:rsidR="003B6DB3" w:rsidRDefault="003B6DB3" w:rsidP="00E839E1">
                      <w:pPr>
                        <w:jc w:val="center"/>
                      </w:pPr>
                      <w:r>
                        <w:t>Öğretim Üyeliği İçin Yurt Dışından Davet</w:t>
                      </w:r>
                    </w:p>
                    <w:p w14:paraId="57892FED" w14:textId="77777777" w:rsidR="003B6DB3" w:rsidRDefault="003B6DB3" w:rsidP="00E839E1"/>
                  </w:txbxContent>
                </v:textbox>
              </v:shape>
            </w:pict>
          </mc:Fallback>
        </mc:AlternateContent>
      </w:r>
      <w:r w:rsidRPr="000A2E75">
        <w:rPr>
          <w:rFonts w:ascii="Times New Roman" w:hAnsi="Times New Roman" w:cs="Times New Roman"/>
          <w:noProof/>
          <w:lang w:val="en-US"/>
        </w:rPr>
        <mc:AlternateContent>
          <mc:Choice Requires="wps">
            <w:drawing>
              <wp:anchor distT="0" distB="0" distL="114300" distR="114300" simplePos="0" relativeHeight="251770880" behindDoc="0" locked="0" layoutInCell="1" allowOverlap="1" wp14:anchorId="25F68060" wp14:editId="7CA7B358">
                <wp:simplePos x="0" y="0"/>
                <wp:positionH relativeFrom="column">
                  <wp:posOffset>-4934585</wp:posOffset>
                </wp:positionH>
                <wp:positionV relativeFrom="paragraph">
                  <wp:posOffset>467360</wp:posOffset>
                </wp:positionV>
                <wp:extent cx="984250" cy="1062990"/>
                <wp:effectExtent l="13335" t="12065" r="12065" b="10795"/>
                <wp:wrapNone/>
                <wp:docPr id="222" name="Akış Çizelgesi: Öteki İşlem 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0" cy="1062990"/>
                        </a:xfrm>
                        <a:prstGeom prst="flowChartAlternateProcess">
                          <a:avLst/>
                        </a:prstGeom>
                        <a:solidFill>
                          <a:srgbClr val="FFFFFF"/>
                        </a:solidFill>
                        <a:ln w="9525">
                          <a:solidFill>
                            <a:srgbClr val="000000"/>
                          </a:solidFill>
                          <a:miter lim="800000"/>
                          <a:headEnd/>
                          <a:tailEnd/>
                        </a:ln>
                      </wps:spPr>
                      <wps:txbx>
                        <w:txbxContent>
                          <w:p w14:paraId="3D9D517D" w14:textId="77777777" w:rsidR="003B6DB3" w:rsidRDefault="003B6DB3" w:rsidP="00E839E1">
                            <w:pPr>
                              <w:jc w:val="center"/>
                            </w:pPr>
                            <w:r>
                              <w:t>Öğretim Üyeliği İçin Yurt Dışından Davet</w:t>
                            </w:r>
                          </w:p>
                          <w:p w14:paraId="574BFD14" w14:textId="77777777" w:rsidR="003B6DB3" w:rsidRDefault="003B6DB3" w:rsidP="00E839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F68060" id="Akış Çizelgesi: Öteki İşlem 222" o:spid="_x0000_s1100" type="#_x0000_t176" style="position:absolute;left:0;text-align:left;margin-left:-388.55pt;margin-top:36.8pt;width:77.5pt;height:83.7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Ed5XAIAAIAEAAAOAAAAZHJzL2Uyb0RvYy54bWysVF1uEzEQfkfiDpbf6SZLUpJVNlXUUoRU&#10;oFLhAI7Xu2vFf4ydbNoLcIO+9gpwhrb3YuxNQwo8IfbB8njsz998n2dnJ1utyEaAl9aUdHg0oEQY&#10;bitpmpJ++Xz+akKJD8xUTFkjSnotPD2Zv3wx61whcttaVQkgCGJ80bmStiG4Iss8b4Vm/sg6YTBZ&#10;W9AsYAhNVgHrEF2rLB8MjrPOQuXAcuE9rp71STpP+HUtePhU114EokqK3EIaIY3LOGbzGSsaYK6V&#10;fEeD/QMLzaTBS/dQZywwsgb5B5SWHKy3dTjiVme2riUXqQasZjj4rZqrljmRakFxvNvL5P8fLP+4&#10;uQQiq5LmeU6JYRpNWqwefjzekftv8kaoRnhZkPvbIFaSPHx/vFNCk7gZpeucLxDhyl1CLN67C8tX&#10;nhh72jLTiAWA7VrBKiQ8jPuzZwdi4PEoWXYfbIX3snWwScVtDToCoj5km8y63psltoFwXJxORvkY&#10;LeWYGg6O8+k0uZmx4um0Ax/eCatJnJS0VrZDXhAWKggwLIjL/t2kK9nmwodIkRVP51JJVsnqXCqV&#10;AmiWpwrIhuFrOk9fqgorP9ymDOmQ3zgfJ+RnOX8IMUjf3yC0RIpESV3SyX4TK6KWb02VHm1gUvVz&#10;pKzMTtyoZ+9L2C63ydjx6yerlra6RrnB9m2AbYuT1sINJR22QEn91zUDQYl6b9Cy6XA0ij2TgtH4&#10;TY4BHGaWhxlmOEKVNFDST09D32drB7Jp8aZhksPYBdpcyyR2fAI9qx1/fObJg11Lxj46jNOuXz+O&#10;+U8AAAD//wMAUEsDBBQABgAIAAAAIQBBczld4AAAAAwBAAAPAAAAZHJzL2Rvd25yZXYueG1sTI/B&#10;ToQwEIbvJr5DMybe2AJr6MpSNhuNnryIm3gttAJZOiW0sOjTO57c48x8+ef7i8NqB7aYyfcOJSSb&#10;GJjBxukeWwmnj5doB8wHhVoNDo2Eb+PhUN7eFCrX7oLvZqlCyygEfa4kdCGMOee+6YxVfuNGg3T7&#10;cpNVgcap5XpSFwq3A0/jOONW9UgfOjWap84052q2Eta3n/pxfk2aKnS7THxul+fjiUt5f7ce98CC&#10;WcM/DH/6pA4lOdVuRu3ZICESQiTEShDbDBgRUZamtKklpA9JDLws+HWJ8hcAAP//AwBQSwECLQAU&#10;AAYACAAAACEAtoM4kv4AAADhAQAAEwAAAAAAAAAAAAAAAAAAAAAAW0NvbnRlbnRfVHlwZXNdLnht&#10;bFBLAQItABQABgAIAAAAIQA4/SH/1gAAAJQBAAALAAAAAAAAAAAAAAAAAC8BAABfcmVscy8ucmVs&#10;c1BLAQItABQABgAIAAAAIQAWYEd5XAIAAIAEAAAOAAAAAAAAAAAAAAAAAC4CAABkcnMvZTJvRG9j&#10;LnhtbFBLAQItABQABgAIAAAAIQBBczld4AAAAAwBAAAPAAAAAAAAAAAAAAAAALYEAABkcnMvZG93&#10;bnJldi54bWxQSwUGAAAAAAQABADzAAAAwwUAAAAA&#10;">
                <v:textbox>
                  <w:txbxContent>
                    <w:p w14:paraId="3D9D517D" w14:textId="77777777" w:rsidR="003B6DB3" w:rsidRDefault="003B6DB3" w:rsidP="00E839E1">
                      <w:pPr>
                        <w:jc w:val="center"/>
                      </w:pPr>
                      <w:r>
                        <w:t>Öğretim Üyeliği İçin Yurt Dışından Davet</w:t>
                      </w:r>
                    </w:p>
                    <w:p w14:paraId="574BFD14" w14:textId="77777777" w:rsidR="003B6DB3" w:rsidRDefault="003B6DB3" w:rsidP="00E839E1"/>
                  </w:txbxContent>
                </v:textbox>
              </v:shape>
            </w:pict>
          </mc:Fallback>
        </mc:AlternateContent>
      </w:r>
      <w:r w:rsidRPr="000A2E75">
        <w:rPr>
          <w:rFonts w:ascii="Times New Roman" w:hAnsi="Times New Roman" w:cs="Times New Roman"/>
        </w:rPr>
        <w:t>Katılımcılardan elde edilen veriler ışığında, beceri temelli matematik sorularının matematik ders kitabı ile ilişkisine yönelik görüşlerin aşağıdaki gibi ifade edildiği görülmektedir.</w:t>
      </w:r>
    </w:p>
    <w:p w14:paraId="675EB644" w14:textId="77777777" w:rsidR="00E839E1" w:rsidRPr="000A2E75" w:rsidRDefault="00E839E1" w:rsidP="00E839E1">
      <w:pPr>
        <w:autoSpaceDE w:val="0"/>
        <w:autoSpaceDN w:val="0"/>
        <w:adjustRightInd w:val="0"/>
        <w:spacing w:before="120" w:after="120"/>
        <w:jc w:val="both"/>
        <w:rPr>
          <w:rFonts w:ascii="Times New Roman" w:hAnsi="Times New Roman" w:cs="Times New Roman"/>
        </w:rPr>
      </w:pPr>
    </w:p>
    <w:p w14:paraId="37833116" w14:textId="77777777" w:rsidR="00E839E1" w:rsidRPr="000A2E75" w:rsidRDefault="00E839E1" w:rsidP="00E839E1">
      <w:pPr>
        <w:autoSpaceDE w:val="0"/>
        <w:autoSpaceDN w:val="0"/>
        <w:adjustRightInd w:val="0"/>
        <w:spacing w:before="120" w:after="120"/>
        <w:jc w:val="both"/>
        <w:rPr>
          <w:rFonts w:ascii="Times New Roman" w:hAnsi="Times New Roman" w:cs="Times New Roman"/>
        </w:rPr>
      </w:pPr>
    </w:p>
    <w:p w14:paraId="3EFEDF6D" w14:textId="77777777" w:rsidR="00E839E1" w:rsidRPr="000A2E75" w:rsidRDefault="00E839E1" w:rsidP="00E839E1">
      <w:pPr>
        <w:autoSpaceDE w:val="0"/>
        <w:autoSpaceDN w:val="0"/>
        <w:adjustRightInd w:val="0"/>
        <w:spacing w:before="120" w:after="120" w:line="360" w:lineRule="auto"/>
        <w:jc w:val="both"/>
        <w:rPr>
          <w:rFonts w:ascii="Times New Roman" w:hAnsi="Times New Roman" w:cs="Times New Roman"/>
          <w:i/>
        </w:rPr>
      </w:pPr>
      <w:r w:rsidRPr="000A2E75">
        <w:rPr>
          <w:rFonts w:ascii="Times New Roman" w:hAnsi="Times New Roman" w:cs="Times New Roman"/>
          <w:i/>
          <w:noProof/>
          <w:lang w:val="en-US"/>
        </w:rPr>
        <mc:AlternateContent>
          <mc:Choice Requires="wpg">
            <w:drawing>
              <wp:anchor distT="0" distB="0" distL="114300" distR="114300" simplePos="0" relativeHeight="251771904" behindDoc="0" locked="0" layoutInCell="1" allowOverlap="1" wp14:anchorId="48983A51" wp14:editId="13021F4D">
                <wp:simplePos x="0" y="0"/>
                <wp:positionH relativeFrom="column">
                  <wp:posOffset>342900</wp:posOffset>
                </wp:positionH>
                <wp:positionV relativeFrom="paragraph">
                  <wp:posOffset>-403860</wp:posOffset>
                </wp:positionV>
                <wp:extent cx="4975860" cy="1645285"/>
                <wp:effectExtent l="13970" t="5080" r="10795" b="6985"/>
                <wp:wrapNone/>
                <wp:docPr id="212" name="Gr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75860" cy="1645285"/>
                          <a:chOff x="1957" y="6766"/>
                          <a:chExt cx="7836" cy="2591"/>
                        </a:xfrm>
                      </wpg:grpSpPr>
                      <wps:wsp>
                        <wps:cNvPr id="213" name="Oval 171"/>
                        <wps:cNvSpPr>
                          <a:spLocks noChangeArrowheads="1"/>
                        </wps:cNvSpPr>
                        <wps:spPr bwMode="auto">
                          <a:xfrm>
                            <a:off x="1957" y="7177"/>
                            <a:ext cx="2160" cy="1687"/>
                          </a:xfrm>
                          <a:prstGeom prst="ellipse">
                            <a:avLst/>
                          </a:prstGeom>
                          <a:solidFill>
                            <a:srgbClr val="FFFFFF"/>
                          </a:solidFill>
                          <a:ln w="9525">
                            <a:solidFill>
                              <a:srgbClr val="000000"/>
                            </a:solidFill>
                            <a:round/>
                            <a:headEnd/>
                            <a:tailEnd/>
                          </a:ln>
                        </wps:spPr>
                        <wps:txbx>
                          <w:txbxContent>
                            <w:p w14:paraId="32F106AB" w14:textId="77777777" w:rsidR="003B6DB3" w:rsidRPr="00F36C0F" w:rsidRDefault="003B6DB3" w:rsidP="00E839E1">
                              <w:pPr>
                                <w:jc w:val="center"/>
                                <w:rPr>
                                  <w:lang w:val="fr-FR"/>
                                </w:rPr>
                              </w:pPr>
                              <w:r w:rsidRPr="00F36C0F">
                                <w:rPr>
                                  <w:lang w:val="fr-FR"/>
                                </w:rPr>
                                <w:t>Beceri Temelli Sorular ile Ders Kitabı İlişkisi</w:t>
                              </w:r>
                            </w:p>
                          </w:txbxContent>
                        </wps:txbx>
                        <wps:bodyPr rot="0" vert="horz" wrap="square" lIns="91440" tIns="45720" rIns="91440" bIns="45720" anchor="t" anchorCtr="0" upright="1">
                          <a:noAutofit/>
                        </wps:bodyPr>
                      </wps:wsp>
                      <wps:wsp>
                        <wps:cNvPr id="214" name="AutoShape 172"/>
                        <wps:cNvCnPr>
                          <a:cxnSpLocks noChangeShapeType="1"/>
                        </wps:cNvCnPr>
                        <wps:spPr bwMode="auto">
                          <a:xfrm>
                            <a:off x="4117" y="8102"/>
                            <a:ext cx="681"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5" name="AutoShape 173"/>
                        <wps:cNvCnPr>
                          <a:cxnSpLocks noChangeShapeType="1"/>
                        </wps:cNvCnPr>
                        <wps:spPr bwMode="auto">
                          <a:xfrm>
                            <a:off x="6457" y="8137"/>
                            <a:ext cx="84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6" name="AutoShape 174"/>
                        <wps:cNvCnPr>
                          <a:cxnSpLocks noChangeShapeType="1"/>
                        </wps:cNvCnPr>
                        <wps:spPr bwMode="auto">
                          <a:xfrm>
                            <a:off x="6457" y="8278"/>
                            <a:ext cx="879" cy="74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7" name="AutoShape 175"/>
                        <wps:cNvSpPr>
                          <a:spLocks noChangeArrowheads="1"/>
                        </wps:cNvSpPr>
                        <wps:spPr bwMode="auto">
                          <a:xfrm>
                            <a:off x="4798" y="7717"/>
                            <a:ext cx="1659" cy="752"/>
                          </a:xfrm>
                          <a:prstGeom prst="flowChartProcess">
                            <a:avLst/>
                          </a:prstGeom>
                          <a:solidFill>
                            <a:srgbClr val="FFFFFF"/>
                          </a:solidFill>
                          <a:ln w="9525">
                            <a:solidFill>
                              <a:srgbClr val="000000"/>
                            </a:solidFill>
                            <a:miter lim="800000"/>
                            <a:headEnd/>
                            <a:tailEnd/>
                          </a:ln>
                        </wps:spPr>
                        <wps:txbx>
                          <w:txbxContent>
                            <w:p w14:paraId="18EFD87D" w14:textId="77777777" w:rsidR="003B6DB3" w:rsidRPr="00F654B5" w:rsidRDefault="003B6DB3" w:rsidP="00E839E1">
                              <w:pPr>
                                <w:jc w:val="center"/>
                              </w:pPr>
                              <w:r w:rsidRPr="00F654B5">
                                <w:t xml:space="preserve">Uyumlu </w:t>
                              </w:r>
                            </w:p>
                            <w:p w14:paraId="445101B6" w14:textId="77777777" w:rsidR="003B6DB3" w:rsidRPr="00F654B5" w:rsidRDefault="003B6DB3" w:rsidP="00E839E1">
                              <w:pPr>
                                <w:jc w:val="center"/>
                              </w:pPr>
                              <w:r w:rsidRPr="00F654B5">
                                <w:t>Değil</w:t>
                              </w:r>
                            </w:p>
                          </w:txbxContent>
                        </wps:txbx>
                        <wps:bodyPr rot="0" vert="horz" wrap="square" lIns="91440" tIns="45720" rIns="91440" bIns="45720" anchor="t" anchorCtr="0" upright="1">
                          <a:noAutofit/>
                        </wps:bodyPr>
                      </wps:wsp>
                      <wps:wsp>
                        <wps:cNvPr id="218" name="AutoShape 176"/>
                        <wps:cNvSpPr>
                          <a:spLocks noChangeArrowheads="1"/>
                        </wps:cNvSpPr>
                        <wps:spPr bwMode="auto">
                          <a:xfrm>
                            <a:off x="7336" y="8617"/>
                            <a:ext cx="2457" cy="740"/>
                          </a:xfrm>
                          <a:prstGeom prst="flowChartAlternateProcess">
                            <a:avLst/>
                          </a:prstGeom>
                          <a:solidFill>
                            <a:srgbClr val="FFFFFF"/>
                          </a:solidFill>
                          <a:ln w="9525">
                            <a:solidFill>
                              <a:srgbClr val="000000"/>
                            </a:solidFill>
                            <a:miter lim="800000"/>
                            <a:headEnd/>
                            <a:tailEnd/>
                          </a:ln>
                        </wps:spPr>
                        <wps:txbx>
                          <w:txbxContent>
                            <w:p w14:paraId="1CA480F7" w14:textId="77777777" w:rsidR="003B6DB3" w:rsidRPr="00F654B5" w:rsidRDefault="003B6DB3" w:rsidP="00E839E1">
                              <w:pPr>
                                <w:jc w:val="center"/>
                              </w:pPr>
                              <w:r w:rsidRPr="00F654B5">
                                <w:t>Sadece kazanım odaklı</w:t>
                              </w:r>
                            </w:p>
                          </w:txbxContent>
                        </wps:txbx>
                        <wps:bodyPr rot="0" vert="horz" wrap="square" lIns="91440" tIns="45720" rIns="91440" bIns="45720" anchor="t" anchorCtr="0" upright="1">
                          <a:noAutofit/>
                        </wps:bodyPr>
                      </wps:wsp>
                      <wps:wsp>
                        <wps:cNvPr id="219" name="AutoShape 177"/>
                        <wps:cNvSpPr>
                          <a:spLocks noChangeArrowheads="1"/>
                        </wps:cNvSpPr>
                        <wps:spPr bwMode="auto">
                          <a:xfrm>
                            <a:off x="7336" y="7699"/>
                            <a:ext cx="2457" cy="738"/>
                          </a:xfrm>
                          <a:prstGeom prst="flowChartAlternateProcess">
                            <a:avLst/>
                          </a:prstGeom>
                          <a:solidFill>
                            <a:srgbClr val="FFFFFF"/>
                          </a:solidFill>
                          <a:ln w="9525">
                            <a:solidFill>
                              <a:srgbClr val="000000"/>
                            </a:solidFill>
                            <a:miter lim="800000"/>
                            <a:headEnd/>
                            <a:tailEnd/>
                          </a:ln>
                        </wps:spPr>
                        <wps:txbx>
                          <w:txbxContent>
                            <w:p w14:paraId="4E1630FE" w14:textId="77777777" w:rsidR="003B6DB3" w:rsidRPr="00F654B5" w:rsidRDefault="003B6DB3" w:rsidP="00E839E1">
                              <w:pPr>
                                <w:jc w:val="center"/>
                              </w:pPr>
                              <w:r w:rsidRPr="00F654B5">
                                <w:t>Sadece başlangıç</w:t>
                              </w:r>
                            </w:p>
                            <w:p w14:paraId="446263B4" w14:textId="77777777" w:rsidR="003B6DB3" w:rsidRPr="00F654B5" w:rsidRDefault="003B6DB3" w:rsidP="00E839E1">
                              <w:pPr>
                                <w:jc w:val="center"/>
                              </w:pPr>
                              <w:r w:rsidRPr="00F654B5">
                                <w:t xml:space="preserve"> seviyesi için yeterli</w:t>
                              </w:r>
                            </w:p>
                            <w:p w14:paraId="0D97CBA8" w14:textId="77777777" w:rsidR="003B6DB3" w:rsidRPr="00F654B5" w:rsidRDefault="003B6DB3" w:rsidP="00E839E1"/>
                          </w:txbxContent>
                        </wps:txbx>
                        <wps:bodyPr rot="0" vert="horz" wrap="square" lIns="91440" tIns="45720" rIns="91440" bIns="45720" anchor="t" anchorCtr="0" upright="1">
                          <a:noAutofit/>
                        </wps:bodyPr>
                      </wps:wsp>
                      <wps:wsp>
                        <wps:cNvPr id="220" name="AutoShape 178"/>
                        <wps:cNvCnPr>
                          <a:cxnSpLocks noChangeShapeType="1"/>
                        </wps:cNvCnPr>
                        <wps:spPr bwMode="auto">
                          <a:xfrm flipV="1">
                            <a:off x="6457" y="6997"/>
                            <a:ext cx="879" cy="88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1" name="AutoShape 179"/>
                        <wps:cNvSpPr>
                          <a:spLocks noChangeArrowheads="1"/>
                        </wps:cNvSpPr>
                        <wps:spPr bwMode="auto">
                          <a:xfrm>
                            <a:off x="7336" y="6766"/>
                            <a:ext cx="2457" cy="719"/>
                          </a:xfrm>
                          <a:prstGeom prst="flowChartAlternateProcess">
                            <a:avLst/>
                          </a:prstGeom>
                          <a:solidFill>
                            <a:srgbClr val="FFFFFF"/>
                          </a:solidFill>
                          <a:ln w="9525">
                            <a:solidFill>
                              <a:srgbClr val="000000"/>
                            </a:solidFill>
                            <a:miter lim="800000"/>
                            <a:headEnd/>
                            <a:tailEnd/>
                          </a:ln>
                        </wps:spPr>
                        <wps:txbx>
                          <w:txbxContent>
                            <w:p w14:paraId="4A8EC01F" w14:textId="77777777" w:rsidR="003B6DB3" w:rsidRPr="00F654B5" w:rsidRDefault="003B6DB3" w:rsidP="00E839E1">
                              <w:pPr>
                                <w:jc w:val="center"/>
                              </w:pPr>
                              <w:r w:rsidRPr="00F654B5">
                                <w:t>Ek kaynağa ihtiyaç var</w:t>
                              </w:r>
                            </w:p>
                            <w:p w14:paraId="616D3A9A" w14:textId="77777777" w:rsidR="003B6DB3" w:rsidRPr="00F654B5" w:rsidRDefault="003B6DB3" w:rsidP="00E839E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983A51" id="Grup 212" o:spid="_x0000_s1101" style="position:absolute;left:0;text-align:left;margin-left:27pt;margin-top:-31.8pt;width:391.8pt;height:129.55pt;z-index:251771904;mso-position-horizontal-relative:text;mso-position-vertical-relative:text" coordorigin="1957,6766" coordsize="7836,2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rqWsAQAAFYcAAAOAAAAZHJzL2Uyb0RvYy54bWzsmdtu4zYQhu8L9B0I3Sc2ZZ0RZRHYSVBg&#10;2w2w297TEmUJlUiVpCOnRd+9Q1KST2tkkSJGi3UuHFKURuTMx59D6ubDpqnRMxWy4ix18PXUQZRl&#10;PK/YKnV+/fJwFTlIKsJyUnNGU+eFSufD7Y8/3HRtQl1e8jqnAoERJpOuTZ1SqTaZTGRW0obIa95S&#10;Bo0FFw1RUBWrSS5IB9abeuJOp8Gk4yJvBc+olHB1YRudW2O/KGimPhWFpArVqQN9U+ZXmN+l/p3c&#10;3pBkJUhbVlnfDfKGXjSkYvDS0dSCKILWojoy1VSZ4JIX6jrjzYQXRZVRMwYYDZ4ejOZR8HVrxrJK&#10;ulU7uglce+CnN5vNfnl+EqjKU8fFroMYaSBIj2LdIl0H73TtKoGbHkX7uX0SdohQ/Miz3yU0Tw7b&#10;dX1lb0bL7meegz2yVtx4Z1OIRpuAcaONCcLLGAS6USiDi14c+lEAscqgDQee70a+DVNWQiz1czj2&#10;QwdBcxAGwdB23z8fRrPAPuz6MdatE5LYF5vO9p3TIwPk5Nar8t959XNJWmqCJbXDRq/OBq9+eiY1&#10;wqHpkn433DS4VFp/IsbnJWEreicE70pKcuiTHcLeA7oiIRqvOnh0VIjD0DpqcLOLtz6OTNvoJpK0&#10;QqpHyhukC6lD67pqpR4cScjzR6msU4e79GXJ6yp/qOraVMRqOa8FggGnzoP56+Owd1vNUJc6se/6&#10;xvJem9w1MTV/XzMBE4Tl0BuSaG/d92VFqtqWYUw1M5Raj9moq81yY5j3PW1Uu3PJ8xdwqOBWIUDR&#10;oFBy8aeDOlCH1JF/rImgDqp/YhCUGHuelhNT8fzQhYrYbVnuthCWganUUQ6yxbmyErRuRbUq4U3Y&#10;eIDxO5gpRWX8u+1V339g9WzQegO0ukOGbCC31wND7pxZMcg2rBeDEV5z+5eXFib+Hrv2kW9m18PY&#10;TvIIT82bSTKwG0TYznCj36e5lUoQ7d85ZwxWAi6sm08gzLjm18D03mQiZdyjRAWzvQaqYB40NAe6&#10;KKyiumRnmGbXDBvmXF+yq8pf8TS+j+4j78pzg/srb7pYXN09zL2r4AGH/mK2mM8X+G8NFfaSsspz&#10;yvTghhUOe9+mdf1aa9emcY0bHTXZt26UFmI0/DedBs3dnXp2nunR6evnRNr/GtKzYf6DGL8/0rCY&#10;DUjPDuQ40nKiV7wL0hekD/PAU6kF5Dk2YdtV6XFJOzPSbhjpybRV6SiMLdKhZ/T7otMXnd7Zqp2C&#10;GhTyGGqzA9ArxhmSZi+MYdMKUhxC1ryPNA78gWn/FaaLmnfzkgj1ZDen/8HkuakU7L3rqkmdaMyw&#10;35pJjxG6ZNJ72z9A6Rhns2k9E87hTO+HAecoOMTZNfmIzjpCSD9syjls0YfNXb8FHHG+qwEaRhT9&#10;TrgeQ3Xheo9r0MFjro1cnpvrMIjjfZne4XpmkpLTqcd3y/UYqgvXu1zrg5xjrg1EPdfvtE1EBZyx&#10;/TacBPUHpOOGERA/SEXG7DqKXkH8cgpyOQUZTqNdODg7xtvI57lle3t2Pxzr7cg2Nl26yLY4PLAe&#10;lej/Itvmmwt8vDKHgv2HNv11bLduTgO3nwNv/wEAAP//AwBQSwMEFAAGAAgAAAAhABu74ZHhAAAA&#10;CgEAAA8AAABkcnMvZG93bnJldi54bWxMj8Fqg0AQhu+FvsMyhd6S1Vptal1DCG1PIdCkEHKb6EQl&#10;7q64GzVv3+mpvc0wH/98f7acdCsG6l1jjYJwHoAgU9iyMZWC7/3HbAHCeTQlttaQghs5WOb3dxmm&#10;pR3NFw07XwkOMS5FBbX3XSqlK2rS6Oa2I8O3s+01el77SpY9jhyuW/kUBInU2Bj+UGNH65qKy+6q&#10;FXyOOK6i8H3YXM7r23Efbw+bkJR6fJhWbyA8Tf4Phl99VoecnU72akonWgXxM1fxCmZJlIBgYBG9&#10;8HBi8jWOQeaZ/F8h/wEAAP//AwBQSwECLQAUAAYACAAAACEAtoM4kv4AAADhAQAAEwAAAAAAAAAA&#10;AAAAAAAAAAAAW0NvbnRlbnRfVHlwZXNdLnhtbFBLAQItABQABgAIAAAAIQA4/SH/1gAAAJQBAAAL&#10;AAAAAAAAAAAAAAAAAC8BAABfcmVscy8ucmVsc1BLAQItABQABgAIAAAAIQDGQrqWsAQAAFYcAAAO&#10;AAAAAAAAAAAAAAAAAC4CAABkcnMvZTJvRG9jLnhtbFBLAQItABQABgAIAAAAIQAbu+GR4QAAAAoB&#10;AAAPAAAAAAAAAAAAAAAAAAoHAABkcnMvZG93bnJldi54bWxQSwUGAAAAAAQABADzAAAAGAgAAAAA&#10;">
                <v:oval id="Oval 171" o:spid="_x0000_s1102" style="position:absolute;left:1957;top:7177;width:2160;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wA4wwAAANwAAAAPAAAAZHJzL2Rvd25yZXYueG1sRI9Ba8JA&#10;FITvQv/D8gredBODUlJXkYqgBw+N7f2RfSbB7NuQfY3pv+8KQo/DzHzDrLeja9VAfWg8G0jnCSji&#10;0tuGKwNfl8PsDVQQZIutZzLwSwG2m5fJGnPr7/xJQyGVihAOORqoRbpc61DW5DDMfUccvavvHUqU&#10;faVtj/cId61eJMlKO2w4LtTY0UdN5a34cQb21a5YDTqTZXbdH2V5+z6fstSY6eu4ewclNMp/+Nk+&#10;WgOLNIPHmXgE9OYPAAD//wMAUEsBAi0AFAAGAAgAAAAhANvh9svuAAAAhQEAABMAAAAAAAAAAAAA&#10;AAAAAAAAAFtDb250ZW50X1R5cGVzXS54bWxQSwECLQAUAAYACAAAACEAWvQsW78AAAAVAQAACwAA&#10;AAAAAAAAAAAAAAAfAQAAX3JlbHMvLnJlbHNQSwECLQAUAAYACAAAACEAT48AOMMAAADcAAAADwAA&#10;AAAAAAAAAAAAAAAHAgAAZHJzL2Rvd25yZXYueG1sUEsFBgAAAAADAAMAtwAAAPcCAAAAAA==&#10;">
                  <v:textbox>
                    <w:txbxContent>
                      <w:p w14:paraId="32F106AB" w14:textId="77777777" w:rsidR="003B6DB3" w:rsidRPr="00F36C0F" w:rsidRDefault="003B6DB3" w:rsidP="00E839E1">
                        <w:pPr>
                          <w:jc w:val="center"/>
                          <w:rPr>
                            <w:lang w:val="fr-FR"/>
                          </w:rPr>
                        </w:pPr>
                        <w:r w:rsidRPr="00F36C0F">
                          <w:rPr>
                            <w:lang w:val="fr-FR"/>
                          </w:rPr>
                          <w:t>Beceri Temelli Sorular ile Ders Kitabı İlişkisi</w:t>
                        </w:r>
                      </w:p>
                    </w:txbxContent>
                  </v:textbox>
                </v:oval>
                <v:shape id="AutoShape 172" o:spid="_x0000_s1103" type="#_x0000_t32" style="position:absolute;left:4117;top:8102;width:6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N82xQAAANwAAAAPAAAAZHJzL2Rvd25yZXYueG1sRI9Ba8JA&#10;FITvgv9heYI33URENLpKKVRE6UEtob09ss8kNPs27K4a++u7BaHHYWa+YVabzjTiRs7XlhWk4wQE&#10;cWF1zaWCj/PbaA7CB2SNjWVS8CAPm3W/t8JM2zsf6XYKpYgQ9hkqqEJoMyl9UZFBP7YtcfQu1hkM&#10;UbpSaof3CDeNnCTJTBqsOS5U2NJrRcX36WoUfB4W1/yRv9M+Txf7L3TG/5y3Sg0H3csSRKAu/Ief&#10;7Z1WMEmn8HcmHgG5/gUAAP//AwBQSwECLQAUAAYACAAAACEA2+H2y+4AAACFAQAAEwAAAAAAAAAA&#10;AAAAAAAAAAAAW0NvbnRlbnRfVHlwZXNdLnhtbFBLAQItABQABgAIAAAAIQBa9CxbvwAAABUBAAAL&#10;AAAAAAAAAAAAAAAAAB8BAABfcmVscy8ucmVsc1BLAQItABQABgAIAAAAIQDWeN82xQAAANwAAAAP&#10;AAAAAAAAAAAAAAAAAAcCAABkcnMvZG93bnJldi54bWxQSwUGAAAAAAMAAwC3AAAA+QIAAAAA&#10;">
                  <v:stroke endarrow="block"/>
                </v:shape>
                <v:shape id="AutoShape 173" o:spid="_x0000_s1104" type="#_x0000_t32" style="position:absolute;left:6457;top:8137;width:8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HqtxQAAANwAAAAPAAAAZHJzL2Rvd25yZXYueG1sRI9Ba8JA&#10;FITvgv9heYI33URQNLpKKVRE6UEtob09ss8kNPs27K4a++u7BaHHYWa+YVabzjTiRs7XlhWk4wQE&#10;cWF1zaWCj/PbaA7CB2SNjWVS8CAPm3W/t8JM2zsf6XYKpYgQ9hkqqEJoMyl9UZFBP7YtcfQu1hkM&#10;UbpSaof3CDeNnCTJTBqsOS5U2NJrRcX36WoUfB4W1/yRv9M+Txf7L3TG/5y3Sg0H3csSRKAu/Ief&#10;7Z1WMEmn8HcmHgG5/gUAAP//AwBQSwECLQAUAAYACAAAACEA2+H2y+4AAACFAQAAEwAAAAAAAAAA&#10;AAAAAAAAAAAAW0NvbnRlbnRfVHlwZXNdLnhtbFBLAQItABQABgAIAAAAIQBa9CxbvwAAABUBAAAL&#10;AAAAAAAAAAAAAAAAAB8BAABfcmVscy8ucmVsc1BLAQItABQABgAIAAAAIQC5NHqtxQAAANwAAAAP&#10;AAAAAAAAAAAAAAAAAAcCAABkcnMvZG93bnJldi54bWxQSwUGAAAAAAMAAwC3AAAA+QIAAAAA&#10;">
                  <v:stroke endarrow="block"/>
                </v:shape>
                <v:shape id="AutoShape 174" o:spid="_x0000_s1105" type="#_x0000_t32" style="position:absolute;left:6457;top:8278;width:879;height:74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uTaxQAAANwAAAAPAAAAZHJzL2Rvd25yZXYueG1sRI9Pi8Iw&#10;FMTvwn6H8Ba8aVoPsnaNsizsIsoe/ENxb4/m2Rabl5JErX56Iwgeh5n5DTOdd6YRZ3K+tqwgHSYg&#10;iAuray4V7LY/gw8QPiBrbCyTgit5mM/eelPMtL3wms6bUIoIYZ+hgiqENpPSFxUZ9EPbEkfvYJ3B&#10;EKUrpXZ4iXDTyFGSjKXBmuNChS19V1QcNyejYL+anPJr/kfLPJ0s/9EZf9v+KtV/774+QQTqwiv8&#10;bC+0glE6hseZeATk7A4AAP//AwBQSwECLQAUAAYACAAAACEA2+H2y+4AAACFAQAAEwAAAAAAAAAA&#10;AAAAAAAAAAAAW0NvbnRlbnRfVHlwZXNdLnhtbFBLAQItABQABgAIAAAAIQBa9CxbvwAAABUBAAAL&#10;AAAAAAAAAAAAAAAAAB8BAABfcmVscy8ucmVsc1BLAQItABQABgAIAAAAIQBJ5uTaxQAAANwAAAAP&#10;AAAAAAAAAAAAAAAAAAcCAABkcnMvZG93bnJldi54bWxQSwUGAAAAAAMAAwC3AAAA+QIAAAAA&#10;">
                  <v:stroke endarrow="block"/>
                </v:shape>
                <v:shape id="AutoShape 175" o:spid="_x0000_s1106" type="#_x0000_t109" style="position:absolute;left:4798;top:7717;width:1659;height: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WX3xgAAANwAAAAPAAAAZHJzL2Rvd25yZXYueG1sRI9Ba8JA&#10;FITvhf6H5RV6Ed3EtioxGymFiB56aOrF2zP7TEKzb0N2jem/d4VCj8PMN8Okm9G0YqDeNZYVxLMI&#10;BHFpdcOVgsN3Pl2BcB5ZY2uZFPySg032+JBiou2Vv2gofCVCCbsEFdTed4mUrqzJoJvZjjh4Z9sb&#10;9EH2ldQ9XkO5aeU8ihbSYMNhocaOPmoqf4qLUTBfTYotf+a719Ne5/gWH4fJy16p56fxfQ3C0+j/&#10;w3/0TgcuXsL9TDgCMrsBAAD//wMAUEsBAi0AFAAGAAgAAAAhANvh9svuAAAAhQEAABMAAAAAAAAA&#10;AAAAAAAAAAAAAFtDb250ZW50X1R5cGVzXS54bWxQSwECLQAUAAYACAAAACEAWvQsW78AAAAVAQAA&#10;CwAAAAAAAAAAAAAAAAAfAQAAX3JlbHMvLnJlbHNQSwECLQAUAAYACAAAACEAyU1l98YAAADcAAAA&#10;DwAAAAAAAAAAAAAAAAAHAgAAZHJzL2Rvd25yZXYueG1sUEsFBgAAAAADAAMAtwAAAPoCAAAAAA==&#10;">
                  <v:textbox>
                    <w:txbxContent>
                      <w:p w14:paraId="18EFD87D" w14:textId="77777777" w:rsidR="003B6DB3" w:rsidRPr="00F654B5" w:rsidRDefault="003B6DB3" w:rsidP="00E839E1">
                        <w:pPr>
                          <w:jc w:val="center"/>
                        </w:pPr>
                        <w:r w:rsidRPr="00F654B5">
                          <w:t xml:space="preserve">Uyumlu </w:t>
                        </w:r>
                      </w:p>
                      <w:p w14:paraId="445101B6" w14:textId="77777777" w:rsidR="003B6DB3" w:rsidRPr="00F654B5" w:rsidRDefault="003B6DB3" w:rsidP="00E839E1">
                        <w:pPr>
                          <w:jc w:val="center"/>
                        </w:pPr>
                        <w:r w:rsidRPr="00F654B5">
                          <w:t>Değil</w:t>
                        </w:r>
                      </w:p>
                    </w:txbxContent>
                  </v:textbox>
                </v:shape>
                <v:shape id="AutoShape 176" o:spid="_x0000_s1107" type="#_x0000_t176" style="position:absolute;left:7336;top:8617;width:2457;height: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LK5wgAAANwAAAAPAAAAZHJzL2Rvd25yZXYueG1sRE/Pa8Iw&#10;FL4L/g/hCd40rYK6zijimHjwYifs+ta8NcXmpTSxVv96cxjs+PH9Xm97W4uOWl85VpBOExDEhdMV&#10;lwouX5+TFQgfkDXWjknBgzxsN8PBGjPt7nymLg+liCHsM1RgQmgyKX1hyKKfuoY4cr+utRgibEup&#10;W7zHcFvLWZIspMWKY4PBhvaGimt+swr60/Pn7XZIizyY1WL5Pe8+dhep1HjU795BBOrDv/jPfdQK&#10;ZmlcG8/EIyA3LwAAAP//AwBQSwECLQAUAAYACAAAACEA2+H2y+4AAACFAQAAEwAAAAAAAAAAAAAA&#10;AAAAAAAAW0NvbnRlbnRfVHlwZXNdLnhtbFBLAQItABQABgAIAAAAIQBa9CxbvwAAABUBAAALAAAA&#10;AAAAAAAAAAAAAB8BAABfcmVscy8ucmVsc1BLAQItABQABgAIAAAAIQAHXLK5wgAAANwAAAAPAAAA&#10;AAAAAAAAAAAAAAcCAABkcnMvZG93bnJldi54bWxQSwUGAAAAAAMAAwC3AAAA9gIAAAAA&#10;">
                  <v:textbox>
                    <w:txbxContent>
                      <w:p w14:paraId="1CA480F7" w14:textId="77777777" w:rsidR="003B6DB3" w:rsidRPr="00F654B5" w:rsidRDefault="003B6DB3" w:rsidP="00E839E1">
                        <w:pPr>
                          <w:jc w:val="center"/>
                        </w:pPr>
                        <w:r w:rsidRPr="00F654B5">
                          <w:t>Sadece kazanım odaklı</w:t>
                        </w:r>
                      </w:p>
                    </w:txbxContent>
                  </v:textbox>
                </v:shape>
                <v:shape id="AutoShape 177" o:spid="_x0000_s1108" type="#_x0000_t176" style="position:absolute;left:7336;top:7699;width:2457;height: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BcixQAAANwAAAAPAAAAZHJzL2Rvd25yZXYueG1sRI9Ba8JA&#10;FITvBf/D8gRvdRMFq9FVxFLpwUtTwesz+8wGs29Ddo2xv94tFHocZuYbZrXpbS06an3lWEE6TkAQ&#10;F05XXCo4fn+8zkH4gKyxdkwKHuRhsx68rDDT7s5f1OWhFBHCPkMFJoQmk9IXhiz6sWuIo3dxrcUQ&#10;ZVtK3eI9wm0tJ0kykxYrjgsGG9oZKq75zSroDz/nxW2fFnkw89nbadq9b49SqdGw3y5BBOrDf/iv&#10;/akVTNIF/J6JR0CunwAAAP//AwBQSwECLQAUAAYACAAAACEA2+H2y+4AAACFAQAAEwAAAAAAAAAA&#10;AAAAAAAAAAAAW0NvbnRlbnRfVHlwZXNdLnhtbFBLAQItABQABgAIAAAAIQBa9CxbvwAAABUBAAAL&#10;AAAAAAAAAAAAAAAAAB8BAABfcmVscy8ucmVsc1BLAQItABQABgAIAAAAIQBoEBcixQAAANwAAAAP&#10;AAAAAAAAAAAAAAAAAAcCAABkcnMvZG93bnJldi54bWxQSwUGAAAAAAMAAwC3AAAA+QIAAAAA&#10;">
                  <v:textbox>
                    <w:txbxContent>
                      <w:p w14:paraId="4E1630FE" w14:textId="77777777" w:rsidR="003B6DB3" w:rsidRPr="00F654B5" w:rsidRDefault="003B6DB3" w:rsidP="00E839E1">
                        <w:pPr>
                          <w:jc w:val="center"/>
                        </w:pPr>
                        <w:r w:rsidRPr="00F654B5">
                          <w:t>Sadece başlangıç</w:t>
                        </w:r>
                      </w:p>
                      <w:p w14:paraId="446263B4" w14:textId="77777777" w:rsidR="003B6DB3" w:rsidRPr="00F654B5" w:rsidRDefault="003B6DB3" w:rsidP="00E839E1">
                        <w:pPr>
                          <w:jc w:val="center"/>
                        </w:pPr>
                        <w:r w:rsidRPr="00F654B5">
                          <w:t xml:space="preserve"> seviyesi için yeterli</w:t>
                        </w:r>
                      </w:p>
                      <w:p w14:paraId="0D97CBA8" w14:textId="77777777" w:rsidR="003B6DB3" w:rsidRPr="00F654B5" w:rsidRDefault="003B6DB3" w:rsidP="00E839E1"/>
                    </w:txbxContent>
                  </v:textbox>
                </v:shape>
                <v:shape id="AutoShape 178" o:spid="_x0000_s1109" type="#_x0000_t32" style="position:absolute;left:6457;top:6997;width:879;height:88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ljLvwAAANwAAAAPAAAAZHJzL2Rvd25yZXYueG1sRE/LisIw&#10;FN0L8w/hDrjTdAqKdIwyIwyIG/EBzvLSXNtgc1Oa2NS/NwvB5eG8l+vBNqKnzhvHCr6mGQji0mnD&#10;lYLz6W+yAOEDssbGMSl4kIf16mO0xEK7yAfqj6ESKYR9gQrqENpCSl/WZNFPXUucuKvrLIYEu0rq&#10;DmMKt43Ms2wuLRpODTW2tKmpvB3vVoGJe9O320383V3+vY5kHjNnlBp/Dj/fIAIN4S1+ubdaQZ6n&#10;+elMOgJy9QQAAP//AwBQSwECLQAUAAYACAAAACEA2+H2y+4AAACFAQAAEwAAAAAAAAAAAAAAAAAA&#10;AAAAW0NvbnRlbnRfVHlwZXNdLnhtbFBLAQItABQABgAIAAAAIQBa9CxbvwAAABUBAAALAAAAAAAA&#10;AAAAAAAAAB8BAABfcmVscy8ucmVsc1BLAQItABQABgAIAAAAIQB2PljLvwAAANwAAAAPAAAAAAAA&#10;AAAAAAAAAAcCAABkcnMvZG93bnJldi54bWxQSwUGAAAAAAMAAwC3AAAA8wIAAAAA&#10;">
                  <v:stroke endarrow="block"/>
                </v:shape>
                <v:shape id="AutoShape 179" o:spid="_x0000_s1110" type="#_x0000_t176" style="position:absolute;left:7336;top:6766;width:2457;height: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tGZxQAAANwAAAAPAAAAZHJzL2Rvd25yZXYueG1sRI9Ba8JA&#10;FITvBf/D8gRvdZMI1qauIpZKD14aBa+v2ddsMPs2ZNcY++vdQsHjMDPfMMv1YBvRU+drxwrSaQKC&#10;uHS65krB8fDxvADhA7LGxjEpuJGH9Wr0tMRcuyt/UV+ESkQI+xwVmBDaXEpfGrLop64ljt6P6yyG&#10;KLtK6g6vEW4bmSXJXFqsOS4YbGlrqDwXF6tg2P9+v152aVkEs5i/nGb9++YolZqMh80biEBDeIT/&#10;259aQZal8HcmHgG5ugMAAP//AwBQSwECLQAUAAYACAAAACEA2+H2y+4AAACFAQAAEwAAAAAAAAAA&#10;AAAAAAAAAAAAW0NvbnRlbnRfVHlwZXNdLnhtbFBLAQItABQABgAIAAAAIQBa9CxbvwAAABUBAAAL&#10;AAAAAAAAAAAAAAAAAB8BAABfcmVscy8ucmVsc1BLAQItABQABgAIAAAAIQBYCtGZxQAAANwAAAAP&#10;AAAAAAAAAAAAAAAAAAcCAABkcnMvZG93bnJldi54bWxQSwUGAAAAAAMAAwC3AAAA+QIAAAAA&#10;">
                  <v:textbox>
                    <w:txbxContent>
                      <w:p w14:paraId="4A8EC01F" w14:textId="77777777" w:rsidR="003B6DB3" w:rsidRPr="00F654B5" w:rsidRDefault="003B6DB3" w:rsidP="00E839E1">
                        <w:pPr>
                          <w:jc w:val="center"/>
                        </w:pPr>
                        <w:r w:rsidRPr="00F654B5">
                          <w:t>Ek kaynağa ihtiyaç var</w:t>
                        </w:r>
                      </w:p>
                      <w:p w14:paraId="616D3A9A" w14:textId="77777777" w:rsidR="003B6DB3" w:rsidRPr="00F654B5" w:rsidRDefault="003B6DB3" w:rsidP="00E839E1"/>
                    </w:txbxContent>
                  </v:textbox>
                </v:shape>
              </v:group>
            </w:pict>
          </mc:Fallback>
        </mc:AlternateContent>
      </w:r>
    </w:p>
    <w:p w14:paraId="52CE288C" w14:textId="77777777" w:rsidR="00E839E1" w:rsidRPr="000A2E75" w:rsidRDefault="00E839E1" w:rsidP="00E839E1">
      <w:pPr>
        <w:rPr>
          <w:rFonts w:ascii="Times New Roman" w:hAnsi="Times New Roman" w:cs="Times New Roman"/>
        </w:rPr>
      </w:pPr>
    </w:p>
    <w:p w14:paraId="49F6556E" w14:textId="77777777" w:rsidR="00E839E1" w:rsidRPr="000A2E75" w:rsidRDefault="00E839E1" w:rsidP="00E839E1">
      <w:pPr>
        <w:rPr>
          <w:rFonts w:ascii="Times New Roman" w:hAnsi="Times New Roman" w:cs="Times New Roman"/>
        </w:rPr>
      </w:pPr>
    </w:p>
    <w:p w14:paraId="0A383D3F" w14:textId="77777777" w:rsidR="00E839E1" w:rsidRPr="000A2E75" w:rsidRDefault="00E839E1" w:rsidP="00E839E1">
      <w:pPr>
        <w:rPr>
          <w:rFonts w:ascii="Times New Roman" w:hAnsi="Times New Roman" w:cs="Times New Roman"/>
        </w:rPr>
      </w:pPr>
    </w:p>
    <w:p w14:paraId="2A925D06" w14:textId="77777777" w:rsidR="00E839E1" w:rsidRPr="000A2E75" w:rsidRDefault="00E839E1" w:rsidP="00E839E1">
      <w:pPr>
        <w:rPr>
          <w:rFonts w:ascii="Times New Roman" w:hAnsi="Times New Roman" w:cs="Times New Roman"/>
        </w:rPr>
      </w:pPr>
    </w:p>
    <w:p w14:paraId="4C077F6D" w14:textId="77777777" w:rsidR="00E839E1" w:rsidRPr="000A2E75" w:rsidRDefault="00E839E1" w:rsidP="00E839E1">
      <w:pPr>
        <w:rPr>
          <w:rFonts w:ascii="Times New Roman" w:hAnsi="Times New Roman" w:cs="Times New Roman"/>
        </w:rPr>
      </w:pPr>
    </w:p>
    <w:p w14:paraId="56B0670A" w14:textId="77777777" w:rsidR="00E839E1" w:rsidRPr="000A2E75" w:rsidRDefault="00E839E1" w:rsidP="00E839E1">
      <w:pPr>
        <w:autoSpaceDE w:val="0"/>
        <w:autoSpaceDN w:val="0"/>
        <w:adjustRightInd w:val="0"/>
        <w:spacing w:before="120" w:after="120"/>
        <w:jc w:val="center"/>
        <w:rPr>
          <w:rFonts w:ascii="Times New Roman" w:hAnsi="Times New Roman" w:cs="Times New Roman"/>
        </w:rPr>
      </w:pPr>
    </w:p>
    <w:p w14:paraId="486DE0CB" w14:textId="77777777" w:rsidR="00E839E1" w:rsidRPr="000A2E75" w:rsidRDefault="00E839E1" w:rsidP="00E839E1">
      <w:pPr>
        <w:autoSpaceDE w:val="0"/>
        <w:autoSpaceDN w:val="0"/>
        <w:adjustRightInd w:val="0"/>
        <w:spacing w:before="120" w:after="120"/>
        <w:jc w:val="center"/>
        <w:rPr>
          <w:rFonts w:ascii="Times New Roman" w:hAnsi="Times New Roman" w:cs="Times New Roman"/>
        </w:rPr>
      </w:pPr>
    </w:p>
    <w:p w14:paraId="3A55B6BF" w14:textId="77777777" w:rsidR="00E839E1" w:rsidRPr="000A2E75" w:rsidRDefault="00E839E1" w:rsidP="00E839E1">
      <w:pPr>
        <w:autoSpaceDE w:val="0"/>
        <w:autoSpaceDN w:val="0"/>
        <w:adjustRightInd w:val="0"/>
        <w:spacing w:before="120" w:after="120"/>
        <w:jc w:val="center"/>
        <w:rPr>
          <w:rFonts w:ascii="Times New Roman" w:hAnsi="Times New Roman" w:cs="Times New Roman"/>
        </w:rPr>
      </w:pPr>
      <w:r w:rsidRPr="000A2E75">
        <w:rPr>
          <w:rFonts w:ascii="Times New Roman" w:hAnsi="Times New Roman" w:cs="Times New Roman"/>
        </w:rPr>
        <w:t>Şekil 3. Beceri Temelli Soruların Ders Kitabı İlişkisine Yönelik Görüşler</w:t>
      </w:r>
    </w:p>
    <w:p w14:paraId="05507F8D" w14:textId="77777777" w:rsidR="00E839E1" w:rsidRPr="000A2E75" w:rsidRDefault="00E839E1" w:rsidP="00E839E1">
      <w:pPr>
        <w:autoSpaceDE w:val="0"/>
        <w:autoSpaceDN w:val="0"/>
        <w:adjustRightInd w:val="0"/>
        <w:spacing w:before="120" w:after="120"/>
        <w:jc w:val="both"/>
        <w:rPr>
          <w:rFonts w:ascii="Times New Roman" w:hAnsi="Times New Roman" w:cs="Times New Roman"/>
        </w:rPr>
      </w:pPr>
      <w:r w:rsidRPr="000A2E75">
        <w:rPr>
          <w:rFonts w:ascii="Times New Roman" w:hAnsi="Times New Roman" w:cs="Times New Roman"/>
        </w:rPr>
        <w:t xml:space="preserve">Şekil 3’de yer alan katılımcı görüşleri ışığında yapılan analiz sonrasında; katılımcıların tamamı beceri temelli sorular ile matematik ders kitabı arasında istendik şekilde ilişki olmadığını dile getirmektedirler. Bazı katılımcılar beceri temelli soruların </w:t>
      </w:r>
      <w:r w:rsidRPr="000A2E75">
        <w:rPr>
          <w:rFonts w:ascii="Times New Roman" w:hAnsi="Times New Roman" w:cs="Times New Roman"/>
          <w:i/>
        </w:rPr>
        <w:t>başlangıç düzeyine</w:t>
      </w:r>
      <w:r w:rsidRPr="000A2E75">
        <w:rPr>
          <w:rFonts w:ascii="Times New Roman" w:hAnsi="Times New Roman" w:cs="Times New Roman"/>
        </w:rPr>
        <w:t xml:space="preserve"> </w:t>
      </w:r>
      <w:r w:rsidRPr="000A2E75">
        <w:rPr>
          <w:rFonts w:ascii="Times New Roman" w:hAnsi="Times New Roman" w:cs="Times New Roman"/>
          <w:i/>
        </w:rPr>
        <w:t>yönelik</w:t>
      </w:r>
      <w:r w:rsidRPr="000A2E75">
        <w:rPr>
          <w:rFonts w:ascii="Times New Roman" w:hAnsi="Times New Roman" w:cs="Times New Roman"/>
        </w:rPr>
        <w:t xml:space="preserve"> soruların ders kitabında yer aldığını beyan etmesine karşın bazı katılımcılar matematik ders kitabının </w:t>
      </w:r>
      <w:r w:rsidRPr="000A2E75">
        <w:rPr>
          <w:rFonts w:ascii="Times New Roman" w:hAnsi="Times New Roman" w:cs="Times New Roman"/>
          <w:i/>
        </w:rPr>
        <w:t>kazanım odaklı</w:t>
      </w:r>
      <w:r w:rsidRPr="000A2E75">
        <w:rPr>
          <w:rFonts w:ascii="Times New Roman" w:hAnsi="Times New Roman" w:cs="Times New Roman"/>
        </w:rPr>
        <w:t xml:space="preserve"> olarak oluşturulduğunu, beceri temelli sorular için ders kitabının tamamlayıcısı olarak kesinlikle </w:t>
      </w:r>
      <w:r w:rsidRPr="000A2E75">
        <w:rPr>
          <w:rFonts w:ascii="Times New Roman" w:hAnsi="Times New Roman" w:cs="Times New Roman"/>
          <w:i/>
        </w:rPr>
        <w:t>ek kaynağa ihtiyaç</w:t>
      </w:r>
      <w:r w:rsidRPr="000A2E75">
        <w:rPr>
          <w:rFonts w:ascii="Times New Roman" w:hAnsi="Times New Roman" w:cs="Times New Roman"/>
        </w:rPr>
        <w:t xml:space="preserve"> duyulduğunu dile getirmektedirler.</w:t>
      </w:r>
    </w:p>
    <w:p w14:paraId="7C3A069B" w14:textId="77777777" w:rsidR="00E839E1" w:rsidRPr="000A2E75" w:rsidRDefault="00E839E1" w:rsidP="00E839E1">
      <w:pPr>
        <w:autoSpaceDE w:val="0"/>
        <w:autoSpaceDN w:val="0"/>
        <w:adjustRightInd w:val="0"/>
        <w:spacing w:before="120" w:after="120"/>
        <w:jc w:val="both"/>
        <w:rPr>
          <w:rFonts w:ascii="Times New Roman" w:hAnsi="Times New Roman" w:cs="Times New Roman"/>
          <w:i/>
        </w:rPr>
      </w:pPr>
      <w:r w:rsidRPr="000A2E75">
        <w:rPr>
          <w:rFonts w:ascii="Times New Roman" w:hAnsi="Times New Roman" w:cs="Times New Roman"/>
          <w:i/>
        </w:rPr>
        <w:t>Uyumlu Değil</w:t>
      </w:r>
    </w:p>
    <w:p w14:paraId="591C65F6" w14:textId="77777777" w:rsidR="00E839E1" w:rsidRPr="000A2E75" w:rsidRDefault="00E839E1" w:rsidP="00E839E1">
      <w:pPr>
        <w:spacing w:before="120" w:after="120"/>
        <w:jc w:val="both"/>
        <w:rPr>
          <w:rFonts w:ascii="Times New Roman" w:hAnsi="Times New Roman" w:cs="Times New Roman"/>
          <w:lang w:eastAsia="tr-TR"/>
        </w:rPr>
      </w:pPr>
      <w:r w:rsidRPr="000A2E75">
        <w:rPr>
          <w:rFonts w:ascii="Times New Roman" w:hAnsi="Times New Roman" w:cs="Times New Roman"/>
          <w:iCs/>
        </w:rPr>
        <w:t>Katılımcıların bazıları beceri temelli sorular ile matematik ders kitabının sadece başlangıç düzeyindeki sorulara yönelik bir uyumundan bahsedileceğini “</w:t>
      </w:r>
      <w:r w:rsidRPr="000A2E75">
        <w:rPr>
          <w:rFonts w:ascii="Times New Roman" w:hAnsi="Times New Roman" w:cs="Times New Roman"/>
          <w:bCs/>
          <w:i/>
          <w:lang w:eastAsia="tr-TR"/>
        </w:rPr>
        <w:t>Tabi ki bu tip soruları çözmek için kitabın yetersiz olduğunu düşünüyorum. Kitaptaki sorular ancak başlangıç seviyesindeki soruları çözebilmek için yol gösterici. Zaten ders kitabı sadece nitelikli okullara yerleşecek çocuklar için değil.</w:t>
      </w:r>
      <w:r w:rsidRPr="000A2E75">
        <w:rPr>
          <w:rFonts w:ascii="Times New Roman" w:hAnsi="Times New Roman" w:cs="Times New Roman"/>
          <w:bCs/>
          <w:lang w:eastAsia="tr-TR"/>
        </w:rPr>
        <w:t>” (K-3) ve “</w:t>
      </w:r>
      <w:r w:rsidRPr="000A2E75">
        <w:rPr>
          <w:rFonts w:ascii="Times New Roman" w:hAnsi="Times New Roman" w:cs="Times New Roman"/>
          <w:bCs/>
          <w:i/>
          <w:lang w:eastAsia="tr-TR"/>
        </w:rPr>
        <w:t>Belki soruların başlangıç seviyelerine yönelik bilgiler kitaplarda yer alıyor denebilir. Dahası yok ama</w:t>
      </w:r>
      <w:r w:rsidRPr="000A2E75">
        <w:rPr>
          <w:rFonts w:ascii="Times New Roman" w:hAnsi="Times New Roman" w:cs="Times New Roman"/>
          <w:bCs/>
          <w:lang w:eastAsia="tr-TR"/>
        </w:rPr>
        <w:t xml:space="preserve">.” (K-8) cümleleri ile ifade etmişlerdir. Diğer yandan </w:t>
      </w:r>
      <w:r w:rsidRPr="000A2E75">
        <w:rPr>
          <w:rFonts w:ascii="Times New Roman" w:hAnsi="Times New Roman" w:cs="Times New Roman"/>
          <w:iCs/>
        </w:rPr>
        <w:t>beceri temelli sorular ile matematik ders kitabının uyumlu olmadığını ve ek kaynağa ihtiyaç durulduğunu dile getiren katılımcılar bu düşüncelerini “</w:t>
      </w:r>
      <w:r w:rsidRPr="000A2E75">
        <w:rPr>
          <w:rFonts w:ascii="Times New Roman" w:hAnsi="Times New Roman" w:cs="Times New Roman"/>
          <w:i/>
          <w:lang w:eastAsia="tr-TR"/>
        </w:rPr>
        <w:t>Ders kitabı kesinlikle yeni nesil sorular için yeterli değil. M</w:t>
      </w:r>
      <w:r w:rsidRPr="000A2E75">
        <w:rPr>
          <w:rFonts w:ascii="Times New Roman" w:hAnsi="Times New Roman" w:cs="Times New Roman"/>
          <w:i/>
        </w:rPr>
        <w:t>EB’</w:t>
      </w:r>
      <w:r w:rsidRPr="000A2E75">
        <w:rPr>
          <w:rFonts w:ascii="Times New Roman" w:hAnsi="Times New Roman" w:cs="Times New Roman"/>
          <w:i/>
          <w:lang w:eastAsia="tr-TR"/>
        </w:rPr>
        <w:t xml:space="preserve"> in yayımladığı beceri temelli sorular testleri ile birlikte düşünürsek bu oran biraz daha artabilir ama yardımcı kaynak olmadan asla yeterli değil.”</w:t>
      </w:r>
      <w:r w:rsidRPr="000A2E75">
        <w:rPr>
          <w:rFonts w:ascii="Times New Roman" w:hAnsi="Times New Roman" w:cs="Times New Roman"/>
          <w:bCs/>
          <w:lang w:eastAsia="tr-TR"/>
        </w:rPr>
        <w:t xml:space="preserve"> (K-4) ve “</w:t>
      </w:r>
      <w:r w:rsidRPr="000A2E75">
        <w:rPr>
          <w:rFonts w:ascii="Times New Roman" w:eastAsia="Palatino Linotype" w:hAnsi="Times New Roman" w:cs="Times New Roman"/>
          <w:i/>
        </w:rPr>
        <w:t>Devletin öğrencilere verdiği ders kitabı yeterli değil. Öğrenci o kitabın yanında mutlaka ek kaynak kullanmalı</w:t>
      </w:r>
      <w:r w:rsidRPr="000A2E75">
        <w:rPr>
          <w:rFonts w:ascii="Times New Roman" w:eastAsia="Palatino Linotype" w:hAnsi="Times New Roman" w:cs="Times New Roman"/>
        </w:rPr>
        <w:t>.”</w:t>
      </w:r>
      <w:r w:rsidRPr="000A2E75">
        <w:rPr>
          <w:rFonts w:ascii="Times New Roman" w:hAnsi="Times New Roman" w:cs="Times New Roman"/>
          <w:bCs/>
        </w:rPr>
        <w:t xml:space="preserve"> </w:t>
      </w:r>
      <w:r w:rsidRPr="000A2E75">
        <w:rPr>
          <w:rFonts w:ascii="Times New Roman" w:hAnsi="Times New Roman" w:cs="Times New Roman"/>
          <w:bCs/>
          <w:lang w:eastAsia="tr-TR"/>
        </w:rPr>
        <w:t>(</w:t>
      </w:r>
      <w:r w:rsidRPr="000A2E75">
        <w:rPr>
          <w:rFonts w:ascii="Times New Roman" w:hAnsi="Times New Roman" w:cs="Times New Roman"/>
          <w:bCs/>
        </w:rPr>
        <w:t>K-1</w:t>
      </w:r>
      <w:r w:rsidRPr="000A2E75">
        <w:rPr>
          <w:rFonts w:ascii="Times New Roman" w:hAnsi="Times New Roman" w:cs="Times New Roman"/>
          <w:bCs/>
          <w:lang w:eastAsia="tr-TR"/>
        </w:rPr>
        <w:t>)</w:t>
      </w:r>
      <w:r w:rsidRPr="000A2E75">
        <w:rPr>
          <w:rFonts w:ascii="Times New Roman" w:hAnsi="Times New Roman" w:cs="Times New Roman"/>
          <w:bCs/>
        </w:rPr>
        <w:t xml:space="preserve"> şeklindeki ifadelerle dile getirmektedirler. Matematik ders kitabı ile </w:t>
      </w:r>
      <w:r w:rsidRPr="000A2E75">
        <w:rPr>
          <w:rFonts w:ascii="Times New Roman" w:hAnsi="Times New Roman" w:cs="Times New Roman"/>
          <w:iCs/>
        </w:rPr>
        <w:t>beceri temelli sorular arasındaki uyumun olmadığı dile getiren bazı katılımcılar ise bunun kitapların sadece kazanım odaklı hazırlandığından kaynaklandığını ve bu durumdan dolayı beceri temelli sorulara yönelik kitapların yeterli seviyede oluşturulamadığı “</w:t>
      </w:r>
      <w:r w:rsidRPr="000A2E75">
        <w:rPr>
          <w:rFonts w:ascii="Times New Roman" w:hAnsi="Times New Roman" w:cs="Times New Roman"/>
          <w:i/>
          <w:lang w:eastAsia="tr-TR"/>
        </w:rPr>
        <w:t>Matematik ders kitabı sadece konuyu anlatıyor yeni nesil sorularla uyumlu olduğunu düşünmüyorum.</w:t>
      </w:r>
      <w:r w:rsidRPr="000A2E75">
        <w:rPr>
          <w:rFonts w:ascii="Times New Roman" w:hAnsi="Times New Roman" w:cs="Times New Roman"/>
          <w:lang w:eastAsia="tr-TR"/>
        </w:rPr>
        <w:t>”</w:t>
      </w:r>
      <w:r w:rsidRPr="000A2E75">
        <w:rPr>
          <w:rFonts w:ascii="Times New Roman" w:hAnsi="Times New Roman" w:cs="Times New Roman"/>
          <w:bCs/>
          <w:lang w:eastAsia="tr-TR"/>
        </w:rPr>
        <w:t xml:space="preserve"> (</w:t>
      </w:r>
      <w:r w:rsidRPr="000A2E75">
        <w:rPr>
          <w:rFonts w:ascii="Times New Roman" w:hAnsi="Times New Roman" w:cs="Times New Roman"/>
          <w:bCs/>
        </w:rPr>
        <w:t>K-2</w:t>
      </w:r>
      <w:r w:rsidRPr="000A2E75">
        <w:rPr>
          <w:rFonts w:ascii="Times New Roman" w:hAnsi="Times New Roman" w:cs="Times New Roman"/>
          <w:bCs/>
          <w:lang w:eastAsia="tr-TR"/>
        </w:rPr>
        <w:t>) ve “</w:t>
      </w:r>
      <w:r w:rsidRPr="000A2E75">
        <w:rPr>
          <w:rFonts w:ascii="Times New Roman" w:hAnsi="Times New Roman" w:cs="Times New Roman"/>
          <w:bCs/>
          <w:i/>
          <w:lang w:eastAsia="tr-TR"/>
        </w:rPr>
        <w:t>Kitaplardaki amaç kazanımları örneklendirerek vermek. Bu sorulara yönelik bir amaçla hazırlandığını düşünmüyorum</w:t>
      </w:r>
      <w:r w:rsidRPr="000A2E75">
        <w:rPr>
          <w:rFonts w:ascii="Times New Roman" w:hAnsi="Times New Roman" w:cs="Times New Roman"/>
          <w:bCs/>
          <w:lang w:eastAsia="tr-TR"/>
        </w:rPr>
        <w:t>.”(K-7) şeklindeki ifadelerle de görülmektedir.</w:t>
      </w:r>
    </w:p>
    <w:p w14:paraId="31807FBC" w14:textId="77777777" w:rsidR="00E839E1" w:rsidRPr="000A2E75" w:rsidRDefault="00E839E1" w:rsidP="00E839E1">
      <w:pPr>
        <w:spacing w:before="120" w:after="120"/>
        <w:jc w:val="both"/>
        <w:rPr>
          <w:rFonts w:ascii="Times New Roman" w:hAnsi="Times New Roman" w:cs="Times New Roman"/>
          <w:i/>
          <w:lang w:eastAsia="tr-TR"/>
        </w:rPr>
      </w:pPr>
      <w:r w:rsidRPr="000A2E75">
        <w:rPr>
          <w:rFonts w:ascii="Times New Roman" w:hAnsi="Times New Roman" w:cs="Times New Roman"/>
          <w:i/>
        </w:rPr>
        <w:t>BECERİ TEMELLİ SORULAR İLE KULLANILAN YÖNTEM/TEKNİK/STRATEJİ İLİŞKİSİ</w:t>
      </w:r>
    </w:p>
    <w:p w14:paraId="29B12252" w14:textId="798F2BF4" w:rsidR="00E839E1" w:rsidRDefault="00E839E1" w:rsidP="00E839E1">
      <w:pPr>
        <w:autoSpaceDE w:val="0"/>
        <w:autoSpaceDN w:val="0"/>
        <w:adjustRightInd w:val="0"/>
        <w:spacing w:before="120" w:after="120"/>
        <w:jc w:val="both"/>
        <w:rPr>
          <w:rFonts w:ascii="Times New Roman" w:hAnsi="Times New Roman" w:cs="Times New Roman"/>
        </w:rPr>
      </w:pPr>
      <w:r w:rsidRPr="000A2E75">
        <w:rPr>
          <w:rFonts w:ascii="Times New Roman" w:hAnsi="Times New Roman" w:cs="Times New Roman"/>
          <w:noProof/>
          <w:lang w:val="en-US"/>
        </w:rPr>
        <mc:AlternateContent>
          <mc:Choice Requires="wps">
            <w:drawing>
              <wp:anchor distT="0" distB="0" distL="114300" distR="114300" simplePos="0" relativeHeight="251772928" behindDoc="0" locked="0" layoutInCell="1" allowOverlap="1" wp14:anchorId="537799B3" wp14:editId="2E5041DE">
                <wp:simplePos x="0" y="0"/>
                <wp:positionH relativeFrom="column">
                  <wp:posOffset>-4934585</wp:posOffset>
                </wp:positionH>
                <wp:positionV relativeFrom="paragraph">
                  <wp:posOffset>1619885</wp:posOffset>
                </wp:positionV>
                <wp:extent cx="984250" cy="1062990"/>
                <wp:effectExtent l="13335" t="11430" r="12065" b="11430"/>
                <wp:wrapNone/>
                <wp:docPr id="211" name="Akış Çizelgesi: Öteki İşlem 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0" cy="1062990"/>
                        </a:xfrm>
                        <a:prstGeom prst="flowChartAlternateProcess">
                          <a:avLst/>
                        </a:prstGeom>
                        <a:solidFill>
                          <a:srgbClr val="FFFFFF"/>
                        </a:solidFill>
                        <a:ln w="9525">
                          <a:solidFill>
                            <a:srgbClr val="000000"/>
                          </a:solidFill>
                          <a:miter lim="800000"/>
                          <a:headEnd/>
                          <a:tailEnd/>
                        </a:ln>
                      </wps:spPr>
                      <wps:txbx>
                        <w:txbxContent>
                          <w:p w14:paraId="3A1678D9" w14:textId="77777777" w:rsidR="003B6DB3" w:rsidRDefault="003B6DB3" w:rsidP="00E839E1">
                            <w:pPr>
                              <w:spacing w:before="240"/>
                              <w:jc w:val="center"/>
                            </w:pPr>
                            <w:r>
                              <w:t>Lisansüstü Eğitim İçin Gönderme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7799B3" id="Akış Çizelgesi: Öteki İşlem 211" o:spid="_x0000_s1111" type="#_x0000_t176" style="position:absolute;left:0;text-align:left;margin-left:-388.55pt;margin-top:127.55pt;width:77.5pt;height:83.7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4zHWwIAAIAEAAAOAAAAZHJzL2Uyb0RvYy54bWysVEtu2zAQ3RfoHQjuG1mCncaC5cBw6qJA&#10;2hpIewCKoiQi/HVIW04u0Bt0myu0Z0hyr46o2HXaropqQXA4nDdv3nA0O99pRbYCvLSmoOnJiBJh&#10;uK2kaQr6+dPq1RklPjBTMWWNKOiN8PR8/vLFrHO5yGxrVSWAIIjxeecK2obg8iTxvBWa+RPrhEFn&#10;bUGzgCY0SQWsQ3Stkmw0Ok06C5UDy4X3eHoxOOk84te14OFjXXsRiCoocgtxhbiW/ZrMZyxvgLlW&#10;8ica7B9YaCYNJj1AXbDAyAbkH1BacrDe1uGEW53YupZcxBqwmnT0WzVXLXMi1oLieHeQyf8/WP5h&#10;uwYiq4JmaUqJYRqbtLh++PF4R+6/yluhGuFlTu6/BXEtycP3xzslNOkvo3Sd8zkiXLk19MV7d2n5&#10;tSfGLltmGrEAsF0rWIWE4/3kWUBveAwlZffeVpiXbYKNKu5q0D0g6kN2sVk3h2aJXSAcD6dn42yC&#10;LeXoSken2XQau5mwfB/twIe3wmrSbwpaK9shLwgLFQQYFsR6eDcxJdte+oAlYfw+LpZklaxWUqlo&#10;QFMuFZAtw9e0il+vAob442vKkA75TbJJRH7m88cQo/j9DUJLpEiU1AU9O1xiea/lG1PFRxuYVMMe&#10;8yuDNPZ6Dn0Ju3IXGzuZ7ltV2uoG5QY7jAGOLW5aC7eUdDgCBfVfNgwEJeqdwZZN0/G4n5lojCev&#10;MzTg2FMee5jhCFXQQMmwXYZhzjYOZNNipjTKYewC21zLKHZPeWD1xB+feRT0aST7OTq2461fP475&#10;TwAAAP//AwBQSwMEFAAGAAgAAAAhAP4NYCvgAAAADQEAAA8AAABkcnMvZG93bnJldi54bWxMj8FO&#10;hDAQhu8mvkMzJt7YQhVYkbLZaPTkRdzEa6EViHRKaGHRp3c86e2fzJd/vikPmx3ZamY/OJSQ7GJg&#10;BlunB+wknN6eoj0wHxRqNTo0Er6Mh0N1eVGqQrszvpq1Dh2jEvSFktCHMBWc+7Y3VvmdmwzS7sPN&#10;VgUa547rWZ2p3I5cxHHGrRqQLvRqMg+9aT/rxUrYXr6bu+U5aevQ77P8/WZ9PJ64lNdX2/EeWDBb&#10;+IPhV5/UoSKnxi2oPRslRHmeJ8RKEGlKgZAoE4JSI+FWiBR4VfL/X1Q/AAAA//8DAFBLAQItABQA&#10;BgAIAAAAIQC2gziS/gAAAOEBAAATAAAAAAAAAAAAAAAAAAAAAABbQ29udGVudF9UeXBlc10ueG1s&#10;UEsBAi0AFAAGAAgAAAAhADj9If/WAAAAlAEAAAsAAAAAAAAAAAAAAAAALwEAAF9yZWxzLy5yZWxz&#10;UEsBAi0AFAAGAAgAAAAhAHInjMdbAgAAgAQAAA4AAAAAAAAAAAAAAAAALgIAAGRycy9lMm9Eb2Mu&#10;eG1sUEsBAi0AFAAGAAgAAAAhAP4NYCvgAAAADQEAAA8AAAAAAAAAAAAAAAAAtQQAAGRycy9kb3du&#10;cmV2LnhtbFBLBQYAAAAABAAEAPMAAADCBQAAAAA=&#10;">
                <v:textbox>
                  <w:txbxContent>
                    <w:p w14:paraId="3A1678D9" w14:textId="77777777" w:rsidR="003B6DB3" w:rsidRDefault="003B6DB3" w:rsidP="00E839E1">
                      <w:pPr>
                        <w:spacing w:before="240"/>
                        <w:jc w:val="center"/>
                      </w:pPr>
                      <w:r>
                        <w:t>Lisansüstü Eğitim İçin Gönderme</w:t>
                      </w:r>
                    </w:p>
                  </w:txbxContent>
                </v:textbox>
              </v:shape>
            </w:pict>
          </mc:Fallback>
        </mc:AlternateContent>
      </w:r>
      <w:r w:rsidRPr="000A2E75">
        <w:rPr>
          <w:rFonts w:ascii="Times New Roman" w:hAnsi="Times New Roman" w:cs="Times New Roman"/>
          <w:noProof/>
          <w:lang w:val="en-US"/>
        </w:rPr>
        <mc:AlternateContent>
          <mc:Choice Requires="wps">
            <w:drawing>
              <wp:anchor distT="0" distB="0" distL="114300" distR="114300" simplePos="0" relativeHeight="251773952" behindDoc="0" locked="0" layoutInCell="1" allowOverlap="1" wp14:anchorId="57FBB352" wp14:editId="6E1B2A2D">
                <wp:simplePos x="0" y="0"/>
                <wp:positionH relativeFrom="column">
                  <wp:posOffset>-9824085</wp:posOffset>
                </wp:positionH>
                <wp:positionV relativeFrom="paragraph">
                  <wp:posOffset>467360</wp:posOffset>
                </wp:positionV>
                <wp:extent cx="984250" cy="1062990"/>
                <wp:effectExtent l="10160" t="11430" r="5715" b="11430"/>
                <wp:wrapNone/>
                <wp:docPr id="210" name="Akış Çizelgesi: Öteki İşlem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0" cy="1062990"/>
                        </a:xfrm>
                        <a:prstGeom prst="flowChartAlternateProcess">
                          <a:avLst/>
                        </a:prstGeom>
                        <a:solidFill>
                          <a:srgbClr val="FFFFFF"/>
                        </a:solidFill>
                        <a:ln w="9525">
                          <a:solidFill>
                            <a:srgbClr val="000000"/>
                          </a:solidFill>
                          <a:miter lim="800000"/>
                          <a:headEnd/>
                          <a:tailEnd/>
                        </a:ln>
                      </wps:spPr>
                      <wps:txbx>
                        <w:txbxContent>
                          <w:p w14:paraId="7175CEC8" w14:textId="77777777" w:rsidR="003B6DB3" w:rsidRDefault="003B6DB3" w:rsidP="00E839E1">
                            <w:pPr>
                              <w:jc w:val="center"/>
                            </w:pPr>
                            <w:r>
                              <w:t>Öğretim Üyeliği İçin Yurt Dışından Davet</w:t>
                            </w:r>
                          </w:p>
                          <w:p w14:paraId="4F8AC9B0" w14:textId="77777777" w:rsidR="003B6DB3" w:rsidRDefault="003B6DB3" w:rsidP="00E839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FBB352" id="Akış Çizelgesi: Öteki İşlem 210" o:spid="_x0000_s1112" type="#_x0000_t176" style="position:absolute;left:0;text-align:left;margin-left:-773.55pt;margin-top:36.8pt;width:77.5pt;height:83.7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Uq7WgIAAIAEAAAOAAAAZHJzL2Uyb0RvYy54bWysVF1uEzEQfkfiDpbf6WZXSWlW3VRRShFS&#10;gUqFAzhe764V/zF2smkvwA147RXgDG3vxdibhhR4QuyD5fGMP3/zzcyenm21IhsBXlpT0fxoRIkw&#10;3NbStBX9/Oni1QklPjBTM2WNqOiN8PRs9vLFae9KUdjOqloAQRDjy95VtAvBlVnmeSc080fWCYPO&#10;xoJmAU1osxpYj+haZcVodJz1FmoHlgvv8fR8cNJZwm8awcPHpvEiEFVR5BbSCmldxjWbnbKyBeY6&#10;yXc02D+w0EwafHQPdc4CI2uQf0BpycF624QjbnVmm0ZykXLAbPLRb9lcd8yJlAuK491eJv//YPmH&#10;zRUQWVe0yFEfwzQWab56+PF4R+6/yluhWuFlSe6/BbGS5OH7450SmsRglK53vkSEa3cFMXnvLi1f&#10;eWLsomOmFXMA23eC1Ug4j/HZswvR8HiVLPv3tsZ32TrYpOK2AR0BUR+yTcW62RdLbAPheDg9GRcT&#10;pMzRlY+Oi+k0UcpY+XTbgQ9vhdUkbiraKNsjLwhzFQQYFsTV0DfpSba59CFSZOXTvZSSVbK+kEol&#10;A9rlQgHZMOymi/SlrDDzwzBlSI/8JsUkIT/z+UOIUfr+BqElUiRK6oqe7INYGbV8Y+rUtIFJNeyR&#10;sjI7caOeQ13CdrlNhT3el2pp6xuUG+wwBji2uOks3FLS4whU1H9ZMxCUqHcGSzbNx+M4M8kYT14X&#10;aMChZ3noYYYjVEUDJcN2EYY5WzuQbYcv5UkOY+dY5kYmsWMLDKx2/LHNUw12Ixnn6NBOUb9+HLOf&#10;AAAA//8DAFBLAwQUAAYACAAAACEANUPpyOIAAAAOAQAADwAAAGRycy9kb3ducmV2LnhtbEyPwU6E&#10;MBCG7ya+QzMm3thSWGGXpWw2Gj15ETfxWmiXEumU0MKiT2896XFmvvzz/eVxNQNZ1OR6ixzYJgai&#10;sLWyx47D+f052gFxXqAUg0XF4Us5OFa3N6UopL3im1pq35EQgq4QHLT3Y0Gpa7Uywm3sqDDcLnYy&#10;wodx6qicxDWEm4EmcZxRI3oMH7QY1aNW7Wc9Gw7r63ezn19YW3u9y/KPdHk6nSnn93fr6QDEq9X/&#10;wfCrH9ShCk6NnVE6MnCI2MM2ZwHmkKcZkIBELN0nYdVwSLYsBlqV9H+N6gcAAP//AwBQSwECLQAU&#10;AAYACAAAACEAtoM4kv4AAADhAQAAEwAAAAAAAAAAAAAAAAAAAAAAW0NvbnRlbnRfVHlwZXNdLnht&#10;bFBLAQItABQABgAIAAAAIQA4/SH/1gAAAJQBAAALAAAAAAAAAAAAAAAAAC8BAABfcmVscy8ucmVs&#10;c1BLAQItABQABgAIAAAAIQBIMUq7WgIAAIAEAAAOAAAAAAAAAAAAAAAAAC4CAABkcnMvZTJvRG9j&#10;LnhtbFBLAQItABQABgAIAAAAIQA1Q+nI4gAAAA4BAAAPAAAAAAAAAAAAAAAAALQEAABkcnMvZG93&#10;bnJldi54bWxQSwUGAAAAAAQABADzAAAAwwUAAAAA&#10;">
                <v:textbox>
                  <w:txbxContent>
                    <w:p w14:paraId="7175CEC8" w14:textId="77777777" w:rsidR="003B6DB3" w:rsidRDefault="003B6DB3" w:rsidP="00E839E1">
                      <w:pPr>
                        <w:jc w:val="center"/>
                      </w:pPr>
                      <w:r>
                        <w:t>Öğretim Üyeliği İçin Yurt Dışından Davet</w:t>
                      </w:r>
                    </w:p>
                    <w:p w14:paraId="4F8AC9B0" w14:textId="77777777" w:rsidR="003B6DB3" w:rsidRDefault="003B6DB3" w:rsidP="00E839E1"/>
                  </w:txbxContent>
                </v:textbox>
              </v:shape>
            </w:pict>
          </mc:Fallback>
        </mc:AlternateContent>
      </w:r>
      <w:r w:rsidRPr="000A2E75">
        <w:rPr>
          <w:rFonts w:ascii="Times New Roman" w:hAnsi="Times New Roman" w:cs="Times New Roman"/>
          <w:noProof/>
          <w:lang w:val="en-US"/>
        </w:rPr>
        <mc:AlternateContent>
          <mc:Choice Requires="wps">
            <w:drawing>
              <wp:anchor distT="0" distB="0" distL="114300" distR="114300" simplePos="0" relativeHeight="251774976" behindDoc="0" locked="0" layoutInCell="1" allowOverlap="1" wp14:anchorId="232DF4F0" wp14:editId="351A66F1">
                <wp:simplePos x="0" y="0"/>
                <wp:positionH relativeFrom="column">
                  <wp:posOffset>-4934585</wp:posOffset>
                </wp:positionH>
                <wp:positionV relativeFrom="paragraph">
                  <wp:posOffset>467360</wp:posOffset>
                </wp:positionV>
                <wp:extent cx="984250" cy="1062990"/>
                <wp:effectExtent l="13335" t="11430" r="12065" b="11430"/>
                <wp:wrapNone/>
                <wp:docPr id="209" name="Akış Çizelgesi: Öteki İşlem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0" cy="1062990"/>
                        </a:xfrm>
                        <a:prstGeom prst="flowChartAlternateProcess">
                          <a:avLst/>
                        </a:prstGeom>
                        <a:solidFill>
                          <a:srgbClr val="FFFFFF"/>
                        </a:solidFill>
                        <a:ln w="9525">
                          <a:solidFill>
                            <a:srgbClr val="000000"/>
                          </a:solidFill>
                          <a:miter lim="800000"/>
                          <a:headEnd/>
                          <a:tailEnd/>
                        </a:ln>
                      </wps:spPr>
                      <wps:txbx>
                        <w:txbxContent>
                          <w:p w14:paraId="2DB898E5" w14:textId="77777777" w:rsidR="003B6DB3" w:rsidRDefault="003B6DB3" w:rsidP="00E839E1">
                            <w:pPr>
                              <w:jc w:val="center"/>
                            </w:pPr>
                            <w:r>
                              <w:t>Öğretim Üyeliği İçin Yurt Dışından Davet</w:t>
                            </w:r>
                          </w:p>
                          <w:p w14:paraId="1DCE5BB1" w14:textId="77777777" w:rsidR="003B6DB3" w:rsidRDefault="003B6DB3" w:rsidP="00E839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2DF4F0" id="Akış Çizelgesi: Öteki İşlem 209" o:spid="_x0000_s1113" type="#_x0000_t176" style="position:absolute;left:0;text-align:left;margin-left:-388.55pt;margin-top:36.8pt;width:77.5pt;height:83.7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zI6WgIAAIAEAAAOAAAAZHJzL2Uyb0RvYy54bWysVEtu2zAQ3RfoHQjuG8mCncZC5MBImqJA&#10;2hpIewCaoiQi/HVIW04u0Bt0myukZ0hyrw4px3HaropqQXA45OOb9zg6PtloRdYCvLSmoqODnBJh&#10;uK2laSv69cv5myNKfGCmZsoaUdFr4enJ7PWr496VorCdVbUAgiDGl72raBeCK7PM805o5g+sEwaT&#10;jQXNAobQZjWwHtG1yoo8P8x6C7UDy4X3uHo2JOks4TeN4OFz03gRiKoocgtphDQu45jNjlnZAnOd&#10;5Fsa7B9YaCYNXrqDOmOBkRXIP6C05GC9bcIBtzqzTSO5SDVgNaP8t2ouO+ZEqgXF8W4nk/9/sPzT&#10;egFE1hUt8iklhmk0aX718PPxltx/lzdCtcLLktz/COJKkoe7x1slNImbUbre+RIRLt0CYvHeXVh+&#10;5Ymxpx0zrZgD2L4TrEbCo7g/e3EgBh6PkmX/0dZ4L1sFm1TcNKAjIOpDNsms651ZYhMIx8Xp0biY&#10;oKUcU6P8sJhOk5sZK59OO/DhvbCaxElFG2V75AVhroIAw4JYDO8mXcnWFz5Eiqx8OpdKskrW51Kp&#10;FEC7PFVA1gxf03n6UlVY+f42ZUiP/CbFJCG/yPl9iDx9f4PQEikSJXVFj3abWBm1fGfq9GgDk2qY&#10;I2VltuJGPQdfwma5ScYeJumj2EtbX6PcYIc2wLbFSWfhhpIeW6Ci/tuKgaBEfTBo2XQ0HseeScF4&#10;8rbAAPYzy/0MMxyhKhooGaanYeizlQPZdnjTKMlh7BxtbmQS+5nVlj8+8+TBtiVjH+3Hadfzj2P2&#10;CwAA//8DAFBLAwQUAAYACAAAACEAQXM5XeAAAAAMAQAADwAAAGRycy9kb3ducmV2LnhtbEyPwU6E&#10;MBCG7ya+QzMm3tgCa+jKUjYbjZ68iJt4LbQCWToltLDo0zue3OPMfPnn+4vDage2mMn3DiUkmxiY&#10;wcbpHlsJp4+XaAfMB4VaDQ6NhG/j4VDe3hQq1+6C72apQssoBH2uJHQhjDnnvumMVX7jRoN0+3KT&#10;VYHGqeV6UhcKtwNP4zjjVvVIHzo1mqfONOdqthLWt5/6cX5Nmip0u0x8bpfn44lLeX+3HvfAglnD&#10;Pwx/+qQOJTnVbkbt2SAhEkIkxEoQ2wwYEVGWprSpJaQPSQy8LPh1ifIXAAD//wMAUEsBAi0AFAAG&#10;AAgAAAAhALaDOJL+AAAA4QEAABMAAAAAAAAAAAAAAAAAAAAAAFtDb250ZW50X1R5cGVzXS54bWxQ&#10;SwECLQAUAAYACAAAACEAOP0h/9YAAACUAQAACwAAAAAAAAAAAAAAAAAvAQAAX3JlbHMvLnJlbHNQ&#10;SwECLQAUAAYACAAAACEA3l8yOloCAACABAAADgAAAAAAAAAAAAAAAAAuAgAAZHJzL2Uyb0RvYy54&#10;bWxQSwECLQAUAAYACAAAACEAQXM5XeAAAAAMAQAADwAAAAAAAAAAAAAAAAC0BAAAZHJzL2Rvd25y&#10;ZXYueG1sUEsFBgAAAAAEAAQA8wAAAMEFAAAAAA==&#10;">
                <v:textbox>
                  <w:txbxContent>
                    <w:p w14:paraId="2DB898E5" w14:textId="77777777" w:rsidR="003B6DB3" w:rsidRDefault="003B6DB3" w:rsidP="00E839E1">
                      <w:pPr>
                        <w:jc w:val="center"/>
                      </w:pPr>
                      <w:r>
                        <w:t>Öğretim Üyeliği İçin Yurt Dışından Davet</w:t>
                      </w:r>
                    </w:p>
                    <w:p w14:paraId="1DCE5BB1" w14:textId="77777777" w:rsidR="003B6DB3" w:rsidRDefault="003B6DB3" w:rsidP="00E839E1"/>
                  </w:txbxContent>
                </v:textbox>
              </v:shape>
            </w:pict>
          </mc:Fallback>
        </mc:AlternateContent>
      </w:r>
      <w:r w:rsidRPr="000A2E75">
        <w:rPr>
          <w:rFonts w:ascii="Times New Roman" w:hAnsi="Times New Roman" w:cs="Times New Roman"/>
        </w:rPr>
        <w:t>Katılımcılardan elde edilen veriler ışığında, beceri temelli matematik sorular ile öğretmenlerin bu soruların çözümü için kullandıkları yöntem/teknik/strateji ilişkisine yönelik görüşler aşağıdaki gibi ifade edilmiştir.</w:t>
      </w:r>
    </w:p>
    <w:p w14:paraId="04962309" w14:textId="67A6EDDD" w:rsidR="008934F8" w:rsidRDefault="008934F8" w:rsidP="00E839E1">
      <w:pPr>
        <w:autoSpaceDE w:val="0"/>
        <w:autoSpaceDN w:val="0"/>
        <w:adjustRightInd w:val="0"/>
        <w:spacing w:before="120" w:after="120"/>
        <w:jc w:val="both"/>
        <w:rPr>
          <w:rFonts w:ascii="Times New Roman" w:hAnsi="Times New Roman" w:cs="Times New Roman"/>
        </w:rPr>
      </w:pPr>
    </w:p>
    <w:p w14:paraId="0A002DE6" w14:textId="5E47CF5E" w:rsidR="008934F8" w:rsidRDefault="008934F8" w:rsidP="00E839E1">
      <w:pPr>
        <w:autoSpaceDE w:val="0"/>
        <w:autoSpaceDN w:val="0"/>
        <w:adjustRightInd w:val="0"/>
        <w:spacing w:before="120" w:after="120"/>
        <w:jc w:val="both"/>
        <w:rPr>
          <w:rFonts w:ascii="Times New Roman" w:hAnsi="Times New Roman" w:cs="Times New Roman"/>
        </w:rPr>
      </w:pPr>
    </w:p>
    <w:p w14:paraId="0A620C4F" w14:textId="19144EB1" w:rsidR="00E839E1" w:rsidRPr="000A2E75" w:rsidRDefault="00E839E1" w:rsidP="008934F8">
      <w:pPr>
        <w:autoSpaceDE w:val="0"/>
        <w:autoSpaceDN w:val="0"/>
        <w:adjustRightInd w:val="0"/>
        <w:spacing w:before="120" w:after="120" w:line="360" w:lineRule="auto"/>
        <w:jc w:val="both"/>
        <w:rPr>
          <w:rFonts w:ascii="Times New Roman" w:hAnsi="Times New Roman" w:cs="Times New Roman"/>
          <w:i/>
        </w:rPr>
      </w:pPr>
      <w:r w:rsidRPr="000A2E75">
        <w:rPr>
          <w:rFonts w:ascii="Times New Roman" w:hAnsi="Times New Roman" w:cs="Times New Roman"/>
          <w:i/>
          <w:noProof/>
          <w:lang w:val="en-US"/>
        </w:rPr>
        <w:lastRenderedPageBreak/>
        <mc:AlternateContent>
          <mc:Choice Requires="wpg">
            <w:drawing>
              <wp:anchor distT="0" distB="0" distL="114300" distR="114300" simplePos="0" relativeHeight="251776000" behindDoc="0" locked="0" layoutInCell="1" allowOverlap="1" wp14:anchorId="50EBF787" wp14:editId="093D1C7D">
                <wp:simplePos x="0" y="0"/>
                <wp:positionH relativeFrom="column">
                  <wp:posOffset>109855</wp:posOffset>
                </wp:positionH>
                <wp:positionV relativeFrom="paragraph">
                  <wp:posOffset>73660</wp:posOffset>
                </wp:positionV>
                <wp:extent cx="5204460" cy="1645285"/>
                <wp:effectExtent l="0" t="0" r="15240" b="12065"/>
                <wp:wrapNone/>
                <wp:docPr id="164" name="Gr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04460" cy="1645285"/>
                          <a:chOff x="1597" y="7388"/>
                          <a:chExt cx="8196" cy="2591"/>
                        </a:xfrm>
                      </wpg:grpSpPr>
                      <wps:wsp>
                        <wps:cNvPr id="165" name="AutoShape 184"/>
                        <wps:cNvCnPr>
                          <a:cxnSpLocks noChangeShapeType="1"/>
                        </wps:cNvCnPr>
                        <wps:spPr bwMode="auto">
                          <a:xfrm>
                            <a:off x="3397" y="8077"/>
                            <a:ext cx="681"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6" name="AutoShape 185"/>
                        <wps:cNvCnPr>
                          <a:cxnSpLocks noChangeShapeType="1"/>
                        </wps:cNvCnPr>
                        <wps:spPr bwMode="auto">
                          <a:xfrm>
                            <a:off x="5557" y="8077"/>
                            <a:ext cx="1779" cy="5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7" name="AutoShape 186"/>
                        <wps:cNvCnPr>
                          <a:cxnSpLocks noChangeShapeType="1"/>
                        </wps:cNvCnPr>
                        <wps:spPr bwMode="auto">
                          <a:xfrm>
                            <a:off x="5377" y="8235"/>
                            <a:ext cx="1959" cy="140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8" name="AutoShape 187"/>
                        <wps:cNvSpPr>
                          <a:spLocks noChangeArrowheads="1"/>
                        </wps:cNvSpPr>
                        <wps:spPr bwMode="auto">
                          <a:xfrm>
                            <a:off x="7336" y="9239"/>
                            <a:ext cx="2457" cy="740"/>
                          </a:xfrm>
                          <a:prstGeom prst="flowChartAlternateProcess">
                            <a:avLst/>
                          </a:prstGeom>
                          <a:solidFill>
                            <a:srgbClr val="FFFFFF"/>
                          </a:solidFill>
                          <a:ln w="9525">
                            <a:solidFill>
                              <a:srgbClr val="000000"/>
                            </a:solidFill>
                            <a:miter lim="800000"/>
                            <a:headEnd/>
                            <a:tailEnd/>
                          </a:ln>
                        </wps:spPr>
                        <wps:txbx>
                          <w:txbxContent>
                            <w:p w14:paraId="7000ACDE" w14:textId="77777777" w:rsidR="003B6DB3" w:rsidRPr="00F228CC" w:rsidRDefault="003B6DB3" w:rsidP="00E839E1">
                              <w:pPr>
                                <w:jc w:val="center"/>
                                <w:rPr>
                                  <w:sz w:val="18"/>
                                  <w:szCs w:val="18"/>
                                </w:rPr>
                              </w:pPr>
                              <w:r w:rsidRPr="00F228CC">
                                <w:rPr>
                                  <w:sz w:val="18"/>
                                  <w:szCs w:val="18"/>
                                </w:rPr>
                                <w:t>Ön hazırlı mahiyetli ödev verme</w:t>
                              </w:r>
                            </w:p>
                          </w:txbxContent>
                        </wps:txbx>
                        <wps:bodyPr rot="0" vert="horz" wrap="square" lIns="91440" tIns="45720" rIns="91440" bIns="45720" anchor="t" anchorCtr="0" upright="1">
                          <a:noAutofit/>
                        </wps:bodyPr>
                      </wps:wsp>
                      <wps:wsp>
                        <wps:cNvPr id="169" name="AutoShape 188"/>
                        <wps:cNvSpPr>
                          <a:spLocks noChangeArrowheads="1"/>
                        </wps:cNvSpPr>
                        <wps:spPr bwMode="auto">
                          <a:xfrm>
                            <a:off x="7336" y="8321"/>
                            <a:ext cx="2457" cy="738"/>
                          </a:xfrm>
                          <a:prstGeom prst="flowChartAlternateProcess">
                            <a:avLst/>
                          </a:prstGeom>
                          <a:solidFill>
                            <a:srgbClr val="FFFFFF"/>
                          </a:solidFill>
                          <a:ln w="9525">
                            <a:solidFill>
                              <a:srgbClr val="000000"/>
                            </a:solidFill>
                            <a:miter lim="800000"/>
                            <a:headEnd/>
                            <a:tailEnd/>
                          </a:ln>
                        </wps:spPr>
                        <wps:txbx>
                          <w:txbxContent>
                            <w:p w14:paraId="1B18EE38" w14:textId="77777777" w:rsidR="003B6DB3" w:rsidRPr="00F228CC" w:rsidRDefault="003B6DB3" w:rsidP="00E839E1">
                              <w:pPr>
                                <w:jc w:val="center"/>
                                <w:rPr>
                                  <w:sz w:val="18"/>
                                  <w:szCs w:val="18"/>
                                </w:rPr>
                              </w:pPr>
                              <w:r w:rsidRPr="00F228CC">
                                <w:rPr>
                                  <w:sz w:val="18"/>
                                  <w:szCs w:val="18"/>
                                </w:rPr>
                                <w:t>Günlük hayatla ilgili örnek verme ve düşündürme</w:t>
                              </w:r>
                            </w:p>
                            <w:p w14:paraId="2677A653" w14:textId="77777777" w:rsidR="003B6DB3" w:rsidRPr="00F228CC" w:rsidRDefault="003B6DB3" w:rsidP="00E839E1">
                              <w:pPr>
                                <w:rPr>
                                  <w:sz w:val="18"/>
                                  <w:szCs w:val="18"/>
                                </w:rPr>
                              </w:pPr>
                            </w:p>
                          </w:txbxContent>
                        </wps:txbx>
                        <wps:bodyPr rot="0" vert="horz" wrap="square" lIns="91440" tIns="45720" rIns="91440" bIns="45720" anchor="t" anchorCtr="0" upright="1">
                          <a:noAutofit/>
                        </wps:bodyPr>
                      </wps:wsp>
                      <wps:wsp>
                        <wps:cNvPr id="170" name="AutoShape 189"/>
                        <wps:cNvCnPr>
                          <a:cxnSpLocks noChangeShapeType="1"/>
                        </wps:cNvCnPr>
                        <wps:spPr bwMode="auto">
                          <a:xfrm flipV="1">
                            <a:off x="5377" y="7619"/>
                            <a:ext cx="1959" cy="27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1" name="AutoShape 190"/>
                        <wps:cNvSpPr>
                          <a:spLocks noChangeArrowheads="1"/>
                        </wps:cNvSpPr>
                        <wps:spPr bwMode="auto">
                          <a:xfrm>
                            <a:off x="7336" y="7388"/>
                            <a:ext cx="2457" cy="719"/>
                          </a:xfrm>
                          <a:prstGeom prst="flowChartAlternateProcess">
                            <a:avLst/>
                          </a:prstGeom>
                          <a:solidFill>
                            <a:srgbClr val="FFFFFF"/>
                          </a:solidFill>
                          <a:ln w="9525">
                            <a:solidFill>
                              <a:srgbClr val="000000"/>
                            </a:solidFill>
                            <a:miter lim="800000"/>
                            <a:headEnd/>
                            <a:tailEnd/>
                          </a:ln>
                        </wps:spPr>
                        <wps:txbx>
                          <w:txbxContent>
                            <w:p w14:paraId="13063302" w14:textId="77777777" w:rsidR="003B6DB3" w:rsidRPr="00F228CC" w:rsidRDefault="003B6DB3" w:rsidP="00E839E1">
                              <w:pPr>
                                <w:jc w:val="center"/>
                                <w:rPr>
                                  <w:sz w:val="18"/>
                                  <w:szCs w:val="18"/>
                                </w:rPr>
                              </w:pPr>
                              <w:r w:rsidRPr="00F228CC">
                                <w:rPr>
                                  <w:sz w:val="18"/>
                                  <w:szCs w:val="18"/>
                                </w:rPr>
                                <w:t>Öğrenci odaklı çalışma yaptırma</w:t>
                              </w:r>
                            </w:p>
                            <w:p w14:paraId="6FDF8301" w14:textId="77777777" w:rsidR="003B6DB3" w:rsidRPr="00F654B5" w:rsidRDefault="003B6DB3" w:rsidP="00E839E1"/>
                          </w:txbxContent>
                        </wps:txbx>
                        <wps:bodyPr rot="0" vert="horz" wrap="square" lIns="91440" tIns="45720" rIns="91440" bIns="45720" anchor="t" anchorCtr="0" upright="1">
                          <a:noAutofit/>
                        </wps:bodyPr>
                      </wps:wsp>
                      <wps:wsp>
                        <wps:cNvPr id="172" name="AutoShape 191"/>
                        <wps:cNvSpPr>
                          <a:spLocks noChangeArrowheads="1"/>
                        </wps:cNvSpPr>
                        <wps:spPr bwMode="auto">
                          <a:xfrm>
                            <a:off x="1597" y="7897"/>
                            <a:ext cx="1800" cy="1745"/>
                          </a:xfrm>
                          <a:prstGeom prst="flowChartProcess">
                            <a:avLst/>
                          </a:prstGeom>
                          <a:solidFill>
                            <a:srgbClr val="FFFFFF"/>
                          </a:solidFill>
                          <a:ln w="9525">
                            <a:solidFill>
                              <a:srgbClr val="000000"/>
                            </a:solidFill>
                            <a:miter lim="800000"/>
                            <a:headEnd/>
                            <a:tailEnd/>
                          </a:ln>
                        </wps:spPr>
                        <wps:txbx>
                          <w:txbxContent>
                            <w:p w14:paraId="778BEEF9" w14:textId="77777777" w:rsidR="003B6DB3" w:rsidRPr="00F654B5" w:rsidRDefault="003B6DB3" w:rsidP="00E839E1">
                              <w:pPr>
                                <w:jc w:val="center"/>
                              </w:pPr>
                              <w:r w:rsidRPr="00F654B5">
                                <w:t>Beceri Temelli Sorular ile Kullanılan Yöntem/Teknik/ Strateji İlişkisi</w:t>
                              </w:r>
                            </w:p>
                          </w:txbxContent>
                        </wps:txbx>
                        <wps:bodyPr rot="0" vert="horz" wrap="square" lIns="91440" tIns="45720" rIns="91440" bIns="45720" anchor="t" anchorCtr="0" upright="1">
                          <a:noAutofit/>
                        </wps:bodyPr>
                      </wps:wsp>
                      <wps:wsp>
                        <wps:cNvPr id="173" name="Oval 192"/>
                        <wps:cNvSpPr>
                          <a:spLocks noChangeArrowheads="1"/>
                        </wps:cNvSpPr>
                        <wps:spPr bwMode="auto">
                          <a:xfrm>
                            <a:off x="4117" y="7717"/>
                            <a:ext cx="1440" cy="659"/>
                          </a:xfrm>
                          <a:prstGeom prst="ellipse">
                            <a:avLst/>
                          </a:prstGeom>
                          <a:solidFill>
                            <a:srgbClr val="FFFFFF"/>
                          </a:solidFill>
                          <a:ln w="9525">
                            <a:solidFill>
                              <a:srgbClr val="000000"/>
                            </a:solidFill>
                            <a:round/>
                            <a:headEnd/>
                            <a:tailEnd/>
                          </a:ln>
                        </wps:spPr>
                        <wps:txbx>
                          <w:txbxContent>
                            <w:p w14:paraId="2F183337" w14:textId="77777777" w:rsidR="003B6DB3" w:rsidRPr="00F654B5" w:rsidRDefault="003B6DB3" w:rsidP="00E839E1">
                              <w:pPr>
                                <w:jc w:val="center"/>
                              </w:pPr>
                              <w:r w:rsidRPr="00F654B5">
                                <w:t>İlişki var</w:t>
                              </w:r>
                            </w:p>
                          </w:txbxContent>
                        </wps:txbx>
                        <wps:bodyPr rot="0" vert="horz" wrap="square" lIns="91440" tIns="45720" rIns="91440" bIns="45720" anchor="t" anchorCtr="0" upright="1">
                          <a:noAutofit/>
                        </wps:bodyPr>
                      </wps:wsp>
                      <wps:wsp>
                        <wps:cNvPr id="174" name="AutoShape 193"/>
                        <wps:cNvCnPr>
                          <a:cxnSpLocks noChangeShapeType="1"/>
                        </wps:cNvCnPr>
                        <wps:spPr bwMode="auto">
                          <a:xfrm>
                            <a:off x="3436" y="9157"/>
                            <a:ext cx="681"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5" name="Oval 194"/>
                        <wps:cNvSpPr>
                          <a:spLocks noChangeArrowheads="1"/>
                        </wps:cNvSpPr>
                        <wps:spPr bwMode="auto">
                          <a:xfrm>
                            <a:off x="4117" y="8900"/>
                            <a:ext cx="1440" cy="617"/>
                          </a:xfrm>
                          <a:prstGeom prst="ellipse">
                            <a:avLst/>
                          </a:prstGeom>
                          <a:solidFill>
                            <a:srgbClr val="FFFFFF"/>
                          </a:solidFill>
                          <a:ln w="9525">
                            <a:solidFill>
                              <a:srgbClr val="000000"/>
                            </a:solidFill>
                            <a:round/>
                            <a:headEnd/>
                            <a:tailEnd/>
                          </a:ln>
                        </wps:spPr>
                        <wps:txbx>
                          <w:txbxContent>
                            <w:p w14:paraId="76CFDC81" w14:textId="77777777" w:rsidR="003B6DB3" w:rsidRPr="00F654B5" w:rsidRDefault="003B6DB3" w:rsidP="00E839E1">
                              <w:pPr>
                                <w:jc w:val="center"/>
                              </w:pPr>
                              <w:r w:rsidRPr="00F654B5">
                                <w:t>İlişki yok</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EBF787" id="Grup 164" o:spid="_x0000_s1114" style="position:absolute;left:0;text-align:left;margin-left:8.65pt;margin-top:5.8pt;width:409.8pt;height:129.55pt;z-index:251776000;mso-position-horizontal-relative:text;mso-position-vertical-relative:text" coordorigin="1597,7388" coordsize="8196,2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EOZIAUAAOMhAAAOAAAAZHJzL2Uyb0RvYy54bWzsWttu4zYQfS/QfyD0ntjUXUKcRWAnQYFt&#10;N8Bu+05LlCVUIlWKjp0W/fcOSUm27HgT7G5ctCs/2KR50XDmcHhmqKt326pEj1Q0BWczC19OLURZ&#10;wtOCrWbWr5/uLkILNZKwlJSc0Zn1RBvr3fWPP1xt6pjaPOdlSgWCSVgTb+qZlUtZx5NJk+S0Is0l&#10;rymDxoyLikioitUkFWQDs1flxJ5O/cmGi7QWPKFNA/8uTKN1refPMprID1nWUInKmQWySf0t9PdS&#10;fU+ur0i8EqTOi6QVg3yBFBUpGDy0n2pBJEFrURxNVRWJ4A3P5GXCqwnPsiKheg2wGjw9WM294Ota&#10;r2UVb1Z1ryZQ7YGevnja5JfHB4GKFGznuxZipAIj3Yt1jVQdtLOpVzF0uhf1x/pBmCVC8T1Pfm+g&#10;eXLYruor0xktNz/zFOYja8m1draZqNQUsG601UZ46o1AtxIl8KdnT13XB1sl0AZCeHboGTMlOdhS&#10;jcNeFFgImgMnDLu223Z8iCPfDLa9CKvWCYnNg7WwrXBqZQC5ZqfV5uu0+jEnNdXGapTCeq16nVZv&#10;QAu6E8Jhq1rdc86MXpMta/WKGJ/nhK2o7v7pqQYdmpUomWFyM0RVGjDKi3p2nFZf4TQIjL46bfsh&#10;NsrSW6HXFIlr0ch7yiukCjOrkYIUq1zOOWOwqbjA2qDk8X0jjYq7Acq+jN8VZQn/k7hkaDOzIs/2&#10;9ICGl0WqGlVbI1bLeSnQI1G7U39aew26wS5gqZ4spyS9bcuSFCWUkdTqkaIAhZXUUk+raGqhkoJD&#10;UiUjXsnUE2HZIHBbMhv0r2ga3Ya3oXvh2v7thTtdLC5u7ubuhX+HA2/hLObzBf5bCY/dOC/SlDIl&#10;f+cssPs62LRuy2zz3l30ipoMZ9egBWG7Xy00wNcY3GB3ydOnB6FW1yL5bJCG/WUcxT6k9SYd4JPE&#10;bwdpz/OMCziGNA6CyGDac0dUj6g+PFVPOWrA0zGqfeU+zodqB/yzOthC22kPvc5R48hrUY3dqXbi&#10;o7MenfUe9T0FayDgx7DWAGph3fG6xpC6nnzcCME36sQFYjRgH2aAGv0q9hE4DhwYAOrIdiK1nfQx&#10;rLme7Sovrohe8JKrzkq+AVIk5E0pqWBE0gfD+j/HQwY0YsA27vSn5QaDbt+AsFQFiIjKooKN3LMa&#10;Ej/DXnbc5OBwl9vlVtNy3+48kDnvkeAmiIGgCwo5F38C54EABjjaH2sigAGVPzEwWYRd0CmSugJ6&#10;tqEi9luW+y2EJTDVzJIWMsW5NFHSuhaK9ykIKMsxrs78rNCkT0HASPUvkBDwhse41tHAuXEdOrbe&#10;H8/i2tEinfbV3y2unRHXz8WLAWzTY1xrv9ni+o3iRZSVRf1bt8/bCN3rCEng4wPfvSMkdvACxsfg&#10;cQweu3xIAPmGI3xHOk47t9/eZY86kr3HRwzcR78tTPiz4yN96mrkI/t5vsB+DteaF5wJ17usaAjp&#10;vgHPxkBDDc/GgasDy1cA+zvh133easTzAM9Oh+cPkJ5FOOrjEMg/v3XI6GJs8iBBAIUhlHVUo0JG&#10;HxIiJn7qrhW6FHSbs6YlMJpG5eRJfCJRPYj8zhcgfjaj/YqYsM9KjZgdYLa/wdpLTEd9oNFfnLxl&#10;Ytpxu2wHhtzGALrjXct413LyrvdE+i7orw9bN9zTr3O64TAC/jDAskkuaTdsPPRpQvH/dcN9FvW/&#10;4ob1BTi8SaCvFdu3HtSrCvt1ncrbvZtx/Q8AAAD//wMAUEsDBBQABgAIAAAAIQDoR0K84AAAAAkB&#10;AAAPAAAAZHJzL2Rvd25yZXYueG1sTI9BS8NAEIXvgv9hGcGb3aTBpMZsSinqqQi2gnjbZqdJaHY2&#10;ZLdJ+u8dT3oaHu/x5nvFeradGHHwrSMF8SICgVQ501Kt4PPw+rAC4YMmoztHqOCKHtbl7U2hc+Mm&#10;+sBxH2rBJeRzraAJoc+l9FWDVvuF65HYO7nB6sByqKUZ9MTltpPLKEql1S3xh0b3uG2wOu8vVsHb&#10;pKdNEr+Mu/Npe/0+PL5/7WJU6v5u3jyDCDiHvzD84jM6lMx0dBcyXnSss4STfOMUBPurJH0CcVSw&#10;zKIMZFnI/wvKHwAAAP//AwBQSwECLQAUAAYACAAAACEAtoM4kv4AAADhAQAAEwAAAAAAAAAAAAAA&#10;AAAAAAAAW0NvbnRlbnRfVHlwZXNdLnhtbFBLAQItABQABgAIAAAAIQA4/SH/1gAAAJQBAAALAAAA&#10;AAAAAAAAAAAAAC8BAABfcmVscy8ucmVsc1BLAQItABQABgAIAAAAIQDm8EOZIAUAAOMhAAAOAAAA&#10;AAAAAAAAAAAAAC4CAABkcnMvZTJvRG9jLnhtbFBLAQItABQABgAIAAAAIQDoR0K84AAAAAkBAAAP&#10;AAAAAAAAAAAAAAAAAHoHAABkcnMvZG93bnJldi54bWxQSwUGAAAAAAQABADzAAAAhwgAAAAA&#10;">
                <v:shape id="AutoShape 184" o:spid="_x0000_s1115" type="#_x0000_t32" style="position:absolute;left:3397;top:8077;width:6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2iswwAAANwAAAAPAAAAZHJzL2Rvd25yZXYueG1sRE9Na8JA&#10;EL0X/A/LCL3VTQqVGl1FBEux9FAtQW9DdkyC2dmwu5ror3cLQm/zeJ8zW/SmERdyvrasIB0lIIgL&#10;q2suFfzu1i/vIHxA1thYJgVX8rCYD55mmGnb8Q9dtqEUMYR9hgqqENpMSl9UZNCPbEscuaN1BkOE&#10;rpTaYRfDTSNfk2QsDdYcGypsaVVRcdqejYL91+ScX/Nv2uTpZHNAZ/xt96HU87BfTkEE6sO/+OH+&#10;1HH++A3+nokXyPkdAAD//wMAUEsBAi0AFAAGAAgAAAAhANvh9svuAAAAhQEAABMAAAAAAAAAAAAA&#10;AAAAAAAAAFtDb250ZW50X1R5cGVzXS54bWxQSwECLQAUAAYACAAAACEAWvQsW78AAAAVAQAACwAA&#10;AAAAAAAAAAAAAAAfAQAAX3JlbHMvLnJlbHNQSwECLQAUAAYACAAAACEAOhdorMMAAADcAAAADwAA&#10;AAAAAAAAAAAAAAAHAgAAZHJzL2Rvd25yZXYueG1sUEsFBgAAAAADAAMAtwAAAPcCAAAAAA==&#10;">
                  <v:stroke endarrow="block"/>
                </v:shape>
                <v:shape id="AutoShape 185" o:spid="_x0000_s1116" type="#_x0000_t32" style="position:absolute;left:5557;top:8077;width:1779;height:5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fbbxAAAANwAAAAPAAAAZHJzL2Rvd25yZXYueG1sRE9Na8JA&#10;EL0X+h+WKXhrNukh1NQ1SKFFLD1UJdTbkB2TYHY27K4a++u7guBtHu9zZuVoenEi5zvLCrIkBUFc&#10;W91xo2C7+Xh+BeEDssbeMim4kIdy/vgww0LbM//QaR0aEUPYF6igDWEopPR1SwZ9YgfiyO2tMxgi&#10;dI3UDs8x3PTyJU1zabDj2NDiQO8t1Yf10Sj4/Zoeq0v1Tasqm6526Iz/23wqNXkaF28gAo3hLr65&#10;lzrOz3O4PhMvkPN/AAAA//8DAFBLAQItABQABgAIAAAAIQDb4fbL7gAAAIUBAAATAAAAAAAAAAAA&#10;AAAAAAAAAABbQ29udGVudF9UeXBlc10ueG1sUEsBAi0AFAAGAAgAAAAhAFr0LFu/AAAAFQEAAAsA&#10;AAAAAAAAAAAAAAAAHwEAAF9yZWxzLy5yZWxzUEsBAi0AFAAGAAgAAAAhAMrF9tvEAAAA3AAAAA8A&#10;AAAAAAAAAAAAAAAABwIAAGRycy9kb3ducmV2LnhtbFBLBQYAAAAAAwADALcAAAD4AgAAAAA=&#10;">
                  <v:stroke endarrow="block"/>
                </v:shape>
                <v:shape id="AutoShape 186" o:spid="_x0000_s1117" type="#_x0000_t32" style="position:absolute;left:5377;top:8235;width:1959;height:14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VNAxAAAANwAAAAPAAAAZHJzL2Rvd25yZXYueG1sRE9La8JA&#10;EL4L/odlhN50kx58pK4igqUoPagltLchO02C2dmwu5rYX98tCL3Nx/ec5bo3jbiR87VlBekkAUFc&#10;WF1zqeDjvBvPQfiArLGxTAru5GG9Gg6WmGnb8ZFup1CKGMI+QwVVCG0mpS8qMugntiWO3Ld1BkOE&#10;rpTaYRfDTSOfk2QqDdYcGypsaVtRcTldjYLPw+Ka3/N32ufpYv+Fzvif86tST6N+8wIiUB/+xQ/3&#10;m47zpzP4eyZeIFe/AAAA//8DAFBLAQItABQABgAIAAAAIQDb4fbL7gAAAIUBAAATAAAAAAAAAAAA&#10;AAAAAAAAAABbQ29udGVudF9UeXBlc10ueG1sUEsBAi0AFAAGAAgAAAAhAFr0LFu/AAAAFQEAAAsA&#10;AAAAAAAAAAAAAAAAHwEAAF9yZWxzLy5yZWxzUEsBAi0AFAAGAAgAAAAhAKWJU0DEAAAA3AAAAA8A&#10;AAAAAAAAAAAAAAAABwIAAGRycy9kb3ducmV2LnhtbFBLBQYAAAAAAwADALcAAAD4AgAAAAA=&#10;">
                  <v:stroke endarrow="block"/>
                </v:shape>
                <v:shape id="AutoShape 187" o:spid="_x0000_s1118" type="#_x0000_t176" style="position:absolute;left:7336;top:9239;width:2457;height: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6C4xgAAANwAAAAPAAAAZHJzL2Rvd25yZXYueG1sRI9Bb8Iw&#10;DIXvk/YfIk/abaRsUsc6AkJDoB24rCDt6jVeU61xqiaUsl+PD0jcbL3n9z7Pl6Nv1UB9bAIbmE4y&#10;UMRVsA3XBg77zdMMVEzIFtvAZOBMEZaL+7s5Fjac+IuGMtVKQjgWaMCl1BVax8qRxzgJHbFov6H3&#10;mGTta217PEm4b/VzluXaY8PS4LCjD0fVX3n0Bsbd/8/bcTutyuRm+ev3y7BeHbQxjw/j6h1UojHd&#10;zNfrTyv4udDKMzKBXlwAAAD//wMAUEsBAi0AFAAGAAgAAAAhANvh9svuAAAAhQEAABMAAAAAAAAA&#10;AAAAAAAAAAAAAFtDb250ZW50X1R5cGVzXS54bWxQSwECLQAUAAYACAAAACEAWvQsW78AAAAVAQAA&#10;CwAAAAAAAAAAAAAAAAAfAQAAX3JlbHMvLnJlbHNQSwECLQAUAAYACAAAACEAhH+guMYAAADcAAAA&#10;DwAAAAAAAAAAAAAAAAAHAgAAZHJzL2Rvd25yZXYueG1sUEsFBgAAAAADAAMAtwAAAPoCAAAAAA==&#10;">
                  <v:textbox>
                    <w:txbxContent>
                      <w:p w14:paraId="7000ACDE" w14:textId="77777777" w:rsidR="003B6DB3" w:rsidRPr="00F228CC" w:rsidRDefault="003B6DB3" w:rsidP="00E839E1">
                        <w:pPr>
                          <w:jc w:val="center"/>
                          <w:rPr>
                            <w:sz w:val="18"/>
                            <w:szCs w:val="18"/>
                          </w:rPr>
                        </w:pPr>
                        <w:r w:rsidRPr="00F228CC">
                          <w:rPr>
                            <w:sz w:val="18"/>
                            <w:szCs w:val="18"/>
                          </w:rPr>
                          <w:t>Ön hazırlı mahiyetli ödev verme</w:t>
                        </w:r>
                      </w:p>
                    </w:txbxContent>
                  </v:textbox>
                </v:shape>
                <v:shape id="AutoShape 188" o:spid="_x0000_s1119" type="#_x0000_t176" style="position:absolute;left:7336;top:8321;width:2457;height: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wUjwwAAANwAAAAPAAAAZHJzL2Rvd25yZXYueG1sRE9Na8JA&#10;EL0X+h+WKfRWN1pINXUVUSwevDQKXqfZMRvMzobsGlN/vSsI3ubxPmc6720tOmp95VjBcJCAIC6c&#10;rrhUsN+tP8YgfEDWWDsmBf/kYT57fZlipt2Ff6nLQyliCPsMFZgQmkxKXxiy6AeuIY7c0bUWQ4Rt&#10;KXWLlxhuazlKklRarDg2GGxoaag45WeroN9e/ybnn2GRBzNOvw6f3Wqxl0q9v/WLbxCB+vAUP9wb&#10;HeenE7g/Ey+QsxsAAAD//wMAUEsBAi0AFAAGAAgAAAAhANvh9svuAAAAhQEAABMAAAAAAAAAAAAA&#10;AAAAAAAAAFtDb250ZW50X1R5cGVzXS54bWxQSwECLQAUAAYACAAAACEAWvQsW78AAAAVAQAACwAA&#10;AAAAAAAAAAAAAAAfAQAAX3JlbHMvLnJlbHNQSwECLQAUAAYACAAAACEA6zMFI8MAAADcAAAADwAA&#10;AAAAAAAAAAAAAAAHAgAAZHJzL2Rvd25yZXYueG1sUEsFBgAAAAADAAMAtwAAAPcCAAAAAA==&#10;">
                  <v:textbox>
                    <w:txbxContent>
                      <w:p w14:paraId="1B18EE38" w14:textId="77777777" w:rsidR="003B6DB3" w:rsidRPr="00F228CC" w:rsidRDefault="003B6DB3" w:rsidP="00E839E1">
                        <w:pPr>
                          <w:jc w:val="center"/>
                          <w:rPr>
                            <w:sz w:val="18"/>
                            <w:szCs w:val="18"/>
                          </w:rPr>
                        </w:pPr>
                        <w:r w:rsidRPr="00F228CC">
                          <w:rPr>
                            <w:sz w:val="18"/>
                            <w:szCs w:val="18"/>
                          </w:rPr>
                          <w:t>Günlük hayatla ilgili örnek verme ve düşündürme</w:t>
                        </w:r>
                      </w:p>
                      <w:p w14:paraId="2677A653" w14:textId="77777777" w:rsidR="003B6DB3" w:rsidRPr="00F228CC" w:rsidRDefault="003B6DB3" w:rsidP="00E839E1">
                        <w:pPr>
                          <w:rPr>
                            <w:sz w:val="18"/>
                            <w:szCs w:val="18"/>
                          </w:rPr>
                        </w:pPr>
                      </w:p>
                    </w:txbxContent>
                  </v:textbox>
                </v:shape>
                <v:shape id="AutoShape 189" o:spid="_x0000_s1120" type="#_x0000_t32" style="position:absolute;left:5377;top:7619;width:1959;height:27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aqxAAAANwAAAAPAAAAZHJzL2Rvd25yZXYueG1sRI9PawIx&#10;EMXvhX6HMIXealahf1iNooIgvZTaQj0Om3E3uJksm7hZv33nIHib4b157zeL1ehbNVAfXWAD00kB&#10;irgK1nFt4Pdn9/IBKiZki21gMnClCKvl48MCSxsyf9NwSLWSEI4lGmhS6kqtY9WQxzgJHbFop9B7&#10;TLL2tbY9Zgn3rZ4VxZv26FgaGuxo21B1Ply8AZe/3NDtt3nz+XeMNpO7vgZnzPPTuJ6DSjSmu/l2&#10;vbeC/y748oxMoJf/AAAA//8DAFBLAQItABQABgAIAAAAIQDb4fbL7gAAAIUBAAATAAAAAAAAAAAA&#10;AAAAAAAAAABbQ29udGVudF9UeXBlc10ueG1sUEsBAi0AFAAGAAgAAAAhAFr0LFu/AAAAFQEAAAsA&#10;AAAAAAAAAAAAAAAAHwEAAF9yZWxzLy5yZWxzUEsBAi0AFAAGAAgAAAAhAL6oFqrEAAAA3AAAAA8A&#10;AAAAAAAAAAAAAAAABwIAAGRycy9kb3ducmV2LnhtbFBLBQYAAAAAAwADALcAAAD4AgAAAAA=&#10;">
                  <v:stroke endarrow="block"/>
                </v:shape>
                <v:shape id="AutoShape 190" o:spid="_x0000_s1121" type="#_x0000_t176" style="position:absolute;left:7336;top:7388;width:2457;height: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J/4wwAAANwAAAAPAAAAZHJzL2Rvd25yZXYueG1sRE9La8JA&#10;EL4X/A/LCL3VTSr4iK4iFksPXhoFr2N2zAazsyG7xrS/visUvM3H95zlure16Kj1lWMF6SgBQVw4&#10;XXGp4HjYvc1A+ICssXZMCn7Iw3o1eFlipt2dv6nLQyliCPsMFZgQmkxKXxiy6EeuIY7cxbUWQ4Rt&#10;KXWL9xhua/meJBNpseLYYLChraHimt+sgn7/e57fPtMiD2Y2mZ7G3cfmKJV6HfabBYhAfXiK/91f&#10;Os6fpvB4Jl4gV38AAAD//wMAUEsBAi0AFAAGAAgAAAAhANvh9svuAAAAhQEAABMAAAAAAAAAAAAA&#10;AAAAAAAAAFtDb250ZW50X1R5cGVzXS54bWxQSwECLQAUAAYACAAAACEAWvQsW78AAAAVAQAACwAA&#10;AAAAAAAAAAAAAAAfAQAAX3JlbHMvLnJlbHNQSwECLQAUAAYACAAAACEAkJyf+MMAAADcAAAADwAA&#10;AAAAAAAAAAAAAAAHAgAAZHJzL2Rvd25yZXYueG1sUEsFBgAAAAADAAMAtwAAAPcCAAAAAA==&#10;">
                  <v:textbox>
                    <w:txbxContent>
                      <w:p w14:paraId="13063302" w14:textId="77777777" w:rsidR="003B6DB3" w:rsidRPr="00F228CC" w:rsidRDefault="003B6DB3" w:rsidP="00E839E1">
                        <w:pPr>
                          <w:jc w:val="center"/>
                          <w:rPr>
                            <w:sz w:val="18"/>
                            <w:szCs w:val="18"/>
                          </w:rPr>
                        </w:pPr>
                        <w:r w:rsidRPr="00F228CC">
                          <w:rPr>
                            <w:sz w:val="18"/>
                            <w:szCs w:val="18"/>
                          </w:rPr>
                          <w:t>Öğrenci odaklı çalışma yaptırma</w:t>
                        </w:r>
                      </w:p>
                      <w:p w14:paraId="6FDF8301" w14:textId="77777777" w:rsidR="003B6DB3" w:rsidRPr="00F654B5" w:rsidRDefault="003B6DB3" w:rsidP="00E839E1"/>
                    </w:txbxContent>
                  </v:textbox>
                </v:shape>
                <v:shape id="AutoShape 191" o:spid="_x0000_s1122" type="#_x0000_t109" style="position:absolute;left:1597;top:7897;width:1800;height:1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EKzxAAAANwAAAAPAAAAZHJzL2Rvd25yZXYueG1sRE9Na8JA&#10;EL0X+h+WKXiRujG1VWI2UoSIHnpo2ktvY3ZMQrOzIbvG9N+7gtDbPN7npJvRtGKg3jWWFcxnEQji&#10;0uqGKwXfX/nzCoTzyBpby6TgjxxssseHFBNtL/xJQ+ErEULYJaig9r5LpHRlTQbdzHbEgTvZ3qAP&#10;sK+k7vESwk0r4yh6kwYbDg01drStqfwtzkZBvJoWO/7I94vjQef4Ov8Zpi8HpSZP4/sahKfR/4vv&#10;7r0O85cx3J4JF8jsCgAA//8DAFBLAQItABQABgAIAAAAIQDb4fbL7gAAAIUBAAATAAAAAAAAAAAA&#10;AAAAAAAAAABbQ29udGVudF9UeXBlc10ueG1sUEsBAi0AFAAGAAgAAAAhAFr0LFu/AAAAFQEAAAsA&#10;AAAAAAAAAAAAAAAAHwEAAF9yZWxzLy5yZWxzUEsBAi0AFAAGAAgAAAAhAN/AQrPEAAAA3AAAAA8A&#10;AAAAAAAAAAAAAAAABwIAAGRycy9kb3ducmV2LnhtbFBLBQYAAAAAAwADALcAAAD4AgAAAAA=&#10;">
                  <v:textbox>
                    <w:txbxContent>
                      <w:p w14:paraId="778BEEF9" w14:textId="77777777" w:rsidR="003B6DB3" w:rsidRPr="00F654B5" w:rsidRDefault="003B6DB3" w:rsidP="00E839E1">
                        <w:pPr>
                          <w:jc w:val="center"/>
                        </w:pPr>
                        <w:r w:rsidRPr="00F654B5">
                          <w:t>Beceri Temelli Sorular ile Kullanılan Yöntem/Teknik/ Strateji İlişkisi</w:t>
                        </w:r>
                      </w:p>
                    </w:txbxContent>
                  </v:textbox>
                </v:shape>
                <v:oval id="Oval 192" o:spid="_x0000_s1123" style="position:absolute;left:4117;top:7717;width:1440;height:6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YTkwQAAANwAAAAPAAAAZHJzL2Rvd25yZXYueG1sRE9Na8JA&#10;EL0L/Q/LCL3pRoO2RFeRSsEePDS29yE7JsHsbMiOMf57tyD0No/3Oevt4BrVUxdqzwZm0wQUceFt&#10;zaWBn9Pn5B1UEGSLjWcycKcA283LaI2Z9Tf+pj6XUsUQDhkaqETaTOtQVOQwTH1LHLmz7xxKhF2p&#10;bYe3GO4aPU+SpXZYc2yosKWPiopLfnUG9uUuX/Y6lUV63h9kcfk9fqUzY17Hw24FSmiQf/HTfbBx&#10;/lsKf8/EC/TmAQAA//8DAFBLAQItABQABgAIAAAAIQDb4fbL7gAAAIUBAAATAAAAAAAAAAAAAAAA&#10;AAAAAABbQ29udGVudF9UeXBlc10ueG1sUEsBAi0AFAAGAAgAAAAhAFr0LFu/AAAAFQEAAAsAAAAA&#10;AAAAAAAAAAAAHwEAAF9yZWxzLy5yZWxzUEsBAi0AFAAGAAgAAAAhAEl1hOTBAAAA3AAAAA8AAAAA&#10;AAAAAAAAAAAABwIAAGRycy9kb3ducmV2LnhtbFBLBQYAAAAAAwADALcAAAD1AgAAAAA=&#10;">
                  <v:textbox>
                    <w:txbxContent>
                      <w:p w14:paraId="2F183337" w14:textId="77777777" w:rsidR="003B6DB3" w:rsidRPr="00F654B5" w:rsidRDefault="003B6DB3" w:rsidP="00E839E1">
                        <w:pPr>
                          <w:jc w:val="center"/>
                        </w:pPr>
                        <w:r w:rsidRPr="00F654B5">
                          <w:t>İlişki var</w:t>
                        </w:r>
                      </w:p>
                    </w:txbxContent>
                  </v:textbox>
                </v:oval>
                <v:shape id="AutoShape 193" o:spid="_x0000_s1124" type="#_x0000_t32" style="position:absolute;left:3436;top:9157;width:6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lvqwwAAANwAAAAPAAAAZHJzL2Rvd25yZXYueG1sRE9NawIx&#10;EL0L/Q9hCt40q4jWrVFKQRHFg1qW9jZsprtLN5Mlibr6640g9DaP9zmzRWtqcSbnK8sKBv0EBHFu&#10;dcWFgq/jsvcGwgdkjbVlUnAlD4v5S2eGqbYX3tP5EAoRQ9inqKAMoUml9HlJBn3fNsSR+7XOYIjQ&#10;FVI7vMRwU8thkoylwYpjQ4kNfZaU/x1ORsH3dnrKrtmONtlguvlBZ/ztuFKq+9p+vIMI1IZ/8dO9&#10;1nH+ZASPZ+IFcn4HAAD//wMAUEsBAi0AFAAGAAgAAAAhANvh9svuAAAAhQEAABMAAAAAAAAAAAAA&#10;AAAAAAAAAFtDb250ZW50X1R5cGVzXS54bWxQSwECLQAUAAYACAAAACEAWvQsW78AAAAVAQAACwAA&#10;AAAAAAAAAAAAAAAfAQAAX3JlbHMvLnJlbHNQSwECLQAUAAYACAAAACEA0IJb6sMAAADcAAAADwAA&#10;AAAAAAAAAAAAAAAHAgAAZHJzL2Rvd25yZXYueG1sUEsFBgAAAAADAAMAtwAAAPcCAAAAAA==&#10;">
                  <v:stroke endarrow="block"/>
                </v:shape>
                <v:oval id="Oval 194" o:spid="_x0000_s1125" style="position:absolute;left:4117;top:8900;width:1440;height: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LkLwgAAANwAAAAPAAAAZHJzL2Rvd25yZXYueG1sRE9Na8JA&#10;EL0X+h+WKXirGxuikrqKVAR76KFR70N2TILZ2ZCdxvjv3UKht3m8z1ltRteqgfrQeDYwmyagiEtv&#10;G64MnI771yWoIMgWW89k4E4BNuvnpxXm1t/4m4ZCKhVDOORooBbpcq1DWZPDMPUdceQuvncoEfaV&#10;tj3eYrhr9VuSzLXDhmNDjR191FReix9nYFdti/mgU8nSy+4g2fX89ZnOjJm8jNt3UEKj/Iv/3Acb&#10;5y8y+H0mXqDXDwAAAP//AwBQSwECLQAUAAYACAAAACEA2+H2y+4AAACFAQAAEwAAAAAAAAAAAAAA&#10;AAAAAAAAW0NvbnRlbnRfVHlwZXNdLnhtbFBLAQItABQABgAIAAAAIQBa9CxbvwAAABUBAAALAAAA&#10;AAAAAAAAAAAAAB8BAABfcmVscy8ucmVsc1BLAQItABQABgAIAAAAIQCp0LkLwgAAANwAAAAPAAAA&#10;AAAAAAAAAAAAAAcCAABkcnMvZG93bnJldi54bWxQSwUGAAAAAAMAAwC3AAAA9gIAAAAA&#10;">
                  <v:textbox>
                    <w:txbxContent>
                      <w:p w14:paraId="76CFDC81" w14:textId="77777777" w:rsidR="003B6DB3" w:rsidRPr="00F654B5" w:rsidRDefault="003B6DB3" w:rsidP="00E839E1">
                        <w:pPr>
                          <w:jc w:val="center"/>
                        </w:pPr>
                        <w:r w:rsidRPr="00F654B5">
                          <w:t>İlişki yok</w:t>
                        </w:r>
                      </w:p>
                    </w:txbxContent>
                  </v:textbox>
                </v:oval>
              </v:group>
            </w:pict>
          </mc:Fallback>
        </mc:AlternateContent>
      </w:r>
    </w:p>
    <w:p w14:paraId="6E7EDED4" w14:textId="77777777" w:rsidR="00E839E1" w:rsidRPr="000A2E75" w:rsidRDefault="00E839E1" w:rsidP="00E839E1">
      <w:pPr>
        <w:rPr>
          <w:rFonts w:ascii="Times New Roman" w:hAnsi="Times New Roman" w:cs="Times New Roman"/>
        </w:rPr>
      </w:pPr>
    </w:p>
    <w:p w14:paraId="14376AB2" w14:textId="23DCAE03" w:rsidR="00E839E1" w:rsidRDefault="00E839E1" w:rsidP="00E839E1">
      <w:pPr>
        <w:autoSpaceDE w:val="0"/>
        <w:autoSpaceDN w:val="0"/>
        <w:adjustRightInd w:val="0"/>
        <w:spacing w:before="120" w:after="120"/>
        <w:jc w:val="center"/>
        <w:rPr>
          <w:rFonts w:ascii="Times New Roman" w:hAnsi="Times New Roman" w:cs="Times New Roman"/>
        </w:rPr>
      </w:pPr>
    </w:p>
    <w:p w14:paraId="640C675A" w14:textId="17EE4FCE" w:rsidR="008934F8" w:rsidRDefault="008934F8" w:rsidP="00E839E1">
      <w:pPr>
        <w:autoSpaceDE w:val="0"/>
        <w:autoSpaceDN w:val="0"/>
        <w:adjustRightInd w:val="0"/>
        <w:spacing w:before="120" w:after="120"/>
        <w:jc w:val="center"/>
        <w:rPr>
          <w:rFonts w:ascii="Times New Roman" w:hAnsi="Times New Roman" w:cs="Times New Roman"/>
        </w:rPr>
      </w:pPr>
    </w:p>
    <w:p w14:paraId="2C784743" w14:textId="78CC80EC" w:rsidR="008934F8" w:rsidRDefault="008934F8" w:rsidP="00E839E1">
      <w:pPr>
        <w:autoSpaceDE w:val="0"/>
        <w:autoSpaceDN w:val="0"/>
        <w:adjustRightInd w:val="0"/>
        <w:spacing w:before="120" w:after="120"/>
        <w:jc w:val="center"/>
        <w:rPr>
          <w:rFonts w:ascii="Times New Roman" w:hAnsi="Times New Roman" w:cs="Times New Roman"/>
        </w:rPr>
      </w:pPr>
    </w:p>
    <w:p w14:paraId="587AE8CD" w14:textId="318961DE" w:rsidR="008934F8" w:rsidRDefault="008934F8" w:rsidP="00E839E1">
      <w:pPr>
        <w:autoSpaceDE w:val="0"/>
        <w:autoSpaceDN w:val="0"/>
        <w:adjustRightInd w:val="0"/>
        <w:spacing w:before="120" w:after="120"/>
        <w:jc w:val="center"/>
        <w:rPr>
          <w:rFonts w:ascii="Times New Roman" w:hAnsi="Times New Roman" w:cs="Times New Roman"/>
        </w:rPr>
      </w:pPr>
    </w:p>
    <w:p w14:paraId="7E7C5C29" w14:textId="77777777" w:rsidR="008934F8" w:rsidRDefault="008934F8" w:rsidP="00E839E1">
      <w:pPr>
        <w:autoSpaceDE w:val="0"/>
        <w:autoSpaceDN w:val="0"/>
        <w:adjustRightInd w:val="0"/>
        <w:spacing w:before="120" w:after="120"/>
        <w:jc w:val="center"/>
        <w:rPr>
          <w:rFonts w:ascii="Times New Roman" w:hAnsi="Times New Roman" w:cs="Times New Roman"/>
        </w:rPr>
      </w:pPr>
    </w:p>
    <w:p w14:paraId="406FF128" w14:textId="77777777" w:rsidR="008934F8" w:rsidRPr="000A2E75" w:rsidRDefault="008934F8" w:rsidP="00E839E1">
      <w:pPr>
        <w:autoSpaceDE w:val="0"/>
        <w:autoSpaceDN w:val="0"/>
        <w:adjustRightInd w:val="0"/>
        <w:spacing w:before="120" w:after="120"/>
        <w:jc w:val="center"/>
        <w:rPr>
          <w:rFonts w:ascii="Times New Roman" w:hAnsi="Times New Roman" w:cs="Times New Roman"/>
        </w:rPr>
      </w:pPr>
    </w:p>
    <w:p w14:paraId="2D04F5EC" w14:textId="77777777" w:rsidR="00E839E1" w:rsidRPr="000A2E75" w:rsidRDefault="00E839E1" w:rsidP="00E839E1">
      <w:pPr>
        <w:autoSpaceDE w:val="0"/>
        <w:autoSpaceDN w:val="0"/>
        <w:adjustRightInd w:val="0"/>
        <w:spacing w:before="120" w:after="120"/>
        <w:jc w:val="center"/>
        <w:rPr>
          <w:rFonts w:ascii="Times New Roman" w:hAnsi="Times New Roman" w:cs="Times New Roman"/>
        </w:rPr>
      </w:pPr>
      <w:r w:rsidRPr="000A2E75">
        <w:rPr>
          <w:rFonts w:ascii="Times New Roman" w:hAnsi="Times New Roman" w:cs="Times New Roman"/>
        </w:rPr>
        <w:t>Şekil 4. Beceri Temelli Sorular ile Kullanılan Yöntem/Teknik/Strateji İlişkisine Yönelik Görüşler</w:t>
      </w:r>
    </w:p>
    <w:p w14:paraId="325B2E9C" w14:textId="77777777" w:rsidR="00E839E1" w:rsidRPr="000A2E75" w:rsidRDefault="00E839E1" w:rsidP="00E839E1">
      <w:pPr>
        <w:spacing w:before="120" w:after="120"/>
        <w:jc w:val="both"/>
        <w:rPr>
          <w:rFonts w:ascii="Times New Roman" w:hAnsi="Times New Roman" w:cs="Times New Roman"/>
        </w:rPr>
      </w:pPr>
      <w:r w:rsidRPr="000A2E75">
        <w:rPr>
          <w:rFonts w:ascii="Times New Roman" w:hAnsi="Times New Roman" w:cs="Times New Roman"/>
        </w:rPr>
        <w:t>Şekil 4’de yer alan katılımcı görüşleri ışığında yapılan analiz sonrasında; katılımcıların bir kısmı beceri temelli soruların öğretilmesinde kullandıkları yöntem/teknik ve stratejilerde herhangi bir değişiklik oluşturmadığını belirtmelerine karşın bazı katılımcılar beceri temelli soruların matematik dersinde kullandıkları yöntem/teknik ve stratejilerde bazı değişiklikleri meydana getirdiğini ve bu değişiklikleri de “öğrenci odaklı çalışma yaptırma”, “günlük hayatla ilgili örnek verme ve düşündürme”, “ön hazırlı mahiyetli ödev verme” şeklinde ifadelendirmektedirler.</w:t>
      </w:r>
    </w:p>
    <w:p w14:paraId="6F17E246" w14:textId="77777777" w:rsidR="00E839E1" w:rsidRPr="000A2E75" w:rsidRDefault="00E839E1" w:rsidP="00E839E1">
      <w:pPr>
        <w:spacing w:before="120" w:after="120"/>
        <w:jc w:val="both"/>
        <w:rPr>
          <w:rFonts w:ascii="Times New Roman" w:hAnsi="Times New Roman" w:cs="Times New Roman"/>
          <w:i/>
          <w:iCs/>
        </w:rPr>
      </w:pPr>
      <w:r w:rsidRPr="000A2E75">
        <w:rPr>
          <w:rFonts w:ascii="Times New Roman" w:hAnsi="Times New Roman" w:cs="Times New Roman"/>
          <w:i/>
          <w:iCs/>
        </w:rPr>
        <w:t>İlişki Yok</w:t>
      </w:r>
    </w:p>
    <w:p w14:paraId="02507BD6" w14:textId="77777777" w:rsidR="00E839E1" w:rsidRPr="000A2E75" w:rsidRDefault="00E839E1" w:rsidP="00E839E1">
      <w:pPr>
        <w:spacing w:before="120" w:after="120"/>
        <w:jc w:val="both"/>
        <w:rPr>
          <w:rFonts w:ascii="Times New Roman" w:hAnsi="Times New Roman" w:cs="Times New Roman"/>
          <w:i/>
          <w:iCs/>
          <w:lang w:val="fr-FR"/>
        </w:rPr>
      </w:pPr>
      <w:r w:rsidRPr="000A2E75">
        <w:rPr>
          <w:rFonts w:ascii="Times New Roman" w:hAnsi="Times New Roman" w:cs="Times New Roman"/>
          <w:iCs/>
        </w:rPr>
        <w:t>Katılımcılardan bazıları</w:t>
      </w:r>
      <w:r w:rsidRPr="000A2E75">
        <w:rPr>
          <w:rFonts w:ascii="Times New Roman" w:hAnsi="Times New Roman" w:cs="Times New Roman"/>
          <w:i/>
          <w:iCs/>
        </w:rPr>
        <w:t xml:space="preserve"> </w:t>
      </w:r>
      <w:r w:rsidRPr="000A2E75">
        <w:rPr>
          <w:rFonts w:ascii="Times New Roman" w:hAnsi="Times New Roman" w:cs="Times New Roman"/>
        </w:rPr>
        <w:t>beceri temelli soruların öğretilmesinde kullandıkları yöntem/teknik ve stratejilerde herhangi bir değişiklik oluşturmadığını “</w:t>
      </w:r>
      <w:r w:rsidRPr="000A2E75">
        <w:rPr>
          <w:rFonts w:ascii="Times New Roman" w:hAnsi="Times New Roman" w:cs="Times New Roman"/>
          <w:i/>
        </w:rPr>
        <w:t>Benim için değişiklik olmadı. Ben yine aynı yöntem ve teknikle dersimi işliyorum.</w:t>
      </w:r>
      <w:r w:rsidRPr="000A2E75">
        <w:rPr>
          <w:rFonts w:ascii="Times New Roman" w:hAnsi="Times New Roman" w:cs="Times New Roman"/>
        </w:rPr>
        <w:t xml:space="preserve">” </w:t>
      </w:r>
      <w:r w:rsidRPr="000A2E75">
        <w:rPr>
          <w:rFonts w:ascii="Times New Roman" w:hAnsi="Times New Roman" w:cs="Times New Roman"/>
          <w:bCs/>
          <w:lang w:eastAsia="tr-TR"/>
        </w:rPr>
        <w:t xml:space="preserve">(K-8) ve “Hangi teknik ve strateji ile işlerseniz işleyin iş öğrencide bitiyor. </w:t>
      </w:r>
      <w:r w:rsidRPr="000A2E75">
        <w:rPr>
          <w:rFonts w:ascii="Times New Roman" w:hAnsi="Times New Roman" w:cs="Times New Roman"/>
          <w:bCs/>
          <w:lang w:val="fr-FR" w:eastAsia="tr-TR"/>
        </w:rPr>
        <w:t>Bu sorulardan önce de ben aynı yöntemi kullanıyordum, şimdi de.” (K-7) şeklindeki ifadelerle açıklamışlardır. Bu durum katılımcıların beceri temelli soruların çözümüne ilişkin farklı bir ders anlatım teknik ve stratejisini kullanma arayışı içinde olmadıklarını akıllara getirmektedir.</w:t>
      </w:r>
      <w:r w:rsidRPr="000A2E75">
        <w:rPr>
          <w:rFonts w:ascii="Times New Roman" w:hAnsi="Times New Roman" w:cs="Times New Roman"/>
          <w:i/>
          <w:iCs/>
          <w:lang w:val="fr-FR"/>
        </w:rPr>
        <w:t xml:space="preserve"> </w:t>
      </w:r>
    </w:p>
    <w:p w14:paraId="64AB8380" w14:textId="77777777" w:rsidR="00E839E1" w:rsidRPr="000A2E75" w:rsidRDefault="00E839E1" w:rsidP="00E839E1">
      <w:pPr>
        <w:spacing w:before="120" w:after="120"/>
        <w:jc w:val="both"/>
        <w:rPr>
          <w:rFonts w:ascii="Times New Roman" w:hAnsi="Times New Roman" w:cs="Times New Roman"/>
          <w:i/>
          <w:iCs/>
          <w:lang w:val="fr-FR"/>
        </w:rPr>
      </w:pPr>
      <w:r w:rsidRPr="000A2E75">
        <w:rPr>
          <w:rFonts w:ascii="Times New Roman" w:hAnsi="Times New Roman" w:cs="Times New Roman"/>
          <w:i/>
          <w:iCs/>
          <w:lang w:val="fr-FR"/>
        </w:rPr>
        <w:t>İlişki Var</w:t>
      </w:r>
    </w:p>
    <w:p w14:paraId="22E0BFA3" w14:textId="77777777" w:rsidR="00E839E1" w:rsidRPr="000A2E75" w:rsidRDefault="00E839E1" w:rsidP="00E839E1">
      <w:pPr>
        <w:spacing w:before="120" w:after="120"/>
        <w:jc w:val="both"/>
        <w:rPr>
          <w:rFonts w:ascii="Times New Roman" w:hAnsi="Times New Roman" w:cs="Times New Roman"/>
          <w:lang w:val="fr-FR" w:eastAsia="tr-TR"/>
        </w:rPr>
      </w:pPr>
      <w:r w:rsidRPr="000A2E75">
        <w:rPr>
          <w:rFonts w:ascii="Times New Roman" w:hAnsi="Times New Roman" w:cs="Times New Roman"/>
          <w:iCs/>
          <w:lang w:val="fr-FR"/>
        </w:rPr>
        <w:t xml:space="preserve">Katılımcılardan bir kısmı ise </w:t>
      </w:r>
      <w:r w:rsidRPr="000A2E75">
        <w:rPr>
          <w:rFonts w:ascii="Times New Roman" w:hAnsi="Times New Roman" w:cs="Times New Roman"/>
          <w:lang w:val="fr-FR"/>
        </w:rPr>
        <w:t>beceri temelli soruların öğretilmesinde kullandıkları yöntem/teknik ve stratejilerde değişikliklerin olduğunu “</w:t>
      </w:r>
      <w:r w:rsidRPr="000A2E75">
        <w:rPr>
          <w:rFonts w:ascii="Times New Roman" w:hAnsi="Times New Roman" w:cs="Times New Roman"/>
          <w:bCs/>
          <w:i/>
          <w:lang w:val="fr-FR" w:eastAsia="tr-TR"/>
        </w:rPr>
        <w:t>Evet oldu.  Daha fazla öğrenci odaklı çalışmalar yapmaya başladım</w:t>
      </w:r>
      <w:r w:rsidRPr="000A2E75">
        <w:rPr>
          <w:rFonts w:ascii="Times New Roman" w:hAnsi="Times New Roman" w:cs="Times New Roman"/>
          <w:bCs/>
          <w:lang w:val="fr-FR" w:eastAsia="tr-TR"/>
        </w:rPr>
        <w:t>.” (K-3), “</w:t>
      </w:r>
      <w:r w:rsidRPr="000A2E75">
        <w:rPr>
          <w:rFonts w:ascii="Times New Roman" w:hAnsi="Times New Roman" w:cs="Times New Roman"/>
          <w:i/>
          <w:lang w:val="fr-FR" w:eastAsia="tr-TR"/>
        </w:rPr>
        <w:t>Konuyu anlatırken sadece gerekli olan bilgileri vermek yerine günlük yaşamdan öneklerle anlatıyorum. Daha akılda kalıcı olabiliyor. Onları düşünmeye yönlendiriyorum</w:t>
      </w:r>
      <w:r w:rsidRPr="000A2E75">
        <w:rPr>
          <w:rFonts w:ascii="Times New Roman" w:hAnsi="Times New Roman" w:cs="Times New Roman"/>
          <w:lang w:val="fr-FR" w:eastAsia="tr-TR"/>
        </w:rPr>
        <w:t>.”</w:t>
      </w:r>
      <w:r w:rsidRPr="000A2E75">
        <w:rPr>
          <w:rFonts w:ascii="Times New Roman" w:hAnsi="Times New Roman" w:cs="Times New Roman"/>
          <w:bCs/>
          <w:lang w:val="fr-FR" w:eastAsia="tr-TR"/>
        </w:rPr>
        <w:t xml:space="preserve"> (K-2), “</w:t>
      </w:r>
      <w:r w:rsidRPr="000A2E75">
        <w:rPr>
          <w:rFonts w:ascii="Times New Roman" w:hAnsi="Times New Roman" w:cs="Times New Roman"/>
          <w:i/>
          <w:lang w:val="fr-FR" w:eastAsia="tr-TR"/>
        </w:rPr>
        <w:t>Evet oldu. Önceden sadece kazanımları kazandırma amaçlı ders işlerdik şimdi ise mutlaka günlük hayatla ilişkilendirip öğrencilerin yorumlama kapasitelerini artırmaya çalışıyoruz</w:t>
      </w:r>
      <w:r w:rsidRPr="000A2E75">
        <w:rPr>
          <w:rFonts w:ascii="Times New Roman" w:hAnsi="Times New Roman" w:cs="Times New Roman"/>
          <w:lang w:val="fr-FR" w:eastAsia="tr-TR"/>
        </w:rPr>
        <w:t>.”</w:t>
      </w:r>
      <w:r w:rsidRPr="000A2E75">
        <w:rPr>
          <w:rFonts w:ascii="Times New Roman" w:hAnsi="Times New Roman" w:cs="Times New Roman"/>
          <w:bCs/>
          <w:lang w:val="fr-FR" w:eastAsia="tr-TR"/>
        </w:rPr>
        <w:t xml:space="preserve"> (K-4) ve “</w:t>
      </w:r>
      <w:r w:rsidRPr="000A2E75">
        <w:rPr>
          <w:rFonts w:ascii="Times New Roman" w:hAnsi="Times New Roman" w:cs="Times New Roman"/>
          <w:i/>
          <w:lang w:val="fr-FR" w:eastAsia="tr-TR"/>
        </w:rPr>
        <w:t>Tüm öğrencilerim ortak olarak sadece ders kitabına sahip olduğu için dersin akışını ders kitabından sağlamaktayım. Konu bitimlerinde yeni nesil sorulardan ayrıca bir ödevlendirmeyle öğrencilerin sorular hakkında daha önceden bir fikir sahibi olmalarını sağlayıp derste çözümlerini yapmaktayım.</w:t>
      </w:r>
      <w:r w:rsidRPr="000A2E75">
        <w:rPr>
          <w:rFonts w:ascii="Times New Roman" w:hAnsi="Times New Roman" w:cs="Times New Roman"/>
          <w:lang w:val="fr-FR" w:eastAsia="tr-TR"/>
        </w:rPr>
        <w:t xml:space="preserve">” </w:t>
      </w:r>
      <w:r w:rsidRPr="000A2E75">
        <w:rPr>
          <w:rFonts w:ascii="Times New Roman" w:hAnsi="Times New Roman" w:cs="Times New Roman"/>
          <w:bCs/>
          <w:lang w:val="fr-FR" w:eastAsia="tr-TR"/>
        </w:rPr>
        <w:t>(K-5) şeklindeki ifadelerle açıklamaktadırlar. Bu durum beceri temelli matematik sorularının öğretmenlerin genel manada benimseyip uyguladıkları yöntem, teknik ve stratejilerinde değişikliğe gitmelerine sebep olduğu şeklinde yorumlanabilir.</w:t>
      </w:r>
    </w:p>
    <w:p w14:paraId="23249D8B" w14:textId="77777777" w:rsidR="00E839E1" w:rsidRPr="000A2E75" w:rsidRDefault="00E839E1" w:rsidP="00E839E1">
      <w:pPr>
        <w:spacing w:before="120" w:after="120"/>
        <w:jc w:val="both"/>
        <w:rPr>
          <w:rFonts w:ascii="Times New Roman" w:hAnsi="Times New Roman" w:cs="Times New Roman"/>
          <w:i/>
          <w:lang w:val="fr-FR" w:eastAsia="tr-TR"/>
        </w:rPr>
      </w:pPr>
      <w:r w:rsidRPr="000A2E75">
        <w:rPr>
          <w:rFonts w:ascii="Times New Roman" w:hAnsi="Times New Roman" w:cs="Times New Roman"/>
          <w:i/>
          <w:lang w:val="fr-FR"/>
        </w:rPr>
        <w:t>ÖĞRENCİLER AÇISINDAN BECERİ TEMELLİ SORULAR</w:t>
      </w:r>
    </w:p>
    <w:p w14:paraId="4EBCA25B" w14:textId="79CEB1B0" w:rsidR="00E839E1" w:rsidRDefault="00E839E1" w:rsidP="00E839E1">
      <w:pPr>
        <w:autoSpaceDE w:val="0"/>
        <w:autoSpaceDN w:val="0"/>
        <w:adjustRightInd w:val="0"/>
        <w:spacing w:before="120" w:after="120"/>
        <w:jc w:val="both"/>
        <w:rPr>
          <w:rFonts w:ascii="Times New Roman" w:hAnsi="Times New Roman" w:cs="Times New Roman"/>
          <w:lang w:val="fr-FR"/>
        </w:rPr>
      </w:pPr>
      <w:r w:rsidRPr="000A2E75">
        <w:rPr>
          <w:rFonts w:ascii="Times New Roman" w:hAnsi="Times New Roman" w:cs="Times New Roman"/>
          <w:noProof/>
          <w:lang w:val="en-US"/>
        </w:rPr>
        <mc:AlternateContent>
          <mc:Choice Requires="wps">
            <w:drawing>
              <wp:anchor distT="0" distB="0" distL="114300" distR="114300" simplePos="0" relativeHeight="251777024" behindDoc="0" locked="0" layoutInCell="1" allowOverlap="1" wp14:anchorId="67D9169D" wp14:editId="0E45810B">
                <wp:simplePos x="0" y="0"/>
                <wp:positionH relativeFrom="column">
                  <wp:posOffset>-4934585</wp:posOffset>
                </wp:positionH>
                <wp:positionV relativeFrom="paragraph">
                  <wp:posOffset>1619885</wp:posOffset>
                </wp:positionV>
                <wp:extent cx="984250" cy="1062990"/>
                <wp:effectExtent l="13335" t="13970" r="12065" b="8890"/>
                <wp:wrapNone/>
                <wp:docPr id="176" name="Akış Çizelgesi: Öteki İşlem 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0" cy="1062990"/>
                        </a:xfrm>
                        <a:prstGeom prst="flowChartAlternateProcess">
                          <a:avLst/>
                        </a:prstGeom>
                        <a:solidFill>
                          <a:srgbClr val="FFFFFF"/>
                        </a:solidFill>
                        <a:ln w="9525">
                          <a:solidFill>
                            <a:srgbClr val="000000"/>
                          </a:solidFill>
                          <a:miter lim="800000"/>
                          <a:headEnd/>
                          <a:tailEnd/>
                        </a:ln>
                      </wps:spPr>
                      <wps:txbx>
                        <w:txbxContent>
                          <w:p w14:paraId="21A50209" w14:textId="77777777" w:rsidR="003B6DB3" w:rsidRDefault="003B6DB3" w:rsidP="00E839E1">
                            <w:pPr>
                              <w:spacing w:before="240"/>
                              <w:jc w:val="center"/>
                            </w:pPr>
                            <w:r>
                              <w:t>Lisansüstü Eğitim İçin Gönderme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D9169D" id="Akış Çizelgesi: Öteki İşlem 176" o:spid="_x0000_s1126" type="#_x0000_t176" style="position:absolute;left:0;text-align:left;margin-left:-388.55pt;margin-top:127.55pt;width:77.5pt;height:83.7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7LHXAIAAIAEAAAOAAAAZHJzL2Uyb0RvYy54bWysVF1uEzEQfkfiDpbf6SZRkiarbqoopQip&#10;QKTCARyvd9eK/xg72bQX4Aa89grlDG3vxdibhhR4QuyD5fHYn7/5Ps+ene+0IlsBXlpT0P5JjxJh&#10;uC2lqQv65fPlmwklPjBTMmWNKOiN8PR89vrVWetyMbCNVaUAgiDG560raBOCy7PM80Zo5k+sEwaT&#10;lQXNAoZQZyWwFtG1yga93jhrLZQOLBfe4+pFl6SzhF9VgodPVeVFIKqgyC2kEdK4imM2O2N5Dcw1&#10;ku9psH9goZk0eOkB6oIFRjYg/4DSkoP1tgon3OrMVpXkItWA1fR7v1Vz3TAnUi0ojncHmfz/g+Uf&#10;t0sgskTvTseUGKbRpPn68cfTHXn4Jm+FqoWXOXn4HsRaksf7pzslNImbUbrW+RwRrt0SYvHeXVm+&#10;9sTYRcNMLeYAtm0EK5FwP+7PXhyIgcejZNV+sCXeyzbBJhV3FegIiPqQXTLr5mCW2AXCcXE6GQ5G&#10;aCnHVL83Hkynyc2M5c+nHfjwTlhN4qSglbIt8oIwV0GAYUEsu3eTrmTbKx8iRZY/n0slWSXLS6lU&#10;CqBeLRSQLcPXdJm+VBVWfrxNGdIiv9FglJBf5PwxRC99f4PQEikSJXVBJ4dNLI9avjVlerSBSdXN&#10;kbIye3Gjnp0vYbfaJWPHk2erVra8QbnBdm2AbYuTxsItJS22QEH91w0DQYl6b9CyaX84jD2TguHo&#10;dIABHGdWxxlmOEIVNFDSTReh67ONA1k3eFM/yWHsHG2uZBI7PoGO1Z4/PvPkwb4lYx8dx2nXrx/H&#10;7CcAAAD//wMAUEsDBBQABgAIAAAAIQD+DWAr4AAAAA0BAAAPAAAAZHJzL2Rvd25yZXYueG1sTI/B&#10;ToQwEIbvJr5DMybe2EIVWJGy2Wj05EXcxGuhFYh0Smhh0ad3POntn8yXf74pD5sd2WpmPziUkOxi&#10;YAZbpwfsJJzenqI9MB8UajU6NBK+jIdDdXlRqkK7M76atQ4doxL0hZLQhzAVnPu2N1b5nZsM0u7D&#10;zVYFGueO61mdqdyOXMRxxq0akC70ajIPvWk/68VK2F6+m7vlOWnr0O+z/P1mfTyeuJTXV9vxHlgw&#10;W/iD4Vef1KEip8YtqD0bJUR5nifEShBpSoGQKBOCUiPhVogUeFXy/19UPwAAAP//AwBQSwECLQAU&#10;AAYACAAAACEAtoM4kv4AAADhAQAAEwAAAAAAAAAAAAAAAAAAAAAAW0NvbnRlbnRfVHlwZXNdLnht&#10;bFBLAQItABQABgAIAAAAIQA4/SH/1gAAAJQBAAALAAAAAAAAAAAAAAAAAC8BAABfcmVscy8ucmVs&#10;c1BLAQItABQABgAIAAAAIQCPv7LHXAIAAIAEAAAOAAAAAAAAAAAAAAAAAC4CAABkcnMvZTJvRG9j&#10;LnhtbFBLAQItABQABgAIAAAAIQD+DWAr4AAAAA0BAAAPAAAAAAAAAAAAAAAAALYEAABkcnMvZG93&#10;bnJldi54bWxQSwUGAAAAAAQABADzAAAAwwUAAAAA&#10;">
                <v:textbox>
                  <w:txbxContent>
                    <w:p w14:paraId="21A50209" w14:textId="77777777" w:rsidR="003B6DB3" w:rsidRDefault="003B6DB3" w:rsidP="00E839E1">
                      <w:pPr>
                        <w:spacing w:before="240"/>
                        <w:jc w:val="center"/>
                      </w:pPr>
                      <w:r>
                        <w:t>Lisansüstü Eğitim İçin Gönderme</w:t>
                      </w:r>
                    </w:p>
                  </w:txbxContent>
                </v:textbox>
              </v:shape>
            </w:pict>
          </mc:Fallback>
        </mc:AlternateContent>
      </w:r>
      <w:r w:rsidRPr="000A2E75">
        <w:rPr>
          <w:rFonts w:ascii="Times New Roman" w:hAnsi="Times New Roman" w:cs="Times New Roman"/>
          <w:noProof/>
          <w:lang w:val="en-US"/>
        </w:rPr>
        <mc:AlternateContent>
          <mc:Choice Requires="wps">
            <w:drawing>
              <wp:anchor distT="0" distB="0" distL="114300" distR="114300" simplePos="0" relativeHeight="251778048" behindDoc="0" locked="0" layoutInCell="1" allowOverlap="1" wp14:anchorId="1B744E14" wp14:editId="57E408E4">
                <wp:simplePos x="0" y="0"/>
                <wp:positionH relativeFrom="column">
                  <wp:posOffset>-9824085</wp:posOffset>
                </wp:positionH>
                <wp:positionV relativeFrom="paragraph">
                  <wp:posOffset>467360</wp:posOffset>
                </wp:positionV>
                <wp:extent cx="984250" cy="1062990"/>
                <wp:effectExtent l="10160" t="13970" r="5715" b="8890"/>
                <wp:wrapNone/>
                <wp:docPr id="177" name="Akış Çizelgesi: Öteki İşlem 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0" cy="1062990"/>
                        </a:xfrm>
                        <a:prstGeom prst="flowChartAlternateProcess">
                          <a:avLst/>
                        </a:prstGeom>
                        <a:solidFill>
                          <a:srgbClr val="FFFFFF"/>
                        </a:solidFill>
                        <a:ln w="9525">
                          <a:solidFill>
                            <a:srgbClr val="000000"/>
                          </a:solidFill>
                          <a:miter lim="800000"/>
                          <a:headEnd/>
                          <a:tailEnd/>
                        </a:ln>
                      </wps:spPr>
                      <wps:txbx>
                        <w:txbxContent>
                          <w:p w14:paraId="432ADB7E" w14:textId="77777777" w:rsidR="003B6DB3" w:rsidRDefault="003B6DB3" w:rsidP="00E839E1">
                            <w:pPr>
                              <w:jc w:val="center"/>
                            </w:pPr>
                            <w:r>
                              <w:t>Öğretim Üyeliği İçin Yurt Dışından Davet</w:t>
                            </w:r>
                          </w:p>
                          <w:p w14:paraId="5E335BC5" w14:textId="77777777" w:rsidR="003B6DB3" w:rsidRDefault="003B6DB3" w:rsidP="00E839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744E14" id="Akış Çizelgesi: Öteki İşlem 177" o:spid="_x0000_s1127" type="#_x0000_t176" style="position:absolute;left:0;text-align:left;margin-left:-773.55pt;margin-top:36.8pt;width:77.5pt;height:83.7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CUQXAIAAIAEAAAOAAAAZHJzL2Uyb0RvYy54bWysVEtu2zAQ3RfoHQjuG9mGP7FgOTCSpiiQ&#10;tgbSHoCmKIkIfx3SlpML9Abd5grpGZLcq0PKdp22q6JaEBwO+fjmPY5mZ1utyEaAl9YUtH/So0QY&#10;bktp6oJ++Xz55pQSH5gpmbJGFPRWeHo2f/1q1rpcDGxjVSmAIIjxeesK2oTg8izzvBGa+RPrhMFk&#10;ZUGzgCHUWQmsRXStskGvN85aC6UDy4X3uHrRJek84VeV4OFTVXkRiCoocgtphDSu4pjNZyyvgblG&#10;8h0N9g8sNJMGLz1AXbDAyBrkH1BacrDeVuGEW53ZqpJcpBqwmn7vt2quG+ZEqgXF8e4gk/9/sPzj&#10;ZglElujdZEKJYRpNWtw8/Xi+J4/f5J1QtfAyJ4/fg7iR5Onh+V4JTeJmlK51PkeEa7eEWLx3V5bf&#10;eGLsecNMLRYAtm0EK5FwP+7PXhyIgcejZNV+sCXey9bBJhW3FegIiPqQbTLr9mCW2AbCcXF6OhyM&#10;0FKOqX5vPJhOk5sZy/enHfjwTlhN4qSglbIt8oKwUEGAYUEsu3eTrmSbKx8iRZbvz6WSrJLlpVQq&#10;BVCvzhWQDcPXdJm+VBVWfrxNGdIiv9FglJBf5PwxRC99f4PQEikSJXVBTw+bWB61fGvK9GgDk6qb&#10;I2VlduJGPTtfwna1TcaOp3urVra8RbnBdm2AbYuTxsIdJS22QEH91zUDQYl6b9CyaX84jD2TguFo&#10;MsAAjjOr4wwzHKEKGijppueh67O1A1k3eFM/yWHsAm2uZBI7PoGO1Y4/PvPkwa4lYx8dx2nXrx/H&#10;/CcAAAD//wMAUEsDBBQABgAIAAAAIQA1Q+nI4gAAAA4BAAAPAAAAZHJzL2Rvd25yZXYueG1sTI/B&#10;ToQwEIbvJr5DMybe2FJYYZelbDYaPXkRN/FaaJcS6ZTQwqJPbz3pcWa+/PP95XE1A1nU5HqLHNgm&#10;BqKwtbLHjsP5/TnaAXFeoBSDRcXhSzk4Vrc3pSikveKbWmrfkRCCrhActPdjQalrtTLCbeyoMNwu&#10;djLCh3HqqJzENYSbgSZxnFEjegwftBjVo1btZz0bDuvrd7OfX1hbe73L8o90eTqdKef3d+vpAMSr&#10;1f/B8Ksf1KEKTo2dUToycIjYwzZnAeaQpxmQgEQs3Sdh1XBItiwGWpX0f43qBwAA//8DAFBLAQIt&#10;ABQABgAIAAAAIQC2gziS/gAAAOEBAAATAAAAAAAAAAAAAAAAAAAAAABbQ29udGVudF9UeXBlc10u&#10;eG1sUEsBAi0AFAAGAAgAAAAhADj9If/WAAAAlAEAAAsAAAAAAAAAAAAAAAAALwEAAF9yZWxzLy5y&#10;ZWxzUEsBAi0AFAAGAAgAAAAhABo4JRBcAgAAgAQAAA4AAAAAAAAAAAAAAAAALgIAAGRycy9lMm9E&#10;b2MueG1sUEsBAi0AFAAGAAgAAAAhADVD6cjiAAAADgEAAA8AAAAAAAAAAAAAAAAAtgQAAGRycy9k&#10;b3ducmV2LnhtbFBLBQYAAAAABAAEAPMAAADFBQAAAAA=&#10;">
                <v:textbox>
                  <w:txbxContent>
                    <w:p w14:paraId="432ADB7E" w14:textId="77777777" w:rsidR="003B6DB3" w:rsidRDefault="003B6DB3" w:rsidP="00E839E1">
                      <w:pPr>
                        <w:jc w:val="center"/>
                      </w:pPr>
                      <w:r>
                        <w:t>Öğretim Üyeliği İçin Yurt Dışından Davet</w:t>
                      </w:r>
                    </w:p>
                    <w:p w14:paraId="5E335BC5" w14:textId="77777777" w:rsidR="003B6DB3" w:rsidRDefault="003B6DB3" w:rsidP="00E839E1"/>
                  </w:txbxContent>
                </v:textbox>
              </v:shape>
            </w:pict>
          </mc:Fallback>
        </mc:AlternateContent>
      </w:r>
      <w:r w:rsidRPr="000A2E75">
        <w:rPr>
          <w:rFonts w:ascii="Times New Roman" w:hAnsi="Times New Roman" w:cs="Times New Roman"/>
          <w:noProof/>
          <w:lang w:val="en-US"/>
        </w:rPr>
        <mc:AlternateContent>
          <mc:Choice Requires="wps">
            <w:drawing>
              <wp:anchor distT="0" distB="0" distL="114300" distR="114300" simplePos="0" relativeHeight="251779072" behindDoc="0" locked="0" layoutInCell="1" allowOverlap="1" wp14:anchorId="6235F26F" wp14:editId="4AA283D6">
                <wp:simplePos x="0" y="0"/>
                <wp:positionH relativeFrom="column">
                  <wp:posOffset>-4934585</wp:posOffset>
                </wp:positionH>
                <wp:positionV relativeFrom="paragraph">
                  <wp:posOffset>467360</wp:posOffset>
                </wp:positionV>
                <wp:extent cx="984250" cy="1062990"/>
                <wp:effectExtent l="13335" t="13970" r="12065" b="8890"/>
                <wp:wrapNone/>
                <wp:docPr id="178" name="Akış Çizelgesi: Öteki İşlem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0" cy="1062990"/>
                        </a:xfrm>
                        <a:prstGeom prst="flowChartAlternateProcess">
                          <a:avLst/>
                        </a:prstGeom>
                        <a:solidFill>
                          <a:srgbClr val="FFFFFF"/>
                        </a:solidFill>
                        <a:ln w="9525">
                          <a:solidFill>
                            <a:srgbClr val="000000"/>
                          </a:solidFill>
                          <a:miter lim="800000"/>
                          <a:headEnd/>
                          <a:tailEnd/>
                        </a:ln>
                      </wps:spPr>
                      <wps:txbx>
                        <w:txbxContent>
                          <w:p w14:paraId="0B4FC41C" w14:textId="77777777" w:rsidR="003B6DB3" w:rsidRDefault="003B6DB3" w:rsidP="00E839E1">
                            <w:pPr>
                              <w:jc w:val="center"/>
                            </w:pPr>
                            <w:r>
                              <w:t>Öğretim Üyeliği İçin Yurt Dışından Davet</w:t>
                            </w:r>
                          </w:p>
                          <w:p w14:paraId="0E231741" w14:textId="77777777" w:rsidR="003B6DB3" w:rsidRDefault="003B6DB3" w:rsidP="00E839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35F26F" id="Akış Çizelgesi: Öteki İşlem 178" o:spid="_x0000_s1128" type="#_x0000_t176" style="position:absolute;left:0;text-align:left;margin-left:-388.55pt;margin-top:36.8pt;width:77.5pt;height:83.7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M+AWgIAAIAEAAAOAAAAZHJzL2Uyb0RvYy54bWysVF1uEzEQfkfiDpbfySZR0iSrbqqopQip&#10;QKTCARyvd9eq/xg72aQX4Aa89gpwhrb3YuxN0xR4QuyD5fHYn7/5Ps+enm21IhsBXlpT0EGvT4kw&#10;3JbS1AX98vnyzZQSH5gpmbJGFHQnPD2bv3512rpcDG1jVSmAIIjxeesK2oTg8izzvBGa+Z51wmCy&#10;sqBZwBDqrATWIrpW2bDfP8laC6UDy4X3uHrRJek84VeV4OFTVXkRiCoocgtphDSu4pjNT1leA3ON&#10;5Hsa7B9YaCYNXnqAumCBkTXIP6C05GC9rUKPW53ZqpJcpBqwmkH/t2quG+ZEqgXF8e4gk/9/sPzj&#10;ZglElujdBK0yTKNJi5uHn4935P6bvBWqFl7m5P57EDeSPPx4vFNCk7gZpWudzxHh2i0hFu/dleU3&#10;nhh73jBTiwWAbRvBSiQ8iPuzFwdi4PEoWbUfbIn3snWwScVtBToCoj5km8zaHcwS20A4Ls6mo+EY&#10;LeWYGvRPhrNZcjNj+dNpBz68E1aTOClopWyLvCAsVBBgWBDL7t2kK9nmyodIkeVP51JJVsnyUiqV&#10;AqhX5wrIhuFrukxfqgorP96mDGmR33g4Tsgvcv4Yop++v0FoiRSJkrqg08Mmlkct35oyPdrApOrm&#10;SFmZvbhRz86XsF1tk7GTpEsUe2XLHcoNtmsDbFucNBZuKWmxBQrqv64ZCErUe4OWzQajUeyZFIzG&#10;kyEGcJxZHWeY4QhV0EBJNz0PXZ+tHci6wZsGSQ5jF2hzJZPYz6z2/PGZJw/2LRn76DhOu55/HPNf&#10;AAAA//8DAFBLAwQUAAYACAAAACEAQXM5XeAAAAAMAQAADwAAAGRycy9kb3ducmV2LnhtbEyPwU6E&#10;MBCG7ya+QzMm3tgCa+jKUjYbjZ68iJt4LbQCWToltLDo0zue3OPMfPnn+4vDage2mMn3DiUkmxiY&#10;wcbpHlsJp4+XaAfMB4VaDQ6NhG/j4VDe3hQq1+6C72apQssoBH2uJHQhjDnnvumMVX7jRoN0+3KT&#10;VYHGqeV6UhcKtwNP4zjjVvVIHzo1mqfONOdqthLWt5/6cX5Nmip0u0x8bpfn44lLeX+3HvfAglnD&#10;Pwx/+qQOJTnVbkbt2SAhEkIkxEoQ2wwYEVGWprSpJaQPSQy8LPh1ifIXAAD//wMAUEsBAi0AFAAG&#10;AAgAAAAhALaDOJL+AAAA4QEAABMAAAAAAAAAAAAAAAAAAAAAAFtDb250ZW50X1R5cGVzXS54bWxQ&#10;SwECLQAUAAYACAAAACEAOP0h/9YAAACUAQAACwAAAAAAAAAAAAAAAAAvAQAAX3JlbHMvLnJlbHNQ&#10;SwECLQAUAAYACAAAACEAenzPgFoCAACABAAADgAAAAAAAAAAAAAAAAAuAgAAZHJzL2Uyb0RvYy54&#10;bWxQSwECLQAUAAYACAAAACEAQXM5XeAAAAAMAQAADwAAAAAAAAAAAAAAAAC0BAAAZHJzL2Rvd25y&#10;ZXYueG1sUEsFBgAAAAAEAAQA8wAAAMEFAAAAAA==&#10;">
                <v:textbox>
                  <w:txbxContent>
                    <w:p w14:paraId="0B4FC41C" w14:textId="77777777" w:rsidR="003B6DB3" w:rsidRDefault="003B6DB3" w:rsidP="00E839E1">
                      <w:pPr>
                        <w:jc w:val="center"/>
                      </w:pPr>
                      <w:r>
                        <w:t>Öğretim Üyeliği İçin Yurt Dışından Davet</w:t>
                      </w:r>
                    </w:p>
                    <w:p w14:paraId="0E231741" w14:textId="77777777" w:rsidR="003B6DB3" w:rsidRDefault="003B6DB3" w:rsidP="00E839E1"/>
                  </w:txbxContent>
                </v:textbox>
              </v:shape>
            </w:pict>
          </mc:Fallback>
        </mc:AlternateContent>
      </w:r>
      <w:r w:rsidRPr="000A2E75">
        <w:rPr>
          <w:rFonts w:ascii="Times New Roman" w:hAnsi="Times New Roman" w:cs="Times New Roman"/>
          <w:lang w:val="fr-FR"/>
        </w:rPr>
        <w:t>Katılımcılardan elde edilen veriler ışığında, öğrenciler açısından beceri temelli matematik sorularının nasıl olduğuna ilişkin görüşlerin aşağıdaki gibi ifade edildiği görülmektedir.</w:t>
      </w:r>
    </w:p>
    <w:p w14:paraId="0983A700" w14:textId="1C82570C" w:rsidR="008934F8" w:rsidRDefault="008934F8" w:rsidP="00E839E1">
      <w:pPr>
        <w:autoSpaceDE w:val="0"/>
        <w:autoSpaceDN w:val="0"/>
        <w:adjustRightInd w:val="0"/>
        <w:spacing w:before="120" w:after="120"/>
        <w:jc w:val="both"/>
        <w:rPr>
          <w:rFonts w:ascii="Times New Roman" w:hAnsi="Times New Roman" w:cs="Times New Roman"/>
          <w:lang w:val="fr-FR"/>
        </w:rPr>
      </w:pPr>
    </w:p>
    <w:p w14:paraId="4F522FE4" w14:textId="00963BDF" w:rsidR="008934F8" w:rsidRDefault="008934F8" w:rsidP="00E839E1">
      <w:pPr>
        <w:autoSpaceDE w:val="0"/>
        <w:autoSpaceDN w:val="0"/>
        <w:adjustRightInd w:val="0"/>
        <w:spacing w:before="120" w:after="120"/>
        <w:jc w:val="both"/>
        <w:rPr>
          <w:rFonts w:ascii="Times New Roman" w:hAnsi="Times New Roman" w:cs="Times New Roman"/>
          <w:lang w:val="fr-FR"/>
        </w:rPr>
      </w:pPr>
    </w:p>
    <w:p w14:paraId="1E837FC7" w14:textId="77777777" w:rsidR="008934F8" w:rsidRPr="000A2E75" w:rsidRDefault="008934F8" w:rsidP="00E839E1">
      <w:pPr>
        <w:autoSpaceDE w:val="0"/>
        <w:autoSpaceDN w:val="0"/>
        <w:adjustRightInd w:val="0"/>
        <w:spacing w:before="120" w:after="120"/>
        <w:jc w:val="both"/>
        <w:rPr>
          <w:rFonts w:ascii="Times New Roman" w:hAnsi="Times New Roman" w:cs="Times New Roman"/>
          <w:lang w:val="fr-FR"/>
        </w:rPr>
      </w:pPr>
    </w:p>
    <w:p w14:paraId="35AD5420" w14:textId="77777777" w:rsidR="00E839E1" w:rsidRPr="000A2E75" w:rsidRDefault="00E839E1" w:rsidP="00E839E1">
      <w:pPr>
        <w:autoSpaceDE w:val="0"/>
        <w:autoSpaceDN w:val="0"/>
        <w:adjustRightInd w:val="0"/>
        <w:spacing w:before="120" w:after="120"/>
        <w:jc w:val="both"/>
        <w:rPr>
          <w:rFonts w:ascii="Times New Roman" w:hAnsi="Times New Roman" w:cs="Times New Roman"/>
          <w:lang w:val="fr-FR"/>
        </w:rPr>
      </w:pPr>
    </w:p>
    <w:p w14:paraId="55812C03" w14:textId="77777777" w:rsidR="00E839E1" w:rsidRPr="000A2E75" w:rsidRDefault="00E839E1" w:rsidP="00E839E1">
      <w:pPr>
        <w:autoSpaceDE w:val="0"/>
        <w:autoSpaceDN w:val="0"/>
        <w:adjustRightInd w:val="0"/>
        <w:spacing w:before="120" w:after="120" w:line="360" w:lineRule="auto"/>
        <w:jc w:val="center"/>
        <w:rPr>
          <w:rFonts w:ascii="Times New Roman" w:hAnsi="Times New Roman" w:cs="Times New Roman"/>
          <w:i/>
          <w:lang w:val="fr-FR"/>
        </w:rPr>
      </w:pPr>
      <w:r w:rsidRPr="000A2E75">
        <w:rPr>
          <w:rFonts w:ascii="Times New Roman" w:hAnsi="Times New Roman" w:cs="Times New Roman"/>
          <w:i/>
          <w:noProof/>
          <w:lang w:val="en-US"/>
        </w:rPr>
        <mc:AlternateContent>
          <mc:Choice Requires="wpg">
            <w:drawing>
              <wp:anchor distT="0" distB="0" distL="114300" distR="114300" simplePos="0" relativeHeight="251780096" behindDoc="0" locked="0" layoutInCell="1" allowOverlap="1" wp14:anchorId="57A877B7" wp14:editId="7505928D">
                <wp:simplePos x="0" y="0"/>
                <wp:positionH relativeFrom="column">
                  <wp:posOffset>342900</wp:posOffset>
                </wp:positionH>
                <wp:positionV relativeFrom="paragraph">
                  <wp:posOffset>1905</wp:posOffset>
                </wp:positionV>
                <wp:extent cx="4975860" cy="1090930"/>
                <wp:effectExtent l="13970" t="10795" r="10795" b="12700"/>
                <wp:wrapNone/>
                <wp:docPr id="179" name="Grup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75860" cy="1090930"/>
                          <a:chOff x="1957" y="7963"/>
                          <a:chExt cx="7836" cy="1718"/>
                        </a:xfrm>
                      </wpg:grpSpPr>
                      <wps:wsp>
                        <wps:cNvPr id="180" name="Oval 199"/>
                        <wps:cNvSpPr>
                          <a:spLocks noChangeArrowheads="1"/>
                        </wps:cNvSpPr>
                        <wps:spPr bwMode="auto">
                          <a:xfrm>
                            <a:off x="1957" y="7963"/>
                            <a:ext cx="2160" cy="1687"/>
                          </a:xfrm>
                          <a:prstGeom prst="ellipse">
                            <a:avLst/>
                          </a:prstGeom>
                          <a:solidFill>
                            <a:srgbClr val="FFFFFF"/>
                          </a:solidFill>
                          <a:ln w="9525">
                            <a:solidFill>
                              <a:srgbClr val="000000"/>
                            </a:solidFill>
                            <a:round/>
                            <a:headEnd/>
                            <a:tailEnd/>
                          </a:ln>
                        </wps:spPr>
                        <wps:txbx>
                          <w:txbxContent>
                            <w:p w14:paraId="716001B5" w14:textId="77777777" w:rsidR="003B6DB3" w:rsidRPr="00F228CC" w:rsidRDefault="003B6DB3" w:rsidP="00E839E1">
                              <w:pPr>
                                <w:jc w:val="center"/>
                              </w:pPr>
                              <w:r w:rsidRPr="00F228CC">
                                <w:t>Öğrenciler Açısından Beceri Temelli Sorular</w:t>
                              </w:r>
                            </w:p>
                          </w:txbxContent>
                        </wps:txbx>
                        <wps:bodyPr rot="0" vert="horz" wrap="square" lIns="91440" tIns="45720" rIns="91440" bIns="45720" anchor="t" anchorCtr="0" upright="1">
                          <a:noAutofit/>
                        </wps:bodyPr>
                      </wps:wsp>
                      <wps:wsp>
                        <wps:cNvPr id="181" name="AutoShape 200"/>
                        <wps:cNvCnPr>
                          <a:cxnSpLocks noChangeShapeType="1"/>
                        </wps:cNvCnPr>
                        <wps:spPr bwMode="auto">
                          <a:xfrm>
                            <a:off x="4117" y="8888"/>
                            <a:ext cx="681"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2" name="AutoShape 201"/>
                        <wps:cNvCnPr>
                          <a:cxnSpLocks noChangeShapeType="1"/>
                        </wps:cNvCnPr>
                        <wps:spPr bwMode="auto">
                          <a:xfrm>
                            <a:off x="6457" y="9137"/>
                            <a:ext cx="879" cy="2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3" name="AutoShape 202"/>
                        <wps:cNvSpPr>
                          <a:spLocks noChangeArrowheads="1"/>
                        </wps:cNvSpPr>
                        <wps:spPr bwMode="auto">
                          <a:xfrm>
                            <a:off x="4798" y="8503"/>
                            <a:ext cx="1659" cy="752"/>
                          </a:xfrm>
                          <a:prstGeom prst="flowChartProcess">
                            <a:avLst/>
                          </a:prstGeom>
                          <a:solidFill>
                            <a:srgbClr val="FFFFFF"/>
                          </a:solidFill>
                          <a:ln w="9525">
                            <a:solidFill>
                              <a:srgbClr val="000000"/>
                            </a:solidFill>
                            <a:miter lim="800000"/>
                            <a:headEnd/>
                            <a:tailEnd/>
                          </a:ln>
                        </wps:spPr>
                        <wps:txbx>
                          <w:txbxContent>
                            <w:p w14:paraId="0DF5FD5D" w14:textId="77777777" w:rsidR="003B6DB3" w:rsidRPr="00F228CC" w:rsidRDefault="003B6DB3" w:rsidP="00E839E1">
                              <w:pPr>
                                <w:spacing w:before="120"/>
                                <w:jc w:val="center"/>
                              </w:pPr>
                              <w:r w:rsidRPr="00F228CC">
                                <w:t>Zorlayıcı</w:t>
                              </w:r>
                            </w:p>
                          </w:txbxContent>
                        </wps:txbx>
                        <wps:bodyPr rot="0" vert="horz" wrap="square" lIns="91440" tIns="45720" rIns="91440" bIns="45720" anchor="t" anchorCtr="0" upright="1">
                          <a:noAutofit/>
                        </wps:bodyPr>
                      </wps:wsp>
                      <wps:wsp>
                        <wps:cNvPr id="184" name="AutoShape 203"/>
                        <wps:cNvSpPr>
                          <a:spLocks noChangeArrowheads="1"/>
                        </wps:cNvSpPr>
                        <wps:spPr bwMode="auto">
                          <a:xfrm>
                            <a:off x="7336" y="8943"/>
                            <a:ext cx="2457" cy="738"/>
                          </a:xfrm>
                          <a:prstGeom prst="flowChartAlternateProcess">
                            <a:avLst/>
                          </a:prstGeom>
                          <a:solidFill>
                            <a:srgbClr val="FFFFFF"/>
                          </a:solidFill>
                          <a:ln w="9525">
                            <a:solidFill>
                              <a:srgbClr val="000000"/>
                            </a:solidFill>
                            <a:miter lim="800000"/>
                            <a:headEnd/>
                            <a:tailEnd/>
                          </a:ln>
                        </wps:spPr>
                        <wps:txbx>
                          <w:txbxContent>
                            <w:p w14:paraId="3C501E9C" w14:textId="77777777" w:rsidR="003B6DB3" w:rsidRPr="00F228CC" w:rsidRDefault="003B6DB3" w:rsidP="00E839E1">
                              <w:pPr>
                                <w:spacing w:before="120"/>
                                <w:jc w:val="center"/>
                              </w:pPr>
                              <w:r w:rsidRPr="00F228CC">
                                <w:t>Sorulara karşı ön yargı</w:t>
                              </w:r>
                            </w:p>
                            <w:p w14:paraId="68B30C0E" w14:textId="77777777" w:rsidR="003B6DB3" w:rsidRPr="00F228CC" w:rsidRDefault="003B6DB3" w:rsidP="00E839E1"/>
                          </w:txbxContent>
                        </wps:txbx>
                        <wps:bodyPr rot="0" vert="horz" wrap="square" lIns="91440" tIns="45720" rIns="91440" bIns="45720" anchor="t" anchorCtr="0" upright="1">
                          <a:noAutofit/>
                        </wps:bodyPr>
                      </wps:wsp>
                      <wps:wsp>
                        <wps:cNvPr id="185" name="AutoShape 204"/>
                        <wps:cNvCnPr>
                          <a:cxnSpLocks noChangeShapeType="1"/>
                        </wps:cNvCnPr>
                        <wps:spPr bwMode="auto">
                          <a:xfrm flipV="1">
                            <a:off x="6457" y="8503"/>
                            <a:ext cx="879" cy="16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6" name="AutoShape 205"/>
                        <wps:cNvSpPr>
                          <a:spLocks noChangeArrowheads="1"/>
                        </wps:cNvSpPr>
                        <wps:spPr bwMode="auto">
                          <a:xfrm>
                            <a:off x="7336" y="8083"/>
                            <a:ext cx="2457" cy="719"/>
                          </a:xfrm>
                          <a:prstGeom prst="flowChartAlternateProcess">
                            <a:avLst/>
                          </a:prstGeom>
                          <a:solidFill>
                            <a:srgbClr val="FFFFFF"/>
                          </a:solidFill>
                          <a:ln w="9525">
                            <a:solidFill>
                              <a:srgbClr val="000000"/>
                            </a:solidFill>
                            <a:miter lim="800000"/>
                            <a:headEnd/>
                            <a:tailEnd/>
                          </a:ln>
                        </wps:spPr>
                        <wps:txbx>
                          <w:txbxContent>
                            <w:p w14:paraId="011FDE95" w14:textId="77777777" w:rsidR="003B6DB3" w:rsidRPr="00F228CC" w:rsidRDefault="003B6DB3" w:rsidP="00E839E1">
                              <w:pPr>
                                <w:jc w:val="center"/>
                              </w:pPr>
                              <w:r w:rsidRPr="00F228CC">
                                <w:t>Soruların uzunluğundan şikâyet</w:t>
                              </w:r>
                            </w:p>
                            <w:p w14:paraId="3EAAAECE" w14:textId="77777777" w:rsidR="003B6DB3" w:rsidRPr="00F228CC" w:rsidRDefault="003B6DB3" w:rsidP="00E839E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A877B7" id="Grup 179" o:spid="_x0000_s1129" style="position:absolute;left:0;text-align:left;margin-left:27pt;margin-top:.15pt;width:391.8pt;height:85.9pt;z-index:251780096;mso-position-horizontal-relative:text;mso-position-vertical-relative:text" coordorigin="1957,7963" coordsize="7836,1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CaKZQQAAKsWAAAOAAAAZHJzL2Uyb0RvYy54bWzsWE1v4zYQvRfofyB0dyza+kacRWA7QYFt&#10;N8Bue6clyhIqkSpJR06L/vcOSUmREwcbZOFgi7UPMilKo5k3j49DXn7Y1xW6p0KWnC0cfOE6iLKU&#10;ZyXbLpzfv9xMIgdJRVhGKs7ownmg0vlw9fNPl22T0BkveJVRgcAIk0nbLJxCqSaZTmVa0JrIC95Q&#10;BoM5FzVR0BXbaSZIC9brajpz3WDacpE1gqdUSri7soPOlbGf5zRVn/JcUoWqhQO+KXMV5rrR1+nV&#10;JUm2gjRFmXZukDd4UZOSwUcHUyuiCNqJ8pmpukwFlzxXFymvpzzPy5SaGCAa7D6J5lbwXWNi2Sbt&#10;thlgAmif4PRms+lv93cClRnkLowdxEgNSboVuwbpPqDTNtsEHroVzefmTtgQofmRp39KGJ4+Hdf9&#10;rX0YbdpfeQb2yE5xg84+F7U2AXGjvUnCw5AEulcohZteHPpRALlKYQy7sRvPuzSlBeRSv4djP3QQ&#10;DIdxMLcpTIt1934YzYPu5RBHenRKEvth42znnI4MKCcfUZXfhurngjTUJEtqwHpUI4jEovrpnlQI&#10;xx2q5qEeUmnxRIwvC8K29FoI3haUZOATNiFoZ8GqfUF3JGTjqwAfAaqHeYYHjIMoPICJJI2Q6pby&#10;GunGwqFVVTZSB0cScv9RKgtq/5S+LXlVZjdlVZmO2G6WlUAQ8MK5Mb/uAwePVQy1Cyf2Z76xfDAm&#10;xyZc8ztmAiYIy8Abkmi01l1bkbKybUh9xQxLLWI262q/2RvOhwZcDeeGZw8AqOBWIUDRoFFw8beD&#10;WlCHhSP/2hFBHVT9wiApMfY8LSem4/nhDDpiPLIZjxCWgqmFoxxkm0tlJWjXiHJbwJewQYDxa5gp&#10;eWnwffSq8x+4+m6kxT1ptUOG2QjUVmegI+KSWTFI96wTg4G85vEvDw1M/APu2ldezV0PYzvJI/jp&#10;L5Ok524QgX9aHoxHw/R+xlupBNH4LjljsBJwYWF+gcKMa/6aD52amUgZeJQoYbZXwCqYBzXNgF0U&#10;VlHdAjc67pqwYc71AJhV5R+QxXW0jryJNwvWE89drSbXN0tvEtzg0F/NV8vlCv+rSYW9pCizjDId&#10;XL/CYe91WtettXZtGta4AajpoXXjMuSo/zdOg+aOp56dZzo6ff89KT07Rulh/oO2np7SASiFWbdi&#10;PDeS+0jpSK++mtLdNDuT+kzqUV37UnExP0bq2UinT11heGEMFT7wNvLdrhTrVRoHfsfp0Dcuvczp&#10;vOItVD5C3dlK/jusNOpSwUalKmsIdShH3lp2DBk6lx0HtbJ3jM6GVl3ZcWo6h3O9edB0jr0ndJ4Z&#10;8dYSHc4PtxXP6o6BztcVkIYRRX8QXg+pOvP6gNf+MV57I5k+Ue2Bcti4/dFvL7pd91CFPJfsoQrB&#10;wVcofi6tz6X1cMQBkmmPOMa7RX9E7/eTbTd6WbaxOXp5RRXyo8n2oET/F9k2B3lwImp2mt3prT5y&#10;HffNFvPxjPnqPwAAAP//AwBQSwMEFAAGAAgAAAAhAOEmrf7fAAAABwEAAA8AAABkcnMvZG93bnJl&#10;di54bWxMj81qwzAQhO+FvoPYQG+N7Lj5wbEcQmh7CoUmhdLbxtrYJtbKWIrtvH3VU3McZpj5JtuM&#10;phE9da62rCCeRiCIC6trLhV8Hd+eVyCcR9bYWCYFN3KwyR8fMky1HfiT+oMvRShhl6KCyvs2ldIV&#10;FRl0U9sSB+9sO4M+yK6UusMhlJtGzqJoIQ3WHBYqbGlXUXE5XI2C9wGHbRK/9vvLeXf7Oc4/vvcx&#10;KfU0GbdrEJ5G/x+GP/yADnlgOtkraycaBfOXcMUrSEAEd5UsFyBOIbacxSDzTN7z578AAAD//wMA&#10;UEsBAi0AFAAGAAgAAAAhALaDOJL+AAAA4QEAABMAAAAAAAAAAAAAAAAAAAAAAFtDb250ZW50X1R5&#10;cGVzXS54bWxQSwECLQAUAAYACAAAACEAOP0h/9YAAACUAQAACwAAAAAAAAAAAAAAAAAvAQAAX3Jl&#10;bHMvLnJlbHNQSwECLQAUAAYACAAAACEAIawmimUEAACrFgAADgAAAAAAAAAAAAAAAAAuAgAAZHJz&#10;L2Uyb0RvYy54bWxQSwECLQAUAAYACAAAACEA4Sat/t8AAAAHAQAADwAAAAAAAAAAAAAAAAC/BgAA&#10;ZHJzL2Rvd25yZXYueG1sUEsFBgAAAAAEAAQA8wAAAMsHAAAAAA==&#10;">
                <v:oval id="Oval 199" o:spid="_x0000_s1130" style="position:absolute;left:1957;top:7963;width:2160;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mq0xAAAANwAAAAPAAAAZHJzL2Rvd25yZXYueG1sRI9Ba8JA&#10;EIXvhf6HZQre6kaDIqmriFKwhx6atvchOybB7GzITmP8951DobcZ3pv3vtnup9CZkYbURnawmGdg&#10;iKvoW64dfH2+Pm/AJEH22EUmB3dKsN89Pmyx8PHGHzSWUhsN4VSgg0akL6xNVUMB0zz2xKpd4hBQ&#10;dB1q6we8aXjo7DLL1jZgy9rQYE/Hhqpr+RMcnOpDuR5tLqv8cjrL6vr9/pYvnJs9TYcXMEKT/Jv/&#10;rs9e8TeKr8/oBHb3CwAA//8DAFBLAQItABQABgAIAAAAIQDb4fbL7gAAAIUBAAATAAAAAAAAAAAA&#10;AAAAAAAAAABbQ29udGVudF9UeXBlc10ueG1sUEsBAi0AFAAGAAgAAAAhAFr0LFu/AAAAFQEAAAsA&#10;AAAAAAAAAAAAAAAAHwEAAF9yZWxzLy5yZWxzUEsBAi0AFAAGAAgAAAAhAIxyarTEAAAA3AAAAA8A&#10;AAAAAAAAAAAAAAAABwIAAGRycy9kb3ducmV2LnhtbFBLBQYAAAAAAwADALcAAAD4AgAAAAA=&#10;">
                  <v:textbox>
                    <w:txbxContent>
                      <w:p w14:paraId="716001B5" w14:textId="77777777" w:rsidR="003B6DB3" w:rsidRPr="00F228CC" w:rsidRDefault="003B6DB3" w:rsidP="00E839E1">
                        <w:pPr>
                          <w:jc w:val="center"/>
                        </w:pPr>
                        <w:r w:rsidRPr="00F228CC">
                          <w:t>Öğrenciler Açısından Beceri Temelli Sorular</w:t>
                        </w:r>
                      </w:p>
                    </w:txbxContent>
                  </v:textbox>
                </v:oval>
                <v:shape id="AutoShape 200" o:spid="_x0000_s1131" type="#_x0000_t32" style="position:absolute;left:4117;top:8888;width:6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IhVwwAAANwAAAAPAAAAZHJzL2Rvd25yZXYueG1sRE9Na8JA&#10;EL0L/Q/LCN50kx5EYzYiQosoPVRLsLchO02C2dmwu2rsr+8WCr3N431Ovh5MJ27kfGtZQTpLQBBX&#10;VrdcK/g4vUwXIHxA1thZJgUP8rAunkY5Ztre+Z1ux1CLGMI+QwVNCH0mpa8aMuhntieO3Jd1BkOE&#10;rpba4T2Gm04+J8lcGmw5NjTY07ah6nK8GgXnw/JaPso32pfpcv+Jzvjv06tSk/GwWYEINIR/8Z97&#10;p+P8RQq/z8QLZPEDAAD//wMAUEsBAi0AFAAGAAgAAAAhANvh9svuAAAAhQEAABMAAAAAAAAAAAAA&#10;AAAAAAAAAFtDb250ZW50X1R5cGVzXS54bWxQSwECLQAUAAYACAAAACEAWvQsW78AAAAVAQAACwAA&#10;AAAAAAAAAAAAAAAfAQAAX3JlbHMvLnJlbHNQSwECLQAUAAYACAAAACEA9SCIVcMAAADcAAAADwAA&#10;AAAAAAAAAAAAAAAHAgAAZHJzL2Rvd25yZXYueG1sUEsFBgAAAAADAAMAtwAAAPcCAAAAAA==&#10;">
                  <v:stroke endarrow="block"/>
                </v:shape>
                <v:shape id="AutoShape 201" o:spid="_x0000_s1132" type="#_x0000_t32" style="position:absolute;left:6457;top:9137;width:879;height:2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hYixAAAANwAAAAPAAAAZHJzL2Rvd25yZXYueG1sRE9Na8JA&#10;EL0L/Q/LFHozGz0UjVmlFJSS0kNVgt6G7DQJzc6G3dXE/vpuoeBtHu9z8s1oOnEl51vLCmZJCoK4&#10;srrlWsHxsJ0uQPiArLGzTApu5GGzfpjkmGk78Cdd96EWMYR9hgqaEPpMSl81ZNAntieO3Jd1BkOE&#10;rpba4RDDTSfnafosDbYcGxrs6bWh6nt/MQpO78tLeSs/qChny+KMzvifw06pp8fxZQUi0Bju4n/3&#10;m47zF3P4eyZeINe/AAAA//8DAFBLAQItABQABgAIAAAAIQDb4fbL7gAAAIUBAAATAAAAAAAAAAAA&#10;AAAAAAAAAABbQ29udGVudF9UeXBlc10ueG1sUEsBAi0AFAAGAAgAAAAhAFr0LFu/AAAAFQEAAAsA&#10;AAAAAAAAAAAAAAAAHwEAAF9yZWxzLy5yZWxzUEsBAi0AFAAGAAgAAAAhAAXyFiLEAAAA3AAAAA8A&#10;AAAAAAAAAAAAAAAABwIAAGRycy9kb3ducmV2LnhtbFBLBQYAAAAAAwADALcAAAD4AgAAAAA=&#10;">
                  <v:stroke endarrow="block"/>
                </v:shape>
                <v:shape id="AutoShape 202" o:spid="_x0000_s1133" type="#_x0000_t109" style="position:absolute;left:4798;top:8503;width:1659;height: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ZcPxAAAANwAAAAPAAAAZHJzL2Rvd25yZXYueG1sRE9La8JA&#10;EL4L/odlBC/SbHy0hNRVRIjowUPTXnqbZqdJMDsbsmuM/94tFLzNx/ec9XYwjeipc7VlBfMoBkFc&#10;WF1zqeDrM3tJQDiPrLGxTAru5GC7GY/WmGp74w/qc1+KEMIuRQWV920qpSsqMugi2xIH7td2Bn2A&#10;XSl1h7cQbhq5iOM3abDm0FBhS/uKikt+NQoWySw/8Dk7rn5OOsPX+Xc/W56Umk6G3TsIT4N/iv/d&#10;Rx3mJ0v4eyZcIDcPAAAA//8DAFBLAQItABQABgAIAAAAIQDb4fbL7gAAAIUBAAATAAAAAAAAAAAA&#10;AAAAAAAAAABbQ29udGVudF9UeXBlc10ueG1sUEsBAi0AFAAGAAgAAAAhAFr0LFu/AAAAFQEAAAsA&#10;AAAAAAAAAAAAAAAAHwEAAF9yZWxzLy5yZWxzUEsBAi0AFAAGAAgAAAAhAIVZlw/EAAAA3AAAAA8A&#10;AAAAAAAAAAAAAAAABwIAAGRycy9kb3ducmV2LnhtbFBLBQYAAAAAAwADALcAAAD4AgAAAAA=&#10;">
                  <v:textbox>
                    <w:txbxContent>
                      <w:p w14:paraId="0DF5FD5D" w14:textId="77777777" w:rsidR="003B6DB3" w:rsidRPr="00F228CC" w:rsidRDefault="003B6DB3" w:rsidP="00E839E1">
                        <w:pPr>
                          <w:spacing w:before="120"/>
                          <w:jc w:val="center"/>
                        </w:pPr>
                        <w:r w:rsidRPr="00F228CC">
                          <w:t>Zorlayıcı</w:t>
                        </w:r>
                      </w:p>
                    </w:txbxContent>
                  </v:textbox>
                </v:shape>
                <v:shape id="AutoShape 203" o:spid="_x0000_s1134" type="#_x0000_t176" style="position:absolute;left:7336;top:8943;width:2457;height: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kxHwwAAANwAAAAPAAAAZHJzL2Rvd25yZXYueG1sRE9Na8JA&#10;EL0X/A/LCL3VjVY0ja4iloqHXoxCr2N2mg3NzobsGqO/3i0UepvH+5zlure16Kj1lWMF41ECgrhw&#10;uuJSwen48ZKC8AFZY+2YFNzIw3o1eFpipt2VD9TloRQxhH2GCkwITSalLwxZ9CPXEEfu27UWQ4Rt&#10;KXWL1xhuazlJkpm0WHFsMNjQ1lDxk1+sgv7zfn677MZFHkw6m3+9du+bk1TqedhvFiAC9eFf/Ofe&#10;6zg/ncLvM/ECuXoAAAD//wMAUEsBAi0AFAAGAAgAAAAhANvh9svuAAAAhQEAABMAAAAAAAAAAAAA&#10;AAAAAAAAAFtDb250ZW50X1R5cGVzXS54bWxQSwECLQAUAAYACAAAACEAWvQsW78AAAAVAQAACwAA&#10;AAAAAAAAAAAAAAAfAQAAX3JlbHMvLnJlbHNQSwECLQAUAAYACAAAACEAtT5MR8MAAADcAAAADwAA&#10;AAAAAAAAAAAAAAAHAgAAZHJzL2Rvd25yZXYueG1sUEsFBgAAAAADAAMAtwAAAPcCAAAAAA==&#10;">
                  <v:textbox>
                    <w:txbxContent>
                      <w:p w14:paraId="3C501E9C" w14:textId="77777777" w:rsidR="003B6DB3" w:rsidRPr="00F228CC" w:rsidRDefault="003B6DB3" w:rsidP="00E839E1">
                        <w:pPr>
                          <w:spacing w:before="120"/>
                          <w:jc w:val="center"/>
                        </w:pPr>
                        <w:r w:rsidRPr="00F228CC">
                          <w:t>Sorulara karşı ön yargı</w:t>
                        </w:r>
                      </w:p>
                      <w:p w14:paraId="68B30C0E" w14:textId="77777777" w:rsidR="003B6DB3" w:rsidRPr="00F228CC" w:rsidRDefault="003B6DB3" w:rsidP="00E839E1"/>
                    </w:txbxContent>
                  </v:textbox>
                </v:shape>
                <v:shape id="AutoShape 204" o:spid="_x0000_s1135" type="#_x0000_t32" style="position:absolute;left:6457;top:8503;width:879;height:16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sUVwAAAANwAAAAPAAAAZHJzL2Rvd25yZXYueG1sRE9Li8Iw&#10;EL4L+x/CLOxN0xUUqUZRYUH2svgAPQ7N2AabSWliU//9RhC8zcf3nMWqt7XoqPXGsYLvUQaCuHDa&#10;cKngdPwZzkD4gKyxdkwKHuRhtfwYLDDXLvKeukMoRQphn6OCKoQml9IXFVn0I9cQJ+7qWoshwbaU&#10;usWYwm0tx1k2lRYNp4YKG9pWVNwOd6vAxD/TNbtt3PyeL15HMo+JM0p9ffbrOYhAfXiLX+6dTvNn&#10;E3g+ky6Qy38AAAD//wMAUEsBAi0AFAAGAAgAAAAhANvh9svuAAAAhQEAABMAAAAAAAAAAAAAAAAA&#10;AAAAAFtDb250ZW50X1R5cGVzXS54bWxQSwECLQAUAAYACAAAACEAWvQsW78AAAAVAQAACwAAAAAA&#10;AAAAAAAAAAAfAQAAX3JlbHMvLnJlbHNQSwECLQAUAAYACAAAACEAmwrFFcAAAADcAAAADwAAAAAA&#10;AAAAAAAAAAAHAgAAZHJzL2Rvd25yZXYueG1sUEsFBgAAAAADAAMAtwAAAPQCAAAAAA==&#10;">
                  <v:stroke endarrow="block"/>
                </v:shape>
                <v:shape id="AutoShape 205" o:spid="_x0000_s1136" type="#_x0000_t176" style="position:absolute;left:7336;top:8083;width:2457;height: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HerwwAAANwAAAAPAAAAZHJzL2Rvd25yZXYueG1sRE9Na8JA&#10;EL0X/A/LCL3VjRbSNLqKKEoPXpoKvY7ZaTY0Oxuya4z99a4g9DaP9zmL1WAb0VPna8cKppMEBHHp&#10;dM2VguPX7iUD4QOyxsYxKbiSh9Vy9LTAXLsLf1JfhErEEPY5KjAhtLmUvjRk0U9cSxy5H9dZDBF2&#10;ldQdXmK4beQsSVJpsebYYLCljaHytzhbBcPh7/R+3k/LIpgsfft+7bfro1TqeTys5yACDeFf/HB/&#10;6Dg/S+H+TLxALm8AAAD//wMAUEsBAi0AFAAGAAgAAAAhANvh9svuAAAAhQEAABMAAAAAAAAAAAAA&#10;AAAAAAAAAFtDb250ZW50X1R5cGVzXS54bWxQSwECLQAUAAYACAAAACEAWvQsW78AAAAVAQAACwAA&#10;AAAAAAAAAAAAAAAfAQAAX3JlbHMvLnJlbHNQSwECLQAUAAYACAAAACEAKqB3q8MAAADcAAAADwAA&#10;AAAAAAAAAAAAAAAHAgAAZHJzL2Rvd25yZXYueG1sUEsFBgAAAAADAAMAtwAAAPcCAAAAAA==&#10;">
                  <v:textbox>
                    <w:txbxContent>
                      <w:p w14:paraId="011FDE95" w14:textId="77777777" w:rsidR="003B6DB3" w:rsidRPr="00F228CC" w:rsidRDefault="003B6DB3" w:rsidP="00E839E1">
                        <w:pPr>
                          <w:jc w:val="center"/>
                        </w:pPr>
                        <w:r w:rsidRPr="00F228CC">
                          <w:t>Soruların uzunluğundan şikâyet</w:t>
                        </w:r>
                      </w:p>
                      <w:p w14:paraId="3EAAAECE" w14:textId="77777777" w:rsidR="003B6DB3" w:rsidRPr="00F228CC" w:rsidRDefault="003B6DB3" w:rsidP="00E839E1"/>
                    </w:txbxContent>
                  </v:textbox>
                </v:shape>
              </v:group>
            </w:pict>
          </mc:Fallback>
        </mc:AlternateContent>
      </w:r>
    </w:p>
    <w:p w14:paraId="57824781" w14:textId="77777777" w:rsidR="00E839E1" w:rsidRPr="000A2E75" w:rsidRDefault="00E839E1" w:rsidP="00E839E1">
      <w:pPr>
        <w:rPr>
          <w:rFonts w:ascii="Times New Roman" w:hAnsi="Times New Roman" w:cs="Times New Roman"/>
          <w:lang w:val="fr-FR"/>
        </w:rPr>
      </w:pPr>
    </w:p>
    <w:p w14:paraId="3BFE0697" w14:textId="77777777" w:rsidR="00E839E1" w:rsidRPr="000A2E75" w:rsidRDefault="00E839E1" w:rsidP="00E839E1">
      <w:pPr>
        <w:rPr>
          <w:rFonts w:ascii="Times New Roman" w:hAnsi="Times New Roman" w:cs="Times New Roman"/>
          <w:lang w:val="fr-FR"/>
        </w:rPr>
      </w:pPr>
    </w:p>
    <w:p w14:paraId="1B4FA9D2" w14:textId="77777777" w:rsidR="00E839E1" w:rsidRPr="000A2E75" w:rsidRDefault="00E839E1" w:rsidP="00E839E1">
      <w:pPr>
        <w:rPr>
          <w:rFonts w:ascii="Times New Roman" w:hAnsi="Times New Roman" w:cs="Times New Roman"/>
          <w:lang w:val="fr-FR"/>
        </w:rPr>
      </w:pPr>
    </w:p>
    <w:p w14:paraId="5A32A465" w14:textId="77777777" w:rsidR="00E839E1" w:rsidRPr="000A2E75" w:rsidRDefault="00E839E1" w:rsidP="00E839E1">
      <w:pPr>
        <w:jc w:val="center"/>
        <w:rPr>
          <w:rFonts w:ascii="Times New Roman" w:hAnsi="Times New Roman" w:cs="Times New Roman"/>
          <w:lang w:val="fr-FR"/>
        </w:rPr>
      </w:pPr>
    </w:p>
    <w:p w14:paraId="63D99EFD" w14:textId="77777777" w:rsidR="00E839E1" w:rsidRPr="000A2E75" w:rsidRDefault="00E839E1" w:rsidP="00E839E1">
      <w:pPr>
        <w:jc w:val="center"/>
        <w:rPr>
          <w:rFonts w:ascii="Times New Roman" w:hAnsi="Times New Roman" w:cs="Times New Roman"/>
          <w:lang w:val="fr-FR"/>
        </w:rPr>
      </w:pPr>
    </w:p>
    <w:p w14:paraId="2EB54A1F" w14:textId="77777777" w:rsidR="00E839E1" w:rsidRPr="000A2E75" w:rsidRDefault="00E839E1" w:rsidP="00E839E1">
      <w:pPr>
        <w:jc w:val="center"/>
        <w:rPr>
          <w:rFonts w:ascii="Times New Roman" w:hAnsi="Times New Roman" w:cs="Times New Roman"/>
          <w:lang w:val="fr-FR"/>
        </w:rPr>
      </w:pPr>
      <w:r w:rsidRPr="000A2E75">
        <w:rPr>
          <w:rFonts w:ascii="Times New Roman" w:hAnsi="Times New Roman" w:cs="Times New Roman"/>
          <w:lang w:val="fr-FR"/>
        </w:rPr>
        <w:t>Şekil 5. Öğrenciler Açısından Beceri Temelli Sorulara Yönelik Görüşler</w:t>
      </w:r>
    </w:p>
    <w:p w14:paraId="7BE9448D" w14:textId="77777777" w:rsidR="00E839E1" w:rsidRPr="000A2E75" w:rsidRDefault="00E839E1" w:rsidP="00E839E1">
      <w:pPr>
        <w:autoSpaceDE w:val="0"/>
        <w:autoSpaceDN w:val="0"/>
        <w:adjustRightInd w:val="0"/>
        <w:spacing w:before="120" w:after="120"/>
        <w:jc w:val="both"/>
        <w:rPr>
          <w:rFonts w:ascii="Times New Roman" w:hAnsi="Times New Roman" w:cs="Times New Roman"/>
          <w:lang w:val="fr-FR"/>
        </w:rPr>
      </w:pPr>
      <w:r w:rsidRPr="000A2E75">
        <w:rPr>
          <w:rFonts w:ascii="Times New Roman" w:hAnsi="Times New Roman" w:cs="Times New Roman"/>
          <w:lang w:val="fr-FR"/>
        </w:rPr>
        <w:t xml:space="preserve">Şekil 5’de yer alan katılımcı görüşleri ışığında yapılan analiz sonrasında; katılımcıların tamamı beceri temelli matematik sorularında öğrencilerin zorlandıklarını dile getirmektedirler.  Bunun sebebi olarak katılımcılar genelde </w:t>
      </w:r>
      <w:r w:rsidRPr="000A2E75">
        <w:rPr>
          <w:rFonts w:ascii="Times New Roman" w:hAnsi="Times New Roman" w:cs="Times New Roman"/>
          <w:i/>
          <w:lang w:val="fr-FR"/>
        </w:rPr>
        <w:t>sorunların uzunluğunu</w:t>
      </w:r>
      <w:r w:rsidRPr="000A2E75">
        <w:rPr>
          <w:rFonts w:ascii="Times New Roman" w:hAnsi="Times New Roman" w:cs="Times New Roman"/>
          <w:lang w:val="fr-FR"/>
        </w:rPr>
        <w:t xml:space="preserve"> ve sorulara karşı öğrencilerin </w:t>
      </w:r>
      <w:r w:rsidRPr="000A2E75">
        <w:rPr>
          <w:rFonts w:ascii="Times New Roman" w:hAnsi="Times New Roman" w:cs="Times New Roman"/>
          <w:i/>
          <w:lang w:val="fr-FR"/>
        </w:rPr>
        <w:t xml:space="preserve">ön yargılı olmalarını </w:t>
      </w:r>
      <w:r w:rsidRPr="000A2E75">
        <w:rPr>
          <w:rFonts w:ascii="Times New Roman" w:hAnsi="Times New Roman" w:cs="Times New Roman"/>
          <w:lang w:val="fr-FR"/>
        </w:rPr>
        <w:t>dile getirmektedirler.</w:t>
      </w:r>
    </w:p>
    <w:p w14:paraId="3EF7C564" w14:textId="77777777" w:rsidR="00E839E1" w:rsidRPr="000A2E75" w:rsidRDefault="00E839E1" w:rsidP="00E839E1">
      <w:pPr>
        <w:autoSpaceDE w:val="0"/>
        <w:autoSpaceDN w:val="0"/>
        <w:adjustRightInd w:val="0"/>
        <w:spacing w:before="120" w:after="120"/>
        <w:jc w:val="both"/>
        <w:rPr>
          <w:rFonts w:ascii="Times New Roman" w:hAnsi="Times New Roman" w:cs="Times New Roman"/>
          <w:i/>
          <w:lang w:val="fr-FR"/>
        </w:rPr>
      </w:pPr>
      <w:r w:rsidRPr="000A2E75">
        <w:rPr>
          <w:rFonts w:ascii="Times New Roman" w:hAnsi="Times New Roman" w:cs="Times New Roman"/>
          <w:i/>
          <w:lang w:val="fr-FR"/>
        </w:rPr>
        <w:t>Zorlayıcı</w:t>
      </w:r>
    </w:p>
    <w:p w14:paraId="425C6405" w14:textId="77777777" w:rsidR="00E839E1" w:rsidRPr="000A2E75" w:rsidRDefault="00E839E1" w:rsidP="00E839E1">
      <w:pPr>
        <w:spacing w:before="120" w:after="120"/>
        <w:jc w:val="both"/>
        <w:rPr>
          <w:rFonts w:ascii="Times New Roman" w:hAnsi="Times New Roman" w:cs="Times New Roman"/>
          <w:lang w:val="fr-FR" w:eastAsia="tr-TR"/>
        </w:rPr>
      </w:pPr>
      <w:r w:rsidRPr="000A2E75">
        <w:rPr>
          <w:rFonts w:ascii="Times New Roman" w:hAnsi="Times New Roman" w:cs="Times New Roman"/>
          <w:iCs/>
          <w:lang w:val="fr-FR"/>
        </w:rPr>
        <w:t>Katılımcıların tamamı beceri temelli matematik sorularında öğrencilerin zorlandıklarını dile getirirken bu katılımcılardan bazıları bu zorlanmanın öğrencilerin soruları uzun olarak görmelerinden kaynaklandığını “</w:t>
      </w:r>
      <w:r w:rsidRPr="000A2E75">
        <w:rPr>
          <w:rFonts w:ascii="Times New Roman" w:eastAsia="Palatino Linotype" w:hAnsi="Times New Roman" w:cs="Times New Roman"/>
          <w:i/>
          <w:lang w:val="fr-FR"/>
        </w:rPr>
        <w:t>Genelde zorlanıyorlar. Okuduklarını anlamadıkları için.</w:t>
      </w:r>
      <w:r w:rsidRPr="000A2E75">
        <w:rPr>
          <w:rFonts w:ascii="Times New Roman" w:eastAsia="Palatino Linotype" w:hAnsi="Times New Roman" w:cs="Times New Roman"/>
          <w:lang w:val="fr-FR"/>
        </w:rPr>
        <w:t xml:space="preserve">” </w:t>
      </w:r>
      <w:r w:rsidRPr="000A2E75">
        <w:rPr>
          <w:rFonts w:ascii="Times New Roman" w:hAnsi="Times New Roman" w:cs="Times New Roman"/>
          <w:bCs/>
          <w:lang w:val="fr-FR" w:eastAsia="tr-TR"/>
        </w:rPr>
        <w:t>(</w:t>
      </w:r>
      <w:r w:rsidRPr="000A2E75">
        <w:rPr>
          <w:rFonts w:ascii="Times New Roman" w:hAnsi="Times New Roman" w:cs="Times New Roman"/>
          <w:bCs/>
          <w:lang w:val="fr-FR"/>
        </w:rPr>
        <w:t>K-1</w:t>
      </w:r>
      <w:r w:rsidRPr="000A2E75">
        <w:rPr>
          <w:rFonts w:ascii="Times New Roman" w:hAnsi="Times New Roman" w:cs="Times New Roman"/>
          <w:bCs/>
          <w:lang w:val="fr-FR" w:eastAsia="tr-TR"/>
        </w:rPr>
        <w:t>)</w:t>
      </w:r>
      <w:r w:rsidRPr="000A2E75">
        <w:rPr>
          <w:rFonts w:ascii="Times New Roman" w:hAnsi="Times New Roman" w:cs="Times New Roman"/>
          <w:bCs/>
          <w:lang w:val="fr-FR"/>
        </w:rPr>
        <w:t>, “</w:t>
      </w:r>
      <w:r w:rsidRPr="000A2E75">
        <w:rPr>
          <w:rFonts w:ascii="Times New Roman" w:hAnsi="Times New Roman" w:cs="Times New Roman"/>
          <w:i/>
          <w:lang w:val="fr-FR" w:eastAsia="tr-TR"/>
        </w:rPr>
        <w:t>Alışmadıkları bir soru tarzı olduğu için soru uzun olunca zor olduğunu düşünüyorlar, okumak istemiyorlar, yapamayacaklarını düşünüyorlar. Soruyu gözlerinde çok büyütebiliyorlar. Bu da kesinlikle kitap okuma alışkanlıklarının olmaması yüzündendir</w:t>
      </w:r>
      <w:r w:rsidRPr="000A2E75">
        <w:rPr>
          <w:rFonts w:ascii="Times New Roman" w:hAnsi="Times New Roman" w:cs="Times New Roman"/>
          <w:lang w:val="fr-FR" w:eastAsia="tr-TR"/>
        </w:rPr>
        <w:t xml:space="preserve">.” </w:t>
      </w:r>
      <w:r w:rsidRPr="000A2E75">
        <w:rPr>
          <w:rFonts w:ascii="Times New Roman" w:hAnsi="Times New Roman" w:cs="Times New Roman"/>
          <w:bCs/>
          <w:lang w:val="fr-FR" w:eastAsia="tr-TR"/>
        </w:rPr>
        <w:t>(</w:t>
      </w:r>
      <w:r w:rsidRPr="000A2E75">
        <w:rPr>
          <w:rFonts w:ascii="Times New Roman" w:hAnsi="Times New Roman" w:cs="Times New Roman"/>
          <w:bCs/>
          <w:lang w:val="fr-FR"/>
        </w:rPr>
        <w:t>K-2</w:t>
      </w:r>
      <w:r w:rsidRPr="000A2E75">
        <w:rPr>
          <w:rFonts w:ascii="Times New Roman" w:hAnsi="Times New Roman" w:cs="Times New Roman"/>
          <w:bCs/>
          <w:lang w:val="fr-FR" w:eastAsia="tr-TR"/>
        </w:rPr>
        <w:t>)</w:t>
      </w:r>
      <w:r w:rsidRPr="000A2E75">
        <w:rPr>
          <w:rFonts w:ascii="Times New Roman" w:hAnsi="Times New Roman" w:cs="Times New Roman"/>
          <w:bCs/>
          <w:lang w:val="fr-FR"/>
        </w:rPr>
        <w:t xml:space="preserve"> ve “</w:t>
      </w:r>
      <w:r w:rsidRPr="000A2E75">
        <w:rPr>
          <w:rFonts w:ascii="Times New Roman" w:hAnsi="Times New Roman" w:cs="Times New Roman"/>
          <w:i/>
          <w:lang w:val="fr-FR" w:eastAsia="tr-TR"/>
        </w:rPr>
        <w:t>Öğrenciler endişeli yeni nesil sorular zor geliyor onlara yapamıyoruz diyorlar uzun diyorlar takılıyorlar çoğu sorularda. Yani hep duyduğum çok uzun anlamıyoruz tekrar tekrar okuyoruz diyorlar</w:t>
      </w:r>
      <w:r w:rsidRPr="000A2E75">
        <w:rPr>
          <w:rFonts w:ascii="Times New Roman" w:hAnsi="Times New Roman" w:cs="Times New Roman"/>
          <w:lang w:val="fr-FR" w:eastAsia="tr-TR"/>
        </w:rPr>
        <w:t>.”</w:t>
      </w:r>
      <w:r w:rsidRPr="000A2E75">
        <w:rPr>
          <w:rFonts w:ascii="Times New Roman" w:hAnsi="Times New Roman" w:cs="Times New Roman"/>
          <w:bCs/>
          <w:lang w:val="fr-FR" w:eastAsia="tr-TR"/>
        </w:rPr>
        <w:t xml:space="preserve"> (</w:t>
      </w:r>
      <w:r w:rsidRPr="000A2E75">
        <w:rPr>
          <w:rFonts w:ascii="Times New Roman" w:hAnsi="Times New Roman" w:cs="Times New Roman"/>
          <w:bCs/>
          <w:lang w:val="fr-FR"/>
        </w:rPr>
        <w:t>K-6</w:t>
      </w:r>
      <w:r w:rsidRPr="000A2E75">
        <w:rPr>
          <w:rFonts w:ascii="Times New Roman" w:hAnsi="Times New Roman" w:cs="Times New Roman"/>
          <w:bCs/>
          <w:lang w:val="fr-FR" w:eastAsia="tr-TR"/>
        </w:rPr>
        <w:t xml:space="preserve">) şeklindeki cümlelerle dile getirmektedirler. Öte yandan bazı katılımcılar ise öğrencilerin </w:t>
      </w:r>
      <w:r w:rsidRPr="000A2E75">
        <w:rPr>
          <w:rFonts w:ascii="Times New Roman" w:hAnsi="Times New Roman" w:cs="Times New Roman"/>
          <w:iCs/>
          <w:lang w:val="fr-FR"/>
        </w:rPr>
        <w:t>beceri temelli matematik sorularında zorlanmalarını, sorulara karşı bir önyargı oluştuğundan dolayı gerçekleştiğini “</w:t>
      </w:r>
      <w:r w:rsidRPr="000A2E75">
        <w:rPr>
          <w:rFonts w:ascii="Times New Roman" w:hAnsi="Times New Roman" w:cs="Times New Roman"/>
          <w:bCs/>
          <w:i/>
          <w:lang w:val="fr-FR" w:eastAsia="tr-TR"/>
        </w:rPr>
        <w:t>Öğrencilerin çoğu bu tip sorulanın kendilerini matematikten soğuttuğunu söylüyor. Normal kapasitesi % 50 olan bir öğrenci bile öğrenilmiş çaresizlik yasayarak başarısını % 10’lara çekiyor.”</w:t>
      </w:r>
      <w:r w:rsidRPr="000A2E75">
        <w:rPr>
          <w:rFonts w:ascii="Times New Roman" w:hAnsi="Times New Roman" w:cs="Times New Roman"/>
          <w:bCs/>
          <w:lang w:val="fr-FR" w:eastAsia="tr-TR"/>
        </w:rPr>
        <w:t xml:space="preserve"> (K-3) ve “</w:t>
      </w:r>
      <w:r w:rsidRPr="000A2E75">
        <w:rPr>
          <w:rFonts w:ascii="Times New Roman" w:hAnsi="Times New Roman" w:cs="Times New Roman"/>
          <w:i/>
          <w:lang w:val="fr-FR" w:eastAsia="tr-TR"/>
        </w:rPr>
        <w:t>Öğrencilerim, genel olarak en ufak bir problemi bile nasılsa çözemeyeceklerini düşünüp, hiç anlamaya çalışmadıklarından yeni nesil soruların da çok zor olduğunu düşünmekteler. Özellikle ön yargılı davranıp soruları anlamayacaklarını dolayısıyla çözemeyeceklerini düşünmekteler</w:t>
      </w:r>
      <w:r w:rsidRPr="000A2E75">
        <w:rPr>
          <w:rFonts w:ascii="Times New Roman" w:hAnsi="Times New Roman" w:cs="Times New Roman"/>
          <w:lang w:val="fr-FR" w:eastAsia="tr-TR"/>
        </w:rPr>
        <w:t>.”</w:t>
      </w:r>
      <w:r w:rsidRPr="000A2E75">
        <w:rPr>
          <w:rFonts w:ascii="Times New Roman" w:hAnsi="Times New Roman" w:cs="Times New Roman"/>
          <w:bCs/>
          <w:lang w:val="fr-FR" w:eastAsia="tr-TR"/>
        </w:rPr>
        <w:t xml:space="preserve"> (K-5) şeklindeki ifadelerle belirtmişlerdir. Bu durum öğrencilerin beceri temelli matematik sorularında zorlanmalarında onların sorulara yönelik ön yargılarının etkin olduğu şeklinde yorumlanabilir.</w:t>
      </w:r>
    </w:p>
    <w:p w14:paraId="6D75F3B9" w14:textId="77777777" w:rsidR="00E839E1" w:rsidRPr="000A2E75" w:rsidRDefault="00E839E1" w:rsidP="00E839E1">
      <w:pPr>
        <w:rPr>
          <w:rFonts w:ascii="Times New Roman" w:hAnsi="Times New Roman" w:cs="Times New Roman"/>
          <w:b/>
          <w:color w:val="000000"/>
          <w:lang w:val="fr-FR"/>
        </w:rPr>
      </w:pPr>
      <w:r w:rsidRPr="000A2E75">
        <w:rPr>
          <w:rFonts w:ascii="Times New Roman" w:hAnsi="Times New Roman" w:cs="Times New Roman"/>
          <w:b/>
          <w:color w:val="000000"/>
          <w:lang w:val="fr-FR"/>
        </w:rPr>
        <w:t>Sonuç, Tartışma ve Öneriler</w:t>
      </w:r>
    </w:p>
    <w:p w14:paraId="6113ED3A" w14:textId="77777777" w:rsidR="00E839E1" w:rsidRPr="000A2E75" w:rsidRDefault="00E839E1" w:rsidP="00E839E1">
      <w:pPr>
        <w:autoSpaceDE w:val="0"/>
        <w:autoSpaceDN w:val="0"/>
        <w:adjustRightInd w:val="0"/>
        <w:spacing w:before="120" w:after="120"/>
        <w:jc w:val="both"/>
        <w:rPr>
          <w:rFonts w:ascii="Times New Roman" w:hAnsi="Times New Roman" w:cs="Times New Roman"/>
          <w:lang w:val="fr-FR"/>
        </w:rPr>
      </w:pPr>
      <w:r w:rsidRPr="000A2E75">
        <w:rPr>
          <w:rFonts w:ascii="Times New Roman" w:hAnsi="Times New Roman" w:cs="Times New Roman"/>
          <w:lang w:val="fr-FR"/>
        </w:rPr>
        <w:t>Ortaokul ve İmam Hatip ortaokullarında görev yapan matematik öğretmenlerinin beceri temelli sorulara ilişkin görüşlerinin incelendiği bu çalışmada katılımcılardan elde edilen verilerin analizi sonrasında bulguların “genel olarak beceri temelli sorular”, “beceri temelli soruların kazanımlarla ilişkisi”, “beceri temelli sorular ile ders kitabı ilişkisi”, “beceri temelli sorular ile kullanılan yöntem/teknik/strateji ilişkisi” ve “öğrenciler açısından beceri temelli sorular” şeklinde beş boyut kategori altında toplandığı görülmektedir.</w:t>
      </w:r>
    </w:p>
    <w:p w14:paraId="5480AEFF" w14:textId="77777777" w:rsidR="00E839E1" w:rsidRPr="000A2E75" w:rsidRDefault="00E839E1" w:rsidP="00E839E1">
      <w:pPr>
        <w:spacing w:before="120" w:after="120"/>
        <w:jc w:val="both"/>
        <w:rPr>
          <w:rFonts w:ascii="Times New Roman" w:hAnsi="Times New Roman" w:cs="Times New Roman"/>
          <w:color w:val="000000"/>
          <w:lang w:val="fr-FR"/>
        </w:rPr>
      </w:pPr>
      <w:r w:rsidRPr="000A2E75">
        <w:rPr>
          <w:rFonts w:ascii="Times New Roman" w:hAnsi="Times New Roman" w:cs="Times New Roman"/>
          <w:color w:val="000000"/>
          <w:lang w:val="fr-FR"/>
        </w:rPr>
        <w:t xml:space="preserve">Katılımcılar genel olarak beceri temelli matematik sorularının amaca uygun olduğunu düşünmektedirler. Ancak bu düşüncelerinin yanında katılımcılar soruların gerek her seviyeye uygun olmaması gerekse soruların çözümü için sunulan sürelerin yetersiz olmasından dolayı uygulamada sorunların meydana geldiği belirtilmektedir. Katılımcıların beceri temelli matematik sorularını genel olarak uygun olarak değerlendimeleri Kertil, Gülbağcı-Dede ve Ulusoy, (2021) ve Güler, Arslan ve Çelik, (2019) tarafından yapılan çalışmanın sonuçlarıyla benzerlik göstermektedir.  İlgili çalışmalarda katılımcılar yeni sistem </w:t>
      </w:r>
      <w:r w:rsidRPr="000A2E75">
        <w:rPr>
          <w:rFonts w:ascii="Times New Roman" w:hAnsi="Times New Roman" w:cs="Times New Roman"/>
          <w:color w:val="000000"/>
          <w:lang w:val="fr-FR"/>
        </w:rPr>
        <w:lastRenderedPageBreak/>
        <w:t xml:space="preserve">olarak değerlendirlen beceri temelli metamatik sorularını </w:t>
      </w:r>
      <w:r w:rsidRPr="000A2E75">
        <w:rPr>
          <w:rFonts w:ascii="Times New Roman" w:hAnsi="Times New Roman" w:cs="Times New Roman"/>
          <w:lang w:val="fr-FR"/>
        </w:rPr>
        <w:t>olumlu ve yerinde bulduklarını dile getirmektedirler.</w:t>
      </w:r>
    </w:p>
    <w:p w14:paraId="67C6602D" w14:textId="77777777" w:rsidR="00E839E1" w:rsidRPr="000A2E75" w:rsidRDefault="00E839E1" w:rsidP="00E839E1">
      <w:pPr>
        <w:pStyle w:val="Default"/>
        <w:spacing w:before="120" w:after="120"/>
        <w:jc w:val="both"/>
        <w:rPr>
          <w:sz w:val="22"/>
          <w:szCs w:val="22"/>
          <w:lang w:val="fr-FR"/>
        </w:rPr>
      </w:pPr>
      <w:r w:rsidRPr="000A2E75">
        <w:rPr>
          <w:sz w:val="22"/>
          <w:szCs w:val="22"/>
          <w:lang w:val="fr-FR"/>
        </w:rPr>
        <w:t>Öte yandan beceri temelli sorular ile ders kazanımlarının büyük oranda uyumlu olmadığını dile getiren katılımcılar, bu durumun hem süre sorunundan hem de özellikle üst düzey düşünme becerileri gerektiren sorulara karşı ders kazanımlarının yetersiz olmasından kaynaklandığını belirtmektedirler. Bunun yanında katılımcılar, beceri temelli soruların öğrencilerin seviyelerine oranla genel manada soyut olduğunu ve bu sorunların üstesinden gelmek için dersin kazanımlarına beceri temelli sorulara uygun kazanımlar eklenmesi gerektiğini de dile getirmektedirler. Bu sonuç Erden, (2020) tarafından yapılan çalışmanın sonuçları ile örtüşmektedir. İlgili çalışmanın sonucunda katılımcılar LGS sınavlarında yer alan beceri temelli soruların Türkçe ve matematik dersleri öğretim programlarının kazanımlarıyla uyumlu olmadığını dile getirmektedirler.</w:t>
      </w:r>
    </w:p>
    <w:p w14:paraId="40647BA2" w14:textId="77777777" w:rsidR="00E839E1" w:rsidRPr="000A2E75" w:rsidRDefault="00E839E1" w:rsidP="00E839E1">
      <w:pPr>
        <w:pStyle w:val="Default"/>
        <w:spacing w:before="120" w:after="120"/>
        <w:jc w:val="both"/>
        <w:rPr>
          <w:sz w:val="22"/>
          <w:szCs w:val="22"/>
          <w:lang w:val="fr-FR"/>
        </w:rPr>
      </w:pPr>
      <w:r w:rsidRPr="000A2E75">
        <w:rPr>
          <w:sz w:val="22"/>
          <w:szCs w:val="22"/>
          <w:lang w:val="fr-FR"/>
        </w:rPr>
        <w:t xml:space="preserve">Beceri temelli matematik soruları ile matematik ders kitabının arasında bir uyumun olmadığını dile getiren katılımcılar, ders kitabının belki başlangıç seviyesindeki sorular için yeterli görülebilecek mahiyette olduğunu ifadelendirmektedirler. Bu durum </w:t>
      </w:r>
      <w:r w:rsidRPr="000A2E75">
        <w:rPr>
          <w:bCs/>
          <w:sz w:val="22"/>
          <w:szCs w:val="22"/>
          <w:lang w:val="fr-FR"/>
        </w:rPr>
        <w:t>Sanca, Artun, Bakırcı, ve Okur (2021)</w:t>
      </w:r>
      <w:r w:rsidRPr="000A2E75">
        <w:rPr>
          <w:sz w:val="22"/>
          <w:szCs w:val="22"/>
          <w:lang w:val="fr-FR"/>
        </w:rPr>
        <w:t xml:space="preserve"> tarafından yapılan çalışmada da vurgulanmaktadır. Beceri temelli soruların Bloom taksonomisine göre incelendiği çalışmada ele alınan soruların “yeniden yapılandırılmış Bloom taksonomisindeki dağılım oranının homojen olmadığı, ezber gerektiren, bir başka deyişle alt düzey zihinsel süreçleri harekete geçirmeye yönelik sorular olduğu” dile getirilmektedir. Öte yandan ders kitabının beceri temelli sorular karşısında eksik kaldığını belirten mevcut çalışmadaki katılımcılar, beceri temelli sorular için öğrencilere faydalı olmak adına ek kaynaklar sağlanmasının önemini işaret etmektedirler. Bu sonuç Erden (2020) tarafından yapılan çalışmanın sonuçları ile benzerlik göstermektedir. Bahsi geçen çalışmanın sonucunda katılımcılar Türkçe, matematik ve fen bilimleri derslerinin öğretim programları ile ders kitaplarının beceri temelli sorularla ilgili etkili bir rehberlik sağlamada yeterli olmadığını ifade etmektedirler.</w:t>
      </w:r>
    </w:p>
    <w:p w14:paraId="69E7D528" w14:textId="77777777" w:rsidR="00E839E1" w:rsidRPr="000A2E75" w:rsidRDefault="00E839E1" w:rsidP="00E839E1">
      <w:pPr>
        <w:spacing w:before="120" w:after="120"/>
        <w:jc w:val="both"/>
        <w:rPr>
          <w:rFonts w:ascii="Times New Roman" w:hAnsi="Times New Roman" w:cs="Times New Roman"/>
          <w:color w:val="000000"/>
          <w:lang w:val="fr-FR"/>
        </w:rPr>
      </w:pPr>
      <w:r w:rsidRPr="000A2E75">
        <w:rPr>
          <w:rFonts w:ascii="Times New Roman" w:hAnsi="Times New Roman" w:cs="Times New Roman"/>
          <w:lang w:val="fr-FR"/>
        </w:rPr>
        <w:t xml:space="preserve">Katılımcılar yeni uygulamaya konan beceri temelli sorular ile bu soruların öğretimi için derste kullandıkları yöntem/teknik/strateji arasında ilişki olduğunu savunmaktadır ve kendilerinin de bu soruların öğretimi için çeşitli yöntem/teknik/stratejiyi benimsediklerini dile getirmektedirler. Katılımcılar beceri temelli soruların öğretimi için öğrenci odaklı çalışma yaptırdıklarını, öğrencilere günlük hayatla ilgili örnek vererek onları düşündürmeye yönlendirdiklerini ve beceri temelli sorulara yönelik ön hazırlık oluşturabilecek ödevlerden yararlandıklarını dile getirmektedirler. Katılımcıların eskiye oranla beceri temelli sorulara ilişkin daha fazla gayret içinde olmaları yüksek </w:t>
      </w:r>
      <w:r w:rsidRPr="000A2E75">
        <w:rPr>
          <w:rFonts w:ascii="Times New Roman" w:hAnsi="Times New Roman" w:cs="Times New Roman"/>
          <w:color w:val="000000"/>
          <w:lang w:val="fr-FR"/>
        </w:rPr>
        <w:t>riskli testler olarak ifade edilen beceri temelli soruların faydaları olarak gösterilmektedir. Çünkü bu sorular öğretmenleri daha etkili bir şekilde çalışmaya yönlendirmektedir (</w:t>
      </w:r>
      <w:r w:rsidRPr="000A2E75">
        <w:rPr>
          <w:rFonts w:ascii="Times New Roman" w:hAnsi="Times New Roman" w:cs="Times New Roman"/>
          <w:bCs/>
          <w:iCs/>
          <w:lang w:val="fr-FR"/>
        </w:rPr>
        <w:t>Hamilton,  Stecher, and  Klein, 2002).</w:t>
      </w:r>
    </w:p>
    <w:p w14:paraId="7DE96187" w14:textId="77777777" w:rsidR="00E839E1" w:rsidRPr="000A2E75" w:rsidRDefault="00E839E1" w:rsidP="00E839E1">
      <w:pPr>
        <w:spacing w:before="120" w:after="120"/>
        <w:jc w:val="both"/>
        <w:rPr>
          <w:rFonts w:ascii="Times New Roman" w:hAnsi="Times New Roman" w:cs="Times New Roman"/>
          <w:lang w:val="fr-FR"/>
        </w:rPr>
      </w:pPr>
      <w:r w:rsidRPr="000A2E75">
        <w:rPr>
          <w:rFonts w:ascii="Times New Roman" w:hAnsi="Times New Roman" w:cs="Times New Roman"/>
          <w:lang w:val="fr-FR"/>
        </w:rPr>
        <w:t xml:space="preserve">Son olarak katılımcılar, öğrencilerin genel manada beceri temelli sorular karşısında zorlandıklarını ve bu zorlanmaların soruların uzunluğundan ve soruların yapılamayacak derecede zor olduğuna yönelik öğrencilerde oluşan ön yargılardan kaynaklandığını dile getirmektedirler.  </w:t>
      </w:r>
      <w:r w:rsidRPr="000A2E75">
        <w:rPr>
          <w:rFonts w:ascii="Times New Roman" w:hAnsi="Times New Roman" w:cs="Times New Roman"/>
          <w:color w:val="000000"/>
          <w:lang w:val="fr-FR"/>
        </w:rPr>
        <w:t xml:space="preserve">Güler, Arslan ve Çelik, (2019) </w:t>
      </w:r>
      <w:r w:rsidRPr="000A2E75">
        <w:rPr>
          <w:rFonts w:ascii="Times New Roman" w:hAnsi="Times New Roman" w:cs="Times New Roman"/>
          <w:lang w:val="fr-FR"/>
        </w:rPr>
        <w:t xml:space="preserve">tarafından yapılan araştırmada da katılımcıların beceri temelli soruların uzunluğunu dile getirmeleri bu araştırmanın sonuçlarıyla benzerlik göstermektedir. Öte yandan literatürde yer alan bilgilerde de beceri temelli soruların yüksek düzeyde okuma becerilerini gerektirdiğine değinilmesi (Miller, Linn, &amp; Gronlund, 2009 aktaran </w:t>
      </w:r>
      <w:r w:rsidRPr="000A2E75">
        <w:rPr>
          <w:rFonts w:ascii="Times New Roman" w:hAnsi="Times New Roman" w:cs="Times New Roman"/>
          <w:color w:val="000000"/>
          <w:lang w:val="fr-FR"/>
        </w:rPr>
        <w:t>Kertil, Gülbağcı-Dede ve Ulusoy, 2021</w:t>
      </w:r>
      <w:r w:rsidRPr="000A2E75">
        <w:rPr>
          <w:rFonts w:ascii="Times New Roman" w:hAnsi="Times New Roman" w:cs="Times New Roman"/>
          <w:lang w:val="fr-FR"/>
        </w:rPr>
        <w:t xml:space="preserve">) bu soruların olumsuz olarak değerlendirilmesine imkân tanımaktadır. </w:t>
      </w:r>
    </w:p>
    <w:p w14:paraId="7D4F7DDD" w14:textId="77777777" w:rsidR="00E839E1" w:rsidRPr="000A2E75" w:rsidRDefault="00E839E1" w:rsidP="00E839E1">
      <w:pPr>
        <w:spacing w:before="120" w:after="120"/>
        <w:jc w:val="both"/>
        <w:rPr>
          <w:rFonts w:ascii="Times New Roman" w:hAnsi="Times New Roman" w:cs="Times New Roman"/>
          <w:lang w:val="fr-FR"/>
        </w:rPr>
      </w:pPr>
      <w:r w:rsidRPr="000A2E75">
        <w:rPr>
          <w:rFonts w:ascii="Times New Roman" w:hAnsi="Times New Roman" w:cs="Times New Roman"/>
          <w:lang w:val="fr-FR"/>
        </w:rPr>
        <w:t xml:space="preserve">Uluslararası boyutta yapılan sınavların amacı sınava katılan ülkelerin müfredatlarında yer alan bilgileri, öğrencilerin gerçek hayatta kullanıp kullanamadıkları değerlendirmektir (Gürbüz, 2019). Bu sınavların amaçları çerçevesinde oluşturulacak öğretim ve değerlendirme sistemleri ancak başarıya ulaşabilecek nitelik kazanabilirler. Ülkemizdeki okullarda uygulanan ve bir kültür haline dönüşmüş öğretim ve değerlendirme anlayışına baktığımızda ise uluslararası sınav anlayışı ile tam uyumlu olmadığı görülmektedir (Çepni, 2019). Dolaysıyla araştırmanın sonuçlarından yola çıkarak da beceri temelli matematik sorularının çözümünün kazandırılmasında ilgili dersin müfredatının ve ders kitaplarının her seviyeye ilişkin soru tarzlarından oluşacak şekilde, amaca uygun olarak güncellenmesinin hedeflenen başarıya ulaşmada katkı sağlayacağı düşünülebilir. Bu çalışma beceri temelli matematik sorularına </w:t>
      </w:r>
      <w:r w:rsidRPr="000A2E75">
        <w:rPr>
          <w:rFonts w:ascii="Times New Roman" w:hAnsi="Times New Roman" w:cs="Times New Roman"/>
          <w:lang w:val="fr-FR"/>
        </w:rPr>
        <w:lastRenderedPageBreak/>
        <w:t>ilişkin öğretmenlerin görüşlerini ortaya koymak amacıyla nitel paradigmaya uygun olarak gerçekleştirilmiştir. Sınavların muhatapları olan farklı branşlarda yer alan kişilere ve öğrencilere çeşitli yöntemleri temel alan çalışmaların yapılması önerilebilir.</w:t>
      </w:r>
    </w:p>
    <w:p w14:paraId="38C2D6EB" w14:textId="77777777" w:rsidR="00C95516" w:rsidRPr="000A2E75" w:rsidRDefault="00C95516" w:rsidP="00C95516">
      <w:pPr>
        <w:spacing w:before="120"/>
        <w:ind w:firstLine="567"/>
        <w:jc w:val="both"/>
        <w:rPr>
          <w:rFonts w:ascii="Times New Roman" w:hAnsi="Times New Roman" w:cs="Times New Roman"/>
          <w:b/>
        </w:rPr>
      </w:pPr>
      <w:r>
        <w:rPr>
          <w:rFonts w:ascii="Times New Roman" w:hAnsi="Times New Roman" w:cs="Times New Roman"/>
          <w:b/>
        </w:rPr>
        <w:t>Kaynakça</w:t>
      </w:r>
    </w:p>
    <w:p w14:paraId="20D8BF65" w14:textId="77777777" w:rsidR="00E839E1" w:rsidRPr="000A2E75" w:rsidRDefault="00E839E1" w:rsidP="00E839E1">
      <w:pPr>
        <w:tabs>
          <w:tab w:val="left" w:pos="540"/>
        </w:tabs>
        <w:autoSpaceDE w:val="0"/>
        <w:autoSpaceDN w:val="0"/>
        <w:adjustRightInd w:val="0"/>
        <w:spacing w:before="120" w:after="120"/>
        <w:ind w:left="540" w:hanging="540"/>
        <w:jc w:val="both"/>
        <w:rPr>
          <w:rFonts w:ascii="Times New Roman" w:hAnsi="Times New Roman" w:cs="Times New Roman"/>
          <w:lang w:val="fr-FR"/>
        </w:rPr>
      </w:pPr>
      <w:r w:rsidRPr="000A2E75">
        <w:rPr>
          <w:rFonts w:ascii="Times New Roman" w:hAnsi="Times New Roman" w:cs="Times New Roman"/>
          <w:lang w:val="fr-FR"/>
        </w:rPr>
        <w:t xml:space="preserve">Altun, M. ve Akkaya, R. (2014). </w:t>
      </w:r>
      <w:r w:rsidRPr="000A2E75">
        <w:rPr>
          <w:rFonts w:ascii="Times New Roman" w:hAnsi="Times New Roman" w:cs="Times New Roman"/>
          <w:bCs/>
          <w:lang w:val="fr-FR"/>
        </w:rPr>
        <w:t xml:space="preserve">Matematik öğretmenlerinin PISA matematik soruları ve ülkemiz öğrencilerinin düşük başarı düzeyleri üzerine yorumları, </w:t>
      </w:r>
      <w:r w:rsidRPr="000A2E75">
        <w:rPr>
          <w:rFonts w:ascii="Times New Roman" w:hAnsi="Times New Roman" w:cs="Times New Roman"/>
          <w:i/>
          <w:lang w:val="fr-FR"/>
        </w:rPr>
        <w:t>Hacettepe Üniversitesi Eğitim Fakültesi Dergisi, 29</w:t>
      </w:r>
      <w:r w:rsidRPr="000A2E75">
        <w:rPr>
          <w:rFonts w:ascii="Times New Roman" w:hAnsi="Times New Roman" w:cs="Times New Roman"/>
          <w:lang w:val="fr-FR"/>
        </w:rPr>
        <w:t>(1), 19-34.</w:t>
      </w:r>
    </w:p>
    <w:p w14:paraId="36333BCA" w14:textId="77777777" w:rsidR="00E839E1" w:rsidRPr="000A2E75" w:rsidRDefault="00E839E1" w:rsidP="00E839E1">
      <w:pPr>
        <w:pStyle w:val="Default"/>
        <w:tabs>
          <w:tab w:val="left" w:pos="540"/>
        </w:tabs>
        <w:spacing w:before="120" w:after="120"/>
        <w:ind w:left="540" w:hanging="540"/>
        <w:jc w:val="both"/>
        <w:rPr>
          <w:sz w:val="22"/>
          <w:szCs w:val="22"/>
          <w:lang w:val="fr-FR"/>
        </w:rPr>
      </w:pPr>
      <w:r w:rsidRPr="000A2E75">
        <w:rPr>
          <w:sz w:val="22"/>
          <w:szCs w:val="22"/>
          <w:lang w:val="fr-FR"/>
        </w:rPr>
        <w:t xml:space="preserve">Altun, M. ve Bozkurt, I. (2017). Matematik okuryazarlığı problemleri için yeni bir sınıflama önerisi, </w:t>
      </w:r>
      <w:r w:rsidRPr="000A2E75">
        <w:rPr>
          <w:i/>
          <w:sz w:val="22"/>
          <w:szCs w:val="22"/>
          <w:lang w:val="fr-FR"/>
        </w:rPr>
        <w:t>Eğitim ve Bilim, 42</w:t>
      </w:r>
      <w:r w:rsidRPr="000A2E75">
        <w:rPr>
          <w:sz w:val="22"/>
          <w:szCs w:val="22"/>
          <w:lang w:val="fr-FR"/>
        </w:rPr>
        <w:t>(190), 171-188.</w:t>
      </w:r>
    </w:p>
    <w:p w14:paraId="668993C4" w14:textId="77777777" w:rsidR="00E839E1" w:rsidRPr="000A2E75" w:rsidRDefault="00E839E1" w:rsidP="00E839E1">
      <w:pPr>
        <w:pStyle w:val="Default"/>
        <w:tabs>
          <w:tab w:val="left" w:pos="540"/>
        </w:tabs>
        <w:spacing w:before="120" w:after="120"/>
        <w:ind w:left="540" w:hanging="540"/>
        <w:jc w:val="both"/>
        <w:rPr>
          <w:sz w:val="22"/>
          <w:szCs w:val="22"/>
        </w:rPr>
      </w:pPr>
      <w:r w:rsidRPr="000A2E75">
        <w:rPr>
          <w:sz w:val="22"/>
          <w:szCs w:val="22"/>
        </w:rPr>
        <w:t>Artelt, C., Baumert, J., Julius-McElvany, N., &amp; Peschar, J. (2003). </w:t>
      </w:r>
      <w:r w:rsidRPr="000A2E75">
        <w:rPr>
          <w:i/>
          <w:sz w:val="22"/>
          <w:szCs w:val="22"/>
        </w:rPr>
        <w:t>Learners for life: Student approaches to learning: Results from PISA 2000</w:t>
      </w:r>
      <w:r w:rsidRPr="000A2E75">
        <w:rPr>
          <w:sz w:val="22"/>
          <w:szCs w:val="22"/>
        </w:rPr>
        <w:t>. Paris: OECD. https://files.eric.ed.gov/fulltext/ED480899.pdf adresinden edinilmiştir.</w:t>
      </w:r>
    </w:p>
    <w:p w14:paraId="46F6A8CF" w14:textId="77777777" w:rsidR="00E839E1" w:rsidRPr="000A2E75" w:rsidRDefault="00E839E1" w:rsidP="00E839E1">
      <w:pPr>
        <w:pStyle w:val="Default"/>
        <w:tabs>
          <w:tab w:val="left" w:pos="540"/>
        </w:tabs>
        <w:spacing w:before="120" w:after="120"/>
        <w:ind w:left="540" w:hanging="540"/>
        <w:jc w:val="both"/>
        <w:rPr>
          <w:sz w:val="22"/>
          <w:szCs w:val="22"/>
          <w:lang w:val="fr-FR"/>
        </w:rPr>
      </w:pPr>
      <w:r w:rsidRPr="000A2E75">
        <w:rPr>
          <w:sz w:val="22"/>
          <w:szCs w:val="22"/>
          <w:lang w:val="fr-FR"/>
        </w:rPr>
        <w:t xml:space="preserve">Batur, Z., Ulutaş, M. ve Beyret, T. N. (2019). </w:t>
      </w:r>
      <w:r w:rsidRPr="000A2E75">
        <w:rPr>
          <w:bCs/>
          <w:sz w:val="22"/>
          <w:szCs w:val="22"/>
          <w:lang w:val="fr-FR"/>
        </w:rPr>
        <w:t xml:space="preserve">2018 LGS Türkçe sorularının PISA okuma becerileri hedefleri açısından incelenmesi, </w:t>
      </w:r>
      <w:r w:rsidRPr="000A2E75">
        <w:rPr>
          <w:bCs/>
          <w:i/>
          <w:sz w:val="22"/>
          <w:szCs w:val="22"/>
          <w:lang w:val="fr-FR"/>
        </w:rPr>
        <w:t>Milli Eğitim, 48</w:t>
      </w:r>
      <w:r w:rsidRPr="000A2E75">
        <w:rPr>
          <w:bCs/>
          <w:sz w:val="22"/>
          <w:szCs w:val="22"/>
          <w:lang w:val="fr-FR"/>
        </w:rPr>
        <w:t>(Özel Sayı 1),</w:t>
      </w:r>
      <w:r w:rsidRPr="000A2E75">
        <w:rPr>
          <w:sz w:val="22"/>
          <w:szCs w:val="22"/>
          <w:lang w:val="fr-FR"/>
        </w:rPr>
        <w:t xml:space="preserve"> 595-615.</w:t>
      </w:r>
    </w:p>
    <w:p w14:paraId="7FB6E889" w14:textId="77777777" w:rsidR="00E839E1" w:rsidRPr="000A2E75" w:rsidRDefault="00E839E1" w:rsidP="00E839E1">
      <w:pPr>
        <w:tabs>
          <w:tab w:val="left" w:pos="540"/>
        </w:tabs>
        <w:autoSpaceDE w:val="0"/>
        <w:autoSpaceDN w:val="0"/>
        <w:adjustRightInd w:val="0"/>
        <w:spacing w:before="120" w:after="120"/>
        <w:ind w:left="540" w:hanging="540"/>
        <w:jc w:val="both"/>
        <w:rPr>
          <w:rFonts w:ascii="Times New Roman" w:hAnsi="Times New Roman" w:cs="Times New Roman"/>
          <w:lang w:val="fr-FR"/>
        </w:rPr>
      </w:pPr>
      <w:r w:rsidRPr="000A2E75">
        <w:rPr>
          <w:rFonts w:ascii="Times New Roman" w:hAnsi="Times New Roman" w:cs="Times New Roman"/>
          <w:lang w:val="fr-FR"/>
        </w:rPr>
        <w:t xml:space="preserve">Büyüköztürk, Ş., Kılıç-Çakmak, E., Akgün, Ö. E., Karadeniz, Ş. &amp; Demirel, F. (2010). </w:t>
      </w:r>
      <w:r w:rsidRPr="000A2E75">
        <w:rPr>
          <w:rFonts w:ascii="Times New Roman" w:hAnsi="Times New Roman" w:cs="Times New Roman"/>
          <w:i/>
          <w:iCs/>
          <w:lang w:val="fr-FR"/>
        </w:rPr>
        <w:t xml:space="preserve">Bilimsel araştırma yöntemleri. </w:t>
      </w:r>
      <w:r w:rsidRPr="000A2E75">
        <w:rPr>
          <w:rFonts w:ascii="Times New Roman" w:hAnsi="Times New Roman" w:cs="Times New Roman"/>
          <w:lang w:val="fr-FR"/>
        </w:rPr>
        <w:t>(7. Baskı). Ankara: Pegem.</w:t>
      </w:r>
    </w:p>
    <w:p w14:paraId="2703B9B8" w14:textId="77777777" w:rsidR="00E839E1" w:rsidRPr="000A2E75" w:rsidRDefault="00E839E1" w:rsidP="00E839E1">
      <w:pPr>
        <w:pStyle w:val="AklamaMetni"/>
        <w:tabs>
          <w:tab w:val="left" w:pos="540"/>
        </w:tabs>
        <w:spacing w:before="120" w:after="120"/>
        <w:ind w:left="540" w:hanging="540"/>
        <w:jc w:val="both"/>
        <w:rPr>
          <w:rFonts w:ascii="Times New Roman" w:hAnsi="Times New Roman" w:cs="Times New Roman"/>
          <w:sz w:val="22"/>
          <w:szCs w:val="22"/>
          <w:lang w:val="fr-FR"/>
        </w:rPr>
      </w:pPr>
      <w:r w:rsidRPr="000A2E75">
        <w:rPr>
          <w:rFonts w:ascii="Times New Roman" w:hAnsi="Times New Roman" w:cs="Times New Roman"/>
          <w:sz w:val="22"/>
          <w:szCs w:val="22"/>
          <w:lang w:val="fr-FR"/>
        </w:rPr>
        <w:t xml:space="preserve">Çepni, S. (2019). PISA ve TIMSS sınavlarında başarıyı yakalamak için Türkiye ne yapmalı? S. Çepni (Ed.), </w:t>
      </w:r>
      <w:r w:rsidRPr="000A2E75">
        <w:rPr>
          <w:rFonts w:ascii="Times New Roman" w:hAnsi="Times New Roman" w:cs="Times New Roman"/>
          <w:i/>
          <w:iCs/>
          <w:sz w:val="22"/>
          <w:szCs w:val="22"/>
          <w:lang w:val="fr-FR"/>
        </w:rPr>
        <w:t xml:space="preserve">PISA ve TIMSS mantığını ve sorularını anlama </w:t>
      </w:r>
      <w:r w:rsidRPr="000A2E75">
        <w:rPr>
          <w:rFonts w:ascii="Times New Roman" w:hAnsi="Times New Roman" w:cs="Times New Roman"/>
          <w:sz w:val="22"/>
          <w:szCs w:val="22"/>
          <w:lang w:val="fr-FR"/>
        </w:rPr>
        <w:t>(2.Baskı), içinde</w:t>
      </w:r>
      <w:r w:rsidRPr="000A2E75">
        <w:rPr>
          <w:rFonts w:ascii="Times New Roman" w:hAnsi="Times New Roman" w:cs="Times New Roman"/>
          <w:i/>
          <w:iCs/>
          <w:sz w:val="22"/>
          <w:szCs w:val="22"/>
          <w:lang w:val="fr-FR"/>
        </w:rPr>
        <w:t xml:space="preserve"> </w:t>
      </w:r>
      <w:r w:rsidRPr="000A2E75">
        <w:rPr>
          <w:rFonts w:ascii="Times New Roman" w:hAnsi="Times New Roman" w:cs="Times New Roman"/>
          <w:iCs/>
          <w:sz w:val="22"/>
          <w:szCs w:val="22"/>
          <w:lang w:val="fr-FR"/>
        </w:rPr>
        <w:t>(</w:t>
      </w:r>
      <w:r w:rsidRPr="000A2E75">
        <w:rPr>
          <w:rFonts w:ascii="Times New Roman" w:hAnsi="Times New Roman" w:cs="Times New Roman"/>
          <w:sz w:val="22"/>
          <w:szCs w:val="22"/>
          <w:lang w:val="fr-FR"/>
        </w:rPr>
        <w:t>ss. 393-404), Ankara: Pegem.</w:t>
      </w:r>
    </w:p>
    <w:p w14:paraId="54F89BB0" w14:textId="77777777" w:rsidR="00E839E1" w:rsidRPr="000A2E75" w:rsidRDefault="00E839E1" w:rsidP="00E839E1">
      <w:pPr>
        <w:tabs>
          <w:tab w:val="left" w:pos="540"/>
        </w:tabs>
        <w:autoSpaceDE w:val="0"/>
        <w:autoSpaceDN w:val="0"/>
        <w:adjustRightInd w:val="0"/>
        <w:spacing w:before="120" w:after="120"/>
        <w:ind w:left="540" w:hanging="540"/>
        <w:jc w:val="both"/>
        <w:rPr>
          <w:rFonts w:ascii="Times New Roman" w:hAnsi="Times New Roman" w:cs="Times New Roman"/>
          <w:lang w:val="fr-FR"/>
        </w:rPr>
      </w:pPr>
      <w:r w:rsidRPr="000A2E75">
        <w:rPr>
          <w:rFonts w:ascii="Times New Roman" w:hAnsi="Times New Roman" w:cs="Times New Roman"/>
          <w:lang w:val="fr-FR"/>
        </w:rPr>
        <w:t xml:space="preserve">Çepni, S. (2020). </w:t>
      </w:r>
      <w:r w:rsidRPr="000A2E75">
        <w:rPr>
          <w:rFonts w:ascii="Times New Roman" w:hAnsi="Times New Roman" w:cs="Times New Roman"/>
          <w:bCs/>
          <w:lang w:val="fr-FR"/>
        </w:rPr>
        <w:t xml:space="preserve">Eğitimde “Bir Adım Ötesi” tartışmalarının kavramsal çerçevesini anlamak: Dijitalleşme ve insanileşme (etik ve değerler) kavramlarında denge kurma arayışları, </w:t>
      </w:r>
      <w:r w:rsidRPr="000A2E75">
        <w:rPr>
          <w:rFonts w:ascii="Times New Roman" w:hAnsi="Times New Roman" w:cs="Times New Roman"/>
          <w:bCs/>
          <w:i/>
          <w:color w:val="000000"/>
          <w:lang w:val="fr-FR"/>
        </w:rPr>
        <w:t>Fen, Matematik, Girişimcilik ve Teknoloji Eğitimi Dergisi, 3</w:t>
      </w:r>
      <w:r w:rsidRPr="000A2E75">
        <w:rPr>
          <w:rFonts w:ascii="Times New Roman" w:hAnsi="Times New Roman" w:cs="Times New Roman"/>
          <w:bCs/>
          <w:color w:val="000000"/>
          <w:lang w:val="fr-FR"/>
        </w:rPr>
        <w:t>(2), 65-79.</w:t>
      </w:r>
    </w:p>
    <w:p w14:paraId="60799297" w14:textId="77777777" w:rsidR="00E839E1" w:rsidRPr="000A2E75" w:rsidRDefault="00E839E1" w:rsidP="00E839E1">
      <w:pPr>
        <w:tabs>
          <w:tab w:val="left" w:pos="540"/>
        </w:tabs>
        <w:autoSpaceDE w:val="0"/>
        <w:autoSpaceDN w:val="0"/>
        <w:adjustRightInd w:val="0"/>
        <w:spacing w:before="120" w:after="120"/>
        <w:ind w:left="540" w:hanging="540"/>
        <w:jc w:val="both"/>
        <w:rPr>
          <w:rFonts w:ascii="Times New Roman" w:hAnsi="Times New Roman" w:cs="Times New Roman"/>
          <w:bCs/>
          <w:iCs/>
        </w:rPr>
      </w:pPr>
      <w:r w:rsidRPr="000A2E75">
        <w:rPr>
          <w:rFonts w:ascii="Times New Roman" w:hAnsi="Times New Roman" w:cs="Times New Roman"/>
          <w:bCs/>
        </w:rPr>
        <w:t xml:space="preserve">Diamond, J. B. (2007). Where the rubber meets the road: Rethinking the connection between high-stakes testing policy and classroom ınstruction, </w:t>
      </w:r>
      <w:r w:rsidRPr="000A2E75">
        <w:rPr>
          <w:rFonts w:ascii="Times New Roman" w:hAnsi="Times New Roman" w:cs="Times New Roman"/>
          <w:bCs/>
          <w:i/>
          <w:iCs/>
        </w:rPr>
        <w:t xml:space="preserve">Sociology of Education, 80, </w:t>
      </w:r>
      <w:r w:rsidRPr="000A2E75">
        <w:rPr>
          <w:rFonts w:ascii="Times New Roman" w:hAnsi="Times New Roman" w:cs="Times New Roman"/>
          <w:bCs/>
          <w:iCs/>
        </w:rPr>
        <w:t>285–313.</w:t>
      </w:r>
    </w:p>
    <w:p w14:paraId="32F99B06" w14:textId="77777777" w:rsidR="00E839E1" w:rsidRPr="000A2E75" w:rsidRDefault="00E839E1" w:rsidP="00E839E1">
      <w:pPr>
        <w:pStyle w:val="Default"/>
        <w:tabs>
          <w:tab w:val="left" w:pos="540"/>
        </w:tabs>
        <w:spacing w:before="120" w:after="120"/>
        <w:ind w:left="540" w:hanging="540"/>
        <w:jc w:val="both"/>
        <w:rPr>
          <w:sz w:val="22"/>
          <w:szCs w:val="22"/>
        </w:rPr>
      </w:pPr>
      <w:r w:rsidRPr="000A2E75">
        <w:rPr>
          <w:sz w:val="22"/>
          <w:szCs w:val="22"/>
        </w:rPr>
        <w:t xml:space="preserve">Erden, B. (2020). </w:t>
      </w:r>
      <w:r w:rsidRPr="000A2E75">
        <w:rPr>
          <w:bCs/>
          <w:sz w:val="22"/>
          <w:szCs w:val="22"/>
        </w:rPr>
        <w:t>Türkçe,</w:t>
      </w:r>
      <w:r w:rsidRPr="000A2E75">
        <w:rPr>
          <w:b/>
          <w:bCs/>
          <w:sz w:val="22"/>
          <w:szCs w:val="22"/>
        </w:rPr>
        <w:t xml:space="preserve"> </w:t>
      </w:r>
      <w:r w:rsidRPr="000A2E75">
        <w:rPr>
          <w:bCs/>
          <w:sz w:val="22"/>
          <w:szCs w:val="22"/>
        </w:rPr>
        <w:t xml:space="preserve">matematik ve fen bilimleri dersi beceri temelli sorularına ilişkin öğretmen görüşleri, </w:t>
      </w:r>
      <w:r w:rsidRPr="000A2E75">
        <w:rPr>
          <w:bCs/>
          <w:i/>
          <w:sz w:val="22"/>
          <w:szCs w:val="22"/>
        </w:rPr>
        <w:t>Academia Eğitim Araştırmaları Dergisi</w:t>
      </w:r>
      <w:r w:rsidRPr="000A2E75">
        <w:rPr>
          <w:i/>
          <w:sz w:val="22"/>
          <w:szCs w:val="22"/>
        </w:rPr>
        <w:t>, 5</w:t>
      </w:r>
      <w:r w:rsidRPr="000A2E75">
        <w:rPr>
          <w:sz w:val="22"/>
          <w:szCs w:val="22"/>
        </w:rPr>
        <w:t>(2), 270-292.</w:t>
      </w:r>
    </w:p>
    <w:p w14:paraId="2CBD0BCC" w14:textId="77777777" w:rsidR="00E839E1" w:rsidRPr="000A2E75" w:rsidRDefault="00E839E1" w:rsidP="00E839E1">
      <w:pPr>
        <w:pStyle w:val="Default"/>
        <w:tabs>
          <w:tab w:val="left" w:pos="540"/>
        </w:tabs>
        <w:spacing w:before="120" w:after="120"/>
        <w:ind w:left="540" w:hanging="540"/>
        <w:jc w:val="both"/>
        <w:rPr>
          <w:iCs/>
          <w:sz w:val="22"/>
          <w:szCs w:val="22"/>
        </w:rPr>
      </w:pPr>
      <w:r w:rsidRPr="000A2E75">
        <w:rPr>
          <w:sz w:val="22"/>
          <w:szCs w:val="22"/>
        </w:rPr>
        <w:t xml:space="preserve">Güler, M., Arslan, Z. ve Çelik, D. (2019). </w:t>
      </w:r>
      <w:r w:rsidRPr="000A2E75">
        <w:rPr>
          <w:bCs/>
          <w:sz w:val="22"/>
          <w:szCs w:val="22"/>
        </w:rPr>
        <w:t xml:space="preserve">2018 Liselere giriş sınavına ilişkin matematik öğretmenlerinin görüşleri, </w:t>
      </w:r>
      <w:r w:rsidRPr="000A2E75">
        <w:rPr>
          <w:i/>
          <w:iCs/>
          <w:sz w:val="22"/>
          <w:szCs w:val="22"/>
        </w:rPr>
        <w:t>YYÜ Eğitim Fakültesi Dergisi, 16</w:t>
      </w:r>
      <w:r w:rsidRPr="000A2E75">
        <w:rPr>
          <w:iCs/>
          <w:sz w:val="22"/>
          <w:szCs w:val="22"/>
        </w:rPr>
        <w:t>(1):337-363.</w:t>
      </w:r>
    </w:p>
    <w:p w14:paraId="6B7A6A0C" w14:textId="77777777" w:rsidR="00E839E1" w:rsidRPr="000A2E75" w:rsidRDefault="00E839E1" w:rsidP="00E839E1">
      <w:pPr>
        <w:pStyle w:val="Default"/>
        <w:tabs>
          <w:tab w:val="left" w:pos="540"/>
        </w:tabs>
        <w:spacing w:before="120" w:after="120"/>
        <w:ind w:left="540" w:hanging="540"/>
        <w:jc w:val="both"/>
        <w:rPr>
          <w:sz w:val="22"/>
          <w:szCs w:val="22"/>
        </w:rPr>
      </w:pPr>
      <w:r w:rsidRPr="000A2E75">
        <w:rPr>
          <w:sz w:val="22"/>
          <w:szCs w:val="22"/>
        </w:rPr>
        <w:t xml:space="preserve">Gürbüz, M. Ç. (2019).Uluslararası sınavların ve bazı ülkelerin merkezi sınav sistemlerinin ve soru örneklerinin tanıtımı S. Çepni (Ed.), </w:t>
      </w:r>
      <w:r w:rsidRPr="000A2E75">
        <w:rPr>
          <w:i/>
          <w:iCs/>
          <w:sz w:val="22"/>
          <w:szCs w:val="22"/>
        </w:rPr>
        <w:t xml:space="preserve">PISA ve TIMSS mantığını ve sorularını anlama </w:t>
      </w:r>
      <w:r w:rsidRPr="000A2E75">
        <w:rPr>
          <w:sz w:val="22"/>
          <w:szCs w:val="22"/>
        </w:rPr>
        <w:t>(2.Baskı), içinde (ss. 45-110). Ankara: Pegem.</w:t>
      </w:r>
    </w:p>
    <w:p w14:paraId="52433F80" w14:textId="77777777" w:rsidR="00E839E1" w:rsidRPr="000A2E75" w:rsidRDefault="00E839E1" w:rsidP="00E839E1">
      <w:pPr>
        <w:pStyle w:val="Default"/>
        <w:tabs>
          <w:tab w:val="left" w:pos="540"/>
        </w:tabs>
        <w:spacing w:before="120" w:after="120"/>
        <w:ind w:left="540" w:hanging="540"/>
        <w:jc w:val="both"/>
        <w:rPr>
          <w:sz w:val="22"/>
          <w:szCs w:val="22"/>
          <w:lang w:val="fr-FR"/>
        </w:rPr>
      </w:pPr>
      <w:r w:rsidRPr="000A2E75">
        <w:rPr>
          <w:sz w:val="22"/>
          <w:szCs w:val="22"/>
        </w:rPr>
        <w:t xml:space="preserve">Gürlen, E., Demirkaya, A. S. ve Doğan, N. (2019). </w:t>
      </w:r>
      <w:r w:rsidRPr="000A2E75">
        <w:rPr>
          <w:i/>
          <w:sz w:val="22"/>
          <w:szCs w:val="22"/>
          <w:lang w:val="fr-FR"/>
        </w:rPr>
        <w:t xml:space="preserve">Mehmet Akif Ersoy Üniversitesi Eğitim Fakültesi Dergisi, 52, </w:t>
      </w:r>
      <w:r w:rsidRPr="000A2E75">
        <w:rPr>
          <w:sz w:val="22"/>
          <w:szCs w:val="22"/>
          <w:lang w:val="fr-FR"/>
        </w:rPr>
        <w:t>287-319.</w:t>
      </w:r>
    </w:p>
    <w:p w14:paraId="78E7F620" w14:textId="77777777" w:rsidR="00E839E1" w:rsidRPr="000A2E75" w:rsidRDefault="00E839E1" w:rsidP="00E839E1">
      <w:pPr>
        <w:tabs>
          <w:tab w:val="left" w:pos="540"/>
        </w:tabs>
        <w:autoSpaceDE w:val="0"/>
        <w:autoSpaceDN w:val="0"/>
        <w:adjustRightInd w:val="0"/>
        <w:spacing w:before="120" w:after="120"/>
        <w:ind w:left="540" w:hanging="540"/>
        <w:jc w:val="both"/>
        <w:rPr>
          <w:rFonts w:ascii="Times New Roman" w:hAnsi="Times New Roman" w:cs="Times New Roman"/>
        </w:rPr>
      </w:pPr>
      <w:r w:rsidRPr="000A2E75">
        <w:rPr>
          <w:rFonts w:ascii="Times New Roman" w:hAnsi="Times New Roman" w:cs="Times New Roman"/>
          <w:bCs/>
          <w:iCs/>
        </w:rPr>
        <w:t xml:space="preserve">Hamilton,L.S.,  Stecher, B.M.,  Klein, S. P. (2002). </w:t>
      </w:r>
      <w:r w:rsidRPr="000A2E75">
        <w:rPr>
          <w:rFonts w:ascii="Times New Roman" w:hAnsi="Times New Roman" w:cs="Times New Roman"/>
          <w:i/>
        </w:rPr>
        <w:t>Making sense of test-based accountability in education</w:t>
      </w:r>
      <w:r w:rsidRPr="000A2E75">
        <w:rPr>
          <w:rFonts w:ascii="Times New Roman" w:hAnsi="Times New Roman" w:cs="Times New Roman"/>
          <w:shd w:val="clear" w:color="auto" w:fill="FFFFFF"/>
        </w:rPr>
        <w:t>, Santa Monica, CA:  RAND.</w:t>
      </w:r>
      <w:r w:rsidRPr="000A2E75">
        <w:rPr>
          <w:rFonts w:ascii="Times New Roman" w:hAnsi="Times New Roman" w:cs="Times New Roman"/>
        </w:rPr>
        <w:t>https://www.rand.org/content/dam/rand/pubs/monograph reports/2002/MR1554.pdf adresinden edinilmiştir.</w:t>
      </w:r>
    </w:p>
    <w:p w14:paraId="75DA27A7" w14:textId="77777777" w:rsidR="00E839E1" w:rsidRPr="000A2E75" w:rsidRDefault="00E839E1" w:rsidP="00E839E1">
      <w:pPr>
        <w:pStyle w:val="Default"/>
        <w:tabs>
          <w:tab w:val="left" w:pos="540"/>
        </w:tabs>
        <w:spacing w:before="120" w:after="120"/>
        <w:ind w:left="540" w:hanging="540"/>
        <w:jc w:val="both"/>
        <w:rPr>
          <w:sz w:val="22"/>
          <w:szCs w:val="22"/>
        </w:rPr>
      </w:pPr>
      <w:r w:rsidRPr="000A2E75">
        <w:rPr>
          <w:sz w:val="22"/>
          <w:szCs w:val="22"/>
        </w:rPr>
        <w:t xml:space="preserve">Kertil, M., Gülbağcı-Dede, H., &amp; Ulusoy, E. G. (2021). Skill-based mathematics questions: What do middle school mathematics teachers think about and how do they implement them?, </w:t>
      </w:r>
      <w:r w:rsidRPr="000A2E75">
        <w:rPr>
          <w:i/>
          <w:iCs/>
          <w:sz w:val="22"/>
          <w:szCs w:val="22"/>
        </w:rPr>
        <w:t>Turkish Journal of Computer and Mathematics Education, 12</w:t>
      </w:r>
      <w:r w:rsidRPr="000A2E75">
        <w:rPr>
          <w:sz w:val="22"/>
          <w:szCs w:val="22"/>
        </w:rPr>
        <w:t>(1), 151- 186.</w:t>
      </w:r>
    </w:p>
    <w:p w14:paraId="4D301F96" w14:textId="77777777" w:rsidR="00E839E1" w:rsidRPr="000A2E75" w:rsidRDefault="00E839E1" w:rsidP="00E839E1">
      <w:pPr>
        <w:tabs>
          <w:tab w:val="left" w:pos="540"/>
        </w:tabs>
        <w:autoSpaceDE w:val="0"/>
        <w:autoSpaceDN w:val="0"/>
        <w:adjustRightInd w:val="0"/>
        <w:spacing w:before="120" w:after="120"/>
        <w:ind w:left="540" w:hanging="540"/>
        <w:jc w:val="both"/>
        <w:rPr>
          <w:rFonts w:ascii="Times New Roman" w:hAnsi="Times New Roman" w:cs="Times New Roman"/>
        </w:rPr>
      </w:pPr>
      <w:r w:rsidRPr="000A2E75">
        <w:rPr>
          <w:rFonts w:ascii="Times New Roman" w:hAnsi="Times New Roman" w:cs="Times New Roman"/>
        </w:rPr>
        <w:t xml:space="preserve">Martin, M. O. and Kelly, D. L. (Eds), (1996). </w:t>
      </w:r>
      <w:r w:rsidRPr="000A2E75">
        <w:rPr>
          <w:rFonts w:ascii="Times New Roman" w:hAnsi="Times New Roman" w:cs="Times New Roman"/>
          <w:i/>
        </w:rPr>
        <w:t>Third International Mathematics and Science Study Technical Report Volume I: Design and Development</w:t>
      </w:r>
      <w:r w:rsidRPr="000A2E75">
        <w:rPr>
          <w:rFonts w:ascii="Times New Roman" w:hAnsi="Times New Roman" w:cs="Times New Roman"/>
        </w:rPr>
        <w:t>, Center for the Study of Testing, Evaluation, and Educational Policy, Boston College. https://timss.bc.edu/timss1995i/TIMSSPDF/TRall.pdf adresinden edinilmiştir.</w:t>
      </w:r>
    </w:p>
    <w:p w14:paraId="4A38A950" w14:textId="77777777" w:rsidR="00E839E1" w:rsidRPr="000A2E75" w:rsidRDefault="00E839E1" w:rsidP="00E839E1">
      <w:pPr>
        <w:tabs>
          <w:tab w:val="left" w:pos="540"/>
        </w:tabs>
        <w:autoSpaceDE w:val="0"/>
        <w:autoSpaceDN w:val="0"/>
        <w:adjustRightInd w:val="0"/>
        <w:spacing w:before="120" w:after="120"/>
        <w:ind w:left="540" w:hanging="540"/>
        <w:jc w:val="both"/>
        <w:rPr>
          <w:rFonts w:ascii="Times New Roman" w:hAnsi="Times New Roman" w:cs="Times New Roman"/>
        </w:rPr>
      </w:pPr>
      <w:r w:rsidRPr="000A2E75">
        <w:rPr>
          <w:rFonts w:ascii="Times New Roman" w:hAnsi="Times New Roman" w:cs="Times New Roman"/>
        </w:rPr>
        <w:lastRenderedPageBreak/>
        <w:t xml:space="preserve">Merriam, S. B. (2013). Araştırmanın desenlenmesi ve örneklem seçimi (Çev. S. Turan ve D. Yılmaz), S. Turan (Çev. Ed.), </w:t>
      </w:r>
      <w:r w:rsidRPr="000A2E75">
        <w:rPr>
          <w:rFonts w:ascii="Times New Roman" w:hAnsi="Times New Roman" w:cs="Times New Roman"/>
          <w:i/>
          <w:iCs/>
        </w:rPr>
        <w:t>Nitel araştırma desen ve uygulama için bir rehber</w:t>
      </w:r>
      <w:r w:rsidRPr="000A2E75">
        <w:rPr>
          <w:rFonts w:ascii="Times New Roman" w:hAnsi="Times New Roman" w:cs="Times New Roman"/>
        </w:rPr>
        <w:t>, Ankara. Nobel. ss.55-82.</w:t>
      </w:r>
    </w:p>
    <w:p w14:paraId="7AC44A82" w14:textId="77777777" w:rsidR="00E839E1" w:rsidRPr="000A2E75" w:rsidRDefault="00E839E1" w:rsidP="00E839E1">
      <w:pPr>
        <w:tabs>
          <w:tab w:val="left" w:pos="540"/>
        </w:tabs>
        <w:autoSpaceDE w:val="0"/>
        <w:autoSpaceDN w:val="0"/>
        <w:adjustRightInd w:val="0"/>
        <w:spacing w:before="120" w:after="120"/>
        <w:ind w:left="540" w:hanging="540"/>
        <w:jc w:val="both"/>
        <w:rPr>
          <w:rFonts w:ascii="Times New Roman" w:hAnsi="Times New Roman" w:cs="Times New Roman"/>
        </w:rPr>
      </w:pPr>
      <w:r w:rsidRPr="000A2E75">
        <w:rPr>
          <w:rFonts w:ascii="Times New Roman" w:hAnsi="Times New Roman" w:cs="Times New Roman"/>
          <w:color w:val="000000"/>
        </w:rPr>
        <w:t>Milli Eğitim Bakanlığı [MEB], (2018).</w:t>
      </w:r>
      <w:r w:rsidRPr="000A2E75">
        <w:rPr>
          <w:rFonts w:ascii="Times New Roman" w:hAnsi="Times New Roman" w:cs="Times New Roman"/>
          <w:color w:val="005AC0"/>
        </w:rPr>
        <w:t xml:space="preserve"> </w:t>
      </w:r>
      <w:r w:rsidRPr="000A2E75">
        <w:rPr>
          <w:rFonts w:ascii="Times New Roman" w:hAnsi="Times New Roman" w:cs="Times New Roman"/>
        </w:rPr>
        <w:t xml:space="preserve">2018 Liselere Geçiş Sistemi (LGS): Merkezi Sınavla Yerleşen Öğrencilerin Performansı,  Eğitim Analiz ve Değerlendirme Raporları Serisi No:3, https://www.meb.gov.tr/meb_iys_dosyalar/2018_12/17094056_2018_lgs_rapor.pdf adresinden </w:t>
      </w:r>
      <w:r w:rsidRPr="000A2E75">
        <w:rPr>
          <w:rFonts w:ascii="Times New Roman" w:hAnsi="Times New Roman" w:cs="Times New Roman"/>
          <w:color w:val="000000"/>
        </w:rPr>
        <w:t>edinilmiştir.</w:t>
      </w:r>
    </w:p>
    <w:p w14:paraId="576B655F" w14:textId="77777777" w:rsidR="00E839E1" w:rsidRPr="000A2E75" w:rsidRDefault="00E839E1" w:rsidP="00E839E1">
      <w:pPr>
        <w:tabs>
          <w:tab w:val="left" w:pos="540"/>
        </w:tabs>
        <w:autoSpaceDE w:val="0"/>
        <w:autoSpaceDN w:val="0"/>
        <w:adjustRightInd w:val="0"/>
        <w:spacing w:before="120" w:after="120"/>
        <w:ind w:left="540" w:hanging="540"/>
        <w:jc w:val="both"/>
        <w:rPr>
          <w:rFonts w:ascii="Times New Roman" w:hAnsi="Times New Roman" w:cs="Times New Roman"/>
          <w:color w:val="000000"/>
        </w:rPr>
      </w:pPr>
      <w:r w:rsidRPr="000A2E75">
        <w:rPr>
          <w:rFonts w:ascii="Times New Roman" w:hAnsi="Times New Roman" w:cs="Times New Roman"/>
          <w:color w:val="000000"/>
        </w:rPr>
        <w:t xml:space="preserve">Milli Eğitim Bakanlığı [MEB], (2019). </w:t>
      </w:r>
      <w:r w:rsidRPr="000A2E75">
        <w:rPr>
          <w:rFonts w:ascii="Times New Roman" w:hAnsi="Times New Roman" w:cs="Times New Roman"/>
        </w:rPr>
        <w:t>PISA 2018 Türkiye Ön Raporu,</w:t>
      </w:r>
      <w:r w:rsidRPr="000A2E75">
        <w:rPr>
          <w:rFonts w:ascii="Times New Roman" w:hAnsi="Times New Roman" w:cs="Times New Roman"/>
          <w:color w:val="005AC0"/>
        </w:rPr>
        <w:t xml:space="preserve"> </w:t>
      </w:r>
      <w:r w:rsidRPr="000A2E75">
        <w:rPr>
          <w:rFonts w:ascii="Times New Roman" w:hAnsi="Times New Roman" w:cs="Times New Roman"/>
          <w:color w:val="000000"/>
        </w:rPr>
        <w:t>http://www.meb.gov.tr/meb_iys_dosyalar/2019_12/03105347_PISA_2018_Turkiye_On_Raporu.pdf</w:t>
      </w:r>
      <w:r w:rsidRPr="000A2E75">
        <w:rPr>
          <w:rFonts w:ascii="Times New Roman" w:hAnsi="Times New Roman" w:cs="Times New Roman"/>
        </w:rPr>
        <w:t xml:space="preserve"> adresinden </w:t>
      </w:r>
      <w:r w:rsidRPr="000A2E75">
        <w:rPr>
          <w:rFonts w:ascii="Times New Roman" w:hAnsi="Times New Roman" w:cs="Times New Roman"/>
          <w:color w:val="000000"/>
        </w:rPr>
        <w:t>edinilmiştir.</w:t>
      </w:r>
    </w:p>
    <w:p w14:paraId="4E1CC900" w14:textId="77777777" w:rsidR="00E839E1" w:rsidRPr="000A2E75" w:rsidRDefault="00E839E1" w:rsidP="00E839E1">
      <w:pPr>
        <w:pStyle w:val="Pa1"/>
        <w:tabs>
          <w:tab w:val="left" w:pos="540"/>
        </w:tabs>
        <w:spacing w:before="120" w:after="120" w:line="240" w:lineRule="auto"/>
        <w:ind w:left="540" w:hanging="540"/>
        <w:jc w:val="both"/>
        <w:rPr>
          <w:rFonts w:ascii="Times New Roman" w:hAnsi="Times New Roman" w:cs="Times New Roman"/>
          <w:sz w:val="22"/>
          <w:szCs w:val="22"/>
        </w:rPr>
      </w:pPr>
      <w:r w:rsidRPr="000A2E75">
        <w:rPr>
          <w:rFonts w:ascii="Times New Roman" w:hAnsi="Times New Roman" w:cs="Times New Roman"/>
          <w:sz w:val="22"/>
          <w:szCs w:val="22"/>
        </w:rPr>
        <w:t xml:space="preserve">Milli Eğitim Bakanlığı [MEB], (2020). </w:t>
      </w:r>
      <w:r w:rsidRPr="000A2E75">
        <w:rPr>
          <w:rFonts w:ascii="Times New Roman" w:hAnsi="Times New Roman" w:cs="Times New Roman"/>
          <w:i/>
          <w:color w:val="000000"/>
          <w:sz w:val="22"/>
          <w:szCs w:val="22"/>
        </w:rPr>
        <w:t xml:space="preserve">TIMSS 2019 </w:t>
      </w:r>
      <w:r w:rsidRPr="000A2E75">
        <w:rPr>
          <w:rFonts w:ascii="Times New Roman" w:hAnsi="Times New Roman" w:cs="Times New Roman"/>
          <w:bCs/>
          <w:i/>
          <w:color w:val="000000"/>
          <w:sz w:val="22"/>
          <w:szCs w:val="22"/>
        </w:rPr>
        <w:t>Türkiye</w:t>
      </w:r>
      <w:r w:rsidRPr="000A2E75">
        <w:rPr>
          <w:rFonts w:ascii="Times New Roman" w:hAnsi="Times New Roman" w:cs="Times New Roman"/>
          <w:b/>
          <w:bCs/>
          <w:i/>
          <w:color w:val="000000"/>
          <w:sz w:val="22"/>
          <w:szCs w:val="22"/>
        </w:rPr>
        <w:t xml:space="preserve"> </w:t>
      </w:r>
      <w:r w:rsidRPr="000A2E75">
        <w:rPr>
          <w:rFonts w:ascii="Times New Roman" w:hAnsi="Times New Roman" w:cs="Times New Roman"/>
          <w:i/>
          <w:color w:val="000000"/>
          <w:sz w:val="22"/>
          <w:szCs w:val="22"/>
        </w:rPr>
        <w:t>Ön Raporu</w:t>
      </w:r>
      <w:r w:rsidRPr="000A2E75">
        <w:rPr>
          <w:rFonts w:ascii="Times New Roman" w:hAnsi="Times New Roman" w:cs="Times New Roman"/>
          <w:color w:val="000000"/>
          <w:sz w:val="22"/>
          <w:szCs w:val="22"/>
        </w:rPr>
        <w:t xml:space="preserve">, </w:t>
      </w:r>
      <w:r w:rsidRPr="000A2E75">
        <w:rPr>
          <w:rFonts w:ascii="Times New Roman" w:hAnsi="Times New Roman" w:cs="Times New Roman"/>
          <w:sz w:val="22"/>
          <w:szCs w:val="22"/>
        </w:rPr>
        <w:t>Eğitim Analiz ve Değerlendirme Raporları Serisi No:15, https://odsgm.meb.gov.tr/meb_iys_dosyalar/2020_12/10175514_TIMSS_2019_Turkiye_On_Raporu_.pdf adresinden edinilmiştir.</w:t>
      </w:r>
    </w:p>
    <w:p w14:paraId="4157D686" w14:textId="77777777" w:rsidR="00E839E1" w:rsidRPr="000A2E75" w:rsidRDefault="00E839E1" w:rsidP="00E839E1">
      <w:pPr>
        <w:tabs>
          <w:tab w:val="left" w:pos="540"/>
        </w:tabs>
        <w:autoSpaceDE w:val="0"/>
        <w:autoSpaceDN w:val="0"/>
        <w:adjustRightInd w:val="0"/>
        <w:spacing w:before="120" w:after="120"/>
        <w:ind w:left="540" w:hanging="540"/>
        <w:jc w:val="both"/>
        <w:rPr>
          <w:rFonts w:ascii="Times New Roman" w:hAnsi="Times New Roman" w:cs="Times New Roman"/>
        </w:rPr>
      </w:pPr>
      <w:r w:rsidRPr="000A2E75">
        <w:rPr>
          <w:rFonts w:ascii="Times New Roman" w:hAnsi="Times New Roman" w:cs="Times New Roman"/>
          <w:color w:val="1D1D1B"/>
        </w:rPr>
        <w:t xml:space="preserve">OECD, (2016), </w:t>
      </w:r>
      <w:r w:rsidRPr="000A2E75">
        <w:rPr>
          <w:rFonts w:ascii="Times New Roman" w:hAnsi="Times New Roman" w:cs="Times New Roman"/>
          <w:i/>
          <w:iCs/>
          <w:color w:val="1D1D1B"/>
        </w:rPr>
        <w:t xml:space="preserve">PISA 2015 Results (Volume I): Excellence and Equity in Education, </w:t>
      </w:r>
      <w:r w:rsidRPr="000A2E75">
        <w:rPr>
          <w:rFonts w:ascii="Times New Roman" w:hAnsi="Times New Roman" w:cs="Times New Roman"/>
          <w:color w:val="1D1D1B"/>
        </w:rPr>
        <w:t>PISA, OECD Publishing, Paris. https://www.oecd-ilibrary.org/education/pisa-2015-results-volume-i_9789264266490-en</w:t>
      </w:r>
      <w:r w:rsidRPr="000A2E75">
        <w:rPr>
          <w:rFonts w:ascii="Times New Roman" w:hAnsi="Times New Roman" w:cs="Times New Roman"/>
        </w:rPr>
        <w:t xml:space="preserve"> adresinden edinilmiştir.</w:t>
      </w:r>
    </w:p>
    <w:p w14:paraId="61CD9E21" w14:textId="77777777" w:rsidR="00E839E1" w:rsidRPr="000A2E75" w:rsidRDefault="00E839E1" w:rsidP="00E839E1">
      <w:pPr>
        <w:tabs>
          <w:tab w:val="left" w:pos="540"/>
        </w:tabs>
        <w:autoSpaceDE w:val="0"/>
        <w:autoSpaceDN w:val="0"/>
        <w:adjustRightInd w:val="0"/>
        <w:spacing w:before="120" w:after="120"/>
        <w:ind w:left="540" w:hanging="540"/>
        <w:jc w:val="both"/>
        <w:rPr>
          <w:rFonts w:ascii="Times New Roman" w:hAnsi="Times New Roman" w:cs="Times New Roman"/>
        </w:rPr>
      </w:pPr>
      <w:r w:rsidRPr="000A2E75">
        <w:rPr>
          <w:rFonts w:ascii="Times New Roman" w:hAnsi="Times New Roman" w:cs="Times New Roman"/>
        </w:rPr>
        <w:t xml:space="preserve">OECD, (2019). </w:t>
      </w:r>
      <w:r w:rsidRPr="000A2E75">
        <w:rPr>
          <w:rFonts w:ascii="Times New Roman" w:hAnsi="Times New Roman" w:cs="Times New Roman"/>
          <w:i/>
        </w:rPr>
        <w:t>PISA 2018 Results (Volume I): What Students Know and Can Do, PISA</w:t>
      </w:r>
      <w:r w:rsidRPr="000A2E75">
        <w:rPr>
          <w:rFonts w:ascii="Times New Roman" w:hAnsi="Times New Roman" w:cs="Times New Roman"/>
        </w:rPr>
        <w:t>, OECD Publishing, Paris, https://www.oecd-ilibrary.org/education/pisa-2018-results-volume-i_5f07c754-en adresinden edinilmiştir.</w:t>
      </w:r>
    </w:p>
    <w:p w14:paraId="283854D2" w14:textId="77777777" w:rsidR="00E839E1" w:rsidRPr="000A2E75" w:rsidRDefault="00E839E1" w:rsidP="00E839E1">
      <w:pPr>
        <w:pStyle w:val="AklamaMetni"/>
        <w:tabs>
          <w:tab w:val="left" w:pos="540"/>
        </w:tabs>
        <w:spacing w:before="120" w:after="120"/>
        <w:ind w:left="540" w:hanging="540"/>
        <w:jc w:val="both"/>
        <w:rPr>
          <w:rFonts w:ascii="Times New Roman" w:hAnsi="Times New Roman" w:cs="Times New Roman"/>
          <w:sz w:val="22"/>
          <w:szCs w:val="22"/>
        </w:rPr>
      </w:pPr>
      <w:r w:rsidRPr="000A2E75">
        <w:rPr>
          <w:rFonts w:ascii="Times New Roman" w:hAnsi="Times New Roman" w:cs="Times New Roman"/>
          <w:sz w:val="22"/>
          <w:szCs w:val="22"/>
        </w:rPr>
        <w:t xml:space="preserve">Ormancı, Ü. (2019). Türkiye’deki ulusal sınavların tanıtımı, S. Çepni (Ed.), </w:t>
      </w:r>
      <w:r w:rsidRPr="000A2E75">
        <w:rPr>
          <w:rFonts w:ascii="Times New Roman" w:hAnsi="Times New Roman" w:cs="Times New Roman"/>
          <w:i/>
          <w:sz w:val="22"/>
          <w:szCs w:val="22"/>
        </w:rPr>
        <w:t>PISA ve TIMSS mantığını ve sorularını anlama</w:t>
      </w:r>
      <w:r w:rsidRPr="000A2E75">
        <w:rPr>
          <w:rFonts w:ascii="Times New Roman" w:hAnsi="Times New Roman" w:cs="Times New Roman"/>
          <w:sz w:val="22"/>
          <w:szCs w:val="22"/>
        </w:rPr>
        <w:t xml:space="preserve"> (2.Baskı), içinde (ss. 33-44), Ankara: Pegem.</w:t>
      </w:r>
    </w:p>
    <w:p w14:paraId="141AC74C" w14:textId="77777777" w:rsidR="00E839E1" w:rsidRPr="000A2E75" w:rsidRDefault="00E839E1" w:rsidP="00E839E1">
      <w:pPr>
        <w:pStyle w:val="Default"/>
        <w:tabs>
          <w:tab w:val="left" w:pos="540"/>
        </w:tabs>
        <w:spacing w:before="120" w:after="120"/>
        <w:ind w:left="540" w:hanging="540"/>
        <w:jc w:val="both"/>
        <w:rPr>
          <w:bCs/>
          <w:sz w:val="22"/>
          <w:szCs w:val="22"/>
        </w:rPr>
      </w:pPr>
      <w:r w:rsidRPr="000A2E75">
        <w:rPr>
          <w:bCs/>
          <w:sz w:val="22"/>
          <w:szCs w:val="22"/>
        </w:rPr>
        <w:t xml:space="preserve">Sanca, M., Artun, H., Bakırcı, H. ve Okur, M. (2021). Ortaokul beceri temelli soruların yeniden yapılandırılmış bloom taksonomisine göre değerlendirilmesi, </w:t>
      </w:r>
      <w:r w:rsidRPr="000A2E75">
        <w:rPr>
          <w:i/>
          <w:iCs/>
          <w:sz w:val="22"/>
          <w:szCs w:val="22"/>
        </w:rPr>
        <w:t>YYÜ Eğitim Fakültesi Dergisi, 18</w:t>
      </w:r>
      <w:r w:rsidRPr="000A2E75">
        <w:rPr>
          <w:iCs/>
          <w:sz w:val="22"/>
          <w:szCs w:val="22"/>
        </w:rPr>
        <w:t>(1) 219-248</w:t>
      </w:r>
      <w:r w:rsidRPr="000A2E75">
        <w:rPr>
          <w:sz w:val="22"/>
          <w:szCs w:val="22"/>
        </w:rPr>
        <w:t>.</w:t>
      </w:r>
      <w:r w:rsidRPr="000A2E75">
        <w:rPr>
          <w:bCs/>
          <w:sz w:val="22"/>
          <w:szCs w:val="22"/>
        </w:rPr>
        <w:t xml:space="preserve"> </w:t>
      </w:r>
    </w:p>
    <w:p w14:paraId="625C5B44" w14:textId="77777777" w:rsidR="00E839E1" w:rsidRPr="000A2E75" w:rsidRDefault="00E839E1" w:rsidP="00E839E1">
      <w:pPr>
        <w:pStyle w:val="Default"/>
        <w:tabs>
          <w:tab w:val="left" w:pos="540"/>
        </w:tabs>
        <w:spacing w:before="120" w:after="120"/>
        <w:ind w:left="540" w:hanging="540"/>
        <w:jc w:val="both"/>
        <w:rPr>
          <w:sz w:val="22"/>
          <w:szCs w:val="22"/>
        </w:rPr>
      </w:pPr>
      <w:r w:rsidRPr="000A2E75">
        <w:rPr>
          <w:sz w:val="22"/>
          <w:szCs w:val="22"/>
        </w:rPr>
        <w:t xml:space="preserve">Schleicher, A. (2019). </w:t>
      </w:r>
      <w:r w:rsidRPr="000A2E75">
        <w:rPr>
          <w:i/>
          <w:sz w:val="22"/>
          <w:szCs w:val="22"/>
        </w:rPr>
        <w:t>PISA 2018: Insights and Interpretations</w:t>
      </w:r>
      <w:r w:rsidRPr="000A2E75">
        <w:rPr>
          <w:sz w:val="22"/>
          <w:szCs w:val="22"/>
        </w:rPr>
        <w:t>, https://www.oecd.org/pisa/PISA%202018%20Insights%20and%20Interpretations%20FINAL%20PDF.pdf adresinden edinilmiştir.</w:t>
      </w:r>
    </w:p>
    <w:p w14:paraId="0C262370" w14:textId="77777777" w:rsidR="00E839E1" w:rsidRPr="000A2E75" w:rsidRDefault="00E839E1" w:rsidP="00E839E1">
      <w:pPr>
        <w:tabs>
          <w:tab w:val="left" w:pos="540"/>
        </w:tabs>
        <w:autoSpaceDE w:val="0"/>
        <w:autoSpaceDN w:val="0"/>
        <w:adjustRightInd w:val="0"/>
        <w:spacing w:before="120" w:after="120"/>
        <w:ind w:left="540" w:hanging="540"/>
        <w:jc w:val="both"/>
        <w:rPr>
          <w:rFonts w:ascii="Times New Roman" w:hAnsi="Times New Roman" w:cs="Times New Roman"/>
        </w:rPr>
      </w:pPr>
      <w:r w:rsidRPr="000A2E75">
        <w:rPr>
          <w:rFonts w:ascii="Times New Roman" w:hAnsi="Times New Roman" w:cs="Times New Roman"/>
        </w:rPr>
        <w:t xml:space="preserve">Sellar, S. and Lingard, B. (2014). The OECD and the expansion of PISA: New global modes of governance in education, </w:t>
      </w:r>
      <w:r w:rsidRPr="000A2E75">
        <w:rPr>
          <w:rFonts w:ascii="Times New Roman" w:hAnsi="Times New Roman" w:cs="Times New Roman"/>
          <w:i/>
        </w:rPr>
        <w:t>British Educational Research Journal, 40</w:t>
      </w:r>
      <w:r w:rsidRPr="000A2E75">
        <w:rPr>
          <w:rFonts w:ascii="Times New Roman" w:hAnsi="Times New Roman" w:cs="Times New Roman"/>
        </w:rPr>
        <w:t>(6), 917–936.</w:t>
      </w:r>
    </w:p>
    <w:p w14:paraId="2E2A2A19" w14:textId="77777777" w:rsidR="00E839E1" w:rsidRPr="000A2E75" w:rsidRDefault="00E839E1" w:rsidP="00E839E1">
      <w:pPr>
        <w:tabs>
          <w:tab w:val="left" w:pos="540"/>
        </w:tabs>
        <w:autoSpaceDE w:val="0"/>
        <w:autoSpaceDN w:val="0"/>
        <w:adjustRightInd w:val="0"/>
        <w:spacing w:before="120" w:after="120"/>
        <w:ind w:left="540" w:hanging="540"/>
        <w:jc w:val="both"/>
        <w:rPr>
          <w:rFonts w:ascii="Times New Roman" w:hAnsi="Times New Roman" w:cs="Times New Roman"/>
        </w:rPr>
      </w:pPr>
      <w:r w:rsidRPr="000A2E75">
        <w:rPr>
          <w:rFonts w:ascii="Times New Roman" w:hAnsi="Times New Roman" w:cs="Times New Roman"/>
        </w:rPr>
        <w:t xml:space="preserve">Stacey, K. (2011). </w:t>
      </w:r>
      <w:r w:rsidRPr="000A2E75">
        <w:rPr>
          <w:rFonts w:ascii="Times New Roman" w:hAnsi="Times New Roman" w:cs="Times New Roman"/>
          <w:bCs/>
        </w:rPr>
        <w:t xml:space="preserve">The PISA View of mathematical literacy in Indonesia, </w:t>
      </w:r>
      <w:hyperlink r:id="rId386" w:tgtFrame="_blank" w:tooltip="JME" w:history="1">
        <w:r w:rsidRPr="000A2E75">
          <w:rPr>
            <w:rStyle w:val="Kpr"/>
            <w:rFonts w:ascii="Times New Roman" w:hAnsi="Times New Roman" w:cs="Times New Roman"/>
            <w:shd w:val="clear" w:color="auto" w:fill="FFFFFF"/>
          </w:rPr>
          <w:t>Journal on Mathematics Education</w:t>
        </w:r>
      </w:hyperlink>
      <w:r w:rsidRPr="000A2E75">
        <w:rPr>
          <w:rFonts w:ascii="Times New Roman" w:hAnsi="Times New Roman" w:cs="Times New Roman"/>
          <w:i/>
        </w:rPr>
        <w:t>, 2</w:t>
      </w:r>
      <w:r w:rsidRPr="000A2E75">
        <w:rPr>
          <w:rFonts w:ascii="Times New Roman" w:hAnsi="Times New Roman" w:cs="Times New Roman"/>
        </w:rPr>
        <w:t>(2), 95-126.</w:t>
      </w:r>
    </w:p>
    <w:p w14:paraId="229DD395" w14:textId="77777777" w:rsidR="00E839E1" w:rsidRPr="000A2E75" w:rsidRDefault="00E839E1" w:rsidP="00E839E1">
      <w:pPr>
        <w:tabs>
          <w:tab w:val="left" w:pos="540"/>
        </w:tabs>
        <w:autoSpaceDE w:val="0"/>
        <w:autoSpaceDN w:val="0"/>
        <w:adjustRightInd w:val="0"/>
        <w:spacing w:before="120" w:after="120"/>
        <w:ind w:left="540" w:hanging="540"/>
        <w:jc w:val="both"/>
        <w:rPr>
          <w:rFonts w:ascii="Times New Roman" w:hAnsi="Times New Roman" w:cs="Times New Roman"/>
          <w:bCs/>
          <w:i/>
        </w:rPr>
      </w:pPr>
      <w:r w:rsidRPr="000A2E75">
        <w:rPr>
          <w:rFonts w:ascii="Times New Roman" w:hAnsi="Times New Roman" w:cs="Times New Roman"/>
          <w:color w:val="000000"/>
          <w:shd w:val="clear" w:color="auto" w:fill="FFFFFF"/>
        </w:rPr>
        <w:t xml:space="preserve">Thomson, S., De Bortoli, L., Nicholas, M., Hillman, K., &amp; Buckley, S. (2010). Challenges for Australian education: Results from PISA 2009 : The PISA 2009 assessment of students' reading, mathematical and scientific literacy. </w:t>
      </w:r>
      <w:r w:rsidRPr="000A2E75">
        <w:rPr>
          <w:rFonts w:ascii="Times New Roman" w:hAnsi="Times New Roman" w:cs="Times New Roman"/>
          <w:shd w:val="clear" w:color="auto" w:fill="FFFFFF"/>
        </w:rPr>
        <w:t>https://www.acer.org/files/PISA-Report-2009.pdf</w:t>
      </w:r>
      <w:r w:rsidRPr="000A2E75">
        <w:rPr>
          <w:rFonts w:ascii="Times New Roman" w:hAnsi="Times New Roman" w:cs="Times New Roman"/>
          <w:color w:val="000000"/>
          <w:shd w:val="clear" w:color="auto" w:fill="FFFFFF"/>
        </w:rPr>
        <w:t xml:space="preserve"> </w:t>
      </w:r>
      <w:r w:rsidRPr="000A2E75">
        <w:rPr>
          <w:rFonts w:ascii="Times New Roman" w:hAnsi="Times New Roman" w:cs="Times New Roman"/>
        </w:rPr>
        <w:t>adresinden edinilmiştir.</w:t>
      </w:r>
    </w:p>
    <w:p w14:paraId="1BCAAE15" w14:textId="77777777" w:rsidR="00E839E1" w:rsidRPr="000A2E75" w:rsidRDefault="00E839E1" w:rsidP="00E839E1">
      <w:pPr>
        <w:tabs>
          <w:tab w:val="left" w:pos="540"/>
        </w:tabs>
        <w:autoSpaceDE w:val="0"/>
        <w:autoSpaceDN w:val="0"/>
        <w:adjustRightInd w:val="0"/>
        <w:spacing w:before="120" w:after="120"/>
        <w:ind w:left="540" w:hanging="540"/>
        <w:jc w:val="both"/>
        <w:rPr>
          <w:rFonts w:ascii="Times New Roman" w:hAnsi="Times New Roman" w:cs="Times New Roman"/>
        </w:rPr>
      </w:pPr>
      <w:r w:rsidRPr="000A2E75">
        <w:rPr>
          <w:rFonts w:ascii="Times New Roman" w:hAnsi="Times New Roman" w:cs="Times New Roman"/>
          <w:color w:val="000000"/>
        </w:rPr>
        <w:t xml:space="preserve">Wijaya, A., Van den Heuvel-Panhuizen, M., Doorman, M., &amp; Robitzsch, A. (2014). Difficulties in solving context-based PISA mathematics tasks: An analysis of students' errors. </w:t>
      </w:r>
      <w:r w:rsidRPr="000A2E75">
        <w:rPr>
          <w:rFonts w:ascii="Times New Roman" w:hAnsi="Times New Roman" w:cs="Times New Roman"/>
          <w:i/>
          <w:iCs/>
          <w:color w:val="000000"/>
        </w:rPr>
        <w:t>The Mathematics Enthusiast, 11</w:t>
      </w:r>
      <w:r w:rsidRPr="000A2E75">
        <w:rPr>
          <w:rFonts w:ascii="Times New Roman" w:hAnsi="Times New Roman" w:cs="Times New Roman"/>
          <w:color w:val="000000"/>
        </w:rPr>
        <w:t>(3), 555-584.</w:t>
      </w:r>
    </w:p>
    <w:p w14:paraId="498522E3" w14:textId="77777777" w:rsidR="00E839E1" w:rsidRPr="000A2E75" w:rsidRDefault="00E839E1" w:rsidP="00E839E1">
      <w:pPr>
        <w:rPr>
          <w:rFonts w:ascii="Times New Roman" w:hAnsi="Times New Roman" w:cs="Times New Roman"/>
          <w:b/>
          <w:color w:val="000000"/>
        </w:rPr>
      </w:pPr>
    </w:p>
    <w:p w14:paraId="13982E57" w14:textId="77777777" w:rsidR="00E839E1" w:rsidRPr="000A2E75" w:rsidRDefault="00E839E1" w:rsidP="00E839E1">
      <w:pPr>
        <w:spacing w:before="120" w:after="120"/>
        <w:jc w:val="both"/>
        <w:rPr>
          <w:rFonts w:ascii="Times New Roman" w:hAnsi="Times New Roman" w:cs="Times New Roman"/>
          <w:b/>
        </w:rPr>
      </w:pPr>
    </w:p>
    <w:p w14:paraId="50368B35" w14:textId="77777777" w:rsidR="00E839E1" w:rsidRPr="000A2E75" w:rsidRDefault="00E839E1" w:rsidP="00E839E1">
      <w:pPr>
        <w:spacing w:before="120" w:after="120"/>
        <w:jc w:val="both"/>
        <w:rPr>
          <w:rFonts w:ascii="Times New Roman" w:hAnsi="Times New Roman" w:cs="Times New Roman"/>
        </w:rPr>
      </w:pPr>
    </w:p>
    <w:p w14:paraId="578754A8" w14:textId="77777777" w:rsidR="00E839E1" w:rsidRPr="000A2E75" w:rsidRDefault="00E839E1" w:rsidP="00E839E1">
      <w:pPr>
        <w:spacing w:before="120" w:after="120"/>
        <w:jc w:val="both"/>
        <w:rPr>
          <w:rFonts w:ascii="Times New Roman" w:hAnsi="Times New Roman" w:cs="Times New Roman"/>
        </w:rPr>
      </w:pPr>
    </w:p>
    <w:p w14:paraId="7DC79A27" w14:textId="77777777" w:rsidR="00E839E1" w:rsidRPr="000A2E75" w:rsidRDefault="00E839E1" w:rsidP="00E839E1">
      <w:pPr>
        <w:autoSpaceDE w:val="0"/>
        <w:autoSpaceDN w:val="0"/>
        <w:adjustRightInd w:val="0"/>
        <w:rPr>
          <w:rFonts w:ascii="Times New Roman" w:hAnsi="Times New Roman" w:cs="Times New Roman"/>
        </w:rPr>
      </w:pPr>
      <w:r w:rsidRPr="000A2E75">
        <w:rPr>
          <w:rFonts w:ascii="Times New Roman" w:hAnsi="Times New Roman" w:cs="Times New Roman"/>
        </w:rPr>
        <w:br w:type="page"/>
      </w:r>
    </w:p>
    <w:p w14:paraId="6D71C44C" w14:textId="77777777" w:rsidR="00E839E1" w:rsidRPr="000A2E75" w:rsidRDefault="00E839E1" w:rsidP="00E839E1">
      <w:pPr>
        <w:pStyle w:val="Balk1"/>
        <w:rPr>
          <w:rFonts w:ascii="Times New Roman" w:hAnsi="Times New Roman" w:cs="Times New Roman"/>
          <w:b/>
          <w:color w:val="000000" w:themeColor="text1"/>
          <w:sz w:val="24"/>
          <w:szCs w:val="24"/>
        </w:rPr>
      </w:pPr>
      <w:bookmarkStart w:id="290" w:name="_Toc69817069"/>
      <w:bookmarkStart w:id="291" w:name="_Toc70612090"/>
      <w:bookmarkStart w:id="292" w:name="_Toc72754700"/>
      <w:bookmarkStart w:id="293" w:name="_Toc72755972"/>
      <w:bookmarkStart w:id="294" w:name="_Toc72961784"/>
      <w:r w:rsidRPr="000A2E75">
        <w:rPr>
          <w:rFonts w:ascii="Times New Roman" w:hAnsi="Times New Roman" w:cs="Times New Roman"/>
          <w:b/>
          <w:color w:val="000000" w:themeColor="text1"/>
          <w:sz w:val="24"/>
          <w:szCs w:val="24"/>
        </w:rPr>
        <w:lastRenderedPageBreak/>
        <w:t>FOSTERING STUDENTS' CRITICAL THINKING STRATEGIES: A CASE STUDY OF AN ENGLISH TEACHER</w:t>
      </w:r>
      <w:bookmarkEnd w:id="290"/>
      <w:bookmarkEnd w:id="291"/>
      <w:bookmarkEnd w:id="292"/>
      <w:bookmarkEnd w:id="293"/>
      <w:bookmarkEnd w:id="294"/>
    </w:p>
    <w:p w14:paraId="40849ACF" w14:textId="77777777" w:rsidR="00E839E1" w:rsidRPr="000A2E75" w:rsidRDefault="00E839E1" w:rsidP="00E839E1">
      <w:pPr>
        <w:jc w:val="both"/>
        <w:rPr>
          <w:rFonts w:ascii="Times New Roman" w:hAnsi="Times New Roman" w:cs="Times New Roman"/>
          <w:color w:val="000000" w:themeColor="text1"/>
        </w:rPr>
      </w:pPr>
      <w:bookmarkStart w:id="295" w:name="_Toc69817070"/>
    </w:p>
    <w:p w14:paraId="3A33D323" w14:textId="77777777" w:rsidR="00E839E1" w:rsidRPr="000A2E75" w:rsidRDefault="00E839E1" w:rsidP="00E839E1">
      <w:pPr>
        <w:jc w:val="both"/>
        <w:rPr>
          <w:rFonts w:ascii="Times New Roman" w:hAnsi="Times New Roman" w:cs="Times New Roman"/>
          <w:i/>
          <w:color w:val="000000" w:themeColor="text1"/>
        </w:rPr>
      </w:pPr>
      <w:bookmarkStart w:id="296" w:name="_Toc70612091"/>
      <w:bookmarkStart w:id="297" w:name="_Toc72754701"/>
      <w:bookmarkStart w:id="298" w:name="_Toc72755973"/>
      <w:bookmarkStart w:id="299" w:name="_Toc72961785"/>
      <w:r w:rsidRPr="000A2E75">
        <w:rPr>
          <w:rStyle w:val="Balk2Char"/>
          <w:rFonts w:ascii="Times New Roman" w:eastAsiaTheme="minorHAnsi" w:hAnsi="Times New Roman" w:cs="Times New Roman"/>
          <w:b w:val="0"/>
          <w:i w:val="0"/>
          <w:sz w:val="20"/>
          <w:szCs w:val="20"/>
        </w:rPr>
        <w:t>Prof.Dr.Yasemin KIRKGOZ</w:t>
      </w:r>
      <w:bookmarkEnd w:id="296"/>
      <w:bookmarkEnd w:id="297"/>
      <w:bookmarkEnd w:id="298"/>
      <w:bookmarkEnd w:id="299"/>
      <w:r w:rsidRPr="000A2E75">
        <w:rPr>
          <w:rFonts w:ascii="Times New Roman" w:hAnsi="Times New Roman" w:cs="Times New Roman"/>
          <w:color w:val="000000" w:themeColor="text1"/>
        </w:rPr>
        <w:t xml:space="preserve">, </w:t>
      </w:r>
      <w:r w:rsidRPr="000A2E75">
        <w:rPr>
          <w:rFonts w:ascii="Times New Roman" w:hAnsi="Times New Roman" w:cs="Times New Roman"/>
          <w:i/>
          <w:color w:val="000000" w:themeColor="text1"/>
        </w:rPr>
        <w:t>Çukurova University, Faculty of Education, Adana, Turkey</w:t>
      </w:r>
      <w:bookmarkEnd w:id="295"/>
    </w:p>
    <w:p w14:paraId="7137BAAE" w14:textId="77777777" w:rsidR="00E839E1" w:rsidRPr="000A2E75" w:rsidRDefault="00E839E1" w:rsidP="00E839E1">
      <w:pPr>
        <w:jc w:val="both"/>
        <w:rPr>
          <w:rFonts w:ascii="Times New Roman" w:hAnsi="Times New Roman" w:cs="Times New Roman"/>
          <w:color w:val="000000" w:themeColor="text1"/>
        </w:rPr>
      </w:pPr>
      <w:r w:rsidRPr="000A2E75">
        <w:rPr>
          <w:rFonts w:ascii="Times New Roman" w:hAnsi="Times New Roman" w:cs="Times New Roman"/>
          <w:i/>
          <w:color w:val="000000" w:themeColor="text1"/>
        </w:rPr>
        <w:t>e-mail</w:t>
      </w:r>
      <w:r w:rsidRPr="000A2E75">
        <w:rPr>
          <w:rFonts w:ascii="Times New Roman" w:hAnsi="Times New Roman" w:cs="Times New Roman"/>
          <w:color w:val="000000" w:themeColor="text1"/>
          <w:u w:val="single"/>
        </w:rPr>
        <w:t>:ykirkgoz@cu.edu.tr</w:t>
      </w:r>
      <w:r w:rsidRPr="000A2E75">
        <w:rPr>
          <w:rFonts w:ascii="Times New Roman" w:hAnsi="Times New Roman" w:cs="Times New Roman"/>
          <w:i/>
          <w:color w:val="000000" w:themeColor="text1"/>
        </w:rPr>
        <w:t xml:space="preserve"> ORCID ID:</w:t>
      </w:r>
      <w:r w:rsidRPr="000A2E75">
        <w:rPr>
          <w:rFonts w:ascii="Times New Roman" w:hAnsi="Times New Roman" w:cs="Times New Roman"/>
          <w:color w:val="000000" w:themeColor="text1"/>
        </w:rPr>
        <w:t xml:space="preserve"> 0000-0001-5838-6637</w:t>
      </w:r>
    </w:p>
    <w:p w14:paraId="0201A4AB" w14:textId="77777777" w:rsidR="00E839E1" w:rsidRPr="000A2E75" w:rsidRDefault="00E839E1" w:rsidP="00E839E1">
      <w:pPr>
        <w:jc w:val="both"/>
        <w:rPr>
          <w:rFonts w:ascii="Times New Roman" w:hAnsi="Times New Roman" w:cs="Times New Roman"/>
          <w:lang w:val="en-GB"/>
        </w:rPr>
      </w:pPr>
    </w:p>
    <w:p w14:paraId="1416E68D" w14:textId="77777777" w:rsidR="00E839E1" w:rsidRPr="000A2E75" w:rsidRDefault="00E839E1" w:rsidP="00E839E1">
      <w:pPr>
        <w:jc w:val="both"/>
        <w:rPr>
          <w:rFonts w:ascii="Times New Roman" w:hAnsi="Times New Roman" w:cs="Times New Roman"/>
          <w:b/>
          <w:lang w:val="en-GB"/>
        </w:rPr>
      </w:pPr>
      <w:r w:rsidRPr="000A2E75">
        <w:rPr>
          <w:rFonts w:ascii="Times New Roman" w:hAnsi="Times New Roman" w:cs="Times New Roman"/>
          <w:b/>
          <w:lang w:val="en-GB"/>
        </w:rPr>
        <w:t xml:space="preserve">Abstract </w:t>
      </w:r>
    </w:p>
    <w:p w14:paraId="4D976C11" w14:textId="77777777" w:rsidR="00E839E1" w:rsidRPr="000A2E75" w:rsidRDefault="00E839E1" w:rsidP="00E839E1">
      <w:pPr>
        <w:jc w:val="both"/>
        <w:rPr>
          <w:rFonts w:ascii="Times New Roman" w:hAnsi="Times New Roman" w:cs="Times New Roman"/>
          <w:lang w:val="en-GB"/>
        </w:rPr>
      </w:pPr>
      <w:r w:rsidRPr="000A2E75">
        <w:rPr>
          <w:rFonts w:ascii="Times New Roman" w:hAnsi="Times New Roman" w:cs="Times New Roman"/>
          <w:lang w:val="en-GB"/>
        </w:rPr>
        <w:t xml:space="preserve">Fostering students’ critical thinking skills has been given prominence as one of the twenty-first century skills in many fields including English Language Teaching. </w:t>
      </w:r>
      <w:r w:rsidRPr="000A2E75">
        <w:rPr>
          <w:rFonts w:ascii="Times New Roman" w:eastAsiaTheme="minorEastAsia" w:hAnsi="Times New Roman" w:cs="Times New Roman"/>
          <w:color w:val="000000" w:themeColor="text1"/>
          <w:kern w:val="24"/>
          <w:lang w:val="en-GB"/>
        </w:rPr>
        <w:t xml:space="preserve">Although the Ministry </w:t>
      </w:r>
      <w:r w:rsidRPr="000A2E75">
        <w:rPr>
          <w:rFonts w:ascii="Times New Roman" w:hAnsi="Times New Roman" w:cs="Times New Roman"/>
          <w:lang w:val="en-GB"/>
        </w:rPr>
        <w:t xml:space="preserve">of National Education in Turkey has highlighted the development of students’ critical thinking (CT) abilities (MEB, 2018), many teachers fail to incorporate these skills effectively into their teaching practices. </w:t>
      </w:r>
      <w:r w:rsidRPr="000A2E75">
        <w:rPr>
          <w:rFonts w:ascii="Times New Roman" w:eastAsiaTheme="minorEastAsia" w:hAnsi="Times New Roman" w:cs="Times New Roman"/>
          <w:color w:val="000000" w:themeColor="text1"/>
          <w:kern w:val="24"/>
          <w:lang w:val="en-GB"/>
        </w:rPr>
        <w:t xml:space="preserve">The aim of this study is to report the experiences of an English teacher who has been incorporating CT activities into her English lessons in order to promote students’ CT skills. </w:t>
      </w:r>
      <w:r w:rsidRPr="000A2E75">
        <w:rPr>
          <w:rFonts w:ascii="Times New Roman" w:hAnsi="Times New Roman" w:cs="Times New Roman"/>
          <w:lang w:val="en-GB"/>
        </w:rPr>
        <w:t xml:space="preserve">To explore the English teacher’s real-life experiences in relation to practicing CT skills in her lessons, an exploratory case study (Yin, 1994) has been used as the </w:t>
      </w:r>
      <w:r w:rsidRPr="000A2E75">
        <w:rPr>
          <w:rFonts w:ascii="Times New Roman" w:eastAsiaTheme="minorEastAsia" w:hAnsi="Times New Roman" w:cs="Times New Roman"/>
          <w:color w:val="000000" w:themeColor="text1"/>
          <w:kern w:val="24"/>
          <w:lang w:val="en-GB"/>
        </w:rPr>
        <w:t>research method. After providing a definition of what CT is, a short historical background to CT will be provided. Then, a variety of sample CT activities, based on the best practices of the English teacher with students at secondary levels of education will be given. Finally, the teacher’s opinions of the effects that CT activities might have on fostering students’ CT skills will be discussed using interviews held with her. It is expected that the findings</w:t>
      </w:r>
      <w:r w:rsidRPr="000A2E75">
        <w:rPr>
          <w:rFonts w:ascii="Times New Roman" w:hAnsi="Times New Roman" w:cs="Times New Roman"/>
          <w:lang w:val="en-GB"/>
        </w:rPr>
        <w:t xml:space="preserve"> can increase language teachers’ familiarity with CT activities to help them develop similar practices in their own classes in order to foster students’ CT strategies. The study contributes to limited research on using CT activities in English lessons.</w:t>
      </w:r>
    </w:p>
    <w:p w14:paraId="4519A589" w14:textId="77777777" w:rsidR="00E839E1" w:rsidRPr="000A2E75" w:rsidRDefault="00E839E1" w:rsidP="00E839E1">
      <w:pPr>
        <w:jc w:val="both"/>
        <w:rPr>
          <w:rFonts w:ascii="Times New Roman" w:hAnsi="Times New Roman" w:cs="Times New Roman"/>
          <w:lang w:val="en-GB"/>
        </w:rPr>
      </w:pPr>
    </w:p>
    <w:p w14:paraId="03F05F0D" w14:textId="77777777" w:rsidR="00E839E1" w:rsidRPr="000A2E75" w:rsidRDefault="00E839E1" w:rsidP="00E839E1">
      <w:pPr>
        <w:jc w:val="both"/>
        <w:rPr>
          <w:rFonts w:ascii="Times New Roman" w:eastAsiaTheme="minorEastAsia" w:hAnsi="Times New Roman" w:cs="Times New Roman"/>
          <w:color w:val="000000" w:themeColor="text1"/>
          <w:kern w:val="24"/>
          <w:lang w:val="en-GB"/>
        </w:rPr>
      </w:pPr>
      <w:r w:rsidRPr="000A2E75">
        <w:rPr>
          <w:rFonts w:ascii="Times New Roman" w:hAnsi="Times New Roman" w:cs="Times New Roman"/>
          <w:b/>
          <w:lang w:val="en-GB"/>
        </w:rPr>
        <w:t>Key words:</w:t>
      </w:r>
      <w:r w:rsidRPr="000A2E75">
        <w:rPr>
          <w:rFonts w:ascii="Times New Roman" w:eastAsiaTheme="minorEastAsia" w:hAnsi="Times New Roman" w:cs="Times New Roman"/>
          <w:b/>
          <w:color w:val="000000" w:themeColor="text1"/>
          <w:kern w:val="24"/>
          <w:lang w:val="en-GB"/>
        </w:rPr>
        <w:t xml:space="preserve"> </w:t>
      </w:r>
      <w:r w:rsidRPr="000A2E75">
        <w:rPr>
          <w:rFonts w:ascii="Times New Roman" w:eastAsiaTheme="minorEastAsia" w:hAnsi="Times New Roman" w:cs="Times New Roman"/>
          <w:color w:val="000000" w:themeColor="text1"/>
          <w:kern w:val="24"/>
          <w:lang w:val="en-GB"/>
        </w:rPr>
        <w:t xml:space="preserve">critical thinking, case study, English teacher </w:t>
      </w:r>
    </w:p>
    <w:p w14:paraId="377B26E0" w14:textId="77777777" w:rsidR="00E839E1" w:rsidRPr="000A2E75" w:rsidRDefault="00E839E1" w:rsidP="00E839E1">
      <w:pPr>
        <w:jc w:val="both"/>
        <w:rPr>
          <w:rFonts w:ascii="Times New Roman" w:hAnsi="Times New Roman" w:cs="Times New Roman"/>
          <w:lang w:val="en-GB"/>
        </w:rPr>
      </w:pPr>
    </w:p>
    <w:p w14:paraId="0A8F3F36" w14:textId="77777777" w:rsidR="00E839E1" w:rsidRPr="000A2E75" w:rsidRDefault="00E839E1" w:rsidP="00E839E1">
      <w:pPr>
        <w:pStyle w:val="Abstract"/>
        <w:ind w:right="-2"/>
        <w:rPr>
          <w:b w:val="0"/>
          <w:sz w:val="22"/>
          <w:szCs w:val="22"/>
        </w:rPr>
      </w:pPr>
      <w:r w:rsidRPr="000A2E75">
        <w:rPr>
          <w:b w:val="0"/>
          <w:sz w:val="22"/>
          <w:szCs w:val="22"/>
        </w:rPr>
        <w:t>One of the fundamental aims of the contemporary education is to educate students as effective thinkers. Encouraging students to be autonomous learners is an issue which has been discussed quite often both by the academicians and teachers. It is an undeniable fact that learning how to think is the starting point of learning how to learn. Questioning information is a significant step to develop a personal learning style. Thus, it is crucial to emphasize critical thinking strategies in the classroom environment so that teachers can guide students to be autonomous learners more easily (Akdağ &amp; Kırkgöz, 2020; Karakuzular, 2013).</w:t>
      </w:r>
    </w:p>
    <w:p w14:paraId="3478BA4F" w14:textId="77777777" w:rsidR="00E839E1" w:rsidRPr="000A2E75" w:rsidRDefault="00E839E1" w:rsidP="00E839E1">
      <w:pPr>
        <w:jc w:val="both"/>
        <w:rPr>
          <w:rFonts w:ascii="Times New Roman" w:hAnsi="Times New Roman" w:cs="Times New Roman"/>
          <w:lang w:val="en-GB"/>
        </w:rPr>
      </w:pPr>
      <w:r w:rsidRPr="000A2E75">
        <w:rPr>
          <w:rFonts w:ascii="Times New Roman" w:hAnsi="Times New Roman" w:cs="Times New Roman"/>
          <w:lang w:val="en-GB"/>
        </w:rPr>
        <w:t xml:space="preserve">Historical background of critical thinking dates back to Socrates who discovered a probing question method which revealed that people’s ideas usually depend on bias, beliefs and thoughts rather than rational facts. Socratic questioning emphasizes the value of thinking clearly and rationally. This phenomenon was developed throughout history especially by Francis Bacon, Descartes and Sir Thomas Moore. All of them shed light on the power of questioning the outside world as well as people’s own thoughts and beliefs. </w:t>
      </w:r>
    </w:p>
    <w:p w14:paraId="16902B50" w14:textId="77777777" w:rsidR="00E839E1" w:rsidRPr="000A2E75" w:rsidRDefault="00E839E1" w:rsidP="00E839E1">
      <w:pPr>
        <w:jc w:val="both"/>
        <w:rPr>
          <w:rFonts w:ascii="Times New Roman" w:hAnsi="Times New Roman" w:cs="Times New Roman"/>
          <w:lang w:val="en-GB"/>
        </w:rPr>
      </w:pPr>
      <w:r w:rsidRPr="000A2E75">
        <w:rPr>
          <w:rFonts w:ascii="Times New Roman" w:hAnsi="Times New Roman" w:cs="Times New Roman"/>
          <w:lang w:val="en-GB"/>
        </w:rPr>
        <w:t xml:space="preserve">Identifying the objectives of applying critical thinking plays a crucial role in the journey of enhancing students’ skills. Critical thinking is defined as “the ability to think clearly and rationally by understanding the logical connection between ideas.” (Kaur, &amp; Upadhyay, 2017, p. 912). Hence, one objective of critical thinking is to make inferences while the other one is identifying connections between ideas. Also, it is interesting to notice that people think of criticism when critical thinking is mentioned and it has sort of a negative connotation. When it comes to criticism, people approach this concept as if it was only about mentioning the negative aspects of something. Thus, it is important to </w:t>
      </w:r>
      <w:r w:rsidRPr="000A2E75">
        <w:rPr>
          <w:rFonts w:ascii="Times New Roman" w:hAnsi="Times New Roman" w:cs="Times New Roman"/>
          <w:lang w:val="en-GB"/>
        </w:rPr>
        <w:lastRenderedPageBreak/>
        <w:t>mention that critical thinking also helps us to notice the good aspects of anything. It is basically about thinking clearly. Some sample question types to address these skills are mentioned below.</w:t>
      </w:r>
    </w:p>
    <w:p w14:paraId="33DA61E6" w14:textId="77777777" w:rsidR="00E839E1" w:rsidRPr="000A2E75" w:rsidRDefault="00E839E1" w:rsidP="00E839E1">
      <w:pPr>
        <w:jc w:val="both"/>
        <w:rPr>
          <w:rFonts w:ascii="Times New Roman" w:hAnsi="Times New Roman" w:cs="Times New Roman"/>
          <w:lang w:val="en-GB"/>
        </w:rPr>
      </w:pPr>
      <w:r w:rsidRPr="000A2E75">
        <w:rPr>
          <w:rFonts w:ascii="Times New Roman" w:hAnsi="Times New Roman" w:cs="Times New Roman"/>
          <w:lang w:val="en-GB"/>
        </w:rPr>
        <w:t>While designing lessons in which critical thinking is integrated, it is crucial to come up with questions which would encourage students to think. It is one of the most challenging phases of the process. One reason for this is that the teacher might not always be able to ask the right questions which would encourage students to clarify their thoughts or state reasons. Below are some sample questions applied with middle school students in reading and writing lessons. Questions aim at triggering critical thinking while reflecting both personal opinions and facts.</w:t>
      </w:r>
    </w:p>
    <w:p w14:paraId="5BEA731E" w14:textId="77777777" w:rsidR="00E839E1" w:rsidRPr="000A2E75" w:rsidRDefault="00E839E1" w:rsidP="00E839E1">
      <w:pPr>
        <w:jc w:val="both"/>
        <w:rPr>
          <w:rFonts w:ascii="Times New Roman" w:hAnsi="Times New Roman" w:cs="Times New Roman"/>
          <w:lang w:val="en-GB"/>
        </w:rPr>
      </w:pPr>
      <w:r w:rsidRPr="000A2E75">
        <w:rPr>
          <w:rFonts w:ascii="Times New Roman" w:hAnsi="Times New Roman" w:cs="Times New Roman"/>
          <w:lang w:val="en-GB"/>
        </w:rPr>
        <w:t>No matter how simple it looks “</w:t>
      </w:r>
      <w:r w:rsidRPr="000A2E75">
        <w:rPr>
          <w:rFonts w:ascii="Times New Roman" w:hAnsi="Times New Roman" w:cs="Times New Roman"/>
          <w:bCs/>
          <w:lang w:val="en-GB"/>
        </w:rPr>
        <w:t xml:space="preserve">What do you know about …?” </w:t>
      </w:r>
      <w:r w:rsidRPr="000A2E75">
        <w:rPr>
          <w:rFonts w:ascii="Times New Roman" w:hAnsi="Times New Roman" w:cs="Times New Roman"/>
          <w:lang w:val="en-GB"/>
        </w:rPr>
        <w:t xml:space="preserve">type of a question invites students to be a part of the topic in the very beginning of discussion. Activating previous knowledge is the key to encourage them to generate new ideas about the concept. For example, while introducing a topic about endangered animals, it helps to ask students questions like “Can you think of any animals that are in danger? / What do you know about these animals? / What can we do to protect animals? It is necessary to activate pre-existing knowledge in order to stimulate their brain to make new connections so that learning can take place. </w:t>
      </w:r>
    </w:p>
    <w:p w14:paraId="4C4F3970" w14:textId="77777777" w:rsidR="00E839E1" w:rsidRPr="000A2E75" w:rsidRDefault="00E839E1" w:rsidP="00E839E1">
      <w:pPr>
        <w:jc w:val="both"/>
        <w:rPr>
          <w:rFonts w:ascii="Times New Roman" w:hAnsi="Times New Roman" w:cs="Times New Roman"/>
          <w:lang w:val="en-GB"/>
        </w:rPr>
      </w:pPr>
      <w:r w:rsidRPr="000A2E75">
        <w:rPr>
          <w:rFonts w:ascii="Times New Roman" w:hAnsi="Times New Roman" w:cs="Times New Roman"/>
          <w:bCs/>
          <w:lang w:val="en-GB"/>
        </w:rPr>
        <w:t xml:space="preserve">Another question type is “What would happen if...?”. </w:t>
      </w:r>
      <w:r w:rsidRPr="000A2E75">
        <w:rPr>
          <w:rFonts w:ascii="Times New Roman" w:hAnsi="Times New Roman" w:cs="Times New Roman"/>
          <w:lang w:val="en-GB"/>
        </w:rPr>
        <w:t xml:space="preserve">This type of question encourages students to construct scenarios about hypothetical situations and draw conclusions using their imagination. It is also helpful to create discussion in the classroom environment which is a huge part of learning. For instance, in the abovementioned topic, one can ask students “What would happen if flies were extinct?” so as to invite them to contemplate on the issue. </w:t>
      </w:r>
    </w:p>
    <w:p w14:paraId="165B5AFA" w14:textId="77777777" w:rsidR="00E839E1" w:rsidRPr="000A2E75" w:rsidRDefault="00E839E1" w:rsidP="00E839E1">
      <w:pPr>
        <w:jc w:val="both"/>
        <w:rPr>
          <w:rFonts w:ascii="Times New Roman" w:hAnsi="Times New Roman" w:cs="Times New Roman"/>
          <w:lang w:val="en-GB"/>
        </w:rPr>
      </w:pPr>
      <w:r w:rsidRPr="000A2E75">
        <w:rPr>
          <w:rFonts w:ascii="Times New Roman" w:hAnsi="Times New Roman" w:cs="Times New Roman"/>
          <w:bCs/>
          <w:lang w:val="en-GB"/>
        </w:rPr>
        <w:t xml:space="preserve">“How would you feel …? / What would you do ...?” is another type of </w:t>
      </w:r>
      <w:r w:rsidRPr="000A2E75">
        <w:rPr>
          <w:rFonts w:ascii="Times New Roman" w:hAnsi="Times New Roman" w:cs="Times New Roman"/>
          <w:lang w:val="en-GB"/>
        </w:rPr>
        <w:t xml:space="preserve">question that encourages students to empathize with the mentioned character, animal etc. They think of their own feelings in a certain situation which helps them to understand what others might feel. This can help them to monitor their behaviour. For example, “How would you feel if you lived in a cage?” or “How do you feel about lockdown during the pandemic?” can be some useful questions to invite students to question the actions of zoos. </w:t>
      </w:r>
    </w:p>
    <w:p w14:paraId="49BDE1C4" w14:textId="77777777" w:rsidR="00E839E1" w:rsidRPr="000A2E75" w:rsidRDefault="00E839E1" w:rsidP="00E839E1">
      <w:pPr>
        <w:jc w:val="both"/>
        <w:rPr>
          <w:rFonts w:ascii="Times New Roman" w:hAnsi="Times New Roman" w:cs="Times New Roman"/>
          <w:lang w:val="en-GB"/>
        </w:rPr>
      </w:pPr>
      <w:r w:rsidRPr="000A2E75">
        <w:rPr>
          <w:rFonts w:ascii="Times New Roman" w:hAnsi="Times New Roman" w:cs="Times New Roman"/>
          <w:bCs/>
          <w:lang w:val="en-GB"/>
        </w:rPr>
        <w:t xml:space="preserve">“Support your answer with evidence from the text” is </w:t>
      </w:r>
      <w:r w:rsidRPr="000A2E75">
        <w:rPr>
          <w:rFonts w:ascii="Times New Roman" w:hAnsi="Times New Roman" w:cs="Times New Roman"/>
          <w:lang w:val="en-GB"/>
        </w:rPr>
        <w:t xml:space="preserve">a request that invites the students to think about the rationale behind any kind of answer. For example, when students answer the question mentioned above about the personality of the character, they actually state their own opinion. However, if that question is followed by “Support your answer with evidence from the text”, the students need to reflect on their judgement and find evidence to back up their thoughts. It is also a chance for them to differentiate between facts and opinions and learn that opinions can be supported by facts, which make them more convincing, and helping them to develop critical thinking skills. </w:t>
      </w:r>
      <w:r w:rsidRPr="000A2E75">
        <w:rPr>
          <w:rFonts w:ascii="Times New Roman" w:hAnsi="Times New Roman" w:cs="Times New Roman"/>
          <w:bCs/>
          <w:lang w:val="en-GB"/>
        </w:rPr>
        <w:t>Finally, any</w:t>
      </w:r>
      <w:r w:rsidRPr="000A2E75">
        <w:rPr>
          <w:rFonts w:ascii="Times New Roman" w:hAnsi="Times New Roman" w:cs="Times New Roman"/>
          <w:lang w:val="en-GB"/>
        </w:rPr>
        <w:t xml:space="preserve"> kind of a “Why?” question is an opportunity for students to reflect on the ideas, facts, and actions. Critical thinking questions do not always have to be elaborated. Thus, it seems to me that we should encourage them to reflect on their answers by such questions as much as possible. </w:t>
      </w:r>
    </w:p>
    <w:p w14:paraId="148AF7D8" w14:textId="77777777" w:rsidR="00E839E1" w:rsidRPr="000A2E75" w:rsidRDefault="00E839E1" w:rsidP="00E839E1">
      <w:pPr>
        <w:jc w:val="both"/>
        <w:rPr>
          <w:rFonts w:ascii="Times New Roman" w:hAnsi="Times New Roman" w:cs="Times New Roman"/>
          <w:lang w:val="en-GB"/>
        </w:rPr>
      </w:pPr>
      <w:r w:rsidRPr="000A2E75">
        <w:rPr>
          <w:rFonts w:ascii="Times New Roman" w:hAnsi="Times New Roman" w:cs="Times New Roman"/>
          <w:lang w:val="en-GB"/>
        </w:rPr>
        <w:t xml:space="preserve">The role of language teachers is critical in developing students’ critical thinking abilities. As highlighted by Boyles (2002) teachers need to provide guided practice during the process of developing students’ critical thinking abilities. In this study, an exploratory case study (Yin, 1994) has been used as the </w:t>
      </w:r>
      <w:r w:rsidRPr="000A2E75">
        <w:rPr>
          <w:rFonts w:ascii="Times New Roman" w:eastAsiaTheme="minorEastAsia" w:hAnsi="Times New Roman" w:cs="Times New Roman"/>
          <w:color w:val="000000" w:themeColor="text1"/>
          <w:kern w:val="24"/>
          <w:lang w:val="en-GB"/>
        </w:rPr>
        <w:t>research method in order to investigate an</w:t>
      </w:r>
      <w:r w:rsidRPr="000A2E75">
        <w:rPr>
          <w:rFonts w:ascii="Times New Roman" w:hAnsi="Times New Roman" w:cs="Times New Roman"/>
          <w:lang w:val="en-GB"/>
        </w:rPr>
        <w:t xml:space="preserve"> English teacher’s experiences in practicing critical thinking skills in her lessons</w:t>
      </w:r>
      <w:r w:rsidRPr="000A2E75">
        <w:rPr>
          <w:rFonts w:ascii="Times New Roman" w:eastAsiaTheme="minorEastAsia" w:hAnsi="Times New Roman" w:cs="Times New Roman"/>
          <w:color w:val="000000" w:themeColor="text1"/>
          <w:kern w:val="24"/>
          <w:lang w:val="en-GB"/>
        </w:rPr>
        <w:t xml:space="preserve">. </w:t>
      </w:r>
      <w:r w:rsidRPr="000A2E75">
        <w:rPr>
          <w:rFonts w:ascii="Times New Roman" w:hAnsi="Times New Roman" w:cs="Times New Roman"/>
          <w:lang w:val="en-GB"/>
        </w:rPr>
        <w:t xml:space="preserve">She is a female teacher who is a graduate of a well-established university in Turkey. She has been teaching in a private school for three years. The age range of the students is between 10 and 12. She has been applying critical thinking strategies mentioned above especially in reading and writing lessons. She observed the following changes in the students’ behaviour and approach to the teaching content: Students have developed the habit of asking questions about the teaching content; students are able to answer comprehension questions stating evidence from the text; students are able to </w:t>
      </w:r>
      <w:r w:rsidRPr="000A2E75">
        <w:rPr>
          <w:rFonts w:ascii="Times New Roman" w:hAnsi="Times New Roman" w:cs="Times New Roman"/>
          <w:lang w:val="en-GB"/>
        </w:rPr>
        <w:lastRenderedPageBreak/>
        <w:t xml:space="preserve">express their opinions by supporting them with reasoning and facts, and students are able to generate possible solutions to the problems. </w:t>
      </w:r>
    </w:p>
    <w:p w14:paraId="3252D291" w14:textId="77777777" w:rsidR="00E839E1" w:rsidRPr="000A2E75" w:rsidRDefault="00E839E1" w:rsidP="00E839E1">
      <w:pPr>
        <w:jc w:val="both"/>
        <w:rPr>
          <w:rFonts w:ascii="Times New Roman" w:hAnsi="Times New Roman" w:cs="Times New Roman"/>
          <w:lang w:val="en-GB"/>
        </w:rPr>
      </w:pPr>
    </w:p>
    <w:p w14:paraId="2E64C7E3" w14:textId="77777777" w:rsidR="00E839E1" w:rsidRPr="000A2E75" w:rsidRDefault="00E839E1" w:rsidP="00E839E1">
      <w:pPr>
        <w:jc w:val="both"/>
        <w:rPr>
          <w:rFonts w:ascii="Times New Roman" w:hAnsi="Times New Roman" w:cs="Times New Roman"/>
          <w:lang w:val="en-GB"/>
        </w:rPr>
      </w:pPr>
      <w:r w:rsidRPr="000A2E75">
        <w:rPr>
          <w:rFonts w:ascii="Times New Roman" w:hAnsi="Times New Roman" w:cs="Times New Roman"/>
          <w:lang w:val="en-GB"/>
        </w:rPr>
        <w:t xml:space="preserve">Below is a sample reading text (extracted from </w:t>
      </w:r>
      <w:hyperlink r:id="rId387" w:history="1">
        <w:r w:rsidRPr="000A2E75">
          <w:rPr>
            <w:rStyle w:val="Kpr"/>
            <w:rFonts w:ascii="Times New Roman" w:hAnsi="Times New Roman" w:cs="Times New Roman"/>
            <w:lang w:val="en-GB"/>
          </w:rPr>
          <w:t>https://learnenglishteens.britishcouncil.org/study-break/graded-reading/animals-city-level-1</w:t>
        </w:r>
      </w:hyperlink>
      <w:r w:rsidRPr="000A2E75">
        <w:rPr>
          <w:rStyle w:val="Kpr"/>
          <w:rFonts w:ascii="Times New Roman" w:hAnsi="Times New Roman" w:cs="Times New Roman"/>
          <w:lang w:val="en-GB"/>
        </w:rPr>
        <w:t>),</w:t>
      </w:r>
      <w:r w:rsidRPr="000A2E75">
        <w:rPr>
          <w:rFonts w:ascii="Times New Roman" w:hAnsi="Times New Roman" w:cs="Times New Roman"/>
          <w:lang w:val="en-GB"/>
        </w:rPr>
        <w:t xml:space="preserve"> and questions which were developed by the teacher herself in order to enhance students’ critical thinking skills in her lessons.</w:t>
      </w:r>
    </w:p>
    <w:p w14:paraId="6B5526AE" w14:textId="77777777" w:rsidR="00E839E1" w:rsidRPr="000A2E75" w:rsidRDefault="00E839E1" w:rsidP="00E839E1">
      <w:pPr>
        <w:jc w:val="both"/>
        <w:rPr>
          <w:rFonts w:ascii="Times New Roman" w:hAnsi="Times New Roman" w:cs="Times New Roman"/>
          <w:lang w:val="en-GB"/>
        </w:rPr>
      </w:pPr>
      <w:r w:rsidRPr="000A2E75">
        <w:rPr>
          <w:rFonts w:ascii="Times New Roman" w:hAnsi="Times New Roman" w:cs="Times New Roman"/>
          <w:lang w:val="en-GB"/>
        </w:rPr>
        <w:t xml:space="preserve">One night in December 2011, a bear came into the city of Vancouver in Canada. </w:t>
      </w:r>
      <w:r w:rsidRPr="000A2E75">
        <w:rPr>
          <w:rFonts w:ascii="Times New Roman" w:hAnsi="Times New Roman" w:cs="Times New Roman"/>
          <w:b/>
          <w:lang w:val="en-GB"/>
        </w:rPr>
        <w:t xml:space="preserve">It </w:t>
      </w:r>
      <w:r w:rsidRPr="000A2E75">
        <w:rPr>
          <w:rFonts w:ascii="Times New Roman" w:hAnsi="Times New Roman" w:cs="Times New Roman"/>
          <w:lang w:val="en-GB"/>
        </w:rPr>
        <w:t>walked through the city streets past houses, shops and offices. Then it found some food in bins outside a restaurant and started eating. In the morning, someone saw the bear and called the police. The police came with a vet from the city zoo</w:t>
      </w:r>
      <w:r w:rsidRPr="000A2E75">
        <w:rPr>
          <w:rFonts w:ascii="Times New Roman" w:hAnsi="Times New Roman" w:cs="Times New Roman"/>
          <w:b/>
          <w:bCs/>
          <w:lang w:val="en-GB"/>
        </w:rPr>
        <w:t>. They</w:t>
      </w:r>
      <w:r w:rsidRPr="000A2E75">
        <w:rPr>
          <w:rFonts w:ascii="Times New Roman" w:hAnsi="Times New Roman" w:cs="Times New Roman"/>
          <w:lang w:val="en-GB"/>
        </w:rPr>
        <w:t xml:space="preserve"> put the bear in a lorry and took it to the mountains outside the city. Luckily, the bear was safe. But what happens in other countries when big animals come into cities? In </w:t>
      </w:r>
      <w:r w:rsidRPr="000A2E75">
        <w:rPr>
          <w:rFonts w:ascii="Times New Roman" w:hAnsi="Times New Roman" w:cs="Times New Roman"/>
          <w:color w:val="000000" w:themeColor="text1"/>
          <w:lang w:val="en-GB"/>
        </w:rPr>
        <w:t xml:space="preserve">Vancouver it is unusual to see </w:t>
      </w:r>
      <w:r w:rsidRPr="000A2E75">
        <w:rPr>
          <w:rFonts w:ascii="Times New Roman" w:hAnsi="Times New Roman" w:cs="Times New Roman"/>
          <w:lang w:val="en-GB"/>
        </w:rPr>
        <w:t xml:space="preserve">a bear, but in some cities you can see big animals on the city streets every day. Big animals usually come into cities to find food. In Cape Town in South Africa baboons come into the city when they are hungry. </w:t>
      </w:r>
      <w:r w:rsidRPr="000A2E75">
        <w:rPr>
          <w:rFonts w:ascii="Times New Roman" w:hAnsi="Times New Roman" w:cs="Times New Roman"/>
          <w:b/>
          <w:bCs/>
          <w:lang w:val="en-GB"/>
        </w:rPr>
        <w:t>They</w:t>
      </w:r>
      <w:r w:rsidRPr="000A2E75">
        <w:rPr>
          <w:rFonts w:ascii="Times New Roman" w:hAnsi="Times New Roman" w:cs="Times New Roman"/>
          <w:lang w:val="en-GB"/>
        </w:rPr>
        <w:t xml:space="preserve"> go into gardens and eat fruit from trees. They even go into houses and take food from cupboards and fridges! Baboons are strong animals and they can scare people. But the city can be dangerous for baboons too. Sometimes, cars and buses kill baboons in accidents. Human food is very bad for the baboons’ teeth because it has a lot of sugar. Now, there are Baboon Monitors working in Cape Town. Their job is to find baboons in the city and </w:t>
      </w:r>
      <w:r w:rsidRPr="000A2E75">
        <w:rPr>
          <w:rFonts w:ascii="Times New Roman" w:hAnsi="Times New Roman" w:cs="Times New Roman"/>
          <w:color w:val="000000" w:themeColor="text1"/>
          <w:lang w:val="en-GB"/>
        </w:rPr>
        <w:t xml:space="preserve">return them to </w:t>
      </w:r>
      <w:r w:rsidRPr="000A2E75">
        <w:rPr>
          <w:rFonts w:ascii="Times New Roman" w:hAnsi="Times New Roman" w:cs="Times New Roman"/>
          <w:lang w:val="en-GB"/>
        </w:rPr>
        <w:t xml:space="preserve">the countryside. In Berlin in Germany, pigs sometimes come into the city to look for food. They eat flowers and plants in parks and gardens. Sometimes they eat vegetables from gardens and they walk in the street and cause accidents. Some people like the pigs and they </w:t>
      </w:r>
      <w:r w:rsidRPr="000A2E75">
        <w:rPr>
          <w:rFonts w:ascii="Times New Roman" w:hAnsi="Times New Roman" w:cs="Times New Roman"/>
          <w:color w:val="000000" w:themeColor="text1"/>
          <w:lang w:val="en-GB"/>
        </w:rPr>
        <w:t xml:space="preserve">give </w:t>
      </w:r>
      <w:r w:rsidRPr="000A2E75">
        <w:rPr>
          <w:rFonts w:ascii="Times New Roman" w:hAnsi="Times New Roman" w:cs="Times New Roman"/>
          <w:b/>
          <w:bCs/>
          <w:color w:val="000000" w:themeColor="text1"/>
          <w:lang w:val="en-GB"/>
        </w:rPr>
        <w:t xml:space="preserve">them </w:t>
      </w:r>
      <w:r w:rsidRPr="000A2E75">
        <w:rPr>
          <w:rFonts w:ascii="Times New Roman" w:hAnsi="Times New Roman" w:cs="Times New Roman"/>
          <w:color w:val="000000" w:themeColor="text1"/>
          <w:lang w:val="en-GB"/>
        </w:rPr>
        <w:t xml:space="preserve">food and </w:t>
      </w:r>
      <w:r w:rsidRPr="000A2E75">
        <w:rPr>
          <w:rFonts w:ascii="Times New Roman" w:hAnsi="Times New Roman" w:cs="Times New Roman"/>
          <w:lang w:val="en-GB"/>
        </w:rPr>
        <w:t xml:space="preserve">water to drink. Other people do not like the pigs and they want the government and the police to stop them entering the city. In Moscow in Russia, there are 35,000 wild dogs. The dogs live in parks, old houses, markets and train stations. Some dogs live in groups and others live alone. Many people in Moscow like the dogs. They give them food and water. Some people make small houses for the dogs in their gardens. This helps the dogs in winter, </w:t>
      </w:r>
      <w:r w:rsidRPr="000A2E75">
        <w:rPr>
          <w:rFonts w:ascii="Times New Roman" w:hAnsi="Times New Roman" w:cs="Times New Roman"/>
          <w:color w:val="000000" w:themeColor="text1"/>
          <w:lang w:val="en-GB"/>
        </w:rPr>
        <w:t xml:space="preserve">when the temperature in Moscow </w:t>
      </w:r>
      <w:r w:rsidRPr="000A2E75">
        <w:rPr>
          <w:rFonts w:ascii="Times New Roman" w:hAnsi="Times New Roman" w:cs="Times New Roman"/>
          <w:lang w:val="en-GB"/>
        </w:rPr>
        <w:t>is -10 ºC and there is a lot of snow and ice. Many animals live in cities. In some cities, you can see birds, insects, mice and squirrels every day. But sometimes, it is dangerous when big animals come into cities to find food. We need to find ways of stopping animals coming into the city without hurting them.    Robin Newton</w:t>
      </w:r>
    </w:p>
    <w:p w14:paraId="3CB9CB89" w14:textId="77777777" w:rsidR="00E839E1" w:rsidRPr="000A2E75" w:rsidRDefault="00E839E1" w:rsidP="00E839E1">
      <w:pPr>
        <w:jc w:val="both"/>
        <w:rPr>
          <w:rFonts w:ascii="Times New Roman" w:hAnsi="Times New Roman" w:cs="Times New Roman"/>
          <w:b/>
          <w:bCs/>
          <w:lang w:val="en-GB"/>
        </w:rPr>
      </w:pPr>
      <w:r w:rsidRPr="000A2E75">
        <w:rPr>
          <w:rFonts w:ascii="Times New Roman" w:hAnsi="Times New Roman" w:cs="Times New Roman"/>
          <w:b/>
          <w:bCs/>
          <w:lang w:val="en-GB"/>
        </w:rPr>
        <w:t>Warm- Up and Pre-Reading Questions</w:t>
      </w:r>
    </w:p>
    <w:p w14:paraId="3EC21705" w14:textId="77777777" w:rsidR="00E839E1" w:rsidRPr="000A2E75" w:rsidRDefault="00E839E1" w:rsidP="008934F8">
      <w:pPr>
        <w:pStyle w:val="ListeParagraf"/>
        <w:numPr>
          <w:ilvl w:val="0"/>
          <w:numId w:val="61"/>
        </w:numPr>
        <w:spacing w:line="240" w:lineRule="auto"/>
        <w:jc w:val="both"/>
        <w:rPr>
          <w:rFonts w:ascii="Times New Roman" w:hAnsi="Times New Roman" w:cs="Times New Roman"/>
        </w:rPr>
      </w:pPr>
      <w:r w:rsidRPr="000A2E75">
        <w:rPr>
          <w:rFonts w:ascii="Times New Roman" w:hAnsi="Times New Roman" w:cs="Times New Roman"/>
        </w:rPr>
        <w:t xml:space="preserve">Name a wild animal and state 2 things you know about that animal. </w:t>
      </w:r>
    </w:p>
    <w:p w14:paraId="36F9E2E6" w14:textId="77777777" w:rsidR="00E839E1" w:rsidRPr="000A2E75" w:rsidRDefault="00E839E1" w:rsidP="008934F8">
      <w:pPr>
        <w:pStyle w:val="ListeParagraf"/>
        <w:numPr>
          <w:ilvl w:val="0"/>
          <w:numId w:val="61"/>
        </w:numPr>
        <w:spacing w:line="240" w:lineRule="auto"/>
        <w:jc w:val="both"/>
        <w:rPr>
          <w:rFonts w:ascii="Times New Roman" w:hAnsi="Times New Roman" w:cs="Times New Roman"/>
        </w:rPr>
      </w:pPr>
      <w:r w:rsidRPr="000A2E75">
        <w:rPr>
          <w:rFonts w:ascii="Times New Roman" w:hAnsi="Times New Roman" w:cs="Times New Roman"/>
        </w:rPr>
        <w:t xml:space="preserve">Have you ever seen a wild animal in your neighbourhood? What would you do if you saw one? </w:t>
      </w:r>
    </w:p>
    <w:p w14:paraId="2B82615B" w14:textId="77777777" w:rsidR="00E839E1" w:rsidRPr="000A2E75" w:rsidRDefault="00E839E1" w:rsidP="008934F8">
      <w:pPr>
        <w:pStyle w:val="ListeParagraf"/>
        <w:numPr>
          <w:ilvl w:val="0"/>
          <w:numId w:val="61"/>
        </w:numPr>
        <w:spacing w:line="240" w:lineRule="auto"/>
        <w:jc w:val="both"/>
        <w:rPr>
          <w:rFonts w:ascii="Times New Roman" w:hAnsi="Times New Roman" w:cs="Times New Roman"/>
        </w:rPr>
      </w:pPr>
      <w:r w:rsidRPr="000A2E75">
        <w:rPr>
          <w:rFonts w:ascii="Times New Roman" w:hAnsi="Times New Roman" w:cs="Times New Roman"/>
        </w:rPr>
        <w:t xml:space="preserve">Why do you think wild animals come into the cities? </w:t>
      </w:r>
    </w:p>
    <w:p w14:paraId="43DDA4B1" w14:textId="77777777" w:rsidR="00E839E1" w:rsidRPr="000A2E75" w:rsidRDefault="00E839E1" w:rsidP="00E839E1">
      <w:pPr>
        <w:jc w:val="both"/>
        <w:rPr>
          <w:rFonts w:ascii="Times New Roman" w:hAnsi="Times New Roman" w:cs="Times New Roman"/>
          <w:b/>
          <w:bCs/>
          <w:lang w:val="en-GB"/>
        </w:rPr>
      </w:pPr>
      <w:r w:rsidRPr="000A2E75">
        <w:rPr>
          <w:rFonts w:ascii="Times New Roman" w:hAnsi="Times New Roman" w:cs="Times New Roman"/>
          <w:b/>
          <w:bCs/>
          <w:lang w:val="en-GB"/>
        </w:rPr>
        <w:t>While Reading Questions</w:t>
      </w:r>
    </w:p>
    <w:p w14:paraId="290402D4" w14:textId="77777777" w:rsidR="00E839E1" w:rsidRPr="000A2E75" w:rsidRDefault="00E839E1" w:rsidP="008934F8">
      <w:pPr>
        <w:pStyle w:val="ListeParagraf"/>
        <w:numPr>
          <w:ilvl w:val="0"/>
          <w:numId w:val="60"/>
        </w:numPr>
        <w:spacing w:line="240" w:lineRule="auto"/>
        <w:jc w:val="both"/>
        <w:rPr>
          <w:rFonts w:ascii="Times New Roman" w:hAnsi="Times New Roman" w:cs="Times New Roman"/>
        </w:rPr>
      </w:pPr>
      <w:r w:rsidRPr="000A2E75">
        <w:rPr>
          <w:rFonts w:ascii="Times New Roman" w:hAnsi="Times New Roman" w:cs="Times New Roman"/>
        </w:rPr>
        <w:t>Why did the person in paragraph 1 call the police? Support your answer with evidence from the text.</w:t>
      </w:r>
    </w:p>
    <w:p w14:paraId="19ED4168" w14:textId="77777777" w:rsidR="00E839E1" w:rsidRPr="000A2E75" w:rsidRDefault="00E839E1" w:rsidP="008934F8">
      <w:pPr>
        <w:pStyle w:val="ListeParagraf"/>
        <w:numPr>
          <w:ilvl w:val="0"/>
          <w:numId w:val="60"/>
        </w:numPr>
        <w:spacing w:line="240" w:lineRule="auto"/>
        <w:jc w:val="both"/>
        <w:rPr>
          <w:rFonts w:ascii="Times New Roman" w:hAnsi="Times New Roman" w:cs="Times New Roman"/>
        </w:rPr>
      </w:pPr>
      <w:r w:rsidRPr="000A2E75">
        <w:rPr>
          <w:rFonts w:ascii="Times New Roman" w:hAnsi="Times New Roman" w:cs="Times New Roman"/>
        </w:rPr>
        <w:t xml:space="preserve">In paragraph one it is stated that </w:t>
      </w:r>
      <w:r w:rsidRPr="000A2E75">
        <w:rPr>
          <w:rFonts w:ascii="Times New Roman" w:hAnsi="Times New Roman" w:cs="Times New Roman"/>
          <w:i/>
          <w:iCs/>
        </w:rPr>
        <w:t xml:space="preserve">“Luckily, the bear was safe.” </w:t>
      </w:r>
      <w:r w:rsidRPr="000A2E75">
        <w:rPr>
          <w:rFonts w:ascii="Times New Roman" w:hAnsi="Times New Roman" w:cs="Times New Roman"/>
        </w:rPr>
        <w:t>Do you agree with this statement? Why / Why not?</w:t>
      </w:r>
    </w:p>
    <w:p w14:paraId="3DF2E3B6" w14:textId="77777777" w:rsidR="00E839E1" w:rsidRPr="000A2E75" w:rsidRDefault="00E839E1" w:rsidP="008934F8">
      <w:pPr>
        <w:pStyle w:val="ListeParagraf"/>
        <w:numPr>
          <w:ilvl w:val="0"/>
          <w:numId w:val="60"/>
        </w:numPr>
        <w:spacing w:line="240" w:lineRule="auto"/>
        <w:jc w:val="both"/>
        <w:rPr>
          <w:rFonts w:ascii="Times New Roman" w:hAnsi="Times New Roman" w:cs="Times New Roman"/>
        </w:rPr>
      </w:pPr>
      <w:r w:rsidRPr="000A2E75">
        <w:rPr>
          <w:rFonts w:ascii="Times New Roman" w:hAnsi="Times New Roman" w:cs="Times New Roman"/>
        </w:rPr>
        <w:t>Why are cities dangerous for baboons? Support your answer with evidence from the text.</w:t>
      </w:r>
    </w:p>
    <w:p w14:paraId="2A16880C" w14:textId="77777777" w:rsidR="00E839E1" w:rsidRPr="000A2E75" w:rsidRDefault="00E839E1" w:rsidP="008934F8">
      <w:pPr>
        <w:pStyle w:val="ListeParagraf"/>
        <w:numPr>
          <w:ilvl w:val="0"/>
          <w:numId w:val="61"/>
        </w:numPr>
        <w:spacing w:line="240" w:lineRule="auto"/>
        <w:jc w:val="both"/>
        <w:rPr>
          <w:rFonts w:ascii="Times New Roman" w:hAnsi="Times New Roman" w:cs="Times New Roman"/>
        </w:rPr>
      </w:pPr>
      <w:r w:rsidRPr="000A2E75">
        <w:rPr>
          <w:rFonts w:ascii="Times New Roman" w:hAnsi="Times New Roman" w:cs="Times New Roman"/>
        </w:rPr>
        <w:t>According to paragraph three, some people help pigs in Berlin. Find an adjective to describe their personality.</w:t>
      </w:r>
    </w:p>
    <w:p w14:paraId="3D6E0069" w14:textId="77777777" w:rsidR="00E839E1" w:rsidRPr="000A2E75" w:rsidRDefault="00E839E1" w:rsidP="008934F8">
      <w:pPr>
        <w:pStyle w:val="ListeParagraf"/>
        <w:numPr>
          <w:ilvl w:val="0"/>
          <w:numId w:val="61"/>
        </w:numPr>
        <w:spacing w:line="240" w:lineRule="auto"/>
        <w:jc w:val="both"/>
        <w:rPr>
          <w:rFonts w:ascii="Times New Roman" w:hAnsi="Times New Roman" w:cs="Times New Roman"/>
        </w:rPr>
      </w:pPr>
      <w:r w:rsidRPr="000A2E75">
        <w:rPr>
          <w:rFonts w:ascii="Times New Roman" w:hAnsi="Times New Roman" w:cs="Times New Roman"/>
        </w:rPr>
        <w:t xml:space="preserve">Find a word in the text which means: </w:t>
      </w:r>
    </w:p>
    <w:p w14:paraId="4012A3FF" w14:textId="77777777" w:rsidR="00E839E1" w:rsidRPr="000A2E75" w:rsidRDefault="00E839E1" w:rsidP="008934F8">
      <w:pPr>
        <w:pStyle w:val="ListeParagraf"/>
        <w:numPr>
          <w:ilvl w:val="0"/>
          <w:numId w:val="63"/>
        </w:numPr>
        <w:spacing w:line="240" w:lineRule="auto"/>
        <w:jc w:val="both"/>
        <w:rPr>
          <w:rFonts w:ascii="Times New Roman" w:hAnsi="Times New Roman" w:cs="Times New Roman"/>
        </w:rPr>
      </w:pPr>
      <w:r w:rsidRPr="000A2E75">
        <w:rPr>
          <w:rFonts w:ascii="Times New Roman" w:hAnsi="Times New Roman" w:cs="Times New Roman"/>
        </w:rPr>
        <w:t>Not common, abnormal (para. 1): ________________</w:t>
      </w:r>
    </w:p>
    <w:p w14:paraId="262A3E09" w14:textId="77777777" w:rsidR="00E839E1" w:rsidRPr="000A2E75" w:rsidRDefault="00E839E1" w:rsidP="008934F8">
      <w:pPr>
        <w:pStyle w:val="ListeParagraf"/>
        <w:numPr>
          <w:ilvl w:val="0"/>
          <w:numId w:val="63"/>
        </w:numPr>
        <w:spacing w:line="240" w:lineRule="auto"/>
        <w:jc w:val="both"/>
        <w:rPr>
          <w:rFonts w:ascii="Times New Roman" w:hAnsi="Times New Roman" w:cs="Times New Roman"/>
        </w:rPr>
      </w:pPr>
      <w:r w:rsidRPr="000A2E75">
        <w:rPr>
          <w:rFonts w:ascii="Times New Roman" w:hAnsi="Times New Roman" w:cs="Times New Roman"/>
        </w:rPr>
        <w:t>To go/bring back (para. 2): __________________</w:t>
      </w:r>
    </w:p>
    <w:p w14:paraId="3D9AB54A" w14:textId="77777777" w:rsidR="00E839E1" w:rsidRPr="000A2E75" w:rsidRDefault="00E839E1" w:rsidP="008934F8">
      <w:pPr>
        <w:pStyle w:val="ListeParagraf"/>
        <w:numPr>
          <w:ilvl w:val="0"/>
          <w:numId w:val="63"/>
        </w:numPr>
        <w:spacing w:line="240" w:lineRule="auto"/>
        <w:jc w:val="both"/>
        <w:rPr>
          <w:rFonts w:ascii="Times New Roman" w:hAnsi="Times New Roman" w:cs="Times New Roman"/>
        </w:rPr>
      </w:pPr>
      <w:r w:rsidRPr="000A2E75">
        <w:rPr>
          <w:rFonts w:ascii="Times New Roman" w:hAnsi="Times New Roman" w:cs="Times New Roman"/>
        </w:rPr>
        <w:t>How hot or cold something is (para. 4): _________________</w:t>
      </w:r>
    </w:p>
    <w:p w14:paraId="73299F70" w14:textId="77777777" w:rsidR="00E839E1" w:rsidRPr="000A2E75" w:rsidRDefault="00E839E1" w:rsidP="008934F8">
      <w:pPr>
        <w:pStyle w:val="ListeParagraf"/>
        <w:numPr>
          <w:ilvl w:val="0"/>
          <w:numId w:val="61"/>
        </w:numPr>
        <w:spacing w:line="240" w:lineRule="auto"/>
        <w:jc w:val="both"/>
        <w:rPr>
          <w:rFonts w:ascii="Times New Roman" w:hAnsi="Times New Roman" w:cs="Times New Roman"/>
        </w:rPr>
      </w:pPr>
      <w:r w:rsidRPr="000A2E75">
        <w:rPr>
          <w:rFonts w:ascii="Times New Roman" w:hAnsi="Times New Roman" w:cs="Times New Roman"/>
        </w:rPr>
        <w:t>Find in the text what the following words refer to:</w:t>
      </w:r>
    </w:p>
    <w:p w14:paraId="1ED67770" w14:textId="77777777" w:rsidR="00E839E1" w:rsidRPr="000A2E75" w:rsidRDefault="00E839E1" w:rsidP="008934F8">
      <w:pPr>
        <w:pStyle w:val="ListeParagraf"/>
        <w:numPr>
          <w:ilvl w:val="0"/>
          <w:numId w:val="64"/>
        </w:numPr>
        <w:spacing w:line="240" w:lineRule="auto"/>
        <w:jc w:val="both"/>
        <w:rPr>
          <w:rFonts w:ascii="Times New Roman" w:hAnsi="Times New Roman" w:cs="Times New Roman"/>
        </w:rPr>
      </w:pPr>
      <w:r w:rsidRPr="000A2E75">
        <w:rPr>
          <w:rFonts w:ascii="Times New Roman" w:hAnsi="Times New Roman" w:cs="Times New Roman"/>
        </w:rPr>
        <w:lastRenderedPageBreak/>
        <w:t>They (para 1): ___________________</w:t>
      </w:r>
    </w:p>
    <w:p w14:paraId="24B0BEF5" w14:textId="77777777" w:rsidR="00E839E1" w:rsidRPr="000A2E75" w:rsidRDefault="00E839E1" w:rsidP="008934F8">
      <w:pPr>
        <w:pStyle w:val="ListeParagraf"/>
        <w:numPr>
          <w:ilvl w:val="0"/>
          <w:numId w:val="64"/>
        </w:numPr>
        <w:spacing w:line="240" w:lineRule="auto"/>
        <w:jc w:val="both"/>
        <w:rPr>
          <w:rFonts w:ascii="Times New Roman" w:hAnsi="Times New Roman" w:cs="Times New Roman"/>
        </w:rPr>
      </w:pPr>
      <w:r w:rsidRPr="000A2E75">
        <w:rPr>
          <w:rFonts w:ascii="Times New Roman" w:hAnsi="Times New Roman" w:cs="Times New Roman"/>
        </w:rPr>
        <w:t>They (para 2): ___________________</w:t>
      </w:r>
    </w:p>
    <w:p w14:paraId="2B9A8A7B" w14:textId="77777777" w:rsidR="00E839E1" w:rsidRPr="000A2E75" w:rsidRDefault="00E839E1" w:rsidP="008934F8">
      <w:pPr>
        <w:pStyle w:val="ListeParagraf"/>
        <w:numPr>
          <w:ilvl w:val="0"/>
          <w:numId w:val="64"/>
        </w:numPr>
        <w:spacing w:line="240" w:lineRule="auto"/>
        <w:jc w:val="both"/>
        <w:rPr>
          <w:rFonts w:ascii="Times New Roman" w:hAnsi="Times New Roman" w:cs="Times New Roman"/>
        </w:rPr>
      </w:pPr>
      <w:r w:rsidRPr="000A2E75">
        <w:rPr>
          <w:rFonts w:ascii="Times New Roman" w:hAnsi="Times New Roman" w:cs="Times New Roman"/>
        </w:rPr>
        <w:t>Them (para 3): __________________</w:t>
      </w:r>
    </w:p>
    <w:p w14:paraId="62BF637A" w14:textId="77777777" w:rsidR="00E839E1" w:rsidRPr="000A2E75" w:rsidRDefault="00E839E1" w:rsidP="008934F8">
      <w:pPr>
        <w:pStyle w:val="ListeParagraf"/>
        <w:numPr>
          <w:ilvl w:val="0"/>
          <w:numId w:val="61"/>
        </w:numPr>
        <w:spacing w:line="240" w:lineRule="auto"/>
        <w:jc w:val="both"/>
        <w:rPr>
          <w:rFonts w:ascii="Times New Roman" w:hAnsi="Times New Roman" w:cs="Times New Roman"/>
        </w:rPr>
      </w:pPr>
      <w:r w:rsidRPr="000A2E75">
        <w:rPr>
          <w:rFonts w:ascii="Times New Roman" w:hAnsi="Times New Roman" w:cs="Times New Roman"/>
        </w:rPr>
        <w:t>What does the writer think about the wild animals coming to the city? Support your answer with evidence from the text.</w:t>
      </w:r>
    </w:p>
    <w:p w14:paraId="63583482" w14:textId="77777777" w:rsidR="00E839E1" w:rsidRPr="000A2E75" w:rsidRDefault="00E839E1" w:rsidP="008934F8">
      <w:pPr>
        <w:pStyle w:val="ListeParagraf"/>
        <w:numPr>
          <w:ilvl w:val="0"/>
          <w:numId w:val="61"/>
        </w:numPr>
        <w:spacing w:line="240" w:lineRule="auto"/>
        <w:jc w:val="both"/>
        <w:rPr>
          <w:rFonts w:ascii="Times New Roman" w:hAnsi="Times New Roman" w:cs="Times New Roman"/>
        </w:rPr>
      </w:pPr>
      <w:r w:rsidRPr="000A2E75">
        <w:rPr>
          <w:rFonts w:ascii="Times New Roman" w:hAnsi="Times New Roman" w:cs="Times New Roman"/>
        </w:rPr>
        <w:t>Do you agree with the writer? Why? / Why not?</w:t>
      </w:r>
    </w:p>
    <w:p w14:paraId="49E33C5D" w14:textId="77777777" w:rsidR="00E839E1" w:rsidRPr="000A2E75" w:rsidRDefault="00E839E1" w:rsidP="00E839E1">
      <w:pPr>
        <w:jc w:val="both"/>
        <w:rPr>
          <w:rFonts w:ascii="Times New Roman" w:hAnsi="Times New Roman" w:cs="Times New Roman"/>
          <w:b/>
          <w:bCs/>
          <w:lang w:val="en-GB"/>
        </w:rPr>
      </w:pPr>
      <w:r w:rsidRPr="000A2E75">
        <w:rPr>
          <w:rFonts w:ascii="Times New Roman" w:hAnsi="Times New Roman" w:cs="Times New Roman"/>
          <w:b/>
          <w:bCs/>
          <w:lang w:val="en-GB"/>
        </w:rPr>
        <w:t>Post Reading Debate and Writing Activities</w:t>
      </w:r>
    </w:p>
    <w:p w14:paraId="2D8F8D29" w14:textId="77777777" w:rsidR="00E839E1" w:rsidRPr="000A2E75" w:rsidRDefault="00E839E1" w:rsidP="008934F8">
      <w:pPr>
        <w:pStyle w:val="ListeParagraf"/>
        <w:numPr>
          <w:ilvl w:val="0"/>
          <w:numId w:val="62"/>
        </w:numPr>
        <w:spacing w:line="240" w:lineRule="auto"/>
        <w:jc w:val="both"/>
        <w:rPr>
          <w:rFonts w:ascii="Times New Roman" w:hAnsi="Times New Roman" w:cs="Times New Roman"/>
        </w:rPr>
      </w:pPr>
      <w:r w:rsidRPr="000A2E75">
        <w:rPr>
          <w:rFonts w:ascii="Times New Roman" w:hAnsi="Times New Roman" w:cs="Times New Roman"/>
        </w:rPr>
        <w:t xml:space="preserve">Remind the discussion in the beginning of the lesson about the reasons why wild animals come into the cities. Possible answers would be about lack of habitat, lack of food etc. Conclude that we share the same habitat with animals so it could be normal for them to appear anywhere in nature. </w:t>
      </w:r>
    </w:p>
    <w:p w14:paraId="77271B68" w14:textId="77777777" w:rsidR="00E839E1" w:rsidRPr="000A2E75" w:rsidRDefault="00E839E1" w:rsidP="008934F8">
      <w:pPr>
        <w:pStyle w:val="ListeParagraf"/>
        <w:numPr>
          <w:ilvl w:val="0"/>
          <w:numId w:val="62"/>
        </w:numPr>
        <w:spacing w:line="240" w:lineRule="auto"/>
        <w:jc w:val="both"/>
        <w:rPr>
          <w:rFonts w:ascii="Times New Roman" w:hAnsi="Times New Roman" w:cs="Times New Roman"/>
        </w:rPr>
      </w:pPr>
      <w:r w:rsidRPr="000A2E75">
        <w:rPr>
          <w:rFonts w:ascii="Times New Roman" w:hAnsi="Times New Roman" w:cs="Times New Roman"/>
        </w:rPr>
        <w:t>Prompt Question: Should animals live in the cities with people? What are the advantages and disadvantages of this? How can we deal with this situation?</w:t>
      </w:r>
    </w:p>
    <w:p w14:paraId="325369DB" w14:textId="77777777" w:rsidR="00E839E1" w:rsidRPr="000A2E75" w:rsidRDefault="00E839E1" w:rsidP="00E839E1">
      <w:pPr>
        <w:ind w:firstLine="720"/>
        <w:jc w:val="both"/>
        <w:rPr>
          <w:rFonts w:ascii="Times New Roman" w:hAnsi="Times New Roman" w:cs="Times New Roman"/>
          <w:lang w:val="en-GB"/>
        </w:rPr>
      </w:pPr>
      <w:r w:rsidRPr="000A2E75">
        <w:rPr>
          <w:rFonts w:ascii="Times New Roman" w:hAnsi="Times New Roman" w:cs="Times New Roman"/>
          <w:lang w:val="en-GB"/>
        </w:rPr>
        <w:t>Note the answers on the board under two categories as shown below:</w:t>
      </w:r>
    </w:p>
    <w:tbl>
      <w:tblPr>
        <w:tblStyle w:val="TabloKlavuzu"/>
        <w:tblW w:w="0" w:type="auto"/>
        <w:tblInd w:w="534" w:type="dxa"/>
        <w:tblLook w:val="04A0" w:firstRow="1" w:lastRow="0" w:firstColumn="1" w:lastColumn="0" w:noHBand="0" w:noVBand="1"/>
      </w:tblPr>
      <w:tblGrid>
        <w:gridCol w:w="4108"/>
        <w:gridCol w:w="4113"/>
      </w:tblGrid>
      <w:tr w:rsidR="00E839E1" w:rsidRPr="000A2E75" w14:paraId="2EC1C5A1" w14:textId="77777777" w:rsidTr="00E839E1">
        <w:tc>
          <w:tcPr>
            <w:tcW w:w="8221" w:type="dxa"/>
            <w:gridSpan w:val="2"/>
          </w:tcPr>
          <w:p w14:paraId="4510C0D0" w14:textId="77777777" w:rsidR="00E839E1" w:rsidRPr="000A2E75" w:rsidRDefault="00E839E1" w:rsidP="00E839E1">
            <w:pPr>
              <w:jc w:val="both"/>
              <w:rPr>
                <w:rFonts w:ascii="Times New Roman" w:hAnsi="Times New Roman" w:cs="Times New Roman"/>
                <w:b/>
                <w:bCs/>
                <w:lang w:val="en-GB"/>
              </w:rPr>
            </w:pPr>
            <w:r w:rsidRPr="000A2E75">
              <w:rPr>
                <w:rFonts w:ascii="Times New Roman" w:hAnsi="Times New Roman" w:cs="Times New Roman"/>
                <w:b/>
                <w:bCs/>
                <w:lang w:val="en-GB"/>
              </w:rPr>
              <w:t>Should animals live in the cities with people?</w:t>
            </w:r>
          </w:p>
        </w:tc>
      </w:tr>
      <w:tr w:rsidR="00E839E1" w:rsidRPr="000A2E75" w14:paraId="33F87F39" w14:textId="77777777" w:rsidTr="00E839E1">
        <w:tc>
          <w:tcPr>
            <w:tcW w:w="4108" w:type="dxa"/>
          </w:tcPr>
          <w:p w14:paraId="5AC771B3" w14:textId="77777777" w:rsidR="00E839E1" w:rsidRPr="000A2E75" w:rsidRDefault="00E839E1" w:rsidP="00E839E1">
            <w:pPr>
              <w:jc w:val="both"/>
              <w:rPr>
                <w:rFonts w:ascii="Times New Roman" w:hAnsi="Times New Roman" w:cs="Times New Roman"/>
                <w:b/>
                <w:bCs/>
                <w:lang w:val="en-GB"/>
              </w:rPr>
            </w:pPr>
            <w:r w:rsidRPr="000A2E75">
              <w:rPr>
                <w:rFonts w:ascii="Times New Roman" w:hAnsi="Times New Roman" w:cs="Times New Roman"/>
                <w:b/>
                <w:bCs/>
                <w:lang w:val="en-GB"/>
              </w:rPr>
              <w:t>Advantages</w:t>
            </w:r>
          </w:p>
        </w:tc>
        <w:tc>
          <w:tcPr>
            <w:tcW w:w="4113" w:type="dxa"/>
          </w:tcPr>
          <w:p w14:paraId="3061D36B" w14:textId="77777777" w:rsidR="00E839E1" w:rsidRPr="000A2E75" w:rsidRDefault="00E839E1" w:rsidP="00E839E1">
            <w:pPr>
              <w:jc w:val="both"/>
              <w:rPr>
                <w:rFonts w:ascii="Times New Roman" w:hAnsi="Times New Roman" w:cs="Times New Roman"/>
                <w:b/>
                <w:bCs/>
                <w:lang w:val="en-GB"/>
              </w:rPr>
            </w:pPr>
            <w:r w:rsidRPr="000A2E75">
              <w:rPr>
                <w:rFonts w:ascii="Times New Roman" w:hAnsi="Times New Roman" w:cs="Times New Roman"/>
                <w:b/>
                <w:bCs/>
                <w:lang w:val="en-GB"/>
              </w:rPr>
              <w:t>Disadvantages</w:t>
            </w:r>
          </w:p>
        </w:tc>
      </w:tr>
      <w:tr w:rsidR="00E839E1" w:rsidRPr="000A2E75" w14:paraId="40E43FC5" w14:textId="77777777" w:rsidTr="00E839E1">
        <w:tc>
          <w:tcPr>
            <w:tcW w:w="4108" w:type="dxa"/>
          </w:tcPr>
          <w:p w14:paraId="5F356EE5" w14:textId="77777777" w:rsidR="00E839E1" w:rsidRPr="000A2E75" w:rsidRDefault="00E839E1" w:rsidP="00E839E1">
            <w:pPr>
              <w:jc w:val="both"/>
              <w:rPr>
                <w:rFonts w:ascii="Times New Roman" w:hAnsi="Times New Roman" w:cs="Times New Roman"/>
                <w:b/>
                <w:bCs/>
                <w:lang w:val="en-GB"/>
              </w:rPr>
            </w:pPr>
            <w:r w:rsidRPr="000A2E75">
              <w:rPr>
                <w:rFonts w:ascii="Times New Roman" w:hAnsi="Times New Roman" w:cs="Times New Roman"/>
                <w:b/>
                <w:bCs/>
                <w:lang w:val="en-GB"/>
              </w:rPr>
              <w:t>…</w:t>
            </w:r>
          </w:p>
        </w:tc>
        <w:tc>
          <w:tcPr>
            <w:tcW w:w="4113" w:type="dxa"/>
          </w:tcPr>
          <w:p w14:paraId="1FEC2215" w14:textId="77777777" w:rsidR="00E839E1" w:rsidRPr="000A2E75" w:rsidRDefault="00E839E1" w:rsidP="00E839E1">
            <w:pPr>
              <w:jc w:val="both"/>
              <w:rPr>
                <w:rFonts w:ascii="Times New Roman" w:hAnsi="Times New Roman" w:cs="Times New Roman"/>
                <w:b/>
                <w:bCs/>
                <w:lang w:val="en-GB"/>
              </w:rPr>
            </w:pPr>
            <w:r w:rsidRPr="000A2E75">
              <w:rPr>
                <w:rFonts w:ascii="Times New Roman" w:hAnsi="Times New Roman" w:cs="Times New Roman"/>
                <w:b/>
                <w:bCs/>
                <w:lang w:val="en-GB"/>
              </w:rPr>
              <w:t>…</w:t>
            </w:r>
          </w:p>
        </w:tc>
      </w:tr>
    </w:tbl>
    <w:p w14:paraId="0F6F2EA1" w14:textId="77777777" w:rsidR="00E839E1" w:rsidRPr="000A2E75" w:rsidRDefault="00E839E1" w:rsidP="00E839E1">
      <w:pPr>
        <w:pStyle w:val="ListeParagraf"/>
        <w:ind w:left="1080"/>
        <w:jc w:val="both"/>
        <w:rPr>
          <w:rFonts w:ascii="Times New Roman" w:hAnsi="Times New Roman" w:cs="Times New Roman"/>
        </w:rPr>
      </w:pPr>
    </w:p>
    <w:p w14:paraId="375C8399" w14:textId="77777777" w:rsidR="00E839E1" w:rsidRPr="000A2E75" w:rsidRDefault="00E839E1" w:rsidP="008934F8">
      <w:pPr>
        <w:pStyle w:val="ListeParagraf"/>
        <w:numPr>
          <w:ilvl w:val="0"/>
          <w:numId w:val="62"/>
        </w:numPr>
        <w:spacing w:line="240" w:lineRule="auto"/>
        <w:jc w:val="both"/>
        <w:rPr>
          <w:rFonts w:ascii="Times New Roman" w:hAnsi="Times New Roman" w:cs="Times New Roman"/>
        </w:rPr>
      </w:pPr>
      <w:r w:rsidRPr="000A2E75">
        <w:rPr>
          <w:rFonts w:ascii="Times New Roman" w:hAnsi="Times New Roman" w:cs="Times New Roman"/>
        </w:rPr>
        <w:t xml:space="preserve">Divide the class into two/four groups depending on the number and invite students to have a debate about if animals should live in cities or be excluded from the society. </w:t>
      </w:r>
    </w:p>
    <w:p w14:paraId="73314564" w14:textId="77777777" w:rsidR="00E839E1" w:rsidRPr="000A2E75" w:rsidRDefault="00E839E1" w:rsidP="008934F8">
      <w:pPr>
        <w:pStyle w:val="ListeParagraf"/>
        <w:numPr>
          <w:ilvl w:val="0"/>
          <w:numId w:val="62"/>
        </w:numPr>
        <w:spacing w:line="240" w:lineRule="auto"/>
        <w:jc w:val="both"/>
        <w:rPr>
          <w:rFonts w:ascii="Times New Roman" w:hAnsi="Times New Roman" w:cs="Times New Roman"/>
        </w:rPr>
      </w:pPr>
      <w:r w:rsidRPr="000A2E75">
        <w:rPr>
          <w:rFonts w:ascii="Times New Roman" w:hAnsi="Times New Roman" w:cs="Times New Roman"/>
        </w:rPr>
        <w:t xml:space="preserve">Mix the groups back together and form new groups. Ask students to prepare a poster/letter suggesting possible solutions to the problem. Have a gallery walk activity or any other task for them to comment on each other’s solutions. They can use post-it notes to share their comments. Remind them to support their opinion with reasons or alterative solutions. </w:t>
      </w:r>
    </w:p>
    <w:p w14:paraId="4440121A" w14:textId="77777777" w:rsidR="00E839E1" w:rsidRPr="000A2E75" w:rsidRDefault="00E839E1" w:rsidP="00E839E1">
      <w:pPr>
        <w:jc w:val="both"/>
        <w:rPr>
          <w:rFonts w:ascii="Times New Roman" w:hAnsi="Times New Roman" w:cs="Times New Roman"/>
          <w:lang w:val="en-GB"/>
        </w:rPr>
      </w:pPr>
      <w:r w:rsidRPr="000A2E75">
        <w:rPr>
          <w:rFonts w:ascii="Times New Roman" w:hAnsi="Times New Roman" w:cs="Times New Roman"/>
          <w:bCs/>
          <w:lang w:val="en-GB"/>
        </w:rPr>
        <w:t xml:space="preserve">In conclusion, </w:t>
      </w:r>
      <w:r w:rsidRPr="000A2E75">
        <w:rPr>
          <w:rFonts w:ascii="Times New Roman" w:hAnsi="Times New Roman" w:cs="Times New Roman"/>
          <w:lang w:val="en-GB"/>
        </w:rPr>
        <w:t xml:space="preserve">since we live in an information age, it is crucial to approach information and people’s actions by critical thinking. Teachers have a crucial role in helping students to think more clearly, defend their opinions, identify points of view, gain media literacy and reflect on their own thinking. The question types mentioned above might be adopted depending on the learners’ needs. They are especially appropriate to be integrated in reading and writing lessons. </w:t>
      </w:r>
    </w:p>
    <w:p w14:paraId="5641005C" w14:textId="77777777" w:rsidR="00E839E1" w:rsidRPr="000A2E75" w:rsidRDefault="00E839E1" w:rsidP="00E839E1">
      <w:pPr>
        <w:jc w:val="both"/>
        <w:rPr>
          <w:rFonts w:ascii="Times New Roman" w:hAnsi="Times New Roman" w:cs="Times New Roman"/>
          <w:b/>
          <w:bCs/>
          <w:lang w:val="en-GB"/>
        </w:rPr>
      </w:pPr>
      <w:r w:rsidRPr="000A2E75">
        <w:rPr>
          <w:rFonts w:ascii="Times New Roman" w:hAnsi="Times New Roman" w:cs="Times New Roman"/>
          <w:b/>
          <w:bCs/>
          <w:lang w:val="en-GB"/>
        </w:rPr>
        <w:t>REFERENCES</w:t>
      </w:r>
    </w:p>
    <w:p w14:paraId="16B7AC54" w14:textId="77777777" w:rsidR="00E839E1" w:rsidRPr="000A2E75" w:rsidRDefault="00E839E1" w:rsidP="00E839E1">
      <w:pPr>
        <w:pStyle w:val="References0"/>
        <w:spacing w:line="240" w:lineRule="auto"/>
        <w:ind w:left="709" w:hanging="709"/>
        <w:jc w:val="both"/>
        <w:rPr>
          <w:rFonts w:eastAsiaTheme="minorHAnsi"/>
          <w:sz w:val="22"/>
          <w:szCs w:val="22"/>
          <w:lang w:eastAsia="en-US"/>
        </w:rPr>
      </w:pPr>
      <w:r w:rsidRPr="000A2E75">
        <w:rPr>
          <w:sz w:val="22"/>
          <w:szCs w:val="22"/>
        </w:rPr>
        <w:t>Akdağ, E. &amp; Kırkgöz, Y. (2020).</w:t>
      </w:r>
      <w:r w:rsidRPr="000A2E75">
        <w:rPr>
          <w:rFonts w:eastAsiaTheme="minorHAnsi"/>
          <w:sz w:val="22"/>
          <w:szCs w:val="22"/>
          <w:lang w:eastAsia="en-US"/>
        </w:rPr>
        <w:t xml:space="preserve"> </w:t>
      </w:r>
      <w:r w:rsidRPr="000A2E75">
        <w:rPr>
          <w:rFonts w:eastAsiaTheme="minorHAnsi"/>
          <w:i/>
          <w:iCs/>
          <w:sz w:val="22"/>
          <w:szCs w:val="22"/>
          <w:lang w:eastAsia="en-US"/>
        </w:rPr>
        <w:t xml:space="preserve">) Infusing Critical Thinking Skills into High School EFL Classroom. </w:t>
      </w:r>
      <w:r w:rsidRPr="000A2E75">
        <w:rPr>
          <w:rFonts w:eastAsiaTheme="minorHAnsi"/>
          <w:i/>
          <w:sz w:val="22"/>
          <w:szCs w:val="22"/>
          <w:lang w:eastAsia="en-US"/>
        </w:rPr>
        <w:t>The Reading Matrix: An International Online Journal, 20</w:t>
      </w:r>
      <w:r w:rsidRPr="000A2E75">
        <w:rPr>
          <w:rFonts w:eastAsiaTheme="minorHAnsi"/>
          <w:sz w:val="22"/>
          <w:szCs w:val="22"/>
          <w:lang w:eastAsia="en-US"/>
        </w:rPr>
        <w:t>(2), 200-216.</w:t>
      </w:r>
    </w:p>
    <w:p w14:paraId="1F5AE35E" w14:textId="77777777" w:rsidR="00E839E1" w:rsidRPr="000A2E75" w:rsidRDefault="00E839E1" w:rsidP="00E839E1">
      <w:pPr>
        <w:pStyle w:val="References0"/>
        <w:spacing w:line="240" w:lineRule="auto"/>
        <w:ind w:left="709" w:hanging="709"/>
        <w:jc w:val="both"/>
        <w:rPr>
          <w:sz w:val="22"/>
          <w:szCs w:val="22"/>
        </w:rPr>
      </w:pPr>
      <w:r w:rsidRPr="000A2E75">
        <w:rPr>
          <w:rFonts w:eastAsiaTheme="minorHAnsi"/>
          <w:sz w:val="22"/>
          <w:szCs w:val="22"/>
          <w:lang w:eastAsia="en-US"/>
        </w:rPr>
        <w:t>B</w:t>
      </w:r>
      <w:r w:rsidRPr="000A2E75">
        <w:rPr>
          <w:sz w:val="22"/>
          <w:szCs w:val="22"/>
        </w:rPr>
        <w:t xml:space="preserve">oyles, N. N. (2002). </w:t>
      </w:r>
      <w:r w:rsidRPr="000A2E75">
        <w:rPr>
          <w:i/>
          <w:iCs/>
          <w:sz w:val="22"/>
          <w:szCs w:val="22"/>
        </w:rPr>
        <w:t>Teaching written response to text: Constructing quality answers to open-ended comprehension questions</w:t>
      </w:r>
      <w:r w:rsidRPr="000A2E75">
        <w:rPr>
          <w:sz w:val="22"/>
          <w:szCs w:val="22"/>
        </w:rPr>
        <w:t>. USA: Maupin House Publishing, Inc.</w:t>
      </w:r>
    </w:p>
    <w:p w14:paraId="7CD1403F" w14:textId="77777777" w:rsidR="00E839E1" w:rsidRPr="000A2E75" w:rsidRDefault="00E839E1" w:rsidP="00E839E1">
      <w:pPr>
        <w:pStyle w:val="References0"/>
        <w:spacing w:line="240" w:lineRule="auto"/>
        <w:ind w:left="709" w:hanging="709"/>
        <w:jc w:val="both"/>
        <w:rPr>
          <w:iCs/>
          <w:sz w:val="22"/>
          <w:szCs w:val="22"/>
        </w:rPr>
      </w:pPr>
      <w:r w:rsidRPr="000A2E75">
        <w:rPr>
          <w:sz w:val="22"/>
          <w:szCs w:val="22"/>
        </w:rPr>
        <w:t xml:space="preserve">Karakuzular, D. (2013). </w:t>
      </w:r>
      <w:r w:rsidRPr="000A2E75">
        <w:rPr>
          <w:i/>
          <w:sz w:val="22"/>
          <w:szCs w:val="22"/>
        </w:rPr>
        <w:t>Developing critical thinking skills of EFL learners through a sequence of critical thinking tasks.</w:t>
      </w:r>
      <w:r w:rsidRPr="000A2E75">
        <w:rPr>
          <w:sz w:val="22"/>
          <w:szCs w:val="22"/>
        </w:rPr>
        <w:t xml:space="preserve"> (</w:t>
      </w:r>
      <w:r w:rsidRPr="000A2E75">
        <w:rPr>
          <w:iCs/>
          <w:sz w:val="22"/>
          <w:szCs w:val="22"/>
        </w:rPr>
        <w:t>Unpublished Master Thesis), Çukurova University, Institute of Social Sciences, Adana.</w:t>
      </w:r>
    </w:p>
    <w:p w14:paraId="029AAC73" w14:textId="77777777" w:rsidR="00E839E1" w:rsidRPr="000A2E75" w:rsidRDefault="00E839E1" w:rsidP="00E839E1">
      <w:pPr>
        <w:pStyle w:val="References0"/>
        <w:spacing w:line="240" w:lineRule="auto"/>
        <w:ind w:left="709" w:hanging="709"/>
        <w:jc w:val="both"/>
        <w:rPr>
          <w:i/>
          <w:iCs/>
          <w:sz w:val="22"/>
          <w:szCs w:val="22"/>
        </w:rPr>
      </w:pPr>
      <w:r w:rsidRPr="000A2E75">
        <w:rPr>
          <w:rFonts w:eastAsia="Arial"/>
          <w:sz w:val="22"/>
          <w:szCs w:val="22"/>
        </w:rPr>
        <w:t xml:space="preserve">Kaur, K., &amp; Upadhyay, P. (2017). Critical thinking: Imperative in information based society. </w:t>
      </w:r>
      <w:r w:rsidRPr="000A2E75">
        <w:rPr>
          <w:rFonts w:eastAsia="Arial"/>
          <w:i/>
          <w:sz w:val="22"/>
          <w:szCs w:val="22"/>
        </w:rPr>
        <w:t>International Journal of Advanced Research,</w:t>
      </w:r>
      <w:r w:rsidRPr="000A2E75">
        <w:rPr>
          <w:rFonts w:eastAsia="Arial"/>
          <w:sz w:val="22"/>
          <w:szCs w:val="22"/>
        </w:rPr>
        <w:t xml:space="preserve"> 5(4), 902-906. doi:10.21474/ijar01/3893 </w:t>
      </w:r>
    </w:p>
    <w:p w14:paraId="02D65920" w14:textId="77777777" w:rsidR="00E839E1" w:rsidRPr="000A2E75" w:rsidRDefault="00E839E1" w:rsidP="00E839E1">
      <w:pPr>
        <w:ind w:left="709" w:hanging="709"/>
        <w:jc w:val="both"/>
        <w:rPr>
          <w:rFonts w:ascii="Times New Roman" w:hAnsi="Times New Roman" w:cs="Times New Roman"/>
          <w:lang w:val="en-GB"/>
        </w:rPr>
      </w:pPr>
      <w:r w:rsidRPr="000A2E75">
        <w:rPr>
          <w:rFonts w:ascii="Times New Roman" w:hAnsi="Times New Roman" w:cs="Times New Roman"/>
          <w:lang w:val="en-GB"/>
        </w:rPr>
        <w:t xml:space="preserve">Yin, R. (1994). </w:t>
      </w:r>
      <w:r w:rsidRPr="000A2E75">
        <w:rPr>
          <w:rFonts w:ascii="Times New Roman" w:hAnsi="Times New Roman" w:cs="Times New Roman"/>
          <w:i/>
          <w:lang w:val="en-GB"/>
        </w:rPr>
        <w:t>Case study research: Design and methods</w:t>
      </w:r>
      <w:r w:rsidRPr="000A2E75">
        <w:rPr>
          <w:rFonts w:ascii="Times New Roman" w:hAnsi="Times New Roman" w:cs="Times New Roman"/>
          <w:lang w:val="en-GB"/>
        </w:rPr>
        <w:t xml:space="preserve"> (2nd ed.). Beverly Hills, CA: Sage Publishing.</w:t>
      </w:r>
    </w:p>
    <w:p w14:paraId="7425CD95" w14:textId="77777777" w:rsidR="00E839E1" w:rsidRPr="000A2E75" w:rsidRDefault="00E839E1" w:rsidP="00E839E1">
      <w:pPr>
        <w:ind w:left="709" w:hanging="709"/>
        <w:jc w:val="both"/>
        <w:rPr>
          <w:rFonts w:ascii="Times New Roman" w:hAnsi="Times New Roman" w:cs="Times New Roman"/>
          <w:lang w:val="en-GB"/>
        </w:rPr>
      </w:pPr>
    </w:p>
    <w:p w14:paraId="694CBD5D" w14:textId="77777777" w:rsidR="00E839E1" w:rsidRPr="000A2E75" w:rsidRDefault="00E839E1" w:rsidP="00E839E1">
      <w:pPr>
        <w:autoSpaceDE w:val="0"/>
        <w:autoSpaceDN w:val="0"/>
        <w:adjustRightInd w:val="0"/>
        <w:rPr>
          <w:rFonts w:ascii="Times New Roman" w:hAnsi="Times New Roman" w:cs="Times New Roman"/>
        </w:rPr>
      </w:pPr>
      <w:r w:rsidRPr="000A2E75">
        <w:rPr>
          <w:rFonts w:ascii="Times New Roman" w:hAnsi="Times New Roman" w:cs="Times New Roman"/>
        </w:rPr>
        <w:br w:type="page"/>
      </w:r>
    </w:p>
    <w:p w14:paraId="4009953E" w14:textId="77777777" w:rsidR="00E839E1" w:rsidRPr="000A2E75" w:rsidRDefault="00E839E1" w:rsidP="00E839E1">
      <w:pPr>
        <w:pStyle w:val="Default"/>
        <w:jc w:val="both"/>
        <w:rPr>
          <w:sz w:val="22"/>
          <w:szCs w:val="22"/>
          <w:lang w:val="en-GB"/>
        </w:rPr>
      </w:pPr>
    </w:p>
    <w:p w14:paraId="4AAF3A0C" w14:textId="77777777" w:rsidR="00E839E1" w:rsidRPr="000A2E75" w:rsidRDefault="00E839E1" w:rsidP="00E839E1">
      <w:pPr>
        <w:pStyle w:val="Balk1"/>
        <w:rPr>
          <w:rFonts w:ascii="Times New Roman" w:hAnsi="Times New Roman" w:cs="Times New Roman"/>
          <w:b/>
          <w:color w:val="000000" w:themeColor="text1"/>
          <w:sz w:val="24"/>
          <w:szCs w:val="24"/>
        </w:rPr>
      </w:pPr>
      <w:bookmarkStart w:id="300" w:name="_Toc69817108"/>
      <w:bookmarkStart w:id="301" w:name="_Toc70612132"/>
      <w:bookmarkStart w:id="302" w:name="_Toc72754702"/>
      <w:bookmarkStart w:id="303" w:name="_Toc72755974"/>
      <w:bookmarkStart w:id="304" w:name="_Toc72961786"/>
      <w:r w:rsidRPr="000A2E75">
        <w:rPr>
          <w:rFonts w:ascii="Times New Roman" w:hAnsi="Times New Roman" w:cs="Times New Roman"/>
          <w:b/>
          <w:color w:val="000000" w:themeColor="text1"/>
          <w:sz w:val="24"/>
          <w:szCs w:val="24"/>
        </w:rPr>
        <w:t>MULTIPLE INTELLIGENCES IN A PRIMARY ENGLISH TEXTBOOK</w:t>
      </w:r>
      <w:bookmarkEnd w:id="300"/>
      <w:bookmarkEnd w:id="301"/>
      <w:bookmarkEnd w:id="302"/>
      <w:bookmarkEnd w:id="303"/>
      <w:bookmarkEnd w:id="304"/>
    </w:p>
    <w:p w14:paraId="3F52C5FC" w14:textId="77777777" w:rsidR="00E839E1" w:rsidRPr="000A2E75" w:rsidRDefault="00E839E1" w:rsidP="00E839E1">
      <w:pPr>
        <w:jc w:val="both"/>
        <w:rPr>
          <w:rFonts w:ascii="Times New Roman" w:hAnsi="Times New Roman" w:cs="Times New Roman"/>
          <w:color w:val="000000" w:themeColor="text1"/>
        </w:rPr>
      </w:pPr>
      <w:bookmarkStart w:id="305" w:name="_Toc69817109"/>
    </w:p>
    <w:p w14:paraId="65823667" w14:textId="77777777" w:rsidR="00E839E1" w:rsidRPr="000A2E75" w:rsidRDefault="00E839E1" w:rsidP="00E839E1">
      <w:pPr>
        <w:jc w:val="both"/>
        <w:rPr>
          <w:rFonts w:ascii="Times New Roman" w:hAnsi="Times New Roman" w:cs="Times New Roman"/>
          <w:color w:val="000000" w:themeColor="text1"/>
        </w:rPr>
      </w:pPr>
      <w:bookmarkStart w:id="306" w:name="_Toc70612133"/>
      <w:bookmarkStart w:id="307" w:name="_Toc72754703"/>
      <w:bookmarkStart w:id="308" w:name="_Toc72755975"/>
      <w:bookmarkStart w:id="309" w:name="_Toc72961787"/>
      <w:r w:rsidRPr="000A2E75">
        <w:rPr>
          <w:rStyle w:val="Balk2Char"/>
          <w:rFonts w:ascii="Times New Roman" w:eastAsiaTheme="minorHAnsi" w:hAnsi="Times New Roman" w:cs="Times New Roman"/>
          <w:b w:val="0"/>
          <w:i w:val="0"/>
          <w:sz w:val="20"/>
          <w:szCs w:val="20"/>
        </w:rPr>
        <w:t>Prof.Dr.Yasemin KIRKGOZ</w:t>
      </w:r>
      <w:bookmarkEnd w:id="306"/>
      <w:bookmarkEnd w:id="307"/>
      <w:bookmarkEnd w:id="308"/>
      <w:bookmarkEnd w:id="309"/>
      <w:r w:rsidRPr="000A2E75">
        <w:rPr>
          <w:rFonts w:ascii="Times New Roman" w:hAnsi="Times New Roman" w:cs="Times New Roman"/>
          <w:color w:val="000000" w:themeColor="text1"/>
        </w:rPr>
        <w:t>,</w:t>
      </w:r>
      <w:r w:rsidRPr="000A2E75">
        <w:rPr>
          <w:rFonts w:ascii="Times New Roman" w:hAnsi="Times New Roman" w:cs="Times New Roman"/>
          <w:i/>
          <w:color w:val="000000" w:themeColor="text1"/>
        </w:rPr>
        <w:t>Çukurova University, Faculty of Education, Adana, Turkey</w:t>
      </w:r>
      <w:bookmarkEnd w:id="305"/>
    </w:p>
    <w:p w14:paraId="4F6DEFCC" w14:textId="77777777" w:rsidR="00E839E1" w:rsidRPr="000A2E75" w:rsidRDefault="00E839E1" w:rsidP="00E839E1">
      <w:pPr>
        <w:jc w:val="both"/>
        <w:rPr>
          <w:rFonts w:ascii="Times New Roman" w:hAnsi="Times New Roman" w:cs="Times New Roman"/>
          <w:color w:val="000000" w:themeColor="text1"/>
        </w:rPr>
      </w:pPr>
      <w:r w:rsidRPr="000A2E75">
        <w:rPr>
          <w:rFonts w:ascii="Times New Roman" w:hAnsi="Times New Roman" w:cs="Times New Roman"/>
          <w:color w:val="000000" w:themeColor="text1"/>
        </w:rPr>
        <w:t>e-mail:</w:t>
      </w:r>
      <w:r w:rsidRPr="000A2E75">
        <w:rPr>
          <w:rFonts w:ascii="Times New Roman" w:hAnsi="Times New Roman" w:cs="Times New Roman"/>
          <w:color w:val="000000" w:themeColor="text1"/>
          <w:u w:val="single"/>
        </w:rPr>
        <w:t>ykirkgoz@cu.edu.tr</w:t>
      </w:r>
      <w:r w:rsidRPr="000A2E75">
        <w:rPr>
          <w:rFonts w:ascii="Times New Roman" w:hAnsi="Times New Roman" w:cs="Times New Roman"/>
          <w:color w:val="000000" w:themeColor="text1"/>
        </w:rPr>
        <w:t xml:space="preserve"> ORCID ID: 0000-0001-5838-6637</w:t>
      </w:r>
    </w:p>
    <w:p w14:paraId="479551E8" w14:textId="77777777" w:rsidR="00E839E1" w:rsidRPr="000A2E75" w:rsidRDefault="00E839E1" w:rsidP="00E839E1">
      <w:pPr>
        <w:jc w:val="both"/>
        <w:rPr>
          <w:rFonts w:ascii="Times New Roman" w:hAnsi="Times New Roman" w:cs="Times New Roman"/>
          <w:b/>
          <w:color w:val="000000" w:themeColor="text1"/>
        </w:rPr>
      </w:pPr>
    </w:p>
    <w:p w14:paraId="4674013B" w14:textId="77777777" w:rsidR="00E839E1" w:rsidRPr="000A2E75" w:rsidRDefault="00E839E1" w:rsidP="00E839E1">
      <w:pPr>
        <w:jc w:val="both"/>
        <w:rPr>
          <w:rFonts w:ascii="Times New Roman" w:hAnsi="Times New Roman" w:cs="Times New Roman"/>
          <w:b/>
          <w:color w:val="000000" w:themeColor="text1"/>
        </w:rPr>
      </w:pPr>
      <w:r w:rsidRPr="000A2E75">
        <w:rPr>
          <w:rFonts w:ascii="Times New Roman" w:hAnsi="Times New Roman" w:cs="Times New Roman"/>
          <w:b/>
          <w:color w:val="000000" w:themeColor="text1"/>
        </w:rPr>
        <w:t>Abstract</w:t>
      </w:r>
    </w:p>
    <w:p w14:paraId="6B600701" w14:textId="77777777" w:rsidR="00E839E1" w:rsidRPr="000A2E75" w:rsidRDefault="00E839E1" w:rsidP="00E839E1">
      <w:pPr>
        <w:autoSpaceDE w:val="0"/>
        <w:autoSpaceDN w:val="0"/>
        <w:adjustRightInd w:val="0"/>
        <w:spacing w:before="120" w:after="120"/>
        <w:jc w:val="both"/>
        <w:rPr>
          <w:rFonts w:ascii="Times New Roman" w:hAnsi="Times New Roman" w:cs="Times New Roman"/>
          <w:b/>
        </w:rPr>
      </w:pPr>
      <w:r w:rsidRPr="000A2E75">
        <w:rPr>
          <w:rFonts w:ascii="Times New Roman" w:hAnsi="Times New Roman" w:cs="Times New Roman"/>
        </w:rPr>
        <w:t>In recent decades, important transformations have been witnessed in foreign language education. One of the transformations is the growing interest to consider the differences among learners, particularly in relation to varied intelligences among them. This study aims to explore representations of multiple intelligences (MI) in an English textbook (</w:t>
      </w:r>
      <w:r w:rsidRPr="000A2E75">
        <w:rPr>
          <w:rFonts w:ascii="Times New Roman" w:eastAsia="Arial" w:hAnsi="Times New Roman" w:cs="Times New Roman"/>
        </w:rPr>
        <w:t xml:space="preserve">Tan, 2019), </w:t>
      </w:r>
      <w:r w:rsidRPr="000A2E75">
        <w:rPr>
          <w:rFonts w:ascii="Times New Roman" w:hAnsi="Times New Roman" w:cs="Times New Roman"/>
        </w:rPr>
        <w:t>currently used for grade two students in Turkish state primary schools. Each activity in the textbook was closely examined using a MI checklist developed according to eight intelligences from Howard Gardner’s MI theory (1983). Quantitative methods which involve the researcher “collecting, classifying, ordering, synthesizing, evaluating and interpreting” (</w:t>
      </w:r>
      <w:hyperlink r:id="rId388" w:history="1">
        <w:r w:rsidRPr="000A2E75">
          <w:rPr>
            <w:rStyle w:val="Kpr"/>
            <w:rFonts w:ascii="Times New Roman" w:hAnsi="Times New Roman" w:cs="Times New Roman"/>
            <w:color w:val="000000" w:themeColor="text1"/>
          </w:rPr>
          <w:t>Cohen</w:t>
        </w:r>
      </w:hyperlink>
      <w:r w:rsidRPr="000A2E75">
        <w:rPr>
          <w:rFonts w:ascii="Times New Roman" w:hAnsi="Times New Roman" w:cs="Times New Roman"/>
          <w:color w:val="000000" w:themeColor="text1"/>
        </w:rPr>
        <w:t xml:space="preserve">, </w:t>
      </w:r>
      <w:hyperlink r:id="rId389" w:history="1">
        <w:r w:rsidRPr="000A2E75">
          <w:rPr>
            <w:rStyle w:val="Kpr"/>
            <w:rFonts w:ascii="Times New Roman" w:hAnsi="Times New Roman" w:cs="Times New Roman"/>
            <w:color w:val="000000" w:themeColor="text1"/>
          </w:rPr>
          <w:t>Manion</w:t>
        </w:r>
      </w:hyperlink>
      <w:r w:rsidRPr="000A2E75">
        <w:rPr>
          <w:rFonts w:ascii="Times New Roman" w:hAnsi="Times New Roman" w:cs="Times New Roman"/>
          <w:color w:val="000000" w:themeColor="text1"/>
        </w:rPr>
        <w:t xml:space="preserve">, &amp; </w:t>
      </w:r>
      <w:hyperlink r:id="rId390" w:history="1">
        <w:r w:rsidRPr="000A2E75">
          <w:rPr>
            <w:rStyle w:val="Kpr"/>
            <w:rFonts w:ascii="Times New Roman" w:hAnsi="Times New Roman" w:cs="Times New Roman"/>
            <w:color w:val="000000" w:themeColor="text1"/>
          </w:rPr>
          <w:t>Morrison</w:t>
        </w:r>
      </w:hyperlink>
      <w:r w:rsidRPr="000A2E75">
        <w:rPr>
          <w:rFonts w:ascii="Times New Roman" w:hAnsi="Times New Roman" w:cs="Times New Roman"/>
          <w:color w:val="000000" w:themeColor="text1"/>
        </w:rPr>
        <w:t xml:space="preserve">, </w:t>
      </w:r>
      <w:r w:rsidRPr="000A2E75">
        <w:rPr>
          <w:rFonts w:ascii="Times New Roman" w:hAnsi="Times New Roman" w:cs="Times New Roman"/>
        </w:rPr>
        <w:t xml:space="preserve">p.197), was used to identify intelligences in the textbook. Two postgraduate research students, also English teachers, assessed the researcher’s coding of intelligences to ensure reliability of the study. It was found that the intelligences in the English textbook were mostly in the nature of Verbal/Linguistic, Visual/Spatial and Logical/Mathematical with a combination of other intelligence types including Interpersonal and Intrapersonal Intelligence, Bodily/Kinesthetic, Natural and Musical Intelligence. It can be suggested that the English book examined has the potential to address young learners’ needs and interests in its representation of varied intelligences. The findings can give insights into the representation of multiple intelligences in a particular English textbook, increase language teachers’ awareness of different intelligences in textbooks as well as giving teachers ideas about how to produce activities to address varied intelligences that students may have. The study contributes to limited research on the representation of MI in English textbooks. </w:t>
      </w:r>
    </w:p>
    <w:p w14:paraId="5DF991A5" w14:textId="77777777" w:rsidR="00E839E1" w:rsidRPr="000A2E75" w:rsidRDefault="00E839E1" w:rsidP="00E839E1">
      <w:pPr>
        <w:spacing w:before="120" w:after="120"/>
        <w:jc w:val="both"/>
        <w:rPr>
          <w:rFonts w:ascii="Times New Roman" w:hAnsi="Times New Roman" w:cs="Times New Roman"/>
          <w:b/>
        </w:rPr>
      </w:pPr>
    </w:p>
    <w:p w14:paraId="4A555084" w14:textId="77777777" w:rsidR="00E839E1" w:rsidRPr="000A2E75" w:rsidRDefault="00E839E1" w:rsidP="00E839E1">
      <w:pPr>
        <w:spacing w:before="120" w:after="120"/>
        <w:jc w:val="both"/>
        <w:rPr>
          <w:rFonts w:ascii="Times New Roman" w:hAnsi="Times New Roman" w:cs="Times New Roman"/>
        </w:rPr>
      </w:pPr>
      <w:r w:rsidRPr="000A2E75">
        <w:rPr>
          <w:rFonts w:ascii="Times New Roman" w:hAnsi="Times New Roman" w:cs="Times New Roman"/>
          <w:b/>
        </w:rPr>
        <w:t xml:space="preserve">Key words: </w:t>
      </w:r>
      <w:r w:rsidRPr="000A2E75">
        <w:rPr>
          <w:rFonts w:ascii="Times New Roman" w:hAnsi="Times New Roman" w:cs="Times New Roman"/>
        </w:rPr>
        <w:t xml:space="preserve">Multiple İntelligences, English textbook, primary, grade two </w:t>
      </w:r>
    </w:p>
    <w:p w14:paraId="45FEAF2B" w14:textId="77777777" w:rsidR="00E839E1" w:rsidRPr="000A2E75" w:rsidRDefault="00E839E1" w:rsidP="00E839E1">
      <w:pPr>
        <w:spacing w:line="360" w:lineRule="auto"/>
        <w:jc w:val="both"/>
        <w:rPr>
          <w:rFonts w:ascii="Times New Roman" w:hAnsi="Times New Roman" w:cs="Times New Roman"/>
          <w:color w:val="000000"/>
          <w:highlight w:val="white"/>
        </w:rPr>
      </w:pPr>
    </w:p>
    <w:p w14:paraId="5692EEF1" w14:textId="77777777" w:rsidR="00E839E1" w:rsidRPr="000A2E75" w:rsidRDefault="00E839E1" w:rsidP="00E839E1">
      <w:pPr>
        <w:jc w:val="both"/>
        <w:rPr>
          <w:rFonts w:ascii="Times New Roman" w:hAnsi="Times New Roman" w:cs="Times New Roman"/>
          <w:color w:val="000000"/>
        </w:rPr>
      </w:pPr>
      <w:r w:rsidRPr="000A2E75">
        <w:rPr>
          <w:rFonts w:ascii="Times New Roman" w:hAnsi="Times New Roman" w:cs="Times New Roman"/>
          <w:color w:val="000000"/>
          <w:highlight w:val="white"/>
        </w:rPr>
        <w:t xml:space="preserve">The theory of </w:t>
      </w:r>
      <w:hyperlink r:id="rId391">
        <w:r w:rsidRPr="000A2E75">
          <w:rPr>
            <w:rFonts w:ascii="Times New Roman" w:hAnsi="Times New Roman" w:cs="Times New Roman"/>
            <w:color w:val="000000"/>
            <w:highlight w:val="white"/>
          </w:rPr>
          <w:t>multiple intelligences</w:t>
        </w:r>
      </w:hyperlink>
      <w:r w:rsidRPr="000A2E75">
        <w:rPr>
          <w:rFonts w:ascii="Times New Roman" w:hAnsi="Times New Roman" w:cs="Times New Roman"/>
          <w:color w:val="000000"/>
          <w:highlight w:val="white"/>
        </w:rPr>
        <w:t xml:space="preserve"> was proposed by </w:t>
      </w:r>
      <w:hyperlink r:id="rId392">
        <w:r w:rsidRPr="000A2E75">
          <w:rPr>
            <w:rFonts w:ascii="Times New Roman" w:hAnsi="Times New Roman" w:cs="Times New Roman"/>
            <w:color w:val="000000"/>
            <w:highlight w:val="white"/>
          </w:rPr>
          <w:t>Howard Gardner</w:t>
        </w:r>
      </w:hyperlink>
      <w:r w:rsidRPr="000A2E75">
        <w:rPr>
          <w:rFonts w:ascii="Times New Roman" w:hAnsi="Times New Roman" w:cs="Times New Roman"/>
          <w:color w:val="000000"/>
          <w:highlight w:val="white"/>
        </w:rPr>
        <w:t>, the psychologist and professor of education at Harvard University.</w:t>
      </w:r>
      <w:r w:rsidRPr="000A2E75">
        <w:rPr>
          <w:rFonts w:ascii="Times New Roman" w:hAnsi="Times New Roman" w:cs="Times New Roman"/>
          <w:color w:val="000000"/>
        </w:rPr>
        <w:t xml:space="preserve"> The theory was founded on the idea that </w:t>
      </w:r>
      <w:r w:rsidRPr="000A2E75">
        <w:rPr>
          <w:rFonts w:ascii="Times New Roman" w:hAnsi="Times New Roman" w:cs="Times New Roman"/>
        </w:rPr>
        <w:t>each person has different ways of learning and different intelligences</w:t>
      </w:r>
      <w:r w:rsidRPr="000A2E75">
        <w:rPr>
          <w:rFonts w:ascii="Times New Roman" w:hAnsi="Times New Roman" w:cs="Times New Roman"/>
          <w:color w:val="000000"/>
          <w:highlight w:val="white"/>
        </w:rPr>
        <w:t>. Gardner initially suggested eight different types of intelligences</w:t>
      </w:r>
      <w:r w:rsidRPr="000A2E75">
        <w:rPr>
          <w:rFonts w:ascii="Times New Roman" w:hAnsi="Times New Roman" w:cs="Times New Roman"/>
          <w:color w:val="000000"/>
        </w:rPr>
        <w:t xml:space="preserve">, as explained in his famous book Frames of Mind: The Theory of Multiple Intelligences (1983). These intelligences include verbal-linguistic intelligence, visual-spatial intelligence, logical-mathematical, musical intelligence, bodily-kinesthetic intelligence, interpersonal intelligence, intrapersonal and naturalistic intelligence. Later, existential intelligence was </w:t>
      </w:r>
      <w:r w:rsidRPr="000A2E75">
        <w:rPr>
          <w:rFonts w:ascii="Times New Roman" w:hAnsi="Times New Roman" w:cs="Times New Roman"/>
          <w:color w:val="000000" w:themeColor="text1"/>
        </w:rPr>
        <w:t>added (Gardner. 2011) to the list of intelligences (Kırkgöz, 2020).</w:t>
      </w:r>
      <w:r w:rsidRPr="000A2E75">
        <w:rPr>
          <w:rFonts w:ascii="Times New Roman" w:hAnsi="Times New Roman" w:cs="Times New Roman"/>
          <w:color w:val="000000" w:themeColor="text1"/>
          <w:highlight w:val="white"/>
        </w:rPr>
        <w:t xml:space="preserve"> </w:t>
      </w:r>
    </w:p>
    <w:p w14:paraId="5DE58A16" w14:textId="77777777" w:rsidR="00E839E1" w:rsidRPr="000A2E75" w:rsidRDefault="00E839E1" w:rsidP="00E839E1">
      <w:pPr>
        <w:jc w:val="both"/>
        <w:rPr>
          <w:rFonts w:ascii="Times New Roman" w:hAnsi="Times New Roman" w:cs="Times New Roman"/>
        </w:rPr>
      </w:pPr>
    </w:p>
    <w:p w14:paraId="49EF5578" w14:textId="77777777" w:rsidR="00E839E1" w:rsidRPr="000A2E75" w:rsidRDefault="00E839E1" w:rsidP="00E839E1">
      <w:pPr>
        <w:jc w:val="both"/>
        <w:rPr>
          <w:rFonts w:ascii="Times New Roman" w:hAnsi="Times New Roman" w:cs="Times New Roman"/>
        </w:rPr>
      </w:pPr>
      <w:r w:rsidRPr="000A2E75">
        <w:rPr>
          <w:rFonts w:ascii="Times New Roman" w:hAnsi="Times New Roman" w:cs="Times New Roman"/>
        </w:rPr>
        <w:t xml:space="preserve">Verbal-linguistic intelligence refers to understanding and using spoken and written language effectively. People with this intelligence are typically good at writing stories, memorizing information and reading. Activities under this intelligence type are creating a poem, a story, writing a letter and reading stories to others. Visual-spatial intelligence represents the spatial world in our minds. People having visual-spatial intelligence are good with directions, maps, painting and recognizing patterns. Designing a poster, </w:t>
      </w:r>
      <w:r w:rsidRPr="000A2E75">
        <w:rPr>
          <w:rFonts w:ascii="Times New Roman" w:hAnsi="Times New Roman" w:cs="Times New Roman"/>
        </w:rPr>
        <w:lastRenderedPageBreak/>
        <w:t xml:space="preserve">drawing a map, creating a photo album or a poster are some sample activities. Bodily-kinesthetic intelligence refers to using parts of the body to make something or to participate in games and dramas, dancing and doing hands-on activities. Musical-rhythmic intelligence refers to one’s capacity to create musical rhythm, recognize patterns, and recall melodies and so on. Activities related to this intelligence type involve singing songs and creating songs. Interpersonal intelligence refers to one’s ability to succeed in social interaction and collaboration, empathizing and understanding others. Performing pair and group work are examples of the activities related to interpersonal intelligence type. Intrapersonal intelligence is the ability to understand oneself, knowing who you are and what you want. Activities related to this intelligence type are writing an autobiography, working independently, and keeping a journal. Logical-mathematic intelligence refers to one’s ability to think logically with reasoning, and having the capacity to work with numbers, complex and abstract ideas. Creating patterns, categorizing facts and information, solving puzzles are among the activities related to logical-mathematic intelligence. Naturalistic intelligence is generally characterised by one’s interest in the natural world such as plants, animals and other natural species. Activities related to naturalistic intelligence include caring for plants and animals, and taking a field trip to a museum or a zoo. </w:t>
      </w:r>
    </w:p>
    <w:p w14:paraId="7DAEB083" w14:textId="77777777" w:rsidR="00E839E1" w:rsidRPr="000A2E75" w:rsidRDefault="00E839E1" w:rsidP="00E839E1">
      <w:pPr>
        <w:autoSpaceDE w:val="0"/>
        <w:autoSpaceDN w:val="0"/>
        <w:adjustRightInd w:val="0"/>
        <w:spacing w:before="120" w:after="120"/>
        <w:jc w:val="both"/>
        <w:rPr>
          <w:rFonts w:ascii="Times New Roman" w:hAnsi="Times New Roman" w:cs="Times New Roman"/>
        </w:rPr>
      </w:pPr>
      <w:r w:rsidRPr="000A2E75">
        <w:rPr>
          <w:rFonts w:ascii="Times New Roman" w:hAnsi="Times New Roman" w:cs="Times New Roman"/>
          <w:color w:val="000000"/>
        </w:rPr>
        <w:t>Since the emergence as a theory, educators, curriculum designers and textbook writers around the world have paid special considerations to multiple intelligences theory. In Turkey, the multiple intelligences theory was introduced into the foreign language school curriculum in 2013 (MEB, 2013). The English curriculum for primary and secondary schools suggested that since children have different intelligences and learning styles, recognition needs to be given to different intelligences in the preparation of textbook activities. Similarly, teachers were recommended to use a variety of activities to address students with varied intelligence types.</w:t>
      </w:r>
      <w:r w:rsidRPr="000A2E75">
        <w:rPr>
          <w:rFonts w:ascii="Times New Roman" w:hAnsi="Times New Roman" w:cs="Times New Roman"/>
        </w:rPr>
        <w:t xml:space="preserve"> </w:t>
      </w:r>
    </w:p>
    <w:p w14:paraId="31B67C37" w14:textId="77777777" w:rsidR="00E839E1" w:rsidRPr="000A2E75" w:rsidRDefault="00E839E1" w:rsidP="00E839E1">
      <w:pPr>
        <w:autoSpaceDE w:val="0"/>
        <w:autoSpaceDN w:val="0"/>
        <w:adjustRightInd w:val="0"/>
        <w:spacing w:before="120" w:after="120"/>
        <w:jc w:val="both"/>
        <w:rPr>
          <w:rFonts w:ascii="Times New Roman" w:hAnsi="Times New Roman" w:cs="Times New Roman"/>
        </w:rPr>
      </w:pPr>
      <w:r w:rsidRPr="000A2E75">
        <w:rPr>
          <w:rFonts w:ascii="Times New Roman" w:hAnsi="Times New Roman" w:cs="Times New Roman"/>
        </w:rPr>
        <w:t>The aim of this study was to explore representations of multiple intelligences in the English textbook “</w:t>
      </w:r>
      <w:r w:rsidRPr="000A2E75">
        <w:rPr>
          <w:rFonts w:ascii="Times New Roman" w:eastAsia="Arial" w:hAnsi="Times New Roman" w:cs="Times New Roman"/>
          <w:i/>
        </w:rPr>
        <w:t>İlkokul İngilizce ders kitabı”</w:t>
      </w:r>
      <w:r w:rsidRPr="000A2E75">
        <w:rPr>
          <w:rFonts w:ascii="Times New Roman" w:hAnsi="Times New Roman" w:cs="Times New Roman"/>
        </w:rPr>
        <w:t xml:space="preserve"> (</w:t>
      </w:r>
      <w:r w:rsidRPr="000A2E75">
        <w:rPr>
          <w:rFonts w:ascii="Times New Roman" w:eastAsia="Arial" w:hAnsi="Times New Roman" w:cs="Times New Roman"/>
        </w:rPr>
        <w:t xml:space="preserve">Tan, 2019), </w:t>
      </w:r>
      <w:r w:rsidRPr="000A2E75">
        <w:rPr>
          <w:rFonts w:ascii="Times New Roman" w:hAnsi="Times New Roman" w:cs="Times New Roman"/>
        </w:rPr>
        <w:t>currently used for second grade students in Turkish state primary schools. In order to identify different intelligence types, a Multiple Intelligences Checklist was developed according to eight intelligences from Howard Gardner’s multiple intelligences theory (1983). Using the checklist, the type of intelligence each activity represented was determined and classified under the relevant intelligence type. Using quantitative method (</w:t>
      </w:r>
      <w:hyperlink r:id="rId393" w:history="1">
        <w:r w:rsidRPr="000A2E75">
          <w:rPr>
            <w:rStyle w:val="Kpr"/>
            <w:rFonts w:ascii="Times New Roman" w:hAnsi="Times New Roman" w:cs="Times New Roman"/>
            <w:color w:val="000000" w:themeColor="text1"/>
          </w:rPr>
          <w:t>Cohen</w:t>
        </w:r>
      </w:hyperlink>
      <w:r w:rsidRPr="000A2E75">
        <w:rPr>
          <w:rFonts w:ascii="Times New Roman" w:hAnsi="Times New Roman" w:cs="Times New Roman"/>
          <w:color w:val="000000" w:themeColor="text1"/>
        </w:rPr>
        <w:t xml:space="preserve">, </w:t>
      </w:r>
      <w:hyperlink r:id="rId394" w:history="1">
        <w:r w:rsidRPr="000A2E75">
          <w:rPr>
            <w:rStyle w:val="Kpr"/>
            <w:rFonts w:ascii="Times New Roman" w:hAnsi="Times New Roman" w:cs="Times New Roman"/>
            <w:color w:val="000000" w:themeColor="text1"/>
          </w:rPr>
          <w:t>Manion</w:t>
        </w:r>
      </w:hyperlink>
      <w:r w:rsidRPr="000A2E75">
        <w:rPr>
          <w:rFonts w:ascii="Times New Roman" w:hAnsi="Times New Roman" w:cs="Times New Roman"/>
          <w:color w:val="000000" w:themeColor="text1"/>
        </w:rPr>
        <w:t xml:space="preserve">, &amp; </w:t>
      </w:r>
      <w:hyperlink r:id="rId395" w:history="1">
        <w:r w:rsidRPr="000A2E75">
          <w:rPr>
            <w:rStyle w:val="Kpr"/>
            <w:rFonts w:ascii="Times New Roman" w:hAnsi="Times New Roman" w:cs="Times New Roman"/>
            <w:color w:val="000000" w:themeColor="text1"/>
          </w:rPr>
          <w:t>Morrison</w:t>
        </w:r>
      </w:hyperlink>
      <w:r w:rsidRPr="000A2E75">
        <w:rPr>
          <w:rFonts w:ascii="Times New Roman" w:hAnsi="Times New Roman" w:cs="Times New Roman"/>
          <w:u w:val="single"/>
        </w:rPr>
        <w:t>),</w:t>
      </w:r>
      <w:r w:rsidRPr="000A2E75">
        <w:rPr>
          <w:rFonts w:ascii="Times New Roman" w:hAnsi="Times New Roman" w:cs="Times New Roman"/>
        </w:rPr>
        <w:t xml:space="preserve"> the researcher classified each intelligence type for the complete book, which consisted of ten units. To check for the reliability of the coding, two English teachers, who were also conducting postgraduate research, checked independently the researcher’s coding of intelligences. A high degree of agreement was found between the coders in terms of categorizing and evaluating intelligences in the textbook. </w:t>
      </w:r>
    </w:p>
    <w:p w14:paraId="40C80FBD" w14:textId="77777777" w:rsidR="00E839E1" w:rsidRPr="000A2E75" w:rsidRDefault="00E839E1" w:rsidP="00E839E1">
      <w:pPr>
        <w:shd w:val="clear" w:color="auto" w:fill="FFFFFF"/>
        <w:spacing w:after="225"/>
        <w:jc w:val="both"/>
        <w:rPr>
          <w:rFonts w:ascii="Times New Roman" w:hAnsi="Times New Roman" w:cs="Times New Roman"/>
        </w:rPr>
      </w:pPr>
      <w:r w:rsidRPr="000A2E75">
        <w:rPr>
          <w:rFonts w:ascii="Times New Roman" w:hAnsi="Times New Roman" w:cs="Times New Roman"/>
        </w:rPr>
        <w:t xml:space="preserve">The most frequently occurring intelligence type was </w:t>
      </w:r>
      <w:r w:rsidRPr="000A2E75">
        <w:rPr>
          <w:rFonts w:ascii="Times New Roman" w:hAnsi="Times New Roman" w:cs="Times New Roman"/>
          <w:bCs/>
          <w:color w:val="000000"/>
        </w:rPr>
        <w:t>verbal-linguistic intelligence (f:</w:t>
      </w:r>
      <w:r w:rsidRPr="000A2E75">
        <w:rPr>
          <w:rFonts w:ascii="Times New Roman" w:hAnsi="Times New Roman" w:cs="Times New Roman"/>
          <w:color w:val="000000"/>
        </w:rPr>
        <w:t xml:space="preserve">160, 41.3 </w:t>
      </w:r>
      <w:r w:rsidRPr="000A2E75">
        <w:rPr>
          <w:rFonts w:ascii="Times New Roman" w:hAnsi="Times New Roman" w:cs="Times New Roman"/>
          <w:bCs/>
          <w:color w:val="000000"/>
        </w:rPr>
        <w:t xml:space="preserve">%), which was </w:t>
      </w:r>
      <w:r w:rsidRPr="000A2E75">
        <w:rPr>
          <w:rFonts w:ascii="Times New Roman" w:hAnsi="Times New Roman" w:cs="Times New Roman"/>
          <w:color w:val="000000"/>
        </w:rPr>
        <w:t xml:space="preserve">represented through such activities as “Listen and repeat, introduce yourself, write and make sentences”. </w:t>
      </w:r>
      <w:r w:rsidRPr="000A2E75">
        <w:rPr>
          <w:rFonts w:ascii="Times New Roman" w:hAnsi="Times New Roman" w:cs="Times New Roman"/>
          <w:bCs/>
          <w:color w:val="000000"/>
        </w:rPr>
        <w:t>This was followed by visual-spatial intelligence (f:</w:t>
      </w:r>
      <w:r w:rsidRPr="000A2E75">
        <w:rPr>
          <w:rFonts w:ascii="Times New Roman" w:hAnsi="Times New Roman" w:cs="Times New Roman"/>
          <w:color w:val="000000"/>
        </w:rPr>
        <w:t>100, 2</w:t>
      </w:r>
      <w:r w:rsidRPr="000A2E75">
        <w:rPr>
          <w:rFonts w:ascii="Times New Roman" w:hAnsi="Times New Roman" w:cs="Times New Roman"/>
          <w:bCs/>
          <w:color w:val="000000"/>
        </w:rPr>
        <w:t>5.7%), e</w:t>
      </w:r>
      <w:r w:rsidRPr="000A2E75">
        <w:rPr>
          <w:rFonts w:ascii="Times New Roman" w:hAnsi="Times New Roman" w:cs="Times New Roman"/>
          <w:color w:val="000000"/>
        </w:rPr>
        <w:t xml:space="preserve">xamples of which were “tick, draw lines, draw and colour picture, circle, cut and stick, and make a poster”. </w:t>
      </w:r>
      <w:r w:rsidRPr="000A2E75">
        <w:rPr>
          <w:rFonts w:ascii="Times New Roman" w:hAnsi="Times New Roman" w:cs="Times New Roman"/>
          <w:bCs/>
          <w:color w:val="000000"/>
        </w:rPr>
        <w:t>Logical-mathematical intelligence was the next most occurring intelligence type (f:</w:t>
      </w:r>
      <w:r w:rsidRPr="000A2E75">
        <w:rPr>
          <w:rFonts w:ascii="Times New Roman" w:hAnsi="Times New Roman" w:cs="Times New Roman"/>
          <w:color w:val="000000"/>
        </w:rPr>
        <w:t xml:space="preserve">57, </w:t>
      </w:r>
      <w:r w:rsidRPr="000A2E75">
        <w:rPr>
          <w:rFonts w:ascii="Times New Roman" w:hAnsi="Times New Roman" w:cs="Times New Roman"/>
          <w:bCs/>
          <w:color w:val="000000"/>
        </w:rPr>
        <w:t>14.65%), which was represented through activities such activities as “Co</w:t>
      </w:r>
      <w:r w:rsidRPr="000A2E75">
        <w:rPr>
          <w:rFonts w:ascii="Times New Roman" w:hAnsi="Times New Roman" w:cs="Times New Roman"/>
          <w:color w:val="000000"/>
        </w:rPr>
        <w:t xml:space="preserve">unt, prepare a puzzle, find numbers, circle odd one out”. </w:t>
      </w:r>
      <w:r w:rsidRPr="000A2E75">
        <w:rPr>
          <w:rFonts w:ascii="Times New Roman" w:hAnsi="Times New Roman" w:cs="Times New Roman"/>
          <w:bCs/>
          <w:color w:val="000000"/>
        </w:rPr>
        <w:t xml:space="preserve">Musical intelligence with </w:t>
      </w:r>
      <w:r w:rsidRPr="000A2E75">
        <w:rPr>
          <w:rFonts w:ascii="Times New Roman" w:hAnsi="Times New Roman" w:cs="Times New Roman"/>
          <w:color w:val="000000"/>
        </w:rPr>
        <w:t xml:space="preserve">17 examples </w:t>
      </w:r>
      <w:r w:rsidRPr="000A2E75">
        <w:rPr>
          <w:rFonts w:ascii="Times New Roman" w:hAnsi="Times New Roman" w:cs="Times New Roman"/>
          <w:bCs/>
          <w:color w:val="000000"/>
        </w:rPr>
        <w:t>(4.37%) was identified as the next intelligence type represented with “</w:t>
      </w:r>
      <w:r w:rsidRPr="000A2E75">
        <w:rPr>
          <w:rFonts w:ascii="Times New Roman" w:hAnsi="Times New Roman" w:cs="Times New Roman"/>
          <w:color w:val="000000"/>
        </w:rPr>
        <w:t xml:space="preserve">Sing the song and sing the chant” activities. </w:t>
      </w:r>
      <w:r w:rsidRPr="000A2E75">
        <w:rPr>
          <w:rFonts w:ascii="Times New Roman" w:hAnsi="Times New Roman" w:cs="Times New Roman"/>
          <w:bCs/>
          <w:color w:val="000000"/>
        </w:rPr>
        <w:t xml:space="preserve">Bodily-kinesthetic intelligence with </w:t>
      </w:r>
      <w:r w:rsidRPr="000A2E75">
        <w:rPr>
          <w:rFonts w:ascii="Times New Roman" w:hAnsi="Times New Roman" w:cs="Times New Roman"/>
          <w:color w:val="000000"/>
        </w:rPr>
        <w:t xml:space="preserve">20 examples occupied </w:t>
      </w:r>
      <w:r w:rsidRPr="000A2E75">
        <w:rPr>
          <w:rFonts w:ascii="Times New Roman" w:hAnsi="Times New Roman" w:cs="Times New Roman"/>
          <w:bCs/>
          <w:color w:val="000000"/>
        </w:rPr>
        <w:t>5,14% of the total number of intelligence types, and was represented by “</w:t>
      </w:r>
      <w:r w:rsidRPr="000A2E75">
        <w:rPr>
          <w:rFonts w:ascii="Times New Roman" w:hAnsi="Times New Roman" w:cs="Times New Roman"/>
          <w:color w:val="000000"/>
        </w:rPr>
        <w:t>Play the game, act it out and listen and follow” activities.</w:t>
      </w:r>
      <w:r w:rsidRPr="000A2E75">
        <w:rPr>
          <w:rFonts w:ascii="Times New Roman" w:hAnsi="Times New Roman" w:cs="Times New Roman"/>
          <w:bCs/>
          <w:color w:val="000000"/>
        </w:rPr>
        <w:t xml:space="preserve"> Following this was interpersonal intelligence (f:</w:t>
      </w:r>
      <w:r w:rsidRPr="000A2E75">
        <w:rPr>
          <w:rFonts w:ascii="Times New Roman" w:hAnsi="Times New Roman" w:cs="Times New Roman"/>
          <w:color w:val="000000"/>
        </w:rPr>
        <w:t xml:space="preserve">15, </w:t>
      </w:r>
      <w:r w:rsidRPr="000A2E75">
        <w:rPr>
          <w:rFonts w:ascii="Times New Roman" w:hAnsi="Times New Roman" w:cs="Times New Roman"/>
          <w:bCs/>
          <w:color w:val="000000"/>
        </w:rPr>
        <w:t>3.86%), one example of which was “A</w:t>
      </w:r>
      <w:r w:rsidRPr="000A2E75">
        <w:rPr>
          <w:rFonts w:ascii="Times New Roman" w:hAnsi="Times New Roman" w:cs="Times New Roman"/>
          <w:color w:val="000000"/>
        </w:rPr>
        <w:t xml:space="preserve">ct out the dialogue”. </w:t>
      </w:r>
      <w:r w:rsidRPr="000A2E75">
        <w:rPr>
          <w:rFonts w:ascii="Times New Roman" w:hAnsi="Times New Roman" w:cs="Times New Roman"/>
          <w:bCs/>
          <w:color w:val="000000"/>
        </w:rPr>
        <w:t>A total of 16 (4.12%) examples of intrapersonal intelligence was found as represented by “Prepare a visual dictionary, prepare a poster”, which asked children to work on their own in carrying out the activities. Finally, very few examples (f:</w:t>
      </w:r>
      <w:r w:rsidRPr="000A2E75">
        <w:rPr>
          <w:rFonts w:ascii="Times New Roman" w:hAnsi="Times New Roman" w:cs="Times New Roman"/>
          <w:color w:val="000000"/>
        </w:rPr>
        <w:t>4.</w:t>
      </w:r>
      <w:r w:rsidRPr="000A2E75">
        <w:rPr>
          <w:rFonts w:ascii="Times New Roman" w:hAnsi="Times New Roman" w:cs="Times New Roman"/>
          <w:bCs/>
          <w:color w:val="000000"/>
        </w:rPr>
        <w:t xml:space="preserve">1, 03%) of naturalistic intelligence was identified </w:t>
      </w:r>
    </w:p>
    <w:p w14:paraId="5610A39F" w14:textId="77777777" w:rsidR="00E839E1" w:rsidRPr="000A2E75" w:rsidRDefault="00E839E1" w:rsidP="00E839E1">
      <w:pPr>
        <w:shd w:val="clear" w:color="auto" w:fill="FFFFFF"/>
        <w:spacing w:after="525"/>
        <w:jc w:val="both"/>
        <w:rPr>
          <w:rFonts w:ascii="Times New Roman" w:hAnsi="Times New Roman" w:cs="Times New Roman"/>
          <w:color w:val="000000"/>
        </w:rPr>
      </w:pPr>
      <w:r w:rsidRPr="000A2E75">
        <w:rPr>
          <w:rFonts w:ascii="Times New Roman" w:hAnsi="Times New Roman" w:cs="Times New Roman"/>
        </w:rPr>
        <w:t xml:space="preserve">Findings from the present study suggest that the second grade English book examined has been designed to meet young children’s needs and interests in representing eight different intelligences through </w:t>
      </w:r>
      <w:r w:rsidRPr="000A2E75">
        <w:rPr>
          <w:rFonts w:ascii="Times New Roman" w:hAnsi="Times New Roman" w:cs="Times New Roman"/>
        </w:rPr>
        <w:lastRenderedPageBreak/>
        <w:t>colourful and meaningful activities. This study reveals intelligence types in one particular English textbook, and as such it gives teachers and textbooks users useful insights into the way different intelligences are represented in the textbook through a variety of activities. It can be suggested that t</w:t>
      </w:r>
      <w:r w:rsidRPr="000A2E75">
        <w:rPr>
          <w:rFonts w:ascii="Times New Roman" w:hAnsi="Times New Roman" w:cs="Times New Roman"/>
          <w:color w:val="000000"/>
        </w:rPr>
        <w:t xml:space="preserve">eachers can apply different intelligences in their lessons to give each student an opportunity to learn English in harmony with their unique learning styles. </w:t>
      </w:r>
    </w:p>
    <w:p w14:paraId="6B56FED8" w14:textId="05FAF056" w:rsidR="00E839E1" w:rsidRPr="000A2E75" w:rsidRDefault="008934F8" w:rsidP="00E839E1">
      <w:pPr>
        <w:jc w:val="both"/>
        <w:rPr>
          <w:rFonts w:ascii="Times New Roman" w:hAnsi="Times New Roman" w:cs="Times New Roman"/>
          <w:b/>
        </w:rPr>
      </w:pPr>
      <w:r>
        <w:rPr>
          <w:rFonts w:ascii="Times New Roman" w:hAnsi="Times New Roman" w:cs="Times New Roman"/>
          <w:b/>
        </w:rPr>
        <w:t>RE</w:t>
      </w:r>
      <w:r w:rsidR="00E839E1" w:rsidRPr="000A2E75">
        <w:rPr>
          <w:rFonts w:ascii="Times New Roman" w:hAnsi="Times New Roman" w:cs="Times New Roman"/>
          <w:b/>
        </w:rPr>
        <w:t>FERENCES</w:t>
      </w:r>
    </w:p>
    <w:p w14:paraId="037B9EC1" w14:textId="77777777" w:rsidR="00E839E1" w:rsidRPr="000A2E75" w:rsidRDefault="00E839E1" w:rsidP="00E839E1">
      <w:pPr>
        <w:shd w:val="clear" w:color="auto" w:fill="FFFFFF"/>
        <w:spacing w:after="100" w:afterAutospacing="1"/>
        <w:ind w:left="851" w:hanging="851"/>
        <w:jc w:val="both"/>
        <w:outlineLvl w:val="0"/>
        <w:rPr>
          <w:rFonts w:ascii="Times New Roman" w:hAnsi="Times New Roman" w:cs="Times New Roman"/>
          <w:bCs/>
          <w:color w:val="000000" w:themeColor="text1"/>
          <w:kern w:val="36"/>
        </w:rPr>
      </w:pPr>
      <w:hyperlink r:id="rId396" w:history="1">
        <w:bookmarkStart w:id="310" w:name="_Toc72754196"/>
        <w:bookmarkStart w:id="311" w:name="_Toc72754704"/>
        <w:bookmarkStart w:id="312" w:name="_Toc72755976"/>
        <w:bookmarkStart w:id="313" w:name="_Toc72961788"/>
        <w:r w:rsidRPr="000A2E75">
          <w:rPr>
            <w:rStyle w:val="Kpr"/>
            <w:rFonts w:ascii="Times New Roman" w:hAnsi="Times New Roman" w:cs="Times New Roman"/>
            <w:color w:val="000000" w:themeColor="text1"/>
          </w:rPr>
          <w:t>Cohen</w:t>
        </w:r>
      </w:hyperlink>
      <w:r w:rsidRPr="000A2E75">
        <w:rPr>
          <w:rFonts w:ascii="Times New Roman" w:hAnsi="Times New Roman" w:cs="Times New Roman"/>
          <w:color w:val="000000" w:themeColor="text1"/>
        </w:rPr>
        <w:t xml:space="preserve">, L., </w:t>
      </w:r>
      <w:hyperlink r:id="rId397" w:history="1">
        <w:r w:rsidRPr="000A2E75">
          <w:rPr>
            <w:rStyle w:val="Kpr"/>
            <w:rFonts w:ascii="Times New Roman" w:hAnsi="Times New Roman" w:cs="Times New Roman"/>
            <w:color w:val="000000" w:themeColor="text1"/>
          </w:rPr>
          <w:t>Manion</w:t>
        </w:r>
      </w:hyperlink>
      <w:r w:rsidRPr="000A2E75">
        <w:rPr>
          <w:rFonts w:ascii="Times New Roman" w:hAnsi="Times New Roman" w:cs="Times New Roman"/>
          <w:color w:val="000000" w:themeColor="text1"/>
        </w:rPr>
        <w:t xml:space="preserve">, L., &amp; </w:t>
      </w:r>
      <w:hyperlink r:id="rId398" w:history="1">
        <w:r w:rsidRPr="000A2E75">
          <w:rPr>
            <w:rStyle w:val="Kpr"/>
            <w:rFonts w:ascii="Times New Roman" w:hAnsi="Times New Roman" w:cs="Times New Roman"/>
            <w:color w:val="000000" w:themeColor="text1"/>
          </w:rPr>
          <w:t>Morrison</w:t>
        </w:r>
      </w:hyperlink>
      <w:r w:rsidRPr="000A2E75">
        <w:rPr>
          <w:rFonts w:ascii="Times New Roman" w:hAnsi="Times New Roman" w:cs="Times New Roman"/>
          <w:color w:val="000000" w:themeColor="text1"/>
        </w:rPr>
        <w:t xml:space="preserve">, K. (2007). </w:t>
      </w:r>
      <w:r w:rsidRPr="000A2E75">
        <w:rPr>
          <w:rFonts w:ascii="Times New Roman" w:hAnsi="Times New Roman" w:cs="Times New Roman"/>
          <w:i/>
          <w:color w:val="000000" w:themeColor="text1"/>
        </w:rPr>
        <w:t>R</w:t>
      </w:r>
      <w:r w:rsidRPr="000A2E75">
        <w:rPr>
          <w:rFonts w:ascii="Times New Roman" w:hAnsi="Times New Roman" w:cs="Times New Roman"/>
          <w:bCs/>
          <w:i/>
          <w:color w:val="000000" w:themeColor="text1"/>
          <w:kern w:val="36"/>
        </w:rPr>
        <w:t>esearch methods in edu</w:t>
      </w:r>
      <w:r w:rsidRPr="000A2E75">
        <w:rPr>
          <w:rFonts w:ascii="Times New Roman" w:hAnsi="Times New Roman" w:cs="Times New Roman"/>
          <w:bCs/>
          <w:color w:val="000000" w:themeColor="text1"/>
          <w:kern w:val="36"/>
        </w:rPr>
        <w:t>cation (7th Ed.). London: Routledge.</w:t>
      </w:r>
      <w:bookmarkEnd w:id="310"/>
      <w:bookmarkEnd w:id="311"/>
      <w:bookmarkEnd w:id="312"/>
      <w:bookmarkEnd w:id="313"/>
    </w:p>
    <w:p w14:paraId="38861660" w14:textId="77777777" w:rsidR="00E839E1" w:rsidRPr="000A2E75" w:rsidRDefault="00E839E1" w:rsidP="00E839E1">
      <w:pPr>
        <w:ind w:left="851" w:hanging="851"/>
        <w:jc w:val="both"/>
        <w:rPr>
          <w:rFonts w:ascii="Times New Roman" w:hAnsi="Times New Roman" w:cs="Times New Roman"/>
        </w:rPr>
      </w:pPr>
      <w:r w:rsidRPr="000A2E75">
        <w:rPr>
          <w:rFonts w:ascii="Times New Roman" w:hAnsi="Times New Roman" w:cs="Times New Roman"/>
        </w:rPr>
        <w:t xml:space="preserve">Gardner, H. (1983). </w:t>
      </w:r>
      <w:r w:rsidRPr="000A2E75">
        <w:rPr>
          <w:rFonts w:ascii="Times New Roman" w:hAnsi="Times New Roman" w:cs="Times New Roman"/>
          <w:i/>
          <w:iCs/>
        </w:rPr>
        <w:t>Frames of mind: The theory of multiple intelligences</w:t>
      </w:r>
      <w:r w:rsidRPr="000A2E75">
        <w:rPr>
          <w:rFonts w:ascii="Times New Roman" w:hAnsi="Times New Roman" w:cs="Times New Roman"/>
        </w:rPr>
        <w:t xml:space="preserve">. New York, NY: Basic Books. </w:t>
      </w:r>
    </w:p>
    <w:p w14:paraId="0B152690" w14:textId="77777777" w:rsidR="00E839E1" w:rsidRPr="000A2E75" w:rsidRDefault="00E839E1" w:rsidP="00E839E1">
      <w:pPr>
        <w:shd w:val="clear" w:color="auto" w:fill="FFFFFF"/>
        <w:jc w:val="both"/>
        <w:outlineLvl w:val="0"/>
        <w:rPr>
          <w:rFonts w:ascii="Times New Roman" w:hAnsi="Times New Roman" w:cs="Times New Roman"/>
          <w:color w:val="000000"/>
        </w:rPr>
      </w:pPr>
    </w:p>
    <w:p w14:paraId="457512F1" w14:textId="77777777" w:rsidR="00E839E1" w:rsidRPr="000A2E75" w:rsidRDefault="00E839E1" w:rsidP="00E839E1">
      <w:pPr>
        <w:shd w:val="clear" w:color="auto" w:fill="FFFFFF"/>
        <w:jc w:val="both"/>
        <w:outlineLvl w:val="0"/>
        <w:rPr>
          <w:rFonts w:ascii="Times New Roman" w:hAnsi="Times New Roman" w:cs="Times New Roman"/>
          <w:bCs/>
          <w:i/>
          <w:color w:val="333333"/>
          <w:kern w:val="36"/>
        </w:rPr>
      </w:pPr>
      <w:bookmarkStart w:id="314" w:name="_Toc72754197"/>
      <w:bookmarkStart w:id="315" w:name="_Toc72754705"/>
      <w:bookmarkStart w:id="316" w:name="_Toc72755977"/>
      <w:bookmarkStart w:id="317" w:name="_Toc72961789"/>
      <w:r w:rsidRPr="000A2E75">
        <w:rPr>
          <w:rFonts w:ascii="Times New Roman" w:hAnsi="Times New Roman" w:cs="Times New Roman"/>
          <w:color w:val="000000"/>
        </w:rPr>
        <w:t>Gardner, H. (2011).</w:t>
      </w:r>
      <w:r w:rsidRPr="000A2E75">
        <w:rPr>
          <w:rFonts w:ascii="Times New Roman" w:hAnsi="Times New Roman" w:cs="Times New Roman"/>
          <w:bCs/>
          <w:color w:val="333333"/>
          <w:kern w:val="36"/>
        </w:rPr>
        <w:t xml:space="preserve"> </w:t>
      </w:r>
      <w:r w:rsidRPr="000A2E75">
        <w:rPr>
          <w:rFonts w:ascii="Times New Roman" w:hAnsi="Times New Roman" w:cs="Times New Roman"/>
          <w:bCs/>
          <w:i/>
          <w:color w:val="333333"/>
          <w:kern w:val="36"/>
        </w:rPr>
        <w:t>Frames of mind: The theory of multiple intelligences.</w:t>
      </w:r>
      <w:r w:rsidRPr="000A2E75">
        <w:rPr>
          <w:rFonts w:ascii="Times New Roman" w:hAnsi="Times New Roman" w:cs="Times New Roman"/>
          <w:bCs/>
          <w:color w:val="333333"/>
          <w:kern w:val="36"/>
        </w:rPr>
        <w:t xml:space="preserve"> (10th Ed.). New York: Basic Books.</w:t>
      </w:r>
      <w:bookmarkEnd w:id="314"/>
      <w:bookmarkEnd w:id="315"/>
      <w:bookmarkEnd w:id="316"/>
      <w:bookmarkEnd w:id="317"/>
    </w:p>
    <w:p w14:paraId="37647CF8" w14:textId="77777777" w:rsidR="00E839E1" w:rsidRPr="000A2E75" w:rsidRDefault="00E839E1" w:rsidP="00E839E1">
      <w:pPr>
        <w:keepNext/>
        <w:pBdr>
          <w:top w:val="nil"/>
          <w:left w:val="nil"/>
          <w:bottom w:val="nil"/>
          <w:right w:val="nil"/>
          <w:between w:val="nil"/>
        </w:pBdr>
        <w:spacing w:before="240" w:after="60"/>
        <w:ind w:left="567" w:hanging="567"/>
        <w:jc w:val="both"/>
        <w:rPr>
          <w:rFonts w:ascii="Times New Roman" w:hAnsi="Times New Roman" w:cs="Times New Roman"/>
          <w:color w:val="000000"/>
          <w:highlight w:val="white"/>
        </w:rPr>
      </w:pPr>
      <w:r w:rsidRPr="000A2E75">
        <w:rPr>
          <w:rFonts w:ascii="Times New Roman" w:hAnsi="Times New Roman" w:cs="Times New Roman"/>
          <w:color w:val="000000"/>
        </w:rPr>
        <w:t xml:space="preserve">Kırkgöz, Y. (2020, April). </w:t>
      </w:r>
      <w:r w:rsidRPr="000A2E75">
        <w:rPr>
          <w:rFonts w:ascii="Times New Roman" w:hAnsi="Times New Roman" w:cs="Times New Roman"/>
          <w:color w:val="000000"/>
          <w:highlight w:val="white"/>
        </w:rPr>
        <w:t>Broadening our horizons through the Multiple Intelligences Theory</w:t>
      </w:r>
      <w:r w:rsidRPr="000A2E75">
        <w:rPr>
          <w:rFonts w:ascii="Times New Roman" w:hAnsi="Times New Roman" w:cs="Times New Roman"/>
          <w:i/>
          <w:color w:val="000000"/>
          <w:highlight w:val="white"/>
        </w:rPr>
        <w:t>.</w:t>
      </w:r>
      <w:r w:rsidRPr="000A2E75">
        <w:rPr>
          <w:rFonts w:ascii="Times New Roman" w:hAnsi="Times New Roman" w:cs="Times New Roman"/>
          <w:color w:val="111111"/>
          <w:shd w:val="clear" w:color="auto" w:fill="FFFFFF"/>
        </w:rPr>
        <w:t xml:space="preserve"> </w:t>
      </w:r>
      <w:r w:rsidRPr="000A2E75">
        <w:rPr>
          <w:rFonts w:ascii="Times New Roman" w:hAnsi="Times New Roman" w:cs="Times New Roman"/>
          <w:i/>
          <w:color w:val="111111"/>
          <w:shd w:val="clear" w:color="auto" w:fill="FFFFFF"/>
        </w:rPr>
        <w:t xml:space="preserve">ELT-KIT: Monthly English Learning and Teaching Magazine, </w:t>
      </w:r>
      <w:r w:rsidRPr="000A2E75">
        <w:rPr>
          <w:rFonts w:ascii="Times New Roman" w:hAnsi="Times New Roman" w:cs="Times New Roman"/>
          <w:color w:val="111111"/>
          <w:shd w:val="clear" w:color="auto" w:fill="FFFFFF"/>
        </w:rPr>
        <w:t>3(3).</w:t>
      </w:r>
    </w:p>
    <w:p w14:paraId="251B12A2" w14:textId="77777777" w:rsidR="00E839E1" w:rsidRPr="000A2E75" w:rsidRDefault="00E839E1" w:rsidP="00E839E1">
      <w:pPr>
        <w:ind w:left="567" w:hanging="567"/>
        <w:jc w:val="both"/>
        <w:rPr>
          <w:rFonts w:ascii="Times New Roman" w:hAnsi="Times New Roman" w:cs="Times New Roman"/>
          <w:color w:val="000000"/>
        </w:rPr>
      </w:pPr>
      <w:r w:rsidRPr="000A2E75">
        <w:rPr>
          <w:rFonts w:ascii="Times New Roman" w:hAnsi="Times New Roman" w:cs="Times New Roman"/>
          <w:color w:val="000000"/>
        </w:rPr>
        <w:t xml:space="preserve">MEB (Milli Eğitim Bakanlığı) (Turkish Ministry of National Education) (2013). </w:t>
      </w:r>
      <w:r w:rsidRPr="000A2E75">
        <w:rPr>
          <w:rFonts w:ascii="Times New Roman" w:hAnsi="Times New Roman" w:cs="Times New Roman"/>
          <w:i/>
          <w:color w:val="000000"/>
        </w:rPr>
        <w:t>İngilizce Dersi Öğretim Programı (İlkokul ve Ortaokul 2, 3, 4, 5, 6, 7 ve 8. Sınıflar).</w:t>
      </w:r>
      <w:r w:rsidRPr="000A2E75">
        <w:rPr>
          <w:rFonts w:ascii="Times New Roman" w:hAnsi="Times New Roman" w:cs="Times New Roman"/>
          <w:color w:val="000000"/>
        </w:rPr>
        <w:t xml:space="preserve"> Ankara: Talim ve Terbiye Kurulu Başkanlığı </w:t>
      </w:r>
    </w:p>
    <w:p w14:paraId="1AA690D8" w14:textId="77777777" w:rsidR="00E839E1" w:rsidRPr="000A2E75" w:rsidRDefault="00E839E1" w:rsidP="00E839E1">
      <w:pPr>
        <w:spacing w:before="120" w:after="120"/>
        <w:jc w:val="both"/>
        <w:rPr>
          <w:rFonts w:ascii="Times New Roman" w:eastAsia="Arial" w:hAnsi="Times New Roman" w:cs="Times New Roman"/>
        </w:rPr>
      </w:pPr>
      <w:r w:rsidRPr="000A2E75">
        <w:rPr>
          <w:rFonts w:ascii="Times New Roman" w:eastAsia="Arial" w:hAnsi="Times New Roman" w:cs="Times New Roman"/>
        </w:rPr>
        <w:t xml:space="preserve">Tan, F. (2019). </w:t>
      </w:r>
      <w:r w:rsidRPr="000A2E75">
        <w:rPr>
          <w:rFonts w:ascii="Times New Roman" w:eastAsia="Arial" w:hAnsi="Times New Roman" w:cs="Times New Roman"/>
          <w:i/>
        </w:rPr>
        <w:t>İlkokul İngilizce ders kitabı 2. Sınıf</w:t>
      </w:r>
      <w:r w:rsidRPr="000A2E75">
        <w:rPr>
          <w:rFonts w:ascii="Times New Roman" w:eastAsia="Arial" w:hAnsi="Times New Roman" w:cs="Times New Roman"/>
        </w:rPr>
        <w:t>. Ankara: Bilim ve Kültür Yayınları.</w:t>
      </w:r>
    </w:p>
    <w:p w14:paraId="030F6698" w14:textId="77777777" w:rsidR="00E839E1" w:rsidRPr="000A2E75" w:rsidRDefault="00E839E1" w:rsidP="00E839E1">
      <w:pPr>
        <w:tabs>
          <w:tab w:val="left" w:pos="5866"/>
        </w:tabs>
        <w:spacing w:before="120" w:after="120"/>
        <w:jc w:val="both"/>
        <w:rPr>
          <w:rFonts w:ascii="Times New Roman" w:hAnsi="Times New Roman" w:cs="Times New Roman"/>
        </w:rPr>
      </w:pPr>
      <w:r w:rsidRPr="000A2E75">
        <w:rPr>
          <w:rFonts w:ascii="Times New Roman" w:hAnsi="Times New Roman" w:cs="Times New Roman"/>
        </w:rPr>
        <w:tab/>
      </w:r>
    </w:p>
    <w:p w14:paraId="00DF8A92" w14:textId="77777777" w:rsidR="00E839E1" w:rsidRPr="000A2E75" w:rsidRDefault="00E839E1" w:rsidP="00E839E1">
      <w:pPr>
        <w:autoSpaceDE w:val="0"/>
        <w:autoSpaceDN w:val="0"/>
        <w:adjustRightInd w:val="0"/>
        <w:rPr>
          <w:rFonts w:ascii="Times New Roman" w:hAnsi="Times New Roman" w:cs="Times New Roman"/>
        </w:rPr>
      </w:pPr>
      <w:r w:rsidRPr="000A2E75">
        <w:rPr>
          <w:rFonts w:ascii="Times New Roman" w:hAnsi="Times New Roman" w:cs="Times New Roman"/>
        </w:rPr>
        <w:br w:type="page"/>
      </w:r>
    </w:p>
    <w:p w14:paraId="1AD3C31C" w14:textId="77777777" w:rsidR="00E839E1" w:rsidRPr="000A2E75" w:rsidRDefault="00E839E1" w:rsidP="00E839E1">
      <w:pPr>
        <w:pStyle w:val="Balk1"/>
        <w:rPr>
          <w:rFonts w:ascii="Times New Roman" w:hAnsi="Times New Roman" w:cs="Times New Roman"/>
          <w:b/>
          <w:color w:val="000000" w:themeColor="text1"/>
          <w:sz w:val="24"/>
          <w:szCs w:val="24"/>
        </w:rPr>
      </w:pPr>
      <w:bookmarkStart w:id="318" w:name="_Toc70612124"/>
      <w:bookmarkStart w:id="319" w:name="_Toc72754706"/>
      <w:bookmarkStart w:id="320" w:name="_Toc72755978"/>
      <w:bookmarkStart w:id="321" w:name="_Toc72961790"/>
      <w:r w:rsidRPr="000A2E75">
        <w:rPr>
          <w:rFonts w:ascii="Times New Roman" w:hAnsi="Times New Roman" w:cs="Times New Roman"/>
          <w:b/>
          <w:color w:val="000000" w:themeColor="text1"/>
          <w:sz w:val="24"/>
          <w:szCs w:val="24"/>
        </w:rPr>
        <w:lastRenderedPageBreak/>
        <w:t>ZORUNLU UZAKTAN EĞİTİM SÜRECİNDE ÖĞRENCİLERİN ALDIKLARI DESTEK HİZMETLERİ</w:t>
      </w:r>
      <w:bookmarkEnd w:id="318"/>
      <w:bookmarkEnd w:id="319"/>
      <w:bookmarkEnd w:id="320"/>
      <w:bookmarkEnd w:id="321"/>
    </w:p>
    <w:p w14:paraId="48F0B8E5" w14:textId="77777777" w:rsidR="00E839E1" w:rsidRPr="000A2E75" w:rsidRDefault="00E839E1" w:rsidP="00E839E1">
      <w:pPr>
        <w:jc w:val="both"/>
        <w:rPr>
          <w:rFonts w:ascii="Times New Roman" w:hAnsi="Times New Roman" w:cs="Times New Roman"/>
          <w:color w:val="000000" w:themeColor="text1"/>
        </w:rPr>
      </w:pPr>
      <w:bookmarkStart w:id="322" w:name="_Toc69817101"/>
    </w:p>
    <w:p w14:paraId="55F20AEF" w14:textId="77777777" w:rsidR="00E839E1" w:rsidRPr="000A2E75" w:rsidRDefault="00E839E1" w:rsidP="00E839E1">
      <w:pPr>
        <w:jc w:val="both"/>
        <w:rPr>
          <w:rFonts w:ascii="Times New Roman" w:hAnsi="Times New Roman" w:cs="Times New Roman"/>
          <w:i/>
          <w:color w:val="000000" w:themeColor="text1"/>
        </w:rPr>
      </w:pPr>
      <w:bookmarkStart w:id="323" w:name="_Toc70612125"/>
      <w:bookmarkStart w:id="324" w:name="_Toc72754707"/>
      <w:bookmarkStart w:id="325" w:name="_Toc72755979"/>
      <w:bookmarkStart w:id="326" w:name="_Toc72961791"/>
      <w:r w:rsidRPr="000A2E75">
        <w:rPr>
          <w:rStyle w:val="Balk2Char"/>
          <w:rFonts w:ascii="Times New Roman" w:eastAsiaTheme="minorHAnsi" w:hAnsi="Times New Roman" w:cs="Times New Roman"/>
          <w:b w:val="0"/>
          <w:i w:val="0"/>
          <w:sz w:val="20"/>
          <w:szCs w:val="20"/>
        </w:rPr>
        <w:t>Dr. Öğr. Üyesi Berna YÜNER</w:t>
      </w:r>
      <w:bookmarkEnd w:id="323"/>
      <w:bookmarkEnd w:id="324"/>
      <w:bookmarkEnd w:id="325"/>
      <w:bookmarkEnd w:id="326"/>
      <w:r w:rsidRPr="000A2E75">
        <w:rPr>
          <w:rFonts w:ascii="Times New Roman" w:hAnsi="Times New Roman" w:cs="Times New Roman"/>
          <w:color w:val="000000" w:themeColor="text1"/>
        </w:rPr>
        <w:t>,</w:t>
      </w:r>
      <w:r w:rsidRPr="000A2E75">
        <w:rPr>
          <w:rFonts w:ascii="Times New Roman" w:hAnsi="Times New Roman" w:cs="Times New Roman"/>
          <w:i/>
          <w:color w:val="000000" w:themeColor="text1"/>
        </w:rPr>
        <w:t>Yozgat Bozok Üniversitesi, Eğitim Fakültesi, Yozgat, Türkiye</w:t>
      </w:r>
      <w:bookmarkEnd w:id="322"/>
    </w:p>
    <w:p w14:paraId="419A5DF9" w14:textId="77777777" w:rsidR="00E839E1" w:rsidRPr="000A2E75" w:rsidRDefault="00E839E1" w:rsidP="00E839E1">
      <w:pPr>
        <w:jc w:val="both"/>
        <w:rPr>
          <w:rFonts w:ascii="Times New Roman" w:hAnsi="Times New Roman" w:cs="Times New Roman"/>
          <w:color w:val="000000" w:themeColor="text1"/>
        </w:rPr>
      </w:pPr>
      <w:r w:rsidRPr="000A2E75">
        <w:rPr>
          <w:rFonts w:ascii="Times New Roman" w:hAnsi="Times New Roman" w:cs="Times New Roman"/>
          <w:i/>
          <w:color w:val="000000" w:themeColor="text1"/>
        </w:rPr>
        <w:t>e-mail:</w:t>
      </w:r>
      <w:r w:rsidRPr="000A2E75">
        <w:rPr>
          <w:rFonts w:ascii="Times New Roman" w:hAnsi="Times New Roman" w:cs="Times New Roman"/>
          <w:color w:val="000000" w:themeColor="text1"/>
          <w:u w:val="single"/>
        </w:rPr>
        <w:t>bernayuner@gmail.com</w:t>
      </w:r>
      <w:r w:rsidRPr="000A2E75">
        <w:rPr>
          <w:rFonts w:ascii="Times New Roman" w:hAnsi="Times New Roman" w:cs="Times New Roman"/>
          <w:i/>
          <w:color w:val="000000" w:themeColor="text1"/>
        </w:rPr>
        <w:t xml:space="preserve"> ORCID ID:</w:t>
      </w:r>
      <w:r w:rsidRPr="000A2E75">
        <w:rPr>
          <w:rFonts w:ascii="Times New Roman" w:hAnsi="Times New Roman" w:cs="Times New Roman"/>
          <w:color w:val="000000" w:themeColor="text1"/>
        </w:rPr>
        <w:t xml:space="preserve"> </w:t>
      </w:r>
      <w:hyperlink r:id="rId399" w:history="1">
        <w:r w:rsidRPr="000A2E75">
          <w:rPr>
            <w:rStyle w:val="Kpr"/>
            <w:rFonts w:ascii="Times New Roman" w:hAnsi="Times New Roman" w:cs="Times New Roman"/>
          </w:rPr>
          <w:t>0000-0001-7162-8397</w:t>
        </w:r>
      </w:hyperlink>
    </w:p>
    <w:p w14:paraId="5A13E98E" w14:textId="77777777" w:rsidR="00E839E1" w:rsidRPr="000A2E75" w:rsidRDefault="00E839E1" w:rsidP="00E839E1">
      <w:pPr>
        <w:jc w:val="both"/>
        <w:rPr>
          <w:rFonts w:ascii="Times New Roman" w:hAnsi="Times New Roman" w:cs="Times New Roman"/>
          <w:color w:val="000000" w:themeColor="text1"/>
        </w:rPr>
      </w:pPr>
    </w:p>
    <w:p w14:paraId="48F3CD18" w14:textId="77777777" w:rsidR="00E839E1" w:rsidRPr="000A2E75" w:rsidRDefault="00E839E1" w:rsidP="00E839E1">
      <w:pPr>
        <w:spacing w:after="360"/>
        <w:jc w:val="center"/>
        <w:rPr>
          <w:rFonts w:ascii="Times New Roman" w:hAnsi="Times New Roman" w:cs="Times New Roman"/>
        </w:rPr>
      </w:pPr>
    </w:p>
    <w:p w14:paraId="4C0FE9C2" w14:textId="77777777" w:rsidR="00E839E1" w:rsidRPr="000A2E75" w:rsidRDefault="00E839E1" w:rsidP="00E839E1">
      <w:pPr>
        <w:tabs>
          <w:tab w:val="left" w:pos="426"/>
        </w:tabs>
        <w:spacing w:before="120" w:after="120"/>
        <w:ind w:firstLine="567"/>
        <w:rPr>
          <w:rFonts w:ascii="Times New Roman" w:hAnsi="Times New Roman" w:cs="Times New Roman"/>
          <w:b/>
          <w:bCs/>
        </w:rPr>
      </w:pPr>
      <w:r w:rsidRPr="000A2E75">
        <w:rPr>
          <w:rFonts w:ascii="Times New Roman" w:hAnsi="Times New Roman" w:cs="Times New Roman"/>
          <w:b/>
          <w:bCs/>
        </w:rPr>
        <w:t>GİRİŞ</w:t>
      </w:r>
    </w:p>
    <w:p w14:paraId="1987A1BA" w14:textId="77777777" w:rsidR="00E839E1" w:rsidRPr="000A2E75" w:rsidRDefault="00E839E1" w:rsidP="00E839E1">
      <w:pPr>
        <w:spacing w:before="120" w:after="120" w:line="276" w:lineRule="auto"/>
        <w:ind w:firstLine="567"/>
        <w:rPr>
          <w:rFonts w:ascii="Times New Roman" w:hAnsi="Times New Roman" w:cs="Times New Roman"/>
        </w:rPr>
      </w:pPr>
      <w:r w:rsidRPr="000A2E75">
        <w:rPr>
          <w:rFonts w:ascii="Times New Roman" w:hAnsi="Times New Roman" w:cs="Times New Roman"/>
        </w:rPr>
        <w:t>12 Mart'ta Dünya Sağlık Örgütü (WHO) tarafından salgın olarak ilan edilen Koronavirüs Hastalığı 2019 (COVID-19), küresel bir krize neden olmuştur. Bu kriz eğitim sistemlerine de yansımış ve COVID-19 nedeniyle yüz yüze eğitimlere ara verilmek zorunda kalınmıştır.  Dünya genelinde yaklaşık 1,5 milyar öğrenciyi etkileyen bu süreçte Türkiye hem zorunlu eğitim kademelerinde hem de yükseköğretimde gerekli adımları atmıştır. COVID-19 nedeniyle yükseköğretimde eğitime öncelikle 1 hafta ara verilmiş ardından kademeli olarak üç haftalık bir süreçte uzaktan eğitime geçilmiştir. Yüksek öğretim kurumlarının 121'i (% 64) 23 Mart 2020'de; 41'i (% 21,6) 30 Mart 2020'de, 25'i (% 13,2) 6 Nisan 2020'de uzaktan eğitme geçmiştir (Yüksek Öğretim Kurumu, 2020).</w:t>
      </w:r>
    </w:p>
    <w:p w14:paraId="035425C7" w14:textId="77777777" w:rsidR="00E839E1" w:rsidRPr="000A2E75" w:rsidRDefault="00E839E1" w:rsidP="00E839E1">
      <w:pPr>
        <w:spacing w:before="120" w:after="120" w:line="276" w:lineRule="auto"/>
        <w:ind w:firstLine="567"/>
        <w:rPr>
          <w:rFonts w:ascii="Times New Roman" w:hAnsi="Times New Roman" w:cs="Times New Roman"/>
        </w:rPr>
      </w:pPr>
      <w:r w:rsidRPr="000A2E75">
        <w:rPr>
          <w:rFonts w:ascii="Times New Roman" w:hAnsi="Times New Roman" w:cs="Times New Roman"/>
        </w:rPr>
        <w:t xml:space="preserve">Uzaktan eğitim, öğrenenler için kaynakların sisteme yüklenmesi ve öğrencilere ulaştırılmasından çok daha fazlasıdır. Uzaktan eğitim, bir yandan öğrenenlere esneklik ve seçim imkanı sağlayan bir yandan da onlara özerklik ve sorumluluk yükleyen bir öğrenme sürecidir. Bu sürecin başarılı olabilmesi için hedeflerin belirlenmesinden öğretim etkinliklerinin planlanmasına ve değerlendirme aşamasına kadar dikkatli olunması gereklidir. Uzaktan eğitim, öğrenciler için her zaman alternatif ve esnek bir seçenek olsa da küresel kriz sırasında zorunlu olarak başvurulan uzaktan eğitimin farklı olduğu bilinmelidir (Bozkurt ve Sharma, 2020). </w:t>
      </w:r>
    </w:p>
    <w:p w14:paraId="4E3A0887" w14:textId="77777777" w:rsidR="00E839E1" w:rsidRPr="000A2E75" w:rsidRDefault="00E839E1" w:rsidP="00E839E1">
      <w:pPr>
        <w:spacing w:before="120" w:after="120" w:line="276" w:lineRule="auto"/>
        <w:ind w:firstLine="567"/>
        <w:rPr>
          <w:rFonts w:ascii="Times New Roman" w:hAnsi="Times New Roman" w:cs="Times New Roman"/>
        </w:rPr>
      </w:pPr>
      <w:r w:rsidRPr="000A2E75">
        <w:rPr>
          <w:rFonts w:ascii="Times New Roman" w:hAnsi="Times New Roman" w:cs="Times New Roman"/>
        </w:rPr>
        <w:t xml:space="preserve">Zorunlu uzaktan eğitim bir diğer ifade ile acil durum uzaktan öğretim, eğitim kurumları tarafından bir öğretimsel sunum yöntemi olarak tanımlanmaktadır (Hodges, Moore, Lockee, Trust &amp; Bond, 2020). Koronavirüs pandemisi süreci kapsamında özellikle de bu sürecin ilk dönemlerinde, uzaktan eğitimin de içeriğin uzaktaki öğrencilere teslim edilmesiyle sınırlı olduğu ifade edilebilir. Bu nedenle bu sürecin zorunlu uzaktan eğitim olarak ele alınması uygun görülmüştür. </w:t>
      </w:r>
    </w:p>
    <w:p w14:paraId="2365F698" w14:textId="77777777" w:rsidR="00E839E1" w:rsidRPr="000A2E75" w:rsidRDefault="00E839E1" w:rsidP="00E839E1">
      <w:pPr>
        <w:spacing w:before="120" w:after="120" w:line="276" w:lineRule="auto"/>
        <w:ind w:firstLine="567"/>
        <w:rPr>
          <w:rFonts w:ascii="Times New Roman" w:hAnsi="Times New Roman" w:cs="Times New Roman"/>
        </w:rPr>
      </w:pPr>
      <w:r w:rsidRPr="000A2E75">
        <w:rPr>
          <w:rFonts w:ascii="Times New Roman" w:hAnsi="Times New Roman" w:cs="Times New Roman"/>
        </w:rPr>
        <w:t xml:space="preserve">Türkiyede, koronavirüs öncesinde örgün eğitimle birlikte uzaktan eğitim de yapan yükseköğretim kurumları çok sınırlıydı ancak günümüzde tüm yüksek öğretim kurumları zorunlu olarak uzaktan eğitim yapmaktadır. Uzaktan eğitime bu zorunlu geçiş öğrencileri hazırlıksız yakalamıştır. Eğitime verilen bir haftalık ara içerisinde öğrencilerin çoğu ara sonrası döneceklerini umarak kitaplarını dahi yanlarına almamıştır. Bugün itibariyle tam bir yıldır devam eden salgın ile eğitim halen uzaktan çevrimiçi olarak yürütülmektedir. </w:t>
      </w:r>
    </w:p>
    <w:p w14:paraId="19B1DDA4" w14:textId="77777777" w:rsidR="00E839E1" w:rsidRPr="000A2E75" w:rsidRDefault="00E839E1" w:rsidP="00E839E1">
      <w:pPr>
        <w:spacing w:before="120" w:after="120" w:line="276" w:lineRule="auto"/>
        <w:ind w:firstLine="567"/>
        <w:rPr>
          <w:rFonts w:ascii="Times New Roman" w:hAnsi="Times New Roman" w:cs="Times New Roman"/>
        </w:rPr>
      </w:pPr>
      <w:r w:rsidRPr="000A2E75">
        <w:rPr>
          <w:rFonts w:ascii="Times New Roman" w:hAnsi="Times New Roman" w:cs="Times New Roman"/>
        </w:rPr>
        <w:t xml:space="preserve">Zorunlu uzaktan eğitimde istenilen başarının sağlanabilmesi için öğrencilerin desteklenmesi gerekmektedir. Lee (2003), uzaktan eğitim sürecindeki destek sistemlerini; akademik, idari, teknik, danışmanlık ve kütüphane destekleri olarak sıralanmıştır. Uzaktan eğitim programlarında akademik destek, öğrencilerin akademik olarak ilerlemesine yardımcı olacak ve karşılaştıkları sorunları çözmelerinde yol gösterecek öğretim elemanlarıyla etkileşim kurabilmelerini içermektedir (Sahoo, 1993; Watkins ve Wright, 1991). Akademik destek, öğrencilerin, öğretim üyeleri ve öğrenme kaynakları ile etkileşimini artırmayı amaçlamaktadır. İdari destek hizmetleri ise temel program </w:t>
      </w:r>
      <w:r w:rsidRPr="000A2E75">
        <w:rPr>
          <w:rFonts w:ascii="Times New Roman" w:hAnsi="Times New Roman" w:cs="Times New Roman"/>
        </w:rPr>
        <w:lastRenderedPageBreak/>
        <w:t xml:space="preserve">işlevlerini kapsamaktadır (Frieden, 1999).  Programa kabul, planlama, öğrenci kayıtları bu destek türü içerisindedir. </w:t>
      </w:r>
    </w:p>
    <w:p w14:paraId="5790ADCD" w14:textId="77777777" w:rsidR="00E839E1" w:rsidRPr="000A2E75" w:rsidRDefault="00E839E1" w:rsidP="00E839E1">
      <w:pPr>
        <w:spacing w:before="120" w:after="120" w:line="276" w:lineRule="auto"/>
        <w:ind w:firstLine="567"/>
        <w:jc w:val="both"/>
        <w:rPr>
          <w:rFonts w:ascii="Times New Roman" w:hAnsi="Times New Roman" w:cs="Times New Roman"/>
        </w:rPr>
      </w:pPr>
      <w:r w:rsidRPr="000A2E75">
        <w:rPr>
          <w:rFonts w:ascii="Times New Roman" w:hAnsi="Times New Roman" w:cs="Times New Roman"/>
        </w:rPr>
        <w:t xml:space="preserve">Abate (1999) ise Teknik Desteği uzaktan eğitim sürecinin sunumunun verimli çalışmasını izlemek ve gerekli teknik yardımı sunmak olarak tanımaktadır. Bu kapsamda öğrencilerin sahip oldukları teknoloji, uzaktan eğitim sürecinde kullanılan yöntemler ve alt yapı teknik destekler içerisinde ala alınmaktadır. Danışmanlık desteği, rehberliğin çeşitli yönlerini içermektedir. Danışmanlık desteğini uzaktan eğitim sürecinde iletişimi geliştirme ve etkileşimi artırma olarak da ele alınabilmektedir (Aoki &amp; Pogroszewski, 1998). Son destek türü olan kütüphane desteği, öğrencilere öğrenme ve araştırma noktasında özerklik kazandıracak olan imkanların sunulmasını ifade etmektedir. Kütüphane desteği öğrencilere araştırma yapmaları için fırsatlar sağlamaktadır (Stephens, 1996). Bu noktada destek hizmetlerinin incelenmesinin anlamlı olduğu düşünülmektedir. Bu doğrultuda bu çalışmada yükseköğretim öğrencilerinin zorunlu uzaktan eğitim sürecinde aldıkları desteklerin incelenmesi amaçlanmaktadır. </w:t>
      </w:r>
    </w:p>
    <w:p w14:paraId="6468676A" w14:textId="77777777" w:rsidR="00E839E1" w:rsidRPr="000A2E75" w:rsidRDefault="00E839E1" w:rsidP="00E839E1">
      <w:pPr>
        <w:spacing w:before="120" w:after="120" w:line="276" w:lineRule="auto"/>
        <w:ind w:firstLine="567"/>
        <w:jc w:val="both"/>
        <w:rPr>
          <w:rFonts w:ascii="Times New Roman" w:hAnsi="Times New Roman" w:cs="Times New Roman"/>
          <w:b/>
        </w:rPr>
      </w:pPr>
      <w:r w:rsidRPr="000A2E75">
        <w:rPr>
          <w:rFonts w:ascii="Times New Roman" w:hAnsi="Times New Roman" w:cs="Times New Roman"/>
          <w:b/>
        </w:rPr>
        <w:t>YÖNTEM</w:t>
      </w:r>
    </w:p>
    <w:p w14:paraId="14543476" w14:textId="77777777" w:rsidR="00E839E1" w:rsidRPr="000A2E75" w:rsidRDefault="00E839E1" w:rsidP="00E839E1">
      <w:pPr>
        <w:spacing w:before="120" w:after="120" w:line="276" w:lineRule="auto"/>
        <w:ind w:firstLine="567"/>
        <w:rPr>
          <w:rFonts w:ascii="Times New Roman" w:hAnsi="Times New Roman" w:cs="Times New Roman"/>
        </w:rPr>
      </w:pPr>
      <w:r w:rsidRPr="000A2E75">
        <w:rPr>
          <w:rFonts w:ascii="Times New Roman" w:hAnsi="Times New Roman" w:cs="Times New Roman"/>
        </w:rPr>
        <w:t>Bu çalışmanın amacı, uzaktan eğitim sürecinde yüksek öğretim öğrencilerinin aldıkları destek hizmetlerini incelemektir. Bu amaçla, aşağıdaki araştırma sorularına (RQ) cevap aranmıştır:</w:t>
      </w:r>
    </w:p>
    <w:p w14:paraId="7D6D5C5E" w14:textId="77777777" w:rsidR="00E839E1" w:rsidRPr="000A2E75" w:rsidRDefault="00E839E1" w:rsidP="00E839E1">
      <w:pPr>
        <w:spacing w:before="120" w:after="120" w:line="276" w:lineRule="auto"/>
        <w:ind w:firstLine="567"/>
        <w:rPr>
          <w:rFonts w:ascii="Times New Roman" w:hAnsi="Times New Roman" w:cs="Times New Roman"/>
        </w:rPr>
      </w:pPr>
      <w:r w:rsidRPr="000A2E75">
        <w:rPr>
          <w:rFonts w:ascii="Times New Roman" w:hAnsi="Times New Roman" w:cs="Times New Roman"/>
        </w:rPr>
        <w:t>1. Yüksek öğretim öğrencilerinin zorunlu uzaktan öğretimle ilgili deneyimleri nelerdir?</w:t>
      </w:r>
    </w:p>
    <w:p w14:paraId="677D899E" w14:textId="77777777" w:rsidR="00E839E1" w:rsidRPr="000A2E75" w:rsidRDefault="00E839E1" w:rsidP="00E839E1">
      <w:pPr>
        <w:spacing w:before="120" w:after="120" w:line="276" w:lineRule="auto"/>
        <w:ind w:firstLine="567"/>
        <w:jc w:val="both"/>
        <w:rPr>
          <w:rFonts w:ascii="Times New Roman" w:hAnsi="Times New Roman" w:cs="Times New Roman"/>
        </w:rPr>
      </w:pPr>
      <w:r w:rsidRPr="000A2E75">
        <w:rPr>
          <w:rFonts w:ascii="Times New Roman" w:hAnsi="Times New Roman" w:cs="Times New Roman"/>
        </w:rPr>
        <w:t>2. Yüksek öğretim öğrencilerinin zorunlu uzaktan eğitim sürecinde aldıkları destek hizmetleri nelerdir?</w:t>
      </w:r>
    </w:p>
    <w:p w14:paraId="56155BD2" w14:textId="77777777" w:rsidR="00E839E1" w:rsidRPr="000A2E75" w:rsidRDefault="00E839E1" w:rsidP="00E839E1">
      <w:pPr>
        <w:spacing w:before="120" w:after="120" w:line="276" w:lineRule="auto"/>
        <w:ind w:firstLine="567"/>
        <w:jc w:val="both"/>
        <w:rPr>
          <w:rFonts w:ascii="Times New Roman" w:hAnsi="Times New Roman" w:cs="Times New Roman"/>
          <w:b/>
          <w:color w:val="000000"/>
        </w:rPr>
      </w:pPr>
      <w:r w:rsidRPr="000A2E75">
        <w:rPr>
          <w:rFonts w:ascii="Times New Roman" w:hAnsi="Times New Roman" w:cs="Times New Roman"/>
          <w:b/>
          <w:color w:val="000000"/>
        </w:rPr>
        <w:t>Çalışma Grubu</w:t>
      </w:r>
    </w:p>
    <w:p w14:paraId="0C7076F0" w14:textId="77777777" w:rsidR="00E839E1" w:rsidRPr="000A2E75" w:rsidRDefault="00E839E1" w:rsidP="00E839E1">
      <w:pPr>
        <w:spacing w:before="120" w:after="120" w:line="276" w:lineRule="auto"/>
        <w:ind w:firstLine="567"/>
        <w:jc w:val="both"/>
        <w:rPr>
          <w:rFonts w:ascii="Times New Roman" w:hAnsi="Times New Roman" w:cs="Times New Roman"/>
          <w:color w:val="000000"/>
        </w:rPr>
      </w:pPr>
      <w:r w:rsidRPr="000A2E75">
        <w:rPr>
          <w:rFonts w:ascii="Times New Roman" w:hAnsi="Times New Roman" w:cs="Times New Roman"/>
          <w:color w:val="000000"/>
        </w:rPr>
        <w:t>Araştırmanın çalışma gurubu Yozgat Bozok Üniversitesinde öğrenim görmekte olan öğrencilerdir. Çalışma grubu on öğrenciden oluşmaktadır. Veri toplama sürecinde doyuma ulaşıldıktan sonra görüşmeler sonlandırılmıştır. Araştırma öncesinde Yozgat Bozok Üniversitesi etik komisyonundan araştırmanın yürütülmesine ilişkin gerekli izin alınmıştır (Tarih:17.06.2020; Sayı: 95799348-050.01.04-E.13504).</w:t>
      </w:r>
    </w:p>
    <w:p w14:paraId="518F7B07" w14:textId="77777777" w:rsidR="00E839E1" w:rsidRPr="000A2E75" w:rsidRDefault="00E839E1" w:rsidP="00E839E1">
      <w:pPr>
        <w:spacing w:before="120" w:after="120" w:line="276" w:lineRule="auto"/>
        <w:ind w:firstLine="567"/>
        <w:jc w:val="both"/>
        <w:rPr>
          <w:rFonts w:ascii="Times New Roman" w:hAnsi="Times New Roman" w:cs="Times New Roman"/>
          <w:b/>
          <w:color w:val="000000"/>
        </w:rPr>
      </w:pPr>
      <w:r w:rsidRPr="000A2E75">
        <w:rPr>
          <w:rFonts w:ascii="Times New Roman" w:hAnsi="Times New Roman" w:cs="Times New Roman"/>
          <w:b/>
          <w:color w:val="000000"/>
        </w:rPr>
        <w:t>Veri Toplama Araçları</w:t>
      </w:r>
    </w:p>
    <w:p w14:paraId="086F8AF8" w14:textId="77777777" w:rsidR="00E839E1" w:rsidRPr="000A2E75" w:rsidRDefault="00E839E1" w:rsidP="00E839E1">
      <w:pPr>
        <w:spacing w:before="120" w:after="120" w:line="276" w:lineRule="auto"/>
        <w:ind w:firstLine="567"/>
        <w:rPr>
          <w:rFonts w:ascii="Times New Roman" w:hAnsi="Times New Roman" w:cs="Times New Roman"/>
          <w:color w:val="000000"/>
        </w:rPr>
      </w:pPr>
      <w:r w:rsidRPr="000A2E75">
        <w:rPr>
          <w:rFonts w:ascii="Times New Roman" w:hAnsi="Times New Roman" w:cs="Times New Roman"/>
          <w:color w:val="000000"/>
        </w:rPr>
        <w:t xml:space="preserve">Araştırmanın verileri yarı yapılandırılmış görüşmelerle toplanmıştır. Her görüşme öncesinde görüşülen öğrencilerden onay alınmış ve görüşmeler Google Meet üzerinden video konferans ile gerçekleştirilmiştir. </w:t>
      </w:r>
    </w:p>
    <w:p w14:paraId="3A331440" w14:textId="77777777" w:rsidR="00E839E1" w:rsidRPr="000A2E75" w:rsidRDefault="00E839E1" w:rsidP="00E839E1">
      <w:pPr>
        <w:spacing w:before="120" w:after="120" w:line="276" w:lineRule="auto"/>
        <w:ind w:firstLine="567"/>
        <w:rPr>
          <w:rFonts w:ascii="Times New Roman" w:hAnsi="Times New Roman" w:cs="Times New Roman"/>
          <w:b/>
          <w:bCs/>
          <w:color w:val="000000"/>
        </w:rPr>
      </w:pPr>
      <w:r w:rsidRPr="000A2E75">
        <w:rPr>
          <w:rFonts w:ascii="Times New Roman" w:hAnsi="Times New Roman" w:cs="Times New Roman"/>
          <w:b/>
          <w:bCs/>
          <w:color w:val="000000"/>
        </w:rPr>
        <w:t>Verilerin analizi</w:t>
      </w:r>
    </w:p>
    <w:p w14:paraId="549CB204" w14:textId="77777777" w:rsidR="00E839E1" w:rsidRPr="000A2E75" w:rsidRDefault="00E839E1" w:rsidP="00E839E1">
      <w:pPr>
        <w:spacing w:before="120" w:after="120" w:line="276" w:lineRule="auto"/>
        <w:ind w:firstLine="567"/>
        <w:jc w:val="both"/>
        <w:rPr>
          <w:rFonts w:ascii="Times New Roman" w:hAnsi="Times New Roman" w:cs="Times New Roman"/>
          <w:color w:val="000000"/>
        </w:rPr>
      </w:pPr>
      <w:r w:rsidRPr="000A2E75">
        <w:rPr>
          <w:rFonts w:ascii="Times New Roman" w:hAnsi="Times New Roman" w:cs="Times New Roman"/>
          <w:color w:val="000000"/>
        </w:rPr>
        <w:t>Yarı yapılandırılmış görüşmeler aracılığıyla toplanılan veriler daha sonra yazıya dönüştürülerek içerik analizi ile incelenmiştir.  Veriler araştırma soruları kapsamında değerlendirilmiş ve her bir destek türüne ilişkin olarak gruplandırılmıştır.</w:t>
      </w:r>
    </w:p>
    <w:p w14:paraId="1A662A55" w14:textId="77777777" w:rsidR="00E839E1" w:rsidRPr="000A2E75" w:rsidRDefault="00E839E1" w:rsidP="00E839E1">
      <w:pPr>
        <w:spacing w:before="60" w:after="60" w:line="276" w:lineRule="auto"/>
        <w:ind w:firstLine="567"/>
        <w:rPr>
          <w:rFonts w:ascii="Times New Roman" w:hAnsi="Times New Roman" w:cs="Times New Roman"/>
          <w:b/>
        </w:rPr>
      </w:pPr>
      <w:r w:rsidRPr="000A2E75">
        <w:rPr>
          <w:rFonts w:ascii="Times New Roman" w:hAnsi="Times New Roman" w:cs="Times New Roman"/>
          <w:b/>
        </w:rPr>
        <w:t>BULGULAR</w:t>
      </w:r>
    </w:p>
    <w:p w14:paraId="5C72C16A"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 xml:space="preserve">Bu bölümde araştırma kapsamında elde edilen bulgular sunulmuştur. İlk olarak yüksek öğretim öğrencilerinin zorunlu uzaktan eğitim deneyimlerine, devamında bu süreçte aldıkları destek hizmetlerinin </w:t>
      </w:r>
    </w:p>
    <w:p w14:paraId="3972E4BD"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 xml:space="preserve">Birinci araştırma sorusu kapsamında ulaşılan veriler incelendiğinde yükseköğretim öğrencilerinin daha önce uzaktan eğitimle ders deneyimlerinin olmadığı saptanmıştır. Öğrencilerin tamamı uzaktan eğitim sürecini ilk salgın nedeniyle başlatılan bu zorunlu süreçte deneyimlemiştir. Bununla birlikte öğrencilerin tek yönlü, karşılıklı etkileşimi içermeyen eğitimleri sosyal medya aracılığı ile kullandıkları belirlenmiştir. Katılımcılar durumu şu şekilde ifade etmiştir:  </w:t>
      </w:r>
    </w:p>
    <w:p w14:paraId="07BDE95A"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lastRenderedPageBreak/>
        <w:t>“Daha önce hiç uzaktan eğitime gitmedim ama üniversiteye hazırlandığım dönemde çözemediğim soruların karekod uygulamalarıyla soru çözümlerini izliyordum”.</w:t>
      </w:r>
    </w:p>
    <w:p w14:paraId="1BADC823" w14:textId="77777777" w:rsidR="00E839E1" w:rsidRPr="000A2E75" w:rsidRDefault="00E839E1" w:rsidP="00E839E1">
      <w:pPr>
        <w:spacing w:before="120" w:after="120"/>
        <w:ind w:firstLine="567"/>
        <w:rPr>
          <w:rFonts w:ascii="Times New Roman" w:hAnsi="Times New Roman" w:cs="Times New Roman"/>
        </w:rPr>
      </w:pPr>
    </w:p>
    <w:p w14:paraId="74E3A128"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“Daha önce uzaktan eğitimle hiç ders almadım ama ödevlerimi hazırlarken benzer konularla ilgili yapılmış olan ödevleri inceliyordum. Konu anlatım videolarını izliyordum”.</w:t>
      </w:r>
    </w:p>
    <w:p w14:paraId="5BAA6F72" w14:textId="77777777" w:rsidR="00E839E1" w:rsidRPr="000A2E75" w:rsidRDefault="00E839E1" w:rsidP="00E839E1">
      <w:pPr>
        <w:spacing w:before="120" w:after="120"/>
        <w:ind w:firstLine="567"/>
        <w:rPr>
          <w:rFonts w:ascii="Times New Roman" w:hAnsi="Times New Roman" w:cs="Times New Roman"/>
        </w:rPr>
      </w:pPr>
    </w:p>
    <w:p w14:paraId="34824241"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 xml:space="preserve">“İngilizce öğrenmek için bir hocadan internet üstünden ders programları satın almıştım. Burada hocanın videolarını izleyip tekrar edebiliyordum. Ama hoca ile karşılıklı bir eğitim yoktu”. </w:t>
      </w:r>
    </w:p>
    <w:p w14:paraId="0434894A" w14:textId="77777777" w:rsidR="00E839E1" w:rsidRPr="000A2E75" w:rsidRDefault="00E839E1" w:rsidP="00E839E1">
      <w:pPr>
        <w:spacing w:before="120" w:after="120"/>
        <w:ind w:firstLine="567"/>
        <w:rPr>
          <w:rFonts w:ascii="Times New Roman" w:hAnsi="Times New Roman" w:cs="Times New Roman"/>
        </w:rPr>
      </w:pPr>
    </w:p>
    <w:p w14:paraId="6E838EE8"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İkinci araştırma sorusu kapsamında yüksek öğretim öğrencilerinin zorunlu uzaktan eğitim sürecinde aldıkları destek hizmetleri incelenmiştir.  Her bir destek türü tek tek ele alınmıştır.</w:t>
      </w:r>
    </w:p>
    <w:p w14:paraId="480E4EDF" w14:textId="77777777" w:rsidR="00E839E1" w:rsidRPr="000A2E75" w:rsidRDefault="00E839E1" w:rsidP="00E839E1">
      <w:pPr>
        <w:spacing w:before="120" w:after="120"/>
        <w:ind w:firstLine="567"/>
        <w:rPr>
          <w:rFonts w:ascii="Times New Roman" w:hAnsi="Times New Roman" w:cs="Times New Roman"/>
        </w:rPr>
      </w:pPr>
    </w:p>
    <w:p w14:paraId="67F48CC3"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Akademik Destek</w:t>
      </w:r>
    </w:p>
    <w:p w14:paraId="2BC9072F" w14:textId="77777777" w:rsidR="00E839E1" w:rsidRPr="000A2E75" w:rsidRDefault="00E839E1" w:rsidP="00E839E1">
      <w:pPr>
        <w:spacing w:before="120" w:after="120"/>
        <w:ind w:firstLine="567"/>
        <w:rPr>
          <w:rFonts w:ascii="Times New Roman" w:hAnsi="Times New Roman" w:cs="Times New Roman"/>
        </w:rPr>
      </w:pPr>
    </w:p>
    <w:p w14:paraId="5A255098"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Öğrencilerin uzaktan eğitim sürecinde alabilecekleri akademik destek, öğrencilerin akademik olarak ilerlemesine yardımcı olacak ve karşılaştıkları sorunları çözmelerinde yol gösterecek öğretim elemanlarıyla etkileşim kurabilmelerini kapsamaktadır. Bu araştırmada katılımcı olan öğrenciler uzaktan eğitim sürecinde akademik açıdan çok zorlandıklarını ve akademik desteği talep ettikleri kadar alamadıklarını belirtmiştir. Öğrenciler bu durumu şu şekilde ifade etmiştir:</w:t>
      </w:r>
    </w:p>
    <w:p w14:paraId="6491ABBC" w14:textId="77777777" w:rsidR="00E839E1" w:rsidRPr="000A2E75" w:rsidRDefault="00E839E1" w:rsidP="00E839E1">
      <w:pPr>
        <w:spacing w:before="120" w:after="120"/>
        <w:ind w:firstLine="567"/>
        <w:rPr>
          <w:rFonts w:ascii="Times New Roman" w:hAnsi="Times New Roman" w:cs="Times New Roman"/>
        </w:rPr>
      </w:pPr>
    </w:p>
    <w:p w14:paraId="4376474E"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“Öncelikle uzaktan eğitimin hiçbir zaman yüz yüze eğitim ile bir tutulamayacağını anladım. Ben bu süreçte çok zorlandım. Özellikle İlk haftalarda dersleri takip edemedim ama ilerleyen süreçte biraz daha alıştım”.</w:t>
      </w:r>
    </w:p>
    <w:p w14:paraId="2B9A466A" w14:textId="77777777" w:rsidR="00E839E1" w:rsidRPr="000A2E75" w:rsidRDefault="00E839E1" w:rsidP="00E839E1">
      <w:pPr>
        <w:spacing w:before="120" w:after="120"/>
        <w:ind w:firstLine="567"/>
        <w:rPr>
          <w:rFonts w:ascii="Times New Roman" w:hAnsi="Times New Roman" w:cs="Times New Roman"/>
        </w:rPr>
      </w:pPr>
    </w:p>
    <w:p w14:paraId="588C2A7F"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“Bazı hocalarımız sadece Pdf şeklinde ders notu yüklerken bazıları çeşitli videolar, makalelerle dersi destekleyici materyaller yüklediler. Bu anlamda bize destek oldular”.</w:t>
      </w:r>
    </w:p>
    <w:p w14:paraId="144729C0" w14:textId="77777777" w:rsidR="00E839E1" w:rsidRPr="000A2E75" w:rsidRDefault="00E839E1" w:rsidP="00E839E1">
      <w:pPr>
        <w:spacing w:before="120" w:after="120"/>
        <w:ind w:firstLine="567"/>
        <w:rPr>
          <w:rFonts w:ascii="Times New Roman" w:hAnsi="Times New Roman" w:cs="Times New Roman"/>
        </w:rPr>
      </w:pPr>
    </w:p>
    <w:p w14:paraId="0919558A"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Öğrencilerin bu süreçte akademik ilerlemeyle ilgili ifade ettikleri en önemli durum kendilerine düşen sorumluluğun artması olmuştur. Uzaktan eğitimde bireysel öğrenim çabasının da artması gerekmektedir. Öğrencinin bizzat dersleri takip etmesi ve gerekli hazırlıkları yapması gerekir. Bu durum öğrencilerin dile getirdiği en önemli sorun olarak belirtilmiştir. Bununla ilgili olarak öğrenciler şunlar ifade etmiştir:</w:t>
      </w:r>
    </w:p>
    <w:p w14:paraId="2BF337BF" w14:textId="77777777" w:rsidR="00E839E1" w:rsidRPr="000A2E75" w:rsidRDefault="00E839E1" w:rsidP="00E839E1">
      <w:pPr>
        <w:spacing w:before="120" w:after="120"/>
        <w:ind w:firstLine="567"/>
        <w:rPr>
          <w:rFonts w:ascii="Times New Roman" w:hAnsi="Times New Roman" w:cs="Times New Roman"/>
        </w:rPr>
      </w:pPr>
    </w:p>
    <w:p w14:paraId="2CAE5F19"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“Uzaktan eğitim özellikle bize çok fazla sorumluluk yükledi. Bu açıdan daha fazla destek alabilirdik. Hocalarımız ders notu yüklediler ama bu ders notları benim için yeterli değildi”.</w:t>
      </w:r>
    </w:p>
    <w:p w14:paraId="38830B36" w14:textId="77777777" w:rsidR="00E839E1" w:rsidRPr="000A2E75" w:rsidRDefault="00E839E1" w:rsidP="00E839E1">
      <w:pPr>
        <w:spacing w:before="120" w:after="120"/>
        <w:ind w:firstLine="567"/>
        <w:rPr>
          <w:rFonts w:ascii="Times New Roman" w:hAnsi="Times New Roman" w:cs="Times New Roman"/>
        </w:rPr>
      </w:pPr>
    </w:p>
    <w:p w14:paraId="1651FB40"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“Ders süreleri yüz yüze eğitime göre daha sınırlıydı. Bu nedenle çalışma konusunda sorumluluğun büyük kısmı Bana Düştü. Büyük bir destek aldığımı söyleyemem”.</w:t>
      </w:r>
    </w:p>
    <w:p w14:paraId="6220778D" w14:textId="77777777" w:rsidR="00E839E1" w:rsidRPr="000A2E75" w:rsidRDefault="00E839E1" w:rsidP="00E839E1">
      <w:pPr>
        <w:spacing w:before="120" w:after="120"/>
        <w:ind w:firstLine="567"/>
        <w:rPr>
          <w:rFonts w:ascii="Times New Roman" w:hAnsi="Times New Roman" w:cs="Times New Roman"/>
        </w:rPr>
      </w:pPr>
    </w:p>
    <w:p w14:paraId="129749FF"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lastRenderedPageBreak/>
        <w:t>“Hocalarımız derste hızlı bir şekilde konuları anlattılar ve her ders için gerekli materyalleri sisteme yüklediler. Bu sistemin dezavantajı bize daha fazla sorumluluk düşmeseydi. Aslında hocalar materyali sağlayarak gerekli desteği sağladılar ama bu benim için yeterli olmadı. Bu sistemde çok daha fazla çalışmam gerekti”.</w:t>
      </w:r>
    </w:p>
    <w:p w14:paraId="50FE7315" w14:textId="77777777" w:rsidR="00E839E1" w:rsidRPr="000A2E75" w:rsidRDefault="00E839E1" w:rsidP="00E839E1">
      <w:pPr>
        <w:spacing w:before="120" w:after="120"/>
        <w:ind w:firstLine="567"/>
        <w:rPr>
          <w:rFonts w:ascii="Times New Roman" w:hAnsi="Times New Roman" w:cs="Times New Roman"/>
        </w:rPr>
      </w:pPr>
    </w:p>
    <w:p w14:paraId="4C91D65A"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İdari destek</w:t>
      </w:r>
    </w:p>
    <w:p w14:paraId="11D91FDA" w14:textId="77777777" w:rsidR="00E839E1" w:rsidRPr="000A2E75" w:rsidRDefault="00E839E1" w:rsidP="00E839E1">
      <w:pPr>
        <w:spacing w:before="120" w:after="120"/>
        <w:ind w:firstLine="567"/>
        <w:rPr>
          <w:rFonts w:ascii="Times New Roman" w:hAnsi="Times New Roman" w:cs="Times New Roman"/>
        </w:rPr>
      </w:pPr>
    </w:p>
    <w:p w14:paraId="51A7A9EA"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Uzaktan eğitim sürecinde idari destek, kabul, planlama, öğrenci kayıtları gibi temel işlevleri kapsamaktadır. Uzaktan eğitim sürecine hazırlıksız bir şekilde başlanılması idari hizmetlerin sunumunu başlangıçta aksatmış olsa da ilerleyen süreç içerisinde gerekli desteğin sağlandığı saptanmıştır. Bu destekle ilgili olarak öğrenciler şunları dile getirmiştir:</w:t>
      </w:r>
    </w:p>
    <w:p w14:paraId="282E46EF" w14:textId="77777777" w:rsidR="00E839E1" w:rsidRPr="000A2E75" w:rsidRDefault="00E839E1" w:rsidP="00E839E1">
      <w:pPr>
        <w:spacing w:before="120" w:after="120"/>
        <w:ind w:firstLine="567"/>
        <w:rPr>
          <w:rFonts w:ascii="Times New Roman" w:hAnsi="Times New Roman" w:cs="Times New Roman"/>
        </w:rPr>
      </w:pPr>
    </w:p>
    <w:p w14:paraId="1263F8E6"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“İdare açısından ben bir sıkıntı yaşamadım. Derslerin başlamasından önce sınıflar oluşturulmuştu. Ben de ilgili derslere kaydedilmiştim”.</w:t>
      </w:r>
    </w:p>
    <w:p w14:paraId="20503A44" w14:textId="77777777" w:rsidR="00E839E1" w:rsidRPr="000A2E75" w:rsidRDefault="00E839E1" w:rsidP="00E839E1">
      <w:pPr>
        <w:spacing w:before="120" w:after="120"/>
        <w:ind w:firstLine="567"/>
        <w:rPr>
          <w:rFonts w:ascii="Times New Roman" w:hAnsi="Times New Roman" w:cs="Times New Roman"/>
        </w:rPr>
      </w:pPr>
    </w:p>
    <w:p w14:paraId="40D80AB6"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“İlk başladığımızda çok sıkıntılı oldu. Kimin hangi sınıfta olacağı belli değildi özellikle üstten ya da alttan ders aldığımızda derslerin çakışması söz konusuydu. Bu anlamda sıkıntı yaşadım. Çakışan derslerimiz olduğunda idareye başvurduk ve onlar bize yardımcı oldular”.</w:t>
      </w:r>
    </w:p>
    <w:p w14:paraId="3B1FB0F3" w14:textId="77777777" w:rsidR="00E839E1" w:rsidRPr="000A2E75" w:rsidRDefault="00E839E1" w:rsidP="00E839E1">
      <w:pPr>
        <w:spacing w:before="120" w:after="120"/>
        <w:ind w:firstLine="567"/>
        <w:rPr>
          <w:rFonts w:ascii="Times New Roman" w:hAnsi="Times New Roman" w:cs="Times New Roman"/>
        </w:rPr>
      </w:pPr>
    </w:p>
    <w:p w14:paraId="49D42308"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“Sınıfların oluşturulmasında ya da seçmeli derslerde hiç sıkıntı yaşamadım. Sorunu olan arkadaşlarım öğrenci işlerine başvurarak çözüm bulabildi”.</w:t>
      </w:r>
    </w:p>
    <w:p w14:paraId="6A50D20E" w14:textId="77777777" w:rsidR="00E839E1" w:rsidRPr="000A2E75" w:rsidRDefault="00E839E1" w:rsidP="00E839E1">
      <w:pPr>
        <w:spacing w:before="120" w:after="120"/>
        <w:ind w:firstLine="567"/>
        <w:rPr>
          <w:rFonts w:ascii="Times New Roman" w:hAnsi="Times New Roman" w:cs="Times New Roman"/>
        </w:rPr>
      </w:pPr>
    </w:p>
    <w:p w14:paraId="39974F5C" w14:textId="77777777" w:rsidR="00E839E1" w:rsidRPr="000A2E75" w:rsidRDefault="00E839E1" w:rsidP="00E839E1">
      <w:pPr>
        <w:spacing w:before="120" w:after="120"/>
        <w:ind w:firstLine="567"/>
        <w:rPr>
          <w:rFonts w:ascii="Times New Roman" w:hAnsi="Times New Roman" w:cs="Times New Roman"/>
        </w:rPr>
      </w:pPr>
    </w:p>
    <w:p w14:paraId="7CCC41F4"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 xml:space="preserve">Teknik Destek </w:t>
      </w:r>
    </w:p>
    <w:p w14:paraId="430B1D0F" w14:textId="77777777" w:rsidR="00E839E1" w:rsidRPr="000A2E75" w:rsidRDefault="00E839E1" w:rsidP="00E839E1">
      <w:pPr>
        <w:spacing w:before="120" w:after="120"/>
        <w:ind w:firstLine="567"/>
        <w:rPr>
          <w:rFonts w:ascii="Times New Roman" w:hAnsi="Times New Roman" w:cs="Times New Roman"/>
        </w:rPr>
      </w:pPr>
    </w:p>
    <w:p w14:paraId="1C66A630"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 xml:space="preserve">Teknik Destek, uzaktan eğitim sürecinde eğitimin etkili bir şekilde sürdürülebilmesi için gerekli teknik donanımın sağlanmasıdır. Eğitimin yapılacağı alt yapının hazır olması, öğrencilerin ve öğretim elemanlarının gerekli bilişim cihazlarına sahip olması, erişim için gerekli bağlantının sağlanması teknik destekler kapsamında ele alınmaktadır. Zorunlu uzaktan eğitim sürecinde öğrenciler bu destek türüyle ilgili sürecin başlangıcında yaşadıkları zorlukları dile getirmişlerdir: </w:t>
      </w:r>
    </w:p>
    <w:p w14:paraId="29023BD5" w14:textId="77777777" w:rsidR="00E839E1" w:rsidRPr="000A2E75" w:rsidRDefault="00E839E1" w:rsidP="00E839E1">
      <w:pPr>
        <w:spacing w:before="120" w:after="120"/>
        <w:ind w:firstLine="567"/>
        <w:rPr>
          <w:rFonts w:ascii="Times New Roman" w:hAnsi="Times New Roman" w:cs="Times New Roman"/>
        </w:rPr>
      </w:pPr>
    </w:p>
    <w:p w14:paraId="55BE1D4A"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 xml:space="preserve">“İlk haftalarda çok zorlandım. Bağlantı sorunları oldukça fazlaydı. Bir derse girsem diğerine giremiyordum” Derse girdiğimizde bile dersten düşmeler olabiliyordu. Sonraki haftalarda bu sistem düzeldi”. </w:t>
      </w:r>
    </w:p>
    <w:p w14:paraId="79768196" w14:textId="77777777" w:rsidR="00E839E1" w:rsidRPr="000A2E75" w:rsidRDefault="00E839E1" w:rsidP="00E839E1">
      <w:pPr>
        <w:spacing w:before="120" w:after="120"/>
        <w:ind w:firstLine="567"/>
        <w:rPr>
          <w:rFonts w:ascii="Times New Roman" w:hAnsi="Times New Roman" w:cs="Times New Roman"/>
        </w:rPr>
      </w:pPr>
    </w:p>
    <w:p w14:paraId="5256524D"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“Zorunlu olarak uzaktan eğitim süreci başlayınca üniversitemiz hemen bu sisteme uyum sağlayamadı. Dersleri girmekte çok zorlandık. Hem hocalarımız tam olarak bilmiyordu hem de biz. Dersten düşmeler yaşanıyordu ama sonra her şey yoluna girdi. Süreç içerisinde bizim kadar hocalarımız da deneyim kazandı. İlk birkaç haftadan sonra her şey yoluna girdi. Hocalarımız derslerin tekrarını nasıl izleyebileceğimiz konusunda bizi yönlendirdi.”</w:t>
      </w:r>
    </w:p>
    <w:p w14:paraId="54A022B9" w14:textId="77777777" w:rsidR="00E839E1" w:rsidRPr="000A2E75" w:rsidRDefault="00E839E1" w:rsidP="00E839E1">
      <w:pPr>
        <w:spacing w:before="120" w:after="120"/>
        <w:ind w:firstLine="567"/>
        <w:rPr>
          <w:rFonts w:ascii="Times New Roman" w:hAnsi="Times New Roman" w:cs="Times New Roman"/>
        </w:rPr>
      </w:pPr>
    </w:p>
    <w:p w14:paraId="1E60E960"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lastRenderedPageBreak/>
        <w:t>“İnternetimiz her zaman yeterli olmayabiliyor. Her ne kadar devletin sağlamış olduğu internet olsa da canlı dersleri dinlemek zor”</w:t>
      </w:r>
    </w:p>
    <w:p w14:paraId="06E5DD5F" w14:textId="77777777" w:rsidR="00E839E1" w:rsidRPr="000A2E75" w:rsidRDefault="00E839E1" w:rsidP="00E839E1">
      <w:pPr>
        <w:spacing w:before="120" w:after="120"/>
        <w:ind w:firstLine="567"/>
        <w:rPr>
          <w:rFonts w:ascii="Times New Roman" w:hAnsi="Times New Roman" w:cs="Times New Roman"/>
        </w:rPr>
      </w:pPr>
    </w:p>
    <w:p w14:paraId="3B6A42A7"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“Benim Teknik olarak yaşadığım en büyük sıkıntı sınavlar oldu. Sınav stresi ile zamanın sınırlı olması ve sistemden düşeceğim kaygısı yaşamak stresli”.</w:t>
      </w:r>
    </w:p>
    <w:p w14:paraId="768BE2E5" w14:textId="77777777" w:rsidR="00E839E1" w:rsidRPr="000A2E75" w:rsidRDefault="00E839E1" w:rsidP="00E839E1">
      <w:pPr>
        <w:spacing w:before="120" w:after="120"/>
        <w:ind w:firstLine="567"/>
        <w:rPr>
          <w:rFonts w:ascii="Times New Roman" w:hAnsi="Times New Roman" w:cs="Times New Roman"/>
        </w:rPr>
      </w:pPr>
    </w:p>
    <w:p w14:paraId="6F8C7069"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“Bu dönemde Teknik olarak beni en çok zorlayan Bilgisayarımın olmamasıydı. Dersleri Cep telefonumdan takip ettim. Küçük ekranda çok zorlandım. Aynı sıkıntıyı pek çok arkadaşımın yaşadığını da biliyorum”.</w:t>
      </w:r>
    </w:p>
    <w:p w14:paraId="79C16AD8" w14:textId="77777777" w:rsidR="00E839E1" w:rsidRPr="000A2E75" w:rsidRDefault="00E839E1" w:rsidP="00E839E1">
      <w:pPr>
        <w:spacing w:before="120" w:after="120"/>
        <w:ind w:firstLine="567"/>
        <w:rPr>
          <w:rFonts w:ascii="Times New Roman" w:hAnsi="Times New Roman" w:cs="Times New Roman"/>
        </w:rPr>
      </w:pPr>
    </w:p>
    <w:p w14:paraId="0C2CE6AB"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“Derslere cep telefonu ile bağlandım. Ekranın küçüklüğü açıkçası zorluyordu. Bu nedenle hocaların ders esnasında sorduğu sorulara cevap verirken de aynı şekilde zorlandım”.</w:t>
      </w:r>
    </w:p>
    <w:p w14:paraId="3199EDE3" w14:textId="77777777" w:rsidR="00E839E1" w:rsidRPr="000A2E75" w:rsidRDefault="00E839E1" w:rsidP="00E839E1">
      <w:pPr>
        <w:spacing w:before="120" w:after="120"/>
        <w:ind w:firstLine="567"/>
        <w:rPr>
          <w:rFonts w:ascii="Times New Roman" w:hAnsi="Times New Roman" w:cs="Times New Roman"/>
        </w:rPr>
      </w:pPr>
    </w:p>
    <w:p w14:paraId="7947E70B"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“Benim evde Bilgisayarım vardı, derslere bilgisayardan bağlandım. O anlamda pek çok arkadaşımdan şanslıydım. Ama evde Liseye giden bir kardeşim var. Onun da dersleri online. Derslerimiz çatıştığında birimiz mecburen telefondan giriyoruz”.</w:t>
      </w:r>
    </w:p>
    <w:p w14:paraId="56777912" w14:textId="77777777" w:rsidR="00E839E1" w:rsidRPr="000A2E75" w:rsidRDefault="00E839E1" w:rsidP="00E839E1">
      <w:pPr>
        <w:spacing w:before="120" w:after="120"/>
        <w:ind w:firstLine="567"/>
        <w:rPr>
          <w:rFonts w:ascii="Times New Roman" w:hAnsi="Times New Roman" w:cs="Times New Roman"/>
        </w:rPr>
      </w:pPr>
    </w:p>
    <w:p w14:paraId="406C8CEB"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 xml:space="preserve">Danışmanlık Desteği </w:t>
      </w:r>
    </w:p>
    <w:p w14:paraId="1F66E3FF" w14:textId="77777777" w:rsidR="00E839E1" w:rsidRPr="000A2E75" w:rsidRDefault="00E839E1" w:rsidP="00E839E1">
      <w:pPr>
        <w:spacing w:before="120" w:after="120"/>
        <w:ind w:firstLine="567"/>
        <w:rPr>
          <w:rFonts w:ascii="Times New Roman" w:hAnsi="Times New Roman" w:cs="Times New Roman"/>
        </w:rPr>
      </w:pPr>
    </w:p>
    <w:p w14:paraId="49457232"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 xml:space="preserve">Danışmanlık desteği, öğrencilerin sosyal anlamda desteklenmesini ifade etmektedir. Zorunlu olarak yürütülen bu süreç eğitim anlamında olduğu kadar sosyal ve psikolojik açıdan da zor bir süreç. Bu doğrultuda öğrencilerin sosyal olarak desteklenmesi ve onlara bu konuda danışmanlık yapılması gereklidir. Araştırmaya katılan yüksek öğretim öğrencilerinin görüşlerine göre öğretim elemanlarından alınan sosyal desteğin sınırlı olduğu belirlenmiştir. Öğrenciler bu zorlu süreçte en önemli sosyal desteği arkadaşlarından aldıklarını belirtmiştir:  </w:t>
      </w:r>
    </w:p>
    <w:p w14:paraId="083AC9B9" w14:textId="77777777" w:rsidR="00E839E1" w:rsidRPr="000A2E75" w:rsidRDefault="00E839E1" w:rsidP="00E839E1">
      <w:pPr>
        <w:spacing w:before="120" w:after="120"/>
        <w:ind w:firstLine="567"/>
        <w:rPr>
          <w:rFonts w:ascii="Times New Roman" w:hAnsi="Times New Roman" w:cs="Times New Roman"/>
        </w:rPr>
      </w:pPr>
    </w:p>
    <w:p w14:paraId="525984B7"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“Zorunlu eğitime geçiş benim için gerçekten çok zor oldu. Evden hiç çıkmadan sadece Bilgisayar karşısında ders dinlemek hayal ettiğim üniversite hayatı değildi. Hocalarımız da bizim kadar hazırlıksızdı başlarda. O yüzden sosyal bir destek almadım.”</w:t>
      </w:r>
    </w:p>
    <w:p w14:paraId="4F453766" w14:textId="77777777" w:rsidR="00E839E1" w:rsidRPr="000A2E75" w:rsidRDefault="00E839E1" w:rsidP="00E839E1">
      <w:pPr>
        <w:spacing w:before="120" w:after="120"/>
        <w:ind w:firstLine="567"/>
        <w:rPr>
          <w:rFonts w:ascii="Times New Roman" w:hAnsi="Times New Roman" w:cs="Times New Roman"/>
        </w:rPr>
      </w:pPr>
    </w:p>
    <w:p w14:paraId="2D6B1282"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“Bu dönemdeki en büyük destekçim yine arkadaşlarım oldu. Sınıf arkadaşlarımla sürekli mesajlaşarak ya da konuşarak yaşadığımız sorunları halletmeye çalıştık.”</w:t>
      </w:r>
    </w:p>
    <w:p w14:paraId="7FB1BF84" w14:textId="77777777" w:rsidR="00E839E1" w:rsidRPr="000A2E75" w:rsidRDefault="00E839E1" w:rsidP="00E839E1">
      <w:pPr>
        <w:spacing w:before="120" w:after="120"/>
        <w:ind w:firstLine="567"/>
        <w:rPr>
          <w:rFonts w:ascii="Times New Roman" w:hAnsi="Times New Roman" w:cs="Times New Roman"/>
        </w:rPr>
      </w:pPr>
    </w:p>
    <w:p w14:paraId="610D374B"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“Beni en rahatlatan şey arkadaşlarımla sohbet etmek oldu. Benim yaşadığım sıkıntıları arkadaşlarım da yaşıyordu” ortak sıkıntılarımızın olduğunu görmek rahatlatıcı. Kendimi yalnız hissetmedim.”</w:t>
      </w:r>
    </w:p>
    <w:p w14:paraId="530F1A54" w14:textId="77777777" w:rsidR="00E839E1" w:rsidRPr="000A2E75" w:rsidRDefault="00E839E1" w:rsidP="00E839E1">
      <w:pPr>
        <w:spacing w:before="120" w:after="120"/>
        <w:ind w:firstLine="567"/>
        <w:rPr>
          <w:rFonts w:ascii="Times New Roman" w:hAnsi="Times New Roman" w:cs="Times New Roman"/>
        </w:rPr>
      </w:pPr>
    </w:p>
    <w:p w14:paraId="0571D971"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 xml:space="preserve">Sosyal destek açısından öğretim elemanlarının öğrencilerle iletişim kurmasının olumlu etkileri de ifade edilmiştir: </w:t>
      </w:r>
    </w:p>
    <w:p w14:paraId="7BAF7E1E" w14:textId="77777777" w:rsidR="00E839E1" w:rsidRPr="000A2E75" w:rsidRDefault="00E839E1" w:rsidP="00E839E1">
      <w:pPr>
        <w:spacing w:before="120" w:after="120"/>
        <w:ind w:firstLine="567"/>
        <w:rPr>
          <w:rFonts w:ascii="Times New Roman" w:hAnsi="Times New Roman" w:cs="Times New Roman"/>
        </w:rPr>
      </w:pPr>
    </w:p>
    <w:p w14:paraId="16863C56"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lastRenderedPageBreak/>
        <w:t>“Bazı hocalarımız derslerde bu dönemin en az kayıpla geçirmemiz için bazı önerilerde bulunuyor. Bu bana destek oldu. Yönlendirme yapmaları benim için iyiydi.”</w:t>
      </w:r>
    </w:p>
    <w:p w14:paraId="36C57766" w14:textId="77777777" w:rsidR="00E839E1" w:rsidRPr="000A2E75" w:rsidRDefault="00E839E1" w:rsidP="00E839E1">
      <w:pPr>
        <w:spacing w:before="120" w:after="120"/>
        <w:ind w:firstLine="567"/>
        <w:rPr>
          <w:rFonts w:ascii="Times New Roman" w:hAnsi="Times New Roman" w:cs="Times New Roman"/>
        </w:rPr>
      </w:pPr>
    </w:p>
    <w:p w14:paraId="50825AD2"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“Derste hocamız bu dönemin ne kadar zor olduğunu, Her birimizin ne kadar zorlandığını anladığını ifade ediyordu. Bunu duymak bile iyi geliyor bana”</w:t>
      </w:r>
      <w:r w:rsidRPr="000A2E75">
        <w:rPr>
          <w:rFonts w:ascii="Times New Roman" w:hAnsi="Times New Roman" w:cs="Times New Roman"/>
        </w:rPr>
        <w:tab/>
      </w:r>
    </w:p>
    <w:p w14:paraId="33E3112B" w14:textId="77777777" w:rsidR="00E839E1" w:rsidRPr="000A2E75" w:rsidRDefault="00E839E1" w:rsidP="00E839E1">
      <w:pPr>
        <w:spacing w:before="120" w:after="120"/>
        <w:ind w:firstLine="567"/>
        <w:rPr>
          <w:rFonts w:ascii="Times New Roman" w:hAnsi="Times New Roman" w:cs="Times New Roman"/>
        </w:rPr>
      </w:pPr>
    </w:p>
    <w:p w14:paraId="29166129"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“Derse başlamadan önce bazı hocalarımız sağlığımızı ya da çevremizde hasta olup olmadığını soruyordu. Geçmiş olsun diliyor ve dikkatli olmamızı söylüyordu. Bu süreçte bunları duymak beni mutlu ediyor. Hocaların ders dışında benimle ilgilenmesi önemli.”</w:t>
      </w:r>
    </w:p>
    <w:p w14:paraId="5A9A20C2" w14:textId="77777777" w:rsidR="00E839E1" w:rsidRPr="000A2E75" w:rsidRDefault="00E839E1" w:rsidP="00E839E1">
      <w:pPr>
        <w:spacing w:before="120" w:after="120"/>
        <w:ind w:firstLine="567"/>
        <w:rPr>
          <w:rFonts w:ascii="Times New Roman" w:hAnsi="Times New Roman" w:cs="Times New Roman"/>
        </w:rPr>
      </w:pPr>
    </w:p>
    <w:p w14:paraId="65E79B86" w14:textId="77777777" w:rsidR="00E839E1" w:rsidRPr="000A2E75" w:rsidRDefault="00E839E1" w:rsidP="00E839E1">
      <w:pPr>
        <w:spacing w:before="120" w:after="120"/>
        <w:ind w:firstLine="567"/>
        <w:rPr>
          <w:rFonts w:ascii="Times New Roman" w:hAnsi="Times New Roman" w:cs="Times New Roman"/>
        </w:rPr>
      </w:pPr>
    </w:p>
    <w:p w14:paraId="014656D9"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Kütüphane Desteği</w:t>
      </w:r>
    </w:p>
    <w:p w14:paraId="027E7D48" w14:textId="77777777" w:rsidR="00E839E1" w:rsidRPr="000A2E75" w:rsidRDefault="00E839E1" w:rsidP="00E839E1">
      <w:pPr>
        <w:spacing w:before="120" w:after="120"/>
        <w:ind w:firstLine="567"/>
        <w:rPr>
          <w:rFonts w:ascii="Times New Roman" w:hAnsi="Times New Roman" w:cs="Times New Roman"/>
        </w:rPr>
      </w:pPr>
    </w:p>
    <w:p w14:paraId="4998DA58"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Uzaktan eğitim sürecindeki kütüphane desteği, öğrencilere öğrenme ve araştırma noktasında özerklik kazandıracak olan imkanların sunulmasını ifade etmektedir. Bu destek öğrencilere özerk araştırma yapmaları için fırsatlar sunmaktır. Katılımcı görüşlerine göre üniversitenin kütüphane desteği sunduğu ve öğretim elemanlarının bu kaynakları kullanma noktasında gerekli yönlendirmeleri yaptıkları belirlenmiştir. Ancak katılımcı görüşleri incelendiğinde öğrencilerin bu destekten çok yararlanmadıkları ifade edilebilir.</w:t>
      </w:r>
    </w:p>
    <w:p w14:paraId="07FD473C" w14:textId="77777777" w:rsidR="00E839E1" w:rsidRPr="000A2E75" w:rsidRDefault="00E839E1" w:rsidP="00E839E1">
      <w:pPr>
        <w:spacing w:before="120" w:after="120"/>
        <w:ind w:firstLine="567"/>
        <w:rPr>
          <w:rFonts w:ascii="Times New Roman" w:hAnsi="Times New Roman" w:cs="Times New Roman"/>
        </w:rPr>
      </w:pPr>
    </w:p>
    <w:p w14:paraId="1AA28B30"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“Açıkçası bu dönemde kütüphane kaynaklarından yararlanmadım. Ders çalışmak için hocalarımızın sisteme yüklediği materyaller benim için yeterli oldu.”</w:t>
      </w:r>
    </w:p>
    <w:p w14:paraId="68C2615D" w14:textId="77777777" w:rsidR="00E839E1" w:rsidRPr="000A2E75" w:rsidRDefault="00E839E1" w:rsidP="00E839E1">
      <w:pPr>
        <w:spacing w:before="120" w:after="120"/>
        <w:ind w:firstLine="567"/>
        <w:rPr>
          <w:rFonts w:ascii="Times New Roman" w:hAnsi="Times New Roman" w:cs="Times New Roman"/>
        </w:rPr>
      </w:pPr>
    </w:p>
    <w:p w14:paraId="041E1E15"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“Mail adresimize her gün e-posta geliyordu. Üniversite farklı veri tabanlarına üye oldu ve uzaktan erişim ile bunlardan yararlanabileceğimizi bize e-posta ile bildirdiler. E-posta geldiğinde bir kere baktım ama ders süreci içerisinde yararlanmadım.”</w:t>
      </w:r>
    </w:p>
    <w:p w14:paraId="1274B152" w14:textId="77777777" w:rsidR="00E839E1" w:rsidRPr="000A2E75" w:rsidRDefault="00E839E1" w:rsidP="00E839E1">
      <w:pPr>
        <w:spacing w:before="120" w:after="120"/>
        <w:ind w:firstLine="567"/>
        <w:rPr>
          <w:rFonts w:ascii="Times New Roman" w:hAnsi="Times New Roman" w:cs="Times New Roman"/>
        </w:rPr>
      </w:pPr>
    </w:p>
    <w:p w14:paraId="21C35847"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“Benim en yararlı olarak kullandığım kaynak ders kitapları oldu. Hocalarımız derste hangi kaynağı kullanacağımız önceden söylemişlerdi. Bu nedenle ona çalıştım. Kütüphaneden yararlanabileceğimiz kaynaklar konusunda hocalarımız beni bilgilendirdi.”</w:t>
      </w:r>
    </w:p>
    <w:p w14:paraId="5E1E6C31" w14:textId="77777777" w:rsidR="00E839E1" w:rsidRPr="000A2E75" w:rsidRDefault="00E839E1" w:rsidP="00E839E1">
      <w:pPr>
        <w:spacing w:before="120" w:after="120"/>
        <w:ind w:firstLine="567"/>
        <w:rPr>
          <w:rFonts w:ascii="Times New Roman" w:hAnsi="Times New Roman" w:cs="Times New Roman"/>
        </w:rPr>
      </w:pPr>
    </w:p>
    <w:p w14:paraId="502969D1"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“Üniversitemiz uzaktan erişimle ulaşabileceğimiz kaynaklara üye oldu ve bize bilgilendirme mesajı geldi. Kütüphane desteği anlamında üniversitenin başarılı olduğunu söyleyebilirim.”</w:t>
      </w:r>
    </w:p>
    <w:p w14:paraId="5FCD64D8" w14:textId="77777777" w:rsidR="00E839E1" w:rsidRPr="000A2E75" w:rsidRDefault="00E839E1" w:rsidP="00E839E1">
      <w:pPr>
        <w:spacing w:before="120" w:after="120"/>
        <w:ind w:firstLine="567"/>
        <w:rPr>
          <w:rFonts w:ascii="Times New Roman" w:hAnsi="Times New Roman" w:cs="Times New Roman"/>
        </w:rPr>
      </w:pPr>
    </w:p>
    <w:p w14:paraId="65A29E37"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Sonuç ve Öneriler</w:t>
      </w:r>
    </w:p>
    <w:p w14:paraId="2A9C8577"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Bu çalışmada yüksek öğretimde öğrenim görmekte olan öğrenci görüşlerine göre zorunlu uzaktan eğitim sürecindeki destek hizmetlerinin belirlenmesi hedeflenmiştir. Araştırma kapsamında ilk olarak öğrencilerin önceki deneyimleri sorgulanmıştır. Katılımcıların tamamının daha önce etkileşimli bir uzaktan eğitim sürecinde bulunmadıkları belirlenmiştir. Bazı katılımcıların öğrenme maksadıyla bilişim araçlarını kullanmakla beraber bunların etkileşimli olmayan, bireysel öğrenmeler şeklinde gerçekleştiği saptanmıştır.</w:t>
      </w:r>
    </w:p>
    <w:p w14:paraId="51B8E5C5"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lastRenderedPageBreak/>
        <w:t xml:space="preserve">Yüksek öğretim öğrencilerinin zorunlu uzaktan eğitim kapsamında aldıkları destek hizmetleri, akademik, teknik, idari, danışmanlık ve kütüphane destekleri olarak beş alt başlıkta incelenmiştir. Öğrencilerin akademik açıdan zorlandıkları, bu sürecin kendilerine yüklediği özerk çalışma sorumluluğuyla ilgili zorlandıkları görülmüştür. Öğretim elemanlarının ders materyallerini yükledikleri ancak bunların öğrenciler açısından yeterli olarak görülmediği belirlenmiştir. Bu durum öğrencilerin daha önce hiç uzaktan eğitim sürecinde bulunmamasından ve yüz yüze eğitimde öğretim elemanlarının bilgiyi hazır bir şekilde sunmasına alışık olmamalarından kaynaklanıyor olabilir. </w:t>
      </w:r>
    </w:p>
    <w:p w14:paraId="3D53919B"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 xml:space="preserve">Teknik açıdan öğrencilerin uzaktan eğitim sürecinin başlangıcında zorlandıkları ancak zaman içerisinde var olan sıkıntıların giderildiği belirlenmiştir. Öğrencileri zorlayan bir diğer sıkıntı ise öğrencilerin hepsinin bilgisayar ya da tablet gibi geniş bir ekrana sahip bilişim cihazı olmamasıdır. İdari destek hizmetleri açısından da zamanla düzelen ve artan bir hizmet kalitesinin olduğu belirlenmiştir. Okul idarelerinin gerekli düzenlemeleri yapma konusunda öğrencilere destek oldukları görülmüştür. </w:t>
      </w:r>
    </w:p>
    <w:p w14:paraId="4A05B562" w14:textId="77777777" w:rsidR="00E839E1" w:rsidRPr="000A2E75"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 xml:space="preserve">Öğrencilerin en az aldıkları destek türünün danışmanlık desteği olduğu ifade edilebilir. Bu zorunlu süreçte öğrenciler en büyük desteği kendi arkadaşlarından almışlardır. Etkin şekilde sunulmuş olmasına rağmen kullanılmayan destek türü ise kütüphane desteğidir. Üniversitenin çeşitli kaynakların sunulması için gerekli adımları attığı, öğretim elemanlarının bu kaynakların kullanımıyla ilgili gerekli yönlendirmeleri yaptıkları belirlenmiştir. Ancak katılımcı görüşlerine göre öğrenciler kütüphane desteğini etkin bir şekilde kullanmamıştır. </w:t>
      </w:r>
    </w:p>
    <w:p w14:paraId="580C54C8" w14:textId="77777777" w:rsidR="00E839E1" w:rsidRDefault="00E839E1" w:rsidP="00E839E1">
      <w:pPr>
        <w:spacing w:before="120" w:after="120"/>
        <w:ind w:firstLine="567"/>
        <w:rPr>
          <w:rFonts w:ascii="Times New Roman" w:hAnsi="Times New Roman" w:cs="Times New Roman"/>
        </w:rPr>
      </w:pPr>
      <w:r w:rsidRPr="000A2E75">
        <w:rPr>
          <w:rFonts w:ascii="Times New Roman" w:hAnsi="Times New Roman" w:cs="Times New Roman"/>
        </w:rPr>
        <w:t>Bu araştırma Yozgat Bozok üniversitesinde öğrenim görmekte olan öğrencilerle sınırlıdır. Çalışmanın daha büyük çalışma gruplarıyla yinelenmesi ve nitel çalışmalarla da desteklenmesi daha geçerli sonuçların üretilmesini sağlayacaktır.</w:t>
      </w:r>
    </w:p>
    <w:p w14:paraId="4660CA91" w14:textId="77777777" w:rsidR="00C95516" w:rsidRPr="000A2E75" w:rsidRDefault="00C95516" w:rsidP="00C95516">
      <w:pPr>
        <w:spacing w:before="120"/>
        <w:ind w:firstLine="567"/>
        <w:jc w:val="both"/>
        <w:rPr>
          <w:rFonts w:ascii="Times New Roman" w:hAnsi="Times New Roman" w:cs="Times New Roman"/>
          <w:b/>
        </w:rPr>
      </w:pPr>
      <w:r>
        <w:rPr>
          <w:rFonts w:ascii="Times New Roman" w:hAnsi="Times New Roman" w:cs="Times New Roman"/>
          <w:b/>
        </w:rPr>
        <w:t>Kaynakça</w:t>
      </w:r>
    </w:p>
    <w:p w14:paraId="405725C5" w14:textId="77777777" w:rsidR="00E839E1" w:rsidRPr="000A2E75" w:rsidRDefault="00E839E1" w:rsidP="00E839E1">
      <w:pPr>
        <w:spacing w:before="120" w:after="120"/>
        <w:ind w:left="567" w:hanging="567"/>
        <w:rPr>
          <w:rFonts w:ascii="Times New Roman" w:hAnsi="Times New Roman" w:cs="Times New Roman"/>
        </w:rPr>
      </w:pPr>
      <w:r w:rsidRPr="000A2E75">
        <w:rPr>
          <w:rFonts w:ascii="Times New Roman" w:hAnsi="Times New Roman" w:cs="Times New Roman"/>
        </w:rPr>
        <w:t>Abate, A. K. (1999). Support services for distance education. Retrieved August 22, 2003, from http://eduport.com/ community/kiosk/19991/serve.htm</w:t>
      </w:r>
    </w:p>
    <w:p w14:paraId="6A50DCEB" w14:textId="77777777" w:rsidR="00E839E1" w:rsidRPr="000A2E75" w:rsidRDefault="00E839E1" w:rsidP="00E839E1">
      <w:pPr>
        <w:spacing w:before="120" w:after="120"/>
        <w:ind w:left="567" w:hanging="567"/>
        <w:rPr>
          <w:rFonts w:ascii="Times New Roman" w:hAnsi="Times New Roman" w:cs="Times New Roman"/>
        </w:rPr>
      </w:pPr>
      <w:r w:rsidRPr="000A2E75">
        <w:rPr>
          <w:rFonts w:ascii="Times New Roman" w:hAnsi="Times New Roman" w:cs="Times New Roman"/>
        </w:rPr>
        <w:t xml:space="preserve">Aoki, K., &amp; Pogroszewski, D. (1998). Virtual university reference model: A guide to delivering education and support services to the distance learner. Online Journal of Distance Learning Administration, 1(3). Retrieved August 21, 2000, from http://www.westga.edu/ </w:t>
      </w:r>
    </w:p>
    <w:p w14:paraId="3B3801DB" w14:textId="77777777" w:rsidR="00E839E1" w:rsidRPr="000A2E75" w:rsidRDefault="00E839E1" w:rsidP="00E839E1">
      <w:pPr>
        <w:spacing w:before="120" w:after="120"/>
        <w:ind w:left="567" w:hanging="567"/>
        <w:rPr>
          <w:rFonts w:ascii="Times New Roman" w:hAnsi="Times New Roman" w:cs="Times New Roman"/>
        </w:rPr>
      </w:pPr>
      <w:r w:rsidRPr="000A2E75">
        <w:rPr>
          <w:rFonts w:ascii="Times New Roman" w:hAnsi="Times New Roman" w:cs="Times New Roman"/>
        </w:rPr>
        <w:t>Bozkurt, A., &amp; Sharma, R. C. (2020). Emergency remote teaching in a time of global crisis due to CoronaVirus pandemic. Asian Journal of Distance Education, 15(1), i-vi. Retrieved from http://www.asianjde.org/ojs/index.php/AsianJDE/article/view/447</w:t>
      </w:r>
    </w:p>
    <w:p w14:paraId="6EAC0A45" w14:textId="77777777" w:rsidR="00E839E1" w:rsidRPr="000A2E75" w:rsidRDefault="00E839E1" w:rsidP="00E839E1">
      <w:pPr>
        <w:spacing w:before="120" w:after="120"/>
        <w:ind w:left="567" w:hanging="567"/>
        <w:rPr>
          <w:rFonts w:ascii="Times New Roman" w:hAnsi="Times New Roman" w:cs="Times New Roman"/>
        </w:rPr>
      </w:pPr>
      <w:r w:rsidRPr="000A2E75">
        <w:rPr>
          <w:rFonts w:ascii="Times New Roman" w:hAnsi="Times New Roman" w:cs="Times New Roman"/>
        </w:rPr>
        <w:t>Creswell, J. W. (2008). Qualitative, quantitative, and mixed methods approaches.</w:t>
      </w:r>
    </w:p>
    <w:p w14:paraId="5912DF7E" w14:textId="77777777" w:rsidR="00E839E1" w:rsidRPr="000A2E75" w:rsidRDefault="00E839E1" w:rsidP="00E839E1">
      <w:pPr>
        <w:spacing w:before="120" w:after="120"/>
        <w:ind w:left="567" w:hanging="567"/>
        <w:rPr>
          <w:rFonts w:ascii="Times New Roman" w:hAnsi="Times New Roman" w:cs="Times New Roman"/>
        </w:rPr>
      </w:pPr>
      <w:r w:rsidRPr="000A2E75">
        <w:rPr>
          <w:rFonts w:ascii="Times New Roman" w:hAnsi="Times New Roman" w:cs="Times New Roman"/>
        </w:rPr>
        <w:t>Frieden, S. (1999). Support services for distance education. Educational Technology &amp; Society, 2(3), 48-54.</w:t>
      </w:r>
    </w:p>
    <w:p w14:paraId="4414CA4D" w14:textId="77777777" w:rsidR="00E839E1" w:rsidRPr="000A2E75" w:rsidRDefault="00E839E1" w:rsidP="00E839E1">
      <w:pPr>
        <w:spacing w:before="120" w:after="120"/>
        <w:ind w:left="567" w:hanging="567"/>
        <w:rPr>
          <w:rFonts w:ascii="Times New Roman" w:hAnsi="Times New Roman" w:cs="Times New Roman"/>
        </w:rPr>
      </w:pPr>
      <w:r w:rsidRPr="000A2E75">
        <w:rPr>
          <w:rFonts w:ascii="Times New Roman" w:hAnsi="Times New Roman" w:cs="Times New Roman"/>
        </w:rPr>
        <w:t>Hodges, C., Moore, S., Lockee, B., Trust, T., &amp; Bond, A. (2020). The difference between emergency remote teaching and online learning. Educause Review, 27.</w:t>
      </w:r>
    </w:p>
    <w:p w14:paraId="6CA1CA88" w14:textId="77777777" w:rsidR="00E839E1" w:rsidRPr="000A2E75" w:rsidRDefault="00E839E1" w:rsidP="00E839E1">
      <w:pPr>
        <w:spacing w:before="120" w:after="120"/>
        <w:ind w:left="567" w:hanging="567"/>
        <w:rPr>
          <w:rFonts w:ascii="Times New Roman" w:hAnsi="Times New Roman" w:cs="Times New Roman"/>
        </w:rPr>
      </w:pPr>
      <w:r w:rsidRPr="000A2E75">
        <w:rPr>
          <w:rFonts w:ascii="Times New Roman" w:hAnsi="Times New Roman" w:cs="Times New Roman"/>
        </w:rPr>
        <w:t>Lee, J. Y. (2003). Current status of learner support in distance education: emerging issues and directions for future research. Asia Pacific Education Review, 4(2), 181-188.</w:t>
      </w:r>
    </w:p>
    <w:p w14:paraId="15E3A617" w14:textId="77777777" w:rsidR="00E839E1" w:rsidRPr="000A2E75" w:rsidRDefault="00E839E1" w:rsidP="00E839E1">
      <w:pPr>
        <w:spacing w:before="120" w:after="120"/>
        <w:ind w:left="567" w:hanging="567"/>
        <w:rPr>
          <w:rFonts w:ascii="Times New Roman" w:hAnsi="Times New Roman" w:cs="Times New Roman"/>
        </w:rPr>
      </w:pPr>
      <w:r w:rsidRPr="000A2E75">
        <w:rPr>
          <w:rFonts w:ascii="Times New Roman" w:hAnsi="Times New Roman" w:cs="Times New Roman"/>
        </w:rPr>
        <w:t>Lee, J. Y. (2003). Current status of learner support in distance education: emerging issues and directions for future research. Asia Pacific Education Review, 4(2), 181-188.</w:t>
      </w:r>
    </w:p>
    <w:p w14:paraId="59677C5F" w14:textId="77777777" w:rsidR="00E839E1" w:rsidRPr="000A2E75" w:rsidRDefault="00E839E1" w:rsidP="00E839E1">
      <w:pPr>
        <w:spacing w:before="120" w:after="120"/>
        <w:ind w:left="567" w:hanging="567"/>
        <w:rPr>
          <w:rFonts w:ascii="Times New Roman" w:hAnsi="Times New Roman" w:cs="Times New Roman"/>
        </w:rPr>
      </w:pPr>
      <w:r w:rsidRPr="000A2E75">
        <w:rPr>
          <w:rFonts w:ascii="Times New Roman" w:hAnsi="Times New Roman" w:cs="Times New Roman"/>
        </w:rPr>
        <w:t xml:space="preserve">Sahoo. (1993). Higher education at a distance. New Delhi: Sanchar Publishing House. </w:t>
      </w:r>
    </w:p>
    <w:p w14:paraId="721B354E" w14:textId="77777777" w:rsidR="00E839E1" w:rsidRPr="000A2E75" w:rsidRDefault="00E839E1" w:rsidP="00E839E1">
      <w:pPr>
        <w:spacing w:before="120" w:after="120"/>
        <w:ind w:left="567" w:hanging="567"/>
        <w:rPr>
          <w:rFonts w:ascii="Times New Roman" w:hAnsi="Times New Roman" w:cs="Times New Roman"/>
        </w:rPr>
      </w:pPr>
      <w:r w:rsidRPr="000A2E75">
        <w:rPr>
          <w:rFonts w:ascii="Times New Roman" w:hAnsi="Times New Roman" w:cs="Times New Roman"/>
        </w:rPr>
        <w:t xml:space="preserve">Stephens, K. (1996). The role of the library in distance learning: A review of UK, North American and Australian literature. The New Review of Academic Librarianship, 2, 205-234. </w:t>
      </w:r>
    </w:p>
    <w:p w14:paraId="18D8E7A7" w14:textId="77777777" w:rsidR="00E839E1" w:rsidRPr="000A2E75" w:rsidRDefault="00E839E1" w:rsidP="00E839E1">
      <w:pPr>
        <w:spacing w:before="120" w:after="120"/>
        <w:ind w:left="567" w:hanging="567"/>
        <w:rPr>
          <w:rFonts w:ascii="Times New Roman" w:hAnsi="Times New Roman" w:cs="Times New Roman"/>
        </w:rPr>
      </w:pPr>
      <w:r w:rsidRPr="000A2E75">
        <w:rPr>
          <w:rFonts w:ascii="Times New Roman" w:hAnsi="Times New Roman" w:cs="Times New Roman"/>
        </w:rPr>
        <w:lastRenderedPageBreak/>
        <w:t>Watkins, B. L., &amp; Wright, S. J. (Eds.). (1991). The foundations of American distance education. Dubuque, Iowa: Kendall/Hunt Publishing Company.</w:t>
      </w:r>
    </w:p>
    <w:p w14:paraId="543B9DF3" w14:textId="77777777" w:rsidR="00E839E1" w:rsidRPr="000A2E75" w:rsidRDefault="00E839E1" w:rsidP="00E839E1">
      <w:pPr>
        <w:spacing w:before="120" w:after="120"/>
        <w:ind w:left="567" w:hanging="567"/>
        <w:rPr>
          <w:rFonts w:ascii="Times New Roman" w:hAnsi="Times New Roman" w:cs="Times New Roman"/>
        </w:rPr>
      </w:pPr>
      <w:r w:rsidRPr="000A2E75">
        <w:rPr>
          <w:rFonts w:ascii="Times New Roman" w:hAnsi="Times New Roman" w:cs="Times New Roman"/>
        </w:rPr>
        <w:t>Yüksek Öğretim Kurumu. (2020, June 12). Assessment of the Universities regarding their Distance Learning Practices. https://www.yok.gov.tr/Sayfalar/Haberler/2020/uzaktan-egitime-yonelik-degerlendirme.aspx</w:t>
      </w:r>
      <w:r w:rsidRPr="000A2E75">
        <w:rPr>
          <w:rFonts w:ascii="Times New Roman" w:hAnsi="Times New Roman" w:cs="Times New Roman"/>
        </w:rPr>
        <w:br w:type="page"/>
      </w:r>
    </w:p>
    <w:p w14:paraId="0E275A88" w14:textId="77777777" w:rsidR="00E839E1" w:rsidRPr="000A2E75" w:rsidRDefault="00E839E1" w:rsidP="00E839E1">
      <w:pPr>
        <w:pStyle w:val="Balk1"/>
        <w:rPr>
          <w:rFonts w:ascii="Times New Roman" w:hAnsi="Times New Roman" w:cs="Times New Roman"/>
          <w:b/>
          <w:sz w:val="24"/>
          <w:szCs w:val="24"/>
        </w:rPr>
      </w:pPr>
      <w:bookmarkStart w:id="327" w:name="_Toc70612094"/>
      <w:bookmarkStart w:id="328" w:name="_Toc72754708"/>
      <w:bookmarkStart w:id="329" w:name="_Toc72755980"/>
      <w:bookmarkStart w:id="330" w:name="_Toc72961792"/>
      <w:r w:rsidRPr="000A2E75">
        <w:rPr>
          <w:rFonts w:ascii="Times New Roman" w:hAnsi="Times New Roman" w:cs="Times New Roman"/>
          <w:b/>
          <w:color w:val="000000" w:themeColor="text1"/>
          <w:sz w:val="24"/>
          <w:szCs w:val="24"/>
        </w:rPr>
        <w:lastRenderedPageBreak/>
        <w:t>UZEM ÇALIŞANLARININ ACİL UZAKTAN EĞİTİM SÜRECİNDE YAŞADIĞI SORUNLAR</w:t>
      </w:r>
      <w:bookmarkEnd w:id="327"/>
      <w:bookmarkEnd w:id="328"/>
      <w:bookmarkEnd w:id="329"/>
      <w:bookmarkEnd w:id="330"/>
    </w:p>
    <w:p w14:paraId="16C8D26C" w14:textId="77777777" w:rsidR="00E839E1" w:rsidRPr="000A2E75" w:rsidRDefault="00E839E1" w:rsidP="00E839E1">
      <w:pPr>
        <w:jc w:val="both"/>
        <w:rPr>
          <w:rFonts w:ascii="Times New Roman" w:hAnsi="Times New Roman" w:cs="Times New Roman"/>
          <w:color w:val="000000" w:themeColor="text1"/>
        </w:rPr>
      </w:pPr>
      <w:bookmarkStart w:id="331" w:name="_Toc69817074"/>
    </w:p>
    <w:p w14:paraId="313D49DC" w14:textId="77777777" w:rsidR="00E839E1" w:rsidRPr="000A2E75" w:rsidRDefault="00E839E1" w:rsidP="00E839E1">
      <w:pPr>
        <w:jc w:val="both"/>
        <w:rPr>
          <w:rFonts w:ascii="Times New Roman" w:hAnsi="Times New Roman" w:cs="Times New Roman"/>
          <w:i/>
          <w:color w:val="000000" w:themeColor="text1"/>
        </w:rPr>
      </w:pPr>
      <w:bookmarkStart w:id="332" w:name="_Toc70612095"/>
      <w:bookmarkStart w:id="333" w:name="_Toc72754709"/>
      <w:bookmarkStart w:id="334" w:name="_Toc72755981"/>
      <w:bookmarkStart w:id="335" w:name="_Toc72961793"/>
      <w:r w:rsidRPr="000A2E75">
        <w:rPr>
          <w:rStyle w:val="Balk2Char"/>
          <w:rFonts w:ascii="Times New Roman" w:eastAsiaTheme="minorHAnsi" w:hAnsi="Times New Roman" w:cs="Times New Roman"/>
          <w:b w:val="0"/>
          <w:i w:val="0"/>
          <w:sz w:val="20"/>
          <w:szCs w:val="20"/>
        </w:rPr>
        <w:t>Öğr.Gör.Erhan ÖZMEN</w:t>
      </w:r>
      <w:bookmarkEnd w:id="332"/>
      <w:bookmarkEnd w:id="333"/>
      <w:bookmarkEnd w:id="334"/>
      <w:bookmarkEnd w:id="335"/>
      <w:r w:rsidRPr="000A2E75">
        <w:rPr>
          <w:rFonts w:ascii="Times New Roman" w:hAnsi="Times New Roman" w:cs="Times New Roman"/>
          <w:color w:val="000000" w:themeColor="text1"/>
        </w:rPr>
        <w:t xml:space="preserve">, </w:t>
      </w:r>
      <w:r w:rsidRPr="000A2E75">
        <w:rPr>
          <w:rFonts w:ascii="Times New Roman" w:hAnsi="Times New Roman" w:cs="Times New Roman"/>
          <w:i/>
          <w:color w:val="000000" w:themeColor="text1"/>
        </w:rPr>
        <w:t>Fırat Üniversitesi, Elazığ, Türkiye</w:t>
      </w:r>
      <w:bookmarkEnd w:id="331"/>
    </w:p>
    <w:p w14:paraId="1747417C" w14:textId="77777777" w:rsidR="00E839E1" w:rsidRPr="000A2E75" w:rsidRDefault="00E839E1" w:rsidP="00E839E1">
      <w:pPr>
        <w:jc w:val="both"/>
        <w:rPr>
          <w:rFonts w:ascii="Times New Roman" w:hAnsi="Times New Roman" w:cs="Times New Roman"/>
          <w:color w:val="000000" w:themeColor="text1"/>
        </w:rPr>
      </w:pPr>
      <w:r w:rsidRPr="000A2E75">
        <w:rPr>
          <w:rFonts w:ascii="Times New Roman" w:hAnsi="Times New Roman" w:cs="Times New Roman"/>
          <w:i/>
          <w:color w:val="000000" w:themeColor="text1"/>
        </w:rPr>
        <w:t>e-mail:</w:t>
      </w:r>
      <w:r w:rsidRPr="000A2E75">
        <w:rPr>
          <w:rFonts w:ascii="Times New Roman" w:hAnsi="Times New Roman" w:cs="Times New Roman"/>
          <w:color w:val="000000" w:themeColor="text1"/>
          <w:u w:val="single"/>
        </w:rPr>
        <w:t xml:space="preserve">eozmen@firat.edu.tr </w:t>
      </w:r>
      <w:r w:rsidRPr="000A2E75">
        <w:rPr>
          <w:rFonts w:ascii="Times New Roman" w:hAnsi="Times New Roman" w:cs="Times New Roman"/>
          <w:i/>
          <w:color w:val="000000" w:themeColor="text1"/>
        </w:rPr>
        <w:t>ORCID ID:</w:t>
      </w:r>
      <w:r w:rsidRPr="000A2E75">
        <w:rPr>
          <w:rFonts w:ascii="Times New Roman" w:hAnsi="Times New Roman" w:cs="Times New Roman"/>
          <w:color w:val="000000" w:themeColor="text1"/>
        </w:rPr>
        <w:t xml:space="preserve"> </w:t>
      </w:r>
      <w:hyperlink r:id="rId400" w:history="1">
        <w:r w:rsidRPr="000A2E75">
          <w:rPr>
            <w:rStyle w:val="Kpr"/>
            <w:rFonts w:ascii="Times New Roman" w:hAnsi="Times New Roman" w:cs="Times New Roman"/>
          </w:rPr>
          <w:t>0000-0002-4013-6004</w:t>
        </w:r>
      </w:hyperlink>
    </w:p>
    <w:p w14:paraId="23A7ED3E" w14:textId="77777777" w:rsidR="00E839E1" w:rsidRPr="000A2E75" w:rsidRDefault="00E839E1" w:rsidP="00E839E1">
      <w:pPr>
        <w:jc w:val="both"/>
        <w:rPr>
          <w:rFonts w:ascii="Times New Roman" w:hAnsi="Times New Roman" w:cs="Times New Roman"/>
          <w:color w:val="000000" w:themeColor="text1"/>
        </w:rPr>
      </w:pPr>
      <w:bookmarkStart w:id="336" w:name="_Toc69817075"/>
    </w:p>
    <w:p w14:paraId="7C452A07" w14:textId="77777777" w:rsidR="00E839E1" w:rsidRPr="000A2E75" w:rsidRDefault="00E839E1" w:rsidP="00E839E1">
      <w:pPr>
        <w:jc w:val="both"/>
        <w:rPr>
          <w:rFonts w:ascii="Times New Roman" w:hAnsi="Times New Roman" w:cs="Times New Roman"/>
          <w:i/>
          <w:color w:val="000000" w:themeColor="text1"/>
        </w:rPr>
      </w:pPr>
      <w:bookmarkStart w:id="337" w:name="_Toc70612096"/>
      <w:bookmarkStart w:id="338" w:name="_Toc72754710"/>
      <w:bookmarkStart w:id="339" w:name="_Toc72755982"/>
      <w:bookmarkStart w:id="340" w:name="_Toc72961794"/>
      <w:r w:rsidRPr="000A2E75">
        <w:rPr>
          <w:rStyle w:val="Balk2Char"/>
          <w:rFonts w:ascii="Times New Roman" w:eastAsiaTheme="minorHAnsi" w:hAnsi="Times New Roman" w:cs="Times New Roman"/>
          <w:b w:val="0"/>
          <w:i w:val="0"/>
          <w:sz w:val="20"/>
          <w:szCs w:val="20"/>
        </w:rPr>
        <w:t>Dr. Öğr.Üyesi Ayşe Ülkü KAN</w:t>
      </w:r>
      <w:bookmarkEnd w:id="337"/>
      <w:bookmarkEnd w:id="338"/>
      <w:bookmarkEnd w:id="339"/>
      <w:bookmarkEnd w:id="340"/>
      <w:r w:rsidRPr="000A2E75">
        <w:rPr>
          <w:rFonts w:ascii="Times New Roman" w:hAnsi="Times New Roman" w:cs="Times New Roman"/>
          <w:color w:val="000000" w:themeColor="text1"/>
        </w:rPr>
        <w:t>,</w:t>
      </w:r>
      <w:r w:rsidRPr="000A2E75">
        <w:rPr>
          <w:rFonts w:ascii="Times New Roman" w:hAnsi="Times New Roman" w:cs="Times New Roman"/>
          <w:i/>
          <w:color w:val="000000" w:themeColor="text1"/>
        </w:rPr>
        <w:t>Fırat Üniversitesi, Eğitim Fakültesi, Elazığ, Türkiye</w:t>
      </w:r>
      <w:bookmarkEnd w:id="336"/>
    </w:p>
    <w:p w14:paraId="046A4BD4" w14:textId="77777777" w:rsidR="00E839E1" w:rsidRPr="000A2E75" w:rsidRDefault="00E839E1" w:rsidP="00E839E1">
      <w:pPr>
        <w:jc w:val="both"/>
        <w:rPr>
          <w:rFonts w:ascii="Times New Roman" w:hAnsi="Times New Roman" w:cs="Times New Roman"/>
          <w:color w:val="000000" w:themeColor="text1"/>
        </w:rPr>
      </w:pPr>
      <w:r w:rsidRPr="000A2E75">
        <w:rPr>
          <w:rFonts w:ascii="Times New Roman" w:hAnsi="Times New Roman" w:cs="Times New Roman"/>
          <w:i/>
          <w:color w:val="000000" w:themeColor="text1"/>
        </w:rPr>
        <w:t xml:space="preserve">e-mail: </w:t>
      </w:r>
      <w:r w:rsidRPr="000A2E75">
        <w:rPr>
          <w:rFonts w:ascii="Times New Roman" w:hAnsi="Times New Roman" w:cs="Times New Roman"/>
          <w:color w:val="000000" w:themeColor="text1"/>
          <w:u w:val="single"/>
        </w:rPr>
        <w:t>aulkukan@firat.edu.tr</w:t>
      </w:r>
      <w:r w:rsidRPr="000A2E75">
        <w:rPr>
          <w:rFonts w:ascii="Times New Roman" w:hAnsi="Times New Roman" w:cs="Times New Roman"/>
          <w:i/>
          <w:color w:val="000000" w:themeColor="text1"/>
        </w:rPr>
        <w:t xml:space="preserve"> ORCID ID: </w:t>
      </w:r>
      <w:r w:rsidRPr="000A2E75">
        <w:rPr>
          <w:rStyle w:val="Kpr"/>
          <w:rFonts w:ascii="Times New Roman" w:hAnsi="Times New Roman" w:cs="Times New Roman"/>
        </w:rPr>
        <w:t>0000-0002-1524-3326</w:t>
      </w:r>
    </w:p>
    <w:p w14:paraId="7CEBAC19" w14:textId="77777777" w:rsidR="00E839E1" w:rsidRPr="000A2E75" w:rsidRDefault="00E839E1" w:rsidP="00E839E1">
      <w:pPr>
        <w:spacing w:after="360"/>
        <w:rPr>
          <w:rFonts w:ascii="Times New Roman" w:hAnsi="Times New Roman" w:cs="Times New Roman"/>
          <w:b/>
          <w:szCs w:val="28"/>
        </w:rPr>
      </w:pPr>
    </w:p>
    <w:p w14:paraId="7836421A" w14:textId="77777777" w:rsidR="00E839E1" w:rsidRPr="000A2E75" w:rsidRDefault="00E839E1" w:rsidP="00E839E1">
      <w:pPr>
        <w:spacing w:after="360"/>
        <w:rPr>
          <w:rFonts w:ascii="Times New Roman" w:hAnsi="Times New Roman" w:cs="Times New Roman"/>
          <w:b/>
        </w:rPr>
      </w:pPr>
      <w:r w:rsidRPr="000A2E75">
        <w:rPr>
          <w:rFonts w:ascii="Times New Roman" w:hAnsi="Times New Roman" w:cs="Times New Roman"/>
          <w:b/>
        </w:rPr>
        <w:t>ÖZET</w:t>
      </w:r>
    </w:p>
    <w:p w14:paraId="5492C592" w14:textId="77777777" w:rsidR="00E839E1" w:rsidRPr="000A2E75" w:rsidRDefault="00E839E1" w:rsidP="00E839E1">
      <w:pPr>
        <w:spacing w:before="280" w:after="120"/>
        <w:ind w:firstLine="567"/>
        <w:jc w:val="both"/>
        <w:rPr>
          <w:rFonts w:ascii="Times New Roman" w:hAnsi="Times New Roman" w:cs="Times New Roman"/>
        </w:rPr>
      </w:pPr>
      <w:r w:rsidRPr="000A2E75">
        <w:rPr>
          <w:rFonts w:ascii="Times New Roman" w:hAnsi="Times New Roman" w:cs="Times New Roman"/>
        </w:rPr>
        <w:t>2019 yılının sonunda ortaya çıkan ve dünyada pandemiye neden olan Covid-19 virüsünün etkisi ile eğitim önemli bir duraksama yaşamış ve dünya, eğitim uygulamaları için alternatif arayışları içerisine girmiştir. Öğrenen ve öğretenin farklı mekânlarda bulunarak eğitimi gerçekleştirebildiği uzaktan eğitim, pandemi şartlarında uygulanabilirliği ile ön plana çıkmış ve önemini artırmıştır. Bu gelişmeler neticesinde yüz yüze eğitimin geçici olarak teknolojik ortamlara aktarılması olan acil uzaktan eğitim kavramı ortaya çıkmış ve uygulamaya konulmuştur. Çok kısa süreler içerisinde uzaktan eğitim uygulamalarına başlamak zorunda kalan eğitim kurumları, öğrenci yoğunluğu ve kısıtlı zaman nedeniyle çeşitli sorunlar yaşamıştır. Bu sorunlar ile doğrudan karşı karşıya kalan uzaktan eğitim çalışanlarının deneyimlerini ortaya koymak, yaşanan sorunlara çözüm önerisi sunabilmek ve sonra yaşanabilecek olağanüstü durumlara hazırlıklı olabilmek adına önemli görülmektedir. Bu çalışmanın amacı pandemi dönemi gerçekleştirilen uzaktan eğitim uygulamalarında uzaktan eğitim merkezi (UZEM) çalışanlarının yaşadığı sorunları tespit etmek ve bu sorunların çözümüne ilişkin önerilerde bulunmaktadır. Bu amaç doğrultusunda, bir üniversitenin uzaktan eğitim merkezinde farklı görevlerde çalışan üç idari dört akademik ve bir teknik personel olmak üzere sekiz personel ile odak grup görüşmesi gerçekleştirilmiştir. Çalışma grubu kolay ulaşılabilir durum örneklemesine uygun olarak belirlenmiştir. Nitel araştırma desenlerinden olan fenomenolojinin kullanıldığı çalışmada elde edilen veriler içerik analizi yöntemi ile çözümlenmiştir. Araştırma sonucunda, UZEM çalışanlarının bu süreçte yaşadığı sorunların öğrenci merkezli, eğitmen merkezli, sistem merkezli ve diğer sorunlar olarak dört kategori altında toplandığı tespit edilmiş ve bu sorunlar çerçevesinde çözüm önerileri sunulmaya çalışılmıştır.</w:t>
      </w:r>
    </w:p>
    <w:p w14:paraId="1DB2620F" w14:textId="77777777" w:rsidR="00E839E1" w:rsidRPr="000A2E75" w:rsidRDefault="00E839E1" w:rsidP="00E839E1">
      <w:pPr>
        <w:spacing w:before="280" w:after="120"/>
        <w:ind w:right="1417" w:firstLine="1"/>
        <w:jc w:val="both"/>
        <w:rPr>
          <w:rFonts w:ascii="Times New Roman" w:hAnsi="Times New Roman" w:cs="Times New Roman"/>
        </w:rPr>
      </w:pPr>
      <w:r w:rsidRPr="000A2E75">
        <w:rPr>
          <w:rFonts w:ascii="Times New Roman" w:hAnsi="Times New Roman" w:cs="Times New Roman"/>
          <w:b/>
        </w:rPr>
        <w:t xml:space="preserve">Anahtar Kelimeler: </w:t>
      </w:r>
      <w:r w:rsidRPr="000A2E75">
        <w:rPr>
          <w:rFonts w:ascii="Times New Roman" w:hAnsi="Times New Roman" w:cs="Times New Roman"/>
        </w:rPr>
        <w:t>Acil uzaktan eğitim, Covid-19, UZEM çalışanı, pandemi</w:t>
      </w:r>
    </w:p>
    <w:p w14:paraId="5F68A221" w14:textId="77777777" w:rsidR="00E839E1" w:rsidRPr="000A2E75" w:rsidRDefault="00E839E1" w:rsidP="00E839E1">
      <w:pPr>
        <w:spacing w:before="280" w:after="120"/>
        <w:ind w:firstLine="1"/>
        <w:jc w:val="center"/>
        <w:rPr>
          <w:rFonts w:ascii="Times New Roman" w:hAnsi="Times New Roman" w:cs="Times New Roman"/>
          <w:b/>
        </w:rPr>
      </w:pPr>
      <w:r w:rsidRPr="000A2E75">
        <w:rPr>
          <w:rFonts w:ascii="Times New Roman" w:hAnsi="Times New Roman" w:cs="Times New Roman"/>
          <w:b/>
        </w:rPr>
        <w:t>ABSTRACT</w:t>
      </w:r>
    </w:p>
    <w:p w14:paraId="4C20AD2B" w14:textId="77777777" w:rsidR="00E839E1" w:rsidRPr="000A2E75" w:rsidRDefault="00E839E1" w:rsidP="00E839E1">
      <w:pPr>
        <w:spacing w:before="280" w:after="120"/>
        <w:ind w:firstLine="567"/>
        <w:jc w:val="both"/>
        <w:rPr>
          <w:rFonts w:ascii="Times New Roman" w:hAnsi="Times New Roman" w:cs="Times New Roman"/>
        </w:rPr>
      </w:pPr>
      <w:r w:rsidRPr="000A2E75">
        <w:rPr>
          <w:rFonts w:ascii="Times New Roman" w:hAnsi="Times New Roman" w:cs="Times New Roman"/>
        </w:rPr>
        <w:t xml:space="preserve">With the effect of the Covid-19 virus, which emerged at the end of 2019 and caused a pandemic in the world, education has experienced a significant pause and the world has been in search of alternatives for educational practices. Distance education, where the learner and the teacher can perform education by being in different places, has reached the fore with its applicability to pandemic conditions and has increased its importance. As a result of these developments, the concept of emergency distance education, which is a temporary transfer of face-to-face education to technological environments, has emerged and has been put into practice. Educational institutions, which had to start distance education practices in a very short time, experienced various problems due to student density and limited time. It is considered important in order to reveal the experiences of distance education employees who are directly faced with these problems, to offer solutions to the problems and to be prepared for </w:t>
      </w:r>
      <w:r w:rsidRPr="000A2E75">
        <w:rPr>
          <w:rFonts w:ascii="Times New Roman" w:hAnsi="Times New Roman" w:cs="Times New Roman"/>
        </w:rPr>
        <w:lastRenderedPageBreak/>
        <w:t>extraordinary situations that may occur later. The purpose of this study is to identify the problems experienced by the employees of the distance education center (UZEM) in the distance education applications carried out during the pandemic period and to make suggestions for the solution of these problems. In line with this purpose, focus group interviews were conducted with a total of eight personnel, three of whom were administrative, four of whom were academic and one of whom were technical, working in different positions at the distance education center of a university. The study group was determined in accordance with the easily accessible case sample. The data obtained in the study using phenomenology, which is one of the qualitative research designs, was analyzed by content analysis method. As a result of the research, it was determined that the problems experienced by UZEM employees in this process were grouped under four categories as student-centered, instructor-centered, system-centered, and other problems, and solution suggestions were tried to be presented within the framework of these problems.</w:t>
      </w:r>
    </w:p>
    <w:p w14:paraId="1CA03B04" w14:textId="77777777" w:rsidR="00E839E1" w:rsidRPr="000A2E75" w:rsidRDefault="00E839E1" w:rsidP="00E839E1">
      <w:pPr>
        <w:spacing w:before="280" w:after="120"/>
        <w:jc w:val="both"/>
        <w:rPr>
          <w:rFonts w:ascii="Times New Roman" w:hAnsi="Times New Roman" w:cs="Times New Roman"/>
          <w:b/>
        </w:rPr>
      </w:pPr>
      <w:r w:rsidRPr="000A2E75">
        <w:rPr>
          <w:rFonts w:ascii="Times New Roman" w:hAnsi="Times New Roman" w:cs="Times New Roman"/>
          <w:b/>
        </w:rPr>
        <w:t xml:space="preserve">Keywords: </w:t>
      </w:r>
      <w:r w:rsidRPr="000A2E75">
        <w:rPr>
          <w:rFonts w:ascii="Times New Roman" w:hAnsi="Times New Roman" w:cs="Times New Roman"/>
        </w:rPr>
        <w:t>Emergency distance learning,</w:t>
      </w:r>
      <w:r w:rsidRPr="000A2E75">
        <w:rPr>
          <w:rFonts w:ascii="Times New Roman" w:hAnsi="Times New Roman" w:cs="Times New Roman"/>
          <w:b/>
        </w:rPr>
        <w:t xml:space="preserve"> </w:t>
      </w:r>
      <w:r w:rsidRPr="000A2E75">
        <w:rPr>
          <w:rFonts w:ascii="Times New Roman" w:hAnsi="Times New Roman" w:cs="Times New Roman"/>
        </w:rPr>
        <w:t>Covid-19, UZEM employee, Pandemic</w:t>
      </w:r>
    </w:p>
    <w:p w14:paraId="4A04CD9D" w14:textId="77777777" w:rsidR="00E839E1" w:rsidRPr="000A2E75" w:rsidRDefault="00E839E1" w:rsidP="00E839E1">
      <w:pPr>
        <w:spacing w:before="280" w:after="120"/>
        <w:ind w:firstLine="567"/>
        <w:jc w:val="both"/>
        <w:rPr>
          <w:rFonts w:ascii="Times New Roman" w:hAnsi="Times New Roman" w:cs="Times New Roman"/>
          <w:b/>
        </w:rPr>
      </w:pPr>
      <w:r w:rsidRPr="000A2E75">
        <w:rPr>
          <w:rFonts w:ascii="Times New Roman" w:hAnsi="Times New Roman" w:cs="Times New Roman"/>
          <w:b/>
        </w:rPr>
        <w:t>GİRİŞ</w:t>
      </w:r>
    </w:p>
    <w:p w14:paraId="3550CC9D" w14:textId="77777777" w:rsidR="00E839E1" w:rsidRPr="000A2E75" w:rsidRDefault="00E839E1" w:rsidP="00E839E1">
      <w:pPr>
        <w:spacing w:before="280" w:after="120"/>
        <w:ind w:firstLine="567"/>
        <w:jc w:val="both"/>
        <w:rPr>
          <w:rFonts w:ascii="Times New Roman" w:hAnsi="Times New Roman" w:cs="Times New Roman"/>
        </w:rPr>
      </w:pPr>
      <w:r w:rsidRPr="000A2E75">
        <w:rPr>
          <w:rFonts w:ascii="Times New Roman" w:hAnsi="Times New Roman" w:cs="Times New Roman"/>
        </w:rPr>
        <w:t>Uzaktan eğitim kavramı uzun yıllar yüz yüze eğitim ile beraber veya ona alternatif olacak şekilde kullanılan bir eğitim uygulamasıdır.  Kavram olarak ilk defa 19. yüzyılda Wisconsin Üniversitesinde kullanılan uzaktan eğitim, 20. yüzyılda bugünkü anlamıyla kullanılmaya başlanmıştır (Adıyaman, 2002). Öğrenen ve öğretinin fiziksel mekânlardan bağımsız şekilde eğitim faaliyetlerini sürdürmesi süreci olarak tanımlanan uzaktan eğitim (Akdemir, 2011) zaman içerisinde meydana gelen gelişmeler ile çeşitli değişimlere uğramıştır. Uzaktan eğitimin değişmesinde rol alan kavramsal ve teknolojik gelişmelerin yanı sıra salgınlar, depremler, nüfus artışı gibi etkenlerde bu değişime ciddi şekilde katkı sağlamıştır.</w:t>
      </w:r>
    </w:p>
    <w:p w14:paraId="77C66EEF" w14:textId="77777777" w:rsidR="00E839E1" w:rsidRPr="000A2E75" w:rsidRDefault="00E839E1" w:rsidP="00E839E1">
      <w:pPr>
        <w:spacing w:after="120"/>
        <w:ind w:firstLine="567"/>
        <w:jc w:val="both"/>
        <w:rPr>
          <w:rFonts w:ascii="Times New Roman" w:hAnsi="Times New Roman" w:cs="Times New Roman"/>
        </w:rPr>
      </w:pPr>
      <w:r w:rsidRPr="000A2E75">
        <w:rPr>
          <w:rFonts w:ascii="Times New Roman" w:hAnsi="Times New Roman" w:cs="Times New Roman"/>
        </w:rPr>
        <w:t xml:space="preserve">2019 yılının sonunda Çin'in Wuhan kentinde ortaya çıktığı savunulan ve 2020 yılı ile birlikte tüm dünyaya yayılan Covid-19 virüsü küresel anlamda önce sağlık olmak üzere eğitim, ekonomi ve sosyal hayat üzerinde ciddi tehditler oluşturmaya başlamıştır (WHO, 2020). Virüsün yayılması, birçok ülkede bulunan 1,5 milyondan fazla öğrenciyi doğrudan etkilemiş ve öğrencilerin eğitimlerinin kesintiye uğramasına sebep olmuştur (UNESCO, 2020). Eğitimin sürdürülebilirliğini sağlamak için tüm dünya çeşitli alternatif arayışları içerisine girmiştir. Eğitimi mekândan bağımsız hale getirme özelliği ile uzaktan eğitim (Arat ve Balkan, 2014), pandemi koşullarında eğitimin devamlılığı açısından en önemli seçenek haline gelmiştir. Covid-19 pandemisi öncesi gerçekleştirilen uzaktan eğitim sürecinde uzaktan eğitimin hangi öğretim yönetim sistemi ile gerçekleştirileceği, hangi eğitsel alt disiplin için ne tür öğretim tasarımlarının kullanılacağı, uzaktan eğitimin ne şekilde verileceği (senkron-asenkron), eş zamanlı etkinliklerin ne zaman planlanacağı ve içeriklerin çoklu ortam yeterliliklerinin ne düzeyde olduğu gibi sorulara cevap aranırken (Demir, 2014) pandemi süreci uzaktan eğitim uygulamalarında bu durum gerçekçi olmaktan uzaklaşmıştır. Planlamanın yapılamaması ve çok kısa süre içerisinde uzaktan eğitim yapılabilme ihtiyacının doğması, yeni kavramların ortaya çıkmasına sebep olmuştur. Kriz durumlarında yüz yüze eğitimin, uzaktan eğitim çözümleri kullanılarak sürdürülebilmesi için geçici çözüm yolları sunan acil uzaktan eğitim bu kavramlardan biridir (Hodges, Moore, Lockee, Trust, &amp; Bond, 2020). Örgün eğitime göre planlanmış üniversiteler Covid-19 salgını ile beraber yüz yüze eğitim faaliyetlerini web tabanlı ortamlara taşımış ve acil uzaktan eğitim uygulamalarına başlamıştır (Lau, Yang, &amp; Dasgupta, 2020). Bu durum standart kapasitesinin üzerinde hizmet vermek zorunda kalan uzaktan eğitim birimleri açısından çeşitli sorunları beraberinde getirmiştir. Bu sorunlar ile doğrudan karşı karşıya kalan uzaktan eğitim çalışanlarının deneyimlerini ortaya koymak, yaşanan sorunlara çözüm önerisi getirebilmek ve sonra tekrar edebilecek kriz durumlarına hazırlıklı olabilmek açısından gerekli görülmektedir. Bu çalışmanın amacı Covid-19 pandemisi süresince gerçekleştirilen acil uzaktan </w:t>
      </w:r>
      <w:r w:rsidRPr="000A2E75">
        <w:rPr>
          <w:rFonts w:ascii="Times New Roman" w:hAnsi="Times New Roman" w:cs="Times New Roman"/>
        </w:rPr>
        <w:lastRenderedPageBreak/>
        <w:t>eğitim uygulamalarında uzaktan eğitim merkezi (UZEM) personelinin karşı karşıya kaldığı sorunları ortaya koymak ve bu sorunlara yönelik çözüm önerileri sunmaktır.</w:t>
      </w:r>
    </w:p>
    <w:p w14:paraId="129AC71B" w14:textId="77777777" w:rsidR="00E839E1" w:rsidRPr="000A2E75" w:rsidRDefault="00E839E1" w:rsidP="00E839E1">
      <w:pPr>
        <w:spacing w:before="280" w:after="120"/>
        <w:ind w:firstLine="567"/>
        <w:jc w:val="both"/>
        <w:rPr>
          <w:rFonts w:ascii="Times New Roman" w:hAnsi="Times New Roman" w:cs="Times New Roman"/>
          <w:b/>
        </w:rPr>
      </w:pPr>
      <w:r w:rsidRPr="000A2E75">
        <w:rPr>
          <w:rFonts w:ascii="Times New Roman" w:hAnsi="Times New Roman" w:cs="Times New Roman"/>
          <w:b/>
        </w:rPr>
        <w:t>YÖNTEM</w:t>
      </w:r>
    </w:p>
    <w:p w14:paraId="56D50916" w14:textId="77777777" w:rsidR="00E839E1" w:rsidRPr="000A2E75" w:rsidRDefault="00E839E1" w:rsidP="00E839E1">
      <w:pPr>
        <w:spacing w:before="280" w:after="120"/>
        <w:ind w:firstLine="567"/>
        <w:jc w:val="both"/>
        <w:rPr>
          <w:rFonts w:ascii="Times New Roman" w:hAnsi="Times New Roman" w:cs="Times New Roman"/>
        </w:rPr>
      </w:pPr>
      <w:r w:rsidRPr="000A2E75">
        <w:rPr>
          <w:rFonts w:ascii="Times New Roman" w:hAnsi="Times New Roman" w:cs="Times New Roman"/>
        </w:rPr>
        <w:t>Nitel araştırma yöntemine uygun olarak yürütülen bu çalışmada olgu bilim deseni kullanılmıştır. Olgu bilim farkında olduğumuz ama derinlemesine bilgi sahibi olmadığımız konular üzerinde yoğunlaşan ve bu konulara ilişkin yönelimleri tespit etmeyi amaçlayan nitel bir araştırma desenidir (Yıldırım ve Şimşek, 2016). Bu bağlamda, araştırmanın çalışma grubunu oluşturan UZEM çalışanlarının pandemi sürecinde çalışma ortamlarında yaşanan sorunlara ilişkin algıları belirlenmeye çalışılmıştır.</w:t>
      </w:r>
    </w:p>
    <w:p w14:paraId="45CA6643" w14:textId="77777777" w:rsidR="00E839E1" w:rsidRPr="000A2E75" w:rsidRDefault="00E839E1" w:rsidP="00E839E1">
      <w:pPr>
        <w:spacing w:before="280" w:after="120"/>
        <w:ind w:firstLine="567"/>
        <w:jc w:val="both"/>
        <w:rPr>
          <w:rFonts w:ascii="Times New Roman" w:hAnsi="Times New Roman" w:cs="Times New Roman"/>
          <w:b/>
        </w:rPr>
      </w:pPr>
      <w:r w:rsidRPr="000A2E75">
        <w:rPr>
          <w:rFonts w:ascii="Times New Roman" w:hAnsi="Times New Roman" w:cs="Times New Roman"/>
          <w:b/>
        </w:rPr>
        <w:t xml:space="preserve">Çalışma grubu </w:t>
      </w:r>
    </w:p>
    <w:p w14:paraId="00C1E6F2" w14:textId="77777777" w:rsidR="00E839E1" w:rsidRPr="000A2E75" w:rsidRDefault="00E839E1" w:rsidP="00E839E1">
      <w:pPr>
        <w:spacing w:before="280" w:after="120"/>
        <w:ind w:firstLine="567"/>
        <w:jc w:val="both"/>
        <w:rPr>
          <w:rFonts w:ascii="Times New Roman" w:hAnsi="Times New Roman" w:cs="Times New Roman"/>
        </w:rPr>
      </w:pPr>
      <w:r w:rsidRPr="000A2E75">
        <w:rPr>
          <w:rFonts w:ascii="Times New Roman" w:hAnsi="Times New Roman" w:cs="Times New Roman"/>
        </w:rPr>
        <w:t>Araştırmanın çalışma grubunu bir devlet üniversitesinde UZEM’de görev yapan üç idari dört akademik ve bir teknik personel olmak üzere sekiz katılımcı oluşturmaktadır. Kolay ulaşılabilir durum örneklemesine göre seçilen grup pandemi öncesi uzaktan eğitim deneyimi olanlar ve olmayanlar diye iki farklı grupta ele alınmıştır. Araştırmada çözümlemeler bu doğrultuda yapılmıştır. Çalışma grubuna ilişkin bilgiler Şekil 1’de gösterilmiştir.</w:t>
      </w:r>
    </w:p>
    <w:p w14:paraId="29C573C9" w14:textId="77777777" w:rsidR="00E839E1" w:rsidRPr="000A2E75" w:rsidRDefault="00E839E1" w:rsidP="00E839E1">
      <w:pPr>
        <w:spacing w:before="280" w:after="120"/>
        <w:ind w:firstLine="720"/>
        <w:jc w:val="both"/>
        <w:rPr>
          <w:rFonts w:ascii="Times New Roman" w:hAnsi="Times New Roman" w:cs="Times New Roman"/>
        </w:rPr>
      </w:pPr>
      <w:r w:rsidRPr="000A2E75">
        <w:rPr>
          <w:rFonts w:ascii="Times New Roman" w:hAnsi="Times New Roman" w:cs="Times New Roman"/>
          <w:i/>
        </w:rPr>
        <w:t>Şekil 1.</w:t>
      </w:r>
      <w:r w:rsidRPr="000A2E75">
        <w:rPr>
          <w:rFonts w:ascii="Times New Roman" w:hAnsi="Times New Roman" w:cs="Times New Roman"/>
        </w:rPr>
        <w:t xml:space="preserve"> Çalışma grubuna ilişkin bilgiler</w:t>
      </w:r>
    </w:p>
    <w:p w14:paraId="16F79D65" w14:textId="77777777" w:rsidR="00E839E1" w:rsidRPr="000A2E75" w:rsidRDefault="00E839E1" w:rsidP="00E839E1">
      <w:pPr>
        <w:spacing w:before="280" w:after="120"/>
        <w:ind w:firstLine="720"/>
        <w:jc w:val="center"/>
        <w:rPr>
          <w:rFonts w:ascii="Times New Roman" w:hAnsi="Times New Roman" w:cs="Times New Roman"/>
        </w:rPr>
      </w:pPr>
      <w:r w:rsidRPr="000A2E75">
        <w:rPr>
          <w:rFonts w:ascii="Times New Roman" w:hAnsi="Times New Roman" w:cs="Times New Roman"/>
          <w:noProof/>
          <w:lang w:val="en-US"/>
        </w:rPr>
        <w:drawing>
          <wp:inline distT="0" distB="0" distL="0" distR="0" wp14:anchorId="71D41AB7" wp14:editId="7111C31B">
            <wp:extent cx="4510585" cy="2490717"/>
            <wp:effectExtent l="0" t="0" r="0" b="0"/>
            <wp:docPr id="254" name="Grafik 254"/>
            <wp:cNvGraphicFramePr/>
            <a:graphic xmlns:a="http://schemas.openxmlformats.org/drawingml/2006/main">
              <a:graphicData uri="http://schemas.openxmlformats.org/drawingml/2006/chart">
                <c:chart xmlns:c="http://schemas.openxmlformats.org/drawingml/2006/chart" xmlns:r="http://schemas.openxmlformats.org/officeDocument/2006/relationships" r:id="rId401"/>
              </a:graphicData>
            </a:graphic>
          </wp:inline>
        </w:drawing>
      </w:r>
    </w:p>
    <w:p w14:paraId="345DF396" w14:textId="77777777" w:rsidR="00E839E1" w:rsidRPr="000A2E75" w:rsidRDefault="00E839E1" w:rsidP="00E839E1">
      <w:pPr>
        <w:spacing w:before="280" w:after="120"/>
        <w:ind w:firstLine="567"/>
        <w:jc w:val="both"/>
        <w:rPr>
          <w:rFonts w:ascii="Times New Roman" w:hAnsi="Times New Roman" w:cs="Times New Roman"/>
        </w:rPr>
      </w:pPr>
      <w:r w:rsidRPr="000A2E75">
        <w:rPr>
          <w:rFonts w:ascii="Times New Roman" w:hAnsi="Times New Roman" w:cs="Times New Roman"/>
        </w:rPr>
        <w:t>Şekil 1 incelendiğinde belirlenen çalışma grubu içerisinde pandemi öncesi uzaktan eğitim deneyimi olan iki akademik, bir idari ve bir teknik personel olduğu, Pandemi öncesi uzaktan eğitim deneyimi olmayan personeller incelendiğinde ise iki akademik iki idari personel olduğu görülmektedir.</w:t>
      </w:r>
    </w:p>
    <w:p w14:paraId="1356930E" w14:textId="77777777" w:rsidR="00E839E1" w:rsidRPr="000A2E75" w:rsidRDefault="00E839E1" w:rsidP="00E839E1">
      <w:pPr>
        <w:spacing w:before="280" w:after="120"/>
        <w:ind w:firstLine="567"/>
        <w:jc w:val="both"/>
        <w:rPr>
          <w:rFonts w:ascii="Times New Roman" w:hAnsi="Times New Roman" w:cs="Times New Roman"/>
          <w:b/>
        </w:rPr>
      </w:pPr>
    </w:p>
    <w:p w14:paraId="7B543BD7" w14:textId="77777777" w:rsidR="00E839E1" w:rsidRPr="000A2E75" w:rsidRDefault="00E839E1" w:rsidP="00E839E1">
      <w:pPr>
        <w:spacing w:before="280" w:after="120"/>
        <w:ind w:firstLine="567"/>
        <w:jc w:val="both"/>
        <w:rPr>
          <w:rFonts w:ascii="Times New Roman" w:hAnsi="Times New Roman" w:cs="Times New Roman"/>
          <w:b/>
        </w:rPr>
      </w:pPr>
      <w:r w:rsidRPr="000A2E75">
        <w:rPr>
          <w:rFonts w:ascii="Times New Roman" w:hAnsi="Times New Roman" w:cs="Times New Roman"/>
          <w:b/>
        </w:rPr>
        <w:t>Verilerin toplanması ve analizi</w:t>
      </w:r>
    </w:p>
    <w:p w14:paraId="69888EB1" w14:textId="77777777" w:rsidR="00E839E1" w:rsidRPr="000A2E75" w:rsidRDefault="00E839E1" w:rsidP="00E839E1">
      <w:pPr>
        <w:spacing w:before="280" w:after="120"/>
        <w:ind w:firstLine="567"/>
        <w:jc w:val="both"/>
        <w:rPr>
          <w:rFonts w:ascii="Times New Roman" w:hAnsi="Times New Roman" w:cs="Times New Roman"/>
        </w:rPr>
      </w:pPr>
      <w:r w:rsidRPr="000A2E75">
        <w:rPr>
          <w:rFonts w:ascii="Times New Roman" w:hAnsi="Times New Roman" w:cs="Times New Roman"/>
        </w:rPr>
        <w:t xml:space="preserve">Bu araştırmada veriler grup içi etkileşimin ön planda tutulduğu odak grup görüşmesinden yararlanılarak toplanmıştır. Odak grup görüşmesi bir gruptaki bireylerin diğer bireylerin görüşleri ile etkileşim sağlayarak, bağımlı olmadan görüşlerini ifade ettiği yüksek nitelikli veri elde etmeyi amaçlayan görüşme tekniğidir (Patton, 2002). Odak grup görüşmesinde amacın ortaya konması, odak grup görüşmesi sorularının geliştirilmesi, teknoloji ve yerin belirlenmesi, görüşmenin pilot denemesinin </w:t>
      </w:r>
      <w:r w:rsidRPr="000A2E75">
        <w:rPr>
          <w:rFonts w:ascii="Times New Roman" w:hAnsi="Times New Roman" w:cs="Times New Roman"/>
        </w:rPr>
        <w:lastRenderedPageBreak/>
        <w:t xml:space="preserve">yapılması, katılımcıların belirlenmesi, çalışmanın gerçekleştirilmesi ve verilerin düzenlenip analiz edilmesi aşamaları dikkate alınmıştır (Krueger ve Casey, 2000; Patton, 2002). </w:t>
      </w:r>
    </w:p>
    <w:p w14:paraId="36D70DF8" w14:textId="77777777" w:rsidR="00E839E1" w:rsidRPr="000A2E75" w:rsidRDefault="00E839E1" w:rsidP="00E839E1">
      <w:pPr>
        <w:spacing w:before="280" w:after="120"/>
        <w:ind w:firstLine="567"/>
        <w:jc w:val="both"/>
        <w:rPr>
          <w:rFonts w:ascii="Times New Roman" w:hAnsi="Times New Roman" w:cs="Times New Roman"/>
        </w:rPr>
      </w:pPr>
      <w:r w:rsidRPr="000A2E75">
        <w:rPr>
          <w:rFonts w:ascii="Times New Roman" w:hAnsi="Times New Roman" w:cs="Times New Roman"/>
        </w:rPr>
        <w:t xml:space="preserve">Odak grup görüşmelerinde araştırma soru sayısı, görüşme esnasında eklenebilecek diğer sorular göz önüne alınarak üç ile dört civarında olması önerilmektedir (Yıldırım ve Şimşek, 2016). Bu bağlamda görüşme esnasında kullanılmak üzere dört sorudan oluşan yarı yapılandırılmış bir form oluşturulmuş ve görüşme sırasında soruların sayısı ve çeşitliliğinin artması sağlanmıştır. Katılımcıların fiziksel imkânlar ve pandemi koşulları doğrultusunda sosyal mesafeye dikkat ederek yuvarlak masa etrafında konum alabileceği ve etkileşimin üst seviyede olabileceği bir yer belirlenmiş ve odak grup görüşmesi kaydını alabilmek adına ses kayıt cihazı kullanılmıştır. UZEM personeli olan sekiz kişi kolay ulaşılabilir örnekleme yöntemi kullanılarak belirlenmiş ve görüşmeye davet edilmiştir. Odak grup görüşmelerinde tercih edilecek ideal katılımcı sayısı altı ile sekiz arasında olması önerilmektedir (Yıldırım ve Şimşek, 2016). Katılımcıların isimlerinin gizli tutulacağı belirtilmiş ve görüşme sırasında kullandıkları ifadeler aynen kullanılmıştır. Görüşme gerçekleştirildikten sonra kayıt cihazı ile elde edilen veriler yazıya dönüştürülmüş ve iki araştırmacı tarafından içerik analizi yöntemi kullanılarak analiz edilmiştir. İçerik analizi çeşitli kaynaklardan elde edilen verileri sistematik bir şekilde birbirinden ayrılabilmesi, karşılaştırılabilmesi ve anlamlı hale getirilebilmesi için kullanılan bir çözümleme tekniğidir (Yıldırım ve Şimşek, 2016).  </w:t>
      </w:r>
    </w:p>
    <w:p w14:paraId="733FAB9F" w14:textId="77777777" w:rsidR="00E839E1" w:rsidRPr="000A2E75" w:rsidRDefault="00E839E1" w:rsidP="00E839E1">
      <w:pPr>
        <w:spacing w:before="280" w:after="120"/>
        <w:ind w:firstLine="567"/>
        <w:jc w:val="both"/>
        <w:rPr>
          <w:rFonts w:ascii="Times New Roman" w:hAnsi="Times New Roman" w:cs="Times New Roman"/>
          <w:b/>
        </w:rPr>
      </w:pPr>
      <w:r w:rsidRPr="000A2E75">
        <w:rPr>
          <w:rFonts w:ascii="Times New Roman" w:hAnsi="Times New Roman" w:cs="Times New Roman"/>
          <w:b/>
        </w:rPr>
        <w:t>BULGULAR</w:t>
      </w:r>
    </w:p>
    <w:p w14:paraId="6CA7EC5E" w14:textId="77777777" w:rsidR="00E839E1" w:rsidRPr="000A2E75" w:rsidRDefault="00E839E1" w:rsidP="00E839E1">
      <w:pPr>
        <w:spacing w:before="280" w:after="120"/>
        <w:ind w:firstLine="567"/>
        <w:jc w:val="both"/>
        <w:rPr>
          <w:rFonts w:ascii="Times New Roman" w:hAnsi="Times New Roman" w:cs="Times New Roman"/>
        </w:rPr>
      </w:pPr>
      <w:r w:rsidRPr="000A2E75">
        <w:rPr>
          <w:rFonts w:ascii="Times New Roman" w:hAnsi="Times New Roman" w:cs="Times New Roman"/>
        </w:rPr>
        <w:t>Bu bölümde araştırma sonucunda elde edilen verilerin analizine ve buna ilişkin ortaya çıkan bulgulara yer verilmiştir. Odak grup görüşmesi neticesinde ortaya konan görüşler dört farklı ana tema altında tablolaştırılmış ve kullanım tekrarına göre frekans bilgilerine yer verilmiştir. Bu ana temalar öğrenci merkezli, eğitmen merkezli, sistem merkezli sorunlar ve diğer sorunlar olarak tespit edilmiştir.</w:t>
      </w:r>
    </w:p>
    <w:p w14:paraId="0123CADD" w14:textId="77777777" w:rsidR="00E839E1" w:rsidRPr="000A2E75" w:rsidRDefault="00E839E1" w:rsidP="00E839E1">
      <w:pPr>
        <w:spacing w:before="280" w:after="120"/>
        <w:ind w:firstLine="567"/>
        <w:jc w:val="both"/>
        <w:rPr>
          <w:rFonts w:ascii="Times New Roman" w:hAnsi="Times New Roman" w:cs="Times New Roman"/>
          <w:b/>
        </w:rPr>
      </w:pPr>
      <w:r w:rsidRPr="000A2E75">
        <w:rPr>
          <w:rFonts w:ascii="Times New Roman" w:hAnsi="Times New Roman" w:cs="Times New Roman"/>
          <w:b/>
        </w:rPr>
        <w:t xml:space="preserve">Öğrenci merkezli sorunlar </w:t>
      </w:r>
    </w:p>
    <w:p w14:paraId="552A2560" w14:textId="77777777" w:rsidR="00E839E1" w:rsidRPr="000A2E75" w:rsidRDefault="00E839E1" w:rsidP="00E839E1">
      <w:pPr>
        <w:spacing w:before="280" w:after="120"/>
        <w:ind w:firstLine="567"/>
        <w:jc w:val="both"/>
        <w:rPr>
          <w:rFonts w:ascii="Times New Roman" w:hAnsi="Times New Roman" w:cs="Times New Roman"/>
        </w:rPr>
      </w:pPr>
      <w:r w:rsidRPr="000A2E75">
        <w:rPr>
          <w:rFonts w:ascii="Times New Roman" w:hAnsi="Times New Roman" w:cs="Times New Roman"/>
        </w:rPr>
        <w:t xml:space="preserve">UZEM çalışanlarının öğrencilerden kaynaklı yaşadığı sorunlar tablo 1’de gösterilmiştir. </w:t>
      </w:r>
    </w:p>
    <w:p w14:paraId="4CE8AA58" w14:textId="77777777" w:rsidR="00E839E1" w:rsidRPr="000A2E75" w:rsidRDefault="00E839E1" w:rsidP="00E839E1">
      <w:pPr>
        <w:spacing w:before="280" w:after="120"/>
        <w:rPr>
          <w:rFonts w:ascii="Times New Roman" w:hAnsi="Times New Roman" w:cs="Times New Roman"/>
        </w:rPr>
      </w:pPr>
      <w:r w:rsidRPr="000A2E75">
        <w:rPr>
          <w:rFonts w:ascii="Times New Roman" w:hAnsi="Times New Roman" w:cs="Times New Roman"/>
          <w:i/>
        </w:rPr>
        <w:t>Tablo 1.</w:t>
      </w:r>
      <w:r w:rsidRPr="000A2E75">
        <w:rPr>
          <w:rFonts w:ascii="Times New Roman" w:hAnsi="Times New Roman" w:cs="Times New Roman"/>
        </w:rPr>
        <w:t xml:space="preserve"> UZEM çalışanlarının öğrencilerden kaynaklı yaşadığı sorunlar </w:t>
      </w:r>
    </w:p>
    <w:tbl>
      <w:tblPr>
        <w:tblW w:w="8815" w:type="dxa"/>
        <w:tblInd w:w="257" w:type="dxa"/>
        <w:tblBorders>
          <w:top w:val="single" w:sz="4" w:space="0" w:color="000000"/>
          <w:bottom w:val="single" w:sz="4" w:space="0" w:color="000000"/>
        </w:tblBorders>
        <w:tblLayout w:type="fixed"/>
        <w:tblLook w:val="0400" w:firstRow="0" w:lastRow="0" w:firstColumn="0" w:lastColumn="0" w:noHBand="0" w:noVBand="1"/>
      </w:tblPr>
      <w:tblGrid>
        <w:gridCol w:w="670"/>
        <w:gridCol w:w="2334"/>
        <w:gridCol w:w="2099"/>
        <w:gridCol w:w="2410"/>
        <w:gridCol w:w="1302"/>
      </w:tblGrid>
      <w:tr w:rsidR="00E839E1" w:rsidRPr="000A2E75" w14:paraId="4EA53BB1" w14:textId="77777777" w:rsidTr="00E839E1">
        <w:trPr>
          <w:trHeight w:val="20"/>
        </w:trPr>
        <w:tc>
          <w:tcPr>
            <w:tcW w:w="8815" w:type="dxa"/>
            <w:gridSpan w:val="5"/>
            <w:tcBorders>
              <w:top w:val="single" w:sz="4" w:space="0" w:color="000000"/>
              <w:bottom w:val="single" w:sz="4" w:space="0" w:color="000000"/>
            </w:tcBorders>
          </w:tcPr>
          <w:p w14:paraId="14DBC870"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Öğrenci Merkezli Sorunlar</w:t>
            </w:r>
          </w:p>
        </w:tc>
      </w:tr>
      <w:tr w:rsidR="00E839E1" w:rsidRPr="000A2E75" w14:paraId="7EC75882" w14:textId="77777777" w:rsidTr="00E839E1">
        <w:trPr>
          <w:trHeight w:val="20"/>
        </w:trPr>
        <w:tc>
          <w:tcPr>
            <w:tcW w:w="3004" w:type="dxa"/>
            <w:gridSpan w:val="2"/>
            <w:tcBorders>
              <w:top w:val="single" w:sz="4" w:space="0" w:color="000000"/>
              <w:bottom w:val="nil"/>
            </w:tcBorders>
          </w:tcPr>
          <w:p w14:paraId="33EFC853" w14:textId="77777777" w:rsidR="00E839E1" w:rsidRPr="000A2E75" w:rsidRDefault="00E839E1" w:rsidP="00E839E1">
            <w:pPr>
              <w:spacing w:after="120"/>
              <w:rPr>
                <w:rFonts w:ascii="Times New Roman" w:hAnsi="Times New Roman" w:cs="Times New Roman"/>
              </w:rPr>
            </w:pPr>
          </w:p>
        </w:tc>
        <w:tc>
          <w:tcPr>
            <w:tcW w:w="2099" w:type="dxa"/>
            <w:tcBorders>
              <w:top w:val="single" w:sz="4" w:space="0" w:color="000000"/>
              <w:bottom w:val="single" w:sz="4" w:space="0" w:color="000000"/>
            </w:tcBorders>
          </w:tcPr>
          <w:p w14:paraId="10E4D586"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UE deneyimi olan (f)</w:t>
            </w:r>
          </w:p>
        </w:tc>
        <w:tc>
          <w:tcPr>
            <w:tcW w:w="2410" w:type="dxa"/>
            <w:tcBorders>
              <w:top w:val="single" w:sz="4" w:space="0" w:color="000000"/>
              <w:bottom w:val="single" w:sz="4" w:space="0" w:color="000000"/>
            </w:tcBorders>
          </w:tcPr>
          <w:p w14:paraId="35E02017"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UE deneyimi olmayan (f)</w:t>
            </w:r>
          </w:p>
        </w:tc>
        <w:tc>
          <w:tcPr>
            <w:tcW w:w="1302" w:type="dxa"/>
            <w:tcBorders>
              <w:top w:val="single" w:sz="4" w:space="0" w:color="000000"/>
              <w:bottom w:val="single" w:sz="4" w:space="0" w:color="000000"/>
            </w:tcBorders>
          </w:tcPr>
          <w:p w14:paraId="723BE4D9"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Toplam (f)</w:t>
            </w:r>
          </w:p>
        </w:tc>
      </w:tr>
      <w:tr w:rsidR="00E839E1" w:rsidRPr="000A2E75" w14:paraId="1C5EA06A" w14:textId="77777777" w:rsidTr="00E839E1">
        <w:trPr>
          <w:trHeight w:val="20"/>
        </w:trPr>
        <w:tc>
          <w:tcPr>
            <w:tcW w:w="670" w:type="dxa"/>
            <w:tcBorders>
              <w:top w:val="nil"/>
            </w:tcBorders>
          </w:tcPr>
          <w:p w14:paraId="409B60D9" w14:textId="77777777" w:rsidR="00E839E1" w:rsidRPr="000A2E75" w:rsidRDefault="00E839E1" w:rsidP="00E839E1">
            <w:pPr>
              <w:spacing w:after="120"/>
              <w:rPr>
                <w:rFonts w:ascii="Times New Roman" w:hAnsi="Times New Roman" w:cs="Times New Roman"/>
              </w:rPr>
            </w:pPr>
          </w:p>
        </w:tc>
        <w:tc>
          <w:tcPr>
            <w:tcW w:w="2334" w:type="dxa"/>
            <w:tcBorders>
              <w:top w:val="nil"/>
            </w:tcBorders>
          </w:tcPr>
          <w:p w14:paraId="23DF34C8" w14:textId="77777777" w:rsidR="00E839E1" w:rsidRPr="000A2E75" w:rsidRDefault="00E839E1" w:rsidP="00E839E1">
            <w:pPr>
              <w:spacing w:after="120"/>
              <w:rPr>
                <w:rFonts w:ascii="Times New Roman" w:hAnsi="Times New Roman" w:cs="Times New Roman"/>
              </w:rPr>
            </w:pPr>
          </w:p>
        </w:tc>
        <w:tc>
          <w:tcPr>
            <w:tcW w:w="2099" w:type="dxa"/>
            <w:tcBorders>
              <w:top w:val="single" w:sz="4" w:space="0" w:color="000000"/>
            </w:tcBorders>
          </w:tcPr>
          <w:p w14:paraId="44F8AF3A"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f</w:t>
            </w:r>
          </w:p>
        </w:tc>
        <w:tc>
          <w:tcPr>
            <w:tcW w:w="2410" w:type="dxa"/>
            <w:tcBorders>
              <w:top w:val="single" w:sz="4" w:space="0" w:color="000000"/>
            </w:tcBorders>
          </w:tcPr>
          <w:p w14:paraId="1367245B"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f</w:t>
            </w:r>
          </w:p>
        </w:tc>
        <w:tc>
          <w:tcPr>
            <w:tcW w:w="1302" w:type="dxa"/>
            <w:tcBorders>
              <w:top w:val="single" w:sz="4" w:space="0" w:color="000000"/>
            </w:tcBorders>
          </w:tcPr>
          <w:p w14:paraId="76EA7A31"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f</w:t>
            </w:r>
          </w:p>
        </w:tc>
      </w:tr>
      <w:tr w:rsidR="00E839E1" w:rsidRPr="000A2E75" w14:paraId="3E5641F6" w14:textId="77777777" w:rsidTr="00E839E1">
        <w:trPr>
          <w:trHeight w:val="20"/>
        </w:trPr>
        <w:tc>
          <w:tcPr>
            <w:tcW w:w="670" w:type="dxa"/>
          </w:tcPr>
          <w:p w14:paraId="753CCAA9"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1</w:t>
            </w:r>
          </w:p>
        </w:tc>
        <w:tc>
          <w:tcPr>
            <w:tcW w:w="2334" w:type="dxa"/>
          </w:tcPr>
          <w:p w14:paraId="3837B287"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Teknik beceri eksikliği</w:t>
            </w:r>
          </w:p>
        </w:tc>
        <w:tc>
          <w:tcPr>
            <w:tcW w:w="2099" w:type="dxa"/>
          </w:tcPr>
          <w:p w14:paraId="4BC8A5B5"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4</w:t>
            </w:r>
          </w:p>
        </w:tc>
        <w:tc>
          <w:tcPr>
            <w:tcW w:w="2410" w:type="dxa"/>
          </w:tcPr>
          <w:p w14:paraId="6B89E139"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4</w:t>
            </w:r>
          </w:p>
        </w:tc>
        <w:tc>
          <w:tcPr>
            <w:tcW w:w="1302" w:type="dxa"/>
          </w:tcPr>
          <w:p w14:paraId="23924B0F"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8</w:t>
            </w:r>
          </w:p>
        </w:tc>
      </w:tr>
      <w:tr w:rsidR="00E839E1" w:rsidRPr="000A2E75" w14:paraId="56D4ED39" w14:textId="77777777" w:rsidTr="00E839E1">
        <w:trPr>
          <w:trHeight w:val="20"/>
        </w:trPr>
        <w:tc>
          <w:tcPr>
            <w:tcW w:w="670" w:type="dxa"/>
          </w:tcPr>
          <w:p w14:paraId="0E2D4719"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2</w:t>
            </w:r>
          </w:p>
        </w:tc>
        <w:tc>
          <w:tcPr>
            <w:tcW w:w="2334" w:type="dxa"/>
          </w:tcPr>
          <w:p w14:paraId="7A0D3D8E"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Teknik/Ekonomik imkânsızlık</w:t>
            </w:r>
          </w:p>
        </w:tc>
        <w:tc>
          <w:tcPr>
            <w:tcW w:w="2099" w:type="dxa"/>
          </w:tcPr>
          <w:p w14:paraId="68FF689E"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4</w:t>
            </w:r>
          </w:p>
        </w:tc>
        <w:tc>
          <w:tcPr>
            <w:tcW w:w="2410" w:type="dxa"/>
          </w:tcPr>
          <w:p w14:paraId="295D754E"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4</w:t>
            </w:r>
          </w:p>
        </w:tc>
        <w:tc>
          <w:tcPr>
            <w:tcW w:w="1302" w:type="dxa"/>
          </w:tcPr>
          <w:p w14:paraId="0169E723"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8</w:t>
            </w:r>
          </w:p>
        </w:tc>
      </w:tr>
      <w:tr w:rsidR="00E839E1" w:rsidRPr="000A2E75" w14:paraId="6A42CA9D" w14:textId="77777777" w:rsidTr="00E839E1">
        <w:trPr>
          <w:trHeight w:val="20"/>
        </w:trPr>
        <w:tc>
          <w:tcPr>
            <w:tcW w:w="670" w:type="dxa"/>
          </w:tcPr>
          <w:p w14:paraId="419D96CC"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3</w:t>
            </w:r>
          </w:p>
        </w:tc>
        <w:tc>
          <w:tcPr>
            <w:tcW w:w="2334" w:type="dxa"/>
          </w:tcPr>
          <w:p w14:paraId="55AEF569"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İletişim problemi</w:t>
            </w:r>
          </w:p>
        </w:tc>
        <w:tc>
          <w:tcPr>
            <w:tcW w:w="2099" w:type="dxa"/>
          </w:tcPr>
          <w:p w14:paraId="3409AD2A"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4</w:t>
            </w:r>
          </w:p>
        </w:tc>
        <w:tc>
          <w:tcPr>
            <w:tcW w:w="2410" w:type="dxa"/>
          </w:tcPr>
          <w:p w14:paraId="7244ECEF"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4</w:t>
            </w:r>
          </w:p>
        </w:tc>
        <w:tc>
          <w:tcPr>
            <w:tcW w:w="1302" w:type="dxa"/>
          </w:tcPr>
          <w:p w14:paraId="5942945E"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8</w:t>
            </w:r>
          </w:p>
        </w:tc>
      </w:tr>
      <w:tr w:rsidR="00E839E1" w:rsidRPr="000A2E75" w14:paraId="0F7FDA9A" w14:textId="77777777" w:rsidTr="00E839E1">
        <w:trPr>
          <w:trHeight w:val="20"/>
        </w:trPr>
        <w:tc>
          <w:tcPr>
            <w:tcW w:w="670" w:type="dxa"/>
          </w:tcPr>
          <w:p w14:paraId="1F63DB87"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4</w:t>
            </w:r>
          </w:p>
        </w:tc>
        <w:tc>
          <w:tcPr>
            <w:tcW w:w="2334" w:type="dxa"/>
          </w:tcPr>
          <w:p w14:paraId="54E9927F"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Teknik problemler</w:t>
            </w:r>
          </w:p>
        </w:tc>
        <w:tc>
          <w:tcPr>
            <w:tcW w:w="2099" w:type="dxa"/>
          </w:tcPr>
          <w:p w14:paraId="1FA604C8"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4</w:t>
            </w:r>
          </w:p>
        </w:tc>
        <w:tc>
          <w:tcPr>
            <w:tcW w:w="2410" w:type="dxa"/>
          </w:tcPr>
          <w:p w14:paraId="3F121CB0"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4</w:t>
            </w:r>
          </w:p>
        </w:tc>
        <w:tc>
          <w:tcPr>
            <w:tcW w:w="1302" w:type="dxa"/>
          </w:tcPr>
          <w:p w14:paraId="34E34FF9"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8</w:t>
            </w:r>
          </w:p>
        </w:tc>
      </w:tr>
      <w:tr w:rsidR="00E839E1" w:rsidRPr="000A2E75" w14:paraId="4CAE5F1B" w14:textId="77777777" w:rsidTr="00E839E1">
        <w:trPr>
          <w:trHeight w:val="20"/>
        </w:trPr>
        <w:tc>
          <w:tcPr>
            <w:tcW w:w="670" w:type="dxa"/>
          </w:tcPr>
          <w:p w14:paraId="36F202F0"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5</w:t>
            </w:r>
          </w:p>
        </w:tc>
        <w:tc>
          <w:tcPr>
            <w:tcW w:w="2334" w:type="dxa"/>
          </w:tcPr>
          <w:p w14:paraId="7D67857A"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Uyum problemi</w:t>
            </w:r>
          </w:p>
        </w:tc>
        <w:tc>
          <w:tcPr>
            <w:tcW w:w="2099" w:type="dxa"/>
          </w:tcPr>
          <w:p w14:paraId="0778A6CA"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4</w:t>
            </w:r>
          </w:p>
        </w:tc>
        <w:tc>
          <w:tcPr>
            <w:tcW w:w="2410" w:type="dxa"/>
          </w:tcPr>
          <w:p w14:paraId="3AA34476"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3</w:t>
            </w:r>
          </w:p>
        </w:tc>
        <w:tc>
          <w:tcPr>
            <w:tcW w:w="1302" w:type="dxa"/>
          </w:tcPr>
          <w:p w14:paraId="24863BBC"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7</w:t>
            </w:r>
          </w:p>
        </w:tc>
      </w:tr>
      <w:tr w:rsidR="00E839E1" w:rsidRPr="000A2E75" w14:paraId="4D633B41" w14:textId="77777777" w:rsidTr="00E839E1">
        <w:trPr>
          <w:trHeight w:val="20"/>
        </w:trPr>
        <w:tc>
          <w:tcPr>
            <w:tcW w:w="670" w:type="dxa"/>
          </w:tcPr>
          <w:p w14:paraId="58837768"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6</w:t>
            </w:r>
          </w:p>
        </w:tc>
        <w:tc>
          <w:tcPr>
            <w:tcW w:w="2334" w:type="dxa"/>
          </w:tcPr>
          <w:p w14:paraId="4688C080"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Karmaşa ve belirsizlik</w:t>
            </w:r>
          </w:p>
        </w:tc>
        <w:tc>
          <w:tcPr>
            <w:tcW w:w="2099" w:type="dxa"/>
          </w:tcPr>
          <w:p w14:paraId="074DC1AD"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4</w:t>
            </w:r>
          </w:p>
        </w:tc>
        <w:tc>
          <w:tcPr>
            <w:tcW w:w="2410" w:type="dxa"/>
          </w:tcPr>
          <w:p w14:paraId="4D0BAEC9"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3</w:t>
            </w:r>
          </w:p>
        </w:tc>
        <w:tc>
          <w:tcPr>
            <w:tcW w:w="1302" w:type="dxa"/>
          </w:tcPr>
          <w:p w14:paraId="543D43EA"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7</w:t>
            </w:r>
          </w:p>
        </w:tc>
      </w:tr>
      <w:tr w:rsidR="00E839E1" w:rsidRPr="000A2E75" w14:paraId="35EC0920" w14:textId="77777777" w:rsidTr="00E839E1">
        <w:trPr>
          <w:trHeight w:val="20"/>
        </w:trPr>
        <w:tc>
          <w:tcPr>
            <w:tcW w:w="670" w:type="dxa"/>
          </w:tcPr>
          <w:p w14:paraId="72E4FEE2"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7</w:t>
            </w:r>
          </w:p>
        </w:tc>
        <w:tc>
          <w:tcPr>
            <w:tcW w:w="2334" w:type="dxa"/>
          </w:tcPr>
          <w:p w14:paraId="56130EE0"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İlgisizlik</w:t>
            </w:r>
          </w:p>
        </w:tc>
        <w:tc>
          <w:tcPr>
            <w:tcW w:w="2099" w:type="dxa"/>
          </w:tcPr>
          <w:p w14:paraId="342E7B12"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4</w:t>
            </w:r>
          </w:p>
        </w:tc>
        <w:tc>
          <w:tcPr>
            <w:tcW w:w="2410" w:type="dxa"/>
          </w:tcPr>
          <w:p w14:paraId="76343741"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3</w:t>
            </w:r>
          </w:p>
        </w:tc>
        <w:tc>
          <w:tcPr>
            <w:tcW w:w="1302" w:type="dxa"/>
          </w:tcPr>
          <w:p w14:paraId="4C38B106"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7</w:t>
            </w:r>
          </w:p>
        </w:tc>
      </w:tr>
      <w:tr w:rsidR="00E839E1" w:rsidRPr="000A2E75" w14:paraId="79D655B3" w14:textId="77777777" w:rsidTr="00E839E1">
        <w:trPr>
          <w:trHeight w:val="20"/>
        </w:trPr>
        <w:tc>
          <w:tcPr>
            <w:tcW w:w="670" w:type="dxa"/>
          </w:tcPr>
          <w:p w14:paraId="3B26D137"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8</w:t>
            </w:r>
          </w:p>
        </w:tc>
        <w:tc>
          <w:tcPr>
            <w:tcW w:w="2334" w:type="dxa"/>
          </w:tcPr>
          <w:p w14:paraId="5B34F47C"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Oryantasyon problemi</w:t>
            </w:r>
          </w:p>
        </w:tc>
        <w:tc>
          <w:tcPr>
            <w:tcW w:w="2099" w:type="dxa"/>
          </w:tcPr>
          <w:p w14:paraId="19941A28"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4</w:t>
            </w:r>
          </w:p>
        </w:tc>
        <w:tc>
          <w:tcPr>
            <w:tcW w:w="2410" w:type="dxa"/>
          </w:tcPr>
          <w:p w14:paraId="61BC3397"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2</w:t>
            </w:r>
          </w:p>
        </w:tc>
        <w:tc>
          <w:tcPr>
            <w:tcW w:w="1302" w:type="dxa"/>
          </w:tcPr>
          <w:p w14:paraId="0C141781"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6</w:t>
            </w:r>
          </w:p>
        </w:tc>
      </w:tr>
      <w:tr w:rsidR="00E839E1" w:rsidRPr="000A2E75" w14:paraId="31EBCFA2" w14:textId="77777777" w:rsidTr="00E839E1">
        <w:trPr>
          <w:trHeight w:val="20"/>
        </w:trPr>
        <w:tc>
          <w:tcPr>
            <w:tcW w:w="670" w:type="dxa"/>
          </w:tcPr>
          <w:p w14:paraId="2EA2A9D1"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lastRenderedPageBreak/>
              <w:t>9</w:t>
            </w:r>
          </w:p>
        </w:tc>
        <w:tc>
          <w:tcPr>
            <w:tcW w:w="2334" w:type="dxa"/>
          </w:tcPr>
          <w:p w14:paraId="31597F15"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Kaygı</w:t>
            </w:r>
          </w:p>
        </w:tc>
        <w:tc>
          <w:tcPr>
            <w:tcW w:w="2099" w:type="dxa"/>
          </w:tcPr>
          <w:p w14:paraId="516D1F65"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4</w:t>
            </w:r>
          </w:p>
        </w:tc>
        <w:tc>
          <w:tcPr>
            <w:tcW w:w="2410" w:type="dxa"/>
          </w:tcPr>
          <w:p w14:paraId="625A4C91"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2</w:t>
            </w:r>
          </w:p>
        </w:tc>
        <w:tc>
          <w:tcPr>
            <w:tcW w:w="1302" w:type="dxa"/>
          </w:tcPr>
          <w:p w14:paraId="3D383F93"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6</w:t>
            </w:r>
          </w:p>
        </w:tc>
      </w:tr>
      <w:tr w:rsidR="00E839E1" w:rsidRPr="000A2E75" w14:paraId="0BD3A9C8" w14:textId="77777777" w:rsidTr="00E839E1">
        <w:trPr>
          <w:trHeight w:val="20"/>
        </w:trPr>
        <w:tc>
          <w:tcPr>
            <w:tcW w:w="670" w:type="dxa"/>
          </w:tcPr>
          <w:p w14:paraId="3E893C8A"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10</w:t>
            </w:r>
          </w:p>
        </w:tc>
        <w:tc>
          <w:tcPr>
            <w:tcW w:w="2334" w:type="dxa"/>
          </w:tcPr>
          <w:p w14:paraId="31E446EF"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Yanıltıcı beyan</w:t>
            </w:r>
          </w:p>
        </w:tc>
        <w:tc>
          <w:tcPr>
            <w:tcW w:w="2099" w:type="dxa"/>
          </w:tcPr>
          <w:p w14:paraId="1D821FA2"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2</w:t>
            </w:r>
          </w:p>
        </w:tc>
        <w:tc>
          <w:tcPr>
            <w:tcW w:w="2410" w:type="dxa"/>
          </w:tcPr>
          <w:p w14:paraId="24045768"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3</w:t>
            </w:r>
          </w:p>
        </w:tc>
        <w:tc>
          <w:tcPr>
            <w:tcW w:w="1302" w:type="dxa"/>
          </w:tcPr>
          <w:p w14:paraId="5599E42E"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5</w:t>
            </w:r>
          </w:p>
        </w:tc>
      </w:tr>
      <w:tr w:rsidR="00E839E1" w:rsidRPr="000A2E75" w14:paraId="217D6BAE" w14:textId="77777777" w:rsidTr="00E839E1">
        <w:trPr>
          <w:trHeight w:val="20"/>
        </w:trPr>
        <w:tc>
          <w:tcPr>
            <w:tcW w:w="670" w:type="dxa"/>
          </w:tcPr>
          <w:p w14:paraId="522514CD"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11</w:t>
            </w:r>
          </w:p>
        </w:tc>
        <w:tc>
          <w:tcPr>
            <w:tcW w:w="2334" w:type="dxa"/>
          </w:tcPr>
          <w:p w14:paraId="739BF0AF"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Yabancı öğrenciler</w:t>
            </w:r>
          </w:p>
        </w:tc>
        <w:tc>
          <w:tcPr>
            <w:tcW w:w="2099" w:type="dxa"/>
          </w:tcPr>
          <w:p w14:paraId="406D5F36"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2</w:t>
            </w:r>
          </w:p>
        </w:tc>
        <w:tc>
          <w:tcPr>
            <w:tcW w:w="2410" w:type="dxa"/>
          </w:tcPr>
          <w:p w14:paraId="3EEA7B5A"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1</w:t>
            </w:r>
          </w:p>
        </w:tc>
        <w:tc>
          <w:tcPr>
            <w:tcW w:w="1302" w:type="dxa"/>
          </w:tcPr>
          <w:p w14:paraId="448AF247"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3</w:t>
            </w:r>
          </w:p>
        </w:tc>
      </w:tr>
    </w:tbl>
    <w:p w14:paraId="6398BC8A" w14:textId="77777777" w:rsidR="00E839E1" w:rsidRPr="000A2E75" w:rsidRDefault="00E839E1" w:rsidP="00E839E1">
      <w:pPr>
        <w:spacing w:before="280"/>
        <w:ind w:firstLine="567"/>
        <w:jc w:val="both"/>
        <w:rPr>
          <w:rFonts w:ascii="Times New Roman" w:hAnsi="Times New Roman" w:cs="Times New Roman"/>
        </w:rPr>
      </w:pPr>
      <w:bookmarkStart w:id="341" w:name="_heading=h.gjdgxs" w:colFirst="0" w:colLast="0"/>
      <w:bookmarkEnd w:id="341"/>
      <w:r w:rsidRPr="000A2E75">
        <w:rPr>
          <w:rFonts w:ascii="Times New Roman" w:hAnsi="Times New Roman" w:cs="Times New Roman"/>
        </w:rPr>
        <w:t xml:space="preserve">Tablo 1 incelendiğinde öğrenci merkezli sorunlar kategorisinin altında 11 farklı kodun bulunduğu görülmektedir. Bu kodlar tekrar edilme sıklıklarına göre </w:t>
      </w:r>
      <w:r w:rsidRPr="000A2E75">
        <w:rPr>
          <w:rFonts w:ascii="Times New Roman" w:hAnsi="Times New Roman" w:cs="Times New Roman"/>
          <w:i/>
        </w:rPr>
        <w:t>teknik beceri eksikliği, teknik/ekonomik imkânsızlık, iletişim problemi, teknik problemler, uyum problemi, karmaşa ve belirsizlik, ilgisizlik, oryantasyon problemi, kaygı, yanıltıcı beyan, yabancı öğrenciler</w:t>
      </w:r>
      <w:r w:rsidRPr="000A2E75">
        <w:rPr>
          <w:rFonts w:ascii="Times New Roman" w:hAnsi="Times New Roman" w:cs="Times New Roman"/>
        </w:rPr>
        <w:t xml:space="preserve"> şeklinde sıralanmaktadır. UZEM çalışanları öğrencilerden gelen sorunlardan bahsederken en çok öğrencilerin teknik konuda yetersiz olduklarını, teknik ve ekonomik imkânsızlıklar yaşadıklarını, pandemi sürecinde öğretim elemanları ve süreçle ilgili iletişim problemleri yaşadıklarını ve öğrencilerin sisteme bağlanırken kullandıkları cihazlarda donanımsal sorunlar yaşandığını belirtmişlerdir. Öğrencilerin teknik konuda yetersiz olduğunu söyleyen bir personel E-1 “</w:t>
      </w:r>
      <w:r w:rsidRPr="000A2E75">
        <w:rPr>
          <w:rFonts w:ascii="Times New Roman" w:hAnsi="Times New Roman" w:cs="Times New Roman"/>
          <w:i/>
        </w:rPr>
        <w:t>Teknoloji okuryazarlığı konusunda sorun yaşayan öğrencilerin uzaktan eğitim (ue) sistemini kullanabilmek için uzaktan eğitim merkezinden sürekli destek istemesi aşırı bir yoğunluğa sebep oldu</w:t>
      </w:r>
      <w:r w:rsidRPr="000A2E75">
        <w:rPr>
          <w:rFonts w:ascii="Times New Roman" w:hAnsi="Times New Roman" w:cs="Times New Roman"/>
        </w:rPr>
        <w:t>” ifadelerini kullanmıştır. Bir başka ue personeli E-4 “</w:t>
      </w:r>
      <w:r w:rsidRPr="000A2E75">
        <w:rPr>
          <w:rFonts w:ascii="Times New Roman" w:hAnsi="Times New Roman" w:cs="Times New Roman"/>
          <w:i/>
        </w:rPr>
        <w:t>Tablet ve bilgisayara sahip olmayan öğrencilerin UE sistemine telefon ile girmek istemesi ile mobil cihazlarda sorun yaşaması sonucunda uzaktan eğitim merkezine başvurması yaşanılan sorunlardandır</w:t>
      </w:r>
      <w:r w:rsidRPr="000A2E75">
        <w:rPr>
          <w:rFonts w:ascii="Times New Roman" w:hAnsi="Times New Roman" w:cs="Times New Roman"/>
        </w:rPr>
        <w:t xml:space="preserve">” diyerek öğrencilerin yaşadığı teknik/ekonomik imkânsızlıklardan bahsetmiştir. </w:t>
      </w:r>
    </w:p>
    <w:p w14:paraId="7585DB29" w14:textId="77777777" w:rsidR="00E839E1" w:rsidRPr="000A2E75" w:rsidRDefault="00E839E1" w:rsidP="00E839E1">
      <w:pPr>
        <w:spacing w:after="120"/>
        <w:ind w:firstLine="720"/>
        <w:jc w:val="both"/>
        <w:rPr>
          <w:rFonts w:ascii="Times New Roman" w:hAnsi="Times New Roman" w:cs="Times New Roman"/>
        </w:rPr>
      </w:pPr>
      <w:r w:rsidRPr="000A2E75">
        <w:rPr>
          <w:rFonts w:ascii="Times New Roman" w:hAnsi="Times New Roman" w:cs="Times New Roman"/>
        </w:rPr>
        <w:t>İletişim probleminden bahseden bir başka personel E-2 “</w:t>
      </w:r>
      <w:r w:rsidRPr="000A2E75">
        <w:rPr>
          <w:rFonts w:ascii="Times New Roman" w:hAnsi="Times New Roman" w:cs="Times New Roman"/>
          <w:i/>
        </w:rPr>
        <w:t xml:space="preserve">Pandeminin aniden ortaya çıkması sonucunda öğrenciler her konuda bilgi alabilecekleri merci olarak UE merkezini görmesi bizleri çok sayıda öğrenciye cevap vermek zorunda bıraktı </w:t>
      </w:r>
      <w:r w:rsidRPr="000A2E75">
        <w:rPr>
          <w:rFonts w:ascii="Times New Roman" w:hAnsi="Times New Roman" w:cs="Times New Roman"/>
        </w:rPr>
        <w:t>” demiştir. Bir başka personel K-3 “</w:t>
      </w:r>
      <w:r w:rsidRPr="000A2E75">
        <w:rPr>
          <w:rFonts w:ascii="Times New Roman" w:hAnsi="Times New Roman" w:cs="Times New Roman"/>
          <w:i/>
        </w:rPr>
        <w:t>Öğrencilerin UE sistemine bağlanırken yaşadığı donanımsal problemler süreç içerisinde önemli aksamalara sebep oldu bu aksaklıklara çözüm bulmaya çalışmak bizler için oldukça yorucuydu</w:t>
      </w:r>
      <w:r w:rsidRPr="000A2E75">
        <w:rPr>
          <w:rFonts w:ascii="Times New Roman" w:hAnsi="Times New Roman" w:cs="Times New Roman"/>
        </w:rPr>
        <w:t>” diyerek teknik problemler vurgusu yapmıştır. Yüz yüze eğitimin olağandışı şekilde uzaktan eğitime taşınması ile birlikte öğrencilerin uzaktan eğitim konusunda yaşadığı uyumsuzluklara vurgu yapan bir başka personel E-5 “</w:t>
      </w:r>
      <w:r w:rsidRPr="000A2E75">
        <w:rPr>
          <w:rFonts w:ascii="Times New Roman" w:hAnsi="Times New Roman" w:cs="Times New Roman"/>
          <w:i/>
        </w:rPr>
        <w:t>Öğrenciler derslerine yüz yüze eğitimin tüm kurallarını dikkate alarak katılmak istediler, bu durum bazı sorunların ortaya çıkmasına sebep oldu, alışmaları biraz zaman aldı</w:t>
      </w:r>
      <w:r w:rsidRPr="000A2E75">
        <w:rPr>
          <w:rFonts w:ascii="Times New Roman" w:hAnsi="Times New Roman" w:cs="Times New Roman"/>
        </w:rPr>
        <w:t>” diyerek öğrencilerin uzaktan eğitime uyum probleminden bahsetmiştir. Bir başka personel E-3 “</w:t>
      </w:r>
      <w:r w:rsidRPr="000A2E75">
        <w:rPr>
          <w:rFonts w:ascii="Times New Roman" w:hAnsi="Times New Roman" w:cs="Times New Roman"/>
          <w:i/>
        </w:rPr>
        <w:t>Pandemi ile ortaya çıkan karmaşada yaşanan tüm problemlerde başvurulacak birim olarak akla uzaktan eğitim merkezinin gelmesi UZEM çalışanlarının bunalmasına sebep oldu</w:t>
      </w:r>
      <w:r w:rsidRPr="000A2E75">
        <w:rPr>
          <w:rFonts w:ascii="Times New Roman" w:hAnsi="Times New Roman" w:cs="Times New Roman"/>
        </w:rPr>
        <w:t>” ifadelerini kullanarak karmaşa ve belirsizlik ortamının yarattığı sorunlardan bahsetmiştir. Öğrencilerin ilgisizliğinden bahseden bir başka personel E-1 “</w:t>
      </w:r>
      <w:r w:rsidRPr="000A2E75">
        <w:rPr>
          <w:rFonts w:ascii="Times New Roman" w:hAnsi="Times New Roman" w:cs="Times New Roman"/>
          <w:i/>
        </w:rPr>
        <w:t>Öğrencilerin yayınlanan duyuru ve eğitim videolarını takip etmemesi süreç içerisinde sorunlara sebep oldu, bu sorunları çözmek için yine UZEM personeli devredeydi</w:t>
      </w:r>
      <w:r w:rsidRPr="000A2E75">
        <w:rPr>
          <w:rFonts w:ascii="Times New Roman" w:hAnsi="Times New Roman" w:cs="Times New Roman"/>
        </w:rPr>
        <w:t>” cümlesi ile öğrencilerin ilgisiz davranmasının UZEM’e yansıdığını ifade etmiştir. Yine aynı personel “</w:t>
      </w:r>
      <w:r w:rsidRPr="000A2E75">
        <w:rPr>
          <w:rFonts w:ascii="Times New Roman" w:hAnsi="Times New Roman" w:cs="Times New Roman"/>
          <w:i/>
        </w:rPr>
        <w:t>Pandemi sürecinin bir yıldan fazla sürmesi üniversiteye yeni gelen öğrencilerin uyum sorunu yaşamasına sebep oldu. Bu durum birinci sınıf öğrencilerine yeniden oryantasyon ihtiyacını doğurdu</w:t>
      </w:r>
      <w:r w:rsidRPr="000A2E75">
        <w:rPr>
          <w:rFonts w:ascii="Times New Roman" w:hAnsi="Times New Roman" w:cs="Times New Roman"/>
        </w:rPr>
        <w:t>” demiştir. Bir başka personel K-1 “</w:t>
      </w:r>
      <w:r w:rsidRPr="000A2E75">
        <w:rPr>
          <w:rFonts w:ascii="Times New Roman" w:hAnsi="Times New Roman" w:cs="Times New Roman"/>
          <w:i/>
        </w:rPr>
        <w:t>Son sınıf öğrencileri gibi kritik dönemlerde bulunan öğrencilerin süreci net görememesi ve sınavlar konusunda endişe duyması UZEM personeline olumsuz olarak yansıdı</w:t>
      </w:r>
      <w:r w:rsidRPr="000A2E75">
        <w:rPr>
          <w:rFonts w:ascii="Times New Roman" w:hAnsi="Times New Roman" w:cs="Times New Roman"/>
        </w:rPr>
        <w:t>” ifadelerini kullanarak yaşanan kaygının oluşturduğu durumdan bahsetmiştir. Bunun yanında öğrencilerden gelen yanıltıcı beyan konusuna değinen bir personel K-2 “</w:t>
      </w:r>
      <w:r w:rsidRPr="000A2E75">
        <w:rPr>
          <w:rFonts w:ascii="Times New Roman" w:hAnsi="Times New Roman" w:cs="Times New Roman"/>
          <w:i/>
        </w:rPr>
        <w:t>Öğrenciler sistemsel hata yaşamamış olmasına rağmen sınavlardan düştüğünü iddia edebiliyordu bu durum az sayıda olan UZEM personelinin bu iddiaları doğrulama konusunda zorlanmasına sebep oldu</w:t>
      </w:r>
      <w:r w:rsidRPr="000A2E75">
        <w:rPr>
          <w:rFonts w:ascii="Times New Roman" w:hAnsi="Times New Roman" w:cs="Times New Roman"/>
        </w:rPr>
        <w:t>” ifadeleri ile başka bir problemden bahsetmiştir. Bu kategoride en az rastlanan sorunlardan biri olan yabancı öğrencilerin sorunlarından bahseden bir personel E-5 “</w:t>
      </w:r>
      <w:r w:rsidRPr="000A2E75">
        <w:rPr>
          <w:rFonts w:ascii="Times New Roman" w:hAnsi="Times New Roman" w:cs="Times New Roman"/>
          <w:i/>
        </w:rPr>
        <w:t>Yabancı öğrenciler bu karmaşa durumundan daha fazla etkilendi ve UZEM personeli bu öğrenciler ile özel ilgilenmek zorunda kaldı</w:t>
      </w:r>
      <w:r w:rsidRPr="000A2E75">
        <w:rPr>
          <w:rFonts w:ascii="Times New Roman" w:hAnsi="Times New Roman" w:cs="Times New Roman"/>
        </w:rPr>
        <w:t>” demiştir.</w:t>
      </w:r>
    </w:p>
    <w:p w14:paraId="2B35BCB7" w14:textId="77777777" w:rsidR="00E839E1" w:rsidRPr="000A2E75" w:rsidRDefault="00E839E1" w:rsidP="00E839E1">
      <w:pPr>
        <w:spacing w:before="280" w:after="120"/>
        <w:ind w:firstLine="567"/>
        <w:jc w:val="both"/>
        <w:rPr>
          <w:rFonts w:ascii="Times New Roman" w:hAnsi="Times New Roman" w:cs="Times New Roman"/>
          <w:b/>
        </w:rPr>
      </w:pPr>
      <w:r w:rsidRPr="000A2E75">
        <w:rPr>
          <w:rFonts w:ascii="Times New Roman" w:hAnsi="Times New Roman" w:cs="Times New Roman"/>
          <w:b/>
        </w:rPr>
        <w:t xml:space="preserve">Eğitmen merkezli sorunlar </w:t>
      </w:r>
    </w:p>
    <w:p w14:paraId="47958608" w14:textId="77777777" w:rsidR="00E839E1" w:rsidRPr="000A2E75" w:rsidRDefault="00E839E1" w:rsidP="00E839E1">
      <w:pPr>
        <w:spacing w:before="280" w:after="120"/>
        <w:ind w:firstLine="567"/>
        <w:jc w:val="both"/>
        <w:rPr>
          <w:rFonts w:ascii="Times New Roman" w:hAnsi="Times New Roman" w:cs="Times New Roman"/>
        </w:rPr>
      </w:pPr>
      <w:r w:rsidRPr="000A2E75">
        <w:rPr>
          <w:rFonts w:ascii="Times New Roman" w:hAnsi="Times New Roman" w:cs="Times New Roman"/>
        </w:rPr>
        <w:lastRenderedPageBreak/>
        <w:t xml:space="preserve">UZEM çalışanlarının öğretim elemanlarından kaynaklı yaşadığı sorunlar tablo 2’de gösterilmiştir. </w:t>
      </w:r>
    </w:p>
    <w:p w14:paraId="4E43BAAB" w14:textId="77777777" w:rsidR="00E839E1" w:rsidRPr="000A2E75" w:rsidRDefault="00E839E1" w:rsidP="00E839E1">
      <w:pPr>
        <w:spacing w:before="280" w:after="120"/>
        <w:rPr>
          <w:rFonts w:ascii="Times New Roman" w:hAnsi="Times New Roman" w:cs="Times New Roman"/>
        </w:rPr>
      </w:pPr>
      <w:r w:rsidRPr="000A2E75">
        <w:rPr>
          <w:rFonts w:ascii="Times New Roman" w:hAnsi="Times New Roman" w:cs="Times New Roman"/>
          <w:i/>
        </w:rPr>
        <w:t>Tablo 2.</w:t>
      </w:r>
      <w:r w:rsidRPr="000A2E75">
        <w:rPr>
          <w:rFonts w:ascii="Times New Roman" w:hAnsi="Times New Roman" w:cs="Times New Roman"/>
        </w:rPr>
        <w:t xml:space="preserve"> UZEM çalışanlarının eğitmen kaynaklı yaşadığı sorunlar</w:t>
      </w:r>
    </w:p>
    <w:tbl>
      <w:tblPr>
        <w:tblW w:w="9180" w:type="dxa"/>
        <w:tblBorders>
          <w:top w:val="single" w:sz="4" w:space="0" w:color="000000"/>
          <w:bottom w:val="single" w:sz="4" w:space="0" w:color="000000"/>
          <w:insideH w:val="single" w:sz="4" w:space="0" w:color="000000"/>
          <w:insideV w:val="single" w:sz="4" w:space="0" w:color="000000"/>
        </w:tblBorders>
        <w:tblLayout w:type="fixed"/>
        <w:tblLook w:val="0400" w:firstRow="0" w:lastRow="0" w:firstColumn="0" w:lastColumn="0" w:noHBand="0" w:noVBand="1"/>
      </w:tblPr>
      <w:tblGrid>
        <w:gridCol w:w="426"/>
        <w:gridCol w:w="2802"/>
        <w:gridCol w:w="2268"/>
        <w:gridCol w:w="2409"/>
        <w:gridCol w:w="1275"/>
      </w:tblGrid>
      <w:tr w:rsidR="00E839E1" w:rsidRPr="000A2E75" w14:paraId="6B1BC5F2" w14:textId="77777777" w:rsidTr="00E839E1">
        <w:tc>
          <w:tcPr>
            <w:tcW w:w="9180" w:type="dxa"/>
            <w:gridSpan w:val="5"/>
            <w:shd w:val="clear" w:color="auto" w:fill="auto"/>
          </w:tcPr>
          <w:p w14:paraId="175D2331"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Eğitmen Merkezli Sorunlar</w:t>
            </w:r>
          </w:p>
        </w:tc>
      </w:tr>
      <w:tr w:rsidR="00E839E1" w:rsidRPr="000A2E75" w14:paraId="5ADC135A" w14:textId="77777777" w:rsidTr="00E839E1">
        <w:tc>
          <w:tcPr>
            <w:tcW w:w="3228" w:type="dxa"/>
            <w:gridSpan w:val="2"/>
            <w:tcBorders>
              <w:bottom w:val="nil"/>
              <w:right w:val="nil"/>
            </w:tcBorders>
          </w:tcPr>
          <w:p w14:paraId="2385C921" w14:textId="77777777" w:rsidR="00E839E1" w:rsidRPr="000A2E75" w:rsidRDefault="00E839E1" w:rsidP="00E839E1">
            <w:pPr>
              <w:spacing w:after="120"/>
              <w:rPr>
                <w:rFonts w:ascii="Times New Roman" w:hAnsi="Times New Roman" w:cs="Times New Roman"/>
              </w:rPr>
            </w:pPr>
          </w:p>
        </w:tc>
        <w:tc>
          <w:tcPr>
            <w:tcW w:w="2268" w:type="dxa"/>
            <w:tcBorders>
              <w:left w:val="nil"/>
              <w:right w:val="nil"/>
            </w:tcBorders>
          </w:tcPr>
          <w:p w14:paraId="5E81C656"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UE deneyimi olan (f)</w:t>
            </w:r>
          </w:p>
        </w:tc>
        <w:tc>
          <w:tcPr>
            <w:tcW w:w="2409" w:type="dxa"/>
            <w:tcBorders>
              <w:left w:val="nil"/>
              <w:right w:val="nil"/>
            </w:tcBorders>
          </w:tcPr>
          <w:p w14:paraId="33A2B8CB"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UE deneyimi olmayan (f)</w:t>
            </w:r>
          </w:p>
        </w:tc>
        <w:tc>
          <w:tcPr>
            <w:tcW w:w="1275" w:type="dxa"/>
            <w:tcBorders>
              <w:left w:val="nil"/>
              <w:right w:val="nil"/>
            </w:tcBorders>
          </w:tcPr>
          <w:p w14:paraId="04981EA3"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Toplam (f)</w:t>
            </w:r>
          </w:p>
        </w:tc>
      </w:tr>
      <w:tr w:rsidR="00E839E1" w:rsidRPr="000A2E75" w14:paraId="176759B6" w14:textId="77777777" w:rsidTr="00E839E1">
        <w:tc>
          <w:tcPr>
            <w:tcW w:w="426" w:type="dxa"/>
            <w:tcBorders>
              <w:top w:val="nil"/>
              <w:bottom w:val="nil"/>
              <w:right w:val="nil"/>
            </w:tcBorders>
          </w:tcPr>
          <w:p w14:paraId="47DF501E"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1</w:t>
            </w:r>
          </w:p>
        </w:tc>
        <w:tc>
          <w:tcPr>
            <w:tcW w:w="2802" w:type="dxa"/>
            <w:tcBorders>
              <w:top w:val="nil"/>
              <w:left w:val="nil"/>
              <w:bottom w:val="nil"/>
              <w:right w:val="nil"/>
            </w:tcBorders>
          </w:tcPr>
          <w:p w14:paraId="5D11625E"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Teknopedagojik yetersizlik</w:t>
            </w:r>
          </w:p>
        </w:tc>
        <w:tc>
          <w:tcPr>
            <w:tcW w:w="2268" w:type="dxa"/>
            <w:tcBorders>
              <w:left w:val="nil"/>
              <w:bottom w:val="nil"/>
              <w:right w:val="nil"/>
            </w:tcBorders>
          </w:tcPr>
          <w:p w14:paraId="7EF79752"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4</w:t>
            </w:r>
          </w:p>
        </w:tc>
        <w:tc>
          <w:tcPr>
            <w:tcW w:w="2409" w:type="dxa"/>
            <w:tcBorders>
              <w:left w:val="nil"/>
              <w:bottom w:val="nil"/>
              <w:right w:val="nil"/>
            </w:tcBorders>
          </w:tcPr>
          <w:p w14:paraId="7B75298F"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4</w:t>
            </w:r>
          </w:p>
        </w:tc>
        <w:tc>
          <w:tcPr>
            <w:tcW w:w="1275" w:type="dxa"/>
            <w:tcBorders>
              <w:left w:val="nil"/>
              <w:bottom w:val="nil"/>
            </w:tcBorders>
          </w:tcPr>
          <w:p w14:paraId="58C84E0E"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8</w:t>
            </w:r>
          </w:p>
        </w:tc>
      </w:tr>
      <w:tr w:rsidR="00E839E1" w:rsidRPr="000A2E75" w14:paraId="43059415" w14:textId="77777777" w:rsidTr="00E839E1">
        <w:tc>
          <w:tcPr>
            <w:tcW w:w="426" w:type="dxa"/>
            <w:tcBorders>
              <w:top w:val="nil"/>
              <w:bottom w:val="nil"/>
              <w:right w:val="nil"/>
            </w:tcBorders>
          </w:tcPr>
          <w:p w14:paraId="72E960CC"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2</w:t>
            </w:r>
          </w:p>
        </w:tc>
        <w:tc>
          <w:tcPr>
            <w:tcW w:w="2802" w:type="dxa"/>
            <w:tcBorders>
              <w:top w:val="nil"/>
              <w:left w:val="nil"/>
              <w:bottom w:val="nil"/>
              <w:right w:val="nil"/>
            </w:tcBorders>
          </w:tcPr>
          <w:p w14:paraId="7E336F76"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Materyal eksikliği</w:t>
            </w:r>
          </w:p>
        </w:tc>
        <w:tc>
          <w:tcPr>
            <w:tcW w:w="2268" w:type="dxa"/>
            <w:tcBorders>
              <w:top w:val="nil"/>
              <w:left w:val="nil"/>
              <w:bottom w:val="nil"/>
              <w:right w:val="nil"/>
            </w:tcBorders>
          </w:tcPr>
          <w:p w14:paraId="1647FDBA"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4</w:t>
            </w:r>
          </w:p>
        </w:tc>
        <w:tc>
          <w:tcPr>
            <w:tcW w:w="2409" w:type="dxa"/>
            <w:tcBorders>
              <w:top w:val="nil"/>
              <w:left w:val="nil"/>
              <w:bottom w:val="nil"/>
              <w:right w:val="nil"/>
            </w:tcBorders>
          </w:tcPr>
          <w:p w14:paraId="62DD85C9"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4</w:t>
            </w:r>
          </w:p>
        </w:tc>
        <w:tc>
          <w:tcPr>
            <w:tcW w:w="1275" w:type="dxa"/>
            <w:tcBorders>
              <w:top w:val="nil"/>
              <w:left w:val="nil"/>
              <w:bottom w:val="nil"/>
            </w:tcBorders>
          </w:tcPr>
          <w:p w14:paraId="67625937"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8</w:t>
            </w:r>
          </w:p>
        </w:tc>
      </w:tr>
      <w:tr w:rsidR="00E839E1" w:rsidRPr="000A2E75" w14:paraId="6F5899B0" w14:textId="77777777" w:rsidTr="00E839E1">
        <w:tc>
          <w:tcPr>
            <w:tcW w:w="426" w:type="dxa"/>
            <w:tcBorders>
              <w:top w:val="nil"/>
              <w:bottom w:val="nil"/>
              <w:right w:val="nil"/>
            </w:tcBorders>
          </w:tcPr>
          <w:p w14:paraId="480EC232"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3</w:t>
            </w:r>
          </w:p>
        </w:tc>
        <w:tc>
          <w:tcPr>
            <w:tcW w:w="2802" w:type="dxa"/>
            <w:tcBorders>
              <w:top w:val="nil"/>
              <w:left w:val="nil"/>
              <w:bottom w:val="nil"/>
              <w:right w:val="nil"/>
            </w:tcBorders>
          </w:tcPr>
          <w:p w14:paraId="793CC676"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İletişim problemi</w:t>
            </w:r>
          </w:p>
        </w:tc>
        <w:tc>
          <w:tcPr>
            <w:tcW w:w="2268" w:type="dxa"/>
            <w:tcBorders>
              <w:top w:val="nil"/>
              <w:left w:val="nil"/>
              <w:bottom w:val="nil"/>
              <w:right w:val="nil"/>
            </w:tcBorders>
          </w:tcPr>
          <w:p w14:paraId="2B9695F4"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4</w:t>
            </w:r>
          </w:p>
        </w:tc>
        <w:tc>
          <w:tcPr>
            <w:tcW w:w="2409" w:type="dxa"/>
            <w:tcBorders>
              <w:top w:val="nil"/>
              <w:left w:val="nil"/>
              <w:bottom w:val="nil"/>
              <w:right w:val="nil"/>
            </w:tcBorders>
          </w:tcPr>
          <w:p w14:paraId="4B03797F"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4</w:t>
            </w:r>
          </w:p>
        </w:tc>
        <w:tc>
          <w:tcPr>
            <w:tcW w:w="1275" w:type="dxa"/>
            <w:tcBorders>
              <w:top w:val="nil"/>
              <w:left w:val="nil"/>
              <w:bottom w:val="nil"/>
            </w:tcBorders>
          </w:tcPr>
          <w:p w14:paraId="5F58DE64"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8</w:t>
            </w:r>
          </w:p>
        </w:tc>
      </w:tr>
      <w:tr w:rsidR="00E839E1" w:rsidRPr="000A2E75" w14:paraId="24A0D54E" w14:textId="77777777" w:rsidTr="00E839E1">
        <w:tc>
          <w:tcPr>
            <w:tcW w:w="426" w:type="dxa"/>
            <w:tcBorders>
              <w:top w:val="nil"/>
              <w:bottom w:val="nil"/>
              <w:right w:val="nil"/>
            </w:tcBorders>
          </w:tcPr>
          <w:p w14:paraId="350CDC57"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4</w:t>
            </w:r>
          </w:p>
        </w:tc>
        <w:tc>
          <w:tcPr>
            <w:tcW w:w="2802" w:type="dxa"/>
            <w:tcBorders>
              <w:top w:val="nil"/>
              <w:left w:val="nil"/>
              <w:bottom w:val="nil"/>
              <w:right w:val="nil"/>
            </w:tcBorders>
          </w:tcPr>
          <w:p w14:paraId="496DC28E"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İlgisizlik</w:t>
            </w:r>
          </w:p>
        </w:tc>
        <w:tc>
          <w:tcPr>
            <w:tcW w:w="2268" w:type="dxa"/>
            <w:tcBorders>
              <w:top w:val="nil"/>
              <w:left w:val="nil"/>
              <w:bottom w:val="nil"/>
              <w:right w:val="nil"/>
            </w:tcBorders>
          </w:tcPr>
          <w:p w14:paraId="12CDB055"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4</w:t>
            </w:r>
          </w:p>
        </w:tc>
        <w:tc>
          <w:tcPr>
            <w:tcW w:w="2409" w:type="dxa"/>
            <w:tcBorders>
              <w:top w:val="nil"/>
              <w:left w:val="nil"/>
              <w:bottom w:val="nil"/>
              <w:right w:val="nil"/>
            </w:tcBorders>
          </w:tcPr>
          <w:p w14:paraId="77F2722F"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4</w:t>
            </w:r>
          </w:p>
        </w:tc>
        <w:tc>
          <w:tcPr>
            <w:tcW w:w="1275" w:type="dxa"/>
            <w:tcBorders>
              <w:top w:val="nil"/>
              <w:left w:val="nil"/>
              <w:bottom w:val="nil"/>
            </w:tcBorders>
          </w:tcPr>
          <w:p w14:paraId="2B1375F4"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8</w:t>
            </w:r>
          </w:p>
        </w:tc>
      </w:tr>
      <w:tr w:rsidR="00E839E1" w:rsidRPr="000A2E75" w14:paraId="09C6C98B" w14:textId="77777777" w:rsidTr="00E839E1">
        <w:tc>
          <w:tcPr>
            <w:tcW w:w="426" w:type="dxa"/>
            <w:tcBorders>
              <w:top w:val="nil"/>
              <w:bottom w:val="nil"/>
              <w:right w:val="nil"/>
            </w:tcBorders>
          </w:tcPr>
          <w:p w14:paraId="4923C5A3"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5</w:t>
            </w:r>
          </w:p>
        </w:tc>
        <w:tc>
          <w:tcPr>
            <w:tcW w:w="2802" w:type="dxa"/>
            <w:tcBorders>
              <w:top w:val="nil"/>
              <w:left w:val="nil"/>
              <w:bottom w:val="nil"/>
              <w:right w:val="nil"/>
            </w:tcBorders>
          </w:tcPr>
          <w:p w14:paraId="7C61CFCF"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Karmaşa ve belirsizlik</w:t>
            </w:r>
          </w:p>
        </w:tc>
        <w:tc>
          <w:tcPr>
            <w:tcW w:w="2268" w:type="dxa"/>
            <w:tcBorders>
              <w:top w:val="nil"/>
              <w:left w:val="nil"/>
              <w:bottom w:val="nil"/>
              <w:right w:val="nil"/>
            </w:tcBorders>
          </w:tcPr>
          <w:p w14:paraId="4F6E30FC"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4</w:t>
            </w:r>
          </w:p>
        </w:tc>
        <w:tc>
          <w:tcPr>
            <w:tcW w:w="2409" w:type="dxa"/>
            <w:tcBorders>
              <w:top w:val="nil"/>
              <w:left w:val="nil"/>
              <w:bottom w:val="nil"/>
              <w:right w:val="nil"/>
            </w:tcBorders>
          </w:tcPr>
          <w:p w14:paraId="515A05E4"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4</w:t>
            </w:r>
          </w:p>
        </w:tc>
        <w:tc>
          <w:tcPr>
            <w:tcW w:w="1275" w:type="dxa"/>
            <w:tcBorders>
              <w:top w:val="nil"/>
              <w:left w:val="nil"/>
              <w:bottom w:val="nil"/>
            </w:tcBorders>
          </w:tcPr>
          <w:p w14:paraId="05A0ED93"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8</w:t>
            </w:r>
          </w:p>
        </w:tc>
      </w:tr>
      <w:tr w:rsidR="00E839E1" w:rsidRPr="000A2E75" w14:paraId="3319F3E7" w14:textId="77777777" w:rsidTr="00E839E1">
        <w:tc>
          <w:tcPr>
            <w:tcW w:w="426" w:type="dxa"/>
            <w:tcBorders>
              <w:top w:val="nil"/>
              <w:bottom w:val="nil"/>
              <w:right w:val="nil"/>
            </w:tcBorders>
          </w:tcPr>
          <w:p w14:paraId="2A2E8242"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6</w:t>
            </w:r>
          </w:p>
        </w:tc>
        <w:tc>
          <w:tcPr>
            <w:tcW w:w="2802" w:type="dxa"/>
            <w:tcBorders>
              <w:top w:val="nil"/>
              <w:left w:val="nil"/>
              <w:bottom w:val="nil"/>
              <w:right w:val="nil"/>
            </w:tcBorders>
          </w:tcPr>
          <w:p w14:paraId="5547F09F"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Lms eğitimi ihtiyacı</w:t>
            </w:r>
          </w:p>
        </w:tc>
        <w:tc>
          <w:tcPr>
            <w:tcW w:w="2268" w:type="dxa"/>
            <w:tcBorders>
              <w:top w:val="nil"/>
              <w:left w:val="nil"/>
              <w:bottom w:val="nil"/>
              <w:right w:val="nil"/>
            </w:tcBorders>
          </w:tcPr>
          <w:p w14:paraId="43E6EB03"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4</w:t>
            </w:r>
          </w:p>
        </w:tc>
        <w:tc>
          <w:tcPr>
            <w:tcW w:w="2409" w:type="dxa"/>
            <w:tcBorders>
              <w:top w:val="nil"/>
              <w:left w:val="nil"/>
              <w:bottom w:val="nil"/>
              <w:right w:val="nil"/>
            </w:tcBorders>
          </w:tcPr>
          <w:p w14:paraId="0CD2B779"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3</w:t>
            </w:r>
          </w:p>
        </w:tc>
        <w:tc>
          <w:tcPr>
            <w:tcW w:w="1275" w:type="dxa"/>
            <w:tcBorders>
              <w:top w:val="nil"/>
              <w:left w:val="nil"/>
              <w:bottom w:val="nil"/>
            </w:tcBorders>
          </w:tcPr>
          <w:p w14:paraId="0AD54738"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7</w:t>
            </w:r>
          </w:p>
        </w:tc>
      </w:tr>
      <w:tr w:rsidR="00E839E1" w:rsidRPr="000A2E75" w14:paraId="7F39F1F7" w14:textId="77777777" w:rsidTr="00E839E1">
        <w:tc>
          <w:tcPr>
            <w:tcW w:w="426" w:type="dxa"/>
            <w:tcBorders>
              <w:top w:val="nil"/>
              <w:bottom w:val="nil"/>
              <w:right w:val="nil"/>
            </w:tcBorders>
          </w:tcPr>
          <w:p w14:paraId="05AEC67A"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7</w:t>
            </w:r>
          </w:p>
        </w:tc>
        <w:tc>
          <w:tcPr>
            <w:tcW w:w="2802" w:type="dxa"/>
            <w:tcBorders>
              <w:top w:val="nil"/>
              <w:left w:val="nil"/>
              <w:bottom w:val="nil"/>
              <w:right w:val="nil"/>
            </w:tcBorders>
          </w:tcPr>
          <w:p w14:paraId="1D00FCD5"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Yanlış UE algıları</w:t>
            </w:r>
          </w:p>
        </w:tc>
        <w:tc>
          <w:tcPr>
            <w:tcW w:w="2268" w:type="dxa"/>
            <w:tcBorders>
              <w:top w:val="nil"/>
              <w:left w:val="nil"/>
              <w:bottom w:val="nil"/>
              <w:right w:val="nil"/>
            </w:tcBorders>
          </w:tcPr>
          <w:p w14:paraId="49F027EF"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4</w:t>
            </w:r>
          </w:p>
        </w:tc>
        <w:tc>
          <w:tcPr>
            <w:tcW w:w="2409" w:type="dxa"/>
            <w:tcBorders>
              <w:top w:val="nil"/>
              <w:left w:val="nil"/>
              <w:bottom w:val="nil"/>
              <w:right w:val="nil"/>
            </w:tcBorders>
          </w:tcPr>
          <w:p w14:paraId="1D38CA47"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3</w:t>
            </w:r>
          </w:p>
        </w:tc>
        <w:tc>
          <w:tcPr>
            <w:tcW w:w="1275" w:type="dxa"/>
            <w:tcBorders>
              <w:top w:val="nil"/>
              <w:left w:val="nil"/>
              <w:bottom w:val="nil"/>
            </w:tcBorders>
          </w:tcPr>
          <w:p w14:paraId="26B4C017"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7</w:t>
            </w:r>
          </w:p>
        </w:tc>
      </w:tr>
      <w:tr w:rsidR="00E839E1" w:rsidRPr="000A2E75" w14:paraId="2D4E7346" w14:textId="77777777" w:rsidTr="00E839E1">
        <w:tc>
          <w:tcPr>
            <w:tcW w:w="426" w:type="dxa"/>
            <w:tcBorders>
              <w:top w:val="nil"/>
              <w:bottom w:val="nil"/>
              <w:right w:val="nil"/>
            </w:tcBorders>
          </w:tcPr>
          <w:p w14:paraId="6D049919"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8</w:t>
            </w:r>
          </w:p>
        </w:tc>
        <w:tc>
          <w:tcPr>
            <w:tcW w:w="2802" w:type="dxa"/>
            <w:tcBorders>
              <w:top w:val="nil"/>
              <w:left w:val="nil"/>
              <w:bottom w:val="nil"/>
              <w:right w:val="nil"/>
            </w:tcBorders>
          </w:tcPr>
          <w:p w14:paraId="64724466"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Sistem yeterlilikleri üstünde istekler</w:t>
            </w:r>
          </w:p>
        </w:tc>
        <w:tc>
          <w:tcPr>
            <w:tcW w:w="2268" w:type="dxa"/>
            <w:tcBorders>
              <w:top w:val="nil"/>
              <w:left w:val="nil"/>
              <w:bottom w:val="nil"/>
              <w:right w:val="nil"/>
            </w:tcBorders>
          </w:tcPr>
          <w:p w14:paraId="0EB6E1B0"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4</w:t>
            </w:r>
          </w:p>
        </w:tc>
        <w:tc>
          <w:tcPr>
            <w:tcW w:w="2409" w:type="dxa"/>
            <w:tcBorders>
              <w:top w:val="nil"/>
              <w:left w:val="nil"/>
              <w:bottom w:val="nil"/>
              <w:right w:val="nil"/>
            </w:tcBorders>
          </w:tcPr>
          <w:p w14:paraId="18FCCE3E"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3</w:t>
            </w:r>
          </w:p>
        </w:tc>
        <w:tc>
          <w:tcPr>
            <w:tcW w:w="1275" w:type="dxa"/>
            <w:tcBorders>
              <w:top w:val="nil"/>
              <w:left w:val="nil"/>
              <w:bottom w:val="nil"/>
            </w:tcBorders>
          </w:tcPr>
          <w:p w14:paraId="3580E7EE"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7</w:t>
            </w:r>
          </w:p>
        </w:tc>
      </w:tr>
      <w:tr w:rsidR="00E839E1" w:rsidRPr="000A2E75" w14:paraId="7D373EF3" w14:textId="77777777" w:rsidTr="00E839E1">
        <w:tc>
          <w:tcPr>
            <w:tcW w:w="426" w:type="dxa"/>
            <w:tcBorders>
              <w:top w:val="nil"/>
              <w:right w:val="nil"/>
            </w:tcBorders>
          </w:tcPr>
          <w:p w14:paraId="35A907CB"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9</w:t>
            </w:r>
          </w:p>
        </w:tc>
        <w:tc>
          <w:tcPr>
            <w:tcW w:w="2802" w:type="dxa"/>
            <w:tcBorders>
              <w:top w:val="nil"/>
              <w:left w:val="nil"/>
              <w:right w:val="nil"/>
            </w:tcBorders>
          </w:tcPr>
          <w:p w14:paraId="309CB58A"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Sınav güvenliği endişesi</w:t>
            </w:r>
          </w:p>
        </w:tc>
        <w:tc>
          <w:tcPr>
            <w:tcW w:w="2268" w:type="dxa"/>
            <w:tcBorders>
              <w:top w:val="nil"/>
              <w:left w:val="nil"/>
              <w:right w:val="nil"/>
            </w:tcBorders>
          </w:tcPr>
          <w:p w14:paraId="06ED2ADB"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3</w:t>
            </w:r>
          </w:p>
        </w:tc>
        <w:tc>
          <w:tcPr>
            <w:tcW w:w="2409" w:type="dxa"/>
            <w:tcBorders>
              <w:top w:val="nil"/>
              <w:left w:val="nil"/>
              <w:right w:val="nil"/>
            </w:tcBorders>
          </w:tcPr>
          <w:p w14:paraId="5391BE1E"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3</w:t>
            </w:r>
          </w:p>
        </w:tc>
        <w:tc>
          <w:tcPr>
            <w:tcW w:w="1275" w:type="dxa"/>
            <w:tcBorders>
              <w:top w:val="nil"/>
              <w:left w:val="nil"/>
            </w:tcBorders>
          </w:tcPr>
          <w:p w14:paraId="19376555"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6</w:t>
            </w:r>
          </w:p>
        </w:tc>
      </w:tr>
    </w:tbl>
    <w:p w14:paraId="4B76DEA5" w14:textId="77777777" w:rsidR="00E839E1" w:rsidRPr="000A2E75" w:rsidRDefault="00E839E1" w:rsidP="00E839E1">
      <w:pPr>
        <w:spacing w:before="280" w:after="120"/>
        <w:ind w:firstLine="567"/>
        <w:jc w:val="both"/>
        <w:rPr>
          <w:rFonts w:ascii="Times New Roman" w:hAnsi="Times New Roman" w:cs="Times New Roman"/>
        </w:rPr>
      </w:pPr>
      <w:r w:rsidRPr="000A2E75">
        <w:rPr>
          <w:rFonts w:ascii="Times New Roman" w:hAnsi="Times New Roman" w:cs="Times New Roman"/>
        </w:rPr>
        <w:t xml:space="preserve">Tablo 2 incelendiğinde eğitmen merkezli sorunlar kategorisinin altında 9 farklı kodun bulunduğu görülmektedir. Bu kodlar tekrar edilme sıklıklarına göre </w:t>
      </w:r>
      <w:r w:rsidRPr="000A2E75">
        <w:rPr>
          <w:rFonts w:ascii="Times New Roman" w:hAnsi="Times New Roman" w:cs="Times New Roman"/>
          <w:i/>
        </w:rPr>
        <w:t>teknopedagojik yetersizlik, materyal eksikliği, iletişim problemi, ilgisizlik, karmaşa ve belirsizlik, lms eğitimi ihtiyacı, yanlış ue algıları, sistem yeterlilikleri üstüne istekler, sınav güvenliği endişesi</w:t>
      </w:r>
      <w:r w:rsidRPr="000A2E75">
        <w:rPr>
          <w:rFonts w:ascii="Times New Roman" w:hAnsi="Times New Roman" w:cs="Times New Roman"/>
        </w:rPr>
        <w:t xml:space="preserve"> şeklinde sıralanmaktadır. Eğitmen merkezli sorunlar içerisinde en çok vurgulananlar </w:t>
      </w:r>
      <w:r w:rsidRPr="000A2E75">
        <w:rPr>
          <w:rFonts w:ascii="Times New Roman" w:hAnsi="Times New Roman" w:cs="Times New Roman"/>
          <w:i/>
        </w:rPr>
        <w:t xml:space="preserve">teknopedagojik yetersizlik, materyal eksikliği, iletişim problemi, ilgisizlik, karmaşa ve belirsizlik </w:t>
      </w:r>
      <w:r w:rsidRPr="000A2E75">
        <w:rPr>
          <w:rFonts w:ascii="Times New Roman" w:hAnsi="Times New Roman" w:cs="Times New Roman"/>
        </w:rPr>
        <w:t>olmuştur. Bir UZEM personeli E-4 “</w:t>
      </w:r>
      <w:r w:rsidRPr="000A2E75">
        <w:rPr>
          <w:rFonts w:ascii="Times New Roman" w:hAnsi="Times New Roman" w:cs="Times New Roman"/>
          <w:i/>
        </w:rPr>
        <w:t>Eğitmenlerin teknolojiyi kendi alanları için kullanmalarını sağlayacak asgari becerilerinin yetersiz olması UZEM’den olması gerekenden fazla yardım talep etmesine sebep olarak ciddi bir kargaşaya sebep oldu</w:t>
      </w:r>
      <w:r w:rsidRPr="000A2E75">
        <w:rPr>
          <w:rFonts w:ascii="Times New Roman" w:hAnsi="Times New Roman" w:cs="Times New Roman"/>
        </w:rPr>
        <w:t>” ifadeleri ile teknopedagojik yetersizlik vurgusu yapmıştır. Bir başka personel E-2 “</w:t>
      </w:r>
      <w:r w:rsidRPr="000A2E75">
        <w:rPr>
          <w:rFonts w:ascii="Times New Roman" w:hAnsi="Times New Roman" w:cs="Times New Roman"/>
          <w:i/>
        </w:rPr>
        <w:t>Pandemi ile beraber uzaktan eğitime hızlı geçiş, eğitmenlerin materyal oluşturma konusunda desteğe ihtiyaç duymasına sebebiyet verdi ve UZEM personelinden bu noktada destek talep edildi</w:t>
      </w:r>
      <w:r w:rsidRPr="000A2E75">
        <w:rPr>
          <w:rFonts w:ascii="Times New Roman" w:hAnsi="Times New Roman" w:cs="Times New Roman"/>
        </w:rPr>
        <w:t>” diyerek bir başka problemin altını çizmiştir. İletişim problemi vurgusu yapan bir başka personel E-1 “</w:t>
      </w:r>
      <w:r w:rsidRPr="000A2E75">
        <w:rPr>
          <w:rFonts w:ascii="Times New Roman" w:hAnsi="Times New Roman" w:cs="Times New Roman"/>
          <w:i/>
        </w:rPr>
        <w:t>Öğrencileri ile sıkı iletişim kurma konusunda zorlanan öğretim elemanları uzaktan eğitim kanalı ile öğrencilerle irtibat kurmak istedi bu durum UZEM personelinin etkin kullanabileceği zamanı daha kısıtlı hale getirdi</w:t>
      </w:r>
      <w:r w:rsidRPr="000A2E75">
        <w:rPr>
          <w:rFonts w:ascii="Times New Roman" w:hAnsi="Times New Roman" w:cs="Times New Roman"/>
        </w:rPr>
        <w:t>” demiştir. Öğretim elemanlarının ilgisizliklerine dikkat çeken başka bir personel K-2 “</w:t>
      </w:r>
      <w:r w:rsidRPr="000A2E75">
        <w:rPr>
          <w:rFonts w:ascii="Times New Roman" w:hAnsi="Times New Roman" w:cs="Times New Roman"/>
          <w:i/>
        </w:rPr>
        <w:t>Öğretim elemanlarının kendileri için oluşturulmuş kılavuz, eğitim videoları ve duyuruları takip etmemesi ve uzaktan eğitim merkezine telefon ile ulaşmak istemeleri ayrı bir sorun oluşturdu</w:t>
      </w:r>
      <w:r w:rsidRPr="000A2E75">
        <w:rPr>
          <w:rFonts w:ascii="Times New Roman" w:hAnsi="Times New Roman" w:cs="Times New Roman"/>
        </w:rPr>
        <w:t>” ifadelerini kullanmış ilgisizlik vurgusu yapmıştır. Pandemi ile birlikte ortaya çıkan duruma dikkat çeken başka bir personel E-6 “</w:t>
      </w:r>
      <w:r w:rsidRPr="000A2E75">
        <w:rPr>
          <w:rFonts w:ascii="Times New Roman" w:hAnsi="Times New Roman" w:cs="Times New Roman"/>
          <w:i/>
        </w:rPr>
        <w:t>Eğitmenlerin süreç içerisinde neler yaşanacağına dair hiçbir fikri olmaması sistemin sağlıklı yürümesi önünde büyük bir engel oluşturmuştur</w:t>
      </w:r>
      <w:r w:rsidRPr="000A2E75">
        <w:rPr>
          <w:rFonts w:ascii="Times New Roman" w:hAnsi="Times New Roman" w:cs="Times New Roman"/>
        </w:rPr>
        <w:t>” diyerek karmaşa ve belirsizlik durumunun oluşturduğu sorunlardan bahsetmiştir. Başka bir personel ise E-5 “</w:t>
      </w:r>
      <w:r w:rsidRPr="000A2E75">
        <w:rPr>
          <w:rFonts w:ascii="Times New Roman" w:hAnsi="Times New Roman" w:cs="Times New Roman"/>
          <w:i/>
        </w:rPr>
        <w:t>UZEM personelinin hizmet vermesi gereken eğitmen sayısı artınca sistem kullanımı konusunda hızlı bir şekilde eğitim videoları hazırlaması gerekti bu videoları hazırlamak oldukça mesai gerektirdi</w:t>
      </w:r>
      <w:r w:rsidRPr="000A2E75">
        <w:rPr>
          <w:rFonts w:ascii="Times New Roman" w:hAnsi="Times New Roman" w:cs="Times New Roman"/>
        </w:rPr>
        <w:t>” diyerek eğitmenlere destek amacıyla kısa sürede çekilen eğitim videolarının ne kadar yoğunluk oluşturduğundan bahsetmiştir. Bir başka personel K-1 “</w:t>
      </w:r>
      <w:r w:rsidRPr="000A2E75">
        <w:rPr>
          <w:rFonts w:ascii="Times New Roman" w:hAnsi="Times New Roman" w:cs="Times New Roman"/>
          <w:i/>
        </w:rPr>
        <w:t>İlk defa UE uygulaması ile ders veren öğretim elemanlarının UE konusunda yetersiz bilgileri, uygulamada çeşitli sorunların yaşanmasına sebep oldu</w:t>
      </w:r>
      <w:r w:rsidRPr="000A2E75">
        <w:rPr>
          <w:rFonts w:ascii="Times New Roman" w:hAnsi="Times New Roman" w:cs="Times New Roman"/>
        </w:rPr>
        <w:t>” demiş ve öğretim elemanlarının kafalarındaki UE algılarına göre hareket etmelerinin ortaya çıkardığı sorunlardan bahsetmiştir. Bununla beraber aynı personel “</w:t>
      </w:r>
      <w:r w:rsidRPr="000A2E75">
        <w:rPr>
          <w:rFonts w:ascii="Times New Roman" w:hAnsi="Times New Roman" w:cs="Times New Roman"/>
          <w:i/>
        </w:rPr>
        <w:t xml:space="preserve">Öğretim </w:t>
      </w:r>
      <w:r w:rsidRPr="000A2E75">
        <w:rPr>
          <w:rFonts w:ascii="Times New Roman" w:hAnsi="Times New Roman" w:cs="Times New Roman"/>
          <w:i/>
        </w:rPr>
        <w:lastRenderedPageBreak/>
        <w:t>elemanları sistemin standart işleyişi dışında forum, yoklama vb. özellikler noktasında UZEM çalışanından ayrıca destek istemesi zamanın kısıtlı olduğu dönemlerde sorunlara yol açtı</w:t>
      </w:r>
      <w:r w:rsidRPr="000A2E75">
        <w:rPr>
          <w:rFonts w:ascii="Times New Roman" w:hAnsi="Times New Roman" w:cs="Times New Roman"/>
        </w:rPr>
        <w:t>” demiştir. Başka bir personel ise E-4 “</w:t>
      </w:r>
      <w:r w:rsidRPr="000A2E75">
        <w:rPr>
          <w:rFonts w:ascii="Times New Roman" w:hAnsi="Times New Roman" w:cs="Times New Roman"/>
          <w:i/>
        </w:rPr>
        <w:t>Öğretim elemanlarının sınav dönemlerinde ölçme değerlendirme faaliyetlerinin güvenli olması için daha fazla güvenlik tedbiri almak istediklerini söylemesi sınavlarda çok farklı uygulamaların kısa süre içerisinde kullanılmasını gerektirdi</w:t>
      </w:r>
      <w:r w:rsidRPr="000A2E75">
        <w:rPr>
          <w:rFonts w:ascii="Times New Roman" w:hAnsi="Times New Roman" w:cs="Times New Roman"/>
        </w:rPr>
        <w:t>” diyerek sınav dönemlerinde ortaya çıkan ek bir yoğunluğun altını çizmiştir.</w:t>
      </w:r>
    </w:p>
    <w:p w14:paraId="2A484F36" w14:textId="77777777" w:rsidR="00E839E1" w:rsidRPr="000A2E75" w:rsidRDefault="00E839E1" w:rsidP="00E839E1">
      <w:pPr>
        <w:spacing w:before="280" w:after="120"/>
        <w:ind w:firstLine="567"/>
        <w:jc w:val="both"/>
        <w:rPr>
          <w:rFonts w:ascii="Times New Roman" w:hAnsi="Times New Roman" w:cs="Times New Roman"/>
          <w:b/>
        </w:rPr>
      </w:pPr>
      <w:r w:rsidRPr="000A2E75">
        <w:rPr>
          <w:rFonts w:ascii="Times New Roman" w:hAnsi="Times New Roman" w:cs="Times New Roman"/>
          <w:b/>
        </w:rPr>
        <w:t xml:space="preserve">Sistem merkezli sorunlar </w:t>
      </w:r>
    </w:p>
    <w:p w14:paraId="33139A58" w14:textId="77777777" w:rsidR="00E839E1" w:rsidRPr="000A2E75" w:rsidRDefault="00E839E1" w:rsidP="00E839E1">
      <w:pPr>
        <w:spacing w:before="280" w:after="120"/>
        <w:ind w:firstLine="567"/>
        <w:jc w:val="both"/>
        <w:rPr>
          <w:rFonts w:ascii="Times New Roman" w:hAnsi="Times New Roman" w:cs="Times New Roman"/>
        </w:rPr>
      </w:pPr>
      <w:r w:rsidRPr="000A2E75">
        <w:rPr>
          <w:rFonts w:ascii="Times New Roman" w:hAnsi="Times New Roman" w:cs="Times New Roman"/>
        </w:rPr>
        <w:t xml:space="preserve">UZEM çalışanlarının UE sisteminden kaynaklı yaşadığı sorunlar tablo 3’te gösterilmiştir. </w:t>
      </w:r>
    </w:p>
    <w:p w14:paraId="1214DFA3" w14:textId="77777777" w:rsidR="00E839E1" w:rsidRPr="000A2E75" w:rsidRDefault="00E839E1" w:rsidP="00E839E1">
      <w:pPr>
        <w:spacing w:before="280" w:after="120"/>
        <w:rPr>
          <w:rFonts w:ascii="Times New Roman" w:hAnsi="Times New Roman" w:cs="Times New Roman"/>
        </w:rPr>
      </w:pPr>
      <w:r w:rsidRPr="000A2E75">
        <w:rPr>
          <w:rFonts w:ascii="Times New Roman" w:hAnsi="Times New Roman" w:cs="Times New Roman"/>
          <w:i/>
        </w:rPr>
        <w:t>Tablo 3.</w:t>
      </w:r>
      <w:r w:rsidRPr="000A2E75">
        <w:rPr>
          <w:rFonts w:ascii="Times New Roman" w:hAnsi="Times New Roman" w:cs="Times New Roman"/>
        </w:rPr>
        <w:t xml:space="preserve"> UZEM çalışanlarının sistem kaynaklı yaşadığı sorunlar</w:t>
      </w:r>
    </w:p>
    <w:tbl>
      <w:tblPr>
        <w:tblW w:w="9180" w:type="dxa"/>
        <w:tblBorders>
          <w:top w:val="single" w:sz="4" w:space="0" w:color="000000"/>
          <w:left w:val="single" w:sz="4" w:space="0" w:color="000000"/>
          <w:bottom w:val="single" w:sz="4" w:space="0" w:color="000000"/>
          <w:right w:val="single" w:sz="4" w:space="0" w:color="000000"/>
        </w:tblBorders>
        <w:tblLayout w:type="fixed"/>
        <w:tblLook w:val="0400" w:firstRow="0" w:lastRow="0" w:firstColumn="0" w:lastColumn="0" w:noHBand="0" w:noVBand="1"/>
      </w:tblPr>
      <w:tblGrid>
        <w:gridCol w:w="708"/>
        <w:gridCol w:w="2376"/>
        <w:gridCol w:w="2134"/>
        <w:gridCol w:w="2410"/>
        <w:gridCol w:w="1552"/>
      </w:tblGrid>
      <w:tr w:rsidR="00E839E1" w:rsidRPr="000A2E75" w14:paraId="793B8E82" w14:textId="77777777" w:rsidTr="00E839E1">
        <w:tc>
          <w:tcPr>
            <w:tcW w:w="9180" w:type="dxa"/>
            <w:gridSpan w:val="5"/>
            <w:tcBorders>
              <w:top w:val="single" w:sz="4" w:space="0" w:color="000000"/>
              <w:left w:val="nil"/>
              <w:bottom w:val="single" w:sz="4" w:space="0" w:color="000000"/>
              <w:right w:val="nil"/>
            </w:tcBorders>
            <w:shd w:val="clear" w:color="auto" w:fill="auto"/>
          </w:tcPr>
          <w:p w14:paraId="45D4367F"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Sistem Merkezli Sorunlar</w:t>
            </w:r>
          </w:p>
        </w:tc>
      </w:tr>
      <w:tr w:rsidR="00E839E1" w:rsidRPr="000A2E75" w14:paraId="0D1E2532" w14:textId="77777777" w:rsidTr="00E839E1">
        <w:tc>
          <w:tcPr>
            <w:tcW w:w="3084" w:type="dxa"/>
            <w:gridSpan w:val="2"/>
            <w:tcBorders>
              <w:top w:val="single" w:sz="4" w:space="0" w:color="000000"/>
              <w:left w:val="nil"/>
              <w:bottom w:val="nil"/>
            </w:tcBorders>
          </w:tcPr>
          <w:p w14:paraId="7CD71266" w14:textId="77777777" w:rsidR="00E839E1" w:rsidRPr="000A2E75" w:rsidRDefault="00E839E1" w:rsidP="00E839E1">
            <w:pPr>
              <w:spacing w:after="120"/>
              <w:rPr>
                <w:rFonts w:ascii="Times New Roman" w:hAnsi="Times New Roman" w:cs="Times New Roman"/>
              </w:rPr>
            </w:pPr>
          </w:p>
        </w:tc>
        <w:tc>
          <w:tcPr>
            <w:tcW w:w="2134" w:type="dxa"/>
            <w:tcBorders>
              <w:top w:val="single" w:sz="4" w:space="0" w:color="000000"/>
              <w:bottom w:val="single" w:sz="4" w:space="0" w:color="000000"/>
            </w:tcBorders>
          </w:tcPr>
          <w:p w14:paraId="61E9D8F3"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UE deneyimi olan (f)</w:t>
            </w:r>
          </w:p>
        </w:tc>
        <w:tc>
          <w:tcPr>
            <w:tcW w:w="2410" w:type="dxa"/>
            <w:tcBorders>
              <w:top w:val="single" w:sz="4" w:space="0" w:color="000000"/>
              <w:bottom w:val="single" w:sz="4" w:space="0" w:color="000000"/>
            </w:tcBorders>
          </w:tcPr>
          <w:p w14:paraId="6334D2E5"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UE deneyimi olmayan (f)</w:t>
            </w:r>
          </w:p>
        </w:tc>
        <w:tc>
          <w:tcPr>
            <w:tcW w:w="1552" w:type="dxa"/>
            <w:tcBorders>
              <w:top w:val="single" w:sz="4" w:space="0" w:color="000000"/>
              <w:bottom w:val="single" w:sz="4" w:space="0" w:color="000000"/>
              <w:right w:val="nil"/>
            </w:tcBorders>
          </w:tcPr>
          <w:p w14:paraId="7C8B7540"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Toplam (f)</w:t>
            </w:r>
          </w:p>
        </w:tc>
      </w:tr>
      <w:tr w:rsidR="00E839E1" w:rsidRPr="000A2E75" w14:paraId="101388BE" w14:textId="77777777" w:rsidTr="00E839E1">
        <w:tc>
          <w:tcPr>
            <w:tcW w:w="708" w:type="dxa"/>
            <w:tcBorders>
              <w:top w:val="nil"/>
              <w:left w:val="nil"/>
            </w:tcBorders>
          </w:tcPr>
          <w:p w14:paraId="588595E7"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1</w:t>
            </w:r>
          </w:p>
        </w:tc>
        <w:tc>
          <w:tcPr>
            <w:tcW w:w="2376" w:type="dxa"/>
            <w:tcBorders>
              <w:top w:val="nil"/>
            </w:tcBorders>
          </w:tcPr>
          <w:p w14:paraId="17D4953D"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OBS entegrasyonu</w:t>
            </w:r>
          </w:p>
        </w:tc>
        <w:tc>
          <w:tcPr>
            <w:tcW w:w="2134" w:type="dxa"/>
            <w:tcBorders>
              <w:top w:val="single" w:sz="4" w:space="0" w:color="000000"/>
            </w:tcBorders>
          </w:tcPr>
          <w:p w14:paraId="516E023A"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4</w:t>
            </w:r>
          </w:p>
        </w:tc>
        <w:tc>
          <w:tcPr>
            <w:tcW w:w="2410" w:type="dxa"/>
            <w:tcBorders>
              <w:top w:val="single" w:sz="4" w:space="0" w:color="000000"/>
            </w:tcBorders>
          </w:tcPr>
          <w:p w14:paraId="04584656"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4</w:t>
            </w:r>
          </w:p>
        </w:tc>
        <w:tc>
          <w:tcPr>
            <w:tcW w:w="1552" w:type="dxa"/>
            <w:tcBorders>
              <w:top w:val="single" w:sz="4" w:space="0" w:color="000000"/>
              <w:right w:val="nil"/>
            </w:tcBorders>
          </w:tcPr>
          <w:p w14:paraId="498F0DDC"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8</w:t>
            </w:r>
          </w:p>
        </w:tc>
      </w:tr>
      <w:tr w:rsidR="00E839E1" w:rsidRPr="000A2E75" w14:paraId="1E98C132" w14:textId="77777777" w:rsidTr="00E839E1">
        <w:tc>
          <w:tcPr>
            <w:tcW w:w="708" w:type="dxa"/>
            <w:tcBorders>
              <w:left w:val="nil"/>
            </w:tcBorders>
          </w:tcPr>
          <w:p w14:paraId="58719001"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2</w:t>
            </w:r>
          </w:p>
        </w:tc>
        <w:tc>
          <w:tcPr>
            <w:tcW w:w="2376" w:type="dxa"/>
          </w:tcPr>
          <w:p w14:paraId="17AE4BEF"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Sistem hızı</w:t>
            </w:r>
          </w:p>
        </w:tc>
        <w:tc>
          <w:tcPr>
            <w:tcW w:w="2134" w:type="dxa"/>
          </w:tcPr>
          <w:p w14:paraId="14A3D3F0"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4</w:t>
            </w:r>
          </w:p>
        </w:tc>
        <w:tc>
          <w:tcPr>
            <w:tcW w:w="2410" w:type="dxa"/>
          </w:tcPr>
          <w:p w14:paraId="6C0655EF"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2</w:t>
            </w:r>
          </w:p>
        </w:tc>
        <w:tc>
          <w:tcPr>
            <w:tcW w:w="1552" w:type="dxa"/>
            <w:tcBorders>
              <w:right w:val="nil"/>
            </w:tcBorders>
          </w:tcPr>
          <w:p w14:paraId="4A1B910F"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6</w:t>
            </w:r>
          </w:p>
        </w:tc>
      </w:tr>
      <w:tr w:rsidR="00E839E1" w:rsidRPr="000A2E75" w14:paraId="14C97AF9" w14:textId="77777777" w:rsidTr="00E839E1">
        <w:tc>
          <w:tcPr>
            <w:tcW w:w="708" w:type="dxa"/>
            <w:tcBorders>
              <w:left w:val="nil"/>
            </w:tcBorders>
          </w:tcPr>
          <w:p w14:paraId="65385F59"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3</w:t>
            </w:r>
          </w:p>
        </w:tc>
        <w:tc>
          <w:tcPr>
            <w:tcW w:w="2376" w:type="dxa"/>
          </w:tcPr>
          <w:p w14:paraId="3EAEBE69"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Sınav güvenliği</w:t>
            </w:r>
          </w:p>
        </w:tc>
        <w:tc>
          <w:tcPr>
            <w:tcW w:w="2134" w:type="dxa"/>
          </w:tcPr>
          <w:p w14:paraId="50CB9D42"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3</w:t>
            </w:r>
          </w:p>
        </w:tc>
        <w:tc>
          <w:tcPr>
            <w:tcW w:w="2410" w:type="dxa"/>
          </w:tcPr>
          <w:p w14:paraId="2E5CC206"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3</w:t>
            </w:r>
          </w:p>
        </w:tc>
        <w:tc>
          <w:tcPr>
            <w:tcW w:w="1552" w:type="dxa"/>
            <w:tcBorders>
              <w:right w:val="nil"/>
            </w:tcBorders>
          </w:tcPr>
          <w:p w14:paraId="378C19E0"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6</w:t>
            </w:r>
          </w:p>
        </w:tc>
      </w:tr>
      <w:tr w:rsidR="00E839E1" w:rsidRPr="000A2E75" w14:paraId="364CC0F3" w14:textId="77777777" w:rsidTr="00E839E1">
        <w:tc>
          <w:tcPr>
            <w:tcW w:w="708" w:type="dxa"/>
            <w:tcBorders>
              <w:left w:val="nil"/>
            </w:tcBorders>
          </w:tcPr>
          <w:p w14:paraId="107F58B5"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4</w:t>
            </w:r>
          </w:p>
        </w:tc>
        <w:tc>
          <w:tcPr>
            <w:tcW w:w="2376" w:type="dxa"/>
          </w:tcPr>
          <w:p w14:paraId="007ADEB7"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Sistem Yetkinlikleri</w:t>
            </w:r>
          </w:p>
        </w:tc>
        <w:tc>
          <w:tcPr>
            <w:tcW w:w="2134" w:type="dxa"/>
          </w:tcPr>
          <w:p w14:paraId="04BEC67C"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3</w:t>
            </w:r>
          </w:p>
        </w:tc>
        <w:tc>
          <w:tcPr>
            <w:tcW w:w="2410" w:type="dxa"/>
          </w:tcPr>
          <w:p w14:paraId="25D138C6"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2</w:t>
            </w:r>
          </w:p>
        </w:tc>
        <w:tc>
          <w:tcPr>
            <w:tcW w:w="1552" w:type="dxa"/>
            <w:tcBorders>
              <w:right w:val="nil"/>
            </w:tcBorders>
          </w:tcPr>
          <w:p w14:paraId="667BCBF7"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5</w:t>
            </w:r>
          </w:p>
        </w:tc>
      </w:tr>
      <w:tr w:rsidR="00E839E1" w:rsidRPr="000A2E75" w14:paraId="786C7EF1" w14:textId="77777777" w:rsidTr="00E839E1">
        <w:tc>
          <w:tcPr>
            <w:tcW w:w="708" w:type="dxa"/>
            <w:tcBorders>
              <w:left w:val="nil"/>
            </w:tcBorders>
          </w:tcPr>
          <w:p w14:paraId="3992EFF6"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5</w:t>
            </w:r>
          </w:p>
        </w:tc>
        <w:tc>
          <w:tcPr>
            <w:tcW w:w="2376" w:type="dxa"/>
          </w:tcPr>
          <w:p w14:paraId="550C875C"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Bağlantı hızı</w:t>
            </w:r>
          </w:p>
        </w:tc>
        <w:tc>
          <w:tcPr>
            <w:tcW w:w="2134" w:type="dxa"/>
          </w:tcPr>
          <w:p w14:paraId="5CB1A9D7"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2</w:t>
            </w:r>
          </w:p>
        </w:tc>
        <w:tc>
          <w:tcPr>
            <w:tcW w:w="2410" w:type="dxa"/>
          </w:tcPr>
          <w:p w14:paraId="26CD79A5"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3</w:t>
            </w:r>
          </w:p>
        </w:tc>
        <w:tc>
          <w:tcPr>
            <w:tcW w:w="1552" w:type="dxa"/>
            <w:tcBorders>
              <w:right w:val="nil"/>
            </w:tcBorders>
          </w:tcPr>
          <w:p w14:paraId="33C06EEE"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5</w:t>
            </w:r>
          </w:p>
        </w:tc>
      </w:tr>
      <w:tr w:rsidR="00E839E1" w:rsidRPr="000A2E75" w14:paraId="3863CD70" w14:textId="77777777" w:rsidTr="00E839E1">
        <w:tc>
          <w:tcPr>
            <w:tcW w:w="708" w:type="dxa"/>
            <w:tcBorders>
              <w:left w:val="nil"/>
            </w:tcBorders>
          </w:tcPr>
          <w:p w14:paraId="754EE5A0"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6</w:t>
            </w:r>
          </w:p>
        </w:tc>
        <w:tc>
          <w:tcPr>
            <w:tcW w:w="2376" w:type="dxa"/>
          </w:tcPr>
          <w:p w14:paraId="6ECC118D"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Test yetersizliği</w:t>
            </w:r>
          </w:p>
        </w:tc>
        <w:tc>
          <w:tcPr>
            <w:tcW w:w="2134" w:type="dxa"/>
          </w:tcPr>
          <w:p w14:paraId="25CA33C1"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4</w:t>
            </w:r>
          </w:p>
        </w:tc>
        <w:tc>
          <w:tcPr>
            <w:tcW w:w="2410" w:type="dxa"/>
          </w:tcPr>
          <w:p w14:paraId="59302B62"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1</w:t>
            </w:r>
          </w:p>
        </w:tc>
        <w:tc>
          <w:tcPr>
            <w:tcW w:w="1552" w:type="dxa"/>
            <w:tcBorders>
              <w:right w:val="nil"/>
            </w:tcBorders>
          </w:tcPr>
          <w:p w14:paraId="27FD3841"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5</w:t>
            </w:r>
          </w:p>
        </w:tc>
      </w:tr>
      <w:tr w:rsidR="00E839E1" w:rsidRPr="000A2E75" w14:paraId="709DC451" w14:textId="77777777" w:rsidTr="00E839E1">
        <w:tc>
          <w:tcPr>
            <w:tcW w:w="708" w:type="dxa"/>
            <w:tcBorders>
              <w:left w:val="nil"/>
            </w:tcBorders>
          </w:tcPr>
          <w:p w14:paraId="67CD0186"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7</w:t>
            </w:r>
          </w:p>
        </w:tc>
        <w:tc>
          <w:tcPr>
            <w:tcW w:w="2376" w:type="dxa"/>
          </w:tcPr>
          <w:p w14:paraId="3EC06897"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Yazılım uyumsuzluğu</w:t>
            </w:r>
          </w:p>
        </w:tc>
        <w:tc>
          <w:tcPr>
            <w:tcW w:w="2134" w:type="dxa"/>
          </w:tcPr>
          <w:p w14:paraId="76794CCF"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3</w:t>
            </w:r>
          </w:p>
        </w:tc>
        <w:tc>
          <w:tcPr>
            <w:tcW w:w="2410" w:type="dxa"/>
          </w:tcPr>
          <w:p w14:paraId="268486E1"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1</w:t>
            </w:r>
          </w:p>
        </w:tc>
        <w:tc>
          <w:tcPr>
            <w:tcW w:w="1552" w:type="dxa"/>
            <w:tcBorders>
              <w:right w:val="nil"/>
            </w:tcBorders>
          </w:tcPr>
          <w:p w14:paraId="45372BF2"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4</w:t>
            </w:r>
          </w:p>
        </w:tc>
      </w:tr>
      <w:tr w:rsidR="00E839E1" w:rsidRPr="000A2E75" w14:paraId="49F93E44" w14:textId="77777777" w:rsidTr="00E839E1">
        <w:tc>
          <w:tcPr>
            <w:tcW w:w="708" w:type="dxa"/>
            <w:tcBorders>
              <w:left w:val="nil"/>
              <w:bottom w:val="single" w:sz="4" w:space="0" w:color="000000"/>
            </w:tcBorders>
          </w:tcPr>
          <w:p w14:paraId="6F815CB8"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8</w:t>
            </w:r>
          </w:p>
        </w:tc>
        <w:tc>
          <w:tcPr>
            <w:tcW w:w="2376" w:type="dxa"/>
            <w:tcBorders>
              <w:bottom w:val="single" w:sz="4" w:space="0" w:color="000000"/>
            </w:tcBorders>
          </w:tcPr>
          <w:p w14:paraId="50CF0471"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Mobil uygulama sorunu</w:t>
            </w:r>
          </w:p>
        </w:tc>
        <w:tc>
          <w:tcPr>
            <w:tcW w:w="2134" w:type="dxa"/>
            <w:tcBorders>
              <w:bottom w:val="single" w:sz="4" w:space="0" w:color="000000"/>
            </w:tcBorders>
          </w:tcPr>
          <w:p w14:paraId="30EA37CC"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2</w:t>
            </w:r>
          </w:p>
        </w:tc>
        <w:tc>
          <w:tcPr>
            <w:tcW w:w="2410" w:type="dxa"/>
            <w:tcBorders>
              <w:bottom w:val="single" w:sz="4" w:space="0" w:color="000000"/>
            </w:tcBorders>
          </w:tcPr>
          <w:p w14:paraId="246B514C"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1</w:t>
            </w:r>
          </w:p>
        </w:tc>
        <w:tc>
          <w:tcPr>
            <w:tcW w:w="1552" w:type="dxa"/>
            <w:tcBorders>
              <w:bottom w:val="single" w:sz="4" w:space="0" w:color="000000"/>
              <w:right w:val="nil"/>
            </w:tcBorders>
          </w:tcPr>
          <w:p w14:paraId="441A8F53"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3</w:t>
            </w:r>
          </w:p>
        </w:tc>
      </w:tr>
    </w:tbl>
    <w:p w14:paraId="79D68BBE" w14:textId="77777777" w:rsidR="00E839E1" w:rsidRPr="000A2E75" w:rsidRDefault="00E839E1" w:rsidP="00E839E1">
      <w:pPr>
        <w:spacing w:before="280" w:after="120"/>
        <w:ind w:firstLine="567"/>
        <w:jc w:val="both"/>
        <w:rPr>
          <w:rFonts w:ascii="Times New Roman" w:hAnsi="Times New Roman" w:cs="Times New Roman"/>
        </w:rPr>
      </w:pPr>
      <w:r w:rsidRPr="000A2E75">
        <w:rPr>
          <w:rFonts w:ascii="Times New Roman" w:hAnsi="Times New Roman" w:cs="Times New Roman"/>
        </w:rPr>
        <w:t xml:space="preserve">Tablo 3 incelendiğinde eğitmen merkezli sorunlar kategorisinin altında 8 farklı kodun bulunduğu görülmektedir. Bu kodlar tekrar edilme sıklıklarına göre </w:t>
      </w:r>
      <w:r w:rsidRPr="000A2E75">
        <w:rPr>
          <w:rFonts w:ascii="Times New Roman" w:hAnsi="Times New Roman" w:cs="Times New Roman"/>
          <w:i/>
        </w:rPr>
        <w:t xml:space="preserve">OBS entegrasyonu, sistem hızı, sınav güvenliği, sistem yetkinlikleri, bağlantı hızı, test yetersizliği, yazılım uyumsuzluğu, mobil uygulama sorunu </w:t>
      </w:r>
      <w:r w:rsidRPr="000A2E75">
        <w:rPr>
          <w:rFonts w:ascii="Times New Roman" w:hAnsi="Times New Roman" w:cs="Times New Roman"/>
        </w:rPr>
        <w:t>şeklinde sıralanmaktadır. Sitem merkezli sorunlar içerisinde UZEM personelleri en çok obs entegrasyon sorunundan bahsetmiş ve bir personel E-4 “</w:t>
      </w:r>
      <w:r w:rsidRPr="000A2E75">
        <w:rPr>
          <w:rFonts w:ascii="Times New Roman" w:hAnsi="Times New Roman" w:cs="Times New Roman"/>
          <w:i/>
        </w:rPr>
        <w:t>Öğrenci bilgi sisteminde (obs) bulunan tüm öğrencileri sisteme hatasız aktarabilmek günlerimizi alıyordu ve daha sonra OBS ye eklenen öğrencilerin otomatik senkronize olmaması başka sorunlara neden oluyordu</w:t>
      </w:r>
      <w:r w:rsidRPr="000A2E75">
        <w:rPr>
          <w:rFonts w:ascii="Times New Roman" w:hAnsi="Times New Roman" w:cs="Times New Roman"/>
        </w:rPr>
        <w:t>” ifadeleri ile OBS senkronizasyonu konusunda yaşanılan zorluklara dikkat çekmiştir. Bir başka personel E-6 “</w:t>
      </w:r>
      <w:r w:rsidRPr="000A2E75">
        <w:rPr>
          <w:rFonts w:ascii="Times New Roman" w:hAnsi="Times New Roman" w:cs="Times New Roman"/>
          <w:i/>
        </w:rPr>
        <w:t>Pandeminin aniden bastırması tüm dünyada uzaktan eğitime geçişe sebep oldu, bu durum kullandığımız UE sisteminin yoğunluk nedeniyle zaman zaman yavaşlaması sorununu ortaya çıkardı</w:t>
      </w:r>
      <w:r w:rsidRPr="000A2E75">
        <w:rPr>
          <w:rFonts w:ascii="Times New Roman" w:hAnsi="Times New Roman" w:cs="Times New Roman"/>
        </w:rPr>
        <w:t>” demiştir. Bir başka personel K-1 “</w:t>
      </w:r>
      <w:r w:rsidRPr="000A2E75">
        <w:rPr>
          <w:rFonts w:ascii="Times New Roman" w:hAnsi="Times New Roman" w:cs="Times New Roman"/>
          <w:i/>
        </w:rPr>
        <w:t>UE sistemi sınav dönemlerinde bazı önlemleri almamız konusunda yetersiz kalıyordu, bu durum sınav sonrasında karşımıza bazı problemleri çıkarıyordu</w:t>
      </w:r>
      <w:r w:rsidRPr="000A2E75">
        <w:rPr>
          <w:rFonts w:ascii="Times New Roman" w:hAnsi="Times New Roman" w:cs="Times New Roman"/>
        </w:rPr>
        <w:t>” ifadeleri ile sınav güvenliği konusunda yaşanan sorunların altını çizmiştir. Sistem yetkinliklerinin kısıtlı olması ile ilgili sorunlara dikkat çeken bir personel E-2 “</w:t>
      </w:r>
      <w:r w:rsidRPr="000A2E75">
        <w:rPr>
          <w:rFonts w:ascii="Times New Roman" w:hAnsi="Times New Roman" w:cs="Times New Roman"/>
          <w:i/>
        </w:rPr>
        <w:t>UE sistemi öğretim elemanları bulunduğu bölümler ile ilgili bazı gereklilikleri karşılayamadığında UZEM personeli olası diğer çözümleri aramak ve alternatif sunmak zorunda kalıyordu</w:t>
      </w:r>
      <w:r w:rsidRPr="000A2E75">
        <w:rPr>
          <w:rFonts w:ascii="Times New Roman" w:hAnsi="Times New Roman" w:cs="Times New Roman"/>
        </w:rPr>
        <w:t>” diyerek sistemin bazı yetkinlikler konusunda sorun yaşadığını belirtmiştir. Başka bir personel E-1 “</w:t>
      </w:r>
      <w:r w:rsidRPr="000A2E75">
        <w:rPr>
          <w:rFonts w:ascii="Times New Roman" w:hAnsi="Times New Roman" w:cs="Times New Roman"/>
          <w:i/>
        </w:rPr>
        <w:t>Dünya genelinde yaşanan bir problem olması zaman zaman internet bağlantı hızında düşmelere sebep oluyordu, bu problem kritik zamanlarda önemli sorunlara yol açabiliyordu</w:t>
      </w:r>
      <w:r w:rsidRPr="000A2E75">
        <w:rPr>
          <w:rFonts w:ascii="Times New Roman" w:hAnsi="Times New Roman" w:cs="Times New Roman"/>
        </w:rPr>
        <w:t>” ifadelerini kullanmıştır. UE sisteminin test edilebilme yetersizliğinden bahseden bir başka personel E-4 “</w:t>
      </w:r>
      <w:r w:rsidRPr="000A2E75">
        <w:rPr>
          <w:rFonts w:ascii="Times New Roman" w:hAnsi="Times New Roman" w:cs="Times New Roman"/>
          <w:i/>
        </w:rPr>
        <w:t>UE sistemini test edebilmek için gerekli zamanı bulamadığımız için tüm sorunlar ile süreç içerisinde karşı karşıya kaldık, bu durum bizi oldukça zorladı</w:t>
      </w:r>
      <w:r w:rsidRPr="000A2E75">
        <w:rPr>
          <w:rFonts w:ascii="Times New Roman" w:hAnsi="Times New Roman" w:cs="Times New Roman"/>
        </w:rPr>
        <w:t>” demiştir. Bir başka personel E-3 “</w:t>
      </w:r>
      <w:r w:rsidRPr="000A2E75">
        <w:rPr>
          <w:rFonts w:ascii="Times New Roman" w:hAnsi="Times New Roman" w:cs="Times New Roman"/>
          <w:i/>
        </w:rPr>
        <w:t xml:space="preserve">UE sisteminin her tarayıcı ile uyumlu </w:t>
      </w:r>
      <w:r w:rsidRPr="000A2E75">
        <w:rPr>
          <w:rFonts w:ascii="Times New Roman" w:hAnsi="Times New Roman" w:cs="Times New Roman"/>
          <w:i/>
        </w:rPr>
        <w:lastRenderedPageBreak/>
        <w:t>çalışmaması, bazen mobil cihaz yazılımlarında sorunlar yaşatması öğrencilerin UZEM personelini doğrudan aramak istemesine sebep oluyordu</w:t>
      </w:r>
      <w:r w:rsidRPr="000A2E75">
        <w:rPr>
          <w:rFonts w:ascii="Times New Roman" w:hAnsi="Times New Roman" w:cs="Times New Roman"/>
        </w:rPr>
        <w:t>” demiş ve sistemde yaşanan yazılım uyumsuzluklarının sonuçlarına vurgu yapmıştır. Bu kategori içerisinde en az sorun çıkaran durum olan mobil uygulama sorununa dikkat çeken bir personel K-2 “</w:t>
      </w:r>
      <w:r w:rsidRPr="000A2E75">
        <w:rPr>
          <w:rFonts w:ascii="Times New Roman" w:hAnsi="Times New Roman" w:cs="Times New Roman"/>
          <w:i/>
        </w:rPr>
        <w:t>UE sisteminin mobil uygulamasının zaman zaman çalışmaması mobil cihazlar kullanan öğrencilerin sınav vb. uygulamalarda sorun yaşamasına sebep oluyordu ve bu durum doğrudan UZEM personeline yansıyordu</w:t>
      </w:r>
      <w:r w:rsidRPr="000A2E75">
        <w:rPr>
          <w:rFonts w:ascii="Times New Roman" w:hAnsi="Times New Roman" w:cs="Times New Roman"/>
        </w:rPr>
        <w:t>” demiştir.</w:t>
      </w:r>
    </w:p>
    <w:p w14:paraId="36BBFE72" w14:textId="77777777" w:rsidR="00E839E1" w:rsidRPr="000A2E75" w:rsidRDefault="00E839E1" w:rsidP="00E839E1">
      <w:pPr>
        <w:spacing w:before="280" w:after="120"/>
        <w:ind w:firstLine="567"/>
        <w:jc w:val="both"/>
        <w:rPr>
          <w:rFonts w:ascii="Times New Roman" w:hAnsi="Times New Roman" w:cs="Times New Roman"/>
          <w:b/>
        </w:rPr>
      </w:pPr>
      <w:r w:rsidRPr="000A2E75">
        <w:rPr>
          <w:rFonts w:ascii="Times New Roman" w:hAnsi="Times New Roman" w:cs="Times New Roman"/>
          <w:b/>
        </w:rPr>
        <w:t xml:space="preserve">Diğer sorunlar </w:t>
      </w:r>
    </w:p>
    <w:p w14:paraId="651D3028" w14:textId="77777777" w:rsidR="00E839E1" w:rsidRPr="000A2E75" w:rsidRDefault="00E839E1" w:rsidP="00E839E1">
      <w:pPr>
        <w:spacing w:before="280" w:after="120"/>
        <w:ind w:firstLine="567"/>
        <w:jc w:val="both"/>
        <w:rPr>
          <w:rFonts w:ascii="Times New Roman" w:hAnsi="Times New Roman" w:cs="Times New Roman"/>
        </w:rPr>
      </w:pPr>
      <w:r w:rsidRPr="000A2E75">
        <w:rPr>
          <w:rFonts w:ascii="Times New Roman" w:hAnsi="Times New Roman" w:cs="Times New Roman"/>
        </w:rPr>
        <w:t xml:space="preserve">UZEM çalışanlarının yaşadığı diğer sorunlar tablo 4’te gösterilmiştir. </w:t>
      </w:r>
    </w:p>
    <w:p w14:paraId="2BCD5915" w14:textId="77777777" w:rsidR="00E839E1" w:rsidRPr="000A2E75" w:rsidRDefault="00E839E1" w:rsidP="00E839E1">
      <w:pPr>
        <w:spacing w:before="280" w:after="120"/>
        <w:rPr>
          <w:rFonts w:ascii="Times New Roman" w:hAnsi="Times New Roman" w:cs="Times New Roman"/>
        </w:rPr>
      </w:pPr>
      <w:r w:rsidRPr="000A2E75">
        <w:rPr>
          <w:rFonts w:ascii="Times New Roman" w:hAnsi="Times New Roman" w:cs="Times New Roman"/>
          <w:i/>
        </w:rPr>
        <w:t>Tablo 4.</w:t>
      </w:r>
      <w:r w:rsidRPr="000A2E75">
        <w:rPr>
          <w:rFonts w:ascii="Times New Roman" w:hAnsi="Times New Roman" w:cs="Times New Roman"/>
        </w:rPr>
        <w:t xml:space="preserve"> UZEM çalışanlarının yaşadığı diğer sorunlar</w:t>
      </w:r>
    </w:p>
    <w:tbl>
      <w:tblPr>
        <w:tblW w:w="9180" w:type="dxa"/>
        <w:tblBorders>
          <w:top w:val="single" w:sz="4" w:space="0" w:color="000000"/>
          <w:bottom w:val="single" w:sz="4" w:space="0" w:color="000000"/>
        </w:tblBorders>
        <w:tblLayout w:type="fixed"/>
        <w:tblLook w:val="0400" w:firstRow="0" w:lastRow="0" w:firstColumn="0" w:lastColumn="0" w:noHBand="0" w:noVBand="1"/>
      </w:tblPr>
      <w:tblGrid>
        <w:gridCol w:w="567"/>
        <w:gridCol w:w="2376"/>
        <w:gridCol w:w="2134"/>
        <w:gridCol w:w="2544"/>
        <w:gridCol w:w="1559"/>
      </w:tblGrid>
      <w:tr w:rsidR="00E839E1" w:rsidRPr="000A2E75" w14:paraId="31A7C015" w14:textId="77777777" w:rsidTr="00E839E1">
        <w:tc>
          <w:tcPr>
            <w:tcW w:w="9180" w:type="dxa"/>
            <w:gridSpan w:val="5"/>
            <w:tcBorders>
              <w:top w:val="single" w:sz="4" w:space="0" w:color="000000"/>
              <w:bottom w:val="single" w:sz="4" w:space="0" w:color="000000"/>
            </w:tcBorders>
            <w:shd w:val="clear" w:color="auto" w:fill="auto"/>
          </w:tcPr>
          <w:p w14:paraId="7FDF3957"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Diğer Sorunlar</w:t>
            </w:r>
          </w:p>
        </w:tc>
      </w:tr>
      <w:tr w:rsidR="00E839E1" w:rsidRPr="000A2E75" w14:paraId="1444100E" w14:textId="77777777" w:rsidTr="00E839E1">
        <w:tc>
          <w:tcPr>
            <w:tcW w:w="2943" w:type="dxa"/>
            <w:gridSpan w:val="2"/>
            <w:tcBorders>
              <w:top w:val="single" w:sz="4" w:space="0" w:color="000000"/>
              <w:bottom w:val="nil"/>
            </w:tcBorders>
          </w:tcPr>
          <w:p w14:paraId="0B80BAAD" w14:textId="77777777" w:rsidR="00E839E1" w:rsidRPr="000A2E75" w:rsidRDefault="00E839E1" w:rsidP="00E839E1">
            <w:pPr>
              <w:spacing w:after="120"/>
              <w:rPr>
                <w:rFonts w:ascii="Times New Roman" w:hAnsi="Times New Roman" w:cs="Times New Roman"/>
              </w:rPr>
            </w:pPr>
          </w:p>
        </w:tc>
        <w:tc>
          <w:tcPr>
            <w:tcW w:w="2134" w:type="dxa"/>
            <w:tcBorders>
              <w:top w:val="single" w:sz="4" w:space="0" w:color="000000"/>
              <w:bottom w:val="single" w:sz="4" w:space="0" w:color="000000"/>
            </w:tcBorders>
          </w:tcPr>
          <w:p w14:paraId="6486388A"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UE deneyimi olan (f)</w:t>
            </w:r>
          </w:p>
        </w:tc>
        <w:tc>
          <w:tcPr>
            <w:tcW w:w="2544" w:type="dxa"/>
            <w:tcBorders>
              <w:top w:val="single" w:sz="4" w:space="0" w:color="000000"/>
              <w:bottom w:val="single" w:sz="4" w:space="0" w:color="000000"/>
            </w:tcBorders>
          </w:tcPr>
          <w:p w14:paraId="0C340118"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UE deneyimi olmayan (f)</w:t>
            </w:r>
          </w:p>
        </w:tc>
        <w:tc>
          <w:tcPr>
            <w:tcW w:w="1559" w:type="dxa"/>
            <w:tcBorders>
              <w:top w:val="single" w:sz="4" w:space="0" w:color="000000"/>
              <w:bottom w:val="single" w:sz="4" w:space="0" w:color="000000"/>
            </w:tcBorders>
          </w:tcPr>
          <w:p w14:paraId="421AABF8"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Toplam (f)</w:t>
            </w:r>
          </w:p>
        </w:tc>
      </w:tr>
      <w:tr w:rsidR="00E839E1" w:rsidRPr="000A2E75" w14:paraId="749A7AA9" w14:textId="77777777" w:rsidTr="00E839E1">
        <w:tc>
          <w:tcPr>
            <w:tcW w:w="567" w:type="dxa"/>
            <w:tcBorders>
              <w:top w:val="nil"/>
            </w:tcBorders>
          </w:tcPr>
          <w:p w14:paraId="12289D17"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1</w:t>
            </w:r>
          </w:p>
        </w:tc>
        <w:tc>
          <w:tcPr>
            <w:tcW w:w="2376" w:type="dxa"/>
            <w:tcBorders>
              <w:top w:val="nil"/>
            </w:tcBorders>
          </w:tcPr>
          <w:p w14:paraId="3B1F3114" w14:textId="77777777" w:rsidR="00E839E1" w:rsidRPr="000A2E75" w:rsidRDefault="00E839E1" w:rsidP="00E839E1">
            <w:pPr>
              <w:spacing w:after="120"/>
              <w:rPr>
                <w:rFonts w:ascii="Times New Roman" w:hAnsi="Times New Roman" w:cs="Times New Roman"/>
                <w:color w:val="FF0000"/>
              </w:rPr>
            </w:pPr>
            <w:r w:rsidRPr="000A2E75">
              <w:rPr>
                <w:rFonts w:ascii="Times New Roman" w:hAnsi="Times New Roman" w:cs="Times New Roman"/>
              </w:rPr>
              <w:t>Yönetici beklentileri</w:t>
            </w:r>
          </w:p>
        </w:tc>
        <w:tc>
          <w:tcPr>
            <w:tcW w:w="2134" w:type="dxa"/>
            <w:tcBorders>
              <w:top w:val="single" w:sz="4" w:space="0" w:color="000000"/>
            </w:tcBorders>
          </w:tcPr>
          <w:p w14:paraId="36AAAF2C"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4</w:t>
            </w:r>
          </w:p>
        </w:tc>
        <w:tc>
          <w:tcPr>
            <w:tcW w:w="2544" w:type="dxa"/>
            <w:tcBorders>
              <w:top w:val="single" w:sz="4" w:space="0" w:color="000000"/>
            </w:tcBorders>
          </w:tcPr>
          <w:p w14:paraId="4D0EFBD5"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w:t>
            </w:r>
          </w:p>
        </w:tc>
        <w:tc>
          <w:tcPr>
            <w:tcW w:w="1559" w:type="dxa"/>
            <w:tcBorders>
              <w:top w:val="single" w:sz="4" w:space="0" w:color="000000"/>
            </w:tcBorders>
          </w:tcPr>
          <w:p w14:paraId="52DFF3D8"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4</w:t>
            </w:r>
          </w:p>
        </w:tc>
      </w:tr>
      <w:tr w:rsidR="00E839E1" w:rsidRPr="000A2E75" w14:paraId="5F5E1D62" w14:textId="77777777" w:rsidTr="00E839E1">
        <w:tc>
          <w:tcPr>
            <w:tcW w:w="567" w:type="dxa"/>
          </w:tcPr>
          <w:p w14:paraId="65609363"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2</w:t>
            </w:r>
          </w:p>
        </w:tc>
        <w:tc>
          <w:tcPr>
            <w:tcW w:w="2376" w:type="dxa"/>
          </w:tcPr>
          <w:p w14:paraId="45032FAE"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Organizasyon eksikliği</w:t>
            </w:r>
          </w:p>
        </w:tc>
        <w:tc>
          <w:tcPr>
            <w:tcW w:w="2134" w:type="dxa"/>
          </w:tcPr>
          <w:p w14:paraId="26490393"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4</w:t>
            </w:r>
          </w:p>
        </w:tc>
        <w:tc>
          <w:tcPr>
            <w:tcW w:w="2544" w:type="dxa"/>
          </w:tcPr>
          <w:p w14:paraId="5A1ADE51"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w:t>
            </w:r>
          </w:p>
        </w:tc>
        <w:tc>
          <w:tcPr>
            <w:tcW w:w="1559" w:type="dxa"/>
          </w:tcPr>
          <w:p w14:paraId="53CFA0F1"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4</w:t>
            </w:r>
          </w:p>
        </w:tc>
      </w:tr>
      <w:tr w:rsidR="00E839E1" w:rsidRPr="000A2E75" w14:paraId="3C749D5E" w14:textId="77777777" w:rsidTr="00E839E1">
        <w:tc>
          <w:tcPr>
            <w:tcW w:w="567" w:type="dxa"/>
          </w:tcPr>
          <w:p w14:paraId="389A1EA8"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3</w:t>
            </w:r>
          </w:p>
        </w:tc>
        <w:tc>
          <w:tcPr>
            <w:tcW w:w="2376" w:type="dxa"/>
          </w:tcPr>
          <w:p w14:paraId="0B96D5A5"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UE sistem eğitimi eksikliği</w:t>
            </w:r>
          </w:p>
        </w:tc>
        <w:tc>
          <w:tcPr>
            <w:tcW w:w="2134" w:type="dxa"/>
          </w:tcPr>
          <w:p w14:paraId="348EE0C7"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4</w:t>
            </w:r>
          </w:p>
        </w:tc>
        <w:tc>
          <w:tcPr>
            <w:tcW w:w="2544" w:type="dxa"/>
          </w:tcPr>
          <w:p w14:paraId="6851F0DB"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w:t>
            </w:r>
          </w:p>
        </w:tc>
        <w:tc>
          <w:tcPr>
            <w:tcW w:w="1559" w:type="dxa"/>
          </w:tcPr>
          <w:p w14:paraId="2A91F51A"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4</w:t>
            </w:r>
          </w:p>
        </w:tc>
      </w:tr>
      <w:tr w:rsidR="00E839E1" w:rsidRPr="000A2E75" w14:paraId="759C5765" w14:textId="77777777" w:rsidTr="00E839E1">
        <w:tc>
          <w:tcPr>
            <w:tcW w:w="567" w:type="dxa"/>
          </w:tcPr>
          <w:p w14:paraId="60C5FE75"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4</w:t>
            </w:r>
          </w:p>
        </w:tc>
        <w:tc>
          <w:tcPr>
            <w:tcW w:w="2376" w:type="dxa"/>
          </w:tcPr>
          <w:p w14:paraId="26BFAA25"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Personel sayısı eksikliği</w:t>
            </w:r>
          </w:p>
        </w:tc>
        <w:tc>
          <w:tcPr>
            <w:tcW w:w="2134" w:type="dxa"/>
          </w:tcPr>
          <w:p w14:paraId="21EF068A"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3</w:t>
            </w:r>
          </w:p>
        </w:tc>
        <w:tc>
          <w:tcPr>
            <w:tcW w:w="2544" w:type="dxa"/>
          </w:tcPr>
          <w:p w14:paraId="69DA9F57"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w:t>
            </w:r>
          </w:p>
        </w:tc>
        <w:tc>
          <w:tcPr>
            <w:tcW w:w="1559" w:type="dxa"/>
          </w:tcPr>
          <w:p w14:paraId="031FCA30" w14:textId="77777777" w:rsidR="00E839E1" w:rsidRPr="000A2E75" w:rsidRDefault="00E839E1" w:rsidP="00E839E1">
            <w:pPr>
              <w:spacing w:after="120"/>
              <w:jc w:val="center"/>
              <w:rPr>
                <w:rFonts w:ascii="Times New Roman" w:hAnsi="Times New Roman" w:cs="Times New Roman"/>
              </w:rPr>
            </w:pPr>
            <w:r w:rsidRPr="000A2E75">
              <w:rPr>
                <w:rFonts w:ascii="Times New Roman" w:hAnsi="Times New Roman" w:cs="Times New Roman"/>
              </w:rPr>
              <w:t>3</w:t>
            </w:r>
          </w:p>
        </w:tc>
      </w:tr>
    </w:tbl>
    <w:p w14:paraId="09D1B43C" w14:textId="77777777" w:rsidR="00E839E1" w:rsidRPr="000A2E75" w:rsidRDefault="00E839E1" w:rsidP="00E839E1">
      <w:pPr>
        <w:spacing w:before="280" w:after="120"/>
        <w:ind w:firstLine="567"/>
        <w:jc w:val="both"/>
        <w:rPr>
          <w:rFonts w:ascii="Times New Roman" w:hAnsi="Times New Roman" w:cs="Times New Roman"/>
        </w:rPr>
      </w:pPr>
      <w:r w:rsidRPr="000A2E75">
        <w:rPr>
          <w:rFonts w:ascii="Times New Roman" w:hAnsi="Times New Roman" w:cs="Times New Roman"/>
        </w:rPr>
        <w:t xml:space="preserve">Tablo 4 incelendiğinde eğitmen merkezli sorunlar kategorisinin altında 4 farklı kodun bulunduğu görülmektedir. Bu kodlar tekrar edilme sıklıklarına göre </w:t>
      </w:r>
      <w:r w:rsidRPr="000A2E75">
        <w:rPr>
          <w:rFonts w:ascii="Times New Roman" w:hAnsi="Times New Roman" w:cs="Times New Roman"/>
          <w:i/>
        </w:rPr>
        <w:t>yönetici beklentileri, organizasyon eksikliği, UE sistem eğitimi eksikliği, personel sayısı eksikliği</w:t>
      </w:r>
      <w:r w:rsidRPr="000A2E75">
        <w:rPr>
          <w:rFonts w:ascii="Times New Roman" w:hAnsi="Times New Roman" w:cs="Times New Roman"/>
        </w:rPr>
        <w:t xml:space="preserve"> şeklinde sıralanmaktadır. Bir personel E-2 “</w:t>
      </w:r>
      <w:r w:rsidRPr="000A2E75">
        <w:rPr>
          <w:rFonts w:ascii="Times New Roman" w:hAnsi="Times New Roman" w:cs="Times New Roman"/>
          <w:i/>
        </w:rPr>
        <w:t>Pandeminin özellikle ilk döneminde farklı fakülte/bölüm uygulamalarını gerçekleştirmek ve eğitim standartlarını düşürmemek adına yöneticilerinden gelen istekleri karşılamak oldukça zaman alıcıydı</w:t>
      </w:r>
      <w:r w:rsidRPr="000A2E75">
        <w:rPr>
          <w:rFonts w:ascii="Times New Roman" w:hAnsi="Times New Roman" w:cs="Times New Roman"/>
        </w:rPr>
        <w:t>” ifadelerini kullanarak üniversitede büyük bir sorumluluğun UZEM çalışanlarında olduğunu ve yöneticilerin beklentilerini karşılamak için yoğun çalışıldığının altını çizmiştir. Başka bir personel K-1“</w:t>
      </w:r>
      <w:r w:rsidRPr="000A2E75">
        <w:rPr>
          <w:rFonts w:ascii="Times New Roman" w:hAnsi="Times New Roman" w:cs="Times New Roman"/>
          <w:i/>
        </w:rPr>
        <w:t>Pandeminin ani gelişmesi gerçekleştirilecek olan acil uzaktan eğitimin personel kaynağı, haberleşme, denetim vb. gibi planlamalarının hemen yapılamamasına sebep oldu. Bu durum UZEM personelinin daha yoğunlaşmasına yol açtı</w:t>
      </w:r>
      <w:r w:rsidRPr="000A2E75">
        <w:rPr>
          <w:rFonts w:ascii="Times New Roman" w:hAnsi="Times New Roman" w:cs="Times New Roman"/>
        </w:rPr>
        <w:t>” diyerek organizasyon konusunda yaşanan eksikliklerin ortaya çıkardığı sorunlara dikkat çekmiştir. UE sistemi eğitimi eksikliği problemine değinen bir başka personel E-1 “</w:t>
      </w:r>
      <w:r w:rsidRPr="000A2E75">
        <w:rPr>
          <w:rFonts w:ascii="Times New Roman" w:hAnsi="Times New Roman" w:cs="Times New Roman"/>
          <w:i/>
        </w:rPr>
        <w:t>UE sisteminin yeni olması dolayısıyla sistem konusunda eğitim almamış UZEM personeli, sistemi kendi becerileri doğrultusunda çözmek için oldukça çaba sarf etti</w:t>
      </w:r>
      <w:r w:rsidRPr="000A2E75">
        <w:rPr>
          <w:rFonts w:ascii="Times New Roman" w:hAnsi="Times New Roman" w:cs="Times New Roman"/>
        </w:rPr>
        <w:t>” ifadeleri ile yeni olan UE sistemini yönetme konusunda eğitim almayan personelin yaşadığı sorunlara odaklanmıştır. Bir başka personel ise E-3 “</w:t>
      </w:r>
      <w:r w:rsidRPr="000A2E75">
        <w:rPr>
          <w:rFonts w:ascii="Times New Roman" w:hAnsi="Times New Roman" w:cs="Times New Roman"/>
          <w:i/>
        </w:rPr>
        <w:t>Acil uzaktan eğitim planına göre insan kaynağı oluşturulmamış UZEM, tüm üniversiteye hizmet vermek zorunda kalınca ciddi anlamda desteğe ihtiyaç duydu</w:t>
      </w:r>
      <w:r w:rsidRPr="000A2E75">
        <w:rPr>
          <w:rFonts w:ascii="Times New Roman" w:hAnsi="Times New Roman" w:cs="Times New Roman"/>
        </w:rPr>
        <w:t>” sözleri ile az sayıda personelin bu işi yürütmek zorunda olduğunu ve bu durumun sorunlara yol açtığını ifade etmiştir.</w:t>
      </w:r>
    </w:p>
    <w:p w14:paraId="4CFC13A0" w14:textId="77777777" w:rsidR="00E839E1" w:rsidRPr="000A2E75" w:rsidRDefault="00E839E1" w:rsidP="00E839E1">
      <w:pPr>
        <w:spacing w:before="280" w:after="120"/>
        <w:jc w:val="both"/>
        <w:rPr>
          <w:rFonts w:ascii="Times New Roman" w:hAnsi="Times New Roman" w:cs="Times New Roman"/>
          <w:b/>
        </w:rPr>
      </w:pPr>
      <w:r w:rsidRPr="000A2E75">
        <w:rPr>
          <w:rFonts w:ascii="Times New Roman" w:hAnsi="Times New Roman" w:cs="Times New Roman"/>
          <w:b/>
        </w:rPr>
        <w:t xml:space="preserve">SONUÇ TARTIŞMA </w:t>
      </w:r>
    </w:p>
    <w:p w14:paraId="7D89B2F1" w14:textId="77777777" w:rsidR="00E839E1" w:rsidRPr="000A2E75" w:rsidRDefault="00E839E1" w:rsidP="00E839E1">
      <w:pPr>
        <w:spacing w:after="120"/>
        <w:ind w:firstLine="567"/>
        <w:jc w:val="both"/>
        <w:rPr>
          <w:rFonts w:ascii="Times New Roman" w:hAnsi="Times New Roman" w:cs="Times New Roman"/>
        </w:rPr>
      </w:pPr>
      <w:r w:rsidRPr="000A2E75">
        <w:rPr>
          <w:rFonts w:ascii="Times New Roman" w:hAnsi="Times New Roman" w:cs="Times New Roman"/>
        </w:rPr>
        <w:t xml:space="preserve">Bu çalışma pandemi dönemi gerçekleştirilen acil uzaktan eğitim uygulamaları sırasında UZEM personelinin yaşadığı sorunları ortaya koymayı ve bu sorunlara çözüm önerileri getirmeyi amaçlamıştır. Covid-19 virüsünün tüm dünyayı sarması ve eğitim kurumlarının hızlı bir şekilde uzaktan eğitime geçmeleri birçok problemi de beraberinde getirmiştir. Bu problemlerden birisi yüz yüze eğitim yapılan üniversitelere göre planlanmış, normal zamanda daha az sayıda öğrenciye hizmet veren uzaktan eğitim merkezi çalışanlarının süreç içerisinde yaşadığı sıkıntılardır. Bu sıkıntılar öğrenciden kaynaklanan, eğitmenden kaynaklanan, sistemden kaynaklanan ve diğer olacak şekilde dört başlıkta ortaya çıktığı </w:t>
      </w:r>
      <w:r w:rsidRPr="000A2E75">
        <w:rPr>
          <w:rFonts w:ascii="Times New Roman" w:hAnsi="Times New Roman" w:cs="Times New Roman"/>
        </w:rPr>
        <w:lastRenderedPageBreak/>
        <w:t xml:space="preserve">tespit edilmiştir. Öğrenci merkezli sorunlar incelendiğinde öğrencilerin büyük bölümünün bilgisayar okuryazarlık seviyesinin düşük olduğunu (Bilgiç ve Tüzün, 2015; Kaya, 2020) ve bu durumun UZEM personelinin iş yoğunluğunu artırdığını söylemek mümkündür. Bunun yanında öğrencilerin derslerine teknik imkânsızlıklar nedeniyle katılım sağlayamaması, (Kürtüncü ve Kurt, 2020; Büyükdoğan ve Afşar, 2020; Sarı ve Nayır, 2020) pandemi döneminin esnek eğitim anlayışı ile sürdürülmesi politikası göz önüne alındığında UZEM personeli için ek bir yoğunluk oluşturmuştur. Öğrencilerin uzaktan eğitim deneyimi konusunda eksik olması onların bu süreçte uyum sorunu yaşamalarına sebep olmuştur (Sümer, 2016). Bu durum uyum sorunu yaşayan öğrencilerin sorunlarını doğrudan çözmek zorunda kalan UZEM personeli için bir iş yükü oluşturmuştur. Öğrencilerin büyük bölümü pandemi döneminde yaşanan karmaşa ve belirsizlik nedeniyle ilk başvurulacak yer olarak UZEM’i görmüş ve UZEM personeli tüm bu taleplere cevap vermek zorunda kalmıştır. Bununla beraber çalışma sonuçlarına göre öğrencilerin acil uzaktan eğitim döneminde öğretim elemanı ile iletişim problemleri yaşadığı (Akbal ve Akbal, 2020; Bilgiç ve Tüzün, 2015) ve bu durumun ortaya çıkardığı karmaşanın çözümünde UZEM personelinin görev aldığı tespit edilmiştir. Bir başka sorun öğrencilerin acil uzaktan eğitim sürecinde derslerini geçebilmelerine ilişkin duydukları kaygıdır. Bu kaygının UZEM personeline çeşitli problemler şeklinde yansıdığı ortaya konmuştur. Kürtüncü ve Kurt (2020) yaptığı çalışmada öğrencilerin uzaktan eğitim sisteminde yürütülen derslerine yönelik ortaya koydukları kaygılardan söz etmiş ve araştırma sonuçlarını desteklemiştir. UZEM personelinin görüşleri öğrencilerin yaşadığı teknik sorunları UZEM personeli aracılığı ile çözmeye çalıştığını ve bu durumun UZEM personeline çeşitli zorluklar yaşattığını ortaya koymuştur. Yaşanan teknik sorunların öğrencileri olumsuz etkilediğini ortaya koyan birçok çalışma bulunmaktadır (Büyükdoğan ve Afşar, 2020; Kürtüncü ve Kurt, 2020; Durak, 2017). Çalışma sonuçları öğrencilerin uzaktan eğitim sürecinde ilgisiz davranışları sonucunun UZEM personeline olumsuz yansıdığını ortaya koymuştur. Bu durumun öğrencileri bilgilendirme amacıyla UZEM çalışanlarının ek mesai harcamasına sebebiyet verdiği görülmüştür. UZEM personelinin yaşadığı bir başka problem ise yeni öğrencilerin Ue sistemine oryantasyonu olduğu tespit edilmiştir. Uzaktan eğitim deneyimi olmayan öğrenciler UE sisteminde dersleri takip etme konusunda zorluklar yaşamaktadır (Saltürk ve Bingöl, 2020). Üniversiteye yeni gelen öğrenciler her konuya yabancı oldukları gibi uzaktan eğitim konusunda da oryantasyona ihtiyaç duymaktadır. Pandemi dönemi gerçekleştirilen uzaktan eğitim uygulamaları öğrencileri sıkmadan esnek şekilde ilerleyecek biçimde kurgulanmalıdır (Bozkurt, 2020). UZEM personeli görüşlerine göre bu esnekliğin zaman zaman öğrenciler tarafından kullanıldığı sonucuna varılmıştır. </w:t>
      </w:r>
    </w:p>
    <w:p w14:paraId="26A2D53E" w14:textId="77777777" w:rsidR="00E839E1" w:rsidRPr="000A2E75" w:rsidRDefault="00E839E1" w:rsidP="00E839E1">
      <w:pPr>
        <w:spacing w:after="120"/>
        <w:ind w:firstLine="567"/>
        <w:jc w:val="both"/>
        <w:rPr>
          <w:rFonts w:ascii="Times New Roman" w:hAnsi="Times New Roman" w:cs="Times New Roman"/>
        </w:rPr>
      </w:pPr>
      <w:r w:rsidRPr="000A2E75">
        <w:rPr>
          <w:rFonts w:ascii="Times New Roman" w:hAnsi="Times New Roman" w:cs="Times New Roman"/>
        </w:rPr>
        <w:t xml:space="preserve">UZEM personelinin eğitmenlerden kaynaklı yaşadığı problemler göz önüne alındığında yine teknopedagojik yetersizlik vurgusu ön plana çıkmaktadır. Teknopedagojik yeterlilik eğitmenlerin pedagoji, içerik ve teknoloji bilgisini bir arada kullanabilme becerisi olarak tanımlanır (Koehler ve Mishra, 2008). Eğitmenlerin teknopedagoji eksiklikler doğrudan UZEM personelinin çözmesi gereken sorunlar haline dönüşmektedir. Eğitmenlerin bu süreçte yaşadığı teknolojik bilgi eksikliğini vurgulayan bazı çalışmalar bulunmaktadır (Akyıldız, 2020; Bilgiç ve Tüzün, 2015; Sarı ve Nayır, 2020). Bakioğlu ve Çevik (2020)  yaptığı çalışmada öğretim elemanlarının yüz yüze eğitimde kullandıkları materyallerin uzaktan eğitimde kullanması gereken materyallerden farklı olması gerektiğini vurgulamıştır. Bu durum kısa süre içerisinde derslerini uzaktan eğitime taşımak zorunda olan öğretim elemanları üzerinde kaygıya neden olmuş ve UZEM personelinden bu konuda destek istedikleri sonucuna ulaşılmıştır. Bunun yanında öğretim elemanlarının ilgi eksikliği nedeniyle süreç içerisinde yaptığı hatalar UZEM personeli tarafından kapatılmaya çalışılmış ve UZEM personeline yoğunluk açısından sorun oluşturmuştur. Karmaşa ve belirsizlik durumunun ortaya çıkması sonucunda öğretim elemanlarının bu karmaşık durumu çözmesi ve UE sistemini etkin kullanabilmeleri için eğitim videoları oluşturulmuş ve videoları hazırlamanın UZEM personeli için oldukça yorucu olduğu ifade edilmiştir. Pandemi döneminde birçok üniversite bu eğitimleri vermek zorunda kalmıştır (Yavuz, Kayalı, Balat, ve Karaman, 2020). Sınav güvenliği noktasında kaygı duyan öğretim elemanlarının bu anlamda UZEM personellerinden alternatif çözümler üretmesini istemesi ile sınav güvenliği konusunda özel çalışmaların yürütülmesi UZEM personeli açısından zorluklara neden olmuştur. Pandemi dönemi uzaktan eğitime </w:t>
      </w:r>
      <w:r w:rsidRPr="000A2E75">
        <w:rPr>
          <w:rFonts w:ascii="Times New Roman" w:hAnsi="Times New Roman" w:cs="Times New Roman"/>
        </w:rPr>
        <w:lastRenderedPageBreak/>
        <w:t>hızlı geçiş, eğitim kurumlarının sınav güvenliği anlamında zafiyet yaşamasına sebep olmuştur (Bozkurt, 2020; d’Orville, 2020).</w:t>
      </w:r>
    </w:p>
    <w:p w14:paraId="4FDB7195" w14:textId="77777777" w:rsidR="00E839E1" w:rsidRPr="000A2E75" w:rsidRDefault="00E839E1" w:rsidP="00E839E1">
      <w:pPr>
        <w:spacing w:after="120"/>
        <w:ind w:firstLine="567"/>
        <w:jc w:val="both"/>
        <w:rPr>
          <w:rFonts w:ascii="Times New Roman" w:hAnsi="Times New Roman" w:cs="Times New Roman"/>
        </w:rPr>
      </w:pPr>
      <w:bookmarkStart w:id="342" w:name="_heading=h.1fob9te" w:colFirst="0" w:colLast="0"/>
      <w:bookmarkEnd w:id="342"/>
      <w:r w:rsidRPr="000A2E75">
        <w:rPr>
          <w:rFonts w:ascii="Times New Roman" w:hAnsi="Times New Roman" w:cs="Times New Roman"/>
        </w:rPr>
        <w:t xml:space="preserve">UZEM personelinin sistemsel hatalardan kaynaklı yaşadığı sorunlar incelendiğinde öne çıkan en belirgin problem UE sisteminin OBS ile entegre olamaması yani OBS ye kayıt yapan öğrencilerin UE sistemine otomatik olarak kayıt olmamasıdır. Bu sorun birçok üniversitede yaşanılan sorunların başında gelmektedir (Durak, Çankaya ve İzmirli, 2020). Bunun yanında dünya genelinde eğitimin kesintiye uğraması sistem hızının düşmesine sebep olmuş ve UZEM personelinin sistem hızına göre etkinlikleri düzenlemesine yol açmıştır. Bu konuda yapılan benzer çalışmalar araştırma sonuçları ile paralellik göstermektedir (Kırmacı ve Acar, 2018; Bilgiç ve Tüzün, 2015). UZEM personelinin yaşadığı bir başka problem ise sınav güvenliğinin sağlanma çabasıdır. Bengtsson (2019) çalışmasında uzaktan gerçekleştirilen sınavların kullanımının birçok etik problem doğurduğu sonucuna varmıştır. UZEM personeli ve öğretim elemanlarının bu konuda aldığı önlemlere rağmen uzaktan eğitimde sınav güvenliği her zaman tartışılır bir durum olmuştur (Dünya, Şahin ve Aybek, 2021). Yapılan bazı çalışmalar pandemi döneminde kopya çekme davranışında dünya genelinde bir artış olduğunu ortaya koymaktadır (Rossiter, 2020). Bu durum pandemi döneminde UZEM personelinin mücadele etmesi gereken sorunlardan biri olmuştur. Yine global ölçekte uzaktan eğitim ve çalışma modeline geçilmesi ülkelerin internet alt yapılarını zor duruma düşürmüş ve sistemlerin zaman zaman yavaşlamasına hatta kesintiye uğramasına sebep olmuştur (Durak, Çankaya ve İzmirli, 2020). UZEM personelinin öğrenci, eğitmen </w:t>
      </w:r>
      <w:r w:rsidRPr="000A2E75">
        <w:rPr>
          <w:rFonts w:ascii="Times New Roman" w:hAnsi="Times New Roman" w:cs="Times New Roman"/>
          <w:color w:val="000000"/>
        </w:rPr>
        <w:t>ve sistem kaynaklı yaşadığı sorunlar dışında kalan diğer sorunları incelendiğinde yöneticilerin işleyişi doğru sağlamak adına beklentilerini karşılamak bununla beraber beklentilere cevap verebilmek için doğru organizasyonu oluşturmak gibi sorumluluklar ön plana çıkmaktad</w:t>
      </w:r>
      <w:r w:rsidRPr="000A2E75">
        <w:rPr>
          <w:rFonts w:ascii="Times New Roman" w:hAnsi="Times New Roman" w:cs="Times New Roman"/>
        </w:rPr>
        <w:t>ır. Personel sayısındaki eksiklikler göz önüne alındığında bu durum UZEM personeli açısından problemli durumları ortaya çıkardığı görülmüştür. Bilgiç ve Tüzün (2015) gerçekleştirdiği çalışmada araştırmaya benzer sonuçlar bulmuştur. Son olarak pandemi sürecinin ani başlaması sonucunda test aşamasında olan UE sistemi konusunda UZEM personelinin eğitim almamış olması sistemi süreç içerisinde öğrenmek zorunda kalmasına yol açtığı ve bu durumun UZEM personeli açısından zorlayıcı olduğu tespit edilmiştir.</w:t>
      </w:r>
    </w:p>
    <w:p w14:paraId="30A1349A" w14:textId="77777777" w:rsidR="00E839E1" w:rsidRPr="000A2E75" w:rsidRDefault="00E839E1" w:rsidP="00E839E1">
      <w:pPr>
        <w:spacing w:after="120"/>
        <w:ind w:firstLine="567"/>
        <w:jc w:val="both"/>
        <w:rPr>
          <w:rFonts w:ascii="Times New Roman" w:hAnsi="Times New Roman" w:cs="Times New Roman"/>
        </w:rPr>
      </w:pPr>
      <w:r w:rsidRPr="000A2E75">
        <w:rPr>
          <w:rFonts w:ascii="Times New Roman" w:hAnsi="Times New Roman" w:cs="Times New Roman"/>
        </w:rPr>
        <w:t>Araştırma sonuçları dikkate alındığında Covid-19 salgının oluşturduğu pandemide UZEM personellerinin çeşitli açılardan sorunlar yaşadığı tespit edilmiştir. Bu sorunlar genel manada öğrenci ve eğitmenlerin teknoloji kullanım bilgisine dayalı sorunlar, teknik ve ekonomik imkânsızlığa bağlı sorunlar, uzaktan eğitime uyum sorunu ve pandemi sürecinin ani gelişmesi sonucu zaman ile ilgili ortaya çıkan sorunlar olarak gruplandırmak mümkündür.</w:t>
      </w:r>
    </w:p>
    <w:p w14:paraId="336BB8C2" w14:textId="77777777" w:rsidR="00E839E1" w:rsidRPr="000A2E75" w:rsidRDefault="00E839E1" w:rsidP="00E839E1">
      <w:pPr>
        <w:spacing w:after="120"/>
        <w:ind w:firstLine="567"/>
        <w:jc w:val="both"/>
        <w:rPr>
          <w:rFonts w:ascii="Times New Roman" w:hAnsi="Times New Roman" w:cs="Times New Roman"/>
        </w:rPr>
      </w:pPr>
      <w:r w:rsidRPr="000A2E75">
        <w:rPr>
          <w:rFonts w:ascii="Times New Roman" w:hAnsi="Times New Roman" w:cs="Times New Roman"/>
          <w:b/>
        </w:rPr>
        <w:t>ÖNERİLER</w:t>
      </w:r>
    </w:p>
    <w:p w14:paraId="469BC8E3" w14:textId="77777777" w:rsidR="00E839E1" w:rsidRPr="000A2E75" w:rsidRDefault="00E839E1" w:rsidP="00E839E1">
      <w:pPr>
        <w:spacing w:after="120"/>
        <w:ind w:firstLine="567"/>
        <w:jc w:val="both"/>
        <w:rPr>
          <w:rFonts w:ascii="Times New Roman" w:hAnsi="Times New Roman" w:cs="Times New Roman"/>
        </w:rPr>
      </w:pPr>
      <w:r w:rsidRPr="000A2E75">
        <w:rPr>
          <w:rFonts w:ascii="Times New Roman" w:hAnsi="Times New Roman" w:cs="Times New Roman"/>
        </w:rPr>
        <w:t xml:space="preserve"> Araştırmadan elde edilen bulgular doğrultusunda bu sorunların çözümüne ilişkin aşağıdaki öneriler geliştirilmiştir. </w:t>
      </w:r>
    </w:p>
    <w:p w14:paraId="61768135" w14:textId="77777777" w:rsidR="00E839E1" w:rsidRPr="000A2E75" w:rsidRDefault="00E839E1" w:rsidP="008934F8">
      <w:pPr>
        <w:numPr>
          <w:ilvl w:val="0"/>
          <w:numId w:val="65"/>
        </w:numPr>
        <w:pBdr>
          <w:top w:val="nil"/>
          <w:left w:val="nil"/>
          <w:bottom w:val="nil"/>
          <w:right w:val="nil"/>
          <w:between w:val="nil"/>
        </w:pBdr>
        <w:spacing w:before="280" w:after="120" w:line="276" w:lineRule="auto"/>
        <w:ind w:left="284" w:hanging="284"/>
        <w:jc w:val="both"/>
        <w:rPr>
          <w:rFonts w:ascii="Times New Roman" w:hAnsi="Times New Roman" w:cs="Times New Roman"/>
          <w:color w:val="000000"/>
        </w:rPr>
      </w:pPr>
      <w:r w:rsidRPr="000A2E75">
        <w:rPr>
          <w:rFonts w:ascii="Times New Roman" w:hAnsi="Times New Roman" w:cs="Times New Roman"/>
          <w:color w:val="000000"/>
        </w:rPr>
        <w:t>Eğitmen ve öğrencilere uzaktan eğitimi etkin kullanabilecekleri teknoloji kullanım bilgisi edinme ortamları sağlanmalıdır.</w:t>
      </w:r>
    </w:p>
    <w:p w14:paraId="1A47B8CE" w14:textId="77777777" w:rsidR="00E839E1" w:rsidRPr="000A2E75" w:rsidRDefault="00E839E1" w:rsidP="008934F8">
      <w:pPr>
        <w:numPr>
          <w:ilvl w:val="0"/>
          <w:numId w:val="65"/>
        </w:numPr>
        <w:pBdr>
          <w:top w:val="nil"/>
          <w:left w:val="nil"/>
          <w:bottom w:val="nil"/>
          <w:right w:val="nil"/>
          <w:between w:val="nil"/>
        </w:pBdr>
        <w:spacing w:after="120" w:line="276" w:lineRule="auto"/>
        <w:ind w:left="284" w:hanging="284"/>
        <w:jc w:val="both"/>
        <w:rPr>
          <w:rFonts w:ascii="Times New Roman" w:hAnsi="Times New Roman" w:cs="Times New Roman"/>
          <w:color w:val="000000"/>
        </w:rPr>
      </w:pPr>
      <w:r w:rsidRPr="000A2E75">
        <w:rPr>
          <w:rFonts w:ascii="Times New Roman" w:hAnsi="Times New Roman" w:cs="Times New Roman"/>
          <w:color w:val="000000"/>
        </w:rPr>
        <w:t>Olağandışı durumlara hazırlıklı olabilmek adına, uzaktan eğitim özelinde üniversite ve öğrencilerin bazı teknik şartları iyileştirilmelidir.</w:t>
      </w:r>
    </w:p>
    <w:p w14:paraId="4C89758D" w14:textId="77777777" w:rsidR="00E839E1" w:rsidRPr="000A2E75" w:rsidRDefault="00E839E1" w:rsidP="008934F8">
      <w:pPr>
        <w:numPr>
          <w:ilvl w:val="0"/>
          <w:numId w:val="65"/>
        </w:numPr>
        <w:pBdr>
          <w:top w:val="nil"/>
          <w:left w:val="nil"/>
          <w:bottom w:val="nil"/>
          <w:right w:val="nil"/>
          <w:between w:val="nil"/>
        </w:pBdr>
        <w:spacing w:after="120" w:line="276" w:lineRule="auto"/>
        <w:ind w:left="284" w:hanging="284"/>
        <w:jc w:val="both"/>
        <w:rPr>
          <w:rFonts w:ascii="Times New Roman" w:hAnsi="Times New Roman" w:cs="Times New Roman"/>
          <w:color w:val="000000"/>
        </w:rPr>
      </w:pPr>
      <w:r w:rsidRPr="000A2E75">
        <w:rPr>
          <w:rFonts w:ascii="Times New Roman" w:hAnsi="Times New Roman" w:cs="Times New Roman"/>
          <w:color w:val="000000"/>
        </w:rPr>
        <w:t>Yüz yüze eğitim uygulamalarına geri dönüş sağlansa bile uzaktan eğitime bu teknolojilerin gelişimi doğrultusunda uygulamalarda yer verilmeli ve uzaktan eğitimden kopulmamalıdır.</w:t>
      </w:r>
    </w:p>
    <w:p w14:paraId="506F7D56" w14:textId="77777777" w:rsidR="00E839E1" w:rsidRPr="000A2E75" w:rsidRDefault="00E839E1" w:rsidP="008934F8">
      <w:pPr>
        <w:numPr>
          <w:ilvl w:val="0"/>
          <w:numId w:val="65"/>
        </w:numPr>
        <w:pBdr>
          <w:top w:val="nil"/>
          <w:left w:val="nil"/>
          <w:bottom w:val="nil"/>
          <w:right w:val="nil"/>
          <w:between w:val="nil"/>
        </w:pBdr>
        <w:spacing w:after="120" w:line="276" w:lineRule="auto"/>
        <w:ind w:left="284" w:hanging="284"/>
        <w:jc w:val="both"/>
        <w:rPr>
          <w:rFonts w:ascii="Times New Roman" w:hAnsi="Times New Roman" w:cs="Times New Roman"/>
          <w:color w:val="000000"/>
        </w:rPr>
      </w:pPr>
      <w:r w:rsidRPr="000A2E75">
        <w:rPr>
          <w:rFonts w:ascii="Times New Roman" w:hAnsi="Times New Roman" w:cs="Times New Roman"/>
          <w:color w:val="000000"/>
        </w:rPr>
        <w:t>Eğitim kurumları yaşanabilecek olumsuz durumlara ilişkin detaylı ve uygulanabilir acil eğitim planları geliştirmelidir.</w:t>
      </w:r>
    </w:p>
    <w:p w14:paraId="60282149" w14:textId="77777777" w:rsidR="00E839E1" w:rsidRPr="000A2E75" w:rsidRDefault="00E839E1" w:rsidP="008934F8">
      <w:pPr>
        <w:numPr>
          <w:ilvl w:val="0"/>
          <w:numId w:val="65"/>
        </w:numPr>
        <w:pBdr>
          <w:top w:val="nil"/>
          <w:left w:val="nil"/>
          <w:bottom w:val="nil"/>
          <w:right w:val="nil"/>
          <w:between w:val="nil"/>
        </w:pBdr>
        <w:spacing w:after="120" w:line="276" w:lineRule="auto"/>
        <w:ind w:left="284" w:hanging="284"/>
        <w:jc w:val="both"/>
        <w:rPr>
          <w:rFonts w:ascii="Times New Roman" w:hAnsi="Times New Roman" w:cs="Times New Roman"/>
          <w:color w:val="000000"/>
        </w:rPr>
      </w:pPr>
      <w:r w:rsidRPr="000A2E75">
        <w:rPr>
          <w:rFonts w:ascii="Times New Roman" w:hAnsi="Times New Roman" w:cs="Times New Roman"/>
          <w:color w:val="000000"/>
        </w:rPr>
        <w:t>Eğitmenlere kendi materyallerini kolaylıkla geliştirebilecekleri yazılımların eğitimi verilmelidir.</w:t>
      </w:r>
    </w:p>
    <w:p w14:paraId="7E91CD93" w14:textId="77777777" w:rsidR="00E839E1" w:rsidRPr="000A2E75" w:rsidRDefault="00E839E1" w:rsidP="008934F8">
      <w:pPr>
        <w:numPr>
          <w:ilvl w:val="0"/>
          <w:numId w:val="65"/>
        </w:numPr>
        <w:pBdr>
          <w:top w:val="nil"/>
          <w:left w:val="nil"/>
          <w:bottom w:val="nil"/>
          <w:right w:val="nil"/>
          <w:between w:val="nil"/>
        </w:pBdr>
        <w:spacing w:after="120" w:line="276" w:lineRule="auto"/>
        <w:ind w:left="284" w:hanging="284"/>
        <w:jc w:val="both"/>
        <w:rPr>
          <w:rFonts w:ascii="Times New Roman" w:hAnsi="Times New Roman" w:cs="Times New Roman"/>
          <w:color w:val="000000"/>
        </w:rPr>
      </w:pPr>
      <w:r w:rsidRPr="000A2E75">
        <w:rPr>
          <w:rFonts w:ascii="Times New Roman" w:hAnsi="Times New Roman" w:cs="Times New Roman"/>
          <w:color w:val="000000"/>
        </w:rPr>
        <w:lastRenderedPageBreak/>
        <w:t>Eğitim kurumları öğretim elemanlarına kendi uzaktan eğitim sistemleri ile ilgili eğitimler vermeli ve bu eğitimleri sık sık güncellemelidir.</w:t>
      </w:r>
    </w:p>
    <w:p w14:paraId="3A887B5C" w14:textId="77777777" w:rsidR="00E839E1" w:rsidRPr="000A2E75" w:rsidRDefault="00E839E1" w:rsidP="008934F8">
      <w:pPr>
        <w:numPr>
          <w:ilvl w:val="0"/>
          <w:numId w:val="65"/>
        </w:numPr>
        <w:pBdr>
          <w:top w:val="nil"/>
          <w:left w:val="nil"/>
          <w:bottom w:val="nil"/>
          <w:right w:val="nil"/>
          <w:between w:val="nil"/>
        </w:pBdr>
        <w:spacing w:after="120" w:line="276" w:lineRule="auto"/>
        <w:ind w:left="284" w:hanging="284"/>
        <w:jc w:val="both"/>
        <w:rPr>
          <w:rFonts w:ascii="Times New Roman" w:hAnsi="Times New Roman" w:cs="Times New Roman"/>
          <w:color w:val="000000"/>
        </w:rPr>
      </w:pPr>
      <w:r w:rsidRPr="000A2E75">
        <w:rPr>
          <w:rFonts w:ascii="Times New Roman" w:hAnsi="Times New Roman" w:cs="Times New Roman"/>
          <w:color w:val="000000"/>
        </w:rPr>
        <w:t>Eğitim kurumları imkânları doğrultusunda kendi uzaktan eğitim sistemlerini geliştirmeli ve bu sistemleri periyodik testlere tabi tutmalıdır.</w:t>
      </w:r>
    </w:p>
    <w:p w14:paraId="20F1551C" w14:textId="77777777" w:rsidR="00E839E1" w:rsidRPr="000A2E75" w:rsidRDefault="00E839E1" w:rsidP="008934F8">
      <w:pPr>
        <w:numPr>
          <w:ilvl w:val="0"/>
          <w:numId w:val="65"/>
        </w:numPr>
        <w:pBdr>
          <w:top w:val="nil"/>
          <w:left w:val="nil"/>
          <w:bottom w:val="nil"/>
          <w:right w:val="nil"/>
          <w:between w:val="nil"/>
        </w:pBdr>
        <w:spacing w:after="120" w:line="276" w:lineRule="auto"/>
        <w:ind w:left="284" w:hanging="284"/>
        <w:jc w:val="both"/>
        <w:rPr>
          <w:rFonts w:ascii="Times New Roman" w:hAnsi="Times New Roman" w:cs="Times New Roman"/>
          <w:color w:val="000000"/>
        </w:rPr>
      </w:pPr>
      <w:r w:rsidRPr="000A2E75">
        <w:rPr>
          <w:rFonts w:ascii="Times New Roman" w:hAnsi="Times New Roman" w:cs="Times New Roman"/>
          <w:color w:val="000000"/>
        </w:rPr>
        <w:t>Uzaktan eğitim merkezlerinin uzman personel sayısı merkezin etkinliği doğrultusunda artırılmalıdır.</w:t>
      </w:r>
    </w:p>
    <w:p w14:paraId="655AE118" w14:textId="77777777" w:rsidR="00E839E1" w:rsidRPr="000A2E75" w:rsidRDefault="00E839E1" w:rsidP="00E839E1">
      <w:pPr>
        <w:spacing w:before="280" w:after="120"/>
        <w:rPr>
          <w:rFonts w:ascii="Times New Roman" w:hAnsi="Times New Roman" w:cs="Times New Roman"/>
        </w:rPr>
      </w:pPr>
      <w:bookmarkStart w:id="343" w:name="_heading=h.30j0zll" w:colFirst="0" w:colLast="0"/>
      <w:bookmarkEnd w:id="343"/>
    </w:p>
    <w:p w14:paraId="4A4DA78E" w14:textId="77777777" w:rsidR="00C95516" w:rsidRPr="000A2E75" w:rsidRDefault="00E839E1" w:rsidP="00C95516">
      <w:pPr>
        <w:spacing w:before="120"/>
        <w:ind w:firstLine="567"/>
        <w:jc w:val="both"/>
        <w:rPr>
          <w:rFonts w:ascii="Times New Roman" w:hAnsi="Times New Roman" w:cs="Times New Roman"/>
          <w:b/>
        </w:rPr>
      </w:pPr>
      <w:r w:rsidRPr="000A2E75">
        <w:rPr>
          <w:rFonts w:ascii="Times New Roman" w:hAnsi="Times New Roman" w:cs="Times New Roman"/>
        </w:rPr>
        <w:br w:type="page"/>
      </w:r>
      <w:r w:rsidR="00C95516">
        <w:rPr>
          <w:rFonts w:ascii="Times New Roman" w:hAnsi="Times New Roman" w:cs="Times New Roman"/>
          <w:b/>
        </w:rPr>
        <w:lastRenderedPageBreak/>
        <w:t>Kaynakça</w:t>
      </w:r>
    </w:p>
    <w:p w14:paraId="6A7A5252" w14:textId="7E9F8F69" w:rsidR="00E839E1" w:rsidRPr="000A2E75" w:rsidRDefault="00E839E1" w:rsidP="00E839E1">
      <w:pPr>
        <w:ind w:firstLine="567"/>
        <w:rPr>
          <w:rFonts w:ascii="Times New Roman" w:hAnsi="Times New Roman" w:cs="Times New Roman"/>
        </w:rPr>
      </w:pPr>
    </w:p>
    <w:p w14:paraId="71B5169C" w14:textId="77777777" w:rsidR="00E839E1" w:rsidRPr="000A2E75" w:rsidRDefault="00E839E1" w:rsidP="00E839E1">
      <w:pPr>
        <w:spacing w:before="280" w:after="120"/>
        <w:ind w:left="567" w:hanging="567"/>
        <w:jc w:val="both"/>
        <w:rPr>
          <w:rFonts w:ascii="Times New Roman" w:hAnsi="Times New Roman" w:cs="Times New Roman"/>
          <w:color w:val="000000"/>
          <w:highlight w:val="white"/>
        </w:rPr>
      </w:pPr>
      <w:r w:rsidRPr="000A2E75">
        <w:rPr>
          <w:rFonts w:ascii="Times New Roman" w:hAnsi="Times New Roman" w:cs="Times New Roman"/>
          <w:color w:val="000000"/>
          <w:highlight w:val="white"/>
        </w:rPr>
        <w:t>Adıyaman, Z. (2001). Uzaktan eğitim yoluyla yabancı dil öğretimi. </w:t>
      </w:r>
      <w:r w:rsidRPr="000A2E75">
        <w:rPr>
          <w:rFonts w:ascii="Times New Roman" w:hAnsi="Times New Roman" w:cs="Times New Roman"/>
          <w:i/>
          <w:color w:val="000000"/>
          <w:highlight w:val="white"/>
        </w:rPr>
        <w:t>The Turkish Online Journal of Educational Technology TOJET</w:t>
      </w:r>
      <w:r w:rsidRPr="000A2E75">
        <w:rPr>
          <w:rFonts w:ascii="Times New Roman" w:hAnsi="Times New Roman" w:cs="Times New Roman"/>
          <w:color w:val="000000"/>
          <w:highlight w:val="white"/>
        </w:rPr>
        <w:t>, </w:t>
      </w:r>
      <w:r w:rsidRPr="000A2E75">
        <w:rPr>
          <w:rFonts w:ascii="Times New Roman" w:hAnsi="Times New Roman" w:cs="Times New Roman"/>
          <w:i/>
          <w:color w:val="000000"/>
          <w:highlight w:val="white"/>
        </w:rPr>
        <w:t>1</w:t>
      </w:r>
      <w:r w:rsidRPr="000A2E75">
        <w:rPr>
          <w:rFonts w:ascii="Times New Roman" w:hAnsi="Times New Roman" w:cs="Times New Roman"/>
          <w:color w:val="000000"/>
          <w:highlight w:val="white"/>
        </w:rPr>
        <w:t>(11), 92-97.</w:t>
      </w:r>
    </w:p>
    <w:p w14:paraId="4B31646B" w14:textId="77777777" w:rsidR="00E839E1" w:rsidRPr="000A2E75" w:rsidRDefault="00E839E1" w:rsidP="00E839E1">
      <w:pPr>
        <w:spacing w:before="280" w:after="120"/>
        <w:ind w:left="567" w:hanging="567"/>
        <w:jc w:val="both"/>
        <w:rPr>
          <w:rFonts w:ascii="Times New Roman" w:hAnsi="Times New Roman" w:cs="Times New Roman"/>
        </w:rPr>
      </w:pPr>
      <w:r w:rsidRPr="000A2E75">
        <w:rPr>
          <w:rFonts w:ascii="Times New Roman" w:hAnsi="Times New Roman" w:cs="Times New Roman"/>
          <w:highlight w:val="white"/>
        </w:rPr>
        <w:t>Afşar, B., &amp; Büyükdoğan, B. (2020). Covid-19 pandemisi döneminde iibf ve sbbf öğrencilerinin uzaktan eğitim hakkındaki değerlendirmeleri. </w:t>
      </w:r>
      <w:r w:rsidRPr="000A2E75">
        <w:rPr>
          <w:rFonts w:ascii="Times New Roman" w:hAnsi="Times New Roman" w:cs="Times New Roman"/>
          <w:i/>
          <w:highlight w:val="white"/>
        </w:rPr>
        <w:t>Karatay Sosyal Araştırmalar Dergisi</w:t>
      </w:r>
      <w:r w:rsidRPr="000A2E75">
        <w:rPr>
          <w:rFonts w:ascii="Times New Roman" w:hAnsi="Times New Roman" w:cs="Times New Roman"/>
          <w:highlight w:val="white"/>
        </w:rPr>
        <w:t>, (5), 158-179.</w:t>
      </w:r>
    </w:p>
    <w:p w14:paraId="40E63F8D" w14:textId="77777777" w:rsidR="00E839E1" w:rsidRPr="000A2E75" w:rsidRDefault="00E839E1" w:rsidP="00E839E1">
      <w:pPr>
        <w:spacing w:before="280" w:after="120"/>
        <w:ind w:left="567" w:hanging="567"/>
        <w:jc w:val="both"/>
        <w:rPr>
          <w:rFonts w:ascii="Times New Roman" w:hAnsi="Times New Roman" w:cs="Times New Roman"/>
        </w:rPr>
      </w:pPr>
      <w:r w:rsidRPr="000A2E75">
        <w:rPr>
          <w:rFonts w:ascii="Times New Roman" w:hAnsi="Times New Roman" w:cs="Times New Roman"/>
          <w:highlight w:val="white"/>
        </w:rPr>
        <w:t>Akbal, H., &amp; Akbal, H. İ. (2020). Covid-19 Pandemi Sürecinde Uzaktan Eğitim İle İlgili Yaşanan Sorunların Öğrenci Bakış Açısına Göre AHP Yöntemi İle İncelenmesi. </w:t>
      </w:r>
      <w:r w:rsidRPr="000A2E75">
        <w:rPr>
          <w:rFonts w:ascii="Times New Roman" w:hAnsi="Times New Roman" w:cs="Times New Roman"/>
          <w:i/>
          <w:highlight w:val="white"/>
        </w:rPr>
        <w:t>Bartın Üniversitesi İktisadi ve İdari Bilimler Fakültesi Dergisi</w:t>
      </w:r>
      <w:r w:rsidRPr="000A2E75">
        <w:rPr>
          <w:rFonts w:ascii="Times New Roman" w:hAnsi="Times New Roman" w:cs="Times New Roman"/>
          <w:highlight w:val="white"/>
        </w:rPr>
        <w:t>, </w:t>
      </w:r>
      <w:r w:rsidRPr="000A2E75">
        <w:rPr>
          <w:rFonts w:ascii="Times New Roman" w:hAnsi="Times New Roman" w:cs="Times New Roman"/>
          <w:i/>
          <w:highlight w:val="white"/>
        </w:rPr>
        <w:t>11</w:t>
      </w:r>
      <w:r w:rsidRPr="000A2E75">
        <w:rPr>
          <w:rFonts w:ascii="Times New Roman" w:hAnsi="Times New Roman" w:cs="Times New Roman"/>
          <w:highlight w:val="white"/>
        </w:rPr>
        <w:t>(22), 533-546.</w:t>
      </w:r>
    </w:p>
    <w:p w14:paraId="5C20E687" w14:textId="77777777" w:rsidR="00E839E1" w:rsidRPr="000A2E75" w:rsidRDefault="00E839E1" w:rsidP="00E839E1">
      <w:pPr>
        <w:spacing w:before="280" w:after="120"/>
        <w:ind w:left="567" w:hanging="567"/>
        <w:jc w:val="both"/>
        <w:rPr>
          <w:rFonts w:ascii="Times New Roman" w:hAnsi="Times New Roman" w:cs="Times New Roman"/>
          <w:color w:val="000000"/>
          <w:highlight w:val="white"/>
        </w:rPr>
      </w:pPr>
      <w:r w:rsidRPr="000A2E75">
        <w:rPr>
          <w:rFonts w:ascii="Times New Roman" w:hAnsi="Times New Roman" w:cs="Times New Roman"/>
          <w:color w:val="000000"/>
          <w:highlight w:val="white"/>
        </w:rPr>
        <w:t>Akdemİr, Ö. (2011). Yükseköğretimimizde uzaktan eğitim. </w:t>
      </w:r>
      <w:r w:rsidRPr="000A2E75">
        <w:rPr>
          <w:rFonts w:ascii="Times New Roman" w:hAnsi="Times New Roman" w:cs="Times New Roman"/>
          <w:i/>
          <w:color w:val="000000"/>
          <w:highlight w:val="white"/>
        </w:rPr>
        <w:t>Yükseköğretim ve Bilim Dergisi</w:t>
      </w:r>
      <w:r w:rsidRPr="000A2E75">
        <w:rPr>
          <w:rFonts w:ascii="Times New Roman" w:hAnsi="Times New Roman" w:cs="Times New Roman"/>
          <w:color w:val="000000"/>
          <w:highlight w:val="white"/>
        </w:rPr>
        <w:t>, </w:t>
      </w:r>
      <w:r w:rsidRPr="000A2E75">
        <w:rPr>
          <w:rFonts w:ascii="Times New Roman" w:hAnsi="Times New Roman" w:cs="Times New Roman"/>
          <w:i/>
          <w:color w:val="000000"/>
          <w:highlight w:val="white"/>
        </w:rPr>
        <w:t>1</w:t>
      </w:r>
      <w:r w:rsidRPr="000A2E75">
        <w:rPr>
          <w:rFonts w:ascii="Times New Roman" w:hAnsi="Times New Roman" w:cs="Times New Roman"/>
          <w:color w:val="000000"/>
          <w:highlight w:val="white"/>
        </w:rPr>
        <w:t>(2), 69-71.</w:t>
      </w:r>
    </w:p>
    <w:p w14:paraId="7538AEDE" w14:textId="77777777" w:rsidR="00E839E1" w:rsidRPr="000A2E75" w:rsidRDefault="00E839E1" w:rsidP="00E839E1">
      <w:pPr>
        <w:spacing w:before="280" w:after="120"/>
        <w:ind w:left="567" w:hanging="567"/>
        <w:jc w:val="both"/>
        <w:rPr>
          <w:rFonts w:ascii="Times New Roman" w:hAnsi="Times New Roman" w:cs="Times New Roman"/>
          <w:color w:val="000000"/>
          <w:lang w:val="fr-FR"/>
        </w:rPr>
      </w:pPr>
      <w:r w:rsidRPr="000A2E75">
        <w:rPr>
          <w:rFonts w:ascii="Times New Roman" w:hAnsi="Times New Roman" w:cs="Times New Roman"/>
          <w:color w:val="000000"/>
        </w:rPr>
        <w:t xml:space="preserve">Arat, T, Bakan, Ö. (2014). Uzaktan eğitim ve uygulamaları. </w:t>
      </w:r>
      <w:r w:rsidRPr="000A2E75">
        <w:rPr>
          <w:rFonts w:ascii="Times New Roman" w:hAnsi="Times New Roman" w:cs="Times New Roman"/>
          <w:i/>
          <w:color w:val="000000"/>
          <w:lang w:val="fr-FR"/>
        </w:rPr>
        <w:t>Selçuk Üniversitesi Sosyal Bilimler Meslek Yüksekokulu Dergisi,</w:t>
      </w:r>
      <w:r w:rsidRPr="000A2E75">
        <w:rPr>
          <w:rFonts w:ascii="Times New Roman" w:hAnsi="Times New Roman" w:cs="Times New Roman"/>
          <w:color w:val="000000"/>
          <w:lang w:val="fr-FR"/>
        </w:rPr>
        <w:t xml:space="preserve"> </w:t>
      </w:r>
      <w:r w:rsidRPr="000A2E75">
        <w:rPr>
          <w:rFonts w:ascii="Times New Roman" w:hAnsi="Times New Roman" w:cs="Times New Roman"/>
          <w:i/>
          <w:color w:val="000000"/>
          <w:lang w:val="fr-FR"/>
        </w:rPr>
        <w:t>14 (1-2),</w:t>
      </w:r>
      <w:r w:rsidRPr="000A2E75">
        <w:rPr>
          <w:rFonts w:ascii="Times New Roman" w:hAnsi="Times New Roman" w:cs="Times New Roman"/>
          <w:color w:val="000000"/>
          <w:lang w:val="fr-FR"/>
        </w:rPr>
        <w:t xml:space="preserve"> 363-374.</w:t>
      </w:r>
    </w:p>
    <w:p w14:paraId="1A997515" w14:textId="77777777" w:rsidR="00E839E1" w:rsidRPr="000A2E75" w:rsidRDefault="00E839E1" w:rsidP="00E839E1">
      <w:pPr>
        <w:spacing w:before="280" w:after="120"/>
        <w:ind w:left="567" w:hanging="567"/>
        <w:jc w:val="both"/>
        <w:rPr>
          <w:rFonts w:ascii="Times New Roman" w:hAnsi="Times New Roman" w:cs="Times New Roman"/>
          <w:lang w:val="fr-FR"/>
        </w:rPr>
      </w:pPr>
      <w:r w:rsidRPr="000A2E75">
        <w:rPr>
          <w:rFonts w:ascii="Times New Roman" w:hAnsi="Times New Roman" w:cs="Times New Roman"/>
          <w:highlight w:val="white"/>
          <w:lang w:val="fr-FR"/>
        </w:rPr>
        <w:t>Bakioğlu, B., &amp; Çevik, M. (2020). COVID-19 Pandemisi Sürecinde Fen Bilimleri Öğretmenlerinin Uzaktan Eğitime İlişkin Görüşleri. </w:t>
      </w:r>
      <w:r w:rsidRPr="000A2E75">
        <w:rPr>
          <w:rFonts w:ascii="Times New Roman" w:hAnsi="Times New Roman" w:cs="Times New Roman"/>
          <w:i/>
          <w:highlight w:val="white"/>
          <w:lang w:val="fr-FR"/>
        </w:rPr>
        <w:t>Electronic Turkish Studies</w:t>
      </w:r>
      <w:r w:rsidRPr="000A2E75">
        <w:rPr>
          <w:rFonts w:ascii="Times New Roman" w:hAnsi="Times New Roman" w:cs="Times New Roman"/>
          <w:highlight w:val="white"/>
          <w:lang w:val="fr-FR"/>
        </w:rPr>
        <w:t>, </w:t>
      </w:r>
      <w:r w:rsidRPr="000A2E75">
        <w:rPr>
          <w:rFonts w:ascii="Times New Roman" w:hAnsi="Times New Roman" w:cs="Times New Roman"/>
          <w:i/>
          <w:highlight w:val="white"/>
          <w:lang w:val="fr-FR"/>
        </w:rPr>
        <w:t>15</w:t>
      </w:r>
      <w:r w:rsidRPr="000A2E75">
        <w:rPr>
          <w:rFonts w:ascii="Times New Roman" w:hAnsi="Times New Roman" w:cs="Times New Roman"/>
          <w:highlight w:val="white"/>
          <w:lang w:val="fr-FR"/>
        </w:rPr>
        <w:t>(4).</w:t>
      </w:r>
    </w:p>
    <w:p w14:paraId="0C2D78FB" w14:textId="77777777" w:rsidR="00E839E1" w:rsidRPr="000A2E75" w:rsidRDefault="00E839E1" w:rsidP="00E839E1">
      <w:pPr>
        <w:spacing w:before="280" w:after="120"/>
        <w:ind w:left="567" w:hanging="567"/>
        <w:jc w:val="both"/>
        <w:rPr>
          <w:rFonts w:ascii="Times New Roman" w:hAnsi="Times New Roman" w:cs="Times New Roman"/>
          <w:lang w:val="fr-FR"/>
        </w:rPr>
      </w:pPr>
      <w:r w:rsidRPr="000A2E75">
        <w:rPr>
          <w:rFonts w:ascii="Times New Roman" w:hAnsi="Times New Roman" w:cs="Times New Roman"/>
          <w:highlight w:val="white"/>
          <w:lang w:val="fr-FR"/>
        </w:rPr>
        <w:t>Bilgiç, H. G., &amp; Tüzün, H. (2015). Yükseköğretim kurumları web tabanlı uzaktan eğitim programlarında yaşanan sorunlar. </w:t>
      </w:r>
      <w:r w:rsidRPr="000A2E75">
        <w:rPr>
          <w:rFonts w:ascii="Times New Roman" w:hAnsi="Times New Roman" w:cs="Times New Roman"/>
          <w:i/>
          <w:highlight w:val="white"/>
          <w:lang w:val="fr-FR"/>
        </w:rPr>
        <w:t>Açıköğretim Uygulamaları ve Araştırmaları Dergisi</w:t>
      </w:r>
      <w:r w:rsidRPr="000A2E75">
        <w:rPr>
          <w:rFonts w:ascii="Times New Roman" w:hAnsi="Times New Roman" w:cs="Times New Roman"/>
          <w:highlight w:val="white"/>
          <w:lang w:val="fr-FR"/>
        </w:rPr>
        <w:t>, </w:t>
      </w:r>
      <w:r w:rsidRPr="000A2E75">
        <w:rPr>
          <w:rFonts w:ascii="Times New Roman" w:hAnsi="Times New Roman" w:cs="Times New Roman"/>
          <w:i/>
          <w:highlight w:val="white"/>
          <w:lang w:val="fr-FR"/>
        </w:rPr>
        <w:t>1</w:t>
      </w:r>
      <w:r w:rsidRPr="000A2E75">
        <w:rPr>
          <w:rFonts w:ascii="Times New Roman" w:hAnsi="Times New Roman" w:cs="Times New Roman"/>
          <w:highlight w:val="white"/>
          <w:lang w:val="fr-FR"/>
        </w:rPr>
        <w:t>(3), 26-50.</w:t>
      </w:r>
    </w:p>
    <w:p w14:paraId="4786DA33" w14:textId="77777777" w:rsidR="00E839E1" w:rsidRPr="000A2E75" w:rsidRDefault="00E839E1" w:rsidP="00E839E1">
      <w:pPr>
        <w:spacing w:before="280" w:after="120"/>
        <w:ind w:left="567" w:hanging="567"/>
        <w:jc w:val="both"/>
        <w:rPr>
          <w:rFonts w:ascii="Times New Roman" w:hAnsi="Times New Roman" w:cs="Times New Roman"/>
        </w:rPr>
      </w:pPr>
      <w:r w:rsidRPr="000A2E75">
        <w:rPr>
          <w:rFonts w:ascii="Times New Roman" w:hAnsi="Times New Roman" w:cs="Times New Roman"/>
          <w:highlight w:val="white"/>
          <w:lang w:val="fr-FR"/>
        </w:rPr>
        <w:t>Bozkurt, A. (2020). Koronavirüs (Covid-19) pandemi süreci ve pandemi sonrası dünyada eğitime yönelik değerlendirmeler: Yeni normal ve yeni eğitim paradigması. </w:t>
      </w:r>
      <w:r w:rsidRPr="000A2E75">
        <w:rPr>
          <w:rFonts w:ascii="Times New Roman" w:hAnsi="Times New Roman" w:cs="Times New Roman"/>
          <w:i/>
          <w:highlight w:val="white"/>
        </w:rPr>
        <w:t>Açıköğretim Uygulamaları ve Araştırmaları Dergisi</w:t>
      </w:r>
      <w:r w:rsidRPr="000A2E75">
        <w:rPr>
          <w:rFonts w:ascii="Times New Roman" w:hAnsi="Times New Roman" w:cs="Times New Roman"/>
          <w:highlight w:val="white"/>
        </w:rPr>
        <w:t>, </w:t>
      </w:r>
      <w:r w:rsidRPr="000A2E75">
        <w:rPr>
          <w:rFonts w:ascii="Times New Roman" w:hAnsi="Times New Roman" w:cs="Times New Roman"/>
          <w:i/>
          <w:highlight w:val="white"/>
        </w:rPr>
        <w:t>6</w:t>
      </w:r>
      <w:r w:rsidRPr="000A2E75">
        <w:rPr>
          <w:rFonts w:ascii="Times New Roman" w:hAnsi="Times New Roman" w:cs="Times New Roman"/>
          <w:highlight w:val="white"/>
        </w:rPr>
        <w:t>(3), 112-142.</w:t>
      </w:r>
    </w:p>
    <w:p w14:paraId="1B6DA607" w14:textId="77777777" w:rsidR="00E839E1" w:rsidRPr="000A2E75" w:rsidRDefault="00E839E1" w:rsidP="00E839E1">
      <w:pPr>
        <w:spacing w:before="280" w:after="120"/>
        <w:ind w:left="567" w:hanging="567"/>
        <w:jc w:val="both"/>
        <w:rPr>
          <w:rFonts w:ascii="Times New Roman" w:hAnsi="Times New Roman" w:cs="Times New Roman"/>
        </w:rPr>
      </w:pPr>
      <w:r w:rsidRPr="000A2E75">
        <w:rPr>
          <w:rFonts w:ascii="Times New Roman" w:hAnsi="Times New Roman" w:cs="Times New Roman"/>
        </w:rPr>
        <w:t xml:space="preserve">d’Orville, H. (2020). </w:t>
      </w:r>
      <w:r w:rsidRPr="000A2E75">
        <w:rPr>
          <w:rFonts w:ascii="Times New Roman" w:hAnsi="Times New Roman" w:cs="Times New Roman"/>
          <w:i/>
        </w:rPr>
        <w:t>COVID-19 causes unprecedented educational disruption: Is there a road towards a new normal?</w:t>
      </w:r>
      <w:r w:rsidRPr="000A2E75">
        <w:rPr>
          <w:rFonts w:ascii="Times New Roman" w:hAnsi="Times New Roman" w:cs="Times New Roman"/>
        </w:rPr>
        <w:t xml:space="preserve">. Prospects, 1-5. </w:t>
      </w:r>
      <w:hyperlink r:id="rId402">
        <w:r w:rsidRPr="000A2E75">
          <w:rPr>
            <w:rFonts w:ascii="Times New Roman" w:hAnsi="Times New Roman" w:cs="Times New Roman"/>
            <w:color w:val="0000FF"/>
            <w:u w:val="single"/>
          </w:rPr>
          <w:t>https://doi.org/10.1007/s11125-020-09475-0</w:t>
        </w:r>
      </w:hyperlink>
    </w:p>
    <w:p w14:paraId="588729AB" w14:textId="77777777" w:rsidR="00E839E1" w:rsidRPr="000A2E75" w:rsidRDefault="00E839E1" w:rsidP="00E839E1">
      <w:pPr>
        <w:spacing w:before="280" w:after="120"/>
        <w:ind w:left="567" w:hanging="567"/>
        <w:jc w:val="both"/>
        <w:rPr>
          <w:rFonts w:ascii="Times New Roman" w:hAnsi="Times New Roman" w:cs="Times New Roman"/>
          <w:lang w:val="fr-FR"/>
        </w:rPr>
      </w:pPr>
      <w:r w:rsidRPr="000A2E75">
        <w:rPr>
          <w:rFonts w:ascii="Times New Roman" w:hAnsi="Times New Roman" w:cs="Times New Roman"/>
          <w:color w:val="222222"/>
          <w:highlight w:val="white"/>
        </w:rPr>
        <w:t>Demir, E. (2014). Uzaktan Eğitime Genel Bir Bakiş. </w:t>
      </w:r>
      <w:r w:rsidRPr="000A2E75">
        <w:rPr>
          <w:rFonts w:ascii="Times New Roman" w:hAnsi="Times New Roman" w:cs="Times New Roman"/>
          <w:i/>
          <w:color w:val="222222"/>
          <w:highlight w:val="white"/>
          <w:lang w:val="fr-FR"/>
        </w:rPr>
        <w:t>Dumlupınar Üniversitesi Sosyal Bilimler Dergisi</w:t>
      </w:r>
      <w:r w:rsidRPr="000A2E75">
        <w:rPr>
          <w:rFonts w:ascii="Times New Roman" w:hAnsi="Times New Roman" w:cs="Times New Roman"/>
          <w:color w:val="222222"/>
          <w:highlight w:val="white"/>
          <w:lang w:val="fr-FR"/>
        </w:rPr>
        <w:t>, (39).</w:t>
      </w:r>
    </w:p>
    <w:p w14:paraId="545657C4" w14:textId="77777777" w:rsidR="00E839E1" w:rsidRPr="000A2E75" w:rsidRDefault="00E839E1" w:rsidP="00E839E1">
      <w:pPr>
        <w:spacing w:before="280" w:after="120"/>
        <w:ind w:left="567" w:hanging="567"/>
        <w:jc w:val="both"/>
        <w:rPr>
          <w:rFonts w:ascii="Times New Roman" w:hAnsi="Times New Roman" w:cs="Times New Roman"/>
          <w:lang w:val="fr-FR"/>
        </w:rPr>
      </w:pPr>
      <w:r w:rsidRPr="000A2E75">
        <w:rPr>
          <w:rFonts w:ascii="Times New Roman" w:hAnsi="Times New Roman" w:cs="Times New Roman"/>
          <w:highlight w:val="white"/>
          <w:lang w:val="fr-FR"/>
        </w:rPr>
        <w:t>Durak, G. (2017). Uzaktan eğitimde destek hizmetlerine genel bakış: sorunlar ve eğilimler. </w:t>
      </w:r>
      <w:r w:rsidRPr="000A2E75">
        <w:rPr>
          <w:rFonts w:ascii="Times New Roman" w:hAnsi="Times New Roman" w:cs="Times New Roman"/>
          <w:i/>
          <w:highlight w:val="white"/>
          <w:lang w:val="fr-FR"/>
        </w:rPr>
        <w:t>Açıköğretim Uygulamaları ve Araştırmaları Dergisi</w:t>
      </w:r>
      <w:r w:rsidRPr="000A2E75">
        <w:rPr>
          <w:rFonts w:ascii="Times New Roman" w:hAnsi="Times New Roman" w:cs="Times New Roman"/>
          <w:highlight w:val="white"/>
          <w:lang w:val="fr-FR"/>
        </w:rPr>
        <w:t>, </w:t>
      </w:r>
      <w:r w:rsidRPr="000A2E75">
        <w:rPr>
          <w:rFonts w:ascii="Times New Roman" w:hAnsi="Times New Roman" w:cs="Times New Roman"/>
          <w:i/>
          <w:highlight w:val="white"/>
          <w:lang w:val="fr-FR"/>
        </w:rPr>
        <w:t>3</w:t>
      </w:r>
      <w:r w:rsidRPr="000A2E75">
        <w:rPr>
          <w:rFonts w:ascii="Times New Roman" w:hAnsi="Times New Roman" w:cs="Times New Roman"/>
          <w:highlight w:val="white"/>
          <w:lang w:val="fr-FR"/>
        </w:rPr>
        <w:t>(4), 160-173.</w:t>
      </w:r>
    </w:p>
    <w:p w14:paraId="0F71E175" w14:textId="77777777" w:rsidR="00E839E1" w:rsidRPr="000A2E75" w:rsidRDefault="00E839E1" w:rsidP="00E839E1">
      <w:pPr>
        <w:spacing w:before="280" w:after="120"/>
        <w:ind w:left="567" w:hanging="567"/>
        <w:jc w:val="both"/>
        <w:rPr>
          <w:rFonts w:ascii="Times New Roman" w:hAnsi="Times New Roman" w:cs="Times New Roman"/>
          <w:lang w:val="fr-FR"/>
        </w:rPr>
      </w:pPr>
      <w:r w:rsidRPr="000A2E75">
        <w:rPr>
          <w:rFonts w:ascii="Times New Roman" w:hAnsi="Times New Roman" w:cs="Times New Roman"/>
          <w:color w:val="222222"/>
          <w:highlight w:val="white"/>
          <w:lang w:val="fr-FR"/>
        </w:rPr>
        <w:t>Durak, G., Çankaya, S., &amp; İzmirli, S. (2020). COVID-19 pandemi döneminde Türkiye’deki üniversitelerin uzaktan eğitim sistemlerinin incelenmesi. </w:t>
      </w:r>
      <w:r w:rsidRPr="000A2E75">
        <w:rPr>
          <w:rFonts w:ascii="Times New Roman" w:hAnsi="Times New Roman" w:cs="Times New Roman"/>
          <w:i/>
          <w:color w:val="222222"/>
          <w:highlight w:val="white"/>
          <w:lang w:val="fr-FR"/>
        </w:rPr>
        <w:t>Necatibey Eğitim Fakültesi Elektronik Fen ve Matematik Eğitimi Dergisi</w:t>
      </w:r>
      <w:r w:rsidRPr="000A2E75">
        <w:rPr>
          <w:rFonts w:ascii="Times New Roman" w:hAnsi="Times New Roman" w:cs="Times New Roman"/>
          <w:color w:val="222222"/>
          <w:highlight w:val="white"/>
          <w:lang w:val="fr-FR"/>
        </w:rPr>
        <w:t>, </w:t>
      </w:r>
      <w:r w:rsidRPr="000A2E75">
        <w:rPr>
          <w:rFonts w:ascii="Times New Roman" w:hAnsi="Times New Roman" w:cs="Times New Roman"/>
          <w:i/>
          <w:color w:val="222222"/>
          <w:highlight w:val="white"/>
          <w:lang w:val="fr-FR"/>
        </w:rPr>
        <w:t>14</w:t>
      </w:r>
      <w:r w:rsidRPr="000A2E75">
        <w:rPr>
          <w:rFonts w:ascii="Times New Roman" w:hAnsi="Times New Roman" w:cs="Times New Roman"/>
          <w:color w:val="222222"/>
          <w:highlight w:val="white"/>
          <w:lang w:val="fr-FR"/>
        </w:rPr>
        <w:t>(1), 787-809.</w:t>
      </w:r>
    </w:p>
    <w:p w14:paraId="1EE30485" w14:textId="77777777" w:rsidR="00E839E1" w:rsidRPr="000A2E75" w:rsidRDefault="00E839E1" w:rsidP="00E839E1">
      <w:pPr>
        <w:spacing w:before="280" w:after="120"/>
        <w:ind w:left="567" w:hanging="567"/>
        <w:jc w:val="both"/>
        <w:rPr>
          <w:rFonts w:ascii="Times New Roman" w:hAnsi="Times New Roman" w:cs="Times New Roman"/>
          <w:color w:val="000000"/>
        </w:rPr>
      </w:pPr>
      <w:r w:rsidRPr="000A2E75">
        <w:rPr>
          <w:rFonts w:ascii="Times New Roman" w:hAnsi="Times New Roman" w:cs="Times New Roman"/>
          <w:color w:val="000000"/>
          <w:highlight w:val="white"/>
          <w:lang w:val="fr-FR"/>
        </w:rPr>
        <w:t>Dünya, B. A., Şahin, M. D. &amp; Aybek, E. C., Yükseköğretimde Uzaktan Ölçme Ve Değerlendirme Deneyimleri: Üç Devlet Üniversitesinden Bir Örnek. </w:t>
      </w:r>
      <w:r w:rsidRPr="000A2E75">
        <w:rPr>
          <w:rFonts w:ascii="Times New Roman" w:hAnsi="Times New Roman" w:cs="Times New Roman"/>
          <w:i/>
          <w:color w:val="000000"/>
          <w:highlight w:val="white"/>
        </w:rPr>
        <w:t>Ahi Evran Üniversitesi Sosyal Bilimler Enstitüsü Dergisi</w:t>
      </w:r>
      <w:r w:rsidRPr="000A2E75">
        <w:rPr>
          <w:rFonts w:ascii="Times New Roman" w:hAnsi="Times New Roman" w:cs="Times New Roman"/>
          <w:color w:val="000000"/>
          <w:highlight w:val="white"/>
        </w:rPr>
        <w:t>, </w:t>
      </w:r>
      <w:r w:rsidRPr="000A2E75">
        <w:rPr>
          <w:rFonts w:ascii="Times New Roman" w:hAnsi="Times New Roman" w:cs="Times New Roman"/>
          <w:i/>
          <w:color w:val="000000"/>
          <w:highlight w:val="white"/>
        </w:rPr>
        <w:t>7</w:t>
      </w:r>
      <w:r w:rsidRPr="000A2E75">
        <w:rPr>
          <w:rFonts w:ascii="Times New Roman" w:hAnsi="Times New Roman" w:cs="Times New Roman"/>
          <w:color w:val="000000"/>
          <w:highlight w:val="white"/>
        </w:rPr>
        <w:t>(1), 232-244.</w:t>
      </w:r>
    </w:p>
    <w:p w14:paraId="063132F1" w14:textId="77777777" w:rsidR="00E839E1" w:rsidRPr="000A2E75" w:rsidRDefault="00E839E1" w:rsidP="00E839E1">
      <w:pPr>
        <w:spacing w:before="280" w:after="120"/>
        <w:ind w:left="567" w:hanging="567"/>
        <w:jc w:val="both"/>
        <w:rPr>
          <w:rFonts w:ascii="Times New Roman" w:hAnsi="Times New Roman" w:cs="Times New Roman"/>
        </w:rPr>
      </w:pPr>
      <w:r w:rsidRPr="000A2E75">
        <w:rPr>
          <w:rFonts w:ascii="Times New Roman" w:hAnsi="Times New Roman" w:cs="Times New Roman"/>
        </w:rPr>
        <w:t xml:space="preserve">Hodges, C., Moore, S., Lockee, B., Trust, T., &amp; Bond, A. (2020). The difference between emergency remote teaching and online learning. </w:t>
      </w:r>
      <w:r w:rsidRPr="000A2E75">
        <w:rPr>
          <w:rFonts w:ascii="Times New Roman" w:hAnsi="Times New Roman" w:cs="Times New Roman"/>
          <w:i/>
        </w:rPr>
        <w:t>Educause Review</w:t>
      </w:r>
      <w:r w:rsidRPr="000A2E75">
        <w:rPr>
          <w:rFonts w:ascii="Times New Roman" w:hAnsi="Times New Roman" w:cs="Times New Roman"/>
        </w:rPr>
        <w:t>, 27, 1-12.</w:t>
      </w:r>
    </w:p>
    <w:p w14:paraId="287C0C1D" w14:textId="77777777" w:rsidR="00E839E1" w:rsidRPr="000A2E75" w:rsidRDefault="00E839E1" w:rsidP="00E839E1">
      <w:pPr>
        <w:spacing w:before="280" w:after="120"/>
        <w:ind w:left="567" w:hanging="567"/>
        <w:jc w:val="both"/>
        <w:rPr>
          <w:rFonts w:ascii="Times New Roman" w:hAnsi="Times New Roman" w:cs="Times New Roman"/>
        </w:rPr>
      </w:pPr>
      <w:r w:rsidRPr="000A2E75">
        <w:rPr>
          <w:rFonts w:ascii="Times New Roman" w:hAnsi="Times New Roman" w:cs="Times New Roman"/>
          <w:highlight w:val="white"/>
        </w:rPr>
        <w:lastRenderedPageBreak/>
        <w:t>Kaya, S. (2020). Zorunlu Uzaktan Eğitimde Karşılaşılan Sorunlar: Öğretim Elemanı ve Öğrenci Görüşleri. </w:t>
      </w:r>
      <w:r w:rsidRPr="000A2E75">
        <w:rPr>
          <w:rFonts w:ascii="Times New Roman" w:hAnsi="Times New Roman" w:cs="Times New Roman"/>
          <w:i/>
          <w:highlight w:val="white"/>
        </w:rPr>
        <w:t>VIIth International Eurasian Educational ResearchCongress</w:t>
      </w:r>
      <w:r w:rsidRPr="000A2E75">
        <w:rPr>
          <w:rFonts w:ascii="Times New Roman" w:hAnsi="Times New Roman" w:cs="Times New Roman"/>
          <w:highlight w:val="white"/>
        </w:rPr>
        <w:t>, 10-13.</w:t>
      </w:r>
    </w:p>
    <w:p w14:paraId="39E96FBB" w14:textId="77777777" w:rsidR="00E839E1" w:rsidRPr="000A2E75" w:rsidRDefault="00E839E1" w:rsidP="00E839E1">
      <w:pPr>
        <w:spacing w:before="280" w:after="120"/>
        <w:ind w:left="567" w:hanging="567"/>
        <w:jc w:val="both"/>
        <w:rPr>
          <w:rFonts w:ascii="Times New Roman" w:hAnsi="Times New Roman" w:cs="Times New Roman"/>
        </w:rPr>
      </w:pPr>
      <w:r w:rsidRPr="000A2E75">
        <w:rPr>
          <w:rFonts w:ascii="Times New Roman" w:hAnsi="Times New Roman" w:cs="Times New Roman"/>
          <w:highlight w:val="white"/>
        </w:rPr>
        <w:t>Kırmacı, Ö., &amp; Acar, S. (2018). Kampüs Öğrencilerinin Eş Zamanlı Uzaktan Eğitimde Karşılaştıkları Sorunlar. </w:t>
      </w:r>
      <w:r w:rsidRPr="000A2E75">
        <w:rPr>
          <w:rFonts w:ascii="Times New Roman" w:hAnsi="Times New Roman" w:cs="Times New Roman"/>
          <w:i/>
          <w:highlight w:val="white"/>
        </w:rPr>
        <w:t>Eğitimde Kuram Ve Uygulama</w:t>
      </w:r>
      <w:r w:rsidRPr="000A2E75">
        <w:rPr>
          <w:rFonts w:ascii="Times New Roman" w:hAnsi="Times New Roman" w:cs="Times New Roman"/>
          <w:highlight w:val="white"/>
        </w:rPr>
        <w:t>, </w:t>
      </w:r>
      <w:r w:rsidRPr="000A2E75">
        <w:rPr>
          <w:rFonts w:ascii="Times New Roman" w:hAnsi="Times New Roman" w:cs="Times New Roman"/>
          <w:i/>
          <w:highlight w:val="white"/>
        </w:rPr>
        <w:t>14</w:t>
      </w:r>
      <w:r w:rsidRPr="000A2E75">
        <w:rPr>
          <w:rFonts w:ascii="Times New Roman" w:hAnsi="Times New Roman" w:cs="Times New Roman"/>
          <w:highlight w:val="white"/>
        </w:rPr>
        <w:t>(3), 276-291.</w:t>
      </w:r>
    </w:p>
    <w:p w14:paraId="4B701F71" w14:textId="77777777" w:rsidR="00E839E1" w:rsidRPr="000A2E75" w:rsidRDefault="00E839E1" w:rsidP="00E839E1">
      <w:pPr>
        <w:spacing w:before="280" w:after="120"/>
        <w:ind w:left="567" w:hanging="567"/>
        <w:jc w:val="both"/>
        <w:rPr>
          <w:rFonts w:ascii="Times New Roman" w:hAnsi="Times New Roman" w:cs="Times New Roman"/>
          <w:highlight w:val="white"/>
        </w:rPr>
      </w:pPr>
      <w:r w:rsidRPr="000A2E75">
        <w:rPr>
          <w:rFonts w:ascii="Times New Roman" w:hAnsi="Times New Roman" w:cs="Times New Roman"/>
          <w:highlight w:val="white"/>
        </w:rPr>
        <w:t>Koehler, M. J., &amp; Mishra, P. (2008). Introducing tpck. </w:t>
      </w:r>
      <w:r w:rsidRPr="000A2E75">
        <w:rPr>
          <w:rFonts w:ascii="Times New Roman" w:hAnsi="Times New Roman" w:cs="Times New Roman"/>
          <w:i/>
          <w:highlight w:val="white"/>
        </w:rPr>
        <w:t>Handbook of technological pedagogical content knowledge (TPCK) for educators</w:t>
      </w:r>
      <w:r w:rsidRPr="000A2E75">
        <w:rPr>
          <w:rFonts w:ascii="Times New Roman" w:hAnsi="Times New Roman" w:cs="Times New Roman"/>
          <w:highlight w:val="white"/>
        </w:rPr>
        <w:t>, </w:t>
      </w:r>
      <w:r w:rsidRPr="000A2E75">
        <w:rPr>
          <w:rFonts w:ascii="Times New Roman" w:hAnsi="Times New Roman" w:cs="Times New Roman"/>
          <w:i/>
          <w:highlight w:val="white"/>
        </w:rPr>
        <w:t>1</w:t>
      </w:r>
      <w:r w:rsidRPr="000A2E75">
        <w:rPr>
          <w:rFonts w:ascii="Times New Roman" w:hAnsi="Times New Roman" w:cs="Times New Roman"/>
          <w:highlight w:val="white"/>
        </w:rPr>
        <w:t>(1), 3-29.</w:t>
      </w:r>
    </w:p>
    <w:p w14:paraId="277308F8" w14:textId="77777777" w:rsidR="00E839E1" w:rsidRPr="000A2E75" w:rsidRDefault="00E839E1" w:rsidP="00E839E1">
      <w:pPr>
        <w:spacing w:before="280" w:after="120"/>
        <w:ind w:left="567" w:hanging="567"/>
        <w:jc w:val="both"/>
        <w:rPr>
          <w:rFonts w:ascii="Times New Roman" w:hAnsi="Times New Roman" w:cs="Times New Roman"/>
        </w:rPr>
      </w:pPr>
      <w:r w:rsidRPr="000A2E75">
        <w:rPr>
          <w:rFonts w:ascii="Times New Roman" w:hAnsi="Times New Roman" w:cs="Times New Roman"/>
        </w:rPr>
        <w:t xml:space="preserve">Krueger, R. A. &amp; Casey, M. A. (2000). </w:t>
      </w:r>
      <w:r w:rsidRPr="000A2E75">
        <w:rPr>
          <w:rFonts w:ascii="Times New Roman" w:hAnsi="Times New Roman" w:cs="Times New Roman"/>
          <w:i/>
        </w:rPr>
        <w:t>Focus group: a pratical guide for applied research</w:t>
      </w:r>
      <w:r w:rsidRPr="000A2E75">
        <w:rPr>
          <w:rFonts w:ascii="Times New Roman" w:hAnsi="Times New Roman" w:cs="Times New Roman"/>
        </w:rPr>
        <w:t xml:space="preserve">. </w:t>
      </w:r>
      <w:r w:rsidRPr="000A2E75">
        <w:rPr>
          <w:rFonts w:ascii="Times New Roman" w:hAnsi="Times New Roman" w:cs="Times New Roman"/>
          <w:highlight w:val="white"/>
        </w:rPr>
        <w:t>Thousand Oaks, CA: SAGE.</w:t>
      </w:r>
    </w:p>
    <w:p w14:paraId="032BE08C" w14:textId="77777777" w:rsidR="00E839E1" w:rsidRPr="000A2E75" w:rsidRDefault="00E839E1" w:rsidP="00E839E1">
      <w:pPr>
        <w:spacing w:before="280" w:after="120"/>
        <w:ind w:left="567" w:hanging="567"/>
        <w:jc w:val="both"/>
        <w:rPr>
          <w:rFonts w:ascii="Times New Roman" w:hAnsi="Times New Roman" w:cs="Times New Roman"/>
        </w:rPr>
      </w:pPr>
      <w:r w:rsidRPr="000A2E75">
        <w:rPr>
          <w:rFonts w:ascii="Times New Roman" w:hAnsi="Times New Roman" w:cs="Times New Roman"/>
          <w:highlight w:val="white"/>
        </w:rPr>
        <w:t>Kürtüncü, M., &amp; Kurt, A. (2020). Covid-19 pandemisi döneminde hemşirelik öğrencilerinin uzaktan eğitim konusunda yaşadiklari sorunlar. </w:t>
      </w:r>
      <w:r w:rsidRPr="000A2E75">
        <w:rPr>
          <w:rFonts w:ascii="Times New Roman" w:hAnsi="Times New Roman" w:cs="Times New Roman"/>
          <w:i/>
          <w:highlight w:val="white"/>
        </w:rPr>
        <w:t>Avrasya Sosyal ve Ekonomi Araştırmaları Dergisi</w:t>
      </w:r>
      <w:r w:rsidRPr="000A2E75">
        <w:rPr>
          <w:rFonts w:ascii="Times New Roman" w:hAnsi="Times New Roman" w:cs="Times New Roman"/>
          <w:highlight w:val="white"/>
        </w:rPr>
        <w:t>, </w:t>
      </w:r>
      <w:r w:rsidRPr="000A2E75">
        <w:rPr>
          <w:rFonts w:ascii="Times New Roman" w:hAnsi="Times New Roman" w:cs="Times New Roman"/>
          <w:i/>
          <w:highlight w:val="white"/>
        </w:rPr>
        <w:t>7</w:t>
      </w:r>
      <w:r w:rsidRPr="000A2E75">
        <w:rPr>
          <w:rFonts w:ascii="Times New Roman" w:hAnsi="Times New Roman" w:cs="Times New Roman"/>
          <w:highlight w:val="white"/>
        </w:rPr>
        <w:t>(5), 66-77.</w:t>
      </w:r>
    </w:p>
    <w:p w14:paraId="45521527" w14:textId="77777777" w:rsidR="00E839E1" w:rsidRPr="000A2E75" w:rsidRDefault="00E839E1" w:rsidP="00E839E1">
      <w:pPr>
        <w:spacing w:before="280" w:after="120"/>
        <w:ind w:left="567" w:hanging="567"/>
        <w:jc w:val="both"/>
        <w:rPr>
          <w:rFonts w:ascii="Times New Roman" w:hAnsi="Times New Roman" w:cs="Times New Roman"/>
          <w:i/>
        </w:rPr>
      </w:pPr>
      <w:r w:rsidRPr="000A2E75">
        <w:rPr>
          <w:rFonts w:ascii="Times New Roman" w:hAnsi="Times New Roman" w:cs="Times New Roman"/>
        </w:rPr>
        <w:t xml:space="preserve">Lau, J., Yang, B., &amp; Dasgupta, R. (2020). Will the coronavirus make online education go viral. </w:t>
      </w:r>
      <w:r w:rsidRPr="000A2E75">
        <w:rPr>
          <w:rFonts w:ascii="Times New Roman" w:hAnsi="Times New Roman" w:cs="Times New Roman"/>
          <w:i/>
        </w:rPr>
        <w:t>Times Higher Education, 12.</w:t>
      </w:r>
    </w:p>
    <w:p w14:paraId="79025F25" w14:textId="77777777" w:rsidR="00E839E1" w:rsidRPr="000A2E75" w:rsidRDefault="00E839E1" w:rsidP="00E839E1">
      <w:pPr>
        <w:spacing w:before="280" w:after="120"/>
        <w:ind w:left="567" w:hanging="567"/>
        <w:jc w:val="both"/>
        <w:rPr>
          <w:rFonts w:ascii="Times New Roman" w:hAnsi="Times New Roman" w:cs="Times New Roman"/>
          <w:color w:val="000000"/>
        </w:rPr>
      </w:pPr>
      <w:r w:rsidRPr="000A2E75">
        <w:rPr>
          <w:rFonts w:ascii="Times New Roman" w:hAnsi="Times New Roman" w:cs="Times New Roman"/>
          <w:color w:val="000000"/>
          <w:highlight w:val="white"/>
        </w:rPr>
        <w:t>Patton, M. Q. (1990). </w:t>
      </w:r>
      <w:r w:rsidRPr="000A2E75">
        <w:rPr>
          <w:rFonts w:ascii="Times New Roman" w:hAnsi="Times New Roman" w:cs="Times New Roman"/>
          <w:i/>
          <w:color w:val="000000"/>
          <w:highlight w:val="white"/>
        </w:rPr>
        <w:t>Qualitative evaluation and research methods</w:t>
      </w:r>
      <w:r w:rsidRPr="000A2E75">
        <w:rPr>
          <w:rFonts w:ascii="Times New Roman" w:hAnsi="Times New Roman" w:cs="Times New Roman"/>
          <w:color w:val="000000"/>
          <w:highlight w:val="white"/>
        </w:rPr>
        <w:t>. Thousand Oaks, CA: SAGE.</w:t>
      </w:r>
    </w:p>
    <w:p w14:paraId="6B090773" w14:textId="77777777" w:rsidR="00E839E1" w:rsidRPr="000A2E75" w:rsidRDefault="00E839E1" w:rsidP="00E839E1">
      <w:pPr>
        <w:spacing w:before="280" w:after="120"/>
        <w:ind w:left="567" w:hanging="567"/>
        <w:jc w:val="both"/>
        <w:rPr>
          <w:rFonts w:ascii="Times New Roman" w:hAnsi="Times New Roman" w:cs="Times New Roman"/>
          <w:color w:val="000000"/>
        </w:rPr>
      </w:pPr>
      <w:r w:rsidRPr="000A2E75">
        <w:rPr>
          <w:rFonts w:ascii="Times New Roman" w:hAnsi="Times New Roman" w:cs="Times New Roman"/>
          <w:color w:val="000000"/>
        </w:rPr>
        <w:t xml:space="preserve">Rossiter, S. (2020). </w:t>
      </w:r>
      <w:r w:rsidRPr="000A2E75">
        <w:rPr>
          <w:rFonts w:ascii="Times New Roman" w:hAnsi="Times New Roman" w:cs="Times New Roman"/>
          <w:i/>
          <w:color w:val="000000"/>
        </w:rPr>
        <w:t>Cheating becoming an unexpected COVID-19 side effect for universities</w:t>
      </w:r>
      <w:r w:rsidRPr="000A2E75">
        <w:rPr>
          <w:rFonts w:ascii="Times New Roman" w:hAnsi="Times New Roman" w:cs="Times New Roman"/>
          <w:color w:val="000000"/>
        </w:rPr>
        <w:t>. 1 nisan 2021 tarihinde https://www.cbc.ca/news/canada/edmonton/cheating-becoming-anunexpected-covid-19-side-effect-for-universities-1.5620442 adresinden erişilmiştir.</w:t>
      </w:r>
    </w:p>
    <w:p w14:paraId="546FAE1A" w14:textId="77777777" w:rsidR="00E839E1" w:rsidRPr="000A2E75" w:rsidRDefault="00E839E1" w:rsidP="00E839E1">
      <w:pPr>
        <w:spacing w:before="280" w:after="120"/>
        <w:ind w:left="567" w:hanging="567"/>
        <w:jc w:val="both"/>
        <w:rPr>
          <w:rFonts w:ascii="Times New Roman" w:hAnsi="Times New Roman" w:cs="Times New Roman"/>
        </w:rPr>
      </w:pPr>
      <w:r w:rsidRPr="000A2E75">
        <w:rPr>
          <w:rFonts w:ascii="Times New Roman" w:hAnsi="Times New Roman" w:cs="Times New Roman"/>
          <w:highlight w:val="white"/>
        </w:rPr>
        <w:t>Saltürk, A., &amp; Güngör, C. (2020). Üniversite Öğrencilerinin Gözünden Covid-19 Pandemi Döneminde Uzaktan Eğitime Geçiş Deneyimi. </w:t>
      </w:r>
      <w:r w:rsidRPr="000A2E75">
        <w:rPr>
          <w:rFonts w:ascii="Times New Roman" w:hAnsi="Times New Roman" w:cs="Times New Roman"/>
          <w:i/>
          <w:highlight w:val="white"/>
        </w:rPr>
        <w:t>Journal of Social Sciences/Sosyal Bilimler Dergisi</w:t>
      </w:r>
      <w:r w:rsidRPr="000A2E75">
        <w:rPr>
          <w:rFonts w:ascii="Times New Roman" w:hAnsi="Times New Roman" w:cs="Times New Roman"/>
          <w:highlight w:val="white"/>
        </w:rPr>
        <w:t>, (36).</w:t>
      </w:r>
    </w:p>
    <w:p w14:paraId="5B7707DD" w14:textId="77777777" w:rsidR="00E839E1" w:rsidRPr="000A2E75" w:rsidRDefault="00E839E1" w:rsidP="00E839E1">
      <w:pPr>
        <w:spacing w:before="280" w:after="120"/>
        <w:ind w:left="567" w:hanging="567"/>
        <w:jc w:val="both"/>
        <w:rPr>
          <w:rFonts w:ascii="Times New Roman" w:hAnsi="Times New Roman" w:cs="Times New Roman"/>
        </w:rPr>
      </w:pPr>
      <w:r w:rsidRPr="000A2E75">
        <w:rPr>
          <w:rFonts w:ascii="Times New Roman" w:hAnsi="Times New Roman" w:cs="Times New Roman"/>
          <w:highlight w:val="white"/>
        </w:rPr>
        <w:t>Sarı, T., &amp; Nayır, F. (2020). Pandemi Dönemi Eğitim: Sorunlar ve Fırsatlar. </w:t>
      </w:r>
      <w:r w:rsidRPr="000A2E75">
        <w:rPr>
          <w:rFonts w:ascii="Times New Roman" w:hAnsi="Times New Roman" w:cs="Times New Roman"/>
          <w:i/>
          <w:highlight w:val="white"/>
        </w:rPr>
        <w:t>Electronic Turkish Studies</w:t>
      </w:r>
      <w:r w:rsidRPr="000A2E75">
        <w:rPr>
          <w:rFonts w:ascii="Times New Roman" w:hAnsi="Times New Roman" w:cs="Times New Roman"/>
          <w:highlight w:val="white"/>
        </w:rPr>
        <w:t>, </w:t>
      </w:r>
      <w:r w:rsidRPr="000A2E75">
        <w:rPr>
          <w:rFonts w:ascii="Times New Roman" w:hAnsi="Times New Roman" w:cs="Times New Roman"/>
          <w:i/>
          <w:highlight w:val="white"/>
        </w:rPr>
        <w:t>15</w:t>
      </w:r>
      <w:r w:rsidRPr="000A2E75">
        <w:rPr>
          <w:rFonts w:ascii="Times New Roman" w:hAnsi="Times New Roman" w:cs="Times New Roman"/>
          <w:highlight w:val="white"/>
        </w:rPr>
        <w:t>(4).</w:t>
      </w:r>
    </w:p>
    <w:p w14:paraId="0075A31F" w14:textId="77777777" w:rsidR="00E839E1" w:rsidRPr="000A2E75" w:rsidRDefault="00E839E1" w:rsidP="00E839E1">
      <w:pPr>
        <w:spacing w:before="280" w:after="120"/>
        <w:ind w:left="567" w:hanging="567"/>
        <w:jc w:val="both"/>
        <w:rPr>
          <w:rFonts w:ascii="Times New Roman" w:hAnsi="Times New Roman" w:cs="Times New Roman"/>
        </w:rPr>
      </w:pPr>
      <w:r w:rsidRPr="000A2E75">
        <w:rPr>
          <w:rFonts w:ascii="Times New Roman" w:hAnsi="Times New Roman" w:cs="Times New Roman"/>
        </w:rPr>
        <w:t>Sümer, M. (2016). Sanal derslere ilişkin öğrenci görüşlerinin incelenmesi. Uşak Üniversitesi Sosyal Bilimler Dergisi, 9(3), 181- 200.</w:t>
      </w:r>
    </w:p>
    <w:p w14:paraId="3BFF9D13" w14:textId="77777777" w:rsidR="00E839E1" w:rsidRPr="000A2E75" w:rsidRDefault="00E839E1" w:rsidP="00E839E1">
      <w:pPr>
        <w:spacing w:before="280" w:after="120"/>
        <w:ind w:left="567" w:hanging="567"/>
        <w:jc w:val="both"/>
        <w:rPr>
          <w:rFonts w:ascii="Times New Roman" w:hAnsi="Times New Roman" w:cs="Times New Roman"/>
        </w:rPr>
      </w:pPr>
      <w:r w:rsidRPr="000A2E75">
        <w:rPr>
          <w:rFonts w:ascii="Times New Roman" w:hAnsi="Times New Roman" w:cs="Times New Roman"/>
        </w:rPr>
        <w:t xml:space="preserve">Tümen Akyıldız, S. (2020). Pandemi döneminde yapılan uzaktan eğitim çalışmalarıyla ilgili İngilizce öğretmenlerinin görüşleri (bir odak grup tartışması). </w:t>
      </w:r>
      <w:r w:rsidRPr="000A2E75">
        <w:rPr>
          <w:rFonts w:ascii="Times New Roman" w:hAnsi="Times New Roman" w:cs="Times New Roman"/>
          <w:i/>
        </w:rPr>
        <w:t>RumeliDE Dil ve Edebiyat Araştırmaları Dergisi</w:t>
      </w:r>
      <w:r w:rsidRPr="000A2E75">
        <w:rPr>
          <w:rFonts w:ascii="Times New Roman" w:hAnsi="Times New Roman" w:cs="Times New Roman"/>
        </w:rPr>
        <w:t>, (21), 679-696. DOI: 10.29000/rumelide.835811.</w:t>
      </w:r>
    </w:p>
    <w:p w14:paraId="5839C050" w14:textId="77777777" w:rsidR="00E839E1" w:rsidRPr="000A2E75" w:rsidRDefault="00E839E1" w:rsidP="00E839E1">
      <w:pPr>
        <w:spacing w:before="280" w:after="120"/>
        <w:ind w:left="567" w:hanging="567"/>
        <w:jc w:val="both"/>
        <w:rPr>
          <w:rFonts w:ascii="Times New Roman" w:hAnsi="Times New Roman" w:cs="Times New Roman"/>
          <w:color w:val="000000"/>
        </w:rPr>
      </w:pPr>
      <w:r w:rsidRPr="000A2E75">
        <w:rPr>
          <w:rFonts w:ascii="Times New Roman" w:hAnsi="Times New Roman" w:cs="Times New Roman"/>
          <w:color w:val="000000"/>
        </w:rPr>
        <w:t xml:space="preserve">WHO (2020). </w:t>
      </w:r>
      <w:r w:rsidRPr="000A2E75">
        <w:rPr>
          <w:rFonts w:ascii="Times New Roman" w:hAnsi="Times New Roman" w:cs="Times New Roman"/>
          <w:i/>
          <w:color w:val="000000"/>
        </w:rPr>
        <w:t xml:space="preserve">WHO Director-General's opening remarks at the media briefing on Covıd-19. </w:t>
      </w:r>
      <w:r w:rsidRPr="000A2E75">
        <w:rPr>
          <w:rFonts w:ascii="Times New Roman" w:hAnsi="Times New Roman" w:cs="Times New Roman"/>
          <w:color w:val="000000"/>
        </w:rPr>
        <w:t xml:space="preserve">29 Mart 2021 tarihinde </w:t>
      </w:r>
      <w:hyperlink r:id="rId403">
        <w:r w:rsidRPr="000A2E75">
          <w:rPr>
            <w:rFonts w:ascii="Times New Roman" w:hAnsi="Times New Roman" w:cs="Times New Roman"/>
            <w:color w:val="000000"/>
            <w:u w:val="single"/>
          </w:rPr>
          <w:t>https://www.who.int/director-general/speeches/detail/who-director-general-s-opening-remarks-at-the-media-briefing-on-covid-19---11-march-2020</w:t>
        </w:r>
      </w:hyperlink>
      <w:r w:rsidRPr="000A2E75">
        <w:rPr>
          <w:rFonts w:ascii="Times New Roman" w:hAnsi="Times New Roman" w:cs="Times New Roman"/>
          <w:color w:val="000000"/>
        </w:rPr>
        <w:t xml:space="preserve"> adresinden erişilmiştir. </w:t>
      </w:r>
    </w:p>
    <w:p w14:paraId="3A939D45" w14:textId="77777777" w:rsidR="00E839E1" w:rsidRPr="000A2E75" w:rsidRDefault="00E839E1" w:rsidP="00E839E1">
      <w:pPr>
        <w:spacing w:before="280" w:after="120"/>
        <w:ind w:left="567" w:hanging="567"/>
        <w:jc w:val="both"/>
        <w:rPr>
          <w:rFonts w:ascii="Times New Roman" w:hAnsi="Times New Roman" w:cs="Times New Roman"/>
        </w:rPr>
      </w:pPr>
      <w:r w:rsidRPr="000A2E75">
        <w:rPr>
          <w:rFonts w:ascii="Times New Roman" w:hAnsi="Times New Roman" w:cs="Times New Roman"/>
          <w:highlight w:val="white"/>
        </w:rPr>
        <w:t>Yavuz, M., Kayalı, B., Balat, Ş., &amp; Karaman, S. (2020). Salgın Sürecinde Türkiye’deki Yükseköğretim Kurumlarının Acil Uzaktan Öğretim Uygulamalarının İncelenmesi. </w:t>
      </w:r>
      <w:r w:rsidRPr="000A2E75">
        <w:rPr>
          <w:rFonts w:ascii="Times New Roman" w:hAnsi="Times New Roman" w:cs="Times New Roman"/>
          <w:i/>
          <w:highlight w:val="white"/>
        </w:rPr>
        <w:t>Milli Eğitim Dergisi</w:t>
      </w:r>
      <w:r w:rsidRPr="000A2E75">
        <w:rPr>
          <w:rFonts w:ascii="Times New Roman" w:hAnsi="Times New Roman" w:cs="Times New Roman"/>
          <w:highlight w:val="white"/>
        </w:rPr>
        <w:t>, </w:t>
      </w:r>
      <w:r w:rsidRPr="000A2E75">
        <w:rPr>
          <w:rFonts w:ascii="Times New Roman" w:hAnsi="Times New Roman" w:cs="Times New Roman"/>
          <w:i/>
          <w:highlight w:val="white"/>
        </w:rPr>
        <w:t>49</w:t>
      </w:r>
      <w:r w:rsidRPr="000A2E75">
        <w:rPr>
          <w:rFonts w:ascii="Times New Roman" w:hAnsi="Times New Roman" w:cs="Times New Roman"/>
          <w:highlight w:val="white"/>
        </w:rPr>
        <w:t>(1), 129-154.</w:t>
      </w:r>
    </w:p>
    <w:p w14:paraId="4C054299" w14:textId="77777777" w:rsidR="00E839E1" w:rsidRPr="000A2E75" w:rsidRDefault="00E839E1" w:rsidP="00E839E1">
      <w:pPr>
        <w:spacing w:before="280" w:after="120"/>
        <w:ind w:left="567" w:hanging="567"/>
        <w:jc w:val="both"/>
        <w:rPr>
          <w:rFonts w:ascii="Times New Roman" w:hAnsi="Times New Roman" w:cs="Times New Roman"/>
          <w:color w:val="000000"/>
        </w:rPr>
      </w:pPr>
      <w:r w:rsidRPr="000A2E75">
        <w:rPr>
          <w:rFonts w:ascii="Times New Roman" w:hAnsi="Times New Roman" w:cs="Times New Roman"/>
          <w:color w:val="000000"/>
        </w:rPr>
        <w:t xml:space="preserve">Yıldırım, A. &amp; Şimşek, H. (2016), </w:t>
      </w:r>
      <w:r w:rsidRPr="000A2E75">
        <w:rPr>
          <w:rFonts w:ascii="Times New Roman" w:hAnsi="Times New Roman" w:cs="Times New Roman"/>
          <w:i/>
          <w:color w:val="000000"/>
        </w:rPr>
        <w:t>Sosyal Bilimlerde Araştırma Yöntemleri</w:t>
      </w:r>
      <w:r w:rsidRPr="000A2E75">
        <w:rPr>
          <w:rFonts w:ascii="Times New Roman" w:hAnsi="Times New Roman" w:cs="Times New Roman"/>
          <w:color w:val="000000"/>
        </w:rPr>
        <w:t>, Ankara: Seçkin Yayıncılık.</w:t>
      </w:r>
    </w:p>
    <w:p w14:paraId="2E3C6290" w14:textId="088BF166" w:rsidR="008934F8" w:rsidRDefault="008934F8" w:rsidP="00E839E1">
      <w:pPr>
        <w:pStyle w:val="Balk1"/>
        <w:rPr>
          <w:rFonts w:ascii="Times New Roman" w:hAnsi="Times New Roman" w:cs="Times New Roman"/>
          <w:b/>
          <w:color w:val="000000" w:themeColor="text1"/>
          <w:sz w:val="24"/>
          <w:szCs w:val="24"/>
        </w:rPr>
      </w:pPr>
      <w:bookmarkStart w:id="344" w:name="_Toc70612103"/>
      <w:bookmarkStart w:id="345" w:name="_Toc72754711"/>
      <w:bookmarkStart w:id="346" w:name="_Toc72755983"/>
    </w:p>
    <w:p w14:paraId="7BB89092" w14:textId="33C8EEE1" w:rsidR="008934F8" w:rsidRDefault="008934F8" w:rsidP="008934F8">
      <w:pPr>
        <w:rPr>
          <w:lang w:eastAsia="tr-TR"/>
        </w:rPr>
      </w:pPr>
    </w:p>
    <w:p w14:paraId="3E80FC90" w14:textId="77777777" w:rsidR="008934F8" w:rsidRPr="008934F8" w:rsidRDefault="008934F8" w:rsidP="008934F8">
      <w:pPr>
        <w:rPr>
          <w:lang w:eastAsia="tr-TR"/>
        </w:rPr>
      </w:pPr>
    </w:p>
    <w:p w14:paraId="00D8BBF5" w14:textId="2D1C357A" w:rsidR="00E839E1" w:rsidRPr="000A2E75" w:rsidRDefault="00E839E1" w:rsidP="00E839E1">
      <w:pPr>
        <w:pStyle w:val="Balk1"/>
        <w:rPr>
          <w:rFonts w:ascii="Times New Roman" w:hAnsi="Times New Roman" w:cs="Times New Roman"/>
          <w:b/>
          <w:color w:val="000000" w:themeColor="text1"/>
          <w:sz w:val="24"/>
          <w:szCs w:val="24"/>
        </w:rPr>
      </w:pPr>
      <w:bookmarkStart w:id="347" w:name="_Toc72961795"/>
      <w:r w:rsidRPr="000A2E75">
        <w:rPr>
          <w:rFonts w:ascii="Times New Roman" w:hAnsi="Times New Roman" w:cs="Times New Roman"/>
          <w:b/>
          <w:color w:val="000000" w:themeColor="text1"/>
          <w:sz w:val="24"/>
          <w:szCs w:val="24"/>
        </w:rPr>
        <w:t>COVID-19 PANDEMİ SÜRECİNDE OKUL YÖNETİCİLERİNİN KAYGILARINA YÖNELİK FENOMOLOJİK BİR İNCELEME</w:t>
      </w:r>
      <w:bookmarkEnd w:id="344"/>
      <w:bookmarkEnd w:id="345"/>
      <w:bookmarkEnd w:id="346"/>
      <w:bookmarkEnd w:id="347"/>
    </w:p>
    <w:p w14:paraId="15AF475A" w14:textId="77777777" w:rsidR="00E839E1" w:rsidRPr="000A2E75" w:rsidRDefault="00E839E1" w:rsidP="00E839E1">
      <w:pPr>
        <w:jc w:val="both"/>
        <w:rPr>
          <w:rFonts w:ascii="Times New Roman" w:hAnsi="Times New Roman" w:cs="Times New Roman"/>
          <w:color w:val="000000" w:themeColor="text1"/>
        </w:rPr>
      </w:pPr>
      <w:bookmarkStart w:id="348" w:name="_Toc69817079"/>
    </w:p>
    <w:p w14:paraId="0050F4A8" w14:textId="77777777" w:rsidR="00E839E1" w:rsidRPr="000A2E75" w:rsidRDefault="00E839E1" w:rsidP="00E839E1">
      <w:pPr>
        <w:jc w:val="both"/>
        <w:rPr>
          <w:rFonts w:ascii="Times New Roman" w:hAnsi="Times New Roman" w:cs="Times New Roman"/>
          <w:i/>
          <w:color w:val="000000" w:themeColor="text1"/>
        </w:rPr>
      </w:pPr>
      <w:bookmarkStart w:id="349" w:name="_Toc70612104"/>
      <w:bookmarkStart w:id="350" w:name="_Toc72754712"/>
      <w:bookmarkStart w:id="351" w:name="_Toc72755984"/>
      <w:bookmarkStart w:id="352" w:name="_Toc72961796"/>
      <w:r w:rsidRPr="000A2E75">
        <w:rPr>
          <w:rStyle w:val="Balk2Char"/>
          <w:rFonts w:ascii="Times New Roman" w:eastAsiaTheme="minorHAnsi" w:hAnsi="Times New Roman" w:cs="Times New Roman"/>
          <w:b w:val="0"/>
          <w:i w:val="0"/>
          <w:sz w:val="20"/>
          <w:szCs w:val="20"/>
        </w:rPr>
        <w:t>Öğr.Gör. Behiye  DAĞDEVIREN ERTAŞ</w:t>
      </w:r>
      <w:bookmarkEnd w:id="349"/>
      <w:bookmarkEnd w:id="350"/>
      <w:bookmarkEnd w:id="351"/>
      <w:bookmarkEnd w:id="352"/>
      <w:r w:rsidRPr="000A2E75">
        <w:rPr>
          <w:rFonts w:ascii="Times New Roman" w:hAnsi="Times New Roman" w:cs="Times New Roman"/>
          <w:b/>
          <w:i/>
          <w:color w:val="000000" w:themeColor="text1"/>
        </w:rPr>
        <w:t>,</w:t>
      </w:r>
      <w:r w:rsidRPr="000A2E75">
        <w:rPr>
          <w:rFonts w:ascii="Times New Roman" w:hAnsi="Times New Roman" w:cs="Times New Roman"/>
          <w:i/>
          <w:color w:val="000000" w:themeColor="text1"/>
        </w:rPr>
        <w:t>Yozgat Bozok Üniversitesi , Sağlık Hizmetleri Meslek Yüksekokulu, Yozgat, Türkiye</w:t>
      </w:r>
      <w:bookmarkEnd w:id="348"/>
    </w:p>
    <w:p w14:paraId="3CC68F69" w14:textId="77777777" w:rsidR="00E839E1" w:rsidRPr="000A2E75" w:rsidRDefault="00E839E1" w:rsidP="00E839E1">
      <w:pPr>
        <w:jc w:val="both"/>
        <w:rPr>
          <w:rFonts w:ascii="Times New Roman" w:hAnsi="Times New Roman" w:cs="Times New Roman"/>
          <w:color w:val="000000" w:themeColor="text1"/>
        </w:rPr>
      </w:pPr>
      <w:r w:rsidRPr="000A2E75">
        <w:rPr>
          <w:rFonts w:ascii="Times New Roman" w:hAnsi="Times New Roman" w:cs="Times New Roman"/>
          <w:i/>
          <w:color w:val="000000" w:themeColor="text1"/>
        </w:rPr>
        <w:t>e-mail:</w:t>
      </w:r>
      <w:r w:rsidRPr="000A2E75">
        <w:rPr>
          <w:rFonts w:ascii="Times New Roman" w:hAnsi="Times New Roman" w:cs="Times New Roman"/>
          <w:color w:val="000000" w:themeColor="text1"/>
          <w:u w:val="single"/>
        </w:rPr>
        <w:t>behiyeertas5884@gmail.com</w:t>
      </w:r>
      <w:r w:rsidRPr="000A2E75">
        <w:rPr>
          <w:rFonts w:ascii="Times New Roman" w:hAnsi="Times New Roman" w:cs="Times New Roman"/>
          <w:i/>
          <w:color w:val="000000" w:themeColor="text1"/>
        </w:rPr>
        <w:t xml:space="preserve"> ORCID ID:</w:t>
      </w:r>
      <w:r w:rsidRPr="000A2E75">
        <w:rPr>
          <w:rFonts w:ascii="Times New Roman" w:hAnsi="Times New Roman" w:cs="Times New Roman"/>
          <w:color w:val="000000" w:themeColor="text1"/>
        </w:rPr>
        <w:t xml:space="preserve"> 0000-0003-2431-1914</w:t>
      </w:r>
    </w:p>
    <w:p w14:paraId="28787E16" w14:textId="77777777" w:rsidR="00E839E1" w:rsidRPr="000A2E75" w:rsidRDefault="00E839E1" w:rsidP="00E839E1">
      <w:pPr>
        <w:jc w:val="both"/>
        <w:rPr>
          <w:rFonts w:ascii="Times New Roman" w:hAnsi="Times New Roman" w:cs="Times New Roman"/>
          <w:color w:val="000000" w:themeColor="text1"/>
        </w:rPr>
      </w:pPr>
      <w:bookmarkStart w:id="353" w:name="_Toc69817080"/>
    </w:p>
    <w:p w14:paraId="3189CE63" w14:textId="77777777" w:rsidR="00E839E1" w:rsidRPr="000A2E75" w:rsidRDefault="00E839E1" w:rsidP="00E839E1">
      <w:pPr>
        <w:jc w:val="both"/>
        <w:rPr>
          <w:rFonts w:ascii="Times New Roman" w:hAnsi="Times New Roman" w:cs="Times New Roman"/>
          <w:i/>
          <w:color w:val="000000" w:themeColor="text1"/>
        </w:rPr>
      </w:pPr>
      <w:bookmarkStart w:id="354" w:name="_Toc70612105"/>
      <w:bookmarkStart w:id="355" w:name="_Toc72754713"/>
      <w:bookmarkStart w:id="356" w:name="_Toc72755985"/>
      <w:bookmarkStart w:id="357" w:name="_Toc72961797"/>
      <w:r w:rsidRPr="000A2E75">
        <w:rPr>
          <w:rStyle w:val="Balk2Char"/>
          <w:rFonts w:ascii="Times New Roman" w:eastAsiaTheme="minorHAnsi" w:hAnsi="Times New Roman" w:cs="Times New Roman"/>
          <w:b w:val="0"/>
          <w:i w:val="0"/>
          <w:sz w:val="20"/>
          <w:szCs w:val="20"/>
        </w:rPr>
        <w:t>Öğr.Gör. Evrim ÇEVİK</w:t>
      </w:r>
      <w:bookmarkEnd w:id="354"/>
      <w:bookmarkEnd w:id="355"/>
      <w:bookmarkEnd w:id="356"/>
      <w:bookmarkEnd w:id="357"/>
      <w:r w:rsidRPr="000A2E75">
        <w:rPr>
          <w:rFonts w:ascii="Times New Roman" w:hAnsi="Times New Roman" w:cs="Times New Roman"/>
          <w:color w:val="000000" w:themeColor="text1"/>
        </w:rPr>
        <w:t xml:space="preserve">, </w:t>
      </w:r>
      <w:r w:rsidRPr="000A2E75">
        <w:rPr>
          <w:rFonts w:ascii="Times New Roman" w:hAnsi="Times New Roman" w:cs="Times New Roman"/>
          <w:i/>
          <w:color w:val="000000" w:themeColor="text1"/>
        </w:rPr>
        <w:t>Aydın Adnan Menderes Üniversitesi, Koçarlı Meslek Yüksekokulu, Aydın, Türkiye</w:t>
      </w:r>
      <w:bookmarkEnd w:id="353"/>
    </w:p>
    <w:p w14:paraId="0EBF6EE1" w14:textId="77777777" w:rsidR="00E839E1" w:rsidRPr="000A2E75" w:rsidRDefault="00E839E1" w:rsidP="00E839E1">
      <w:pPr>
        <w:jc w:val="both"/>
        <w:rPr>
          <w:rFonts w:ascii="Times New Roman" w:hAnsi="Times New Roman" w:cs="Times New Roman"/>
          <w:color w:val="000000" w:themeColor="text1"/>
        </w:rPr>
      </w:pPr>
      <w:r w:rsidRPr="000A2E75">
        <w:rPr>
          <w:rFonts w:ascii="Times New Roman" w:hAnsi="Times New Roman" w:cs="Times New Roman"/>
          <w:i/>
          <w:color w:val="000000" w:themeColor="text1"/>
        </w:rPr>
        <w:t>e-mail:</w:t>
      </w:r>
      <w:r w:rsidRPr="000A2E75">
        <w:rPr>
          <w:rFonts w:ascii="Times New Roman" w:hAnsi="Times New Roman" w:cs="Times New Roman"/>
          <w:color w:val="000000" w:themeColor="text1"/>
          <w:u w:val="single"/>
        </w:rPr>
        <w:t>evrimcevik@gmail.com</w:t>
      </w:r>
      <w:r w:rsidRPr="000A2E75">
        <w:rPr>
          <w:rFonts w:ascii="Times New Roman" w:hAnsi="Times New Roman" w:cs="Times New Roman"/>
          <w:i/>
          <w:color w:val="000000" w:themeColor="text1"/>
        </w:rPr>
        <w:t xml:space="preserve"> ORCID ID:</w:t>
      </w:r>
      <w:r w:rsidRPr="000A2E75">
        <w:rPr>
          <w:rFonts w:ascii="Times New Roman" w:hAnsi="Times New Roman" w:cs="Times New Roman"/>
          <w:color w:val="000000" w:themeColor="text1"/>
        </w:rPr>
        <w:t xml:space="preserve"> 0000-0003-3286-4367</w:t>
      </w:r>
    </w:p>
    <w:p w14:paraId="610D6914" w14:textId="77777777" w:rsidR="00E839E1" w:rsidRPr="000A2E75" w:rsidRDefault="00E839E1" w:rsidP="00E839E1">
      <w:pPr>
        <w:spacing w:before="120" w:after="120" w:line="360" w:lineRule="auto"/>
        <w:jc w:val="both"/>
        <w:rPr>
          <w:rFonts w:ascii="Times New Roman" w:hAnsi="Times New Roman" w:cs="Times New Roman"/>
          <w:b/>
        </w:rPr>
      </w:pPr>
      <w:r w:rsidRPr="000A2E75">
        <w:rPr>
          <w:rFonts w:ascii="Times New Roman" w:hAnsi="Times New Roman" w:cs="Times New Roman"/>
          <w:b/>
        </w:rPr>
        <w:t xml:space="preserve">GİRİŞ </w:t>
      </w:r>
    </w:p>
    <w:p w14:paraId="5A851F12"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 xml:space="preserve">Toplumsal, ekonomik ve hukuksal yapıdaki değişiklikler örgütlerin değişimine de neden olur (Lunenberg ve Ornstein, 2013). 2019’un sonlarında ortaya çıkan COVID-19 virüsü nedeniyle sağlık, ekonomi, eğitim ve sosyal faaliyetlerimizde ciddi değişiklikler meydana gelmiştir. Okulların yönetimi de bu süreçte etkilenmiştir. Eğitimde meydana gelen değişimler, okulda yöneticilerin geleneksel yönetim anlayışını bir kenara bırakıp, yeni ve çağdaş yönetim anlayışını benimsemelerini gerektirmektedir (Aras, 2013). Başarılı uygulamalar, müdürlerin (Fowler 2009) değişikliği hayata geçirme kapasitesine ve motivasyonuna bağlıdır. Okul yöneticileri günümüzde eş zamanlı olarak dış çevreyi gözlemleyip dışsal isteklere cevap verirken ve bunlarla ilgili öngörülerde bulunurken, içsel işleyişi de yönetmeyi ve geliştirmeyi sağlamak zorundadır (Lunenberg ve Ornstein, 2013). Covid-19 salgınında eğitim sürecinin uzaktan öğretimle yapılması, önceden planlanmayan ve içinde bulunulan şartların zorlamasıyla kendiliğinden ortaya çıkan, örgütün uymak zorunda kaldığı değişim olarak nitelendirilen planlı olmayan değişim (İraz ve Şimşek, 2004) olarak düşünülebilir.  Nitelikli bir eğitimin okulda yönetim süreçlerinin etkili bir şekilde yürütülmesiyle gerçekleştiği düşünüldüğünde (Koçak, 2009) Covid- 19 pandemisinde de okul yöneticilerinden nitelikli eğitimin sürdürülmesine yönelik beklentilerin devam ettiği söylenebilir. Okul müdürünün işi normal düzende de karmaşıktır ve etkili okul için gerekli yönetimsel görevleri ve öğrencilerin öğrenmesini destekleyen liderliği içerir (Hallinger and Snidvongs, 2008). Aynı zamanda güvenli bir çevre oluşturmak ve okulda disiplini sürdürmek müdürlerin üstesinden gelmesi gereken yükleriyken (Whitaker, 1998), ek olarak örgütsel sosyalleşme de bu yüke dahildir (Hart,1993). Okulda yöneticiler evrak ve zaman yönetimi gibi iş yükü talepleriyle boğulmuş durumdayken beklentiler, özellikle aile sorumlulukları olan okul yöneticileri ve onların çocukları için gerginlik ve stres yaratabilir (Woodruff and Kowalski, 2010). İlave olarak da paydaşların baskısı, politika yapıcılar, ve sivil toplum örgütlerinin baskısı da okul müdürlerinde strese neden olan ögeler olarak belirlenmiştir (Shoho and Barnett, 2010). O’Mahony’e (2003) göre okul müdürleri özellikle kişisel ve mesleki yaşamlarını dengeleyebilme konusunda da endişe hissetmekte, Barnett’e, </w:t>
      </w:r>
      <w:r w:rsidRPr="000A2E75">
        <w:rPr>
          <w:rFonts w:ascii="Times New Roman" w:hAnsi="Times New Roman" w:cs="Times New Roman"/>
        </w:rPr>
        <w:lastRenderedPageBreak/>
        <w:t xml:space="preserve">(2003) göre bürokrasiye uygun hareket etmek, özellikle kişisel beklentilerinin gerçekleştirilmesinde etkililikleri hakkında kendinden şüphe duymalarına neden olabilmektedir. Okul yöneticilerinin okul personeli, veliler ve diğer okul yöneticileri ile düzenli olarak iletişim kurmaları gerekir (Fields and Egley, 2005). </w:t>
      </w:r>
      <w:r w:rsidRPr="000A2E75">
        <w:rPr>
          <w:rFonts w:ascii="Times New Roman" w:hAnsi="Times New Roman" w:cs="Times New Roman"/>
          <w:color w:val="000000" w:themeColor="text1"/>
        </w:rPr>
        <w:t xml:space="preserve">Dolayısıyla salgın yöneticilere var olan sorumluluklarının üzerine artan sorumluluk ve yük yüklemektedir. </w:t>
      </w:r>
      <w:r w:rsidRPr="000A2E75">
        <w:rPr>
          <w:rFonts w:ascii="Times New Roman" w:hAnsi="Times New Roman" w:cs="Times New Roman"/>
        </w:rPr>
        <w:t>Normal dönemde bile okul müdürleri stres ve kaygıyla başa çıkmaya çalışmakta iken pandemi iş yüklerini ve sorumluluklarını arttırdığı için bu dönemde daha kaygılı olabilecekleri düşünülmektedir. Bu nedenle çalışmanın amacı yöneticilerin pandemi sürecinde yaşadıkları stres ve kaygıları belirlemektir.</w:t>
      </w:r>
    </w:p>
    <w:p w14:paraId="4005EA94" w14:textId="77777777" w:rsidR="00E839E1" w:rsidRPr="000A2E75" w:rsidRDefault="00E839E1" w:rsidP="00E839E1">
      <w:pPr>
        <w:spacing w:before="120" w:after="120" w:line="360" w:lineRule="auto"/>
        <w:jc w:val="both"/>
        <w:rPr>
          <w:rFonts w:ascii="Times New Roman" w:hAnsi="Times New Roman" w:cs="Times New Roman"/>
          <w:b/>
        </w:rPr>
      </w:pPr>
      <w:r w:rsidRPr="000A2E75">
        <w:rPr>
          <w:rFonts w:ascii="Times New Roman" w:hAnsi="Times New Roman" w:cs="Times New Roman"/>
          <w:b/>
        </w:rPr>
        <w:t>YÖNTEM</w:t>
      </w:r>
    </w:p>
    <w:p w14:paraId="3E04FEF7"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Çalışmada nitel modelde  “fenomoloji” kullanılmıştır.  Bu desen temelde varlığının farkında olunduğu ancak derinlemesine ve yeterince ayrıntılı bir bilgiye sahip olunmayan olgulara dayanmaktadır (Yıldırım ve Şimşek, 2016). Fenomoloji çalışmalarında katılımcıların deneyimlediği bir durumu ortaya çıkarmak ve katılımcının bilinçli olarak bunu ortaya koyması ve anlamlandırması deneyimin önemini ortaya koyar (Ersoy, 2018). Yozgat ilinde yaşayan her kademeden 4 okul yöneticisi ile yarı yapılandırılmış görüşmeler yapılmıştır. Çalışma grubunda amaçlı örnekleme yöntemlerinden ölçüt ve uygun durum örnekleme yöntemleri birlikte kullanılmıştır.  Araştırmada uzman görüşü alınmış yarı- yapılandırılmış görüşme formu kullanılmış olup, verilerin analizi içerik analizi ile gerçekleştirilmiştir.</w:t>
      </w:r>
    </w:p>
    <w:p w14:paraId="60B62358" w14:textId="77777777" w:rsidR="00E839E1" w:rsidRPr="000A2E75" w:rsidRDefault="00E839E1" w:rsidP="00E839E1">
      <w:pPr>
        <w:spacing w:before="120" w:after="120" w:line="360" w:lineRule="auto"/>
        <w:jc w:val="both"/>
        <w:rPr>
          <w:rFonts w:ascii="Times New Roman" w:hAnsi="Times New Roman" w:cs="Times New Roman"/>
          <w:b/>
        </w:rPr>
      </w:pPr>
      <w:r w:rsidRPr="000A2E75">
        <w:rPr>
          <w:rFonts w:ascii="Times New Roman" w:hAnsi="Times New Roman" w:cs="Times New Roman"/>
          <w:b/>
        </w:rPr>
        <w:t>Çalışma Grubu</w:t>
      </w:r>
    </w:p>
    <w:p w14:paraId="4676CA19"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 xml:space="preserve">Milli eğitim bakanlığına bağlı kamu okullarında görev yapan 16 okul yöneticisi araştırmanın çalışma grubunu oluşturmaktadır. Örneklem amaçlı örnekleme yöntemlerinden ölçüt ve uygun durum örnekleme yöntemleri ile belirlenmiştir. Araştırmacının kendi gözlemlerinden yola çıkarak araştırma problemine uygun olduğu düşündüğü kişilerden veri toplamak için katılımcı belirlemesi uygun durum örneklemesidir (Gürbüz ve Şahin, 2018).  Araştırmada problem durumuna göre katılımcıların belli özelliklere sahip olması gerektiğinde, özellikleri karşılayan katılımcıların yer alması ölçüt örneklemedir (Büyüköztürk, Kılıç Çakmak, Akgün, Karadeniz ve Demirel, 2020).   Dolayısıyla bu çalışmada, anaokulu, ilkokul, ortaokul ve lisede okul yöneticileri ölçüt olarak belirlenerek ölçüt örneklemeden ve araştırmacılara çabukluk ve kolaylık sağlaması açısından uygun durum örneklemesinden yararlanılmıştır. </w:t>
      </w:r>
    </w:p>
    <w:p w14:paraId="563406D5" w14:textId="77777777" w:rsidR="00E839E1" w:rsidRPr="000A2E75" w:rsidRDefault="00E839E1" w:rsidP="00E839E1">
      <w:pPr>
        <w:spacing w:before="120" w:after="120" w:line="360" w:lineRule="auto"/>
        <w:jc w:val="both"/>
        <w:rPr>
          <w:rFonts w:ascii="Times New Roman" w:hAnsi="Times New Roman" w:cs="Times New Roman"/>
        </w:rPr>
      </w:pPr>
    </w:p>
    <w:p w14:paraId="24F70CD8" w14:textId="77777777" w:rsidR="00E839E1" w:rsidRPr="000A2E75" w:rsidRDefault="00E839E1" w:rsidP="00E839E1">
      <w:pPr>
        <w:spacing w:before="120" w:after="120" w:line="360" w:lineRule="auto"/>
        <w:jc w:val="both"/>
        <w:rPr>
          <w:rFonts w:ascii="Times New Roman" w:hAnsi="Times New Roman" w:cs="Times New Roman"/>
          <w:b/>
        </w:rPr>
      </w:pPr>
      <w:r w:rsidRPr="000A2E75">
        <w:rPr>
          <w:rFonts w:ascii="Times New Roman" w:hAnsi="Times New Roman" w:cs="Times New Roman"/>
          <w:b/>
        </w:rPr>
        <w:t>Veri Toplama Aracı</w:t>
      </w:r>
    </w:p>
    <w:p w14:paraId="34B490CA"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 xml:space="preserve">Araştırmanın verileri, yarı yapılandırılmış görüşme formu ile toplanmıştır. Görüşme soruları oluşturulurken alanyazın taraması yapılmış ancak COVİD-19 salgınında uzaktan eğitim sürecinde okul yöneticilerinin kaygıları üzerine bir çalışmaya rastlanmamıştır. Araştırmacılar tarafından görüşme formundaki sorular 2 okul yöneticisi ve 3 öğretim elemanının görüşleri alınarak hazırlanmıştır. </w:t>
      </w:r>
      <w:r w:rsidRPr="000A2E75">
        <w:rPr>
          <w:rFonts w:ascii="Times New Roman" w:hAnsi="Times New Roman" w:cs="Times New Roman"/>
        </w:rPr>
        <w:lastRenderedPageBreak/>
        <w:t xml:space="preserve">Araştırmanın çalışma grubu ile görüşmeler yapılmış ve veriler toplanmıştır. Yapılan görüşmeler sesli ve görüntülü görüşmeler şeklinde gerçekleştirilerek ses kayıt cihazı ile kayıt altına alınmıştır. Katılımcıların az bir kısmı ses kayıt cihazının kullanılacak olmasından dolayı görüşmeyi kabul etmemiş ve mail aracılığıyla formu cevaplayacağını belirmiştir. Mail ile toplanan veriler için sonradan katılımcılarla kısa görüşmeler yapılmış ve eklemek istedikleri bir şeyin olup olmadığı sorularak görüşmeler sonlandırılmıştır. </w:t>
      </w:r>
    </w:p>
    <w:p w14:paraId="0E235274"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b/>
        </w:rPr>
        <w:t>Verilerin Analizi</w:t>
      </w:r>
      <w:r w:rsidRPr="000A2E75">
        <w:rPr>
          <w:rFonts w:ascii="Times New Roman" w:hAnsi="Times New Roman" w:cs="Times New Roman"/>
        </w:rPr>
        <w:t xml:space="preserve"> </w:t>
      </w:r>
    </w:p>
    <w:p w14:paraId="7C1EE109"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Elde edilen verilerin analizinde içerik analiz tekniği kullanılmıştır. İçerik analizinde önceden belirgin olmayan temalar ve boyutlar ortaya çıkarılmaya çalışılır (Yin, 2016). Kodlamalar öncelikle araştırmacılar tarafından birbirinden bağımsız olarak analiz edilmiştir. Analizde öncelikle katılımcıların bir soruya ilişkin verdikleri yanıtların tamamı okunmuştur. Benzer olduğu düşünülen kodlar not edilmiş daha sonra bunlar bir araya getirilmiştir.  Bir araya getirilen kodların özelliklerine göre kodlar temalandırılarak, temalara isimler verilmiştir. Kodlamalar öncelikle araştırmacıların her biri tarafından ayrı ayrı yapılmış, sonra kodlama güvenirliğini artırmak için yapılan kodlamalar ve oluşturulan temalar araştırmacıların bir araya gelmesiyle kontrol edilmiş, farklı görüşler oluştuğunda fikir birliği sağlanmıştır. Her tema kodları ile birlikte tablolaştırılmıştır. Verilerin analiz edilmesiyle ortaya çıkan bulgulara katılımcıların görüşme formundaki sorulara verdikleri yanıtlardan alıntılar yapılmıştır. Katılımcılar OY1, OY2, OY3, ….şeklinde kodlanmıştır.</w:t>
      </w:r>
    </w:p>
    <w:p w14:paraId="47AC1F9D" w14:textId="77777777" w:rsidR="00E839E1" w:rsidRPr="000A2E75" w:rsidRDefault="00E839E1" w:rsidP="00E839E1">
      <w:pPr>
        <w:spacing w:before="120" w:after="120" w:line="360" w:lineRule="auto"/>
        <w:jc w:val="both"/>
        <w:rPr>
          <w:rFonts w:ascii="Times New Roman" w:hAnsi="Times New Roman" w:cs="Times New Roman"/>
          <w:b/>
        </w:rPr>
      </w:pPr>
      <w:r w:rsidRPr="000A2E75">
        <w:rPr>
          <w:rFonts w:ascii="Times New Roman" w:hAnsi="Times New Roman" w:cs="Times New Roman"/>
          <w:b/>
        </w:rPr>
        <w:t>BULGULAR</w:t>
      </w:r>
    </w:p>
    <w:p w14:paraId="3145A1ED"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Bu bölümde COVID-19 pandemi döneminde okul yöneticilerinin yaşadıkları kaygılar içerik analizi sonucunda ortaya çıkan bulgulara yer verilmiştir. Elde edilen bulgular</w:t>
      </w:r>
      <w:r w:rsidRPr="000A2E75">
        <w:rPr>
          <w:rFonts w:ascii="Times New Roman" w:hAnsi="Times New Roman" w:cs="Times New Roman"/>
          <w:color w:val="FF0000"/>
        </w:rPr>
        <w:t xml:space="preserve"> </w:t>
      </w:r>
      <w:r w:rsidRPr="000A2E75">
        <w:rPr>
          <w:rFonts w:ascii="Times New Roman" w:hAnsi="Times New Roman" w:cs="Times New Roman"/>
        </w:rPr>
        <w:t xml:space="preserve">örgütsel, kişisel, çevresel kaygı temalarından oluşmuştur. Ayrıca bulgular sunulurken okul yöneticilerinin görüşleri doğrudan alıntı ile gösterilmiştir. </w:t>
      </w:r>
    </w:p>
    <w:p w14:paraId="5761DD69" w14:textId="77777777" w:rsidR="00E839E1" w:rsidRPr="000A2E75" w:rsidRDefault="00E839E1" w:rsidP="00E839E1">
      <w:pPr>
        <w:jc w:val="both"/>
        <w:rPr>
          <w:rFonts w:ascii="Times New Roman" w:hAnsi="Times New Roman" w:cs="Times New Roman"/>
        </w:rPr>
      </w:pPr>
      <w:r w:rsidRPr="000A2E75">
        <w:rPr>
          <w:rFonts w:ascii="Times New Roman" w:hAnsi="Times New Roman" w:cs="Times New Roman"/>
          <w:noProof/>
          <w:lang w:val="en-US"/>
        </w:rPr>
        <w:lastRenderedPageBreak/>
        <w:drawing>
          <wp:inline distT="0" distB="0" distL="0" distR="0" wp14:anchorId="5176E0EA" wp14:editId="589F3F75">
            <wp:extent cx="6120000" cy="3600000"/>
            <wp:effectExtent l="0" t="0" r="0" b="19685"/>
            <wp:docPr id="255" name="Diyagram 2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4" r:lo="rId405" r:qs="rId406" r:cs="rId407"/>
              </a:graphicData>
            </a:graphic>
          </wp:inline>
        </w:drawing>
      </w:r>
    </w:p>
    <w:p w14:paraId="6077D697" w14:textId="77777777" w:rsidR="00E839E1" w:rsidRPr="000A2E75" w:rsidRDefault="00E839E1" w:rsidP="00E839E1">
      <w:pPr>
        <w:ind w:left="360"/>
        <w:jc w:val="both"/>
        <w:rPr>
          <w:rFonts w:ascii="Times New Roman" w:hAnsi="Times New Roman" w:cs="Times New Roman"/>
          <w:b/>
          <w:color w:val="000000"/>
        </w:rPr>
      </w:pPr>
      <w:r w:rsidRPr="000A2E75">
        <w:rPr>
          <w:rFonts w:ascii="Times New Roman" w:hAnsi="Times New Roman" w:cs="Times New Roman"/>
          <w:b/>
          <w:color w:val="000000"/>
        </w:rPr>
        <w:t>Şekil 1. Kaygı Ağacı</w:t>
      </w:r>
    </w:p>
    <w:p w14:paraId="707049B3" w14:textId="77777777" w:rsidR="00E839E1" w:rsidRPr="000A2E75" w:rsidRDefault="00E839E1" w:rsidP="00E839E1">
      <w:pPr>
        <w:ind w:left="360"/>
        <w:jc w:val="both"/>
        <w:rPr>
          <w:rFonts w:ascii="Times New Roman" w:hAnsi="Times New Roman" w:cs="Times New Roman"/>
          <w:b/>
          <w:color w:val="000000"/>
        </w:rPr>
      </w:pPr>
    </w:p>
    <w:p w14:paraId="1EC858FB"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 xml:space="preserve">Yarı yapılandırılmış görüşme formundan elde edilen cevaplardan oluşan verilerden yöneticileri kaygılandıran durumlar Şekil 1’de Kaygı Ağacında gösterilmiştir. </w:t>
      </w:r>
    </w:p>
    <w:p w14:paraId="070A5FE4" w14:textId="77777777" w:rsidR="00E839E1" w:rsidRPr="000A2E75" w:rsidRDefault="00E839E1" w:rsidP="00E839E1">
      <w:pPr>
        <w:spacing w:before="120" w:after="120" w:line="360" w:lineRule="auto"/>
        <w:jc w:val="both"/>
        <w:rPr>
          <w:rFonts w:ascii="Times New Roman" w:hAnsi="Times New Roman" w:cs="Times New Roman"/>
          <w:color w:val="000000"/>
        </w:rPr>
      </w:pPr>
      <w:r w:rsidRPr="000A2E75">
        <w:rPr>
          <w:rFonts w:ascii="Times New Roman" w:hAnsi="Times New Roman" w:cs="Times New Roman"/>
        </w:rPr>
        <w:t xml:space="preserve"> Yarı yapılandırılmış görüşme formundan elde edilen yanıtlar değerlendirilerek örgütsel kaygılar temasında birleştirilmiştir. </w:t>
      </w:r>
      <w:r w:rsidRPr="000A2E75">
        <w:rPr>
          <w:rFonts w:ascii="Times New Roman" w:hAnsi="Times New Roman" w:cs="Times New Roman"/>
          <w:color w:val="000000"/>
        </w:rPr>
        <w:t>Bu konuda katılımcı görüşlerinden elde edilen bulgular aşağıda Şekil 2’de verilmiştir</w:t>
      </w:r>
    </w:p>
    <w:p w14:paraId="340D64FA" w14:textId="77777777" w:rsidR="00E839E1" w:rsidRPr="000A2E75" w:rsidRDefault="00E839E1" w:rsidP="00E839E1">
      <w:pPr>
        <w:pBdr>
          <w:top w:val="nil"/>
          <w:left w:val="nil"/>
          <w:bottom w:val="nil"/>
          <w:right w:val="nil"/>
          <w:between w:val="nil"/>
        </w:pBdr>
        <w:spacing w:before="120" w:after="120" w:line="360" w:lineRule="auto"/>
        <w:jc w:val="both"/>
        <w:rPr>
          <w:rFonts w:ascii="Times New Roman" w:hAnsi="Times New Roman" w:cs="Times New Roman"/>
          <w:color w:val="000000"/>
        </w:rPr>
      </w:pPr>
    </w:p>
    <w:p w14:paraId="00E798AD" w14:textId="77777777" w:rsidR="00E839E1" w:rsidRPr="000A2E75" w:rsidRDefault="00E839E1" w:rsidP="00E839E1">
      <w:pPr>
        <w:pBdr>
          <w:top w:val="nil"/>
          <w:left w:val="nil"/>
          <w:bottom w:val="nil"/>
          <w:right w:val="nil"/>
          <w:between w:val="nil"/>
        </w:pBdr>
        <w:spacing w:before="120" w:after="120" w:line="360" w:lineRule="auto"/>
        <w:jc w:val="both"/>
        <w:rPr>
          <w:rFonts w:ascii="Times New Roman" w:hAnsi="Times New Roman" w:cs="Times New Roman"/>
          <w:color w:val="000000"/>
        </w:rPr>
      </w:pPr>
    </w:p>
    <w:p w14:paraId="4FD8CDC2" w14:textId="77777777" w:rsidR="00E839E1" w:rsidRPr="000A2E75" w:rsidRDefault="00E839E1" w:rsidP="00E839E1">
      <w:pPr>
        <w:pBdr>
          <w:top w:val="nil"/>
          <w:left w:val="nil"/>
          <w:bottom w:val="nil"/>
          <w:right w:val="nil"/>
          <w:between w:val="nil"/>
        </w:pBdr>
        <w:spacing w:before="120" w:after="120" w:line="360" w:lineRule="auto"/>
        <w:jc w:val="both"/>
        <w:rPr>
          <w:rFonts w:ascii="Times New Roman" w:hAnsi="Times New Roman" w:cs="Times New Roman"/>
          <w:color w:val="000000"/>
        </w:rPr>
      </w:pPr>
      <w:r w:rsidRPr="000A2E75">
        <w:rPr>
          <w:rFonts w:ascii="Times New Roman" w:hAnsi="Times New Roman" w:cs="Times New Roman"/>
          <w:noProof/>
          <w:color w:val="000000"/>
          <w:lang w:val="en-US"/>
        </w:rPr>
        <w:lastRenderedPageBreak/>
        <w:drawing>
          <wp:inline distT="0" distB="0" distL="0" distR="0" wp14:anchorId="70524C29" wp14:editId="2040A6E0">
            <wp:extent cx="5400000" cy="2880000"/>
            <wp:effectExtent l="0" t="0" r="0" b="15875"/>
            <wp:docPr id="256" name="Diyagram 2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9" r:lo="rId410" r:qs="rId411" r:cs="rId412"/>
              </a:graphicData>
            </a:graphic>
          </wp:inline>
        </w:drawing>
      </w:r>
      <w:r w:rsidRPr="000A2E75">
        <w:rPr>
          <w:rFonts w:ascii="Times New Roman" w:hAnsi="Times New Roman" w:cs="Times New Roman"/>
          <w:color w:val="000000"/>
        </w:rPr>
        <w:t>.</w:t>
      </w:r>
    </w:p>
    <w:p w14:paraId="4B5A6C0F" w14:textId="77777777" w:rsidR="00E839E1" w:rsidRPr="000A2E75" w:rsidRDefault="00E839E1" w:rsidP="00E839E1">
      <w:pPr>
        <w:pBdr>
          <w:top w:val="nil"/>
          <w:left w:val="nil"/>
          <w:bottom w:val="nil"/>
          <w:right w:val="nil"/>
          <w:between w:val="nil"/>
        </w:pBdr>
        <w:spacing w:before="120" w:after="120" w:line="360" w:lineRule="auto"/>
        <w:jc w:val="both"/>
        <w:rPr>
          <w:rFonts w:ascii="Times New Roman" w:hAnsi="Times New Roman" w:cs="Times New Roman"/>
          <w:color w:val="000000"/>
        </w:rPr>
      </w:pPr>
      <w:r w:rsidRPr="000A2E75">
        <w:rPr>
          <w:rFonts w:ascii="Times New Roman" w:hAnsi="Times New Roman" w:cs="Times New Roman"/>
          <w:color w:val="000000"/>
        </w:rPr>
        <w:t xml:space="preserve">Şekil 2. Örgütsel kaygı teması ve kodları </w:t>
      </w:r>
    </w:p>
    <w:p w14:paraId="66F065EC" w14:textId="77777777" w:rsidR="00E839E1" w:rsidRPr="000A2E75" w:rsidRDefault="00E839E1" w:rsidP="00E839E1">
      <w:pPr>
        <w:pBdr>
          <w:top w:val="nil"/>
          <w:left w:val="nil"/>
          <w:bottom w:val="nil"/>
          <w:right w:val="nil"/>
          <w:between w:val="nil"/>
        </w:pBdr>
        <w:spacing w:before="120" w:after="120" w:line="360" w:lineRule="auto"/>
        <w:jc w:val="both"/>
        <w:rPr>
          <w:rFonts w:ascii="Times New Roman" w:hAnsi="Times New Roman" w:cs="Times New Roman"/>
          <w:color w:val="000000"/>
        </w:rPr>
      </w:pPr>
    </w:p>
    <w:p w14:paraId="2F82ECD8" w14:textId="77777777" w:rsidR="00E839E1" w:rsidRPr="000A2E75" w:rsidRDefault="00E839E1" w:rsidP="00E839E1">
      <w:pPr>
        <w:pBdr>
          <w:top w:val="nil"/>
          <w:left w:val="nil"/>
          <w:bottom w:val="nil"/>
          <w:right w:val="nil"/>
          <w:between w:val="nil"/>
        </w:pBdr>
        <w:spacing w:before="120" w:after="120" w:line="360" w:lineRule="auto"/>
        <w:jc w:val="both"/>
        <w:rPr>
          <w:rFonts w:ascii="Times New Roman" w:hAnsi="Times New Roman" w:cs="Times New Roman"/>
          <w:color w:val="000000"/>
        </w:rPr>
      </w:pPr>
      <w:r w:rsidRPr="000A2E75">
        <w:rPr>
          <w:rFonts w:ascii="Times New Roman" w:hAnsi="Times New Roman" w:cs="Times New Roman"/>
          <w:color w:val="000000"/>
        </w:rPr>
        <w:t xml:space="preserve">Katılımcılardan COVID-19 pandemi döneminde yaşadıkları kaygılara yönelik düşünceleri alınmıştır. Bu kapsamda ortaya çıkan Şekil 2’de </w:t>
      </w:r>
      <w:r w:rsidRPr="000A2E75">
        <w:rPr>
          <w:rFonts w:ascii="Times New Roman" w:hAnsi="Times New Roman" w:cs="Times New Roman"/>
          <w:i/>
          <w:color w:val="000000"/>
        </w:rPr>
        <w:t>verimlilik, iletişim, amaç, yetki, sorumluluk</w:t>
      </w:r>
      <w:r w:rsidRPr="000A2E75">
        <w:rPr>
          <w:rFonts w:ascii="Times New Roman" w:hAnsi="Times New Roman" w:cs="Times New Roman"/>
          <w:color w:val="000000"/>
        </w:rPr>
        <w:t xml:space="preserve"> ve </w:t>
      </w:r>
      <w:r w:rsidRPr="000A2E75">
        <w:rPr>
          <w:rFonts w:ascii="Times New Roman" w:hAnsi="Times New Roman" w:cs="Times New Roman"/>
          <w:i/>
          <w:color w:val="000000"/>
        </w:rPr>
        <w:t xml:space="preserve">hiyerarşi </w:t>
      </w:r>
      <w:r w:rsidRPr="000A2E75">
        <w:rPr>
          <w:rFonts w:ascii="Times New Roman" w:hAnsi="Times New Roman" w:cs="Times New Roman"/>
          <w:color w:val="000000"/>
        </w:rPr>
        <w:t xml:space="preserve">kodları,  </w:t>
      </w:r>
      <w:r w:rsidRPr="000A2E75">
        <w:rPr>
          <w:rFonts w:ascii="Times New Roman" w:hAnsi="Times New Roman" w:cs="Times New Roman"/>
          <w:i/>
          <w:color w:val="000000"/>
        </w:rPr>
        <w:t>yönetim</w:t>
      </w:r>
      <w:r w:rsidRPr="000A2E75">
        <w:rPr>
          <w:rFonts w:ascii="Times New Roman" w:hAnsi="Times New Roman" w:cs="Times New Roman"/>
          <w:color w:val="000000"/>
        </w:rPr>
        <w:t xml:space="preserve"> ve </w:t>
      </w:r>
      <w:r w:rsidRPr="000A2E75">
        <w:rPr>
          <w:rFonts w:ascii="Times New Roman" w:hAnsi="Times New Roman" w:cs="Times New Roman"/>
          <w:i/>
          <w:color w:val="000000"/>
        </w:rPr>
        <w:t xml:space="preserve">bürokrasi </w:t>
      </w:r>
      <w:r w:rsidRPr="000A2E75">
        <w:rPr>
          <w:rFonts w:ascii="Times New Roman" w:hAnsi="Times New Roman" w:cs="Times New Roman"/>
          <w:color w:val="000000"/>
        </w:rPr>
        <w:t xml:space="preserve">olarak iki kategoride ve </w:t>
      </w:r>
      <w:r w:rsidRPr="000A2E75">
        <w:rPr>
          <w:rFonts w:ascii="Times New Roman" w:hAnsi="Times New Roman" w:cs="Times New Roman"/>
          <w:i/>
          <w:color w:val="000000"/>
        </w:rPr>
        <w:t>örgütsel kaygı</w:t>
      </w:r>
      <w:r w:rsidRPr="000A2E75">
        <w:rPr>
          <w:rFonts w:ascii="Times New Roman" w:hAnsi="Times New Roman" w:cs="Times New Roman"/>
          <w:color w:val="000000"/>
        </w:rPr>
        <w:t xml:space="preserve"> temasında yer almıştır. Bu konudaki bazı katılımcıların bire bir ifadeleri şu şekildedir.</w:t>
      </w:r>
    </w:p>
    <w:p w14:paraId="4CC4F9B4" w14:textId="77777777" w:rsidR="00E839E1" w:rsidRPr="000A2E75" w:rsidRDefault="00E839E1" w:rsidP="00E839E1">
      <w:pPr>
        <w:pBdr>
          <w:top w:val="nil"/>
          <w:left w:val="nil"/>
          <w:bottom w:val="nil"/>
          <w:right w:val="nil"/>
          <w:between w:val="nil"/>
        </w:pBdr>
        <w:ind w:hanging="10"/>
        <w:jc w:val="both"/>
        <w:rPr>
          <w:rFonts w:ascii="Times New Roman" w:hAnsi="Times New Roman" w:cs="Times New Roman"/>
          <w:i/>
          <w:color w:val="000000"/>
        </w:rPr>
      </w:pPr>
    </w:p>
    <w:p w14:paraId="3BAC430F" w14:textId="77777777" w:rsidR="00E839E1" w:rsidRPr="000A2E75" w:rsidRDefault="00E839E1" w:rsidP="00E839E1">
      <w:pPr>
        <w:pBdr>
          <w:top w:val="nil"/>
          <w:left w:val="nil"/>
          <w:bottom w:val="nil"/>
          <w:right w:val="nil"/>
          <w:between w:val="nil"/>
        </w:pBdr>
        <w:ind w:left="1145" w:hanging="11"/>
        <w:jc w:val="both"/>
        <w:rPr>
          <w:rFonts w:ascii="Times New Roman" w:hAnsi="Times New Roman" w:cs="Times New Roman"/>
          <w:i/>
          <w:color w:val="000000"/>
        </w:rPr>
      </w:pPr>
      <w:r w:rsidRPr="000A2E75">
        <w:rPr>
          <w:rFonts w:ascii="Times New Roman" w:hAnsi="Times New Roman" w:cs="Times New Roman"/>
          <w:i/>
          <w:color w:val="000000"/>
        </w:rPr>
        <w:t>Pandemi süreci bir yılı aşkın süredir devam ediyor ve şu günlerde Bilim Kurulun üyelerine göre ülkemizde üçüncü pik dönemi yaşanıyor. Bu dönemin başından beri süreç, özellikle merkez örgütü tarafından uzaktan iletişim kaynakları ile sürdürülmeye çalışılıyor. Bu yöntemin mecburi olarak sürdürüldüğü bu dönemde ister istemez iletişim engelleri karşımıza çıkıyor. Merkez örgütünün planlamalarının sahada uygulanabilmesi için en iyi şekilde rehberlik edilmesi zaten alışılagelmiş bir durumdu. Özellikle yeni projelerin tanıtılması konusunda bu rehberlik en üst seviyede yapılması gereken bir hal alıyordu. Uzaktan iletişim enstrümanları bu anlamda çok da yeterli olamıyor maalesef. Benim adıma kaygı yaratacak durum tam da bu noktada başlıyor (OM12)</w:t>
      </w:r>
    </w:p>
    <w:p w14:paraId="5A957A07" w14:textId="77777777" w:rsidR="00E839E1" w:rsidRPr="000A2E75" w:rsidRDefault="00E839E1" w:rsidP="00E839E1">
      <w:pPr>
        <w:pBdr>
          <w:top w:val="nil"/>
          <w:left w:val="nil"/>
          <w:bottom w:val="nil"/>
          <w:right w:val="nil"/>
          <w:between w:val="nil"/>
        </w:pBdr>
        <w:ind w:left="1145" w:hanging="11"/>
        <w:jc w:val="both"/>
        <w:rPr>
          <w:rFonts w:ascii="Times New Roman" w:hAnsi="Times New Roman" w:cs="Times New Roman"/>
          <w:i/>
          <w:color w:val="000000"/>
        </w:rPr>
      </w:pPr>
    </w:p>
    <w:p w14:paraId="337747BE" w14:textId="77777777" w:rsidR="00E839E1" w:rsidRPr="000A2E75" w:rsidRDefault="00E839E1" w:rsidP="00E839E1">
      <w:pPr>
        <w:pBdr>
          <w:top w:val="nil"/>
          <w:left w:val="nil"/>
          <w:bottom w:val="nil"/>
          <w:right w:val="nil"/>
          <w:between w:val="nil"/>
        </w:pBdr>
        <w:ind w:left="1145" w:hanging="11"/>
        <w:jc w:val="both"/>
        <w:rPr>
          <w:rFonts w:ascii="Times New Roman" w:hAnsi="Times New Roman" w:cs="Times New Roman"/>
          <w:i/>
          <w:color w:val="000000"/>
        </w:rPr>
      </w:pPr>
      <w:r w:rsidRPr="000A2E75">
        <w:rPr>
          <w:rFonts w:ascii="Times New Roman" w:hAnsi="Times New Roman" w:cs="Times New Roman"/>
          <w:i/>
          <w:color w:val="000000"/>
        </w:rPr>
        <w:t>Süreçte amirlerimizle görüşmelerimiz büyük oranda uzaktan oluyor. Yüz yüze iletişimde beden dili kullanımın ön plana çıktığı amir-memur ilişkisini beden dilinden muaf tuttuğunuzda yanlış anlaşılma oranları da yükseliyor. Amirin bu konuda dikkat etmesi gereken husus bence verilen ya da yapılması beklenen işin gerek zaman, gerek, maddi açıdan gerekse de psikolojik açıdan maliyeti hususudur. Bir de süreci her aşamada dikkatle takip edebilmesi de önemli bir etken. Özetle yanlış anlaşılmalar ve işin yapılabilirliğinin denetlenmesi diyebilirim (OM3)</w:t>
      </w:r>
    </w:p>
    <w:p w14:paraId="02081EC4" w14:textId="77777777" w:rsidR="00E839E1" w:rsidRPr="000A2E75" w:rsidRDefault="00E839E1" w:rsidP="00E839E1">
      <w:pPr>
        <w:pBdr>
          <w:top w:val="nil"/>
          <w:left w:val="nil"/>
          <w:bottom w:val="nil"/>
          <w:right w:val="nil"/>
          <w:between w:val="nil"/>
        </w:pBdr>
        <w:ind w:left="1145" w:hanging="11"/>
        <w:jc w:val="both"/>
        <w:rPr>
          <w:rFonts w:ascii="Times New Roman" w:hAnsi="Times New Roman" w:cs="Times New Roman"/>
          <w:color w:val="000000"/>
        </w:rPr>
      </w:pPr>
    </w:p>
    <w:p w14:paraId="0C90F769" w14:textId="77777777" w:rsidR="00E839E1" w:rsidRPr="000A2E75" w:rsidRDefault="00E839E1" w:rsidP="00E839E1">
      <w:pPr>
        <w:pBdr>
          <w:top w:val="nil"/>
          <w:left w:val="nil"/>
          <w:bottom w:val="nil"/>
          <w:right w:val="nil"/>
          <w:between w:val="nil"/>
        </w:pBdr>
        <w:ind w:left="1145" w:hanging="11"/>
        <w:jc w:val="both"/>
        <w:rPr>
          <w:rFonts w:ascii="Times New Roman" w:hAnsi="Times New Roman" w:cs="Times New Roman"/>
          <w:i/>
          <w:color w:val="000000"/>
        </w:rPr>
      </w:pPr>
      <w:r w:rsidRPr="000A2E75">
        <w:rPr>
          <w:rFonts w:ascii="Times New Roman" w:hAnsi="Times New Roman" w:cs="Times New Roman"/>
          <w:i/>
          <w:color w:val="000000"/>
        </w:rPr>
        <w:lastRenderedPageBreak/>
        <w:t>Hastalık burnumuzun ucunda. Özellikle öğretmenlerin henüz aşılanmamış olması beni en çok kaygılandıran durumların başında geliyor (OM2)</w:t>
      </w:r>
    </w:p>
    <w:p w14:paraId="30701F16" w14:textId="77777777" w:rsidR="00E839E1" w:rsidRPr="000A2E75" w:rsidRDefault="00E839E1" w:rsidP="00E839E1">
      <w:pPr>
        <w:pBdr>
          <w:top w:val="nil"/>
          <w:left w:val="nil"/>
          <w:bottom w:val="nil"/>
          <w:right w:val="nil"/>
          <w:between w:val="nil"/>
        </w:pBdr>
        <w:ind w:hanging="10"/>
        <w:jc w:val="both"/>
        <w:rPr>
          <w:rFonts w:ascii="Times New Roman" w:hAnsi="Times New Roman" w:cs="Times New Roman"/>
          <w:i/>
          <w:color w:val="000000"/>
        </w:rPr>
      </w:pPr>
    </w:p>
    <w:p w14:paraId="58655258" w14:textId="77777777" w:rsidR="00E839E1" w:rsidRPr="000A2E75" w:rsidRDefault="00E839E1" w:rsidP="00E839E1">
      <w:pPr>
        <w:pBdr>
          <w:top w:val="nil"/>
          <w:left w:val="nil"/>
          <w:bottom w:val="nil"/>
          <w:right w:val="nil"/>
          <w:between w:val="nil"/>
        </w:pBdr>
        <w:ind w:left="1145" w:hanging="11"/>
        <w:jc w:val="both"/>
        <w:rPr>
          <w:rFonts w:ascii="Times New Roman" w:hAnsi="Times New Roman" w:cs="Times New Roman"/>
          <w:i/>
          <w:color w:val="000000"/>
        </w:rPr>
      </w:pPr>
      <w:r w:rsidRPr="000A2E75">
        <w:rPr>
          <w:rFonts w:ascii="Times New Roman" w:hAnsi="Times New Roman" w:cs="Times New Roman"/>
          <w:i/>
          <w:color w:val="000000"/>
        </w:rPr>
        <w:t>Bürokratik olarak alınan ani kararların ertesi gün uygulanması isteniyor. Bu da biz yöneticiler için kaygı oluşturuyor. Hazırlıklarımızı tamamlamadan okullar hop açılsın. Olmadı kapansın uzaktan eğitime geçilsin. Burada öğretmenlerin programları var, sisteme derslerin tanımlanması var. Bir gecede alınan kararla ertesi gün yeni bir uygulamaya geçiyoruz. Yetki verilmiyor ama sorumluluk verilip nasıl çözersen çöz halindeyiz (OM1)</w:t>
      </w:r>
    </w:p>
    <w:p w14:paraId="4214CFE0" w14:textId="77777777" w:rsidR="00E839E1" w:rsidRPr="000A2E75" w:rsidRDefault="00E839E1" w:rsidP="00E839E1">
      <w:pPr>
        <w:pBdr>
          <w:top w:val="nil"/>
          <w:left w:val="nil"/>
          <w:bottom w:val="nil"/>
          <w:right w:val="nil"/>
          <w:between w:val="nil"/>
        </w:pBdr>
        <w:ind w:left="1145" w:hanging="11"/>
        <w:jc w:val="both"/>
        <w:rPr>
          <w:rFonts w:ascii="Times New Roman" w:hAnsi="Times New Roman" w:cs="Times New Roman"/>
          <w:i/>
          <w:color w:val="000000"/>
        </w:rPr>
      </w:pPr>
    </w:p>
    <w:p w14:paraId="337794B3" w14:textId="77777777" w:rsidR="00E839E1" w:rsidRPr="000A2E75" w:rsidRDefault="00E839E1" w:rsidP="00E839E1">
      <w:pPr>
        <w:pBdr>
          <w:top w:val="nil"/>
          <w:left w:val="nil"/>
          <w:bottom w:val="nil"/>
          <w:right w:val="nil"/>
          <w:between w:val="nil"/>
        </w:pBdr>
        <w:ind w:left="1145" w:hanging="11"/>
        <w:jc w:val="both"/>
        <w:rPr>
          <w:rFonts w:ascii="Times New Roman" w:hAnsi="Times New Roman" w:cs="Times New Roman"/>
          <w:i/>
          <w:color w:val="000000"/>
        </w:rPr>
      </w:pPr>
      <w:r w:rsidRPr="000A2E75">
        <w:rPr>
          <w:rFonts w:ascii="Times New Roman" w:hAnsi="Times New Roman" w:cs="Times New Roman"/>
          <w:i/>
          <w:color w:val="000000"/>
        </w:rPr>
        <w:t>Öğretmenlerle iletişim konusunda endişe duymuyor değilim. Ani alınan bir kararın hemen uygulanması isteniyor. Bir takım bilgiler aniden bir gece içinde toparlanması gerekiyor. Biz öğretmenimize bunu açıklarken haliyle olumsuz duygularını bize iletiyor. Ben de bu konu ile ilgili olarak nasıl söyleyeceğim diye endişe ediyorum açıkçası (OM5).</w:t>
      </w:r>
    </w:p>
    <w:p w14:paraId="0D906615" w14:textId="77777777" w:rsidR="00E839E1" w:rsidRPr="000A2E75" w:rsidRDefault="00E839E1" w:rsidP="00E839E1">
      <w:pPr>
        <w:pBdr>
          <w:top w:val="nil"/>
          <w:left w:val="nil"/>
          <w:bottom w:val="nil"/>
          <w:right w:val="nil"/>
          <w:between w:val="nil"/>
        </w:pBdr>
        <w:ind w:hanging="10"/>
        <w:jc w:val="both"/>
        <w:rPr>
          <w:rFonts w:ascii="Times New Roman" w:hAnsi="Times New Roman" w:cs="Times New Roman"/>
          <w:i/>
          <w:color w:val="000000"/>
        </w:rPr>
      </w:pPr>
    </w:p>
    <w:p w14:paraId="77A8D8F1" w14:textId="77777777" w:rsidR="00E839E1" w:rsidRPr="000A2E75" w:rsidRDefault="00E839E1" w:rsidP="00E839E1">
      <w:pPr>
        <w:spacing w:before="120" w:after="120" w:line="360" w:lineRule="auto"/>
        <w:jc w:val="both"/>
        <w:rPr>
          <w:rFonts w:ascii="Times New Roman" w:hAnsi="Times New Roman" w:cs="Times New Roman"/>
          <w:color w:val="000000"/>
        </w:rPr>
      </w:pPr>
      <w:r w:rsidRPr="000A2E75">
        <w:rPr>
          <w:rFonts w:ascii="Times New Roman" w:hAnsi="Times New Roman" w:cs="Times New Roman"/>
        </w:rPr>
        <w:t xml:space="preserve">Yarı yapılandırılmış görüşme formundan elde edilen yanıtlar değerlendirilerek oluşturulan kişisel kaygı temasına ilişkin </w:t>
      </w:r>
      <w:r w:rsidRPr="000A2E75">
        <w:rPr>
          <w:rFonts w:ascii="Times New Roman" w:hAnsi="Times New Roman" w:cs="Times New Roman"/>
          <w:color w:val="000000"/>
        </w:rPr>
        <w:t>bulgular aşağıda Şekil 3’te verilmiştir</w:t>
      </w:r>
    </w:p>
    <w:p w14:paraId="239780ED" w14:textId="77777777" w:rsidR="00E839E1" w:rsidRPr="000A2E75" w:rsidRDefault="00E839E1" w:rsidP="00E839E1">
      <w:pPr>
        <w:pBdr>
          <w:top w:val="nil"/>
          <w:left w:val="nil"/>
          <w:bottom w:val="nil"/>
          <w:right w:val="nil"/>
          <w:between w:val="nil"/>
        </w:pBdr>
        <w:spacing w:before="120" w:after="120" w:line="360" w:lineRule="auto"/>
        <w:jc w:val="both"/>
        <w:rPr>
          <w:rFonts w:ascii="Times New Roman" w:hAnsi="Times New Roman" w:cs="Times New Roman"/>
          <w:color w:val="FF0000"/>
        </w:rPr>
      </w:pPr>
    </w:p>
    <w:p w14:paraId="0639C2D1" w14:textId="77777777" w:rsidR="00E839E1" w:rsidRPr="000A2E75" w:rsidRDefault="00E839E1" w:rsidP="00E839E1">
      <w:pPr>
        <w:pBdr>
          <w:top w:val="nil"/>
          <w:left w:val="nil"/>
          <w:bottom w:val="nil"/>
          <w:right w:val="nil"/>
          <w:between w:val="nil"/>
        </w:pBdr>
        <w:spacing w:before="120" w:after="120" w:line="360" w:lineRule="auto"/>
        <w:jc w:val="both"/>
        <w:rPr>
          <w:rFonts w:ascii="Times New Roman" w:hAnsi="Times New Roman" w:cs="Times New Roman"/>
          <w:color w:val="FF0000"/>
        </w:rPr>
      </w:pPr>
      <w:r w:rsidRPr="000A2E75">
        <w:rPr>
          <w:rFonts w:ascii="Times New Roman" w:hAnsi="Times New Roman" w:cs="Times New Roman"/>
          <w:noProof/>
          <w:color w:val="FF0000"/>
          <w:lang w:val="en-US"/>
        </w:rPr>
        <w:drawing>
          <wp:inline distT="0" distB="0" distL="0" distR="0" wp14:anchorId="6B4E9B17" wp14:editId="41A0B8A4">
            <wp:extent cx="4610100" cy="1800225"/>
            <wp:effectExtent l="0" t="0" r="0" b="9525"/>
            <wp:docPr id="257" name="Diyagram 25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4" r:lo="rId415" r:qs="rId416" r:cs="rId417"/>
              </a:graphicData>
            </a:graphic>
          </wp:inline>
        </w:drawing>
      </w:r>
    </w:p>
    <w:p w14:paraId="70F380AC" w14:textId="77777777" w:rsidR="00E839E1" w:rsidRPr="000A2E75" w:rsidRDefault="00E839E1" w:rsidP="00E839E1">
      <w:pPr>
        <w:pBdr>
          <w:top w:val="nil"/>
          <w:left w:val="nil"/>
          <w:bottom w:val="nil"/>
          <w:right w:val="nil"/>
          <w:between w:val="nil"/>
        </w:pBdr>
        <w:spacing w:before="120" w:after="120" w:line="360" w:lineRule="auto"/>
        <w:jc w:val="both"/>
        <w:rPr>
          <w:rFonts w:ascii="Times New Roman" w:hAnsi="Times New Roman" w:cs="Times New Roman"/>
          <w:color w:val="000000"/>
        </w:rPr>
      </w:pPr>
      <w:r w:rsidRPr="000A2E75">
        <w:rPr>
          <w:rFonts w:ascii="Times New Roman" w:hAnsi="Times New Roman" w:cs="Times New Roman"/>
          <w:color w:val="000000"/>
        </w:rPr>
        <w:t xml:space="preserve">Şekil 3. Kişisel kaygı teması ve kodları </w:t>
      </w:r>
    </w:p>
    <w:p w14:paraId="489C41E4" w14:textId="77777777" w:rsidR="00E839E1" w:rsidRPr="000A2E75" w:rsidRDefault="00E839E1" w:rsidP="00E839E1">
      <w:pPr>
        <w:pBdr>
          <w:top w:val="nil"/>
          <w:left w:val="nil"/>
          <w:bottom w:val="nil"/>
          <w:right w:val="nil"/>
          <w:between w:val="nil"/>
        </w:pBdr>
        <w:spacing w:before="120" w:after="120" w:line="360" w:lineRule="auto"/>
        <w:jc w:val="both"/>
        <w:rPr>
          <w:rFonts w:ascii="Times New Roman" w:hAnsi="Times New Roman" w:cs="Times New Roman"/>
          <w:color w:val="000000"/>
        </w:rPr>
      </w:pPr>
      <w:r w:rsidRPr="000A2E75">
        <w:rPr>
          <w:rFonts w:ascii="Times New Roman" w:hAnsi="Times New Roman" w:cs="Times New Roman"/>
          <w:color w:val="000000"/>
        </w:rPr>
        <w:t xml:space="preserve">Katılımcılardan COVID-19 pandemi döneminde yaşadıkları kaygılara yönelik düşünceleri alınmıştır. Bu kapsamda Şekil 3’te görüldüğü gibi ortaya çıkan </w:t>
      </w:r>
      <w:r w:rsidRPr="000A2E75">
        <w:rPr>
          <w:rFonts w:ascii="Times New Roman" w:hAnsi="Times New Roman" w:cs="Times New Roman"/>
        </w:rPr>
        <w:t>zaman, sağlık</w:t>
      </w:r>
      <w:r w:rsidRPr="000A2E75">
        <w:rPr>
          <w:rFonts w:ascii="Times New Roman" w:hAnsi="Times New Roman" w:cs="Times New Roman"/>
          <w:color w:val="000000"/>
        </w:rPr>
        <w:t xml:space="preserve">, </w:t>
      </w:r>
      <w:r w:rsidRPr="000A2E75">
        <w:rPr>
          <w:rFonts w:ascii="Times New Roman" w:hAnsi="Times New Roman" w:cs="Times New Roman"/>
          <w:i/>
          <w:color w:val="000000"/>
        </w:rPr>
        <w:t>aile</w:t>
      </w:r>
      <w:r w:rsidRPr="000A2E75">
        <w:rPr>
          <w:rFonts w:ascii="Times New Roman" w:hAnsi="Times New Roman" w:cs="Times New Roman"/>
          <w:color w:val="000000"/>
        </w:rPr>
        <w:t xml:space="preserve"> ve </w:t>
      </w:r>
      <w:r w:rsidRPr="000A2E75">
        <w:rPr>
          <w:rFonts w:ascii="Times New Roman" w:hAnsi="Times New Roman" w:cs="Times New Roman"/>
          <w:i/>
          <w:color w:val="000000"/>
        </w:rPr>
        <w:t>iletişim</w:t>
      </w:r>
      <w:r w:rsidRPr="000A2E75">
        <w:rPr>
          <w:rFonts w:ascii="Times New Roman" w:hAnsi="Times New Roman" w:cs="Times New Roman"/>
          <w:color w:val="000000"/>
        </w:rPr>
        <w:t xml:space="preserve"> kodları kişisel </w:t>
      </w:r>
      <w:r w:rsidRPr="000A2E75">
        <w:rPr>
          <w:rFonts w:ascii="Times New Roman" w:hAnsi="Times New Roman" w:cs="Times New Roman"/>
          <w:i/>
          <w:color w:val="000000"/>
        </w:rPr>
        <w:t>kaygı</w:t>
      </w:r>
      <w:r w:rsidRPr="000A2E75">
        <w:rPr>
          <w:rFonts w:ascii="Times New Roman" w:hAnsi="Times New Roman" w:cs="Times New Roman"/>
          <w:color w:val="000000"/>
        </w:rPr>
        <w:t xml:space="preserve"> temasında yer almıştır. Bu konudaki bazı katılımcıların bire bir ifadeleri şu şekildedir.</w:t>
      </w:r>
    </w:p>
    <w:p w14:paraId="2D98A7F6" w14:textId="77777777" w:rsidR="00E839E1" w:rsidRPr="000A2E75" w:rsidRDefault="00E839E1" w:rsidP="00E839E1">
      <w:pPr>
        <w:pBdr>
          <w:top w:val="nil"/>
          <w:left w:val="nil"/>
          <w:bottom w:val="nil"/>
          <w:right w:val="nil"/>
          <w:between w:val="nil"/>
        </w:pBdr>
        <w:jc w:val="both"/>
        <w:rPr>
          <w:rFonts w:ascii="Times New Roman" w:hAnsi="Times New Roman" w:cs="Times New Roman"/>
          <w:color w:val="000000"/>
        </w:rPr>
      </w:pPr>
    </w:p>
    <w:p w14:paraId="547063EE" w14:textId="77777777" w:rsidR="00E839E1" w:rsidRPr="000A2E75" w:rsidRDefault="00E839E1" w:rsidP="00E839E1">
      <w:pPr>
        <w:pBdr>
          <w:top w:val="nil"/>
          <w:left w:val="nil"/>
          <w:bottom w:val="nil"/>
          <w:right w:val="nil"/>
          <w:between w:val="nil"/>
        </w:pBdr>
        <w:ind w:left="1440"/>
        <w:jc w:val="both"/>
        <w:rPr>
          <w:rFonts w:ascii="Times New Roman" w:hAnsi="Times New Roman" w:cs="Times New Roman"/>
          <w:color w:val="000000"/>
        </w:rPr>
      </w:pPr>
      <w:r w:rsidRPr="000A2E75">
        <w:rPr>
          <w:rFonts w:ascii="Times New Roman" w:hAnsi="Times New Roman" w:cs="Times New Roman"/>
          <w:i/>
          <w:color w:val="000000"/>
        </w:rPr>
        <w:t>Bir araya gelmelerde meydana gelen sosyal mesafe ya da kısıtlamalar insanları birbirlerine uzaklaştırmaya başladı. Bu da Yine iletişim problemlerini ortaya çıkarabilir (OM12)</w:t>
      </w:r>
      <w:r w:rsidRPr="000A2E75">
        <w:rPr>
          <w:rFonts w:ascii="Times New Roman" w:hAnsi="Times New Roman" w:cs="Times New Roman"/>
          <w:color w:val="000000"/>
        </w:rPr>
        <w:t>.</w:t>
      </w:r>
    </w:p>
    <w:p w14:paraId="76B679F3" w14:textId="77777777" w:rsidR="00E839E1" w:rsidRPr="000A2E75" w:rsidRDefault="00E839E1" w:rsidP="00E839E1">
      <w:pPr>
        <w:pBdr>
          <w:top w:val="nil"/>
          <w:left w:val="nil"/>
          <w:bottom w:val="nil"/>
          <w:right w:val="nil"/>
          <w:between w:val="nil"/>
        </w:pBdr>
        <w:ind w:left="1440"/>
        <w:jc w:val="both"/>
        <w:rPr>
          <w:rFonts w:ascii="Times New Roman" w:hAnsi="Times New Roman" w:cs="Times New Roman"/>
          <w:i/>
          <w:color w:val="000000"/>
        </w:rPr>
      </w:pPr>
      <w:r w:rsidRPr="000A2E75">
        <w:rPr>
          <w:rFonts w:ascii="Times New Roman" w:hAnsi="Times New Roman" w:cs="Times New Roman"/>
          <w:i/>
          <w:color w:val="000000"/>
        </w:rPr>
        <w:t>Ailemin sağlığı çocuklarım beni kaygılandırıyor açıkçası. Eşim öğretmen ve  ben de okul müdürüyüm. Hem eşim ve çocuklarıma taşıyıcı olur muyum acaba diye çoğu zaman kaygılıyım. Biz sonuçta uzaktan eğitim de olsa okula geliyoruz. İnsanlarla temas ediyoruz (OM2).</w:t>
      </w:r>
    </w:p>
    <w:p w14:paraId="51714CF9" w14:textId="77777777" w:rsidR="00E839E1" w:rsidRPr="000A2E75" w:rsidRDefault="00E839E1" w:rsidP="00E839E1">
      <w:pPr>
        <w:pBdr>
          <w:top w:val="nil"/>
          <w:left w:val="nil"/>
          <w:bottom w:val="nil"/>
          <w:right w:val="nil"/>
          <w:between w:val="nil"/>
        </w:pBdr>
        <w:ind w:leftChars="1134" w:left="2495"/>
        <w:jc w:val="both"/>
        <w:rPr>
          <w:rFonts w:ascii="Times New Roman" w:hAnsi="Times New Roman" w:cs="Times New Roman"/>
          <w:i/>
          <w:color w:val="000000"/>
        </w:rPr>
      </w:pPr>
    </w:p>
    <w:p w14:paraId="02A2C34E" w14:textId="77777777" w:rsidR="00E839E1" w:rsidRPr="000A2E75" w:rsidRDefault="00E839E1" w:rsidP="00E839E1">
      <w:pPr>
        <w:pBdr>
          <w:top w:val="nil"/>
          <w:left w:val="nil"/>
          <w:bottom w:val="nil"/>
          <w:right w:val="nil"/>
          <w:between w:val="nil"/>
        </w:pBdr>
        <w:ind w:left="1440"/>
        <w:jc w:val="both"/>
        <w:rPr>
          <w:rFonts w:ascii="Times New Roman" w:hAnsi="Times New Roman" w:cs="Times New Roman"/>
          <w:i/>
          <w:color w:val="000000"/>
        </w:rPr>
      </w:pPr>
      <w:r w:rsidRPr="000A2E75">
        <w:rPr>
          <w:rFonts w:ascii="Times New Roman" w:hAnsi="Times New Roman" w:cs="Times New Roman"/>
          <w:i/>
          <w:color w:val="000000"/>
        </w:rPr>
        <w:t xml:space="preserve">Bu süreçte arkadaşlarımla olan yüz yüze sosyal yaşantımı neredeyse askıya aldım diyebilirim. Daha çok uzaktan iletişim araçları ile haberleşmeyi tercih ediyorum (OM4) . </w:t>
      </w:r>
    </w:p>
    <w:p w14:paraId="392B2874" w14:textId="77777777" w:rsidR="00E839E1" w:rsidRPr="000A2E75" w:rsidRDefault="00E839E1" w:rsidP="00E839E1">
      <w:pPr>
        <w:pBdr>
          <w:top w:val="nil"/>
          <w:left w:val="nil"/>
          <w:bottom w:val="nil"/>
          <w:right w:val="nil"/>
          <w:between w:val="nil"/>
        </w:pBdr>
        <w:jc w:val="both"/>
        <w:rPr>
          <w:rFonts w:ascii="Times New Roman" w:hAnsi="Times New Roman" w:cs="Times New Roman"/>
          <w:color w:val="000000"/>
        </w:rPr>
      </w:pPr>
    </w:p>
    <w:p w14:paraId="47BBCEEC" w14:textId="77777777" w:rsidR="00E839E1" w:rsidRPr="000A2E75" w:rsidRDefault="00E839E1" w:rsidP="00E839E1">
      <w:pPr>
        <w:spacing w:before="120" w:after="120" w:line="360" w:lineRule="auto"/>
        <w:jc w:val="both"/>
        <w:rPr>
          <w:rFonts w:ascii="Times New Roman" w:hAnsi="Times New Roman" w:cs="Times New Roman"/>
          <w:color w:val="000000"/>
        </w:rPr>
      </w:pPr>
      <w:r w:rsidRPr="000A2E75">
        <w:rPr>
          <w:rFonts w:ascii="Times New Roman" w:hAnsi="Times New Roman" w:cs="Times New Roman"/>
        </w:rPr>
        <w:t xml:space="preserve">Yarı yapılandırılmış görüşme formundan elde edilen yanıtlar değerlendirilerek oluşturulan çevresel kaygı temasına ilişkin </w:t>
      </w:r>
      <w:r w:rsidRPr="000A2E75">
        <w:rPr>
          <w:rFonts w:ascii="Times New Roman" w:hAnsi="Times New Roman" w:cs="Times New Roman"/>
          <w:color w:val="000000"/>
        </w:rPr>
        <w:t>bulgular aşağıda Şekil 4 ’te verilmiştir</w:t>
      </w:r>
    </w:p>
    <w:p w14:paraId="0AFE09FB" w14:textId="77777777" w:rsidR="00E839E1" w:rsidRPr="000A2E75" w:rsidRDefault="00E839E1" w:rsidP="00E839E1">
      <w:pPr>
        <w:jc w:val="both"/>
        <w:rPr>
          <w:rFonts w:ascii="Times New Roman" w:hAnsi="Times New Roman" w:cs="Times New Roman"/>
          <w:b/>
        </w:rPr>
      </w:pPr>
    </w:p>
    <w:p w14:paraId="4ED19848" w14:textId="77777777" w:rsidR="00E839E1" w:rsidRPr="000A2E75" w:rsidRDefault="00E839E1" w:rsidP="00E839E1">
      <w:pPr>
        <w:jc w:val="both"/>
        <w:rPr>
          <w:rFonts w:ascii="Times New Roman" w:hAnsi="Times New Roman" w:cs="Times New Roman"/>
          <w:b/>
        </w:rPr>
      </w:pPr>
      <w:r w:rsidRPr="000A2E75">
        <w:rPr>
          <w:rFonts w:ascii="Times New Roman" w:hAnsi="Times New Roman" w:cs="Times New Roman"/>
          <w:b/>
          <w:noProof/>
          <w:lang w:val="en-US"/>
        </w:rPr>
        <w:drawing>
          <wp:inline distT="0" distB="0" distL="0" distR="0" wp14:anchorId="4DD84C03" wp14:editId="7DE8E029">
            <wp:extent cx="4876800" cy="3600000"/>
            <wp:effectExtent l="0" t="0" r="0" b="57785"/>
            <wp:docPr id="258" name="Diyagram 25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9" r:lo="rId420" r:qs="rId421" r:cs="rId422"/>
              </a:graphicData>
            </a:graphic>
          </wp:inline>
        </w:drawing>
      </w:r>
    </w:p>
    <w:p w14:paraId="59CBE18A" w14:textId="77777777" w:rsidR="00E839E1" w:rsidRPr="000A2E75" w:rsidRDefault="00E839E1" w:rsidP="00E839E1">
      <w:pPr>
        <w:pBdr>
          <w:top w:val="nil"/>
          <w:left w:val="nil"/>
          <w:bottom w:val="nil"/>
          <w:right w:val="nil"/>
          <w:between w:val="nil"/>
        </w:pBdr>
        <w:jc w:val="both"/>
        <w:rPr>
          <w:rFonts w:ascii="Times New Roman" w:hAnsi="Times New Roman" w:cs="Times New Roman"/>
          <w:color w:val="000000"/>
        </w:rPr>
      </w:pPr>
      <w:r w:rsidRPr="000A2E75">
        <w:rPr>
          <w:rFonts w:ascii="Times New Roman" w:hAnsi="Times New Roman" w:cs="Times New Roman"/>
          <w:color w:val="000000"/>
        </w:rPr>
        <w:t xml:space="preserve">Şekil 4. Çevresel kaygı teması ve kodları </w:t>
      </w:r>
    </w:p>
    <w:p w14:paraId="7D984DBC" w14:textId="77777777" w:rsidR="00E839E1" w:rsidRPr="000A2E75" w:rsidRDefault="00E839E1" w:rsidP="00E839E1">
      <w:pPr>
        <w:spacing w:before="120" w:after="120" w:line="480" w:lineRule="auto"/>
        <w:jc w:val="both"/>
        <w:rPr>
          <w:rFonts w:ascii="Times New Roman" w:hAnsi="Times New Roman" w:cs="Times New Roman"/>
          <w:color w:val="000000"/>
        </w:rPr>
      </w:pPr>
      <w:r w:rsidRPr="000A2E75">
        <w:rPr>
          <w:rFonts w:ascii="Times New Roman" w:hAnsi="Times New Roman" w:cs="Times New Roman"/>
          <w:color w:val="000000"/>
        </w:rPr>
        <w:t xml:space="preserve">Katılımcılardan COVID-19 pandemi döneminde yaşadıkları kaygılara yönelik düşünceleri alınmıştır. Bu kapsamda Şekil 4’te görüldüğü gibi </w:t>
      </w:r>
      <w:r w:rsidRPr="000A2E75">
        <w:rPr>
          <w:rFonts w:ascii="Times New Roman" w:hAnsi="Times New Roman" w:cs="Times New Roman"/>
          <w:i/>
          <w:color w:val="000000"/>
        </w:rPr>
        <w:t>ortaya iletişim, özensizlik, ilgisizlik, sağlık, öğrenme kaybı, eğitimden uzaklaşma, hastalığın seyri, okulların durumu</w:t>
      </w:r>
      <w:r w:rsidRPr="000A2E75">
        <w:rPr>
          <w:rFonts w:ascii="Times New Roman" w:hAnsi="Times New Roman" w:cs="Times New Roman"/>
          <w:color w:val="000000"/>
        </w:rPr>
        <w:t xml:space="preserve"> ve </w:t>
      </w:r>
      <w:r w:rsidRPr="000A2E75">
        <w:rPr>
          <w:rFonts w:ascii="Times New Roman" w:hAnsi="Times New Roman" w:cs="Times New Roman"/>
          <w:i/>
          <w:color w:val="000000"/>
        </w:rPr>
        <w:t>sosyal yaşam</w:t>
      </w:r>
      <w:r w:rsidRPr="000A2E75">
        <w:rPr>
          <w:rFonts w:ascii="Times New Roman" w:hAnsi="Times New Roman" w:cs="Times New Roman"/>
          <w:color w:val="000000"/>
        </w:rPr>
        <w:t xml:space="preserve"> kodları çıkmış bu kodlar </w:t>
      </w:r>
      <w:r w:rsidRPr="000A2E75">
        <w:rPr>
          <w:rFonts w:ascii="Times New Roman" w:hAnsi="Times New Roman" w:cs="Times New Roman"/>
          <w:i/>
          <w:color w:val="000000"/>
        </w:rPr>
        <w:t>veli, öğrenci, belirsizlik</w:t>
      </w:r>
      <w:r w:rsidRPr="000A2E75">
        <w:rPr>
          <w:rFonts w:ascii="Times New Roman" w:hAnsi="Times New Roman" w:cs="Times New Roman"/>
          <w:color w:val="000000"/>
        </w:rPr>
        <w:t xml:space="preserve"> kategorileri ile </w:t>
      </w:r>
      <w:r w:rsidRPr="000A2E75">
        <w:rPr>
          <w:rFonts w:ascii="Times New Roman" w:hAnsi="Times New Roman" w:cs="Times New Roman"/>
          <w:i/>
          <w:color w:val="000000"/>
        </w:rPr>
        <w:t>çevresel kaygı</w:t>
      </w:r>
      <w:r w:rsidRPr="000A2E75">
        <w:rPr>
          <w:rFonts w:ascii="Times New Roman" w:hAnsi="Times New Roman" w:cs="Times New Roman"/>
          <w:color w:val="000000"/>
        </w:rPr>
        <w:t xml:space="preserve"> temasında yer almıştır. Bu konudaki bazı katılımcıların bire bir ifadeleri şu şekildedir. </w:t>
      </w:r>
    </w:p>
    <w:p w14:paraId="56EB26FF" w14:textId="77777777" w:rsidR="00E839E1" w:rsidRPr="000A2E75" w:rsidRDefault="00E839E1" w:rsidP="00E839E1">
      <w:pPr>
        <w:ind w:left="1440"/>
        <w:jc w:val="both"/>
        <w:rPr>
          <w:rFonts w:ascii="Times New Roman" w:hAnsi="Times New Roman" w:cs="Times New Roman"/>
          <w:i/>
          <w:color w:val="000000"/>
        </w:rPr>
      </w:pPr>
      <w:r w:rsidRPr="000A2E75">
        <w:rPr>
          <w:rFonts w:ascii="Times New Roman" w:hAnsi="Times New Roman" w:cs="Times New Roman"/>
          <w:i/>
          <w:color w:val="000000"/>
        </w:rPr>
        <w:t xml:space="preserve">Öğrenciler ve veliler beni kaygılandırıyor açıkçası. Velilerin sürekli araması okul açıldı mı? Kapandı mı? diye daha bize haber gelmeden aramaları ve ne diyeceğimizi bilmemek, belirsizlik içinde olmak kaygımı arttırıyor (OM1). </w:t>
      </w:r>
    </w:p>
    <w:p w14:paraId="1643EEAA" w14:textId="77777777" w:rsidR="00E839E1" w:rsidRPr="000A2E75" w:rsidRDefault="00E839E1" w:rsidP="00E839E1">
      <w:pPr>
        <w:ind w:left="1440"/>
        <w:jc w:val="both"/>
        <w:rPr>
          <w:rFonts w:ascii="Times New Roman" w:hAnsi="Times New Roman" w:cs="Times New Roman"/>
          <w:i/>
          <w:color w:val="000000"/>
        </w:rPr>
      </w:pPr>
      <w:r w:rsidRPr="000A2E75">
        <w:rPr>
          <w:rFonts w:ascii="Times New Roman" w:hAnsi="Times New Roman" w:cs="Times New Roman"/>
          <w:i/>
          <w:color w:val="000000"/>
        </w:rPr>
        <w:t xml:space="preserve">Bu süreçte öğrencilerin öğrenme kayıpları yaşaması, özellikle sosyoekonomik düzeyi düşük ailelerin çocukları konusunda endişe duyuyorum. Annesinin, babasının durumu </w:t>
      </w:r>
      <w:r w:rsidRPr="000A2E75">
        <w:rPr>
          <w:rFonts w:ascii="Times New Roman" w:hAnsi="Times New Roman" w:cs="Times New Roman"/>
          <w:i/>
          <w:color w:val="000000"/>
        </w:rPr>
        <w:lastRenderedPageBreak/>
        <w:t xml:space="preserve">iyi olan öğrenci bir şekilde öğrenme kayıplarını giderir. Özel ders alır, telafi eder. Ancak bunu telafi edemeyecek çok sayıda öğrencimiz var(OM12). </w:t>
      </w:r>
    </w:p>
    <w:p w14:paraId="4727A40F" w14:textId="77777777" w:rsidR="00E839E1" w:rsidRPr="000A2E75" w:rsidRDefault="00E839E1" w:rsidP="00E839E1">
      <w:pPr>
        <w:ind w:left="1440"/>
        <w:jc w:val="both"/>
        <w:rPr>
          <w:rFonts w:ascii="Times New Roman" w:hAnsi="Times New Roman" w:cs="Times New Roman"/>
          <w:i/>
          <w:color w:val="000000"/>
        </w:rPr>
      </w:pPr>
      <w:r w:rsidRPr="000A2E75">
        <w:rPr>
          <w:rFonts w:ascii="Times New Roman" w:hAnsi="Times New Roman" w:cs="Times New Roman"/>
          <w:i/>
          <w:color w:val="000000" w:themeColor="text1"/>
        </w:rPr>
        <w:t>Bu süreçte son sınıflar için çok kaygılıyım açıkçası, öğrencilerimiz bir yerden virüs aldıklarında hem kendileri, hem de öğretmenlere yayacaklar diye (OM2)</w:t>
      </w:r>
      <w:r w:rsidRPr="000A2E75">
        <w:rPr>
          <w:rFonts w:ascii="Times New Roman" w:hAnsi="Times New Roman" w:cs="Times New Roman"/>
          <w:color w:val="FF0000"/>
        </w:rPr>
        <w:t xml:space="preserve">. </w:t>
      </w:r>
    </w:p>
    <w:p w14:paraId="56CDA50C" w14:textId="77777777" w:rsidR="00E839E1" w:rsidRPr="000A2E75" w:rsidRDefault="00E839E1" w:rsidP="00E839E1">
      <w:pPr>
        <w:ind w:left="1440"/>
        <w:jc w:val="both"/>
        <w:rPr>
          <w:rFonts w:ascii="Times New Roman" w:hAnsi="Times New Roman" w:cs="Times New Roman"/>
          <w:i/>
          <w:color w:val="000000" w:themeColor="text1"/>
        </w:rPr>
      </w:pPr>
      <w:r w:rsidRPr="000A2E75">
        <w:rPr>
          <w:rFonts w:ascii="Times New Roman" w:hAnsi="Times New Roman" w:cs="Times New Roman"/>
          <w:i/>
          <w:color w:val="000000" w:themeColor="text1"/>
        </w:rPr>
        <w:t xml:space="preserve">Öğrenciler okula karşı çok ilgisiz oldular. Zaten sürekli devam da etmiyorlar. Bizim anaokulu olduğu için tam alıştıkları anda yeniden okul kapanıyor. Sonra alışma süreci baştan tekrar ediyor. Açılıp, kapanıyor. Hayırlısı bakalım (OM4). </w:t>
      </w:r>
    </w:p>
    <w:p w14:paraId="2A418FC8" w14:textId="77777777" w:rsidR="00E839E1" w:rsidRPr="000A2E75" w:rsidRDefault="00E839E1" w:rsidP="00E839E1">
      <w:pPr>
        <w:ind w:left="1440"/>
        <w:jc w:val="both"/>
        <w:rPr>
          <w:rFonts w:ascii="Times New Roman" w:hAnsi="Times New Roman" w:cs="Times New Roman"/>
          <w:i/>
          <w:color w:val="000000" w:themeColor="text1"/>
        </w:rPr>
      </w:pPr>
      <w:r w:rsidRPr="000A2E75">
        <w:rPr>
          <w:rFonts w:ascii="Times New Roman" w:hAnsi="Times New Roman" w:cs="Times New Roman"/>
          <w:i/>
          <w:color w:val="000000" w:themeColor="text1"/>
        </w:rPr>
        <w:t xml:space="preserve">Veliler uzaktan öğretimle yapılan derslere karşı çok ilgisizler. Öğrenciler zaten öğrenme kaybı yaşıyorlar. Veli desteği çok önemli bu noktada. Bilmese bile öğrenci ile ilgilenip ne yaptın, ne işlediniz? Ödevin var mı? diye takip etmiyorlar. Bu beni üzüyor açıkçası. Kayıp bir nesil olacak diye endişeliyim(OM15). </w:t>
      </w:r>
    </w:p>
    <w:p w14:paraId="3035BE01" w14:textId="77777777" w:rsidR="00E839E1" w:rsidRPr="000A2E75" w:rsidRDefault="00E839E1" w:rsidP="00E839E1">
      <w:pPr>
        <w:jc w:val="both"/>
        <w:rPr>
          <w:rFonts w:ascii="Times New Roman" w:hAnsi="Times New Roman" w:cs="Times New Roman"/>
          <w:i/>
          <w:color w:val="000000"/>
        </w:rPr>
      </w:pPr>
    </w:p>
    <w:p w14:paraId="18C6F7BE" w14:textId="77777777" w:rsidR="00E839E1" w:rsidRPr="000A2E75" w:rsidRDefault="00E839E1" w:rsidP="00E839E1">
      <w:pPr>
        <w:jc w:val="both"/>
        <w:rPr>
          <w:rFonts w:ascii="Times New Roman" w:hAnsi="Times New Roman" w:cs="Times New Roman"/>
          <w:i/>
          <w:color w:val="000000"/>
        </w:rPr>
      </w:pPr>
    </w:p>
    <w:p w14:paraId="241B0386" w14:textId="77777777" w:rsidR="00E839E1" w:rsidRPr="000A2E75" w:rsidRDefault="00E839E1" w:rsidP="00E839E1">
      <w:pPr>
        <w:jc w:val="both"/>
        <w:rPr>
          <w:rFonts w:ascii="Times New Roman" w:hAnsi="Times New Roman" w:cs="Times New Roman"/>
          <w:b/>
        </w:rPr>
      </w:pPr>
      <w:r w:rsidRPr="000A2E75">
        <w:rPr>
          <w:rFonts w:ascii="Times New Roman" w:hAnsi="Times New Roman" w:cs="Times New Roman"/>
          <w:b/>
        </w:rPr>
        <w:t>TARTIŞMA</w:t>
      </w:r>
    </w:p>
    <w:p w14:paraId="3B62FACE"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COVID-19 pandemi döneminde okul yöneticilerinin yaşadıkları kaygılar içerik analizi sonucunda ortaya çıkan kişisel, çevresel kaygı temalarından oluşmuştur.</w:t>
      </w:r>
      <w:r w:rsidRPr="000A2E75">
        <w:rPr>
          <w:rFonts w:ascii="Times New Roman" w:hAnsi="Times New Roman" w:cs="Times New Roman"/>
          <w:color w:val="000000"/>
        </w:rPr>
        <w:t xml:space="preserve"> Bu kapsamda ortaya çıkan verimlilik, iletişim, amaç, yetki, sorumluluk ve hiyerarşi kodları,  yönetim ve bürokrasi olarak iki kategoride ve örgütsel kaygı temasında yer almıştır.</w:t>
      </w:r>
      <w:r w:rsidRPr="000A2E75">
        <w:rPr>
          <w:rFonts w:ascii="Times New Roman" w:hAnsi="Times New Roman" w:cs="Times New Roman"/>
        </w:rPr>
        <w:t xml:space="preserve"> Fields and Egley, (2005) tarafından yapılmış olan araştırmada da personeli yönetme güçlüğü konusunda okul yöneticilerinin kaygı yaşadığı sonucuna ulaşılmış olup mevcut araştırma bulguları ile örtüşmektedir. </w:t>
      </w:r>
      <w:r w:rsidRPr="000A2E75">
        <w:rPr>
          <w:rFonts w:ascii="Times New Roman" w:hAnsi="Times New Roman" w:cs="Times New Roman"/>
          <w:color w:val="000000"/>
        </w:rPr>
        <w:t xml:space="preserve"> </w:t>
      </w:r>
      <w:r w:rsidRPr="000A2E75">
        <w:rPr>
          <w:rFonts w:ascii="Times New Roman" w:hAnsi="Times New Roman" w:cs="Times New Roman"/>
        </w:rPr>
        <w:t xml:space="preserve">Bickmore and  Sulentic Dowell’in (2011) çalışmasında da personel davranışlarının kaygı yatatığı bulgusuna ulaşılmıştır. </w:t>
      </w:r>
      <w:r w:rsidRPr="000A2E75">
        <w:rPr>
          <w:rFonts w:ascii="Times New Roman" w:hAnsi="Times New Roman" w:cs="Times New Roman"/>
          <w:color w:val="000000"/>
        </w:rPr>
        <w:t xml:space="preserve">Araştırma kapsamında ortaya çıkan zaman, sağlık, aile ve iletişim kodları kişisel kaygı temasında yer almıştır. </w:t>
      </w:r>
      <w:r w:rsidRPr="000A2E75">
        <w:rPr>
          <w:rFonts w:ascii="Times New Roman" w:hAnsi="Times New Roman" w:cs="Times New Roman"/>
        </w:rPr>
        <w:t xml:space="preserve">Fields and Egley’in (2005) çalışmasında iş yükünün kişisel yaşamları üzerinde olumsuz etkileri yöneticilerde kaygıya neden olan durumlar olarak belirlenmiş olup mevcut araştırma bulgularını desteklemektedir. </w:t>
      </w:r>
      <w:r w:rsidRPr="000A2E75">
        <w:rPr>
          <w:rFonts w:ascii="Times New Roman" w:hAnsi="Times New Roman" w:cs="Times New Roman"/>
          <w:color w:val="000000"/>
        </w:rPr>
        <w:t xml:space="preserve">Araştırma kapsamında ortaya iletişim, özensizlik, ilgisizlik, sağlık, öğrenme kaybı, eğitimden uzaklaşma, hastalığın seyri, okulların durumu ve sosyal yaşam kodları çıkmış bu kodlar veli, öğrenci, belirsizlik kategorileri ile çevresel kaygı temasında yer almıştır. </w:t>
      </w:r>
      <w:r w:rsidRPr="000A2E75">
        <w:rPr>
          <w:rFonts w:ascii="Times New Roman" w:hAnsi="Times New Roman" w:cs="Times New Roman"/>
        </w:rPr>
        <w:t xml:space="preserve">Bickmore and  Sulentic Dowell’in (2011) ulaştığı sonuçta öğrenciler ile ilgili sorunların kaygı oluşturduğu durumlar olarak nitelendirilmiş mevcut araştırma bulgularını desteklemektedir. Fields and Egley’in (2005) çalışmasında veliler ile iletişim müdürleri kaygılandıran durumlar arasında olup mevcut çalışma bulgularını desteklemektedir.  </w:t>
      </w:r>
      <w:r w:rsidRPr="000A2E75">
        <w:rPr>
          <w:rFonts w:ascii="Times New Roman" w:hAnsi="Times New Roman" w:cs="Times New Roman"/>
        </w:rPr>
        <w:br w:type="page"/>
      </w:r>
    </w:p>
    <w:p w14:paraId="5F3C837B" w14:textId="77777777" w:rsidR="00E839E1" w:rsidRPr="000A2E75" w:rsidRDefault="00E839E1" w:rsidP="00E839E1">
      <w:pPr>
        <w:spacing w:before="120" w:after="120" w:line="360" w:lineRule="auto"/>
        <w:jc w:val="both"/>
        <w:rPr>
          <w:rFonts w:ascii="Times New Roman" w:hAnsi="Times New Roman" w:cs="Times New Roman"/>
        </w:rPr>
      </w:pPr>
    </w:p>
    <w:p w14:paraId="2F8CECF0" w14:textId="77777777" w:rsidR="00E839E1" w:rsidRPr="000A2E75" w:rsidRDefault="00E839E1" w:rsidP="00E839E1">
      <w:pPr>
        <w:jc w:val="both"/>
        <w:rPr>
          <w:rFonts w:ascii="Times New Roman" w:hAnsi="Times New Roman" w:cs="Times New Roman"/>
          <w:b/>
        </w:rPr>
      </w:pPr>
      <w:r w:rsidRPr="000A2E75">
        <w:rPr>
          <w:rFonts w:ascii="Times New Roman" w:hAnsi="Times New Roman" w:cs="Times New Roman"/>
          <w:b/>
        </w:rPr>
        <w:t xml:space="preserve">SONUÇ </w:t>
      </w:r>
    </w:p>
    <w:p w14:paraId="4C6A7234" w14:textId="77777777" w:rsidR="00E839E1" w:rsidRPr="000A2E75" w:rsidRDefault="00E839E1" w:rsidP="00E839E1">
      <w:pPr>
        <w:jc w:val="both"/>
        <w:rPr>
          <w:rFonts w:ascii="Times New Roman" w:hAnsi="Times New Roman" w:cs="Times New Roman"/>
        </w:rPr>
      </w:pPr>
      <w:r w:rsidRPr="000A2E75">
        <w:rPr>
          <w:rFonts w:ascii="Times New Roman" w:hAnsi="Times New Roman" w:cs="Times New Roman"/>
        </w:rPr>
        <w:t xml:space="preserve">Araştırmada üç tema belirlenmiştir. Temalar örgütsel; kişisel ve çevresel kaygılar olarak belirlenmiştir. </w:t>
      </w:r>
    </w:p>
    <w:p w14:paraId="2AAC0584" w14:textId="77777777" w:rsidR="00E839E1" w:rsidRPr="000A2E75" w:rsidRDefault="00E839E1" w:rsidP="00E839E1">
      <w:pPr>
        <w:jc w:val="both"/>
        <w:rPr>
          <w:rFonts w:ascii="Times New Roman" w:hAnsi="Times New Roman" w:cs="Times New Roman"/>
        </w:rPr>
      </w:pPr>
      <w:r w:rsidRPr="000A2E75">
        <w:rPr>
          <w:rFonts w:ascii="Times New Roman" w:hAnsi="Times New Roman" w:cs="Times New Roman"/>
        </w:rPr>
        <w:t>Araştırmadan  katılımcıların COVID-19 pandemi döneminde yaşadıkları kaygılara yönelik düşünceleri alınmıştır. Bu kapsamda ortaya çıkan verimlilik, iletişim, amaç, yetki, sorumluluk ve hiyerarşi kodları,  yönetim ve bürokrasi olarak iki kategoride ve örgütsel kaygı temasında yer almıştır.</w:t>
      </w:r>
    </w:p>
    <w:p w14:paraId="245C5D84" w14:textId="77777777" w:rsidR="00E839E1" w:rsidRPr="000A2E75" w:rsidRDefault="00E839E1" w:rsidP="00E839E1">
      <w:pPr>
        <w:jc w:val="both"/>
        <w:rPr>
          <w:rFonts w:ascii="Times New Roman" w:hAnsi="Times New Roman" w:cs="Times New Roman"/>
        </w:rPr>
      </w:pPr>
      <w:r w:rsidRPr="000A2E75">
        <w:rPr>
          <w:rFonts w:ascii="Times New Roman" w:hAnsi="Times New Roman" w:cs="Times New Roman"/>
        </w:rPr>
        <w:t>Araştırma kapsamında zaman, sağlık, aile ve iletişim kodları kişisel kaygı temasında yer almıştır.</w:t>
      </w:r>
    </w:p>
    <w:p w14:paraId="067C4C26" w14:textId="77777777" w:rsidR="00E839E1" w:rsidRPr="000A2E75" w:rsidRDefault="00E839E1" w:rsidP="00E839E1">
      <w:pPr>
        <w:jc w:val="both"/>
        <w:rPr>
          <w:rFonts w:ascii="Times New Roman" w:hAnsi="Times New Roman" w:cs="Times New Roman"/>
        </w:rPr>
      </w:pPr>
      <w:r w:rsidRPr="000A2E75">
        <w:rPr>
          <w:rFonts w:ascii="Times New Roman" w:hAnsi="Times New Roman" w:cs="Times New Roman"/>
        </w:rPr>
        <w:t>Araştırma kapsamında ortaya iletişim, özensizlik, ilgisizlik, sağlık, öğrenme kaybı, eğitimden uzaklaşma, hastalığın seyri, okulların durumu ve sosyal yaşam kodları çıkmış bu kodlar veli, öğrenci, belirsizlik kategorileri ile çevresel kaygı temasında yer almıştır</w:t>
      </w:r>
    </w:p>
    <w:p w14:paraId="6982144F" w14:textId="77777777" w:rsidR="00E839E1" w:rsidRPr="000A2E75" w:rsidRDefault="00E839E1" w:rsidP="00E839E1">
      <w:pPr>
        <w:spacing w:before="120" w:after="120" w:line="360" w:lineRule="auto"/>
        <w:jc w:val="both"/>
        <w:rPr>
          <w:rFonts w:ascii="Times New Roman" w:hAnsi="Times New Roman" w:cs="Times New Roman"/>
          <w:b/>
        </w:rPr>
      </w:pPr>
      <w:r w:rsidRPr="000A2E75">
        <w:rPr>
          <w:rFonts w:ascii="Times New Roman" w:hAnsi="Times New Roman" w:cs="Times New Roman"/>
          <w:b/>
        </w:rPr>
        <w:t xml:space="preserve">ÖNERİLER </w:t>
      </w:r>
    </w:p>
    <w:p w14:paraId="3E5217FB"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 xml:space="preserve">Eğitimin farklı disiplinlerinden uzmanların katılımı ile oluşturulacak bir “Eğitim Bilim Kurulu” oluşturularak eğitim öğretim faaliyetleri ile ilgili karar alması sağlanabilir. </w:t>
      </w:r>
    </w:p>
    <w:p w14:paraId="6E6EC6A2"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Okul yöneticilerinin pandemi döneminde kaygılandıkları durumların araştırıldığı bu çalışmada okul yöneticilerinin mesleki gelişim ihtiyacının desteklenmesi önerilebilir.</w:t>
      </w:r>
    </w:p>
    <w:p w14:paraId="2AC71583"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 xml:space="preserve">Ayrıca elde edilen bulgulara yönelik Merkez Örgütünün aldığı kararların uygulanmasında ortaya çıkan sorunların sorumluluğu okul yöneticilerine bırakılmamalıdır. </w:t>
      </w:r>
    </w:p>
    <w:p w14:paraId="3291025B"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 xml:space="preserve">Pandemi gibi olağan dışı durumlar için bakanlığın acil eylem planları güncellenmelidir. </w:t>
      </w:r>
    </w:p>
    <w:p w14:paraId="001426A4" w14:textId="77777777" w:rsidR="00E839E1" w:rsidRPr="000A2E75" w:rsidRDefault="00E839E1" w:rsidP="00E839E1">
      <w:pPr>
        <w:jc w:val="both"/>
        <w:rPr>
          <w:rFonts w:ascii="Times New Roman" w:hAnsi="Times New Roman" w:cs="Times New Roman"/>
        </w:rPr>
      </w:pPr>
      <w:r w:rsidRPr="000A2E75">
        <w:rPr>
          <w:rFonts w:ascii="Times New Roman" w:hAnsi="Times New Roman" w:cs="Times New Roman"/>
        </w:rPr>
        <w:br w:type="page"/>
      </w:r>
    </w:p>
    <w:p w14:paraId="201B234B" w14:textId="77777777" w:rsidR="00E839E1" w:rsidRPr="000A2E75" w:rsidRDefault="00E839E1" w:rsidP="00E839E1">
      <w:pPr>
        <w:jc w:val="both"/>
        <w:rPr>
          <w:rFonts w:ascii="Times New Roman" w:hAnsi="Times New Roman" w:cs="Times New Roman"/>
        </w:rPr>
      </w:pPr>
    </w:p>
    <w:p w14:paraId="5DA588CC" w14:textId="77777777" w:rsidR="00C95516" w:rsidRPr="000A2E75" w:rsidRDefault="00C95516" w:rsidP="00C95516">
      <w:pPr>
        <w:spacing w:before="120"/>
        <w:ind w:firstLine="567"/>
        <w:jc w:val="both"/>
        <w:rPr>
          <w:rFonts w:ascii="Times New Roman" w:hAnsi="Times New Roman" w:cs="Times New Roman"/>
          <w:b/>
        </w:rPr>
      </w:pPr>
      <w:r>
        <w:rPr>
          <w:rFonts w:ascii="Times New Roman" w:hAnsi="Times New Roman" w:cs="Times New Roman"/>
          <w:b/>
        </w:rPr>
        <w:t>Kaynakça</w:t>
      </w:r>
    </w:p>
    <w:p w14:paraId="5D580FBA" w14:textId="77777777" w:rsidR="00E839E1" w:rsidRPr="000A2E75" w:rsidRDefault="00E839E1" w:rsidP="00E839E1">
      <w:pPr>
        <w:spacing w:before="120" w:after="120" w:line="360" w:lineRule="auto"/>
        <w:ind w:left="720" w:hanging="720"/>
        <w:jc w:val="both"/>
        <w:rPr>
          <w:rFonts w:ascii="Times New Roman" w:hAnsi="Times New Roman" w:cs="Times New Roman"/>
        </w:rPr>
      </w:pPr>
      <w:r w:rsidRPr="000A2E75">
        <w:rPr>
          <w:rFonts w:ascii="Times New Roman" w:hAnsi="Times New Roman" w:cs="Times New Roman"/>
        </w:rPr>
        <w:t xml:space="preserve">Bickmore, D. L.  and  Sulentic Dowell, M.M. (2011). Concerns, use of time, and the ıntersections of leadership: case study of two charter school principals, </w:t>
      </w:r>
      <w:r w:rsidRPr="000A2E75">
        <w:rPr>
          <w:rFonts w:ascii="Times New Roman" w:hAnsi="Times New Roman" w:cs="Times New Roman"/>
          <w:i/>
        </w:rPr>
        <w:t>Research In The Schools Mid-South Educational Research Association</w:t>
      </w:r>
      <w:r w:rsidRPr="000A2E75">
        <w:rPr>
          <w:rFonts w:ascii="Times New Roman" w:hAnsi="Times New Roman" w:cs="Times New Roman"/>
        </w:rPr>
        <w:t>,</w:t>
      </w:r>
      <w:r w:rsidRPr="000A2E75">
        <w:rPr>
          <w:rFonts w:ascii="Times New Roman" w:hAnsi="Times New Roman" w:cs="Times New Roman"/>
          <w:i/>
        </w:rPr>
        <w:t xml:space="preserve"> 18</w:t>
      </w:r>
      <w:r w:rsidRPr="000A2E75">
        <w:rPr>
          <w:rFonts w:ascii="Times New Roman" w:hAnsi="Times New Roman" w:cs="Times New Roman"/>
        </w:rPr>
        <w:t xml:space="preserve">( 1), 44- 61. </w:t>
      </w:r>
    </w:p>
    <w:p w14:paraId="166043DD" w14:textId="77777777" w:rsidR="00E839E1" w:rsidRPr="000A2E75" w:rsidRDefault="00E839E1" w:rsidP="00E839E1">
      <w:pPr>
        <w:spacing w:before="120" w:after="120" w:line="360" w:lineRule="auto"/>
        <w:ind w:left="720" w:hanging="720"/>
        <w:jc w:val="both"/>
        <w:rPr>
          <w:rFonts w:ascii="Times New Roman" w:hAnsi="Times New Roman" w:cs="Times New Roman"/>
        </w:rPr>
      </w:pPr>
      <w:r w:rsidRPr="000A2E75">
        <w:rPr>
          <w:rFonts w:ascii="Times New Roman" w:hAnsi="Times New Roman" w:cs="Times New Roman"/>
        </w:rPr>
        <w:t>Büyüköztürk, Ş., Kılıç Çakmak, E.,  Akgün, Ö. E.,  Karadeniz ve Demirel, Ö. (2020).</w:t>
      </w:r>
      <w:r w:rsidRPr="000A2E75">
        <w:rPr>
          <w:rFonts w:ascii="Times New Roman" w:hAnsi="Times New Roman" w:cs="Times New Roman"/>
          <w:i/>
        </w:rPr>
        <w:t xml:space="preserve"> Eğitimde bilimsel araştırma yöntemleri.</w:t>
      </w:r>
      <w:r w:rsidRPr="000A2E75">
        <w:rPr>
          <w:rFonts w:ascii="Times New Roman" w:hAnsi="Times New Roman" w:cs="Times New Roman"/>
        </w:rPr>
        <w:t xml:space="preserve"> Ankara: Pegem. </w:t>
      </w:r>
    </w:p>
    <w:p w14:paraId="06184157" w14:textId="77777777" w:rsidR="00E839E1" w:rsidRPr="000A2E75" w:rsidRDefault="00E839E1" w:rsidP="00E839E1">
      <w:pPr>
        <w:ind w:left="709" w:hanging="709"/>
        <w:jc w:val="both"/>
        <w:rPr>
          <w:rFonts w:ascii="Times New Roman" w:hAnsi="Times New Roman" w:cs="Times New Roman"/>
        </w:rPr>
      </w:pPr>
      <w:r w:rsidRPr="000A2E75">
        <w:rPr>
          <w:rFonts w:ascii="Times New Roman" w:hAnsi="Times New Roman" w:cs="Times New Roman"/>
        </w:rPr>
        <w:t xml:space="preserve">Ersoy, A. (2018). Fenomenoloji. A. Saban ve A. Ersoy (Ed.). </w:t>
      </w:r>
      <w:r w:rsidRPr="000A2E75">
        <w:rPr>
          <w:rFonts w:ascii="Times New Roman" w:hAnsi="Times New Roman" w:cs="Times New Roman"/>
          <w:i/>
        </w:rPr>
        <w:t xml:space="preserve">Eğitimde Nitel Araştırma Desenleri içinde </w:t>
      </w:r>
      <w:r w:rsidRPr="000A2E75">
        <w:rPr>
          <w:rFonts w:ascii="Times New Roman" w:hAnsi="Times New Roman" w:cs="Times New Roman"/>
        </w:rPr>
        <w:t>(s. 51-110). Ankara: Anı.</w:t>
      </w:r>
    </w:p>
    <w:p w14:paraId="6B8F6817" w14:textId="77777777" w:rsidR="00E839E1" w:rsidRPr="000A2E75" w:rsidRDefault="00E839E1" w:rsidP="00E839E1">
      <w:pPr>
        <w:ind w:left="709" w:hanging="709"/>
        <w:jc w:val="both"/>
        <w:rPr>
          <w:rFonts w:ascii="Times New Roman" w:hAnsi="Times New Roman" w:cs="Times New Roman"/>
        </w:rPr>
      </w:pPr>
      <w:r w:rsidRPr="000A2E75">
        <w:rPr>
          <w:rFonts w:ascii="Times New Roman" w:hAnsi="Times New Roman" w:cs="Times New Roman"/>
        </w:rPr>
        <w:t xml:space="preserve">Fields, L., and Egley, R. (2005). Assistant principals in Florida rank first-year challenges; Study's results highlight areas of need for professional development. </w:t>
      </w:r>
      <w:r w:rsidRPr="000A2E75">
        <w:rPr>
          <w:rFonts w:ascii="Times New Roman" w:hAnsi="Times New Roman" w:cs="Times New Roman"/>
          <w:i/>
        </w:rPr>
        <w:t>ERS Spectrum, 23</w:t>
      </w:r>
      <w:r w:rsidRPr="000A2E75">
        <w:rPr>
          <w:rFonts w:ascii="Times New Roman" w:hAnsi="Times New Roman" w:cs="Times New Roman"/>
        </w:rPr>
        <w:t>(1), 4-10.</w:t>
      </w:r>
    </w:p>
    <w:p w14:paraId="7799311D" w14:textId="77777777" w:rsidR="00E839E1" w:rsidRPr="000A2E75" w:rsidRDefault="00E839E1" w:rsidP="00E839E1">
      <w:pPr>
        <w:ind w:left="709" w:hanging="709"/>
        <w:jc w:val="both"/>
        <w:rPr>
          <w:rFonts w:ascii="Times New Roman" w:hAnsi="Times New Roman" w:cs="Times New Roman"/>
        </w:rPr>
      </w:pPr>
      <w:r w:rsidRPr="000A2E75">
        <w:rPr>
          <w:rFonts w:ascii="Times New Roman" w:hAnsi="Times New Roman" w:cs="Times New Roman"/>
        </w:rPr>
        <w:t xml:space="preserve">Fowler, F. C. (2009). </w:t>
      </w:r>
      <w:r w:rsidRPr="000A2E75">
        <w:rPr>
          <w:rFonts w:ascii="Times New Roman" w:hAnsi="Times New Roman" w:cs="Times New Roman"/>
          <w:i/>
        </w:rPr>
        <w:t>Policy studies for educational leaders</w:t>
      </w:r>
      <w:r w:rsidRPr="000A2E75">
        <w:rPr>
          <w:rFonts w:ascii="Times New Roman" w:hAnsi="Times New Roman" w:cs="Times New Roman"/>
        </w:rPr>
        <w:t>. Boston, MA: Allyn and Bacon.</w:t>
      </w:r>
    </w:p>
    <w:p w14:paraId="4AFE21FE" w14:textId="77777777" w:rsidR="00E839E1" w:rsidRPr="000A2E75" w:rsidRDefault="00E839E1" w:rsidP="00E839E1">
      <w:pPr>
        <w:ind w:left="709" w:hanging="709"/>
        <w:jc w:val="both"/>
        <w:rPr>
          <w:rFonts w:ascii="Times New Roman" w:hAnsi="Times New Roman" w:cs="Times New Roman"/>
        </w:rPr>
      </w:pPr>
      <w:r w:rsidRPr="000A2E75">
        <w:rPr>
          <w:rFonts w:ascii="Times New Roman" w:hAnsi="Times New Roman" w:cs="Times New Roman"/>
        </w:rPr>
        <w:t xml:space="preserve">Gürbüz, S. ve Şahin, F. (2018). </w:t>
      </w:r>
      <w:r w:rsidRPr="000A2E75">
        <w:rPr>
          <w:rFonts w:ascii="Times New Roman" w:hAnsi="Times New Roman" w:cs="Times New Roman"/>
          <w:i/>
        </w:rPr>
        <w:t>Sosyal bilimlerde araştırma yöntemleri.</w:t>
      </w:r>
      <w:r w:rsidRPr="000A2E75">
        <w:rPr>
          <w:rFonts w:ascii="Times New Roman" w:hAnsi="Times New Roman" w:cs="Times New Roman"/>
        </w:rPr>
        <w:t xml:space="preserve"> Ankara: Seçkin.</w:t>
      </w:r>
    </w:p>
    <w:p w14:paraId="126ADBE0" w14:textId="77777777" w:rsidR="00E839E1" w:rsidRPr="000A2E75" w:rsidRDefault="00E839E1" w:rsidP="00E839E1">
      <w:pPr>
        <w:ind w:left="709" w:hanging="709"/>
        <w:jc w:val="both"/>
        <w:rPr>
          <w:rFonts w:ascii="Times New Roman" w:hAnsi="Times New Roman" w:cs="Times New Roman"/>
        </w:rPr>
      </w:pPr>
      <w:r w:rsidRPr="000A2E75">
        <w:rPr>
          <w:rFonts w:ascii="Times New Roman" w:hAnsi="Times New Roman" w:cs="Times New Roman"/>
        </w:rPr>
        <w:t xml:space="preserve">Hallinger, P., and Snidvongs, K. (2008). Educating leaders: Is there anything to learn from business management? </w:t>
      </w:r>
      <w:r w:rsidRPr="000A2E75">
        <w:rPr>
          <w:rFonts w:ascii="Times New Roman" w:hAnsi="Times New Roman" w:cs="Times New Roman"/>
          <w:i/>
        </w:rPr>
        <w:t>Educational Management Administration and Leadership, 36</w:t>
      </w:r>
      <w:r w:rsidRPr="000A2E75">
        <w:rPr>
          <w:rFonts w:ascii="Times New Roman" w:hAnsi="Times New Roman" w:cs="Times New Roman"/>
        </w:rPr>
        <w:t>(1), 9-31.</w:t>
      </w:r>
    </w:p>
    <w:p w14:paraId="2881E89C" w14:textId="77777777" w:rsidR="00E839E1" w:rsidRPr="000A2E75" w:rsidRDefault="00E839E1" w:rsidP="00E839E1">
      <w:pPr>
        <w:ind w:left="709" w:hanging="709"/>
        <w:jc w:val="both"/>
        <w:rPr>
          <w:rFonts w:ascii="Times New Roman" w:hAnsi="Times New Roman" w:cs="Times New Roman"/>
        </w:rPr>
      </w:pPr>
      <w:r w:rsidRPr="000A2E75">
        <w:rPr>
          <w:rFonts w:ascii="Times New Roman" w:hAnsi="Times New Roman" w:cs="Times New Roman"/>
        </w:rPr>
        <w:t xml:space="preserve">Hart, A. W. (1993). </w:t>
      </w:r>
      <w:r w:rsidRPr="000A2E75">
        <w:rPr>
          <w:rFonts w:ascii="Times New Roman" w:hAnsi="Times New Roman" w:cs="Times New Roman"/>
          <w:i/>
        </w:rPr>
        <w:t>Principal succession: Establishing leadership in schools.</w:t>
      </w:r>
      <w:r w:rsidRPr="000A2E75">
        <w:rPr>
          <w:rFonts w:ascii="Times New Roman" w:hAnsi="Times New Roman" w:cs="Times New Roman"/>
        </w:rPr>
        <w:t xml:space="preserve"> New York: State University of New York Press.</w:t>
      </w:r>
    </w:p>
    <w:p w14:paraId="1AC5600C" w14:textId="77777777" w:rsidR="00E839E1" w:rsidRPr="000A2E75" w:rsidRDefault="00E839E1" w:rsidP="00E839E1">
      <w:pPr>
        <w:ind w:left="709" w:hanging="709"/>
        <w:jc w:val="both"/>
        <w:rPr>
          <w:rFonts w:ascii="Times New Roman" w:hAnsi="Times New Roman" w:cs="Times New Roman"/>
        </w:rPr>
      </w:pPr>
      <w:r w:rsidRPr="000A2E75">
        <w:rPr>
          <w:rFonts w:ascii="Times New Roman" w:hAnsi="Times New Roman" w:cs="Times New Roman"/>
        </w:rPr>
        <w:t xml:space="preserve">İraz, R. ve Şimşek, G. (2004). Örgütsel değişimin gerçekleşmesinde liderliğin rolü: tranformasyonel liderlik incelemesi. </w:t>
      </w:r>
      <w:r w:rsidRPr="000A2E75">
        <w:rPr>
          <w:rFonts w:ascii="Times New Roman" w:hAnsi="Times New Roman" w:cs="Times New Roman"/>
          <w:i/>
        </w:rPr>
        <w:t>SÜ İİBF Sosyal ve Ekonomik Araştırmalar Dergisi, 4</w:t>
      </w:r>
      <w:r w:rsidRPr="000A2E75">
        <w:rPr>
          <w:rFonts w:ascii="Times New Roman" w:hAnsi="Times New Roman" w:cs="Times New Roman"/>
        </w:rPr>
        <w:t xml:space="preserve">(7), 99-117. </w:t>
      </w:r>
    </w:p>
    <w:p w14:paraId="210268C1" w14:textId="77777777" w:rsidR="00E839E1" w:rsidRPr="000A2E75" w:rsidRDefault="00E839E1" w:rsidP="00E839E1">
      <w:pPr>
        <w:ind w:left="709" w:hanging="709"/>
        <w:jc w:val="both"/>
        <w:rPr>
          <w:rFonts w:ascii="Times New Roman" w:hAnsi="Times New Roman" w:cs="Times New Roman"/>
        </w:rPr>
      </w:pPr>
      <w:r w:rsidRPr="000A2E75">
        <w:rPr>
          <w:rFonts w:ascii="Times New Roman" w:hAnsi="Times New Roman" w:cs="Times New Roman"/>
        </w:rPr>
        <w:t>Koçak, R. (2009). Okul yöneticilerinin mesleki tükenmişlik düzeylerinin bazı değişkenler açısından incelenmesi</w:t>
      </w:r>
      <w:r w:rsidRPr="000A2E75">
        <w:rPr>
          <w:rFonts w:ascii="Times New Roman" w:hAnsi="Times New Roman" w:cs="Times New Roman"/>
          <w:i/>
        </w:rPr>
        <w:t>. Fırat Üniversitesi Sosyal Bilimler Dergisi, 19</w:t>
      </w:r>
      <w:r w:rsidRPr="000A2E75">
        <w:rPr>
          <w:rFonts w:ascii="Times New Roman" w:hAnsi="Times New Roman" w:cs="Times New Roman"/>
        </w:rPr>
        <w:t>(1), 65-83.</w:t>
      </w:r>
    </w:p>
    <w:p w14:paraId="74797705" w14:textId="77777777" w:rsidR="00E839E1" w:rsidRPr="000A2E75" w:rsidRDefault="00E839E1" w:rsidP="00E839E1">
      <w:pPr>
        <w:ind w:left="709" w:hanging="709"/>
        <w:jc w:val="both"/>
        <w:rPr>
          <w:rFonts w:ascii="Times New Roman" w:hAnsi="Times New Roman" w:cs="Times New Roman"/>
        </w:rPr>
      </w:pPr>
      <w:r w:rsidRPr="000A2E75">
        <w:rPr>
          <w:rFonts w:ascii="Times New Roman" w:hAnsi="Times New Roman" w:cs="Times New Roman"/>
        </w:rPr>
        <w:t xml:space="preserve">Lunenberg, C.F. and Ornstein, A.C. (2013). </w:t>
      </w:r>
      <w:r w:rsidRPr="000A2E75">
        <w:rPr>
          <w:rFonts w:ascii="Times New Roman" w:hAnsi="Times New Roman" w:cs="Times New Roman"/>
          <w:i/>
        </w:rPr>
        <w:t>Eğitim yönetimi</w:t>
      </w:r>
      <w:r w:rsidRPr="000A2E75">
        <w:rPr>
          <w:rFonts w:ascii="Times New Roman" w:hAnsi="Times New Roman" w:cs="Times New Roman"/>
        </w:rPr>
        <w:t xml:space="preserve">. Ankara: Nobel. </w:t>
      </w:r>
    </w:p>
    <w:p w14:paraId="72D802E2" w14:textId="77777777" w:rsidR="00E839E1" w:rsidRPr="000A2E75" w:rsidRDefault="00E839E1" w:rsidP="00E839E1">
      <w:pPr>
        <w:ind w:left="709" w:hanging="709"/>
        <w:jc w:val="both"/>
        <w:rPr>
          <w:rFonts w:ascii="Times New Roman" w:hAnsi="Times New Roman" w:cs="Times New Roman"/>
        </w:rPr>
      </w:pPr>
      <w:r w:rsidRPr="000A2E75">
        <w:rPr>
          <w:rFonts w:ascii="Times New Roman" w:hAnsi="Times New Roman" w:cs="Times New Roman"/>
        </w:rPr>
        <w:t xml:space="preserve">O’Mahony, G. R. (2003). Learning the role: </w:t>
      </w:r>
      <w:r w:rsidRPr="000A2E75">
        <w:rPr>
          <w:rFonts w:ascii="Times New Roman" w:hAnsi="Times New Roman" w:cs="Times New Roman"/>
          <w:i/>
        </w:rPr>
        <w:t>Through the eyes of beginning principals.</w:t>
      </w:r>
      <w:r w:rsidRPr="000A2E75">
        <w:rPr>
          <w:rFonts w:ascii="Times New Roman" w:hAnsi="Times New Roman" w:cs="Times New Roman"/>
        </w:rPr>
        <w:t xml:space="preserve"> Unpublished doctoral dissertation, Deakin University, Melbourne. </w:t>
      </w:r>
    </w:p>
    <w:p w14:paraId="63F392E8" w14:textId="77777777" w:rsidR="00E839E1" w:rsidRPr="000A2E75" w:rsidRDefault="00E839E1" w:rsidP="00E839E1">
      <w:pPr>
        <w:ind w:left="709" w:hanging="709"/>
        <w:jc w:val="both"/>
        <w:rPr>
          <w:rFonts w:ascii="Times New Roman" w:hAnsi="Times New Roman" w:cs="Times New Roman"/>
        </w:rPr>
      </w:pPr>
      <w:r w:rsidRPr="000A2E75">
        <w:rPr>
          <w:rFonts w:ascii="Times New Roman" w:hAnsi="Times New Roman" w:cs="Times New Roman"/>
        </w:rPr>
        <w:t xml:space="preserve">Shoho, A.R. and Barnett, B.G. (2010).  The realities of new principals: Challenges, joys, and sorrows. </w:t>
      </w:r>
      <w:r w:rsidRPr="000A2E75">
        <w:rPr>
          <w:rFonts w:ascii="Times New Roman" w:hAnsi="Times New Roman" w:cs="Times New Roman"/>
          <w:i/>
        </w:rPr>
        <w:t>Journal of School Leadership, 20</w:t>
      </w:r>
      <w:r w:rsidRPr="000A2E75">
        <w:rPr>
          <w:rFonts w:ascii="Times New Roman" w:hAnsi="Times New Roman" w:cs="Times New Roman"/>
        </w:rPr>
        <w:t xml:space="preserve">(5),561-596 </w:t>
      </w:r>
    </w:p>
    <w:p w14:paraId="1257C366" w14:textId="77777777" w:rsidR="00E839E1" w:rsidRPr="000A2E75" w:rsidRDefault="00E839E1" w:rsidP="00E839E1">
      <w:pPr>
        <w:ind w:left="709" w:hanging="709"/>
        <w:jc w:val="both"/>
        <w:rPr>
          <w:rFonts w:ascii="Times New Roman" w:hAnsi="Times New Roman" w:cs="Times New Roman"/>
        </w:rPr>
      </w:pPr>
      <w:r w:rsidRPr="000A2E75">
        <w:rPr>
          <w:rFonts w:ascii="Times New Roman" w:hAnsi="Times New Roman" w:cs="Times New Roman"/>
        </w:rPr>
        <w:t xml:space="preserve">Yıldırım, A. ve Şimşek, H. (2016). </w:t>
      </w:r>
      <w:r w:rsidRPr="000A2E75">
        <w:rPr>
          <w:rFonts w:ascii="Times New Roman" w:hAnsi="Times New Roman" w:cs="Times New Roman"/>
          <w:i/>
        </w:rPr>
        <w:t>Sosyal bilimlerde nitel araştırma yöntemleri</w:t>
      </w:r>
      <w:r w:rsidRPr="000A2E75">
        <w:rPr>
          <w:rFonts w:ascii="Times New Roman" w:hAnsi="Times New Roman" w:cs="Times New Roman"/>
        </w:rPr>
        <w:t xml:space="preserve">. Ankara: Seçkin. </w:t>
      </w:r>
    </w:p>
    <w:p w14:paraId="4BEFCFDC" w14:textId="77777777" w:rsidR="00E839E1" w:rsidRPr="000A2E75" w:rsidRDefault="00E839E1" w:rsidP="00E839E1">
      <w:pPr>
        <w:ind w:left="709" w:hanging="709"/>
        <w:jc w:val="both"/>
        <w:rPr>
          <w:rFonts w:ascii="Times New Roman" w:hAnsi="Times New Roman" w:cs="Times New Roman"/>
        </w:rPr>
      </w:pPr>
      <w:r w:rsidRPr="000A2E75">
        <w:rPr>
          <w:rFonts w:ascii="Times New Roman" w:hAnsi="Times New Roman" w:cs="Times New Roman"/>
        </w:rPr>
        <w:t xml:space="preserve">Whitaker, K. S. (1998). The changing role of the principal: View from the inside. </w:t>
      </w:r>
      <w:r w:rsidRPr="000A2E75">
        <w:rPr>
          <w:rFonts w:ascii="Times New Roman" w:hAnsi="Times New Roman" w:cs="Times New Roman"/>
          <w:i/>
        </w:rPr>
        <w:t>Planning and changing, 29,</w:t>
      </w:r>
      <w:r w:rsidRPr="000A2E75">
        <w:rPr>
          <w:rFonts w:ascii="Times New Roman" w:hAnsi="Times New Roman" w:cs="Times New Roman"/>
        </w:rPr>
        <w:t xml:space="preserve"> 130-150.</w:t>
      </w:r>
    </w:p>
    <w:p w14:paraId="4A06006A" w14:textId="77777777" w:rsidR="00E839E1" w:rsidRPr="000A2E75" w:rsidRDefault="00E839E1" w:rsidP="00E839E1">
      <w:pPr>
        <w:ind w:left="709" w:hanging="709"/>
        <w:jc w:val="both"/>
        <w:rPr>
          <w:rFonts w:ascii="Times New Roman" w:hAnsi="Times New Roman" w:cs="Times New Roman"/>
        </w:rPr>
      </w:pPr>
      <w:r w:rsidRPr="000A2E75">
        <w:rPr>
          <w:rFonts w:ascii="Times New Roman" w:hAnsi="Times New Roman" w:cs="Times New Roman"/>
        </w:rPr>
        <w:t xml:space="preserve">Woodruff, S. G., and Kowalski, T. J. (2010). Problems reported by novice high school principals. In A. Shoho, B. Barnett, and A. Tooms (Eds.), </w:t>
      </w:r>
      <w:r w:rsidRPr="000A2E75">
        <w:rPr>
          <w:rFonts w:ascii="Times New Roman" w:hAnsi="Times New Roman" w:cs="Times New Roman"/>
          <w:i/>
        </w:rPr>
        <w:t>The challenges of new principals in the 21st century</w:t>
      </w:r>
      <w:r w:rsidRPr="000A2E75">
        <w:rPr>
          <w:rFonts w:ascii="Times New Roman" w:hAnsi="Times New Roman" w:cs="Times New Roman"/>
        </w:rPr>
        <w:t>. Charlotte, NC: Information Age.</w:t>
      </w:r>
    </w:p>
    <w:p w14:paraId="634AC603" w14:textId="77777777" w:rsidR="00E839E1" w:rsidRPr="000A2E75" w:rsidRDefault="00E839E1" w:rsidP="00E839E1">
      <w:pPr>
        <w:ind w:left="709" w:hanging="709"/>
        <w:jc w:val="both"/>
        <w:rPr>
          <w:rFonts w:ascii="Times New Roman" w:hAnsi="Times New Roman" w:cs="Times New Roman"/>
        </w:rPr>
      </w:pPr>
      <w:r w:rsidRPr="000A2E75">
        <w:rPr>
          <w:rFonts w:ascii="Times New Roman" w:hAnsi="Times New Roman" w:cs="Times New Roman"/>
        </w:rPr>
        <w:t xml:space="preserve">Yin, R. K. (2016). </w:t>
      </w:r>
      <w:r w:rsidRPr="000A2E75">
        <w:rPr>
          <w:rFonts w:ascii="Times New Roman" w:hAnsi="Times New Roman" w:cs="Times New Roman"/>
          <w:i/>
        </w:rPr>
        <w:t xml:space="preserve">Qualitative research from start to finish. </w:t>
      </w:r>
      <w:r w:rsidRPr="000A2E75">
        <w:rPr>
          <w:rFonts w:ascii="Times New Roman" w:hAnsi="Times New Roman" w:cs="Times New Roman"/>
        </w:rPr>
        <w:t>New York: Guilford Press.</w:t>
      </w:r>
    </w:p>
    <w:p w14:paraId="469B4352"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b/>
        </w:rPr>
        <w:t>Anahtar Kelimeler:</w:t>
      </w:r>
      <w:r w:rsidRPr="000A2E75">
        <w:rPr>
          <w:rFonts w:ascii="Times New Roman" w:hAnsi="Times New Roman" w:cs="Times New Roman"/>
        </w:rPr>
        <w:t xml:space="preserve"> Okul yöneticisi, Kaygı, COVID- 19</w:t>
      </w:r>
    </w:p>
    <w:p w14:paraId="4D727FA6" w14:textId="77777777" w:rsidR="00E839E1" w:rsidRPr="000A2E75" w:rsidRDefault="00E839E1" w:rsidP="00E839E1">
      <w:pPr>
        <w:pStyle w:val="Balk1"/>
        <w:rPr>
          <w:rFonts w:ascii="Times New Roman" w:hAnsi="Times New Roman" w:cs="Times New Roman"/>
          <w:b/>
          <w:color w:val="000000" w:themeColor="text1"/>
          <w:sz w:val="24"/>
          <w:szCs w:val="24"/>
        </w:rPr>
      </w:pPr>
      <w:bookmarkStart w:id="358" w:name="_Toc70612129"/>
      <w:bookmarkStart w:id="359" w:name="_Toc72754714"/>
      <w:bookmarkStart w:id="360" w:name="_Toc72755986"/>
      <w:bookmarkStart w:id="361" w:name="_Toc72961798"/>
      <w:r w:rsidRPr="000A2E75">
        <w:rPr>
          <w:rFonts w:ascii="Times New Roman" w:hAnsi="Times New Roman" w:cs="Times New Roman"/>
          <w:b/>
          <w:color w:val="000000" w:themeColor="text1"/>
          <w:sz w:val="24"/>
          <w:szCs w:val="24"/>
        </w:rPr>
        <w:lastRenderedPageBreak/>
        <w:t>COVID-19 PANDEMİSİ DÖNEMİNDE UZAKTAN EĞİTİM SÜREÇLERİNDE İLKOKUL ÖĞRENCİLERİNİN DERSLERE KATILIMINI VE MOTIVASYONUNU ETKİLEYEN FAKTÖRLER</w:t>
      </w:r>
      <w:bookmarkEnd w:id="358"/>
      <w:bookmarkEnd w:id="359"/>
      <w:bookmarkEnd w:id="360"/>
      <w:bookmarkEnd w:id="361"/>
    </w:p>
    <w:p w14:paraId="3C97DB7F" w14:textId="77777777" w:rsidR="00E839E1" w:rsidRPr="000A2E75" w:rsidRDefault="00E839E1" w:rsidP="00E839E1">
      <w:pPr>
        <w:jc w:val="both"/>
        <w:rPr>
          <w:rFonts w:ascii="Times New Roman" w:hAnsi="Times New Roman" w:cs="Times New Roman"/>
          <w:color w:val="000000" w:themeColor="text1"/>
        </w:rPr>
      </w:pPr>
      <w:bookmarkStart w:id="362" w:name="_Toc69817106"/>
    </w:p>
    <w:p w14:paraId="28CC68F6" w14:textId="77777777" w:rsidR="00E839E1" w:rsidRPr="000A2E75" w:rsidRDefault="00E839E1" w:rsidP="00E839E1">
      <w:pPr>
        <w:jc w:val="both"/>
        <w:rPr>
          <w:rFonts w:ascii="Times New Roman" w:hAnsi="Times New Roman" w:cs="Times New Roman"/>
          <w:i/>
          <w:color w:val="000000" w:themeColor="text1"/>
        </w:rPr>
      </w:pPr>
      <w:bookmarkStart w:id="363" w:name="_Toc70612130"/>
      <w:bookmarkStart w:id="364" w:name="_Toc72754715"/>
      <w:bookmarkStart w:id="365" w:name="_Toc72755987"/>
      <w:bookmarkStart w:id="366" w:name="_Toc72961799"/>
      <w:r w:rsidRPr="000A2E75">
        <w:rPr>
          <w:rStyle w:val="Balk2Char"/>
          <w:rFonts w:ascii="Times New Roman" w:eastAsiaTheme="minorHAnsi" w:hAnsi="Times New Roman" w:cs="Times New Roman"/>
          <w:b w:val="0"/>
          <w:i w:val="0"/>
          <w:sz w:val="20"/>
          <w:szCs w:val="20"/>
        </w:rPr>
        <w:t>Prof.Dr. Soner Mehmet ÖZDEMİR</w:t>
      </w:r>
      <w:bookmarkEnd w:id="363"/>
      <w:bookmarkEnd w:id="364"/>
      <w:bookmarkEnd w:id="365"/>
      <w:bookmarkEnd w:id="366"/>
      <w:r w:rsidRPr="000A2E75">
        <w:rPr>
          <w:rFonts w:ascii="Times New Roman" w:hAnsi="Times New Roman" w:cs="Times New Roman"/>
          <w:color w:val="000000" w:themeColor="text1"/>
        </w:rPr>
        <w:t xml:space="preserve">, </w:t>
      </w:r>
      <w:r w:rsidRPr="000A2E75">
        <w:rPr>
          <w:rFonts w:ascii="Times New Roman" w:hAnsi="Times New Roman" w:cs="Times New Roman"/>
          <w:i/>
          <w:color w:val="000000" w:themeColor="text1"/>
        </w:rPr>
        <w:t>Mersin Üniversitesi, Eğtimi Fakültesi, Mersin, Türkiye</w:t>
      </w:r>
      <w:bookmarkEnd w:id="362"/>
    </w:p>
    <w:p w14:paraId="44E36654" w14:textId="77777777" w:rsidR="00E839E1" w:rsidRPr="000A2E75" w:rsidRDefault="00E839E1" w:rsidP="00E839E1">
      <w:pPr>
        <w:jc w:val="both"/>
        <w:rPr>
          <w:rFonts w:ascii="Times New Roman" w:hAnsi="Times New Roman" w:cs="Times New Roman"/>
          <w:color w:val="000000" w:themeColor="text1"/>
          <w:u w:val="single"/>
        </w:rPr>
      </w:pPr>
      <w:r w:rsidRPr="000A2E75">
        <w:rPr>
          <w:rFonts w:ascii="Times New Roman" w:hAnsi="Times New Roman" w:cs="Times New Roman"/>
          <w:i/>
          <w:color w:val="000000" w:themeColor="text1"/>
        </w:rPr>
        <w:t xml:space="preserve">e-mail: </w:t>
      </w:r>
      <w:hyperlink r:id="rId424" w:history="1">
        <w:r w:rsidRPr="000A2E75">
          <w:rPr>
            <w:rStyle w:val="Kpr"/>
            <w:rFonts w:ascii="Times New Roman" w:hAnsi="Times New Roman" w:cs="Times New Roman"/>
          </w:rPr>
          <w:t>ozdemir.soner@gmail.com</w:t>
        </w:r>
      </w:hyperlink>
      <w:r w:rsidRPr="000A2E75">
        <w:rPr>
          <w:rFonts w:ascii="Times New Roman" w:hAnsi="Times New Roman" w:cs="Times New Roman"/>
          <w:i/>
          <w:color w:val="000000" w:themeColor="text1"/>
        </w:rPr>
        <w:t xml:space="preserve"> ORCID ID:</w:t>
      </w:r>
      <w:r w:rsidRPr="000A2E75">
        <w:rPr>
          <w:rFonts w:ascii="Times New Roman" w:hAnsi="Times New Roman" w:cs="Times New Roman"/>
          <w:color w:val="000000" w:themeColor="text1"/>
        </w:rPr>
        <w:t xml:space="preserve"> </w:t>
      </w:r>
      <w:r w:rsidRPr="000A2E75">
        <w:rPr>
          <w:rStyle w:val="Kpr"/>
          <w:rFonts w:ascii="Times New Roman" w:hAnsi="Times New Roman" w:cs="Times New Roman"/>
        </w:rPr>
        <w:t>0000-0002-7236-946X</w:t>
      </w:r>
    </w:p>
    <w:p w14:paraId="62D990DC" w14:textId="77777777" w:rsidR="00E839E1" w:rsidRPr="000A2E75" w:rsidRDefault="00E839E1" w:rsidP="00E839E1">
      <w:pPr>
        <w:jc w:val="both"/>
        <w:rPr>
          <w:rFonts w:ascii="Times New Roman" w:hAnsi="Times New Roman" w:cs="Times New Roman"/>
          <w:color w:val="000000" w:themeColor="text1"/>
        </w:rPr>
      </w:pPr>
      <w:bookmarkStart w:id="367" w:name="_Toc69817107"/>
    </w:p>
    <w:p w14:paraId="4F973AC9" w14:textId="77777777" w:rsidR="00E839E1" w:rsidRPr="000A2E75" w:rsidRDefault="00E839E1" w:rsidP="00E839E1">
      <w:pPr>
        <w:jc w:val="both"/>
        <w:rPr>
          <w:rFonts w:ascii="Times New Roman" w:hAnsi="Times New Roman" w:cs="Times New Roman"/>
          <w:i/>
          <w:color w:val="000000" w:themeColor="text1"/>
        </w:rPr>
      </w:pPr>
      <w:bookmarkStart w:id="368" w:name="_Toc70612131"/>
      <w:bookmarkStart w:id="369" w:name="_Toc72754716"/>
      <w:bookmarkStart w:id="370" w:name="_Toc72755988"/>
      <w:bookmarkStart w:id="371" w:name="_Toc72961800"/>
      <w:r w:rsidRPr="000A2E75">
        <w:rPr>
          <w:rStyle w:val="Balk2Char"/>
          <w:rFonts w:ascii="Times New Roman" w:eastAsiaTheme="minorHAnsi" w:hAnsi="Times New Roman" w:cs="Times New Roman"/>
          <w:b w:val="0"/>
          <w:i w:val="0"/>
          <w:sz w:val="20"/>
          <w:szCs w:val="20"/>
        </w:rPr>
        <w:t>Yasemin ÇAKICI</w:t>
      </w:r>
      <w:bookmarkEnd w:id="368"/>
      <w:bookmarkEnd w:id="369"/>
      <w:bookmarkEnd w:id="370"/>
      <w:bookmarkEnd w:id="371"/>
      <w:r w:rsidRPr="000A2E75">
        <w:rPr>
          <w:rFonts w:ascii="Times New Roman" w:hAnsi="Times New Roman" w:cs="Times New Roman"/>
          <w:b/>
          <w:i/>
          <w:color w:val="000000" w:themeColor="text1"/>
        </w:rPr>
        <w:t>,</w:t>
      </w:r>
      <w:r w:rsidRPr="000A2E75">
        <w:rPr>
          <w:rFonts w:ascii="Times New Roman" w:hAnsi="Times New Roman" w:cs="Times New Roman"/>
          <w:color w:val="000000" w:themeColor="text1"/>
        </w:rPr>
        <w:t xml:space="preserve"> </w:t>
      </w:r>
      <w:r w:rsidRPr="000A2E75">
        <w:rPr>
          <w:rFonts w:ascii="Times New Roman" w:hAnsi="Times New Roman" w:cs="Times New Roman"/>
          <w:i/>
          <w:color w:val="000000" w:themeColor="text1"/>
        </w:rPr>
        <w:t>Mersin Üniversitesi, Mersin, Türkiye</w:t>
      </w:r>
      <w:bookmarkEnd w:id="367"/>
    </w:p>
    <w:p w14:paraId="77B71C50" w14:textId="77777777" w:rsidR="00E839E1" w:rsidRPr="000A2E75" w:rsidRDefault="00E839E1" w:rsidP="00E839E1">
      <w:pPr>
        <w:jc w:val="both"/>
        <w:rPr>
          <w:rStyle w:val="Kpr"/>
          <w:rFonts w:ascii="Times New Roman" w:hAnsi="Times New Roman" w:cs="Times New Roman"/>
        </w:rPr>
      </w:pPr>
      <w:r w:rsidRPr="000A2E75">
        <w:rPr>
          <w:rFonts w:ascii="Times New Roman" w:hAnsi="Times New Roman" w:cs="Times New Roman"/>
          <w:i/>
          <w:color w:val="000000" w:themeColor="text1"/>
        </w:rPr>
        <w:t>ORCID ID:</w:t>
      </w:r>
      <w:r w:rsidRPr="000A2E75">
        <w:rPr>
          <w:rFonts w:ascii="Times New Roman" w:hAnsi="Times New Roman" w:cs="Times New Roman"/>
          <w:color w:val="000000" w:themeColor="text1"/>
        </w:rPr>
        <w:t xml:space="preserve"> </w:t>
      </w:r>
      <w:hyperlink r:id="rId425" w:history="1">
        <w:r w:rsidRPr="000A2E75">
          <w:rPr>
            <w:rStyle w:val="Kpr"/>
            <w:rFonts w:ascii="Times New Roman" w:hAnsi="Times New Roman" w:cs="Times New Roman"/>
          </w:rPr>
          <w:t>0000-0002-3818-5157</w:t>
        </w:r>
      </w:hyperlink>
    </w:p>
    <w:p w14:paraId="46C62D76" w14:textId="77777777" w:rsidR="00E839E1" w:rsidRPr="000A2E75" w:rsidRDefault="00E839E1" w:rsidP="00E839E1">
      <w:pPr>
        <w:jc w:val="both"/>
        <w:rPr>
          <w:rFonts w:ascii="Times New Roman" w:hAnsi="Times New Roman" w:cs="Times New Roman"/>
          <w:color w:val="000000" w:themeColor="text1"/>
        </w:rPr>
      </w:pPr>
    </w:p>
    <w:p w14:paraId="3BCAE035" w14:textId="77777777" w:rsidR="00E839E1" w:rsidRPr="000A2E75" w:rsidRDefault="00E839E1" w:rsidP="00E839E1">
      <w:pPr>
        <w:pStyle w:val="NormalWeb"/>
        <w:shd w:val="clear" w:color="auto" w:fill="FFFFFF"/>
        <w:spacing w:before="120" w:beforeAutospacing="0" w:after="120" w:afterAutospacing="0" w:line="276" w:lineRule="auto"/>
        <w:ind w:firstLine="567"/>
        <w:jc w:val="both"/>
        <w:rPr>
          <w:rStyle w:val="Vurgu"/>
          <w:b/>
          <w:i w:val="0"/>
          <w:sz w:val="22"/>
          <w:szCs w:val="22"/>
        </w:rPr>
      </w:pPr>
      <w:r w:rsidRPr="000A2E75">
        <w:rPr>
          <w:rStyle w:val="Vurgu"/>
          <w:b/>
          <w:sz w:val="22"/>
          <w:szCs w:val="22"/>
        </w:rPr>
        <w:t>GİRİŞ</w:t>
      </w:r>
    </w:p>
    <w:p w14:paraId="71083102" w14:textId="77777777" w:rsidR="00E839E1" w:rsidRPr="000A2E75" w:rsidRDefault="00E839E1" w:rsidP="00E839E1">
      <w:pPr>
        <w:pStyle w:val="NormalWeb"/>
        <w:shd w:val="clear" w:color="auto" w:fill="FFFFFF"/>
        <w:spacing w:before="120" w:beforeAutospacing="0" w:after="120" w:afterAutospacing="0" w:line="276" w:lineRule="auto"/>
        <w:ind w:firstLine="567"/>
        <w:jc w:val="both"/>
        <w:rPr>
          <w:iCs/>
          <w:sz w:val="22"/>
          <w:szCs w:val="22"/>
        </w:rPr>
      </w:pPr>
      <w:r w:rsidRPr="000A2E75">
        <w:rPr>
          <w:iCs/>
          <w:sz w:val="22"/>
          <w:szCs w:val="22"/>
        </w:rPr>
        <w:t>2020 Mart ayından bu yana devam eden Covid-19 Salgını (Pandemisi) nedeniyle Milli Eğitim Bakanlığı tarafından okullardaki eğitime ara verilmesi sonrasında, eğitim öğretim faaliyetlerinin uzaktan çevrim içi (online) yapılması kararı alınmış ve o tarihten bu yana öğrenme ve öğretme etkinlikleri kimi zaman tamamen uzaktan eğitim şeklinde kimi zaman da hibrit model (hem yüz yüze hem de uzaktan) şeklinde yapılmıştır. Günümüzde uzaktan eğitim uygulamaları değişen ve gelişen dünya şartlarına uyum sağlamak ve kendilerini geliştirmek isteyen bireyler için önemli bir fırsat olarak yer alırken, şu an içinde bulunduğumuz Pandemi koşullarında ise öğrencilerin öğrenme ve öğretme etkinliklerinden mahrum kalmamaları için önemli bir alternatif haline gelmiştir. Ayrıca, uzaktan eğitim uygulamaları gelişen teknolojik altyapı ve olanaklar sayesinde hem örgün eğitim kurumları hem de buralarda öğrenim gören öğrenciler için zaman ve mekân sınırlılıklarından dolayı yürütülemeyen öğrenme-öğretme etkinliklerinin gerçekleşmesi için önemli bir alternatif olmuştur.</w:t>
      </w:r>
    </w:p>
    <w:p w14:paraId="624D1F2C" w14:textId="77777777" w:rsidR="00E839E1" w:rsidRPr="000A2E75" w:rsidRDefault="00E839E1" w:rsidP="00E839E1">
      <w:pPr>
        <w:pStyle w:val="NormalWeb"/>
        <w:shd w:val="clear" w:color="auto" w:fill="FFFFFF"/>
        <w:spacing w:before="120" w:beforeAutospacing="0" w:after="120" w:afterAutospacing="0" w:line="276" w:lineRule="auto"/>
        <w:ind w:firstLine="567"/>
        <w:jc w:val="both"/>
        <w:rPr>
          <w:sz w:val="22"/>
          <w:szCs w:val="22"/>
        </w:rPr>
      </w:pPr>
      <w:r w:rsidRPr="000A2E75">
        <w:rPr>
          <w:sz w:val="22"/>
          <w:szCs w:val="22"/>
        </w:rPr>
        <w:t>Uzaktan eğitim, özellikle çalışan yetişkinlerin ihtiyaçlarını karşılamak üzere geliştirilen yüz yüze geleneksel eğitime alternatif bir eğitim türüdür. Ancak, 2020 yılında başlayan Covid-19 Pandemisi nedeniyle ülkemiz dâhil tüm dünyada hemen her ülke eğitim ve öğretim faaliyetlerini mecburi olarak uzaktan eğitim yoluyla yapmak durumunda kalmıştır. Bir yanda öğrenciler eğitimden uzak kalmasın diye böyle bir yöntem uygulanırken diğer tarafta da uzaktan eğitimin bazı sorunları ortaya çıkmıştır. Derslerin ve diğer öğrenme-öğretme faaliyetlerinin uzaktan yapılması esnasında öğretmenler, eğitimciler, ebeveynler hatta öğrenciler tarafından en çok üzerinde durulan ya da tartışılan hususlar arasında öğrencilerin derslere katılımları ve motivasyon düzeyleri yer almaktadır. Yüz yüze eğitime göre etkileşimin daha sınırlı olması, bazı öğrencilerin internet, bilgisayar, tablet gibi araçlara sahip olma imkânlarının yeterli olmamasının yanı sıra Pandemi koşulları gereği öğrencilerin hem derslere giriş yapmalarının hem de ödev ve diğer ders dışı etkinlikleri yerine getirmelerinin olabildiğince esnek tutulması nedeniyle öğrencilerin derse katılım durumları ve motivasyonları da doğal olarak düşmekte ve bu da yapılan eğitim ve öğretimin niteliğini oldukça düşürmektedir. Bu bağlamda, bu çalışmanın iki bağımsız değişkeni olan derse katılım ve motivasyon kavramları ile Covid-19 Pandemisi ve uzaktan eğitim kavramları aşağıda kısaca açıklanmaktadır.</w:t>
      </w:r>
    </w:p>
    <w:p w14:paraId="43B1C828" w14:textId="77777777" w:rsidR="00E839E1" w:rsidRPr="000A2E75" w:rsidRDefault="00E839E1" w:rsidP="00E839E1">
      <w:pPr>
        <w:pStyle w:val="NormalWeb"/>
        <w:shd w:val="clear" w:color="auto" w:fill="FFFFFF"/>
        <w:spacing w:before="120" w:beforeAutospacing="0" w:after="120" w:afterAutospacing="0" w:line="276" w:lineRule="auto"/>
        <w:ind w:firstLine="567"/>
        <w:jc w:val="both"/>
        <w:rPr>
          <w:b/>
          <w:sz w:val="22"/>
          <w:szCs w:val="22"/>
        </w:rPr>
      </w:pPr>
      <w:r w:rsidRPr="000A2E75">
        <w:rPr>
          <w:b/>
          <w:sz w:val="22"/>
          <w:szCs w:val="22"/>
        </w:rPr>
        <w:t xml:space="preserve">Derse Katılım </w:t>
      </w:r>
    </w:p>
    <w:p w14:paraId="165872F6" w14:textId="77777777" w:rsidR="00E839E1" w:rsidRPr="000A2E75" w:rsidRDefault="00E839E1" w:rsidP="00E839E1">
      <w:pPr>
        <w:pStyle w:val="NormalWeb"/>
        <w:shd w:val="clear" w:color="auto" w:fill="FFFFFF"/>
        <w:spacing w:before="120" w:beforeAutospacing="0" w:after="120" w:afterAutospacing="0" w:line="276" w:lineRule="auto"/>
        <w:ind w:firstLine="567"/>
        <w:jc w:val="both"/>
        <w:rPr>
          <w:sz w:val="22"/>
          <w:szCs w:val="22"/>
        </w:rPr>
      </w:pPr>
      <w:r w:rsidRPr="000A2E75">
        <w:rPr>
          <w:sz w:val="22"/>
          <w:szCs w:val="22"/>
        </w:rPr>
        <w:t xml:space="preserve">Etkili öğrenme süreci, hem eğitmenler hem de öğrenciler etkileşime girdiğinde ve öğrenme etkinliklerine aktif olarak katıldıklarında ortaya çıkmaktadır. Bu nedenle, öğrencilerin etkili öğrenme gerçekleştirmeleri için öğrenme ve öğretme süreçlerinde proaktif olmaları gerekir. Öğrencilerin bilgiyi nasıl aradıkları ve aldıkları genellikle sınıftaki davranışlarına yansır. Sınıftaki öğrencilerin davranışları </w:t>
      </w:r>
      <w:r w:rsidRPr="000A2E75">
        <w:rPr>
          <w:sz w:val="22"/>
          <w:szCs w:val="22"/>
        </w:rPr>
        <w:lastRenderedPageBreak/>
        <w:t>pasiften aktif katılımlara kadar değişebilir. Sessizce oturabilir, not alabilir, dinleyebilir, başka bir şey yapabilir veya sorular sorabilir, fikir verebilir veya sorulan soruları cevaplayabilir. Bunlardan ilk dördü pasif iken, sonuncusu aktif bir davranışı biçimidir (Abdullah, Abo Bakar &amp; Mahbob, 2012).</w:t>
      </w:r>
    </w:p>
    <w:p w14:paraId="5A3F0555" w14:textId="77777777" w:rsidR="00E839E1" w:rsidRPr="000A2E75" w:rsidRDefault="00E839E1" w:rsidP="00E839E1">
      <w:pPr>
        <w:pStyle w:val="NormalWeb"/>
        <w:shd w:val="clear" w:color="auto" w:fill="FFFFFF"/>
        <w:spacing w:before="120" w:beforeAutospacing="0" w:after="120" w:afterAutospacing="0" w:line="276" w:lineRule="auto"/>
        <w:ind w:firstLine="567"/>
        <w:jc w:val="both"/>
        <w:rPr>
          <w:sz w:val="22"/>
          <w:szCs w:val="22"/>
        </w:rPr>
      </w:pPr>
      <w:r w:rsidRPr="000A2E75">
        <w:rPr>
          <w:sz w:val="22"/>
          <w:szCs w:val="22"/>
        </w:rPr>
        <w:t>Öğrenme-öğretme sürecine öğrencinin katılım gösterme derecesi, öğretim hizmeti niteliğinin en iyi göstergelerinden biridir. Öğrencilerin tamamına yakın bir bölümünün eğitim durumunda açık ya da örtük olarak katılmaları, öğretim hizmeti niteliğinin iyi seviyede olduğunu gösterir. Öğrencilerin çoğunluğunun katılmamaları ise öğretimin yönetiminde sorunlar olduğunun, başka bir ifadeyle, öğretim hizmeti niteliğinin düşük olduğunun göstergesidir. Yapılan araştırmalarda öğrencinin öğrenme-öğretme sürecine katılma derecesi, öğrenme düzeyindeki değişkenliğin %20’sini açıklama gücündedir. Yani öğrencilerin öğretim sürecine en üst düzeyde katılmaları sağlandığında, öğrenciler arasındaki başarı farkları %20 oranında azalmaktadır (Senemoğlu, 2009).  Eryılmaz’ın (2013) aktardığı gibi, derse katılma sonucunda öğrenciler; konuya bağlanmaktadırlar, güçlükler karşısında yılmamaktadırlar, derste akış yaşamaktadırlar ve yüksek düzeyde akademik motivasyona sahip olmaktadırlar (Bomia, Beluzo, Demeester, Elander, Jhonson &amp; Sheldon 1997), öğrenmeye açık olmaktadırlar, akademik açıdan daha çok beceri göstermektedirler ve öğrenmek için daha fazla strateji kullanmaktadırlar (Pintrich &amp; De Groot, 1990).</w:t>
      </w:r>
    </w:p>
    <w:p w14:paraId="3EBC7009" w14:textId="77777777" w:rsidR="00E839E1" w:rsidRPr="000A2E75" w:rsidRDefault="00E839E1" w:rsidP="00E839E1">
      <w:pPr>
        <w:pStyle w:val="NormalWeb"/>
        <w:shd w:val="clear" w:color="auto" w:fill="FFFFFF"/>
        <w:spacing w:before="120" w:beforeAutospacing="0" w:after="120" w:afterAutospacing="0" w:line="276" w:lineRule="auto"/>
        <w:ind w:firstLine="567"/>
        <w:jc w:val="both"/>
        <w:rPr>
          <w:sz w:val="22"/>
          <w:szCs w:val="22"/>
        </w:rPr>
      </w:pPr>
      <w:r w:rsidRPr="000A2E75">
        <w:rPr>
          <w:b/>
          <w:sz w:val="22"/>
          <w:szCs w:val="22"/>
        </w:rPr>
        <w:t>Motivasyon</w:t>
      </w:r>
    </w:p>
    <w:p w14:paraId="5E22E129" w14:textId="77777777" w:rsidR="00E839E1" w:rsidRPr="000A2E75" w:rsidRDefault="00E839E1" w:rsidP="00E839E1">
      <w:pPr>
        <w:pStyle w:val="NormalWeb"/>
        <w:shd w:val="clear" w:color="auto" w:fill="FFFFFF"/>
        <w:spacing w:before="120" w:beforeAutospacing="0" w:after="120" w:afterAutospacing="0" w:line="276" w:lineRule="auto"/>
        <w:ind w:firstLine="567"/>
        <w:jc w:val="both"/>
        <w:rPr>
          <w:sz w:val="22"/>
          <w:szCs w:val="22"/>
        </w:rPr>
      </w:pPr>
      <w:r w:rsidRPr="000A2E75">
        <w:rPr>
          <w:sz w:val="22"/>
          <w:szCs w:val="22"/>
        </w:rPr>
        <w:t xml:space="preserve">Motivasyon, okuldaki öğrenci davranışlarının yönünü, şiddetini, kararlılığını belirleyen önemli güç kaynaklarından biridir. Okulda ve sınıfta ortaya çıkan öğrenme güçlükleriyle disiplin olaylarının önemli bir kısmının kaynağı motivasyon ya da güdülenme ile ilgilidir. Öğrencilerin bir kısmının bazı derslere ve okula karşı geliştirdikleri olumsuz tutumları ve öğrenme çalışmalarından zevk almaları onların başka faaliyetlere yönelmelerini sağlar (Fidan, 1996). Eğitimle ilgili araştırma yapanlar ve eğitimciler, öğrencilerin başarılı olması ve başarısının sürdürülebilmesi için en önemli etkenlerden birinin güdülenme ya da motivasyon olduğunu öne sürmektedirler (Maulana, Opdenakker, den Brok &amp; Bosker, 2011; Orhan Özen, 2017; Robinson, 2017). Diğer yandan, okulların ve eğitim araştırmacılarının, düşük öğrenmenin ve başarının düşük olmasını ve okulu terk etme gibi sorunları önlemek için motivasyonla ilgili etkenlere dikkat edilmesi gerektiğine vurgu yapmaktadırlar (Akt. Sürücü &amp; Ünal, 2016). </w:t>
      </w:r>
    </w:p>
    <w:p w14:paraId="7B24BE34" w14:textId="77777777" w:rsidR="00E839E1" w:rsidRPr="000A2E75" w:rsidRDefault="00E839E1" w:rsidP="00E839E1">
      <w:pPr>
        <w:pStyle w:val="NormalWeb"/>
        <w:shd w:val="clear" w:color="auto" w:fill="FFFFFF"/>
        <w:spacing w:before="120" w:beforeAutospacing="0" w:after="120" w:afterAutospacing="0" w:line="276" w:lineRule="auto"/>
        <w:ind w:firstLine="567"/>
        <w:jc w:val="both"/>
        <w:rPr>
          <w:sz w:val="22"/>
          <w:szCs w:val="22"/>
        </w:rPr>
      </w:pPr>
      <w:r w:rsidRPr="000A2E75">
        <w:rPr>
          <w:sz w:val="22"/>
          <w:szCs w:val="22"/>
        </w:rPr>
        <w:t xml:space="preserve">Öğrencilerin derslerdeki motivasyon düzeylerini etkileyen pek çok faktörden söz edilebilir. Bunların bir kısmı içsel değişkenlerle ilgili iken, bir kısmı ise dışsal faktörlere bağlı olabilmektedir. Örneğin, öğrencinin kendine olan güveni, öz-yeterlik inancı, geçmiş deneyimleri vb. içsel faktörler iken, okul ve sınıf koşulları, öğretmenin deneyimi, tutum ve davranışları, akran grubunun özellikleri, aile ortamı ve ebeveynlerin özellikleri gibi öğrencinin dışındaki değişkenler ise dışsal faktörler arasındadır. Bu bağlamda, öğrencilerin motivasyonlarının yüksek olmasında hem içsel hem de dışsal faktörlerin iyileştirilmesi oldukça önemlidir. Yüz yüze eğitimde olduğu kadar uzaktan eğitim ortam ve süreçlerinde de öğrencilerin hem derslerdeki öğrenme ve başarı durumları hem de motivasyon düzeylerinde öğretmen nitelikleri ile öğrenme-öğretme sürecindeki çeşitli faktörler oldukça önemli rol oynamaktadır.  </w:t>
      </w:r>
    </w:p>
    <w:p w14:paraId="4BA1C8B3" w14:textId="77777777" w:rsidR="00E839E1" w:rsidRPr="000A2E75" w:rsidRDefault="00E839E1" w:rsidP="00E839E1">
      <w:pPr>
        <w:pStyle w:val="NormalWeb"/>
        <w:shd w:val="clear" w:color="auto" w:fill="FFFFFF"/>
        <w:spacing w:before="120" w:beforeAutospacing="0" w:after="120" w:afterAutospacing="0" w:line="276" w:lineRule="auto"/>
        <w:ind w:firstLine="567"/>
        <w:jc w:val="both"/>
        <w:rPr>
          <w:iCs/>
          <w:sz w:val="22"/>
          <w:szCs w:val="22"/>
        </w:rPr>
      </w:pPr>
      <w:r w:rsidRPr="000A2E75">
        <w:rPr>
          <w:iCs/>
          <w:sz w:val="22"/>
          <w:szCs w:val="22"/>
        </w:rPr>
        <w:t xml:space="preserve">Özellikle uzaktan eğitim süreçlerinde öğrencilerin motivasyonlarını olumsuz biçimde etkileyen çok sayıda etken bulunmaktadır. Bu hususa Balaban Salı (2008) dikkat çekerek, “Uzaktan eğitimde öğrencilerin genellikle kendilerini yalnız hissettikleri, diğer öğrencilerle iletişim ve rekabet eksikliğinin, öğrencilerin motivasyonlarını etkidiğini belirterek, bu problem kadar önemli olan diğer problemin, öğrencinin kendi öğrenme sorumluluğunu üstlenmek ve bu bilgileri içselleştirmek için internet ve diğer bilgi kaynaklarını araştırma yükümlülüğü olduğu, bu gerçeğin ise kendi öğrenme sorumluluklarını alamayan öğrenciler için bir kısıtlamaya neden olabildiğini” vurgulamıştır. Gerçekten de yukarıda belirtilen hususlar uzaktan eğitimde öğrenenlerin motivasyonlarını önemli oranda etkilemektedir. </w:t>
      </w:r>
      <w:r w:rsidRPr="000A2E75">
        <w:rPr>
          <w:iCs/>
          <w:sz w:val="22"/>
          <w:szCs w:val="22"/>
        </w:rPr>
        <w:lastRenderedPageBreak/>
        <w:t xml:space="preserve">Özellikle örgün eğitimde ya da yüz yüze eğitimin uygulandığı eğitim kurumlarına göre, uzaktan eğitim öğrencileri kendi öğrenme sorumluluklarını almakta daha isteksiz olmakta, eş zamanlı ya da eş zamansız derslere katılma ve diğer öğrenme etkinlerini gerçekleştirmede daha düşük motivasyona sahip olabilmektedirler. Bunlar elbette uzaktan eğitimin yüz yüze eğitime kıyasla en önemli handikapları arasında yer almaktadır. </w:t>
      </w:r>
    </w:p>
    <w:p w14:paraId="189D65F4" w14:textId="77777777" w:rsidR="00E839E1" w:rsidRPr="000A2E75" w:rsidRDefault="00E839E1" w:rsidP="00E839E1">
      <w:pPr>
        <w:pStyle w:val="NormalWeb"/>
        <w:shd w:val="clear" w:color="auto" w:fill="FFFFFF"/>
        <w:spacing w:before="120" w:beforeAutospacing="0" w:after="120" w:afterAutospacing="0" w:line="276" w:lineRule="auto"/>
        <w:ind w:firstLine="567"/>
        <w:jc w:val="both"/>
        <w:rPr>
          <w:iCs/>
          <w:sz w:val="22"/>
          <w:szCs w:val="22"/>
        </w:rPr>
      </w:pPr>
      <w:r w:rsidRPr="000A2E75">
        <w:rPr>
          <w:iCs/>
          <w:sz w:val="22"/>
          <w:szCs w:val="22"/>
        </w:rPr>
        <w:t xml:space="preserve">İçinde bulunduğumuz Covid-19 Pandemisi döneminde de ilkokuldan üniversiteye kadar öğrencilerin yapılan çevrim içi derslere katılımları ve motivasyonları ile uzaktan eğitime dayalı olarak gerçekleştirilen ödev ve diğer öğrenme etkinliklerindeki sorumluluklarını yerine getirme durumları üzerinde en çok durulan hususlardan biri olmuştur.  </w:t>
      </w:r>
    </w:p>
    <w:p w14:paraId="695CFCD5" w14:textId="77777777" w:rsidR="00E839E1" w:rsidRPr="000A2E75" w:rsidRDefault="00E839E1" w:rsidP="00E839E1">
      <w:pPr>
        <w:pStyle w:val="NormalWeb"/>
        <w:shd w:val="clear" w:color="auto" w:fill="FFFFFF"/>
        <w:spacing w:before="120" w:beforeAutospacing="0" w:after="120" w:afterAutospacing="0" w:line="276" w:lineRule="auto"/>
        <w:ind w:firstLine="567"/>
        <w:jc w:val="both"/>
        <w:rPr>
          <w:b/>
          <w:iCs/>
          <w:sz w:val="22"/>
          <w:szCs w:val="22"/>
        </w:rPr>
      </w:pPr>
      <w:r w:rsidRPr="000A2E75">
        <w:rPr>
          <w:b/>
          <w:iCs/>
          <w:sz w:val="22"/>
          <w:szCs w:val="22"/>
        </w:rPr>
        <w:t>Covid-19 Pandemisi</w:t>
      </w:r>
    </w:p>
    <w:p w14:paraId="2F5C6440" w14:textId="77777777" w:rsidR="00E839E1" w:rsidRPr="000A2E75" w:rsidRDefault="00E839E1" w:rsidP="00E839E1">
      <w:pPr>
        <w:spacing w:before="120" w:after="120" w:line="276" w:lineRule="auto"/>
        <w:ind w:firstLine="567"/>
        <w:jc w:val="both"/>
        <w:rPr>
          <w:rFonts w:ascii="Times New Roman" w:hAnsi="Times New Roman" w:cs="Times New Roman"/>
          <w:iCs/>
        </w:rPr>
      </w:pPr>
      <w:r w:rsidRPr="000A2E75">
        <w:rPr>
          <w:rFonts w:ascii="Times New Roman" w:hAnsi="Times New Roman" w:cs="Times New Roman"/>
          <w:iCs/>
        </w:rPr>
        <w:t>Pandemi “</w:t>
      </w:r>
      <w:r w:rsidRPr="000A2E75">
        <w:rPr>
          <w:rFonts w:ascii="Times New Roman" w:hAnsi="Times New Roman" w:cs="Times New Roman"/>
          <w:i/>
          <w:iCs/>
        </w:rPr>
        <w:t>Bir hastalığın veya enfeksiyon etkeninin ülkelerde, kıtalarda, hatta tüm dünya gibi çok geniş bir alanda yayılım göstermesi</w:t>
      </w:r>
      <w:r w:rsidRPr="000A2E75">
        <w:rPr>
          <w:rFonts w:ascii="Times New Roman" w:hAnsi="Times New Roman" w:cs="Times New Roman"/>
          <w:iCs/>
        </w:rPr>
        <w:t xml:space="preserve">” (covid19.saglik.gov.tr) anlamına gelmektedir. Covid-19 Pandemisi ise, 2019 Aralık’ta </w:t>
      </w:r>
      <w:r w:rsidRPr="000A2E75">
        <w:rPr>
          <w:rFonts w:ascii="Times New Roman" w:hAnsi="Times New Roman" w:cs="Times New Roman"/>
          <w:iCs/>
          <w:u w:val="single"/>
        </w:rPr>
        <w:t>Çin’in Hubei</w:t>
      </w:r>
      <w:r w:rsidRPr="000A2E75">
        <w:rPr>
          <w:rFonts w:ascii="Times New Roman" w:hAnsi="Times New Roman" w:cs="Times New Roman"/>
          <w:iCs/>
        </w:rPr>
        <w:t xml:space="preserve"> bölgesinin başkenti olan </w:t>
      </w:r>
      <w:r w:rsidRPr="000A2E75">
        <w:rPr>
          <w:rFonts w:ascii="Times New Roman" w:hAnsi="Times New Roman" w:cs="Times New Roman"/>
          <w:iCs/>
          <w:u w:val="single"/>
        </w:rPr>
        <w:t>Vuhan’da</w:t>
      </w:r>
      <w:r w:rsidRPr="000A2E75">
        <w:rPr>
          <w:rFonts w:ascii="Times New Roman" w:hAnsi="Times New Roman" w:cs="Times New Roman"/>
          <w:iCs/>
        </w:rPr>
        <w:t> ortaya çıkan virüs salgınıdır (</w:t>
      </w:r>
      <w:r w:rsidRPr="000A2E75">
        <w:rPr>
          <w:rFonts w:ascii="Times New Roman" w:hAnsi="Times New Roman" w:cs="Times New Roman"/>
        </w:rPr>
        <w:t>https://tr.wikipedia.org)</w:t>
      </w:r>
      <w:r w:rsidRPr="000A2E75">
        <w:rPr>
          <w:rFonts w:ascii="Times New Roman" w:hAnsi="Times New Roman" w:cs="Times New Roman"/>
          <w:iCs/>
        </w:rPr>
        <w:t>. Tüm dünyanın maruz kaldığı ve yüz milyonlarca insanın etkilendiği, milyonlarca insanın ise hayatını kaybettiği bu salgın süreci ise ‘</w:t>
      </w:r>
      <w:r w:rsidRPr="000A2E75">
        <w:rPr>
          <w:rFonts w:ascii="Times New Roman" w:hAnsi="Times New Roman" w:cs="Times New Roman"/>
          <w:i/>
          <w:iCs/>
        </w:rPr>
        <w:t>Covid-19 Pandemisi ve dönemi</w:t>
      </w:r>
      <w:r w:rsidRPr="000A2E75">
        <w:rPr>
          <w:rFonts w:ascii="Times New Roman" w:hAnsi="Times New Roman" w:cs="Times New Roman"/>
          <w:iCs/>
        </w:rPr>
        <w:t xml:space="preserve">’ olarak adlandırılmaktadır. Sağlıktan ekonomiye, eğitimden turizme kadar hemen her sektörü ve alanı olumsuz etkileyen bu meşakkatli salgın döneminde, ülkelerin geleceğinin teminatları olan çocukların eğitiminde çözümler arayan ülkeler için en iyi alternatif kuşkusuz uzaktan eğitim olmuştur. </w:t>
      </w:r>
    </w:p>
    <w:p w14:paraId="067EC22C" w14:textId="77777777" w:rsidR="00E839E1" w:rsidRPr="000A2E75" w:rsidRDefault="00E839E1" w:rsidP="00E839E1">
      <w:pPr>
        <w:pStyle w:val="NormalWeb"/>
        <w:shd w:val="clear" w:color="auto" w:fill="FFFFFF"/>
        <w:tabs>
          <w:tab w:val="left" w:pos="2256"/>
          <w:tab w:val="center" w:pos="4536"/>
        </w:tabs>
        <w:spacing w:before="120" w:beforeAutospacing="0" w:after="120" w:afterAutospacing="0" w:line="276" w:lineRule="auto"/>
        <w:ind w:firstLine="567"/>
        <w:jc w:val="both"/>
        <w:rPr>
          <w:rStyle w:val="Vurgu"/>
          <w:b/>
          <w:i w:val="0"/>
          <w:sz w:val="22"/>
          <w:szCs w:val="22"/>
        </w:rPr>
      </w:pPr>
      <w:r w:rsidRPr="000A2E75">
        <w:rPr>
          <w:rStyle w:val="Vurgu"/>
          <w:sz w:val="22"/>
          <w:szCs w:val="22"/>
        </w:rPr>
        <w:t>Uzaktan Eğitim</w:t>
      </w:r>
    </w:p>
    <w:p w14:paraId="47EBBA12" w14:textId="77777777" w:rsidR="00E839E1" w:rsidRPr="000A2E75" w:rsidRDefault="00E839E1" w:rsidP="00E839E1">
      <w:pPr>
        <w:pStyle w:val="NormalWeb"/>
        <w:shd w:val="clear" w:color="auto" w:fill="FFFFFF"/>
        <w:spacing w:before="120" w:beforeAutospacing="0" w:after="120" w:afterAutospacing="0" w:line="276" w:lineRule="auto"/>
        <w:ind w:firstLine="567"/>
        <w:jc w:val="both"/>
        <w:rPr>
          <w:sz w:val="22"/>
          <w:szCs w:val="22"/>
        </w:rPr>
      </w:pPr>
      <w:r w:rsidRPr="000A2E75">
        <w:rPr>
          <w:sz w:val="22"/>
          <w:szCs w:val="22"/>
        </w:rPr>
        <w:t>Uzaktan eğitimle ilgili çeşitli tanımlamalar yapılabilir. Örneğin, Türk Dil Kurumu Güncel Sözlüğünde (www.tdk.gov.tr) uzaktan eğitim; “</w:t>
      </w:r>
      <w:r w:rsidRPr="000A2E75">
        <w:rPr>
          <w:i/>
          <w:sz w:val="22"/>
          <w:szCs w:val="22"/>
        </w:rPr>
        <w:t>Öğrenci ile öğretmenin yüz yüze olmadan çeşitli iletişim araçları kullanılarak belli bir merkezden yapılan eğitim biçimi”</w:t>
      </w:r>
      <w:r w:rsidRPr="000A2E75">
        <w:rPr>
          <w:sz w:val="22"/>
          <w:szCs w:val="22"/>
        </w:rPr>
        <w:t xml:space="preserve"> şeklinde tanımlanmıştır. Simonson, Smaldino &amp; Zvacek (2015) ise uzaktan eğitimi; “</w:t>
      </w:r>
      <w:r w:rsidRPr="000A2E75">
        <w:rPr>
          <w:i/>
          <w:sz w:val="22"/>
          <w:szCs w:val="22"/>
        </w:rPr>
        <w:t>Öğrenme grubunun ve öğretmenin ayrı mekânlarda olduğu, öğrencileri, kaynakları ve öğreticileri birbirine bağlamak için etkileşimli telekomünikasyon sistemlerinin kullanıldığı kurum tabanlı, formal bir eğitim şekli</w:t>
      </w:r>
      <w:r w:rsidRPr="000A2E75">
        <w:rPr>
          <w:sz w:val="22"/>
          <w:szCs w:val="22"/>
        </w:rPr>
        <w:t xml:space="preserve">” olarak betimlemiştir. </w:t>
      </w:r>
    </w:p>
    <w:p w14:paraId="394E2533" w14:textId="77777777" w:rsidR="00E839E1" w:rsidRPr="000A2E75" w:rsidRDefault="00E839E1" w:rsidP="00E839E1">
      <w:pPr>
        <w:pStyle w:val="NormalWeb"/>
        <w:shd w:val="clear" w:color="auto" w:fill="FFFFFF"/>
        <w:spacing w:before="120" w:beforeAutospacing="0" w:after="120" w:afterAutospacing="0" w:line="276" w:lineRule="auto"/>
        <w:ind w:firstLine="567"/>
        <w:jc w:val="both"/>
        <w:rPr>
          <w:iCs/>
          <w:sz w:val="22"/>
          <w:szCs w:val="22"/>
        </w:rPr>
      </w:pPr>
      <w:r w:rsidRPr="000A2E75">
        <w:rPr>
          <w:sz w:val="22"/>
          <w:szCs w:val="22"/>
        </w:rPr>
        <w:t xml:space="preserve">Geleneksel eğitimde öğrenciler ile öğretmenler aynı zamanda (eş zamanlı) ve aynı mekânda (sınıfta ya da okulun herhangi bir ortamında) birlikte öğrenme ve öğretme etkinlikleri gerçekleştirirler. Bu eğitim modeli yüzyıllardır tüm toplumlarda süregelen ve çeşitli bakımlardan pek çok avantaja sahip eğitim uygulamasıdır. Diğer taraftan uzaktan eğitim yazılı, görsel, işitsel ve etkileşimsel çok sayıda ortam, araç veya materyallerle, çoğunlukla öğretmen ve öğrencilerin farklı mekânlarda olduğu, çeşitli ihtiyaçlar ya da zorunluluklara bağlı olarak farklı zamanlarda öğrenme ve öğretme etkinliklerinin yürütüldüğü bir eğitim modelidir. Geçmişte mektup, kitap gibi yazılı materyaller, radyo ve televizyon aracılığıyla gerçekleştirilen uzaktan eğitim faaliyetleri son 20-25 yılda internet aracılığıyla çevrim içi (online) ortamlar yoluyla yapılmaktadır.  </w:t>
      </w:r>
      <w:r w:rsidRPr="000A2E75">
        <w:rPr>
          <w:iCs/>
          <w:sz w:val="22"/>
          <w:szCs w:val="22"/>
        </w:rPr>
        <w:t>Özellikle internet ve mobil öğrenme teknolojilerinin sunduğu fırsatlar ve kolaylıklar nedeniyle kendini geliştirmek veya yeni bilgi ve beceriler kazanmak isteyen bireyler için artık “</w:t>
      </w:r>
      <w:r w:rsidRPr="000A2E75">
        <w:rPr>
          <w:i/>
          <w:iCs/>
          <w:sz w:val="22"/>
          <w:szCs w:val="22"/>
        </w:rPr>
        <w:t>her zaman her yerde öğrenme</w:t>
      </w:r>
      <w:r w:rsidRPr="000A2E75">
        <w:rPr>
          <w:iCs/>
          <w:sz w:val="22"/>
          <w:szCs w:val="22"/>
        </w:rPr>
        <w:t>” etkinlikleri kolayca gerçekleşebilir bir hale gelmiştir ve uzaktan eğitim birçok toplumda hem eğitim kurumlarının hem de yaşamın bir parçası olmuştur.</w:t>
      </w:r>
    </w:p>
    <w:p w14:paraId="05F5D525" w14:textId="77777777" w:rsidR="00E839E1" w:rsidRPr="000A2E75" w:rsidRDefault="00E839E1" w:rsidP="00E839E1">
      <w:pPr>
        <w:pStyle w:val="NormalWeb"/>
        <w:shd w:val="clear" w:color="auto" w:fill="FFFFFF"/>
        <w:spacing w:before="120" w:beforeAutospacing="0" w:after="120" w:afterAutospacing="0" w:line="276" w:lineRule="auto"/>
        <w:ind w:firstLine="567"/>
        <w:jc w:val="both"/>
        <w:rPr>
          <w:sz w:val="22"/>
          <w:szCs w:val="22"/>
        </w:rPr>
      </w:pPr>
      <w:r w:rsidRPr="000A2E75">
        <w:rPr>
          <w:iCs/>
          <w:sz w:val="22"/>
          <w:szCs w:val="22"/>
        </w:rPr>
        <w:t xml:space="preserve">Uzaktan eğitimin sağladığı pek çok avantaj ya da fayda vardır. Yalın’a (2015) göre bunlar; "daha geniş kitlelere eğitim hizmeti götürmek, eğitimde fırsat ve imkân eşitliği sağlamak, farklı mekânlardaki uzmanların bilgi ve deneyimlerinden yararlanmak, ilgileri, yetenekleri, yaşları, işleri ve coğrafi koşullar sebebiyle okula gidemeyen öğrenenlerin eğitim ve öğrenme ihtiyaçlarını karşılamak” sayılabilir. </w:t>
      </w:r>
      <w:r w:rsidRPr="000A2E75">
        <w:rPr>
          <w:sz w:val="22"/>
          <w:szCs w:val="22"/>
        </w:rPr>
        <w:t xml:space="preserve">Pandemi döneminde ilkokuldan lise sona kadar tüm sınıf düzeylerinde öğretmenler derslerini ve diğer etkinliklerini EBA platformu temelinde, başka uzaktan eğitim sağlayıcı programlarından da yararlanarak yoğun biçimde yürütülmektedirler. İlk başlarda oldukça zorlanan ve birçok konuda </w:t>
      </w:r>
      <w:r w:rsidRPr="000A2E75">
        <w:rPr>
          <w:sz w:val="22"/>
          <w:szCs w:val="22"/>
        </w:rPr>
        <w:lastRenderedPageBreak/>
        <w:t xml:space="preserve">eksiklikleri ve tecrübesizlikleri olan öğretmenler, ilerleyen süreçte hem uzaktan eğitim programlarının uygulanmasında hem de dijital kaynaklara ulaşarak bunları derslerinde kullanmada oldukça deneyim kazanmışlardır. Hemen her kademe ve sınıf düzeyindeki öğrencileri ve öğretmenleri etkileyen bu dönemde uzaktan eğitimin nasıl yürütüldüğü ve bu süreçte yaşanan sorunlar hem uygulayıcılar hem de araştırmacılar için merak konusu olmuştur. Buna göre, </w:t>
      </w:r>
      <w:r w:rsidRPr="000A2E75">
        <w:rPr>
          <w:bCs/>
          <w:sz w:val="22"/>
          <w:szCs w:val="22"/>
        </w:rPr>
        <w:t xml:space="preserve">Covid-19 Pandemisi/salgını döneminde uzaktan eğitimde öğrencilerin derslere katılımını ve motivasyonlarını etkileyen faktörlerin neler olduğu çalışmanın problem cümlesi olarak belirlenmiştir. </w:t>
      </w:r>
    </w:p>
    <w:p w14:paraId="42FEA816" w14:textId="77777777" w:rsidR="00E839E1" w:rsidRPr="000A2E75" w:rsidRDefault="00E839E1" w:rsidP="00E839E1">
      <w:pPr>
        <w:pStyle w:val="NormalWeb"/>
        <w:shd w:val="clear" w:color="auto" w:fill="FFFFFF"/>
        <w:spacing w:before="120" w:beforeAutospacing="0" w:after="120" w:afterAutospacing="0" w:line="276" w:lineRule="auto"/>
        <w:ind w:firstLine="567"/>
        <w:jc w:val="both"/>
        <w:rPr>
          <w:bCs/>
          <w:sz w:val="22"/>
          <w:szCs w:val="22"/>
        </w:rPr>
      </w:pPr>
      <w:r w:rsidRPr="000A2E75">
        <w:rPr>
          <w:bCs/>
          <w:sz w:val="22"/>
          <w:szCs w:val="22"/>
        </w:rPr>
        <w:t xml:space="preserve">Bu bağlamda bu araştırmanın amacı, Covid-19 Pandemisi/salgını döneminde uzaktan eğitimde öğrencilerin derslere katılımını ve motivasyonlarını etkileyen faktörleri incelemektir. Bu amaçla belirlenen alt problemler doğrultusunda veriler toplanmış ve verilerin analizi sonucu bulgular oluşturulmuştur. Buna göre, çalışmadan elde edilen bulguların ilkokul öğretmenlerine ve eğitimcilere uzaktan eğitim sürecinde katılımcı öğrencilerin derslere katılımlarını ve motivasyonlarının ne düzeyde olduğu, bunları etkileyen faktörler ve uzaktan eğitim sürecinde öğrencilerin derslere katılımlarını ve motivasyonlarını artırmak için neler yapılması gerektiğine ilişkin fikir ve bakış açıları kazandıracağı umulmaktadır. </w:t>
      </w:r>
    </w:p>
    <w:p w14:paraId="3E831DF2" w14:textId="77777777" w:rsidR="00E839E1" w:rsidRPr="000A2E75" w:rsidRDefault="00E839E1" w:rsidP="00E839E1">
      <w:pPr>
        <w:pStyle w:val="NormalWeb"/>
        <w:shd w:val="clear" w:color="auto" w:fill="FFFFFF"/>
        <w:spacing w:before="120" w:beforeAutospacing="0" w:after="120" w:afterAutospacing="0" w:line="276" w:lineRule="auto"/>
        <w:ind w:firstLine="567"/>
        <w:jc w:val="both"/>
        <w:rPr>
          <w:sz w:val="22"/>
          <w:szCs w:val="22"/>
        </w:rPr>
      </w:pPr>
      <w:r w:rsidRPr="000A2E75">
        <w:rPr>
          <w:b/>
          <w:sz w:val="22"/>
          <w:szCs w:val="22"/>
        </w:rPr>
        <w:t>YÖNTEM</w:t>
      </w:r>
    </w:p>
    <w:p w14:paraId="4720B178" w14:textId="77777777" w:rsidR="00E839E1" w:rsidRPr="000A2E75" w:rsidRDefault="00E839E1" w:rsidP="00E839E1">
      <w:pPr>
        <w:pStyle w:val="NormalWeb"/>
        <w:shd w:val="clear" w:color="auto" w:fill="FFFFFF"/>
        <w:spacing w:before="120" w:beforeAutospacing="0" w:after="120" w:afterAutospacing="0" w:line="276" w:lineRule="auto"/>
        <w:ind w:firstLine="567"/>
        <w:jc w:val="both"/>
        <w:rPr>
          <w:bCs/>
          <w:sz w:val="22"/>
          <w:szCs w:val="22"/>
        </w:rPr>
      </w:pPr>
      <w:r w:rsidRPr="000A2E75">
        <w:rPr>
          <w:bCs/>
          <w:sz w:val="22"/>
          <w:szCs w:val="22"/>
        </w:rPr>
        <w:t>Bu çalışma nitel araştırma modeline göre tasarlanmış olup çalışmada nitel araştırma desenleri arasında yer alan “</w:t>
      </w:r>
      <w:r w:rsidRPr="000A2E75">
        <w:rPr>
          <w:bCs/>
          <w:i/>
          <w:sz w:val="22"/>
          <w:szCs w:val="22"/>
        </w:rPr>
        <w:t>durum çalışması</w:t>
      </w:r>
      <w:r w:rsidRPr="000A2E75">
        <w:rPr>
          <w:bCs/>
          <w:sz w:val="22"/>
          <w:szCs w:val="22"/>
        </w:rPr>
        <w:t>” yöntemi kullanılmıştır. Merriam’a (2013) göre, “</w:t>
      </w:r>
      <w:r w:rsidRPr="000A2E75">
        <w:rPr>
          <w:bCs/>
          <w:i/>
          <w:sz w:val="22"/>
          <w:szCs w:val="22"/>
        </w:rPr>
        <w:t>durum çalışması, güncel bir olguyu/durumu gerçek hayattaki bağlamıyla, özellikle olgu ile bağlam arasındaki sınırlar tam belirgin değilse, inceleyen ampirik bir araştırma yöntemi</w:t>
      </w:r>
      <w:r w:rsidRPr="000A2E75">
        <w:rPr>
          <w:bCs/>
          <w:sz w:val="22"/>
          <w:szCs w:val="22"/>
        </w:rPr>
        <w:t>”dir. Bu bağlamda, uzaktan eğitim sürecinde öğrencilerin derslere katılımları ve motivasyon durumları detaylı biçimde incelenmesi amaçlandığından durum çalışması yöntemi tercih edilmiştir.</w:t>
      </w:r>
    </w:p>
    <w:p w14:paraId="4C45194B" w14:textId="77777777" w:rsidR="00E839E1" w:rsidRPr="000A2E75" w:rsidRDefault="00E839E1" w:rsidP="00E839E1">
      <w:pPr>
        <w:pStyle w:val="NormalWeb"/>
        <w:shd w:val="clear" w:color="auto" w:fill="FFFFFF"/>
        <w:spacing w:before="120" w:beforeAutospacing="0" w:after="120" w:afterAutospacing="0" w:line="276" w:lineRule="auto"/>
        <w:ind w:firstLine="567"/>
        <w:jc w:val="both"/>
        <w:rPr>
          <w:sz w:val="22"/>
          <w:szCs w:val="22"/>
        </w:rPr>
      </w:pPr>
      <w:r w:rsidRPr="000A2E75">
        <w:rPr>
          <w:bCs/>
          <w:sz w:val="22"/>
          <w:szCs w:val="22"/>
        </w:rPr>
        <w:t xml:space="preserve">Çalışma grubunu Mersin’in Yenişehir ilçesinin beş farklı devlet okulunda farklı yaş, cinsiyet,  kıdem ve sınıflarda görev yapan 10 sınıf (ilkokul) öğretmeni oluşturmuştur. Katılımcıların yedisi (7) kadın, üçü (3) ise erkektir. Yaşları 30 ile 48 yaş aralığındadır. Kıdemleri ise 9 ile 27 yıl arasında bulunmaktadır. Katılımcıların ikisi 1. Sınıfı, ikisi 2. Sınıfı, üçü 3. Sınıfı ve üçü de 4. Sınıfı okutmaktadır. Katılımcılara veri toplama aracının uygulanmasından önce yapılan çalışma ve görüşme formu hakkında bilgiler verilmiş ve gönüllü olarak katılmak isteyenler, katılımcı olarak belirlenmiştir. </w:t>
      </w:r>
    </w:p>
    <w:p w14:paraId="11E81DC7" w14:textId="77777777" w:rsidR="00E839E1" w:rsidRPr="000A2E75" w:rsidRDefault="00E839E1" w:rsidP="00E839E1">
      <w:pPr>
        <w:pStyle w:val="NormalWeb"/>
        <w:shd w:val="clear" w:color="auto" w:fill="FFFFFF"/>
        <w:spacing w:before="120" w:beforeAutospacing="0" w:after="120" w:afterAutospacing="0" w:line="276" w:lineRule="auto"/>
        <w:ind w:firstLine="567"/>
        <w:jc w:val="both"/>
        <w:rPr>
          <w:sz w:val="22"/>
          <w:szCs w:val="22"/>
        </w:rPr>
      </w:pPr>
      <w:r w:rsidRPr="000A2E75">
        <w:rPr>
          <w:bCs/>
          <w:sz w:val="22"/>
          <w:szCs w:val="22"/>
        </w:rPr>
        <w:t xml:space="preserve">Çalışmada veriler, yarı yapılandırılmış görüşme formu ile toplanmıştır. Veri toplama aracı olan görüşme formu literatür incelemesinden yararlanılarak araştırmacılar tarafından geliştirilmiştir. Ölçme aracının kapsam geçerliği ve güvenirliği için 2 uzmanın görüşüne başvurulmuştur. Uzman görüşleri doğrultusunda formdan bir madde çıkarılmış, iki madde üzerinde de değişiklik ve düzeltmeler yapılarak forma son şekli verilmiştir. Miles ve Hubermann formülüne göre, veri toplama aracının geçerlik değeri 0.95 olarak hesaplanmıştır. Görüşme formunun anlaşılırlığı ve uygulanabilirliği için iki (2) sınıf öğretmeni ile ön uygulama yapılmış, iki öğretmen de soruların açık olduğunu ve rahatlıkla anladıklarını ifade etmişlerdir. Veriler 2020-2021 eğitim-öğretim yılının Mart ayında toplanmış, görüşmeler 10-15 dakika arasında gerçekleştirilmiştir. </w:t>
      </w:r>
    </w:p>
    <w:p w14:paraId="10CB125E" w14:textId="77777777" w:rsidR="00E839E1" w:rsidRPr="000A2E75" w:rsidRDefault="00E839E1" w:rsidP="00E839E1">
      <w:pPr>
        <w:pStyle w:val="NormalWeb"/>
        <w:shd w:val="clear" w:color="auto" w:fill="FFFFFF"/>
        <w:spacing w:before="120" w:beforeAutospacing="0" w:after="120" w:afterAutospacing="0" w:line="276" w:lineRule="auto"/>
        <w:ind w:firstLine="567"/>
        <w:jc w:val="both"/>
        <w:rPr>
          <w:bCs/>
          <w:sz w:val="22"/>
          <w:szCs w:val="22"/>
        </w:rPr>
      </w:pPr>
      <w:r w:rsidRPr="000A2E75">
        <w:rPr>
          <w:bCs/>
          <w:sz w:val="22"/>
          <w:szCs w:val="22"/>
        </w:rPr>
        <w:t xml:space="preserve">Veri toplama aracı ile elde edilen verilerin analizi için betimsel analiz tekniğine başvurulmuştur. Betimsel analiz tekniği, Yıldırım ve Şimşek’e (2018) göre, </w:t>
      </w:r>
      <w:r w:rsidRPr="000A2E75">
        <w:rPr>
          <w:sz w:val="22"/>
          <w:szCs w:val="22"/>
        </w:rPr>
        <w:t>“</w:t>
      </w:r>
      <w:r w:rsidRPr="000A2E75">
        <w:rPr>
          <w:i/>
          <w:sz w:val="22"/>
          <w:szCs w:val="22"/>
        </w:rPr>
        <w:t>elde edilen verilerin, önceden belirlenen temalara göre özetlenerek sunulması, görüşülen kişilerin görüşlerinin çarpıcı bir biçimde sunulması amacıyla aynen alıntılara sıklıkla yer verilmesi ve bunlara dayalı yorumlamalar yapılması</w:t>
      </w:r>
      <w:r w:rsidRPr="000A2E75">
        <w:rPr>
          <w:sz w:val="22"/>
          <w:szCs w:val="22"/>
        </w:rPr>
        <w:t>”</w:t>
      </w:r>
      <w:r w:rsidRPr="000A2E75">
        <w:rPr>
          <w:bCs/>
          <w:sz w:val="22"/>
          <w:szCs w:val="22"/>
        </w:rPr>
        <w:t xml:space="preserve">dır. </w:t>
      </w:r>
      <w:r w:rsidRPr="000A2E75">
        <w:rPr>
          <w:sz w:val="22"/>
          <w:szCs w:val="22"/>
        </w:rPr>
        <w:t xml:space="preserve">Verilerin analizinden sonra elde edilen bulgular, temalar (sorular) doğrultusunda önce özet şeklinde betimlenmiş, daha sonra da bazı katılımcıların görüşleri doğrudan alıntı şeklinde sunulmuştur. Bu </w:t>
      </w:r>
      <w:r w:rsidRPr="000A2E75">
        <w:rPr>
          <w:sz w:val="22"/>
          <w:szCs w:val="22"/>
        </w:rPr>
        <w:lastRenderedPageBreak/>
        <w:t xml:space="preserve">şekilde ayrıntılı betimleme yapılarak verilerin aktarılabilirliği sağlanıp çalışmanın güvenirliğinin artması amaçlanmıştır. </w:t>
      </w:r>
    </w:p>
    <w:p w14:paraId="598C6708" w14:textId="77777777" w:rsidR="00E839E1" w:rsidRPr="000A2E75" w:rsidRDefault="00E839E1" w:rsidP="00E839E1">
      <w:pPr>
        <w:pStyle w:val="NormalWeb"/>
        <w:shd w:val="clear" w:color="auto" w:fill="FFFFFF"/>
        <w:spacing w:before="120" w:beforeAutospacing="0" w:after="120" w:afterAutospacing="0" w:line="276" w:lineRule="auto"/>
        <w:ind w:firstLine="567"/>
        <w:jc w:val="both"/>
        <w:rPr>
          <w:b/>
          <w:sz w:val="22"/>
          <w:szCs w:val="22"/>
        </w:rPr>
      </w:pPr>
      <w:r w:rsidRPr="000A2E75">
        <w:rPr>
          <w:b/>
          <w:sz w:val="22"/>
          <w:szCs w:val="22"/>
        </w:rPr>
        <w:t>BULGULAR</w:t>
      </w:r>
    </w:p>
    <w:p w14:paraId="7A59714C" w14:textId="77777777" w:rsidR="00E839E1" w:rsidRPr="000A2E75" w:rsidRDefault="00E839E1" w:rsidP="00E839E1">
      <w:pPr>
        <w:pStyle w:val="NormalWeb"/>
        <w:shd w:val="clear" w:color="auto" w:fill="FFFFFF"/>
        <w:spacing w:before="120" w:beforeAutospacing="0" w:after="120" w:afterAutospacing="0" w:line="276" w:lineRule="auto"/>
        <w:ind w:firstLine="567"/>
        <w:jc w:val="both"/>
        <w:rPr>
          <w:sz w:val="22"/>
          <w:szCs w:val="22"/>
        </w:rPr>
      </w:pPr>
      <w:r w:rsidRPr="000A2E75">
        <w:rPr>
          <w:sz w:val="22"/>
          <w:szCs w:val="22"/>
        </w:rPr>
        <w:t xml:space="preserve">Çalışmada belirlenen alt problemler doğrultusunda görüşme formundan elde edilen verilerin analizi sonucunda bulgulara ulaşılmış, bulgular görüşme formunda yer alan her bir soru başlığına göre betimlenerek ve katılımcıların görüşleri doğrudan alıntı şeklinde verilerek aşağıda sunulmuştur. </w:t>
      </w:r>
    </w:p>
    <w:p w14:paraId="545C772E" w14:textId="77777777" w:rsidR="00E839E1" w:rsidRPr="000A2E75" w:rsidRDefault="00E839E1" w:rsidP="008934F8">
      <w:pPr>
        <w:pStyle w:val="ListeParagraf"/>
        <w:numPr>
          <w:ilvl w:val="0"/>
          <w:numId w:val="57"/>
        </w:numPr>
        <w:tabs>
          <w:tab w:val="left" w:pos="284"/>
          <w:tab w:val="left" w:pos="851"/>
        </w:tabs>
        <w:spacing w:before="120" w:after="120" w:line="276" w:lineRule="auto"/>
        <w:ind w:left="0" w:firstLine="567"/>
        <w:contextualSpacing w:val="0"/>
        <w:jc w:val="both"/>
        <w:rPr>
          <w:rFonts w:ascii="Times New Roman" w:hAnsi="Times New Roman" w:cs="Times New Roman"/>
          <w:b/>
        </w:rPr>
      </w:pPr>
      <w:r w:rsidRPr="000A2E75">
        <w:rPr>
          <w:rFonts w:ascii="Times New Roman" w:hAnsi="Times New Roman" w:cs="Times New Roman"/>
          <w:b/>
        </w:rPr>
        <w:t xml:space="preserve">Pandemi Döneminde Öğrencilerin Uzaktan Eğitimle (Çevrim İçi/Online) Yapılan Derslere Katılım Durumları ile İlgili Görüşlere İlişkin Bulgular  </w:t>
      </w:r>
    </w:p>
    <w:p w14:paraId="7A55023D" w14:textId="77777777" w:rsidR="00E839E1" w:rsidRPr="000A2E75" w:rsidRDefault="00E839E1" w:rsidP="00E839E1">
      <w:pPr>
        <w:pStyle w:val="ListeParagraf"/>
        <w:tabs>
          <w:tab w:val="left" w:pos="284"/>
        </w:tabs>
        <w:spacing w:before="120" w:after="120"/>
        <w:ind w:left="0" w:firstLine="567"/>
        <w:contextualSpacing w:val="0"/>
        <w:jc w:val="both"/>
        <w:rPr>
          <w:rFonts w:ascii="Times New Roman" w:hAnsi="Times New Roman" w:cs="Times New Roman"/>
        </w:rPr>
      </w:pPr>
      <w:r w:rsidRPr="000A2E75">
        <w:rPr>
          <w:rFonts w:ascii="Times New Roman" w:hAnsi="Times New Roman" w:cs="Times New Roman"/>
        </w:rPr>
        <w:t>Katılımcı öğretmenlerden yedisi (7) öğrencilerinin çoğunluğunun derslere genellikle katıldıklarını belirtirken, üçü (3) ise sınıfın yarısının ya da yarıya yakınının canlı derslere katılabildiğini ifade etmiştir. Bu konuda görüş bildiren öğretmenlerden ikisinin görüşü doğrudan alıntı şeklinde aşağıda verilmiştir:</w:t>
      </w:r>
    </w:p>
    <w:p w14:paraId="2A43D8E5" w14:textId="77777777" w:rsidR="00E839E1" w:rsidRPr="000A2E75" w:rsidRDefault="00E839E1" w:rsidP="00E839E1">
      <w:pPr>
        <w:pStyle w:val="ListeParagraf"/>
        <w:tabs>
          <w:tab w:val="left" w:pos="284"/>
        </w:tabs>
        <w:spacing w:before="120" w:after="120"/>
        <w:ind w:left="284"/>
        <w:contextualSpacing w:val="0"/>
        <w:jc w:val="both"/>
        <w:rPr>
          <w:rFonts w:ascii="Times New Roman" w:hAnsi="Times New Roman" w:cs="Times New Roman"/>
          <w:i/>
        </w:rPr>
      </w:pPr>
      <w:r w:rsidRPr="000A2E75">
        <w:rPr>
          <w:rFonts w:ascii="Times New Roman" w:hAnsi="Times New Roman" w:cs="Times New Roman"/>
          <w:i/>
        </w:rPr>
        <w:t>“Katılım yüksekti. Ama burada şunu da gözetmek gerekiyor. Bizim okulumuz Mersin’de orta üst kategoride bir okul sayılır. Bunun çok önemli bir etken olduğunu düşünüyorum. Daha alt sosyo-ekonomik düzeyde öğrencilerin bulunduğu okullarda katılım düzeylerinin de çok alt düzeyde olduğunu biliyorum”</w:t>
      </w:r>
    </w:p>
    <w:p w14:paraId="07E4910D" w14:textId="77777777" w:rsidR="00E839E1" w:rsidRPr="000A2E75" w:rsidRDefault="00E839E1" w:rsidP="00E839E1">
      <w:pPr>
        <w:pStyle w:val="ListeParagraf"/>
        <w:tabs>
          <w:tab w:val="left" w:pos="284"/>
        </w:tabs>
        <w:spacing w:before="120" w:after="120"/>
        <w:ind w:left="284"/>
        <w:jc w:val="both"/>
        <w:rPr>
          <w:rFonts w:ascii="Times New Roman" w:hAnsi="Times New Roman" w:cs="Times New Roman"/>
        </w:rPr>
      </w:pPr>
      <w:r w:rsidRPr="000A2E75">
        <w:rPr>
          <w:rFonts w:ascii="Times New Roman" w:hAnsi="Times New Roman" w:cs="Times New Roman"/>
          <w:i/>
        </w:rPr>
        <w:t>“Katılım oranı en fazla %50’yi buldu diyebiliriz. Bu yüzde ellinin bir gün biri geliyorsa, bir gün diğeri geliyordu. Zamanla sayı düşmeye başladı. Bazıları keyfi girmemeye başladılar. Eğitime önem vermeyen eğitimden koptular.”</w:t>
      </w:r>
    </w:p>
    <w:p w14:paraId="669D5A9D" w14:textId="77777777" w:rsidR="00E839E1" w:rsidRPr="000A2E75" w:rsidRDefault="00E839E1" w:rsidP="00E839E1">
      <w:pPr>
        <w:spacing w:before="120" w:after="120" w:line="276" w:lineRule="auto"/>
        <w:ind w:firstLine="567"/>
        <w:jc w:val="both"/>
        <w:rPr>
          <w:rFonts w:ascii="Times New Roman" w:hAnsi="Times New Roman" w:cs="Times New Roman"/>
          <w:b/>
        </w:rPr>
      </w:pPr>
      <w:r w:rsidRPr="000A2E75">
        <w:rPr>
          <w:rFonts w:ascii="Times New Roman" w:hAnsi="Times New Roman" w:cs="Times New Roman"/>
          <w:b/>
        </w:rPr>
        <w:t xml:space="preserve">2. Derslere Hiç Katılamayan ya da Düzenli Biçimde Katılamayan Öğrencilerin Katılamama Sebeplerine İlişkin Bulgular </w:t>
      </w:r>
    </w:p>
    <w:p w14:paraId="3DAA3065" w14:textId="77777777" w:rsidR="00E839E1" w:rsidRPr="000A2E75" w:rsidRDefault="00E839E1" w:rsidP="00E839E1">
      <w:pPr>
        <w:spacing w:before="120" w:after="120" w:line="276" w:lineRule="auto"/>
        <w:ind w:firstLine="567"/>
        <w:jc w:val="both"/>
        <w:rPr>
          <w:rFonts w:ascii="Times New Roman" w:hAnsi="Times New Roman" w:cs="Times New Roman"/>
        </w:rPr>
      </w:pPr>
      <w:r w:rsidRPr="000A2E75">
        <w:rPr>
          <w:rFonts w:ascii="Times New Roman" w:hAnsi="Times New Roman" w:cs="Times New Roman"/>
        </w:rPr>
        <w:t>Öğretmenlerin bu konudaki görüşleri incelendiğinde, derse hiç ya da düzenli olarak katılamayan öğrencilerin, katılamamasındaki sebepler arasında en yüksek oranı “ailelerin ilgisizliği ya da çocuklarının eğitimine önem vermemeleri (f=7), evde internetin ya da bilgisayarın olmaması (f=6) alırken, bunun yanında evde çocuk sayısının fazla olması (f=4), sağlık problemleri (f=3), uyanamama, unutmak vb. çeşitli bahaneler, motivasyon eksikliği, Suriyeli öğrencilerle dil problemi yaşanması gibi durumlar da öğrencilerin canlı derslere düzenli biçimde katılamamalarına sebebi olarak belirtilmiştir. Katılımcı öğretmenlerden ikisinin bu konudaki görüşü aşağıdaki gibidir:</w:t>
      </w:r>
    </w:p>
    <w:p w14:paraId="450F7A18" w14:textId="77777777" w:rsidR="00E839E1" w:rsidRPr="000A2E75" w:rsidRDefault="00E839E1" w:rsidP="00E839E1">
      <w:pPr>
        <w:spacing w:before="120" w:after="120" w:line="276" w:lineRule="auto"/>
        <w:ind w:left="284"/>
        <w:jc w:val="both"/>
        <w:rPr>
          <w:rFonts w:ascii="Times New Roman" w:hAnsi="Times New Roman" w:cs="Times New Roman"/>
          <w:i/>
        </w:rPr>
      </w:pPr>
      <w:r w:rsidRPr="000A2E75">
        <w:rPr>
          <w:rFonts w:ascii="Times New Roman" w:hAnsi="Times New Roman" w:cs="Times New Roman"/>
          <w:i/>
        </w:rPr>
        <w:t>“Bizim öğrenciler 1.sınıf olduğu için bir yönlendirmeye ihtiyaçları var. Saatin hatırlatılması gerekiyor. Ailelerin rahatlığı söz konusu. Attığımız ödevleri çocuğuna söylemezse veli çocuk haliyle hiçbir şey yapmamış oluyor. Haftanın 5 günü dinlenmiş 2 gün okula gelmiş oluyor. Bu da yeterli olmuyor. Canlı derse katılmamasının en büyük sebebi ailedir. Maddiyat değil. Benim sınıf için böyle.”</w:t>
      </w:r>
    </w:p>
    <w:p w14:paraId="7DCBB7AB" w14:textId="77777777" w:rsidR="00E839E1" w:rsidRPr="000A2E75" w:rsidRDefault="00E839E1" w:rsidP="00E839E1">
      <w:pPr>
        <w:spacing w:before="120" w:after="120" w:line="276" w:lineRule="auto"/>
        <w:ind w:left="284"/>
        <w:jc w:val="both"/>
        <w:rPr>
          <w:rFonts w:ascii="Times New Roman" w:hAnsi="Times New Roman" w:cs="Times New Roman"/>
          <w:i/>
        </w:rPr>
      </w:pPr>
      <w:r w:rsidRPr="000A2E75">
        <w:rPr>
          <w:rFonts w:ascii="Times New Roman" w:hAnsi="Times New Roman" w:cs="Times New Roman"/>
          <w:i/>
        </w:rPr>
        <w:t>“Derse hiç katılmayan öğrencim etüt merkezine gidiyordu. Bir diğerinin evinde bilgisayar vb. yoktu. Diğerlerinde de bilgisayar ve internet olduğu halde velilerin ilgisizliği yüzünden derse düzenli katılmıyorlardı.”</w:t>
      </w:r>
    </w:p>
    <w:p w14:paraId="0B5209DE" w14:textId="77777777" w:rsidR="00E839E1" w:rsidRPr="000A2E75" w:rsidRDefault="00E839E1" w:rsidP="00E839E1">
      <w:pPr>
        <w:spacing w:before="120" w:after="120" w:line="276" w:lineRule="auto"/>
        <w:ind w:firstLine="567"/>
        <w:jc w:val="both"/>
        <w:rPr>
          <w:rFonts w:ascii="Times New Roman" w:hAnsi="Times New Roman" w:cs="Times New Roman"/>
        </w:rPr>
      </w:pPr>
      <w:r w:rsidRPr="000A2E75">
        <w:rPr>
          <w:rFonts w:ascii="Times New Roman" w:hAnsi="Times New Roman" w:cs="Times New Roman"/>
          <w:b/>
        </w:rPr>
        <w:t xml:space="preserve">3. Pandemi Döneminde Öğrencilerin Uzaktan Eğitim (Çevrim İçi/Online) Sürecindeki Motivasyon Durumları ile İlgili Görüşlere İlişkin Bulgular  </w:t>
      </w:r>
    </w:p>
    <w:p w14:paraId="65514F1B" w14:textId="77777777" w:rsidR="00E839E1" w:rsidRPr="000A2E75" w:rsidRDefault="00E839E1" w:rsidP="00E839E1">
      <w:pPr>
        <w:spacing w:before="120" w:after="120" w:line="276" w:lineRule="auto"/>
        <w:ind w:firstLine="567"/>
        <w:jc w:val="both"/>
        <w:rPr>
          <w:rFonts w:ascii="Times New Roman" w:hAnsi="Times New Roman" w:cs="Times New Roman"/>
        </w:rPr>
      </w:pPr>
      <w:r w:rsidRPr="000A2E75">
        <w:rPr>
          <w:rFonts w:ascii="Times New Roman" w:hAnsi="Times New Roman" w:cs="Times New Roman"/>
        </w:rPr>
        <w:t xml:space="preserve">Çalışmaya katılan öğretmenlerin görüşlerine göre, uzaktan eğitim sürecinde öğrencilerin derslere ya da etkinliklere yönelik motivasyon düzeylerinin genel olarak çeşitli nedenlere bağlı olarak çok yüksek olmadığını belirtmişlerdir. 10 öğretmenden 3’ü öğrencilerin motivasyonlarının oldukça yüksek olduğunu ifade ederken, 3’ü çok düşük olduğunu, 2’si ilk başta biraz yüksek olduğunu ancak zaman </w:t>
      </w:r>
      <w:r w:rsidRPr="000A2E75">
        <w:rPr>
          <w:rFonts w:ascii="Times New Roman" w:hAnsi="Times New Roman" w:cs="Times New Roman"/>
        </w:rPr>
        <w:lastRenderedPageBreak/>
        <w:t>geçtikçe düştüğünü, 2’si ise yüz yüze eğitim dönemindeki ile hemen hemen aynı olduğunu belirtmiştir. İki katılımcının bu konudaki görüşü aşağıda verilmiştir:</w:t>
      </w:r>
    </w:p>
    <w:p w14:paraId="7B54A741" w14:textId="77777777" w:rsidR="00E839E1" w:rsidRPr="000A2E75" w:rsidRDefault="00E839E1" w:rsidP="00E839E1">
      <w:pPr>
        <w:spacing w:before="120" w:after="120" w:line="276" w:lineRule="auto"/>
        <w:ind w:left="426"/>
        <w:jc w:val="both"/>
        <w:rPr>
          <w:rFonts w:ascii="Times New Roman" w:hAnsi="Times New Roman" w:cs="Times New Roman"/>
          <w:i/>
        </w:rPr>
      </w:pPr>
      <w:r w:rsidRPr="000A2E75">
        <w:rPr>
          <w:rFonts w:ascii="Times New Roman" w:hAnsi="Times New Roman" w:cs="Times New Roman"/>
          <w:i/>
        </w:rPr>
        <w:t>“Çocukları o kadar uzun süre hareketsiz bir şekilde tutmanın imkanı olmadığı için biz genelde hareketli bir şekilde başlayıp en sonda yine oyunlarla hareketlerle bitirmeye çalışıyoruz. O yüzden motivasyonları yüksekti. Canlı ders zamanının gelmesini iple çekiyorlardı. Birçoğunun motivasyonu yüksekti. Dersi iyi dinliyorlardı. Uzaktan eğitimde okuma yazmayı da öğrendiler. Yüz yüze eğitimden daha motive görünenler vardı.”</w:t>
      </w:r>
    </w:p>
    <w:p w14:paraId="79A170C1" w14:textId="77777777" w:rsidR="00E839E1" w:rsidRPr="000A2E75" w:rsidRDefault="00E839E1" w:rsidP="00E839E1">
      <w:pPr>
        <w:spacing w:before="120" w:after="120" w:line="276" w:lineRule="auto"/>
        <w:ind w:left="426"/>
        <w:jc w:val="both"/>
        <w:rPr>
          <w:rFonts w:ascii="Times New Roman" w:hAnsi="Times New Roman" w:cs="Times New Roman"/>
        </w:rPr>
      </w:pPr>
      <w:r w:rsidRPr="000A2E75">
        <w:rPr>
          <w:rFonts w:ascii="Times New Roman" w:hAnsi="Times New Roman" w:cs="Times New Roman"/>
          <w:i/>
        </w:rPr>
        <w:t>“Gözlemlediğim kadarıyla çocuğun sınıftaki motivasyonu nasılsa uzaktan eğitimdeki motivasyonu da aynı. İkisi arasında çok fark yok. Çocuğun karakteri ile alakalı bence.”</w:t>
      </w:r>
    </w:p>
    <w:p w14:paraId="416F9DF7" w14:textId="77777777" w:rsidR="00E839E1" w:rsidRPr="000A2E75" w:rsidRDefault="00E839E1" w:rsidP="00E839E1">
      <w:pPr>
        <w:spacing w:before="120" w:after="120" w:line="276" w:lineRule="auto"/>
        <w:ind w:firstLine="567"/>
        <w:jc w:val="both"/>
        <w:rPr>
          <w:rFonts w:ascii="Times New Roman" w:hAnsi="Times New Roman" w:cs="Times New Roman"/>
          <w:b/>
        </w:rPr>
      </w:pPr>
      <w:r w:rsidRPr="000A2E75">
        <w:rPr>
          <w:rFonts w:ascii="Times New Roman" w:hAnsi="Times New Roman" w:cs="Times New Roman"/>
          <w:b/>
        </w:rPr>
        <w:t>4. Motivasyon Düzeyi Düşük Olan Öğrencilerinin Motivasyonlarının Düşük Olmasının Sebepleri ile İlgili Görüşlere İlişkin Bulgular</w:t>
      </w:r>
    </w:p>
    <w:p w14:paraId="720BDE53" w14:textId="77777777" w:rsidR="00E839E1" w:rsidRPr="000A2E75" w:rsidRDefault="00E839E1" w:rsidP="00E839E1">
      <w:pPr>
        <w:spacing w:before="120" w:after="120" w:line="276" w:lineRule="auto"/>
        <w:ind w:firstLine="567"/>
        <w:jc w:val="both"/>
        <w:rPr>
          <w:rFonts w:ascii="Times New Roman" w:hAnsi="Times New Roman" w:cs="Times New Roman"/>
        </w:rPr>
      </w:pPr>
      <w:r w:rsidRPr="000A2E75">
        <w:rPr>
          <w:rFonts w:ascii="Times New Roman" w:hAnsi="Times New Roman" w:cs="Times New Roman"/>
        </w:rPr>
        <w:t>Katılımcı öğretmenlerin, motivasyonu düşük olan öğrencilerin motivasyonlarını düşüren sebeplere ilişkin görüşleri incelendiğinde, “</w:t>
      </w:r>
      <w:r w:rsidRPr="000A2E75">
        <w:rPr>
          <w:rFonts w:ascii="Times New Roman" w:hAnsi="Times New Roman" w:cs="Times New Roman"/>
          <w:i/>
        </w:rPr>
        <w:t>velilerin süreci iyi yönetememeleri (f=6), evde dikkat dağıtıcı unsurların fazla olması (f=4), öğrencilerin okula gitmemeleri/sınıf ortamında olmamaları (f=3)”</w:t>
      </w:r>
      <w:r w:rsidRPr="000A2E75">
        <w:rPr>
          <w:rFonts w:ascii="Times New Roman" w:hAnsi="Times New Roman" w:cs="Times New Roman"/>
        </w:rPr>
        <w:t xml:space="preserve"> ön planda iken, bunların yanında “</w:t>
      </w:r>
      <w:r w:rsidRPr="000A2E75">
        <w:rPr>
          <w:rFonts w:ascii="Times New Roman" w:hAnsi="Times New Roman" w:cs="Times New Roman"/>
          <w:i/>
        </w:rPr>
        <w:t>öğrencilerin Pandemi sürecinden olumsuz etkilenmeleri, öğretmenle öğrencilerin birebir temas edememeleri, öğretmenlerin uyguladıkları yöntem ve teknikler, derse düzenli katılmamaları, internete ya da mobil cihazlara erişimin olmaması, öğrencilerin akademik başarılarının düşük olması, öğrencilerin akıllarında oyun oynama düşüncesi olması</w:t>
      </w:r>
      <w:r w:rsidRPr="000A2E75">
        <w:rPr>
          <w:rFonts w:ascii="Times New Roman" w:hAnsi="Times New Roman" w:cs="Times New Roman"/>
        </w:rPr>
        <w:t>” vurgulanmıştır. Konuya ilişkin iki öğretmenin görüşü şu şekildedir:</w:t>
      </w:r>
    </w:p>
    <w:p w14:paraId="4C5D0EF0" w14:textId="77777777" w:rsidR="00E839E1" w:rsidRPr="000A2E75" w:rsidRDefault="00E839E1" w:rsidP="00E839E1">
      <w:pPr>
        <w:spacing w:before="120" w:after="120" w:line="276" w:lineRule="auto"/>
        <w:ind w:left="426"/>
        <w:jc w:val="both"/>
        <w:rPr>
          <w:rFonts w:ascii="Times New Roman" w:hAnsi="Times New Roman" w:cs="Times New Roman"/>
          <w:i/>
        </w:rPr>
      </w:pPr>
      <w:r w:rsidRPr="000A2E75">
        <w:rPr>
          <w:rFonts w:ascii="Times New Roman" w:hAnsi="Times New Roman" w:cs="Times New Roman"/>
          <w:i/>
        </w:rPr>
        <w:t>“Motivasyonu düşük olan öğrencilerin, derse girmek istememesi, düzenli derse katılmadıkları için konu eksikliklerinin olması, ailesinin ilgisizliği, dikkatlerinin çok çabuk dağılıyor olması, ekran karşısında sabit bir şekilde oturmaktan hoşlanmaması, evde ders esnasında TV’nin açık olması ya da kardeşinin de aynı odada bulunması, telefon ile giriyorsa ekranının küçük olması, bu sürecin çocukların psikolojisini etkilemiş olması...”</w:t>
      </w:r>
    </w:p>
    <w:p w14:paraId="2912DF89" w14:textId="77777777" w:rsidR="00E839E1" w:rsidRPr="000A2E75" w:rsidRDefault="00E839E1" w:rsidP="00E839E1">
      <w:pPr>
        <w:spacing w:before="120" w:after="120" w:line="276" w:lineRule="auto"/>
        <w:ind w:left="426"/>
        <w:jc w:val="both"/>
        <w:rPr>
          <w:rFonts w:ascii="Times New Roman" w:hAnsi="Times New Roman" w:cs="Times New Roman"/>
          <w:i/>
        </w:rPr>
      </w:pPr>
      <w:r w:rsidRPr="000A2E75">
        <w:rPr>
          <w:rFonts w:ascii="Times New Roman" w:hAnsi="Times New Roman" w:cs="Times New Roman"/>
          <w:i/>
        </w:rPr>
        <w:t>“Sebebi çocuklar birbirlerinden etkilenerek de öğreniyorlar. Okul ortamındaki gibi birbirlerinin yanlarında olmadıklarında birbirleriyle rekabet havasına girmedikleri müddetçe olmuyor. Bir de evde dikkat dağıtıcı unsur daha fazla; küçük kardeş, anne, baba… Yeri geldiğinde hepimiz karşılaşmışızdır. Odaya dede girip bir sigara yakabiliyor. Anne bir malzeme alıp çıkacağım diyor. Çocuk o sırada kamerayı kapatıyor, sesi açıyor. Kapat diyor çocuğuna sesleniyor ben odaya girip çıkacağım. Evde uygun bir ortam ne yazık ki sağlanamıyor. Pürdikkatini sağlayamıyor bu da çocukta kopukluk yaratıyor.”</w:t>
      </w:r>
    </w:p>
    <w:p w14:paraId="54165626" w14:textId="77777777" w:rsidR="00E839E1" w:rsidRPr="000A2E75" w:rsidRDefault="00E839E1" w:rsidP="00E839E1">
      <w:pPr>
        <w:spacing w:before="120" w:after="120" w:line="276" w:lineRule="auto"/>
        <w:ind w:firstLine="567"/>
        <w:jc w:val="both"/>
        <w:rPr>
          <w:rFonts w:ascii="Times New Roman" w:hAnsi="Times New Roman" w:cs="Times New Roman"/>
          <w:b/>
        </w:rPr>
      </w:pPr>
      <w:r w:rsidRPr="000A2E75">
        <w:rPr>
          <w:rFonts w:ascii="Times New Roman" w:hAnsi="Times New Roman" w:cs="Times New Roman"/>
          <w:b/>
        </w:rPr>
        <w:t>5. Öğrencilerin Uzaktan Eğitimle Yapılan Derslere Katılımlarının Artması İçin Yapılan Önerilere İlişkin Bulgular</w:t>
      </w:r>
    </w:p>
    <w:p w14:paraId="77F3BF4D" w14:textId="77777777" w:rsidR="00E839E1" w:rsidRPr="000A2E75" w:rsidRDefault="00E839E1" w:rsidP="00E839E1">
      <w:pPr>
        <w:spacing w:before="120" w:after="120" w:line="276" w:lineRule="auto"/>
        <w:ind w:firstLine="567"/>
        <w:jc w:val="both"/>
        <w:rPr>
          <w:rFonts w:ascii="Times New Roman" w:hAnsi="Times New Roman" w:cs="Times New Roman"/>
        </w:rPr>
      </w:pPr>
      <w:r w:rsidRPr="000A2E75">
        <w:rPr>
          <w:rFonts w:ascii="Times New Roman" w:hAnsi="Times New Roman" w:cs="Times New Roman"/>
        </w:rPr>
        <w:t>Katılımcı öğretmenlere uzaktan eğitim sürecinde öğrencilerin derslere katılımlarının artırılması için önerilerinin neler olduğuna ilişkin sorulan soruya verilen cevaplara göre, öğretmenlerin en fazla “</w:t>
      </w:r>
      <w:r w:rsidRPr="000A2E75">
        <w:rPr>
          <w:rFonts w:ascii="Times New Roman" w:hAnsi="Times New Roman" w:cs="Times New Roman"/>
          <w:i/>
        </w:rPr>
        <w:t>velilerin bu konuda eğitilmesi ve öğretmen-veli işbirliğinin önemli olduğu (f=6), öğretmenlerin çevrim içi derslerde çeşitli ve eğlenceli etkinlikler uygulaması (f=5), öğretmenlerin uzaktan eğitime uygun yöntem ve teknikler kullanması/ öğretmenlere hizmet içi eğitim verilmesi (f=3), derste yapılacak etkinlikler hakkında öğrencilere önceden bilgi verilmesi, web 2 araçlarını kullanmak, ders saatlerinin uygun zamanlarda olması</w:t>
      </w:r>
      <w:r w:rsidRPr="000A2E75">
        <w:rPr>
          <w:rFonts w:ascii="Times New Roman" w:hAnsi="Times New Roman" w:cs="Times New Roman"/>
        </w:rPr>
        <w:t>” gibi öneriler dile getirilmiştir. İki öğretmenin bu konudaki görüşü aşağıdaki gibidir:</w:t>
      </w:r>
    </w:p>
    <w:p w14:paraId="5CFEE275" w14:textId="77777777" w:rsidR="00E839E1" w:rsidRPr="000A2E75" w:rsidRDefault="00E839E1" w:rsidP="00E839E1">
      <w:pPr>
        <w:spacing w:before="120" w:after="120" w:line="276" w:lineRule="auto"/>
        <w:ind w:left="426"/>
        <w:jc w:val="both"/>
        <w:rPr>
          <w:rFonts w:ascii="Times New Roman" w:hAnsi="Times New Roman" w:cs="Times New Roman"/>
          <w:i/>
          <w:lang w:val="fr-FR"/>
        </w:rPr>
      </w:pPr>
      <w:r w:rsidRPr="000A2E75">
        <w:rPr>
          <w:rFonts w:ascii="Times New Roman" w:hAnsi="Times New Roman" w:cs="Times New Roman"/>
          <w:i/>
        </w:rPr>
        <w:t xml:space="preserve">“Öğretmenlerin düz anlatım yöntemini kullanmaması gerekir. Farklı web2 araçlarını kullanarak çocukları işin içine katabilir. </w:t>
      </w:r>
      <w:r w:rsidRPr="000A2E75">
        <w:rPr>
          <w:rFonts w:ascii="Times New Roman" w:hAnsi="Times New Roman" w:cs="Times New Roman"/>
          <w:i/>
          <w:lang w:val="fr-FR"/>
        </w:rPr>
        <w:t xml:space="preserve">Dersi daha eğlenceli bir hale getirebilir. Çocuklara temel sorular </w:t>
      </w:r>
      <w:r w:rsidRPr="000A2E75">
        <w:rPr>
          <w:rFonts w:ascii="Times New Roman" w:hAnsi="Times New Roman" w:cs="Times New Roman"/>
          <w:i/>
          <w:lang w:val="fr-FR"/>
        </w:rPr>
        <w:lastRenderedPageBreak/>
        <w:t>sorabilir. Her çocuğun derse katılımını sağlayabilir. Çocukların başarılarını süreç temelli değerlendirebilir. Aileleri ile görüşebilir. Öğretmenin elinden geldiğince dersi daha eğlenceli hale getirmelidir.”</w:t>
      </w:r>
    </w:p>
    <w:p w14:paraId="39429B84" w14:textId="77777777" w:rsidR="00E839E1" w:rsidRPr="000A2E75" w:rsidRDefault="00E839E1" w:rsidP="00E839E1">
      <w:pPr>
        <w:spacing w:before="120" w:after="120" w:line="276" w:lineRule="auto"/>
        <w:ind w:left="426"/>
        <w:jc w:val="both"/>
        <w:rPr>
          <w:rFonts w:ascii="Times New Roman" w:hAnsi="Times New Roman" w:cs="Times New Roman"/>
          <w:i/>
          <w:lang w:val="fr-FR"/>
        </w:rPr>
      </w:pPr>
      <w:r w:rsidRPr="000A2E75">
        <w:rPr>
          <w:rFonts w:ascii="Times New Roman" w:hAnsi="Times New Roman" w:cs="Times New Roman"/>
          <w:i/>
          <w:lang w:val="fr-FR"/>
        </w:rPr>
        <w:t>“Derse katılımların artması için velileri sıkıştırmak gerekir. Öğrencilere derste eğlenceli etkinlikler yapacağımızı önceden haber vermek gerekir. Sürekli veli ile iletişim halinde olmak gerekir. Çocukların ve velilerin sorumluluk sahibi olması gerekir.”</w:t>
      </w:r>
    </w:p>
    <w:p w14:paraId="4B54D7D7" w14:textId="77777777" w:rsidR="00E839E1" w:rsidRPr="000A2E75" w:rsidRDefault="00E839E1" w:rsidP="00E839E1">
      <w:pPr>
        <w:spacing w:before="120" w:after="120" w:line="276" w:lineRule="auto"/>
        <w:ind w:firstLine="567"/>
        <w:jc w:val="both"/>
        <w:rPr>
          <w:rFonts w:ascii="Times New Roman" w:hAnsi="Times New Roman" w:cs="Times New Roman"/>
          <w:b/>
          <w:lang w:val="fr-FR"/>
        </w:rPr>
      </w:pPr>
      <w:r w:rsidRPr="000A2E75">
        <w:rPr>
          <w:rFonts w:ascii="Times New Roman" w:hAnsi="Times New Roman" w:cs="Times New Roman"/>
          <w:b/>
          <w:lang w:val="fr-FR"/>
        </w:rPr>
        <w:t>6. Öğrencilerin Uzaktan Eğitimle Yapılan Derslerdeki Motivasyonlarının Artması İçin Yapılan Önerilere İlişkin Bulgular</w:t>
      </w:r>
    </w:p>
    <w:p w14:paraId="10E9387D" w14:textId="77777777" w:rsidR="00E839E1" w:rsidRPr="000A2E75" w:rsidRDefault="00E839E1" w:rsidP="00E839E1">
      <w:pPr>
        <w:spacing w:before="120" w:after="120" w:line="276" w:lineRule="auto"/>
        <w:ind w:firstLine="567"/>
        <w:jc w:val="both"/>
        <w:rPr>
          <w:rFonts w:ascii="Times New Roman" w:hAnsi="Times New Roman" w:cs="Times New Roman"/>
          <w:lang w:val="fr-FR"/>
        </w:rPr>
      </w:pPr>
      <w:r w:rsidRPr="000A2E75">
        <w:rPr>
          <w:rFonts w:ascii="Times New Roman" w:hAnsi="Times New Roman" w:cs="Times New Roman"/>
          <w:lang w:val="fr-FR"/>
        </w:rPr>
        <w:t>Pandemi döneminde yapılan uzaktan eğitim süreçlerinde öğrencilerin motivasyonlarının çok yüksek olmadığı bu çalışmanın bulguları arasında yer almaktadır. Bu bağlamda, katılımcı öğretmenlere bu konuda yöneltilen soruya verilen cevaplar incelendiğinde, öğretmenlerin öğrencilerin motivasyonlarının yüksek tutulmasında ağırlıklı olarak “öğretmenlerin çok çeşitli materyaller kullanması/ dersleri ilgi çekici hale getirmesi” (f=7), “öğrencilere geri dönütler ve pekiştireçler vermesi/ öğrencilere derste söz hakkı vermesi” (f=6), ailelerin çocuklarının eğitimine destek vermesi (f=4), öğretmen-veli işbirliği olması (f=4) ve öğrencilerin derse hazırlıklı gelmeleri (f=3) gibi öneriler belirtilmiştir. Bu konuya ilişkin öğretmen görüşlerinden ikisi şu şekildedir:</w:t>
      </w:r>
    </w:p>
    <w:p w14:paraId="5E28BDAB" w14:textId="77777777" w:rsidR="00E839E1" w:rsidRPr="000A2E75" w:rsidRDefault="00E839E1" w:rsidP="00E839E1">
      <w:pPr>
        <w:spacing w:before="120" w:after="120" w:line="276" w:lineRule="auto"/>
        <w:ind w:left="426"/>
        <w:jc w:val="both"/>
        <w:rPr>
          <w:rFonts w:ascii="Times New Roman" w:hAnsi="Times New Roman" w:cs="Times New Roman"/>
          <w:lang w:val="fr-FR"/>
        </w:rPr>
      </w:pPr>
      <w:r w:rsidRPr="000A2E75">
        <w:rPr>
          <w:rFonts w:ascii="Times New Roman" w:hAnsi="Times New Roman" w:cs="Times New Roman"/>
          <w:lang w:val="fr-FR"/>
        </w:rPr>
        <w:t>’</w:t>
      </w:r>
      <w:r w:rsidRPr="000A2E75">
        <w:rPr>
          <w:rFonts w:ascii="Times New Roman" w:hAnsi="Times New Roman" w:cs="Times New Roman"/>
          <w:i/>
          <w:iCs/>
          <w:lang w:val="fr-FR"/>
        </w:rPr>
        <w:t>Dersleri düzenli takip etmelerini öneririm. Derslerde farklı etkinlikler yapmayı öneririm. Ana derslerimiz kadar resim müzik, beden eğitimi dersleri de çok önemli. Çocukların motivasyonlarını arttıran ve dikkatini geliştiren etkinlikleri bu derslerde işliyoruz. Bunların üzerinde durabiliriz. Kendileri ile ilgili bir şeyler anlatmasına fırsat verebiliriz. Bu şekilde motivasyonları artacaktır</w:t>
      </w:r>
      <w:r w:rsidRPr="000A2E75">
        <w:rPr>
          <w:rFonts w:ascii="Times New Roman" w:hAnsi="Times New Roman" w:cs="Times New Roman"/>
          <w:lang w:val="fr-FR"/>
        </w:rPr>
        <w:t>.</w:t>
      </w:r>
    </w:p>
    <w:p w14:paraId="5C01340B" w14:textId="77777777" w:rsidR="00E839E1" w:rsidRPr="000A2E75" w:rsidRDefault="00E839E1" w:rsidP="00E839E1">
      <w:pPr>
        <w:spacing w:before="120" w:after="120" w:line="276" w:lineRule="auto"/>
        <w:ind w:left="425"/>
        <w:jc w:val="both"/>
        <w:rPr>
          <w:rFonts w:ascii="Times New Roman" w:hAnsi="Times New Roman" w:cs="Times New Roman"/>
          <w:i/>
          <w:lang w:val="fr-FR"/>
        </w:rPr>
      </w:pPr>
      <w:r w:rsidRPr="000A2E75">
        <w:rPr>
          <w:rFonts w:ascii="Times New Roman" w:hAnsi="Times New Roman" w:cs="Times New Roman"/>
          <w:bCs/>
          <w:i/>
          <w:lang w:val="fr-FR"/>
        </w:rPr>
        <w:t>“EBA’daki ders saatlerinin sabit olmasını öneririm. Bir gün sabah, bir gün öğleden sonra olmamalı. Aynı okula gelir gibi sabah erken derse kalkıp girmeli. Öğleden sonra 14.30 da başlayan ve akşama kadar süren dersin hiçbir şekilde bir faydası yok. Motivasyonu arttırmak için bunun olmaması lazım. Çocuk kalktıktan sonra mutlaka temiz bir kıyafet giymeli, derse hazırlık yaparak dersin başına oturmalı, kendisine ait bir odası olmalı, ailenin destek vermesi lazım, kendisi yatarken çocuk kalkıp derse girmemeli, derse girmek için çocuğunu hazırlamalı, o ruhu vermeli. Bu süreçte bizden daha etkili olan kişiler aileler, çocuklarının takibini doğru yapmalı, ders araç gereçleri eksiksiz, düzenli ve çocuğun ulaşacağı yerde olmalı. Bu durum da motivasyonu etkiler. Maddi olarak külfetli bir süreç bilgisayar, tablet ve internetin olması gerekiyor. Ailenin bilinçli olması ve öğretmenle işbirliği yapması gerekir.”</w:t>
      </w:r>
    </w:p>
    <w:p w14:paraId="35366B8E" w14:textId="77777777" w:rsidR="00E839E1" w:rsidRPr="000A2E75" w:rsidRDefault="00E839E1" w:rsidP="00E839E1">
      <w:pPr>
        <w:spacing w:before="120" w:after="120" w:line="276" w:lineRule="auto"/>
        <w:ind w:firstLine="567"/>
        <w:jc w:val="both"/>
        <w:rPr>
          <w:rFonts w:ascii="Times New Roman" w:hAnsi="Times New Roman" w:cs="Times New Roman"/>
          <w:b/>
          <w:lang w:val="fr-FR"/>
        </w:rPr>
      </w:pPr>
      <w:r w:rsidRPr="000A2E75">
        <w:rPr>
          <w:rFonts w:ascii="Times New Roman" w:hAnsi="Times New Roman" w:cs="Times New Roman"/>
          <w:b/>
          <w:lang w:val="fr-FR"/>
        </w:rPr>
        <w:t>SONUÇ VE ÖNERİLER</w:t>
      </w:r>
    </w:p>
    <w:p w14:paraId="03C8ED19" w14:textId="77777777" w:rsidR="00E839E1" w:rsidRPr="000A2E75" w:rsidRDefault="00E839E1" w:rsidP="00E839E1">
      <w:pPr>
        <w:spacing w:before="120" w:after="120" w:line="276" w:lineRule="auto"/>
        <w:ind w:firstLine="567"/>
        <w:jc w:val="both"/>
        <w:rPr>
          <w:rFonts w:ascii="Times New Roman" w:hAnsi="Times New Roman" w:cs="Times New Roman"/>
          <w:lang w:val="fr-FR"/>
        </w:rPr>
      </w:pPr>
      <w:r w:rsidRPr="000A2E75">
        <w:rPr>
          <w:rFonts w:ascii="Times New Roman" w:hAnsi="Times New Roman" w:cs="Times New Roman"/>
          <w:lang w:val="fr-FR"/>
        </w:rPr>
        <w:t xml:space="preserve">Gerek yüz yüze gerek uzaktan (çevrim içi) eğitim ortamlarında yapılan eğitim, öğretim ve öğrenme etkinliklerinin verimli ve etkili olmasında, öğrencilerin belirlenen öğrenme hedeflerine/kazanımlarına daha kolay ulaşmalarında ve aynı zamanda akademik başarılarının da yüksek olmasında derslere ve dersle ilgili diğer etkinliklere aktif katılım göstermeleri ile motivasyon düzeylerinin istenen düzeyde olmasının oldukça etkili olduğu söylenebilir. Ancak, yüz yüze eğitimde olduğu kadar uzaktan eğitim süreçlerinde de öğrencilerin derslere katılımları ve motivasyonlarını etkileyen çok sayıda faktör bulunmaktadır. Bunların bir bölümü öğrencilerle ilgili iken, diğerleri öğretmenle, okul veya sınıf ortamıyla, ailenin nitelikleriyle, akran grubunun özellikleriyle vb. ilgilidir. Bu bağlamda, bu çalışmada 2020 Mart ayından bu yana tüm dünyayı etkisi altına alan Covid-19 Pandemisi döneminde ülkemizde gerçekleştirilen uzaktan eğitim faaliyetleri süreçlerinde ilkokul öğrencilerinin derslere katılımları ve motivasyon durumlarının öğretmenlerin görüşlerine göre ortaya konması amaçlanmıştır. </w:t>
      </w:r>
    </w:p>
    <w:p w14:paraId="4E3C88A3" w14:textId="77777777" w:rsidR="00E839E1" w:rsidRPr="000A2E75" w:rsidRDefault="00E839E1" w:rsidP="00E839E1">
      <w:pPr>
        <w:spacing w:before="120" w:after="120" w:line="276" w:lineRule="auto"/>
        <w:ind w:firstLine="567"/>
        <w:jc w:val="both"/>
        <w:rPr>
          <w:rFonts w:ascii="Times New Roman" w:hAnsi="Times New Roman" w:cs="Times New Roman"/>
          <w:lang w:val="fr-FR"/>
        </w:rPr>
      </w:pPr>
      <w:r w:rsidRPr="000A2E75">
        <w:rPr>
          <w:rFonts w:ascii="Times New Roman" w:hAnsi="Times New Roman" w:cs="Times New Roman"/>
          <w:lang w:val="fr-FR"/>
        </w:rPr>
        <w:t>Çalışmada elde edilen bulgulara göre ortaya çıkan sonuçlar şu şekildedir:</w:t>
      </w:r>
    </w:p>
    <w:p w14:paraId="0352A3AB" w14:textId="77777777" w:rsidR="00E839E1" w:rsidRPr="000A2E75" w:rsidRDefault="00E839E1" w:rsidP="00E839E1">
      <w:pPr>
        <w:spacing w:before="120" w:after="120" w:line="276" w:lineRule="auto"/>
        <w:ind w:firstLine="567"/>
        <w:jc w:val="both"/>
        <w:rPr>
          <w:rFonts w:ascii="Times New Roman" w:hAnsi="Times New Roman" w:cs="Times New Roman"/>
          <w:lang w:val="fr-FR"/>
        </w:rPr>
      </w:pPr>
      <w:r w:rsidRPr="000A2E75">
        <w:rPr>
          <w:rFonts w:ascii="Times New Roman" w:hAnsi="Times New Roman" w:cs="Times New Roman"/>
          <w:lang w:val="fr-FR"/>
        </w:rPr>
        <w:lastRenderedPageBreak/>
        <w:t>Çalışmaya katılan öğretmenler genel olarak öğrencilerinin çoğunluğunun derslere katıldıklarını, ancak bir kısmı ise sınıfın yarıya yakınının canlı derslere katılabildiğini belirtmiştir. Çalışmanın bulgularından elde edilen bir diğer sonuç ise, derslere katılamamanın olası sebepleri olmuştur. Katılımcıların görüşlerine göre “</w:t>
      </w:r>
      <w:r w:rsidRPr="000A2E75">
        <w:rPr>
          <w:rFonts w:ascii="Times New Roman" w:hAnsi="Times New Roman" w:cs="Times New Roman"/>
          <w:i/>
          <w:lang w:val="fr-FR"/>
        </w:rPr>
        <w:t>ailelerin ilgisizliği ya da çocuklarının eğitimine önem vermemeleri</w:t>
      </w:r>
      <w:r w:rsidRPr="000A2E75">
        <w:rPr>
          <w:rFonts w:ascii="Times New Roman" w:hAnsi="Times New Roman" w:cs="Times New Roman"/>
          <w:lang w:val="fr-FR"/>
        </w:rPr>
        <w:t>” en dikkat çekici sebep olarak görülürken, bunun yanında “</w:t>
      </w:r>
      <w:r w:rsidRPr="000A2E75">
        <w:rPr>
          <w:rFonts w:ascii="Times New Roman" w:hAnsi="Times New Roman" w:cs="Times New Roman"/>
          <w:i/>
          <w:lang w:val="fr-FR"/>
        </w:rPr>
        <w:t>bazı öğrencilerin evlerinde internet ya da bilgisayar, tablet gibi araçların olmaması</w:t>
      </w:r>
      <w:r w:rsidRPr="000A2E75">
        <w:rPr>
          <w:rFonts w:ascii="Times New Roman" w:hAnsi="Times New Roman" w:cs="Times New Roman"/>
          <w:lang w:val="fr-FR"/>
        </w:rPr>
        <w:t>” da en fazla dile getirilen katılamama sebeplerinden biri olmuştur. Ayrıca, “</w:t>
      </w:r>
      <w:r w:rsidRPr="000A2E75">
        <w:rPr>
          <w:rFonts w:ascii="Times New Roman" w:hAnsi="Times New Roman" w:cs="Times New Roman"/>
          <w:i/>
          <w:lang w:val="fr-FR"/>
        </w:rPr>
        <w:t>evde çocuk sayısının fazla olması</w:t>
      </w:r>
      <w:r w:rsidRPr="000A2E75">
        <w:rPr>
          <w:rFonts w:ascii="Times New Roman" w:hAnsi="Times New Roman" w:cs="Times New Roman"/>
          <w:lang w:val="fr-FR"/>
        </w:rPr>
        <w:t>”, “</w:t>
      </w:r>
      <w:r w:rsidRPr="000A2E75">
        <w:rPr>
          <w:rFonts w:ascii="Times New Roman" w:hAnsi="Times New Roman" w:cs="Times New Roman"/>
          <w:i/>
          <w:lang w:val="fr-FR"/>
        </w:rPr>
        <w:t>çeşitli sağlık problemleri</w:t>
      </w:r>
      <w:r w:rsidRPr="000A2E75">
        <w:rPr>
          <w:rFonts w:ascii="Times New Roman" w:hAnsi="Times New Roman" w:cs="Times New Roman"/>
          <w:lang w:val="fr-FR"/>
        </w:rPr>
        <w:t>” “</w:t>
      </w:r>
      <w:r w:rsidRPr="000A2E75">
        <w:rPr>
          <w:rFonts w:ascii="Times New Roman" w:hAnsi="Times New Roman" w:cs="Times New Roman"/>
          <w:i/>
          <w:lang w:val="fr-FR"/>
        </w:rPr>
        <w:t>uyanamamak, ders saatini unutmak gibi çeşitli bahaneler</w:t>
      </w:r>
      <w:r w:rsidRPr="000A2E75">
        <w:rPr>
          <w:rFonts w:ascii="Times New Roman" w:hAnsi="Times New Roman" w:cs="Times New Roman"/>
          <w:lang w:val="fr-FR"/>
        </w:rPr>
        <w:t>”, “</w:t>
      </w:r>
      <w:r w:rsidRPr="000A2E75">
        <w:rPr>
          <w:rFonts w:ascii="Times New Roman" w:hAnsi="Times New Roman" w:cs="Times New Roman"/>
          <w:i/>
          <w:lang w:val="fr-FR"/>
        </w:rPr>
        <w:t>motivasyon eksikliği</w:t>
      </w:r>
      <w:r w:rsidRPr="000A2E75">
        <w:rPr>
          <w:rFonts w:ascii="Times New Roman" w:hAnsi="Times New Roman" w:cs="Times New Roman"/>
          <w:lang w:val="fr-FR"/>
        </w:rPr>
        <w:t>”, “</w:t>
      </w:r>
      <w:r w:rsidRPr="000A2E75">
        <w:rPr>
          <w:rFonts w:ascii="Times New Roman" w:hAnsi="Times New Roman" w:cs="Times New Roman"/>
          <w:i/>
          <w:lang w:val="fr-FR"/>
        </w:rPr>
        <w:t>Suriyeli öğrencilerle dil problemi yaşanması</w:t>
      </w:r>
      <w:r w:rsidRPr="000A2E75">
        <w:rPr>
          <w:rFonts w:ascii="Times New Roman" w:hAnsi="Times New Roman" w:cs="Times New Roman"/>
          <w:lang w:val="fr-FR"/>
        </w:rPr>
        <w:t xml:space="preserve">” gibi durumlar da de canlı derslere ya da ders etkinliklerine düzenli biçimde katılım gösterilememesinin nedenleri arasında yer almıştır. </w:t>
      </w:r>
    </w:p>
    <w:p w14:paraId="145D916B" w14:textId="77777777" w:rsidR="00E839E1" w:rsidRPr="000A2E75" w:rsidRDefault="00E839E1" w:rsidP="00E839E1">
      <w:pPr>
        <w:spacing w:before="120" w:after="120" w:line="276" w:lineRule="auto"/>
        <w:ind w:firstLine="567"/>
        <w:jc w:val="both"/>
        <w:rPr>
          <w:rFonts w:ascii="Times New Roman" w:hAnsi="Times New Roman" w:cs="Times New Roman"/>
          <w:lang w:val="fr-FR"/>
        </w:rPr>
      </w:pPr>
      <w:r w:rsidRPr="000A2E75">
        <w:rPr>
          <w:rFonts w:ascii="Times New Roman" w:hAnsi="Times New Roman" w:cs="Times New Roman"/>
          <w:lang w:val="fr-FR"/>
        </w:rPr>
        <w:t xml:space="preserve">Çalışmada incelenen konulardan bir diğeri ilkokul öğrencilerinin uzaktan eğitim sürecindeki motivasyon durumlarıdır. Katılımcı öğretmenler, Pandemi dönemindeki uzaktan eğitim sürecinde öğrencilerin derslere ya da ders etkinliklere ilişkin motivasyonlarının genel anlamda bazı sebeplere bağlı olarak yüksek düzeyde olmadığını belirtmişlerdir. Öğretmenler özellikle ilk başlarda öğrencilerin motivasyonlarının daha yüksek olduğunu ancak Pandemi’nin ilerleyen dönemlerinde yavaş yavaş düştüğünü dile getirmişlerdir. Bununla birlikte, bazı öğretmenler ise öğrencilerin yüz yüze eğitim dönemindeki motivasyonları ile uzaktan eğitim süreçlerindeki motivasyon düzeyleri arasında manidar bir farklılık olmadığını ifade etmişlerdir. </w:t>
      </w:r>
    </w:p>
    <w:p w14:paraId="64A0757C" w14:textId="77777777" w:rsidR="00E839E1" w:rsidRPr="000A2E75" w:rsidRDefault="00E839E1" w:rsidP="00E839E1">
      <w:pPr>
        <w:spacing w:before="120" w:after="120" w:line="276" w:lineRule="auto"/>
        <w:ind w:firstLine="567"/>
        <w:jc w:val="both"/>
        <w:rPr>
          <w:rFonts w:ascii="Times New Roman" w:hAnsi="Times New Roman" w:cs="Times New Roman"/>
          <w:lang w:val="fr-FR"/>
        </w:rPr>
      </w:pPr>
      <w:r w:rsidRPr="000A2E75">
        <w:rPr>
          <w:rFonts w:ascii="Times New Roman" w:hAnsi="Times New Roman" w:cs="Times New Roman"/>
          <w:lang w:val="fr-FR"/>
        </w:rPr>
        <w:t>Motivasyonu düşük olan öğrencilerin motivasyonlarını düşüren sebeplere yönelik öğretmen görüşlerine göre, “</w:t>
      </w:r>
      <w:r w:rsidRPr="000A2E75">
        <w:rPr>
          <w:rFonts w:ascii="Times New Roman" w:hAnsi="Times New Roman" w:cs="Times New Roman"/>
          <w:i/>
          <w:lang w:val="fr-FR"/>
        </w:rPr>
        <w:t>velilerin süreci iyi yönetememeleri, evde dikkat dağıtıcı unsurların fazla olması, öğrencilerin okula gitmemeleri/sınıf ortamında olmamaları”</w:t>
      </w:r>
      <w:r w:rsidRPr="000A2E75">
        <w:rPr>
          <w:rFonts w:ascii="Times New Roman" w:hAnsi="Times New Roman" w:cs="Times New Roman"/>
          <w:lang w:val="fr-FR"/>
        </w:rPr>
        <w:t xml:space="preserve"> ön planda iken, bunların yanında “</w:t>
      </w:r>
      <w:r w:rsidRPr="000A2E75">
        <w:rPr>
          <w:rFonts w:ascii="Times New Roman" w:hAnsi="Times New Roman" w:cs="Times New Roman"/>
          <w:i/>
          <w:lang w:val="fr-FR"/>
        </w:rPr>
        <w:t>öğrencilerin Pandemi sürecinden olumsuz etkilenmeleri, öğretmenle öğrencilerin birebir temas edememeleri, öğretmenlerin uyguladıkları yöntem ve teknikler, derse düzenli katılmamaları, internete ya da mobil cihazlara erişimin olmaması, öğrencilerin akademik başarılarının düşük olması, öğrencilerin akıllarında oyun oynama düşüncesi olması</w:t>
      </w:r>
      <w:r w:rsidRPr="000A2E75">
        <w:rPr>
          <w:rFonts w:ascii="Times New Roman" w:hAnsi="Times New Roman" w:cs="Times New Roman"/>
          <w:lang w:val="fr-FR"/>
        </w:rPr>
        <w:t>” gibi durumlar ön plana çıkarılmıştır. Rothman’ın (1990, Akt. Eryılmaz, 2013) belirttiği gibi, öğrencilerin bir derse katılmaya motivasyonlarının olmayışı, sınıftaki en önemli problemlerden biridir. Bu noktada eğer öğrencilerin derse katılmaya ilişkin motivasyonları yoksa öğrenciler öğrenme açısından olumsuz davranışlar sergilemektedirler örneğin öğrencilerden pek çoğu sıkılmakta, dikkatini konu üzerine yoğunlaştıramamakta, okulda yapılanlar ile gerçek yaşam arasında bir bağ kuramamaktadır ve sonuçta okuldan kaçmaktadırlar.</w:t>
      </w:r>
    </w:p>
    <w:p w14:paraId="7AC80F0E" w14:textId="77777777" w:rsidR="00E839E1" w:rsidRPr="000A2E75" w:rsidRDefault="00E839E1" w:rsidP="00E839E1">
      <w:pPr>
        <w:spacing w:before="120" w:after="120" w:line="276" w:lineRule="auto"/>
        <w:ind w:firstLine="567"/>
        <w:jc w:val="both"/>
        <w:rPr>
          <w:rFonts w:ascii="Times New Roman" w:hAnsi="Times New Roman" w:cs="Times New Roman"/>
          <w:i/>
        </w:rPr>
      </w:pPr>
      <w:r w:rsidRPr="000A2E75">
        <w:rPr>
          <w:rFonts w:ascii="Times New Roman" w:hAnsi="Times New Roman" w:cs="Times New Roman"/>
        </w:rPr>
        <w:t>Çalışmada ele alınan ve verilerin analizi sonucu ortaya çıkan bulgulardan biri de uzaktan eğitim sürecinde öğrencilerin derslere katılımlarının artırılması için öğretmenlerin sundukları önerilerdir. Katılımcıların uzaktan eğitim süreçlerinde öğrenci katılımını artırmada en gerekli gördükleri husus “</w:t>
      </w:r>
      <w:r w:rsidRPr="000A2E75">
        <w:rPr>
          <w:rFonts w:ascii="Times New Roman" w:hAnsi="Times New Roman" w:cs="Times New Roman"/>
          <w:i/>
        </w:rPr>
        <w:t>velilerin çocuklarına uzaktan eğitim sürecinde yardımcı olma ya da onlarla doğru biçimde ilgilenme konusunda eğitilmeleri ve öğretmen-veli işbirliğinin çok önemli olduğu”</w:t>
      </w:r>
      <w:r w:rsidRPr="000A2E75">
        <w:rPr>
          <w:rFonts w:ascii="Times New Roman" w:hAnsi="Times New Roman" w:cs="Times New Roman"/>
        </w:rPr>
        <w:t xml:space="preserve"> konusudur.</w:t>
      </w:r>
      <w:r w:rsidRPr="000A2E75">
        <w:rPr>
          <w:rFonts w:ascii="Times New Roman" w:hAnsi="Times New Roman" w:cs="Times New Roman"/>
          <w:i/>
        </w:rPr>
        <w:t xml:space="preserve"> </w:t>
      </w:r>
      <w:r w:rsidRPr="000A2E75">
        <w:rPr>
          <w:rFonts w:ascii="Times New Roman" w:hAnsi="Times New Roman" w:cs="Times New Roman"/>
        </w:rPr>
        <w:t>Bununla birlikte, katılımcı öğretmenlerin önerileri arasında;</w:t>
      </w:r>
      <w:r w:rsidRPr="000A2E75">
        <w:rPr>
          <w:rFonts w:ascii="Times New Roman" w:hAnsi="Times New Roman" w:cs="Times New Roman"/>
          <w:i/>
        </w:rPr>
        <w:t xml:space="preserve"> “öğretmenlerin çevrim içi derslerde çeşitli ve eğlenceli etkinlikler uygulaması, öğretmenlerin uzaktan eğitime uygun yöntem ve teknikler kullanması, öğretmenlere hizmet içi eğitim verilmesi, derste yapılacak etkinlikler hakkında öğrencilere önceden bilgi verilmesi, web 2 araçlarını kullanmak, ders saatlerinin uygun zamanlarda olması</w:t>
      </w:r>
      <w:r w:rsidRPr="000A2E75">
        <w:rPr>
          <w:rFonts w:ascii="Times New Roman" w:hAnsi="Times New Roman" w:cs="Times New Roman"/>
        </w:rPr>
        <w:t>” gibi öneriler yer almıştır.</w:t>
      </w:r>
    </w:p>
    <w:p w14:paraId="67F67356" w14:textId="77777777" w:rsidR="00E839E1" w:rsidRPr="000A2E75" w:rsidRDefault="00E839E1" w:rsidP="00E839E1">
      <w:pPr>
        <w:spacing w:before="120" w:after="120" w:line="276" w:lineRule="auto"/>
        <w:ind w:firstLine="567"/>
        <w:jc w:val="both"/>
        <w:rPr>
          <w:rFonts w:ascii="Times New Roman" w:hAnsi="Times New Roman" w:cs="Times New Roman"/>
        </w:rPr>
      </w:pPr>
      <w:r w:rsidRPr="000A2E75">
        <w:rPr>
          <w:rFonts w:ascii="Times New Roman" w:hAnsi="Times New Roman" w:cs="Times New Roman"/>
        </w:rPr>
        <w:t>Öğretmenlerin uzaktan eğitim süreçlerinde öğrencilerin motivasyon düzeylerinin olabildiğince yüksek tutulmasına ilişkin önerileri de derse katılımı artırmada sunulan önerilerle benzerlik göstermesine karşın, öğrenci motivasyonunu artırmada en çok ortaya konan öneri “</w:t>
      </w:r>
      <w:r w:rsidRPr="000A2E75">
        <w:rPr>
          <w:rFonts w:ascii="Times New Roman" w:hAnsi="Times New Roman" w:cs="Times New Roman"/>
          <w:i/>
        </w:rPr>
        <w:t>öğretmenlerin çok çeşitli materyaller kullanması/ dersleri ilgi çekici hale getirmesi</w:t>
      </w:r>
      <w:r w:rsidRPr="000A2E75">
        <w:rPr>
          <w:rFonts w:ascii="Times New Roman" w:hAnsi="Times New Roman" w:cs="Times New Roman"/>
        </w:rPr>
        <w:t xml:space="preserve">” olarak görülmüştür. Bunun yanında, </w:t>
      </w:r>
      <w:r w:rsidRPr="000A2E75">
        <w:rPr>
          <w:rFonts w:ascii="Times New Roman" w:hAnsi="Times New Roman" w:cs="Times New Roman"/>
        </w:rPr>
        <w:lastRenderedPageBreak/>
        <w:t>“</w:t>
      </w:r>
      <w:r w:rsidRPr="000A2E75">
        <w:rPr>
          <w:rFonts w:ascii="Times New Roman" w:hAnsi="Times New Roman" w:cs="Times New Roman"/>
          <w:i/>
        </w:rPr>
        <w:t>öğretmenlerin öğrencilere geri dönütler ve pekiştireçler vermesi ve öğrencilere derste söz hakkı vermesi</w:t>
      </w:r>
      <w:r w:rsidRPr="000A2E75">
        <w:rPr>
          <w:rFonts w:ascii="Times New Roman" w:hAnsi="Times New Roman" w:cs="Times New Roman"/>
        </w:rPr>
        <w:t>” de yine üzerinde en çok durulan öneriler arasında yer almaktadır. Bunların dışında, “</w:t>
      </w:r>
      <w:r w:rsidRPr="000A2E75">
        <w:rPr>
          <w:rFonts w:ascii="Times New Roman" w:hAnsi="Times New Roman" w:cs="Times New Roman"/>
          <w:i/>
        </w:rPr>
        <w:t>ailelerin çocuklarının eğitimine destek vermesi”</w:t>
      </w:r>
      <w:r w:rsidRPr="000A2E75">
        <w:rPr>
          <w:rFonts w:ascii="Times New Roman" w:hAnsi="Times New Roman" w:cs="Times New Roman"/>
        </w:rPr>
        <w:t>, “</w:t>
      </w:r>
      <w:r w:rsidRPr="000A2E75">
        <w:rPr>
          <w:rFonts w:ascii="Times New Roman" w:hAnsi="Times New Roman" w:cs="Times New Roman"/>
          <w:i/>
        </w:rPr>
        <w:t>öğretmen-veli işbirliğinin yüksek olması</w:t>
      </w:r>
      <w:r w:rsidRPr="000A2E75">
        <w:rPr>
          <w:rFonts w:ascii="Times New Roman" w:hAnsi="Times New Roman" w:cs="Times New Roman"/>
        </w:rPr>
        <w:t>” ve “</w:t>
      </w:r>
      <w:r w:rsidRPr="000A2E75">
        <w:rPr>
          <w:rFonts w:ascii="Times New Roman" w:hAnsi="Times New Roman" w:cs="Times New Roman"/>
          <w:i/>
        </w:rPr>
        <w:t>öğrencilerin derslere hazırlıklı gelmeleri</w:t>
      </w:r>
      <w:r w:rsidRPr="000A2E75">
        <w:rPr>
          <w:rFonts w:ascii="Times New Roman" w:hAnsi="Times New Roman" w:cs="Times New Roman"/>
        </w:rPr>
        <w:t xml:space="preserve">” vb. ileri sürülen önerilerden olmuştur. </w:t>
      </w:r>
    </w:p>
    <w:p w14:paraId="74B38FC4" w14:textId="77777777" w:rsidR="00E839E1" w:rsidRPr="000A2E75" w:rsidRDefault="00E839E1" w:rsidP="00E839E1">
      <w:pPr>
        <w:spacing w:before="120" w:after="120" w:line="276" w:lineRule="auto"/>
        <w:ind w:firstLine="567"/>
        <w:jc w:val="both"/>
        <w:rPr>
          <w:rFonts w:ascii="Times New Roman" w:hAnsi="Times New Roman" w:cs="Times New Roman"/>
        </w:rPr>
      </w:pPr>
      <w:r w:rsidRPr="000A2E75">
        <w:rPr>
          <w:rFonts w:ascii="Times New Roman" w:hAnsi="Times New Roman" w:cs="Times New Roman"/>
        </w:rPr>
        <w:t>Sonuç olarak, bu çalışmanın bulguları da göstermiştir ki yüz yüze eğitim olsun uzaktan eğitim (eş zamanlı ya da eş zamansız öğrenme-öğretme etkinlikleri) olsun öğrenci katılımı ve motivasyonu yapılan eğitim ve öğretim faaliyetlerinin etkililiğinde ve başarısında oldukça etkili faktörler arasında yer almaktadır. Öğrencilerin ders etkinliklerine katılımlarını sağlamada ve motivasyonlarını en üst düzeyde tutmada en önemli görev kuşkusuz öğretmene düşmektedir. Johnson’un (2017) vurguladığı gibi, öğrenciler doğuştan öğrenme arzusuna sahip iken, öğretmen tarafından sağlanan dış desteğin öğrencilerin öğrenimi üzerinde önemli bir etkisi vardır. Öğretmenin motivasyondaki rolü, bunlarla sınırlı olmamak üzere, öğrenmeye elverişli bir ortam yaratmayı da içerir. Öğretmenin, öğrencilerin özerkliği, alaka düzeyi ve materyalle ilgisi konusundaki desteğini teşvik etmedeki rolü de öğrenme motivasyonunu artırır niteliktedir.</w:t>
      </w:r>
    </w:p>
    <w:p w14:paraId="279F5721" w14:textId="77777777" w:rsidR="00E839E1" w:rsidRPr="000A2E75" w:rsidRDefault="00E839E1" w:rsidP="00E839E1">
      <w:pPr>
        <w:spacing w:before="120" w:after="120" w:line="276" w:lineRule="auto"/>
        <w:ind w:firstLine="567"/>
        <w:jc w:val="both"/>
        <w:rPr>
          <w:rFonts w:ascii="Times New Roman" w:hAnsi="Times New Roman" w:cs="Times New Roman"/>
        </w:rPr>
      </w:pPr>
      <w:r w:rsidRPr="000A2E75">
        <w:rPr>
          <w:rFonts w:ascii="Times New Roman" w:hAnsi="Times New Roman" w:cs="Times New Roman"/>
        </w:rPr>
        <w:t xml:space="preserve">Bu konuda ilgili alanyazında (Johnson, 2017; Lila, 2016; Shrivastava, 2012;  Robinson, 2017, Akt. Sürücü &amp; Ünal, 2018; Kara Yılmaz, 2019) da öğretmen davranışlarının ve niteliklerinin öğrencilerin derse katılım ve motivasyonları üzerinde etkili olduğu göstermektedir. Buna göre, öğretmenlerin yüz yüze eğitim süreçlerinde olduğu kadar uzaktan eğitim ortamlarında da öğrencilerin derse katılımlarını ve motivasyonlarını artıran öğrenci merkezli öğrenme-öğretme etkinlikleri uygulamaları, öğrencilerle etkili iletişim kurmaları, olabildiğince etkileşimli aktivite ve uygulamalar gerçekleştirmeleri, öğrencilerin ebeveynleriyle sıkı işbirliği ve iletişim kurmaları, öğrencileri motive edecek ve cesaretlendirecek olumlu söz, tutum ve davranışlar göstermeleri oldukça önemlidir. </w:t>
      </w:r>
    </w:p>
    <w:p w14:paraId="26DE4975" w14:textId="77777777" w:rsidR="00E839E1" w:rsidRPr="000A2E75" w:rsidRDefault="00E839E1" w:rsidP="00E839E1">
      <w:pPr>
        <w:spacing w:before="120" w:after="120" w:line="276" w:lineRule="auto"/>
        <w:ind w:firstLine="567"/>
        <w:jc w:val="both"/>
        <w:rPr>
          <w:rFonts w:ascii="Times New Roman" w:hAnsi="Times New Roman" w:cs="Times New Roman"/>
          <w:b/>
        </w:rPr>
      </w:pPr>
    </w:p>
    <w:p w14:paraId="38B4D762" w14:textId="77777777" w:rsidR="00E839E1" w:rsidRPr="000A2E75" w:rsidRDefault="00E839E1" w:rsidP="00E839E1">
      <w:pPr>
        <w:spacing w:before="120" w:after="120" w:line="276" w:lineRule="auto"/>
        <w:ind w:firstLine="567"/>
        <w:jc w:val="both"/>
        <w:rPr>
          <w:rFonts w:ascii="Times New Roman" w:hAnsi="Times New Roman" w:cs="Times New Roman"/>
          <w:b/>
        </w:rPr>
      </w:pPr>
    </w:p>
    <w:p w14:paraId="0CB7A831" w14:textId="77777777" w:rsidR="00E839E1" w:rsidRPr="000A2E75" w:rsidRDefault="00E839E1" w:rsidP="00E839E1">
      <w:pPr>
        <w:spacing w:before="120" w:after="120" w:line="276" w:lineRule="auto"/>
        <w:ind w:firstLine="567"/>
        <w:jc w:val="both"/>
        <w:rPr>
          <w:rFonts w:ascii="Times New Roman" w:hAnsi="Times New Roman" w:cs="Times New Roman"/>
          <w:b/>
        </w:rPr>
      </w:pPr>
    </w:p>
    <w:p w14:paraId="7CBC0E41" w14:textId="77777777" w:rsidR="00E839E1" w:rsidRPr="000A2E75" w:rsidRDefault="00E839E1" w:rsidP="00E839E1">
      <w:pPr>
        <w:spacing w:before="120" w:after="120" w:line="276" w:lineRule="auto"/>
        <w:ind w:firstLine="567"/>
        <w:jc w:val="both"/>
        <w:rPr>
          <w:rFonts w:ascii="Times New Roman" w:hAnsi="Times New Roman" w:cs="Times New Roman"/>
          <w:b/>
        </w:rPr>
      </w:pPr>
    </w:p>
    <w:p w14:paraId="557BC521" w14:textId="77777777" w:rsidR="00E839E1" w:rsidRDefault="00E839E1" w:rsidP="00E839E1">
      <w:pPr>
        <w:spacing w:before="120" w:after="120" w:line="276" w:lineRule="auto"/>
        <w:ind w:firstLine="567"/>
        <w:jc w:val="both"/>
        <w:rPr>
          <w:rFonts w:ascii="Times New Roman" w:hAnsi="Times New Roman" w:cs="Times New Roman"/>
          <w:b/>
        </w:rPr>
      </w:pPr>
    </w:p>
    <w:p w14:paraId="08466406" w14:textId="77777777" w:rsidR="00E839E1" w:rsidRDefault="00E839E1" w:rsidP="00E839E1">
      <w:pPr>
        <w:spacing w:before="120" w:after="120" w:line="276" w:lineRule="auto"/>
        <w:ind w:firstLine="567"/>
        <w:jc w:val="both"/>
        <w:rPr>
          <w:rFonts w:ascii="Times New Roman" w:hAnsi="Times New Roman" w:cs="Times New Roman"/>
          <w:b/>
        </w:rPr>
      </w:pPr>
    </w:p>
    <w:p w14:paraId="0F77F647" w14:textId="77777777" w:rsidR="00E839E1" w:rsidRDefault="00E839E1" w:rsidP="00E839E1">
      <w:pPr>
        <w:spacing w:before="120" w:after="120" w:line="276" w:lineRule="auto"/>
        <w:ind w:firstLine="567"/>
        <w:jc w:val="both"/>
        <w:rPr>
          <w:rFonts w:ascii="Times New Roman" w:hAnsi="Times New Roman" w:cs="Times New Roman"/>
          <w:b/>
        </w:rPr>
      </w:pPr>
    </w:p>
    <w:p w14:paraId="082FA8D6" w14:textId="77777777" w:rsidR="00E839E1" w:rsidRDefault="00E839E1" w:rsidP="00E839E1">
      <w:pPr>
        <w:spacing w:before="120" w:after="120" w:line="276" w:lineRule="auto"/>
        <w:ind w:firstLine="567"/>
        <w:jc w:val="both"/>
        <w:rPr>
          <w:rFonts w:ascii="Times New Roman" w:hAnsi="Times New Roman" w:cs="Times New Roman"/>
          <w:b/>
        </w:rPr>
      </w:pPr>
    </w:p>
    <w:p w14:paraId="276CBF35" w14:textId="77777777" w:rsidR="00E839E1" w:rsidRDefault="00E839E1" w:rsidP="00E839E1">
      <w:pPr>
        <w:spacing w:before="120" w:after="120" w:line="276" w:lineRule="auto"/>
        <w:ind w:firstLine="567"/>
        <w:jc w:val="both"/>
        <w:rPr>
          <w:rFonts w:ascii="Times New Roman" w:hAnsi="Times New Roman" w:cs="Times New Roman"/>
          <w:b/>
        </w:rPr>
      </w:pPr>
    </w:p>
    <w:p w14:paraId="11F02734" w14:textId="77777777" w:rsidR="00E839E1" w:rsidRDefault="00E839E1" w:rsidP="00E839E1">
      <w:pPr>
        <w:spacing w:before="120" w:after="120" w:line="276" w:lineRule="auto"/>
        <w:ind w:firstLine="567"/>
        <w:jc w:val="both"/>
        <w:rPr>
          <w:rFonts w:ascii="Times New Roman" w:hAnsi="Times New Roman" w:cs="Times New Roman"/>
          <w:b/>
        </w:rPr>
      </w:pPr>
    </w:p>
    <w:p w14:paraId="451CAC4A" w14:textId="7028A4DC" w:rsidR="00E839E1" w:rsidRDefault="00E839E1" w:rsidP="00E839E1">
      <w:pPr>
        <w:spacing w:before="120" w:after="120" w:line="276" w:lineRule="auto"/>
        <w:ind w:firstLine="567"/>
        <w:jc w:val="both"/>
        <w:rPr>
          <w:rFonts w:ascii="Times New Roman" w:hAnsi="Times New Roman" w:cs="Times New Roman"/>
          <w:b/>
        </w:rPr>
      </w:pPr>
    </w:p>
    <w:p w14:paraId="62498B99" w14:textId="421521C6" w:rsidR="008934F8" w:rsidRDefault="008934F8" w:rsidP="00E839E1">
      <w:pPr>
        <w:spacing w:before="120" w:after="120" w:line="276" w:lineRule="auto"/>
        <w:ind w:firstLine="567"/>
        <w:jc w:val="both"/>
        <w:rPr>
          <w:rFonts w:ascii="Times New Roman" w:hAnsi="Times New Roman" w:cs="Times New Roman"/>
          <w:b/>
        </w:rPr>
      </w:pPr>
    </w:p>
    <w:p w14:paraId="3FBD7355" w14:textId="4D55EEDB" w:rsidR="008934F8" w:rsidRDefault="008934F8" w:rsidP="00E839E1">
      <w:pPr>
        <w:spacing w:before="120" w:after="120" w:line="276" w:lineRule="auto"/>
        <w:ind w:firstLine="567"/>
        <w:jc w:val="both"/>
        <w:rPr>
          <w:rFonts w:ascii="Times New Roman" w:hAnsi="Times New Roman" w:cs="Times New Roman"/>
          <w:b/>
        </w:rPr>
      </w:pPr>
    </w:p>
    <w:p w14:paraId="74B935ED" w14:textId="0DD10C5C" w:rsidR="008934F8" w:rsidRDefault="008934F8" w:rsidP="00E839E1">
      <w:pPr>
        <w:spacing w:before="120" w:after="120" w:line="276" w:lineRule="auto"/>
        <w:ind w:firstLine="567"/>
        <w:jc w:val="both"/>
        <w:rPr>
          <w:rFonts w:ascii="Times New Roman" w:hAnsi="Times New Roman" w:cs="Times New Roman"/>
          <w:b/>
        </w:rPr>
      </w:pPr>
    </w:p>
    <w:p w14:paraId="27D3E410" w14:textId="77777777" w:rsidR="008934F8" w:rsidRDefault="008934F8" w:rsidP="00E839E1">
      <w:pPr>
        <w:spacing w:before="120" w:after="120" w:line="276" w:lineRule="auto"/>
        <w:ind w:firstLine="567"/>
        <w:jc w:val="both"/>
        <w:rPr>
          <w:rFonts w:ascii="Times New Roman" w:hAnsi="Times New Roman" w:cs="Times New Roman"/>
          <w:b/>
        </w:rPr>
      </w:pPr>
    </w:p>
    <w:p w14:paraId="780A67C6" w14:textId="77777777" w:rsidR="00E839E1" w:rsidRPr="000A2E75" w:rsidRDefault="00E839E1" w:rsidP="00E839E1">
      <w:pPr>
        <w:spacing w:before="120" w:after="120" w:line="276" w:lineRule="auto"/>
        <w:ind w:firstLine="567"/>
        <w:jc w:val="both"/>
        <w:rPr>
          <w:rFonts w:ascii="Times New Roman" w:hAnsi="Times New Roman" w:cs="Times New Roman"/>
          <w:b/>
        </w:rPr>
      </w:pPr>
    </w:p>
    <w:p w14:paraId="423C0F6A" w14:textId="77777777" w:rsidR="00E839E1" w:rsidRPr="000A2E75" w:rsidRDefault="00E839E1" w:rsidP="00E839E1">
      <w:pPr>
        <w:spacing w:before="120" w:after="120" w:line="276" w:lineRule="auto"/>
        <w:ind w:firstLine="567"/>
        <w:jc w:val="both"/>
        <w:rPr>
          <w:rFonts w:ascii="Times New Roman" w:hAnsi="Times New Roman" w:cs="Times New Roman"/>
          <w:b/>
        </w:rPr>
      </w:pPr>
    </w:p>
    <w:p w14:paraId="26E7A7BE" w14:textId="77777777" w:rsidR="00C95516" w:rsidRPr="000A2E75" w:rsidRDefault="00C95516" w:rsidP="00C95516">
      <w:pPr>
        <w:spacing w:before="120"/>
        <w:ind w:firstLine="567"/>
        <w:jc w:val="both"/>
        <w:rPr>
          <w:rFonts w:ascii="Times New Roman" w:hAnsi="Times New Roman" w:cs="Times New Roman"/>
          <w:b/>
        </w:rPr>
      </w:pPr>
      <w:r>
        <w:rPr>
          <w:rFonts w:ascii="Times New Roman" w:hAnsi="Times New Roman" w:cs="Times New Roman"/>
          <w:b/>
        </w:rPr>
        <w:lastRenderedPageBreak/>
        <w:t>Kaynakça</w:t>
      </w:r>
    </w:p>
    <w:p w14:paraId="422035D5" w14:textId="77777777" w:rsidR="00E839E1" w:rsidRPr="000A2E75" w:rsidRDefault="00E839E1" w:rsidP="00E839E1">
      <w:pPr>
        <w:pStyle w:val="Default"/>
        <w:spacing w:after="120"/>
        <w:ind w:left="426" w:hanging="426"/>
        <w:jc w:val="both"/>
        <w:rPr>
          <w:color w:val="auto"/>
          <w:sz w:val="22"/>
          <w:szCs w:val="22"/>
        </w:rPr>
      </w:pPr>
      <w:r w:rsidRPr="000A2E75">
        <w:rPr>
          <w:sz w:val="22"/>
          <w:szCs w:val="22"/>
        </w:rPr>
        <w:t>Abdullah, M.Y</w:t>
      </w:r>
      <w:r w:rsidRPr="000A2E75">
        <w:rPr>
          <w:color w:val="auto"/>
          <w:sz w:val="22"/>
          <w:szCs w:val="22"/>
        </w:rPr>
        <w:t xml:space="preserve">., Abo Bakar, N.R. &amp; Mahbob, M.H. (2012). Student’s participation in classroom: what motivates them to speak up? </w:t>
      </w:r>
      <w:r w:rsidRPr="000A2E75">
        <w:rPr>
          <w:i/>
          <w:color w:val="auto"/>
          <w:sz w:val="22"/>
          <w:szCs w:val="22"/>
        </w:rPr>
        <w:t>Procedia-Social and Behavioral Sciences (ARTSEDU 2012</w:t>
      </w:r>
      <w:r w:rsidRPr="000A2E75">
        <w:rPr>
          <w:color w:val="auto"/>
          <w:sz w:val="22"/>
          <w:szCs w:val="22"/>
        </w:rPr>
        <w:t xml:space="preserve">), 51, 516-522. (Available online at </w:t>
      </w:r>
      <w:hyperlink r:id="rId426" w:history="1">
        <w:r w:rsidRPr="000A2E75">
          <w:rPr>
            <w:rStyle w:val="Kpr"/>
            <w:color w:val="auto"/>
            <w:sz w:val="22"/>
            <w:szCs w:val="22"/>
          </w:rPr>
          <w:t>www.sciencedirect.com</w:t>
        </w:r>
      </w:hyperlink>
      <w:r w:rsidRPr="000A2E75">
        <w:rPr>
          <w:color w:val="auto"/>
          <w:sz w:val="22"/>
          <w:szCs w:val="22"/>
        </w:rPr>
        <w:t>)</w:t>
      </w:r>
    </w:p>
    <w:p w14:paraId="68BDFA61" w14:textId="77777777" w:rsidR="00E839E1" w:rsidRPr="000A2E75" w:rsidRDefault="00E839E1" w:rsidP="00E839E1">
      <w:pPr>
        <w:pStyle w:val="Default"/>
        <w:spacing w:after="120"/>
        <w:ind w:left="426" w:hanging="426"/>
        <w:jc w:val="both"/>
        <w:rPr>
          <w:color w:val="auto"/>
          <w:sz w:val="22"/>
          <w:szCs w:val="22"/>
        </w:rPr>
      </w:pPr>
      <w:r w:rsidRPr="000A2E75">
        <w:rPr>
          <w:color w:val="auto"/>
          <w:sz w:val="22"/>
          <w:szCs w:val="22"/>
        </w:rPr>
        <w:t xml:space="preserve">Balaban Salı, J. (2008). </w:t>
      </w:r>
      <w:r w:rsidRPr="000A2E75">
        <w:rPr>
          <w:rStyle w:val="Vurgu"/>
          <w:color w:val="auto"/>
          <w:sz w:val="22"/>
          <w:szCs w:val="22"/>
          <w:shd w:val="clear" w:color="auto" w:fill="FFFFFF"/>
        </w:rPr>
        <w:t>Designing motivational learning systems</w:t>
      </w:r>
      <w:r w:rsidRPr="000A2E75">
        <w:rPr>
          <w:color w:val="auto"/>
          <w:sz w:val="22"/>
          <w:szCs w:val="22"/>
          <w:shd w:val="clear" w:color="auto" w:fill="FFFFFF"/>
        </w:rPr>
        <w:t> in </w:t>
      </w:r>
      <w:r w:rsidRPr="000A2E75">
        <w:rPr>
          <w:rStyle w:val="Vurgu"/>
          <w:color w:val="auto"/>
          <w:sz w:val="22"/>
          <w:szCs w:val="22"/>
          <w:shd w:val="clear" w:color="auto" w:fill="FFFFFF"/>
        </w:rPr>
        <w:t>distance</w:t>
      </w:r>
      <w:r w:rsidRPr="000A2E75">
        <w:rPr>
          <w:color w:val="auto"/>
          <w:sz w:val="22"/>
          <w:szCs w:val="22"/>
          <w:shd w:val="clear" w:color="auto" w:fill="FFFFFF"/>
        </w:rPr>
        <w:t xml:space="preserve"> education. </w:t>
      </w:r>
      <w:r w:rsidRPr="000A2E75">
        <w:rPr>
          <w:i/>
          <w:color w:val="auto"/>
          <w:sz w:val="22"/>
          <w:szCs w:val="22"/>
          <w:shd w:val="clear" w:color="auto" w:fill="FFFFFF"/>
        </w:rPr>
        <w:t>Turkish </w:t>
      </w:r>
      <w:r w:rsidRPr="000A2E75">
        <w:rPr>
          <w:rStyle w:val="Vurgu"/>
          <w:color w:val="auto"/>
          <w:sz w:val="22"/>
          <w:szCs w:val="22"/>
          <w:shd w:val="clear" w:color="auto" w:fill="FFFFFF"/>
        </w:rPr>
        <w:t>Online</w:t>
      </w:r>
      <w:r w:rsidRPr="000A2E75">
        <w:rPr>
          <w:i/>
          <w:color w:val="auto"/>
          <w:sz w:val="22"/>
          <w:szCs w:val="22"/>
          <w:shd w:val="clear" w:color="auto" w:fill="FFFFFF"/>
        </w:rPr>
        <w:t> Journal of </w:t>
      </w:r>
      <w:r w:rsidRPr="000A2E75">
        <w:rPr>
          <w:rStyle w:val="Vurgu"/>
          <w:color w:val="auto"/>
          <w:sz w:val="22"/>
          <w:szCs w:val="22"/>
          <w:shd w:val="clear" w:color="auto" w:fill="FFFFFF"/>
        </w:rPr>
        <w:t>Distance Education-TOJDE</w:t>
      </w:r>
      <w:r w:rsidRPr="000A2E75">
        <w:rPr>
          <w:i/>
          <w:color w:val="auto"/>
          <w:sz w:val="22"/>
          <w:szCs w:val="22"/>
          <w:shd w:val="clear" w:color="auto" w:fill="FFFFFF"/>
        </w:rPr>
        <w:t>, 9</w:t>
      </w:r>
      <w:r w:rsidRPr="000A2E75">
        <w:rPr>
          <w:color w:val="auto"/>
          <w:sz w:val="22"/>
          <w:szCs w:val="22"/>
          <w:shd w:val="clear" w:color="auto" w:fill="FFFFFF"/>
        </w:rPr>
        <w:t>(3), 149-161.</w:t>
      </w:r>
    </w:p>
    <w:p w14:paraId="5B3B3873" w14:textId="77777777" w:rsidR="00E839E1" w:rsidRPr="000A2E75" w:rsidRDefault="00E839E1" w:rsidP="00E839E1">
      <w:pPr>
        <w:pStyle w:val="Default"/>
        <w:spacing w:after="120"/>
        <w:ind w:left="426" w:hanging="426"/>
        <w:jc w:val="both"/>
        <w:rPr>
          <w:color w:val="auto"/>
          <w:sz w:val="22"/>
          <w:szCs w:val="22"/>
        </w:rPr>
      </w:pPr>
      <w:r w:rsidRPr="000A2E75">
        <w:rPr>
          <w:color w:val="auto"/>
          <w:sz w:val="22"/>
          <w:szCs w:val="22"/>
        </w:rPr>
        <w:t xml:space="preserve">Fidan, N. (1996). </w:t>
      </w:r>
      <w:r w:rsidRPr="000A2E75">
        <w:rPr>
          <w:i/>
          <w:color w:val="auto"/>
          <w:sz w:val="22"/>
          <w:szCs w:val="22"/>
        </w:rPr>
        <w:t>Okulda öğrenme ve öğretme</w:t>
      </w:r>
      <w:r w:rsidRPr="000A2E75">
        <w:rPr>
          <w:color w:val="auto"/>
          <w:sz w:val="22"/>
          <w:szCs w:val="22"/>
        </w:rPr>
        <w:t>. Ankara: Alkım Yayınevi.</w:t>
      </w:r>
    </w:p>
    <w:p w14:paraId="09F16C1F" w14:textId="77777777" w:rsidR="00E839E1" w:rsidRPr="000A2E75" w:rsidRDefault="00E839E1" w:rsidP="00E839E1">
      <w:pPr>
        <w:pStyle w:val="Default"/>
        <w:spacing w:after="120"/>
        <w:ind w:left="426" w:hanging="426"/>
        <w:jc w:val="both"/>
        <w:rPr>
          <w:bCs/>
          <w:color w:val="auto"/>
          <w:sz w:val="22"/>
          <w:szCs w:val="22"/>
        </w:rPr>
      </w:pPr>
      <w:r w:rsidRPr="000A2E75">
        <w:rPr>
          <w:color w:val="auto"/>
          <w:sz w:val="22"/>
          <w:szCs w:val="22"/>
        </w:rPr>
        <w:t xml:space="preserve">Eryılmaz, A. (2013).  </w:t>
      </w:r>
      <w:r w:rsidRPr="000A2E75">
        <w:rPr>
          <w:bCs/>
          <w:color w:val="auto"/>
          <w:sz w:val="22"/>
          <w:szCs w:val="22"/>
        </w:rPr>
        <w:t xml:space="preserve">Okulda motivasyon ve amotivasyon: derse katılmada öğretmenden beklentiler ölçeği’nin geliştirilmesi. </w:t>
      </w:r>
      <w:r w:rsidRPr="000A2E75">
        <w:rPr>
          <w:bCs/>
          <w:i/>
          <w:color w:val="auto"/>
          <w:sz w:val="22"/>
          <w:szCs w:val="22"/>
        </w:rPr>
        <w:t>Mehmet Akif Ersoy Üniversitesi Eğitim Fakültesi Dergisi, 13</w:t>
      </w:r>
      <w:r w:rsidRPr="000A2E75">
        <w:rPr>
          <w:bCs/>
          <w:color w:val="auto"/>
          <w:sz w:val="22"/>
          <w:szCs w:val="22"/>
        </w:rPr>
        <w:t>(25), 1-18.</w:t>
      </w:r>
    </w:p>
    <w:p w14:paraId="0DCD9AA9" w14:textId="77777777" w:rsidR="00E839E1" w:rsidRPr="000A2E75" w:rsidRDefault="00E839E1" w:rsidP="00E839E1">
      <w:pPr>
        <w:spacing w:after="120"/>
        <w:ind w:left="426" w:hanging="426"/>
        <w:jc w:val="both"/>
        <w:rPr>
          <w:rFonts w:ascii="Times New Roman" w:hAnsi="Times New Roman" w:cs="Times New Roman"/>
          <w:color w:val="222222"/>
        </w:rPr>
      </w:pPr>
      <w:r w:rsidRPr="000A2E75">
        <w:rPr>
          <w:rFonts w:ascii="Times New Roman" w:hAnsi="Times New Roman" w:cs="Times New Roman"/>
        </w:rPr>
        <w:t xml:space="preserve">Johnson, D. (2017). The role of teachers in motivating students to learn. </w:t>
      </w:r>
      <w:r w:rsidRPr="000A2E75">
        <w:rPr>
          <w:rStyle w:val="HTMLCite"/>
          <w:rFonts w:ascii="Times New Roman" w:hAnsi="Times New Roman" w:cs="Times New Roman"/>
          <w:color w:val="222222"/>
          <w:bdr w:val="none" w:sz="0" w:space="0" w:color="auto" w:frame="1"/>
        </w:rPr>
        <w:t>BU Journal of Graduate Studies in Education</w:t>
      </w:r>
      <w:r w:rsidRPr="000A2E75">
        <w:rPr>
          <w:rFonts w:ascii="Times New Roman" w:hAnsi="Times New Roman" w:cs="Times New Roman"/>
          <w:color w:val="222222"/>
        </w:rPr>
        <w:t xml:space="preserve">, </w:t>
      </w:r>
      <w:r w:rsidRPr="000A2E75">
        <w:rPr>
          <w:rFonts w:ascii="Times New Roman" w:hAnsi="Times New Roman" w:cs="Times New Roman"/>
          <w:i/>
          <w:color w:val="222222"/>
        </w:rPr>
        <w:t>9</w:t>
      </w:r>
      <w:r w:rsidRPr="000A2E75">
        <w:rPr>
          <w:rFonts w:ascii="Times New Roman" w:hAnsi="Times New Roman" w:cs="Times New Roman"/>
          <w:color w:val="222222"/>
        </w:rPr>
        <w:t>(1), 46-49.</w:t>
      </w:r>
    </w:p>
    <w:p w14:paraId="23B2FE1E" w14:textId="77777777" w:rsidR="00E839E1" w:rsidRPr="000A2E75" w:rsidRDefault="00E839E1" w:rsidP="00E839E1">
      <w:pPr>
        <w:spacing w:after="120"/>
        <w:ind w:left="426" w:hanging="426"/>
        <w:jc w:val="both"/>
        <w:rPr>
          <w:rFonts w:ascii="Times New Roman" w:hAnsi="Times New Roman" w:cs="Times New Roman"/>
        </w:rPr>
      </w:pPr>
      <w:r w:rsidRPr="000A2E75">
        <w:rPr>
          <w:rFonts w:ascii="Times New Roman" w:hAnsi="Times New Roman" w:cs="Times New Roman"/>
          <w:spacing w:val="2"/>
          <w:shd w:val="clear" w:color="auto" w:fill="FFFFFF"/>
        </w:rPr>
        <w:t>Kara Yılmaz, B. (2019). Teacher’s role in encouraging student participation in reading skills. </w:t>
      </w:r>
      <w:r w:rsidRPr="000A2E75">
        <w:rPr>
          <w:rFonts w:ascii="Times New Roman" w:hAnsi="Times New Roman" w:cs="Times New Roman"/>
          <w:i/>
          <w:iCs/>
          <w:spacing w:val="2"/>
          <w:shd w:val="clear" w:color="auto" w:fill="FFFFFF"/>
        </w:rPr>
        <w:t>European Journal of Teaching and Education</w:t>
      </w:r>
      <w:r w:rsidRPr="000A2E75">
        <w:rPr>
          <w:rFonts w:ascii="Times New Roman" w:hAnsi="Times New Roman" w:cs="Times New Roman"/>
          <w:spacing w:val="2"/>
          <w:shd w:val="clear" w:color="auto" w:fill="FFFFFF"/>
        </w:rPr>
        <w:t>, </w:t>
      </w:r>
      <w:r w:rsidRPr="000A2E75">
        <w:rPr>
          <w:rFonts w:ascii="Times New Roman" w:hAnsi="Times New Roman" w:cs="Times New Roman"/>
          <w:i/>
          <w:iCs/>
          <w:spacing w:val="2"/>
          <w:shd w:val="clear" w:color="auto" w:fill="FFFFFF"/>
        </w:rPr>
        <w:t>1</w:t>
      </w:r>
      <w:r w:rsidRPr="000A2E75">
        <w:rPr>
          <w:rFonts w:ascii="Times New Roman" w:hAnsi="Times New Roman" w:cs="Times New Roman"/>
          <w:spacing w:val="2"/>
          <w:shd w:val="clear" w:color="auto" w:fill="FFFFFF"/>
        </w:rPr>
        <w:t>(1), 1-4. https://doi.org/10.33422/EJTE.2019.10.24</w:t>
      </w:r>
    </w:p>
    <w:p w14:paraId="24CB8BA2" w14:textId="77777777" w:rsidR="00E839E1" w:rsidRPr="000A2E75" w:rsidRDefault="00E839E1" w:rsidP="00E839E1">
      <w:pPr>
        <w:spacing w:after="120"/>
        <w:ind w:left="426" w:hanging="426"/>
        <w:jc w:val="both"/>
        <w:rPr>
          <w:rFonts w:ascii="Times New Roman" w:hAnsi="Times New Roman" w:cs="Times New Roman"/>
        </w:rPr>
      </w:pPr>
      <w:r w:rsidRPr="000A2E75">
        <w:rPr>
          <w:rFonts w:ascii="Times New Roman" w:hAnsi="Times New Roman" w:cs="Times New Roman"/>
          <w:color w:val="222222"/>
        </w:rPr>
        <w:t xml:space="preserve">Lila, B. (2016). </w:t>
      </w:r>
      <w:r w:rsidRPr="000A2E75">
        <w:rPr>
          <w:rFonts w:ascii="Times New Roman" w:hAnsi="Times New Roman" w:cs="Times New Roman"/>
        </w:rPr>
        <w:t xml:space="preserve">Factors that hinders student’s motivation - a case study of Albania. </w:t>
      </w:r>
      <w:r w:rsidRPr="000A2E75">
        <w:rPr>
          <w:rFonts w:ascii="Times New Roman" w:hAnsi="Times New Roman" w:cs="Times New Roman"/>
          <w:i/>
        </w:rPr>
        <w:t>European Scientific Journal, 12</w:t>
      </w:r>
      <w:r w:rsidRPr="000A2E75">
        <w:rPr>
          <w:rFonts w:ascii="Times New Roman" w:hAnsi="Times New Roman" w:cs="Times New Roman"/>
        </w:rPr>
        <w:t>(16), 237-247.</w:t>
      </w:r>
    </w:p>
    <w:p w14:paraId="2FB88B50" w14:textId="77777777" w:rsidR="00E839E1" w:rsidRPr="000A2E75" w:rsidRDefault="00E839E1" w:rsidP="00E839E1">
      <w:pPr>
        <w:spacing w:after="120"/>
        <w:ind w:left="426" w:hanging="426"/>
        <w:jc w:val="both"/>
        <w:rPr>
          <w:rFonts w:ascii="Times New Roman" w:hAnsi="Times New Roman" w:cs="Times New Roman"/>
        </w:rPr>
      </w:pPr>
      <w:r w:rsidRPr="000A2E75">
        <w:rPr>
          <w:rFonts w:ascii="Times New Roman" w:hAnsi="Times New Roman" w:cs="Times New Roman"/>
        </w:rPr>
        <w:t xml:space="preserve">Merriam, S. (2013). </w:t>
      </w:r>
      <w:r w:rsidRPr="000A2E75">
        <w:rPr>
          <w:rFonts w:ascii="Times New Roman" w:hAnsi="Times New Roman" w:cs="Times New Roman"/>
          <w:i/>
        </w:rPr>
        <w:t>Nitel araştırma: Desen ve uygulama için bir rehber</w:t>
      </w:r>
      <w:r w:rsidRPr="000A2E75">
        <w:rPr>
          <w:rFonts w:ascii="Times New Roman" w:hAnsi="Times New Roman" w:cs="Times New Roman"/>
        </w:rPr>
        <w:t xml:space="preserve"> (Çev. Ed. S. Turan). Ankara: Nobel Yayın.</w:t>
      </w:r>
    </w:p>
    <w:p w14:paraId="55C53E26" w14:textId="77777777" w:rsidR="00E839E1" w:rsidRPr="000A2E75" w:rsidRDefault="00E839E1" w:rsidP="00E839E1">
      <w:pPr>
        <w:spacing w:after="120"/>
        <w:ind w:left="426" w:hanging="426"/>
        <w:jc w:val="both"/>
        <w:rPr>
          <w:rFonts w:ascii="Times New Roman" w:hAnsi="Times New Roman" w:cs="Times New Roman"/>
        </w:rPr>
      </w:pPr>
      <w:r w:rsidRPr="000A2E75">
        <w:rPr>
          <w:rFonts w:ascii="Times New Roman" w:hAnsi="Times New Roman" w:cs="Times New Roman"/>
        </w:rPr>
        <w:t xml:space="preserve">Senemoğlu, N. (2009).  </w:t>
      </w:r>
      <w:r w:rsidRPr="000A2E75">
        <w:rPr>
          <w:rFonts w:ascii="Times New Roman" w:hAnsi="Times New Roman" w:cs="Times New Roman"/>
          <w:i/>
        </w:rPr>
        <w:t>Gelişim, öğrenme ve öğretim</w:t>
      </w:r>
      <w:r w:rsidRPr="000A2E75">
        <w:rPr>
          <w:rFonts w:ascii="Times New Roman" w:hAnsi="Times New Roman" w:cs="Times New Roman"/>
        </w:rPr>
        <w:t xml:space="preserve">: </w:t>
      </w:r>
      <w:r w:rsidRPr="000A2E75">
        <w:rPr>
          <w:rFonts w:ascii="Times New Roman" w:hAnsi="Times New Roman" w:cs="Times New Roman"/>
          <w:i/>
        </w:rPr>
        <w:t>kuramdan uygulamaya</w:t>
      </w:r>
      <w:r w:rsidRPr="000A2E75">
        <w:rPr>
          <w:rFonts w:ascii="Times New Roman" w:hAnsi="Times New Roman" w:cs="Times New Roman"/>
        </w:rPr>
        <w:t>. Ankara: Pegem Akademi.</w:t>
      </w:r>
    </w:p>
    <w:p w14:paraId="0AEE1997" w14:textId="77777777" w:rsidR="00E839E1" w:rsidRPr="000A2E75" w:rsidRDefault="00E839E1" w:rsidP="00E839E1">
      <w:pPr>
        <w:spacing w:after="120"/>
        <w:ind w:left="426" w:hanging="426"/>
        <w:jc w:val="both"/>
        <w:rPr>
          <w:rFonts w:ascii="Times New Roman" w:hAnsi="Times New Roman" w:cs="Times New Roman"/>
        </w:rPr>
      </w:pPr>
      <w:r w:rsidRPr="000A2E75">
        <w:rPr>
          <w:rFonts w:ascii="Times New Roman" w:hAnsi="Times New Roman" w:cs="Times New Roman"/>
        </w:rPr>
        <w:t xml:space="preserve">Shrivastava, L. (2012). Student’s motivation: a teacher’s role. </w:t>
      </w:r>
      <w:r w:rsidRPr="000A2E75">
        <w:rPr>
          <w:rFonts w:ascii="Times New Roman" w:hAnsi="Times New Roman" w:cs="Times New Roman"/>
          <w:i/>
        </w:rPr>
        <w:t>International Journal of Research and Development - A Management Review (IJRDMR), 1</w:t>
      </w:r>
      <w:r w:rsidRPr="000A2E75">
        <w:rPr>
          <w:rFonts w:ascii="Times New Roman" w:hAnsi="Times New Roman" w:cs="Times New Roman"/>
        </w:rPr>
        <w:t xml:space="preserve">(1), 63-65. </w:t>
      </w:r>
    </w:p>
    <w:p w14:paraId="6B586AE7" w14:textId="77777777" w:rsidR="00E839E1" w:rsidRPr="000A2E75" w:rsidRDefault="00E839E1" w:rsidP="00E839E1">
      <w:pPr>
        <w:spacing w:after="120"/>
        <w:ind w:left="426" w:hanging="426"/>
        <w:jc w:val="both"/>
        <w:rPr>
          <w:rFonts w:ascii="Times New Roman" w:hAnsi="Times New Roman" w:cs="Times New Roman"/>
        </w:rPr>
      </w:pPr>
      <w:r w:rsidRPr="000A2E75">
        <w:rPr>
          <w:rFonts w:ascii="Times New Roman" w:hAnsi="Times New Roman" w:cs="Times New Roman"/>
        </w:rPr>
        <w:t xml:space="preserve">Simonson, M., Smaldino, S. E., Albright, M., &amp; Zvacek, S. (2009). </w:t>
      </w:r>
      <w:r w:rsidRPr="000A2E75">
        <w:rPr>
          <w:rFonts w:ascii="Times New Roman" w:hAnsi="Times New Roman" w:cs="Times New Roman"/>
          <w:i/>
        </w:rPr>
        <w:t>Teaching and learning at a distance: foundations of distance education</w:t>
      </w:r>
      <w:r w:rsidRPr="000A2E75">
        <w:rPr>
          <w:rFonts w:ascii="Times New Roman" w:hAnsi="Times New Roman" w:cs="Times New Roman"/>
        </w:rPr>
        <w:t xml:space="preserve"> (4th Edition). Boston, MA: Prentice Hall.</w:t>
      </w:r>
    </w:p>
    <w:p w14:paraId="3A0A10D6" w14:textId="77777777" w:rsidR="00E839E1" w:rsidRPr="000A2E75" w:rsidRDefault="00E839E1" w:rsidP="00E839E1">
      <w:pPr>
        <w:spacing w:after="120"/>
        <w:ind w:left="426" w:hanging="426"/>
        <w:jc w:val="both"/>
        <w:rPr>
          <w:rFonts w:ascii="Times New Roman" w:hAnsi="Times New Roman" w:cs="Times New Roman"/>
        </w:rPr>
      </w:pPr>
      <w:r w:rsidRPr="000A2E75">
        <w:rPr>
          <w:rFonts w:ascii="Times New Roman" w:hAnsi="Times New Roman" w:cs="Times New Roman"/>
        </w:rPr>
        <w:t xml:space="preserve">Sürücü, A. &amp; Ünal, A. (2018). Öğrenci motivasyonunu artıran ve azaltan öğretmen davranışlarının incelenmesi. </w:t>
      </w:r>
      <w:r w:rsidRPr="000A2E75">
        <w:rPr>
          <w:rFonts w:ascii="Times New Roman" w:hAnsi="Times New Roman" w:cs="Times New Roman"/>
          <w:i/>
          <w:iCs/>
        </w:rPr>
        <w:t>OPUS–Uluslararası Toplum Araştırmaları Dergisi, 8(</w:t>
      </w:r>
      <w:r w:rsidRPr="000A2E75">
        <w:rPr>
          <w:rFonts w:ascii="Times New Roman" w:hAnsi="Times New Roman" w:cs="Times New Roman"/>
          <w:iCs/>
        </w:rPr>
        <w:t>14</w:t>
      </w:r>
      <w:r w:rsidRPr="000A2E75">
        <w:rPr>
          <w:rFonts w:ascii="Times New Roman" w:hAnsi="Times New Roman" w:cs="Times New Roman"/>
        </w:rPr>
        <w:t>), 253-295. DOI: 10.26466/opus.404122</w:t>
      </w:r>
    </w:p>
    <w:p w14:paraId="2F34B164" w14:textId="77777777" w:rsidR="00E839E1" w:rsidRPr="000A2E75" w:rsidRDefault="00E839E1" w:rsidP="00E839E1">
      <w:pPr>
        <w:spacing w:after="120"/>
        <w:ind w:left="426" w:hanging="426"/>
        <w:jc w:val="both"/>
        <w:rPr>
          <w:rFonts w:ascii="Times New Roman" w:hAnsi="Times New Roman" w:cs="Times New Roman"/>
        </w:rPr>
      </w:pPr>
      <w:r w:rsidRPr="000A2E75">
        <w:rPr>
          <w:rFonts w:ascii="Times New Roman" w:hAnsi="Times New Roman" w:cs="Times New Roman"/>
        </w:rPr>
        <w:t xml:space="preserve">Yalın, H.İ. (2015). </w:t>
      </w:r>
      <w:r w:rsidRPr="000A2E75">
        <w:rPr>
          <w:rFonts w:ascii="Times New Roman" w:hAnsi="Times New Roman" w:cs="Times New Roman"/>
          <w:i/>
        </w:rPr>
        <w:t>Öğretim teknolojileri ve materyal geliştirme</w:t>
      </w:r>
      <w:r w:rsidRPr="000A2E75">
        <w:rPr>
          <w:rFonts w:ascii="Times New Roman" w:hAnsi="Times New Roman" w:cs="Times New Roman"/>
        </w:rPr>
        <w:t>. Ankara: Nobel Yayın.</w:t>
      </w:r>
    </w:p>
    <w:p w14:paraId="13862664" w14:textId="77777777" w:rsidR="00E839E1" w:rsidRPr="000A2E75" w:rsidRDefault="00E839E1" w:rsidP="00E839E1">
      <w:pPr>
        <w:spacing w:after="120"/>
        <w:ind w:left="426" w:hanging="426"/>
        <w:jc w:val="both"/>
        <w:rPr>
          <w:rFonts w:ascii="Times New Roman" w:hAnsi="Times New Roman" w:cs="Times New Roman"/>
          <w:lang w:val="fr-FR"/>
        </w:rPr>
      </w:pPr>
      <w:r w:rsidRPr="000A2E75">
        <w:rPr>
          <w:rFonts w:ascii="Times New Roman" w:hAnsi="Times New Roman" w:cs="Times New Roman"/>
        </w:rPr>
        <w:t xml:space="preserve">Yıldırım A. &amp; Şimşek, H. (2018). </w:t>
      </w:r>
      <w:r w:rsidRPr="000A2E75">
        <w:rPr>
          <w:rFonts w:ascii="Times New Roman" w:hAnsi="Times New Roman" w:cs="Times New Roman"/>
          <w:i/>
        </w:rPr>
        <w:t>Sosyal bilimlerde nitel araştırma yöntemleri</w:t>
      </w:r>
      <w:r w:rsidRPr="000A2E75">
        <w:rPr>
          <w:rFonts w:ascii="Times New Roman" w:hAnsi="Times New Roman" w:cs="Times New Roman"/>
        </w:rPr>
        <w:t xml:space="preserve">. </w:t>
      </w:r>
      <w:r w:rsidRPr="000A2E75">
        <w:rPr>
          <w:rFonts w:ascii="Times New Roman" w:hAnsi="Times New Roman" w:cs="Times New Roman"/>
          <w:lang w:val="fr-FR"/>
        </w:rPr>
        <w:t>Ankara: Seçkin Kitabevi.</w:t>
      </w:r>
    </w:p>
    <w:p w14:paraId="1C7B94BC" w14:textId="77777777" w:rsidR="00E839E1" w:rsidRPr="000A2E75" w:rsidRDefault="00E839E1" w:rsidP="00E839E1">
      <w:pPr>
        <w:spacing w:after="120"/>
        <w:rPr>
          <w:rStyle w:val="Kpr"/>
          <w:rFonts w:ascii="Times New Roman" w:hAnsi="Times New Roman" w:cs="Times New Roman"/>
          <w:color w:val="000000" w:themeColor="text1"/>
          <w:lang w:val="fr-FR"/>
        </w:rPr>
      </w:pPr>
      <w:hyperlink r:id="rId427" w:history="1">
        <w:r w:rsidRPr="000A2E75">
          <w:rPr>
            <w:rStyle w:val="Kpr"/>
            <w:rFonts w:ascii="Times New Roman" w:hAnsi="Times New Roman" w:cs="Times New Roman"/>
            <w:color w:val="000000" w:themeColor="text1"/>
            <w:lang w:val="fr-FR"/>
          </w:rPr>
          <w:t>https</w:t>
        </w:r>
      </w:hyperlink>
      <w:hyperlink r:id="rId428" w:history="1">
        <w:r w:rsidRPr="000A2E75">
          <w:rPr>
            <w:rStyle w:val="Kpr"/>
            <w:rFonts w:ascii="Times New Roman" w:hAnsi="Times New Roman" w:cs="Times New Roman"/>
            <w:color w:val="000000" w:themeColor="text1"/>
            <w:lang w:val="fr-FR"/>
          </w:rPr>
          <w:t>://</w:t>
        </w:r>
      </w:hyperlink>
      <w:hyperlink r:id="rId429" w:history="1">
        <w:r w:rsidRPr="000A2E75">
          <w:rPr>
            <w:rStyle w:val="Kpr"/>
            <w:rFonts w:ascii="Times New Roman" w:hAnsi="Times New Roman" w:cs="Times New Roman"/>
            <w:color w:val="000000" w:themeColor="text1"/>
            <w:lang w:val="fr-FR"/>
          </w:rPr>
          <w:t>covid19.saglik.gov.tr</w:t>
        </w:r>
      </w:hyperlink>
    </w:p>
    <w:p w14:paraId="4C05B1EF" w14:textId="77777777" w:rsidR="00E839E1" w:rsidRPr="000A2E75" w:rsidRDefault="00E839E1" w:rsidP="00E839E1">
      <w:pPr>
        <w:spacing w:after="120"/>
        <w:rPr>
          <w:rFonts w:ascii="Times New Roman" w:hAnsi="Times New Roman" w:cs="Times New Roman"/>
          <w:color w:val="000000" w:themeColor="text1"/>
          <w:lang w:val="fr-FR"/>
        </w:rPr>
      </w:pPr>
      <w:hyperlink r:id="rId430" w:history="1">
        <w:r w:rsidRPr="000A2E75">
          <w:rPr>
            <w:rStyle w:val="Kpr"/>
            <w:rFonts w:ascii="Times New Roman" w:hAnsi="Times New Roman" w:cs="Times New Roman"/>
            <w:color w:val="000000" w:themeColor="text1"/>
            <w:lang w:val="fr-FR"/>
          </w:rPr>
          <w:t>https</w:t>
        </w:r>
      </w:hyperlink>
      <w:hyperlink r:id="rId431" w:history="1">
        <w:r w:rsidRPr="000A2E75">
          <w:rPr>
            <w:rStyle w:val="Kpr"/>
            <w:rFonts w:ascii="Times New Roman" w:hAnsi="Times New Roman" w:cs="Times New Roman"/>
            <w:color w:val="000000" w:themeColor="text1"/>
            <w:lang w:val="fr-FR"/>
          </w:rPr>
          <w:t>://</w:t>
        </w:r>
      </w:hyperlink>
      <w:r w:rsidRPr="000A2E75">
        <w:rPr>
          <w:rFonts w:ascii="Times New Roman" w:hAnsi="Times New Roman" w:cs="Times New Roman"/>
          <w:color w:val="000000" w:themeColor="text1"/>
          <w:u w:val="single"/>
          <w:lang w:val="fr-FR"/>
        </w:rPr>
        <w:t>www.tdk.gov.tr</w:t>
      </w:r>
    </w:p>
    <w:p w14:paraId="1187FC29" w14:textId="77777777" w:rsidR="00E839E1" w:rsidRPr="000A2E75" w:rsidRDefault="00E839E1" w:rsidP="00E839E1">
      <w:pPr>
        <w:spacing w:after="120"/>
        <w:rPr>
          <w:rFonts w:ascii="Times New Roman" w:hAnsi="Times New Roman" w:cs="Times New Roman"/>
          <w:color w:val="000000" w:themeColor="text1"/>
          <w:u w:val="single"/>
          <w:lang w:val="fr-FR"/>
        </w:rPr>
      </w:pPr>
      <w:hyperlink r:id="rId432" w:history="1">
        <w:r w:rsidRPr="000A2E75">
          <w:rPr>
            <w:rStyle w:val="Kpr"/>
            <w:rFonts w:ascii="Times New Roman" w:hAnsi="Times New Roman" w:cs="Times New Roman"/>
            <w:color w:val="000000" w:themeColor="text1"/>
            <w:lang w:val="fr-FR"/>
          </w:rPr>
          <w:t>https://</w:t>
        </w:r>
      </w:hyperlink>
      <w:hyperlink r:id="rId433" w:history="1">
        <w:r w:rsidRPr="000A2E75">
          <w:rPr>
            <w:rStyle w:val="Kpr"/>
            <w:rFonts w:ascii="Times New Roman" w:hAnsi="Times New Roman" w:cs="Times New Roman"/>
            <w:color w:val="000000" w:themeColor="text1"/>
            <w:lang w:val="fr-FR"/>
          </w:rPr>
          <w:t>tr.wikipedia.org/wiki/COVID-19_pandemisi</w:t>
        </w:r>
      </w:hyperlink>
    </w:p>
    <w:p w14:paraId="28E17EAC" w14:textId="77777777" w:rsidR="00E839E1" w:rsidRPr="000A2E75" w:rsidRDefault="00E839E1" w:rsidP="00E839E1">
      <w:pPr>
        <w:spacing w:before="120" w:after="120"/>
        <w:ind w:left="567" w:hanging="567"/>
        <w:rPr>
          <w:rFonts w:ascii="Times New Roman" w:hAnsi="Times New Roman" w:cs="Times New Roman"/>
          <w:lang w:val="fr-FR"/>
        </w:rPr>
      </w:pPr>
      <w:r w:rsidRPr="000A2E75">
        <w:rPr>
          <w:rFonts w:ascii="Times New Roman" w:hAnsi="Times New Roman" w:cs="Times New Roman"/>
          <w:lang w:val="fr-FR"/>
        </w:rPr>
        <w:br w:type="page"/>
      </w:r>
    </w:p>
    <w:p w14:paraId="6DC554CA" w14:textId="77777777" w:rsidR="00E839E1" w:rsidRPr="000A2E75" w:rsidRDefault="00E839E1" w:rsidP="00E839E1">
      <w:pPr>
        <w:pStyle w:val="Balk1"/>
        <w:rPr>
          <w:rFonts w:ascii="Times New Roman" w:hAnsi="Times New Roman" w:cs="Times New Roman"/>
          <w:b/>
          <w:color w:val="000000" w:themeColor="text1"/>
          <w:sz w:val="24"/>
        </w:rPr>
      </w:pPr>
      <w:bookmarkStart w:id="372" w:name="_Toc72754717"/>
      <w:bookmarkStart w:id="373" w:name="_Toc72755989"/>
      <w:bookmarkStart w:id="374" w:name="_Toc72961801"/>
      <w:r w:rsidRPr="000A2E75">
        <w:rPr>
          <w:rFonts w:ascii="Times New Roman" w:eastAsia="Arial" w:hAnsi="Times New Roman" w:cs="Times New Roman"/>
          <w:b/>
          <w:color w:val="000000" w:themeColor="text1"/>
          <w:sz w:val="24"/>
        </w:rPr>
        <w:lastRenderedPageBreak/>
        <w:t>CHANGES IN THE DAILY LIFE OF UNDERGRADUATE STUDENTS OF THE DEPARTMENT OF FINANCE AND BANKING IN THE COVID 19 ISOLATION PROCESS AND THEIR OPINIONS ON ONLINE EDUCATION IN THIS PROCESS</w:t>
      </w:r>
      <w:bookmarkEnd w:id="372"/>
      <w:bookmarkEnd w:id="373"/>
      <w:bookmarkEnd w:id="374"/>
    </w:p>
    <w:p w14:paraId="4652AE16" w14:textId="77777777" w:rsidR="00E839E1" w:rsidRPr="000A2E75" w:rsidRDefault="00E839E1" w:rsidP="00E839E1">
      <w:pPr>
        <w:jc w:val="both"/>
        <w:rPr>
          <w:rFonts w:ascii="Times New Roman" w:hAnsi="Times New Roman" w:cs="Times New Roman"/>
          <w:color w:val="000000" w:themeColor="text1"/>
        </w:rPr>
      </w:pPr>
    </w:p>
    <w:p w14:paraId="6CED60A0" w14:textId="77777777" w:rsidR="00E839E1" w:rsidRPr="000A2E75" w:rsidRDefault="00E839E1" w:rsidP="00E839E1">
      <w:pPr>
        <w:jc w:val="both"/>
        <w:rPr>
          <w:rFonts w:ascii="Times New Roman" w:eastAsia="Arial" w:hAnsi="Times New Roman" w:cs="Times New Roman"/>
          <w:color w:val="000000" w:themeColor="text1"/>
        </w:rPr>
      </w:pPr>
      <w:bookmarkStart w:id="375" w:name="_Toc72754718"/>
      <w:bookmarkStart w:id="376" w:name="_Toc72755990"/>
      <w:bookmarkStart w:id="377" w:name="_Toc72961802"/>
      <w:r w:rsidRPr="000A2E75">
        <w:rPr>
          <w:rStyle w:val="Balk2Char"/>
          <w:rFonts w:ascii="Times New Roman" w:eastAsiaTheme="minorHAnsi" w:hAnsi="Times New Roman" w:cs="Times New Roman"/>
          <w:b w:val="0"/>
          <w:i w:val="0"/>
          <w:sz w:val="20"/>
          <w:szCs w:val="20"/>
        </w:rPr>
        <w:t>Assist. Prof. Dr., Zumrut Hatun DEMIREL</w:t>
      </w:r>
      <w:bookmarkEnd w:id="375"/>
      <w:bookmarkEnd w:id="376"/>
      <w:bookmarkEnd w:id="377"/>
      <w:r w:rsidRPr="000A2E75">
        <w:rPr>
          <w:rFonts w:ascii="Times New Roman" w:eastAsia="Arial" w:hAnsi="Times New Roman" w:cs="Times New Roman"/>
          <w:i/>
          <w:color w:val="000000" w:themeColor="text1"/>
        </w:rPr>
        <w:t>, Ankara Yildirim Beyazit University, Faculty of Sereflikochisar Applied Sciences, 06650, Ankara, Turkey</w:t>
      </w:r>
      <w:r w:rsidRPr="000A2E75">
        <w:rPr>
          <w:rFonts w:ascii="Times New Roman" w:eastAsia="Arial" w:hAnsi="Times New Roman" w:cs="Times New Roman"/>
          <w:color w:val="000000" w:themeColor="text1"/>
        </w:rPr>
        <w:t xml:space="preserve"> </w:t>
      </w:r>
    </w:p>
    <w:p w14:paraId="69A0C3C6" w14:textId="77777777" w:rsidR="00E839E1" w:rsidRPr="000A2E75" w:rsidRDefault="00E839E1" w:rsidP="00E839E1">
      <w:pPr>
        <w:jc w:val="both"/>
        <w:rPr>
          <w:rFonts w:ascii="Times New Roman" w:hAnsi="Times New Roman" w:cs="Times New Roman"/>
          <w:color w:val="000000" w:themeColor="text1"/>
        </w:rPr>
      </w:pPr>
      <w:r w:rsidRPr="000A2E75">
        <w:rPr>
          <w:rFonts w:ascii="Times New Roman" w:eastAsia="Arial" w:hAnsi="Times New Roman" w:cs="Times New Roman"/>
          <w:i/>
          <w:color w:val="000000" w:themeColor="text1"/>
        </w:rPr>
        <w:t>e-mail</w:t>
      </w:r>
      <w:r w:rsidRPr="000A2E75">
        <w:rPr>
          <w:rFonts w:ascii="Times New Roman" w:eastAsia="Arial" w:hAnsi="Times New Roman" w:cs="Times New Roman"/>
          <w:color w:val="000000" w:themeColor="text1"/>
        </w:rPr>
        <w:t xml:space="preserve">: </w:t>
      </w:r>
      <w:r w:rsidRPr="000A2E75">
        <w:rPr>
          <w:rFonts w:ascii="Times New Roman" w:eastAsia="Arial" w:hAnsi="Times New Roman" w:cs="Times New Roman"/>
          <w:color w:val="0070C0"/>
          <w:u w:val="single"/>
        </w:rPr>
        <w:t>ztdemirel@ybu.edu.tr</w:t>
      </w:r>
      <w:r w:rsidRPr="000A2E75">
        <w:rPr>
          <w:rFonts w:ascii="Times New Roman" w:eastAsia="Arial" w:hAnsi="Times New Roman" w:cs="Times New Roman"/>
          <w:color w:val="0070C0"/>
        </w:rPr>
        <w:t xml:space="preserve"> </w:t>
      </w:r>
      <w:r w:rsidRPr="000A2E75">
        <w:rPr>
          <w:rFonts w:ascii="Times New Roman" w:eastAsia="Arial" w:hAnsi="Times New Roman" w:cs="Times New Roman"/>
          <w:i/>
          <w:color w:val="000000" w:themeColor="text1"/>
        </w:rPr>
        <w:t>ORCID ID</w:t>
      </w:r>
      <w:r w:rsidRPr="000A2E75">
        <w:rPr>
          <w:rFonts w:ascii="Times New Roman" w:eastAsia="Arial" w:hAnsi="Times New Roman" w:cs="Times New Roman"/>
          <w:color w:val="000000" w:themeColor="text1"/>
        </w:rPr>
        <w:t xml:space="preserve">: </w:t>
      </w:r>
      <w:r w:rsidRPr="000A2E75">
        <w:rPr>
          <w:rFonts w:ascii="Times New Roman" w:hAnsi="Times New Roman" w:cs="Times New Roman"/>
          <w:color w:val="0070C0"/>
          <w:u w:val="single"/>
          <w:shd w:val="clear" w:color="auto" w:fill="FFFFFF"/>
        </w:rPr>
        <w:t>0000-0003-0300-6988</w:t>
      </w:r>
    </w:p>
    <w:p w14:paraId="57836143" w14:textId="77777777" w:rsidR="00E839E1" w:rsidRPr="000A2E75" w:rsidRDefault="00E839E1" w:rsidP="00E839E1">
      <w:pPr>
        <w:spacing w:after="120" w:line="360" w:lineRule="auto"/>
        <w:rPr>
          <w:rFonts w:ascii="Times New Roman" w:hAnsi="Times New Roman" w:cs="Times New Roman"/>
          <w:b/>
        </w:rPr>
      </w:pPr>
    </w:p>
    <w:p w14:paraId="66373B7A" w14:textId="77777777" w:rsidR="00E839E1" w:rsidRPr="000A2E75" w:rsidRDefault="00E839E1" w:rsidP="00E839E1">
      <w:pPr>
        <w:spacing w:before="120" w:after="120" w:line="360" w:lineRule="auto"/>
        <w:jc w:val="both"/>
        <w:rPr>
          <w:rFonts w:ascii="Times New Roman" w:hAnsi="Times New Roman" w:cs="Times New Roman"/>
          <w:b/>
        </w:rPr>
      </w:pPr>
      <w:r w:rsidRPr="000A2E75">
        <w:rPr>
          <w:rFonts w:ascii="Times New Roman" w:hAnsi="Times New Roman" w:cs="Times New Roman"/>
          <w:b/>
        </w:rPr>
        <w:t xml:space="preserve">Abstract </w:t>
      </w:r>
    </w:p>
    <w:p w14:paraId="6FF1A5FD"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The aim of this study is to identify changes in the daily activities, attitudes and behaviors of undergraduate students attending at Ankara Yıldırım Beyazıt University in the isolation process of the Covid-19 pandemic in our country, as well as revealing their thoughts about online education, which is an education model that the majority have not experienced before. 573 students participated in the study in which the exploratory research model was applied. In the study, first of all descriptive statistics were obtained with descriptive analyzes on the answers given by the students to the variables. Then, live connections were made on the internet at different times with approximately 10 students and their opinions about the expressions in the questionnaire were examined. As a result of the research, it was determined that the students spent the most personal care and hygiene, as well as home hygiene, in their activities including daily life routines during the Covid-19 isolation process. During the Covid-19 pandemic isolation process, the highest increase in changes in students' attitudes and behaviors was observed in interest in initiatives for aid and in disputes and discussions at home. When the students' perceptions of online education were examined, it was concluded that online education reduced their motivation to follow the lesson and to listen.</w:t>
      </w:r>
    </w:p>
    <w:p w14:paraId="2479BF9E"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It has been concluded that university students, who were born into the digital world, become more dependent on the virtual world during the pandemic isolation process and pay more attention to their hygiene. It is thought that this study contributes to the literature by revealing the defense mechanism developed by young people in extraordinary situations by taking shelter in hygiene to protect their physical health and in the virtual world to protect their psychological health. In addition, it was determined that online education, which was tried for the first time on such a large scale, reduces students' motivation to follow lessons and their perception of deep content, and therefore, online education cannot be an alternative to face-to-face education yet, is another contribution of this study.</w:t>
      </w:r>
    </w:p>
    <w:p w14:paraId="6DB8C8AB"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b/>
        </w:rPr>
        <w:t xml:space="preserve">Keywords: </w:t>
      </w:r>
      <w:r w:rsidRPr="000A2E75">
        <w:rPr>
          <w:rFonts w:ascii="Times New Roman" w:hAnsi="Times New Roman" w:cs="Times New Roman"/>
        </w:rPr>
        <w:t>Covid-19, Pandemic İsolation Process, Finance and Banking, Online Education</w:t>
      </w:r>
    </w:p>
    <w:p w14:paraId="64F731C5" w14:textId="77777777" w:rsidR="00E839E1" w:rsidRPr="000A2E75" w:rsidRDefault="00E839E1" w:rsidP="00E839E1">
      <w:pPr>
        <w:spacing w:before="120" w:after="120" w:line="360" w:lineRule="auto"/>
        <w:jc w:val="both"/>
        <w:rPr>
          <w:rFonts w:ascii="Times New Roman" w:hAnsi="Times New Roman" w:cs="Times New Roman"/>
          <w:b/>
        </w:rPr>
      </w:pPr>
      <w:r w:rsidRPr="000A2E75">
        <w:rPr>
          <w:rFonts w:ascii="Times New Roman" w:hAnsi="Times New Roman" w:cs="Times New Roman"/>
          <w:b/>
        </w:rPr>
        <w:t>Özet</w:t>
      </w:r>
    </w:p>
    <w:p w14:paraId="7A3D30E6"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 xml:space="preserve">Bu araştırmanın amacı Covid-19 pandemisinin ülkemizde yaşanan izolasyon sürecinde Ankara Yıldırım Beyazıt Üniversitesi’nde eğitim gören Finans ve Bankacılık eğitimi alan lisans öğrencilerinin hem </w:t>
      </w:r>
      <w:r w:rsidRPr="000A2E75">
        <w:rPr>
          <w:rFonts w:ascii="Times New Roman" w:hAnsi="Times New Roman" w:cs="Times New Roman"/>
        </w:rPr>
        <w:lastRenderedPageBreak/>
        <w:t>gündelik hayatlarındaki faaliyet, tutum ve davranışlarındaki değişiklikleri tespit etmek hem de çoğunluğun daha önce deneyimlemedikleri bir eğitim modeli olan uzaktan eğitim hakkındaki düşüncelerini ortaya çıkarmaktır. Keşifsel araştırma modelinin uygulandığı araştırmada 573 öğrenci katılımcı olarak yer almıştır. Araştırmada önce öğrencilerin değişkenlere verdikleri cevaplar betimleyici analizler ile tanımlayıcı istatistikler elde edilmiştir. Daha sonra ise yaklaşık 10 öğrenci ile farklı zamanlarda internet ortamında canlı bağlantılar yapılarak anket formunda bulunan ifadelerle ilgili düşünceleri irdelenmiştir. Araştırma sonucunda öğrencilerin Covid-19 izolasyon sürecinde günlük hayat rutinlerini içeren faaliyetlerinde en fazla kişisel bakım ve hijyenlerine bununla birlikte ev hijyenlerine ayırdıkları zamanlarda artış tespit edilmiştir. Covid-19 pandemi izolasyon sürecinde öğrencilerin tutum ve davranışlarındaki değişikliklerde ise en çok artış yardım amaçlı girişimlere ilgi ve ev içinde anlaşmazlık ve tartışmalarda görülmüştür. Öğrencilerin uzaktan eğitim algılarına bakıldığında uzaktan eğitimin dersi takip etme ve dinleme motivasyonunu düşürdüğü sonucuna ulaşılmıştır.</w:t>
      </w:r>
    </w:p>
    <w:p w14:paraId="1889DBB2"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 xml:space="preserve">Halihazırda dijital dünyanın içine doğan üniversite öğrencilerinin pandemi izolasyon sürecinde sanal dünyaya bağımlılıklarının daha da arttığı ve hijyenlerine daha fazla dikkat ettikleri sonuçlarına varılmıştır. Bu süreçte tek mekâna sıkışan gençlerin fiziksel sağlıklarını korumak için hijyene, psikolojik sağlıklarını korumak için ise sanal dünyaya sığınmaları olağanüstü durumlarda gençlerin geliştirmiş olduğu savunma mekanizmasını ortaya koyarak bu çalışmanın alan yazına bir katkı sağladığı düşünülmektedir. Ayrıca bu kadar geniş çaplı ilk kez denenen uzaktan eğitimin öğrencilerin ders takip etme motivasyonlarını ve derin içeriğini algılamalarını düşürdüğünün dolayısı ile uzaktan eğitimin yüz yüze eğitime henüz bir alternatif olamayacağının tespit edilmesi bu çalışmanın diğer bir katkısıdır.  </w:t>
      </w:r>
    </w:p>
    <w:p w14:paraId="7BBE041E"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b/>
        </w:rPr>
        <w:t xml:space="preserve">Anahtar Kelimeler: </w:t>
      </w:r>
      <w:r w:rsidRPr="000A2E75">
        <w:rPr>
          <w:rFonts w:ascii="Times New Roman" w:hAnsi="Times New Roman" w:cs="Times New Roman"/>
        </w:rPr>
        <w:t>Covid-19, Pandemi</w:t>
      </w:r>
      <w:r w:rsidRPr="000A2E75">
        <w:rPr>
          <w:rFonts w:ascii="Times New Roman" w:hAnsi="Times New Roman" w:cs="Times New Roman"/>
          <w:shd w:val="clear" w:color="auto" w:fill="FFFFFF"/>
        </w:rPr>
        <w:t xml:space="preserve"> </w:t>
      </w:r>
      <w:r w:rsidRPr="000A2E75">
        <w:rPr>
          <w:rFonts w:ascii="Times New Roman" w:hAnsi="Times New Roman" w:cs="Times New Roman"/>
        </w:rPr>
        <w:t>İzolasyon Süreci, Finans ve Bankacılık, Uzaktan Eğitim</w:t>
      </w:r>
    </w:p>
    <w:p w14:paraId="43B0E58A" w14:textId="77777777" w:rsidR="00E839E1" w:rsidRPr="000A2E75" w:rsidRDefault="00E839E1" w:rsidP="00E839E1">
      <w:pPr>
        <w:spacing w:before="120" w:after="120" w:line="360" w:lineRule="auto"/>
        <w:jc w:val="both"/>
        <w:rPr>
          <w:rFonts w:ascii="Times New Roman" w:hAnsi="Times New Roman" w:cs="Times New Roman"/>
          <w:b/>
        </w:rPr>
      </w:pPr>
      <w:r w:rsidRPr="000A2E75">
        <w:rPr>
          <w:rFonts w:ascii="Times New Roman" w:hAnsi="Times New Roman" w:cs="Times New Roman"/>
          <w:b/>
        </w:rPr>
        <w:t>Introduction</w:t>
      </w:r>
    </w:p>
    <w:p w14:paraId="7462B5AC"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The virus that emerged in Wuhan, China's Hubei province in December 2019, develops without a specific reason and causes symptoms of pneumonia that does not respond to treatment, initially named as SARS-CoV2 (Severe Acure Respiratory Syndrome) (Deng, 2020: 1677). Due to the high rate of spread of the virus, it has become an epidemic in a short time and has affected the whole world in a short time. The virus was named "New Type Coronavirus Covid-19" and declared as a global "pandemic" by the World Health Organization (WHO) on March 11, 2020 (Samur, 2020: 437). Pandemic is defined as an epidemic affecting more than one country (</w:t>
      </w:r>
      <w:hyperlink r:id="rId434" w:history="1">
        <w:r w:rsidRPr="000A2E75">
          <w:rPr>
            <w:rStyle w:val="Kpr"/>
            <w:rFonts w:ascii="Times New Roman" w:hAnsi="Times New Roman" w:cs="Times New Roman"/>
          </w:rPr>
          <w:t>www.tdk.gov.tr</w:t>
        </w:r>
      </w:hyperlink>
      <w:r w:rsidRPr="000A2E75">
        <w:rPr>
          <w:rFonts w:ascii="Times New Roman" w:hAnsi="Times New Roman" w:cs="Times New Roman"/>
        </w:rPr>
        <w:t>). The first new type of coronavirus cases seen in Turkey March 11, 2020 Identified by the Republic of Turkey Ministry of Health (T.C. Sağlık Bakanlığı, 2020).</w:t>
      </w:r>
    </w:p>
    <w:p w14:paraId="09E07FD3"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 xml:space="preserve">Since Covid-19 virus, which is transmitted by droplet scattering and physical contact, has not yet been developed with vaccines and drugs, it is important to pay attention to hand hygiene, use masks during social contact outside, avoid contact with people and animals, avoid crowded environments and in social environments. Personal precautions such as keeping a distance of 1 to 2 meters when it is forced to </w:t>
      </w:r>
      <w:r w:rsidRPr="000A2E75">
        <w:rPr>
          <w:rFonts w:ascii="Times New Roman" w:hAnsi="Times New Roman" w:cs="Times New Roman"/>
        </w:rPr>
        <w:lastRenderedPageBreak/>
        <w:t>contact are recommended by the World Health Organization. In our country, in addition to following the recommendations of the World Health Organization, some additional measures have been taken in order to prevent the possible burden on our health system by delaying the pandemic transmission peak and to gain time for the development of the treatment of the virus. (Aslan, 2020: 39).</w:t>
      </w:r>
    </w:p>
    <w:p w14:paraId="04946A58"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On January 10, 2020, the Coronavirus Scientific Board and Operations Center was established under the Ministry of Health. With the recommendations of the scientific committee and the circulars issued by the Presidency, international flights were stopped, starting from China, and the highway customs gates were closed (Budak ve Korkmaz, 2020: 72).</w:t>
      </w:r>
    </w:p>
    <w:p w14:paraId="4CC05748"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With the determination of the first Covid-19 patient in our country by the Ministry of Health on March 11, 2020, education was suspended in all institutions and organizations operating at all levels of education, from schools providing pre-school education to universities, on March 12, 2020 (Karakaş, 2020: 565). It has been decided to suspend all kinds of artistic, scientific, religious, social and cultural activities such as postponing sports matches in the course of time (Budak ve Korkmaz, 2020: 72-73). Stretching the working hours in the public sector, reducing mobility in the private sector, carrying passengers as much as half of the capacity in urban public transportation, banning entry and exit to 30 major cities and the province of Zonguldak, namely 31 cities, Turkish Airlines restricting domestic flights, Isolation measures such as the implementation of curfews for citizens over the age of 65 and the announcement of curfews in 30 metropolitan cities and Zonguldak province on weekends were implemented until the Presidential Normalization Calendar Plan was published on May 11, 2020 (</w:t>
      </w:r>
      <w:hyperlink r:id="rId435" w:history="1">
        <w:r w:rsidRPr="000A2E75">
          <w:rPr>
            <w:rStyle w:val="Kpr"/>
            <w:rFonts w:ascii="Times New Roman" w:hAnsi="Times New Roman" w:cs="Times New Roman"/>
          </w:rPr>
          <w:t>www.tccb.gov.tr</w:t>
        </w:r>
      </w:hyperlink>
      <w:r w:rsidRPr="000A2E75">
        <w:rPr>
          <w:rFonts w:ascii="Times New Roman" w:hAnsi="Times New Roman" w:cs="Times New Roman"/>
        </w:rPr>
        <w:t>).</w:t>
      </w:r>
    </w:p>
    <w:p w14:paraId="09E15088"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 xml:space="preserve">Turkey's isolation process in which lived, as the whole world in our house with a call "stay at home"  to closing conditions, hygiene obsession, mask requirement, maintaining social distance discipline, implementation of the curfew, which resembles the dystopian movie script operates the lack of social life of the market to another.  In other words, the narrowing of a film in which the worst possibilities of society are considered will lead to changes in the attitudes and behaviors of individuals and therefore society. </w:t>
      </w:r>
    </w:p>
    <w:p w14:paraId="23DB300C"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 xml:space="preserve">Staying at home in a period when individual life is encouraged and the family members being forced to stay together in the same place for a long time brought about various crises (Gidens, 2010: 103). On the other hand, people who are tired or even tired of the situation of the individual being stuck in certain places at certain time intervals, the obligation to communicate and perform too much and produce too much, perhaps, have been satisfied with such a slowdown in their lives (Ritzer, 2011: 62). </w:t>
      </w:r>
    </w:p>
    <w:p w14:paraId="2ACF1081"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 xml:space="preserve">Spending time at home has been evaluated in different ways in terms of the possibilities of being confined to home during compulsory or voluntary quarantine times. Starting to read books that were previously purchased but cannot be read due to intensity, discovering hobbies that could not be started due to various reasons, trying new recipes, making house cleaning more comprehensive and detailed, </w:t>
      </w:r>
      <w:r w:rsidRPr="000A2E75">
        <w:rPr>
          <w:rFonts w:ascii="Times New Roman" w:hAnsi="Times New Roman" w:cs="Times New Roman"/>
        </w:rPr>
        <w:lastRenderedPageBreak/>
        <w:t>watching films and TV series that could not be watched although we were curious, could not be done because of the lack of time. can be counted among the activities.</w:t>
      </w:r>
    </w:p>
    <w:p w14:paraId="64B8FE07"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In this process, the virtual world has strengthened its place in human life as a tool to eliminate "social deprivation" by using it to meet many needs of human beings. However, through the relationships and interactions established in virtual world networks, Covid-19 has psychologically affected the whole world in a very short time. Information flow especially through social media has created an atmosphere of panic globally (Hill, 2020: 2231). This epidemic, which has a very high spreading rate and contains a death threat, almost exiled this person to his own world, isolated from the society he was in, isolated from the society he was in, and led him to depression, traumas, panic moods (Pfefferbaum ve North, 2020: 510).</w:t>
      </w:r>
    </w:p>
    <w:p w14:paraId="27F6323A"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One of the areas most affected by the Covid-19 pandemic is undoubtedly the field of education. The field of education, where social contact is intense and the risk of transmission is high, has been formal (face-to-face) education, which is the first mass activity area where countries have interrupted their activities during the isolation process. The interruption of face-to-face education by educational institutions due to Covid-19 caused 1.6 billion students to be affected in 191 countries, according to UNESCO's April 2020 data. In other words, the education of nine out of ten students was interrupted during the isolation process (en.unesco.org).</w:t>
      </w:r>
    </w:p>
    <w:p w14:paraId="2AF1B330"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Turkey and the world of distance learning as the most workable solution is caught unprepared in the field of education, as in many areas to be sustainable in terms of education in this process was put in place (Bozkurt, 2020: 116). Distance education within the scope of the Ministry of National Education Network Informatics Education had used it well in advance (EBA) and cooperation with Turkey Radio and Television Corporation has moved increasingly to screen (Buluk ve Eşitti, 2020: 288). In universities, it was announced to the public that while it was a question of interrupting education for three weeks at the beginning, the virus could not be controlled and due to the risk it bears, the 2020 academic year spring semester will continue with distance education completely (</w:t>
      </w:r>
      <w:hyperlink r:id="rId436" w:history="1">
        <w:r w:rsidRPr="000A2E75">
          <w:rPr>
            <w:rStyle w:val="Kpr"/>
            <w:rFonts w:ascii="Times New Roman" w:hAnsi="Times New Roman" w:cs="Times New Roman"/>
          </w:rPr>
          <w:t>www.yok.gov.tr</w:t>
        </w:r>
      </w:hyperlink>
      <w:r w:rsidRPr="000A2E75">
        <w:rPr>
          <w:rFonts w:ascii="Times New Roman" w:hAnsi="Times New Roman" w:cs="Times New Roman"/>
        </w:rPr>
        <w:t xml:space="preserve">). Universities have also tried to provide distance education with their own means (Üstün ve Özçiftçi, 2020: 147). </w:t>
      </w:r>
    </w:p>
    <w:p w14:paraId="1574034B"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 xml:space="preserve">The aim of this study is to identify changes in the daily activities, attitudes and behaviors of undergraduate students attending at Ankara Yıldırım Beyazıt University during the isolation process of the Covid-19 pandemic in our country, as well as about distance education, which is an education model that the majority have not experienced before. Although studies on distance education are encountered in the relevant literature, these studies are mainly theoretical studies. Moreover, a study on the changes in the activities, attitudes and behaviors of university students in their daily lives during the Covid-19 isolation process has not been found both in our country and in the international literature. This study is thought to fill an important gap in the literature, as it will provide important data on how university </w:t>
      </w:r>
      <w:r w:rsidRPr="000A2E75">
        <w:rPr>
          <w:rFonts w:ascii="Times New Roman" w:hAnsi="Times New Roman" w:cs="Times New Roman"/>
        </w:rPr>
        <w:lastRenderedPageBreak/>
        <w:t>students perceive changes in their lives, changes in their attitudes and behaviors, and their perspectives on distance education by comparing them with the pandemic isolation process before.</w:t>
      </w:r>
    </w:p>
    <w:p w14:paraId="1EAF1955" w14:textId="77777777" w:rsidR="00E839E1" w:rsidRPr="000A2E75" w:rsidRDefault="00E839E1" w:rsidP="00E839E1">
      <w:pPr>
        <w:rPr>
          <w:rFonts w:ascii="Times New Roman" w:hAnsi="Times New Roman" w:cs="Times New Roman"/>
          <w:b/>
        </w:rPr>
      </w:pPr>
      <w:r w:rsidRPr="000A2E75">
        <w:rPr>
          <w:rFonts w:ascii="Times New Roman" w:hAnsi="Times New Roman" w:cs="Times New Roman"/>
          <w:b/>
        </w:rPr>
        <w:t>Method</w:t>
      </w:r>
    </w:p>
    <w:p w14:paraId="3E6B977D" w14:textId="77777777" w:rsidR="00E839E1" w:rsidRPr="000A2E75" w:rsidRDefault="00E839E1" w:rsidP="00E839E1">
      <w:pPr>
        <w:rPr>
          <w:rFonts w:ascii="Times New Roman" w:hAnsi="Times New Roman" w:cs="Times New Roman"/>
          <w:b/>
        </w:rPr>
      </w:pPr>
      <w:r w:rsidRPr="000A2E75">
        <w:rPr>
          <w:rFonts w:ascii="Times New Roman" w:hAnsi="Times New Roman" w:cs="Times New Roman"/>
          <w:b/>
        </w:rPr>
        <w:t>Research Model</w:t>
      </w:r>
    </w:p>
    <w:p w14:paraId="409F666F" w14:textId="77777777" w:rsidR="00E839E1" w:rsidRPr="000A2E75" w:rsidRDefault="00E839E1" w:rsidP="00E839E1">
      <w:pPr>
        <w:spacing w:before="120" w:after="120" w:line="360" w:lineRule="auto"/>
        <w:jc w:val="both"/>
        <w:rPr>
          <w:rFonts w:ascii="Times New Roman" w:hAnsi="Times New Roman" w:cs="Times New Roman"/>
          <w:bCs/>
        </w:rPr>
      </w:pPr>
      <w:r w:rsidRPr="000A2E75">
        <w:rPr>
          <w:rFonts w:ascii="Times New Roman" w:hAnsi="Times New Roman" w:cs="Times New Roman"/>
        </w:rPr>
        <w:t>The model of the research is exploratory. Exploratory research is exploring the general character or insight of a topic or problem, possible decision options, and subject variables. This type of research is usually done on topics that little is known about</w:t>
      </w:r>
      <w:r w:rsidRPr="000A2E75">
        <w:rPr>
          <w:rFonts w:ascii="Times New Roman" w:hAnsi="Times New Roman" w:cs="Times New Roman"/>
          <w:bCs/>
        </w:rPr>
        <w:t xml:space="preserve"> (Nakip, 2013: 41). </w:t>
      </w:r>
    </w:p>
    <w:p w14:paraId="3E2989DD" w14:textId="77777777" w:rsidR="00E839E1" w:rsidRPr="000A2E75" w:rsidRDefault="00E839E1" w:rsidP="00E839E1">
      <w:pPr>
        <w:rPr>
          <w:rFonts w:ascii="Times New Roman" w:hAnsi="Times New Roman" w:cs="Times New Roman"/>
          <w:b/>
        </w:rPr>
      </w:pPr>
      <w:r w:rsidRPr="000A2E75">
        <w:rPr>
          <w:rFonts w:ascii="Times New Roman" w:hAnsi="Times New Roman" w:cs="Times New Roman"/>
          <w:b/>
        </w:rPr>
        <w:t>Universe and Sample</w:t>
      </w:r>
    </w:p>
    <w:p w14:paraId="5A9ABF72" w14:textId="77777777" w:rsidR="00E839E1" w:rsidRPr="000A2E75" w:rsidRDefault="00E839E1" w:rsidP="00E839E1">
      <w:pPr>
        <w:spacing w:before="120" w:after="120" w:line="360" w:lineRule="auto"/>
        <w:jc w:val="both"/>
        <w:rPr>
          <w:rFonts w:ascii="Times New Roman" w:hAnsi="Times New Roman" w:cs="Times New Roman"/>
          <w:bCs/>
        </w:rPr>
      </w:pPr>
      <w:r w:rsidRPr="000A2E75">
        <w:rPr>
          <w:rFonts w:ascii="Times New Roman" w:hAnsi="Times New Roman" w:cs="Times New Roman"/>
        </w:rPr>
        <w:t>The universe of the research consists of students of the Department of Finance and Banking studying at Ankara Yıldırım Beyazıt University Faculty of Business and Şereflikoçhisar Faculty of Applied Sciences. In this study, convenient or convenience sampling method was used. Proper sampling method is a method that speeds up the study. With this method, the researcher prefers a situation that is easier to access</w:t>
      </w:r>
      <w:r w:rsidRPr="000A2E75">
        <w:rPr>
          <w:rFonts w:ascii="Times New Roman" w:hAnsi="Times New Roman" w:cs="Times New Roman"/>
          <w:bCs/>
        </w:rPr>
        <w:t xml:space="preserve"> (Kılıç, 2013: 44).</w:t>
      </w:r>
      <w:r w:rsidRPr="000A2E75">
        <w:rPr>
          <w:rFonts w:ascii="Times New Roman" w:hAnsi="Times New Roman" w:cs="Times New Roman"/>
        </w:rPr>
        <w:t xml:space="preserve"> </w:t>
      </w:r>
      <w:r w:rsidRPr="000A2E75">
        <w:rPr>
          <w:rFonts w:ascii="Times New Roman" w:hAnsi="Times New Roman" w:cs="Times New Roman"/>
          <w:bCs/>
        </w:rPr>
        <w:t>Accordingly, the research was conducted online between August 2020 - September 2020.</w:t>
      </w:r>
      <w:r w:rsidRPr="000A2E75">
        <w:rPr>
          <w:rFonts w:ascii="Times New Roman" w:hAnsi="Times New Roman" w:cs="Times New Roman"/>
        </w:rPr>
        <w:t xml:space="preserve"> </w:t>
      </w:r>
      <w:r w:rsidRPr="000A2E75">
        <w:rPr>
          <w:rFonts w:ascii="Times New Roman" w:hAnsi="Times New Roman" w:cs="Times New Roman"/>
          <w:bCs/>
        </w:rPr>
        <w:t>Before starting the study, approval was obtained from Ankara Yıldırım Beyazıt University Ethics Committee with the research sequence number 2020-233.</w:t>
      </w:r>
      <w:r w:rsidRPr="000A2E75">
        <w:rPr>
          <w:rFonts w:ascii="Times New Roman" w:hAnsi="Times New Roman" w:cs="Times New Roman"/>
        </w:rPr>
        <w:t xml:space="preserve"> </w:t>
      </w:r>
      <w:r w:rsidRPr="000A2E75">
        <w:rPr>
          <w:rFonts w:ascii="Times New Roman" w:hAnsi="Times New Roman" w:cs="Times New Roman"/>
          <w:bCs/>
        </w:rPr>
        <w:t>The questionnaire form used in the research was made suitable for web-based application by using Google Forms application. The link of the questionnaire on Google Forms was sent by e-mail to the participants who were willing and volunteering to participate in the study.</w:t>
      </w:r>
      <w:r w:rsidRPr="000A2E75">
        <w:rPr>
          <w:rFonts w:ascii="Times New Roman" w:hAnsi="Times New Roman" w:cs="Times New Roman"/>
        </w:rPr>
        <w:t xml:space="preserve"> </w:t>
      </w:r>
      <w:r w:rsidRPr="000A2E75">
        <w:rPr>
          <w:rFonts w:ascii="Times New Roman" w:hAnsi="Times New Roman" w:cs="Times New Roman"/>
          <w:bCs/>
        </w:rPr>
        <w:t>The questionnaires of 573 students out of a total of 600 students enrolled in the Finance and Banking departments and actively attending the distance education system can be used in the study. In other words, 573 questionnaires will be evaluated in the study.</w:t>
      </w:r>
    </w:p>
    <w:p w14:paraId="7DAF6249" w14:textId="77777777" w:rsidR="00E839E1"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Descriptive findings regarding the demographic characteristics of the students participating in the study are included in Table 1.</w:t>
      </w:r>
    </w:p>
    <w:p w14:paraId="51A2A5BB" w14:textId="77777777" w:rsidR="00E839E1" w:rsidRPr="000A2E75" w:rsidRDefault="00E839E1" w:rsidP="00E839E1">
      <w:pPr>
        <w:rPr>
          <w:rFonts w:ascii="Times New Roman" w:hAnsi="Times New Roman" w:cs="Times New Roman"/>
          <w:b/>
        </w:rPr>
      </w:pPr>
      <w:r w:rsidRPr="000A2E75">
        <w:rPr>
          <w:rFonts w:ascii="Times New Roman" w:hAnsi="Times New Roman" w:cs="Times New Roman"/>
          <w:b/>
        </w:rPr>
        <w:t>Table 1. Descriptive Statistics Regarding the Study Group</w:t>
      </w:r>
    </w:p>
    <w:tbl>
      <w:tblPr>
        <w:tblStyle w:val="TabloKlavuzu"/>
        <w:tblW w:w="0" w:type="auto"/>
        <w:tblLook w:val="04A0" w:firstRow="1" w:lastRow="0" w:firstColumn="1" w:lastColumn="0" w:noHBand="0" w:noVBand="1"/>
      </w:tblPr>
      <w:tblGrid>
        <w:gridCol w:w="3256"/>
        <w:gridCol w:w="3685"/>
        <w:gridCol w:w="1134"/>
        <w:gridCol w:w="987"/>
      </w:tblGrid>
      <w:tr w:rsidR="00E839E1" w:rsidRPr="000A2E75" w14:paraId="3BF5700A" w14:textId="77777777" w:rsidTr="00E839E1">
        <w:tc>
          <w:tcPr>
            <w:tcW w:w="6941" w:type="dxa"/>
            <w:gridSpan w:val="2"/>
            <w:shd w:val="clear" w:color="auto" w:fill="AEAAAA" w:themeFill="background2" w:themeFillShade="BF"/>
          </w:tcPr>
          <w:p w14:paraId="67BCC528" w14:textId="77777777" w:rsidR="00E839E1" w:rsidRPr="000A2E75" w:rsidRDefault="00E839E1" w:rsidP="00E839E1">
            <w:pPr>
              <w:jc w:val="both"/>
              <w:rPr>
                <w:rFonts w:ascii="Times New Roman" w:hAnsi="Times New Roman" w:cs="Times New Roman"/>
                <w:b/>
                <w:bCs/>
              </w:rPr>
            </w:pPr>
            <w:r w:rsidRPr="000A2E75">
              <w:rPr>
                <w:rFonts w:ascii="Times New Roman" w:hAnsi="Times New Roman" w:cs="Times New Roman"/>
                <w:b/>
                <w:bCs/>
              </w:rPr>
              <w:t>Variables</w:t>
            </w:r>
          </w:p>
        </w:tc>
        <w:tc>
          <w:tcPr>
            <w:tcW w:w="1134" w:type="dxa"/>
            <w:shd w:val="clear" w:color="auto" w:fill="AEAAAA" w:themeFill="background2" w:themeFillShade="BF"/>
          </w:tcPr>
          <w:p w14:paraId="4FE481A5" w14:textId="77777777" w:rsidR="00E839E1" w:rsidRPr="000A2E75" w:rsidRDefault="00E839E1" w:rsidP="00E839E1">
            <w:pPr>
              <w:jc w:val="both"/>
              <w:rPr>
                <w:rFonts w:ascii="Times New Roman" w:hAnsi="Times New Roman" w:cs="Times New Roman"/>
                <w:b/>
                <w:bCs/>
              </w:rPr>
            </w:pPr>
            <w:r w:rsidRPr="000A2E75">
              <w:rPr>
                <w:rFonts w:ascii="Times New Roman" w:hAnsi="Times New Roman" w:cs="Times New Roman"/>
                <w:b/>
                <w:bCs/>
              </w:rPr>
              <w:t>n</w:t>
            </w:r>
          </w:p>
        </w:tc>
        <w:tc>
          <w:tcPr>
            <w:tcW w:w="987" w:type="dxa"/>
            <w:shd w:val="clear" w:color="auto" w:fill="AEAAAA" w:themeFill="background2" w:themeFillShade="BF"/>
          </w:tcPr>
          <w:p w14:paraId="0C4E8949" w14:textId="77777777" w:rsidR="00E839E1" w:rsidRPr="000A2E75" w:rsidRDefault="00E839E1" w:rsidP="00E839E1">
            <w:pPr>
              <w:jc w:val="both"/>
              <w:rPr>
                <w:rFonts w:ascii="Times New Roman" w:hAnsi="Times New Roman" w:cs="Times New Roman"/>
                <w:b/>
                <w:bCs/>
              </w:rPr>
            </w:pPr>
            <w:r w:rsidRPr="000A2E75">
              <w:rPr>
                <w:rFonts w:ascii="Times New Roman" w:hAnsi="Times New Roman" w:cs="Times New Roman"/>
                <w:b/>
                <w:bCs/>
              </w:rPr>
              <w:t>%</w:t>
            </w:r>
          </w:p>
        </w:tc>
      </w:tr>
      <w:tr w:rsidR="00E839E1" w:rsidRPr="000A2E75" w14:paraId="5E35E789" w14:textId="77777777" w:rsidTr="00E839E1">
        <w:trPr>
          <w:trHeight w:val="282"/>
        </w:trPr>
        <w:tc>
          <w:tcPr>
            <w:tcW w:w="3256" w:type="dxa"/>
            <w:vMerge w:val="restart"/>
          </w:tcPr>
          <w:p w14:paraId="51D80427" w14:textId="77777777" w:rsidR="00E839E1" w:rsidRPr="000A2E75" w:rsidRDefault="00E839E1" w:rsidP="00E839E1">
            <w:pPr>
              <w:jc w:val="both"/>
              <w:rPr>
                <w:rFonts w:ascii="Times New Roman" w:hAnsi="Times New Roman" w:cs="Times New Roman"/>
                <w:b/>
                <w:bCs/>
              </w:rPr>
            </w:pPr>
          </w:p>
          <w:p w14:paraId="672421CF" w14:textId="77777777" w:rsidR="00E839E1" w:rsidRPr="000A2E75" w:rsidRDefault="00E839E1" w:rsidP="00E839E1">
            <w:pPr>
              <w:jc w:val="both"/>
              <w:rPr>
                <w:rFonts w:ascii="Times New Roman" w:hAnsi="Times New Roman" w:cs="Times New Roman"/>
                <w:b/>
                <w:bCs/>
              </w:rPr>
            </w:pPr>
            <w:r w:rsidRPr="000A2E75">
              <w:rPr>
                <w:rFonts w:ascii="Times New Roman" w:hAnsi="Times New Roman" w:cs="Times New Roman"/>
                <w:b/>
                <w:bCs/>
              </w:rPr>
              <w:t>Gender</w:t>
            </w:r>
          </w:p>
        </w:tc>
        <w:tc>
          <w:tcPr>
            <w:tcW w:w="3685" w:type="dxa"/>
          </w:tcPr>
          <w:p w14:paraId="7031F3A3" w14:textId="77777777" w:rsidR="00E839E1" w:rsidRPr="000A2E75" w:rsidRDefault="00E839E1" w:rsidP="00E839E1">
            <w:pPr>
              <w:jc w:val="both"/>
              <w:rPr>
                <w:rFonts w:ascii="Times New Roman" w:hAnsi="Times New Roman" w:cs="Times New Roman"/>
                <w:bCs/>
              </w:rPr>
            </w:pPr>
            <w:r w:rsidRPr="000A2E75">
              <w:rPr>
                <w:rFonts w:ascii="Times New Roman" w:hAnsi="Times New Roman" w:cs="Times New Roman"/>
                <w:bCs/>
              </w:rPr>
              <w:t xml:space="preserve">Female </w:t>
            </w:r>
          </w:p>
        </w:tc>
        <w:tc>
          <w:tcPr>
            <w:tcW w:w="1134" w:type="dxa"/>
          </w:tcPr>
          <w:p w14:paraId="475CB491" w14:textId="77777777" w:rsidR="00E839E1" w:rsidRPr="000A2E75" w:rsidRDefault="00E839E1" w:rsidP="00E839E1">
            <w:pPr>
              <w:jc w:val="both"/>
              <w:rPr>
                <w:rFonts w:ascii="Times New Roman" w:hAnsi="Times New Roman" w:cs="Times New Roman"/>
                <w:bCs/>
              </w:rPr>
            </w:pPr>
            <w:r w:rsidRPr="000A2E75">
              <w:rPr>
                <w:rFonts w:ascii="Times New Roman" w:hAnsi="Times New Roman" w:cs="Times New Roman"/>
                <w:bCs/>
              </w:rPr>
              <w:t>316</w:t>
            </w:r>
          </w:p>
        </w:tc>
        <w:tc>
          <w:tcPr>
            <w:tcW w:w="987" w:type="dxa"/>
          </w:tcPr>
          <w:p w14:paraId="4A87FE5C" w14:textId="77777777" w:rsidR="00E839E1" w:rsidRPr="000A2E75" w:rsidRDefault="00E839E1" w:rsidP="00E839E1">
            <w:pPr>
              <w:jc w:val="both"/>
              <w:rPr>
                <w:rFonts w:ascii="Times New Roman" w:hAnsi="Times New Roman" w:cs="Times New Roman"/>
                <w:bCs/>
              </w:rPr>
            </w:pPr>
            <w:r w:rsidRPr="000A2E75">
              <w:rPr>
                <w:rFonts w:ascii="Times New Roman" w:hAnsi="Times New Roman" w:cs="Times New Roman"/>
                <w:bCs/>
              </w:rPr>
              <w:t>55,1</w:t>
            </w:r>
          </w:p>
        </w:tc>
      </w:tr>
      <w:tr w:rsidR="00E839E1" w:rsidRPr="000A2E75" w14:paraId="39EC192F" w14:textId="77777777" w:rsidTr="00E839E1">
        <w:trPr>
          <w:trHeight w:val="234"/>
        </w:trPr>
        <w:tc>
          <w:tcPr>
            <w:tcW w:w="3256" w:type="dxa"/>
            <w:vMerge/>
          </w:tcPr>
          <w:p w14:paraId="550063FC" w14:textId="77777777" w:rsidR="00E839E1" w:rsidRPr="000A2E75" w:rsidRDefault="00E839E1" w:rsidP="00E839E1">
            <w:pPr>
              <w:jc w:val="both"/>
              <w:rPr>
                <w:rFonts w:ascii="Times New Roman" w:hAnsi="Times New Roman" w:cs="Times New Roman"/>
                <w:b/>
                <w:bCs/>
              </w:rPr>
            </w:pPr>
          </w:p>
        </w:tc>
        <w:tc>
          <w:tcPr>
            <w:tcW w:w="3685" w:type="dxa"/>
          </w:tcPr>
          <w:p w14:paraId="0B08A5FF" w14:textId="77777777" w:rsidR="00E839E1" w:rsidRPr="000A2E75" w:rsidRDefault="00E839E1" w:rsidP="00E839E1">
            <w:pPr>
              <w:jc w:val="both"/>
              <w:rPr>
                <w:rFonts w:ascii="Times New Roman" w:hAnsi="Times New Roman" w:cs="Times New Roman"/>
                <w:bCs/>
              </w:rPr>
            </w:pPr>
            <w:r w:rsidRPr="000A2E75">
              <w:rPr>
                <w:rFonts w:ascii="Times New Roman" w:hAnsi="Times New Roman" w:cs="Times New Roman"/>
                <w:bCs/>
              </w:rPr>
              <w:t>Male</w:t>
            </w:r>
          </w:p>
        </w:tc>
        <w:tc>
          <w:tcPr>
            <w:tcW w:w="1134" w:type="dxa"/>
          </w:tcPr>
          <w:p w14:paraId="65D4ED3E" w14:textId="77777777" w:rsidR="00E839E1" w:rsidRPr="000A2E75" w:rsidRDefault="00E839E1" w:rsidP="00E839E1">
            <w:pPr>
              <w:jc w:val="both"/>
              <w:rPr>
                <w:rFonts w:ascii="Times New Roman" w:hAnsi="Times New Roman" w:cs="Times New Roman"/>
                <w:bCs/>
              </w:rPr>
            </w:pPr>
            <w:r w:rsidRPr="000A2E75">
              <w:rPr>
                <w:rFonts w:ascii="Times New Roman" w:hAnsi="Times New Roman" w:cs="Times New Roman"/>
                <w:bCs/>
              </w:rPr>
              <w:t>257</w:t>
            </w:r>
          </w:p>
        </w:tc>
        <w:tc>
          <w:tcPr>
            <w:tcW w:w="987" w:type="dxa"/>
          </w:tcPr>
          <w:p w14:paraId="349E59E9" w14:textId="77777777" w:rsidR="00E839E1" w:rsidRPr="000A2E75" w:rsidRDefault="00E839E1" w:rsidP="00E839E1">
            <w:pPr>
              <w:jc w:val="both"/>
              <w:rPr>
                <w:rFonts w:ascii="Times New Roman" w:hAnsi="Times New Roman" w:cs="Times New Roman"/>
                <w:bCs/>
              </w:rPr>
            </w:pPr>
            <w:r w:rsidRPr="000A2E75">
              <w:rPr>
                <w:rFonts w:ascii="Times New Roman" w:hAnsi="Times New Roman" w:cs="Times New Roman"/>
                <w:bCs/>
              </w:rPr>
              <w:t>44,9</w:t>
            </w:r>
          </w:p>
        </w:tc>
      </w:tr>
      <w:tr w:rsidR="00E839E1" w:rsidRPr="000A2E75" w14:paraId="63ECD4E2" w14:textId="77777777" w:rsidTr="00E839E1">
        <w:trPr>
          <w:trHeight w:val="143"/>
        </w:trPr>
        <w:tc>
          <w:tcPr>
            <w:tcW w:w="3256" w:type="dxa"/>
            <w:vMerge w:val="restart"/>
          </w:tcPr>
          <w:p w14:paraId="318EFC3D" w14:textId="77777777" w:rsidR="00E839E1" w:rsidRPr="000A2E75" w:rsidRDefault="00E839E1" w:rsidP="00E839E1">
            <w:pPr>
              <w:jc w:val="both"/>
              <w:rPr>
                <w:rFonts w:ascii="Times New Roman" w:hAnsi="Times New Roman" w:cs="Times New Roman"/>
                <w:b/>
                <w:bCs/>
              </w:rPr>
            </w:pPr>
          </w:p>
          <w:p w14:paraId="556F73AB" w14:textId="77777777" w:rsidR="00E839E1" w:rsidRPr="000A2E75" w:rsidRDefault="00E839E1" w:rsidP="00E839E1">
            <w:pPr>
              <w:jc w:val="both"/>
              <w:rPr>
                <w:rFonts w:ascii="Times New Roman" w:hAnsi="Times New Roman" w:cs="Times New Roman"/>
                <w:b/>
                <w:bCs/>
              </w:rPr>
            </w:pPr>
          </w:p>
          <w:p w14:paraId="2FB55A36" w14:textId="77777777" w:rsidR="00E839E1" w:rsidRPr="000A2E75" w:rsidRDefault="00E839E1" w:rsidP="00E839E1">
            <w:pPr>
              <w:jc w:val="both"/>
              <w:rPr>
                <w:rFonts w:ascii="Times New Roman" w:hAnsi="Times New Roman" w:cs="Times New Roman"/>
                <w:b/>
                <w:bCs/>
              </w:rPr>
            </w:pPr>
            <w:r w:rsidRPr="000A2E75">
              <w:rPr>
                <w:rFonts w:ascii="Times New Roman" w:hAnsi="Times New Roman" w:cs="Times New Roman"/>
                <w:b/>
                <w:bCs/>
              </w:rPr>
              <w:t>Age</w:t>
            </w:r>
          </w:p>
        </w:tc>
        <w:tc>
          <w:tcPr>
            <w:tcW w:w="3685" w:type="dxa"/>
          </w:tcPr>
          <w:p w14:paraId="5B52A374" w14:textId="77777777" w:rsidR="00E839E1" w:rsidRPr="000A2E75" w:rsidRDefault="00E839E1" w:rsidP="00E839E1">
            <w:pPr>
              <w:jc w:val="both"/>
              <w:rPr>
                <w:rFonts w:ascii="Times New Roman" w:hAnsi="Times New Roman" w:cs="Times New Roman"/>
                <w:bCs/>
              </w:rPr>
            </w:pPr>
            <w:r w:rsidRPr="000A2E75">
              <w:rPr>
                <w:rFonts w:ascii="Times New Roman" w:hAnsi="Times New Roman" w:cs="Times New Roman"/>
                <w:bCs/>
              </w:rPr>
              <w:t xml:space="preserve">17-18 </w:t>
            </w:r>
          </w:p>
        </w:tc>
        <w:tc>
          <w:tcPr>
            <w:tcW w:w="1134" w:type="dxa"/>
          </w:tcPr>
          <w:p w14:paraId="0C55912E" w14:textId="77777777" w:rsidR="00E839E1" w:rsidRPr="000A2E75" w:rsidRDefault="00E839E1" w:rsidP="00E839E1">
            <w:pPr>
              <w:jc w:val="both"/>
              <w:rPr>
                <w:rFonts w:ascii="Times New Roman" w:hAnsi="Times New Roman" w:cs="Times New Roman"/>
                <w:bCs/>
              </w:rPr>
            </w:pPr>
            <w:r w:rsidRPr="000A2E75">
              <w:rPr>
                <w:rFonts w:ascii="Times New Roman" w:hAnsi="Times New Roman" w:cs="Times New Roman"/>
                <w:bCs/>
              </w:rPr>
              <w:t>17</w:t>
            </w:r>
          </w:p>
        </w:tc>
        <w:tc>
          <w:tcPr>
            <w:tcW w:w="987" w:type="dxa"/>
          </w:tcPr>
          <w:p w14:paraId="49AF44BD" w14:textId="77777777" w:rsidR="00E839E1" w:rsidRPr="000A2E75" w:rsidRDefault="00E839E1" w:rsidP="00E839E1">
            <w:pPr>
              <w:jc w:val="both"/>
              <w:rPr>
                <w:rFonts w:ascii="Times New Roman" w:hAnsi="Times New Roman" w:cs="Times New Roman"/>
                <w:bCs/>
              </w:rPr>
            </w:pPr>
            <w:r w:rsidRPr="000A2E75">
              <w:rPr>
                <w:rFonts w:ascii="Times New Roman" w:hAnsi="Times New Roman" w:cs="Times New Roman"/>
                <w:bCs/>
              </w:rPr>
              <w:t>3,0</w:t>
            </w:r>
          </w:p>
        </w:tc>
      </w:tr>
      <w:tr w:rsidR="00E839E1" w:rsidRPr="000A2E75" w14:paraId="159B4902" w14:textId="77777777" w:rsidTr="00E839E1">
        <w:trPr>
          <w:trHeight w:val="140"/>
        </w:trPr>
        <w:tc>
          <w:tcPr>
            <w:tcW w:w="3256" w:type="dxa"/>
            <w:vMerge/>
          </w:tcPr>
          <w:p w14:paraId="0FAFD438" w14:textId="77777777" w:rsidR="00E839E1" w:rsidRPr="000A2E75" w:rsidRDefault="00E839E1" w:rsidP="00E839E1">
            <w:pPr>
              <w:jc w:val="both"/>
              <w:rPr>
                <w:rFonts w:ascii="Times New Roman" w:hAnsi="Times New Roman" w:cs="Times New Roman"/>
                <w:b/>
                <w:bCs/>
              </w:rPr>
            </w:pPr>
          </w:p>
        </w:tc>
        <w:tc>
          <w:tcPr>
            <w:tcW w:w="3685" w:type="dxa"/>
          </w:tcPr>
          <w:p w14:paraId="676D3452" w14:textId="77777777" w:rsidR="00E839E1" w:rsidRPr="000A2E75" w:rsidRDefault="00E839E1" w:rsidP="00E839E1">
            <w:pPr>
              <w:jc w:val="both"/>
              <w:rPr>
                <w:rFonts w:ascii="Times New Roman" w:hAnsi="Times New Roman" w:cs="Times New Roman"/>
                <w:bCs/>
              </w:rPr>
            </w:pPr>
            <w:r w:rsidRPr="000A2E75">
              <w:rPr>
                <w:rFonts w:ascii="Times New Roman" w:hAnsi="Times New Roman" w:cs="Times New Roman"/>
                <w:bCs/>
              </w:rPr>
              <w:t xml:space="preserve">19-20 </w:t>
            </w:r>
          </w:p>
        </w:tc>
        <w:tc>
          <w:tcPr>
            <w:tcW w:w="1134" w:type="dxa"/>
          </w:tcPr>
          <w:p w14:paraId="637D0EAB" w14:textId="77777777" w:rsidR="00E839E1" w:rsidRPr="000A2E75" w:rsidRDefault="00E839E1" w:rsidP="00E839E1">
            <w:pPr>
              <w:jc w:val="both"/>
              <w:rPr>
                <w:rFonts w:ascii="Times New Roman" w:hAnsi="Times New Roman" w:cs="Times New Roman"/>
                <w:bCs/>
              </w:rPr>
            </w:pPr>
            <w:r w:rsidRPr="000A2E75">
              <w:rPr>
                <w:rFonts w:ascii="Times New Roman" w:hAnsi="Times New Roman" w:cs="Times New Roman"/>
                <w:bCs/>
              </w:rPr>
              <w:t>132</w:t>
            </w:r>
          </w:p>
        </w:tc>
        <w:tc>
          <w:tcPr>
            <w:tcW w:w="987" w:type="dxa"/>
          </w:tcPr>
          <w:p w14:paraId="4FA8B101" w14:textId="77777777" w:rsidR="00E839E1" w:rsidRPr="000A2E75" w:rsidRDefault="00E839E1" w:rsidP="00E839E1">
            <w:pPr>
              <w:jc w:val="both"/>
              <w:rPr>
                <w:rFonts w:ascii="Times New Roman" w:hAnsi="Times New Roman" w:cs="Times New Roman"/>
                <w:bCs/>
              </w:rPr>
            </w:pPr>
            <w:r w:rsidRPr="000A2E75">
              <w:rPr>
                <w:rFonts w:ascii="Times New Roman" w:hAnsi="Times New Roman" w:cs="Times New Roman"/>
                <w:bCs/>
              </w:rPr>
              <w:t>23,0</w:t>
            </w:r>
          </w:p>
        </w:tc>
      </w:tr>
      <w:tr w:rsidR="00E839E1" w:rsidRPr="000A2E75" w14:paraId="4388A78B" w14:textId="77777777" w:rsidTr="00E839E1">
        <w:trPr>
          <w:trHeight w:val="140"/>
        </w:trPr>
        <w:tc>
          <w:tcPr>
            <w:tcW w:w="3256" w:type="dxa"/>
            <w:vMerge/>
          </w:tcPr>
          <w:p w14:paraId="014C9CCF" w14:textId="77777777" w:rsidR="00E839E1" w:rsidRPr="000A2E75" w:rsidRDefault="00E839E1" w:rsidP="00E839E1">
            <w:pPr>
              <w:jc w:val="both"/>
              <w:rPr>
                <w:rFonts w:ascii="Times New Roman" w:hAnsi="Times New Roman" w:cs="Times New Roman"/>
                <w:b/>
                <w:bCs/>
              </w:rPr>
            </w:pPr>
          </w:p>
        </w:tc>
        <w:tc>
          <w:tcPr>
            <w:tcW w:w="3685" w:type="dxa"/>
          </w:tcPr>
          <w:p w14:paraId="732864D2" w14:textId="77777777" w:rsidR="00E839E1" w:rsidRPr="000A2E75" w:rsidRDefault="00E839E1" w:rsidP="00E839E1">
            <w:pPr>
              <w:jc w:val="both"/>
              <w:rPr>
                <w:rFonts w:ascii="Times New Roman" w:hAnsi="Times New Roman" w:cs="Times New Roman"/>
                <w:bCs/>
              </w:rPr>
            </w:pPr>
            <w:r w:rsidRPr="000A2E75">
              <w:rPr>
                <w:rFonts w:ascii="Times New Roman" w:hAnsi="Times New Roman" w:cs="Times New Roman"/>
                <w:bCs/>
              </w:rPr>
              <w:t xml:space="preserve">21-22 </w:t>
            </w:r>
          </w:p>
        </w:tc>
        <w:tc>
          <w:tcPr>
            <w:tcW w:w="1134" w:type="dxa"/>
          </w:tcPr>
          <w:p w14:paraId="6FB0D242" w14:textId="77777777" w:rsidR="00E839E1" w:rsidRPr="000A2E75" w:rsidRDefault="00E839E1" w:rsidP="00E839E1">
            <w:pPr>
              <w:jc w:val="both"/>
              <w:rPr>
                <w:rFonts w:ascii="Times New Roman" w:hAnsi="Times New Roman" w:cs="Times New Roman"/>
                <w:bCs/>
              </w:rPr>
            </w:pPr>
            <w:r w:rsidRPr="000A2E75">
              <w:rPr>
                <w:rFonts w:ascii="Times New Roman" w:hAnsi="Times New Roman" w:cs="Times New Roman"/>
                <w:bCs/>
              </w:rPr>
              <w:t>286</w:t>
            </w:r>
          </w:p>
        </w:tc>
        <w:tc>
          <w:tcPr>
            <w:tcW w:w="987" w:type="dxa"/>
          </w:tcPr>
          <w:p w14:paraId="6D7F3106" w14:textId="77777777" w:rsidR="00E839E1" w:rsidRPr="000A2E75" w:rsidRDefault="00E839E1" w:rsidP="00E839E1">
            <w:pPr>
              <w:jc w:val="both"/>
              <w:rPr>
                <w:rFonts w:ascii="Times New Roman" w:hAnsi="Times New Roman" w:cs="Times New Roman"/>
                <w:bCs/>
              </w:rPr>
            </w:pPr>
            <w:r w:rsidRPr="000A2E75">
              <w:rPr>
                <w:rFonts w:ascii="Times New Roman" w:hAnsi="Times New Roman" w:cs="Times New Roman"/>
                <w:bCs/>
              </w:rPr>
              <w:t>49,9</w:t>
            </w:r>
          </w:p>
        </w:tc>
      </w:tr>
      <w:tr w:rsidR="00E839E1" w:rsidRPr="000A2E75" w14:paraId="6CC86AC0" w14:textId="77777777" w:rsidTr="00E839E1">
        <w:trPr>
          <w:trHeight w:val="140"/>
        </w:trPr>
        <w:tc>
          <w:tcPr>
            <w:tcW w:w="3256" w:type="dxa"/>
            <w:vMerge/>
          </w:tcPr>
          <w:p w14:paraId="6C905CC8" w14:textId="77777777" w:rsidR="00E839E1" w:rsidRPr="000A2E75" w:rsidRDefault="00E839E1" w:rsidP="00E839E1">
            <w:pPr>
              <w:jc w:val="both"/>
              <w:rPr>
                <w:rFonts w:ascii="Times New Roman" w:hAnsi="Times New Roman" w:cs="Times New Roman"/>
                <w:b/>
                <w:bCs/>
              </w:rPr>
            </w:pPr>
          </w:p>
        </w:tc>
        <w:tc>
          <w:tcPr>
            <w:tcW w:w="3685" w:type="dxa"/>
          </w:tcPr>
          <w:p w14:paraId="794443F6" w14:textId="77777777" w:rsidR="00E839E1" w:rsidRPr="000A2E75" w:rsidRDefault="00E839E1" w:rsidP="00E839E1">
            <w:pPr>
              <w:jc w:val="both"/>
              <w:rPr>
                <w:rFonts w:ascii="Times New Roman" w:hAnsi="Times New Roman" w:cs="Times New Roman"/>
                <w:bCs/>
              </w:rPr>
            </w:pPr>
            <w:r w:rsidRPr="000A2E75">
              <w:rPr>
                <w:rFonts w:ascii="Times New Roman" w:hAnsi="Times New Roman" w:cs="Times New Roman"/>
                <w:bCs/>
              </w:rPr>
              <w:t>23 years and older</w:t>
            </w:r>
          </w:p>
        </w:tc>
        <w:tc>
          <w:tcPr>
            <w:tcW w:w="1134" w:type="dxa"/>
          </w:tcPr>
          <w:p w14:paraId="4AF0365E" w14:textId="77777777" w:rsidR="00E839E1" w:rsidRPr="000A2E75" w:rsidRDefault="00E839E1" w:rsidP="00E839E1">
            <w:pPr>
              <w:jc w:val="both"/>
              <w:rPr>
                <w:rFonts w:ascii="Times New Roman" w:hAnsi="Times New Roman" w:cs="Times New Roman"/>
                <w:bCs/>
              </w:rPr>
            </w:pPr>
            <w:r w:rsidRPr="000A2E75">
              <w:rPr>
                <w:rFonts w:ascii="Times New Roman" w:hAnsi="Times New Roman" w:cs="Times New Roman"/>
                <w:bCs/>
              </w:rPr>
              <w:t>138</w:t>
            </w:r>
          </w:p>
        </w:tc>
        <w:tc>
          <w:tcPr>
            <w:tcW w:w="987" w:type="dxa"/>
          </w:tcPr>
          <w:p w14:paraId="7C6293AE" w14:textId="77777777" w:rsidR="00E839E1" w:rsidRPr="000A2E75" w:rsidRDefault="00E839E1" w:rsidP="00E839E1">
            <w:pPr>
              <w:jc w:val="both"/>
              <w:rPr>
                <w:rFonts w:ascii="Times New Roman" w:hAnsi="Times New Roman" w:cs="Times New Roman"/>
                <w:bCs/>
              </w:rPr>
            </w:pPr>
            <w:r w:rsidRPr="000A2E75">
              <w:rPr>
                <w:rFonts w:ascii="Times New Roman" w:hAnsi="Times New Roman" w:cs="Times New Roman"/>
                <w:bCs/>
              </w:rPr>
              <w:t>24,1</w:t>
            </w:r>
          </w:p>
        </w:tc>
      </w:tr>
      <w:tr w:rsidR="00E839E1" w:rsidRPr="000A2E75" w14:paraId="5B6B997F" w14:textId="77777777" w:rsidTr="00E839E1">
        <w:trPr>
          <w:trHeight w:val="176"/>
        </w:trPr>
        <w:tc>
          <w:tcPr>
            <w:tcW w:w="3256" w:type="dxa"/>
            <w:vMerge w:val="restart"/>
          </w:tcPr>
          <w:p w14:paraId="5FB4415B" w14:textId="77777777" w:rsidR="00E839E1" w:rsidRPr="000A2E75" w:rsidRDefault="00E839E1" w:rsidP="00E839E1">
            <w:pPr>
              <w:jc w:val="both"/>
              <w:rPr>
                <w:rFonts w:ascii="Times New Roman" w:hAnsi="Times New Roman" w:cs="Times New Roman"/>
                <w:b/>
                <w:bCs/>
              </w:rPr>
            </w:pPr>
          </w:p>
          <w:p w14:paraId="213C38C5" w14:textId="77777777" w:rsidR="00E839E1" w:rsidRPr="000A2E75" w:rsidRDefault="00E839E1" w:rsidP="00E839E1">
            <w:pPr>
              <w:jc w:val="both"/>
              <w:rPr>
                <w:rFonts w:ascii="Times New Roman" w:hAnsi="Times New Roman" w:cs="Times New Roman"/>
                <w:b/>
                <w:bCs/>
              </w:rPr>
            </w:pPr>
            <w:r w:rsidRPr="000A2E75">
              <w:rPr>
                <w:rFonts w:ascii="Times New Roman" w:hAnsi="Times New Roman" w:cs="Times New Roman"/>
                <w:b/>
                <w:bCs/>
              </w:rPr>
              <w:t>Place of Residence in Face-to-Face Education</w:t>
            </w:r>
          </w:p>
        </w:tc>
        <w:tc>
          <w:tcPr>
            <w:tcW w:w="3685" w:type="dxa"/>
          </w:tcPr>
          <w:p w14:paraId="1E5AA8F2" w14:textId="77777777" w:rsidR="00E839E1" w:rsidRPr="000A2E75" w:rsidRDefault="00E839E1" w:rsidP="00E839E1">
            <w:pPr>
              <w:jc w:val="both"/>
              <w:rPr>
                <w:rFonts w:ascii="Times New Roman" w:hAnsi="Times New Roman" w:cs="Times New Roman"/>
                <w:bCs/>
              </w:rPr>
            </w:pPr>
            <w:r w:rsidRPr="000A2E75">
              <w:rPr>
                <w:rFonts w:ascii="Times New Roman" w:hAnsi="Times New Roman" w:cs="Times New Roman"/>
                <w:bCs/>
              </w:rPr>
              <w:t>With the family</w:t>
            </w:r>
          </w:p>
        </w:tc>
        <w:tc>
          <w:tcPr>
            <w:tcW w:w="1134" w:type="dxa"/>
          </w:tcPr>
          <w:p w14:paraId="17101B6A" w14:textId="77777777" w:rsidR="00E839E1" w:rsidRPr="000A2E75" w:rsidRDefault="00E839E1" w:rsidP="00E839E1">
            <w:pPr>
              <w:jc w:val="both"/>
              <w:rPr>
                <w:rFonts w:ascii="Times New Roman" w:hAnsi="Times New Roman" w:cs="Times New Roman"/>
                <w:bCs/>
              </w:rPr>
            </w:pPr>
            <w:r w:rsidRPr="000A2E75">
              <w:rPr>
                <w:rFonts w:ascii="Times New Roman" w:hAnsi="Times New Roman" w:cs="Times New Roman"/>
                <w:bCs/>
              </w:rPr>
              <w:t>126</w:t>
            </w:r>
          </w:p>
        </w:tc>
        <w:tc>
          <w:tcPr>
            <w:tcW w:w="987" w:type="dxa"/>
          </w:tcPr>
          <w:p w14:paraId="5FF880A1" w14:textId="77777777" w:rsidR="00E839E1" w:rsidRPr="000A2E75" w:rsidRDefault="00E839E1" w:rsidP="00E839E1">
            <w:pPr>
              <w:jc w:val="both"/>
              <w:rPr>
                <w:rFonts w:ascii="Times New Roman" w:hAnsi="Times New Roman" w:cs="Times New Roman"/>
                <w:bCs/>
              </w:rPr>
            </w:pPr>
            <w:r w:rsidRPr="000A2E75">
              <w:rPr>
                <w:rFonts w:ascii="Times New Roman" w:hAnsi="Times New Roman" w:cs="Times New Roman"/>
                <w:bCs/>
              </w:rPr>
              <w:t>22,0</w:t>
            </w:r>
          </w:p>
        </w:tc>
      </w:tr>
      <w:tr w:rsidR="00E839E1" w:rsidRPr="000A2E75" w14:paraId="0CF69DDA" w14:textId="77777777" w:rsidTr="00E839E1">
        <w:trPr>
          <w:trHeight w:val="175"/>
        </w:trPr>
        <w:tc>
          <w:tcPr>
            <w:tcW w:w="3256" w:type="dxa"/>
            <w:vMerge/>
          </w:tcPr>
          <w:p w14:paraId="49EC8463" w14:textId="77777777" w:rsidR="00E839E1" w:rsidRPr="000A2E75" w:rsidRDefault="00E839E1" w:rsidP="00E839E1">
            <w:pPr>
              <w:jc w:val="both"/>
              <w:rPr>
                <w:rFonts w:ascii="Times New Roman" w:hAnsi="Times New Roman" w:cs="Times New Roman"/>
                <w:b/>
                <w:bCs/>
              </w:rPr>
            </w:pPr>
          </w:p>
        </w:tc>
        <w:tc>
          <w:tcPr>
            <w:tcW w:w="3685" w:type="dxa"/>
          </w:tcPr>
          <w:p w14:paraId="119FAF59" w14:textId="77777777" w:rsidR="00E839E1" w:rsidRPr="000A2E75" w:rsidRDefault="00E839E1" w:rsidP="00E839E1">
            <w:pPr>
              <w:jc w:val="both"/>
              <w:rPr>
                <w:rFonts w:ascii="Times New Roman" w:hAnsi="Times New Roman" w:cs="Times New Roman"/>
                <w:bCs/>
              </w:rPr>
            </w:pPr>
            <w:r w:rsidRPr="000A2E75">
              <w:rPr>
                <w:rFonts w:ascii="Times New Roman" w:hAnsi="Times New Roman" w:cs="Times New Roman"/>
                <w:bCs/>
              </w:rPr>
              <w:t>With friends</w:t>
            </w:r>
          </w:p>
        </w:tc>
        <w:tc>
          <w:tcPr>
            <w:tcW w:w="1134" w:type="dxa"/>
          </w:tcPr>
          <w:p w14:paraId="36169398" w14:textId="77777777" w:rsidR="00E839E1" w:rsidRPr="000A2E75" w:rsidRDefault="00E839E1" w:rsidP="00E839E1">
            <w:pPr>
              <w:jc w:val="both"/>
              <w:rPr>
                <w:rFonts w:ascii="Times New Roman" w:hAnsi="Times New Roman" w:cs="Times New Roman"/>
                <w:bCs/>
              </w:rPr>
            </w:pPr>
            <w:r w:rsidRPr="000A2E75">
              <w:rPr>
                <w:rFonts w:ascii="Times New Roman" w:hAnsi="Times New Roman" w:cs="Times New Roman"/>
                <w:bCs/>
              </w:rPr>
              <w:t>204</w:t>
            </w:r>
          </w:p>
        </w:tc>
        <w:tc>
          <w:tcPr>
            <w:tcW w:w="987" w:type="dxa"/>
          </w:tcPr>
          <w:p w14:paraId="1B28F2C8" w14:textId="77777777" w:rsidR="00E839E1" w:rsidRPr="000A2E75" w:rsidRDefault="00E839E1" w:rsidP="00E839E1">
            <w:pPr>
              <w:jc w:val="both"/>
              <w:rPr>
                <w:rFonts w:ascii="Times New Roman" w:hAnsi="Times New Roman" w:cs="Times New Roman"/>
                <w:bCs/>
              </w:rPr>
            </w:pPr>
            <w:r w:rsidRPr="000A2E75">
              <w:rPr>
                <w:rFonts w:ascii="Times New Roman" w:hAnsi="Times New Roman" w:cs="Times New Roman"/>
                <w:bCs/>
              </w:rPr>
              <w:t>35,6</w:t>
            </w:r>
          </w:p>
        </w:tc>
      </w:tr>
      <w:tr w:rsidR="00E839E1" w:rsidRPr="000A2E75" w14:paraId="4226D5D8" w14:textId="77777777" w:rsidTr="00E839E1">
        <w:trPr>
          <w:trHeight w:val="175"/>
        </w:trPr>
        <w:tc>
          <w:tcPr>
            <w:tcW w:w="3256" w:type="dxa"/>
            <w:vMerge/>
          </w:tcPr>
          <w:p w14:paraId="6C127AB3" w14:textId="77777777" w:rsidR="00E839E1" w:rsidRPr="000A2E75" w:rsidRDefault="00E839E1" w:rsidP="00E839E1">
            <w:pPr>
              <w:jc w:val="both"/>
              <w:rPr>
                <w:rFonts w:ascii="Times New Roman" w:hAnsi="Times New Roman" w:cs="Times New Roman"/>
                <w:b/>
                <w:bCs/>
              </w:rPr>
            </w:pPr>
          </w:p>
        </w:tc>
        <w:tc>
          <w:tcPr>
            <w:tcW w:w="3685" w:type="dxa"/>
          </w:tcPr>
          <w:p w14:paraId="1BFA224F" w14:textId="77777777" w:rsidR="00E839E1" w:rsidRPr="000A2E75" w:rsidRDefault="00E839E1" w:rsidP="00E839E1">
            <w:pPr>
              <w:jc w:val="both"/>
              <w:rPr>
                <w:rFonts w:ascii="Times New Roman" w:hAnsi="Times New Roman" w:cs="Times New Roman"/>
                <w:bCs/>
              </w:rPr>
            </w:pPr>
            <w:r w:rsidRPr="000A2E75">
              <w:rPr>
                <w:rFonts w:ascii="Times New Roman" w:hAnsi="Times New Roman" w:cs="Times New Roman"/>
                <w:bCs/>
              </w:rPr>
              <w:t>In dormitory</w:t>
            </w:r>
          </w:p>
        </w:tc>
        <w:tc>
          <w:tcPr>
            <w:tcW w:w="1134" w:type="dxa"/>
          </w:tcPr>
          <w:p w14:paraId="6602FF26" w14:textId="77777777" w:rsidR="00E839E1" w:rsidRPr="000A2E75" w:rsidRDefault="00E839E1" w:rsidP="00E839E1">
            <w:pPr>
              <w:jc w:val="both"/>
              <w:rPr>
                <w:rFonts w:ascii="Times New Roman" w:hAnsi="Times New Roman" w:cs="Times New Roman"/>
                <w:bCs/>
              </w:rPr>
            </w:pPr>
            <w:r w:rsidRPr="000A2E75">
              <w:rPr>
                <w:rFonts w:ascii="Times New Roman" w:hAnsi="Times New Roman" w:cs="Times New Roman"/>
                <w:bCs/>
              </w:rPr>
              <w:t>243</w:t>
            </w:r>
          </w:p>
        </w:tc>
        <w:tc>
          <w:tcPr>
            <w:tcW w:w="987" w:type="dxa"/>
          </w:tcPr>
          <w:p w14:paraId="1C033577" w14:textId="77777777" w:rsidR="00E839E1" w:rsidRPr="000A2E75" w:rsidRDefault="00E839E1" w:rsidP="00E839E1">
            <w:pPr>
              <w:jc w:val="both"/>
              <w:rPr>
                <w:rFonts w:ascii="Times New Roman" w:hAnsi="Times New Roman" w:cs="Times New Roman"/>
                <w:bCs/>
              </w:rPr>
            </w:pPr>
            <w:r w:rsidRPr="000A2E75">
              <w:rPr>
                <w:rFonts w:ascii="Times New Roman" w:hAnsi="Times New Roman" w:cs="Times New Roman"/>
                <w:bCs/>
              </w:rPr>
              <w:t>42,4</w:t>
            </w:r>
          </w:p>
        </w:tc>
      </w:tr>
      <w:tr w:rsidR="00E839E1" w:rsidRPr="000A2E75" w14:paraId="0FAA63F2" w14:textId="77777777" w:rsidTr="00E839E1">
        <w:trPr>
          <w:trHeight w:val="370"/>
        </w:trPr>
        <w:tc>
          <w:tcPr>
            <w:tcW w:w="3256" w:type="dxa"/>
            <w:vMerge w:val="restart"/>
          </w:tcPr>
          <w:p w14:paraId="66E6A179" w14:textId="77777777" w:rsidR="00E839E1" w:rsidRPr="000A2E75" w:rsidRDefault="00E839E1" w:rsidP="00E839E1">
            <w:pPr>
              <w:jc w:val="both"/>
              <w:rPr>
                <w:rFonts w:ascii="Times New Roman" w:hAnsi="Times New Roman" w:cs="Times New Roman"/>
                <w:b/>
                <w:bCs/>
              </w:rPr>
            </w:pPr>
          </w:p>
          <w:p w14:paraId="38CD8F46" w14:textId="77777777" w:rsidR="00E839E1" w:rsidRPr="000A2E75" w:rsidRDefault="00E839E1" w:rsidP="00E839E1">
            <w:pPr>
              <w:jc w:val="both"/>
              <w:rPr>
                <w:rFonts w:ascii="Times New Roman" w:hAnsi="Times New Roman" w:cs="Times New Roman"/>
                <w:b/>
                <w:bCs/>
              </w:rPr>
            </w:pPr>
            <w:r w:rsidRPr="000A2E75">
              <w:rPr>
                <w:rFonts w:ascii="Times New Roman" w:hAnsi="Times New Roman" w:cs="Times New Roman"/>
                <w:b/>
                <w:bCs/>
              </w:rPr>
              <w:t>Attending classes with Distance Education before</w:t>
            </w:r>
          </w:p>
        </w:tc>
        <w:tc>
          <w:tcPr>
            <w:tcW w:w="3685" w:type="dxa"/>
          </w:tcPr>
          <w:p w14:paraId="40FE54FC" w14:textId="77777777" w:rsidR="00E839E1" w:rsidRPr="000A2E75" w:rsidRDefault="00E839E1" w:rsidP="00E839E1">
            <w:pPr>
              <w:jc w:val="both"/>
              <w:rPr>
                <w:rFonts w:ascii="Times New Roman" w:hAnsi="Times New Roman" w:cs="Times New Roman"/>
                <w:bCs/>
              </w:rPr>
            </w:pPr>
            <w:r w:rsidRPr="000A2E75">
              <w:rPr>
                <w:rFonts w:ascii="Times New Roman" w:hAnsi="Times New Roman" w:cs="Times New Roman"/>
                <w:bCs/>
              </w:rPr>
              <w:t>Yes</w:t>
            </w:r>
          </w:p>
        </w:tc>
        <w:tc>
          <w:tcPr>
            <w:tcW w:w="1134" w:type="dxa"/>
          </w:tcPr>
          <w:p w14:paraId="780F183E" w14:textId="77777777" w:rsidR="00E839E1" w:rsidRPr="000A2E75" w:rsidRDefault="00E839E1" w:rsidP="00E839E1">
            <w:pPr>
              <w:jc w:val="both"/>
              <w:rPr>
                <w:rFonts w:ascii="Times New Roman" w:hAnsi="Times New Roman" w:cs="Times New Roman"/>
                <w:bCs/>
              </w:rPr>
            </w:pPr>
            <w:r w:rsidRPr="000A2E75">
              <w:rPr>
                <w:rFonts w:ascii="Times New Roman" w:hAnsi="Times New Roman" w:cs="Times New Roman"/>
                <w:bCs/>
              </w:rPr>
              <w:t>245</w:t>
            </w:r>
          </w:p>
        </w:tc>
        <w:tc>
          <w:tcPr>
            <w:tcW w:w="987" w:type="dxa"/>
          </w:tcPr>
          <w:p w14:paraId="7621F469" w14:textId="77777777" w:rsidR="00E839E1" w:rsidRPr="000A2E75" w:rsidRDefault="00E839E1" w:rsidP="00E839E1">
            <w:pPr>
              <w:jc w:val="both"/>
              <w:rPr>
                <w:rFonts w:ascii="Times New Roman" w:hAnsi="Times New Roman" w:cs="Times New Roman"/>
                <w:bCs/>
              </w:rPr>
            </w:pPr>
            <w:r w:rsidRPr="000A2E75">
              <w:rPr>
                <w:rFonts w:ascii="Times New Roman" w:hAnsi="Times New Roman" w:cs="Times New Roman"/>
                <w:bCs/>
              </w:rPr>
              <w:t>42,8</w:t>
            </w:r>
          </w:p>
        </w:tc>
      </w:tr>
      <w:tr w:rsidR="00E839E1" w:rsidRPr="000A2E75" w14:paraId="2C23E647" w14:textId="77777777" w:rsidTr="00E839E1">
        <w:trPr>
          <w:trHeight w:val="751"/>
        </w:trPr>
        <w:tc>
          <w:tcPr>
            <w:tcW w:w="3256" w:type="dxa"/>
            <w:vMerge/>
          </w:tcPr>
          <w:p w14:paraId="16C901E0" w14:textId="77777777" w:rsidR="00E839E1" w:rsidRPr="000A2E75" w:rsidRDefault="00E839E1" w:rsidP="00E839E1">
            <w:pPr>
              <w:jc w:val="both"/>
              <w:rPr>
                <w:rFonts w:ascii="Times New Roman" w:hAnsi="Times New Roman" w:cs="Times New Roman"/>
                <w:b/>
                <w:bCs/>
              </w:rPr>
            </w:pPr>
          </w:p>
        </w:tc>
        <w:tc>
          <w:tcPr>
            <w:tcW w:w="3685" w:type="dxa"/>
          </w:tcPr>
          <w:p w14:paraId="3859A260" w14:textId="77777777" w:rsidR="00E839E1" w:rsidRPr="000A2E75" w:rsidRDefault="00E839E1" w:rsidP="00E839E1">
            <w:pPr>
              <w:jc w:val="both"/>
              <w:rPr>
                <w:rFonts w:ascii="Times New Roman" w:hAnsi="Times New Roman" w:cs="Times New Roman"/>
                <w:bCs/>
              </w:rPr>
            </w:pPr>
            <w:r w:rsidRPr="000A2E75">
              <w:rPr>
                <w:rFonts w:ascii="Times New Roman" w:hAnsi="Times New Roman" w:cs="Times New Roman"/>
                <w:bCs/>
              </w:rPr>
              <w:t>No</w:t>
            </w:r>
          </w:p>
        </w:tc>
        <w:tc>
          <w:tcPr>
            <w:tcW w:w="1134" w:type="dxa"/>
          </w:tcPr>
          <w:p w14:paraId="61B718F6" w14:textId="77777777" w:rsidR="00E839E1" w:rsidRPr="000A2E75" w:rsidRDefault="00E839E1" w:rsidP="00E839E1">
            <w:pPr>
              <w:jc w:val="both"/>
              <w:rPr>
                <w:rFonts w:ascii="Times New Roman" w:hAnsi="Times New Roman" w:cs="Times New Roman"/>
                <w:bCs/>
              </w:rPr>
            </w:pPr>
            <w:r w:rsidRPr="000A2E75">
              <w:rPr>
                <w:rFonts w:ascii="Times New Roman" w:hAnsi="Times New Roman" w:cs="Times New Roman"/>
                <w:bCs/>
              </w:rPr>
              <w:t>328</w:t>
            </w:r>
          </w:p>
        </w:tc>
        <w:tc>
          <w:tcPr>
            <w:tcW w:w="987" w:type="dxa"/>
          </w:tcPr>
          <w:p w14:paraId="48457846" w14:textId="77777777" w:rsidR="00E839E1" w:rsidRPr="000A2E75" w:rsidRDefault="00E839E1" w:rsidP="00E839E1">
            <w:pPr>
              <w:jc w:val="both"/>
              <w:rPr>
                <w:rFonts w:ascii="Times New Roman" w:hAnsi="Times New Roman" w:cs="Times New Roman"/>
                <w:bCs/>
              </w:rPr>
            </w:pPr>
            <w:r w:rsidRPr="000A2E75">
              <w:rPr>
                <w:rFonts w:ascii="Times New Roman" w:hAnsi="Times New Roman" w:cs="Times New Roman"/>
                <w:bCs/>
              </w:rPr>
              <w:t>57,2</w:t>
            </w:r>
          </w:p>
        </w:tc>
      </w:tr>
      <w:tr w:rsidR="00E839E1" w:rsidRPr="000A2E75" w14:paraId="42943100" w14:textId="77777777" w:rsidTr="00E839E1">
        <w:trPr>
          <w:trHeight w:val="369"/>
        </w:trPr>
        <w:tc>
          <w:tcPr>
            <w:tcW w:w="3256" w:type="dxa"/>
          </w:tcPr>
          <w:p w14:paraId="78460B41" w14:textId="77777777" w:rsidR="00E839E1" w:rsidRPr="000A2E75" w:rsidRDefault="00E839E1" w:rsidP="00E839E1">
            <w:pPr>
              <w:jc w:val="both"/>
              <w:rPr>
                <w:rFonts w:ascii="Times New Roman" w:hAnsi="Times New Roman" w:cs="Times New Roman"/>
                <w:b/>
                <w:bCs/>
              </w:rPr>
            </w:pPr>
            <w:r w:rsidRPr="000A2E75">
              <w:rPr>
                <w:rFonts w:ascii="Times New Roman" w:hAnsi="Times New Roman" w:cs="Times New Roman"/>
                <w:b/>
                <w:bCs/>
              </w:rPr>
              <w:t>TOTAL</w:t>
            </w:r>
          </w:p>
        </w:tc>
        <w:tc>
          <w:tcPr>
            <w:tcW w:w="3685" w:type="dxa"/>
          </w:tcPr>
          <w:p w14:paraId="322AB82C" w14:textId="77777777" w:rsidR="00E839E1" w:rsidRPr="000A2E75" w:rsidRDefault="00E839E1" w:rsidP="00E839E1">
            <w:pPr>
              <w:jc w:val="both"/>
              <w:rPr>
                <w:rFonts w:ascii="Times New Roman" w:hAnsi="Times New Roman" w:cs="Times New Roman"/>
                <w:bCs/>
              </w:rPr>
            </w:pPr>
          </w:p>
        </w:tc>
        <w:tc>
          <w:tcPr>
            <w:tcW w:w="1134" w:type="dxa"/>
          </w:tcPr>
          <w:p w14:paraId="2BE837B1" w14:textId="77777777" w:rsidR="00E839E1" w:rsidRPr="000A2E75" w:rsidRDefault="00E839E1" w:rsidP="00E839E1">
            <w:pPr>
              <w:jc w:val="both"/>
              <w:rPr>
                <w:rFonts w:ascii="Times New Roman" w:hAnsi="Times New Roman" w:cs="Times New Roman"/>
                <w:bCs/>
              </w:rPr>
            </w:pPr>
            <w:r w:rsidRPr="000A2E75">
              <w:rPr>
                <w:rFonts w:ascii="Times New Roman" w:hAnsi="Times New Roman" w:cs="Times New Roman"/>
                <w:bCs/>
              </w:rPr>
              <w:t>573</w:t>
            </w:r>
          </w:p>
        </w:tc>
        <w:tc>
          <w:tcPr>
            <w:tcW w:w="987" w:type="dxa"/>
          </w:tcPr>
          <w:p w14:paraId="06AD54A0" w14:textId="77777777" w:rsidR="00E839E1" w:rsidRPr="000A2E75" w:rsidRDefault="00E839E1" w:rsidP="00E839E1">
            <w:pPr>
              <w:jc w:val="both"/>
              <w:rPr>
                <w:rFonts w:ascii="Times New Roman" w:hAnsi="Times New Roman" w:cs="Times New Roman"/>
                <w:bCs/>
              </w:rPr>
            </w:pPr>
            <w:r w:rsidRPr="000A2E75">
              <w:rPr>
                <w:rFonts w:ascii="Times New Roman" w:hAnsi="Times New Roman" w:cs="Times New Roman"/>
                <w:bCs/>
              </w:rPr>
              <w:t>100</w:t>
            </w:r>
          </w:p>
        </w:tc>
      </w:tr>
    </w:tbl>
    <w:p w14:paraId="4A28B3A7" w14:textId="77777777" w:rsidR="00E839E1" w:rsidRPr="000A2E75" w:rsidRDefault="00E839E1" w:rsidP="00E839E1">
      <w:pPr>
        <w:rPr>
          <w:rFonts w:ascii="Times New Roman" w:hAnsi="Times New Roman" w:cs="Times New Roman"/>
        </w:rPr>
      </w:pPr>
    </w:p>
    <w:p w14:paraId="1680E1AA"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55.1% of the 573 students participating in the study are women and 44.9% are men. It was determined that the group with the highest average age of the participants was 21-22 years old (49.9%). While face-to-face education was continuing, they mostly (42.4%) lived in the dormitory. 57.2% of the students who participated in the study have not attended distance education lessons before.</w:t>
      </w:r>
    </w:p>
    <w:p w14:paraId="695E01FC" w14:textId="77777777" w:rsidR="00E839E1" w:rsidRPr="000A2E75" w:rsidRDefault="00E839E1" w:rsidP="00E839E1">
      <w:pPr>
        <w:rPr>
          <w:rFonts w:ascii="Times New Roman" w:hAnsi="Times New Roman" w:cs="Times New Roman"/>
          <w:b/>
        </w:rPr>
      </w:pPr>
      <w:r w:rsidRPr="000A2E75">
        <w:rPr>
          <w:rFonts w:ascii="Times New Roman" w:hAnsi="Times New Roman" w:cs="Times New Roman"/>
          <w:b/>
        </w:rPr>
        <w:t>Limitations</w:t>
      </w:r>
    </w:p>
    <w:p w14:paraId="567F0879"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The limitations of the study can be listed as follows:</w:t>
      </w:r>
    </w:p>
    <w:p w14:paraId="6274E152"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 The results of the research are limited only to the opinions of the undergraduate students participating in the research.</w:t>
      </w:r>
    </w:p>
    <w:p w14:paraId="38F4FF0D"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 Since the research is conducted in a limited area and in a limited time, the results are limited to the time and area where the data are collected.</w:t>
      </w:r>
    </w:p>
    <w:p w14:paraId="29E95DA8"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 Some of the respondents may not have answered the questions sincerely for various reasons.</w:t>
      </w:r>
    </w:p>
    <w:p w14:paraId="78BAB7E4" w14:textId="77777777" w:rsidR="00E839E1" w:rsidRPr="000A2E75" w:rsidRDefault="00E839E1" w:rsidP="00E839E1">
      <w:pPr>
        <w:rPr>
          <w:rFonts w:ascii="Times New Roman" w:hAnsi="Times New Roman" w:cs="Times New Roman"/>
          <w:b/>
        </w:rPr>
      </w:pPr>
      <w:r w:rsidRPr="000A2E75">
        <w:rPr>
          <w:rFonts w:ascii="Times New Roman" w:hAnsi="Times New Roman" w:cs="Times New Roman"/>
          <w:b/>
        </w:rPr>
        <w:t>Data Collection Tools</w:t>
      </w:r>
    </w:p>
    <w:p w14:paraId="2E2D9912"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The questionnaire form used in the study consists of four parts. The first part consists of general questions about getting to know the participant. These questions have nominal, ordinal and ratio measurement levels and consist of 4 questions. The second part consists of 14 items that measure the change in the activities of the students of the finance and banking department during the Covid-19 isolation process, including their daily life routines. In the third part, there are 7 items that measure the changes in the attitudes and behaviors of the participants during the Covid-19 pandemic isolation period compared to before. In the second and third sections, a 3-point Likert-type scale with an interval measurement level was used for the questions (1 = Decreased, 2 = Unchanged, 3 = Increased). In the fourth part, there are 8 items that measure undergraduate students' opinions on distance education. A 3-point Likert type scale was used for the statements in the last section (1 = Disagree, 2 = No Idea / Unsure, 3 = Agree). The questionnaire form was created by the researcher. The questionnaire form was piloted on 30 people, and the expressions that the participants might have difficulties in understanding were revised.</w:t>
      </w:r>
    </w:p>
    <w:p w14:paraId="2656091A" w14:textId="77777777" w:rsidR="00E839E1" w:rsidRPr="000A2E75" w:rsidRDefault="00E839E1" w:rsidP="00E839E1">
      <w:pPr>
        <w:rPr>
          <w:rFonts w:ascii="Times New Roman" w:hAnsi="Times New Roman" w:cs="Times New Roman"/>
          <w:b/>
        </w:rPr>
      </w:pPr>
      <w:r w:rsidRPr="000A2E75">
        <w:rPr>
          <w:rFonts w:ascii="Times New Roman" w:hAnsi="Times New Roman" w:cs="Times New Roman"/>
          <w:b/>
        </w:rPr>
        <w:t>Data Analysis</w:t>
      </w:r>
    </w:p>
    <w:p w14:paraId="4DA801D0"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 xml:space="preserve">After the data of the research was collected, the data were made ready for analysis. In order to achieve the main purpose of the research, the data collected was firstly "data cleaning". At this stage, questionnaire forms that were found to not respond consciously with "cross validation" or where "missing information" was above average were excluded from the study. </w:t>
      </w:r>
    </w:p>
    <w:p w14:paraId="415A5A76"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 xml:space="preserve">The Cronbach Alpha (α) coefficient was calculated to measure the internal consistency and reliability values ​​of the scales used in the study. The Cronbach Alpha (α) coefficient of the first scale, "the change </w:t>
      </w:r>
      <w:r w:rsidRPr="000A2E75">
        <w:rPr>
          <w:rFonts w:ascii="Times New Roman" w:hAnsi="Times New Roman" w:cs="Times New Roman"/>
        </w:rPr>
        <w:lastRenderedPageBreak/>
        <w:t>of daily activities during the isolation period", is 0.701, the second scale, the "change in attitudes and behaviors during the isolation period", has a Cronbach Alpha (α) coefficient of 0.711, and the last scale, "distance education perception". The Cronbach's Alpha (α) coefficient of the scale was calculated as 0.742. When Cronbach's Alpha (α) coefficients are examined, it can be said that the scales are at a reliable level (Büyüköztürk, 2013).</w:t>
      </w:r>
    </w:p>
    <w:p w14:paraId="424D28CC"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The skewness and kurtosis values ​​of the data were examined to see if the data obtained in the study were normally distributed.</w:t>
      </w:r>
    </w:p>
    <w:p w14:paraId="25230256" w14:textId="77777777" w:rsidR="00E839E1" w:rsidRPr="000A2E75" w:rsidRDefault="00E839E1" w:rsidP="00E839E1">
      <w:pPr>
        <w:rPr>
          <w:rFonts w:ascii="Times New Roman" w:hAnsi="Times New Roman" w:cs="Times New Roman"/>
          <w:b/>
        </w:rPr>
      </w:pPr>
      <w:r w:rsidRPr="000A2E75">
        <w:rPr>
          <w:rFonts w:ascii="Times New Roman" w:hAnsi="Times New Roman" w:cs="Times New Roman"/>
          <w:b/>
        </w:rPr>
        <w:t>Table 2. Kurtosis and Skewness Values ​​of the Variables</w:t>
      </w:r>
    </w:p>
    <w:tbl>
      <w:tblPr>
        <w:tblStyle w:val="TabloKlavuzu"/>
        <w:tblW w:w="8965" w:type="dxa"/>
        <w:tblLook w:val="04A0" w:firstRow="1" w:lastRow="0" w:firstColumn="1" w:lastColumn="0" w:noHBand="0" w:noVBand="1"/>
      </w:tblPr>
      <w:tblGrid>
        <w:gridCol w:w="5532"/>
        <w:gridCol w:w="1799"/>
        <w:gridCol w:w="1634"/>
      </w:tblGrid>
      <w:tr w:rsidR="00E839E1" w:rsidRPr="000A2E75" w14:paraId="3A85C3EF" w14:textId="77777777" w:rsidTr="00E839E1">
        <w:trPr>
          <w:trHeight w:val="350"/>
        </w:trPr>
        <w:tc>
          <w:tcPr>
            <w:tcW w:w="5532" w:type="dxa"/>
            <w:shd w:val="clear" w:color="auto" w:fill="AEAAAA" w:themeFill="background2" w:themeFillShade="BF"/>
          </w:tcPr>
          <w:p w14:paraId="4B1D6A1E" w14:textId="77777777" w:rsidR="00E839E1" w:rsidRPr="000A2E75" w:rsidRDefault="00E839E1" w:rsidP="00E839E1">
            <w:pPr>
              <w:jc w:val="both"/>
              <w:rPr>
                <w:rFonts w:ascii="Times New Roman" w:hAnsi="Times New Roman" w:cs="Times New Roman"/>
                <w:b/>
                <w:bCs/>
              </w:rPr>
            </w:pPr>
            <w:r w:rsidRPr="000A2E75">
              <w:rPr>
                <w:rFonts w:ascii="Times New Roman" w:hAnsi="Times New Roman" w:cs="Times New Roman"/>
                <w:b/>
                <w:bCs/>
              </w:rPr>
              <w:t>Variables</w:t>
            </w:r>
          </w:p>
        </w:tc>
        <w:tc>
          <w:tcPr>
            <w:tcW w:w="1799" w:type="dxa"/>
            <w:shd w:val="clear" w:color="auto" w:fill="AEAAAA" w:themeFill="background2" w:themeFillShade="BF"/>
          </w:tcPr>
          <w:p w14:paraId="427CE8AD" w14:textId="77777777" w:rsidR="00E839E1" w:rsidRPr="000A2E75" w:rsidRDefault="00E839E1" w:rsidP="00E839E1">
            <w:pPr>
              <w:jc w:val="center"/>
              <w:rPr>
                <w:rFonts w:ascii="Times New Roman" w:hAnsi="Times New Roman" w:cs="Times New Roman"/>
                <w:b/>
                <w:bCs/>
              </w:rPr>
            </w:pPr>
            <w:r w:rsidRPr="000A2E75">
              <w:rPr>
                <w:rFonts w:ascii="Times New Roman" w:hAnsi="Times New Roman" w:cs="Times New Roman"/>
                <w:b/>
                <w:bCs/>
              </w:rPr>
              <w:t xml:space="preserve"> Skewness</w:t>
            </w:r>
          </w:p>
        </w:tc>
        <w:tc>
          <w:tcPr>
            <w:tcW w:w="1634" w:type="dxa"/>
            <w:shd w:val="clear" w:color="auto" w:fill="AEAAAA" w:themeFill="background2" w:themeFillShade="BF"/>
          </w:tcPr>
          <w:p w14:paraId="4CF6FE47" w14:textId="77777777" w:rsidR="00E839E1" w:rsidRPr="000A2E75" w:rsidRDefault="00E839E1" w:rsidP="00E839E1">
            <w:pPr>
              <w:jc w:val="center"/>
              <w:rPr>
                <w:rFonts w:ascii="Times New Roman" w:hAnsi="Times New Roman" w:cs="Times New Roman"/>
                <w:b/>
                <w:bCs/>
              </w:rPr>
            </w:pPr>
            <w:r w:rsidRPr="000A2E75">
              <w:rPr>
                <w:rFonts w:ascii="Times New Roman" w:hAnsi="Times New Roman" w:cs="Times New Roman"/>
                <w:b/>
                <w:bCs/>
              </w:rPr>
              <w:t xml:space="preserve"> Kurtosis</w:t>
            </w:r>
          </w:p>
        </w:tc>
      </w:tr>
      <w:tr w:rsidR="00E839E1" w:rsidRPr="000A2E75" w14:paraId="4902916E" w14:textId="77777777" w:rsidTr="00E839E1">
        <w:trPr>
          <w:trHeight w:val="376"/>
        </w:trPr>
        <w:tc>
          <w:tcPr>
            <w:tcW w:w="5532" w:type="dxa"/>
          </w:tcPr>
          <w:p w14:paraId="38BA6F02" w14:textId="77777777" w:rsidR="00E839E1" w:rsidRPr="000A2E75" w:rsidRDefault="00E839E1" w:rsidP="00E839E1">
            <w:pPr>
              <w:jc w:val="both"/>
              <w:rPr>
                <w:rFonts w:ascii="Times New Roman" w:hAnsi="Times New Roman" w:cs="Times New Roman"/>
                <w:b/>
                <w:bCs/>
              </w:rPr>
            </w:pPr>
            <w:r w:rsidRPr="000A2E75">
              <w:rPr>
                <w:rFonts w:ascii="Times New Roman" w:hAnsi="Times New Roman" w:cs="Times New Roman"/>
                <w:b/>
                <w:bCs/>
              </w:rPr>
              <w:t>Change of Daily Activities During the Isolation Period</w:t>
            </w:r>
          </w:p>
        </w:tc>
        <w:tc>
          <w:tcPr>
            <w:tcW w:w="1799" w:type="dxa"/>
          </w:tcPr>
          <w:p w14:paraId="634168A1" w14:textId="77777777" w:rsidR="00E839E1" w:rsidRPr="000A2E75" w:rsidRDefault="00E839E1" w:rsidP="00E839E1">
            <w:pPr>
              <w:spacing w:after="120" w:line="480" w:lineRule="auto"/>
              <w:jc w:val="center"/>
              <w:rPr>
                <w:rFonts w:ascii="Times New Roman" w:hAnsi="Times New Roman" w:cs="Times New Roman"/>
                <w:bCs/>
              </w:rPr>
            </w:pPr>
            <w:r w:rsidRPr="000A2E75">
              <w:rPr>
                <w:rFonts w:ascii="Times New Roman" w:hAnsi="Times New Roman" w:cs="Times New Roman"/>
                <w:bCs/>
              </w:rPr>
              <w:t>-0,710</w:t>
            </w:r>
          </w:p>
        </w:tc>
        <w:tc>
          <w:tcPr>
            <w:tcW w:w="1634" w:type="dxa"/>
          </w:tcPr>
          <w:p w14:paraId="5F57DE93" w14:textId="77777777" w:rsidR="00E839E1" w:rsidRPr="000A2E75" w:rsidRDefault="00E839E1" w:rsidP="00E839E1">
            <w:pPr>
              <w:spacing w:after="120" w:line="480" w:lineRule="auto"/>
              <w:jc w:val="center"/>
              <w:rPr>
                <w:rFonts w:ascii="Times New Roman" w:hAnsi="Times New Roman" w:cs="Times New Roman"/>
                <w:bCs/>
              </w:rPr>
            </w:pPr>
            <w:r w:rsidRPr="000A2E75">
              <w:rPr>
                <w:rFonts w:ascii="Times New Roman" w:hAnsi="Times New Roman" w:cs="Times New Roman"/>
                <w:bCs/>
              </w:rPr>
              <w:t>1,05</w:t>
            </w:r>
          </w:p>
        </w:tc>
      </w:tr>
      <w:tr w:rsidR="00E839E1" w:rsidRPr="000A2E75" w14:paraId="1C012B81" w14:textId="77777777" w:rsidTr="00E839E1">
        <w:trPr>
          <w:trHeight w:val="420"/>
        </w:trPr>
        <w:tc>
          <w:tcPr>
            <w:tcW w:w="5532" w:type="dxa"/>
          </w:tcPr>
          <w:p w14:paraId="0292159C" w14:textId="77777777" w:rsidR="00E839E1" w:rsidRPr="000A2E75" w:rsidRDefault="00E839E1" w:rsidP="00E839E1">
            <w:pPr>
              <w:jc w:val="both"/>
              <w:rPr>
                <w:rFonts w:ascii="Times New Roman" w:hAnsi="Times New Roman" w:cs="Times New Roman"/>
                <w:b/>
                <w:bCs/>
              </w:rPr>
            </w:pPr>
            <w:r w:rsidRPr="000A2E75">
              <w:rPr>
                <w:rFonts w:ascii="Times New Roman" w:hAnsi="Times New Roman" w:cs="Times New Roman"/>
                <w:b/>
                <w:bCs/>
              </w:rPr>
              <w:t>Change Regarding the Attitudes and Behaviors During the Isolation Period</w:t>
            </w:r>
          </w:p>
        </w:tc>
        <w:tc>
          <w:tcPr>
            <w:tcW w:w="1799" w:type="dxa"/>
          </w:tcPr>
          <w:p w14:paraId="3953C3AF" w14:textId="77777777" w:rsidR="00E839E1" w:rsidRPr="000A2E75" w:rsidRDefault="00E839E1" w:rsidP="00E839E1">
            <w:pPr>
              <w:spacing w:after="120" w:line="480" w:lineRule="auto"/>
              <w:jc w:val="center"/>
              <w:rPr>
                <w:rFonts w:ascii="Times New Roman" w:hAnsi="Times New Roman" w:cs="Times New Roman"/>
                <w:bCs/>
              </w:rPr>
            </w:pPr>
            <w:r w:rsidRPr="000A2E75">
              <w:rPr>
                <w:rFonts w:ascii="Times New Roman" w:hAnsi="Times New Roman" w:cs="Times New Roman"/>
                <w:bCs/>
              </w:rPr>
              <w:t>-0,309</w:t>
            </w:r>
          </w:p>
        </w:tc>
        <w:tc>
          <w:tcPr>
            <w:tcW w:w="1634" w:type="dxa"/>
          </w:tcPr>
          <w:p w14:paraId="5D86EB63" w14:textId="77777777" w:rsidR="00E839E1" w:rsidRPr="000A2E75" w:rsidRDefault="00E839E1" w:rsidP="00E839E1">
            <w:pPr>
              <w:spacing w:after="120" w:line="480" w:lineRule="auto"/>
              <w:jc w:val="center"/>
              <w:rPr>
                <w:rFonts w:ascii="Times New Roman" w:hAnsi="Times New Roman" w:cs="Times New Roman"/>
                <w:bCs/>
              </w:rPr>
            </w:pPr>
            <w:r w:rsidRPr="000A2E75">
              <w:rPr>
                <w:rFonts w:ascii="Times New Roman" w:hAnsi="Times New Roman" w:cs="Times New Roman"/>
                <w:bCs/>
              </w:rPr>
              <w:t>1,10</w:t>
            </w:r>
          </w:p>
        </w:tc>
      </w:tr>
      <w:tr w:rsidR="00E839E1" w:rsidRPr="000A2E75" w14:paraId="65887D33" w14:textId="77777777" w:rsidTr="00E839E1">
        <w:trPr>
          <w:trHeight w:val="404"/>
        </w:trPr>
        <w:tc>
          <w:tcPr>
            <w:tcW w:w="5532" w:type="dxa"/>
          </w:tcPr>
          <w:p w14:paraId="73EEB4F9" w14:textId="77777777" w:rsidR="00E839E1" w:rsidRPr="000A2E75" w:rsidRDefault="00E839E1" w:rsidP="00E839E1">
            <w:pPr>
              <w:jc w:val="both"/>
              <w:rPr>
                <w:rFonts w:ascii="Times New Roman" w:hAnsi="Times New Roman" w:cs="Times New Roman"/>
                <w:b/>
                <w:bCs/>
              </w:rPr>
            </w:pPr>
            <w:r w:rsidRPr="000A2E75">
              <w:rPr>
                <w:rFonts w:ascii="Times New Roman" w:hAnsi="Times New Roman" w:cs="Times New Roman"/>
                <w:b/>
                <w:bCs/>
              </w:rPr>
              <w:t>Distance Education Perception</w:t>
            </w:r>
          </w:p>
        </w:tc>
        <w:tc>
          <w:tcPr>
            <w:tcW w:w="1799" w:type="dxa"/>
          </w:tcPr>
          <w:p w14:paraId="27A1AEBE" w14:textId="77777777" w:rsidR="00E839E1" w:rsidRPr="000A2E75" w:rsidRDefault="00E839E1" w:rsidP="00E839E1">
            <w:pPr>
              <w:jc w:val="center"/>
              <w:rPr>
                <w:rFonts w:ascii="Times New Roman" w:hAnsi="Times New Roman" w:cs="Times New Roman"/>
                <w:bCs/>
              </w:rPr>
            </w:pPr>
            <w:r w:rsidRPr="000A2E75">
              <w:rPr>
                <w:rFonts w:ascii="Times New Roman" w:hAnsi="Times New Roman" w:cs="Times New Roman"/>
                <w:bCs/>
              </w:rPr>
              <w:t>0,348</w:t>
            </w:r>
          </w:p>
        </w:tc>
        <w:tc>
          <w:tcPr>
            <w:tcW w:w="1634" w:type="dxa"/>
          </w:tcPr>
          <w:p w14:paraId="00B9734A" w14:textId="77777777" w:rsidR="00E839E1" w:rsidRPr="000A2E75" w:rsidRDefault="00E839E1" w:rsidP="00E839E1">
            <w:pPr>
              <w:jc w:val="center"/>
              <w:rPr>
                <w:rFonts w:ascii="Times New Roman" w:hAnsi="Times New Roman" w:cs="Times New Roman"/>
                <w:bCs/>
              </w:rPr>
            </w:pPr>
            <w:r w:rsidRPr="000A2E75">
              <w:rPr>
                <w:rFonts w:ascii="Times New Roman" w:hAnsi="Times New Roman" w:cs="Times New Roman"/>
                <w:bCs/>
              </w:rPr>
              <w:t>0,21</w:t>
            </w:r>
          </w:p>
        </w:tc>
      </w:tr>
    </w:tbl>
    <w:p w14:paraId="40380AE2" w14:textId="77777777" w:rsidR="00E839E1" w:rsidRPr="000A2E75" w:rsidRDefault="00E839E1" w:rsidP="00E839E1">
      <w:pPr>
        <w:rPr>
          <w:rFonts w:ascii="Times New Roman" w:hAnsi="Times New Roman" w:cs="Times New Roman"/>
        </w:rPr>
      </w:pPr>
    </w:p>
    <w:p w14:paraId="410660FC"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As seen in Table 2, it was decided that the data showed normal distribution due to the kurtosis and skewness values ​​of the scales between +1.5 and -1.5 (Büyüköztürk, 2013).</w:t>
      </w:r>
    </w:p>
    <w:p w14:paraId="2CC37811"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In the study, first of all descriptive statistics were obtained with descriptive analysis of the answers given by the students to the Variables. Then live connections were made on the internet at different times with about 10 students and their opinions about the expressions in the questionnaire form were examined.</w:t>
      </w:r>
    </w:p>
    <w:p w14:paraId="61E1F9D1" w14:textId="77777777" w:rsidR="00E839E1" w:rsidRDefault="00E839E1" w:rsidP="00E839E1">
      <w:pPr>
        <w:spacing w:before="120" w:after="120" w:line="360" w:lineRule="auto"/>
        <w:jc w:val="both"/>
        <w:rPr>
          <w:rFonts w:ascii="Times New Roman" w:hAnsi="Times New Roman" w:cs="Times New Roman"/>
          <w:b/>
        </w:rPr>
      </w:pPr>
    </w:p>
    <w:p w14:paraId="3539B85E" w14:textId="77777777" w:rsidR="00E839E1" w:rsidRPr="000A2E75" w:rsidRDefault="00E839E1" w:rsidP="00E839E1">
      <w:pPr>
        <w:spacing w:before="120" w:after="120" w:line="360" w:lineRule="auto"/>
        <w:jc w:val="both"/>
        <w:rPr>
          <w:rFonts w:ascii="Times New Roman" w:hAnsi="Times New Roman" w:cs="Times New Roman"/>
          <w:b/>
        </w:rPr>
      </w:pPr>
      <w:r w:rsidRPr="000A2E75">
        <w:rPr>
          <w:rFonts w:ascii="Times New Roman" w:hAnsi="Times New Roman" w:cs="Times New Roman"/>
          <w:b/>
        </w:rPr>
        <w:t>Findings</w:t>
      </w:r>
    </w:p>
    <w:p w14:paraId="0262C824" w14:textId="77777777" w:rsidR="00E839E1" w:rsidRDefault="00E839E1" w:rsidP="00E839E1">
      <w:pPr>
        <w:spacing w:before="120" w:after="120" w:line="360" w:lineRule="auto"/>
        <w:rPr>
          <w:rFonts w:ascii="Times New Roman" w:hAnsi="Times New Roman" w:cs="Times New Roman"/>
          <w:b/>
        </w:rPr>
      </w:pPr>
      <w:r w:rsidRPr="000A2E75">
        <w:rPr>
          <w:rFonts w:ascii="Times New Roman" w:hAnsi="Times New Roman" w:cs="Times New Roman"/>
          <w:b/>
        </w:rPr>
        <w:t>Table 3.Descriptive Statistics Regarding the Change in Activities Including Daily Life Routines in the Covid-19 Isolation Process (n = 573)</w:t>
      </w:r>
    </w:p>
    <w:p w14:paraId="22A4C653" w14:textId="77777777" w:rsidR="00E839E1" w:rsidRPr="000A2E75" w:rsidRDefault="00E839E1" w:rsidP="00E839E1">
      <w:pPr>
        <w:spacing w:before="120" w:after="120" w:line="360" w:lineRule="auto"/>
        <w:rPr>
          <w:rFonts w:ascii="Times New Roman" w:hAnsi="Times New Roman" w:cs="Times New Roman"/>
          <w:b/>
        </w:rPr>
      </w:pPr>
    </w:p>
    <w:tbl>
      <w:tblPr>
        <w:tblStyle w:val="TabloKlavuzu"/>
        <w:tblW w:w="9209" w:type="dxa"/>
        <w:tblLayout w:type="fixed"/>
        <w:tblLook w:val="04A0" w:firstRow="1" w:lastRow="0" w:firstColumn="1" w:lastColumn="0" w:noHBand="0" w:noVBand="1"/>
      </w:tblPr>
      <w:tblGrid>
        <w:gridCol w:w="4957"/>
        <w:gridCol w:w="1417"/>
        <w:gridCol w:w="1418"/>
        <w:gridCol w:w="1417"/>
      </w:tblGrid>
      <w:tr w:rsidR="00E839E1" w:rsidRPr="000A2E75" w14:paraId="4B513B94" w14:textId="77777777" w:rsidTr="00E839E1">
        <w:tc>
          <w:tcPr>
            <w:tcW w:w="4957" w:type="dxa"/>
            <w:shd w:val="clear" w:color="auto" w:fill="AEAAAA" w:themeFill="background2" w:themeFillShade="BF"/>
          </w:tcPr>
          <w:p w14:paraId="26592F4E" w14:textId="77777777" w:rsidR="00E839E1" w:rsidRPr="000A2E75" w:rsidRDefault="00E839E1" w:rsidP="00E839E1">
            <w:pPr>
              <w:spacing w:after="120"/>
              <w:jc w:val="both"/>
              <w:rPr>
                <w:rFonts w:ascii="Times New Roman" w:hAnsi="Times New Roman" w:cs="Times New Roman"/>
                <w:b/>
                <w:bCs/>
              </w:rPr>
            </w:pPr>
            <w:r w:rsidRPr="000A2E75">
              <w:rPr>
                <w:rFonts w:ascii="Times New Roman" w:hAnsi="Times New Roman" w:cs="Times New Roman"/>
                <w:b/>
                <w:bCs/>
              </w:rPr>
              <w:t>Variables</w:t>
            </w:r>
          </w:p>
        </w:tc>
        <w:tc>
          <w:tcPr>
            <w:tcW w:w="1417" w:type="dxa"/>
            <w:shd w:val="clear" w:color="auto" w:fill="AEAAAA" w:themeFill="background2" w:themeFillShade="BF"/>
          </w:tcPr>
          <w:p w14:paraId="467882F3" w14:textId="77777777" w:rsidR="00E839E1" w:rsidRPr="000A2E75" w:rsidRDefault="00E839E1" w:rsidP="00E839E1">
            <w:pPr>
              <w:spacing w:after="120"/>
              <w:jc w:val="center"/>
              <w:textAlignment w:val="center"/>
              <w:rPr>
                <w:rFonts w:ascii="Times New Roman" w:hAnsi="Times New Roman" w:cs="Times New Roman"/>
                <w:b/>
                <w:color w:val="202124"/>
                <w:spacing w:val="3"/>
              </w:rPr>
            </w:pPr>
            <w:r w:rsidRPr="000A2E75">
              <w:rPr>
                <w:rFonts w:ascii="Times New Roman" w:hAnsi="Times New Roman" w:cs="Times New Roman"/>
                <w:b/>
                <w:color w:val="202124"/>
                <w:spacing w:val="3"/>
              </w:rPr>
              <w:t xml:space="preserve">Increased </w:t>
            </w:r>
          </w:p>
          <w:p w14:paraId="18448649" w14:textId="77777777" w:rsidR="00E839E1" w:rsidRPr="000A2E75" w:rsidRDefault="00E839E1" w:rsidP="00E839E1">
            <w:pPr>
              <w:spacing w:after="120"/>
              <w:jc w:val="center"/>
              <w:textAlignment w:val="center"/>
              <w:rPr>
                <w:rFonts w:ascii="Times New Roman" w:hAnsi="Times New Roman" w:cs="Times New Roman"/>
                <w:b/>
                <w:color w:val="202124"/>
                <w:spacing w:val="3"/>
              </w:rPr>
            </w:pPr>
            <w:r w:rsidRPr="000A2E75">
              <w:rPr>
                <w:rFonts w:ascii="Times New Roman" w:hAnsi="Times New Roman" w:cs="Times New Roman"/>
                <w:b/>
                <w:color w:val="202124"/>
                <w:spacing w:val="3"/>
              </w:rPr>
              <w:t>n (%)</w:t>
            </w:r>
          </w:p>
        </w:tc>
        <w:tc>
          <w:tcPr>
            <w:tcW w:w="1418" w:type="dxa"/>
            <w:shd w:val="clear" w:color="auto" w:fill="AEAAAA" w:themeFill="background2" w:themeFillShade="BF"/>
          </w:tcPr>
          <w:p w14:paraId="17E0687A" w14:textId="77777777" w:rsidR="00E839E1" w:rsidRPr="000A2E75" w:rsidRDefault="00E839E1" w:rsidP="00E839E1">
            <w:pPr>
              <w:spacing w:after="120"/>
              <w:jc w:val="center"/>
              <w:rPr>
                <w:rFonts w:ascii="Times New Roman" w:hAnsi="Times New Roman" w:cs="Times New Roman"/>
                <w:b/>
                <w:color w:val="202124"/>
                <w:spacing w:val="3"/>
              </w:rPr>
            </w:pPr>
            <w:r w:rsidRPr="000A2E75">
              <w:rPr>
                <w:rFonts w:ascii="Times New Roman" w:hAnsi="Times New Roman" w:cs="Times New Roman"/>
                <w:b/>
                <w:color w:val="202124"/>
                <w:spacing w:val="3"/>
              </w:rPr>
              <w:t>Unchanged</w:t>
            </w:r>
          </w:p>
          <w:p w14:paraId="1714CE83" w14:textId="77777777" w:rsidR="00E839E1" w:rsidRPr="000A2E75" w:rsidRDefault="00E839E1" w:rsidP="00E839E1">
            <w:pPr>
              <w:spacing w:after="120"/>
              <w:jc w:val="center"/>
              <w:rPr>
                <w:rFonts w:ascii="Times New Roman" w:hAnsi="Times New Roman" w:cs="Times New Roman"/>
                <w:b/>
              </w:rPr>
            </w:pPr>
            <w:r w:rsidRPr="000A2E75">
              <w:rPr>
                <w:rFonts w:ascii="Times New Roman" w:hAnsi="Times New Roman" w:cs="Times New Roman"/>
                <w:b/>
                <w:color w:val="202124"/>
                <w:spacing w:val="3"/>
              </w:rPr>
              <w:t>n (%)</w:t>
            </w:r>
          </w:p>
        </w:tc>
        <w:tc>
          <w:tcPr>
            <w:tcW w:w="1417" w:type="dxa"/>
            <w:shd w:val="clear" w:color="auto" w:fill="AEAAAA" w:themeFill="background2" w:themeFillShade="BF"/>
          </w:tcPr>
          <w:p w14:paraId="1443484A" w14:textId="77777777" w:rsidR="00E839E1" w:rsidRPr="000A2E75" w:rsidRDefault="00E839E1" w:rsidP="00E839E1">
            <w:pPr>
              <w:spacing w:after="120"/>
              <w:jc w:val="center"/>
              <w:textAlignment w:val="center"/>
              <w:rPr>
                <w:rFonts w:ascii="Times New Roman" w:hAnsi="Times New Roman" w:cs="Times New Roman"/>
                <w:b/>
                <w:color w:val="202124"/>
                <w:spacing w:val="3"/>
              </w:rPr>
            </w:pPr>
            <w:r w:rsidRPr="000A2E75">
              <w:rPr>
                <w:rFonts w:ascii="Times New Roman" w:hAnsi="Times New Roman" w:cs="Times New Roman"/>
                <w:b/>
                <w:color w:val="202124"/>
                <w:spacing w:val="3"/>
              </w:rPr>
              <w:t>Decreased</w:t>
            </w:r>
          </w:p>
          <w:p w14:paraId="74390A68" w14:textId="77777777" w:rsidR="00E839E1" w:rsidRPr="000A2E75" w:rsidRDefault="00E839E1" w:rsidP="00E839E1">
            <w:pPr>
              <w:spacing w:after="120"/>
              <w:jc w:val="center"/>
              <w:textAlignment w:val="center"/>
              <w:rPr>
                <w:rFonts w:ascii="Times New Roman" w:hAnsi="Times New Roman" w:cs="Times New Roman"/>
                <w:b/>
                <w:color w:val="202124"/>
                <w:spacing w:val="3"/>
              </w:rPr>
            </w:pPr>
            <w:r w:rsidRPr="000A2E75">
              <w:rPr>
                <w:rFonts w:ascii="Times New Roman" w:hAnsi="Times New Roman" w:cs="Times New Roman"/>
                <w:b/>
                <w:color w:val="202124"/>
                <w:spacing w:val="3"/>
              </w:rPr>
              <w:t>n (%)</w:t>
            </w:r>
          </w:p>
        </w:tc>
      </w:tr>
      <w:tr w:rsidR="00E839E1" w:rsidRPr="000A2E75" w14:paraId="5FBF3C2E" w14:textId="77777777" w:rsidTr="00E839E1">
        <w:trPr>
          <w:trHeight w:val="362"/>
        </w:trPr>
        <w:tc>
          <w:tcPr>
            <w:tcW w:w="4957" w:type="dxa"/>
          </w:tcPr>
          <w:p w14:paraId="06678A17" w14:textId="77777777" w:rsidR="00E839E1" w:rsidRPr="000A2E75" w:rsidRDefault="00E839E1" w:rsidP="00E839E1">
            <w:pPr>
              <w:shd w:val="clear" w:color="auto" w:fill="F8F9FA"/>
              <w:spacing w:after="120"/>
              <w:textAlignment w:val="center"/>
              <w:rPr>
                <w:rFonts w:ascii="Times New Roman" w:hAnsi="Times New Roman" w:cs="Times New Roman"/>
                <w:color w:val="202124"/>
                <w:spacing w:val="3"/>
              </w:rPr>
            </w:pPr>
            <w:r w:rsidRPr="000A2E75">
              <w:rPr>
                <w:rFonts w:ascii="Times New Roman" w:hAnsi="Times New Roman" w:cs="Times New Roman"/>
                <w:color w:val="202124"/>
                <w:spacing w:val="3"/>
              </w:rPr>
              <w:t>Time allocated for preparation for classes</w:t>
            </w:r>
          </w:p>
        </w:tc>
        <w:tc>
          <w:tcPr>
            <w:tcW w:w="1417" w:type="dxa"/>
          </w:tcPr>
          <w:p w14:paraId="4D29485B"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188 (32,8)</w:t>
            </w:r>
          </w:p>
        </w:tc>
        <w:tc>
          <w:tcPr>
            <w:tcW w:w="1418" w:type="dxa"/>
          </w:tcPr>
          <w:p w14:paraId="43C9A725"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191 (33,3)</w:t>
            </w:r>
          </w:p>
        </w:tc>
        <w:tc>
          <w:tcPr>
            <w:tcW w:w="1417" w:type="dxa"/>
          </w:tcPr>
          <w:p w14:paraId="2A1E1959"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194 (33,9)</w:t>
            </w:r>
          </w:p>
        </w:tc>
      </w:tr>
      <w:tr w:rsidR="00E839E1" w:rsidRPr="000A2E75" w14:paraId="3833F1F8" w14:textId="77777777" w:rsidTr="00E839E1">
        <w:tc>
          <w:tcPr>
            <w:tcW w:w="4957" w:type="dxa"/>
          </w:tcPr>
          <w:p w14:paraId="46748A2D" w14:textId="77777777" w:rsidR="00E839E1" w:rsidRPr="000A2E75" w:rsidRDefault="00E839E1" w:rsidP="00E839E1">
            <w:pPr>
              <w:shd w:val="clear" w:color="auto" w:fill="F8F9FA"/>
              <w:spacing w:after="120"/>
              <w:textAlignment w:val="center"/>
              <w:rPr>
                <w:rFonts w:ascii="Times New Roman" w:hAnsi="Times New Roman" w:cs="Times New Roman"/>
                <w:color w:val="202124"/>
                <w:spacing w:val="3"/>
              </w:rPr>
            </w:pPr>
            <w:r w:rsidRPr="000A2E75">
              <w:rPr>
                <w:rFonts w:ascii="Times New Roman" w:hAnsi="Times New Roman" w:cs="Times New Roman"/>
                <w:color w:val="202124"/>
                <w:spacing w:val="3"/>
              </w:rPr>
              <w:t>Time allotted to prepare for exams</w:t>
            </w:r>
          </w:p>
        </w:tc>
        <w:tc>
          <w:tcPr>
            <w:tcW w:w="1417" w:type="dxa"/>
          </w:tcPr>
          <w:p w14:paraId="7FE5B58A"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168 (29,3)</w:t>
            </w:r>
          </w:p>
        </w:tc>
        <w:tc>
          <w:tcPr>
            <w:tcW w:w="1418" w:type="dxa"/>
          </w:tcPr>
          <w:p w14:paraId="2A725D21"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172 (30,0)</w:t>
            </w:r>
          </w:p>
        </w:tc>
        <w:tc>
          <w:tcPr>
            <w:tcW w:w="1417" w:type="dxa"/>
          </w:tcPr>
          <w:p w14:paraId="006B8758"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233 (40,7)</w:t>
            </w:r>
          </w:p>
        </w:tc>
      </w:tr>
      <w:tr w:rsidR="00E839E1" w:rsidRPr="000A2E75" w14:paraId="4F69A43E" w14:textId="77777777" w:rsidTr="00E839E1">
        <w:tc>
          <w:tcPr>
            <w:tcW w:w="4957" w:type="dxa"/>
          </w:tcPr>
          <w:p w14:paraId="3BD67702" w14:textId="77777777" w:rsidR="00E839E1" w:rsidRPr="000A2E75" w:rsidRDefault="00E839E1" w:rsidP="00E839E1">
            <w:pPr>
              <w:shd w:val="clear" w:color="auto" w:fill="F8F9FA"/>
              <w:spacing w:after="120"/>
              <w:textAlignment w:val="center"/>
              <w:rPr>
                <w:rFonts w:ascii="Times New Roman" w:hAnsi="Times New Roman" w:cs="Times New Roman"/>
                <w:color w:val="202124"/>
                <w:spacing w:val="3"/>
              </w:rPr>
            </w:pPr>
            <w:r w:rsidRPr="000A2E75">
              <w:rPr>
                <w:rFonts w:ascii="Times New Roman" w:hAnsi="Times New Roman" w:cs="Times New Roman"/>
                <w:color w:val="202124"/>
                <w:spacing w:val="3"/>
              </w:rPr>
              <w:t>Time devoted to preparing food</w:t>
            </w:r>
          </w:p>
        </w:tc>
        <w:tc>
          <w:tcPr>
            <w:tcW w:w="1417" w:type="dxa"/>
          </w:tcPr>
          <w:p w14:paraId="2DA06AB5"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352 (61,4)</w:t>
            </w:r>
          </w:p>
        </w:tc>
        <w:tc>
          <w:tcPr>
            <w:tcW w:w="1418" w:type="dxa"/>
          </w:tcPr>
          <w:p w14:paraId="7E2A7991"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170 (29,7)</w:t>
            </w:r>
          </w:p>
        </w:tc>
        <w:tc>
          <w:tcPr>
            <w:tcW w:w="1417" w:type="dxa"/>
          </w:tcPr>
          <w:p w14:paraId="3E86AB62"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51 (8,9)</w:t>
            </w:r>
          </w:p>
        </w:tc>
      </w:tr>
      <w:tr w:rsidR="00E839E1" w:rsidRPr="000A2E75" w14:paraId="514F3EDB" w14:textId="77777777" w:rsidTr="00E839E1">
        <w:tc>
          <w:tcPr>
            <w:tcW w:w="4957" w:type="dxa"/>
          </w:tcPr>
          <w:p w14:paraId="22CECFF8" w14:textId="77777777" w:rsidR="00E839E1" w:rsidRPr="000A2E75" w:rsidRDefault="00E839E1" w:rsidP="00E839E1">
            <w:pPr>
              <w:shd w:val="clear" w:color="auto" w:fill="F8F9FA"/>
              <w:spacing w:after="120"/>
              <w:textAlignment w:val="center"/>
              <w:rPr>
                <w:rFonts w:ascii="Times New Roman" w:hAnsi="Times New Roman" w:cs="Times New Roman"/>
                <w:color w:val="202124"/>
                <w:spacing w:val="3"/>
              </w:rPr>
            </w:pPr>
            <w:r w:rsidRPr="000A2E75">
              <w:rPr>
                <w:rFonts w:ascii="Times New Roman" w:hAnsi="Times New Roman" w:cs="Times New Roman"/>
                <w:color w:val="202124"/>
                <w:spacing w:val="3"/>
              </w:rPr>
              <w:t>Time devoted to personal care and hygiene</w:t>
            </w:r>
          </w:p>
        </w:tc>
        <w:tc>
          <w:tcPr>
            <w:tcW w:w="1417" w:type="dxa"/>
          </w:tcPr>
          <w:p w14:paraId="730D10B7"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398 (69,5)</w:t>
            </w:r>
          </w:p>
        </w:tc>
        <w:tc>
          <w:tcPr>
            <w:tcW w:w="1418" w:type="dxa"/>
          </w:tcPr>
          <w:p w14:paraId="57474273"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138 (24,1)</w:t>
            </w:r>
          </w:p>
        </w:tc>
        <w:tc>
          <w:tcPr>
            <w:tcW w:w="1417" w:type="dxa"/>
          </w:tcPr>
          <w:p w14:paraId="63CD2D49"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37 (6,5)</w:t>
            </w:r>
          </w:p>
        </w:tc>
      </w:tr>
      <w:tr w:rsidR="00E839E1" w:rsidRPr="000A2E75" w14:paraId="70B92BFD" w14:textId="77777777" w:rsidTr="00E839E1">
        <w:tc>
          <w:tcPr>
            <w:tcW w:w="4957" w:type="dxa"/>
          </w:tcPr>
          <w:p w14:paraId="682B42A1"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Time devoted to other household chores (cleaning, ironing, etc.)</w:t>
            </w:r>
          </w:p>
        </w:tc>
        <w:tc>
          <w:tcPr>
            <w:tcW w:w="1417" w:type="dxa"/>
          </w:tcPr>
          <w:p w14:paraId="5EA809FB"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366 (63,9)</w:t>
            </w:r>
          </w:p>
        </w:tc>
        <w:tc>
          <w:tcPr>
            <w:tcW w:w="1418" w:type="dxa"/>
          </w:tcPr>
          <w:p w14:paraId="6F93C6CF"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169 (29,5)</w:t>
            </w:r>
          </w:p>
        </w:tc>
        <w:tc>
          <w:tcPr>
            <w:tcW w:w="1417" w:type="dxa"/>
          </w:tcPr>
          <w:p w14:paraId="133EF13B"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38 (6,6)</w:t>
            </w:r>
          </w:p>
        </w:tc>
      </w:tr>
      <w:tr w:rsidR="00E839E1" w:rsidRPr="000A2E75" w14:paraId="614ADF0B" w14:textId="77777777" w:rsidTr="00E839E1">
        <w:tc>
          <w:tcPr>
            <w:tcW w:w="4957" w:type="dxa"/>
          </w:tcPr>
          <w:p w14:paraId="0AD974A9"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Time allotted for sports and exercise</w:t>
            </w:r>
          </w:p>
        </w:tc>
        <w:tc>
          <w:tcPr>
            <w:tcW w:w="1417" w:type="dxa"/>
          </w:tcPr>
          <w:p w14:paraId="535D32A9"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177 (30,9)</w:t>
            </w:r>
          </w:p>
        </w:tc>
        <w:tc>
          <w:tcPr>
            <w:tcW w:w="1418" w:type="dxa"/>
          </w:tcPr>
          <w:p w14:paraId="396D713C"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186 (32,5)</w:t>
            </w:r>
          </w:p>
        </w:tc>
        <w:tc>
          <w:tcPr>
            <w:tcW w:w="1417" w:type="dxa"/>
          </w:tcPr>
          <w:p w14:paraId="369DDD98"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210 (36,6)</w:t>
            </w:r>
          </w:p>
        </w:tc>
      </w:tr>
      <w:tr w:rsidR="00E839E1" w:rsidRPr="000A2E75" w14:paraId="46133DA5" w14:textId="77777777" w:rsidTr="00E839E1">
        <w:tc>
          <w:tcPr>
            <w:tcW w:w="4957" w:type="dxa"/>
          </w:tcPr>
          <w:p w14:paraId="105B8623"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lastRenderedPageBreak/>
              <w:t>Time spent asleep per day</w:t>
            </w:r>
          </w:p>
        </w:tc>
        <w:tc>
          <w:tcPr>
            <w:tcW w:w="1417" w:type="dxa"/>
          </w:tcPr>
          <w:p w14:paraId="223597BA"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96 (16,8)</w:t>
            </w:r>
          </w:p>
        </w:tc>
        <w:tc>
          <w:tcPr>
            <w:tcW w:w="1418" w:type="dxa"/>
          </w:tcPr>
          <w:p w14:paraId="7D0A7815"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159 (27,7)</w:t>
            </w:r>
          </w:p>
        </w:tc>
        <w:tc>
          <w:tcPr>
            <w:tcW w:w="1417" w:type="dxa"/>
          </w:tcPr>
          <w:p w14:paraId="15ADC2B4"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318 (55,5)</w:t>
            </w:r>
          </w:p>
        </w:tc>
      </w:tr>
      <w:tr w:rsidR="00E839E1" w:rsidRPr="000A2E75" w14:paraId="7E3BD5F9" w14:textId="77777777" w:rsidTr="00E839E1">
        <w:trPr>
          <w:trHeight w:val="416"/>
        </w:trPr>
        <w:tc>
          <w:tcPr>
            <w:tcW w:w="4957" w:type="dxa"/>
          </w:tcPr>
          <w:p w14:paraId="6B30BD01"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TV viewing time per day</w:t>
            </w:r>
          </w:p>
        </w:tc>
        <w:tc>
          <w:tcPr>
            <w:tcW w:w="1417" w:type="dxa"/>
          </w:tcPr>
          <w:p w14:paraId="47CFB5F1"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249 (43,5)</w:t>
            </w:r>
          </w:p>
        </w:tc>
        <w:tc>
          <w:tcPr>
            <w:tcW w:w="1418" w:type="dxa"/>
          </w:tcPr>
          <w:p w14:paraId="0683ABA8"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104 (18,2)</w:t>
            </w:r>
          </w:p>
        </w:tc>
        <w:tc>
          <w:tcPr>
            <w:tcW w:w="1417" w:type="dxa"/>
          </w:tcPr>
          <w:p w14:paraId="045CFBFD"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220 (38,4)</w:t>
            </w:r>
          </w:p>
        </w:tc>
      </w:tr>
      <w:tr w:rsidR="00E839E1" w:rsidRPr="000A2E75" w14:paraId="6CD4F516" w14:textId="77777777" w:rsidTr="00E839E1">
        <w:tc>
          <w:tcPr>
            <w:tcW w:w="4957" w:type="dxa"/>
          </w:tcPr>
          <w:p w14:paraId="588CB315"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Time spent on the internet per day</w:t>
            </w:r>
          </w:p>
        </w:tc>
        <w:tc>
          <w:tcPr>
            <w:tcW w:w="1417" w:type="dxa"/>
          </w:tcPr>
          <w:p w14:paraId="28BF0FC3"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440 (76,8)</w:t>
            </w:r>
          </w:p>
        </w:tc>
        <w:tc>
          <w:tcPr>
            <w:tcW w:w="1418" w:type="dxa"/>
          </w:tcPr>
          <w:p w14:paraId="44CC6B3B"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78 (13,6)</w:t>
            </w:r>
          </w:p>
        </w:tc>
        <w:tc>
          <w:tcPr>
            <w:tcW w:w="1417" w:type="dxa"/>
          </w:tcPr>
          <w:p w14:paraId="713A8388"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55 (9,6)</w:t>
            </w:r>
          </w:p>
        </w:tc>
      </w:tr>
      <w:tr w:rsidR="00E839E1" w:rsidRPr="000A2E75" w14:paraId="53A6B51A" w14:textId="77777777" w:rsidTr="00E839E1">
        <w:tc>
          <w:tcPr>
            <w:tcW w:w="4957" w:type="dxa"/>
          </w:tcPr>
          <w:p w14:paraId="40CB306C"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Voice and video call time per day</w:t>
            </w:r>
          </w:p>
        </w:tc>
        <w:tc>
          <w:tcPr>
            <w:tcW w:w="1417" w:type="dxa"/>
          </w:tcPr>
          <w:p w14:paraId="4E0D7A92"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58 (10,1)</w:t>
            </w:r>
          </w:p>
        </w:tc>
        <w:tc>
          <w:tcPr>
            <w:tcW w:w="1418" w:type="dxa"/>
          </w:tcPr>
          <w:p w14:paraId="76241CFC"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147 (25,7)</w:t>
            </w:r>
          </w:p>
        </w:tc>
        <w:tc>
          <w:tcPr>
            <w:tcW w:w="1417" w:type="dxa"/>
          </w:tcPr>
          <w:p w14:paraId="6278E99A"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368 (64,2)</w:t>
            </w:r>
          </w:p>
        </w:tc>
      </w:tr>
      <w:tr w:rsidR="00E839E1" w:rsidRPr="000A2E75" w14:paraId="76EF283C" w14:textId="77777777" w:rsidTr="00E839E1">
        <w:tc>
          <w:tcPr>
            <w:tcW w:w="4957" w:type="dxa"/>
          </w:tcPr>
          <w:p w14:paraId="3D7E7F76"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Time spent on social media Facebook, Instagram, Twitter, etc.)</w:t>
            </w:r>
          </w:p>
        </w:tc>
        <w:tc>
          <w:tcPr>
            <w:tcW w:w="1417" w:type="dxa"/>
          </w:tcPr>
          <w:p w14:paraId="38ECA39D"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387 (67,5)</w:t>
            </w:r>
          </w:p>
        </w:tc>
        <w:tc>
          <w:tcPr>
            <w:tcW w:w="1418" w:type="dxa"/>
          </w:tcPr>
          <w:p w14:paraId="694D9E64"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147 (25,7)</w:t>
            </w:r>
          </w:p>
        </w:tc>
        <w:tc>
          <w:tcPr>
            <w:tcW w:w="1417" w:type="dxa"/>
          </w:tcPr>
          <w:p w14:paraId="61C252CB"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39 (6,8)</w:t>
            </w:r>
          </w:p>
        </w:tc>
      </w:tr>
      <w:tr w:rsidR="00E839E1" w:rsidRPr="000A2E75" w14:paraId="44D19709" w14:textId="77777777" w:rsidTr="00E839E1">
        <w:tc>
          <w:tcPr>
            <w:tcW w:w="4957" w:type="dxa"/>
          </w:tcPr>
          <w:p w14:paraId="4FE7749D"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Time devoted to general reading</w:t>
            </w:r>
          </w:p>
        </w:tc>
        <w:tc>
          <w:tcPr>
            <w:tcW w:w="1417" w:type="dxa"/>
          </w:tcPr>
          <w:p w14:paraId="7D719DBF"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253 (44,2)</w:t>
            </w:r>
          </w:p>
        </w:tc>
        <w:tc>
          <w:tcPr>
            <w:tcW w:w="1418" w:type="dxa"/>
          </w:tcPr>
          <w:p w14:paraId="0ABDAC1D"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226 (39,4)</w:t>
            </w:r>
          </w:p>
        </w:tc>
        <w:tc>
          <w:tcPr>
            <w:tcW w:w="1417" w:type="dxa"/>
          </w:tcPr>
          <w:p w14:paraId="2980949A"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94 (16,4)</w:t>
            </w:r>
          </w:p>
        </w:tc>
      </w:tr>
      <w:tr w:rsidR="00E839E1" w:rsidRPr="000A2E75" w14:paraId="7B12BA5B" w14:textId="77777777" w:rsidTr="00E839E1">
        <w:tc>
          <w:tcPr>
            <w:tcW w:w="4957" w:type="dxa"/>
          </w:tcPr>
          <w:p w14:paraId="379C0BDD"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Time devoted to other hobbies</w:t>
            </w:r>
          </w:p>
        </w:tc>
        <w:tc>
          <w:tcPr>
            <w:tcW w:w="1417" w:type="dxa"/>
          </w:tcPr>
          <w:p w14:paraId="787FDDB8"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171 (29,8)</w:t>
            </w:r>
          </w:p>
        </w:tc>
        <w:tc>
          <w:tcPr>
            <w:tcW w:w="1418" w:type="dxa"/>
          </w:tcPr>
          <w:p w14:paraId="5C69E423"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167 (29,1)</w:t>
            </w:r>
          </w:p>
        </w:tc>
        <w:tc>
          <w:tcPr>
            <w:tcW w:w="1417" w:type="dxa"/>
          </w:tcPr>
          <w:p w14:paraId="6561FC23"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235 (41,0)</w:t>
            </w:r>
          </w:p>
        </w:tc>
      </w:tr>
      <w:tr w:rsidR="00E839E1" w:rsidRPr="000A2E75" w14:paraId="3484F272" w14:textId="77777777" w:rsidTr="00E839E1">
        <w:tc>
          <w:tcPr>
            <w:tcW w:w="4957" w:type="dxa"/>
          </w:tcPr>
          <w:p w14:paraId="188427A0" w14:textId="77777777" w:rsidR="00E839E1" w:rsidRPr="000A2E75" w:rsidRDefault="00E839E1" w:rsidP="00E839E1">
            <w:pPr>
              <w:spacing w:after="120"/>
              <w:rPr>
                <w:rFonts w:ascii="Times New Roman" w:hAnsi="Times New Roman" w:cs="Times New Roman"/>
              </w:rPr>
            </w:pPr>
            <w:r w:rsidRPr="000A2E75">
              <w:rPr>
                <w:rFonts w:ascii="Times New Roman" w:hAnsi="Times New Roman" w:cs="Times New Roman"/>
              </w:rPr>
              <w:t>Time devoted to self-improvement activities (foreign language, computer, art courses, etc.)</w:t>
            </w:r>
          </w:p>
        </w:tc>
        <w:tc>
          <w:tcPr>
            <w:tcW w:w="1417" w:type="dxa"/>
          </w:tcPr>
          <w:p w14:paraId="20F0F4A0"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156 (27,2)</w:t>
            </w:r>
          </w:p>
        </w:tc>
        <w:tc>
          <w:tcPr>
            <w:tcW w:w="1418" w:type="dxa"/>
          </w:tcPr>
          <w:p w14:paraId="56E56D40"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180 (31,4)</w:t>
            </w:r>
          </w:p>
        </w:tc>
        <w:tc>
          <w:tcPr>
            <w:tcW w:w="1417" w:type="dxa"/>
          </w:tcPr>
          <w:p w14:paraId="3A9D02E6"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237 (41,4)</w:t>
            </w:r>
          </w:p>
        </w:tc>
      </w:tr>
    </w:tbl>
    <w:p w14:paraId="6B55BE6D" w14:textId="77777777" w:rsidR="00E839E1" w:rsidRPr="000A2E75" w:rsidRDefault="00E839E1" w:rsidP="00E839E1">
      <w:pPr>
        <w:rPr>
          <w:rFonts w:ascii="Times New Roman" w:hAnsi="Times New Roman" w:cs="Times New Roman"/>
        </w:rPr>
      </w:pPr>
    </w:p>
    <w:p w14:paraId="53775295"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 xml:space="preserve">When the descriptive statistics of the changes in the daily life routines of the participants in the Covid-19 process in Table 3 are examined, it is seen that their thoughts about the </w:t>
      </w:r>
      <w:r w:rsidRPr="000A2E75">
        <w:rPr>
          <w:rFonts w:ascii="Times New Roman" w:hAnsi="Times New Roman" w:cs="Times New Roman"/>
          <w:b/>
        </w:rPr>
        <w:t>"time allocated for preparing for the lessons"</w:t>
      </w:r>
      <w:r w:rsidRPr="000A2E75">
        <w:rPr>
          <w:rFonts w:ascii="Times New Roman" w:hAnsi="Times New Roman" w:cs="Times New Roman"/>
        </w:rPr>
        <w:t xml:space="preserve"> are close to each other, with a slight difference. They explained this situation as they did not feel the need to prepare for the lesson because they felt themselves as passive listeners in distance education lessons. They stated that </w:t>
      </w:r>
      <w:r w:rsidRPr="000A2E75">
        <w:rPr>
          <w:rFonts w:ascii="Times New Roman" w:hAnsi="Times New Roman" w:cs="Times New Roman"/>
          <w:b/>
        </w:rPr>
        <w:t>"time allocated for exam preparation"</w:t>
      </w:r>
      <w:r w:rsidRPr="000A2E75">
        <w:rPr>
          <w:rFonts w:ascii="Times New Roman" w:hAnsi="Times New Roman" w:cs="Times New Roman"/>
        </w:rPr>
        <w:t xml:space="preserve"> decreased because of the fact that exams are more difficult in face-to-face education and exam preparation processes take longer, whereas in the distance education process, exams are prepared in a shorter time because they are done in the form of performance homework. They explained that the </w:t>
      </w:r>
      <w:r w:rsidRPr="000A2E75">
        <w:rPr>
          <w:rFonts w:ascii="Times New Roman" w:hAnsi="Times New Roman" w:cs="Times New Roman"/>
          <w:b/>
        </w:rPr>
        <w:t>"time allocated for preparing meals"</w:t>
      </w:r>
      <w:r w:rsidRPr="000A2E75">
        <w:rPr>
          <w:rFonts w:ascii="Times New Roman" w:hAnsi="Times New Roman" w:cs="Times New Roman"/>
        </w:rPr>
        <w:t xml:space="preserve"> increased, as they passed their meals with more practical and easy meals in the dormitories and students' houses, so the meal preparation times were shorter.</w:t>
      </w:r>
    </w:p>
    <w:p w14:paraId="23A8090E"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They stated that the "</w:t>
      </w:r>
      <w:r w:rsidRPr="000A2E75">
        <w:rPr>
          <w:rFonts w:ascii="Times New Roman" w:hAnsi="Times New Roman" w:cs="Times New Roman"/>
          <w:b/>
        </w:rPr>
        <w:t>time allocated to personal care and hygiene"</w:t>
      </w:r>
      <w:r w:rsidRPr="000A2E75">
        <w:rPr>
          <w:rFonts w:ascii="Times New Roman" w:hAnsi="Times New Roman" w:cs="Times New Roman"/>
        </w:rPr>
        <w:t xml:space="preserve"> of the students increased even more as they had to pay more attention to their personal hygiene due to the epidemic, and this time increased because they felt they had to wash their hands and take a shower more frequently in this process. In table 3, it is seen that the </w:t>
      </w:r>
      <w:r w:rsidRPr="000A2E75">
        <w:rPr>
          <w:rFonts w:ascii="Times New Roman" w:hAnsi="Times New Roman" w:cs="Times New Roman"/>
          <w:b/>
        </w:rPr>
        <w:t>"time allocated for other housework (cleaning, ironing, etc.)"</w:t>
      </w:r>
      <w:r w:rsidRPr="000A2E75">
        <w:rPr>
          <w:rFonts w:ascii="Times New Roman" w:hAnsi="Times New Roman" w:cs="Times New Roman"/>
        </w:rPr>
        <w:t xml:space="preserve"> has increased substantially as they think that more attention should be paid to home hygiene. They stated in the interviews that </w:t>
      </w:r>
      <w:r w:rsidRPr="000A2E75">
        <w:rPr>
          <w:rFonts w:ascii="Times New Roman" w:hAnsi="Times New Roman" w:cs="Times New Roman"/>
          <w:b/>
        </w:rPr>
        <w:t xml:space="preserve">"time allocated for sports and exercise" </w:t>
      </w:r>
      <w:r w:rsidRPr="000A2E75">
        <w:rPr>
          <w:rFonts w:ascii="Times New Roman" w:hAnsi="Times New Roman" w:cs="Times New Roman"/>
        </w:rPr>
        <w:t xml:space="preserve">has decreased and that doing sports at home is not sustainable. As a result of the analysis, it has been revealed that the </w:t>
      </w:r>
      <w:r w:rsidRPr="000A2E75">
        <w:rPr>
          <w:rFonts w:ascii="Times New Roman" w:hAnsi="Times New Roman" w:cs="Times New Roman"/>
          <w:b/>
        </w:rPr>
        <w:t>“time spent in daily sleep”</w:t>
      </w:r>
      <w:r w:rsidRPr="000A2E75">
        <w:rPr>
          <w:rFonts w:ascii="Times New Roman" w:hAnsi="Times New Roman" w:cs="Times New Roman"/>
        </w:rPr>
        <w:t xml:space="preserve"> decreased. They stated that the reason for this was the increase in anxiety levels due to the pandemic, however, during the isolation process, their time perception deteriorated and they were awake at night and could sleep very little during the day. When Table 3 is examined, it is observed that </w:t>
      </w:r>
      <w:r w:rsidRPr="000A2E75">
        <w:rPr>
          <w:rFonts w:ascii="Times New Roman" w:hAnsi="Times New Roman" w:cs="Times New Roman"/>
          <w:b/>
        </w:rPr>
        <w:t>"Daily TV watching time"</w:t>
      </w:r>
      <w:r w:rsidRPr="000A2E75">
        <w:rPr>
          <w:rFonts w:ascii="Times New Roman" w:hAnsi="Times New Roman" w:cs="Times New Roman"/>
        </w:rPr>
        <w:t xml:space="preserve"> and </w:t>
      </w:r>
      <w:r w:rsidRPr="000A2E75">
        <w:rPr>
          <w:rFonts w:ascii="Times New Roman" w:hAnsi="Times New Roman" w:cs="Times New Roman"/>
          <w:b/>
        </w:rPr>
        <w:t>"Time spent on daily internet"</w:t>
      </w:r>
      <w:r w:rsidRPr="000A2E75">
        <w:rPr>
          <w:rFonts w:ascii="Times New Roman" w:hAnsi="Times New Roman" w:cs="Times New Roman"/>
        </w:rPr>
        <w:t xml:space="preserve"> have increased. Students stated that this time increased because they followed the lessons and the pandemic agenda on the internet. It has been determined that the </w:t>
      </w:r>
      <w:r w:rsidRPr="000A2E75">
        <w:rPr>
          <w:rFonts w:ascii="Times New Roman" w:hAnsi="Times New Roman" w:cs="Times New Roman"/>
          <w:b/>
        </w:rPr>
        <w:t>"daily telephone and video call duration"</w:t>
      </w:r>
      <w:r w:rsidRPr="000A2E75">
        <w:rPr>
          <w:rFonts w:ascii="Times New Roman" w:hAnsi="Times New Roman" w:cs="Times New Roman"/>
        </w:rPr>
        <w:t xml:space="preserve"> has decreased. The students explained this situation as they were separated from their families while receiving face-to-face education and they mostly talked to them with audio / video, they did not need this because they were with their families </w:t>
      </w:r>
      <w:r w:rsidRPr="000A2E75">
        <w:rPr>
          <w:rFonts w:ascii="Times New Roman" w:hAnsi="Times New Roman" w:cs="Times New Roman"/>
        </w:rPr>
        <w:lastRenderedPageBreak/>
        <w:t xml:space="preserve">during the pandemic process. When looking at the table of the changes in the daily life routines of the participants during the isolation process, it is seen that </w:t>
      </w:r>
      <w:r w:rsidRPr="000A2E75">
        <w:rPr>
          <w:rFonts w:ascii="Times New Roman" w:hAnsi="Times New Roman" w:cs="Times New Roman"/>
          <w:b/>
        </w:rPr>
        <w:t>“the time spent on social media Facebook, Instagram, Twitter, etc.)”</w:t>
      </w:r>
      <w:r w:rsidRPr="000A2E75">
        <w:rPr>
          <w:rFonts w:ascii="Times New Roman" w:hAnsi="Times New Roman" w:cs="Times New Roman"/>
        </w:rPr>
        <w:t xml:space="preserve"> and the </w:t>
      </w:r>
      <w:r w:rsidRPr="000A2E75">
        <w:rPr>
          <w:rFonts w:ascii="Times New Roman" w:hAnsi="Times New Roman" w:cs="Times New Roman"/>
          <w:b/>
        </w:rPr>
        <w:t xml:space="preserve">"Time allocated for general reading" </w:t>
      </w:r>
      <w:r w:rsidRPr="000A2E75">
        <w:rPr>
          <w:rFonts w:ascii="Times New Roman" w:hAnsi="Times New Roman" w:cs="Times New Roman"/>
        </w:rPr>
        <w:t xml:space="preserve">increased because they saw more time for them. It was determined that it decreased as there was no time left due to two activities. The students, whose </w:t>
      </w:r>
      <w:r w:rsidRPr="000A2E75">
        <w:rPr>
          <w:rFonts w:ascii="Times New Roman" w:hAnsi="Times New Roman" w:cs="Times New Roman"/>
          <w:b/>
        </w:rPr>
        <w:t>"time allocated for self-improvement activities (foreign language, computer, art courses, etc.)"</w:t>
      </w:r>
      <w:r w:rsidRPr="000A2E75">
        <w:rPr>
          <w:rFonts w:ascii="Times New Roman" w:hAnsi="Times New Roman" w:cs="Times New Roman"/>
        </w:rPr>
        <w:t xml:space="preserve"> decreased, emphasized that the reason for this was the uncertainty.</w:t>
      </w:r>
    </w:p>
    <w:p w14:paraId="00701949" w14:textId="77777777" w:rsidR="00E839E1" w:rsidRPr="000A2E75" w:rsidRDefault="00E839E1" w:rsidP="00E839E1">
      <w:pPr>
        <w:spacing w:before="120" w:after="120" w:line="360" w:lineRule="auto"/>
        <w:jc w:val="both"/>
        <w:rPr>
          <w:rFonts w:ascii="Times New Roman" w:hAnsi="Times New Roman" w:cs="Times New Roman"/>
          <w:b/>
        </w:rPr>
      </w:pPr>
      <w:r w:rsidRPr="000A2E75">
        <w:rPr>
          <w:rFonts w:ascii="Times New Roman" w:hAnsi="Times New Roman" w:cs="Times New Roman"/>
          <w:b/>
        </w:rPr>
        <w:t>Table 4.Changes in Attitudes and Behaviors Compared to Before the Covid-19 Pandemic Isolation Process (n = 573)</w:t>
      </w:r>
    </w:p>
    <w:tbl>
      <w:tblPr>
        <w:tblStyle w:val="TabloKlavuzu1"/>
        <w:tblW w:w="0" w:type="auto"/>
        <w:tblLayout w:type="fixed"/>
        <w:tblLook w:val="04A0" w:firstRow="1" w:lastRow="0" w:firstColumn="1" w:lastColumn="0" w:noHBand="0" w:noVBand="1"/>
      </w:tblPr>
      <w:tblGrid>
        <w:gridCol w:w="4957"/>
        <w:gridCol w:w="1417"/>
        <w:gridCol w:w="1418"/>
        <w:gridCol w:w="1270"/>
      </w:tblGrid>
      <w:tr w:rsidR="00E839E1" w:rsidRPr="000A2E75" w14:paraId="6432120D" w14:textId="77777777" w:rsidTr="00E839E1">
        <w:tc>
          <w:tcPr>
            <w:tcW w:w="4957" w:type="dxa"/>
            <w:shd w:val="clear" w:color="auto" w:fill="AEAAAA" w:themeFill="background2" w:themeFillShade="BF"/>
          </w:tcPr>
          <w:p w14:paraId="6786A5A9" w14:textId="77777777" w:rsidR="00E839E1" w:rsidRPr="000A2E75" w:rsidRDefault="00E839E1" w:rsidP="00E839E1">
            <w:pPr>
              <w:spacing w:after="120"/>
              <w:jc w:val="both"/>
              <w:rPr>
                <w:rFonts w:ascii="Times New Roman" w:hAnsi="Times New Roman" w:cs="Times New Roman"/>
                <w:b/>
                <w:bCs/>
              </w:rPr>
            </w:pPr>
            <w:r w:rsidRPr="000A2E75">
              <w:rPr>
                <w:rFonts w:ascii="Times New Roman" w:hAnsi="Times New Roman" w:cs="Times New Roman"/>
                <w:b/>
                <w:bCs/>
              </w:rPr>
              <w:t>Variables</w:t>
            </w:r>
          </w:p>
        </w:tc>
        <w:tc>
          <w:tcPr>
            <w:tcW w:w="1417" w:type="dxa"/>
            <w:shd w:val="clear" w:color="auto" w:fill="AEAAAA" w:themeFill="background2" w:themeFillShade="BF"/>
          </w:tcPr>
          <w:p w14:paraId="338E41AD" w14:textId="77777777" w:rsidR="00E839E1" w:rsidRPr="000A2E75" w:rsidRDefault="00E839E1" w:rsidP="00E839E1">
            <w:pPr>
              <w:spacing w:after="120"/>
              <w:jc w:val="center"/>
              <w:textAlignment w:val="center"/>
              <w:rPr>
                <w:rFonts w:ascii="Times New Roman" w:eastAsia="Times New Roman" w:hAnsi="Times New Roman" w:cs="Times New Roman"/>
                <w:b/>
                <w:color w:val="202124"/>
                <w:spacing w:val="3"/>
                <w:lang w:eastAsia="tr-TR"/>
              </w:rPr>
            </w:pPr>
            <w:r w:rsidRPr="000A2E75">
              <w:rPr>
                <w:rFonts w:ascii="Times New Roman" w:eastAsia="Times New Roman" w:hAnsi="Times New Roman" w:cs="Times New Roman"/>
                <w:b/>
                <w:color w:val="202124"/>
                <w:spacing w:val="3"/>
                <w:lang w:eastAsia="tr-TR"/>
              </w:rPr>
              <w:t>Increased</w:t>
            </w:r>
          </w:p>
          <w:p w14:paraId="737A63C2" w14:textId="77777777" w:rsidR="00E839E1" w:rsidRPr="000A2E75" w:rsidRDefault="00E839E1" w:rsidP="00E839E1">
            <w:pPr>
              <w:spacing w:after="120"/>
              <w:jc w:val="center"/>
              <w:rPr>
                <w:rFonts w:ascii="Times New Roman" w:hAnsi="Times New Roman" w:cs="Times New Roman"/>
                <w:b/>
              </w:rPr>
            </w:pPr>
            <w:r w:rsidRPr="000A2E75">
              <w:rPr>
                <w:rFonts w:ascii="Times New Roman" w:eastAsia="Times New Roman" w:hAnsi="Times New Roman" w:cs="Times New Roman"/>
                <w:b/>
                <w:color w:val="202124"/>
                <w:spacing w:val="3"/>
                <w:lang w:eastAsia="tr-TR"/>
              </w:rPr>
              <w:t>n (%)</w:t>
            </w:r>
          </w:p>
        </w:tc>
        <w:tc>
          <w:tcPr>
            <w:tcW w:w="1418" w:type="dxa"/>
            <w:shd w:val="clear" w:color="auto" w:fill="AEAAAA" w:themeFill="background2" w:themeFillShade="BF"/>
          </w:tcPr>
          <w:p w14:paraId="3952087B" w14:textId="77777777" w:rsidR="00E839E1" w:rsidRPr="000A2E75" w:rsidRDefault="00E839E1" w:rsidP="00E839E1">
            <w:pPr>
              <w:spacing w:after="120"/>
              <w:jc w:val="center"/>
              <w:rPr>
                <w:rFonts w:ascii="Times New Roman" w:eastAsia="Times New Roman" w:hAnsi="Times New Roman" w:cs="Times New Roman"/>
                <w:b/>
                <w:color w:val="202124"/>
                <w:spacing w:val="3"/>
                <w:lang w:eastAsia="tr-TR"/>
              </w:rPr>
            </w:pPr>
            <w:r w:rsidRPr="000A2E75">
              <w:rPr>
                <w:rFonts w:ascii="Times New Roman" w:eastAsia="Times New Roman" w:hAnsi="Times New Roman" w:cs="Times New Roman"/>
                <w:b/>
                <w:color w:val="202124"/>
                <w:spacing w:val="3"/>
                <w:lang w:eastAsia="tr-TR"/>
              </w:rPr>
              <w:t>Unchanged</w:t>
            </w:r>
          </w:p>
          <w:p w14:paraId="1B1C2C08" w14:textId="77777777" w:rsidR="00E839E1" w:rsidRPr="000A2E75" w:rsidRDefault="00E839E1" w:rsidP="00E839E1">
            <w:pPr>
              <w:spacing w:after="120"/>
              <w:jc w:val="center"/>
              <w:rPr>
                <w:rFonts w:ascii="Times New Roman" w:hAnsi="Times New Roman" w:cs="Times New Roman"/>
                <w:b/>
              </w:rPr>
            </w:pPr>
            <w:r w:rsidRPr="000A2E75">
              <w:rPr>
                <w:rFonts w:ascii="Times New Roman" w:eastAsia="Times New Roman" w:hAnsi="Times New Roman" w:cs="Times New Roman"/>
                <w:b/>
                <w:color w:val="202124"/>
                <w:spacing w:val="3"/>
                <w:lang w:eastAsia="tr-TR"/>
              </w:rPr>
              <w:t>n (%)</w:t>
            </w:r>
          </w:p>
        </w:tc>
        <w:tc>
          <w:tcPr>
            <w:tcW w:w="1270" w:type="dxa"/>
            <w:shd w:val="clear" w:color="auto" w:fill="AEAAAA" w:themeFill="background2" w:themeFillShade="BF"/>
          </w:tcPr>
          <w:p w14:paraId="22D1DE1D" w14:textId="77777777" w:rsidR="00E839E1" w:rsidRPr="000A2E75" w:rsidRDefault="00E839E1" w:rsidP="00E839E1">
            <w:pPr>
              <w:spacing w:after="120"/>
              <w:jc w:val="center"/>
              <w:rPr>
                <w:rFonts w:ascii="Times New Roman" w:eastAsia="Times New Roman" w:hAnsi="Times New Roman" w:cs="Times New Roman"/>
                <w:b/>
                <w:color w:val="202124"/>
                <w:spacing w:val="3"/>
                <w:lang w:eastAsia="tr-TR"/>
              </w:rPr>
            </w:pPr>
            <w:r w:rsidRPr="000A2E75">
              <w:rPr>
                <w:rFonts w:ascii="Times New Roman" w:eastAsia="Times New Roman" w:hAnsi="Times New Roman" w:cs="Times New Roman"/>
                <w:b/>
                <w:color w:val="202124"/>
                <w:spacing w:val="3"/>
                <w:lang w:eastAsia="tr-TR"/>
              </w:rPr>
              <w:t>Decreased</w:t>
            </w:r>
          </w:p>
          <w:p w14:paraId="6842C2A5" w14:textId="77777777" w:rsidR="00E839E1" w:rsidRPr="000A2E75" w:rsidRDefault="00E839E1" w:rsidP="00E839E1">
            <w:pPr>
              <w:spacing w:after="120"/>
              <w:jc w:val="center"/>
              <w:rPr>
                <w:rFonts w:ascii="Times New Roman" w:hAnsi="Times New Roman" w:cs="Times New Roman"/>
                <w:b/>
              </w:rPr>
            </w:pPr>
            <w:r w:rsidRPr="000A2E75">
              <w:rPr>
                <w:rFonts w:ascii="Times New Roman" w:eastAsia="Times New Roman" w:hAnsi="Times New Roman" w:cs="Times New Roman"/>
                <w:b/>
                <w:color w:val="202124"/>
                <w:spacing w:val="3"/>
                <w:lang w:eastAsia="tr-TR"/>
              </w:rPr>
              <w:t>n (%)</w:t>
            </w:r>
          </w:p>
        </w:tc>
      </w:tr>
      <w:tr w:rsidR="00E839E1" w:rsidRPr="000A2E75" w14:paraId="0313509D" w14:textId="77777777" w:rsidTr="00E839E1">
        <w:trPr>
          <w:trHeight w:val="362"/>
        </w:trPr>
        <w:tc>
          <w:tcPr>
            <w:tcW w:w="4957" w:type="dxa"/>
          </w:tcPr>
          <w:p w14:paraId="6FEB5BF4" w14:textId="77777777" w:rsidR="00E839E1" w:rsidRPr="000A2E75" w:rsidRDefault="00E839E1" w:rsidP="00E839E1">
            <w:pPr>
              <w:shd w:val="clear" w:color="auto" w:fill="F8F9FA"/>
              <w:spacing w:after="120"/>
              <w:textAlignment w:val="center"/>
              <w:rPr>
                <w:rFonts w:ascii="Times New Roman" w:eastAsia="Times New Roman" w:hAnsi="Times New Roman" w:cs="Times New Roman"/>
                <w:color w:val="202124"/>
                <w:spacing w:val="3"/>
              </w:rPr>
            </w:pPr>
            <w:r w:rsidRPr="000A2E75">
              <w:rPr>
                <w:rFonts w:ascii="Times New Roman" w:eastAsia="Times New Roman" w:hAnsi="Times New Roman" w:cs="Times New Roman"/>
                <w:color w:val="202124"/>
                <w:spacing w:val="3"/>
                <w:lang w:eastAsia="tr-TR"/>
              </w:rPr>
              <w:t>Interest in charitable initiatives</w:t>
            </w:r>
          </w:p>
        </w:tc>
        <w:tc>
          <w:tcPr>
            <w:tcW w:w="1417" w:type="dxa"/>
          </w:tcPr>
          <w:p w14:paraId="33339AAD"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310 (54,1)</w:t>
            </w:r>
          </w:p>
        </w:tc>
        <w:tc>
          <w:tcPr>
            <w:tcW w:w="1418" w:type="dxa"/>
          </w:tcPr>
          <w:p w14:paraId="5DC19C36"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231 (40,3)</w:t>
            </w:r>
          </w:p>
        </w:tc>
        <w:tc>
          <w:tcPr>
            <w:tcW w:w="1270" w:type="dxa"/>
          </w:tcPr>
          <w:p w14:paraId="6792BAC0"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32 (5,6)</w:t>
            </w:r>
          </w:p>
        </w:tc>
      </w:tr>
      <w:tr w:rsidR="00E839E1" w:rsidRPr="000A2E75" w14:paraId="2DFEF180" w14:textId="77777777" w:rsidTr="00E839E1">
        <w:tc>
          <w:tcPr>
            <w:tcW w:w="4957" w:type="dxa"/>
          </w:tcPr>
          <w:p w14:paraId="170849FD" w14:textId="77777777" w:rsidR="00E839E1" w:rsidRPr="000A2E75" w:rsidRDefault="00E839E1" w:rsidP="00E839E1">
            <w:pPr>
              <w:shd w:val="clear" w:color="auto" w:fill="F8F9FA"/>
              <w:spacing w:after="120"/>
              <w:textAlignment w:val="center"/>
              <w:rPr>
                <w:rFonts w:ascii="Times New Roman" w:eastAsia="Times New Roman" w:hAnsi="Times New Roman" w:cs="Times New Roman"/>
                <w:color w:val="202124"/>
                <w:spacing w:val="3"/>
              </w:rPr>
            </w:pPr>
            <w:r w:rsidRPr="000A2E75">
              <w:rPr>
                <w:rFonts w:ascii="Times New Roman" w:eastAsia="Times New Roman" w:hAnsi="Times New Roman" w:cs="Times New Roman"/>
                <w:color w:val="202124"/>
                <w:spacing w:val="3"/>
                <w:lang w:eastAsia="tr-TR"/>
              </w:rPr>
              <w:t>Interest in news on national and international issues related to the epidemic</w:t>
            </w:r>
          </w:p>
        </w:tc>
        <w:tc>
          <w:tcPr>
            <w:tcW w:w="1417" w:type="dxa"/>
          </w:tcPr>
          <w:p w14:paraId="340B362C"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529 (92,3)</w:t>
            </w:r>
          </w:p>
        </w:tc>
        <w:tc>
          <w:tcPr>
            <w:tcW w:w="1418" w:type="dxa"/>
          </w:tcPr>
          <w:p w14:paraId="2D29F680"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38 (6,6)</w:t>
            </w:r>
          </w:p>
        </w:tc>
        <w:tc>
          <w:tcPr>
            <w:tcW w:w="1270" w:type="dxa"/>
          </w:tcPr>
          <w:p w14:paraId="3DE24F09"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6 (1,0)</w:t>
            </w:r>
          </w:p>
        </w:tc>
      </w:tr>
      <w:tr w:rsidR="00E839E1" w:rsidRPr="000A2E75" w14:paraId="231346B5" w14:textId="77777777" w:rsidTr="00E839E1">
        <w:tc>
          <w:tcPr>
            <w:tcW w:w="4957" w:type="dxa"/>
          </w:tcPr>
          <w:p w14:paraId="28837E30" w14:textId="77777777" w:rsidR="00E839E1" w:rsidRPr="000A2E75" w:rsidRDefault="00E839E1" w:rsidP="00E839E1">
            <w:pPr>
              <w:shd w:val="clear" w:color="auto" w:fill="F8F9FA"/>
              <w:spacing w:after="120"/>
              <w:textAlignment w:val="center"/>
              <w:rPr>
                <w:rFonts w:ascii="Times New Roman" w:eastAsia="Times New Roman" w:hAnsi="Times New Roman" w:cs="Times New Roman"/>
                <w:color w:val="202124"/>
                <w:spacing w:val="3"/>
              </w:rPr>
            </w:pPr>
            <w:r w:rsidRPr="000A2E75">
              <w:rPr>
                <w:rFonts w:ascii="Times New Roman" w:eastAsia="Times New Roman" w:hAnsi="Times New Roman" w:cs="Times New Roman"/>
                <w:color w:val="202124"/>
                <w:spacing w:val="3"/>
                <w:lang w:eastAsia="tr-TR"/>
              </w:rPr>
              <w:t>Communication with elders</w:t>
            </w:r>
          </w:p>
        </w:tc>
        <w:tc>
          <w:tcPr>
            <w:tcW w:w="1417" w:type="dxa"/>
          </w:tcPr>
          <w:p w14:paraId="578CC43D"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366 (63,9)</w:t>
            </w:r>
          </w:p>
        </w:tc>
        <w:tc>
          <w:tcPr>
            <w:tcW w:w="1418" w:type="dxa"/>
          </w:tcPr>
          <w:p w14:paraId="4E5138F8"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154 (26,9)</w:t>
            </w:r>
          </w:p>
        </w:tc>
        <w:tc>
          <w:tcPr>
            <w:tcW w:w="1270" w:type="dxa"/>
          </w:tcPr>
          <w:p w14:paraId="1D034FA6"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53 (9,2)</w:t>
            </w:r>
          </w:p>
        </w:tc>
      </w:tr>
      <w:tr w:rsidR="00E839E1" w:rsidRPr="000A2E75" w14:paraId="19B91942" w14:textId="77777777" w:rsidTr="00E839E1">
        <w:tc>
          <w:tcPr>
            <w:tcW w:w="4957" w:type="dxa"/>
          </w:tcPr>
          <w:p w14:paraId="358C5875" w14:textId="77777777" w:rsidR="00E839E1" w:rsidRPr="000A2E75" w:rsidRDefault="00E839E1" w:rsidP="00E839E1">
            <w:pPr>
              <w:shd w:val="clear" w:color="auto" w:fill="F8F9FA"/>
              <w:spacing w:after="120"/>
              <w:textAlignment w:val="center"/>
              <w:rPr>
                <w:rFonts w:ascii="Times New Roman" w:eastAsia="Times New Roman" w:hAnsi="Times New Roman" w:cs="Times New Roman"/>
                <w:color w:val="202124"/>
                <w:spacing w:val="3"/>
              </w:rPr>
            </w:pPr>
            <w:r w:rsidRPr="000A2E75">
              <w:rPr>
                <w:rFonts w:ascii="Times New Roman" w:eastAsia="Times New Roman" w:hAnsi="Times New Roman" w:cs="Times New Roman"/>
                <w:color w:val="202124"/>
                <w:spacing w:val="3"/>
                <w:lang w:eastAsia="tr-TR"/>
              </w:rPr>
              <w:t>Communication with friends</w:t>
            </w:r>
          </w:p>
        </w:tc>
        <w:tc>
          <w:tcPr>
            <w:tcW w:w="1417" w:type="dxa"/>
          </w:tcPr>
          <w:p w14:paraId="642A5E03"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178 (31,1)</w:t>
            </w:r>
          </w:p>
        </w:tc>
        <w:tc>
          <w:tcPr>
            <w:tcW w:w="1418" w:type="dxa"/>
          </w:tcPr>
          <w:p w14:paraId="48658D4E"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140 (24,4)</w:t>
            </w:r>
          </w:p>
        </w:tc>
        <w:tc>
          <w:tcPr>
            <w:tcW w:w="1270" w:type="dxa"/>
          </w:tcPr>
          <w:p w14:paraId="7AEAB89B"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255 (44,5)</w:t>
            </w:r>
          </w:p>
        </w:tc>
      </w:tr>
      <w:tr w:rsidR="00E839E1" w:rsidRPr="000A2E75" w14:paraId="69E8A93A" w14:textId="77777777" w:rsidTr="00E839E1">
        <w:tc>
          <w:tcPr>
            <w:tcW w:w="4957" w:type="dxa"/>
          </w:tcPr>
          <w:p w14:paraId="6D0AB1B2" w14:textId="77777777" w:rsidR="00E839E1" w:rsidRPr="000A2E75" w:rsidRDefault="00E839E1" w:rsidP="00E839E1">
            <w:pPr>
              <w:shd w:val="clear" w:color="auto" w:fill="F8F9FA"/>
              <w:spacing w:after="120"/>
              <w:textAlignment w:val="center"/>
              <w:rPr>
                <w:rFonts w:ascii="Times New Roman" w:eastAsia="Times New Roman" w:hAnsi="Times New Roman" w:cs="Times New Roman"/>
                <w:color w:val="202124"/>
                <w:spacing w:val="3"/>
              </w:rPr>
            </w:pPr>
            <w:r w:rsidRPr="000A2E75">
              <w:rPr>
                <w:rFonts w:ascii="Times New Roman" w:eastAsia="Times New Roman" w:hAnsi="Times New Roman" w:cs="Times New Roman"/>
                <w:color w:val="202124"/>
                <w:spacing w:val="3"/>
                <w:lang w:eastAsia="tr-TR"/>
              </w:rPr>
              <w:t>Communication with neighbors</w:t>
            </w:r>
          </w:p>
        </w:tc>
        <w:tc>
          <w:tcPr>
            <w:tcW w:w="1417" w:type="dxa"/>
          </w:tcPr>
          <w:p w14:paraId="4E4FE6C2"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237 (41,4)</w:t>
            </w:r>
          </w:p>
        </w:tc>
        <w:tc>
          <w:tcPr>
            <w:tcW w:w="1418" w:type="dxa"/>
          </w:tcPr>
          <w:p w14:paraId="6A548C4C"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212 (37,0)</w:t>
            </w:r>
          </w:p>
        </w:tc>
        <w:tc>
          <w:tcPr>
            <w:tcW w:w="1270" w:type="dxa"/>
          </w:tcPr>
          <w:p w14:paraId="4897280F"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124 (21,6)</w:t>
            </w:r>
          </w:p>
        </w:tc>
      </w:tr>
      <w:tr w:rsidR="00E839E1" w:rsidRPr="000A2E75" w14:paraId="24CF52AC" w14:textId="77777777" w:rsidTr="00E839E1">
        <w:tc>
          <w:tcPr>
            <w:tcW w:w="4957" w:type="dxa"/>
          </w:tcPr>
          <w:p w14:paraId="1DB117D9" w14:textId="77777777" w:rsidR="00E839E1" w:rsidRPr="000A2E75" w:rsidRDefault="00E839E1" w:rsidP="00E839E1">
            <w:pPr>
              <w:shd w:val="clear" w:color="auto" w:fill="F8F9FA"/>
              <w:spacing w:after="120"/>
              <w:textAlignment w:val="center"/>
              <w:rPr>
                <w:rFonts w:ascii="Times New Roman" w:eastAsia="Times New Roman" w:hAnsi="Times New Roman" w:cs="Times New Roman"/>
                <w:color w:val="202124"/>
                <w:spacing w:val="3"/>
              </w:rPr>
            </w:pPr>
            <w:r w:rsidRPr="000A2E75">
              <w:rPr>
                <w:rFonts w:ascii="Times New Roman" w:eastAsia="Times New Roman" w:hAnsi="Times New Roman" w:cs="Times New Roman"/>
                <w:color w:val="202124"/>
                <w:spacing w:val="3"/>
                <w:lang w:eastAsia="tr-TR"/>
              </w:rPr>
              <w:t>Disputes and arguments within the home</w:t>
            </w:r>
          </w:p>
        </w:tc>
        <w:tc>
          <w:tcPr>
            <w:tcW w:w="1417" w:type="dxa"/>
          </w:tcPr>
          <w:p w14:paraId="2DECAA63"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312 (54,5)</w:t>
            </w:r>
          </w:p>
        </w:tc>
        <w:tc>
          <w:tcPr>
            <w:tcW w:w="1418" w:type="dxa"/>
          </w:tcPr>
          <w:p w14:paraId="6B516789"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45 (7,9)</w:t>
            </w:r>
          </w:p>
        </w:tc>
        <w:tc>
          <w:tcPr>
            <w:tcW w:w="1270" w:type="dxa"/>
          </w:tcPr>
          <w:p w14:paraId="2CFDEF3A"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216 (37,7)</w:t>
            </w:r>
          </w:p>
        </w:tc>
      </w:tr>
      <w:tr w:rsidR="00E839E1" w:rsidRPr="000A2E75" w14:paraId="4BBFCDD2" w14:textId="77777777" w:rsidTr="00E839E1">
        <w:tc>
          <w:tcPr>
            <w:tcW w:w="4957" w:type="dxa"/>
          </w:tcPr>
          <w:p w14:paraId="40A358B7" w14:textId="77777777" w:rsidR="00E839E1" w:rsidRPr="000A2E75" w:rsidRDefault="00E839E1" w:rsidP="00E839E1">
            <w:pPr>
              <w:shd w:val="clear" w:color="auto" w:fill="F8F9FA"/>
              <w:spacing w:after="120"/>
              <w:textAlignment w:val="center"/>
              <w:rPr>
                <w:rFonts w:ascii="Times New Roman" w:eastAsia="Times New Roman" w:hAnsi="Times New Roman" w:cs="Times New Roman"/>
                <w:color w:val="202124"/>
                <w:spacing w:val="3"/>
              </w:rPr>
            </w:pPr>
            <w:r w:rsidRPr="000A2E75">
              <w:rPr>
                <w:rFonts w:ascii="Times New Roman" w:eastAsia="Times New Roman" w:hAnsi="Times New Roman" w:cs="Times New Roman"/>
                <w:color w:val="202124"/>
                <w:spacing w:val="3"/>
                <w:lang w:eastAsia="tr-TR"/>
              </w:rPr>
              <w:t>Interest in religious, spiritual and philosophical issues regarding the meaning of life</w:t>
            </w:r>
          </w:p>
        </w:tc>
        <w:tc>
          <w:tcPr>
            <w:tcW w:w="1417" w:type="dxa"/>
          </w:tcPr>
          <w:p w14:paraId="558F4237"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270 (47,1)</w:t>
            </w:r>
          </w:p>
        </w:tc>
        <w:tc>
          <w:tcPr>
            <w:tcW w:w="1418" w:type="dxa"/>
          </w:tcPr>
          <w:p w14:paraId="73EC1ABC"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267 (46,6)</w:t>
            </w:r>
          </w:p>
        </w:tc>
        <w:tc>
          <w:tcPr>
            <w:tcW w:w="1270" w:type="dxa"/>
          </w:tcPr>
          <w:p w14:paraId="43CA8792" w14:textId="77777777" w:rsidR="00E839E1" w:rsidRPr="000A2E75" w:rsidRDefault="00E839E1" w:rsidP="00E839E1">
            <w:pPr>
              <w:spacing w:after="120"/>
              <w:jc w:val="center"/>
              <w:rPr>
                <w:rFonts w:ascii="Times New Roman" w:hAnsi="Times New Roman" w:cs="Times New Roman"/>
                <w:bCs/>
              </w:rPr>
            </w:pPr>
            <w:r w:rsidRPr="000A2E75">
              <w:rPr>
                <w:rFonts w:ascii="Times New Roman" w:hAnsi="Times New Roman" w:cs="Times New Roman"/>
                <w:bCs/>
              </w:rPr>
              <w:t>36 (6,3)</w:t>
            </w:r>
          </w:p>
        </w:tc>
      </w:tr>
    </w:tbl>
    <w:p w14:paraId="1847CCB4" w14:textId="77777777" w:rsidR="00E839E1" w:rsidRPr="000A2E75" w:rsidRDefault="00E839E1" w:rsidP="00E839E1">
      <w:pPr>
        <w:rPr>
          <w:rFonts w:ascii="Times New Roman" w:hAnsi="Times New Roman" w:cs="Times New Roman"/>
        </w:rPr>
      </w:pPr>
    </w:p>
    <w:p w14:paraId="1584DFF2"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 xml:space="preserve">Table 4 shows the changes in the attitudes and behaviors of the participants compared to before in the Covid-19 pandemic isolation process. An increase is observed in the </w:t>
      </w:r>
      <w:r w:rsidRPr="000A2E75">
        <w:rPr>
          <w:rFonts w:ascii="Times New Roman" w:hAnsi="Times New Roman" w:cs="Times New Roman"/>
          <w:b/>
        </w:rPr>
        <w:t>"interest in aid initiatives"</w:t>
      </w:r>
      <w:r w:rsidRPr="000A2E75">
        <w:rPr>
          <w:rFonts w:ascii="Times New Roman" w:hAnsi="Times New Roman" w:cs="Times New Roman"/>
        </w:rPr>
        <w:t xml:space="preserve"> in this table. During the pandemic process, many workplaces had to close, and therefore their employees became unemployed. Moreover, as this process coincided with the month of Ramadan, when spiritual feelings were high, students stated that they could not remain indifferent to this situation. As a result of the analysis, an increase in the attitude of </w:t>
      </w:r>
      <w:r w:rsidRPr="000A2E75">
        <w:rPr>
          <w:rFonts w:ascii="Times New Roman" w:hAnsi="Times New Roman" w:cs="Times New Roman"/>
          <w:b/>
        </w:rPr>
        <w:t>"interest in news on national and international issues related to the epidemic"</w:t>
      </w:r>
      <w:r w:rsidRPr="000A2E75">
        <w:rPr>
          <w:rFonts w:ascii="Times New Roman" w:hAnsi="Times New Roman" w:cs="Times New Roman"/>
        </w:rPr>
        <w:t xml:space="preserve"> was detected. Participants stated that the epidemics in previous years were always in other countries, that this was the first time that such an effective epidemic was experienced in our country, especially the national epidemic news, and that they closely followed the epidemic treatment (vaccine, medicine, etc.) studies in the international press. During the isolation process, the </w:t>
      </w:r>
      <w:r w:rsidRPr="000A2E75">
        <w:rPr>
          <w:rFonts w:ascii="Times New Roman" w:hAnsi="Times New Roman" w:cs="Times New Roman"/>
          <w:b/>
        </w:rPr>
        <w:t>"communication with the elders of the family"</w:t>
      </w:r>
      <w:r w:rsidRPr="000A2E75">
        <w:rPr>
          <w:rFonts w:ascii="Times New Roman" w:hAnsi="Times New Roman" w:cs="Times New Roman"/>
        </w:rPr>
        <w:t xml:space="preserve"> of the students who participated in the research increased. In the interviews, it was revealed that the curfew restriction applied to citizens aged 65 and over was effective in increasing communication with family elders in this process. At the table 4, </w:t>
      </w:r>
      <w:r w:rsidRPr="000A2E75">
        <w:rPr>
          <w:rFonts w:ascii="Times New Roman" w:hAnsi="Times New Roman" w:cs="Times New Roman"/>
          <w:b/>
        </w:rPr>
        <w:t>“Communication with friends”</w:t>
      </w:r>
      <w:r w:rsidRPr="000A2E75">
        <w:rPr>
          <w:rFonts w:ascii="Times New Roman" w:hAnsi="Times New Roman" w:cs="Times New Roman"/>
        </w:rPr>
        <w:t xml:space="preserve"> decreased during this period when everyone was closed to their homes. The students stated that they were with their families and that they did not need to communicate with their friends. </w:t>
      </w:r>
      <w:r w:rsidRPr="000A2E75">
        <w:rPr>
          <w:rFonts w:ascii="Times New Roman" w:hAnsi="Times New Roman" w:cs="Times New Roman"/>
          <w:b/>
        </w:rPr>
        <w:t>“Communication with neighbors”</w:t>
      </w:r>
      <w:r w:rsidRPr="000A2E75">
        <w:rPr>
          <w:rFonts w:ascii="Times New Roman" w:hAnsi="Times New Roman" w:cs="Times New Roman"/>
        </w:rPr>
        <w:t xml:space="preserve"> has been an increasing behavior according to research </w:t>
      </w:r>
      <w:r w:rsidRPr="000A2E75">
        <w:rPr>
          <w:rFonts w:ascii="Times New Roman" w:hAnsi="Times New Roman" w:cs="Times New Roman"/>
        </w:rPr>
        <w:lastRenderedPageBreak/>
        <w:t xml:space="preserve">findings. According to the participants, neighbors are the first to seek help in troublesome situations. The students participating in the study stated that the reason for the increase in </w:t>
      </w:r>
      <w:r w:rsidRPr="000A2E75">
        <w:rPr>
          <w:rFonts w:ascii="Times New Roman" w:hAnsi="Times New Roman" w:cs="Times New Roman"/>
          <w:b/>
        </w:rPr>
        <w:t>“conflicts and arguments at home”</w:t>
      </w:r>
      <w:r w:rsidRPr="000A2E75">
        <w:rPr>
          <w:rFonts w:ascii="Times New Roman" w:hAnsi="Times New Roman" w:cs="Times New Roman"/>
        </w:rPr>
        <w:t xml:space="preserve"> is mainly due to the conflict between siblings. Another reason was pointed out in the interviews that young members of families who are accustomed to living independently have difficulty in getting used to communal life. According to the results in Table 4, </w:t>
      </w:r>
      <w:r w:rsidRPr="000A2E75">
        <w:rPr>
          <w:rFonts w:ascii="Times New Roman" w:hAnsi="Times New Roman" w:cs="Times New Roman"/>
          <w:b/>
        </w:rPr>
        <w:t>"interest in religious, spiritual and philosophical issues regarding the meaning of life"</w:t>
      </w:r>
      <w:r w:rsidRPr="000A2E75">
        <w:rPr>
          <w:rFonts w:ascii="Times New Roman" w:hAnsi="Times New Roman" w:cs="Times New Roman"/>
        </w:rPr>
        <w:t xml:space="preserve"> has increased. It was stated by the students that the feeling of death anxiety so closely increased this interest.</w:t>
      </w:r>
    </w:p>
    <w:p w14:paraId="2590167D" w14:textId="77777777" w:rsidR="00E839E1" w:rsidRPr="000A2E75" w:rsidRDefault="00E839E1" w:rsidP="00E839E1">
      <w:pPr>
        <w:spacing w:before="120" w:after="120" w:line="360" w:lineRule="auto"/>
        <w:jc w:val="both"/>
        <w:rPr>
          <w:rFonts w:ascii="Times New Roman" w:hAnsi="Times New Roman" w:cs="Times New Roman"/>
          <w:b/>
        </w:rPr>
      </w:pPr>
      <w:r w:rsidRPr="000A2E75">
        <w:rPr>
          <w:rFonts w:ascii="Times New Roman" w:hAnsi="Times New Roman" w:cs="Times New Roman"/>
          <w:b/>
        </w:rPr>
        <w:t>Table 5. Distance Education Perceptions (n = 573)</w:t>
      </w:r>
    </w:p>
    <w:tbl>
      <w:tblPr>
        <w:tblStyle w:val="TabloKlavuzu"/>
        <w:tblW w:w="0" w:type="auto"/>
        <w:tblLayout w:type="fixed"/>
        <w:tblLook w:val="04A0" w:firstRow="1" w:lastRow="0" w:firstColumn="1" w:lastColumn="0" w:noHBand="0" w:noVBand="1"/>
      </w:tblPr>
      <w:tblGrid>
        <w:gridCol w:w="4531"/>
        <w:gridCol w:w="1560"/>
        <w:gridCol w:w="1559"/>
        <w:gridCol w:w="1412"/>
      </w:tblGrid>
      <w:tr w:rsidR="00E839E1" w:rsidRPr="000A2E75" w14:paraId="6BA16E89" w14:textId="77777777" w:rsidTr="00E839E1">
        <w:tc>
          <w:tcPr>
            <w:tcW w:w="4531" w:type="dxa"/>
            <w:shd w:val="clear" w:color="auto" w:fill="AEAAAA" w:themeFill="background2" w:themeFillShade="BF"/>
          </w:tcPr>
          <w:p w14:paraId="23BB8F81" w14:textId="77777777" w:rsidR="00E839E1" w:rsidRPr="000A2E75" w:rsidRDefault="00E839E1" w:rsidP="00E839E1">
            <w:pPr>
              <w:spacing w:after="120" w:line="480" w:lineRule="auto"/>
              <w:jc w:val="both"/>
              <w:rPr>
                <w:rFonts w:ascii="Times New Roman" w:hAnsi="Times New Roman" w:cs="Times New Roman"/>
                <w:b/>
                <w:bCs/>
              </w:rPr>
            </w:pPr>
            <w:r w:rsidRPr="000A2E75">
              <w:rPr>
                <w:rFonts w:ascii="Times New Roman" w:hAnsi="Times New Roman" w:cs="Times New Roman"/>
                <w:b/>
                <w:bCs/>
              </w:rPr>
              <w:t>Variables</w:t>
            </w:r>
          </w:p>
        </w:tc>
        <w:tc>
          <w:tcPr>
            <w:tcW w:w="1560" w:type="dxa"/>
            <w:shd w:val="clear" w:color="auto" w:fill="AEAAAA" w:themeFill="background2" w:themeFillShade="BF"/>
          </w:tcPr>
          <w:p w14:paraId="6D7D1663" w14:textId="77777777" w:rsidR="00E839E1" w:rsidRPr="000A2E75" w:rsidRDefault="00E839E1" w:rsidP="00E839E1">
            <w:pPr>
              <w:spacing w:after="120"/>
              <w:jc w:val="center"/>
              <w:rPr>
                <w:rFonts w:ascii="Times New Roman" w:hAnsi="Times New Roman" w:cs="Times New Roman"/>
                <w:b/>
              </w:rPr>
            </w:pPr>
            <w:r w:rsidRPr="000A2E75">
              <w:rPr>
                <w:rFonts w:ascii="Times New Roman" w:hAnsi="Times New Roman" w:cs="Times New Roman"/>
                <w:b/>
              </w:rPr>
              <w:t>I Agree</w:t>
            </w:r>
          </w:p>
          <w:p w14:paraId="72D0BB97" w14:textId="77777777" w:rsidR="00E839E1" w:rsidRPr="000A2E75" w:rsidRDefault="00E839E1" w:rsidP="00E839E1">
            <w:pPr>
              <w:spacing w:after="120" w:line="480" w:lineRule="auto"/>
              <w:jc w:val="center"/>
              <w:rPr>
                <w:rFonts w:ascii="Times New Roman" w:hAnsi="Times New Roman" w:cs="Times New Roman"/>
                <w:b/>
              </w:rPr>
            </w:pPr>
            <w:r w:rsidRPr="000A2E75">
              <w:rPr>
                <w:rFonts w:ascii="Times New Roman" w:hAnsi="Times New Roman" w:cs="Times New Roman"/>
                <w:b/>
              </w:rPr>
              <w:t>n (%)</w:t>
            </w:r>
          </w:p>
        </w:tc>
        <w:tc>
          <w:tcPr>
            <w:tcW w:w="1559" w:type="dxa"/>
            <w:shd w:val="clear" w:color="auto" w:fill="AEAAAA" w:themeFill="background2" w:themeFillShade="BF"/>
          </w:tcPr>
          <w:p w14:paraId="4CB971C9" w14:textId="77777777" w:rsidR="00E839E1" w:rsidRPr="000A2E75" w:rsidRDefault="00E839E1" w:rsidP="00E839E1">
            <w:pPr>
              <w:jc w:val="center"/>
              <w:rPr>
                <w:rFonts w:ascii="Times New Roman" w:hAnsi="Times New Roman" w:cs="Times New Roman"/>
                <w:b/>
              </w:rPr>
            </w:pPr>
            <w:r w:rsidRPr="000A2E75">
              <w:rPr>
                <w:rFonts w:ascii="Times New Roman" w:hAnsi="Times New Roman" w:cs="Times New Roman"/>
                <w:b/>
              </w:rPr>
              <w:t>I Am Indecisive / I Have No İdea</w:t>
            </w:r>
          </w:p>
          <w:p w14:paraId="014F1573" w14:textId="77777777" w:rsidR="00E839E1" w:rsidRPr="000A2E75" w:rsidRDefault="00E839E1" w:rsidP="00E839E1">
            <w:pPr>
              <w:jc w:val="center"/>
              <w:rPr>
                <w:rFonts w:ascii="Times New Roman" w:hAnsi="Times New Roman" w:cs="Times New Roman"/>
                <w:b/>
              </w:rPr>
            </w:pPr>
            <w:r w:rsidRPr="000A2E75">
              <w:rPr>
                <w:rFonts w:ascii="Times New Roman" w:hAnsi="Times New Roman" w:cs="Times New Roman"/>
                <w:b/>
              </w:rPr>
              <w:t>n (%)</w:t>
            </w:r>
          </w:p>
        </w:tc>
        <w:tc>
          <w:tcPr>
            <w:tcW w:w="1412" w:type="dxa"/>
            <w:shd w:val="clear" w:color="auto" w:fill="AEAAAA" w:themeFill="background2" w:themeFillShade="BF"/>
          </w:tcPr>
          <w:p w14:paraId="51F67FB1" w14:textId="77777777" w:rsidR="00E839E1" w:rsidRPr="000A2E75" w:rsidRDefault="00E839E1" w:rsidP="00E839E1">
            <w:pPr>
              <w:jc w:val="center"/>
              <w:rPr>
                <w:rFonts w:ascii="Times New Roman" w:hAnsi="Times New Roman" w:cs="Times New Roman"/>
                <w:b/>
              </w:rPr>
            </w:pPr>
            <w:r w:rsidRPr="000A2E75">
              <w:rPr>
                <w:rFonts w:ascii="Times New Roman" w:hAnsi="Times New Roman" w:cs="Times New Roman"/>
                <w:b/>
              </w:rPr>
              <w:t>I Disagree</w:t>
            </w:r>
          </w:p>
          <w:p w14:paraId="788D9BDD" w14:textId="77777777" w:rsidR="00E839E1" w:rsidRPr="000A2E75" w:rsidRDefault="00E839E1" w:rsidP="00E839E1">
            <w:pPr>
              <w:jc w:val="center"/>
              <w:rPr>
                <w:rFonts w:ascii="Times New Roman" w:hAnsi="Times New Roman" w:cs="Times New Roman"/>
                <w:b/>
              </w:rPr>
            </w:pPr>
            <w:r w:rsidRPr="000A2E75">
              <w:rPr>
                <w:rFonts w:ascii="Times New Roman" w:hAnsi="Times New Roman" w:cs="Times New Roman"/>
                <w:b/>
              </w:rPr>
              <w:t>n (%)</w:t>
            </w:r>
          </w:p>
        </w:tc>
      </w:tr>
      <w:tr w:rsidR="00E839E1" w:rsidRPr="000A2E75" w14:paraId="35B0EDFD" w14:textId="77777777" w:rsidTr="00E839E1">
        <w:trPr>
          <w:trHeight w:val="362"/>
        </w:trPr>
        <w:tc>
          <w:tcPr>
            <w:tcW w:w="4531" w:type="dxa"/>
          </w:tcPr>
          <w:p w14:paraId="2B1A6459" w14:textId="77777777" w:rsidR="00E839E1" w:rsidRPr="000A2E75" w:rsidRDefault="00E839E1" w:rsidP="00E839E1">
            <w:pPr>
              <w:shd w:val="clear" w:color="auto" w:fill="F8F9FA"/>
              <w:spacing w:line="300" w:lineRule="atLeast"/>
              <w:textAlignment w:val="center"/>
              <w:rPr>
                <w:rFonts w:ascii="Times New Roman" w:hAnsi="Times New Roman" w:cs="Times New Roman"/>
                <w:color w:val="202124"/>
                <w:spacing w:val="3"/>
              </w:rPr>
            </w:pPr>
            <w:r w:rsidRPr="000A2E75">
              <w:rPr>
                <w:rFonts w:ascii="Times New Roman" w:hAnsi="Times New Roman" w:cs="Times New Roman"/>
                <w:color w:val="202124"/>
                <w:spacing w:val="3"/>
              </w:rPr>
              <w:t>Distance education is more effective than face-to-face teaching, as the learning time and pace are determined by the student.</w:t>
            </w:r>
          </w:p>
        </w:tc>
        <w:tc>
          <w:tcPr>
            <w:tcW w:w="1560" w:type="dxa"/>
          </w:tcPr>
          <w:p w14:paraId="2E88776F" w14:textId="77777777" w:rsidR="00E839E1" w:rsidRPr="000A2E75" w:rsidRDefault="00E839E1" w:rsidP="00E839E1">
            <w:pPr>
              <w:spacing w:after="120" w:line="480" w:lineRule="auto"/>
              <w:jc w:val="center"/>
              <w:rPr>
                <w:rFonts w:ascii="Times New Roman" w:hAnsi="Times New Roman" w:cs="Times New Roman"/>
                <w:bCs/>
              </w:rPr>
            </w:pPr>
            <w:r w:rsidRPr="000A2E75">
              <w:rPr>
                <w:rFonts w:ascii="Times New Roman" w:hAnsi="Times New Roman" w:cs="Times New Roman"/>
                <w:bCs/>
              </w:rPr>
              <w:t>114 (19,9)</w:t>
            </w:r>
          </w:p>
        </w:tc>
        <w:tc>
          <w:tcPr>
            <w:tcW w:w="1559" w:type="dxa"/>
          </w:tcPr>
          <w:p w14:paraId="445AB3A4" w14:textId="77777777" w:rsidR="00E839E1" w:rsidRPr="000A2E75" w:rsidRDefault="00E839E1" w:rsidP="00E839E1">
            <w:pPr>
              <w:spacing w:after="120" w:line="480" w:lineRule="auto"/>
              <w:jc w:val="center"/>
              <w:rPr>
                <w:rFonts w:ascii="Times New Roman" w:hAnsi="Times New Roman" w:cs="Times New Roman"/>
                <w:bCs/>
              </w:rPr>
            </w:pPr>
            <w:r w:rsidRPr="000A2E75">
              <w:rPr>
                <w:rFonts w:ascii="Times New Roman" w:hAnsi="Times New Roman" w:cs="Times New Roman"/>
                <w:bCs/>
              </w:rPr>
              <w:t>108 (18,8)</w:t>
            </w:r>
          </w:p>
        </w:tc>
        <w:tc>
          <w:tcPr>
            <w:tcW w:w="1412" w:type="dxa"/>
          </w:tcPr>
          <w:p w14:paraId="66AA7E02" w14:textId="77777777" w:rsidR="00E839E1" w:rsidRPr="000A2E75" w:rsidRDefault="00E839E1" w:rsidP="00E839E1">
            <w:pPr>
              <w:spacing w:after="120" w:line="480" w:lineRule="auto"/>
              <w:jc w:val="center"/>
              <w:rPr>
                <w:rFonts w:ascii="Times New Roman" w:hAnsi="Times New Roman" w:cs="Times New Roman"/>
                <w:bCs/>
              </w:rPr>
            </w:pPr>
            <w:r w:rsidRPr="000A2E75">
              <w:rPr>
                <w:rFonts w:ascii="Times New Roman" w:hAnsi="Times New Roman" w:cs="Times New Roman"/>
                <w:bCs/>
              </w:rPr>
              <w:t>351 (61,3)</w:t>
            </w:r>
          </w:p>
        </w:tc>
      </w:tr>
      <w:tr w:rsidR="00E839E1" w:rsidRPr="000A2E75" w14:paraId="7B066A76" w14:textId="77777777" w:rsidTr="00E839E1">
        <w:tc>
          <w:tcPr>
            <w:tcW w:w="4531" w:type="dxa"/>
          </w:tcPr>
          <w:p w14:paraId="5FA6E5E4" w14:textId="77777777" w:rsidR="00E839E1" w:rsidRPr="000A2E75" w:rsidRDefault="00E839E1" w:rsidP="00E839E1">
            <w:pPr>
              <w:shd w:val="clear" w:color="auto" w:fill="F8F9FA"/>
              <w:spacing w:line="300" w:lineRule="atLeast"/>
              <w:textAlignment w:val="center"/>
              <w:rPr>
                <w:rFonts w:ascii="Times New Roman" w:hAnsi="Times New Roman" w:cs="Times New Roman"/>
                <w:color w:val="202124"/>
                <w:spacing w:val="3"/>
              </w:rPr>
            </w:pPr>
            <w:r w:rsidRPr="000A2E75">
              <w:rPr>
                <w:rFonts w:ascii="Times New Roman" w:hAnsi="Times New Roman" w:cs="Times New Roman"/>
                <w:color w:val="202124"/>
                <w:spacing w:val="3"/>
              </w:rPr>
              <w:t>Distance learning does not motivate students enough to follow the lesson.</w:t>
            </w:r>
          </w:p>
        </w:tc>
        <w:tc>
          <w:tcPr>
            <w:tcW w:w="1560" w:type="dxa"/>
          </w:tcPr>
          <w:p w14:paraId="20CE33A5" w14:textId="77777777" w:rsidR="00E839E1" w:rsidRPr="000A2E75" w:rsidRDefault="00E839E1" w:rsidP="00E839E1">
            <w:pPr>
              <w:spacing w:after="120" w:line="480" w:lineRule="auto"/>
              <w:jc w:val="center"/>
              <w:rPr>
                <w:rFonts w:ascii="Times New Roman" w:hAnsi="Times New Roman" w:cs="Times New Roman"/>
                <w:bCs/>
              </w:rPr>
            </w:pPr>
            <w:r w:rsidRPr="000A2E75">
              <w:rPr>
                <w:rFonts w:ascii="Times New Roman" w:hAnsi="Times New Roman" w:cs="Times New Roman"/>
                <w:bCs/>
              </w:rPr>
              <w:t>440 (76,8)</w:t>
            </w:r>
          </w:p>
        </w:tc>
        <w:tc>
          <w:tcPr>
            <w:tcW w:w="1559" w:type="dxa"/>
          </w:tcPr>
          <w:p w14:paraId="21A01649" w14:textId="77777777" w:rsidR="00E839E1" w:rsidRPr="000A2E75" w:rsidRDefault="00E839E1" w:rsidP="00E839E1">
            <w:pPr>
              <w:spacing w:after="120" w:line="480" w:lineRule="auto"/>
              <w:jc w:val="center"/>
              <w:rPr>
                <w:rFonts w:ascii="Times New Roman" w:hAnsi="Times New Roman" w:cs="Times New Roman"/>
                <w:bCs/>
              </w:rPr>
            </w:pPr>
            <w:r w:rsidRPr="000A2E75">
              <w:rPr>
                <w:rFonts w:ascii="Times New Roman" w:hAnsi="Times New Roman" w:cs="Times New Roman"/>
                <w:bCs/>
              </w:rPr>
              <w:t>78 (13,6)</w:t>
            </w:r>
          </w:p>
        </w:tc>
        <w:tc>
          <w:tcPr>
            <w:tcW w:w="1412" w:type="dxa"/>
          </w:tcPr>
          <w:p w14:paraId="1583C417" w14:textId="77777777" w:rsidR="00E839E1" w:rsidRPr="000A2E75" w:rsidRDefault="00E839E1" w:rsidP="00E839E1">
            <w:pPr>
              <w:spacing w:after="120" w:line="480" w:lineRule="auto"/>
              <w:jc w:val="center"/>
              <w:rPr>
                <w:rFonts w:ascii="Times New Roman" w:hAnsi="Times New Roman" w:cs="Times New Roman"/>
                <w:bCs/>
              </w:rPr>
            </w:pPr>
            <w:r w:rsidRPr="000A2E75">
              <w:rPr>
                <w:rFonts w:ascii="Times New Roman" w:hAnsi="Times New Roman" w:cs="Times New Roman"/>
                <w:bCs/>
              </w:rPr>
              <w:t>55 (9,6)</w:t>
            </w:r>
          </w:p>
        </w:tc>
      </w:tr>
      <w:tr w:rsidR="00E839E1" w:rsidRPr="000A2E75" w14:paraId="58AF502B" w14:textId="77777777" w:rsidTr="00E839E1">
        <w:tc>
          <w:tcPr>
            <w:tcW w:w="4531" w:type="dxa"/>
          </w:tcPr>
          <w:p w14:paraId="402F3557" w14:textId="77777777" w:rsidR="00E839E1" w:rsidRPr="000A2E75" w:rsidRDefault="00E839E1" w:rsidP="00E839E1">
            <w:pPr>
              <w:shd w:val="clear" w:color="auto" w:fill="F8F9FA"/>
              <w:spacing w:line="300" w:lineRule="atLeast"/>
              <w:textAlignment w:val="center"/>
              <w:rPr>
                <w:rFonts w:ascii="Times New Roman" w:hAnsi="Times New Roman" w:cs="Times New Roman"/>
                <w:color w:val="202124"/>
                <w:spacing w:val="3"/>
              </w:rPr>
            </w:pPr>
            <w:r w:rsidRPr="000A2E75">
              <w:rPr>
                <w:rFonts w:ascii="Times New Roman" w:hAnsi="Times New Roman" w:cs="Times New Roman"/>
                <w:color w:val="202124"/>
                <w:spacing w:val="3"/>
              </w:rPr>
              <w:t>Repeated use of educational material in distance education is advantageous for the student.</w:t>
            </w:r>
          </w:p>
        </w:tc>
        <w:tc>
          <w:tcPr>
            <w:tcW w:w="1560" w:type="dxa"/>
          </w:tcPr>
          <w:p w14:paraId="6E1E29D6" w14:textId="77777777" w:rsidR="00E839E1" w:rsidRPr="000A2E75" w:rsidRDefault="00E839E1" w:rsidP="00E839E1">
            <w:pPr>
              <w:spacing w:after="120" w:line="480" w:lineRule="auto"/>
              <w:jc w:val="center"/>
              <w:rPr>
                <w:rFonts w:ascii="Times New Roman" w:hAnsi="Times New Roman" w:cs="Times New Roman"/>
                <w:bCs/>
              </w:rPr>
            </w:pPr>
            <w:r w:rsidRPr="000A2E75">
              <w:rPr>
                <w:rFonts w:ascii="Times New Roman" w:hAnsi="Times New Roman" w:cs="Times New Roman"/>
                <w:bCs/>
              </w:rPr>
              <w:t>408 (71,2)</w:t>
            </w:r>
          </w:p>
        </w:tc>
        <w:tc>
          <w:tcPr>
            <w:tcW w:w="1559" w:type="dxa"/>
          </w:tcPr>
          <w:p w14:paraId="1637F1C7" w14:textId="77777777" w:rsidR="00E839E1" w:rsidRPr="000A2E75" w:rsidRDefault="00E839E1" w:rsidP="00E839E1">
            <w:pPr>
              <w:spacing w:after="120" w:line="480" w:lineRule="auto"/>
              <w:jc w:val="center"/>
              <w:rPr>
                <w:rFonts w:ascii="Times New Roman" w:hAnsi="Times New Roman" w:cs="Times New Roman"/>
                <w:bCs/>
              </w:rPr>
            </w:pPr>
            <w:r w:rsidRPr="000A2E75">
              <w:rPr>
                <w:rFonts w:ascii="Times New Roman" w:hAnsi="Times New Roman" w:cs="Times New Roman"/>
                <w:bCs/>
              </w:rPr>
              <w:t>123 (21,5)</w:t>
            </w:r>
          </w:p>
        </w:tc>
        <w:tc>
          <w:tcPr>
            <w:tcW w:w="1412" w:type="dxa"/>
          </w:tcPr>
          <w:p w14:paraId="7B431CA8" w14:textId="77777777" w:rsidR="00E839E1" w:rsidRPr="000A2E75" w:rsidRDefault="00E839E1" w:rsidP="00E839E1">
            <w:pPr>
              <w:spacing w:after="120" w:line="480" w:lineRule="auto"/>
              <w:jc w:val="center"/>
              <w:rPr>
                <w:rFonts w:ascii="Times New Roman" w:hAnsi="Times New Roman" w:cs="Times New Roman"/>
                <w:bCs/>
              </w:rPr>
            </w:pPr>
            <w:r w:rsidRPr="000A2E75">
              <w:rPr>
                <w:rFonts w:ascii="Times New Roman" w:hAnsi="Times New Roman" w:cs="Times New Roman"/>
                <w:bCs/>
              </w:rPr>
              <w:t>42 (7,3)</w:t>
            </w:r>
          </w:p>
        </w:tc>
      </w:tr>
      <w:tr w:rsidR="00E839E1" w:rsidRPr="000A2E75" w14:paraId="74EDB09B" w14:textId="77777777" w:rsidTr="00E839E1">
        <w:tc>
          <w:tcPr>
            <w:tcW w:w="4531" w:type="dxa"/>
          </w:tcPr>
          <w:p w14:paraId="58A35444" w14:textId="77777777" w:rsidR="00E839E1" w:rsidRPr="000A2E75" w:rsidRDefault="00E839E1" w:rsidP="00E839E1">
            <w:pPr>
              <w:shd w:val="clear" w:color="auto" w:fill="F8F9FA"/>
              <w:spacing w:line="300" w:lineRule="atLeast"/>
              <w:textAlignment w:val="center"/>
              <w:rPr>
                <w:rFonts w:ascii="Times New Roman" w:hAnsi="Times New Roman" w:cs="Times New Roman"/>
                <w:color w:val="202124"/>
                <w:spacing w:val="3"/>
              </w:rPr>
            </w:pPr>
            <w:r w:rsidRPr="000A2E75">
              <w:rPr>
                <w:rFonts w:ascii="Times New Roman" w:hAnsi="Times New Roman" w:cs="Times New Roman"/>
                <w:color w:val="202124"/>
                <w:spacing w:val="3"/>
              </w:rPr>
              <w:t>Reduces the need for an educator in the medium term, as the educational material can be used repeatedly in distance education.</w:t>
            </w:r>
          </w:p>
        </w:tc>
        <w:tc>
          <w:tcPr>
            <w:tcW w:w="1560" w:type="dxa"/>
          </w:tcPr>
          <w:p w14:paraId="0CE49BF5" w14:textId="77777777" w:rsidR="00E839E1" w:rsidRPr="000A2E75" w:rsidRDefault="00E839E1" w:rsidP="00E839E1">
            <w:pPr>
              <w:spacing w:after="120" w:line="480" w:lineRule="auto"/>
              <w:jc w:val="center"/>
              <w:rPr>
                <w:rFonts w:ascii="Times New Roman" w:hAnsi="Times New Roman" w:cs="Times New Roman"/>
                <w:bCs/>
              </w:rPr>
            </w:pPr>
            <w:r w:rsidRPr="000A2E75">
              <w:rPr>
                <w:rFonts w:ascii="Times New Roman" w:hAnsi="Times New Roman" w:cs="Times New Roman"/>
                <w:bCs/>
              </w:rPr>
              <w:t>188 (32,8)</w:t>
            </w:r>
          </w:p>
        </w:tc>
        <w:tc>
          <w:tcPr>
            <w:tcW w:w="1559" w:type="dxa"/>
          </w:tcPr>
          <w:p w14:paraId="393FC505" w14:textId="77777777" w:rsidR="00E839E1" w:rsidRPr="000A2E75" w:rsidRDefault="00E839E1" w:rsidP="00E839E1">
            <w:pPr>
              <w:spacing w:after="120" w:line="480" w:lineRule="auto"/>
              <w:jc w:val="center"/>
              <w:rPr>
                <w:rFonts w:ascii="Times New Roman" w:hAnsi="Times New Roman" w:cs="Times New Roman"/>
                <w:bCs/>
              </w:rPr>
            </w:pPr>
            <w:r w:rsidRPr="000A2E75">
              <w:rPr>
                <w:rFonts w:ascii="Times New Roman" w:hAnsi="Times New Roman" w:cs="Times New Roman"/>
                <w:bCs/>
              </w:rPr>
              <w:t>175 (30,5)</w:t>
            </w:r>
          </w:p>
        </w:tc>
        <w:tc>
          <w:tcPr>
            <w:tcW w:w="1412" w:type="dxa"/>
          </w:tcPr>
          <w:p w14:paraId="5E762170" w14:textId="77777777" w:rsidR="00E839E1" w:rsidRPr="000A2E75" w:rsidRDefault="00E839E1" w:rsidP="00E839E1">
            <w:pPr>
              <w:spacing w:after="120" w:line="480" w:lineRule="auto"/>
              <w:jc w:val="center"/>
              <w:rPr>
                <w:rFonts w:ascii="Times New Roman" w:hAnsi="Times New Roman" w:cs="Times New Roman"/>
                <w:bCs/>
              </w:rPr>
            </w:pPr>
            <w:r w:rsidRPr="000A2E75">
              <w:rPr>
                <w:rFonts w:ascii="Times New Roman" w:hAnsi="Times New Roman" w:cs="Times New Roman"/>
                <w:bCs/>
              </w:rPr>
              <w:t>210 (36,6)</w:t>
            </w:r>
          </w:p>
        </w:tc>
      </w:tr>
      <w:tr w:rsidR="00E839E1" w:rsidRPr="000A2E75" w14:paraId="54F3BFCD" w14:textId="77777777" w:rsidTr="00E839E1">
        <w:tc>
          <w:tcPr>
            <w:tcW w:w="4531" w:type="dxa"/>
          </w:tcPr>
          <w:p w14:paraId="5D9D323A" w14:textId="77777777" w:rsidR="00E839E1" w:rsidRPr="000A2E75" w:rsidRDefault="00E839E1" w:rsidP="00E839E1">
            <w:pPr>
              <w:shd w:val="clear" w:color="auto" w:fill="F8F9FA"/>
              <w:spacing w:line="300" w:lineRule="atLeast"/>
              <w:textAlignment w:val="center"/>
              <w:rPr>
                <w:rFonts w:ascii="Times New Roman" w:hAnsi="Times New Roman" w:cs="Times New Roman"/>
                <w:color w:val="202124"/>
                <w:spacing w:val="3"/>
              </w:rPr>
            </w:pPr>
            <w:r w:rsidRPr="000A2E75">
              <w:rPr>
                <w:rFonts w:ascii="Times New Roman" w:hAnsi="Times New Roman" w:cs="Times New Roman"/>
                <w:color w:val="202124"/>
                <w:spacing w:val="3"/>
              </w:rPr>
              <w:t>Distance learning reduces the motivation of the student to listen to the lecture.</w:t>
            </w:r>
          </w:p>
        </w:tc>
        <w:tc>
          <w:tcPr>
            <w:tcW w:w="1560" w:type="dxa"/>
          </w:tcPr>
          <w:p w14:paraId="729CC817" w14:textId="77777777" w:rsidR="00E839E1" w:rsidRPr="000A2E75" w:rsidRDefault="00E839E1" w:rsidP="00E839E1">
            <w:pPr>
              <w:spacing w:after="120" w:line="480" w:lineRule="auto"/>
              <w:jc w:val="center"/>
              <w:rPr>
                <w:rFonts w:ascii="Times New Roman" w:hAnsi="Times New Roman" w:cs="Times New Roman"/>
                <w:bCs/>
              </w:rPr>
            </w:pPr>
            <w:r w:rsidRPr="000A2E75">
              <w:rPr>
                <w:rFonts w:ascii="Times New Roman" w:hAnsi="Times New Roman" w:cs="Times New Roman"/>
                <w:bCs/>
              </w:rPr>
              <w:t>427 (74,5)</w:t>
            </w:r>
          </w:p>
        </w:tc>
        <w:tc>
          <w:tcPr>
            <w:tcW w:w="1559" w:type="dxa"/>
          </w:tcPr>
          <w:p w14:paraId="03B4FF37" w14:textId="77777777" w:rsidR="00E839E1" w:rsidRPr="000A2E75" w:rsidRDefault="00E839E1" w:rsidP="00E839E1">
            <w:pPr>
              <w:spacing w:after="120" w:line="480" w:lineRule="auto"/>
              <w:jc w:val="center"/>
              <w:rPr>
                <w:rFonts w:ascii="Times New Roman" w:hAnsi="Times New Roman" w:cs="Times New Roman"/>
                <w:bCs/>
              </w:rPr>
            </w:pPr>
            <w:r w:rsidRPr="000A2E75">
              <w:rPr>
                <w:rFonts w:ascii="Times New Roman" w:hAnsi="Times New Roman" w:cs="Times New Roman"/>
                <w:bCs/>
              </w:rPr>
              <w:t>78 (13,6)</w:t>
            </w:r>
          </w:p>
        </w:tc>
        <w:tc>
          <w:tcPr>
            <w:tcW w:w="1412" w:type="dxa"/>
          </w:tcPr>
          <w:p w14:paraId="51AF80F9" w14:textId="77777777" w:rsidR="00E839E1" w:rsidRPr="000A2E75" w:rsidRDefault="00E839E1" w:rsidP="00E839E1">
            <w:pPr>
              <w:spacing w:after="120" w:line="480" w:lineRule="auto"/>
              <w:jc w:val="center"/>
              <w:rPr>
                <w:rFonts w:ascii="Times New Roman" w:hAnsi="Times New Roman" w:cs="Times New Roman"/>
                <w:bCs/>
              </w:rPr>
            </w:pPr>
            <w:r w:rsidRPr="000A2E75">
              <w:rPr>
                <w:rFonts w:ascii="Times New Roman" w:hAnsi="Times New Roman" w:cs="Times New Roman"/>
                <w:bCs/>
              </w:rPr>
              <w:t>68 (11,9)</w:t>
            </w:r>
          </w:p>
        </w:tc>
      </w:tr>
      <w:tr w:rsidR="00E839E1" w:rsidRPr="000A2E75" w14:paraId="2A4D6FAA" w14:textId="77777777" w:rsidTr="00E839E1">
        <w:tc>
          <w:tcPr>
            <w:tcW w:w="4531" w:type="dxa"/>
          </w:tcPr>
          <w:p w14:paraId="2611F22B" w14:textId="77777777" w:rsidR="00E839E1" w:rsidRPr="000A2E75" w:rsidRDefault="00E839E1" w:rsidP="00E839E1">
            <w:pPr>
              <w:shd w:val="clear" w:color="auto" w:fill="F8F9FA"/>
              <w:spacing w:line="300" w:lineRule="atLeast"/>
              <w:textAlignment w:val="center"/>
              <w:rPr>
                <w:rFonts w:ascii="Times New Roman" w:hAnsi="Times New Roman" w:cs="Times New Roman"/>
                <w:color w:val="202124"/>
                <w:spacing w:val="3"/>
              </w:rPr>
            </w:pPr>
            <w:r w:rsidRPr="000A2E75">
              <w:rPr>
                <w:rFonts w:ascii="Times New Roman" w:hAnsi="Times New Roman" w:cs="Times New Roman"/>
                <w:color w:val="202124"/>
                <w:spacing w:val="3"/>
              </w:rPr>
              <w:t>Distance education provides a great cost advantage as it eliminates space and related expenses.</w:t>
            </w:r>
          </w:p>
        </w:tc>
        <w:tc>
          <w:tcPr>
            <w:tcW w:w="1560" w:type="dxa"/>
          </w:tcPr>
          <w:p w14:paraId="1984152B" w14:textId="77777777" w:rsidR="00E839E1" w:rsidRPr="000A2E75" w:rsidRDefault="00E839E1" w:rsidP="00E839E1">
            <w:pPr>
              <w:spacing w:after="120" w:line="480" w:lineRule="auto"/>
              <w:jc w:val="center"/>
              <w:rPr>
                <w:rFonts w:ascii="Times New Roman" w:hAnsi="Times New Roman" w:cs="Times New Roman"/>
                <w:bCs/>
              </w:rPr>
            </w:pPr>
            <w:r w:rsidRPr="000A2E75">
              <w:rPr>
                <w:rFonts w:ascii="Times New Roman" w:hAnsi="Times New Roman" w:cs="Times New Roman"/>
                <w:bCs/>
              </w:rPr>
              <w:t>64 (11,2)</w:t>
            </w:r>
          </w:p>
        </w:tc>
        <w:tc>
          <w:tcPr>
            <w:tcW w:w="1559" w:type="dxa"/>
          </w:tcPr>
          <w:p w14:paraId="7B2CD946" w14:textId="77777777" w:rsidR="00E839E1" w:rsidRPr="000A2E75" w:rsidRDefault="00E839E1" w:rsidP="00E839E1">
            <w:pPr>
              <w:spacing w:after="120" w:line="480" w:lineRule="auto"/>
              <w:jc w:val="center"/>
              <w:rPr>
                <w:rFonts w:ascii="Times New Roman" w:hAnsi="Times New Roman" w:cs="Times New Roman"/>
                <w:bCs/>
              </w:rPr>
            </w:pPr>
            <w:r w:rsidRPr="000A2E75">
              <w:rPr>
                <w:rFonts w:ascii="Times New Roman" w:hAnsi="Times New Roman" w:cs="Times New Roman"/>
                <w:bCs/>
              </w:rPr>
              <w:t>113 (19,7)</w:t>
            </w:r>
          </w:p>
        </w:tc>
        <w:tc>
          <w:tcPr>
            <w:tcW w:w="1412" w:type="dxa"/>
          </w:tcPr>
          <w:p w14:paraId="02985DA7" w14:textId="77777777" w:rsidR="00E839E1" w:rsidRPr="000A2E75" w:rsidRDefault="00E839E1" w:rsidP="00E839E1">
            <w:pPr>
              <w:spacing w:after="120" w:line="480" w:lineRule="auto"/>
              <w:jc w:val="center"/>
              <w:rPr>
                <w:rFonts w:ascii="Times New Roman" w:hAnsi="Times New Roman" w:cs="Times New Roman"/>
                <w:bCs/>
              </w:rPr>
            </w:pPr>
            <w:r w:rsidRPr="000A2E75">
              <w:rPr>
                <w:rFonts w:ascii="Times New Roman" w:hAnsi="Times New Roman" w:cs="Times New Roman"/>
                <w:bCs/>
              </w:rPr>
              <w:t>396 (69,1)</w:t>
            </w:r>
          </w:p>
        </w:tc>
      </w:tr>
      <w:tr w:rsidR="00E839E1" w:rsidRPr="000A2E75" w14:paraId="683BC4D5" w14:textId="77777777" w:rsidTr="00E839E1">
        <w:tc>
          <w:tcPr>
            <w:tcW w:w="4531" w:type="dxa"/>
          </w:tcPr>
          <w:p w14:paraId="77C195BD" w14:textId="77777777" w:rsidR="00E839E1" w:rsidRPr="000A2E75" w:rsidRDefault="00E839E1" w:rsidP="00E839E1">
            <w:pPr>
              <w:shd w:val="clear" w:color="auto" w:fill="F8F9FA"/>
              <w:spacing w:line="300" w:lineRule="atLeast"/>
              <w:textAlignment w:val="center"/>
              <w:rPr>
                <w:rFonts w:ascii="Times New Roman" w:hAnsi="Times New Roman" w:cs="Times New Roman"/>
                <w:color w:val="202124"/>
                <w:spacing w:val="3"/>
              </w:rPr>
            </w:pPr>
            <w:r w:rsidRPr="000A2E75">
              <w:rPr>
                <w:rFonts w:ascii="Times New Roman" w:hAnsi="Times New Roman" w:cs="Times New Roman"/>
                <w:color w:val="202124"/>
                <w:spacing w:val="3"/>
              </w:rPr>
              <w:t>While distance learning offers advantages, it cannot be a better alternative than face-to-face education.</w:t>
            </w:r>
          </w:p>
        </w:tc>
        <w:tc>
          <w:tcPr>
            <w:tcW w:w="1560" w:type="dxa"/>
          </w:tcPr>
          <w:p w14:paraId="589A615B" w14:textId="77777777" w:rsidR="00E839E1" w:rsidRPr="000A2E75" w:rsidRDefault="00E839E1" w:rsidP="00E839E1">
            <w:pPr>
              <w:spacing w:after="120" w:line="480" w:lineRule="auto"/>
              <w:jc w:val="center"/>
              <w:rPr>
                <w:rFonts w:ascii="Times New Roman" w:hAnsi="Times New Roman" w:cs="Times New Roman"/>
                <w:bCs/>
              </w:rPr>
            </w:pPr>
            <w:r w:rsidRPr="000A2E75">
              <w:rPr>
                <w:rFonts w:ascii="Times New Roman" w:hAnsi="Times New Roman" w:cs="Times New Roman"/>
                <w:bCs/>
              </w:rPr>
              <w:t>485 (84,6)</w:t>
            </w:r>
          </w:p>
        </w:tc>
        <w:tc>
          <w:tcPr>
            <w:tcW w:w="1559" w:type="dxa"/>
          </w:tcPr>
          <w:p w14:paraId="3595B6E7" w14:textId="77777777" w:rsidR="00E839E1" w:rsidRPr="000A2E75" w:rsidRDefault="00E839E1" w:rsidP="00E839E1">
            <w:pPr>
              <w:spacing w:after="120" w:line="480" w:lineRule="auto"/>
              <w:jc w:val="center"/>
              <w:rPr>
                <w:rFonts w:ascii="Times New Roman" w:hAnsi="Times New Roman" w:cs="Times New Roman"/>
                <w:bCs/>
              </w:rPr>
            </w:pPr>
            <w:r w:rsidRPr="000A2E75">
              <w:rPr>
                <w:rFonts w:ascii="Times New Roman" w:hAnsi="Times New Roman" w:cs="Times New Roman"/>
                <w:bCs/>
              </w:rPr>
              <w:t>64 (11,2)</w:t>
            </w:r>
          </w:p>
        </w:tc>
        <w:tc>
          <w:tcPr>
            <w:tcW w:w="1412" w:type="dxa"/>
          </w:tcPr>
          <w:p w14:paraId="4B968366" w14:textId="77777777" w:rsidR="00E839E1" w:rsidRPr="000A2E75" w:rsidRDefault="00E839E1" w:rsidP="00E839E1">
            <w:pPr>
              <w:spacing w:after="120" w:line="480" w:lineRule="auto"/>
              <w:jc w:val="center"/>
              <w:rPr>
                <w:rFonts w:ascii="Times New Roman" w:hAnsi="Times New Roman" w:cs="Times New Roman"/>
                <w:bCs/>
              </w:rPr>
            </w:pPr>
            <w:r w:rsidRPr="000A2E75">
              <w:rPr>
                <w:rFonts w:ascii="Times New Roman" w:hAnsi="Times New Roman" w:cs="Times New Roman"/>
                <w:bCs/>
              </w:rPr>
              <w:t>24 (4,2)</w:t>
            </w:r>
          </w:p>
        </w:tc>
      </w:tr>
      <w:tr w:rsidR="00E839E1" w:rsidRPr="000A2E75" w14:paraId="0223625A" w14:textId="77777777" w:rsidTr="00E839E1">
        <w:tc>
          <w:tcPr>
            <w:tcW w:w="4531" w:type="dxa"/>
          </w:tcPr>
          <w:p w14:paraId="57FB04FB" w14:textId="77777777" w:rsidR="00E839E1" w:rsidRPr="000A2E75" w:rsidRDefault="00E839E1" w:rsidP="00E839E1">
            <w:pPr>
              <w:shd w:val="clear" w:color="auto" w:fill="F8F9FA"/>
              <w:spacing w:line="300" w:lineRule="atLeast"/>
              <w:textAlignment w:val="center"/>
              <w:rPr>
                <w:rFonts w:ascii="Times New Roman" w:hAnsi="Times New Roman" w:cs="Times New Roman"/>
                <w:color w:val="202124"/>
                <w:spacing w:val="3"/>
              </w:rPr>
            </w:pPr>
            <w:r w:rsidRPr="000A2E75">
              <w:rPr>
                <w:rFonts w:ascii="Times New Roman" w:hAnsi="Times New Roman" w:cs="Times New Roman"/>
                <w:color w:val="202124"/>
                <w:spacing w:val="3"/>
              </w:rPr>
              <w:t>The reliability of measurement and evaluation activities in distance education is low.</w:t>
            </w:r>
          </w:p>
        </w:tc>
        <w:tc>
          <w:tcPr>
            <w:tcW w:w="1560" w:type="dxa"/>
          </w:tcPr>
          <w:p w14:paraId="53FAF6B6" w14:textId="77777777" w:rsidR="00E839E1" w:rsidRPr="000A2E75" w:rsidRDefault="00E839E1" w:rsidP="00E839E1">
            <w:pPr>
              <w:spacing w:after="120" w:line="480" w:lineRule="auto"/>
              <w:jc w:val="center"/>
              <w:rPr>
                <w:rFonts w:ascii="Times New Roman" w:hAnsi="Times New Roman" w:cs="Times New Roman"/>
                <w:bCs/>
              </w:rPr>
            </w:pPr>
            <w:r w:rsidRPr="000A2E75">
              <w:rPr>
                <w:rFonts w:ascii="Times New Roman" w:hAnsi="Times New Roman" w:cs="Times New Roman"/>
                <w:bCs/>
              </w:rPr>
              <w:t>326 (56,9)</w:t>
            </w:r>
          </w:p>
        </w:tc>
        <w:tc>
          <w:tcPr>
            <w:tcW w:w="1559" w:type="dxa"/>
          </w:tcPr>
          <w:p w14:paraId="5DD782AD" w14:textId="77777777" w:rsidR="00E839E1" w:rsidRPr="000A2E75" w:rsidRDefault="00E839E1" w:rsidP="00E839E1">
            <w:pPr>
              <w:spacing w:after="120" w:line="480" w:lineRule="auto"/>
              <w:jc w:val="center"/>
              <w:rPr>
                <w:rFonts w:ascii="Times New Roman" w:hAnsi="Times New Roman" w:cs="Times New Roman"/>
                <w:bCs/>
              </w:rPr>
            </w:pPr>
            <w:r w:rsidRPr="000A2E75">
              <w:rPr>
                <w:rFonts w:ascii="Times New Roman" w:hAnsi="Times New Roman" w:cs="Times New Roman"/>
                <w:bCs/>
              </w:rPr>
              <w:t>177 (30,9)</w:t>
            </w:r>
          </w:p>
        </w:tc>
        <w:tc>
          <w:tcPr>
            <w:tcW w:w="1412" w:type="dxa"/>
          </w:tcPr>
          <w:p w14:paraId="2FBD0988" w14:textId="77777777" w:rsidR="00E839E1" w:rsidRPr="000A2E75" w:rsidRDefault="00E839E1" w:rsidP="00E839E1">
            <w:pPr>
              <w:spacing w:after="120" w:line="480" w:lineRule="auto"/>
              <w:jc w:val="center"/>
              <w:rPr>
                <w:rFonts w:ascii="Times New Roman" w:hAnsi="Times New Roman" w:cs="Times New Roman"/>
                <w:bCs/>
              </w:rPr>
            </w:pPr>
            <w:r w:rsidRPr="000A2E75">
              <w:rPr>
                <w:rFonts w:ascii="Times New Roman" w:hAnsi="Times New Roman" w:cs="Times New Roman"/>
                <w:bCs/>
              </w:rPr>
              <w:t>70 (12,2)</w:t>
            </w:r>
          </w:p>
        </w:tc>
      </w:tr>
    </w:tbl>
    <w:p w14:paraId="2280D629" w14:textId="77777777" w:rsidR="00E839E1" w:rsidRPr="000A2E75" w:rsidRDefault="00E839E1" w:rsidP="00E839E1">
      <w:pPr>
        <w:spacing w:after="120" w:line="360" w:lineRule="auto"/>
        <w:jc w:val="both"/>
        <w:rPr>
          <w:rFonts w:ascii="Times New Roman" w:hAnsi="Times New Roman" w:cs="Times New Roman"/>
        </w:rPr>
      </w:pPr>
    </w:p>
    <w:p w14:paraId="43A4B6F7" w14:textId="77777777" w:rsidR="00E839E1" w:rsidRPr="000A2E75" w:rsidRDefault="00E839E1" w:rsidP="00E839E1">
      <w:pPr>
        <w:spacing w:after="120" w:line="360" w:lineRule="auto"/>
        <w:jc w:val="both"/>
        <w:rPr>
          <w:rFonts w:ascii="Times New Roman" w:hAnsi="Times New Roman" w:cs="Times New Roman"/>
        </w:rPr>
      </w:pPr>
      <w:r w:rsidRPr="000A2E75">
        <w:rPr>
          <w:rFonts w:ascii="Times New Roman" w:hAnsi="Times New Roman" w:cs="Times New Roman"/>
        </w:rPr>
        <w:t xml:space="preserve">According to the analysis results of undergraduate students' perceptions of distance education in Table 5, it is seen that they do not agree with the statement </w:t>
      </w:r>
      <w:r w:rsidRPr="000A2E75">
        <w:rPr>
          <w:rFonts w:ascii="Times New Roman" w:hAnsi="Times New Roman" w:cs="Times New Roman"/>
          <w:b/>
        </w:rPr>
        <w:t>"Distance education is more effective than face-to-face teaching, since the learning time and speed are determined by the student."</w:t>
      </w:r>
      <w:r w:rsidRPr="000A2E75">
        <w:rPr>
          <w:rFonts w:ascii="Times New Roman" w:hAnsi="Times New Roman" w:cs="Times New Roman"/>
        </w:rPr>
        <w:t xml:space="preserve"> According to the results of the research, the participants mostly agreed with the statements </w:t>
      </w:r>
      <w:r w:rsidRPr="000A2E75">
        <w:rPr>
          <w:rFonts w:ascii="Times New Roman" w:hAnsi="Times New Roman" w:cs="Times New Roman"/>
          <w:b/>
        </w:rPr>
        <w:t xml:space="preserve">"Distance education does not motivate students to follow the lesson" </w:t>
      </w:r>
      <w:r w:rsidRPr="000A2E75">
        <w:rPr>
          <w:rFonts w:ascii="Times New Roman" w:hAnsi="Times New Roman" w:cs="Times New Roman"/>
        </w:rPr>
        <w:t xml:space="preserve">and </w:t>
      </w:r>
      <w:r w:rsidRPr="000A2E75">
        <w:rPr>
          <w:rFonts w:ascii="Times New Roman" w:hAnsi="Times New Roman" w:cs="Times New Roman"/>
          <w:b/>
        </w:rPr>
        <w:t xml:space="preserve">"Distance education decreases the motivation of the student to listen to the lesson". </w:t>
      </w:r>
      <w:r w:rsidRPr="000A2E75">
        <w:rPr>
          <w:rFonts w:ascii="Times New Roman" w:hAnsi="Times New Roman" w:cs="Times New Roman"/>
        </w:rPr>
        <w:t xml:space="preserve">The students especially stated that they remained passive when </w:t>
      </w:r>
      <w:r w:rsidRPr="000A2E75">
        <w:rPr>
          <w:rFonts w:ascii="Times New Roman" w:hAnsi="Times New Roman" w:cs="Times New Roman"/>
        </w:rPr>
        <w:lastRenderedPageBreak/>
        <w:t xml:space="preserve">they listened to the lecture by looking at the screen, they could not express themselves sufficiently and that they decreased their motivation because they could not get enough feedback from the teachers. Table 5 shows that </w:t>
      </w:r>
      <w:r w:rsidRPr="000A2E75">
        <w:rPr>
          <w:rFonts w:ascii="Times New Roman" w:hAnsi="Times New Roman" w:cs="Times New Roman"/>
          <w:b/>
        </w:rPr>
        <w:t>“the most advantageous aspect of distance education is the repeated use of educational materials”</w:t>
      </w:r>
      <w:r w:rsidRPr="000A2E75">
        <w:rPr>
          <w:rFonts w:ascii="Times New Roman" w:hAnsi="Times New Roman" w:cs="Times New Roman"/>
        </w:rPr>
        <w:t xml:space="preserve">. However, according to the participants, this advantage </w:t>
      </w:r>
      <w:r w:rsidRPr="000A2E75">
        <w:rPr>
          <w:rFonts w:ascii="Times New Roman" w:hAnsi="Times New Roman" w:cs="Times New Roman"/>
          <w:b/>
        </w:rPr>
        <w:t>"will not reduce the need for educators."</w:t>
      </w:r>
      <w:r w:rsidRPr="000A2E75">
        <w:rPr>
          <w:rFonts w:ascii="Times New Roman" w:hAnsi="Times New Roman" w:cs="Times New Roman"/>
        </w:rPr>
        <w:t xml:space="preserve"> Although it seems that</w:t>
      </w:r>
      <w:r w:rsidRPr="000A2E75">
        <w:rPr>
          <w:rFonts w:ascii="Times New Roman" w:hAnsi="Times New Roman" w:cs="Times New Roman"/>
          <w:b/>
        </w:rPr>
        <w:t xml:space="preserve"> “distance education provides a great cost advantage as it eliminates space and related expenses” </w:t>
      </w:r>
      <w:r w:rsidRPr="000A2E75">
        <w:rPr>
          <w:rFonts w:ascii="Times New Roman" w:hAnsi="Times New Roman" w:cs="Times New Roman"/>
        </w:rPr>
        <w:t>at the beginning, the participants of the research stated that not everyone can have a distance education infrastructure such as computers, tablets and internet, and their completion may increase the actual cost. In the last statement on the distance education perceptions of the students, they stated that “</w:t>
      </w:r>
      <w:r w:rsidRPr="000A2E75">
        <w:rPr>
          <w:rFonts w:ascii="Times New Roman" w:hAnsi="Times New Roman" w:cs="Times New Roman"/>
          <w:b/>
        </w:rPr>
        <w:t>The reliability of measurement and evaluation activities in distance education is low”</w:t>
      </w:r>
      <w:r w:rsidRPr="000A2E75">
        <w:rPr>
          <w:rFonts w:ascii="Times New Roman" w:hAnsi="Times New Roman" w:cs="Times New Roman"/>
        </w:rPr>
        <w:t xml:space="preserve"> and that they think that especially the instructors cannot control the copy in exams.</w:t>
      </w:r>
    </w:p>
    <w:p w14:paraId="210C0AEF" w14:textId="77777777" w:rsidR="00E839E1" w:rsidRPr="000A2E75" w:rsidRDefault="00E839E1" w:rsidP="00E839E1">
      <w:pPr>
        <w:spacing w:after="120" w:line="360" w:lineRule="auto"/>
        <w:jc w:val="both"/>
        <w:rPr>
          <w:rFonts w:ascii="Times New Roman" w:hAnsi="Times New Roman" w:cs="Times New Roman"/>
          <w:b/>
        </w:rPr>
      </w:pPr>
      <w:r w:rsidRPr="000A2E75">
        <w:rPr>
          <w:rFonts w:ascii="Times New Roman" w:hAnsi="Times New Roman" w:cs="Times New Roman"/>
          <w:b/>
        </w:rPr>
        <w:t>Conclusion and Discussion</w:t>
      </w:r>
    </w:p>
    <w:p w14:paraId="660C2732"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According to the analysis results obtained in the study, it was determined that the financial and banking students' activities including daily life routines during the Covid-19 isolation process increased the most in personal care and hygiene as well as home hygiene. The emphasis on the importance of hygiene in reducing the spread of the Covid-19 virus, a deadly and rapidly spreading virus, has affected individuals to pay more attention to both their own hygiene and the hygiene of the place they live. The fact that the time spent daily on the internet is increasing, especially on social media, shows that people who are stuck in a single space, especially during quarantine days, adopt a new type of socialization. Young people expressed that they felt more secure in terms of meeting the need for socialization in virtual media in the new world order where the "culture of fear" was tried to be widespread, where the pressures of "Social Isolation" increased.</w:t>
      </w:r>
    </w:p>
    <w:p w14:paraId="7B48A817"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 xml:space="preserve">In the table containing the changes in students 'attitudes and behaviors during the Covid-19 pandemic isolation process, it is seen that students' interest in helping initiatives increased. Communities can create a synergy that brings individuals closer to each other, such as cooperation, solidarity, and cooperation to overcome the difficulties they have experienced. With the synergy they create, it will be possible for them to overcome the crisis processes successfully. During the pandemic process, it seems that the communication of the students with their family elders and neighbors has increased. It can be said that young people protect social values in order to hold on to life. Another situation experienced by the participating young people during the quarantine process is the increase in family disputes and discussions. Young people stated that they mostly had conflicts with their siblings. The reason for this increase may be the reaction of young people, especially in large social groups, because they feel as if they are trapped in a smaller group when they are locked at home. In addition, during the home isolation process, conflicts may have occurred as a result of the crises experienced by family members who have never stayed together in such a limited space before. One of the consequences of this chapter is the increased interest in religious, philosophical and spiritual issues regarding the meaning of life. The </w:t>
      </w:r>
      <w:r w:rsidRPr="000A2E75">
        <w:rPr>
          <w:rFonts w:ascii="Times New Roman" w:hAnsi="Times New Roman" w:cs="Times New Roman"/>
        </w:rPr>
        <w:lastRenderedPageBreak/>
        <w:t xml:space="preserve">importance of religious beliefs increases, especially in processes involving fear of death, and people prefer to attribute a spiritual meaning to everything that happens to them. Over time, this situation increases so much that it shows itself with attitudes such as believing everything they hear and attributing meaning to unreal events by weakening the judgment power of people. </w:t>
      </w:r>
    </w:p>
    <w:p w14:paraId="2D656F05"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The last part of the research includes the thoughts of the students about distance education. Education is the most important issue after health, in which not only our country but the world was caught unprepared for the Covid-19 epidemic. In this period, which started with the interruption of the activities of schools and there were still uncertainties, how and how to continue education was a controversial issue at the beginning, and distance education became a preferred way to continue education activities. After the introduction of distance education with the epidemic process, new possibilities for the transformation, future, management and techniques of the education system began to be discussed. The developments in technology and generational differences have actually opened the traditional education system to discussion for a while, but with the pandemic process, the implementation of new methods and techniques has accelerated. It will be very beneficial if space and time barriers are removed in accessing information. However, the insufficiency of digital infrastructure opportunities and the lack of technological equipment are important problems in adapting distance education to the education system.</w:t>
      </w:r>
    </w:p>
    <w:p w14:paraId="2760E59D"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In the results of the research, the participants stated that although the educational materials allow repeated use, they will not reduce the need for educators and face-to-face training is more effective. On the other hand, they stated that distance education reduces their motivation to follow the lesson and to listen. It can be said that this situation is due to the adaptation of the course content and techniques prepared in formal education to distance education and the failure to achieve it. In addition, the fact that the instructors did not have sufficient knowledge and equipment about digital education pushed the students into a passive position during the lesson, making them follower who cannot express themselves.</w:t>
      </w:r>
    </w:p>
    <w:p w14:paraId="4B5586DC" w14:textId="77777777" w:rsidR="00E839E1" w:rsidRPr="000A2E75" w:rsidRDefault="00E839E1" w:rsidP="00E839E1">
      <w:pPr>
        <w:rPr>
          <w:rFonts w:ascii="Times New Roman" w:hAnsi="Times New Roman" w:cs="Times New Roman"/>
          <w:b/>
        </w:rPr>
      </w:pPr>
      <w:r w:rsidRPr="000A2E75">
        <w:rPr>
          <w:rFonts w:ascii="Times New Roman" w:hAnsi="Times New Roman" w:cs="Times New Roman"/>
          <w:b/>
        </w:rPr>
        <w:t>Suggestions</w:t>
      </w:r>
    </w:p>
    <w:p w14:paraId="2B23830F"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In line with these results, the following recommendations have been made.</w:t>
      </w:r>
    </w:p>
    <w:p w14:paraId="0C67A7D3"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 It is thought that the availability of treatment opportunities for the Covid-19 virus will not only benefit the society in terms of physical but also psychological health.</w:t>
      </w:r>
    </w:p>
    <w:p w14:paraId="7F9E072A"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 With the improvements to be made in the content and philosophy of the courses, it can be ensured that students play a more active and participatory role in the lessons.</w:t>
      </w:r>
    </w:p>
    <w:p w14:paraId="6C85DB54"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 Distance education staff of education staff in all schools should be trained on distance education. It is recommended that trainers be given training on online lecturing and educational technology, transforming course contents into basic office applications such as ppt, pdf, doc, and preparing and enriching offline course materials.</w:t>
      </w:r>
    </w:p>
    <w:p w14:paraId="663C1621"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lastRenderedPageBreak/>
        <w:t>• Web design, in which student messages are conveyed to the educators and accelerates their response process, should be implemented.</w:t>
      </w:r>
    </w:p>
    <w:p w14:paraId="2A29F07E"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 Deficiencies of computers and other hardware used in distance education applications can be completed by the state or manufacturing companies.</w:t>
      </w:r>
    </w:p>
    <w:p w14:paraId="25FBD8F5"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 Internet provider operators can correct internet interruptions due to intensity by providing infrastructure support. Moreover, these operators should support distance education for the public good.</w:t>
      </w:r>
    </w:p>
    <w:p w14:paraId="49BEF7E9"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 The research was applied to Ankara Yıldırım Beyazıt University Finance and Banking Department students due to time and cost constraints. When the research was expanded sample applied in Turkey it is likely to increase the impact of research.</w:t>
      </w:r>
    </w:p>
    <w:p w14:paraId="1A7FE681" w14:textId="77777777" w:rsidR="00E839E1" w:rsidRPr="000A2E75" w:rsidRDefault="00E839E1" w:rsidP="00E839E1">
      <w:pPr>
        <w:rPr>
          <w:rFonts w:ascii="Times New Roman" w:hAnsi="Times New Roman" w:cs="Times New Roman"/>
        </w:rPr>
      </w:pPr>
      <w:r w:rsidRPr="000A2E75">
        <w:rPr>
          <w:rFonts w:ascii="Times New Roman" w:hAnsi="Times New Roman" w:cs="Times New Roman"/>
          <w:b/>
        </w:rPr>
        <w:t>REFERENCES</w:t>
      </w:r>
    </w:p>
    <w:p w14:paraId="37BAB5F6"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Aslan, R. (2020). Tarihten Günümüze Epidemiler, Pandemiler ve Covid-19. Ayrıntı Dergisi, 8(65), 35-41.</w:t>
      </w:r>
    </w:p>
    <w:p w14:paraId="10E362B4"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Bozkurt, A. (2017). Türkiye’de Uzaktan Eğitimin Dünü, Bugünü ve Yarını. AUAd, 3(2), 85-124.</w:t>
      </w:r>
    </w:p>
    <w:p w14:paraId="7E4E600A"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Budak, F. ve Korkmaz, Ş. (2020). COVID-19 Pandemi Sürecine Yönelik Genel Bir Değerlendirme: Türkiye Örneği. Sosyal Araştırmalar ve Yönetim Dergisi, (1), 62-79.</w:t>
      </w:r>
    </w:p>
    <w:p w14:paraId="1FC758DE"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 xml:space="preserve">Buluk, B. ve Eşitti, B. (2020). Koronavirüs (Covid-19) Sürecinde Uzaktan Eğitimin Turizm Lisans Öğrencileri Tarafından Değerlendirilmesi. Journal of Awareness, 5(3), 285-298. </w:t>
      </w:r>
    </w:p>
    <w:p w14:paraId="3DA91297"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Büyüköztürk, Ş. (2013). Veri Analizi El Kitabı. Ankara: Pegem Yayınları.</w:t>
      </w:r>
    </w:p>
    <w:p w14:paraId="1A3B11CF"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Deng, C. X. (2020). The Global Battle against SARS-CoV-2 and COVID- 19. Int J Biol Sci, 16 (10), 1676-1677.</w:t>
      </w:r>
    </w:p>
    <w:p w14:paraId="6726FBB4"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Giddens, A. (2010). Modernite ve Bireysel Kimlik, Geç Modern Çağda Benlik ve Toplum. İstanbul: Say Yayınları.</w:t>
      </w:r>
    </w:p>
    <w:p w14:paraId="5D93097F"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Hill, T. D., Gonzales K ve Burdette A. M., (2020). The Blood of Christ Compers Them: State Religiosity and State Population Mobility During The Coronavirus (Covid-19) Pandemic. Journal of Religtion and Health. 2020/59: 2229-2242.</w:t>
      </w:r>
    </w:p>
    <w:p w14:paraId="6CE0368F"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Karakaş, M. (2020). Covid-19 Salgınının Çok Boyutlu Sosyolojisi ve Yeni Normal Meselesi. İstanbul Üniversitesi Sosyoloji Dergisi, 40, 541–573.</w:t>
      </w:r>
    </w:p>
    <w:p w14:paraId="7099FB97"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Kılıç, S. (2013). Örnekleme Yöntemleri. Journal of Mood Disorders, 3(1), 44-46.</w:t>
      </w:r>
    </w:p>
    <w:p w14:paraId="5E55C292"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Nakip, M. (2013). Pazarlamada Araştırma Teknikleri. Ankara: Seçkin Yayıncılık.</w:t>
      </w:r>
    </w:p>
    <w:p w14:paraId="1B16387A"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Pfefferbaum, B., ve . and North, C.S. (2020) Mental Health and the Covid-19 Pandemic. The New England Journal of Medicine, 383, 510-512.</w:t>
      </w:r>
    </w:p>
    <w:p w14:paraId="3E816734"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lastRenderedPageBreak/>
        <w:t>Ritzer, G. (2011). Küresel dünya. (M. Pekdemir, Çev.), İstanbul: Ayrıntı Yayınları.</w:t>
      </w:r>
    </w:p>
    <w:p w14:paraId="0561094A"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Samur, S. (2020) Covıd-19 Pandemi Sürecinde Ankara’daki Devlet Üniversitelerinin Instagram Kullanımları Üzerine Nicel Bir Araştırma, Avrasya Sosyal ve Ekonomi Araştırmaları Dergisi (ASEAD), 7(6), 436-457.</w:t>
      </w:r>
    </w:p>
    <w:p w14:paraId="76AE15B9"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 xml:space="preserve">T.C. Sağlık Bakanlığı. (2020). COVID-19 (SARS-CoV-2 Enfeksiyonu) Rehberi. </w:t>
      </w:r>
      <w:hyperlink r:id="rId437" w:history="1">
        <w:r w:rsidRPr="000A2E75">
          <w:rPr>
            <w:rFonts w:ascii="Times New Roman" w:hAnsi="Times New Roman" w:cs="Times New Roman"/>
          </w:rPr>
          <w:t>https://covid19bilgi.saglik.gov.tr/depo/rehberler/COVID-19_Rehberi.pdf</w:t>
        </w:r>
      </w:hyperlink>
      <w:r w:rsidRPr="000A2E75">
        <w:rPr>
          <w:rFonts w:ascii="Times New Roman" w:hAnsi="Times New Roman" w:cs="Times New Roman"/>
        </w:rPr>
        <w:t>.   (Erişim Tarihi: 02.09.2020).</w:t>
      </w:r>
    </w:p>
    <w:p w14:paraId="0F84631B"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 xml:space="preserve">UNESCO. (2020). School Closures Caused By Coronavirus (Covid-19). UNESCO. </w:t>
      </w:r>
      <w:hyperlink r:id="rId438" w:history="1">
        <w:r w:rsidRPr="000A2E75">
          <w:rPr>
            <w:rFonts w:ascii="Times New Roman" w:hAnsi="Times New Roman" w:cs="Times New Roman"/>
          </w:rPr>
          <w:t>https://en.unesco.org/covid19/educationresponse</w:t>
        </w:r>
      </w:hyperlink>
      <w:r w:rsidRPr="000A2E75">
        <w:rPr>
          <w:rFonts w:ascii="Times New Roman" w:hAnsi="Times New Roman" w:cs="Times New Roman"/>
        </w:rPr>
        <w:t>.  (Erişim Tarihi:  10.08.2020).</w:t>
      </w:r>
    </w:p>
    <w:p w14:paraId="64DAB0E3"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 xml:space="preserve">Üstün, Ç. ve Özçiftçi, S. (2020). COVID-19 Pandemisinin Sosyal Yaşam ve Etik Düzlem Üzerine Etkileri: Bir Değerlendirme Çalışması. Anadolu Kliniği Tıp Bilimleri Dergisi, Ocak 2020; Cilt 25, Özel Sayı 1, 142-153. </w:t>
      </w:r>
    </w:p>
    <w:p w14:paraId="34C0E981" w14:textId="77777777" w:rsidR="00E839E1" w:rsidRPr="000A2E75" w:rsidRDefault="00E839E1" w:rsidP="00E839E1">
      <w:pPr>
        <w:spacing w:before="120" w:after="120" w:line="360" w:lineRule="auto"/>
        <w:jc w:val="both"/>
        <w:rPr>
          <w:rFonts w:ascii="Times New Roman" w:hAnsi="Times New Roman" w:cs="Times New Roman"/>
        </w:rPr>
      </w:pPr>
      <w:hyperlink r:id="rId439" w:history="1">
        <w:r w:rsidRPr="000A2E75">
          <w:rPr>
            <w:rFonts w:ascii="Times New Roman" w:hAnsi="Times New Roman" w:cs="Times New Roman"/>
          </w:rPr>
          <w:t>http://www.tdk.gov.tr/icerik/basindan/dilimize-bulasanlar</w:t>
        </w:r>
      </w:hyperlink>
      <w:r w:rsidRPr="000A2E75">
        <w:rPr>
          <w:rFonts w:ascii="Times New Roman" w:hAnsi="Times New Roman" w:cs="Times New Roman"/>
        </w:rPr>
        <w:t>.   (Erişim Tarihi:  10.08.2020).</w:t>
      </w:r>
    </w:p>
    <w:p w14:paraId="67CAC90F" w14:textId="77777777" w:rsidR="00E839E1" w:rsidRPr="000A2E75" w:rsidRDefault="00E839E1" w:rsidP="00E839E1">
      <w:pPr>
        <w:spacing w:before="120" w:after="120" w:line="360" w:lineRule="auto"/>
        <w:jc w:val="both"/>
        <w:rPr>
          <w:rFonts w:ascii="Times New Roman" w:hAnsi="Times New Roman" w:cs="Times New Roman"/>
        </w:rPr>
      </w:pPr>
      <w:hyperlink r:id="rId440" w:history="1">
        <w:r w:rsidRPr="000A2E75">
          <w:rPr>
            <w:rFonts w:ascii="Times New Roman" w:hAnsi="Times New Roman" w:cs="Times New Roman"/>
          </w:rPr>
          <w:t>https://tccb.gov.tr/haberler/410/119206/-normal-hayata-donusu-kademe-kademe-baslatacagiz</w:t>
        </w:r>
      </w:hyperlink>
      <w:r w:rsidRPr="000A2E75">
        <w:rPr>
          <w:rFonts w:ascii="Times New Roman" w:hAnsi="Times New Roman" w:cs="Times New Roman"/>
        </w:rPr>
        <w:t>.  (Erişim Tarihi:  10.08.2020).</w:t>
      </w:r>
    </w:p>
    <w:p w14:paraId="6990446D" w14:textId="77777777" w:rsidR="00E839E1" w:rsidRPr="000A2E75" w:rsidRDefault="00E839E1" w:rsidP="00E839E1">
      <w:pPr>
        <w:spacing w:before="120" w:after="120" w:line="360" w:lineRule="auto"/>
        <w:jc w:val="both"/>
        <w:rPr>
          <w:rFonts w:ascii="Times New Roman" w:hAnsi="Times New Roman" w:cs="Times New Roman"/>
        </w:rPr>
      </w:pPr>
      <w:r w:rsidRPr="000A2E75">
        <w:rPr>
          <w:rFonts w:ascii="Times New Roman" w:hAnsi="Times New Roman" w:cs="Times New Roman"/>
        </w:rPr>
        <w:t xml:space="preserve">Yükseköğretim Kurulu (YÖK) (2020). Basın açıklaması, </w:t>
      </w:r>
      <w:hyperlink r:id="rId441" w:history="1">
        <w:r w:rsidRPr="000A2E75">
          <w:rPr>
            <w:rFonts w:ascii="Times New Roman" w:hAnsi="Times New Roman" w:cs="Times New Roman"/>
          </w:rPr>
          <w:t>https://www.yok.gov.tr/Sayfalar/Haberler/2020/</w:t>
        </w:r>
      </w:hyperlink>
      <w:r w:rsidRPr="000A2E75">
        <w:rPr>
          <w:rFonts w:ascii="Times New Roman" w:hAnsi="Times New Roman" w:cs="Times New Roman"/>
        </w:rPr>
        <w:t xml:space="preserve">  (Erişim Tarihi: 26.08.2020).</w:t>
      </w:r>
    </w:p>
    <w:p w14:paraId="5E9DECBA" w14:textId="77777777" w:rsidR="00E839E1" w:rsidRPr="000A2E75" w:rsidRDefault="00E839E1" w:rsidP="00E839E1">
      <w:pPr>
        <w:spacing w:before="120" w:after="120" w:line="360" w:lineRule="auto"/>
        <w:jc w:val="both"/>
        <w:rPr>
          <w:rFonts w:ascii="Times New Roman" w:hAnsi="Times New Roman" w:cs="Times New Roman"/>
        </w:rPr>
      </w:pPr>
    </w:p>
    <w:p w14:paraId="6B8F8152" w14:textId="77777777" w:rsidR="00E839E1" w:rsidRPr="000A2E75" w:rsidRDefault="00E839E1" w:rsidP="00E839E1">
      <w:pPr>
        <w:spacing w:before="120" w:after="120" w:line="360" w:lineRule="auto"/>
        <w:jc w:val="both"/>
        <w:rPr>
          <w:rFonts w:ascii="Times New Roman" w:hAnsi="Times New Roman" w:cs="Times New Roman"/>
        </w:rPr>
      </w:pPr>
    </w:p>
    <w:p w14:paraId="7B611A40" w14:textId="77777777" w:rsidR="00E839E1" w:rsidRPr="000A2E75" w:rsidRDefault="00E839E1" w:rsidP="00E839E1">
      <w:pPr>
        <w:spacing w:before="120" w:after="120" w:line="360" w:lineRule="auto"/>
        <w:jc w:val="both"/>
        <w:rPr>
          <w:rFonts w:ascii="Times New Roman" w:hAnsi="Times New Roman" w:cs="Times New Roman"/>
        </w:rPr>
      </w:pPr>
    </w:p>
    <w:p w14:paraId="57390601" w14:textId="77777777" w:rsidR="00E839E1" w:rsidRPr="000A2E75" w:rsidRDefault="00E839E1" w:rsidP="00E839E1">
      <w:pPr>
        <w:spacing w:before="120" w:after="120" w:line="360" w:lineRule="auto"/>
        <w:jc w:val="both"/>
        <w:rPr>
          <w:rFonts w:ascii="Times New Roman" w:hAnsi="Times New Roman" w:cs="Times New Roman"/>
        </w:rPr>
      </w:pPr>
    </w:p>
    <w:p w14:paraId="41A83ED6" w14:textId="77777777" w:rsidR="00E839E1" w:rsidRPr="000A2E75" w:rsidRDefault="00E839E1" w:rsidP="00E839E1">
      <w:pPr>
        <w:spacing w:before="120" w:after="120" w:line="360" w:lineRule="auto"/>
        <w:jc w:val="both"/>
        <w:rPr>
          <w:rFonts w:ascii="Times New Roman" w:hAnsi="Times New Roman" w:cs="Times New Roman"/>
        </w:rPr>
      </w:pPr>
    </w:p>
    <w:p w14:paraId="6E7F75DA" w14:textId="77777777" w:rsidR="00E839E1" w:rsidRPr="000A2E75" w:rsidRDefault="00E839E1" w:rsidP="00E839E1">
      <w:pPr>
        <w:spacing w:before="120" w:after="120" w:line="360" w:lineRule="auto"/>
        <w:jc w:val="both"/>
        <w:rPr>
          <w:rFonts w:ascii="Times New Roman" w:hAnsi="Times New Roman" w:cs="Times New Roman"/>
        </w:rPr>
      </w:pPr>
    </w:p>
    <w:p w14:paraId="2AD90B6E" w14:textId="77777777" w:rsidR="00E839E1" w:rsidRPr="000A2E75" w:rsidRDefault="00E839E1" w:rsidP="00E839E1">
      <w:pPr>
        <w:spacing w:before="120" w:after="120" w:line="360" w:lineRule="auto"/>
        <w:jc w:val="both"/>
        <w:rPr>
          <w:rFonts w:ascii="Times New Roman" w:hAnsi="Times New Roman" w:cs="Times New Roman"/>
        </w:rPr>
      </w:pPr>
    </w:p>
    <w:p w14:paraId="63984FB4" w14:textId="77777777" w:rsidR="00E839E1" w:rsidRPr="000A2E75" w:rsidRDefault="00E839E1" w:rsidP="00E839E1">
      <w:pPr>
        <w:spacing w:before="120" w:after="120" w:line="360" w:lineRule="auto"/>
        <w:jc w:val="both"/>
        <w:rPr>
          <w:rFonts w:ascii="Times New Roman" w:hAnsi="Times New Roman" w:cs="Times New Roman"/>
        </w:rPr>
      </w:pPr>
    </w:p>
    <w:p w14:paraId="653696F0" w14:textId="77777777" w:rsidR="00E839E1" w:rsidRPr="000A2E75" w:rsidRDefault="00E839E1" w:rsidP="00E839E1">
      <w:pPr>
        <w:spacing w:before="120" w:after="120" w:line="360" w:lineRule="auto"/>
        <w:jc w:val="both"/>
        <w:rPr>
          <w:rFonts w:ascii="Times New Roman" w:hAnsi="Times New Roman" w:cs="Times New Roman"/>
        </w:rPr>
      </w:pPr>
    </w:p>
    <w:p w14:paraId="7A495A43" w14:textId="77777777" w:rsidR="00E839E1" w:rsidRPr="000A2E75" w:rsidRDefault="00E839E1" w:rsidP="00E839E1">
      <w:pPr>
        <w:spacing w:before="120" w:after="120" w:line="360" w:lineRule="auto"/>
        <w:jc w:val="both"/>
        <w:rPr>
          <w:rFonts w:ascii="Times New Roman" w:hAnsi="Times New Roman" w:cs="Times New Roman"/>
        </w:rPr>
      </w:pPr>
    </w:p>
    <w:p w14:paraId="6B18BDD0" w14:textId="77777777" w:rsidR="00E839E1" w:rsidRPr="000A2E75" w:rsidRDefault="00E839E1" w:rsidP="00E839E1">
      <w:pPr>
        <w:spacing w:before="120" w:after="120" w:line="360" w:lineRule="auto"/>
        <w:jc w:val="both"/>
        <w:rPr>
          <w:rFonts w:ascii="Times New Roman" w:hAnsi="Times New Roman" w:cs="Times New Roman"/>
        </w:rPr>
      </w:pPr>
    </w:p>
    <w:p w14:paraId="2F36CFF9" w14:textId="77777777" w:rsidR="00E839E1" w:rsidRPr="000A2E75" w:rsidRDefault="00E839E1" w:rsidP="00E839E1">
      <w:pPr>
        <w:spacing w:before="120" w:after="120" w:line="360" w:lineRule="auto"/>
        <w:jc w:val="both"/>
        <w:rPr>
          <w:rFonts w:ascii="Times New Roman" w:hAnsi="Times New Roman" w:cs="Times New Roman"/>
        </w:rPr>
      </w:pPr>
    </w:p>
    <w:p w14:paraId="64D53D3A" w14:textId="77777777" w:rsidR="00E839E1" w:rsidRPr="000A2E75" w:rsidRDefault="00E839E1" w:rsidP="00E839E1">
      <w:pPr>
        <w:spacing w:before="120" w:after="120" w:line="360" w:lineRule="auto"/>
        <w:jc w:val="both"/>
        <w:rPr>
          <w:rFonts w:ascii="Times New Roman" w:hAnsi="Times New Roman" w:cs="Times New Roman"/>
        </w:rPr>
      </w:pPr>
    </w:p>
    <w:p w14:paraId="639AB5A1" w14:textId="77777777" w:rsidR="00E839E1" w:rsidRPr="000A2E75" w:rsidRDefault="00E839E1" w:rsidP="00E839E1">
      <w:pPr>
        <w:spacing w:before="120" w:after="120" w:line="360" w:lineRule="auto"/>
        <w:jc w:val="both"/>
        <w:rPr>
          <w:rFonts w:ascii="Times New Roman" w:hAnsi="Times New Roman" w:cs="Times New Roman"/>
        </w:rPr>
      </w:pPr>
    </w:p>
    <w:p w14:paraId="4136E058" w14:textId="77777777" w:rsidR="00E839E1" w:rsidRPr="000A2E75" w:rsidRDefault="00E839E1" w:rsidP="00E839E1">
      <w:pPr>
        <w:spacing w:before="120" w:after="120" w:line="360" w:lineRule="auto"/>
        <w:jc w:val="both"/>
        <w:rPr>
          <w:rFonts w:ascii="Times New Roman" w:hAnsi="Times New Roman" w:cs="Times New Roman"/>
        </w:rPr>
      </w:pPr>
    </w:p>
    <w:p w14:paraId="7149574C" w14:textId="77777777" w:rsidR="00E839E1" w:rsidRPr="000A2E75" w:rsidRDefault="00E839E1" w:rsidP="00E839E1">
      <w:pPr>
        <w:spacing w:before="120" w:after="120" w:line="360" w:lineRule="auto"/>
        <w:jc w:val="both"/>
        <w:rPr>
          <w:rFonts w:ascii="Times New Roman" w:hAnsi="Times New Roman" w:cs="Times New Roman"/>
        </w:rPr>
      </w:pPr>
    </w:p>
    <w:p w14:paraId="25A6FBD1" w14:textId="77777777" w:rsidR="00E839E1" w:rsidRPr="000A2E75" w:rsidRDefault="00E839E1" w:rsidP="00E839E1">
      <w:pPr>
        <w:spacing w:before="120" w:after="120" w:line="360" w:lineRule="auto"/>
        <w:jc w:val="both"/>
        <w:rPr>
          <w:rFonts w:ascii="Times New Roman" w:hAnsi="Times New Roman" w:cs="Times New Roman"/>
        </w:rPr>
      </w:pPr>
    </w:p>
    <w:p w14:paraId="1217487C" w14:textId="77777777" w:rsidR="00E839E1" w:rsidRPr="000A2E75" w:rsidRDefault="00E839E1" w:rsidP="00E839E1">
      <w:pPr>
        <w:spacing w:before="120" w:after="120" w:line="360" w:lineRule="auto"/>
        <w:jc w:val="both"/>
        <w:rPr>
          <w:rFonts w:ascii="Times New Roman" w:hAnsi="Times New Roman" w:cs="Times New Roman"/>
        </w:rPr>
      </w:pPr>
    </w:p>
    <w:p w14:paraId="2244826F" w14:textId="77777777" w:rsidR="00E839E1" w:rsidRPr="000A2E75" w:rsidRDefault="00E839E1" w:rsidP="00E839E1">
      <w:pPr>
        <w:spacing w:before="120" w:after="120"/>
        <w:ind w:firstLine="567"/>
        <w:jc w:val="both"/>
        <w:rPr>
          <w:rFonts w:ascii="Times New Roman" w:hAnsi="Times New Roman" w:cs="Times New Roman"/>
          <w:b/>
          <w:color w:val="000000" w:themeColor="text1"/>
          <w:sz w:val="20"/>
          <w:szCs w:val="20"/>
        </w:rPr>
      </w:pPr>
    </w:p>
    <w:p w14:paraId="394C9772" w14:textId="77777777" w:rsidR="00E839E1" w:rsidRPr="000A2E75" w:rsidRDefault="00E839E1" w:rsidP="00E839E1">
      <w:pPr>
        <w:spacing w:before="120" w:after="120"/>
        <w:ind w:firstLine="567"/>
        <w:jc w:val="both"/>
        <w:rPr>
          <w:rFonts w:ascii="Times New Roman" w:hAnsi="Times New Roman" w:cs="Times New Roman"/>
          <w:b/>
          <w:color w:val="000000" w:themeColor="text1"/>
          <w:sz w:val="20"/>
          <w:szCs w:val="20"/>
        </w:rPr>
      </w:pPr>
    </w:p>
    <w:p w14:paraId="4A5AAFF4" w14:textId="77777777" w:rsidR="00E839E1" w:rsidRPr="000A2E75" w:rsidRDefault="00E839E1" w:rsidP="00E839E1">
      <w:pPr>
        <w:spacing w:before="120"/>
        <w:jc w:val="both"/>
        <w:rPr>
          <w:rFonts w:ascii="Times New Roman" w:hAnsi="Times New Roman" w:cs="Times New Roman"/>
          <w:b/>
          <w:color w:val="000000" w:themeColor="text1"/>
          <w:sz w:val="20"/>
          <w:szCs w:val="20"/>
        </w:rPr>
      </w:pPr>
    </w:p>
    <w:p w14:paraId="141CFEAE" w14:textId="77777777" w:rsidR="00E839E1" w:rsidRPr="000A2E75" w:rsidRDefault="00E839E1" w:rsidP="00E839E1">
      <w:pPr>
        <w:spacing w:before="120" w:after="120" w:line="360" w:lineRule="auto"/>
        <w:jc w:val="both"/>
        <w:rPr>
          <w:rFonts w:ascii="Times New Roman" w:hAnsi="Times New Roman" w:cs="Times New Roman"/>
          <w:color w:val="000000" w:themeColor="text1"/>
          <w:sz w:val="20"/>
          <w:szCs w:val="20"/>
        </w:rPr>
      </w:pPr>
    </w:p>
    <w:p w14:paraId="677BAA8A" w14:textId="77777777" w:rsidR="00E839E1" w:rsidRPr="00164238" w:rsidRDefault="00E839E1" w:rsidP="005633F5">
      <w:pPr>
        <w:spacing w:before="120" w:after="120"/>
        <w:ind w:firstLine="567"/>
        <w:jc w:val="both"/>
        <w:rPr>
          <w:rFonts w:ascii="Times New Roman" w:hAnsi="Times New Roman" w:cs="Times New Roman"/>
          <w:b/>
          <w:color w:val="000000" w:themeColor="text1"/>
          <w:sz w:val="20"/>
          <w:szCs w:val="20"/>
        </w:rPr>
      </w:pPr>
    </w:p>
    <w:p w14:paraId="58078A35" w14:textId="77777777" w:rsidR="005633F5" w:rsidRPr="00164238" w:rsidRDefault="005633F5" w:rsidP="005633F5">
      <w:pPr>
        <w:spacing w:before="120" w:after="120"/>
        <w:ind w:firstLine="567"/>
        <w:jc w:val="both"/>
        <w:rPr>
          <w:rFonts w:ascii="Times New Roman" w:hAnsi="Times New Roman" w:cs="Times New Roman"/>
          <w:b/>
          <w:color w:val="000000" w:themeColor="text1"/>
          <w:sz w:val="20"/>
          <w:szCs w:val="20"/>
        </w:rPr>
      </w:pPr>
    </w:p>
    <w:p w14:paraId="344E03CC" w14:textId="77777777" w:rsidR="005633F5" w:rsidRPr="00164238" w:rsidRDefault="005633F5" w:rsidP="005633F5">
      <w:pPr>
        <w:spacing w:before="120"/>
        <w:jc w:val="both"/>
        <w:rPr>
          <w:rFonts w:ascii="Times New Roman" w:hAnsi="Times New Roman" w:cs="Times New Roman"/>
          <w:b/>
          <w:color w:val="000000" w:themeColor="text1"/>
          <w:sz w:val="20"/>
          <w:szCs w:val="20"/>
        </w:rPr>
      </w:pPr>
    </w:p>
    <w:p w14:paraId="73AA913F" w14:textId="77777777" w:rsidR="00522634" w:rsidRPr="00164238" w:rsidRDefault="00522634" w:rsidP="00F17FEC">
      <w:pPr>
        <w:spacing w:before="120" w:after="120" w:line="360" w:lineRule="auto"/>
        <w:jc w:val="both"/>
        <w:rPr>
          <w:rFonts w:ascii="Times New Roman" w:hAnsi="Times New Roman" w:cs="Times New Roman"/>
          <w:color w:val="000000" w:themeColor="text1"/>
          <w:sz w:val="20"/>
          <w:szCs w:val="20"/>
        </w:rPr>
      </w:pPr>
    </w:p>
    <w:sectPr w:rsidR="00522634" w:rsidRPr="00164238">
      <w:footerReference w:type="default" r:id="rId44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B3BE4CA" w14:textId="77777777" w:rsidR="00115D4E" w:rsidRDefault="00115D4E" w:rsidP="009D50E1">
      <w:pPr>
        <w:spacing w:after="0" w:line="240" w:lineRule="auto"/>
      </w:pPr>
      <w:r>
        <w:separator/>
      </w:r>
    </w:p>
  </w:endnote>
  <w:endnote w:type="continuationSeparator" w:id="0">
    <w:p w14:paraId="24915071" w14:textId="77777777" w:rsidR="00115D4E" w:rsidRDefault="00115D4E" w:rsidP="009D50E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quot;Times New Roman&quot;,&quot;serif&quot;">
    <w:altName w:val="Times New Roman"/>
    <w:panose1 w:val="00000000000000000000"/>
    <w:charset w:val="00"/>
    <w:family w:val="roman"/>
    <w:notTrueType/>
    <w:pitch w:val="default"/>
  </w:font>
  <w:font w:name="Book Antiqua">
    <w:panose1 w:val="02040602050305030304"/>
    <w:charset w:val="A2"/>
    <w:family w:val="roman"/>
    <w:pitch w:val="variable"/>
    <w:sig w:usb0="00000287" w:usb1="00000000" w:usb2="00000000" w:usb3="00000000" w:csb0="0000009F" w:csb1="00000000"/>
  </w:font>
  <w:font w:name="Noto Sans Symbols">
    <w:altName w:val="Times New Roman"/>
    <w:charset w:val="00"/>
    <w:family w:val="auto"/>
    <w:pitch w:val="default"/>
  </w:font>
  <w:font w:name="&quot;Simplified Arabic&quot;,&quot;serif&quot;">
    <w:altName w:val="Times New Roman"/>
    <w:panose1 w:val="00000000000000000000"/>
    <w:charset w:val="00"/>
    <w:family w:val="roman"/>
    <w:notTrueType/>
    <w:pitch w:val="default"/>
  </w:font>
  <w:font w:name="Calibri Light">
    <w:panose1 w:val="020F03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Segoe UI">
    <w:panose1 w:val="020B0502040204020203"/>
    <w:charset w:val="A2"/>
    <w:family w:val="swiss"/>
    <w:pitch w:val="variable"/>
    <w:sig w:usb0="E4002EFF" w:usb1="C000E47F" w:usb2="00000009" w:usb3="00000000" w:csb0="000001FF" w:csb1="00000000"/>
  </w:font>
  <w:font w:name="Palatino">
    <w:charset w:val="A2"/>
    <w:family w:val="roman"/>
    <w:pitch w:val="variable"/>
    <w:sig w:usb0="00000007" w:usb1="00000000" w:usb2="00000000" w:usb3="00000000" w:csb0="00000093" w:csb1="00000000"/>
  </w:font>
  <w:font w:name="MS Mincho">
    <w:altName w:val="Yu Gothic UI"/>
    <w:panose1 w:val="02020609040205080304"/>
    <w:charset w:val="80"/>
    <w:family w:val="modern"/>
    <w:pitch w:val="fixed"/>
    <w:sig w:usb0="E00002FF" w:usb1="6AC7FDFB" w:usb2="08000012" w:usb3="00000000" w:csb0="0002009F" w:csb1="00000000"/>
  </w:font>
  <w:font w:name="Angsana New">
    <w:panose1 w:val="02020603050405020304"/>
    <w:charset w:val="00"/>
    <w:family w:val="roman"/>
    <w:pitch w:val="variable"/>
    <w:sig w:usb0="81000003" w:usb1="00000000" w:usb2="00000000" w:usb3="00000000" w:csb0="00010001" w:csb1="00000000"/>
  </w:font>
  <w:font w:name="BatangChe">
    <w:charset w:val="81"/>
    <w:family w:val="modern"/>
    <w:pitch w:val="fixed"/>
    <w:sig w:usb0="B00002AF" w:usb1="69D77CFB" w:usb2="00000030" w:usb3="00000000" w:csb0="0008009F"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003" w:usb1="288F0000" w:usb2="00000016" w:usb3="00000000" w:csb0="00040001" w:csb1="00000000"/>
  </w:font>
  <w:font w:name="Myriad Pro">
    <w:altName w:val="Segoe UI"/>
    <w:panose1 w:val="00000000000000000000"/>
    <w:charset w:val="00"/>
    <w:family w:val="swiss"/>
    <w:notTrueType/>
    <w:pitch w:val="variable"/>
    <w:sig w:usb0="20000287" w:usb1="00000001" w:usb2="00000000" w:usb3="00000000" w:csb0="0000019F" w:csb1="00000000"/>
  </w:font>
  <w:font w:name="Andale Sans UI">
    <w:charset w:val="00"/>
    <w:family w:val="auto"/>
    <w:pitch w:val="variable"/>
  </w:font>
  <w:font w:name="Tahoma">
    <w:panose1 w:val="020B0604030504040204"/>
    <w:charset w:val="A2"/>
    <w:family w:val="swiss"/>
    <w:pitch w:val="variable"/>
    <w:sig w:usb0="E1002EFF" w:usb1="C000605B" w:usb2="00000029" w:usb3="00000000" w:csb0="000101FF" w:csb1="00000000"/>
  </w:font>
  <w:font w:name="Halyard Text">
    <w:altName w:val="Arial"/>
    <w:panose1 w:val="00000000000000000000"/>
    <w:charset w:val="00"/>
    <w:family w:val="swiss"/>
    <w:notTrueType/>
    <w:pitch w:val="default"/>
    <w:sig w:usb0="00000003" w:usb1="00000000" w:usb2="00000000" w:usb3="00000000" w:csb0="00000001" w:csb1="00000000"/>
  </w:font>
  <w:font w:name="Garamond">
    <w:panose1 w:val="02020404030301010803"/>
    <w:charset w:val="A2"/>
    <w:family w:val="roman"/>
    <w:pitch w:val="variable"/>
    <w:sig w:usb0="00000287" w:usb1="00000000" w:usb2="00000000" w:usb3="00000000" w:csb0="0000009F" w:csb1="00000000"/>
  </w:font>
  <w:font w:name="Lucida Sans Unicode">
    <w:panose1 w:val="020B0602030504020204"/>
    <w:charset w:val="A2"/>
    <w:family w:val="swiss"/>
    <w:pitch w:val="variable"/>
    <w:sig w:usb0="80000AFF" w:usb1="0000396B" w:usb2="00000000" w:usb3="00000000" w:csb0="000000BF" w:csb1="00000000"/>
  </w:font>
  <w:font w:name="Alianza Slab 100">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A2"/>
    <w:family w:val="roman"/>
    <w:pitch w:val="variable"/>
    <w:sig w:usb0="E00006FF" w:usb1="420024FF" w:usb2="02000000" w:usb3="00000000" w:csb0="0000019F" w:csb1="00000000"/>
  </w:font>
  <w:font w:name="Arial,Italic">
    <w:altName w:val="MS Gothic"/>
    <w:panose1 w:val="00000000000000000000"/>
    <w:charset w:val="80"/>
    <w:family w:val="auto"/>
    <w:notTrueType/>
    <w:pitch w:val="default"/>
    <w:sig w:usb0="00000005" w:usb1="08070000" w:usb2="00000010" w:usb3="00000000" w:csb0="00020010" w:csb1="00000000"/>
  </w:font>
  <w:font w:name="BookAntiqua-Identity-H">
    <w:altName w:val="MS Gothic"/>
    <w:panose1 w:val="00000000000000000000"/>
    <w:charset w:val="80"/>
    <w:family w:val="auto"/>
    <w:notTrueType/>
    <w:pitch w:val="default"/>
    <w:sig w:usb0="00000000" w:usb1="08070000" w:usb2="00000010" w:usb3="00000000" w:csb0="00020000" w:csb1="00000000"/>
  </w:font>
  <w:font w:name="TimesNewRomanPSMT">
    <w:altName w:val="MS Gothic"/>
    <w:panose1 w:val="00000000000000000000"/>
    <w:charset w:val="A2"/>
    <w:family w:val="auto"/>
    <w:notTrueType/>
    <w:pitch w:val="default"/>
    <w:sig w:usb0="00000005" w:usb1="08070000" w:usb2="00000010" w:usb3="00000000" w:csb0="00020010" w:csb1="00000000"/>
  </w:font>
  <w:font w:name="TimesNewRomanPS-ItalicMT">
    <w:altName w:val="MS Gothic"/>
    <w:panose1 w:val="00000000000000000000"/>
    <w:charset w:val="80"/>
    <w:family w:val="auto"/>
    <w:notTrueType/>
    <w:pitch w:val="default"/>
    <w:sig w:usb0="00000001" w:usb1="08070000" w:usb2="00000010" w:usb3="00000000" w:csb0="00020011" w:csb1="00000000"/>
  </w:font>
  <w:font w:name="Simplified Arabic">
    <w:altName w:val="Times New Roman"/>
    <w:charset w:val="00"/>
    <w:family w:val="roman"/>
    <w:pitch w:val="variable"/>
    <w:sig w:usb0="00002003" w:usb1="00000000" w:usb2="00000000" w:usb3="00000000" w:csb0="00000041" w:csb1="00000000"/>
  </w:font>
  <w:font w:name="Palatino Linotype">
    <w:panose1 w:val="02040502050505030304"/>
    <w:charset w:val="A2"/>
    <w:family w:val="roman"/>
    <w:pitch w:val="variable"/>
    <w:sig w:usb0="E0000287" w:usb1="40000013"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00869721"/>
      <w:docPartObj>
        <w:docPartGallery w:val="Page Numbers (Bottom of Page)"/>
        <w:docPartUnique/>
      </w:docPartObj>
    </w:sdtPr>
    <w:sdtContent>
      <w:p w14:paraId="51AC1C64" w14:textId="1C8CF316" w:rsidR="003B6DB3" w:rsidRDefault="003B6DB3">
        <w:pPr>
          <w:jc w:val="right"/>
        </w:pPr>
        <w:r>
          <w:fldChar w:fldCharType="begin"/>
        </w:r>
        <w:r>
          <w:instrText>PAGE   \* MERGEFORMAT</w:instrText>
        </w:r>
        <w:r>
          <w:fldChar w:fldCharType="separate"/>
        </w:r>
        <w:r w:rsidR="00694307">
          <w:rPr>
            <w:noProof/>
          </w:rPr>
          <w:t>14</w:t>
        </w:r>
        <w:r>
          <w:fldChar w:fldCharType="end"/>
        </w:r>
      </w:p>
    </w:sdtContent>
  </w:sdt>
  <w:p w14:paraId="52CA0F6E" w14:textId="77777777" w:rsidR="003B6DB3" w:rsidRDefault="003B6DB3"/>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8360506"/>
      <w:docPartObj>
        <w:docPartGallery w:val="Page Numbers (Bottom of Page)"/>
        <w:docPartUnique/>
      </w:docPartObj>
    </w:sdtPr>
    <w:sdtContent>
      <w:p w14:paraId="697C717D" w14:textId="2CFD1E8A" w:rsidR="003B6DB3" w:rsidRDefault="003B6DB3">
        <w:pPr>
          <w:jc w:val="right"/>
        </w:pPr>
        <w:r>
          <w:fldChar w:fldCharType="begin"/>
        </w:r>
        <w:r>
          <w:instrText>PAGE   \* MERGEFORMAT</w:instrText>
        </w:r>
        <w:r>
          <w:fldChar w:fldCharType="separate"/>
        </w:r>
        <w:r w:rsidR="006D4075">
          <w:rPr>
            <w:noProof/>
          </w:rPr>
          <w:t>482</w:t>
        </w:r>
        <w:r>
          <w:fldChar w:fldCharType="end"/>
        </w:r>
      </w:p>
    </w:sdtContent>
  </w:sdt>
  <w:p w14:paraId="661AC95C" w14:textId="77777777" w:rsidR="003B6DB3" w:rsidRDefault="003B6DB3"/>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2526BD6" w14:textId="77777777" w:rsidR="00115D4E" w:rsidRDefault="00115D4E" w:rsidP="009D50E1">
      <w:pPr>
        <w:spacing w:after="0" w:line="240" w:lineRule="auto"/>
      </w:pPr>
      <w:r>
        <w:separator/>
      </w:r>
    </w:p>
  </w:footnote>
  <w:footnote w:type="continuationSeparator" w:id="0">
    <w:p w14:paraId="787E2B9B" w14:textId="77777777" w:rsidR="00115D4E" w:rsidRDefault="00115D4E" w:rsidP="009D50E1">
      <w:pPr>
        <w:spacing w:after="0" w:line="240" w:lineRule="auto"/>
      </w:pPr>
      <w:r>
        <w:continuationSeparator/>
      </w:r>
    </w:p>
  </w:footnote>
  <w:footnote w:id="1">
    <w:p w14:paraId="26C8DBFD" w14:textId="77777777" w:rsidR="003B6DB3" w:rsidRPr="000214F4" w:rsidRDefault="003B6DB3" w:rsidP="004C6717">
      <w:r w:rsidRPr="000214F4">
        <w:rPr>
          <w:rStyle w:val="Kpr"/>
        </w:rPr>
        <w:footnoteRef/>
      </w:r>
      <w:r w:rsidRPr="000214F4">
        <w:t xml:space="preserve"> Kıtalara göre diğer vaka sayıları: </w:t>
      </w:r>
    </w:p>
    <w:p w14:paraId="02AC390E" w14:textId="77777777" w:rsidR="003B6DB3" w:rsidRPr="00452A49" w:rsidRDefault="003B6DB3" w:rsidP="004C6717">
      <w:pPr>
        <w:rPr>
          <w:sz w:val="20"/>
          <w:szCs w:val="20"/>
        </w:rPr>
      </w:pPr>
      <w:r w:rsidRPr="00452A49">
        <w:rPr>
          <w:sz w:val="20"/>
          <w:szCs w:val="20"/>
        </w:rPr>
        <w:t xml:space="preserve">Güney Doğu Asya (15,212,235), Doğu Akdeniz (7,693,094), Afrika (3,120,296), Batı Pasifik (1,963,001) </w:t>
      </w:r>
      <w:hyperlink r:id="rId1" w:history="1">
        <w:r w:rsidRPr="00452A49">
          <w:rPr>
            <w:rStyle w:val="Balk1Char"/>
            <w:rFonts w:eastAsiaTheme="minorHAnsi"/>
            <w:sz w:val="20"/>
            <w:szCs w:val="20"/>
          </w:rPr>
          <w:t>https://covid19.who.int/</w:t>
        </w:r>
      </w:hyperlink>
      <w:r w:rsidRPr="00452A49">
        <w:rPr>
          <w:sz w:val="20"/>
          <w:szCs w:val="20"/>
        </w:rPr>
        <w:t xml:space="preserve"> </w:t>
      </w:r>
    </w:p>
  </w:footnote>
  <w:footnote w:id="2">
    <w:p w14:paraId="113EF980" w14:textId="0428331C" w:rsidR="003B6DB3" w:rsidRPr="00A40273" w:rsidRDefault="003B6DB3" w:rsidP="00A40B57">
      <w:pPr>
        <w:pStyle w:val="DipnotMetni"/>
        <w:rPr>
          <w:rFonts w:ascii="Times New Roman" w:hAnsi="Times New Roman" w:cs="Times New Roman"/>
        </w:rPr>
      </w:pPr>
      <w:r w:rsidRPr="00A40273">
        <w:rPr>
          <w:rStyle w:val="DipnotBavurusu"/>
          <w:rFonts w:ascii="Times New Roman" w:hAnsi="Times New Roman" w:cs="Times New Roman"/>
        </w:rPr>
        <w:footnoteRef/>
      </w:r>
      <w:r w:rsidRPr="00A40273">
        <w:rPr>
          <w:rFonts w:ascii="Times New Roman" w:hAnsi="Times New Roman" w:cs="Times New Roman"/>
        </w:rPr>
        <w:t xml:space="preserve"> </w:t>
      </w:r>
      <w:bookmarkStart w:id="49" w:name="_Hlk69597491"/>
      <w:r w:rsidRPr="00A40273">
        <w:fldChar w:fldCharType="begin"/>
      </w:r>
      <w:r w:rsidRPr="00A40273">
        <w:rPr>
          <w:rFonts w:ascii="Times New Roman" w:hAnsi="Times New Roman" w:cs="Times New Roman"/>
        </w:rPr>
        <w:instrText xml:space="preserve"> HYPERLINK "https://databank.worldbank.org/reports.aspx?source=worldwide-governance-indicators" </w:instrText>
      </w:r>
      <w:r w:rsidRPr="00A40273">
        <w:fldChar w:fldCharType="separate"/>
      </w:r>
      <w:r w:rsidRPr="00A40273">
        <w:rPr>
          <w:rStyle w:val="Balk1Char"/>
          <w:rFonts w:ascii="Times New Roman" w:eastAsiaTheme="minorHAnsi" w:hAnsi="Times New Roman" w:cs="Times New Roman"/>
          <w:color w:val="auto"/>
          <w:sz w:val="20"/>
          <w:szCs w:val="20"/>
        </w:rPr>
        <w:t>https://databank.worldbank.org/reports.aspx?source=worldwide-governance-indicators</w:t>
      </w:r>
      <w:r w:rsidRPr="00A40273">
        <w:rPr>
          <w:rStyle w:val="Balk1Char"/>
          <w:rFonts w:ascii="Times New Roman" w:eastAsiaTheme="minorHAnsi" w:hAnsi="Times New Roman" w:cs="Times New Roman"/>
          <w:color w:val="auto"/>
          <w:sz w:val="20"/>
          <w:szCs w:val="20"/>
        </w:rPr>
        <w:fldChar w:fldCharType="end"/>
      </w:r>
      <w:bookmarkEnd w:id="49"/>
    </w:p>
  </w:footnote>
  <w:footnote w:id="3">
    <w:p w14:paraId="65216520" w14:textId="77777777" w:rsidR="003B6DB3" w:rsidRPr="00A40273" w:rsidRDefault="003B6DB3" w:rsidP="004C6717">
      <w:pPr>
        <w:rPr>
          <w:rFonts w:ascii="Times New Roman" w:hAnsi="Times New Roman" w:cs="Times New Roman"/>
        </w:rPr>
      </w:pPr>
      <w:r w:rsidRPr="00A40273">
        <w:rPr>
          <w:rStyle w:val="Kpr"/>
          <w:rFonts w:ascii="Times New Roman" w:hAnsi="Times New Roman" w:cs="Times New Roman"/>
          <w:color w:val="auto"/>
        </w:rPr>
        <w:footnoteRef/>
      </w:r>
      <w:r w:rsidRPr="00A40273">
        <w:rPr>
          <w:rFonts w:ascii="Times New Roman" w:hAnsi="Times New Roman" w:cs="Times New Roman"/>
        </w:rPr>
        <w:t xml:space="preserve"> </w:t>
      </w:r>
      <w:hyperlink r:id="rId2" w:history="1">
        <w:r w:rsidRPr="00A40273">
          <w:rPr>
            <w:rStyle w:val="Balk1Char"/>
            <w:rFonts w:ascii="Times New Roman" w:eastAsiaTheme="minorHAnsi" w:hAnsi="Times New Roman" w:cs="Times New Roman"/>
            <w:color w:val="auto"/>
            <w:sz w:val="22"/>
            <w:szCs w:val="22"/>
          </w:rPr>
          <w:t>https://globeproject.com/studies</w:t>
        </w:r>
      </w:hyperlink>
      <w:r w:rsidRPr="00A40273">
        <w:rPr>
          <w:rFonts w:ascii="Times New Roman" w:hAnsi="Times New Roman" w:cs="Times New Roman"/>
        </w:rPr>
        <w:t xml:space="preserve"> </w:t>
      </w:r>
    </w:p>
  </w:footnote>
  <w:footnote w:id="4">
    <w:p w14:paraId="4D317ACE" w14:textId="77777777" w:rsidR="003B6DB3" w:rsidRPr="00A40273" w:rsidRDefault="003B6DB3" w:rsidP="004C6717">
      <w:pPr>
        <w:rPr>
          <w:rFonts w:ascii="Times New Roman" w:hAnsi="Times New Roman" w:cs="Times New Roman"/>
        </w:rPr>
      </w:pPr>
      <w:r w:rsidRPr="00A40273">
        <w:rPr>
          <w:rStyle w:val="Kpr"/>
          <w:rFonts w:ascii="Times New Roman" w:hAnsi="Times New Roman" w:cs="Times New Roman"/>
          <w:color w:val="auto"/>
        </w:rPr>
        <w:footnoteRef/>
      </w:r>
      <w:r w:rsidRPr="00A40273">
        <w:rPr>
          <w:rFonts w:ascii="Times New Roman" w:hAnsi="Times New Roman" w:cs="Times New Roman"/>
        </w:rPr>
        <w:t xml:space="preserve"> </w:t>
      </w:r>
      <w:hyperlink r:id="rId3" w:history="1">
        <w:r w:rsidRPr="00A40273">
          <w:rPr>
            <w:rStyle w:val="Balk1Char"/>
            <w:rFonts w:ascii="Times New Roman" w:eastAsiaTheme="minorHAnsi" w:hAnsi="Times New Roman" w:cs="Times New Roman"/>
            <w:color w:val="auto"/>
            <w:sz w:val="22"/>
            <w:szCs w:val="22"/>
          </w:rPr>
          <w:t>https://covid19.who.int/</w:t>
        </w:r>
      </w:hyperlink>
      <w:r w:rsidRPr="00A40273">
        <w:rPr>
          <w:rFonts w:ascii="Times New Roman" w:hAnsi="Times New Roman" w:cs="Times New Roman"/>
        </w:rPr>
        <w:t xml:space="preserve"> </w:t>
      </w:r>
    </w:p>
  </w:footnote>
  <w:footnote w:id="5">
    <w:p w14:paraId="7E41062D" w14:textId="77777777" w:rsidR="003B6DB3" w:rsidRPr="00A40273" w:rsidRDefault="003B6DB3" w:rsidP="004C6717">
      <w:pPr>
        <w:rPr>
          <w:rFonts w:ascii="Times New Roman" w:hAnsi="Times New Roman" w:cs="Times New Roman"/>
        </w:rPr>
      </w:pPr>
      <w:r w:rsidRPr="00A40273">
        <w:rPr>
          <w:rStyle w:val="Kpr"/>
          <w:rFonts w:ascii="Times New Roman" w:hAnsi="Times New Roman" w:cs="Times New Roman"/>
          <w:color w:val="auto"/>
        </w:rPr>
        <w:footnoteRef/>
      </w:r>
      <w:r w:rsidRPr="00A40273">
        <w:rPr>
          <w:rFonts w:ascii="Times New Roman" w:hAnsi="Times New Roman" w:cs="Times New Roman"/>
        </w:rPr>
        <w:t>Bu araştırmaya göre İsveç üçüncü, Hollanda sekizinci, Avusturya ise 18. Sırada bulunmaktadır.</w:t>
      </w:r>
    </w:p>
  </w:footnote>
  <w:footnote w:id="6">
    <w:p w14:paraId="1F96E848" w14:textId="77777777" w:rsidR="003B6DB3" w:rsidRPr="00A40273" w:rsidRDefault="003B6DB3" w:rsidP="004C6717">
      <w:pPr>
        <w:rPr>
          <w:rFonts w:ascii="Times New Roman" w:hAnsi="Times New Roman" w:cs="Times New Roman"/>
        </w:rPr>
      </w:pPr>
      <w:r w:rsidRPr="00A40273">
        <w:rPr>
          <w:rStyle w:val="Kpr"/>
          <w:rFonts w:ascii="Times New Roman" w:hAnsi="Times New Roman" w:cs="Times New Roman"/>
          <w:color w:val="auto"/>
        </w:rPr>
        <w:footnoteRef/>
      </w:r>
      <w:r w:rsidRPr="00A40273">
        <w:rPr>
          <w:rFonts w:ascii="Times New Roman" w:hAnsi="Times New Roman" w:cs="Times New Roman"/>
        </w:rPr>
        <w:t xml:space="preserve"> </w:t>
      </w:r>
      <w:hyperlink r:id="rId4" w:history="1">
        <w:r w:rsidRPr="00A40273">
          <w:rPr>
            <w:rStyle w:val="Balk1Char"/>
            <w:rFonts w:ascii="Times New Roman" w:eastAsiaTheme="minorHAnsi" w:hAnsi="Times New Roman" w:cs="Times New Roman"/>
            <w:color w:val="auto"/>
            <w:sz w:val="22"/>
            <w:szCs w:val="22"/>
          </w:rPr>
          <w:t>http://hdr.undp.org/en/content/latest-human-development-index-ranking</w:t>
        </w:r>
      </w:hyperlink>
      <w:r w:rsidRPr="00A40273">
        <w:rPr>
          <w:rFonts w:ascii="Times New Roman" w:hAnsi="Times New Roman" w:cs="Times New Roman"/>
        </w:rPr>
        <w:t xml:space="preserve"> </w:t>
      </w:r>
    </w:p>
  </w:footnote>
  <w:footnote w:id="7">
    <w:p w14:paraId="7B59D66A" w14:textId="77777777" w:rsidR="003B6DB3" w:rsidRPr="00A40273" w:rsidRDefault="003B6DB3" w:rsidP="004C6717">
      <w:pPr>
        <w:rPr>
          <w:rFonts w:ascii="Times New Roman" w:hAnsi="Times New Roman" w:cs="Times New Roman"/>
        </w:rPr>
      </w:pPr>
      <w:r w:rsidRPr="00A40273">
        <w:rPr>
          <w:rStyle w:val="Kpr"/>
          <w:rFonts w:ascii="Times New Roman" w:hAnsi="Times New Roman" w:cs="Times New Roman"/>
          <w:color w:val="auto"/>
        </w:rPr>
        <w:footnoteRef/>
      </w:r>
      <w:r w:rsidRPr="00A40273">
        <w:rPr>
          <w:rFonts w:ascii="Times New Roman" w:hAnsi="Times New Roman" w:cs="Times New Roman"/>
        </w:rPr>
        <w:t xml:space="preserve"> </w:t>
      </w:r>
      <w:hyperlink r:id="rId5" w:history="1">
        <w:r w:rsidRPr="00A40273">
          <w:rPr>
            <w:rStyle w:val="Balk1Char"/>
            <w:rFonts w:ascii="Times New Roman" w:eastAsiaTheme="minorHAnsi" w:hAnsi="Times New Roman" w:cs="Times New Roman"/>
            <w:color w:val="auto"/>
            <w:sz w:val="22"/>
            <w:szCs w:val="22"/>
          </w:rPr>
          <w:t>https://covid19.who.int/</w:t>
        </w:r>
      </w:hyperlink>
      <w:r w:rsidRPr="00A40273">
        <w:rPr>
          <w:rFonts w:ascii="Times New Roman" w:hAnsi="Times New Roman" w:cs="Times New Roman"/>
        </w:rPr>
        <w:t xml:space="preserve"> </w:t>
      </w:r>
    </w:p>
  </w:footnote>
  <w:footnote w:id="8">
    <w:p w14:paraId="051FCA17" w14:textId="77777777" w:rsidR="003B6DB3" w:rsidRPr="00E0308F" w:rsidRDefault="003B6DB3" w:rsidP="006127D8">
      <w:pPr>
        <w:rPr>
          <w:rFonts w:ascii="Times New Roman" w:hAnsi="Times New Roman" w:cs="Times New Roman"/>
          <w:sz w:val="20"/>
          <w:szCs w:val="20"/>
        </w:rPr>
      </w:pPr>
      <w:r>
        <w:rPr>
          <w:rStyle w:val="Kpr"/>
        </w:rPr>
        <w:footnoteRef/>
      </w:r>
      <w:r>
        <w:t xml:space="preserve"> </w:t>
      </w:r>
      <w:hyperlink r:id="rId6" w:history="1">
        <w:r w:rsidRPr="00E0308F">
          <w:rPr>
            <w:rStyle w:val="Balk1Char"/>
            <w:rFonts w:ascii="Times New Roman" w:eastAsiaTheme="minorHAnsi" w:hAnsi="Times New Roman" w:cs="Times New Roman"/>
            <w:sz w:val="20"/>
            <w:szCs w:val="20"/>
          </w:rPr>
          <w:t>https://www.ankamob.com/hakkimizda/</w:t>
        </w:r>
      </w:hyperlink>
      <w:r w:rsidRPr="00E0308F">
        <w:rPr>
          <w:rFonts w:ascii="Times New Roman" w:hAnsi="Times New Roman" w:cs="Times New Roman"/>
          <w:sz w:val="20"/>
          <w:szCs w:val="20"/>
        </w:rPr>
        <w:t xml:space="preserve"> - Erişim: 01.04.2021</w:t>
      </w:r>
    </w:p>
  </w:footnote>
  <w:footnote w:id="9">
    <w:p w14:paraId="4C33CCF5" w14:textId="77777777" w:rsidR="003B6DB3" w:rsidRDefault="003B6DB3" w:rsidP="00E00304">
      <w:pPr>
        <w:pStyle w:val="DipnotMetni"/>
        <w:jc w:val="both"/>
      </w:pPr>
      <w:r>
        <w:rPr>
          <w:rStyle w:val="DipnotBavurusu"/>
        </w:rPr>
        <w:footnoteRef/>
      </w:r>
      <w:r>
        <w:t xml:space="preserve"> </w:t>
      </w:r>
      <w:r>
        <w:rPr>
          <w:rFonts w:ascii="Times New Roman" w:hAnsi="Times New Roman" w:cs="Times New Roman"/>
        </w:rPr>
        <w:t>On 19.03.2021, the CBRT increased the weekly repo auction interest rate to 19%.</w:t>
      </w:r>
    </w:p>
  </w:footnote>
  <w:footnote w:id="10">
    <w:p w14:paraId="7A4AB1C9" w14:textId="77777777" w:rsidR="003B6DB3" w:rsidRDefault="003B6DB3" w:rsidP="00E00304">
      <w:pPr>
        <w:pStyle w:val="DipnotMetni"/>
        <w:rPr>
          <w:rFonts w:ascii="Times New Roman" w:hAnsi="Times New Roman" w:cs="Times New Roman"/>
        </w:rPr>
      </w:pPr>
      <w:r>
        <w:rPr>
          <w:rStyle w:val="DipnotBavurusu"/>
        </w:rPr>
        <w:footnoteRef/>
      </w:r>
      <w:r>
        <w:t xml:space="preserve"> </w:t>
      </w:r>
      <w:r>
        <w:rPr>
          <w:rFonts w:ascii="Times New Roman" w:hAnsi="Times New Roman" w:cs="Times New Roman"/>
        </w:rPr>
        <w:t>The dismissal ban has been gradually extended until the end of May 2021.</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2CD58B" w14:textId="78536DF3" w:rsidR="003B6DB3" w:rsidRPr="00B3031B" w:rsidRDefault="003B6DB3" w:rsidP="006923DF">
    <w:pPr>
      <w:pStyle w:val="SubsequentParagraphsTextStyle"/>
      <w:rPr>
        <w:rFonts w:ascii="Book Antiqua" w:hAnsi="Book Antiqua"/>
      </w:rPr>
    </w:pPr>
    <w:r w:rsidRPr="006923DF">
      <w:t xml:space="preserve"> </w:t>
    </w:r>
    <w:r w:rsidRPr="00B3031B">
      <w:rPr>
        <w:rFonts w:ascii="Book Antiqua" w:hAnsi="Book Antiqua"/>
        <w:noProof/>
      </w:rPr>
      <mc:AlternateContent>
        <mc:Choice Requires="wps">
          <w:drawing>
            <wp:anchor distT="0" distB="0" distL="114300" distR="114300" simplePos="0" relativeHeight="251659264" behindDoc="0" locked="0" layoutInCell="1" allowOverlap="1" wp14:anchorId="4CE2A248" wp14:editId="2D7873A8">
              <wp:simplePos x="0" y="0"/>
              <wp:positionH relativeFrom="column">
                <wp:posOffset>0</wp:posOffset>
              </wp:positionH>
              <wp:positionV relativeFrom="paragraph">
                <wp:posOffset>237490</wp:posOffset>
              </wp:positionV>
              <wp:extent cx="5829300" cy="0"/>
              <wp:effectExtent l="0" t="0" r="0" b="0"/>
              <wp:wrapNone/>
              <wp:docPr id="36" name="Düz Bağlayıcı 36"/>
              <wp:cNvGraphicFramePr/>
              <a:graphic xmlns:a="http://schemas.openxmlformats.org/drawingml/2006/main">
                <a:graphicData uri="http://schemas.microsoft.com/office/word/2010/wordprocessingShape">
                  <wps:wsp>
                    <wps:cNvCnPr/>
                    <wps:spPr>
                      <a:xfrm>
                        <a:off x="0" y="0"/>
                        <a:ext cx="5829300"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69603212" id="Düz Bağlayıcı 36"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8.7pt" to="459pt,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O/u3AEAAIkDAAAOAAAAZHJzL2Uyb0RvYy54bWysU0tuGzEM3RfoHQTt65nYiOEOPA7QGOmm&#10;aA00OQCjkWYE6AdR9di9TM+QfXf1wUrJjuu2uyBeyKQoPvKRb5Y3O2vYVkbU3rX8alJzJp3wnXZ9&#10;yx/u794tOMMErgPjnWz5XiK/Wb19sxxDI6d+8KaTkRGIw2YMLR9SCk1VoRikBZz4IB0FlY8WErmx&#10;r7oII6FbU03rel6NPnYheiER6XZ9DPJVwVdKivRFKZSJmZZTb6mcsZyP+axWS2j6CGHQ4tQGvKAL&#10;C9pR0TPUGhKwb1H/B2W1iB69ShPhbeWV0kIWDsTmqv6HzdcBgixcaDgYzmPC14MVn7ebyHTX8tmc&#10;MweWdrT+9fM7+wCHHwb2hydxeGIUo0GNARt6f+s28eRh2MTMeqeizf/Eh+3KcPfn4cpdYoIurxfT&#10;97OadiCeY9WfxBAxfZTesmy03GiXeUMD20+YqBg9fX6Sr52/08aU3RnHxpbPZ9cZGUhBykAi0wbi&#10;hK7nDExP0hQpFkT0Rnc5O+PgHm9NZFsgdZCoOj/eU7ucGcBEAeJQfpk8dfBXam5nDTgck0voKCar&#10;EynaaNvyxWW2cbmiLJo8kcoDPY4wW4++25fJVtmjfZeiJ21mQV36ZF9+QavfAAAA//8DAFBLAwQU&#10;AAYACAAAACEAOlvmR9sAAAAGAQAADwAAAGRycy9kb3ducmV2LnhtbEyPzU7DMBCE70i8g7VI3KhT&#10;gmgJcSpU1AO3EkDiuI03PxCvo9hpw9uziAMcZ2Y1822+mV2vjjSGzrOB5SIBRVx523Fj4PVld7UG&#10;FSKyxd4zGfiiAJvi/CzHzPoTP9OxjI2SEg4ZGmhjHDKtQ9WSw7DwA7FktR8dRpFjo+2IJyl3vb5O&#10;klvtsGNZaHGgbUvVZzk5A9N+WyfdLp0/3tNST0+r/dtj3RhzeTE/3IOKNMe/Y/jBF3QohOngJ7ZB&#10;9QbkkWggXd2AkvRuuRbj8GvoItf/8YtvAAAA//8DAFBLAQItABQABgAIAAAAIQC2gziS/gAAAOEB&#10;AAATAAAAAAAAAAAAAAAAAAAAAABbQ29udGVudF9UeXBlc10ueG1sUEsBAi0AFAAGAAgAAAAhADj9&#10;If/WAAAAlAEAAAsAAAAAAAAAAAAAAAAALwEAAF9yZWxzLy5yZWxzUEsBAi0AFAAGAAgAAAAhALps&#10;7+7cAQAAiQMAAA4AAAAAAAAAAAAAAAAALgIAAGRycy9lMm9Eb2MueG1sUEsBAi0AFAAGAAgAAAAh&#10;ADpb5kfbAAAABgEAAA8AAAAAAAAAAAAAAAAANgQAAGRycy9kb3ducmV2LnhtbFBLBQYAAAAABAAE&#10;APMAAAA+BQAAAAA=&#10;" strokecolor="windowText" strokeweight=".5pt">
              <v:stroke joinstyle="miter"/>
            </v:line>
          </w:pict>
        </mc:Fallback>
      </mc:AlternateContent>
    </w:r>
    <w:r w:rsidRPr="00B3031B">
      <w:rPr>
        <w:rFonts w:ascii="Book Antiqua" w:hAnsi="Book Antiqua"/>
      </w:rPr>
      <w:t xml:space="preserve">                                                                                                                  </w:t>
    </w:r>
    <w:r>
      <w:rPr>
        <w:rFonts w:ascii="Book Antiqua" w:hAnsi="Book Antiqua"/>
      </w:rPr>
      <w:t xml:space="preserve">         Full Text Proceedings</w:t>
    </w:r>
  </w:p>
  <w:p w14:paraId="6F092523" w14:textId="77777777" w:rsidR="003B6DB3" w:rsidRPr="00B3031B" w:rsidRDefault="003B6DB3" w:rsidP="006923DF">
    <w:pPr>
      <w:pStyle w:val="SubsequentParagraphsTextStyle"/>
      <w:jc w:val="center"/>
      <w:rPr>
        <w:rFonts w:ascii="Book Antiqua" w:hAnsi="Book Antiqua"/>
      </w:rPr>
    </w:pPr>
    <w:r>
      <w:t xml:space="preserve">                                                                                  </w:t>
    </w:r>
    <w:r w:rsidRPr="00B3031B">
      <w:rPr>
        <w:rFonts w:ascii="Book Antiqua" w:hAnsi="Book Antiqua"/>
      </w:rPr>
      <w:t xml:space="preserve">                                                     </w:t>
    </w:r>
  </w:p>
  <w:p w14:paraId="11B3FABB" w14:textId="466843F8" w:rsidR="003B6DB3" w:rsidRPr="006923DF" w:rsidRDefault="003B6DB3" w:rsidP="006923DF">
    <w:pPr>
      <w:pStyle w:val="stBilgi"/>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EC7343" w14:textId="77777777" w:rsidR="003B6DB3" w:rsidRPr="009016C8" w:rsidRDefault="003B6DB3" w:rsidP="00E839E1">
    <w:pPr>
      <w:ind w:left="720" w:right="45"/>
      <w:jc w:val="right"/>
      <w:rPr>
        <w:rFonts w:ascii="Book Antiqua" w:hAnsi="Book Antiqua"/>
        <w:lang w:val="fr-FR"/>
      </w:rPr>
    </w:pPr>
  </w:p>
  <w:p w14:paraId="2F0EC09C" w14:textId="77777777" w:rsidR="003B6DB3" w:rsidRPr="009016C8" w:rsidRDefault="003B6DB3" w:rsidP="00E839E1">
    <w:pPr>
      <w:ind w:right="45"/>
      <w:jc w:val="right"/>
      <w:rPr>
        <w:rFonts w:ascii="Book Antiqua" w:hAnsi="Book Antiqua"/>
        <w:lang w:val="fr-FR"/>
      </w:rPr>
    </w:pPr>
    <w:r w:rsidRPr="00062684">
      <w:rPr>
        <w:rFonts w:ascii="Book Antiqua" w:hAnsi="Book Antiqua"/>
        <w:noProof/>
        <w:lang w:val="en-US"/>
      </w:rPr>
      <mc:AlternateContent>
        <mc:Choice Requires="wps">
          <w:drawing>
            <wp:anchor distT="0" distB="0" distL="114300" distR="114300" simplePos="0" relativeHeight="251661312" behindDoc="0" locked="0" layoutInCell="1" allowOverlap="1" wp14:anchorId="6CB636B8" wp14:editId="255E1D7E">
              <wp:simplePos x="0" y="0"/>
              <wp:positionH relativeFrom="column">
                <wp:posOffset>4445</wp:posOffset>
              </wp:positionH>
              <wp:positionV relativeFrom="paragraph">
                <wp:posOffset>40005</wp:posOffset>
              </wp:positionV>
              <wp:extent cx="5601970" cy="0"/>
              <wp:effectExtent l="13970" t="11430" r="13335" b="7620"/>
              <wp:wrapNone/>
              <wp:docPr id="189"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01970"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C82F8FB" id="_x0000_t32" coordsize="21600,21600" o:spt="32" o:oned="t" path="m,l21600,21600e" filled="f">
              <v:path arrowok="t" fillok="f" o:connecttype="none"/>
              <o:lock v:ext="edit" shapetype="t"/>
            </v:shapetype>
            <v:shape id="AutoShape 6" o:spid="_x0000_s1026" type="#_x0000_t32" style="position:absolute;margin-left:.35pt;margin-top:3.15pt;width:441.1pt;height: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rQtIAIAAD4EAAAOAAAAZHJzL2Uyb0RvYy54bWysU8uO2zAMvBfoPwi+J7ZTbx5GnMXCTnrZ&#10;dgPs9gMUSbaF2qIgKXGCov9eSnkg216KojkolEkOhxxq+XjsO3IQxkpQRZSOk4gIxYBL1RTRt7fN&#10;aB4R66jitAMliugkbPS4+vhhOehcTKCFjgtDEETZfNBF1Dqn8zi2rBU9tWPQQqGzBtNTh1fTxNzQ&#10;AdH7Lp4kyTQewHBtgAlr8Wt1dkargF/XgrmXurbCka6IkJsLpwnnzp/xaknzxlDdSnahQf+BRU+l&#10;wqI3qIo6SvZG/gHVS2bAQu3GDPoY6loyEXrAbtLkt25eW6pF6AWHY/VtTPb/wbKvh60hkqN280VE&#10;FO1RpKe9g1CbTP2ABm1zjCvV1vgW2VG96mdg3y1RULZUNSIEv5005qY+I36X4i9WY5nd8AU4xlDE&#10;D9M61qb3kDgHcgyinG6iiKMjDD8+TJN0MUPt2NUX0/yaqI11nwX0xBtFZJ2hsmldCUqh9GDSUIYe&#10;nq3ztGh+TfBVFWxk14UN6BQZkPtkliQhw0Inuff6OGuaXdkZcqB+icIvNIme+zADe8UDWisoX19s&#10;R2V3trF6pzwedoZ8LtZ5S34sksV6vp5no2wyXY+ypKpGT5syG0036eyh+lSVZZX+9NTSLG8l50J5&#10;dteNTbO/24jL2znv2m1nb3OI36OHgSHZ638gHaT1ap73Ygf8tDVXyXFJQ/DlQflXcH9H+/7Zr34B&#10;AAD//wMAUEsDBBQABgAIAAAAIQCsX0WC1gAAAAQBAAAPAAAAZHJzL2Rvd25yZXYueG1sTI5BT4NA&#10;EIXvJv6HzZh4s4vVIiJLoyaeG6kXbwM7BSI7S9htwX/v6MUeX97L975iu7hBnWgKvWcDt6sEFHHj&#10;bc+tgY/9200GKkRki4NnMvBNAbbl5UWBufUzv9Opiq0SCIccDXQxjrnWoenIYVj5kVi6g58cRolT&#10;q+2Es8DdoNdJkmqHPctDhyO9dtR8VUdn4OHefnpMXzb1Zt7tIx26KtstxlxfLc9PoCIt8X8Mv/qi&#10;DqU41f7INqhBGLIzkN6BkjLL1o+g6r+sy0Kfy5c/AAAA//8DAFBLAQItABQABgAIAAAAIQC2gziS&#10;/gAAAOEBAAATAAAAAAAAAAAAAAAAAAAAAABbQ29udGVudF9UeXBlc10ueG1sUEsBAi0AFAAGAAgA&#10;AAAhADj9If/WAAAAlAEAAAsAAAAAAAAAAAAAAAAALwEAAF9yZWxzLy5yZWxzUEsBAi0AFAAGAAgA&#10;AAAhAN9atC0gAgAAPgQAAA4AAAAAAAAAAAAAAAAALgIAAGRycy9lMm9Eb2MueG1sUEsBAi0AFAAG&#10;AAgAAAAhAKxfRYLWAAAABAEAAA8AAAAAAAAAAAAAAAAAegQAAGRycy9kb3ducmV2LnhtbFBLBQYA&#10;AAAABAAEAPMAAAB9BQAAAAA=&#10;" strokeweight="1pt"/>
          </w:pict>
        </mc:Fallback>
      </mc:AlternateContent>
    </w:r>
    <w:r w:rsidRPr="009016C8">
      <w:rPr>
        <w:rFonts w:ascii="Book Antiqua" w:hAnsi="Book Antiqua"/>
        <w:lang w:val="fr-FR"/>
      </w:rP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AB5DCE"/>
    <w:multiLevelType w:val="hybridMultilevel"/>
    <w:tmpl w:val="C9FC75AA"/>
    <w:lvl w:ilvl="0" w:tplc="8B2E0CF8">
      <w:start w:val="2"/>
      <w:numFmt w:val="bullet"/>
      <w:lvlText w:val=""/>
      <w:lvlJc w:val="left"/>
      <w:pPr>
        <w:ind w:left="720" w:hanging="360"/>
      </w:pPr>
      <w:rPr>
        <w:rFonts w:ascii="Symbol" w:eastAsia="Calibri" w:hAnsi="Symbol"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046122ED"/>
    <w:multiLevelType w:val="hybridMultilevel"/>
    <w:tmpl w:val="B3649A4E"/>
    <w:lvl w:ilvl="0" w:tplc="4E047D98">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C960953"/>
    <w:multiLevelType w:val="hybridMultilevel"/>
    <w:tmpl w:val="25A81550"/>
    <w:lvl w:ilvl="0" w:tplc="F5EE4F78">
      <w:start w:val="3"/>
      <w:numFmt w:val="bullet"/>
      <w:lvlText w:val="-"/>
      <w:lvlJc w:val="left"/>
      <w:pPr>
        <w:ind w:left="1812" w:hanging="360"/>
      </w:pPr>
      <w:rPr>
        <w:rFonts w:ascii="Times New Roman" w:eastAsiaTheme="minorHAnsi" w:hAnsi="Times New Roman" w:cs="Times New Roman" w:hint="default"/>
      </w:rPr>
    </w:lvl>
    <w:lvl w:ilvl="1" w:tplc="041F0003" w:tentative="1">
      <w:start w:val="1"/>
      <w:numFmt w:val="bullet"/>
      <w:lvlText w:val="o"/>
      <w:lvlJc w:val="left"/>
      <w:pPr>
        <w:ind w:left="2532" w:hanging="360"/>
      </w:pPr>
      <w:rPr>
        <w:rFonts w:ascii="Courier New" w:hAnsi="Courier New" w:cs="Courier New" w:hint="default"/>
      </w:rPr>
    </w:lvl>
    <w:lvl w:ilvl="2" w:tplc="041F0005" w:tentative="1">
      <w:start w:val="1"/>
      <w:numFmt w:val="bullet"/>
      <w:lvlText w:val=""/>
      <w:lvlJc w:val="left"/>
      <w:pPr>
        <w:ind w:left="3252" w:hanging="360"/>
      </w:pPr>
      <w:rPr>
        <w:rFonts w:ascii="Wingdings" w:hAnsi="Wingdings" w:hint="default"/>
      </w:rPr>
    </w:lvl>
    <w:lvl w:ilvl="3" w:tplc="041F0001" w:tentative="1">
      <w:start w:val="1"/>
      <w:numFmt w:val="bullet"/>
      <w:lvlText w:val=""/>
      <w:lvlJc w:val="left"/>
      <w:pPr>
        <w:ind w:left="3972" w:hanging="360"/>
      </w:pPr>
      <w:rPr>
        <w:rFonts w:ascii="Symbol" w:hAnsi="Symbol" w:hint="default"/>
      </w:rPr>
    </w:lvl>
    <w:lvl w:ilvl="4" w:tplc="041F0003" w:tentative="1">
      <w:start w:val="1"/>
      <w:numFmt w:val="bullet"/>
      <w:lvlText w:val="o"/>
      <w:lvlJc w:val="left"/>
      <w:pPr>
        <w:ind w:left="4692" w:hanging="360"/>
      </w:pPr>
      <w:rPr>
        <w:rFonts w:ascii="Courier New" w:hAnsi="Courier New" w:cs="Courier New" w:hint="default"/>
      </w:rPr>
    </w:lvl>
    <w:lvl w:ilvl="5" w:tplc="041F0005" w:tentative="1">
      <w:start w:val="1"/>
      <w:numFmt w:val="bullet"/>
      <w:lvlText w:val=""/>
      <w:lvlJc w:val="left"/>
      <w:pPr>
        <w:ind w:left="5412" w:hanging="360"/>
      </w:pPr>
      <w:rPr>
        <w:rFonts w:ascii="Wingdings" w:hAnsi="Wingdings" w:hint="default"/>
      </w:rPr>
    </w:lvl>
    <w:lvl w:ilvl="6" w:tplc="041F0001" w:tentative="1">
      <w:start w:val="1"/>
      <w:numFmt w:val="bullet"/>
      <w:lvlText w:val=""/>
      <w:lvlJc w:val="left"/>
      <w:pPr>
        <w:ind w:left="6132" w:hanging="360"/>
      </w:pPr>
      <w:rPr>
        <w:rFonts w:ascii="Symbol" w:hAnsi="Symbol" w:hint="default"/>
      </w:rPr>
    </w:lvl>
    <w:lvl w:ilvl="7" w:tplc="041F0003" w:tentative="1">
      <w:start w:val="1"/>
      <w:numFmt w:val="bullet"/>
      <w:lvlText w:val="o"/>
      <w:lvlJc w:val="left"/>
      <w:pPr>
        <w:ind w:left="6852" w:hanging="360"/>
      </w:pPr>
      <w:rPr>
        <w:rFonts w:ascii="Courier New" w:hAnsi="Courier New" w:cs="Courier New" w:hint="default"/>
      </w:rPr>
    </w:lvl>
    <w:lvl w:ilvl="8" w:tplc="041F0005" w:tentative="1">
      <w:start w:val="1"/>
      <w:numFmt w:val="bullet"/>
      <w:lvlText w:val=""/>
      <w:lvlJc w:val="left"/>
      <w:pPr>
        <w:ind w:left="7572" w:hanging="360"/>
      </w:pPr>
      <w:rPr>
        <w:rFonts w:ascii="Wingdings" w:hAnsi="Wingdings" w:hint="default"/>
      </w:rPr>
    </w:lvl>
  </w:abstractNum>
  <w:abstractNum w:abstractNumId="3" w15:restartNumberingAfterBreak="0">
    <w:nsid w:val="0D787043"/>
    <w:multiLevelType w:val="hybridMultilevel"/>
    <w:tmpl w:val="3BB4F376"/>
    <w:lvl w:ilvl="0" w:tplc="14684CA8">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0E335CB5"/>
    <w:multiLevelType w:val="hybridMultilevel"/>
    <w:tmpl w:val="B3729610"/>
    <w:lvl w:ilvl="0" w:tplc="042C0001">
      <w:start w:val="1"/>
      <w:numFmt w:val="bullet"/>
      <w:lvlText w:val=""/>
      <w:lvlJc w:val="left"/>
      <w:pPr>
        <w:ind w:left="720" w:hanging="360"/>
      </w:pPr>
      <w:rPr>
        <w:rFonts w:ascii="Symbol" w:hAnsi="Symbol" w:hint="default"/>
      </w:rPr>
    </w:lvl>
    <w:lvl w:ilvl="1" w:tplc="042C0003" w:tentative="1">
      <w:start w:val="1"/>
      <w:numFmt w:val="bullet"/>
      <w:lvlText w:val="o"/>
      <w:lvlJc w:val="left"/>
      <w:pPr>
        <w:ind w:left="1440" w:hanging="360"/>
      </w:pPr>
      <w:rPr>
        <w:rFonts w:ascii="Courier New" w:hAnsi="Courier New" w:cs="Courier New" w:hint="default"/>
      </w:rPr>
    </w:lvl>
    <w:lvl w:ilvl="2" w:tplc="042C0005" w:tentative="1">
      <w:start w:val="1"/>
      <w:numFmt w:val="bullet"/>
      <w:lvlText w:val=""/>
      <w:lvlJc w:val="left"/>
      <w:pPr>
        <w:ind w:left="2160" w:hanging="360"/>
      </w:pPr>
      <w:rPr>
        <w:rFonts w:ascii="Wingdings" w:hAnsi="Wingdings" w:hint="default"/>
      </w:rPr>
    </w:lvl>
    <w:lvl w:ilvl="3" w:tplc="042C0001" w:tentative="1">
      <w:start w:val="1"/>
      <w:numFmt w:val="bullet"/>
      <w:lvlText w:val=""/>
      <w:lvlJc w:val="left"/>
      <w:pPr>
        <w:ind w:left="2880" w:hanging="360"/>
      </w:pPr>
      <w:rPr>
        <w:rFonts w:ascii="Symbol" w:hAnsi="Symbol" w:hint="default"/>
      </w:rPr>
    </w:lvl>
    <w:lvl w:ilvl="4" w:tplc="042C0003" w:tentative="1">
      <w:start w:val="1"/>
      <w:numFmt w:val="bullet"/>
      <w:lvlText w:val="o"/>
      <w:lvlJc w:val="left"/>
      <w:pPr>
        <w:ind w:left="3600" w:hanging="360"/>
      </w:pPr>
      <w:rPr>
        <w:rFonts w:ascii="Courier New" w:hAnsi="Courier New" w:cs="Courier New" w:hint="default"/>
      </w:rPr>
    </w:lvl>
    <w:lvl w:ilvl="5" w:tplc="042C0005" w:tentative="1">
      <w:start w:val="1"/>
      <w:numFmt w:val="bullet"/>
      <w:lvlText w:val=""/>
      <w:lvlJc w:val="left"/>
      <w:pPr>
        <w:ind w:left="4320" w:hanging="360"/>
      </w:pPr>
      <w:rPr>
        <w:rFonts w:ascii="Wingdings" w:hAnsi="Wingdings" w:hint="default"/>
      </w:rPr>
    </w:lvl>
    <w:lvl w:ilvl="6" w:tplc="042C0001" w:tentative="1">
      <w:start w:val="1"/>
      <w:numFmt w:val="bullet"/>
      <w:lvlText w:val=""/>
      <w:lvlJc w:val="left"/>
      <w:pPr>
        <w:ind w:left="5040" w:hanging="360"/>
      </w:pPr>
      <w:rPr>
        <w:rFonts w:ascii="Symbol" w:hAnsi="Symbol" w:hint="default"/>
      </w:rPr>
    </w:lvl>
    <w:lvl w:ilvl="7" w:tplc="042C0003" w:tentative="1">
      <w:start w:val="1"/>
      <w:numFmt w:val="bullet"/>
      <w:lvlText w:val="o"/>
      <w:lvlJc w:val="left"/>
      <w:pPr>
        <w:ind w:left="5760" w:hanging="360"/>
      </w:pPr>
      <w:rPr>
        <w:rFonts w:ascii="Courier New" w:hAnsi="Courier New" w:cs="Courier New" w:hint="default"/>
      </w:rPr>
    </w:lvl>
    <w:lvl w:ilvl="8" w:tplc="042C0005" w:tentative="1">
      <w:start w:val="1"/>
      <w:numFmt w:val="bullet"/>
      <w:lvlText w:val=""/>
      <w:lvlJc w:val="left"/>
      <w:pPr>
        <w:ind w:left="6480" w:hanging="360"/>
      </w:pPr>
      <w:rPr>
        <w:rFonts w:ascii="Wingdings" w:hAnsi="Wingdings" w:hint="default"/>
      </w:rPr>
    </w:lvl>
  </w:abstractNum>
  <w:abstractNum w:abstractNumId="5" w15:restartNumberingAfterBreak="0">
    <w:nsid w:val="10ED7D80"/>
    <w:multiLevelType w:val="hybridMultilevel"/>
    <w:tmpl w:val="D242A552"/>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6" w15:restartNumberingAfterBreak="0">
    <w:nsid w:val="11A8000A"/>
    <w:multiLevelType w:val="multilevel"/>
    <w:tmpl w:val="D2BADD18"/>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 w15:restartNumberingAfterBreak="0">
    <w:nsid w:val="12B85944"/>
    <w:multiLevelType w:val="hybridMultilevel"/>
    <w:tmpl w:val="812AA1B4"/>
    <w:lvl w:ilvl="0" w:tplc="042C000F">
      <w:start w:val="1"/>
      <w:numFmt w:val="decimal"/>
      <w:lvlText w:val="%1."/>
      <w:lvlJc w:val="left"/>
      <w:pPr>
        <w:ind w:left="720" w:hanging="360"/>
      </w:pPr>
    </w:lvl>
    <w:lvl w:ilvl="1" w:tplc="042C0019" w:tentative="1">
      <w:start w:val="1"/>
      <w:numFmt w:val="lowerLetter"/>
      <w:lvlText w:val="%2."/>
      <w:lvlJc w:val="left"/>
      <w:pPr>
        <w:ind w:left="1440" w:hanging="360"/>
      </w:pPr>
    </w:lvl>
    <w:lvl w:ilvl="2" w:tplc="042C001B" w:tentative="1">
      <w:start w:val="1"/>
      <w:numFmt w:val="lowerRoman"/>
      <w:lvlText w:val="%3."/>
      <w:lvlJc w:val="right"/>
      <w:pPr>
        <w:ind w:left="2160" w:hanging="180"/>
      </w:pPr>
    </w:lvl>
    <w:lvl w:ilvl="3" w:tplc="042C000F" w:tentative="1">
      <w:start w:val="1"/>
      <w:numFmt w:val="decimal"/>
      <w:lvlText w:val="%4."/>
      <w:lvlJc w:val="left"/>
      <w:pPr>
        <w:ind w:left="2880" w:hanging="360"/>
      </w:pPr>
    </w:lvl>
    <w:lvl w:ilvl="4" w:tplc="042C0019" w:tentative="1">
      <w:start w:val="1"/>
      <w:numFmt w:val="lowerLetter"/>
      <w:lvlText w:val="%5."/>
      <w:lvlJc w:val="left"/>
      <w:pPr>
        <w:ind w:left="3600" w:hanging="360"/>
      </w:pPr>
    </w:lvl>
    <w:lvl w:ilvl="5" w:tplc="042C001B" w:tentative="1">
      <w:start w:val="1"/>
      <w:numFmt w:val="lowerRoman"/>
      <w:lvlText w:val="%6."/>
      <w:lvlJc w:val="right"/>
      <w:pPr>
        <w:ind w:left="4320" w:hanging="180"/>
      </w:pPr>
    </w:lvl>
    <w:lvl w:ilvl="6" w:tplc="042C000F" w:tentative="1">
      <w:start w:val="1"/>
      <w:numFmt w:val="decimal"/>
      <w:lvlText w:val="%7."/>
      <w:lvlJc w:val="left"/>
      <w:pPr>
        <w:ind w:left="5040" w:hanging="360"/>
      </w:pPr>
    </w:lvl>
    <w:lvl w:ilvl="7" w:tplc="042C0019" w:tentative="1">
      <w:start w:val="1"/>
      <w:numFmt w:val="lowerLetter"/>
      <w:lvlText w:val="%8."/>
      <w:lvlJc w:val="left"/>
      <w:pPr>
        <w:ind w:left="5760" w:hanging="360"/>
      </w:pPr>
    </w:lvl>
    <w:lvl w:ilvl="8" w:tplc="042C001B" w:tentative="1">
      <w:start w:val="1"/>
      <w:numFmt w:val="lowerRoman"/>
      <w:lvlText w:val="%9."/>
      <w:lvlJc w:val="right"/>
      <w:pPr>
        <w:ind w:left="6480" w:hanging="180"/>
      </w:pPr>
    </w:lvl>
  </w:abstractNum>
  <w:abstractNum w:abstractNumId="8" w15:restartNumberingAfterBreak="0">
    <w:nsid w:val="154F3D92"/>
    <w:multiLevelType w:val="multilevel"/>
    <w:tmpl w:val="041F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9" w15:restartNumberingAfterBreak="0">
    <w:nsid w:val="18B21F3E"/>
    <w:multiLevelType w:val="hybridMultilevel"/>
    <w:tmpl w:val="8870A24A"/>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10" w15:restartNumberingAfterBreak="0">
    <w:nsid w:val="1BD15B86"/>
    <w:multiLevelType w:val="multilevel"/>
    <w:tmpl w:val="041F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1" w15:restartNumberingAfterBreak="0">
    <w:nsid w:val="1C174E08"/>
    <w:multiLevelType w:val="multilevel"/>
    <w:tmpl w:val="041F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2" w15:restartNumberingAfterBreak="0">
    <w:nsid w:val="1D2E2679"/>
    <w:multiLevelType w:val="hybridMultilevel"/>
    <w:tmpl w:val="4BFC66F0"/>
    <w:lvl w:ilvl="0" w:tplc="6CD6C520">
      <w:start w:val="1"/>
      <w:numFmt w:val="bullet"/>
      <w:lvlText w:val="-"/>
      <w:lvlJc w:val="left"/>
      <w:pPr>
        <w:ind w:left="720" w:hanging="360"/>
      </w:pPr>
      <w:rPr>
        <w:rFonts w:ascii="&quot;Times New Roman&quot;,&quot;serif&quot;" w:hAnsi="&quot;Times New Roman&quot;,&quot;serif&quot;" w:hint="default"/>
      </w:rPr>
    </w:lvl>
    <w:lvl w:ilvl="1" w:tplc="D662075A">
      <w:start w:val="1"/>
      <w:numFmt w:val="bullet"/>
      <w:lvlText w:val="o"/>
      <w:lvlJc w:val="left"/>
      <w:pPr>
        <w:ind w:left="1440" w:hanging="360"/>
      </w:pPr>
      <w:rPr>
        <w:rFonts w:ascii="Courier New" w:hAnsi="Courier New" w:hint="default"/>
      </w:rPr>
    </w:lvl>
    <w:lvl w:ilvl="2" w:tplc="8AA446E2">
      <w:start w:val="1"/>
      <w:numFmt w:val="bullet"/>
      <w:lvlText w:val=""/>
      <w:lvlJc w:val="left"/>
      <w:pPr>
        <w:ind w:left="2160" w:hanging="360"/>
      </w:pPr>
      <w:rPr>
        <w:rFonts w:ascii="Wingdings" w:hAnsi="Wingdings" w:hint="default"/>
      </w:rPr>
    </w:lvl>
    <w:lvl w:ilvl="3" w:tplc="DC0C5D80">
      <w:start w:val="1"/>
      <w:numFmt w:val="bullet"/>
      <w:lvlText w:val=""/>
      <w:lvlJc w:val="left"/>
      <w:pPr>
        <w:ind w:left="2880" w:hanging="360"/>
      </w:pPr>
      <w:rPr>
        <w:rFonts w:ascii="Symbol" w:hAnsi="Symbol" w:hint="default"/>
      </w:rPr>
    </w:lvl>
    <w:lvl w:ilvl="4" w:tplc="4DBA6A3E">
      <w:start w:val="1"/>
      <w:numFmt w:val="bullet"/>
      <w:lvlText w:val="o"/>
      <w:lvlJc w:val="left"/>
      <w:pPr>
        <w:ind w:left="3600" w:hanging="360"/>
      </w:pPr>
      <w:rPr>
        <w:rFonts w:ascii="Courier New" w:hAnsi="Courier New" w:hint="default"/>
      </w:rPr>
    </w:lvl>
    <w:lvl w:ilvl="5" w:tplc="634CC442">
      <w:start w:val="1"/>
      <w:numFmt w:val="bullet"/>
      <w:lvlText w:val=""/>
      <w:lvlJc w:val="left"/>
      <w:pPr>
        <w:ind w:left="4320" w:hanging="360"/>
      </w:pPr>
      <w:rPr>
        <w:rFonts w:ascii="Wingdings" w:hAnsi="Wingdings" w:hint="default"/>
      </w:rPr>
    </w:lvl>
    <w:lvl w:ilvl="6" w:tplc="D3585008">
      <w:start w:val="1"/>
      <w:numFmt w:val="bullet"/>
      <w:lvlText w:val=""/>
      <w:lvlJc w:val="left"/>
      <w:pPr>
        <w:ind w:left="5040" w:hanging="360"/>
      </w:pPr>
      <w:rPr>
        <w:rFonts w:ascii="Symbol" w:hAnsi="Symbol" w:hint="default"/>
      </w:rPr>
    </w:lvl>
    <w:lvl w:ilvl="7" w:tplc="A560E8A0">
      <w:start w:val="1"/>
      <w:numFmt w:val="bullet"/>
      <w:lvlText w:val="o"/>
      <w:lvlJc w:val="left"/>
      <w:pPr>
        <w:ind w:left="5760" w:hanging="360"/>
      </w:pPr>
      <w:rPr>
        <w:rFonts w:ascii="Courier New" w:hAnsi="Courier New" w:hint="default"/>
      </w:rPr>
    </w:lvl>
    <w:lvl w:ilvl="8" w:tplc="02CA7D68">
      <w:start w:val="1"/>
      <w:numFmt w:val="bullet"/>
      <w:lvlText w:val=""/>
      <w:lvlJc w:val="left"/>
      <w:pPr>
        <w:ind w:left="6480" w:hanging="360"/>
      </w:pPr>
      <w:rPr>
        <w:rFonts w:ascii="Wingdings" w:hAnsi="Wingdings" w:hint="default"/>
      </w:rPr>
    </w:lvl>
  </w:abstractNum>
  <w:abstractNum w:abstractNumId="13" w15:restartNumberingAfterBreak="0">
    <w:nsid w:val="1DAA3CE5"/>
    <w:multiLevelType w:val="hybridMultilevel"/>
    <w:tmpl w:val="3ABCC64E"/>
    <w:lvl w:ilvl="0" w:tplc="460A6D5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1EA30EB2"/>
    <w:multiLevelType w:val="hybridMultilevel"/>
    <w:tmpl w:val="0A328048"/>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15" w15:restartNumberingAfterBreak="0">
    <w:nsid w:val="1ECE785A"/>
    <w:multiLevelType w:val="hybridMultilevel"/>
    <w:tmpl w:val="EEDC28AA"/>
    <w:lvl w:ilvl="0" w:tplc="042C0001">
      <w:start w:val="1"/>
      <w:numFmt w:val="bullet"/>
      <w:lvlText w:val=""/>
      <w:lvlJc w:val="left"/>
      <w:pPr>
        <w:ind w:left="720" w:hanging="360"/>
      </w:pPr>
      <w:rPr>
        <w:rFonts w:ascii="Symbol" w:hAnsi="Symbol" w:hint="default"/>
      </w:rPr>
    </w:lvl>
    <w:lvl w:ilvl="1" w:tplc="042C0003" w:tentative="1">
      <w:start w:val="1"/>
      <w:numFmt w:val="bullet"/>
      <w:lvlText w:val="o"/>
      <w:lvlJc w:val="left"/>
      <w:pPr>
        <w:ind w:left="1440" w:hanging="360"/>
      </w:pPr>
      <w:rPr>
        <w:rFonts w:ascii="Courier New" w:hAnsi="Courier New" w:cs="Courier New" w:hint="default"/>
      </w:rPr>
    </w:lvl>
    <w:lvl w:ilvl="2" w:tplc="042C0005" w:tentative="1">
      <w:start w:val="1"/>
      <w:numFmt w:val="bullet"/>
      <w:lvlText w:val=""/>
      <w:lvlJc w:val="left"/>
      <w:pPr>
        <w:ind w:left="2160" w:hanging="360"/>
      </w:pPr>
      <w:rPr>
        <w:rFonts w:ascii="Wingdings" w:hAnsi="Wingdings" w:hint="default"/>
      </w:rPr>
    </w:lvl>
    <w:lvl w:ilvl="3" w:tplc="042C0001" w:tentative="1">
      <w:start w:val="1"/>
      <w:numFmt w:val="bullet"/>
      <w:lvlText w:val=""/>
      <w:lvlJc w:val="left"/>
      <w:pPr>
        <w:ind w:left="2880" w:hanging="360"/>
      </w:pPr>
      <w:rPr>
        <w:rFonts w:ascii="Symbol" w:hAnsi="Symbol" w:hint="default"/>
      </w:rPr>
    </w:lvl>
    <w:lvl w:ilvl="4" w:tplc="042C0003" w:tentative="1">
      <w:start w:val="1"/>
      <w:numFmt w:val="bullet"/>
      <w:lvlText w:val="o"/>
      <w:lvlJc w:val="left"/>
      <w:pPr>
        <w:ind w:left="3600" w:hanging="360"/>
      </w:pPr>
      <w:rPr>
        <w:rFonts w:ascii="Courier New" w:hAnsi="Courier New" w:cs="Courier New" w:hint="default"/>
      </w:rPr>
    </w:lvl>
    <w:lvl w:ilvl="5" w:tplc="042C0005" w:tentative="1">
      <w:start w:val="1"/>
      <w:numFmt w:val="bullet"/>
      <w:lvlText w:val=""/>
      <w:lvlJc w:val="left"/>
      <w:pPr>
        <w:ind w:left="4320" w:hanging="360"/>
      </w:pPr>
      <w:rPr>
        <w:rFonts w:ascii="Wingdings" w:hAnsi="Wingdings" w:hint="default"/>
      </w:rPr>
    </w:lvl>
    <w:lvl w:ilvl="6" w:tplc="042C0001" w:tentative="1">
      <w:start w:val="1"/>
      <w:numFmt w:val="bullet"/>
      <w:lvlText w:val=""/>
      <w:lvlJc w:val="left"/>
      <w:pPr>
        <w:ind w:left="5040" w:hanging="360"/>
      </w:pPr>
      <w:rPr>
        <w:rFonts w:ascii="Symbol" w:hAnsi="Symbol" w:hint="default"/>
      </w:rPr>
    </w:lvl>
    <w:lvl w:ilvl="7" w:tplc="042C0003" w:tentative="1">
      <w:start w:val="1"/>
      <w:numFmt w:val="bullet"/>
      <w:lvlText w:val="o"/>
      <w:lvlJc w:val="left"/>
      <w:pPr>
        <w:ind w:left="5760" w:hanging="360"/>
      </w:pPr>
      <w:rPr>
        <w:rFonts w:ascii="Courier New" w:hAnsi="Courier New" w:cs="Courier New" w:hint="default"/>
      </w:rPr>
    </w:lvl>
    <w:lvl w:ilvl="8" w:tplc="042C0005" w:tentative="1">
      <w:start w:val="1"/>
      <w:numFmt w:val="bullet"/>
      <w:lvlText w:val=""/>
      <w:lvlJc w:val="left"/>
      <w:pPr>
        <w:ind w:left="6480" w:hanging="360"/>
      </w:pPr>
      <w:rPr>
        <w:rFonts w:ascii="Wingdings" w:hAnsi="Wingdings" w:hint="default"/>
      </w:rPr>
    </w:lvl>
  </w:abstractNum>
  <w:abstractNum w:abstractNumId="16" w15:restartNumberingAfterBreak="0">
    <w:nsid w:val="1FD971C8"/>
    <w:multiLevelType w:val="hybridMultilevel"/>
    <w:tmpl w:val="92B8399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1FF40C4E"/>
    <w:multiLevelType w:val="hybridMultilevel"/>
    <w:tmpl w:val="1D6E74E0"/>
    <w:lvl w:ilvl="0" w:tplc="0430FE58">
      <w:start w:val="2019"/>
      <w:numFmt w:val="bullet"/>
      <w:lvlText w:val="-"/>
      <w:lvlJc w:val="left"/>
      <w:pPr>
        <w:ind w:left="1069" w:hanging="360"/>
      </w:pPr>
      <w:rPr>
        <w:rFonts w:ascii="Times New Roman" w:eastAsiaTheme="minorHAnsi" w:hAnsi="Times New Roman" w:cs="Times New Roman" w:hint="default"/>
      </w:rPr>
    </w:lvl>
    <w:lvl w:ilvl="1" w:tplc="041F0003" w:tentative="1">
      <w:start w:val="1"/>
      <w:numFmt w:val="bullet"/>
      <w:lvlText w:val="o"/>
      <w:lvlJc w:val="left"/>
      <w:pPr>
        <w:ind w:left="1789" w:hanging="360"/>
      </w:pPr>
      <w:rPr>
        <w:rFonts w:ascii="Courier New" w:hAnsi="Courier New" w:cs="Courier New" w:hint="default"/>
      </w:rPr>
    </w:lvl>
    <w:lvl w:ilvl="2" w:tplc="041F0005" w:tentative="1">
      <w:start w:val="1"/>
      <w:numFmt w:val="bullet"/>
      <w:lvlText w:val=""/>
      <w:lvlJc w:val="left"/>
      <w:pPr>
        <w:ind w:left="2509" w:hanging="360"/>
      </w:pPr>
      <w:rPr>
        <w:rFonts w:ascii="Wingdings" w:hAnsi="Wingdings" w:hint="default"/>
      </w:rPr>
    </w:lvl>
    <w:lvl w:ilvl="3" w:tplc="041F0001" w:tentative="1">
      <w:start w:val="1"/>
      <w:numFmt w:val="bullet"/>
      <w:lvlText w:val=""/>
      <w:lvlJc w:val="left"/>
      <w:pPr>
        <w:ind w:left="3229" w:hanging="360"/>
      </w:pPr>
      <w:rPr>
        <w:rFonts w:ascii="Symbol" w:hAnsi="Symbol" w:hint="default"/>
      </w:rPr>
    </w:lvl>
    <w:lvl w:ilvl="4" w:tplc="041F0003" w:tentative="1">
      <w:start w:val="1"/>
      <w:numFmt w:val="bullet"/>
      <w:lvlText w:val="o"/>
      <w:lvlJc w:val="left"/>
      <w:pPr>
        <w:ind w:left="3949" w:hanging="360"/>
      </w:pPr>
      <w:rPr>
        <w:rFonts w:ascii="Courier New" w:hAnsi="Courier New" w:cs="Courier New" w:hint="default"/>
      </w:rPr>
    </w:lvl>
    <w:lvl w:ilvl="5" w:tplc="041F0005" w:tentative="1">
      <w:start w:val="1"/>
      <w:numFmt w:val="bullet"/>
      <w:lvlText w:val=""/>
      <w:lvlJc w:val="left"/>
      <w:pPr>
        <w:ind w:left="4669" w:hanging="360"/>
      </w:pPr>
      <w:rPr>
        <w:rFonts w:ascii="Wingdings" w:hAnsi="Wingdings" w:hint="default"/>
      </w:rPr>
    </w:lvl>
    <w:lvl w:ilvl="6" w:tplc="041F0001" w:tentative="1">
      <w:start w:val="1"/>
      <w:numFmt w:val="bullet"/>
      <w:lvlText w:val=""/>
      <w:lvlJc w:val="left"/>
      <w:pPr>
        <w:ind w:left="5389" w:hanging="360"/>
      </w:pPr>
      <w:rPr>
        <w:rFonts w:ascii="Symbol" w:hAnsi="Symbol" w:hint="default"/>
      </w:rPr>
    </w:lvl>
    <w:lvl w:ilvl="7" w:tplc="041F0003" w:tentative="1">
      <w:start w:val="1"/>
      <w:numFmt w:val="bullet"/>
      <w:lvlText w:val="o"/>
      <w:lvlJc w:val="left"/>
      <w:pPr>
        <w:ind w:left="6109" w:hanging="360"/>
      </w:pPr>
      <w:rPr>
        <w:rFonts w:ascii="Courier New" w:hAnsi="Courier New" w:cs="Courier New" w:hint="default"/>
      </w:rPr>
    </w:lvl>
    <w:lvl w:ilvl="8" w:tplc="041F0005" w:tentative="1">
      <w:start w:val="1"/>
      <w:numFmt w:val="bullet"/>
      <w:lvlText w:val=""/>
      <w:lvlJc w:val="left"/>
      <w:pPr>
        <w:ind w:left="6829" w:hanging="360"/>
      </w:pPr>
      <w:rPr>
        <w:rFonts w:ascii="Wingdings" w:hAnsi="Wingdings" w:hint="default"/>
      </w:rPr>
    </w:lvl>
  </w:abstractNum>
  <w:abstractNum w:abstractNumId="18" w15:restartNumberingAfterBreak="0">
    <w:nsid w:val="20313A73"/>
    <w:multiLevelType w:val="hybridMultilevel"/>
    <w:tmpl w:val="28B86356"/>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9" w15:restartNumberingAfterBreak="0">
    <w:nsid w:val="20866A59"/>
    <w:multiLevelType w:val="multilevel"/>
    <w:tmpl w:val="5768A1F6"/>
    <w:lvl w:ilvl="0">
      <w:start w:val="1"/>
      <w:numFmt w:val="decimal"/>
      <w:lvlText w:val="%1."/>
      <w:lvlJc w:val="left"/>
      <w:pPr>
        <w:ind w:left="1068" w:hanging="360"/>
      </w:pPr>
      <w:rPr>
        <w:rFonts w:hint="default"/>
      </w:rPr>
    </w:lvl>
    <w:lvl w:ilvl="1">
      <w:start w:val="1"/>
      <w:numFmt w:val="decimal"/>
      <w:isLgl/>
      <w:lvlText w:val="%1.%2"/>
      <w:lvlJc w:val="left"/>
      <w:pPr>
        <w:ind w:left="1428" w:hanging="360"/>
      </w:pPr>
      <w:rPr>
        <w:rFonts w:hint="default"/>
      </w:rPr>
    </w:lvl>
    <w:lvl w:ilvl="2">
      <w:start w:val="1"/>
      <w:numFmt w:val="decimal"/>
      <w:isLgl/>
      <w:lvlText w:val="%1.%2.%3"/>
      <w:lvlJc w:val="left"/>
      <w:pPr>
        <w:ind w:left="2148" w:hanging="720"/>
      </w:pPr>
      <w:rPr>
        <w:rFonts w:hint="default"/>
      </w:rPr>
    </w:lvl>
    <w:lvl w:ilvl="3">
      <w:start w:val="1"/>
      <w:numFmt w:val="decimal"/>
      <w:isLgl/>
      <w:lvlText w:val="%1.%2.%3.%4"/>
      <w:lvlJc w:val="left"/>
      <w:pPr>
        <w:ind w:left="2508" w:hanging="720"/>
      </w:pPr>
      <w:rPr>
        <w:rFonts w:hint="default"/>
      </w:rPr>
    </w:lvl>
    <w:lvl w:ilvl="4">
      <w:start w:val="1"/>
      <w:numFmt w:val="decimal"/>
      <w:isLgl/>
      <w:lvlText w:val="%1.%2.%3.%4.%5"/>
      <w:lvlJc w:val="left"/>
      <w:pPr>
        <w:ind w:left="3228" w:hanging="1080"/>
      </w:pPr>
      <w:rPr>
        <w:rFonts w:hint="default"/>
      </w:rPr>
    </w:lvl>
    <w:lvl w:ilvl="5">
      <w:start w:val="1"/>
      <w:numFmt w:val="decimal"/>
      <w:isLgl/>
      <w:lvlText w:val="%1.%2.%3.%4.%5.%6"/>
      <w:lvlJc w:val="left"/>
      <w:pPr>
        <w:ind w:left="3588" w:hanging="1080"/>
      </w:pPr>
      <w:rPr>
        <w:rFonts w:hint="default"/>
      </w:rPr>
    </w:lvl>
    <w:lvl w:ilvl="6">
      <w:start w:val="1"/>
      <w:numFmt w:val="decimal"/>
      <w:isLgl/>
      <w:lvlText w:val="%1.%2.%3.%4.%5.%6.%7"/>
      <w:lvlJc w:val="left"/>
      <w:pPr>
        <w:ind w:left="4308" w:hanging="1440"/>
      </w:pPr>
      <w:rPr>
        <w:rFonts w:hint="default"/>
      </w:rPr>
    </w:lvl>
    <w:lvl w:ilvl="7">
      <w:start w:val="1"/>
      <w:numFmt w:val="decimal"/>
      <w:isLgl/>
      <w:lvlText w:val="%1.%2.%3.%4.%5.%6.%7.%8"/>
      <w:lvlJc w:val="left"/>
      <w:pPr>
        <w:ind w:left="4668" w:hanging="1440"/>
      </w:pPr>
      <w:rPr>
        <w:rFonts w:hint="default"/>
      </w:rPr>
    </w:lvl>
    <w:lvl w:ilvl="8">
      <w:start w:val="1"/>
      <w:numFmt w:val="decimal"/>
      <w:isLgl/>
      <w:lvlText w:val="%1.%2.%3.%4.%5.%6.%7.%8.%9"/>
      <w:lvlJc w:val="left"/>
      <w:pPr>
        <w:ind w:left="5028" w:hanging="1440"/>
      </w:pPr>
      <w:rPr>
        <w:rFonts w:hint="default"/>
      </w:rPr>
    </w:lvl>
  </w:abstractNum>
  <w:abstractNum w:abstractNumId="20" w15:restartNumberingAfterBreak="0">
    <w:nsid w:val="2099476C"/>
    <w:multiLevelType w:val="hybridMultilevel"/>
    <w:tmpl w:val="5F50D368"/>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21" w15:restartNumberingAfterBreak="0">
    <w:nsid w:val="22D33F04"/>
    <w:multiLevelType w:val="hybridMultilevel"/>
    <w:tmpl w:val="AD86765C"/>
    <w:lvl w:ilvl="0" w:tplc="BC2ED194">
      <w:numFmt w:val="bullet"/>
      <w:lvlText w:val="-"/>
      <w:lvlJc w:val="left"/>
      <w:pPr>
        <w:ind w:left="927" w:hanging="360"/>
      </w:pPr>
      <w:rPr>
        <w:rFonts w:ascii="Book Antiqua" w:eastAsia="Times New Roman" w:hAnsi="Book Antiqua" w:cs="Times New Roman" w:hint="default"/>
      </w:rPr>
    </w:lvl>
    <w:lvl w:ilvl="1" w:tplc="041F0003">
      <w:start w:val="1"/>
      <w:numFmt w:val="bullet"/>
      <w:lvlText w:val="o"/>
      <w:lvlJc w:val="left"/>
      <w:pPr>
        <w:ind w:left="1647" w:hanging="360"/>
      </w:pPr>
      <w:rPr>
        <w:rFonts w:ascii="Courier New" w:hAnsi="Courier New" w:cs="Courier New" w:hint="default"/>
      </w:rPr>
    </w:lvl>
    <w:lvl w:ilvl="2" w:tplc="041F0005" w:tentative="1">
      <w:start w:val="1"/>
      <w:numFmt w:val="bullet"/>
      <w:lvlText w:val=""/>
      <w:lvlJc w:val="left"/>
      <w:pPr>
        <w:ind w:left="2367" w:hanging="360"/>
      </w:pPr>
      <w:rPr>
        <w:rFonts w:ascii="Wingdings" w:hAnsi="Wingdings" w:hint="default"/>
      </w:rPr>
    </w:lvl>
    <w:lvl w:ilvl="3" w:tplc="041F0001" w:tentative="1">
      <w:start w:val="1"/>
      <w:numFmt w:val="bullet"/>
      <w:lvlText w:val=""/>
      <w:lvlJc w:val="left"/>
      <w:pPr>
        <w:ind w:left="3087" w:hanging="360"/>
      </w:pPr>
      <w:rPr>
        <w:rFonts w:ascii="Symbol" w:hAnsi="Symbol" w:hint="default"/>
      </w:rPr>
    </w:lvl>
    <w:lvl w:ilvl="4" w:tplc="041F0003" w:tentative="1">
      <w:start w:val="1"/>
      <w:numFmt w:val="bullet"/>
      <w:lvlText w:val="o"/>
      <w:lvlJc w:val="left"/>
      <w:pPr>
        <w:ind w:left="3807" w:hanging="360"/>
      </w:pPr>
      <w:rPr>
        <w:rFonts w:ascii="Courier New" w:hAnsi="Courier New" w:cs="Courier New" w:hint="default"/>
      </w:rPr>
    </w:lvl>
    <w:lvl w:ilvl="5" w:tplc="041F0005" w:tentative="1">
      <w:start w:val="1"/>
      <w:numFmt w:val="bullet"/>
      <w:lvlText w:val=""/>
      <w:lvlJc w:val="left"/>
      <w:pPr>
        <w:ind w:left="4527" w:hanging="360"/>
      </w:pPr>
      <w:rPr>
        <w:rFonts w:ascii="Wingdings" w:hAnsi="Wingdings" w:hint="default"/>
      </w:rPr>
    </w:lvl>
    <w:lvl w:ilvl="6" w:tplc="041F0001" w:tentative="1">
      <w:start w:val="1"/>
      <w:numFmt w:val="bullet"/>
      <w:lvlText w:val=""/>
      <w:lvlJc w:val="left"/>
      <w:pPr>
        <w:ind w:left="5247" w:hanging="360"/>
      </w:pPr>
      <w:rPr>
        <w:rFonts w:ascii="Symbol" w:hAnsi="Symbol" w:hint="default"/>
      </w:rPr>
    </w:lvl>
    <w:lvl w:ilvl="7" w:tplc="041F0003" w:tentative="1">
      <w:start w:val="1"/>
      <w:numFmt w:val="bullet"/>
      <w:lvlText w:val="o"/>
      <w:lvlJc w:val="left"/>
      <w:pPr>
        <w:ind w:left="5967" w:hanging="360"/>
      </w:pPr>
      <w:rPr>
        <w:rFonts w:ascii="Courier New" w:hAnsi="Courier New" w:cs="Courier New" w:hint="default"/>
      </w:rPr>
    </w:lvl>
    <w:lvl w:ilvl="8" w:tplc="041F0005" w:tentative="1">
      <w:start w:val="1"/>
      <w:numFmt w:val="bullet"/>
      <w:lvlText w:val=""/>
      <w:lvlJc w:val="left"/>
      <w:pPr>
        <w:ind w:left="6687" w:hanging="360"/>
      </w:pPr>
      <w:rPr>
        <w:rFonts w:ascii="Wingdings" w:hAnsi="Wingdings" w:hint="default"/>
      </w:rPr>
    </w:lvl>
  </w:abstractNum>
  <w:abstractNum w:abstractNumId="22" w15:restartNumberingAfterBreak="0">
    <w:nsid w:val="24AD2E1D"/>
    <w:multiLevelType w:val="hybridMultilevel"/>
    <w:tmpl w:val="285A69AA"/>
    <w:lvl w:ilvl="0" w:tplc="50C63EB6">
      <w:start w:val="1"/>
      <w:numFmt w:val="upperRoman"/>
      <w:lvlText w:val="%1."/>
      <w:lvlJc w:val="left"/>
      <w:pPr>
        <w:ind w:left="1080" w:hanging="72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23" w15:restartNumberingAfterBreak="0">
    <w:nsid w:val="24D82548"/>
    <w:multiLevelType w:val="hybridMultilevel"/>
    <w:tmpl w:val="ED36B75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269C6447"/>
    <w:multiLevelType w:val="hybridMultilevel"/>
    <w:tmpl w:val="F230A90A"/>
    <w:lvl w:ilvl="0" w:tplc="392A61C4">
      <w:start w:val="4"/>
      <w:numFmt w:val="bullet"/>
      <w:lvlText w:val="-"/>
      <w:lvlJc w:val="left"/>
      <w:pPr>
        <w:ind w:left="720" w:hanging="360"/>
      </w:pPr>
      <w:rPr>
        <w:rFonts w:ascii="Times New Roman" w:eastAsia="Times New Roman" w:hAnsi="Times New Roman" w:cs="Times New Roman"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25" w15:restartNumberingAfterBreak="0">
    <w:nsid w:val="27983F38"/>
    <w:multiLevelType w:val="hybridMultilevel"/>
    <w:tmpl w:val="02EC8A48"/>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26" w15:restartNumberingAfterBreak="0">
    <w:nsid w:val="27DE2A55"/>
    <w:multiLevelType w:val="hybridMultilevel"/>
    <w:tmpl w:val="F53236A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7" w15:restartNumberingAfterBreak="0">
    <w:nsid w:val="295E2773"/>
    <w:multiLevelType w:val="hybridMultilevel"/>
    <w:tmpl w:val="41F6CA9E"/>
    <w:lvl w:ilvl="0" w:tplc="B5A6289E">
      <w:start w:val="1"/>
      <w:numFmt w:val="bullet"/>
      <w:lvlText w:val="-"/>
      <w:lvlJc w:val="left"/>
      <w:pPr>
        <w:tabs>
          <w:tab w:val="num" w:pos="720"/>
        </w:tabs>
        <w:ind w:left="720" w:hanging="360"/>
      </w:pPr>
      <w:rPr>
        <w:rFonts w:ascii="Times New Roman" w:hAnsi="Times New Roman" w:cs="Times New Roman" w:hint="default"/>
      </w:rPr>
    </w:lvl>
    <w:lvl w:ilvl="1" w:tplc="C1A8F936">
      <w:start w:val="1"/>
      <w:numFmt w:val="bullet"/>
      <w:lvlText w:val="-"/>
      <w:lvlJc w:val="left"/>
      <w:pPr>
        <w:tabs>
          <w:tab w:val="num" w:pos="1440"/>
        </w:tabs>
        <w:ind w:left="1440" w:hanging="360"/>
      </w:pPr>
      <w:rPr>
        <w:rFonts w:ascii="Times New Roman" w:hAnsi="Times New Roman" w:cs="Times New Roman" w:hint="default"/>
      </w:rPr>
    </w:lvl>
    <w:lvl w:ilvl="2" w:tplc="2B421220">
      <w:start w:val="1"/>
      <w:numFmt w:val="bullet"/>
      <w:lvlText w:val="-"/>
      <w:lvlJc w:val="left"/>
      <w:pPr>
        <w:tabs>
          <w:tab w:val="num" w:pos="2160"/>
        </w:tabs>
        <w:ind w:left="2160" w:hanging="360"/>
      </w:pPr>
      <w:rPr>
        <w:rFonts w:ascii="Times New Roman" w:hAnsi="Times New Roman" w:cs="Times New Roman" w:hint="default"/>
      </w:rPr>
    </w:lvl>
    <w:lvl w:ilvl="3" w:tplc="B7326810">
      <w:start w:val="1"/>
      <w:numFmt w:val="bullet"/>
      <w:lvlText w:val="-"/>
      <w:lvlJc w:val="left"/>
      <w:pPr>
        <w:tabs>
          <w:tab w:val="num" w:pos="2880"/>
        </w:tabs>
        <w:ind w:left="2880" w:hanging="360"/>
      </w:pPr>
      <w:rPr>
        <w:rFonts w:ascii="Times New Roman" w:hAnsi="Times New Roman" w:cs="Times New Roman" w:hint="default"/>
      </w:rPr>
    </w:lvl>
    <w:lvl w:ilvl="4" w:tplc="8BF85068">
      <w:start w:val="1"/>
      <w:numFmt w:val="bullet"/>
      <w:lvlText w:val="-"/>
      <w:lvlJc w:val="left"/>
      <w:pPr>
        <w:tabs>
          <w:tab w:val="num" w:pos="3600"/>
        </w:tabs>
        <w:ind w:left="3600" w:hanging="360"/>
      </w:pPr>
      <w:rPr>
        <w:rFonts w:ascii="Times New Roman" w:hAnsi="Times New Roman" w:cs="Times New Roman" w:hint="default"/>
      </w:rPr>
    </w:lvl>
    <w:lvl w:ilvl="5" w:tplc="3CC823CC">
      <w:start w:val="1"/>
      <w:numFmt w:val="bullet"/>
      <w:lvlText w:val="-"/>
      <w:lvlJc w:val="left"/>
      <w:pPr>
        <w:tabs>
          <w:tab w:val="num" w:pos="4320"/>
        </w:tabs>
        <w:ind w:left="4320" w:hanging="360"/>
      </w:pPr>
      <w:rPr>
        <w:rFonts w:ascii="Times New Roman" w:hAnsi="Times New Roman" w:cs="Times New Roman" w:hint="default"/>
      </w:rPr>
    </w:lvl>
    <w:lvl w:ilvl="6" w:tplc="95D20528">
      <w:start w:val="1"/>
      <w:numFmt w:val="bullet"/>
      <w:lvlText w:val="-"/>
      <w:lvlJc w:val="left"/>
      <w:pPr>
        <w:tabs>
          <w:tab w:val="num" w:pos="5040"/>
        </w:tabs>
        <w:ind w:left="5040" w:hanging="360"/>
      </w:pPr>
      <w:rPr>
        <w:rFonts w:ascii="Times New Roman" w:hAnsi="Times New Roman" w:cs="Times New Roman" w:hint="default"/>
      </w:rPr>
    </w:lvl>
    <w:lvl w:ilvl="7" w:tplc="18A61252">
      <w:start w:val="1"/>
      <w:numFmt w:val="bullet"/>
      <w:lvlText w:val="-"/>
      <w:lvlJc w:val="left"/>
      <w:pPr>
        <w:tabs>
          <w:tab w:val="num" w:pos="5760"/>
        </w:tabs>
        <w:ind w:left="5760" w:hanging="360"/>
      </w:pPr>
      <w:rPr>
        <w:rFonts w:ascii="Times New Roman" w:hAnsi="Times New Roman" w:cs="Times New Roman" w:hint="default"/>
      </w:rPr>
    </w:lvl>
    <w:lvl w:ilvl="8" w:tplc="3ACCEF52">
      <w:start w:val="1"/>
      <w:numFmt w:val="bullet"/>
      <w:lvlText w:val="-"/>
      <w:lvlJc w:val="left"/>
      <w:pPr>
        <w:tabs>
          <w:tab w:val="num" w:pos="6480"/>
        </w:tabs>
        <w:ind w:left="6480" w:hanging="360"/>
      </w:pPr>
      <w:rPr>
        <w:rFonts w:ascii="Times New Roman" w:hAnsi="Times New Roman" w:cs="Times New Roman" w:hint="default"/>
      </w:rPr>
    </w:lvl>
  </w:abstractNum>
  <w:abstractNum w:abstractNumId="28" w15:restartNumberingAfterBreak="0">
    <w:nsid w:val="2AA069EA"/>
    <w:multiLevelType w:val="multilevel"/>
    <w:tmpl w:val="92044788"/>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9" w15:restartNumberingAfterBreak="0">
    <w:nsid w:val="337142BB"/>
    <w:multiLevelType w:val="hybridMultilevel"/>
    <w:tmpl w:val="15E6729C"/>
    <w:lvl w:ilvl="0" w:tplc="47A4BA20">
      <w:start w:val="1"/>
      <w:numFmt w:val="decimal"/>
      <w:lvlText w:val="%1."/>
      <w:lvlJc w:val="left"/>
      <w:pPr>
        <w:ind w:left="1068" w:hanging="360"/>
      </w:pPr>
      <w:rPr>
        <w:rFonts w:hint="default"/>
        <w:b/>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30" w15:restartNumberingAfterBreak="0">
    <w:nsid w:val="36E9564A"/>
    <w:multiLevelType w:val="hybridMultilevel"/>
    <w:tmpl w:val="4F4A5770"/>
    <w:lvl w:ilvl="0" w:tplc="D3587896">
      <w:start w:val="1"/>
      <w:numFmt w:val="decimal"/>
      <w:lvlText w:val="%1."/>
      <w:lvlJc w:val="left"/>
      <w:pPr>
        <w:ind w:left="720" w:hanging="360"/>
      </w:pPr>
    </w:lvl>
    <w:lvl w:ilvl="1" w:tplc="84F2A638">
      <w:start w:val="1"/>
      <w:numFmt w:val="lowerLetter"/>
      <w:lvlText w:val="%2."/>
      <w:lvlJc w:val="left"/>
      <w:pPr>
        <w:ind w:left="1440" w:hanging="360"/>
      </w:pPr>
    </w:lvl>
    <w:lvl w:ilvl="2" w:tplc="24A41CD8">
      <w:start w:val="1"/>
      <w:numFmt w:val="lowerRoman"/>
      <w:lvlText w:val="%3."/>
      <w:lvlJc w:val="right"/>
      <w:pPr>
        <w:ind w:left="2160" w:hanging="180"/>
      </w:pPr>
    </w:lvl>
    <w:lvl w:ilvl="3" w:tplc="0576DD8C">
      <w:start w:val="1"/>
      <w:numFmt w:val="decimal"/>
      <w:lvlText w:val="%4."/>
      <w:lvlJc w:val="left"/>
      <w:pPr>
        <w:ind w:left="2880" w:hanging="360"/>
      </w:pPr>
    </w:lvl>
    <w:lvl w:ilvl="4" w:tplc="D1DA4A74">
      <w:start w:val="1"/>
      <w:numFmt w:val="lowerLetter"/>
      <w:lvlText w:val="%5."/>
      <w:lvlJc w:val="left"/>
      <w:pPr>
        <w:ind w:left="3600" w:hanging="360"/>
      </w:pPr>
    </w:lvl>
    <w:lvl w:ilvl="5" w:tplc="9DB6FBEA">
      <w:start w:val="1"/>
      <w:numFmt w:val="lowerRoman"/>
      <w:lvlText w:val="%6."/>
      <w:lvlJc w:val="right"/>
      <w:pPr>
        <w:ind w:left="4320" w:hanging="180"/>
      </w:pPr>
    </w:lvl>
    <w:lvl w:ilvl="6" w:tplc="001ED864">
      <w:start w:val="1"/>
      <w:numFmt w:val="decimal"/>
      <w:lvlText w:val="%7."/>
      <w:lvlJc w:val="left"/>
      <w:pPr>
        <w:ind w:left="5040" w:hanging="360"/>
      </w:pPr>
    </w:lvl>
    <w:lvl w:ilvl="7" w:tplc="2F88C61C">
      <w:start w:val="1"/>
      <w:numFmt w:val="lowerLetter"/>
      <w:lvlText w:val="%8."/>
      <w:lvlJc w:val="left"/>
      <w:pPr>
        <w:ind w:left="5760" w:hanging="360"/>
      </w:pPr>
    </w:lvl>
    <w:lvl w:ilvl="8" w:tplc="C0CAB07C">
      <w:start w:val="1"/>
      <w:numFmt w:val="lowerRoman"/>
      <w:lvlText w:val="%9."/>
      <w:lvlJc w:val="right"/>
      <w:pPr>
        <w:ind w:left="6480" w:hanging="180"/>
      </w:pPr>
    </w:lvl>
  </w:abstractNum>
  <w:abstractNum w:abstractNumId="31" w15:restartNumberingAfterBreak="0">
    <w:nsid w:val="371D1479"/>
    <w:multiLevelType w:val="hybridMultilevel"/>
    <w:tmpl w:val="604EE4B0"/>
    <w:lvl w:ilvl="0" w:tplc="DAF8E9EA">
      <w:start w:val="1"/>
      <w:numFmt w:val="decimal"/>
      <w:lvlText w:val="%1."/>
      <w:lvlJc w:val="left"/>
      <w:pPr>
        <w:ind w:left="360" w:hanging="360"/>
      </w:pPr>
      <w:rPr>
        <w:rFonts w:ascii="Times New Roman" w:eastAsiaTheme="minorHAnsi" w:hAnsi="Times New Roman" w:cs="Times New Roman"/>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374D426F"/>
    <w:multiLevelType w:val="hybridMultilevel"/>
    <w:tmpl w:val="B3EA9BE8"/>
    <w:lvl w:ilvl="0" w:tplc="042C0001">
      <w:start w:val="1"/>
      <w:numFmt w:val="bullet"/>
      <w:lvlText w:val=""/>
      <w:lvlJc w:val="left"/>
      <w:pPr>
        <w:ind w:left="720" w:hanging="360"/>
      </w:pPr>
      <w:rPr>
        <w:rFonts w:ascii="Symbol" w:hAnsi="Symbol" w:hint="default"/>
      </w:rPr>
    </w:lvl>
    <w:lvl w:ilvl="1" w:tplc="042C0003" w:tentative="1">
      <w:start w:val="1"/>
      <w:numFmt w:val="bullet"/>
      <w:lvlText w:val="o"/>
      <w:lvlJc w:val="left"/>
      <w:pPr>
        <w:ind w:left="1440" w:hanging="360"/>
      </w:pPr>
      <w:rPr>
        <w:rFonts w:ascii="Courier New" w:hAnsi="Courier New" w:cs="Courier New" w:hint="default"/>
      </w:rPr>
    </w:lvl>
    <w:lvl w:ilvl="2" w:tplc="042C0005" w:tentative="1">
      <w:start w:val="1"/>
      <w:numFmt w:val="bullet"/>
      <w:lvlText w:val=""/>
      <w:lvlJc w:val="left"/>
      <w:pPr>
        <w:ind w:left="2160" w:hanging="360"/>
      </w:pPr>
      <w:rPr>
        <w:rFonts w:ascii="Wingdings" w:hAnsi="Wingdings" w:hint="default"/>
      </w:rPr>
    </w:lvl>
    <w:lvl w:ilvl="3" w:tplc="042C0001" w:tentative="1">
      <w:start w:val="1"/>
      <w:numFmt w:val="bullet"/>
      <w:lvlText w:val=""/>
      <w:lvlJc w:val="left"/>
      <w:pPr>
        <w:ind w:left="2880" w:hanging="360"/>
      </w:pPr>
      <w:rPr>
        <w:rFonts w:ascii="Symbol" w:hAnsi="Symbol" w:hint="default"/>
      </w:rPr>
    </w:lvl>
    <w:lvl w:ilvl="4" w:tplc="042C0003" w:tentative="1">
      <w:start w:val="1"/>
      <w:numFmt w:val="bullet"/>
      <w:lvlText w:val="o"/>
      <w:lvlJc w:val="left"/>
      <w:pPr>
        <w:ind w:left="3600" w:hanging="360"/>
      </w:pPr>
      <w:rPr>
        <w:rFonts w:ascii="Courier New" w:hAnsi="Courier New" w:cs="Courier New" w:hint="default"/>
      </w:rPr>
    </w:lvl>
    <w:lvl w:ilvl="5" w:tplc="042C0005" w:tentative="1">
      <w:start w:val="1"/>
      <w:numFmt w:val="bullet"/>
      <w:lvlText w:val=""/>
      <w:lvlJc w:val="left"/>
      <w:pPr>
        <w:ind w:left="4320" w:hanging="360"/>
      </w:pPr>
      <w:rPr>
        <w:rFonts w:ascii="Wingdings" w:hAnsi="Wingdings" w:hint="default"/>
      </w:rPr>
    </w:lvl>
    <w:lvl w:ilvl="6" w:tplc="042C0001" w:tentative="1">
      <w:start w:val="1"/>
      <w:numFmt w:val="bullet"/>
      <w:lvlText w:val=""/>
      <w:lvlJc w:val="left"/>
      <w:pPr>
        <w:ind w:left="5040" w:hanging="360"/>
      </w:pPr>
      <w:rPr>
        <w:rFonts w:ascii="Symbol" w:hAnsi="Symbol" w:hint="default"/>
      </w:rPr>
    </w:lvl>
    <w:lvl w:ilvl="7" w:tplc="042C0003" w:tentative="1">
      <w:start w:val="1"/>
      <w:numFmt w:val="bullet"/>
      <w:lvlText w:val="o"/>
      <w:lvlJc w:val="left"/>
      <w:pPr>
        <w:ind w:left="5760" w:hanging="360"/>
      </w:pPr>
      <w:rPr>
        <w:rFonts w:ascii="Courier New" w:hAnsi="Courier New" w:cs="Courier New" w:hint="default"/>
      </w:rPr>
    </w:lvl>
    <w:lvl w:ilvl="8" w:tplc="042C0005" w:tentative="1">
      <w:start w:val="1"/>
      <w:numFmt w:val="bullet"/>
      <w:lvlText w:val=""/>
      <w:lvlJc w:val="left"/>
      <w:pPr>
        <w:ind w:left="6480" w:hanging="360"/>
      </w:pPr>
      <w:rPr>
        <w:rFonts w:ascii="Wingdings" w:hAnsi="Wingdings" w:hint="default"/>
      </w:rPr>
    </w:lvl>
  </w:abstractNum>
  <w:abstractNum w:abstractNumId="33" w15:restartNumberingAfterBreak="0">
    <w:nsid w:val="3CA66FF2"/>
    <w:multiLevelType w:val="hybridMultilevel"/>
    <w:tmpl w:val="85EE9EA2"/>
    <w:lvl w:ilvl="0" w:tplc="1412372C">
      <w:start w:val="1"/>
      <w:numFmt w:val="bullet"/>
      <w:lvlText w:val=""/>
      <w:lvlJc w:val="left"/>
      <w:pPr>
        <w:ind w:left="720" w:hanging="360"/>
      </w:pPr>
      <w:rPr>
        <w:rFonts w:ascii="Symbol" w:hAnsi="Symbol" w:hint="default"/>
        <w:color w:val="auto"/>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34" w15:restartNumberingAfterBreak="0">
    <w:nsid w:val="3CFC6121"/>
    <w:multiLevelType w:val="hybridMultilevel"/>
    <w:tmpl w:val="163A34FE"/>
    <w:lvl w:ilvl="0" w:tplc="442CAB62">
      <w:start w:val="1"/>
      <w:numFmt w:val="bullet"/>
      <w:lvlText w:val="-"/>
      <w:lvlJc w:val="left"/>
      <w:pPr>
        <w:ind w:left="720" w:hanging="360"/>
      </w:pPr>
      <w:rPr>
        <w:rFonts w:ascii="&quot;Simplified Arabic&quot;,&quot;serif&quot;" w:hAnsi="&quot;Simplified Arabic&quot;,&quot;serif&quot;" w:hint="default"/>
      </w:rPr>
    </w:lvl>
    <w:lvl w:ilvl="1" w:tplc="56F69698">
      <w:start w:val="1"/>
      <w:numFmt w:val="bullet"/>
      <w:lvlText w:val="o"/>
      <w:lvlJc w:val="left"/>
      <w:pPr>
        <w:ind w:left="1440" w:hanging="360"/>
      </w:pPr>
      <w:rPr>
        <w:rFonts w:ascii="Courier New" w:hAnsi="Courier New" w:hint="default"/>
      </w:rPr>
    </w:lvl>
    <w:lvl w:ilvl="2" w:tplc="E8E05F64">
      <w:start w:val="1"/>
      <w:numFmt w:val="bullet"/>
      <w:lvlText w:val=""/>
      <w:lvlJc w:val="left"/>
      <w:pPr>
        <w:ind w:left="2160" w:hanging="360"/>
      </w:pPr>
      <w:rPr>
        <w:rFonts w:ascii="Wingdings" w:hAnsi="Wingdings" w:hint="default"/>
      </w:rPr>
    </w:lvl>
    <w:lvl w:ilvl="3" w:tplc="19C27C44">
      <w:start w:val="1"/>
      <w:numFmt w:val="bullet"/>
      <w:lvlText w:val=""/>
      <w:lvlJc w:val="left"/>
      <w:pPr>
        <w:ind w:left="2880" w:hanging="360"/>
      </w:pPr>
      <w:rPr>
        <w:rFonts w:ascii="Symbol" w:hAnsi="Symbol" w:hint="default"/>
      </w:rPr>
    </w:lvl>
    <w:lvl w:ilvl="4" w:tplc="E15079A8">
      <w:start w:val="1"/>
      <w:numFmt w:val="bullet"/>
      <w:lvlText w:val="o"/>
      <w:lvlJc w:val="left"/>
      <w:pPr>
        <w:ind w:left="3600" w:hanging="360"/>
      </w:pPr>
      <w:rPr>
        <w:rFonts w:ascii="Courier New" w:hAnsi="Courier New" w:hint="default"/>
      </w:rPr>
    </w:lvl>
    <w:lvl w:ilvl="5" w:tplc="96BC566E">
      <w:start w:val="1"/>
      <w:numFmt w:val="bullet"/>
      <w:lvlText w:val=""/>
      <w:lvlJc w:val="left"/>
      <w:pPr>
        <w:ind w:left="4320" w:hanging="360"/>
      </w:pPr>
      <w:rPr>
        <w:rFonts w:ascii="Wingdings" w:hAnsi="Wingdings" w:hint="default"/>
      </w:rPr>
    </w:lvl>
    <w:lvl w:ilvl="6" w:tplc="1ACECEFA">
      <w:start w:val="1"/>
      <w:numFmt w:val="bullet"/>
      <w:lvlText w:val=""/>
      <w:lvlJc w:val="left"/>
      <w:pPr>
        <w:ind w:left="5040" w:hanging="360"/>
      </w:pPr>
      <w:rPr>
        <w:rFonts w:ascii="Symbol" w:hAnsi="Symbol" w:hint="default"/>
      </w:rPr>
    </w:lvl>
    <w:lvl w:ilvl="7" w:tplc="C1F8D6B2">
      <w:start w:val="1"/>
      <w:numFmt w:val="bullet"/>
      <w:lvlText w:val="o"/>
      <w:lvlJc w:val="left"/>
      <w:pPr>
        <w:ind w:left="5760" w:hanging="360"/>
      </w:pPr>
      <w:rPr>
        <w:rFonts w:ascii="Courier New" w:hAnsi="Courier New" w:hint="default"/>
      </w:rPr>
    </w:lvl>
    <w:lvl w:ilvl="8" w:tplc="05D2A2D8">
      <w:start w:val="1"/>
      <w:numFmt w:val="bullet"/>
      <w:lvlText w:val=""/>
      <w:lvlJc w:val="left"/>
      <w:pPr>
        <w:ind w:left="6480" w:hanging="360"/>
      </w:pPr>
      <w:rPr>
        <w:rFonts w:ascii="Wingdings" w:hAnsi="Wingdings" w:hint="default"/>
      </w:rPr>
    </w:lvl>
  </w:abstractNum>
  <w:abstractNum w:abstractNumId="35" w15:restartNumberingAfterBreak="0">
    <w:nsid w:val="3F63707C"/>
    <w:multiLevelType w:val="hybridMultilevel"/>
    <w:tmpl w:val="5C325638"/>
    <w:lvl w:ilvl="0" w:tplc="8318A01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45701922"/>
    <w:multiLevelType w:val="hybridMultilevel"/>
    <w:tmpl w:val="C0C4CD04"/>
    <w:lvl w:ilvl="0" w:tplc="042C0001">
      <w:start w:val="1"/>
      <w:numFmt w:val="bullet"/>
      <w:lvlText w:val=""/>
      <w:lvlJc w:val="left"/>
      <w:pPr>
        <w:ind w:left="1068" w:hanging="360"/>
      </w:pPr>
      <w:rPr>
        <w:rFonts w:ascii="Symbol" w:hAnsi="Symbol" w:hint="default"/>
      </w:rPr>
    </w:lvl>
    <w:lvl w:ilvl="1" w:tplc="042C0003" w:tentative="1">
      <w:start w:val="1"/>
      <w:numFmt w:val="bullet"/>
      <w:lvlText w:val="o"/>
      <w:lvlJc w:val="left"/>
      <w:pPr>
        <w:ind w:left="1788" w:hanging="360"/>
      </w:pPr>
      <w:rPr>
        <w:rFonts w:ascii="Courier New" w:hAnsi="Courier New" w:cs="Courier New" w:hint="default"/>
      </w:rPr>
    </w:lvl>
    <w:lvl w:ilvl="2" w:tplc="042C0005" w:tentative="1">
      <w:start w:val="1"/>
      <w:numFmt w:val="bullet"/>
      <w:lvlText w:val=""/>
      <w:lvlJc w:val="left"/>
      <w:pPr>
        <w:ind w:left="2508" w:hanging="360"/>
      </w:pPr>
      <w:rPr>
        <w:rFonts w:ascii="Wingdings" w:hAnsi="Wingdings" w:hint="default"/>
      </w:rPr>
    </w:lvl>
    <w:lvl w:ilvl="3" w:tplc="042C0001" w:tentative="1">
      <w:start w:val="1"/>
      <w:numFmt w:val="bullet"/>
      <w:lvlText w:val=""/>
      <w:lvlJc w:val="left"/>
      <w:pPr>
        <w:ind w:left="3228" w:hanging="360"/>
      </w:pPr>
      <w:rPr>
        <w:rFonts w:ascii="Symbol" w:hAnsi="Symbol" w:hint="default"/>
      </w:rPr>
    </w:lvl>
    <w:lvl w:ilvl="4" w:tplc="042C0003" w:tentative="1">
      <w:start w:val="1"/>
      <w:numFmt w:val="bullet"/>
      <w:lvlText w:val="o"/>
      <w:lvlJc w:val="left"/>
      <w:pPr>
        <w:ind w:left="3948" w:hanging="360"/>
      </w:pPr>
      <w:rPr>
        <w:rFonts w:ascii="Courier New" w:hAnsi="Courier New" w:cs="Courier New" w:hint="default"/>
      </w:rPr>
    </w:lvl>
    <w:lvl w:ilvl="5" w:tplc="042C0005" w:tentative="1">
      <w:start w:val="1"/>
      <w:numFmt w:val="bullet"/>
      <w:lvlText w:val=""/>
      <w:lvlJc w:val="left"/>
      <w:pPr>
        <w:ind w:left="4668" w:hanging="360"/>
      </w:pPr>
      <w:rPr>
        <w:rFonts w:ascii="Wingdings" w:hAnsi="Wingdings" w:hint="default"/>
      </w:rPr>
    </w:lvl>
    <w:lvl w:ilvl="6" w:tplc="042C0001" w:tentative="1">
      <w:start w:val="1"/>
      <w:numFmt w:val="bullet"/>
      <w:lvlText w:val=""/>
      <w:lvlJc w:val="left"/>
      <w:pPr>
        <w:ind w:left="5388" w:hanging="360"/>
      </w:pPr>
      <w:rPr>
        <w:rFonts w:ascii="Symbol" w:hAnsi="Symbol" w:hint="default"/>
      </w:rPr>
    </w:lvl>
    <w:lvl w:ilvl="7" w:tplc="042C0003" w:tentative="1">
      <w:start w:val="1"/>
      <w:numFmt w:val="bullet"/>
      <w:lvlText w:val="o"/>
      <w:lvlJc w:val="left"/>
      <w:pPr>
        <w:ind w:left="6108" w:hanging="360"/>
      </w:pPr>
      <w:rPr>
        <w:rFonts w:ascii="Courier New" w:hAnsi="Courier New" w:cs="Courier New" w:hint="default"/>
      </w:rPr>
    </w:lvl>
    <w:lvl w:ilvl="8" w:tplc="042C0005" w:tentative="1">
      <w:start w:val="1"/>
      <w:numFmt w:val="bullet"/>
      <w:lvlText w:val=""/>
      <w:lvlJc w:val="left"/>
      <w:pPr>
        <w:ind w:left="6828" w:hanging="360"/>
      </w:pPr>
      <w:rPr>
        <w:rFonts w:ascii="Wingdings" w:hAnsi="Wingdings" w:hint="default"/>
      </w:rPr>
    </w:lvl>
  </w:abstractNum>
  <w:abstractNum w:abstractNumId="37" w15:restartNumberingAfterBreak="0">
    <w:nsid w:val="467D6A55"/>
    <w:multiLevelType w:val="hybridMultilevel"/>
    <w:tmpl w:val="21BECFD4"/>
    <w:lvl w:ilvl="0" w:tplc="F866F54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470F533B"/>
    <w:multiLevelType w:val="hybridMultilevel"/>
    <w:tmpl w:val="99B4368A"/>
    <w:lvl w:ilvl="0" w:tplc="2B6AF92C">
      <w:numFmt w:val="bullet"/>
      <w:lvlText w:val="•"/>
      <w:lvlJc w:val="left"/>
      <w:pPr>
        <w:ind w:left="927" w:hanging="360"/>
      </w:pPr>
      <w:rPr>
        <w:rFonts w:ascii="Book Antiqua" w:eastAsia="Times New Roman" w:hAnsi="Book Antiqua" w:cs="Times New Roman" w:hint="default"/>
      </w:rPr>
    </w:lvl>
    <w:lvl w:ilvl="1" w:tplc="041F0003" w:tentative="1">
      <w:start w:val="1"/>
      <w:numFmt w:val="bullet"/>
      <w:lvlText w:val="o"/>
      <w:lvlJc w:val="left"/>
      <w:pPr>
        <w:ind w:left="1647" w:hanging="360"/>
      </w:pPr>
      <w:rPr>
        <w:rFonts w:ascii="Courier New" w:hAnsi="Courier New" w:cs="Courier New" w:hint="default"/>
      </w:rPr>
    </w:lvl>
    <w:lvl w:ilvl="2" w:tplc="041F0005" w:tentative="1">
      <w:start w:val="1"/>
      <w:numFmt w:val="bullet"/>
      <w:lvlText w:val=""/>
      <w:lvlJc w:val="left"/>
      <w:pPr>
        <w:ind w:left="2367" w:hanging="360"/>
      </w:pPr>
      <w:rPr>
        <w:rFonts w:ascii="Wingdings" w:hAnsi="Wingdings" w:hint="default"/>
      </w:rPr>
    </w:lvl>
    <w:lvl w:ilvl="3" w:tplc="041F0001" w:tentative="1">
      <w:start w:val="1"/>
      <w:numFmt w:val="bullet"/>
      <w:lvlText w:val=""/>
      <w:lvlJc w:val="left"/>
      <w:pPr>
        <w:ind w:left="3087" w:hanging="360"/>
      </w:pPr>
      <w:rPr>
        <w:rFonts w:ascii="Symbol" w:hAnsi="Symbol" w:hint="default"/>
      </w:rPr>
    </w:lvl>
    <w:lvl w:ilvl="4" w:tplc="041F0003" w:tentative="1">
      <w:start w:val="1"/>
      <w:numFmt w:val="bullet"/>
      <w:lvlText w:val="o"/>
      <w:lvlJc w:val="left"/>
      <w:pPr>
        <w:ind w:left="3807" w:hanging="360"/>
      </w:pPr>
      <w:rPr>
        <w:rFonts w:ascii="Courier New" w:hAnsi="Courier New" w:cs="Courier New" w:hint="default"/>
      </w:rPr>
    </w:lvl>
    <w:lvl w:ilvl="5" w:tplc="041F0005" w:tentative="1">
      <w:start w:val="1"/>
      <w:numFmt w:val="bullet"/>
      <w:lvlText w:val=""/>
      <w:lvlJc w:val="left"/>
      <w:pPr>
        <w:ind w:left="4527" w:hanging="360"/>
      </w:pPr>
      <w:rPr>
        <w:rFonts w:ascii="Wingdings" w:hAnsi="Wingdings" w:hint="default"/>
      </w:rPr>
    </w:lvl>
    <w:lvl w:ilvl="6" w:tplc="041F0001" w:tentative="1">
      <w:start w:val="1"/>
      <w:numFmt w:val="bullet"/>
      <w:lvlText w:val=""/>
      <w:lvlJc w:val="left"/>
      <w:pPr>
        <w:ind w:left="5247" w:hanging="360"/>
      </w:pPr>
      <w:rPr>
        <w:rFonts w:ascii="Symbol" w:hAnsi="Symbol" w:hint="default"/>
      </w:rPr>
    </w:lvl>
    <w:lvl w:ilvl="7" w:tplc="041F0003" w:tentative="1">
      <w:start w:val="1"/>
      <w:numFmt w:val="bullet"/>
      <w:lvlText w:val="o"/>
      <w:lvlJc w:val="left"/>
      <w:pPr>
        <w:ind w:left="5967" w:hanging="360"/>
      </w:pPr>
      <w:rPr>
        <w:rFonts w:ascii="Courier New" w:hAnsi="Courier New" w:cs="Courier New" w:hint="default"/>
      </w:rPr>
    </w:lvl>
    <w:lvl w:ilvl="8" w:tplc="041F0005" w:tentative="1">
      <w:start w:val="1"/>
      <w:numFmt w:val="bullet"/>
      <w:lvlText w:val=""/>
      <w:lvlJc w:val="left"/>
      <w:pPr>
        <w:ind w:left="6687" w:hanging="360"/>
      </w:pPr>
      <w:rPr>
        <w:rFonts w:ascii="Wingdings" w:hAnsi="Wingdings" w:hint="default"/>
      </w:rPr>
    </w:lvl>
  </w:abstractNum>
  <w:abstractNum w:abstractNumId="39" w15:restartNumberingAfterBreak="0">
    <w:nsid w:val="4E305260"/>
    <w:multiLevelType w:val="hybridMultilevel"/>
    <w:tmpl w:val="CAD60E4A"/>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40" w15:restartNumberingAfterBreak="0">
    <w:nsid w:val="4E914B16"/>
    <w:multiLevelType w:val="hybridMultilevel"/>
    <w:tmpl w:val="2C9243BC"/>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41" w15:restartNumberingAfterBreak="0">
    <w:nsid w:val="516018E4"/>
    <w:multiLevelType w:val="multilevel"/>
    <w:tmpl w:val="0CBE1A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52CA544A"/>
    <w:multiLevelType w:val="singleLevel"/>
    <w:tmpl w:val="0F4C1592"/>
    <w:lvl w:ilvl="0">
      <w:start w:val="1"/>
      <w:numFmt w:val="decimal"/>
      <w:pStyle w:val="papertitle"/>
      <w:lvlText w:val="[%1]"/>
      <w:lvlJc w:val="left"/>
      <w:pPr>
        <w:tabs>
          <w:tab w:val="num" w:pos="360"/>
        </w:tabs>
        <w:ind w:left="360" w:hanging="360"/>
      </w:pPr>
      <w:rPr>
        <w:rFonts w:ascii="Times New Roman" w:hAnsi="Times New Roman" w:hint="default"/>
        <w:b w:val="0"/>
        <w:i w:val="0"/>
        <w:sz w:val="16"/>
      </w:rPr>
    </w:lvl>
  </w:abstractNum>
  <w:abstractNum w:abstractNumId="43" w15:restartNumberingAfterBreak="0">
    <w:nsid w:val="55E87273"/>
    <w:multiLevelType w:val="multilevel"/>
    <w:tmpl w:val="041F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4" w15:restartNumberingAfterBreak="0">
    <w:nsid w:val="57D2652C"/>
    <w:multiLevelType w:val="hybridMultilevel"/>
    <w:tmpl w:val="386E4696"/>
    <w:lvl w:ilvl="0" w:tplc="042C0001">
      <w:start w:val="1"/>
      <w:numFmt w:val="bullet"/>
      <w:lvlText w:val=""/>
      <w:lvlJc w:val="left"/>
      <w:pPr>
        <w:ind w:left="1068" w:hanging="360"/>
      </w:pPr>
      <w:rPr>
        <w:rFonts w:ascii="Symbol" w:hAnsi="Symbol" w:hint="default"/>
      </w:rPr>
    </w:lvl>
    <w:lvl w:ilvl="1" w:tplc="042C0003" w:tentative="1">
      <w:start w:val="1"/>
      <w:numFmt w:val="bullet"/>
      <w:lvlText w:val="o"/>
      <w:lvlJc w:val="left"/>
      <w:pPr>
        <w:ind w:left="1788" w:hanging="360"/>
      </w:pPr>
      <w:rPr>
        <w:rFonts w:ascii="Courier New" w:hAnsi="Courier New" w:cs="Courier New" w:hint="default"/>
      </w:rPr>
    </w:lvl>
    <w:lvl w:ilvl="2" w:tplc="042C0005" w:tentative="1">
      <w:start w:val="1"/>
      <w:numFmt w:val="bullet"/>
      <w:lvlText w:val=""/>
      <w:lvlJc w:val="left"/>
      <w:pPr>
        <w:ind w:left="2508" w:hanging="360"/>
      </w:pPr>
      <w:rPr>
        <w:rFonts w:ascii="Wingdings" w:hAnsi="Wingdings" w:hint="default"/>
      </w:rPr>
    </w:lvl>
    <w:lvl w:ilvl="3" w:tplc="042C0001" w:tentative="1">
      <w:start w:val="1"/>
      <w:numFmt w:val="bullet"/>
      <w:lvlText w:val=""/>
      <w:lvlJc w:val="left"/>
      <w:pPr>
        <w:ind w:left="3228" w:hanging="360"/>
      </w:pPr>
      <w:rPr>
        <w:rFonts w:ascii="Symbol" w:hAnsi="Symbol" w:hint="default"/>
      </w:rPr>
    </w:lvl>
    <w:lvl w:ilvl="4" w:tplc="042C0003" w:tentative="1">
      <w:start w:val="1"/>
      <w:numFmt w:val="bullet"/>
      <w:lvlText w:val="o"/>
      <w:lvlJc w:val="left"/>
      <w:pPr>
        <w:ind w:left="3948" w:hanging="360"/>
      </w:pPr>
      <w:rPr>
        <w:rFonts w:ascii="Courier New" w:hAnsi="Courier New" w:cs="Courier New" w:hint="default"/>
      </w:rPr>
    </w:lvl>
    <w:lvl w:ilvl="5" w:tplc="042C0005" w:tentative="1">
      <w:start w:val="1"/>
      <w:numFmt w:val="bullet"/>
      <w:lvlText w:val=""/>
      <w:lvlJc w:val="left"/>
      <w:pPr>
        <w:ind w:left="4668" w:hanging="360"/>
      </w:pPr>
      <w:rPr>
        <w:rFonts w:ascii="Wingdings" w:hAnsi="Wingdings" w:hint="default"/>
      </w:rPr>
    </w:lvl>
    <w:lvl w:ilvl="6" w:tplc="042C0001" w:tentative="1">
      <w:start w:val="1"/>
      <w:numFmt w:val="bullet"/>
      <w:lvlText w:val=""/>
      <w:lvlJc w:val="left"/>
      <w:pPr>
        <w:ind w:left="5388" w:hanging="360"/>
      </w:pPr>
      <w:rPr>
        <w:rFonts w:ascii="Symbol" w:hAnsi="Symbol" w:hint="default"/>
      </w:rPr>
    </w:lvl>
    <w:lvl w:ilvl="7" w:tplc="042C0003" w:tentative="1">
      <w:start w:val="1"/>
      <w:numFmt w:val="bullet"/>
      <w:lvlText w:val="o"/>
      <w:lvlJc w:val="left"/>
      <w:pPr>
        <w:ind w:left="6108" w:hanging="360"/>
      </w:pPr>
      <w:rPr>
        <w:rFonts w:ascii="Courier New" w:hAnsi="Courier New" w:cs="Courier New" w:hint="default"/>
      </w:rPr>
    </w:lvl>
    <w:lvl w:ilvl="8" w:tplc="042C0005" w:tentative="1">
      <w:start w:val="1"/>
      <w:numFmt w:val="bullet"/>
      <w:lvlText w:val=""/>
      <w:lvlJc w:val="left"/>
      <w:pPr>
        <w:ind w:left="6828" w:hanging="360"/>
      </w:pPr>
      <w:rPr>
        <w:rFonts w:ascii="Wingdings" w:hAnsi="Wingdings" w:hint="default"/>
      </w:rPr>
    </w:lvl>
  </w:abstractNum>
  <w:abstractNum w:abstractNumId="45" w15:restartNumberingAfterBreak="0">
    <w:nsid w:val="586F5D46"/>
    <w:multiLevelType w:val="hybridMultilevel"/>
    <w:tmpl w:val="26FA96EA"/>
    <w:lvl w:ilvl="0" w:tplc="69CE5E5A">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6" w15:restartNumberingAfterBreak="0">
    <w:nsid w:val="5A773DDF"/>
    <w:multiLevelType w:val="hybridMultilevel"/>
    <w:tmpl w:val="6324C4F2"/>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47" w15:restartNumberingAfterBreak="0">
    <w:nsid w:val="5E5949DD"/>
    <w:multiLevelType w:val="hybridMultilevel"/>
    <w:tmpl w:val="CCEE7128"/>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48" w15:restartNumberingAfterBreak="0">
    <w:nsid w:val="5E5B0C0E"/>
    <w:multiLevelType w:val="multilevel"/>
    <w:tmpl w:val="8BA4A066"/>
    <w:lvl w:ilvl="0">
      <w:start w:val="1"/>
      <w:numFmt w:val="lowerRoman"/>
      <w:lvlText w:val="%1."/>
      <w:lvlJc w:val="righ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 w15:restartNumberingAfterBreak="0">
    <w:nsid w:val="5FAD3EBC"/>
    <w:multiLevelType w:val="hybridMultilevel"/>
    <w:tmpl w:val="F18C4078"/>
    <w:lvl w:ilvl="0" w:tplc="914ED880">
      <w:start w:val="1"/>
      <w:numFmt w:val="bullet"/>
      <w:lvlText w:val="-"/>
      <w:lvlJc w:val="left"/>
      <w:pPr>
        <w:ind w:left="720" w:hanging="360"/>
      </w:pPr>
      <w:rPr>
        <w:rFonts w:ascii="&quot;Times New Roman&quot;,&quot;serif&quot;" w:hAnsi="&quot;Times New Roman&quot;,&quot;serif&quot;" w:hint="default"/>
      </w:rPr>
    </w:lvl>
    <w:lvl w:ilvl="1" w:tplc="241CCF2A">
      <w:start w:val="1"/>
      <w:numFmt w:val="bullet"/>
      <w:lvlText w:val="o"/>
      <w:lvlJc w:val="left"/>
      <w:pPr>
        <w:ind w:left="1440" w:hanging="360"/>
      </w:pPr>
      <w:rPr>
        <w:rFonts w:ascii="Courier New" w:hAnsi="Courier New" w:hint="default"/>
      </w:rPr>
    </w:lvl>
    <w:lvl w:ilvl="2" w:tplc="37CCDDBC">
      <w:start w:val="1"/>
      <w:numFmt w:val="bullet"/>
      <w:lvlText w:val=""/>
      <w:lvlJc w:val="left"/>
      <w:pPr>
        <w:ind w:left="2160" w:hanging="360"/>
      </w:pPr>
      <w:rPr>
        <w:rFonts w:ascii="Wingdings" w:hAnsi="Wingdings" w:hint="default"/>
      </w:rPr>
    </w:lvl>
    <w:lvl w:ilvl="3" w:tplc="F7CCEDD8">
      <w:start w:val="1"/>
      <w:numFmt w:val="bullet"/>
      <w:lvlText w:val=""/>
      <w:lvlJc w:val="left"/>
      <w:pPr>
        <w:ind w:left="2880" w:hanging="360"/>
      </w:pPr>
      <w:rPr>
        <w:rFonts w:ascii="Symbol" w:hAnsi="Symbol" w:hint="default"/>
      </w:rPr>
    </w:lvl>
    <w:lvl w:ilvl="4" w:tplc="26D89E04">
      <w:start w:val="1"/>
      <w:numFmt w:val="bullet"/>
      <w:lvlText w:val="o"/>
      <w:lvlJc w:val="left"/>
      <w:pPr>
        <w:ind w:left="3600" w:hanging="360"/>
      </w:pPr>
      <w:rPr>
        <w:rFonts w:ascii="Courier New" w:hAnsi="Courier New" w:hint="default"/>
      </w:rPr>
    </w:lvl>
    <w:lvl w:ilvl="5" w:tplc="8DD00FF6">
      <w:start w:val="1"/>
      <w:numFmt w:val="bullet"/>
      <w:lvlText w:val=""/>
      <w:lvlJc w:val="left"/>
      <w:pPr>
        <w:ind w:left="4320" w:hanging="360"/>
      </w:pPr>
      <w:rPr>
        <w:rFonts w:ascii="Wingdings" w:hAnsi="Wingdings" w:hint="default"/>
      </w:rPr>
    </w:lvl>
    <w:lvl w:ilvl="6" w:tplc="D57C9E94">
      <w:start w:val="1"/>
      <w:numFmt w:val="bullet"/>
      <w:lvlText w:val=""/>
      <w:lvlJc w:val="left"/>
      <w:pPr>
        <w:ind w:left="5040" w:hanging="360"/>
      </w:pPr>
      <w:rPr>
        <w:rFonts w:ascii="Symbol" w:hAnsi="Symbol" w:hint="default"/>
      </w:rPr>
    </w:lvl>
    <w:lvl w:ilvl="7" w:tplc="FF561CBE">
      <w:start w:val="1"/>
      <w:numFmt w:val="bullet"/>
      <w:lvlText w:val="o"/>
      <w:lvlJc w:val="left"/>
      <w:pPr>
        <w:ind w:left="5760" w:hanging="360"/>
      </w:pPr>
      <w:rPr>
        <w:rFonts w:ascii="Courier New" w:hAnsi="Courier New" w:hint="default"/>
      </w:rPr>
    </w:lvl>
    <w:lvl w:ilvl="8" w:tplc="1CE6F2C2">
      <w:start w:val="1"/>
      <w:numFmt w:val="bullet"/>
      <w:lvlText w:val=""/>
      <w:lvlJc w:val="left"/>
      <w:pPr>
        <w:ind w:left="6480" w:hanging="360"/>
      </w:pPr>
      <w:rPr>
        <w:rFonts w:ascii="Wingdings" w:hAnsi="Wingdings" w:hint="default"/>
      </w:rPr>
    </w:lvl>
  </w:abstractNum>
  <w:abstractNum w:abstractNumId="50" w15:restartNumberingAfterBreak="0">
    <w:nsid w:val="62F80515"/>
    <w:multiLevelType w:val="singleLevel"/>
    <w:tmpl w:val="F6C8F98A"/>
    <w:lvl w:ilvl="0">
      <w:start w:val="1"/>
      <w:numFmt w:val="decimal"/>
      <w:pStyle w:val="yange"/>
      <w:lvlText w:val="%1."/>
      <w:lvlJc w:val="left"/>
      <w:pPr>
        <w:tabs>
          <w:tab w:val="num" w:pos="360"/>
        </w:tabs>
        <w:ind w:left="360" w:hanging="360"/>
      </w:pPr>
    </w:lvl>
  </w:abstractNum>
  <w:abstractNum w:abstractNumId="51" w15:restartNumberingAfterBreak="0">
    <w:nsid w:val="66103C5F"/>
    <w:multiLevelType w:val="multilevel"/>
    <w:tmpl w:val="AB8CAD1A"/>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2" w15:restartNumberingAfterBreak="0">
    <w:nsid w:val="66ED5F18"/>
    <w:multiLevelType w:val="hybridMultilevel"/>
    <w:tmpl w:val="DA9E722A"/>
    <w:lvl w:ilvl="0" w:tplc="32D68CA6">
      <w:start w:val="1"/>
      <w:numFmt w:val="bullet"/>
      <w:lvlText w:val="-"/>
      <w:lvlJc w:val="left"/>
      <w:pPr>
        <w:ind w:left="720" w:hanging="360"/>
      </w:pPr>
      <w:rPr>
        <w:rFonts w:ascii="&quot;Times New Roman&quot;,&quot;serif&quot;" w:hAnsi="&quot;Times New Roman&quot;,&quot;serif&quot;" w:hint="default"/>
      </w:rPr>
    </w:lvl>
    <w:lvl w:ilvl="1" w:tplc="5C2C5E0A">
      <w:start w:val="1"/>
      <w:numFmt w:val="bullet"/>
      <w:lvlText w:val="o"/>
      <w:lvlJc w:val="left"/>
      <w:pPr>
        <w:ind w:left="1440" w:hanging="360"/>
      </w:pPr>
      <w:rPr>
        <w:rFonts w:ascii="Courier New" w:hAnsi="Courier New" w:hint="default"/>
      </w:rPr>
    </w:lvl>
    <w:lvl w:ilvl="2" w:tplc="045A5080">
      <w:start w:val="1"/>
      <w:numFmt w:val="bullet"/>
      <w:lvlText w:val=""/>
      <w:lvlJc w:val="left"/>
      <w:pPr>
        <w:ind w:left="2160" w:hanging="360"/>
      </w:pPr>
      <w:rPr>
        <w:rFonts w:ascii="Wingdings" w:hAnsi="Wingdings" w:hint="default"/>
      </w:rPr>
    </w:lvl>
    <w:lvl w:ilvl="3" w:tplc="D292E83A">
      <w:start w:val="1"/>
      <w:numFmt w:val="bullet"/>
      <w:lvlText w:val=""/>
      <w:lvlJc w:val="left"/>
      <w:pPr>
        <w:ind w:left="2880" w:hanging="360"/>
      </w:pPr>
      <w:rPr>
        <w:rFonts w:ascii="Symbol" w:hAnsi="Symbol" w:hint="default"/>
      </w:rPr>
    </w:lvl>
    <w:lvl w:ilvl="4" w:tplc="86CA993E">
      <w:start w:val="1"/>
      <w:numFmt w:val="bullet"/>
      <w:lvlText w:val="o"/>
      <w:lvlJc w:val="left"/>
      <w:pPr>
        <w:ind w:left="3600" w:hanging="360"/>
      </w:pPr>
      <w:rPr>
        <w:rFonts w:ascii="Courier New" w:hAnsi="Courier New" w:hint="default"/>
      </w:rPr>
    </w:lvl>
    <w:lvl w:ilvl="5" w:tplc="4A528D30">
      <w:start w:val="1"/>
      <w:numFmt w:val="bullet"/>
      <w:lvlText w:val=""/>
      <w:lvlJc w:val="left"/>
      <w:pPr>
        <w:ind w:left="4320" w:hanging="360"/>
      </w:pPr>
      <w:rPr>
        <w:rFonts w:ascii="Wingdings" w:hAnsi="Wingdings" w:hint="default"/>
      </w:rPr>
    </w:lvl>
    <w:lvl w:ilvl="6" w:tplc="E786BFDC">
      <w:start w:val="1"/>
      <w:numFmt w:val="bullet"/>
      <w:lvlText w:val=""/>
      <w:lvlJc w:val="left"/>
      <w:pPr>
        <w:ind w:left="5040" w:hanging="360"/>
      </w:pPr>
      <w:rPr>
        <w:rFonts w:ascii="Symbol" w:hAnsi="Symbol" w:hint="default"/>
      </w:rPr>
    </w:lvl>
    <w:lvl w:ilvl="7" w:tplc="DCD466F8">
      <w:start w:val="1"/>
      <w:numFmt w:val="bullet"/>
      <w:lvlText w:val="o"/>
      <w:lvlJc w:val="left"/>
      <w:pPr>
        <w:ind w:left="5760" w:hanging="360"/>
      </w:pPr>
      <w:rPr>
        <w:rFonts w:ascii="Courier New" w:hAnsi="Courier New" w:hint="default"/>
      </w:rPr>
    </w:lvl>
    <w:lvl w:ilvl="8" w:tplc="B38EE5B6">
      <w:start w:val="1"/>
      <w:numFmt w:val="bullet"/>
      <w:lvlText w:val=""/>
      <w:lvlJc w:val="left"/>
      <w:pPr>
        <w:ind w:left="6480" w:hanging="360"/>
      </w:pPr>
      <w:rPr>
        <w:rFonts w:ascii="Wingdings" w:hAnsi="Wingdings" w:hint="default"/>
      </w:rPr>
    </w:lvl>
  </w:abstractNum>
  <w:abstractNum w:abstractNumId="53" w15:restartNumberingAfterBreak="0">
    <w:nsid w:val="699A7A8C"/>
    <w:multiLevelType w:val="hybridMultilevel"/>
    <w:tmpl w:val="47B6693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4" w15:restartNumberingAfterBreak="0">
    <w:nsid w:val="69A822A2"/>
    <w:multiLevelType w:val="hybridMultilevel"/>
    <w:tmpl w:val="F8321C3A"/>
    <w:lvl w:ilvl="0" w:tplc="169A9746">
      <w:start w:val="1"/>
      <w:numFmt w:val="decimal"/>
      <w:lvlText w:val="%1."/>
      <w:lvlJc w:val="left"/>
      <w:pPr>
        <w:ind w:left="1069" w:hanging="360"/>
      </w:pPr>
      <w:rPr>
        <w:rFonts w:hint="default"/>
      </w:rPr>
    </w:lvl>
    <w:lvl w:ilvl="1" w:tplc="041F0019" w:tentative="1">
      <w:start w:val="1"/>
      <w:numFmt w:val="lowerLetter"/>
      <w:lvlText w:val="%2."/>
      <w:lvlJc w:val="left"/>
      <w:pPr>
        <w:ind w:left="1789" w:hanging="360"/>
      </w:pPr>
    </w:lvl>
    <w:lvl w:ilvl="2" w:tplc="041F001B" w:tentative="1">
      <w:start w:val="1"/>
      <w:numFmt w:val="lowerRoman"/>
      <w:lvlText w:val="%3."/>
      <w:lvlJc w:val="right"/>
      <w:pPr>
        <w:ind w:left="2509" w:hanging="180"/>
      </w:pPr>
    </w:lvl>
    <w:lvl w:ilvl="3" w:tplc="041F000F" w:tentative="1">
      <w:start w:val="1"/>
      <w:numFmt w:val="decimal"/>
      <w:lvlText w:val="%4."/>
      <w:lvlJc w:val="left"/>
      <w:pPr>
        <w:ind w:left="3229" w:hanging="360"/>
      </w:pPr>
    </w:lvl>
    <w:lvl w:ilvl="4" w:tplc="041F0019" w:tentative="1">
      <w:start w:val="1"/>
      <w:numFmt w:val="lowerLetter"/>
      <w:lvlText w:val="%5."/>
      <w:lvlJc w:val="left"/>
      <w:pPr>
        <w:ind w:left="3949" w:hanging="360"/>
      </w:pPr>
    </w:lvl>
    <w:lvl w:ilvl="5" w:tplc="041F001B" w:tentative="1">
      <w:start w:val="1"/>
      <w:numFmt w:val="lowerRoman"/>
      <w:lvlText w:val="%6."/>
      <w:lvlJc w:val="right"/>
      <w:pPr>
        <w:ind w:left="4669" w:hanging="180"/>
      </w:pPr>
    </w:lvl>
    <w:lvl w:ilvl="6" w:tplc="041F000F" w:tentative="1">
      <w:start w:val="1"/>
      <w:numFmt w:val="decimal"/>
      <w:lvlText w:val="%7."/>
      <w:lvlJc w:val="left"/>
      <w:pPr>
        <w:ind w:left="5389" w:hanging="360"/>
      </w:pPr>
    </w:lvl>
    <w:lvl w:ilvl="7" w:tplc="041F0019" w:tentative="1">
      <w:start w:val="1"/>
      <w:numFmt w:val="lowerLetter"/>
      <w:lvlText w:val="%8."/>
      <w:lvlJc w:val="left"/>
      <w:pPr>
        <w:ind w:left="6109" w:hanging="360"/>
      </w:pPr>
    </w:lvl>
    <w:lvl w:ilvl="8" w:tplc="041F001B" w:tentative="1">
      <w:start w:val="1"/>
      <w:numFmt w:val="lowerRoman"/>
      <w:lvlText w:val="%9."/>
      <w:lvlJc w:val="right"/>
      <w:pPr>
        <w:ind w:left="6829" w:hanging="180"/>
      </w:pPr>
    </w:lvl>
  </w:abstractNum>
  <w:abstractNum w:abstractNumId="55" w15:restartNumberingAfterBreak="0">
    <w:nsid w:val="6C3A3988"/>
    <w:multiLevelType w:val="hybridMultilevel"/>
    <w:tmpl w:val="128E362E"/>
    <w:lvl w:ilvl="0" w:tplc="042C000F">
      <w:start w:val="1"/>
      <w:numFmt w:val="decimal"/>
      <w:lvlText w:val="%1."/>
      <w:lvlJc w:val="left"/>
      <w:pPr>
        <w:ind w:left="720" w:hanging="360"/>
      </w:pPr>
    </w:lvl>
    <w:lvl w:ilvl="1" w:tplc="042C0019" w:tentative="1">
      <w:start w:val="1"/>
      <w:numFmt w:val="lowerLetter"/>
      <w:lvlText w:val="%2."/>
      <w:lvlJc w:val="left"/>
      <w:pPr>
        <w:ind w:left="1440" w:hanging="360"/>
      </w:pPr>
    </w:lvl>
    <w:lvl w:ilvl="2" w:tplc="042C001B" w:tentative="1">
      <w:start w:val="1"/>
      <w:numFmt w:val="lowerRoman"/>
      <w:lvlText w:val="%3."/>
      <w:lvlJc w:val="right"/>
      <w:pPr>
        <w:ind w:left="2160" w:hanging="180"/>
      </w:pPr>
    </w:lvl>
    <w:lvl w:ilvl="3" w:tplc="042C000F" w:tentative="1">
      <w:start w:val="1"/>
      <w:numFmt w:val="decimal"/>
      <w:lvlText w:val="%4."/>
      <w:lvlJc w:val="left"/>
      <w:pPr>
        <w:ind w:left="2880" w:hanging="360"/>
      </w:pPr>
    </w:lvl>
    <w:lvl w:ilvl="4" w:tplc="042C0019" w:tentative="1">
      <w:start w:val="1"/>
      <w:numFmt w:val="lowerLetter"/>
      <w:lvlText w:val="%5."/>
      <w:lvlJc w:val="left"/>
      <w:pPr>
        <w:ind w:left="3600" w:hanging="360"/>
      </w:pPr>
    </w:lvl>
    <w:lvl w:ilvl="5" w:tplc="042C001B" w:tentative="1">
      <w:start w:val="1"/>
      <w:numFmt w:val="lowerRoman"/>
      <w:lvlText w:val="%6."/>
      <w:lvlJc w:val="right"/>
      <w:pPr>
        <w:ind w:left="4320" w:hanging="180"/>
      </w:pPr>
    </w:lvl>
    <w:lvl w:ilvl="6" w:tplc="042C000F" w:tentative="1">
      <w:start w:val="1"/>
      <w:numFmt w:val="decimal"/>
      <w:lvlText w:val="%7."/>
      <w:lvlJc w:val="left"/>
      <w:pPr>
        <w:ind w:left="5040" w:hanging="360"/>
      </w:pPr>
    </w:lvl>
    <w:lvl w:ilvl="7" w:tplc="042C0019" w:tentative="1">
      <w:start w:val="1"/>
      <w:numFmt w:val="lowerLetter"/>
      <w:lvlText w:val="%8."/>
      <w:lvlJc w:val="left"/>
      <w:pPr>
        <w:ind w:left="5760" w:hanging="360"/>
      </w:pPr>
    </w:lvl>
    <w:lvl w:ilvl="8" w:tplc="042C001B" w:tentative="1">
      <w:start w:val="1"/>
      <w:numFmt w:val="lowerRoman"/>
      <w:lvlText w:val="%9."/>
      <w:lvlJc w:val="right"/>
      <w:pPr>
        <w:ind w:left="6480" w:hanging="180"/>
      </w:pPr>
    </w:lvl>
  </w:abstractNum>
  <w:abstractNum w:abstractNumId="56" w15:restartNumberingAfterBreak="0">
    <w:nsid w:val="6CCE6FC0"/>
    <w:multiLevelType w:val="hybridMultilevel"/>
    <w:tmpl w:val="B8681710"/>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57" w15:restartNumberingAfterBreak="0">
    <w:nsid w:val="6CD32DA8"/>
    <w:multiLevelType w:val="singleLevel"/>
    <w:tmpl w:val="166470C2"/>
    <w:lvl w:ilvl="0">
      <w:start w:val="1"/>
      <w:numFmt w:val="upperRoman"/>
      <w:pStyle w:val="tablecopy"/>
      <w:lvlText w:val="TABLE %1. "/>
      <w:lvlJc w:val="left"/>
      <w:pPr>
        <w:tabs>
          <w:tab w:val="num" w:pos="1080"/>
        </w:tabs>
      </w:pPr>
      <w:rPr>
        <w:rFonts w:ascii="Times New Roman" w:hAnsi="Times New Roman" w:hint="default"/>
        <w:b w:val="0"/>
        <w:i w:val="0"/>
        <w:sz w:val="16"/>
      </w:rPr>
    </w:lvl>
  </w:abstractNum>
  <w:abstractNum w:abstractNumId="58" w15:restartNumberingAfterBreak="0">
    <w:nsid w:val="6E2B270F"/>
    <w:multiLevelType w:val="hybridMultilevel"/>
    <w:tmpl w:val="E4308790"/>
    <w:lvl w:ilvl="0" w:tplc="AEF8F574">
      <w:start w:val="1"/>
      <w:numFmt w:val="decimal"/>
      <w:lvlText w:val="%1."/>
      <w:lvlJc w:val="left"/>
      <w:pPr>
        <w:ind w:left="1125" w:hanging="360"/>
      </w:pPr>
    </w:lvl>
    <w:lvl w:ilvl="1" w:tplc="041F0019">
      <w:start w:val="1"/>
      <w:numFmt w:val="lowerLetter"/>
      <w:lvlText w:val="%2."/>
      <w:lvlJc w:val="left"/>
      <w:pPr>
        <w:ind w:left="1845" w:hanging="360"/>
      </w:pPr>
    </w:lvl>
    <w:lvl w:ilvl="2" w:tplc="041F001B">
      <w:start w:val="1"/>
      <w:numFmt w:val="lowerRoman"/>
      <w:lvlText w:val="%3."/>
      <w:lvlJc w:val="right"/>
      <w:pPr>
        <w:ind w:left="2565" w:hanging="180"/>
      </w:pPr>
    </w:lvl>
    <w:lvl w:ilvl="3" w:tplc="041F000F">
      <w:start w:val="1"/>
      <w:numFmt w:val="decimal"/>
      <w:lvlText w:val="%4."/>
      <w:lvlJc w:val="left"/>
      <w:pPr>
        <w:ind w:left="3285" w:hanging="360"/>
      </w:pPr>
    </w:lvl>
    <w:lvl w:ilvl="4" w:tplc="041F0019">
      <w:start w:val="1"/>
      <w:numFmt w:val="lowerLetter"/>
      <w:lvlText w:val="%5."/>
      <w:lvlJc w:val="left"/>
      <w:pPr>
        <w:ind w:left="4005" w:hanging="360"/>
      </w:pPr>
    </w:lvl>
    <w:lvl w:ilvl="5" w:tplc="041F001B">
      <w:start w:val="1"/>
      <w:numFmt w:val="lowerRoman"/>
      <w:lvlText w:val="%6."/>
      <w:lvlJc w:val="right"/>
      <w:pPr>
        <w:ind w:left="4725" w:hanging="180"/>
      </w:pPr>
    </w:lvl>
    <w:lvl w:ilvl="6" w:tplc="041F000F">
      <w:start w:val="1"/>
      <w:numFmt w:val="decimal"/>
      <w:lvlText w:val="%7."/>
      <w:lvlJc w:val="left"/>
      <w:pPr>
        <w:ind w:left="5445" w:hanging="360"/>
      </w:pPr>
    </w:lvl>
    <w:lvl w:ilvl="7" w:tplc="041F0019">
      <w:start w:val="1"/>
      <w:numFmt w:val="lowerLetter"/>
      <w:lvlText w:val="%8."/>
      <w:lvlJc w:val="left"/>
      <w:pPr>
        <w:ind w:left="6165" w:hanging="360"/>
      </w:pPr>
    </w:lvl>
    <w:lvl w:ilvl="8" w:tplc="041F001B">
      <w:start w:val="1"/>
      <w:numFmt w:val="lowerRoman"/>
      <w:lvlText w:val="%9."/>
      <w:lvlJc w:val="right"/>
      <w:pPr>
        <w:ind w:left="6885" w:hanging="180"/>
      </w:pPr>
    </w:lvl>
  </w:abstractNum>
  <w:abstractNum w:abstractNumId="59" w15:restartNumberingAfterBreak="0">
    <w:nsid w:val="6F8A4B31"/>
    <w:multiLevelType w:val="hybridMultilevel"/>
    <w:tmpl w:val="C8421FF0"/>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60" w15:restartNumberingAfterBreak="0">
    <w:nsid w:val="70C63DB6"/>
    <w:multiLevelType w:val="hybridMultilevel"/>
    <w:tmpl w:val="E36E7E5C"/>
    <w:lvl w:ilvl="0" w:tplc="F0021B9E">
      <w:start w:val="1"/>
      <w:numFmt w:val="bullet"/>
      <w:lvlText w:val="•"/>
      <w:lvlJc w:val="left"/>
      <w:pPr>
        <w:ind w:left="927" w:hanging="360"/>
      </w:pPr>
      <w:rPr>
        <w:rFonts w:ascii="Book Antiqua" w:eastAsia="Times New Roman" w:hAnsi="Book Antiqua" w:cs="Times New Roman" w:hint="default"/>
      </w:rPr>
    </w:lvl>
    <w:lvl w:ilvl="1" w:tplc="041F0003" w:tentative="1">
      <w:start w:val="1"/>
      <w:numFmt w:val="bullet"/>
      <w:lvlText w:val="o"/>
      <w:lvlJc w:val="left"/>
      <w:pPr>
        <w:ind w:left="1647" w:hanging="360"/>
      </w:pPr>
      <w:rPr>
        <w:rFonts w:ascii="Courier New" w:hAnsi="Courier New" w:cs="Courier New" w:hint="default"/>
      </w:rPr>
    </w:lvl>
    <w:lvl w:ilvl="2" w:tplc="041F0005" w:tentative="1">
      <w:start w:val="1"/>
      <w:numFmt w:val="bullet"/>
      <w:lvlText w:val=""/>
      <w:lvlJc w:val="left"/>
      <w:pPr>
        <w:ind w:left="2367" w:hanging="360"/>
      </w:pPr>
      <w:rPr>
        <w:rFonts w:ascii="Wingdings" w:hAnsi="Wingdings" w:hint="default"/>
      </w:rPr>
    </w:lvl>
    <w:lvl w:ilvl="3" w:tplc="041F0001" w:tentative="1">
      <w:start w:val="1"/>
      <w:numFmt w:val="bullet"/>
      <w:lvlText w:val=""/>
      <w:lvlJc w:val="left"/>
      <w:pPr>
        <w:ind w:left="3087" w:hanging="360"/>
      </w:pPr>
      <w:rPr>
        <w:rFonts w:ascii="Symbol" w:hAnsi="Symbol" w:hint="default"/>
      </w:rPr>
    </w:lvl>
    <w:lvl w:ilvl="4" w:tplc="041F0003" w:tentative="1">
      <w:start w:val="1"/>
      <w:numFmt w:val="bullet"/>
      <w:lvlText w:val="o"/>
      <w:lvlJc w:val="left"/>
      <w:pPr>
        <w:ind w:left="3807" w:hanging="360"/>
      </w:pPr>
      <w:rPr>
        <w:rFonts w:ascii="Courier New" w:hAnsi="Courier New" w:cs="Courier New" w:hint="default"/>
      </w:rPr>
    </w:lvl>
    <w:lvl w:ilvl="5" w:tplc="041F0005" w:tentative="1">
      <w:start w:val="1"/>
      <w:numFmt w:val="bullet"/>
      <w:lvlText w:val=""/>
      <w:lvlJc w:val="left"/>
      <w:pPr>
        <w:ind w:left="4527" w:hanging="360"/>
      </w:pPr>
      <w:rPr>
        <w:rFonts w:ascii="Wingdings" w:hAnsi="Wingdings" w:hint="default"/>
      </w:rPr>
    </w:lvl>
    <w:lvl w:ilvl="6" w:tplc="041F0001" w:tentative="1">
      <w:start w:val="1"/>
      <w:numFmt w:val="bullet"/>
      <w:lvlText w:val=""/>
      <w:lvlJc w:val="left"/>
      <w:pPr>
        <w:ind w:left="5247" w:hanging="360"/>
      </w:pPr>
      <w:rPr>
        <w:rFonts w:ascii="Symbol" w:hAnsi="Symbol" w:hint="default"/>
      </w:rPr>
    </w:lvl>
    <w:lvl w:ilvl="7" w:tplc="041F0003" w:tentative="1">
      <w:start w:val="1"/>
      <w:numFmt w:val="bullet"/>
      <w:lvlText w:val="o"/>
      <w:lvlJc w:val="left"/>
      <w:pPr>
        <w:ind w:left="5967" w:hanging="360"/>
      </w:pPr>
      <w:rPr>
        <w:rFonts w:ascii="Courier New" w:hAnsi="Courier New" w:cs="Courier New" w:hint="default"/>
      </w:rPr>
    </w:lvl>
    <w:lvl w:ilvl="8" w:tplc="041F0005" w:tentative="1">
      <w:start w:val="1"/>
      <w:numFmt w:val="bullet"/>
      <w:lvlText w:val=""/>
      <w:lvlJc w:val="left"/>
      <w:pPr>
        <w:ind w:left="6687" w:hanging="360"/>
      </w:pPr>
      <w:rPr>
        <w:rFonts w:ascii="Wingdings" w:hAnsi="Wingdings" w:hint="default"/>
      </w:rPr>
    </w:lvl>
  </w:abstractNum>
  <w:abstractNum w:abstractNumId="61" w15:restartNumberingAfterBreak="0">
    <w:nsid w:val="78FD5409"/>
    <w:multiLevelType w:val="hybridMultilevel"/>
    <w:tmpl w:val="561AA800"/>
    <w:lvl w:ilvl="0" w:tplc="042C0001">
      <w:start w:val="1"/>
      <w:numFmt w:val="bullet"/>
      <w:lvlText w:val=""/>
      <w:lvlJc w:val="left"/>
      <w:pPr>
        <w:ind w:left="720" w:hanging="360"/>
      </w:pPr>
      <w:rPr>
        <w:rFonts w:ascii="Symbol" w:hAnsi="Symbol" w:hint="default"/>
      </w:rPr>
    </w:lvl>
    <w:lvl w:ilvl="1" w:tplc="042C0003" w:tentative="1">
      <w:start w:val="1"/>
      <w:numFmt w:val="bullet"/>
      <w:lvlText w:val="o"/>
      <w:lvlJc w:val="left"/>
      <w:pPr>
        <w:ind w:left="1440" w:hanging="360"/>
      </w:pPr>
      <w:rPr>
        <w:rFonts w:ascii="Courier New" w:hAnsi="Courier New" w:cs="Courier New" w:hint="default"/>
      </w:rPr>
    </w:lvl>
    <w:lvl w:ilvl="2" w:tplc="042C0005" w:tentative="1">
      <w:start w:val="1"/>
      <w:numFmt w:val="bullet"/>
      <w:lvlText w:val=""/>
      <w:lvlJc w:val="left"/>
      <w:pPr>
        <w:ind w:left="2160" w:hanging="360"/>
      </w:pPr>
      <w:rPr>
        <w:rFonts w:ascii="Wingdings" w:hAnsi="Wingdings" w:hint="default"/>
      </w:rPr>
    </w:lvl>
    <w:lvl w:ilvl="3" w:tplc="042C0001" w:tentative="1">
      <w:start w:val="1"/>
      <w:numFmt w:val="bullet"/>
      <w:lvlText w:val=""/>
      <w:lvlJc w:val="left"/>
      <w:pPr>
        <w:ind w:left="2880" w:hanging="360"/>
      </w:pPr>
      <w:rPr>
        <w:rFonts w:ascii="Symbol" w:hAnsi="Symbol" w:hint="default"/>
      </w:rPr>
    </w:lvl>
    <w:lvl w:ilvl="4" w:tplc="042C0003" w:tentative="1">
      <w:start w:val="1"/>
      <w:numFmt w:val="bullet"/>
      <w:lvlText w:val="o"/>
      <w:lvlJc w:val="left"/>
      <w:pPr>
        <w:ind w:left="3600" w:hanging="360"/>
      </w:pPr>
      <w:rPr>
        <w:rFonts w:ascii="Courier New" w:hAnsi="Courier New" w:cs="Courier New" w:hint="default"/>
      </w:rPr>
    </w:lvl>
    <w:lvl w:ilvl="5" w:tplc="042C0005" w:tentative="1">
      <w:start w:val="1"/>
      <w:numFmt w:val="bullet"/>
      <w:lvlText w:val=""/>
      <w:lvlJc w:val="left"/>
      <w:pPr>
        <w:ind w:left="4320" w:hanging="360"/>
      </w:pPr>
      <w:rPr>
        <w:rFonts w:ascii="Wingdings" w:hAnsi="Wingdings" w:hint="default"/>
      </w:rPr>
    </w:lvl>
    <w:lvl w:ilvl="6" w:tplc="042C0001" w:tentative="1">
      <w:start w:val="1"/>
      <w:numFmt w:val="bullet"/>
      <w:lvlText w:val=""/>
      <w:lvlJc w:val="left"/>
      <w:pPr>
        <w:ind w:left="5040" w:hanging="360"/>
      </w:pPr>
      <w:rPr>
        <w:rFonts w:ascii="Symbol" w:hAnsi="Symbol" w:hint="default"/>
      </w:rPr>
    </w:lvl>
    <w:lvl w:ilvl="7" w:tplc="042C0003" w:tentative="1">
      <w:start w:val="1"/>
      <w:numFmt w:val="bullet"/>
      <w:lvlText w:val="o"/>
      <w:lvlJc w:val="left"/>
      <w:pPr>
        <w:ind w:left="5760" w:hanging="360"/>
      </w:pPr>
      <w:rPr>
        <w:rFonts w:ascii="Courier New" w:hAnsi="Courier New" w:cs="Courier New" w:hint="default"/>
      </w:rPr>
    </w:lvl>
    <w:lvl w:ilvl="8" w:tplc="042C0005" w:tentative="1">
      <w:start w:val="1"/>
      <w:numFmt w:val="bullet"/>
      <w:lvlText w:val=""/>
      <w:lvlJc w:val="left"/>
      <w:pPr>
        <w:ind w:left="6480" w:hanging="360"/>
      </w:pPr>
      <w:rPr>
        <w:rFonts w:ascii="Wingdings" w:hAnsi="Wingdings" w:hint="default"/>
      </w:rPr>
    </w:lvl>
  </w:abstractNum>
  <w:abstractNum w:abstractNumId="62" w15:restartNumberingAfterBreak="0">
    <w:nsid w:val="7935417F"/>
    <w:multiLevelType w:val="hybridMultilevel"/>
    <w:tmpl w:val="E624A924"/>
    <w:lvl w:ilvl="0" w:tplc="041F0001">
      <w:start w:val="1"/>
      <w:numFmt w:val="bullet"/>
      <w:lvlText w:val=""/>
      <w:lvlJc w:val="left"/>
      <w:pPr>
        <w:ind w:left="1287" w:hanging="360"/>
      </w:pPr>
      <w:rPr>
        <w:rFonts w:ascii="Symbol" w:hAnsi="Symbol"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63" w15:restartNumberingAfterBreak="0">
    <w:nsid w:val="79644CA5"/>
    <w:multiLevelType w:val="hybridMultilevel"/>
    <w:tmpl w:val="16923064"/>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4" w15:restartNumberingAfterBreak="0">
    <w:nsid w:val="7A3101D1"/>
    <w:multiLevelType w:val="hybridMultilevel"/>
    <w:tmpl w:val="A28A3534"/>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num w:numId="1">
    <w:abstractNumId w:val="31"/>
  </w:num>
  <w:num w:numId="2">
    <w:abstractNumId w:val="45"/>
  </w:num>
  <w:num w:numId="3">
    <w:abstractNumId w:val="19"/>
  </w:num>
  <w:num w:numId="4">
    <w:abstractNumId w:val="29"/>
  </w:num>
  <w:num w:numId="5">
    <w:abstractNumId w:val="64"/>
  </w:num>
  <w:num w:numId="6">
    <w:abstractNumId w:val="18"/>
  </w:num>
  <w:num w:numId="7">
    <w:abstractNumId w:val="23"/>
  </w:num>
  <w:num w:numId="8">
    <w:abstractNumId w:val="43"/>
  </w:num>
  <w:num w:numId="9">
    <w:abstractNumId w:val="11"/>
  </w:num>
  <w:num w:numId="10">
    <w:abstractNumId w:val="51"/>
  </w:num>
  <w:num w:numId="11">
    <w:abstractNumId w:val="6"/>
  </w:num>
  <w:num w:numId="12">
    <w:abstractNumId w:val="10"/>
  </w:num>
  <w:num w:numId="13">
    <w:abstractNumId w:val="2"/>
  </w:num>
  <w:num w:numId="14">
    <w:abstractNumId w:val="8"/>
  </w:num>
  <w:num w:numId="15">
    <w:abstractNumId w:val="21"/>
  </w:num>
  <w:num w:numId="16">
    <w:abstractNumId w:val="4"/>
  </w:num>
  <w:num w:numId="17">
    <w:abstractNumId w:val="55"/>
  </w:num>
  <w:num w:numId="18">
    <w:abstractNumId w:val="44"/>
  </w:num>
  <w:num w:numId="19">
    <w:abstractNumId w:val="36"/>
  </w:num>
  <w:num w:numId="20">
    <w:abstractNumId w:val="15"/>
  </w:num>
  <w:num w:numId="21">
    <w:abstractNumId w:val="61"/>
  </w:num>
  <w:num w:numId="22">
    <w:abstractNumId w:val="32"/>
  </w:num>
  <w:num w:numId="23">
    <w:abstractNumId w:val="7"/>
  </w:num>
  <w:num w:numId="24">
    <w:abstractNumId w:val="50"/>
  </w:num>
  <w:num w:numId="25">
    <w:abstractNumId w:val="42"/>
  </w:num>
  <w:num w:numId="26">
    <w:abstractNumId w:val="57"/>
  </w:num>
  <w:num w:numId="27">
    <w:abstractNumId w:val="62"/>
  </w:num>
  <w:num w:numId="28">
    <w:abstractNumId w:val="60"/>
  </w:num>
  <w:num w:numId="29">
    <w:abstractNumId w:val="38"/>
  </w:num>
  <w:num w:numId="30">
    <w:abstractNumId w:val="39"/>
  </w:num>
  <w:num w:numId="31">
    <w:abstractNumId w:val="47"/>
  </w:num>
  <w:num w:numId="32">
    <w:abstractNumId w:val="17"/>
  </w:num>
  <w:num w:numId="33">
    <w:abstractNumId w:val="59"/>
  </w:num>
  <w:num w:numId="34">
    <w:abstractNumId w:val="56"/>
  </w:num>
  <w:num w:numId="35">
    <w:abstractNumId w:val="33"/>
  </w:num>
  <w:num w:numId="3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5"/>
  </w:num>
  <w:num w:numId="39">
    <w:abstractNumId w:val="40"/>
  </w:num>
  <w:num w:numId="40">
    <w:abstractNumId w:val="41"/>
  </w:num>
  <w:num w:numId="41">
    <w:abstractNumId w:val="9"/>
  </w:num>
  <w:num w:numId="42">
    <w:abstractNumId w:val="25"/>
  </w:num>
  <w:num w:numId="43">
    <w:abstractNumId w:val="46"/>
  </w:num>
  <w:num w:numId="44">
    <w:abstractNumId w:val="14"/>
  </w:num>
  <w:num w:numId="45">
    <w:abstractNumId w:val="20"/>
  </w:num>
  <w:num w:numId="46">
    <w:abstractNumId w:val="24"/>
  </w:num>
  <w:num w:numId="47">
    <w:abstractNumId w:val="27"/>
  </w:num>
  <w:num w:numId="48">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6"/>
  </w:num>
  <w:num w:numId="50">
    <w:abstractNumId w:val="12"/>
  </w:num>
  <w:num w:numId="51">
    <w:abstractNumId w:val="30"/>
  </w:num>
  <w:num w:numId="52">
    <w:abstractNumId w:val="52"/>
  </w:num>
  <w:num w:numId="53">
    <w:abstractNumId w:val="49"/>
  </w:num>
  <w:num w:numId="54">
    <w:abstractNumId w:val="34"/>
  </w:num>
  <w:num w:numId="55">
    <w:abstractNumId w:val="53"/>
  </w:num>
  <w:num w:numId="56">
    <w:abstractNumId w:val="63"/>
  </w:num>
  <w:num w:numId="57">
    <w:abstractNumId w:val="26"/>
  </w:num>
  <w:num w:numId="58">
    <w:abstractNumId w:val="54"/>
  </w:num>
  <w:num w:numId="59">
    <w:abstractNumId w:val="0"/>
  </w:num>
  <w:num w:numId="60">
    <w:abstractNumId w:val="37"/>
  </w:num>
  <w:num w:numId="61">
    <w:abstractNumId w:val="35"/>
  </w:num>
  <w:num w:numId="62">
    <w:abstractNumId w:val="13"/>
  </w:num>
  <w:num w:numId="63">
    <w:abstractNumId w:val="3"/>
  </w:num>
  <w:num w:numId="64">
    <w:abstractNumId w:val="1"/>
  </w:num>
  <w:num w:numId="65">
    <w:abstractNumId w:val="28"/>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837D2"/>
    <w:rsid w:val="00006C90"/>
    <w:rsid w:val="00015DB1"/>
    <w:rsid w:val="00020A27"/>
    <w:rsid w:val="000214F4"/>
    <w:rsid w:val="00032491"/>
    <w:rsid w:val="00046FF9"/>
    <w:rsid w:val="00051F6F"/>
    <w:rsid w:val="00057033"/>
    <w:rsid w:val="000736D0"/>
    <w:rsid w:val="00081E41"/>
    <w:rsid w:val="00090ACD"/>
    <w:rsid w:val="000973A3"/>
    <w:rsid w:val="000A122E"/>
    <w:rsid w:val="000B5426"/>
    <w:rsid w:val="000D5505"/>
    <w:rsid w:val="000F460B"/>
    <w:rsid w:val="00102891"/>
    <w:rsid w:val="00111A5C"/>
    <w:rsid w:val="00115D4E"/>
    <w:rsid w:val="0012527E"/>
    <w:rsid w:val="00135262"/>
    <w:rsid w:val="00141BD0"/>
    <w:rsid w:val="00164238"/>
    <w:rsid w:val="001860C4"/>
    <w:rsid w:val="0019364B"/>
    <w:rsid w:val="001938A0"/>
    <w:rsid w:val="001A54DD"/>
    <w:rsid w:val="001B1C65"/>
    <w:rsid w:val="001B283B"/>
    <w:rsid w:val="001B311E"/>
    <w:rsid w:val="001B5F4B"/>
    <w:rsid w:val="001D67F2"/>
    <w:rsid w:val="001D73E8"/>
    <w:rsid w:val="001E0B0D"/>
    <w:rsid w:val="001E3B38"/>
    <w:rsid w:val="001E6571"/>
    <w:rsid w:val="001F44AC"/>
    <w:rsid w:val="00200A02"/>
    <w:rsid w:val="00203FB7"/>
    <w:rsid w:val="00205FCD"/>
    <w:rsid w:val="0021423C"/>
    <w:rsid w:val="00214B8E"/>
    <w:rsid w:val="00231223"/>
    <w:rsid w:val="00247E90"/>
    <w:rsid w:val="00254933"/>
    <w:rsid w:val="00256968"/>
    <w:rsid w:val="00257E57"/>
    <w:rsid w:val="0028373D"/>
    <w:rsid w:val="002837D2"/>
    <w:rsid w:val="002844C1"/>
    <w:rsid w:val="0028540C"/>
    <w:rsid w:val="0028542D"/>
    <w:rsid w:val="00287A05"/>
    <w:rsid w:val="00292910"/>
    <w:rsid w:val="00292915"/>
    <w:rsid w:val="002A56E9"/>
    <w:rsid w:val="002B7985"/>
    <w:rsid w:val="002C1A07"/>
    <w:rsid w:val="002E0D04"/>
    <w:rsid w:val="002E3F19"/>
    <w:rsid w:val="002E7052"/>
    <w:rsid w:val="00312E91"/>
    <w:rsid w:val="003301DC"/>
    <w:rsid w:val="00340A7C"/>
    <w:rsid w:val="0035725C"/>
    <w:rsid w:val="00357DB1"/>
    <w:rsid w:val="00360486"/>
    <w:rsid w:val="00367C19"/>
    <w:rsid w:val="00370B91"/>
    <w:rsid w:val="0037329F"/>
    <w:rsid w:val="003772C0"/>
    <w:rsid w:val="003824B9"/>
    <w:rsid w:val="003926FB"/>
    <w:rsid w:val="003B2F9E"/>
    <w:rsid w:val="003B313B"/>
    <w:rsid w:val="003B455F"/>
    <w:rsid w:val="003B556D"/>
    <w:rsid w:val="003B6DB3"/>
    <w:rsid w:val="003C629D"/>
    <w:rsid w:val="003C7253"/>
    <w:rsid w:val="003E54A4"/>
    <w:rsid w:val="00400F58"/>
    <w:rsid w:val="00416DDD"/>
    <w:rsid w:val="004266E7"/>
    <w:rsid w:val="0043259F"/>
    <w:rsid w:val="0043379E"/>
    <w:rsid w:val="00445EDA"/>
    <w:rsid w:val="00447A98"/>
    <w:rsid w:val="0045132F"/>
    <w:rsid w:val="00452A49"/>
    <w:rsid w:val="0045652E"/>
    <w:rsid w:val="0046321D"/>
    <w:rsid w:val="0046531D"/>
    <w:rsid w:val="00466159"/>
    <w:rsid w:val="004A0AE7"/>
    <w:rsid w:val="004A799C"/>
    <w:rsid w:val="004B1749"/>
    <w:rsid w:val="004B25C4"/>
    <w:rsid w:val="004B7C65"/>
    <w:rsid w:val="004C6717"/>
    <w:rsid w:val="004C7073"/>
    <w:rsid w:val="004E03C1"/>
    <w:rsid w:val="004E76E4"/>
    <w:rsid w:val="004F1A30"/>
    <w:rsid w:val="004F48D2"/>
    <w:rsid w:val="004F4AA1"/>
    <w:rsid w:val="004F7613"/>
    <w:rsid w:val="005015E7"/>
    <w:rsid w:val="005078A7"/>
    <w:rsid w:val="00522634"/>
    <w:rsid w:val="0052595C"/>
    <w:rsid w:val="00526898"/>
    <w:rsid w:val="00527E9C"/>
    <w:rsid w:val="00533327"/>
    <w:rsid w:val="00534F95"/>
    <w:rsid w:val="005541B6"/>
    <w:rsid w:val="005572EC"/>
    <w:rsid w:val="005633F5"/>
    <w:rsid w:val="00563597"/>
    <w:rsid w:val="00592ED9"/>
    <w:rsid w:val="005A3D8C"/>
    <w:rsid w:val="005A3EBB"/>
    <w:rsid w:val="005D2462"/>
    <w:rsid w:val="005E0EA1"/>
    <w:rsid w:val="005E30CD"/>
    <w:rsid w:val="005E7C5E"/>
    <w:rsid w:val="005F6014"/>
    <w:rsid w:val="006044EC"/>
    <w:rsid w:val="00610143"/>
    <w:rsid w:val="006127D8"/>
    <w:rsid w:val="00613F62"/>
    <w:rsid w:val="00614559"/>
    <w:rsid w:val="00615E93"/>
    <w:rsid w:val="006204E7"/>
    <w:rsid w:val="0062608B"/>
    <w:rsid w:val="00627B57"/>
    <w:rsid w:val="0063340F"/>
    <w:rsid w:val="00641A09"/>
    <w:rsid w:val="00655EED"/>
    <w:rsid w:val="00656756"/>
    <w:rsid w:val="00666326"/>
    <w:rsid w:val="00677C69"/>
    <w:rsid w:val="006807CF"/>
    <w:rsid w:val="00682CBF"/>
    <w:rsid w:val="00686ACB"/>
    <w:rsid w:val="006923DF"/>
    <w:rsid w:val="00694307"/>
    <w:rsid w:val="006963C3"/>
    <w:rsid w:val="006A4DC2"/>
    <w:rsid w:val="006B6D6D"/>
    <w:rsid w:val="006D3978"/>
    <w:rsid w:val="006D4075"/>
    <w:rsid w:val="006E095D"/>
    <w:rsid w:val="006E661C"/>
    <w:rsid w:val="006F033D"/>
    <w:rsid w:val="006F3ACA"/>
    <w:rsid w:val="006F4807"/>
    <w:rsid w:val="007025CC"/>
    <w:rsid w:val="00706341"/>
    <w:rsid w:val="00712C34"/>
    <w:rsid w:val="007256AC"/>
    <w:rsid w:val="00741745"/>
    <w:rsid w:val="0076679A"/>
    <w:rsid w:val="00792A98"/>
    <w:rsid w:val="007935BD"/>
    <w:rsid w:val="00793FF1"/>
    <w:rsid w:val="007B2592"/>
    <w:rsid w:val="007C3550"/>
    <w:rsid w:val="007C4575"/>
    <w:rsid w:val="007C46D4"/>
    <w:rsid w:val="007D36AE"/>
    <w:rsid w:val="007D55D3"/>
    <w:rsid w:val="007E005E"/>
    <w:rsid w:val="007E061C"/>
    <w:rsid w:val="007F03EB"/>
    <w:rsid w:val="008005F3"/>
    <w:rsid w:val="00805E4B"/>
    <w:rsid w:val="00815326"/>
    <w:rsid w:val="0082496F"/>
    <w:rsid w:val="00842705"/>
    <w:rsid w:val="00842D55"/>
    <w:rsid w:val="00856481"/>
    <w:rsid w:val="00881BBB"/>
    <w:rsid w:val="00885A08"/>
    <w:rsid w:val="00890B4E"/>
    <w:rsid w:val="008934F8"/>
    <w:rsid w:val="008B2B7D"/>
    <w:rsid w:val="008B436C"/>
    <w:rsid w:val="008B4928"/>
    <w:rsid w:val="008B6DF8"/>
    <w:rsid w:val="008C339B"/>
    <w:rsid w:val="008D30E9"/>
    <w:rsid w:val="008F39E0"/>
    <w:rsid w:val="008F79A8"/>
    <w:rsid w:val="00905716"/>
    <w:rsid w:val="009111F5"/>
    <w:rsid w:val="009154C2"/>
    <w:rsid w:val="00925D2D"/>
    <w:rsid w:val="00943970"/>
    <w:rsid w:val="00951B43"/>
    <w:rsid w:val="00955A3E"/>
    <w:rsid w:val="0096511C"/>
    <w:rsid w:val="00965260"/>
    <w:rsid w:val="0096590F"/>
    <w:rsid w:val="00970901"/>
    <w:rsid w:val="00982A2F"/>
    <w:rsid w:val="009835A2"/>
    <w:rsid w:val="009A0260"/>
    <w:rsid w:val="009C1B0D"/>
    <w:rsid w:val="009C7E36"/>
    <w:rsid w:val="009D50E1"/>
    <w:rsid w:val="009E2874"/>
    <w:rsid w:val="00A028AE"/>
    <w:rsid w:val="00A11E82"/>
    <w:rsid w:val="00A21FD4"/>
    <w:rsid w:val="00A23104"/>
    <w:rsid w:val="00A3188A"/>
    <w:rsid w:val="00A31B11"/>
    <w:rsid w:val="00A33835"/>
    <w:rsid w:val="00A40273"/>
    <w:rsid w:val="00A40B57"/>
    <w:rsid w:val="00A44C3D"/>
    <w:rsid w:val="00A4525A"/>
    <w:rsid w:val="00A54262"/>
    <w:rsid w:val="00A80488"/>
    <w:rsid w:val="00A844B2"/>
    <w:rsid w:val="00AA2A62"/>
    <w:rsid w:val="00AA312A"/>
    <w:rsid w:val="00AA42F6"/>
    <w:rsid w:val="00AB77B4"/>
    <w:rsid w:val="00AC02BF"/>
    <w:rsid w:val="00AC252B"/>
    <w:rsid w:val="00AD10D5"/>
    <w:rsid w:val="00AE5E6C"/>
    <w:rsid w:val="00AE6EC7"/>
    <w:rsid w:val="00B346E9"/>
    <w:rsid w:val="00B431DD"/>
    <w:rsid w:val="00B52314"/>
    <w:rsid w:val="00B545E8"/>
    <w:rsid w:val="00B70ABD"/>
    <w:rsid w:val="00B71547"/>
    <w:rsid w:val="00B84491"/>
    <w:rsid w:val="00B849C3"/>
    <w:rsid w:val="00BA15B0"/>
    <w:rsid w:val="00BB5224"/>
    <w:rsid w:val="00BD5111"/>
    <w:rsid w:val="00BD54F6"/>
    <w:rsid w:val="00BF58CB"/>
    <w:rsid w:val="00C1494B"/>
    <w:rsid w:val="00C16329"/>
    <w:rsid w:val="00C23880"/>
    <w:rsid w:val="00C27A75"/>
    <w:rsid w:val="00C302F3"/>
    <w:rsid w:val="00C54BC9"/>
    <w:rsid w:val="00C57500"/>
    <w:rsid w:val="00C62750"/>
    <w:rsid w:val="00C91EB7"/>
    <w:rsid w:val="00C95516"/>
    <w:rsid w:val="00C96ED7"/>
    <w:rsid w:val="00CA1B1E"/>
    <w:rsid w:val="00CB6608"/>
    <w:rsid w:val="00CC71B3"/>
    <w:rsid w:val="00CD196B"/>
    <w:rsid w:val="00CF0B1C"/>
    <w:rsid w:val="00D02D31"/>
    <w:rsid w:val="00D15A2A"/>
    <w:rsid w:val="00D23392"/>
    <w:rsid w:val="00D50051"/>
    <w:rsid w:val="00D56867"/>
    <w:rsid w:val="00D75787"/>
    <w:rsid w:val="00D90FCB"/>
    <w:rsid w:val="00DB38FC"/>
    <w:rsid w:val="00DB79B2"/>
    <w:rsid w:val="00DD4A0F"/>
    <w:rsid w:val="00DE0EE5"/>
    <w:rsid w:val="00DE52F2"/>
    <w:rsid w:val="00DE54E4"/>
    <w:rsid w:val="00DE5DE1"/>
    <w:rsid w:val="00DF30F4"/>
    <w:rsid w:val="00E00304"/>
    <w:rsid w:val="00E0308F"/>
    <w:rsid w:val="00E100BC"/>
    <w:rsid w:val="00E33F25"/>
    <w:rsid w:val="00E35929"/>
    <w:rsid w:val="00E40B0B"/>
    <w:rsid w:val="00E448AA"/>
    <w:rsid w:val="00E56219"/>
    <w:rsid w:val="00E6313A"/>
    <w:rsid w:val="00E63182"/>
    <w:rsid w:val="00E666D1"/>
    <w:rsid w:val="00E7125F"/>
    <w:rsid w:val="00E74503"/>
    <w:rsid w:val="00E839E1"/>
    <w:rsid w:val="00E8480C"/>
    <w:rsid w:val="00E853F1"/>
    <w:rsid w:val="00E9612E"/>
    <w:rsid w:val="00EC1E91"/>
    <w:rsid w:val="00EF0A33"/>
    <w:rsid w:val="00EF2803"/>
    <w:rsid w:val="00EF4A33"/>
    <w:rsid w:val="00EF5F34"/>
    <w:rsid w:val="00F0775E"/>
    <w:rsid w:val="00F12E7B"/>
    <w:rsid w:val="00F17FEC"/>
    <w:rsid w:val="00F24526"/>
    <w:rsid w:val="00F26DF3"/>
    <w:rsid w:val="00F30183"/>
    <w:rsid w:val="00F321A0"/>
    <w:rsid w:val="00F51503"/>
    <w:rsid w:val="00F53FE4"/>
    <w:rsid w:val="00F716F5"/>
    <w:rsid w:val="00F7786E"/>
    <w:rsid w:val="00F94348"/>
    <w:rsid w:val="00FA0CEC"/>
    <w:rsid w:val="00FA6216"/>
    <w:rsid w:val="00FA6C5D"/>
    <w:rsid w:val="00FC316F"/>
    <w:rsid w:val="00FC55AB"/>
    <w:rsid w:val="00FC5E83"/>
    <w:rsid w:val="00FD1D39"/>
    <w:rsid w:val="00FE662D"/>
    <w:rsid w:val="00FF39A9"/>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27D684"/>
  <w15:chartTrackingRefBased/>
  <w15:docId w15:val="{AFB208DE-6930-4D0B-B484-35666F4D10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633F5"/>
  </w:style>
  <w:style w:type="paragraph" w:styleId="Balk1">
    <w:name w:val="heading 1"/>
    <w:basedOn w:val="Normal"/>
    <w:next w:val="Normal"/>
    <w:link w:val="Balk1Char"/>
    <w:uiPriority w:val="9"/>
    <w:qFormat/>
    <w:rsid w:val="00057033"/>
    <w:pPr>
      <w:keepNext/>
      <w:keepLines/>
      <w:spacing w:before="240" w:after="0"/>
      <w:outlineLvl w:val="0"/>
    </w:pPr>
    <w:rPr>
      <w:rFonts w:asciiTheme="majorHAnsi" w:eastAsiaTheme="majorEastAsia" w:hAnsiTheme="majorHAnsi" w:cstheme="majorBidi"/>
      <w:color w:val="2E74B5" w:themeColor="accent1" w:themeShade="BF"/>
      <w:sz w:val="32"/>
      <w:szCs w:val="32"/>
      <w:lang w:eastAsia="tr-TR"/>
    </w:rPr>
  </w:style>
  <w:style w:type="paragraph" w:styleId="Balk2">
    <w:name w:val="heading 2"/>
    <w:basedOn w:val="Normal"/>
    <w:next w:val="Normal"/>
    <w:link w:val="Balk2Char"/>
    <w:qFormat/>
    <w:rsid w:val="00C54BC9"/>
    <w:pPr>
      <w:keepNext/>
      <w:spacing w:before="240" w:after="60" w:line="240" w:lineRule="auto"/>
      <w:outlineLvl w:val="1"/>
    </w:pPr>
    <w:rPr>
      <w:rFonts w:ascii="Arial" w:eastAsia="Times New Roman" w:hAnsi="Arial" w:cs="Arial"/>
      <w:b/>
      <w:bCs/>
      <w:i/>
      <w:iCs/>
      <w:sz w:val="28"/>
      <w:szCs w:val="28"/>
      <w:lang w:val="en-US"/>
    </w:rPr>
  </w:style>
  <w:style w:type="paragraph" w:styleId="Balk3">
    <w:name w:val="heading 3"/>
    <w:basedOn w:val="Normal"/>
    <w:next w:val="Normal"/>
    <w:link w:val="Balk3Char"/>
    <w:qFormat/>
    <w:rsid w:val="00C54BC9"/>
    <w:pPr>
      <w:keepNext/>
      <w:spacing w:before="240" w:after="60" w:line="240" w:lineRule="auto"/>
      <w:outlineLvl w:val="2"/>
    </w:pPr>
    <w:rPr>
      <w:rFonts w:ascii="Arial" w:eastAsia="Times New Roman" w:hAnsi="Arial" w:cs="Arial"/>
      <w:b/>
      <w:bCs/>
      <w:sz w:val="26"/>
      <w:szCs w:val="26"/>
      <w:lang w:val="en-US"/>
    </w:rPr>
  </w:style>
  <w:style w:type="paragraph" w:styleId="Balk4">
    <w:name w:val="heading 4"/>
    <w:basedOn w:val="Normal"/>
    <w:next w:val="Normal"/>
    <w:link w:val="Balk4Char"/>
    <w:qFormat/>
    <w:rsid w:val="00C54BC9"/>
    <w:pPr>
      <w:keepNext/>
      <w:spacing w:before="240" w:after="60" w:line="240" w:lineRule="auto"/>
      <w:outlineLvl w:val="3"/>
    </w:pPr>
    <w:rPr>
      <w:rFonts w:ascii="Times New Roman" w:eastAsia="Times New Roman" w:hAnsi="Times New Roman" w:cs="Times New Roman"/>
      <w:b/>
      <w:bCs/>
      <w:sz w:val="28"/>
      <w:szCs w:val="28"/>
      <w:lang w:val="en-US"/>
    </w:rPr>
  </w:style>
  <w:style w:type="paragraph" w:styleId="Balk5">
    <w:name w:val="heading 5"/>
    <w:basedOn w:val="Normal"/>
    <w:next w:val="Normal"/>
    <w:link w:val="Balk5Char"/>
    <w:uiPriority w:val="9"/>
    <w:qFormat/>
    <w:rsid w:val="00C54BC9"/>
    <w:pPr>
      <w:spacing w:before="240" w:after="60" w:line="240" w:lineRule="auto"/>
      <w:outlineLvl w:val="4"/>
    </w:pPr>
    <w:rPr>
      <w:rFonts w:ascii="Times New Roman" w:eastAsia="Times New Roman" w:hAnsi="Times New Roman" w:cs="Times New Roman"/>
      <w:b/>
      <w:bCs/>
      <w:i/>
      <w:iCs/>
      <w:sz w:val="26"/>
      <w:szCs w:val="26"/>
      <w:lang w:val="en-US"/>
    </w:rPr>
  </w:style>
  <w:style w:type="paragraph" w:styleId="Balk6">
    <w:name w:val="heading 6"/>
    <w:basedOn w:val="Normal"/>
    <w:next w:val="Normal"/>
    <w:link w:val="Balk6Char"/>
    <w:uiPriority w:val="9"/>
    <w:qFormat/>
    <w:rsid w:val="00C54BC9"/>
    <w:pPr>
      <w:keepNext/>
      <w:spacing w:after="0" w:line="240" w:lineRule="auto"/>
      <w:jc w:val="center"/>
      <w:outlineLvl w:val="5"/>
    </w:pPr>
    <w:rPr>
      <w:rFonts w:ascii="Times New Roman" w:eastAsia="Times New Roman" w:hAnsi="Times New Roman" w:cs="Times New Roman"/>
      <w:b/>
      <w:bCs/>
      <w:i/>
      <w:iCs/>
      <w:sz w:val="20"/>
      <w:szCs w:val="20"/>
      <w:u w:val="single"/>
      <w:lang w:val="en-US"/>
    </w:rPr>
  </w:style>
  <w:style w:type="paragraph" w:styleId="Balk7">
    <w:name w:val="heading 7"/>
    <w:basedOn w:val="Normal"/>
    <w:next w:val="Normal"/>
    <w:link w:val="Balk7Char"/>
    <w:qFormat/>
    <w:rsid w:val="00C54BC9"/>
    <w:pPr>
      <w:spacing w:before="240" w:after="60" w:line="240" w:lineRule="auto"/>
      <w:outlineLvl w:val="6"/>
    </w:pPr>
    <w:rPr>
      <w:rFonts w:ascii="Times New Roman" w:eastAsia="Times New Roman" w:hAnsi="Times New Roman" w:cs="Times New Roman"/>
      <w:sz w:val="24"/>
      <w:szCs w:val="24"/>
      <w:lang w:val="en-US"/>
    </w:rPr>
  </w:style>
  <w:style w:type="paragraph" w:styleId="Balk8">
    <w:name w:val="heading 8"/>
    <w:basedOn w:val="Normal"/>
    <w:next w:val="Normal"/>
    <w:link w:val="Balk8Char"/>
    <w:qFormat/>
    <w:rsid w:val="00C54BC9"/>
    <w:pPr>
      <w:keepNext/>
      <w:spacing w:after="0" w:line="240" w:lineRule="auto"/>
      <w:outlineLvl w:val="7"/>
    </w:pPr>
    <w:rPr>
      <w:rFonts w:ascii="Times New Roman" w:eastAsia="Times New Roman" w:hAnsi="Times New Roman" w:cs="Times New Roman"/>
      <w:b/>
      <w:bCs/>
      <w:sz w:val="20"/>
      <w:szCs w:val="20"/>
      <w:lang w:val="pl-PL" w:eastAsia="pl-PL"/>
    </w:rPr>
  </w:style>
  <w:style w:type="paragraph" w:styleId="Balk9">
    <w:name w:val="heading 9"/>
    <w:basedOn w:val="Normal"/>
    <w:next w:val="Normal"/>
    <w:link w:val="Balk9Char"/>
    <w:qFormat/>
    <w:rsid w:val="00C54BC9"/>
    <w:pPr>
      <w:keepNext/>
      <w:spacing w:after="0" w:line="240" w:lineRule="auto"/>
      <w:ind w:right="-4041"/>
      <w:outlineLvl w:val="8"/>
    </w:pPr>
    <w:rPr>
      <w:rFonts w:ascii="Times New Roman" w:eastAsia="Times New Roman" w:hAnsi="Times New Roman" w:cs="Times New Roman"/>
      <w:b/>
      <w:bCs/>
      <w:sz w:val="20"/>
      <w:szCs w:val="20"/>
      <w:lang w:val="en-AU" w:eastAsia="pl-PL"/>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057033"/>
    <w:rPr>
      <w:rFonts w:asciiTheme="majorHAnsi" w:eastAsiaTheme="majorEastAsia" w:hAnsiTheme="majorHAnsi" w:cstheme="majorBidi"/>
      <w:color w:val="2E74B5" w:themeColor="accent1" w:themeShade="BF"/>
      <w:sz w:val="32"/>
      <w:szCs w:val="32"/>
      <w:lang w:eastAsia="tr-TR"/>
    </w:rPr>
  </w:style>
  <w:style w:type="character" w:customStyle="1" w:styleId="Balk2Char">
    <w:name w:val="Başlık 2 Char"/>
    <w:basedOn w:val="VarsaylanParagrafYazTipi"/>
    <w:link w:val="Balk2"/>
    <w:rsid w:val="00C54BC9"/>
    <w:rPr>
      <w:rFonts w:ascii="Arial" w:eastAsia="Times New Roman" w:hAnsi="Arial" w:cs="Arial"/>
      <w:b/>
      <w:bCs/>
      <w:i/>
      <w:iCs/>
      <w:sz w:val="28"/>
      <w:szCs w:val="28"/>
      <w:lang w:val="en-US"/>
    </w:rPr>
  </w:style>
  <w:style w:type="character" w:customStyle="1" w:styleId="Balk3Char">
    <w:name w:val="Başlık 3 Char"/>
    <w:basedOn w:val="VarsaylanParagrafYazTipi"/>
    <w:link w:val="Balk3"/>
    <w:rsid w:val="00C54BC9"/>
    <w:rPr>
      <w:rFonts w:ascii="Arial" w:eastAsia="Times New Roman" w:hAnsi="Arial" w:cs="Arial"/>
      <w:b/>
      <w:bCs/>
      <w:sz w:val="26"/>
      <w:szCs w:val="26"/>
      <w:lang w:val="en-US"/>
    </w:rPr>
  </w:style>
  <w:style w:type="character" w:customStyle="1" w:styleId="Balk4Char">
    <w:name w:val="Başlık 4 Char"/>
    <w:basedOn w:val="VarsaylanParagrafYazTipi"/>
    <w:link w:val="Balk4"/>
    <w:rsid w:val="00C54BC9"/>
    <w:rPr>
      <w:rFonts w:ascii="Times New Roman" w:eastAsia="Times New Roman" w:hAnsi="Times New Roman" w:cs="Times New Roman"/>
      <w:b/>
      <w:bCs/>
      <w:sz w:val="28"/>
      <w:szCs w:val="28"/>
      <w:lang w:val="en-US"/>
    </w:rPr>
  </w:style>
  <w:style w:type="character" w:customStyle="1" w:styleId="Balk5Char">
    <w:name w:val="Başlık 5 Char"/>
    <w:basedOn w:val="VarsaylanParagrafYazTipi"/>
    <w:link w:val="Balk5"/>
    <w:uiPriority w:val="9"/>
    <w:rsid w:val="00C54BC9"/>
    <w:rPr>
      <w:rFonts w:ascii="Times New Roman" w:eastAsia="Times New Roman" w:hAnsi="Times New Roman" w:cs="Times New Roman"/>
      <w:b/>
      <w:bCs/>
      <w:i/>
      <w:iCs/>
      <w:sz w:val="26"/>
      <w:szCs w:val="26"/>
      <w:lang w:val="en-US"/>
    </w:rPr>
  </w:style>
  <w:style w:type="character" w:customStyle="1" w:styleId="Balk6Char">
    <w:name w:val="Başlık 6 Char"/>
    <w:basedOn w:val="VarsaylanParagrafYazTipi"/>
    <w:link w:val="Balk6"/>
    <w:uiPriority w:val="9"/>
    <w:rsid w:val="00C54BC9"/>
    <w:rPr>
      <w:rFonts w:ascii="Times New Roman" w:eastAsia="Times New Roman" w:hAnsi="Times New Roman" w:cs="Times New Roman"/>
      <w:b/>
      <w:bCs/>
      <w:i/>
      <w:iCs/>
      <w:sz w:val="20"/>
      <w:szCs w:val="20"/>
      <w:u w:val="single"/>
      <w:lang w:val="en-US"/>
    </w:rPr>
  </w:style>
  <w:style w:type="character" w:customStyle="1" w:styleId="Balk7Char">
    <w:name w:val="Başlık 7 Char"/>
    <w:basedOn w:val="VarsaylanParagrafYazTipi"/>
    <w:link w:val="Balk7"/>
    <w:rsid w:val="00C54BC9"/>
    <w:rPr>
      <w:rFonts w:ascii="Times New Roman" w:eastAsia="Times New Roman" w:hAnsi="Times New Roman" w:cs="Times New Roman"/>
      <w:sz w:val="24"/>
      <w:szCs w:val="24"/>
      <w:lang w:val="en-US"/>
    </w:rPr>
  </w:style>
  <w:style w:type="character" w:customStyle="1" w:styleId="Balk8Char">
    <w:name w:val="Başlık 8 Char"/>
    <w:basedOn w:val="VarsaylanParagrafYazTipi"/>
    <w:link w:val="Balk8"/>
    <w:rsid w:val="00C54BC9"/>
    <w:rPr>
      <w:rFonts w:ascii="Times New Roman" w:eastAsia="Times New Roman" w:hAnsi="Times New Roman" w:cs="Times New Roman"/>
      <w:b/>
      <w:bCs/>
      <w:sz w:val="20"/>
      <w:szCs w:val="20"/>
      <w:lang w:val="pl-PL" w:eastAsia="pl-PL"/>
    </w:rPr>
  </w:style>
  <w:style w:type="character" w:customStyle="1" w:styleId="Balk9Char">
    <w:name w:val="Başlık 9 Char"/>
    <w:basedOn w:val="VarsaylanParagrafYazTipi"/>
    <w:link w:val="Balk9"/>
    <w:rsid w:val="00C54BC9"/>
    <w:rPr>
      <w:rFonts w:ascii="Times New Roman" w:eastAsia="Times New Roman" w:hAnsi="Times New Roman" w:cs="Times New Roman"/>
      <w:b/>
      <w:bCs/>
      <w:sz w:val="20"/>
      <w:szCs w:val="20"/>
      <w:lang w:val="en-AU" w:eastAsia="pl-PL"/>
    </w:rPr>
  </w:style>
  <w:style w:type="character" w:styleId="Kpr">
    <w:name w:val="Hyperlink"/>
    <w:basedOn w:val="VarsaylanParagrafYazTipi"/>
    <w:uiPriority w:val="99"/>
    <w:unhideWhenUsed/>
    <w:rsid w:val="00E666D1"/>
    <w:rPr>
      <w:color w:val="0563C1" w:themeColor="hyperlink"/>
      <w:u w:val="single"/>
    </w:rPr>
  </w:style>
  <w:style w:type="table" w:styleId="TabloKlavuzu">
    <w:name w:val="Table Grid"/>
    <w:basedOn w:val="NormalTablo"/>
    <w:uiPriority w:val="39"/>
    <w:rsid w:val="00E9612E"/>
    <w:pPr>
      <w:spacing w:after="0" w:line="240" w:lineRule="auto"/>
    </w:pPr>
    <w:rPr>
      <w:rFonts w:eastAsiaTheme="minorEastAsia"/>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FigureHeader">
    <w:name w:val="Table&amp;FigureHeader"/>
    <w:basedOn w:val="Normal"/>
    <w:link w:val="TableFigureHeaderChar"/>
    <w:qFormat/>
    <w:rsid w:val="00370B91"/>
    <w:pPr>
      <w:spacing w:before="200" w:after="200" w:line="240" w:lineRule="auto"/>
      <w:jc w:val="center"/>
    </w:pPr>
    <w:rPr>
      <w:sz w:val="20"/>
      <w:szCs w:val="20"/>
      <w:lang w:val="en-US"/>
    </w:rPr>
  </w:style>
  <w:style w:type="character" w:customStyle="1" w:styleId="TableFigureHeaderChar">
    <w:name w:val="Table&amp;FigureHeader Char"/>
    <w:basedOn w:val="VarsaylanParagrafYazTipi"/>
    <w:link w:val="TableFigureHeader"/>
    <w:rsid w:val="00370B91"/>
    <w:rPr>
      <w:sz w:val="20"/>
      <w:szCs w:val="20"/>
      <w:lang w:val="en-US"/>
    </w:rPr>
  </w:style>
  <w:style w:type="paragraph" w:customStyle="1" w:styleId="SubsequentParagraphsTextStyle">
    <w:name w:val="SubsequentParagraphsTextStyle"/>
    <w:basedOn w:val="Normal"/>
    <w:link w:val="SubsequentParagraphsTextStyleChar"/>
    <w:qFormat/>
    <w:rsid w:val="00370B91"/>
    <w:pPr>
      <w:spacing w:after="0" w:line="240" w:lineRule="auto"/>
      <w:ind w:firstLine="360"/>
      <w:jc w:val="both"/>
    </w:pPr>
    <w:rPr>
      <w:sz w:val="20"/>
      <w:szCs w:val="20"/>
      <w:lang w:val="en-US"/>
    </w:rPr>
  </w:style>
  <w:style w:type="character" w:customStyle="1" w:styleId="SubsequentParagraphsTextStyleChar">
    <w:name w:val="SubsequentParagraphsTextStyle Char"/>
    <w:basedOn w:val="VarsaylanParagrafYazTipi"/>
    <w:link w:val="SubsequentParagraphsTextStyle"/>
    <w:rsid w:val="00370B91"/>
    <w:rPr>
      <w:sz w:val="20"/>
      <w:szCs w:val="20"/>
      <w:lang w:val="en-US"/>
    </w:rPr>
  </w:style>
  <w:style w:type="table" w:customStyle="1" w:styleId="TabloKlavuzu1">
    <w:name w:val="Tablo Kılavuzu1"/>
    <w:basedOn w:val="NormalTablo"/>
    <w:next w:val="TabloKlavuzu"/>
    <w:uiPriority w:val="39"/>
    <w:rsid w:val="008005F3"/>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ipnotMetni">
    <w:name w:val="footnote text"/>
    <w:basedOn w:val="Normal"/>
    <w:link w:val="DipnotMetniChar"/>
    <w:uiPriority w:val="99"/>
    <w:unhideWhenUsed/>
    <w:rsid w:val="009D50E1"/>
    <w:pPr>
      <w:spacing w:after="0" w:line="240" w:lineRule="auto"/>
    </w:pPr>
    <w:rPr>
      <w:sz w:val="20"/>
      <w:szCs w:val="20"/>
    </w:rPr>
  </w:style>
  <w:style w:type="character" w:customStyle="1" w:styleId="DipnotMetniChar">
    <w:name w:val="Dipnot Metni Char"/>
    <w:basedOn w:val="VarsaylanParagrafYazTipi"/>
    <w:link w:val="DipnotMetni"/>
    <w:uiPriority w:val="99"/>
    <w:rsid w:val="009D50E1"/>
    <w:rPr>
      <w:sz w:val="20"/>
      <w:szCs w:val="20"/>
    </w:rPr>
  </w:style>
  <w:style w:type="character" w:styleId="DipnotBavurusu">
    <w:name w:val="footnote reference"/>
    <w:basedOn w:val="VarsaylanParagrafYazTipi"/>
    <w:uiPriority w:val="99"/>
    <w:semiHidden/>
    <w:unhideWhenUsed/>
    <w:rsid w:val="009D50E1"/>
    <w:rPr>
      <w:vertAlign w:val="superscript"/>
    </w:rPr>
  </w:style>
  <w:style w:type="paragraph" w:customStyle="1" w:styleId="Default">
    <w:name w:val="Default"/>
    <w:link w:val="DefaultChar"/>
    <w:rsid w:val="009D50E1"/>
    <w:pPr>
      <w:autoSpaceDE w:val="0"/>
      <w:autoSpaceDN w:val="0"/>
      <w:adjustRightInd w:val="0"/>
      <w:spacing w:after="0" w:line="240" w:lineRule="auto"/>
    </w:pPr>
    <w:rPr>
      <w:rFonts w:ascii="Times New Roman" w:hAnsi="Times New Roman" w:cs="Times New Roman"/>
      <w:color w:val="000000"/>
      <w:sz w:val="24"/>
      <w:szCs w:val="24"/>
      <w:lang w:val="en-US"/>
    </w:rPr>
  </w:style>
  <w:style w:type="character" w:customStyle="1" w:styleId="DefaultChar">
    <w:name w:val="Default Char"/>
    <w:basedOn w:val="VarsaylanParagrafYazTipi"/>
    <w:link w:val="Default"/>
    <w:rsid w:val="00E839E1"/>
    <w:rPr>
      <w:rFonts w:ascii="Times New Roman" w:hAnsi="Times New Roman" w:cs="Times New Roman"/>
      <w:color w:val="000000"/>
      <w:sz w:val="24"/>
      <w:szCs w:val="24"/>
      <w:lang w:val="en-US"/>
    </w:rPr>
  </w:style>
  <w:style w:type="paragraph" w:styleId="NormalWeb">
    <w:name w:val="Normal (Web)"/>
    <w:basedOn w:val="Normal"/>
    <w:uiPriority w:val="99"/>
    <w:unhideWhenUsed/>
    <w:rsid w:val="00AD10D5"/>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ListeParagraf">
    <w:name w:val="List Paragraph"/>
    <w:basedOn w:val="Normal"/>
    <w:uiPriority w:val="34"/>
    <w:qFormat/>
    <w:rsid w:val="0045132F"/>
    <w:pPr>
      <w:ind w:left="720"/>
      <w:contextualSpacing/>
    </w:pPr>
  </w:style>
  <w:style w:type="paragraph" w:styleId="stBilgi">
    <w:name w:val="header"/>
    <w:basedOn w:val="Normal"/>
    <w:link w:val="stBilgiChar"/>
    <w:uiPriority w:val="99"/>
    <w:unhideWhenUsed/>
    <w:rsid w:val="005E0EA1"/>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5E0EA1"/>
  </w:style>
  <w:style w:type="paragraph" w:styleId="AltBilgi">
    <w:name w:val="footer"/>
    <w:basedOn w:val="Normal"/>
    <w:link w:val="AltBilgiChar"/>
    <w:uiPriority w:val="99"/>
    <w:unhideWhenUsed/>
    <w:rsid w:val="005E0EA1"/>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5E0EA1"/>
  </w:style>
  <w:style w:type="character" w:customStyle="1" w:styleId="text">
    <w:name w:val="text"/>
    <w:basedOn w:val="VarsaylanParagrafYazTipi"/>
    <w:rsid w:val="00CB6608"/>
  </w:style>
  <w:style w:type="character" w:styleId="Gl">
    <w:name w:val="Strong"/>
    <w:basedOn w:val="VarsaylanParagrafYazTipi"/>
    <w:uiPriority w:val="22"/>
    <w:qFormat/>
    <w:rsid w:val="00CB6608"/>
    <w:rPr>
      <w:b/>
      <w:bCs/>
    </w:rPr>
  </w:style>
  <w:style w:type="paragraph" w:customStyle="1" w:styleId="tagline">
    <w:name w:val="tagline"/>
    <w:basedOn w:val="Normal"/>
    <w:rsid w:val="00CB6608"/>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jlqj4b">
    <w:name w:val="jlqj4b"/>
    <w:basedOn w:val="VarsaylanParagrafYazTipi"/>
    <w:rsid w:val="00CB6608"/>
  </w:style>
  <w:style w:type="character" w:customStyle="1" w:styleId="zmlenmeyenBahsetme1">
    <w:name w:val="Çözümlenmeyen Bahsetme1"/>
    <w:basedOn w:val="VarsaylanParagrafYazTipi"/>
    <w:uiPriority w:val="99"/>
    <w:semiHidden/>
    <w:unhideWhenUsed/>
    <w:rsid w:val="00C57500"/>
    <w:rPr>
      <w:color w:val="605E5C"/>
      <w:shd w:val="clear" w:color="auto" w:fill="E1DFDD"/>
    </w:rPr>
  </w:style>
  <w:style w:type="paragraph" w:styleId="Kaynaka">
    <w:name w:val="Bibliography"/>
    <w:basedOn w:val="Normal"/>
    <w:next w:val="Normal"/>
    <w:uiPriority w:val="37"/>
    <w:unhideWhenUsed/>
    <w:rsid w:val="00057033"/>
  </w:style>
  <w:style w:type="paragraph" w:customStyle="1" w:styleId="FootnoteText1">
    <w:name w:val="Footnote Text1"/>
    <w:basedOn w:val="Normal"/>
    <w:next w:val="DipnotMetni"/>
    <w:link w:val="FootnoteTextChar"/>
    <w:uiPriority w:val="99"/>
    <w:unhideWhenUsed/>
    <w:rsid w:val="004C6717"/>
    <w:pPr>
      <w:spacing w:before="120" w:after="0" w:line="240" w:lineRule="auto"/>
    </w:pPr>
    <w:rPr>
      <w:sz w:val="20"/>
      <w:szCs w:val="20"/>
    </w:rPr>
  </w:style>
  <w:style w:type="character" w:customStyle="1" w:styleId="FootnoteTextChar">
    <w:name w:val="Footnote Text Char"/>
    <w:basedOn w:val="VarsaylanParagrafYazTipi"/>
    <w:link w:val="FootnoteText1"/>
    <w:uiPriority w:val="99"/>
    <w:rsid w:val="004C6717"/>
    <w:rPr>
      <w:sz w:val="20"/>
      <w:szCs w:val="20"/>
    </w:rPr>
  </w:style>
  <w:style w:type="paragraph" w:styleId="BalonMetni">
    <w:name w:val="Balloon Text"/>
    <w:basedOn w:val="Normal"/>
    <w:link w:val="BalonMetniChar"/>
    <w:uiPriority w:val="99"/>
    <w:semiHidden/>
    <w:unhideWhenUsed/>
    <w:rsid w:val="004C6717"/>
    <w:pPr>
      <w:spacing w:before="120"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4C6717"/>
    <w:rPr>
      <w:rFonts w:ascii="Segoe UI" w:hAnsi="Segoe UI" w:cs="Segoe UI"/>
      <w:sz w:val="18"/>
      <w:szCs w:val="18"/>
    </w:rPr>
  </w:style>
  <w:style w:type="character" w:customStyle="1" w:styleId="nlmyear">
    <w:name w:val="nlm_year"/>
    <w:basedOn w:val="VarsaylanParagrafYazTipi"/>
    <w:rsid w:val="004C6717"/>
  </w:style>
  <w:style w:type="character" w:customStyle="1" w:styleId="nlmmonth">
    <w:name w:val="nlm_month"/>
    <w:basedOn w:val="VarsaylanParagrafYazTipi"/>
    <w:rsid w:val="004C6717"/>
  </w:style>
  <w:style w:type="character" w:customStyle="1" w:styleId="nlmday">
    <w:name w:val="nlm_day"/>
    <w:basedOn w:val="VarsaylanParagrafYazTipi"/>
    <w:rsid w:val="004C6717"/>
  </w:style>
  <w:style w:type="character" w:customStyle="1" w:styleId="nlmarticle-title">
    <w:name w:val="nlm_article-title"/>
    <w:basedOn w:val="VarsaylanParagrafYazTipi"/>
    <w:rsid w:val="004C6717"/>
  </w:style>
  <w:style w:type="character" w:customStyle="1" w:styleId="nlmpublisher-loc">
    <w:name w:val="nlm_publisher-loc"/>
    <w:basedOn w:val="VarsaylanParagrafYazTipi"/>
    <w:rsid w:val="004C6717"/>
  </w:style>
  <w:style w:type="character" w:customStyle="1" w:styleId="nlmpublisher-name">
    <w:name w:val="nlm_publisher-name"/>
    <w:basedOn w:val="VarsaylanParagrafYazTipi"/>
    <w:rsid w:val="004C6717"/>
  </w:style>
  <w:style w:type="table" w:styleId="DzTablo2">
    <w:name w:val="Plain Table 2"/>
    <w:basedOn w:val="NormalTablo"/>
    <w:uiPriority w:val="42"/>
    <w:rsid w:val="004C6717"/>
    <w:pPr>
      <w:spacing w:before="120"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KonuBal">
    <w:name w:val="Title"/>
    <w:basedOn w:val="Normal"/>
    <w:link w:val="KonuBalChar"/>
    <w:qFormat/>
    <w:rsid w:val="006E095D"/>
    <w:pPr>
      <w:spacing w:after="0" w:line="240" w:lineRule="auto"/>
      <w:jc w:val="center"/>
    </w:pPr>
    <w:rPr>
      <w:rFonts w:ascii="Times New Roman" w:eastAsia="Times New Roman" w:hAnsi="Times New Roman" w:cs="Times New Roman"/>
      <w:b/>
      <w:bCs/>
      <w:sz w:val="28"/>
      <w:szCs w:val="24"/>
      <w:lang w:val="id-ID"/>
    </w:rPr>
  </w:style>
  <w:style w:type="character" w:customStyle="1" w:styleId="KonuBalChar">
    <w:name w:val="Konu Başlığı Char"/>
    <w:basedOn w:val="VarsaylanParagrafYazTipi"/>
    <w:link w:val="KonuBal"/>
    <w:rsid w:val="006E095D"/>
    <w:rPr>
      <w:rFonts w:ascii="Times New Roman" w:eastAsia="Times New Roman" w:hAnsi="Times New Roman" w:cs="Times New Roman"/>
      <w:b/>
      <w:bCs/>
      <w:sz w:val="28"/>
      <w:szCs w:val="24"/>
      <w:lang w:val="id-ID"/>
    </w:rPr>
  </w:style>
  <w:style w:type="character" w:styleId="Vurgu">
    <w:name w:val="Emphasis"/>
    <w:basedOn w:val="VarsaylanParagrafYazTipi"/>
    <w:uiPriority w:val="20"/>
    <w:qFormat/>
    <w:rsid w:val="00613F62"/>
    <w:rPr>
      <w:i/>
      <w:iCs/>
    </w:rPr>
  </w:style>
  <w:style w:type="character" w:styleId="SayfaNumaras">
    <w:name w:val="page number"/>
    <w:basedOn w:val="VarsaylanParagrafYazTipi"/>
    <w:rsid w:val="00C54BC9"/>
  </w:style>
  <w:style w:type="paragraph" w:styleId="GvdeMetniGirintisi">
    <w:name w:val="Body Text Indent"/>
    <w:basedOn w:val="Normal"/>
    <w:link w:val="GvdeMetniGirintisiChar"/>
    <w:rsid w:val="00C54BC9"/>
    <w:pPr>
      <w:spacing w:after="0" w:line="360" w:lineRule="auto"/>
      <w:ind w:left="456" w:firstLine="984"/>
      <w:jc w:val="both"/>
    </w:pPr>
    <w:rPr>
      <w:rFonts w:ascii="Times New Roman" w:eastAsia="Times New Roman" w:hAnsi="Times New Roman" w:cs="Times New Roman"/>
      <w:sz w:val="20"/>
      <w:szCs w:val="20"/>
      <w:lang w:val="id-ID"/>
    </w:rPr>
  </w:style>
  <w:style w:type="character" w:customStyle="1" w:styleId="GvdeMetniGirintisiChar">
    <w:name w:val="Gövde Metni Girintisi Char"/>
    <w:basedOn w:val="VarsaylanParagrafYazTipi"/>
    <w:link w:val="GvdeMetniGirintisi"/>
    <w:rsid w:val="00C54BC9"/>
    <w:rPr>
      <w:rFonts w:ascii="Times New Roman" w:eastAsia="Times New Roman" w:hAnsi="Times New Roman" w:cs="Times New Roman"/>
      <w:sz w:val="20"/>
      <w:szCs w:val="20"/>
      <w:lang w:val="id-ID"/>
    </w:rPr>
  </w:style>
  <w:style w:type="paragraph" w:styleId="GvdeMetniGirintisi2">
    <w:name w:val="Body Text Indent 2"/>
    <w:basedOn w:val="Normal"/>
    <w:link w:val="GvdeMetniGirintisi2Char"/>
    <w:rsid w:val="00C54BC9"/>
    <w:pPr>
      <w:spacing w:after="120" w:line="480" w:lineRule="auto"/>
      <w:ind w:left="360"/>
    </w:pPr>
    <w:rPr>
      <w:rFonts w:ascii="Times New Roman" w:eastAsia="Times New Roman" w:hAnsi="Times New Roman" w:cs="Times New Roman"/>
      <w:sz w:val="20"/>
      <w:szCs w:val="20"/>
      <w:lang w:val="en-US"/>
    </w:rPr>
  </w:style>
  <w:style w:type="character" w:customStyle="1" w:styleId="GvdeMetniGirintisi2Char">
    <w:name w:val="Gövde Metni Girintisi 2 Char"/>
    <w:basedOn w:val="VarsaylanParagrafYazTipi"/>
    <w:link w:val="GvdeMetniGirintisi2"/>
    <w:rsid w:val="00C54BC9"/>
    <w:rPr>
      <w:rFonts w:ascii="Times New Roman" w:eastAsia="Times New Roman" w:hAnsi="Times New Roman" w:cs="Times New Roman"/>
      <w:sz w:val="20"/>
      <w:szCs w:val="20"/>
      <w:lang w:val="en-US"/>
    </w:rPr>
  </w:style>
  <w:style w:type="paragraph" w:styleId="GvdeMetni">
    <w:name w:val="Body Text"/>
    <w:basedOn w:val="Normal"/>
    <w:link w:val="GvdeMetniChar"/>
    <w:rsid w:val="00C54BC9"/>
    <w:pPr>
      <w:spacing w:after="120" w:line="240" w:lineRule="auto"/>
    </w:pPr>
    <w:rPr>
      <w:rFonts w:ascii="Times New Roman" w:eastAsia="Times New Roman" w:hAnsi="Times New Roman" w:cs="Times New Roman"/>
      <w:sz w:val="20"/>
      <w:szCs w:val="20"/>
      <w:lang w:val="id-ID" w:eastAsia="id-ID"/>
    </w:rPr>
  </w:style>
  <w:style w:type="character" w:customStyle="1" w:styleId="GvdeMetniChar">
    <w:name w:val="Gövde Metni Char"/>
    <w:basedOn w:val="VarsaylanParagrafYazTipi"/>
    <w:link w:val="GvdeMetni"/>
    <w:rsid w:val="00C54BC9"/>
    <w:rPr>
      <w:rFonts w:ascii="Times New Roman" w:eastAsia="Times New Roman" w:hAnsi="Times New Roman" w:cs="Times New Roman"/>
      <w:sz w:val="20"/>
      <w:szCs w:val="20"/>
      <w:lang w:val="id-ID" w:eastAsia="id-ID"/>
    </w:rPr>
  </w:style>
  <w:style w:type="paragraph" w:styleId="ResimYazs">
    <w:name w:val="caption"/>
    <w:basedOn w:val="Normal"/>
    <w:next w:val="Normal"/>
    <w:uiPriority w:val="35"/>
    <w:qFormat/>
    <w:rsid w:val="00C54BC9"/>
    <w:pPr>
      <w:spacing w:after="0" w:line="480" w:lineRule="auto"/>
      <w:jc w:val="center"/>
    </w:pPr>
    <w:rPr>
      <w:rFonts w:ascii="Times New Roman" w:eastAsia="Times New Roman" w:hAnsi="Times New Roman" w:cs="Times New Roman"/>
      <w:i/>
      <w:iCs/>
      <w:sz w:val="20"/>
      <w:szCs w:val="20"/>
      <w:lang w:val="en-US"/>
    </w:rPr>
  </w:style>
  <w:style w:type="paragraph" w:customStyle="1" w:styleId="Judulbab">
    <w:name w:val="Judul bab"/>
    <w:basedOn w:val="Normal"/>
    <w:rsid w:val="00C54BC9"/>
    <w:pPr>
      <w:spacing w:after="0" w:line="475" w:lineRule="atLeast"/>
      <w:jc w:val="center"/>
    </w:pPr>
    <w:rPr>
      <w:rFonts w:ascii="Times New Roman" w:eastAsia="Times New Roman" w:hAnsi="Times New Roman" w:cs="Times New Roman"/>
      <w:b/>
      <w:sz w:val="32"/>
      <w:szCs w:val="20"/>
      <w:lang w:val="en-US"/>
    </w:rPr>
  </w:style>
  <w:style w:type="paragraph" w:customStyle="1" w:styleId="IsiBabforKomputek">
    <w:name w:val="Isi Bab for Komputek"/>
    <w:basedOn w:val="Normal"/>
    <w:rsid w:val="00C54BC9"/>
    <w:pPr>
      <w:spacing w:after="0" w:line="240" w:lineRule="auto"/>
      <w:ind w:firstLine="720"/>
      <w:jc w:val="both"/>
    </w:pPr>
    <w:rPr>
      <w:rFonts w:ascii="Times New Roman" w:eastAsia="Times New Roman" w:hAnsi="Times New Roman" w:cs="Times New Roman"/>
      <w:sz w:val="20"/>
      <w:szCs w:val="20"/>
      <w:lang w:val="en-US"/>
    </w:rPr>
  </w:style>
  <w:style w:type="paragraph" w:customStyle="1" w:styleId="tole">
    <w:name w:val="tole"/>
    <w:basedOn w:val="Normal"/>
    <w:rsid w:val="00C54BC9"/>
    <w:pPr>
      <w:spacing w:after="0" w:line="240" w:lineRule="auto"/>
      <w:jc w:val="center"/>
      <w:outlineLvl w:val="0"/>
    </w:pPr>
    <w:rPr>
      <w:rFonts w:ascii="Times New Roman" w:eastAsia="Times New Roman" w:hAnsi="Times New Roman" w:cs="Times New Roman"/>
      <w:b/>
      <w:bCs/>
      <w:sz w:val="28"/>
      <w:szCs w:val="28"/>
      <w:lang w:val="en-US"/>
    </w:rPr>
  </w:style>
  <w:style w:type="paragraph" w:customStyle="1" w:styleId="tolesBold">
    <w:name w:val="toles + Bold"/>
    <w:aliases w:val="Line spacing:  single"/>
    <w:basedOn w:val="Normal"/>
    <w:rsid w:val="00C54BC9"/>
    <w:pPr>
      <w:spacing w:after="0" w:line="240" w:lineRule="auto"/>
      <w:jc w:val="center"/>
      <w:outlineLvl w:val="0"/>
    </w:pPr>
    <w:rPr>
      <w:rFonts w:ascii="Times New Roman" w:eastAsia="Times New Roman" w:hAnsi="Times New Roman" w:cs="Times New Roman"/>
      <w:i/>
      <w:iCs/>
      <w:sz w:val="24"/>
      <w:szCs w:val="24"/>
      <w:lang w:val="en-US"/>
    </w:rPr>
  </w:style>
  <w:style w:type="paragraph" w:customStyle="1" w:styleId="toleLinespacingsingle">
    <w:name w:val="tole + Line spacing:  single"/>
    <w:basedOn w:val="Normal"/>
    <w:rsid w:val="00C54BC9"/>
    <w:pPr>
      <w:spacing w:after="0" w:line="240" w:lineRule="auto"/>
      <w:jc w:val="both"/>
    </w:pPr>
    <w:rPr>
      <w:rFonts w:ascii="Times New Roman" w:eastAsia="Times New Roman" w:hAnsi="Times New Roman" w:cs="Times New Roman"/>
      <w:sz w:val="24"/>
      <w:szCs w:val="24"/>
      <w:lang w:val="en-US"/>
    </w:rPr>
  </w:style>
  <w:style w:type="paragraph" w:customStyle="1" w:styleId="bunga">
    <w:name w:val="bunga"/>
    <w:basedOn w:val="Normal"/>
    <w:rsid w:val="00C54BC9"/>
    <w:pPr>
      <w:spacing w:after="0" w:line="240" w:lineRule="auto"/>
      <w:jc w:val="both"/>
    </w:pPr>
    <w:rPr>
      <w:rFonts w:ascii="Arial" w:eastAsia="Times New Roman" w:hAnsi="Arial" w:cs="Arial"/>
      <w:sz w:val="20"/>
      <w:szCs w:val="24"/>
      <w:lang w:val="en-US"/>
    </w:rPr>
  </w:style>
  <w:style w:type="paragraph" w:customStyle="1" w:styleId="bunga2">
    <w:name w:val="bunga2"/>
    <w:basedOn w:val="Normal"/>
    <w:rsid w:val="00C54BC9"/>
    <w:pPr>
      <w:spacing w:after="0" w:line="240" w:lineRule="auto"/>
      <w:jc w:val="both"/>
      <w:outlineLvl w:val="0"/>
    </w:pPr>
    <w:rPr>
      <w:rFonts w:ascii="Arial" w:eastAsia="Times New Roman" w:hAnsi="Arial" w:cs="Arial"/>
      <w:b/>
      <w:bCs/>
      <w:sz w:val="20"/>
      <w:szCs w:val="24"/>
      <w:lang w:val="en-US"/>
    </w:rPr>
  </w:style>
  <w:style w:type="paragraph" w:customStyle="1" w:styleId="DiQi">
    <w:name w:val="DiQi"/>
    <w:basedOn w:val="Normal"/>
    <w:rsid w:val="00C54BC9"/>
    <w:pPr>
      <w:spacing w:after="0" w:line="360" w:lineRule="auto"/>
      <w:jc w:val="both"/>
    </w:pPr>
    <w:rPr>
      <w:rFonts w:ascii="Times New Roman" w:eastAsia="Times New Roman" w:hAnsi="Times New Roman" w:cs="Times New Roman"/>
      <w:sz w:val="24"/>
      <w:szCs w:val="24"/>
      <w:lang w:val="en-US"/>
    </w:rPr>
  </w:style>
  <w:style w:type="paragraph" w:customStyle="1" w:styleId="tole3">
    <w:name w:val="tole3"/>
    <w:basedOn w:val="DiQi"/>
    <w:rsid w:val="00C54BC9"/>
    <w:pPr>
      <w:spacing w:line="240" w:lineRule="auto"/>
      <w:outlineLvl w:val="0"/>
    </w:pPr>
    <w:rPr>
      <w:rFonts w:ascii="Arial" w:hAnsi="Arial" w:cs="Arial"/>
      <w:b/>
      <w:bCs/>
      <w:sz w:val="20"/>
    </w:rPr>
  </w:style>
  <w:style w:type="paragraph" w:customStyle="1" w:styleId="yange">
    <w:name w:val="yange"/>
    <w:basedOn w:val="DiQi"/>
    <w:rsid w:val="00C54BC9"/>
    <w:pPr>
      <w:spacing w:line="240" w:lineRule="auto"/>
      <w:ind w:left="360"/>
    </w:pPr>
    <w:rPr>
      <w:rFonts w:ascii="Arial" w:hAnsi="Arial" w:cs="Arial"/>
      <w:sz w:val="20"/>
    </w:rPr>
  </w:style>
  <w:style w:type="paragraph" w:customStyle="1" w:styleId="yange2">
    <w:name w:val="yange2"/>
    <w:basedOn w:val="DiQi"/>
    <w:rsid w:val="00C54BC9"/>
    <w:pPr>
      <w:numPr>
        <w:numId w:val="24"/>
      </w:numPr>
      <w:spacing w:line="240" w:lineRule="auto"/>
    </w:pPr>
    <w:rPr>
      <w:rFonts w:ascii="Arial" w:hAnsi="Arial" w:cs="Arial"/>
      <w:sz w:val="20"/>
    </w:rPr>
  </w:style>
  <w:style w:type="paragraph" w:customStyle="1" w:styleId="JossTole">
    <w:name w:val="JossTole"/>
    <w:basedOn w:val="DiQi"/>
    <w:rsid w:val="00C54BC9"/>
    <w:pPr>
      <w:spacing w:line="240" w:lineRule="auto"/>
      <w:ind w:firstLine="709"/>
    </w:pPr>
    <w:rPr>
      <w:rFonts w:ascii="Arial" w:hAnsi="Arial" w:cs="Arial"/>
      <w:sz w:val="20"/>
    </w:rPr>
  </w:style>
  <w:style w:type="paragraph" w:styleId="Liste">
    <w:name w:val="List"/>
    <w:basedOn w:val="Normal"/>
    <w:rsid w:val="00C54BC9"/>
    <w:pPr>
      <w:spacing w:after="0" w:line="240" w:lineRule="auto"/>
      <w:ind w:left="360" w:hanging="360"/>
      <w:jc w:val="center"/>
    </w:pPr>
    <w:rPr>
      <w:rFonts w:ascii="Times New Roman" w:eastAsia="Times New Roman" w:hAnsi="Times New Roman" w:cs="Times New Roman"/>
      <w:sz w:val="24"/>
      <w:szCs w:val="24"/>
      <w:lang w:val="en-US"/>
    </w:rPr>
  </w:style>
  <w:style w:type="paragraph" w:styleId="GvdeMetniGirintisi3">
    <w:name w:val="Body Text Indent 3"/>
    <w:basedOn w:val="Normal"/>
    <w:link w:val="GvdeMetniGirintisi3Char"/>
    <w:rsid w:val="00C54BC9"/>
    <w:pPr>
      <w:spacing w:after="120" w:line="240" w:lineRule="auto"/>
      <w:ind w:left="360"/>
    </w:pPr>
    <w:rPr>
      <w:rFonts w:ascii="Times New Roman" w:eastAsia="Times New Roman" w:hAnsi="Times New Roman" w:cs="Times New Roman"/>
      <w:sz w:val="16"/>
      <w:szCs w:val="16"/>
      <w:lang w:val="en-US"/>
    </w:rPr>
  </w:style>
  <w:style w:type="character" w:customStyle="1" w:styleId="GvdeMetniGirintisi3Char">
    <w:name w:val="Gövde Metni Girintisi 3 Char"/>
    <w:basedOn w:val="VarsaylanParagrafYazTipi"/>
    <w:link w:val="GvdeMetniGirintisi3"/>
    <w:rsid w:val="00C54BC9"/>
    <w:rPr>
      <w:rFonts w:ascii="Times New Roman" w:eastAsia="Times New Roman" w:hAnsi="Times New Roman" w:cs="Times New Roman"/>
      <w:sz w:val="16"/>
      <w:szCs w:val="16"/>
      <w:lang w:val="en-US"/>
    </w:rPr>
  </w:style>
  <w:style w:type="paragraph" w:customStyle="1" w:styleId="Body0">
    <w:name w:val="Body 0"/>
    <w:basedOn w:val="Normal"/>
    <w:rsid w:val="00C54BC9"/>
    <w:pPr>
      <w:spacing w:after="0" w:line="360" w:lineRule="atLeast"/>
      <w:jc w:val="both"/>
    </w:pPr>
    <w:rPr>
      <w:rFonts w:ascii="Palatino" w:eastAsia="Times New Roman" w:hAnsi="Palatino" w:cs="Times New Roman"/>
      <w:sz w:val="24"/>
      <w:szCs w:val="24"/>
      <w:lang w:val="en-US"/>
    </w:rPr>
  </w:style>
  <w:style w:type="paragraph" w:styleId="GvdeMetni2">
    <w:name w:val="Body Text 2"/>
    <w:basedOn w:val="Normal"/>
    <w:link w:val="GvdeMetni2Char"/>
    <w:rsid w:val="00C54BC9"/>
    <w:pPr>
      <w:spacing w:after="120" w:line="480" w:lineRule="auto"/>
    </w:pPr>
    <w:rPr>
      <w:rFonts w:ascii="Times New Roman" w:eastAsia="Times New Roman" w:hAnsi="Times New Roman" w:cs="Times New Roman"/>
      <w:sz w:val="20"/>
      <w:szCs w:val="20"/>
      <w:lang w:val="en-US"/>
    </w:rPr>
  </w:style>
  <w:style w:type="character" w:customStyle="1" w:styleId="GvdeMetni2Char">
    <w:name w:val="Gövde Metni 2 Char"/>
    <w:basedOn w:val="VarsaylanParagrafYazTipi"/>
    <w:link w:val="GvdeMetni2"/>
    <w:rsid w:val="00C54BC9"/>
    <w:rPr>
      <w:rFonts w:ascii="Times New Roman" w:eastAsia="Times New Roman" w:hAnsi="Times New Roman" w:cs="Times New Roman"/>
      <w:sz w:val="20"/>
      <w:szCs w:val="20"/>
      <w:lang w:val="en-US"/>
    </w:rPr>
  </w:style>
  <w:style w:type="paragraph" w:customStyle="1" w:styleId="AutoBiography">
    <w:name w:val="AutoBiography"/>
    <w:basedOn w:val="Normal"/>
    <w:rsid w:val="00C54BC9"/>
    <w:pPr>
      <w:spacing w:after="0" w:line="240" w:lineRule="auto"/>
      <w:jc w:val="both"/>
    </w:pPr>
    <w:rPr>
      <w:rFonts w:ascii="Times New Roman" w:eastAsia="MS Mincho" w:hAnsi="Times New Roman" w:cs="Angsana New"/>
      <w:sz w:val="18"/>
      <w:szCs w:val="18"/>
      <w:lang w:val="en-US" w:bidi="th-TH"/>
    </w:rPr>
  </w:style>
  <w:style w:type="paragraph" w:customStyle="1" w:styleId="SectionTitle">
    <w:name w:val="Section Title"/>
    <w:basedOn w:val="Normal"/>
    <w:autoRedefine/>
    <w:rsid w:val="00C54BC9"/>
    <w:pPr>
      <w:snapToGrid w:val="0"/>
      <w:spacing w:after="0" w:line="240" w:lineRule="auto"/>
      <w:jc w:val="both"/>
    </w:pPr>
    <w:rPr>
      <w:rFonts w:ascii="Times New Roman" w:eastAsia="MS Mincho" w:hAnsi="Times New Roman" w:cs="Angsana New"/>
      <w:sz w:val="20"/>
      <w:szCs w:val="20"/>
      <w:lang w:val="en-GB" w:bidi="th-TH"/>
    </w:rPr>
  </w:style>
  <w:style w:type="paragraph" w:customStyle="1" w:styleId="Style10ptJustified">
    <w:name w:val="Style 10 pt Justified"/>
    <w:basedOn w:val="Normal"/>
    <w:link w:val="Style10ptJustifiedChar"/>
    <w:autoRedefine/>
    <w:rsid w:val="00C54BC9"/>
    <w:pPr>
      <w:snapToGrid w:val="0"/>
      <w:spacing w:after="0" w:line="240" w:lineRule="auto"/>
      <w:ind w:firstLine="720"/>
      <w:jc w:val="both"/>
    </w:pPr>
    <w:rPr>
      <w:rFonts w:ascii="Arial" w:eastAsia="MS Mincho" w:hAnsi="Arial" w:cs="Arial"/>
      <w:iCs/>
      <w:sz w:val="20"/>
      <w:szCs w:val="20"/>
      <w:lang w:val="en-GB"/>
    </w:rPr>
  </w:style>
  <w:style w:type="character" w:customStyle="1" w:styleId="Style10ptJustifiedChar">
    <w:name w:val="Style 10 pt Justified Char"/>
    <w:basedOn w:val="VarsaylanParagrafYazTipi"/>
    <w:link w:val="Style10ptJustified"/>
    <w:rsid w:val="00C54BC9"/>
    <w:rPr>
      <w:rFonts w:ascii="Arial" w:eastAsia="MS Mincho" w:hAnsi="Arial" w:cs="Arial"/>
      <w:iCs/>
      <w:sz w:val="20"/>
      <w:szCs w:val="20"/>
      <w:lang w:val="en-GB"/>
    </w:rPr>
  </w:style>
  <w:style w:type="paragraph" w:customStyle="1" w:styleId="paperbody">
    <w:name w:val="paper body"/>
    <w:basedOn w:val="Normal"/>
    <w:rsid w:val="00C54BC9"/>
    <w:pPr>
      <w:spacing w:after="0" w:line="240" w:lineRule="auto"/>
      <w:jc w:val="both"/>
    </w:pPr>
    <w:rPr>
      <w:rFonts w:ascii="Times New Roman" w:eastAsia="Times New Roman" w:hAnsi="Times New Roman" w:cs="Times New Roman"/>
      <w:sz w:val="24"/>
      <w:szCs w:val="24"/>
      <w:lang w:val="en-AU"/>
    </w:rPr>
  </w:style>
  <w:style w:type="paragraph" w:styleId="DzMetin">
    <w:name w:val="Plain Text"/>
    <w:basedOn w:val="Normal"/>
    <w:link w:val="DzMetinChar"/>
    <w:rsid w:val="00C54BC9"/>
    <w:pPr>
      <w:spacing w:after="0" w:line="240" w:lineRule="auto"/>
    </w:pPr>
    <w:rPr>
      <w:rFonts w:ascii="Courier New" w:eastAsia="BatangChe" w:hAnsi="Courier New" w:cs="Times New Roman"/>
      <w:sz w:val="24"/>
      <w:szCs w:val="24"/>
      <w:lang w:val="en-US"/>
    </w:rPr>
  </w:style>
  <w:style w:type="character" w:customStyle="1" w:styleId="DzMetinChar">
    <w:name w:val="Düz Metin Char"/>
    <w:basedOn w:val="VarsaylanParagrafYazTipi"/>
    <w:link w:val="DzMetin"/>
    <w:rsid w:val="00C54BC9"/>
    <w:rPr>
      <w:rFonts w:ascii="Courier New" w:eastAsia="BatangChe" w:hAnsi="Courier New" w:cs="Times New Roman"/>
      <w:sz w:val="24"/>
      <w:szCs w:val="24"/>
      <w:lang w:val="en-US"/>
    </w:rPr>
  </w:style>
  <w:style w:type="character" w:customStyle="1" w:styleId="CharChar">
    <w:name w:val="Char Char"/>
    <w:basedOn w:val="VarsaylanParagrafYazTipi"/>
    <w:rsid w:val="00C54BC9"/>
    <w:rPr>
      <w:rFonts w:ascii="Courier New" w:eastAsia="BatangChe" w:hAnsi="Courier New"/>
      <w:sz w:val="24"/>
      <w:szCs w:val="24"/>
      <w:lang w:val="en-US" w:eastAsia="en-US"/>
    </w:rPr>
  </w:style>
  <w:style w:type="paragraph" w:styleId="Altyaz">
    <w:name w:val="Subtitle"/>
    <w:basedOn w:val="Normal"/>
    <w:link w:val="AltyazChar"/>
    <w:qFormat/>
    <w:rsid w:val="00C54BC9"/>
    <w:pPr>
      <w:spacing w:after="0" w:line="240" w:lineRule="auto"/>
      <w:jc w:val="center"/>
    </w:pPr>
    <w:rPr>
      <w:rFonts w:ascii="Times New Roman" w:eastAsia="Times New Roman" w:hAnsi="Times New Roman" w:cs="Times New Roman"/>
      <w:b/>
      <w:bCs/>
      <w:sz w:val="32"/>
      <w:szCs w:val="32"/>
      <w:lang w:val="en-GB"/>
    </w:rPr>
  </w:style>
  <w:style w:type="character" w:customStyle="1" w:styleId="AltyazChar">
    <w:name w:val="Altyazı Char"/>
    <w:basedOn w:val="VarsaylanParagrafYazTipi"/>
    <w:link w:val="Altyaz"/>
    <w:rsid w:val="00C54BC9"/>
    <w:rPr>
      <w:rFonts w:ascii="Times New Roman" w:eastAsia="Times New Roman" w:hAnsi="Times New Roman" w:cs="Times New Roman"/>
      <w:b/>
      <w:bCs/>
      <w:sz w:val="32"/>
      <w:szCs w:val="32"/>
      <w:lang w:val="en-GB"/>
    </w:rPr>
  </w:style>
  <w:style w:type="paragraph" w:customStyle="1" w:styleId="Body">
    <w:name w:val="Body"/>
    <w:basedOn w:val="Normal"/>
    <w:rsid w:val="00C54BC9"/>
    <w:pPr>
      <w:widowControl w:val="0"/>
      <w:autoSpaceDE w:val="0"/>
      <w:autoSpaceDN w:val="0"/>
      <w:adjustRightInd w:val="0"/>
      <w:spacing w:after="0" w:line="240" w:lineRule="auto"/>
      <w:ind w:firstLine="340"/>
      <w:jc w:val="both"/>
      <w:textAlignment w:val="baseline"/>
    </w:pPr>
    <w:rPr>
      <w:rFonts w:ascii="Times New Roman" w:eastAsia="BatangChe" w:hAnsi="Times New Roman" w:cs="Times New Roman"/>
      <w:sz w:val="20"/>
      <w:szCs w:val="20"/>
      <w:lang w:val="en-US" w:eastAsia="ko-KR"/>
    </w:rPr>
  </w:style>
  <w:style w:type="paragraph" w:customStyle="1" w:styleId="Reference">
    <w:name w:val="Reference"/>
    <w:basedOn w:val="Normal"/>
    <w:rsid w:val="00C54BC9"/>
    <w:pPr>
      <w:widowControl w:val="0"/>
      <w:autoSpaceDE w:val="0"/>
      <w:autoSpaceDN w:val="0"/>
      <w:adjustRightInd w:val="0"/>
      <w:spacing w:before="60" w:after="60" w:line="240" w:lineRule="auto"/>
      <w:ind w:left="288" w:hanging="288"/>
      <w:jc w:val="both"/>
      <w:textAlignment w:val="baseline"/>
    </w:pPr>
    <w:rPr>
      <w:rFonts w:ascii="Times New Roman" w:eastAsia="BatangChe" w:hAnsi="Times New Roman" w:cs="Times New Roman"/>
      <w:sz w:val="20"/>
      <w:szCs w:val="20"/>
      <w:lang w:val="en-US" w:eastAsia="ko-KR"/>
    </w:rPr>
  </w:style>
  <w:style w:type="paragraph" w:customStyle="1" w:styleId="Demenko">
    <w:name w:val="Demenko"/>
    <w:basedOn w:val="Normal"/>
    <w:rsid w:val="00C54BC9"/>
    <w:pPr>
      <w:widowControl w:val="0"/>
      <w:tabs>
        <w:tab w:val="left" w:pos="567"/>
        <w:tab w:val="center" w:pos="4820"/>
        <w:tab w:val="right" w:pos="9639"/>
      </w:tabs>
      <w:spacing w:after="113" w:line="360" w:lineRule="auto"/>
      <w:jc w:val="both"/>
    </w:pPr>
    <w:rPr>
      <w:rFonts w:ascii="Times New Roman" w:eastAsia="Times New Roman" w:hAnsi="Times New Roman" w:cs="Times New Roman"/>
      <w:lang w:val="en-GB" w:eastAsia="pl-PL"/>
    </w:rPr>
  </w:style>
  <w:style w:type="paragraph" w:customStyle="1" w:styleId="Text0">
    <w:name w:val="Text"/>
    <w:basedOn w:val="Normal"/>
    <w:rsid w:val="00C54BC9"/>
    <w:pPr>
      <w:widowControl w:val="0"/>
      <w:autoSpaceDE w:val="0"/>
      <w:autoSpaceDN w:val="0"/>
      <w:spacing w:after="0" w:line="252" w:lineRule="auto"/>
      <w:ind w:firstLine="202"/>
      <w:jc w:val="both"/>
    </w:pPr>
    <w:rPr>
      <w:rFonts w:ascii="Times New Roman" w:eastAsia="Batang" w:hAnsi="Times New Roman" w:cs="Times New Roman"/>
      <w:sz w:val="20"/>
      <w:szCs w:val="20"/>
      <w:lang w:val="en-US" w:eastAsia="ko-KR"/>
    </w:rPr>
  </w:style>
  <w:style w:type="paragraph" w:customStyle="1" w:styleId="Equation">
    <w:name w:val="Equation"/>
    <w:basedOn w:val="Normal"/>
    <w:next w:val="Normal"/>
    <w:rsid w:val="00C54BC9"/>
    <w:pPr>
      <w:widowControl w:val="0"/>
      <w:tabs>
        <w:tab w:val="right" w:pos="5040"/>
      </w:tabs>
      <w:autoSpaceDE w:val="0"/>
      <w:autoSpaceDN w:val="0"/>
      <w:spacing w:after="0" w:line="252" w:lineRule="auto"/>
      <w:jc w:val="both"/>
    </w:pPr>
    <w:rPr>
      <w:rFonts w:ascii="Times New Roman" w:eastAsia="Batang" w:hAnsi="Times New Roman" w:cs="Times New Roman"/>
      <w:sz w:val="20"/>
      <w:szCs w:val="20"/>
      <w:lang w:val="en-US" w:eastAsia="ko-KR"/>
    </w:rPr>
  </w:style>
  <w:style w:type="paragraph" w:customStyle="1" w:styleId="TableTitle">
    <w:name w:val="Table Title"/>
    <w:basedOn w:val="Normal"/>
    <w:rsid w:val="00C54BC9"/>
    <w:pPr>
      <w:spacing w:after="0" w:line="240" w:lineRule="auto"/>
      <w:jc w:val="center"/>
    </w:pPr>
    <w:rPr>
      <w:rFonts w:ascii="Times New Roman" w:eastAsia="Times New Roman" w:hAnsi="Times New Roman" w:cs="Times New Roman"/>
      <w:smallCaps/>
      <w:sz w:val="16"/>
      <w:szCs w:val="16"/>
      <w:lang w:val="en-US"/>
    </w:rPr>
  </w:style>
  <w:style w:type="paragraph" w:customStyle="1" w:styleId="Sub-titles">
    <w:name w:val="Sub-titles"/>
    <w:basedOn w:val="Normal"/>
    <w:rsid w:val="00C54BC9"/>
    <w:pPr>
      <w:spacing w:after="0" w:line="240" w:lineRule="auto"/>
      <w:jc w:val="both"/>
    </w:pPr>
    <w:rPr>
      <w:rFonts w:ascii="Times New Roman" w:eastAsia="Times New Roman" w:hAnsi="Times New Roman" w:cs="Times New Roman"/>
      <w:b/>
      <w:bCs/>
      <w:color w:val="000000"/>
      <w:sz w:val="24"/>
      <w:szCs w:val="24"/>
      <w:lang w:val="pt-PT" w:eastAsia="pt-PT"/>
    </w:rPr>
  </w:style>
  <w:style w:type="paragraph" w:customStyle="1" w:styleId="tables">
    <w:name w:val="tables"/>
    <w:basedOn w:val="Normal"/>
    <w:rsid w:val="00C54BC9"/>
    <w:pPr>
      <w:spacing w:after="0" w:line="240" w:lineRule="auto"/>
      <w:jc w:val="both"/>
    </w:pPr>
    <w:rPr>
      <w:rFonts w:ascii="Times New Roman" w:eastAsia="Times New Roman" w:hAnsi="Times New Roman" w:cs="Times New Roman"/>
      <w:sz w:val="18"/>
      <w:szCs w:val="18"/>
      <w:lang w:val="en-US"/>
    </w:rPr>
  </w:style>
  <w:style w:type="paragraph" w:customStyle="1" w:styleId="Abstract">
    <w:name w:val="Abstract"/>
    <w:qFormat/>
    <w:rsid w:val="00C54BC9"/>
    <w:pPr>
      <w:spacing w:after="200" w:line="240" w:lineRule="auto"/>
      <w:jc w:val="both"/>
    </w:pPr>
    <w:rPr>
      <w:rFonts w:ascii="Times New Roman" w:eastAsia="SimSun" w:hAnsi="Times New Roman" w:cs="Times New Roman"/>
      <w:b/>
      <w:sz w:val="18"/>
      <w:szCs w:val="20"/>
      <w:lang w:val="en-US"/>
    </w:rPr>
  </w:style>
  <w:style w:type="paragraph" w:customStyle="1" w:styleId="Affiliation">
    <w:name w:val="Affiliation"/>
    <w:rsid w:val="00C54BC9"/>
    <w:pPr>
      <w:spacing w:after="0" w:line="240" w:lineRule="auto"/>
      <w:jc w:val="center"/>
    </w:pPr>
    <w:rPr>
      <w:rFonts w:ascii="Times New Roman" w:eastAsia="SimSun" w:hAnsi="Times New Roman" w:cs="Times New Roman"/>
      <w:sz w:val="20"/>
      <w:szCs w:val="20"/>
      <w:lang w:val="en-US"/>
    </w:rPr>
  </w:style>
  <w:style w:type="paragraph" w:customStyle="1" w:styleId="equation0">
    <w:name w:val="equation"/>
    <w:basedOn w:val="Normal"/>
    <w:rsid w:val="00C54BC9"/>
    <w:pPr>
      <w:tabs>
        <w:tab w:val="center" w:pos="2520"/>
        <w:tab w:val="right" w:pos="5040"/>
      </w:tabs>
      <w:spacing w:before="240" w:after="240" w:line="216" w:lineRule="auto"/>
      <w:jc w:val="center"/>
    </w:pPr>
    <w:rPr>
      <w:rFonts w:ascii="Times New Roman" w:eastAsia="SimSun" w:hAnsi="Times New Roman" w:cs="Times New Roman"/>
      <w:sz w:val="20"/>
      <w:szCs w:val="20"/>
      <w:lang w:val="en-US"/>
    </w:rPr>
  </w:style>
  <w:style w:type="paragraph" w:customStyle="1" w:styleId="figurecaption">
    <w:name w:val="figure caption"/>
    <w:rsid w:val="00C54BC9"/>
    <w:pPr>
      <w:spacing w:before="80" w:after="200" w:line="240" w:lineRule="auto"/>
      <w:jc w:val="center"/>
    </w:pPr>
    <w:rPr>
      <w:rFonts w:ascii="Times New Roman" w:eastAsia="SimSun" w:hAnsi="Times New Roman" w:cs="Times New Roman"/>
      <w:sz w:val="16"/>
      <w:szCs w:val="20"/>
      <w:lang w:val="en-US"/>
    </w:rPr>
  </w:style>
  <w:style w:type="paragraph" w:customStyle="1" w:styleId="papertitle">
    <w:name w:val="paper title"/>
    <w:rsid w:val="00C54BC9"/>
    <w:pPr>
      <w:spacing w:after="120" w:line="240" w:lineRule="auto"/>
      <w:jc w:val="center"/>
    </w:pPr>
    <w:rPr>
      <w:rFonts w:ascii="Times New Roman" w:eastAsia="SimSun" w:hAnsi="Times New Roman" w:cs="Times New Roman"/>
      <w:sz w:val="48"/>
      <w:szCs w:val="20"/>
      <w:lang w:val="en-US"/>
    </w:rPr>
  </w:style>
  <w:style w:type="paragraph" w:customStyle="1" w:styleId="references">
    <w:name w:val="references"/>
    <w:rsid w:val="00C54BC9"/>
    <w:pPr>
      <w:numPr>
        <w:numId w:val="25"/>
      </w:numPr>
      <w:spacing w:after="40" w:line="180" w:lineRule="exact"/>
      <w:jc w:val="both"/>
    </w:pPr>
    <w:rPr>
      <w:rFonts w:ascii="Times New Roman" w:eastAsia="SimSun" w:hAnsi="Times New Roman" w:cs="Times New Roman"/>
      <w:sz w:val="16"/>
      <w:szCs w:val="20"/>
      <w:lang w:val="en-US"/>
    </w:rPr>
  </w:style>
  <w:style w:type="paragraph" w:customStyle="1" w:styleId="tablecolsubhead">
    <w:name w:val="table col subhead"/>
    <w:basedOn w:val="Normal"/>
    <w:rsid w:val="00C54BC9"/>
    <w:pPr>
      <w:spacing w:after="0" w:line="240" w:lineRule="auto"/>
      <w:jc w:val="center"/>
    </w:pPr>
    <w:rPr>
      <w:rFonts w:ascii="Times New Roman" w:eastAsia="SimSun" w:hAnsi="Times New Roman" w:cs="Times New Roman"/>
      <w:b/>
      <w:i/>
      <w:sz w:val="15"/>
      <w:szCs w:val="20"/>
      <w:lang w:val="en-US"/>
    </w:rPr>
  </w:style>
  <w:style w:type="paragraph" w:customStyle="1" w:styleId="tablecopy">
    <w:name w:val="table copy"/>
    <w:rsid w:val="00C54BC9"/>
    <w:pPr>
      <w:spacing w:after="0" w:line="240" w:lineRule="auto"/>
      <w:jc w:val="both"/>
    </w:pPr>
    <w:rPr>
      <w:rFonts w:ascii="Times New Roman" w:eastAsia="SimSun" w:hAnsi="Times New Roman" w:cs="Times New Roman"/>
      <w:sz w:val="16"/>
      <w:szCs w:val="20"/>
      <w:lang w:val="en-US"/>
    </w:rPr>
  </w:style>
  <w:style w:type="paragraph" w:customStyle="1" w:styleId="tablehead">
    <w:name w:val="table head"/>
    <w:rsid w:val="00C54BC9"/>
    <w:pPr>
      <w:numPr>
        <w:numId w:val="26"/>
      </w:numPr>
      <w:spacing w:before="240" w:after="120" w:line="216" w:lineRule="auto"/>
      <w:jc w:val="center"/>
    </w:pPr>
    <w:rPr>
      <w:rFonts w:ascii="Times New Roman" w:eastAsia="SimSun" w:hAnsi="Times New Roman" w:cs="Times New Roman"/>
      <w:smallCaps/>
      <w:sz w:val="16"/>
      <w:szCs w:val="20"/>
      <w:lang w:val="en-US"/>
    </w:rPr>
  </w:style>
  <w:style w:type="character" w:customStyle="1" w:styleId="shorttext">
    <w:name w:val="short_text"/>
    <w:basedOn w:val="VarsaylanParagrafYazTipi"/>
    <w:rsid w:val="00C54BC9"/>
  </w:style>
  <w:style w:type="character" w:customStyle="1" w:styleId="longtext">
    <w:name w:val="long_text"/>
    <w:basedOn w:val="VarsaylanParagrafYazTipi"/>
    <w:rsid w:val="00C54BC9"/>
  </w:style>
  <w:style w:type="character" w:customStyle="1" w:styleId="apple-style-span">
    <w:name w:val="apple-style-span"/>
    <w:basedOn w:val="VarsaylanParagrafYazTipi"/>
    <w:rsid w:val="00C54BC9"/>
  </w:style>
  <w:style w:type="character" w:customStyle="1" w:styleId="apple-converted-space">
    <w:name w:val="apple-converted-space"/>
    <w:basedOn w:val="VarsaylanParagrafYazTipi"/>
    <w:rsid w:val="00C54BC9"/>
  </w:style>
  <w:style w:type="paragraph" w:styleId="HTMLncedenBiimlendirilmi">
    <w:name w:val="HTML Preformatted"/>
    <w:basedOn w:val="Normal"/>
    <w:link w:val="HTMLncedenBiimlendirilmiChar"/>
    <w:rsid w:val="00C54B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ncedenBiimlendirilmiChar">
    <w:name w:val="HTML Önceden Biçimlendirilmiş Char"/>
    <w:basedOn w:val="VarsaylanParagrafYazTipi"/>
    <w:link w:val="HTMLncedenBiimlendirilmi"/>
    <w:rsid w:val="00C54BC9"/>
    <w:rPr>
      <w:rFonts w:ascii="Courier New" w:eastAsia="Times New Roman" w:hAnsi="Courier New" w:cs="Courier New"/>
      <w:sz w:val="20"/>
      <w:szCs w:val="20"/>
      <w:lang w:val="en-US"/>
    </w:rPr>
  </w:style>
  <w:style w:type="paragraph" w:styleId="AralkYok">
    <w:name w:val="No Spacing"/>
    <w:link w:val="AralkYokChar"/>
    <w:uiPriority w:val="1"/>
    <w:qFormat/>
    <w:rsid w:val="00C54BC9"/>
    <w:pPr>
      <w:spacing w:after="0" w:line="240" w:lineRule="auto"/>
    </w:pPr>
    <w:rPr>
      <w:rFonts w:ascii="Calibri" w:eastAsia="Calibri" w:hAnsi="Calibri" w:cs="Times New Roman"/>
      <w:lang w:val="en-US"/>
    </w:rPr>
  </w:style>
  <w:style w:type="character" w:customStyle="1" w:styleId="AralkYokChar">
    <w:name w:val="Aralık Yok Char"/>
    <w:basedOn w:val="VarsaylanParagrafYazTipi"/>
    <w:link w:val="AralkYok"/>
    <w:uiPriority w:val="1"/>
    <w:rsid w:val="006923DF"/>
    <w:rPr>
      <w:rFonts w:ascii="Calibri" w:eastAsia="Calibri" w:hAnsi="Calibri" w:cs="Times New Roman"/>
      <w:lang w:val="en-US"/>
    </w:rPr>
  </w:style>
  <w:style w:type="character" w:customStyle="1" w:styleId="hps">
    <w:name w:val="hps"/>
    <w:basedOn w:val="VarsaylanParagrafYazTipi"/>
    <w:rsid w:val="00C54BC9"/>
  </w:style>
  <w:style w:type="character" w:customStyle="1" w:styleId="st">
    <w:name w:val="st"/>
    <w:basedOn w:val="VarsaylanParagrafYazTipi"/>
    <w:rsid w:val="00C54BC9"/>
  </w:style>
  <w:style w:type="paragraph" w:customStyle="1" w:styleId="DecimalAligned">
    <w:name w:val="Decimal Aligned"/>
    <w:basedOn w:val="Normal"/>
    <w:uiPriority w:val="40"/>
    <w:qFormat/>
    <w:rsid w:val="00C54BC9"/>
    <w:pPr>
      <w:tabs>
        <w:tab w:val="decimal" w:pos="360"/>
      </w:tabs>
      <w:spacing w:after="200" w:line="276" w:lineRule="auto"/>
    </w:pPr>
    <w:rPr>
      <w:rFonts w:eastAsiaTheme="minorEastAsia" w:cs="Times New Roman"/>
      <w:lang w:eastAsia="tr-TR"/>
    </w:rPr>
  </w:style>
  <w:style w:type="paragraph" w:customStyle="1" w:styleId="ThesisTitlePage">
    <w:name w:val="Thesis Title Page"/>
    <w:basedOn w:val="Normal"/>
    <w:rsid w:val="00C54BC9"/>
    <w:pPr>
      <w:tabs>
        <w:tab w:val="left" w:pos="720"/>
      </w:tabs>
      <w:suppressAutoHyphens/>
      <w:spacing w:after="0" w:line="240" w:lineRule="auto"/>
      <w:jc w:val="center"/>
    </w:pPr>
    <w:rPr>
      <w:rFonts w:ascii="Times New Roman" w:eastAsia="Times New Roman" w:hAnsi="Times New Roman" w:cs="Times New Roman"/>
      <w:sz w:val="24"/>
      <w:szCs w:val="24"/>
      <w:lang w:val="en-US"/>
    </w:rPr>
  </w:style>
  <w:style w:type="character" w:customStyle="1" w:styleId="A8">
    <w:name w:val="A8"/>
    <w:uiPriority w:val="99"/>
    <w:rsid w:val="00C54BC9"/>
    <w:rPr>
      <w:rFonts w:cs="Myriad Pro"/>
      <w:color w:val="000000"/>
      <w:sz w:val="16"/>
      <w:szCs w:val="16"/>
    </w:rPr>
  </w:style>
  <w:style w:type="paragraph" w:customStyle="1" w:styleId="Standard">
    <w:name w:val="Standard"/>
    <w:rsid w:val="00C54BC9"/>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character" w:customStyle="1" w:styleId="A0">
    <w:name w:val="A0"/>
    <w:uiPriority w:val="99"/>
    <w:rsid w:val="00C54BC9"/>
    <w:rPr>
      <w:color w:val="000000"/>
      <w:sz w:val="21"/>
      <w:szCs w:val="21"/>
    </w:rPr>
  </w:style>
  <w:style w:type="table" w:styleId="TabloKlavuzuAk">
    <w:name w:val="Grid Table Light"/>
    <w:basedOn w:val="NormalTablo"/>
    <w:uiPriority w:val="40"/>
    <w:rsid w:val="00254933"/>
    <w:pPr>
      <w:spacing w:after="0" w:line="240" w:lineRule="auto"/>
    </w:p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ListParagraph1">
    <w:name w:val="List Paragraph1"/>
    <w:basedOn w:val="Normal"/>
    <w:uiPriority w:val="99"/>
    <w:rsid w:val="007F03EB"/>
    <w:pPr>
      <w:spacing w:after="200" w:line="276" w:lineRule="auto"/>
      <w:ind w:left="720"/>
      <w:contextualSpacing/>
    </w:pPr>
    <w:rPr>
      <w:rFonts w:ascii="Calibri" w:eastAsia="Times New Roman" w:hAnsi="Calibri" w:cs="Times New Roman"/>
    </w:rPr>
  </w:style>
  <w:style w:type="character" w:customStyle="1" w:styleId="Kpr1">
    <w:name w:val="Köprü1"/>
    <w:basedOn w:val="VarsaylanParagrafYazTipi"/>
    <w:uiPriority w:val="99"/>
    <w:rsid w:val="00FA6C5D"/>
    <w:rPr>
      <w:color w:val="0563C1"/>
      <w:u w:val="single"/>
    </w:rPr>
  </w:style>
  <w:style w:type="character" w:customStyle="1" w:styleId="A3">
    <w:name w:val="A3"/>
    <w:uiPriority w:val="99"/>
    <w:rsid w:val="00FA6C5D"/>
    <w:rPr>
      <w:rFonts w:ascii="Halyard Text" w:hAnsi="Halyard Text" w:cs="Halyard Text" w:hint="default"/>
      <w:b/>
      <w:bCs/>
      <w:color w:val="000000"/>
      <w:sz w:val="56"/>
      <w:szCs w:val="56"/>
    </w:rPr>
  </w:style>
  <w:style w:type="table" w:styleId="AkGlgeleme">
    <w:name w:val="Light Shading"/>
    <w:basedOn w:val="NormalTablo"/>
    <w:uiPriority w:val="60"/>
    <w:semiHidden/>
    <w:unhideWhenUsed/>
    <w:rsid w:val="005633F5"/>
    <w:pPr>
      <w:spacing w:after="0" w:line="240" w:lineRule="auto"/>
    </w:pPr>
    <w:rPr>
      <w:rFonts w:ascii="Times New Roman" w:eastAsia="Times New Roman" w:hAnsi="Times New Roman" w:cs="Times New Roman"/>
      <w:color w:val="000000" w:themeColor="text1" w:themeShade="BF"/>
      <w:sz w:val="20"/>
      <w:szCs w:val="20"/>
      <w:lang w:val="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OrtaGlgeleme2-Vurgu61">
    <w:name w:val="Orta Gölgeleme 2 - Vurgu 61"/>
    <w:basedOn w:val="NormalTablo"/>
    <w:next w:val="OrtaGlgeleme2-Vurgu6"/>
    <w:uiPriority w:val="64"/>
    <w:rsid w:val="005633F5"/>
    <w:pPr>
      <w:spacing w:after="0" w:line="240" w:lineRule="auto"/>
    </w:pPr>
    <w:rPr>
      <w:rFonts w:ascii="Calibri" w:eastAsia="Calibri" w:hAnsi="Calibri"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OrtaGlgeleme2-Vurgu6">
    <w:name w:val="Medium Shading 2 Accent 6"/>
    <w:basedOn w:val="NormalTablo"/>
    <w:uiPriority w:val="64"/>
    <w:semiHidden/>
    <w:unhideWhenUsed/>
    <w:rsid w:val="005633F5"/>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
    <w:name w:val="شبكة جدول1"/>
    <w:basedOn w:val="NormalTablo"/>
    <w:next w:val="TabloKlavuzu"/>
    <w:uiPriority w:val="59"/>
    <w:rsid w:val="005633F5"/>
    <w:pPr>
      <w:spacing w:after="0" w:line="240" w:lineRule="auto"/>
    </w:pPr>
    <w:rPr>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orcid-id-https">
    <w:name w:val="orcid-id-https"/>
    <w:basedOn w:val="VarsaylanParagrafYazTipi"/>
    <w:rsid w:val="006923DF"/>
  </w:style>
  <w:style w:type="character" w:customStyle="1" w:styleId="pull-right">
    <w:name w:val="pull-right"/>
    <w:basedOn w:val="VarsaylanParagrafYazTipi"/>
    <w:rsid w:val="006923DF"/>
  </w:style>
  <w:style w:type="character" w:customStyle="1" w:styleId="AklamaMetniChar">
    <w:name w:val="Açıklama Metni Char"/>
    <w:basedOn w:val="VarsaylanParagrafYazTipi"/>
    <w:link w:val="AklamaMetni"/>
    <w:uiPriority w:val="99"/>
    <w:rsid w:val="006923DF"/>
    <w:rPr>
      <w:sz w:val="20"/>
      <w:szCs w:val="20"/>
      <w:lang w:val="en-US"/>
    </w:rPr>
  </w:style>
  <w:style w:type="paragraph" w:styleId="AklamaMetni">
    <w:name w:val="annotation text"/>
    <w:basedOn w:val="Normal"/>
    <w:link w:val="AklamaMetniChar"/>
    <w:uiPriority w:val="99"/>
    <w:unhideWhenUsed/>
    <w:rsid w:val="006923DF"/>
    <w:pPr>
      <w:spacing w:after="0" w:line="240" w:lineRule="auto"/>
    </w:pPr>
    <w:rPr>
      <w:sz w:val="20"/>
      <w:szCs w:val="20"/>
      <w:lang w:val="en-US"/>
    </w:rPr>
  </w:style>
  <w:style w:type="character" w:customStyle="1" w:styleId="AklamaKonusuChar">
    <w:name w:val="Açıklama Konusu Char"/>
    <w:basedOn w:val="AklamaMetniChar"/>
    <w:link w:val="AklamaKonusu"/>
    <w:uiPriority w:val="99"/>
    <w:semiHidden/>
    <w:rsid w:val="006923DF"/>
    <w:rPr>
      <w:b/>
      <w:bCs/>
      <w:sz w:val="20"/>
      <w:szCs w:val="20"/>
      <w:lang w:val="en-US"/>
    </w:rPr>
  </w:style>
  <w:style w:type="paragraph" w:styleId="AklamaKonusu">
    <w:name w:val="annotation subject"/>
    <w:basedOn w:val="AklamaMetni"/>
    <w:next w:val="AklamaMetni"/>
    <w:link w:val="AklamaKonusuChar"/>
    <w:uiPriority w:val="99"/>
    <w:semiHidden/>
    <w:unhideWhenUsed/>
    <w:rsid w:val="006923DF"/>
    <w:rPr>
      <w:b/>
      <w:bCs/>
    </w:rPr>
  </w:style>
  <w:style w:type="character" w:customStyle="1" w:styleId="date-display-single">
    <w:name w:val="date-display-single"/>
    <w:basedOn w:val="VarsaylanParagrafYazTipi"/>
    <w:rsid w:val="006923DF"/>
  </w:style>
  <w:style w:type="character" w:customStyle="1" w:styleId="article-classifiergap">
    <w:name w:val="article-classifier__gap"/>
    <w:basedOn w:val="VarsaylanParagrafYazTipi"/>
    <w:rsid w:val="006923DF"/>
  </w:style>
  <w:style w:type="paragraph" w:styleId="bekMetni">
    <w:name w:val="Block Text"/>
    <w:basedOn w:val="Normal"/>
    <w:rsid w:val="006923DF"/>
    <w:pPr>
      <w:spacing w:after="0" w:line="240" w:lineRule="auto"/>
      <w:ind w:left="-284" w:right="-284"/>
    </w:pPr>
    <w:rPr>
      <w:rFonts w:ascii="Garamond" w:eastAsia="Times New Roman" w:hAnsi="Garamond" w:cs="Times New Roman"/>
      <w:sz w:val="20"/>
      <w:szCs w:val="24"/>
      <w:lang w:val="en-US" w:eastAsia="tr-TR"/>
    </w:rPr>
  </w:style>
  <w:style w:type="paragraph" w:styleId="TBal">
    <w:name w:val="TOC Heading"/>
    <w:basedOn w:val="Balk1"/>
    <w:next w:val="Normal"/>
    <w:uiPriority w:val="39"/>
    <w:unhideWhenUsed/>
    <w:qFormat/>
    <w:rsid w:val="006923DF"/>
    <w:pPr>
      <w:outlineLvl w:val="9"/>
    </w:pPr>
    <w:rPr>
      <w:rFonts w:ascii="Times New Roman" w:hAnsi="Times New Roman"/>
      <w:color w:val="auto"/>
      <w:lang w:val="en-US" w:eastAsia="en-US"/>
    </w:rPr>
  </w:style>
  <w:style w:type="paragraph" w:styleId="T1">
    <w:name w:val="toc 1"/>
    <w:basedOn w:val="Normal"/>
    <w:next w:val="Normal"/>
    <w:autoRedefine/>
    <w:uiPriority w:val="39"/>
    <w:unhideWhenUsed/>
    <w:rsid w:val="006923DF"/>
    <w:pPr>
      <w:spacing w:after="100" w:line="240" w:lineRule="auto"/>
    </w:pPr>
    <w:rPr>
      <w:lang w:val="en-US"/>
    </w:rPr>
  </w:style>
  <w:style w:type="paragraph" w:styleId="T2">
    <w:name w:val="toc 2"/>
    <w:basedOn w:val="Normal"/>
    <w:next w:val="Normal"/>
    <w:autoRedefine/>
    <w:uiPriority w:val="39"/>
    <w:unhideWhenUsed/>
    <w:rsid w:val="006923DF"/>
    <w:pPr>
      <w:spacing w:after="100" w:line="240" w:lineRule="auto"/>
      <w:ind w:left="220"/>
    </w:pPr>
    <w:rPr>
      <w:lang w:val="en-US"/>
    </w:rPr>
  </w:style>
  <w:style w:type="paragraph" w:styleId="T3">
    <w:name w:val="toc 3"/>
    <w:basedOn w:val="Normal"/>
    <w:next w:val="Normal"/>
    <w:autoRedefine/>
    <w:uiPriority w:val="39"/>
    <w:unhideWhenUsed/>
    <w:rsid w:val="006923DF"/>
    <w:pPr>
      <w:spacing w:after="100"/>
      <w:ind w:left="440"/>
    </w:pPr>
    <w:rPr>
      <w:rFonts w:eastAsiaTheme="minorEastAsia"/>
      <w:lang w:eastAsia="tr-TR"/>
    </w:rPr>
  </w:style>
  <w:style w:type="paragraph" w:styleId="T4">
    <w:name w:val="toc 4"/>
    <w:basedOn w:val="Normal"/>
    <w:next w:val="Normal"/>
    <w:autoRedefine/>
    <w:uiPriority w:val="39"/>
    <w:unhideWhenUsed/>
    <w:rsid w:val="006923DF"/>
    <w:pPr>
      <w:spacing w:after="100"/>
      <w:ind w:left="660"/>
    </w:pPr>
    <w:rPr>
      <w:rFonts w:eastAsiaTheme="minorEastAsia"/>
      <w:lang w:eastAsia="tr-TR"/>
    </w:rPr>
  </w:style>
  <w:style w:type="paragraph" w:styleId="T5">
    <w:name w:val="toc 5"/>
    <w:basedOn w:val="Normal"/>
    <w:next w:val="Normal"/>
    <w:autoRedefine/>
    <w:uiPriority w:val="39"/>
    <w:unhideWhenUsed/>
    <w:rsid w:val="006923DF"/>
    <w:pPr>
      <w:spacing w:after="100"/>
      <w:ind w:left="880"/>
    </w:pPr>
    <w:rPr>
      <w:rFonts w:eastAsiaTheme="minorEastAsia"/>
      <w:lang w:eastAsia="tr-TR"/>
    </w:rPr>
  </w:style>
  <w:style w:type="paragraph" w:styleId="T6">
    <w:name w:val="toc 6"/>
    <w:basedOn w:val="Normal"/>
    <w:next w:val="Normal"/>
    <w:autoRedefine/>
    <w:uiPriority w:val="39"/>
    <w:unhideWhenUsed/>
    <w:rsid w:val="006923DF"/>
    <w:pPr>
      <w:spacing w:after="100"/>
      <w:ind w:left="1100"/>
    </w:pPr>
    <w:rPr>
      <w:rFonts w:eastAsiaTheme="minorEastAsia"/>
      <w:lang w:eastAsia="tr-TR"/>
    </w:rPr>
  </w:style>
  <w:style w:type="paragraph" w:styleId="T7">
    <w:name w:val="toc 7"/>
    <w:basedOn w:val="Normal"/>
    <w:next w:val="Normal"/>
    <w:autoRedefine/>
    <w:uiPriority w:val="39"/>
    <w:unhideWhenUsed/>
    <w:rsid w:val="006923DF"/>
    <w:pPr>
      <w:spacing w:after="100"/>
      <w:ind w:left="1320"/>
    </w:pPr>
    <w:rPr>
      <w:rFonts w:eastAsiaTheme="minorEastAsia"/>
      <w:lang w:eastAsia="tr-TR"/>
    </w:rPr>
  </w:style>
  <w:style w:type="paragraph" w:styleId="T8">
    <w:name w:val="toc 8"/>
    <w:basedOn w:val="Normal"/>
    <w:next w:val="Normal"/>
    <w:autoRedefine/>
    <w:uiPriority w:val="39"/>
    <w:unhideWhenUsed/>
    <w:rsid w:val="006923DF"/>
    <w:pPr>
      <w:spacing w:after="100"/>
      <w:ind w:left="1540"/>
    </w:pPr>
    <w:rPr>
      <w:rFonts w:eastAsiaTheme="minorEastAsia"/>
      <w:lang w:eastAsia="tr-TR"/>
    </w:rPr>
  </w:style>
  <w:style w:type="paragraph" w:styleId="T9">
    <w:name w:val="toc 9"/>
    <w:basedOn w:val="Normal"/>
    <w:next w:val="Normal"/>
    <w:autoRedefine/>
    <w:uiPriority w:val="39"/>
    <w:unhideWhenUsed/>
    <w:rsid w:val="006923DF"/>
    <w:pPr>
      <w:spacing w:after="100"/>
      <w:ind w:left="1760"/>
    </w:pPr>
    <w:rPr>
      <w:rFonts w:eastAsiaTheme="minorEastAsia"/>
      <w:lang w:eastAsia="tr-TR"/>
    </w:rPr>
  </w:style>
  <w:style w:type="paragraph" w:customStyle="1" w:styleId="ortabalkbold">
    <w:name w:val="ortabalkbold"/>
    <w:basedOn w:val="Normal"/>
    <w:rsid w:val="00E839E1"/>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list-group-item">
    <w:name w:val="list-group-item"/>
    <w:basedOn w:val="Normal"/>
    <w:rsid w:val="00E839E1"/>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my-3">
    <w:name w:val="my-3"/>
    <w:basedOn w:val="Normal"/>
    <w:rsid w:val="00E839E1"/>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Gvdemetni8">
    <w:name w:val="Gövde metni8"/>
    <w:rsid w:val="00E839E1"/>
    <w:rPr>
      <w:rFonts w:ascii="Book Antiqua" w:hAnsi="Book Antiqua" w:cs="Book Antiqua"/>
      <w:sz w:val="18"/>
      <w:szCs w:val="18"/>
      <w:u w:val="none"/>
    </w:rPr>
  </w:style>
  <w:style w:type="character" w:customStyle="1" w:styleId="Gvdemetni0">
    <w:name w:val="Gövde metni_"/>
    <w:link w:val="Gvdemetni1"/>
    <w:rsid w:val="00E839E1"/>
    <w:rPr>
      <w:rFonts w:ascii="Book Antiqua" w:hAnsi="Book Antiqua"/>
      <w:sz w:val="18"/>
      <w:szCs w:val="18"/>
      <w:shd w:val="clear" w:color="auto" w:fill="FFFFFF"/>
    </w:rPr>
  </w:style>
  <w:style w:type="paragraph" w:customStyle="1" w:styleId="Gvdemetni1">
    <w:name w:val="Gövde metni1"/>
    <w:basedOn w:val="Normal"/>
    <w:link w:val="Gvdemetni0"/>
    <w:rsid w:val="00E839E1"/>
    <w:pPr>
      <w:widowControl w:val="0"/>
      <w:shd w:val="clear" w:color="auto" w:fill="FFFFFF"/>
      <w:spacing w:after="0" w:line="240" w:lineRule="atLeast"/>
      <w:ind w:hanging="140"/>
      <w:jc w:val="both"/>
    </w:pPr>
    <w:rPr>
      <w:rFonts w:ascii="Book Antiqua" w:hAnsi="Book Antiqua"/>
      <w:sz w:val="18"/>
      <w:szCs w:val="18"/>
    </w:rPr>
  </w:style>
  <w:style w:type="paragraph" w:customStyle="1" w:styleId="MTDisplayEquation">
    <w:name w:val="MTDisplayEquation"/>
    <w:basedOn w:val="Normal"/>
    <w:next w:val="Normal"/>
    <w:link w:val="MTDisplayEquationChar"/>
    <w:rsid w:val="00E839E1"/>
    <w:pPr>
      <w:tabs>
        <w:tab w:val="center" w:pos="4540"/>
        <w:tab w:val="right" w:pos="9080"/>
      </w:tabs>
      <w:spacing w:after="200" w:line="276" w:lineRule="auto"/>
    </w:pPr>
    <w:rPr>
      <w:rFonts w:eastAsiaTheme="minorEastAsia"/>
      <w:lang w:eastAsia="tr-TR"/>
    </w:rPr>
  </w:style>
  <w:style w:type="character" w:customStyle="1" w:styleId="MTDisplayEquationChar">
    <w:name w:val="MTDisplayEquation Char"/>
    <w:basedOn w:val="VarsaylanParagrafYazTipi"/>
    <w:link w:val="MTDisplayEquation"/>
    <w:rsid w:val="00E839E1"/>
    <w:rPr>
      <w:rFonts w:eastAsiaTheme="minorEastAsia"/>
      <w:lang w:eastAsia="tr-TR"/>
    </w:rPr>
  </w:style>
  <w:style w:type="character" w:styleId="HTMLCite">
    <w:name w:val="HTML Cite"/>
    <w:basedOn w:val="VarsaylanParagrafYazTipi"/>
    <w:uiPriority w:val="99"/>
    <w:semiHidden/>
    <w:unhideWhenUsed/>
    <w:rsid w:val="00E839E1"/>
    <w:rPr>
      <w:i/>
      <w:iCs/>
    </w:rPr>
  </w:style>
  <w:style w:type="paragraph" w:customStyle="1" w:styleId="Normal1">
    <w:name w:val="Normal1"/>
    <w:rsid w:val="00E839E1"/>
    <w:pPr>
      <w:spacing w:after="0" w:line="276" w:lineRule="auto"/>
    </w:pPr>
    <w:rPr>
      <w:rFonts w:ascii="Arial" w:eastAsia="Arial" w:hAnsi="Arial" w:cs="Arial"/>
      <w:lang w:eastAsia="tr-TR"/>
    </w:rPr>
  </w:style>
  <w:style w:type="paragraph" w:customStyle="1" w:styleId="Headline">
    <w:name w:val="Headline"/>
    <w:basedOn w:val="Normal"/>
    <w:rsid w:val="00E839E1"/>
    <w:pPr>
      <w:spacing w:after="0" w:line="240" w:lineRule="auto"/>
      <w:jc w:val="center"/>
    </w:pPr>
    <w:rPr>
      <w:rFonts w:ascii="Lucida Sans Unicode" w:eastAsia="Times New Roman" w:hAnsi="Lucida Sans Unicode" w:cs="Times New Roman"/>
      <w:b/>
      <w:bCs/>
      <w:sz w:val="48"/>
      <w:szCs w:val="20"/>
      <w:lang w:val="en-US"/>
    </w:rPr>
  </w:style>
  <w:style w:type="paragraph" w:customStyle="1" w:styleId="Alnt1">
    <w:name w:val="Alıntı1"/>
    <w:basedOn w:val="Normal"/>
    <w:qFormat/>
    <w:rsid w:val="00E839E1"/>
    <w:pPr>
      <w:spacing w:before="120" w:after="120" w:line="360" w:lineRule="auto"/>
      <w:ind w:firstLine="567"/>
      <w:jc w:val="both"/>
    </w:pPr>
    <w:rPr>
      <w:rFonts w:ascii="Times New Roman" w:hAnsi="Times New Roman" w:cs="Times New Roman"/>
      <w:sz w:val="24"/>
      <w:szCs w:val="24"/>
    </w:rPr>
  </w:style>
  <w:style w:type="paragraph" w:customStyle="1" w:styleId="BLMBALIK">
    <w:name w:val="BÖLÜM BAŞLIK"/>
    <w:basedOn w:val="Normal"/>
    <w:link w:val="BLMBALIKChar"/>
    <w:qFormat/>
    <w:rsid w:val="00E839E1"/>
    <w:pPr>
      <w:spacing w:before="1440" w:after="1440" w:line="240" w:lineRule="auto"/>
      <w:jc w:val="center"/>
    </w:pPr>
    <w:rPr>
      <w:rFonts w:ascii="Book Antiqua" w:eastAsia="Times New Roman" w:hAnsi="Book Antiqua" w:cs="Times New Roman"/>
      <w:b/>
      <w:bCs/>
      <w:sz w:val="28"/>
      <w:szCs w:val="20"/>
    </w:rPr>
  </w:style>
  <w:style w:type="character" w:customStyle="1" w:styleId="BLMBALIKChar">
    <w:name w:val="BÖLÜM BAŞLIK Char"/>
    <w:basedOn w:val="VarsaylanParagrafYazTipi"/>
    <w:link w:val="BLMBALIK"/>
    <w:rsid w:val="00E839E1"/>
    <w:rPr>
      <w:rFonts w:ascii="Book Antiqua" w:eastAsia="Times New Roman" w:hAnsi="Book Antiqua" w:cs="Times New Roman"/>
      <w:b/>
      <w:bCs/>
      <w:sz w:val="28"/>
      <w:szCs w:val="20"/>
    </w:rPr>
  </w:style>
  <w:style w:type="character" w:customStyle="1" w:styleId="A7">
    <w:name w:val="A7"/>
    <w:uiPriority w:val="99"/>
    <w:rsid w:val="00E839E1"/>
    <w:rPr>
      <w:rFonts w:cs="Palatino"/>
      <w:color w:val="000000"/>
      <w:sz w:val="18"/>
      <w:szCs w:val="18"/>
    </w:rPr>
  </w:style>
  <w:style w:type="paragraph" w:customStyle="1" w:styleId="Pa1">
    <w:name w:val="Pa1"/>
    <w:basedOn w:val="Default"/>
    <w:next w:val="Default"/>
    <w:uiPriority w:val="99"/>
    <w:rsid w:val="00E839E1"/>
    <w:pPr>
      <w:spacing w:line="241" w:lineRule="atLeast"/>
    </w:pPr>
    <w:rPr>
      <w:rFonts w:ascii="Alianza Slab 100" w:hAnsi="Alianza Slab 100" w:cstheme="minorBidi"/>
      <w:color w:val="auto"/>
      <w:lang w:val="tr-TR"/>
    </w:rPr>
  </w:style>
  <w:style w:type="character" w:customStyle="1" w:styleId="authors">
    <w:name w:val="authors"/>
    <w:basedOn w:val="VarsaylanParagrafYazTipi"/>
    <w:rsid w:val="00E839E1"/>
  </w:style>
  <w:style w:type="character" w:customStyle="1" w:styleId="Tarih1">
    <w:name w:val="Tarih1"/>
    <w:basedOn w:val="VarsaylanParagrafYazTipi"/>
    <w:rsid w:val="00E839E1"/>
  </w:style>
  <w:style w:type="character" w:customStyle="1" w:styleId="arttitle">
    <w:name w:val="art_title"/>
    <w:basedOn w:val="VarsaylanParagrafYazTipi"/>
    <w:rsid w:val="00E839E1"/>
  </w:style>
  <w:style w:type="character" w:customStyle="1" w:styleId="serialtitle">
    <w:name w:val="serial_title"/>
    <w:basedOn w:val="VarsaylanParagrafYazTipi"/>
    <w:rsid w:val="00E839E1"/>
  </w:style>
  <w:style w:type="character" w:customStyle="1" w:styleId="doilink">
    <w:name w:val="doi_link"/>
    <w:basedOn w:val="VarsaylanParagrafYazTipi"/>
    <w:rsid w:val="00E839E1"/>
  </w:style>
  <w:style w:type="table" w:customStyle="1" w:styleId="ListTable21">
    <w:name w:val="List Table 21"/>
    <w:uiPriority w:val="99"/>
    <w:rsid w:val="00E839E1"/>
    <w:pPr>
      <w:spacing w:after="0" w:line="240" w:lineRule="auto"/>
    </w:pPr>
    <w:rPr>
      <w:rFonts w:ascii="Times New Roman" w:eastAsia="Calibri" w:hAnsi="Times New Roman" w:cs="Times New Roman"/>
      <w:sz w:val="20"/>
      <w:szCs w:val="20"/>
      <w:lang w:eastAsia="tr-TR"/>
    </w:rPr>
    <w:tblPr>
      <w:tblStyleRowBandSize w:val="1"/>
      <w:tblStyleColBandSize w:val="1"/>
      <w:tblInd w:w="0" w:type="dxa"/>
      <w:tblBorders>
        <w:top w:val="single" w:sz="4" w:space="0" w:color="666666"/>
        <w:bottom w:val="single" w:sz="4" w:space="0" w:color="666666"/>
        <w:insideH w:val="single" w:sz="4" w:space="0" w:color="666666"/>
      </w:tblBorders>
      <w:tblCellMar>
        <w:top w:w="0" w:type="dxa"/>
        <w:left w:w="108" w:type="dxa"/>
        <w:bottom w:w="0" w:type="dxa"/>
        <w:right w:w="108" w:type="dxa"/>
      </w:tblCellMar>
    </w:tblPr>
  </w:style>
  <w:style w:type="paragraph" w:customStyle="1" w:styleId="Tablo">
    <w:name w:val="Tablo"/>
    <w:basedOn w:val="Normal"/>
    <w:link w:val="TabloChar"/>
    <w:autoRedefine/>
    <w:uiPriority w:val="99"/>
    <w:qFormat/>
    <w:rsid w:val="00E839E1"/>
    <w:pPr>
      <w:spacing w:before="120" w:after="120" w:line="240" w:lineRule="auto"/>
      <w:jc w:val="both"/>
    </w:pPr>
    <w:rPr>
      <w:rFonts w:ascii="Times New Roman" w:eastAsia="Calibri" w:hAnsi="Times New Roman" w:cs="Times New Roman"/>
      <w:i/>
      <w:lang w:eastAsia="tr-TR"/>
    </w:rPr>
  </w:style>
  <w:style w:type="character" w:customStyle="1" w:styleId="TabloChar">
    <w:name w:val="Tablo Char"/>
    <w:link w:val="Tablo"/>
    <w:uiPriority w:val="99"/>
    <w:locked/>
    <w:rsid w:val="00E839E1"/>
    <w:rPr>
      <w:rFonts w:ascii="Times New Roman" w:eastAsia="Calibri" w:hAnsi="Times New Roman" w:cs="Times New Roman"/>
      <w:i/>
      <w:lang w:eastAsia="tr-TR"/>
    </w:rPr>
  </w:style>
  <w:style w:type="character" w:customStyle="1" w:styleId="lrzxr">
    <w:name w:val="lrzxr"/>
    <w:basedOn w:val="VarsaylanParagrafYazTipi"/>
    <w:rsid w:val="00E839E1"/>
  </w:style>
  <w:style w:type="character" w:customStyle="1" w:styleId="cls-response">
    <w:name w:val="cls-response"/>
    <w:basedOn w:val="VarsaylanParagrafYazTipi"/>
    <w:rsid w:val="00E839E1"/>
  </w:style>
  <w:style w:type="paragraph" w:customStyle="1" w:styleId="References0">
    <w:name w:val="References"/>
    <w:basedOn w:val="Normal"/>
    <w:qFormat/>
    <w:rsid w:val="00E839E1"/>
    <w:pPr>
      <w:spacing w:before="120" w:after="0" w:line="360" w:lineRule="auto"/>
      <w:ind w:left="720" w:hanging="720"/>
      <w:contextualSpacing/>
    </w:pPr>
    <w:rPr>
      <w:rFonts w:ascii="Times New Roman" w:eastAsia="Times New Roman" w:hAnsi="Times New Roman" w:cs="Times New Roman"/>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388022">
      <w:bodyDiv w:val="1"/>
      <w:marLeft w:val="0"/>
      <w:marRight w:val="0"/>
      <w:marTop w:val="0"/>
      <w:marBottom w:val="0"/>
      <w:divBdr>
        <w:top w:val="none" w:sz="0" w:space="0" w:color="auto"/>
        <w:left w:val="none" w:sz="0" w:space="0" w:color="auto"/>
        <w:bottom w:val="none" w:sz="0" w:space="0" w:color="auto"/>
        <w:right w:val="none" w:sz="0" w:space="0" w:color="auto"/>
      </w:divBdr>
    </w:div>
    <w:div w:id="21829757">
      <w:bodyDiv w:val="1"/>
      <w:marLeft w:val="0"/>
      <w:marRight w:val="0"/>
      <w:marTop w:val="0"/>
      <w:marBottom w:val="0"/>
      <w:divBdr>
        <w:top w:val="none" w:sz="0" w:space="0" w:color="auto"/>
        <w:left w:val="none" w:sz="0" w:space="0" w:color="auto"/>
        <w:bottom w:val="none" w:sz="0" w:space="0" w:color="auto"/>
        <w:right w:val="none" w:sz="0" w:space="0" w:color="auto"/>
      </w:divBdr>
    </w:div>
    <w:div w:id="40247244">
      <w:bodyDiv w:val="1"/>
      <w:marLeft w:val="0"/>
      <w:marRight w:val="0"/>
      <w:marTop w:val="0"/>
      <w:marBottom w:val="0"/>
      <w:divBdr>
        <w:top w:val="none" w:sz="0" w:space="0" w:color="auto"/>
        <w:left w:val="none" w:sz="0" w:space="0" w:color="auto"/>
        <w:bottom w:val="none" w:sz="0" w:space="0" w:color="auto"/>
        <w:right w:val="none" w:sz="0" w:space="0" w:color="auto"/>
      </w:divBdr>
      <w:divsChild>
        <w:div w:id="307707481">
          <w:marLeft w:val="547"/>
          <w:marRight w:val="0"/>
          <w:marTop w:val="200"/>
          <w:marBottom w:val="0"/>
          <w:divBdr>
            <w:top w:val="none" w:sz="0" w:space="0" w:color="auto"/>
            <w:left w:val="none" w:sz="0" w:space="0" w:color="auto"/>
            <w:bottom w:val="none" w:sz="0" w:space="0" w:color="auto"/>
            <w:right w:val="none" w:sz="0" w:space="0" w:color="auto"/>
          </w:divBdr>
        </w:div>
      </w:divsChild>
    </w:div>
    <w:div w:id="150953318">
      <w:bodyDiv w:val="1"/>
      <w:marLeft w:val="0"/>
      <w:marRight w:val="0"/>
      <w:marTop w:val="0"/>
      <w:marBottom w:val="0"/>
      <w:divBdr>
        <w:top w:val="none" w:sz="0" w:space="0" w:color="auto"/>
        <w:left w:val="none" w:sz="0" w:space="0" w:color="auto"/>
        <w:bottom w:val="none" w:sz="0" w:space="0" w:color="auto"/>
        <w:right w:val="none" w:sz="0" w:space="0" w:color="auto"/>
      </w:divBdr>
    </w:div>
    <w:div w:id="427191890">
      <w:bodyDiv w:val="1"/>
      <w:marLeft w:val="0"/>
      <w:marRight w:val="0"/>
      <w:marTop w:val="0"/>
      <w:marBottom w:val="0"/>
      <w:divBdr>
        <w:top w:val="none" w:sz="0" w:space="0" w:color="auto"/>
        <w:left w:val="none" w:sz="0" w:space="0" w:color="auto"/>
        <w:bottom w:val="none" w:sz="0" w:space="0" w:color="auto"/>
        <w:right w:val="none" w:sz="0" w:space="0" w:color="auto"/>
      </w:divBdr>
    </w:div>
    <w:div w:id="535123138">
      <w:bodyDiv w:val="1"/>
      <w:marLeft w:val="0"/>
      <w:marRight w:val="0"/>
      <w:marTop w:val="0"/>
      <w:marBottom w:val="0"/>
      <w:divBdr>
        <w:top w:val="none" w:sz="0" w:space="0" w:color="auto"/>
        <w:left w:val="none" w:sz="0" w:space="0" w:color="auto"/>
        <w:bottom w:val="none" w:sz="0" w:space="0" w:color="auto"/>
        <w:right w:val="none" w:sz="0" w:space="0" w:color="auto"/>
      </w:divBdr>
      <w:divsChild>
        <w:div w:id="1267617101">
          <w:marLeft w:val="0"/>
          <w:marRight w:val="0"/>
          <w:marTop w:val="0"/>
          <w:marBottom w:val="0"/>
          <w:divBdr>
            <w:top w:val="none" w:sz="0" w:space="0" w:color="auto"/>
            <w:left w:val="none" w:sz="0" w:space="0" w:color="auto"/>
            <w:bottom w:val="none" w:sz="0" w:space="0" w:color="auto"/>
            <w:right w:val="none" w:sz="0" w:space="0" w:color="auto"/>
          </w:divBdr>
        </w:div>
        <w:div w:id="2006475434">
          <w:marLeft w:val="0"/>
          <w:marRight w:val="0"/>
          <w:marTop w:val="0"/>
          <w:marBottom w:val="0"/>
          <w:divBdr>
            <w:top w:val="none" w:sz="0" w:space="0" w:color="auto"/>
            <w:left w:val="none" w:sz="0" w:space="0" w:color="auto"/>
            <w:bottom w:val="none" w:sz="0" w:space="0" w:color="auto"/>
            <w:right w:val="none" w:sz="0" w:space="0" w:color="auto"/>
          </w:divBdr>
        </w:div>
      </w:divsChild>
    </w:div>
    <w:div w:id="605770450">
      <w:bodyDiv w:val="1"/>
      <w:marLeft w:val="0"/>
      <w:marRight w:val="0"/>
      <w:marTop w:val="0"/>
      <w:marBottom w:val="0"/>
      <w:divBdr>
        <w:top w:val="none" w:sz="0" w:space="0" w:color="auto"/>
        <w:left w:val="none" w:sz="0" w:space="0" w:color="auto"/>
        <w:bottom w:val="none" w:sz="0" w:space="0" w:color="auto"/>
        <w:right w:val="none" w:sz="0" w:space="0" w:color="auto"/>
      </w:divBdr>
    </w:div>
    <w:div w:id="657882220">
      <w:bodyDiv w:val="1"/>
      <w:marLeft w:val="0"/>
      <w:marRight w:val="0"/>
      <w:marTop w:val="0"/>
      <w:marBottom w:val="0"/>
      <w:divBdr>
        <w:top w:val="none" w:sz="0" w:space="0" w:color="auto"/>
        <w:left w:val="none" w:sz="0" w:space="0" w:color="auto"/>
        <w:bottom w:val="none" w:sz="0" w:space="0" w:color="auto"/>
        <w:right w:val="none" w:sz="0" w:space="0" w:color="auto"/>
      </w:divBdr>
    </w:div>
    <w:div w:id="678194337">
      <w:bodyDiv w:val="1"/>
      <w:marLeft w:val="0"/>
      <w:marRight w:val="0"/>
      <w:marTop w:val="0"/>
      <w:marBottom w:val="0"/>
      <w:divBdr>
        <w:top w:val="none" w:sz="0" w:space="0" w:color="auto"/>
        <w:left w:val="none" w:sz="0" w:space="0" w:color="auto"/>
        <w:bottom w:val="none" w:sz="0" w:space="0" w:color="auto"/>
        <w:right w:val="none" w:sz="0" w:space="0" w:color="auto"/>
      </w:divBdr>
    </w:div>
    <w:div w:id="944579444">
      <w:bodyDiv w:val="1"/>
      <w:marLeft w:val="0"/>
      <w:marRight w:val="0"/>
      <w:marTop w:val="0"/>
      <w:marBottom w:val="0"/>
      <w:divBdr>
        <w:top w:val="none" w:sz="0" w:space="0" w:color="auto"/>
        <w:left w:val="none" w:sz="0" w:space="0" w:color="auto"/>
        <w:bottom w:val="none" w:sz="0" w:space="0" w:color="auto"/>
        <w:right w:val="none" w:sz="0" w:space="0" w:color="auto"/>
      </w:divBdr>
    </w:div>
    <w:div w:id="951059572">
      <w:bodyDiv w:val="1"/>
      <w:marLeft w:val="0"/>
      <w:marRight w:val="0"/>
      <w:marTop w:val="0"/>
      <w:marBottom w:val="0"/>
      <w:divBdr>
        <w:top w:val="none" w:sz="0" w:space="0" w:color="auto"/>
        <w:left w:val="none" w:sz="0" w:space="0" w:color="auto"/>
        <w:bottom w:val="none" w:sz="0" w:space="0" w:color="auto"/>
        <w:right w:val="none" w:sz="0" w:space="0" w:color="auto"/>
      </w:divBdr>
    </w:div>
    <w:div w:id="982927414">
      <w:bodyDiv w:val="1"/>
      <w:marLeft w:val="0"/>
      <w:marRight w:val="0"/>
      <w:marTop w:val="0"/>
      <w:marBottom w:val="0"/>
      <w:divBdr>
        <w:top w:val="none" w:sz="0" w:space="0" w:color="auto"/>
        <w:left w:val="none" w:sz="0" w:space="0" w:color="auto"/>
        <w:bottom w:val="none" w:sz="0" w:space="0" w:color="auto"/>
        <w:right w:val="none" w:sz="0" w:space="0" w:color="auto"/>
      </w:divBdr>
    </w:div>
    <w:div w:id="1061442638">
      <w:bodyDiv w:val="1"/>
      <w:marLeft w:val="0"/>
      <w:marRight w:val="0"/>
      <w:marTop w:val="0"/>
      <w:marBottom w:val="0"/>
      <w:divBdr>
        <w:top w:val="none" w:sz="0" w:space="0" w:color="auto"/>
        <w:left w:val="none" w:sz="0" w:space="0" w:color="auto"/>
        <w:bottom w:val="none" w:sz="0" w:space="0" w:color="auto"/>
        <w:right w:val="none" w:sz="0" w:space="0" w:color="auto"/>
      </w:divBdr>
    </w:div>
    <w:div w:id="1128548681">
      <w:bodyDiv w:val="1"/>
      <w:marLeft w:val="0"/>
      <w:marRight w:val="0"/>
      <w:marTop w:val="0"/>
      <w:marBottom w:val="0"/>
      <w:divBdr>
        <w:top w:val="none" w:sz="0" w:space="0" w:color="auto"/>
        <w:left w:val="none" w:sz="0" w:space="0" w:color="auto"/>
        <w:bottom w:val="none" w:sz="0" w:space="0" w:color="auto"/>
        <w:right w:val="none" w:sz="0" w:space="0" w:color="auto"/>
      </w:divBdr>
    </w:div>
    <w:div w:id="1349287844">
      <w:bodyDiv w:val="1"/>
      <w:marLeft w:val="0"/>
      <w:marRight w:val="0"/>
      <w:marTop w:val="0"/>
      <w:marBottom w:val="0"/>
      <w:divBdr>
        <w:top w:val="none" w:sz="0" w:space="0" w:color="auto"/>
        <w:left w:val="none" w:sz="0" w:space="0" w:color="auto"/>
        <w:bottom w:val="none" w:sz="0" w:space="0" w:color="auto"/>
        <w:right w:val="none" w:sz="0" w:space="0" w:color="auto"/>
      </w:divBdr>
    </w:div>
    <w:div w:id="1740471910">
      <w:bodyDiv w:val="1"/>
      <w:marLeft w:val="0"/>
      <w:marRight w:val="0"/>
      <w:marTop w:val="0"/>
      <w:marBottom w:val="0"/>
      <w:divBdr>
        <w:top w:val="none" w:sz="0" w:space="0" w:color="auto"/>
        <w:left w:val="none" w:sz="0" w:space="0" w:color="auto"/>
        <w:bottom w:val="none" w:sz="0" w:space="0" w:color="auto"/>
        <w:right w:val="none" w:sz="0" w:space="0" w:color="auto"/>
      </w:divBdr>
    </w:div>
    <w:div w:id="1804731079">
      <w:bodyDiv w:val="1"/>
      <w:marLeft w:val="0"/>
      <w:marRight w:val="0"/>
      <w:marTop w:val="0"/>
      <w:marBottom w:val="0"/>
      <w:divBdr>
        <w:top w:val="none" w:sz="0" w:space="0" w:color="auto"/>
        <w:left w:val="none" w:sz="0" w:space="0" w:color="auto"/>
        <w:bottom w:val="none" w:sz="0" w:space="0" w:color="auto"/>
        <w:right w:val="none" w:sz="0" w:space="0" w:color="auto"/>
      </w:divBdr>
    </w:div>
    <w:div w:id="1877542280">
      <w:bodyDiv w:val="1"/>
      <w:marLeft w:val="0"/>
      <w:marRight w:val="0"/>
      <w:marTop w:val="0"/>
      <w:marBottom w:val="0"/>
      <w:divBdr>
        <w:top w:val="none" w:sz="0" w:space="0" w:color="auto"/>
        <w:left w:val="none" w:sz="0" w:space="0" w:color="auto"/>
        <w:bottom w:val="none" w:sz="0" w:space="0" w:color="auto"/>
        <w:right w:val="none" w:sz="0" w:space="0" w:color="auto"/>
      </w:divBdr>
      <w:divsChild>
        <w:div w:id="436481677">
          <w:marLeft w:val="547"/>
          <w:marRight w:val="0"/>
          <w:marTop w:val="200"/>
          <w:marBottom w:val="0"/>
          <w:divBdr>
            <w:top w:val="none" w:sz="0" w:space="0" w:color="auto"/>
            <w:left w:val="none" w:sz="0" w:space="0" w:color="auto"/>
            <w:bottom w:val="none" w:sz="0" w:space="0" w:color="auto"/>
            <w:right w:val="none" w:sz="0" w:space="0" w:color="auto"/>
          </w:divBdr>
        </w:div>
      </w:divsChild>
    </w:div>
    <w:div w:id="1936982159">
      <w:bodyDiv w:val="1"/>
      <w:marLeft w:val="0"/>
      <w:marRight w:val="0"/>
      <w:marTop w:val="0"/>
      <w:marBottom w:val="0"/>
      <w:divBdr>
        <w:top w:val="none" w:sz="0" w:space="0" w:color="auto"/>
        <w:left w:val="none" w:sz="0" w:space="0" w:color="auto"/>
        <w:bottom w:val="none" w:sz="0" w:space="0" w:color="auto"/>
        <w:right w:val="none" w:sz="0" w:space="0" w:color="auto"/>
      </w:divBdr>
      <w:divsChild>
        <w:div w:id="39475380">
          <w:marLeft w:val="806"/>
          <w:marRight w:val="0"/>
          <w:marTop w:val="200"/>
          <w:marBottom w:val="0"/>
          <w:divBdr>
            <w:top w:val="none" w:sz="0" w:space="0" w:color="auto"/>
            <w:left w:val="none" w:sz="0" w:space="0" w:color="auto"/>
            <w:bottom w:val="none" w:sz="0" w:space="0" w:color="auto"/>
            <w:right w:val="none" w:sz="0" w:space="0" w:color="auto"/>
          </w:divBdr>
        </w:div>
        <w:div w:id="619603845">
          <w:marLeft w:val="806"/>
          <w:marRight w:val="0"/>
          <w:marTop w:val="200"/>
          <w:marBottom w:val="0"/>
          <w:divBdr>
            <w:top w:val="none" w:sz="0" w:space="0" w:color="auto"/>
            <w:left w:val="none" w:sz="0" w:space="0" w:color="auto"/>
            <w:bottom w:val="none" w:sz="0" w:space="0" w:color="auto"/>
            <w:right w:val="none" w:sz="0" w:space="0" w:color="auto"/>
          </w:divBdr>
        </w:div>
        <w:div w:id="1035158151">
          <w:marLeft w:val="806"/>
          <w:marRight w:val="0"/>
          <w:marTop w:val="200"/>
          <w:marBottom w:val="0"/>
          <w:divBdr>
            <w:top w:val="none" w:sz="0" w:space="0" w:color="auto"/>
            <w:left w:val="none" w:sz="0" w:space="0" w:color="auto"/>
            <w:bottom w:val="none" w:sz="0" w:space="0" w:color="auto"/>
            <w:right w:val="none" w:sz="0" w:space="0" w:color="auto"/>
          </w:divBdr>
        </w:div>
        <w:div w:id="1056977189">
          <w:marLeft w:val="806"/>
          <w:marRight w:val="0"/>
          <w:marTop w:val="200"/>
          <w:marBottom w:val="0"/>
          <w:divBdr>
            <w:top w:val="none" w:sz="0" w:space="0" w:color="auto"/>
            <w:left w:val="none" w:sz="0" w:space="0" w:color="auto"/>
            <w:bottom w:val="none" w:sz="0" w:space="0" w:color="auto"/>
            <w:right w:val="none" w:sz="0" w:space="0" w:color="auto"/>
          </w:divBdr>
        </w:div>
        <w:div w:id="1297295531">
          <w:marLeft w:val="806"/>
          <w:marRight w:val="0"/>
          <w:marTop w:val="200"/>
          <w:marBottom w:val="0"/>
          <w:divBdr>
            <w:top w:val="none" w:sz="0" w:space="0" w:color="auto"/>
            <w:left w:val="none" w:sz="0" w:space="0" w:color="auto"/>
            <w:bottom w:val="none" w:sz="0" w:space="0" w:color="auto"/>
            <w:right w:val="none" w:sz="0" w:space="0" w:color="auto"/>
          </w:divBdr>
        </w:div>
        <w:div w:id="2018802700">
          <w:marLeft w:val="806"/>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3.png"/><Relationship Id="rId299" Type="http://schemas.openxmlformats.org/officeDocument/2006/relationships/hyperlink" Target="https://tuikweb.tuik.gov.tr/PreHaberBultenleri.do?id=33679" TargetMode="External"/><Relationship Id="rId21" Type="http://schemas.openxmlformats.org/officeDocument/2006/relationships/hyperlink" Target="mailto:ipek.aytac@bozok.edu.tr" TargetMode="External"/><Relationship Id="rId63" Type="http://schemas.openxmlformats.org/officeDocument/2006/relationships/hyperlink" Target="https://www.coca-cola.com.tr/anasayfa" TargetMode="External"/><Relationship Id="rId159" Type="http://schemas.openxmlformats.org/officeDocument/2006/relationships/chart" Target="charts/chart14.xml"/><Relationship Id="rId324" Type="http://schemas.openxmlformats.org/officeDocument/2006/relationships/image" Target="media/image87.jpeg"/><Relationship Id="rId366" Type="http://schemas.openxmlformats.org/officeDocument/2006/relationships/image" Target="media/image108.png"/><Relationship Id="rId170" Type="http://schemas.openxmlformats.org/officeDocument/2006/relationships/hyperlink" Target="https://www.iso.org.tr/projeler/iso-turkiye-imalat-pmi/pdf" TargetMode="External"/><Relationship Id="rId226" Type="http://schemas.openxmlformats.org/officeDocument/2006/relationships/image" Target="media/image68.png"/><Relationship Id="rId433" Type="http://schemas.openxmlformats.org/officeDocument/2006/relationships/hyperlink" Target="https://tr.wikipedia.org/wiki/COVID-19_pandemisi" TargetMode="External"/><Relationship Id="rId268" Type="http://schemas.openxmlformats.org/officeDocument/2006/relationships/image" Target="media/image77.png"/><Relationship Id="rId32" Type="http://schemas.openxmlformats.org/officeDocument/2006/relationships/hyperlink" Target="https://www.brooklynkids.org/" TargetMode="External"/><Relationship Id="rId74" Type="http://schemas.openxmlformats.org/officeDocument/2006/relationships/hyperlink" Target="https://www.sciencedirect.com/science/article/pii/S2590198220300907" TargetMode="External"/><Relationship Id="rId128" Type="http://schemas.openxmlformats.org/officeDocument/2006/relationships/hyperlink" Target="https://kgk.gov.tr/Portalv2Uploads/files/Duyurular/v2/TMS/TMS_2020/TMS%2036.pdf" TargetMode="External"/><Relationship Id="rId335" Type="http://schemas.openxmlformats.org/officeDocument/2006/relationships/hyperlink" Target="mailto:suzan.gurgil@usak.edu.tr" TargetMode="External"/><Relationship Id="rId377" Type="http://schemas.openxmlformats.org/officeDocument/2006/relationships/header" Target="header2.xml"/><Relationship Id="rId5" Type="http://schemas.openxmlformats.org/officeDocument/2006/relationships/webSettings" Target="webSettings.xml"/><Relationship Id="rId181" Type="http://schemas.openxmlformats.org/officeDocument/2006/relationships/hyperlink" Target="mailto:dyildiz2000@gmail.com" TargetMode="External"/><Relationship Id="rId237" Type="http://schemas.openxmlformats.org/officeDocument/2006/relationships/hyperlink" Target="https://www.atlanticcouncil.org/blogs/geotech-cues/pandemic-may-replace-the-nation-state-but-with-what/" TargetMode="External"/><Relationship Id="rId402" Type="http://schemas.openxmlformats.org/officeDocument/2006/relationships/hyperlink" Target="https://doi.org/10.1007/s11125-020-09475-0" TargetMode="External"/><Relationship Id="rId279" Type="http://schemas.openxmlformats.org/officeDocument/2006/relationships/image" Target="media/image79.png"/><Relationship Id="rId444" Type="http://schemas.openxmlformats.org/officeDocument/2006/relationships/theme" Target="theme/theme1.xml"/><Relationship Id="rId43" Type="http://schemas.openxmlformats.org/officeDocument/2006/relationships/hyperlink" Target="https://pazarlamasyon.com.tr" TargetMode="External"/><Relationship Id="rId139" Type="http://schemas.openxmlformats.org/officeDocument/2006/relationships/image" Target="media/image36.png"/><Relationship Id="rId290" Type="http://schemas.openxmlformats.org/officeDocument/2006/relationships/hyperlink" Target="http://www.millennium-project.org/challenge-8/" TargetMode="External"/><Relationship Id="rId304" Type="http://schemas.openxmlformats.org/officeDocument/2006/relationships/image" Target="media/image83.png"/><Relationship Id="rId346" Type="http://schemas.openxmlformats.org/officeDocument/2006/relationships/diagramLayout" Target="diagrams/layout1.xml"/><Relationship Id="rId388" Type="http://schemas.openxmlformats.org/officeDocument/2006/relationships/hyperlink" Target="https://www.amazon.com/Louis-Cohen/e/B001IQUOZ6/ref=dp_byline_cont_book_1" TargetMode="External"/><Relationship Id="rId85" Type="http://schemas.openxmlformats.org/officeDocument/2006/relationships/hyperlink" Target="https://doi.org/10.1177/002085239806400308" TargetMode="External"/><Relationship Id="rId150" Type="http://schemas.openxmlformats.org/officeDocument/2006/relationships/hyperlink" Target="mailto:711411004@ogr.uludag.edu.tr" TargetMode="External"/><Relationship Id="rId192" Type="http://schemas.openxmlformats.org/officeDocument/2006/relationships/image" Target="media/image52.wmf"/><Relationship Id="rId206" Type="http://schemas.openxmlformats.org/officeDocument/2006/relationships/image" Target="media/image59.wmf"/><Relationship Id="rId413" Type="http://schemas.microsoft.com/office/2007/relationships/diagramDrawing" Target="diagrams/drawing4.xml"/><Relationship Id="rId248" Type="http://schemas.openxmlformats.org/officeDocument/2006/relationships/hyperlink" Target="https://foreignpolicy.com/2020/03/12/coronavirus-killing-globalization-nationalism-protectionism-trump/" TargetMode="External"/><Relationship Id="rId12" Type="http://schemas.openxmlformats.org/officeDocument/2006/relationships/image" Target="media/image1.emf"/><Relationship Id="rId108" Type="http://schemas.openxmlformats.org/officeDocument/2006/relationships/image" Target="media/image24.png"/><Relationship Id="rId315" Type="http://schemas.openxmlformats.org/officeDocument/2006/relationships/hyperlink" Target="https://covid19.saglik.gov.tr/TR-73286/maske-mesafe-ve-temizlik-simdi-tedbirde-birlik-olma-zamani.html" TargetMode="External"/><Relationship Id="rId357" Type="http://schemas.openxmlformats.org/officeDocument/2006/relationships/image" Target="media/image99.emf"/><Relationship Id="rId54" Type="http://schemas.openxmlformats.org/officeDocument/2006/relationships/hyperlink" Target="https://www.mercedes-benz.com.tr" TargetMode="External"/><Relationship Id="rId96" Type="http://schemas.openxmlformats.org/officeDocument/2006/relationships/hyperlink" Target="https://databank.worldbank.org/reports.aspx?source=worldwide-governance-indicators" TargetMode="External"/><Relationship Id="rId161" Type="http://schemas.openxmlformats.org/officeDocument/2006/relationships/chart" Target="charts/chart16.xml"/><Relationship Id="rId217" Type="http://schemas.openxmlformats.org/officeDocument/2006/relationships/image" Target="media/image65.jpeg"/><Relationship Id="rId399" Type="http://schemas.openxmlformats.org/officeDocument/2006/relationships/hyperlink" Target="https://orcid.org/0000-0001-7162-8397" TargetMode="External"/><Relationship Id="rId259" Type="http://schemas.openxmlformats.org/officeDocument/2006/relationships/hyperlink" Target="https://data.worldbank.org/indicator/NE.EXP.GNFS.KD" TargetMode="External"/><Relationship Id="rId424" Type="http://schemas.openxmlformats.org/officeDocument/2006/relationships/hyperlink" Target="mailto:ozdemir.soner@gmail.com" TargetMode="External"/><Relationship Id="rId23" Type="http://schemas.openxmlformats.org/officeDocument/2006/relationships/hyperlink" Target="mailto:aytacferhunde@gmail.com" TargetMode="External"/><Relationship Id="rId119" Type="http://schemas.openxmlformats.org/officeDocument/2006/relationships/hyperlink" Target="https://orcid.org/0000-0002-5455-8902" TargetMode="External"/><Relationship Id="rId270" Type="http://schemas.openxmlformats.org/officeDocument/2006/relationships/chart" Target="charts/chart29.xml"/><Relationship Id="rId326" Type="http://schemas.openxmlformats.org/officeDocument/2006/relationships/image" Target="media/image89.jpeg"/><Relationship Id="rId65" Type="http://schemas.openxmlformats.org/officeDocument/2006/relationships/hyperlink" Target="https://www.turkiyegazetesi.com.tr/editorunsectikleri/405825.aspx" TargetMode="External"/><Relationship Id="rId130" Type="http://schemas.openxmlformats.org/officeDocument/2006/relationships/hyperlink" Target="https://assets.kpmg/content/dam/kpmg/tr/pdf/2020/04/covid19-finansal-raporlama-uzerindeki-potansiyel-etkileri.pdf" TargetMode="External"/><Relationship Id="rId368" Type="http://schemas.openxmlformats.org/officeDocument/2006/relationships/image" Target="media/image110.png"/><Relationship Id="rId172" Type="http://schemas.openxmlformats.org/officeDocument/2006/relationships/hyperlink" Target="https://iz.tuik.gov.tr/" TargetMode="External"/><Relationship Id="rId228" Type="http://schemas.openxmlformats.org/officeDocument/2006/relationships/image" Target="media/image69.jpeg"/><Relationship Id="rId435" Type="http://schemas.openxmlformats.org/officeDocument/2006/relationships/hyperlink" Target="http://www.tccb.gov.tr" TargetMode="External"/><Relationship Id="rId281" Type="http://schemas.openxmlformats.org/officeDocument/2006/relationships/hyperlink" Target="https://www.oecd.org/sti/msti.htm" TargetMode="External"/><Relationship Id="rId337" Type="http://schemas.openxmlformats.org/officeDocument/2006/relationships/image" Target="media/image96.png"/><Relationship Id="rId34" Type="http://schemas.openxmlformats.org/officeDocument/2006/relationships/hyperlink" Target="https://cmom.org/" TargetMode="External"/><Relationship Id="rId76" Type="http://schemas.openxmlformats.org/officeDocument/2006/relationships/header" Target="header1.xml"/><Relationship Id="rId141" Type="http://schemas.openxmlformats.org/officeDocument/2006/relationships/image" Target="media/image38.png"/><Relationship Id="rId379" Type="http://schemas.openxmlformats.org/officeDocument/2006/relationships/hyperlink" Target="https://psycnet.apa.org/doi/10.1037/0022-0663.90.3.448" TargetMode="External"/><Relationship Id="rId7" Type="http://schemas.openxmlformats.org/officeDocument/2006/relationships/endnotes" Target="endnotes.xml"/><Relationship Id="rId183" Type="http://schemas.openxmlformats.org/officeDocument/2006/relationships/oleObject" Target="embeddings/oleObject4.bin"/><Relationship Id="rId239" Type="http://schemas.openxmlformats.org/officeDocument/2006/relationships/hyperlink" Target="https://www.foreignaffairs.com/articles/2020-03-16/will-coronavirus-end-globalization-we-know-it" TargetMode="External"/><Relationship Id="rId390" Type="http://schemas.openxmlformats.org/officeDocument/2006/relationships/hyperlink" Target="https://www.amazon.com/Keith-Morrison/e/B08CR5FXQM/ref=dp_byline_cont_book_3" TargetMode="External"/><Relationship Id="rId404" Type="http://schemas.openxmlformats.org/officeDocument/2006/relationships/diagramData" Target="diagrams/data3.xml"/><Relationship Id="rId250" Type="http://schemas.openxmlformats.org/officeDocument/2006/relationships/hyperlink" Target="https://www.thearticle.com/covid-19-and-the-return-of-the-nation-state" TargetMode="External"/><Relationship Id="rId292" Type="http://schemas.openxmlformats.org/officeDocument/2006/relationships/hyperlink" Target="http://tadqiqot.uz/wp-content/uploads/2018/08/falsafa/falsafa-" TargetMode="External"/><Relationship Id="rId306" Type="http://schemas.openxmlformats.org/officeDocument/2006/relationships/image" Target="media/image84.png"/><Relationship Id="rId45" Type="http://schemas.openxmlformats.org/officeDocument/2006/relationships/hyperlink" Target="https://kfcturkiye.com.tr" TargetMode="External"/><Relationship Id="rId87" Type="http://schemas.openxmlformats.org/officeDocument/2006/relationships/hyperlink" Target="https://globeproject.com/results/countries/GBR?menu=list" TargetMode="External"/><Relationship Id="rId110" Type="http://schemas.openxmlformats.org/officeDocument/2006/relationships/image" Target="media/image26.png"/><Relationship Id="rId348" Type="http://schemas.openxmlformats.org/officeDocument/2006/relationships/diagramColors" Target="diagrams/colors1.xml"/><Relationship Id="rId152" Type="http://schemas.openxmlformats.org/officeDocument/2006/relationships/hyperlink" Target="https://tuikweb.tuik.gov.tr/OncekiHBArama.do" TargetMode="External"/><Relationship Id="rId194" Type="http://schemas.openxmlformats.org/officeDocument/2006/relationships/image" Target="media/image53.wmf"/><Relationship Id="rId208" Type="http://schemas.openxmlformats.org/officeDocument/2006/relationships/image" Target="media/image60.jpeg"/><Relationship Id="rId415" Type="http://schemas.openxmlformats.org/officeDocument/2006/relationships/diagramLayout" Target="diagrams/layout5.xml"/><Relationship Id="rId261" Type="http://schemas.openxmlformats.org/officeDocument/2006/relationships/hyperlink" Target="http://dx.doi.org/10.2139/ssrn.3570142" TargetMode="External"/><Relationship Id="rId14" Type="http://schemas.openxmlformats.org/officeDocument/2006/relationships/hyperlink" Target="https://www.who.int/director-general/speeches/detail/who-director-general-s-opening-remarks-at-the-media-briefing-on-covid-19---11-march-2020" TargetMode="External"/><Relationship Id="rId56" Type="http://schemas.openxmlformats.org/officeDocument/2006/relationships/hyperlink" Target="https://pazarlamasyon.com.tr" TargetMode="External"/><Relationship Id="rId317" Type="http://schemas.openxmlformats.org/officeDocument/2006/relationships/hyperlink" Target="https://tuikweb.tuik.gov.tr/PreHaberBultenleri.do?id=33679" TargetMode="External"/><Relationship Id="rId359" Type="http://schemas.openxmlformats.org/officeDocument/2006/relationships/image" Target="media/image101.emf"/><Relationship Id="rId98" Type="http://schemas.openxmlformats.org/officeDocument/2006/relationships/hyperlink" Target="mailto:guvenmeral@ybu.edu.tr" TargetMode="External"/><Relationship Id="rId121" Type="http://schemas.openxmlformats.org/officeDocument/2006/relationships/hyperlink" Target="mailto:mukaddes.yilmaz@dpu.edu.tr" TargetMode="External"/><Relationship Id="rId163" Type="http://schemas.openxmlformats.org/officeDocument/2006/relationships/chart" Target="charts/chart18.xml"/><Relationship Id="rId219" Type="http://schemas.openxmlformats.org/officeDocument/2006/relationships/hyperlink" Target="mailto:incisesliokuyucu@sdu.edu.tr" TargetMode="External"/><Relationship Id="rId370" Type="http://schemas.openxmlformats.org/officeDocument/2006/relationships/image" Target="media/image112.png"/><Relationship Id="rId426" Type="http://schemas.openxmlformats.org/officeDocument/2006/relationships/hyperlink" Target="http://www.sciencedirect.com" TargetMode="External"/><Relationship Id="rId230" Type="http://schemas.openxmlformats.org/officeDocument/2006/relationships/image" Target="media/image71.jpeg"/><Relationship Id="rId25" Type="http://schemas.openxmlformats.org/officeDocument/2006/relationships/hyperlink" Target="http://www.findachildrensmuseum.org/at-home/" TargetMode="External"/><Relationship Id="rId67" Type="http://schemas.openxmlformats.org/officeDocument/2006/relationships/hyperlink" Target="https://www.audi.com.tr/tr/web/tr.html" TargetMode="External"/><Relationship Id="rId272" Type="http://schemas.openxmlformats.org/officeDocument/2006/relationships/chart" Target="charts/chart31.xml"/><Relationship Id="rId328" Type="http://schemas.openxmlformats.org/officeDocument/2006/relationships/image" Target="media/image91.jpeg"/><Relationship Id="rId132" Type="http://schemas.openxmlformats.org/officeDocument/2006/relationships/image" Target="media/image35.png"/><Relationship Id="rId174" Type="http://schemas.openxmlformats.org/officeDocument/2006/relationships/hyperlink" Target="https://biruni.tuik.gov.tr/medas/?kn=67&amp;locale=tr" TargetMode="External"/><Relationship Id="rId381" Type="http://schemas.openxmlformats.org/officeDocument/2006/relationships/hyperlink" Target="https://doi.org/10.1177/002246698802200202" TargetMode="External"/><Relationship Id="rId241" Type="http://schemas.openxmlformats.org/officeDocument/2006/relationships/hyperlink" Target="https://www.ft.com/content/d99fa0e9-2046-4587-b886-7d42252b6fc9" TargetMode="External"/><Relationship Id="rId437" Type="http://schemas.openxmlformats.org/officeDocument/2006/relationships/hyperlink" Target="https://covid19bilgi.saglik.gov.tr/depo/rehberler/COVID-19_Rehberi.pdf" TargetMode="External"/><Relationship Id="rId36" Type="http://schemas.openxmlformats.org/officeDocument/2006/relationships/hyperlink" Target="mailto:elifkara@ksu.edu.tr" TargetMode="External"/><Relationship Id="rId283" Type="http://schemas.openxmlformats.org/officeDocument/2006/relationships/hyperlink" Target="http://www.tgbd.org.tr/WebContent/WebContent/4710" TargetMode="External"/><Relationship Id="rId339" Type="http://schemas.openxmlformats.org/officeDocument/2006/relationships/hyperlink" Target="http://www.GrowingScience.com/ac/ac.html" TargetMode="External"/><Relationship Id="rId78" Type="http://schemas.openxmlformats.org/officeDocument/2006/relationships/chart" Target="charts/chart2.xml"/><Relationship Id="rId101" Type="http://schemas.openxmlformats.org/officeDocument/2006/relationships/image" Target="media/image17.png"/><Relationship Id="rId143" Type="http://schemas.openxmlformats.org/officeDocument/2006/relationships/image" Target="media/image40.png"/><Relationship Id="rId185" Type="http://schemas.openxmlformats.org/officeDocument/2006/relationships/oleObject" Target="embeddings/oleObject5.bin"/><Relationship Id="rId350" Type="http://schemas.openxmlformats.org/officeDocument/2006/relationships/diagramData" Target="diagrams/data2.xml"/><Relationship Id="rId406" Type="http://schemas.openxmlformats.org/officeDocument/2006/relationships/diagramQuickStyle" Target="diagrams/quickStyle3.xml"/><Relationship Id="rId9" Type="http://schemas.openxmlformats.org/officeDocument/2006/relationships/hyperlink" Target="http://www.tcmb.gov.tr" TargetMode="External"/><Relationship Id="rId210" Type="http://schemas.openxmlformats.org/officeDocument/2006/relationships/image" Target="media/image62.wmf"/><Relationship Id="rId392" Type="http://schemas.openxmlformats.org/officeDocument/2006/relationships/hyperlink" Target="https://www.verywellmind.com/howard-gardner-biography-2795511" TargetMode="External"/><Relationship Id="rId252" Type="http://schemas.openxmlformats.org/officeDocument/2006/relationships/hyperlink" Target="https://www.project-syndicate.org/commentary/will-covid19-remake-the-world-by-dani-rodrik-2020-04?barrier=accesspaylog" TargetMode="External"/><Relationship Id="rId294" Type="http://schemas.openxmlformats.org/officeDocument/2006/relationships/hyperlink" Target="http://www.grekomania.ru/articles/114-talos" TargetMode="External"/><Relationship Id="rId308" Type="http://schemas.openxmlformats.org/officeDocument/2006/relationships/image" Target="media/image85.png"/><Relationship Id="rId47" Type="http://schemas.openxmlformats.org/officeDocument/2006/relationships/image" Target="media/image9.jpeg"/><Relationship Id="rId89" Type="http://schemas.openxmlformats.org/officeDocument/2006/relationships/hyperlink" Target="https://doi.org/10.2471/BLT.14.149278" TargetMode="External"/><Relationship Id="rId112" Type="http://schemas.openxmlformats.org/officeDocument/2006/relationships/image" Target="media/image28.png"/><Relationship Id="rId154" Type="http://schemas.openxmlformats.org/officeDocument/2006/relationships/chart" Target="charts/chart9.xml"/><Relationship Id="rId361" Type="http://schemas.openxmlformats.org/officeDocument/2006/relationships/image" Target="media/image103.emf"/><Relationship Id="rId196" Type="http://schemas.openxmlformats.org/officeDocument/2006/relationships/image" Target="media/image54.wmf"/><Relationship Id="rId417" Type="http://schemas.openxmlformats.org/officeDocument/2006/relationships/diagramColors" Target="diagrams/colors5.xml"/><Relationship Id="rId16" Type="http://schemas.openxmlformats.org/officeDocument/2006/relationships/hyperlink" Target="mailto:elifkara@ksu.edu.tr" TargetMode="External"/><Relationship Id="rId221" Type="http://schemas.openxmlformats.org/officeDocument/2006/relationships/chart" Target="charts/chart24.xml"/><Relationship Id="rId263" Type="http://schemas.openxmlformats.org/officeDocument/2006/relationships/hyperlink" Target="https://orcid.org/0000-0002-6251-8214" TargetMode="External"/><Relationship Id="rId319" Type="http://schemas.openxmlformats.org/officeDocument/2006/relationships/hyperlink" Target="https://data.tuik.gov.tr/Bulten/Index?p=Hanehalki-Bilisim-Teknolojileri-(BT)-Kullanim-Arastirmasi-2020-33679" TargetMode="External"/><Relationship Id="rId58" Type="http://schemas.openxmlformats.org/officeDocument/2006/relationships/hyperlink" Target="https://www.google.com.tr" TargetMode="External"/><Relationship Id="rId123" Type="http://schemas.openxmlformats.org/officeDocument/2006/relationships/hyperlink" Target="https://kgk.gov.tr/Portalv2Uploads/files/Duyurular/v2/TMS/TMS_2020/TMS%201.pdf" TargetMode="External"/><Relationship Id="rId330" Type="http://schemas.openxmlformats.org/officeDocument/2006/relationships/image" Target="media/image93.jpeg"/><Relationship Id="rId165" Type="http://schemas.openxmlformats.org/officeDocument/2006/relationships/chart" Target="charts/chart20.xml"/><Relationship Id="rId372" Type="http://schemas.openxmlformats.org/officeDocument/2006/relationships/image" Target="media/image114.png"/><Relationship Id="rId428" Type="http://schemas.openxmlformats.org/officeDocument/2006/relationships/hyperlink" Target="https://covid19.saglik.gov.tr/" TargetMode="External"/><Relationship Id="rId232" Type="http://schemas.openxmlformats.org/officeDocument/2006/relationships/hyperlink" Target="mailto:ocengiz@cu.edu.tr" TargetMode="External"/><Relationship Id="rId274" Type="http://schemas.openxmlformats.org/officeDocument/2006/relationships/hyperlink" Target="https://news.google.com/covid19/map?hl=tr&amp;mid=%2Fm%2F01znc_&amp;gl=TR&amp;ceid=TR%3Atr" TargetMode="External"/><Relationship Id="rId27" Type="http://schemas.openxmlformats.org/officeDocument/2006/relationships/hyperlink" Target="http://www.findachildrensmuseum.org/about/" TargetMode="External"/><Relationship Id="rId69" Type="http://schemas.openxmlformats.org/officeDocument/2006/relationships/hyperlink" Target="https://www.audi.com.tr/tr/web/tr.html" TargetMode="External"/><Relationship Id="rId134" Type="http://schemas.openxmlformats.org/officeDocument/2006/relationships/hyperlink" Target="https://www.medicalpark.com.tr/coronavirus/hg-2287" TargetMode="External"/><Relationship Id="rId80" Type="http://schemas.openxmlformats.org/officeDocument/2006/relationships/chart" Target="charts/chart4.xml"/><Relationship Id="rId176" Type="http://schemas.openxmlformats.org/officeDocument/2006/relationships/hyperlink" Target="https://tuikweb.tuik.gov.tr/HbPrint.do?id=33799" TargetMode="External"/><Relationship Id="rId341" Type="http://schemas.openxmlformats.org/officeDocument/2006/relationships/hyperlink" Target="https://www.researchgate.net/publication/348114505" TargetMode="External"/><Relationship Id="rId383" Type="http://schemas.openxmlformats.org/officeDocument/2006/relationships/hyperlink" Target="mailto:sevcan.topcu@ege.edu.tr" TargetMode="External"/><Relationship Id="rId439" Type="http://schemas.openxmlformats.org/officeDocument/2006/relationships/hyperlink" Target="http://www.tdk.gov.tr/icerik/basindan/dilimize-bulasanlar" TargetMode="External"/><Relationship Id="rId201" Type="http://schemas.openxmlformats.org/officeDocument/2006/relationships/oleObject" Target="embeddings/oleObject13.bin"/><Relationship Id="rId243" Type="http://schemas.openxmlformats.org/officeDocument/2006/relationships/hyperlink" Target="https://doi.org/10.1007/s11558-019-09344-2" TargetMode="External"/><Relationship Id="rId285" Type="http://schemas.openxmlformats.org/officeDocument/2006/relationships/hyperlink" Target="https://btgm.sanayi.gov.tr" TargetMode="External"/><Relationship Id="rId38" Type="http://schemas.openxmlformats.org/officeDocument/2006/relationships/image" Target="media/image4.jpeg"/><Relationship Id="rId103" Type="http://schemas.openxmlformats.org/officeDocument/2006/relationships/image" Target="media/image19.png"/><Relationship Id="rId310" Type="http://schemas.openxmlformats.org/officeDocument/2006/relationships/hyperlink" Target="https://data.tuik.gov.tr/Bulten/Index?p=Hanehalki-Bilisim-%20%20%20%20%20Teknolojileri-(BT)-Kullanim-Arastirmasi-2020-33679" TargetMode="External"/><Relationship Id="rId91" Type="http://schemas.openxmlformats.org/officeDocument/2006/relationships/hyperlink" Target="https://www.oecd-ilibrary.org/governance/government-at-a-glance-2009_9789264075061-en" TargetMode="External"/><Relationship Id="rId145" Type="http://schemas.openxmlformats.org/officeDocument/2006/relationships/image" Target="media/image42.png"/><Relationship Id="rId187" Type="http://schemas.openxmlformats.org/officeDocument/2006/relationships/oleObject" Target="embeddings/oleObject6.bin"/><Relationship Id="rId352" Type="http://schemas.openxmlformats.org/officeDocument/2006/relationships/diagramQuickStyle" Target="diagrams/quickStyle2.xml"/><Relationship Id="rId394" Type="http://schemas.openxmlformats.org/officeDocument/2006/relationships/hyperlink" Target="https://www.amazon.com/Lawrence-Manion/e/B06WRNCFFZ/ref=dp_byline_cont_book_2" TargetMode="External"/><Relationship Id="rId408" Type="http://schemas.microsoft.com/office/2007/relationships/diagramDrawing" Target="diagrams/drawing3.xml"/><Relationship Id="rId212" Type="http://schemas.openxmlformats.org/officeDocument/2006/relationships/image" Target="media/image63.wmf"/><Relationship Id="rId254" Type="http://schemas.openxmlformats.org/officeDocument/2006/relationships/hyperlink" Target="https://www.socialeurope.eu/plagued-by-trumpism" TargetMode="External"/><Relationship Id="rId49" Type="http://schemas.openxmlformats.org/officeDocument/2006/relationships/image" Target="media/image10.emf"/><Relationship Id="rId114" Type="http://schemas.openxmlformats.org/officeDocument/2006/relationships/image" Target="media/image30.png"/><Relationship Id="rId296" Type="http://schemas.openxmlformats.org/officeDocument/2006/relationships/hyperlink" Target="https://tureng.com/tr/turkce-ingilizce/turkish%20statistical%20institute" TargetMode="External"/><Relationship Id="rId60" Type="http://schemas.openxmlformats.org/officeDocument/2006/relationships/hyperlink" Target="https://www.google.com.tr" TargetMode="External"/><Relationship Id="rId156" Type="http://schemas.openxmlformats.org/officeDocument/2006/relationships/chart" Target="charts/chart11.xml"/><Relationship Id="rId198" Type="http://schemas.openxmlformats.org/officeDocument/2006/relationships/image" Target="media/image55.wmf"/><Relationship Id="rId321" Type="http://schemas.openxmlformats.org/officeDocument/2006/relationships/hyperlink" Target="https://www.trthaber.com/haber/ekonomi/e-ticaret-hacmi-yuzde-93-artti-558485.html" TargetMode="External"/><Relationship Id="rId363" Type="http://schemas.openxmlformats.org/officeDocument/2006/relationships/image" Target="media/image105.png"/><Relationship Id="rId419" Type="http://schemas.openxmlformats.org/officeDocument/2006/relationships/diagramData" Target="diagrams/data6.xml"/><Relationship Id="rId202" Type="http://schemas.openxmlformats.org/officeDocument/2006/relationships/image" Target="media/image57.wmf"/><Relationship Id="rId223" Type="http://schemas.openxmlformats.org/officeDocument/2006/relationships/hyperlink" Target="mailto:muaslan@gelisim.edu.tr" TargetMode="External"/><Relationship Id="rId244" Type="http://schemas.openxmlformats.org/officeDocument/2006/relationships/hyperlink" Target="https://www.politico.eu/article/virtual-summit-real-acrimony-eu-leaders-clash-over-corona-bonds/" TargetMode="External"/><Relationship Id="rId430" Type="http://schemas.openxmlformats.org/officeDocument/2006/relationships/hyperlink" Target="file:///C:\Users\SAMSUNG\Downloads\https" TargetMode="External"/><Relationship Id="rId18" Type="http://schemas.openxmlformats.org/officeDocument/2006/relationships/hyperlink" Target="https://www.tandfonline.com/doi/full/10.1080/08961530.2020.1771646" TargetMode="External"/><Relationship Id="rId39" Type="http://schemas.openxmlformats.org/officeDocument/2006/relationships/hyperlink" Target="https://www.haberturk.com/sosyal-mesafe-logolari-degistirdi-haberler-2630478-ekonomi" TargetMode="External"/><Relationship Id="rId265" Type="http://schemas.openxmlformats.org/officeDocument/2006/relationships/image" Target="media/image75.png"/><Relationship Id="rId286" Type="http://schemas.openxmlformats.org/officeDocument/2006/relationships/hyperlink" Target="https://covid19.who.int/" TargetMode="External"/><Relationship Id="rId50" Type="http://schemas.openxmlformats.org/officeDocument/2006/relationships/hyperlink" Target="https://www.audi.com.tr" TargetMode="External"/><Relationship Id="rId104" Type="http://schemas.openxmlformats.org/officeDocument/2006/relationships/image" Target="media/image20.png"/><Relationship Id="rId125" Type="http://schemas.openxmlformats.org/officeDocument/2006/relationships/hyperlink" Target="https://kgk.gov.tr/Portalv2Uploads/files/Duyurular/v2/TFRS/TFRS_2020/TFRS%2013.pdf" TargetMode="External"/><Relationship Id="rId146" Type="http://schemas.openxmlformats.org/officeDocument/2006/relationships/image" Target="media/image43.png"/><Relationship Id="rId167" Type="http://schemas.openxmlformats.org/officeDocument/2006/relationships/oleObject" Target="embeddings/oleObject2.bin"/><Relationship Id="rId188" Type="http://schemas.openxmlformats.org/officeDocument/2006/relationships/image" Target="media/image50.wmf"/><Relationship Id="rId311" Type="http://schemas.openxmlformats.org/officeDocument/2006/relationships/image" Target="media/image86.png"/><Relationship Id="rId332" Type="http://schemas.openxmlformats.org/officeDocument/2006/relationships/image" Target="media/image95.jpeg"/><Relationship Id="rId353" Type="http://schemas.openxmlformats.org/officeDocument/2006/relationships/diagramColors" Target="diagrams/colors2.xml"/><Relationship Id="rId374" Type="http://schemas.openxmlformats.org/officeDocument/2006/relationships/image" Target="media/image116.png"/><Relationship Id="rId395" Type="http://schemas.openxmlformats.org/officeDocument/2006/relationships/hyperlink" Target="https://www.amazon.com/Keith-Morrison/e/B08CR5FXQM/ref=dp_byline_cont_book_3" TargetMode="External"/><Relationship Id="rId409" Type="http://schemas.openxmlformats.org/officeDocument/2006/relationships/diagramData" Target="diagrams/data4.xml"/><Relationship Id="rId71" Type="http://schemas.openxmlformats.org/officeDocument/2006/relationships/hyperlink" Target="https://www.google.com.tr" TargetMode="External"/><Relationship Id="rId92" Type="http://schemas.openxmlformats.org/officeDocument/2006/relationships/hyperlink" Target="https://doi.org/10.1111/j.1467-923X.1994.tb00441.x" TargetMode="External"/><Relationship Id="rId213" Type="http://schemas.openxmlformats.org/officeDocument/2006/relationships/oleObject" Target="embeddings/oleObject18.bin"/><Relationship Id="rId234" Type="http://schemas.openxmlformats.org/officeDocument/2006/relationships/image" Target="media/image73.png"/><Relationship Id="rId420" Type="http://schemas.openxmlformats.org/officeDocument/2006/relationships/diagramLayout" Target="diagrams/layout6.xml"/><Relationship Id="rId2" Type="http://schemas.openxmlformats.org/officeDocument/2006/relationships/numbering" Target="numbering.xml"/><Relationship Id="rId29" Type="http://schemas.openxmlformats.org/officeDocument/2006/relationships/hyperlink" Target="https://cmom.org/" TargetMode="External"/><Relationship Id="rId255" Type="http://schemas.openxmlformats.org/officeDocument/2006/relationships/hyperlink" Target="https://edition.cnn.com/2020/09/20/economy/how-covid-changed-capitalism/index.html" TargetMode="External"/><Relationship Id="rId276" Type="http://schemas.openxmlformats.org/officeDocument/2006/relationships/hyperlink" Target="mailto:arzu.polat@hbv.edu.tr" TargetMode="External"/><Relationship Id="rId297" Type="http://schemas.openxmlformats.org/officeDocument/2006/relationships/hyperlink" Target="https://data.tuik.gov.tr/Bulten/Index?p=Hanehalki-Bilisim-Teknolojileri-(BT)-Kullanim-Arastirmasi-2020-33679" TargetMode="External"/><Relationship Id="rId441" Type="http://schemas.openxmlformats.org/officeDocument/2006/relationships/hyperlink" Target="https://www.yok.gov.tr/Sayfalar/Haberler/2020/" TargetMode="External"/><Relationship Id="rId40" Type="http://schemas.openxmlformats.org/officeDocument/2006/relationships/image" Target="media/image5.emf"/><Relationship Id="rId115" Type="http://schemas.openxmlformats.org/officeDocument/2006/relationships/image" Target="media/image31.png"/><Relationship Id="rId136" Type="http://schemas.openxmlformats.org/officeDocument/2006/relationships/hyperlink" Target="https://www.cdc.gov/coronavirus/2019-ncov/dailylife-coping/food-and-COVID-19.html" TargetMode="External"/><Relationship Id="rId157" Type="http://schemas.openxmlformats.org/officeDocument/2006/relationships/chart" Target="charts/chart12.xml"/><Relationship Id="rId178" Type="http://schemas.openxmlformats.org/officeDocument/2006/relationships/hyperlink" Target="https://tuikweb.tuik.gov.tr/HbPrint.do?id=33801" TargetMode="External"/><Relationship Id="rId301" Type="http://schemas.openxmlformats.org/officeDocument/2006/relationships/hyperlink" Target="https://www.eticaret.gov.tr/istatistikler" TargetMode="External"/><Relationship Id="rId322" Type="http://schemas.openxmlformats.org/officeDocument/2006/relationships/hyperlink" Target="https://www.wto.org/english/tratop_e/covid19_e/ecommerce_report_e.pdf" TargetMode="External"/><Relationship Id="rId343" Type="http://schemas.openxmlformats.org/officeDocument/2006/relationships/hyperlink" Target="mailto:mergun@omu.edu.tr" TargetMode="External"/><Relationship Id="rId364" Type="http://schemas.openxmlformats.org/officeDocument/2006/relationships/image" Target="media/image106.emf"/><Relationship Id="rId61" Type="http://schemas.openxmlformats.org/officeDocument/2006/relationships/hyperlink" Target="https://iprgezgini.org/2020/04/24/marka-dunyasinin-covid-19-salginina-tepkisi-sosyal-mesafe-%20logolari/" TargetMode="External"/><Relationship Id="rId82" Type="http://schemas.openxmlformats.org/officeDocument/2006/relationships/chart" Target="charts/chart6.xml"/><Relationship Id="rId199" Type="http://schemas.openxmlformats.org/officeDocument/2006/relationships/oleObject" Target="embeddings/oleObject12.bin"/><Relationship Id="rId203" Type="http://schemas.openxmlformats.org/officeDocument/2006/relationships/oleObject" Target="embeddings/oleObject14.bin"/><Relationship Id="rId385" Type="http://schemas.openxmlformats.org/officeDocument/2006/relationships/hyperlink" Target="mailto:kilcantu&#287;ba@gmail.com" TargetMode="External"/><Relationship Id="rId19" Type="http://schemas.openxmlformats.org/officeDocument/2006/relationships/hyperlink" Target="https://www.nielsen.com/us/en/insights/article/2020/key-consumer-behavior-thresholds-identified-as-the-coronavirus-outbreak-evolves/?utm_source=sfmc&amp;utm_medium=email&amp;utm_campaign=newswire&amp;utm_content=3-18-2020" TargetMode="External"/><Relationship Id="rId224" Type="http://schemas.openxmlformats.org/officeDocument/2006/relationships/image" Target="media/image66.png"/><Relationship Id="rId245" Type="http://schemas.openxmlformats.org/officeDocument/2006/relationships/hyperlink" Target="https://www.theguardian.com/commentisfree/2020/mar/08/the-coronavirus-outbreak-shows-us-that-no-one-can-take-on-this-enemy-alone" TargetMode="External"/><Relationship Id="rId266" Type="http://schemas.openxmlformats.org/officeDocument/2006/relationships/chart" Target="charts/chart27.xml"/><Relationship Id="rId287" Type="http://schemas.openxmlformats.org/officeDocument/2006/relationships/hyperlink" Target="mailto:xatire_6262@mail.ru" TargetMode="External"/><Relationship Id="rId410" Type="http://schemas.openxmlformats.org/officeDocument/2006/relationships/diagramLayout" Target="diagrams/layout4.xml"/><Relationship Id="rId431" Type="http://schemas.openxmlformats.org/officeDocument/2006/relationships/hyperlink" Target="https://covid19.saglik.gov.tr/" TargetMode="External"/><Relationship Id="rId30" Type="http://schemas.openxmlformats.org/officeDocument/2006/relationships/hyperlink" Target="http://www.findachildrensmuseum.org/about/" TargetMode="External"/><Relationship Id="rId105" Type="http://schemas.openxmlformats.org/officeDocument/2006/relationships/image" Target="media/image21.png"/><Relationship Id="rId126" Type="http://schemas.openxmlformats.org/officeDocument/2006/relationships/hyperlink" Target="https://kgk.gov.tr/Portalv2Uploads/files/Duyurular/v2/TMS/TMS_2020/TMS%201.pdf" TargetMode="External"/><Relationship Id="rId147" Type="http://schemas.openxmlformats.org/officeDocument/2006/relationships/hyperlink" Target="http://www.tsb.org.tr/" TargetMode="External"/><Relationship Id="rId168" Type="http://schemas.openxmlformats.org/officeDocument/2006/relationships/image" Target="media/image46.wmf"/><Relationship Id="rId312" Type="http://schemas.openxmlformats.org/officeDocument/2006/relationships/hyperlink" Target="https://fintechistanbul.org/2021/03/16/bkm-2021-yili-subat-ayi-verilerini-acikladi/" TargetMode="External"/><Relationship Id="rId333" Type="http://schemas.openxmlformats.org/officeDocument/2006/relationships/hyperlink" Target="http://www.balikesir.edu.tr/portal/personel/view?id=61" TargetMode="External"/><Relationship Id="rId354" Type="http://schemas.microsoft.com/office/2007/relationships/diagramDrawing" Target="diagrams/drawing2.xml"/><Relationship Id="rId51" Type="http://schemas.openxmlformats.org/officeDocument/2006/relationships/image" Target="media/image11.jpeg"/><Relationship Id="rId72" Type="http://schemas.openxmlformats.org/officeDocument/2006/relationships/hyperlink" Target="https://kfcturkiye.com/" TargetMode="External"/><Relationship Id="rId93" Type="http://schemas.openxmlformats.org/officeDocument/2006/relationships/hyperlink" Target="http://unipub.lib.unicorvinus.hu/1775/1/Schizophrenic%20Public%20Administration%20Reform%20in%20Hungary_MiklosRosta.pdf" TargetMode="External"/><Relationship Id="rId189" Type="http://schemas.openxmlformats.org/officeDocument/2006/relationships/oleObject" Target="embeddings/oleObject7.bin"/><Relationship Id="rId375" Type="http://schemas.openxmlformats.org/officeDocument/2006/relationships/image" Target="media/image117.png"/><Relationship Id="rId396" Type="http://schemas.openxmlformats.org/officeDocument/2006/relationships/hyperlink" Target="https://www.amazon.com/Louis-Cohen/e/B001IQUOZ6/ref=dp_byline_cont_book_1" TargetMode="External"/><Relationship Id="rId3" Type="http://schemas.openxmlformats.org/officeDocument/2006/relationships/styles" Target="styles.xml"/><Relationship Id="rId214" Type="http://schemas.openxmlformats.org/officeDocument/2006/relationships/image" Target="media/image64.wmf"/><Relationship Id="rId235" Type="http://schemas.openxmlformats.org/officeDocument/2006/relationships/image" Target="media/image74.png"/><Relationship Id="rId256" Type="http://schemas.openxmlformats.org/officeDocument/2006/relationships/hyperlink" Target="https://yeldane.files.wordpress.com/2020/05/covid_voyvodayeldan_v2_31mayis.pdf" TargetMode="External"/><Relationship Id="rId277" Type="http://schemas.openxmlformats.org/officeDocument/2006/relationships/hyperlink" Target="https://orcid.org/0000-0002-6251-8214" TargetMode="External"/><Relationship Id="rId298" Type="http://schemas.openxmlformats.org/officeDocument/2006/relationships/image" Target="media/image80.png"/><Relationship Id="rId400" Type="http://schemas.openxmlformats.org/officeDocument/2006/relationships/hyperlink" Target="https://orcid.org/0000-0002-4013-6004" TargetMode="External"/><Relationship Id="rId421" Type="http://schemas.openxmlformats.org/officeDocument/2006/relationships/diagramQuickStyle" Target="diagrams/quickStyle6.xml"/><Relationship Id="rId442" Type="http://schemas.openxmlformats.org/officeDocument/2006/relationships/footer" Target="footer2.xml"/><Relationship Id="rId116" Type="http://schemas.openxmlformats.org/officeDocument/2006/relationships/image" Target="media/image32.png"/><Relationship Id="rId137" Type="http://schemas.openxmlformats.org/officeDocument/2006/relationships/hyperlink" Target="https://covid19.who.int/table" TargetMode="External"/><Relationship Id="rId158" Type="http://schemas.openxmlformats.org/officeDocument/2006/relationships/chart" Target="charts/chart13.xml"/><Relationship Id="rId302" Type="http://schemas.openxmlformats.org/officeDocument/2006/relationships/image" Target="media/image82.png"/><Relationship Id="rId323" Type="http://schemas.openxmlformats.org/officeDocument/2006/relationships/hyperlink" Target="mailto:seyda.ok@hbv.edu.tr" TargetMode="External"/><Relationship Id="rId344" Type="http://schemas.openxmlformats.org/officeDocument/2006/relationships/hyperlink" Target="https://orcid.org/0000-0003-4471-6601" TargetMode="External"/><Relationship Id="rId20" Type="http://schemas.openxmlformats.org/officeDocument/2006/relationships/hyperlink" Target="http://scholar.google.com/scholar?hl=en&amp;q=Nielsen.+2020.+Key+consumer+behavior+thresholds+identified+as+the+coronavirus+outbreak+evolves.+https%3A%2F%2Fwww.nielsen.com%2Fus%2Fen%2Finsights%2Farticle%2F2020%2Fkey-consumer-behavior-thresholds-identified-as-the-coronavirus-outbreak-evolves%2F%3Futm_source%3Dsfmc%26utm_medium%3Demail%26utm_campaign%3Dnewswire%26utm_content%3D3-18-2020" TargetMode="External"/><Relationship Id="rId41" Type="http://schemas.openxmlformats.org/officeDocument/2006/relationships/hyperlink" Target="http://www.coca-cola.com.tr" TargetMode="External"/><Relationship Id="rId62" Type="http://schemas.openxmlformats.org/officeDocument/2006/relationships/hyperlink" Target="https://www.mcdonalds.com.tr/hakkimizda" TargetMode="External"/><Relationship Id="rId83" Type="http://schemas.openxmlformats.org/officeDocument/2006/relationships/chart" Target="charts/chart7.xml"/><Relationship Id="rId179" Type="http://schemas.openxmlformats.org/officeDocument/2006/relationships/hyperlink" Target="https://data.tuik.gov.tr/Bulten/GetBPdf?id=37295" TargetMode="External"/><Relationship Id="rId365" Type="http://schemas.openxmlformats.org/officeDocument/2006/relationships/image" Target="media/image107.png"/><Relationship Id="rId386" Type="http://schemas.openxmlformats.org/officeDocument/2006/relationships/hyperlink" Target="https://ejournal.unsri.ac.id/index.php/jme/" TargetMode="External"/><Relationship Id="rId190" Type="http://schemas.openxmlformats.org/officeDocument/2006/relationships/image" Target="media/image51.wmf"/><Relationship Id="rId204" Type="http://schemas.openxmlformats.org/officeDocument/2006/relationships/image" Target="media/image58.wmf"/><Relationship Id="rId225" Type="http://schemas.openxmlformats.org/officeDocument/2006/relationships/image" Target="media/image67.png"/><Relationship Id="rId246" Type="http://schemas.openxmlformats.org/officeDocument/2006/relationships/hyperlink" Target="https://www.imf.org/en/Topics/imf-and-covid19/Policy-Responses-to-COVID-19" TargetMode="External"/><Relationship Id="rId267" Type="http://schemas.openxmlformats.org/officeDocument/2006/relationships/image" Target="media/image76.png"/><Relationship Id="rId288" Type="http://schemas.openxmlformats.org/officeDocument/2006/relationships/hyperlink" Target="http://www.researchgate.net/publication/340636878_Artificial_Intelligence_AI_applications_fo" TargetMode="External"/><Relationship Id="rId411" Type="http://schemas.openxmlformats.org/officeDocument/2006/relationships/diagramQuickStyle" Target="diagrams/quickStyle4.xml"/><Relationship Id="rId432" Type="http://schemas.openxmlformats.org/officeDocument/2006/relationships/hyperlink" Target="https://tr.wikipedia.org/wiki/COVID-19_pandemisi" TargetMode="External"/><Relationship Id="rId106" Type="http://schemas.openxmlformats.org/officeDocument/2006/relationships/image" Target="media/image22.png"/><Relationship Id="rId127" Type="http://schemas.openxmlformats.org/officeDocument/2006/relationships/hyperlink" Target="https://kgk.gov.tr/Portalv2Uploads/files/Duyurular/v2/TMS/TMS_2020/TMS%2020.pdf" TargetMode="External"/><Relationship Id="rId313" Type="http://schemas.openxmlformats.org/officeDocument/2006/relationships/hyperlink" Target="https://www.inbusiness.com.tr/sektorler/enerji/2021/03/26/futurecommerce360-konferansi" TargetMode="External"/><Relationship Id="rId10" Type="http://schemas.openxmlformats.org/officeDocument/2006/relationships/hyperlink" Target="http://www.tcmb.gov.tr" TargetMode="External"/><Relationship Id="rId31" Type="http://schemas.openxmlformats.org/officeDocument/2006/relationships/hyperlink" Target="http://www.findachildrensmuseum.org/at-home/" TargetMode="External"/><Relationship Id="rId52" Type="http://schemas.openxmlformats.org/officeDocument/2006/relationships/hyperlink" Target="https://pazarlamasyon.com.tr" TargetMode="External"/><Relationship Id="rId73" Type="http://schemas.openxmlformats.org/officeDocument/2006/relationships/hyperlink" Target="mailto:dr1240201073@gmail.com" TargetMode="External"/><Relationship Id="rId94" Type="http://schemas.openxmlformats.org/officeDocument/2006/relationships/hyperlink" Target="http://hdr.undp.org/en/content/latest-human-development-index-ranking" TargetMode="External"/><Relationship Id="rId148" Type="http://schemas.openxmlformats.org/officeDocument/2006/relationships/hyperlink" Target="https://www.who.int/emergencies/diseases/novel-coronavirus-2019/interactive-timeline" TargetMode="External"/><Relationship Id="rId169" Type="http://schemas.openxmlformats.org/officeDocument/2006/relationships/oleObject" Target="embeddings/oleObject3.bin"/><Relationship Id="rId334" Type="http://schemas.openxmlformats.org/officeDocument/2006/relationships/hyperlink" Target="mailto:osmansesliokuyucu@sdu.edu.tr" TargetMode="External"/><Relationship Id="rId355" Type="http://schemas.openxmlformats.org/officeDocument/2006/relationships/image" Target="media/image97.png"/><Relationship Id="rId376" Type="http://schemas.openxmlformats.org/officeDocument/2006/relationships/image" Target="media/image118.png"/><Relationship Id="rId397" Type="http://schemas.openxmlformats.org/officeDocument/2006/relationships/hyperlink" Target="https://www.amazon.com/Lawrence-Manion/e/B06WRNCFFZ/ref=dp_byline_cont_book_2" TargetMode="External"/><Relationship Id="rId4" Type="http://schemas.openxmlformats.org/officeDocument/2006/relationships/settings" Target="settings.xml"/><Relationship Id="rId180" Type="http://schemas.openxmlformats.org/officeDocument/2006/relationships/hyperlink" Target="https://biruni.tuik.gov.tr/DIESS/SiniflamaSurumDetayAction.do?surumId=198&amp;turId=1&amp;turAdi=%201.%20Faaliyet%20S%C4%B1n%C4%B1flamalar%C4%B1" TargetMode="External"/><Relationship Id="rId215" Type="http://schemas.openxmlformats.org/officeDocument/2006/relationships/oleObject" Target="embeddings/oleObject19.bin"/><Relationship Id="rId236" Type="http://schemas.openxmlformats.org/officeDocument/2006/relationships/hyperlink" Target="https://www.thehindu.com/opinion/op-ed/long-live-the-nation-state/article31144772.ece" TargetMode="External"/><Relationship Id="rId257" Type="http://schemas.openxmlformats.org/officeDocument/2006/relationships/hyperlink" Target="https://covid19.who.int/" TargetMode="External"/><Relationship Id="rId278" Type="http://schemas.openxmlformats.org/officeDocument/2006/relationships/image" Target="media/image78.png"/><Relationship Id="rId401" Type="http://schemas.openxmlformats.org/officeDocument/2006/relationships/chart" Target="charts/chart33.xml"/><Relationship Id="rId422" Type="http://schemas.openxmlformats.org/officeDocument/2006/relationships/diagramColors" Target="diagrams/colors6.xml"/><Relationship Id="rId443" Type="http://schemas.openxmlformats.org/officeDocument/2006/relationships/fontTable" Target="fontTable.xml"/><Relationship Id="rId303" Type="http://schemas.openxmlformats.org/officeDocument/2006/relationships/hyperlink" Target="https://www.eticaret.gov.tr/istatistikler" TargetMode="External"/><Relationship Id="rId42" Type="http://schemas.openxmlformats.org/officeDocument/2006/relationships/image" Target="media/image6.jpeg"/><Relationship Id="rId84" Type="http://schemas.openxmlformats.org/officeDocument/2006/relationships/chart" Target="charts/chart8.xml"/><Relationship Id="rId138" Type="http://schemas.openxmlformats.org/officeDocument/2006/relationships/hyperlink" Target="https://orcid.org/0000-0002-6549-3091" TargetMode="External"/><Relationship Id="rId345" Type="http://schemas.openxmlformats.org/officeDocument/2006/relationships/diagramData" Target="diagrams/data1.xml"/><Relationship Id="rId387" Type="http://schemas.openxmlformats.org/officeDocument/2006/relationships/hyperlink" Target="https://learnenglishteens.britishcouncil.org/study-break/graded-reading/animals-city-level-1" TargetMode="External"/><Relationship Id="rId191" Type="http://schemas.openxmlformats.org/officeDocument/2006/relationships/oleObject" Target="embeddings/oleObject8.bin"/><Relationship Id="rId205" Type="http://schemas.openxmlformats.org/officeDocument/2006/relationships/oleObject" Target="embeddings/oleObject15.bin"/><Relationship Id="rId247" Type="http://schemas.openxmlformats.org/officeDocument/2006/relationships/hyperlink" Target="https://voxeu.org/article/pandemic-adds-momentum-deglobalisation-trend" TargetMode="External"/><Relationship Id="rId412" Type="http://schemas.openxmlformats.org/officeDocument/2006/relationships/diagramColors" Target="diagrams/colors4.xml"/><Relationship Id="rId107" Type="http://schemas.openxmlformats.org/officeDocument/2006/relationships/image" Target="media/image23.png"/><Relationship Id="rId289" Type="http://schemas.openxmlformats.org/officeDocument/2006/relationships/hyperlink" Target="http://www.ancientpages.com/2019/03/06/earliest-fascinating-concepts-" TargetMode="External"/><Relationship Id="rId11" Type="http://schemas.openxmlformats.org/officeDocument/2006/relationships/chart" Target="charts/chart1.xml"/><Relationship Id="rId53" Type="http://schemas.openxmlformats.org/officeDocument/2006/relationships/image" Target="media/image12.jpeg"/><Relationship Id="rId149" Type="http://schemas.openxmlformats.org/officeDocument/2006/relationships/hyperlink" Target="https://www.egm.org.tr/data-center/statistics/ips-statistics/summary-ips-data/" TargetMode="External"/><Relationship Id="rId314" Type="http://schemas.openxmlformats.org/officeDocument/2006/relationships/hyperlink" Target="https://www.ikv.org.tr/" TargetMode="External"/><Relationship Id="rId356" Type="http://schemas.openxmlformats.org/officeDocument/2006/relationships/image" Target="media/image98.png"/><Relationship Id="rId398" Type="http://schemas.openxmlformats.org/officeDocument/2006/relationships/hyperlink" Target="https://www.amazon.com/Keith-Morrison/e/B08CR5FXQM/ref=dp_byline_cont_book_3" TargetMode="External"/><Relationship Id="rId95" Type="http://schemas.openxmlformats.org/officeDocument/2006/relationships/hyperlink" Target="https://doi.org/10.1057/palgrave.jibs.8400230" TargetMode="External"/><Relationship Id="rId160" Type="http://schemas.openxmlformats.org/officeDocument/2006/relationships/chart" Target="charts/chart15.xml"/><Relationship Id="rId216" Type="http://schemas.openxmlformats.org/officeDocument/2006/relationships/chart" Target="charts/chart21.xml"/><Relationship Id="rId423" Type="http://schemas.microsoft.com/office/2007/relationships/diagramDrawing" Target="diagrams/drawing6.xml"/><Relationship Id="rId258" Type="http://schemas.openxmlformats.org/officeDocument/2006/relationships/hyperlink" Target="https://covid19.who.int/table" TargetMode="External"/><Relationship Id="rId22" Type="http://schemas.openxmlformats.org/officeDocument/2006/relationships/hyperlink" Target="https://orcid.org/0000-0001-8298-9059" TargetMode="External"/><Relationship Id="rId64" Type="http://schemas.openxmlformats.org/officeDocument/2006/relationships/hyperlink" Target="https://www.cci.com.tr/en/Media-Center/Latest-News/Our-Actions-Against-Coronavirus-COVID-19" TargetMode="External"/><Relationship Id="rId118" Type="http://schemas.openxmlformats.org/officeDocument/2006/relationships/image" Target="media/image34.png"/><Relationship Id="rId325" Type="http://schemas.openxmlformats.org/officeDocument/2006/relationships/image" Target="media/image88.jpeg"/><Relationship Id="rId367" Type="http://schemas.openxmlformats.org/officeDocument/2006/relationships/image" Target="media/image109.png"/><Relationship Id="rId171" Type="http://schemas.openxmlformats.org/officeDocument/2006/relationships/hyperlink" Target="https://evds2.tcmb.gov.tr/index.php?/evds/serieMarket/collapse_21/6007/DataGroup/turkish/bie_kko2/" TargetMode="External"/><Relationship Id="rId227" Type="http://schemas.openxmlformats.org/officeDocument/2006/relationships/hyperlink" Target="mailto:ece.kocak@hbv.edu.tr" TargetMode="External"/><Relationship Id="rId269" Type="http://schemas.openxmlformats.org/officeDocument/2006/relationships/chart" Target="charts/chart28.xml"/><Relationship Id="rId434" Type="http://schemas.openxmlformats.org/officeDocument/2006/relationships/hyperlink" Target="http://www.tdk.gov.tr" TargetMode="External"/><Relationship Id="rId33" Type="http://schemas.openxmlformats.org/officeDocument/2006/relationships/hyperlink" Target="https://icom.museum/wp-content/uploads/2020/05/Report-Museums-and-COVID-19.pdf" TargetMode="External"/><Relationship Id="rId129" Type="http://schemas.openxmlformats.org/officeDocument/2006/relationships/hyperlink" Target="https://www.kap.org.tr/tr/" TargetMode="External"/><Relationship Id="rId280" Type="http://schemas.openxmlformats.org/officeDocument/2006/relationships/hyperlink" Target="https://www.iasp.ws/activities/news/calling-for-new-data-on-the-global-science-park-industry" TargetMode="External"/><Relationship Id="rId336" Type="http://schemas.openxmlformats.org/officeDocument/2006/relationships/hyperlink" Target="https://orcid.org/0000-0002-4646-8640" TargetMode="External"/><Relationship Id="rId75" Type="http://schemas.openxmlformats.org/officeDocument/2006/relationships/hyperlink" Target="mailto:elifgenc@hitit.edu.tr" TargetMode="External"/><Relationship Id="rId140" Type="http://schemas.openxmlformats.org/officeDocument/2006/relationships/image" Target="media/image37.png"/><Relationship Id="rId182" Type="http://schemas.openxmlformats.org/officeDocument/2006/relationships/image" Target="media/image47.wmf"/><Relationship Id="rId378" Type="http://schemas.openxmlformats.org/officeDocument/2006/relationships/hyperlink" Target="mailto:ozgulbulbul@gmail.com" TargetMode="External"/><Relationship Id="rId403" Type="http://schemas.openxmlformats.org/officeDocument/2006/relationships/hyperlink" Target="https://www.who.int/director-general/speeches/detail/who-director-general-s-opening-remarks-at-the-media-briefing-on-covid-19---11-march-2020" TargetMode="External"/><Relationship Id="rId6" Type="http://schemas.openxmlformats.org/officeDocument/2006/relationships/footnotes" Target="footnotes.xml"/><Relationship Id="rId238" Type="http://schemas.openxmlformats.org/officeDocument/2006/relationships/hyperlink" Target="https://theconversation.com/coronavirus-wont-kill-globalisation-but-a-shakeup-is-inevitable-137847" TargetMode="External"/><Relationship Id="rId291" Type="http://schemas.openxmlformats.org/officeDocument/2006/relationships/hyperlink" Target="http://www.science.gov.az/news/open/13002" TargetMode="External"/><Relationship Id="rId305" Type="http://schemas.openxmlformats.org/officeDocument/2006/relationships/hyperlink" Target="https://www.eticaret.gov.tr/istatistikler" TargetMode="External"/><Relationship Id="rId347" Type="http://schemas.openxmlformats.org/officeDocument/2006/relationships/diagramQuickStyle" Target="diagrams/quickStyle1.xml"/><Relationship Id="rId44" Type="http://schemas.openxmlformats.org/officeDocument/2006/relationships/image" Target="media/image7.png"/><Relationship Id="rId86" Type="http://schemas.openxmlformats.org/officeDocument/2006/relationships/hyperlink" Target="https://doi.org/10.1111/j.0033-3298.2004.00413.x" TargetMode="External"/><Relationship Id="rId151" Type="http://schemas.openxmlformats.org/officeDocument/2006/relationships/hyperlink" Target="https://www.iso.org.tr/projeler/iso-turkiye-imalat-pmi/Subat%202021.pdf" TargetMode="External"/><Relationship Id="rId389" Type="http://schemas.openxmlformats.org/officeDocument/2006/relationships/hyperlink" Target="https://www.amazon.com/Lawrence-Manion/e/B06WRNCFFZ/ref=dp_byline_cont_book_2" TargetMode="External"/><Relationship Id="rId193" Type="http://schemas.openxmlformats.org/officeDocument/2006/relationships/oleObject" Target="embeddings/oleObject9.bin"/><Relationship Id="rId207" Type="http://schemas.openxmlformats.org/officeDocument/2006/relationships/oleObject" Target="embeddings/oleObject16.bin"/><Relationship Id="rId249" Type="http://schemas.openxmlformats.org/officeDocument/2006/relationships/hyperlink" Target="https://foreignpolicy.com/2020/03/20/world-order-after-coroanvirus-pandemic/?fbclid=IwAR2pa01f65Rc8oyZoMmHPh2amiD_kRiqiO0qJS46APJFUqBc0vB-3UuMWOE" TargetMode="External"/><Relationship Id="rId414" Type="http://schemas.openxmlformats.org/officeDocument/2006/relationships/diagramData" Target="diagrams/data5.xml"/><Relationship Id="rId13" Type="http://schemas.openxmlformats.org/officeDocument/2006/relationships/oleObject" Target="embeddings/oleObject1.bin"/><Relationship Id="rId109" Type="http://schemas.openxmlformats.org/officeDocument/2006/relationships/image" Target="media/image25.png"/><Relationship Id="rId260" Type="http://schemas.openxmlformats.org/officeDocument/2006/relationships/hyperlink" Target="https://www.wto.org/english/tratop_e/covid19_e/medical_goods_update_e.pdf" TargetMode="External"/><Relationship Id="rId316" Type="http://schemas.openxmlformats.org/officeDocument/2006/relationships/hyperlink" Target="https://data.tuik.gov.tr/Bulten/Index?p=Hanehalki-Bilisim-Teknolojileri-(BT)-Kullanim-Arastirmasi-2020-33679" TargetMode="External"/><Relationship Id="rId55" Type="http://schemas.openxmlformats.org/officeDocument/2006/relationships/image" Target="media/image13.jpeg"/><Relationship Id="rId97" Type="http://schemas.openxmlformats.org/officeDocument/2006/relationships/hyperlink" Target="https://covid19.who.int/" TargetMode="External"/><Relationship Id="rId120" Type="http://schemas.openxmlformats.org/officeDocument/2006/relationships/hyperlink" Target="https://orcid.org/0000-0002-4281-1501" TargetMode="External"/><Relationship Id="rId358" Type="http://schemas.openxmlformats.org/officeDocument/2006/relationships/image" Target="media/image100.png"/><Relationship Id="rId162" Type="http://schemas.openxmlformats.org/officeDocument/2006/relationships/chart" Target="charts/chart17.xml"/><Relationship Id="rId218" Type="http://schemas.openxmlformats.org/officeDocument/2006/relationships/chart" Target="charts/chart22.xml"/><Relationship Id="rId425" Type="http://schemas.openxmlformats.org/officeDocument/2006/relationships/hyperlink" Target="https://orcid.org/0000-0002-3818-5157" TargetMode="External"/><Relationship Id="rId271" Type="http://schemas.openxmlformats.org/officeDocument/2006/relationships/chart" Target="charts/chart30.xml"/><Relationship Id="rId24" Type="http://schemas.openxmlformats.org/officeDocument/2006/relationships/hyperlink" Target="https://orcid.org/0000-0002-5921-9432" TargetMode="External"/><Relationship Id="rId66" Type="http://schemas.openxmlformats.org/officeDocument/2006/relationships/hyperlink" Target="https://pazarlamasyon.com/coca-coladan-sosyal-mesafenin-onemini-vurgulayan-dev-pano/" TargetMode="External"/><Relationship Id="rId131" Type="http://schemas.openxmlformats.org/officeDocument/2006/relationships/hyperlink" Target="https://www.pwc.com.tr/tr/hizmetlerimiz/denetim/ufrs-raporlamasi/bultenler/finansal-raporlama-standarti-tfrs-mayis-haziran-2020.html" TargetMode="External"/><Relationship Id="rId327" Type="http://schemas.openxmlformats.org/officeDocument/2006/relationships/image" Target="media/image90.jpeg"/><Relationship Id="rId369" Type="http://schemas.openxmlformats.org/officeDocument/2006/relationships/image" Target="media/image111.png"/><Relationship Id="rId173" Type="http://schemas.openxmlformats.org/officeDocument/2006/relationships/hyperlink" Target="https://biruni.tuik.gov.tr/medas/?kn=144&amp;locale=tr" TargetMode="External"/><Relationship Id="rId229" Type="http://schemas.openxmlformats.org/officeDocument/2006/relationships/image" Target="media/image70.png"/><Relationship Id="rId380" Type="http://schemas.openxmlformats.org/officeDocument/2006/relationships/hyperlink" Target="https://psycnet.apa.org/doi/10.1037/0003-066X.34.10.906" TargetMode="External"/><Relationship Id="rId436" Type="http://schemas.openxmlformats.org/officeDocument/2006/relationships/hyperlink" Target="http://www.yok.gov.tr" TargetMode="External"/><Relationship Id="rId240" Type="http://schemas.openxmlformats.org/officeDocument/2006/relationships/hyperlink" Target="https://foreignpolicy.com/2020/04/17/globalization-trade-war-after-coronavirus-pandemic/" TargetMode="External"/><Relationship Id="rId35" Type="http://schemas.openxmlformats.org/officeDocument/2006/relationships/hyperlink" Target="http://www.mmkd.org.tr/icom-alternatif-muze-tanimini-acikladi/" TargetMode="External"/><Relationship Id="rId77" Type="http://schemas.openxmlformats.org/officeDocument/2006/relationships/footer" Target="footer1.xml"/><Relationship Id="rId100" Type="http://schemas.openxmlformats.org/officeDocument/2006/relationships/image" Target="media/image16.png"/><Relationship Id="rId282" Type="http://schemas.openxmlformats.org/officeDocument/2006/relationships/hyperlink" Target="https://covid19.saglik.gov.tr/TR-66935/genel-koronavirus-tablosu.html" TargetMode="External"/><Relationship Id="rId338" Type="http://schemas.openxmlformats.org/officeDocument/2006/relationships/hyperlink" Target="mailto:abdrashwan@yahoo.com" TargetMode="External"/><Relationship Id="rId8" Type="http://schemas.openxmlformats.org/officeDocument/2006/relationships/hyperlink" Target="http://www.tcmb.gov.tr" TargetMode="External"/><Relationship Id="rId142" Type="http://schemas.openxmlformats.org/officeDocument/2006/relationships/image" Target="media/image39.png"/><Relationship Id="rId184" Type="http://schemas.openxmlformats.org/officeDocument/2006/relationships/image" Target="media/image48.wmf"/><Relationship Id="rId391" Type="http://schemas.openxmlformats.org/officeDocument/2006/relationships/hyperlink" Target="https://www.verywellmind.com/what-kind-of-intelligence-do-you-have-3867398" TargetMode="External"/><Relationship Id="rId405" Type="http://schemas.openxmlformats.org/officeDocument/2006/relationships/diagramLayout" Target="diagrams/layout3.xml"/><Relationship Id="rId251" Type="http://schemas.openxmlformats.org/officeDocument/2006/relationships/hyperlink" Target="https://nationalism-studies.sps.ed.ac.uk/2020/08/16/national-borders-and-covid-19-the-death-of-globalisation/" TargetMode="External"/><Relationship Id="rId46" Type="http://schemas.openxmlformats.org/officeDocument/2006/relationships/image" Target="media/image8.png"/><Relationship Id="rId293" Type="http://schemas.openxmlformats.org/officeDocument/2006/relationships/hyperlink" Target="http://www/" TargetMode="External"/><Relationship Id="rId307" Type="http://schemas.openxmlformats.org/officeDocument/2006/relationships/hyperlink" Target="https://www.eticaret.gov.tr/istatistikler" TargetMode="External"/><Relationship Id="rId349" Type="http://schemas.microsoft.com/office/2007/relationships/diagramDrawing" Target="diagrams/drawing1.xml"/><Relationship Id="rId88" Type="http://schemas.openxmlformats.org/officeDocument/2006/relationships/hyperlink" Target="https://doi.org/10.1111/1467-9299.00348" TargetMode="External"/><Relationship Id="rId111" Type="http://schemas.openxmlformats.org/officeDocument/2006/relationships/image" Target="media/image27.png"/><Relationship Id="rId153" Type="http://schemas.openxmlformats.org/officeDocument/2006/relationships/image" Target="media/image44.png"/><Relationship Id="rId195" Type="http://schemas.openxmlformats.org/officeDocument/2006/relationships/oleObject" Target="embeddings/oleObject10.bin"/><Relationship Id="rId209" Type="http://schemas.openxmlformats.org/officeDocument/2006/relationships/image" Target="media/image61.jpeg"/><Relationship Id="rId360" Type="http://schemas.openxmlformats.org/officeDocument/2006/relationships/image" Target="media/image102.emf"/><Relationship Id="rId416" Type="http://schemas.openxmlformats.org/officeDocument/2006/relationships/diagramQuickStyle" Target="diagrams/quickStyle5.xml"/><Relationship Id="rId220" Type="http://schemas.openxmlformats.org/officeDocument/2006/relationships/chart" Target="charts/chart23.xml"/><Relationship Id="rId15" Type="http://schemas.openxmlformats.org/officeDocument/2006/relationships/hyperlink" Target="https://www.tcmb.gov.tr/wps/wcm/connect/de00dc3f-5f0c-48a4-b4a3-47e6b2094dee/DUY2020-16.pdf?MOD=AJPERES&amp;CACHEID=ROOTWORKSPACE-de00dc3f-5f0c-48a4-b4a3-47e6b2094dee-n3Eb2UE" TargetMode="External"/><Relationship Id="rId57" Type="http://schemas.openxmlformats.org/officeDocument/2006/relationships/image" Target="media/image14.png"/><Relationship Id="rId262" Type="http://schemas.openxmlformats.org/officeDocument/2006/relationships/hyperlink" Target="mailto:arzu.polat@hbv.edu.tr" TargetMode="External"/><Relationship Id="rId318" Type="http://schemas.openxmlformats.org/officeDocument/2006/relationships/hyperlink" Target="https://data.tuik.gov.tr/Bulten/Index?p=Hanehalki-Bilisim-Teknolojileri-(BT)-Kullanim-Arastirmasi-2019-30574" TargetMode="External"/><Relationship Id="rId99" Type="http://schemas.openxmlformats.org/officeDocument/2006/relationships/hyperlink" Target="mailto:rguler@ybu.edu.tr" TargetMode="External"/><Relationship Id="rId122" Type="http://schemas.openxmlformats.org/officeDocument/2006/relationships/hyperlink" Target="https://orcid.org/0000-0003-0375-3799" TargetMode="External"/><Relationship Id="rId164" Type="http://schemas.openxmlformats.org/officeDocument/2006/relationships/chart" Target="charts/chart19.xml"/><Relationship Id="rId371" Type="http://schemas.openxmlformats.org/officeDocument/2006/relationships/image" Target="media/image113.png"/><Relationship Id="rId427" Type="http://schemas.openxmlformats.org/officeDocument/2006/relationships/hyperlink" Target="file:///C:\Users\SAMSUNG\Downloads\https" TargetMode="External"/><Relationship Id="rId26" Type="http://schemas.openxmlformats.org/officeDocument/2006/relationships/hyperlink" Target="http://www.mmkd.org.tr/icom-alternatif-muze-tanimini-acikladi/" TargetMode="External"/><Relationship Id="rId231" Type="http://schemas.openxmlformats.org/officeDocument/2006/relationships/image" Target="media/image72.jpeg"/><Relationship Id="rId273" Type="http://schemas.openxmlformats.org/officeDocument/2006/relationships/chart" Target="charts/chart32.xml"/><Relationship Id="rId329" Type="http://schemas.openxmlformats.org/officeDocument/2006/relationships/image" Target="media/image92.jpeg"/><Relationship Id="rId68" Type="http://schemas.openxmlformats.org/officeDocument/2006/relationships/hyperlink" Target="https://pazarlamasyon.com/sosyal-mesafenin-onemini-vurgulamak-icin-logosunu-degistiren-5-marka/" TargetMode="External"/><Relationship Id="rId133" Type="http://schemas.openxmlformats.org/officeDocument/2006/relationships/hyperlink" Target="https://www.medicalpark.com.tr/coronavirus/hg-2287" TargetMode="External"/><Relationship Id="rId175" Type="http://schemas.openxmlformats.org/officeDocument/2006/relationships/hyperlink" Target="https://tuikweb.tuik.gov.tr/HbPrint.do?id=33798" TargetMode="External"/><Relationship Id="rId340" Type="http://schemas.openxmlformats.org/officeDocument/2006/relationships/hyperlink" Target="https://www.aljazeera.net/news/scienceandtechnology/2020/2/4/" TargetMode="External"/><Relationship Id="rId200" Type="http://schemas.openxmlformats.org/officeDocument/2006/relationships/image" Target="media/image56.wmf"/><Relationship Id="rId382" Type="http://schemas.openxmlformats.org/officeDocument/2006/relationships/hyperlink" Target="https://doi.org/10.3109/13668250.2019.1698286" TargetMode="External"/><Relationship Id="rId438" Type="http://schemas.openxmlformats.org/officeDocument/2006/relationships/hyperlink" Target="https://en.unesco.org/covid19/educationresponse" TargetMode="External"/><Relationship Id="rId242" Type="http://schemas.openxmlformats.org/officeDocument/2006/relationships/hyperlink" Target="https://voxeu.org/article/flattening-pandemic-and-recession-curves" TargetMode="External"/><Relationship Id="rId284" Type="http://schemas.openxmlformats.org/officeDocument/2006/relationships/hyperlink" Target="http://www.istanbulproje.net/Hizmetler/11/ar-ge-merkezi-kurulmasi-ve-finansal-raporlama?gclid=EAIaIQobChMIso7Kw_KY7wIVfAIGAB0ilwWuEAAYASAAEgLLZ_D_BwE" TargetMode="External"/><Relationship Id="rId37" Type="http://schemas.openxmlformats.org/officeDocument/2006/relationships/image" Target="media/image3.emf"/><Relationship Id="rId79" Type="http://schemas.openxmlformats.org/officeDocument/2006/relationships/chart" Target="charts/chart3.xml"/><Relationship Id="rId102" Type="http://schemas.openxmlformats.org/officeDocument/2006/relationships/image" Target="media/image18.png"/><Relationship Id="rId144" Type="http://schemas.openxmlformats.org/officeDocument/2006/relationships/image" Target="media/image41.png"/><Relationship Id="rId90" Type="http://schemas.openxmlformats.org/officeDocument/2006/relationships/hyperlink" Target="Http://Www.Cpmr.Gov.Ie/Documents/Public%20service%20values.Pdf" TargetMode="External"/><Relationship Id="rId186" Type="http://schemas.openxmlformats.org/officeDocument/2006/relationships/image" Target="media/image49.wmf"/><Relationship Id="rId351" Type="http://schemas.openxmlformats.org/officeDocument/2006/relationships/diagramLayout" Target="diagrams/layout2.xml"/><Relationship Id="rId393" Type="http://schemas.openxmlformats.org/officeDocument/2006/relationships/hyperlink" Target="https://www.amazon.com/Louis-Cohen/e/B001IQUOZ6/ref=dp_byline_cont_book_1" TargetMode="External"/><Relationship Id="rId407" Type="http://schemas.openxmlformats.org/officeDocument/2006/relationships/diagramColors" Target="diagrams/colors3.xml"/><Relationship Id="rId211" Type="http://schemas.openxmlformats.org/officeDocument/2006/relationships/oleObject" Target="embeddings/oleObject17.bin"/><Relationship Id="rId253" Type="http://schemas.openxmlformats.org/officeDocument/2006/relationships/hyperlink" Target="https://mpra.ub.uni-muenchen.de/100504/" TargetMode="External"/><Relationship Id="rId295" Type="http://schemas.openxmlformats.org/officeDocument/2006/relationships/hyperlink" Target="mailto:burcu.tekin@hbv.edu.tr" TargetMode="External"/><Relationship Id="rId309" Type="http://schemas.openxmlformats.org/officeDocument/2006/relationships/hyperlink" Target="https://www.eticaret.gov.tr/istatistikler" TargetMode="External"/><Relationship Id="rId48" Type="http://schemas.openxmlformats.org/officeDocument/2006/relationships/hyperlink" Target="https://kfcturkiye.com" TargetMode="External"/><Relationship Id="rId113" Type="http://schemas.openxmlformats.org/officeDocument/2006/relationships/image" Target="media/image29.png"/><Relationship Id="rId320" Type="http://schemas.openxmlformats.org/officeDocument/2006/relationships/hyperlink" Target="https://www.eticaret.gov.tr/istatistikler" TargetMode="External"/><Relationship Id="rId155" Type="http://schemas.openxmlformats.org/officeDocument/2006/relationships/chart" Target="charts/chart10.xml"/><Relationship Id="rId197" Type="http://schemas.openxmlformats.org/officeDocument/2006/relationships/oleObject" Target="embeddings/oleObject11.bin"/><Relationship Id="rId362" Type="http://schemas.openxmlformats.org/officeDocument/2006/relationships/image" Target="media/image104.jpeg"/><Relationship Id="rId418" Type="http://schemas.microsoft.com/office/2007/relationships/diagramDrawing" Target="diagrams/drawing5.xml"/><Relationship Id="rId222" Type="http://schemas.openxmlformats.org/officeDocument/2006/relationships/chart" Target="charts/chart25.xml"/><Relationship Id="rId264" Type="http://schemas.openxmlformats.org/officeDocument/2006/relationships/hyperlink" Target="https://orcid.org/0000-0003-4434-8896" TargetMode="External"/><Relationship Id="rId17" Type="http://schemas.openxmlformats.org/officeDocument/2006/relationships/image" Target="media/image2.jpeg"/><Relationship Id="rId59" Type="http://schemas.openxmlformats.org/officeDocument/2006/relationships/image" Target="media/image15.png"/><Relationship Id="rId124" Type="http://schemas.openxmlformats.org/officeDocument/2006/relationships/hyperlink" Target="https://kgk.gov.tr/Portalv2Uploads/files/Duyurular/v2/TFRS/TFRS_2020/TFRS%209.pdf" TargetMode="External"/><Relationship Id="rId70" Type="http://schemas.openxmlformats.org/officeDocument/2006/relationships/hyperlink" Target="https://www.mercedes-benz.com.tr/passengercars.html?group=all&amp;subgroup=see-all&amp;view=BODYTYPE" TargetMode="External"/><Relationship Id="rId166" Type="http://schemas.openxmlformats.org/officeDocument/2006/relationships/image" Target="media/image45.wmf"/><Relationship Id="rId331" Type="http://schemas.openxmlformats.org/officeDocument/2006/relationships/image" Target="media/image94.jpeg"/><Relationship Id="rId373" Type="http://schemas.openxmlformats.org/officeDocument/2006/relationships/image" Target="media/image115.png"/><Relationship Id="rId429" Type="http://schemas.openxmlformats.org/officeDocument/2006/relationships/hyperlink" Target="https://covid19.saglik.gov.tr/" TargetMode="External"/><Relationship Id="rId1" Type="http://schemas.openxmlformats.org/officeDocument/2006/relationships/customXml" Target="../customXml/item1.xml"/><Relationship Id="rId233" Type="http://schemas.openxmlformats.org/officeDocument/2006/relationships/chart" Target="charts/chart26.xml"/><Relationship Id="rId440" Type="http://schemas.openxmlformats.org/officeDocument/2006/relationships/hyperlink" Target="https://tccb.gov.tr/haberler/410/119206/-normal-hayata-donusu-kademe-kademe-baslatacagiz" TargetMode="External"/><Relationship Id="rId28" Type="http://schemas.openxmlformats.org/officeDocument/2006/relationships/hyperlink" Target="https://www.brooklynkids.org/" TargetMode="External"/><Relationship Id="rId275" Type="http://schemas.openxmlformats.org/officeDocument/2006/relationships/hyperlink" Target="https://orcid.org/0000-0003-4434-8896" TargetMode="External"/><Relationship Id="rId300" Type="http://schemas.openxmlformats.org/officeDocument/2006/relationships/image" Target="media/image81.png"/><Relationship Id="rId81" Type="http://schemas.openxmlformats.org/officeDocument/2006/relationships/chart" Target="charts/chart5.xml"/><Relationship Id="rId135" Type="http://schemas.openxmlformats.org/officeDocument/2006/relationships/hyperlink" Target="https://www.fsai.ie/faq/coronavirus.html" TargetMode="External"/><Relationship Id="rId177" Type="http://schemas.openxmlformats.org/officeDocument/2006/relationships/hyperlink" Target="https://tuikweb.tuik.gov.tr/HbPrint.do?id=33800" TargetMode="External"/><Relationship Id="rId342" Type="http://schemas.openxmlformats.org/officeDocument/2006/relationships/hyperlink" Target="https://www.alarabiya.net/technology/2019/12/30" TargetMode="External"/><Relationship Id="rId384" Type="http://schemas.openxmlformats.org/officeDocument/2006/relationships/hyperlink" Target="mailto:zuhal.emlek.sert@ege.edu.tr"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covid19.who.int/" TargetMode="External"/><Relationship Id="rId2" Type="http://schemas.openxmlformats.org/officeDocument/2006/relationships/hyperlink" Target="https://globeproject.com/studies" TargetMode="External"/><Relationship Id="rId1" Type="http://schemas.openxmlformats.org/officeDocument/2006/relationships/hyperlink" Target="https://covid19.who.int/" TargetMode="External"/><Relationship Id="rId6" Type="http://schemas.openxmlformats.org/officeDocument/2006/relationships/hyperlink" Target="https://www.ankamob.com/hakkimizda/" TargetMode="External"/><Relationship Id="rId5" Type="http://schemas.openxmlformats.org/officeDocument/2006/relationships/hyperlink" Target="https://covid19.who.int/" TargetMode="External"/><Relationship Id="rId4" Type="http://schemas.openxmlformats.org/officeDocument/2006/relationships/hyperlink" Target="http://hdr.undp.org/en/content/latest-human-development-index-ranking"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_al__ma_Sayfas_.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_al__ma_Sayfas_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_al__ma_Sayfas_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_al__ma_Sayfas_11.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_al__ma_Sayfas_12.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_al__ma_Sayfas_13.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_al__ma_Sayfas_14.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_al__ma_Sayfas_15.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_al__ma_Sayfas_16.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_al__ma_Sayfas_17.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_al__ma_Sayfas_18.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_al__ma_Sayfas_1.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_al__ma_Sayfas_19.xlsx"/></Relationships>
</file>

<file path=word/charts/_rels/chart21.xml.rels><?xml version="1.0" encoding="UTF-8" standalone="yes"?>
<Relationships xmlns="http://schemas.openxmlformats.org/package/2006/relationships"><Relationship Id="rId3" Type="http://schemas.openxmlformats.org/officeDocument/2006/relationships/oleObject" Target="file:///F:\Do&#287;an_2020-makale_kitap\+12YSA%20Faizoranlar&#305;_ihtiya&#231;-ta&#351;&#305;t-konut-ISBE2021\veriler\AnalizVeri-sonu&#231;lar.xlsx" TargetMode="External"/><Relationship Id="rId2" Type="http://schemas.microsoft.com/office/2011/relationships/chartColorStyle" Target="colors10.xml"/><Relationship Id="rId1" Type="http://schemas.microsoft.com/office/2011/relationships/chartStyle" Target="style10.xml"/></Relationships>
</file>

<file path=word/charts/_rels/chart22.xml.rels><?xml version="1.0" encoding="UTF-8" standalone="yes"?>
<Relationships xmlns="http://schemas.openxmlformats.org/package/2006/relationships"><Relationship Id="rId3" Type="http://schemas.openxmlformats.org/officeDocument/2006/relationships/oleObject" Target="file:///F:\Do&#287;an_2020-makale_kitap\+12YSA%20Faizoranlar&#305;_ihtiya&#231;-ta&#351;&#305;t-konut-ISBE2021\veriler\AnalizVeri-sonu&#231;lar.xlsx" TargetMode="External"/><Relationship Id="rId2" Type="http://schemas.microsoft.com/office/2011/relationships/chartColorStyle" Target="colors11.xml"/><Relationship Id="rId1" Type="http://schemas.microsoft.com/office/2011/relationships/chartStyle" Target="style11.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LENOVO\Desktop\&#350;ikayetvar.com%20yorumlar.xlsx" TargetMode="External"/><Relationship Id="rId2" Type="http://schemas.microsoft.com/office/2011/relationships/chartColorStyle" Target="colors12.xml"/><Relationship Id="rId1" Type="http://schemas.microsoft.com/office/2011/relationships/chartStyle" Target="style12.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LENOVO\Desktop\&#350;ikayetvar.com%20yorumlar.xlsx" TargetMode="External"/><Relationship Id="rId2" Type="http://schemas.microsoft.com/office/2011/relationships/chartColorStyle" Target="colors13.xml"/><Relationship Id="rId1" Type="http://schemas.microsoft.com/office/2011/relationships/chartStyle" Target="style13.xml"/></Relationships>
</file>

<file path=word/charts/_rels/chart25.xml.rels><?xml version="1.0" encoding="UTF-8" standalone="yes"?>
<Relationships xmlns="http://schemas.openxmlformats.org/package/2006/relationships"><Relationship Id="rId3" Type="http://schemas.openxmlformats.org/officeDocument/2006/relationships/oleObject" Target="file:///C:\Users\LENOVO\Desktop\ISBE\&#350;ikayetvar.com%20yorumlar.xlsx" TargetMode="External"/><Relationship Id="rId2" Type="http://schemas.microsoft.com/office/2011/relationships/chartColorStyle" Target="colors14.xml"/><Relationship Id="rId1" Type="http://schemas.microsoft.com/office/2011/relationships/chartStyle" Target="style14.xml"/></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Excel__al__ma_Sayfas_20.xlsx"/></Relationships>
</file>

<file path=word/charts/_rels/chart27.xml.rels><?xml version="1.0" encoding="UTF-8" standalone="yes"?>
<Relationships xmlns="http://schemas.openxmlformats.org/package/2006/relationships"><Relationship Id="rId3" Type="http://schemas.openxmlformats.org/officeDocument/2006/relationships/oleObject" Target="Kitap1" TargetMode="External"/><Relationship Id="rId2" Type="http://schemas.microsoft.com/office/2011/relationships/chartColorStyle" Target="colors15.xml"/><Relationship Id="rId1" Type="http://schemas.microsoft.com/office/2011/relationships/chartStyle" Target="style15.xml"/></Relationships>
</file>

<file path=word/charts/_rels/chart28.xml.rels><?xml version="1.0" encoding="UTF-8" standalone="yes"?>
<Relationships xmlns="http://schemas.openxmlformats.org/package/2006/relationships"><Relationship Id="rId3" Type="http://schemas.openxmlformats.org/officeDocument/2006/relationships/oleObject" Target="Kitap1" TargetMode="External"/><Relationship Id="rId2" Type="http://schemas.microsoft.com/office/2011/relationships/chartColorStyle" Target="colors16.xml"/><Relationship Id="rId1" Type="http://schemas.microsoft.com/office/2011/relationships/chartStyle" Target="style16.xml"/></Relationships>
</file>

<file path=word/charts/_rels/chart29.xml.rels><?xml version="1.0" encoding="UTF-8" standalone="yes"?>
<Relationships xmlns="http://schemas.openxmlformats.org/package/2006/relationships"><Relationship Id="rId3" Type="http://schemas.openxmlformats.org/officeDocument/2006/relationships/oleObject" Target="Kitap1" TargetMode="External"/><Relationship Id="rId2" Type="http://schemas.microsoft.com/office/2011/relationships/chartColorStyle" Target="colors17.xml"/><Relationship Id="rId1" Type="http://schemas.microsoft.com/office/2011/relationships/chartStyle" Target="style17.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_al__ma_Sayfas_2.xlsx"/></Relationships>
</file>

<file path=word/charts/_rels/chart30.xml.rels><?xml version="1.0" encoding="UTF-8" standalone="yes"?>
<Relationships xmlns="http://schemas.openxmlformats.org/package/2006/relationships"><Relationship Id="rId3" Type="http://schemas.openxmlformats.org/officeDocument/2006/relationships/oleObject" Target="Kitap1" TargetMode="External"/><Relationship Id="rId2" Type="http://schemas.microsoft.com/office/2011/relationships/chartColorStyle" Target="colors18.xml"/><Relationship Id="rId1" Type="http://schemas.microsoft.com/office/2011/relationships/chartStyle" Target="style18.xml"/></Relationships>
</file>

<file path=word/charts/_rels/chart31.xml.rels><?xml version="1.0" encoding="UTF-8" standalone="yes"?>
<Relationships xmlns="http://schemas.openxmlformats.org/package/2006/relationships"><Relationship Id="rId3" Type="http://schemas.openxmlformats.org/officeDocument/2006/relationships/oleObject" Target="file:///C:\Users\arzu\Desktop\Kitap1.xlsx" TargetMode="External"/><Relationship Id="rId2" Type="http://schemas.microsoft.com/office/2011/relationships/chartColorStyle" Target="colors19.xml"/><Relationship Id="rId1" Type="http://schemas.microsoft.com/office/2011/relationships/chartStyle" Target="style19.xml"/></Relationships>
</file>

<file path=word/charts/_rels/chart32.xml.rels><?xml version="1.0" encoding="UTF-8" standalone="yes"?>
<Relationships xmlns="http://schemas.openxmlformats.org/package/2006/relationships"><Relationship Id="rId3" Type="http://schemas.openxmlformats.org/officeDocument/2006/relationships/oleObject" Target="file:///C:\Users\arzu\Desktop\Kitap1.xlsx" TargetMode="External"/><Relationship Id="rId2" Type="http://schemas.microsoft.com/office/2011/relationships/chartColorStyle" Target="colors20.xml"/><Relationship Id="rId1" Type="http://schemas.microsoft.com/office/2011/relationships/chartStyle" Target="style20.xml"/></Relationships>
</file>

<file path=word/charts/_rels/chart33.xml.rels><?xml version="1.0" encoding="UTF-8" standalone="yes"?>
<Relationships xmlns="http://schemas.openxmlformats.org/package/2006/relationships"><Relationship Id="rId1" Type="http://schemas.openxmlformats.org/officeDocument/2006/relationships/package" Target="../embeddings/Microsoft_Excel__al__ma_Sayfas_21.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_al__ma_Sayfas_3.xlsx"/></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_al__ma_Sayfas_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_al__ma_Sayfas_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_al__ma_Sayfas_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_al__ma_Sayfas_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_al__ma_Sayfas_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455760652869211"/>
          <c:y val="3.2748538011695909E-2"/>
          <c:w val="0.79508607872103421"/>
          <c:h val="0.58120034995625547"/>
        </c:manualLayout>
      </c:layout>
      <c:lineChart>
        <c:grouping val="standard"/>
        <c:varyColors val="0"/>
        <c:ser>
          <c:idx val="1"/>
          <c:order val="1"/>
          <c:tx>
            <c:strRef>
              <c:f>Sayfa1!$C$1</c:f>
              <c:strCache>
                <c:ptCount val="1"/>
                <c:pt idx="0">
                  <c:v>TFONLAMA</c:v>
                </c:pt>
              </c:strCache>
            </c:strRef>
          </c:tx>
          <c:spPr>
            <a:ln w="28575" cap="rnd">
              <a:solidFill>
                <a:schemeClr val="accent2"/>
              </a:solidFill>
              <a:round/>
            </a:ln>
            <a:effectLst/>
          </c:spPr>
          <c:marker>
            <c:symbol val="none"/>
          </c:marker>
          <c:cat>
            <c:strRef>
              <c:f>Sayfa1!$A$2:$A$175</c:f>
              <c:strCache>
                <c:ptCount val="174"/>
                <c:pt idx="0">
                  <c:v>3.11.2020</c:v>
                </c:pt>
                <c:pt idx="1">
                  <c:v>3.12.2020</c:v>
                </c:pt>
                <c:pt idx="2">
                  <c:v>3/13/2020</c:v>
                </c:pt>
                <c:pt idx="3">
                  <c:v>3/16/2020</c:v>
                </c:pt>
                <c:pt idx="4">
                  <c:v>3/17/2020</c:v>
                </c:pt>
                <c:pt idx="5">
                  <c:v>3/18/2020</c:v>
                </c:pt>
                <c:pt idx="6">
                  <c:v>3/19/2020</c:v>
                </c:pt>
                <c:pt idx="7">
                  <c:v>3/20/2020</c:v>
                </c:pt>
                <c:pt idx="8">
                  <c:v>3/23/2020</c:v>
                </c:pt>
                <c:pt idx="9">
                  <c:v>3/24/2020</c:v>
                </c:pt>
                <c:pt idx="10">
                  <c:v>3/25/2020</c:v>
                </c:pt>
                <c:pt idx="11">
                  <c:v>3/26/2020</c:v>
                </c:pt>
                <c:pt idx="12">
                  <c:v>3/27/2020</c:v>
                </c:pt>
                <c:pt idx="13">
                  <c:v>3/30/2020</c:v>
                </c:pt>
                <c:pt idx="14">
                  <c:v>3/31/2020</c:v>
                </c:pt>
                <c:pt idx="15">
                  <c:v>4.01.2020</c:v>
                </c:pt>
                <c:pt idx="16">
                  <c:v>4.02.2020</c:v>
                </c:pt>
                <c:pt idx="17">
                  <c:v>4.03.2020</c:v>
                </c:pt>
                <c:pt idx="18">
                  <c:v>4.06.2020</c:v>
                </c:pt>
                <c:pt idx="19">
                  <c:v>4.07.2020</c:v>
                </c:pt>
                <c:pt idx="20">
                  <c:v>4.08.2020</c:v>
                </c:pt>
                <c:pt idx="21">
                  <c:v>4.09.2020</c:v>
                </c:pt>
                <c:pt idx="22">
                  <c:v>4.10.2020</c:v>
                </c:pt>
                <c:pt idx="23">
                  <c:v>4/13/2020</c:v>
                </c:pt>
                <c:pt idx="24">
                  <c:v>4/14/2020</c:v>
                </c:pt>
                <c:pt idx="25">
                  <c:v>4/15/2020</c:v>
                </c:pt>
                <c:pt idx="26">
                  <c:v>4/16/2020</c:v>
                </c:pt>
                <c:pt idx="27">
                  <c:v>4/17/2020</c:v>
                </c:pt>
                <c:pt idx="28">
                  <c:v>4/20/2020</c:v>
                </c:pt>
                <c:pt idx="29">
                  <c:v>4/21/2020</c:v>
                </c:pt>
                <c:pt idx="30">
                  <c:v>4/22/2020</c:v>
                </c:pt>
                <c:pt idx="31">
                  <c:v>4/24/2020</c:v>
                </c:pt>
                <c:pt idx="32">
                  <c:v>4/27/2020</c:v>
                </c:pt>
                <c:pt idx="33">
                  <c:v>4/28/2020</c:v>
                </c:pt>
                <c:pt idx="34">
                  <c:v>4/29/2020</c:v>
                </c:pt>
                <c:pt idx="35">
                  <c:v>4/30/2020</c:v>
                </c:pt>
                <c:pt idx="36">
                  <c:v>5.04.2020</c:v>
                </c:pt>
                <c:pt idx="37">
                  <c:v>5.05.2020</c:v>
                </c:pt>
                <c:pt idx="38">
                  <c:v>5.06.2020</c:v>
                </c:pt>
                <c:pt idx="39">
                  <c:v>5.07.2020</c:v>
                </c:pt>
                <c:pt idx="40">
                  <c:v>5.08.2020</c:v>
                </c:pt>
                <c:pt idx="41">
                  <c:v>5.11.2020</c:v>
                </c:pt>
                <c:pt idx="42">
                  <c:v>5.12.2020</c:v>
                </c:pt>
                <c:pt idx="43">
                  <c:v>5/13/2020</c:v>
                </c:pt>
                <c:pt idx="44">
                  <c:v>5/14/2020</c:v>
                </c:pt>
                <c:pt idx="45">
                  <c:v>5/15/2020</c:v>
                </c:pt>
                <c:pt idx="46">
                  <c:v>5/18/2020</c:v>
                </c:pt>
                <c:pt idx="47">
                  <c:v>5/20/2020</c:v>
                </c:pt>
                <c:pt idx="48">
                  <c:v>5/21/2020</c:v>
                </c:pt>
                <c:pt idx="49">
                  <c:v>5/22/2020</c:v>
                </c:pt>
                <c:pt idx="50">
                  <c:v>5/27/2020</c:v>
                </c:pt>
                <c:pt idx="51">
                  <c:v>5/28/2020</c:v>
                </c:pt>
                <c:pt idx="52">
                  <c:v>5/29/2020</c:v>
                </c:pt>
                <c:pt idx="53">
                  <c:v>6.01.2020</c:v>
                </c:pt>
                <c:pt idx="54">
                  <c:v>6.02.2020</c:v>
                </c:pt>
                <c:pt idx="55">
                  <c:v>6.03.2020</c:v>
                </c:pt>
                <c:pt idx="56">
                  <c:v>6.04.2020</c:v>
                </c:pt>
                <c:pt idx="57">
                  <c:v>6.05.2020</c:v>
                </c:pt>
                <c:pt idx="58">
                  <c:v>6.08.2020</c:v>
                </c:pt>
                <c:pt idx="59">
                  <c:v>6.09.2020</c:v>
                </c:pt>
                <c:pt idx="60">
                  <c:v>6.10.2020</c:v>
                </c:pt>
                <c:pt idx="61">
                  <c:v>6.11.2020</c:v>
                </c:pt>
                <c:pt idx="62">
                  <c:v>6.12.2020</c:v>
                </c:pt>
                <c:pt idx="63">
                  <c:v>6/15/2020</c:v>
                </c:pt>
                <c:pt idx="64">
                  <c:v>6/16/2020</c:v>
                </c:pt>
                <c:pt idx="65">
                  <c:v>6/17/2020</c:v>
                </c:pt>
                <c:pt idx="66">
                  <c:v>6/18/2020</c:v>
                </c:pt>
                <c:pt idx="67">
                  <c:v>6/19/2020</c:v>
                </c:pt>
                <c:pt idx="68">
                  <c:v>6/22/2020</c:v>
                </c:pt>
                <c:pt idx="69">
                  <c:v>6/23/2020</c:v>
                </c:pt>
                <c:pt idx="70">
                  <c:v>6/24/2020</c:v>
                </c:pt>
                <c:pt idx="71">
                  <c:v>6/25/2020</c:v>
                </c:pt>
                <c:pt idx="72">
                  <c:v>6/26/2020</c:v>
                </c:pt>
                <c:pt idx="73">
                  <c:v>6/29/2020</c:v>
                </c:pt>
                <c:pt idx="74">
                  <c:v>6/30/2020</c:v>
                </c:pt>
                <c:pt idx="75">
                  <c:v>7.01.2020</c:v>
                </c:pt>
                <c:pt idx="76">
                  <c:v>7.02.2020</c:v>
                </c:pt>
                <c:pt idx="77">
                  <c:v>7.03.2020</c:v>
                </c:pt>
                <c:pt idx="78">
                  <c:v>7.06.2020</c:v>
                </c:pt>
                <c:pt idx="79">
                  <c:v>7.07.2020</c:v>
                </c:pt>
                <c:pt idx="80">
                  <c:v>7.08.2020</c:v>
                </c:pt>
                <c:pt idx="81">
                  <c:v>7.09.2020</c:v>
                </c:pt>
                <c:pt idx="82">
                  <c:v>7.10.2020</c:v>
                </c:pt>
                <c:pt idx="83">
                  <c:v>7/13/2020</c:v>
                </c:pt>
                <c:pt idx="84">
                  <c:v>7/14/2020</c:v>
                </c:pt>
                <c:pt idx="85">
                  <c:v>7/16/2020</c:v>
                </c:pt>
                <c:pt idx="86">
                  <c:v>7/17/2020</c:v>
                </c:pt>
                <c:pt idx="87">
                  <c:v>7/20/2020</c:v>
                </c:pt>
                <c:pt idx="88">
                  <c:v>7/21/2020</c:v>
                </c:pt>
                <c:pt idx="89">
                  <c:v>7/22/2020</c:v>
                </c:pt>
                <c:pt idx="90">
                  <c:v>7/23/2020</c:v>
                </c:pt>
                <c:pt idx="91">
                  <c:v>7/24/2020</c:v>
                </c:pt>
                <c:pt idx="92">
                  <c:v>7/27/2020</c:v>
                </c:pt>
                <c:pt idx="93">
                  <c:v>7/28/2020</c:v>
                </c:pt>
                <c:pt idx="94">
                  <c:v>7/29/2020</c:v>
                </c:pt>
                <c:pt idx="95">
                  <c:v>7/30/2020</c:v>
                </c:pt>
                <c:pt idx="96">
                  <c:v>8.04.2020</c:v>
                </c:pt>
                <c:pt idx="97">
                  <c:v>8.05.2020</c:v>
                </c:pt>
                <c:pt idx="98">
                  <c:v>8.06.2020</c:v>
                </c:pt>
                <c:pt idx="99">
                  <c:v>8.07.2020</c:v>
                </c:pt>
                <c:pt idx="100">
                  <c:v>8.10.2020</c:v>
                </c:pt>
                <c:pt idx="101">
                  <c:v>8.11.2020</c:v>
                </c:pt>
                <c:pt idx="102">
                  <c:v>8.12.2020</c:v>
                </c:pt>
                <c:pt idx="103">
                  <c:v>8/13/2020</c:v>
                </c:pt>
                <c:pt idx="104">
                  <c:v>8/14/2020</c:v>
                </c:pt>
                <c:pt idx="105">
                  <c:v>8/17/2020</c:v>
                </c:pt>
                <c:pt idx="106">
                  <c:v>8/18/2020</c:v>
                </c:pt>
                <c:pt idx="107">
                  <c:v>8/19/2020</c:v>
                </c:pt>
                <c:pt idx="108">
                  <c:v>8/20/2020</c:v>
                </c:pt>
                <c:pt idx="109">
                  <c:v>8/21/2020</c:v>
                </c:pt>
                <c:pt idx="110">
                  <c:v>8/24/2020</c:v>
                </c:pt>
                <c:pt idx="111">
                  <c:v>8/25/2020</c:v>
                </c:pt>
                <c:pt idx="112">
                  <c:v>8/26/2020</c:v>
                </c:pt>
                <c:pt idx="113">
                  <c:v>8/27/2020</c:v>
                </c:pt>
                <c:pt idx="114">
                  <c:v>8/28/2020</c:v>
                </c:pt>
                <c:pt idx="115">
                  <c:v>8/31/2020</c:v>
                </c:pt>
                <c:pt idx="116">
                  <c:v>9.01.2020</c:v>
                </c:pt>
                <c:pt idx="117">
                  <c:v>9.02.2020</c:v>
                </c:pt>
                <c:pt idx="118">
                  <c:v>9.03.2020</c:v>
                </c:pt>
                <c:pt idx="119">
                  <c:v>9.04.2020</c:v>
                </c:pt>
                <c:pt idx="120">
                  <c:v>9.07.2020</c:v>
                </c:pt>
                <c:pt idx="121">
                  <c:v>9.08.2020</c:v>
                </c:pt>
                <c:pt idx="122">
                  <c:v>9.09.2020</c:v>
                </c:pt>
                <c:pt idx="123">
                  <c:v>9.10.2020</c:v>
                </c:pt>
                <c:pt idx="124">
                  <c:v>9.11.2020</c:v>
                </c:pt>
                <c:pt idx="125">
                  <c:v>9/14/2020</c:v>
                </c:pt>
                <c:pt idx="126">
                  <c:v>9/15/2020</c:v>
                </c:pt>
                <c:pt idx="127">
                  <c:v>9/16/2020</c:v>
                </c:pt>
                <c:pt idx="128">
                  <c:v>9/17/2020</c:v>
                </c:pt>
                <c:pt idx="129">
                  <c:v>9/18/2020</c:v>
                </c:pt>
                <c:pt idx="130">
                  <c:v>9/21/2020</c:v>
                </c:pt>
                <c:pt idx="131">
                  <c:v>9/22/2020</c:v>
                </c:pt>
                <c:pt idx="132">
                  <c:v>9/23/2020</c:v>
                </c:pt>
                <c:pt idx="133">
                  <c:v>9/24/2020</c:v>
                </c:pt>
                <c:pt idx="134">
                  <c:v>9/25/2020</c:v>
                </c:pt>
                <c:pt idx="135">
                  <c:v>9/28/2020</c:v>
                </c:pt>
                <c:pt idx="136">
                  <c:v>9/29/2020</c:v>
                </c:pt>
                <c:pt idx="137">
                  <c:v>9/30/2020</c:v>
                </c:pt>
                <c:pt idx="138">
                  <c:v>10.01.2020</c:v>
                </c:pt>
                <c:pt idx="139">
                  <c:v>10.02.2020</c:v>
                </c:pt>
                <c:pt idx="140">
                  <c:v>10.05.2020</c:v>
                </c:pt>
                <c:pt idx="141">
                  <c:v>10.06.2020</c:v>
                </c:pt>
                <c:pt idx="142">
                  <c:v>10.07.2020</c:v>
                </c:pt>
                <c:pt idx="143">
                  <c:v>10.08.2020</c:v>
                </c:pt>
                <c:pt idx="144">
                  <c:v>10.09.2020</c:v>
                </c:pt>
                <c:pt idx="145">
                  <c:v>10.12.2020</c:v>
                </c:pt>
                <c:pt idx="146">
                  <c:v>10/13/2020</c:v>
                </c:pt>
                <c:pt idx="147">
                  <c:v>10/14/2020</c:v>
                </c:pt>
                <c:pt idx="148">
                  <c:v>10/15/2020</c:v>
                </c:pt>
                <c:pt idx="149">
                  <c:v>10/16/2020</c:v>
                </c:pt>
                <c:pt idx="150">
                  <c:v>10/19/2020</c:v>
                </c:pt>
                <c:pt idx="151">
                  <c:v>10/20/2020</c:v>
                </c:pt>
                <c:pt idx="152">
                  <c:v>10/21/2020</c:v>
                </c:pt>
                <c:pt idx="153">
                  <c:v>10/22/2020</c:v>
                </c:pt>
                <c:pt idx="154">
                  <c:v>10/23/2020</c:v>
                </c:pt>
                <c:pt idx="155">
                  <c:v>10/26/2020</c:v>
                </c:pt>
                <c:pt idx="156">
                  <c:v>10/27/2020</c:v>
                </c:pt>
                <c:pt idx="157">
                  <c:v>10/28/2020</c:v>
                </c:pt>
                <c:pt idx="158">
                  <c:v>10/30/2020</c:v>
                </c:pt>
                <c:pt idx="159">
                  <c:v>11.02.2020</c:v>
                </c:pt>
                <c:pt idx="160">
                  <c:v>11.03.2020</c:v>
                </c:pt>
                <c:pt idx="161">
                  <c:v>11.04.2020</c:v>
                </c:pt>
                <c:pt idx="162">
                  <c:v>11.05.2020</c:v>
                </c:pt>
                <c:pt idx="163">
                  <c:v>11.06.2020</c:v>
                </c:pt>
                <c:pt idx="164">
                  <c:v>11.09.2020</c:v>
                </c:pt>
                <c:pt idx="165">
                  <c:v>11.10.2020</c:v>
                </c:pt>
                <c:pt idx="166">
                  <c:v>11.11.2020</c:v>
                </c:pt>
                <c:pt idx="167">
                  <c:v>11.12.2020</c:v>
                </c:pt>
                <c:pt idx="168">
                  <c:v>11/13/2020</c:v>
                </c:pt>
                <c:pt idx="169">
                  <c:v>11/16/2020</c:v>
                </c:pt>
                <c:pt idx="170">
                  <c:v>11/17/2020</c:v>
                </c:pt>
                <c:pt idx="171">
                  <c:v>11/18/2020</c:v>
                </c:pt>
                <c:pt idx="172">
                  <c:v>11/19/2020</c:v>
                </c:pt>
                <c:pt idx="173">
                  <c:v>11/20/2020</c:v>
                </c:pt>
              </c:strCache>
            </c:strRef>
          </c:cat>
          <c:val>
            <c:numRef>
              <c:f>Sayfa1!$C$2:$C$175</c:f>
              <c:numCache>
                <c:formatCode>"₺"#,##0.00</c:formatCode>
                <c:ptCount val="174"/>
                <c:pt idx="0">
                  <c:v>85325</c:v>
                </c:pt>
                <c:pt idx="1">
                  <c:v>71726</c:v>
                </c:pt>
                <c:pt idx="2">
                  <c:v>87826</c:v>
                </c:pt>
                <c:pt idx="3">
                  <c:v>91826</c:v>
                </c:pt>
                <c:pt idx="4">
                  <c:v>106671</c:v>
                </c:pt>
                <c:pt idx="5">
                  <c:v>120224</c:v>
                </c:pt>
                <c:pt idx="6">
                  <c:v>118886</c:v>
                </c:pt>
                <c:pt idx="7">
                  <c:v>98667</c:v>
                </c:pt>
                <c:pt idx="8">
                  <c:v>98181</c:v>
                </c:pt>
                <c:pt idx="9">
                  <c:v>96300</c:v>
                </c:pt>
                <c:pt idx="10">
                  <c:v>97813</c:v>
                </c:pt>
                <c:pt idx="11">
                  <c:v>91740</c:v>
                </c:pt>
                <c:pt idx="12">
                  <c:v>100162.23</c:v>
                </c:pt>
                <c:pt idx="13">
                  <c:v>95547.23</c:v>
                </c:pt>
                <c:pt idx="14">
                  <c:v>97978.23</c:v>
                </c:pt>
                <c:pt idx="15">
                  <c:v>90083.23</c:v>
                </c:pt>
                <c:pt idx="16">
                  <c:v>94339.23</c:v>
                </c:pt>
                <c:pt idx="17">
                  <c:v>98814.23</c:v>
                </c:pt>
                <c:pt idx="18">
                  <c:v>105214.23</c:v>
                </c:pt>
                <c:pt idx="19">
                  <c:v>107964.23</c:v>
                </c:pt>
                <c:pt idx="20">
                  <c:v>130967.23</c:v>
                </c:pt>
                <c:pt idx="21">
                  <c:v>127319.23</c:v>
                </c:pt>
                <c:pt idx="22">
                  <c:v>118458.23</c:v>
                </c:pt>
                <c:pt idx="23">
                  <c:v>99481.23</c:v>
                </c:pt>
                <c:pt idx="24">
                  <c:v>101942.23</c:v>
                </c:pt>
                <c:pt idx="25">
                  <c:v>100000.23</c:v>
                </c:pt>
                <c:pt idx="26">
                  <c:v>115592.23</c:v>
                </c:pt>
                <c:pt idx="27">
                  <c:v>116511.23</c:v>
                </c:pt>
                <c:pt idx="28">
                  <c:v>119409.23</c:v>
                </c:pt>
                <c:pt idx="29">
                  <c:v>118987.23</c:v>
                </c:pt>
                <c:pt idx="30">
                  <c:v>126982.23</c:v>
                </c:pt>
                <c:pt idx="31">
                  <c:v>126281.23</c:v>
                </c:pt>
                <c:pt idx="32">
                  <c:v>121959</c:v>
                </c:pt>
                <c:pt idx="33">
                  <c:v>114281.23</c:v>
                </c:pt>
                <c:pt idx="34">
                  <c:v>148556.23000000001</c:v>
                </c:pt>
                <c:pt idx="35">
                  <c:v>141353.23000000001</c:v>
                </c:pt>
                <c:pt idx="36">
                  <c:v>159792.23000000001</c:v>
                </c:pt>
                <c:pt idx="37">
                  <c:v>156293.23000000001</c:v>
                </c:pt>
                <c:pt idx="38">
                  <c:v>176842.23</c:v>
                </c:pt>
                <c:pt idx="39">
                  <c:v>168720.23</c:v>
                </c:pt>
                <c:pt idx="40">
                  <c:v>175695.23</c:v>
                </c:pt>
                <c:pt idx="41">
                  <c:v>165796.23000000001</c:v>
                </c:pt>
                <c:pt idx="42">
                  <c:v>163826.23000000001</c:v>
                </c:pt>
                <c:pt idx="43">
                  <c:v>162648.23000000001</c:v>
                </c:pt>
                <c:pt idx="44">
                  <c:v>151828.23000000001</c:v>
                </c:pt>
                <c:pt idx="45">
                  <c:v>155265.23000000001</c:v>
                </c:pt>
                <c:pt idx="46">
                  <c:v>162935.23000000001</c:v>
                </c:pt>
                <c:pt idx="47">
                  <c:v>165420.23000000001</c:v>
                </c:pt>
                <c:pt idx="48">
                  <c:v>174582.23</c:v>
                </c:pt>
                <c:pt idx="49">
                  <c:v>180235.23</c:v>
                </c:pt>
                <c:pt idx="50">
                  <c:v>180331.23</c:v>
                </c:pt>
                <c:pt idx="51">
                  <c:v>180937.23</c:v>
                </c:pt>
                <c:pt idx="52">
                  <c:v>203539.23</c:v>
                </c:pt>
                <c:pt idx="53">
                  <c:v>200897.23</c:v>
                </c:pt>
                <c:pt idx="54">
                  <c:v>200369.23</c:v>
                </c:pt>
                <c:pt idx="55">
                  <c:v>196799.23</c:v>
                </c:pt>
                <c:pt idx="56">
                  <c:v>197338.23</c:v>
                </c:pt>
                <c:pt idx="57">
                  <c:v>190678.23</c:v>
                </c:pt>
                <c:pt idx="58">
                  <c:v>187263.23</c:v>
                </c:pt>
                <c:pt idx="59">
                  <c:v>181163.23</c:v>
                </c:pt>
                <c:pt idx="60">
                  <c:v>178760.23</c:v>
                </c:pt>
                <c:pt idx="61">
                  <c:v>166421.23000000001</c:v>
                </c:pt>
                <c:pt idx="62">
                  <c:v>163720.23000000001</c:v>
                </c:pt>
                <c:pt idx="63">
                  <c:v>159340.23000000001</c:v>
                </c:pt>
                <c:pt idx="64">
                  <c:v>160828.23000000001</c:v>
                </c:pt>
                <c:pt idx="65">
                  <c:v>161401.73000000001</c:v>
                </c:pt>
                <c:pt idx="66">
                  <c:v>163281.23000000001</c:v>
                </c:pt>
                <c:pt idx="67">
                  <c:v>156381.23000000001</c:v>
                </c:pt>
                <c:pt idx="68">
                  <c:v>160798.23000000001</c:v>
                </c:pt>
                <c:pt idx="69">
                  <c:v>158891.23000000001</c:v>
                </c:pt>
                <c:pt idx="70">
                  <c:v>162901.23000000001</c:v>
                </c:pt>
                <c:pt idx="71">
                  <c:v>164613</c:v>
                </c:pt>
                <c:pt idx="72">
                  <c:v>175168</c:v>
                </c:pt>
                <c:pt idx="73">
                  <c:v>185324</c:v>
                </c:pt>
                <c:pt idx="74">
                  <c:v>180124</c:v>
                </c:pt>
                <c:pt idx="75">
                  <c:v>171592</c:v>
                </c:pt>
                <c:pt idx="76">
                  <c:v>177532</c:v>
                </c:pt>
                <c:pt idx="77">
                  <c:v>171348</c:v>
                </c:pt>
                <c:pt idx="78">
                  <c:v>175612</c:v>
                </c:pt>
                <c:pt idx="79">
                  <c:v>178473</c:v>
                </c:pt>
                <c:pt idx="80">
                  <c:v>178386</c:v>
                </c:pt>
                <c:pt idx="81">
                  <c:v>176833</c:v>
                </c:pt>
                <c:pt idx="82">
                  <c:v>169646</c:v>
                </c:pt>
                <c:pt idx="83">
                  <c:v>153138</c:v>
                </c:pt>
                <c:pt idx="84">
                  <c:v>153443</c:v>
                </c:pt>
                <c:pt idx="85">
                  <c:v>144243</c:v>
                </c:pt>
                <c:pt idx="86">
                  <c:v>154459</c:v>
                </c:pt>
                <c:pt idx="87">
                  <c:v>158259</c:v>
                </c:pt>
                <c:pt idx="88">
                  <c:v>166259</c:v>
                </c:pt>
                <c:pt idx="89">
                  <c:v>175243.5</c:v>
                </c:pt>
                <c:pt idx="90">
                  <c:v>177023.5</c:v>
                </c:pt>
                <c:pt idx="91">
                  <c:v>186454</c:v>
                </c:pt>
                <c:pt idx="92">
                  <c:v>181154</c:v>
                </c:pt>
                <c:pt idx="93">
                  <c:v>212362</c:v>
                </c:pt>
                <c:pt idx="94">
                  <c:v>226328.5</c:v>
                </c:pt>
                <c:pt idx="95">
                  <c:v>242043</c:v>
                </c:pt>
                <c:pt idx="96">
                  <c:v>229048</c:v>
                </c:pt>
                <c:pt idx="97">
                  <c:v>229519.5</c:v>
                </c:pt>
                <c:pt idx="98">
                  <c:v>225124.5</c:v>
                </c:pt>
                <c:pt idx="99">
                  <c:v>229992</c:v>
                </c:pt>
                <c:pt idx="100">
                  <c:v>232127</c:v>
                </c:pt>
                <c:pt idx="101">
                  <c:v>225212</c:v>
                </c:pt>
                <c:pt idx="102">
                  <c:v>196958</c:v>
                </c:pt>
                <c:pt idx="103">
                  <c:v>181698</c:v>
                </c:pt>
                <c:pt idx="104">
                  <c:v>182339</c:v>
                </c:pt>
                <c:pt idx="105">
                  <c:v>191079</c:v>
                </c:pt>
                <c:pt idx="106">
                  <c:v>217228</c:v>
                </c:pt>
                <c:pt idx="107">
                  <c:v>208368</c:v>
                </c:pt>
                <c:pt idx="108">
                  <c:v>211926.5</c:v>
                </c:pt>
                <c:pt idx="109">
                  <c:v>222624</c:v>
                </c:pt>
                <c:pt idx="110">
                  <c:v>238777</c:v>
                </c:pt>
                <c:pt idx="111">
                  <c:v>242791</c:v>
                </c:pt>
                <c:pt idx="112">
                  <c:v>248423</c:v>
                </c:pt>
                <c:pt idx="113">
                  <c:v>270889</c:v>
                </c:pt>
                <c:pt idx="114">
                  <c:v>287601</c:v>
                </c:pt>
                <c:pt idx="115">
                  <c:v>283595</c:v>
                </c:pt>
                <c:pt idx="116">
                  <c:v>293387</c:v>
                </c:pt>
                <c:pt idx="117">
                  <c:v>295633</c:v>
                </c:pt>
                <c:pt idx="118">
                  <c:v>309640</c:v>
                </c:pt>
                <c:pt idx="119">
                  <c:v>333317</c:v>
                </c:pt>
                <c:pt idx="120">
                  <c:v>343109</c:v>
                </c:pt>
                <c:pt idx="121">
                  <c:v>332538</c:v>
                </c:pt>
                <c:pt idx="122">
                  <c:v>324433</c:v>
                </c:pt>
                <c:pt idx="123">
                  <c:v>314386</c:v>
                </c:pt>
                <c:pt idx="124">
                  <c:v>303292</c:v>
                </c:pt>
                <c:pt idx="125">
                  <c:v>305541</c:v>
                </c:pt>
                <c:pt idx="126">
                  <c:v>300698</c:v>
                </c:pt>
                <c:pt idx="127">
                  <c:v>283949</c:v>
                </c:pt>
                <c:pt idx="128">
                  <c:v>243537</c:v>
                </c:pt>
                <c:pt idx="129">
                  <c:v>254294</c:v>
                </c:pt>
                <c:pt idx="130">
                  <c:v>261526.5</c:v>
                </c:pt>
                <c:pt idx="131">
                  <c:v>259081</c:v>
                </c:pt>
                <c:pt idx="132">
                  <c:v>262022</c:v>
                </c:pt>
                <c:pt idx="133">
                  <c:v>280375</c:v>
                </c:pt>
                <c:pt idx="134">
                  <c:v>236304.5</c:v>
                </c:pt>
                <c:pt idx="135">
                  <c:v>249034</c:v>
                </c:pt>
                <c:pt idx="136">
                  <c:v>260322</c:v>
                </c:pt>
                <c:pt idx="137">
                  <c:v>251344.9</c:v>
                </c:pt>
                <c:pt idx="138">
                  <c:v>258419</c:v>
                </c:pt>
                <c:pt idx="139">
                  <c:v>262252.5</c:v>
                </c:pt>
                <c:pt idx="140">
                  <c:v>251364</c:v>
                </c:pt>
                <c:pt idx="141">
                  <c:v>250349</c:v>
                </c:pt>
                <c:pt idx="142">
                  <c:v>229087.5</c:v>
                </c:pt>
                <c:pt idx="143">
                  <c:v>231619</c:v>
                </c:pt>
                <c:pt idx="144">
                  <c:v>241277.5</c:v>
                </c:pt>
                <c:pt idx="145">
                  <c:v>241825</c:v>
                </c:pt>
                <c:pt idx="146">
                  <c:v>226360</c:v>
                </c:pt>
                <c:pt idx="147">
                  <c:v>227308</c:v>
                </c:pt>
                <c:pt idx="148">
                  <c:v>233289.5</c:v>
                </c:pt>
                <c:pt idx="149">
                  <c:v>235300</c:v>
                </c:pt>
                <c:pt idx="150">
                  <c:v>237881.5</c:v>
                </c:pt>
                <c:pt idx="151">
                  <c:v>238431.5</c:v>
                </c:pt>
                <c:pt idx="152">
                  <c:v>229501</c:v>
                </c:pt>
                <c:pt idx="153">
                  <c:v>236298.5</c:v>
                </c:pt>
                <c:pt idx="154">
                  <c:v>182998</c:v>
                </c:pt>
                <c:pt idx="155">
                  <c:v>189353.5</c:v>
                </c:pt>
                <c:pt idx="156">
                  <c:v>211173</c:v>
                </c:pt>
                <c:pt idx="157">
                  <c:v>212007</c:v>
                </c:pt>
                <c:pt idx="158">
                  <c:v>230913</c:v>
                </c:pt>
                <c:pt idx="159">
                  <c:v>231184</c:v>
                </c:pt>
                <c:pt idx="160">
                  <c:v>213776</c:v>
                </c:pt>
                <c:pt idx="161">
                  <c:v>212650</c:v>
                </c:pt>
                <c:pt idx="162">
                  <c:v>211100</c:v>
                </c:pt>
                <c:pt idx="163">
                  <c:v>201160</c:v>
                </c:pt>
                <c:pt idx="164">
                  <c:v>197510</c:v>
                </c:pt>
                <c:pt idx="165">
                  <c:v>201595</c:v>
                </c:pt>
                <c:pt idx="166">
                  <c:v>194510</c:v>
                </c:pt>
                <c:pt idx="167">
                  <c:v>197232</c:v>
                </c:pt>
                <c:pt idx="168">
                  <c:v>215200</c:v>
                </c:pt>
                <c:pt idx="169">
                  <c:v>212500</c:v>
                </c:pt>
                <c:pt idx="170">
                  <c:v>209070</c:v>
                </c:pt>
                <c:pt idx="171">
                  <c:v>199000</c:v>
                </c:pt>
                <c:pt idx="172">
                  <c:v>234250</c:v>
                </c:pt>
                <c:pt idx="173">
                  <c:v>210458.5</c:v>
                </c:pt>
              </c:numCache>
            </c:numRef>
          </c:val>
          <c:smooth val="0"/>
          <c:extLst>
            <c:ext xmlns:c16="http://schemas.microsoft.com/office/drawing/2014/chart" uri="{C3380CC4-5D6E-409C-BE32-E72D297353CC}">
              <c16:uniqueId val="{00000000-51A8-4234-8E77-170FA52EB1EB}"/>
            </c:ext>
          </c:extLst>
        </c:ser>
        <c:dLbls>
          <c:showLegendKey val="0"/>
          <c:showVal val="0"/>
          <c:showCatName val="0"/>
          <c:showSerName val="0"/>
          <c:showPercent val="0"/>
          <c:showBubbleSize val="0"/>
        </c:dLbls>
        <c:marker val="1"/>
        <c:smooth val="0"/>
        <c:axId val="-1288640864"/>
        <c:axId val="-1288639776"/>
      </c:lineChart>
      <c:lineChart>
        <c:grouping val="standard"/>
        <c:varyColors val="0"/>
        <c:ser>
          <c:idx val="0"/>
          <c:order val="0"/>
          <c:tx>
            <c:strRef>
              <c:f>Sayfa1!$B$1</c:f>
              <c:strCache>
                <c:ptCount val="1"/>
                <c:pt idx="0">
                  <c:v>AOFM (%)</c:v>
                </c:pt>
              </c:strCache>
            </c:strRef>
          </c:tx>
          <c:spPr>
            <a:ln w="28575" cap="rnd">
              <a:solidFill>
                <a:schemeClr val="accent1"/>
              </a:solidFill>
              <a:round/>
            </a:ln>
            <a:effectLst/>
          </c:spPr>
          <c:marker>
            <c:symbol val="none"/>
          </c:marker>
          <c:cat>
            <c:strRef>
              <c:f>Sayfa1!$A$2:$A$175</c:f>
              <c:strCache>
                <c:ptCount val="174"/>
                <c:pt idx="0">
                  <c:v>3.11.2020</c:v>
                </c:pt>
                <c:pt idx="1">
                  <c:v>3.12.2020</c:v>
                </c:pt>
                <c:pt idx="2">
                  <c:v>3/13/2020</c:v>
                </c:pt>
                <c:pt idx="3">
                  <c:v>3/16/2020</c:v>
                </c:pt>
                <c:pt idx="4">
                  <c:v>3/17/2020</c:v>
                </c:pt>
                <c:pt idx="5">
                  <c:v>3/18/2020</c:v>
                </c:pt>
                <c:pt idx="6">
                  <c:v>3/19/2020</c:v>
                </c:pt>
                <c:pt idx="7">
                  <c:v>3/20/2020</c:v>
                </c:pt>
                <c:pt idx="8">
                  <c:v>3/23/2020</c:v>
                </c:pt>
                <c:pt idx="9">
                  <c:v>3/24/2020</c:v>
                </c:pt>
                <c:pt idx="10">
                  <c:v>3/25/2020</c:v>
                </c:pt>
                <c:pt idx="11">
                  <c:v>3/26/2020</c:v>
                </c:pt>
                <c:pt idx="12">
                  <c:v>3/27/2020</c:v>
                </c:pt>
                <c:pt idx="13">
                  <c:v>3/30/2020</c:v>
                </c:pt>
                <c:pt idx="14">
                  <c:v>3/31/2020</c:v>
                </c:pt>
                <c:pt idx="15">
                  <c:v>4.01.2020</c:v>
                </c:pt>
                <c:pt idx="16">
                  <c:v>4.02.2020</c:v>
                </c:pt>
                <c:pt idx="17">
                  <c:v>4.03.2020</c:v>
                </c:pt>
                <c:pt idx="18">
                  <c:v>4.06.2020</c:v>
                </c:pt>
                <c:pt idx="19">
                  <c:v>4.07.2020</c:v>
                </c:pt>
                <c:pt idx="20">
                  <c:v>4.08.2020</c:v>
                </c:pt>
                <c:pt idx="21">
                  <c:v>4.09.2020</c:v>
                </c:pt>
                <c:pt idx="22">
                  <c:v>4.10.2020</c:v>
                </c:pt>
                <c:pt idx="23">
                  <c:v>4/13/2020</c:v>
                </c:pt>
                <c:pt idx="24">
                  <c:v>4/14/2020</c:v>
                </c:pt>
                <c:pt idx="25">
                  <c:v>4/15/2020</c:v>
                </c:pt>
                <c:pt idx="26">
                  <c:v>4/16/2020</c:v>
                </c:pt>
                <c:pt idx="27">
                  <c:v>4/17/2020</c:v>
                </c:pt>
                <c:pt idx="28">
                  <c:v>4/20/2020</c:v>
                </c:pt>
                <c:pt idx="29">
                  <c:v>4/21/2020</c:v>
                </c:pt>
                <c:pt idx="30">
                  <c:v>4/22/2020</c:v>
                </c:pt>
                <c:pt idx="31">
                  <c:v>4/24/2020</c:v>
                </c:pt>
                <c:pt idx="32">
                  <c:v>4/27/2020</c:v>
                </c:pt>
                <c:pt idx="33">
                  <c:v>4/28/2020</c:v>
                </c:pt>
                <c:pt idx="34">
                  <c:v>4/29/2020</c:v>
                </c:pt>
                <c:pt idx="35">
                  <c:v>4/30/2020</c:v>
                </c:pt>
                <c:pt idx="36">
                  <c:v>5.04.2020</c:v>
                </c:pt>
                <c:pt idx="37">
                  <c:v>5.05.2020</c:v>
                </c:pt>
                <c:pt idx="38">
                  <c:v>5.06.2020</c:v>
                </c:pt>
                <c:pt idx="39">
                  <c:v>5.07.2020</c:v>
                </c:pt>
                <c:pt idx="40">
                  <c:v>5.08.2020</c:v>
                </c:pt>
                <c:pt idx="41">
                  <c:v>5.11.2020</c:v>
                </c:pt>
                <c:pt idx="42">
                  <c:v>5.12.2020</c:v>
                </c:pt>
                <c:pt idx="43">
                  <c:v>5/13/2020</c:v>
                </c:pt>
                <c:pt idx="44">
                  <c:v>5/14/2020</c:v>
                </c:pt>
                <c:pt idx="45">
                  <c:v>5/15/2020</c:v>
                </c:pt>
                <c:pt idx="46">
                  <c:v>5/18/2020</c:v>
                </c:pt>
                <c:pt idx="47">
                  <c:v>5/20/2020</c:v>
                </c:pt>
                <c:pt idx="48">
                  <c:v>5/21/2020</c:v>
                </c:pt>
                <c:pt idx="49">
                  <c:v>5/22/2020</c:v>
                </c:pt>
                <c:pt idx="50">
                  <c:v>5/27/2020</c:v>
                </c:pt>
                <c:pt idx="51">
                  <c:v>5/28/2020</c:v>
                </c:pt>
                <c:pt idx="52">
                  <c:v>5/29/2020</c:v>
                </c:pt>
                <c:pt idx="53">
                  <c:v>6.01.2020</c:v>
                </c:pt>
                <c:pt idx="54">
                  <c:v>6.02.2020</c:v>
                </c:pt>
                <c:pt idx="55">
                  <c:v>6.03.2020</c:v>
                </c:pt>
                <c:pt idx="56">
                  <c:v>6.04.2020</c:v>
                </c:pt>
                <c:pt idx="57">
                  <c:v>6.05.2020</c:v>
                </c:pt>
                <c:pt idx="58">
                  <c:v>6.08.2020</c:v>
                </c:pt>
                <c:pt idx="59">
                  <c:v>6.09.2020</c:v>
                </c:pt>
                <c:pt idx="60">
                  <c:v>6.10.2020</c:v>
                </c:pt>
                <c:pt idx="61">
                  <c:v>6.11.2020</c:v>
                </c:pt>
                <c:pt idx="62">
                  <c:v>6.12.2020</c:v>
                </c:pt>
                <c:pt idx="63">
                  <c:v>6/15/2020</c:v>
                </c:pt>
                <c:pt idx="64">
                  <c:v>6/16/2020</c:v>
                </c:pt>
                <c:pt idx="65">
                  <c:v>6/17/2020</c:v>
                </c:pt>
                <c:pt idx="66">
                  <c:v>6/18/2020</c:v>
                </c:pt>
                <c:pt idx="67">
                  <c:v>6/19/2020</c:v>
                </c:pt>
                <c:pt idx="68">
                  <c:v>6/22/2020</c:v>
                </c:pt>
                <c:pt idx="69">
                  <c:v>6/23/2020</c:v>
                </c:pt>
                <c:pt idx="70">
                  <c:v>6/24/2020</c:v>
                </c:pt>
                <c:pt idx="71">
                  <c:v>6/25/2020</c:v>
                </c:pt>
                <c:pt idx="72">
                  <c:v>6/26/2020</c:v>
                </c:pt>
                <c:pt idx="73">
                  <c:v>6/29/2020</c:v>
                </c:pt>
                <c:pt idx="74">
                  <c:v>6/30/2020</c:v>
                </c:pt>
                <c:pt idx="75">
                  <c:v>7.01.2020</c:v>
                </c:pt>
                <c:pt idx="76">
                  <c:v>7.02.2020</c:v>
                </c:pt>
                <c:pt idx="77">
                  <c:v>7.03.2020</c:v>
                </c:pt>
                <c:pt idx="78">
                  <c:v>7.06.2020</c:v>
                </c:pt>
                <c:pt idx="79">
                  <c:v>7.07.2020</c:v>
                </c:pt>
                <c:pt idx="80">
                  <c:v>7.08.2020</c:v>
                </c:pt>
                <c:pt idx="81">
                  <c:v>7.09.2020</c:v>
                </c:pt>
                <c:pt idx="82">
                  <c:v>7.10.2020</c:v>
                </c:pt>
                <c:pt idx="83">
                  <c:v>7/13/2020</c:v>
                </c:pt>
                <c:pt idx="84">
                  <c:v>7/14/2020</c:v>
                </c:pt>
                <c:pt idx="85">
                  <c:v>7/16/2020</c:v>
                </c:pt>
                <c:pt idx="86">
                  <c:v>7/17/2020</c:v>
                </c:pt>
                <c:pt idx="87">
                  <c:v>7/20/2020</c:v>
                </c:pt>
                <c:pt idx="88">
                  <c:v>7/21/2020</c:v>
                </c:pt>
                <c:pt idx="89">
                  <c:v>7/22/2020</c:v>
                </c:pt>
                <c:pt idx="90">
                  <c:v>7/23/2020</c:v>
                </c:pt>
                <c:pt idx="91">
                  <c:v>7/24/2020</c:v>
                </c:pt>
                <c:pt idx="92">
                  <c:v>7/27/2020</c:v>
                </c:pt>
                <c:pt idx="93">
                  <c:v>7/28/2020</c:v>
                </c:pt>
                <c:pt idx="94">
                  <c:v>7/29/2020</c:v>
                </c:pt>
                <c:pt idx="95">
                  <c:v>7/30/2020</c:v>
                </c:pt>
                <c:pt idx="96">
                  <c:v>8.04.2020</c:v>
                </c:pt>
                <c:pt idx="97">
                  <c:v>8.05.2020</c:v>
                </c:pt>
                <c:pt idx="98">
                  <c:v>8.06.2020</c:v>
                </c:pt>
                <c:pt idx="99">
                  <c:v>8.07.2020</c:v>
                </c:pt>
                <c:pt idx="100">
                  <c:v>8.10.2020</c:v>
                </c:pt>
                <c:pt idx="101">
                  <c:v>8.11.2020</c:v>
                </c:pt>
                <c:pt idx="102">
                  <c:v>8.12.2020</c:v>
                </c:pt>
                <c:pt idx="103">
                  <c:v>8/13/2020</c:v>
                </c:pt>
                <c:pt idx="104">
                  <c:v>8/14/2020</c:v>
                </c:pt>
                <c:pt idx="105">
                  <c:v>8/17/2020</c:v>
                </c:pt>
                <c:pt idx="106">
                  <c:v>8/18/2020</c:v>
                </c:pt>
                <c:pt idx="107">
                  <c:v>8/19/2020</c:v>
                </c:pt>
                <c:pt idx="108">
                  <c:v>8/20/2020</c:v>
                </c:pt>
                <c:pt idx="109">
                  <c:v>8/21/2020</c:v>
                </c:pt>
                <c:pt idx="110">
                  <c:v>8/24/2020</c:v>
                </c:pt>
                <c:pt idx="111">
                  <c:v>8/25/2020</c:v>
                </c:pt>
                <c:pt idx="112">
                  <c:v>8/26/2020</c:v>
                </c:pt>
                <c:pt idx="113">
                  <c:v>8/27/2020</c:v>
                </c:pt>
                <c:pt idx="114">
                  <c:v>8/28/2020</c:v>
                </c:pt>
                <c:pt idx="115">
                  <c:v>8/31/2020</c:v>
                </c:pt>
                <c:pt idx="116">
                  <c:v>9.01.2020</c:v>
                </c:pt>
                <c:pt idx="117">
                  <c:v>9.02.2020</c:v>
                </c:pt>
                <c:pt idx="118">
                  <c:v>9.03.2020</c:v>
                </c:pt>
                <c:pt idx="119">
                  <c:v>9.04.2020</c:v>
                </c:pt>
                <c:pt idx="120">
                  <c:v>9.07.2020</c:v>
                </c:pt>
                <c:pt idx="121">
                  <c:v>9.08.2020</c:v>
                </c:pt>
                <c:pt idx="122">
                  <c:v>9.09.2020</c:v>
                </c:pt>
                <c:pt idx="123">
                  <c:v>9.10.2020</c:v>
                </c:pt>
                <c:pt idx="124">
                  <c:v>9.11.2020</c:v>
                </c:pt>
                <c:pt idx="125">
                  <c:v>9/14/2020</c:v>
                </c:pt>
                <c:pt idx="126">
                  <c:v>9/15/2020</c:v>
                </c:pt>
                <c:pt idx="127">
                  <c:v>9/16/2020</c:v>
                </c:pt>
                <c:pt idx="128">
                  <c:v>9/17/2020</c:v>
                </c:pt>
                <c:pt idx="129">
                  <c:v>9/18/2020</c:v>
                </c:pt>
                <c:pt idx="130">
                  <c:v>9/21/2020</c:v>
                </c:pt>
                <c:pt idx="131">
                  <c:v>9/22/2020</c:v>
                </c:pt>
                <c:pt idx="132">
                  <c:v>9/23/2020</c:v>
                </c:pt>
                <c:pt idx="133">
                  <c:v>9/24/2020</c:v>
                </c:pt>
                <c:pt idx="134">
                  <c:v>9/25/2020</c:v>
                </c:pt>
                <c:pt idx="135">
                  <c:v>9/28/2020</c:v>
                </c:pt>
                <c:pt idx="136">
                  <c:v>9/29/2020</c:v>
                </c:pt>
                <c:pt idx="137">
                  <c:v>9/30/2020</c:v>
                </c:pt>
                <c:pt idx="138">
                  <c:v>10.01.2020</c:v>
                </c:pt>
                <c:pt idx="139">
                  <c:v>10.02.2020</c:v>
                </c:pt>
                <c:pt idx="140">
                  <c:v>10.05.2020</c:v>
                </c:pt>
                <c:pt idx="141">
                  <c:v>10.06.2020</c:v>
                </c:pt>
                <c:pt idx="142">
                  <c:v>10.07.2020</c:v>
                </c:pt>
                <c:pt idx="143">
                  <c:v>10.08.2020</c:v>
                </c:pt>
                <c:pt idx="144">
                  <c:v>10.09.2020</c:v>
                </c:pt>
                <c:pt idx="145">
                  <c:v>10.12.2020</c:v>
                </c:pt>
                <c:pt idx="146">
                  <c:v>10/13/2020</c:v>
                </c:pt>
                <c:pt idx="147">
                  <c:v>10/14/2020</c:v>
                </c:pt>
                <c:pt idx="148">
                  <c:v>10/15/2020</c:v>
                </c:pt>
                <c:pt idx="149">
                  <c:v>10/16/2020</c:v>
                </c:pt>
                <c:pt idx="150">
                  <c:v>10/19/2020</c:v>
                </c:pt>
                <c:pt idx="151">
                  <c:v>10/20/2020</c:v>
                </c:pt>
                <c:pt idx="152">
                  <c:v>10/21/2020</c:v>
                </c:pt>
                <c:pt idx="153">
                  <c:v>10/22/2020</c:v>
                </c:pt>
                <c:pt idx="154">
                  <c:v>10/23/2020</c:v>
                </c:pt>
                <c:pt idx="155">
                  <c:v>10/26/2020</c:v>
                </c:pt>
                <c:pt idx="156">
                  <c:v>10/27/2020</c:v>
                </c:pt>
                <c:pt idx="157">
                  <c:v>10/28/2020</c:v>
                </c:pt>
                <c:pt idx="158">
                  <c:v>10/30/2020</c:v>
                </c:pt>
                <c:pt idx="159">
                  <c:v>11.02.2020</c:v>
                </c:pt>
                <c:pt idx="160">
                  <c:v>11.03.2020</c:v>
                </c:pt>
                <c:pt idx="161">
                  <c:v>11.04.2020</c:v>
                </c:pt>
                <c:pt idx="162">
                  <c:v>11.05.2020</c:v>
                </c:pt>
                <c:pt idx="163">
                  <c:v>11.06.2020</c:v>
                </c:pt>
                <c:pt idx="164">
                  <c:v>11.09.2020</c:v>
                </c:pt>
                <c:pt idx="165">
                  <c:v>11.10.2020</c:v>
                </c:pt>
                <c:pt idx="166">
                  <c:v>11.11.2020</c:v>
                </c:pt>
                <c:pt idx="167">
                  <c:v>11.12.2020</c:v>
                </c:pt>
                <c:pt idx="168">
                  <c:v>11/13/2020</c:v>
                </c:pt>
                <c:pt idx="169">
                  <c:v>11/16/2020</c:v>
                </c:pt>
                <c:pt idx="170">
                  <c:v>11/17/2020</c:v>
                </c:pt>
                <c:pt idx="171">
                  <c:v>11/18/2020</c:v>
                </c:pt>
                <c:pt idx="172">
                  <c:v>11/19/2020</c:v>
                </c:pt>
                <c:pt idx="173">
                  <c:v>11/20/2020</c:v>
                </c:pt>
              </c:strCache>
            </c:strRef>
          </c:cat>
          <c:val>
            <c:numRef>
              <c:f>Sayfa1!$B$2:$B$175</c:f>
              <c:numCache>
                <c:formatCode>General</c:formatCode>
                <c:ptCount val="174"/>
                <c:pt idx="0">
                  <c:v>10.56</c:v>
                </c:pt>
                <c:pt idx="1">
                  <c:v>10.52</c:v>
                </c:pt>
                <c:pt idx="2">
                  <c:v>10.56</c:v>
                </c:pt>
                <c:pt idx="3">
                  <c:v>10.57</c:v>
                </c:pt>
                <c:pt idx="4">
                  <c:v>10.65</c:v>
                </c:pt>
                <c:pt idx="5">
                  <c:v>10.35</c:v>
                </c:pt>
                <c:pt idx="6">
                  <c:v>10.25</c:v>
                </c:pt>
                <c:pt idx="7">
                  <c:v>9.99</c:v>
                </c:pt>
                <c:pt idx="8">
                  <c:v>9.76</c:v>
                </c:pt>
                <c:pt idx="9">
                  <c:v>9.33</c:v>
                </c:pt>
                <c:pt idx="10">
                  <c:v>9.27</c:v>
                </c:pt>
                <c:pt idx="11">
                  <c:v>9.26</c:v>
                </c:pt>
                <c:pt idx="12">
                  <c:v>9.24</c:v>
                </c:pt>
                <c:pt idx="13">
                  <c:v>9.2200000000000006</c:v>
                </c:pt>
                <c:pt idx="14">
                  <c:v>9.27</c:v>
                </c:pt>
                <c:pt idx="15">
                  <c:v>9.2200000000000006</c:v>
                </c:pt>
                <c:pt idx="16">
                  <c:v>9.25</c:v>
                </c:pt>
                <c:pt idx="17">
                  <c:v>9.19</c:v>
                </c:pt>
                <c:pt idx="18">
                  <c:v>9.23</c:v>
                </c:pt>
                <c:pt idx="19">
                  <c:v>9.1199999999999903</c:v>
                </c:pt>
                <c:pt idx="20">
                  <c:v>9.2200000000000006</c:v>
                </c:pt>
                <c:pt idx="21">
                  <c:v>9.1999999999999904</c:v>
                </c:pt>
                <c:pt idx="22">
                  <c:v>9.1999999999999904</c:v>
                </c:pt>
                <c:pt idx="23">
                  <c:v>9.06</c:v>
                </c:pt>
                <c:pt idx="24">
                  <c:v>9.06</c:v>
                </c:pt>
                <c:pt idx="25">
                  <c:v>8.91</c:v>
                </c:pt>
                <c:pt idx="26">
                  <c:v>9.0399999999999903</c:v>
                </c:pt>
                <c:pt idx="27">
                  <c:v>9.0500000000000007</c:v>
                </c:pt>
                <c:pt idx="28">
                  <c:v>9.0399999999999903</c:v>
                </c:pt>
                <c:pt idx="29">
                  <c:v>9.0399999999999903</c:v>
                </c:pt>
                <c:pt idx="30">
                  <c:v>9.1300000000000008</c:v>
                </c:pt>
                <c:pt idx="31">
                  <c:v>8.99</c:v>
                </c:pt>
                <c:pt idx="32">
                  <c:v>8.9</c:v>
                </c:pt>
                <c:pt idx="33">
                  <c:v>8.6999999999999904</c:v>
                </c:pt>
                <c:pt idx="34">
                  <c:v>8.49</c:v>
                </c:pt>
                <c:pt idx="35">
                  <c:v>8.35</c:v>
                </c:pt>
                <c:pt idx="36">
                  <c:v>8.34</c:v>
                </c:pt>
                <c:pt idx="37">
                  <c:v>8.36</c:v>
                </c:pt>
                <c:pt idx="38">
                  <c:v>8.39</c:v>
                </c:pt>
                <c:pt idx="39">
                  <c:v>8.3699999999999903</c:v>
                </c:pt>
                <c:pt idx="40">
                  <c:v>8.3699999999999903</c:v>
                </c:pt>
                <c:pt idx="41">
                  <c:v>8.3800000000000008</c:v>
                </c:pt>
                <c:pt idx="42">
                  <c:v>8.39</c:v>
                </c:pt>
                <c:pt idx="43">
                  <c:v>8.4</c:v>
                </c:pt>
                <c:pt idx="44">
                  <c:v>8.33</c:v>
                </c:pt>
                <c:pt idx="45">
                  <c:v>8.23</c:v>
                </c:pt>
                <c:pt idx="46">
                  <c:v>8.25</c:v>
                </c:pt>
                <c:pt idx="47">
                  <c:v>8.24</c:v>
                </c:pt>
                <c:pt idx="48">
                  <c:v>8.27</c:v>
                </c:pt>
                <c:pt idx="49">
                  <c:v>8.2200000000000006</c:v>
                </c:pt>
                <c:pt idx="50">
                  <c:v>8.07</c:v>
                </c:pt>
                <c:pt idx="51">
                  <c:v>8.0299999999999905</c:v>
                </c:pt>
                <c:pt idx="52">
                  <c:v>7.9</c:v>
                </c:pt>
                <c:pt idx="53">
                  <c:v>7.76</c:v>
                </c:pt>
                <c:pt idx="54">
                  <c:v>7.77</c:v>
                </c:pt>
                <c:pt idx="55">
                  <c:v>7.75</c:v>
                </c:pt>
                <c:pt idx="56">
                  <c:v>7.75</c:v>
                </c:pt>
                <c:pt idx="57">
                  <c:v>7.74</c:v>
                </c:pt>
                <c:pt idx="58">
                  <c:v>7.72</c:v>
                </c:pt>
                <c:pt idx="59">
                  <c:v>7.73</c:v>
                </c:pt>
                <c:pt idx="60">
                  <c:v>7.7</c:v>
                </c:pt>
                <c:pt idx="61">
                  <c:v>7.66</c:v>
                </c:pt>
                <c:pt idx="62">
                  <c:v>7.69</c:v>
                </c:pt>
                <c:pt idx="63">
                  <c:v>7.66</c:v>
                </c:pt>
                <c:pt idx="64">
                  <c:v>7.64</c:v>
                </c:pt>
                <c:pt idx="65">
                  <c:v>7.68</c:v>
                </c:pt>
                <c:pt idx="66">
                  <c:v>7.64</c:v>
                </c:pt>
                <c:pt idx="67">
                  <c:v>7.63</c:v>
                </c:pt>
                <c:pt idx="68">
                  <c:v>7.53</c:v>
                </c:pt>
                <c:pt idx="69">
                  <c:v>7.52</c:v>
                </c:pt>
                <c:pt idx="70">
                  <c:v>7.54</c:v>
                </c:pt>
                <c:pt idx="71">
                  <c:v>7.55</c:v>
                </c:pt>
                <c:pt idx="72">
                  <c:v>7.62</c:v>
                </c:pt>
                <c:pt idx="73">
                  <c:v>7.63</c:v>
                </c:pt>
                <c:pt idx="74">
                  <c:v>7.62</c:v>
                </c:pt>
                <c:pt idx="75">
                  <c:v>7.59</c:v>
                </c:pt>
                <c:pt idx="76">
                  <c:v>7.6</c:v>
                </c:pt>
                <c:pt idx="77">
                  <c:v>7.58</c:v>
                </c:pt>
                <c:pt idx="78">
                  <c:v>7.6</c:v>
                </c:pt>
                <c:pt idx="79">
                  <c:v>7.6</c:v>
                </c:pt>
                <c:pt idx="80">
                  <c:v>7.6</c:v>
                </c:pt>
                <c:pt idx="81">
                  <c:v>7.59</c:v>
                </c:pt>
                <c:pt idx="82">
                  <c:v>7.57</c:v>
                </c:pt>
                <c:pt idx="83">
                  <c:v>7.5</c:v>
                </c:pt>
                <c:pt idx="84">
                  <c:v>7.4</c:v>
                </c:pt>
                <c:pt idx="85">
                  <c:v>7.34</c:v>
                </c:pt>
                <c:pt idx="86">
                  <c:v>7.4</c:v>
                </c:pt>
                <c:pt idx="87">
                  <c:v>7.42</c:v>
                </c:pt>
                <c:pt idx="88">
                  <c:v>7.46</c:v>
                </c:pt>
                <c:pt idx="89">
                  <c:v>7.52</c:v>
                </c:pt>
                <c:pt idx="90">
                  <c:v>7.52</c:v>
                </c:pt>
                <c:pt idx="91">
                  <c:v>7.54</c:v>
                </c:pt>
                <c:pt idx="92">
                  <c:v>7.53</c:v>
                </c:pt>
                <c:pt idx="93">
                  <c:v>7.7</c:v>
                </c:pt>
                <c:pt idx="94">
                  <c:v>7.72</c:v>
                </c:pt>
                <c:pt idx="95">
                  <c:v>7.76</c:v>
                </c:pt>
                <c:pt idx="96">
                  <c:v>7.72</c:v>
                </c:pt>
                <c:pt idx="97">
                  <c:v>7.8</c:v>
                </c:pt>
                <c:pt idx="98">
                  <c:v>7.88</c:v>
                </c:pt>
                <c:pt idx="99">
                  <c:v>8.06</c:v>
                </c:pt>
                <c:pt idx="100">
                  <c:v>8.32</c:v>
                </c:pt>
                <c:pt idx="101">
                  <c:v>8.3800000000000008</c:v>
                </c:pt>
                <c:pt idx="102">
                  <c:v>8.7100000000000009</c:v>
                </c:pt>
                <c:pt idx="103">
                  <c:v>9.06</c:v>
                </c:pt>
                <c:pt idx="104">
                  <c:v>9.06</c:v>
                </c:pt>
                <c:pt idx="105">
                  <c:v>9.17</c:v>
                </c:pt>
                <c:pt idx="106">
                  <c:v>9.31</c:v>
                </c:pt>
                <c:pt idx="107">
                  <c:v>9.3699999999999903</c:v>
                </c:pt>
                <c:pt idx="108">
                  <c:v>9.44</c:v>
                </c:pt>
                <c:pt idx="109">
                  <c:v>9.52</c:v>
                </c:pt>
                <c:pt idx="110">
                  <c:v>9.61</c:v>
                </c:pt>
                <c:pt idx="111">
                  <c:v>9.67</c:v>
                </c:pt>
                <c:pt idx="112">
                  <c:v>9.73</c:v>
                </c:pt>
                <c:pt idx="113">
                  <c:v>10</c:v>
                </c:pt>
                <c:pt idx="114">
                  <c:v>10.02</c:v>
                </c:pt>
                <c:pt idx="115">
                  <c:v>10.15</c:v>
                </c:pt>
                <c:pt idx="116">
                  <c:v>10.15</c:v>
                </c:pt>
                <c:pt idx="117">
                  <c:v>10.16</c:v>
                </c:pt>
                <c:pt idx="118">
                  <c:v>10.15</c:v>
                </c:pt>
                <c:pt idx="119">
                  <c:v>10.14</c:v>
                </c:pt>
                <c:pt idx="120">
                  <c:v>10.16</c:v>
                </c:pt>
                <c:pt idx="121">
                  <c:v>10.15</c:v>
                </c:pt>
                <c:pt idx="122">
                  <c:v>10.16</c:v>
                </c:pt>
                <c:pt idx="123">
                  <c:v>10.220000000000001</c:v>
                </c:pt>
                <c:pt idx="124">
                  <c:v>10.29</c:v>
                </c:pt>
                <c:pt idx="125">
                  <c:v>10.32</c:v>
                </c:pt>
                <c:pt idx="126">
                  <c:v>10.33</c:v>
                </c:pt>
                <c:pt idx="127">
                  <c:v>10.32</c:v>
                </c:pt>
                <c:pt idx="128">
                  <c:v>10.41</c:v>
                </c:pt>
                <c:pt idx="129">
                  <c:v>10.39</c:v>
                </c:pt>
                <c:pt idx="130">
                  <c:v>10.61</c:v>
                </c:pt>
                <c:pt idx="131">
                  <c:v>10.61</c:v>
                </c:pt>
                <c:pt idx="132">
                  <c:v>10.65</c:v>
                </c:pt>
                <c:pt idx="133">
                  <c:v>10.69</c:v>
                </c:pt>
                <c:pt idx="134">
                  <c:v>10.88</c:v>
                </c:pt>
                <c:pt idx="135">
                  <c:v>10.99</c:v>
                </c:pt>
                <c:pt idx="136">
                  <c:v>11.08</c:v>
                </c:pt>
                <c:pt idx="137">
                  <c:v>11.12</c:v>
                </c:pt>
                <c:pt idx="138">
                  <c:v>11.2</c:v>
                </c:pt>
                <c:pt idx="139">
                  <c:v>11.32</c:v>
                </c:pt>
                <c:pt idx="140">
                  <c:v>11.38</c:v>
                </c:pt>
                <c:pt idx="141">
                  <c:v>11.45</c:v>
                </c:pt>
                <c:pt idx="142">
                  <c:v>11.47</c:v>
                </c:pt>
                <c:pt idx="143">
                  <c:v>11.56</c:v>
                </c:pt>
                <c:pt idx="144">
                  <c:v>11.64</c:v>
                </c:pt>
                <c:pt idx="145">
                  <c:v>11.93</c:v>
                </c:pt>
                <c:pt idx="146">
                  <c:v>12.03</c:v>
                </c:pt>
                <c:pt idx="147">
                  <c:v>12.12</c:v>
                </c:pt>
                <c:pt idx="148">
                  <c:v>12.18</c:v>
                </c:pt>
                <c:pt idx="149">
                  <c:v>12.26</c:v>
                </c:pt>
                <c:pt idx="150">
                  <c:v>12.39</c:v>
                </c:pt>
                <c:pt idx="151">
                  <c:v>12.47</c:v>
                </c:pt>
                <c:pt idx="152">
                  <c:v>12.52</c:v>
                </c:pt>
                <c:pt idx="153">
                  <c:v>12.75</c:v>
                </c:pt>
                <c:pt idx="154">
                  <c:v>12.88</c:v>
                </c:pt>
                <c:pt idx="155">
                  <c:v>12.92</c:v>
                </c:pt>
                <c:pt idx="156">
                  <c:v>12.87</c:v>
                </c:pt>
                <c:pt idx="157">
                  <c:v>13.08</c:v>
                </c:pt>
                <c:pt idx="158">
                  <c:v>13.4</c:v>
                </c:pt>
                <c:pt idx="159">
                  <c:v>13.45</c:v>
                </c:pt>
                <c:pt idx="160">
                  <c:v>13.94</c:v>
                </c:pt>
                <c:pt idx="161">
                  <c:v>13.99</c:v>
                </c:pt>
                <c:pt idx="162">
                  <c:v>14.07</c:v>
                </c:pt>
                <c:pt idx="163">
                  <c:v>14.12</c:v>
                </c:pt>
                <c:pt idx="164">
                  <c:v>14.2</c:v>
                </c:pt>
                <c:pt idx="165">
                  <c:v>14.29</c:v>
                </c:pt>
                <c:pt idx="166">
                  <c:v>14.36</c:v>
                </c:pt>
                <c:pt idx="167">
                  <c:v>14.46</c:v>
                </c:pt>
                <c:pt idx="168">
                  <c:v>14.56</c:v>
                </c:pt>
                <c:pt idx="169">
                  <c:v>14.64</c:v>
                </c:pt>
                <c:pt idx="170">
                  <c:v>14.72</c:v>
                </c:pt>
                <c:pt idx="171">
                  <c:v>14.8</c:v>
                </c:pt>
                <c:pt idx="172">
                  <c:v>14.87</c:v>
                </c:pt>
                <c:pt idx="173">
                  <c:v>14.96</c:v>
                </c:pt>
              </c:numCache>
            </c:numRef>
          </c:val>
          <c:smooth val="0"/>
          <c:extLst>
            <c:ext xmlns:c16="http://schemas.microsoft.com/office/drawing/2014/chart" uri="{C3380CC4-5D6E-409C-BE32-E72D297353CC}">
              <c16:uniqueId val="{00000001-51A8-4234-8E77-170FA52EB1EB}"/>
            </c:ext>
          </c:extLst>
        </c:ser>
        <c:ser>
          <c:idx val="2"/>
          <c:order val="2"/>
          <c:tx>
            <c:strRef>
              <c:f>Sayfa1!$D$1</c:f>
              <c:strCache>
                <c:ptCount val="1"/>
                <c:pt idx="0">
                  <c:v>TRLibor (%)</c:v>
                </c:pt>
              </c:strCache>
            </c:strRef>
          </c:tx>
          <c:spPr>
            <a:ln w="28575" cap="rnd">
              <a:solidFill>
                <a:schemeClr val="accent3"/>
              </a:solidFill>
              <a:round/>
            </a:ln>
            <a:effectLst/>
          </c:spPr>
          <c:marker>
            <c:symbol val="none"/>
          </c:marker>
          <c:cat>
            <c:strRef>
              <c:f>Sayfa1!$A$2:$A$175</c:f>
              <c:strCache>
                <c:ptCount val="174"/>
                <c:pt idx="0">
                  <c:v>3.11.2020</c:v>
                </c:pt>
                <c:pt idx="1">
                  <c:v>3.12.2020</c:v>
                </c:pt>
                <c:pt idx="2">
                  <c:v>3/13/2020</c:v>
                </c:pt>
                <c:pt idx="3">
                  <c:v>3/16/2020</c:v>
                </c:pt>
                <c:pt idx="4">
                  <c:v>3/17/2020</c:v>
                </c:pt>
                <c:pt idx="5">
                  <c:v>3/18/2020</c:v>
                </c:pt>
                <c:pt idx="6">
                  <c:v>3/19/2020</c:v>
                </c:pt>
                <c:pt idx="7">
                  <c:v>3/20/2020</c:v>
                </c:pt>
                <c:pt idx="8">
                  <c:v>3/23/2020</c:v>
                </c:pt>
                <c:pt idx="9">
                  <c:v>3/24/2020</c:v>
                </c:pt>
                <c:pt idx="10">
                  <c:v>3/25/2020</c:v>
                </c:pt>
                <c:pt idx="11">
                  <c:v>3/26/2020</c:v>
                </c:pt>
                <c:pt idx="12">
                  <c:v>3/27/2020</c:v>
                </c:pt>
                <c:pt idx="13">
                  <c:v>3/30/2020</c:v>
                </c:pt>
                <c:pt idx="14">
                  <c:v>3/31/2020</c:v>
                </c:pt>
                <c:pt idx="15">
                  <c:v>4.01.2020</c:v>
                </c:pt>
                <c:pt idx="16">
                  <c:v>4.02.2020</c:v>
                </c:pt>
                <c:pt idx="17">
                  <c:v>4.03.2020</c:v>
                </c:pt>
                <c:pt idx="18">
                  <c:v>4.06.2020</c:v>
                </c:pt>
                <c:pt idx="19">
                  <c:v>4.07.2020</c:v>
                </c:pt>
                <c:pt idx="20">
                  <c:v>4.08.2020</c:v>
                </c:pt>
                <c:pt idx="21">
                  <c:v>4.09.2020</c:v>
                </c:pt>
                <c:pt idx="22">
                  <c:v>4.10.2020</c:v>
                </c:pt>
                <c:pt idx="23">
                  <c:v>4/13/2020</c:v>
                </c:pt>
                <c:pt idx="24">
                  <c:v>4/14/2020</c:v>
                </c:pt>
                <c:pt idx="25">
                  <c:v>4/15/2020</c:v>
                </c:pt>
                <c:pt idx="26">
                  <c:v>4/16/2020</c:v>
                </c:pt>
                <c:pt idx="27">
                  <c:v>4/17/2020</c:v>
                </c:pt>
                <c:pt idx="28">
                  <c:v>4/20/2020</c:v>
                </c:pt>
                <c:pt idx="29">
                  <c:v>4/21/2020</c:v>
                </c:pt>
                <c:pt idx="30">
                  <c:v>4/22/2020</c:v>
                </c:pt>
                <c:pt idx="31">
                  <c:v>4/24/2020</c:v>
                </c:pt>
                <c:pt idx="32">
                  <c:v>4/27/2020</c:v>
                </c:pt>
                <c:pt idx="33">
                  <c:v>4/28/2020</c:v>
                </c:pt>
                <c:pt idx="34">
                  <c:v>4/29/2020</c:v>
                </c:pt>
                <c:pt idx="35">
                  <c:v>4/30/2020</c:v>
                </c:pt>
                <c:pt idx="36">
                  <c:v>5.04.2020</c:v>
                </c:pt>
                <c:pt idx="37">
                  <c:v>5.05.2020</c:v>
                </c:pt>
                <c:pt idx="38">
                  <c:v>5.06.2020</c:v>
                </c:pt>
                <c:pt idx="39">
                  <c:v>5.07.2020</c:v>
                </c:pt>
                <c:pt idx="40">
                  <c:v>5.08.2020</c:v>
                </c:pt>
                <c:pt idx="41">
                  <c:v>5.11.2020</c:v>
                </c:pt>
                <c:pt idx="42">
                  <c:v>5.12.2020</c:v>
                </c:pt>
                <c:pt idx="43">
                  <c:v>5/13/2020</c:v>
                </c:pt>
                <c:pt idx="44">
                  <c:v>5/14/2020</c:v>
                </c:pt>
                <c:pt idx="45">
                  <c:v>5/15/2020</c:v>
                </c:pt>
                <c:pt idx="46">
                  <c:v>5/18/2020</c:v>
                </c:pt>
                <c:pt idx="47">
                  <c:v>5/20/2020</c:v>
                </c:pt>
                <c:pt idx="48">
                  <c:v>5/21/2020</c:v>
                </c:pt>
                <c:pt idx="49">
                  <c:v>5/22/2020</c:v>
                </c:pt>
                <c:pt idx="50">
                  <c:v>5/27/2020</c:v>
                </c:pt>
                <c:pt idx="51">
                  <c:v>5/28/2020</c:v>
                </c:pt>
                <c:pt idx="52">
                  <c:v>5/29/2020</c:v>
                </c:pt>
                <c:pt idx="53">
                  <c:v>6.01.2020</c:v>
                </c:pt>
                <c:pt idx="54">
                  <c:v>6.02.2020</c:v>
                </c:pt>
                <c:pt idx="55">
                  <c:v>6.03.2020</c:v>
                </c:pt>
                <c:pt idx="56">
                  <c:v>6.04.2020</c:v>
                </c:pt>
                <c:pt idx="57">
                  <c:v>6.05.2020</c:v>
                </c:pt>
                <c:pt idx="58">
                  <c:v>6.08.2020</c:v>
                </c:pt>
                <c:pt idx="59">
                  <c:v>6.09.2020</c:v>
                </c:pt>
                <c:pt idx="60">
                  <c:v>6.10.2020</c:v>
                </c:pt>
                <c:pt idx="61">
                  <c:v>6.11.2020</c:v>
                </c:pt>
                <c:pt idx="62">
                  <c:v>6.12.2020</c:v>
                </c:pt>
                <c:pt idx="63">
                  <c:v>6/15/2020</c:v>
                </c:pt>
                <c:pt idx="64">
                  <c:v>6/16/2020</c:v>
                </c:pt>
                <c:pt idx="65">
                  <c:v>6/17/2020</c:v>
                </c:pt>
                <c:pt idx="66">
                  <c:v>6/18/2020</c:v>
                </c:pt>
                <c:pt idx="67">
                  <c:v>6/19/2020</c:v>
                </c:pt>
                <c:pt idx="68">
                  <c:v>6/22/2020</c:v>
                </c:pt>
                <c:pt idx="69">
                  <c:v>6/23/2020</c:v>
                </c:pt>
                <c:pt idx="70">
                  <c:v>6/24/2020</c:v>
                </c:pt>
                <c:pt idx="71">
                  <c:v>6/25/2020</c:v>
                </c:pt>
                <c:pt idx="72">
                  <c:v>6/26/2020</c:v>
                </c:pt>
                <c:pt idx="73">
                  <c:v>6/29/2020</c:v>
                </c:pt>
                <c:pt idx="74">
                  <c:v>6/30/2020</c:v>
                </c:pt>
                <c:pt idx="75">
                  <c:v>7.01.2020</c:v>
                </c:pt>
                <c:pt idx="76">
                  <c:v>7.02.2020</c:v>
                </c:pt>
                <c:pt idx="77">
                  <c:v>7.03.2020</c:v>
                </c:pt>
                <c:pt idx="78">
                  <c:v>7.06.2020</c:v>
                </c:pt>
                <c:pt idx="79">
                  <c:v>7.07.2020</c:v>
                </c:pt>
                <c:pt idx="80">
                  <c:v>7.08.2020</c:v>
                </c:pt>
                <c:pt idx="81">
                  <c:v>7.09.2020</c:v>
                </c:pt>
                <c:pt idx="82">
                  <c:v>7.10.2020</c:v>
                </c:pt>
                <c:pt idx="83">
                  <c:v>7/13/2020</c:v>
                </c:pt>
                <c:pt idx="84">
                  <c:v>7/14/2020</c:v>
                </c:pt>
                <c:pt idx="85">
                  <c:v>7/16/2020</c:v>
                </c:pt>
                <c:pt idx="86">
                  <c:v>7/17/2020</c:v>
                </c:pt>
                <c:pt idx="87">
                  <c:v>7/20/2020</c:v>
                </c:pt>
                <c:pt idx="88">
                  <c:v>7/21/2020</c:v>
                </c:pt>
                <c:pt idx="89">
                  <c:v>7/22/2020</c:v>
                </c:pt>
                <c:pt idx="90">
                  <c:v>7/23/2020</c:v>
                </c:pt>
                <c:pt idx="91">
                  <c:v>7/24/2020</c:v>
                </c:pt>
                <c:pt idx="92">
                  <c:v>7/27/2020</c:v>
                </c:pt>
                <c:pt idx="93">
                  <c:v>7/28/2020</c:v>
                </c:pt>
                <c:pt idx="94">
                  <c:v>7/29/2020</c:v>
                </c:pt>
                <c:pt idx="95">
                  <c:v>7/30/2020</c:v>
                </c:pt>
                <c:pt idx="96">
                  <c:v>8.04.2020</c:v>
                </c:pt>
                <c:pt idx="97">
                  <c:v>8.05.2020</c:v>
                </c:pt>
                <c:pt idx="98">
                  <c:v>8.06.2020</c:v>
                </c:pt>
                <c:pt idx="99">
                  <c:v>8.07.2020</c:v>
                </c:pt>
                <c:pt idx="100">
                  <c:v>8.10.2020</c:v>
                </c:pt>
                <c:pt idx="101">
                  <c:v>8.11.2020</c:v>
                </c:pt>
                <c:pt idx="102">
                  <c:v>8.12.2020</c:v>
                </c:pt>
                <c:pt idx="103">
                  <c:v>8/13/2020</c:v>
                </c:pt>
                <c:pt idx="104">
                  <c:v>8/14/2020</c:v>
                </c:pt>
                <c:pt idx="105">
                  <c:v>8/17/2020</c:v>
                </c:pt>
                <c:pt idx="106">
                  <c:v>8/18/2020</c:v>
                </c:pt>
                <c:pt idx="107">
                  <c:v>8/19/2020</c:v>
                </c:pt>
                <c:pt idx="108">
                  <c:v>8/20/2020</c:v>
                </c:pt>
                <c:pt idx="109">
                  <c:v>8/21/2020</c:v>
                </c:pt>
                <c:pt idx="110">
                  <c:v>8/24/2020</c:v>
                </c:pt>
                <c:pt idx="111">
                  <c:v>8/25/2020</c:v>
                </c:pt>
                <c:pt idx="112">
                  <c:v>8/26/2020</c:v>
                </c:pt>
                <c:pt idx="113">
                  <c:v>8/27/2020</c:v>
                </c:pt>
                <c:pt idx="114">
                  <c:v>8/28/2020</c:v>
                </c:pt>
                <c:pt idx="115">
                  <c:v>8/31/2020</c:v>
                </c:pt>
                <c:pt idx="116">
                  <c:v>9.01.2020</c:v>
                </c:pt>
                <c:pt idx="117">
                  <c:v>9.02.2020</c:v>
                </c:pt>
                <c:pt idx="118">
                  <c:v>9.03.2020</c:v>
                </c:pt>
                <c:pt idx="119">
                  <c:v>9.04.2020</c:v>
                </c:pt>
                <c:pt idx="120">
                  <c:v>9.07.2020</c:v>
                </c:pt>
                <c:pt idx="121">
                  <c:v>9.08.2020</c:v>
                </c:pt>
                <c:pt idx="122">
                  <c:v>9.09.2020</c:v>
                </c:pt>
                <c:pt idx="123">
                  <c:v>9.10.2020</c:v>
                </c:pt>
                <c:pt idx="124">
                  <c:v>9.11.2020</c:v>
                </c:pt>
                <c:pt idx="125">
                  <c:v>9/14/2020</c:v>
                </c:pt>
                <c:pt idx="126">
                  <c:v>9/15/2020</c:v>
                </c:pt>
                <c:pt idx="127">
                  <c:v>9/16/2020</c:v>
                </c:pt>
                <c:pt idx="128">
                  <c:v>9/17/2020</c:v>
                </c:pt>
                <c:pt idx="129">
                  <c:v>9/18/2020</c:v>
                </c:pt>
                <c:pt idx="130">
                  <c:v>9/21/2020</c:v>
                </c:pt>
                <c:pt idx="131">
                  <c:v>9/22/2020</c:v>
                </c:pt>
                <c:pt idx="132">
                  <c:v>9/23/2020</c:v>
                </c:pt>
                <c:pt idx="133">
                  <c:v>9/24/2020</c:v>
                </c:pt>
                <c:pt idx="134">
                  <c:v>9/25/2020</c:v>
                </c:pt>
                <c:pt idx="135">
                  <c:v>9/28/2020</c:v>
                </c:pt>
                <c:pt idx="136">
                  <c:v>9/29/2020</c:v>
                </c:pt>
                <c:pt idx="137">
                  <c:v>9/30/2020</c:v>
                </c:pt>
                <c:pt idx="138">
                  <c:v>10.01.2020</c:v>
                </c:pt>
                <c:pt idx="139">
                  <c:v>10.02.2020</c:v>
                </c:pt>
                <c:pt idx="140">
                  <c:v>10.05.2020</c:v>
                </c:pt>
                <c:pt idx="141">
                  <c:v>10.06.2020</c:v>
                </c:pt>
                <c:pt idx="142">
                  <c:v>10.07.2020</c:v>
                </c:pt>
                <c:pt idx="143">
                  <c:v>10.08.2020</c:v>
                </c:pt>
                <c:pt idx="144">
                  <c:v>10.09.2020</c:v>
                </c:pt>
                <c:pt idx="145">
                  <c:v>10.12.2020</c:v>
                </c:pt>
                <c:pt idx="146">
                  <c:v>10/13/2020</c:v>
                </c:pt>
                <c:pt idx="147">
                  <c:v>10/14/2020</c:v>
                </c:pt>
                <c:pt idx="148">
                  <c:v>10/15/2020</c:v>
                </c:pt>
                <c:pt idx="149">
                  <c:v>10/16/2020</c:v>
                </c:pt>
                <c:pt idx="150">
                  <c:v>10/19/2020</c:v>
                </c:pt>
                <c:pt idx="151">
                  <c:v>10/20/2020</c:v>
                </c:pt>
                <c:pt idx="152">
                  <c:v>10/21/2020</c:v>
                </c:pt>
                <c:pt idx="153">
                  <c:v>10/22/2020</c:v>
                </c:pt>
                <c:pt idx="154">
                  <c:v>10/23/2020</c:v>
                </c:pt>
                <c:pt idx="155">
                  <c:v>10/26/2020</c:v>
                </c:pt>
                <c:pt idx="156">
                  <c:v>10/27/2020</c:v>
                </c:pt>
                <c:pt idx="157">
                  <c:v>10/28/2020</c:v>
                </c:pt>
                <c:pt idx="158">
                  <c:v>10/30/2020</c:v>
                </c:pt>
                <c:pt idx="159">
                  <c:v>11.02.2020</c:v>
                </c:pt>
                <c:pt idx="160">
                  <c:v>11.03.2020</c:v>
                </c:pt>
                <c:pt idx="161">
                  <c:v>11.04.2020</c:v>
                </c:pt>
                <c:pt idx="162">
                  <c:v>11.05.2020</c:v>
                </c:pt>
                <c:pt idx="163">
                  <c:v>11.06.2020</c:v>
                </c:pt>
                <c:pt idx="164">
                  <c:v>11.09.2020</c:v>
                </c:pt>
                <c:pt idx="165">
                  <c:v>11.10.2020</c:v>
                </c:pt>
                <c:pt idx="166">
                  <c:v>11.11.2020</c:v>
                </c:pt>
                <c:pt idx="167">
                  <c:v>11.12.2020</c:v>
                </c:pt>
                <c:pt idx="168">
                  <c:v>11/13/2020</c:v>
                </c:pt>
                <c:pt idx="169">
                  <c:v>11/16/2020</c:v>
                </c:pt>
                <c:pt idx="170">
                  <c:v>11/17/2020</c:v>
                </c:pt>
                <c:pt idx="171">
                  <c:v>11/18/2020</c:v>
                </c:pt>
                <c:pt idx="172">
                  <c:v>11/19/2020</c:v>
                </c:pt>
                <c:pt idx="173">
                  <c:v>11/20/2020</c:v>
                </c:pt>
              </c:strCache>
            </c:strRef>
          </c:cat>
          <c:val>
            <c:numRef>
              <c:f>Sayfa1!$D$2:$D$175</c:f>
              <c:numCache>
                <c:formatCode>General</c:formatCode>
                <c:ptCount val="174"/>
                <c:pt idx="0">
                  <c:v>10.98</c:v>
                </c:pt>
                <c:pt idx="1">
                  <c:v>10.84</c:v>
                </c:pt>
                <c:pt idx="2">
                  <c:v>10.73</c:v>
                </c:pt>
                <c:pt idx="3">
                  <c:v>10.77</c:v>
                </c:pt>
                <c:pt idx="4">
                  <c:v>10.64</c:v>
                </c:pt>
                <c:pt idx="5">
                  <c:v>9.6300000000000008</c:v>
                </c:pt>
                <c:pt idx="6">
                  <c:v>9.84</c:v>
                </c:pt>
                <c:pt idx="7">
                  <c:v>9.93</c:v>
                </c:pt>
                <c:pt idx="8">
                  <c:v>9.9700000000000006</c:v>
                </c:pt>
                <c:pt idx="9">
                  <c:v>9.57</c:v>
                </c:pt>
                <c:pt idx="10">
                  <c:v>9.32</c:v>
                </c:pt>
                <c:pt idx="11">
                  <c:v>9.73</c:v>
                </c:pt>
                <c:pt idx="12">
                  <c:v>9.56</c:v>
                </c:pt>
                <c:pt idx="13">
                  <c:v>9.4499999999999904</c:v>
                </c:pt>
                <c:pt idx="14">
                  <c:v>9.0500000000000007</c:v>
                </c:pt>
                <c:pt idx="15">
                  <c:v>8.7799999999999905</c:v>
                </c:pt>
                <c:pt idx="16">
                  <c:v>8.77</c:v>
                </c:pt>
                <c:pt idx="17">
                  <c:v>9.36</c:v>
                </c:pt>
                <c:pt idx="18">
                  <c:v>9.51</c:v>
                </c:pt>
                <c:pt idx="19">
                  <c:v>9.25</c:v>
                </c:pt>
                <c:pt idx="20">
                  <c:v>9.02</c:v>
                </c:pt>
                <c:pt idx="21">
                  <c:v>8.89</c:v>
                </c:pt>
                <c:pt idx="22">
                  <c:v>8.85</c:v>
                </c:pt>
                <c:pt idx="23">
                  <c:v>9.32</c:v>
                </c:pt>
                <c:pt idx="24">
                  <c:v>9.23</c:v>
                </c:pt>
                <c:pt idx="25">
                  <c:v>9.76</c:v>
                </c:pt>
                <c:pt idx="26">
                  <c:v>9.31</c:v>
                </c:pt>
                <c:pt idx="27">
                  <c:v>9.2100000000000009</c:v>
                </c:pt>
                <c:pt idx="28">
                  <c:v>9.49</c:v>
                </c:pt>
                <c:pt idx="29">
                  <c:v>9.5</c:v>
                </c:pt>
                <c:pt idx="30">
                  <c:v>9.42</c:v>
                </c:pt>
                <c:pt idx="31">
                  <c:v>8.06</c:v>
                </c:pt>
                <c:pt idx="32">
                  <c:v>7.86</c:v>
                </c:pt>
                <c:pt idx="33">
                  <c:v>8.02</c:v>
                </c:pt>
                <c:pt idx="34">
                  <c:v>8.08</c:v>
                </c:pt>
                <c:pt idx="35">
                  <c:v>8.91</c:v>
                </c:pt>
                <c:pt idx="36">
                  <c:v>9</c:v>
                </c:pt>
                <c:pt idx="37">
                  <c:v>8.27</c:v>
                </c:pt>
                <c:pt idx="38">
                  <c:v>8.24</c:v>
                </c:pt>
                <c:pt idx="39">
                  <c:v>9.4499999999999904</c:v>
                </c:pt>
                <c:pt idx="40">
                  <c:v>9.35</c:v>
                </c:pt>
                <c:pt idx="41">
                  <c:v>8.5</c:v>
                </c:pt>
                <c:pt idx="42">
                  <c:v>7.86</c:v>
                </c:pt>
                <c:pt idx="43">
                  <c:v>8.01</c:v>
                </c:pt>
                <c:pt idx="44">
                  <c:v>8.07</c:v>
                </c:pt>
                <c:pt idx="45">
                  <c:v>9.51</c:v>
                </c:pt>
                <c:pt idx="46">
                  <c:v>8.52</c:v>
                </c:pt>
                <c:pt idx="47">
                  <c:v>8.56</c:v>
                </c:pt>
                <c:pt idx="48">
                  <c:v>9.0399999999999903</c:v>
                </c:pt>
                <c:pt idx="49">
                  <c:v>8.15</c:v>
                </c:pt>
                <c:pt idx="50">
                  <c:v>7.59</c:v>
                </c:pt>
                <c:pt idx="51">
                  <c:v>7.5</c:v>
                </c:pt>
                <c:pt idx="52">
                  <c:v>8.57</c:v>
                </c:pt>
                <c:pt idx="53">
                  <c:v>8.7100000000000009</c:v>
                </c:pt>
                <c:pt idx="54">
                  <c:v>8.1999999999999904</c:v>
                </c:pt>
                <c:pt idx="55">
                  <c:v>8.23</c:v>
                </c:pt>
                <c:pt idx="56">
                  <c:v>8.3800000000000008</c:v>
                </c:pt>
                <c:pt idx="57">
                  <c:v>8.1999999999999904</c:v>
                </c:pt>
                <c:pt idx="58">
                  <c:v>8.19</c:v>
                </c:pt>
                <c:pt idx="59">
                  <c:v>7.81</c:v>
                </c:pt>
                <c:pt idx="60">
                  <c:v>7.91</c:v>
                </c:pt>
                <c:pt idx="61">
                  <c:v>8.15</c:v>
                </c:pt>
                <c:pt idx="62">
                  <c:v>7.84</c:v>
                </c:pt>
                <c:pt idx="63">
                  <c:v>7.57</c:v>
                </c:pt>
                <c:pt idx="64">
                  <c:v>7.78</c:v>
                </c:pt>
                <c:pt idx="65">
                  <c:v>8</c:v>
                </c:pt>
                <c:pt idx="66">
                  <c:v>8.2200000000000006</c:v>
                </c:pt>
                <c:pt idx="67">
                  <c:v>8.24</c:v>
                </c:pt>
                <c:pt idx="68">
                  <c:v>8.07</c:v>
                </c:pt>
                <c:pt idx="69">
                  <c:v>8.07</c:v>
                </c:pt>
                <c:pt idx="70">
                  <c:v>8.26</c:v>
                </c:pt>
                <c:pt idx="71">
                  <c:v>8.6199999999999903</c:v>
                </c:pt>
                <c:pt idx="72">
                  <c:v>7.87</c:v>
                </c:pt>
                <c:pt idx="73">
                  <c:v>7.97</c:v>
                </c:pt>
                <c:pt idx="74">
                  <c:v>7.86</c:v>
                </c:pt>
                <c:pt idx="75">
                  <c:v>7.73</c:v>
                </c:pt>
                <c:pt idx="76">
                  <c:v>7.56</c:v>
                </c:pt>
                <c:pt idx="77">
                  <c:v>7.65</c:v>
                </c:pt>
                <c:pt idx="78">
                  <c:v>7.78</c:v>
                </c:pt>
                <c:pt idx="79">
                  <c:v>8.33</c:v>
                </c:pt>
                <c:pt idx="80">
                  <c:v>7.9</c:v>
                </c:pt>
                <c:pt idx="81">
                  <c:v>8.1199999999999903</c:v>
                </c:pt>
                <c:pt idx="82">
                  <c:v>8.16</c:v>
                </c:pt>
                <c:pt idx="83">
                  <c:v>7.93</c:v>
                </c:pt>
                <c:pt idx="84">
                  <c:v>7.75</c:v>
                </c:pt>
                <c:pt idx="85">
                  <c:v>8.0500000000000007</c:v>
                </c:pt>
                <c:pt idx="86">
                  <c:v>8.5</c:v>
                </c:pt>
                <c:pt idx="87">
                  <c:v>8.34</c:v>
                </c:pt>
                <c:pt idx="88">
                  <c:v>8.5500000000000007</c:v>
                </c:pt>
                <c:pt idx="89">
                  <c:v>8.67</c:v>
                </c:pt>
                <c:pt idx="90">
                  <c:v>8.6999999999999904</c:v>
                </c:pt>
                <c:pt idx="91">
                  <c:v>8.35</c:v>
                </c:pt>
                <c:pt idx="92">
                  <c:v>8.1300000000000008</c:v>
                </c:pt>
                <c:pt idx="93">
                  <c:v>8.51</c:v>
                </c:pt>
                <c:pt idx="94">
                  <c:v>9.0500000000000007</c:v>
                </c:pt>
                <c:pt idx="95">
                  <c:v>8.61</c:v>
                </c:pt>
                <c:pt idx="96">
                  <c:v>7.81</c:v>
                </c:pt>
                <c:pt idx="97">
                  <c:v>9.4499999999999904</c:v>
                </c:pt>
                <c:pt idx="98">
                  <c:v>9.6300000000000008</c:v>
                </c:pt>
                <c:pt idx="99">
                  <c:v>9.75</c:v>
                </c:pt>
                <c:pt idx="100">
                  <c:v>9.75</c:v>
                </c:pt>
                <c:pt idx="101">
                  <c:v>9.75</c:v>
                </c:pt>
                <c:pt idx="102">
                  <c:v>9.75</c:v>
                </c:pt>
                <c:pt idx="103">
                  <c:v>9.75</c:v>
                </c:pt>
                <c:pt idx="104">
                  <c:v>9.75</c:v>
                </c:pt>
                <c:pt idx="105">
                  <c:v>9.75</c:v>
                </c:pt>
                <c:pt idx="106">
                  <c:v>9.75</c:v>
                </c:pt>
                <c:pt idx="107">
                  <c:v>9.75</c:v>
                </c:pt>
                <c:pt idx="108">
                  <c:v>9.75</c:v>
                </c:pt>
                <c:pt idx="109">
                  <c:v>9.75</c:v>
                </c:pt>
                <c:pt idx="110">
                  <c:v>10.029999999999999</c:v>
                </c:pt>
                <c:pt idx="111">
                  <c:v>9.83</c:v>
                </c:pt>
                <c:pt idx="112">
                  <c:v>9.75</c:v>
                </c:pt>
                <c:pt idx="113">
                  <c:v>9.75</c:v>
                </c:pt>
                <c:pt idx="114">
                  <c:v>9.77</c:v>
                </c:pt>
                <c:pt idx="115">
                  <c:v>9.76</c:v>
                </c:pt>
                <c:pt idx="116">
                  <c:v>9.75</c:v>
                </c:pt>
                <c:pt idx="117">
                  <c:v>9.75</c:v>
                </c:pt>
                <c:pt idx="118">
                  <c:v>9.75</c:v>
                </c:pt>
                <c:pt idx="119">
                  <c:v>9.8000000000000007</c:v>
                </c:pt>
                <c:pt idx="120">
                  <c:v>9.8699999999999903</c:v>
                </c:pt>
                <c:pt idx="121">
                  <c:v>9.9600000000000009</c:v>
                </c:pt>
                <c:pt idx="122">
                  <c:v>10.1</c:v>
                </c:pt>
                <c:pt idx="123">
                  <c:v>10.27</c:v>
                </c:pt>
                <c:pt idx="124">
                  <c:v>10.47</c:v>
                </c:pt>
                <c:pt idx="125">
                  <c:v>10.47</c:v>
                </c:pt>
                <c:pt idx="126">
                  <c:v>10.55</c:v>
                </c:pt>
                <c:pt idx="127">
                  <c:v>10.65</c:v>
                </c:pt>
                <c:pt idx="128">
                  <c:v>11.25</c:v>
                </c:pt>
                <c:pt idx="129">
                  <c:v>11.03</c:v>
                </c:pt>
                <c:pt idx="130">
                  <c:v>11.16</c:v>
                </c:pt>
                <c:pt idx="131">
                  <c:v>11.17</c:v>
                </c:pt>
                <c:pt idx="132">
                  <c:v>11.25</c:v>
                </c:pt>
                <c:pt idx="133">
                  <c:v>11.25</c:v>
                </c:pt>
                <c:pt idx="134">
                  <c:v>11.47</c:v>
                </c:pt>
                <c:pt idx="135">
                  <c:v>11.72</c:v>
                </c:pt>
                <c:pt idx="136">
                  <c:v>11.75</c:v>
                </c:pt>
                <c:pt idx="137">
                  <c:v>11.84</c:v>
                </c:pt>
                <c:pt idx="138">
                  <c:v>11.83</c:v>
                </c:pt>
                <c:pt idx="139">
                  <c:v>12.03</c:v>
                </c:pt>
                <c:pt idx="140">
                  <c:v>12.03</c:v>
                </c:pt>
                <c:pt idx="141">
                  <c:v>12.07</c:v>
                </c:pt>
                <c:pt idx="142">
                  <c:v>12.45</c:v>
                </c:pt>
                <c:pt idx="143">
                  <c:v>12.57</c:v>
                </c:pt>
                <c:pt idx="144">
                  <c:v>12.47</c:v>
                </c:pt>
                <c:pt idx="145">
                  <c:v>12.41</c:v>
                </c:pt>
                <c:pt idx="146">
                  <c:v>12.4</c:v>
                </c:pt>
                <c:pt idx="147">
                  <c:v>12.42</c:v>
                </c:pt>
                <c:pt idx="148">
                  <c:v>12.49</c:v>
                </c:pt>
                <c:pt idx="149">
                  <c:v>12.58</c:v>
                </c:pt>
                <c:pt idx="150">
                  <c:v>12.59</c:v>
                </c:pt>
                <c:pt idx="151">
                  <c:v>12.57</c:v>
                </c:pt>
                <c:pt idx="152">
                  <c:v>12.6</c:v>
                </c:pt>
                <c:pt idx="153">
                  <c:v>12.84</c:v>
                </c:pt>
                <c:pt idx="154">
                  <c:v>14.1</c:v>
                </c:pt>
                <c:pt idx="155">
                  <c:v>14.46</c:v>
                </c:pt>
                <c:pt idx="156">
                  <c:v>13.86</c:v>
                </c:pt>
                <c:pt idx="157">
                  <c:v>14.17</c:v>
                </c:pt>
                <c:pt idx="158">
                  <c:v>14.75</c:v>
                </c:pt>
                <c:pt idx="159">
                  <c:v>14.75</c:v>
                </c:pt>
                <c:pt idx="160">
                  <c:v>14.75</c:v>
                </c:pt>
                <c:pt idx="161">
                  <c:v>14.75</c:v>
                </c:pt>
                <c:pt idx="162">
                  <c:v>14.75</c:v>
                </c:pt>
                <c:pt idx="163">
                  <c:v>14.71</c:v>
                </c:pt>
                <c:pt idx="164">
                  <c:v>14.62</c:v>
                </c:pt>
                <c:pt idx="165">
                  <c:v>14.64</c:v>
                </c:pt>
                <c:pt idx="166">
                  <c:v>14.72</c:v>
                </c:pt>
                <c:pt idx="167">
                  <c:v>14.7</c:v>
                </c:pt>
                <c:pt idx="168">
                  <c:v>14.75</c:v>
                </c:pt>
                <c:pt idx="169">
                  <c:v>14.75</c:v>
                </c:pt>
                <c:pt idx="170">
                  <c:v>14.75</c:v>
                </c:pt>
                <c:pt idx="171">
                  <c:v>14.76</c:v>
                </c:pt>
                <c:pt idx="172">
                  <c:v>14.75</c:v>
                </c:pt>
                <c:pt idx="173">
                  <c:v>14.97</c:v>
                </c:pt>
              </c:numCache>
            </c:numRef>
          </c:val>
          <c:smooth val="0"/>
          <c:extLst>
            <c:ext xmlns:c16="http://schemas.microsoft.com/office/drawing/2014/chart" uri="{C3380CC4-5D6E-409C-BE32-E72D297353CC}">
              <c16:uniqueId val="{00000002-51A8-4234-8E77-170FA52EB1EB}"/>
            </c:ext>
          </c:extLst>
        </c:ser>
        <c:dLbls>
          <c:showLegendKey val="0"/>
          <c:showVal val="0"/>
          <c:showCatName val="0"/>
          <c:showSerName val="0"/>
          <c:showPercent val="0"/>
          <c:showBubbleSize val="0"/>
        </c:dLbls>
        <c:marker val="1"/>
        <c:smooth val="0"/>
        <c:axId val="-1288635424"/>
        <c:axId val="-1288635968"/>
      </c:lineChart>
      <c:catAx>
        <c:axId val="-1288640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88639776"/>
        <c:crosses val="autoZero"/>
        <c:auto val="1"/>
        <c:lblAlgn val="ctr"/>
        <c:lblOffset val="100"/>
        <c:noMultiLvlLbl val="0"/>
      </c:catAx>
      <c:valAx>
        <c:axId val="-1288639776"/>
        <c:scaling>
          <c:orientation val="minMax"/>
        </c:scaling>
        <c:delete val="0"/>
        <c:axPos val="l"/>
        <c:majorGridlines>
          <c:spPr>
            <a:ln w="9525" cap="flat" cmpd="sng" algn="ctr">
              <a:solidFill>
                <a:schemeClr val="tx1">
                  <a:lumMod val="15000"/>
                  <a:lumOff val="85000"/>
                </a:schemeClr>
              </a:solidFill>
              <a:round/>
            </a:ln>
            <a:effectLst/>
          </c:spPr>
        </c:majorGridlines>
        <c:numFmt formatCode="&quot;₺&quot;#,##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88640864"/>
        <c:crosses val="autoZero"/>
        <c:crossBetween val="between"/>
      </c:valAx>
      <c:valAx>
        <c:axId val="-1288635968"/>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88635424"/>
        <c:crosses val="max"/>
        <c:crossBetween val="between"/>
      </c:valAx>
      <c:catAx>
        <c:axId val="-1288635424"/>
        <c:scaling>
          <c:orientation val="minMax"/>
        </c:scaling>
        <c:delete val="1"/>
        <c:axPos val="b"/>
        <c:numFmt formatCode="General" sourceLinked="1"/>
        <c:majorTickMark val="none"/>
        <c:minorTickMark val="none"/>
        <c:tickLblPos val="nextTo"/>
        <c:crossAx val="-1288635968"/>
        <c:crosses val="autoZero"/>
        <c:auto val="1"/>
        <c:lblAlgn val="ctr"/>
        <c:lblOffset val="100"/>
        <c:noMultiLvlLbl val="0"/>
      </c:catAx>
      <c:spPr>
        <a:noFill/>
        <a:ln>
          <a:noFill/>
        </a:ln>
        <a:effectLst/>
      </c:spPr>
    </c:plotArea>
    <c:legend>
      <c:legendPos val="b"/>
      <c:layout>
        <c:manualLayout>
          <c:xMode val="edge"/>
          <c:yMode val="edge"/>
          <c:x val="0.23811147343955744"/>
          <c:y val="0.89077593456157778"/>
          <c:w val="0.51928771529821394"/>
          <c:h val="0.1092240654384221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tr-TR" sz="1050">
                <a:latin typeface="Times New Roman" panose="02020603050405020304" pitchFamily="18" charset="0"/>
                <a:cs typeface="Times New Roman" panose="02020603050405020304" pitchFamily="18" charset="0"/>
              </a:rPr>
              <a:t>İmalat Sanayii</a:t>
            </a:r>
          </a:p>
        </c:rich>
      </c:tx>
      <c:overlay val="0"/>
      <c:spPr>
        <a:noFill/>
        <a:ln w="25400">
          <a:noFill/>
        </a:ln>
      </c:spPr>
    </c:title>
    <c:autoTitleDeleted val="0"/>
    <c:plotArea>
      <c:layout/>
      <c:lineChart>
        <c:grouping val="standard"/>
        <c:varyColors val="0"/>
        <c:ser>
          <c:idx val="0"/>
          <c:order val="0"/>
          <c:tx>
            <c:strRef>
              <c:f>'tüm imalat'!$B$1</c:f>
              <c:strCache>
                <c:ptCount val="1"/>
                <c:pt idx="0">
                  <c:v>2019</c:v>
                </c:pt>
              </c:strCache>
            </c:strRef>
          </c:tx>
          <c:spPr>
            <a:ln w="28575" cap="rnd">
              <a:solidFill>
                <a:schemeClr val="accent1"/>
              </a:solidFill>
              <a:round/>
            </a:ln>
            <a:effectLst/>
          </c:spPr>
          <c:marker>
            <c:symbol val="none"/>
          </c:marker>
          <c:cat>
            <c:strRef>
              <c:f>'tüm imalat'!$A$2:$A$13</c:f>
              <c:strCache>
                <c:ptCount val="12"/>
                <c:pt idx="0">
                  <c:v>Ocak</c:v>
                </c:pt>
                <c:pt idx="1">
                  <c:v>Şubat</c:v>
                </c:pt>
                <c:pt idx="2">
                  <c:v>Mart</c:v>
                </c:pt>
                <c:pt idx="3">
                  <c:v>Nisan</c:v>
                </c:pt>
                <c:pt idx="4">
                  <c:v>Mayıs</c:v>
                </c:pt>
                <c:pt idx="5">
                  <c:v>Haziran</c:v>
                </c:pt>
                <c:pt idx="6">
                  <c:v>Temmuz</c:v>
                </c:pt>
                <c:pt idx="7">
                  <c:v>Ağustos</c:v>
                </c:pt>
                <c:pt idx="8">
                  <c:v>Eylül</c:v>
                </c:pt>
                <c:pt idx="9">
                  <c:v>Ekim</c:v>
                </c:pt>
                <c:pt idx="10">
                  <c:v>Kasım</c:v>
                </c:pt>
                <c:pt idx="11">
                  <c:v>Aralık</c:v>
                </c:pt>
              </c:strCache>
            </c:strRef>
          </c:cat>
          <c:val>
            <c:numRef>
              <c:f>'tüm imalat'!$B$2:$B$13</c:f>
              <c:numCache>
                <c:formatCode>#\ ###\ ###\ ##0</c:formatCode>
                <c:ptCount val="12"/>
                <c:pt idx="0">
                  <c:v>13026385.636</c:v>
                </c:pt>
                <c:pt idx="1">
                  <c:v>13545293.960000001</c:v>
                </c:pt>
                <c:pt idx="2">
                  <c:v>15554194.634</c:v>
                </c:pt>
                <c:pt idx="3">
                  <c:v>14619877.127</c:v>
                </c:pt>
                <c:pt idx="4">
                  <c:v>16005451.018999999</c:v>
                </c:pt>
                <c:pt idx="5">
                  <c:v>10937308.021</c:v>
                </c:pt>
                <c:pt idx="6">
                  <c:v>15239419.688999999</c:v>
                </c:pt>
                <c:pt idx="7">
                  <c:v>12575509.198999999</c:v>
                </c:pt>
                <c:pt idx="8">
                  <c:v>14534421.987</c:v>
                </c:pt>
                <c:pt idx="9">
                  <c:v>15514521.026000001</c:v>
                </c:pt>
                <c:pt idx="10">
                  <c:v>15273953.705</c:v>
                </c:pt>
                <c:pt idx="11">
                  <c:v>14392245.976</c:v>
                </c:pt>
              </c:numCache>
            </c:numRef>
          </c:val>
          <c:smooth val="0"/>
          <c:extLst>
            <c:ext xmlns:c16="http://schemas.microsoft.com/office/drawing/2014/chart" uri="{C3380CC4-5D6E-409C-BE32-E72D297353CC}">
              <c16:uniqueId val="{00000000-B643-48DB-B24F-FE0F02985F45}"/>
            </c:ext>
          </c:extLst>
        </c:ser>
        <c:ser>
          <c:idx val="1"/>
          <c:order val="1"/>
          <c:tx>
            <c:strRef>
              <c:f>'tüm imalat'!$C$1</c:f>
              <c:strCache>
                <c:ptCount val="1"/>
                <c:pt idx="0">
                  <c:v>2020</c:v>
                </c:pt>
              </c:strCache>
            </c:strRef>
          </c:tx>
          <c:spPr>
            <a:ln w="28575" cap="rnd">
              <a:solidFill>
                <a:schemeClr val="accent2"/>
              </a:solidFill>
              <a:round/>
            </a:ln>
            <a:effectLst/>
          </c:spPr>
          <c:marker>
            <c:symbol val="none"/>
          </c:marker>
          <c:cat>
            <c:strRef>
              <c:f>'tüm imalat'!$A$2:$A$13</c:f>
              <c:strCache>
                <c:ptCount val="12"/>
                <c:pt idx="0">
                  <c:v>Ocak</c:v>
                </c:pt>
                <c:pt idx="1">
                  <c:v>Şubat</c:v>
                </c:pt>
                <c:pt idx="2">
                  <c:v>Mart</c:v>
                </c:pt>
                <c:pt idx="3">
                  <c:v>Nisan</c:v>
                </c:pt>
                <c:pt idx="4">
                  <c:v>Mayıs</c:v>
                </c:pt>
                <c:pt idx="5">
                  <c:v>Haziran</c:v>
                </c:pt>
                <c:pt idx="6">
                  <c:v>Temmuz</c:v>
                </c:pt>
                <c:pt idx="7">
                  <c:v>Ağustos</c:v>
                </c:pt>
                <c:pt idx="8">
                  <c:v>Eylül</c:v>
                </c:pt>
                <c:pt idx="9">
                  <c:v>Ekim</c:v>
                </c:pt>
                <c:pt idx="10">
                  <c:v>Kasım</c:v>
                </c:pt>
                <c:pt idx="11">
                  <c:v>Aralık</c:v>
                </c:pt>
              </c:strCache>
            </c:strRef>
          </c:cat>
          <c:val>
            <c:numRef>
              <c:f>'tüm imalat'!$C$2:$C$13</c:f>
              <c:numCache>
                <c:formatCode>#\ ###\ ###\ ##0</c:formatCode>
                <c:ptCount val="12"/>
                <c:pt idx="0">
                  <c:v>13824353.738</c:v>
                </c:pt>
                <c:pt idx="1">
                  <c:v>13879074.939999999</c:v>
                </c:pt>
                <c:pt idx="2">
                  <c:v>12645196.401000001</c:v>
                </c:pt>
                <c:pt idx="3">
                  <c:v>8323195.3169999998</c:v>
                </c:pt>
                <c:pt idx="4">
                  <c:v>9340149.227</c:v>
                </c:pt>
                <c:pt idx="5">
                  <c:v>12714603.5</c:v>
                </c:pt>
                <c:pt idx="6">
                  <c:v>14160840.333000001</c:v>
                </c:pt>
                <c:pt idx="7">
                  <c:v>11816271.101</c:v>
                </c:pt>
                <c:pt idx="8">
                  <c:v>15157404.192</c:v>
                </c:pt>
                <c:pt idx="9">
                  <c:v>16423579.515000001</c:v>
                </c:pt>
                <c:pt idx="10">
                  <c:v>15053856.483999999</c:v>
                </c:pt>
                <c:pt idx="11">
                  <c:v>16643887.642999999</c:v>
                </c:pt>
              </c:numCache>
            </c:numRef>
          </c:val>
          <c:smooth val="0"/>
          <c:extLst>
            <c:ext xmlns:c16="http://schemas.microsoft.com/office/drawing/2014/chart" uri="{C3380CC4-5D6E-409C-BE32-E72D297353CC}">
              <c16:uniqueId val="{00000001-B643-48DB-B24F-FE0F02985F45}"/>
            </c:ext>
          </c:extLst>
        </c:ser>
        <c:dLbls>
          <c:showLegendKey val="0"/>
          <c:showVal val="0"/>
          <c:showCatName val="0"/>
          <c:showSerName val="0"/>
          <c:showPercent val="0"/>
          <c:showBubbleSize val="0"/>
        </c:dLbls>
        <c:smooth val="0"/>
        <c:axId val="250406648"/>
        <c:axId val="1"/>
      </c:lineChart>
      <c:catAx>
        <c:axId val="250406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 ###\ ###\ ##0"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0406648"/>
        <c:crosses val="autoZero"/>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05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tr-TR" sz="1050">
                <a:latin typeface="Times New Roman" panose="02020603050405020304" pitchFamily="18" charset="0"/>
                <a:cs typeface="Times New Roman" panose="02020603050405020304" pitchFamily="18" charset="0"/>
              </a:rPr>
              <a:t>Motorlu</a:t>
            </a:r>
            <a:r>
              <a:rPr lang="tr-TR" sz="1050" baseline="0">
                <a:latin typeface="Times New Roman" panose="02020603050405020304" pitchFamily="18" charset="0"/>
                <a:cs typeface="Times New Roman" panose="02020603050405020304" pitchFamily="18" charset="0"/>
              </a:rPr>
              <a:t> Kara Taşıtları ve Treyler (Römork) ve Yarı Treyler (Yarı Römork) İmalatı</a:t>
            </a:r>
            <a:endParaRPr lang="tr-TR" sz="1050">
              <a:latin typeface="Times New Roman" panose="02020603050405020304" pitchFamily="18" charset="0"/>
              <a:cs typeface="Times New Roman" panose="02020603050405020304" pitchFamily="18" charset="0"/>
            </a:endParaRPr>
          </a:p>
        </c:rich>
      </c:tx>
      <c:layout>
        <c:manualLayout>
          <c:xMode val="edge"/>
          <c:yMode val="edge"/>
          <c:x val="0.18441140620134344"/>
          <c:y val="2.7777802562215133E-2"/>
        </c:manualLayout>
      </c:layout>
      <c:overlay val="0"/>
      <c:spPr>
        <a:noFill/>
        <a:ln w="25400">
          <a:noFill/>
        </a:ln>
      </c:spPr>
    </c:title>
    <c:autoTitleDeleted val="0"/>
    <c:plotArea>
      <c:layout/>
      <c:lineChart>
        <c:grouping val="standard"/>
        <c:varyColors val="0"/>
        <c:ser>
          <c:idx val="0"/>
          <c:order val="0"/>
          <c:tx>
            <c:strRef>
              <c:f>'29'!$B$1</c:f>
              <c:strCache>
                <c:ptCount val="1"/>
                <c:pt idx="0">
                  <c:v>2019</c:v>
                </c:pt>
              </c:strCache>
            </c:strRef>
          </c:tx>
          <c:spPr>
            <a:ln w="28575" cap="rnd">
              <a:solidFill>
                <a:schemeClr val="accent1"/>
              </a:solidFill>
              <a:round/>
            </a:ln>
            <a:effectLst/>
          </c:spPr>
          <c:marker>
            <c:symbol val="none"/>
          </c:marker>
          <c:cat>
            <c:strRef>
              <c:f>'29'!$A$2:$A$13</c:f>
              <c:strCache>
                <c:ptCount val="12"/>
                <c:pt idx="0">
                  <c:v>Ocak</c:v>
                </c:pt>
                <c:pt idx="1">
                  <c:v>Şubat</c:v>
                </c:pt>
                <c:pt idx="2">
                  <c:v>Mart</c:v>
                </c:pt>
                <c:pt idx="3">
                  <c:v>Nisan</c:v>
                </c:pt>
                <c:pt idx="4">
                  <c:v>Mayıs</c:v>
                </c:pt>
                <c:pt idx="5">
                  <c:v>Haziran</c:v>
                </c:pt>
                <c:pt idx="6">
                  <c:v>Temmuz</c:v>
                </c:pt>
                <c:pt idx="7">
                  <c:v>Ağustos</c:v>
                </c:pt>
                <c:pt idx="8">
                  <c:v>Eylül</c:v>
                </c:pt>
                <c:pt idx="9">
                  <c:v>Ekim</c:v>
                </c:pt>
                <c:pt idx="10">
                  <c:v>Kasım</c:v>
                </c:pt>
                <c:pt idx="11">
                  <c:v>Aralık</c:v>
                </c:pt>
              </c:strCache>
            </c:strRef>
          </c:cat>
          <c:val>
            <c:numRef>
              <c:f>'29'!$B$2:$B$13</c:f>
              <c:numCache>
                <c:formatCode>#\ ###\ ###\ ##0</c:formatCode>
                <c:ptCount val="12"/>
                <c:pt idx="0">
                  <c:v>2186055.9079999998</c:v>
                </c:pt>
                <c:pt idx="1">
                  <c:v>2385865.8539999998</c:v>
                </c:pt>
                <c:pt idx="2">
                  <c:v>2722776.878</c:v>
                </c:pt>
                <c:pt idx="3">
                  <c:v>2453439.4449999998</c:v>
                </c:pt>
                <c:pt idx="4">
                  <c:v>2577158.6</c:v>
                </c:pt>
                <c:pt idx="5">
                  <c:v>2051555.3089999999</c:v>
                </c:pt>
                <c:pt idx="6">
                  <c:v>2704209.7549999999</c:v>
                </c:pt>
                <c:pt idx="7">
                  <c:v>1592567.4480000001</c:v>
                </c:pt>
                <c:pt idx="8">
                  <c:v>2404038.5049999999</c:v>
                </c:pt>
                <c:pt idx="9">
                  <c:v>2641901.3990000002</c:v>
                </c:pt>
                <c:pt idx="10">
                  <c:v>2542148.71</c:v>
                </c:pt>
                <c:pt idx="11">
                  <c:v>2394197.5010000002</c:v>
                </c:pt>
              </c:numCache>
            </c:numRef>
          </c:val>
          <c:smooth val="0"/>
          <c:extLst>
            <c:ext xmlns:c16="http://schemas.microsoft.com/office/drawing/2014/chart" uri="{C3380CC4-5D6E-409C-BE32-E72D297353CC}">
              <c16:uniqueId val="{00000000-D161-4761-B5D4-0F4BBF2DEC11}"/>
            </c:ext>
          </c:extLst>
        </c:ser>
        <c:ser>
          <c:idx val="1"/>
          <c:order val="1"/>
          <c:tx>
            <c:strRef>
              <c:f>'29'!$C$1</c:f>
              <c:strCache>
                <c:ptCount val="1"/>
                <c:pt idx="0">
                  <c:v>2020</c:v>
                </c:pt>
              </c:strCache>
            </c:strRef>
          </c:tx>
          <c:spPr>
            <a:ln w="28575" cap="rnd">
              <a:solidFill>
                <a:schemeClr val="accent2"/>
              </a:solidFill>
              <a:round/>
            </a:ln>
            <a:effectLst/>
          </c:spPr>
          <c:marker>
            <c:symbol val="none"/>
          </c:marker>
          <c:cat>
            <c:strRef>
              <c:f>'29'!$A$2:$A$13</c:f>
              <c:strCache>
                <c:ptCount val="12"/>
                <c:pt idx="0">
                  <c:v>Ocak</c:v>
                </c:pt>
                <c:pt idx="1">
                  <c:v>Şubat</c:v>
                </c:pt>
                <c:pt idx="2">
                  <c:v>Mart</c:v>
                </c:pt>
                <c:pt idx="3">
                  <c:v>Nisan</c:v>
                </c:pt>
                <c:pt idx="4">
                  <c:v>Mayıs</c:v>
                </c:pt>
                <c:pt idx="5">
                  <c:v>Haziran</c:v>
                </c:pt>
                <c:pt idx="6">
                  <c:v>Temmuz</c:v>
                </c:pt>
                <c:pt idx="7">
                  <c:v>Ağustos</c:v>
                </c:pt>
                <c:pt idx="8">
                  <c:v>Eylül</c:v>
                </c:pt>
                <c:pt idx="9">
                  <c:v>Ekim</c:v>
                </c:pt>
                <c:pt idx="10">
                  <c:v>Kasım</c:v>
                </c:pt>
                <c:pt idx="11">
                  <c:v>Aralık</c:v>
                </c:pt>
              </c:strCache>
            </c:strRef>
          </c:cat>
          <c:val>
            <c:numRef>
              <c:f>'29'!$C$2:$C$13</c:f>
              <c:numCache>
                <c:formatCode>#\ ###\ ###\ ##0</c:formatCode>
                <c:ptCount val="12"/>
                <c:pt idx="0">
                  <c:v>2245828.2420000001</c:v>
                </c:pt>
                <c:pt idx="1">
                  <c:v>2373159.571</c:v>
                </c:pt>
                <c:pt idx="2">
                  <c:v>1902333.7779999999</c:v>
                </c:pt>
                <c:pt idx="3">
                  <c:v>497576.42200000002</c:v>
                </c:pt>
                <c:pt idx="4">
                  <c:v>1076561.872</c:v>
                </c:pt>
                <c:pt idx="5">
                  <c:v>1820356.598</c:v>
                </c:pt>
                <c:pt idx="6">
                  <c:v>2029101.2609999999</c:v>
                </c:pt>
                <c:pt idx="7">
                  <c:v>1383360.4339999999</c:v>
                </c:pt>
                <c:pt idx="8">
                  <c:v>2427801.1290000002</c:v>
                </c:pt>
                <c:pt idx="9">
                  <c:v>2750339.6519999998</c:v>
                </c:pt>
                <c:pt idx="10">
                  <c:v>2549309.9010000001</c:v>
                </c:pt>
                <c:pt idx="11">
                  <c:v>2642604.0649999999</c:v>
                </c:pt>
              </c:numCache>
            </c:numRef>
          </c:val>
          <c:smooth val="0"/>
          <c:extLst>
            <c:ext xmlns:c16="http://schemas.microsoft.com/office/drawing/2014/chart" uri="{C3380CC4-5D6E-409C-BE32-E72D297353CC}">
              <c16:uniqueId val="{00000001-D161-4761-B5D4-0F4BBF2DEC11}"/>
            </c:ext>
          </c:extLst>
        </c:ser>
        <c:dLbls>
          <c:showLegendKey val="0"/>
          <c:showVal val="0"/>
          <c:showCatName val="0"/>
          <c:showSerName val="0"/>
          <c:showPercent val="0"/>
          <c:showBubbleSize val="0"/>
        </c:dLbls>
        <c:smooth val="0"/>
        <c:axId val="250087768"/>
        <c:axId val="1"/>
      </c:lineChart>
      <c:catAx>
        <c:axId val="250087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 ###\ ###\ ##0"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0087768"/>
        <c:crosses val="autoZero"/>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tr-TR" sz="1050">
                <a:latin typeface="Times New Roman" panose="02020603050405020304" pitchFamily="18" charset="0"/>
                <a:cs typeface="Times New Roman" panose="02020603050405020304" pitchFamily="18" charset="0"/>
              </a:rPr>
              <a:t>Ana Metal Sanayii</a:t>
            </a:r>
          </a:p>
        </c:rich>
      </c:tx>
      <c:overlay val="0"/>
      <c:spPr>
        <a:noFill/>
        <a:ln w="25400">
          <a:noFill/>
        </a:ln>
      </c:spPr>
    </c:title>
    <c:autoTitleDeleted val="0"/>
    <c:plotArea>
      <c:layout/>
      <c:lineChart>
        <c:grouping val="standard"/>
        <c:varyColors val="0"/>
        <c:ser>
          <c:idx val="0"/>
          <c:order val="0"/>
          <c:tx>
            <c:strRef>
              <c:f>'24'!$B$1</c:f>
              <c:strCache>
                <c:ptCount val="1"/>
                <c:pt idx="0">
                  <c:v>2019</c:v>
                </c:pt>
              </c:strCache>
            </c:strRef>
          </c:tx>
          <c:spPr>
            <a:ln w="28575" cap="rnd">
              <a:solidFill>
                <a:schemeClr val="accent1"/>
              </a:solidFill>
              <a:round/>
            </a:ln>
            <a:effectLst/>
          </c:spPr>
          <c:marker>
            <c:symbol val="none"/>
          </c:marker>
          <c:cat>
            <c:strRef>
              <c:f>'24'!$A$2:$A$13</c:f>
              <c:strCache>
                <c:ptCount val="12"/>
                <c:pt idx="0">
                  <c:v>Ocak</c:v>
                </c:pt>
                <c:pt idx="1">
                  <c:v>Şubat</c:v>
                </c:pt>
                <c:pt idx="2">
                  <c:v>Mart</c:v>
                </c:pt>
                <c:pt idx="3">
                  <c:v>Nisan</c:v>
                </c:pt>
                <c:pt idx="4">
                  <c:v>Mayıs</c:v>
                </c:pt>
                <c:pt idx="5">
                  <c:v>Haziran</c:v>
                </c:pt>
                <c:pt idx="6">
                  <c:v>Temmuz</c:v>
                </c:pt>
                <c:pt idx="7">
                  <c:v>Ağustos</c:v>
                </c:pt>
                <c:pt idx="8">
                  <c:v>Eylül</c:v>
                </c:pt>
                <c:pt idx="9">
                  <c:v>Ekim</c:v>
                </c:pt>
                <c:pt idx="10">
                  <c:v>Kasım</c:v>
                </c:pt>
                <c:pt idx="11">
                  <c:v>Aralık</c:v>
                </c:pt>
              </c:strCache>
            </c:strRef>
          </c:cat>
          <c:val>
            <c:numRef>
              <c:f>'24'!$B$2:$B$13</c:f>
              <c:numCache>
                <c:formatCode>#\ ###\ ###\ ##0</c:formatCode>
                <c:ptCount val="12"/>
                <c:pt idx="0">
                  <c:v>1475459.058</c:v>
                </c:pt>
                <c:pt idx="1">
                  <c:v>1375930.1310000001</c:v>
                </c:pt>
                <c:pt idx="2">
                  <c:v>1515911.466</c:v>
                </c:pt>
                <c:pt idx="3">
                  <c:v>1376337.2549999999</c:v>
                </c:pt>
                <c:pt idx="4">
                  <c:v>1628333.5560000001</c:v>
                </c:pt>
                <c:pt idx="5">
                  <c:v>1140639.679</c:v>
                </c:pt>
                <c:pt idx="6">
                  <c:v>1643574.2309999999</c:v>
                </c:pt>
                <c:pt idx="7">
                  <c:v>1519794.2690000001</c:v>
                </c:pt>
                <c:pt idx="8">
                  <c:v>1438763.787</c:v>
                </c:pt>
                <c:pt idx="9">
                  <c:v>1338433.385</c:v>
                </c:pt>
                <c:pt idx="10">
                  <c:v>1127569.132</c:v>
                </c:pt>
                <c:pt idx="11">
                  <c:v>1311922.368</c:v>
                </c:pt>
              </c:numCache>
            </c:numRef>
          </c:val>
          <c:smooth val="0"/>
          <c:extLst>
            <c:ext xmlns:c16="http://schemas.microsoft.com/office/drawing/2014/chart" uri="{C3380CC4-5D6E-409C-BE32-E72D297353CC}">
              <c16:uniqueId val="{00000000-FE95-4F42-8A2F-55CE2BE59603}"/>
            </c:ext>
          </c:extLst>
        </c:ser>
        <c:ser>
          <c:idx val="1"/>
          <c:order val="1"/>
          <c:tx>
            <c:strRef>
              <c:f>'24'!$C$1</c:f>
              <c:strCache>
                <c:ptCount val="1"/>
                <c:pt idx="0">
                  <c:v>2020</c:v>
                </c:pt>
              </c:strCache>
            </c:strRef>
          </c:tx>
          <c:spPr>
            <a:ln w="28575" cap="rnd">
              <a:solidFill>
                <a:schemeClr val="accent2"/>
              </a:solidFill>
              <a:round/>
            </a:ln>
            <a:effectLst/>
          </c:spPr>
          <c:marker>
            <c:symbol val="none"/>
          </c:marker>
          <c:cat>
            <c:strRef>
              <c:f>'24'!$A$2:$A$13</c:f>
              <c:strCache>
                <c:ptCount val="12"/>
                <c:pt idx="0">
                  <c:v>Ocak</c:v>
                </c:pt>
                <c:pt idx="1">
                  <c:v>Şubat</c:v>
                </c:pt>
                <c:pt idx="2">
                  <c:v>Mart</c:v>
                </c:pt>
                <c:pt idx="3">
                  <c:v>Nisan</c:v>
                </c:pt>
                <c:pt idx="4">
                  <c:v>Mayıs</c:v>
                </c:pt>
                <c:pt idx="5">
                  <c:v>Haziran</c:v>
                </c:pt>
                <c:pt idx="6">
                  <c:v>Temmuz</c:v>
                </c:pt>
                <c:pt idx="7">
                  <c:v>Ağustos</c:v>
                </c:pt>
                <c:pt idx="8">
                  <c:v>Eylül</c:v>
                </c:pt>
                <c:pt idx="9">
                  <c:v>Ekim</c:v>
                </c:pt>
                <c:pt idx="10">
                  <c:v>Kasım</c:v>
                </c:pt>
                <c:pt idx="11">
                  <c:v>Aralık</c:v>
                </c:pt>
              </c:strCache>
            </c:strRef>
          </c:cat>
          <c:val>
            <c:numRef>
              <c:f>'24'!$C$2:$C$13</c:f>
              <c:numCache>
                <c:formatCode>#\ ###\ ###\ ##0</c:formatCode>
                <c:ptCount val="12"/>
                <c:pt idx="0">
                  <c:v>1334340.216</c:v>
                </c:pt>
                <c:pt idx="1">
                  <c:v>1234241.865</c:v>
                </c:pt>
                <c:pt idx="2">
                  <c:v>1300423.5619999999</c:v>
                </c:pt>
                <c:pt idx="3">
                  <c:v>1055891.952</c:v>
                </c:pt>
                <c:pt idx="4">
                  <c:v>1391404.8670000001</c:v>
                </c:pt>
                <c:pt idx="5">
                  <c:v>1585555.7660000001</c:v>
                </c:pt>
                <c:pt idx="6">
                  <c:v>1319189.068</c:v>
                </c:pt>
                <c:pt idx="7">
                  <c:v>1213595.514</c:v>
                </c:pt>
                <c:pt idx="8">
                  <c:v>1279462.9110000001</c:v>
                </c:pt>
                <c:pt idx="9">
                  <c:v>1697825.7220000001</c:v>
                </c:pt>
                <c:pt idx="10">
                  <c:v>1333881.1100000001</c:v>
                </c:pt>
                <c:pt idx="11">
                  <c:v>1721778.321</c:v>
                </c:pt>
              </c:numCache>
            </c:numRef>
          </c:val>
          <c:smooth val="0"/>
          <c:extLst>
            <c:ext xmlns:c16="http://schemas.microsoft.com/office/drawing/2014/chart" uri="{C3380CC4-5D6E-409C-BE32-E72D297353CC}">
              <c16:uniqueId val="{00000001-FE95-4F42-8A2F-55CE2BE59603}"/>
            </c:ext>
          </c:extLst>
        </c:ser>
        <c:dLbls>
          <c:showLegendKey val="0"/>
          <c:showVal val="0"/>
          <c:showCatName val="0"/>
          <c:showSerName val="0"/>
          <c:showPercent val="0"/>
          <c:showBubbleSize val="0"/>
        </c:dLbls>
        <c:smooth val="0"/>
        <c:axId val="249529864"/>
        <c:axId val="1"/>
      </c:lineChart>
      <c:catAx>
        <c:axId val="249529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 ###\ ###\ ##0"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9529864"/>
        <c:crosses val="autoZero"/>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tr-TR" sz="1050"/>
              <a:t>Giyim </a:t>
            </a:r>
            <a:r>
              <a:rPr lang="tr-TR" sz="1050">
                <a:latin typeface="Times New Roman" panose="02020603050405020304" pitchFamily="18" charset="0"/>
                <a:cs typeface="Times New Roman" panose="02020603050405020304" pitchFamily="18" charset="0"/>
              </a:rPr>
              <a:t>Eşyalarının</a:t>
            </a:r>
            <a:r>
              <a:rPr lang="tr-TR" sz="1050" baseline="0"/>
              <a:t> İmalatı</a:t>
            </a:r>
            <a:endParaRPr lang="tr-TR" sz="1050"/>
          </a:p>
        </c:rich>
      </c:tx>
      <c:overlay val="0"/>
      <c:spPr>
        <a:noFill/>
        <a:ln w="25400">
          <a:noFill/>
        </a:ln>
      </c:spPr>
    </c:title>
    <c:autoTitleDeleted val="0"/>
    <c:plotArea>
      <c:layout/>
      <c:lineChart>
        <c:grouping val="standard"/>
        <c:varyColors val="0"/>
        <c:ser>
          <c:idx val="0"/>
          <c:order val="0"/>
          <c:tx>
            <c:strRef>
              <c:f>'14'!$B$1</c:f>
              <c:strCache>
                <c:ptCount val="1"/>
                <c:pt idx="0">
                  <c:v>2019</c:v>
                </c:pt>
              </c:strCache>
            </c:strRef>
          </c:tx>
          <c:spPr>
            <a:ln w="28575" cap="rnd">
              <a:solidFill>
                <a:schemeClr val="accent1"/>
              </a:solidFill>
              <a:round/>
            </a:ln>
            <a:effectLst/>
          </c:spPr>
          <c:marker>
            <c:symbol val="none"/>
          </c:marker>
          <c:cat>
            <c:strRef>
              <c:f>'14'!$A$2:$A$13</c:f>
              <c:strCache>
                <c:ptCount val="12"/>
                <c:pt idx="0">
                  <c:v>Ocak</c:v>
                </c:pt>
                <c:pt idx="1">
                  <c:v>Şubat</c:v>
                </c:pt>
                <c:pt idx="2">
                  <c:v>Mart</c:v>
                </c:pt>
                <c:pt idx="3">
                  <c:v>Nisan</c:v>
                </c:pt>
                <c:pt idx="4">
                  <c:v>Mayıs</c:v>
                </c:pt>
                <c:pt idx="5">
                  <c:v>Haziran</c:v>
                </c:pt>
                <c:pt idx="6">
                  <c:v>Temmuz</c:v>
                </c:pt>
                <c:pt idx="7">
                  <c:v>Ağustos</c:v>
                </c:pt>
                <c:pt idx="8">
                  <c:v>Eylül</c:v>
                </c:pt>
                <c:pt idx="9">
                  <c:v>Ekim</c:v>
                </c:pt>
                <c:pt idx="10">
                  <c:v>Kasım</c:v>
                </c:pt>
                <c:pt idx="11">
                  <c:v>Aralık</c:v>
                </c:pt>
              </c:strCache>
            </c:strRef>
          </c:cat>
          <c:val>
            <c:numRef>
              <c:f>'14'!$B$2:$B$13</c:f>
              <c:numCache>
                <c:formatCode>#\ ###\ ###\ ##0</c:formatCode>
                <c:ptCount val="12"/>
                <c:pt idx="0">
                  <c:v>1306538.0079999999</c:v>
                </c:pt>
                <c:pt idx="1">
                  <c:v>1308673.6869999999</c:v>
                </c:pt>
                <c:pt idx="2">
                  <c:v>1559073.128</c:v>
                </c:pt>
                <c:pt idx="3">
                  <c:v>1383361.308</c:v>
                </c:pt>
                <c:pt idx="4">
                  <c:v>1476755.3529999999</c:v>
                </c:pt>
                <c:pt idx="5">
                  <c:v>1005542.679</c:v>
                </c:pt>
                <c:pt idx="6">
                  <c:v>1561831.6470000001</c:v>
                </c:pt>
                <c:pt idx="7">
                  <c:v>1315010.17</c:v>
                </c:pt>
                <c:pt idx="8">
                  <c:v>1393679.791</c:v>
                </c:pt>
                <c:pt idx="9">
                  <c:v>1436192.0349999999</c:v>
                </c:pt>
                <c:pt idx="10">
                  <c:v>1406707.82</c:v>
                </c:pt>
                <c:pt idx="11">
                  <c:v>1200307.362</c:v>
                </c:pt>
              </c:numCache>
            </c:numRef>
          </c:val>
          <c:smooth val="0"/>
          <c:extLst>
            <c:ext xmlns:c16="http://schemas.microsoft.com/office/drawing/2014/chart" uri="{C3380CC4-5D6E-409C-BE32-E72D297353CC}">
              <c16:uniqueId val="{00000000-79E9-4662-BB35-D6572BFB0E1E}"/>
            </c:ext>
          </c:extLst>
        </c:ser>
        <c:ser>
          <c:idx val="1"/>
          <c:order val="1"/>
          <c:tx>
            <c:strRef>
              <c:f>'14'!$C$1</c:f>
              <c:strCache>
                <c:ptCount val="1"/>
                <c:pt idx="0">
                  <c:v>2020</c:v>
                </c:pt>
              </c:strCache>
            </c:strRef>
          </c:tx>
          <c:spPr>
            <a:ln w="28575" cap="rnd">
              <a:solidFill>
                <a:schemeClr val="accent2"/>
              </a:solidFill>
              <a:round/>
            </a:ln>
            <a:effectLst/>
          </c:spPr>
          <c:marker>
            <c:symbol val="none"/>
          </c:marker>
          <c:cat>
            <c:strRef>
              <c:f>'14'!$A$2:$A$13</c:f>
              <c:strCache>
                <c:ptCount val="12"/>
                <c:pt idx="0">
                  <c:v>Ocak</c:v>
                </c:pt>
                <c:pt idx="1">
                  <c:v>Şubat</c:v>
                </c:pt>
                <c:pt idx="2">
                  <c:v>Mart</c:v>
                </c:pt>
                <c:pt idx="3">
                  <c:v>Nisan</c:v>
                </c:pt>
                <c:pt idx="4">
                  <c:v>Mayıs</c:v>
                </c:pt>
                <c:pt idx="5">
                  <c:v>Haziran</c:v>
                </c:pt>
                <c:pt idx="6">
                  <c:v>Temmuz</c:v>
                </c:pt>
                <c:pt idx="7">
                  <c:v>Ağustos</c:v>
                </c:pt>
                <c:pt idx="8">
                  <c:v>Eylül</c:v>
                </c:pt>
                <c:pt idx="9">
                  <c:v>Ekim</c:v>
                </c:pt>
                <c:pt idx="10">
                  <c:v>Kasım</c:v>
                </c:pt>
                <c:pt idx="11">
                  <c:v>Aralık</c:v>
                </c:pt>
              </c:strCache>
            </c:strRef>
          </c:cat>
          <c:val>
            <c:numRef>
              <c:f>'14'!$C$2:$C$13</c:f>
              <c:numCache>
                <c:formatCode>#\ ###\ ###\ ##0</c:formatCode>
                <c:ptCount val="12"/>
                <c:pt idx="0">
                  <c:v>1380587.4580000001</c:v>
                </c:pt>
                <c:pt idx="1">
                  <c:v>1392005.4820000001</c:v>
                </c:pt>
                <c:pt idx="2">
                  <c:v>1082667.466</c:v>
                </c:pt>
                <c:pt idx="3">
                  <c:v>474864.97200000001</c:v>
                </c:pt>
                <c:pt idx="4">
                  <c:v>692664.03</c:v>
                </c:pt>
                <c:pt idx="5">
                  <c:v>1158937.8729999999</c:v>
                </c:pt>
                <c:pt idx="6">
                  <c:v>1632646.06</c:v>
                </c:pt>
                <c:pt idx="7">
                  <c:v>1377537.3030000001</c:v>
                </c:pt>
                <c:pt idx="8">
                  <c:v>1594754.7490000001</c:v>
                </c:pt>
                <c:pt idx="9">
                  <c:v>1653361.077</c:v>
                </c:pt>
                <c:pt idx="10">
                  <c:v>1327089.926</c:v>
                </c:pt>
                <c:pt idx="11">
                  <c:v>1454374.263</c:v>
                </c:pt>
              </c:numCache>
            </c:numRef>
          </c:val>
          <c:smooth val="0"/>
          <c:extLst>
            <c:ext xmlns:c16="http://schemas.microsoft.com/office/drawing/2014/chart" uri="{C3380CC4-5D6E-409C-BE32-E72D297353CC}">
              <c16:uniqueId val="{00000001-79E9-4662-BB35-D6572BFB0E1E}"/>
            </c:ext>
          </c:extLst>
        </c:ser>
        <c:dLbls>
          <c:showLegendKey val="0"/>
          <c:showVal val="0"/>
          <c:showCatName val="0"/>
          <c:showSerName val="0"/>
          <c:showPercent val="0"/>
          <c:showBubbleSize val="0"/>
        </c:dLbls>
        <c:smooth val="0"/>
        <c:axId val="183588128"/>
        <c:axId val="1"/>
      </c:lineChart>
      <c:catAx>
        <c:axId val="18358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 ###\ ###\ ##0"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588128"/>
        <c:crosses val="autoZero"/>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tr-TR" sz="1050">
                <a:latin typeface="Times New Roman" panose="02020603050405020304" pitchFamily="18" charset="0"/>
                <a:cs typeface="Times New Roman" panose="02020603050405020304" pitchFamily="18" charset="0"/>
              </a:rPr>
              <a:t>Tekstil Ürünlerinin İmalatı</a:t>
            </a:r>
          </a:p>
        </c:rich>
      </c:tx>
      <c:overlay val="0"/>
      <c:spPr>
        <a:noFill/>
        <a:ln w="25400">
          <a:noFill/>
        </a:ln>
      </c:spPr>
    </c:title>
    <c:autoTitleDeleted val="0"/>
    <c:plotArea>
      <c:layout/>
      <c:lineChart>
        <c:grouping val="standard"/>
        <c:varyColors val="0"/>
        <c:ser>
          <c:idx val="0"/>
          <c:order val="0"/>
          <c:tx>
            <c:strRef>
              <c:f>'13'!$B$1</c:f>
              <c:strCache>
                <c:ptCount val="1"/>
                <c:pt idx="0">
                  <c:v>2019</c:v>
                </c:pt>
              </c:strCache>
            </c:strRef>
          </c:tx>
          <c:spPr>
            <a:ln w="28575" cap="rnd">
              <a:solidFill>
                <a:schemeClr val="accent1"/>
              </a:solidFill>
              <a:round/>
            </a:ln>
            <a:effectLst/>
          </c:spPr>
          <c:marker>
            <c:symbol val="none"/>
          </c:marker>
          <c:cat>
            <c:strRef>
              <c:f>'13'!$A$2:$A$13</c:f>
              <c:strCache>
                <c:ptCount val="12"/>
                <c:pt idx="0">
                  <c:v>Ocak</c:v>
                </c:pt>
                <c:pt idx="1">
                  <c:v>Şubat</c:v>
                </c:pt>
                <c:pt idx="2">
                  <c:v>Mart</c:v>
                </c:pt>
                <c:pt idx="3">
                  <c:v>Nisan</c:v>
                </c:pt>
                <c:pt idx="4">
                  <c:v>Mayıs</c:v>
                </c:pt>
                <c:pt idx="5">
                  <c:v>Haziran</c:v>
                </c:pt>
                <c:pt idx="6">
                  <c:v>Temmuz</c:v>
                </c:pt>
                <c:pt idx="7">
                  <c:v>Ağustos</c:v>
                </c:pt>
                <c:pt idx="8">
                  <c:v>Eylül</c:v>
                </c:pt>
                <c:pt idx="9">
                  <c:v>Ekim</c:v>
                </c:pt>
                <c:pt idx="10">
                  <c:v>Kasım</c:v>
                </c:pt>
                <c:pt idx="11">
                  <c:v>Aralık</c:v>
                </c:pt>
              </c:strCache>
            </c:strRef>
          </c:cat>
          <c:val>
            <c:numRef>
              <c:f>'13'!$B$2:$B$13</c:f>
              <c:numCache>
                <c:formatCode>#\ ###\ ###\ ##0</c:formatCode>
                <c:ptCount val="12"/>
                <c:pt idx="0">
                  <c:v>910069.78399999999</c:v>
                </c:pt>
                <c:pt idx="1">
                  <c:v>888122.47699999996</c:v>
                </c:pt>
                <c:pt idx="2">
                  <c:v>1024033.203</c:v>
                </c:pt>
                <c:pt idx="3">
                  <c:v>1002950.111</c:v>
                </c:pt>
                <c:pt idx="4">
                  <c:v>1131919.797</c:v>
                </c:pt>
                <c:pt idx="5">
                  <c:v>708790.37899999996</c:v>
                </c:pt>
                <c:pt idx="6">
                  <c:v>989227.77899999998</c:v>
                </c:pt>
                <c:pt idx="7">
                  <c:v>840066.28500000003</c:v>
                </c:pt>
                <c:pt idx="8">
                  <c:v>1000849.88</c:v>
                </c:pt>
                <c:pt idx="9">
                  <c:v>1059269.993</c:v>
                </c:pt>
                <c:pt idx="10">
                  <c:v>1032425.725</c:v>
                </c:pt>
                <c:pt idx="11">
                  <c:v>918098.73400000005</c:v>
                </c:pt>
              </c:numCache>
            </c:numRef>
          </c:val>
          <c:smooth val="0"/>
          <c:extLst>
            <c:ext xmlns:c16="http://schemas.microsoft.com/office/drawing/2014/chart" uri="{C3380CC4-5D6E-409C-BE32-E72D297353CC}">
              <c16:uniqueId val="{00000000-2A95-48D6-B7D1-A14C6BD91122}"/>
            </c:ext>
          </c:extLst>
        </c:ser>
        <c:ser>
          <c:idx val="1"/>
          <c:order val="1"/>
          <c:tx>
            <c:strRef>
              <c:f>'13'!$C$1</c:f>
              <c:strCache>
                <c:ptCount val="1"/>
                <c:pt idx="0">
                  <c:v>2020</c:v>
                </c:pt>
              </c:strCache>
            </c:strRef>
          </c:tx>
          <c:spPr>
            <a:ln w="28575" cap="rnd">
              <a:solidFill>
                <a:schemeClr val="accent2"/>
              </a:solidFill>
              <a:round/>
            </a:ln>
            <a:effectLst/>
          </c:spPr>
          <c:marker>
            <c:symbol val="none"/>
          </c:marker>
          <c:cat>
            <c:strRef>
              <c:f>'13'!$A$2:$A$13</c:f>
              <c:strCache>
                <c:ptCount val="12"/>
                <c:pt idx="0">
                  <c:v>Ocak</c:v>
                </c:pt>
                <c:pt idx="1">
                  <c:v>Şubat</c:v>
                </c:pt>
                <c:pt idx="2">
                  <c:v>Mart</c:v>
                </c:pt>
                <c:pt idx="3">
                  <c:v>Nisan</c:v>
                </c:pt>
                <c:pt idx="4">
                  <c:v>Mayıs</c:v>
                </c:pt>
                <c:pt idx="5">
                  <c:v>Haziran</c:v>
                </c:pt>
                <c:pt idx="6">
                  <c:v>Temmuz</c:v>
                </c:pt>
                <c:pt idx="7">
                  <c:v>Ağustos</c:v>
                </c:pt>
                <c:pt idx="8">
                  <c:v>Eylül</c:v>
                </c:pt>
                <c:pt idx="9">
                  <c:v>Ekim</c:v>
                </c:pt>
                <c:pt idx="10">
                  <c:v>Kasım</c:v>
                </c:pt>
                <c:pt idx="11">
                  <c:v>Aralık</c:v>
                </c:pt>
              </c:strCache>
            </c:strRef>
          </c:cat>
          <c:val>
            <c:numRef>
              <c:f>'13'!$C$2:$C$13</c:f>
              <c:numCache>
                <c:formatCode>#\ ###\ ###\ ##0</c:formatCode>
                <c:ptCount val="12"/>
                <c:pt idx="0">
                  <c:v>969890.09100000001</c:v>
                </c:pt>
                <c:pt idx="1">
                  <c:v>969857.27599999995</c:v>
                </c:pt>
                <c:pt idx="2">
                  <c:v>880707.16</c:v>
                </c:pt>
                <c:pt idx="3">
                  <c:v>441847.18099999998</c:v>
                </c:pt>
                <c:pt idx="4">
                  <c:v>625565.89899999998</c:v>
                </c:pt>
                <c:pt idx="5">
                  <c:v>906054.98</c:v>
                </c:pt>
                <c:pt idx="6">
                  <c:v>1072408.7520000001</c:v>
                </c:pt>
                <c:pt idx="7">
                  <c:v>921503.00100000005</c:v>
                </c:pt>
                <c:pt idx="8">
                  <c:v>1138337.551</c:v>
                </c:pt>
                <c:pt idx="9">
                  <c:v>1224531.24</c:v>
                </c:pt>
                <c:pt idx="10">
                  <c:v>1118107.273</c:v>
                </c:pt>
                <c:pt idx="11">
                  <c:v>1217862.4350000001</c:v>
                </c:pt>
              </c:numCache>
            </c:numRef>
          </c:val>
          <c:smooth val="0"/>
          <c:extLst>
            <c:ext xmlns:c16="http://schemas.microsoft.com/office/drawing/2014/chart" uri="{C3380CC4-5D6E-409C-BE32-E72D297353CC}">
              <c16:uniqueId val="{00000001-2A95-48D6-B7D1-A14C6BD91122}"/>
            </c:ext>
          </c:extLst>
        </c:ser>
        <c:dLbls>
          <c:showLegendKey val="0"/>
          <c:showVal val="0"/>
          <c:showCatName val="0"/>
          <c:showSerName val="0"/>
          <c:showPercent val="0"/>
          <c:showBubbleSize val="0"/>
        </c:dLbls>
        <c:smooth val="0"/>
        <c:axId val="179917672"/>
        <c:axId val="1"/>
      </c:lineChart>
      <c:catAx>
        <c:axId val="179917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 ###\ ###\ ##0"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9917672"/>
        <c:crosses val="autoZero"/>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tr-TR" sz="1050">
                <a:latin typeface="Times New Roman" panose="02020603050405020304" pitchFamily="18" charset="0"/>
                <a:cs typeface="Times New Roman" panose="02020603050405020304" pitchFamily="18" charset="0"/>
              </a:rPr>
              <a:t>Elektrikli Teçhizat</a:t>
            </a:r>
            <a:r>
              <a:rPr lang="tr-TR" sz="1050" baseline="0">
                <a:latin typeface="Times New Roman" panose="02020603050405020304" pitchFamily="18" charset="0"/>
                <a:cs typeface="Times New Roman" panose="02020603050405020304" pitchFamily="18" charset="0"/>
              </a:rPr>
              <a:t> İmalatı</a:t>
            </a:r>
            <a:endParaRPr lang="tr-TR" sz="1050">
              <a:latin typeface="Times New Roman" panose="02020603050405020304" pitchFamily="18" charset="0"/>
              <a:cs typeface="Times New Roman" panose="02020603050405020304" pitchFamily="18" charset="0"/>
            </a:endParaRPr>
          </a:p>
        </c:rich>
      </c:tx>
      <c:overlay val="0"/>
      <c:spPr>
        <a:noFill/>
        <a:ln w="25400">
          <a:noFill/>
        </a:ln>
      </c:spPr>
    </c:title>
    <c:autoTitleDeleted val="0"/>
    <c:plotArea>
      <c:layout/>
      <c:lineChart>
        <c:grouping val="standard"/>
        <c:varyColors val="0"/>
        <c:ser>
          <c:idx val="0"/>
          <c:order val="0"/>
          <c:tx>
            <c:strRef>
              <c:f>'27'!$B$1</c:f>
              <c:strCache>
                <c:ptCount val="1"/>
                <c:pt idx="0">
                  <c:v>2019</c:v>
                </c:pt>
              </c:strCache>
            </c:strRef>
          </c:tx>
          <c:spPr>
            <a:ln w="28575" cap="rnd">
              <a:solidFill>
                <a:schemeClr val="accent1"/>
              </a:solidFill>
              <a:round/>
            </a:ln>
            <a:effectLst/>
          </c:spPr>
          <c:marker>
            <c:symbol val="none"/>
          </c:marker>
          <c:cat>
            <c:strRef>
              <c:f>'27'!$A$2:$A$13</c:f>
              <c:strCache>
                <c:ptCount val="12"/>
                <c:pt idx="0">
                  <c:v>Ocak</c:v>
                </c:pt>
                <c:pt idx="1">
                  <c:v>Şubat</c:v>
                </c:pt>
                <c:pt idx="2">
                  <c:v>Mart</c:v>
                </c:pt>
                <c:pt idx="3">
                  <c:v>Nisan</c:v>
                </c:pt>
                <c:pt idx="4">
                  <c:v>Mayıs</c:v>
                </c:pt>
                <c:pt idx="5">
                  <c:v>Haziran</c:v>
                </c:pt>
                <c:pt idx="6">
                  <c:v>Temmuz</c:v>
                </c:pt>
                <c:pt idx="7">
                  <c:v>Ağustos</c:v>
                </c:pt>
                <c:pt idx="8">
                  <c:v>Eylül</c:v>
                </c:pt>
                <c:pt idx="9">
                  <c:v>Ekim</c:v>
                </c:pt>
                <c:pt idx="10">
                  <c:v>Kasım</c:v>
                </c:pt>
                <c:pt idx="11">
                  <c:v>Aralık</c:v>
                </c:pt>
              </c:strCache>
            </c:strRef>
          </c:cat>
          <c:val>
            <c:numRef>
              <c:f>'27'!$B$2:$B$13</c:f>
              <c:numCache>
                <c:formatCode>#\ ###\ ###\ ##0</c:formatCode>
                <c:ptCount val="12"/>
                <c:pt idx="0">
                  <c:v>778537.24800000002</c:v>
                </c:pt>
                <c:pt idx="1">
                  <c:v>912241.76500000001</c:v>
                </c:pt>
                <c:pt idx="2">
                  <c:v>977876.39099999995</c:v>
                </c:pt>
                <c:pt idx="3">
                  <c:v>938766.17599999998</c:v>
                </c:pt>
                <c:pt idx="4">
                  <c:v>1054595.298</c:v>
                </c:pt>
                <c:pt idx="5">
                  <c:v>748077.05299999996</c:v>
                </c:pt>
                <c:pt idx="6">
                  <c:v>958639.95600000001</c:v>
                </c:pt>
                <c:pt idx="7">
                  <c:v>885837.59199999995</c:v>
                </c:pt>
                <c:pt idx="8">
                  <c:v>1021523.155</c:v>
                </c:pt>
                <c:pt idx="9">
                  <c:v>1037860.669</c:v>
                </c:pt>
                <c:pt idx="10">
                  <c:v>1015866.002</c:v>
                </c:pt>
                <c:pt idx="11">
                  <c:v>974874.26599999995</c:v>
                </c:pt>
              </c:numCache>
            </c:numRef>
          </c:val>
          <c:smooth val="0"/>
          <c:extLst>
            <c:ext xmlns:c16="http://schemas.microsoft.com/office/drawing/2014/chart" uri="{C3380CC4-5D6E-409C-BE32-E72D297353CC}">
              <c16:uniqueId val="{00000000-08C1-4C0F-AD2B-02C8BB8AE011}"/>
            </c:ext>
          </c:extLst>
        </c:ser>
        <c:ser>
          <c:idx val="1"/>
          <c:order val="1"/>
          <c:tx>
            <c:strRef>
              <c:f>'27'!$C$1</c:f>
              <c:strCache>
                <c:ptCount val="1"/>
                <c:pt idx="0">
                  <c:v>2020</c:v>
                </c:pt>
              </c:strCache>
            </c:strRef>
          </c:tx>
          <c:spPr>
            <a:ln w="28575" cap="rnd">
              <a:solidFill>
                <a:schemeClr val="accent2"/>
              </a:solidFill>
              <a:round/>
            </a:ln>
            <a:effectLst/>
          </c:spPr>
          <c:marker>
            <c:symbol val="none"/>
          </c:marker>
          <c:cat>
            <c:strRef>
              <c:f>'27'!$A$2:$A$13</c:f>
              <c:strCache>
                <c:ptCount val="12"/>
                <c:pt idx="0">
                  <c:v>Ocak</c:v>
                </c:pt>
                <c:pt idx="1">
                  <c:v>Şubat</c:v>
                </c:pt>
                <c:pt idx="2">
                  <c:v>Mart</c:v>
                </c:pt>
                <c:pt idx="3">
                  <c:v>Nisan</c:v>
                </c:pt>
                <c:pt idx="4">
                  <c:v>Mayıs</c:v>
                </c:pt>
                <c:pt idx="5">
                  <c:v>Haziran</c:v>
                </c:pt>
                <c:pt idx="6">
                  <c:v>Temmuz</c:v>
                </c:pt>
                <c:pt idx="7">
                  <c:v>Ağustos</c:v>
                </c:pt>
                <c:pt idx="8">
                  <c:v>Eylül</c:v>
                </c:pt>
                <c:pt idx="9">
                  <c:v>Ekim</c:v>
                </c:pt>
                <c:pt idx="10">
                  <c:v>Kasım</c:v>
                </c:pt>
                <c:pt idx="11">
                  <c:v>Aralık</c:v>
                </c:pt>
              </c:strCache>
            </c:strRef>
          </c:cat>
          <c:val>
            <c:numRef>
              <c:f>'27'!$C$2:$C$13</c:f>
              <c:numCache>
                <c:formatCode>#\ ###\ ###\ ##0</c:formatCode>
                <c:ptCount val="12"/>
                <c:pt idx="0">
                  <c:v>889180.19799999997</c:v>
                </c:pt>
                <c:pt idx="1">
                  <c:v>901727.60499999998</c:v>
                </c:pt>
                <c:pt idx="2">
                  <c:v>845098.47100000002</c:v>
                </c:pt>
                <c:pt idx="3">
                  <c:v>586075.73800000001</c:v>
                </c:pt>
                <c:pt idx="4">
                  <c:v>642789.67700000003</c:v>
                </c:pt>
                <c:pt idx="5">
                  <c:v>923233.84199999995</c:v>
                </c:pt>
                <c:pt idx="6">
                  <c:v>1012328.803</c:v>
                </c:pt>
                <c:pt idx="7">
                  <c:v>884394.94499999995</c:v>
                </c:pt>
                <c:pt idx="8">
                  <c:v>1119519.507</c:v>
                </c:pt>
                <c:pt idx="9">
                  <c:v>1150368.2819999999</c:v>
                </c:pt>
                <c:pt idx="10">
                  <c:v>1109889.405</c:v>
                </c:pt>
                <c:pt idx="11">
                  <c:v>1230625.6270000001</c:v>
                </c:pt>
              </c:numCache>
            </c:numRef>
          </c:val>
          <c:smooth val="0"/>
          <c:extLst>
            <c:ext xmlns:c16="http://schemas.microsoft.com/office/drawing/2014/chart" uri="{C3380CC4-5D6E-409C-BE32-E72D297353CC}">
              <c16:uniqueId val="{00000001-08C1-4C0F-AD2B-02C8BB8AE011}"/>
            </c:ext>
          </c:extLst>
        </c:ser>
        <c:dLbls>
          <c:showLegendKey val="0"/>
          <c:showVal val="0"/>
          <c:showCatName val="0"/>
          <c:showSerName val="0"/>
          <c:showPercent val="0"/>
          <c:showBubbleSize val="0"/>
        </c:dLbls>
        <c:smooth val="0"/>
        <c:axId val="249933904"/>
        <c:axId val="1"/>
      </c:lineChart>
      <c:catAx>
        <c:axId val="249933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 ###\ ###\ ##0"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9933904"/>
        <c:crosses val="autoZero"/>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tr-TR" sz="1050">
                <a:latin typeface="Times New Roman" panose="02020603050405020304" pitchFamily="18" charset="0"/>
                <a:cs typeface="Times New Roman" panose="02020603050405020304" pitchFamily="18" charset="0"/>
              </a:rPr>
              <a:t>Kauçuk ve Plastik</a:t>
            </a:r>
            <a:r>
              <a:rPr lang="tr-TR" sz="1050" baseline="0">
                <a:latin typeface="Times New Roman" panose="02020603050405020304" pitchFamily="18" charset="0"/>
                <a:cs typeface="Times New Roman" panose="02020603050405020304" pitchFamily="18" charset="0"/>
              </a:rPr>
              <a:t> Ürünlerin İmalatı</a:t>
            </a:r>
            <a:endParaRPr lang="tr-TR" sz="1050">
              <a:latin typeface="Times New Roman" panose="02020603050405020304" pitchFamily="18" charset="0"/>
              <a:cs typeface="Times New Roman" panose="02020603050405020304" pitchFamily="18" charset="0"/>
            </a:endParaRPr>
          </a:p>
        </c:rich>
      </c:tx>
      <c:overlay val="0"/>
      <c:spPr>
        <a:noFill/>
        <a:ln w="25400">
          <a:noFill/>
        </a:ln>
      </c:spPr>
    </c:title>
    <c:autoTitleDeleted val="0"/>
    <c:plotArea>
      <c:layout/>
      <c:lineChart>
        <c:grouping val="standard"/>
        <c:varyColors val="0"/>
        <c:ser>
          <c:idx val="0"/>
          <c:order val="0"/>
          <c:tx>
            <c:strRef>
              <c:f>'22'!$B$1</c:f>
              <c:strCache>
                <c:ptCount val="1"/>
                <c:pt idx="0">
                  <c:v>2019</c:v>
                </c:pt>
              </c:strCache>
            </c:strRef>
          </c:tx>
          <c:spPr>
            <a:ln w="28575" cap="rnd">
              <a:solidFill>
                <a:schemeClr val="accent1"/>
              </a:solidFill>
              <a:round/>
            </a:ln>
            <a:effectLst/>
          </c:spPr>
          <c:marker>
            <c:symbol val="none"/>
          </c:marker>
          <c:cat>
            <c:strRef>
              <c:f>'22'!$A$2:$A$13</c:f>
              <c:strCache>
                <c:ptCount val="12"/>
                <c:pt idx="0">
                  <c:v>Ocak</c:v>
                </c:pt>
                <c:pt idx="1">
                  <c:v>Şubat</c:v>
                </c:pt>
                <c:pt idx="2">
                  <c:v>Mart</c:v>
                </c:pt>
                <c:pt idx="3">
                  <c:v>Nisan</c:v>
                </c:pt>
                <c:pt idx="4">
                  <c:v>Mayıs</c:v>
                </c:pt>
                <c:pt idx="5">
                  <c:v>Haziran</c:v>
                </c:pt>
                <c:pt idx="6">
                  <c:v>Temmuz</c:v>
                </c:pt>
                <c:pt idx="7">
                  <c:v>Ağustos</c:v>
                </c:pt>
                <c:pt idx="8">
                  <c:v>Eylül</c:v>
                </c:pt>
                <c:pt idx="9">
                  <c:v>Ekim</c:v>
                </c:pt>
                <c:pt idx="10">
                  <c:v>Kasım</c:v>
                </c:pt>
                <c:pt idx="11">
                  <c:v>Aralık</c:v>
                </c:pt>
              </c:strCache>
            </c:strRef>
          </c:cat>
          <c:val>
            <c:numRef>
              <c:f>'22'!$B$2:$B$13</c:f>
              <c:numCache>
                <c:formatCode>#\ ###\ ###\ ##0</c:formatCode>
                <c:ptCount val="12"/>
                <c:pt idx="0">
                  <c:v>619578.35400000005</c:v>
                </c:pt>
                <c:pt idx="1">
                  <c:v>637305.32299999997</c:v>
                </c:pt>
                <c:pt idx="2">
                  <c:v>710188.56099999999</c:v>
                </c:pt>
                <c:pt idx="3">
                  <c:v>687183.94799999997</c:v>
                </c:pt>
                <c:pt idx="4">
                  <c:v>769161.56900000002</c:v>
                </c:pt>
                <c:pt idx="5">
                  <c:v>496433.36499999999</c:v>
                </c:pt>
                <c:pt idx="6">
                  <c:v>728121.22600000002</c:v>
                </c:pt>
                <c:pt idx="7">
                  <c:v>603506.23199999996</c:v>
                </c:pt>
                <c:pt idx="8">
                  <c:v>693445.375</c:v>
                </c:pt>
                <c:pt idx="9">
                  <c:v>727222.723</c:v>
                </c:pt>
                <c:pt idx="10">
                  <c:v>680545.17299999995</c:v>
                </c:pt>
                <c:pt idx="11">
                  <c:v>629026.64800000004</c:v>
                </c:pt>
              </c:numCache>
            </c:numRef>
          </c:val>
          <c:smooth val="0"/>
          <c:extLst>
            <c:ext xmlns:c16="http://schemas.microsoft.com/office/drawing/2014/chart" uri="{C3380CC4-5D6E-409C-BE32-E72D297353CC}">
              <c16:uniqueId val="{00000000-3914-44D7-9266-A04912558255}"/>
            </c:ext>
          </c:extLst>
        </c:ser>
        <c:ser>
          <c:idx val="1"/>
          <c:order val="1"/>
          <c:tx>
            <c:strRef>
              <c:f>'22'!$C$1</c:f>
              <c:strCache>
                <c:ptCount val="1"/>
                <c:pt idx="0">
                  <c:v>2020</c:v>
                </c:pt>
              </c:strCache>
            </c:strRef>
          </c:tx>
          <c:spPr>
            <a:ln w="28575" cap="rnd">
              <a:solidFill>
                <a:schemeClr val="accent2"/>
              </a:solidFill>
              <a:round/>
            </a:ln>
            <a:effectLst/>
          </c:spPr>
          <c:marker>
            <c:symbol val="none"/>
          </c:marker>
          <c:cat>
            <c:strRef>
              <c:f>'22'!$A$2:$A$13</c:f>
              <c:strCache>
                <c:ptCount val="12"/>
                <c:pt idx="0">
                  <c:v>Ocak</c:v>
                </c:pt>
                <c:pt idx="1">
                  <c:v>Şubat</c:v>
                </c:pt>
                <c:pt idx="2">
                  <c:v>Mart</c:v>
                </c:pt>
                <c:pt idx="3">
                  <c:v>Nisan</c:v>
                </c:pt>
                <c:pt idx="4">
                  <c:v>Mayıs</c:v>
                </c:pt>
                <c:pt idx="5">
                  <c:v>Haziran</c:v>
                </c:pt>
                <c:pt idx="6">
                  <c:v>Temmuz</c:v>
                </c:pt>
                <c:pt idx="7">
                  <c:v>Ağustos</c:v>
                </c:pt>
                <c:pt idx="8">
                  <c:v>Eylül</c:v>
                </c:pt>
                <c:pt idx="9">
                  <c:v>Ekim</c:v>
                </c:pt>
                <c:pt idx="10">
                  <c:v>Kasım</c:v>
                </c:pt>
                <c:pt idx="11">
                  <c:v>Aralık</c:v>
                </c:pt>
              </c:strCache>
            </c:strRef>
          </c:cat>
          <c:val>
            <c:numRef>
              <c:f>'22'!$C$2:$C$13</c:f>
              <c:numCache>
                <c:formatCode>#\ ###\ ###\ ##0</c:formatCode>
                <c:ptCount val="12"/>
                <c:pt idx="0">
                  <c:v>628622.18999999994</c:v>
                </c:pt>
                <c:pt idx="1">
                  <c:v>645221.91700000002</c:v>
                </c:pt>
                <c:pt idx="2">
                  <c:v>642679.19900000002</c:v>
                </c:pt>
                <c:pt idx="3">
                  <c:v>473220.02</c:v>
                </c:pt>
                <c:pt idx="4">
                  <c:v>493202.54700000002</c:v>
                </c:pt>
                <c:pt idx="5">
                  <c:v>671241.45499999996</c:v>
                </c:pt>
                <c:pt idx="6">
                  <c:v>750232.49199999997</c:v>
                </c:pt>
                <c:pt idx="7">
                  <c:v>644583.28799999994</c:v>
                </c:pt>
                <c:pt idx="8">
                  <c:v>772169.21699999995</c:v>
                </c:pt>
                <c:pt idx="9">
                  <c:v>780678.01199999999</c:v>
                </c:pt>
                <c:pt idx="10">
                  <c:v>740589.48300000001</c:v>
                </c:pt>
                <c:pt idx="11">
                  <c:v>806173.41899999999</c:v>
                </c:pt>
              </c:numCache>
            </c:numRef>
          </c:val>
          <c:smooth val="0"/>
          <c:extLst>
            <c:ext xmlns:c16="http://schemas.microsoft.com/office/drawing/2014/chart" uri="{C3380CC4-5D6E-409C-BE32-E72D297353CC}">
              <c16:uniqueId val="{00000001-3914-44D7-9266-A04912558255}"/>
            </c:ext>
          </c:extLst>
        </c:ser>
        <c:dLbls>
          <c:showLegendKey val="0"/>
          <c:showVal val="0"/>
          <c:showCatName val="0"/>
          <c:showSerName val="0"/>
          <c:showPercent val="0"/>
          <c:showBubbleSize val="0"/>
        </c:dLbls>
        <c:smooth val="0"/>
        <c:axId val="249361000"/>
        <c:axId val="1"/>
      </c:lineChart>
      <c:catAx>
        <c:axId val="249361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 ###\ ###\ ##0"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9361000"/>
        <c:crosses val="autoZero"/>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050">
                <a:latin typeface="Times New Roman" panose="02020603050405020304" pitchFamily="18" charset="0"/>
                <a:cs typeface="Times New Roman" panose="02020603050405020304" pitchFamily="18" charset="0"/>
              </a:rPr>
              <a:t>G</a:t>
            </a:r>
            <a:r>
              <a:rPr lang="tr-TR" sz="1050">
                <a:latin typeface="Times New Roman" panose="02020603050405020304" pitchFamily="18" charset="0"/>
                <a:cs typeface="Times New Roman" panose="02020603050405020304" pitchFamily="18" charset="0"/>
              </a:rPr>
              <a:t>ıda</a:t>
            </a:r>
            <a:r>
              <a:rPr lang="tr-TR" sz="1050" baseline="0">
                <a:latin typeface="Times New Roman" panose="02020603050405020304" pitchFamily="18" charset="0"/>
                <a:cs typeface="Times New Roman" panose="02020603050405020304" pitchFamily="18" charset="0"/>
              </a:rPr>
              <a:t> Ürünleri İmalatı</a:t>
            </a:r>
            <a:endParaRPr lang="en-US" sz="1050">
              <a:latin typeface="Times New Roman" panose="02020603050405020304" pitchFamily="18" charset="0"/>
              <a:cs typeface="Times New Roman" panose="02020603050405020304" pitchFamily="18" charset="0"/>
            </a:endParaRPr>
          </a:p>
        </c:rich>
      </c:tx>
      <c:overlay val="0"/>
      <c:spPr>
        <a:noFill/>
        <a:ln w="25400">
          <a:noFill/>
        </a:ln>
      </c:spPr>
    </c:title>
    <c:autoTitleDeleted val="0"/>
    <c:plotArea>
      <c:layout/>
      <c:lineChart>
        <c:grouping val="standard"/>
        <c:varyColors val="0"/>
        <c:ser>
          <c:idx val="0"/>
          <c:order val="0"/>
          <c:tx>
            <c:strRef>
              <c:f>'10'!$B$1</c:f>
              <c:strCache>
                <c:ptCount val="1"/>
                <c:pt idx="0">
                  <c:v>2019</c:v>
                </c:pt>
              </c:strCache>
            </c:strRef>
          </c:tx>
          <c:spPr>
            <a:ln w="28575" cap="rnd">
              <a:solidFill>
                <a:schemeClr val="accent1"/>
              </a:solidFill>
              <a:round/>
            </a:ln>
            <a:effectLst/>
          </c:spPr>
          <c:marker>
            <c:symbol val="none"/>
          </c:marker>
          <c:cat>
            <c:strRef>
              <c:f>'10'!$A$2:$A$13</c:f>
              <c:strCache>
                <c:ptCount val="12"/>
                <c:pt idx="0">
                  <c:v>Ocak</c:v>
                </c:pt>
                <c:pt idx="1">
                  <c:v>Şubat</c:v>
                </c:pt>
                <c:pt idx="2">
                  <c:v>Mart</c:v>
                </c:pt>
                <c:pt idx="3">
                  <c:v>Nisan</c:v>
                </c:pt>
                <c:pt idx="4">
                  <c:v>Mayıs</c:v>
                </c:pt>
                <c:pt idx="5">
                  <c:v>Haziran</c:v>
                </c:pt>
                <c:pt idx="6">
                  <c:v>Temmuz</c:v>
                </c:pt>
                <c:pt idx="7">
                  <c:v>Ağustos</c:v>
                </c:pt>
                <c:pt idx="8">
                  <c:v>Eylül</c:v>
                </c:pt>
                <c:pt idx="9">
                  <c:v>Ekim</c:v>
                </c:pt>
                <c:pt idx="10">
                  <c:v>Kasım</c:v>
                </c:pt>
                <c:pt idx="11">
                  <c:v>Aralık</c:v>
                </c:pt>
              </c:strCache>
            </c:strRef>
          </c:cat>
          <c:val>
            <c:numRef>
              <c:f>'10'!$B$2:$B$13</c:f>
              <c:numCache>
                <c:formatCode>_-* #,##0\ _T_L_-;\-* #,##0\ _T_L_-;_-* "-"??\ _T_L_-;_-@_-</c:formatCode>
                <c:ptCount val="12"/>
                <c:pt idx="0">
                  <c:v>1064202.0360000001</c:v>
                </c:pt>
                <c:pt idx="1">
                  <c:v>1056887.4350000001</c:v>
                </c:pt>
                <c:pt idx="2">
                  <c:v>1149075.483</c:v>
                </c:pt>
                <c:pt idx="3">
                  <c:v>1114366.358</c:v>
                </c:pt>
                <c:pt idx="4">
                  <c:v>1157535.111</c:v>
                </c:pt>
                <c:pt idx="5">
                  <c:v>705938.54299999995</c:v>
                </c:pt>
                <c:pt idx="6">
                  <c:v>1050528.81</c:v>
                </c:pt>
                <c:pt idx="7">
                  <c:v>877541.88199999998</c:v>
                </c:pt>
                <c:pt idx="8">
                  <c:v>1289262.48</c:v>
                </c:pt>
                <c:pt idx="9">
                  <c:v>1461052.6410000001</c:v>
                </c:pt>
                <c:pt idx="10">
                  <c:v>1323858.193</c:v>
                </c:pt>
                <c:pt idx="11">
                  <c:v>1186293.6629999999</c:v>
                </c:pt>
              </c:numCache>
            </c:numRef>
          </c:val>
          <c:smooth val="0"/>
          <c:extLst>
            <c:ext xmlns:c16="http://schemas.microsoft.com/office/drawing/2014/chart" uri="{C3380CC4-5D6E-409C-BE32-E72D297353CC}">
              <c16:uniqueId val="{00000000-0352-48F1-BEB4-D1FE483C46BF}"/>
            </c:ext>
          </c:extLst>
        </c:ser>
        <c:ser>
          <c:idx val="1"/>
          <c:order val="1"/>
          <c:tx>
            <c:strRef>
              <c:f>'10'!$C$1</c:f>
              <c:strCache>
                <c:ptCount val="1"/>
                <c:pt idx="0">
                  <c:v>2020</c:v>
                </c:pt>
              </c:strCache>
            </c:strRef>
          </c:tx>
          <c:spPr>
            <a:ln w="28575" cap="rnd">
              <a:solidFill>
                <a:schemeClr val="accent2"/>
              </a:solidFill>
              <a:round/>
            </a:ln>
            <a:effectLst/>
          </c:spPr>
          <c:marker>
            <c:symbol val="none"/>
          </c:marker>
          <c:cat>
            <c:strRef>
              <c:f>'10'!$A$2:$A$13</c:f>
              <c:strCache>
                <c:ptCount val="12"/>
                <c:pt idx="0">
                  <c:v>Ocak</c:v>
                </c:pt>
                <c:pt idx="1">
                  <c:v>Şubat</c:v>
                </c:pt>
                <c:pt idx="2">
                  <c:v>Mart</c:v>
                </c:pt>
                <c:pt idx="3">
                  <c:v>Nisan</c:v>
                </c:pt>
                <c:pt idx="4">
                  <c:v>Mayıs</c:v>
                </c:pt>
                <c:pt idx="5">
                  <c:v>Haziran</c:v>
                </c:pt>
                <c:pt idx="6">
                  <c:v>Temmuz</c:v>
                </c:pt>
                <c:pt idx="7">
                  <c:v>Ağustos</c:v>
                </c:pt>
                <c:pt idx="8">
                  <c:v>Eylül</c:v>
                </c:pt>
                <c:pt idx="9">
                  <c:v>Ekim</c:v>
                </c:pt>
                <c:pt idx="10">
                  <c:v>Kasım</c:v>
                </c:pt>
                <c:pt idx="11">
                  <c:v>Aralık</c:v>
                </c:pt>
              </c:strCache>
            </c:strRef>
          </c:cat>
          <c:val>
            <c:numRef>
              <c:f>'10'!$C$2:$C$13</c:f>
              <c:numCache>
                <c:formatCode>_-* #,##0\ _T_L_-;\-* #,##0\ _T_L_-;_-* "-"??\ _T_L_-;_-@_-</c:formatCode>
                <c:ptCount val="12"/>
                <c:pt idx="0">
                  <c:v>1151692.757</c:v>
                </c:pt>
                <c:pt idx="1">
                  <c:v>1133976.611</c:v>
                </c:pt>
                <c:pt idx="2">
                  <c:v>1242090.807</c:v>
                </c:pt>
                <c:pt idx="3">
                  <c:v>1186606.7849999999</c:v>
                </c:pt>
                <c:pt idx="4">
                  <c:v>933877.57700000005</c:v>
                </c:pt>
                <c:pt idx="5">
                  <c:v>1023842.209</c:v>
                </c:pt>
                <c:pt idx="6">
                  <c:v>1117034.311</c:v>
                </c:pt>
                <c:pt idx="7">
                  <c:v>974191.54399999999</c:v>
                </c:pt>
                <c:pt idx="8">
                  <c:v>1310858.605</c:v>
                </c:pt>
                <c:pt idx="9">
                  <c:v>1363987.878</c:v>
                </c:pt>
                <c:pt idx="10">
                  <c:v>1200332.3970000001</c:v>
                </c:pt>
                <c:pt idx="11">
                  <c:v>1365829.96</c:v>
                </c:pt>
              </c:numCache>
            </c:numRef>
          </c:val>
          <c:smooth val="0"/>
          <c:extLst>
            <c:ext xmlns:c16="http://schemas.microsoft.com/office/drawing/2014/chart" uri="{C3380CC4-5D6E-409C-BE32-E72D297353CC}">
              <c16:uniqueId val="{00000001-0352-48F1-BEB4-D1FE483C46BF}"/>
            </c:ext>
          </c:extLst>
        </c:ser>
        <c:dLbls>
          <c:showLegendKey val="0"/>
          <c:showVal val="0"/>
          <c:showCatName val="0"/>
          <c:showSerName val="0"/>
          <c:showPercent val="0"/>
          <c:showBubbleSize val="0"/>
        </c:dLbls>
        <c:smooth val="0"/>
        <c:axId val="183184472"/>
        <c:axId val="1"/>
      </c:lineChart>
      <c:catAx>
        <c:axId val="183184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_-* #,##0\ _T_L_-;\-* #,##0\ _T_L_-;_-* &quot;-&quot;??\ _T_L_-;_-@_-"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184472"/>
        <c:crosses val="autoZero"/>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tr-TR" sz="1050">
                <a:latin typeface="Times New Roman" panose="02020603050405020304" pitchFamily="18" charset="0"/>
                <a:cs typeface="Times New Roman" panose="02020603050405020304" pitchFamily="18" charset="0"/>
              </a:rPr>
              <a:t>Başka</a:t>
            </a:r>
            <a:r>
              <a:rPr lang="tr-TR" sz="1050" baseline="0">
                <a:latin typeface="Times New Roman" panose="02020603050405020304" pitchFamily="18" charset="0"/>
                <a:cs typeface="Times New Roman" panose="02020603050405020304" pitchFamily="18" charset="0"/>
              </a:rPr>
              <a:t> Yerde Sınıflandırılmamış Makine ve Teçhizat İmalatı</a:t>
            </a:r>
            <a:endParaRPr lang="tr-TR" sz="1050">
              <a:latin typeface="Times New Roman" panose="02020603050405020304" pitchFamily="18" charset="0"/>
              <a:cs typeface="Times New Roman" panose="02020603050405020304" pitchFamily="18" charset="0"/>
            </a:endParaRPr>
          </a:p>
        </c:rich>
      </c:tx>
      <c:overlay val="0"/>
      <c:spPr>
        <a:noFill/>
        <a:ln w="25400">
          <a:noFill/>
        </a:ln>
      </c:spPr>
    </c:title>
    <c:autoTitleDeleted val="0"/>
    <c:plotArea>
      <c:layout/>
      <c:lineChart>
        <c:grouping val="standard"/>
        <c:varyColors val="0"/>
        <c:ser>
          <c:idx val="0"/>
          <c:order val="0"/>
          <c:tx>
            <c:strRef>
              <c:f>'28'!$B$1</c:f>
              <c:strCache>
                <c:ptCount val="1"/>
                <c:pt idx="0">
                  <c:v>2019</c:v>
                </c:pt>
              </c:strCache>
            </c:strRef>
          </c:tx>
          <c:spPr>
            <a:ln w="28575" cap="rnd">
              <a:solidFill>
                <a:schemeClr val="accent1"/>
              </a:solidFill>
              <a:round/>
            </a:ln>
            <a:effectLst/>
          </c:spPr>
          <c:marker>
            <c:symbol val="none"/>
          </c:marker>
          <c:cat>
            <c:strRef>
              <c:f>'28'!$A$2:$A$13</c:f>
              <c:strCache>
                <c:ptCount val="12"/>
                <c:pt idx="0">
                  <c:v>Ocak</c:v>
                </c:pt>
                <c:pt idx="1">
                  <c:v>Şubat</c:v>
                </c:pt>
                <c:pt idx="2">
                  <c:v>Mart</c:v>
                </c:pt>
                <c:pt idx="3">
                  <c:v>Nisan</c:v>
                </c:pt>
                <c:pt idx="4">
                  <c:v>Mayıs</c:v>
                </c:pt>
                <c:pt idx="5">
                  <c:v>Haziran</c:v>
                </c:pt>
                <c:pt idx="6">
                  <c:v>Temmuz</c:v>
                </c:pt>
                <c:pt idx="7">
                  <c:v>Ağustos</c:v>
                </c:pt>
                <c:pt idx="8">
                  <c:v>Eylül</c:v>
                </c:pt>
                <c:pt idx="9">
                  <c:v>Ekim</c:v>
                </c:pt>
                <c:pt idx="10">
                  <c:v>Kasım</c:v>
                </c:pt>
                <c:pt idx="11">
                  <c:v>Aralık</c:v>
                </c:pt>
              </c:strCache>
            </c:strRef>
          </c:cat>
          <c:val>
            <c:numRef>
              <c:f>'28'!$B$2:$B$13</c:f>
              <c:numCache>
                <c:formatCode>#\ ###\ ###\ ##0</c:formatCode>
                <c:ptCount val="12"/>
                <c:pt idx="0">
                  <c:v>838897.71799999999</c:v>
                </c:pt>
                <c:pt idx="1">
                  <c:v>868084.53</c:v>
                </c:pt>
                <c:pt idx="2">
                  <c:v>1024289.237</c:v>
                </c:pt>
                <c:pt idx="3">
                  <c:v>965002.85800000001</c:v>
                </c:pt>
                <c:pt idx="4">
                  <c:v>1143586.523</c:v>
                </c:pt>
                <c:pt idx="5">
                  <c:v>700405.91399999999</c:v>
                </c:pt>
                <c:pt idx="6">
                  <c:v>1007059.191</c:v>
                </c:pt>
                <c:pt idx="7">
                  <c:v>827683.02399999998</c:v>
                </c:pt>
                <c:pt idx="8">
                  <c:v>892114.58700000006</c:v>
                </c:pt>
                <c:pt idx="9">
                  <c:v>959046.21699999995</c:v>
                </c:pt>
                <c:pt idx="10">
                  <c:v>937152.19700000004</c:v>
                </c:pt>
                <c:pt idx="11">
                  <c:v>992222.43700000003</c:v>
                </c:pt>
              </c:numCache>
            </c:numRef>
          </c:val>
          <c:smooth val="0"/>
          <c:extLst>
            <c:ext xmlns:c16="http://schemas.microsoft.com/office/drawing/2014/chart" uri="{C3380CC4-5D6E-409C-BE32-E72D297353CC}">
              <c16:uniqueId val="{00000000-4969-4896-A815-870ECAC5B7E8}"/>
            </c:ext>
          </c:extLst>
        </c:ser>
        <c:ser>
          <c:idx val="1"/>
          <c:order val="1"/>
          <c:tx>
            <c:strRef>
              <c:f>'28'!$C$1</c:f>
              <c:strCache>
                <c:ptCount val="1"/>
                <c:pt idx="0">
                  <c:v>2020</c:v>
                </c:pt>
              </c:strCache>
            </c:strRef>
          </c:tx>
          <c:spPr>
            <a:ln w="28575" cap="rnd">
              <a:solidFill>
                <a:schemeClr val="accent2"/>
              </a:solidFill>
              <a:round/>
            </a:ln>
            <a:effectLst/>
          </c:spPr>
          <c:marker>
            <c:symbol val="none"/>
          </c:marker>
          <c:cat>
            <c:strRef>
              <c:f>'28'!$A$2:$A$13</c:f>
              <c:strCache>
                <c:ptCount val="12"/>
                <c:pt idx="0">
                  <c:v>Ocak</c:v>
                </c:pt>
                <c:pt idx="1">
                  <c:v>Şubat</c:v>
                </c:pt>
                <c:pt idx="2">
                  <c:v>Mart</c:v>
                </c:pt>
                <c:pt idx="3">
                  <c:v>Nisan</c:v>
                </c:pt>
                <c:pt idx="4">
                  <c:v>Mayıs</c:v>
                </c:pt>
                <c:pt idx="5">
                  <c:v>Haziran</c:v>
                </c:pt>
                <c:pt idx="6">
                  <c:v>Temmuz</c:v>
                </c:pt>
                <c:pt idx="7">
                  <c:v>Ağustos</c:v>
                </c:pt>
                <c:pt idx="8">
                  <c:v>Eylül</c:v>
                </c:pt>
                <c:pt idx="9">
                  <c:v>Ekim</c:v>
                </c:pt>
                <c:pt idx="10">
                  <c:v>Kasım</c:v>
                </c:pt>
                <c:pt idx="11">
                  <c:v>Aralık</c:v>
                </c:pt>
              </c:strCache>
            </c:strRef>
          </c:cat>
          <c:val>
            <c:numRef>
              <c:f>'28'!$C$2:$C$13</c:f>
              <c:numCache>
                <c:formatCode>#\ ###\ ###\ ##0</c:formatCode>
                <c:ptCount val="12"/>
                <c:pt idx="0">
                  <c:v>884779.35100000002</c:v>
                </c:pt>
                <c:pt idx="1">
                  <c:v>915485.98400000005</c:v>
                </c:pt>
                <c:pt idx="2">
                  <c:v>904415.99800000002</c:v>
                </c:pt>
                <c:pt idx="3">
                  <c:v>690645.05200000003</c:v>
                </c:pt>
                <c:pt idx="4">
                  <c:v>631746.74800000002</c:v>
                </c:pt>
                <c:pt idx="5">
                  <c:v>841880.11399999994</c:v>
                </c:pt>
                <c:pt idx="6">
                  <c:v>967867.20600000001</c:v>
                </c:pt>
                <c:pt idx="7">
                  <c:v>775768.96799999999</c:v>
                </c:pt>
                <c:pt idx="8">
                  <c:v>927334.14199999999</c:v>
                </c:pt>
                <c:pt idx="9">
                  <c:v>974444.92299999995</c:v>
                </c:pt>
                <c:pt idx="10">
                  <c:v>941665.03300000005</c:v>
                </c:pt>
                <c:pt idx="11">
                  <c:v>1143854.2649999999</c:v>
                </c:pt>
              </c:numCache>
            </c:numRef>
          </c:val>
          <c:smooth val="0"/>
          <c:extLst>
            <c:ext xmlns:c16="http://schemas.microsoft.com/office/drawing/2014/chart" uri="{C3380CC4-5D6E-409C-BE32-E72D297353CC}">
              <c16:uniqueId val="{00000001-4969-4896-A815-870ECAC5B7E8}"/>
            </c:ext>
          </c:extLst>
        </c:ser>
        <c:dLbls>
          <c:showLegendKey val="0"/>
          <c:showVal val="0"/>
          <c:showCatName val="0"/>
          <c:showSerName val="0"/>
          <c:showPercent val="0"/>
          <c:showBubbleSize val="0"/>
        </c:dLbls>
        <c:smooth val="0"/>
        <c:axId val="249938496"/>
        <c:axId val="1"/>
      </c:lineChart>
      <c:catAx>
        <c:axId val="249938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 ###\ ###\ ##0"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9938496"/>
        <c:crosses val="autoZero"/>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tr-TR" sz="1050">
                <a:latin typeface="Times New Roman" panose="02020603050405020304" pitchFamily="18" charset="0"/>
                <a:cs typeface="Times New Roman" panose="02020603050405020304" pitchFamily="18" charset="0"/>
              </a:rPr>
              <a:t>Kimyasalların</a:t>
            </a:r>
            <a:r>
              <a:rPr lang="tr-TR" sz="1050" baseline="0">
                <a:latin typeface="Times New Roman" panose="02020603050405020304" pitchFamily="18" charset="0"/>
                <a:cs typeface="Times New Roman" panose="02020603050405020304" pitchFamily="18" charset="0"/>
              </a:rPr>
              <a:t> ve Kimyasal Ürünlerin İmalatı</a:t>
            </a:r>
            <a:endParaRPr lang="tr-TR" sz="1050">
              <a:latin typeface="Times New Roman" panose="02020603050405020304" pitchFamily="18" charset="0"/>
              <a:cs typeface="Times New Roman" panose="02020603050405020304" pitchFamily="18" charset="0"/>
            </a:endParaRPr>
          </a:p>
        </c:rich>
      </c:tx>
      <c:overlay val="0"/>
      <c:spPr>
        <a:noFill/>
        <a:ln w="25400">
          <a:noFill/>
        </a:ln>
      </c:spPr>
    </c:title>
    <c:autoTitleDeleted val="0"/>
    <c:plotArea>
      <c:layout/>
      <c:lineChart>
        <c:grouping val="standard"/>
        <c:varyColors val="0"/>
        <c:ser>
          <c:idx val="0"/>
          <c:order val="0"/>
          <c:tx>
            <c:strRef>
              <c:f>'20'!$B$1</c:f>
              <c:strCache>
                <c:ptCount val="1"/>
                <c:pt idx="0">
                  <c:v>2019</c:v>
                </c:pt>
              </c:strCache>
            </c:strRef>
          </c:tx>
          <c:spPr>
            <a:ln w="28575" cap="rnd">
              <a:solidFill>
                <a:schemeClr val="accent1"/>
              </a:solidFill>
              <a:round/>
            </a:ln>
            <a:effectLst/>
          </c:spPr>
          <c:marker>
            <c:symbol val="none"/>
          </c:marker>
          <c:cat>
            <c:strRef>
              <c:f>'20'!$A$2:$A$13</c:f>
              <c:strCache>
                <c:ptCount val="12"/>
                <c:pt idx="0">
                  <c:v>Ocak</c:v>
                </c:pt>
                <c:pt idx="1">
                  <c:v>Şubat</c:v>
                </c:pt>
                <c:pt idx="2">
                  <c:v>Mart</c:v>
                </c:pt>
                <c:pt idx="3">
                  <c:v>Nisan</c:v>
                </c:pt>
                <c:pt idx="4">
                  <c:v>Mayıs</c:v>
                </c:pt>
                <c:pt idx="5">
                  <c:v>Haziran</c:v>
                </c:pt>
                <c:pt idx="6">
                  <c:v>Temmuz</c:v>
                </c:pt>
                <c:pt idx="7">
                  <c:v>Ağustos</c:v>
                </c:pt>
                <c:pt idx="8">
                  <c:v>Eylül</c:v>
                </c:pt>
                <c:pt idx="9">
                  <c:v>Ekim</c:v>
                </c:pt>
                <c:pt idx="10">
                  <c:v>Kasım</c:v>
                </c:pt>
                <c:pt idx="11">
                  <c:v>Aralık</c:v>
                </c:pt>
              </c:strCache>
            </c:strRef>
          </c:cat>
          <c:val>
            <c:numRef>
              <c:f>'20'!$B$2:$B$13</c:f>
              <c:numCache>
                <c:formatCode>#\ ###\ ###\ ##0</c:formatCode>
                <c:ptCount val="12"/>
                <c:pt idx="0">
                  <c:v>680194.46100000001</c:v>
                </c:pt>
                <c:pt idx="1">
                  <c:v>736535.20799999998</c:v>
                </c:pt>
                <c:pt idx="2">
                  <c:v>775120.86</c:v>
                </c:pt>
                <c:pt idx="3">
                  <c:v>763337.81200000003</c:v>
                </c:pt>
                <c:pt idx="4">
                  <c:v>931331.45200000005</c:v>
                </c:pt>
                <c:pt idx="5">
                  <c:v>601811.01500000001</c:v>
                </c:pt>
                <c:pt idx="6">
                  <c:v>873576.15399999998</c:v>
                </c:pt>
                <c:pt idx="7">
                  <c:v>760160.37800000003</c:v>
                </c:pt>
                <c:pt idx="8">
                  <c:v>779672.58600000001</c:v>
                </c:pt>
                <c:pt idx="9">
                  <c:v>882611.77599999995</c:v>
                </c:pt>
                <c:pt idx="10">
                  <c:v>845757.34900000005</c:v>
                </c:pt>
                <c:pt idx="11">
                  <c:v>790422.14099999995</c:v>
                </c:pt>
              </c:numCache>
            </c:numRef>
          </c:val>
          <c:smooth val="0"/>
          <c:extLst>
            <c:ext xmlns:c16="http://schemas.microsoft.com/office/drawing/2014/chart" uri="{C3380CC4-5D6E-409C-BE32-E72D297353CC}">
              <c16:uniqueId val="{00000000-D636-40C1-A405-310C05A9F8B7}"/>
            </c:ext>
          </c:extLst>
        </c:ser>
        <c:ser>
          <c:idx val="1"/>
          <c:order val="1"/>
          <c:tx>
            <c:strRef>
              <c:f>'20'!$C$1</c:f>
              <c:strCache>
                <c:ptCount val="1"/>
                <c:pt idx="0">
                  <c:v>2020</c:v>
                </c:pt>
              </c:strCache>
            </c:strRef>
          </c:tx>
          <c:spPr>
            <a:ln w="28575" cap="rnd">
              <a:solidFill>
                <a:schemeClr val="accent2"/>
              </a:solidFill>
              <a:round/>
            </a:ln>
            <a:effectLst/>
          </c:spPr>
          <c:marker>
            <c:symbol val="none"/>
          </c:marker>
          <c:cat>
            <c:strRef>
              <c:f>'20'!$A$2:$A$13</c:f>
              <c:strCache>
                <c:ptCount val="12"/>
                <c:pt idx="0">
                  <c:v>Ocak</c:v>
                </c:pt>
                <c:pt idx="1">
                  <c:v>Şubat</c:v>
                </c:pt>
                <c:pt idx="2">
                  <c:v>Mart</c:v>
                </c:pt>
                <c:pt idx="3">
                  <c:v>Nisan</c:v>
                </c:pt>
                <c:pt idx="4">
                  <c:v>Mayıs</c:v>
                </c:pt>
                <c:pt idx="5">
                  <c:v>Haziran</c:v>
                </c:pt>
                <c:pt idx="6">
                  <c:v>Temmuz</c:v>
                </c:pt>
                <c:pt idx="7">
                  <c:v>Ağustos</c:v>
                </c:pt>
                <c:pt idx="8">
                  <c:v>Eylül</c:v>
                </c:pt>
                <c:pt idx="9">
                  <c:v>Ekim</c:v>
                </c:pt>
                <c:pt idx="10">
                  <c:v>Kasım</c:v>
                </c:pt>
                <c:pt idx="11">
                  <c:v>Aralık</c:v>
                </c:pt>
              </c:strCache>
            </c:strRef>
          </c:cat>
          <c:val>
            <c:numRef>
              <c:f>'20'!$C$2:$C$13</c:f>
              <c:numCache>
                <c:formatCode>#\ ###\ ###\ ##0</c:formatCode>
                <c:ptCount val="12"/>
                <c:pt idx="0">
                  <c:v>764453.38600000006</c:v>
                </c:pt>
                <c:pt idx="1">
                  <c:v>764782.98400000005</c:v>
                </c:pt>
                <c:pt idx="2">
                  <c:v>762821.36199999996</c:v>
                </c:pt>
                <c:pt idx="3">
                  <c:v>706112.61100000003</c:v>
                </c:pt>
                <c:pt idx="4">
                  <c:v>641123.57700000005</c:v>
                </c:pt>
                <c:pt idx="5">
                  <c:v>787245.15700000001</c:v>
                </c:pt>
                <c:pt idx="6">
                  <c:v>862170.68599999999</c:v>
                </c:pt>
                <c:pt idx="7">
                  <c:v>756239.27</c:v>
                </c:pt>
                <c:pt idx="8">
                  <c:v>876336.299</c:v>
                </c:pt>
                <c:pt idx="9">
                  <c:v>908174.24199999997</c:v>
                </c:pt>
                <c:pt idx="10">
                  <c:v>915947.44700000004</c:v>
                </c:pt>
                <c:pt idx="11">
                  <c:v>955694.90099999995</c:v>
                </c:pt>
              </c:numCache>
            </c:numRef>
          </c:val>
          <c:smooth val="0"/>
          <c:extLst>
            <c:ext xmlns:c16="http://schemas.microsoft.com/office/drawing/2014/chart" uri="{C3380CC4-5D6E-409C-BE32-E72D297353CC}">
              <c16:uniqueId val="{00000001-D636-40C1-A405-310C05A9F8B7}"/>
            </c:ext>
          </c:extLst>
        </c:ser>
        <c:dLbls>
          <c:showLegendKey val="0"/>
          <c:showVal val="0"/>
          <c:showCatName val="0"/>
          <c:showSerName val="0"/>
          <c:showPercent val="0"/>
          <c:showBubbleSize val="0"/>
        </c:dLbls>
        <c:smooth val="0"/>
        <c:axId val="184210528"/>
        <c:axId val="1"/>
      </c:lineChart>
      <c:catAx>
        <c:axId val="184210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 ###\ ###\ ##0"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4210528"/>
        <c:crosses val="autoZero"/>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b="1"/>
              <a:t>HOLLANDA</a:t>
            </a:r>
            <a:endParaRPr lang="en-US"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radarChart>
        <c:radarStyle val="marker"/>
        <c:varyColors val="0"/>
        <c:ser>
          <c:idx val="0"/>
          <c:order val="0"/>
          <c:tx>
            <c:strRef>
              <c:f>Sayfa1!$G$8</c:f>
              <c:strCache>
                <c:ptCount val="1"/>
                <c:pt idx="0">
                  <c:v>Beklenen</c:v>
                </c:pt>
              </c:strCache>
            </c:strRef>
          </c:tx>
          <c:spPr>
            <a:ln w="28575" cap="rnd">
              <a:solidFill>
                <a:schemeClr val="accent6"/>
              </a:solidFill>
              <a:round/>
            </a:ln>
            <a:effectLst/>
          </c:spPr>
          <c:marker>
            <c:symbol val="none"/>
          </c:marker>
          <c:cat>
            <c:strRef>
              <c:f>Sayfa1!$F$9:$F$13</c:f>
              <c:strCache>
                <c:ptCount val="5"/>
                <c:pt idx="0">
                  <c:v>Belirsizliğin Önlenmesi</c:v>
                </c:pt>
                <c:pt idx="1">
                  <c:v>İnsancıl Yönelim</c:v>
                </c:pt>
                <c:pt idx="2">
                  <c:v>Grup içi Kolektivizm</c:v>
                </c:pt>
                <c:pt idx="3">
                  <c:v>Kurumsal Kolektivizm</c:v>
                </c:pt>
                <c:pt idx="4">
                  <c:v>Gelecek Yönelimi</c:v>
                </c:pt>
              </c:strCache>
            </c:strRef>
          </c:cat>
          <c:val>
            <c:numRef>
              <c:f>Sayfa1!$G$9:$G$13</c:f>
              <c:numCache>
                <c:formatCode>General</c:formatCode>
                <c:ptCount val="5"/>
                <c:pt idx="0" formatCode="0.00">
                  <c:v>3.24</c:v>
                </c:pt>
                <c:pt idx="1">
                  <c:v>5.2</c:v>
                </c:pt>
                <c:pt idx="2">
                  <c:v>5.17</c:v>
                </c:pt>
                <c:pt idx="3">
                  <c:v>4.55</c:v>
                </c:pt>
                <c:pt idx="4">
                  <c:v>5.07</c:v>
                </c:pt>
              </c:numCache>
            </c:numRef>
          </c:val>
          <c:extLst>
            <c:ext xmlns:c16="http://schemas.microsoft.com/office/drawing/2014/chart" uri="{C3380CC4-5D6E-409C-BE32-E72D297353CC}">
              <c16:uniqueId val="{00000000-14F4-4D37-95BA-A0B447C2C1B6}"/>
            </c:ext>
          </c:extLst>
        </c:ser>
        <c:ser>
          <c:idx val="1"/>
          <c:order val="1"/>
          <c:tx>
            <c:strRef>
              <c:f>Sayfa1!$H$8</c:f>
              <c:strCache>
                <c:ptCount val="1"/>
                <c:pt idx="0">
                  <c:v>Mevcut</c:v>
                </c:pt>
              </c:strCache>
            </c:strRef>
          </c:tx>
          <c:spPr>
            <a:ln w="28575" cap="rnd">
              <a:solidFill>
                <a:schemeClr val="accent5"/>
              </a:solidFill>
              <a:round/>
            </a:ln>
            <a:effectLst/>
          </c:spPr>
          <c:marker>
            <c:symbol val="none"/>
          </c:marker>
          <c:cat>
            <c:strRef>
              <c:f>Sayfa1!$F$9:$F$13</c:f>
              <c:strCache>
                <c:ptCount val="5"/>
                <c:pt idx="0">
                  <c:v>Belirsizliğin Önlenmesi</c:v>
                </c:pt>
                <c:pt idx="1">
                  <c:v>İnsancıl Yönelim</c:v>
                </c:pt>
                <c:pt idx="2">
                  <c:v>Grup içi Kolektivizm</c:v>
                </c:pt>
                <c:pt idx="3">
                  <c:v>Kurumsal Kolektivizm</c:v>
                </c:pt>
                <c:pt idx="4">
                  <c:v>Gelecek Yönelimi</c:v>
                </c:pt>
              </c:strCache>
            </c:strRef>
          </c:cat>
          <c:val>
            <c:numRef>
              <c:f>Sayfa1!$H$9:$H$13</c:f>
              <c:numCache>
                <c:formatCode>General</c:formatCode>
                <c:ptCount val="5"/>
                <c:pt idx="0">
                  <c:v>4.7</c:v>
                </c:pt>
                <c:pt idx="1">
                  <c:v>3.86</c:v>
                </c:pt>
                <c:pt idx="2">
                  <c:v>3.7</c:v>
                </c:pt>
                <c:pt idx="3">
                  <c:v>4.46</c:v>
                </c:pt>
                <c:pt idx="4">
                  <c:v>4.6100000000000003</c:v>
                </c:pt>
              </c:numCache>
            </c:numRef>
          </c:val>
          <c:extLst>
            <c:ext xmlns:c16="http://schemas.microsoft.com/office/drawing/2014/chart" uri="{C3380CC4-5D6E-409C-BE32-E72D297353CC}">
              <c16:uniqueId val="{00000001-14F4-4D37-95BA-A0B447C2C1B6}"/>
            </c:ext>
          </c:extLst>
        </c:ser>
        <c:dLbls>
          <c:showLegendKey val="0"/>
          <c:showVal val="0"/>
          <c:showCatName val="0"/>
          <c:showSerName val="0"/>
          <c:showPercent val="0"/>
          <c:showBubbleSize val="0"/>
        </c:dLbls>
        <c:axId val="1328529168"/>
        <c:axId val="1328531248"/>
      </c:radarChart>
      <c:catAx>
        <c:axId val="1328529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28531248"/>
        <c:crosses val="autoZero"/>
        <c:auto val="1"/>
        <c:lblAlgn val="ctr"/>
        <c:lblOffset val="100"/>
        <c:noMultiLvlLbl val="0"/>
      </c:catAx>
      <c:valAx>
        <c:axId val="1328531248"/>
        <c:scaling>
          <c:orientation val="minMax"/>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132852916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tr-TR" sz="1050">
                <a:latin typeface="Times New Roman" panose="02020603050405020304" pitchFamily="18" charset="0"/>
                <a:cs typeface="Times New Roman" panose="02020603050405020304" pitchFamily="18" charset="0"/>
              </a:rPr>
              <a:t>Makine ve Teçhizat Hariç, Fabrikasyon Metal Ürünlerin</a:t>
            </a:r>
            <a:r>
              <a:rPr lang="tr-TR" sz="1050" baseline="0">
                <a:latin typeface="Times New Roman" panose="02020603050405020304" pitchFamily="18" charset="0"/>
                <a:cs typeface="Times New Roman" panose="02020603050405020304" pitchFamily="18" charset="0"/>
              </a:rPr>
              <a:t> İmalatı</a:t>
            </a:r>
            <a:endParaRPr lang="tr-TR" sz="1050">
              <a:latin typeface="Times New Roman" panose="02020603050405020304" pitchFamily="18" charset="0"/>
              <a:cs typeface="Times New Roman" panose="02020603050405020304" pitchFamily="18" charset="0"/>
            </a:endParaRPr>
          </a:p>
        </c:rich>
      </c:tx>
      <c:overlay val="0"/>
      <c:spPr>
        <a:noFill/>
        <a:ln w="25400">
          <a:noFill/>
        </a:ln>
      </c:spPr>
    </c:title>
    <c:autoTitleDeleted val="0"/>
    <c:plotArea>
      <c:layout/>
      <c:lineChart>
        <c:grouping val="standard"/>
        <c:varyColors val="0"/>
        <c:ser>
          <c:idx val="0"/>
          <c:order val="0"/>
          <c:tx>
            <c:strRef>
              <c:f>'25'!$B$1</c:f>
              <c:strCache>
                <c:ptCount val="1"/>
                <c:pt idx="0">
                  <c:v>2019</c:v>
                </c:pt>
              </c:strCache>
            </c:strRef>
          </c:tx>
          <c:spPr>
            <a:ln w="28575" cap="rnd">
              <a:solidFill>
                <a:schemeClr val="accent1"/>
              </a:solidFill>
              <a:round/>
            </a:ln>
            <a:effectLst/>
          </c:spPr>
          <c:marker>
            <c:symbol val="none"/>
          </c:marker>
          <c:cat>
            <c:strRef>
              <c:f>'25'!$A$2:$A$13</c:f>
              <c:strCache>
                <c:ptCount val="12"/>
                <c:pt idx="0">
                  <c:v>Ocak</c:v>
                </c:pt>
                <c:pt idx="1">
                  <c:v>Şubat</c:v>
                </c:pt>
                <c:pt idx="2">
                  <c:v>Mart</c:v>
                </c:pt>
                <c:pt idx="3">
                  <c:v>Nisan</c:v>
                </c:pt>
                <c:pt idx="4">
                  <c:v>Mayıs</c:v>
                </c:pt>
                <c:pt idx="5">
                  <c:v>Haziran</c:v>
                </c:pt>
                <c:pt idx="6">
                  <c:v>Temmuz</c:v>
                </c:pt>
                <c:pt idx="7">
                  <c:v>Ağustos</c:v>
                </c:pt>
                <c:pt idx="8">
                  <c:v>Eylül</c:v>
                </c:pt>
                <c:pt idx="9">
                  <c:v>Ekim</c:v>
                </c:pt>
                <c:pt idx="10">
                  <c:v>Kasım</c:v>
                </c:pt>
                <c:pt idx="11">
                  <c:v>Aralık</c:v>
                </c:pt>
              </c:strCache>
            </c:strRef>
          </c:cat>
          <c:val>
            <c:numRef>
              <c:f>'25'!$B$2:$B$13</c:f>
              <c:numCache>
                <c:formatCode>#\ ###\ ###\ ##0</c:formatCode>
                <c:ptCount val="12"/>
                <c:pt idx="0">
                  <c:v>648087.19099999999</c:v>
                </c:pt>
                <c:pt idx="1">
                  <c:v>673890.92200000002</c:v>
                </c:pt>
                <c:pt idx="2">
                  <c:v>764870.86600000004</c:v>
                </c:pt>
                <c:pt idx="3">
                  <c:v>754828.86100000003</c:v>
                </c:pt>
                <c:pt idx="4">
                  <c:v>861423.58200000005</c:v>
                </c:pt>
                <c:pt idx="5">
                  <c:v>531407.99100000004</c:v>
                </c:pt>
                <c:pt idx="6">
                  <c:v>764936.76699999999</c:v>
                </c:pt>
                <c:pt idx="7">
                  <c:v>653429.56999999995</c:v>
                </c:pt>
                <c:pt idx="8">
                  <c:v>743013.9</c:v>
                </c:pt>
                <c:pt idx="9">
                  <c:v>792259.40599999996</c:v>
                </c:pt>
                <c:pt idx="10">
                  <c:v>788475.19499999995</c:v>
                </c:pt>
                <c:pt idx="11">
                  <c:v>746849.30099999998</c:v>
                </c:pt>
              </c:numCache>
            </c:numRef>
          </c:val>
          <c:smooth val="0"/>
          <c:extLst>
            <c:ext xmlns:c16="http://schemas.microsoft.com/office/drawing/2014/chart" uri="{C3380CC4-5D6E-409C-BE32-E72D297353CC}">
              <c16:uniqueId val="{00000000-51EE-49F6-8143-5232E08C1944}"/>
            </c:ext>
          </c:extLst>
        </c:ser>
        <c:ser>
          <c:idx val="1"/>
          <c:order val="1"/>
          <c:tx>
            <c:strRef>
              <c:f>'25'!$C$1</c:f>
              <c:strCache>
                <c:ptCount val="1"/>
                <c:pt idx="0">
                  <c:v>2020</c:v>
                </c:pt>
              </c:strCache>
            </c:strRef>
          </c:tx>
          <c:spPr>
            <a:ln w="28575" cap="rnd">
              <a:solidFill>
                <a:schemeClr val="accent2"/>
              </a:solidFill>
              <a:round/>
            </a:ln>
            <a:effectLst/>
          </c:spPr>
          <c:marker>
            <c:symbol val="none"/>
          </c:marker>
          <c:cat>
            <c:strRef>
              <c:f>'25'!$A$2:$A$13</c:f>
              <c:strCache>
                <c:ptCount val="12"/>
                <c:pt idx="0">
                  <c:v>Ocak</c:v>
                </c:pt>
                <c:pt idx="1">
                  <c:v>Şubat</c:v>
                </c:pt>
                <c:pt idx="2">
                  <c:v>Mart</c:v>
                </c:pt>
                <c:pt idx="3">
                  <c:v>Nisan</c:v>
                </c:pt>
                <c:pt idx="4">
                  <c:v>Mayıs</c:v>
                </c:pt>
                <c:pt idx="5">
                  <c:v>Haziran</c:v>
                </c:pt>
                <c:pt idx="6">
                  <c:v>Temmuz</c:v>
                </c:pt>
                <c:pt idx="7">
                  <c:v>Ağustos</c:v>
                </c:pt>
                <c:pt idx="8">
                  <c:v>Eylül</c:v>
                </c:pt>
                <c:pt idx="9">
                  <c:v>Ekim</c:v>
                </c:pt>
                <c:pt idx="10">
                  <c:v>Kasım</c:v>
                </c:pt>
                <c:pt idx="11">
                  <c:v>Aralık</c:v>
                </c:pt>
              </c:strCache>
            </c:strRef>
          </c:cat>
          <c:val>
            <c:numRef>
              <c:f>'25'!$C$2:$C$13</c:f>
              <c:numCache>
                <c:formatCode>#\ ###\ ###\ ##0</c:formatCode>
                <c:ptCount val="12"/>
                <c:pt idx="0">
                  <c:v>711857.50600000005</c:v>
                </c:pt>
                <c:pt idx="1">
                  <c:v>713484.37</c:v>
                </c:pt>
                <c:pt idx="2">
                  <c:v>696062.56</c:v>
                </c:pt>
                <c:pt idx="3">
                  <c:v>554221.09400000004</c:v>
                </c:pt>
                <c:pt idx="4">
                  <c:v>540304.39800000004</c:v>
                </c:pt>
                <c:pt idx="5">
                  <c:v>721108.38</c:v>
                </c:pt>
                <c:pt idx="6">
                  <c:v>805412.951</c:v>
                </c:pt>
                <c:pt idx="7">
                  <c:v>664364.17700000003</c:v>
                </c:pt>
                <c:pt idx="8">
                  <c:v>821627.348</c:v>
                </c:pt>
                <c:pt idx="9">
                  <c:v>912480.53599999996</c:v>
                </c:pt>
                <c:pt idx="10">
                  <c:v>834267.25899999996</c:v>
                </c:pt>
                <c:pt idx="11">
                  <c:v>882800.51699999999</c:v>
                </c:pt>
              </c:numCache>
            </c:numRef>
          </c:val>
          <c:smooth val="0"/>
          <c:extLst>
            <c:ext xmlns:c16="http://schemas.microsoft.com/office/drawing/2014/chart" uri="{C3380CC4-5D6E-409C-BE32-E72D297353CC}">
              <c16:uniqueId val="{00000001-51EE-49F6-8143-5232E08C1944}"/>
            </c:ext>
          </c:extLst>
        </c:ser>
        <c:dLbls>
          <c:showLegendKey val="0"/>
          <c:showVal val="0"/>
          <c:showCatName val="0"/>
          <c:showSerName val="0"/>
          <c:showPercent val="0"/>
          <c:showBubbleSize val="0"/>
        </c:dLbls>
        <c:smooth val="0"/>
        <c:axId val="249685136"/>
        <c:axId val="1"/>
      </c:lineChart>
      <c:catAx>
        <c:axId val="249685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 ###\ ###\ ##0"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9685136"/>
        <c:crosses val="autoZero"/>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'AnalizVeri-2'!$H$1</c:f>
              <c:strCache>
                <c:ptCount val="1"/>
                <c:pt idx="0">
                  <c:v>TÜKETİCİ KREDİ FAİZ ORANI</c:v>
                </c:pt>
              </c:strCache>
            </c:strRef>
          </c:tx>
          <c:spPr>
            <a:ln w="28575" cap="rnd">
              <a:solidFill>
                <a:schemeClr val="accent1"/>
              </a:solidFill>
              <a:round/>
            </a:ln>
            <a:effectLst/>
          </c:spPr>
          <c:marker>
            <c:symbol val="none"/>
          </c:marker>
          <c:cat>
            <c:numRef>
              <c:f>'AnalizVeri-2'!$G$2:$G$111</c:f>
              <c:numCache>
                <c:formatCode>[$-41F]mmmm\ yy;@</c:formatCode>
                <c:ptCount val="110"/>
                <c:pt idx="0">
                  <c:v>40909</c:v>
                </c:pt>
                <c:pt idx="1">
                  <c:v>40940</c:v>
                </c:pt>
                <c:pt idx="2">
                  <c:v>40969</c:v>
                </c:pt>
                <c:pt idx="3">
                  <c:v>41000</c:v>
                </c:pt>
                <c:pt idx="4">
                  <c:v>41030</c:v>
                </c:pt>
                <c:pt idx="5">
                  <c:v>41061</c:v>
                </c:pt>
                <c:pt idx="6">
                  <c:v>41091</c:v>
                </c:pt>
                <c:pt idx="7">
                  <c:v>41122</c:v>
                </c:pt>
                <c:pt idx="8">
                  <c:v>41153</c:v>
                </c:pt>
                <c:pt idx="9">
                  <c:v>41183</c:v>
                </c:pt>
                <c:pt idx="10">
                  <c:v>41214</c:v>
                </c:pt>
                <c:pt idx="11">
                  <c:v>41244</c:v>
                </c:pt>
                <c:pt idx="12">
                  <c:v>41275</c:v>
                </c:pt>
                <c:pt idx="13">
                  <c:v>41306</c:v>
                </c:pt>
                <c:pt idx="14">
                  <c:v>41334</c:v>
                </c:pt>
                <c:pt idx="15">
                  <c:v>41365</c:v>
                </c:pt>
                <c:pt idx="16">
                  <c:v>41395</c:v>
                </c:pt>
                <c:pt idx="17">
                  <c:v>41426</c:v>
                </c:pt>
                <c:pt idx="18">
                  <c:v>41456</c:v>
                </c:pt>
                <c:pt idx="19">
                  <c:v>41487</c:v>
                </c:pt>
                <c:pt idx="20">
                  <c:v>41518</c:v>
                </c:pt>
                <c:pt idx="21">
                  <c:v>41548</c:v>
                </c:pt>
                <c:pt idx="22">
                  <c:v>41579</c:v>
                </c:pt>
                <c:pt idx="23">
                  <c:v>41609</c:v>
                </c:pt>
                <c:pt idx="24">
                  <c:v>41640</c:v>
                </c:pt>
                <c:pt idx="25">
                  <c:v>41671</c:v>
                </c:pt>
                <c:pt idx="26">
                  <c:v>41699</c:v>
                </c:pt>
                <c:pt idx="27">
                  <c:v>41730</c:v>
                </c:pt>
                <c:pt idx="28">
                  <c:v>41760</c:v>
                </c:pt>
                <c:pt idx="29">
                  <c:v>41791</c:v>
                </c:pt>
                <c:pt idx="30">
                  <c:v>41821</c:v>
                </c:pt>
                <c:pt idx="31">
                  <c:v>41852</c:v>
                </c:pt>
                <c:pt idx="32">
                  <c:v>41883</c:v>
                </c:pt>
                <c:pt idx="33">
                  <c:v>41913</c:v>
                </c:pt>
                <c:pt idx="34">
                  <c:v>41944</c:v>
                </c:pt>
                <c:pt idx="35">
                  <c:v>41974</c:v>
                </c:pt>
                <c:pt idx="36">
                  <c:v>42005</c:v>
                </c:pt>
                <c:pt idx="37">
                  <c:v>42036</c:v>
                </c:pt>
                <c:pt idx="38">
                  <c:v>42064</c:v>
                </c:pt>
                <c:pt idx="39">
                  <c:v>42095</c:v>
                </c:pt>
                <c:pt idx="40">
                  <c:v>42125</c:v>
                </c:pt>
                <c:pt idx="41">
                  <c:v>42156</c:v>
                </c:pt>
                <c:pt idx="42">
                  <c:v>42186</c:v>
                </c:pt>
                <c:pt idx="43">
                  <c:v>42217</c:v>
                </c:pt>
                <c:pt idx="44">
                  <c:v>42248</c:v>
                </c:pt>
                <c:pt idx="45">
                  <c:v>42278</c:v>
                </c:pt>
                <c:pt idx="46">
                  <c:v>42309</c:v>
                </c:pt>
                <c:pt idx="47">
                  <c:v>42339</c:v>
                </c:pt>
                <c:pt idx="48">
                  <c:v>42370</c:v>
                </c:pt>
                <c:pt idx="49">
                  <c:v>42401</c:v>
                </c:pt>
                <c:pt idx="50">
                  <c:v>42430</c:v>
                </c:pt>
                <c:pt idx="51">
                  <c:v>42461</c:v>
                </c:pt>
                <c:pt idx="52">
                  <c:v>42491</c:v>
                </c:pt>
                <c:pt idx="53">
                  <c:v>42522</c:v>
                </c:pt>
                <c:pt idx="54">
                  <c:v>42552</c:v>
                </c:pt>
                <c:pt idx="55">
                  <c:v>42583</c:v>
                </c:pt>
                <c:pt idx="56">
                  <c:v>42614</c:v>
                </c:pt>
                <c:pt idx="57">
                  <c:v>42644</c:v>
                </c:pt>
                <c:pt idx="58">
                  <c:v>42675</c:v>
                </c:pt>
                <c:pt idx="59">
                  <c:v>42705</c:v>
                </c:pt>
                <c:pt idx="60">
                  <c:v>42736</c:v>
                </c:pt>
                <c:pt idx="61">
                  <c:v>42767</c:v>
                </c:pt>
                <c:pt idx="62">
                  <c:v>42795</c:v>
                </c:pt>
                <c:pt idx="63">
                  <c:v>42826</c:v>
                </c:pt>
                <c:pt idx="64">
                  <c:v>42856</c:v>
                </c:pt>
                <c:pt idx="65">
                  <c:v>42887</c:v>
                </c:pt>
                <c:pt idx="66">
                  <c:v>42917</c:v>
                </c:pt>
                <c:pt idx="67">
                  <c:v>42948</c:v>
                </c:pt>
                <c:pt idx="68">
                  <c:v>42979</c:v>
                </c:pt>
                <c:pt idx="69">
                  <c:v>43009</c:v>
                </c:pt>
                <c:pt idx="70">
                  <c:v>43040</c:v>
                </c:pt>
                <c:pt idx="71">
                  <c:v>43070</c:v>
                </c:pt>
                <c:pt idx="72">
                  <c:v>43101</c:v>
                </c:pt>
                <c:pt idx="73">
                  <c:v>43132</c:v>
                </c:pt>
                <c:pt idx="74">
                  <c:v>43160</c:v>
                </c:pt>
                <c:pt idx="75">
                  <c:v>43191</c:v>
                </c:pt>
                <c:pt idx="76">
                  <c:v>43221</c:v>
                </c:pt>
                <c:pt idx="77">
                  <c:v>43252</c:v>
                </c:pt>
                <c:pt idx="78">
                  <c:v>43282</c:v>
                </c:pt>
                <c:pt idx="79">
                  <c:v>43313</c:v>
                </c:pt>
                <c:pt idx="80">
                  <c:v>43344</c:v>
                </c:pt>
                <c:pt idx="81">
                  <c:v>43374</c:v>
                </c:pt>
                <c:pt idx="82">
                  <c:v>43405</c:v>
                </c:pt>
                <c:pt idx="83">
                  <c:v>43435</c:v>
                </c:pt>
                <c:pt idx="84">
                  <c:v>43466</c:v>
                </c:pt>
                <c:pt idx="85">
                  <c:v>43497</c:v>
                </c:pt>
                <c:pt idx="86">
                  <c:v>43525</c:v>
                </c:pt>
                <c:pt idx="87">
                  <c:v>43556</c:v>
                </c:pt>
                <c:pt idx="88">
                  <c:v>43586</c:v>
                </c:pt>
                <c:pt idx="89">
                  <c:v>43617</c:v>
                </c:pt>
                <c:pt idx="90">
                  <c:v>43647</c:v>
                </c:pt>
                <c:pt idx="91">
                  <c:v>43678</c:v>
                </c:pt>
                <c:pt idx="92">
                  <c:v>43709</c:v>
                </c:pt>
                <c:pt idx="93">
                  <c:v>43739</c:v>
                </c:pt>
                <c:pt idx="94">
                  <c:v>43770</c:v>
                </c:pt>
                <c:pt idx="95">
                  <c:v>43800</c:v>
                </c:pt>
                <c:pt idx="96">
                  <c:v>43831</c:v>
                </c:pt>
                <c:pt idx="97">
                  <c:v>43862</c:v>
                </c:pt>
                <c:pt idx="98">
                  <c:v>43891</c:v>
                </c:pt>
                <c:pt idx="99">
                  <c:v>43922</c:v>
                </c:pt>
                <c:pt idx="100">
                  <c:v>43952</c:v>
                </c:pt>
                <c:pt idx="101">
                  <c:v>43983</c:v>
                </c:pt>
                <c:pt idx="102">
                  <c:v>44013</c:v>
                </c:pt>
                <c:pt idx="103">
                  <c:v>44044</c:v>
                </c:pt>
                <c:pt idx="104">
                  <c:v>44075</c:v>
                </c:pt>
                <c:pt idx="105">
                  <c:v>44105</c:v>
                </c:pt>
                <c:pt idx="106">
                  <c:v>44136</c:v>
                </c:pt>
                <c:pt idx="107">
                  <c:v>44166</c:v>
                </c:pt>
                <c:pt idx="108">
                  <c:v>44197</c:v>
                </c:pt>
                <c:pt idx="109">
                  <c:v>44228</c:v>
                </c:pt>
              </c:numCache>
            </c:numRef>
          </c:cat>
          <c:val>
            <c:numRef>
              <c:f>'AnalizVeri-2'!$H$2:$H$111</c:f>
              <c:numCache>
                <c:formatCode>#,##0.00</c:formatCode>
                <c:ptCount val="110"/>
                <c:pt idx="0">
                  <c:v>18.225000000000001</c:v>
                </c:pt>
                <c:pt idx="1">
                  <c:v>17.695</c:v>
                </c:pt>
                <c:pt idx="2">
                  <c:v>16.844000000000001</c:v>
                </c:pt>
                <c:pt idx="3">
                  <c:v>16.487500000000001</c:v>
                </c:pt>
                <c:pt idx="4">
                  <c:v>16.13</c:v>
                </c:pt>
                <c:pt idx="5">
                  <c:v>15.901999999999999</c:v>
                </c:pt>
                <c:pt idx="6">
                  <c:v>15.67</c:v>
                </c:pt>
                <c:pt idx="7">
                  <c:v>15.41</c:v>
                </c:pt>
                <c:pt idx="8">
                  <c:v>14.717499999999999</c:v>
                </c:pt>
                <c:pt idx="9">
                  <c:v>14.147500000000001</c:v>
                </c:pt>
                <c:pt idx="10">
                  <c:v>13.58</c:v>
                </c:pt>
                <c:pt idx="11">
                  <c:v>12.3125</c:v>
                </c:pt>
                <c:pt idx="12">
                  <c:v>12.0425</c:v>
                </c:pt>
                <c:pt idx="13">
                  <c:v>11.885</c:v>
                </c:pt>
                <c:pt idx="14">
                  <c:v>11.728</c:v>
                </c:pt>
                <c:pt idx="15">
                  <c:v>11.5725</c:v>
                </c:pt>
                <c:pt idx="16">
                  <c:v>10.94</c:v>
                </c:pt>
                <c:pt idx="17">
                  <c:v>9.9949999999999992</c:v>
                </c:pt>
                <c:pt idx="18">
                  <c:v>10.92</c:v>
                </c:pt>
                <c:pt idx="19">
                  <c:v>11.826000000000001</c:v>
                </c:pt>
                <c:pt idx="20">
                  <c:v>12.744999999999999</c:v>
                </c:pt>
                <c:pt idx="21">
                  <c:v>12.89</c:v>
                </c:pt>
                <c:pt idx="22">
                  <c:v>12.592000000000001</c:v>
                </c:pt>
                <c:pt idx="23">
                  <c:v>12.455</c:v>
                </c:pt>
                <c:pt idx="24">
                  <c:v>13.513999999999999</c:v>
                </c:pt>
                <c:pt idx="25">
                  <c:v>15.4575</c:v>
                </c:pt>
                <c:pt idx="26">
                  <c:v>15.89</c:v>
                </c:pt>
                <c:pt idx="27">
                  <c:v>15.862500000000001</c:v>
                </c:pt>
                <c:pt idx="28">
                  <c:v>15.428000000000001</c:v>
                </c:pt>
                <c:pt idx="29">
                  <c:v>14.6275</c:v>
                </c:pt>
                <c:pt idx="30">
                  <c:v>13.865</c:v>
                </c:pt>
                <c:pt idx="31">
                  <c:v>13.582000000000001</c:v>
                </c:pt>
                <c:pt idx="32">
                  <c:v>13.26</c:v>
                </c:pt>
                <c:pt idx="33">
                  <c:v>13.204000000000001</c:v>
                </c:pt>
                <c:pt idx="34">
                  <c:v>13.1875</c:v>
                </c:pt>
                <c:pt idx="35">
                  <c:v>13.092499999999999</c:v>
                </c:pt>
                <c:pt idx="36">
                  <c:v>13.804</c:v>
                </c:pt>
                <c:pt idx="37">
                  <c:v>13.66</c:v>
                </c:pt>
                <c:pt idx="38">
                  <c:v>13.342499999999999</c:v>
                </c:pt>
                <c:pt idx="39">
                  <c:v>13.592499999999999</c:v>
                </c:pt>
                <c:pt idx="40">
                  <c:v>14.17</c:v>
                </c:pt>
                <c:pt idx="41">
                  <c:v>14.465</c:v>
                </c:pt>
                <c:pt idx="42">
                  <c:v>14.773999999999999</c:v>
                </c:pt>
                <c:pt idx="43">
                  <c:v>14.9625</c:v>
                </c:pt>
                <c:pt idx="44">
                  <c:v>15.99</c:v>
                </c:pt>
                <c:pt idx="45">
                  <c:v>16.739999999999998</c:v>
                </c:pt>
                <c:pt idx="46">
                  <c:v>16.574999999999999</c:v>
                </c:pt>
                <c:pt idx="47">
                  <c:v>16.38</c:v>
                </c:pt>
                <c:pt idx="48">
                  <c:v>16.686</c:v>
                </c:pt>
                <c:pt idx="49">
                  <c:v>17.0075</c:v>
                </c:pt>
                <c:pt idx="50">
                  <c:v>17.002500000000001</c:v>
                </c:pt>
                <c:pt idx="51">
                  <c:v>16.829999999999998</c:v>
                </c:pt>
                <c:pt idx="52">
                  <c:v>16.482500000000002</c:v>
                </c:pt>
                <c:pt idx="53">
                  <c:v>16.315000000000001</c:v>
                </c:pt>
                <c:pt idx="54">
                  <c:v>16.512</c:v>
                </c:pt>
                <c:pt idx="55">
                  <c:v>16.2</c:v>
                </c:pt>
                <c:pt idx="56">
                  <c:v>15.79</c:v>
                </c:pt>
                <c:pt idx="57">
                  <c:v>15.494999999999999</c:v>
                </c:pt>
                <c:pt idx="58">
                  <c:v>14.8325</c:v>
                </c:pt>
                <c:pt idx="59">
                  <c:v>14.71</c:v>
                </c:pt>
                <c:pt idx="60">
                  <c:v>14.9575</c:v>
                </c:pt>
                <c:pt idx="61">
                  <c:v>15.102499999999999</c:v>
                </c:pt>
                <c:pt idx="62">
                  <c:v>14.744</c:v>
                </c:pt>
                <c:pt idx="63">
                  <c:v>15.0425</c:v>
                </c:pt>
                <c:pt idx="64">
                  <c:v>15.612500000000001</c:v>
                </c:pt>
                <c:pt idx="65">
                  <c:v>15.832000000000001</c:v>
                </c:pt>
                <c:pt idx="66">
                  <c:v>16.07</c:v>
                </c:pt>
                <c:pt idx="67">
                  <c:v>16.420000000000002</c:v>
                </c:pt>
                <c:pt idx="68">
                  <c:v>16.861999999999998</c:v>
                </c:pt>
                <c:pt idx="69">
                  <c:v>17.022500000000001</c:v>
                </c:pt>
                <c:pt idx="70">
                  <c:v>17.155000000000001</c:v>
                </c:pt>
                <c:pt idx="71">
                  <c:v>17.718</c:v>
                </c:pt>
                <c:pt idx="72">
                  <c:v>18.605</c:v>
                </c:pt>
                <c:pt idx="73">
                  <c:v>18.914999999999999</c:v>
                </c:pt>
                <c:pt idx="74">
                  <c:v>18.632000000000001</c:v>
                </c:pt>
                <c:pt idx="75">
                  <c:v>18.802499999999998</c:v>
                </c:pt>
                <c:pt idx="76">
                  <c:v>18.572500000000002</c:v>
                </c:pt>
                <c:pt idx="77">
                  <c:v>19.172000000000001</c:v>
                </c:pt>
                <c:pt idx="78">
                  <c:v>22.762499999999999</c:v>
                </c:pt>
                <c:pt idx="79">
                  <c:v>27.956</c:v>
                </c:pt>
                <c:pt idx="80">
                  <c:v>34.567500000000003</c:v>
                </c:pt>
                <c:pt idx="81">
                  <c:v>37.682499999999997</c:v>
                </c:pt>
                <c:pt idx="82">
                  <c:v>35.24</c:v>
                </c:pt>
                <c:pt idx="83">
                  <c:v>33.064999999999998</c:v>
                </c:pt>
                <c:pt idx="84">
                  <c:v>30.4925</c:v>
                </c:pt>
                <c:pt idx="85">
                  <c:v>26.175000000000001</c:v>
                </c:pt>
                <c:pt idx="86">
                  <c:v>22.77</c:v>
                </c:pt>
                <c:pt idx="87">
                  <c:v>24.322500000000002</c:v>
                </c:pt>
                <c:pt idx="88">
                  <c:v>27.838000000000001</c:v>
                </c:pt>
                <c:pt idx="89">
                  <c:v>28.622499999999999</c:v>
                </c:pt>
                <c:pt idx="90">
                  <c:v>26.92</c:v>
                </c:pt>
                <c:pt idx="91">
                  <c:v>21.166</c:v>
                </c:pt>
                <c:pt idx="92">
                  <c:v>18.252500000000001</c:v>
                </c:pt>
                <c:pt idx="93">
                  <c:v>17.177499999999998</c:v>
                </c:pt>
                <c:pt idx="94">
                  <c:v>16.225999999999999</c:v>
                </c:pt>
                <c:pt idx="95">
                  <c:v>15.345000000000001</c:v>
                </c:pt>
                <c:pt idx="96">
                  <c:v>14.606</c:v>
                </c:pt>
                <c:pt idx="97">
                  <c:v>13.835000000000001</c:v>
                </c:pt>
                <c:pt idx="98">
                  <c:v>14.04</c:v>
                </c:pt>
                <c:pt idx="99">
                  <c:v>12.065</c:v>
                </c:pt>
                <c:pt idx="100">
                  <c:v>10.682</c:v>
                </c:pt>
                <c:pt idx="101">
                  <c:v>11.397500000000001</c:v>
                </c:pt>
                <c:pt idx="102">
                  <c:v>11.006</c:v>
                </c:pt>
                <c:pt idx="103">
                  <c:v>14.3925</c:v>
                </c:pt>
                <c:pt idx="104">
                  <c:v>17.272500000000001</c:v>
                </c:pt>
                <c:pt idx="105">
                  <c:v>18.454000000000001</c:v>
                </c:pt>
                <c:pt idx="106">
                  <c:v>19.864999999999998</c:v>
                </c:pt>
                <c:pt idx="107">
                  <c:v>21.914999999999999</c:v>
                </c:pt>
                <c:pt idx="108">
                  <c:v>22.116</c:v>
                </c:pt>
                <c:pt idx="109">
                  <c:v>21.725000000000001</c:v>
                </c:pt>
              </c:numCache>
            </c:numRef>
          </c:val>
          <c:smooth val="0"/>
          <c:extLst>
            <c:ext xmlns:c16="http://schemas.microsoft.com/office/drawing/2014/chart" uri="{C3380CC4-5D6E-409C-BE32-E72D297353CC}">
              <c16:uniqueId val="{00000000-A7D7-43B9-B42F-04D0993666F6}"/>
            </c:ext>
          </c:extLst>
        </c:ser>
        <c:dLbls>
          <c:showLegendKey val="0"/>
          <c:showVal val="0"/>
          <c:showCatName val="0"/>
          <c:showSerName val="0"/>
          <c:showPercent val="0"/>
          <c:showBubbleSize val="0"/>
        </c:dLbls>
        <c:smooth val="0"/>
        <c:axId val="433632808"/>
        <c:axId val="433631824"/>
      </c:lineChart>
      <c:dateAx>
        <c:axId val="433632808"/>
        <c:scaling>
          <c:orientation val="minMax"/>
        </c:scaling>
        <c:delete val="0"/>
        <c:axPos val="b"/>
        <c:numFmt formatCode="[$-41F]mmmm\ 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3631824"/>
        <c:crosses val="autoZero"/>
        <c:auto val="1"/>
        <c:lblOffset val="100"/>
        <c:baseTimeUnit val="months"/>
      </c:dateAx>
      <c:valAx>
        <c:axId val="43363182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36328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Sayfa3!$I$1</c:f>
              <c:strCache>
                <c:ptCount val="1"/>
                <c:pt idx="0">
                  <c:v>Gerçek Tüketici Kredisi Faiz Oranı</c:v>
                </c:pt>
              </c:strCache>
            </c:strRef>
          </c:tx>
          <c:spPr>
            <a:ln w="28575" cap="rnd">
              <a:solidFill>
                <a:schemeClr val="accent1"/>
              </a:solidFill>
              <a:round/>
            </a:ln>
            <a:effectLst/>
          </c:spPr>
          <c:marker>
            <c:symbol val="none"/>
          </c:marker>
          <c:val>
            <c:numRef>
              <c:f>Sayfa3!$I$2:$I$111</c:f>
              <c:numCache>
                <c:formatCode>General</c:formatCode>
                <c:ptCount val="110"/>
                <c:pt idx="0">
                  <c:v>18.23</c:v>
                </c:pt>
                <c:pt idx="1">
                  <c:v>17.7</c:v>
                </c:pt>
                <c:pt idx="2">
                  <c:v>16.84</c:v>
                </c:pt>
                <c:pt idx="3">
                  <c:v>16.489999999999998</c:v>
                </c:pt>
                <c:pt idx="4">
                  <c:v>16.13</c:v>
                </c:pt>
                <c:pt idx="5">
                  <c:v>15.9</c:v>
                </c:pt>
                <c:pt idx="6">
                  <c:v>15.67</c:v>
                </c:pt>
                <c:pt idx="7">
                  <c:v>15.41</c:v>
                </c:pt>
                <c:pt idx="8">
                  <c:v>14.72</c:v>
                </c:pt>
                <c:pt idx="9">
                  <c:v>14.15</c:v>
                </c:pt>
                <c:pt idx="10">
                  <c:v>13.58</c:v>
                </c:pt>
                <c:pt idx="11">
                  <c:v>12.31</c:v>
                </c:pt>
                <c:pt idx="12">
                  <c:v>12.04</c:v>
                </c:pt>
                <c:pt idx="13">
                  <c:v>11.89</c:v>
                </c:pt>
                <c:pt idx="14">
                  <c:v>11.73</c:v>
                </c:pt>
                <c:pt idx="15">
                  <c:v>11.57</c:v>
                </c:pt>
                <c:pt idx="16">
                  <c:v>10.94</c:v>
                </c:pt>
                <c:pt idx="17">
                  <c:v>10</c:v>
                </c:pt>
                <c:pt idx="18">
                  <c:v>10.92</c:v>
                </c:pt>
                <c:pt idx="19">
                  <c:v>11.83</c:v>
                </c:pt>
                <c:pt idx="20">
                  <c:v>12.75</c:v>
                </c:pt>
                <c:pt idx="21">
                  <c:v>12.89</c:v>
                </c:pt>
                <c:pt idx="22">
                  <c:v>12.59</c:v>
                </c:pt>
                <c:pt idx="23">
                  <c:v>12.46</c:v>
                </c:pt>
                <c:pt idx="24">
                  <c:v>13.51</c:v>
                </c:pt>
                <c:pt idx="25">
                  <c:v>15.46</c:v>
                </c:pt>
                <c:pt idx="26">
                  <c:v>15.89</c:v>
                </c:pt>
                <c:pt idx="27">
                  <c:v>15.86</c:v>
                </c:pt>
                <c:pt idx="28">
                  <c:v>15.43</c:v>
                </c:pt>
                <c:pt idx="29">
                  <c:v>14.63</c:v>
                </c:pt>
                <c:pt idx="30">
                  <c:v>13.87</c:v>
                </c:pt>
                <c:pt idx="31">
                  <c:v>13.58</c:v>
                </c:pt>
                <c:pt idx="32">
                  <c:v>13.26</c:v>
                </c:pt>
                <c:pt idx="33">
                  <c:v>13.2</c:v>
                </c:pt>
                <c:pt idx="34">
                  <c:v>13.19</c:v>
                </c:pt>
                <c:pt idx="35">
                  <c:v>13.09</c:v>
                </c:pt>
                <c:pt idx="36">
                  <c:v>13.8</c:v>
                </c:pt>
                <c:pt idx="37">
                  <c:v>13.66</c:v>
                </c:pt>
                <c:pt idx="38">
                  <c:v>13.34</c:v>
                </c:pt>
                <c:pt idx="39">
                  <c:v>13.59</c:v>
                </c:pt>
                <c:pt idx="40">
                  <c:v>14.17</c:v>
                </c:pt>
                <c:pt idx="41">
                  <c:v>14.47</c:v>
                </c:pt>
                <c:pt idx="42">
                  <c:v>14.77</c:v>
                </c:pt>
                <c:pt idx="43">
                  <c:v>14.96</c:v>
                </c:pt>
                <c:pt idx="44">
                  <c:v>15.99</c:v>
                </c:pt>
                <c:pt idx="45">
                  <c:v>16.739999999999998</c:v>
                </c:pt>
                <c:pt idx="46">
                  <c:v>16.579999999999998</c:v>
                </c:pt>
                <c:pt idx="47">
                  <c:v>16.38</c:v>
                </c:pt>
                <c:pt idx="48">
                  <c:v>16.690000000000001</c:v>
                </c:pt>
                <c:pt idx="49">
                  <c:v>17.010000000000002</c:v>
                </c:pt>
                <c:pt idx="50">
                  <c:v>17</c:v>
                </c:pt>
                <c:pt idx="51">
                  <c:v>16.829999999999998</c:v>
                </c:pt>
                <c:pt idx="52">
                  <c:v>16.48</c:v>
                </c:pt>
                <c:pt idx="53">
                  <c:v>16.32</c:v>
                </c:pt>
                <c:pt idx="54">
                  <c:v>16.510000000000002</c:v>
                </c:pt>
                <c:pt idx="55">
                  <c:v>16.2</c:v>
                </c:pt>
                <c:pt idx="56">
                  <c:v>15.79</c:v>
                </c:pt>
                <c:pt idx="57">
                  <c:v>15.5</c:v>
                </c:pt>
                <c:pt idx="58">
                  <c:v>14.83</c:v>
                </c:pt>
                <c:pt idx="59">
                  <c:v>14.71</c:v>
                </c:pt>
                <c:pt idx="60">
                  <c:v>14.96</c:v>
                </c:pt>
                <c:pt idx="61">
                  <c:v>15.1</c:v>
                </c:pt>
                <c:pt idx="62">
                  <c:v>14.74</c:v>
                </c:pt>
                <c:pt idx="63">
                  <c:v>15.04</c:v>
                </c:pt>
                <c:pt idx="64">
                  <c:v>15.61</c:v>
                </c:pt>
                <c:pt idx="65">
                  <c:v>15.83</c:v>
                </c:pt>
                <c:pt idx="66">
                  <c:v>16.07</c:v>
                </c:pt>
                <c:pt idx="67">
                  <c:v>16.420000000000002</c:v>
                </c:pt>
                <c:pt idx="68">
                  <c:v>16.86</c:v>
                </c:pt>
                <c:pt idx="69">
                  <c:v>17.02</c:v>
                </c:pt>
                <c:pt idx="70">
                  <c:v>17.16</c:v>
                </c:pt>
                <c:pt idx="71">
                  <c:v>17.72</c:v>
                </c:pt>
                <c:pt idx="72">
                  <c:v>18.61</c:v>
                </c:pt>
                <c:pt idx="73">
                  <c:v>18.920000000000002</c:v>
                </c:pt>
                <c:pt idx="74">
                  <c:v>18.63</c:v>
                </c:pt>
                <c:pt idx="75">
                  <c:v>18.8</c:v>
                </c:pt>
                <c:pt idx="76">
                  <c:v>18.57</c:v>
                </c:pt>
                <c:pt idx="77">
                  <c:v>19.170000000000002</c:v>
                </c:pt>
                <c:pt idx="78">
                  <c:v>22.76</c:v>
                </c:pt>
                <c:pt idx="79">
                  <c:v>27.96</c:v>
                </c:pt>
                <c:pt idx="80">
                  <c:v>34.57</c:v>
                </c:pt>
                <c:pt idx="81">
                  <c:v>37.68</c:v>
                </c:pt>
                <c:pt idx="82">
                  <c:v>35.24</c:v>
                </c:pt>
                <c:pt idx="83">
                  <c:v>33.07</c:v>
                </c:pt>
                <c:pt idx="84">
                  <c:v>30.49</c:v>
                </c:pt>
                <c:pt idx="85">
                  <c:v>26.18</c:v>
                </c:pt>
                <c:pt idx="86">
                  <c:v>22.77</c:v>
                </c:pt>
                <c:pt idx="87">
                  <c:v>24.32</c:v>
                </c:pt>
                <c:pt idx="88">
                  <c:v>27.84</c:v>
                </c:pt>
                <c:pt idx="89">
                  <c:v>28.62</c:v>
                </c:pt>
                <c:pt idx="90">
                  <c:v>26.92</c:v>
                </c:pt>
                <c:pt idx="91">
                  <c:v>21.17</c:v>
                </c:pt>
                <c:pt idx="92">
                  <c:v>18.25</c:v>
                </c:pt>
                <c:pt idx="93">
                  <c:v>17.18</c:v>
                </c:pt>
                <c:pt idx="94">
                  <c:v>16.23</c:v>
                </c:pt>
                <c:pt idx="95">
                  <c:v>15.35</c:v>
                </c:pt>
                <c:pt idx="96">
                  <c:v>14.61</c:v>
                </c:pt>
                <c:pt idx="97">
                  <c:v>13.84</c:v>
                </c:pt>
                <c:pt idx="98">
                  <c:v>14.04</c:v>
                </c:pt>
                <c:pt idx="99">
                  <c:v>12.07</c:v>
                </c:pt>
                <c:pt idx="100">
                  <c:v>10.68</c:v>
                </c:pt>
                <c:pt idx="101">
                  <c:v>11.4</c:v>
                </c:pt>
                <c:pt idx="102">
                  <c:v>11.01</c:v>
                </c:pt>
                <c:pt idx="103">
                  <c:v>14.39</c:v>
                </c:pt>
                <c:pt idx="104">
                  <c:v>17.27</c:v>
                </c:pt>
                <c:pt idx="105">
                  <c:v>18.45</c:v>
                </c:pt>
                <c:pt idx="106">
                  <c:v>19.87</c:v>
                </c:pt>
                <c:pt idx="107">
                  <c:v>21.92</c:v>
                </c:pt>
                <c:pt idx="108">
                  <c:v>22.12</c:v>
                </c:pt>
                <c:pt idx="109">
                  <c:v>21.73</c:v>
                </c:pt>
              </c:numCache>
            </c:numRef>
          </c:val>
          <c:smooth val="0"/>
          <c:extLst>
            <c:ext xmlns:c16="http://schemas.microsoft.com/office/drawing/2014/chart" uri="{C3380CC4-5D6E-409C-BE32-E72D297353CC}">
              <c16:uniqueId val="{00000000-9654-4B2C-9607-A2E6F9487DD8}"/>
            </c:ext>
          </c:extLst>
        </c:ser>
        <c:ser>
          <c:idx val="1"/>
          <c:order val="1"/>
          <c:tx>
            <c:strRef>
              <c:f>Sayfa3!$J$1</c:f>
              <c:strCache>
                <c:ptCount val="1"/>
                <c:pt idx="0">
                  <c:v>Tahmin Tüketici Kredisi Faiz Oranı</c:v>
                </c:pt>
              </c:strCache>
            </c:strRef>
          </c:tx>
          <c:spPr>
            <a:ln w="28575" cap="rnd">
              <a:solidFill>
                <a:schemeClr val="accent2"/>
              </a:solidFill>
              <a:round/>
            </a:ln>
            <a:effectLst/>
          </c:spPr>
          <c:marker>
            <c:symbol val="none"/>
          </c:marker>
          <c:val>
            <c:numRef>
              <c:f>Sayfa3!$J$2:$J$111</c:f>
              <c:numCache>
                <c:formatCode>General</c:formatCode>
                <c:ptCount val="110"/>
                <c:pt idx="0">
                  <c:v>17.924838999999999</c:v>
                </c:pt>
                <c:pt idx="1">
                  <c:v>18.129019</c:v>
                </c:pt>
                <c:pt idx="2">
                  <c:v>16.922526999999999</c:v>
                </c:pt>
                <c:pt idx="3">
                  <c:v>16.207678999999999</c:v>
                </c:pt>
                <c:pt idx="4">
                  <c:v>15.934006</c:v>
                </c:pt>
                <c:pt idx="5">
                  <c:v>15.645023</c:v>
                </c:pt>
                <c:pt idx="6">
                  <c:v>15.424602</c:v>
                </c:pt>
                <c:pt idx="7">
                  <c:v>15.383519</c:v>
                </c:pt>
                <c:pt idx="8">
                  <c:v>15.224834</c:v>
                </c:pt>
                <c:pt idx="9">
                  <c:v>14.766954</c:v>
                </c:pt>
                <c:pt idx="10">
                  <c:v>13.722607</c:v>
                </c:pt>
                <c:pt idx="11">
                  <c:v>13.287107000000001</c:v>
                </c:pt>
                <c:pt idx="12">
                  <c:v>11.72827</c:v>
                </c:pt>
                <c:pt idx="13">
                  <c:v>11.928554999999999</c:v>
                </c:pt>
                <c:pt idx="14">
                  <c:v>11.923660999999999</c:v>
                </c:pt>
                <c:pt idx="15">
                  <c:v>11.776287999999999</c:v>
                </c:pt>
                <c:pt idx="16">
                  <c:v>11.473394000000001</c:v>
                </c:pt>
                <c:pt idx="17">
                  <c:v>10.972963999999999</c:v>
                </c:pt>
                <c:pt idx="18">
                  <c:v>10.449005</c:v>
                </c:pt>
                <c:pt idx="19">
                  <c:v>11.442268</c:v>
                </c:pt>
                <c:pt idx="20">
                  <c:v>12.512767999999999</c:v>
                </c:pt>
                <c:pt idx="21">
                  <c:v>13.197844999999999</c:v>
                </c:pt>
                <c:pt idx="22">
                  <c:v>12.616255000000001</c:v>
                </c:pt>
                <c:pt idx="23">
                  <c:v>12.259456</c:v>
                </c:pt>
                <c:pt idx="24">
                  <c:v>12.379519999999999</c:v>
                </c:pt>
                <c:pt idx="25">
                  <c:v>14.203063</c:v>
                </c:pt>
                <c:pt idx="26">
                  <c:v>16.298228000000002</c:v>
                </c:pt>
                <c:pt idx="27">
                  <c:v>15.488725000000001</c:v>
                </c:pt>
                <c:pt idx="28">
                  <c:v>15.371207</c:v>
                </c:pt>
                <c:pt idx="29">
                  <c:v>14.831640999999999</c:v>
                </c:pt>
                <c:pt idx="30">
                  <c:v>13.887423</c:v>
                </c:pt>
                <c:pt idx="31">
                  <c:v>13.203916</c:v>
                </c:pt>
                <c:pt idx="32">
                  <c:v>13.195076</c:v>
                </c:pt>
                <c:pt idx="33">
                  <c:v>13.076345999999999</c:v>
                </c:pt>
                <c:pt idx="34">
                  <c:v>13.219694</c:v>
                </c:pt>
                <c:pt idx="35">
                  <c:v>13.272905</c:v>
                </c:pt>
                <c:pt idx="36">
                  <c:v>13.198183</c:v>
                </c:pt>
                <c:pt idx="37">
                  <c:v>14.320717</c:v>
                </c:pt>
                <c:pt idx="38">
                  <c:v>13.871069</c:v>
                </c:pt>
                <c:pt idx="39">
                  <c:v>13.385419000000001</c:v>
                </c:pt>
                <c:pt idx="40">
                  <c:v>13.984170000000001</c:v>
                </c:pt>
                <c:pt idx="41">
                  <c:v>14.540511</c:v>
                </c:pt>
                <c:pt idx="42">
                  <c:v>14.698263000000001</c:v>
                </c:pt>
                <c:pt idx="43">
                  <c:v>15.146561999999999</c:v>
                </c:pt>
                <c:pt idx="44">
                  <c:v>15.517829000000001</c:v>
                </c:pt>
                <c:pt idx="45">
                  <c:v>16.537980999999998</c:v>
                </c:pt>
                <c:pt idx="46">
                  <c:v>16.847448</c:v>
                </c:pt>
                <c:pt idx="47">
                  <c:v>16.142510999999999</c:v>
                </c:pt>
                <c:pt idx="48">
                  <c:v>16.144290000000002</c:v>
                </c:pt>
                <c:pt idx="49">
                  <c:v>16.674956000000002</c:v>
                </c:pt>
                <c:pt idx="50">
                  <c:v>16.796399999999998</c:v>
                </c:pt>
                <c:pt idx="51">
                  <c:v>16.579021000000001</c:v>
                </c:pt>
                <c:pt idx="52">
                  <c:v>16.478829999999999</c:v>
                </c:pt>
                <c:pt idx="53">
                  <c:v>16.108179</c:v>
                </c:pt>
                <c:pt idx="54">
                  <c:v>16.108505000000001</c:v>
                </c:pt>
                <c:pt idx="55">
                  <c:v>16.662758</c:v>
                </c:pt>
                <c:pt idx="56">
                  <c:v>15.892113</c:v>
                </c:pt>
                <c:pt idx="57">
                  <c:v>15.578169000000001</c:v>
                </c:pt>
                <c:pt idx="58">
                  <c:v>15.418576</c:v>
                </c:pt>
                <c:pt idx="59">
                  <c:v>14.615017</c:v>
                </c:pt>
                <c:pt idx="60">
                  <c:v>14.94139</c:v>
                </c:pt>
                <c:pt idx="61">
                  <c:v>15.390783000000001</c:v>
                </c:pt>
                <c:pt idx="62">
                  <c:v>15.395719</c:v>
                </c:pt>
                <c:pt idx="63">
                  <c:v>14.697025999999999</c:v>
                </c:pt>
                <c:pt idx="64">
                  <c:v>15.647500000000001</c:v>
                </c:pt>
                <c:pt idx="65">
                  <c:v>16.222252999999998</c:v>
                </c:pt>
                <c:pt idx="66">
                  <c:v>16.139388</c:v>
                </c:pt>
                <c:pt idx="67">
                  <c:v>16.482184</c:v>
                </c:pt>
                <c:pt idx="68">
                  <c:v>16.771604</c:v>
                </c:pt>
                <c:pt idx="69">
                  <c:v>17.13541</c:v>
                </c:pt>
                <c:pt idx="70">
                  <c:v>17.058530000000001</c:v>
                </c:pt>
                <c:pt idx="71">
                  <c:v>17.237707</c:v>
                </c:pt>
                <c:pt idx="72">
                  <c:v>18.359850000000002</c:v>
                </c:pt>
                <c:pt idx="73">
                  <c:v>19.127016999999999</c:v>
                </c:pt>
                <c:pt idx="74">
                  <c:v>18.784229</c:v>
                </c:pt>
                <c:pt idx="75">
                  <c:v>18.577846000000001</c:v>
                </c:pt>
                <c:pt idx="76">
                  <c:v>19.809193</c:v>
                </c:pt>
                <c:pt idx="77">
                  <c:v>19.287441000000001</c:v>
                </c:pt>
                <c:pt idx="78">
                  <c:v>21.519606</c:v>
                </c:pt>
                <c:pt idx="79">
                  <c:v>28.114643999999998</c:v>
                </c:pt>
                <c:pt idx="80">
                  <c:v>34.598421999999999</c:v>
                </c:pt>
                <c:pt idx="81">
                  <c:v>36.527760000000001</c:v>
                </c:pt>
                <c:pt idx="82">
                  <c:v>35.932051999999999</c:v>
                </c:pt>
                <c:pt idx="83">
                  <c:v>33.103628</c:v>
                </c:pt>
                <c:pt idx="84">
                  <c:v>30.335791</c:v>
                </c:pt>
                <c:pt idx="85">
                  <c:v>26.325261999999999</c:v>
                </c:pt>
                <c:pt idx="86">
                  <c:v>22.698008000000002</c:v>
                </c:pt>
                <c:pt idx="87">
                  <c:v>24.351258999999999</c:v>
                </c:pt>
                <c:pt idx="88">
                  <c:v>27.868043</c:v>
                </c:pt>
                <c:pt idx="89">
                  <c:v>29.001093999999998</c:v>
                </c:pt>
                <c:pt idx="90">
                  <c:v>25.901973000000002</c:v>
                </c:pt>
                <c:pt idx="91">
                  <c:v>22.079664999999999</c:v>
                </c:pt>
                <c:pt idx="92">
                  <c:v>17.692409999999999</c:v>
                </c:pt>
                <c:pt idx="93">
                  <c:v>19.996867000000002</c:v>
                </c:pt>
                <c:pt idx="94">
                  <c:v>19.088968999999999</c:v>
                </c:pt>
                <c:pt idx="95">
                  <c:v>17.271519000000001</c:v>
                </c:pt>
                <c:pt idx="96">
                  <c:v>16.554462999999998</c:v>
                </c:pt>
                <c:pt idx="97">
                  <c:v>15.866441</c:v>
                </c:pt>
                <c:pt idx="98">
                  <c:v>15.067342999999999</c:v>
                </c:pt>
                <c:pt idx="99">
                  <c:v>16.308112000000001</c:v>
                </c:pt>
                <c:pt idx="100">
                  <c:v>12.023412</c:v>
                </c:pt>
                <c:pt idx="101">
                  <c:v>11.281476</c:v>
                </c:pt>
                <c:pt idx="102">
                  <c:v>13.578868</c:v>
                </c:pt>
                <c:pt idx="103">
                  <c:v>12.211603</c:v>
                </c:pt>
                <c:pt idx="104">
                  <c:v>21.725479</c:v>
                </c:pt>
                <c:pt idx="105">
                  <c:v>21.353158000000001</c:v>
                </c:pt>
                <c:pt idx="106">
                  <c:v>21.082060999999999</c:v>
                </c:pt>
                <c:pt idx="107">
                  <c:v>23.346062</c:v>
                </c:pt>
                <c:pt idx="108">
                  <c:v>25.367494000000001</c:v>
                </c:pt>
                <c:pt idx="109">
                  <c:v>22.692526000000001</c:v>
                </c:pt>
              </c:numCache>
            </c:numRef>
          </c:val>
          <c:smooth val="0"/>
          <c:extLst>
            <c:ext xmlns:c16="http://schemas.microsoft.com/office/drawing/2014/chart" uri="{C3380CC4-5D6E-409C-BE32-E72D297353CC}">
              <c16:uniqueId val="{00000001-9654-4B2C-9607-A2E6F9487DD8}"/>
            </c:ext>
          </c:extLst>
        </c:ser>
        <c:dLbls>
          <c:showLegendKey val="0"/>
          <c:showVal val="0"/>
          <c:showCatName val="0"/>
          <c:showSerName val="0"/>
          <c:showPercent val="0"/>
          <c:showBubbleSize val="0"/>
        </c:dLbls>
        <c:smooth val="0"/>
        <c:axId val="572210968"/>
        <c:axId val="572211296"/>
      </c:lineChart>
      <c:catAx>
        <c:axId val="572210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2211296"/>
        <c:crosses val="autoZero"/>
        <c:auto val="1"/>
        <c:lblAlgn val="ctr"/>
        <c:lblOffset val="100"/>
        <c:noMultiLvlLbl val="0"/>
      </c:catAx>
      <c:valAx>
        <c:axId val="5722112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2210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cap="all" baseline="0">
                <a:solidFill>
                  <a:sysClr val="windowText" lastClr="000000"/>
                </a:solidFill>
                <a:latin typeface="Book Antiqua" panose="02040602050305030304" pitchFamily="18" charset="0"/>
                <a:ea typeface="+mn-ea"/>
                <a:cs typeface="+mn-cs"/>
              </a:defRPr>
            </a:pPr>
            <a:r>
              <a:rPr lang="tr-TR" sz="1000"/>
              <a:t>Geleneksel Havayolu</a:t>
            </a:r>
          </a:p>
        </c:rich>
      </c:tx>
      <c:overlay val="0"/>
      <c:spPr>
        <a:noFill/>
        <a:ln>
          <a:noFill/>
        </a:ln>
        <a:effectLst/>
      </c:spPr>
      <c:txPr>
        <a:bodyPr rot="0" spcFirstLastPara="1" vertOverflow="ellipsis" vert="horz" wrap="square" anchor="ctr" anchorCtr="1"/>
        <a:lstStyle/>
        <a:p>
          <a:pPr>
            <a:defRPr sz="1000" b="1" i="0" u="none" strike="noStrike" kern="1200" cap="all" baseline="0">
              <a:solidFill>
                <a:sysClr val="windowText" lastClr="000000"/>
              </a:solidFill>
              <a:latin typeface="Book Antiqua" panose="02040602050305030304" pitchFamily="18" charset="0"/>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5"/>
          <c:dPt>
            <c:idx val="0"/>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C6A9-4919-BA5D-75B2F1C7FAAA}"/>
              </c:ext>
            </c:extLst>
          </c:dPt>
          <c:dPt>
            <c:idx val="1"/>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C6A9-4919-BA5D-75B2F1C7FAAA}"/>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C6A9-4919-BA5D-75B2F1C7FAAA}"/>
              </c:ext>
            </c:extLst>
          </c:dPt>
          <c:dPt>
            <c:idx val="3"/>
            <c:bubble3D val="0"/>
            <c:spPr>
              <a:solidFill>
                <a:schemeClr val="accent6">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C6A9-4919-BA5D-75B2F1C7FAAA}"/>
              </c:ext>
            </c:extLst>
          </c:dPt>
          <c:dPt>
            <c:idx val="4"/>
            <c:bubble3D val="0"/>
            <c:spPr>
              <a:solidFill>
                <a:schemeClr val="accent5">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C6A9-4919-BA5D-75B2F1C7FAAA}"/>
              </c:ext>
            </c:extLst>
          </c:dPt>
          <c:dLbls>
            <c:dLbl>
              <c:idx val="0"/>
              <c:spPr>
                <a:noFill/>
                <a:ln>
                  <a:noFill/>
                </a:ln>
                <a:effectLst/>
              </c:spPr>
              <c:txPr>
                <a:bodyPr rot="0" spcFirstLastPara="1" vertOverflow="ellipsis" vert="horz" wrap="square" anchor="ctr" anchorCtr="1"/>
                <a:lstStyle/>
                <a:p>
                  <a:pPr>
                    <a:defRPr sz="900" b="1" i="0" u="none" strike="noStrike" kern="1200" spc="0" baseline="0">
                      <a:solidFill>
                        <a:sysClr val="windowText" lastClr="000000"/>
                      </a:solidFill>
                      <a:latin typeface="Book Antiqua" panose="02040602050305030304" pitchFamily="18" charset="0"/>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1-C6A9-4919-BA5D-75B2F1C7FAAA}"/>
                </c:ext>
              </c:extLst>
            </c:dLbl>
            <c:dLbl>
              <c:idx val="1"/>
              <c:spPr>
                <a:noFill/>
                <a:ln>
                  <a:noFill/>
                </a:ln>
                <a:effectLst/>
              </c:spPr>
              <c:txPr>
                <a:bodyPr rot="0" spcFirstLastPara="1" vertOverflow="ellipsis" vert="horz" wrap="square" anchor="ctr" anchorCtr="1"/>
                <a:lstStyle/>
                <a:p>
                  <a:pPr>
                    <a:defRPr sz="900" b="1" i="0" u="none" strike="noStrike" kern="1200" spc="0" baseline="0">
                      <a:solidFill>
                        <a:sysClr val="windowText" lastClr="000000"/>
                      </a:solidFill>
                      <a:latin typeface="Book Antiqua" panose="02040602050305030304" pitchFamily="18" charset="0"/>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3-C6A9-4919-BA5D-75B2F1C7FAAA}"/>
                </c:ext>
              </c:extLst>
            </c:dLbl>
            <c:dLbl>
              <c:idx val="2"/>
              <c:spPr>
                <a:noFill/>
                <a:ln>
                  <a:noFill/>
                </a:ln>
                <a:effectLst/>
              </c:spPr>
              <c:txPr>
                <a:bodyPr rot="0" spcFirstLastPara="1" vertOverflow="ellipsis" vert="horz" wrap="square" anchor="ctr" anchorCtr="1"/>
                <a:lstStyle/>
                <a:p>
                  <a:pPr>
                    <a:defRPr sz="900" b="1" i="0" u="none" strike="noStrike" kern="1200" spc="0" baseline="0">
                      <a:solidFill>
                        <a:sysClr val="windowText" lastClr="000000"/>
                      </a:solidFill>
                      <a:latin typeface="Book Antiqua" panose="02040602050305030304" pitchFamily="18" charset="0"/>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5-C6A9-4919-BA5D-75B2F1C7FAAA}"/>
                </c:ext>
              </c:extLst>
            </c:dLbl>
            <c:dLbl>
              <c:idx val="3"/>
              <c:spPr>
                <a:noFill/>
                <a:ln>
                  <a:noFill/>
                </a:ln>
                <a:effectLst/>
              </c:spPr>
              <c:txPr>
                <a:bodyPr rot="0" spcFirstLastPara="1" vertOverflow="ellipsis" vert="horz" wrap="square" anchor="ctr" anchorCtr="1"/>
                <a:lstStyle/>
                <a:p>
                  <a:pPr>
                    <a:defRPr sz="900" b="1" i="0" u="none" strike="noStrike" kern="1200" spc="0" baseline="0">
                      <a:solidFill>
                        <a:sysClr val="windowText" lastClr="000000"/>
                      </a:solidFill>
                      <a:latin typeface="Book Antiqua" panose="02040602050305030304" pitchFamily="18" charset="0"/>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7-C6A9-4919-BA5D-75B2F1C7FAAA}"/>
                </c:ext>
              </c:extLst>
            </c:dLbl>
            <c:dLbl>
              <c:idx val="4"/>
              <c:spPr>
                <a:noFill/>
                <a:ln>
                  <a:noFill/>
                </a:ln>
                <a:effectLst/>
              </c:spPr>
              <c:txPr>
                <a:bodyPr rot="0" spcFirstLastPara="1" vertOverflow="ellipsis" vert="horz" wrap="square" anchor="ctr" anchorCtr="1"/>
                <a:lstStyle/>
                <a:p>
                  <a:pPr>
                    <a:defRPr sz="900" b="1" i="0" u="none" strike="noStrike" kern="1200" spc="0" baseline="0">
                      <a:solidFill>
                        <a:sysClr val="windowText" lastClr="000000"/>
                      </a:solidFill>
                      <a:latin typeface="Book Antiqua" panose="02040602050305030304" pitchFamily="18" charset="0"/>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9-C6A9-4919-BA5D-75B2F1C7FAAA}"/>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Sayfa1!$D$3:$D$7</c:f>
              <c:strCache>
                <c:ptCount val="5"/>
                <c:pt idx="0">
                  <c:v>Bagaj</c:v>
                </c:pt>
                <c:pt idx="1">
                  <c:v>Bilet Değişikliği</c:v>
                </c:pt>
                <c:pt idx="2">
                  <c:v>Bilet İadesi</c:v>
                </c:pt>
                <c:pt idx="3">
                  <c:v>Mil</c:v>
                </c:pt>
                <c:pt idx="4">
                  <c:v>Müşteri Hizmetleri</c:v>
                </c:pt>
              </c:strCache>
            </c:strRef>
          </c:cat>
          <c:val>
            <c:numRef>
              <c:f>Sayfa1!$E$3:$E$7</c:f>
              <c:numCache>
                <c:formatCode>General</c:formatCode>
                <c:ptCount val="5"/>
                <c:pt idx="0">
                  <c:v>8</c:v>
                </c:pt>
                <c:pt idx="1">
                  <c:v>26</c:v>
                </c:pt>
                <c:pt idx="2">
                  <c:v>24</c:v>
                </c:pt>
                <c:pt idx="3">
                  <c:v>4</c:v>
                </c:pt>
                <c:pt idx="4">
                  <c:v>23</c:v>
                </c:pt>
              </c:numCache>
            </c:numRef>
          </c:val>
          <c:extLst>
            <c:ext xmlns:c16="http://schemas.microsoft.com/office/drawing/2014/chart" uri="{C3380CC4-5D6E-409C-BE32-E72D297353CC}">
              <c16:uniqueId val="{0000000A-C6A9-4919-BA5D-75B2F1C7FAAA}"/>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900" b="1">
          <a:solidFill>
            <a:sysClr val="windowText" lastClr="000000"/>
          </a:solidFill>
          <a:latin typeface="Book Antiqua" panose="02040602050305030304" pitchFamily="18" charset="0"/>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cap="all" baseline="0">
                <a:solidFill>
                  <a:sysClr val="windowText" lastClr="000000"/>
                </a:solidFill>
                <a:latin typeface="Book Antiqua" panose="02040602050305030304" pitchFamily="18" charset="0"/>
                <a:ea typeface="+mn-ea"/>
                <a:cs typeface="+mn-cs"/>
              </a:defRPr>
            </a:pPr>
            <a:r>
              <a:rPr lang="tr-TR" sz="1000"/>
              <a:t>Düşük Maliyetli Havayolu</a:t>
            </a:r>
          </a:p>
        </c:rich>
      </c:tx>
      <c:layout>
        <c:manualLayout>
          <c:xMode val="edge"/>
          <c:yMode val="edge"/>
          <c:x val="0.28992770308043625"/>
          <c:y val="1.4184397163120567E-2"/>
        </c:manualLayout>
      </c:layout>
      <c:overlay val="0"/>
      <c:spPr>
        <a:noFill/>
        <a:ln>
          <a:noFill/>
        </a:ln>
        <a:effectLst/>
      </c:spPr>
      <c:txPr>
        <a:bodyPr rot="0" spcFirstLastPara="1" vertOverflow="ellipsis" vert="horz" wrap="square" anchor="ctr" anchorCtr="1"/>
        <a:lstStyle/>
        <a:p>
          <a:pPr>
            <a:defRPr sz="1000" b="1" i="0" u="none" strike="noStrike" kern="1200" cap="all" baseline="0">
              <a:solidFill>
                <a:sysClr val="windowText" lastClr="000000"/>
              </a:solidFill>
              <a:latin typeface="Book Antiqua" panose="02040602050305030304" pitchFamily="18" charset="0"/>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5652804229796194E-2"/>
          <c:y val="0.20743396437147485"/>
          <c:w val="0.91102589613121465"/>
          <c:h val="0.76548585272994718"/>
        </c:manualLayout>
      </c:layout>
      <c:pie3DChart>
        <c:varyColors val="1"/>
        <c:ser>
          <c:idx val="0"/>
          <c:order val="0"/>
          <c:explosion val="30"/>
          <c:dPt>
            <c:idx val="0"/>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D905-492D-A561-E4CBC7B1A65A}"/>
              </c:ext>
            </c:extLst>
          </c:dPt>
          <c:dPt>
            <c:idx val="1"/>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D905-492D-A561-E4CBC7B1A65A}"/>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D905-492D-A561-E4CBC7B1A65A}"/>
              </c:ext>
            </c:extLst>
          </c:dPt>
          <c:dPt>
            <c:idx val="3"/>
            <c:bubble3D val="0"/>
            <c:spPr>
              <a:solidFill>
                <a:schemeClr val="accent6">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D905-492D-A561-E4CBC7B1A65A}"/>
              </c:ext>
            </c:extLst>
          </c:dPt>
          <c:dPt>
            <c:idx val="4"/>
            <c:bubble3D val="0"/>
            <c:spPr>
              <a:solidFill>
                <a:schemeClr val="accent5">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D905-492D-A561-E4CBC7B1A65A}"/>
              </c:ext>
            </c:extLst>
          </c:dPt>
          <c:dLbls>
            <c:dLbl>
              <c:idx val="0"/>
              <c:spPr>
                <a:noFill/>
                <a:ln>
                  <a:noFill/>
                </a:ln>
                <a:effectLst/>
              </c:spPr>
              <c:txPr>
                <a:bodyPr rot="0" spcFirstLastPara="1" vertOverflow="ellipsis" vert="horz" wrap="square" anchor="ctr" anchorCtr="1"/>
                <a:lstStyle/>
                <a:p>
                  <a:pPr>
                    <a:defRPr sz="900" b="1" i="0" u="none" strike="noStrike" kern="1200" spc="0" baseline="0">
                      <a:solidFill>
                        <a:sysClr val="windowText" lastClr="000000"/>
                      </a:solidFill>
                      <a:latin typeface="Book Antiqua" panose="02040602050305030304" pitchFamily="18" charset="0"/>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1-D905-492D-A561-E4CBC7B1A65A}"/>
                </c:ext>
              </c:extLst>
            </c:dLbl>
            <c:dLbl>
              <c:idx val="1"/>
              <c:spPr>
                <a:noFill/>
                <a:ln>
                  <a:noFill/>
                </a:ln>
                <a:effectLst/>
              </c:spPr>
              <c:txPr>
                <a:bodyPr rot="0" spcFirstLastPara="1" vertOverflow="ellipsis" vert="horz" wrap="square" anchor="ctr" anchorCtr="1"/>
                <a:lstStyle/>
                <a:p>
                  <a:pPr>
                    <a:defRPr sz="900" b="1" i="0" u="none" strike="noStrike" kern="1200" spc="0" baseline="0">
                      <a:solidFill>
                        <a:sysClr val="windowText" lastClr="000000"/>
                      </a:solidFill>
                      <a:latin typeface="Book Antiqua" panose="02040602050305030304" pitchFamily="18" charset="0"/>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3-D905-492D-A561-E4CBC7B1A65A}"/>
                </c:ext>
              </c:extLst>
            </c:dLbl>
            <c:dLbl>
              <c:idx val="2"/>
              <c:spPr>
                <a:noFill/>
                <a:ln>
                  <a:noFill/>
                </a:ln>
                <a:effectLst/>
              </c:spPr>
              <c:txPr>
                <a:bodyPr rot="0" spcFirstLastPara="1" vertOverflow="ellipsis" vert="horz" wrap="square" anchor="ctr" anchorCtr="1"/>
                <a:lstStyle/>
                <a:p>
                  <a:pPr>
                    <a:defRPr sz="900" b="1" i="0" u="none" strike="noStrike" kern="1200" spc="0" baseline="0">
                      <a:solidFill>
                        <a:sysClr val="windowText" lastClr="000000"/>
                      </a:solidFill>
                      <a:latin typeface="Book Antiqua" panose="02040602050305030304" pitchFamily="18" charset="0"/>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5-D905-492D-A561-E4CBC7B1A65A}"/>
                </c:ext>
              </c:extLst>
            </c:dLbl>
            <c:dLbl>
              <c:idx val="3"/>
              <c:spPr>
                <a:noFill/>
                <a:ln>
                  <a:noFill/>
                </a:ln>
                <a:effectLst/>
              </c:spPr>
              <c:txPr>
                <a:bodyPr rot="0" spcFirstLastPara="1" vertOverflow="ellipsis" vert="horz" wrap="square" anchor="ctr" anchorCtr="1"/>
                <a:lstStyle/>
                <a:p>
                  <a:pPr>
                    <a:defRPr sz="900" b="1" i="0" u="none" strike="noStrike" kern="1200" spc="0" baseline="0">
                      <a:solidFill>
                        <a:sysClr val="windowText" lastClr="000000"/>
                      </a:solidFill>
                      <a:latin typeface="Book Antiqua" panose="02040602050305030304" pitchFamily="18" charset="0"/>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7-D905-492D-A561-E4CBC7B1A65A}"/>
                </c:ext>
              </c:extLst>
            </c:dLbl>
            <c:dLbl>
              <c:idx val="4"/>
              <c:spPr>
                <a:noFill/>
                <a:ln>
                  <a:noFill/>
                </a:ln>
                <a:effectLst/>
              </c:spPr>
              <c:txPr>
                <a:bodyPr rot="0" spcFirstLastPara="1" vertOverflow="ellipsis" vert="horz" wrap="square" anchor="ctr" anchorCtr="1"/>
                <a:lstStyle/>
                <a:p>
                  <a:pPr>
                    <a:defRPr sz="900" b="1" i="0" u="none" strike="noStrike" kern="1200" spc="0" baseline="0">
                      <a:solidFill>
                        <a:sysClr val="windowText" lastClr="000000"/>
                      </a:solidFill>
                      <a:latin typeface="Book Antiqua" panose="02040602050305030304" pitchFamily="18" charset="0"/>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9-D905-492D-A561-E4CBC7B1A65A}"/>
                </c:ext>
              </c:extLst>
            </c:dLbl>
            <c:spPr>
              <a:noFill/>
              <a:ln>
                <a:noFill/>
              </a:ln>
              <a:effectLst/>
            </c:spPr>
            <c:txPr>
              <a:bodyPr rot="0" spcFirstLastPara="1" vertOverflow="ellipsis" vert="horz" wrap="square" anchor="ctr" anchorCtr="1"/>
              <a:lstStyle/>
              <a:p>
                <a:pPr>
                  <a:defRPr sz="900" b="1" i="0" u="none" strike="noStrike" kern="1200" spc="0" baseline="0">
                    <a:solidFill>
                      <a:sysClr val="windowText" lastClr="000000"/>
                    </a:solidFill>
                    <a:latin typeface="Book Antiqua" panose="02040602050305030304" pitchFamily="18" charset="0"/>
                    <a:ea typeface="+mn-ea"/>
                    <a:cs typeface="+mn-cs"/>
                  </a:defRPr>
                </a:pPr>
                <a:endParaRPr lang="en-U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Sayfa2!$D$4:$D$8</c:f>
              <c:strCache>
                <c:ptCount val="5"/>
                <c:pt idx="0">
                  <c:v>Bagaj</c:v>
                </c:pt>
                <c:pt idx="1">
                  <c:v>Bilet Değişikliği</c:v>
                </c:pt>
                <c:pt idx="2">
                  <c:v>Bilet İadesi</c:v>
                </c:pt>
                <c:pt idx="3">
                  <c:v>Mil</c:v>
                </c:pt>
                <c:pt idx="4">
                  <c:v>Müşteri Hizmetleri</c:v>
                </c:pt>
              </c:strCache>
            </c:strRef>
          </c:cat>
          <c:val>
            <c:numRef>
              <c:f>Sayfa2!$E$4:$E$8</c:f>
              <c:numCache>
                <c:formatCode>General</c:formatCode>
                <c:ptCount val="5"/>
                <c:pt idx="0">
                  <c:v>6</c:v>
                </c:pt>
                <c:pt idx="1">
                  <c:v>10</c:v>
                </c:pt>
                <c:pt idx="2">
                  <c:v>56</c:v>
                </c:pt>
                <c:pt idx="3">
                  <c:v>1</c:v>
                </c:pt>
                <c:pt idx="4">
                  <c:v>18</c:v>
                </c:pt>
              </c:numCache>
            </c:numRef>
          </c:val>
          <c:extLst>
            <c:ext xmlns:c16="http://schemas.microsoft.com/office/drawing/2014/chart" uri="{C3380CC4-5D6E-409C-BE32-E72D297353CC}">
              <c16:uniqueId val="{0000000A-D905-492D-A561-E4CBC7B1A65A}"/>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b="1">
          <a:solidFill>
            <a:sysClr val="windowText" lastClr="000000"/>
          </a:solidFill>
          <a:latin typeface="Book Antiqua" panose="02040602050305030304" pitchFamily="18" charset="0"/>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Sayfa1!$C$16</c:f>
              <c:strCache>
                <c:ptCount val="1"/>
                <c:pt idx="0">
                  <c:v>Geleneksel</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Book Antiqua" panose="02040602050305030304" pitchFamily="18"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Sayfa1!$B$17:$B$21</c:f>
              <c:strCache>
                <c:ptCount val="5"/>
                <c:pt idx="0">
                  <c:v>Bagaj</c:v>
                </c:pt>
                <c:pt idx="1">
                  <c:v>Bilet Değişikliği</c:v>
                </c:pt>
                <c:pt idx="2">
                  <c:v>Bilet İadesi</c:v>
                </c:pt>
                <c:pt idx="3">
                  <c:v>Mil</c:v>
                </c:pt>
                <c:pt idx="4">
                  <c:v>Müşteri Hizmetleri</c:v>
                </c:pt>
              </c:strCache>
            </c:strRef>
          </c:cat>
          <c:val>
            <c:numRef>
              <c:f>Sayfa1!$C$17:$C$21</c:f>
              <c:numCache>
                <c:formatCode>General</c:formatCode>
                <c:ptCount val="5"/>
                <c:pt idx="0">
                  <c:v>8</c:v>
                </c:pt>
                <c:pt idx="1">
                  <c:v>26</c:v>
                </c:pt>
                <c:pt idx="2">
                  <c:v>24</c:v>
                </c:pt>
                <c:pt idx="3">
                  <c:v>4</c:v>
                </c:pt>
                <c:pt idx="4">
                  <c:v>23</c:v>
                </c:pt>
              </c:numCache>
            </c:numRef>
          </c:val>
          <c:extLst>
            <c:ext xmlns:c16="http://schemas.microsoft.com/office/drawing/2014/chart" uri="{C3380CC4-5D6E-409C-BE32-E72D297353CC}">
              <c16:uniqueId val="{00000000-E33E-40D4-8A73-8AFC4628B19A}"/>
            </c:ext>
          </c:extLst>
        </c:ser>
        <c:ser>
          <c:idx val="1"/>
          <c:order val="1"/>
          <c:tx>
            <c:strRef>
              <c:f>Sayfa1!$D$16</c:f>
              <c:strCache>
                <c:ptCount val="1"/>
                <c:pt idx="0">
                  <c:v>Düşük Maliyetli</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Book Antiqua" panose="02040602050305030304" pitchFamily="18"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Sayfa1!$B$17:$B$21</c:f>
              <c:strCache>
                <c:ptCount val="5"/>
                <c:pt idx="0">
                  <c:v>Bagaj</c:v>
                </c:pt>
                <c:pt idx="1">
                  <c:v>Bilet Değişikliği</c:v>
                </c:pt>
                <c:pt idx="2">
                  <c:v>Bilet İadesi</c:v>
                </c:pt>
                <c:pt idx="3">
                  <c:v>Mil</c:v>
                </c:pt>
                <c:pt idx="4">
                  <c:v>Müşteri Hizmetleri</c:v>
                </c:pt>
              </c:strCache>
            </c:strRef>
          </c:cat>
          <c:val>
            <c:numRef>
              <c:f>Sayfa1!$D$17:$D$21</c:f>
              <c:numCache>
                <c:formatCode>General</c:formatCode>
                <c:ptCount val="5"/>
                <c:pt idx="0">
                  <c:v>6</c:v>
                </c:pt>
                <c:pt idx="1">
                  <c:v>10</c:v>
                </c:pt>
                <c:pt idx="2">
                  <c:v>56</c:v>
                </c:pt>
                <c:pt idx="3">
                  <c:v>1</c:v>
                </c:pt>
                <c:pt idx="4">
                  <c:v>18</c:v>
                </c:pt>
              </c:numCache>
            </c:numRef>
          </c:val>
          <c:extLst>
            <c:ext xmlns:c16="http://schemas.microsoft.com/office/drawing/2014/chart" uri="{C3380CC4-5D6E-409C-BE32-E72D297353CC}">
              <c16:uniqueId val="{00000001-E33E-40D4-8A73-8AFC4628B19A}"/>
            </c:ext>
          </c:extLst>
        </c:ser>
        <c:dLbls>
          <c:dLblPos val="outEnd"/>
          <c:showLegendKey val="0"/>
          <c:showVal val="1"/>
          <c:showCatName val="0"/>
          <c:showSerName val="0"/>
          <c:showPercent val="0"/>
          <c:showBubbleSize val="0"/>
        </c:dLbls>
        <c:gapWidth val="100"/>
        <c:overlap val="-24"/>
        <c:axId val="584986992"/>
        <c:axId val="584987408"/>
      </c:barChart>
      <c:catAx>
        <c:axId val="58498699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Book Antiqua" panose="02040602050305030304" pitchFamily="18" charset="0"/>
                <a:ea typeface="+mn-ea"/>
                <a:cs typeface="+mn-cs"/>
              </a:defRPr>
            </a:pPr>
            <a:endParaRPr lang="en-US"/>
          </a:p>
        </c:txPr>
        <c:crossAx val="584987408"/>
        <c:crosses val="autoZero"/>
        <c:auto val="1"/>
        <c:lblAlgn val="ctr"/>
        <c:lblOffset val="100"/>
        <c:noMultiLvlLbl val="0"/>
      </c:catAx>
      <c:valAx>
        <c:axId val="5849874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Book Antiqua" panose="02040602050305030304" pitchFamily="18" charset="0"/>
                <a:ea typeface="+mn-ea"/>
                <a:cs typeface="+mn-cs"/>
              </a:defRPr>
            </a:pPr>
            <a:endParaRPr lang="en-US"/>
          </a:p>
        </c:txPr>
        <c:crossAx val="584986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Book Antiqua" panose="02040602050305030304" pitchFamily="18" charset="0"/>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900" b="1">
          <a:solidFill>
            <a:sysClr val="windowText" lastClr="000000"/>
          </a:solidFill>
          <a:latin typeface="Book Antiqua" panose="02040602050305030304" pitchFamily="18" charset="0"/>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lineChart>
        <c:grouping val="standard"/>
        <c:varyColors val="0"/>
        <c:ser>
          <c:idx val="0"/>
          <c:order val="0"/>
          <c:tx>
            <c:strRef>
              <c:f>Sayfa1!$B$1</c:f>
              <c:strCache>
                <c:ptCount val="1"/>
                <c:pt idx="0">
                  <c:v>De facto</c:v>
                </c:pt>
              </c:strCache>
            </c:strRef>
          </c:tx>
          <c:marker>
            <c:symbol val="none"/>
          </c:marker>
          <c:cat>
            <c:numRef>
              <c:f>Sayfa1!$A$2:$A$12</c:f>
              <c:numCache>
                <c:formatCode>General</c:formatCode>
                <c:ptCount val="11"/>
                <c:pt idx="0">
                  <c:v>1970</c:v>
                </c:pt>
                <c:pt idx="1">
                  <c:v>1975</c:v>
                </c:pt>
                <c:pt idx="2">
                  <c:v>1980</c:v>
                </c:pt>
                <c:pt idx="3">
                  <c:v>1985</c:v>
                </c:pt>
                <c:pt idx="4">
                  <c:v>1990</c:v>
                </c:pt>
                <c:pt idx="5">
                  <c:v>1995</c:v>
                </c:pt>
                <c:pt idx="6">
                  <c:v>2000</c:v>
                </c:pt>
                <c:pt idx="7">
                  <c:v>2005</c:v>
                </c:pt>
                <c:pt idx="8">
                  <c:v>2010</c:v>
                </c:pt>
                <c:pt idx="9">
                  <c:v>2015</c:v>
                </c:pt>
                <c:pt idx="10">
                  <c:v>2018</c:v>
                </c:pt>
              </c:numCache>
            </c:numRef>
          </c:cat>
          <c:val>
            <c:numRef>
              <c:f>Sayfa1!$B$2:$B$12</c:f>
              <c:numCache>
                <c:formatCode>General</c:formatCode>
                <c:ptCount val="11"/>
                <c:pt idx="0">
                  <c:v>39.93</c:v>
                </c:pt>
                <c:pt idx="1">
                  <c:v>41.04</c:v>
                </c:pt>
                <c:pt idx="2">
                  <c:v>42.75</c:v>
                </c:pt>
                <c:pt idx="3">
                  <c:v>43.28</c:v>
                </c:pt>
                <c:pt idx="4">
                  <c:v>44.82</c:v>
                </c:pt>
                <c:pt idx="5">
                  <c:v>46.849999999999994</c:v>
                </c:pt>
                <c:pt idx="6">
                  <c:v>49.48</c:v>
                </c:pt>
                <c:pt idx="7">
                  <c:v>52.720000000000006</c:v>
                </c:pt>
                <c:pt idx="8">
                  <c:v>56.690000000000005</c:v>
                </c:pt>
                <c:pt idx="9">
                  <c:v>58.28</c:v>
                </c:pt>
                <c:pt idx="10">
                  <c:v>58.83</c:v>
                </c:pt>
              </c:numCache>
            </c:numRef>
          </c:val>
          <c:smooth val="0"/>
          <c:extLst>
            <c:ext xmlns:c16="http://schemas.microsoft.com/office/drawing/2014/chart" uri="{C3380CC4-5D6E-409C-BE32-E72D297353CC}">
              <c16:uniqueId val="{00000000-651E-45AA-A6BA-A4ECA85069BF}"/>
            </c:ext>
          </c:extLst>
        </c:ser>
        <c:ser>
          <c:idx val="1"/>
          <c:order val="1"/>
          <c:tx>
            <c:strRef>
              <c:f>Sayfa1!$C$1</c:f>
              <c:strCache>
                <c:ptCount val="1"/>
                <c:pt idx="0">
                  <c:v>De jure</c:v>
                </c:pt>
              </c:strCache>
            </c:strRef>
          </c:tx>
          <c:marker>
            <c:symbol val="none"/>
          </c:marker>
          <c:cat>
            <c:numRef>
              <c:f>Sayfa1!$A$2:$A$12</c:f>
              <c:numCache>
                <c:formatCode>General</c:formatCode>
                <c:ptCount val="11"/>
                <c:pt idx="0">
                  <c:v>1970</c:v>
                </c:pt>
                <c:pt idx="1">
                  <c:v>1975</c:v>
                </c:pt>
                <c:pt idx="2">
                  <c:v>1980</c:v>
                </c:pt>
                <c:pt idx="3">
                  <c:v>1985</c:v>
                </c:pt>
                <c:pt idx="4">
                  <c:v>1990</c:v>
                </c:pt>
                <c:pt idx="5">
                  <c:v>1995</c:v>
                </c:pt>
                <c:pt idx="6">
                  <c:v>2000</c:v>
                </c:pt>
                <c:pt idx="7">
                  <c:v>2005</c:v>
                </c:pt>
                <c:pt idx="8">
                  <c:v>2010</c:v>
                </c:pt>
                <c:pt idx="9">
                  <c:v>2015</c:v>
                </c:pt>
                <c:pt idx="10">
                  <c:v>2018</c:v>
                </c:pt>
              </c:numCache>
            </c:numRef>
          </c:cat>
          <c:val>
            <c:numRef>
              <c:f>Sayfa1!$C$2:$C$12</c:f>
              <c:numCache>
                <c:formatCode>General</c:formatCode>
                <c:ptCount val="11"/>
                <c:pt idx="0">
                  <c:v>35.65</c:v>
                </c:pt>
                <c:pt idx="1">
                  <c:v>37.870000000000005</c:v>
                </c:pt>
                <c:pt idx="2">
                  <c:v>39.74</c:v>
                </c:pt>
                <c:pt idx="3">
                  <c:v>41.44</c:v>
                </c:pt>
                <c:pt idx="4">
                  <c:v>41.08</c:v>
                </c:pt>
                <c:pt idx="5">
                  <c:v>47.9</c:v>
                </c:pt>
                <c:pt idx="6">
                  <c:v>54.05</c:v>
                </c:pt>
                <c:pt idx="7">
                  <c:v>58.02</c:v>
                </c:pt>
                <c:pt idx="8">
                  <c:v>61.74</c:v>
                </c:pt>
                <c:pt idx="9">
                  <c:v>63.3</c:v>
                </c:pt>
                <c:pt idx="10">
                  <c:v>63.92</c:v>
                </c:pt>
              </c:numCache>
            </c:numRef>
          </c:val>
          <c:smooth val="0"/>
          <c:extLst>
            <c:ext xmlns:c16="http://schemas.microsoft.com/office/drawing/2014/chart" uri="{C3380CC4-5D6E-409C-BE32-E72D297353CC}">
              <c16:uniqueId val="{00000001-651E-45AA-A6BA-A4ECA85069BF}"/>
            </c:ext>
          </c:extLst>
        </c:ser>
        <c:dLbls>
          <c:showLegendKey val="0"/>
          <c:showVal val="0"/>
          <c:showCatName val="0"/>
          <c:showSerName val="0"/>
          <c:showPercent val="0"/>
          <c:showBubbleSize val="0"/>
        </c:dLbls>
        <c:dropLines/>
        <c:smooth val="0"/>
        <c:axId val="692025856"/>
        <c:axId val="612989120"/>
      </c:lineChart>
      <c:catAx>
        <c:axId val="692025856"/>
        <c:scaling>
          <c:orientation val="minMax"/>
        </c:scaling>
        <c:delete val="0"/>
        <c:axPos val="b"/>
        <c:numFmt formatCode="General" sourceLinked="1"/>
        <c:majorTickMark val="none"/>
        <c:minorTickMark val="none"/>
        <c:tickLblPos val="nextTo"/>
        <c:txPr>
          <a:bodyPr/>
          <a:lstStyle/>
          <a:p>
            <a:pPr>
              <a:defRPr>
                <a:latin typeface="Times New Roman" pitchFamily="18" charset="0"/>
                <a:ea typeface="Tahoma" pitchFamily="34" charset="0"/>
                <a:cs typeface="Times New Roman" pitchFamily="18" charset="0"/>
              </a:defRPr>
            </a:pPr>
            <a:endParaRPr lang="en-US"/>
          </a:p>
        </c:txPr>
        <c:crossAx val="612989120"/>
        <c:crosses val="autoZero"/>
        <c:auto val="1"/>
        <c:lblAlgn val="ctr"/>
        <c:lblOffset val="100"/>
        <c:noMultiLvlLbl val="0"/>
      </c:catAx>
      <c:valAx>
        <c:axId val="612989120"/>
        <c:scaling>
          <c:orientation val="minMax"/>
        </c:scaling>
        <c:delete val="0"/>
        <c:axPos val="l"/>
        <c:majorGridlines/>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en-US"/>
          </a:p>
        </c:txPr>
        <c:crossAx val="692025856"/>
        <c:crosses val="autoZero"/>
        <c:crossBetween val="between"/>
      </c:valAx>
    </c:plotArea>
    <c:legend>
      <c:legendPos val="b"/>
      <c:overlay val="0"/>
      <c:txPr>
        <a:bodyPr/>
        <a:lstStyle/>
        <a:p>
          <a:pPr>
            <a:defRPr>
              <a:latin typeface="Times New Roman" pitchFamily="18" charset="0"/>
              <a:cs typeface="Times New Roman" pitchFamily="18" charset="0"/>
            </a:defRPr>
          </a:pPr>
          <a:endParaRPr lang="en-US"/>
        </a:p>
      </c:txPr>
    </c:legend>
    <c:plotVisOnly val="1"/>
    <c:dispBlanksAs val="gap"/>
    <c:showDLblsOverMax val="0"/>
  </c:chart>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Pt>
            <c:idx val="0"/>
            <c:invertIfNegative val="0"/>
            <c:bubble3D val="0"/>
            <c:spPr>
              <a:solidFill>
                <a:schemeClr val="tx2">
                  <a:lumMod val="75000"/>
                </a:schemeClr>
              </a:solidFill>
              <a:ln>
                <a:solidFill>
                  <a:schemeClr val="tx2">
                    <a:lumMod val="50000"/>
                  </a:schemeClr>
                </a:solidFill>
              </a:ln>
              <a:effectLst/>
            </c:spPr>
            <c:extLst>
              <c:ext xmlns:c16="http://schemas.microsoft.com/office/drawing/2014/chart" uri="{C3380CC4-5D6E-409C-BE32-E72D297353CC}">
                <c16:uniqueId val="{00000001-853C-470A-AEF0-34851065AC6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Sayfa1!$A$1:$A$5</c:f>
              <c:strCache>
                <c:ptCount val="5"/>
                <c:pt idx="0">
                  <c:v>Küresel Cinsiyet Uçurum İndeksi</c:v>
                </c:pt>
                <c:pt idx="1">
                  <c:v>Sağlık ve Hayatta Kalma A.İ.</c:v>
                </c:pt>
                <c:pt idx="2">
                  <c:v>Eğitim Durumu a.İ.</c:v>
                </c:pt>
                <c:pt idx="3">
                  <c:v>Ekonomik Katılım ve Fırsatlar A.İ.</c:v>
                </c:pt>
                <c:pt idx="4">
                  <c:v>Siyasi Yetkilendirme A.İ.</c:v>
                </c:pt>
              </c:strCache>
            </c:strRef>
          </c:cat>
          <c:val>
            <c:numRef>
              <c:f>Sayfa1!$B$1:$B$5</c:f>
              <c:numCache>
                <c:formatCode>General</c:formatCode>
                <c:ptCount val="5"/>
                <c:pt idx="0">
                  <c:v>69</c:v>
                </c:pt>
                <c:pt idx="1">
                  <c:v>97</c:v>
                </c:pt>
                <c:pt idx="2">
                  <c:v>96</c:v>
                </c:pt>
                <c:pt idx="3">
                  <c:v>58</c:v>
                </c:pt>
                <c:pt idx="4">
                  <c:v>25</c:v>
                </c:pt>
              </c:numCache>
            </c:numRef>
          </c:val>
          <c:extLst>
            <c:ext xmlns:c16="http://schemas.microsoft.com/office/drawing/2014/chart" uri="{C3380CC4-5D6E-409C-BE32-E72D297353CC}">
              <c16:uniqueId val="{00000002-853C-470A-AEF0-34851065AC65}"/>
            </c:ext>
          </c:extLst>
        </c:ser>
        <c:dLbls>
          <c:showLegendKey val="0"/>
          <c:showVal val="0"/>
          <c:showCatName val="0"/>
          <c:showSerName val="0"/>
          <c:showPercent val="0"/>
          <c:showBubbleSize val="0"/>
        </c:dLbls>
        <c:gapWidth val="182"/>
        <c:axId val="1107212400"/>
        <c:axId val="1189601248"/>
      </c:barChart>
      <c:catAx>
        <c:axId val="11072124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Book Antiqua" panose="02040602050305030304" pitchFamily="18" charset="0"/>
                <a:ea typeface="+mn-ea"/>
                <a:cs typeface="Times New Roman" panose="02020603050405020304" pitchFamily="18" charset="0"/>
              </a:defRPr>
            </a:pPr>
            <a:endParaRPr lang="en-US"/>
          </a:p>
        </c:txPr>
        <c:crossAx val="1189601248"/>
        <c:crosses val="autoZero"/>
        <c:auto val="1"/>
        <c:lblAlgn val="ctr"/>
        <c:lblOffset val="100"/>
        <c:noMultiLvlLbl val="0"/>
      </c:catAx>
      <c:valAx>
        <c:axId val="11896012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072124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Sayfa4!$B$1</c:f>
              <c:strCache>
                <c:ptCount val="1"/>
                <c:pt idx="0">
                  <c:v>Kadın</c:v>
                </c:pt>
              </c:strCache>
            </c:strRef>
          </c:tx>
          <c:spPr>
            <a:solidFill>
              <a:schemeClr val="accent2"/>
            </a:solidFill>
            <a:ln>
              <a:noFill/>
            </a:ln>
            <a:effectLst/>
          </c:spPr>
          <c:invertIfNegative val="0"/>
          <c:cat>
            <c:strRef>
              <c:f>Sayfa4!$A$2:$A$11</c:f>
              <c:strCache>
                <c:ptCount val="10"/>
                <c:pt idx="0">
                  <c:v>Arnavutluk</c:v>
                </c:pt>
                <c:pt idx="1">
                  <c:v>Azerbaycan</c:v>
                </c:pt>
                <c:pt idx="2">
                  <c:v>Bosna Hersek</c:v>
                </c:pt>
                <c:pt idx="3">
                  <c:v>Gürcistan</c:v>
                </c:pt>
                <c:pt idx="4">
                  <c:v>Kazakistan</c:v>
                </c:pt>
                <c:pt idx="5">
                  <c:v>Kırgızistan</c:v>
                </c:pt>
                <c:pt idx="6">
                  <c:v>Kosova</c:v>
                </c:pt>
                <c:pt idx="7">
                  <c:v>K.Makedonya</c:v>
                </c:pt>
                <c:pt idx="8">
                  <c:v>Moldova</c:v>
                </c:pt>
                <c:pt idx="9">
                  <c:v>Türkiye</c:v>
                </c:pt>
              </c:strCache>
            </c:strRef>
          </c:cat>
          <c:val>
            <c:numRef>
              <c:f>Sayfa4!$B$2:$B$11</c:f>
              <c:numCache>
                <c:formatCode>General</c:formatCode>
                <c:ptCount val="10"/>
                <c:pt idx="0">
                  <c:v>76</c:v>
                </c:pt>
                <c:pt idx="1">
                  <c:v>46</c:v>
                </c:pt>
                <c:pt idx="2">
                  <c:v>66</c:v>
                </c:pt>
                <c:pt idx="3">
                  <c:v>45</c:v>
                </c:pt>
                <c:pt idx="4">
                  <c:v>81</c:v>
                </c:pt>
                <c:pt idx="5">
                  <c:v>80</c:v>
                </c:pt>
                <c:pt idx="6">
                  <c:v>71</c:v>
                </c:pt>
                <c:pt idx="7">
                  <c:v>53</c:v>
                </c:pt>
                <c:pt idx="8">
                  <c:v>79</c:v>
                </c:pt>
                <c:pt idx="9">
                  <c:v>89</c:v>
                </c:pt>
              </c:numCache>
            </c:numRef>
          </c:val>
          <c:extLst>
            <c:ext xmlns:c16="http://schemas.microsoft.com/office/drawing/2014/chart" uri="{C3380CC4-5D6E-409C-BE32-E72D297353CC}">
              <c16:uniqueId val="{00000000-A1E9-46A7-A742-F024C52A4492}"/>
            </c:ext>
          </c:extLst>
        </c:ser>
        <c:ser>
          <c:idx val="1"/>
          <c:order val="1"/>
          <c:tx>
            <c:strRef>
              <c:f>Sayfa4!$C$1</c:f>
              <c:strCache>
                <c:ptCount val="1"/>
                <c:pt idx="0">
                  <c:v>Erkek</c:v>
                </c:pt>
              </c:strCache>
            </c:strRef>
          </c:tx>
          <c:spPr>
            <a:solidFill>
              <a:schemeClr val="accent1">
                <a:lumMod val="75000"/>
              </a:schemeClr>
            </a:solidFill>
            <a:ln>
              <a:noFill/>
            </a:ln>
            <a:effectLst/>
          </c:spPr>
          <c:invertIfNegative val="0"/>
          <c:cat>
            <c:strRef>
              <c:f>Sayfa4!$A$2:$A$11</c:f>
              <c:strCache>
                <c:ptCount val="10"/>
                <c:pt idx="0">
                  <c:v>Arnavutluk</c:v>
                </c:pt>
                <c:pt idx="1">
                  <c:v>Azerbaycan</c:v>
                </c:pt>
                <c:pt idx="2">
                  <c:v>Bosna Hersek</c:v>
                </c:pt>
                <c:pt idx="3">
                  <c:v>Gürcistan</c:v>
                </c:pt>
                <c:pt idx="4">
                  <c:v>Kazakistan</c:v>
                </c:pt>
                <c:pt idx="5">
                  <c:v>Kırgızistan</c:v>
                </c:pt>
                <c:pt idx="6">
                  <c:v>Kosova</c:v>
                </c:pt>
                <c:pt idx="7">
                  <c:v>K.Makedonya</c:v>
                </c:pt>
                <c:pt idx="8">
                  <c:v>Moldova</c:v>
                </c:pt>
                <c:pt idx="9">
                  <c:v>Türkiye</c:v>
                </c:pt>
              </c:strCache>
            </c:strRef>
          </c:cat>
          <c:val>
            <c:numRef>
              <c:f>Sayfa4!$C$2:$C$11</c:f>
              <c:numCache>
                <c:formatCode>General</c:formatCode>
                <c:ptCount val="10"/>
                <c:pt idx="0">
                  <c:v>66</c:v>
                </c:pt>
                <c:pt idx="1">
                  <c:v>35</c:v>
                </c:pt>
                <c:pt idx="2">
                  <c:v>56</c:v>
                </c:pt>
                <c:pt idx="3">
                  <c:v>35</c:v>
                </c:pt>
                <c:pt idx="4">
                  <c:v>72</c:v>
                </c:pt>
                <c:pt idx="5">
                  <c:v>58</c:v>
                </c:pt>
                <c:pt idx="6">
                  <c:v>59</c:v>
                </c:pt>
                <c:pt idx="7">
                  <c:v>50</c:v>
                </c:pt>
                <c:pt idx="8">
                  <c:v>68</c:v>
                </c:pt>
                <c:pt idx="9">
                  <c:v>69</c:v>
                </c:pt>
              </c:numCache>
            </c:numRef>
          </c:val>
          <c:extLst>
            <c:ext xmlns:c16="http://schemas.microsoft.com/office/drawing/2014/chart" uri="{C3380CC4-5D6E-409C-BE32-E72D297353CC}">
              <c16:uniqueId val="{00000001-A1E9-46A7-A742-F024C52A4492}"/>
            </c:ext>
          </c:extLst>
        </c:ser>
        <c:dLbls>
          <c:showLegendKey val="0"/>
          <c:showVal val="0"/>
          <c:showCatName val="0"/>
          <c:showSerName val="0"/>
          <c:showPercent val="0"/>
          <c:showBubbleSize val="0"/>
        </c:dLbls>
        <c:gapWidth val="219"/>
        <c:overlap val="-27"/>
        <c:axId val="404291216"/>
        <c:axId val="404285968"/>
      </c:barChart>
      <c:catAx>
        <c:axId val="404291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04285968"/>
        <c:crosses val="autoZero"/>
        <c:auto val="1"/>
        <c:lblAlgn val="ctr"/>
        <c:lblOffset val="100"/>
        <c:noMultiLvlLbl val="0"/>
      </c:catAx>
      <c:valAx>
        <c:axId val="4042859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4291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Sayfa3!$C$1</c:f>
              <c:strCache>
                <c:ptCount val="1"/>
                <c:pt idx="0">
                  <c:v>Kadın</c:v>
                </c:pt>
              </c:strCache>
            </c:strRef>
          </c:tx>
          <c:spPr>
            <a:solidFill>
              <a:schemeClr val="accent2"/>
            </a:solidFill>
            <a:ln>
              <a:noFill/>
            </a:ln>
            <a:effectLst/>
          </c:spPr>
          <c:invertIfNegative val="0"/>
          <c:cat>
            <c:strRef>
              <c:f>Sayfa3!$B$2:$B$11</c:f>
              <c:strCache>
                <c:ptCount val="10"/>
                <c:pt idx="0">
                  <c:v>Arnavutluk</c:v>
                </c:pt>
                <c:pt idx="1">
                  <c:v>Azerbaycan</c:v>
                </c:pt>
                <c:pt idx="2">
                  <c:v>Bosna Hersek</c:v>
                </c:pt>
                <c:pt idx="3">
                  <c:v>Gürcistan</c:v>
                </c:pt>
                <c:pt idx="4">
                  <c:v>Kazakistan</c:v>
                </c:pt>
                <c:pt idx="5">
                  <c:v>Kırgızistan</c:v>
                </c:pt>
                <c:pt idx="6">
                  <c:v>Kosova</c:v>
                </c:pt>
                <c:pt idx="7">
                  <c:v>K.Makedonya</c:v>
                </c:pt>
                <c:pt idx="8">
                  <c:v>Moldova</c:v>
                </c:pt>
                <c:pt idx="9">
                  <c:v>Türkiye</c:v>
                </c:pt>
              </c:strCache>
            </c:strRef>
          </c:cat>
          <c:val>
            <c:numRef>
              <c:f>Sayfa3!$C$2:$C$11</c:f>
              <c:numCache>
                <c:formatCode>General</c:formatCode>
                <c:ptCount val="10"/>
                <c:pt idx="0">
                  <c:v>35</c:v>
                </c:pt>
                <c:pt idx="1">
                  <c:v>49</c:v>
                </c:pt>
                <c:pt idx="2">
                  <c:v>33</c:v>
                </c:pt>
                <c:pt idx="3">
                  <c:v>31</c:v>
                </c:pt>
                <c:pt idx="4">
                  <c:v>40</c:v>
                </c:pt>
                <c:pt idx="5">
                  <c:v>43</c:v>
                </c:pt>
                <c:pt idx="6">
                  <c:v>65</c:v>
                </c:pt>
                <c:pt idx="7">
                  <c:v>46</c:v>
                </c:pt>
                <c:pt idx="8">
                  <c:v>44</c:v>
                </c:pt>
                <c:pt idx="9">
                  <c:v>46</c:v>
                </c:pt>
              </c:numCache>
            </c:numRef>
          </c:val>
          <c:extLst>
            <c:ext xmlns:c16="http://schemas.microsoft.com/office/drawing/2014/chart" uri="{C3380CC4-5D6E-409C-BE32-E72D297353CC}">
              <c16:uniqueId val="{00000000-917D-41FA-90DC-C1EA1CCA3D21}"/>
            </c:ext>
          </c:extLst>
        </c:ser>
        <c:ser>
          <c:idx val="1"/>
          <c:order val="1"/>
          <c:tx>
            <c:strRef>
              <c:f>Sayfa3!$D$1</c:f>
              <c:strCache>
                <c:ptCount val="1"/>
                <c:pt idx="0">
                  <c:v>Erkek</c:v>
                </c:pt>
              </c:strCache>
            </c:strRef>
          </c:tx>
          <c:spPr>
            <a:solidFill>
              <a:schemeClr val="accent1">
                <a:lumMod val="75000"/>
              </a:schemeClr>
            </a:solidFill>
            <a:ln>
              <a:noFill/>
            </a:ln>
            <a:effectLst/>
          </c:spPr>
          <c:invertIfNegative val="0"/>
          <c:cat>
            <c:strRef>
              <c:f>Sayfa3!$B$2:$B$11</c:f>
              <c:strCache>
                <c:ptCount val="10"/>
                <c:pt idx="0">
                  <c:v>Arnavutluk</c:v>
                </c:pt>
                <c:pt idx="1">
                  <c:v>Azerbaycan</c:v>
                </c:pt>
                <c:pt idx="2">
                  <c:v>Bosna Hersek</c:v>
                </c:pt>
                <c:pt idx="3">
                  <c:v>Gürcistan</c:v>
                </c:pt>
                <c:pt idx="4">
                  <c:v>Kazakistan</c:v>
                </c:pt>
                <c:pt idx="5">
                  <c:v>Kırgızistan</c:v>
                </c:pt>
                <c:pt idx="6">
                  <c:v>Kosova</c:v>
                </c:pt>
                <c:pt idx="7">
                  <c:v>K.Makedonya</c:v>
                </c:pt>
                <c:pt idx="8">
                  <c:v>Moldova</c:v>
                </c:pt>
                <c:pt idx="9">
                  <c:v>Türkiye</c:v>
                </c:pt>
              </c:strCache>
            </c:strRef>
          </c:cat>
          <c:val>
            <c:numRef>
              <c:f>Sayfa3!$D$2:$D$11</c:f>
              <c:numCache>
                <c:formatCode>General</c:formatCode>
                <c:ptCount val="10"/>
                <c:pt idx="0">
                  <c:v>33</c:v>
                </c:pt>
                <c:pt idx="1">
                  <c:v>36</c:v>
                </c:pt>
                <c:pt idx="2">
                  <c:v>37</c:v>
                </c:pt>
                <c:pt idx="3">
                  <c:v>31</c:v>
                </c:pt>
                <c:pt idx="4">
                  <c:v>37</c:v>
                </c:pt>
                <c:pt idx="5">
                  <c:v>44</c:v>
                </c:pt>
                <c:pt idx="6">
                  <c:v>64</c:v>
                </c:pt>
                <c:pt idx="7">
                  <c:v>47</c:v>
                </c:pt>
                <c:pt idx="8">
                  <c:v>42</c:v>
                </c:pt>
                <c:pt idx="9">
                  <c:v>57</c:v>
                </c:pt>
              </c:numCache>
            </c:numRef>
          </c:val>
          <c:extLst>
            <c:ext xmlns:c16="http://schemas.microsoft.com/office/drawing/2014/chart" uri="{C3380CC4-5D6E-409C-BE32-E72D297353CC}">
              <c16:uniqueId val="{00000001-917D-41FA-90DC-C1EA1CCA3D21}"/>
            </c:ext>
          </c:extLst>
        </c:ser>
        <c:dLbls>
          <c:showLegendKey val="0"/>
          <c:showVal val="0"/>
          <c:showCatName val="0"/>
          <c:showSerName val="0"/>
          <c:showPercent val="0"/>
          <c:showBubbleSize val="0"/>
        </c:dLbls>
        <c:gapWidth val="182"/>
        <c:axId val="416987064"/>
        <c:axId val="416986408"/>
      </c:barChart>
      <c:catAx>
        <c:axId val="41698706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Book Antiqua" panose="02040602050305030304" pitchFamily="18" charset="0"/>
                <a:ea typeface="+mn-ea"/>
                <a:cs typeface="Times New Roman" panose="02020603050405020304" pitchFamily="18" charset="0"/>
              </a:defRPr>
            </a:pPr>
            <a:endParaRPr lang="en-US"/>
          </a:p>
        </c:txPr>
        <c:crossAx val="416986408"/>
        <c:crosses val="autoZero"/>
        <c:auto val="1"/>
        <c:lblAlgn val="ctr"/>
        <c:lblOffset val="100"/>
        <c:noMultiLvlLbl val="0"/>
      </c:catAx>
      <c:valAx>
        <c:axId val="416986408"/>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6987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Book Antiqua" panose="0204060205030503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b="1"/>
              <a:t>İSVEÇ</a:t>
            </a:r>
            <a:endParaRPr lang="en-US"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radarChart>
        <c:radarStyle val="marker"/>
        <c:varyColors val="0"/>
        <c:ser>
          <c:idx val="0"/>
          <c:order val="0"/>
          <c:tx>
            <c:strRef>
              <c:f>Sayfa1!$G$8</c:f>
              <c:strCache>
                <c:ptCount val="1"/>
                <c:pt idx="0">
                  <c:v>Beklenen</c:v>
                </c:pt>
              </c:strCache>
            </c:strRef>
          </c:tx>
          <c:spPr>
            <a:ln w="28575" cap="rnd">
              <a:solidFill>
                <a:schemeClr val="accent6"/>
              </a:solidFill>
              <a:round/>
            </a:ln>
            <a:effectLst/>
          </c:spPr>
          <c:marker>
            <c:symbol val="none"/>
          </c:marker>
          <c:cat>
            <c:strRef>
              <c:f>Sayfa1!$F$9:$F$13</c:f>
              <c:strCache>
                <c:ptCount val="5"/>
                <c:pt idx="0">
                  <c:v>Belirsizliğin Önlenmesi</c:v>
                </c:pt>
                <c:pt idx="1">
                  <c:v>İnsancıl Yönelim</c:v>
                </c:pt>
                <c:pt idx="2">
                  <c:v>Grup içi Kolektivizm</c:v>
                </c:pt>
                <c:pt idx="3">
                  <c:v>Kurumsal Kolektivizm</c:v>
                </c:pt>
                <c:pt idx="4">
                  <c:v>Gelecek Yönelimi</c:v>
                </c:pt>
              </c:strCache>
            </c:strRef>
          </c:cat>
          <c:val>
            <c:numRef>
              <c:f>Sayfa1!$G$9:$G$13</c:f>
              <c:numCache>
                <c:formatCode>General</c:formatCode>
                <c:ptCount val="5"/>
                <c:pt idx="0" formatCode="0.00">
                  <c:v>3.6</c:v>
                </c:pt>
                <c:pt idx="1">
                  <c:v>5.65</c:v>
                </c:pt>
                <c:pt idx="2">
                  <c:v>6.04</c:v>
                </c:pt>
                <c:pt idx="3">
                  <c:v>5.22</c:v>
                </c:pt>
                <c:pt idx="4">
                  <c:v>4.8899999999999997</c:v>
                </c:pt>
              </c:numCache>
            </c:numRef>
          </c:val>
          <c:extLst>
            <c:ext xmlns:c16="http://schemas.microsoft.com/office/drawing/2014/chart" uri="{C3380CC4-5D6E-409C-BE32-E72D297353CC}">
              <c16:uniqueId val="{00000000-F682-466E-BCFB-F0366171233D}"/>
            </c:ext>
          </c:extLst>
        </c:ser>
        <c:ser>
          <c:idx val="1"/>
          <c:order val="1"/>
          <c:tx>
            <c:strRef>
              <c:f>Sayfa1!$H$8</c:f>
              <c:strCache>
                <c:ptCount val="1"/>
                <c:pt idx="0">
                  <c:v>Mevcut</c:v>
                </c:pt>
              </c:strCache>
            </c:strRef>
          </c:tx>
          <c:spPr>
            <a:ln w="28575" cap="rnd">
              <a:solidFill>
                <a:schemeClr val="accent5"/>
              </a:solidFill>
              <a:round/>
            </a:ln>
            <a:effectLst/>
          </c:spPr>
          <c:marker>
            <c:symbol val="none"/>
          </c:marker>
          <c:cat>
            <c:strRef>
              <c:f>Sayfa1!$F$9:$F$13</c:f>
              <c:strCache>
                <c:ptCount val="5"/>
                <c:pt idx="0">
                  <c:v>Belirsizliğin Önlenmesi</c:v>
                </c:pt>
                <c:pt idx="1">
                  <c:v>İnsancıl Yönelim</c:v>
                </c:pt>
                <c:pt idx="2">
                  <c:v>Grup içi Kolektivizm</c:v>
                </c:pt>
                <c:pt idx="3">
                  <c:v>Kurumsal Kolektivizm</c:v>
                </c:pt>
                <c:pt idx="4">
                  <c:v>Gelecek Yönelimi</c:v>
                </c:pt>
              </c:strCache>
            </c:strRef>
          </c:cat>
          <c:val>
            <c:numRef>
              <c:f>Sayfa1!$H$9:$H$13</c:f>
              <c:numCache>
                <c:formatCode>General</c:formatCode>
                <c:ptCount val="5"/>
                <c:pt idx="0">
                  <c:v>5.32</c:v>
                </c:pt>
                <c:pt idx="1">
                  <c:v>4.0999999999999996</c:v>
                </c:pt>
                <c:pt idx="2">
                  <c:v>3.66</c:v>
                </c:pt>
                <c:pt idx="3">
                  <c:v>3.94</c:v>
                </c:pt>
                <c:pt idx="4">
                  <c:v>4.3899999999999997</c:v>
                </c:pt>
              </c:numCache>
            </c:numRef>
          </c:val>
          <c:extLst>
            <c:ext xmlns:c16="http://schemas.microsoft.com/office/drawing/2014/chart" uri="{C3380CC4-5D6E-409C-BE32-E72D297353CC}">
              <c16:uniqueId val="{00000001-F682-466E-BCFB-F0366171233D}"/>
            </c:ext>
          </c:extLst>
        </c:ser>
        <c:dLbls>
          <c:showLegendKey val="0"/>
          <c:showVal val="0"/>
          <c:showCatName val="0"/>
          <c:showSerName val="0"/>
          <c:showPercent val="0"/>
          <c:showBubbleSize val="0"/>
        </c:dLbls>
        <c:axId val="1328529168"/>
        <c:axId val="1328531248"/>
      </c:radarChart>
      <c:catAx>
        <c:axId val="1328529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28531248"/>
        <c:crosses val="autoZero"/>
        <c:auto val="1"/>
        <c:lblAlgn val="ctr"/>
        <c:lblOffset val="100"/>
        <c:noMultiLvlLbl val="0"/>
      </c:catAx>
      <c:valAx>
        <c:axId val="1328531248"/>
        <c:scaling>
          <c:orientation val="minMax"/>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132852916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Sayfa1!$B$1</c:f>
              <c:strCache>
                <c:ptCount val="1"/>
                <c:pt idx="0">
                  <c:v>Kadın</c:v>
                </c:pt>
              </c:strCache>
            </c:strRef>
          </c:tx>
          <c:spPr>
            <a:solidFill>
              <a:schemeClr val="accent2"/>
            </a:solidFill>
            <a:ln>
              <a:noFill/>
            </a:ln>
            <a:effectLst/>
          </c:spPr>
          <c:invertIfNegative val="0"/>
          <c:cat>
            <c:strRef>
              <c:f>Sayfa1!$A$2:$A$11</c:f>
              <c:strCache>
                <c:ptCount val="10"/>
                <c:pt idx="0">
                  <c:v>Arnavutluk</c:v>
                </c:pt>
                <c:pt idx="1">
                  <c:v>Azerbaycan</c:v>
                </c:pt>
                <c:pt idx="2">
                  <c:v>Bosna Hersek</c:v>
                </c:pt>
                <c:pt idx="3">
                  <c:v>Gürcistan</c:v>
                </c:pt>
                <c:pt idx="4">
                  <c:v>Kazakistan</c:v>
                </c:pt>
                <c:pt idx="5">
                  <c:v>Kırgızistan</c:v>
                </c:pt>
                <c:pt idx="6">
                  <c:v>Kosova</c:v>
                </c:pt>
                <c:pt idx="7">
                  <c:v>K.Makedonya</c:v>
                </c:pt>
                <c:pt idx="8">
                  <c:v>Moldova</c:v>
                </c:pt>
                <c:pt idx="9">
                  <c:v>Türkiye</c:v>
                </c:pt>
              </c:strCache>
            </c:strRef>
          </c:cat>
          <c:val>
            <c:numRef>
              <c:f>Sayfa1!$B$2:$B$11</c:f>
              <c:numCache>
                <c:formatCode>General</c:formatCode>
                <c:ptCount val="10"/>
                <c:pt idx="0">
                  <c:v>12</c:v>
                </c:pt>
                <c:pt idx="1">
                  <c:v>8</c:v>
                </c:pt>
                <c:pt idx="2">
                  <c:v>13</c:v>
                </c:pt>
                <c:pt idx="3">
                  <c:v>26</c:v>
                </c:pt>
                <c:pt idx="4">
                  <c:v>26</c:v>
                </c:pt>
                <c:pt idx="5">
                  <c:v>10</c:v>
                </c:pt>
                <c:pt idx="6">
                  <c:v>5</c:v>
                </c:pt>
                <c:pt idx="7">
                  <c:v>6</c:v>
                </c:pt>
                <c:pt idx="8">
                  <c:v>10</c:v>
                </c:pt>
                <c:pt idx="9">
                  <c:v>19</c:v>
                </c:pt>
              </c:numCache>
            </c:numRef>
          </c:val>
          <c:extLst>
            <c:ext xmlns:c16="http://schemas.microsoft.com/office/drawing/2014/chart" uri="{C3380CC4-5D6E-409C-BE32-E72D297353CC}">
              <c16:uniqueId val="{00000000-40DD-4851-8F77-8ED16530E449}"/>
            </c:ext>
          </c:extLst>
        </c:ser>
        <c:ser>
          <c:idx val="1"/>
          <c:order val="1"/>
          <c:tx>
            <c:strRef>
              <c:f>Sayfa1!$C$1</c:f>
              <c:strCache>
                <c:ptCount val="1"/>
                <c:pt idx="0">
                  <c:v>Erkek</c:v>
                </c:pt>
              </c:strCache>
            </c:strRef>
          </c:tx>
          <c:spPr>
            <a:solidFill>
              <a:schemeClr val="accent1">
                <a:lumMod val="75000"/>
              </a:schemeClr>
            </a:solidFill>
            <a:ln>
              <a:noFill/>
            </a:ln>
            <a:effectLst/>
          </c:spPr>
          <c:invertIfNegative val="0"/>
          <c:cat>
            <c:strRef>
              <c:f>Sayfa1!$A$2:$A$11</c:f>
              <c:strCache>
                <c:ptCount val="10"/>
                <c:pt idx="0">
                  <c:v>Arnavutluk</c:v>
                </c:pt>
                <c:pt idx="1">
                  <c:v>Azerbaycan</c:v>
                </c:pt>
                <c:pt idx="2">
                  <c:v>Bosna Hersek</c:v>
                </c:pt>
                <c:pt idx="3">
                  <c:v>Gürcistan</c:v>
                </c:pt>
                <c:pt idx="4">
                  <c:v>Kazakistan</c:v>
                </c:pt>
                <c:pt idx="5">
                  <c:v>Kırgızistan</c:v>
                </c:pt>
                <c:pt idx="6">
                  <c:v>Kosova</c:v>
                </c:pt>
                <c:pt idx="7">
                  <c:v>K.Makedonya</c:v>
                </c:pt>
                <c:pt idx="8">
                  <c:v>Moldova</c:v>
                </c:pt>
                <c:pt idx="9">
                  <c:v>Türkiye</c:v>
                </c:pt>
              </c:strCache>
            </c:strRef>
          </c:cat>
          <c:val>
            <c:numRef>
              <c:f>Sayfa1!$C$2:$C$11</c:f>
              <c:numCache>
                <c:formatCode>General</c:formatCode>
                <c:ptCount val="10"/>
                <c:pt idx="0">
                  <c:v>17</c:v>
                </c:pt>
                <c:pt idx="1">
                  <c:v>24</c:v>
                </c:pt>
                <c:pt idx="2">
                  <c:v>8</c:v>
                </c:pt>
                <c:pt idx="3">
                  <c:v>31</c:v>
                </c:pt>
                <c:pt idx="4">
                  <c:v>22</c:v>
                </c:pt>
                <c:pt idx="5">
                  <c:v>10</c:v>
                </c:pt>
                <c:pt idx="6">
                  <c:v>9</c:v>
                </c:pt>
                <c:pt idx="7">
                  <c:v>6</c:v>
                </c:pt>
                <c:pt idx="8">
                  <c:v>11</c:v>
                </c:pt>
                <c:pt idx="9">
                  <c:v>14</c:v>
                </c:pt>
              </c:numCache>
            </c:numRef>
          </c:val>
          <c:extLst>
            <c:ext xmlns:c16="http://schemas.microsoft.com/office/drawing/2014/chart" uri="{C3380CC4-5D6E-409C-BE32-E72D297353CC}">
              <c16:uniqueId val="{00000001-40DD-4851-8F77-8ED16530E449}"/>
            </c:ext>
          </c:extLst>
        </c:ser>
        <c:dLbls>
          <c:showLegendKey val="0"/>
          <c:showVal val="0"/>
          <c:showCatName val="0"/>
          <c:showSerName val="0"/>
          <c:showPercent val="0"/>
          <c:showBubbleSize val="0"/>
        </c:dLbls>
        <c:gapWidth val="182"/>
        <c:axId val="401512560"/>
        <c:axId val="401512888"/>
      </c:barChart>
      <c:catAx>
        <c:axId val="40151256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Book Antiqua" panose="02040602050305030304" pitchFamily="18" charset="0"/>
                <a:ea typeface="+mn-ea"/>
                <a:cs typeface="Times New Roman" panose="02020603050405020304" pitchFamily="18" charset="0"/>
              </a:defRPr>
            </a:pPr>
            <a:endParaRPr lang="en-US"/>
          </a:p>
        </c:txPr>
        <c:crossAx val="401512888"/>
        <c:crosses val="autoZero"/>
        <c:auto val="1"/>
        <c:lblAlgn val="ctr"/>
        <c:lblOffset val="100"/>
        <c:noMultiLvlLbl val="0"/>
      </c:catAx>
      <c:valAx>
        <c:axId val="401512888"/>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15125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Book Antiqua" panose="0204060205030503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Sayfa5!$B$1</c:f>
              <c:strCache>
                <c:ptCount val="1"/>
                <c:pt idx="0">
                  <c:v>Kadın</c:v>
                </c:pt>
              </c:strCache>
            </c:strRef>
          </c:tx>
          <c:spPr>
            <a:ln w="28575" cap="rnd">
              <a:solidFill>
                <a:schemeClr val="accent2"/>
              </a:solidFill>
              <a:round/>
            </a:ln>
            <a:effectLst/>
          </c:spPr>
          <c:marker>
            <c:symbol val="none"/>
          </c:marker>
          <c:cat>
            <c:strRef>
              <c:f>Sayfa5!$A$2:$A$10</c:f>
              <c:strCache>
                <c:ptCount val="9"/>
                <c:pt idx="0">
                  <c:v>Arnavutluk</c:v>
                </c:pt>
                <c:pt idx="1">
                  <c:v>Azerbaycan</c:v>
                </c:pt>
                <c:pt idx="2">
                  <c:v>Bosna Hersek</c:v>
                </c:pt>
                <c:pt idx="3">
                  <c:v>Gürcistan</c:v>
                </c:pt>
                <c:pt idx="4">
                  <c:v>Kazakistan</c:v>
                </c:pt>
                <c:pt idx="5">
                  <c:v>Kırgızistan</c:v>
                </c:pt>
                <c:pt idx="6">
                  <c:v>Kosova</c:v>
                </c:pt>
                <c:pt idx="7">
                  <c:v>K.Makedonya</c:v>
                </c:pt>
                <c:pt idx="8">
                  <c:v>Türkiye</c:v>
                </c:pt>
              </c:strCache>
            </c:strRef>
          </c:cat>
          <c:val>
            <c:numRef>
              <c:f>Sayfa5!$B$2:$B$10</c:f>
              <c:numCache>
                <c:formatCode>General</c:formatCode>
                <c:ptCount val="9"/>
                <c:pt idx="0">
                  <c:v>67</c:v>
                </c:pt>
                <c:pt idx="1">
                  <c:v>45</c:v>
                </c:pt>
                <c:pt idx="2">
                  <c:v>48</c:v>
                </c:pt>
                <c:pt idx="3">
                  <c:v>68</c:v>
                </c:pt>
                <c:pt idx="4">
                  <c:v>69</c:v>
                </c:pt>
                <c:pt idx="5">
                  <c:v>78</c:v>
                </c:pt>
                <c:pt idx="6">
                  <c:v>42</c:v>
                </c:pt>
                <c:pt idx="7">
                  <c:v>38</c:v>
                </c:pt>
                <c:pt idx="8">
                  <c:v>19</c:v>
                </c:pt>
              </c:numCache>
            </c:numRef>
          </c:val>
          <c:smooth val="0"/>
          <c:extLst>
            <c:ext xmlns:c16="http://schemas.microsoft.com/office/drawing/2014/chart" uri="{C3380CC4-5D6E-409C-BE32-E72D297353CC}">
              <c16:uniqueId val="{00000000-A07D-414D-AE1D-28A6895C002D}"/>
            </c:ext>
          </c:extLst>
        </c:ser>
        <c:ser>
          <c:idx val="1"/>
          <c:order val="1"/>
          <c:tx>
            <c:strRef>
              <c:f>Sayfa5!$C$1</c:f>
              <c:strCache>
                <c:ptCount val="1"/>
                <c:pt idx="0">
                  <c:v>Erkek</c:v>
                </c:pt>
              </c:strCache>
            </c:strRef>
          </c:tx>
          <c:spPr>
            <a:ln w="28575" cap="rnd">
              <a:solidFill>
                <a:schemeClr val="accent1"/>
              </a:solidFill>
              <a:round/>
            </a:ln>
            <a:effectLst/>
          </c:spPr>
          <c:marker>
            <c:symbol val="none"/>
          </c:marker>
          <c:cat>
            <c:strRef>
              <c:f>Sayfa5!$A$2:$A$10</c:f>
              <c:strCache>
                <c:ptCount val="9"/>
                <c:pt idx="0">
                  <c:v>Arnavutluk</c:v>
                </c:pt>
                <c:pt idx="1">
                  <c:v>Azerbaycan</c:v>
                </c:pt>
                <c:pt idx="2">
                  <c:v>Bosna Hersek</c:v>
                </c:pt>
                <c:pt idx="3">
                  <c:v>Gürcistan</c:v>
                </c:pt>
                <c:pt idx="4">
                  <c:v>Kazakistan</c:v>
                </c:pt>
                <c:pt idx="5">
                  <c:v>Kırgızistan</c:v>
                </c:pt>
                <c:pt idx="6">
                  <c:v>Kosova</c:v>
                </c:pt>
                <c:pt idx="7">
                  <c:v>K.Makedonya</c:v>
                </c:pt>
                <c:pt idx="8">
                  <c:v>Türkiye</c:v>
                </c:pt>
              </c:strCache>
            </c:strRef>
          </c:cat>
          <c:val>
            <c:numRef>
              <c:f>Sayfa5!$C$2:$C$10</c:f>
              <c:numCache>
                <c:formatCode>General</c:formatCode>
                <c:ptCount val="9"/>
                <c:pt idx="0">
                  <c:v>21</c:v>
                </c:pt>
                <c:pt idx="1">
                  <c:v>19</c:v>
                </c:pt>
                <c:pt idx="2">
                  <c:v>21</c:v>
                </c:pt>
                <c:pt idx="3">
                  <c:v>25</c:v>
                </c:pt>
                <c:pt idx="4">
                  <c:v>38</c:v>
                </c:pt>
                <c:pt idx="5">
                  <c:v>61</c:v>
                </c:pt>
                <c:pt idx="6">
                  <c:v>19</c:v>
                </c:pt>
                <c:pt idx="7">
                  <c:v>21</c:v>
                </c:pt>
                <c:pt idx="8">
                  <c:v>18</c:v>
                </c:pt>
              </c:numCache>
            </c:numRef>
          </c:val>
          <c:smooth val="0"/>
          <c:extLst>
            <c:ext xmlns:c16="http://schemas.microsoft.com/office/drawing/2014/chart" uri="{C3380CC4-5D6E-409C-BE32-E72D297353CC}">
              <c16:uniqueId val="{00000001-A07D-414D-AE1D-28A6895C002D}"/>
            </c:ext>
          </c:extLst>
        </c:ser>
        <c:dLbls>
          <c:showLegendKey val="0"/>
          <c:showVal val="0"/>
          <c:showCatName val="0"/>
          <c:showSerName val="0"/>
          <c:showPercent val="0"/>
          <c:showBubbleSize val="0"/>
        </c:dLbls>
        <c:smooth val="0"/>
        <c:axId val="328141776"/>
        <c:axId val="328148336"/>
      </c:lineChart>
      <c:catAx>
        <c:axId val="328141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Book Antiqua" panose="02040602050305030304" pitchFamily="18" charset="0"/>
                <a:ea typeface="+mn-ea"/>
                <a:cs typeface="Times New Roman" panose="02020603050405020304" pitchFamily="18" charset="0"/>
              </a:defRPr>
            </a:pPr>
            <a:endParaRPr lang="en-US"/>
          </a:p>
        </c:txPr>
        <c:crossAx val="328148336"/>
        <c:crosses val="autoZero"/>
        <c:auto val="1"/>
        <c:lblAlgn val="ctr"/>
        <c:lblOffset val="100"/>
        <c:noMultiLvlLbl val="0"/>
      </c:catAx>
      <c:valAx>
        <c:axId val="3281483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81417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Book Antiqua" panose="0204060205030503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Sayfa6!$B$1</c:f>
              <c:strCache>
                <c:ptCount val="1"/>
                <c:pt idx="0">
                  <c:v>Çocuklu Kadın </c:v>
                </c:pt>
              </c:strCache>
            </c:strRef>
          </c:tx>
          <c:spPr>
            <a:solidFill>
              <a:schemeClr val="accent2">
                <a:lumMod val="75000"/>
              </a:schemeClr>
            </a:solidFill>
            <a:ln>
              <a:solidFill>
                <a:schemeClr val="accent2">
                  <a:lumMod val="75000"/>
                </a:schemeClr>
              </a:solidFill>
            </a:ln>
            <a:effectLst/>
          </c:spPr>
          <c:invertIfNegative val="0"/>
          <c:cat>
            <c:strRef>
              <c:f>Sayfa6!$A$2:$A$11</c:f>
              <c:strCache>
                <c:ptCount val="10"/>
                <c:pt idx="0">
                  <c:v>Arnavutluk</c:v>
                </c:pt>
                <c:pt idx="1">
                  <c:v>Azerbaycan</c:v>
                </c:pt>
                <c:pt idx="2">
                  <c:v>Bosna Hersek</c:v>
                </c:pt>
                <c:pt idx="3">
                  <c:v>Gürcistan</c:v>
                </c:pt>
                <c:pt idx="4">
                  <c:v>Kazakistan</c:v>
                </c:pt>
                <c:pt idx="5">
                  <c:v>Kırgızistan</c:v>
                </c:pt>
                <c:pt idx="6">
                  <c:v>Kosova</c:v>
                </c:pt>
                <c:pt idx="7">
                  <c:v>K.Makedonya</c:v>
                </c:pt>
                <c:pt idx="8">
                  <c:v>Moldova</c:v>
                </c:pt>
                <c:pt idx="9">
                  <c:v>Türkiye</c:v>
                </c:pt>
              </c:strCache>
            </c:strRef>
          </c:cat>
          <c:val>
            <c:numRef>
              <c:f>Sayfa6!$B$2:$B$11</c:f>
              <c:numCache>
                <c:formatCode>General</c:formatCode>
                <c:ptCount val="10"/>
                <c:pt idx="0">
                  <c:v>80</c:v>
                </c:pt>
                <c:pt idx="1">
                  <c:v>69</c:v>
                </c:pt>
                <c:pt idx="2">
                  <c:v>51</c:v>
                </c:pt>
                <c:pt idx="3">
                  <c:v>74</c:v>
                </c:pt>
                <c:pt idx="4">
                  <c:v>66</c:v>
                </c:pt>
                <c:pt idx="5">
                  <c:v>63</c:v>
                </c:pt>
                <c:pt idx="6">
                  <c:v>49</c:v>
                </c:pt>
                <c:pt idx="7">
                  <c:v>39</c:v>
                </c:pt>
                <c:pt idx="8">
                  <c:v>68</c:v>
                </c:pt>
                <c:pt idx="9">
                  <c:v>70</c:v>
                </c:pt>
              </c:numCache>
            </c:numRef>
          </c:val>
          <c:extLst>
            <c:ext xmlns:c16="http://schemas.microsoft.com/office/drawing/2014/chart" uri="{C3380CC4-5D6E-409C-BE32-E72D297353CC}">
              <c16:uniqueId val="{00000000-2076-440E-AE1D-E3061C291EEB}"/>
            </c:ext>
          </c:extLst>
        </c:ser>
        <c:ser>
          <c:idx val="1"/>
          <c:order val="1"/>
          <c:tx>
            <c:strRef>
              <c:f>Sayfa6!$C$1</c:f>
              <c:strCache>
                <c:ptCount val="1"/>
                <c:pt idx="0">
                  <c:v>Çocuksuz Kadın </c:v>
                </c:pt>
              </c:strCache>
            </c:strRef>
          </c:tx>
          <c:spPr>
            <a:solidFill>
              <a:schemeClr val="accent2">
                <a:lumMod val="40000"/>
                <a:lumOff val="60000"/>
              </a:schemeClr>
            </a:solidFill>
            <a:ln>
              <a:noFill/>
            </a:ln>
            <a:effectLst/>
          </c:spPr>
          <c:invertIfNegative val="0"/>
          <c:cat>
            <c:strRef>
              <c:f>Sayfa6!$A$2:$A$11</c:f>
              <c:strCache>
                <c:ptCount val="10"/>
                <c:pt idx="0">
                  <c:v>Arnavutluk</c:v>
                </c:pt>
                <c:pt idx="1">
                  <c:v>Azerbaycan</c:v>
                </c:pt>
                <c:pt idx="2">
                  <c:v>Bosna Hersek</c:v>
                </c:pt>
                <c:pt idx="3">
                  <c:v>Gürcistan</c:v>
                </c:pt>
                <c:pt idx="4">
                  <c:v>Kazakistan</c:v>
                </c:pt>
                <c:pt idx="5">
                  <c:v>Kırgızistan</c:v>
                </c:pt>
                <c:pt idx="6">
                  <c:v>Kosova</c:v>
                </c:pt>
                <c:pt idx="7">
                  <c:v>K.Makedonya</c:v>
                </c:pt>
                <c:pt idx="8">
                  <c:v>Moldova</c:v>
                </c:pt>
                <c:pt idx="9">
                  <c:v>Türkiye</c:v>
                </c:pt>
              </c:strCache>
            </c:strRef>
          </c:cat>
          <c:val>
            <c:numRef>
              <c:f>Sayfa6!$C$2:$C$11</c:f>
              <c:numCache>
                <c:formatCode>General</c:formatCode>
                <c:ptCount val="10"/>
                <c:pt idx="0">
                  <c:v>75</c:v>
                </c:pt>
                <c:pt idx="1">
                  <c:v>61</c:v>
                </c:pt>
                <c:pt idx="2">
                  <c:v>53</c:v>
                </c:pt>
                <c:pt idx="3">
                  <c:v>64</c:v>
                </c:pt>
                <c:pt idx="4">
                  <c:v>58</c:v>
                </c:pt>
                <c:pt idx="5">
                  <c:v>54</c:v>
                </c:pt>
                <c:pt idx="6">
                  <c:v>48</c:v>
                </c:pt>
                <c:pt idx="7">
                  <c:v>30</c:v>
                </c:pt>
                <c:pt idx="8">
                  <c:v>61</c:v>
                </c:pt>
                <c:pt idx="9">
                  <c:v>63</c:v>
                </c:pt>
              </c:numCache>
            </c:numRef>
          </c:val>
          <c:extLst>
            <c:ext xmlns:c16="http://schemas.microsoft.com/office/drawing/2014/chart" uri="{C3380CC4-5D6E-409C-BE32-E72D297353CC}">
              <c16:uniqueId val="{00000001-2076-440E-AE1D-E3061C291EEB}"/>
            </c:ext>
          </c:extLst>
        </c:ser>
        <c:dLbls>
          <c:showLegendKey val="0"/>
          <c:showVal val="0"/>
          <c:showCatName val="0"/>
          <c:showSerName val="0"/>
          <c:showPercent val="0"/>
          <c:showBubbleSize val="0"/>
        </c:dLbls>
        <c:gapWidth val="219"/>
        <c:overlap val="-27"/>
        <c:axId val="329330752"/>
        <c:axId val="329328784"/>
      </c:barChart>
      <c:catAx>
        <c:axId val="329330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Book Antiqua" panose="02040602050305030304" pitchFamily="18" charset="0"/>
                <a:ea typeface="+mn-ea"/>
                <a:cs typeface="Times New Roman" panose="02020603050405020304" pitchFamily="18" charset="0"/>
              </a:defRPr>
            </a:pPr>
            <a:endParaRPr lang="en-US"/>
          </a:p>
        </c:txPr>
        <c:crossAx val="329328784"/>
        <c:crosses val="autoZero"/>
        <c:auto val="1"/>
        <c:lblAlgn val="ctr"/>
        <c:lblOffset val="100"/>
        <c:noMultiLvlLbl val="0"/>
      </c:catAx>
      <c:valAx>
        <c:axId val="3293287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93307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Book Antiqua" panose="0204060205030503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Sayfa1!$B$1</c:f>
              <c:strCache>
                <c:ptCount val="1"/>
                <c:pt idx="0">
                  <c:v>İdari</c:v>
                </c:pt>
              </c:strCache>
            </c:strRef>
          </c:tx>
          <c:invertIfNegative val="0"/>
          <c:cat>
            <c:strRef>
              <c:f>Sayfa1!$A$2:$A$5</c:f>
              <c:strCache>
                <c:ptCount val="4"/>
                <c:pt idx="0">
                  <c:v>Uzaktan Eğitim deneyimi olan erkek</c:v>
                </c:pt>
                <c:pt idx="1">
                  <c:v>Uzaktan Eğitim deneyimi olmayan erkek</c:v>
                </c:pt>
                <c:pt idx="2">
                  <c:v>Uzaktan Eğitim deneyimi olan kadın</c:v>
                </c:pt>
                <c:pt idx="3">
                  <c:v>Uzaktan Eğitim deneyimi olmayan kadın</c:v>
                </c:pt>
              </c:strCache>
            </c:strRef>
          </c:cat>
          <c:val>
            <c:numRef>
              <c:f>Sayfa1!$B$2:$B$5</c:f>
              <c:numCache>
                <c:formatCode>General</c:formatCode>
                <c:ptCount val="4"/>
                <c:pt idx="0">
                  <c:v>1</c:v>
                </c:pt>
                <c:pt idx="1">
                  <c:v>1</c:v>
                </c:pt>
                <c:pt idx="3">
                  <c:v>1</c:v>
                </c:pt>
              </c:numCache>
            </c:numRef>
          </c:val>
          <c:extLst>
            <c:ext xmlns:c16="http://schemas.microsoft.com/office/drawing/2014/chart" uri="{C3380CC4-5D6E-409C-BE32-E72D297353CC}">
              <c16:uniqueId val="{00000000-D74B-4DC9-8B9A-DD5AD532E6C4}"/>
            </c:ext>
          </c:extLst>
        </c:ser>
        <c:ser>
          <c:idx val="1"/>
          <c:order val="1"/>
          <c:tx>
            <c:strRef>
              <c:f>Sayfa1!$C$1</c:f>
              <c:strCache>
                <c:ptCount val="1"/>
                <c:pt idx="0">
                  <c:v>Akdemik</c:v>
                </c:pt>
              </c:strCache>
            </c:strRef>
          </c:tx>
          <c:invertIfNegative val="0"/>
          <c:cat>
            <c:strRef>
              <c:f>Sayfa1!$A$2:$A$5</c:f>
              <c:strCache>
                <c:ptCount val="4"/>
                <c:pt idx="0">
                  <c:v>Uzaktan Eğitim deneyimi olan erkek</c:v>
                </c:pt>
                <c:pt idx="1">
                  <c:v>Uzaktan Eğitim deneyimi olmayan erkek</c:v>
                </c:pt>
                <c:pt idx="2">
                  <c:v>Uzaktan Eğitim deneyimi olan kadın</c:v>
                </c:pt>
                <c:pt idx="3">
                  <c:v>Uzaktan Eğitim deneyimi olmayan kadın</c:v>
                </c:pt>
              </c:strCache>
            </c:strRef>
          </c:cat>
          <c:val>
            <c:numRef>
              <c:f>Sayfa1!$C$2:$C$5</c:f>
              <c:numCache>
                <c:formatCode>General</c:formatCode>
                <c:ptCount val="4"/>
                <c:pt idx="0">
                  <c:v>1</c:v>
                </c:pt>
                <c:pt idx="1">
                  <c:v>2</c:v>
                </c:pt>
                <c:pt idx="2">
                  <c:v>1</c:v>
                </c:pt>
              </c:numCache>
            </c:numRef>
          </c:val>
          <c:extLst>
            <c:ext xmlns:c16="http://schemas.microsoft.com/office/drawing/2014/chart" uri="{C3380CC4-5D6E-409C-BE32-E72D297353CC}">
              <c16:uniqueId val="{00000001-D74B-4DC9-8B9A-DD5AD532E6C4}"/>
            </c:ext>
          </c:extLst>
        </c:ser>
        <c:ser>
          <c:idx val="2"/>
          <c:order val="2"/>
          <c:tx>
            <c:strRef>
              <c:f>Sayfa1!$D$1</c:f>
              <c:strCache>
                <c:ptCount val="1"/>
                <c:pt idx="0">
                  <c:v>Teknik</c:v>
                </c:pt>
              </c:strCache>
            </c:strRef>
          </c:tx>
          <c:invertIfNegative val="0"/>
          <c:cat>
            <c:strRef>
              <c:f>Sayfa1!$A$2:$A$5</c:f>
              <c:strCache>
                <c:ptCount val="4"/>
                <c:pt idx="0">
                  <c:v>Uzaktan Eğitim deneyimi olan erkek</c:v>
                </c:pt>
                <c:pt idx="1">
                  <c:v>Uzaktan Eğitim deneyimi olmayan erkek</c:v>
                </c:pt>
                <c:pt idx="2">
                  <c:v>Uzaktan Eğitim deneyimi olan kadın</c:v>
                </c:pt>
                <c:pt idx="3">
                  <c:v>Uzaktan Eğitim deneyimi olmayan kadın</c:v>
                </c:pt>
              </c:strCache>
            </c:strRef>
          </c:cat>
          <c:val>
            <c:numRef>
              <c:f>Sayfa1!$D$2:$D$5</c:f>
              <c:numCache>
                <c:formatCode>General</c:formatCode>
                <c:ptCount val="4"/>
                <c:pt idx="0">
                  <c:v>1</c:v>
                </c:pt>
              </c:numCache>
            </c:numRef>
          </c:val>
          <c:extLst>
            <c:ext xmlns:c16="http://schemas.microsoft.com/office/drawing/2014/chart" uri="{C3380CC4-5D6E-409C-BE32-E72D297353CC}">
              <c16:uniqueId val="{00000002-D74B-4DC9-8B9A-DD5AD532E6C4}"/>
            </c:ext>
          </c:extLst>
        </c:ser>
        <c:dLbls>
          <c:showLegendKey val="0"/>
          <c:showVal val="0"/>
          <c:showCatName val="0"/>
          <c:showSerName val="0"/>
          <c:showPercent val="0"/>
          <c:showBubbleSize val="0"/>
        </c:dLbls>
        <c:gapWidth val="150"/>
        <c:overlap val="100"/>
        <c:axId val="121697792"/>
        <c:axId val="132436736"/>
      </c:barChart>
      <c:catAx>
        <c:axId val="121697792"/>
        <c:scaling>
          <c:orientation val="minMax"/>
        </c:scaling>
        <c:delete val="0"/>
        <c:axPos val="b"/>
        <c:numFmt formatCode="General" sourceLinked="0"/>
        <c:majorTickMark val="out"/>
        <c:minorTickMark val="none"/>
        <c:tickLblPos val="nextTo"/>
        <c:crossAx val="132436736"/>
        <c:crosses val="autoZero"/>
        <c:auto val="1"/>
        <c:lblAlgn val="ctr"/>
        <c:lblOffset val="100"/>
        <c:noMultiLvlLbl val="0"/>
      </c:catAx>
      <c:valAx>
        <c:axId val="132436736"/>
        <c:scaling>
          <c:orientation val="minMax"/>
        </c:scaling>
        <c:delete val="0"/>
        <c:axPos val="l"/>
        <c:majorGridlines/>
        <c:numFmt formatCode="General" sourceLinked="1"/>
        <c:majorTickMark val="out"/>
        <c:minorTickMark val="none"/>
        <c:tickLblPos val="nextTo"/>
        <c:crossAx val="121697792"/>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b="1"/>
              <a:t>AVUSTURYA</a:t>
            </a:r>
            <a:endParaRPr lang="en-US"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radarChart>
        <c:radarStyle val="marker"/>
        <c:varyColors val="0"/>
        <c:ser>
          <c:idx val="0"/>
          <c:order val="0"/>
          <c:tx>
            <c:v>Value</c:v>
          </c:tx>
          <c:spPr>
            <a:ln w="28575" cap="rnd">
              <a:solidFill>
                <a:schemeClr val="accent6"/>
              </a:solidFill>
              <a:round/>
            </a:ln>
            <a:effectLst/>
          </c:spPr>
          <c:marker>
            <c:symbol val="none"/>
          </c:marker>
          <c:cat>
            <c:strRef>
              <c:f>Sayfa1!$F$9:$F$13</c:f>
              <c:strCache>
                <c:ptCount val="5"/>
                <c:pt idx="0">
                  <c:v>Uncertainty Avoidance</c:v>
                </c:pt>
                <c:pt idx="1">
                  <c:v>Human Orientation</c:v>
                </c:pt>
                <c:pt idx="2">
                  <c:v>In-group Collectivism</c:v>
                </c:pt>
                <c:pt idx="3">
                  <c:v>Institutional Collectivism</c:v>
                </c:pt>
                <c:pt idx="4">
                  <c:v>Future Orientation</c:v>
                </c:pt>
              </c:strCache>
            </c:strRef>
          </c:cat>
          <c:val>
            <c:numRef>
              <c:f>Sayfa1!$G$9:$G$13</c:f>
              <c:numCache>
                <c:formatCode>General</c:formatCode>
                <c:ptCount val="5"/>
                <c:pt idx="0" formatCode="0.00">
                  <c:v>3.66</c:v>
                </c:pt>
                <c:pt idx="1">
                  <c:v>5.76</c:v>
                </c:pt>
                <c:pt idx="2">
                  <c:v>5.27</c:v>
                </c:pt>
                <c:pt idx="3">
                  <c:v>4.7300000000000004</c:v>
                </c:pt>
                <c:pt idx="4">
                  <c:v>5.1100000000000003</c:v>
                </c:pt>
              </c:numCache>
            </c:numRef>
          </c:val>
          <c:extLst>
            <c:ext xmlns:c16="http://schemas.microsoft.com/office/drawing/2014/chart" uri="{C3380CC4-5D6E-409C-BE32-E72D297353CC}">
              <c16:uniqueId val="{00000000-D25E-4CC3-8CB1-B317F8E2C67E}"/>
            </c:ext>
          </c:extLst>
        </c:ser>
        <c:ser>
          <c:idx val="1"/>
          <c:order val="1"/>
          <c:tx>
            <c:strRef>
              <c:f>Sayfa1!$H$8</c:f>
              <c:strCache>
                <c:ptCount val="1"/>
                <c:pt idx="0">
                  <c:v>Practice</c:v>
                </c:pt>
              </c:strCache>
            </c:strRef>
          </c:tx>
          <c:spPr>
            <a:ln w="28575" cap="rnd">
              <a:solidFill>
                <a:schemeClr val="accent5"/>
              </a:solidFill>
              <a:round/>
            </a:ln>
            <a:effectLst/>
          </c:spPr>
          <c:marker>
            <c:symbol val="none"/>
          </c:marker>
          <c:cat>
            <c:strRef>
              <c:f>Sayfa1!$F$9:$F$13</c:f>
              <c:strCache>
                <c:ptCount val="5"/>
                <c:pt idx="0">
                  <c:v>Uncertainty Avoidance</c:v>
                </c:pt>
                <c:pt idx="1">
                  <c:v>Human Orientation</c:v>
                </c:pt>
                <c:pt idx="2">
                  <c:v>In-group Collectivism</c:v>
                </c:pt>
                <c:pt idx="3">
                  <c:v>Institutional Collectivism</c:v>
                </c:pt>
                <c:pt idx="4">
                  <c:v>Future Orientation</c:v>
                </c:pt>
              </c:strCache>
            </c:strRef>
          </c:cat>
          <c:val>
            <c:numRef>
              <c:f>Sayfa1!$H$9:$H$13</c:f>
              <c:numCache>
                <c:formatCode>General</c:formatCode>
                <c:ptCount val="5"/>
                <c:pt idx="0">
                  <c:v>5.16</c:v>
                </c:pt>
                <c:pt idx="1">
                  <c:v>3.72</c:v>
                </c:pt>
                <c:pt idx="2">
                  <c:v>4.8499999999999996</c:v>
                </c:pt>
                <c:pt idx="3">
                  <c:v>4.3</c:v>
                </c:pt>
                <c:pt idx="4">
                  <c:v>4.46</c:v>
                </c:pt>
              </c:numCache>
            </c:numRef>
          </c:val>
          <c:extLst>
            <c:ext xmlns:c16="http://schemas.microsoft.com/office/drawing/2014/chart" uri="{C3380CC4-5D6E-409C-BE32-E72D297353CC}">
              <c16:uniqueId val="{00000001-D25E-4CC3-8CB1-B317F8E2C67E}"/>
            </c:ext>
          </c:extLst>
        </c:ser>
        <c:dLbls>
          <c:showLegendKey val="0"/>
          <c:showVal val="0"/>
          <c:showCatName val="0"/>
          <c:showSerName val="0"/>
          <c:showPercent val="0"/>
          <c:showBubbleSize val="0"/>
        </c:dLbls>
        <c:axId val="1328529168"/>
        <c:axId val="1328531248"/>
      </c:radarChart>
      <c:catAx>
        <c:axId val="1328529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28531248"/>
        <c:crosses val="autoZero"/>
        <c:auto val="1"/>
        <c:lblAlgn val="ctr"/>
        <c:lblOffset val="100"/>
        <c:noMultiLvlLbl val="0"/>
      </c:catAx>
      <c:valAx>
        <c:axId val="1328531248"/>
        <c:scaling>
          <c:orientation val="minMax"/>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132852916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b="1"/>
              <a:t>FRANSA</a:t>
            </a:r>
            <a:endParaRPr lang="en-US"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radarChart>
        <c:radarStyle val="marker"/>
        <c:varyColors val="0"/>
        <c:ser>
          <c:idx val="0"/>
          <c:order val="0"/>
          <c:tx>
            <c:strRef>
              <c:f>Sayfa1!$G$8</c:f>
              <c:strCache>
                <c:ptCount val="1"/>
                <c:pt idx="0">
                  <c:v>Beklenen</c:v>
                </c:pt>
              </c:strCache>
            </c:strRef>
          </c:tx>
          <c:spPr>
            <a:ln w="28575" cap="rnd">
              <a:solidFill>
                <a:schemeClr val="accent6"/>
              </a:solidFill>
              <a:round/>
            </a:ln>
            <a:effectLst/>
          </c:spPr>
          <c:marker>
            <c:symbol val="none"/>
          </c:marker>
          <c:cat>
            <c:strRef>
              <c:f>Sayfa1!$F$9:$F$13</c:f>
              <c:strCache>
                <c:ptCount val="5"/>
                <c:pt idx="0">
                  <c:v>Belirsizliğin Önlenmesi</c:v>
                </c:pt>
                <c:pt idx="1">
                  <c:v>İnsancıl Yönelim</c:v>
                </c:pt>
                <c:pt idx="2">
                  <c:v>Grup içi Kolektivizm</c:v>
                </c:pt>
                <c:pt idx="3">
                  <c:v>Kurumsal Kolektivizm</c:v>
                </c:pt>
                <c:pt idx="4">
                  <c:v>Gelecek Yönelimi</c:v>
                </c:pt>
              </c:strCache>
            </c:strRef>
          </c:cat>
          <c:val>
            <c:numRef>
              <c:f>Sayfa1!$G$9:$G$13</c:f>
              <c:numCache>
                <c:formatCode>General</c:formatCode>
                <c:ptCount val="5"/>
                <c:pt idx="0" formatCode="0.00">
                  <c:v>4.26</c:v>
                </c:pt>
                <c:pt idx="1">
                  <c:v>5.67</c:v>
                </c:pt>
                <c:pt idx="2">
                  <c:v>5.42</c:v>
                </c:pt>
                <c:pt idx="3">
                  <c:v>4.8600000000000003</c:v>
                </c:pt>
                <c:pt idx="4">
                  <c:v>4.96</c:v>
                </c:pt>
              </c:numCache>
            </c:numRef>
          </c:val>
          <c:extLst>
            <c:ext xmlns:c16="http://schemas.microsoft.com/office/drawing/2014/chart" uri="{C3380CC4-5D6E-409C-BE32-E72D297353CC}">
              <c16:uniqueId val="{00000000-4204-4EEB-BF80-14DB6D100629}"/>
            </c:ext>
          </c:extLst>
        </c:ser>
        <c:ser>
          <c:idx val="1"/>
          <c:order val="1"/>
          <c:tx>
            <c:strRef>
              <c:f>Sayfa1!$H$8</c:f>
              <c:strCache>
                <c:ptCount val="1"/>
                <c:pt idx="0">
                  <c:v>Mevcut</c:v>
                </c:pt>
              </c:strCache>
            </c:strRef>
          </c:tx>
          <c:spPr>
            <a:ln w="28575" cap="rnd">
              <a:solidFill>
                <a:schemeClr val="accent5"/>
              </a:solidFill>
              <a:round/>
            </a:ln>
            <a:effectLst/>
          </c:spPr>
          <c:marker>
            <c:symbol val="none"/>
          </c:marker>
          <c:cat>
            <c:strRef>
              <c:f>Sayfa1!$F$9:$F$13</c:f>
              <c:strCache>
                <c:ptCount val="5"/>
                <c:pt idx="0">
                  <c:v>Belirsizliğin Önlenmesi</c:v>
                </c:pt>
                <c:pt idx="1">
                  <c:v>İnsancıl Yönelim</c:v>
                </c:pt>
                <c:pt idx="2">
                  <c:v>Grup içi Kolektivizm</c:v>
                </c:pt>
                <c:pt idx="3">
                  <c:v>Kurumsal Kolektivizm</c:v>
                </c:pt>
                <c:pt idx="4">
                  <c:v>Gelecek Yönelimi</c:v>
                </c:pt>
              </c:strCache>
            </c:strRef>
          </c:cat>
          <c:val>
            <c:numRef>
              <c:f>Sayfa1!$H$9:$H$13</c:f>
              <c:numCache>
                <c:formatCode>General</c:formatCode>
                <c:ptCount val="5"/>
                <c:pt idx="0">
                  <c:v>4.43</c:v>
                </c:pt>
                <c:pt idx="1">
                  <c:v>3.4</c:v>
                </c:pt>
                <c:pt idx="2">
                  <c:v>4.37</c:v>
                </c:pt>
                <c:pt idx="3">
                  <c:v>3.93</c:v>
                </c:pt>
                <c:pt idx="4">
                  <c:v>3.48</c:v>
                </c:pt>
              </c:numCache>
            </c:numRef>
          </c:val>
          <c:extLst>
            <c:ext xmlns:c16="http://schemas.microsoft.com/office/drawing/2014/chart" uri="{C3380CC4-5D6E-409C-BE32-E72D297353CC}">
              <c16:uniqueId val="{00000001-4204-4EEB-BF80-14DB6D100629}"/>
            </c:ext>
          </c:extLst>
        </c:ser>
        <c:dLbls>
          <c:showLegendKey val="0"/>
          <c:showVal val="0"/>
          <c:showCatName val="0"/>
          <c:showSerName val="0"/>
          <c:showPercent val="0"/>
          <c:showBubbleSize val="0"/>
        </c:dLbls>
        <c:axId val="1328529168"/>
        <c:axId val="1328531248"/>
      </c:radarChart>
      <c:catAx>
        <c:axId val="1328529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28531248"/>
        <c:crosses val="autoZero"/>
        <c:auto val="1"/>
        <c:lblAlgn val="ctr"/>
        <c:lblOffset val="100"/>
        <c:noMultiLvlLbl val="0"/>
      </c:catAx>
      <c:valAx>
        <c:axId val="1328531248"/>
        <c:scaling>
          <c:orientation val="minMax"/>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132852916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b="1"/>
              <a:t>İNGİLTERE</a:t>
            </a:r>
            <a:endParaRPr lang="en-US"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radarChart>
        <c:radarStyle val="marker"/>
        <c:varyColors val="0"/>
        <c:ser>
          <c:idx val="0"/>
          <c:order val="0"/>
          <c:tx>
            <c:strRef>
              <c:f>Sayfa1!$G$8</c:f>
              <c:strCache>
                <c:ptCount val="1"/>
                <c:pt idx="0">
                  <c:v>Beklenen</c:v>
                </c:pt>
              </c:strCache>
            </c:strRef>
          </c:tx>
          <c:spPr>
            <a:ln w="28575" cap="rnd">
              <a:solidFill>
                <a:schemeClr val="accent6"/>
              </a:solidFill>
              <a:round/>
            </a:ln>
            <a:effectLst/>
          </c:spPr>
          <c:marker>
            <c:symbol val="none"/>
          </c:marker>
          <c:cat>
            <c:strRef>
              <c:f>Sayfa1!$F$9:$F$13</c:f>
              <c:strCache>
                <c:ptCount val="5"/>
                <c:pt idx="0">
                  <c:v>Belirsizliğin Önlenmesi</c:v>
                </c:pt>
                <c:pt idx="1">
                  <c:v>İnsancıl Yönelim</c:v>
                </c:pt>
                <c:pt idx="2">
                  <c:v>Grup içi Kolektivizm</c:v>
                </c:pt>
                <c:pt idx="3">
                  <c:v>Kurumsal Kolektivizm</c:v>
                </c:pt>
                <c:pt idx="4">
                  <c:v>Gelecek Yönelimi</c:v>
                </c:pt>
              </c:strCache>
            </c:strRef>
          </c:cat>
          <c:val>
            <c:numRef>
              <c:f>Sayfa1!$G$9:$G$13</c:f>
              <c:numCache>
                <c:formatCode>General</c:formatCode>
                <c:ptCount val="5"/>
                <c:pt idx="0" formatCode="0.00">
                  <c:v>4.1100000000000003</c:v>
                </c:pt>
                <c:pt idx="1">
                  <c:v>5.43</c:v>
                </c:pt>
                <c:pt idx="2">
                  <c:v>5.55</c:v>
                </c:pt>
                <c:pt idx="3">
                  <c:v>4.3099999999999996</c:v>
                </c:pt>
                <c:pt idx="4">
                  <c:v>5.0599999999999996</c:v>
                </c:pt>
              </c:numCache>
            </c:numRef>
          </c:val>
          <c:extLst>
            <c:ext xmlns:c16="http://schemas.microsoft.com/office/drawing/2014/chart" uri="{C3380CC4-5D6E-409C-BE32-E72D297353CC}">
              <c16:uniqueId val="{00000000-D9BC-458A-BD21-E38BD5995FF9}"/>
            </c:ext>
          </c:extLst>
        </c:ser>
        <c:ser>
          <c:idx val="1"/>
          <c:order val="1"/>
          <c:tx>
            <c:strRef>
              <c:f>Sayfa1!$H$8</c:f>
              <c:strCache>
                <c:ptCount val="1"/>
                <c:pt idx="0">
                  <c:v>Mevcut</c:v>
                </c:pt>
              </c:strCache>
            </c:strRef>
          </c:tx>
          <c:spPr>
            <a:ln w="28575" cap="rnd">
              <a:solidFill>
                <a:schemeClr val="accent5"/>
              </a:solidFill>
              <a:round/>
            </a:ln>
            <a:effectLst/>
          </c:spPr>
          <c:marker>
            <c:symbol val="none"/>
          </c:marker>
          <c:cat>
            <c:strRef>
              <c:f>Sayfa1!$F$9:$F$13</c:f>
              <c:strCache>
                <c:ptCount val="5"/>
                <c:pt idx="0">
                  <c:v>Belirsizliğin Önlenmesi</c:v>
                </c:pt>
                <c:pt idx="1">
                  <c:v>İnsancıl Yönelim</c:v>
                </c:pt>
                <c:pt idx="2">
                  <c:v>Grup içi Kolektivizm</c:v>
                </c:pt>
                <c:pt idx="3">
                  <c:v>Kurumsal Kolektivizm</c:v>
                </c:pt>
                <c:pt idx="4">
                  <c:v>Gelecek Yönelimi</c:v>
                </c:pt>
              </c:strCache>
            </c:strRef>
          </c:cat>
          <c:val>
            <c:numRef>
              <c:f>Sayfa1!$H$9:$H$13</c:f>
              <c:numCache>
                <c:formatCode>General</c:formatCode>
                <c:ptCount val="5"/>
                <c:pt idx="0">
                  <c:v>4.6500000000000004</c:v>
                </c:pt>
                <c:pt idx="1">
                  <c:v>3.72</c:v>
                </c:pt>
                <c:pt idx="2">
                  <c:v>4.08</c:v>
                </c:pt>
                <c:pt idx="3">
                  <c:v>4.2699999999999996</c:v>
                </c:pt>
                <c:pt idx="4">
                  <c:v>4.28</c:v>
                </c:pt>
              </c:numCache>
            </c:numRef>
          </c:val>
          <c:extLst>
            <c:ext xmlns:c16="http://schemas.microsoft.com/office/drawing/2014/chart" uri="{C3380CC4-5D6E-409C-BE32-E72D297353CC}">
              <c16:uniqueId val="{00000001-D9BC-458A-BD21-E38BD5995FF9}"/>
            </c:ext>
          </c:extLst>
        </c:ser>
        <c:dLbls>
          <c:showLegendKey val="0"/>
          <c:showVal val="0"/>
          <c:showCatName val="0"/>
          <c:showSerName val="0"/>
          <c:showPercent val="0"/>
          <c:showBubbleSize val="0"/>
        </c:dLbls>
        <c:axId val="1328529168"/>
        <c:axId val="1328531248"/>
      </c:radarChart>
      <c:catAx>
        <c:axId val="1328529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28531248"/>
        <c:crosses val="autoZero"/>
        <c:auto val="1"/>
        <c:lblAlgn val="ctr"/>
        <c:lblOffset val="100"/>
        <c:noMultiLvlLbl val="0"/>
      </c:catAx>
      <c:valAx>
        <c:axId val="1328531248"/>
        <c:scaling>
          <c:orientation val="minMax"/>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132852916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A</a:t>
            </a:r>
            <a:r>
              <a:rPr lang="tr-TR" b="1"/>
              <a:t>LMANYA</a:t>
            </a:r>
            <a:endParaRPr lang="en-US"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radarChart>
        <c:radarStyle val="marker"/>
        <c:varyColors val="0"/>
        <c:ser>
          <c:idx val="0"/>
          <c:order val="0"/>
          <c:tx>
            <c:strRef>
              <c:f>Sayfa1!$G$8</c:f>
              <c:strCache>
                <c:ptCount val="1"/>
                <c:pt idx="0">
                  <c:v>Beklenen</c:v>
                </c:pt>
              </c:strCache>
            </c:strRef>
          </c:tx>
          <c:spPr>
            <a:ln w="28575" cap="rnd">
              <a:solidFill>
                <a:schemeClr val="accent6"/>
              </a:solidFill>
              <a:round/>
            </a:ln>
            <a:effectLst/>
          </c:spPr>
          <c:marker>
            <c:symbol val="none"/>
          </c:marker>
          <c:cat>
            <c:strRef>
              <c:f>Sayfa1!$F$9:$F$13</c:f>
              <c:strCache>
                <c:ptCount val="5"/>
                <c:pt idx="0">
                  <c:v>Belirsizliğin Önlenmesi</c:v>
                </c:pt>
                <c:pt idx="1">
                  <c:v>İnsancıl Yönelim</c:v>
                </c:pt>
                <c:pt idx="2">
                  <c:v>Grup içi Kolektivizm</c:v>
                </c:pt>
                <c:pt idx="3">
                  <c:v>Kurumsal Kolektivizm</c:v>
                </c:pt>
                <c:pt idx="4">
                  <c:v>Gelecek Yönelimi</c:v>
                </c:pt>
              </c:strCache>
            </c:strRef>
          </c:cat>
          <c:val>
            <c:numRef>
              <c:f>Sayfa1!$G$9:$G$13</c:f>
              <c:numCache>
                <c:formatCode>General</c:formatCode>
                <c:ptCount val="5"/>
                <c:pt idx="0" formatCode="0.00">
                  <c:v>3.32</c:v>
                </c:pt>
                <c:pt idx="1">
                  <c:v>5.46</c:v>
                </c:pt>
                <c:pt idx="2">
                  <c:v>5.18</c:v>
                </c:pt>
                <c:pt idx="3">
                  <c:v>4.82</c:v>
                </c:pt>
                <c:pt idx="4">
                  <c:v>4.8499999999999996</c:v>
                </c:pt>
              </c:numCache>
            </c:numRef>
          </c:val>
          <c:extLst>
            <c:ext xmlns:c16="http://schemas.microsoft.com/office/drawing/2014/chart" uri="{C3380CC4-5D6E-409C-BE32-E72D297353CC}">
              <c16:uniqueId val="{00000000-DA19-4B88-97ED-02A2DDF04BAE}"/>
            </c:ext>
          </c:extLst>
        </c:ser>
        <c:ser>
          <c:idx val="1"/>
          <c:order val="1"/>
          <c:tx>
            <c:strRef>
              <c:f>Sayfa1!$H$8</c:f>
              <c:strCache>
                <c:ptCount val="1"/>
                <c:pt idx="0">
                  <c:v>Mevcut</c:v>
                </c:pt>
              </c:strCache>
            </c:strRef>
          </c:tx>
          <c:spPr>
            <a:ln w="28575" cap="rnd">
              <a:solidFill>
                <a:schemeClr val="accent5"/>
              </a:solidFill>
              <a:round/>
            </a:ln>
            <a:effectLst/>
          </c:spPr>
          <c:marker>
            <c:symbol val="none"/>
          </c:marker>
          <c:cat>
            <c:strRef>
              <c:f>Sayfa1!$F$9:$F$13</c:f>
              <c:strCache>
                <c:ptCount val="5"/>
                <c:pt idx="0">
                  <c:v>Belirsizliğin Önlenmesi</c:v>
                </c:pt>
                <c:pt idx="1">
                  <c:v>İnsancıl Yönelim</c:v>
                </c:pt>
                <c:pt idx="2">
                  <c:v>Grup içi Kolektivizm</c:v>
                </c:pt>
                <c:pt idx="3">
                  <c:v>Kurumsal Kolektivizm</c:v>
                </c:pt>
                <c:pt idx="4">
                  <c:v>Gelecek Yönelimi</c:v>
                </c:pt>
              </c:strCache>
            </c:strRef>
          </c:cat>
          <c:val>
            <c:numRef>
              <c:f>Sayfa1!$H$9:$H$13</c:f>
              <c:numCache>
                <c:formatCode>General</c:formatCode>
                <c:ptCount val="5"/>
                <c:pt idx="0">
                  <c:v>5.22</c:v>
                </c:pt>
                <c:pt idx="1">
                  <c:v>3.18</c:v>
                </c:pt>
                <c:pt idx="2">
                  <c:v>4.0199999999999996</c:v>
                </c:pt>
                <c:pt idx="3">
                  <c:v>3.79</c:v>
                </c:pt>
                <c:pt idx="4">
                  <c:v>4.2699999999999996</c:v>
                </c:pt>
              </c:numCache>
            </c:numRef>
          </c:val>
          <c:extLst>
            <c:ext xmlns:c16="http://schemas.microsoft.com/office/drawing/2014/chart" uri="{C3380CC4-5D6E-409C-BE32-E72D297353CC}">
              <c16:uniqueId val="{00000001-DA19-4B88-97ED-02A2DDF04BAE}"/>
            </c:ext>
          </c:extLst>
        </c:ser>
        <c:dLbls>
          <c:showLegendKey val="0"/>
          <c:showVal val="0"/>
          <c:showCatName val="0"/>
          <c:showSerName val="0"/>
          <c:showPercent val="0"/>
          <c:showBubbleSize val="0"/>
        </c:dLbls>
        <c:axId val="1328529168"/>
        <c:axId val="1328531248"/>
      </c:radarChart>
      <c:catAx>
        <c:axId val="1328529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28531248"/>
        <c:crosses val="autoZero"/>
        <c:auto val="1"/>
        <c:lblAlgn val="ctr"/>
        <c:lblOffset val="100"/>
        <c:noMultiLvlLbl val="0"/>
      </c:catAx>
      <c:valAx>
        <c:axId val="1328531248"/>
        <c:scaling>
          <c:orientation val="minMax"/>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132852916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b="1" baseline="0"/>
              <a:t>ÜLKELER ORTALAMASI (N:62)</a:t>
            </a:r>
            <a:endParaRPr lang="en-US"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radarChart>
        <c:radarStyle val="marker"/>
        <c:varyColors val="0"/>
        <c:ser>
          <c:idx val="0"/>
          <c:order val="0"/>
          <c:tx>
            <c:strRef>
              <c:f>Sayfa1!$G$8</c:f>
              <c:strCache>
                <c:ptCount val="1"/>
                <c:pt idx="0">
                  <c:v>Beklenen</c:v>
                </c:pt>
              </c:strCache>
            </c:strRef>
          </c:tx>
          <c:spPr>
            <a:ln w="28575" cap="rnd">
              <a:solidFill>
                <a:schemeClr val="accent6"/>
              </a:solidFill>
              <a:round/>
            </a:ln>
            <a:effectLst/>
          </c:spPr>
          <c:marker>
            <c:symbol val="none"/>
          </c:marker>
          <c:cat>
            <c:strRef>
              <c:f>Sayfa1!$F$9:$F$13</c:f>
              <c:strCache>
                <c:ptCount val="5"/>
                <c:pt idx="0">
                  <c:v>Belirsizliğin Önlenmesi</c:v>
                </c:pt>
                <c:pt idx="1">
                  <c:v>İnsancıl Yönelim</c:v>
                </c:pt>
                <c:pt idx="2">
                  <c:v>Grup içi Kolektivizm</c:v>
                </c:pt>
                <c:pt idx="3">
                  <c:v>Kurumsal Kolektivizm</c:v>
                </c:pt>
                <c:pt idx="4">
                  <c:v>Gelecek Yönelimi</c:v>
                </c:pt>
              </c:strCache>
            </c:strRef>
          </c:cat>
          <c:val>
            <c:numRef>
              <c:f>Sayfa1!$G$9:$G$13</c:f>
              <c:numCache>
                <c:formatCode>General</c:formatCode>
                <c:ptCount val="5"/>
                <c:pt idx="0" formatCode="0.00">
                  <c:v>4.62</c:v>
                </c:pt>
                <c:pt idx="1">
                  <c:v>5.42</c:v>
                </c:pt>
                <c:pt idx="2">
                  <c:v>5.66</c:v>
                </c:pt>
                <c:pt idx="3">
                  <c:v>4.7300000000000004</c:v>
                </c:pt>
                <c:pt idx="4">
                  <c:v>5.49</c:v>
                </c:pt>
              </c:numCache>
            </c:numRef>
          </c:val>
          <c:extLst>
            <c:ext xmlns:c16="http://schemas.microsoft.com/office/drawing/2014/chart" uri="{C3380CC4-5D6E-409C-BE32-E72D297353CC}">
              <c16:uniqueId val="{00000000-2790-4831-AA51-2581795B3464}"/>
            </c:ext>
          </c:extLst>
        </c:ser>
        <c:ser>
          <c:idx val="1"/>
          <c:order val="1"/>
          <c:tx>
            <c:strRef>
              <c:f>Sayfa1!$H$8</c:f>
              <c:strCache>
                <c:ptCount val="1"/>
                <c:pt idx="0">
                  <c:v>Mevcut</c:v>
                </c:pt>
              </c:strCache>
            </c:strRef>
          </c:tx>
          <c:spPr>
            <a:ln w="28575" cap="rnd">
              <a:solidFill>
                <a:schemeClr val="accent5"/>
              </a:solidFill>
              <a:round/>
            </a:ln>
            <a:effectLst/>
          </c:spPr>
          <c:marker>
            <c:symbol val="none"/>
          </c:marker>
          <c:cat>
            <c:strRef>
              <c:f>Sayfa1!$F$9:$F$13</c:f>
              <c:strCache>
                <c:ptCount val="5"/>
                <c:pt idx="0">
                  <c:v>Belirsizliğin Önlenmesi</c:v>
                </c:pt>
                <c:pt idx="1">
                  <c:v>İnsancıl Yönelim</c:v>
                </c:pt>
                <c:pt idx="2">
                  <c:v>Grup içi Kolektivizm</c:v>
                </c:pt>
                <c:pt idx="3">
                  <c:v>Kurumsal Kolektivizm</c:v>
                </c:pt>
                <c:pt idx="4">
                  <c:v>Gelecek Yönelimi</c:v>
                </c:pt>
              </c:strCache>
            </c:strRef>
          </c:cat>
          <c:val>
            <c:numRef>
              <c:f>Sayfa1!$H$9:$H$13</c:f>
              <c:numCache>
                <c:formatCode>General</c:formatCode>
                <c:ptCount val="5"/>
                <c:pt idx="0">
                  <c:v>4.16</c:v>
                </c:pt>
                <c:pt idx="1">
                  <c:v>4.09</c:v>
                </c:pt>
                <c:pt idx="2">
                  <c:v>5.13</c:v>
                </c:pt>
                <c:pt idx="3">
                  <c:v>4.25</c:v>
                </c:pt>
                <c:pt idx="4">
                  <c:v>3.85</c:v>
                </c:pt>
              </c:numCache>
            </c:numRef>
          </c:val>
          <c:extLst>
            <c:ext xmlns:c16="http://schemas.microsoft.com/office/drawing/2014/chart" uri="{C3380CC4-5D6E-409C-BE32-E72D297353CC}">
              <c16:uniqueId val="{00000001-2790-4831-AA51-2581795B3464}"/>
            </c:ext>
          </c:extLst>
        </c:ser>
        <c:dLbls>
          <c:showLegendKey val="0"/>
          <c:showVal val="0"/>
          <c:showCatName val="0"/>
          <c:showSerName val="0"/>
          <c:showPercent val="0"/>
          <c:showBubbleSize val="0"/>
        </c:dLbls>
        <c:axId val="1328529168"/>
        <c:axId val="1328531248"/>
      </c:radarChart>
      <c:catAx>
        <c:axId val="1328529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28531248"/>
        <c:crosses val="autoZero"/>
        <c:auto val="1"/>
        <c:lblAlgn val="ctr"/>
        <c:lblOffset val="100"/>
        <c:noMultiLvlLbl val="0"/>
      </c:catAx>
      <c:valAx>
        <c:axId val="1328531248"/>
        <c:scaling>
          <c:orientation val="minMax"/>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132852916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lgn="just">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tr-TR" sz="1050">
                <a:latin typeface="Times New Roman" panose="02020603050405020304" pitchFamily="18" charset="0"/>
                <a:cs typeface="Times New Roman" panose="02020603050405020304" pitchFamily="18" charset="0"/>
              </a:rPr>
              <a:t>Kapasite Kulanımı</a:t>
            </a:r>
            <a:r>
              <a:rPr lang="tr-TR" sz="1050" baseline="0">
                <a:latin typeface="Times New Roman" panose="02020603050405020304" pitchFamily="18" charset="0"/>
                <a:cs typeface="Times New Roman" panose="02020603050405020304" pitchFamily="18" charset="0"/>
              </a:rPr>
              <a:t> </a:t>
            </a:r>
            <a:endParaRPr lang="tr-TR" sz="105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Sayfa1!$B$1</c:f>
              <c:strCache>
                <c:ptCount val="1"/>
                <c:pt idx="0">
                  <c:v>2019</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Sayfa1!$A$2:$A$13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Sayfa1!$B$2:$B$13</c:f>
              <c:numCache>
                <c:formatCode>#,##0.00</c:formatCode>
                <c:ptCount val="12"/>
                <c:pt idx="0">
                  <c:v>74.400000000000006</c:v>
                </c:pt>
                <c:pt idx="1">
                  <c:v>74</c:v>
                </c:pt>
                <c:pt idx="2">
                  <c:v>74.3</c:v>
                </c:pt>
                <c:pt idx="3">
                  <c:v>75</c:v>
                </c:pt>
                <c:pt idx="4">
                  <c:v>76.3</c:v>
                </c:pt>
                <c:pt idx="5">
                  <c:v>77.099999999999994</c:v>
                </c:pt>
                <c:pt idx="6">
                  <c:v>76.2</c:v>
                </c:pt>
                <c:pt idx="7">
                  <c:v>76.599999999999994</c:v>
                </c:pt>
                <c:pt idx="8">
                  <c:v>76.3</c:v>
                </c:pt>
                <c:pt idx="9">
                  <c:v>76.400000000000006</c:v>
                </c:pt>
                <c:pt idx="10">
                  <c:v>77.2</c:v>
                </c:pt>
                <c:pt idx="11">
                  <c:v>77</c:v>
                </c:pt>
              </c:numCache>
            </c:numRef>
          </c:val>
          <c:smooth val="0"/>
          <c:extLst>
            <c:ext xmlns:c16="http://schemas.microsoft.com/office/drawing/2014/chart" uri="{C3380CC4-5D6E-409C-BE32-E72D297353CC}">
              <c16:uniqueId val="{00000000-215B-432E-B1CB-89CD7927432E}"/>
            </c:ext>
          </c:extLst>
        </c:ser>
        <c:ser>
          <c:idx val="1"/>
          <c:order val="1"/>
          <c:tx>
            <c:strRef>
              <c:f>Sayfa1!$C$1</c:f>
              <c:strCache>
                <c:ptCount val="1"/>
                <c:pt idx="0">
                  <c:v>2019</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Sayfa1!$A$2:$A$13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Sayfa1!$C$2:$C$13</c:f>
              <c:numCache>
                <c:formatCode>#,##0.00</c:formatCode>
                <c:ptCount val="12"/>
                <c:pt idx="0">
                  <c:v>75.5</c:v>
                </c:pt>
                <c:pt idx="1">
                  <c:v>76</c:v>
                </c:pt>
                <c:pt idx="2">
                  <c:v>75.3</c:v>
                </c:pt>
                <c:pt idx="3">
                  <c:v>61.6</c:v>
                </c:pt>
                <c:pt idx="4">
                  <c:v>62.6</c:v>
                </c:pt>
                <c:pt idx="5">
                  <c:v>66</c:v>
                </c:pt>
                <c:pt idx="6">
                  <c:v>70.7</c:v>
                </c:pt>
                <c:pt idx="7">
                  <c:v>73.3</c:v>
                </c:pt>
                <c:pt idx="8">
                  <c:v>74.599999999999994</c:v>
                </c:pt>
                <c:pt idx="9">
                  <c:v>75.400000000000006</c:v>
                </c:pt>
                <c:pt idx="10">
                  <c:v>75.8</c:v>
                </c:pt>
                <c:pt idx="11">
                  <c:v>75.599999999999994</c:v>
                </c:pt>
              </c:numCache>
            </c:numRef>
          </c:val>
          <c:smooth val="0"/>
          <c:extLst>
            <c:ext xmlns:c16="http://schemas.microsoft.com/office/drawing/2014/chart" uri="{C3380CC4-5D6E-409C-BE32-E72D297353CC}">
              <c16:uniqueId val="{00000001-215B-432E-B1CB-89CD7927432E}"/>
            </c:ext>
          </c:extLst>
        </c:ser>
        <c:dLbls>
          <c:showLegendKey val="0"/>
          <c:showVal val="0"/>
          <c:showCatName val="0"/>
          <c:showSerName val="0"/>
          <c:showPercent val="0"/>
          <c:showBubbleSize val="0"/>
        </c:dLbls>
        <c:marker val="1"/>
        <c:smooth val="0"/>
        <c:axId val="290222680"/>
        <c:axId val="290218416"/>
      </c:lineChart>
      <c:catAx>
        <c:axId val="290222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0218416"/>
        <c:crosses val="autoZero"/>
        <c:auto val="1"/>
        <c:lblAlgn val="ctr"/>
        <c:lblOffset val="100"/>
        <c:noMultiLvlLbl val="0"/>
      </c:catAx>
      <c:valAx>
        <c:axId val="29021841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0222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23FB05A-F3C7-4E0E-971A-E5D563A67E44}" type="doc">
      <dgm:prSet loTypeId="urn:microsoft.com/office/officeart/2005/8/layout/process1" loCatId="process" qsTypeId="urn:microsoft.com/office/officeart/2005/8/quickstyle/simple3" qsCatId="simple" csTypeId="urn:microsoft.com/office/officeart/2005/8/colors/accent0_1" csCatId="mainScheme" phldr="1"/>
      <dgm:spPr/>
    </dgm:pt>
    <dgm:pt modelId="{61FC8A9F-6653-403D-B788-FD515679D322}">
      <dgm:prSet phldrT="[Metin]" custT="1"/>
      <dgm:spPr>
        <a:xfrm>
          <a:off x="2193" y="0"/>
          <a:ext cx="958983" cy="561975"/>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pPr algn="ctr"/>
          <a:r>
            <a:rPr lang="tr-TR" sz="1000">
              <a:solidFill>
                <a:sysClr val="windowText" lastClr="000000">
                  <a:hueOff val="0"/>
                  <a:satOff val="0"/>
                  <a:lumOff val="0"/>
                  <a:alphaOff val="0"/>
                </a:sysClr>
              </a:solidFill>
              <a:latin typeface="Book Antiqua" panose="02040602050305030304" pitchFamily="18" charset="0"/>
              <a:ea typeface="+mn-ea"/>
              <a:cs typeface="Times New Roman" panose="02020603050405020304" pitchFamily="18" charset="0"/>
            </a:rPr>
            <a:t>Bilimsel Bilgi</a:t>
          </a:r>
        </a:p>
      </dgm:t>
    </dgm:pt>
    <dgm:pt modelId="{D8B41C9E-6966-4DBF-938F-B145B384D8FA}" type="parTrans" cxnId="{15005C06-25A1-44BB-9AE3-4E524B6B1D05}">
      <dgm:prSet/>
      <dgm:spPr/>
      <dgm:t>
        <a:bodyPr/>
        <a:lstStyle/>
        <a:p>
          <a:pPr algn="ctr"/>
          <a:endParaRPr lang="tr-TR" sz="1000">
            <a:latin typeface="Book Antiqua" panose="02040602050305030304" pitchFamily="18" charset="0"/>
            <a:cs typeface="Times New Roman" panose="02020603050405020304" pitchFamily="18" charset="0"/>
          </a:endParaRPr>
        </a:p>
      </dgm:t>
    </dgm:pt>
    <dgm:pt modelId="{540D9AC5-CDEE-470A-B047-C249DD3E2861}" type="sibTrans" cxnId="{15005C06-25A1-44BB-9AE3-4E524B6B1D05}">
      <dgm:prSet custT="1"/>
      <dgm:spPr>
        <a:xfrm>
          <a:off x="1057075" y="162073"/>
          <a:ext cx="203304" cy="237827"/>
        </a:xfrm>
        <a:solidFill>
          <a:sysClr val="windowText" lastClr="000000"/>
        </a:solidFill>
        <a:ln>
          <a:noFill/>
        </a:ln>
        <a:effectLst/>
      </dgm:spPr>
      <dgm:t>
        <a:bodyPr/>
        <a:lstStyle/>
        <a:p>
          <a:pPr algn="ctr"/>
          <a:endParaRPr lang="tr-TR" sz="1000">
            <a:solidFill>
              <a:sysClr val="windowText" lastClr="000000">
                <a:hueOff val="0"/>
                <a:satOff val="0"/>
                <a:lumOff val="0"/>
                <a:alphaOff val="0"/>
              </a:sysClr>
            </a:solidFill>
            <a:latin typeface="Book Antiqua" panose="02040602050305030304" pitchFamily="18" charset="0"/>
            <a:ea typeface="+mn-ea"/>
            <a:cs typeface="Times New Roman" panose="02020603050405020304" pitchFamily="18" charset="0"/>
          </a:endParaRPr>
        </a:p>
      </dgm:t>
    </dgm:pt>
    <dgm:pt modelId="{5A75888C-A3F8-4364-AE02-8CBBEF95E663}">
      <dgm:prSet phldrT="[Metin]" custT="1"/>
      <dgm:spPr>
        <a:xfrm>
          <a:off x="2687346" y="0"/>
          <a:ext cx="958983" cy="561975"/>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pPr algn="ctr"/>
          <a:r>
            <a:rPr lang="tr-TR" sz="1000">
              <a:solidFill>
                <a:sysClr val="windowText" lastClr="000000">
                  <a:hueOff val="0"/>
                  <a:satOff val="0"/>
                  <a:lumOff val="0"/>
                  <a:alphaOff val="0"/>
                </a:sysClr>
              </a:solidFill>
              <a:latin typeface="Book Antiqua" panose="02040602050305030304" pitchFamily="18" charset="0"/>
              <a:ea typeface="+mn-ea"/>
              <a:cs typeface="Times New Roman" panose="02020603050405020304" pitchFamily="18" charset="0"/>
            </a:rPr>
            <a:t>Öğretilen Bilgi</a:t>
          </a:r>
        </a:p>
      </dgm:t>
    </dgm:pt>
    <dgm:pt modelId="{B9D6511F-7681-4B5C-B461-B6C7CD9633DA}" type="parTrans" cxnId="{796EAEC5-6DB5-4459-8DD4-01E2C385EC42}">
      <dgm:prSet/>
      <dgm:spPr/>
      <dgm:t>
        <a:bodyPr/>
        <a:lstStyle/>
        <a:p>
          <a:pPr algn="ctr"/>
          <a:endParaRPr lang="tr-TR" sz="1000">
            <a:latin typeface="Book Antiqua" panose="02040602050305030304" pitchFamily="18" charset="0"/>
            <a:cs typeface="Times New Roman" panose="02020603050405020304" pitchFamily="18" charset="0"/>
          </a:endParaRPr>
        </a:p>
      </dgm:t>
    </dgm:pt>
    <dgm:pt modelId="{0C594359-6296-4363-889F-DB2EAFEB05EB}" type="sibTrans" cxnId="{796EAEC5-6DB5-4459-8DD4-01E2C385EC42}">
      <dgm:prSet custT="1"/>
      <dgm:spPr>
        <a:xfrm>
          <a:off x="3742228" y="162073"/>
          <a:ext cx="203304" cy="237827"/>
        </a:xfrm>
        <a:solidFill>
          <a:sysClr val="windowText" lastClr="000000"/>
        </a:solidFill>
        <a:ln>
          <a:noFill/>
        </a:ln>
        <a:effectLst/>
      </dgm:spPr>
      <dgm:t>
        <a:bodyPr/>
        <a:lstStyle/>
        <a:p>
          <a:pPr algn="ctr"/>
          <a:endParaRPr lang="tr-TR" sz="1000">
            <a:solidFill>
              <a:sysClr val="windowText" lastClr="000000">
                <a:hueOff val="0"/>
                <a:satOff val="0"/>
                <a:lumOff val="0"/>
                <a:alphaOff val="0"/>
              </a:sysClr>
            </a:solidFill>
            <a:latin typeface="Book Antiqua" panose="02040602050305030304" pitchFamily="18" charset="0"/>
            <a:ea typeface="+mn-ea"/>
            <a:cs typeface="Times New Roman" panose="02020603050405020304" pitchFamily="18" charset="0"/>
          </a:endParaRPr>
        </a:p>
      </dgm:t>
    </dgm:pt>
    <dgm:pt modelId="{966C340E-68F1-4B67-9F5B-A5A16517882A}">
      <dgm:prSet phldrT="[Metin]" custT="1"/>
      <dgm:spPr>
        <a:xfrm>
          <a:off x="4029923" y="0"/>
          <a:ext cx="958983" cy="561975"/>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pPr algn="ctr"/>
          <a:r>
            <a:rPr lang="tr-TR" sz="1000">
              <a:solidFill>
                <a:sysClr val="windowText" lastClr="000000">
                  <a:hueOff val="0"/>
                  <a:satOff val="0"/>
                  <a:lumOff val="0"/>
                  <a:alphaOff val="0"/>
                </a:sysClr>
              </a:solidFill>
              <a:latin typeface="Book Antiqua" panose="02040602050305030304" pitchFamily="18" charset="0"/>
              <a:ea typeface="+mn-ea"/>
              <a:cs typeface="Times New Roman" panose="02020603050405020304" pitchFamily="18" charset="0"/>
            </a:rPr>
            <a:t>Özümlenen Bilgi</a:t>
          </a:r>
        </a:p>
      </dgm:t>
    </dgm:pt>
    <dgm:pt modelId="{CA366482-F149-4C8A-96DF-8B3D09BD710A}" type="parTrans" cxnId="{295EAB83-C308-433B-A48D-A134591109C0}">
      <dgm:prSet/>
      <dgm:spPr/>
      <dgm:t>
        <a:bodyPr/>
        <a:lstStyle/>
        <a:p>
          <a:pPr algn="ctr"/>
          <a:endParaRPr lang="tr-TR" sz="1000">
            <a:latin typeface="Book Antiqua" panose="02040602050305030304" pitchFamily="18" charset="0"/>
            <a:cs typeface="Times New Roman" panose="02020603050405020304" pitchFamily="18" charset="0"/>
          </a:endParaRPr>
        </a:p>
      </dgm:t>
    </dgm:pt>
    <dgm:pt modelId="{4158D2BD-919D-4391-AAD8-6F5EBD32F52D}" type="sibTrans" cxnId="{295EAB83-C308-433B-A48D-A134591109C0}">
      <dgm:prSet/>
      <dgm:spPr/>
      <dgm:t>
        <a:bodyPr/>
        <a:lstStyle/>
        <a:p>
          <a:pPr algn="ctr"/>
          <a:endParaRPr lang="tr-TR" sz="1000">
            <a:latin typeface="Book Antiqua" panose="02040602050305030304" pitchFamily="18" charset="0"/>
            <a:cs typeface="Times New Roman" panose="02020603050405020304" pitchFamily="18" charset="0"/>
          </a:endParaRPr>
        </a:p>
      </dgm:t>
    </dgm:pt>
    <dgm:pt modelId="{BA18DE9C-2710-4F37-A211-DC4B6BCBA1F5}">
      <dgm:prSet custT="1"/>
      <dgm:spPr>
        <a:xfrm>
          <a:off x="1344770" y="0"/>
          <a:ext cx="958983" cy="561975"/>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pPr algn="ctr"/>
          <a:r>
            <a:rPr lang="tr-TR" sz="1000">
              <a:solidFill>
                <a:sysClr val="windowText" lastClr="000000">
                  <a:hueOff val="0"/>
                  <a:satOff val="0"/>
                  <a:lumOff val="0"/>
                  <a:alphaOff val="0"/>
                </a:sysClr>
              </a:solidFill>
              <a:latin typeface="Book Antiqua" panose="02040602050305030304" pitchFamily="18" charset="0"/>
              <a:ea typeface="+mn-ea"/>
              <a:cs typeface="Times New Roman" panose="02020603050405020304" pitchFamily="18" charset="0"/>
            </a:rPr>
            <a:t>Öğretilecek Bilgi</a:t>
          </a:r>
        </a:p>
      </dgm:t>
    </dgm:pt>
    <dgm:pt modelId="{39BA9C16-D2E6-4EFD-A48F-BA3572FFEE29}" type="parTrans" cxnId="{780BC6ED-D825-4A46-B9AC-9AE23B782924}">
      <dgm:prSet/>
      <dgm:spPr/>
      <dgm:t>
        <a:bodyPr/>
        <a:lstStyle/>
        <a:p>
          <a:pPr algn="ctr"/>
          <a:endParaRPr lang="tr-TR" sz="1000">
            <a:latin typeface="Book Antiqua" panose="02040602050305030304" pitchFamily="18" charset="0"/>
            <a:cs typeface="Times New Roman" panose="02020603050405020304" pitchFamily="18" charset="0"/>
          </a:endParaRPr>
        </a:p>
      </dgm:t>
    </dgm:pt>
    <dgm:pt modelId="{BCF91491-6CD3-4165-86F1-67BD4A1CE495}" type="sibTrans" cxnId="{780BC6ED-D825-4A46-B9AC-9AE23B782924}">
      <dgm:prSet custT="1"/>
      <dgm:spPr>
        <a:xfrm>
          <a:off x="2399651" y="162073"/>
          <a:ext cx="203304" cy="237827"/>
        </a:xfrm>
        <a:solidFill>
          <a:sysClr val="windowText" lastClr="000000"/>
        </a:solidFill>
        <a:ln>
          <a:noFill/>
        </a:ln>
        <a:effectLst/>
      </dgm:spPr>
      <dgm:t>
        <a:bodyPr/>
        <a:lstStyle/>
        <a:p>
          <a:pPr algn="ctr"/>
          <a:endParaRPr lang="tr-TR" sz="1000">
            <a:solidFill>
              <a:sysClr val="windowText" lastClr="000000">
                <a:hueOff val="0"/>
                <a:satOff val="0"/>
                <a:lumOff val="0"/>
                <a:alphaOff val="0"/>
              </a:sysClr>
            </a:solidFill>
            <a:latin typeface="Book Antiqua" panose="02040602050305030304" pitchFamily="18" charset="0"/>
            <a:ea typeface="+mn-ea"/>
            <a:cs typeface="Times New Roman" panose="02020603050405020304" pitchFamily="18" charset="0"/>
          </a:endParaRPr>
        </a:p>
      </dgm:t>
    </dgm:pt>
    <dgm:pt modelId="{21EAACB7-1C5D-4D29-9230-2F50D0E5890C}" type="pres">
      <dgm:prSet presAssocID="{323FB05A-F3C7-4E0E-971A-E5D563A67E44}" presName="Name0" presStyleCnt="0">
        <dgm:presLayoutVars>
          <dgm:dir/>
          <dgm:resizeHandles val="exact"/>
        </dgm:presLayoutVars>
      </dgm:prSet>
      <dgm:spPr/>
    </dgm:pt>
    <dgm:pt modelId="{59B70184-33C1-4182-AB60-C656999E67A5}" type="pres">
      <dgm:prSet presAssocID="{61FC8A9F-6653-403D-B788-FD515679D322}" presName="node" presStyleLbl="node1" presStyleIdx="0" presStyleCnt="4">
        <dgm:presLayoutVars>
          <dgm:bulletEnabled val="1"/>
        </dgm:presLayoutVars>
      </dgm:prSet>
      <dgm:spPr>
        <a:prstGeom prst="roundRect">
          <a:avLst>
            <a:gd name="adj" fmla="val 10000"/>
          </a:avLst>
        </a:prstGeom>
      </dgm:spPr>
      <dgm:t>
        <a:bodyPr/>
        <a:lstStyle/>
        <a:p>
          <a:endParaRPr lang="tr-TR"/>
        </a:p>
      </dgm:t>
    </dgm:pt>
    <dgm:pt modelId="{8ECB8A35-B5CC-4067-9CDE-1E068CCE5258}" type="pres">
      <dgm:prSet presAssocID="{540D9AC5-CDEE-470A-B047-C249DD3E2861}" presName="sibTrans" presStyleLbl="sibTrans2D1" presStyleIdx="0" presStyleCnt="3"/>
      <dgm:spPr>
        <a:prstGeom prst="rightArrow">
          <a:avLst>
            <a:gd name="adj1" fmla="val 60000"/>
            <a:gd name="adj2" fmla="val 50000"/>
          </a:avLst>
        </a:prstGeom>
      </dgm:spPr>
      <dgm:t>
        <a:bodyPr/>
        <a:lstStyle/>
        <a:p>
          <a:endParaRPr lang="tr-TR"/>
        </a:p>
      </dgm:t>
    </dgm:pt>
    <dgm:pt modelId="{9AB0E357-0A45-46A8-BC2C-8302E22902D6}" type="pres">
      <dgm:prSet presAssocID="{540D9AC5-CDEE-470A-B047-C249DD3E2861}" presName="connectorText" presStyleLbl="sibTrans2D1" presStyleIdx="0" presStyleCnt="3"/>
      <dgm:spPr/>
      <dgm:t>
        <a:bodyPr/>
        <a:lstStyle/>
        <a:p>
          <a:endParaRPr lang="tr-TR"/>
        </a:p>
      </dgm:t>
    </dgm:pt>
    <dgm:pt modelId="{E54DB8D9-D10F-4DAE-A58C-071C0C296631}" type="pres">
      <dgm:prSet presAssocID="{BA18DE9C-2710-4F37-A211-DC4B6BCBA1F5}" presName="node" presStyleLbl="node1" presStyleIdx="1" presStyleCnt="4">
        <dgm:presLayoutVars>
          <dgm:bulletEnabled val="1"/>
        </dgm:presLayoutVars>
      </dgm:prSet>
      <dgm:spPr>
        <a:prstGeom prst="roundRect">
          <a:avLst>
            <a:gd name="adj" fmla="val 10000"/>
          </a:avLst>
        </a:prstGeom>
      </dgm:spPr>
      <dgm:t>
        <a:bodyPr/>
        <a:lstStyle/>
        <a:p>
          <a:endParaRPr lang="tr-TR"/>
        </a:p>
      </dgm:t>
    </dgm:pt>
    <dgm:pt modelId="{3A272267-6EC1-4303-8B5B-0ED660C5EFD1}" type="pres">
      <dgm:prSet presAssocID="{BCF91491-6CD3-4165-86F1-67BD4A1CE495}" presName="sibTrans" presStyleLbl="sibTrans2D1" presStyleIdx="1" presStyleCnt="3"/>
      <dgm:spPr>
        <a:prstGeom prst="rightArrow">
          <a:avLst>
            <a:gd name="adj1" fmla="val 60000"/>
            <a:gd name="adj2" fmla="val 50000"/>
          </a:avLst>
        </a:prstGeom>
      </dgm:spPr>
      <dgm:t>
        <a:bodyPr/>
        <a:lstStyle/>
        <a:p>
          <a:endParaRPr lang="tr-TR"/>
        </a:p>
      </dgm:t>
    </dgm:pt>
    <dgm:pt modelId="{7479319C-68ED-4346-A492-2F859639F793}" type="pres">
      <dgm:prSet presAssocID="{BCF91491-6CD3-4165-86F1-67BD4A1CE495}" presName="connectorText" presStyleLbl="sibTrans2D1" presStyleIdx="1" presStyleCnt="3"/>
      <dgm:spPr/>
      <dgm:t>
        <a:bodyPr/>
        <a:lstStyle/>
        <a:p>
          <a:endParaRPr lang="tr-TR"/>
        </a:p>
      </dgm:t>
    </dgm:pt>
    <dgm:pt modelId="{B9D9ADAA-347A-4397-965A-C609990AA45F}" type="pres">
      <dgm:prSet presAssocID="{5A75888C-A3F8-4364-AE02-8CBBEF95E663}" presName="node" presStyleLbl="node1" presStyleIdx="2" presStyleCnt="4">
        <dgm:presLayoutVars>
          <dgm:bulletEnabled val="1"/>
        </dgm:presLayoutVars>
      </dgm:prSet>
      <dgm:spPr>
        <a:prstGeom prst="roundRect">
          <a:avLst>
            <a:gd name="adj" fmla="val 10000"/>
          </a:avLst>
        </a:prstGeom>
      </dgm:spPr>
      <dgm:t>
        <a:bodyPr/>
        <a:lstStyle/>
        <a:p>
          <a:endParaRPr lang="tr-TR"/>
        </a:p>
      </dgm:t>
    </dgm:pt>
    <dgm:pt modelId="{8F46AB78-98F4-4191-A4B0-79B3E8EA721D}" type="pres">
      <dgm:prSet presAssocID="{0C594359-6296-4363-889F-DB2EAFEB05EB}" presName="sibTrans" presStyleLbl="sibTrans2D1" presStyleIdx="2" presStyleCnt="3"/>
      <dgm:spPr>
        <a:prstGeom prst="rightArrow">
          <a:avLst>
            <a:gd name="adj1" fmla="val 60000"/>
            <a:gd name="adj2" fmla="val 50000"/>
          </a:avLst>
        </a:prstGeom>
      </dgm:spPr>
      <dgm:t>
        <a:bodyPr/>
        <a:lstStyle/>
        <a:p>
          <a:endParaRPr lang="tr-TR"/>
        </a:p>
      </dgm:t>
    </dgm:pt>
    <dgm:pt modelId="{7AEB5CE3-41B6-438A-9632-9E5B43B52060}" type="pres">
      <dgm:prSet presAssocID="{0C594359-6296-4363-889F-DB2EAFEB05EB}" presName="connectorText" presStyleLbl="sibTrans2D1" presStyleIdx="2" presStyleCnt="3"/>
      <dgm:spPr/>
      <dgm:t>
        <a:bodyPr/>
        <a:lstStyle/>
        <a:p>
          <a:endParaRPr lang="tr-TR"/>
        </a:p>
      </dgm:t>
    </dgm:pt>
    <dgm:pt modelId="{4E22ABBB-617F-4408-A96A-AD342621A46F}" type="pres">
      <dgm:prSet presAssocID="{966C340E-68F1-4B67-9F5B-A5A16517882A}" presName="node" presStyleLbl="node1" presStyleIdx="3" presStyleCnt="4">
        <dgm:presLayoutVars>
          <dgm:bulletEnabled val="1"/>
        </dgm:presLayoutVars>
      </dgm:prSet>
      <dgm:spPr>
        <a:prstGeom prst="roundRect">
          <a:avLst>
            <a:gd name="adj" fmla="val 10000"/>
          </a:avLst>
        </a:prstGeom>
      </dgm:spPr>
      <dgm:t>
        <a:bodyPr/>
        <a:lstStyle/>
        <a:p>
          <a:endParaRPr lang="tr-TR"/>
        </a:p>
      </dgm:t>
    </dgm:pt>
  </dgm:ptLst>
  <dgm:cxnLst>
    <dgm:cxn modelId="{780BC6ED-D825-4A46-B9AC-9AE23B782924}" srcId="{323FB05A-F3C7-4E0E-971A-E5D563A67E44}" destId="{BA18DE9C-2710-4F37-A211-DC4B6BCBA1F5}" srcOrd="1" destOrd="0" parTransId="{39BA9C16-D2E6-4EFD-A48F-BA3572FFEE29}" sibTransId="{BCF91491-6CD3-4165-86F1-67BD4A1CE495}"/>
    <dgm:cxn modelId="{2F7C932D-40E7-49E7-9DBE-52D19255C0C0}" type="presOf" srcId="{0C594359-6296-4363-889F-DB2EAFEB05EB}" destId="{8F46AB78-98F4-4191-A4B0-79B3E8EA721D}" srcOrd="0" destOrd="0" presId="urn:microsoft.com/office/officeart/2005/8/layout/process1"/>
    <dgm:cxn modelId="{975DDA75-D192-4B4C-845B-6DE13F4F6DAF}" type="presOf" srcId="{540D9AC5-CDEE-470A-B047-C249DD3E2861}" destId="{9AB0E357-0A45-46A8-BC2C-8302E22902D6}" srcOrd="1" destOrd="0" presId="urn:microsoft.com/office/officeart/2005/8/layout/process1"/>
    <dgm:cxn modelId="{74F51E90-85C2-4D76-9F0E-2E2532AC5E4C}" type="presOf" srcId="{BA18DE9C-2710-4F37-A211-DC4B6BCBA1F5}" destId="{E54DB8D9-D10F-4DAE-A58C-071C0C296631}" srcOrd="0" destOrd="0" presId="urn:microsoft.com/office/officeart/2005/8/layout/process1"/>
    <dgm:cxn modelId="{F3603B33-EEA1-4044-9B8F-ACCDA5AF1735}" type="presOf" srcId="{323FB05A-F3C7-4E0E-971A-E5D563A67E44}" destId="{21EAACB7-1C5D-4D29-9230-2F50D0E5890C}" srcOrd="0" destOrd="0" presId="urn:microsoft.com/office/officeart/2005/8/layout/process1"/>
    <dgm:cxn modelId="{796EAEC5-6DB5-4459-8DD4-01E2C385EC42}" srcId="{323FB05A-F3C7-4E0E-971A-E5D563A67E44}" destId="{5A75888C-A3F8-4364-AE02-8CBBEF95E663}" srcOrd="2" destOrd="0" parTransId="{B9D6511F-7681-4B5C-B461-B6C7CD9633DA}" sibTransId="{0C594359-6296-4363-889F-DB2EAFEB05EB}"/>
    <dgm:cxn modelId="{295EAB83-C308-433B-A48D-A134591109C0}" srcId="{323FB05A-F3C7-4E0E-971A-E5D563A67E44}" destId="{966C340E-68F1-4B67-9F5B-A5A16517882A}" srcOrd="3" destOrd="0" parTransId="{CA366482-F149-4C8A-96DF-8B3D09BD710A}" sibTransId="{4158D2BD-919D-4391-AAD8-6F5EBD32F52D}"/>
    <dgm:cxn modelId="{209BD5CB-646E-432F-8E4D-3778210708C8}" type="presOf" srcId="{BCF91491-6CD3-4165-86F1-67BD4A1CE495}" destId="{7479319C-68ED-4346-A492-2F859639F793}" srcOrd="1" destOrd="0" presId="urn:microsoft.com/office/officeart/2005/8/layout/process1"/>
    <dgm:cxn modelId="{E5E8F16D-C2D5-4309-85D5-FEABF56ACD8D}" type="presOf" srcId="{5A75888C-A3F8-4364-AE02-8CBBEF95E663}" destId="{B9D9ADAA-347A-4397-965A-C609990AA45F}" srcOrd="0" destOrd="0" presId="urn:microsoft.com/office/officeart/2005/8/layout/process1"/>
    <dgm:cxn modelId="{991B2076-AC4E-4E65-BAB3-DB58C9912B94}" type="presOf" srcId="{966C340E-68F1-4B67-9F5B-A5A16517882A}" destId="{4E22ABBB-617F-4408-A96A-AD342621A46F}" srcOrd="0" destOrd="0" presId="urn:microsoft.com/office/officeart/2005/8/layout/process1"/>
    <dgm:cxn modelId="{0CF80B08-9371-4FCB-AF30-A9474106C648}" type="presOf" srcId="{61FC8A9F-6653-403D-B788-FD515679D322}" destId="{59B70184-33C1-4182-AB60-C656999E67A5}" srcOrd="0" destOrd="0" presId="urn:microsoft.com/office/officeart/2005/8/layout/process1"/>
    <dgm:cxn modelId="{E1788F7D-1073-4D4C-960D-5AF537365419}" type="presOf" srcId="{0C594359-6296-4363-889F-DB2EAFEB05EB}" destId="{7AEB5CE3-41B6-438A-9632-9E5B43B52060}" srcOrd="1" destOrd="0" presId="urn:microsoft.com/office/officeart/2005/8/layout/process1"/>
    <dgm:cxn modelId="{8407A73A-4274-4CB6-80FB-48C52ABA4BF9}" type="presOf" srcId="{BCF91491-6CD3-4165-86F1-67BD4A1CE495}" destId="{3A272267-6EC1-4303-8B5B-0ED660C5EFD1}" srcOrd="0" destOrd="0" presId="urn:microsoft.com/office/officeart/2005/8/layout/process1"/>
    <dgm:cxn modelId="{15005C06-25A1-44BB-9AE3-4E524B6B1D05}" srcId="{323FB05A-F3C7-4E0E-971A-E5D563A67E44}" destId="{61FC8A9F-6653-403D-B788-FD515679D322}" srcOrd="0" destOrd="0" parTransId="{D8B41C9E-6966-4DBF-938F-B145B384D8FA}" sibTransId="{540D9AC5-CDEE-470A-B047-C249DD3E2861}"/>
    <dgm:cxn modelId="{77E4A61A-FA34-4B8C-B9AC-92702993D12B}" type="presOf" srcId="{540D9AC5-CDEE-470A-B047-C249DD3E2861}" destId="{8ECB8A35-B5CC-4067-9CDE-1E068CCE5258}" srcOrd="0" destOrd="0" presId="urn:microsoft.com/office/officeart/2005/8/layout/process1"/>
    <dgm:cxn modelId="{62FE726F-C035-469F-9B86-B7A432AEF5D4}" type="presParOf" srcId="{21EAACB7-1C5D-4D29-9230-2F50D0E5890C}" destId="{59B70184-33C1-4182-AB60-C656999E67A5}" srcOrd="0" destOrd="0" presId="urn:microsoft.com/office/officeart/2005/8/layout/process1"/>
    <dgm:cxn modelId="{2AAB70B8-07D7-4415-80E0-5201F6F4CB66}" type="presParOf" srcId="{21EAACB7-1C5D-4D29-9230-2F50D0E5890C}" destId="{8ECB8A35-B5CC-4067-9CDE-1E068CCE5258}" srcOrd="1" destOrd="0" presId="urn:microsoft.com/office/officeart/2005/8/layout/process1"/>
    <dgm:cxn modelId="{7CFDC7CE-BCA0-4456-8165-374D93718A77}" type="presParOf" srcId="{8ECB8A35-B5CC-4067-9CDE-1E068CCE5258}" destId="{9AB0E357-0A45-46A8-BC2C-8302E22902D6}" srcOrd="0" destOrd="0" presId="urn:microsoft.com/office/officeart/2005/8/layout/process1"/>
    <dgm:cxn modelId="{715733A7-2BE5-446F-ADF1-3AAF387E097D}" type="presParOf" srcId="{21EAACB7-1C5D-4D29-9230-2F50D0E5890C}" destId="{E54DB8D9-D10F-4DAE-A58C-071C0C296631}" srcOrd="2" destOrd="0" presId="urn:microsoft.com/office/officeart/2005/8/layout/process1"/>
    <dgm:cxn modelId="{741D0AA9-211E-4D14-B909-09FCD5267C45}" type="presParOf" srcId="{21EAACB7-1C5D-4D29-9230-2F50D0E5890C}" destId="{3A272267-6EC1-4303-8B5B-0ED660C5EFD1}" srcOrd="3" destOrd="0" presId="urn:microsoft.com/office/officeart/2005/8/layout/process1"/>
    <dgm:cxn modelId="{3618A052-7410-4711-AC51-9308FC961E90}" type="presParOf" srcId="{3A272267-6EC1-4303-8B5B-0ED660C5EFD1}" destId="{7479319C-68ED-4346-A492-2F859639F793}" srcOrd="0" destOrd="0" presId="urn:microsoft.com/office/officeart/2005/8/layout/process1"/>
    <dgm:cxn modelId="{D6A710E3-1F98-4D7B-A133-E29983C207F1}" type="presParOf" srcId="{21EAACB7-1C5D-4D29-9230-2F50D0E5890C}" destId="{B9D9ADAA-347A-4397-965A-C609990AA45F}" srcOrd="4" destOrd="0" presId="urn:microsoft.com/office/officeart/2005/8/layout/process1"/>
    <dgm:cxn modelId="{C70A0A02-1736-4E48-AE3A-726D3685AC33}" type="presParOf" srcId="{21EAACB7-1C5D-4D29-9230-2F50D0E5890C}" destId="{8F46AB78-98F4-4191-A4B0-79B3E8EA721D}" srcOrd="5" destOrd="0" presId="urn:microsoft.com/office/officeart/2005/8/layout/process1"/>
    <dgm:cxn modelId="{5AA37193-656F-4B35-BE73-C612EA49A957}" type="presParOf" srcId="{8F46AB78-98F4-4191-A4B0-79B3E8EA721D}" destId="{7AEB5CE3-41B6-438A-9632-9E5B43B52060}" srcOrd="0" destOrd="0" presId="urn:microsoft.com/office/officeart/2005/8/layout/process1"/>
    <dgm:cxn modelId="{061EE3CF-693F-4221-8780-BFCF41ACA5C7}" type="presParOf" srcId="{21EAACB7-1C5D-4D29-9230-2F50D0E5890C}" destId="{4E22ABBB-617F-4408-A96A-AD342621A46F}" srcOrd="6" destOrd="0" presId="urn:microsoft.com/office/officeart/2005/8/layout/process1"/>
  </dgm:cxnLst>
  <dgm:bg/>
  <dgm:whole/>
  <dgm:extLst>
    <a:ext uri="http://schemas.microsoft.com/office/drawing/2008/diagram">
      <dsp:dataModelExt xmlns:dsp="http://schemas.microsoft.com/office/drawing/2008/diagram" relId="rId349" minVer="http://schemas.openxmlformats.org/drawingml/2006/diagram"/>
    </a:ext>
    <a:ext uri="{C62137D5-CB1D-491B-B009-E17868A290BF}">
      <dgm14:recolorImg xmlns:dgm14="http://schemas.microsoft.com/office/drawing/2010/diagram" val="1"/>
    </a:ext>
  </dgm:extLst>
</dgm:dataModel>
</file>

<file path=word/diagrams/data2.xml><?xml version="1.0" encoding="utf-8"?>
<dgm:dataModel xmlns:dgm="http://schemas.openxmlformats.org/drawingml/2006/diagram" xmlns:a="http://schemas.openxmlformats.org/drawingml/2006/main">
  <dgm:ptLst>
    <dgm:pt modelId="{22A71467-1D97-4209-9989-DECEF9B4311D}" type="doc">
      <dgm:prSet loTypeId="urn:microsoft.com/office/officeart/2005/8/layout/process1" loCatId="process" qsTypeId="urn:microsoft.com/office/officeart/2005/8/quickstyle/simple3" qsCatId="simple" csTypeId="urn:microsoft.com/office/officeart/2005/8/colors/accent0_1" csCatId="mainScheme" phldr="1"/>
      <dgm:spPr/>
    </dgm:pt>
    <dgm:pt modelId="{8674C558-8DF6-4103-80D5-AC626396552F}">
      <dgm:prSet phldrT="[Metin]" custT="1"/>
      <dgm:spPr/>
      <dgm:t>
        <a:bodyPr/>
        <a:lstStyle/>
        <a:p>
          <a:pPr algn="ctr"/>
          <a:r>
            <a:rPr lang="tr-TR" sz="1000">
              <a:latin typeface="Book Antiqua" panose="02040602050305030304" pitchFamily="18" charset="0"/>
            </a:rPr>
            <a:t>Bilimsel</a:t>
          </a:r>
        </a:p>
        <a:p>
          <a:pPr algn="ctr"/>
          <a:r>
            <a:rPr lang="tr-TR" sz="1000">
              <a:latin typeface="Book Antiqua" panose="02040602050305030304" pitchFamily="18" charset="0"/>
            </a:rPr>
            <a:t> Bilgi</a:t>
          </a:r>
        </a:p>
      </dgm:t>
    </dgm:pt>
    <dgm:pt modelId="{04A669A4-0797-4966-AED3-2BD5B351D388}" type="parTrans" cxnId="{08BDC925-5571-4607-B4BF-C9F3E6317B40}">
      <dgm:prSet/>
      <dgm:spPr/>
      <dgm:t>
        <a:bodyPr/>
        <a:lstStyle/>
        <a:p>
          <a:pPr algn="ctr"/>
          <a:endParaRPr lang="tr-TR" sz="1000">
            <a:latin typeface="Book Antiqua" panose="02040602050305030304" pitchFamily="18" charset="0"/>
          </a:endParaRPr>
        </a:p>
      </dgm:t>
    </dgm:pt>
    <dgm:pt modelId="{65259405-2045-4CBE-A9EC-1E2611CA4171}" type="sibTrans" cxnId="{08BDC925-5571-4607-B4BF-C9F3E6317B40}">
      <dgm:prSet custT="1">
        <dgm:style>
          <a:lnRef idx="1">
            <a:schemeClr val="dk1"/>
          </a:lnRef>
          <a:fillRef idx="2">
            <a:schemeClr val="dk1"/>
          </a:fillRef>
          <a:effectRef idx="1">
            <a:schemeClr val="dk1"/>
          </a:effectRef>
          <a:fontRef idx="minor">
            <a:schemeClr val="dk1"/>
          </a:fontRef>
        </dgm:style>
      </dgm:prSet>
      <dgm:spPr>
        <a:ln>
          <a:noFill/>
        </a:ln>
      </dgm:spPr>
      <dgm:t>
        <a:bodyPr/>
        <a:lstStyle/>
        <a:p>
          <a:pPr algn="ctr"/>
          <a:endParaRPr lang="tr-TR" sz="1000" b="1" cap="none" spc="50">
            <a:ln w="6750">
              <a:solidFill>
                <a:schemeClr val="accent1">
                  <a:shade val="2500"/>
                  <a:alpha val="6500"/>
                </a:schemeClr>
              </a:solidFill>
              <a:prstDash val="solid"/>
            </a:ln>
            <a:solidFill>
              <a:schemeClr val="accent1">
                <a:tint val="3000"/>
                <a:alpha val="95000"/>
              </a:schemeClr>
            </a:solidFill>
            <a:effectLst>
              <a:innerShdw blurRad="50900" dist="38500" dir="13500000">
                <a:srgbClr val="000000">
                  <a:alpha val="60000"/>
                </a:srgbClr>
              </a:innerShdw>
            </a:effectLst>
            <a:latin typeface="Book Antiqua" panose="02040602050305030304" pitchFamily="18" charset="0"/>
          </a:endParaRPr>
        </a:p>
      </dgm:t>
    </dgm:pt>
    <dgm:pt modelId="{CCC33426-004F-475F-AD04-EA8107284311}">
      <dgm:prSet phldrT="[Metin]" custT="1"/>
      <dgm:spPr/>
      <dgm:t>
        <a:bodyPr/>
        <a:lstStyle/>
        <a:p>
          <a:pPr algn="ctr"/>
          <a:r>
            <a:rPr lang="tr-TR" sz="1000">
              <a:latin typeface="Book Antiqua" panose="02040602050305030304" pitchFamily="18" charset="0"/>
            </a:rPr>
            <a:t>Öğretilecek </a:t>
          </a:r>
        </a:p>
        <a:p>
          <a:pPr algn="ctr"/>
          <a:r>
            <a:rPr lang="tr-TR" sz="1000">
              <a:latin typeface="Book Antiqua" panose="02040602050305030304" pitchFamily="18" charset="0"/>
            </a:rPr>
            <a:t>Bilgi</a:t>
          </a:r>
        </a:p>
      </dgm:t>
    </dgm:pt>
    <dgm:pt modelId="{1FC9AB2E-6E45-4178-870B-D02ECEB193CD}" type="parTrans" cxnId="{97FB4B69-3B23-4096-A721-2BA073D14377}">
      <dgm:prSet/>
      <dgm:spPr/>
      <dgm:t>
        <a:bodyPr/>
        <a:lstStyle/>
        <a:p>
          <a:pPr algn="ctr"/>
          <a:endParaRPr lang="tr-TR" sz="1000">
            <a:latin typeface="Book Antiqua" panose="02040602050305030304" pitchFamily="18" charset="0"/>
          </a:endParaRPr>
        </a:p>
      </dgm:t>
    </dgm:pt>
    <dgm:pt modelId="{1725AE4E-DB1E-49FE-AE88-97ABC66D1C7A}" type="sibTrans" cxnId="{97FB4B69-3B23-4096-A721-2BA073D14377}">
      <dgm:prSet custT="1">
        <dgm:style>
          <a:lnRef idx="1">
            <a:schemeClr val="dk1"/>
          </a:lnRef>
          <a:fillRef idx="2">
            <a:schemeClr val="dk1"/>
          </a:fillRef>
          <a:effectRef idx="1">
            <a:schemeClr val="dk1"/>
          </a:effectRef>
          <a:fontRef idx="minor">
            <a:schemeClr val="dk1"/>
          </a:fontRef>
        </dgm:style>
      </dgm:prSet>
      <dgm:spPr>
        <a:ln>
          <a:noFill/>
        </a:ln>
      </dgm:spPr>
      <dgm:t>
        <a:bodyPr/>
        <a:lstStyle/>
        <a:p>
          <a:pPr algn="ctr"/>
          <a:endParaRPr lang="tr-TR" sz="1000">
            <a:latin typeface="Book Antiqua" panose="02040602050305030304" pitchFamily="18" charset="0"/>
          </a:endParaRPr>
        </a:p>
      </dgm:t>
    </dgm:pt>
    <dgm:pt modelId="{DB607FAC-4FED-4AE5-A0E4-0EA19DAF26E8}">
      <dgm:prSet phldrT="[Metin]" custT="1"/>
      <dgm:spPr/>
      <dgm:t>
        <a:bodyPr/>
        <a:lstStyle/>
        <a:p>
          <a:pPr algn="ctr"/>
          <a:r>
            <a:rPr lang="tr-TR" sz="1000">
              <a:latin typeface="Book Antiqua" panose="02040602050305030304" pitchFamily="18" charset="0"/>
            </a:rPr>
            <a:t>Öğretilen</a:t>
          </a:r>
        </a:p>
        <a:p>
          <a:pPr algn="ctr"/>
          <a:r>
            <a:rPr lang="tr-TR" sz="1000">
              <a:latin typeface="Book Antiqua" panose="02040602050305030304" pitchFamily="18" charset="0"/>
            </a:rPr>
            <a:t> Bilgi</a:t>
          </a:r>
        </a:p>
      </dgm:t>
    </dgm:pt>
    <dgm:pt modelId="{109291B3-79B6-4720-B23C-52115ED52C22}" type="parTrans" cxnId="{CED76BD1-4966-491B-A8B8-92DFE0EFC69C}">
      <dgm:prSet/>
      <dgm:spPr/>
      <dgm:t>
        <a:bodyPr/>
        <a:lstStyle/>
        <a:p>
          <a:pPr algn="ctr"/>
          <a:endParaRPr lang="tr-TR" sz="1000">
            <a:latin typeface="Book Antiqua" panose="02040602050305030304" pitchFamily="18" charset="0"/>
          </a:endParaRPr>
        </a:p>
      </dgm:t>
    </dgm:pt>
    <dgm:pt modelId="{3161D36D-5C70-4E20-A6BD-D8FB5451C761}" type="sibTrans" cxnId="{CED76BD1-4966-491B-A8B8-92DFE0EFC69C}">
      <dgm:prSet/>
      <dgm:spPr/>
      <dgm:t>
        <a:bodyPr/>
        <a:lstStyle/>
        <a:p>
          <a:pPr algn="ctr"/>
          <a:endParaRPr lang="tr-TR" sz="1000">
            <a:latin typeface="Book Antiqua" panose="02040602050305030304" pitchFamily="18" charset="0"/>
          </a:endParaRPr>
        </a:p>
      </dgm:t>
    </dgm:pt>
    <dgm:pt modelId="{CCAA681F-954A-4402-AB2B-E15E8ACDB342}" type="pres">
      <dgm:prSet presAssocID="{22A71467-1D97-4209-9989-DECEF9B4311D}" presName="Name0" presStyleCnt="0">
        <dgm:presLayoutVars>
          <dgm:dir/>
          <dgm:resizeHandles val="exact"/>
        </dgm:presLayoutVars>
      </dgm:prSet>
      <dgm:spPr/>
    </dgm:pt>
    <dgm:pt modelId="{4FBC8FA2-3F90-4659-BD7D-327611C304C7}" type="pres">
      <dgm:prSet presAssocID="{8674C558-8DF6-4103-80D5-AC626396552F}" presName="node" presStyleLbl="node1" presStyleIdx="0" presStyleCnt="3">
        <dgm:presLayoutVars>
          <dgm:bulletEnabled val="1"/>
        </dgm:presLayoutVars>
      </dgm:prSet>
      <dgm:spPr/>
      <dgm:t>
        <a:bodyPr/>
        <a:lstStyle/>
        <a:p>
          <a:endParaRPr lang="tr-TR"/>
        </a:p>
      </dgm:t>
    </dgm:pt>
    <dgm:pt modelId="{368C022A-EC62-474A-B4B3-3355B26FD6CD}" type="pres">
      <dgm:prSet presAssocID="{65259405-2045-4CBE-A9EC-1E2611CA4171}" presName="sibTrans" presStyleLbl="sibTrans2D1" presStyleIdx="0" presStyleCnt="2" custScaleX="162796" custScaleY="101300"/>
      <dgm:spPr/>
      <dgm:t>
        <a:bodyPr/>
        <a:lstStyle/>
        <a:p>
          <a:endParaRPr lang="tr-TR"/>
        </a:p>
      </dgm:t>
    </dgm:pt>
    <dgm:pt modelId="{1D07F6BC-C02B-4691-BAFA-42F2E48D45E8}" type="pres">
      <dgm:prSet presAssocID="{65259405-2045-4CBE-A9EC-1E2611CA4171}" presName="connectorText" presStyleLbl="sibTrans2D1" presStyleIdx="0" presStyleCnt="2"/>
      <dgm:spPr/>
      <dgm:t>
        <a:bodyPr/>
        <a:lstStyle/>
        <a:p>
          <a:endParaRPr lang="tr-TR"/>
        </a:p>
      </dgm:t>
    </dgm:pt>
    <dgm:pt modelId="{EFAB09F9-C837-4FC2-BBB7-8F1DDD343562}" type="pres">
      <dgm:prSet presAssocID="{CCC33426-004F-475F-AD04-EA8107284311}" presName="node" presStyleLbl="node1" presStyleIdx="1" presStyleCnt="3">
        <dgm:presLayoutVars>
          <dgm:bulletEnabled val="1"/>
        </dgm:presLayoutVars>
      </dgm:prSet>
      <dgm:spPr/>
      <dgm:t>
        <a:bodyPr/>
        <a:lstStyle/>
        <a:p>
          <a:endParaRPr lang="tr-TR"/>
        </a:p>
      </dgm:t>
    </dgm:pt>
    <dgm:pt modelId="{6033E1C9-2CF8-4445-996C-45281D9EA5DB}" type="pres">
      <dgm:prSet presAssocID="{1725AE4E-DB1E-49FE-AE88-97ABC66D1C7A}" presName="sibTrans" presStyleLbl="sibTrans2D1" presStyleIdx="1" presStyleCnt="2" custScaleX="163086" custScaleY="109194"/>
      <dgm:spPr/>
      <dgm:t>
        <a:bodyPr/>
        <a:lstStyle/>
        <a:p>
          <a:endParaRPr lang="tr-TR"/>
        </a:p>
      </dgm:t>
    </dgm:pt>
    <dgm:pt modelId="{4AAFF1B2-F691-41B3-A6C7-43CC123EA604}" type="pres">
      <dgm:prSet presAssocID="{1725AE4E-DB1E-49FE-AE88-97ABC66D1C7A}" presName="connectorText" presStyleLbl="sibTrans2D1" presStyleIdx="1" presStyleCnt="2"/>
      <dgm:spPr/>
      <dgm:t>
        <a:bodyPr/>
        <a:lstStyle/>
        <a:p>
          <a:endParaRPr lang="tr-TR"/>
        </a:p>
      </dgm:t>
    </dgm:pt>
    <dgm:pt modelId="{52F44BB0-464A-4561-960C-4CADC64EFB41}" type="pres">
      <dgm:prSet presAssocID="{DB607FAC-4FED-4AE5-A0E4-0EA19DAF26E8}" presName="node" presStyleLbl="node1" presStyleIdx="2" presStyleCnt="3" custLinFactNeighborX="72173" custLinFactNeighborY="11475">
        <dgm:presLayoutVars>
          <dgm:bulletEnabled val="1"/>
        </dgm:presLayoutVars>
      </dgm:prSet>
      <dgm:spPr/>
      <dgm:t>
        <a:bodyPr/>
        <a:lstStyle/>
        <a:p>
          <a:endParaRPr lang="tr-TR"/>
        </a:p>
      </dgm:t>
    </dgm:pt>
  </dgm:ptLst>
  <dgm:cxnLst>
    <dgm:cxn modelId="{2C5C0492-AE09-47E9-8E5D-B9E57B705E0F}" type="presOf" srcId="{1725AE4E-DB1E-49FE-AE88-97ABC66D1C7A}" destId="{4AAFF1B2-F691-41B3-A6C7-43CC123EA604}" srcOrd="1" destOrd="0" presId="urn:microsoft.com/office/officeart/2005/8/layout/process1"/>
    <dgm:cxn modelId="{286777ED-92FF-424E-9D8A-B1593F842B48}" type="presOf" srcId="{22A71467-1D97-4209-9989-DECEF9B4311D}" destId="{CCAA681F-954A-4402-AB2B-E15E8ACDB342}" srcOrd="0" destOrd="0" presId="urn:microsoft.com/office/officeart/2005/8/layout/process1"/>
    <dgm:cxn modelId="{08BDC925-5571-4607-B4BF-C9F3E6317B40}" srcId="{22A71467-1D97-4209-9989-DECEF9B4311D}" destId="{8674C558-8DF6-4103-80D5-AC626396552F}" srcOrd="0" destOrd="0" parTransId="{04A669A4-0797-4966-AED3-2BD5B351D388}" sibTransId="{65259405-2045-4CBE-A9EC-1E2611CA4171}"/>
    <dgm:cxn modelId="{CED76BD1-4966-491B-A8B8-92DFE0EFC69C}" srcId="{22A71467-1D97-4209-9989-DECEF9B4311D}" destId="{DB607FAC-4FED-4AE5-A0E4-0EA19DAF26E8}" srcOrd="2" destOrd="0" parTransId="{109291B3-79B6-4720-B23C-52115ED52C22}" sibTransId="{3161D36D-5C70-4E20-A6BD-D8FB5451C761}"/>
    <dgm:cxn modelId="{97FB4B69-3B23-4096-A721-2BA073D14377}" srcId="{22A71467-1D97-4209-9989-DECEF9B4311D}" destId="{CCC33426-004F-475F-AD04-EA8107284311}" srcOrd="1" destOrd="0" parTransId="{1FC9AB2E-6E45-4178-870B-D02ECEB193CD}" sibTransId="{1725AE4E-DB1E-49FE-AE88-97ABC66D1C7A}"/>
    <dgm:cxn modelId="{8A996772-DD69-4F7B-BCFA-B52F80B68827}" type="presOf" srcId="{CCC33426-004F-475F-AD04-EA8107284311}" destId="{EFAB09F9-C837-4FC2-BBB7-8F1DDD343562}" srcOrd="0" destOrd="0" presId="urn:microsoft.com/office/officeart/2005/8/layout/process1"/>
    <dgm:cxn modelId="{48B27EE5-22B5-41B0-ACF9-A82B4AFCE228}" type="presOf" srcId="{65259405-2045-4CBE-A9EC-1E2611CA4171}" destId="{1D07F6BC-C02B-4691-BAFA-42F2E48D45E8}" srcOrd="1" destOrd="0" presId="urn:microsoft.com/office/officeart/2005/8/layout/process1"/>
    <dgm:cxn modelId="{8ADAB6BE-10A6-4811-8CD3-882613CEDC42}" type="presOf" srcId="{DB607FAC-4FED-4AE5-A0E4-0EA19DAF26E8}" destId="{52F44BB0-464A-4561-960C-4CADC64EFB41}" srcOrd="0" destOrd="0" presId="urn:microsoft.com/office/officeart/2005/8/layout/process1"/>
    <dgm:cxn modelId="{8575610D-DC8D-4913-A45A-9498E70EC2D2}" type="presOf" srcId="{1725AE4E-DB1E-49FE-AE88-97ABC66D1C7A}" destId="{6033E1C9-2CF8-4445-996C-45281D9EA5DB}" srcOrd="0" destOrd="0" presId="urn:microsoft.com/office/officeart/2005/8/layout/process1"/>
    <dgm:cxn modelId="{4009F5FC-7BC6-45E5-8BE5-A768588E62F7}" type="presOf" srcId="{65259405-2045-4CBE-A9EC-1E2611CA4171}" destId="{368C022A-EC62-474A-B4B3-3355B26FD6CD}" srcOrd="0" destOrd="0" presId="urn:microsoft.com/office/officeart/2005/8/layout/process1"/>
    <dgm:cxn modelId="{F199A6D5-CDD2-4B37-95E6-B41846270B35}" type="presOf" srcId="{8674C558-8DF6-4103-80D5-AC626396552F}" destId="{4FBC8FA2-3F90-4659-BD7D-327611C304C7}" srcOrd="0" destOrd="0" presId="urn:microsoft.com/office/officeart/2005/8/layout/process1"/>
    <dgm:cxn modelId="{8593101F-16EB-4D7E-9344-789D711985AD}" type="presParOf" srcId="{CCAA681F-954A-4402-AB2B-E15E8ACDB342}" destId="{4FBC8FA2-3F90-4659-BD7D-327611C304C7}" srcOrd="0" destOrd="0" presId="urn:microsoft.com/office/officeart/2005/8/layout/process1"/>
    <dgm:cxn modelId="{79BA7B34-7DF9-44E0-82E9-4E0098B6ECB0}" type="presParOf" srcId="{CCAA681F-954A-4402-AB2B-E15E8ACDB342}" destId="{368C022A-EC62-474A-B4B3-3355B26FD6CD}" srcOrd="1" destOrd="0" presId="urn:microsoft.com/office/officeart/2005/8/layout/process1"/>
    <dgm:cxn modelId="{3BC07286-C545-42E9-B3C4-928D2437B0FB}" type="presParOf" srcId="{368C022A-EC62-474A-B4B3-3355B26FD6CD}" destId="{1D07F6BC-C02B-4691-BAFA-42F2E48D45E8}" srcOrd="0" destOrd="0" presId="urn:microsoft.com/office/officeart/2005/8/layout/process1"/>
    <dgm:cxn modelId="{314F0468-22E6-40AA-BA2C-BFB1E240F623}" type="presParOf" srcId="{CCAA681F-954A-4402-AB2B-E15E8ACDB342}" destId="{EFAB09F9-C837-4FC2-BBB7-8F1DDD343562}" srcOrd="2" destOrd="0" presId="urn:microsoft.com/office/officeart/2005/8/layout/process1"/>
    <dgm:cxn modelId="{BBAA89D6-F197-4EC5-85D4-13C9209528D3}" type="presParOf" srcId="{CCAA681F-954A-4402-AB2B-E15E8ACDB342}" destId="{6033E1C9-2CF8-4445-996C-45281D9EA5DB}" srcOrd="3" destOrd="0" presId="urn:microsoft.com/office/officeart/2005/8/layout/process1"/>
    <dgm:cxn modelId="{07E05900-454F-4404-96EC-72391D472017}" type="presParOf" srcId="{6033E1C9-2CF8-4445-996C-45281D9EA5DB}" destId="{4AAFF1B2-F691-41B3-A6C7-43CC123EA604}" srcOrd="0" destOrd="0" presId="urn:microsoft.com/office/officeart/2005/8/layout/process1"/>
    <dgm:cxn modelId="{83CFC699-CBC4-4F68-A13C-53BEB71ED24E}" type="presParOf" srcId="{CCAA681F-954A-4402-AB2B-E15E8ACDB342}" destId="{52F44BB0-464A-4561-960C-4CADC64EFB41}" srcOrd="4" destOrd="0" presId="urn:microsoft.com/office/officeart/2005/8/layout/process1"/>
  </dgm:cxnLst>
  <dgm:bg/>
  <dgm:whole/>
  <dgm:extLst>
    <a:ext uri="http://schemas.microsoft.com/office/drawing/2008/diagram">
      <dsp:dataModelExt xmlns:dsp="http://schemas.microsoft.com/office/drawing/2008/diagram" relId="rId354" minVer="http://schemas.openxmlformats.org/drawingml/2006/diagram"/>
    </a:ext>
    <a:ext uri="{C62137D5-CB1D-491B-B009-E17868A290BF}">
      <dgm14:recolorImg xmlns:dgm14="http://schemas.microsoft.com/office/drawing/2010/diagram" val="1"/>
    </a:ext>
  </dgm:extLst>
</dgm:dataModel>
</file>

<file path=word/diagrams/data3.xml><?xml version="1.0" encoding="utf-8"?>
<dgm:dataModel xmlns:dgm="http://schemas.openxmlformats.org/drawingml/2006/diagram" xmlns:a="http://schemas.openxmlformats.org/drawingml/2006/main">
  <dgm:ptLst>
    <dgm:pt modelId="{8C04264C-DB1B-4770-8B29-8214F4FA6791}" type="doc">
      <dgm:prSet loTypeId="urn:microsoft.com/office/officeart/2008/layout/RadialCluster" loCatId="relationship" qsTypeId="urn:microsoft.com/office/officeart/2005/8/quickstyle/simple1" qsCatId="simple" csTypeId="urn:microsoft.com/office/officeart/2005/8/colors/accent0_1" csCatId="mainScheme" phldr="1"/>
      <dgm:spPr/>
      <dgm:t>
        <a:bodyPr/>
        <a:lstStyle/>
        <a:p>
          <a:endParaRPr lang="tr-TR"/>
        </a:p>
      </dgm:t>
    </dgm:pt>
    <dgm:pt modelId="{79336E4A-99CC-4C11-9A58-9F774052A3C4}">
      <dgm:prSet phldrT="[Metin]" custT="1"/>
      <dgm:spPr/>
      <dgm:t>
        <a:bodyPr/>
        <a:lstStyle/>
        <a:p>
          <a:r>
            <a:rPr lang="tr-TR" sz="800">
              <a:latin typeface="Times New Roman" pitchFamily="18" charset="0"/>
              <a:cs typeface="Times New Roman" pitchFamily="18" charset="0"/>
            </a:rPr>
            <a:t>Yönetici Kaygı</a:t>
          </a:r>
        </a:p>
      </dgm:t>
    </dgm:pt>
    <dgm:pt modelId="{B850D4B6-00AD-4439-A1F8-5999857E12CE}" type="parTrans" cxnId="{AA815A56-3E18-4474-BB0C-2034F3D2F513}">
      <dgm:prSet/>
      <dgm:spPr/>
      <dgm:t>
        <a:bodyPr/>
        <a:lstStyle/>
        <a:p>
          <a:endParaRPr lang="tr-TR" sz="800">
            <a:latin typeface="Times New Roman" pitchFamily="18" charset="0"/>
            <a:cs typeface="Times New Roman" pitchFamily="18" charset="0"/>
          </a:endParaRPr>
        </a:p>
      </dgm:t>
    </dgm:pt>
    <dgm:pt modelId="{1B7105F3-73D8-4443-87D6-F41AEEAFD257}" type="sibTrans" cxnId="{AA815A56-3E18-4474-BB0C-2034F3D2F513}">
      <dgm:prSet/>
      <dgm:spPr/>
      <dgm:t>
        <a:bodyPr/>
        <a:lstStyle/>
        <a:p>
          <a:endParaRPr lang="tr-TR" sz="800">
            <a:latin typeface="Times New Roman" pitchFamily="18" charset="0"/>
            <a:cs typeface="Times New Roman" pitchFamily="18" charset="0"/>
          </a:endParaRPr>
        </a:p>
      </dgm:t>
    </dgm:pt>
    <dgm:pt modelId="{64837611-029E-40DE-9FF9-070FCA465F29}">
      <dgm:prSet phldrT="[Metin]" custT="1"/>
      <dgm:spPr/>
      <dgm:t>
        <a:bodyPr/>
        <a:lstStyle/>
        <a:p>
          <a:r>
            <a:rPr lang="tr-TR" sz="800">
              <a:latin typeface="Times New Roman" pitchFamily="18" charset="0"/>
              <a:cs typeface="Times New Roman" pitchFamily="18" charset="0"/>
            </a:rPr>
            <a:t>kişisel</a:t>
          </a:r>
        </a:p>
      </dgm:t>
    </dgm:pt>
    <dgm:pt modelId="{9F9F4FD9-8589-4E59-A2A4-8FF2BD5046CF}" type="parTrans" cxnId="{97FB19CA-60A9-4750-A2A6-89EE4B04D610}">
      <dgm:prSet/>
      <dgm:spPr/>
      <dgm:t>
        <a:bodyPr/>
        <a:lstStyle/>
        <a:p>
          <a:endParaRPr lang="tr-TR" sz="800">
            <a:latin typeface="Times New Roman" pitchFamily="18" charset="0"/>
            <a:cs typeface="Times New Roman" pitchFamily="18" charset="0"/>
          </a:endParaRPr>
        </a:p>
      </dgm:t>
    </dgm:pt>
    <dgm:pt modelId="{E9B3D377-9BFF-4A55-81FB-EB2F95F28BE4}" type="sibTrans" cxnId="{97FB19CA-60A9-4750-A2A6-89EE4B04D610}">
      <dgm:prSet/>
      <dgm:spPr/>
      <dgm:t>
        <a:bodyPr/>
        <a:lstStyle/>
        <a:p>
          <a:endParaRPr lang="tr-TR" sz="800">
            <a:latin typeface="Times New Roman" pitchFamily="18" charset="0"/>
            <a:cs typeface="Times New Roman" pitchFamily="18" charset="0"/>
          </a:endParaRPr>
        </a:p>
      </dgm:t>
    </dgm:pt>
    <dgm:pt modelId="{F0BC6179-0168-4D0A-91A3-29894DB84D43}">
      <dgm:prSet phldrT="[Metin]" custT="1"/>
      <dgm:spPr/>
      <dgm:t>
        <a:bodyPr/>
        <a:lstStyle/>
        <a:p>
          <a:r>
            <a:rPr lang="tr-TR" sz="800">
              <a:latin typeface="Times New Roman" pitchFamily="18" charset="0"/>
              <a:cs typeface="Times New Roman" pitchFamily="18" charset="0"/>
            </a:rPr>
            <a:t>çevresel</a:t>
          </a:r>
        </a:p>
      </dgm:t>
    </dgm:pt>
    <dgm:pt modelId="{FBFCBD3B-DF4E-4AD4-9630-404525527E17}" type="parTrans" cxnId="{8A582880-B02D-447F-9C8B-F698B99E10EE}">
      <dgm:prSet/>
      <dgm:spPr/>
      <dgm:t>
        <a:bodyPr/>
        <a:lstStyle/>
        <a:p>
          <a:endParaRPr lang="tr-TR" sz="800">
            <a:latin typeface="Times New Roman" pitchFamily="18" charset="0"/>
            <a:cs typeface="Times New Roman" pitchFamily="18" charset="0"/>
          </a:endParaRPr>
        </a:p>
      </dgm:t>
    </dgm:pt>
    <dgm:pt modelId="{0B134EE7-7BF3-408B-898F-97A14B78B60F}" type="sibTrans" cxnId="{8A582880-B02D-447F-9C8B-F698B99E10EE}">
      <dgm:prSet/>
      <dgm:spPr/>
      <dgm:t>
        <a:bodyPr/>
        <a:lstStyle/>
        <a:p>
          <a:endParaRPr lang="tr-TR" sz="800">
            <a:latin typeface="Times New Roman" pitchFamily="18" charset="0"/>
            <a:cs typeface="Times New Roman" pitchFamily="18" charset="0"/>
          </a:endParaRPr>
        </a:p>
      </dgm:t>
    </dgm:pt>
    <dgm:pt modelId="{AB996C31-EA6A-4428-B806-970D7629DF9C}">
      <dgm:prSet phldrT="[Metin]" custT="1"/>
      <dgm:spPr/>
      <dgm:t>
        <a:bodyPr/>
        <a:lstStyle/>
        <a:p>
          <a:r>
            <a:rPr lang="tr-TR" sz="800">
              <a:latin typeface="Times New Roman" pitchFamily="18" charset="0"/>
              <a:cs typeface="Times New Roman" pitchFamily="18" charset="0"/>
            </a:rPr>
            <a:t>örgütsel </a:t>
          </a:r>
        </a:p>
      </dgm:t>
    </dgm:pt>
    <dgm:pt modelId="{10290745-A50F-476D-83C7-49143EDF27D1}" type="parTrans" cxnId="{E65B641B-595B-44D8-B7F6-5D7D262EA09D}">
      <dgm:prSet/>
      <dgm:spPr/>
      <dgm:t>
        <a:bodyPr/>
        <a:lstStyle/>
        <a:p>
          <a:endParaRPr lang="tr-TR" sz="800">
            <a:latin typeface="Times New Roman" pitchFamily="18" charset="0"/>
            <a:cs typeface="Times New Roman" pitchFamily="18" charset="0"/>
          </a:endParaRPr>
        </a:p>
      </dgm:t>
    </dgm:pt>
    <dgm:pt modelId="{54038121-FD33-4E26-A81D-F0B08D9C1CE0}" type="sibTrans" cxnId="{E65B641B-595B-44D8-B7F6-5D7D262EA09D}">
      <dgm:prSet/>
      <dgm:spPr/>
      <dgm:t>
        <a:bodyPr/>
        <a:lstStyle/>
        <a:p>
          <a:endParaRPr lang="tr-TR" sz="800">
            <a:latin typeface="Times New Roman" pitchFamily="18" charset="0"/>
            <a:cs typeface="Times New Roman" pitchFamily="18" charset="0"/>
          </a:endParaRPr>
        </a:p>
      </dgm:t>
    </dgm:pt>
    <dgm:pt modelId="{B894848C-05C1-4C9F-85EE-9F1069F121F8}">
      <dgm:prSet phldrT="[Metin]" custT="1"/>
      <dgm:spPr/>
      <dgm:t>
        <a:bodyPr/>
        <a:lstStyle/>
        <a:p>
          <a:r>
            <a:rPr lang="tr-TR" sz="800">
              <a:latin typeface="Times New Roman" pitchFamily="18" charset="0"/>
              <a:cs typeface="Times New Roman" pitchFamily="18" charset="0"/>
            </a:rPr>
            <a:t>aile</a:t>
          </a:r>
        </a:p>
      </dgm:t>
    </dgm:pt>
    <dgm:pt modelId="{A28D59F8-C61A-46B7-9219-324F6AB4D5F5}" type="parTrans" cxnId="{C8A85890-7100-4F90-9A77-E3A234520DF7}">
      <dgm:prSet/>
      <dgm:spPr/>
      <dgm:t>
        <a:bodyPr/>
        <a:lstStyle/>
        <a:p>
          <a:endParaRPr lang="tr-TR" sz="800">
            <a:latin typeface="Times New Roman" pitchFamily="18" charset="0"/>
            <a:cs typeface="Times New Roman" pitchFamily="18" charset="0"/>
          </a:endParaRPr>
        </a:p>
      </dgm:t>
    </dgm:pt>
    <dgm:pt modelId="{6A9E96A6-A6BE-4348-9814-E9762F0CD3FE}" type="sibTrans" cxnId="{C8A85890-7100-4F90-9A77-E3A234520DF7}">
      <dgm:prSet/>
      <dgm:spPr/>
      <dgm:t>
        <a:bodyPr/>
        <a:lstStyle/>
        <a:p>
          <a:endParaRPr lang="tr-TR" sz="800">
            <a:latin typeface="Times New Roman" pitchFamily="18" charset="0"/>
            <a:cs typeface="Times New Roman" pitchFamily="18" charset="0"/>
          </a:endParaRPr>
        </a:p>
      </dgm:t>
    </dgm:pt>
    <dgm:pt modelId="{D3CB8589-CB94-4782-9BB4-016BCD0B1F49}">
      <dgm:prSet phldrT="[Metin]" custT="1"/>
      <dgm:spPr/>
      <dgm:t>
        <a:bodyPr/>
        <a:lstStyle/>
        <a:p>
          <a:r>
            <a:rPr lang="tr-TR" sz="800">
              <a:latin typeface="Times New Roman" pitchFamily="18" charset="0"/>
              <a:cs typeface="Times New Roman" pitchFamily="18" charset="0"/>
            </a:rPr>
            <a:t>veli</a:t>
          </a:r>
        </a:p>
      </dgm:t>
    </dgm:pt>
    <dgm:pt modelId="{5D3DB93F-F748-4E9A-9E48-DB09A14E3BCE}" type="parTrans" cxnId="{ACD3D267-E1C9-4A7E-B221-32CD8310123B}">
      <dgm:prSet/>
      <dgm:spPr/>
      <dgm:t>
        <a:bodyPr/>
        <a:lstStyle/>
        <a:p>
          <a:endParaRPr lang="tr-TR" sz="800">
            <a:latin typeface="Times New Roman" pitchFamily="18" charset="0"/>
            <a:cs typeface="Times New Roman" pitchFamily="18" charset="0"/>
          </a:endParaRPr>
        </a:p>
      </dgm:t>
    </dgm:pt>
    <dgm:pt modelId="{E6B20B60-08D4-4F1A-AB13-257F00F97D90}" type="sibTrans" cxnId="{ACD3D267-E1C9-4A7E-B221-32CD8310123B}">
      <dgm:prSet/>
      <dgm:spPr/>
      <dgm:t>
        <a:bodyPr/>
        <a:lstStyle/>
        <a:p>
          <a:endParaRPr lang="tr-TR" sz="800">
            <a:latin typeface="Times New Roman" pitchFamily="18" charset="0"/>
            <a:cs typeface="Times New Roman" pitchFamily="18" charset="0"/>
          </a:endParaRPr>
        </a:p>
      </dgm:t>
    </dgm:pt>
    <dgm:pt modelId="{C1EC0C6F-171A-4212-A8EF-D85D531F05D0}">
      <dgm:prSet phldrT="[Metin]" custT="1"/>
      <dgm:spPr/>
      <dgm:t>
        <a:bodyPr/>
        <a:lstStyle/>
        <a:p>
          <a:r>
            <a:rPr lang="tr-TR" sz="800">
              <a:latin typeface="Times New Roman" pitchFamily="18" charset="0"/>
              <a:cs typeface="Times New Roman" pitchFamily="18" charset="0"/>
            </a:rPr>
            <a:t>zaman</a:t>
          </a:r>
        </a:p>
      </dgm:t>
    </dgm:pt>
    <dgm:pt modelId="{82A803F1-3BAC-4D0D-8C68-E78BA9CF1BF1}" type="parTrans" cxnId="{51F7A438-301F-43B1-BE65-8069D46BB6E5}">
      <dgm:prSet/>
      <dgm:spPr/>
      <dgm:t>
        <a:bodyPr/>
        <a:lstStyle/>
        <a:p>
          <a:endParaRPr lang="tr-TR" sz="800">
            <a:latin typeface="Times New Roman" pitchFamily="18" charset="0"/>
            <a:cs typeface="Times New Roman" pitchFamily="18" charset="0"/>
          </a:endParaRPr>
        </a:p>
      </dgm:t>
    </dgm:pt>
    <dgm:pt modelId="{836C6491-9BEA-4678-89EA-BBC994BD75F2}" type="sibTrans" cxnId="{51F7A438-301F-43B1-BE65-8069D46BB6E5}">
      <dgm:prSet/>
      <dgm:spPr/>
      <dgm:t>
        <a:bodyPr/>
        <a:lstStyle/>
        <a:p>
          <a:endParaRPr lang="tr-TR" sz="800">
            <a:latin typeface="Times New Roman" pitchFamily="18" charset="0"/>
            <a:cs typeface="Times New Roman" pitchFamily="18" charset="0"/>
          </a:endParaRPr>
        </a:p>
      </dgm:t>
    </dgm:pt>
    <dgm:pt modelId="{37FD1217-FC26-4E8B-BD8A-2E0549A91FCC}">
      <dgm:prSet phldrT="[Metin]" custT="1"/>
      <dgm:spPr/>
      <dgm:t>
        <a:bodyPr/>
        <a:lstStyle/>
        <a:p>
          <a:r>
            <a:rPr lang="tr-TR" sz="800">
              <a:latin typeface="Times New Roman" pitchFamily="18" charset="0"/>
              <a:cs typeface="Times New Roman" pitchFamily="18" charset="0"/>
            </a:rPr>
            <a:t>sağlık</a:t>
          </a:r>
        </a:p>
      </dgm:t>
    </dgm:pt>
    <dgm:pt modelId="{3FDC8143-CE6D-44A9-858C-6E6A78B230CB}" type="parTrans" cxnId="{421F94BF-38BF-4AB3-A0D6-FD8DB93225F6}">
      <dgm:prSet/>
      <dgm:spPr/>
      <dgm:t>
        <a:bodyPr/>
        <a:lstStyle/>
        <a:p>
          <a:endParaRPr lang="tr-TR" sz="800">
            <a:latin typeface="Times New Roman" pitchFamily="18" charset="0"/>
            <a:cs typeface="Times New Roman" pitchFamily="18" charset="0"/>
          </a:endParaRPr>
        </a:p>
      </dgm:t>
    </dgm:pt>
    <dgm:pt modelId="{82494D18-DD44-44F8-9419-E8225C183D96}" type="sibTrans" cxnId="{421F94BF-38BF-4AB3-A0D6-FD8DB93225F6}">
      <dgm:prSet/>
      <dgm:spPr/>
      <dgm:t>
        <a:bodyPr/>
        <a:lstStyle/>
        <a:p>
          <a:endParaRPr lang="tr-TR" sz="800">
            <a:latin typeface="Times New Roman" pitchFamily="18" charset="0"/>
            <a:cs typeface="Times New Roman" pitchFamily="18" charset="0"/>
          </a:endParaRPr>
        </a:p>
      </dgm:t>
    </dgm:pt>
    <dgm:pt modelId="{21539A11-B12D-468A-9A02-339FFB133E19}">
      <dgm:prSet phldrT="[Metin]" custT="1"/>
      <dgm:spPr/>
      <dgm:t>
        <a:bodyPr/>
        <a:lstStyle/>
        <a:p>
          <a:r>
            <a:rPr lang="tr-TR" sz="800">
              <a:latin typeface="Times New Roman" pitchFamily="18" charset="0"/>
              <a:cs typeface="Times New Roman" pitchFamily="18" charset="0"/>
            </a:rPr>
            <a:t>öğrenci</a:t>
          </a:r>
        </a:p>
      </dgm:t>
    </dgm:pt>
    <dgm:pt modelId="{A404D675-E2FA-4B40-BFEC-87119C13B91F}" type="parTrans" cxnId="{755170DA-BA0F-4A6C-8BDD-0643D07156CD}">
      <dgm:prSet/>
      <dgm:spPr/>
      <dgm:t>
        <a:bodyPr/>
        <a:lstStyle/>
        <a:p>
          <a:endParaRPr lang="tr-TR" sz="800">
            <a:latin typeface="Times New Roman" pitchFamily="18" charset="0"/>
            <a:cs typeface="Times New Roman" pitchFamily="18" charset="0"/>
          </a:endParaRPr>
        </a:p>
      </dgm:t>
    </dgm:pt>
    <dgm:pt modelId="{A1CA13DB-E329-417E-A8E7-DD841AD67617}" type="sibTrans" cxnId="{755170DA-BA0F-4A6C-8BDD-0643D07156CD}">
      <dgm:prSet/>
      <dgm:spPr/>
      <dgm:t>
        <a:bodyPr/>
        <a:lstStyle/>
        <a:p>
          <a:endParaRPr lang="tr-TR" sz="800">
            <a:latin typeface="Times New Roman" pitchFamily="18" charset="0"/>
            <a:cs typeface="Times New Roman" pitchFamily="18" charset="0"/>
          </a:endParaRPr>
        </a:p>
      </dgm:t>
    </dgm:pt>
    <dgm:pt modelId="{923A09C8-82BB-4C3B-AFD3-F7342671437C}">
      <dgm:prSet phldrT="[Metin]" custT="1"/>
      <dgm:spPr/>
      <dgm:t>
        <a:bodyPr/>
        <a:lstStyle/>
        <a:p>
          <a:pPr algn="ctr"/>
          <a:r>
            <a:rPr lang="tr-TR" sz="800">
              <a:latin typeface="Times New Roman" pitchFamily="18" charset="0"/>
              <a:cs typeface="Times New Roman" pitchFamily="18" charset="0"/>
            </a:rPr>
            <a:t>Bürokrasi</a:t>
          </a:r>
        </a:p>
      </dgm:t>
    </dgm:pt>
    <dgm:pt modelId="{33F5F133-DA74-443F-9F04-5D3445D9C93F}" type="parTrans" cxnId="{34937AE7-08B0-4346-ABC1-54DF6CE87725}">
      <dgm:prSet/>
      <dgm:spPr/>
      <dgm:t>
        <a:bodyPr/>
        <a:lstStyle/>
        <a:p>
          <a:endParaRPr lang="tr-TR"/>
        </a:p>
      </dgm:t>
    </dgm:pt>
    <dgm:pt modelId="{63CAE4A2-A6EC-4A8A-8D99-8416412D6C1C}" type="sibTrans" cxnId="{34937AE7-08B0-4346-ABC1-54DF6CE87725}">
      <dgm:prSet/>
      <dgm:spPr/>
      <dgm:t>
        <a:bodyPr/>
        <a:lstStyle/>
        <a:p>
          <a:endParaRPr lang="tr-TR"/>
        </a:p>
      </dgm:t>
    </dgm:pt>
    <dgm:pt modelId="{6A068DA6-B9BC-4145-A3F3-E46D04C6C1DE}">
      <dgm:prSet phldrT="[Metin]" custT="1"/>
      <dgm:spPr/>
      <dgm:t>
        <a:bodyPr/>
        <a:lstStyle/>
        <a:p>
          <a:pPr algn="ctr"/>
          <a:r>
            <a:rPr lang="tr-TR" sz="800">
              <a:latin typeface="Times New Roman" pitchFamily="18" charset="0"/>
              <a:cs typeface="Times New Roman" pitchFamily="18" charset="0"/>
            </a:rPr>
            <a:t>Yönetim</a:t>
          </a:r>
        </a:p>
      </dgm:t>
    </dgm:pt>
    <dgm:pt modelId="{B5912C80-1492-4674-85BA-8141CF2143F7}" type="parTrans" cxnId="{3E0D8EC1-FAD4-49FA-A169-46F195EE96CD}">
      <dgm:prSet/>
      <dgm:spPr/>
      <dgm:t>
        <a:bodyPr/>
        <a:lstStyle/>
        <a:p>
          <a:endParaRPr lang="tr-TR"/>
        </a:p>
      </dgm:t>
    </dgm:pt>
    <dgm:pt modelId="{9D641F64-9EA0-432C-9FC8-604BEB9DF702}" type="sibTrans" cxnId="{3E0D8EC1-FAD4-49FA-A169-46F195EE96CD}">
      <dgm:prSet/>
      <dgm:spPr/>
      <dgm:t>
        <a:bodyPr/>
        <a:lstStyle/>
        <a:p>
          <a:endParaRPr lang="tr-TR"/>
        </a:p>
      </dgm:t>
    </dgm:pt>
    <dgm:pt modelId="{7659DF64-979A-42B0-90E1-ED002A1D7AA5}">
      <dgm:prSet phldrT="[Metin]" custT="1"/>
      <dgm:spPr/>
      <dgm:t>
        <a:bodyPr/>
        <a:lstStyle/>
        <a:p>
          <a:pPr algn="l"/>
          <a:endParaRPr lang="tr-TR" sz="800">
            <a:latin typeface="Times New Roman" pitchFamily="18" charset="0"/>
            <a:cs typeface="Times New Roman" pitchFamily="18" charset="0"/>
          </a:endParaRPr>
        </a:p>
      </dgm:t>
    </dgm:pt>
    <dgm:pt modelId="{F02CC9CC-500E-406A-9BC1-6EFF21FA0E73}" type="sibTrans" cxnId="{DF02C368-8835-425E-9353-42FDD32350F0}">
      <dgm:prSet/>
      <dgm:spPr/>
      <dgm:t>
        <a:bodyPr/>
        <a:lstStyle/>
        <a:p>
          <a:endParaRPr lang="tr-TR"/>
        </a:p>
      </dgm:t>
    </dgm:pt>
    <dgm:pt modelId="{292EC9AE-F1AA-413D-A8A5-ECAD08ACDE0F}" type="parTrans" cxnId="{DF02C368-8835-425E-9353-42FDD32350F0}">
      <dgm:prSet/>
      <dgm:spPr/>
      <dgm:t>
        <a:bodyPr/>
        <a:lstStyle/>
        <a:p>
          <a:endParaRPr lang="tr-TR"/>
        </a:p>
      </dgm:t>
    </dgm:pt>
    <dgm:pt modelId="{6C2D5ECC-7123-4C2A-8BD9-DF40EB30EB83}">
      <dgm:prSet phldrT="[Metin]" custT="1"/>
      <dgm:spPr/>
      <dgm:t>
        <a:bodyPr/>
        <a:lstStyle/>
        <a:p>
          <a:r>
            <a:rPr lang="tr-TR" sz="800">
              <a:latin typeface="Times New Roman" pitchFamily="18" charset="0"/>
              <a:cs typeface="Times New Roman" pitchFamily="18" charset="0"/>
            </a:rPr>
            <a:t>belirsizlik</a:t>
          </a:r>
        </a:p>
      </dgm:t>
    </dgm:pt>
    <dgm:pt modelId="{344189C6-4976-46C9-AA35-3B1962BA2386}" type="parTrans" cxnId="{EBA3F60C-F143-4166-8BF2-592F50E06804}">
      <dgm:prSet/>
      <dgm:spPr/>
      <dgm:t>
        <a:bodyPr/>
        <a:lstStyle/>
        <a:p>
          <a:endParaRPr lang="tr-TR"/>
        </a:p>
      </dgm:t>
    </dgm:pt>
    <dgm:pt modelId="{ACAADBF3-E9E7-4A38-84FE-A98E7A9324BE}" type="sibTrans" cxnId="{EBA3F60C-F143-4166-8BF2-592F50E06804}">
      <dgm:prSet/>
      <dgm:spPr/>
      <dgm:t>
        <a:bodyPr/>
        <a:lstStyle/>
        <a:p>
          <a:endParaRPr lang="tr-TR"/>
        </a:p>
      </dgm:t>
    </dgm:pt>
    <dgm:pt modelId="{017EC5A5-E5AB-4C2C-9AE2-6ABDF79A57B0}">
      <dgm:prSet phldrT="[Metin]" custT="1"/>
      <dgm:spPr/>
      <dgm:t>
        <a:bodyPr/>
        <a:lstStyle/>
        <a:p>
          <a:r>
            <a:rPr lang="tr-TR" sz="800">
              <a:latin typeface="Times New Roman" pitchFamily="18" charset="0"/>
              <a:cs typeface="Times New Roman" pitchFamily="18" charset="0"/>
            </a:rPr>
            <a:t>iletişim</a:t>
          </a:r>
        </a:p>
      </dgm:t>
    </dgm:pt>
    <dgm:pt modelId="{D9A47234-982D-4C75-9348-9642E511BAE5}" type="parTrans" cxnId="{B6AFA48F-6825-4855-AB43-182CE5D9229F}">
      <dgm:prSet/>
      <dgm:spPr/>
      <dgm:t>
        <a:bodyPr/>
        <a:lstStyle/>
        <a:p>
          <a:endParaRPr lang="tr-TR"/>
        </a:p>
      </dgm:t>
    </dgm:pt>
    <dgm:pt modelId="{518E9969-0B38-48A0-AFF2-934908625B5C}" type="sibTrans" cxnId="{B6AFA48F-6825-4855-AB43-182CE5D9229F}">
      <dgm:prSet/>
      <dgm:spPr/>
      <dgm:t>
        <a:bodyPr/>
        <a:lstStyle/>
        <a:p>
          <a:endParaRPr lang="tr-TR"/>
        </a:p>
      </dgm:t>
    </dgm:pt>
    <dgm:pt modelId="{12AC54EE-27E2-4CB7-91D9-2DA3EE608BB3}" type="pres">
      <dgm:prSet presAssocID="{8C04264C-DB1B-4770-8B29-8214F4FA6791}" presName="Name0" presStyleCnt="0">
        <dgm:presLayoutVars>
          <dgm:chMax val="1"/>
          <dgm:chPref val="1"/>
          <dgm:dir/>
          <dgm:animOne val="branch"/>
          <dgm:animLvl val="lvl"/>
        </dgm:presLayoutVars>
      </dgm:prSet>
      <dgm:spPr/>
      <dgm:t>
        <a:bodyPr/>
        <a:lstStyle/>
        <a:p>
          <a:endParaRPr lang="tr-TR"/>
        </a:p>
      </dgm:t>
    </dgm:pt>
    <dgm:pt modelId="{3601950E-8287-4F9E-AB61-6EBC2A7B48F9}" type="pres">
      <dgm:prSet presAssocID="{79336E4A-99CC-4C11-9A58-9F774052A3C4}" presName="textCenter" presStyleLbl="node1" presStyleIdx="0" presStyleCnt="13"/>
      <dgm:spPr/>
      <dgm:t>
        <a:bodyPr/>
        <a:lstStyle/>
        <a:p>
          <a:endParaRPr lang="tr-TR"/>
        </a:p>
      </dgm:t>
    </dgm:pt>
    <dgm:pt modelId="{B3CC293F-1DB8-4B3E-9003-ABF127F5C88A}" type="pres">
      <dgm:prSet presAssocID="{79336E4A-99CC-4C11-9A58-9F774052A3C4}" presName="cycle_1" presStyleCnt="0"/>
      <dgm:spPr/>
    </dgm:pt>
    <dgm:pt modelId="{3932471D-0284-4AC0-BFF4-0E237C27521F}" type="pres">
      <dgm:prSet presAssocID="{64837611-029E-40DE-9FF9-070FCA465F29}" presName="childCenter1" presStyleLbl="node1" presStyleIdx="1" presStyleCnt="13"/>
      <dgm:spPr/>
      <dgm:t>
        <a:bodyPr/>
        <a:lstStyle/>
        <a:p>
          <a:endParaRPr lang="tr-TR"/>
        </a:p>
      </dgm:t>
    </dgm:pt>
    <dgm:pt modelId="{E48418BC-8CA5-4DF9-9A83-484E97F94FF0}" type="pres">
      <dgm:prSet presAssocID="{82A803F1-3BAC-4D0D-8C68-E78BA9CF1BF1}" presName="Name141" presStyleLbl="parChTrans1D3" presStyleIdx="0" presStyleCnt="9"/>
      <dgm:spPr/>
      <dgm:t>
        <a:bodyPr/>
        <a:lstStyle/>
        <a:p>
          <a:endParaRPr lang="tr-TR"/>
        </a:p>
      </dgm:t>
    </dgm:pt>
    <dgm:pt modelId="{897B2726-5002-4AE7-BDE8-40A541D0F3A5}" type="pres">
      <dgm:prSet presAssocID="{C1EC0C6F-171A-4212-A8EF-D85D531F05D0}" presName="text1" presStyleLbl="node1" presStyleIdx="2" presStyleCnt="13">
        <dgm:presLayoutVars>
          <dgm:bulletEnabled val="1"/>
        </dgm:presLayoutVars>
      </dgm:prSet>
      <dgm:spPr/>
      <dgm:t>
        <a:bodyPr/>
        <a:lstStyle/>
        <a:p>
          <a:endParaRPr lang="tr-TR"/>
        </a:p>
      </dgm:t>
    </dgm:pt>
    <dgm:pt modelId="{EBCBFB8D-7BE9-4E92-B1AA-7EC400273CC8}" type="pres">
      <dgm:prSet presAssocID="{A28D59F8-C61A-46B7-9219-324F6AB4D5F5}" presName="Name141" presStyleLbl="parChTrans1D3" presStyleIdx="1" presStyleCnt="9"/>
      <dgm:spPr/>
      <dgm:t>
        <a:bodyPr/>
        <a:lstStyle/>
        <a:p>
          <a:endParaRPr lang="tr-TR"/>
        </a:p>
      </dgm:t>
    </dgm:pt>
    <dgm:pt modelId="{843988F5-786B-4434-A3AF-EE0AD431DA12}" type="pres">
      <dgm:prSet presAssocID="{B894848C-05C1-4C9F-85EE-9F1069F121F8}" presName="text1" presStyleLbl="node1" presStyleIdx="3" presStyleCnt="13">
        <dgm:presLayoutVars>
          <dgm:bulletEnabled val="1"/>
        </dgm:presLayoutVars>
      </dgm:prSet>
      <dgm:spPr/>
      <dgm:t>
        <a:bodyPr/>
        <a:lstStyle/>
        <a:p>
          <a:endParaRPr lang="tr-TR"/>
        </a:p>
      </dgm:t>
    </dgm:pt>
    <dgm:pt modelId="{CCC9DC94-B4A0-4BE6-8728-2FA8436087C9}" type="pres">
      <dgm:prSet presAssocID="{3FDC8143-CE6D-44A9-858C-6E6A78B230CB}" presName="Name141" presStyleLbl="parChTrans1D3" presStyleIdx="2" presStyleCnt="9"/>
      <dgm:spPr/>
      <dgm:t>
        <a:bodyPr/>
        <a:lstStyle/>
        <a:p>
          <a:endParaRPr lang="tr-TR"/>
        </a:p>
      </dgm:t>
    </dgm:pt>
    <dgm:pt modelId="{58DA201A-D3A3-4E63-9879-E27492162C6C}" type="pres">
      <dgm:prSet presAssocID="{37FD1217-FC26-4E8B-BD8A-2E0549A91FCC}" presName="text1" presStyleLbl="node1" presStyleIdx="4" presStyleCnt="13">
        <dgm:presLayoutVars>
          <dgm:bulletEnabled val="1"/>
        </dgm:presLayoutVars>
      </dgm:prSet>
      <dgm:spPr/>
      <dgm:t>
        <a:bodyPr/>
        <a:lstStyle/>
        <a:p>
          <a:endParaRPr lang="tr-TR"/>
        </a:p>
      </dgm:t>
    </dgm:pt>
    <dgm:pt modelId="{9104D538-2AE8-41BE-A150-F86AFA68212F}" type="pres">
      <dgm:prSet presAssocID="{D9A47234-982D-4C75-9348-9642E511BAE5}" presName="Name141" presStyleLbl="parChTrans1D3" presStyleIdx="3" presStyleCnt="9"/>
      <dgm:spPr/>
      <dgm:t>
        <a:bodyPr/>
        <a:lstStyle/>
        <a:p>
          <a:endParaRPr lang="tr-TR"/>
        </a:p>
      </dgm:t>
    </dgm:pt>
    <dgm:pt modelId="{66675BD3-E3B1-4CE4-A1E8-C8D0696FF455}" type="pres">
      <dgm:prSet presAssocID="{017EC5A5-E5AB-4C2C-9AE2-6ABDF79A57B0}" presName="text1" presStyleLbl="node1" presStyleIdx="5" presStyleCnt="13">
        <dgm:presLayoutVars>
          <dgm:bulletEnabled val="1"/>
        </dgm:presLayoutVars>
      </dgm:prSet>
      <dgm:spPr/>
      <dgm:t>
        <a:bodyPr/>
        <a:lstStyle/>
        <a:p>
          <a:endParaRPr lang="tr-TR"/>
        </a:p>
      </dgm:t>
    </dgm:pt>
    <dgm:pt modelId="{853D80EB-8DCF-4667-8CB6-3A1E92C01E03}" type="pres">
      <dgm:prSet presAssocID="{9F9F4FD9-8589-4E59-A2A4-8FF2BD5046CF}" presName="Name144" presStyleLbl="parChTrans1D2" presStyleIdx="0" presStyleCnt="3"/>
      <dgm:spPr/>
      <dgm:t>
        <a:bodyPr/>
        <a:lstStyle/>
        <a:p>
          <a:endParaRPr lang="tr-TR"/>
        </a:p>
      </dgm:t>
    </dgm:pt>
    <dgm:pt modelId="{94FBDAEF-D37D-423D-8165-0192796BE31D}" type="pres">
      <dgm:prSet presAssocID="{79336E4A-99CC-4C11-9A58-9F774052A3C4}" presName="cycle_2" presStyleCnt="0"/>
      <dgm:spPr/>
    </dgm:pt>
    <dgm:pt modelId="{1C26B69E-9A80-4195-A36D-2C0DC1C38FE5}" type="pres">
      <dgm:prSet presAssocID="{F0BC6179-0168-4D0A-91A3-29894DB84D43}" presName="childCenter2" presStyleLbl="node1" presStyleIdx="6" presStyleCnt="13"/>
      <dgm:spPr/>
      <dgm:t>
        <a:bodyPr/>
        <a:lstStyle/>
        <a:p>
          <a:endParaRPr lang="tr-TR"/>
        </a:p>
      </dgm:t>
    </dgm:pt>
    <dgm:pt modelId="{E25C459D-5BC8-42B5-9FD5-6A28870E6D58}" type="pres">
      <dgm:prSet presAssocID="{5D3DB93F-F748-4E9A-9E48-DB09A14E3BCE}" presName="Name218" presStyleLbl="parChTrans1D3" presStyleIdx="4" presStyleCnt="9"/>
      <dgm:spPr/>
      <dgm:t>
        <a:bodyPr/>
        <a:lstStyle/>
        <a:p>
          <a:endParaRPr lang="tr-TR"/>
        </a:p>
      </dgm:t>
    </dgm:pt>
    <dgm:pt modelId="{9DF4B15D-C23D-41C2-9F1A-B0387574F250}" type="pres">
      <dgm:prSet presAssocID="{D3CB8589-CB94-4782-9BB4-016BCD0B1F49}" presName="text2" presStyleLbl="node1" presStyleIdx="7" presStyleCnt="13">
        <dgm:presLayoutVars>
          <dgm:bulletEnabled val="1"/>
        </dgm:presLayoutVars>
      </dgm:prSet>
      <dgm:spPr/>
      <dgm:t>
        <a:bodyPr/>
        <a:lstStyle/>
        <a:p>
          <a:endParaRPr lang="tr-TR"/>
        </a:p>
      </dgm:t>
    </dgm:pt>
    <dgm:pt modelId="{BC74EB7C-0E6C-4D04-9795-F84F684B68A9}" type="pres">
      <dgm:prSet presAssocID="{A404D675-E2FA-4B40-BFEC-87119C13B91F}" presName="Name218" presStyleLbl="parChTrans1D3" presStyleIdx="5" presStyleCnt="9"/>
      <dgm:spPr/>
      <dgm:t>
        <a:bodyPr/>
        <a:lstStyle/>
        <a:p>
          <a:endParaRPr lang="tr-TR"/>
        </a:p>
      </dgm:t>
    </dgm:pt>
    <dgm:pt modelId="{D7D53ED9-24FC-4DE8-9802-A5DA150F4B19}" type="pres">
      <dgm:prSet presAssocID="{21539A11-B12D-468A-9A02-339FFB133E19}" presName="text2" presStyleLbl="node1" presStyleIdx="8" presStyleCnt="13">
        <dgm:presLayoutVars>
          <dgm:bulletEnabled val="1"/>
        </dgm:presLayoutVars>
      </dgm:prSet>
      <dgm:spPr/>
      <dgm:t>
        <a:bodyPr/>
        <a:lstStyle/>
        <a:p>
          <a:endParaRPr lang="tr-TR"/>
        </a:p>
      </dgm:t>
    </dgm:pt>
    <dgm:pt modelId="{D86DBEF7-A115-4576-A912-47D80488E89A}" type="pres">
      <dgm:prSet presAssocID="{344189C6-4976-46C9-AA35-3B1962BA2386}" presName="Name218" presStyleLbl="parChTrans1D3" presStyleIdx="6" presStyleCnt="9"/>
      <dgm:spPr/>
      <dgm:t>
        <a:bodyPr/>
        <a:lstStyle/>
        <a:p>
          <a:endParaRPr lang="tr-TR"/>
        </a:p>
      </dgm:t>
    </dgm:pt>
    <dgm:pt modelId="{ABF05B30-35B0-4494-BE10-D4006758F8D2}" type="pres">
      <dgm:prSet presAssocID="{6C2D5ECC-7123-4C2A-8BD9-DF40EB30EB83}" presName="text2" presStyleLbl="node1" presStyleIdx="9" presStyleCnt="13">
        <dgm:presLayoutVars>
          <dgm:bulletEnabled val="1"/>
        </dgm:presLayoutVars>
      </dgm:prSet>
      <dgm:spPr/>
      <dgm:t>
        <a:bodyPr/>
        <a:lstStyle/>
        <a:p>
          <a:endParaRPr lang="tr-TR"/>
        </a:p>
      </dgm:t>
    </dgm:pt>
    <dgm:pt modelId="{AC46EDE5-D224-476A-9C79-7D6449D5C7CD}" type="pres">
      <dgm:prSet presAssocID="{FBFCBD3B-DF4E-4AD4-9630-404525527E17}" presName="Name221" presStyleLbl="parChTrans1D2" presStyleIdx="1" presStyleCnt="3"/>
      <dgm:spPr/>
      <dgm:t>
        <a:bodyPr/>
        <a:lstStyle/>
        <a:p>
          <a:endParaRPr lang="tr-TR"/>
        </a:p>
      </dgm:t>
    </dgm:pt>
    <dgm:pt modelId="{080AF11A-1E7F-4E8F-AD35-BF8ABBAA7715}" type="pres">
      <dgm:prSet presAssocID="{79336E4A-99CC-4C11-9A58-9F774052A3C4}" presName="cycle_3" presStyleCnt="0"/>
      <dgm:spPr/>
    </dgm:pt>
    <dgm:pt modelId="{CFDB67E1-A96E-4B6E-8062-48E510F04BE4}" type="pres">
      <dgm:prSet presAssocID="{AB996C31-EA6A-4428-B806-970D7629DF9C}" presName="childCenter3" presStyleLbl="node1" presStyleIdx="10" presStyleCnt="13" custLinFactNeighborX="-33338" custLinFactNeighborY="-15874"/>
      <dgm:spPr/>
      <dgm:t>
        <a:bodyPr/>
        <a:lstStyle/>
        <a:p>
          <a:endParaRPr lang="tr-TR"/>
        </a:p>
      </dgm:t>
    </dgm:pt>
    <dgm:pt modelId="{2E00D1A9-9B88-40A8-9732-A3B66B5C2187}" type="pres">
      <dgm:prSet presAssocID="{33F5F133-DA74-443F-9F04-5D3445D9C93F}" presName="Name285" presStyleLbl="parChTrans1D3" presStyleIdx="7" presStyleCnt="9"/>
      <dgm:spPr/>
      <dgm:t>
        <a:bodyPr/>
        <a:lstStyle/>
        <a:p>
          <a:endParaRPr lang="tr-TR"/>
        </a:p>
      </dgm:t>
    </dgm:pt>
    <dgm:pt modelId="{6AF2E409-6D99-4AF3-B98D-7B11E7FED55B}" type="pres">
      <dgm:prSet presAssocID="{923A09C8-82BB-4C3B-AFD3-F7342671437C}" presName="text3" presStyleLbl="node1" presStyleIdx="11" presStyleCnt="13" custScaleY="165290" custRadScaleRad="158477" custRadScaleInc="45794">
        <dgm:presLayoutVars>
          <dgm:bulletEnabled val="1"/>
        </dgm:presLayoutVars>
      </dgm:prSet>
      <dgm:spPr/>
      <dgm:t>
        <a:bodyPr/>
        <a:lstStyle/>
        <a:p>
          <a:endParaRPr lang="tr-TR"/>
        </a:p>
      </dgm:t>
    </dgm:pt>
    <dgm:pt modelId="{F5C33177-998A-4B25-9777-E26C8A3F1B85}" type="pres">
      <dgm:prSet presAssocID="{B5912C80-1492-4674-85BA-8141CF2143F7}" presName="Name285" presStyleLbl="parChTrans1D3" presStyleIdx="8" presStyleCnt="9"/>
      <dgm:spPr/>
      <dgm:t>
        <a:bodyPr/>
        <a:lstStyle/>
        <a:p>
          <a:endParaRPr lang="tr-TR"/>
        </a:p>
      </dgm:t>
    </dgm:pt>
    <dgm:pt modelId="{449FC40F-68F3-4F65-92EE-FC5BD9191B8F}" type="pres">
      <dgm:prSet presAssocID="{6A068DA6-B9BC-4145-A3F3-E46D04C6C1DE}" presName="text3" presStyleLbl="node1" presStyleIdx="12" presStyleCnt="13" custScaleX="240889" custScaleY="56053" custRadScaleRad="200969" custRadScaleInc="-6072">
        <dgm:presLayoutVars>
          <dgm:bulletEnabled val="1"/>
        </dgm:presLayoutVars>
      </dgm:prSet>
      <dgm:spPr/>
      <dgm:t>
        <a:bodyPr/>
        <a:lstStyle/>
        <a:p>
          <a:endParaRPr lang="tr-TR"/>
        </a:p>
      </dgm:t>
    </dgm:pt>
    <dgm:pt modelId="{28B34149-3F1F-498C-BD4D-072ED0BCFF5E}" type="pres">
      <dgm:prSet presAssocID="{10290745-A50F-476D-83C7-49143EDF27D1}" presName="Name288" presStyleLbl="parChTrans1D2" presStyleIdx="2" presStyleCnt="3"/>
      <dgm:spPr/>
      <dgm:t>
        <a:bodyPr/>
        <a:lstStyle/>
        <a:p>
          <a:endParaRPr lang="tr-TR"/>
        </a:p>
      </dgm:t>
    </dgm:pt>
  </dgm:ptLst>
  <dgm:cxnLst>
    <dgm:cxn modelId="{514DA465-C406-4786-A444-803E65A68187}" type="presOf" srcId="{A404D675-E2FA-4B40-BFEC-87119C13B91F}" destId="{BC74EB7C-0E6C-4D04-9795-F84F684B68A9}" srcOrd="0" destOrd="0" presId="urn:microsoft.com/office/officeart/2008/layout/RadialCluster"/>
    <dgm:cxn modelId="{C8F1B833-F7C6-4484-B586-3ECD6D2FF06C}" type="presOf" srcId="{B894848C-05C1-4C9F-85EE-9F1069F121F8}" destId="{843988F5-786B-4434-A3AF-EE0AD431DA12}" srcOrd="0" destOrd="0" presId="urn:microsoft.com/office/officeart/2008/layout/RadialCluster"/>
    <dgm:cxn modelId="{CB8C536A-4663-482E-BED0-A6EF08C8F7B6}" type="presOf" srcId="{33F5F133-DA74-443F-9F04-5D3445D9C93F}" destId="{2E00D1A9-9B88-40A8-9732-A3B66B5C2187}" srcOrd="0" destOrd="0" presId="urn:microsoft.com/office/officeart/2008/layout/RadialCluster"/>
    <dgm:cxn modelId="{421F94BF-38BF-4AB3-A0D6-FD8DB93225F6}" srcId="{64837611-029E-40DE-9FF9-070FCA465F29}" destId="{37FD1217-FC26-4E8B-BD8A-2E0549A91FCC}" srcOrd="2" destOrd="0" parTransId="{3FDC8143-CE6D-44A9-858C-6E6A78B230CB}" sibTransId="{82494D18-DD44-44F8-9419-E8225C183D96}"/>
    <dgm:cxn modelId="{6482B3A6-140A-4719-A8CB-03A7F5BFFEBE}" type="presOf" srcId="{A28D59F8-C61A-46B7-9219-324F6AB4D5F5}" destId="{EBCBFB8D-7BE9-4E92-B1AA-7EC400273CC8}" srcOrd="0" destOrd="0" presId="urn:microsoft.com/office/officeart/2008/layout/RadialCluster"/>
    <dgm:cxn modelId="{77818239-40B8-4660-B875-E0A7E21294C0}" type="presOf" srcId="{6C2D5ECC-7123-4C2A-8BD9-DF40EB30EB83}" destId="{ABF05B30-35B0-4494-BE10-D4006758F8D2}" srcOrd="0" destOrd="0" presId="urn:microsoft.com/office/officeart/2008/layout/RadialCluster"/>
    <dgm:cxn modelId="{DF02C368-8835-425E-9353-42FDD32350F0}" srcId="{6A068DA6-B9BC-4145-A3F3-E46D04C6C1DE}" destId="{7659DF64-979A-42B0-90E1-ED002A1D7AA5}" srcOrd="0" destOrd="0" parTransId="{292EC9AE-F1AA-413D-A8A5-ECAD08ACDE0F}" sibTransId="{F02CC9CC-500E-406A-9BC1-6EFF21FA0E73}"/>
    <dgm:cxn modelId="{51F7A438-301F-43B1-BE65-8069D46BB6E5}" srcId="{64837611-029E-40DE-9FF9-070FCA465F29}" destId="{C1EC0C6F-171A-4212-A8EF-D85D531F05D0}" srcOrd="0" destOrd="0" parTransId="{82A803F1-3BAC-4D0D-8C68-E78BA9CF1BF1}" sibTransId="{836C6491-9BEA-4678-89EA-BBC994BD75F2}"/>
    <dgm:cxn modelId="{2C2CC388-648B-4D61-85BD-ACF1927D3A26}" type="presOf" srcId="{21539A11-B12D-468A-9A02-339FFB133E19}" destId="{D7D53ED9-24FC-4DE8-9802-A5DA150F4B19}" srcOrd="0" destOrd="0" presId="urn:microsoft.com/office/officeart/2008/layout/RadialCluster"/>
    <dgm:cxn modelId="{E65B641B-595B-44D8-B7F6-5D7D262EA09D}" srcId="{79336E4A-99CC-4C11-9A58-9F774052A3C4}" destId="{AB996C31-EA6A-4428-B806-970D7629DF9C}" srcOrd="2" destOrd="0" parTransId="{10290745-A50F-476D-83C7-49143EDF27D1}" sibTransId="{54038121-FD33-4E26-A81D-F0B08D9C1CE0}"/>
    <dgm:cxn modelId="{70089BA4-62A7-4AB7-894C-623AF9819EC9}" type="presOf" srcId="{37FD1217-FC26-4E8B-BD8A-2E0549A91FCC}" destId="{58DA201A-D3A3-4E63-9879-E27492162C6C}" srcOrd="0" destOrd="0" presId="urn:microsoft.com/office/officeart/2008/layout/RadialCluster"/>
    <dgm:cxn modelId="{3E0D8EC1-FAD4-49FA-A169-46F195EE96CD}" srcId="{AB996C31-EA6A-4428-B806-970D7629DF9C}" destId="{6A068DA6-B9BC-4145-A3F3-E46D04C6C1DE}" srcOrd="1" destOrd="0" parTransId="{B5912C80-1492-4674-85BA-8141CF2143F7}" sibTransId="{9D641F64-9EA0-432C-9FC8-604BEB9DF702}"/>
    <dgm:cxn modelId="{5A20EDBF-8831-4711-82B7-64020C6E1374}" type="presOf" srcId="{D9A47234-982D-4C75-9348-9642E511BAE5}" destId="{9104D538-2AE8-41BE-A150-F86AFA68212F}" srcOrd="0" destOrd="0" presId="urn:microsoft.com/office/officeart/2008/layout/RadialCluster"/>
    <dgm:cxn modelId="{6936E9A1-3B16-4D17-BE3B-B8BB5E8DDDF8}" type="presOf" srcId="{79336E4A-99CC-4C11-9A58-9F774052A3C4}" destId="{3601950E-8287-4F9E-AB61-6EBC2A7B48F9}" srcOrd="0" destOrd="0" presId="urn:microsoft.com/office/officeart/2008/layout/RadialCluster"/>
    <dgm:cxn modelId="{CD912939-6079-4666-AA34-620B099A69D1}" type="presOf" srcId="{C1EC0C6F-171A-4212-A8EF-D85D531F05D0}" destId="{897B2726-5002-4AE7-BDE8-40A541D0F3A5}" srcOrd="0" destOrd="0" presId="urn:microsoft.com/office/officeart/2008/layout/RadialCluster"/>
    <dgm:cxn modelId="{F2F4E7AE-51CC-4CD2-AAE0-86C6308700D4}" type="presOf" srcId="{82A803F1-3BAC-4D0D-8C68-E78BA9CF1BF1}" destId="{E48418BC-8CA5-4DF9-9A83-484E97F94FF0}" srcOrd="0" destOrd="0" presId="urn:microsoft.com/office/officeart/2008/layout/RadialCluster"/>
    <dgm:cxn modelId="{8A582880-B02D-447F-9C8B-F698B99E10EE}" srcId="{79336E4A-99CC-4C11-9A58-9F774052A3C4}" destId="{F0BC6179-0168-4D0A-91A3-29894DB84D43}" srcOrd="1" destOrd="0" parTransId="{FBFCBD3B-DF4E-4AD4-9630-404525527E17}" sibTransId="{0B134EE7-7BF3-408B-898F-97A14B78B60F}"/>
    <dgm:cxn modelId="{4F6672B2-0B7D-4332-B3D2-DF562262000C}" type="presOf" srcId="{FBFCBD3B-DF4E-4AD4-9630-404525527E17}" destId="{AC46EDE5-D224-476A-9C79-7D6449D5C7CD}" srcOrd="0" destOrd="0" presId="urn:microsoft.com/office/officeart/2008/layout/RadialCluster"/>
    <dgm:cxn modelId="{755170DA-BA0F-4A6C-8BDD-0643D07156CD}" srcId="{F0BC6179-0168-4D0A-91A3-29894DB84D43}" destId="{21539A11-B12D-468A-9A02-339FFB133E19}" srcOrd="1" destOrd="0" parTransId="{A404D675-E2FA-4B40-BFEC-87119C13B91F}" sibTransId="{A1CA13DB-E329-417E-A8E7-DD841AD67617}"/>
    <dgm:cxn modelId="{EBA3F60C-F143-4166-8BF2-592F50E06804}" srcId="{F0BC6179-0168-4D0A-91A3-29894DB84D43}" destId="{6C2D5ECC-7123-4C2A-8BD9-DF40EB30EB83}" srcOrd="2" destOrd="0" parTransId="{344189C6-4976-46C9-AA35-3B1962BA2386}" sibTransId="{ACAADBF3-E9E7-4A38-84FE-A98E7A9324BE}"/>
    <dgm:cxn modelId="{5D2BF36B-F319-43A5-9431-374DADAF43B0}" type="presOf" srcId="{F0BC6179-0168-4D0A-91A3-29894DB84D43}" destId="{1C26B69E-9A80-4195-A36D-2C0DC1C38FE5}" srcOrd="0" destOrd="0" presId="urn:microsoft.com/office/officeart/2008/layout/RadialCluster"/>
    <dgm:cxn modelId="{714CC983-F027-41AE-9477-930BDCC9B8F4}" type="presOf" srcId="{AB996C31-EA6A-4428-B806-970D7629DF9C}" destId="{CFDB67E1-A96E-4B6E-8062-48E510F04BE4}" srcOrd="0" destOrd="0" presId="urn:microsoft.com/office/officeart/2008/layout/RadialCluster"/>
    <dgm:cxn modelId="{BFECAE03-19E4-45DA-9E9D-1B86F3208565}" type="presOf" srcId="{6A068DA6-B9BC-4145-A3F3-E46D04C6C1DE}" destId="{449FC40F-68F3-4F65-92EE-FC5BD9191B8F}" srcOrd="0" destOrd="0" presId="urn:microsoft.com/office/officeart/2008/layout/RadialCluster"/>
    <dgm:cxn modelId="{B6AFA48F-6825-4855-AB43-182CE5D9229F}" srcId="{64837611-029E-40DE-9FF9-070FCA465F29}" destId="{017EC5A5-E5AB-4C2C-9AE2-6ABDF79A57B0}" srcOrd="3" destOrd="0" parTransId="{D9A47234-982D-4C75-9348-9642E511BAE5}" sibTransId="{518E9969-0B38-48A0-AFF2-934908625B5C}"/>
    <dgm:cxn modelId="{6F73FAD2-6490-458F-A8AC-882E01A99D1F}" type="presOf" srcId="{923A09C8-82BB-4C3B-AFD3-F7342671437C}" destId="{6AF2E409-6D99-4AF3-B98D-7B11E7FED55B}" srcOrd="0" destOrd="0" presId="urn:microsoft.com/office/officeart/2008/layout/RadialCluster"/>
    <dgm:cxn modelId="{ACD3D267-E1C9-4A7E-B221-32CD8310123B}" srcId="{F0BC6179-0168-4D0A-91A3-29894DB84D43}" destId="{D3CB8589-CB94-4782-9BB4-016BCD0B1F49}" srcOrd="0" destOrd="0" parTransId="{5D3DB93F-F748-4E9A-9E48-DB09A14E3BCE}" sibTransId="{E6B20B60-08D4-4F1A-AB13-257F00F97D90}"/>
    <dgm:cxn modelId="{C1962638-C285-440E-B964-AF5E5A26A21F}" type="presOf" srcId="{64837611-029E-40DE-9FF9-070FCA465F29}" destId="{3932471D-0284-4AC0-BFF4-0E237C27521F}" srcOrd="0" destOrd="0" presId="urn:microsoft.com/office/officeart/2008/layout/RadialCluster"/>
    <dgm:cxn modelId="{AA815A56-3E18-4474-BB0C-2034F3D2F513}" srcId="{8C04264C-DB1B-4770-8B29-8214F4FA6791}" destId="{79336E4A-99CC-4C11-9A58-9F774052A3C4}" srcOrd="0" destOrd="0" parTransId="{B850D4B6-00AD-4439-A1F8-5999857E12CE}" sibTransId="{1B7105F3-73D8-4443-87D6-F41AEEAFD257}"/>
    <dgm:cxn modelId="{C8A85890-7100-4F90-9A77-E3A234520DF7}" srcId="{64837611-029E-40DE-9FF9-070FCA465F29}" destId="{B894848C-05C1-4C9F-85EE-9F1069F121F8}" srcOrd="1" destOrd="0" parTransId="{A28D59F8-C61A-46B7-9219-324F6AB4D5F5}" sibTransId="{6A9E96A6-A6BE-4348-9814-E9762F0CD3FE}"/>
    <dgm:cxn modelId="{97FB19CA-60A9-4750-A2A6-89EE4B04D610}" srcId="{79336E4A-99CC-4C11-9A58-9F774052A3C4}" destId="{64837611-029E-40DE-9FF9-070FCA465F29}" srcOrd="0" destOrd="0" parTransId="{9F9F4FD9-8589-4E59-A2A4-8FF2BD5046CF}" sibTransId="{E9B3D377-9BFF-4A55-81FB-EB2F95F28BE4}"/>
    <dgm:cxn modelId="{3AF18254-94FC-418D-B4BA-2C36BD5E7C21}" type="presOf" srcId="{B5912C80-1492-4674-85BA-8141CF2143F7}" destId="{F5C33177-998A-4B25-9777-E26C8A3F1B85}" srcOrd="0" destOrd="0" presId="urn:microsoft.com/office/officeart/2008/layout/RadialCluster"/>
    <dgm:cxn modelId="{D0F8F680-5312-41D1-BDAF-ACB39F150EC3}" type="presOf" srcId="{8C04264C-DB1B-4770-8B29-8214F4FA6791}" destId="{12AC54EE-27E2-4CB7-91D9-2DA3EE608BB3}" srcOrd="0" destOrd="0" presId="urn:microsoft.com/office/officeart/2008/layout/RadialCluster"/>
    <dgm:cxn modelId="{3F6B87CE-C4D7-494F-B72D-03797FFE25C0}" type="presOf" srcId="{5D3DB93F-F748-4E9A-9E48-DB09A14E3BCE}" destId="{E25C459D-5BC8-42B5-9FD5-6A28870E6D58}" srcOrd="0" destOrd="0" presId="urn:microsoft.com/office/officeart/2008/layout/RadialCluster"/>
    <dgm:cxn modelId="{E15E18EC-1E74-460C-A4DA-4CB239FA0574}" type="presOf" srcId="{344189C6-4976-46C9-AA35-3B1962BA2386}" destId="{D86DBEF7-A115-4576-A912-47D80488E89A}" srcOrd="0" destOrd="0" presId="urn:microsoft.com/office/officeart/2008/layout/RadialCluster"/>
    <dgm:cxn modelId="{982A8E81-9DBA-424C-AE26-9EAF36C522B0}" type="presOf" srcId="{7659DF64-979A-42B0-90E1-ED002A1D7AA5}" destId="{449FC40F-68F3-4F65-92EE-FC5BD9191B8F}" srcOrd="0" destOrd="1" presId="urn:microsoft.com/office/officeart/2008/layout/RadialCluster"/>
    <dgm:cxn modelId="{34937AE7-08B0-4346-ABC1-54DF6CE87725}" srcId="{AB996C31-EA6A-4428-B806-970D7629DF9C}" destId="{923A09C8-82BB-4C3B-AFD3-F7342671437C}" srcOrd="0" destOrd="0" parTransId="{33F5F133-DA74-443F-9F04-5D3445D9C93F}" sibTransId="{63CAE4A2-A6EC-4A8A-8D99-8416412D6C1C}"/>
    <dgm:cxn modelId="{7ABB98E7-39F3-4CE1-BC3B-49CFADC00812}" type="presOf" srcId="{D3CB8589-CB94-4782-9BB4-016BCD0B1F49}" destId="{9DF4B15D-C23D-41C2-9F1A-B0387574F250}" srcOrd="0" destOrd="0" presId="urn:microsoft.com/office/officeart/2008/layout/RadialCluster"/>
    <dgm:cxn modelId="{C4F0E76E-10A8-44C8-BFC2-466F993D47C1}" type="presOf" srcId="{017EC5A5-E5AB-4C2C-9AE2-6ABDF79A57B0}" destId="{66675BD3-E3B1-4CE4-A1E8-C8D0696FF455}" srcOrd="0" destOrd="0" presId="urn:microsoft.com/office/officeart/2008/layout/RadialCluster"/>
    <dgm:cxn modelId="{A68B6962-8CBE-4DAD-B63D-EC9094CD0DAB}" type="presOf" srcId="{10290745-A50F-476D-83C7-49143EDF27D1}" destId="{28B34149-3F1F-498C-BD4D-072ED0BCFF5E}" srcOrd="0" destOrd="0" presId="urn:microsoft.com/office/officeart/2008/layout/RadialCluster"/>
    <dgm:cxn modelId="{544E8087-F40D-4D3D-9F37-8CB6ECF13170}" type="presOf" srcId="{9F9F4FD9-8589-4E59-A2A4-8FF2BD5046CF}" destId="{853D80EB-8DCF-4667-8CB6-3A1E92C01E03}" srcOrd="0" destOrd="0" presId="urn:microsoft.com/office/officeart/2008/layout/RadialCluster"/>
    <dgm:cxn modelId="{28211EB8-D3F8-424A-B3BA-306E29CA8244}" type="presOf" srcId="{3FDC8143-CE6D-44A9-858C-6E6A78B230CB}" destId="{CCC9DC94-B4A0-4BE6-8728-2FA8436087C9}" srcOrd="0" destOrd="0" presId="urn:microsoft.com/office/officeart/2008/layout/RadialCluster"/>
    <dgm:cxn modelId="{31E0B322-93BD-494F-8686-CB32F853F4D3}" type="presParOf" srcId="{12AC54EE-27E2-4CB7-91D9-2DA3EE608BB3}" destId="{3601950E-8287-4F9E-AB61-6EBC2A7B48F9}" srcOrd="0" destOrd="0" presId="urn:microsoft.com/office/officeart/2008/layout/RadialCluster"/>
    <dgm:cxn modelId="{5F2B1908-00EF-4169-A1D5-1B8C2E052679}" type="presParOf" srcId="{12AC54EE-27E2-4CB7-91D9-2DA3EE608BB3}" destId="{B3CC293F-1DB8-4B3E-9003-ABF127F5C88A}" srcOrd="1" destOrd="0" presId="urn:microsoft.com/office/officeart/2008/layout/RadialCluster"/>
    <dgm:cxn modelId="{4A4DD35E-B399-4F83-AB64-20FB3C22D34D}" type="presParOf" srcId="{B3CC293F-1DB8-4B3E-9003-ABF127F5C88A}" destId="{3932471D-0284-4AC0-BFF4-0E237C27521F}" srcOrd="0" destOrd="0" presId="urn:microsoft.com/office/officeart/2008/layout/RadialCluster"/>
    <dgm:cxn modelId="{F2B56C74-F9AA-4361-A100-A3BA3A3E00FC}" type="presParOf" srcId="{B3CC293F-1DB8-4B3E-9003-ABF127F5C88A}" destId="{E48418BC-8CA5-4DF9-9A83-484E97F94FF0}" srcOrd="1" destOrd="0" presId="urn:microsoft.com/office/officeart/2008/layout/RadialCluster"/>
    <dgm:cxn modelId="{69C5D7C6-D5BE-4731-B352-5FD4B5B3930B}" type="presParOf" srcId="{B3CC293F-1DB8-4B3E-9003-ABF127F5C88A}" destId="{897B2726-5002-4AE7-BDE8-40A541D0F3A5}" srcOrd="2" destOrd="0" presId="urn:microsoft.com/office/officeart/2008/layout/RadialCluster"/>
    <dgm:cxn modelId="{6B8D4E64-AA6E-47BE-92F8-085C6DF45455}" type="presParOf" srcId="{B3CC293F-1DB8-4B3E-9003-ABF127F5C88A}" destId="{EBCBFB8D-7BE9-4E92-B1AA-7EC400273CC8}" srcOrd="3" destOrd="0" presId="urn:microsoft.com/office/officeart/2008/layout/RadialCluster"/>
    <dgm:cxn modelId="{97825E33-765C-4562-8953-D7E356FD4FBF}" type="presParOf" srcId="{B3CC293F-1DB8-4B3E-9003-ABF127F5C88A}" destId="{843988F5-786B-4434-A3AF-EE0AD431DA12}" srcOrd="4" destOrd="0" presId="urn:microsoft.com/office/officeart/2008/layout/RadialCluster"/>
    <dgm:cxn modelId="{3C9931A6-DD1A-46FA-A5F5-67E844FDC8B5}" type="presParOf" srcId="{B3CC293F-1DB8-4B3E-9003-ABF127F5C88A}" destId="{CCC9DC94-B4A0-4BE6-8728-2FA8436087C9}" srcOrd="5" destOrd="0" presId="urn:microsoft.com/office/officeart/2008/layout/RadialCluster"/>
    <dgm:cxn modelId="{51905B4B-C6FD-469E-A000-AB8700E8EEA7}" type="presParOf" srcId="{B3CC293F-1DB8-4B3E-9003-ABF127F5C88A}" destId="{58DA201A-D3A3-4E63-9879-E27492162C6C}" srcOrd="6" destOrd="0" presId="urn:microsoft.com/office/officeart/2008/layout/RadialCluster"/>
    <dgm:cxn modelId="{A832CA53-750A-4268-8026-615163913B7C}" type="presParOf" srcId="{B3CC293F-1DB8-4B3E-9003-ABF127F5C88A}" destId="{9104D538-2AE8-41BE-A150-F86AFA68212F}" srcOrd="7" destOrd="0" presId="urn:microsoft.com/office/officeart/2008/layout/RadialCluster"/>
    <dgm:cxn modelId="{D35FF2DA-C728-4523-A9F2-D09B0243C8FF}" type="presParOf" srcId="{B3CC293F-1DB8-4B3E-9003-ABF127F5C88A}" destId="{66675BD3-E3B1-4CE4-A1E8-C8D0696FF455}" srcOrd="8" destOrd="0" presId="urn:microsoft.com/office/officeart/2008/layout/RadialCluster"/>
    <dgm:cxn modelId="{D556C3B7-CE13-4886-B120-D0A9DB2C7AFD}" type="presParOf" srcId="{12AC54EE-27E2-4CB7-91D9-2DA3EE608BB3}" destId="{853D80EB-8DCF-4667-8CB6-3A1E92C01E03}" srcOrd="2" destOrd="0" presId="urn:microsoft.com/office/officeart/2008/layout/RadialCluster"/>
    <dgm:cxn modelId="{C9A76F3E-8F35-4CB1-B7E7-30D5E5073FC2}" type="presParOf" srcId="{12AC54EE-27E2-4CB7-91D9-2DA3EE608BB3}" destId="{94FBDAEF-D37D-423D-8165-0192796BE31D}" srcOrd="3" destOrd="0" presId="urn:microsoft.com/office/officeart/2008/layout/RadialCluster"/>
    <dgm:cxn modelId="{3C68F99F-0CC2-4303-8C53-C5FCB97AC5E2}" type="presParOf" srcId="{94FBDAEF-D37D-423D-8165-0192796BE31D}" destId="{1C26B69E-9A80-4195-A36D-2C0DC1C38FE5}" srcOrd="0" destOrd="0" presId="urn:microsoft.com/office/officeart/2008/layout/RadialCluster"/>
    <dgm:cxn modelId="{385CA1C9-C7F2-49D8-9A6C-29ECDE7EB8D2}" type="presParOf" srcId="{94FBDAEF-D37D-423D-8165-0192796BE31D}" destId="{E25C459D-5BC8-42B5-9FD5-6A28870E6D58}" srcOrd="1" destOrd="0" presId="urn:microsoft.com/office/officeart/2008/layout/RadialCluster"/>
    <dgm:cxn modelId="{EFBCB185-6DDD-4B56-B0AC-CBF72244A2B4}" type="presParOf" srcId="{94FBDAEF-D37D-423D-8165-0192796BE31D}" destId="{9DF4B15D-C23D-41C2-9F1A-B0387574F250}" srcOrd="2" destOrd="0" presId="urn:microsoft.com/office/officeart/2008/layout/RadialCluster"/>
    <dgm:cxn modelId="{DACE4F40-9325-498D-832B-9166324F5DEA}" type="presParOf" srcId="{94FBDAEF-D37D-423D-8165-0192796BE31D}" destId="{BC74EB7C-0E6C-4D04-9795-F84F684B68A9}" srcOrd="3" destOrd="0" presId="urn:microsoft.com/office/officeart/2008/layout/RadialCluster"/>
    <dgm:cxn modelId="{555C0CBB-219D-4979-A7EE-6ED76AD3C042}" type="presParOf" srcId="{94FBDAEF-D37D-423D-8165-0192796BE31D}" destId="{D7D53ED9-24FC-4DE8-9802-A5DA150F4B19}" srcOrd="4" destOrd="0" presId="urn:microsoft.com/office/officeart/2008/layout/RadialCluster"/>
    <dgm:cxn modelId="{5D8759AF-4825-4EBF-BCF8-3576C13BCB58}" type="presParOf" srcId="{94FBDAEF-D37D-423D-8165-0192796BE31D}" destId="{D86DBEF7-A115-4576-A912-47D80488E89A}" srcOrd="5" destOrd="0" presId="urn:microsoft.com/office/officeart/2008/layout/RadialCluster"/>
    <dgm:cxn modelId="{08B68146-3CE2-43B8-8BC1-BC6543C12197}" type="presParOf" srcId="{94FBDAEF-D37D-423D-8165-0192796BE31D}" destId="{ABF05B30-35B0-4494-BE10-D4006758F8D2}" srcOrd="6" destOrd="0" presId="urn:microsoft.com/office/officeart/2008/layout/RadialCluster"/>
    <dgm:cxn modelId="{B51E1723-A38E-4AAF-84F2-6F487311B1E1}" type="presParOf" srcId="{12AC54EE-27E2-4CB7-91D9-2DA3EE608BB3}" destId="{AC46EDE5-D224-476A-9C79-7D6449D5C7CD}" srcOrd="4" destOrd="0" presId="urn:microsoft.com/office/officeart/2008/layout/RadialCluster"/>
    <dgm:cxn modelId="{57316C70-744C-4CBF-9133-5B42FEC947ED}" type="presParOf" srcId="{12AC54EE-27E2-4CB7-91D9-2DA3EE608BB3}" destId="{080AF11A-1E7F-4E8F-AD35-BF8ABBAA7715}" srcOrd="5" destOrd="0" presId="urn:microsoft.com/office/officeart/2008/layout/RadialCluster"/>
    <dgm:cxn modelId="{704A5F7A-CBFB-4AF1-B46C-741F1EAE768E}" type="presParOf" srcId="{080AF11A-1E7F-4E8F-AD35-BF8ABBAA7715}" destId="{CFDB67E1-A96E-4B6E-8062-48E510F04BE4}" srcOrd="0" destOrd="0" presId="urn:microsoft.com/office/officeart/2008/layout/RadialCluster"/>
    <dgm:cxn modelId="{7381159D-AEEF-4A47-BC89-040BCB595B8B}" type="presParOf" srcId="{080AF11A-1E7F-4E8F-AD35-BF8ABBAA7715}" destId="{2E00D1A9-9B88-40A8-9732-A3B66B5C2187}" srcOrd="1" destOrd="0" presId="urn:microsoft.com/office/officeart/2008/layout/RadialCluster"/>
    <dgm:cxn modelId="{EEA8114D-7BFD-491B-93AC-953053DB5D95}" type="presParOf" srcId="{080AF11A-1E7F-4E8F-AD35-BF8ABBAA7715}" destId="{6AF2E409-6D99-4AF3-B98D-7B11E7FED55B}" srcOrd="2" destOrd="0" presId="urn:microsoft.com/office/officeart/2008/layout/RadialCluster"/>
    <dgm:cxn modelId="{02A57B84-EE99-4580-889C-4B06EE5012B3}" type="presParOf" srcId="{080AF11A-1E7F-4E8F-AD35-BF8ABBAA7715}" destId="{F5C33177-998A-4B25-9777-E26C8A3F1B85}" srcOrd="3" destOrd="0" presId="urn:microsoft.com/office/officeart/2008/layout/RadialCluster"/>
    <dgm:cxn modelId="{980F6716-38FC-44E7-B337-6D7B8DFECA5A}" type="presParOf" srcId="{080AF11A-1E7F-4E8F-AD35-BF8ABBAA7715}" destId="{449FC40F-68F3-4F65-92EE-FC5BD9191B8F}" srcOrd="4" destOrd="0" presId="urn:microsoft.com/office/officeart/2008/layout/RadialCluster"/>
    <dgm:cxn modelId="{6C127240-4195-4C87-9D4B-5895E8C2FC28}" type="presParOf" srcId="{12AC54EE-27E2-4CB7-91D9-2DA3EE608BB3}" destId="{28B34149-3F1F-498C-BD4D-072ED0BCFF5E}" srcOrd="6" destOrd="0" presId="urn:microsoft.com/office/officeart/2008/layout/RadialCluster"/>
  </dgm:cxnLst>
  <dgm:bg/>
  <dgm:whole/>
  <dgm:extLst>
    <a:ext uri="http://schemas.microsoft.com/office/drawing/2008/diagram">
      <dsp:dataModelExt xmlns:dsp="http://schemas.microsoft.com/office/drawing/2008/diagram" relId="rId408"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7A45BF03-C662-4EF9-B6FE-67638486FA27}" type="doc">
      <dgm:prSet loTypeId="urn:microsoft.com/office/officeart/2005/8/layout/hierarchy2" loCatId="hierarchy" qsTypeId="urn:microsoft.com/office/officeart/2005/8/quickstyle/simple1" qsCatId="simple" csTypeId="urn:microsoft.com/office/officeart/2005/8/colors/accent0_1" csCatId="mainScheme" phldr="1"/>
      <dgm:spPr/>
      <dgm:t>
        <a:bodyPr/>
        <a:lstStyle/>
        <a:p>
          <a:endParaRPr lang="tr-TR"/>
        </a:p>
      </dgm:t>
    </dgm:pt>
    <dgm:pt modelId="{DD8D5C09-60AD-415B-A0B8-DF3312D49EAE}">
      <dgm:prSet phldrT="[Metin]" custT="1"/>
      <dgm:spPr/>
      <dgm:t>
        <a:bodyPr/>
        <a:lstStyle/>
        <a:p>
          <a:r>
            <a:rPr lang="tr-TR" sz="1000">
              <a:latin typeface="Times New Roman" pitchFamily="18" charset="0"/>
              <a:cs typeface="Times New Roman" pitchFamily="18" charset="0"/>
            </a:rPr>
            <a:t>Örgütsel</a:t>
          </a:r>
        </a:p>
      </dgm:t>
    </dgm:pt>
    <dgm:pt modelId="{DC48F5D3-F62A-4D93-86C1-ECCF8131B130}" type="parTrans" cxnId="{3979137D-C8EA-4D8B-8DBF-89D9E2D78F8B}">
      <dgm:prSet/>
      <dgm:spPr/>
      <dgm:t>
        <a:bodyPr/>
        <a:lstStyle/>
        <a:p>
          <a:endParaRPr lang="tr-TR" sz="1000"/>
        </a:p>
      </dgm:t>
    </dgm:pt>
    <dgm:pt modelId="{5FFA9167-294D-4DB2-BF4D-1FB375E3B0C8}" type="sibTrans" cxnId="{3979137D-C8EA-4D8B-8DBF-89D9E2D78F8B}">
      <dgm:prSet/>
      <dgm:spPr/>
      <dgm:t>
        <a:bodyPr/>
        <a:lstStyle/>
        <a:p>
          <a:endParaRPr lang="tr-TR" sz="1000"/>
        </a:p>
      </dgm:t>
    </dgm:pt>
    <dgm:pt modelId="{E4D09674-E76B-40FE-9A84-CD3443C39A63}">
      <dgm:prSet phldrT="[Metin]" custT="1"/>
      <dgm:spPr/>
      <dgm:t>
        <a:bodyPr/>
        <a:lstStyle/>
        <a:p>
          <a:r>
            <a:rPr lang="tr-TR" sz="1000">
              <a:latin typeface="Times New Roman" pitchFamily="18" charset="0"/>
              <a:cs typeface="Times New Roman" pitchFamily="18" charset="0"/>
            </a:rPr>
            <a:t>yönetim</a:t>
          </a:r>
        </a:p>
      </dgm:t>
    </dgm:pt>
    <dgm:pt modelId="{083DBC8A-5958-4F25-A33D-34FF781376C3}" type="parTrans" cxnId="{315162C3-8753-4E3B-8DD7-04BFDE2F189E}">
      <dgm:prSet custT="1"/>
      <dgm:spPr/>
      <dgm:t>
        <a:bodyPr/>
        <a:lstStyle/>
        <a:p>
          <a:endParaRPr lang="tr-TR" sz="1000"/>
        </a:p>
      </dgm:t>
    </dgm:pt>
    <dgm:pt modelId="{F7FD6569-FF74-428A-8437-3FE43FBBC55F}" type="sibTrans" cxnId="{315162C3-8753-4E3B-8DD7-04BFDE2F189E}">
      <dgm:prSet/>
      <dgm:spPr/>
      <dgm:t>
        <a:bodyPr/>
        <a:lstStyle/>
        <a:p>
          <a:endParaRPr lang="tr-TR" sz="1000"/>
        </a:p>
      </dgm:t>
    </dgm:pt>
    <dgm:pt modelId="{1FBD5C9B-951B-4468-AE51-8283A9D2E344}">
      <dgm:prSet phldrT="[Metin]" custT="1"/>
      <dgm:spPr/>
      <dgm:t>
        <a:bodyPr/>
        <a:lstStyle/>
        <a:p>
          <a:r>
            <a:rPr lang="tr-TR" sz="1000">
              <a:latin typeface="Times New Roman" pitchFamily="18" charset="0"/>
              <a:cs typeface="Times New Roman" pitchFamily="18" charset="0"/>
            </a:rPr>
            <a:t>Bürokrasi</a:t>
          </a:r>
        </a:p>
      </dgm:t>
    </dgm:pt>
    <dgm:pt modelId="{57AD4DAD-F614-4AE3-BC2F-F05940E25F36}" type="parTrans" cxnId="{6900345C-6BF9-4CF5-99BA-CBAD07105877}">
      <dgm:prSet custT="1"/>
      <dgm:spPr/>
      <dgm:t>
        <a:bodyPr/>
        <a:lstStyle/>
        <a:p>
          <a:endParaRPr lang="tr-TR" sz="1000"/>
        </a:p>
      </dgm:t>
    </dgm:pt>
    <dgm:pt modelId="{CE8BF97C-BDEF-4923-99C0-7A2724928111}" type="sibTrans" cxnId="{6900345C-6BF9-4CF5-99BA-CBAD07105877}">
      <dgm:prSet/>
      <dgm:spPr/>
      <dgm:t>
        <a:bodyPr/>
        <a:lstStyle/>
        <a:p>
          <a:endParaRPr lang="tr-TR" sz="1000"/>
        </a:p>
      </dgm:t>
    </dgm:pt>
    <dgm:pt modelId="{0B884ECE-737E-41BD-B65F-125D173FD1BE}">
      <dgm:prSet custT="1"/>
      <dgm:spPr/>
      <dgm:t>
        <a:bodyPr/>
        <a:lstStyle/>
        <a:p>
          <a:r>
            <a:rPr lang="tr-TR" sz="1000">
              <a:latin typeface="Times New Roman" pitchFamily="18" charset="0"/>
              <a:cs typeface="Times New Roman" pitchFamily="18" charset="0"/>
            </a:rPr>
            <a:t>verimlilik</a:t>
          </a:r>
        </a:p>
      </dgm:t>
    </dgm:pt>
    <dgm:pt modelId="{6E2A9F1F-D21A-48AD-BB71-6488D2AB58D3}" type="parTrans" cxnId="{AFE85EF1-254D-4B36-968B-A4FB2FC8DF1F}">
      <dgm:prSet custT="1"/>
      <dgm:spPr/>
      <dgm:t>
        <a:bodyPr/>
        <a:lstStyle/>
        <a:p>
          <a:endParaRPr lang="tr-TR" sz="1000"/>
        </a:p>
      </dgm:t>
    </dgm:pt>
    <dgm:pt modelId="{252C2F88-DB47-4000-A2DE-C5C1663A734B}" type="sibTrans" cxnId="{AFE85EF1-254D-4B36-968B-A4FB2FC8DF1F}">
      <dgm:prSet/>
      <dgm:spPr/>
      <dgm:t>
        <a:bodyPr/>
        <a:lstStyle/>
        <a:p>
          <a:endParaRPr lang="tr-TR" sz="1000"/>
        </a:p>
      </dgm:t>
    </dgm:pt>
    <dgm:pt modelId="{8153D23D-7682-4786-87AD-103DBA5DB7BE}">
      <dgm:prSet custT="1"/>
      <dgm:spPr/>
      <dgm:t>
        <a:bodyPr/>
        <a:lstStyle/>
        <a:p>
          <a:r>
            <a:rPr lang="tr-TR" sz="1000">
              <a:latin typeface="Times New Roman" pitchFamily="18" charset="0"/>
              <a:cs typeface="Times New Roman" pitchFamily="18" charset="0"/>
            </a:rPr>
            <a:t>iletişim </a:t>
          </a:r>
        </a:p>
      </dgm:t>
    </dgm:pt>
    <dgm:pt modelId="{E91484AE-FBED-46AC-865B-48743C032402}" type="parTrans" cxnId="{6FF2633D-CAF2-40F7-B769-DF5A254105B5}">
      <dgm:prSet custT="1"/>
      <dgm:spPr/>
      <dgm:t>
        <a:bodyPr/>
        <a:lstStyle/>
        <a:p>
          <a:endParaRPr lang="tr-TR" sz="1000"/>
        </a:p>
      </dgm:t>
    </dgm:pt>
    <dgm:pt modelId="{832482D1-6BE0-4216-84D4-98E0FE8760B0}" type="sibTrans" cxnId="{6FF2633D-CAF2-40F7-B769-DF5A254105B5}">
      <dgm:prSet/>
      <dgm:spPr/>
      <dgm:t>
        <a:bodyPr/>
        <a:lstStyle/>
        <a:p>
          <a:endParaRPr lang="tr-TR" sz="1000"/>
        </a:p>
      </dgm:t>
    </dgm:pt>
    <dgm:pt modelId="{A7670039-5FF6-4661-96B8-926C11224C80}">
      <dgm:prSet custT="1"/>
      <dgm:spPr/>
      <dgm:t>
        <a:bodyPr/>
        <a:lstStyle/>
        <a:p>
          <a:r>
            <a:rPr lang="tr-TR" sz="1000">
              <a:latin typeface="Times New Roman" pitchFamily="18" charset="0"/>
              <a:cs typeface="Times New Roman" pitchFamily="18" charset="0"/>
            </a:rPr>
            <a:t>amaç</a:t>
          </a:r>
        </a:p>
      </dgm:t>
    </dgm:pt>
    <dgm:pt modelId="{C078F51A-0534-4EB2-92D6-A1F1DFC9B10C}" type="parTrans" cxnId="{3767932E-5C3B-4F28-B734-2F860882A313}">
      <dgm:prSet custT="1"/>
      <dgm:spPr/>
      <dgm:t>
        <a:bodyPr/>
        <a:lstStyle/>
        <a:p>
          <a:endParaRPr lang="tr-TR" sz="1000"/>
        </a:p>
      </dgm:t>
    </dgm:pt>
    <dgm:pt modelId="{AA8B168D-E655-40BC-BCF1-7E532FB83E7C}" type="sibTrans" cxnId="{3767932E-5C3B-4F28-B734-2F860882A313}">
      <dgm:prSet/>
      <dgm:spPr/>
      <dgm:t>
        <a:bodyPr/>
        <a:lstStyle/>
        <a:p>
          <a:endParaRPr lang="tr-TR" sz="1000"/>
        </a:p>
      </dgm:t>
    </dgm:pt>
    <dgm:pt modelId="{96215BD4-4F63-4180-A01F-EFD17F260DA2}">
      <dgm:prSet custT="1"/>
      <dgm:spPr/>
      <dgm:t>
        <a:bodyPr/>
        <a:lstStyle/>
        <a:p>
          <a:r>
            <a:rPr lang="tr-TR" sz="1000">
              <a:latin typeface="Times New Roman" pitchFamily="18" charset="0"/>
              <a:cs typeface="Times New Roman" pitchFamily="18" charset="0"/>
            </a:rPr>
            <a:t>yetki</a:t>
          </a:r>
        </a:p>
      </dgm:t>
    </dgm:pt>
    <dgm:pt modelId="{CD38D6DA-CBB3-40DE-9715-9B04638F569D}" type="parTrans" cxnId="{3346A7B2-6B09-4A3B-9F18-2AD5048ABEDF}">
      <dgm:prSet custT="1"/>
      <dgm:spPr/>
      <dgm:t>
        <a:bodyPr/>
        <a:lstStyle/>
        <a:p>
          <a:endParaRPr lang="tr-TR" sz="1000"/>
        </a:p>
      </dgm:t>
    </dgm:pt>
    <dgm:pt modelId="{8ABCEABA-6E35-4F69-83CF-BB7E0E5D8D34}" type="sibTrans" cxnId="{3346A7B2-6B09-4A3B-9F18-2AD5048ABEDF}">
      <dgm:prSet/>
      <dgm:spPr/>
      <dgm:t>
        <a:bodyPr/>
        <a:lstStyle/>
        <a:p>
          <a:endParaRPr lang="tr-TR" sz="1000"/>
        </a:p>
      </dgm:t>
    </dgm:pt>
    <dgm:pt modelId="{0C7211B1-23DB-4B3A-A21B-70C5545B4A2B}">
      <dgm:prSet custT="1"/>
      <dgm:spPr/>
      <dgm:t>
        <a:bodyPr/>
        <a:lstStyle/>
        <a:p>
          <a:r>
            <a:rPr lang="tr-TR" sz="1000">
              <a:latin typeface="Times New Roman" pitchFamily="18" charset="0"/>
              <a:cs typeface="Times New Roman" pitchFamily="18" charset="0"/>
            </a:rPr>
            <a:t>sorumluluk</a:t>
          </a:r>
        </a:p>
      </dgm:t>
    </dgm:pt>
    <dgm:pt modelId="{F9CF6ED4-A25B-44B9-AC74-5766E0D126E4}" type="parTrans" cxnId="{E0741F84-B521-4102-A155-4BBEA51D0C10}">
      <dgm:prSet custT="1"/>
      <dgm:spPr/>
      <dgm:t>
        <a:bodyPr/>
        <a:lstStyle/>
        <a:p>
          <a:endParaRPr lang="tr-TR" sz="1000"/>
        </a:p>
      </dgm:t>
    </dgm:pt>
    <dgm:pt modelId="{CACC8E03-C580-486F-9E83-2E5D8FF765B4}" type="sibTrans" cxnId="{E0741F84-B521-4102-A155-4BBEA51D0C10}">
      <dgm:prSet/>
      <dgm:spPr/>
      <dgm:t>
        <a:bodyPr/>
        <a:lstStyle/>
        <a:p>
          <a:endParaRPr lang="tr-TR" sz="1000"/>
        </a:p>
      </dgm:t>
    </dgm:pt>
    <dgm:pt modelId="{D968F0A6-50D4-4875-B8E6-C01AFEEF6EE6}">
      <dgm:prSet custT="1"/>
      <dgm:spPr/>
      <dgm:t>
        <a:bodyPr/>
        <a:lstStyle/>
        <a:p>
          <a:r>
            <a:rPr lang="tr-TR" sz="1000">
              <a:latin typeface="Times New Roman" pitchFamily="18" charset="0"/>
              <a:cs typeface="Times New Roman" pitchFamily="18" charset="0"/>
            </a:rPr>
            <a:t>hiyerarşi</a:t>
          </a:r>
          <a:endParaRPr lang="tr-TR" sz="1000"/>
        </a:p>
      </dgm:t>
    </dgm:pt>
    <dgm:pt modelId="{857FF0BE-D5E2-4042-AF3B-647ABFBE4745}" type="parTrans" cxnId="{60079CCE-7A19-4A49-B4A8-88FD7627A95E}">
      <dgm:prSet custT="1"/>
      <dgm:spPr/>
      <dgm:t>
        <a:bodyPr/>
        <a:lstStyle/>
        <a:p>
          <a:endParaRPr lang="tr-TR" sz="1000"/>
        </a:p>
      </dgm:t>
    </dgm:pt>
    <dgm:pt modelId="{674F7F10-1151-40FB-B5B4-C8C51FB4E5CD}" type="sibTrans" cxnId="{60079CCE-7A19-4A49-B4A8-88FD7627A95E}">
      <dgm:prSet/>
      <dgm:spPr/>
      <dgm:t>
        <a:bodyPr/>
        <a:lstStyle/>
        <a:p>
          <a:endParaRPr lang="tr-TR" sz="1000"/>
        </a:p>
      </dgm:t>
    </dgm:pt>
    <dgm:pt modelId="{8A44D6C1-2F00-4EAE-AE27-50A664B83517}">
      <dgm:prSet custT="1"/>
      <dgm:spPr/>
      <dgm:t>
        <a:bodyPr/>
        <a:lstStyle/>
        <a:p>
          <a:r>
            <a:rPr lang="tr-TR" sz="1000">
              <a:latin typeface="Times New Roman" pitchFamily="18" charset="0"/>
              <a:cs typeface="Times New Roman" pitchFamily="18" charset="0"/>
            </a:rPr>
            <a:t>denetim</a:t>
          </a:r>
        </a:p>
      </dgm:t>
    </dgm:pt>
    <dgm:pt modelId="{3071B29C-B913-4C0A-A19B-D2EC57D28744}" type="parTrans" cxnId="{489B96E0-4C89-4F61-8A75-5F2ADC1A5A7C}">
      <dgm:prSet custT="1"/>
      <dgm:spPr/>
      <dgm:t>
        <a:bodyPr/>
        <a:lstStyle/>
        <a:p>
          <a:endParaRPr lang="tr-TR" sz="1000"/>
        </a:p>
      </dgm:t>
    </dgm:pt>
    <dgm:pt modelId="{6D26C155-A6A7-4CEF-B740-66FEFEAB25B9}" type="sibTrans" cxnId="{489B96E0-4C89-4F61-8A75-5F2ADC1A5A7C}">
      <dgm:prSet/>
      <dgm:spPr/>
      <dgm:t>
        <a:bodyPr/>
        <a:lstStyle/>
        <a:p>
          <a:endParaRPr lang="tr-TR" sz="1000"/>
        </a:p>
      </dgm:t>
    </dgm:pt>
    <dgm:pt modelId="{CF632B43-0CFA-4E1C-84B8-BCD0F6B9F2A5}">
      <dgm:prSet custT="1"/>
      <dgm:spPr/>
      <dgm:t>
        <a:bodyPr/>
        <a:lstStyle/>
        <a:p>
          <a:r>
            <a:rPr lang="tr-TR" sz="1000">
              <a:latin typeface="Times New Roman" pitchFamily="18" charset="0"/>
              <a:cs typeface="Times New Roman" pitchFamily="18" charset="0"/>
            </a:rPr>
            <a:t>öğretmen sağlığı</a:t>
          </a:r>
        </a:p>
      </dgm:t>
    </dgm:pt>
    <dgm:pt modelId="{D1117228-9233-4134-A1F8-E039B425EAD3}" type="parTrans" cxnId="{8F0C3B2F-EF9F-4D03-941F-164FBDAB3F41}">
      <dgm:prSet custT="1"/>
      <dgm:spPr/>
      <dgm:t>
        <a:bodyPr/>
        <a:lstStyle/>
        <a:p>
          <a:endParaRPr lang="tr-TR" sz="1000"/>
        </a:p>
      </dgm:t>
    </dgm:pt>
    <dgm:pt modelId="{F92A472B-BBAF-4AB4-8926-91513AE92A9F}" type="sibTrans" cxnId="{8F0C3B2F-EF9F-4D03-941F-164FBDAB3F41}">
      <dgm:prSet/>
      <dgm:spPr/>
      <dgm:t>
        <a:bodyPr/>
        <a:lstStyle/>
        <a:p>
          <a:endParaRPr lang="tr-TR" sz="1000"/>
        </a:p>
      </dgm:t>
    </dgm:pt>
    <dgm:pt modelId="{5A81B06F-86BD-47B3-A114-675A057EEC09}" type="pres">
      <dgm:prSet presAssocID="{7A45BF03-C662-4EF9-B6FE-67638486FA27}" presName="diagram" presStyleCnt="0">
        <dgm:presLayoutVars>
          <dgm:chPref val="1"/>
          <dgm:dir/>
          <dgm:animOne val="branch"/>
          <dgm:animLvl val="lvl"/>
          <dgm:resizeHandles val="exact"/>
        </dgm:presLayoutVars>
      </dgm:prSet>
      <dgm:spPr/>
      <dgm:t>
        <a:bodyPr/>
        <a:lstStyle/>
        <a:p>
          <a:endParaRPr lang="tr-TR"/>
        </a:p>
      </dgm:t>
    </dgm:pt>
    <dgm:pt modelId="{A9192BE1-EFBB-4FB0-A084-C344ED3598E8}" type="pres">
      <dgm:prSet presAssocID="{DD8D5C09-60AD-415B-A0B8-DF3312D49EAE}" presName="root1" presStyleCnt="0"/>
      <dgm:spPr/>
    </dgm:pt>
    <dgm:pt modelId="{02112662-6E4B-475F-A863-E813F97FED45}" type="pres">
      <dgm:prSet presAssocID="{DD8D5C09-60AD-415B-A0B8-DF3312D49EAE}" presName="LevelOneTextNode" presStyleLbl="node0" presStyleIdx="0" presStyleCnt="1">
        <dgm:presLayoutVars>
          <dgm:chPref val="3"/>
        </dgm:presLayoutVars>
      </dgm:prSet>
      <dgm:spPr/>
      <dgm:t>
        <a:bodyPr/>
        <a:lstStyle/>
        <a:p>
          <a:endParaRPr lang="tr-TR"/>
        </a:p>
      </dgm:t>
    </dgm:pt>
    <dgm:pt modelId="{DE12047B-4C3D-4AD6-ABAC-70CDDECDA2EC}" type="pres">
      <dgm:prSet presAssocID="{DD8D5C09-60AD-415B-A0B8-DF3312D49EAE}" presName="level2hierChild" presStyleCnt="0"/>
      <dgm:spPr/>
    </dgm:pt>
    <dgm:pt modelId="{DB72AEB4-2C8C-4ADC-A509-0DE19556D9DE}" type="pres">
      <dgm:prSet presAssocID="{083DBC8A-5958-4F25-A33D-34FF781376C3}" presName="conn2-1" presStyleLbl="parChTrans1D2" presStyleIdx="0" presStyleCnt="2"/>
      <dgm:spPr/>
      <dgm:t>
        <a:bodyPr/>
        <a:lstStyle/>
        <a:p>
          <a:endParaRPr lang="tr-TR"/>
        </a:p>
      </dgm:t>
    </dgm:pt>
    <dgm:pt modelId="{7E2B779A-9187-47E7-805E-77274767896B}" type="pres">
      <dgm:prSet presAssocID="{083DBC8A-5958-4F25-A33D-34FF781376C3}" presName="connTx" presStyleLbl="parChTrans1D2" presStyleIdx="0" presStyleCnt="2"/>
      <dgm:spPr/>
      <dgm:t>
        <a:bodyPr/>
        <a:lstStyle/>
        <a:p>
          <a:endParaRPr lang="tr-TR"/>
        </a:p>
      </dgm:t>
    </dgm:pt>
    <dgm:pt modelId="{6EEAB25A-EBA8-4127-917B-2466638A4448}" type="pres">
      <dgm:prSet presAssocID="{E4D09674-E76B-40FE-9A84-CD3443C39A63}" presName="root2" presStyleCnt="0"/>
      <dgm:spPr/>
    </dgm:pt>
    <dgm:pt modelId="{3680C6CB-E5FF-4BE3-A14C-A30AB4251FD2}" type="pres">
      <dgm:prSet presAssocID="{E4D09674-E76B-40FE-9A84-CD3443C39A63}" presName="LevelTwoTextNode" presStyleLbl="node2" presStyleIdx="0" presStyleCnt="2">
        <dgm:presLayoutVars>
          <dgm:chPref val="3"/>
        </dgm:presLayoutVars>
      </dgm:prSet>
      <dgm:spPr/>
      <dgm:t>
        <a:bodyPr/>
        <a:lstStyle/>
        <a:p>
          <a:endParaRPr lang="tr-TR"/>
        </a:p>
      </dgm:t>
    </dgm:pt>
    <dgm:pt modelId="{07A8DD4E-7E59-4B9B-BB1C-FDA63C222505}" type="pres">
      <dgm:prSet presAssocID="{E4D09674-E76B-40FE-9A84-CD3443C39A63}" presName="level3hierChild" presStyleCnt="0"/>
      <dgm:spPr/>
    </dgm:pt>
    <dgm:pt modelId="{0740D837-E3F4-4E2F-9600-6A35E69ED1D9}" type="pres">
      <dgm:prSet presAssocID="{6E2A9F1F-D21A-48AD-BB71-6488D2AB58D3}" presName="conn2-1" presStyleLbl="parChTrans1D3" presStyleIdx="0" presStyleCnt="8"/>
      <dgm:spPr/>
      <dgm:t>
        <a:bodyPr/>
        <a:lstStyle/>
        <a:p>
          <a:endParaRPr lang="tr-TR"/>
        </a:p>
      </dgm:t>
    </dgm:pt>
    <dgm:pt modelId="{6B26C279-2C4C-4656-8C48-3F2A96EF2F6B}" type="pres">
      <dgm:prSet presAssocID="{6E2A9F1F-D21A-48AD-BB71-6488D2AB58D3}" presName="connTx" presStyleLbl="parChTrans1D3" presStyleIdx="0" presStyleCnt="8"/>
      <dgm:spPr/>
      <dgm:t>
        <a:bodyPr/>
        <a:lstStyle/>
        <a:p>
          <a:endParaRPr lang="tr-TR"/>
        </a:p>
      </dgm:t>
    </dgm:pt>
    <dgm:pt modelId="{F745EFDC-220D-4FB1-960D-3C9E4074C9E6}" type="pres">
      <dgm:prSet presAssocID="{0B884ECE-737E-41BD-B65F-125D173FD1BE}" presName="root2" presStyleCnt="0"/>
      <dgm:spPr/>
    </dgm:pt>
    <dgm:pt modelId="{5E941BB8-395A-451B-B0BB-10B332096B9C}" type="pres">
      <dgm:prSet presAssocID="{0B884ECE-737E-41BD-B65F-125D173FD1BE}" presName="LevelTwoTextNode" presStyleLbl="node3" presStyleIdx="0" presStyleCnt="8">
        <dgm:presLayoutVars>
          <dgm:chPref val="3"/>
        </dgm:presLayoutVars>
      </dgm:prSet>
      <dgm:spPr/>
      <dgm:t>
        <a:bodyPr/>
        <a:lstStyle/>
        <a:p>
          <a:endParaRPr lang="tr-TR"/>
        </a:p>
      </dgm:t>
    </dgm:pt>
    <dgm:pt modelId="{E8E68349-1791-454E-964E-40B0EE6FED45}" type="pres">
      <dgm:prSet presAssocID="{0B884ECE-737E-41BD-B65F-125D173FD1BE}" presName="level3hierChild" presStyleCnt="0"/>
      <dgm:spPr/>
    </dgm:pt>
    <dgm:pt modelId="{F1C32B80-5100-4084-B259-D45E6F6F1886}" type="pres">
      <dgm:prSet presAssocID="{E91484AE-FBED-46AC-865B-48743C032402}" presName="conn2-1" presStyleLbl="parChTrans1D3" presStyleIdx="1" presStyleCnt="8"/>
      <dgm:spPr/>
      <dgm:t>
        <a:bodyPr/>
        <a:lstStyle/>
        <a:p>
          <a:endParaRPr lang="tr-TR"/>
        </a:p>
      </dgm:t>
    </dgm:pt>
    <dgm:pt modelId="{A571D854-8DC3-4997-B64C-64EAC515057D}" type="pres">
      <dgm:prSet presAssocID="{E91484AE-FBED-46AC-865B-48743C032402}" presName="connTx" presStyleLbl="parChTrans1D3" presStyleIdx="1" presStyleCnt="8"/>
      <dgm:spPr/>
      <dgm:t>
        <a:bodyPr/>
        <a:lstStyle/>
        <a:p>
          <a:endParaRPr lang="tr-TR"/>
        </a:p>
      </dgm:t>
    </dgm:pt>
    <dgm:pt modelId="{BA326DF8-6864-45FB-B6A1-2D184D514895}" type="pres">
      <dgm:prSet presAssocID="{8153D23D-7682-4786-87AD-103DBA5DB7BE}" presName="root2" presStyleCnt="0"/>
      <dgm:spPr/>
    </dgm:pt>
    <dgm:pt modelId="{798C24F8-3CF9-4D50-B031-F2377C0B10F3}" type="pres">
      <dgm:prSet presAssocID="{8153D23D-7682-4786-87AD-103DBA5DB7BE}" presName="LevelTwoTextNode" presStyleLbl="node3" presStyleIdx="1" presStyleCnt="8">
        <dgm:presLayoutVars>
          <dgm:chPref val="3"/>
        </dgm:presLayoutVars>
      </dgm:prSet>
      <dgm:spPr/>
      <dgm:t>
        <a:bodyPr/>
        <a:lstStyle/>
        <a:p>
          <a:endParaRPr lang="tr-TR"/>
        </a:p>
      </dgm:t>
    </dgm:pt>
    <dgm:pt modelId="{8603F47A-1431-43E5-AD20-890DAAE8A703}" type="pres">
      <dgm:prSet presAssocID="{8153D23D-7682-4786-87AD-103DBA5DB7BE}" presName="level3hierChild" presStyleCnt="0"/>
      <dgm:spPr/>
    </dgm:pt>
    <dgm:pt modelId="{13F25DD4-7AE7-4B70-A071-7B809098F086}" type="pres">
      <dgm:prSet presAssocID="{C078F51A-0534-4EB2-92D6-A1F1DFC9B10C}" presName="conn2-1" presStyleLbl="parChTrans1D3" presStyleIdx="2" presStyleCnt="8"/>
      <dgm:spPr/>
      <dgm:t>
        <a:bodyPr/>
        <a:lstStyle/>
        <a:p>
          <a:endParaRPr lang="tr-TR"/>
        </a:p>
      </dgm:t>
    </dgm:pt>
    <dgm:pt modelId="{DCA4432B-FCFF-410E-951B-27E49D351CEB}" type="pres">
      <dgm:prSet presAssocID="{C078F51A-0534-4EB2-92D6-A1F1DFC9B10C}" presName="connTx" presStyleLbl="parChTrans1D3" presStyleIdx="2" presStyleCnt="8"/>
      <dgm:spPr/>
      <dgm:t>
        <a:bodyPr/>
        <a:lstStyle/>
        <a:p>
          <a:endParaRPr lang="tr-TR"/>
        </a:p>
      </dgm:t>
    </dgm:pt>
    <dgm:pt modelId="{984A7EC7-4AF9-4C85-9427-3198018FBD12}" type="pres">
      <dgm:prSet presAssocID="{A7670039-5FF6-4661-96B8-926C11224C80}" presName="root2" presStyleCnt="0"/>
      <dgm:spPr/>
    </dgm:pt>
    <dgm:pt modelId="{2D3B4B31-9FB0-4530-B364-A7C20BD447E3}" type="pres">
      <dgm:prSet presAssocID="{A7670039-5FF6-4661-96B8-926C11224C80}" presName="LevelTwoTextNode" presStyleLbl="node3" presStyleIdx="2" presStyleCnt="8">
        <dgm:presLayoutVars>
          <dgm:chPref val="3"/>
        </dgm:presLayoutVars>
      </dgm:prSet>
      <dgm:spPr/>
      <dgm:t>
        <a:bodyPr/>
        <a:lstStyle/>
        <a:p>
          <a:endParaRPr lang="tr-TR"/>
        </a:p>
      </dgm:t>
    </dgm:pt>
    <dgm:pt modelId="{3A4648EE-B4CD-4DAE-94FE-91B18B7A0FFD}" type="pres">
      <dgm:prSet presAssocID="{A7670039-5FF6-4661-96B8-926C11224C80}" presName="level3hierChild" presStyleCnt="0"/>
      <dgm:spPr/>
    </dgm:pt>
    <dgm:pt modelId="{64FFBC90-0833-4076-8487-0539ACCDDDB1}" type="pres">
      <dgm:prSet presAssocID="{3071B29C-B913-4C0A-A19B-D2EC57D28744}" presName="conn2-1" presStyleLbl="parChTrans1D3" presStyleIdx="3" presStyleCnt="8"/>
      <dgm:spPr/>
      <dgm:t>
        <a:bodyPr/>
        <a:lstStyle/>
        <a:p>
          <a:endParaRPr lang="tr-TR"/>
        </a:p>
      </dgm:t>
    </dgm:pt>
    <dgm:pt modelId="{B94926DD-20AF-4DB8-A2E6-35032CFB70AF}" type="pres">
      <dgm:prSet presAssocID="{3071B29C-B913-4C0A-A19B-D2EC57D28744}" presName="connTx" presStyleLbl="parChTrans1D3" presStyleIdx="3" presStyleCnt="8"/>
      <dgm:spPr/>
      <dgm:t>
        <a:bodyPr/>
        <a:lstStyle/>
        <a:p>
          <a:endParaRPr lang="tr-TR"/>
        </a:p>
      </dgm:t>
    </dgm:pt>
    <dgm:pt modelId="{1AC68911-7846-4E4A-B823-39DF83A4228A}" type="pres">
      <dgm:prSet presAssocID="{8A44D6C1-2F00-4EAE-AE27-50A664B83517}" presName="root2" presStyleCnt="0"/>
      <dgm:spPr/>
    </dgm:pt>
    <dgm:pt modelId="{98C0B7E9-ADD3-4C70-AFCD-6D4C05F742FB}" type="pres">
      <dgm:prSet presAssocID="{8A44D6C1-2F00-4EAE-AE27-50A664B83517}" presName="LevelTwoTextNode" presStyleLbl="node3" presStyleIdx="3" presStyleCnt="8">
        <dgm:presLayoutVars>
          <dgm:chPref val="3"/>
        </dgm:presLayoutVars>
      </dgm:prSet>
      <dgm:spPr/>
      <dgm:t>
        <a:bodyPr/>
        <a:lstStyle/>
        <a:p>
          <a:endParaRPr lang="tr-TR"/>
        </a:p>
      </dgm:t>
    </dgm:pt>
    <dgm:pt modelId="{C72F1179-F8A7-4B2E-BAEE-16E46105D231}" type="pres">
      <dgm:prSet presAssocID="{8A44D6C1-2F00-4EAE-AE27-50A664B83517}" presName="level3hierChild" presStyleCnt="0"/>
      <dgm:spPr/>
    </dgm:pt>
    <dgm:pt modelId="{C6155351-8BB1-4E65-AF2A-187FC79B703C}" type="pres">
      <dgm:prSet presAssocID="{D1117228-9233-4134-A1F8-E039B425EAD3}" presName="conn2-1" presStyleLbl="parChTrans1D3" presStyleIdx="4" presStyleCnt="8"/>
      <dgm:spPr/>
      <dgm:t>
        <a:bodyPr/>
        <a:lstStyle/>
        <a:p>
          <a:endParaRPr lang="tr-TR"/>
        </a:p>
      </dgm:t>
    </dgm:pt>
    <dgm:pt modelId="{6CE05191-3F1B-4005-BF7F-FEB2BAFC66E7}" type="pres">
      <dgm:prSet presAssocID="{D1117228-9233-4134-A1F8-E039B425EAD3}" presName="connTx" presStyleLbl="parChTrans1D3" presStyleIdx="4" presStyleCnt="8"/>
      <dgm:spPr/>
      <dgm:t>
        <a:bodyPr/>
        <a:lstStyle/>
        <a:p>
          <a:endParaRPr lang="tr-TR"/>
        </a:p>
      </dgm:t>
    </dgm:pt>
    <dgm:pt modelId="{450A46A7-52F2-42B5-9DEE-748A4292C3D0}" type="pres">
      <dgm:prSet presAssocID="{CF632B43-0CFA-4E1C-84B8-BCD0F6B9F2A5}" presName="root2" presStyleCnt="0"/>
      <dgm:spPr/>
    </dgm:pt>
    <dgm:pt modelId="{C1BF0C6D-E640-4571-99C5-9C3BEFF10AB7}" type="pres">
      <dgm:prSet presAssocID="{CF632B43-0CFA-4E1C-84B8-BCD0F6B9F2A5}" presName="LevelTwoTextNode" presStyleLbl="node3" presStyleIdx="4" presStyleCnt="8">
        <dgm:presLayoutVars>
          <dgm:chPref val="3"/>
        </dgm:presLayoutVars>
      </dgm:prSet>
      <dgm:spPr/>
      <dgm:t>
        <a:bodyPr/>
        <a:lstStyle/>
        <a:p>
          <a:endParaRPr lang="tr-TR"/>
        </a:p>
      </dgm:t>
    </dgm:pt>
    <dgm:pt modelId="{5F343525-446D-449D-81FC-A11CC74556D4}" type="pres">
      <dgm:prSet presAssocID="{CF632B43-0CFA-4E1C-84B8-BCD0F6B9F2A5}" presName="level3hierChild" presStyleCnt="0"/>
      <dgm:spPr/>
    </dgm:pt>
    <dgm:pt modelId="{21EF453A-DF40-4725-A50B-C49A14A6C5AB}" type="pres">
      <dgm:prSet presAssocID="{57AD4DAD-F614-4AE3-BC2F-F05940E25F36}" presName="conn2-1" presStyleLbl="parChTrans1D2" presStyleIdx="1" presStyleCnt="2"/>
      <dgm:spPr/>
      <dgm:t>
        <a:bodyPr/>
        <a:lstStyle/>
        <a:p>
          <a:endParaRPr lang="tr-TR"/>
        </a:p>
      </dgm:t>
    </dgm:pt>
    <dgm:pt modelId="{C0FE9F8F-EE69-4512-A708-43F36CB9394A}" type="pres">
      <dgm:prSet presAssocID="{57AD4DAD-F614-4AE3-BC2F-F05940E25F36}" presName="connTx" presStyleLbl="parChTrans1D2" presStyleIdx="1" presStyleCnt="2"/>
      <dgm:spPr/>
      <dgm:t>
        <a:bodyPr/>
        <a:lstStyle/>
        <a:p>
          <a:endParaRPr lang="tr-TR"/>
        </a:p>
      </dgm:t>
    </dgm:pt>
    <dgm:pt modelId="{27FD98D3-CAC2-4A6D-97FA-0936E40F0E9C}" type="pres">
      <dgm:prSet presAssocID="{1FBD5C9B-951B-4468-AE51-8283A9D2E344}" presName="root2" presStyleCnt="0"/>
      <dgm:spPr/>
    </dgm:pt>
    <dgm:pt modelId="{A3CBFEFE-0DCA-4A2D-875D-17C94D732562}" type="pres">
      <dgm:prSet presAssocID="{1FBD5C9B-951B-4468-AE51-8283A9D2E344}" presName="LevelTwoTextNode" presStyleLbl="node2" presStyleIdx="1" presStyleCnt="2">
        <dgm:presLayoutVars>
          <dgm:chPref val="3"/>
        </dgm:presLayoutVars>
      </dgm:prSet>
      <dgm:spPr/>
      <dgm:t>
        <a:bodyPr/>
        <a:lstStyle/>
        <a:p>
          <a:endParaRPr lang="tr-TR"/>
        </a:p>
      </dgm:t>
    </dgm:pt>
    <dgm:pt modelId="{CACC32AE-0FAA-4A67-9625-A040CA93A0A6}" type="pres">
      <dgm:prSet presAssocID="{1FBD5C9B-951B-4468-AE51-8283A9D2E344}" presName="level3hierChild" presStyleCnt="0"/>
      <dgm:spPr/>
    </dgm:pt>
    <dgm:pt modelId="{31EA935C-62B5-4861-B793-F92C781AB95A}" type="pres">
      <dgm:prSet presAssocID="{CD38D6DA-CBB3-40DE-9715-9B04638F569D}" presName="conn2-1" presStyleLbl="parChTrans1D3" presStyleIdx="5" presStyleCnt="8"/>
      <dgm:spPr/>
      <dgm:t>
        <a:bodyPr/>
        <a:lstStyle/>
        <a:p>
          <a:endParaRPr lang="tr-TR"/>
        </a:p>
      </dgm:t>
    </dgm:pt>
    <dgm:pt modelId="{91485A09-8488-4186-82D2-84BCDA3F91AA}" type="pres">
      <dgm:prSet presAssocID="{CD38D6DA-CBB3-40DE-9715-9B04638F569D}" presName="connTx" presStyleLbl="parChTrans1D3" presStyleIdx="5" presStyleCnt="8"/>
      <dgm:spPr/>
      <dgm:t>
        <a:bodyPr/>
        <a:lstStyle/>
        <a:p>
          <a:endParaRPr lang="tr-TR"/>
        </a:p>
      </dgm:t>
    </dgm:pt>
    <dgm:pt modelId="{DE911BAE-5636-4677-AA0B-FA5206578740}" type="pres">
      <dgm:prSet presAssocID="{96215BD4-4F63-4180-A01F-EFD17F260DA2}" presName="root2" presStyleCnt="0"/>
      <dgm:spPr/>
    </dgm:pt>
    <dgm:pt modelId="{2271DF46-06DC-4BC3-92BD-ABA9933DE6BE}" type="pres">
      <dgm:prSet presAssocID="{96215BD4-4F63-4180-A01F-EFD17F260DA2}" presName="LevelTwoTextNode" presStyleLbl="node3" presStyleIdx="5" presStyleCnt="8">
        <dgm:presLayoutVars>
          <dgm:chPref val="3"/>
        </dgm:presLayoutVars>
      </dgm:prSet>
      <dgm:spPr/>
      <dgm:t>
        <a:bodyPr/>
        <a:lstStyle/>
        <a:p>
          <a:endParaRPr lang="tr-TR"/>
        </a:p>
      </dgm:t>
    </dgm:pt>
    <dgm:pt modelId="{E2E2A48C-3E59-4EDE-AD46-CA367E8EF024}" type="pres">
      <dgm:prSet presAssocID="{96215BD4-4F63-4180-A01F-EFD17F260DA2}" presName="level3hierChild" presStyleCnt="0"/>
      <dgm:spPr/>
    </dgm:pt>
    <dgm:pt modelId="{9B7CB92D-77EF-4836-9540-87D380F4283F}" type="pres">
      <dgm:prSet presAssocID="{F9CF6ED4-A25B-44B9-AC74-5766E0D126E4}" presName="conn2-1" presStyleLbl="parChTrans1D3" presStyleIdx="6" presStyleCnt="8"/>
      <dgm:spPr/>
      <dgm:t>
        <a:bodyPr/>
        <a:lstStyle/>
        <a:p>
          <a:endParaRPr lang="tr-TR"/>
        </a:p>
      </dgm:t>
    </dgm:pt>
    <dgm:pt modelId="{EB863BDB-8203-4D51-B129-CF37D745015F}" type="pres">
      <dgm:prSet presAssocID="{F9CF6ED4-A25B-44B9-AC74-5766E0D126E4}" presName="connTx" presStyleLbl="parChTrans1D3" presStyleIdx="6" presStyleCnt="8"/>
      <dgm:spPr/>
      <dgm:t>
        <a:bodyPr/>
        <a:lstStyle/>
        <a:p>
          <a:endParaRPr lang="tr-TR"/>
        </a:p>
      </dgm:t>
    </dgm:pt>
    <dgm:pt modelId="{B2044CA4-376C-42F5-A725-BB128F265D62}" type="pres">
      <dgm:prSet presAssocID="{0C7211B1-23DB-4B3A-A21B-70C5545B4A2B}" presName="root2" presStyleCnt="0"/>
      <dgm:spPr/>
    </dgm:pt>
    <dgm:pt modelId="{34EF9A02-2687-4C5E-811A-4C8D214554DA}" type="pres">
      <dgm:prSet presAssocID="{0C7211B1-23DB-4B3A-A21B-70C5545B4A2B}" presName="LevelTwoTextNode" presStyleLbl="node3" presStyleIdx="6" presStyleCnt="8">
        <dgm:presLayoutVars>
          <dgm:chPref val="3"/>
        </dgm:presLayoutVars>
      </dgm:prSet>
      <dgm:spPr/>
      <dgm:t>
        <a:bodyPr/>
        <a:lstStyle/>
        <a:p>
          <a:endParaRPr lang="tr-TR"/>
        </a:p>
      </dgm:t>
    </dgm:pt>
    <dgm:pt modelId="{330450E1-7A64-4B8B-A2B6-B19EBA3A98A6}" type="pres">
      <dgm:prSet presAssocID="{0C7211B1-23DB-4B3A-A21B-70C5545B4A2B}" presName="level3hierChild" presStyleCnt="0"/>
      <dgm:spPr/>
    </dgm:pt>
    <dgm:pt modelId="{9E40D06E-CD71-4D85-BD86-03F0ED92ACF9}" type="pres">
      <dgm:prSet presAssocID="{857FF0BE-D5E2-4042-AF3B-647ABFBE4745}" presName="conn2-1" presStyleLbl="parChTrans1D3" presStyleIdx="7" presStyleCnt="8"/>
      <dgm:spPr/>
      <dgm:t>
        <a:bodyPr/>
        <a:lstStyle/>
        <a:p>
          <a:endParaRPr lang="tr-TR"/>
        </a:p>
      </dgm:t>
    </dgm:pt>
    <dgm:pt modelId="{B32D1144-C845-4C78-A2B9-596C10ABFC9C}" type="pres">
      <dgm:prSet presAssocID="{857FF0BE-D5E2-4042-AF3B-647ABFBE4745}" presName="connTx" presStyleLbl="parChTrans1D3" presStyleIdx="7" presStyleCnt="8"/>
      <dgm:spPr/>
      <dgm:t>
        <a:bodyPr/>
        <a:lstStyle/>
        <a:p>
          <a:endParaRPr lang="tr-TR"/>
        </a:p>
      </dgm:t>
    </dgm:pt>
    <dgm:pt modelId="{AD787D56-76D3-4FC9-9315-C5E67CA6E26C}" type="pres">
      <dgm:prSet presAssocID="{D968F0A6-50D4-4875-B8E6-C01AFEEF6EE6}" presName="root2" presStyleCnt="0"/>
      <dgm:spPr/>
    </dgm:pt>
    <dgm:pt modelId="{4EBE4A45-B478-48F3-8E4F-F8279A1EAA56}" type="pres">
      <dgm:prSet presAssocID="{D968F0A6-50D4-4875-B8E6-C01AFEEF6EE6}" presName="LevelTwoTextNode" presStyleLbl="node3" presStyleIdx="7" presStyleCnt="8">
        <dgm:presLayoutVars>
          <dgm:chPref val="3"/>
        </dgm:presLayoutVars>
      </dgm:prSet>
      <dgm:spPr/>
      <dgm:t>
        <a:bodyPr/>
        <a:lstStyle/>
        <a:p>
          <a:endParaRPr lang="tr-TR"/>
        </a:p>
      </dgm:t>
    </dgm:pt>
    <dgm:pt modelId="{876B91A8-29CA-400E-AF00-ECBC2F3DF8A7}" type="pres">
      <dgm:prSet presAssocID="{D968F0A6-50D4-4875-B8E6-C01AFEEF6EE6}" presName="level3hierChild" presStyleCnt="0"/>
      <dgm:spPr/>
    </dgm:pt>
  </dgm:ptLst>
  <dgm:cxnLst>
    <dgm:cxn modelId="{71C63E11-36E6-42F3-8A7B-8735C4B93FB1}" type="presOf" srcId="{DD8D5C09-60AD-415B-A0B8-DF3312D49EAE}" destId="{02112662-6E4B-475F-A863-E813F97FED45}" srcOrd="0" destOrd="0" presId="urn:microsoft.com/office/officeart/2005/8/layout/hierarchy2"/>
    <dgm:cxn modelId="{F10B4C87-3A4B-42D6-B7D1-05CFC04F40B8}" type="presOf" srcId="{3071B29C-B913-4C0A-A19B-D2EC57D28744}" destId="{64FFBC90-0833-4076-8487-0539ACCDDDB1}" srcOrd="0" destOrd="0" presId="urn:microsoft.com/office/officeart/2005/8/layout/hierarchy2"/>
    <dgm:cxn modelId="{B7F1ECBE-48D0-4667-9E6F-09F4CFCE829D}" type="presOf" srcId="{57AD4DAD-F614-4AE3-BC2F-F05940E25F36}" destId="{21EF453A-DF40-4725-A50B-C49A14A6C5AB}" srcOrd="0" destOrd="0" presId="urn:microsoft.com/office/officeart/2005/8/layout/hierarchy2"/>
    <dgm:cxn modelId="{FE0CC8F1-43C0-482E-8DFB-A5B81DF8F053}" type="presOf" srcId="{8153D23D-7682-4786-87AD-103DBA5DB7BE}" destId="{798C24F8-3CF9-4D50-B031-F2377C0B10F3}" srcOrd="0" destOrd="0" presId="urn:microsoft.com/office/officeart/2005/8/layout/hierarchy2"/>
    <dgm:cxn modelId="{86E24C85-B79D-4BE2-9561-E671E75C9374}" type="presOf" srcId="{D968F0A6-50D4-4875-B8E6-C01AFEEF6EE6}" destId="{4EBE4A45-B478-48F3-8E4F-F8279A1EAA56}" srcOrd="0" destOrd="0" presId="urn:microsoft.com/office/officeart/2005/8/layout/hierarchy2"/>
    <dgm:cxn modelId="{3346A7B2-6B09-4A3B-9F18-2AD5048ABEDF}" srcId="{1FBD5C9B-951B-4468-AE51-8283A9D2E344}" destId="{96215BD4-4F63-4180-A01F-EFD17F260DA2}" srcOrd="0" destOrd="0" parTransId="{CD38D6DA-CBB3-40DE-9715-9B04638F569D}" sibTransId="{8ABCEABA-6E35-4F69-83CF-BB7E0E5D8D34}"/>
    <dgm:cxn modelId="{DD02052E-1809-4651-99AF-3653B111FC2D}" type="presOf" srcId="{6E2A9F1F-D21A-48AD-BB71-6488D2AB58D3}" destId="{0740D837-E3F4-4E2F-9600-6A35E69ED1D9}" srcOrd="0" destOrd="0" presId="urn:microsoft.com/office/officeart/2005/8/layout/hierarchy2"/>
    <dgm:cxn modelId="{2CCEE17B-CEE2-4BAA-821F-FE298D6CDFAB}" type="presOf" srcId="{CD38D6DA-CBB3-40DE-9715-9B04638F569D}" destId="{31EA935C-62B5-4861-B793-F92C781AB95A}" srcOrd="0" destOrd="0" presId="urn:microsoft.com/office/officeart/2005/8/layout/hierarchy2"/>
    <dgm:cxn modelId="{F877C734-2083-4D7D-83ED-B0F9A0FB6FC3}" type="presOf" srcId="{C078F51A-0534-4EB2-92D6-A1F1DFC9B10C}" destId="{13F25DD4-7AE7-4B70-A071-7B809098F086}" srcOrd="0" destOrd="0" presId="urn:microsoft.com/office/officeart/2005/8/layout/hierarchy2"/>
    <dgm:cxn modelId="{B843EB08-904A-45CB-9003-DD87125F9020}" type="presOf" srcId="{857FF0BE-D5E2-4042-AF3B-647ABFBE4745}" destId="{9E40D06E-CD71-4D85-BD86-03F0ED92ACF9}" srcOrd="0" destOrd="0" presId="urn:microsoft.com/office/officeart/2005/8/layout/hierarchy2"/>
    <dgm:cxn modelId="{7CAC07FB-62FD-4F70-A41D-E013AED245DC}" type="presOf" srcId="{857FF0BE-D5E2-4042-AF3B-647ABFBE4745}" destId="{B32D1144-C845-4C78-A2B9-596C10ABFC9C}" srcOrd="1" destOrd="0" presId="urn:microsoft.com/office/officeart/2005/8/layout/hierarchy2"/>
    <dgm:cxn modelId="{85F58F5C-F561-444A-9C09-DF528024F061}" type="presOf" srcId="{0C7211B1-23DB-4B3A-A21B-70C5545B4A2B}" destId="{34EF9A02-2687-4C5E-811A-4C8D214554DA}" srcOrd="0" destOrd="0" presId="urn:microsoft.com/office/officeart/2005/8/layout/hierarchy2"/>
    <dgm:cxn modelId="{077553C0-0288-42C3-B983-4949221BE940}" type="presOf" srcId="{1FBD5C9B-951B-4468-AE51-8283A9D2E344}" destId="{A3CBFEFE-0DCA-4A2D-875D-17C94D732562}" srcOrd="0" destOrd="0" presId="urn:microsoft.com/office/officeart/2005/8/layout/hierarchy2"/>
    <dgm:cxn modelId="{1444442A-C68A-4040-A182-884A4309BA7C}" type="presOf" srcId="{0B884ECE-737E-41BD-B65F-125D173FD1BE}" destId="{5E941BB8-395A-451B-B0BB-10B332096B9C}" srcOrd="0" destOrd="0" presId="urn:microsoft.com/office/officeart/2005/8/layout/hierarchy2"/>
    <dgm:cxn modelId="{C475C51F-4E53-4A45-B950-2EA86DFCF4BE}" type="presOf" srcId="{083DBC8A-5958-4F25-A33D-34FF781376C3}" destId="{7E2B779A-9187-47E7-805E-77274767896B}" srcOrd="1" destOrd="0" presId="urn:microsoft.com/office/officeart/2005/8/layout/hierarchy2"/>
    <dgm:cxn modelId="{63C4871B-5ABE-4C33-BDE2-CBB5D92C2CF2}" type="presOf" srcId="{D1117228-9233-4134-A1F8-E039B425EAD3}" destId="{6CE05191-3F1B-4005-BF7F-FEB2BAFC66E7}" srcOrd="1" destOrd="0" presId="urn:microsoft.com/office/officeart/2005/8/layout/hierarchy2"/>
    <dgm:cxn modelId="{4E623860-2BD8-46AC-9F5F-3493BE7B15A6}" type="presOf" srcId="{E91484AE-FBED-46AC-865B-48743C032402}" destId="{F1C32B80-5100-4084-B259-D45E6F6F1886}" srcOrd="0" destOrd="0" presId="urn:microsoft.com/office/officeart/2005/8/layout/hierarchy2"/>
    <dgm:cxn modelId="{8F0C3B2F-EF9F-4D03-941F-164FBDAB3F41}" srcId="{E4D09674-E76B-40FE-9A84-CD3443C39A63}" destId="{CF632B43-0CFA-4E1C-84B8-BCD0F6B9F2A5}" srcOrd="4" destOrd="0" parTransId="{D1117228-9233-4134-A1F8-E039B425EAD3}" sibTransId="{F92A472B-BBAF-4AB4-8926-91513AE92A9F}"/>
    <dgm:cxn modelId="{3767932E-5C3B-4F28-B734-2F860882A313}" srcId="{E4D09674-E76B-40FE-9A84-CD3443C39A63}" destId="{A7670039-5FF6-4661-96B8-926C11224C80}" srcOrd="2" destOrd="0" parTransId="{C078F51A-0534-4EB2-92D6-A1F1DFC9B10C}" sibTransId="{AA8B168D-E655-40BC-BCF1-7E532FB83E7C}"/>
    <dgm:cxn modelId="{AFE85EF1-254D-4B36-968B-A4FB2FC8DF1F}" srcId="{E4D09674-E76B-40FE-9A84-CD3443C39A63}" destId="{0B884ECE-737E-41BD-B65F-125D173FD1BE}" srcOrd="0" destOrd="0" parTransId="{6E2A9F1F-D21A-48AD-BB71-6488D2AB58D3}" sibTransId="{252C2F88-DB47-4000-A2DE-C5C1663A734B}"/>
    <dgm:cxn modelId="{AEA3ACFC-DB3E-4CFE-88E5-825E7006D81E}" type="presOf" srcId="{D1117228-9233-4134-A1F8-E039B425EAD3}" destId="{C6155351-8BB1-4E65-AF2A-187FC79B703C}" srcOrd="0" destOrd="0" presId="urn:microsoft.com/office/officeart/2005/8/layout/hierarchy2"/>
    <dgm:cxn modelId="{60079CCE-7A19-4A49-B4A8-88FD7627A95E}" srcId="{1FBD5C9B-951B-4468-AE51-8283A9D2E344}" destId="{D968F0A6-50D4-4875-B8E6-C01AFEEF6EE6}" srcOrd="2" destOrd="0" parTransId="{857FF0BE-D5E2-4042-AF3B-647ABFBE4745}" sibTransId="{674F7F10-1151-40FB-B5B4-C8C51FB4E5CD}"/>
    <dgm:cxn modelId="{5F514071-6C88-4677-A962-971DBA5BBA81}" type="presOf" srcId="{57AD4DAD-F614-4AE3-BC2F-F05940E25F36}" destId="{C0FE9F8F-EE69-4512-A708-43F36CB9394A}" srcOrd="1" destOrd="0" presId="urn:microsoft.com/office/officeart/2005/8/layout/hierarchy2"/>
    <dgm:cxn modelId="{2428626C-4975-4A35-B183-3E01EBC4E844}" type="presOf" srcId="{8A44D6C1-2F00-4EAE-AE27-50A664B83517}" destId="{98C0B7E9-ADD3-4C70-AFCD-6D4C05F742FB}" srcOrd="0" destOrd="0" presId="urn:microsoft.com/office/officeart/2005/8/layout/hierarchy2"/>
    <dgm:cxn modelId="{F19AE3D7-655D-48EF-82FB-0DB6E39FB090}" type="presOf" srcId="{083DBC8A-5958-4F25-A33D-34FF781376C3}" destId="{DB72AEB4-2C8C-4ADC-A509-0DE19556D9DE}" srcOrd="0" destOrd="0" presId="urn:microsoft.com/office/officeart/2005/8/layout/hierarchy2"/>
    <dgm:cxn modelId="{E0741F84-B521-4102-A155-4BBEA51D0C10}" srcId="{1FBD5C9B-951B-4468-AE51-8283A9D2E344}" destId="{0C7211B1-23DB-4B3A-A21B-70C5545B4A2B}" srcOrd="1" destOrd="0" parTransId="{F9CF6ED4-A25B-44B9-AC74-5766E0D126E4}" sibTransId="{CACC8E03-C580-486F-9E83-2E5D8FF765B4}"/>
    <dgm:cxn modelId="{AA8E4FC1-E4E8-4CAE-886F-9FB08329A494}" type="presOf" srcId="{F9CF6ED4-A25B-44B9-AC74-5766E0D126E4}" destId="{9B7CB92D-77EF-4836-9540-87D380F4283F}" srcOrd="0" destOrd="0" presId="urn:microsoft.com/office/officeart/2005/8/layout/hierarchy2"/>
    <dgm:cxn modelId="{84C7930F-3296-47E8-841F-9125EDBF4BFC}" type="presOf" srcId="{A7670039-5FF6-4661-96B8-926C11224C80}" destId="{2D3B4B31-9FB0-4530-B364-A7C20BD447E3}" srcOrd="0" destOrd="0" presId="urn:microsoft.com/office/officeart/2005/8/layout/hierarchy2"/>
    <dgm:cxn modelId="{315162C3-8753-4E3B-8DD7-04BFDE2F189E}" srcId="{DD8D5C09-60AD-415B-A0B8-DF3312D49EAE}" destId="{E4D09674-E76B-40FE-9A84-CD3443C39A63}" srcOrd="0" destOrd="0" parTransId="{083DBC8A-5958-4F25-A33D-34FF781376C3}" sibTransId="{F7FD6569-FF74-428A-8437-3FE43FBBC55F}"/>
    <dgm:cxn modelId="{3FE7E865-CC8B-4210-85E4-A74335516F74}" type="presOf" srcId="{F9CF6ED4-A25B-44B9-AC74-5766E0D126E4}" destId="{EB863BDB-8203-4D51-B129-CF37D745015F}" srcOrd="1" destOrd="0" presId="urn:microsoft.com/office/officeart/2005/8/layout/hierarchy2"/>
    <dgm:cxn modelId="{097AC38F-EF3D-41E0-9720-742B12E61E9E}" type="presOf" srcId="{E4D09674-E76B-40FE-9A84-CD3443C39A63}" destId="{3680C6CB-E5FF-4BE3-A14C-A30AB4251FD2}" srcOrd="0" destOrd="0" presId="urn:microsoft.com/office/officeart/2005/8/layout/hierarchy2"/>
    <dgm:cxn modelId="{A6F3C986-0C99-43A8-8139-5B10D4068F30}" type="presOf" srcId="{7A45BF03-C662-4EF9-B6FE-67638486FA27}" destId="{5A81B06F-86BD-47B3-A114-675A057EEC09}" srcOrd="0" destOrd="0" presId="urn:microsoft.com/office/officeart/2005/8/layout/hierarchy2"/>
    <dgm:cxn modelId="{6900345C-6BF9-4CF5-99BA-CBAD07105877}" srcId="{DD8D5C09-60AD-415B-A0B8-DF3312D49EAE}" destId="{1FBD5C9B-951B-4468-AE51-8283A9D2E344}" srcOrd="1" destOrd="0" parTransId="{57AD4DAD-F614-4AE3-BC2F-F05940E25F36}" sibTransId="{CE8BF97C-BDEF-4923-99C0-7A2724928111}"/>
    <dgm:cxn modelId="{175041EB-7CCC-4275-BABF-08D2517220DC}" type="presOf" srcId="{CD38D6DA-CBB3-40DE-9715-9B04638F569D}" destId="{91485A09-8488-4186-82D2-84BCDA3F91AA}" srcOrd="1" destOrd="0" presId="urn:microsoft.com/office/officeart/2005/8/layout/hierarchy2"/>
    <dgm:cxn modelId="{6FF2633D-CAF2-40F7-B769-DF5A254105B5}" srcId="{E4D09674-E76B-40FE-9A84-CD3443C39A63}" destId="{8153D23D-7682-4786-87AD-103DBA5DB7BE}" srcOrd="1" destOrd="0" parTransId="{E91484AE-FBED-46AC-865B-48743C032402}" sibTransId="{832482D1-6BE0-4216-84D4-98E0FE8760B0}"/>
    <dgm:cxn modelId="{ADDA5F2C-BFF8-4150-B960-D8F8340DA759}" type="presOf" srcId="{E91484AE-FBED-46AC-865B-48743C032402}" destId="{A571D854-8DC3-4997-B64C-64EAC515057D}" srcOrd="1" destOrd="0" presId="urn:microsoft.com/office/officeart/2005/8/layout/hierarchy2"/>
    <dgm:cxn modelId="{75DA62A6-0A0D-4D27-81AC-D53B0872C734}" type="presOf" srcId="{C078F51A-0534-4EB2-92D6-A1F1DFC9B10C}" destId="{DCA4432B-FCFF-410E-951B-27E49D351CEB}" srcOrd="1" destOrd="0" presId="urn:microsoft.com/office/officeart/2005/8/layout/hierarchy2"/>
    <dgm:cxn modelId="{00017F4F-C957-458F-B83E-B9BDAAD198E0}" type="presOf" srcId="{3071B29C-B913-4C0A-A19B-D2EC57D28744}" destId="{B94926DD-20AF-4DB8-A2E6-35032CFB70AF}" srcOrd="1" destOrd="0" presId="urn:microsoft.com/office/officeart/2005/8/layout/hierarchy2"/>
    <dgm:cxn modelId="{B5531544-BF1D-47CA-AE15-35BAA0422450}" type="presOf" srcId="{CF632B43-0CFA-4E1C-84B8-BCD0F6B9F2A5}" destId="{C1BF0C6D-E640-4571-99C5-9C3BEFF10AB7}" srcOrd="0" destOrd="0" presId="urn:microsoft.com/office/officeart/2005/8/layout/hierarchy2"/>
    <dgm:cxn modelId="{CB178448-531C-48CB-8B46-06E477D48D50}" type="presOf" srcId="{6E2A9F1F-D21A-48AD-BB71-6488D2AB58D3}" destId="{6B26C279-2C4C-4656-8C48-3F2A96EF2F6B}" srcOrd="1" destOrd="0" presId="urn:microsoft.com/office/officeart/2005/8/layout/hierarchy2"/>
    <dgm:cxn modelId="{4D0C4BE4-7A2D-4878-AFA7-42768AA2FC92}" type="presOf" srcId="{96215BD4-4F63-4180-A01F-EFD17F260DA2}" destId="{2271DF46-06DC-4BC3-92BD-ABA9933DE6BE}" srcOrd="0" destOrd="0" presId="urn:microsoft.com/office/officeart/2005/8/layout/hierarchy2"/>
    <dgm:cxn modelId="{3979137D-C8EA-4D8B-8DBF-89D9E2D78F8B}" srcId="{7A45BF03-C662-4EF9-B6FE-67638486FA27}" destId="{DD8D5C09-60AD-415B-A0B8-DF3312D49EAE}" srcOrd="0" destOrd="0" parTransId="{DC48F5D3-F62A-4D93-86C1-ECCF8131B130}" sibTransId="{5FFA9167-294D-4DB2-BF4D-1FB375E3B0C8}"/>
    <dgm:cxn modelId="{489B96E0-4C89-4F61-8A75-5F2ADC1A5A7C}" srcId="{E4D09674-E76B-40FE-9A84-CD3443C39A63}" destId="{8A44D6C1-2F00-4EAE-AE27-50A664B83517}" srcOrd="3" destOrd="0" parTransId="{3071B29C-B913-4C0A-A19B-D2EC57D28744}" sibTransId="{6D26C155-A6A7-4CEF-B740-66FEFEAB25B9}"/>
    <dgm:cxn modelId="{8BF0E427-60B5-41C1-8BDC-AAB1E5DF0534}" type="presParOf" srcId="{5A81B06F-86BD-47B3-A114-675A057EEC09}" destId="{A9192BE1-EFBB-4FB0-A084-C344ED3598E8}" srcOrd="0" destOrd="0" presId="urn:microsoft.com/office/officeart/2005/8/layout/hierarchy2"/>
    <dgm:cxn modelId="{79601E45-6436-4E21-8A3B-13315D275F8F}" type="presParOf" srcId="{A9192BE1-EFBB-4FB0-A084-C344ED3598E8}" destId="{02112662-6E4B-475F-A863-E813F97FED45}" srcOrd="0" destOrd="0" presId="urn:microsoft.com/office/officeart/2005/8/layout/hierarchy2"/>
    <dgm:cxn modelId="{F5C76820-FAC5-4C71-9FE5-91362958FF1D}" type="presParOf" srcId="{A9192BE1-EFBB-4FB0-A084-C344ED3598E8}" destId="{DE12047B-4C3D-4AD6-ABAC-70CDDECDA2EC}" srcOrd="1" destOrd="0" presId="urn:microsoft.com/office/officeart/2005/8/layout/hierarchy2"/>
    <dgm:cxn modelId="{251F3093-F166-4EF5-A9AC-8543BF4E04AB}" type="presParOf" srcId="{DE12047B-4C3D-4AD6-ABAC-70CDDECDA2EC}" destId="{DB72AEB4-2C8C-4ADC-A509-0DE19556D9DE}" srcOrd="0" destOrd="0" presId="urn:microsoft.com/office/officeart/2005/8/layout/hierarchy2"/>
    <dgm:cxn modelId="{47962302-8209-48E7-8BC5-040A32C5E644}" type="presParOf" srcId="{DB72AEB4-2C8C-4ADC-A509-0DE19556D9DE}" destId="{7E2B779A-9187-47E7-805E-77274767896B}" srcOrd="0" destOrd="0" presId="urn:microsoft.com/office/officeart/2005/8/layout/hierarchy2"/>
    <dgm:cxn modelId="{0395BC97-BD34-480C-A895-5A2595BCC483}" type="presParOf" srcId="{DE12047B-4C3D-4AD6-ABAC-70CDDECDA2EC}" destId="{6EEAB25A-EBA8-4127-917B-2466638A4448}" srcOrd="1" destOrd="0" presId="urn:microsoft.com/office/officeart/2005/8/layout/hierarchy2"/>
    <dgm:cxn modelId="{5FE50D27-4502-4841-B6D3-CBE191263388}" type="presParOf" srcId="{6EEAB25A-EBA8-4127-917B-2466638A4448}" destId="{3680C6CB-E5FF-4BE3-A14C-A30AB4251FD2}" srcOrd="0" destOrd="0" presId="urn:microsoft.com/office/officeart/2005/8/layout/hierarchy2"/>
    <dgm:cxn modelId="{21041630-4A12-487E-B549-94C8A523831E}" type="presParOf" srcId="{6EEAB25A-EBA8-4127-917B-2466638A4448}" destId="{07A8DD4E-7E59-4B9B-BB1C-FDA63C222505}" srcOrd="1" destOrd="0" presId="urn:microsoft.com/office/officeart/2005/8/layout/hierarchy2"/>
    <dgm:cxn modelId="{B6DFA00D-9C77-4201-A7C5-38FEC7EB9C0A}" type="presParOf" srcId="{07A8DD4E-7E59-4B9B-BB1C-FDA63C222505}" destId="{0740D837-E3F4-4E2F-9600-6A35E69ED1D9}" srcOrd="0" destOrd="0" presId="urn:microsoft.com/office/officeart/2005/8/layout/hierarchy2"/>
    <dgm:cxn modelId="{5B136620-5FD2-4EDB-B4EF-0B5F00FEAFDD}" type="presParOf" srcId="{0740D837-E3F4-4E2F-9600-6A35E69ED1D9}" destId="{6B26C279-2C4C-4656-8C48-3F2A96EF2F6B}" srcOrd="0" destOrd="0" presId="urn:microsoft.com/office/officeart/2005/8/layout/hierarchy2"/>
    <dgm:cxn modelId="{5234A322-B888-4CDB-B047-3B7D4F0E1581}" type="presParOf" srcId="{07A8DD4E-7E59-4B9B-BB1C-FDA63C222505}" destId="{F745EFDC-220D-4FB1-960D-3C9E4074C9E6}" srcOrd="1" destOrd="0" presId="urn:microsoft.com/office/officeart/2005/8/layout/hierarchy2"/>
    <dgm:cxn modelId="{CB701735-5AA9-435D-9438-8B1388E593E8}" type="presParOf" srcId="{F745EFDC-220D-4FB1-960D-3C9E4074C9E6}" destId="{5E941BB8-395A-451B-B0BB-10B332096B9C}" srcOrd="0" destOrd="0" presId="urn:microsoft.com/office/officeart/2005/8/layout/hierarchy2"/>
    <dgm:cxn modelId="{6D155705-50B1-4717-BF25-531667EE5349}" type="presParOf" srcId="{F745EFDC-220D-4FB1-960D-3C9E4074C9E6}" destId="{E8E68349-1791-454E-964E-40B0EE6FED45}" srcOrd="1" destOrd="0" presId="urn:microsoft.com/office/officeart/2005/8/layout/hierarchy2"/>
    <dgm:cxn modelId="{57C3882D-98CF-44FF-B2FC-E1DBB1E8E2F1}" type="presParOf" srcId="{07A8DD4E-7E59-4B9B-BB1C-FDA63C222505}" destId="{F1C32B80-5100-4084-B259-D45E6F6F1886}" srcOrd="2" destOrd="0" presId="urn:microsoft.com/office/officeart/2005/8/layout/hierarchy2"/>
    <dgm:cxn modelId="{25992A8F-C06E-4D93-B004-BE8F9261AE81}" type="presParOf" srcId="{F1C32B80-5100-4084-B259-D45E6F6F1886}" destId="{A571D854-8DC3-4997-B64C-64EAC515057D}" srcOrd="0" destOrd="0" presId="urn:microsoft.com/office/officeart/2005/8/layout/hierarchy2"/>
    <dgm:cxn modelId="{1CDE1D8A-B6AF-4E79-B5A0-711B6C383258}" type="presParOf" srcId="{07A8DD4E-7E59-4B9B-BB1C-FDA63C222505}" destId="{BA326DF8-6864-45FB-B6A1-2D184D514895}" srcOrd="3" destOrd="0" presId="urn:microsoft.com/office/officeart/2005/8/layout/hierarchy2"/>
    <dgm:cxn modelId="{A2F8F236-AEB7-43A8-B259-E1574AC72368}" type="presParOf" srcId="{BA326DF8-6864-45FB-B6A1-2D184D514895}" destId="{798C24F8-3CF9-4D50-B031-F2377C0B10F3}" srcOrd="0" destOrd="0" presId="urn:microsoft.com/office/officeart/2005/8/layout/hierarchy2"/>
    <dgm:cxn modelId="{CEC66F96-2DB7-4A04-97EA-A54567CCF31B}" type="presParOf" srcId="{BA326DF8-6864-45FB-B6A1-2D184D514895}" destId="{8603F47A-1431-43E5-AD20-890DAAE8A703}" srcOrd="1" destOrd="0" presId="urn:microsoft.com/office/officeart/2005/8/layout/hierarchy2"/>
    <dgm:cxn modelId="{27EF82A1-714E-43D2-B7EE-3AA9B70760E4}" type="presParOf" srcId="{07A8DD4E-7E59-4B9B-BB1C-FDA63C222505}" destId="{13F25DD4-7AE7-4B70-A071-7B809098F086}" srcOrd="4" destOrd="0" presId="urn:microsoft.com/office/officeart/2005/8/layout/hierarchy2"/>
    <dgm:cxn modelId="{B9A6B2DC-4EF3-4957-85F7-E23729B1E472}" type="presParOf" srcId="{13F25DD4-7AE7-4B70-A071-7B809098F086}" destId="{DCA4432B-FCFF-410E-951B-27E49D351CEB}" srcOrd="0" destOrd="0" presId="urn:microsoft.com/office/officeart/2005/8/layout/hierarchy2"/>
    <dgm:cxn modelId="{5336B1DA-C3EA-4EA6-A2C5-58B4AF6B0EDE}" type="presParOf" srcId="{07A8DD4E-7E59-4B9B-BB1C-FDA63C222505}" destId="{984A7EC7-4AF9-4C85-9427-3198018FBD12}" srcOrd="5" destOrd="0" presId="urn:microsoft.com/office/officeart/2005/8/layout/hierarchy2"/>
    <dgm:cxn modelId="{8D65F324-63BD-4549-8E12-14AFC1CB84C9}" type="presParOf" srcId="{984A7EC7-4AF9-4C85-9427-3198018FBD12}" destId="{2D3B4B31-9FB0-4530-B364-A7C20BD447E3}" srcOrd="0" destOrd="0" presId="urn:microsoft.com/office/officeart/2005/8/layout/hierarchy2"/>
    <dgm:cxn modelId="{D5C7B18E-4F1F-477B-A66C-BF396CCCE8EF}" type="presParOf" srcId="{984A7EC7-4AF9-4C85-9427-3198018FBD12}" destId="{3A4648EE-B4CD-4DAE-94FE-91B18B7A0FFD}" srcOrd="1" destOrd="0" presId="urn:microsoft.com/office/officeart/2005/8/layout/hierarchy2"/>
    <dgm:cxn modelId="{B07C8BEA-14B0-402B-A99A-AAB2EE827FF1}" type="presParOf" srcId="{07A8DD4E-7E59-4B9B-BB1C-FDA63C222505}" destId="{64FFBC90-0833-4076-8487-0539ACCDDDB1}" srcOrd="6" destOrd="0" presId="urn:microsoft.com/office/officeart/2005/8/layout/hierarchy2"/>
    <dgm:cxn modelId="{80A045A6-90A7-4B70-9054-1FD3224D2A79}" type="presParOf" srcId="{64FFBC90-0833-4076-8487-0539ACCDDDB1}" destId="{B94926DD-20AF-4DB8-A2E6-35032CFB70AF}" srcOrd="0" destOrd="0" presId="urn:microsoft.com/office/officeart/2005/8/layout/hierarchy2"/>
    <dgm:cxn modelId="{3A3BB70A-9DB0-471B-AC84-EEF003DC0516}" type="presParOf" srcId="{07A8DD4E-7E59-4B9B-BB1C-FDA63C222505}" destId="{1AC68911-7846-4E4A-B823-39DF83A4228A}" srcOrd="7" destOrd="0" presId="urn:microsoft.com/office/officeart/2005/8/layout/hierarchy2"/>
    <dgm:cxn modelId="{899BCF6D-966E-4956-B5C3-43F4458653DF}" type="presParOf" srcId="{1AC68911-7846-4E4A-B823-39DF83A4228A}" destId="{98C0B7E9-ADD3-4C70-AFCD-6D4C05F742FB}" srcOrd="0" destOrd="0" presId="urn:microsoft.com/office/officeart/2005/8/layout/hierarchy2"/>
    <dgm:cxn modelId="{FA43C079-9C46-4923-AA96-B5D85388FE84}" type="presParOf" srcId="{1AC68911-7846-4E4A-B823-39DF83A4228A}" destId="{C72F1179-F8A7-4B2E-BAEE-16E46105D231}" srcOrd="1" destOrd="0" presId="urn:microsoft.com/office/officeart/2005/8/layout/hierarchy2"/>
    <dgm:cxn modelId="{B7F7296C-BCC9-4AA3-A32A-767AA55BE06B}" type="presParOf" srcId="{07A8DD4E-7E59-4B9B-BB1C-FDA63C222505}" destId="{C6155351-8BB1-4E65-AF2A-187FC79B703C}" srcOrd="8" destOrd="0" presId="urn:microsoft.com/office/officeart/2005/8/layout/hierarchy2"/>
    <dgm:cxn modelId="{2A386DFA-F857-4B92-A1A7-2E50811441F3}" type="presParOf" srcId="{C6155351-8BB1-4E65-AF2A-187FC79B703C}" destId="{6CE05191-3F1B-4005-BF7F-FEB2BAFC66E7}" srcOrd="0" destOrd="0" presId="urn:microsoft.com/office/officeart/2005/8/layout/hierarchy2"/>
    <dgm:cxn modelId="{D665B098-F361-44E3-BF85-F8F7A32C9988}" type="presParOf" srcId="{07A8DD4E-7E59-4B9B-BB1C-FDA63C222505}" destId="{450A46A7-52F2-42B5-9DEE-748A4292C3D0}" srcOrd="9" destOrd="0" presId="urn:microsoft.com/office/officeart/2005/8/layout/hierarchy2"/>
    <dgm:cxn modelId="{91D42352-78E5-4C46-8146-B1EA9B56F458}" type="presParOf" srcId="{450A46A7-52F2-42B5-9DEE-748A4292C3D0}" destId="{C1BF0C6D-E640-4571-99C5-9C3BEFF10AB7}" srcOrd="0" destOrd="0" presId="urn:microsoft.com/office/officeart/2005/8/layout/hierarchy2"/>
    <dgm:cxn modelId="{34C69A88-EF1C-4F4C-B5E7-0D94555E3D32}" type="presParOf" srcId="{450A46A7-52F2-42B5-9DEE-748A4292C3D0}" destId="{5F343525-446D-449D-81FC-A11CC74556D4}" srcOrd="1" destOrd="0" presId="urn:microsoft.com/office/officeart/2005/8/layout/hierarchy2"/>
    <dgm:cxn modelId="{FFA8E310-B988-4B40-9FB8-E90F26518D10}" type="presParOf" srcId="{DE12047B-4C3D-4AD6-ABAC-70CDDECDA2EC}" destId="{21EF453A-DF40-4725-A50B-C49A14A6C5AB}" srcOrd="2" destOrd="0" presId="urn:microsoft.com/office/officeart/2005/8/layout/hierarchy2"/>
    <dgm:cxn modelId="{8EE4101D-1DA9-49AB-849E-B8BFBBD978AD}" type="presParOf" srcId="{21EF453A-DF40-4725-A50B-C49A14A6C5AB}" destId="{C0FE9F8F-EE69-4512-A708-43F36CB9394A}" srcOrd="0" destOrd="0" presId="urn:microsoft.com/office/officeart/2005/8/layout/hierarchy2"/>
    <dgm:cxn modelId="{F2573B95-69C1-4EB8-B1FE-A9020CCB45CB}" type="presParOf" srcId="{DE12047B-4C3D-4AD6-ABAC-70CDDECDA2EC}" destId="{27FD98D3-CAC2-4A6D-97FA-0936E40F0E9C}" srcOrd="3" destOrd="0" presId="urn:microsoft.com/office/officeart/2005/8/layout/hierarchy2"/>
    <dgm:cxn modelId="{DB92728D-C89F-4DD5-B6B6-3E33DC778EA1}" type="presParOf" srcId="{27FD98D3-CAC2-4A6D-97FA-0936E40F0E9C}" destId="{A3CBFEFE-0DCA-4A2D-875D-17C94D732562}" srcOrd="0" destOrd="0" presId="urn:microsoft.com/office/officeart/2005/8/layout/hierarchy2"/>
    <dgm:cxn modelId="{7CA9C255-D8BE-4B70-B7FC-AA8880531BA1}" type="presParOf" srcId="{27FD98D3-CAC2-4A6D-97FA-0936E40F0E9C}" destId="{CACC32AE-0FAA-4A67-9625-A040CA93A0A6}" srcOrd="1" destOrd="0" presId="urn:microsoft.com/office/officeart/2005/8/layout/hierarchy2"/>
    <dgm:cxn modelId="{7A5A24AD-C622-4C9B-ABBA-DBE6BD630724}" type="presParOf" srcId="{CACC32AE-0FAA-4A67-9625-A040CA93A0A6}" destId="{31EA935C-62B5-4861-B793-F92C781AB95A}" srcOrd="0" destOrd="0" presId="urn:microsoft.com/office/officeart/2005/8/layout/hierarchy2"/>
    <dgm:cxn modelId="{41AD2761-668E-487D-929D-68127623C944}" type="presParOf" srcId="{31EA935C-62B5-4861-B793-F92C781AB95A}" destId="{91485A09-8488-4186-82D2-84BCDA3F91AA}" srcOrd="0" destOrd="0" presId="urn:microsoft.com/office/officeart/2005/8/layout/hierarchy2"/>
    <dgm:cxn modelId="{2652C605-FB40-4E18-9A3D-D43B1F8F885E}" type="presParOf" srcId="{CACC32AE-0FAA-4A67-9625-A040CA93A0A6}" destId="{DE911BAE-5636-4677-AA0B-FA5206578740}" srcOrd="1" destOrd="0" presId="urn:microsoft.com/office/officeart/2005/8/layout/hierarchy2"/>
    <dgm:cxn modelId="{A329309A-BBB2-48EE-8A22-172C56BE5F61}" type="presParOf" srcId="{DE911BAE-5636-4677-AA0B-FA5206578740}" destId="{2271DF46-06DC-4BC3-92BD-ABA9933DE6BE}" srcOrd="0" destOrd="0" presId="urn:microsoft.com/office/officeart/2005/8/layout/hierarchy2"/>
    <dgm:cxn modelId="{81401740-2059-48FC-A2C8-350ED6ECE2CD}" type="presParOf" srcId="{DE911BAE-5636-4677-AA0B-FA5206578740}" destId="{E2E2A48C-3E59-4EDE-AD46-CA367E8EF024}" srcOrd="1" destOrd="0" presId="urn:microsoft.com/office/officeart/2005/8/layout/hierarchy2"/>
    <dgm:cxn modelId="{2AD78E34-5169-4687-B765-F16AFB8DC0B9}" type="presParOf" srcId="{CACC32AE-0FAA-4A67-9625-A040CA93A0A6}" destId="{9B7CB92D-77EF-4836-9540-87D380F4283F}" srcOrd="2" destOrd="0" presId="urn:microsoft.com/office/officeart/2005/8/layout/hierarchy2"/>
    <dgm:cxn modelId="{FE5269D2-B3CB-425F-8E2C-184B24DE0193}" type="presParOf" srcId="{9B7CB92D-77EF-4836-9540-87D380F4283F}" destId="{EB863BDB-8203-4D51-B129-CF37D745015F}" srcOrd="0" destOrd="0" presId="urn:microsoft.com/office/officeart/2005/8/layout/hierarchy2"/>
    <dgm:cxn modelId="{A55EE6F4-1D35-4FFC-B72D-20606E395C82}" type="presParOf" srcId="{CACC32AE-0FAA-4A67-9625-A040CA93A0A6}" destId="{B2044CA4-376C-42F5-A725-BB128F265D62}" srcOrd="3" destOrd="0" presId="urn:microsoft.com/office/officeart/2005/8/layout/hierarchy2"/>
    <dgm:cxn modelId="{1132F1B0-184C-48BE-8D2B-4F07A0B60B5D}" type="presParOf" srcId="{B2044CA4-376C-42F5-A725-BB128F265D62}" destId="{34EF9A02-2687-4C5E-811A-4C8D214554DA}" srcOrd="0" destOrd="0" presId="urn:microsoft.com/office/officeart/2005/8/layout/hierarchy2"/>
    <dgm:cxn modelId="{F040DABA-276E-4AC7-A88D-ABD9F188C328}" type="presParOf" srcId="{B2044CA4-376C-42F5-A725-BB128F265D62}" destId="{330450E1-7A64-4B8B-A2B6-B19EBA3A98A6}" srcOrd="1" destOrd="0" presId="urn:microsoft.com/office/officeart/2005/8/layout/hierarchy2"/>
    <dgm:cxn modelId="{C00D96EC-7B2A-4CA5-9998-E3EBA7B4289C}" type="presParOf" srcId="{CACC32AE-0FAA-4A67-9625-A040CA93A0A6}" destId="{9E40D06E-CD71-4D85-BD86-03F0ED92ACF9}" srcOrd="4" destOrd="0" presId="urn:microsoft.com/office/officeart/2005/8/layout/hierarchy2"/>
    <dgm:cxn modelId="{A9C94760-B45E-4F0F-B576-3924C3202F9B}" type="presParOf" srcId="{9E40D06E-CD71-4D85-BD86-03F0ED92ACF9}" destId="{B32D1144-C845-4C78-A2B9-596C10ABFC9C}" srcOrd="0" destOrd="0" presId="urn:microsoft.com/office/officeart/2005/8/layout/hierarchy2"/>
    <dgm:cxn modelId="{CC566C97-97EB-4964-A8AE-62279EF5A378}" type="presParOf" srcId="{CACC32AE-0FAA-4A67-9625-A040CA93A0A6}" destId="{AD787D56-76D3-4FC9-9315-C5E67CA6E26C}" srcOrd="5" destOrd="0" presId="urn:microsoft.com/office/officeart/2005/8/layout/hierarchy2"/>
    <dgm:cxn modelId="{7B0F6185-88F7-4DD9-85BD-106C35765A7A}" type="presParOf" srcId="{AD787D56-76D3-4FC9-9315-C5E67CA6E26C}" destId="{4EBE4A45-B478-48F3-8E4F-F8279A1EAA56}" srcOrd="0" destOrd="0" presId="urn:microsoft.com/office/officeart/2005/8/layout/hierarchy2"/>
    <dgm:cxn modelId="{2CD4BBB3-619F-45B1-96E5-4D471FED74DB}" type="presParOf" srcId="{AD787D56-76D3-4FC9-9315-C5E67CA6E26C}" destId="{876B91A8-29CA-400E-AF00-ECBC2F3DF8A7}" srcOrd="1" destOrd="0" presId="urn:microsoft.com/office/officeart/2005/8/layout/hierarchy2"/>
  </dgm:cxnLst>
  <dgm:bg/>
  <dgm:whole/>
  <dgm:extLst>
    <a:ext uri="http://schemas.microsoft.com/office/drawing/2008/diagram">
      <dsp:dataModelExt xmlns:dsp="http://schemas.microsoft.com/office/drawing/2008/diagram" relId="rId413"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B776C572-7419-4BCE-99A6-926F75D4F591}" type="doc">
      <dgm:prSet loTypeId="urn:microsoft.com/office/officeart/2005/8/layout/hierarchy2" loCatId="hierarchy" qsTypeId="urn:microsoft.com/office/officeart/2005/8/quickstyle/simple1" qsCatId="simple" csTypeId="urn:microsoft.com/office/officeart/2005/8/colors/accent0_1" csCatId="mainScheme" phldr="1"/>
      <dgm:spPr/>
      <dgm:t>
        <a:bodyPr/>
        <a:lstStyle/>
        <a:p>
          <a:endParaRPr lang="tr-TR"/>
        </a:p>
      </dgm:t>
    </dgm:pt>
    <dgm:pt modelId="{D1AC6584-4672-498F-9C06-C92EAA3D8D97}">
      <dgm:prSet phldrT="[Metin]" custT="1"/>
      <dgm:spPr/>
      <dgm:t>
        <a:bodyPr/>
        <a:lstStyle/>
        <a:p>
          <a:r>
            <a:rPr lang="tr-TR" sz="900">
              <a:latin typeface="Times New Roman" pitchFamily="18" charset="0"/>
              <a:cs typeface="Times New Roman" pitchFamily="18" charset="0"/>
            </a:rPr>
            <a:t>Kişisel</a:t>
          </a:r>
        </a:p>
      </dgm:t>
    </dgm:pt>
    <dgm:pt modelId="{62B7701D-62CE-4382-8417-B7AC24D3E423}" type="parTrans" cxnId="{3B0FB7BE-FEC9-4F50-8BA8-9BBC0DBDFFAC}">
      <dgm:prSet/>
      <dgm:spPr/>
      <dgm:t>
        <a:bodyPr/>
        <a:lstStyle/>
        <a:p>
          <a:endParaRPr lang="tr-TR" sz="900">
            <a:latin typeface="Times New Roman" pitchFamily="18" charset="0"/>
            <a:cs typeface="Times New Roman" pitchFamily="18" charset="0"/>
          </a:endParaRPr>
        </a:p>
      </dgm:t>
    </dgm:pt>
    <dgm:pt modelId="{B3BC6CE2-CE27-41DC-BCC1-8B5CBC18B924}" type="sibTrans" cxnId="{3B0FB7BE-FEC9-4F50-8BA8-9BBC0DBDFFAC}">
      <dgm:prSet/>
      <dgm:spPr/>
      <dgm:t>
        <a:bodyPr/>
        <a:lstStyle/>
        <a:p>
          <a:endParaRPr lang="tr-TR" sz="900">
            <a:latin typeface="Times New Roman" pitchFamily="18" charset="0"/>
            <a:cs typeface="Times New Roman" pitchFamily="18" charset="0"/>
          </a:endParaRPr>
        </a:p>
      </dgm:t>
    </dgm:pt>
    <dgm:pt modelId="{EE498BF1-2D43-4EBE-869C-933EC4FEBA50}">
      <dgm:prSet phldrT="[Metin]" custT="1"/>
      <dgm:spPr/>
      <dgm:t>
        <a:bodyPr/>
        <a:lstStyle/>
        <a:p>
          <a:r>
            <a:rPr lang="tr-TR" sz="900">
              <a:latin typeface="Times New Roman" pitchFamily="18" charset="0"/>
              <a:cs typeface="Times New Roman" pitchFamily="18" charset="0"/>
            </a:rPr>
            <a:t>zaman</a:t>
          </a:r>
        </a:p>
      </dgm:t>
    </dgm:pt>
    <dgm:pt modelId="{191748AE-05D6-4810-A985-142FE0E06DCE}" type="parTrans" cxnId="{C23FCA9D-829B-48E5-9C82-542343F930DA}">
      <dgm:prSet custT="1"/>
      <dgm:spPr/>
      <dgm:t>
        <a:bodyPr/>
        <a:lstStyle/>
        <a:p>
          <a:endParaRPr lang="tr-TR" sz="900">
            <a:latin typeface="Times New Roman" pitchFamily="18" charset="0"/>
            <a:cs typeface="Times New Roman" pitchFamily="18" charset="0"/>
          </a:endParaRPr>
        </a:p>
      </dgm:t>
    </dgm:pt>
    <dgm:pt modelId="{59EFB765-70E2-46D4-A91E-3657787151D8}" type="sibTrans" cxnId="{C23FCA9D-829B-48E5-9C82-542343F930DA}">
      <dgm:prSet/>
      <dgm:spPr/>
      <dgm:t>
        <a:bodyPr/>
        <a:lstStyle/>
        <a:p>
          <a:endParaRPr lang="tr-TR" sz="900">
            <a:latin typeface="Times New Roman" pitchFamily="18" charset="0"/>
            <a:cs typeface="Times New Roman" pitchFamily="18" charset="0"/>
          </a:endParaRPr>
        </a:p>
      </dgm:t>
    </dgm:pt>
    <dgm:pt modelId="{C38613C5-D94A-47F4-8394-DFA0CD845BAE}">
      <dgm:prSet phldrT="[Metin]" custT="1"/>
      <dgm:spPr/>
      <dgm:t>
        <a:bodyPr/>
        <a:lstStyle/>
        <a:p>
          <a:r>
            <a:rPr lang="tr-TR" sz="900">
              <a:latin typeface="Times New Roman" pitchFamily="18" charset="0"/>
              <a:cs typeface="Times New Roman" pitchFamily="18" charset="0"/>
            </a:rPr>
            <a:t>sağlık</a:t>
          </a:r>
        </a:p>
      </dgm:t>
    </dgm:pt>
    <dgm:pt modelId="{485385D8-86DF-48AA-84B2-24A755E7241B}" type="parTrans" cxnId="{9F3F68AF-1746-4736-AE08-B12E5632B2E0}">
      <dgm:prSet custT="1"/>
      <dgm:spPr/>
      <dgm:t>
        <a:bodyPr/>
        <a:lstStyle/>
        <a:p>
          <a:endParaRPr lang="tr-TR" sz="900">
            <a:latin typeface="Times New Roman" pitchFamily="18" charset="0"/>
            <a:cs typeface="Times New Roman" pitchFamily="18" charset="0"/>
          </a:endParaRPr>
        </a:p>
      </dgm:t>
    </dgm:pt>
    <dgm:pt modelId="{A46B64F4-0C26-4EA0-BB23-FABA57503485}" type="sibTrans" cxnId="{9F3F68AF-1746-4736-AE08-B12E5632B2E0}">
      <dgm:prSet/>
      <dgm:spPr/>
      <dgm:t>
        <a:bodyPr/>
        <a:lstStyle/>
        <a:p>
          <a:endParaRPr lang="tr-TR" sz="900">
            <a:latin typeface="Times New Roman" pitchFamily="18" charset="0"/>
            <a:cs typeface="Times New Roman" pitchFamily="18" charset="0"/>
          </a:endParaRPr>
        </a:p>
      </dgm:t>
    </dgm:pt>
    <dgm:pt modelId="{FAC56A67-9FAA-49CE-84D2-03FD479439B2}">
      <dgm:prSet phldrT="[Metin]" custT="1"/>
      <dgm:spPr/>
      <dgm:t>
        <a:bodyPr/>
        <a:lstStyle/>
        <a:p>
          <a:r>
            <a:rPr lang="tr-TR" sz="900">
              <a:latin typeface="Times New Roman" pitchFamily="18" charset="0"/>
              <a:cs typeface="Times New Roman" pitchFamily="18" charset="0"/>
            </a:rPr>
            <a:t>aile</a:t>
          </a:r>
        </a:p>
      </dgm:t>
    </dgm:pt>
    <dgm:pt modelId="{7385E0B7-02CF-43E4-95A7-6E237FE428B7}" type="parTrans" cxnId="{7154F5A7-B07C-4ED5-B27A-F694EB226C41}">
      <dgm:prSet custT="1"/>
      <dgm:spPr/>
      <dgm:t>
        <a:bodyPr/>
        <a:lstStyle/>
        <a:p>
          <a:endParaRPr lang="tr-TR" sz="900">
            <a:latin typeface="Times New Roman" pitchFamily="18" charset="0"/>
            <a:cs typeface="Times New Roman" pitchFamily="18" charset="0"/>
          </a:endParaRPr>
        </a:p>
      </dgm:t>
    </dgm:pt>
    <dgm:pt modelId="{524CE7BD-6073-4008-943B-2BDC153175DB}" type="sibTrans" cxnId="{7154F5A7-B07C-4ED5-B27A-F694EB226C41}">
      <dgm:prSet/>
      <dgm:spPr/>
      <dgm:t>
        <a:bodyPr/>
        <a:lstStyle/>
        <a:p>
          <a:endParaRPr lang="tr-TR" sz="900">
            <a:latin typeface="Times New Roman" pitchFamily="18" charset="0"/>
            <a:cs typeface="Times New Roman" pitchFamily="18" charset="0"/>
          </a:endParaRPr>
        </a:p>
      </dgm:t>
    </dgm:pt>
    <dgm:pt modelId="{C4069358-3500-4ED3-98E6-625D5FAE2835}">
      <dgm:prSet phldrT="[Metin]" custT="1"/>
      <dgm:spPr/>
      <dgm:t>
        <a:bodyPr/>
        <a:lstStyle/>
        <a:p>
          <a:r>
            <a:rPr lang="tr-TR" sz="900">
              <a:latin typeface="Times New Roman" pitchFamily="18" charset="0"/>
              <a:cs typeface="Times New Roman" pitchFamily="18" charset="0"/>
            </a:rPr>
            <a:t>iletişim</a:t>
          </a:r>
        </a:p>
      </dgm:t>
    </dgm:pt>
    <dgm:pt modelId="{D667B03D-A286-40EB-9E85-C4F4FABFFE41}" type="parTrans" cxnId="{DE46BF13-AB49-4537-A57D-7233D34ECD3C}">
      <dgm:prSet/>
      <dgm:spPr/>
      <dgm:t>
        <a:bodyPr/>
        <a:lstStyle/>
        <a:p>
          <a:endParaRPr lang="tr-TR"/>
        </a:p>
      </dgm:t>
    </dgm:pt>
    <dgm:pt modelId="{440935F2-845B-4FB2-932D-AAECB1DE7A20}" type="sibTrans" cxnId="{DE46BF13-AB49-4537-A57D-7233D34ECD3C}">
      <dgm:prSet/>
      <dgm:spPr/>
      <dgm:t>
        <a:bodyPr/>
        <a:lstStyle/>
        <a:p>
          <a:endParaRPr lang="tr-TR"/>
        </a:p>
      </dgm:t>
    </dgm:pt>
    <dgm:pt modelId="{E1EFD548-2496-482D-8DFD-B04F0EB7278A}" type="pres">
      <dgm:prSet presAssocID="{B776C572-7419-4BCE-99A6-926F75D4F591}" presName="diagram" presStyleCnt="0">
        <dgm:presLayoutVars>
          <dgm:chPref val="1"/>
          <dgm:dir/>
          <dgm:animOne val="branch"/>
          <dgm:animLvl val="lvl"/>
          <dgm:resizeHandles val="exact"/>
        </dgm:presLayoutVars>
      </dgm:prSet>
      <dgm:spPr/>
      <dgm:t>
        <a:bodyPr/>
        <a:lstStyle/>
        <a:p>
          <a:endParaRPr lang="tr-TR"/>
        </a:p>
      </dgm:t>
    </dgm:pt>
    <dgm:pt modelId="{539726CB-A755-45CB-B1EA-508D82013D4A}" type="pres">
      <dgm:prSet presAssocID="{D1AC6584-4672-498F-9C06-C92EAA3D8D97}" presName="root1" presStyleCnt="0"/>
      <dgm:spPr/>
    </dgm:pt>
    <dgm:pt modelId="{7B909CED-B0AB-4D17-ADB1-2EB383B624A1}" type="pres">
      <dgm:prSet presAssocID="{D1AC6584-4672-498F-9C06-C92EAA3D8D97}" presName="LevelOneTextNode" presStyleLbl="node0" presStyleIdx="0" presStyleCnt="1">
        <dgm:presLayoutVars>
          <dgm:chPref val="3"/>
        </dgm:presLayoutVars>
      </dgm:prSet>
      <dgm:spPr/>
      <dgm:t>
        <a:bodyPr/>
        <a:lstStyle/>
        <a:p>
          <a:endParaRPr lang="tr-TR"/>
        </a:p>
      </dgm:t>
    </dgm:pt>
    <dgm:pt modelId="{1B2DA4E3-5AC4-4DAA-B572-2BFDEAB65792}" type="pres">
      <dgm:prSet presAssocID="{D1AC6584-4672-498F-9C06-C92EAA3D8D97}" presName="level2hierChild" presStyleCnt="0"/>
      <dgm:spPr/>
    </dgm:pt>
    <dgm:pt modelId="{85D2BD7F-D82F-4280-A561-78B41BCBBC33}" type="pres">
      <dgm:prSet presAssocID="{191748AE-05D6-4810-A985-142FE0E06DCE}" presName="conn2-1" presStyleLbl="parChTrans1D2" presStyleIdx="0" presStyleCnt="4"/>
      <dgm:spPr/>
      <dgm:t>
        <a:bodyPr/>
        <a:lstStyle/>
        <a:p>
          <a:endParaRPr lang="tr-TR"/>
        </a:p>
      </dgm:t>
    </dgm:pt>
    <dgm:pt modelId="{72F04E54-9893-40F6-B314-89F4AE3C3BAC}" type="pres">
      <dgm:prSet presAssocID="{191748AE-05D6-4810-A985-142FE0E06DCE}" presName="connTx" presStyleLbl="parChTrans1D2" presStyleIdx="0" presStyleCnt="4"/>
      <dgm:spPr/>
      <dgm:t>
        <a:bodyPr/>
        <a:lstStyle/>
        <a:p>
          <a:endParaRPr lang="tr-TR"/>
        </a:p>
      </dgm:t>
    </dgm:pt>
    <dgm:pt modelId="{B01F1189-1B75-428F-B35F-361C4E073C47}" type="pres">
      <dgm:prSet presAssocID="{EE498BF1-2D43-4EBE-869C-933EC4FEBA50}" presName="root2" presStyleCnt="0"/>
      <dgm:spPr/>
    </dgm:pt>
    <dgm:pt modelId="{0D32D01C-C4A4-4B52-B986-53182C8B9FDF}" type="pres">
      <dgm:prSet presAssocID="{EE498BF1-2D43-4EBE-869C-933EC4FEBA50}" presName="LevelTwoTextNode" presStyleLbl="node2" presStyleIdx="0" presStyleCnt="4">
        <dgm:presLayoutVars>
          <dgm:chPref val="3"/>
        </dgm:presLayoutVars>
      </dgm:prSet>
      <dgm:spPr/>
      <dgm:t>
        <a:bodyPr/>
        <a:lstStyle/>
        <a:p>
          <a:endParaRPr lang="tr-TR"/>
        </a:p>
      </dgm:t>
    </dgm:pt>
    <dgm:pt modelId="{73DBA274-920B-410B-8E52-8B1F8AA99BB5}" type="pres">
      <dgm:prSet presAssocID="{EE498BF1-2D43-4EBE-869C-933EC4FEBA50}" presName="level3hierChild" presStyleCnt="0"/>
      <dgm:spPr/>
    </dgm:pt>
    <dgm:pt modelId="{E35DA965-2A67-414F-9C26-A72CE5FB528B}" type="pres">
      <dgm:prSet presAssocID="{485385D8-86DF-48AA-84B2-24A755E7241B}" presName="conn2-1" presStyleLbl="parChTrans1D2" presStyleIdx="1" presStyleCnt="4"/>
      <dgm:spPr/>
      <dgm:t>
        <a:bodyPr/>
        <a:lstStyle/>
        <a:p>
          <a:endParaRPr lang="tr-TR"/>
        </a:p>
      </dgm:t>
    </dgm:pt>
    <dgm:pt modelId="{3FC8CE2A-A8EE-4B15-8D9F-A43B902191C1}" type="pres">
      <dgm:prSet presAssocID="{485385D8-86DF-48AA-84B2-24A755E7241B}" presName="connTx" presStyleLbl="parChTrans1D2" presStyleIdx="1" presStyleCnt="4"/>
      <dgm:spPr/>
      <dgm:t>
        <a:bodyPr/>
        <a:lstStyle/>
        <a:p>
          <a:endParaRPr lang="tr-TR"/>
        </a:p>
      </dgm:t>
    </dgm:pt>
    <dgm:pt modelId="{16DB07D6-6150-4E85-8234-EA503B3A1EF5}" type="pres">
      <dgm:prSet presAssocID="{C38613C5-D94A-47F4-8394-DFA0CD845BAE}" presName="root2" presStyleCnt="0"/>
      <dgm:spPr/>
    </dgm:pt>
    <dgm:pt modelId="{E2F24DDA-714C-47E7-944B-82DD3A90F6C9}" type="pres">
      <dgm:prSet presAssocID="{C38613C5-D94A-47F4-8394-DFA0CD845BAE}" presName="LevelTwoTextNode" presStyleLbl="node2" presStyleIdx="1" presStyleCnt="4">
        <dgm:presLayoutVars>
          <dgm:chPref val="3"/>
        </dgm:presLayoutVars>
      </dgm:prSet>
      <dgm:spPr/>
      <dgm:t>
        <a:bodyPr/>
        <a:lstStyle/>
        <a:p>
          <a:endParaRPr lang="tr-TR"/>
        </a:p>
      </dgm:t>
    </dgm:pt>
    <dgm:pt modelId="{1E27F632-092A-49D7-A830-F0FA5605840C}" type="pres">
      <dgm:prSet presAssocID="{C38613C5-D94A-47F4-8394-DFA0CD845BAE}" presName="level3hierChild" presStyleCnt="0"/>
      <dgm:spPr/>
    </dgm:pt>
    <dgm:pt modelId="{212DE259-1487-4D83-9102-7E9333815E91}" type="pres">
      <dgm:prSet presAssocID="{7385E0B7-02CF-43E4-95A7-6E237FE428B7}" presName="conn2-1" presStyleLbl="parChTrans1D2" presStyleIdx="2" presStyleCnt="4"/>
      <dgm:spPr/>
      <dgm:t>
        <a:bodyPr/>
        <a:lstStyle/>
        <a:p>
          <a:endParaRPr lang="tr-TR"/>
        </a:p>
      </dgm:t>
    </dgm:pt>
    <dgm:pt modelId="{8BD39EC1-91BF-441A-83CD-C97FDE1F074B}" type="pres">
      <dgm:prSet presAssocID="{7385E0B7-02CF-43E4-95A7-6E237FE428B7}" presName="connTx" presStyleLbl="parChTrans1D2" presStyleIdx="2" presStyleCnt="4"/>
      <dgm:spPr/>
      <dgm:t>
        <a:bodyPr/>
        <a:lstStyle/>
        <a:p>
          <a:endParaRPr lang="tr-TR"/>
        </a:p>
      </dgm:t>
    </dgm:pt>
    <dgm:pt modelId="{3147B764-E41C-487B-A434-3D2E352E3E8A}" type="pres">
      <dgm:prSet presAssocID="{FAC56A67-9FAA-49CE-84D2-03FD479439B2}" presName="root2" presStyleCnt="0"/>
      <dgm:spPr/>
    </dgm:pt>
    <dgm:pt modelId="{83D2C39E-47AF-4C72-A654-375D2331291A}" type="pres">
      <dgm:prSet presAssocID="{FAC56A67-9FAA-49CE-84D2-03FD479439B2}" presName="LevelTwoTextNode" presStyleLbl="node2" presStyleIdx="2" presStyleCnt="4">
        <dgm:presLayoutVars>
          <dgm:chPref val="3"/>
        </dgm:presLayoutVars>
      </dgm:prSet>
      <dgm:spPr/>
      <dgm:t>
        <a:bodyPr/>
        <a:lstStyle/>
        <a:p>
          <a:endParaRPr lang="tr-TR"/>
        </a:p>
      </dgm:t>
    </dgm:pt>
    <dgm:pt modelId="{DA57014A-4D66-408F-A678-A480BEE8B9A0}" type="pres">
      <dgm:prSet presAssocID="{FAC56A67-9FAA-49CE-84D2-03FD479439B2}" presName="level3hierChild" presStyleCnt="0"/>
      <dgm:spPr/>
    </dgm:pt>
    <dgm:pt modelId="{516A8351-3094-4436-A8E8-6AC77A509095}" type="pres">
      <dgm:prSet presAssocID="{D667B03D-A286-40EB-9E85-C4F4FABFFE41}" presName="conn2-1" presStyleLbl="parChTrans1D2" presStyleIdx="3" presStyleCnt="4"/>
      <dgm:spPr/>
      <dgm:t>
        <a:bodyPr/>
        <a:lstStyle/>
        <a:p>
          <a:endParaRPr lang="tr-TR"/>
        </a:p>
      </dgm:t>
    </dgm:pt>
    <dgm:pt modelId="{5693C83A-F007-4789-9713-50DC1F469971}" type="pres">
      <dgm:prSet presAssocID="{D667B03D-A286-40EB-9E85-C4F4FABFFE41}" presName="connTx" presStyleLbl="parChTrans1D2" presStyleIdx="3" presStyleCnt="4"/>
      <dgm:spPr/>
      <dgm:t>
        <a:bodyPr/>
        <a:lstStyle/>
        <a:p>
          <a:endParaRPr lang="tr-TR"/>
        </a:p>
      </dgm:t>
    </dgm:pt>
    <dgm:pt modelId="{4DD07726-03C9-44F6-89E8-7C8341FBE9EB}" type="pres">
      <dgm:prSet presAssocID="{C4069358-3500-4ED3-98E6-625D5FAE2835}" presName="root2" presStyleCnt="0"/>
      <dgm:spPr/>
    </dgm:pt>
    <dgm:pt modelId="{B232062B-C979-4D98-8716-3083326C23EC}" type="pres">
      <dgm:prSet presAssocID="{C4069358-3500-4ED3-98E6-625D5FAE2835}" presName="LevelTwoTextNode" presStyleLbl="node2" presStyleIdx="3" presStyleCnt="4">
        <dgm:presLayoutVars>
          <dgm:chPref val="3"/>
        </dgm:presLayoutVars>
      </dgm:prSet>
      <dgm:spPr/>
      <dgm:t>
        <a:bodyPr/>
        <a:lstStyle/>
        <a:p>
          <a:endParaRPr lang="tr-TR"/>
        </a:p>
      </dgm:t>
    </dgm:pt>
    <dgm:pt modelId="{BA35CEDA-4068-4F5C-BE10-F381586887F7}" type="pres">
      <dgm:prSet presAssocID="{C4069358-3500-4ED3-98E6-625D5FAE2835}" presName="level3hierChild" presStyleCnt="0"/>
      <dgm:spPr/>
    </dgm:pt>
  </dgm:ptLst>
  <dgm:cxnLst>
    <dgm:cxn modelId="{9B2A934C-CCE9-4557-9961-9E4CC5BA8396}" type="presOf" srcId="{191748AE-05D6-4810-A985-142FE0E06DCE}" destId="{72F04E54-9893-40F6-B314-89F4AE3C3BAC}" srcOrd="1" destOrd="0" presId="urn:microsoft.com/office/officeart/2005/8/layout/hierarchy2"/>
    <dgm:cxn modelId="{3793A5B7-9062-454A-827F-DF14888A3AF4}" type="presOf" srcId="{485385D8-86DF-48AA-84B2-24A755E7241B}" destId="{E35DA965-2A67-414F-9C26-A72CE5FB528B}" srcOrd="0" destOrd="0" presId="urn:microsoft.com/office/officeart/2005/8/layout/hierarchy2"/>
    <dgm:cxn modelId="{C23FCA9D-829B-48E5-9C82-542343F930DA}" srcId="{D1AC6584-4672-498F-9C06-C92EAA3D8D97}" destId="{EE498BF1-2D43-4EBE-869C-933EC4FEBA50}" srcOrd="0" destOrd="0" parTransId="{191748AE-05D6-4810-A985-142FE0E06DCE}" sibTransId="{59EFB765-70E2-46D4-A91E-3657787151D8}"/>
    <dgm:cxn modelId="{5305E722-D6ED-4771-9231-97FF6F13AAA4}" type="presOf" srcId="{485385D8-86DF-48AA-84B2-24A755E7241B}" destId="{3FC8CE2A-A8EE-4B15-8D9F-A43B902191C1}" srcOrd="1" destOrd="0" presId="urn:microsoft.com/office/officeart/2005/8/layout/hierarchy2"/>
    <dgm:cxn modelId="{F3B8A4A4-F0D4-454A-9E61-23BF85E6A34D}" type="presOf" srcId="{EE498BF1-2D43-4EBE-869C-933EC4FEBA50}" destId="{0D32D01C-C4A4-4B52-B986-53182C8B9FDF}" srcOrd="0" destOrd="0" presId="urn:microsoft.com/office/officeart/2005/8/layout/hierarchy2"/>
    <dgm:cxn modelId="{37327201-FFF5-4095-8972-6DE073F0F9D4}" type="presOf" srcId="{FAC56A67-9FAA-49CE-84D2-03FD479439B2}" destId="{83D2C39E-47AF-4C72-A654-375D2331291A}" srcOrd="0" destOrd="0" presId="urn:microsoft.com/office/officeart/2005/8/layout/hierarchy2"/>
    <dgm:cxn modelId="{B200FA2B-3E53-4E19-9FD2-0F1B157EAAA3}" type="presOf" srcId="{7385E0B7-02CF-43E4-95A7-6E237FE428B7}" destId="{8BD39EC1-91BF-441A-83CD-C97FDE1F074B}" srcOrd="1" destOrd="0" presId="urn:microsoft.com/office/officeart/2005/8/layout/hierarchy2"/>
    <dgm:cxn modelId="{8A98FC97-314C-4188-91B8-DF12458BB745}" type="presOf" srcId="{191748AE-05D6-4810-A985-142FE0E06DCE}" destId="{85D2BD7F-D82F-4280-A561-78B41BCBBC33}" srcOrd="0" destOrd="0" presId="urn:microsoft.com/office/officeart/2005/8/layout/hierarchy2"/>
    <dgm:cxn modelId="{7154F5A7-B07C-4ED5-B27A-F694EB226C41}" srcId="{D1AC6584-4672-498F-9C06-C92EAA3D8D97}" destId="{FAC56A67-9FAA-49CE-84D2-03FD479439B2}" srcOrd="2" destOrd="0" parTransId="{7385E0B7-02CF-43E4-95A7-6E237FE428B7}" sibTransId="{524CE7BD-6073-4008-943B-2BDC153175DB}"/>
    <dgm:cxn modelId="{3B0FB7BE-FEC9-4F50-8BA8-9BBC0DBDFFAC}" srcId="{B776C572-7419-4BCE-99A6-926F75D4F591}" destId="{D1AC6584-4672-498F-9C06-C92EAA3D8D97}" srcOrd="0" destOrd="0" parTransId="{62B7701D-62CE-4382-8417-B7AC24D3E423}" sibTransId="{B3BC6CE2-CE27-41DC-BCC1-8B5CBC18B924}"/>
    <dgm:cxn modelId="{090A6983-F75F-42BB-9D0B-AF717B419687}" type="presOf" srcId="{D1AC6584-4672-498F-9C06-C92EAA3D8D97}" destId="{7B909CED-B0AB-4D17-ADB1-2EB383B624A1}" srcOrd="0" destOrd="0" presId="urn:microsoft.com/office/officeart/2005/8/layout/hierarchy2"/>
    <dgm:cxn modelId="{014E41BF-4FEF-4226-9530-24691BB84C9A}" type="presOf" srcId="{C38613C5-D94A-47F4-8394-DFA0CD845BAE}" destId="{E2F24DDA-714C-47E7-944B-82DD3A90F6C9}" srcOrd="0" destOrd="0" presId="urn:microsoft.com/office/officeart/2005/8/layout/hierarchy2"/>
    <dgm:cxn modelId="{9F3F68AF-1746-4736-AE08-B12E5632B2E0}" srcId="{D1AC6584-4672-498F-9C06-C92EAA3D8D97}" destId="{C38613C5-D94A-47F4-8394-DFA0CD845BAE}" srcOrd="1" destOrd="0" parTransId="{485385D8-86DF-48AA-84B2-24A755E7241B}" sibTransId="{A46B64F4-0C26-4EA0-BB23-FABA57503485}"/>
    <dgm:cxn modelId="{A146BED0-3792-4C41-8435-DD43BC500AEB}" type="presOf" srcId="{D667B03D-A286-40EB-9E85-C4F4FABFFE41}" destId="{516A8351-3094-4436-A8E8-6AC77A509095}" srcOrd="0" destOrd="0" presId="urn:microsoft.com/office/officeart/2005/8/layout/hierarchy2"/>
    <dgm:cxn modelId="{2C19E6B9-9216-4399-91DB-76DAAA83B58C}" type="presOf" srcId="{C4069358-3500-4ED3-98E6-625D5FAE2835}" destId="{B232062B-C979-4D98-8716-3083326C23EC}" srcOrd="0" destOrd="0" presId="urn:microsoft.com/office/officeart/2005/8/layout/hierarchy2"/>
    <dgm:cxn modelId="{DE46BF13-AB49-4537-A57D-7233D34ECD3C}" srcId="{D1AC6584-4672-498F-9C06-C92EAA3D8D97}" destId="{C4069358-3500-4ED3-98E6-625D5FAE2835}" srcOrd="3" destOrd="0" parTransId="{D667B03D-A286-40EB-9E85-C4F4FABFFE41}" sibTransId="{440935F2-845B-4FB2-932D-AAECB1DE7A20}"/>
    <dgm:cxn modelId="{A79DF419-103C-4722-A00A-0E23F7C93D66}" type="presOf" srcId="{B776C572-7419-4BCE-99A6-926F75D4F591}" destId="{E1EFD548-2496-482D-8DFD-B04F0EB7278A}" srcOrd="0" destOrd="0" presId="urn:microsoft.com/office/officeart/2005/8/layout/hierarchy2"/>
    <dgm:cxn modelId="{4832F5D3-F06B-4A02-92C7-2A8019924A25}" type="presOf" srcId="{D667B03D-A286-40EB-9E85-C4F4FABFFE41}" destId="{5693C83A-F007-4789-9713-50DC1F469971}" srcOrd="1" destOrd="0" presId="urn:microsoft.com/office/officeart/2005/8/layout/hierarchy2"/>
    <dgm:cxn modelId="{4540DFDA-9623-4957-997D-DE10A38E76DF}" type="presOf" srcId="{7385E0B7-02CF-43E4-95A7-6E237FE428B7}" destId="{212DE259-1487-4D83-9102-7E9333815E91}" srcOrd="0" destOrd="0" presId="urn:microsoft.com/office/officeart/2005/8/layout/hierarchy2"/>
    <dgm:cxn modelId="{927FF6C3-890D-44BB-9A7A-8EF6993A9732}" type="presParOf" srcId="{E1EFD548-2496-482D-8DFD-B04F0EB7278A}" destId="{539726CB-A755-45CB-B1EA-508D82013D4A}" srcOrd="0" destOrd="0" presId="urn:microsoft.com/office/officeart/2005/8/layout/hierarchy2"/>
    <dgm:cxn modelId="{39323193-0BF6-42F7-B36C-AC9F2D88DF95}" type="presParOf" srcId="{539726CB-A755-45CB-B1EA-508D82013D4A}" destId="{7B909CED-B0AB-4D17-ADB1-2EB383B624A1}" srcOrd="0" destOrd="0" presId="urn:microsoft.com/office/officeart/2005/8/layout/hierarchy2"/>
    <dgm:cxn modelId="{4781DF8C-5732-4D38-AC37-BF5B2327B21E}" type="presParOf" srcId="{539726CB-A755-45CB-B1EA-508D82013D4A}" destId="{1B2DA4E3-5AC4-4DAA-B572-2BFDEAB65792}" srcOrd="1" destOrd="0" presId="urn:microsoft.com/office/officeart/2005/8/layout/hierarchy2"/>
    <dgm:cxn modelId="{7E3C3EB2-D4FF-4911-834F-BE6C8D91A1C7}" type="presParOf" srcId="{1B2DA4E3-5AC4-4DAA-B572-2BFDEAB65792}" destId="{85D2BD7F-D82F-4280-A561-78B41BCBBC33}" srcOrd="0" destOrd="0" presId="urn:microsoft.com/office/officeart/2005/8/layout/hierarchy2"/>
    <dgm:cxn modelId="{141145CD-97E6-46B0-B679-CB1F3215DD07}" type="presParOf" srcId="{85D2BD7F-D82F-4280-A561-78B41BCBBC33}" destId="{72F04E54-9893-40F6-B314-89F4AE3C3BAC}" srcOrd="0" destOrd="0" presId="urn:microsoft.com/office/officeart/2005/8/layout/hierarchy2"/>
    <dgm:cxn modelId="{9EFF4FFC-F387-4A0C-8FB4-5279E3D5D454}" type="presParOf" srcId="{1B2DA4E3-5AC4-4DAA-B572-2BFDEAB65792}" destId="{B01F1189-1B75-428F-B35F-361C4E073C47}" srcOrd="1" destOrd="0" presId="urn:microsoft.com/office/officeart/2005/8/layout/hierarchy2"/>
    <dgm:cxn modelId="{5B50DC1E-26A7-402F-BA3E-2B8F51467DC8}" type="presParOf" srcId="{B01F1189-1B75-428F-B35F-361C4E073C47}" destId="{0D32D01C-C4A4-4B52-B986-53182C8B9FDF}" srcOrd="0" destOrd="0" presId="urn:microsoft.com/office/officeart/2005/8/layout/hierarchy2"/>
    <dgm:cxn modelId="{2F115C69-7E31-4A9A-BD41-A36FA0417AF3}" type="presParOf" srcId="{B01F1189-1B75-428F-B35F-361C4E073C47}" destId="{73DBA274-920B-410B-8E52-8B1F8AA99BB5}" srcOrd="1" destOrd="0" presId="urn:microsoft.com/office/officeart/2005/8/layout/hierarchy2"/>
    <dgm:cxn modelId="{7DB6740B-755F-481A-8D98-4DDFD29E9971}" type="presParOf" srcId="{1B2DA4E3-5AC4-4DAA-B572-2BFDEAB65792}" destId="{E35DA965-2A67-414F-9C26-A72CE5FB528B}" srcOrd="2" destOrd="0" presId="urn:microsoft.com/office/officeart/2005/8/layout/hierarchy2"/>
    <dgm:cxn modelId="{3F0F454F-E868-4287-9CF3-3FF4CAA890D0}" type="presParOf" srcId="{E35DA965-2A67-414F-9C26-A72CE5FB528B}" destId="{3FC8CE2A-A8EE-4B15-8D9F-A43B902191C1}" srcOrd="0" destOrd="0" presId="urn:microsoft.com/office/officeart/2005/8/layout/hierarchy2"/>
    <dgm:cxn modelId="{C16BF327-CF92-4B5E-8A60-5A71CD18C18B}" type="presParOf" srcId="{1B2DA4E3-5AC4-4DAA-B572-2BFDEAB65792}" destId="{16DB07D6-6150-4E85-8234-EA503B3A1EF5}" srcOrd="3" destOrd="0" presId="urn:microsoft.com/office/officeart/2005/8/layout/hierarchy2"/>
    <dgm:cxn modelId="{32C90792-ECC3-4145-BB94-115F2647F9EF}" type="presParOf" srcId="{16DB07D6-6150-4E85-8234-EA503B3A1EF5}" destId="{E2F24DDA-714C-47E7-944B-82DD3A90F6C9}" srcOrd="0" destOrd="0" presId="urn:microsoft.com/office/officeart/2005/8/layout/hierarchy2"/>
    <dgm:cxn modelId="{2E7E877C-73A2-4A87-8439-B7D505235978}" type="presParOf" srcId="{16DB07D6-6150-4E85-8234-EA503B3A1EF5}" destId="{1E27F632-092A-49D7-A830-F0FA5605840C}" srcOrd="1" destOrd="0" presId="urn:microsoft.com/office/officeart/2005/8/layout/hierarchy2"/>
    <dgm:cxn modelId="{53911C40-A571-43E4-9835-D07B480F3952}" type="presParOf" srcId="{1B2DA4E3-5AC4-4DAA-B572-2BFDEAB65792}" destId="{212DE259-1487-4D83-9102-7E9333815E91}" srcOrd="4" destOrd="0" presId="urn:microsoft.com/office/officeart/2005/8/layout/hierarchy2"/>
    <dgm:cxn modelId="{C2A517A2-1FD8-4614-A9DF-691FF5948EB5}" type="presParOf" srcId="{212DE259-1487-4D83-9102-7E9333815E91}" destId="{8BD39EC1-91BF-441A-83CD-C97FDE1F074B}" srcOrd="0" destOrd="0" presId="urn:microsoft.com/office/officeart/2005/8/layout/hierarchy2"/>
    <dgm:cxn modelId="{734B8150-97C7-4DB4-BF61-12199036627C}" type="presParOf" srcId="{1B2DA4E3-5AC4-4DAA-B572-2BFDEAB65792}" destId="{3147B764-E41C-487B-A434-3D2E352E3E8A}" srcOrd="5" destOrd="0" presId="urn:microsoft.com/office/officeart/2005/8/layout/hierarchy2"/>
    <dgm:cxn modelId="{502BD4EA-6181-4B02-81D0-D4725E414378}" type="presParOf" srcId="{3147B764-E41C-487B-A434-3D2E352E3E8A}" destId="{83D2C39E-47AF-4C72-A654-375D2331291A}" srcOrd="0" destOrd="0" presId="urn:microsoft.com/office/officeart/2005/8/layout/hierarchy2"/>
    <dgm:cxn modelId="{320E3770-707B-4F95-9766-57F344292A78}" type="presParOf" srcId="{3147B764-E41C-487B-A434-3D2E352E3E8A}" destId="{DA57014A-4D66-408F-A678-A480BEE8B9A0}" srcOrd="1" destOrd="0" presId="urn:microsoft.com/office/officeart/2005/8/layout/hierarchy2"/>
    <dgm:cxn modelId="{12DE45F0-4BE0-44B7-8056-191F5311859F}" type="presParOf" srcId="{1B2DA4E3-5AC4-4DAA-B572-2BFDEAB65792}" destId="{516A8351-3094-4436-A8E8-6AC77A509095}" srcOrd="6" destOrd="0" presId="urn:microsoft.com/office/officeart/2005/8/layout/hierarchy2"/>
    <dgm:cxn modelId="{C9F2CD17-8057-4AE4-8FFB-5B5BA1892B13}" type="presParOf" srcId="{516A8351-3094-4436-A8E8-6AC77A509095}" destId="{5693C83A-F007-4789-9713-50DC1F469971}" srcOrd="0" destOrd="0" presId="urn:microsoft.com/office/officeart/2005/8/layout/hierarchy2"/>
    <dgm:cxn modelId="{0EA8984F-433C-402B-A5FB-C5C049E400DA}" type="presParOf" srcId="{1B2DA4E3-5AC4-4DAA-B572-2BFDEAB65792}" destId="{4DD07726-03C9-44F6-89E8-7C8341FBE9EB}" srcOrd="7" destOrd="0" presId="urn:microsoft.com/office/officeart/2005/8/layout/hierarchy2"/>
    <dgm:cxn modelId="{D4357442-0F56-4C46-A0C1-D960B4A11F15}" type="presParOf" srcId="{4DD07726-03C9-44F6-89E8-7C8341FBE9EB}" destId="{B232062B-C979-4D98-8716-3083326C23EC}" srcOrd="0" destOrd="0" presId="urn:microsoft.com/office/officeart/2005/8/layout/hierarchy2"/>
    <dgm:cxn modelId="{AE4820CC-0139-4BF3-A73B-03BB8AC7EBE3}" type="presParOf" srcId="{4DD07726-03C9-44F6-89E8-7C8341FBE9EB}" destId="{BA35CEDA-4068-4F5C-BE10-F381586887F7}" srcOrd="1" destOrd="0" presId="urn:microsoft.com/office/officeart/2005/8/layout/hierarchy2"/>
  </dgm:cxnLst>
  <dgm:bg/>
  <dgm:whole/>
  <dgm:extLst>
    <a:ext uri="http://schemas.microsoft.com/office/drawing/2008/diagram">
      <dsp:dataModelExt xmlns:dsp="http://schemas.microsoft.com/office/drawing/2008/diagram" relId="rId418"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11961ECE-2296-4A30-9D30-4AE10E260084}" type="doc">
      <dgm:prSet loTypeId="urn:microsoft.com/office/officeart/2005/8/layout/hierarchy2" loCatId="hierarchy" qsTypeId="urn:microsoft.com/office/officeart/2005/8/quickstyle/simple1" qsCatId="simple" csTypeId="urn:microsoft.com/office/officeart/2005/8/colors/accent0_1" csCatId="mainScheme" phldr="1"/>
      <dgm:spPr/>
      <dgm:t>
        <a:bodyPr/>
        <a:lstStyle/>
        <a:p>
          <a:endParaRPr lang="tr-TR"/>
        </a:p>
      </dgm:t>
    </dgm:pt>
    <dgm:pt modelId="{F6A0F4C3-1FDD-4C73-B5A2-61AE1CD9DA72}">
      <dgm:prSet phldrT="[Metin]" custT="1"/>
      <dgm:spPr/>
      <dgm:t>
        <a:bodyPr/>
        <a:lstStyle/>
        <a:p>
          <a:r>
            <a:rPr lang="tr-TR" sz="1100">
              <a:latin typeface="Times New Roman" pitchFamily="18" charset="0"/>
              <a:cs typeface="Times New Roman" pitchFamily="18" charset="0"/>
            </a:rPr>
            <a:t>Çevresel</a:t>
          </a:r>
        </a:p>
      </dgm:t>
    </dgm:pt>
    <dgm:pt modelId="{ABE5BA14-D4E5-4785-BE45-220039AFFB6A}" type="parTrans" cxnId="{5D2AF6D2-CF1D-4EE0-9266-05A0050454FA}">
      <dgm:prSet/>
      <dgm:spPr/>
      <dgm:t>
        <a:bodyPr/>
        <a:lstStyle/>
        <a:p>
          <a:endParaRPr lang="tr-TR" sz="1100">
            <a:latin typeface="Times New Roman" pitchFamily="18" charset="0"/>
            <a:cs typeface="Times New Roman" pitchFamily="18" charset="0"/>
          </a:endParaRPr>
        </a:p>
      </dgm:t>
    </dgm:pt>
    <dgm:pt modelId="{4171108B-8415-4CBF-B6DC-4D6178B648F7}" type="sibTrans" cxnId="{5D2AF6D2-CF1D-4EE0-9266-05A0050454FA}">
      <dgm:prSet/>
      <dgm:spPr/>
      <dgm:t>
        <a:bodyPr/>
        <a:lstStyle/>
        <a:p>
          <a:endParaRPr lang="tr-TR" sz="1100">
            <a:latin typeface="Times New Roman" pitchFamily="18" charset="0"/>
            <a:cs typeface="Times New Roman" pitchFamily="18" charset="0"/>
          </a:endParaRPr>
        </a:p>
      </dgm:t>
    </dgm:pt>
    <dgm:pt modelId="{9A47E4AB-5873-4436-A584-C4ACC2BC2A24}">
      <dgm:prSet phldrT="[Metin]" custT="1"/>
      <dgm:spPr/>
      <dgm:t>
        <a:bodyPr/>
        <a:lstStyle/>
        <a:p>
          <a:r>
            <a:rPr lang="tr-TR" sz="1100">
              <a:latin typeface="Times New Roman" pitchFamily="18" charset="0"/>
              <a:cs typeface="Times New Roman" pitchFamily="18" charset="0"/>
            </a:rPr>
            <a:t>Veli</a:t>
          </a:r>
        </a:p>
      </dgm:t>
    </dgm:pt>
    <dgm:pt modelId="{4266D5D7-E8CE-4648-8AD3-6BCEB76E7D79}" type="parTrans" cxnId="{4D125139-100D-4D76-A7EF-126F9C26133D}">
      <dgm:prSet custT="1"/>
      <dgm:spPr/>
      <dgm:t>
        <a:bodyPr/>
        <a:lstStyle/>
        <a:p>
          <a:endParaRPr lang="tr-TR" sz="1100">
            <a:latin typeface="Times New Roman" pitchFamily="18" charset="0"/>
            <a:cs typeface="Times New Roman" pitchFamily="18" charset="0"/>
          </a:endParaRPr>
        </a:p>
      </dgm:t>
    </dgm:pt>
    <dgm:pt modelId="{8CB2B962-5CF5-4F23-8EEC-B4404273CE59}" type="sibTrans" cxnId="{4D125139-100D-4D76-A7EF-126F9C26133D}">
      <dgm:prSet/>
      <dgm:spPr/>
      <dgm:t>
        <a:bodyPr/>
        <a:lstStyle/>
        <a:p>
          <a:endParaRPr lang="tr-TR" sz="1100">
            <a:latin typeface="Times New Roman" pitchFamily="18" charset="0"/>
            <a:cs typeface="Times New Roman" pitchFamily="18" charset="0"/>
          </a:endParaRPr>
        </a:p>
      </dgm:t>
    </dgm:pt>
    <dgm:pt modelId="{484B8F52-ED19-44DD-ACC0-E8C735F436C7}">
      <dgm:prSet phldrT="[Metin]" custT="1"/>
      <dgm:spPr/>
      <dgm:t>
        <a:bodyPr/>
        <a:lstStyle/>
        <a:p>
          <a:r>
            <a:rPr lang="tr-TR" sz="1100">
              <a:latin typeface="Times New Roman" pitchFamily="18" charset="0"/>
              <a:cs typeface="Times New Roman" pitchFamily="18" charset="0"/>
            </a:rPr>
            <a:t>Öğrenci</a:t>
          </a:r>
        </a:p>
      </dgm:t>
    </dgm:pt>
    <dgm:pt modelId="{EAB8CB3E-F3E5-41C9-ABCE-050F2C386A78}" type="parTrans" cxnId="{2804BD65-B579-4498-A1DE-095CF44A2A1A}">
      <dgm:prSet custT="1"/>
      <dgm:spPr/>
      <dgm:t>
        <a:bodyPr/>
        <a:lstStyle/>
        <a:p>
          <a:endParaRPr lang="tr-TR" sz="1100">
            <a:latin typeface="Times New Roman" pitchFamily="18" charset="0"/>
            <a:cs typeface="Times New Roman" pitchFamily="18" charset="0"/>
          </a:endParaRPr>
        </a:p>
      </dgm:t>
    </dgm:pt>
    <dgm:pt modelId="{DB9A4027-B09F-4814-B742-93DB43DF8914}" type="sibTrans" cxnId="{2804BD65-B579-4498-A1DE-095CF44A2A1A}">
      <dgm:prSet/>
      <dgm:spPr/>
      <dgm:t>
        <a:bodyPr/>
        <a:lstStyle/>
        <a:p>
          <a:endParaRPr lang="tr-TR" sz="1100">
            <a:latin typeface="Times New Roman" pitchFamily="18" charset="0"/>
            <a:cs typeface="Times New Roman" pitchFamily="18" charset="0"/>
          </a:endParaRPr>
        </a:p>
      </dgm:t>
    </dgm:pt>
    <dgm:pt modelId="{9CBF8036-EBA3-4E17-A429-1C62074C904F}">
      <dgm:prSet phldrT="[Metin]" custT="1"/>
      <dgm:spPr/>
      <dgm:t>
        <a:bodyPr/>
        <a:lstStyle/>
        <a:p>
          <a:r>
            <a:rPr lang="tr-TR" sz="1100">
              <a:latin typeface="Times New Roman" pitchFamily="18" charset="0"/>
              <a:cs typeface="Times New Roman" pitchFamily="18" charset="0"/>
            </a:rPr>
            <a:t>Belirsizlik</a:t>
          </a:r>
        </a:p>
      </dgm:t>
    </dgm:pt>
    <dgm:pt modelId="{56E2C1AE-1354-42DA-AEB2-AD1F71AAED4D}" type="parTrans" cxnId="{BC46AEFB-90C3-46FE-9689-953627429ADA}">
      <dgm:prSet/>
      <dgm:spPr/>
      <dgm:t>
        <a:bodyPr/>
        <a:lstStyle/>
        <a:p>
          <a:endParaRPr lang="tr-TR"/>
        </a:p>
      </dgm:t>
    </dgm:pt>
    <dgm:pt modelId="{F7AE9B28-1776-4621-BF64-CF0BDDAE88AB}" type="sibTrans" cxnId="{BC46AEFB-90C3-46FE-9689-953627429ADA}">
      <dgm:prSet/>
      <dgm:spPr/>
      <dgm:t>
        <a:bodyPr/>
        <a:lstStyle/>
        <a:p>
          <a:endParaRPr lang="tr-TR"/>
        </a:p>
      </dgm:t>
    </dgm:pt>
    <dgm:pt modelId="{53396E50-B639-4F23-9E14-742A035DD0C4}">
      <dgm:prSet phldrT="[Metin]" custT="1"/>
      <dgm:spPr/>
      <dgm:t>
        <a:bodyPr/>
        <a:lstStyle/>
        <a:p>
          <a:r>
            <a:rPr lang="tr-TR" sz="1100">
              <a:latin typeface="Times New Roman" pitchFamily="18" charset="0"/>
              <a:cs typeface="Times New Roman" pitchFamily="18" charset="0"/>
            </a:rPr>
            <a:t>öğrenme kaybı</a:t>
          </a:r>
        </a:p>
      </dgm:t>
    </dgm:pt>
    <dgm:pt modelId="{1DBEAA28-B246-484A-A2C3-3890E5C8220C}" type="parTrans" cxnId="{13D7A3A3-7E4B-4A51-A6B3-46F8658FC63D}">
      <dgm:prSet/>
      <dgm:spPr/>
      <dgm:t>
        <a:bodyPr/>
        <a:lstStyle/>
        <a:p>
          <a:endParaRPr lang="tr-TR"/>
        </a:p>
      </dgm:t>
    </dgm:pt>
    <dgm:pt modelId="{E3B7AC8E-ADA8-45E3-ABDC-60933EA44866}" type="sibTrans" cxnId="{13D7A3A3-7E4B-4A51-A6B3-46F8658FC63D}">
      <dgm:prSet/>
      <dgm:spPr/>
      <dgm:t>
        <a:bodyPr/>
        <a:lstStyle/>
        <a:p>
          <a:endParaRPr lang="tr-TR"/>
        </a:p>
      </dgm:t>
    </dgm:pt>
    <dgm:pt modelId="{0F3993BE-2701-48F5-845C-2A381930386E}">
      <dgm:prSet phldrT="[Metin]" custT="1"/>
      <dgm:spPr/>
      <dgm:t>
        <a:bodyPr/>
        <a:lstStyle/>
        <a:p>
          <a:r>
            <a:rPr lang="tr-TR" sz="1100">
              <a:latin typeface="Times New Roman" pitchFamily="18" charset="0"/>
              <a:cs typeface="Times New Roman" pitchFamily="18" charset="0"/>
            </a:rPr>
            <a:t>sağlık</a:t>
          </a:r>
        </a:p>
      </dgm:t>
    </dgm:pt>
    <dgm:pt modelId="{E593E17E-2811-4BBD-BEBA-52199CD96102}" type="parTrans" cxnId="{58F89341-84EC-4E60-89DD-06C4A44F1303}">
      <dgm:prSet/>
      <dgm:spPr/>
      <dgm:t>
        <a:bodyPr/>
        <a:lstStyle/>
        <a:p>
          <a:endParaRPr lang="tr-TR"/>
        </a:p>
      </dgm:t>
    </dgm:pt>
    <dgm:pt modelId="{81C6B644-06E0-4866-9686-C55B04A3D302}" type="sibTrans" cxnId="{58F89341-84EC-4E60-89DD-06C4A44F1303}">
      <dgm:prSet/>
      <dgm:spPr/>
      <dgm:t>
        <a:bodyPr/>
        <a:lstStyle/>
        <a:p>
          <a:endParaRPr lang="tr-TR"/>
        </a:p>
      </dgm:t>
    </dgm:pt>
    <dgm:pt modelId="{5C595E41-19CF-4EA0-A2E5-E99A02AAA055}">
      <dgm:prSet phldrT="[Metin]" custT="1"/>
      <dgm:spPr/>
      <dgm:t>
        <a:bodyPr/>
        <a:lstStyle/>
        <a:p>
          <a:r>
            <a:rPr lang="tr-TR" sz="1100">
              <a:latin typeface="Times New Roman" pitchFamily="18" charset="0"/>
              <a:cs typeface="Times New Roman" pitchFamily="18" charset="0"/>
            </a:rPr>
            <a:t>Hastalığın seyri</a:t>
          </a:r>
        </a:p>
      </dgm:t>
    </dgm:pt>
    <dgm:pt modelId="{6251F404-7DC7-4ABE-86E2-16277E70D005}" type="parTrans" cxnId="{06975694-6378-4B85-88D8-E08D33B4779D}">
      <dgm:prSet/>
      <dgm:spPr/>
      <dgm:t>
        <a:bodyPr/>
        <a:lstStyle/>
        <a:p>
          <a:endParaRPr lang="tr-TR"/>
        </a:p>
      </dgm:t>
    </dgm:pt>
    <dgm:pt modelId="{BCCD7674-4E25-4538-8DC2-E462754633F0}" type="sibTrans" cxnId="{06975694-6378-4B85-88D8-E08D33B4779D}">
      <dgm:prSet/>
      <dgm:spPr/>
      <dgm:t>
        <a:bodyPr/>
        <a:lstStyle/>
        <a:p>
          <a:endParaRPr lang="tr-TR"/>
        </a:p>
      </dgm:t>
    </dgm:pt>
    <dgm:pt modelId="{419B82CE-E738-4D68-A0E9-7243DDBFDF0C}">
      <dgm:prSet phldrT="[Metin]" custT="1"/>
      <dgm:spPr/>
      <dgm:t>
        <a:bodyPr/>
        <a:lstStyle/>
        <a:p>
          <a:r>
            <a:rPr lang="tr-TR" sz="1100">
              <a:latin typeface="Times New Roman" pitchFamily="18" charset="0"/>
              <a:cs typeface="Times New Roman" pitchFamily="18" charset="0"/>
            </a:rPr>
            <a:t>Okulların durumu</a:t>
          </a:r>
        </a:p>
      </dgm:t>
    </dgm:pt>
    <dgm:pt modelId="{26CFC565-EDFE-4239-9D2A-078EBE4A8CD9}" type="parTrans" cxnId="{8D8BF73B-4120-404D-82B2-67658D3C4787}">
      <dgm:prSet/>
      <dgm:spPr/>
      <dgm:t>
        <a:bodyPr/>
        <a:lstStyle/>
        <a:p>
          <a:endParaRPr lang="tr-TR"/>
        </a:p>
      </dgm:t>
    </dgm:pt>
    <dgm:pt modelId="{D15BDC8F-AD5A-4D6D-AE43-890BEC5E8062}" type="sibTrans" cxnId="{8D8BF73B-4120-404D-82B2-67658D3C4787}">
      <dgm:prSet/>
      <dgm:spPr/>
      <dgm:t>
        <a:bodyPr/>
        <a:lstStyle/>
        <a:p>
          <a:endParaRPr lang="tr-TR"/>
        </a:p>
      </dgm:t>
    </dgm:pt>
    <dgm:pt modelId="{D3B2EADB-0139-4EEC-B76A-0AF1EF1C8B97}">
      <dgm:prSet phldrT="[Metin]" custT="1"/>
      <dgm:spPr/>
      <dgm:t>
        <a:bodyPr/>
        <a:lstStyle/>
        <a:p>
          <a:r>
            <a:rPr lang="tr-TR" sz="1100">
              <a:latin typeface="Times New Roman" pitchFamily="18" charset="0"/>
              <a:cs typeface="Times New Roman" pitchFamily="18" charset="0"/>
            </a:rPr>
            <a:t>Sosyal yaşam</a:t>
          </a:r>
        </a:p>
      </dgm:t>
    </dgm:pt>
    <dgm:pt modelId="{675E4B9E-215A-4987-89EA-5214A312226C}" type="parTrans" cxnId="{EB235BEB-FA3B-4882-9D94-DB66BF07F2C5}">
      <dgm:prSet/>
      <dgm:spPr/>
      <dgm:t>
        <a:bodyPr/>
        <a:lstStyle/>
        <a:p>
          <a:endParaRPr lang="tr-TR"/>
        </a:p>
      </dgm:t>
    </dgm:pt>
    <dgm:pt modelId="{D5A2ABD8-7A3E-45A1-92B9-C5C0015F01BE}" type="sibTrans" cxnId="{EB235BEB-FA3B-4882-9D94-DB66BF07F2C5}">
      <dgm:prSet/>
      <dgm:spPr/>
      <dgm:t>
        <a:bodyPr/>
        <a:lstStyle/>
        <a:p>
          <a:endParaRPr lang="tr-TR"/>
        </a:p>
      </dgm:t>
    </dgm:pt>
    <dgm:pt modelId="{F5438C2B-947C-4134-80F8-8B00D4270781}">
      <dgm:prSet phldrT="[Metin]" custT="1"/>
      <dgm:spPr/>
      <dgm:t>
        <a:bodyPr/>
        <a:lstStyle/>
        <a:p>
          <a:r>
            <a:rPr lang="tr-TR" sz="1100">
              <a:latin typeface="Times New Roman" pitchFamily="18" charset="0"/>
              <a:cs typeface="Times New Roman" pitchFamily="18" charset="0"/>
            </a:rPr>
            <a:t>iletişim</a:t>
          </a:r>
        </a:p>
      </dgm:t>
    </dgm:pt>
    <dgm:pt modelId="{F77D1E9D-5EBF-4CBC-B2D6-51981AC8EAF2}" type="parTrans" cxnId="{5E78D203-A51C-4094-A53B-59DD6B54EBFB}">
      <dgm:prSet/>
      <dgm:spPr/>
      <dgm:t>
        <a:bodyPr/>
        <a:lstStyle/>
        <a:p>
          <a:endParaRPr lang="tr-TR"/>
        </a:p>
      </dgm:t>
    </dgm:pt>
    <dgm:pt modelId="{8B12B912-3AC9-47D8-9FCB-C333CD135223}" type="sibTrans" cxnId="{5E78D203-A51C-4094-A53B-59DD6B54EBFB}">
      <dgm:prSet/>
      <dgm:spPr/>
      <dgm:t>
        <a:bodyPr/>
        <a:lstStyle/>
        <a:p>
          <a:endParaRPr lang="tr-TR"/>
        </a:p>
      </dgm:t>
    </dgm:pt>
    <dgm:pt modelId="{AA94ADA3-EB4B-4811-802E-B4AD6E547BBD}">
      <dgm:prSet phldrT="[Metin]" custT="1"/>
      <dgm:spPr/>
      <dgm:t>
        <a:bodyPr/>
        <a:lstStyle/>
        <a:p>
          <a:r>
            <a:rPr lang="tr-TR" sz="1100">
              <a:latin typeface="Times New Roman" pitchFamily="18" charset="0"/>
              <a:cs typeface="Times New Roman" pitchFamily="18" charset="0"/>
            </a:rPr>
            <a:t>özensizlik</a:t>
          </a:r>
        </a:p>
      </dgm:t>
    </dgm:pt>
    <dgm:pt modelId="{3C035181-B5C7-4053-985E-70172338C112}" type="parTrans" cxnId="{D55E1AF8-C7BF-4DB8-875C-DAA1470C7E8C}">
      <dgm:prSet/>
      <dgm:spPr/>
      <dgm:t>
        <a:bodyPr/>
        <a:lstStyle/>
        <a:p>
          <a:endParaRPr lang="tr-TR"/>
        </a:p>
      </dgm:t>
    </dgm:pt>
    <dgm:pt modelId="{AADB0981-5542-4F9F-8AC8-A5AE4A3F2440}" type="sibTrans" cxnId="{D55E1AF8-C7BF-4DB8-875C-DAA1470C7E8C}">
      <dgm:prSet/>
      <dgm:spPr/>
      <dgm:t>
        <a:bodyPr/>
        <a:lstStyle/>
        <a:p>
          <a:endParaRPr lang="tr-TR"/>
        </a:p>
      </dgm:t>
    </dgm:pt>
    <dgm:pt modelId="{85256E41-B947-4FFB-975A-A9CCDE7B782A}">
      <dgm:prSet phldrT="[Metin]" custT="1"/>
      <dgm:spPr/>
      <dgm:t>
        <a:bodyPr/>
        <a:lstStyle/>
        <a:p>
          <a:r>
            <a:rPr lang="tr-TR" sz="1100">
              <a:latin typeface="Times New Roman" pitchFamily="18" charset="0"/>
              <a:cs typeface="Times New Roman" pitchFamily="18" charset="0"/>
            </a:rPr>
            <a:t>ilgisizlik</a:t>
          </a:r>
        </a:p>
      </dgm:t>
    </dgm:pt>
    <dgm:pt modelId="{957A9DFB-2078-417E-9671-66D3A4093A6B}" type="parTrans" cxnId="{52BA7954-3EB0-4613-89E3-21309BB01357}">
      <dgm:prSet/>
      <dgm:spPr/>
      <dgm:t>
        <a:bodyPr/>
        <a:lstStyle/>
        <a:p>
          <a:endParaRPr lang="tr-TR"/>
        </a:p>
      </dgm:t>
    </dgm:pt>
    <dgm:pt modelId="{6AE68DF9-BC36-48E9-A39C-0F840ABA1D09}" type="sibTrans" cxnId="{52BA7954-3EB0-4613-89E3-21309BB01357}">
      <dgm:prSet/>
      <dgm:spPr/>
      <dgm:t>
        <a:bodyPr/>
        <a:lstStyle/>
        <a:p>
          <a:endParaRPr lang="tr-TR"/>
        </a:p>
      </dgm:t>
    </dgm:pt>
    <dgm:pt modelId="{091544E3-1E74-4C84-9709-D5066D08273D}">
      <dgm:prSet phldrT="[Metin]" custT="1"/>
      <dgm:spPr/>
      <dgm:t>
        <a:bodyPr/>
        <a:lstStyle/>
        <a:p>
          <a:r>
            <a:rPr lang="tr-TR" sz="1100">
              <a:latin typeface="Times New Roman" pitchFamily="18" charset="0"/>
              <a:cs typeface="Times New Roman" pitchFamily="18" charset="0"/>
            </a:rPr>
            <a:t>eğitimden uzaklaşma</a:t>
          </a:r>
        </a:p>
      </dgm:t>
    </dgm:pt>
    <dgm:pt modelId="{2F3CA7EE-AA9C-4600-8468-3C92394EF868}" type="parTrans" cxnId="{B4B69810-1304-4D6D-B333-F6057C197579}">
      <dgm:prSet/>
      <dgm:spPr/>
      <dgm:t>
        <a:bodyPr/>
        <a:lstStyle/>
        <a:p>
          <a:endParaRPr lang="tr-TR"/>
        </a:p>
      </dgm:t>
    </dgm:pt>
    <dgm:pt modelId="{FD30BA9E-08D6-43D7-A543-8F6C39F1E707}" type="sibTrans" cxnId="{B4B69810-1304-4D6D-B333-F6057C197579}">
      <dgm:prSet/>
      <dgm:spPr/>
      <dgm:t>
        <a:bodyPr/>
        <a:lstStyle/>
        <a:p>
          <a:endParaRPr lang="tr-TR"/>
        </a:p>
      </dgm:t>
    </dgm:pt>
    <dgm:pt modelId="{88375202-844D-4FA9-8DD9-EA426D6BA04E}" type="pres">
      <dgm:prSet presAssocID="{11961ECE-2296-4A30-9D30-4AE10E260084}" presName="diagram" presStyleCnt="0">
        <dgm:presLayoutVars>
          <dgm:chPref val="1"/>
          <dgm:dir/>
          <dgm:animOne val="branch"/>
          <dgm:animLvl val="lvl"/>
          <dgm:resizeHandles val="exact"/>
        </dgm:presLayoutVars>
      </dgm:prSet>
      <dgm:spPr/>
      <dgm:t>
        <a:bodyPr/>
        <a:lstStyle/>
        <a:p>
          <a:endParaRPr lang="tr-TR"/>
        </a:p>
      </dgm:t>
    </dgm:pt>
    <dgm:pt modelId="{718542DD-68F1-40FC-93E2-E929F3674640}" type="pres">
      <dgm:prSet presAssocID="{F6A0F4C3-1FDD-4C73-B5A2-61AE1CD9DA72}" presName="root1" presStyleCnt="0"/>
      <dgm:spPr/>
    </dgm:pt>
    <dgm:pt modelId="{BE569B79-F8A4-4E99-A096-36572E1FC183}" type="pres">
      <dgm:prSet presAssocID="{F6A0F4C3-1FDD-4C73-B5A2-61AE1CD9DA72}" presName="LevelOneTextNode" presStyleLbl="node0" presStyleIdx="0" presStyleCnt="1">
        <dgm:presLayoutVars>
          <dgm:chPref val="3"/>
        </dgm:presLayoutVars>
      </dgm:prSet>
      <dgm:spPr/>
      <dgm:t>
        <a:bodyPr/>
        <a:lstStyle/>
        <a:p>
          <a:endParaRPr lang="tr-TR"/>
        </a:p>
      </dgm:t>
    </dgm:pt>
    <dgm:pt modelId="{B9061A8A-11ED-4099-96FB-C7CD841A75DD}" type="pres">
      <dgm:prSet presAssocID="{F6A0F4C3-1FDD-4C73-B5A2-61AE1CD9DA72}" presName="level2hierChild" presStyleCnt="0"/>
      <dgm:spPr/>
    </dgm:pt>
    <dgm:pt modelId="{AA0C68FA-67BF-463D-901E-6D881B88B92B}" type="pres">
      <dgm:prSet presAssocID="{4266D5D7-E8CE-4648-8AD3-6BCEB76E7D79}" presName="conn2-1" presStyleLbl="parChTrans1D2" presStyleIdx="0" presStyleCnt="3"/>
      <dgm:spPr/>
      <dgm:t>
        <a:bodyPr/>
        <a:lstStyle/>
        <a:p>
          <a:endParaRPr lang="tr-TR"/>
        </a:p>
      </dgm:t>
    </dgm:pt>
    <dgm:pt modelId="{71B83896-57E9-4872-9BDE-F35BC3EFA62F}" type="pres">
      <dgm:prSet presAssocID="{4266D5D7-E8CE-4648-8AD3-6BCEB76E7D79}" presName="connTx" presStyleLbl="parChTrans1D2" presStyleIdx="0" presStyleCnt="3"/>
      <dgm:spPr/>
      <dgm:t>
        <a:bodyPr/>
        <a:lstStyle/>
        <a:p>
          <a:endParaRPr lang="tr-TR"/>
        </a:p>
      </dgm:t>
    </dgm:pt>
    <dgm:pt modelId="{E3FA3053-A92E-499D-AD3E-A7C71B8B6A15}" type="pres">
      <dgm:prSet presAssocID="{9A47E4AB-5873-4436-A584-C4ACC2BC2A24}" presName="root2" presStyleCnt="0"/>
      <dgm:spPr/>
    </dgm:pt>
    <dgm:pt modelId="{664A4EAA-871F-4D95-B977-F693C8A81750}" type="pres">
      <dgm:prSet presAssocID="{9A47E4AB-5873-4436-A584-C4ACC2BC2A24}" presName="LevelTwoTextNode" presStyleLbl="node2" presStyleIdx="0" presStyleCnt="3">
        <dgm:presLayoutVars>
          <dgm:chPref val="3"/>
        </dgm:presLayoutVars>
      </dgm:prSet>
      <dgm:spPr/>
      <dgm:t>
        <a:bodyPr/>
        <a:lstStyle/>
        <a:p>
          <a:endParaRPr lang="tr-TR"/>
        </a:p>
      </dgm:t>
    </dgm:pt>
    <dgm:pt modelId="{DC92C400-9EE3-444B-82C0-213E4C5E2EC9}" type="pres">
      <dgm:prSet presAssocID="{9A47E4AB-5873-4436-A584-C4ACC2BC2A24}" presName="level3hierChild" presStyleCnt="0"/>
      <dgm:spPr/>
    </dgm:pt>
    <dgm:pt modelId="{29945298-92B0-40E5-AE66-CF7A816BF1D4}" type="pres">
      <dgm:prSet presAssocID="{F77D1E9D-5EBF-4CBC-B2D6-51981AC8EAF2}" presName="conn2-1" presStyleLbl="parChTrans1D3" presStyleIdx="0" presStyleCnt="9"/>
      <dgm:spPr/>
      <dgm:t>
        <a:bodyPr/>
        <a:lstStyle/>
        <a:p>
          <a:endParaRPr lang="tr-TR"/>
        </a:p>
      </dgm:t>
    </dgm:pt>
    <dgm:pt modelId="{05870619-C875-487B-91E9-733796E7C137}" type="pres">
      <dgm:prSet presAssocID="{F77D1E9D-5EBF-4CBC-B2D6-51981AC8EAF2}" presName="connTx" presStyleLbl="parChTrans1D3" presStyleIdx="0" presStyleCnt="9"/>
      <dgm:spPr/>
      <dgm:t>
        <a:bodyPr/>
        <a:lstStyle/>
        <a:p>
          <a:endParaRPr lang="tr-TR"/>
        </a:p>
      </dgm:t>
    </dgm:pt>
    <dgm:pt modelId="{B58161F9-6DB7-4485-BA64-564C29201E1C}" type="pres">
      <dgm:prSet presAssocID="{F5438C2B-947C-4134-80F8-8B00D4270781}" presName="root2" presStyleCnt="0"/>
      <dgm:spPr/>
    </dgm:pt>
    <dgm:pt modelId="{A6C8542F-B7DC-4593-B43C-D53B55BCD725}" type="pres">
      <dgm:prSet presAssocID="{F5438C2B-947C-4134-80F8-8B00D4270781}" presName="LevelTwoTextNode" presStyleLbl="node3" presStyleIdx="0" presStyleCnt="9">
        <dgm:presLayoutVars>
          <dgm:chPref val="3"/>
        </dgm:presLayoutVars>
      </dgm:prSet>
      <dgm:spPr/>
      <dgm:t>
        <a:bodyPr/>
        <a:lstStyle/>
        <a:p>
          <a:endParaRPr lang="tr-TR"/>
        </a:p>
      </dgm:t>
    </dgm:pt>
    <dgm:pt modelId="{C4B33E51-28F2-459E-8110-63CC69E9AF42}" type="pres">
      <dgm:prSet presAssocID="{F5438C2B-947C-4134-80F8-8B00D4270781}" presName="level3hierChild" presStyleCnt="0"/>
      <dgm:spPr/>
    </dgm:pt>
    <dgm:pt modelId="{56B3A33A-18B4-41A2-A257-8F92CE7EF3BB}" type="pres">
      <dgm:prSet presAssocID="{3C035181-B5C7-4053-985E-70172338C112}" presName="conn2-1" presStyleLbl="parChTrans1D3" presStyleIdx="1" presStyleCnt="9"/>
      <dgm:spPr/>
      <dgm:t>
        <a:bodyPr/>
        <a:lstStyle/>
        <a:p>
          <a:endParaRPr lang="tr-TR"/>
        </a:p>
      </dgm:t>
    </dgm:pt>
    <dgm:pt modelId="{2A658230-24B5-4537-AF29-D4B823CC9076}" type="pres">
      <dgm:prSet presAssocID="{3C035181-B5C7-4053-985E-70172338C112}" presName="connTx" presStyleLbl="parChTrans1D3" presStyleIdx="1" presStyleCnt="9"/>
      <dgm:spPr/>
      <dgm:t>
        <a:bodyPr/>
        <a:lstStyle/>
        <a:p>
          <a:endParaRPr lang="tr-TR"/>
        </a:p>
      </dgm:t>
    </dgm:pt>
    <dgm:pt modelId="{A9DDFF7D-F109-41BB-8A03-72A07F540F63}" type="pres">
      <dgm:prSet presAssocID="{AA94ADA3-EB4B-4811-802E-B4AD6E547BBD}" presName="root2" presStyleCnt="0"/>
      <dgm:spPr/>
    </dgm:pt>
    <dgm:pt modelId="{27A867EB-21E1-4ECF-B0BA-9D10527DBF0D}" type="pres">
      <dgm:prSet presAssocID="{AA94ADA3-EB4B-4811-802E-B4AD6E547BBD}" presName="LevelTwoTextNode" presStyleLbl="node3" presStyleIdx="1" presStyleCnt="9">
        <dgm:presLayoutVars>
          <dgm:chPref val="3"/>
        </dgm:presLayoutVars>
      </dgm:prSet>
      <dgm:spPr/>
      <dgm:t>
        <a:bodyPr/>
        <a:lstStyle/>
        <a:p>
          <a:endParaRPr lang="tr-TR"/>
        </a:p>
      </dgm:t>
    </dgm:pt>
    <dgm:pt modelId="{569258A4-4B4E-48FE-B657-EF9B34AC8CC1}" type="pres">
      <dgm:prSet presAssocID="{AA94ADA3-EB4B-4811-802E-B4AD6E547BBD}" presName="level3hierChild" presStyleCnt="0"/>
      <dgm:spPr/>
    </dgm:pt>
    <dgm:pt modelId="{956A4449-500C-4232-A4E2-84B9A79E2901}" type="pres">
      <dgm:prSet presAssocID="{957A9DFB-2078-417E-9671-66D3A4093A6B}" presName="conn2-1" presStyleLbl="parChTrans1D3" presStyleIdx="2" presStyleCnt="9"/>
      <dgm:spPr/>
      <dgm:t>
        <a:bodyPr/>
        <a:lstStyle/>
        <a:p>
          <a:endParaRPr lang="tr-TR"/>
        </a:p>
      </dgm:t>
    </dgm:pt>
    <dgm:pt modelId="{EFEBA356-12BF-4797-87F9-E988A0284A05}" type="pres">
      <dgm:prSet presAssocID="{957A9DFB-2078-417E-9671-66D3A4093A6B}" presName="connTx" presStyleLbl="parChTrans1D3" presStyleIdx="2" presStyleCnt="9"/>
      <dgm:spPr/>
      <dgm:t>
        <a:bodyPr/>
        <a:lstStyle/>
        <a:p>
          <a:endParaRPr lang="tr-TR"/>
        </a:p>
      </dgm:t>
    </dgm:pt>
    <dgm:pt modelId="{AE92BEE3-8CD7-4AFA-9571-0DFB81B9AC23}" type="pres">
      <dgm:prSet presAssocID="{85256E41-B947-4FFB-975A-A9CCDE7B782A}" presName="root2" presStyleCnt="0"/>
      <dgm:spPr/>
    </dgm:pt>
    <dgm:pt modelId="{B49D10E3-A4BA-429D-A75D-0AAAF6D26BE2}" type="pres">
      <dgm:prSet presAssocID="{85256E41-B947-4FFB-975A-A9CCDE7B782A}" presName="LevelTwoTextNode" presStyleLbl="node3" presStyleIdx="2" presStyleCnt="9">
        <dgm:presLayoutVars>
          <dgm:chPref val="3"/>
        </dgm:presLayoutVars>
      </dgm:prSet>
      <dgm:spPr/>
      <dgm:t>
        <a:bodyPr/>
        <a:lstStyle/>
        <a:p>
          <a:endParaRPr lang="tr-TR"/>
        </a:p>
      </dgm:t>
    </dgm:pt>
    <dgm:pt modelId="{1519ABD0-15AA-4FAF-BCA4-A38E53EE502D}" type="pres">
      <dgm:prSet presAssocID="{85256E41-B947-4FFB-975A-A9CCDE7B782A}" presName="level3hierChild" presStyleCnt="0"/>
      <dgm:spPr/>
    </dgm:pt>
    <dgm:pt modelId="{7883D7CC-9EB4-4C40-B369-261E04975759}" type="pres">
      <dgm:prSet presAssocID="{EAB8CB3E-F3E5-41C9-ABCE-050F2C386A78}" presName="conn2-1" presStyleLbl="parChTrans1D2" presStyleIdx="1" presStyleCnt="3"/>
      <dgm:spPr/>
      <dgm:t>
        <a:bodyPr/>
        <a:lstStyle/>
        <a:p>
          <a:endParaRPr lang="tr-TR"/>
        </a:p>
      </dgm:t>
    </dgm:pt>
    <dgm:pt modelId="{E91FB7EA-13CF-4D9F-9896-80A4168703AB}" type="pres">
      <dgm:prSet presAssocID="{EAB8CB3E-F3E5-41C9-ABCE-050F2C386A78}" presName="connTx" presStyleLbl="parChTrans1D2" presStyleIdx="1" presStyleCnt="3"/>
      <dgm:spPr/>
      <dgm:t>
        <a:bodyPr/>
        <a:lstStyle/>
        <a:p>
          <a:endParaRPr lang="tr-TR"/>
        </a:p>
      </dgm:t>
    </dgm:pt>
    <dgm:pt modelId="{B03B3F32-3CC6-4CD9-8F63-6B85071E2F8D}" type="pres">
      <dgm:prSet presAssocID="{484B8F52-ED19-44DD-ACC0-E8C735F436C7}" presName="root2" presStyleCnt="0"/>
      <dgm:spPr/>
    </dgm:pt>
    <dgm:pt modelId="{1AA36490-0F90-4DB8-A052-36A8AB8EEAF1}" type="pres">
      <dgm:prSet presAssocID="{484B8F52-ED19-44DD-ACC0-E8C735F436C7}" presName="LevelTwoTextNode" presStyleLbl="node2" presStyleIdx="1" presStyleCnt="3">
        <dgm:presLayoutVars>
          <dgm:chPref val="3"/>
        </dgm:presLayoutVars>
      </dgm:prSet>
      <dgm:spPr/>
      <dgm:t>
        <a:bodyPr/>
        <a:lstStyle/>
        <a:p>
          <a:endParaRPr lang="tr-TR"/>
        </a:p>
      </dgm:t>
    </dgm:pt>
    <dgm:pt modelId="{F6BD7BAF-C0C8-445F-9DBE-F9264373CFA7}" type="pres">
      <dgm:prSet presAssocID="{484B8F52-ED19-44DD-ACC0-E8C735F436C7}" presName="level3hierChild" presStyleCnt="0"/>
      <dgm:spPr/>
    </dgm:pt>
    <dgm:pt modelId="{6BBA0F36-280B-4737-92F5-739B8DE585AE}" type="pres">
      <dgm:prSet presAssocID="{E593E17E-2811-4BBD-BEBA-52199CD96102}" presName="conn2-1" presStyleLbl="parChTrans1D3" presStyleIdx="3" presStyleCnt="9"/>
      <dgm:spPr/>
      <dgm:t>
        <a:bodyPr/>
        <a:lstStyle/>
        <a:p>
          <a:endParaRPr lang="tr-TR"/>
        </a:p>
      </dgm:t>
    </dgm:pt>
    <dgm:pt modelId="{5B027A68-3A23-45FF-9ACB-CBEC661DF39F}" type="pres">
      <dgm:prSet presAssocID="{E593E17E-2811-4BBD-BEBA-52199CD96102}" presName="connTx" presStyleLbl="parChTrans1D3" presStyleIdx="3" presStyleCnt="9"/>
      <dgm:spPr/>
      <dgm:t>
        <a:bodyPr/>
        <a:lstStyle/>
        <a:p>
          <a:endParaRPr lang="tr-TR"/>
        </a:p>
      </dgm:t>
    </dgm:pt>
    <dgm:pt modelId="{6E85A754-0B80-4F4F-8AE6-1B7C3AE6D450}" type="pres">
      <dgm:prSet presAssocID="{0F3993BE-2701-48F5-845C-2A381930386E}" presName="root2" presStyleCnt="0"/>
      <dgm:spPr/>
    </dgm:pt>
    <dgm:pt modelId="{E523132D-1F43-493A-ADBE-F6A733A69D90}" type="pres">
      <dgm:prSet presAssocID="{0F3993BE-2701-48F5-845C-2A381930386E}" presName="LevelTwoTextNode" presStyleLbl="node3" presStyleIdx="3" presStyleCnt="9">
        <dgm:presLayoutVars>
          <dgm:chPref val="3"/>
        </dgm:presLayoutVars>
      </dgm:prSet>
      <dgm:spPr/>
      <dgm:t>
        <a:bodyPr/>
        <a:lstStyle/>
        <a:p>
          <a:endParaRPr lang="tr-TR"/>
        </a:p>
      </dgm:t>
    </dgm:pt>
    <dgm:pt modelId="{3CACDC0F-4756-4721-BE9F-C1C7E6E3B615}" type="pres">
      <dgm:prSet presAssocID="{0F3993BE-2701-48F5-845C-2A381930386E}" presName="level3hierChild" presStyleCnt="0"/>
      <dgm:spPr/>
    </dgm:pt>
    <dgm:pt modelId="{7042826C-2DB9-44B3-B98D-CAA349BA6E0F}" type="pres">
      <dgm:prSet presAssocID="{1DBEAA28-B246-484A-A2C3-3890E5C8220C}" presName="conn2-1" presStyleLbl="parChTrans1D3" presStyleIdx="4" presStyleCnt="9"/>
      <dgm:spPr/>
      <dgm:t>
        <a:bodyPr/>
        <a:lstStyle/>
        <a:p>
          <a:endParaRPr lang="tr-TR"/>
        </a:p>
      </dgm:t>
    </dgm:pt>
    <dgm:pt modelId="{CD34B156-0757-4D70-A3CE-935D985D46E8}" type="pres">
      <dgm:prSet presAssocID="{1DBEAA28-B246-484A-A2C3-3890E5C8220C}" presName="connTx" presStyleLbl="parChTrans1D3" presStyleIdx="4" presStyleCnt="9"/>
      <dgm:spPr/>
      <dgm:t>
        <a:bodyPr/>
        <a:lstStyle/>
        <a:p>
          <a:endParaRPr lang="tr-TR"/>
        </a:p>
      </dgm:t>
    </dgm:pt>
    <dgm:pt modelId="{D1CFF632-CA24-42C6-97AE-0061009B5D2A}" type="pres">
      <dgm:prSet presAssocID="{53396E50-B639-4F23-9E14-742A035DD0C4}" presName="root2" presStyleCnt="0"/>
      <dgm:spPr/>
    </dgm:pt>
    <dgm:pt modelId="{94B8892E-B8C6-4D07-BEDA-84567AAF085B}" type="pres">
      <dgm:prSet presAssocID="{53396E50-B639-4F23-9E14-742A035DD0C4}" presName="LevelTwoTextNode" presStyleLbl="node3" presStyleIdx="4" presStyleCnt="9">
        <dgm:presLayoutVars>
          <dgm:chPref val="3"/>
        </dgm:presLayoutVars>
      </dgm:prSet>
      <dgm:spPr/>
      <dgm:t>
        <a:bodyPr/>
        <a:lstStyle/>
        <a:p>
          <a:endParaRPr lang="tr-TR"/>
        </a:p>
      </dgm:t>
    </dgm:pt>
    <dgm:pt modelId="{BE22A26D-5953-42C1-BD4B-3DF8AF7DFE3E}" type="pres">
      <dgm:prSet presAssocID="{53396E50-B639-4F23-9E14-742A035DD0C4}" presName="level3hierChild" presStyleCnt="0"/>
      <dgm:spPr/>
    </dgm:pt>
    <dgm:pt modelId="{18B19FAE-0A71-41B2-9D4A-B15E91ED020A}" type="pres">
      <dgm:prSet presAssocID="{2F3CA7EE-AA9C-4600-8468-3C92394EF868}" presName="conn2-1" presStyleLbl="parChTrans1D3" presStyleIdx="5" presStyleCnt="9"/>
      <dgm:spPr/>
      <dgm:t>
        <a:bodyPr/>
        <a:lstStyle/>
        <a:p>
          <a:endParaRPr lang="tr-TR"/>
        </a:p>
      </dgm:t>
    </dgm:pt>
    <dgm:pt modelId="{EB4629E2-F4FB-42E9-BA49-A19C3B82FB49}" type="pres">
      <dgm:prSet presAssocID="{2F3CA7EE-AA9C-4600-8468-3C92394EF868}" presName="connTx" presStyleLbl="parChTrans1D3" presStyleIdx="5" presStyleCnt="9"/>
      <dgm:spPr/>
      <dgm:t>
        <a:bodyPr/>
        <a:lstStyle/>
        <a:p>
          <a:endParaRPr lang="tr-TR"/>
        </a:p>
      </dgm:t>
    </dgm:pt>
    <dgm:pt modelId="{EB4ADDC5-C944-48AA-900B-9F75346EDB2E}" type="pres">
      <dgm:prSet presAssocID="{091544E3-1E74-4C84-9709-D5066D08273D}" presName="root2" presStyleCnt="0"/>
      <dgm:spPr/>
    </dgm:pt>
    <dgm:pt modelId="{B2BA667A-DAD0-4D64-947B-3F999208A485}" type="pres">
      <dgm:prSet presAssocID="{091544E3-1E74-4C84-9709-D5066D08273D}" presName="LevelTwoTextNode" presStyleLbl="node3" presStyleIdx="5" presStyleCnt="9">
        <dgm:presLayoutVars>
          <dgm:chPref val="3"/>
        </dgm:presLayoutVars>
      </dgm:prSet>
      <dgm:spPr/>
      <dgm:t>
        <a:bodyPr/>
        <a:lstStyle/>
        <a:p>
          <a:endParaRPr lang="tr-TR"/>
        </a:p>
      </dgm:t>
    </dgm:pt>
    <dgm:pt modelId="{2D055E4D-16EA-4A2F-A526-D2581C64F7DD}" type="pres">
      <dgm:prSet presAssocID="{091544E3-1E74-4C84-9709-D5066D08273D}" presName="level3hierChild" presStyleCnt="0"/>
      <dgm:spPr/>
    </dgm:pt>
    <dgm:pt modelId="{4FCAFBF2-89A5-4D55-B353-089133EA4BB2}" type="pres">
      <dgm:prSet presAssocID="{56E2C1AE-1354-42DA-AEB2-AD1F71AAED4D}" presName="conn2-1" presStyleLbl="parChTrans1D2" presStyleIdx="2" presStyleCnt="3"/>
      <dgm:spPr/>
      <dgm:t>
        <a:bodyPr/>
        <a:lstStyle/>
        <a:p>
          <a:endParaRPr lang="tr-TR"/>
        </a:p>
      </dgm:t>
    </dgm:pt>
    <dgm:pt modelId="{6FD5259A-C165-4A04-9073-7D789A736BE1}" type="pres">
      <dgm:prSet presAssocID="{56E2C1AE-1354-42DA-AEB2-AD1F71AAED4D}" presName="connTx" presStyleLbl="parChTrans1D2" presStyleIdx="2" presStyleCnt="3"/>
      <dgm:spPr/>
      <dgm:t>
        <a:bodyPr/>
        <a:lstStyle/>
        <a:p>
          <a:endParaRPr lang="tr-TR"/>
        </a:p>
      </dgm:t>
    </dgm:pt>
    <dgm:pt modelId="{781761D0-B56C-4F72-BF64-71094C097FB5}" type="pres">
      <dgm:prSet presAssocID="{9CBF8036-EBA3-4E17-A429-1C62074C904F}" presName="root2" presStyleCnt="0"/>
      <dgm:spPr/>
    </dgm:pt>
    <dgm:pt modelId="{CBB226AF-82E1-4B5D-B8B9-6A1F20D08415}" type="pres">
      <dgm:prSet presAssocID="{9CBF8036-EBA3-4E17-A429-1C62074C904F}" presName="LevelTwoTextNode" presStyleLbl="node2" presStyleIdx="2" presStyleCnt="3">
        <dgm:presLayoutVars>
          <dgm:chPref val="3"/>
        </dgm:presLayoutVars>
      </dgm:prSet>
      <dgm:spPr/>
      <dgm:t>
        <a:bodyPr/>
        <a:lstStyle/>
        <a:p>
          <a:endParaRPr lang="tr-TR"/>
        </a:p>
      </dgm:t>
    </dgm:pt>
    <dgm:pt modelId="{E86B0E47-5DB3-4B08-A8BB-C3DB442CC426}" type="pres">
      <dgm:prSet presAssocID="{9CBF8036-EBA3-4E17-A429-1C62074C904F}" presName="level3hierChild" presStyleCnt="0"/>
      <dgm:spPr/>
    </dgm:pt>
    <dgm:pt modelId="{24B8EB54-6912-4EEB-988A-FA7296B5D259}" type="pres">
      <dgm:prSet presAssocID="{6251F404-7DC7-4ABE-86E2-16277E70D005}" presName="conn2-1" presStyleLbl="parChTrans1D3" presStyleIdx="6" presStyleCnt="9"/>
      <dgm:spPr/>
      <dgm:t>
        <a:bodyPr/>
        <a:lstStyle/>
        <a:p>
          <a:endParaRPr lang="tr-TR"/>
        </a:p>
      </dgm:t>
    </dgm:pt>
    <dgm:pt modelId="{A16A8346-9614-4ED6-A964-58D367917B47}" type="pres">
      <dgm:prSet presAssocID="{6251F404-7DC7-4ABE-86E2-16277E70D005}" presName="connTx" presStyleLbl="parChTrans1D3" presStyleIdx="6" presStyleCnt="9"/>
      <dgm:spPr/>
      <dgm:t>
        <a:bodyPr/>
        <a:lstStyle/>
        <a:p>
          <a:endParaRPr lang="tr-TR"/>
        </a:p>
      </dgm:t>
    </dgm:pt>
    <dgm:pt modelId="{880411F0-EACA-4ADA-8F3C-BDD5FCAD9022}" type="pres">
      <dgm:prSet presAssocID="{5C595E41-19CF-4EA0-A2E5-E99A02AAA055}" presName="root2" presStyleCnt="0"/>
      <dgm:spPr/>
    </dgm:pt>
    <dgm:pt modelId="{C32E44E5-9A83-45B5-81EF-099C04C01D39}" type="pres">
      <dgm:prSet presAssocID="{5C595E41-19CF-4EA0-A2E5-E99A02AAA055}" presName="LevelTwoTextNode" presStyleLbl="node3" presStyleIdx="6" presStyleCnt="9">
        <dgm:presLayoutVars>
          <dgm:chPref val="3"/>
        </dgm:presLayoutVars>
      </dgm:prSet>
      <dgm:spPr/>
      <dgm:t>
        <a:bodyPr/>
        <a:lstStyle/>
        <a:p>
          <a:endParaRPr lang="tr-TR"/>
        </a:p>
      </dgm:t>
    </dgm:pt>
    <dgm:pt modelId="{863A68FD-12E4-446F-8104-6D5F47230401}" type="pres">
      <dgm:prSet presAssocID="{5C595E41-19CF-4EA0-A2E5-E99A02AAA055}" presName="level3hierChild" presStyleCnt="0"/>
      <dgm:spPr/>
    </dgm:pt>
    <dgm:pt modelId="{0C8BEEAF-99B8-43E0-86AF-B1532CA58AD1}" type="pres">
      <dgm:prSet presAssocID="{26CFC565-EDFE-4239-9D2A-078EBE4A8CD9}" presName="conn2-1" presStyleLbl="parChTrans1D3" presStyleIdx="7" presStyleCnt="9"/>
      <dgm:spPr/>
      <dgm:t>
        <a:bodyPr/>
        <a:lstStyle/>
        <a:p>
          <a:endParaRPr lang="tr-TR"/>
        </a:p>
      </dgm:t>
    </dgm:pt>
    <dgm:pt modelId="{94BF1A78-E42F-4FB8-A99C-999852771460}" type="pres">
      <dgm:prSet presAssocID="{26CFC565-EDFE-4239-9D2A-078EBE4A8CD9}" presName="connTx" presStyleLbl="parChTrans1D3" presStyleIdx="7" presStyleCnt="9"/>
      <dgm:spPr/>
      <dgm:t>
        <a:bodyPr/>
        <a:lstStyle/>
        <a:p>
          <a:endParaRPr lang="tr-TR"/>
        </a:p>
      </dgm:t>
    </dgm:pt>
    <dgm:pt modelId="{44306F8F-8A9D-4CF8-AFBA-4D0B91F4ED4D}" type="pres">
      <dgm:prSet presAssocID="{419B82CE-E738-4D68-A0E9-7243DDBFDF0C}" presName="root2" presStyleCnt="0"/>
      <dgm:spPr/>
    </dgm:pt>
    <dgm:pt modelId="{D39A9E0A-52B7-406E-8B99-728EF34B4503}" type="pres">
      <dgm:prSet presAssocID="{419B82CE-E738-4D68-A0E9-7243DDBFDF0C}" presName="LevelTwoTextNode" presStyleLbl="node3" presStyleIdx="7" presStyleCnt="9">
        <dgm:presLayoutVars>
          <dgm:chPref val="3"/>
        </dgm:presLayoutVars>
      </dgm:prSet>
      <dgm:spPr/>
      <dgm:t>
        <a:bodyPr/>
        <a:lstStyle/>
        <a:p>
          <a:endParaRPr lang="tr-TR"/>
        </a:p>
      </dgm:t>
    </dgm:pt>
    <dgm:pt modelId="{2A12637D-0396-408F-BBF1-FC0F1BFE155D}" type="pres">
      <dgm:prSet presAssocID="{419B82CE-E738-4D68-A0E9-7243DDBFDF0C}" presName="level3hierChild" presStyleCnt="0"/>
      <dgm:spPr/>
    </dgm:pt>
    <dgm:pt modelId="{387A5D86-4258-416A-93FD-4CB913EA74ED}" type="pres">
      <dgm:prSet presAssocID="{675E4B9E-215A-4987-89EA-5214A312226C}" presName="conn2-1" presStyleLbl="parChTrans1D3" presStyleIdx="8" presStyleCnt="9"/>
      <dgm:spPr/>
      <dgm:t>
        <a:bodyPr/>
        <a:lstStyle/>
        <a:p>
          <a:endParaRPr lang="tr-TR"/>
        </a:p>
      </dgm:t>
    </dgm:pt>
    <dgm:pt modelId="{3BD15D1E-1711-4DF7-AFB5-0B1546ED11FC}" type="pres">
      <dgm:prSet presAssocID="{675E4B9E-215A-4987-89EA-5214A312226C}" presName="connTx" presStyleLbl="parChTrans1D3" presStyleIdx="8" presStyleCnt="9"/>
      <dgm:spPr/>
      <dgm:t>
        <a:bodyPr/>
        <a:lstStyle/>
        <a:p>
          <a:endParaRPr lang="tr-TR"/>
        </a:p>
      </dgm:t>
    </dgm:pt>
    <dgm:pt modelId="{3FEA187C-747F-4FE5-A175-9BCC2EF1683A}" type="pres">
      <dgm:prSet presAssocID="{D3B2EADB-0139-4EEC-B76A-0AF1EF1C8B97}" presName="root2" presStyleCnt="0"/>
      <dgm:spPr/>
    </dgm:pt>
    <dgm:pt modelId="{E206E463-C7EE-4216-8EA9-BD02F9B60BC2}" type="pres">
      <dgm:prSet presAssocID="{D3B2EADB-0139-4EEC-B76A-0AF1EF1C8B97}" presName="LevelTwoTextNode" presStyleLbl="node3" presStyleIdx="8" presStyleCnt="9">
        <dgm:presLayoutVars>
          <dgm:chPref val="3"/>
        </dgm:presLayoutVars>
      </dgm:prSet>
      <dgm:spPr/>
      <dgm:t>
        <a:bodyPr/>
        <a:lstStyle/>
        <a:p>
          <a:endParaRPr lang="tr-TR"/>
        </a:p>
      </dgm:t>
    </dgm:pt>
    <dgm:pt modelId="{87087B4A-69F0-4ACC-A5BF-9B785351B09D}" type="pres">
      <dgm:prSet presAssocID="{D3B2EADB-0139-4EEC-B76A-0AF1EF1C8B97}" presName="level3hierChild" presStyleCnt="0"/>
      <dgm:spPr/>
    </dgm:pt>
  </dgm:ptLst>
  <dgm:cxnLst>
    <dgm:cxn modelId="{4D125139-100D-4D76-A7EF-126F9C26133D}" srcId="{F6A0F4C3-1FDD-4C73-B5A2-61AE1CD9DA72}" destId="{9A47E4AB-5873-4436-A584-C4ACC2BC2A24}" srcOrd="0" destOrd="0" parTransId="{4266D5D7-E8CE-4648-8AD3-6BCEB76E7D79}" sibTransId="{8CB2B962-5CF5-4F23-8EEC-B4404273CE59}"/>
    <dgm:cxn modelId="{BC46AEFB-90C3-46FE-9689-953627429ADA}" srcId="{F6A0F4C3-1FDD-4C73-B5A2-61AE1CD9DA72}" destId="{9CBF8036-EBA3-4E17-A429-1C62074C904F}" srcOrd="2" destOrd="0" parTransId="{56E2C1AE-1354-42DA-AEB2-AD1F71AAED4D}" sibTransId="{F7AE9B28-1776-4621-BF64-CF0BDDAE88AB}"/>
    <dgm:cxn modelId="{8D8BF73B-4120-404D-82B2-67658D3C4787}" srcId="{9CBF8036-EBA3-4E17-A429-1C62074C904F}" destId="{419B82CE-E738-4D68-A0E9-7243DDBFDF0C}" srcOrd="1" destOrd="0" parTransId="{26CFC565-EDFE-4239-9D2A-078EBE4A8CD9}" sibTransId="{D15BDC8F-AD5A-4D6D-AE43-890BEC5E8062}"/>
    <dgm:cxn modelId="{EB235BEB-FA3B-4882-9D94-DB66BF07F2C5}" srcId="{9CBF8036-EBA3-4E17-A429-1C62074C904F}" destId="{D3B2EADB-0139-4EEC-B76A-0AF1EF1C8B97}" srcOrd="2" destOrd="0" parTransId="{675E4B9E-215A-4987-89EA-5214A312226C}" sibTransId="{D5A2ABD8-7A3E-45A1-92B9-C5C0015F01BE}"/>
    <dgm:cxn modelId="{06975694-6378-4B85-88D8-E08D33B4779D}" srcId="{9CBF8036-EBA3-4E17-A429-1C62074C904F}" destId="{5C595E41-19CF-4EA0-A2E5-E99A02AAA055}" srcOrd="0" destOrd="0" parTransId="{6251F404-7DC7-4ABE-86E2-16277E70D005}" sibTransId="{BCCD7674-4E25-4538-8DC2-E462754633F0}"/>
    <dgm:cxn modelId="{E7EF61C1-7173-4BFB-88CF-1E9265E7D37D}" type="presOf" srcId="{F77D1E9D-5EBF-4CBC-B2D6-51981AC8EAF2}" destId="{05870619-C875-487B-91E9-733796E7C137}" srcOrd="1" destOrd="0" presId="urn:microsoft.com/office/officeart/2005/8/layout/hierarchy2"/>
    <dgm:cxn modelId="{D1861DEB-250D-421A-B6E6-2078B094E154}" type="presOf" srcId="{AA94ADA3-EB4B-4811-802E-B4AD6E547BBD}" destId="{27A867EB-21E1-4ECF-B0BA-9D10527DBF0D}" srcOrd="0" destOrd="0" presId="urn:microsoft.com/office/officeart/2005/8/layout/hierarchy2"/>
    <dgm:cxn modelId="{2F550F25-F58B-4E97-9EB1-C44FA7C2071E}" type="presOf" srcId="{3C035181-B5C7-4053-985E-70172338C112}" destId="{56B3A33A-18B4-41A2-A257-8F92CE7EF3BB}" srcOrd="0" destOrd="0" presId="urn:microsoft.com/office/officeart/2005/8/layout/hierarchy2"/>
    <dgm:cxn modelId="{D55E1AF8-C7BF-4DB8-875C-DAA1470C7E8C}" srcId="{9A47E4AB-5873-4436-A584-C4ACC2BC2A24}" destId="{AA94ADA3-EB4B-4811-802E-B4AD6E547BBD}" srcOrd="1" destOrd="0" parTransId="{3C035181-B5C7-4053-985E-70172338C112}" sibTransId="{AADB0981-5542-4F9F-8AC8-A5AE4A3F2440}"/>
    <dgm:cxn modelId="{52BA7954-3EB0-4613-89E3-21309BB01357}" srcId="{9A47E4AB-5873-4436-A584-C4ACC2BC2A24}" destId="{85256E41-B947-4FFB-975A-A9CCDE7B782A}" srcOrd="2" destOrd="0" parTransId="{957A9DFB-2078-417E-9671-66D3A4093A6B}" sibTransId="{6AE68DF9-BC36-48E9-A39C-0F840ABA1D09}"/>
    <dgm:cxn modelId="{94B4C921-4C80-4456-BFAC-1133044D47F7}" type="presOf" srcId="{957A9DFB-2078-417E-9671-66D3A4093A6B}" destId="{956A4449-500C-4232-A4E2-84B9A79E2901}" srcOrd="0" destOrd="0" presId="urn:microsoft.com/office/officeart/2005/8/layout/hierarchy2"/>
    <dgm:cxn modelId="{26E58D2B-A070-4889-8F71-CC6605FE3774}" type="presOf" srcId="{957A9DFB-2078-417E-9671-66D3A4093A6B}" destId="{EFEBA356-12BF-4797-87F9-E988A0284A05}" srcOrd="1" destOrd="0" presId="urn:microsoft.com/office/officeart/2005/8/layout/hierarchy2"/>
    <dgm:cxn modelId="{88075DCC-EDEB-4E19-8C62-85659B7C3F42}" type="presOf" srcId="{E593E17E-2811-4BBD-BEBA-52199CD96102}" destId="{5B027A68-3A23-45FF-9ACB-CBEC661DF39F}" srcOrd="1" destOrd="0" presId="urn:microsoft.com/office/officeart/2005/8/layout/hierarchy2"/>
    <dgm:cxn modelId="{553A901B-34E8-404B-ADC0-E324AB69A037}" type="presOf" srcId="{9CBF8036-EBA3-4E17-A429-1C62074C904F}" destId="{CBB226AF-82E1-4B5D-B8B9-6A1F20D08415}" srcOrd="0" destOrd="0" presId="urn:microsoft.com/office/officeart/2005/8/layout/hierarchy2"/>
    <dgm:cxn modelId="{58F89341-84EC-4E60-89DD-06C4A44F1303}" srcId="{484B8F52-ED19-44DD-ACC0-E8C735F436C7}" destId="{0F3993BE-2701-48F5-845C-2A381930386E}" srcOrd="0" destOrd="0" parTransId="{E593E17E-2811-4BBD-BEBA-52199CD96102}" sibTransId="{81C6B644-06E0-4866-9686-C55B04A3D302}"/>
    <dgm:cxn modelId="{EFE0ACCF-B92D-4364-B5F0-81C5BEB238FB}" type="presOf" srcId="{1DBEAA28-B246-484A-A2C3-3890E5C8220C}" destId="{7042826C-2DB9-44B3-B98D-CAA349BA6E0F}" srcOrd="0" destOrd="0" presId="urn:microsoft.com/office/officeart/2005/8/layout/hierarchy2"/>
    <dgm:cxn modelId="{5D2AF6D2-CF1D-4EE0-9266-05A0050454FA}" srcId="{11961ECE-2296-4A30-9D30-4AE10E260084}" destId="{F6A0F4C3-1FDD-4C73-B5A2-61AE1CD9DA72}" srcOrd="0" destOrd="0" parTransId="{ABE5BA14-D4E5-4785-BE45-220039AFFB6A}" sibTransId="{4171108B-8415-4CBF-B6DC-4D6178B648F7}"/>
    <dgm:cxn modelId="{5E78D203-A51C-4094-A53B-59DD6B54EBFB}" srcId="{9A47E4AB-5873-4436-A584-C4ACC2BC2A24}" destId="{F5438C2B-947C-4134-80F8-8B00D4270781}" srcOrd="0" destOrd="0" parTransId="{F77D1E9D-5EBF-4CBC-B2D6-51981AC8EAF2}" sibTransId="{8B12B912-3AC9-47D8-9FCB-C333CD135223}"/>
    <dgm:cxn modelId="{76C17B20-76D1-4E70-B8F6-43B3641DECCA}" type="presOf" srcId="{F6A0F4C3-1FDD-4C73-B5A2-61AE1CD9DA72}" destId="{BE569B79-F8A4-4E99-A096-36572E1FC183}" srcOrd="0" destOrd="0" presId="urn:microsoft.com/office/officeart/2005/8/layout/hierarchy2"/>
    <dgm:cxn modelId="{AE1CEBF7-C5DD-4E10-98C7-E6E172FF6A4D}" type="presOf" srcId="{091544E3-1E74-4C84-9709-D5066D08273D}" destId="{B2BA667A-DAD0-4D64-947B-3F999208A485}" srcOrd="0" destOrd="0" presId="urn:microsoft.com/office/officeart/2005/8/layout/hierarchy2"/>
    <dgm:cxn modelId="{811089EE-E99F-4A0C-B114-1B4F20E59138}" type="presOf" srcId="{56E2C1AE-1354-42DA-AEB2-AD1F71AAED4D}" destId="{4FCAFBF2-89A5-4D55-B353-089133EA4BB2}" srcOrd="0" destOrd="0" presId="urn:microsoft.com/office/officeart/2005/8/layout/hierarchy2"/>
    <dgm:cxn modelId="{B61728BB-CB68-4CA3-AB0D-58098579A5C6}" type="presOf" srcId="{2F3CA7EE-AA9C-4600-8468-3C92394EF868}" destId="{EB4629E2-F4FB-42E9-BA49-A19C3B82FB49}" srcOrd="1" destOrd="0" presId="urn:microsoft.com/office/officeart/2005/8/layout/hierarchy2"/>
    <dgm:cxn modelId="{5F2AD4D0-82CB-488D-B1EB-CBEB12E971B4}" type="presOf" srcId="{1DBEAA28-B246-484A-A2C3-3890E5C8220C}" destId="{CD34B156-0757-4D70-A3CE-935D985D46E8}" srcOrd="1" destOrd="0" presId="urn:microsoft.com/office/officeart/2005/8/layout/hierarchy2"/>
    <dgm:cxn modelId="{BF51852D-962B-4A79-AC64-F862FF07009E}" type="presOf" srcId="{484B8F52-ED19-44DD-ACC0-E8C735F436C7}" destId="{1AA36490-0F90-4DB8-A052-36A8AB8EEAF1}" srcOrd="0" destOrd="0" presId="urn:microsoft.com/office/officeart/2005/8/layout/hierarchy2"/>
    <dgm:cxn modelId="{74937A39-CA23-4B1F-9B7A-F24FEFB0DBC5}" type="presOf" srcId="{11961ECE-2296-4A30-9D30-4AE10E260084}" destId="{88375202-844D-4FA9-8DD9-EA426D6BA04E}" srcOrd="0" destOrd="0" presId="urn:microsoft.com/office/officeart/2005/8/layout/hierarchy2"/>
    <dgm:cxn modelId="{72272277-CF01-410E-ABAA-D459A258B90B}" type="presOf" srcId="{419B82CE-E738-4D68-A0E9-7243DDBFDF0C}" destId="{D39A9E0A-52B7-406E-8B99-728EF34B4503}" srcOrd="0" destOrd="0" presId="urn:microsoft.com/office/officeart/2005/8/layout/hierarchy2"/>
    <dgm:cxn modelId="{C1D38A33-E6D0-4297-9520-E8455C7015DE}" type="presOf" srcId="{53396E50-B639-4F23-9E14-742A035DD0C4}" destId="{94B8892E-B8C6-4D07-BEDA-84567AAF085B}" srcOrd="0" destOrd="0" presId="urn:microsoft.com/office/officeart/2005/8/layout/hierarchy2"/>
    <dgm:cxn modelId="{3F13512F-4A15-4ECF-A1D8-0A9A0B6429A0}" type="presOf" srcId="{26CFC565-EDFE-4239-9D2A-078EBE4A8CD9}" destId="{94BF1A78-E42F-4FB8-A99C-999852771460}" srcOrd="1" destOrd="0" presId="urn:microsoft.com/office/officeart/2005/8/layout/hierarchy2"/>
    <dgm:cxn modelId="{B4B69810-1304-4D6D-B333-F6057C197579}" srcId="{484B8F52-ED19-44DD-ACC0-E8C735F436C7}" destId="{091544E3-1E74-4C84-9709-D5066D08273D}" srcOrd="2" destOrd="0" parTransId="{2F3CA7EE-AA9C-4600-8468-3C92394EF868}" sibTransId="{FD30BA9E-08D6-43D7-A543-8F6C39F1E707}"/>
    <dgm:cxn modelId="{5554518D-849E-4726-AD17-0DFA750EA51F}" type="presOf" srcId="{F5438C2B-947C-4134-80F8-8B00D4270781}" destId="{A6C8542F-B7DC-4593-B43C-D53B55BCD725}" srcOrd="0" destOrd="0" presId="urn:microsoft.com/office/officeart/2005/8/layout/hierarchy2"/>
    <dgm:cxn modelId="{9B18BC00-E36F-4383-88EA-464813F74259}" type="presOf" srcId="{675E4B9E-215A-4987-89EA-5214A312226C}" destId="{3BD15D1E-1711-4DF7-AFB5-0B1546ED11FC}" srcOrd="1" destOrd="0" presId="urn:microsoft.com/office/officeart/2005/8/layout/hierarchy2"/>
    <dgm:cxn modelId="{C6A3813E-5F36-46F7-AEBF-651E5EADE9EC}" type="presOf" srcId="{F77D1E9D-5EBF-4CBC-B2D6-51981AC8EAF2}" destId="{29945298-92B0-40E5-AE66-CF7A816BF1D4}" srcOrd="0" destOrd="0" presId="urn:microsoft.com/office/officeart/2005/8/layout/hierarchy2"/>
    <dgm:cxn modelId="{186B6A16-1159-4581-B303-BCEEA599758C}" type="presOf" srcId="{26CFC565-EDFE-4239-9D2A-078EBE4A8CD9}" destId="{0C8BEEAF-99B8-43E0-86AF-B1532CA58AD1}" srcOrd="0" destOrd="0" presId="urn:microsoft.com/office/officeart/2005/8/layout/hierarchy2"/>
    <dgm:cxn modelId="{7322D80C-4879-4BD3-BE18-91488C1984F5}" type="presOf" srcId="{675E4B9E-215A-4987-89EA-5214A312226C}" destId="{387A5D86-4258-416A-93FD-4CB913EA74ED}" srcOrd="0" destOrd="0" presId="urn:microsoft.com/office/officeart/2005/8/layout/hierarchy2"/>
    <dgm:cxn modelId="{DDB60BBF-5897-425C-856E-6CD19FBEFF4A}" type="presOf" srcId="{5C595E41-19CF-4EA0-A2E5-E99A02AAA055}" destId="{C32E44E5-9A83-45B5-81EF-099C04C01D39}" srcOrd="0" destOrd="0" presId="urn:microsoft.com/office/officeart/2005/8/layout/hierarchy2"/>
    <dgm:cxn modelId="{13D7A3A3-7E4B-4A51-A6B3-46F8658FC63D}" srcId="{484B8F52-ED19-44DD-ACC0-E8C735F436C7}" destId="{53396E50-B639-4F23-9E14-742A035DD0C4}" srcOrd="1" destOrd="0" parTransId="{1DBEAA28-B246-484A-A2C3-3890E5C8220C}" sibTransId="{E3B7AC8E-ADA8-45E3-ABDC-60933EA44866}"/>
    <dgm:cxn modelId="{9E1F3603-A297-4464-8F69-552BAFA86B0F}" type="presOf" srcId="{56E2C1AE-1354-42DA-AEB2-AD1F71AAED4D}" destId="{6FD5259A-C165-4A04-9073-7D789A736BE1}" srcOrd="1" destOrd="0" presId="urn:microsoft.com/office/officeart/2005/8/layout/hierarchy2"/>
    <dgm:cxn modelId="{33734078-163A-4056-BD80-D2CB654DDDF2}" type="presOf" srcId="{EAB8CB3E-F3E5-41C9-ABCE-050F2C386A78}" destId="{E91FB7EA-13CF-4D9F-9896-80A4168703AB}" srcOrd="1" destOrd="0" presId="urn:microsoft.com/office/officeart/2005/8/layout/hierarchy2"/>
    <dgm:cxn modelId="{2804BD65-B579-4498-A1DE-095CF44A2A1A}" srcId="{F6A0F4C3-1FDD-4C73-B5A2-61AE1CD9DA72}" destId="{484B8F52-ED19-44DD-ACC0-E8C735F436C7}" srcOrd="1" destOrd="0" parTransId="{EAB8CB3E-F3E5-41C9-ABCE-050F2C386A78}" sibTransId="{DB9A4027-B09F-4814-B742-93DB43DF8914}"/>
    <dgm:cxn modelId="{54210FA5-F2CA-4B7A-B4D6-4C737D14982E}" type="presOf" srcId="{3C035181-B5C7-4053-985E-70172338C112}" destId="{2A658230-24B5-4537-AF29-D4B823CC9076}" srcOrd="1" destOrd="0" presId="urn:microsoft.com/office/officeart/2005/8/layout/hierarchy2"/>
    <dgm:cxn modelId="{952D18C1-94BF-4EF6-8FF7-33B22EDAF968}" type="presOf" srcId="{85256E41-B947-4FFB-975A-A9CCDE7B782A}" destId="{B49D10E3-A4BA-429D-A75D-0AAAF6D26BE2}" srcOrd="0" destOrd="0" presId="urn:microsoft.com/office/officeart/2005/8/layout/hierarchy2"/>
    <dgm:cxn modelId="{73E7049A-F754-412C-8622-BEA6AD61833D}" type="presOf" srcId="{6251F404-7DC7-4ABE-86E2-16277E70D005}" destId="{24B8EB54-6912-4EEB-988A-FA7296B5D259}" srcOrd="0" destOrd="0" presId="urn:microsoft.com/office/officeart/2005/8/layout/hierarchy2"/>
    <dgm:cxn modelId="{F2E9D890-EB46-41EF-AE1C-038D195F70D0}" type="presOf" srcId="{4266D5D7-E8CE-4648-8AD3-6BCEB76E7D79}" destId="{71B83896-57E9-4872-9BDE-F35BC3EFA62F}" srcOrd="1" destOrd="0" presId="urn:microsoft.com/office/officeart/2005/8/layout/hierarchy2"/>
    <dgm:cxn modelId="{711DA717-E15A-496B-8FEE-6B5953CB8093}" type="presOf" srcId="{D3B2EADB-0139-4EEC-B76A-0AF1EF1C8B97}" destId="{E206E463-C7EE-4216-8EA9-BD02F9B60BC2}" srcOrd="0" destOrd="0" presId="urn:microsoft.com/office/officeart/2005/8/layout/hierarchy2"/>
    <dgm:cxn modelId="{C402547B-BA42-4255-953B-8CB678892558}" type="presOf" srcId="{4266D5D7-E8CE-4648-8AD3-6BCEB76E7D79}" destId="{AA0C68FA-67BF-463D-901E-6D881B88B92B}" srcOrd="0" destOrd="0" presId="urn:microsoft.com/office/officeart/2005/8/layout/hierarchy2"/>
    <dgm:cxn modelId="{B8665A03-F801-4DFB-8BA9-81AD7AB73322}" type="presOf" srcId="{E593E17E-2811-4BBD-BEBA-52199CD96102}" destId="{6BBA0F36-280B-4737-92F5-739B8DE585AE}" srcOrd="0" destOrd="0" presId="urn:microsoft.com/office/officeart/2005/8/layout/hierarchy2"/>
    <dgm:cxn modelId="{B04777D3-8BBC-4841-B4B4-2D6FC2CE6C6F}" type="presOf" srcId="{9A47E4AB-5873-4436-A584-C4ACC2BC2A24}" destId="{664A4EAA-871F-4D95-B977-F693C8A81750}" srcOrd="0" destOrd="0" presId="urn:microsoft.com/office/officeart/2005/8/layout/hierarchy2"/>
    <dgm:cxn modelId="{13A770CE-799E-4AEC-9DA1-926ABEE67E2C}" type="presOf" srcId="{EAB8CB3E-F3E5-41C9-ABCE-050F2C386A78}" destId="{7883D7CC-9EB4-4C40-B369-261E04975759}" srcOrd="0" destOrd="0" presId="urn:microsoft.com/office/officeart/2005/8/layout/hierarchy2"/>
    <dgm:cxn modelId="{FBE2FA04-4FB3-4087-9691-A7AC07E07E87}" type="presOf" srcId="{2F3CA7EE-AA9C-4600-8468-3C92394EF868}" destId="{18B19FAE-0A71-41B2-9D4A-B15E91ED020A}" srcOrd="0" destOrd="0" presId="urn:microsoft.com/office/officeart/2005/8/layout/hierarchy2"/>
    <dgm:cxn modelId="{3BF09E81-42CA-43A9-A493-8609EB95AD59}" type="presOf" srcId="{6251F404-7DC7-4ABE-86E2-16277E70D005}" destId="{A16A8346-9614-4ED6-A964-58D367917B47}" srcOrd="1" destOrd="0" presId="urn:microsoft.com/office/officeart/2005/8/layout/hierarchy2"/>
    <dgm:cxn modelId="{2B31F6DD-62FF-4C0D-8642-338E465C1250}" type="presOf" srcId="{0F3993BE-2701-48F5-845C-2A381930386E}" destId="{E523132D-1F43-493A-ADBE-F6A733A69D90}" srcOrd="0" destOrd="0" presId="urn:microsoft.com/office/officeart/2005/8/layout/hierarchy2"/>
    <dgm:cxn modelId="{F7C2F2DE-39B9-45E1-A98B-A3C186843382}" type="presParOf" srcId="{88375202-844D-4FA9-8DD9-EA426D6BA04E}" destId="{718542DD-68F1-40FC-93E2-E929F3674640}" srcOrd="0" destOrd="0" presId="urn:microsoft.com/office/officeart/2005/8/layout/hierarchy2"/>
    <dgm:cxn modelId="{4D9B499A-3FA0-4F64-AEC9-C8CF4AE39F0E}" type="presParOf" srcId="{718542DD-68F1-40FC-93E2-E929F3674640}" destId="{BE569B79-F8A4-4E99-A096-36572E1FC183}" srcOrd="0" destOrd="0" presId="urn:microsoft.com/office/officeart/2005/8/layout/hierarchy2"/>
    <dgm:cxn modelId="{304ECAA1-9F29-4994-AB2B-392A5ABF0313}" type="presParOf" srcId="{718542DD-68F1-40FC-93E2-E929F3674640}" destId="{B9061A8A-11ED-4099-96FB-C7CD841A75DD}" srcOrd="1" destOrd="0" presId="urn:microsoft.com/office/officeart/2005/8/layout/hierarchy2"/>
    <dgm:cxn modelId="{79757041-179E-4BC5-82B4-9AC35B2C5FEA}" type="presParOf" srcId="{B9061A8A-11ED-4099-96FB-C7CD841A75DD}" destId="{AA0C68FA-67BF-463D-901E-6D881B88B92B}" srcOrd="0" destOrd="0" presId="urn:microsoft.com/office/officeart/2005/8/layout/hierarchy2"/>
    <dgm:cxn modelId="{CF144D31-41E8-4BE2-8613-AE83501D7110}" type="presParOf" srcId="{AA0C68FA-67BF-463D-901E-6D881B88B92B}" destId="{71B83896-57E9-4872-9BDE-F35BC3EFA62F}" srcOrd="0" destOrd="0" presId="urn:microsoft.com/office/officeart/2005/8/layout/hierarchy2"/>
    <dgm:cxn modelId="{FB500D73-3618-405A-9E08-4F2473255BF1}" type="presParOf" srcId="{B9061A8A-11ED-4099-96FB-C7CD841A75DD}" destId="{E3FA3053-A92E-499D-AD3E-A7C71B8B6A15}" srcOrd="1" destOrd="0" presId="urn:microsoft.com/office/officeart/2005/8/layout/hierarchy2"/>
    <dgm:cxn modelId="{DAE5B391-C3F9-4B8F-B7FC-41016232C207}" type="presParOf" srcId="{E3FA3053-A92E-499D-AD3E-A7C71B8B6A15}" destId="{664A4EAA-871F-4D95-B977-F693C8A81750}" srcOrd="0" destOrd="0" presId="urn:microsoft.com/office/officeart/2005/8/layout/hierarchy2"/>
    <dgm:cxn modelId="{0EE68727-290E-4ADA-8589-5749752660ED}" type="presParOf" srcId="{E3FA3053-A92E-499D-AD3E-A7C71B8B6A15}" destId="{DC92C400-9EE3-444B-82C0-213E4C5E2EC9}" srcOrd="1" destOrd="0" presId="urn:microsoft.com/office/officeart/2005/8/layout/hierarchy2"/>
    <dgm:cxn modelId="{2F00E60C-1639-4DD0-BBDB-77C0CFA9F83E}" type="presParOf" srcId="{DC92C400-9EE3-444B-82C0-213E4C5E2EC9}" destId="{29945298-92B0-40E5-AE66-CF7A816BF1D4}" srcOrd="0" destOrd="0" presId="urn:microsoft.com/office/officeart/2005/8/layout/hierarchy2"/>
    <dgm:cxn modelId="{40CF3B60-967D-4773-8DE8-EF7291F5AACE}" type="presParOf" srcId="{29945298-92B0-40E5-AE66-CF7A816BF1D4}" destId="{05870619-C875-487B-91E9-733796E7C137}" srcOrd="0" destOrd="0" presId="urn:microsoft.com/office/officeart/2005/8/layout/hierarchy2"/>
    <dgm:cxn modelId="{37BEE91F-681B-458C-8687-AD04A4422865}" type="presParOf" srcId="{DC92C400-9EE3-444B-82C0-213E4C5E2EC9}" destId="{B58161F9-6DB7-4485-BA64-564C29201E1C}" srcOrd="1" destOrd="0" presId="urn:microsoft.com/office/officeart/2005/8/layout/hierarchy2"/>
    <dgm:cxn modelId="{76D27631-E2CE-43E1-889D-D8FA4E015C7C}" type="presParOf" srcId="{B58161F9-6DB7-4485-BA64-564C29201E1C}" destId="{A6C8542F-B7DC-4593-B43C-D53B55BCD725}" srcOrd="0" destOrd="0" presId="urn:microsoft.com/office/officeart/2005/8/layout/hierarchy2"/>
    <dgm:cxn modelId="{856E4A11-AA5B-4249-82B8-8BBB5FE5655B}" type="presParOf" srcId="{B58161F9-6DB7-4485-BA64-564C29201E1C}" destId="{C4B33E51-28F2-459E-8110-63CC69E9AF42}" srcOrd="1" destOrd="0" presId="urn:microsoft.com/office/officeart/2005/8/layout/hierarchy2"/>
    <dgm:cxn modelId="{97B88FC3-09C7-468E-9CAB-46D7F91AB991}" type="presParOf" srcId="{DC92C400-9EE3-444B-82C0-213E4C5E2EC9}" destId="{56B3A33A-18B4-41A2-A257-8F92CE7EF3BB}" srcOrd="2" destOrd="0" presId="urn:microsoft.com/office/officeart/2005/8/layout/hierarchy2"/>
    <dgm:cxn modelId="{49F0189A-5924-478E-A739-FF7F89596C42}" type="presParOf" srcId="{56B3A33A-18B4-41A2-A257-8F92CE7EF3BB}" destId="{2A658230-24B5-4537-AF29-D4B823CC9076}" srcOrd="0" destOrd="0" presId="urn:microsoft.com/office/officeart/2005/8/layout/hierarchy2"/>
    <dgm:cxn modelId="{CCF0C474-F5EA-4969-9553-F96E9E21982F}" type="presParOf" srcId="{DC92C400-9EE3-444B-82C0-213E4C5E2EC9}" destId="{A9DDFF7D-F109-41BB-8A03-72A07F540F63}" srcOrd="3" destOrd="0" presId="urn:microsoft.com/office/officeart/2005/8/layout/hierarchy2"/>
    <dgm:cxn modelId="{1D3434AC-FE84-4220-947F-0C5C644F583D}" type="presParOf" srcId="{A9DDFF7D-F109-41BB-8A03-72A07F540F63}" destId="{27A867EB-21E1-4ECF-B0BA-9D10527DBF0D}" srcOrd="0" destOrd="0" presId="urn:microsoft.com/office/officeart/2005/8/layout/hierarchy2"/>
    <dgm:cxn modelId="{53D49470-7FCA-46D4-97B5-81D8B98D4685}" type="presParOf" srcId="{A9DDFF7D-F109-41BB-8A03-72A07F540F63}" destId="{569258A4-4B4E-48FE-B657-EF9B34AC8CC1}" srcOrd="1" destOrd="0" presId="urn:microsoft.com/office/officeart/2005/8/layout/hierarchy2"/>
    <dgm:cxn modelId="{1CE11E16-62ED-4487-9FB0-9B45FB2E4BF9}" type="presParOf" srcId="{DC92C400-9EE3-444B-82C0-213E4C5E2EC9}" destId="{956A4449-500C-4232-A4E2-84B9A79E2901}" srcOrd="4" destOrd="0" presId="urn:microsoft.com/office/officeart/2005/8/layout/hierarchy2"/>
    <dgm:cxn modelId="{59CADE39-099D-46C3-BC60-708E49182EA7}" type="presParOf" srcId="{956A4449-500C-4232-A4E2-84B9A79E2901}" destId="{EFEBA356-12BF-4797-87F9-E988A0284A05}" srcOrd="0" destOrd="0" presId="urn:microsoft.com/office/officeart/2005/8/layout/hierarchy2"/>
    <dgm:cxn modelId="{1D9D8C31-FA8E-495A-93DC-143DAEE0A0A6}" type="presParOf" srcId="{DC92C400-9EE3-444B-82C0-213E4C5E2EC9}" destId="{AE92BEE3-8CD7-4AFA-9571-0DFB81B9AC23}" srcOrd="5" destOrd="0" presId="urn:microsoft.com/office/officeart/2005/8/layout/hierarchy2"/>
    <dgm:cxn modelId="{85F59C0C-21AC-4A0E-9AD7-9537A6F1C603}" type="presParOf" srcId="{AE92BEE3-8CD7-4AFA-9571-0DFB81B9AC23}" destId="{B49D10E3-A4BA-429D-A75D-0AAAF6D26BE2}" srcOrd="0" destOrd="0" presId="urn:microsoft.com/office/officeart/2005/8/layout/hierarchy2"/>
    <dgm:cxn modelId="{01AE1441-BE1A-45AD-BCC1-D578EDE53028}" type="presParOf" srcId="{AE92BEE3-8CD7-4AFA-9571-0DFB81B9AC23}" destId="{1519ABD0-15AA-4FAF-BCA4-A38E53EE502D}" srcOrd="1" destOrd="0" presId="urn:microsoft.com/office/officeart/2005/8/layout/hierarchy2"/>
    <dgm:cxn modelId="{B47E8BE8-2005-4D3F-9DBE-12237632DB4C}" type="presParOf" srcId="{B9061A8A-11ED-4099-96FB-C7CD841A75DD}" destId="{7883D7CC-9EB4-4C40-B369-261E04975759}" srcOrd="2" destOrd="0" presId="urn:microsoft.com/office/officeart/2005/8/layout/hierarchy2"/>
    <dgm:cxn modelId="{6D9AE39B-3FDB-49C7-A73E-925A5BDDC144}" type="presParOf" srcId="{7883D7CC-9EB4-4C40-B369-261E04975759}" destId="{E91FB7EA-13CF-4D9F-9896-80A4168703AB}" srcOrd="0" destOrd="0" presId="urn:microsoft.com/office/officeart/2005/8/layout/hierarchy2"/>
    <dgm:cxn modelId="{8C4C026F-4D43-4B23-A9AA-D194AB741953}" type="presParOf" srcId="{B9061A8A-11ED-4099-96FB-C7CD841A75DD}" destId="{B03B3F32-3CC6-4CD9-8F63-6B85071E2F8D}" srcOrd="3" destOrd="0" presId="urn:microsoft.com/office/officeart/2005/8/layout/hierarchy2"/>
    <dgm:cxn modelId="{3B39BCB5-E924-4AD6-997A-84DD18B84B71}" type="presParOf" srcId="{B03B3F32-3CC6-4CD9-8F63-6B85071E2F8D}" destId="{1AA36490-0F90-4DB8-A052-36A8AB8EEAF1}" srcOrd="0" destOrd="0" presId="urn:microsoft.com/office/officeart/2005/8/layout/hierarchy2"/>
    <dgm:cxn modelId="{C45DD8B0-1F11-4171-9D2A-E823A46E0ED3}" type="presParOf" srcId="{B03B3F32-3CC6-4CD9-8F63-6B85071E2F8D}" destId="{F6BD7BAF-C0C8-445F-9DBE-F9264373CFA7}" srcOrd="1" destOrd="0" presId="urn:microsoft.com/office/officeart/2005/8/layout/hierarchy2"/>
    <dgm:cxn modelId="{817EBF44-082F-48FA-B3F5-A04EB1A97024}" type="presParOf" srcId="{F6BD7BAF-C0C8-445F-9DBE-F9264373CFA7}" destId="{6BBA0F36-280B-4737-92F5-739B8DE585AE}" srcOrd="0" destOrd="0" presId="urn:microsoft.com/office/officeart/2005/8/layout/hierarchy2"/>
    <dgm:cxn modelId="{BF21DD86-1784-4E29-A405-2E28CCED90BB}" type="presParOf" srcId="{6BBA0F36-280B-4737-92F5-739B8DE585AE}" destId="{5B027A68-3A23-45FF-9ACB-CBEC661DF39F}" srcOrd="0" destOrd="0" presId="urn:microsoft.com/office/officeart/2005/8/layout/hierarchy2"/>
    <dgm:cxn modelId="{7DDEC967-7A31-4EFD-AF6F-94021640B3DD}" type="presParOf" srcId="{F6BD7BAF-C0C8-445F-9DBE-F9264373CFA7}" destId="{6E85A754-0B80-4F4F-8AE6-1B7C3AE6D450}" srcOrd="1" destOrd="0" presId="urn:microsoft.com/office/officeart/2005/8/layout/hierarchy2"/>
    <dgm:cxn modelId="{76F8318E-65C9-432B-8BAA-20FCF0E02572}" type="presParOf" srcId="{6E85A754-0B80-4F4F-8AE6-1B7C3AE6D450}" destId="{E523132D-1F43-493A-ADBE-F6A733A69D90}" srcOrd="0" destOrd="0" presId="urn:microsoft.com/office/officeart/2005/8/layout/hierarchy2"/>
    <dgm:cxn modelId="{3923A2B9-94E1-46CE-BB1D-C735D2C6CF4F}" type="presParOf" srcId="{6E85A754-0B80-4F4F-8AE6-1B7C3AE6D450}" destId="{3CACDC0F-4756-4721-BE9F-C1C7E6E3B615}" srcOrd="1" destOrd="0" presId="urn:microsoft.com/office/officeart/2005/8/layout/hierarchy2"/>
    <dgm:cxn modelId="{8A32B3A4-55A9-46BC-8ED2-2CFE4D58C8E8}" type="presParOf" srcId="{F6BD7BAF-C0C8-445F-9DBE-F9264373CFA7}" destId="{7042826C-2DB9-44B3-B98D-CAA349BA6E0F}" srcOrd="2" destOrd="0" presId="urn:microsoft.com/office/officeart/2005/8/layout/hierarchy2"/>
    <dgm:cxn modelId="{E913064E-3AFF-4DD8-B5CE-02E98073483D}" type="presParOf" srcId="{7042826C-2DB9-44B3-B98D-CAA349BA6E0F}" destId="{CD34B156-0757-4D70-A3CE-935D985D46E8}" srcOrd="0" destOrd="0" presId="urn:microsoft.com/office/officeart/2005/8/layout/hierarchy2"/>
    <dgm:cxn modelId="{C00FCA8A-417F-4641-9423-D20A64DEA3F8}" type="presParOf" srcId="{F6BD7BAF-C0C8-445F-9DBE-F9264373CFA7}" destId="{D1CFF632-CA24-42C6-97AE-0061009B5D2A}" srcOrd="3" destOrd="0" presId="urn:microsoft.com/office/officeart/2005/8/layout/hierarchy2"/>
    <dgm:cxn modelId="{371D122D-5ED7-4D48-9E99-ADFBCF45BC14}" type="presParOf" srcId="{D1CFF632-CA24-42C6-97AE-0061009B5D2A}" destId="{94B8892E-B8C6-4D07-BEDA-84567AAF085B}" srcOrd="0" destOrd="0" presId="urn:microsoft.com/office/officeart/2005/8/layout/hierarchy2"/>
    <dgm:cxn modelId="{344303EB-E020-429E-B932-050312829ACE}" type="presParOf" srcId="{D1CFF632-CA24-42C6-97AE-0061009B5D2A}" destId="{BE22A26D-5953-42C1-BD4B-3DF8AF7DFE3E}" srcOrd="1" destOrd="0" presId="urn:microsoft.com/office/officeart/2005/8/layout/hierarchy2"/>
    <dgm:cxn modelId="{F83B4B1E-73CE-48A6-B517-78BBCA227323}" type="presParOf" srcId="{F6BD7BAF-C0C8-445F-9DBE-F9264373CFA7}" destId="{18B19FAE-0A71-41B2-9D4A-B15E91ED020A}" srcOrd="4" destOrd="0" presId="urn:microsoft.com/office/officeart/2005/8/layout/hierarchy2"/>
    <dgm:cxn modelId="{F425BD5D-732A-4A9A-AF45-61717F826054}" type="presParOf" srcId="{18B19FAE-0A71-41B2-9D4A-B15E91ED020A}" destId="{EB4629E2-F4FB-42E9-BA49-A19C3B82FB49}" srcOrd="0" destOrd="0" presId="urn:microsoft.com/office/officeart/2005/8/layout/hierarchy2"/>
    <dgm:cxn modelId="{F8F5A1EA-AD59-473B-9329-A2115D7337AA}" type="presParOf" srcId="{F6BD7BAF-C0C8-445F-9DBE-F9264373CFA7}" destId="{EB4ADDC5-C944-48AA-900B-9F75346EDB2E}" srcOrd="5" destOrd="0" presId="urn:microsoft.com/office/officeart/2005/8/layout/hierarchy2"/>
    <dgm:cxn modelId="{F531D501-3794-4154-8D8D-14DE7E931D80}" type="presParOf" srcId="{EB4ADDC5-C944-48AA-900B-9F75346EDB2E}" destId="{B2BA667A-DAD0-4D64-947B-3F999208A485}" srcOrd="0" destOrd="0" presId="urn:microsoft.com/office/officeart/2005/8/layout/hierarchy2"/>
    <dgm:cxn modelId="{16D8A222-D6BD-4A6B-AEF8-8E8B409BB9D5}" type="presParOf" srcId="{EB4ADDC5-C944-48AA-900B-9F75346EDB2E}" destId="{2D055E4D-16EA-4A2F-A526-D2581C64F7DD}" srcOrd="1" destOrd="0" presId="urn:microsoft.com/office/officeart/2005/8/layout/hierarchy2"/>
    <dgm:cxn modelId="{A2C4D89F-AC22-4187-8B12-E292F9945BDE}" type="presParOf" srcId="{B9061A8A-11ED-4099-96FB-C7CD841A75DD}" destId="{4FCAFBF2-89A5-4D55-B353-089133EA4BB2}" srcOrd="4" destOrd="0" presId="urn:microsoft.com/office/officeart/2005/8/layout/hierarchy2"/>
    <dgm:cxn modelId="{C2DB8531-1452-4654-91BE-9BA42E51DD94}" type="presParOf" srcId="{4FCAFBF2-89A5-4D55-B353-089133EA4BB2}" destId="{6FD5259A-C165-4A04-9073-7D789A736BE1}" srcOrd="0" destOrd="0" presId="urn:microsoft.com/office/officeart/2005/8/layout/hierarchy2"/>
    <dgm:cxn modelId="{197A75FA-198E-4A59-AA5D-B2350D7C9FD1}" type="presParOf" srcId="{B9061A8A-11ED-4099-96FB-C7CD841A75DD}" destId="{781761D0-B56C-4F72-BF64-71094C097FB5}" srcOrd="5" destOrd="0" presId="urn:microsoft.com/office/officeart/2005/8/layout/hierarchy2"/>
    <dgm:cxn modelId="{69303C0B-758D-45ED-96F6-E12866CCF5C3}" type="presParOf" srcId="{781761D0-B56C-4F72-BF64-71094C097FB5}" destId="{CBB226AF-82E1-4B5D-B8B9-6A1F20D08415}" srcOrd="0" destOrd="0" presId="urn:microsoft.com/office/officeart/2005/8/layout/hierarchy2"/>
    <dgm:cxn modelId="{D3289AB1-070B-422F-B976-1A8B1250AFBC}" type="presParOf" srcId="{781761D0-B56C-4F72-BF64-71094C097FB5}" destId="{E86B0E47-5DB3-4B08-A8BB-C3DB442CC426}" srcOrd="1" destOrd="0" presId="urn:microsoft.com/office/officeart/2005/8/layout/hierarchy2"/>
    <dgm:cxn modelId="{F4E99538-4F31-4A86-8095-72BB6643F9FB}" type="presParOf" srcId="{E86B0E47-5DB3-4B08-A8BB-C3DB442CC426}" destId="{24B8EB54-6912-4EEB-988A-FA7296B5D259}" srcOrd="0" destOrd="0" presId="urn:microsoft.com/office/officeart/2005/8/layout/hierarchy2"/>
    <dgm:cxn modelId="{C032E22B-1828-4B42-A66D-7735DFC4C670}" type="presParOf" srcId="{24B8EB54-6912-4EEB-988A-FA7296B5D259}" destId="{A16A8346-9614-4ED6-A964-58D367917B47}" srcOrd="0" destOrd="0" presId="urn:microsoft.com/office/officeart/2005/8/layout/hierarchy2"/>
    <dgm:cxn modelId="{A35EAC95-897F-4307-9D88-1FF0A462A6F9}" type="presParOf" srcId="{E86B0E47-5DB3-4B08-A8BB-C3DB442CC426}" destId="{880411F0-EACA-4ADA-8F3C-BDD5FCAD9022}" srcOrd="1" destOrd="0" presId="urn:microsoft.com/office/officeart/2005/8/layout/hierarchy2"/>
    <dgm:cxn modelId="{EA14AA97-B431-40F0-9AE3-96B607F23A70}" type="presParOf" srcId="{880411F0-EACA-4ADA-8F3C-BDD5FCAD9022}" destId="{C32E44E5-9A83-45B5-81EF-099C04C01D39}" srcOrd="0" destOrd="0" presId="urn:microsoft.com/office/officeart/2005/8/layout/hierarchy2"/>
    <dgm:cxn modelId="{48556994-F761-499D-A1F4-47083AE504A2}" type="presParOf" srcId="{880411F0-EACA-4ADA-8F3C-BDD5FCAD9022}" destId="{863A68FD-12E4-446F-8104-6D5F47230401}" srcOrd="1" destOrd="0" presId="urn:microsoft.com/office/officeart/2005/8/layout/hierarchy2"/>
    <dgm:cxn modelId="{9F60EB9C-5BAA-42AC-91DD-606BBB4FFAB1}" type="presParOf" srcId="{E86B0E47-5DB3-4B08-A8BB-C3DB442CC426}" destId="{0C8BEEAF-99B8-43E0-86AF-B1532CA58AD1}" srcOrd="2" destOrd="0" presId="urn:microsoft.com/office/officeart/2005/8/layout/hierarchy2"/>
    <dgm:cxn modelId="{3E242F06-0C98-4D4C-8355-45292470E79E}" type="presParOf" srcId="{0C8BEEAF-99B8-43E0-86AF-B1532CA58AD1}" destId="{94BF1A78-E42F-4FB8-A99C-999852771460}" srcOrd="0" destOrd="0" presId="urn:microsoft.com/office/officeart/2005/8/layout/hierarchy2"/>
    <dgm:cxn modelId="{9DDC1C9B-C8F7-4272-89D0-B3B2676241BA}" type="presParOf" srcId="{E86B0E47-5DB3-4B08-A8BB-C3DB442CC426}" destId="{44306F8F-8A9D-4CF8-AFBA-4D0B91F4ED4D}" srcOrd="3" destOrd="0" presId="urn:microsoft.com/office/officeart/2005/8/layout/hierarchy2"/>
    <dgm:cxn modelId="{45C14203-51F6-4ED2-96CE-67123EF9ED90}" type="presParOf" srcId="{44306F8F-8A9D-4CF8-AFBA-4D0B91F4ED4D}" destId="{D39A9E0A-52B7-406E-8B99-728EF34B4503}" srcOrd="0" destOrd="0" presId="urn:microsoft.com/office/officeart/2005/8/layout/hierarchy2"/>
    <dgm:cxn modelId="{72CD213F-1B4B-45DB-B143-EE96193E6D37}" type="presParOf" srcId="{44306F8F-8A9D-4CF8-AFBA-4D0B91F4ED4D}" destId="{2A12637D-0396-408F-BBF1-FC0F1BFE155D}" srcOrd="1" destOrd="0" presId="urn:microsoft.com/office/officeart/2005/8/layout/hierarchy2"/>
    <dgm:cxn modelId="{AC677F0B-1033-48FB-A5DD-3BDA71446813}" type="presParOf" srcId="{E86B0E47-5DB3-4B08-A8BB-C3DB442CC426}" destId="{387A5D86-4258-416A-93FD-4CB913EA74ED}" srcOrd="4" destOrd="0" presId="urn:microsoft.com/office/officeart/2005/8/layout/hierarchy2"/>
    <dgm:cxn modelId="{96C94F9B-BBB8-4ECB-BBD8-5A7DA447BAF4}" type="presParOf" srcId="{387A5D86-4258-416A-93FD-4CB913EA74ED}" destId="{3BD15D1E-1711-4DF7-AFB5-0B1546ED11FC}" srcOrd="0" destOrd="0" presId="urn:microsoft.com/office/officeart/2005/8/layout/hierarchy2"/>
    <dgm:cxn modelId="{764F7259-59C5-4EF3-90C3-B0A1D68320A9}" type="presParOf" srcId="{E86B0E47-5DB3-4B08-A8BB-C3DB442CC426}" destId="{3FEA187C-747F-4FE5-A175-9BCC2EF1683A}" srcOrd="5" destOrd="0" presId="urn:microsoft.com/office/officeart/2005/8/layout/hierarchy2"/>
    <dgm:cxn modelId="{9170202E-BEF0-4C80-9C4F-EDBC40BCB039}" type="presParOf" srcId="{3FEA187C-747F-4FE5-A175-9BCC2EF1683A}" destId="{E206E463-C7EE-4216-8EA9-BD02F9B60BC2}" srcOrd="0" destOrd="0" presId="urn:microsoft.com/office/officeart/2005/8/layout/hierarchy2"/>
    <dgm:cxn modelId="{F4BBD041-8084-4733-8FE0-996EA24AA807}" type="presParOf" srcId="{3FEA187C-747F-4FE5-A175-9BCC2EF1683A}" destId="{87087B4A-69F0-4ACC-A5BF-9B785351B09D}" srcOrd="1" destOrd="0" presId="urn:microsoft.com/office/officeart/2005/8/layout/hierarchy2"/>
  </dgm:cxnLst>
  <dgm:bg/>
  <dgm:whole/>
  <dgm:extLst>
    <a:ext uri="http://schemas.microsoft.com/office/drawing/2008/diagram">
      <dsp:dataModelExt xmlns:dsp="http://schemas.microsoft.com/office/drawing/2008/diagram" relId="rId42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9B70184-33C1-4182-AB60-C656999E67A5}">
      <dsp:nvSpPr>
        <dsp:cNvPr id="0" name=""/>
        <dsp:cNvSpPr/>
      </dsp:nvSpPr>
      <dsp:spPr>
        <a:xfrm>
          <a:off x="2193" y="0"/>
          <a:ext cx="958983" cy="438150"/>
        </a:xfrm>
        <a:prstGeom prst="roundRect">
          <a:avLst>
            <a:gd name="adj" fmla="val 10000"/>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kern="1200">
              <a:solidFill>
                <a:sysClr val="windowText" lastClr="000000">
                  <a:hueOff val="0"/>
                  <a:satOff val="0"/>
                  <a:lumOff val="0"/>
                  <a:alphaOff val="0"/>
                </a:sysClr>
              </a:solidFill>
              <a:latin typeface="Book Antiqua" panose="02040602050305030304" pitchFamily="18" charset="0"/>
              <a:ea typeface="+mn-ea"/>
              <a:cs typeface="Times New Roman" panose="02020603050405020304" pitchFamily="18" charset="0"/>
            </a:rPr>
            <a:t>Bilimsel Bilgi</a:t>
          </a:r>
        </a:p>
      </dsp:txBody>
      <dsp:txXfrm>
        <a:off x="15026" y="12833"/>
        <a:ext cx="933317" cy="412484"/>
      </dsp:txXfrm>
    </dsp:sp>
    <dsp:sp modelId="{8ECB8A35-B5CC-4067-9CDE-1E068CCE5258}">
      <dsp:nvSpPr>
        <dsp:cNvPr id="0" name=""/>
        <dsp:cNvSpPr/>
      </dsp:nvSpPr>
      <dsp:spPr>
        <a:xfrm>
          <a:off x="1057075" y="100161"/>
          <a:ext cx="203304" cy="237827"/>
        </a:xfrm>
        <a:prstGeom prst="rightArrow">
          <a:avLst>
            <a:gd name="adj1" fmla="val 60000"/>
            <a:gd name="adj2" fmla="val 50000"/>
          </a:avLst>
        </a:prstGeom>
        <a:solidFill>
          <a:sysClr val="windowText" lastClr="000000"/>
        </a:soli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tr-TR" sz="1000" kern="1200">
            <a:solidFill>
              <a:sysClr val="windowText" lastClr="000000">
                <a:hueOff val="0"/>
                <a:satOff val="0"/>
                <a:lumOff val="0"/>
                <a:alphaOff val="0"/>
              </a:sysClr>
            </a:solidFill>
            <a:latin typeface="Book Antiqua" panose="02040602050305030304" pitchFamily="18" charset="0"/>
            <a:ea typeface="+mn-ea"/>
            <a:cs typeface="Times New Roman" panose="02020603050405020304" pitchFamily="18" charset="0"/>
          </a:endParaRPr>
        </a:p>
      </dsp:txBody>
      <dsp:txXfrm>
        <a:off x="1057075" y="147726"/>
        <a:ext cx="142313" cy="142697"/>
      </dsp:txXfrm>
    </dsp:sp>
    <dsp:sp modelId="{E54DB8D9-D10F-4DAE-A58C-071C0C296631}">
      <dsp:nvSpPr>
        <dsp:cNvPr id="0" name=""/>
        <dsp:cNvSpPr/>
      </dsp:nvSpPr>
      <dsp:spPr>
        <a:xfrm>
          <a:off x="1344770" y="0"/>
          <a:ext cx="958983" cy="438150"/>
        </a:xfrm>
        <a:prstGeom prst="roundRect">
          <a:avLst>
            <a:gd name="adj" fmla="val 10000"/>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kern="1200">
              <a:solidFill>
                <a:sysClr val="windowText" lastClr="000000">
                  <a:hueOff val="0"/>
                  <a:satOff val="0"/>
                  <a:lumOff val="0"/>
                  <a:alphaOff val="0"/>
                </a:sysClr>
              </a:solidFill>
              <a:latin typeface="Book Antiqua" panose="02040602050305030304" pitchFamily="18" charset="0"/>
              <a:ea typeface="+mn-ea"/>
              <a:cs typeface="Times New Roman" panose="02020603050405020304" pitchFamily="18" charset="0"/>
            </a:rPr>
            <a:t>Öğretilecek Bilgi</a:t>
          </a:r>
        </a:p>
      </dsp:txBody>
      <dsp:txXfrm>
        <a:off x="1357603" y="12833"/>
        <a:ext cx="933317" cy="412484"/>
      </dsp:txXfrm>
    </dsp:sp>
    <dsp:sp modelId="{3A272267-6EC1-4303-8B5B-0ED660C5EFD1}">
      <dsp:nvSpPr>
        <dsp:cNvPr id="0" name=""/>
        <dsp:cNvSpPr/>
      </dsp:nvSpPr>
      <dsp:spPr>
        <a:xfrm>
          <a:off x="2399651" y="100161"/>
          <a:ext cx="203304" cy="237827"/>
        </a:xfrm>
        <a:prstGeom prst="rightArrow">
          <a:avLst>
            <a:gd name="adj1" fmla="val 60000"/>
            <a:gd name="adj2" fmla="val 50000"/>
          </a:avLst>
        </a:prstGeom>
        <a:solidFill>
          <a:sysClr val="windowText" lastClr="000000"/>
        </a:soli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tr-TR" sz="1000" kern="1200">
            <a:solidFill>
              <a:sysClr val="windowText" lastClr="000000">
                <a:hueOff val="0"/>
                <a:satOff val="0"/>
                <a:lumOff val="0"/>
                <a:alphaOff val="0"/>
              </a:sysClr>
            </a:solidFill>
            <a:latin typeface="Book Antiqua" panose="02040602050305030304" pitchFamily="18" charset="0"/>
            <a:ea typeface="+mn-ea"/>
            <a:cs typeface="Times New Roman" panose="02020603050405020304" pitchFamily="18" charset="0"/>
          </a:endParaRPr>
        </a:p>
      </dsp:txBody>
      <dsp:txXfrm>
        <a:off x="2399651" y="147726"/>
        <a:ext cx="142313" cy="142697"/>
      </dsp:txXfrm>
    </dsp:sp>
    <dsp:sp modelId="{B9D9ADAA-347A-4397-965A-C609990AA45F}">
      <dsp:nvSpPr>
        <dsp:cNvPr id="0" name=""/>
        <dsp:cNvSpPr/>
      </dsp:nvSpPr>
      <dsp:spPr>
        <a:xfrm>
          <a:off x="2687346" y="0"/>
          <a:ext cx="958983" cy="438150"/>
        </a:xfrm>
        <a:prstGeom prst="roundRect">
          <a:avLst>
            <a:gd name="adj" fmla="val 10000"/>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kern="1200">
              <a:solidFill>
                <a:sysClr val="windowText" lastClr="000000">
                  <a:hueOff val="0"/>
                  <a:satOff val="0"/>
                  <a:lumOff val="0"/>
                  <a:alphaOff val="0"/>
                </a:sysClr>
              </a:solidFill>
              <a:latin typeface="Book Antiqua" panose="02040602050305030304" pitchFamily="18" charset="0"/>
              <a:ea typeface="+mn-ea"/>
              <a:cs typeface="Times New Roman" panose="02020603050405020304" pitchFamily="18" charset="0"/>
            </a:rPr>
            <a:t>Öğretilen Bilgi</a:t>
          </a:r>
        </a:p>
      </dsp:txBody>
      <dsp:txXfrm>
        <a:off x="2700179" y="12833"/>
        <a:ext cx="933317" cy="412484"/>
      </dsp:txXfrm>
    </dsp:sp>
    <dsp:sp modelId="{8F46AB78-98F4-4191-A4B0-79B3E8EA721D}">
      <dsp:nvSpPr>
        <dsp:cNvPr id="0" name=""/>
        <dsp:cNvSpPr/>
      </dsp:nvSpPr>
      <dsp:spPr>
        <a:xfrm>
          <a:off x="3742228" y="100161"/>
          <a:ext cx="203304" cy="237827"/>
        </a:xfrm>
        <a:prstGeom prst="rightArrow">
          <a:avLst>
            <a:gd name="adj1" fmla="val 60000"/>
            <a:gd name="adj2" fmla="val 50000"/>
          </a:avLst>
        </a:prstGeom>
        <a:solidFill>
          <a:sysClr val="windowText" lastClr="000000"/>
        </a:soli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tr-TR" sz="1000" kern="1200">
            <a:solidFill>
              <a:sysClr val="windowText" lastClr="000000">
                <a:hueOff val="0"/>
                <a:satOff val="0"/>
                <a:lumOff val="0"/>
                <a:alphaOff val="0"/>
              </a:sysClr>
            </a:solidFill>
            <a:latin typeface="Book Antiqua" panose="02040602050305030304" pitchFamily="18" charset="0"/>
            <a:ea typeface="+mn-ea"/>
            <a:cs typeface="Times New Roman" panose="02020603050405020304" pitchFamily="18" charset="0"/>
          </a:endParaRPr>
        </a:p>
      </dsp:txBody>
      <dsp:txXfrm>
        <a:off x="3742228" y="147726"/>
        <a:ext cx="142313" cy="142697"/>
      </dsp:txXfrm>
    </dsp:sp>
    <dsp:sp modelId="{4E22ABBB-617F-4408-A96A-AD342621A46F}">
      <dsp:nvSpPr>
        <dsp:cNvPr id="0" name=""/>
        <dsp:cNvSpPr/>
      </dsp:nvSpPr>
      <dsp:spPr>
        <a:xfrm>
          <a:off x="4029923" y="0"/>
          <a:ext cx="958983" cy="438150"/>
        </a:xfrm>
        <a:prstGeom prst="roundRect">
          <a:avLst>
            <a:gd name="adj" fmla="val 10000"/>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kern="1200">
              <a:solidFill>
                <a:sysClr val="windowText" lastClr="000000">
                  <a:hueOff val="0"/>
                  <a:satOff val="0"/>
                  <a:lumOff val="0"/>
                  <a:alphaOff val="0"/>
                </a:sysClr>
              </a:solidFill>
              <a:latin typeface="Book Antiqua" panose="02040602050305030304" pitchFamily="18" charset="0"/>
              <a:ea typeface="+mn-ea"/>
              <a:cs typeface="Times New Roman" panose="02020603050405020304" pitchFamily="18" charset="0"/>
            </a:rPr>
            <a:t>Özümlenen Bilgi</a:t>
          </a:r>
        </a:p>
      </dsp:txBody>
      <dsp:txXfrm>
        <a:off x="4042756" y="12833"/>
        <a:ext cx="933317" cy="41248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BC8FA2-3F90-4659-BD7D-327611C304C7}">
      <dsp:nvSpPr>
        <dsp:cNvPr id="0" name=""/>
        <dsp:cNvSpPr/>
      </dsp:nvSpPr>
      <dsp:spPr>
        <a:xfrm>
          <a:off x="4118" y="0"/>
          <a:ext cx="1231069" cy="466725"/>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kern="1200">
              <a:latin typeface="Book Antiqua" panose="02040602050305030304" pitchFamily="18" charset="0"/>
            </a:rPr>
            <a:t>Bilimsel</a:t>
          </a:r>
        </a:p>
        <a:p>
          <a:pPr lvl="0" algn="ctr" defTabSz="444500">
            <a:lnSpc>
              <a:spcPct val="90000"/>
            </a:lnSpc>
            <a:spcBef>
              <a:spcPct val="0"/>
            </a:spcBef>
            <a:spcAft>
              <a:spcPct val="35000"/>
            </a:spcAft>
          </a:pPr>
          <a:r>
            <a:rPr lang="tr-TR" sz="1000" kern="1200">
              <a:latin typeface="Book Antiqua" panose="02040602050305030304" pitchFamily="18" charset="0"/>
            </a:rPr>
            <a:t> Bilgi</a:t>
          </a:r>
        </a:p>
      </dsp:txBody>
      <dsp:txXfrm>
        <a:off x="17788" y="13670"/>
        <a:ext cx="1203729" cy="439385"/>
      </dsp:txXfrm>
    </dsp:sp>
    <dsp:sp modelId="{368C022A-EC62-474A-B4B3-3355B26FD6CD}">
      <dsp:nvSpPr>
        <dsp:cNvPr id="0" name=""/>
        <dsp:cNvSpPr/>
      </dsp:nvSpPr>
      <dsp:spPr>
        <a:xfrm>
          <a:off x="1276350" y="78725"/>
          <a:ext cx="424875" cy="309274"/>
        </a:xfrm>
        <a:prstGeom prst="rightArrow">
          <a:avLst>
            <a:gd name="adj1" fmla="val 60000"/>
            <a:gd name="adj2" fmla="val 50000"/>
          </a:avLst>
        </a:prstGeom>
        <a:gradFill rotWithShape="1">
          <a:gsLst>
            <a:gs pos="0">
              <a:schemeClr val="dk1">
                <a:lumMod val="110000"/>
                <a:satMod val="105000"/>
                <a:tint val="67000"/>
              </a:schemeClr>
            </a:gs>
            <a:gs pos="50000">
              <a:schemeClr val="dk1">
                <a:lumMod val="105000"/>
                <a:satMod val="103000"/>
                <a:tint val="73000"/>
              </a:schemeClr>
            </a:gs>
            <a:gs pos="100000">
              <a:schemeClr val="dk1">
                <a:lumMod val="105000"/>
                <a:satMod val="109000"/>
                <a:tint val="81000"/>
              </a:schemeClr>
            </a:gs>
          </a:gsLst>
          <a:lin ang="5400000" scaled="0"/>
        </a:gradFill>
        <a:ln w="6350" cap="flat" cmpd="sng" algn="ctr">
          <a:noFill/>
          <a:prstDash val="solid"/>
          <a:miter lim="800000"/>
        </a:ln>
        <a:effectLst/>
      </dsp:spPr>
      <dsp:style>
        <a:lnRef idx="1">
          <a:schemeClr val="dk1"/>
        </a:lnRef>
        <a:fillRef idx="2">
          <a:schemeClr val="dk1"/>
        </a:fillRef>
        <a:effectRef idx="1">
          <a:schemeClr val="dk1"/>
        </a:effectRef>
        <a:fontRef idx="minor">
          <a:schemeClr val="dk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tr-TR" sz="1000" b="1" kern="1200" cap="none" spc="50">
            <a:ln w="6750">
              <a:solidFill>
                <a:schemeClr val="accent1">
                  <a:shade val="2500"/>
                  <a:alpha val="6500"/>
                </a:schemeClr>
              </a:solidFill>
              <a:prstDash val="solid"/>
            </a:ln>
            <a:solidFill>
              <a:schemeClr val="accent1">
                <a:tint val="3000"/>
                <a:alpha val="95000"/>
              </a:schemeClr>
            </a:solidFill>
            <a:effectLst>
              <a:innerShdw blurRad="50900" dist="38500" dir="13500000">
                <a:srgbClr val="000000">
                  <a:alpha val="60000"/>
                </a:srgbClr>
              </a:innerShdw>
            </a:effectLst>
            <a:latin typeface="Book Antiqua" panose="02040602050305030304" pitchFamily="18" charset="0"/>
          </a:endParaRPr>
        </a:p>
      </dsp:txBody>
      <dsp:txXfrm>
        <a:off x="1276350" y="140580"/>
        <a:ext cx="332093" cy="185564"/>
      </dsp:txXfrm>
    </dsp:sp>
    <dsp:sp modelId="{EFAB09F9-C837-4FC2-BBB7-8F1DDD343562}">
      <dsp:nvSpPr>
        <dsp:cNvPr id="0" name=""/>
        <dsp:cNvSpPr/>
      </dsp:nvSpPr>
      <dsp:spPr>
        <a:xfrm>
          <a:off x="1727615" y="0"/>
          <a:ext cx="1231069" cy="466725"/>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kern="1200">
              <a:latin typeface="Book Antiqua" panose="02040602050305030304" pitchFamily="18" charset="0"/>
            </a:rPr>
            <a:t>Öğretilecek </a:t>
          </a:r>
        </a:p>
        <a:p>
          <a:pPr lvl="0" algn="ctr" defTabSz="444500">
            <a:lnSpc>
              <a:spcPct val="90000"/>
            </a:lnSpc>
            <a:spcBef>
              <a:spcPct val="0"/>
            </a:spcBef>
            <a:spcAft>
              <a:spcPct val="35000"/>
            </a:spcAft>
          </a:pPr>
          <a:r>
            <a:rPr lang="tr-TR" sz="1000" kern="1200">
              <a:latin typeface="Book Antiqua" panose="02040602050305030304" pitchFamily="18" charset="0"/>
            </a:rPr>
            <a:t>Bilgi</a:t>
          </a:r>
        </a:p>
      </dsp:txBody>
      <dsp:txXfrm>
        <a:off x="1741285" y="13670"/>
        <a:ext cx="1203729" cy="439385"/>
      </dsp:txXfrm>
    </dsp:sp>
    <dsp:sp modelId="{6033E1C9-2CF8-4445-996C-45281D9EA5DB}">
      <dsp:nvSpPr>
        <dsp:cNvPr id="0" name=""/>
        <dsp:cNvSpPr/>
      </dsp:nvSpPr>
      <dsp:spPr>
        <a:xfrm>
          <a:off x="2999809" y="66675"/>
          <a:ext cx="429192" cy="333374"/>
        </a:xfrm>
        <a:prstGeom prst="rightArrow">
          <a:avLst>
            <a:gd name="adj1" fmla="val 60000"/>
            <a:gd name="adj2" fmla="val 50000"/>
          </a:avLst>
        </a:prstGeom>
        <a:gradFill rotWithShape="1">
          <a:gsLst>
            <a:gs pos="0">
              <a:schemeClr val="dk1">
                <a:lumMod val="110000"/>
                <a:satMod val="105000"/>
                <a:tint val="67000"/>
              </a:schemeClr>
            </a:gs>
            <a:gs pos="50000">
              <a:schemeClr val="dk1">
                <a:lumMod val="105000"/>
                <a:satMod val="103000"/>
                <a:tint val="73000"/>
              </a:schemeClr>
            </a:gs>
            <a:gs pos="100000">
              <a:schemeClr val="dk1">
                <a:lumMod val="105000"/>
                <a:satMod val="109000"/>
                <a:tint val="81000"/>
              </a:schemeClr>
            </a:gs>
          </a:gsLst>
          <a:lin ang="5400000" scaled="0"/>
        </a:gradFill>
        <a:ln w="6350" cap="flat" cmpd="sng" algn="ctr">
          <a:noFill/>
          <a:prstDash val="solid"/>
          <a:miter lim="800000"/>
        </a:ln>
        <a:effectLst/>
      </dsp:spPr>
      <dsp:style>
        <a:lnRef idx="1">
          <a:schemeClr val="dk1"/>
        </a:lnRef>
        <a:fillRef idx="2">
          <a:schemeClr val="dk1"/>
        </a:fillRef>
        <a:effectRef idx="1">
          <a:schemeClr val="dk1"/>
        </a:effectRef>
        <a:fontRef idx="minor">
          <a:schemeClr val="dk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tr-TR" sz="1000" kern="1200">
            <a:latin typeface="Book Antiqua" panose="02040602050305030304" pitchFamily="18" charset="0"/>
          </a:endParaRPr>
        </a:p>
      </dsp:txBody>
      <dsp:txXfrm>
        <a:off x="2999809" y="133350"/>
        <a:ext cx="329180" cy="200024"/>
      </dsp:txXfrm>
    </dsp:sp>
    <dsp:sp modelId="{52F44BB0-464A-4561-960C-4CADC64EFB41}">
      <dsp:nvSpPr>
        <dsp:cNvPr id="0" name=""/>
        <dsp:cNvSpPr/>
      </dsp:nvSpPr>
      <dsp:spPr>
        <a:xfrm>
          <a:off x="3455230" y="0"/>
          <a:ext cx="1231069" cy="466725"/>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kern="1200">
              <a:latin typeface="Book Antiqua" panose="02040602050305030304" pitchFamily="18" charset="0"/>
            </a:rPr>
            <a:t>Öğretilen</a:t>
          </a:r>
        </a:p>
        <a:p>
          <a:pPr lvl="0" algn="ctr" defTabSz="444500">
            <a:lnSpc>
              <a:spcPct val="90000"/>
            </a:lnSpc>
            <a:spcBef>
              <a:spcPct val="0"/>
            </a:spcBef>
            <a:spcAft>
              <a:spcPct val="35000"/>
            </a:spcAft>
          </a:pPr>
          <a:r>
            <a:rPr lang="tr-TR" sz="1000" kern="1200">
              <a:latin typeface="Book Antiqua" panose="02040602050305030304" pitchFamily="18" charset="0"/>
            </a:rPr>
            <a:t> Bilgi</a:t>
          </a:r>
        </a:p>
      </dsp:txBody>
      <dsp:txXfrm>
        <a:off x="3468900" y="13670"/>
        <a:ext cx="1203729" cy="43938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8B34149-3F1F-498C-BD4D-072ED0BCFF5E}">
      <dsp:nvSpPr>
        <dsp:cNvPr id="0" name=""/>
        <dsp:cNvSpPr/>
      </dsp:nvSpPr>
      <dsp:spPr>
        <a:xfrm rot="10506773">
          <a:off x="2392056" y="1992293"/>
          <a:ext cx="290471" cy="0"/>
        </a:xfrm>
        <a:custGeom>
          <a:avLst/>
          <a:gdLst/>
          <a:ahLst/>
          <a:cxnLst/>
          <a:rect l="0" t="0" r="0" b="0"/>
          <a:pathLst>
            <a:path>
              <a:moveTo>
                <a:pt x="0" y="0"/>
              </a:moveTo>
              <a:lnTo>
                <a:pt x="290471" y="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C46EDE5-D224-476A-9C79-7D6449D5C7CD}">
      <dsp:nvSpPr>
        <dsp:cNvPr id="0" name=""/>
        <dsp:cNvSpPr/>
      </dsp:nvSpPr>
      <dsp:spPr>
        <a:xfrm rot="2380741">
          <a:off x="3409729" y="2339542"/>
          <a:ext cx="245437" cy="0"/>
        </a:xfrm>
        <a:custGeom>
          <a:avLst/>
          <a:gdLst/>
          <a:ahLst/>
          <a:cxnLst/>
          <a:rect l="0" t="0" r="0" b="0"/>
          <a:pathLst>
            <a:path>
              <a:moveTo>
                <a:pt x="0" y="0"/>
              </a:moveTo>
              <a:lnTo>
                <a:pt x="245437" y="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53D80EB-8DCF-4667-8CB6-3A1E92C01E03}">
      <dsp:nvSpPr>
        <dsp:cNvPr id="0" name=""/>
        <dsp:cNvSpPr/>
      </dsp:nvSpPr>
      <dsp:spPr>
        <a:xfrm rot="16200000">
          <a:off x="2908697" y="1418297"/>
          <a:ext cx="302604" cy="0"/>
        </a:xfrm>
        <a:custGeom>
          <a:avLst/>
          <a:gdLst/>
          <a:ahLst/>
          <a:cxnLst/>
          <a:rect l="0" t="0" r="0" b="0"/>
          <a:pathLst>
            <a:path>
              <a:moveTo>
                <a:pt x="0" y="0"/>
              </a:moveTo>
              <a:lnTo>
                <a:pt x="302604" y="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601950E-8287-4F9E-AB61-6EBC2A7B48F9}">
      <dsp:nvSpPr>
        <dsp:cNvPr id="0" name=""/>
        <dsp:cNvSpPr/>
      </dsp:nvSpPr>
      <dsp:spPr>
        <a:xfrm>
          <a:off x="2682000" y="1569600"/>
          <a:ext cx="756000" cy="756000"/>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355600">
            <a:lnSpc>
              <a:spcPct val="90000"/>
            </a:lnSpc>
            <a:spcBef>
              <a:spcPct val="0"/>
            </a:spcBef>
            <a:spcAft>
              <a:spcPct val="35000"/>
            </a:spcAft>
          </a:pPr>
          <a:r>
            <a:rPr lang="tr-TR" sz="800" kern="1200">
              <a:latin typeface="Times New Roman" pitchFamily="18" charset="0"/>
              <a:cs typeface="Times New Roman" pitchFamily="18" charset="0"/>
            </a:rPr>
            <a:t>Yönetici Kaygı</a:t>
          </a:r>
        </a:p>
      </dsp:txBody>
      <dsp:txXfrm>
        <a:off x="2718905" y="1606505"/>
        <a:ext cx="682190" cy="682190"/>
      </dsp:txXfrm>
    </dsp:sp>
    <dsp:sp modelId="{3932471D-0284-4AC0-BFF4-0E237C27521F}">
      <dsp:nvSpPr>
        <dsp:cNvPr id="0" name=""/>
        <dsp:cNvSpPr/>
      </dsp:nvSpPr>
      <dsp:spPr>
        <a:xfrm>
          <a:off x="2806739" y="760475"/>
          <a:ext cx="506520" cy="506520"/>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355600">
            <a:lnSpc>
              <a:spcPct val="90000"/>
            </a:lnSpc>
            <a:spcBef>
              <a:spcPct val="0"/>
            </a:spcBef>
            <a:spcAft>
              <a:spcPct val="35000"/>
            </a:spcAft>
          </a:pPr>
          <a:r>
            <a:rPr lang="tr-TR" sz="800" kern="1200">
              <a:latin typeface="Times New Roman" pitchFamily="18" charset="0"/>
              <a:cs typeface="Times New Roman" pitchFamily="18" charset="0"/>
            </a:rPr>
            <a:t>kişisel</a:t>
          </a:r>
        </a:p>
      </dsp:txBody>
      <dsp:txXfrm>
        <a:off x="2831465" y="785201"/>
        <a:ext cx="457068" cy="457068"/>
      </dsp:txXfrm>
    </dsp:sp>
    <dsp:sp modelId="{E48418BC-8CA5-4DF9-9A83-484E97F94FF0}">
      <dsp:nvSpPr>
        <dsp:cNvPr id="0" name=""/>
        <dsp:cNvSpPr/>
      </dsp:nvSpPr>
      <dsp:spPr>
        <a:xfrm rot="10800000">
          <a:off x="2468631" y="1013735"/>
          <a:ext cx="338108" cy="0"/>
        </a:xfrm>
        <a:custGeom>
          <a:avLst/>
          <a:gdLst/>
          <a:ahLst/>
          <a:cxnLst/>
          <a:rect l="0" t="0" r="0" b="0"/>
          <a:pathLst>
            <a:path>
              <a:moveTo>
                <a:pt x="0" y="0"/>
              </a:moveTo>
              <a:lnTo>
                <a:pt x="338108"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97B2726-5002-4AE7-BDE8-40A541D0F3A5}">
      <dsp:nvSpPr>
        <dsp:cNvPr id="0" name=""/>
        <dsp:cNvSpPr/>
      </dsp:nvSpPr>
      <dsp:spPr>
        <a:xfrm>
          <a:off x="1962111" y="760475"/>
          <a:ext cx="506520" cy="506520"/>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355600">
            <a:lnSpc>
              <a:spcPct val="90000"/>
            </a:lnSpc>
            <a:spcBef>
              <a:spcPct val="0"/>
            </a:spcBef>
            <a:spcAft>
              <a:spcPct val="35000"/>
            </a:spcAft>
          </a:pPr>
          <a:r>
            <a:rPr lang="tr-TR" sz="800" kern="1200">
              <a:latin typeface="Times New Roman" pitchFamily="18" charset="0"/>
              <a:cs typeface="Times New Roman" pitchFamily="18" charset="0"/>
            </a:rPr>
            <a:t>zaman</a:t>
          </a:r>
        </a:p>
      </dsp:txBody>
      <dsp:txXfrm>
        <a:off x="1986837" y="785201"/>
        <a:ext cx="457068" cy="457068"/>
      </dsp:txXfrm>
    </dsp:sp>
    <dsp:sp modelId="{EBCBFB8D-7BE9-4E92-B1AA-7EC400273CC8}">
      <dsp:nvSpPr>
        <dsp:cNvPr id="0" name=""/>
        <dsp:cNvSpPr/>
      </dsp:nvSpPr>
      <dsp:spPr>
        <a:xfrm rot="14400000">
          <a:off x="2718967" y="648000"/>
          <a:ext cx="259749" cy="0"/>
        </a:xfrm>
        <a:custGeom>
          <a:avLst/>
          <a:gdLst/>
          <a:ahLst/>
          <a:cxnLst/>
          <a:rect l="0" t="0" r="0" b="0"/>
          <a:pathLst>
            <a:path>
              <a:moveTo>
                <a:pt x="0" y="0"/>
              </a:moveTo>
              <a:lnTo>
                <a:pt x="259749"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43988F5-786B-4434-A3AF-EE0AD431DA12}">
      <dsp:nvSpPr>
        <dsp:cNvPr id="0" name=""/>
        <dsp:cNvSpPr/>
      </dsp:nvSpPr>
      <dsp:spPr>
        <a:xfrm>
          <a:off x="2384425" y="29004"/>
          <a:ext cx="506520" cy="506520"/>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355600">
            <a:lnSpc>
              <a:spcPct val="90000"/>
            </a:lnSpc>
            <a:spcBef>
              <a:spcPct val="0"/>
            </a:spcBef>
            <a:spcAft>
              <a:spcPct val="35000"/>
            </a:spcAft>
          </a:pPr>
          <a:r>
            <a:rPr lang="tr-TR" sz="800" kern="1200">
              <a:latin typeface="Times New Roman" pitchFamily="18" charset="0"/>
              <a:cs typeface="Times New Roman" pitchFamily="18" charset="0"/>
            </a:rPr>
            <a:t>aile</a:t>
          </a:r>
        </a:p>
      </dsp:txBody>
      <dsp:txXfrm>
        <a:off x="2409151" y="53730"/>
        <a:ext cx="457068" cy="457068"/>
      </dsp:txXfrm>
    </dsp:sp>
    <dsp:sp modelId="{CCC9DC94-B4A0-4BE6-8728-2FA8436087C9}">
      <dsp:nvSpPr>
        <dsp:cNvPr id="0" name=""/>
        <dsp:cNvSpPr/>
      </dsp:nvSpPr>
      <dsp:spPr>
        <a:xfrm rot="18000000">
          <a:off x="3141282" y="648000"/>
          <a:ext cx="259749" cy="0"/>
        </a:xfrm>
        <a:custGeom>
          <a:avLst/>
          <a:gdLst/>
          <a:ahLst/>
          <a:cxnLst/>
          <a:rect l="0" t="0" r="0" b="0"/>
          <a:pathLst>
            <a:path>
              <a:moveTo>
                <a:pt x="0" y="0"/>
              </a:moveTo>
              <a:lnTo>
                <a:pt x="259749"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8DA201A-D3A3-4E63-9879-E27492162C6C}">
      <dsp:nvSpPr>
        <dsp:cNvPr id="0" name=""/>
        <dsp:cNvSpPr/>
      </dsp:nvSpPr>
      <dsp:spPr>
        <a:xfrm>
          <a:off x="3229054" y="29004"/>
          <a:ext cx="506520" cy="506520"/>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355600">
            <a:lnSpc>
              <a:spcPct val="90000"/>
            </a:lnSpc>
            <a:spcBef>
              <a:spcPct val="0"/>
            </a:spcBef>
            <a:spcAft>
              <a:spcPct val="35000"/>
            </a:spcAft>
          </a:pPr>
          <a:r>
            <a:rPr lang="tr-TR" sz="800" kern="1200">
              <a:latin typeface="Times New Roman" pitchFamily="18" charset="0"/>
              <a:cs typeface="Times New Roman" pitchFamily="18" charset="0"/>
            </a:rPr>
            <a:t>sağlık</a:t>
          </a:r>
        </a:p>
      </dsp:txBody>
      <dsp:txXfrm>
        <a:off x="3253780" y="53730"/>
        <a:ext cx="457068" cy="457068"/>
      </dsp:txXfrm>
    </dsp:sp>
    <dsp:sp modelId="{9104D538-2AE8-41BE-A150-F86AFA68212F}">
      <dsp:nvSpPr>
        <dsp:cNvPr id="0" name=""/>
        <dsp:cNvSpPr/>
      </dsp:nvSpPr>
      <dsp:spPr>
        <a:xfrm>
          <a:off x="3313260" y="1013735"/>
          <a:ext cx="338108" cy="0"/>
        </a:xfrm>
        <a:custGeom>
          <a:avLst/>
          <a:gdLst/>
          <a:ahLst/>
          <a:cxnLst/>
          <a:rect l="0" t="0" r="0" b="0"/>
          <a:pathLst>
            <a:path>
              <a:moveTo>
                <a:pt x="0" y="0"/>
              </a:moveTo>
              <a:lnTo>
                <a:pt x="338108"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6675BD3-E3B1-4CE4-A1E8-C8D0696FF455}">
      <dsp:nvSpPr>
        <dsp:cNvPr id="0" name=""/>
        <dsp:cNvSpPr/>
      </dsp:nvSpPr>
      <dsp:spPr>
        <a:xfrm>
          <a:off x="3651368" y="760475"/>
          <a:ext cx="506520" cy="506520"/>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355600">
            <a:lnSpc>
              <a:spcPct val="90000"/>
            </a:lnSpc>
            <a:spcBef>
              <a:spcPct val="0"/>
            </a:spcBef>
            <a:spcAft>
              <a:spcPct val="35000"/>
            </a:spcAft>
          </a:pPr>
          <a:r>
            <a:rPr lang="tr-TR" sz="800" kern="1200">
              <a:latin typeface="Times New Roman" pitchFamily="18" charset="0"/>
              <a:cs typeface="Times New Roman" pitchFamily="18" charset="0"/>
            </a:rPr>
            <a:t>iletişim</a:t>
          </a:r>
        </a:p>
      </dsp:txBody>
      <dsp:txXfrm>
        <a:off x="3676094" y="785201"/>
        <a:ext cx="457068" cy="457068"/>
      </dsp:txXfrm>
    </dsp:sp>
    <dsp:sp modelId="{1C26B69E-9A80-4195-A36D-2C0DC1C38FE5}">
      <dsp:nvSpPr>
        <dsp:cNvPr id="0" name=""/>
        <dsp:cNvSpPr/>
      </dsp:nvSpPr>
      <dsp:spPr>
        <a:xfrm>
          <a:off x="3626896" y="2374740"/>
          <a:ext cx="506520" cy="506520"/>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355600">
            <a:lnSpc>
              <a:spcPct val="90000"/>
            </a:lnSpc>
            <a:spcBef>
              <a:spcPct val="0"/>
            </a:spcBef>
            <a:spcAft>
              <a:spcPct val="35000"/>
            </a:spcAft>
          </a:pPr>
          <a:r>
            <a:rPr lang="tr-TR" sz="800" kern="1200">
              <a:latin typeface="Times New Roman" pitchFamily="18" charset="0"/>
              <a:cs typeface="Times New Roman" pitchFamily="18" charset="0"/>
            </a:rPr>
            <a:t>çevresel</a:t>
          </a:r>
        </a:p>
      </dsp:txBody>
      <dsp:txXfrm>
        <a:off x="3651622" y="2399466"/>
        <a:ext cx="457068" cy="457068"/>
      </dsp:txXfrm>
    </dsp:sp>
    <dsp:sp modelId="{E25C459D-5BC8-42B5-9FD5-6A28870E6D58}">
      <dsp:nvSpPr>
        <dsp:cNvPr id="0" name=""/>
        <dsp:cNvSpPr/>
      </dsp:nvSpPr>
      <dsp:spPr>
        <a:xfrm rot="18000000">
          <a:off x="3965174" y="2268734"/>
          <a:ext cx="244808" cy="0"/>
        </a:xfrm>
        <a:custGeom>
          <a:avLst/>
          <a:gdLst/>
          <a:ahLst/>
          <a:cxnLst/>
          <a:rect l="0" t="0" r="0" b="0"/>
          <a:pathLst>
            <a:path>
              <a:moveTo>
                <a:pt x="0" y="0"/>
              </a:moveTo>
              <a:lnTo>
                <a:pt x="244808"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DF4B15D-C23D-41C2-9F1A-B0387574F250}">
      <dsp:nvSpPr>
        <dsp:cNvPr id="0" name=""/>
        <dsp:cNvSpPr/>
      </dsp:nvSpPr>
      <dsp:spPr>
        <a:xfrm>
          <a:off x="4041740" y="1656209"/>
          <a:ext cx="506520" cy="506520"/>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355600">
            <a:lnSpc>
              <a:spcPct val="90000"/>
            </a:lnSpc>
            <a:spcBef>
              <a:spcPct val="0"/>
            </a:spcBef>
            <a:spcAft>
              <a:spcPct val="35000"/>
            </a:spcAft>
          </a:pPr>
          <a:r>
            <a:rPr lang="tr-TR" sz="800" kern="1200">
              <a:latin typeface="Times New Roman" pitchFamily="18" charset="0"/>
              <a:cs typeface="Times New Roman" pitchFamily="18" charset="0"/>
            </a:rPr>
            <a:t>veli</a:t>
          </a:r>
        </a:p>
      </dsp:txBody>
      <dsp:txXfrm>
        <a:off x="4066466" y="1680935"/>
        <a:ext cx="457068" cy="457068"/>
      </dsp:txXfrm>
    </dsp:sp>
    <dsp:sp modelId="{BC74EB7C-0E6C-4D04-9795-F84F684B68A9}">
      <dsp:nvSpPr>
        <dsp:cNvPr id="0" name=""/>
        <dsp:cNvSpPr/>
      </dsp:nvSpPr>
      <dsp:spPr>
        <a:xfrm rot="1800000">
          <a:off x="4117017" y="2835421"/>
          <a:ext cx="244808" cy="0"/>
        </a:xfrm>
        <a:custGeom>
          <a:avLst/>
          <a:gdLst/>
          <a:ahLst/>
          <a:cxnLst/>
          <a:rect l="0" t="0" r="0" b="0"/>
          <a:pathLst>
            <a:path>
              <a:moveTo>
                <a:pt x="0" y="0"/>
              </a:moveTo>
              <a:lnTo>
                <a:pt x="244808"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7D53ED9-24FC-4DE8-9802-A5DA150F4B19}">
      <dsp:nvSpPr>
        <dsp:cNvPr id="0" name=""/>
        <dsp:cNvSpPr/>
      </dsp:nvSpPr>
      <dsp:spPr>
        <a:xfrm>
          <a:off x="4345427" y="2789583"/>
          <a:ext cx="506520" cy="506520"/>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355600">
            <a:lnSpc>
              <a:spcPct val="90000"/>
            </a:lnSpc>
            <a:spcBef>
              <a:spcPct val="0"/>
            </a:spcBef>
            <a:spcAft>
              <a:spcPct val="35000"/>
            </a:spcAft>
          </a:pPr>
          <a:r>
            <a:rPr lang="tr-TR" sz="800" kern="1200">
              <a:latin typeface="Times New Roman" pitchFamily="18" charset="0"/>
              <a:cs typeface="Times New Roman" pitchFamily="18" charset="0"/>
            </a:rPr>
            <a:t>öğrenci</a:t>
          </a:r>
        </a:p>
      </dsp:txBody>
      <dsp:txXfrm>
        <a:off x="4370153" y="2814309"/>
        <a:ext cx="457068" cy="457068"/>
      </dsp:txXfrm>
    </dsp:sp>
    <dsp:sp modelId="{D86DBEF7-A115-4576-A912-47D80488E89A}">
      <dsp:nvSpPr>
        <dsp:cNvPr id="0" name=""/>
        <dsp:cNvSpPr/>
      </dsp:nvSpPr>
      <dsp:spPr>
        <a:xfrm rot="7200000">
          <a:off x="3550330" y="2987265"/>
          <a:ext cx="244808" cy="0"/>
        </a:xfrm>
        <a:custGeom>
          <a:avLst/>
          <a:gdLst/>
          <a:ahLst/>
          <a:cxnLst/>
          <a:rect l="0" t="0" r="0" b="0"/>
          <a:pathLst>
            <a:path>
              <a:moveTo>
                <a:pt x="0" y="0"/>
              </a:moveTo>
              <a:lnTo>
                <a:pt x="244808"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BF05B30-35B0-4494-BE10-D4006758F8D2}">
      <dsp:nvSpPr>
        <dsp:cNvPr id="0" name=""/>
        <dsp:cNvSpPr/>
      </dsp:nvSpPr>
      <dsp:spPr>
        <a:xfrm>
          <a:off x="3212052" y="3093270"/>
          <a:ext cx="506520" cy="506520"/>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355600">
            <a:lnSpc>
              <a:spcPct val="90000"/>
            </a:lnSpc>
            <a:spcBef>
              <a:spcPct val="0"/>
            </a:spcBef>
            <a:spcAft>
              <a:spcPct val="35000"/>
            </a:spcAft>
          </a:pPr>
          <a:r>
            <a:rPr lang="tr-TR" sz="800" kern="1200">
              <a:latin typeface="Times New Roman" pitchFamily="18" charset="0"/>
              <a:cs typeface="Times New Roman" pitchFamily="18" charset="0"/>
            </a:rPr>
            <a:t>belirsizlik</a:t>
          </a:r>
        </a:p>
      </dsp:txBody>
      <dsp:txXfrm>
        <a:off x="3236778" y="3117996"/>
        <a:ext cx="457068" cy="457068"/>
      </dsp:txXfrm>
    </dsp:sp>
    <dsp:sp modelId="{CFDB67E1-A96E-4B6E-8062-48E510F04BE4}">
      <dsp:nvSpPr>
        <dsp:cNvPr id="0" name=""/>
        <dsp:cNvSpPr/>
      </dsp:nvSpPr>
      <dsp:spPr>
        <a:xfrm>
          <a:off x="1886064" y="1773061"/>
          <a:ext cx="506520" cy="506520"/>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355600">
            <a:lnSpc>
              <a:spcPct val="90000"/>
            </a:lnSpc>
            <a:spcBef>
              <a:spcPct val="0"/>
            </a:spcBef>
            <a:spcAft>
              <a:spcPct val="35000"/>
            </a:spcAft>
          </a:pPr>
          <a:r>
            <a:rPr lang="tr-TR" sz="800" kern="1200">
              <a:latin typeface="Times New Roman" pitchFamily="18" charset="0"/>
              <a:cs typeface="Times New Roman" pitchFamily="18" charset="0"/>
            </a:rPr>
            <a:t>örgütsel </a:t>
          </a:r>
        </a:p>
      </dsp:txBody>
      <dsp:txXfrm>
        <a:off x="1910790" y="1797787"/>
        <a:ext cx="457068" cy="457068"/>
      </dsp:txXfrm>
    </dsp:sp>
    <dsp:sp modelId="{2E00D1A9-9B88-40A8-9732-A3B66B5C2187}">
      <dsp:nvSpPr>
        <dsp:cNvPr id="0" name=""/>
        <dsp:cNvSpPr/>
      </dsp:nvSpPr>
      <dsp:spPr>
        <a:xfrm rot="7108933">
          <a:off x="1659987" y="2483079"/>
          <a:ext cx="463041" cy="0"/>
        </a:xfrm>
        <a:custGeom>
          <a:avLst/>
          <a:gdLst/>
          <a:ahLst/>
          <a:cxnLst/>
          <a:rect l="0" t="0" r="0" b="0"/>
          <a:pathLst>
            <a:path>
              <a:moveTo>
                <a:pt x="0" y="0"/>
              </a:moveTo>
              <a:lnTo>
                <a:pt x="463041"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AF2E409-6D99-4AF3-B98D-7B11E7FED55B}">
      <dsp:nvSpPr>
        <dsp:cNvPr id="0" name=""/>
        <dsp:cNvSpPr/>
      </dsp:nvSpPr>
      <dsp:spPr>
        <a:xfrm>
          <a:off x="1300719" y="2686578"/>
          <a:ext cx="506520" cy="837226"/>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355600">
            <a:lnSpc>
              <a:spcPct val="90000"/>
            </a:lnSpc>
            <a:spcBef>
              <a:spcPct val="0"/>
            </a:spcBef>
            <a:spcAft>
              <a:spcPct val="35000"/>
            </a:spcAft>
          </a:pPr>
          <a:r>
            <a:rPr lang="tr-TR" sz="800" kern="1200">
              <a:latin typeface="Times New Roman" pitchFamily="18" charset="0"/>
              <a:cs typeface="Times New Roman" pitchFamily="18" charset="0"/>
            </a:rPr>
            <a:t>Bürokrasi</a:t>
          </a:r>
        </a:p>
      </dsp:txBody>
      <dsp:txXfrm>
        <a:off x="1325445" y="2711304"/>
        <a:ext cx="457068" cy="787774"/>
      </dsp:txXfrm>
    </dsp:sp>
    <dsp:sp modelId="{F5C33177-998A-4B25-9777-E26C8A3F1B85}">
      <dsp:nvSpPr>
        <dsp:cNvPr id="0" name=""/>
        <dsp:cNvSpPr/>
      </dsp:nvSpPr>
      <dsp:spPr>
        <a:xfrm rot="10840337">
          <a:off x="1565741" y="2021470"/>
          <a:ext cx="320334" cy="0"/>
        </a:xfrm>
        <a:custGeom>
          <a:avLst/>
          <a:gdLst/>
          <a:ahLst/>
          <a:cxnLst/>
          <a:rect l="0" t="0" r="0" b="0"/>
          <a:pathLst>
            <a:path>
              <a:moveTo>
                <a:pt x="0" y="0"/>
              </a:moveTo>
              <a:lnTo>
                <a:pt x="320334"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49FC40F-68F3-4F65-92EE-FC5BD9191B8F}">
      <dsp:nvSpPr>
        <dsp:cNvPr id="0" name=""/>
        <dsp:cNvSpPr/>
      </dsp:nvSpPr>
      <dsp:spPr>
        <a:xfrm>
          <a:off x="345601" y="1870472"/>
          <a:ext cx="1220150" cy="283919"/>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t" anchorCtr="0">
          <a:noAutofit/>
        </a:bodyPr>
        <a:lstStyle/>
        <a:p>
          <a:pPr lvl="0" algn="ctr" defTabSz="355600">
            <a:lnSpc>
              <a:spcPct val="90000"/>
            </a:lnSpc>
            <a:spcBef>
              <a:spcPct val="0"/>
            </a:spcBef>
            <a:spcAft>
              <a:spcPct val="35000"/>
            </a:spcAft>
          </a:pPr>
          <a:r>
            <a:rPr lang="tr-TR" sz="800" kern="1200">
              <a:latin typeface="Times New Roman" pitchFamily="18" charset="0"/>
              <a:cs typeface="Times New Roman" pitchFamily="18" charset="0"/>
            </a:rPr>
            <a:t>Yönetim</a:t>
          </a:r>
        </a:p>
        <a:p>
          <a:pPr marL="57150" lvl="1" indent="-57150" algn="l" defTabSz="355600">
            <a:lnSpc>
              <a:spcPct val="90000"/>
            </a:lnSpc>
            <a:spcBef>
              <a:spcPct val="0"/>
            </a:spcBef>
            <a:spcAft>
              <a:spcPct val="15000"/>
            </a:spcAft>
            <a:buChar char="••"/>
          </a:pPr>
          <a:endParaRPr lang="tr-TR" sz="800" kern="1200">
            <a:latin typeface="Times New Roman" pitchFamily="18" charset="0"/>
            <a:cs typeface="Times New Roman" pitchFamily="18" charset="0"/>
          </a:endParaRPr>
        </a:p>
      </dsp:txBody>
      <dsp:txXfrm>
        <a:off x="359461" y="1884332"/>
        <a:ext cx="1192430" cy="256199"/>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2112662-6E4B-475F-A863-E813F97FED45}">
      <dsp:nvSpPr>
        <dsp:cNvPr id="0" name=""/>
        <dsp:cNvSpPr/>
      </dsp:nvSpPr>
      <dsp:spPr>
        <a:xfrm>
          <a:off x="1490976" y="1463862"/>
          <a:ext cx="636328" cy="318164"/>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r-TR" sz="1000" kern="1200">
              <a:latin typeface="Times New Roman" pitchFamily="18" charset="0"/>
              <a:cs typeface="Times New Roman" pitchFamily="18" charset="0"/>
            </a:rPr>
            <a:t>Örgütsel</a:t>
          </a:r>
        </a:p>
      </dsp:txBody>
      <dsp:txXfrm>
        <a:off x="1500295" y="1473181"/>
        <a:ext cx="617690" cy="299526"/>
      </dsp:txXfrm>
    </dsp:sp>
    <dsp:sp modelId="{DB72AEB4-2C8C-4ADC-A509-0DE19556D9DE}">
      <dsp:nvSpPr>
        <dsp:cNvPr id="0" name=""/>
        <dsp:cNvSpPr/>
      </dsp:nvSpPr>
      <dsp:spPr>
        <a:xfrm rot="17350740">
          <a:off x="1867180" y="1247113"/>
          <a:ext cx="774780" cy="19885"/>
        </a:xfrm>
        <a:custGeom>
          <a:avLst/>
          <a:gdLst/>
          <a:ahLst/>
          <a:cxnLst/>
          <a:rect l="0" t="0" r="0" b="0"/>
          <a:pathLst>
            <a:path>
              <a:moveTo>
                <a:pt x="0" y="9942"/>
              </a:moveTo>
              <a:lnTo>
                <a:pt x="774780" y="9942"/>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tr-TR" sz="1000" kern="1200"/>
        </a:p>
      </dsp:txBody>
      <dsp:txXfrm>
        <a:off x="2235200" y="1237686"/>
        <a:ext cx="38739" cy="38739"/>
      </dsp:txXfrm>
    </dsp:sp>
    <dsp:sp modelId="{3680C6CB-E5FF-4BE3-A14C-A30AB4251FD2}">
      <dsp:nvSpPr>
        <dsp:cNvPr id="0" name=""/>
        <dsp:cNvSpPr/>
      </dsp:nvSpPr>
      <dsp:spPr>
        <a:xfrm>
          <a:off x="2381835" y="732084"/>
          <a:ext cx="636328" cy="318164"/>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r-TR" sz="1000" kern="1200">
              <a:latin typeface="Times New Roman" pitchFamily="18" charset="0"/>
              <a:cs typeface="Times New Roman" pitchFamily="18" charset="0"/>
            </a:rPr>
            <a:t>yönetim</a:t>
          </a:r>
        </a:p>
      </dsp:txBody>
      <dsp:txXfrm>
        <a:off x="2391154" y="741403"/>
        <a:ext cx="617690" cy="299526"/>
      </dsp:txXfrm>
    </dsp:sp>
    <dsp:sp modelId="{0740D837-E3F4-4E2F-9600-6A35E69ED1D9}">
      <dsp:nvSpPr>
        <dsp:cNvPr id="0" name=""/>
        <dsp:cNvSpPr/>
      </dsp:nvSpPr>
      <dsp:spPr>
        <a:xfrm rot="17350740">
          <a:off x="2758039" y="515335"/>
          <a:ext cx="774780" cy="19885"/>
        </a:xfrm>
        <a:custGeom>
          <a:avLst/>
          <a:gdLst/>
          <a:ahLst/>
          <a:cxnLst/>
          <a:rect l="0" t="0" r="0" b="0"/>
          <a:pathLst>
            <a:path>
              <a:moveTo>
                <a:pt x="0" y="9942"/>
              </a:moveTo>
              <a:lnTo>
                <a:pt x="774780" y="994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tr-TR" sz="1000" kern="1200"/>
        </a:p>
      </dsp:txBody>
      <dsp:txXfrm>
        <a:off x="3126060" y="505908"/>
        <a:ext cx="38739" cy="38739"/>
      </dsp:txXfrm>
    </dsp:sp>
    <dsp:sp modelId="{5E941BB8-395A-451B-B0BB-10B332096B9C}">
      <dsp:nvSpPr>
        <dsp:cNvPr id="0" name=""/>
        <dsp:cNvSpPr/>
      </dsp:nvSpPr>
      <dsp:spPr>
        <a:xfrm>
          <a:off x="3272695" y="307"/>
          <a:ext cx="636328" cy="318164"/>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r-TR" sz="1000" kern="1200">
              <a:latin typeface="Times New Roman" pitchFamily="18" charset="0"/>
              <a:cs typeface="Times New Roman" pitchFamily="18" charset="0"/>
            </a:rPr>
            <a:t>verimlilik</a:t>
          </a:r>
        </a:p>
      </dsp:txBody>
      <dsp:txXfrm>
        <a:off x="3282014" y="9626"/>
        <a:ext cx="617690" cy="299526"/>
      </dsp:txXfrm>
    </dsp:sp>
    <dsp:sp modelId="{F1C32B80-5100-4084-B259-D45E6F6F1886}">
      <dsp:nvSpPr>
        <dsp:cNvPr id="0" name=""/>
        <dsp:cNvSpPr/>
      </dsp:nvSpPr>
      <dsp:spPr>
        <a:xfrm rot="18289469">
          <a:off x="2922572" y="698280"/>
          <a:ext cx="445713" cy="19885"/>
        </a:xfrm>
        <a:custGeom>
          <a:avLst/>
          <a:gdLst/>
          <a:ahLst/>
          <a:cxnLst/>
          <a:rect l="0" t="0" r="0" b="0"/>
          <a:pathLst>
            <a:path>
              <a:moveTo>
                <a:pt x="0" y="9942"/>
              </a:moveTo>
              <a:lnTo>
                <a:pt x="445713" y="994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tr-TR" sz="1000" kern="1200"/>
        </a:p>
      </dsp:txBody>
      <dsp:txXfrm>
        <a:off x="3134286" y="697079"/>
        <a:ext cx="22285" cy="22285"/>
      </dsp:txXfrm>
    </dsp:sp>
    <dsp:sp modelId="{798C24F8-3CF9-4D50-B031-F2377C0B10F3}">
      <dsp:nvSpPr>
        <dsp:cNvPr id="0" name=""/>
        <dsp:cNvSpPr/>
      </dsp:nvSpPr>
      <dsp:spPr>
        <a:xfrm>
          <a:off x="3272695" y="366196"/>
          <a:ext cx="636328" cy="318164"/>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r-TR" sz="1000" kern="1200">
              <a:latin typeface="Times New Roman" pitchFamily="18" charset="0"/>
              <a:cs typeface="Times New Roman" pitchFamily="18" charset="0"/>
            </a:rPr>
            <a:t>iletişim </a:t>
          </a:r>
        </a:p>
      </dsp:txBody>
      <dsp:txXfrm>
        <a:off x="3282014" y="375515"/>
        <a:ext cx="617690" cy="299526"/>
      </dsp:txXfrm>
    </dsp:sp>
    <dsp:sp modelId="{13F25DD4-7AE7-4B70-A071-7B809098F086}">
      <dsp:nvSpPr>
        <dsp:cNvPr id="0" name=""/>
        <dsp:cNvSpPr/>
      </dsp:nvSpPr>
      <dsp:spPr>
        <a:xfrm>
          <a:off x="3018164" y="881224"/>
          <a:ext cx="254531" cy="19885"/>
        </a:xfrm>
        <a:custGeom>
          <a:avLst/>
          <a:gdLst/>
          <a:ahLst/>
          <a:cxnLst/>
          <a:rect l="0" t="0" r="0" b="0"/>
          <a:pathLst>
            <a:path>
              <a:moveTo>
                <a:pt x="0" y="9942"/>
              </a:moveTo>
              <a:lnTo>
                <a:pt x="254531" y="994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tr-TR" sz="1000" kern="1200"/>
        </a:p>
      </dsp:txBody>
      <dsp:txXfrm>
        <a:off x="3139066" y="884803"/>
        <a:ext cx="12726" cy="12726"/>
      </dsp:txXfrm>
    </dsp:sp>
    <dsp:sp modelId="{2D3B4B31-9FB0-4530-B364-A7C20BD447E3}">
      <dsp:nvSpPr>
        <dsp:cNvPr id="0" name=""/>
        <dsp:cNvSpPr/>
      </dsp:nvSpPr>
      <dsp:spPr>
        <a:xfrm>
          <a:off x="3272695" y="732084"/>
          <a:ext cx="636328" cy="318164"/>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r-TR" sz="1000" kern="1200">
              <a:latin typeface="Times New Roman" pitchFamily="18" charset="0"/>
              <a:cs typeface="Times New Roman" pitchFamily="18" charset="0"/>
            </a:rPr>
            <a:t>amaç</a:t>
          </a:r>
        </a:p>
      </dsp:txBody>
      <dsp:txXfrm>
        <a:off x="3282014" y="741403"/>
        <a:ext cx="617690" cy="299526"/>
      </dsp:txXfrm>
    </dsp:sp>
    <dsp:sp modelId="{64FFBC90-0833-4076-8487-0539ACCDDDB1}">
      <dsp:nvSpPr>
        <dsp:cNvPr id="0" name=""/>
        <dsp:cNvSpPr/>
      </dsp:nvSpPr>
      <dsp:spPr>
        <a:xfrm rot="3310531">
          <a:off x="2922572" y="1064168"/>
          <a:ext cx="445713" cy="19885"/>
        </a:xfrm>
        <a:custGeom>
          <a:avLst/>
          <a:gdLst/>
          <a:ahLst/>
          <a:cxnLst/>
          <a:rect l="0" t="0" r="0" b="0"/>
          <a:pathLst>
            <a:path>
              <a:moveTo>
                <a:pt x="0" y="9942"/>
              </a:moveTo>
              <a:lnTo>
                <a:pt x="445713" y="994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tr-TR" sz="1000" kern="1200"/>
        </a:p>
      </dsp:txBody>
      <dsp:txXfrm>
        <a:off x="3134286" y="1062968"/>
        <a:ext cx="22285" cy="22285"/>
      </dsp:txXfrm>
    </dsp:sp>
    <dsp:sp modelId="{98C0B7E9-ADD3-4C70-AFCD-6D4C05F742FB}">
      <dsp:nvSpPr>
        <dsp:cNvPr id="0" name=""/>
        <dsp:cNvSpPr/>
      </dsp:nvSpPr>
      <dsp:spPr>
        <a:xfrm>
          <a:off x="3272695" y="1097973"/>
          <a:ext cx="636328" cy="318164"/>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r-TR" sz="1000" kern="1200">
              <a:latin typeface="Times New Roman" pitchFamily="18" charset="0"/>
              <a:cs typeface="Times New Roman" pitchFamily="18" charset="0"/>
            </a:rPr>
            <a:t>denetim</a:t>
          </a:r>
        </a:p>
      </dsp:txBody>
      <dsp:txXfrm>
        <a:off x="3282014" y="1107292"/>
        <a:ext cx="617690" cy="299526"/>
      </dsp:txXfrm>
    </dsp:sp>
    <dsp:sp modelId="{C6155351-8BB1-4E65-AF2A-187FC79B703C}">
      <dsp:nvSpPr>
        <dsp:cNvPr id="0" name=""/>
        <dsp:cNvSpPr/>
      </dsp:nvSpPr>
      <dsp:spPr>
        <a:xfrm rot="4249260">
          <a:off x="2758039" y="1247113"/>
          <a:ext cx="774780" cy="19885"/>
        </a:xfrm>
        <a:custGeom>
          <a:avLst/>
          <a:gdLst/>
          <a:ahLst/>
          <a:cxnLst/>
          <a:rect l="0" t="0" r="0" b="0"/>
          <a:pathLst>
            <a:path>
              <a:moveTo>
                <a:pt x="0" y="9942"/>
              </a:moveTo>
              <a:lnTo>
                <a:pt x="774780" y="994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tr-TR" sz="1000" kern="1200"/>
        </a:p>
      </dsp:txBody>
      <dsp:txXfrm>
        <a:off x="3126060" y="1237686"/>
        <a:ext cx="38739" cy="38739"/>
      </dsp:txXfrm>
    </dsp:sp>
    <dsp:sp modelId="{C1BF0C6D-E640-4571-99C5-9C3BEFF10AB7}">
      <dsp:nvSpPr>
        <dsp:cNvPr id="0" name=""/>
        <dsp:cNvSpPr/>
      </dsp:nvSpPr>
      <dsp:spPr>
        <a:xfrm>
          <a:off x="3272695" y="1463862"/>
          <a:ext cx="636328" cy="318164"/>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r-TR" sz="1000" kern="1200">
              <a:latin typeface="Times New Roman" pitchFamily="18" charset="0"/>
              <a:cs typeface="Times New Roman" pitchFamily="18" charset="0"/>
            </a:rPr>
            <a:t>öğretmen sağlığı</a:t>
          </a:r>
        </a:p>
      </dsp:txBody>
      <dsp:txXfrm>
        <a:off x="3282014" y="1473181"/>
        <a:ext cx="617690" cy="299526"/>
      </dsp:txXfrm>
    </dsp:sp>
    <dsp:sp modelId="{21EF453A-DF40-4725-A50B-C49A14A6C5AB}">
      <dsp:nvSpPr>
        <dsp:cNvPr id="0" name=""/>
        <dsp:cNvSpPr/>
      </dsp:nvSpPr>
      <dsp:spPr>
        <a:xfrm rot="4249260">
          <a:off x="1867180" y="1978890"/>
          <a:ext cx="774780" cy="19885"/>
        </a:xfrm>
        <a:custGeom>
          <a:avLst/>
          <a:gdLst/>
          <a:ahLst/>
          <a:cxnLst/>
          <a:rect l="0" t="0" r="0" b="0"/>
          <a:pathLst>
            <a:path>
              <a:moveTo>
                <a:pt x="0" y="9942"/>
              </a:moveTo>
              <a:lnTo>
                <a:pt x="774780" y="9942"/>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tr-TR" sz="1000" kern="1200"/>
        </a:p>
      </dsp:txBody>
      <dsp:txXfrm>
        <a:off x="2235200" y="1969463"/>
        <a:ext cx="38739" cy="38739"/>
      </dsp:txXfrm>
    </dsp:sp>
    <dsp:sp modelId="{A3CBFEFE-0DCA-4A2D-875D-17C94D732562}">
      <dsp:nvSpPr>
        <dsp:cNvPr id="0" name=""/>
        <dsp:cNvSpPr/>
      </dsp:nvSpPr>
      <dsp:spPr>
        <a:xfrm>
          <a:off x="2381835" y="2195639"/>
          <a:ext cx="636328" cy="318164"/>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r-TR" sz="1000" kern="1200">
              <a:latin typeface="Times New Roman" pitchFamily="18" charset="0"/>
              <a:cs typeface="Times New Roman" pitchFamily="18" charset="0"/>
            </a:rPr>
            <a:t>Bürokrasi</a:t>
          </a:r>
        </a:p>
      </dsp:txBody>
      <dsp:txXfrm>
        <a:off x="2391154" y="2204958"/>
        <a:ext cx="617690" cy="299526"/>
      </dsp:txXfrm>
    </dsp:sp>
    <dsp:sp modelId="{31EA935C-62B5-4861-B793-F92C781AB95A}">
      <dsp:nvSpPr>
        <dsp:cNvPr id="0" name=""/>
        <dsp:cNvSpPr/>
      </dsp:nvSpPr>
      <dsp:spPr>
        <a:xfrm rot="18289469">
          <a:off x="2922572" y="2161834"/>
          <a:ext cx="445713" cy="19885"/>
        </a:xfrm>
        <a:custGeom>
          <a:avLst/>
          <a:gdLst/>
          <a:ahLst/>
          <a:cxnLst/>
          <a:rect l="0" t="0" r="0" b="0"/>
          <a:pathLst>
            <a:path>
              <a:moveTo>
                <a:pt x="0" y="9942"/>
              </a:moveTo>
              <a:lnTo>
                <a:pt x="445713" y="994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tr-TR" sz="1000" kern="1200"/>
        </a:p>
      </dsp:txBody>
      <dsp:txXfrm>
        <a:off x="3134286" y="2160634"/>
        <a:ext cx="22285" cy="22285"/>
      </dsp:txXfrm>
    </dsp:sp>
    <dsp:sp modelId="{2271DF46-06DC-4BC3-92BD-ABA9933DE6BE}">
      <dsp:nvSpPr>
        <dsp:cNvPr id="0" name=""/>
        <dsp:cNvSpPr/>
      </dsp:nvSpPr>
      <dsp:spPr>
        <a:xfrm>
          <a:off x="3272695" y="1829750"/>
          <a:ext cx="636328" cy="318164"/>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r-TR" sz="1000" kern="1200">
              <a:latin typeface="Times New Roman" pitchFamily="18" charset="0"/>
              <a:cs typeface="Times New Roman" pitchFamily="18" charset="0"/>
            </a:rPr>
            <a:t>yetki</a:t>
          </a:r>
        </a:p>
      </dsp:txBody>
      <dsp:txXfrm>
        <a:off x="3282014" y="1839069"/>
        <a:ext cx="617690" cy="299526"/>
      </dsp:txXfrm>
    </dsp:sp>
    <dsp:sp modelId="{9B7CB92D-77EF-4836-9540-87D380F4283F}">
      <dsp:nvSpPr>
        <dsp:cNvPr id="0" name=""/>
        <dsp:cNvSpPr/>
      </dsp:nvSpPr>
      <dsp:spPr>
        <a:xfrm>
          <a:off x="3018164" y="2344779"/>
          <a:ext cx="254531" cy="19885"/>
        </a:xfrm>
        <a:custGeom>
          <a:avLst/>
          <a:gdLst/>
          <a:ahLst/>
          <a:cxnLst/>
          <a:rect l="0" t="0" r="0" b="0"/>
          <a:pathLst>
            <a:path>
              <a:moveTo>
                <a:pt x="0" y="9942"/>
              </a:moveTo>
              <a:lnTo>
                <a:pt x="254531" y="994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tr-TR" sz="1000" kern="1200"/>
        </a:p>
      </dsp:txBody>
      <dsp:txXfrm>
        <a:off x="3139066" y="2348358"/>
        <a:ext cx="12726" cy="12726"/>
      </dsp:txXfrm>
    </dsp:sp>
    <dsp:sp modelId="{34EF9A02-2687-4C5E-811A-4C8D214554DA}">
      <dsp:nvSpPr>
        <dsp:cNvPr id="0" name=""/>
        <dsp:cNvSpPr/>
      </dsp:nvSpPr>
      <dsp:spPr>
        <a:xfrm>
          <a:off x="3272695" y="2195639"/>
          <a:ext cx="636328" cy="318164"/>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r-TR" sz="1000" kern="1200">
              <a:latin typeface="Times New Roman" pitchFamily="18" charset="0"/>
              <a:cs typeface="Times New Roman" pitchFamily="18" charset="0"/>
            </a:rPr>
            <a:t>sorumluluk</a:t>
          </a:r>
        </a:p>
      </dsp:txBody>
      <dsp:txXfrm>
        <a:off x="3282014" y="2204958"/>
        <a:ext cx="617690" cy="299526"/>
      </dsp:txXfrm>
    </dsp:sp>
    <dsp:sp modelId="{9E40D06E-CD71-4D85-BD86-03F0ED92ACF9}">
      <dsp:nvSpPr>
        <dsp:cNvPr id="0" name=""/>
        <dsp:cNvSpPr/>
      </dsp:nvSpPr>
      <dsp:spPr>
        <a:xfrm rot="3310531">
          <a:off x="2922572" y="2527723"/>
          <a:ext cx="445713" cy="19885"/>
        </a:xfrm>
        <a:custGeom>
          <a:avLst/>
          <a:gdLst/>
          <a:ahLst/>
          <a:cxnLst/>
          <a:rect l="0" t="0" r="0" b="0"/>
          <a:pathLst>
            <a:path>
              <a:moveTo>
                <a:pt x="0" y="9942"/>
              </a:moveTo>
              <a:lnTo>
                <a:pt x="445713" y="994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tr-TR" sz="1000" kern="1200"/>
        </a:p>
      </dsp:txBody>
      <dsp:txXfrm>
        <a:off x="3134286" y="2526523"/>
        <a:ext cx="22285" cy="22285"/>
      </dsp:txXfrm>
    </dsp:sp>
    <dsp:sp modelId="{4EBE4A45-B478-48F3-8E4F-F8279A1EAA56}">
      <dsp:nvSpPr>
        <dsp:cNvPr id="0" name=""/>
        <dsp:cNvSpPr/>
      </dsp:nvSpPr>
      <dsp:spPr>
        <a:xfrm>
          <a:off x="3272695" y="2561528"/>
          <a:ext cx="636328" cy="318164"/>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r-TR" sz="1000" kern="1200">
              <a:latin typeface="Times New Roman" pitchFamily="18" charset="0"/>
              <a:cs typeface="Times New Roman" pitchFamily="18" charset="0"/>
            </a:rPr>
            <a:t>hiyerarşi</a:t>
          </a:r>
          <a:endParaRPr lang="tr-TR" sz="1000" kern="1200"/>
        </a:p>
      </dsp:txBody>
      <dsp:txXfrm>
        <a:off x="3282014" y="2570847"/>
        <a:ext cx="617690" cy="299526"/>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B909CED-B0AB-4D17-ADB1-2EB383B624A1}">
      <dsp:nvSpPr>
        <dsp:cNvPr id="0" name=""/>
        <dsp:cNvSpPr/>
      </dsp:nvSpPr>
      <dsp:spPr>
        <a:xfrm>
          <a:off x="1334616" y="697938"/>
          <a:ext cx="808694" cy="404347"/>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r-TR" sz="900" kern="1200">
              <a:latin typeface="Times New Roman" pitchFamily="18" charset="0"/>
              <a:cs typeface="Times New Roman" pitchFamily="18" charset="0"/>
            </a:rPr>
            <a:t>Kişisel</a:t>
          </a:r>
        </a:p>
      </dsp:txBody>
      <dsp:txXfrm>
        <a:off x="1346459" y="709781"/>
        <a:ext cx="785008" cy="380661"/>
      </dsp:txXfrm>
    </dsp:sp>
    <dsp:sp modelId="{85D2BD7F-D82F-4280-A561-78B41BCBBC33}">
      <dsp:nvSpPr>
        <dsp:cNvPr id="0" name=""/>
        <dsp:cNvSpPr/>
      </dsp:nvSpPr>
      <dsp:spPr>
        <a:xfrm rot="17692822">
          <a:off x="1920620" y="531148"/>
          <a:ext cx="768858" cy="40429"/>
        </a:xfrm>
        <a:custGeom>
          <a:avLst/>
          <a:gdLst/>
          <a:ahLst/>
          <a:cxnLst/>
          <a:rect l="0" t="0" r="0" b="0"/>
          <a:pathLst>
            <a:path>
              <a:moveTo>
                <a:pt x="0" y="20214"/>
              </a:moveTo>
              <a:lnTo>
                <a:pt x="768858" y="20214"/>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00050">
            <a:lnSpc>
              <a:spcPct val="90000"/>
            </a:lnSpc>
            <a:spcBef>
              <a:spcPct val="0"/>
            </a:spcBef>
            <a:spcAft>
              <a:spcPct val="35000"/>
            </a:spcAft>
          </a:pPr>
          <a:endParaRPr lang="tr-TR" sz="900" kern="1200">
            <a:latin typeface="Times New Roman" pitchFamily="18" charset="0"/>
            <a:cs typeface="Times New Roman" pitchFamily="18" charset="0"/>
          </a:endParaRPr>
        </a:p>
      </dsp:txBody>
      <dsp:txXfrm>
        <a:off x="2285828" y="532141"/>
        <a:ext cx="38442" cy="38442"/>
      </dsp:txXfrm>
    </dsp:sp>
    <dsp:sp modelId="{0D32D01C-C4A4-4B52-B986-53182C8B9FDF}">
      <dsp:nvSpPr>
        <dsp:cNvPr id="0" name=""/>
        <dsp:cNvSpPr/>
      </dsp:nvSpPr>
      <dsp:spPr>
        <a:xfrm>
          <a:off x="2466788" y="439"/>
          <a:ext cx="808694" cy="404347"/>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r-TR" sz="900" kern="1200">
              <a:latin typeface="Times New Roman" pitchFamily="18" charset="0"/>
              <a:cs typeface="Times New Roman" pitchFamily="18" charset="0"/>
            </a:rPr>
            <a:t>zaman</a:t>
          </a:r>
        </a:p>
      </dsp:txBody>
      <dsp:txXfrm>
        <a:off x="2478631" y="12282"/>
        <a:ext cx="785008" cy="380661"/>
      </dsp:txXfrm>
    </dsp:sp>
    <dsp:sp modelId="{E35DA965-2A67-414F-9C26-A72CE5FB528B}">
      <dsp:nvSpPr>
        <dsp:cNvPr id="0" name=""/>
        <dsp:cNvSpPr/>
      </dsp:nvSpPr>
      <dsp:spPr>
        <a:xfrm rot="19457599">
          <a:off x="2105867" y="763647"/>
          <a:ext cx="398364" cy="40429"/>
        </a:xfrm>
        <a:custGeom>
          <a:avLst/>
          <a:gdLst/>
          <a:ahLst/>
          <a:cxnLst/>
          <a:rect l="0" t="0" r="0" b="0"/>
          <a:pathLst>
            <a:path>
              <a:moveTo>
                <a:pt x="0" y="20214"/>
              </a:moveTo>
              <a:lnTo>
                <a:pt x="398364" y="20214"/>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00050">
            <a:lnSpc>
              <a:spcPct val="90000"/>
            </a:lnSpc>
            <a:spcBef>
              <a:spcPct val="0"/>
            </a:spcBef>
            <a:spcAft>
              <a:spcPct val="35000"/>
            </a:spcAft>
          </a:pPr>
          <a:endParaRPr lang="tr-TR" sz="900" kern="1200">
            <a:latin typeface="Times New Roman" pitchFamily="18" charset="0"/>
            <a:cs typeface="Times New Roman" pitchFamily="18" charset="0"/>
          </a:endParaRPr>
        </a:p>
      </dsp:txBody>
      <dsp:txXfrm>
        <a:off x="2295090" y="773903"/>
        <a:ext cx="19918" cy="19918"/>
      </dsp:txXfrm>
    </dsp:sp>
    <dsp:sp modelId="{E2F24DDA-714C-47E7-944B-82DD3A90F6C9}">
      <dsp:nvSpPr>
        <dsp:cNvPr id="0" name=""/>
        <dsp:cNvSpPr/>
      </dsp:nvSpPr>
      <dsp:spPr>
        <a:xfrm>
          <a:off x="2466788" y="465439"/>
          <a:ext cx="808694" cy="404347"/>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r-TR" sz="900" kern="1200">
              <a:latin typeface="Times New Roman" pitchFamily="18" charset="0"/>
              <a:cs typeface="Times New Roman" pitchFamily="18" charset="0"/>
            </a:rPr>
            <a:t>sağlık</a:t>
          </a:r>
        </a:p>
      </dsp:txBody>
      <dsp:txXfrm>
        <a:off x="2478631" y="477282"/>
        <a:ext cx="785008" cy="380661"/>
      </dsp:txXfrm>
    </dsp:sp>
    <dsp:sp modelId="{212DE259-1487-4D83-9102-7E9333815E91}">
      <dsp:nvSpPr>
        <dsp:cNvPr id="0" name=""/>
        <dsp:cNvSpPr/>
      </dsp:nvSpPr>
      <dsp:spPr>
        <a:xfrm rot="2142401">
          <a:off x="2105867" y="996147"/>
          <a:ext cx="398364" cy="40429"/>
        </a:xfrm>
        <a:custGeom>
          <a:avLst/>
          <a:gdLst/>
          <a:ahLst/>
          <a:cxnLst/>
          <a:rect l="0" t="0" r="0" b="0"/>
          <a:pathLst>
            <a:path>
              <a:moveTo>
                <a:pt x="0" y="20214"/>
              </a:moveTo>
              <a:lnTo>
                <a:pt x="398364" y="20214"/>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00050">
            <a:lnSpc>
              <a:spcPct val="90000"/>
            </a:lnSpc>
            <a:spcBef>
              <a:spcPct val="0"/>
            </a:spcBef>
            <a:spcAft>
              <a:spcPct val="35000"/>
            </a:spcAft>
          </a:pPr>
          <a:endParaRPr lang="tr-TR" sz="900" kern="1200">
            <a:latin typeface="Times New Roman" pitchFamily="18" charset="0"/>
            <a:cs typeface="Times New Roman" pitchFamily="18" charset="0"/>
          </a:endParaRPr>
        </a:p>
      </dsp:txBody>
      <dsp:txXfrm>
        <a:off x="2295090" y="1006403"/>
        <a:ext cx="19918" cy="19918"/>
      </dsp:txXfrm>
    </dsp:sp>
    <dsp:sp modelId="{83D2C39E-47AF-4C72-A654-375D2331291A}">
      <dsp:nvSpPr>
        <dsp:cNvPr id="0" name=""/>
        <dsp:cNvSpPr/>
      </dsp:nvSpPr>
      <dsp:spPr>
        <a:xfrm>
          <a:off x="2466788" y="930438"/>
          <a:ext cx="808694" cy="404347"/>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r-TR" sz="900" kern="1200">
              <a:latin typeface="Times New Roman" pitchFamily="18" charset="0"/>
              <a:cs typeface="Times New Roman" pitchFamily="18" charset="0"/>
            </a:rPr>
            <a:t>aile</a:t>
          </a:r>
        </a:p>
      </dsp:txBody>
      <dsp:txXfrm>
        <a:off x="2478631" y="942281"/>
        <a:ext cx="785008" cy="380661"/>
      </dsp:txXfrm>
    </dsp:sp>
    <dsp:sp modelId="{516A8351-3094-4436-A8E8-6AC77A509095}">
      <dsp:nvSpPr>
        <dsp:cNvPr id="0" name=""/>
        <dsp:cNvSpPr/>
      </dsp:nvSpPr>
      <dsp:spPr>
        <a:xfrm rot="3907178">
          <a:off x="1920620" y="1228647"/>
          <a:ext cx="768858" cy="40429"/>
        </a:xfrm>
        <a:custGeom>
          <a:avLst/>
          <a:gdLst/>
          <a:ahLst/>
          <a:cxnLst/>
          <a:rect l="0" t="0" r="0" b="0"/>
          <a:pathLst>
            <a:path>
              <a:moveTo>
                <a:pt x="0" y="20214"/>
              </a:moveTo>
              <a:lnTo>
                <a:pt x="768858" y="20214"/>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2285828" y="1229640"/>
        <a:ext cx="38442" cy="38442"/>
      </dsp:txXfrm>
    </dsp:sp>
    <dsp:sp modelId="{B232062B-C979-4D98-8716-3083326C23EC}">
      <dsp:nvSpPr>
        <dsp:cNvPr id="0" name=""/>
        <dsp:cNvSpPr/>
      </dsp:nvSpPr>
      <dsp:spPr>
        <a:xfrm>
          <a:off x="2466788" y="1395438"/>
          <a:ext cx="808694" cy="404347"/>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r-TR" sz="900" kern="1200">
              <a:latin typeface="Times New Roman" pitchFamily="18" charset="0"/>
              <a:cs typeface="Times New Roman" pitchFamily="18" charset="0"/>
            </a:rPr>
            <a:t>iletişim</a:t>
          </a:r>
        </a:p>
      </dsp:txBody>
      <dsp:txXfrm>
        <a:off x="2478631" y="1407281"/>
        <a:ext cx="785008" cy="380661"/>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E569B79-F8A4-4E99-A096-36572E1FC183}">
      <dsp:nvSpPr>
        <dsp:cNvPr id="0" name=""/>
        <dsp:cNvSpPr/>
      </dsp:nvSpPr>
      <dsp:spPr>
        <a:xfrm>
          <a:off x="1097452" y="1623559"/>
          <a:ext cx="705761" cy="352880"/>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tr-TR" sz="1100" kern="1200">
              <a:latin typeface="Times New Roman" pitchFamily="18" charset="0"/>
              <a:cs typeface="Times New Roman" pitchFamily="18" charset="0"/>
            </a:rPr>
            <a:t>Çevresel</a:t>
          </a:r>
        </a:p>
      </dsp:txBody>
      <dsp:txXfrm>
        <a:off x="1107788" y="1633895"/>
        <a:ext cx="685089" cy="332208"/>
      </dsp:txXfrm>
    </dsp:sp>
    <dsp:sp modelId="{AA0C68FA-67BF-463D-901E-6D881B88B92B}">
      <dsp:nvSpPr>
        <dsp:cNvPr id="0" name=""/>
        <dsp:cNvSpPr/>
      </dsp:nvSpPr>
      <dsp:spPr>
        <a:xfrm rot="16983315">
          <a:off x="1319496" y="1182458"/>
          <a:ext cx="1249741" cy="17644"/>
        </a:xfrm>
        <a:custGeom>
          <a:avLst/>
          <a:gdLst/>
          <a:ahLst/>
          <a:cxnLst/>
          <a:rect l="0" t="0" r="0" b="0"/>
          <a:pathLst>
            <a:path>
              <a:moveTo>
                <a:pt x="0" y="8822"/>
              </a:moveTo>
              <a:lnTo>
                <a:pt x="1249741" y="8822"/>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tr-TR" sz="1100" kern="1200">
            <a:latin typeface="Times New Roman" pitchFamily="18" charset="0"/>
            <a:cs typeface="Times New Roman" pitchFamily="18" charset="0"/>
          </a:endParaRPr>
        </a:p>
      </dsp:txBody>
      <dsp:txXfrm>
        <a:off x="1913123" y="1160036"/>
        <a:ext cx="62487" cy="62487"/>
      </dsp:txXfrm>
    </dsp:sp>
    <dsp:sp modelId="{664A4EAA-871F-4D95-B977-F693C8A81750}">
      <dsp:nvSpPr>
        <dsp:cNvPr id="0" name=""/>
        <dsp:cNvSpPr/>
      </dsp:nvSpPr>
      <dsp:spPr>
        <a:xfrm>
          <a:off x="2085519" y="406120"/>
          <a:ext cx="705761" cy="352880"/>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tr-TR" sz="1100" kern="1200">
              <a:latin typeface="Times New Roman" pitchFamily="18" charset="0"/>
              <a:cs typeface="Times New Roman" pitchFamily="18" charset="0"/>
            </a:rPr>
            <a:t>Veli</a:t>
          </a:r>
        </a:p>
      </dsp:txBody>
      <dsp:txXfrm>
        <a:off x="2095855" y="416456"/>
        <a:ext cx="685089" cy="332208"/>
      </dsp:txXfrm>
    </dsp:sp>
    <dsp:sp modelId="{29945298-92B0-40E5-AE66-CF7A816BF1D4}">
      <dsp:nvSpPr>
        <dsp:cNvPr id="0" name=""/>
        <dsp:cNvSpPr/>
      </dsp:nvSpPr>
      <dsp:spPr>
        <a:xfrm rot="18289469">
          <a:off x="2685259" y="370832"/>
          <a:ext cx="494348" cy="17644"/>
        </a:xfrm>
        <a:custGeom>
          <a:avLst/>
          <a:gdLst/>
          <a:ahLst/>
          <a:cxnLst/>
          <a:rect l="0" t="0" r="0" b="0"/>
          <a:pathLst>
            <a:path>
              <a:moveTo>
                <a:pt x="0" y="8822"/>
              </a:moveTo>
              <a:lnTo>
                <a:pt x="494348" y="882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2920074" y="367295"/>
        <a:ext cx="24717" cy="24717"/>
      </dsp:txXfrm>
    </dsp:sp>
    <dsp:sp modelId="{A6C8542F-B7DC-4593-B43C-D53B55BCD725}">
      <dsp:nvSpPr>
        <dsp:cNvPr id="0" name=""/>
        <dsp:cNvSpPr/>
      </dsp:nvSpPr>
      <dsp:spPr>
        <a:xfrm>
          <a:off x="3073585" y="307"/>
          <a:ext cx="705761" cy="352880"/>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tr-TR" sz="1100" kern="1200">
              <a:latin typeface="Times New Roman" pitchFamily="18" charset="0"/>
              <a:cs typeface="Times New Roman" pitchFamily="18" charset="0"/>
            </a:rPr>
            <a:t>iletişim</a:t>
          </a:r>
        </a:p>
      </dsp:txBody>
      <dsp:txXfrm>
        <a:off x="3083921" y="10643"/>
        <a:ext cx="685089" cy="332208"/>
      </dsp:txXfrm>
    </dsp:sp>
    <dsp:sp modelId="{56B3A33A-18B4-41A2-A257-8F92CE7EF3BB}">
      <dsp:nvSpPr>
        <dsp:cNvPr id="0" name=""/>
        <dsp:cNvSpPr/>
      </dsp:nvSpPr>
      <dsp:spPr>
        <a:xfrm>
          <a:off x="2791280" y="573739"/>
          <a:ext cx="282304" cy="17644"/>
        </a:xfrm>
        <a:custGeom>
          <a:avLst/>
          <a:gdLst/>
          <a:ahLst/>
          <a:cxnLst/>
          <a:rect l="0" t="0" r="0" b="0"/>
          <a:pathLst>
            <a:path>
              <a:moveTo>
                <a:pt x="0" y="8822"/>
              </a:moveTo>
              <a:lnTo>
                <a:pt x="282304" y="882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2925375" y="575503"/>
        <a:ext cx="14115" cy="14115"/>
      </dsp:txXfrm>
    </dsp:sp>
    <dsp:sp modelId="{27A867EB-21E1-4ECF-B0BA-9D10527DBF0D}">
      <dsp:nvSpPr>
        <dsp:cNvPr id="0" name=""/>
        <dsp:cNvSpPr/>
      </dsp:nvSpPr>
      <dsp:spPr>
        <a:xfrm>
          <a:off x="3073585" y="406120"/>
          <a:ext cx="705761" cy="352880"/>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tr-TR" sz="1100" kern="1200">
              <a:latin typeface="Times New Roman" pitchFamily="18" charset="0"/>
              <a:cs typeface="Times New Roman" pitchFamily="18" charset="0"/>
            </a:rPr>
            <a:t>özensizlik</a:t>
          </a:r>
        </a:p>
      </dsp:txBody>
      <dsp:txXfrm>
        <a:off x="3083921" y="416456"/>
        <a:ext cx="685089" cy="332208"/>
      </dsp:txXfrm>
    </dsp:sp>
    <dsp:sp modelId="{956A4449-500C-4232-A4E2-84B9A79E2901}">
      <dsp:nvSpPr>
        <dsp:cNvPr id="0" name=""/>
        <dsp:cNvSpPr/>
      </dsp:nvSpPr>
      <dsp:spPr>
        <a:xfrm rot="3310531">
          <a:off x="2685259" y="776645"/>
          <a:ext cx="494348" cy="17644"/>
        </a:xfrm>
        <a:custGeom>
          <a:avLst/>
          <a:gdLst/>
          <a:ahLst/>
          <a:cxnLst/>
          <a:rect l="0" t="0" r="0" b="0"/>
          <a:pathLst>
            <a:path>
              <a:moveTo>
                <a:pt x="0" y="8822"/>
              </a:moveTo>
              <a:lnTo>
                <a:pt x="494348" y="882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2920074" y="773108"/>
        <a:ext cx="24717" cy="24717"/>
      </dsp:txXfrm>
    </dsp:sp>
    <dsp:sp modelId="{B49D10E3-A4BA-429D-A75D-0AAAF6D26BE2}">
      <dsp:nvSpPr>
        <dsp:cNvPr id="0" name=""/>
        <dsp:cNvSpPr/>
      </dsp:nvSpPr>
      <dsp:spPr>
        <a:xfrm>
          <a:off x="3073585" y="811933"/>
          <a:ext cx="705761" cy="352880"/>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tr-TR" sz="1100" kern="1200">
              <a:latin typeface="Times New Roman" pitchFamily="18" charset="0"/>
              <a:cs typeface="Times New Roman" pitchFamily="18" charset="0"/>
            </a:rPr>
            <a:t>ilgisizlik</a:t>
          </a:r>
        </a:p>
      </dsp:txBody>
      <dsp:txXfrm>
        <a:off x="3083921" y="822269"/>
        <a:ext cx="685089" cy="332208"/>
      </dsp:txXfrm>
    </dsp:sp>
    <dsp:sp modelId="{7883D7CC-9EB4-4C40-B369-261E04975759}">
      <dsp:nvSpPr>
        <dsp:cNvPr id="0" name=""/>
        <dsp:cNvSpPr/>
      </dsp:nvSpPr>
      <dsp:spPr>
        <a:xfrm>
          <a:off x="1803214" y="1791177"/>
          <a:ext cx="282304" cy="17644"/>
        </a:xfrm>
        <a:custGeom>
          <a:avLst/>
          <a:gdLst/>
          <a:ahLst/>
          <a:cxnLst/>
          <a:rect l="0" t="0" r="0" b="0"/>
          <a:pathLst>
            <a:path>
              <a:moveTo>
                <a:pt x="0" y="8822"/>
              </a:moveTo>
              <a:lnTo>
                <a:pt x="282304" y="8822"/>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88950">
            <a:lnSpc>
              <a:spcPct val="90000"/>
            </a:lnSpc>
            <a:spcBef>
              <a:spcPct val="0"/>
            </a:spcBef>
            <a:spcAft>
              <a:spcPct val="35000"/>
            </a:spcAft>
          </a:pPr>
          <a:endParaRPr lang="tr-TR" sz="1100" kern="1200">
            <a:latin typeface="Times New Roman" pitchFamily="18" charset="0"/>
            <a:cs typeface="Times New Roman" pitchFamily="18" charset="0"/>
          </a:endParaRPr>
        </a:p>
      </dsp:txBody>
      <dsp:txXfrm>
        <a:off x="1937309" y="1792942"/>
        <a:ext cx="14115" cy="14115"/>
      </dsp:txXfrm>
    </dsp:sp>
    <dsp:sp modelId="{1AA36490-0F90-4DB8-A052-36A8AB8EEAF1}">
      <dsp:nvSpPr>
        <dsp:cNvPr id="0" name=""/>
        <dsp:cNvSpPr/>
      </dsp:nvSpPr>
      <dsp:spPr>
        <a:xfrm>
          <a:off x="2085519" y="1623559"/>
          <a:ext cx="705761" cy="352880"/>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tr-TR" sz="1100" kern="1200">
              <a:latin typeface="Times New Roman" pitchFamily="18" charset="0"/>
              <a:cs typeface="Times New Roman" pitchFamily="18" charset="0"/>
            </a:rPr>
            <a:t>Öğrenci</a:t>
          </a:r>
        </a:p>
      </dsp:txBody>
      <dsp:txXfrm>
        <a:off x="2095855" y="1633895"/>
        <a:ext cx="685089" cy="332208"/>
      </dsp:txXfrm>
    </dsp:sp>
    <dsp:sp modelId="{6BBA0F36-280B-4737-92F5-739B8DE585AE}">
      <dsp:nvSpPr>
        <dsp:cNvPr id="0" name=""/>
        <dsp:cNvSpPr/>
      </dsp:nvSpPr>
      <dsp:spPr>
        <a:xfrm rot="18289469">
          <a:off x="2685259" y="1588271"/>
          <a:ext cx="494348" cy="17644"/>
        </a:xfrm>
        <a:custGeom>
          <a:avLst/>
          <a:gdLst/>
          <a:ahLst/>
          <a:cxnLst/>
          <a:rect l="0" t="0" r="0" b="0"/>
          <a:pathLst>
            <a:path>
              <a:moveTo>
                <a:pt x="0" y="8822"/>
              </a:moveTo>
              <a:lnTo>
                <a:pt x="494348" y="882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2920074" y="1584734"/>
        <a:ext cx="24717" cy="24717"/>
      </dsp:txXfrm>
    </dsp:sp>
    <dsp:sp modelId="{E523132D-1F43-493A-ADBE-F6A733A69D90}">
      <dsp:nvSpPr>
        <dsp:cNvPr id="0" name=""/>
        <dsp:cNvSpPr/>
      </dsp:nvSpPr>
      <dsp:spPr>
        <a:xfrm>
          <a:off x="3073585" y="1217746"/>
          <a:ext cx="705761" cy="352880"/>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tr-TR" sz="1100" kern="1200">
              <a:latin typeface="Times New Roman" pitchFamily="18" charset="0"/>
              <a:cs typeface="Times New Roman" pitchFamily="18" charset="0"/>
            </a:rPr>
            <a:t>sağlık</a:t>
          </a:r>
        </a:p>
      </dsp:txBody>
      <dsp:txXfrm>
        <a:off x="3083921" y="1228082"/>
        <a:ext cx="685089" cy="332208"/>
      </dsp:txXfrm>
    </dsp:sp>
    <dsp:sp modelId="{7042826C-2DB9-44B3-B98D-CAA349BA6E0F}">
      <dsp:nvSpPr>
        <dsp:cNvPr id="0" name=""/>
        <dsp:cNvSpPr/>
      </dsp:nvSpPr>
      <dsp:spPr>
        <a:xfrm>
          <a:off x="2791280" y="1791177"/>
          <a:ext cx="282304" cy="17644"/>
        </a:xfrm>
        <a:custGeom>
          <a:avLst/>
          <a:gdLst/>
          <a:ahLst/>
          <a:cxnLst/>
          <a:rect l="0" t="0" r="0" b="0"/>
          <a:pathLst>
            <a:path>
              <a:moveTo>
                <a:pt x="0" y="8822"/>
              </a:moveTo>
              <a:lnTo>
                <a:pt x="282304" y="882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2925375" y="1792942"/>
        <a:ext cx="14115" cy="14115"/>
      </dsp:txXfrm>
    </dsp:sp>
    <dsp:sp modelId="{94B8892E-B8C6-4D07-BEDA-84567AAF085B}">
      <dsp:nvSpPr>
        <dsp:cNvPr id="0" name=""/>
        <dsp:cNvSpPr/>
      </dsp:nvSpPr>
      <dsp:spPr>
        <a:xfrm>
          <a:off x="3073585" y="1623559"/>
          <a:ext cx="705761" cy="352880"/>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tr-TR" sz="1100" kern="1200">
              <a:latin typeface="Times New Roman" pitchFamily="18" charset="0"/>
              <a:cs typeface="Times New Roman" pitchFamily="18" charset="0"/>
            </a:rPr>
            <a:t>öğrenme kaybı</a:t>
          </a:r>
        </a:p>
      </dsp:txBody>
      <dsp:txXfrm>
        <a:off x="3083921" y="1633895"/>
        <a:ext cx="685089" cy="332208"/>
      </dsp:txXfrm>
    </dsp:sp>
    <dsp:sp modelId="{18B19FAE-0A71-41B2-9D4A-B15E91ED020A}">
      <dsp:nvSpPr>
        <dsp:cNvPr id="0" name=""/>
        <dsp:cNvSpPr/>
      </dsp:nvSpPr>
      <dsp:spPr>
        <a:xfrm rot="3310531">
          <a:off x="2685259" y="1994084"/>
          <a:ext cx="494348" cy="17644"/>
        </a:xfrm>
        <a:custGeom>
          <a:avLst/>
          <a:gdLst/>
          <a:ahLst/>
          <a:cxnLst/>
          <a:rect l="0" t="0" r="0" b="0"/>
          <a:pathLst>
            <a:path>
              <a:moveTo>
                <a:pt x="0" y="8822"/>
              </a:moveTo>
              <a:lnTo>
                <a:pt x="494348" y="882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2920074" y="1990547"/>
        <a:ext cx="24717" cy="24717"/>
      </dsp:txXfrm>
    </dsp:sp>
    <dsp:sp modelId="{B2BA667A-DAD0-4D64-947B-3F999208A485}">
      <dsp:nvSpPr>
        <dsp:cNvPr id="0" name=""/>
        <dsp:cNvSpPr/>
      </dsp:nvSpPr>
      <dsp:spPr>
        <a:xfrm>
          <a:off x="3073585" y="2029372"/>
          <a:ext cx="705761" cy="352880"/>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tr-TR" sz="1100" kern="1200">
              <a:latin typeface="Times New Roman" pitchFamily="18" charset="0"/>
              <a:cs typeface="Times New Roman" pitchFamily="18" charset="0"/>
            </a:rPr>
            <a:t>eğitimden uzaklaşma</a:t>
          </a:r>
        </a:p>
      </dsp:txBody>
      <dsp:txXfrm>
        <a:off x="3083921" y="2039708"/>
        <a:ext cx="685089" cy="332208"/>
      </dsp:txXfrm>
    </dsp:sp>
    <dsp:sp modelId="{4FCAFBF2-89A5-4D55-B353-089133EA4BB2}">
      <dsp:nvSpPr>
        <dsp:cNvPr id="0" name=""/>
        <dsp:cNvSpPr/>
      </dsp:nvSpPr>
      <dsp:spPr>
        <a:xfrm rot="4616685">
          <a:off x="1319496" y="2399897"/>
          <a:ext cx="1249741" cy="17644"/>
        </a:xfrm>
        <a:custGeom>
          <a:avLst/>
          <a:gdLst/>
          <a:ahLst/>
          <a:cxnLst/>
          <a:rect l="0" t="0" r="0" b="0"/>
          <a:pathLst>
            <a:path>
              <a:moveTo>
                <a:pt x="0" y="8822"/>
              </a:moveTo>
              <a:lnTo>
                <a:pt x="1249741" y="8822"/>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1913123" y="2377475"/>
        <a:ext cx="62487" cy="62487"/>
      </dsp:txXfrm>
    </dsp:sp>
    <dsp:sp modelId="{CBB226AF-82E1-4B5D-B8B9-6A1F20D08415}">
      <dsp:nvSpPr>
        <dsp:cNvPr id="0" name=""/>
        <dsp:cNvSpPr/>
      </dsp:nvSpPr>
      <dsp:spPr>
        <a:xfrm>
          <a:off x="2085519" y="2840998"/>
          <a:ext cx="705761" cy="352880"/>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tr-TR" sz="1100" kern="1200">
              <a:latin typeface="Times New Roman" pitchFamily="18" charset="0"/>
              <a:cs typeface="Times New Roman" pitchFamily="18" charset="0"/>
            </a:rPr>
            <a:t>Belirsizlik</a:t>
          </a:r>
        </a:p>
      </dsp:txBody>
      <dsp:txXfrm>
        <a:off x="2095855" y="2851334"/>
        <a:ext cx="685089" cy="332208"/>
      </dsp:txXfrm>
    </dsp:sp>
    <dsp:sp modelId="{24B8EB54-6912-4EEB-988A-FA7296B5D259}">
      <dsp:nvSpPr>
        <dsp:cNvPr id="0" name=""/>
        <dsp:cNvSpPr/>
      </dsp:nvSpPr>
      <dsp:spPr>
        <a:xfrm rot="18289469">
          <a:off x="2685259" y="2805710"/>
          <a:ext cx="494348" cy="17644"/>
        </a:xfrm>
        <a:custGeom>
          <a:avLst/>
          <a:gdLst/>
          <a:ahLst/>
          <a:cxnLst/>
          <a:rect l="0" t="0" r="0" b="0"/>
          <a:pathLst>
            <a:path>
              <a:moveTo>
                <a:pt x="0" y="8822"/>
              </a:moveTo>
              <a:lnTo>
                <a:pt x="494348" y="882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2920074" y="2802173"/>
        <a:ext cx="24717" cy="24717"/>
      </dsp:txXfrm>
    </dsp:sp>
    <dsp:sp modelId="{C32E44E5-9A83-45B5-81EF-099C04C01D39}">
      <dsp:nvSpPr>
        <dsp:cNvPr id="0" name=""/>
        <dsp:cNvSpPr/>
      </dsp:nvSpPr>
      <dsp:spPr>
        <a:xfrm>
          <a:off x="3073585" y="2435185"/>
          <a:ext cx="705761" cy="352880"/>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tr-TR" sz="1100" kern="1200">
              <a:latin typeface="Times New Roman" pitchFamily="18" charset="0"/>
              <a:cs typeface="Times New Roman" pitchFamily="18" charset="0"/>
            </a:rPr>
            <a:t>Hastalığın seyri</a:t>
          </a:r>
        </a:p>
      </dsp:txBody>
      <dsp:txXfrm>
        <a:off x="3083921" y="2445521"/>
        <a:ext cx="685089" cy="332208"/>
      </dsp:txXfrm>
    </dsp:sp>
    <dsp:sp modelId="{0C8BEEAF-99B8-43E0-86AF-B1532CA58AD1}">
      <dsp:nvSpPr>
        <dsp:cNvPr id="0" name=""/>
        <dsp:cNvSpPr/>
      </dsp:nvSpPr>
      <dsp:spPr>
        <a:xfrm>
          <a:off x="2791280" y="3008616"/>
          <a:ext cx="282304" cy="17644"/>
        </a:xfrm>
        <a:custGeom>
          <a:avLst/>
          <a:gdLst/>
          <a:ahLst/>
          <a:cxnLst/>
          <a:rect l="0" t="0" r="0" b="0"/>
          <a:pathLst>
            <a:path>
              <a:moveTo>
                <a:pt x="0" y="8822"/>
              </a:moveTo>
              <a:lnTo>
                <a:pt x="282304" y="882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2925375" y="3010381"/>
        <a:ext cx="14115" cy="14115"/>
      </dsp:txXfrm>
    </dsp:sp>
    <dsp:sp modelId="{D39A9E0A-52B7-406E-8B99-728EF34B4503}">
      <dsp:nvSpPr>
        <dsp:cNvPr id="0" name=""/>
        <dsp:cNvSpPr/>
      </dsp:nvSpPr>
      <dsp:spPr>
        <a:xfrm>
          <a:off x="3073585" y="2840998"/>
          <a:ext cx="705761" cy="352880"/>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tr-TR" sz="1100" kern="1200">
              <a:latin typeface="Times New Roman" pitchFamily="18" charset="0"/>
              <a:cs typeface="Times New Roman" pitchFamily="18" charset="0"/>
            </a:rPr>
            <a:t>Okulların durumu</a:t>
          </a:r>
        </a:p>
      </dsp:txBody>
      <dsp:txXfrm>
        <a:off x="3083921" y="2851334"/>
        <a:ext cx="685089" cy="332208"/>
      </dsp:txXfrm>
    </dsp:sp>
    <dsp:sp modelId="{387A5D86-4258-416A-93FD-4CB913EA74ED}">
      <dsp:nvSpPr>
        <dsp:cNvPr id="0" name=""/>
        <dsp:cNvSpPr/>
      </dsp:nvSpPr>
      <dsp:spPr>
        <a:xfrm rot="3310531">
          <a:off x="2685259" y="3211523"/>
          <a:ext cx="494348" cy="17644"/>
        </a:xfrm>
        <a:custGeom>
          <a:avLst/>
          <a:gdLst/>
          <a:ahLst/>
          <a:cxnLst/>
          <a:rect l="0" t="0" r="0" b="0"/>
          <a:pathLst>
            <a:path>
              <a:moveTo>
                <a:pt x="0" y="8822"/>
              </a:moveTo>
              <a:lnTo>
                <a:pt x="494348" y="882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p>
      </dsp:txBody>
      <dsp:txXfrm>
        <a:off x="2920074" y="3207986"/>
        <a:ext cx="24717" cy="24717"/>
      </dsp:txXfrm>
    </dsp:sp>
    <dsp:sp modelId="{E206E463-C7EE-4216-8EA9-BD02F9B60BC2}">
      <dsp:nvSpPr>
        <dsp:cNvPr id="0" name=""/>
        <dsp:cNvSpPr/>
      </dsp:nvSpPr>
      <dsp:spPr>
        <a:xfrm>
          <a:off x="3073585" y="3246811"/>
          <a:ext cx="705761" cy="352880"/>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tr-TR" sz="1100" kern="1200">
              <a:latin typeface="Times New Roman" pitchFamily="18" charset="0"/>
              <a:cs typeface="Times New Roman" pitchFamily="18" charset="0"/>
            </a:rPr>
            <a:t>Sosyal yaşam</a:t>
          </a:r>
        </a:p>
      </dsp:txBody>
      <dsp:txXfrm>
        <a:off x="3083921" y="3257147"/>
        <a:ext cx="685089" cy="332208"/>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RadialCluster">
  <dgm:title val=""/>
  <dgm:desc val=""/>
  <dgm:catLst>
    <dgm:cat type="relationship" pri="19500"/>
    <dgm:cat type="cycle" pri="15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useDef="1">
    <dgm:dataModel>
      <dgm:ptLst/>
      <dgm:bg/>
      <dgm:whole/>
    </dgm:dataModel>
  </dgm:styleData>
  <dgm:clrData useDef="1">
    <dgm:dataModel>
      <dgm:ptLst/>
      <dgm:bg/>
      <dgm:whole/>
    </dgm:dataModel>
  </dgm:clrData>
  <dgm:layoutNode name="Name0">
    <dgm:varLst>
      <dgm:chMax val="1"/>
      <dgm:chPref val="1"/>
      <dgm:dir/>
      <dgm:animOne val="branch"/>
      <dgm:animLvl val="lvl"/>
    </dgm:varLst>
    <dgm:alg type="composite">
      <dgm:param type="ar" val="1.00"/>
    </dgm:alg>
    <dgm:shape xmlns:r="http://schemas.openxmlformats.org/officeDocument/2006/relationships" r:blip="">
      <dgm:adjLst/>
    </dgm:shape>
    <dgm:choose name="Name1">
      <dgm:if name="Name2" func="var" arg="dir" op="equ" val="norm">
        <dgm:choose name="Name3">
          <dgm:if name="Name4" axis="ch ch" ptType="node node" cnt="1 0" func="cnt" op="equ" val="1">
            <dgm:constrLst>
              <dgm:constr type="l" for="ch" forName="textCenter"/>
              <dgm:constr type="ctrY" for="ch" forName="textCenter" refType="h" fact="0.5"/>
              <dgm:constr type="w" for="ch" forName="textCenter" refType="w" fact="0.32"/>
              <dgm:constr type="h" for="ch" forName="textCenter" refType="w" refFor="ch" refForName="textCenter"/>
              <dgm:constr type="r" for="ch" forName="cycle_1" refType="w"/>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5" axis="ch ch" ptType="node node" cnt="1 0"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6" axis="ch ch" ptType="node node" cnt="1 0" func="cnt" op="equ" val="3">
            <dgm:choose name="Name7">
              <dgm:if name="Name8" axis="ch ch ch" ptType="node node node" st="1 2 0" cnt="1 1 0" func="cnt" op="equ" val="1">
                <dgm:choose name="Name9">
                  <dgm:if name="Name10"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12">
                <dgm:choose name="Name13">
                  <dgm:if name="Name14"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5">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16" axis="ch ch" ptType="node node" cnt="1 0"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r" for="ch" forName="cycle_2" refType="w"/>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l" for="ch" forName="cycle_4"/>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17" axis="ch ch" ptType="node node" cnt="1 0"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24"/>
              <dgm:constr type="w" for="ch" forName="cycle_2" refType="w" fact="0.33"/>
              <dgm:constr type="h" for="ch" forName="cycle_2" refType="w" refFor="ch" refForName="cycle_2"/>
              <dgm:constr type="r" for="ch" forName="cycle_3" refType="w" fact="0.89"/>
              <dgm:constr type="b" for="ch" forName="cycle_3" refType="h"/>
              <dgm:constr type="w" for="ch" forName="cycle_3" refType="w" fact="0.33"/>
              <dgm:constr type="h" for="ch" forName="cycle_3" refType="w" refFor="ch" refForName="cycle_3"/>
              <dgm:constr type="l" for="ch" forName="cycle_4" refType="w" fact="0.11"/>
              <dgm:constr type="b" for="ch" forName="cycle_4" refType="h"/>
              <dgm:constr type="w" for="ch" forName="cycle_4" refType="w" fact="0.33"/>
              <dgm:constr type="h" for="ch" forName="cycle_4" refType="w" refFor="ch" refForName="cycle_4"/>
              <dgm:constr type="l" for="ch" forName="cycle_5"/>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18" axis="ch ch" ptType="node node" cnt="1 0"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17"/>
              <dgm:constr type="w" for="ch" forName="cycle_2" refType="w" fact="0.33"/>
              <dgm:constr type="h" for="ch" forName="cycle_2" refType="w" refFor="ch" refForName="cycle_2"/>
              <dgm:constr type="r" for="ch" forName="cycle_3" refType="w"/>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l" for="ch" forName="cycle_5"/>
              <dgm:constr type="b" for="ch" forName="cycle_5" refType="h" fact="0.83"/>
              <dgm:constr type="w" for="ch" forName="cycle_5" refType="w" fact="0.33"/>
              <dgm:constr type="h" for="ch" forName="cycle_5" refType="w" refFor="ch" refForName="cycle_5"/>
              <dgm:constr type="l" for="ch" forName="cycle_6"/>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19">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r" for="ch" forName="cycle_2" refType="w" fact="0.938"/>
              <dgm:constr type="t" for="ch" forName="cycle_2" refType="h" fact="0.141"/>
              <dgm:constr type="w" for="ch" forName="cycle_2" refType="w" fact="0.263"/>
              <dgm:constr type="h" for="ch" forName="cycle_2" refType="w" refFor="ch" refForName="cycle_2"/>
              <dgm:constr type="r" for="ch" forName="cycle_3" refType="w"/>
              <dgm:constr type="b" for="ch" forName="cycle_3" refType="h" fact="0.74"/>
              <dgm:constr type="w" for="ch" forName="cycle_3" refType="w" fact="0.263"/>
              <dgm:constr type="h" for="ch" forName="cycle_3" refType="w" refFor="ch" refForName="cycle_3"/>
              <dgm:constr type="r" for="ch" forName="cycle_4" refType="w" fact="0.8"/>
              <dgm:constr type="b" for="ch" forName="cycle_4" refType="h"/>
              <dgm:constr type="w" for="ch" forName="cycle_4" refType="w" fact="0.263"/>
              <dgm:constr type="h" for="ch" forName="cycle_4" refType="w" refFor="ch" refForName="cycle_4"/>
              <dgm:constr type="l" for="ch" forName="cycle_5" refType="w" fact="0.2"/>
              <dgm:constr type="b" for="ch" forName="cycle_5" refType="h"/>
              <dgm:constr type="w" for="ch" forName="cycle_5" refType="w" fact="0.263"/>
              <dgm:constr type="h" for="ch" forName="cycle_5" refType="w" refFor="ch" refForName="cycle_5"/>
              <dgm:constr type="l" for="ch" forName="cycle_6"/>
              <dgm:constr type="b" for="ch" forName="cycle_6" refType="h" fact="0.74"/>
              <dgm:constr type="w" for="ch" forName="cycle_6" refType="w" fact="0.263"/>
              <dgm:constr type="h" for="ch" forName="cycle_6" refType="w" refFor="ch" refForName="cycle_6"/>
              <dgm:constr type="l" for="ch" forName="cycle_7" refType="w" fact="0.062"/>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if>
      <dgm:else name="Name20">
        <dgm:choose name="Name21">
          <dgm:if name="Name22" axis="ch ch" ptType="node node" func="cnt" op="equ" val="1">
            <dgm:constrLst>
              <dgm:constr type="r" for="ch" forName="textCenter" refType="w"/>
              <dgm:constr type="ctrY" for="ch" forName="textCenter" refType="h" fact="0.5"/>
              <dgm:constr type="w" for="ch" forName="textCenter" refType="w" fact="0.32"/>
              <dgm:constr type="h" for="ch" forName="textCenter" refType="w" refFor="ch" refForName="textCenter"/>
              <dgm:constr type="l" for="ch" forName="cycle_1"/>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23" axis="ch ch" ptType="node node"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24" axis="ch ch" ptType="node node" func="cnt" op="equ" val="3">
            <dgm:choose name="Name25">
              <dgm:if name="Name26" axis="ch ch ch" ptType="node node node" st="1 2 0" cnt="1 1 0" func="cnt" op="equ" val="1">
                <dgm:choose name="Name27">
                  <dgm:if name="Name28"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29">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30">
                <dgm:choose name="Name31">
                  <dgm:if name="Name32"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33">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34" axis="ch ch" ptType="node node"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l" for="ch" forName="cycle_2"/>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r" for="ch" forName="cycle_4" refType="w"/>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35" axis="ch ch" ptType="node node"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24"/>
              <dgm:constr type="w" for="ch" forName="cycle_2" refType="w" fact="0.33"/>
              <dgm:constr type="h" for="ch" forName="cycle_2" refType="w" refFor="ch" refForName="cycle_2"/>
              <dgm:constr type="l" for="ch" forName="cycle_3" refType="w" fact="0.11"/>
              <dgm:constr type="b" for="ch" forName="cycle_3" refType="h"/>
              <dgm:constr type="w" for="ch" forName="cycle_3" refType="w" fact="0.33"/>
              <dgm:constr type="h" for="ch" forName="cycle_3" refType="w" refFor="ch" refForName="cycle_3"/>
              <dgm:constr type="r" for="ch" forName="cycle_4" refType="w" fact="0.89"/>
              <dgm:constr type="b" for="ch" forName="cycle_4" refType="h"/>
              <dgm:constr type="w" for="ch" forName="cycle_4" refType="w" fact="0.33"/>
              <dgm:constr type="h" for="ch" forName="cycle_4" refType="w" refFor="ch" refForName="cycle_4"/>
              <dgm:constr type="r" for="ch" forName="cycle_5" refType="w"/>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36" axis="ch ch" ptType="node node"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17"/>
              <dgm:constr type="w" for="ch" forName="cycle_2" refType="w" fact="0.33"/>
              <dgm:constr type="h" for="ch" forName="cycle_2" refType="w" refFor="ch" refForName="cycle_2"/>
              <dgm:constr type="l" for="ch" forName="cycle_3"/>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r" for="ch" forName="cycle_5" refType="w"/>
              <dgm:constr type="b" for="ch" forName="cycle_5" refType="h" fact="0.83"/>
              <dgm:constr type="w" for="ch" forName="cycle_5" refType="w" fact="0.33"/>
              <dgm:constr type="h" for="ch" forName="cycle_5" refType="w" refFor="ch" refForName="cycle_5"/>
              <dgm:constr type="r" for="ch" forName="cycle_6" refType="w"/>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37">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l" for="ch" forName="cycle_2" refType="w" fact="0.062"/>
              <dgm:constr type="t" for="ch" forName="cycle_2" refType="h" fact="0.141"/>
              <dgm:constr type="w" for="ch" forName="cycle_2" refType="w" fact="0.263"/>
              <dgm:constr type="h" for="ch" forName="cycle_2" refType="w" refFor="ch" refForName="cycle_2"/>
              <dgm:constr type="l" for="ch" forName="cycle_3"/>
              <dgm:constr type="b" for="ch" forName="cycle_3" refType="h" fact="0.74"/>
              <dgm:constr type="w" for="ch" forName="cycle_3" refType="w" fact="0.263"/>
              <dgm:constr type="h" for="ch" forName="cycle_3" refType="w" refFor="ch" refForName="cycle_3"/>
              <dgm:constr type="l" for="ch" forName="cycle_4" refType="w" fact="0.2"/>
              <dgm:constr type="b" for="ch" forName="cycle_4" refType="h"/>
              <dgm:constr type="w" for="ch" forName="cycle_4" refType="w" fact="0.263"/>
              <dgm:constr type="h" for="ch" forName="cycle_4" refType="w" refFor="ch" refForName="cycle_4"/>
              <dgm:constr type="r" for="ch" forName="cycle_5" refType="w" fact="0.8"/>
              <dgm:constr type="b" for="ch" forName="cycle_5" refType="h"/>
              <dgm:constr type="w" for="ch" forName="cycle_5" refType="w" fact="0.263"/>
              <dgm:constr type="h" for="ch" forName="cycle_5" refType="w" refFor="ch" refForName="cycle_5"/>
              <dgm:constr type="r" for="ch" forName="cycle_6" refType="w"/>
              <dgm:constr type="b" for="ch" forName="cycle_6" refType="h" fact="0.74"/>
              <dgm:constr type="w" for="ch" forName="cycle_6" refType="w" fact="0.263"/>
              <dgm:constr type="h" for="ch" forName="cycle_6" refType="w" refFor="ch" refForName="cycle_6"/>
              <dgm:constr type="r" for="ch" forName="cycle_7" refType="w" fact="0.938"/>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else>
    </dgm:choose>
    <dgm:forEach name="Name38" axis="ch" ptType="node" cnt="1">
      <dgm:choose name="Name39">
        <dgm:if name="Name40" axis="des" func="maxDepth" op="lte" val="1">
          <dgm:layoutNode name="singleCycle">
            <dgm:choose name="Name41">
              <dgm:if name="Name42" axis="ch" ptType="node" func="cnt" op="equ" val="1">
                <dgm:choose name="Name43">
                  <dgm:if name="Name44" func="var" arg="dir" op="equ" val="norm">
                    <dgm:alg type="cycle">
                      <dgm:param type="stAng" val="90"/>
                      <dgm:param type="ctrShpMap" val="fNode"/>
                    </dgm:alg>
                  </dgm:if>
                  <dgm:else name="Name45">
                    <dgm:alg type="cycle">
                      <dgm:param type="stAng" val="-90"/>
                      <dgm:param type="spanAng" val="-360"/>
                      <dgm:param type="ctrShpMap" val="fNode"/>
                    </dgm:alg>
                  </dgm:else>
                </dgm:choose>
              </dgm:if>
              <dgm:else name="Name46">
                <dgm:choose name="Name47">
                  <dgm:if name="Name48" func="var" arg="dir" op="equ" val="norm">
                    <dgm:alg type="cycle">
                      <dgm:param type="ctrShpMap" val="fNode"/>
                    </dgm:alg>
                  </dgm:if>
                  <dgm:else name="Name49">
                    <dgm:alg type="cycle">
                      <dgm:param type="spanAng" val="-360"/>
                      <dgm:param type="ctrShpMap" val="fNode"/>
                    </dgm:alg>
                  </dgm:else>
                </dgm:choose>
              </dgm:else>
            </dgm:choose>
            <dgm:shape xmlns:r="http://schemas.openxmlformats.org/officeDocument/2006/relationships" r:blip="">
              <dgm:adjLst/>
            </dgm:shape>
            <dgm:presOf/>
            <dgm:choose name="Name50">
              <dgm:if name="Name51" axis="ch" ptType="node" func="cnt" op="equ" val="0">
                <dgm:constrLst>
                  <dgm:constr type="w" for="ch" forName="singleCenter" refType="w"/>
                  <dgm:constr type="h" for="ch" forName="singleCenter" refType="w" refFor="ch" refForName="singleCenter"/>
                </dgm:constrLst>
              </dgm:if>
              <dgm:if name="Name52" axis="ch" ptType="node" func="cnt" op="equ" val="1">
                <dgm:constrLst>
                  <dgm:constr type="w" for="ch" forName="singleCenter" refType="w" fact="0.5"/>
                  <dgm:constr type="h" for="ch" forName="singleCenter" refType="w" refFor="ch" refForName="singleCenter"/>
                  <dgm:constr type="userS" for="ch" ptType="node" refType="w" refFor="ch" refForName="singleCenter" fact="0.67"/>
                </dgm:constrLst>
              </dgm:if>
              <dgm:else name="Name53">
                <dgm:constrLst>
                  <dgm:constr type="w" for="ch" forName="singleCenter" refType="w" fact="0.3"/>
                  <dgm:constr type="h" for="ch" forName="singleCenter" refType="w" refFor="ch" refForName="singleCenter"/>
                  <dgm:constr type="userS" for="ch" ptType="node" refType="w" refFor="ch" refForName="singleCenter" fact="0.67"/>
                </dgm:constrLst>
              </dgm:else>
            </dgm:choose>
            <dgm:layoutNode name="singleCenter" styleLbl="node1">
              <dgm:varLst>
                <dgm:chMax val="7"/>
                <dgm:chPref val="7"/>
              </dgm:varLst>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54" axis="ch" cnt="21">
              <dgm:forEach name="Name55" axis="self" ptType="parTrans">
                <dgm:layoutNode name="Name5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57" axis="self" ptType="node">
                <dgm:layoutNode name="text0"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layoutNode>
        </dgm:if>
        <dgm:else name="Name58">
          <dgm:layoutNode name="textCenter" styleLbl="node1">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choose name="Name59">
            <dgm:if name="Name60" axis="ch" ptType="node" func="cnt" op="gte" val="1">
              <dgm:layoutNode name="cycle_1">
                <dgm:choose name="Name61">
                  <dgm:if name="Name62" func="var" arg="dir" op="equ" val="norm">
                    <dgm:choose name="Name63">
                      <dgm:if name="Name64" axis="ch" ptType="node" func="cnt" op="equ" val="1">
                        <dgm:choose name="Name65">
                          <dgm:if name="Name66" axis="ch ch" ptType="node node" st="1 1" cnt="1 0" func="cnt" op="equ" val="1">
                            <dgm:alg type="cycle">
                              <dgm:param type="ctrShpMap" val="fNode"/>
                              <dgm:param type="stAng" val="90"/>
                            </dgm:alg>
                          </dgm:if>
                          <dgm:if name="Name67" axis="ch ch" ptType="node node" st="1 1" cnt="1 0" func="cnt" op="equ" val="2">
                            <dgm:alg type="cycle">
                              <dgm:param type="ctrShpMap" val="fNode"/>
                              <dgm:param type="stAng" val="45"/>
                              <dgm:param type="spanAng" val="90"/>
                            </dgm:alg>
                          </dgm:if>
                          <dgm:else name="Name68">
                            <dgm:alg type="cycle">
                              <dgm:param type="ctrShpMap" val="fNode"/>
                              <dgm:param type="stAng" val="0"/>
                              <dgm:param type="spanAng" val="180"/>
                            </dgm:alg>
                          </dgm:else>
                        </dgm:choose>
                      </dgm:if>
                      <dgm:if name="Name69" axis="ch" ptType="node" func="cnt" op="equ" val="2">
                        <dgm:choose name="Name70">
                          <dgm:if name="Name71" axis="ch ch" ptType="node node" st="1 1" cnt="1 0" func="cnt" op="equ" val="1">
                            <dgm:alg type="cycle">
                              <dgm:param type="ctrShpMap" val="fNode"/>
                              <dgm:param type="stAng" val="0"/>
                            </dgm:alg>
                          </dgm:if>
                          <dgm:if name="Name72" axis="ch ch" ptType="node node" st="1 1" cnt="1 0" func="cnt" op="equ" val="2">
                            <dgm:alg type="cycle">
                              <dgm:param type="ctrShpMap" val="fNode"/>
                              <dgm:param type="stAng" val="315"/>
                              <dgm:param type="spanAng" val="90"/>
                            </dgm:alg>
                          </dgm:if>
                          <dgm:else name="Name73">
                            <dgm:alg type="cycle">
                              <dgm:param type="ctrShpMap" val="fNode"/>
                              <dgm:param type="stAng" val="270"/>
                              <dgm:param type="spanAng" val="180"/>
                            </dgm:alg>
                          </dgm:else>
                        </dgm:choose>
                      </dgm:if>
                      <dgm:if name="Name74" axis="ch" ptType="node" func="cnt" op="equ" val="3">
                        <dgm:choose name="Name75">
                          <dgm:if name="Name76" axis="ch ch" ptType="node node" st="1 1" cnt="1 0" func="cnt" op="equ" val="1">
                            <dgm:alg type="cycle">
                              <dgm:param type="ctrShpMap" val="fNode"/>
                              <dgm:param type="stAng" val="0"/>
                            </dgm:alg>
                          </dgm:if>
                          <dgm:if name="Name77" axis="ch ch" ptType="node node" st="1 1" cnt="1 0" func="cnt" op="equ" val="2">
                            <dgm:alg type="cycle">
                              <dgm:param type="ctrShpMap" val="fNode"/>
                              <dgm:param type="stAng" val="315"/>
                              <dgm:param type="spanAng" val="90"/>
                            </dgm:alg>
                          </dgm:if>
                          <dgm:else name="Name78">
                            <dgm:alg type="cycle">
                              <dgm:param type="ctrShpMap" val="fNode"/>
                              <dgm:param type="stAng" val="270"/>
                              <dgm:param type="spanAng" val="180"/>
                            </dgm:alg>
                          </dgm:else>
                        </dgm:choose>
                      </dgm:if>
                      <dgm:if name="Name79" axis="ch" ptType="node" func="cnt" op="equ" val="4">
                        <dgm:choose name="Name80">
                          <dgm:if name="Name81" axis="ch ch" ptType="node node" st="1 1" cnt="1 0" func="cnt" op="equ" val="1">
                            <dgm:alg type="cycle">
                              <dgm:param type="ctrShpMap" val="fNode"/>
                              <dgm:param type="stAng" val="0"/>
                            </dgm:alg>
                          </dgm:if>
                          <dgm:if name="Name82" axis="ch ch" ptType="node node" st="1 1" cnt="1 0" func="cnt" op="equ" val="2">
                            <dgm:alg type="cycle">
                              <dgm:param type="ctrShpMap" val="fNode"/>
                              <dgm:param type="stAng" val="315"/>
                              <dgm:param type="spanAng" val="90"/>
                            </dgm:alg>
                          </dgm:if>
                          <dgm:else name="Name83">
                            <dgm:alg type="cycle">
                              <dgm:param type="ctrShpMap" val="fNode"/>
                              <dgm:param type="stAng" val="292.5"/>
                              <dgm:param type="spanAng" val="135"/>
                            </dgm:alg>
                          </dgm:else>
                        </dgm:choose>
                      </dgm:if>
                      <dgm:if name="Name84" axis="ch" ptType="node" func="cnt" op="equ" val="5">
                        <dgm:choose name="Name85">
                          <dgm:if name="Name86" axis="ch ch" ptType="node node" st="1 1" cnt="1 0" func="cnt" op="equ" val="1">
                            <dgm:alg type="cycle">
                              <dgm:param type="ctrShpMap" val="fNode"/>
                              <dgm:param type="stAng" val="0"/>
                            </dgm:alg>
                          </dgm:if>
                          <dgm:if name="Name87" axis="ch ch" ptType="node node" st="1 1" cnt="1 0" func="cnt" op="equ" val="2">
                            <dgm:alg type="cycle">
                              <dgm:param type="ctrShpMap" val="fNode"/>
                              <dgm:param type="stAng" val="315"/>
                              <dgm:param type="spanAng" val="90"/>
                            </dgm:alg>
                          </dgm:if>
                          <dgm:else name="Name88">
                            <dgm:alg type="cycle">
                              <dgm:param type="ctrShpMap" val="fNode"/>
                              <dgm:param type="stAng" val="0"/>
                              <dgm:param type="spanAng" val="360"/>
                            </dgm:alg>
                          </dgm:else>
                        </dgm:choose>
                      </dgm:if>
                      <dgm:if name="Name89" axis="ch" ptType="node" func="cnt" op="equ" val="6">
                        <dgm:choose name="Name90">
                          <dgm:if name="Name91" axis="ch ch" ptType="node node" st="1 1" cnt="1 0" func="cnt" op="equ" val="1">
                            <dgm:alg type="cycle">
                              <dgm:param type="ctrShpMap" val="fNode"/>
                              <dgm:param type="stAng" val="0"/>
                            </dgm:alg>
                          </dgm:if>
                          <dgm:if name="Name92" axis="ch ch" ptType="node node" st="1 1" cnt="1 0" func="cnt" op="equ" val="2">
                            <dgm:alg type="cycle">
                              <dgm:param type="ctrShpMap" val="fNode"/>
                              <dgm:param type="stAng" val="315"/>
                              <dgm:param type="spanAng" val="90"/>
                            </dgm:alg>
                          </dgm:if>
                          <dgm:else name="Name93">
                            <dgm:alg type="cycle">
                              <dgm:param type="ctrShpMap" val="fNode"/>
                              <dgm:param type="stAng" val="0"/>
                              <dgm:param type="spanAng" val="360"/>
                            </dgm:alg>
                          </dgm:else>
                        </dgm:choose>
                      </dgm:if>
                      <dgm:if name="Name94" axis="ch" ptType="node" func="cnt" op="gte" val="7">
                        <dgm:choose name="Name95">
                          <dgm:if name="Name96" axis="ch ch" ptType="node node" st="1 1" cnt="1 0" func="cnt" op="equ" val="1">
                            <dgm:alg type="cycle">
                              <dgm:param type="ctrShpMap" val="fNode"/>
                              <dgm:param type="stAng" val="0"/>
                            </dgm:alg>
                          </dgm:if>
                          <dgm:if name="Name97" axis="ch ch" ptType="node node" st="1 1" cnt="1 0" func="cnt" op="equ" val="2">
                            <dgm:alg type="cycle">
                              <dgm:param type="ctrShpMap" val="fNode"/>
                              <dgm:param type="stAng" val="315"/>
                              <dgm:param type="spanAng" val="90"/>
                            </dgm:alg>
                          </dgm:if>
                          <dgm:else name="Name98">
                            <dgm:alg type="cycle">
                              <dgm:param type="ctrShpMap" val="fNode"/>
                              <dgm:param type="stAng" val="0"/>
                              <dgm:param type="spanAng" val="360"/>
                            </dgm:alg>
                          </dgm:else>
                        </dgm:choose>
                      </dgm:if>
                      <dgm:else name="Name99"/>
                    </dgm:choose>
                  </dgm:if>
                  <dgm:else name="Name100">
                    <dgm:choose name="Name101">
                      <dgm:if name="Name102" axis="ch" ptType="node" func="cnt" op="equ" val="1">
                        <dgm:choose name="Name103">
                          <dgm:if name="Name104" axis="ch ch" ptType="node node" st="1 1" cnt="1 0" func="cnt" op="equ" val="1">
                            <dgm:alg type="cycle">
                              <dgm:param type="ctrShpMap" val="fNode"/>
                              <dgm:param type="stAng" val="270"/>
                            </dgm:alg>
                          </dgm:if>
                          <dgm:if name="Name105" axis="ch ch" ptType="node node" st="1 1" cnt="1 0" func="cnt" op="equ" val="2">
                            <dgm:alg type="cycle">
                              <dgm:param type="ctrShpMap" val="fNode"/>
                              <dgm:param type="stAng" val="315"/>
                              <dgm:param type="spanAng" val="-90"/>
                            </dgm:alg>
                          </dgm:if>
                          <dgm:else name="Name106">
                            <dgm:alg type="cycle">
                              <dgm:param type="ctrShpMap" val="fNode"/>
                              <dgm:param type="stAng" val="0"/>
                              <dgm:param type="spanAng" val="-180"/>
                            </dgm:alg>
                          </dgm:else>
                        </dgm:choose>
                      </dgm:if>
                      <dgm:if name="Name107" axis="ch" ptType="node" func="cnt" op="equ" val="2">
                        <dgm:choose name="Name108">
                          <dgm:if name="Name109" axis="ch ch" ptType="node node" st="1 1" cnt="1 0" func="cnt" op="equ" val="1">
                            <dgm:alg type="cycle">
                              <dgm:param type="ctrShpMap" val="fNode"/>
                              <dgm:param type="stAng" val="0"/>
                            </dgm:alg>
                          </dgm:if>
                          <dgm:if name="Name110" axis="ch ch" ptType="node node" st="1 1" cnt="1 0" func="cnt" op="equ" val="2">
                            <dgm:alg type="cycle">
                              <dgm:param type="ctrShpMap" val="fNode"/>
                              <dgm:param type="stAng" val="45"/>
                              <dgm:param type="spanAng" val="-90"/>
                            </dgm:alg>
                          </dgm:if>
                          <dgm:else name="Name111">
                            <dgm:alg type="cycle">
                              <dgm:param type="ctrShpMap" val="fNode"/>
                              <dgm:param type="stAng" val="90"/>
                              <dgm:param type="spanAng" val="-180"/>
                            </dgm:alg>
                          </dgm:else>
                        </dgm:choose>
                      </dgm:if>
                      <dgm:if name="Name112" axis="ch" ptType="node" func="cnt" op="equ" val="3">
                        <dgm:choose name="Name113">
                          <dgm:if name="Name114" axis="ch ch" ptType="node node" st="1 1" cnt="1 0" func="cnt" op="equ" val="1">
                            <dgm:alg type="cycle">
                              <dgm:param type="ctrShpMap" val="fNode"/>
                              <dgm:param type="stAng" val="0"/>
                            </dgm:alg>
                          </dgm:if>
                          <dgm:if name="Name115" axis="ch ch" ptType="node node" st="1 1" cnt="1 0" func="cnt" op="equ" val="2">
                            <dgm:alg type="cycle">
                              <dgm:param type="ctrShpMap" val="fNode"/>
                              <dgm:param type="stAng" val="45"/>
                              <dgm:param type="spanAng" val="-90"/>
                            </dgm:alg>
                          </dgm:if>
                          <dgm:else name="Name116">
                            <dgm:alg type="cycle">
                              <dgm:param type="ctrShpMap" val="fNode"/>
                              <dgm:param type="stAng" val="90"/>
                              <dgm:param type="spanAng" val="-180"/>
                            </dgm:alg>
                          </dgm:else>
                        </dgm:choose>
                      </dgm:if>
                      <dgm:if name="Name117" axis="ch" ptType="node" func="cnt" op="equ" val="4">
                        <dgm:choose name="Name118">
                          <dgm:if name="Name119" axis="ch ch" ptType="node node" st="1 1" cnt="1 0" func="cnt" op="equ" val="1">
                            <dgm:alg type="cycle">
                              <dgm:param type="ctrShpMap" val="fNode"/>
                              <dgm:param type="stAng" val="0"/>
                            </dgm:alg>
                          </dgm:if>
                          <dgm:if name="Name120" axis="ch ch" ptType="node node" st="1 1" cnt="1 0" func="cnt" op="equ" val="2">
                            <dgm:alg type="cycle">
                              <dgm:param type="ctrShpMap" val="fNode"/>
                              <dgm:param type="stAng" val="45"/>
                              <dgm:param type="spanAng" val="-90"/>
                            </dgm:alg>
                          </dgm:if>
                          <dgm:else name="Name121">
                            <dgm:alg type="cycle">
                              <dgm:param type="ctrShpMap" val="fNode"/>
                              <dgm:param type="stAng" val="67.5"/>
                              <dgm:param type="spanAng" val="-135"/>
                            </dgm:alg>
                          </dgm:else>
                        </dgm:choose>
                      </dgm:if>
                      <dgm:if name="Name122" axis="ch" ptType="node" func="cnt" op="equ" val="5">
                        <dgm:choose name="Name123">
                          <dgm:if name="Name124" axis="ch ch" ptType="node node" st="1 1" cnt="1 0" func="cnt" op="equ" val="1">
                            <dgm:alg type="cycle">
                              <dgm:param type="ctrShpMap" val="fNode"/>
                              <dgm:param type="stAng" val="0"/>
                            </dgm:alg>
                          </dgm:if>
                          <dgm:if name="Name125" axis="ch ch" ptType="node node" st="1 1" cnt="1 0" func="cnt" op="equ" val="2">
                            <dgm:alg type="cycle">
                              <dgm:param type="ctrShpMap" val="fNode"/>
                              <dgm:param type="stAng" val="45"/>
                              <dgm:param type="spanAng" val="-90"/>
                            </dgm:alg>
                          </dgm:if>
                          <dgm:else name="Name126">
                            <dgm:alg type="cycle">
                              <dgm:param type="ctrShpMap" val="fNode"/>
                              <dgm:param type="stAng" val="0"/>
                              <dgm:param type="spanAng" val="-360"/>
                            </dgm:alg>
                          </dgm:else>
                        </dgm:choose>
                      </dgm:if>
                      <dgm:if name="Name127" axis="ch" ptType="node" func="cnt" op="equ" val="6">
                        <dgm:choose name="Name128">
                          <dgm:if name="Name129" axis="ch ch" ptType="node node" st="1 1" cnt="1 0" func="cnt" op="equ" val="1">
                            <dgm:alg type="cycle">
                              <dgm:param type="ctrShpMap" val="fNode"/>
                              <dgm:param type="stAng" val="0"/>
                            </dgm:alg>
                          </dgm:if>
                          <dgm:if name="Name130" axis="ch ch" ptType="node node" st="1 1" cnt="1 0" func="cnt" op="equ" val="2">
                            <dgm:alg type="cycle">
                              <dgm:param type="ctrShpMap" val="fNode"/>
                              <dgm:param type="stAng" val="45"/>
                              <dgm:param type="spanAng" val="-90"/>
                            </dgm:alg>
                          </dgm:if>
                          <dgm:else name="Name131">
                            <dgm:alg type="cycle">
                              <dgm:param type="ctrShpMap" val="fNode"/>
                              <dgm:param type="stAng" val="0"/>
                              <dgm:param type="spanAng" val="-360"/>
                            </dgm:alg>
                          </dgm:else>
                        </dgm:choose>
                      </dgm:if>
                      <dgm:if name="Name132" axis="ch" ptType="node" func="cnt" op="gte" val="7">
                        <dgm:choose name="Name133">
                          <dgm:if name="Name134" axis="ch ch" ptType="node node" st="1 1" cnt="1 0" func="cnt" op="equ" val="1">
                            <dgm:alg type="cycle">
                              <dgm:param type="ctrShpMap" val="fNode"/>
                              <dgm:param type="stAng" val="0"/>
                            </dgm:alg>
                          </dgm:if>
                          <dgm:if name="Name135" axis="ch ch" ptType="node node" st="1 1" cnt="1 0" func="cnt" op="equ" val="2">
                            <dgm:alg type="cycle">
                              <dgm:param type="ctrShpMap" val="fNode"/>
                              <dgm:param type="stAng" val="45"/>
                              <dgm:param type="spanAng" val="-90"/>
                            </dgm:alg>
                          </dgm:if>
                          <dgm:else name="Name136">
                            <dgm:alg type="cycle">
                              <dgm:param type="ctrShpMap" val="fNode"/>
                              <dgm:param type="stAng" val="0"/>
                              <dgm:param type="spanAng" val="-360"/>
                            </dgm:alg>
                          </dgm:else>
                        </dgm:choose>
                      </dgm:if>
                      <dgm:else name="Name137"/>
                    </dgm:choose>
                  </dgm:else>
                </dgm:choose>
                <dgm:shape xmlns:r="http://schemas.openxmlformats.org/officeDocument/2006/relationships" r:blip="">
                  <dgm:adjLst/>
                </dgm:shape>
                <dgm:presOf/>
                <dgm:constrLst>
                  <dgm:constr type="sp" refType="w" fact="0.1"/>
                  <dgm:constr type="sibSp" refType="w" fact="0.1"/>
                </dgm:constrLst>
                <dgm:forEach name="Name138" axis="ch" ptType="node" cnt="1">
                  <dgm:layoutNode name="childCenter1"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139" axis="ch">
                    <dgm:forEach name="Name140" axis="self" ptType="parTrans">
                      <dgm:layoutNode name="Name141">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142" axis="self" ptType="node">
                      <dgm:layoutNode name="text1"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143" axis="ch" ptType="parTrans" cnt="1">
                <dgm:layoutNode name="Name144">
                  <dgm:alg type="conn">
                    <dgm:param type="dim" val="1D"/>
                    <dgm:param type="begPts" val="auto"/>
                    <dgm:param type="endPts" val="auto"/>
                    <dgm:param type="endSty" val="noArr"/>
                    <dgm:param type="srcNode" val="textCenter"/>
                    <dgm:param type="dstNode" val="childCenter1"/>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145"/>
          </dgm:choose>
          <dgm:choose name="Name146">
            <dgm:if name="Name147" axis="ch" ptType="node" func="cnt" op="gte" val="2">
              <dgm:layoutNode name="cycle_2">
                <dgm:choose name="Name148">
                  <dgm:if name="Name149" func="var" arg="dir" op="equ" val="norm">
                    <dgm:choose name="Name150">
                      <dgm:if name="Name151" axis="ch" ptType="node" func="cnt" op="equ" val="2">
                        <dgm:choose name="Name152">
                          <dgm:if name="Name153" axis="ch ch" ptType="node node" st="2 1" cnt="1 0" func="cnt" op="equ" val="1">
                            <dgm:alg type="cycle">
                              <dgm:param type="ctrShpMap" val="fNode"/>
                              <dgm:param type="stAng" val="180"/>
                            </dgm:alg>
                          </dgm:if>
                          <dgm:if name="Name154" axis="ch ch" ptType="node node" st="2 1" cnt="1 0" func="cnt" op="equ" val="2">
                            <dgm:alg type="cycle">
                              <dgm:param type="ctrShpMap" val="fNode"/>
                              <dgm:param type="stAng" val="135"/>
                              <dgm:param type="spanAng" val="90"/>
                            </dgm:alg>
                          </dgm:if>
                          <dgm:else name="Name155">
                            <dgm:alg type="cycle">
                              <dgm:param type="ctrShpMap" val="fNode"/>
                              <dgm:param type="stAng" val="90"/>
                              <dgm:param type="spanAng" val="180"/>
                            </dgm:alg>
                          </dgm:else>
                        </dgm:choose>
                      </dgm:if>
                      <dgm:if name="Name156" axis="ch" ptType="node" func="cnt" op="equ" val="3">
                        <dgm:choose name="Name157">
                          <dgm:if name="Name158" axis="ch ch" ptType="node node" st="2 1" cnt="1 0" func="cnt" op="equ" val="1">
                            <dgm:alg type="cycle">
                              <dgm:param type="ctrShpMap" val="fNode"/>
                              <dgm:param type="stAng" val="120"/>
                              <dgm:param type="horzAlign" val="r"/>
                              <dgm:param type="vertAlign" val="b"/>
                            </dgm:alg>
                          </dgm:if>
                          <dgm:if name="Name159" axis="ch ch" ptType="node node" st="2 1" cnt="1 0" func="cnt" op="equ" val="2">
                            <dgm:alg type="cycle">
                              <dgm:param type="ctrShpMap" val="fNode"/>
                              <dgm:param type="stAng" val="75"/>
                              <dgm:param type="spanAng" val="90"/>
                              <dgm:param type="horzAlign" val="r"/>
                              <dgm:param type="vertAlign" val="b"/>
                            </dgm:alg>
                          </dgm:if>
                          <dgm:else name="Name160">
                            <dgm:alg type="cycle">
                              <dgm:param type="ctrShpMap" val="fNode"/>
                              <dgm:param type="stAng" val="30"/>
                              <dgm:param type="spanAng" val="180"/>
                            </dgm:alg>
                          </dgm:else>
                        </dgm:choose>
                      </dgm:if>
                      <dgm:if name="Name161" axis="ch" ptType="node" func="cnt" op="equ" val="4">
                        <dgm:choose name="Name162">
                          <dgm:if name="Name163" axis="ch ch" ptType="node node" st="2 1" cnt="1 0" func="cnt" op="equ" val="1">
                            <dgm:alg type="cycle">
                              <dgm:param type="ctrShpMap" val="fNode"/>
                              <dgm:param type="stAng" val="90"/>
                            </dgm:alg>
                          </dgm:if>
                          <dgm:if name="Name164" axis="ch ch" ptType="node node" st="2 1" cnt="1 0" func="cnt" op="equ" val="2">
                            <dgm:alg type="cycle">
                              <dgm:param type="ctrShpMap" val="fNode"/>
                              <dgm:param type="stAng" val="45"/>
                              <dgm:param type="spanAng" val="90"/>
                            </dgm:alg>
                          </dgm:if>
                          <dgm:else name="Name165">
                            <dgm:alg type="cycle">
                              <dgm:param type="ctrShpMap" val="fNode"/>
                              <dgm:param type="stAng" val="22.5"/>
                              <dgm:param type="spanAng" val="135"/>
                            </dgm:alg>
                          </dgm:else>
                        </dgm:choose>
                      </dgm:if>
                      <dgm:if name="Name166" axis="ch" ptType="node" func="cnt" op="equ" val="5">
                        <dgm:choose name="Name167">
                          <dgm:if name="Name168" axis="ch ch" ptType="node node" st="2 1" cnt="1 0" func="cnt" op="equ" val="1">
                            <dgm:alg type="cycle">
                              <dgm:param type="ctrShpMap" val="fNode"/>
                              <dgm:param type="stAng" val="72"/>
                            </dgm:alg>
                          </dgm:if>
                          <dgm:if name="Name169" axis="ch ch" ptType="node node" st="2 1" cnt="1 0" func="cnt" op="equ" val="2">
                            <dgm:alg type="cycle">
                              <dgm:param type="ctrShpMap" val="fNode"/>
                              <dgm:param type="stAng" val="27"/>
                              <dgm:param type="spanAng" val="90"/>
                            </dgm:alg>
                          </dgm:if>
                          <dgm:else name="Name170">
                            <dgm:alg type="cycle">
                              <dgm:param type="ctrShpMap" val="fNode"/>
                              <dgm:param type="stAng" val="0"/>
                              <dgm:param type="spanAng" val="360"/>
                            </dgm:alg>
                          </dgm:else>
                        </dgm:choose>
                      </dgm:if>
                      <dgm:if name="Name171" axis="ch" ptType="node" func="cnt" op="equ" val="6">
                        <dgm:choose name="Name172">
                          <dgm:if name="Name173" axis="ch ch" ptType="node node" st="2 1" cnt="1 0" func="cnt" op="equ" val="1">
                            <dgm:alg type="cycle">
                              <dgm:param type="ctrShpMap" val="fNode"/>
                              <dgm:param type="stAng" val="60"/>
                            </dgm:alg>
                          </dgm:if>
                          <dgm:if name="Name174" axis="ch ch" ptType="node node" st="2 1" cnt="1 0" func="cnt" op="equ" val="2">
                            <dgm:alg type="cycle">
                              <dgm:param type="ctrShpMap" val="fNode"/>
                              <dgm:param type="stAng" val="15"/>
                              <dgm:param type="spanAng" val="90"/>
                            </dgm:alg>
                          </dgm:if>
                          <dgm:else name="Name175">
                            <dgm:alg type="cycle">
                              <dgm:param type="ctrShpMap" val="fNode"/>
                              <dgm:param type="stAng" val="0"/>
                              <dgm:param type="spanAng" val="360"/>
                            </dgm:alg>
                          </dgm:else>
                        </dgm:choose>
                      </dgm:if>
                      <dgm:if name="Name176" axis="ch" ptType="node" func="cnt" op="gte" val="7">
                        <dgm:choose name="Name177">
                          <dgm:if name="Name178" axis="ch ch" ptType="node node" st="2 1" cnt="1 0" func="cnt" op="equ" val="1">
                            <dgm:alg type="cycle">
                              <dgm:param type="ctrShpMap" val="fNode"/>
                              <dgm:param type="stAng" val="51"/>
                            </dgm:alg>
                          </dgm:if>
                          <dgm:if name="Name179" axis="ch ch" ptType="node node" st="2 1" cnt="1 0" func="cnt" op="equ" val="2">
                            <dgm:alg type="cycle">
                              <dgm:param type="ctrShpMap" val="fNode"/>
                              <dgm:param type="stAng" val="6"/>
                              <dgm:param type="spanAng" val="90"/>
                            </dgm:alg>
                          </dgm:if>
                          <dgm:else name="Name180">
                            <dgm:alg type="cycle">
                              <dgm:param type="ctrShpMap" val="fNode"/>
                              <dgm:param type="stAng" val="0"/>
                              <dgm:param type="spanAng" val="360"/>
                            </dgm:alg>
                          </dgm:else>
                        </dgm:choose>
                      </dgm:if>
                      <dgm:else name="Name181"/>
                    </dgm:choose>
                  </dgm:if>
                  <dgm:else name="Name182">
                    <dgm:choose name="Name183">
                      <dgm:if name="Name184" axis="ch" ptType="node" func="cnt" op="equ" val="2">
                        <dgm:choose name="Name185">
                          <dgm:if name="Name186" axis="ch ch" ptType="node node" st="2 1" cnt="1 0" func="cnt" op="equ" val="1">
                            <dgm:alg type="cycle">
                              <dgm:param type="ctrShpMap" val="fNode"/>
                              <dgm:param type="stAng" val="180"/>
                            </dgm:alg>
                          </dgm:if>
                          <dgm:if name="Name187" axis="ch ch" ptType="node node" st="2 1" cnt="1 0" func="cnt" op="equ" val="2">
                            <dgm:alg type="cycle">
                              <dgm:param type="ctrShpMap" val="fNode"/>
                              <dgm:param type="stAng" val="225"/>
                              <dgm:param type="spanAng" val="-90"/>
                            </dgm:alg>
                          </dgm:if>
                          <dgm:else name="Name188">
                            <dgm:alg type="cycle">
                              <dgm:param type="ctrShpMap" val="fNode"/>
                              <dgm:param type="stAng" val="270"/>
                              <dgm:param type="spanAng" val="-180"/>
                            </dgm:alg>
                          </dgm:else>
                        </dgm:choose>
                      </dgm:if>
                      <dgm:if name="Name189" axis="ch" ptType="node" func="cnt" op="equ" val="3">
                        <dgm:choose name="Name190">
                          <dgm:if name="Name191" axis="ch ch" ptType="node node" st="2 1" cnt="1 0" func="cnt" op="equ" val="1">
                            <dgm:alg type="cycle">
                              <dgm:param type="ctrShpMap" val="fNode"/>
                              <dgm:param type="stAng" val="240"/>
                              <dgm:param type="horzAlign" val="l"/>
                              <dgm:param type="vertAlign" val="b"/>
                            </dgm:alg>
                          </dgm:if>
                          <dgm:if name="Name192" axis="ch ch" ptType="node node" st="2 1" cnt="1 0" func="cnt" op="equ" val="2">
                            <dgm:alg type="cycle">
                              <dgm:param type="ctrShpMap" val="fNode"/>
                              <dgm:param type="stAng" val="285"/>
                              <dgm:param type="spanAng" val="-90"/>
                              <dgm:param type="horzAlign" val="l"/>
                              <dgm:param type="vertAlign" val="b"/>
                            </dgm:alg>
                          </dgm:if>
                          <dgm:else name="Name193">
                            <dgm:alg type="cycle">
                              <dgm:param type="ctrShpMap" val="fNode"/>
                              <dgm:param type="stAng" val="330"/>
                              <dgm:param type="spanAng" val="-180"/>
                            </dgm:alg>
                          </dgm:else>
                        </dgm:choose>
                      </dgm:if>
                      <dgm:if name="Name194" axis="ch" ptType="node" func="cnt" op="equ" val="4">
                        <dgm:choose name="Name195">
                          <dgm:if name="Name196" axis="ch ch" ptType="node node" st="2 1" cnt="1 0" func="cnt" op="equ" val="1">
                            <dgm:alg type="cycle">
                              <dgm:param type="ctrShpMap" val="fNode"/>
                              <dgm:param type="stAng" val="270"/>
                            </dgm:alg>
                          </dgm:if>
                          <dgm:if name="Name197" axis="ch ch" ptType="node node" st="2 1" cnt="1 0" func="cnt" op="equ" val="2">
                            <dgm:alg type="cycle">
                              <dgm:param type="ctrShpMap" val="fNode"/>
                              <dgm:param type="stAng" val="315"/>
                              <dgm:param type="spanAng" val="-90"/>
                            </dgm:alg>
                          </dgm:if>
                          <dgm:else name="Name198">
                            <dgm:alg type="cycle">
                              <dgm:param type="ctrShpMap" val="fNode"/>
                              <dgm:param type="stAng" val="337.5"/>
                              <dgm:param type="spanAng" val="-135"/>
                            </dgm:alg>
                          </dgm:else>
                        </dgm:choose>
                      </dgm:if>
                      <dgm:if name="Name199" axis="ch" ptType="node" func="cnt" op="equ" val="5">
                        <dgm:choose name="Name200">
                          <dgm:if name="Name201" axis="ch ch" ptType="node node" st="2 1" cnt="1 0" func="cnt" op="equ" val="1">
                            <dgm:alg type="cycle">
                              <dgm:param type="ctrShpMap" val="fNode"/>
                              <dgm:param type="stAng" val="288"/>
                            </dgm:alg>
                          </dgm:if>
                          <dgm:if name="Name202" axis="ch ch" ptType="node node" st="2 1" cnt="1 0" func="cnt" op="equ" val="2">
                            <dgm:alg type="cycle">
                              <dgm:param type="ctrShpMap" val="fNode"/>
                              <dgm:param type="stAng" val="333"/>
                              <dgm:param type="spanAng" val="-90"/>
                            </dgm:alg>
                          </dgm:if>
                          <dgm:else name="Name203">
                            <dgm:alg type="cycle">
                              <dgm:param type="ctrShpMap" val="fNode"/>
                              <dgm:param type="stAng" val="0"/>
                              <dgm:param type="spanAng" val="-360"/>
                            </dgm:alg>
                          </dgm:else>
                        </dgm:choose>
                      </dgm:if>
                      <dgm:if name="Name204" axis="ch" ptType="node" func="cnt" op="equ" val="6">
                        <dgm:choose name="Name205">
                          <dgm:if name="Name206" axis="ch ch" ptType="node node" st="2 1" cnt="1 0" func="cnt" op="equ" val="1">
                            <dgm:alg type="cycle">
                              <dgm:param type="ctrShpMap" val="fNode"/>
                              <dgm:param type="stAng" val="300"/>
                            </dgm:alg>
                          </dgm:if>
                          <dgm:if name="Name207" axis="ch ch" ptType="node node" st="2 1" cnt="1 0" func="cnt" op="equ" val="2">
                            <dgm:alg type="cycle">
                              <dgm:param type="ctrShpMap" val="fNode"/>
                              <dgm:param type="stAng" val="345"/>
                              <dgm:param type="spanAng" val="-90"/>
                            </dgm:alg>
                          </dgm:if>
                          <dgm:else name="Name208">
                            <dgm:alg type="cycle">
                              <dgm:param type="ctrShpMap" val="fNode"/>
                              <dgm:param type="stAng" val="0"/>
                              <dgm:param type="spanAng" val="-360"/>
                            </dgm:alg>
                          </dgm:else>
                        </dgm:choose>
                      </dgm:if>
                      <dgm:if name="Name209" axis="ch" ptType="node" func="cnt" op="gte" val="7">
                        <dgm:choose name="Name210">
                          <dgm:if name="Name211" axis="ch ch" ptType="node node" st="2 1" cnt="1 0" func="cnt" op="equ" val="1">
                            <dgm:alg type="cycle">
                              <dgm:param type="ctrShpMap" val="fNode"/>
                              <dgm:param type="stAng" val="308"/>
                            </dgm:alg>
                          </dgm:if>
                          <dgm:if name="Name212" axis="ch ch" ptType="node node" st="2 1" cnt="1 0" func="cnt" op="equ" val="2">
                            <dgm:alg type="cycle">
                              <dgm:param type="ctrShpMap" val="fNode"/>
                              <dgm:param type="stAng" val="353"/>
                              <dgm:param type="spanAng" val="-90"/>
                            </dgm:alg>
                          </dgm:if>
                          <dgm:else name="Name213">
                            <dgm:alg type="cycle">
                              <dgm:param type="ctrShpMap" val="fNode"/>
                              <dgm:param type="stAng" val="0"/>
                              <dgm:param type="spanAng" val="-360"/>
                            </dgm:alg>
                          </dgm:else>
                        </dgm:choose>
                      </dgm:if>
                      <dgm:else name="Name214"/>
                    </dgm:choose>
                  </dgm:else>
                </dgm:choose>
                <dgm:shape xmlns:r="http://schemas.openxmlformats.org/officeDocument/2006/relationships" r:blip="">
                  <dgm:adjLst/>
                </dgm:shape>
                <dgm:presOf/>
                <dgm:constrLst>
                  <dgm:constr type="sp" refType="w" fact="0.1"/>
                  <dgm:constr type="sibSp" refType="w" fact="0.1"/>
                </dgm:constrLst>
                <dgm:forEach name="Name215" axis="ch" ptType="node" st="2" cnt="1">
                  <dgm:layoutNode name="childCenter2"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16" axis="ch">
                    <dgm:forEach name="Name217" axis="self" ptType="parTrans">
                      <dgm:layoutNode name="Name218">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19" axis="self" ptType="node">
                      <dgm:layoutNode name="text2"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20" axis="ch" ptType="parTrans" st="2" cnt="1">
                <dgm:layoutNode name="Name221">
                  <dgm:alg type="conn">
                    <dgm:param type="dim" val="1D"/>
                    <dgm:param type="begPts" val="auto"/>
                    <dgm:param type="endPts" val="auto"/>
                    <dgm:param type="endSty" val="noArr"/>
                    <dgm:param type="srcNode" val="textCenter"/>
                    <dgm:param type="dstNode" val="childCenter2"/>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22"/>
          </dgm:choose>
          <dgm:choose name="Name223">
            <dgm:if name="Name224" axis="ch" ptType="node" func="cnt" op="gte" val="3">
              <dgm:layoutNode name="cycle_3">
                <dgm:choose name="Name225">
                  <dgm:if name="Name226" func="var" arg="dir" op="equ" val="norm">
                    <dgm:choose name="Name227">
                      <dgm:if name="Name228" axis="ch" ptType="node" func="cnt" op="equ" val="3">
                        <dgm:choose name="Name229">
                          <dgm:if name="Name230" axis="ch ch" ptType="node node" st="3 1" cnt="1 0" func="cnt" op="equ" val="1">
                            <dgm:alg type="cycle">
                              <dgm:param type="ctrShpMap" val="fNode"/>
                              <dgm:param type="stAng" val="240"/>
                              <dgm:param type="horzAlign" val="l"/>
                              <dgm:param type="vertAlign" val="b"/>
                            </dgm:alg>
                          </dgm:if>
                          <dgm:if name="Name231" axis="ch ch" ptType="node node" st="3 1" cnt="1 0" func="cnt" op="equ" val="2">
                            <dgm:alg type="cycle">
                              <dgm:param type="ctrShpMap" val="fNode"/>
                              <dgm:param type="stAng" val="195"/>
                              <dgm:param type="spanAng" val="90"/>
                              <dgm:param type="horzAlign" val="l"/>
                              <dgm:param type="vertAlign" val="b"/>
                            </dgm:alg>
                          </dgm:if>
                          <dgm:else name="Name232">
                            <dgm:alg type="cycle">
                              <dgm:param type="ctrShpMap" val="fNode"/>
                              <dgm:param type="stAng" val="150"/>
                              <dgm:param type="spanAng" val="180"/>
                            </dgm:alg>
                          </dgm:else>
                        </dgm:choose>
                      </dgm:if>
                      <dgm:if name="Name233" axis="ch" ptType="node" func="cnt" op="equ" val="4">
                        <dgm:choose name="Name234">
                          <dgm:if name="Name235" axis="ch ch" ptType="node node" st="3 1" cnt="1 0" func="cnt" op="equ" val="1">
                            <dgm:alg type="cycle">
                              <dgm:param type="ctrShpMap" val="fNode"/>
                              <dgm:param type="stAng" val="180"/>
                            </dgm:alg>
                          </dgm:if>
                          <dgm:if name="Name236" axis="ch ch" ptType="node node" st="3 1" cnt="1 0" func="cnt" op="equ" val="2">
                            <dgm:alg type="cycle">
                              <dgm:param type="ctrShpMap" val="fNode"/>
                              <dgm:param type="stAng" val="135"/>
                              <dgm:param type="spanAng" val="90"/>
                            </dgm:alg>
                          </dgm:if>
                          <dgm:else name="Name237">
                            <dgm:alg type="cycle">
                              <dgm:param type="ctrShpMap" val="fNode"/>
                              <dgm:param type="stAng" val="112.5"/>
                              <dgm:param type="spanAng" val="135"/>
                            </dgm:alg>
                          </dgm:else>
                        </dgm:choose>
                      </dgm:if>
                      <dgm:if name="Name238" axis="ch" ptType="node" func="cnt" op="equ" val="5">
                        <dgm:choose name="Name239">
                          <dgm:if name="Name240" axis="ch ch" ptType="node node" st="3 1" cnt="1 0" func="cnt" op="equ" val="1">
                            <dgm:alg type="cycle">
                              <dgm:param type="ctrShpMap" val="fNode"/>
                              <dgm:param type="stAng" val="144"/>
                            </dgm:alg>
                          </dgm:if>
                          <dgm:if name="Name241" axis="ch ch" ptType="node node" st="3 1" cnt="1 0" func="cnt" op="equ" val="2">
                            <dgm:alg type="cycle">
                              <dgm:param type="ctrShpMap" val="fNode"/>
                              <dgm:param type="stAng" val="99"/>
                              <dgm:param type="spanAng" val="90"/>
                            </dgm:alg>
                          </dgm:if>
                          <dgm:else name="Name242">
                            <dgm:alg type="cycle">
                              <dgm:param type="ctrShpMap" val="fNode"/>
                              <dgm:param type="stAng" val="0"/>
                              <dgm:param type="spanAng" val="360"/>
                            </dgm:alg>
                          </dgm:else>
                        </dgm:choose>
                      </dgm:if>
                      <dgm:if name="Name243" axis="ch" ptType="node" func="cnt" op="equ" val="6">
                        <dgm:choose name="Name244">
                          <dgm:if name="Name245" axis="ch ch" ptType="node node" st="3 1" cnt="1 0" func="cnt" op="equ" val="1">
                            <dgm:alg type="cycle">
                              <dgm:param type="ctrShpMap" val="fNode"/>
                              <dgm:param type="stAng" val="120"/>
                            </dgm:alg>
                          </dgm:if>
                          <dgm:if name="Name246" axis="ch ch" ptType="node node" st="3 1" cnt="1 0" func="cnt" op="equ" val="2">
                            <dgm:alg type="cycle">
                              <dgm:param type="ctrShpMap" val="fNode"/>
                              <dgm:param type="stAng" val="75"/>
                              <dgm:param type="spanAng" val="90"/>
                            </dgm:alg>
                          </dgm:if>
                          <dgm:else name="Name247">
                            <dgm:alg type="cycle">
                              <dgm:param type="ctrShpMap" val="fNode"/>
                              <dgm:param type="stAng" val="0"/>
                              <dgm:param type="spanAng" val="360"/>
                            </dgm:alg>
                          </dgm:else>
                        </dgm:choose>
                      </dgm:if>
                      <dgm:if name="Name248" axis="ch" ptType="node" func="cnt" op="gte" val="7">
                        <dgm:choose name="Name249">
                          <dgm:if name="Name250" axis="ch ch" ptType="node node" st="3 1" cnt="1 0" func="cnt" op="equ" val="1">
                            <dgm:alg type="cycle">
                              <dgm:param type="ctrShpMap" val="fNode"/>
                              <dgm:param type="stAng" val="102"/>
                            </dgm:alg>
                          </dgm:if>
                          <dgm:if name="Name251" axis="ch ch" ptType="node node" st="3 1" cnt="1 0" func="cnt" op="equ" val="2">
                            <dgm:alg type="cycle">
                              <dgm:param type="ctrShpMap" val="fNode"/>
                              <dgm:param type="stAng" val="57"/>
                              <dgm:param type="spanAng" val="90"/>
                            </dgm:alg>
                          </dgm:if>
                          <dgm:else name="Name252">
                            <dgm:alg type="cycle">
                              <dgm:param type="ctrShpMap" val="fNode"/>
                              <dgm:param type="stAng" val="0"/>
                              <dgm:param type="spanAng" val="360"/>
                            </dgm:alg>
                          </dgm:else>
                        </dgm:choose>
                      </dgm:if>
                      <dgm:else name="Name253"/>
                    </dgm:choose>
                  </dgm:if>
                  <dgm:else name="Name254">
                    <dgm:choose name="Name255">
                      <dgm:if name="Name256" axis="ch" ptType="node" func="cnt" op="equ" val="3">
                        <dgm:choose name="Name257">
                          <dgm:if name="Name258" axis="ch ch" ptType="node node" st="3 1" cnt="1 0" func="cnt" op="equ" val="1">
                            <dgm:alg type="cycle">
                              <dgm:param type="ctrShpMap" val="fNode"/>
                              <dgm:param type="stAng" val="120"/>
                              <dgm:param type="horzAlign" val="r"/>
                              <dgm:param type="vertAlign" val="b"/>
                            </dgm:alg>
                          </dgm:if>
                          <dgm:if name="Name259" axis="ch ch" ptType="node node" st="3 1" cnt="1 0" func="cnt" op="equ" val="2">
                            <dgm:alg type="cycle">
                              <dgm:param type="ctrShpMap" val="fNode"/>
                              <dgm:param type="stAng" val="165"/>
                              <dgm:param type="spanAng" val="-90"/>
                              <dgm:param type="horzAlign" val="r"/>
                              <dgm:param type="vertAlign" val="b"/>
                            </dgm:alg>
                          </dgm:if>
                          <dgm:else name="Name260">
                            <dgm:alg type="cycle">
                              <dgm:param type="ctrShpMap" val="fNode"/>
                              <dgm:param type="stAng" val="210"/>
                              <dgm:param type="spanAng" val="-180"/>
                            </dgm:alg>
                          </dgm:else>
                        </dgm:choose>
                      </dgm:if>
                      <dgm:if name="Name261" axis="ch" ptType="node" func="cnt" op="equ" val="4">
                        <dgm:choose name="Name262">
                          <dgm:if name="Name263" axis="ch ch" ptType="node node" st="3 1" cnt="1 0" func="cnt" op="equ" val="1">
                            <dgm:alg type="cycle">
                              <dgm:param type="ctrShpMap" val="fNode"/>
                              <dgm:param type="stAng" val="180"/>
                            </dgm:alg>
                          </dgm:if>
                          <dgm:if name="Name264" axis="ch ch" ptType="node node" st="3 1" cnt="1 0" func="cnt" op="equ" val="2">
                            <dgm:alg type="cycle">
                              <dgm:param type="ctrShpMap" val="fNode"/>
                              <dgm:param type="stAng" val="225"/>
                              <dgm:param type="spanAng" val="-90"/>
                            </dgm:alg>
                          </dgm:if>
                          <dgm:else name="Name265">
                            <dgm:alg type="cycle">
                              <dgm:param type="ctrShpMap" val="fNode"/>
                              <dgm:param type="stAng" val="247.5"/>
                              <dgm:param type="spanAng" val="-135"/>
                            </dgm:alg>
                          </dgm:else>
                        </dgm:choose>
                      </dgm:if>
                      <dgm:if name="Name266" axis="ch" ptType="node" func="cnt" op="equ" val="5">
                        <dgm:choose name="Name267">
                          <dgm:if name="Name268" axis="ch ch" ptType="node node" st="3 1" cnt="1 0" func="cnt" op="equ" val="1">
                            <dgm:alg type="cycle">
                              <dgm:param type="ctrShpMap" val="fNode"/>
                              <dgm:param type="stAng" val="216"/>
                            </dgm:alg>
                          </dgm:if>
                          <dgm:if name="Name269" axis="ch ch" ptType="node node" st="3 1" cnt="1 0" func="cnt" op="equ" val="2">
                            <dgm:alg type="cycle">
                              <dgm:param type="ctrShpMap" val="fNode"/>
                              <dgm:param type="stAng" val="261"/>
                              <dgm:param type="spanAng" val="-90"/>
                            </dgm:alg>
                          </dgm:if>
                          <dgm:else name="Name270">
                            <dgm:alg type="cycle">
                              <dgm:param type="ctrShpMap" val="fNode"/>
                              <dgm:param type="stAng" val="0"/>
                              <dgm:param type="spanAng" val="-360"/>
                            </dgm:alg>
                          </dgm:else>
                        </dgm:choose>
                      </dgm:if>
                      <dgm:if name="Name271" axis="ch" ptType="node" func="cnt" op="equ" val="6">
                        <dgm:choose name="Name272">
                          <dgm:if name="Name273" axis="ch ch" ptType="node node" st="3 1" cnt="1 0" func="cnt" op="equ" val="1">
                            <dgm:alg type="cycle">
                              <dgm:param type="ctrShpMap" val="fNode"/>
                              <dgm:param type="stAng" val="240"/>
                            </dgm:alg>
                          </dgm:if>
                          <dgm:if name="Name274" axis="ch ch" ptType="node node" st="3 1" cnt="1 0" func="cnt" op="equ" val="2">
                            <dgm:alg type="cycle">
                              <dgm:param type="ctrShpMap" val="fNode"/>
                              <dgm:param type="stAng" val="285"/>
                              <dgm:param type="spanAng" val="-90"/>
                            </dgm:alg>
                          </dgm:if>
                          <dgm:else name="Name275">
                            <dgm:alg type="cycle">
                              <dgm:param type="ctrShpMap" val="fNode"/>
                              <dgm:param type="stAng" val="0"/>
                              <dgm:param type="spanAng" val="-360"/>
                            </dgm:alg>
                          </dgm:else>
                        </dgm:choose>
                      </dgm:if>
                      <dgm:if name="Name276" axis="ch" ptType="node" func="cnt" op="gte" val="7">
                        <dgm:choose name="Name277">
                          <dgm:if name="Name278" axis="ch ch" ptType="node node" st="3 1" cnt="1 0" func="cnt" op="equ" val="1">
                            <dgm:alg type="cycle">
                              <dgm:param type="ctrShpMap" val="fNode"/>
                              <dgm:param type="stAng" val="257"/>
                            </dgm:alg>
                          </dgm:if>
                          <dgm:if name="Name279" axis="ch ch" ptType="node node" st="3 1" cnt="1 0" func="cnt" op="equ" val="2">
                            <dgm:alg type="cycle">
                              <dgm:param type="ctrShpMap" val="fNode"/>
                              <dgm:param type="stAng" val="302"/>
                              <dgm:param type="spanAng" val="-90"/>
                            </dgm:alg>
                          </dgm:if>
                          <dgm:else name="Name280">
                            <dgm:alg type="cycle">
                              <dgm:param type="ctrShpMap" val="fNode"/>
                              <dgm:param type="stAng" val="0"/>
                              <dgm:param type="spanAng" val="-360"/>
                            </dgm:alg>
                          </dgm:else>
                        </dgm:choose>
                      </dgm:if>
                      <dgm:else name="Name281"/>
                    </dgm:choose>
                  </dgm:else>
                </dgm:choose>
                <dgm:shape xmlns:r="http://schemas.openxmlformats.org/officeDocument/2006/relationships" r:blip="">
                  <dgm:adjLst/>
                </dgm:shape>
                <dgm:presOf/>
                <dgm:constrLst>
                  <dgm:constr type="sp" refType="w" fact="0.1"/>
                  <dgm:constr type="sibSp" refType="w" fact="0.1"/>
                </dgm:constrLst>
                <dgm:forEach name="Name282" axis="ch" ptType="node" st="3" cnt="1">
                  <dgm:layoutNode name="childCenter3"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83" axis="ch">
                    <dgm:forEach name="Name284" axis="self" ptType="parTrans">
                      <dgm:layoutNode name="Name285">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86" axis="self" ptType="node">
                      <dgm:layoutNode name="text3"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87" axis="ch" ptType="parTrans" st="3" cnt="1">
                <dgm:layoutNode name="Name288">
                  <dgm:alg type="conn">
                    <dgm:param type="dim" val="1D"/>
                    <dgm:param type="begPts" val="auto"/>
                    <dgm:param type="endPts" val="auto"/>
                    <dgm:param type="endSty" val="noArr"/>
                    <dgm:param type="srcNode" val="textCenter"/>
                    <dgm:param type="dstNode" val="childCenter3"/>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89"/>
          </dgm:choose>
          <dgm:choose name="Name290">
            <dgm:if name="Name291" axis="ch" ptType="node" func="cnt" op="gte" val="4">
              <dgm:layoutNode name="cycle_4">
                <dgm:choose name="Name292">
                  <dgm:if name="Name293" func="var" arg="dir" op="equ" val="norm">
                    <dgm:choose name="Name294">
                      <dgm:if name="Name295" axis="ch" ptType="node" func="cnt" op="equ" val="4">
                        <dgm:choose name="Name296">
                          <dgm:if name="Name297" axis="ch ch" ptType="node node" st="4 1" cnt="1 0" func="cnt" op="equ" val="1">
                            <dgm:alg type="cycle">
                              <dgm:param type="ctrShpMap" val="fNode"/>
                              <dgm:param type="stAng" val="270"/>
                            </dgm:alg>
                          </dgm:if>
                          <dgm:if name="Name298" axis="ch ch" ptType="node node" st="4 1" cnt="1 0" func="cnt" op="equ" val="2">
                            <dgm:alg type="cycle">
                              <dgm:param type="ctrShpMap" val="fNode"/>
                              <dgm:param type="stAng" val="225"/>
                              <dgm:param type="spanAng" val="90"/>
                            </dgm:alg>
                          </dgm:if>
                          <dgm:else name="Name299">
                            <dgm:alg type="cycle">
                              <dgm:param type="ctrShpMap" val="fNode"/>
                              <dgm:param type="stAng" val="202.5"/>
                              <dgm:param type="spanAng" val="135"/>
                            </dgm:alg>
                          </dgm:else>
                        </dgm:choose>
                      </dgm:if>
                      <dgm:if name="Name300" axis="ch" ptType="node" func="cnt" op="equ" val="5">
                        <dgm:choose name="Name301">
                          <dgm:if name="Name302" axis="ch ch" ptType="node node" st="4 1" cnt="1 0" func="cnt" op="equ" val="1">
                            <dgm:alg type="cycle">
                              <dgm:param type="ctrShpMap" val="fNode"/>
                              <dgm:param type="stAng" val="216"/>
                            </dgm:alg>
                          </dgm:if>
                          <dgm:if name="Name303" axis="ch ch" ptType="node node" st="4 1" cnt="1 0" func="cnt" op="equ" val="2">
                            <dgm:alg type="cycle">
                              <dgm:param type="ctrShpMap" val="fNode"/>
                              <dgm:param type="stAng" val="171"/>
                              <dgm:param type="spanAng" val="90"/>
                            </dgm:alg>
                          </dgm:if>
                          <dgm:else name="Name304">
                            <dgm:alg type="cycle">
                              <dgm:param type="ctrShpMap" val="fNode"/>
                              <dgm:param type="stAng" val="0"/>
                              <dgm:param type="spanAng" val="360"/>
                            </dgm:alg>
                          </dgm:else>
                        </dgm:choose>
                      </dgm:if>
                      <dgm:if name="Name305" axis="ch" ptType="node" func="cnt" op="equ" val="6">
                        <dgm:choose name="Name306">
                          <dgm:if name="Name307" axis="ch ch" ptType="node node" st="4 1" cnt="1 0" func="cnt" op="equ" val="1">
                            <dgm:alg type="cycle">
                              <dgm:param type="ctrShpMap" val="fNode"/>
                              <dgm:param type="stAng" val="180"/>
                            </dgm:alg>
                          </dgm:if>
                          <dgm:if name="Name308" axis="ch ch" ptType="node node" st="4 1" cnt="1 0" func="cnt" op="equ" val="2">
                            <dgm:alg type="cycle">
                              <dgm:param type="ctrShpMap" val="fNode"/>
                              <dgm:param type="stAng" val="135"/>
                              <dgm:param type="spanAng" val="90"/>
                            </dgm:alg>
                          </dgm:if>
                          <dgm:else name="Name309">
                            <dgm:alg type="cycle">
                              <dgm:param type="ctrShpMap" val="fNode"/>
                              <dgm:param type="stAng" val="0"/>
                              <dgm:param type="spanAng" val="360"/>
                            </dgm:alg>
                          </dgm:else>
                        </dgm:choose>
                      </dgm:if>
                      <dgm:if name="Name310" axis="ch" ptType="node" func="cnt" op="gte" val="7">
                        <dgm:choose name="Name311">
                          <dgm:if name="Name312" axis="ch ch" ptType="node node" st="4 1" cnt="1 0" func="cnt" op="equ" val="1">
                            <dgm:alg type="cycle">
                              <dgm:param type="ctrShpMap" val="fNode"/>
                              <dgm:param type="stAng" val="154"/>
                            </dgm:alg>
                          </dgm:if>
                          <dgm:if name="Name313" axis="ch ch" ptType="node node" st="4 1" cnt="1 0" func="cnt" op="equ" val="2">
                            <dgm:alg type="cycle">
                              <dgm:param type="ctrShpMap" val="fNode"/>
                              <dgm:param type="stAng" val="109"/>
                              <dgm:param type="spanAng" val="90"/>
                            </dgm:alg>
                          </dgm:if>
                          <dgm:else name="Name314">
                            <dgm:alg type="cycle">
                              <dgm:param type="ctrShpMap" val="fNode"/>
                              <dgm:param type="stAng" val="0"/>
                              <dgm:param type="spanAng" val="360"/>
                            </dgm:alg>
                          </dgm:else>
                        </dgm:choose>
                      </dgm:if>
                      <dgm:else name="Name315"/>
                    </dgm:choose>
                  </dgm:if>
                  <dgm:else name="Name316">
                    <dgm:choose name="Name317">
                      <dgm:if name="Name318" axis="ch" ptType="node" func="cnt" op="equ" val="4">
                        <dgm:choose name="Name319">
                          <dgm:if name="Name320" axis="ch ch" ptType="node node" st="4 1" cnt="1 0" func="cnt" op="equ" val="1">
                            <dgm:alg type="cycle">
                              <dgm:param type="ctrShpMap" val="fNode"/>
                              <dgm:param type="stAng" val="90"/>
                            </dgm:alg>
                          </dgm:if>
                          <dgm:if name="Name321" axis="ch ch" ptType="node node" st="4 1" cnt="1 0" func="cnt" op="equ" val="2">
                            <dgm:alg type="cycle">
                              <dgm:param type="ctrShpMap" val="fNode"/>
                              <dgm:param type="stAng" val="135"/>
                              <dgm:param type="spanAng" val="-90"/>
                            </dgm:alg>
                          </dgm:if>
                          <dgm:else name="Name322">
                            <dgm:alg type="cycle">
                              <dgm:param type="ctrShpMap" val="fNode"/>
                              <dgm:param type="stAng" val="157.5"/>
                              <dgm:param type="spanAng" val="-135"/>
                            </dgm:alg>
                          </dgm:else>
                        </dgm:choose>
                      </dgm:if>
                      <dgm:if name="Name323" axis="ch" ptType="node" func="cnt" op="equ" val="5">
                        <dgm:choose name="Name324">
                          <dgm:if name="Name325" axis="ch ch" ptType="node node" st="4 1" cnt="1 0" func="cnt" op="equ" val="1">
                            <dgm:alg type="cycle">
                              <dgm:param type="ctrShpMap" val="fNode"/>
                              <dgm:param type="stAng" val="144"/>
                            </dgm:alg>
                          </dgm:if>
                          <dgm:if name="Name326" axis="ch ch" ptType="node node" st="4 1" cnt="1 0" func="cnt" op="equ" val="2">
                            <dgm:alg type="cycle">
                              <dgm:param type="ctrShpMap" val="fNode"/>
                              <dgm:param type="stAng" val="189"/>
                              <dgm:param type="spanAng" val="-90"/>
                            </dgm:alg>
                          </dgm:if>
                          <dgm:else name="Name327">
                            <dgm:alg type="cycle">
                              <dgm:param type="ctrShpMap" val="fNode"/>
                              <dgm:param type="stAng" val="0"/>
                              <dgm:param type="spanAng" val="-360"/>
                            </dgm:alg>
                          </dgm:else>
                        </dgm:choose>
                      </dgm:if>
                      <dgm:if name="Name328" axis="ch" ptType="node" func="cnt" op="equ" val="6">
                        <dgm:choose name="Name329">
                          <dgm:if name="Name330" axis="ch ch" ptType="node node" st="4 1" cnt="1 0" func="cnt" op="equ" val="1">
                            <dgm:alg type="cycle">
                              <dgm:param type="ctrShpMap" val="fNode"/>
                              <dgm:param type="stAng" val="180"/>
                            </dgm:alg>
                          </dgm:if>
                          <dgm:if name="Name331" axis="ch ch" ptType="node node" st="4 1" cnt="1 0" func="cnt" op="equ" val="2">
                            <dgm:alg type="cycle">
                              <dgm:param type="ctrShpMap" val="fNode"/>
                              <dgm:param type="stAng" val="225"/>
                              <dgm:param type="spanAng" val="-90"/>
                            </dgm:alg>
                          </dgm:if>
                          <dgm:else name="Name332">
                            <dgm:alg type="cycle">
                              <dgm:param type="ctrShpMap" val="fNode"/>
                              <dgm:param type="stAng" val="0"/>
                              <dgm:param type="spanAng" val="-360"/>
                            </dgm:alg>
                          </dgm:else>
                        </dgm:choose>
                      </dgm:if>
                      <dgm:if name="Name333" axis="ch" ptType="node" func="cnt" op="gte" val="7">
                        <dgm:choose name="Name334">
                          <dgm:if name="Name335" axis="ch ch" ptType="node node" st="4 1" cnt="1 0" func="cnt" op="equ" val="1">
                            <dgm:alg type="cycle">
                              <dgm:param type="ctrShpMap" val="fNode"/>
                              <dgm:param type="stAng" val="205"/>
                            </dgm:alg>
                          </dgm:if>
                          <dgm:if name="Name336" axis="ch ch" ptType="node node" st="4 1" cnt="1 0" func="cnt" op="equ" val="2">
                            <dgm:alg type="cycle">
                              <dgm:param type="ctrShpMap" val="fNode"/>
                              <dgm:param type="stAng" val="250"/>
                              <dgm:param type="spanAng" val="-90"/>
                            </dgm:alg>
                          </dgm:if>
                          <dgm:else name="Name337">
                            <dgm:alg type="cycle">
                              <dgm:param type="ctrShpMap" val="fNode"/>
                              <dgm:param type="stAng" val="0"/>
                              <dgm:param type="spanAng" val="-360"/>
                            </dgm:alg>
                          </dgm:else>
                        </dgm:choose>
                      </dgm:if>
                      <dgm:else name="Name338"/>
                    </dgm:choose>
                  </dgm:else>
                </dgm:choose>
                <dgm:shape xmlns:r="http://schemas.openxmlformats.org/officeDocument/2006/relationships" r:blip="">
                  <dgm:adjLst/>
                </dgm:shape>
                <dgm:presOf/>
                <dgm:constrLst>
                  <dgm:constr type="sp" refType="w" fact="0.1"/>
                  <dgm:constr type="sibSp" refType="w" fact="0.1"/>
                </dgm:constrLst>
                <dgm:forEach name="Name339" axis="ch" ptType="node" st="4" cnt="1">
                  <dgm:layoutNode name="childCenter4"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40" axis="ch">
                    <dgm:forEach name="Name341" axis="self" ptType="parTrans">
                      <dgm:layoutNode name="Name342">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43" axis="self" ptType="node">
                      <dgm:layoutNode name="text4"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44" axis="ch" ptType="parTrans" st="4" cnt="1">
                <dgm:layoutNode name="Name345">
                  <dgm:alg type="conn">
                    <dgm:param type="dim" val="1D"/>
                    <dgm:param type="begPts" val="auto"/>
                    <dgm:param type="endPts" val="auto"/>
                    <dgm:param type="endSty" val="noArr"/>
                    <dgm:param type="srcNode" val="textCenter"/>
                    <dgm:param type="dstNode" val="childCenter4"/>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46"/>
          </dgm:choose>
          <dgm:choose name="Name347">
            <dgm:if name="Name348" axis="ch" ptType="node" func="cnt" op="gte" val="5">
              <dgm:layoutNode name="cycle_5">
                <dgm:choose name="Name349">
                  <dgm:if name="Name350" func="var" arg="dir" op="equ" val="norm">
                    <dgm:choose name="Name351">
                      <dgm:if name="Name352" axis="ch" ptType="node" func="cnt" op="equ" val="5">
                        <dgm:choose name="Name353">
                          <dgm:if name="Name354" axis="ch ch" ptType="node node" st="5 1" cnt="1 0" func="cnt" op="equ" val="1">
                            <dgm:alg type="cycle">
                              <dgm:param type="ctrShpMap" val="fNode"/>
                              <dgm:param type="stAng" val="288"/>
                            </dgm:alg>
                          </dgm:if>
                          <dgm:if name="Name355" axis="ch ch" ptType="node node" st="5 1" cnt="1 0" func="cnt" op="equ" val="2">
                            <dgm:alg type="cycle">
                              <dgm:param type="ctrShpMap" val="fNode"/>
                              <dgm:param type="stAng" val="243"/>
                              <dgm:param type="spanAng" val="90"/>
                            </dgm:alg>
                          </dgm:if>
                          <dgm:else name="Name356">
                            <dgm:alg type="cycle">
                              <dgm:param type="ctrShpMap" val="fNode"/>
                              <dgm:param type="stAng" val="0"/>
                              <dgm:param type="spanAng" val="360"/>
                            </dgm:alg>
                          </dgm:else>
                        </dgm:choose>
                      </dgm:if>
                      <dgm:if name="Name357" axis="ch" ptType="node" func="cnt" op="equ" val="6">
                        <dgm:choose name="Name358">
                          <dgm:if name="Name359" axis="ch ch" ptType="node node" st="5 1" cnt="1 0" func="cnt" op="equ" val="1">
                            <dgm:alg type="cycle">
                              <dgm:param type="ctrShpMap" val="fNode"/>
                              <dgm:param type="stAng" val="240"/>
                            </dgm:alg>
                          </dgm:if>
                          <dgm:if name="Name360" axis="ch ch" ptType="node node" st="5 1" cnt="1 0" func="cnt" op="equ" val="2">
                            <dgm:alg type="cycle">
                              <dgm:param type="ctrShpMap" val="fNode"/>
                              <dgm:param type="stAng" val="195"/>
                              <dgm:param type="spanAng" val="90"/>
                            </dgm:alg>
                          </dgm:if>
                          <dgm:else name="Name361">
                            <dgm:alg type="cycle">
                              <dgm:param type="ctrShpMap" val="fNode"/>
                              <dgm:param type="stAng" val="0"/>
                              <dgm:param type="spanAng" val="360"/>
                            </dgm:alg>
                          </dgm:else>
                        </dgm:choose>
                      </dgm:if>
                      <dgm:if name="Name362" axis="ch" ptType="node" func="cnt" op="gte" val="7">
                        <dgm:choose name="Name363">
                          <dgm:if name="Name364" axis="ch ch" ptType="node node" st="5 1" cnt="1 0" func="cnt" op="equ" val="1">
                            <dgm:alg type="cycle">
                              <dgm:param type="ctrShpMap" val="fNode"/>
                              <dgm:param type="stAng" val="205"/>
                            </dgm:alg>
                          </dgm:if>
                          <dgm:if name="Name365" axis="ch ch" ptType="node node" st="5 1" cnt="1 0" func="cnt" op="equ" val="2">
                            <dgm:alg type="cycle">
                              <dgm:param type="ctrShpMap" val="fNode"/>
                              <dgm:param type="stAng" val="160"/>
                              <dgm:param type="spanAng" val="90"/>
                            </dgm:alg>
                          </dgm:if>
                          <dgm:else name="Name366">
                            <dgm:alg type="cycle">
                              <dgm:param type="ctrShpMap" val="fNode"/>
                              <dgm:param type="stAng" val="0"/>
                              <dgm:param type="spanAng" val="360"/>
                            </dgm:alg>
                          </dgm:else>
                        </dgm:choose>
                      </dgm:if>
                      <dgm:else name="Name367"/>
                    </dgm:choose>
                  </dgm:if>
                  <dgm:else name="Name368">
                    <dgm:choose name="Name369">
                      <dgm:if name="Name370" axis="ch" ptType="node" func="cnt" op="equ" val="5">
                        <dgm:choose name="Name371">
                          <dgm:if name="Name372" axis="ch ch" ptType="node node" st="5 1" cnt="1 0" func="cnt" op="equ" val="1">
                            <dgm:alg type="cycle">
                              <dgm:param type="ctrShpMap" val="fNode"/>
                              <dgm:param type="stAng" val="72"/>
                            </dgm:alg>
                          </dgm:if>
                          <dgm:if name="Name373" axis="ch ch" ptType="node node" st="5 1" cnt="1 0" func="cnt" op="equ" val="2">
                            <dgm:alg type="cycle">
                              <dgm:param type="ctrShpMap" val="fNode"/>
                              <dgm:param type="stAng" val="117"/>
                              <dgm:param type="spanAng" val="-90"/>
                            </dgm:alg>
                          </dgm:if>
                          <dgm:else name="Name374">
                            <dgm:alg type="cycle">
                              <dgm:param type="ctrShpMap" val="fNode"/>
                              <dgm:param type="stAng" val="0"/>
                              <dgm:param type="spanAng" val="-360"/>
                            </dgm:alg>
                          </dgm:else>
                        </dgm:choose>
                      </dgm:if>
                      <dgm:if name="Name375" axis="ch" ptType="node" func="cnt" op="equ" val="6">
                        <dgm:choose name="Name376">
                          <dgm:if name="Name377" axis="ch ch" ptType="node node" st="5 1" cnt="1 0" func="cnt" op="equ" val="1">
                            <dgm:alg type="cycle">
                              <dgm:param type="ctrShpMap" val="fNode"/>
                              <dgm:param type="stAng" val="120"/>
                            </dgm:alg>
                          </dgm:if>
                          <dgm:if name="Name378" axis="ch ch" ptType="node node" st="5 1" cnt="1 0" func="cnt" op="equ" val="2">
                            <dgm:alg type="cycle">
                              <dgm:param type="ctrShpMap" val="fNode"/>
                              <dgm:param type="stAng" val="165"/>
                              <dgm:param type="spanAng" val="-90"/>
                            </dgm:alg>
                          </dgm:if>
                          <dgm:else name="Name379">
                            <dgm:alg type="cycle">
                              <dgm:param type="ctrShpMap" val="fNode"/>
                              <dgm:param type="stAng" val="0"/>
                              <dgm:param type="spanAng" val="-360"/>
                            </dgm:alg>
                          </dgm:else>
                        </dgm:choose>
                      </dgm:if>
                      <dgm:if name="Name380" axis="ch" ptType="node" func="cnt" op="gte" val="7">
                        <dgm:choose name="Name381">
                          <dgm:if name="Name382" axis="ch ch" ptType="node node" st="5 1" cnt="1 0" func="cnt" op="equ" val="1">
                            <dgm:alg type="cycle">
                              <dgm:param type="ctrShpMap" val="fNode"/>
                              <dgm:param type="stAng" val="154"/>
                            </dgm:alg>
                          </dgm:if>
                          <dgm:if name="Name383" axis="ch ch" ptType="node node" st="5 1" cnt="1 0" func="cnt" op="equ" val="2">
                            <dgm:alg type="cycle">
                              <dgm:param type="ctrShpMap" val="fNode"/>
                              <dgm:param type="stAng" val="199"/>
                              <dgm:param type="spanAng" val="-90"/>
                            </dgm:alg>
                          </dgm:if>
                          <dgm:else name="Name384">
                            <dgm:alg type="cycle">
                              <dgm:param type="ctrShpMap" val="fNode"/>
                              <dgm:param type="stAng" val="0"/>
                              <dgm:param type="spanAng" val="-360"/>
                            </dgm:alg>
                          </dgm:else>
                        </dgm:choose>
                      </dgm:if>
                      <dgm:else name="Name385"/>
                    </dgm:choose>
                  </dgm:else>
                </dgm:choose>
                <dgm:shape xmlns:r="http://schemas.openxmlformats.org/officeDocument/2006/relationships" r:blip="">
                  <dgm:adjLst/>
                </dgm:shape>
                <dgm:presOf/>
                <dgm:constrLst>
                  <dgm:constr type="sp" refType="w" fact="0.1"/>
                  <dgm:constr type="sibSp" refType="w" fact="0.1"/>
                </dgm:constrLst>
                <dgm:forEach name="Name386" axis="ch" ptType="node" st="5" cnt="1">
                  <dgm:layoutNode name="childCenter5"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87" axis="ch">
                    <dgm:forEach name="Name388" axis="self" ptType="parTrans">
                      <dgm:layoutNode name="Name38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90" axis="self" ptType="node">
                      <dgm:layoutNode name="text5"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91" axis="ch" ptType="parTrans" st="5" cnt="1">
                <dgm:layoutNode name="Name392">
                  <dgm:alg type="conn">
                    <dgm:param type="dim" val="1D"/>
                    <dgm:param type="begPts" val="auto"/>
                    <dgm:param type="endPts" val="auto"/>
                    <dgm:param type="endSty" val="noArr"/>
                    <dgm:param type="srcNode" val="textCenter"/>
                    <dgm:param type="dstNode" val="childCenter5"/>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93"/>
          </dgm:choose>
          <dgm:choose name="Name394">
            <dgm:if name="Name395" axis="ch" ptType="node" func="cnt" op="gte" val="6">
              <dgm:layoutNode name="cycle_6">
                <dgm:choose name="Name396">
                  <dgm:if name="Name397" func="var" arg="dir" op="equ" val="norm">
                    <dgm:choose name="Name398">
                      <dgm:if name="Name399" axis="ch" ptType="node" func="cnt" op="equ" val="6">
                        <dgm:choose name="Name400">
                          <dgm:if name="Name401" axis="ch ch" ptType="node node" st="6 1" cnt="1 0" func="cnt" op="equ" val="1">
                            <dgm:alg type="cycle">
                              <dgm:param type="ctrShpMap" val="fNode"/>
                              <dgm:param type="stAng" val="300"/>
                            </dgm:alg>
                          </dgm:if>
                          <dgm:if name="Name402" axis="ch ch" ptType="node node" st="6 1" cnt="1 0" func="cnt" op="equ" val="2">
                            <dgm:alg type="cycle">
                              <dgm:param type="ctrShpMap" val="fNode"/>
                              <dgm:param type="stAng" val="255"/>
                              <dgm:param type="spanAng" val="90"/>
                            </dgm:alg>
                          </dgm:if>
                          <dgm:else name="Name403">
                            <dgm:alg type="cycle">
                              <dgm:param type="ctrShpMap" val="fNode"/>
                              <dgm:param type="stAng" val="0"/>
                              <dgm:param type="spanAng" val="360"/>
                            </dgm:alg>
                          </dgm:else>
                        </dgm:choose>
                      </dgm:if>
                      <dgm:if name="Name404" axis="ch" ptType="node" func="cnt" op="gte" val="7">
                        <dgm:choose name="Name405">
                          <dgm:if name="Name406" axis="ch ch" ptType="node node" st="6 1" cnt="1 0" func="cnt" op="equ" val="1">
                            <dgm:alg type="cycle">
                              <dgm:param type="ctrShpMap" val="fNode"/>
                              <dgm:param type="stAng" val="257"/>
                            </dgm:alg>
                          </dgm:if>
                          <dgm:if name="Name407" axis="ch ch" ptType="node node" st="6 1" cnt="1 0" func="cnt" op="equ" val="2">
                            <dgm:alg type="cycle">
                              <dgm:param type="ctrShpMap" val="fNode"/>
                              <dgm:param type="stAng" val="212"/>
                              <dgm:param type="spanAng" val="90"/>
                            </dgm:alg>
                          </dgm:if>
                          <dgm:else name="Name408">
                            <dgm:alg type="cycle">
                              <dgm:param type="ctrShpMap" val="fNode"/>
                              <dgm:param type="stAng" val="0"/>
                              <dgm:param type="spanAng" val="360"/>
                            </dgm:alg>
                          </dgm:else>
                        </dgm:choose>
                      </dgm:if>
                      <dgm:else name="Name409"/>
                    </dgm:choose>
                  </dgm:if>
                  <dgm:else name="Name410">
                    <dgm:choose name="Name411">
                      <dgm:if name="Name412" axis="ch" ptType="node" func="cnt" op="equ" val="6">
                        <dgm:choose name="Name413">
                          <dgm:if name="Name414" axis="ch ch" ptType="node node" st="6 1" cnt="1 0" func="cnt" op="equ" val="1">
                            <dgm:alg type="cycle">
                              <dgm:param type="ctrShpMap" val="fNode"/>
                              <dgm:param type="stAng" val="60"/>
                            </dgm:alg>
                          </dgm:if>
                          <dgm:if name="Name415" axis="ch ch" ptType="node node" st="6 1" cnt="1 0" func="cnt" op="equ" val="2">
                            <dgm:alg type="cycle">
                              <dgm:param type="ctrShpMap" val="fNode"/>
                              <dgm:param type="stAng" val="105"/>
                              <dgm:param type="spanAng" val="-90"/>
                            </dgm:alg>
                          </dgm:if>
                          <dgm:else name="Name416">
                            <dgm:alg type="cycle">
                              <dgm:param type="ctrShpMap" val="fNode"/>
                              <dgm:param type="stAng" val="0"/>
                              <dgm:param type="spanAng" val="-360"/>
                            </dgm:alg>
                          </dgm:else>
                        </dgm:choose>
                      </dgm:if>
                      <dgm:if name="Name417" axis="ch" ptType="node" func="cnt" op="gte" val="7">
                        <dgm:choose name="Name418">
                          <dgm:if name="Name419" axis="ch ch" ptType="node node" st="6 1" cnt="1 0" func="cnt" op="equ" val="1">
                            <dgm:alg type="cycle">
                              <dgm:param type="ctrShpMap" val="fNode"/>
                              <dgm:param type="stAng" val="102"/>
                            </dgm:alg>
                          </dgm:if>
                          <dgm:if name="Name420" axis="ch ch" ptType="node node" st="6 1" cnt="1 0" func="cnt" op="equ" val="2">
                            <dgm:alg type="cycle">
                              <dgm:param type="ctrShpMap" val="fNode"/>
                              <dgm:param type="stAng" val="147"/>
                              <dgm:param type="spanAng" val="-90"/>
                            </dgm:alg>
                          </dgm:if>
                          <dgm:else name="Name421">
                            <dgm:alg type="cycle">
                              <dgm:param type="ctrShpMap" val="fNode"/>
                              <dgm:param type="stAng" val="0"/>
                              <dgm:param type="spanAng" val="-360"/>
                            </dgm:alg>
                          </dgm:else>
                        </dgm:choose>
                      </dgm:if>
                      <dgm:else name="Name422"/>
                    </dgm:choose>
                  </dgm:else>
                </dgm:choose>
                <dgm:shape xmlns:r="http://schemas.openxmlformats.org/officeDocument/2006/relationships" r:blip="">
                  <dgm:adjLst/>
                </dgm:shape>
                <dgm:presOf/>
                <dgm:constrLst>
                  <dgm:constr type="sp" refType="w" fact="0.1"/>
                  <dgm:constr type="sibSp" refType="w" fact="0.1"/>
                </dgm:constrLst>
                <dgm:forEach name="Name423" axis="ch" ptType="node" st="6" cnt="1">
                  <dgm:layoutNode name="childCenter6"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24" axis="ch">
                    <dgm:forEach name="Name425" axis="self" ptType="parTrans">
                      <dgm:layoutNode name="Name42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27" axis="self" ptType="node">
                      <dgm:layoutNode name="text6"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28" axis="ch" ptType="parTrans" st="6" cnt="1">
                <dgm:layoutNode name="Name429">
                  <dgm:alg type="conn">
                    <dgm:param type="dim" val="1D"/>
                    <dgm:param type="begPts" val="auto"/>
                    <dgm:param type="endPts" val="auto"/>
                    <dgm:param type="endSty" val="noArr"/>
                    <dgm:param type="srcNode" val="textCenter"/>
                    <dgm:param type="dstNode" val="childCenter6"/>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30"/>
          </dgm:choose>
          <dgm:choose name="Name431">
            <dgm:if name="Name432" axis="ch" ptType="node" func="cnt" op="gte" val="7">
              <dgm:layoutNode name="cycle_7">
                <dgm:choose name="Name433">
                  <dgm:if name="Name434" func="var" arg="dir" op="equ" val="norm">
                    <dgm:choose name="Name435">
                      <dgm:if name="Name436" axis="ch" ptType="node" func="cnt" op="gte" val="7">
                        <dgm:choose name="Name437">
                          <dgm:if name="Name438" axis="ch ch" ptType="node node" st="7 1" cnt="1 0" func="cnt" op="equ" val="1">
                            <dgm:alg type="cycle">
                              <dgm:param type="ctrShpMap" val="fNode"/>
                              <dgm:param type="stAng" val="308"/>
                            </dgm:alg>
                          </dgm:if>
                          <dgm:if name="Name439" axis="ch ch" ptType="node node" st="7 1" cnt="1 0" func="cnt" op="equ" val="2">
                            <dgm:alg type="cycle">
                              <dgm:param type="ctrShpMap" val="fNode"/>
                              <dgm:param type="stAng" val="263"/>
                              <dgm:param type="spanAng" val="90"/>
                            </dgm:alg>
                          </dgm:if>
                          <dgm:else name="Name440">
                            <dgm:alg type="cycle">
                              <dgm:param type="ctrShpMap" val="fNode"/>
                              <dgm:param type="stAng" val="0"/>
                              <dgm:param type="spanAng" val="360"/>
                            </dgm:alg>
                          </dgm:else>
                        </dgm:choose>
                      </dgm:if>
                      <dgm:else name="Name441"/>
                    </dgm:choose>
                  </dgm:if>
                  <dgm:else name="Name442">
                    <dgm:choose name="Name443">
                      <dgm:if name="Name444" axis="ch" ptType="node" func="cnt" op="gte" val="7">
                        <dgm:choose name="Name445">
                          <dgm:if name="Name446" axis="ch ch" ptType="node node" st="7 1" cnt="1 0" func="cnt" op="equ" val="1">
                            <dgm:alg type="cycle">
                              <dgm:param type="ctrShpMap" val="fNode"/>
                              <dgm:param type="stAng" val="51"/>
                            </dgm:alg>
                          </dgm:if>
                          <dgm:if name="Name447" axis="ch ch" ptType="node node" st="7 1" cnt="1 0" func="cnt" op="equ" val="2">
                            <dgm:alg type="cycle">
                              <dgm:param type="ctrShpMap" val="fNode"/>
                              <dgm:param type="stAng" val="96"/>
                              <dgm:param type="spanAng" val="-90"/>
                            </dgm:alg>
                          </dgm:if>
                          <dgm:else name="Name448">
                            <dgm:alg type="cycle">
                              <dgm:param type="ctrShpMap" val="fNode"/>
                              <dgm:param type="stAng" val="0"/>
                              <dgm:param type="spanAng" val="-360"/>
                            </dgm:alg>
                          </dgm:else>
                        </dgm:choose>
                      </dgm:if>
                      <dgm:else name="Name449"/>
                    </dgm:choose>
                  </dgm:else>
                </dgm:choose>
                <dgm:shape xmlns:r="http://schemas.openxmlformats.org/officeDocument/2006/relationships" r:blip="">
                  <dgm:adjLst/>
                </dgm:shape>
                <dgm:presOf/>
                <dgm:constrLst>
                  <dgm:constr type="sp" refType="w" fact="0.1"/>
                  <dgm:constr type="sibSp" refType="w" fact="0.1"/>
                </dgm:constrLst>
                <dgm:forEach name="Name450" axis="ch" ptType="node" st="7" cnt="1">
                  <dgm:layoutNode name="childCenter7"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51" axis="ch">
                    <dgm:forEach name="Name452" axis="self" ptType="parTrans">
                      <dgm:layoutNode name="Name453">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54" axis="self" ptType="node">
                      <dgm:layoutNode name="text7"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55" axis="ch" ptType="parTrans" st="7" cnt="1">
                <dgm:layoutNode name="Name456">
                  <dgm:alg type="conn">
                    <dgm:param type="dim" val="1D"/>
                    <dgm:param type="begPts" val="auto"/>
                    <dgm:param type="endPts" val="auto"/>
                    <dgm:param type="endSty" val="noArr"/>
                    <dgm:param type="srcNode" val="textCenter"/>
                    <dgm:param type="dstNode" val="childCenter7"/>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57"/>
          </dgm:choose>
        </dgm:else>
      </dgm:choose>
    </dgm:forEach>
  </dgm:layoutNode>
</dgm:layoutDef>
</file>

<file path=word/diagrams/layout4.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CDC19</b:Tag>
    <b:SourceType>InternetSite</b:SourceType>
    <b:Guid>{48908F6F-87F2-43D1-BBCC-DECDD359ACB3}</b:Guid>
    <b:Title>2009 H1N1 Pandemic (H1N1pdm09 virus)</b:Title>
    <b:Year>2019</b:Year>
    <b:Author>
      <b:Author>
        <b:NameList>
          <b:Person>
            <b:Last>CDC</b:Last>
          </b:Person>
        </b:NameList>
      </b:Author>
    </b:Author>
    <b:URL>https://www.cdc.gov/flu/pandemic-resources/2009-h1n1-pandemic.html </b:URL>
    <b:RefOrder>2</b:RefOrder>
  </b:Source>
  <b:Source>
    <b:Tag>wor21</b:Tag>
    <b:SourceType>InternetSite</b:SourceType>
    <b:Guid>{6975EC3D-FAC2-46E1-9FF3-07713764071B}</b:Guid>
    <b:Author>
      <b:Author>
        <b:NameList>
          <b:Person>
            <b:Last>worldometers</b:Last>
          </b:Person>
        </b:NameList>
      </b:Author>
    </b:Author>
    <b:Title>COVID-19 CORONAVIRUS PANDEMIC</b:Title>
    <b:Year>2021</b:Year>
    <b:URL>https://www.worldometers.info/coronavirus/</b:URL>
    <b:RefOrder>3</b:RefOrder>
  </b:Source>
  <b:Source>
    <b:Tag>IAT21</b:Tag>
    <b:SourceType>InternetSite</b:SourceType>
    <b:Guid>{F7E6087C-616A-4D7C-A41A-F197159A5775}</b:Guid>
    <b:Title>https://www.iata.org/</b:Title>
    <b:Year>2021a</b:Year>
    <b:Author>
      <b:Author>
        <b:NameList>
          <b:Person>
            <b:Last>IATA</b:Last>
          </b:Person>
        </b:NameList>
      </b:Author>
    </b:Author>
    <b:InternetSiteTitle>IATA</b:InternetSiteTitle>
    <b:RefOrder>5</b:RefOrder>
  </b:Source>
  <b:Source>
    <b:Tag>AAC20</b:Tag>
    <b:SourceType>InternetSite</b:SourceType>
    <b:Guid>{D8E122FA-8FB1-43EC-8A9A-154FA910F408}</b:Guid>
    <b:Author>
      <b:Author>
        <b:NameList>
          <b:Person>
            <b:Last>AACO</b:Last>
          </b:Person>
        </b:NameList>
      </b:Author>
    </b:Author>
    <b:Title>Effects of Novel Coronavirus  (COVID‐19) on Civil Aviation:Economic Impact Analysis</b:Title>
    <b:Year>2020</b:Year>
    <b:URL>https://www.aaco.org/Library/Files/Uploaded%20Files/Economics/Corona%20studies/3dec%20ICAO_Coronavirus_Econ_Impact.pdf</b:URL>
    <b:RefOrder>6</b:RefOrder>
  </b:Source>
  <b:Source>
    <b:Tag>Cho11</b:Tag>
    <b:SourceType>ArticleInAPeriodical</b:SourceType>
    <b:Guid>{044C8C84-48D3-4C7E-9B11-12EA7405C7DB}</b:Guid>
    <b:Author>
      <b:Author>
        <b:NameList>
          <b:Person>
            <b:Last>Chou</b:Last>
            <b:First>P.F</b:First>
          </b:Person>
          <b:Person>
            <b:Last>Lu</b:Last>
            <b:First>C.S</b:First>
          </b:Person>
        </b:NameList>
      </b:Author>
    </b:Author>
    <b:Title>An evaluation of influenza preventive measures on airlines: A passenger’s perspective</b:Title>
    <b:PeriodicalTitle>Journal of Air Transport Management</b:PeriodicalTitle>
    <b:Year>2011</b:Year>
    <b:Pages>228-230</b:Pages>
    <b:RefOrder>15</b:RefOrder>
  </b:Source>
  <b:Source>
    <b:Tag>Kur16</b:Tag>
    <b:SourceType>ArticleInAPeriodical</b:SourceType>
    <b:Guid>{9BDD77A1-0771-4A63-B250-6F4C26906579}</b:Guid>
    <b:Title>A voice in the skies: Listening to airline passenger preferences</b:Title>
    <b:Year>2016</b:Year>
    <b:Author>
      <b:Author>
        <b:NameList>
          <b:Person>
            <b:Last>Kurtulmuşoğlu</b:Last>
            <b:First>F.</b:First>
            <b:Middle>B</b:Middle>
          </b:Person>
          <b:Person>
            <b:Last>Can</b:Last>
            <b:First>F.</b:First>
            <b:Middle>G</b:Middle>
          </b:Person>
          <b:Person>
            <b:Last>Tolon</b:Last>
            <b:First>M.</b:First>
          </b:Person>
        </b:NameList>
      </b:Author>
    </b:Author>
    <b:PeriodicalTitle>Journal of Air Transport Management</b:PeriodicalTitle>
    <b:Pages>130-137</b:Pages>
    <b:RefOrder>12</b:RefOrder>
  </b:Source>
  <b:Source>
    <b:Tag>RHu15</b:Tag>
    <b:SourceType>ArticleInAPeriodical</b:SourceType>
    <b:Guid>{420A2E22-2EC6-4E3B-B33B-10AFBE7B5813}</b:Guid>
    <b:Author>
      <b:Author>
        <b:NameList>
          <b:Person>
            <b:Last>Hussain</b:Last>
            <b:First>R.</b:First>
          </b:Person>
          <b:Person>
            <b:Last>Nasser</b:Last>
            <b:First>A.</b:First>
            <b:Middle>Al</b:Middle>
          </b:Person>
          <b:Person>
            <b:Last>Hussain</b:Last>
            <b:First>Y.K.</b:First>
          </b:Person>
        </b:NameList>
      </b:Author>
    </b:Author>
    <b:Title>Service quality and customer satisfaction of a UAE-based airline: an empirical investigation</b:Title>
    <b:PeriodicalTitle>Journal of Air Transport Management,</b:PeriodicalTitle>
    <b:Year>2015</b:Year>
    <b:Pages>167-175</b:Pages>
    <b:RefOrder>13</b:RefOrder>
  </b:Source>
  <b:Source>
    <b:Tag>CPM</b:Tag>
    <b:SourceType>ArticleInAPeriodical</b:SourceType>
    <b:Guid>{B4A22468-30B1-4D98-928E-691428D6CB05}</b:Guid>
    <b:Author>
      <b:Author>
        <b:NameList>
          <b:Person>
            <b:Last>Milioti</b:Last>
            <b:First>C.P.</b:First>
          </b:Person>
          <b:Person>
            <b:Last>Karlaftis</b:Last>
            <b:First>M.G.</b:First>
          </b:Person>
          <b:Person>
            <b:Last>Akkogiounoglou</b:Last>
            <b:First>E.</b:First>
          </b:Person>
        </b:NameList>
      </b:Author>
    </b:Author>
    <b:Title>Traveler perceptions and airline choice: a multivariate probit approach</b:Title>
    <b:PeriodicalTitle>Journal of Air Transport Management</b:PeriodicalTitle>
    <b:Year>2015</b:Year>
    <b:Pages>46-52</b:Pages>
    <b:RefOrder>14</b:RefOrder>
  </b:Source>
  <b:Source>
    <b:Tag>MFG13</b:Tag>
    <b:SourceType>ArticleInAPeriodical</b:SourceType>
    <b:Guid>{714F284C-9418-4915-B97C-D5EAB7EAE0A4}</b:Guid>
    <b:Author>
      <b:Author>
        <b:NameList>
          <b:Person>
            <b:Last>Greghi</b:Last>
            <b:First>M.F.</b:First>
          </b:Person>
          <b:Person>
            <b:Last>Rossi</b:Last>
            <b:First>T.N.</b:First>
          </b:Person>
          <b:Person>
            <b:Last>Souza</b:Last>
            <b:First>J.B.</b:First>
            <b:Middle>de</b:Middle>
          </b:Person>
          <b:Person>
            <b:Last>Menegon</b:Last>
            <b:First>N.L.</b:First>
          </b:Person>
        </b:NameList>
      </b:Author>
    </b:Author>
    <b:Title>Brazilian passengers' perceptions of air travel: evidences from a survey</b:Title>
    <b:PeriodicalTitle>Journal of Air Transport Management</b:PeriodicalTitle>
    <b:Year>2013</b:Year>
    <b:Pages>27-31</b:Pages>
    <b:RefOrder>9</b:RefOrder>
  </b:Source>
  <b:Source>
    <b:Tag>LYC13</b:Tag>
    <b:SourceType>ArticleInAPeriodical</b:SourceType>
    <b:Guid>{2B49DEB2-C0ED-4674-8CC3-599316517BA5}</b:Guid>
    <b:Author>
      <b:Author>
        <b:NameList>
          <b:Person>
            <b:Last>Chang</b:Last>
            <b:First>L.Y.</b:First>
          </b:Person>
          <b:Person>
            <b:Last>Hung</b:Last>
            <b:First>S.C.</b:First>
          </b:Person>
        </b:NameList>
      </b:Author>
    </b:Author>
    <b:Title>Adoption and loyalty toward low cost carriers: the case of Taipei–Singapore passengers</b:Title>
    <b:PeriodicalTitle>Transportation Research Part E: Logistics and Transportation Review</b:PeriodicalTitle>
    <b:Year>2013</b:Year>
    <b:Pages>29-36</b:Pages>
    <b:RefOrder>10</b:RefOrder>
  </b:Source>
  <b:Source>
    <b:Tag>KCY12</b:Tag>
    <b:SourceType>ArticleInAPeriodical</b:SourceType>
    <b:Guid>{7278972A-128D-4729-AB9B-52AB78561CC9}</b:Guid>
    <b:Author>
      <b:Author>
        <b:NameList>
          <b:Person>
            <b:Last>Yang</b:Last>
            <b:First>K.C.</b:First>
          </b:Person>
          <b:Person>
            <b:Last>Hsieh</b:Last>
            <b:First>T.C.</b:First>
          </b:Person>
          <b:Person>
            <b:Last>H. Li</b:Last>
            <b:First>C.</b:First>
            <b:Middle>Yang</b:Middle>
          </b:Person>
        </b:NameList>
      </b:Author>
    </b:Author>
    <b:Title>Assessing how service quality, airline image and customer value affect the intentions of passengers regarding low cost carriers</b:Title>
    <b:PeriodicalTitle>Journal of Air Transport Management</b:PeriodicalTitle>
    <b:Year>2012</b:Year>
    <b:Pages>52-53</b:Pages>
    <b:RefOrder>11</b:RefOrder>
  </b:Source>
  <b:Source>
    <b:Tag>Dub21</b:Tag>
    <b:SourceType>ArticleInAPeriodical</b:SourceType>
    <b:Guid>{C2347940-9349-4016-8256-E29E704C48A4}</b:Guid>
    <b:Author>
      <b:Author>
        <b:NameList>
          <b:Person>
            <b:Last>Dube</b:Last>
            <b:First>K.</b:First>
          </b:Person>
          <b:Person>
            <b:Last>Nhamo</b:Last>
            <b:First>G.</b:First>
          </b:Person>
          <b:Person>
            <b:Last>Chikodzi</b:Last>
            <b:First>D.</b:First>
          </b:Person>
        </b:NameList>
      </b:Author>
    </b:Author>
    <b:Title>COVID-19 pandemic and prospects for recovery of the global aviation industry</b:Title>
    <b:PeriodicalTitle>Journal of Air Transport Management</b:PeriodicalTitle>
    <b:Year>2021</b:Year>
    <b:Pages>1-12</b:Pages>
    <b:Issue>92</b:Issue>
    <b:RefOrder>4</b:RefOrder>
  </b:Source>
  <b:Source>
    <b:Tag>She21</b:Tag>
    <b:SourceType>ArticleInAPeriodical</b:SourceType>
    <b:Guid>{267E4A31-E282-4489-A359-27DF96395B6C}</b:Guid>
    <b:Author>
      <b:Author>
        <b:NameList>
          <b:Person>
            <b:Last>Shen</b:Last>
            <b:First>C.</b:First>
          </b:Person>
          <b:Person>
            <b:Last>Yahya</b:Last>
            <b:First>Y.</b:First>
          </b:Person>
        </b:NameList>
      </b:Author>
    </b:Author>
    <b:Title>The impact of service quality and price on passengers' loyalty towards low-cost airlines: The Southeast Asia perspective</b:Title>
    <b:PeriodicalTitle>Journal of Air Transport Management</b:PeriodicalTitle>
    <b:Year>2021</b:Year>
    <b:Pages>1-10</b:Pages>
    <b:Issue>91</b:Issue>
    <b:RefOrder>17</b:RefOrder>
  </b:Source>
  <b:Source>
    <b:Tag>Sam21</b:Tag>
    <b:SourceType>ArticleInAPeriodical</b:SourceType>
    <b:Guid>{0F835947-FACC-40AF-AF61-4D9A2FCA3145}</b:Guid>
    <b:Author>
      <b:Author>
        <b:NameList>
          <b:Person>
            <b:Last>Samanci</b:Last>
            <b:First>S.</b:First>
          </b:Person>
          <b:Person>
            <b:Last>Atalay</b:Last>
            <b:First>K.</b:First>
            <b:Middle>D.</b:Middle>
          </b:Person>
          <b:Person>
            <b:Last>F. B. Isin</b:Last>
          </b:Person>
        </b:NameList>
      </b:Author>
    </b:Author>
    <b:Title>Focusing on the big picture while observing the concerns of both managers and passengers in the post-covid era</b:Title>
    <b:PeriodicalTitle>Journal of Air Transport Management,</b:PeriodicalTitle>
    <b:Year>2021</b:Year>
    <b:Pages>1-10</b:Pages>
    <b:Issue>90</b:Issue>
    <b:RefOrder>16</b:RefOrder>
  </b:Source>
  <b:Source>
    <b:Tag>Lam20</b:Tag>
    <b:SourceType>ArticleInAPeriodical</b:SourceType>
    <b:Guid>{2ACA8BAE-AC8D-4336-B7D8-9BB743C2A097}</b:Guid>
    <b:Author>
      <b:Author>
        <b:NameList>
          <b:Person>
            <b:Last>Lamb</b:Last>
          </b:Person>
          <b:Person>
            <b:Last>L.T</b:Last>
            <b:First>S.</b:First>
            <b:Middle>R. Winter</b:Middle>
          </b:Person>
          <b:Person>
            <b:Last>Rice</b:Last>
            <b:First>S.</b:First>
          </b:Person>
          <b:Person>
            <b:Last>Ruskin</b:Last>
            <b:First>K.</b:First>
            <b:Middle>J.</b:Middle>
          </b:Person>
          <b:Person>
            <b:Last>Vaughn</b:Last>
            <b:First>A.</b:First>
          </b:Person>
        </b:NameList>
      </b:Author>
    </b:Author>
    <b:Title>Factors that predict passengers willingness to fly during and after the COVID-19 pandemic</b:Title>
    <b:PeriodicalTitle>Journal of Air Transport Management</b:PeriodicalTitle>
    <b:Year>2020</b:Year>
    <b:Issue>89</b:Issue>
    <b:RefOrder>7</b:RefOrder>
  </b:Source>
  <b:Source>
    <b:Tag>IAT1b</b:Tag>
    <b:SourceType>InternetSite</b:SourceType>
    <b:Guid>{142B6E40-F650-45F0-9A7F-4669A1DC2826}</b:Guid>
    <b:Author>
      <b:Author>
        <b:NameList>
          <b:Person>
            <b:Last>IATA</b:Last>
          </b:Person>
        </b:NameList>
      </b:Author>
    </b:Author>
    <b:Year>2021b</b:Year>
    <b:URL>https://www.iata.org/en/youandiata/travelers/health/</b:URL>
    <b:RefOrder>8</b:RefOrder>
  </b:Source>
  <b:Source>
    <b:Tag>HCh15</b:Tag>
    <b:SourceType>ArticleInAPeriodical</b:SourceType>
    <b:Guid>{4FDA78AE-170E-487B-A33D-695D84250C05}</b:Guid>
    <b:Author>
      <b:Author>
        <b:NameList>
          <b:Person>
            <b:Last>Chung</b:Last>
            <b:First>L.</b:First>
            <b:Middle>H</b:Middle>
          </b:Person>
        </b:NameList>
      </b:Author>
    </b:Author>
    <b:Title>Impact of pandemic control over airport economics: Reconciling public health with airport business through a streamlined approach in pandemic control,</b:Title>
    <b:Year>2015</b:Year>
    <b:PeriodicalTitle>Journal of Air Transport Management,</b:PeriodicalTitle>
    <b:Pages>42-53</b:Pages>
    <b:RefOrder>1</b:RefOrder>
  </b:Source>
  <b:Source>
    <b:Tag>Emp20</b:Tag>
    <b:SourceType>Report</b:SourceType>
    <b:Guid>{D83375F0-F83B-4B50-976F-69A8DD7A1D4D}</b:Guid>
    <b:Title>Employment Situation Summary</b:Title>
    <b:Year>2020</b:Year>
    <b:Publisher>U.S. Bureau of Labor Statistics</b:Publisher>
    <b:City>Washington, DC</b:City>
    <b:RefOrder>1</b:RefOrder>
  </b:Source>
  <b:Source>
    <b:Tag>Org20</b:Tag>
    <b:SourceType>Report</b:SourceType>
    <b:Guid>{884CA0C5-F647-4BB6-A0B6-0D6673F22D16}</b:Guid>
    <b:Title>OECD</b:Title>
    <b:Year>2020</b:Year>
    <b:Publisher>Organisation for Economic Co-operation and Development</b:Publisher>
    <b:RefOrder>2</b:RefOrder>
  </b:Source>
  <b:Source>
    <b:Tag>OEC21</b:Tag>
    <b:SourceType>InternetSite</b:SourceType>
    <b:Guid>{5B3D7D15-965C-403B-BB26-92EA770595BD}</b:Guid>
    <b:Title>OECD</b:Title>
    <b:Year>2021</b:Year>
    <b:URL>https://data.oecd.org/health.htm</b:URL>
    <b:RefOrder>3</b:RefOrder>
  </b:Source>
  <b:Source>
    <b:Tag>Wil21</b:Tag>
    <b:SourceType>JournalArticle</b:SourceType>
    <b:Guid>{60AAF54C-7477-4062-B5F7-75B62FCF2049}</b:Guid>
    <b:Title>COVID‑19 and income inequality in OECD countries</b:Title>
    <b:Year>2021</b:Year>
    <b:Pages> 22:455–462</b:Pages>
    <b:JournalName>The European Journal of Health Economics </b:JournalName>
    <b:Author>
      <b:Author>
        <b:NameList>
          <b:Person>
            <b:Last>Wildman</b:Last>
            <b:First>John </b:First>
          </b:Person>
        </b:NameList>
      </b:Author>
    </b:Author>
    <b:RefOrder>5</b:RefOrder>
  </b:Source>
  <b:Source>
    <b:Tag>Rui20</b:Tag>
    <b:SourceType>JournalArticle</b:SourceType>
    <b:Guid>{D2F7BF5D-6F42-45F7-B212-58C3F5190B5E}</b:Guid>
    <b:Title>Mobility Patterns and Income Distribution in Times of Crisis: U.S. Urban Centers During the COVID-19 Pandemic</b:Title>
    <b:JournalName>SSRN</b:JournalName>
    <b:Year>2020</b:Year>
    <b:Author>
      <b:Author>
        <b:NameList>
          <b:Person>
            <b:Last>Ruiz-Euler</b:Last>
            <b:First>Alex </b:First>
          </b:Person>
          <b:Person>
            <b:Last> Privitera</b:Last>
            <b:First>Filippo</b:First>
          </b:Person>
          <b:Person>
            <b:Last> Giuffrida</b:Last>
            <b:First>Danilo</b:First>
          </b:Person>
          <b:Person>
            <b:Last>Lake</b:Last>
            <b:First>Brennan </b:First>
          </b:Person>
          <b:Person>
            <b:Last>Zara</b:Last>
            <b:First>I</b:First>
          </b:Person>
        </b:NameList>
      </b:Author>
    </b:Author>
    <b:RefOrder>7</b:RefOrder>
  </b:Source>
  <b:Source>
    <b:Tag>Rol20</b:Tag>
    <b:SourceType>JournalArticle</b:SourceType>
    <b:Guid>{ACDC074A-D5CD-4DCB-A1BD-4DB1B3D656EB}</b:Guid>
    <b:Title>COVID-19 and the social determinants of health</b:Title>
    <b:JournalName>American Journal of Health Promotion</b:JournalName>
    <b:Year>2020</b:Year>
    <b:Author>
      <b:Author>
        <b:NameList>
          <b:Person>
            <b:Last>Rollston</b:Last>
            <b:First>Rebekah </b:First>
          </b:Person>
          <b:Person>
            <b:Last>Galea</b:Last>
            <b:First>S</b:First>
          </b:Person>
        </b:NameList>
      </b:Author>
    </b:Author>
    <b:RefOrder>8</b:RefOrder>
  </b:Source>
  <b:Source>
    <b:Tag>AlO21</b:Tag>
    <b:SourceType>JournalArticle</b:SourceType>
    <b:Guid>{1AF399AF-B918-4AA7-99E2-6635455AD63D}</b:Guid>
    <b:Title>Migrant health is public health: a call for equitable access to COVID-19 vaccines</b:Title>
    <b:JournalName>The Lancet Public Health</b:JournalName>
    <b:Year>2021</b:Year>
    <b:Pages>VOLUME 6, ISSUE 3, E144</b:Pages>
    <b:Author>
      <b:Author>
        <b:NameList>
          <b:Person>
            <b:Last> Al-Oraibi</b:Last>
            <b:First>Amani</b:First>
          </b:Person>
          <b:Person>
            <b:Last> Martin</b:Last>
            <b:Middle> A</b:Middle>
            <b:First>Christopher</b:First>
          </b:Person>
          <b:Person>
            <b:Last>Hassan</b:Last>
            <b:First>Osama </b:First>
          </b:Person>
          <b:Person>
            <b:Last>Wickramage</b:Last>
            <b:First>Kolitha </b:First>
          </b:Person>
          <b:Person>
            <b:Last> Nellums</b:Last>
            <b:Middle> B</b:Middle>
            <b:First>Laura</b:First>
          </b:Person>
          <b:Person>
            <b:Last>Pareek</b:Last>
            <b:First>Manish </b:First>
          </b:Person>
        </b:NameList>
      </b:Author>
    </b:Author>
    <b:RefOrder>9</b:RefOrder>
  </b:Source>
  <b:Source>
    <b:Tag>Eat20</b:Tag>
    <b:SourceType>JournalArticle</b:SourceType>
    <b:Guid>{601A9A32-C4B6-4FC1-AF3D-00C2223B5BF1}</b:Guid>
    <b:Title>Covid-19 has harmed poorest countries the most across Asia Pacific, says OECD</b:Title>
    <b:JournalName>BMJ 2020</b:JournalName>
    <b:Year>2020</b:Year>
    <b:Pages>371:m4660</b:Pages>
    <b:Author>
      <b:Author>
        <b:NameList>
          <b:Person>
            <b:Last>Eaton</b:Last>
            <b:First>L </b:First>
          </b:Person>
        </b:NameList>
      </b:Author>
    </b:Author>
    <b:RefOrder>10</b:RefOrder>
  </b:Source>
  <b:Source>
    <b:Tag>Woo20</b:Tag>
    <b:SourceType>JournalArticle</b:SourceType>
    <b:Guid>{E76C5C58-D674-49D0-BB61-9121681E1A4A}</b:Guid>
    <b:Title>Intersecting US epidemics: COVID-19 and lack of health insurance</b:Title>
    <b:JournalName>Annals of Internal Medicine</b:JournalName>
    <b:Year>2020</b:Year>
    <b:Author>
      <b:Author>
        <b:NameList>
          <b:Person>
            <b:Last>Woolhandler</b:Last>
            <b:First>S</b:First>
          </b:Person>
          <b:Person>
            <b:Last> Himmelstein</b:Last>
            <b:Middle>U</b:Middle>
            <b:First>D</b:First>
          </b:Person>
        </b:NameList>
      </b:Author>
    </b:Author>
    <b:RefOrder>11</b:RefOrder>
  </b:Source>
  <b:Source>
    <b:Tag>Cut20</b:Tag>
    <b:SourceType>JournalArticle</b:SourceType>
    <b:Guid>{60A69B74-2F99-4BE8-898E-1561B26F6A2A}</b:Guid>
    <b:Title>How will COVID-19 affect the health care economy?</b:Title>
    <b:JournalName>Jama</b:JournalName>
    <b:Year>2020</b:Year>
    <b:Author>
      <b:Author>
        <b:NameList>
          <b:Person>
            <b:Last>Cutler </b:Last>
            <b:First>D</b:First>
          </b:Person>
        </b:NameList>
      </b:Author>
    </b:Author>
    <b:RefOrder>12</b:RefOrder>
  </b:Source>
  <b:Source>
    <b:Tag>Gar20</b:Tag>
    <b:SourceType>JournalArticle</b:SourceType>
    <b:Guid>{8140D4AA-313B-4BDB-830E-CA9FAFA49927}</b:Guid>
    <b:JournalName>Timely Analysis of Immediate Health Policy Issues</b:JournalName>
    <b:Year>2020</b:Year>
    <b:Author>
      <b:Author>
        <b:NameList>
          <b:Person>
            <b:Last>Garrett</b:Last>
            <b:Middle>Bowen </b:Middle>
            <b:First>A. </b:First>
          </b:Person>
          <b:Person>
            <b:Last>Gangopadhyaya</b:Last>
            <b:First>Anuj </b:First>
          </b:Person>
        </b:NameList>
      </b:Author>
    </b:Author>
    <b:RefOrder>13</b:RefOrder>
  </b:Source>
  <b:Source>
    <b:Tag>Gan201</b:Tag>
    <b:SourceType>JournalArticle</b:SourceType>
    <b:Guid>{0EE3C062-6F20-4270-B672-222FB1D2DC27}</b:Guid>
    <b:Title>Unemployment, Health Insurance, and the COVID-19 Recession</b:Title>
    <b:Year>2020</b:Year>
    <b:Author>
      <b:Author>
        <b:NameList>
          <b:Person>
            <b:Last>Gangopadhyaya</b:Last>
            <b:First>Anuj </b:First>
          </b:Person>
          <b:Person>
            <b:Last> Garrett</b:Last>
            <b:Middle>Bowen</b:Middle>
            <b:First>A. </b:First>
          </b:Person>
        </b:NameList>
      </b:Author>
    </b:Author>
    <b:RefOrder>14</b:RefOrder>
  </b:Source>
  <b:Source>
    <b:Tag>Kaw20</b:Tag>
    <b:SourceType>JournalArticle</b:SourceType>
    <b:Guid>{0C0880F6-185B-4605-8D3A-061A6DB93C93}</b:Guid>
    <b:Title>COVID-19, unemployment, and suicide</b:Title>
    <b:JournalName>The Lancet Psychiatry</b:JournalName>
    <b:Year>2020</b:Year>
    <b:Pages>389-390</b:Pages>
    <b:Author>
      <b:Author>
        <b:NameList>
          <b:Person>
            <b:Last>Kawohl</b:Last>
            <b:First>W</b:First>
          </b:Person>
          <b:Person>
            <b:Last>Nordt</b:Last>
            <b:First>C </b:First>
          </b:Person>
        </b:NameList>
      </b:Author>
    </b:Author>
    <b:RefOrder>15</b:RefOrder>
  </b:Source>
  <b:Source>
    <b:Tag>Fai20</b:Tag>
    <b:SourceType>JournalArticle</b:SourceType>
    <b:Guid>{29EF0959-9D27-4237-B150-3658D7557616}</b:Guid>
    <b:Title>The Impacts of COVID-19 on Minority Unemployment: First Evidence from April 2020 CPS Microdata</b:Title>
    <b:JournalName>National Bureau of Economic research-Working Papers</b:JournalName>
    <b:Year>2020</b:Year>
    <b:Author>
      <b:Author>
        <b:NameList>
          <b:Person>
            <b:Last>Fairlie</b:Last>
            <b:Middle>W</b:Middle>
            <b:First>R</b:First>
          </b:Person>
          <b:Person>
            <b:Last>Couch </b:Last>
            <b:First>Kenneth </b:First>
          </b:Person>
          <b:Person>
            <b:Last> Xu</b:Last>
            <b:First>Huanan</b:First>
          </b:Person>
        </b:NameList>
      </b:Author>
    </b:Author>
    <b:RefOrder>16</b:RefOrder>
  </b:Source>
  <b:Source>
    <b:Tag>Fer201</b:Tag>
    <b:SourceType>JournalArticle</b:SourceType>
    <b:Guid>{E65B0DCD-13B0-4D4E-9B14-9343F6E97226}</b:Guid>
    <b:Title>Economic Effects of Coronavirus Outbreak (COVID-19) on the World Economy</b:Title>
    <b:JournalName>IESE Business School Working Paper No. WP-1240-E</b:JournalName>
    <b:Year>2020</b:Year>
    <b:Author>
      <b:Author>
        <b:NameList>
          <b:Person>
            <b:Last> Fernandes</b:Last>
            <b:First>Nuno</b:First>
          </b:Person>
        </b:NameList>
      </b:Author>
    </b:Author>
    <b:RefOrder>17</b:RefOrder>
  </b:Source>
  <b:Source>
    <b:Tag>McK20</b:Tag>
    <b:SourceType>JournalArticle</b:SourceType>
    <b:Guid>{36176DCC-7B8B-484E-A3F2-E2E3BE44D9A7}</b:Guid>
    <b:Title>The global macroeconomic impacts of COVID-19: Seven scenarios</b:Title>
    <b:JournalName>Asian Ecconomic Papers</b:JournalName>
    <b:Year>2020</b:Year>
    <b:Pages>1-30</b:Pages>
    <b:Author>
      <b:Author>
        <b:NameList>
          <b:Person>
            <b:Last> McKibbin</b:Last>
            <b:First>Warwick</b:First>
          </b:Person>
          <b:Person>
            <b:Last>Fernando</b:Last>
            <b:First>Roshen </b:First>
          </b:Person>
        </b:NameList>
      </b:Author>
    </b:Author>
    <b:RefOrder>18</b:RefOrder>
  </b:Source>
  <b:Source>
    <b:Tag>Yan21</b:Tag>
    <b:SourceType>JournalArticle</b:SourceType>
    <b:Guid>{4F330759-BCAC-46F9-8470-5DA450DB3FB9}</b:Guid>
    <b:Title>The Impact of COVID-19 and Government Intervention on Stock Markets of OECD Countries</b:Title>
    <b:JournalName>Asian Economic Letters</b:JournalName>
    <b:Year>2021</b:Year>
    <b:Author>
      <b:Author>
        <b:NameList>
          <b:Person>
            <b:Last>Yang</b:Last>
            <b:First>H</b:First>
          </b:Person>
          <b:Person>
            <b:Last>Deng </b:Last>
            <b:First>P </b:First>
          </b:Person>
        </b:NameList>
      </b:Author>
    </b:Author>
    <b:RefOrder>19</b:RefOrder>
  </b:Source>
  <b:Source>
    <b:Tag>Ozi20</b:Tag>
    <b:SourceType>JournalArticle</b:SourceType>
    <b:Guid>{15E1C75E-DC85-4B04-BF21-8B6E5B3B6699}</b:Guid>
    <b:Title>COVID-19 in Africa: socio-economic impact, policy response and opportunities</b:Title>
    <b:JournalName>International Journal of Sociology and Social Policy</b:JournalName>
    <b:Year>2020</b:Year>
    <b:Author>
      <b:Author>
        <b:NameList>
          <b:Person>
            <b:Last>Ozili</b:Last>
            <b:First>P</b:First>
          </b:Person>
        </b:NameList>
      </b:Author>
    </b:Author>
    <b:RefOrder>20</b:RefOrder>
  </b:Source>
  <b:Source>
    <b:Tag>Mar20</b:Tag>
    <b:SourceType>JournalArticle</b:SourceType>
    <b:Guid>{9DB674CC-8DDC-4D15-A34E-DA17BA254B15}</b:Guid>
    <b:Title>Socio-Economic Impacts of COVID-19 on Household Consumption and Poverty</b:Title>
    <b:JournalName>Economics of Disasters and Climate Change</b:JournalName>
    <b:Year>2020</b:Year>
    <b:Pages>453–479</b:Pages>
    <b:Author>
      <b:Author>
        <b:NameList>
          <b:Person>
            <b:Last>Martin</b:Last>
            <b:First>Amory </b:First>
          </b:Person>
          <b:Person>
            <b:Last> Markhvida</b:Last>
            <b:First> Maryia</b:First>
          </b:Person>
          <b:Person>
            <b:Last>Hallegatte</b:Last>
            <b:First>Stéphane </b:First>
          </b:Person>
          <b:Person>
            <b:Last> Walsh </b:Last>
            <b:First>Brian</b:First>
          </b:Person>
        </b:NameList>
      </b:Author>
    </b:Author>
    <b:RefOrder>21</b:RefOrder>
  </b:Source>
  <b:Source>
    <b:Tag>Bir04</b:Tag>
    <b:SourceType>JournalArticle</b:SourceType>
    <b:Guid>{825FDD8D-1F10-401D-8087-727E40D1C37C}</b:Guid>
    <b:Title>Lojistik Regresyon Analizi:Tıp Verileri Üzerine Bir Uygulama</b:Title>
    <b:JournalName>Kocaeli Üniversitesi Sosyal Bilimler Enstitüsü Dergisi,</b:JournalName>
    <b:Year>2004</b:Year>
    <b:Pages>185-208</b:Pages>
    <b:Author>
      <b:Author>
        <b:NameList>
          <b:Person>
            <b:Last>Bircan</b:Last>
            <b:First>Hudaverdi</b:First>
          </b:Person>
        </b:NameList>
      </b:Author>
    </b:Author>
    <b:RefOrder>4</b:RefOrder>
  </b:Source>
  <b:Source>
    <b:Tag>Alm20</b:Tag>
    <b:SourceType>JournalArticle</b:SourceType>
    <b:Guid>{11AD9B7D-9D4A-48B1-8111-293D60978A33}</b:Guid>
    <b:Title>Forecasting the Spread of COVID-19 in Kuwait Using Compartmental and Logistic Regression Models</b:Title>
    <b:JournalName>Appl. Sci</b:JournalName>
    <b:Year>2020</b:Year>
    <b:Author>
      <b:Author>
        <b:NameList>
          <b:Person>
            <b:Last> Almeshal </b:Last>
            <b:Middle> M.</b:Middle>
            <b:First>Abdullah</b:First>
          </b:Person>
          <b:Person>
            <b:Last> Almazrouee</b:Last>
            <b:Middle>I.</b:Middle>
            <b:First>Abdulla </b:First>
          </b:Person>
          <b:Person>
            <b:Last> Alenizi </b:Last>
            <b:Middle> R.</b:Middle>
            <b:First>Mohammad</b:First>
          </b:Person>
          <b:Person>
            <b:Last>Alhajeri </b:Last>
            <b:Middle>N</b:Middle>
            <b:First>Saleh . </b:First>
          </b:Person>
        </b:NameList>
      </b:Author>
    </b:Author>
    <b:RefOrder>6</b:RefOrder>
  </b:Source>
</b:Sources>
</file>

<file path=customXml/itemProps1.xml><?xml version="1.0" encoding="utf-8"?>
<ds:datastoreItem xmlns:ds="http://schemas.openxmlformats.org/officeDocument/2006/customXml" ds:itemID="{4088CBB1-FE95-40CA-ADCE-8586944399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499</Pages>
  <Words>196608</Words>
  <Characters>1120671</Characters>
  <Application>Microsoft Office Word</Application>
  <DocSecurity>0</DocSecurity>
  <Lines>9338</Lines>
  <Paragraphs>2629</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1314650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ASLI GÜLER</dc:creator>
  <cp:keywords/>
  <dc:description/>
  <cp:lastModifiedBy>Dell</cp:lastModifiedBy>
  <cp:revision>2</cp:revision>
  <cp:lastPrinted>2021-05-21T07:23:00Z</cp:lastPrinted>
  <dcterms:created xsi:type="dcterms:W3CDTF">2021-05-26T20:06:00Z</dcterms:created>
  <dcterms:modified xsi:type="dcterms:W3CDTF">2021-05-26T20:06:00Z</dcterms:modified>
</cp:coreProperties>
</file>